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9DDD5" w14:textId="77777777" w:rsidR="00830E72" w:rsidRDefault="008344D8">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1733073789"/>
          <w:lock w:val="sdtLocked"/>
          <w:placeholder>
            <w:docPart w:val="GBC22222222222222222222222222222"/>
          </w:placeholder>
        </w:sdtPr>
        <w:sdtEndPr/>
        <w:sdtContent>
          <w:r>
            <w:rPr>
              <w:rFonts w:hint="eastAsia"/>
              <w:bCs/>
              <w:szCs w:val="21"/>
            </w:rPr>
            <w:t>603815</w:t>
          </w:r>
        </w:sdtContent>
      </w:sdt>
      <w:r>
        <w:rPr>
          <w:rFonts w:hint="eastAsia"/>
          <w:bCs/>
          <w:szCs w:val="21"/>
        </w:rPr>
        <w:t xml:space="preserve">                                           公司简称：</w:t>
      </w:r>
      <w:sdt>
        <w:sdtPr>
          <w:rPr>
            <w:rFonts w:hint="eastAsia"/>
            <w:bCs/>
            <w:szCs w:val="21"/>
          </w:rPr>
          <w:alias w:val="公司简称"/>
          <w:tag w:val="_GBC_0384ae715a1e4b4894a29e4d27f5bef4"/>
          <w:id w:val="1324779788"/>
          <w:lock w:val="sdtLocked"/>
          <w:placeholder>
            <w:docPart w:val="GBC22222222222222222222222222222"/>
          </w:placeholder>
        </w:sdtPr>
        <w:sdtEndPr/>
        <w:sdtContent>
          <w:proofErr w:type="gramStart"/>
          <w:r>
            <w:rPr>
              <w:rFonts w:hint="eastAsia"/>
              <w:bCs/>
              <w:szCs w:val="21"/>
            </w:rPr>
            <w:t>交建股份</w:t>
          </w:r>
          <w:proofErr w:type="gramEnd"/>
        </w:sdtContent>
      </w:sdt>
    </w:p>
    <w:p w14:paraId="173FE5AF" w14:textId="77777777" w:rsidR="00830E72" w:rsidRDefault="00830E72"/>
    <w:p w14:paraId="095B31FC" w14:textId="77777777" w:rsidR="00830E72" w:rsidRDefault="00830E72"/>
    <w:p w14:paraId="0A9947FF" w14:textId="77777777" w:rsidR="00830E72" w:rsidRDefault="00830E72"/>
    <w:p w14:paraId="356BC500" w14:textId="77777777" w:rsidR="00830E72" w:rsidRDefault="00830E72"/>
    <w:p w14:paraId="02714FCB" w14:textId="77777777" w:rsidR="00830E72" w:rsidRDefault="00830E72"/>
    <w:p w14:paraId="500EDA77" w14:textId="77777777" w:rsidR="00830E72" w:rsidRDefault="00830E72"/>
    <w:p w14:paraId="64DFD827" w14:textId="77777777" w:rsidR="00830E72" w:rsidRDefault="00830E72"/>
    <w:p w14:paraId="7A74479A" w14:textId="77777777" w:rsidR="00830E72" w:rsidRDefault="00D44830">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116369951"/>
          <w:lock w:val="sdtLocked"/>
          <w:placeholder>
            <w:docPart w:val="GBC22222222222222222222222222222"/>
          </w:placeholder>
          <w:text/>
        </w:sdtPr>
        <w:sdtEndPr/>
        <w:sdtContent>
          <w:r w:rsidR="008344D8">
            <w:rPr>
              <w:rFonts w:ascii="黑体" w:eastAsia="黑体" w:hAnsi="黑体" w:hint="eastAsia"/>
              <w:b/>
              <w:bCs/>
              <w:color w:val="FF0000"/>
              <w:sz w:val="44"/>
              <w:szCs w:val="44"/>
            </w:rPr>
            <w:t>安徽省交通建设股份有限公司</w:t>
          </w:r>
        </w:sdtContent>
      </w:sdt>
    </w:p>
    <w:p w14:paraId="59EBCD50" w14:textId="77777777" w:rsidR="00830E72" w:rsidRDefault="008344D8">
      <w:pPr>
        <w:jc w:val="center"/>
        <w:rPr>
          <w:rFonts w:ascii="黑体" w:eastAsia="黑体" w:hAnsi="黑体"/>
          <w:b/>
          <w:bCs/>
          <w:color w:val="FF0000"/>
          <w:sz w:val="44"/>
          <w:szCs w:val="44"/>
        </w:rPr>
      </w:pPr>
      <w:r>
        <w:rPr>
          <w:rFonts w:ascii="黑体" w:eastAsia="黑体" w:hAnsi="黑体"/>
          <w:b/>
          <w:bCs/>
          <w:color w:val="FF0000"/>
          <w:sz w:val="44"/>
          <w:szCs w:val="44"/>
        </w:rPr>
        <w:t>2021</w:t>
      </w:r>
      <w:r>
        <w:rPr>
          <w:rFonts w:ascii="黑体" w:eastAsia="黑体" w:hAnsi="黑体" w:hint="eastAsia"/>
          <w:b/>
          <w:bCs/>
          <w:color w:val="FF0000"/>
          <w:sz w:val="44"/>
          <w:szCs w:val="44"/>
        </w:rPr>
        <w:t>年半年度报告</w:t>
      </w:r>
    </w:p>
    <w:p w14:paraId="46306555" w14:textId="77777777" w:rsidR="00830E72" w:rsidRDefault="00830E72"/>
    <w:p w14:paraId="49AC3D9A" w14:textId="77777777" w:rsidR="00830E72" w:rsidRDefault="00830E72"/>
    <w:p w14:paraId="6FC420F9" w14:textId="77777777" w:rsidR="00830E72" w:rsidRDefault="00830E72"/>
    <w:p w14:paraId="5231DD1A" w14:textId="77777777" w:rsidR="00830E72" w:rsidRDefault="00830E72"/>
    <w:p w14:paraId="5DFC16F8" w14:textId="77777777" w:rsidR="00830E72" w:rsidRDefault="00830E72"/>
    <w:p w14:paraId="2B0A10D8" w14:textId="77777777" w:rsidR="00830E72" w:rsidRDefault="00830E72"/>
    <w:p w14:paraId="3C3505C3" w14:textId="77777777" w:rsidR="00830E72" w:rsidRDefault="00830E72"/>
    <w:p w14:paraId="592AD4C4" w14:textId="77777777" w:rsidR="00830E72" w:rsidRDefault="008344D8">
      <w:r>
        <w:br w:type="page"/>
      </w:r>
    </w:p>
    <w:p w14:paraId="5B31559E" w14:textId="77777777" w:rsidR="00830E72" w:rsidRDefault="008344D8">
      <w:pPr>
        <w:pStyle w:val="afb"/>
        <w:spacing w:after="280" w:afterAutospacing="0"/>
        <w:jc w:val="center"/>
        <w:rPr>
          <w:b/>
          <w:bCs/>
          <w:sz w:val="28"/>
          <w:szCs w:val="28"/>
        </w:rPr>
      </w:pPr>
      <w:bookmarkStart w:id="0" w:name="_Toc387656034"/>
      <w:r>
        <w:rPr>
          <w:rFonts w:hint="eastAsia"/>
          <w:b/>
          <w:bCs/>
          <w:sz w:val="28"/>
          <w:szCs w:val="28"/>
        </w:rPr>
        <w:lastRenderedPageBreak/>
        <w:t>重要提示</w:t>
      </w:r>
      <w:bookmarkEnd w:id="0"/>
    </w:p>
    <w:sdt>
      <w:sdtPr>
        <w:rPr>
          <w:rFonts w:ascii="宋体" w:hAnsi="宋体" w:hint="eastAsia"/>
        </w:rPr>
        <w:alias w:val="选项模块:董事会及董事声明"/>
        <w:tag w:val="_SEC_d5e0e82062cc4f3cb5a290078031cbd7"/>
        <w:id w:val="1508871879"/>
        <w:lock w:val="sdtLocked"/>
        <w:placeholder>
          <w:docPart w:val="GBC22222222222222222222222222222"/>
        </w:placeholder>
      </w:sdtPr>
      <w:sdtEndPr/>
      <w:sdtContent>
        <w:p w14:paraId="0EAE7641" w14:textId="77777777" w:rsidR="00830E72" w:rsidRDefault="00D44830">
          <w:pPr>
            <w:pStyle w:val="2"/>
            <w:numPr>
              <w:ilvl w:val="0"/>
              <w:numId w:val="1"/>
            </w:numPr>
            <w:tabs>
              <w:tab w:val="left" w:pos="434"/>
            </w:tabs>
            <w:spacing w:before="0" w:after="0" w:line="360" w:lineRule="auto"/>
            <w:ind w:left="369" w:hangingChars="175" w:hanging="369"/>
            <w:rPr>
              <w:rFonts w:ascii="宋体" w:hAnsi="宋体"/>
            </w:rPr>
          </w:pPr>
          <w:sdt>
            <w:sdtPr>
              <w:rPr>
                <w:rFonts w:ascii="宋体" w:hAnsi="宋体" w:hint="eastAsia"/>
              </w:rPr>
              <w:alias w:val="董事会及董事声明"/>
              <w:tag w:val="_GBC_6c6da163383e4e4c92758ff24076a138"/>
              <w:id w:val="-545220429"/>
              <w:lock w:val="sdtLocked"/>
              <w:placeholder>
                <w:docPart w:val="GBC22222222222222222222222222222"/>
              </w:placeholder>
            </w:sdtPr>
            <w:sdtEndPr/>
            <w:sdtContent>
              <w:r w:rsidR="008344D8">
                <w:rPr>
                  <w:rFonts w:ascii="宋体" w:hAnsi="宋体" w:cs="宋体"/>
                  <w:bCs w:val="0"/>
                </w:rPr>
                <w:t>本公司董事会、监事会及董事、监事、高级管理人员保证</w:t>
              </w:r>
              <w:r w:rsidR="008344D8">
                <w:rPr>
                  <w:rFonts w:ascii="宋体" w:hAnsi="宋体" w:cs="宋体" w:hint="eastAsia"/>
                  <w:bCs w:val="0"/>
                </w:rPr>
                <w:t>半</w:t>
              </w:r>
              <w:r w:rsidR="008344D8">
                <w:rPr>
                  <w:rFonts w:ascii="宋体" w:hAnsi="宋体" w:cs="宋体"/>
                  <w:bCs w:val="0"/>
                </w:rPr>
                <w:t>年度报告内容的真实、准确、完整，不存在虚假记载、误导性陈述或重大遗漏，并承担个别和连带的法律责任。</w:t>
              </w:r>
            </w:sdtContent>
          </w:sdt>
        </w:p>
      </w:sdtContent>
    </w:sdt>
    <w:p w14:paraId="55FB45A6" w14:textId="77777777" w:rsidR="00830E72" w:rsidRDefault="00830E72"/>
    <w:p w14:paraId="23ABC753" w14:textId="77777777" w:rsidR="00830E72" w:rsidRDefault="00830E72"/>
    <w:sdt>
      <w:sdtPr>
        <w:rPr>
          <w:rFonts w:ascii="宋体" w:hAnsi="宋体" w:cs="宋体" w:hint="eastAsia"/>
          <w:b w:val="0"/>
          <w:bCs w:val="0"/>
          <w:kern w:val="0"/>
          <w:sz w:val="24"/>
          <w:szCs w:val="22"/>
        </w:rPr>
        <w:alias w:val="选项模块:公司全体董事出席董事会会议。"/>
        <w:tag w:val="_GBC_1b1325bf1ae840869be71054a10ad268"/>
        <w:id w:val="-526635209"/>
        <w:lock w:val="sdtLocked"/>
        <w:placeholder>
          <w:docPart w:val="GBC22222222222222222222222222222"/>
        </w:placeholder>
      </w:sdtPr>
      <w:sdtEndPr>
        <w:rPr>
          <w:rFonts w:hint="default"/>
          <w:sz w:val="21"/>
          <w:szCs w:val="21"/>
        </w:rPr>
      </w:sdtEndPr>
      <w:sdtContent>
        <w:p w14:paraId="100A82B6" w14:textId="77777777" w:rsidR="00830E72" w:rsidRDefault="008344D8">
          <w:pPr>
            <w:pStyle w:val="2"/>
            <w:numPr>
              <w:ilvl w:val="0"/>
              <w:numId w:val="1"/>
            </w:numPr>
            <w:tabs>
              <w:tab w:val="left" w:pos="448"/>
            </w:tabs>
            <w:spacing w:before="0" w:after="0" w:line="360" w:lineRule="auto"/>
            <w:ind w:left="420" w:hangingChars="175"/>
            <w:rPr>
              <w:rFonts w:ascii="宋体" w:hAnsi="宋体"/>
            </w:rPr>
          </w:pPr>
          <w:r>
            <w:rPr>
              <w:rFonts w:ascii="宋体" w:hAnsi="宋体" w:hint="eastAsia"/>
            </w:rPr>
            <w:t>公司</w:t>
          </w:r>
          <w:sdt>
            <w:sdtPr>
              <w:rPr>
                <w:rFonts w:ascii="宋体" w:hAnsi="宋体" w:hint="eastAsia"/>
              </w:rPr>
              <w:tag w:val="_GBC_2e0ee33ebae04a83b92e8b1aa6754169"/>
              <w:id w:val="-1079212839"/>
              <w:lock w:val="sdtLocked"/>
              <w:placeholder>
                <w:docPart w:val="GBC22222222222222222222222222222"/>
              </w:placeholder>
            </w:sdtPr>
            <w:sdtEndPr/>
            <w:sdtContent>
              <w:r>
                <w:rPr>
                  <w:rFonts w:ascii="宋体" w:hAnsi="宋体" w:hint="eastAsia"/>
                </w:rPr>
                <w:t>全体董事出席</w:t>
              </w:r>
            </w:sdtContent>
          </w:sdt>
          <w:r>
            <w:rPr>
              <w:rFonts w:ascii="宋体" w:hAnsi="宋体" w:hint="eastAsia"/>
            </w:rPr>
            <w:t>董事会会议。</w:t>
          </w:r>
        </w:p>
        <w:p w14:paraId="7E45457F" w14:textId="77777777" w:rsidR="00830E72" w:rsidRDefault="00D44830">
          <w:pPr>
            <w:rPr>
              <w:szCs w:val="21"/>
            </w:rPr>
          </w:pPr>
        </w:p>
      </w:sdtContent>
    </w:sdt>
    <w:p w14:paraId="428820FB" w14:textId="77777777" w:rsidR="00830E72" w:rsidRDefault="00830E72"/>
    <w:sdt>
      <w:sdtPr>
        <w:rPr>
          <w:rFonts w:ascii="宋体" w:hAnsi="宋体" w:cs="宋体" w:hint="eastAsia"/>
          <w:b w:val="0"/>
          <w:bCs w:val="0"/>
          <w:kern w:val="0"/>
          <w:sz w:val="24"/>
          <w:szCs w:val="24"/>
        </w:rPr>
        <w:alias w:val="选项模块:本年度报告未经审计。"/>
        <w:tag w:val="_GBC_07370c6ee32a4bea8271133440d087fd"/>
        <w:id w:val="-413007053"/>
        <w:lock w:val="sdtLocked"/>
        <w:placeholder>
          <w:docPart w:val="GBC22222222222222222222222222222"/>
        </w:placeholder>
      </w:sdtPr>
      <w:sdtEndPr>
        <w:rPr>
          <w:rFonts w:hint="default"/>
          <w:sz w:val="21"/>
        </w:rPr>
      </w:sdtEndPr>
      <w:sdtContent>
        <w:p w14:paraId="7B662328" w14:textId="77777777" w:rsidR="00830E72" w:rsidRDefault="008344D8">
          <w:pPr>
            <w:pStyle w:val="2"/>
            <w:numPr>
              <w:ilvl w:val="0"/>
              <w:numId w:val="1"/>
            </w:numPr>
            <w:tabs>
              <w:tab w:val="left" w:pos="490"/>
            </w:tabs>
            <w:spacing w:before="0" w:after="0" w:line="360" w:lineRule="auto"/>
            <w:ind w:left="420" w:hangingChars="175"/>
            <w:rPr>
              <w:rFonts w:ascii="宋体" w:hAnsi="宋体"/>
            </w:rPr>
          </w:pPr>
          <w:proofErr w:type="gramStart"/>
          <w:r>
            <w:rPr>
              <w:rFonts w:ascii="宋体" w:hAnsi="宋体" w:hint="eastAsia"/>
            </w:rPr>
            <w:t>本半年度</w:t>
          </w:r>
          <w:proofErr w:type="gramEnd"/>
          <w:r>
            <w:rPr>
              <w:rFonts w:ascii="宋体" w:hAnsi="宋体" w:hint="eastAsia"/>
            </w:rPr>
            <w:t>报告</w:t>
          </w:r>
          <w:sdt>
            <w:sdtPr>
              <w:rPr>
                <w:rFonts w:ascii="宋体" w:hAnsi="宋体" w:hint="eastAsia"/>
              </w:rPr>
              <w:tag w:val="_GBC_be15b7a71d95430e82193d4cab461623"/>
              <w:id w:val="-1897424700"/>
              <w:lock w:val="sdtLocked"/>
              <w:placeholder>
                <w:docPart w:val="GBC22222222222222222222222222222"/>
              </w:placeholder>
            </w:sdtPr>
            <w:sdtEndPr/>
            <w:sdtContent>
              <w:r>
                <w:rPr>
                  <w:rFonts w:ascii="宋体" w:hAnsi="宋体" w:hint="eastAsia"/>
                </w:rPr>
                <w:t>未经审计</w:t>
              </w:r>
            </w:sdtContent>
          </w:sdt>
          <w:r>
            <w:rPr>
              <w:rFonts w:ascii="宋体" w:hAnsi="宋体" w:hint="eastAsia"/>
            </w:rPr>
            <w:t>。</w:t>
          </w:r>
        </w:p>
        <w:p w14:paraId="185FBDE7" w14:textId="77777777" w:rsidR="00830E72" w:rsidRDefault="00830E72">
          <w:pPr>
            <w:rPr>
              <w:szCs w:val="21"/>
            </w:rPr>
          </w:pPr>
        </w:p>
        <w:p w14:paraId="2C0510E0" w14:textId="77777777" w:rsidR="00830E72" w:rsidRDefault="00D44830">
          <w:pPr>
            <w:rPr>
              <w:szCs w:val="21"/>
            </w:rPr>
          </w:pPr>
        </w:p>
      </w:sdtContent>
    </w:sdt>
    <w:sdt>
      <w:sdtPr>
        <w:rPr>
          <w:rFonts w:ascii="宋体" w:hAnsi="宋体" w:hint="eastAsia"/>
          <w:b w:val="0"/>
        </w:rPr>
        <w:alias w:val="模块:公司负责人等声明"/>
        <w:tag w:val="_GBC_04b137e7f87b43b8812b2c33bd605e04"/>
        <w:id w:val="-771167104"/>
        <w:lock w:val="sdtLocked"/>
        <w:placeholder>
          <w:docPart w:val="GBC22222222222222222222222222222"/>
        </w:placeholder>
      </w:sdtPr>
      <w:sdtEndPr>
        <w:rPr>
          <w:b/>
        </w:rPr>
      </w:sdtEndPr>
      <w:sdtContent>
        <w:p w14:paraId="59651F90" w14:textId="77777777" w:rsidR="00830E72" w:rsidRDefault="008344D8" w:rsidP="004925F0">
          <w:pPr>
            <w:pStyle w:val="2"/>
            <w:numPr>
              <w:ilvl w:val="0"/>
              <w:numId w:val="1"/>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hint="eastAsia"/>
              </w:rPr>
              <w:alias w:val="公司负责人姓名"/>
              <w:tag w:val="_GBC_ee6b72f666bb497bbe8fc037096654d2"/>
              <w:id w:val="215250485"/>
              <w:lock w:val="sdtLocked"/>
              <w:placeholder>
                <w:docPart w:val="GBC22222222222222222222222222222"/>
              </w:placeholder>
              <w:text/>
            </w:sdtPr>
            <w:sdtEndPr/>
            <w:sdtContent>
              <w:r>
                <w:rPr>
                  <w:rFonts w:ascii="宋体" w:hAnsi="宋体" w:hint="eastAsia"/>
                </w:rPr>
                <w:t>吴小辉</w:t>
              </w:r>
            </w:sdtContent>
          </w:sdt>
          <w:r>
            <w:rPr>
              <w:rFonts w:ascii="宋体" w:hAnsi="宋体" w:hint="eastAsia"/>
            </w:rPr>
            <w:t>、主管会计工作负责人</w:t>
          </w:r>
          <w:sdt>
            <w:sdtPr>
              <w:rPr>
                <w:rFonts w:ascii="宋体" w:hAnsi="宋体" w:hint="eastAsia"/>
              </w:rPr>
              <w:alias w:val="主管会计工作负责人姓名"/>
              <w:tag w:val="_GBC_51ed55c6ff134dadaa6756998c964cdf"/>
              <w:id w:val="554209563"/>
              <w:lock w:val="sdtLocked"/>
              <w:placeholder>
                <w:docPart w:val="GBC22222222222222222222222222222"/>
              </w:placeholder>
              <w:text/>
            </w:sdtPr>
            <w:sdtEndPr/>
            <w:sdtContent>
              <w:proofErr w:type="gramStart"/>
              <w:r>
                <w:rPr>
                  <w:rFonts w:ascii="宋体" w:hAnsi="宋体" w:hint="eastAsia"/>
                </w:rPr>
                <w:t>施秀莹</w:t>
              </w:r>
              <w:proofErr w:type="gramEnd"/>
            </w:sdtContent>
          </w:sdt>
          <w:r>
            <w:rPr>
              <w:rFonts w:ascii="宋体" w:hAnsi="宋体" w:hint="eastAsia"/>
            </w:rPr>
            <w:t>及会计机构负责人（会计主管人员）</w:t>
          </w:r>
          <w:sdt>
            <w:sdtPr>
              <w:rPr>
                <w:rFonts w:ascii="宋体" w:hAnsi="宋体" w:hint="eastAsia"/>
              </w:rPr>
              <w:alias w:val="会计机构负责人姓名"/>
              <w:tag w:val="_GBC_aa7d9e44d6e64b9abdcdefb4a3968427"/>
              <w:id w:val="-1664466756"/>
              <w:lock w:val="sdtLocked"/>
              <w:placeholder>
                <w:docPart w:val="GBC22222222222222222222222222222"/>
              </w:placeholder>
              <w:text/>
            </w:sdtPr>
            <w:sdtEndPr/>
            <w:sdtContent>
              <w:r>
                <w:rPr>
                  <w:rFonts w:ascii="宋体" w:hAnsi="宋体" w:hint="eastAsia"/>
                </w:rPr>
                <w:t>王国</w:t>
              </w:r>
              <w:proofErr w:type="gramStart"/>
              <w:r>
                <w:rPr>
                  <w:rFonts w:ascii="宋体" w:hAnsi="宋体" w:hint="eastAsia"/>
                </w:rPr>
                <w:t>鑫</w:t>
              </w:r>
              <w:proofErr w:type="gramEnd"/>
            </w:sdtContent>
          </w:sdt>
          <w:r>
            <w:rPr>
              <w:rFonts w:ascii="宋体" w:hAnsi="宋体" w:hint="eastAsia"/>
            </w:rPr>
            <w:t>声明：保证半年度报告中财务报告的真实、准确、完整。</w:t>
          </w:r>
        </w:p>
      </w:sdtContent>
    </w:sdt>
    <w:p w14:paraId="1778CE60" w14:textId="77777777" w:rsidR="00830E72" w:rsidRDefault="00830E72"/>
    <w:sdt>
      <w:sdtPr>
        <w:rPr>
          <w:rFonts w:ascii="宋体" w:hAnsi="宋体" w:cs="宋体"/>
          <w:b w:val="0"/>
          <w:bCs w:val="0"/>
          <w:kern w:val="0"/>
          <w:sz w:val="24"/>
          <w:szCs w:val="24"/>
        </w:rPr>
        <w:alias w:val="模块:经董事会审议的报告期利润分配预案或公积金转增股本预案"/>
        <w:tag w:val="_GBC_21c095fa67114a208ee8411405e3a22a"/>
        <w:id w:val="-988321734"/>
        <w:lock w:val="sdtLocked"/>
        <w:placeholder>
          <w:docPart w:val="GBC22222222222222222222222222222"/>
        </w:placeholder>
      </w:sdtPr>
      <w:sdtEndPr>
        <w:rPr>
          <w:rFonts w:hint="eastAsia"/>
          <w:sz w:val="21"/>
          <w:shd w:val="pct10" w:color="auto" w:fill="FFFFFF"/>
        </w:rPr>
      </w:sdtEndPr>
      <w:sdtContent>
        <w:p w14:paraId="10920468" w14:textId="77777777" w:rsidR="00830E72" w:rsidRDefault="008344D8">
          <w:pPr>
            <w:pStyle w:val="2"/>
            <w:numPr>
              <w:ilvl w:val="0"/>
              <w:numId w:val="1"/>
            </w:numPr>
            <w:tabs>
              <w:tab w:val="left" w:pos="490"/>
            </w:tabs>
            <w:spacing w:before="0" w:after="0" w:line="360" w:lineRule="auto"/>
            <w:ind w:left="420" w:hangingChars="175"/>
            <w:rPr>
              <w:rFonts w:ascii="宋体" w:hAnsi="宋体"/>
              <w:sz w:val="24"/>
              <w:szCs w:val="24"/>
            </w:rPr>
          </w:pPr>
          <w:r>
            <w:rPr>
              <w:rFonts w:ascii="宋体" w:hAnsi="宋体"/>
            </w:rPr>
            <w:t>董事会</w:t>
          </w:r>
          <w:r>
            <w:t>决议通过的本报告期利润分配预案或公积金转增股本预案</w:t>
          </w:r>
        </w:p>
        <w:sdt>
          <w:sdtPr>
            <w:rPr>
              <w:rFonts w:hint="eastAsia"/>
              <w:szCs w:val="21"/>
            </w:rPr>
            <w:alias w:val="经董事会审议的报告期利润分配预案或公积金转增股本预案"/>
            <w:tag w:val="_GBC_7676626d447143468bebcc8d267ec746"/>
            <w:id w:val="1417201328"/>
            <w:lock w:val="sdtLocked"/>
            <w:placeholder>
              <w:docPart w:val="GBC22222222222222222222222222222"/>
            </w:placeholder>
          </w:sdtPr>
          <w:sdtEndPr>
            <w:rPr>
              <w:shd w:val="pct10" w:color="auto" w:fill="FFFFFF"/>
            </w:rPr>
          </w:sdtEndPr>
          <w:sdtContent>
            <w:p w14:paraId="4CBFC0DA" w14:textId="77777777" w:rsidR="00830E72" w:rsidRDefault="008344D8">
              <w:pPr>
                <w:kinsoku w:val="0"/>
                <w:overflowPunct w:val="0"/>
                <w:autoSpaceDE w:val="0"/>
                <w:autoSpaceDN w:val="0"/>
                <w:adjustRightInd w:val="0"/>
                <w:snapToGrid w:val="0"/>
                <w:spacing w:line="360" w:lineRule="exact"/>
                <w:rPr>
                  <w:szCs w:val="21"/>
                  <w:shd w:val="pct10" w:color="auto" w:fill="FFFFFF"/>
                </w:rPr>
              </w:pPr>
              <w:r>
                <w:rPr>
                  <w:rFonts w:hint="eastAsia"/>
                  <w:szCs w:val="21"/>
                </w:rPr>
                <w:t>无</w:t>
              </w:r>
            </w:p>
          </w:sdtContent>
        </w:sdt>
      </w:sdtContent>
    </w:sdt>
    <w:p w14:paraId="73565870" w14:textId="77777777" w:rsidR="00830E72" w:rsidRDefault="00830E72">
      <w:pPr>
        <w:kinsoku w:val="0"/>
        <w:overflowPunct w:val="0"/>
        <w:autoSpaceDE w:val="0"/>
        <w:autoSpaceDN w:val="0"/>
        <w:adjustRightInd w:val="0"/>
        <w:snapToGrid w:val="0"/>
        <w:spacing w:line="360" w:lineRule="exact"/>
        <w:rPr>
          <w:szCs w:val="21"/>
          <w:shd w:val="pct10" w:color="auto" w:fill="FFFFFF"/>
        </w:rPr>
      </w:pPr>
    </w:p>
    <w:sdt>
      <w:sdtPr>
        <w:rPr>
          <w:rFonts w:ascii="宋体" w:hAnsi="宋体" w:cs="宋体"/>
          <w:b w:val="0"/>
          <w:bCs w:val="0"/>
          <w:kern w:val="0"/>
          <w:sz w:val="24"/>
          <w:szCs w:val="24"/>
        </w:rPr>
        <w:alias w:val="模块:前瞻性陈述的风险声明"/>
        <w:tag w:val="_GBC_cc24ced211694e75b40a9765d2616e01"/>
        <w:id w:val="-458191534"/>
        <w:lock w:val="sdtLocked"/>
        <w:placeholder>
          <w:docPart w:val="GBC22222222222222222222222222222"/>
        </w:placeholder>
      </w:sdtPr>
      <w:sdtEndPr>
        <w:rPr>
          <w:rFonts w:hint="eastAsia"/>
          <w:sz w:val="21"/>
          <w:shd w:val="pct10" w:color="auto" w:fill="FFFFFF"/>
        </w:rPr>
      </w:sdtEndPr>
      <w:sdtContent>
        <w:p w14:paraId="528BBA72" w14:textId="77777777" w:rsidR="00830E72" w:rsidRDefault="008344D8">
          <w:pPr>
            <w:pStyle w:val="2"/>
            <w:numPr>
              <w:ilvl w:val="0"/>
              <w:numId w:val="1"/>
            </w:numPr>
            <w:tabs>
              <w:tab w:val="left" w:pos="504"/>
            </w:tabs>
            <w:spacing w:before="0" w:after="0" w:line="360" w:lineRule="auto"/>
            <w:ind w:left="420" w:hangingChars="175"/>
            <w:rPr>
              <w:rFonts w:ascii="宋体" w:hAnsi="宋体"/>
            </w:rPr>
          </w:pPr>
          <w:r>
            <w:rPr>
              <w:rFonts w:ascii="宋体" w:hAnsi="宋体"/>
            </w:rPr>
            <w:t>前瞻性陈述的风险声明</w:t>
          </w:r>
        </w:p>
        <w:sdt>
          <w:sdtPr>
            <w:alias w:val="是否适用：前瞻性陈述的风险声明[双击切换]"/>
            <w:tag w:val="_GBC_6a28949332914149bda7cc0225d614b7"/>
            <w:id w:val="-473455001"/>
            <w:lock w:val="sdtLocked"/>
            <w:placeholder>
              <w:docPart w:val="GBC22222222222222222222222222222"/>
            </w:placeholder>
          </w:sdtPr>
          <w:sdtEndPr/>
          <w:sdtContent>
            <w:p w14:paraId="557C87B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对报告涉及未来计划等前瞻性陈述的声明"/>
            <w:tag w:val="_GBC_6511b5aecc604062ad93b5fbd25fd19b"/>
            <w:id w:val="589811852"/>
            <w:lock w:val="sdtLocked"/>
            <w:placeholder>
              <w:docPart w:val="GBC22222222222222222222222222222"/>
            </w:placeholder>
          </w:sdtPr>
          <w:sdtEndPr>
            <w:rPr>
              <w:shd w:val="pct10" w:color="auto" w:fill="FFFFFF"/>
            </w:rPr>
          </w:sdtEndPr>
          <w:sdtContent>
            <w:p w14:paraId="256EA12A" w14:textId="77777777" w:rsidR="00830E72" w:rsidRDefault="008344D8">
              <w:pPr>
                <w:kinsoku w:val="0"/>
                <w:overflowPunct w:val="0"/>
                <w:autoSpaceDE w:val="0"/>
                <w:autoSpaceDN w:val="0"/>
                <w:adjustRightInd w:val="0"/>
                <w:snapToGrid w:val="0"/>
                <w:spacing w:line="360" w:lineRule="exact"/>
                <w:ind w:firstLineChars="200" w:firstLine="420"/>
                <w:rPr>
                  <w:szCs w:val="21"/>
                  <w:shd w:val="pct10" w:color="auto" w:fill="FFFFFF"/>
                </w:rPr>
              </w:pPr>
              <w:r>
                <w:rPr>
                  <w:rFonts w:hint="eastAsia"/>
                  <w:szCs w:val="21"/>
                </w:rPr>
                <w:t>本年度报告中涉及的未来计划、发展战略等前瞻性陈述，不构成公司对投资者的实质承诺，敬请投资者注意投资风险。</w:t>
              </w:r>
            </w:p>
          </w:sdtContent>
        </w:sdt>
      </w:sdtContent>
    </w:sdt>
    <w:p w14:paraId="20299882" w14:textId="77777777" w:rsidR="00830E72" w:rsidRDefault="00830E72">
      <w:pPr>
        <w:kinsoku w:val="0"/>
        <w:overflowPunct w:val="0"/>
        <w:autoSpaceDE w:val="0"/>
        <w:autoSpaceDN w:val="0"/>
        <w:adjustRightInd w:val="0"/>
        <w:snapToGrid w:val="0"/>
        <w:spacing w:line="360" w:lineRule="exact"/>
        <w:rPr>
          <w:szCs w:val="21"/>
          <w:shd w:val="pct10" w:color="auto" w:fill="FFFFFF"/>
        </w:rPr>
      </w:pPr>
    </w:p>
    <w:sdt>
      <w:sdtPr>
        <w:rPr>
          <w:rFonts w:ascii="宋体" w:hAnsi="宋体" w:cs="宋体" w:hint="eastAsia"/>
          <w:b w:val="0"/>
          <w:bCs w:val="0"/>
          <w:kern w:val="0"/>
          <w:sz w:val="24"/>
          <w:szCs w:val="24"/>
          <w:shd w:val="pct10" w:color="auto" w:fill="FFFFFF"/>
        </w:rPr>
        <w:alias w:val="模块:是否存在被控股股东及其关联方非经营性占用资金情况"/>
        <w:tag w:val="_GBC_70f733efbc484640a48089ddc49bf2b9"/>
        <w:id w:val="261421491"/>
        <w:lock w:val="sdtLocked"/>
        <w:placeholder>
          <w:docPart w:val="GBC22222222222222222222222222222"/>
        </w:placeholder>
      </w:sdtPr>
      <w:sdtEndPr>
        <w:rPr>
          <w:sz w:val="21"/>
          <w:shd w:val="clear" w:color="auto" w:fill="auto"/>
        </w:rPr>
      </w:sdtEndPr>
      <w:sdtContent>
        <w:p w14:paraId="76CC7B4E" w14:textId="77777777" w:rsidR="00830E72" w:rsidRDefault="008344D8">
          <w:pPr>
            <w:pStyle w:val="2"/>
            <w:numPr>
              <w:ilvl w:val="0"/>
              <w:numId w:val="1"/>
            </w:numPr>
            <w:tabs>
              <w:tab w:val="left" w:pos="434"/>
              <w:tab w:val="left" w:pos="644"/>
            </w:tabs>
            <w:spacing w:before="0" w:after="0" w:line="360" w:lineRule="auto"/>
            <w:ind w:left="420" w:hangingChars="175"/>
            <w:rPr>
              <w:rFonts w:ascii="宋体" w:hAnsi="宋体"/>
            </w:rPr>
          </w:pPr>
          <w:r>
            <w:rPr>
              <w:rFonts w:ascii="宋体" w:hAnsi="宋体"/>
            </w:rPr>
            <w:t>是否存在被控股股东及其关联方非经营性占用资金情况</w:t>
          </w:r>
        </w:p>
        <w:sdt>
          <w:sdtPr>
            <w:rPr>
              <w:rFonts w:hint="eastAsia"/>
              <w:bCs/>
              <w:szCs w:val="21"/>
            </w:rPr>
            <w:alias w:val="本公司是否存在大股东占用资金情况"/>
            <w:tag w:val="_GBC_a32400ff33ee44d89632e0d79a7f2c42"/>
            <w:id w:val="-430351051"/>
            <w:lock w:val="sdtLocked"/>
            <w:placeholder>
              <w:docPart w:val="GBC22222222222222222222222222222"/>
            </w:placeholder>
            <w:comboBox>
              <w:listItem w:displayText="是" w:value="true"/>
              <w:listItem w:displayText="否" w:value="false"/>
            </w:comboBox>
          </w:sdtPr>
          <w:sdtEndPr/>
          <w:sdtContent>
            <w:p w14:paraId="1DA35580" w14:textId="77777777" w:rsidR="00830E72" w:rsidRDefault="008344D8">
              <w:pPr>
                <w:kinsoku w:val="0"/>
                <w:overflowPunct w:val="0"/>
                <w:autoSpaceDE w:val="0"/>
                <w:autoSpaceDN w:val="0"/>
                <w:adjustRightInd w:val="0"/>
                <w:snapToGrid w:val="0"/>
                <w:spacing w:line="360" w:lineRule="exact"/>
                <w:rPr>
                  <w:bCs/>
                  <w:szCs w:val="21"/>
                </w:rPr>
              </w:pPr>
              <w:r>
                <w:rPr>
                  <w:rFonts w:hint="eastAsia"/>
                  <w:bCs/>
                  <w:szCs w:val="21"/>
                </w:rPr>
                <w:t>否</w:t>
              </w:r>
            </w:p>
          </w:sdtContent>
        </w:sdt>
      </w:sdtContent>
    </w:sdt>
    <w:p w14:paraId="1E13D436" w14:textId="77777777" w:rsidR="00830E72" w:rsidRDefault="00830E72">
      <w:pPr>
        <w:kinsoku w:val="0"/>
        <w:overflowPunct w:val="0"/>
        <w:autoSpaceDE w:val="0"/>
        <w:autoSpaceDN w:val="0"/>
        <w:adjustRightInd w:val="0"/>
        <w:snapToGrid w:val="0"/>
        <w:spacing w:line="360" w:lineRule="exact"/>
        <w:rPr>
          <w:szCs w:val="21"/>
          <w:shd w:val="pct10" w:color="auto" w:fill="FFFFFF"/>
        </w:rPr>
      </w:pPr>
    </w:p>
    <w:sdt>
      <w:sdtPr>
        <w:rPr>
          <w:rFonts w:ascii="宋体" w:hAnsi="宋体" w:cs="宋体"/>
          <w:b w:val="0"/>
          <w:bCs w:val="0"/>
          <w:kern w:val="0"/>
          <w:sz w:val="24"/>
          <w:szCs w:val="24"/>
        </w:rPr>
        <w:alias w:val="模块:是否存在违反规定决策程序对外提供担保的情况"/>
        <w:tag w:val="_GBC_0b5725dfa5c04f85874bece4083eddb4"/>
        <w:id w:val="-105885636"/>
        <w:lock w:val="sdtLocked"/>
        <w:placeholder>
          <w:docPart w:val="GBC22222222222222222222222222222"/>
        </w:placeholder>
      </w:sdtPr>
      <w:sdtEndPr>
        <w:rPr>
          <w:rFonts w:hint="eastAsia"/>
          <w:sz w:val="21"/>
        </w:rPr>
      </w:sdtEndPr>
      <w:sdtContent>
        <w:p w14:paraId="79C0E4BE" w14:textId="77777777" w:rsidR="00830E72" w:rsidRDefault="008344D8">
          <w:pPr>
            <w:pStyle w:val="2"/>
            <w:numPr>
              <w:ilvl w:val="0"/>
              <w:numId w:val="1"/>
            </w:numPr>
            <w:tabs>
              <w:tab w:val="left" w:pos="644"/>
            </w:tabs>
            <w:spacing w:before="0" w:after="0" w:line="360" w:lineRule="auto"/>
            <w:ind w:left="420" w:hangingChars="175"/>
            <w:rPr>
              <w:rFonts w:ascii="宋体" w:hAnsi="宋体"/>
            </w:rPr>
          </w:pPr>
          <w:r>
            <w:rPr>
              <w:rFonts w:ascii="宋体" w:hAnsi="宋体"/>
            </w:rPr>
            <w:t>是否存在违反规定决策程序对外提供担保的情况？</w:t>
          </w:r>
        </w:p>
        <w:sdt>
          <w:sdtPr>
            <w:rPr>
              <w:rFonts w:hint="eastAsia"/>
              <w:szCs w:val="21"/>
            </w:rPr>
            <w:alias w:val="本公司是否存在违反规定决策程序对外提供担保的情况"/>
            <w:tag w:val="_GBC_3bc3f02bd342494aa2858bb9a39d8458"/>
            <w:id w:val="-1034722883"/>
            <w:lock w:val="sdtLocked"/>
            <w:placeholder>
              <w:docPart w:val="GBC22222222222222222222222222222"/>
            </w:placeholder>
            <w:comboBox>
              <w:listItem w:displayText="是" w:value="true"/>
              <w:listItem w:displayText="否" w:value="false"/>
            </w:comboBox>
          </w:sdtPr>
          <w:sdtEndPr/>
          <w:sdtContent>
            <w:p w14:paraId="78145803" w14:textId="77777777" w:rsidR="00830E72" w:rsidRDefault="008344D8">
              <w:pPr>
                <w:rPr>
                  <w:szCs w:val="21"/>
                </w:rPr>
              </w:pPr>
              <w:r>
                <w:rPr>
                  <w:rFonts w:hint="eastAsia"/>
                  <w:szCs w:val="21"/>
                </w:rPr>
                <w:t>否</w:t>
              </w:r>
            </w:p>
          </w:sdtContent>
        </w:sdt>
      </w:sdtContent>
    </w:sdt>
    <w:p w14:paraId="3F816932" w14:textId="77777777" w:rsidR="00830E72" w:rsidRDefault="00830E72">
      <w:pPr>
        <w:rPr>
          <w:szCs w:val="21"/>
        </w:rPr>
      </w:pPr>
    </w:p>
    <w:bookmarkStart w:id="1" w:name="_Hlk61881950" w:displacedByCustomXml="next"/>
    <w:bookmarkStart w:id="2" w:name="_Hlk72769553" w:displacedByCustomXml="next"/>
    <w:sdt>
      <w:sdtPr>
        <w:rPr>
          <w:rFonts w:ascii="宋体" w:hAnsi="宋体" w:cs="宋体" w:hint="eastAsia"/>
          <w:b w:val="0"/>
          <w:bCs w:val="0"/>
          <w:kern w:val="0"/>
          <w:szCs w:val="24"/>
        </w:rPr>
        <w:alias w:val="模块:"/>
        <w:tag w:val="_SEC_f8924de2a90b4f29b727c0dcf0bfd58a"/>
        <w:id w:val="1529293729"/>
        <w:lock w:val="sdtLocked"/>
        <w:placeholder>
          <w:docPart w:val="GBC22222222222222222222222222222"/>
        </w:placeholder>
      </w:sdtPr>
      <w:sdtEndPr/>
      <w:sdtContent>
        <w:p w14:paraId="62AD719D" w14:textId="77777777" w:rsidR="00830E72" w:rsidRDefault="008344D8" w:rsidP="004925F0">
          <w:pPr>
            <w:pStyle w:val="2"/>
            <w:numPr>
              <w:ilvl w:val="0"/>
              <w:numId w:val="1"/>
            </w:numPr>
            <w:tabs>
              <w:tab w:val="left" w:pos="644"/>
            </w:tabs>
            <w:spacing w:before="0" w:after="0" w:line="360" w:lineRule="auto"/>
            <w:ind w:left="368" w:hangingChars="175" w:hanging="368"/>
            <w:rPr>
              <w:rFonts w:ascii="宋体" w:hAnsi="宋体" w:cs="宋体"/>
              <w:kern w:val="0"/>
            </w:rPr>
          </w:pPr>
          <w:r>
            <w:rPr>
              <w:rFonts w:ascii="宋体" w:hAnsi="宋体" w:cs="宋体"/>
              <w:kern w:val="0"/>
            </w:rPr>
            <w:t>是否存在半数</w:t>
          </w:r>
          <w:r>
            <w:rPr>
              <w:rFonts w:ascii="宋体" w:hAnsi="宋体" w:cs="宋体" w:hint="eastAsia"/>
              <w:kern w:val="0"/>
            </w:rPr>
            <w:t>以上</w:t>
          </w:r>
          <w:r>
            <w:rPr>
              <w:rFonts w:ascii="宋体" w:hAnsi="宋体" w:cs="宋体"/>
              <w:kern w:val="0"/>
            </w:rPr>
            <w:t>董事无法保证公司所披露</w:t>
          </w:r>
          <w:r>
            <w:rPr>
              <w:rFonts w:ascii="宋体" w:hAnsi="宋体" w:cs="宋体" w:hint="eastAsia"/>
              <w:kern w:val="0"/>
            </w:rPr>
            <w:t>半</w:t>
          </w:r>
          <w:r>
            <w:rPr>
              <w:rFonts w:ascii="宋体" w:hAnsi="宋体" w:cs="宋体"/>
              <w:kern w:val="0"/>
            </w:rPr>
            <w:t>年度报告的真实性、准确性和完整性</w:t>
          </w:r>
          <w:bookmarkEnd w:id="1"/>
        </w:p>
        <w:sdt>
          <w:sdtPr>
            <w:rPr>
              <w:rFonts w:hint="eastAsia"/>
            </w:rPr>
            <w:alias w:val="是否存在半数以上董事无法保证公司所披露年度报告的真实性、准确性和完整性"/>
            <w:tag w:val="_GBC_016ca2a0d8c2429a89679ee7fdc015c2"/>
            <w:id w:val="1915810464"/>
            <w:lock w:val="sdtLocked"/>
            <w:placeholder>
              <w:docPart w:val="GBC22222222222222222222222222222"/>
            </w:placeholder>
            <w:comboBox>
              <w:listItem w:displayText="是" w:value="是"/>
              <w:listItem w:displayText="否" w:value="否"/>
            </w:comboBox>
          </w:sdtPr>
          <w:sdtEndPr/>
          <w:sdtContent>
            <w:p w14:paraId="32EC74B2" w14:textId="77777777" w:rsidR="00830E72" w:rsidRDefault="008344D8">
              <w:r>
                <w:rPr>
                  <w:rFonts w:hint="eastAsia"/>
                </w:rPr>
                <w:t>否</w:t>
              </w:r>
            </w:p>
          </w:sdtContent>
        </w:sdt>
        <w:p w14:paraId="34459047" w14:textId="77777777" w:rsidR="00830E72" w:rsidRDefault="00D44830">
          <w:pPr>
            <w:rPr>
              <w:szCs w:val="21"/>
            </w:rPr>
          </w:pPr>
        </w:p>
      </w:sdtContent>
    </w:sdt>
    <w:bookmarkEnd w:id="2" w:displacedByCustomXml="next"/>
    <w:sdt>
      <w:sdtPr>
        <w:rPr>
          <w:rFonts w:ascii="宋体" w:hAnsi="宋体" w:cs="宋体"/>
          <w:b w:val="0"/>
          <w:bCs w:val="0"/>
          <w:kern w:val="0"/>
          <w:szCs w:val="24"/>
        </w:rPr>
        <w:alias w:val="模块:重大风险提示"/>
        <w:tag w:val="_SEC_765dd5e867e04417bfcc7ba07f902949"/>
        <w:id w:val="-1847018037"/>
        <w:lock w:val="sdtLocked"/>
        <w:placeholder>
          <w:docPart w:val="GBC22222222222222222222222222222"/>
        </w:placeholder>
      </w:sdtPr>
      <w:sdtEndPr>
        <w:rPr>
          <w:rFonts w:hint="eastAsia"/>
        </w:rPr>
      </w:sdtEndPr>
      <w:sdtContent>
        <w:p w14:paraId="6BBCD5CC" w14:textId="77777777" w:rsidR="00830E72" w:rsidRDefault="008344D8" w:rsidP="004925F0">
          <w:pPr>
            <w:pStyle w:val="2"/>
            <w:numPr>
              <w:ilvl w:val="0"/>
              <w:numId w:val="1"/>
            </w:numPr>
            <w:tabs>
              <w:tab w:val="left" w:pos="644"/>
            </w:tabs>
            <w:spacing w:before="0" w:after="0" w:line="360" w:lineRule="auto"/>
            <w:ind w:left="368" w:hangingChars="175" w:hanging="368"/>
            <w:rPr>
              <w:rFonts w:ascii="宋体" w:hAnsi="宋体"/>
            </w:rPr>
          </w:pPr>
          <w:r>
            <w:rPr>
              <w:rFonts w:ascii="宋体" w:hAnsi="宋体"/>
            </w:rPr>
            <w:t>重大风险提示</w:t>
          </w:r>
        </w:p>
        <w:sdt>
          <w:sdtPr>
            <w:rPr>
              <w:rFonts w:hint="eastAsia"/>
              <w:szCs w:val="21"/>
            </w:rPr>
            <w:alias w:val="重大风险提示"/>
            <w:tag w:val="_GBC_d0220f8592e64dd1b898937e183da1e3"/>
            <w:id w:val="26228695"/>
            <w:lock w:val="sdtLocked"/>
            <w:placeholder>
              <w:docPart w:val="GBC22222222222222222222222222222"/>
            </w:placeholder>
          </w:sdtPr>
          <w:sdtEndPr/>
          <w:sdtContent>
            <w:p w14:paraId="4662E36D" w14:textId="3DF6F798" w:rsidR="00830E72" w:rsidRDefault="008344D8">
              <w:pPr>
                <w:ind w:firstLineChars="200" w:firstLine="420"/>
                <w:rPr>
                  <w:szCs w:val="21"/>
                </w:rPr>
              </w:pPr>
              <w:r>
                <w:rPr>
                  <w:rFonts w:hint="eastAsia"/>
                  <w:szCs w:val="21"/>
                </w:rPr>
                <w:t>报告期内，公司不存在重大风险事项。公司已在本报告中详细描述了可能面对的风险，</w:t>
              </w:r>
              <w:r>
                <w:rPr>
                  <w:szCs w:val="21"/>
                </w:rPr>
                <w:t xml:space="preserve"> 敬请查阅本报告“第</w:t>
              </w:r>
              <w:r>
                <w:rPr>
                  <w:rFonts w:hint="eastAsia"/>
                  <w:szCs w:val="21"/>
                </w:rPr>
                <w:t>三</w:t>
              </w:r>
              <w:r>
                <w:rPr>
                  <w:szCs w:val="21"/>
                </w:rPr>
                <w:t xml:space="preserve">节 </w:t>
              </w:r>
              <w:r>
                <w:rPr>
                  <w:rFonts w:hint="eastAsia"/>
                  <w:szCs w:val="21"/>
                </w:rPr>
                <w:t>管理层</w:t>
              </w:r>
              <w:r>
                <w:rPr>
                  <w:szCs w:val="21"/>
                </w:rPr>
                <w:t xml:space="preserve">讨论与分析 </w:t>
              </w:r>
              <w:r>
                <w:rPr>
                  <w:rFonts w:hint="eastAsia"/>
                  <w:szCs w:val="21"/>
                </w:rPr>
                <w:t>五</w:t>
              </w:r>
              <w:r>
                <w:rPr>
                  <w:szCs w:val="21"/>
                </w:rPr>
                <w:t>、其他披露事项（</w:t>
              </w:r>
              <w:r w:rsidR="0096566F">
                <w:rPr>
                  <w:rFonts w:hint="eastAsia"/>
                  <w:szCs w:val="21"/>
                </w:rPr>
                <w:t>一</w:t>
              </w:r>
              <w:r>
                <w:rPr>
                  <w:szCs w:val="21"/>
                </w:rPr>
                <w:t>）可能面对的风险”中相关陈述。</w:t>
              </w:r>
            </w:p>
          </w:sdtContent>
        </w:sdt>
      </w:sdtContent>
    </w:sdt>
    <w:p w14:paraId="5ABBB13A" w14:textId="77777777" w:rsidR="00830E72" w:rsidRDefault="00830E72">
      <w:pPr>
        <w:rPr>
          <w:szCs w:val="21"/>
        </w:rPr>
      </w:pPr>
    </w:p>
    <w:sdt>
      <w:sdtPr>
        <w:rPr>
          <w:rFonts w:ascii="宋体" w:hAnsi="宋体" w:cs="宋体"/>
          <w:b w:val="0"/>
          <w:bCs w:val="0"/>
          <w:kern w:val="0"/>
          <w:sz w:val="24"/>
          <w:szCs w:val="24"/>
        </w:rPr>
        <w:alias w:val="模块:重要提示的其他情况说明"/>
        <w:tag w:val="_GBC_b8bb35c675b44fbdaf150c1114447d89"/>
        <w:id w:val="-1000497758"/>
        <w:lock w:val="sdtLocked"/>
        <w:placeholder>
          <w:docPart w:val="GBC22222222222222222222222222222"/>
        </w:placeholder>
      </w:sdtPr>
      <w:sdtEndPr>
        <w:rPr>
          <w:sz w:val="21"/>
        </w:rPr>
      </w:sdtEndPr>
      <w:sdtContent>
        <w:p w14:paraId="6D8AD5BC" w14:textId="77777777" w:rsidR="00830E72" w:rsidRDefault="008344D8">
          <w:pPr>
            <w:pStyle w:val="2"/>
            <w:numPr>
              <w:ilvl w:val="0"/>
              <w:numId w:val="1"/>
            </w:numPr>
            <w:tabs>
              <w:tab w:val="left" w:pos="588"/>
              <w:tab w:val="left" w:pos="644"/>
              <w:tab w:val="left" w:pos="672"/>
            </w:tabs>
            <w:spacing w:before="0" w:after="0" w:line="360" w:lineRule="auto"/>
            <w:ind w:left="420" w:hangingChars="175"/>
            <w:rPr>
              <w:rFonts w:ascii="宋体" w:hAnsi="宋体"/>
              <w:sz w:val="24"/>
              <w:szCs w:val="24"/>
            </w:rPr>
          </w:pPr>
          <w:r>
            <w:rPr>
              <w:rFonts w:ascii="宋体" w:hAnsi="宋体" w:hint="eastAsia"/>
              <w:sz w:val="24"/>
              <w:szCs w:val="24"/>
            </w:rPr>
            <w:t>其他</w:t>
          </w:r>
        </w:p>
        <w:sdt>
          <w:sdtPr>
            <w:alias w:val="是否适用：其他重要提示[双击切换]"/>
            <w:tag w:val="_GBC_3a91363d913942688077b069148debc5"/>
            <w:id w:val="-2130466840"/>
            <w:lock w:val="sdtLocked"/>
            <w:placeholder>
              <w:docPart w:val="GBC22222222222222222222222222222"/>
            </w:placeholder>
          </w:sdtPr>
          <w:sdtEndPr/>
          <w:sdtContent>
            <w:p w14:paraId="02367B12"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F1C190F" w14:textId="77777777" w:rsidR="00830E72" w:rsidRDefault="00830E72">
      <w:pPr>
        <w:rPr>
          <w:szCs w:val="21"/>
        </w:rPr>
        <w:sectPr w:rsidR="00830E72">
          <w:headerReference w:type="default" r:id="rId13"/>
          <w:footerReference w:type="default" r:id="rId14"/>
          <w:pgSz w:w="11906" w:h="16838"/>
          <w:pgMar w:top="1525" w:right="1276" w:bottom="1440" w:left="1797" w:header="855" w:footer="992" w:gutter="0"/>
          <w:cols w:space="425"/>
          <w:docGrid w:linePitch="312"/>
        </w:sectPr>
      </w:pPr>
      <w:bookmarkStart w:id="3" w:name="_Hlk77601368"/>
      <w:bookmarkEnd w:id="3"/>
    </w:p>
    <w:p w14:paraId="73FA4524" w14:textId="77777777" w:rsidR="00830E72" w:rsidRDefault="00830E72">
      <w:pPr>
        <w:rPr>
          <w:szCs w:val="21"/>
        </w:rPr>
      </w:pPr>
    </w:p>
    <w:p w14:paraId="633B6E30" w14:textId="77777777" w:rsidR="00830E72" w:rsidRDefault="008344D8">
      <w:pPr>
        <w:kinsoku w:val="0"/>
        <w:overflowPunct w:val="0"/>
        <w:autoSpaceDE w:val="0"/>
        <w:autoSpaceDN w:val="0"/>
        <w:adjustRightInd w:val="0"/>
        <w:snapToGrid w:val="0"/>
        <w:spacing w:line="360" w:lineRule="exact"/>
        <w:jc w:val="center"/>
        <w:rPr>
          <w:noProof/>
        </w:rPr>
      </w:pPr>
      <w:r>
        <w:rPr>
          <w:rFonts w:hint="eastAsia"/>
          <w:b/>
          <w:sz w:val="32"/>
          <w:szCs w:val="32"/>
        </w:rPr>
        <w:t>目录</w:t>
      </w:r>
      <w:r>
        <w:rPr>
          <w:shd w:val="pct10" w:color="auto" w:fill="FFFFFF"/>
        </w:rPr>
        <w:fldChar w:fldCharType="begin"/>
      </w:r>
      <w:r>
        <w:rPr>
          <w:shd w:val="pct10" w:color="auto" w:fill="FFFFFF"/>
        </w:rPr>
        <w:instrText xml:space="preserve"> TOC \o "1-1" \h \z \u </w:instrText>
      </w:r>
      <w:r>
        <w:rPr>
          <w:shd w:val="pct10" w:color="auto" w:fill="FFFFFF"/>
        </w:rPr>
        <w:fldChar w:fldCharType="separate"/>
      </w:r>
    </w:p>
    <w:p w14:paraId="79FF07DE" w14:textId="41C30297" w:rsidR="00830E72" w:rsidRDefault="00D44830">
      <w:pPr>
        <w:pStyle w:val="TOC1"/>
        <w:rPr>
          <w:rFonts w:asciiTheme="minorHAnsi" w:eastAsiaTheme="minorEastAsia" w:hAnsiTheme="minorHAnsi" w:cstheme="minorBidi"/>
          <w:noProof/>
          <w:szCs w:val="22"/>
        </w:rPr>
      </w:pPr>
      <w:hyperlink w:anchor="_Toc79503142" w:history="1">
        <w:r w:rsidR="008344D8">
          <w:rPr>
            <w:rStyle w:val="aff2"/>
            <w:rFonts w:ascii="黑体" w:hAnsi="黑体"/>
            <w:noProof/>
          </w:rPr>
          <w:t>第一节</w:t>
        </w:r>
        <w:r w:rsidR="008344D8">
          <w:rPr>
            <w:rFonts w:asciiTheme="minorHAnsi" w:eastAsiaTheme="minorEastAsia" w:hAnsiTheme="minorHAnsi" w:cstheme="minorBidi"/>
            <w:noProof/>
            <w:szCs w:val="22"/>
          </w:rPr>
          <w:tab/>
        </w:r>
        <w:r w:rsidR="008344D8">
          <w:rPr>
            <w:rStyle w:val="aff2"/>
            <w:rFonts w:ascii="黑体" w:hAnsi="黑体"/>
            <w:noProof/>
          </w:rPr>
          <w:t>释义</w:t>
        </w:r>
        <w:r w:rsidR="008344D8">
          <w:rPr>
            <w:noProof/>
          </w:rPr>
          <w:tab/>
        </w:r>
        <w:r w:rsidR="008344D8">
          <w:rPr>
            <w:noProof/>
          </w:rPr>
          <w:fldChar w:fldCharType="begin"/>
        </w:r>
        <w:r w:rsidR="008344D8">
          <w:rPr>
            <w:noProof/>
          </w:rPr>
          <w:instrText xml:space="preserve"> PAGEREF _Toc79503142 \h </w:instrText>
        </w:r>
        <w:r w:rsidR="008344D8">
          <w:rPr>
            <w:noProof/>
          </w:rPr>
        </w:r>
        <w:r w:rsidR="008344D8">
          <w:rPr>
            <w:noProof/>
          </w:rPr>
          <w:fldChar w:fldCharType="separate"/>
        </w:r>
        <w:r w:rsidR="0060018B">
          <w:rPr>
            <w:noProof/>
          </w:rPr>
          <w:t>4</w:t>
        </w:r>
        <w:r w:rsidR="008344D8">
          <w:rPr>
            <w:noProof/>
          </w:rPr>
          <w:fldChar w:fldCharType="end"/>
        </w:r>
      </w:hyperlink>
    </w:p>
    <w:p w14:paraId="47DDC716" w14:textId="2CF4CB1A" w:rsidR="00830E72" w:rsidRDefault="00D44830">
      <w:pPr>
        <w:pStyle w:val="TOC1"/>
        <w:rPr>
          <w:rFonts w:asciiTheme="minorHAnsi" w:eastAsiaTheme="minorEastAsia" w:hAnsiTheme="minorHAnsi" w:cstheme="minorBidi"/>
          <w:noProof/>
          <w:szCs w:val="22"/>
        </w:rPr>
      </w:pPr>
      <w:hyperlink w:anchor="_Toc79503143" w:history="1">
        <w:r w:rsidR="008344D8">
          <w:rPr>
            <w:rStyle w:val="aff2"/>
            <w:rFonts w:ascii="黑体" w:hAnsi="黑体"/>
            <w:noProof/>
          </w:rPr>
          <w:t>第二节</w:t>
        </w:r>
        <w:r w:rsidR="008344D8">
          <w:rPr>
            <w:rFonts w:asciiTheme="minorHAnsi" w:eastAsiaTheme="minorEastAsia" w:hAnsiTheme="minorHAnsi" w:cstheme="minorBidi"/>
            <w:noProof/>
            <w:szCs w:val="22"/>
          </w:rPr>
          <w:tab/>
        </w:r>
        <w:r w:rsidR="008344D8">
          <w:rPr>
            <w:rStyle w:val="aff2"/>
            <w:rFonts w:ascii="黑体" w:hAnsi="黑体"/>
            <w:noProof/>
          </w:rPr>
          <w:t>公司简介和主要财务指标</w:t>
        </w:r>
        <w:r w:rsidR="008344D8">
          <w:rPr>
            <w:noProof/>
          </w:rPr>
          <w:tab/>
        </w:r>
        <w:r w:rsidR="008344D8">
          <w:rPr>
            <w:noProof/>
          </w:rPr>
          <w:fldChar w:fldCharType="begin"/>
        </w:r>
        <w:r w:rsidR="008344D8">
          <w:rPr>
            <w:noProof/>
          </w:rPr>
          <w:instrText xml:space="preserve"> PAGEREF _Toc79503143 \h </w:instrText>
        </w:r>
        <w:r w:rsidR="008344D8">
          <w:rPr>
            <w:noProof/>
          </w:rPr>
        </w:r>
        <w:r w:rsidR="008344D8">
          <w:rPr>
            <w:noProof/>
          </w:rPr>
          <w:fldChar w:fldCharType="separate"/>
        </w:r>
        <w:r w:rsidR="0060018B">
          <w:rPr>
            <w:noProof/>
          </w:rPr>
          <w:t>5</w:t>
        </w:r>
        <w:r w:rsidR="008344D8">
          <w:rPr>
            <w:noProof/>
          </w:rPr>
          <w:fldChar w:fldCharType="end"/>
        </w:r>
      </w:hyperlink>
    </w:p>
    <w:p w14:paraId="222B5F26" w14:textId="7876215B" w:rsidR="00830E72" w:rsidRDefault="00D44830">
      <w:pPr>
        <w:pStyle w:val="TOC1"/>
        <w:rPr>
          <w:rFonts w:asciiTheme="minorHAnsi" w:eastAsiaTheme="minorEastAsia" w:hAnsiTheme="minorHAnsi" w:cstheme="minorBidi"/>
          <w:noProof/>
          <w:szCs w:val="22"/>
        </w:rPr>
      </w:pPr>
      <w:hyperlink w:anchor="_Toc79503144" w:history="1">
        <w:r w:rsidR="008344D8">
          <w:rPr>
            <w:rStyle w:val="aff2"/>
            <w:rFonts w:ascii="黑体" w:hAnsi="黑体"/>
            <w:noProof/>
          </w:rPr>
          <w:t>第三节</w:t>
        </w:r>
        <w:r w:rsidR="008344D8">
          <w:rPr>
            <w:rFonts w:asciiTheme="minorHAnsi" w:eastAsiaTheme="minorEastAsia" w:hAnsiTheme="minorHAnsi" w:cstheme="minorBidi"/>
            <w:noProof/>
            <w:szCs w:val="22"/>
          </w:rPr>
          <w:tab/>
        </w:r>
        <w:r w:rsidR="008344D8">
          <w:rPr>
            <w:rStyle w:val="aff2"/>
            <w:rFonts w:ascii="黑体" w:hAnsi="黑体"/>
            <w:noProof/>
          </w:rPr>
          <w:t>管理层讨论与分析</w:t>
        </w:r>
        <w:r w:rsidR="008344D8">
          <w:rPr>
            <w:noProof/>
          </w:rPr>
          <w:tab/>
        </w:r>
        <w:r w:rsidR="008344D8">
          <w:rPr>
            <w:noProof/>
          </w:rPr>
          <w:fldChar w:fldCharType="begin"/>
        </w:r>
        <w:r w:rsidR="008344D8">
          <w:rPr>
            <w:noProof/>
          </w:rPr>
          <w:instrText xml:space="preserve"> PAGEREF _Toc79503144 \h </w:instrText>
        </w:r>
        <w:r w:rsidR="008344D8">
          <w:rPr>
            <w:noProof/>
          </w:rPr>
        </w:r>
        <w:r w:rsidR="008344D8">
          <w:rPr>
            <w:noProof/>
          </w:rPr>
          <w:fldChar w:fldCharType="separate"/>
        </w:r>
        <w:r w:rsidR="0060018B">
          <w:rPr>
            <w:noProof/>
          </w:rPr>
          <w:t>7</w:t>
        </w:r>
        <w:r w:rsidR="008344D8">
          <w:rPr>
            <w:noProof/>
          </w:rPr>
          <w:fldChar w:fldCharType="end"/>
        </w:r>
      </w:hyperlink>
    </w:p>
    <w:p w14:paraId="74EE0B92" w14:textId="37A90C29" w:rsidR="00830E72" w:rsidRDefault="00D44830">
      <w:pPr>
        <w:pStyle w:val="TOC1"/>
        <w:rPr>
          <w:rFonts w:asciiTheme="minorHAnsi" w:eastAsiaTheme="minorEastAsia" w:hAnsiTheme="minorHAnsi" w:cstheme="minorBidi"/>
          <w:noProof/>
          <w:szCs w:val="22"/>
        </w:rPr>
      </w:pPr>
      <w:hyperlink w:anchor="_Toc79503145" w:history="1">
        <w:r w:rsidR="008344D8">
          <w:rPr>
            <w:rStyle w:val="aff2"/>
            <w:rFonts w:ascii="黑体" w:hAnsi="黑体"/>
            <w:noProof/>
          </w:rPr>
          <w:t>第四节</w:t>
        </w:r>
        <w:r w:rsidR="008344D8">
          <w:rPr>
            <w:rFonts w:asciiTheme="minorHAnsi" w:eastAsiaTheme="minorEastAsia" w:hAnsiTheme="minorHAnsi" w:cstheme="minorBidi"/>
            <w:noProof/>
            <w:szCs w:val="22"/>
          </w:rPr>
          <w:tab/>
        </w:r>
        <w:r w:rsidR="008344D8">
          <w:rPr>
            <w:rStyle w:val="aff2"/>
            <w:rFonts w:ascii="黑体" w:hAnsi="黑体"/>
            <w:noProof/>
          </w:rPr>
          <w:t>公司治理</w:t>
        </w:r>
        <w:r w:rsidR="008344D8">
          <w:rPr>
            <w:noProof/>
          </w:rPr>
          <w:tab/>
        </w:r>
        <w:r w:rsidR="008344D8">
          <w:rPr>
            <w:noProof/>
          </w:rPr>
          <w:fldChar w:fldCharType="begin"/>
        </w:r>
        <w:r w:rsidR="008344D8">
          <w:rPr>
            <w:noProof/>
          </w:rPr>
          <w:instrText xml:space="preserve"> PAGEREF _Toc79503145 \h </w:instrText>
        </w:r>
        <w:r w:rsidR="008344D8">
          <w:rPr>
            <w:noProof/>
          </w:rPr>
        </w:r>
        <w:r w:rsidR="008344D8">
          <w:rPr>
            <w:noProof/>
          </w:rPr>
          <w:fldChar w:fldCharType="separate"/>
        </w:r>
        <w:r w:rsidR="0060018B">
          <w:rPr>
            <w:noProof/>
          </w:rPr>
          <w:t>14</w:t>
        </w:r>
        <w:r w:rsidR="008344D8">
          <w:rPr>
            <w:noProof/>
          </w:rPr>
          <w:fldChar w:fldCharType="end"/>
        </w:r>
      </w:hyperlink>
    </w:p>
    <w:p w14:paraId="6B3EC6EA" w14:textId="5E4A2481" w:rsidR="00830E72" w:rsidRDefault="00D44830">
      <w:pPr>
        <w:pStyle w:val="TOC1"/>
        <w:rPr>
          <w:rFonts w:asciiTheme="minorHAnsi" w:eastAsiaTheme="minorEastAsia" w:hAnsiTheme="minorHAnsi" w:cstheme="minorBidi"/>
          <w:noProof/>
          <w:szCs w:val="22"/>
        </w:rPr>
      </w:pPr>
      <w:hyperlink w:anchor="_Toc79503146" w:history="1">
        <w:r w:rsidR="008344D8">
          <w:rPr>
            <w:rStyle w:val="aff2"/>
            <w:rFonts w:ascii="黑体" w:hAnsi="黑体"/>
            <w:noProof/>
          </w:rPr>
          <w:t>第五节</w:t>
        </w:r>
        <w:r w:rsidR="008344D8">
          <w:rPr>
            <w:rFonts w:asciiTheme="minorHAnsi" w:eastAsiaTheme="minorEastAsia" w:hAnsiTheme="minorHAnsi" w:cstheme="minorBidi"/>
            <w:noProof/>
            <w:szCs w:val="22"/>
          </w:rPr>
          <w:tab/>
        </w:r>
        <w:r w:rsidR="008344D8">
          <w:rPr>
            <w:rStyle w:val="aff2"/>
            <w:rFonts w:ascii="黑体" w:hAnsi="黑体"/>
            <w:noProof/>
          </w:rPr>
          <w:t>环境与社会责任</w:t>
        </w:r>
        <w:r w:rsidR="008344D8">
          <w:rPr>
            <w:noProof/>
          </w:rPr>
          <w:tab/>
        </w:r>
        <w:r w:rsidR="008344D8">
          <w:rPr>
            <w:noProof/>
          </w:rPr>
          <w:fldChar w:fldCharType="begin"/>
        </w:r>
        <w:r w:rsidR="008344D8">
          <w:rPr>
            <w:noProof/>
          </w:rPr>
          <w:instrText xml:space="preserve"> PAGEREF _Toc79503146 \h </w:instrText>
        </w:r>
        <w:r w:rsidR="008344D8">
          <w:rPr>
            <w:noProof/>
          </w:rPr>
        </w:r>
        <w:r w:rsidR="008344D8">
          <w:rPr>
            <w:noProof/>
          </w:rPr>
          <w:fldChar w:fldCharType="separate"/>
        </w:r>
        <w:r w:rsidR="0060018B">
          <w:rPr>
            <w:noProof/>
          </w:rPr>
          <w:t>16</w:t>
        </w:r>
        <w:r w:rsidR="008344D8">
          <w:rPr>
            <w:noProof/>
          </w:rPr>
          <w:fldChar w:fldCharType="end"/>
        </w:r>
      </w:hyperlink>
    </w:p>
    <w:p w14:paraId="6261E7FB" w14:textId="76FBD151" w:rsidR="00830E72" w:rsidRDefault="00D44830">
      <w:pPr>
        <w:pStyle w:val="TOC1"/>
        <w:rPr>
          <w:rFonts w:asciiTheme="minorHAnsi" w:eastAsiaTheme="minorEastAsia" w:hAnsiTheme="minorHAnsi" w:cstheme="minorBidi"/>
          <w:noProof/>
          <w:szCs w:val="22"/>
        </w:rPr>
      </w:pPr>
      <w:hyperlink w:anchor="_Toc79503147" w:history="1">
        <w:r w:rsidR="008344D8">
          <w:rPr>
            <w:rStyle w:val="aff2"/>
            <w:rFonts w:ascii="黑体" w:hAnsi="黑体"/>
            <w:noProof/>
          </w:rPr>
          <w:t>第六节</w:t>
        </w:r>
        <w:r w:rsidR="008344D8">
          <w:rPr>
            <w:rFonts w:asciiTheme="minorHAnsi" w:eastAsiaTheme="minorEastAsia" w:hAnsiTheme="minorHAnsi" w:cstheme="minorBidi"/>
            <w:noProof/>
            <w:szCs w:val="22"/>
          </w:rPr>
          <w:tab/>
        </w:r>
        <w:r w:rsidR="008344D8">
          <w:rPr>
            <w:rStyle w:val="aff2"/>
            <w:rFonts w:ascii="黑体" w:hAnsi="黑体"/>
            <w:noProof/>
          </w:rPr>
          <w:t>重要事项</w:t>
        </w:r>
        <w:r w:rsidR="008344D8">
          <w:rPr>
            <w:noProof/>
          </w:rPr>
          <w:tab/>
        </w:r>
        <w:r w:rsidR="008344D8">
          <w:rPr>
            <w:noProof/>
          </w:rPr>
          <w:fldChar w:fldCharType="begin"/>
        </w:r>
        <w:r w:rsidR="008344D8">
          <w:rPr>
            <w:noProof/>
          </w:rPr>
          <w:instrText xml:space="preserve"> PAGEREF _Toc79503147 \h </w:instrText>
        </w:r>
        <w:r w:rsidR="008344D8">
          <w:rPr>
            <w:noProof/>
          </w:rPr>
        </w:r>
        <w:r w:rsidR="008344D8">
          <w:rPr>
            <w:noProof/>
          </w:rPr>
          <w:fldChar w:fldCharType="separate"/>
        </w:r>
        <w:r w:rsidR="0060018B">
          <w:rPr>
            <w:noProof/>
          </w:rPr>
          <w:t>17</w:t>
        </w:r>
        <w:r w:rsidR="008344D8">
          <w:rPr>
            <w:noProof/>
          </w:rPr>
          <w:fldChar w:fldCharType="end"/>
        </w:r>
      </w:hyperlink>
    </w:p>
    <w:p w14:paraId="610D7474" w14:textId="3997B0A6" w:rsidR="00830E72" w:rsidRDefault="00D44830">
      <w:pPr>
        <w:pStyle w:val="TOC1"/>
        <w:rPr>
          <w:rFonts w:asciiTheme="minorHAnsi" w:eastAsiaTheme="minorEastAsia" w:hAnsiTheme="minorHAnsi" w:cstheme="minorBidi"/>
          <w:noProof/>
          <w:szCs w:val="22"/>
        </w:rPr>
      </w:pPr>
      <w:hyperlink w:anchor="_Toc79503148" w:history="1">
        <w:r w:rsidR="008344D8">
          <w:rPr>
            <w:rStyle w:val="aff2"/>
            <w:rFonts w:ascii="黑体" w:hAnsi="黑体"/>
            <w:noProof/>
          </w:rPr>
          <w:t>第七节</w:t>
        </w:r>
        <w:r w:rsidR="008344D8">
          <w:rPr>
            <w:rFonts w:asciiTheme="minorHAnsi" w:eastAsiaTheme="minorEastAsia" w:hAnsiTheme="minorHAnsi" w:cstheme="minorBidi"/>
            <w:noProof/>
            <w:szCs w:val="22"/>
          </w:rPr>
          <w:tab/>
        </w:r>
        <w:r w:rsidR="008344D8">
          <w:rPr>
            <w:rStyle w:val="aff2"/>
            <w:rFonts w:ascii="黑体" w:hAnsi="黑体"/>
            <w:noProof/>
          </w:rPr>
          <w:t>股份变动及股东情况</w:t>
        </w:r>
        <w:r w:rsidR="008344D8">
          <w:rPr>
            <w:noProof/>
          </w:rPr>
          <w:tab/>
        </w:r>
        <w:r w:rsidR="008344D8">
          <w:rPr>
            <w:noProof/>
          </w:rPr>
          <w:fldChar w:fldCharType="begin"/>
        </w:r>
        <w:r w:rsidR="008344D8">
          <w:rPr>
            <w:noProof/>
          </w:rPr>
          <w:instrText xml:space="preserve"> PAGEREF _Toc79503148 \h </w:instrText>
        </w:r>
        <w:r w:rsidR="008344D8">
          <w:rPr>
            <w:noProof/>
          </w:rPr>
        </w:r>
        <w:r w:rsidR="008344D8">
          <w:rPr>
            <w:noProof/>
          </w:rPr>
          <w:fldChar w:fldCharType="separate"/>
        </w:r>
        <w:r w:rsidR="0060018B">
          <w:rPr>
            <w:noProof/>
          </w:rPr>
          <w:t>30</w:t>
        </w:r>
        <w:r w:rsidR="008344D8">
          <w:rPr>
            <w:noProof/>
          </w:rPr>
          <w:fldChar w:fldCharType="end"/>
        </w:r>
      </w:hyperlink>
    </w:p>
    <w:p w14:paraId="5C397209" w14:textId="5954B629" w:rsidR="00830E72" w:rsidRDefault="00D44830">
      <w:pPr>
        <w:pStyle w:val="TOC1"/>
        <w:rPr>
          <w:rFonts w:asciiTheme="minorHAnsi" w:eastAsiaTheme="minorEastAsia" w:hAnsiTheme="minorHAnsi" w:cstheme="minorBidi"/>
          <w:noProof/>
          <w:szCs w:val="22"/>
        </w:rPr>
      </w:pPr>
      <w:hyperlink w:anchor="_Toc79503149" w:history="1">
        <w:r w:rsidR="008344D8">
          <w:rPr>
            <w:rStyle w:val="aff2"/>
            <w:rFonts w:ascii="黑体" w:hAnsi="黑体"/>
            <w:noProof/>
          </w:rPr>
          <w:t>第八节</w:t>
        </w:r>
        <w:r w:rsidR="008344D8">
          <w:rPr>
            <w:rFonts w:asciiTheme="minorHAnsi" w:eastAsiaTheme="minorEastAsia" w:hAnsiTheme="minorHAnsi" w:cstheme="minorBidi"/>
            <w:noProof/>
            <w:szCs w:val="22"/>
          </w:rPr>
          <w:tab/>
        </w:r>
        <w:r w:rsidR="008344D8">
          <w:rPr>
            <w:rStyle w:val="aff2"/>
            <w:rFonts w:ascii="黑体" w:hAnsi="黑体"/>
            <w:noProof/>
          </w:rPr>
          <w:t>优先股相关情况</w:t>
        </w:r>
        <w:r w:rsidR="008344D8">
          <w:rPr>
            <w:noProof/>
          </w:rPr>
          <w:tab/>
        </w:r>
        <w:r w:rsidR="008344D8">
          <w:rPr>
            <w:noProof/>
          </w:rPr>
          <w:fldChar w:fldCharType="begin"/>
        </w:r>
        <w:r w:rsidR="008344D8">
          <w:rPr>
            <w:noProof/>
          </w:rPr>
          <w:instrText xml:space="preserve"> PAGEREF _Toc79503149 \h </w:instrText>
        </w:r>
        <w:r w:rsidR="008344D8">
          <w:rPr>
            <w:noProof/>
          </w:rPr>
        </w:r>
        <w:r w:rsidR="008344D8">
          <w:rPr>
            <w:noProof/>
          </w:rPr>
          <w:fldChar w:fldCharType="separate"/>
        </w:r>
        <w:r w:rsidR="0060018B">
          <w:rPr>
            <w:noProof/>
          </w:rPr>
          <w:t>34</w:t>
        </w:r>
        <w:r w:rsidR="008344D8">
          <w:rPr>
            <w:noProof/>
          </w:rPr>
          <w:fldChar w:fldCharType="end"/>
        </w:r>
      </w:hyperlink>
    </w:p>
    <w:p w14:paraId="22D8B2B1" w14:textId="738331B3" w:rsidR="00830E72" w:rsidRDefault="00D44830">
      <w:pPr>
        <w:pStyle w:val="TOC1"/>
        <w:rPr>
          <w:rFonts w:asciiTheme="minorHAnsi" w:eastAsiaTheme="minorEastAsia" w:hAnsiTheme="minorHAnsi" w:cstheme="minorBidi"/>
          <w:noProof/>
          <w:szCs w:val="22"/>
        </w:rPr>
      </w:pPr>
      <w:hyperlink w:anchor="_Toc79503150" w:history="1">
        <w:r w:rsidR="008344D8">
          <w:rPr>
            <w:rStyle w:val="aff2"/>
            <w:rFonts w:ascii="黑体" w:hAnsi="黑体"/>
            <w:noProof/>
          </w:rPr>
          <w:t>第九节</w:t>
        </w:r>
        <w:r w:rsidR="008344D8">
          <w:rPr>
            <w:rFonts w:asciiTheme="minorHAnsi" w:eastAsiaTheme="minorEastAsia" w:hAnsiTheme="minorHAnsi" w:cstheme="minorBidi"/>
            <w:noProof/>
            <w:szCs w:val="22"/>
          </w:rPr>
          <w:tab/>
        </w:r>
        <w:r w:rsidR="008344D8">
          <w:rPr>
            <w:rStyle w:val="aff2"/>
            <w:rFonts w:ascii="黑体" w:hAnsi="黑体"/>
            <w:noProof/>
          </w:rPr>
          <w:t>债券相关情况</w:t>
        </w:r>
        <w:r w:rsidR="008344D8">
          <w:rPr>
            <w:noProof/>
          </w:rPr>
          <w:tab/>
        </w:r>
        <w:r w:rsidR="008344D8">
          <w:rPr>
            <w:noProof/>
          </w:rPr>
          <w:fldChar w:fldCharType="begin"/>
        </w:r>
        <w:r w:rsidR="008344D8">
          <w:rPr>
            <w:noProof/>
          </w:rPr>
          <w:instrText xml:space="preserve"> PAGEREF _Toc79503150 \h </w:instrText>
        </w:r>
        <w:r w:rsidR="008344D8">
          <w:rPr>
            <w:noProof/>
          </w:rPr>
        </w:r>
        <w:r w:rsidR="008344D8">
          <w:rPr>
            <w:noProof/>
          </w:rPr>
          <w:fldChar w:fldCharType="separate"/>
        </w:r>
        <w:r w:rsidR="0060018B">
          <w:rPr>
            <w:noProof/>
          </w:rPr>
          <w:t>34</w:t>
        </w:r>
        <w:r w:rsidR="008344D8">
          <w:rPr>
            <w:noProof/>
          </w:rPr>
          <w:fldChar w:fldCharType="end"/>
        </w:r>
      </w:hyperlink>
    </w:p>
    <w:p w14:paraId="6E4BE798" w14:textId="58F3FB06" w:rsidR="00830E72" w:rsidRDefault="00D44830">
      <w:pPr>
        <w:pStyle w:val="TOC1"/>
        <w:rPr>
          <w:rFonts w:asciiTheme="minorHAnsi" w:eastAsiaTheme="minorEastAsia" w:hAnsiTheme="minorHAnsi" w:cstheme="minorBidi"/>
          <w:noProof/>
          <w:szCs w:val="22"/>
        </w:rPr>
      </w:pPr>
      <w:hyperlink w:anchor="_Toc79503151" w:history="1">
        <w:r w:rsidR="008344D8">
          <w:rPr>
            <w:rStyle w:val="aff2"/>
            <w:rFonts w:ascii="黑体" w:hAnsi="黑体"/>
            <w:noProof/>
          </w:rPr>
          <w:t>第十节</w:t>
        </w:r>
        <w:r w:rsidR="008344D8">
          <w:rPr>
            <w:rFonts w:asciiTheme="minorHAnsi" w:eastAsiaTheme="minorEastAsia" w:hAnsiTheme="minorHAnsi" w:cstheme="minorBidi"/>
            <w:noProof/>
            <w:szCs w:val="22"/>
          </w:rPr>
          <w:tab/>
        </w:r>
        <w:r w:rsidR="008344D8">
          <w:rPr>
            <w:rStyle w:val="aff2"/>
            <w:rFonts w:ascii="黑体" w:hAnsi="黑体"/>
            <w:noProof/>
          </w:rPr>
          <w:t>财务报告</w:t>
        </w:r>
        <w:r w:rsidR="008344D8">
          <w:rPr>
            <w:noProof/>
          </w:rPr>
          <w:tab/>
        </w:r>
        <w:r w:rsidR="008344D8">
          <w:rPr>
            <w:noProof/>
          </w:rPr>
          <w:fldChar w:fldCharType="begin"/>
        </w:r>
        <w:r w:rsidR="008344D8">
          <w:rPr>
            <w:noProof/>
          </w:rPr>
          <w:instrText xml:space="preserve"> PAGEREF _Toc79503151 \h </w:instrText>
        </w:r>
        <w:r w:rsidR="008344D8">
          <w:rPr>
            <w:noProof/>
          </w:rPr>
        </w:r>
        <w:r w:rsidR="008344D8">
          <w:rPr>
            <w:noProof/>
          </w:rPr>
          <w:fldChar w:fldCharType="separate"/>
        </w:r>
        <w:r w:rsidR="0060018B">
          <w:rPr>
            <w:noProof/>
          </w:rPr>
          <w:t>34</w:t>
        </w:r>
        <w:r w:rsidR="008344D8">
          <w:rPr>
            <w:noProof/>
          </w:rPr>
          <w:fldChar w:fldCharType="end"/>
        </w:r>
      </w:hyperlink>
    </w:p>
    <w:p w14:paraId="7100B45E" w14:textId="77777777" w:rsidR="00830E72" w:rsidRDefault="008344D8">
      <w:pPr>
        <w:kinsoku w:val="0"/>
        <w:overflowPunct w:val="0"/>
        <w:autoSpaceDE w:val="0"/>
        <w:autoSpaceDN w:val="0"/>
        <w:adjustRightInd w:val="0"/>
        <w:snapToGrid w:val="0"/>
        <w:spacing w:line="360" w:lineRule="exact"/>
        <w:rPr>
          <w:shd w:val="pct10" w:color="auto" w:fill="FFFFFF"/>
        </w:rPr>
      </w:pPr>
      <w:r>
        <w:rPr>
          <w:shd w:val="pct10" w:color="auto" w:fill="FFFFFF"/>
        </w:rPr>
        <w:fldChar w:fldCharType="end"/>
      </w:r>
    </w:p>
    <w:bookmarkStart w:id="4" w:name="_Hlk76111741" w:displacedByCustomXml="next"/>
    <w:sdt>
      <w:sdtPr>
        <w:rPr>
          <w:b/>
          <w:bCs/>
          <w:sz w:val="24"/>
        </w:rPr>
        <w:alias w:val="模块:备查文件目录"/>
        <w:tag w:val="_SEC_821e9eb80bde4a9883ae71815f226d98"/>
        <w:id w:val="-700704799"/>
        <w:lock w:val="sdtLocked"/>
        <w:placeholder>
          <w:docPart w:val="GBC22222222222222222222222222222"/>
        </w:placeholder>
      </w:sdtPr>
      <w:sdtEndPr>
        <w:rPr>
          <w:b w:val="0"/>
          <w:bCs w:val="0"/>
          <w:sz w:val="21"/>
        </w:rPr>
      </w:sdtEndPr>
      <w:sdtContent>
        <w:p w14:paraId="4314679E" w14:textId="77777777" w:rsidR="00830E72" w:rsidRDefault="00830E72">
          <w:pPr>
            <w:spacing w:line="360" w:lineRule="exact"/>
            <w:ind w:right="5"/>
            <w:rPr>
              <w:b/>
              <w:bCs/>
              <w:sz w:val="24"/>
            </w:rPr>
          </w:pPr>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873"/>
            <w:gridCol w:w="7020"/>
          </w:tblGrid>
          <w:sdt>
            <w:sdtPr>
              <w:alias w:val="备查文件情况"/>
              <w:tag w:val="_TUP_d1defbbd2758417a8ea21948dd35feef"/>
              <w:id w:val="1049419366"/>
              <w:lock w:val="sdtLocked"/>
              <w:placeholder>
                <w:docPart w:val="GBC11111111111111111111111111111"/>
              </w:placeholder>
            </w:sdtPr>
            <w:sdtEndPr/>
            <w:sdtContent>
              <w:tr w:rsidR="00830E72" w14:paraId="6B18068E" w14:textId="77777777">
                <w:trPr>
                  <w:cantSplit/>
                </w:trPr>
                <w:tc>
                  <w:tcPr>
                    <w:tcW w:w="1053" w:type="pct"/>
                    <w:vMerge w:val="restart"/>
                    <w:tcBorders>
                      <w:top w:val="single" w:sz="4" w:space="0" w:color="auto"/>
                      <w:left w:val="single" w:sz="4" w:space="0" w:color="auto"/>
                      <w:bottom w:val="single" w:sz="4" w:space="0" w:color="auto"/>
                      <w:right w:val="single" w:sz="4" w:space="0" w:color="auto"/>
                    </w:tcBorders>
                    <w:vAlign w:val="center"/>
                  </w:tcPr>
                  <w:sdt>
                    <w:sdtPr>
                      <w:tag w:val="_PLD_4dedc5664132424db8ffece735208815"/>
                      <w:id w:val="-643585766"/>
                      <w:lock w:val="sdtLocked"/>
                    </w:sdtPr>
                    <w:sdtEndPr/>
                    <w:sdtContent>
                      <w:p w14:paraId="00D800C7" w14:textId="77777777" w:rsidR="00830E72" w:rsidRDefault="008344D8">
                        <w:pPr>
                          <w:autoSpaceDE w:val="0"/>
                          <w:autoSpaceDN w:val="0"/>
                          <w:adjustRightInd w:val="0"/>
                          <w:jc w:val="center"/>
                        </w:pPr>
                        <w:r>
                          <w:t>备查文件目录</w:t>
                        </w:r>
                      </w:p>
                    </w:sdtContent>
                  </w:sdt>
                </w:tc>
                <w:sdt>
                  <w:sdtPr>
                    <w:alias w:val="备查文件目录"/>
                    <w:tag w:val="_GBC_b75b724a20654c669c9ce009a20dc247"/>
                    <w:id w:val="-1365288286"/>
                  </w:sdtPr>
                  <w:sdtEndPr/>
                  <w:sdtContent>
                    <w:tc>
                      <w:tcPr>
                        <w:tcW w:w="3947" w:type="pct"/>
                        <w:tcBorders>
                          <w:top w:val="single" w:sz="4" w:space="0" w:color="auto"/>
                          <w:left w:val="single" w:sz="4" w:space="0" w:color="auto"/>
                          <w:bottom w:val="single" w:sz="4" w:space="0" w:color="auto"/>
                          <w:right w:val="single" w:sz="4" w:space="0" w:color="auto"/>
                        </w:tcBorders>
                      </w:tcPr>
                      <w:p w14:paraId="79A286BD" w14:textId="77777777" w:rsidR="00830E72" w:rsidRDefault="008344D8">
                        <w:pPr>
                          <w:autoSpaceDE w:val="0"/>
                          <w:autoSpaceDN w:val="0"/>
                          <w:adjustRightInd w:val="0"/>
                        </w:pPr>
                        <w:r>
                          <w:rPr>
                            <w:rFonts w:hint="eastAsia"/>
                          </w:rPr>
                          <w:t>载有公司负责人、主管会计工作负责人、会计机构负责人（会计主管人员）签名并盖章的财务报表</w:t>
                        </w:r>
                      </w:p>
                    </w:tc>
                  </w:sdtContent>
                </w:sdt>
              </w:tr>
            </w:sdtContent>
          </w:sdt>
          <w:tr w:rsidR="00830E72" w14:paraId="7FC5B43F" w14:textId="77777777">
            <w:trPr>
              <w:cantSplit/>
            </w:trPr>
            <w:tc>
              <w:tcPr>
                <w:tcW w:w="1053" w:type="pct"/>
                <w:vMerge/>
                <w:tcBorders>
                  <w:top w:val="single" w:sz="4" w:space="0" w:color="auto"/>
                  <w:left w:val="single" w:sz="4" w:space="0" w:color="auto"/>
                  <w:bottom w:val="single" w:sz="4" w:space="0" w:color="auto"/>
                  <w:right w:val="single" w:sz="4" w:space="0" w:color="auto"/>
                </w:tcBorders>
                <w:vAlign w:val="center"/>
              </w:tcPr>
              <w:p w14:paraId="13C071BF" w14:textId="77777777" w:rsidR="00830E72" w:rsidRDefault="00830E72"/>
            </w:tc>
            <w:sdt>
              <w:sdtPr>
                <w:alias w:val="备查文件目录"/>
                <w:tag w:val="_GBC_b75b724a20654c669c9ce009a20dc247"/>
                <w:id w:val="1445884069"/>
              </w:sdtPr>
              <w:sdtEndPr/>
              <w:sdtContent>
                <w:tc>
                  <w:tcPr>
                    <w:tcW w:w="3947" w:type="pct"/>
                    <w:tcBorders>
                      <w:top w:val="single" w:sz="4" w:space="0" w:color="auto"/>
                      <w:left w:val="single" w:sz="4" w:space="0" w:color="auto"/>
                      <w:bottom w:val="single" w:sz="4" w:space="0" w:color="auto"/>
                      <w:right w:val="single" w:sz="4" w:space="0" w:color="auto"/>
                    </w:tcBorders>
                  </w:tcPr>
                  <w:p w14:paraId="58D85F1D" w14:textId="77777777" w:rsidR="00830E72" w:rsidRDefault="008344D8">
                    <w:pPr>
                      <w:autoSpaceDE w:val="0"/>
                      <w:autoSpaceDN w:val="0"/>
                      <w:adjustRightInd w:val="0"/>
                    </w:pPr>
                    <w:r>
                      <w:rPr>
                        <w:rFonts w:hint="eastAsia"/>
                      </w:rPr>
                      <w:t>报告期内在中国证监会指定网站上公开披露过的所有公司文件的正本及公告的原稿</w:t>
                    </w:r>
                  </w:p>
                </w:tc>
              </w:sdtContent>
            </w:sdt>
          </w:tr>
        </w:tbl>
        <w:p w14:paraId="5EA0D77C" w14:textId="77777777" w:rsidR="00830E72" w:rsidRDefault="00D44830">
          <w:pPr>
            <w:spacing w:line="360" w:lineRule="exact"/>
            <w:jc w:val="right"/>
          </w:pPr>
        </w:p>
      </w:sdtContent>
    </w:sdt>
    <w:bookmarkEnd w:id="4"/>
    <w:p w14:paraId="5B77A0F6" w14:textId="77777777" w:rsidR="00830E72" w:rsidRDefault="00830E72">
      <w:pPr>
        <w:kinsoku w:val="0"/>
        <w:overflowPunct w:val="0"/>
        <w:autoSpaceDE w:val="0"/>
        <w:autoSpaceDN w:val="0"/>
        <w:adjustRightInd w:val="0"/>
        <w:snapToGrid w:val="0"/>
        <w:spacing w:line="360" w:lineRule="exact"/>
        <w:rPr>
          <w:szCs w:val="21"/>
          <w:shd w:val="pct10" w:color="auto" w:fill="FFFFFF"/>
        </w:rPr>
      </w:pPr>
    </w:p>
    <w:p w14:paraId="1766F34F" w14:textId="77777777" w:rsidR="00830E72" w:rsidRDefault="008344D8">
      <w:pPr>
        <w:rPr>
          <w:szCs w:val="21"/>
        </w:rPr>
      </w:pPr>
      <w:r>
        <w:rPr>
          <w:szCs w:val="21"/>
        </w:rPr>
        <w:br w:type="page"/>
      </w:r>
    </w:p>
    <w:p w14:paraId="6390CD6D" w14:textId="3CD57895" w:rsidR="00830E72" w:rsidRDefault="008344D8" w:rsidP="00741DB7">
      <w:pPr>
        <w:pStyle w:val="1"/>
        <w:numPr>
          <w:ilvl w:val="0"/>
          <w:numId w:val="2"/>
        </w:numPr>
        <w:jc w:val="left"/>
        <w:rPr>
          <w:rFonts w:ascii="黑体" w:hAnsi="黑体"/>
        </w:rPr>
      </w:pPr>
      <w:bookmarkStart w:id="5" w:name="_Toc79503142"/>
      <w:bookmarkStart w:id="6" w:name="_Toc342565880"/>
      <w:r>
        <w:rPr>
          <w:rFonts w:ascii="黑体" w:hAnsi="黑体" w:hint="eastAsia"/>
        </w:rPr>
        <w:lastRenderedPageBreak/>
        <w:t>释义</w:t>
      </w:r>
      <w:bookmarkEnd w:id="5"/>
    </w:p>
    <w:sdt>
      <w:sdtPr>
        <w:rPr>
          <w:b/>
          <w:bCs/>
          <w:sz w:val="24"/>
          <w:szCs w:val="22"/>
        </w:rPr>
        <w:alias w:val="模块:释义"/>
        <w:tag w:val="_GBC_5d2d156d1e654b289921f6ca279d0332"/>
        <w:id w:val="579341805"/>
        <w:lock w:val="sdtLocked"/>
        <w:placeholder>
          <w:docPart w:val="GBC22222222222222222222222222222"/>
        </w:placeholder>
      </w:sdtPr>
      <w:sdtEndPr>
        <w:rPr>
          <w:b w:val="0"/>
          <w:bCs w:val="0"/>
          <w:sz w:val="21"/>
          <w:szCs w:val="24"/>
        </w:rPr>
      </w:sdtEndPr>
      <w:sdtContent>
        <w:p w14:paraId="4525C37C" w14:textId="77777777" w:rsidR="00830E72" w:rsidRDefault="008344D8">
          <w:pPr>
            <w:rPr>
              <w:szCs w:val="21"/>
            </w:rPr>
          </w:pPr>
          <w:r>
            <w:rPr>
              <w:szCs w:val="21"/>
            </w:rPr>
            <w:t>在本报告书中，除非文义另有所指，下列词语具有如下含义：</w:t>
          </w:r>
        </w:p>
        <w:tbl>
          <w:tblPr>
            <w:tblStyle w:val="aff0"/>
            <w:tblW w:w="0" w:type="auto"/>
            <w:tblLook w:val="04A0" w:firstRow="1" w:lastRow="0" w:firstColumn="1" w:lastColumn="0" w:noHBand="0" w:noVBand="1"/>
          </w:tblPr>
          <w:tblGrid>
            <w:gridCol w:w="3936"/>
            <w:gridCol w:w="850"/>
            <w:gridCol w:w="4262"/>
          </w:tblGrid>
          <w:tr w:rsidR="00830E72" w14:paraId="4A9BCF57" w14:textId="77777777">
            <w:sdt>
              <w:sdtPr>
                <w:tag w:val="_PLD_d73bff14187b49a1b1c86b56316c5e47"/>
                <w:id w:val="1565678142"/>
                <w:lock w:val="sdtLocked"/>
              </w:sdtPr>
              <w:sdtEndPr/>
              <w:sdtContent>
                <w:tc>
                  <w:tcPr>
                    <w:tcW w:w="9048" w:type="dxa"/>
                    <w:gridSpan w:val="3"/>
                  </w:tcPr>
                  <w:p w14:paraId="54C953AC" w14:textId="77777777" w:rsidR="00830E72" w:rsidRDefault="008344D8">
                    <w:pPr>
                      <w:rPr>
                        <w:szCs w:val="21"/>
                      </w:rPr>
                    </w:pPr>
                    <w:r>
                      <w:rPr>
                        <w:szCs w:val="21"/>
                      </w:rPr>
                      <w:t>常用词语释义</w:t>
                    </w:r>
                  </w:p>
                </w:tc>
              </w:sdtContent>
            </w:sdt>
          </w:tr>
          <w:sdt>
            <w:sdtPr>
              <w:rPr>
                <w:rFonts w:asciiTheme="minorHAnsi" w:eastAsiaTheme="minorEastAsia" w:hAnsiTheme="minorHAnsi" w:cstheme="minorBidi" w:hint="eastAsia"/>
                <w:kern w:val="2"/>
                <w:szCs w:val="21"/>
              </w:rPr>
              <w:alias w:val="释义"/>
              <w:tag w:val="_GBC_ca5c2cb7a4e545e2b2d9d1b94b528746"/>
              <w:id w:val="-1714337032"/>
            </w:sdtPr>
            <w:sdtEndPr/>
            <w:sdtContent>
              <w:tr w:rsidR="00830E72" w14:paraId="57CE72F1" w14:textId="77777777">
                <w:tc>
                  <w:tcPr>
                    <w:tcW w:w="3936" w:type="dxa"/>
                  </w:tcPr>
                  <w:p w14:paraId="566E1EFC" w14:textId="77777777" w:rsidR="00830E72" w:rsidRDefault="008344D8">
                    <w:pPr>
                      <w:rPr>
                        <w:szCs w:val="21"/>
                      </w:rPr>
                    </w:pPr>
                    <w:r>
                      <w:t>本公司、公司、安徽交建、</w:t>
                    </w:r>
                    <w:proofErr w:type="gramStart"/>
                    <w:r>
                      <w:t>交建股份</w:t>
                    </w:r>
                    <w:proofErr w:type="gramEnd"/>
                  </w:p>
                </w:tc>
                <w:tc>
                  <w:tcPr>
                    <w:tcW w:w="850" w:type="dxa"/>
                  </w:tcPr>
                  <w:sdt>
                    <w:sdtPr>
                      <w:rPr>
                        <w:rFonts w:ascii="Times New Roman" w:hAnsi="Times New Roman" w:hint="eastAsia"/>
                        <w:szCs w:val="21"/>
                      </w:rPr>
                      <w:tag w:val="_PLD_289cf7e5c3a845d59c038a21dcd4a571"/>
                      <w:id w:val="1526129602"/>
                      <w:lock w:val="sdtLocked"/>
                    </w:sdtPr>
                    <w:sdtEndPr/>
                    <w:sdtContent>
                      <w:p w14:paraId="59A79657" w14:textId="77777777" w:rsidR="00830E72" w:rsidRDefault="008344D8">
                        <w:pPr>
                          <w:jc w:val="center"/>
                          <w:rPr>
                            <w:szCs w:val="21"/>
                            <w:highlight w:val="lightGray"/>
                          </w:rPr>
                        </w:pPr>
                        <w:r>
                          <w:rPr>
                            <w:rFonts w:hint="eastAsia"/>
                            <w:szCs w:val="21"/>
                          </w:rPr>
                          <w:t>指</w:t>
                        </w:r>
                      </w:p>
                    </w:sdtContent>
                  </w:sdt>
                </w:tc>
                <w:sdt>
                  <w:sdtPr>
                    <w:rPr>
                      <w:rFonts w:ascii="Times New Roman" w:hAnsi="Times New Roman" w:hint="eastAsia"/>
                      <w:szCs w:val="21"/>
                    </w:rPr>
                    <w:alias w:val="常用词语释义"/>
                    <w:tag w:val="_GBC_b625dd71b03542c3b074c2ce59de70ad"/>
                    <w:id w:val="35941556"/>
                    <w:lock w:val="sdtLocked"/>
                  </w:sdtPr>
                  <w:sdtEndPr/>
                  <w:sdtContent>
                    <w:tc>
                      <w:tcPr>
                        <w:tcW w:w="4262" w:type="dxa"/>
                      </w:tcPr>
                      <w:p w14:paraId="0D3F7DEC" w14:textId="77777777" w:rsidR="00830E72" w:rsidRDefault="008344D8">
                        <w:pPr>
                          <w:rPr>
                            <w:szCs w:val="21"/>
                          </w:rPr>
                        </w:pPr>
                        <w:r>
                          <w:rPr>
                            <w:rFonts w:hint="eastAsia"/>
                            <w:szCs w:val="21"/>
                          </w:rPr>
                          <w:t>安徽省交通建设股份有限公司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1633711679"/>
            </w:sdtPr>
            <w:sdtEndPr/>
            <w:sdtContent>
              <w:tr w:rsidR="00830E72" w14:paraId="51E033FE" w14:textId="77777777">
                <w:tc>
                  <w:tcPr>
                    <w:tcW w:w="3936" w:type="dxa"/>
                  </w:tcPr>
                  <w:p w14:paraId="261C67D6" w14:textId="77777777" w:rsidR="00830E72" w:rsidRDefault="008344D8">
                    <w:pPr>
                      <w:rPr>
                        <w:szCs w:val="21"/>
                      </w:rPr>
                    </w:pPr>
                    <w:r>
                      <w:t>控股股东、</w:t>
                    </w:r>
                    <w:proofErr w:type="gramStart"/>
                    <w:r>
                      <w:t>祥</w:t>
                    </w:r>
                    <w:proofErr w:type="gramEnd"/>
                    <w:r>
                      <w:t>源控股</w:t>
                    </w:r>
                  </w:p>
                </w:tc>
                <w:tc>
                  <w:tcPr>
                    <w:tcW w:w="850" w:type="dxa"/>
                  </w:tcPr>
                  <w:sdt>
                    <w:sdtPr>
                      <w:rPr>
                        <w:rFonts w:ascii="Times New Roman" w:hAnsi="Times New Roman" w:hint="eastAsia"/>
                        <w:szCs w:val="21"/>
                      </w:rPr>
                      <w:tag w:val="_PLD_289cf7e5c3a845d59c038a21dcd4a571"/>
                      <w:id w:val="1702586195"/>
                      <w:lock w:val="sdtLocked"/>
                    </w:sdtPr>
                    <w:sdtEndPr/>
                    <w:sdtContent>
                      <w:p w14:paraId="2AC83FE1" w14:textId="77777777" w:rsidR="00830E72" w:rsidRDefault="008344D8">
                        <w:pPr>
                          <w:jc w:val="center"/>
                          <w:rPr>
                            <w:szCs w:val="21"/>
                            <w:highlight w:val="lightGray"/>
                          </w:rPr>
                        </w:pPr>
                        <w:r>
                          <w:rPr>
                            <w:rFonts w:hint="eastAsia"/>
                            <w:szCs w:val="21"/>
                          </w:rPr>
                          <w:t>指</w:t>
                        </w:r>
                      </w:p>
                    </w:sdtContent>
                  </w:sdt>
                </w:tc>
                <w:sdt>
                  <w:sdtPr>
                    <w:rPr>
                      <w:rFonts w:ascii="Times New Roman" w:hAnsi="Times New Roman" w:hint="eastAsia"/>
                      <w:szCs w:val="21"/>
                    </w:rPr>
                    <w:alias w:val="常用词语释义"/>
                    <w:tag w:val="_GBC_b625dd71b03542c3b074c2ce59de70ad"/>
                    <w:id w:val="946504599"/>
                    <w:lock w:val="sdtLocked"/>
                  </w:sdtPr>
                  <w:sdtEndPr/>
                  <w:sdtContent>
                    <w:tc>
                      <w:tcPr>
                        <w:tcW w:w="4262" w:type="dxa"/>
                      </w:tcPr>
                      <w:p w14:paraId="5F476AFC" w14:textId="77777777" w:rsidR="00830E72" w:rsidRDefault="008344D8">
                        <w:pPr>
                          <w:rPr>
                            <w:szCs w:val="21"/>
                          </w:rPr>
                        </w:pPr>
                        <w:proofErr w:type="gramStart"/>
                        <w:r>
                          <w:rPr>
                            <w:rFonts w:hint="eastAsia"/>
                            <w:szCs w:val="21"/>
                          </w:rPr>
                          <w:t>祥</w:t>
                        </w:r>
                        <w:proofErr w:type="gramEnd"/>
                        <w:r>
                          <w:rPr>
                            <w:rFonts w:hint="eastAsia"/>
                            <w:szCs w:val="21"/>
                          </w:rPr>
                          <w:t>源控股集团有限责任公司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1039360245"/>
            </w:sdtPr>
            <w:sdtEndPr/>
            <w:sdtContent>
              <w:tr w:rsidR="00830E72" w14:paraId="29961DFF" w14:textId="77777777">
                <w:tc>
                  <w:tcPr>
                    <w:tcW w:w="3936" w:type="dxa"/>
                  </w:tcPr>
                  <w:p w14:paraId="21376713" w14:textId="77777777" w:rsidR="00830E72" w:rsidRDefault="008344D8">
                    <w:pPr>
                      <w:rPr>
                        <w:szCs w:val="21"/>
                      </w:rPr>
                    </w:pPr>
                    <w:r>
                      <w:t>浙</w:t>
                    </w:r>
                    <w:proofErr w:type="gramStart"/>
                    <w:r>
                      <w:t>勘</w:t>
                    </w:r>
                    <w:proofErr w:type="gramEnd"/>
                    <w:r>
                      <w:t>院</w:t>
                    </w:r>
                  </w:p>
                </w:tc>
                <w:tc>
                  <w:tcPr>
                    <w:tcW w:w="850" w:type="dxa"/>
                  </w:tcPr>
                  <w:sdt>
                    <w:sdtPr>
                      <w:rPr>
                        <w:rFonts w:ascii="Times New Roman" w:hAnsi="Times New Roman" w:hint="eastAsia"/>
                        <w:szCs w:val="21"/>
                      </w:rPr>
                      <w:tag w:val="_PLD_289cf7e5c3a845d59c038a21dcd4a571"/>
                      <w:id w:val="299344226"/>
                      <w:lock w:val="sdtLocked"/>
                    </w:sdtPr>
                    <w:sdtEndPr/>
                    <w:sdtContent>
                      <w:p w14:paraId="657A0889" w14:textId="77777777" w:rsidR="00830E72" w:rsidRDefault="008344D8">
                        <w:pPr>
                          <w:jc w:val="center"/>
                          <w:rPr>
                            <w:szCs w:val="21"/>
                            <w:highlight w:val="lightGray"/>
                          </w:rPr>
                        </w:pPr>
                        <w:r>
                          <w:rPr>
                            <w:rFonts w:hint="eastAsia"/>
                            <w:szCs w:val="21"/>
                          </w:rPr>
                          <w:t>指</w:t>
                        </w:r>
                      </w:p>
                    </w:sdtContent>
                  </w:sdt>
                </w:tc>
                <w:sdt>
                  <w:sdtPr>
                    <w:rPr>
                      <w:rFonts w:ascii="Times New Roman" w:hAnsi="Times New Roman" w:hint="eastAsia"/>
                      <w:szCs w:val="21"/>
                    </w:rPr>
                    <w:alias w:val="常用词语释义"/>
                    <w:tag w:val="_GBC_b625dd71b03542c3b074c2ce59de70ad"/>
                    <w:id w:val="-2068246711"/>
                    <w:lock w:val="sdtLocked"/>
                  </w:sdtPr>
                  <w:sdtEndPr/>
                  <w:sdtContent>
                    <w:tc>
                      <w:tcPr>
                        <w:tcW w:w="4262" w:type="dxa"/>
                      </w:tcPr>
                      <w:p w14:paraId="15A6584C" w14:textId="77777777" w:rsidR="00830E72" w:rsidRDefault="008344D8">
                        <w:pPr>
                          <w:rPr>
                            <w:szCs w:val="21"/>
                          </w:rPr>
                        </w:pPr>
                        <w:r>
                          <w:rPr>
                            <w:rFonts w:hint="eastAsia"/>
                            <w:szCs w:val="21"/>
                          </w:rPr>
                          <w:t>浙江交通勘察设计有限公司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1458989445"/>
            </w:sdtPr>
            <w:sdtEndPr/>
            <w:sdtContent>
              <w:tr w:rsidR="00830E72" w14:paraId="18AFE417" w14:textId="77777777">
                <w:tc>
                  <w:tcPr>
                    <w:tcW w:w="3936" w:type="dxa"/>
                  </w:tcPr>
                  <w:p w14:paraId="7F0996ED" w14:textId="77777777" w:rsidR="00830E72" w:rsidRDefault="008344D8">
                    <w:pPr>
                      <w:rPr>
                        <w:szCs w:val="21"/>
                      </w:rPr>
                    </w:pPr>
                    <w:r>
                      <w:t>兴源路面</w:t>
                    </w:r>
                  </w:p>
                </w:tc>
                <w:tc>
                  <w:tcPr>
                    <w:tcW w:w="850" w:type="dxa"/>
                  </w:tcPr>
                  <w:sdt>
                    <w:sdtPr>
                      <w:rPr>
                        <w:rFonts w:ascii="Times New Roman" w:hAnsi="Times New Roman" w:hint="eastAsia"/>
                        <w:szCs w:val="21"/>
                      </w:rPr>
                      <w:tag w:val="_PLD_289cf7e5c3a845d59c038a21dcd4a571"/>
                      <w:id w:val="-760613182"/>
                      <w:lock w:val="sdtLocked"/>
                    </w:sdtPr>
                    <w:sdtEndPr/>
                    <w:sdtContent>
                      <w:p w14:paraId="2DEFF364" w14:textId="77777777" w:rsidR="00830E72" w:rsidRDefault="008344D8">
                        <w:pPr>
                          <w:jc w:val="center"/>
                          <w:rPr>
                            <w:szCs w:val="21"/>
                            <w:highlight w:val="lightGray"/>
                          </w:rPr>
                        </w:pPr>
                        <w:r>
                          <w:rPr>
                            <w:rFonts w:hint="eastAsia"/>
                            <w:szCs w:val="21"/>
                          </w:rPr>
                          <w:t>指</w:t>
                        </w:r>
                      </w:p>
                    </w:sdtContent>
                  </w:sdt>
                </w:tc>
                <w:sdt>
                  <w:sdtPr>
                    <w:rPr>
                      <w:rFonts w:ascii="Times New Roman" w:hAnsi="Times New Roman" w:hint="eastAsia"/>
                      <w:szCs w:val="21"/>
                    </w:rPr>
                    <w:alias w:val="常用词语释义"/>
                    <w:tag w:val="_GBC_b625dd71b03542c3b074c2ce59de70ad"/>
                    <w:id w:val="-856038573"/>
                    <w:lock w:val="sdtLocked"/>
                  </w:sdtPr>
                  <w:sdtEndPr/>
                  <w:sdtContent>
                    <w:tc>
                      <w:tcPr>
                        <w:tcW w:w="4262" w:type="dxa"/>
                      </w:tcPr>
                      <w:p w14:paraId="69590F61" w14:textId="77777777" w:rsidR="00830E72" w:rsidRDefault="008344D8">
                        <w:pPr>
                          <w:rPr>
                            <w:szCs w:val="21"/>
                          </w:rPr>
                        </w:pPr>
                        <w:r>
                          <w:rPr>
                            <w:rFonts w:hint="eastAsia"/>
                            <w:szCs w:val="21"/>
                          </w:rPr>
                          <w:t>安徽交建兴源路面有限公司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902559116"/>
            </w:sdtPr>
            <w:sdtEndPr/>
            <w:sdtContent>
              <w:tr w:rsidR="00830E72" w14:paraId="0B017308" w14:textId="77777777">
                <w:tc>
                  <w:tcPr>
                    <w:tcW w:w="3936" w:type="dxa"/>
                  </w:tcPr>
                  <w:p w14:paraId="2ECE16C1" w14:textId="77777777" w:rsidR="00830E72" w:rsidRDefault="008344D8">
                    <w:pPr>
                      <w:rPr>
                        <w:szCs w:val="21"/>
                      </w:rPr>
                    </w:pPr>
                    <w:r>
                      <w:t>路通检测</w:t>
                    </w:r>
                  </w:p>
                </w:tc>
                <w:tc>
                  <w:tcPr>
                    <w:tcW w:w="850" w:type="dxa"/>
                  </w:tcPr>
                  <w:sdt>
                    <w:sdtPr>
                      <w:rPr>
                        <w:rFonts w:ascii="Times New Roman" w:hAnsi="Times New Roman" w:hint="eastAsia"/>
                        <w:szCs w:val="21"/>
                      </w:rPr>
                      <w:tag w:val="_PLD_289cf7e5c3a845d59c038a21dcd4a571"/>
                      <w:id w:val="2046479269"/>
                      <w:lock w:val="sdtLocked"/>
                    </w:sdtPr>
                    <w:sdtEndPr/>
                    <w:sdtContent>
                      <w:p w14:paraId="334BC022" w14:textId="77777777" w:rsidR="00830E72" w:rsidRDefault="008344D8">
                        <w:pPr>
                          <w:jc w:val="center"/>
                          <w:rPr>
                            <w:szCs w:val="21"/>
                            <w:highlight w:val="lightGray"/>
                          </w:rPr>
                        </w:pPr>
                        <w:r>
                          <w:rPr>
                            <w:rFonts w:hint="eastAsia"/>
                            <w:szCs w:val="21"/>
                          </w:rPr>
                          <w:t>指</w:t>
                        </w:r>
                      </w:p>
                    </w:sdtContent>
                  </w:sdt>
                </w:tc>
                <w:sdt>
                  <w:sdtPr>
                    <w:rPr>
                      <w:rFonts w:ascii="Times New Roman" w:hAnsi="Times New Roman" w:hint="eastAsia"/>
                      <w:szCs w:val="21"/>
                    </w:rPr>
                    <w:alias w:val="常用词语释义"/>
                    <w:tag w:val="_GBC_b625dd71b03542c3b074c2ce59de70ad"/>
                    <w:id w:val="-231550467"/>
                    <w:lock w:val="sdtLocked"/>
                  </w:sdtPr>
                  <w:sdtEndPr/>
                  <w:sdtContent>
                    <w:tc>
                      <w:tcPr>
                        <w:tcW w:w="4262" w:type="dxa"/>
                      </w:tcPr>
                      <w:p w14:paraId="7C169FE8" w14:textId="77777777" w:rsidR="00830E72" w:rsidRDefault="008344D8">
                        <w:pPr>
                          <w:rPr>
                            <w:szCs w:val="21"/>
                          </w:rPr>
                        </w:pPr>
                        <w:r>
                          <w:rPr>
                            <w:rFonts w:hint="eastAsia"/>
                            <w:szCs w:val="21"/>
                          </w:rPr>
                          <w:t>安徽省路通公路工程检测有限公司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153263257"/>
            </w:sdtPr>
            <w:sdtEndPr/>
            <w:sdtContent>
              <w:tr w:rsidR="00830E72" w14:paraId="7CA9C399" w14:textId="77777777">
                <w:tc>
                  <w:tcPr>
                    <w:tcW w:w="3936" w:type="dxa"/>
                  </w:tcPr>
                  <w:p w14:paraId="51A6B52C" w14:textId="77777777" w:rsidR="00830E72" w:rsidRDefault="008344D8">
                    <w:pPr>
                      <w:rPr>
                        <w:szCs w:val="21"/>
                      </w:rPr>
                    </w:pPr>
                    <w:r>
                      <w:t>宿松振兴</w:t>
                    </w:r>
                  </w:p>
                </w:tc>
                <w:tc>
                  <w:tcPr>
                    <w:tcW w:w="850" w:type="dxa"/>
                  </w:tcPr>
                  <w:sdt>
                    <w:sdtPr>
                      <w:rPr>
                        <w:rFonts w:ascii="Times New Roman" w:hAnsi="Times New Roman" w:hint="eastAsia"/>
                        <w:szCs w:val="21"/>
                      </w:rPr>
                      <w:tag w:val="_PLD_289cf7e5c3a845d59c038a21dcd4a571"/>
                      <w:id w:val="1477485592"/>
                      <w:lock w:val="sdtLocked"/>
                    </w:sdtPr>
                    <w:sdtEndPr/>
                    <w:sdtContent>
                      <w:p w14:paraId="03814CD4" w14:textId="77777777" w:rsidR="00830E72" w:rsidRDefault="008344D8">
                        <w:pPr>
                          <w:jc w:val="center"/>
                          <w:rPr>
                            <w:szCs w:val="21"/>
                            <w:highlight w:val="lightGray"/>
                          </w:rPr>
                        </w:pPr>
                        <w:r>
                          <w:rPr>
                            <w:rFonts w:hint="eastAsia"/>
                            <w:szCs w:val="21"/>
                          </w:rPr>
                          <w:t>指</w:t>
                        </w:r>
                      </w:p>
                    </w:sdtContent>
                  </w:sdt>
                </w:tc>
                <w:sdt>
                  <w:sdtPr>
                    <w:rPr>
                      <w:rFonts w:ascii="Times New Roman" w:hAnsi="Times New Roman" w:hint="eastAsia"/>
                      <w:szCs w:val="21"/>
                    </w:rPr>
                    <w:alias w:val="常用词语释义"/>
                    <w:tag w:val="_GBC_b625dd71b03542c3b074c2ce59de70ad"/>
                    <w:id w:val="-1581600196"/>
                    <w:lock w:val="sdtLocked"/>
                  </w:sdtPr>
                  <w:sdtEndPr/>
                  <w:sdtContent>
                    <w:tc>
                      <w:tcPr>
                        <w:tcW w:w="4262" w:type="dxa"/>
                      </w:tcPr>
                      <w:p w14:paraId="126D0D74" w14:textId="77777777" w:rsidR="00830E72" w:rsidRDefault="008344D8">
                        <w:pPr>
                          <w:rPr>
                            <w:szCs w:val="21"/>
                          </w:rPr>
                        </w:pPr>
                        <w:r>
                          <w:rPr>
                            <w:rFonts w:hint="eastAsia"/>
                            <w:szCs w:val="21"/>
                          </w:rPr>
                          <w:t>宿松县振兴基础设施管理有限责任公司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1337226982"/>
            </w:sdtPr>
            <w:sdtEndPr/>
            <w:sdtContent>
              <w:tr w:rsidR="00830E72" w14:paraId="4BC24E57" w14:textId="77777777">
                <w:tc>
                  <w:tcPr>
                    <w:tcW w:w="3936" w:type="dxa"/>
                  </w:tcPr>
                  <w:p w14:paraId="17C1C815" w14:textId="77777777" w:rsidR="00830E72" w:rsidRDefault="008344D8">
                    <w:pPr>
                      <w:rPr>
                        <w:szCs w:val="21"/>
                      </w:rPr>
                    </w:pPr>
                    <w:r>
                      <w:t>亳州祥居</w:t>
                    </w:r>
                  </w:p>
                </w:tc>
                <w:tc>
                  <w:tcPr>
                    <w:tcW w:w="850" w:type="dxa"/>
                  </w:tcPr>
                  <w:sdt>
                    <w:sdtPr>
                      <w:rPr>
                        <w:rFonts w:ascii="Times New Roman" w:hAnsi="Times New Roman" w:hint="eastAsia"/>
                        <w:szCs w:val="21"/>
                      </w:rPr>
                      <w:tag w:val="_PLD_289cf7e5c3a845d59c038a21dcd4a571"/>
                      <w:id w:val="-329212652"/>
                      <w:lock w:val="sdtLocked"/>
                    </w:sdtPr>
                    <w:sdtEndPr/>
                    <w:sdtContent>
                      <w:p w14:paraId="00259F15" w14:textId="77777777" w:rsidR="00830E72" w:rsidRDefault="008344D8">
                        <w:pPr>
                          <w:jc w:val="center"/>
                          <w:rPr>
                            <w:szCs w:val="21"/>
                            <w:highlight w:val="lightGray"/>
                          </w:rPr>
                        </w:pPr>
                        <w:r>
                          <w:rPr>
                            <w:rFonts w:hint="eastAsia"/>
                            <w:szCs w:val="21"/>
                          </w:rPr>
                          <w:t>指</w:t>
                        </w:r>
                      </w:p>
                    </w:sdtContent>
                  </w:sdt>
                </w:tc>
                <w:sdt>
                  <w:sdtPr>
                    <w:rPr>
                      <w:rFonts w:ascii="Times New Roman" w:hAnsi="Times New Roman" w:hint="eastAsia"/>
                      <w:szCs w:val="21"/>
                    </w:rPr>
                    <w:alias w:val="常用词语释义"/>
                    <w:tag w:val="_GBC_b625dd71b03542c3b074c2ce59de70ad"/>
                    <w:id w:val="1880508384"/>
                    <w:lock w:val="sdtLocked"/>
                  </w:sdtPr>
                  <w:sdtEndPr/>
                  <w:sdtContent>
                    <w:tc>
                      <w:tcPr>
                        <w:tcW w:w="4262" w:type="dxa"/>
                      </w:tcPr>
                      <w:p w14:paraId="3E5486C0" w14:textId="77777777" w:rsidR="00830E72" w:rsidRDefault="008344D8">
                        <w:pPr>
                          <w:rPr>
                            <w:szCs w:val="21"/>
                          </w:rPr>
                        </w:pPr>
                        <w:r>
                          <w:rPr>
                            <w:rFonts w:hint="eastAsia"/>
                            <w:szCs w:val="21"/>
                          </w:rPr>
                          <w:t>亳州市祥居建设工程有限公司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143047553"/>
            </w:sdtPr>
            <w:sdtEndPr/>
            <w:sdtContent>
              <w:tr w:rsidR="00830E72" w14:paraId="0914D88C" w14:textId="77777777">
                <w:tc>
                  <w:tcPr>
                    <w:tcW w:w="3936" w:type="dxa"/>
                  </w:tcPr>
                  <w:p w14:paraId="7844389E" w14:textId="77777777" w:rsidR="00830E72" w:rsidRDefault="008344D8">
                    <w:pPr>
                      <w:rPr>
                        <w:szCs w:val="21"/>
                      </w:rPr>
                    </w:pPr>
                    <w:r>
                      <w:t>明光路安</w:t>
                    </w:r>
                  </w:p>
                </w:tc>
                <w:tc>
                  <w:tcPr>
                    <w:tcW w:w="850" w:type="dxa"/>
                  </w:tcPr>
                  <w:sdt>
                    <w:sdtPr>
                      <w:rPr>
                        <w:rFonts w:ascii="Times New Roman" w:hAnsi="Times New Roman" w:hint="eastAsia"/>
                        <w:szCs w:val="21"/>
                      </w:rPr>
                      <w:tag w:val="_PLD_289cf7e5c3a845d59c038a21dcd4a571"/>
                      <w:id w:val="440735613"/>
                      <w:lock w:val="sdtLocked"/>
                    </w:sdtPr>
                    <w:sdtEndPr/>
                    <w:sdtContent>
                      <w:p w14:paraId="6C3CFD82" w14:textId="77777777" w:rsidR="00830E72" w:rsidRDefault="008344D8">
                        <w:pPr>
                          <w:jc w:val="center"/>
                          <w:rPr>
                            <w:szCs w:val="21"/>
                            <w:highlight w:val="lightGray"/>
                          </w:rPr>
                        </w:pPr>
                        <w:r>
                          <w:rPr>
                            <w:rFonts w:hint="eastAsia"/>
                            <w:szCs w:val="21"/>
                          </w:rPr>
                          <w:t>指</w:t>
                        </w:r>
                      </w:p>
                    </w:sdtContent>
                  </w:sdt>
                </w:tc>
                <w:sdt>
                  <w:sdtPr>
                    <w:rPr>
                      <w:rFonts w:ascii="Times New Roman" w:hAnsi="Times New Roman" w:hint="eastAsia"/>
                      <w:szCs w:val="21"/>
                    </w:rPr>
                    <w:alias w:val="常用词语释义"/>
                    <w:tag w:val="_GBC_b625dd71b03542c3b074c2ce59de70ad"/>
                    <w:id w:val="1347213820"/>
                    <w:lock w:val="sdtLocked"/>
                  </w:sdtPr>
                  <w:sdtEndPr/>
                  <w:sdtContent>
                    <w:tc>
                      <w:tcPr>
                        <w:tcW w:w="4262" w:type="dxa"/>
                      </w:tcPr>
                      <w:p w14:paraId="7AD644A8" w14:textId="77777777" w:rsidR="00830E72" w:rsidRDefault="008344D8">
                        <w:pPr>
                          <w:rPr>
                            <w:szCs w:val="21"/>
                          </w:rPr>
                        </w:pPr>
                        <w:r>
                          <w:rPr>
                            <w:rFonts w:hint="eastAsia"/>
                            <w:szCs w:val="21"/>
                          </w:rPr>
                          <w:t>明光市路安公路工程建设有限责任公司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1035627152"/>
            </w:sdtPr>
            <w:sdtEndPr/>
            <w:sdtContent>
              <w:tr w:rsidR="00830E72" w14:paraId="58EFCDD2" w14:textId="77777777">
                <w:tc>
                  <w:tcPr>
                    <w:tcW w:w="3936" w:type="dxa"/>
                  </w:tcPr>
                  <w:p w14:paraId="7FC41B8B" w14:textId="77777777" w:rsidR="00830E72" w:rsidRDefault="008344D8">
                    <w:pPr>
                      <w:rPr>
                        <w:szCs w:val="21"/>
                      </w:rPr>
                    </w:pPr>
                    <w:r>
                      <w:t>六安熠辉</w:t>
                    </w:r>
                  </w:p>
                </w:tc>
                <w:tc>
                  <w:tcPr>
                    <w:tcW w:w="850" w:type="dxa"/>
                  </w:tcPr>
                  <w:sdt>
                    <w:sdtPr>
                      <w:rPr>
                        <w:rFonts w:ascii="Times New Roman" w:hAnsi="Times New Roman" w:hint="eastAsia"/>
                        <w:szCs w:val="21"/>
                      </w:rPr>
                      <w:tag w:val="_PLD_289cf7e5c3a845d59c038a21dcd4a571"/>
                      <w:id w:val="171316275"/>
                      <w:lock w:val="sdtLocked"/>
                    </w:sdtPr>
                    <w:sdtEndPr/>
                    <w:sdtContent>
                      <w:p w14:paraId="2161958A" w14:textId="77777777" w:rsidR="00830E72" w:rsidRDefault="008344D8">
                        <w:pPr>
                          <w:jc w:val="center"/>
                          <w:rPr>
                            <w:szCs w:val="21"/>
                            <w:highlight w:val="lightGray"/>
                          </w:rPr>
                        </w:pPr>
                        <w:r>
                          <w:rPr>
                            <w:rFonts w:hint="eastAsia"/>
                            <w:szCs w:val="21"/>
                          </w:rPr>
                          <w:t>指</w:t>
                        </w:r>
                      </w:p>
                    </w:sdtContent>
                  </w:sdt>
                </w:tc>
                <w:sdt>
                  <w:sdtPr>
                    <w:rPr>
                      <w:rFonts w:ascii="Times New Roman" w:hAnsi="Times New Roman" w:hint="eastAsia"/>
                      <w:szCs w:val="21"/>
                    </w:rPr>
                    <w:alias w:val="常用词语释义"/>
                    <w:tag w:val="_GBC_b625dd71b03542c3b074c2ce59de70ad"/>
                    <w:id w:val="611240858"/>
                    <w:lock w:val="sdtLocked"/>
                  </w:sdtPr>
                  <w:sdtEndPr/>
                  <w:sdtContent>
                    <w:tc>
                      <w:tcPr>
                        <w:tcW w:w="4262" w:type="dxa"/>
                      </w:tcPr>
                      <w:p w14:paraId="37B2944B" w14:textId="77777777" w:rsidR="00830E72" w:rsidRDefault="008344D8">
                        <w:pPr>
                          <w:rPr>
                            <w:szCs w:val="21"/>
                          </w:rPr>
                        </w:pPr>
                        <w:r>
                          <w:rPr>
                            <w:rFonts w:hint="eastAsia"/>
                            <w:szCs w:val="21"/>
                          </w:rPr>
                          <w:t>六安熠辉交通建设有限公司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217288879"/>
            </w:sdtPr>
            <w:sdtEndPr/>
            <w:sdtContent>
              <w:tr w:rsidR="00830E72" w14:paraId="25D7345A" w14:textId="77777777">
                <w:tc>
                  <w:tcPr>
                    <w:tcW w:w="3936" w:type="dxa"/>
                  </w:tcPr>
                  <w:p w14:paraId="02B7E38F" w14:textId="77777777" w:rsidR="00830E72" w:rsidRDefault="008344D8">
                    <w:pPr>
                      <w:rPr>
                        <w:szCs w:val="21"/>
                      </w:rPr>
                    </w:pPr>
                    <w:r>
                      <w:t>为众投资</w:t>
                    </w:r>
                  </w:p>
                </w:tc>
                <w:tc>
                  <w:tcPr>
                    <w:tcW w:w="850" w:type="dxa"/>
                  </w:tcPr>
                  <w:sdt>
                    <w:sdtPr>
                      <w:rPr>
                        <w:rFonts w:ascii="Times New Roman" w:hAnsi="Times New Roman" w:hint="eastAsia"/>
                        <w:szCs w:val="21"/>
                      </w:rPr>
                      <w:tag w:val="_PLD_289cf7e5c3a845d59c038a21dcd4a571"/>
                      <w:id w:val="1589738664"/>
                      <w:lock w:val="sdtLocked"/>
                    </w:sdtPr>
                    <w:sdtEndPr/>
                    <w:sdtContent>
                      <w:p w14:paraId="63A1987F" w14:textId="77777777" w:rsidR="00830E72" w:rsidRDefault="008344D8">
                        <w:pPr>
                          <w:jc w:val="center"/>
                          <w:rPr>
                            <w:szCs w:val="21"/>
                            <w:highlight w:val="lightGray"/>
                          </w:rPr>
                        </w:pPr>
                        <w:r>
                          <w:rPr>
                            <w:rFonts w:hint="eastAsia"/>
                            <w:szCs w:val="21"/>
                          </w:rPr>
                          <w:t>指</w:t>
                        </w:r>
                      </w:p>
                    </w:sdtContent>
                  </w:sdt>
                </w:tc>
                <w:sdt>
                  <w:sdtPr>
                    <w:rPr>
                      <w:rFonts w:ascii="Times New Roman" w:hAnsi="Times New Roman" w:hint="eastAsia"/>
                      <w:szCs w:val="21"/>
                    </w:rPr>
                    <w:alias w:val="常用词语释义"/>
                    <w:tag w:val="_GBC_b625dd71b03542c3b074c2ce59de70ad"/>
                    <w:id w:val="-1903828043"/>
                    <w:lock w:val="sdtLocked"/>
                  </w:sdtPr>
                  <w:sdtEndPr/>
                  <w:sdtContent>
                    <w:tc>
                      <w:tcPr>
                        <w:tcW w:w="4262" w:type="dxa"/>
                      </w:tcPr>
                      <w:p w14:paraId="49643F24" w14:textId="77777777" w:rsidR="00830E72" w:rsidRDefault="008344D8">
                        <w:pPr>
                          <w:rPr>
                            <w:szCs w:val="21"/>
                          </w:rPr>
                        </w:pPr>
                        <w:r>
                          <w:rPr>
                            <w:rFonts w:hint="eastAsia"/>
                            <w:szCs w:val="21"/>
                          </w:rPr>
                          <w:t>黄山市为众投资管理中心（有限合伙）</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672541735"/>
            </w:sdtPr>
            <w:sdtEndPr/>
            <w:sdtContent>
              <w:tr w:rsidR="00830E72" w14:paraId="2D0B8154" w14:textId="77777777">
                <w:tc>
                  <w:tcPr>
                    <w:tcW w:w="3936" w:type="dxa"/>
                  </w:tcPr>
                  <w:p w14:paraId="4C00263A" w14:textId="77777777" w:rsidR="00830E72" w:rsidRDefault="008344D8">
                    <w:pPr>
                      <w:rPr>
                        <w:szCs w:val="21"/>
                      </w:rPr>
                    </w:pPr>
                    <w:r>
                      <w:t>行远投资</w:t>
                    </w:r>
                  </w:p>
                </w:tc>
                <w:tc>
                  <w:tcPr>
                    <w:tcW w:w="850" w:type="dxa"/>
                  </w:tcPr>
                  <w:sdt>
                    <w:sdtPr>
                      <w:rPr>
                        <w:rFonts w:ascii="Times New Roman" w:hAnsi="Times New Roman" w:hint="eastAsia"/>
                        <w:szCs w:val="21"/>
                      </w:rPr>
                      <w:tag w:val="_PLD_289cf7e5c3a845d59c038a21dcd4a571"/>
                      <w:id w:val="-778182334"/>
                      <w:lock w:val="sdtLocked"/>
                    </w:sdtPr>
                    <w:sdtEndPr/>
                    <w:sdtContent>
                      <w:p w14:paraId="3CC76E7D" w14:textId="77777777" w:rsidR="00830E72" w:rsidRDefault="008344D8">
                        <w:pPr>
                          <w:jc w:val="center"/>
                          <w:rPr>
                            <w:szCs w:val="21"/>
                            <w:highlight w:val="lightGray"/>
                          </w:rPr>
                        </w:pPr>
                        <w:r>
                          <w:rPr>
                            <w:rFonts w:hint="eastAsia"/>
                            <w:szCs w:val="21"/>
                          </w:rPr>
                          <w:t>指</w:t>
                        </w:r>
                      </w:p>
                    </w:sdtContent>
                  </w:sdt>
                </w:tc>
                <w:sdt>
                  <w:sdtPr>
                    <w:rPr>
                      <w:rFonts w:ascii="Times New Roman" w:hAnsi="Times New Roman" w:hint="eastAsia"/>
                      <w:szCs w:val="21"/>
                    </w:rPr>
                    <w:alias w:val="常用词语释义"/>
                    <w:tag w:val="_GBC_b625dd71b03542c3b074c2ce59de70ad"/>
                    <w:id w:val="372889188"/>
                    <w:lock w:val="sdtLocked"/>
                  </w:sdtPr>
                  <w:sdtEndPr/>
                  <w:sdtContent>
                    <w:tc>
                      <w:tcPr>
                        <w:tcW w:w="4262" w:type="dxa"/>
                      </w:tcPr>
                      <w:p w14:paraId="49E68F12" w14:textId="77777777" w:rsidR="00830E72" w:rsidRDefault="008344D8">
                        <w:pPr>
                          <w:rPr>
                            <w:szCs w:val="21"/>
                          </w:rPr>
                        </w:pPr>
                        <w:r>
                          <w:rPr>
                            <w:rFonts w:hint="eastAsia"/>
                            <w:szCs w:val="21"/>
                          </w:rPr>
                          <w:t>黄山市行远投资管理中心（有限合伙）</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735317916"/>
            </w:sdtPr>
            <w:sdtEndPr/>
            <w:sdtContent>
              <w:tr w:rsidR="00830E72" w14:paraId="67ED337B" w14:textId="77777777">
                <w:tc>
                  <w:tcPr>
                    <w:tcW w:w="3936" w:type="dxa"/>
                  </w:tcPr>
                  <w:p w14:paraId="2D6D3A8D" w14:textId="77777777" w:rsidR="00830E72" w:rsidRDefault="008344D8">
                    <w:pPr>
                      <w:rPr>
                        <w:szCs w:val="21"/>
                      </w:rPr>
                    </w:pPr>
                    <w:r>
                      <w:t>启建投资</w:t>
                    </w:r>
                  </w:p>
                </w:tc>
                <w:tc>
                  <w:tcPr>
                    <w:tcW w:w="850" w:type="dxa"/>
                  </w:tcPr>
                  <w:sdt>
                    <w:sdtPr>
                      <w:rPr>
                        <w:rFonts w:ascii="Times New Roman" w:hAnsi="Times New Roman" w:hint="eastAsia"/>
                        <w:szCs w:val="21"/>
                      </w:rPr>
                      <w:tag w:val="_PLD_289cf7e5c3a845d59c038a21dcd4a571"/>
                      <w:id w:val="792249561"/>
                      <w:lock w:val="sdtLocked"/>
                    </w:sdtPr>
                    <w:sdtEndPr/>
                    <w:sdtContent>
                      <w:p w14:paraId="526BEE31" w14:textId="77777777" w:rsidR="00830E72" w:rsidRDefault="008344D8">
                        <w:pPr>
                          <w:jc w:val="center"/>
                          <w:rPr>
                            <w:szCs w:val="21"/>
                            <w:highlight w:val="lightGray"/>
                          </w:rPr>
                        </w:pPr>
                        <w:r>
                          <w:rPr>
                            <w:rFonts w:hint="eastAsia"/>
                            <w:szCs w:val="21"/>
                          </w:rPr>
                          <w:t>指</w:t>
                        </w:r>
                      </w:p>
                    </w:sdtContent>
                  </w:sdt>
                </w:tc>
                <w:sdt>
                  <w:sdtPr>
                    <w:rPr>
                      <w:rFonts w:ascii="Times New Roman" w:hAnsi="Times New Roman" w:hint="eastAsia"/>
                      <w:szCs w:val="21"/>
                    </w:rPr>
                    <w:alias w:val="常用词语释义"/>
                    <w:tag w:val="_GBC_b625dd71b03542c3b074c2ce59de70ad"/>
                    <w:id w:val="507256838"/>
                    <w:lock w:val="sdtLocked"/>
                  </w:sdtPr>
                  <w:sdtEndPr/>
                  <w:sdtContent>
                    <w:tc>
                      <w:tcPr>
                        <w:tcW w:w="4262" w:type="dxa"/>
                      </w:tcPr>
                      <w:p w14:paraId="119DA5C5" w14:textId="77777777" w:rsidR="00830E72" w:rsidRDefault="008344D8">
                        <w:pPr>
                          <w:rPr>
                            <w:szCs w:val="21"/>
                          </w:rPr>
                        </w:pPr>
                        <w:r>
                          <w:rPr>
                            <w:rFonts w:hint="eastAsia"/>
                            <w:szCs w:val="21"/>
                          </w:rPr>
                          <w:t>黄山市启建投资管理中心（有限合伙）</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1999649398"/>
            </w:sdtPr>
            <w:sdtEndPr/>
            <w:sdtContent>
              <w:tr w:rsidR="00830E72" w14:paraId="76E80F2B" w14:textId="77777777">
                <w:tc>
                  <w:tcPr>
                    <w:tcW w:w="3936" w:type="dxa"/>
                  </w:tcPr>
                  <w:p w14:paraId="11DCE960" w14:textId="77777777" w:rsidR="00830E72" w:rsidRDefault="008344D8">
                    <w:pPr>
                      <w:rPr>
                        <w:szCs w:val="21"/>
                      </w:rPr>
                    </w:pPr>
                    <w:r>
                      <w:t>界首齐美</w:t>
                    </w:r>
                  </w:p>
                </w:tc>
                <w:tc>
                  <w:tcPr>
                    <w:tcW w:w="850" w:type="dxa"/>
                  </w:tcPr>
                  <w:sdt>
                    <w:sdtPr>
                      <w:rPr>
                        <w:rFonts w:ascii="Times New Roman" w:hAnsi="Times New Roman" w:hint="eastAsia"/>
                        <w:szCs w:val="21"/>
                      </w:rPr>
                      <w:tag w:val="_PLD_289cf7e5c3a845d59c038a21dcd4a571"/>
                      <w:id w:val="-1995182480"/>
                      <w:lock w:val="sdtLocked"/>
                    </w:sdtPr>
                    <w:sdtEndPr/>
                    <w:sdtContent>
                      <w:p w14:paraId="62F1CCBB" w14:textId="77777777" w:rsidR="00830E72" w:rsidRDefault="008344D8">
                        <w:pPr>
                          <w:jc w:val="center"/>
                          <w:rPr>
                            <w:szCs w:val="21"/>
                            <w:highlight w:val="lightGray"/>
                          </w:rPr>
                        </w:pPr>
                        <w:r>
                          <w:rPr>
                            <w:rFonts w:hint="eastAsia"/>
                            <w:szCs w:val="21"/>
                          </w:rPr>
                          <w:t>指</w:t>
                        </w:r>
                      </w:p>
                    </w:sdtContent>
                  </w:sdt>
                </w:tc>
                <w:sdt>
                  <w:sdtPr>
                    <w:rPr>
                      <w:rFonts w:ascii="Times New Roman" w:hAnsi="Times New Roman" w:hint="eastAsia"/>
                      <w:szCs w:val="21"/>
                    </w:rPr>
                    <w:alias w:val="常用词语释义"/>
                    <w:tag w:val="_GBC_b625dd71b03542c3b074c2ce59de70ad"/>
                    <w:id w:val="-1509210899"/>
                    <w:lock w:val="sdtLocked"/>
                  </w:sdtPr>
                  <w:sdtEndPr/>
                  <w:sdtContent>
                    <w:tc>
                      <w:tcPr>
                        <w:tcW w:w="4262" w:type="dxa"/>
                      </w:tcPr>
                      <w:p w14:paraId="71481F5C" w14:textId="77777777" w:rsidR="00830E72" w:rsidRDefault="008344D8">
                        <w:pPr>
                          <w:rPr>
                            <w:szCs w:val="21"/>
                          </w:rPr>
                        </w:pPr>
                        <w:r>
                          <w:rPr>
                            <w:rFonts w:hint="eastAsia"/>
                            <w:szCs w:val="21"/>
                          </w:rPr>
                          <w:t>界首市齐美项目管理有限公司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1372575236"/>
            </w:sdtPr>
            <w:sdtEndPr/>
            <w:sdtContent>
              <w:tr w:rsidR="00830E72" w14:paraId="47CA51F6" w14:textId="77777777">
                <w:tc>
                  <w:tcPr>
                    <w:tcW w:w="3936" w:type="dxa"/>
                  </w:tcPr>
                  <w:p w14:paraId="3F9AE37A" w14:textId="77777777" w:rsidR="00830E72" w:rsidRDefault="008344D8">
                    <w:pPr>
                      <w:rPr>
                        <w:szCs w:val="21"/>
                      </w:rPr>
                    </w:pPr>
                    <w:r>
                      <w:t>《公司法》</w:t>
                    </w:r>
                  </w:p>
                </w:tc>
                <w:tc>
                  <w:tcPr>
                    <w:tcW w:w="850" w:type="dxa"/>
                  </w:tcPr>
                  <w:sdt>
                    <w:sdtPr>
                      <w:rPr>
                        <w:rFonts w:ascii="Times New Roman" w:hAnsi="Times New Roman" w:hint="eastAsia"/>
                        <w:szCs w:val="21"/>
                      </w:rPr>
                      <w:tag w:val="_PLD_289cf7e5c3a845d59c038a21dcd4a571"/>
                      <w:id w:val="-1391647994"/>
                      <w:lock w:val="sdtLocked"/>
                    </w:sdtPr>
                    <w:sdtEndPr/>
                    <w:sdtContent>
                      <w:p w14:paraId="341586BA" w14:textId="77777777" w:rsidR="00830E72" w:rsidRDefault="008344D8">
                        <w:pPr>
                          <w:jc w:val="center"/>
                          <w:rPr>
                            <w:szCs w:val="21"/>
                            <w:highlight w:val="lightGray"/>
                          </w:rPr>
                        </w:pPr>
                        <w:r>
                          <w:rPr>
                            <w:rFonts w:hint="eastAsia"/>
                            <w:szCs w:val="21"/>
                          </w:rPr>
                          <w:t>指</w:t>
                        </w:r>
                      </w:p>
                    </w:sdtContent>
                  </w:sdt>
                </w:tc>
                <w:sdt>
                  <w:sdtPr>
                    <w:rPr>
                      <w:rFonts w:ascii="Times New Roman" w:hAnsi="Times New Roman" w:hint="eastAsia"/>
                      <w:szCs w:val="21"/>
                    </w:rPr>
                    <w:alias w:val="常用词语释义"/>
                    <w:tag w:val="_GBC_b625dd71b03542c3b074c2ce59de70ad"/>
                    <w:id w:val="-277330228"/>
                    <w:lock w:val="sdtLocked"/>
                  </w:sdtPr>
                  <w:sdtEndPr/>
                  <w:sdtContent>
                    <w:tc>
                      <w:tcPr>
                        <w:tcW w:w="4262" w:type="dxa"/>
                      </w:tcPr>
                      <w:p w14:paraId="38DE6B62" w14:textId="77777777" w:rsidR="00830E72" w:rsidRDefault="008344D8">
                        <w:pPr>
                          <w:rPr>
                            <w:szCs w:val="21"/>
                          </w:rPr>
                        </w:pPr>
                        <w:r>
                          <w:rPr>
                            <w:rFonts w:hint="eastAsia"/>
                            <w:szCs w:val="21"/>
                          </w:rPr>
                          <w:t>《中华人民共和国公司法》</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1891642799"/>
            </w:sdtPr>
            <w:sdtEndPr/>
            <w:sdtContent>
              <w:tr w:rsidR="00830E72" w14:paraId="46BCA741" w14:textId="77777777">
                <w:tc>
                  <w:tcPr>
                    <w:tcW w:w="3936" w:type="dxa"/>
                  </w:tcPr>
                  <w:p w14:paraId="37B72F85" w14:textId="77777777" w:rsidR="00830E72" w:rsidRDefault="008344D8">
                    <w:pPr>
                      <w:rPr>
                        <w:szCs w:val="21"/>
                      </w:rPr>
                    </w:pPr>
                    <w:r>
                      <w:t>《证券法》</w:t>
                    </w:r>
                  </w:p>
                </w:tc>
                <w:tc>
                  <w:tcPr>
                    <w:tcW w:w="850" w:type="dxa"/>
                  </w:tcPr>
                  <w:sdt>
                    <w:sdtPr>
                      <w:rPr>
                        <w:rFonts w:ascii="Times New Roman" w:hAnsi="Times New Roman" w:hint="eastAsia"/>
                        <w:szCs w:val="21"/>
                      </w:rPr>
                      <w:tag w:val="_PLD_289cf7e5c3a845d59c038a21dcd4a571"/>
                      <w:id w:val="-947008938"/>
                      <w:lock w:val="sdtLocked"/>
                    </w:sdtPr>
                    <w:sdtEndPr/>
                    <w:sdtContent>
                      <w:p w14:paraId="09A6E367" w14:textId="77777777" w:rsidR="00830E72" w:rsidRDefault="008344D8">
                        <w:pPr>
                          <w:jc w:val="center"/>
                          <w:rPr>
                            <w:szCs w:val="21"/>
                            <w:highlight w:val="lightGray"/>
                          </w:rPr>
                        </w:pPr>
                        <w:r>
                          <w:rPr>
                            <w:rFonts w:hint="eastAsia"/>
                            <w:szCs w:val="21"/>
                          </w:rPr>
                          <w:t>指</w:t>
                        </w:r>
                      </w:p>
                    </w:sdtContent>
                  </w:sdt>
                </w:tc>
                <w:sdt>
                  <w:sdtPr>
                    <w:rPr>
                      <w:rFonts w:ascii="Times New Roman" w:hAnsi="Times New Roman" w:hint="eastAsia"/>
                      <w:szCs w:val="21"/>
                    </w:rPr>
                    <w:alias w:val="常用词语释义"/>
                    <w:tag w:val="_GBC_b625dd71b03542c3b074c2ce59de70ad"/>
                    <w:id w:val="-1212885448"/>
                    <w:lock w:val="sdtLocked"/>
                  </w:sdtPr>
                  <w:sdtEndPr/>
                  <w:sdtContent>
                    <w:tc>
                      <w:tcPr>
                        <w:tcW w:w="4262" w:type="dxa"/>
                      </w:tcPr>
                      <w:p w14:paraId="626E90FA" w14:textId="77777777" w:rsidR="00830E72" w:rsidRDefault="008344D8">
                        <w:pPr>
                          <w:rPr>
                            <w:szCs w:val="21"/>
                          </w:rPr>
                        </w:pPr>
                        <w:r>
                          <w:rPr>
                            <w:rFonts w:hint="eastAsia"/>
                            <w:szCs w:val="21"/>
                          </w:rPr>
                          <w:t>《中华人民共和国证券法》</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360133573"/>
            </w:sdtPr>
            <w:sdtEndPr/>
            <w:sdtContent>
              <w:tr w:rsidR="00830E72" w14:paraId="4DE18024" w14:textId="77777777">
                <w:tc>
                  <w:tcPr>
                    <w:tcW w:w="3936" w:type="dxa"/>
                  </w:tcPr>
                  <w:p w14:paraId="4E6939AF" w14:textId="77777777" w:rsidR="00830E72" w:rsidRDefault="008344D8">
                    <w:pPr>
                      <w:rPr>
                        <w:szCs w:val="21"/>
                      </w:rPr>
                    </w:pPr>
                    <w:r>
                      <w:t>《公司章程》</w:t>
                    </w:r>
                  </w:p>
                </w:tc>
                <w:tc>
                  <w:tcPr>
                    <w:tcW w:w="850" w:type="dxa"/>
                  </w:tcPr>
                  <w:sdt>
                    <w:sdtPr>
                      <w:rPr>
                        <w:rFonts w:ascii="Times New Roman" w:hAnsi="Times New Roman" w:hint="eastAsia"/>
                        <w:szCs w:val="21"/>
                      </w:rPr>
                      <w:tag w:val="_PLD_289cf7e5c3a845d59c038a21dcd4a571"/>
                      <w:id w:val="-616294655"/>
                      <w:lock w:val="sdtLocked"/>
                    </w:sdtPr>
                    <w:sdtEndPr/>
                    <w:sdtContent>
                      <w:p w14:paraId="35D6DCF2" w14:textId="77777777" w:rsidR="00830E72" w:rsidRDefault="008344D8">
                        <w:pPr>
                          <w:jc w:val="center"/>
                          <w:rPr>
                            <w:szCs w:val="21"/>
                            <w:highlight w:val="lightGray"/>
                          </w:rPr>
                        </w:pPr>
                        <w:r>
                          <w:rPr>
                            <w:rFonts w:hint="eastAsia"/>
                            <w:szCs w:val="21"/>
                          </w:rPr>
                          <w:t>指</w:t>
                        </w:r>
                      </w:p>
                    </w:sdtContent>
                  </w:sdt>
                </w:tc>
                <w:sdt>
                  <w:sdtPr>
                    <w:rPr>
                      <w:rFonts w:ascii="Times New Roman" w:hAnsi="Times New Roman" w:hint="eastAsia"/>
                      <w:szCs w:val="21"/>
                    </w:rPr>
                    <w:alias w:val="常用词语释义"/>
                    <w:tag w:val="_GBC_b625dd71b03542c3b074c2ce59de70ad"/>
                    <w:id w:val="-731156327"/>
                    <w:lock w:val="sdtLocked"/>
                  </w:sdtPr>
                  <w:sdtEndPr/>
                  <w:sdtContent>
                    <w:tc>
                      <w:tcPr>
                        <w:tcW w:w="4262" w:type="dxa"/>
                      </w:tcPr>
                      <w:p w14:paraId="0EE6F8BF" w14:textId="77777777" w:rsidR="00830E72" w:rsidRDefault="008344D8">
                        <w:pPr>
                          <w:rPr>
                            <w:szCs w:val="21"/>
                          </w:rPr>
                        </w:pPr>
                        <w:r>
                          <w:rPr>
                            <w:rFonts w:hint="eastAsia"/>
                            <w:szCs w:val="21"/>
                          </w:rPr>
                          <w:t>《安徽省交通建设股份有限公司章程》</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1918085928"/>
            </w:sdtPr>
            <w:sdtEndPr/>
            <w:sdtContent>
              <w:tr w:rsidR="00830E72" w14:paraId="43EA64EB" w14:textId="77777777">
                <w:tc>
                  <w:tcPr>
                    <w:tcW w:w="3936" w:type="dxa"/>
                  </w:tcPr>
                  <w:p w14:paraId="5EFDCD3A" w14:textId="77777777" w:rsidR="00830E72" w:rsidRDefault="008344D8">
                    <w:pPr>
                      <w:rPr>
                        <w:szCs w:val="21"/>
                      </w:rPr>
                    </w:pPr>
                    <w:r>
                      <w:t>股东大会</w:t>
                    </w:r>
                  </w:p>
                </w:tc>
                <w:tc>
                  <w:tcPr>
                    <w:tcW w:w="850" w:type="dxa"/>
                  </w:tcPr>
                  <w:sdt>
                    <w:sdtPr>
                      <w:rPr>
                        <w:rFonts w:ascii="Times New Roman" w:hAnsi="Times New Roman" w:hint="eastAsia"/>
                        <w:szCs w:val="21"/>
                      </w:rPr>
                      <w:tag w:val="_PLD_289cf7e5c3a845d59c038a21dcd4a571"/>
                      <w:id w:val="1724631452"/>
                      <w:lock w:val="sdtLocked"/>
                    </w:sdtPr>
                    <w:sdtEndPr/>
                    <w:sdtContent>
                      <w:p w14:paraId="49B71657" w14:textId="77777777" w:rsidR="00830E72" w:rsidRDefault="008344D8">
                        <w:pPr>
                          <w:jc w:val="center"/>
                          <w:rPr>
                            <w:szCs w:val="21"/>
                            <w:highlight w:val="lightGray"/>
                          </w:rPr>
                        </w:pPr>
                        <w:r>
                          <w:rPr>
                            <w:rFonts w:hint="eastAsia"/>
                            <w:szCs w:val="21"/>
                          </w:rPr>
                          <w:t>指</w:t>
                        </w:r>
                      </w:p>
                    </w:sdtContent>
                  </w:sdt>
                </w:tc>
                <w:sdt>
                  <w:sdtPr>
                    <w:rPr>
                      <w:rFonts w:ascii="Times New Roman" w:hAnsi="Times New Roman" w:hint="eastAsia"/>
                      <w:szCs w:val="21"/>
                    </w:rPr>
                    <w:alias w:val="常用词语释义"/>
                    <w:tag w:val="_GBC_b625dd71b03542c3b074c2ce59de70ad"/>
                    <w:id w:val="-1032733257"/>
                    <w:lock w:val="sdtLocked"/>
                  </w:sdtPr>
                  <w:sdtEndPr/>
                  <w:sdtContent>
                    <w:tc>
                      <w:tcPr>
                        <w:tcW w:w="4262" w:type="dxa"/>
                      </w:tcPr>
                      <w:p w14:paraId="0FE0F381" w14:textId="77777777" w:rsidR="00830E72" w:rsidRDefault="008344D8">
                        <w:pPr>
                          <w:rPr>
                            <w:szCs w:val="21"/>
                          </w:rPr>
                        </w:pPr>
                        <w:r>
                          <w:rPr>
                            <w:rFonts w:hint="eastAsia"/>
                            <w:szCs w:val="21"/>
                          </w:rPr>
                          <w:t>安徽省交通建设股份有限公司股东大会</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1956750449"/>
            </w:sdtPr>
            <w:sdtEndPr/>
            <w:sdtContent>
              <w:tr w:rsidR="00830E72" w14:paraId="0BDD6000" w14:textId="77777777">
                <w:tc>
                  <w:tcPr>
                    <w:tcW w:w="3936" w:type="dxa"/>
                  </w:tcPr>
                  <w:p w14:paraId="122E6909" w14:textId="77777777" w:rsidR="00830E72" w:rsidRDefault="008344D8">
                    <w:pPr>
                      <w:rPr>
                        <w:szCs w:val="21"/>
                      </w:rPr>
                    </w:pPr>
                    <w:r>
                      <w:t>董事会</w:t>
                    </w:r>
                  </w:p>
                </w:tc>
                <w:tc>
                  <w:tcPr>
                    <w:tcW w:w="850" w:type="dxa"/>
                  </w:tcPr>
                  <w:sdt>
                    <w:sdtPr>
                      <w:rPr>
                        <w:rFonts w:ascii="Times New Roman" w:hAnsi="Times New Roman" w:hint="eastAsia"/>
                        <w:szCs w:val="21"/>
                      </w:rPr>
                      <w:tag w:val="_PLD_289cf7e5c3a845d59c038a21dcd4a571"/>
                      <w:id w:val="865717018"/>
                      <w:lock w:val="sdtLocked"/>
                    </w:sdtPr>
                    <w:sdtEndPr/>
                    <w:sdtContent>
                      <w:p w14:paraId="198033B2" w14:textId="77777777" w:rsidR="00830E72" w:rsidRDefault="008344D8">
                        <w:pPr>
                          <w:jc w:val="center"/>
                          <w:rPr>
                            <w:szCs w:val="21"/>
                            <w:highlight w:val="lightGray"/>
                          </w:rPr>
                        </w:pPr>
                        <w:r>
                          <w:rPr>
                            <w:rFonts w:hint="eastAsia"/>
                            <w:szCs w:val="21"/>
                          </w:rPr>
                          <w:t>指</w:t>
                        </w:r>
                      </w:p>
                    </w:sdtContent>
                  </w:sdt>
                </w:tc>
                <w:sdt>
                  <w:sdtPr>
                    <w:rPr>
                      <w:rFonts w:ascii="Times New Roman" w:hAnsi="Times New Roman" w:hint="eastAsia"/>
                      <w:szCs w:val="21"/>
                    </w:rPr>
                    <w:alias w:val="常用词语释义"/>
                    <w:tag w:val="_GBC_b625dd71b03542c3b074c2ce59de70ad"/>
                    <w:id w:val="83190362"/>
                    <w:lock w:val="sdtLocked"/>
                  </w:sdtPr>
                  <w:sdtEndPr/>
                  <w:sdtContent>
                    <w:tc>
                      <w:tcPr>
                        <w:tcW w:w="4262" w:type="dxa"/>
                      </w:tcPr>
                      <w:p w14:paraId="664BFAB2" w14:textId="77777777" w:rsidR="00830E72" w:rsidRDefault="008344D8">
                        <w:pPr>
                          <w:rPr>
                            <w:szCs w:val="21"/>
                          </w:rPr>
                        </w:pPr>
                        <w:r>
                          <w:rPr>
                            <w:rFonts w:hint="eastAsia"/>
                            <w:szCs w:val="21"/>
                          </w:rPr>
                          <w:t>安徽省交通建设股份有限公司董事会</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299126228"/>
            </w:sdtPr>
            <w:sdtEndPr/>
            <w:sdtContent>
              <w:tr w:rsidR="00830E72" w14:paraId="5E1997EA" w14:textId="77777777">
                <w:tc>
                  <w:tcPr>
                    <w:tcW w:w="3936" w:type="dxa"/>
                  </w:tcPr>
                  <w:p w14:paraId="46B8919A" w14:textId="77777777" w:rsidR="00830E72" w:rsidRDefault="008344D8">
                    <w:pPr>
                      <w:rPr>
                        <w:szCs w:val="21"/>
                      </w:rPr>
                    </w:pPr>
                    <w:r>
                      <w:t>监事会</w:t>
                    </w:r>
                  </w:p>
                </w:tc>
                <w:tc>
                  <w:tcPr>
                    <w:tcW w:w="850" w:type="dxa"/>
                  </w:tcPr>
                  <w:sdt>
                    <w:sdtPr>
                      <w:rPr>
                        <w:rFonts w:ascii="Times New Roman" w:hAnsi="Times New Roman" w:hint="eastAsia"/>
                        <w:szCs w:val="21"/>
                      </w:rPr>
                      <w:tag w:val="_PLD_289cf7e5c3a845d59c038a21dcd4a571"/>
                      <w:id w:val="-514005292"/>
                      <w:lock w:val="sdtLocked"/>
                    </w:sdtPr>
                    <w:sdtEndPr/>
                    <w:sdtContent>
                      <w:p w14:paraId="31B6A43A" w14:textId="77777777" w:rsidR="00830E72" w:rsidRDefault="008344D8">
                        <w:pPr>
                          <w:jc w:val="center"/>
                          <w:rPr>
                            <w:szCs w:val="21"/>
                            <w:highlight w:val="lightGray"/>
                          </w:rPr>
                        </w:pPr>
                        <w:r>
                          <w:rPr>
                            <w:rFonts w:hint="eastAsia"/>
                            <w:szCs w:val="21"/>
                          </w:rPr>
                          <w:t>指</w:t>
                        </w:r>
                      </w:p>
                    </w:sdtContent>
                  </w:sdt>
                </w:tc>
                <w:sdt>
                  <w:sdtPr>
                    <w:rPr>
                      <w:rFonts w:ascii="Times New Roman" w:hAnsi="Times New Roman" w:hint="eastAsia"/>
                      <w:szCs w:val="21"/>
                    </w:rPr>
                    <w:alias w:val="常用词语释义"/>
                    <w:tag w:val="_GBC_b625dd71b03542c3b074c2ce59de70ad"/>
                    <w:id w:val="-1413693367"/>
                    <w:lock w:val="sdtLocked"/>
                  </w:sdtPr>
                  <w:sdtEndPr/>
                  <w:sdtContent>
                    <w:tc>
                      <w:tcPr>
                        <w:tcW w:w="4262" w:type="dxa"/>
                      </w:tcPr>
                      <w:p w14:paraId="46C71265" w14:textId="77777777" w:rsidR="00830E72" w:rsidRDefault="008344D8">
                        <w:pPr>
                          <w:rPr>
                            <w:szCs w:val="21"/>
                          </w:rPr>
                        </w:pPr>
                        <w:r>
                          <w:rPr>
                            <w:rFonts w:hint="eastAsia"/>
                            <w:szCs w:val="21"/>
                          </w:rPr>
                          <w:t>安徽省交通建设股份有限公司监事会</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1519001594"/>
            </w:sdtPr>
            <w:sdtEndPr/>
            <w:sdtContent>
              <w:tr w:rsidR="00830E72" w14:paraId="0F0F0957" w14:textId="77777777">
                <w:tc>
                  <w:tcPr>
                    <w:tcW w:w="3936" w:type="dxa"/>
                  </w:tcPr>
                  <w:p w14:paraId="16E5C314" w14:textId="77777777" w:rsidR="00830E72" w:rsidRDefault="008344D8">
                    <w:pPr>
                      <w:rPr>
                        <w:szCs w:val="21"/>
                      </w:rPr>
                    </w:pPr>
                    <w:r>
                      <w:t>上交所</w:t>
                    </w:r>
                  </w:p>
                </w:tc>
                <w:tc>
                  <w:tcPr>
                    <w:tcW w:w="850" w:type="dxa"/>
                  </w:tcPr>
                  <w:sdt>
                    <w:sdtPr>
                      <w:rPr>
                        <w:rFonts w:ascii="Times New Roman" w:hAnsi="Times New Roman" w:hint="eastAsia"/>
                        <w:szCs w:val="21"/>
                      </w:rPr>
                      <w:tag w:val="_PLD_289cf7e5c3a845d59c038a21dcd4a571"/>
                      <w:id w:val="473102777"/>
                      <w:lock w:val="sdtLocked"/>
                    </w:sdtPr>
                    <w:sdtEndPr/>
                    <w:sdtContent>
                      <w:p w14:paraId="07798C4B" w14:textId="77777777" w:rsidR="00830E72" w:rsidRDefault="008344D8">
                        <w:pPr>
                          <w:jc w:val="center"/>
                          <w:rPr>
                            <w:szCs w:val="21"/>
                            <w:highlight w:val="lightGray"/>
                          </w:rPr>
                        </w:pPr>
                        <w:r>
                          <w:rPr>
                            <w:rFonts w:hint="eastAsia"/>
                            <w:szCs w:val="21"/>
                          </w:rPr>
                          <w:t>指</w:t>
                        </w:r>
                      </w:p>
                    </w:sdtContent>
                  </w:sdt>
                </w:tc>
                <w:sdt>
                  <w:sdtPr>
                    <w:rPr>
                      <w:rFonts w:ascii="Times New Roman" w:hAnsi="Times New Roman" w:hint="eastAsia"/>
                      <w:szCs w:val="21"/>
                    </w:rPr>
                    <w:alias w:val="常用词语释义"/>
                    <w:tag w:val="_GBC_b625dd71b03542c3b074c2ce59de70ad"/>
                    <w:id w:val="-1570570779"/>
                    <w:lock w:val="sdtLocked"/>
                  </w:sdtPr>
                  <w:sdtEndPr/>
                  <w:sdtContent>
                    <w:tc>
                      <w:tcPr>
                        <w:tcW w:w="4262" w:type="dxa"/>
                      </w:tcPr>
                      <w:p w14:paraId="5D07CB4C" w14:textId="77777777" w:rsidR="00830E72" w:rsidRDefault="008344D8">
                        <w:pPr>
                          <w:rPr>
                            <w:szCs w:val="21"/>
                          </w:rPr>
                        </w:pPr>
                        <w:r>
                          <w:rPr>
                            <w:rFonts w:hint="eastAsia"/>
                            <w:szCs w:val="21"/>
                          </w:rPr>
                          <w:t>上海证券交易所</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909424552"/>
            </w:sdtPr>
            <w:sdtEndPr/>
            <w:sdtContent>
              <w:tr w:rsidR="00830E72" w14:paraId="7713610C" w14:textId="77777777">
                <w:tc>
                  <w:tcPr>
                    <w:tcW w:w="3936" w:type="dxa"/>
                  </w:tcPr>
                  <w:p w14:paraId="4EE60334" w14:textId="77777777" w:rsidR="00830E72" w:rsidRDefault="008344D8">
                    <w:pPr>
                      <w:rPr>
                        <w:szCs w:val="21"/>
                      </w:rPr>
                    </w:pPr>
                    <w:r>
                      <w:t>报告期</w:t>
                    </w:r>
                  </w:p>
                </w:tc>
                <w:tc>
                  <w:tcPr>
                    <w:tcW w:w="850" w:type="dxa"/>
                  </w:tcPr>
                  <w:sdt>
                    <w:sdtPr>
                      <w:rPr>
                        <w:rFonts w:ascii="Times New Roman" w:hAnsi="Times New Roman" w:hint="eastAsia"/>
                        <w:szCs w:val="21"/>
                      </w:rPr>
                      <w:tag w:val="_PLD_289cf7e5c3a845d59c038a21dcd4a571"/>
                      <w:id w:val="-1243105188"/>
                      <w:lock w:val="sdtLocked"/>
                    </w:sdtPr>
                    <w:sdtEndPr/>
                    <w:sdtContent>
                      <w:p w14:paraId="6915CF5C" w14:textId="77777777" w:rsidR="00830E72" w:rsidRDefault="008344D8">
                        <w:pPr>
                          <w:jc w:val="center"/>
                          <w:rPr>
                            <w:szCs w:val="21"/>
                            <w:highlight w:val="lightGray"/>
                          </w:rPr>
                        </w:pPr>
                        <w:r>
                          <w:rPr>
                            <w:rFonts w:hint="eastAsia"/>
                            <w:szCs w:val="21"/>
                          </w:rPr>
                          <w:t>指</w:t>
                        </w:r>
                      </w:p>
                    </w:sdtContent>
                  </w:sdt>
                </w:tc>
                <w:sdt>
                  <w:sdtPr>
                    <w:rPr>
                      <w:rFonts w:ascii="Times New Roman" w:hAnsi="Times New Roman" w:hint="eastAsia"/>
                      <w:szCs w:val="21"/>
                    </w:rPr>
                    <w:alias w:val="常用词语释义"/>
                    <w:tag w:val="_GBC_b625dd71b03542c3b074c2ce59de70ad"/>
                    <w:id w:val="-209341497"/>
                    <w:lock w:val="sdtLocked"/>
                  </w:sdtPr>
                  <w:sdtEndPr/>
                  <w:sdtContent>
                    <w:tc>
                      <w:tcPr>
                        <w:tcW w:w="4262" w:type="dxa"/>
                      </w:tcPr>
                      <w:p w14:paraId="04C0E4BA" w14:textId="77777777" w:rsidR="00830E72" w:rsidRDefault="008344D8">
                        <w:pPr>
                          <w:rPr>
                            <w:szCs w:val="21"/>
                          </w:rPr>
                        </w:pPr>
                        <w:r>
                          <w:rPr>
                            <w:rFonts w:hint="eastAsia"/>
                            <w:szCs w:val="21"/>
                          </w:rPr>
                          <w:t>202</w:t>
                        </w:r>
                        <w:r>
                          <w:rPr>
                            <w:szCs w:val="21"/>
                          </w:rPr>
                          <w:t>1</w:t>
                        </w:r>
                        <w:r>
                          <w:rPr>
                            <w:rFonts w:hint="eastAsia"/>
                            <w:szCs w:val="21"/>
                          </w:rPr>
                          <w:t>年1月1日-202</w:t>
                        </w:r>
                        <w:r>
                          <w:rPr>
                            <w:szCs w:val="21"/>
                          </w:rPr>
                          <w:t>1</w:t>
                        </w:r>
                        <w:r>
                          <w:rPr>
                            <w:rFonts w:hint="eastAsia"/>
                            <w:szCs w:val="21"/>
                          </w:rPr>
                          <w:t>年6月3</w:t>
                        </w:r>
                        <w:r>
                          <w:rPr>
                            <w:szCs w:val="21"/>
                          </w:rPr>
                          <w:t>0</w:t>
                        </w:r>
                        <w:r>
                          <w:rPr>
                            <w:rFonts w:hint="eastAsia"/>
                            <w:szCs w:val="21"/>
                          </w:rPr>
                          <w:t>日</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583882297"/>
            </w:sdtPr>
            <w:sdtEndPr/>
            <w:sdtContent>
              <w:tr w:rsidR="00830E72" w14:paraId="776AC9C1" w14:textId="77777777">
                <w:tc>
                  <w:tcPr>
                    <w:tcW w:w="3936" w:type="dxa"/>
                  </w:tcPr>
                  <w:p w14:paraId="3D7F1361" w14:textId="77777777" w:rsidR="00830E72" w:rsidRDefault="008344D8">
                    <w:pPr>
                      <w:rPr>
                        <w:szCs w:val="21"/>
                      </w:rPr>
                    </w:pPr>
                    <w:r>
                      <w:t>元、万元、亿元</w:t>
                    </w:r>
                  </w:p>
                </w:tc>
                <w:tc>
                  <w:tcPr>
                    <w:tcW w:w="850" w:type="dxa"/>
                  </w:tcPr>
                  <w:sdt>
                    <w:sdtPr>
                      <w:rPr>
                        <w:rFonts w:ascii="Times New Roman" w:hAnsi="Times New Roman" w:hint="eastAsia"/>
                        <w:szCs w:val="21"/>
                      </w:rPr>
                      <w:tag w:val="_PLD_289cf7e5c3a845d59c038a21dcd4a571"/>
                      <w:id w:val="988054879"/>
                      <w:lock w:val="sdtLocked"/>
                    </w:sdtPr>
                    <w:sdtEndPr/>
                    <w:sdtContent>
                      <w:p w14:paraId="4F173A31" w14:textId="77777777" w:rsidR="00830E72" w:rsidRDefault="008344D8">
                        <w:pPr>
                          <w:jc w:val="center"/>
                          <w:rPr>
                            <w:szCs w:val="21"/>
                            <w:highlight w:val="lightGray"/>
                          </w:rPr>
                        </w:pPr>
                        <w:r>
                          <w:rPr>
                            <w:rFonts w:hint="eastAsia"/>
                            <w:szCs w:val="21"/>
                          </w:rPr>
                          <w:t>指</w:t>
                        </w:r>
                      </w:p>
                    </w:sdtContent>
                  </w:sdt>
                </w:tc>
                <w:sdt>
                  <w:sdtPr>
                    <w:rPr>
                      <w:rFonts w:ascii="Times New Roman" w:hAnsi="Times New Roman" w:hint="eastAsia"/>
                      <w:szCs w:val="21"/>
                    </w:rPr>
                    <w:alias w:val="常用词语释义"/>
                    <w:tag w:val="_GBC_b625dd71b03542c3b074c2ce59de70ad"/>
                    <w:id w:val="-192769338"/>
                    <w:lock w:val="sdtLocked"/>
                  </w:sdtPr>
                  <w:sdtEndPr/>
                  <w:sdtContent>
                    <w:tc>
                      <w:tcPr>
                        <w:tcW w:w="4262" w:type="dxa"/>
                      </w:tcPr>
                      <w:p w14:paraId="49204E5B" w14:textId="77777777" w:rsidR="00830E72" w:rsidRDefault="008344D8">
                        <w:pPr>
                          <w:rPr>
                            <w:szCs w:val="21"/>
                          </w:rPr>
                        </w:pPr>
                        <w:r>
                          <w:rPr>
                            <w:rFonts w:hint="eastAsia"/>
                            <w:szCs w:val="21"/>
                          </w:rPr>
                          <w:t>人民币元、人民币万元、人民币亿元</w:t>
                        </w:r>
                      </w:p>
                    </w:tc>
                  </w:sdtContent>
                </w:sdt>
              </w:tr>
            </w:sdtContent>
          </w:sdt>
        </w:tbl>
        <w:p w14:paraId="56CAE301" w14:textId="77777777" w:rsidR="00830E72" w:rsidRDefault="00830E72"/>
        <w:p w14:paraId="40737ACD" w14:textId="77777777" w:rsidR="00830E72" w:rsidRDefault="00D44830"/>
      </w:sdtContent>
    </w:sdt>
    <w:p w14:paraId="293AD15B" w14:textId="77777777" w:rsidR="00830E72" w:rsidRDefault="00830E72"/>
    <w:p w14:paraId="507E6374" w14:textId="77777777" w:rsidR="00830E72" w:rsidRDefault="00830E72"/>
    <w:p w14:paraId="1BBA395A" w14:textId="77777777" w:rsidR="00830E72" w:rsidRDefault="00830E72"/>
    <w:p w14:paraId="5236EDDD" w14:textId="77777777" w:rsidR="00830E72" w:rsidRDefault="00830E72"/>
    <w:p w14:paraId="20500BA8" w14:textId="77777777" w:rsidR="00830E72" w:rsidRDefault="00830E72"/>
    <w:p w14:paraId="39DBF3BD" w14:textId="77777777" w:rsidR="00830E72" w:rsidRDefault="00830E72"/>
    <w:p w14:paraId="46226CFB" w14:textId="77777777" w:rsidR="00830E72" w:rsidRDefault="00830E72"/>
    <w:p w14:paraId="31BBB26D" w14:textId="77777777" w:rsidR="00830E72" w:rsidRDefault="00830E72"/>
    <w:p w14:paraId="08B8BFE4" w14:textId="77777777" w:rsidR="00830E72" w:rsidRDefault="00830E72"/>
    <w:p w14:paraId="32A63B76" w14:textId="77777777" w:rsidR="00830E72" w:rsidRDefault="00830E72"/>
    <w:p w14:paraId="2E43E919" w14:textId="77777777" w:rsidR="00830E72" w:rsidRDefault="00830E72"/>
    <w:p w14:paraId="7E5225A4" w14:textId="77777777" w:rsidR="00830E72" w:rsidRDefault="00830E72"/>
    <w:p w14:paraId="307B024F" w14:textId="77777777" w:rsidR="00830E72" w:rsidRDefault="00830E72"/>
    <w:p w14:paraId="7A1462BE" w14:textId="77777777" w:rsidR="00830E72" w:rsidRDefault="00830E72"/>
    <w:p w14:paraId="7B1D0F40" w14:textId="77777777" w:rsidR="00830E72" w:rsidRDefault="00830E72"/>
    <w:p w14:paraId="24DF10C0" w14:textId="77777777" w:rsidR="00830E72" w:rsidRDefault="00830E72"/>
    <w:p w14:paraId="1C924B07" w14:textId="77777777" w:rsidR="00830E72" w:rsidRDefault="00830E72"/>
    <w:p w14:paraId="335504A4" w14:textId="77777777" w:rsidR="00830E72" w:rsidRDefault="00830E72"/>
    <w:p w14:paraId="5F9FCACA" w14:textId="77777777" w:rsidR="00830E72" w:rsidRDefault="008344D8" w:rsidP="00604D7F">
      <w:pPr>
        <w:pStyle w:val="1"/>
        <w:numPr>
          <w:ilvl w:val="0"/>
          <w:numId w:val="2"/>
        </w:numPr>
        <w:ind w:left="0" w:firstLine="0"/>
        <w:rPr>
          <w:rFonts w:ascii="黑体" w:hAnsi="黑体"/>
          <w:color w:val="FF0000"/>
          <w:u w:val="single"/>
        </w:rPr>
      </w:pPr>
      <w:bookmarkStart w:id="7" w:name="_Toc79503143"/>
      <w:r>
        <w:rPr>
          <w:rFonts w:ascii="黑体" w:hAnsi="黑体" w:hint="eastAsia"/>
        </w:rPr>
        <w:lastRenderedPageBreak/>
        <w:t>公司简介</w:t>
      </w:r>
      <w:bookmarkEnd w:id="6"/>
      <w:r>
        <w:rPr>
          <w:rFonts w:ascii="黑体" w:hAnsi="黑体" w:hint="eastAsia"/>
        </w:rPr>
        <w:t>和主要财务指标</w:t>
      </w:r>
      <w:bookmarkEnd w:id="7"/>
    </w:p>
    <w:bookmarkStart w:id="8" w:name="_Toc342565881" w:displacedByCustomXml="next"/>
    <w:bookmarkStart w:id="9" w:name="_Toc342051041" w:displacedByCustomXml="next"/>
    <w:sdt>
      <w:sdtPr>
        <w:rPr>
          <w:rFonts w:ascii="宋体" w:hAnsi="宋体" w:cs="宋体" w:hint="eastAsia"/>
          <w:b w:val="0"/>
          <w:bCs w:val="0"/>
          <w:kern w:val="0"/>
          <w:szCs w:val="24"/>
        </w:rPr>
        <w:alias w:val="模块:公司信息"/>
        <w:tag w:val="_GBC_aa763dfc67ed4eac9000c019cc1ff258"/>
        <w:id w:val="242537429"/>
        <w:placeholder>
          <w:docPart w:val="GBC22222222222222222222222222222"/>
        </w:placeholder>
      </w:sdtPr>
      <w:sdtEndPr>
        <w:rPr>
          <w:szCs w:val="21"/>
        </w:rPr>
      </w:sdtEndPr>
      <w:sdtContent>
        <w:p w14:paraId="10337E9A" w14:textId="77777777" w:rsidR="00830E72" w:rsidRDefault="008344D8">
          <w:pPr>
            <w:pStyle w:val="2"/>
            <w:numPr>
              <w:ilvl w:val="0"/>
              <w:numId w:val="3"/>
            </w:numPr>
            <w:ind w:firstLineChars="0"/>
          </w:pPr>
          <w:r>
            <w:rPr>
              <w:rFonts w:hint="eastAsia"/>
            </w:rPr>
            <w:t>公司信息</w:t>
          </w:r>
          <w:bookmarkEnd w:id="9"/>
          <w:bookmarkEnd w:id="8"/>
        </w:p>
        <w:tbl>
          <w:tblPr>
            <w:tblStyle w:val="g1"/>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58"/>
            <w:gridCol w:w="5035"/>
          </w:tblGrid>
          <w:tr w:rsidR="00830E72" w14:paraId="1EAF529E" w14:textId="77777777">
            <w:trPr>
              <w:trHeight w:val="293"/>
            </w:trPr>
            <w:sdt>
              <w:sdtPr>
                <w:tag w:val="_PLD_372cd7a5ecc1420488735479d42bf939"/>
                <w:id w:val="-1898891852"/>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228C9DE8" w14:textId="77777777" w:rsidR="00830E72" w:rsidRDefault="008344D8">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6f7f4fb261c84402a309f1371502ca4f"/>
                <w:id w:val="-1845465463"/>
                <w:lock w:val="sdtLocked"/>
                <w:text/>
              </w:sdtPr>
              <w:sdtEndPr/>
              <w:sdtContent>
                <w:tc>
                  <w:tcPr>
                    <w:tcW w:w="2831" w:type="pct"/>
                    <w:tcBorders>
                      <w:top w:val="single" w:sz="4" w:space="0" w:color="auto"/>
                      <w:left w:val="single" w:sz="4" w:space="0" w:color="auto"/>
                      <w:bottom w:val="single" w:sz="4" w:space="0" w:color="auto"/>
                    </w:tcBorders>
                  </w:tcPr>
                  <w:p w14:paraId="07929D75" w14:textId="77777777" w:rsidR="00830E72" w:rsidRDefault="008344D8">
                    <w:pPr>
                      <w:kinsoku w:val="0"/>
                      <w:overflowPunct w:val="0"/>
                      <w:autoSpaceDE w:val="0"/>
                      <w:autoSpaceDN w:val="0"/>
                      <w:adjustRightInd w:val="0"/>
                      <w:snapToGrid w:val="0"/>
                      <w:rPr>
                        <w:color w:val="FFC000"/>
                        <w:szCs w:val="21"/>
                      </w:rPr>
                    </w:pPr>
                    <w:r>
                      <w:rPr>
                        <w:rFonts w:hint="eastAsia"/>
                        <w:szCs w:val="21"/>
                      </w:rPr>
                      <w:t>安徽省交通建设股份有限公司</w:t>
                    </w:r>
                  </w:p>
                </w:tc>
              </w:sdtContent>
            </w:sdt>
          </w:tr>
          <w:tr w:rsidR="00830E72" w14:paraId="549FB168" w14:textId="77777777">
            <w:trPr>
              <w:trHeight w:val="293"/>
            </w:trPr>
            <w:sdt>
              <w:sdtPr>
                <w:tag w:val="_PLD_8eb858f464044693a8d56b2fb5bf4064"/>
                <w:id w:val="-924101708"/>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47014B51" w14:textId="77777777" w:rsidR="00830E72" w:rsidRDefault="008344D8">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vAlign w:val="center"/>
              </w:tcPr>
              <w:p w14:paraId="17B34D0D" w14:textId="77777777" w:rsidR="00830E72" w:rsidRDefault="008344D8">
                <w:pPr>
                  <w:kinsoku w:val="0"/>
                  <w:overflowPunct w:val="0"/>
                  <w:autoSpaceDE w:val="0"/>
                  <w:autoSpaceDN w:val="0"/>
                  <w:adjustRightInd w:val="0"/>
                  <w:snapToGrid w:val="0"/>
                  <w:rPr>
                    <w:szCs w:val="21"/>
                  </w:rPr>
                </w:pPr>
                <w:r>
                  <w:t>交建股份</w:t>
                </w:r>
              </w:p>
            </w:tc>
          </w:tr>
          <w:tr w:rsidR="00830E72" w14:paraId="6E2450DE" w14:textId="77777777">
            <w:trPr>
              <w:trHeight w:val="293"/>
            </w:trPr>
            <w:sdt>
              <w:sdtPr>
                <w:tag w:val="_PLD_d0fcb2dfd03a44bfb413f503945ba2fb"/>
                <w:id w:val="-2031016282"/>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0D65B9C7" w14:textId="77777777" w:rsidR="00830E72" w:rsidRDefault="008344D8">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vAlign w:val="center"/>
              </w:tcPr>
              <w:p w14:paraId="1294B65A" w14:textId="77777777" w:rsidR="00830E72" w:rsidRDefault="008344D8">
                <w:pPr>
                  <w:kinsoku w:val="0"/>
                  <w:overflowPunct w:val="0"/>
                  <w:autoSpaceDE w:val="0"/>
                  <w:autoSpaceDN w:val="0"/>
                  <w:adjustRightInd w:val="0"/>
                  <w:snapToGrid w:val="0"/>
                  <w:rPr>
                    <w:szCs w:val="21"/>
                  </w:rPr>
                </w:pPr>
                <w:r>
                  <w:t xml:space="preserve">Anhui </w:t>
                </w:r>
                <w:proofErr w:type="spellStart"/>
                <w:r>
                  <w:t>Gourgen</w:t>
                </w:r>
                <w:proofErr w:type="spellEnd"/>
                <w:r>
                  <w:t xml:space="preserve"> Traffic Construction </w:t>
                </w:r>
                <w:proofErr w:type="spellStart"/>
                <w:r>
                  <w:t>Co.,Ltd</w:t>
                </w:r>
                <w:proofErr w:type="spellEnd"/>
                <w:r>
                  <w:t>.</w:t>
                </w:r>
              </w:p>
            </w:tc>
          </w:tr>
          <w:tr w:rsidR="00830E72" w14:paraId="4EFA2981" w14:textId="77777777">
            <w:trPr>
              <w:trHeight w:val="293"/>
            </w:trPr>
            <w:sdt>
              <w:sdtPr>
                <w:tag w:val="_PLD_b5f89c94b3dc4510b2035a96ac69493a"/>
                <w:id w:val="207160894"/>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023F3B01" w14:textId="77777777" w:rsidR="00830E72" w:rsidRDefault="008344D8">
                    <w:pPr>
                      <w:kinsoku w:val="0"/>
                      <w:overflowPunct w:val="0"/>
                      <w:autoSpaceDE w:val="0"/>
                      <w:autoSpaceDN w:val="0"/>
                      <w:adjustRightInd w:val="0"/>
                      <w:snapToGrid w:val="0"/>
                      <w:rPr>
                        <w:szCs w:val="21"/>
                      </w:rPr>
                    </w:pPr>
                    <w:r>
                      <w:rPr>
                        <w:szCs w:val="21"/>
                      </w:rPr>
                      <w:t>公司的外文名称缩写</w:t>
                    </w:r>
                  </w:p>
                </w:tc>
              </w:sdtContent>
            </w:sdt>
            <w:tc>
              <w:tcPr>
                <w:tcW w:w="2831" w:type="pct"/>
                <w:tcBorders>
                  <w:top w:val="single" w:sz="4" w:space="0" w:color="auto"/>
                  <w:left w:val="single" w:sz="4" w:space="0" w:color="auto"/>
                  <w:bottom w:val="single" w:sz="4" w:space="0" w:color="auto"/>
                </w:tcBorders>
                <w:vAlign w:val="center"/>
              </w:tcPr>
              <w:p w14:paraId="4EC74DA2" w14:textId="77777777" w:rsidR="00830E72" w:rsidRDefault="008344D8">
                <w:pPr>
                  <w:kinsoku w:val="0"/>
                  <w:overflowPunct w:val="0"/>
                  <w:autoSpaceDE w:val="0"/>
                  <w:autoSpaceDN w:val="0"/>
                  <w:adjustRightInd w:val="0"/>
                  <w:snapToGrid w:val="0"/>
                  <w:rPr>
                    <w:szCs w:val="21"/>
                  </w:rPr>
                </w:pPr>
                <w:r>
                  <w:t xml:space="preserve">Anhui </w:t>
                </w:r>
                <w:proofErr w:type="spellStart"/>
                <w:r>
                  <w:t>Gourgen</w:t>
                </w:r>
                <w:proofErr w:type="spellEnd"/>
              </w:p>
            </w:tc>
          </w:tr>
          <w:tr w:rsidR="00830E72" w14:paraId="345C1B5A" w14:textId="77777777">
            <w:trPr>
              <w:trHeight w:val="293"/>
            </w:trPr>
            <w:sdt>
              <w:sdtPr>
                <w:tag w:val="_PLD_af8be2c600724acab3e545cfcbaa3ccf"/>
                <w:id w:val="-1312102976"/>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6E1708AF" w14:textId="77777777" w:rsidR="00830E72" w:rsidRDefault="008344D8">
                    <w:pPr>
                      <w:kinsoku w:val="0"/>
                      <w:overflowPunct w:val="0"/>
                      <w:autoSpaceDE w:val="0"/>
                      <w:autoSpaceDN w:val="0"/>
                      <w:adjustRightInd w:val="0"/>
                      <w:snapToGrid w:val="0"/>
                      <w:rPr>
                        <w:szCs w:val="21"/>
                      </w:rPr>
                    </w:pPr>
                    <w:r>
                      <w:rPr>
                        <w:szCs w:val="21"/>
                      </w:rPr>
                      <w:t>公司的</w:t>
                    </w:r>
                    <w:r>
                      <w:rPr>
                        <w:rFonts w:hint="eastAsia"/>
                        <w:szCs w:val="21"/>
                      </w:rPr>
                      <w:t>法定代表人</w:t>
                    </w:r>
                  </w:p>
                </w:tc>
              </w:sdtContent>
            </w:sdt>
            <w:sdt>
              <w:sdtPr>
                <w:rPr>
                  <w:rFonts w:hint="eastAsia"/>
                  <w:szCs w:val="21"/>
                </w:rPr>
                <w:alias w:val="公司法定代表人"/>
                <w:tag w:val="_GBC_71327a0d8afa49e1aba9d42a68663413"/>
                <w:id w:val="1944807010"/>
                <w:lock w:val="sdtLocked"/>
                <w:text/>
              </w:sdtPr>
              <w:sdtEndPr/>
              <w:sdtContent>
                <w:tc>
                  <w:tcPr>
                    <w:tcW w:w="2831" w:type="pct"/>
                    <w:tcBorders>
                      <w:top w:val="single" w:sz="4" w:space="0" w:color="auto"/>
                      <w:left w:val="single" w:sz="4" w:space="0" w:color="auto"/>
                      <w:bottom w:val="single" w:sz="4" w:space="0" w:color="auto"/>
                    </w:tcBorders>
                  </w:tcPr>
                  <w:p w14:paraId="04B52514" w14:textId="77777777" w:rsidR="00830E72" w:rsidRDefault="008344D8">
                    <w:pPr>
                      <w:kinsoku w:val="0"/>
                      <w:overflowPunct w:val="0"/>
                      <w:autoSpaceDE w:val="0"/>
                      <w:autoSpaceDN w:val="0"/>
                      <w:adjustRightInd w:val="0"/>
                      <w:snapToGrid w:val="0"/>
                      <w:rPr>
                        <w:szCs w:val="21"/>
                      </w:rPr>
                    </w:pPr>
                    <w:r>
                      <w:rPr>
                        <w:rFonts w:hint="eastAsia"/>
                        <w:szCs w:val="21"/>
                      </w:rPr>
                      <w:t>吴小辉</w:t>
                    </w:r>
                  </w:p>
                </w:tc>
              </w:sdtContent>
            </w:sdt>
          </w:tr>
        </w:tbl>
      </w:sdtContent>
    </w:sdt>
    <w:p w14:paraId="4C92102E" w14:textId="77777777" w:rsidR="00830E72" w:rsidRDefault="00830E72">
      <w:pPr>
        <w:kinsoku w:val="0"/>
        <w:overflowPunct w:val="0"/>
        <w:autoSpaceDE w:val="0"/>
        <w:autoSpaceDN w:val="0"/>
        <w:adjustRightInd w:val="0"/>
        <w:snapToGrid w:val="0"/>
        <w:rPr>
          <w:szCs w:val="21"/>
        </w:rPr>
      </w:pPr>
    </w:p>
    <w:bookmarkStart w:id="10" w:name="_Toc342565882" w:displacedByCustomXml="next"/>
    <w:bookmarkStart w:id="11" w:name="_Toc342051042" w:displacedByCustomXml="next"/>
    <w:sdt>
      <w:sdtPr>
        <w:rPr>
          <w:rFonts w:ascii="宋体" w:hAnsi="宋体" w:cs="宋体" w:hint="eastAsia"/>
          <w:b w:val="0"/>
          <w:bCs w:val="0"/>
          <w:kern w:val="0"/>
          <w:szCs w:val="24"/>
        </w:rPr>
        <w:alias w:val="模块:联系人和联系方式"/>
        <w:tag w:val="_GBC_c68db6bd18a148f3a9683d04b791123b"/>
        <w:id w:val="-255827045"/>
        <w:lock w:val="sdtLocked"/>
        <w:placeholder>
          <w:docPart w:val="GBC22222222222222222222222222222"/>
        </w:placeholder>
      </w:sdtPr>
      <w:sdtEndPr/>
      <w:sdtContent>
        <w:p w14:paraId="1A838F4D" w14:textId="77777777" w:rsidR="00830E72" w:rsidRDefault="008344D8">
          <w:pPr>
            <w:pStyle w:val="2"/>
            <w:numPr>
              <w:ilvl w:val="0"/>
              <w:numId w:val="3"/>
            </w:numPr>
            <w:ind w:firstLineChars="0"/>
          </w:pPr>
          <w:r>
            <w:rPr>
              <w:rFonts w:hint="eastAsia"/>
            </w:rPr>
            <w:t>联系人和联系方式</w:t>
          </w:r>
          <w:bookmarkEnd w:id="11"/>
          <w:bookmarkEnd w:id="10"/>
        </w:p>
        <w:tbl>
          <w:tblPr>
            <w:tblStyle w:val="g1"/>
            <w:tblW w:w="5000" w:type="pct"/>
            <w:tblInd w:w="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2158"/>
            <w:gridCol w:w="3402"/>
            <w:gridCol w:w="3333"/>
          </w:tblGrid>
          <w:tr w:rsidR="00830E72" w14:paraId="467ED480" w14:textId="77777777">
            <w:tc>
              <w:tcPr>
                <w:tcW w:w="1213" w:type="pct"/>
                <w:tcBorders>
                  <w:top w:val="single" w:sz="4" w:space="0" w:color="auto"/>
                  <w:bottom w:val="single" w:sz="4" w:space="0" w:color="auto"/>
                  <w:right w:val="single" w:sz="4" w:space="0" w:color="auto"/>
                </w:tcBorders>
                <w:shd w:val="clear" w:color="auto" w:fill="auto"/>
              </w:tcPr>
              <w:p w14:paraId="441D479A" w14:textId="77777777" w:rsidR="00830E72" w:rsidRDefault="00830E72">
                <w:pPr>
                  <w:kinsoku w:val="0"/>
                  <w:overflowPunct w:val="0"/>
                  <w:autoSpaceDE w:val="0"/>
                  <w:autoSpaceDN w:val="0"/>
                  <w:adjustRightInd w:val="0"/>
                  <w:snapToGrid w:val="0"/>
                  <w:rPr>
                    <w:szCs w:val="21"/>
                  </w:rPr>
                </w:pPr>
              </w:p>
            </w:tc>
            <w:tc>
              <w:tcPr>
                <w:tcW w:w="1913" w:type="pct"/>
                <w:tcBorders>
                  <w:top w:val="single" w:sz="4" w:space="0" w:color="auto"/>
                  <w:left w:val="single" w:sz="4" w:space="0" w:color="auto"/>
                  <w:bottom w:val="single" w:sz="4" w:space="0" w:color="auto"/>
                  <w:right w:val="single" w:sz="4" w:space="0" w:color="auto"/>
                </w:tcBorders>
                <w:shd w:val="clear" w:color="auto" w:fill="auto"/>
              </w:tcPr>
              <w:p w14:paraId="3250B57D" w14:textId="77777777" w:rsidR="00830E72" w:rsidRDefault="00D44830">
                <w:pPr>
                  <w:pStyle w:val="ab"/>
                  <w:kinsoku w:val="0"/>
                  <w:overflowPunct w:val="0"/>
                  <w:autoSpaceDE w:val="0"/>
                  <w:autoSpaceDN w:val="0"/>
                  <w:adjustRightInd w:val="0"/>
                  <w:snapToGrid w:val="0"/>
                  <w:jc w:val="center"/>
                  <w:rPr>
                    <w:rFonts w:ascii="宋体" w:hAnsi="宋体"/>
                    <w:color w:val="008000"/>
                  </w:rPr>
                </w:pPr>
                <w:sdt>
                  <w:sdtPr>
                    <w:rPr>
                      <w:rFonts w:ascii="宋体" w:hAnsi="宋体"/>
                    </w:rPr>
                    <w:tag w:val="_PLD_d0432012a3f249c3b4fdd759ff340e86"/>
                    <w:id w:val="-179439378"/>
                    <w:lock w:val="sdtLocked"/>
                  </w:sdtPr>
                  <w:sdtEndPr/>
                  <w:sdtContent>
                    <w:r w:rsidR="008344D8">
                      <w:rPr>
                        <w:rFonts w:ascii="宋体" w:hAnsi="宋体" w:cs="宋体" w:hint="eastAsia"/>
                      </w:rPr>
                      <w:t>董事会秘书</w:t>
                    </w:r>
                  </w:sdtContent>
                </w:sdt>
                <w:r w:rsidR="008344D8">
                  <w:rPr>
                    <w:rFonts w:ascii="宋体" w:hAnsi="宋体"/>
                  </w:rPr>
                  <w:t xml:space="preserve"> </w:t>
                </w:r>
              </w:p>
            </w:tc>
            <w:sdt>
              <w:sdtPr>
                <w:rPr>
                  <w:rFonts w:ascii="宋体" w:hAnsi="宋体"/>
                </w:rPr>
                <w:tag w:val="_PLD_3a25396416c14d2cb0688ae0ac8a1d4d"/>
                <w:id w:val="771358430"/>
                <w:lock w:val="sdtLocked"/>
              </w:sdtPr>
              <w:sdtEndPr/>
              <w:sdtContent>
                <w:tc>
                  <w:tcPr>
                    <w:tcW w:w="1875" w:type="pct"/>
                    <w:tcBorders>
                      <w:top w:val="single" w:sz="4" w:space="0" w:color="auto"/>
                      <w:left w:val="single" w:sz="4" w:space="0" w:color="auto"/>
                      <w:bottom w:val="single" w:sz="4" w:space="0" w:color="auto"/>
                    </w:tcBorders>
                    <w:shd w:val="clear" w:color="auto" w:fill="auto"/>
                  </w:tcPr>
                  <w:p w14:paraId="5D4F4E61" w14:textId="77777777" w:rsidR="00830E72" w:rsidRDefault="008344D8">
                    <w:pPr>
                      <w:pStyle w:val="ab"/>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830E72" w14:paraId="30B45D14" w14:textId="77777777">
            <w:sdt>
              <w:sdtPr>
                <w:tag w:val="_PLD_c18fe8824f6a4cb6b9318e599fe71657"/>
                <w:id w:val="-235021971"/>
                <w:lock w:val="sdtLocked"/>
              </w:sdtPr>
              <w:sdtEndPr/>
              <w:sdtContent>
                <w:tc>
                  <w:tcPr>
                    <w:tcW w:w="1213" w:type="pct"/>
                    <w:tcBorders>
                      <w:top w:val="single" w:sz="4" w:space="0" w:color="auto"/>
                      <w:bottom w:val="single" w:sz="4" w:space="0" w:color="auto"/>
                      <w:right w:val="single" w:sz="4" w:space="0" w:color="auto"/>
                    </w:tcBorders>
                    <w:shd w:val="clear" w:color="auto" w:fill="auto"/>
                  </w:tcPr>
                  <w:p w14:paraId="0AAB169C" w14:textId="77777777" w:rsidR="00830E72" w:rsidRDefault="008344D8">
                    <w:pPr>
                      <w:kinsoku w:val="0"/>
                      <w:overflowPunct w:val="0"/>
                      <w:autoSpaceDE w:val="0"/>
                      <w:autoSpaceDN w:val="0"/>
                      <w:adjustRightInd w:val="0"/>
                      <w:snapToGrid w:val="0"/>
                      <w:rPr>
                        <w:szCs w:val="21"/>
                      </w:rPr>
                    </w:pPr>
                    <w:r>
                      <w:rPr>
                        <w:rFonts w:hint="eastAsia"/>
                        <w:szCs w:val="21"/>
                      </w:rPr>
                      <w:t>姓名</w:t>
                    </w:r>
                  </w:p>
                </w:tc>
              </w:sdtContent>
            </w:sdt>
            <w:tc>
              <w:tcPr>
                <w:tcW w:w="1913" w:type="pct"/>
                <w:tcBorders>
                  <w:top w:val="single" w:sz="4" w:space="0" w:color="auto"/>
                  <w:left w:val="single" w:sz="4" w:space="0" w:color="auto"/>
                  <w:bottom w:val="single" w:sz="4" w:space="0" w:color="auto"/>
                  <w:right w:val="single" w:sz="4" w:space="0" w:color="auto"/>
                </w:tcBorders>
                <w:vAlign w:val="center"/>
              </w:tcPr>
              <w:p w14:paraId="608F058F" w14:textId="77777777" w:rsidR="00830E72" w:rsidRDefault="008344D8">
                <w:pPr>
                  <w:kinsoku w:val="0"/>
                  <w:overflowPunct w:val="0"/>
                  <w:autoSpaceDE w:val="0"/>
                  <w:autoSpaceDN w:val="0"/>
                  <w:adjustRightInd w:val="0"/>
                  <w:snapToGrid w:val="0"/>
                  <w:rPr>
                    <w:szCs w:val="21"/>
                  </w:rPr>
                </w:pPr>
                <w:r>
                  <w:t>曹振明</w:t>
                </w:r>
              </w:p>
            </w:tc>
            <w:tc>
              <w:tcPr>
                <w:tcW w:w="1875" w:type="pct"/>
                <w:tcBorders>
                  <w:top w:val="single" w:sz="4" w:space="0" w:color="auto"/>
                  <w:left w:val="single" w:sz="4" w:space="0" w:color="auto"/>
                  <w:bottom w:val="single" w:sz="4" w:space="0" w:color="auto"/>
                </w:tcBorders>
                <w:vAlign w:val="center"/>
              </w:tcPr>
              <w:p w14:paraId="69D52333" w14:textId="77777777" w:rsidR="00830E72" w:rsidRDefault="008344D8">
                <w:pPr>
                  <w:kinsoku w:val="0"/>
                  <w:overflowPunct w:val="0"/>
                  <w:autoSpaceDE w:val="0"/>
                  <w:autoSpaceDN w:val="0"/>
                  <w:adjustRightInd w:val="0"/>
                  <w:snapToGrid w:val="0"/>
                  <w:rPr>
                    <w:szCs w:val="21"/>
                  </w:rPr>
                </w:pPr>
                <w:r>
                  <w:t>林玲</w:t>
                </w:r>
              </w:p>
            </w:tc>
          </w:tr>
          <w:tr w:rsidR="00830E72" w14:paraId="48AA9402" w14:textId="77777777">
            <w:sdt>
              <w:sdtPr>
                <w:tag w:val="_PLD_7d3032f58380420991f3cbceac5e81fd"/>
                <w:id w:val="-1831123079"/>
                <w:lock w:val="sdtLocked"/>
              </w:sdtPr>
              <w:sdtEndPr/>
              <w:sdtContent>
                <w:tc>
                  <w:tcPr>
                    <w:tcW w:w="1213" w:type="pct"/>
                    <w:tcBorders>
                      <w:top w:val="single" w:sz="4" w:space="0" w:color="auto"/>
                      <w:bottom w:val="single" w:sz="4" w:space="0" w:color="auto"/>
                      <w:right w:val="single" w:sz="4" w:space="0" w:color="auto"/>
                    </w:tcBorders>
                    <w:shd w:val="clear" w:color="auto" w:fill="auto"/>
                  </w:tcPr>
                  <w:p w14:paraId="1263A448" w14:textId="77777777" w:rsidR="00830E72" w:rsidRDefault="008344D8">
                    <w:pPr>
                      <w:kinsoku w:val="0"/>
                      <w:overflowPunct w:val="0"/>
                      <w:autoSpaceDE w:val="0"/>
                      <w:autoSpaceDN w:val="0"/>
                      <w:adjustRightInd w:val="0"/>
                      <w:snapToGrid w:val="0"/>
                      <w:rPr>
                        <w:szCs w:val="21"/>
                      </w:rPr>
                    </w:pPr>
                    <w:r>
                      <w:rPr>
                        <w:rFonts w:hint="eastAsia"/>
                        <w:szCs w:val="21"/>
                      </w:rPr>
                      <w:t>联系地址</w:t>
                    </w:r>
                  </w:p>
                </w:tc>
              </w:sdtContent>
            </w:sdt>
            <w:tc>
              <w:tcPr>
                <w:tcW w:w="1913" w:type="pct"/>
                <w:tcBorders>
                  <w:top w:val="single" w:sz="4" w:space="0" w:color="auto"/>
                  <w:left w:val="single" w:sz="4" w:space="0" w:color="auto"/>
                  <w:bottom w:val="single" w:sz="4" w:space="0" w:color="auto"/>
                  <w:right w:val="single" w:sz="4" w:space="0" w:color="auto"/>
                </w:tcBorders>
                <w:vAlign w:val="center"/>
              </w:tcPr>
              <w:p w14:paraId="13A213BC" w14:textId="77777777" w:rsidR="00830E72" w:rsidRDefault="008344D8">
                <w:pPr>
                  <w:kinsoku w:val="0"/>
                  <w:overflowPunct w:val="0"/>
                  <w:autoSpaceDE w:val="0"/>
                  <w:autoSpaceDN w:val="0"/>
                  <w:adjustRightInd w:val="0"/>
                  <w:snapToGrid w:val="0"/>
                  <w:rPr>
                    <w:szCs w:val="21"/>
                  </w:rPr>
                </w:pPr>
                <w:r>
                  <w:t>安徽省合肥市庐阳区濉溪路310号</w:t>
                </w:r>
              </w:p>
            </w:tc>
            <w:tc>
              <w:tcPr>
                <w:tcW w:w="1875" w:type="pct"/>
                <w:tcBorders>
                  <w:top w:val="single" w:sz="4" w:space="0" w:color="auto"/>
                  <w:left w:val="single" w:sz="4" w:space="0" w:color="auto"/>
                  <w:bottom w:val="single" w:sz="4" w:space="0" w:color="auto"/>
                </w:tcBorders>
                <w:vAlign w:val="center"/>
              </w:tcPr>
              <w:p w14:paraId="4BDBC1E7" w14:textId="77777777" w:rsidR="00830E72" w:rsidRDefault="008344D8">
                <w:pPr>
                  <w:kinsoku w:val="0"/>
                  <w:overflowPunct w:val="0"/>
                  <w:autoSpaceDE w:val="0"/>
                  <w:autoSpaceDN w:val="0"/>
                  <w:adjustRightInd w:val="0"/>
                  <w:snapToGrid w:val="0"/>
                  <w:rPr>
                    <w:szCs w:val="21"/>
                  </w:rPr>
                </w:pPr>
                <w:r>
                  <w:t>安徽省合肥市庐阳区濉溪路310号</w:t>
                </w:r>
              </w:p>
            </w:tc>
          </w:tr>
          <w:tr w:rsidR="00830E72" w14:paraId="7C696563" w14:textId="77777777">
            <w:sdt>
              <w:sdtPr>
                <w:tag w:val="_PLD_84ed4619f9cd46ba8ed261c2524b976d"/>
                <w:id w:val="1248008699"/>
                <w:lock w:val="sdtLocked"/>
              </w:sdtPr>
              <w:sdtEndPr/>
              <w:sdtContent>
                <w:tc>
                  <w:tcPr>
                    <w:tcW w:w="1213" w:type="pct"/>
                    <w:tcBorders>
                      <w:top w:val="single" w:sz="4" w:space="0" w:color="auto"/>
                      <w:bottom w:val="single" w:sz="4" w:space="0" w:color="auto"/>
                      <w:right w:val="single" w:sz="4" w:space="0" w:color="auto"/>
                    </w:tcBorders>
                    <w:shd w:val="clear" w:color="auto" w:fill="auto"/>
                  </w:tcPr>
                  <w:p w14:paraId="52FCE971" w14:textId="77777777" w:rsidR="00830E72" w:rsidRDefault="008344D8">
                    <w:pPr>
                      <w:kinsoku w:val="0"/>
                      <w:overflowPunct w:val="0"/>
                      <w:autoSpaceDE w:val="0"/>
                      <w:autoSpaceDN w:val="0"/>
                      <w:adjustRightInd w:val="0"/>
                      <w:snapToGrid w:val="0"/>
                      <w:rPr>
                        <w:szCs w:val="21"/>
                      </w:rPr>
                    </w:pPr>
                    <w:r>
                      <w:rPr>
                        <w:szCs w:val="21"/>
                      </w:rPr>
                      <w:t>电话</w:t>
                    </w:r>
                  </w:p>
                </w:tc>
              </w:sdtContent>
            </w:sdt>
            <w:tc>
              <w:tcPr>
                <w:tcW w:w="1913" w:type="pct"/>
                <w:tcBorders>
                  <w:top w:val="single" w:sz="4" w:space="0" w:color="auto"/>
                  <w:left w:val="single" w:sz="4" w:space="0" w:color="auto"/>
                  <w:bottom w:val="single" w:sz="4" w:space="0" w:color="auto"/>
                  <w:right w:val="single" w:sz="4" w:space="0" w:color="auto"/>
                </w:tcBorders>
                <w:vAlign w:val="center"/>
              </w:tcPr>
              <w:p w14:paraId="4B94704A" w14:textId="77777777" w:rsidR="00830E72" w:rsidRDefault="008344D8">
                <w:pPr>
                  <w:kinsoku w:val="0"/>
                  <w:overflowPunct w:val="0"/>
                  <w:autoSpaceDE w:val="0"/>
                  <w:autoSpaceDN w:val="0"/>
                  <w:adjustRightInd w:val="0"/>
                  <w:snapToGrid w:val="0"/>
                  <w:rPr>
                    <w:szCs w:val="21"/>
                  </w:rPr>
                </w:pPr>
                <w:r>
                  <w:t>0551-67116520</w:t>
                </w:r>
              </w:p>
            </w:tc>
            <w:tc>
              <w:tcPr>
                <w:tcW w:w="1875" w:type="pct"/>
                <w:tcBorders>
                  <w:top w:val="single" w:sz="4" w:space="0" w:color="auto"/>
                  <w:left w:val="single" w:sz="4" w:space="0" w:color="auto"/>
                  <w:bottom w:val="single" w:sz="4" w:space="0" w:color="auto"/>
                </w:tcBorders>
                <w:vAlign w:val="center"/>
              </w:tcPr>
              <w:p w14:paraId="18A4915D" w14:textId="77777777" w:rsidR="00830E72" w:rsidRDefault="008344D8">
                <w:pPr>
                  <w:kinsoku w:val="0"/>
                  <w:overflowPunct w:val="0"/>
                  <w:autoSpaceDE w:val="0"/>
                  <w:autoSpaceDN w:val="0"/>
                  <w:adjustRightInd w:val="0"/>
                  <w:snapToGrid w:val="0"/>
                  <w:rPr>
                    <w:szCs w:val="21"/>
                  </w:rPr>
                </w:pPr>
                <w:r>
                  <w:t>0551-67116520</w:t>
                </w:r>
              </w:p>
            </w:tc>
          </w:tr>
          <w:tr w:rsidR="00830E72" w14:paraId="50A9E866" w14:textId="77777777">
            <w:sdt>
              <w:sdtPr>
                <w:tag w:val="_PLD_53ff1b9808534a99b3bbc1bc09dac246"/>
                <w:id w:val="-282647182"/>
                <w:lock w:val="sdtLocked"/>
              </w:sdtPr>
              <w:sdtEndPr/>
              <w:sdtContent>
                <w:tc>
                  <w:tcPr>
                    <w:tcW w:w="1213" w:type="pct"/>
                    <w:tcBorders>
                      <w:top w:val="single" w:sz="4" w:space="0" w:color="auto"/>
                      <w:bottom w:val="single" w:sz="4" w:space="0" w:color="auto"/>
                      <w:right w:val="single" w:sz="4" w:space="0" w:color="auto"/>
                    </w:tcBorders>
                    <w:shd w:val="clear" w:color="auto" w:fill="auto"/>
                  </w:tcPr>
                  <w:p w14:paraId="7263878A" w14:textId="77777777" w:rsidR="00830E72" w:rsidRDefault="008344D8">
                    <w:pPr>
                      <w:kinsoku w:val="0"/>
                      <w:overflowPunct w:val="0"/>
                      <w:autoSpaceDE w:val="0"/>
                      <w:autoSpaceDN w:val="0"/>
                      <w:adjustRightInd w:val="0"/>
                      <w:snapToGrid w:val="0"/>
                      <w:rPr>
                        <w:szCs w:val="21"/>
                      </w:rPr>
                    </w:pPr>
                    <w:r>
                      <w:rPr>
                        <w:szCs w:val="21"/>
                      </w:rPr>
                      <w:t>传真</w:t>
                    </w:r>
                  </w:p>
                </w:tc>
              </w:sdtContent>
            </w:sdt>
            <w:tc>
              <w:tcPr>
                <w:tcW w:w="1913" w:type="pct"/>
                <w:tcBorders>
                  <w:top w:val="single" w:sz="4" w:space="0" w:color="auto"/>
                  <w:left w:val="single" w:sz="4" w:space="0" w:color="auto"/>
                  <w:bottom w:val="single" w:sz="4" w:space="0" w:color="auto"/>
                  <w:right w:val="single" w:sz="4" w:space="0" w:color="auto"/>
                </w:tcBorders>
                <w:vAlign w:val="center"/>
              </w:tcPr>
              <w:p w14:paraId="6F53ADA5" w14:textId="77777777" w:rsidR="00830E72" w:rsidRDefault="008344D8">
                <w:pPr>
                  <w:kinsoku w:val="0"/>
                  <w:overflowPunct w:val="0"/>
                  <w:autoSpaceDE w:val="0"/>
                  <w:autoSpaceDN w:val="0"/>
                  <w:adjustRightInd w:val="0"/>
                  <w:snapToGrid w:val="0"/>
                  <w:rPr>
                    <w:szCs w:val="21"/>
                  </w:rPr>
                </w:pPr>
                <w:r>
                  <w:t>0551-67126929</w:t>
                </w:r>
              </w:p>
            </w:tc>
            <w:tc>
              <w:tcPr>
                <w:tcW w:w="1875" w:type="pct"/>
                <w:tcBorders>
                  <w:top w:val="single" w:sz="4" w:space="0" w:color="auto"/>
                  <w:left w:val="single" w:sz="4" w:space="0" w:color="auto"/>
                  <w:bottom w:val="single" w:sz="4" w:space="0" w:color="auto"/>
                </w:tcBorders>
                <w:vAlign w:val="center"/>
              </w:tcPr>
              <w:p w14:paraId="78397E29" w14:textId="77777777" w:rsidR="00830E72" w:rsidRDefault="008344D8">
                <w:pPr>
                  <w:kinsoku w:val="0"/>
                  <w:overflowPunct w:val="0"/>
                  <w:autoSpaceDE w:val="0"/>
                  <w:autoSpaceDN w:val="0"/>
                  <w:adjustRightInd w:val="0"/>
                  <w:snapToGrid w:val="0"/>
                  <w:rPr>
                    <w:szCs w:val="21"/>
                  </w:rPr>
                </w:pPr>
                <w:r>
                  <w:t>0551-67126929</w:t>
                </w:r>
              </w:p>
            </w:tc>
          </w:tr>
          <w:tr w:rsidR="00830E72" w14:paraId="34F25407" w14:textId="77777777">
            <w:sdt>
              <w:sdtPr>
                <w:tag w:val="_PLD_18165b6e55e1423db094125dc7ac3ad0"/>
                <w:id w:val="-740554253"/>
                <w:lock w:val="sdtLocked"/>
              </w:sdtPr>
              <w:sdtEndPr/>
              <w:sdtContent>
                <w:tc>
                  <w:tcPr>
                    <w:tcW w:w="1213" w:type="pct"/>
                    <w:tcBorders>
                      <w:top w:val="single" w:sz="4" w:space="0" w:color="auto"/>
                      <w:bottom w:val="single" w:sz="4" w:space="0" w:color="auto"/>
                      <w:right w:val="single" w:sz="4" w:space="0" w:color="auto"/>
                    </w:tcBorders>
                    <w:shd w:val="clear" w:color="auto" w:fill="auto"/>
                  </w:tcPr>
                  <w:p w14:paraId="2145747D" w14:textId="77777777" w:rsidR="00830E72" w:rsidRDefault="008344D8">
                    <w:pPr>
                      <w:kinsoku w:val="0"/>
                      <w:overflowPunct w:val="0"/>
                      <w:autoSpaceDE w:val="0"/>
                      <w:autoSpaceDN w:val="0"/>
                      <w:adjustRightInd w:val="0"/>
                      <w:snapToGrid w:val="0"/>
                      <w:rPr>
                        <w:szCs w:val="21"/>
                      </w:rPr>
                    </w:pPr>
                    <w:r>
                      <w:rPr>
                        <w:szCs w:val="21"/>
                      </w:rPr>
                      <w:t>电子信箱</w:t>
                    </w:r>
                  </w:p>
                </w:tc>
              </w:sdtContent>
            </w:sdt>
            <w:tc>
              <w:tcPr>
                <w:tcW w:w="1913" w:type="pct"/>
                <w:tcBorders>
                  <w:top w:val="single" w:sz="4" w:space="0" w:color="auto"/>
                  <w:left w:val="single" w:sz="4" w:space="0" w:color="auto"/>
                  <w:bottom w:val="single" w:sz="4" w:space="0" w:color="auto"/>
                  <w:right w:val="single" w:sz="4" w:space="0" w:color="auto"/>
                </w:tcBorders>
                <w:vAlign w:val="center"/>
              </w:tcPr>
              <w:p w14:paraId="00929450" w14:textId="77777777" w:rsidR="00830E72" w:rsidRDefault="008344D8">
                <w:pPr>
                  <w:kinsoku w:val="0"/>
                  <w:overflowPunct w:val="0"/>
                  <w:autoSpaceDE w:val="0"/>
                  <w:autoSpaceDN w:val="0"/>
                  <w:adjustRightInd w:val="0"/>
                  <w:snapToGrid w:val="0"/>
                  <w:rPr>
                    <w:szCs w:val="21"/>
                  </w:rPr>
                </w:pPr>
                <w:r>
                  <w:t>ahjj@gourgen.com</w:t>
                </w:r>
              </w:p>
            </w:tc>
            <w:tc>
              <w:tcPr>
                <w:tcW w:w="1875" w:type="pct"/>
                <w:tcBorders>
                  <w:top w:val="single" w:sz="4" w:space="0" w:color="auto"/>
                  <w:left w:val="single" w:sz="4" w:space="0" w:color="auto"/>
                  <w:bottom w:val="single" w:sz="4" w:space="0" w:color="auto"/>
                </w:tcBorders>
                <w:vAlign w:val="center"/>
              </w:tcPr>
              <w:p w14:paraId="12507DAF" w14:textId="77777777" w:rsidR="00830E72" w:rsidRDefault="008344D8">
                <w:pPr>
                  <w:kinsoku w:val="0"/>
                  <w:overflowPunct w:val="0"/>
                  <w:autoSpaceDE w:val="0"/>
                  <w:autoSpaceDN w:val="0"/>
                  <w:adjustRightInd w:val="0"/>
                  <w:snapToGrid w:val="0"/>
                  <w:rPr>
                    <w:szCs w:val="21"/>
                  </w:rPr>
                </w:pPr>
                <w:r>
                  <w:t>ahjj@gourgen.com</w:t>
                </w:r>
              </w:p>
            </w:tc>
          </w:tr>
        </w:tbl>
      </w:sdtContent>
    </w:sdt>
    <w:p w14:paraId="4F8E7163" w14:textId="77777777" w:rsidR="00830E72" w:rsidRDefault="00830E72">
      <w:pPr>
        <w:kinsoku w:val="0"/>
        <w:overflowPunct w:val="0"/>
        <w:autoSpaceDE w:val="0"/>
        <w:autoSpaceDN w:val="0"/>
        <w:adjustRightInd w:val="0"/>
        <w:snapToGrid w:val="0"/>
        <w:rPr>
          <w:szCs w:val="21"/>
        </w:rPr>
      </w:pPr>
    </w:p>
    <w:sdt>
      <w:sdtPr>
        <w:rPr>
          <w:rFonts w:ascii="宋体" w:hAnsi="宋体" w:cs="宋体"/>
          <w:b w:val="0"/>
          <w:bCs w:val="0"/>
          <w:kern w:val="0"/>
          <w:szCs w:val="24"/>
        </w:rPr>
        <w:alias w:val="模块:基本情况变更简介公司注册地址公司注册地址的邮政编码（..."/>
        <w:tag w:val="_SEC_3b2e98069dfe4938a93e32b37561ce15"/>
        <w:id w:val="1084110826"/>
        <w:lock w:val="sdtLocked"/>
        <w:placeholder>
          <w:docPart w:val="GBC22222222222222222222222222222"/>
        </w:placeholder>
      </w:sdtPr>
      <w:sdtEndPr/>
      <w:sdtContent>
        <w:p w14:paraId="26A0C72F" w14:textId="77777777" w:rsidR="00830E72" w:rsidRDefault="008344D8">
          <w:pPr>
            <w:pStyle w:val="2"/>
            <w:numPr>
              <w:ilvl w:val="0"/>
              <w:numId w:val="3"/>
            </w:numPr>
            <w:ind w:firstLineChars="0"/>
          </w:pPr>
          <w:r>
            <w:t>基本情况变更简介</w:t>
          </w:r>
        </w:p>
        <w:tbl>
          <w:tblPr>
            <w:tblStyle w:val="g1"/>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58"/>
            <w:gridCol w:w="5035"/>
          </w:tblGrid>
          <w:tr w:rsidR="00830E72" w14:paraId="42420AC3" w14:textId="77777777">
            <w:trPr>
              <w:trHeight w:val="293"/>
            </w:trPr>
            <w:sdt>
              <w:sdtPr>
                <w:tag w:val="_PLD_85d89a4aa7974727a1dc32c53cb7ca26"/>
                <w:id w:val="-2016294858"/>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01061A90" w14:textId="77777777" w:rsidR="00830E72" w:rsidRDefault="008344D8">
                    <w:pPr>
                      <w:kinsoku w:val="0"/>
                      <w:overflowPunct w:val="0"/>
                      <w:autoSpaceDE w:val="0"/>
                      <w:autoSpaceDN w:val="0"/>
                      <w:adjustRightInd w:val="0"/>
                      <w:snapToGrid w:val="0"/>
                      <w:rPr>
                        <w:szCs w:val="21"/>
                      </w:rPr>
                    </w:pPr>
                    <w:r>
                      <w:t>公司注册地址</w:t>
                    </w:r>
                  </w:p>
                </w:tc>
              </w:sdtContent>
            </w:sdt>
            <w:sdt>
              <w:sdtPr>
                <w:rPr>
                  <w:szCs w:val="21"/>
                </w:rPr>
                <w:alias w:val="公司注册地址"/>
                <w:tag w:val="_GBC_176149bee7bf41819b29097eb854f331"/>
                <w:id w:val="455525612"/>
                <w:lock w:val="sdtLocked"/>
              </w:sdtPr>
              <w:sdtEndPr/>
              <w:sdtContent>
                <w:tc>
                  <w:tcPr>
                    <w:tcW w:w="2831" w:type="pct"/>
                    <w:tcBorders>
                      <w:top w:val="single" w:sz="4" w:space="0" w:color="auto"/>
                      <w:left w:val="single" w:sz="4" w:space="0" w:color="auto"/>
                      <w:bottom w:val="single" w:sz="4" w:space="0" w:color="auto"/>
                    </w:tcBorders>
                  </w:tcPr>
                  <w:p w14:paraId="6235BA89" w14:textId="77777777" w:rsidR="00830E72" w:rsidRDefault="008344D8">
                    <w:pPr>
                      <w:kinsoku w:val="0"/>
                      <w:overflowPunct w:val="0"/>
                      <w:autoSpaceDE w:val="0"/>
                      <w:autoSpaceDN w:val="0"/>
                      <w:adjustRightInd w:val="0"/>
                      <w:snapToGrid w:val="0"/>
                      <w:rPr>
                        <w:szCs w:val="21"/>
                      </w:rPr>
                    </w:pPr>
                    <w:r>
                      <w:rPr>
                        <w:szCs w:val="21"/>
                      </w:rPr>
                      <w:t>安徽省合肥市庐阳区濉溪路310号</w:t>
                    </w:r>
                  </w:p>
                </w:tc>
              </w:sdtContent>
            </w:sdt>
          </w:tr>
          <w:tr w:rsidR="00830E72" w14:paraId="248EF5A6" w14:textId="77777777">
            <w:trPr>
              <w:trHeight w:val="293"/>
            </w:trPr>
            <w:tc>
              <w:tcPr>
                <w:tcW w:w="2169" w:type="pct"/>
                <w:tcBorders>
                  <w:top w:val="single" w:sz="4" w:space="0" w:color="auto"/>
                  <w:bottom w:val="single" w:sz="4" w:space="0" w:color="auto"/>
                  <w:right w:val="single" w:sz="4" w:space="0" w:color="auto"/>
                </w:tcBorders>
                <w:shd w:val="clear" w:color="auto" w:fill="auto"/>
              </w:tcPr>
              <w:sdt>
                <w:sdtPr>
                  <w:rPr>
                    <w:rFonts w:hint="eastAsia"/>
                  </w:rPr>
                  <w:tag w:val="_PLD_86df6b07c3cb4a49842ab34107a073eb"/>
                  <w:id w:val="92593073"/>
                  <w:lock w:val="sdtLocked"/>
                </w:sdtPr>
                <w:sdtEndPr/>
                <w:sdtContent>
                  <w:p w14:paraId="7AA3BCD8" w14:textId="77777777" w:rsidR="00830E72" w:rsidRDefault="008344D8">
                    <w:pPr>
                      <w:kinsoku w:val="0"/>
                      <w:overflowPunct w:val="0"/>
                      <w:autoSpaceDE w:val="0"/>
                      <w:autoSpaceDN w:val="0"/>
                      <w:adjustRightInd w:val="0"/>
                      <w:snapToGrid w:val="0"/>
                    </w:pPr>
                    <w:r>
                      <w:rPr>
                        <w:rFonts w:hint="eastAsia"/>
                      </w:rPr>
                      <w:t>公司注册地址的历史变更情况</w:t>
                    </w:r>
                  </w:p>
                </w:sdtContent>
              </w:sdt>
            </w:tc>
            <w:sdt>
              <w:sdtPr>
                <w:rPr>
                  <w:szCs w:val="21"/>
                </w:rPr>
                <w:alias w:val="公司注册地址的历史变更情况"/>
                <w:tag w:val="_GBC_1ae6dbe87be04682949409d4dbd0335e"/>
                <w:id w:val="2031598877"/>
                <w:lock w:val="sdtLocked"/>
              </w:sdtPr>
              <w:sdtEndPr/>
              <w:sdtContent>
                <w:tc>
                  <w:tcPr>
                    <w:tcW w:w="2831" w:type="pct"/>
                    <w:tcBorders>
                      <w:top w:val="single" w:sz="4" w:space="0" w:color="auto"/>
                      <w:left w:val="single" w:sz="4" w:space="0" w:color="auto"/>
                      <w:bottom w:val="single" w:sz="4" w:space="0" w:color="auto"/>
                    </w:tcBorders>
                  </w:tcPr>
                  <w:p w14:paraId="76909AC9" w14:textId="77777777" w:rsidR="00830E72" w:rsidRDefault="008344D8">
                    <w:pPr>
                      <w:kinsoku w:val="0"/>
                      <w:overflowPunct w:val="0"/>
                      <w:autoSpaceDE w:val="0"/>
                      <w:autoSpaceDN w:val="0"/>
                      <w:adjustRightInd w:val="0"/>
                      <w:snapToGrid w:val="0"/>
                      <w:rPr>
                        <w:szCs w:val="21"/>
                      </w:rPr>
                    </w:pPr>
                    <w:r>
                      <w:rPr>
                        <w:szCs w:val="21"/>
                      </w:rPr>
                      <w:t>230041</w:t>
                    </w:r>
                  </w:p>
                </w:tc>
              </w:sdtContent>
            </w:sdt>
          </w:tr>
          <w:tr w:rsidR="00830E72" w14:paraId="60FB38FC" w14:textId="77777777">
            <w:trPr>
              <w:trHeight w:val="293"/>
            </w:trPr>
            <w:sdt>
              <w:sdtPr>
                <w:tag w:val="_PLD_afb934b530604b0a8d7df0bf16875d49"/>
                <w:id w:val="1731419495"/>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1B72B90C" w14:textId="77777777" w:rsidR="00830E72" w:rsidRDefault="008344D8">
                    <w:pPr>
                      <w:kinsoku w:val="0"/>
                      <w:overflowPunct w:val="0"/>
                      <w:autoSpaceDE w:val="0"/>
                      <w:autoSpaceDN w:val="0"/>
                      <w:adjustRightInd w:val="0"/>
                      <w:snapToGrid w:val="0"/>
                      <w:rPr>
                        <w:szCs w:val="21"/>
                      </w:rPr>
                    </w:pPr>
                    <w:r>
                      <w:t>公司办公地址</w:t>
                    </w:r>
                  </w:p>
                </w:tc>
              </w:sdtContent>
            </w:sdt>
            <w:sdt>
              <w:sdtPr>
                <w:rPr>
                  <w:rFonts w:hint="eastAsia"/>
                  <w:szCs w:val="21"/>
                </w:rPr>
                <w:alias w:val="公司办公地址"/>
                <w:tag w:val="_GBC_5d7ed1a91af0489a99a8b9a1eb39057e"/>
                <w:id w:val="-1998562582"/>
                <w:lock w:val="sdtLocked"/>
              </w:sdtPr>
              <w:sdtEndPr/>
              <w:sdtContent>
                <w:tc>
                  <w:tcPr>
                    <w:tcW w:w="2831" w:type="pct"/>
                    <w:tcBorders>
                      <w:top w:val="single" w:sz="4" w:space="0" w:color="auto"/>
                      <w:left w:val="single" w:sz="4" w:space="0" w:color="auto"/>
                      <w:bottom w:val="single" w:sz="4" w:space="0" w:color="auto"/>
                    </w:tcBorders>
                  </w:tcPr>
                  <w:p w14:paraId="1B31CFBD" w14:textId="77777777" w:rsidR="00830E72" w:rsidRDefault="008344D8">
                    <w:pPr>
                      <w:kinsoku w:val="0"/>
                      <w:overflowPunct w:val="0"/>
                      <w:autoSpaceDE w:val="0"/>
                      <w:autoSpaceDN w:val="0"/>
                      <w:adjustRightInd w:val="0"/>
                      <w:snapToGrid w:val="0"/>
                      <w:rPr>
                        <w:szCs w:val="21"/>
                      </w:rPr>
                    </w:pPr>
                    <w:r>
                      <w:rPr>
                        <w:rFonts w:hint="eastAsia"/>
                        <w:szCs w:val="21"/>
                      </w:rPr>
                      <w:t>安徽省合肥市庐阳区濉溪路310号</w:t>
                    </w:r>
                  </w:p>
                </w:tc>
              </w:sdtContent>
            </w:sdt>
          </w:tr>
          <w:tr w:rsidR="00830E72" w14:paraId="34F910E1" w14:textId="77777777">
            <w:trPr>
              <w:trHeight w:val="293"/>
            </w:trPr>
            <w:sdt>
              <w:sdtPr>
                <w:tag w:val="_PLD_0b92629df2db4d92969852a0afee64f9"/>
                <w:id w:val="354855753"/>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20C605A6" w14:textId="77777777" w:rsidR="00830E72" w:rsidRDefault="008344D8">
                    <w:pPr>
                      <w:kinsoku w:val="0"/>
                      <w:overflowPunct w:val="0"/>
                      <w:autoSpaceDE w:val="0"/>
                      <w:autoSpaceDN w:val="0"/>
                      <w:adjustRightInd w:val="0"/>
                      <w:snapToGrid w:val="0"/>
                      <w:rPr>
                        <w:szCs w:val="21"/>
                      </w:rPr>
                    </w:pPr>
                    <w:r>
                      <w:t>公司办公地址的邮政编码</w:t>
                    </w:r>
                  </w:p>
                </w:tc>
              </w:sdtContent>
            </w:sdt>
            <w:sdt>
              <w:sdtPr>
                <w:rPr>
                  <w:rFonts w:hint="eastAsia"/>
                  <w:szCs w:val="21"/>
                </w:rPr>
                <w:alias w:val="公司办公地址邮政编码"/>
                <w:tag w:val="_GBC_0b586d6a76e74eb5bfd69803dd5b3f21"/>
                <w:id w:val="1640770187"/>
                <w:lock w:val="sdtLocked"/>
              </w:sdtPr>
              <w:sdtEndPr/>
              <w:sdtContent>
                <w:tc>
                  <w:tcPr>
                    <w:tcW w:w="2831" w:type="pct"/>
                    <w:tcBorders>
                      <w:top w:val="single" w:sz="4" w:space="0" w:color="auto"/>
                      <w:left w:val="single" w:sz="4" w:space="0" w:color="auto"/>
                      <w:bottom w:val="single" w:sz="4" w:space="0" w:color="auto"/>
                    </w:tcBorders>
                  </w:tcPr>
                  <w:p w14:paraId="67D36C92" w14:textId="77777777" w:rsidR="00830E72" w:rsidRDefault="008344D8">
                    <w:pPr>
                      <w:kinsoku w:val="0"/>
                      <w:overflowPunct w:val="0"/>
                      <w:autoSpaceDE w:val="0"/>
                      <w:autoSpaceDN w:val="0"/>
                      <w:adjustRightInd w:val="0"/>
                      <w:snapToGrid w:val="0"/>
                      <w:rPr>
                        <w:szCs w:val="21"/>
                      </w:rPr>
                    </w:pPr>
                    <w:r>
                      <w:rPr>
                        <w:rFonts w:hint="eastAsia"/>
                        <w:szCs w:val="21"/>
                      </w:rPr>
                      <w:t>230041</w:t>
                    </w:r>
                  </w:p>
                </w:tc>
              </w:sdtContent>
            </w:sdt>
          </w:tr>
          <w:tr w:rsidR="00830E72" w14:paraId="5FCD8C5A" w14:textId="77777777">
            <w:trPr>
              <w:trHeight w:val="293"/>
            </w:trPr>
            <w:sdt>
              <w:sdtPr>
                <w:tag w:val="_PLD_0d67a69c3a1340c3a07767557b490fe5"/>
                <w:id w:val="1730411123"/>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52095A89" w14:textId="77777777" w:rsidR="00830E72" w:rsidRDefault="008344D8">
                    <w:pPr>
                      <w:kinsoku w:val="0"/>
                      <w:overflowPunct w:val="0"/>
                      <w:autoSpaceDE w:val="0"/>
                      <w:autoSpaceDN w:val="0"/>
                      <w:adjustRightInd w:val="0"/>
                      <w:snapToGrid w:val="0"/>
                      <w:rPr>
                        <w:szCs w:val="21"/>
                      </w:rPr>
                    </w:pPr>
                    <w:r>
                      <w:t>公司网址</w:t>
                    </w:r>
                  </w:p>
                </w:tc>
              </w:sdtContent>
            </w:sdt>
            <w:sdt>
              <w:sdtPr>
                <w:rPr>
                  <w:rFonts w:hint="eastAsia"/>
                  <w:szCs w:val="21"/>
                </w:rPr>
                <w:alias w:val="公司国际互联网网址"/>
                <w:tag w:val="_GBC_7230b5ca49734fc2ad410245ff685045"/>
                <w:id w:val="-1955781523"/>
                <w:lock w:val="sdtLocked"/>
              </w:sdtPr>
              <w:sdtEndPr/>
              <w:sdtContent>
                <w:tc>
                  <w:tcPr>
                    <w:tcW w:w="2831" w:type="pct"/>
                    <w:tcBorders>
                      <w:top w:val="single" w:sz="4" w:space="0" w:color="auto"/>
                      <w:left w:val="single" w:sz="4" w:space="0" w:color="auto"/>
                      <w:bottom w:val="single" w:sz="4" w:space="0" w:color="auto"/>
                    </w:tcBorders>
                  </w:tcPr>
                  <w:p w14:paraId="4BE30898" w14:textId="77777777" w:rsidR="00830E72" w:rsidRDefault="008344D8">
                    <w:pPr>
                      <w:kinsoku w:val="0"/>
                      <w:overflowPunct w:val="0"/>
                      <w:autoSpaceDE w:val="0"/>
                      <w:autoSpaceDN w:val="0"/>
                      <w:adjustRightInd w:val="0"/>
                      <w:snapToGrid w:val="0"/>
                      <w:rPr>
                        <w:szCs w:val="21"/>
                      </w:rPr>
                    </w:pPr>
                    <w:r>
                      <w:rPr>
                        <w:rFonts w:hint="eastAsia"/>
                        <w:szCs w:val="21"/>
                      </w:rPr>
                      <w:t>http://www.gourgen.com</w:t>
                    </w:r>
                  </w:p>
                </w:tc>
              </w:sdtContent>
            </w:sdt>
          </w:tr>
          <w:tr w:rsidR="00830E72" w14:paraId="04BF69E5" w14:textId="77777777">
            <w:trPr>
              <w:trHeight w:val="293"/>
            </w:trPr>
            <w:sdt>
              <w:sdtPr>
                <w:tag w:val="_PLD_f90a226f402046c6b34fcce5cb28265b"/>
                <w:id w:val="-1301606784"/>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6B8E506E" w14:textId="77777777" w:rsidR="00830E72" w:rsidRDefault="008344D8">
                    <w:pPr>
                      <w:kinsoku w:val="0"/>
                      <w:overflowPunct w:val="0"/>
                      <w:autoSpaceDE w:val="0"/>
                      <w:autoSpaceDN w:val="0"/>
                      <w:adjustRightInd w:val="0"/>
                      <w:snapToGrid w:val="0"/>
                      <w:rPr>
                        <w:szCs w:val="21"/>
                      </w:rPr>
                    </w:pPr>
                    <w:r>
                      <w:t>电子信箱</w:t>
                    </w:r>
                  </w:p>
                </w:tc>
              </w:sdtContent>
            </w:sdt>
            <w:sdt>
              <w:sdtPr>
                <w:rPr>
                  <w:rFonts w:hint="eastAsia"/>
                  <w:szCs w:val="21"/>
                </w:rPr>
                <w:alias w:val="公司电子信箱"/>
                <w:tag w:val="_GBC_229dc578e23341bbaf9302c6a1aaeb1e"/>
                <w:id w:val="-1711796433"/>
                <w:lock w:val="sdtLocked"/>
              </w:sdtPr>
              <w:sdtEndPr/>
              <w:sdtContent>
                <w:tc>
                  <w:tcPr>
                    <w:tcW w:w="2831" w:type="pct"/>
                    <w:tcBorders>
                      <w:top w:val="single" w:sz="4" w:space="0" w:color="auto"/>
                      <w:left w:val="single" w:sz="4" w:space="0" w:color="auto"/>
                      <w:bottom w:val="single" w:sz="4" w:space="0" w:color="auto"/>
                    </w:tcBorders>
                  </w:tcPr>
                  <w:p w14:paraId="4DB06FD7" w14:textId="77777777" w:rsidR="00830E72" w:rsidRDefault="008344D8">
                    <w:pPr>
                      <w:kinsoku w:val="0"/>
                      <w:overflowPunct w:val="0"/>
                      <w:autoSpaceDE w:val="0"/>
                      <w:autoSpaceDN w:val="0"/>
                      <w:adjustRightInd w:val="0"/>
                      <w:snapToGrid w:val="0"/>
                      <w:rPr>
                        <w:szCs w:val="21"/>
                      </w:rPr>
                    </w:pPr>
                    <w:r>
                      <w:rPr>
                        <w:rFonts w:hint="eastAsia"/>
                        <w:szCs w:val="21"/>
                      </w:rPr>
                      <w:t>ahjj@gourgen.com</w:t>
                    </w:r>
                  </w:p>
                </w:tc>
              </w:sdtContent>
            </w:sdt>
          </w:tr>
          <w:tr w:rsidR="00830E72" w14:paraId="59E9F1B5" w14:textId="77777777">
            <w:trPr>
              <w:trHeight w:val="293"/>
            </w:trPr>
            <w:sdt>
              <w:sdtPr>
                <w:tag w:val="_PLD_780e327206de42a7a09f77e6debfb7d1"/>
                <w:id w:val="-1230846994"/>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3E4E210D" w14:textId="77777777" w:rsidR="00830E72" w:rsidRDefault="008344D8">
                    <w:pPr>
                      <w:kinsoku w:val="0"/>
                      <w:overflowPunct w:val="0"/>
                      <w:autoSpaceDE w:val="0"/>
                      <w:autoSpaceDN w:val="0"/>
                      <w:adjustRightInd w:val="0"/>
                      <w:snapToGrid w:val="0"/>
                      <w:rPr>
                        <w:szCs w:val="21"/>
                      </w:rPr>
                    </w:pPr>
                    <w:r>
                      <w:t>报告期内变更情况查询索引</w:t>
                    </w:r>
                  </w:p>
                </w:tc>
              </w:sdtContent>
            </w:sdt>
            <w:tc>
              <w:tcPr>
                <w:tcW w:w="2831" w:type="pct"/>
                <w:tcBorders>
                  <w:top w:val="single" w:sz="4" w:space="0" w:color="auto"/>
                  <w:left w:val="single" w:sz="4" w:space="0" w:color="auto"/>
                  <w:bottom w:val="single" w:sz="4" w:space="0" w:color="auto"/>
                </w:tcBorders>
              </w:tcPr>
              <w:p w14:paraId="5656C5AA" w14:textId="77777777" w:rsidR="00830E72" w:rsidRDefault="00D44830">
                <w:pPr>
                  <w:kinsoku w:val="0"/>
                  <w:overflowPunct w:val="0"/>
                  <w:autoSpaceDE w:val="0"/>
                  <w:autoSpaceDN w:val="0"/>
                  <w:adjustRightInd w:val="0"/>
                  <w:snapToGrid w:val="0"/>
                  <w:rPr>
                    <w:szCs w:val="21"/>
                  </w:rPr>
                </w:pPr>
                <w:sdt>
                  <w:sdtPr>
                    <w:rPr>
                      <w:rFonts w:hint="eastAsia"/>
                      <w:szCs w:val="21"/>
                    </w:rPr>
                    <w:alias w:val="公司基本情况报告期内变更查询索引"/>
                    <w:tag w:val="_GBC_faa254795096437fb73ed03d5cbc1c7e"/>
                    <w:id w:val="-583988640"/>
                    <w:lock w:val="sdtLocked"/>
                  </w:sdtPr>
                  <w:sdtEndPr/>
                  <w:sdtContent>
                    <w:r w:rsidR="008344D8">
                      <w:rPr>
                        <w:rFonts w:hint="eastAsia"/>
                        <w:szCs w:val="21"/>
                      </w:rPr>
                      <w:t>无</w:t>
                    </w:r>
                  </w:sdtContent>
                </w:sdt>
              </w:p>
            </w:tc>
          </w:tr>
        </w:tbl>
        <w:p w14:paraId="7EEA9C9E" w14:textId="77777777" w:rsidR="00830E72" w:rsidRDefault="00D44830"/>
      </w:sdtContent>
    </w:sdt>
    <w:p w14:paraId="098760DF" w14:textId="77777777" w:rsidR="00830E72" w:rsidRDefault="00830E72">
      <w:pPr>
        <w:kinsoku w:val="0"/>
        <w:overflowPunct w:val="0"/>
        <w:autoSpaceDE w:val="0"/>
        <w:autoSpaceDN w:val="0"/>
        <w:adjustRightInd w:val="0"/>
        <w:snapToGrid w:val="0"/>
        <w:rPr>
          <w:szCs w:val="21"/>
        </w:rPr>
      </w:pPr>
    </w:p>
    <w:sdt>
      <w:sdtPr>
        <w:rPr>
          <w:rFonts w:ascii="宋体" w:hAnsi="宋体" w:cs="宋体"/>
          <w:b w:val="0"/>
          <w:bCs w:val="0"/>
          <w:kern w:val="0"/>
          <w:szCs w:val="24"/>
        </w:rPr>
        <w:alias w:val="模块:信息披露及备置地点变更情况简介"/>
        <w:tag w:val="_GBC_20a39c6141734cc19616660ebf1a0dfa"/>
        <w:id w:val="1838501418"/>
        <w:lock w:val="sdtLocked"/>
        <w:placeholder>
          <w:docPart w:val="GBC22222222222222222222222222222"/>
        </w:placeholder>
      </w:sdtPr>
      <w:sdtEndPr/>
      <w:sdtContent>
        <w:p w14:paraId="299C0E13" w14:textId="77777777" w:rsidR="00830E72" w:rsidRDefault="008344D8">
          <w:pPr>
            <w:pStyle w:val="2"/>
            <w:numPr>
              <w:ilvl w:val="0"/>
              <w:numId w:val="3"/>
            </w:numPr>
            <w:ind w:firstLineChars="0"/>
          </w:pPr>
          <w:r>
            <w:t>信息披露及备置地点变更情况简介</w:t>
          </w:r>
        </w:p>
        <w:tbl>
          <w:tblPr>
            <w:tblStyle w:val="g1"/>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433"/>
            <w:gridCol w:w="5460"/>
          </w:tblGrid>
          <w:tr w:rsidR="00830E72" w14:paraId="50130637" w14:textId="77777777">
            <w:trPr>
              <w:trHeight w:val="293"/>
            </w:trPr>
            <w:sdt>
              <w:sdtPr>
                <w:tag w:val="_PLD_5a9e1277ac2b48eb8d7aa1b69c532d31"/>
                <w:id w:val="1733419341"/>
                <w:lock w:val="sdtLocked"/>
              </w:sdtPr>
              <w:sdtEndPr/>
              <w:sdtContent>
                <w:tc>
                  <w:tcPr>
                    <w:tcW w:w="1930" w:type="pct"/>
                    <w:tcBorders>
                      <w:top w:val="single" w:sz="4" w:space="0" w:color="auto"/>
                      <w:bottom w:val="single" w:sz="4" w:space="0" w:color="auto"/>
                      <w:right w:val="single" w:sz="4" w:space="0" w:color="auto"/>
                    </w:tcBorders>
                    <w:shd w:val="clear" w:color="auto" w:fill="auto"/>
                  </w:tcPr>
                  <w:p w14:paraId="62D4B82E" w14:textId="77777777" w:rsidR="00830E72" w:rsidRDefault="008344D8">
                    <w:pPr>
                      <w:kinsoku w:val="0"/>
                      <w:overflowPunct w:val="0"/>
                      <w:autoSpaceDE w:val="0"/>
                      <w:autoSpaceDN w:val="0"/>
                      <w:adjustRightInd w:val="0"/>
                      <w:snapToGrid w:val="0"/>
                      <w:rPr>
                        <w:szCs w:val="21"/>
                      </w:rPr>
                    </w:pPr>
                    <w:r>
                      <w:t>公司选定的信息披露报纸名称</w:t>
                    </w:r>
                  </w:p>
                </w:tc>
              </w:sdtContent>
            </w:sdt>
            <w:sdt>
              <w:sdtPr>
                <w:rPr>
                  <w:szCs w:val="21"/>
                </w:rPr>
                <w:alias w:val="公司选定的信息披露报纸名称"/>
                <w:tag w:val="_GBC_ea25303a54e24033a0a9a380e9688e98"/>
                <w:id w:val="-1343392819"/>
                <w:lock w:val="sdtLocked"/>
              </w:sdtPr>
              <w:sdtEndPr/>
              <w:sdtContent>
                <w:tc>
                  <w:tcPr>
                    <w:tcW w:w="3070" w:type="pct"/>
                    <w:tcBorders>
                      <w:top w:val="single" w:sz="4" w:space="0" w:color="auto"/>
                      <w:left w:val="single" w:sz="4" w:space="0" w:color="auto"/>
                      <w:bottom w:val="single" w:sz="4" w:space="0" w:color="auto"/>
                    </w:tcBorders>
                  </w:tcPr>
                  <w:p w14:paraId="15AAAF47" w14:textId="77777777" w:rsidR="00830E72" w:rsidRDefault="008344D8">
                    <w:pPr>
                      <w:kinsoku w:val="0"/>
                      <w:overflowPunct w:val="0"/>
                      <w:autoSpaceDE w:val="0"/>
                      <w:autoSpaceDN w:val="0"/>
                      <w:adjustRightInd w:val="0"/>
                      <w:snapToGrid w:val="0"/>
                      <w:rPr>
                        <w:szCs w:val="21"/>
                      </w:rPr>
                    </w:pPr>
                    <w:r>
                      <w:rPr>
                        <w:szCs w:val="21"/>
                      </w:rPr>
                      <w:t>《中国证券报》《上海证券报》《证券日报》《证券时报》</w:t>
                    </w:r>
                  </w:p>
                </w:tc>
              </w:sdtContent>
            </w:sdt>
          </w:tr>
          <w:tr w:rsidR="00830E72" w14:paraId="4EA19294" w14:textId="77777777">
            <w:trPr>
              <w:trHeight w:val="293"/>
            </w:trPr>
            <w:sdt>
              <w:sdtPr>
                <w:tag w:val="_PLD_34ad3e071c96488fa36dcc1913587c39"/>
                <w:id w:val="-938136012"/>
                <w:lock w:val="sdtLocked"/>
              </w:sdtPr>
              <w:sdtEndPr/>
              <w:sdtContent>
                <w:tc>
                  <w:tcPr>
                    <w:tcW w:w="1930" w:type="pct"/>
                    <w:tcBorders>
                      <w:top w:val="single" w:sz="4" w:space="0" w:color="auto"/>
                      <w:bottom w:val="single" w:sz="4" w:space="0" w:color="auto"/>
                      <w:right w:val="single" w:sz="4" w:space="0" w:color="auto"/>
                    </w:tcBorders>
                    <w:shd w:val="clear" w:color="auto" w:fill="auto"/>
                  </w:tcPr>
                  <w:p w14:paraId="04E25A81" w14:textId="77777777" w:rsidR="00830E72" w:rsidRDefault="008344D8">
                    <w:pPr>
                      <w:kinsoku w:val="0"/>
                      <w:overflowPunct w:val="0"/>
                      <w:autoSpaceDE w:val="0"/>
                      <w:autoSpaceDN w:val="0"/>
                      <w:adjustRightInd w:val="0"/>
                      <w:snapToGrid w:val="0"/>
                      <w:rPr>
                        <w:szCs w:val="21"/>
                      </w:rPr>
                    </w:pPr>
                    <w:r>
                      <w:t>登载半年度报告的</w:t>
                    </w:r>
                    <w:r>
                      <w:rPr>
                        <w:rFonts w:hint="eastAsia"/>
                      </w:rPr>
                      <w:t>网站地</w:t>
                    </w:r>
                    <w:r>
                      <w:t>址</w:t>
                    </w:r>
                  </w:p>
                </w:tc>
              </w:sdtContent>
            </w:sdt>
            <w:tc>
              <w:tcPr>
                <w:tcW w:w="3070" w:type="pct"/>
                <w:tcBorders>
                  <w:top w:val="single" w:sz="4" w:space="0" w:color="auto"/>
                  <w:left w:val="single" w:sz="4" w:space="0" w:color="auto"/>
                  <w:bottom w:val="single" w:sz="4" w:space="0" w:color="auto"/>
                </w:tcBorders>
              </w:tcPr>
              <w:p w14:paraId="7AB6B744" w14:textId="77777777" w:rsidR="00830E72" w:rsidRDefault="008344D8">
                <w:pPr>
                  <w:kinsoku w:val="0"/>
                  <w:overflowPunct w:val="0"/>
                  <w:autoSpaceDE w:val="0"/>
                  <w:autoSpaceDN w:val="0"/>
                  <w:adjustRightInd w:val="0"/>
                  <w:snapToGrid w:val="0"/>
                  <w:rPr>
                    <w:szCs w:val="21"/>
                  </w:rPr>
                </w:pPr>
                <w:r>
                  <w:t>上海证券交易所网站（www.sse.com.cn）</w:t>
                </w:r>
              </w:p>
            </w:tc>
          </w:tr>
          <w:tr w:rsidR="00830E72" w14:paraId="515F5C7C" w14:textId="77777777">
            <w:trPr>
              <w:trHeight w:val="293"/>
            </w:trPr>
            <w:sdt>
              <w:sdtPr>
                <w:tag w:val="_PLD_533f230e5c504d15b6024014067b6306"/>
                <w:id w:val="-710721105"/>
                <w:lock w:val="sdtLocked"/>
              </w:sdtPr>
              <w:sdtEndPr/>
              <w:sdtContent>
                <w:tc>
                  <w:tcPr>
                    <w:tcW w:w="1930" w:type="pct"/>
                    <w:tcBorders>
                      <w:top w:val="single" w:sz="4" w:space="0" w:color="auto"/>
                      <w:bottom w:val="single" w:sz="4" w:space="0" w:color="auto"/>
                      <w:right w:val="single" w:sz="4" w:space="0" w:color="auto"/>
                    </w:tcBorders>
                    <w:shd w:val="clear" w:color="auto" w:fill="auto"/>
                  </w:tcPr>
                  <w:p w14:paraId="278120BE" w14:textId="77777777" w:rsidR="00830E72" w:rsidRDefault="008344D8">
                    <w:pPr>
                      <w:kinsoku w:val="0"/>
                      <w:overflowPunct w:val="0"/>
                      <w:autoSpaceDE w:val="0"/>
                      <w:autoSpaceDN w:val="0"/>
                      <w:adjustRightInd w:val="0"/>
                      <w:snapToGrid w:val="0"/>
                      <w:rPr>
                        <w:szCs w:val="21"/>
                      </w:rPr>
                    </w:pPr>
                    <w:r>
                      <w:t>公司半年度报告备置地点</w:t>
                    </w:r>
                  </w:p>
                </w:tc>
              </w:sdtContent>
            </w:sdt>
            <w:tc>
              <w:tcPr>
                <w:tcW w:w="3070" w:type="pct"/>
                <w:tcBorders>
                  <w:top w:val="single" w:sz="4" w:space="0" w:color="auto"/>
                  <w:left w:val="single" w:sz="4" w:space="0" w:color="auto"/>
                  <w:bottom w:val="single" w:sz="4" w:space="0" w:color="auto"/>
                </w:tcBorders>
              </w:tcPr>
              <w:p w14:paraId="1FD1DEDC" w14:textId="77777777" w:rsidR="00830E72" w:rsidRDefault="008344D8">
                <w:pPr>
                  <w:kinsoku w:val="0"/>
                  <w:overflowPunct w:val="0"/>
                  <w:autoSpaceDE w:val="0"/>
                  <w:autoSpaceDN w:val="0"/>
                  <w:adjustRightInd w:val="0"/>
                  <w:snapToGrid w:val="0"/>
                  <w:rPr>
                    <w:szCs w:val="21"/>
                  </w:rPr>
                </w:pPr>
                <w:r>
                  <w:t>公司董事会办公室</w:t>
                </w:r>
              </w:p>
            </w:tc>
          </w:tr>
          <w:tr w:rsidR="00830E72" w14:paraId="2BD1E09A" w14:textId="77777777">
            <w:trPr>
              <w:trHeight w:val="293"/>
            </w:trPr>
            <w:sdt>
              <w:sdtPr>
                <w:tag w:val="_PLD_71b3b22b33f543709c7346090ee03414"/>
                <w:id w:val="715624860"/>
                <w:lock w:val="sdtLocked"/>
              </w:sdtPr>
              <w:sdtEndPr/>
              <w:sdtContent>
                <w:tc>
                  <w:tcPr>
                    <w:tcW w:w="1930" w:type="pct"/>
                    <w:tcBorders>
                      <w:top w:val="single" w:sz="4" w:space="0" w:color="auto"/>
                      <w:bottom w:val="single" w:sz="4" w:space="0" w:color="auto"/>
                      <w:right w:val="single" w:sz="4" w:space="0" w:color="auto"/>
                    </w:tcBorders>
                    <w:shd w:val="clear" w:color="auto" w:fill="auto"/>
                  </w:tcPr>
                  <w:p w14:paraId="526BF496" w14:textId="77777777" w:rsidR="00830E72" w:rsidRDefault="008344D8">
                    <w:pPr>
                      <w:kinsoku w:val="0"/>
                      <w:overflowPunct w:val="0"/>
                      <w:autoSpaceDE w:val="0"/>
                      <w:autoSpaceDN w:val="0"/>
                      <w:adjustRightInd w:val="0"/>
                      <w:snapToGrid w:val="0"/>
                      <w:rPr>
                        <w:szCs w:val="21"/>
                      </w:rPr>
                    </w:pPr>
                    <w:r>
                      <w:t>报告期内变更情况查询索引</w:t>
                    </w:r>
                  </w:p>
                </w:tc>
              </w:sdtContent>
            </w:sdt>
            <w:tc>
              <w:tcPr>
                <w:tcW w:w="3070" w:type="pct"/>
                <w:tcBorders>
                  <w:top w:val="single" w:sz="4" w:space="0" w:color="auto"/>
                  <w:left w:val="single" w:sz="4" w:space="0" w:color="auto"/>
                  <w:bottom w:val="single" w:sz="4" w:space="0" w:color="auto"/>
                </w:tcBorders>
              </w:tcPr>
              <w:p w14:paraId="1292FBC8" w14:textId="77777777" w:rsidR="00830E72" w:rsidRDefault="008344D8">
                <w:pPr>
                  <w:kinsoku w:val="0"/>
                  <w:overflowPunct w:val="0"/>
                  <w:autoSpaceDE w:val="0"/>
                  <w:autoSpaceDN w:val="0"/>
                  <w:adjustRightInd w:val="0"/>
                  <w:snapToGrid w:val="0"/>
                  <w:rPr>
                    <w:szCs w:val="21"/>
                  </w:rPr>
                </w:pPr>
                <w:r>
                  <w:t>无</w:t>
                </w:r>
              </w:p>
            </w:tc>
          </w:tr>
        </w:tbl>
        <w:p w14:paraId="2DA24F96" w14:textId="77777777" w:rsidR="00830E72" w:rsidRDefault="00D44830"/>
      </w:sdtContent>
    </w:sdt>
    <w:p w14:paraId="46D3E696" w14:textId="77777777" w:rsidR="00830E72" w:rsidRDefault="00830E72">
      <w:pPr>
        <w:kinsoku w:val="0"/>
        <w:overflowPunct w:val="0"/>
        <w:autoSpaceDE w:val="0"/>
        <w:autoSpaceDN w:val="0"/>
        <w:adjustRightInd w:val="0"/>
        <w:snapToGrid w:val="0"/>
        <w:rPr>
          <w:szCs w:val="21"/>
        </w:rPr>
      </w:pPr>
    </w:p>
    <w:bookmarkStart w:id="12" w:name="_Toc342051045" w:displacedByCustomXml="next"/>
    <w:bookmarkStart w:id="13" w:name="_Toc342565885" w:displacedByCustomXml="next"/>
    <w:sdt>
      <w:sdtPr>
        <w:rPr>
          <w:rFonts w:ascii="宋体" w:hAnsi="宋体" w:cs="宋体" w:hint="eastAsia"/>
          <w:b w:val="0"/>
          <w:bCs w:val="0"/>
          <w:kern w:val="0"/>
          <w:szCs w:val="24"/>
        </w:rPr>
        <w:alias w:val="模块:公司股票简况"/>
        <w:tag w:val="_GBC_f73e31215837403db78d7a2ed15723c6"/>
        <w:id w:val="-1430038013"/>
        <w:lock w:val="sdtLocked"/>
        <w:placeholder>
          <w:docPart w:val="GBC22222222222222222222222222222"/>
        </w:placeholder>
      </w:sdtPr>
      <w:sdtEndPr>
        <w:rPr>
          <w:color w:val="0070C0"/>
        </w:rPr>
      </w:sdtEndPr>
      <w:sdtContent>
        <w:p w14:paraId="4A41F211" w14:textId="77777777" w:rsidR="00830E72" w:rsidRDefault="008344D8">
          <w:pPr>
            <w:pStyle w:val="2"/>
            <w:numPr>
              <w:ilvl w:val="0"/>
              <w:numId w:val="3"/>
            </w:numPr>
            <w:ind w:firstLineChars="0"/>
          </w:pPr>
          <w:r>
            <w:rPr>
              <w:rFonts w:hint="eastAsia"/>
            </w:rPr>
            <w:t>公司股票简况</w:t>
          </w:r>
          <w:bookmarkEnd w:id="13"/>
          <w:bookmarkEnd w:id="12"/>
        </w:p>
        <w:tbl>
          <w:tblPr>
            <w:tblStyle w:val="g1"/>
            <w:tblW w:w="5000" w:type="pct"/>
            <w:tblInd w:w="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1778"/>
            <w:gridCol w:w="1778"/>
            <w:gridCol w:w="1779"/>
            <w:gridCol w:w="1779"/>
            <w:gridCol w:w="1779"/>
          </w:tblGrid>
          <w:tr w:rsidR="00830E72" w14:paraId="3D58B2DA" w14:textId="77777777">
            <w:trPr>
              <w:trHeight w:val="293"/>
            </w:trPr>
            <w:sdt>
              <w:sdtPr>
                <w:tag w:val="_PLD_136d907086394f5eaee0ec7d22ac5510"/>
                <w:id w:val="-381861210"/>
                <w:lock w:val="sdtLocked"/>
              </w:sdtPr>
              <w:sdtEndPr/>
              <w:sdtContent>
                <w:tc>
                  <w:tcPr>
                    <w:tcW w:w="1000" w:type="pct"/>
                    <w:tcBorders>
                      <w:top w:val="single" w:sz="4" w:space="0" w:color="auto"/>
                      <w:bottom w:val="single" w:sz="4" w:space="0" w:color="auto"/>
                      <w:right w:val="single" w:sz="4" w:space="0" w:color="auto"/>
                    </w:tcBorders>
                    <w:shd w:val="clear" w:color="auto" w:fill="auto"/>
                  </w:tcPr>
                  <w:p w14:paraId="5EF04D64" w14:textId="77777777" w:rsidR="00830E72" w:rsidRDefault="008344D8">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6a843bcbb5a24c0aa6b5fa899c00d11d"/>
                <w:id w:val="476960265"/>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43D5DFA7" w14:textId="77777777" w:rsidR="00830E72" w:rsidRDefault="008344D8">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c012a58bb3cc4bbd9a7de1f52bd17553"/>
                <w:id w:val="1924445433"/>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7EF1D9D6" w14:textId="77777777" w:rsidR="00830E72" w:rsidRDefault="008344D8">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9fa1e8781b094b29b21027138e9f63e8"/>
                <w:id w:val="382135760"/>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1F3EF495" w14:textId="77777777" w:rsidR="00830E72" w:rsidRDefault="008344D8">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38293dc771ef4460bd5252827867d07d"/>
                <w:id w:val="-1069192400"/>
                <w:lock w:val="sdtLocked"/>
              </w:sdtPr>
              <w:sdtEndPr/>
              <w:sdtContent>
                <w:tc>
                  <w:tcPr>
                    <w:tcW w:w="1000" w:type="pct"/>
                    <w:tcBorders>
                      <w:top w:val="single" w:sz="4" w:space="0" w:color="auto"/>
                      <w:left w:val="single" w:sz="4" w:space="0" w:color="auto"/>
                      <w:bottom w:val="single" w:sz="4" w:space="0" w:color="auto"/>
                    </w:tcBorders>
                    <w:shd w:val="clear" w:color="auto" w:fill="auto"/>
                  </w:tcPr>
                  <w:p w14:paraId="4D39CC1F" w14:textId="77777777" w:rsidR="00830E72" w:rsidRDefault="008344D8">
                    <w:pPr>
                      <w:kinsoku w:val="0"/>
                      <w:overflowPunct w:val="0"/>
                      <w:autoSpaceDE w:val="0"/>
                      <w:autoSpaceDN w:val="0"/>
                      <w:adjustRightInd w:val="0"/>
                      <w:snapToGrid w:val="0"/>
                      <w:jc w:val="center"/>
                      <w:rPr>
                        <w:szCs w:val="21"/>
                      </w:rPr>
                    </w:pPr>
                    <w:r>
                      <w:rPr>
                        <w:rFonts w:hint="eastAsia"/>
                        <w:szCs w:val="21"/>
                      </w:rPr>
                      <w:t>变更前股票简称</w:t>
                    </w:r>
                  </w:p>
                </w:tc>
              </w:sdtContent>
            </w:sdt>
          </w:tr>
          <w:sdt>
            <w:sdtPr>
              <w:rPr>
                <w:rFonts w:hint="eastAsia"/>
                <w:szCs w:val="21"/>
              </w:rPr>
              <w:alias w:val="公司其他股票简况"/>
              <w:tag w:val="_GBC_4e064b55e0734b1d9be1e41379a353e2"/>
              <w:id w:val="1579711677"/>
            </w:sdtPr>
            <w:sdtEndPr/>
            <w:sdtContent>
              <w:tr w:rsidR="00830E72" w14:paraId="5CB33ED2" w14:textId="77777777">
                <w:trPr>
                  <w:trHeight w:val="293"/>
                </w:trPr>
                <w:tc>
                  <w:tcPr>
                    <w:tcW w:w="1000" w:type="pct"/>
                    <w:tcBorders>
                      <w:top w:val="single" w:sz="4" w:space="0" w:color="auto"/>
                      <w:bottom w:val="single" w:sz="4" w:space="0" w:color="auto"/>
                      <w:right w:val="single" w:sz="4" w:space="0" w:color="auto"/>
                    </w:tcBorders>
                    <w:shd w:val="clear" w:color="auto" w:fill="auto"/>
                  </w:tcPr>
                  <w:p w14:paraId="0ED23D20" w14:textId="77777777" w:rsidR="00830E72" w:rsidRDefault="008344D8">
                    <w:pPr>
                      <w:kinsoku w:val="0"/>
                      <w:overflowPunct w:val="0"/>
                      <w:autoSpaceDE w:val="0"/>
                      <w:autoSpaceDN w:val="0"/>
                      <w:adjustRightInd w:val="0"/>
                      <w:snapToGrid w:val="0"/>
                      <w:jc w:val="center"/>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327FA5A1" w14:textId="77777777" w:rsidR="00830E72" w:rsidRDefault="008344D8">
                    <w:pPr>
                      <w:kinsoku w:val="0"/>
                      <w:overflowPunct w:val="0"/>
                      <w:autoSpaceDE w:val="0"/>
                      <w:autoSpaceDN w:val="0"/>
                      <w:adjustRightInd w:val="0"/>
                      <w:snapToGrid w:val="0"/>
                      <w:jc w:val="center"/>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601E362" w14:textId="77777777" w:rsidR="00830E72" w:rsidRDefault="008344D8">
                    <w:pPr>
                      <w:kinsoku w:val="0"/>
                      <w:overflowPunct w:val="0"/>
                      <w:autoSpaceDE w:val="0"/>
                      <w:autoSpaceDN w:val="0"/>
                      <w:adjustRightInd w:val="0"/>
                      <w:snapToGrid w:val="0"/>
                      <w:jc w:val="center"/>
                      <w:rPr>
                        <w:szCs w:val="21"/>
                      </w:rPr>
                    </w:pPr>
                    <w:r>
                      <w:t>交建股份</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17D14E5" w14:textId="77777777" w:rsidR="00830E72" w:rsidRDefault="008344D8">
                    <w:pPr>
                      <w:kinsoku w:val="0"/>
                      <w:overflowPunct w:val="0"/>
                      <w:autoSpaceDE w:val="0"/>
                      <w:autoSpaceDN w:val="0"/>
                      <w:adjustRightInd w:val="0"/>
                      <w:snapToGrid w:val="0"/>
                      <w:jc w:val="center"/>
                      <w:rPr>
                        <w:szCs w:val="21"/>
                      </w:rPr>
                    </w:pPr>
                    <w:r>
                      <w:t>603815</w:t>
                    </w:r>
                  </w:p>
                </w:tc>
                <w:tc>
                  <w:tcPr>
                    <w:tcW w:w="1000" w:type="pct"/>
                    <w:tcBorders>
                      <w:top w:val="single" w:sz="4" w:space="0" w:color="auto"/>
                      <w:left w:val="single" w:sz="4" w:space="0" w:color="auto"/>
                      <w:bottom w:val="single" w:sz="4" w:space="0" w:color="auto"/>
                    </w:tcBorders>
                    <w:shd w:val="clear" w:color="auto" w:fill="auto"/>
                  </w:tcPr>
                  <w:p w14:paraId="66977D6A" w14:textId="77777777" w:rsidR="00830E72" w:rsidRDefault="008344D8">
                    <w:pPr>
                      <w:kinsoku w:val="0"/>
                      <w:overflowPunct w:val="0"/>
                      <w:autoSpaceDE w:val="0"/>
                      <w:autoSpaceDN w:val="0"/>
                      <w:adjustRightInd w:val="0"/>
                      <w:snapToGrid w:val="0"/>
                      <w:jc w:val="center"/>
                      <w:rPr>
                        <w:szCs w:val="21"/>
                      </w:rPr>
                    </w:pPr>
                    <w:r>
                      <w:t>无</w:t>
                    </w:r>
                  </w:p>
                </w:tc>
              </w:tr>
            </w:sdtContent>
          </w:sdt>
        </w:tbl>
        <w:p w14:paraId="637DED08" w14:textId="77777777" w:rsidR="00830E72" w:rsidRDefault="00D44830">
          <w:pPr>
            <w:kinsoku w:val="0"/>
            <w:overflowPunct w:val="0"/>
            <w:autoSpaceDE w:val="0"/>
            <w:autoSpaceDN w:val="0"/>
            <w:adjustRightInd w:val="0"/>
            <w:snapToGrid w:val="0"/>
            <w:rPr>
              <w:color w:val="0070C0"/>
            </w:rPr>
          </w:pPr>
        </w:p>
      </w:sdtContent>
    </w:sdt>
    <w:sdt>
      <w:sdtPr>
        <w:rPr>
          <w:rFonts w:ascii="宋体" w:hAnsi="宋体" w:cs="宋体"/>
          <w:b w:val="0"/>
          <w:bCs w:val="0"/>
          <w:kern w:val="0"/>
          <w:szCs w:val="24"/>
        </w:rPr>
        <w:alias w:val="模块:其他有关资料"/>
        <w:tag w:val="_GBC_cd186ef4acaf4e28b71fed998e691ebd"/>
        <w:id w:val="1101379902"/>
        <w:lock w:val="sdtLocked"/>
        <w:placeholder>
          <w:docPart w:val="GBC22222222222222222222222222222"/>
        </w:placeholder>
      </w:sdtPr>
      <w:sdtEndPr>
        <w:rPr>
          <w:rFonts w:hint="eastAsia"/>
        </w:rPr>
      </w:sdtEndPr>
      <w:sdtContent>
        <w:p w14:paraId="70FB3793" w14:textId="77777777" w:rsidR="00830E72" w:rsidRDefault="008344D8">
          <w:pPr>
            <w:pStyle w:val="2"/>
            <w:numPr>
              <w:ilvl w:val="0"/>
              <w:numId w:val="3"/>
            </w:numPr>
            <w:ind w:firstLineChars="0"/>
          </w:pPr>
          <w:r>
            <w:t>其他有关资料</w:t>
          </w:r>
        </w:p>
        <w:sdt>
          <w:sdtPr>
            <w:alias w:val="是否适用：其他有关资料[双击切换]"/>
            <w:tag w:val="_GBC_78c3cc115c0d4dd3bf5e7c57142e5e68"/>
            <w:id w:val="-1914078836"/>
            <w:lock w:val="sdtLocked"/>
            <w:placeholder>
              <w:docPart w:val="GBC22222222222222222222222222222"/>
            </w:placeholder>
          </w:sdtPr>
          <w:sdtEndPr/>
          <w:sdtContent>
            <w:p w14:paraId="70900347"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FDAA4D1" w14:textId="77777777" w:rsidR="00830E72" w:rsidRDefault="00830E72">
      <w:pPr>
        <w:rPr>
          <w:bdr w:val="single" w:sz="4" w:space="0" w:color="auto"/>
        </w:rPr>
      </w:pPr>
    </w:p>
    <w:p w14:paraId="61F1C0AA" w14:textId="77777777" w:rsidR="00830E72" w:rsidRDefault="008344D8">
      <w:pPr>
        <w:pStyle w:val="2"/>
        <w:numPr>
          <w:ilvl w:val="0"/>
          <w:numId w:val="3"/>
        </w:numPr>
        <w:ind w:firstLineChars="0"/>
      </w:pPr>
      <w:bookmarkStart w:id="14" w:name="_Toc342056397"/>
      <w:bookmarkStart w:id="15" w:name="_Toc342565889"/>
      <w:r>
        <w:rPr>
          <w:rFonts w:hint="eastAsia"/>
        </w:rPr>
        <w:t>公司主要会计数据和财务指标</w:t>
      </w:r>
      <w:bookmarkEnd w:id="14"/>
      <w:bookmarkEnd w:id="15"/>
    </w:p>
    <w:p w14:paraId="12791253" w14:textId="77777777" w:rsidR="00830E72" w:rsidRDefault="008344D8">
      <w:pPr>
        <w:pStyle w:val="Style99"/>
        <w:numPr>
          <w:ilvl w:val="1"/>
          <w:numId w:val="4"/>
        </w:numPr>
        <w:rPr>
          <w:rFonts w:ascii="宋体" w:hAnsi="宋体"/>
        </w:rPr>
      </w:pPr>
      <w:r>
        <w:rPr>
          <w:rFonts w:ascii="宋体" w:hAnsi="宋体" w:hint="eastAsia"/>
        </w:rPr>
        <w:t>主要会计数据</w:t>
      </w:r>
    </w:p>
    <w:p w14:paraId="49C0C874" w14:textId="77777777" w:rsidR="00830E72" w:rsidRDefault="008344D8">
      <w:pPr>
        <w:jc w:val="right"/>
        <w:rPr>
          <w:szCs w:val="21"/>
        </w:rPr>
      </w:pPr>
      <w:r>
        <w:rPr>
          <w:rFonts w:hint="eastAsia"/>
          <w:szCs w:val="21"/>
        </w:rPr>
        <w:t>单位：</w:t>
      </w:r>
      <w:sdt>
        <w:sdtPr>
          <w:rPr>
            <w:rFonts w:hint="eastAsia"/>
            <w:szCs w:val="21"/>
          </w:rPr>
          <w:alias w:val="单位：报告期末公司前三年主要会计数据和财务指标"/>
          <w:tag w:val="_GBC_c7cd0dd826b247dbba8cc8b1a811aefb"/>
          <w:id w:val="8356584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2df6a5d441324c13bcf6c4c54ac41eb0"/>
          <w:id w:val="4475152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bookmarkStart w:id="16" w:name="_Hlk72769913" w:displacedByCustomXml="next"/>
    <w:sdt>
      <w:sdtPr>
        <w:rPr>
          <w:rFonts w:hint="eastAsia"/>
          <w:szCs w:val="21"/>
        </w:rPr>
        <w:alias w:val="选项模块:主要会计数据(无追溯)"/>
        <w:tag w:val="_GBC_aea1fefe2cc54d88a8a870982a41d97a"/>
        <w:id w:val="-1676185069"/>
        <w:placeholder>
          <w:docPart w:val="GBC22222222222222222222222222222"/>
        </w:placeholder>
      </w:sdtPr>
      <w:sdtEndPr/>
      <w:sdtContent>
        <w:tbl>
          <w:tblPr>
            <w:tblStyle w:val="g2"/>
            <w:tblW w:w="5000" w:type="pct"/>
            <w:tblLook w:val="04A0" w:firstRow="1" w:lastRow="0" w:firstColumn="1" w:lastColumn="0" w:noHBand="0" w:noVBand="1"/>
          </w:tblPr>
          <w:tblGrid>
            <w:gridCol w:w="3197"/>
            <w:gridCol w:w="2032"/>
            <w:gridCol w:w="2036"/>
            <w:gridCol w:w="1784"/>
          </w:tblGrid>
          <w:tr w:rsidR="00830E72" w14:paraId="0C608444" w14:textId="77777777">
            <w:trPr>
              <w:trHeight w:val="596"/>
            </w:trPr>
            <w:sdt>
              <w:sdtPr>
                <w:rPr>
                  <w:rFonts w:hint="eastAsia"/>
                  <w:szCs w:val="21"/>
                </w:rPr>
                <w:tag w:val="_PLD_e63d02b963714237aa4678b1878c888d"/>
                <w:id w:val="-310554859"/>
                <w:lock w:val="sdtLocked"/>
              </w:sdtPr>
              <w:sdtEndPr>
                <w:rPr>
                  <w:rFonts w:ascii="Times New Roman" w:hAnsi="Times New Roman" w:hint="default"/>
                  <w:szCs w:val="24"/>
                </w:rPr>
              </w:sdtEndPr>
              <w:sdtContent>
                <w:tc>
                  <w:tcPr>
                    <w:tcW w:w="1766" w:type="pct"/>
                    <w:vAlign w:val="center"/>
                  </w:tcPr>
                  <w:p w14:paraId="03D6DCDE" w14:textId="77777777" w:rsidR="00830E72" w:rsidRDefault="008344D8">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913ae157f7e74eee947ea98d96be3599"/>
                <w:id w:val="1585187148"/>
                <w:lock w:val="sdtLocked"/>
              </w:sdtPr>
              <w:sdtEndPr/>
              <w:sdtContent>
                <w:tc>
                  <w:tcPr>
                    <w:tcW w:w="1123" w:type="pct"/>
                    <w:vAlign w:val="center"/>
                  </w:tcPr>
                  <w:p w14:paraId="64E3D224" w14:textId="77777777" w:rsidR="00830E72" w:rsidRDefault="008344D8">
                    <w:pPr>
                      <w:kinsoku w:val="0"/>
                      <w:overflowPunct w:val="0"/>
                      <w:autoSpaceDE w:val="0"/>
                      <w:autoSpaceDN w:val="0"/>
                      <w:adjustRightInd w:val="0"/>
                      <w:snapToGrid w:val="0"/>
                      <w:jc w:val="center"/>
                    </w:pPr>
                    <w:r>
                      <w:rPr>
                        <w:rFonts w:hint="eastAsia"/>
                      </w:rPr>
                      <w:t>本</w:t>
                    </w:r>
                    <w:r>
                      <w:t>报告期</w:t>
                    </w:r>
                  </w:p>
                  <w:p w14:paraId="13019057" w14:textId="77777777" w:rsidR="00830E72" w:rsidRDefault="008344D8">
                    <w:pPr>
                      <w:kinsoku w:val="0"/>
                      <w:overflowPunct w:val="0"/>
                      <w:autoSpaceDE w:val="0"/>
                      <w:autoSpaceDN w:val="0"/>
                      <w:adjustRightInd w:val="0"/>
                      <w:snapToGrid w:val="0"/>
                      <w:jc w:val="center"/>
                      <w:rPr>
                        <w:szCs w:val="21"/>
                      </w:rPr>
                    </w:pPr>
                    <w:r>
                      <w:t>（1－6月）</w:t>
                    </w:r>
                  </w:p>
                </w:tc>
              </w:sdtContent>
            </w:sdt>
            <w:sdt>
              <w:sdtPr>
                <w:tag w:val="_PLD_0f32665f64034720b1ecd674058f4d8b"/>
                <w:id w:val="1608305609"/>
                <w:lock w:val="sdtLocked"/>
              </w:sdtPr>
              <w:sdtEndPr/>
              <w:sdtContent>
                <w:tc>
                  <w:tcPr>
                    <w:tcW w:w="1125" w:type="pct"/>
                    <w:vAlign w:val="center"/>
                  </w:tcPr>
                  <w:p w14:paraId="3E0B043D" w14:textId="77777777" w:rsidR="00830E72" w:rsidRDefault="008344D8">
                    <w:pPr>
                      <w:kinsoku w:val="0"/>
                      <w:overflowPunct w:val="0"/>
                      <w:autoSpaceDE w:val="0"/>
                      <w:autoSpaceDN w:val="0"/>
                      <w:adjustRightInd w:val="0"/>
                      <w:snapToGrid w:val="0"/>
                      <w:jc w:val="center"/>
                      <w:rPr>
                        <w:szCs w:val="21"/>
                      </w:rPr>
                    </w:pPr>
                    <w:r>
                      <w:t>上年同期</w:t>
                    </w:r>
                  </w:p>
                </w:tc>
              </w:sdtContent>
            </w:sdt>
            <w:sdt>
              <w:sdtPr>
                <w:tag w:val="_PLD_e634aa67fe8c44038b152224d8a245d6"/>
                <w:id w:val="1211300601"/>
                <w:lock w:val="sdtLocked"/>
              </w:sdtPr>
              <w:sdtEndPr/>
              <w:sdtContent>
                <w:tc>
                  <w:tcPr>
                    <w:tcW w:w="986" w:type="pct"/>
                    <w:vAlign w:val="center"/>
                  </w:tcPr>
                  <w:p w14:paraId="47AE7F90" w14:textId="77777777" w:rsidR="00830E72" w:rsidRDefault="008344D8">
                    <w:pPr>
                      <w:kinsoku w:val="0"/>
                      <w:overflowPunct w:val="0"/>
                      <w:autoSpaceDE w:val="0"/>
                      <w:autoSpaceDN w:val="0"/>
                      <w:adjustRightInd w:val="0"/>
                      <w:snapToGrid w:val="0"/>
                      <w:jc w:val="center"/>
                      <w:rPr>
                        <w:szCs w:val="21"/>
                      </w:rPr>
                    </w:pPr>
                    <w:r>
                      <w:t>本报告期比上年同期增减</w:t>
                    </w:r>
                    <w:r>
                      <w:rPr>
                        <w:szCs w:val="21"/>
                      </w:rPr>
                      <w:t>(%)</w:t>
                    </w:r>
                  </w:p>
                </w:tc>
              </w:sdtContent>
            </w:sdt>
          </w:tr>
          <w:tr w:rsidR="00830E72" w14:paraId="166E7019" w14:textId="77777777">
            <w:trPr>
              <w:trHeight w:val="285"/>
            </w:trPr>
            <w:sdt>
              <w:sdtPr>
                <w:tag w:val="_PLD_601d7d8438f74f1c9abca1ce60a4f163"/>
                <w:id w:val="2070069600"/>
                <w:lock w:val="sdtLocked"/>
              </w:sdtPr>
              <w:sdtEndPr/>
              <w:sdtContent>
                <w:tc>
                  <w:tcPr>
                    <w:tcW w:w="1766" w:type="pct"/>
                  </w:tcPr>
                  <w:p w14:paraId="6DBEED15" w14:textId="77777777" w:rsidR="00830E72" w:rsidRDefault="008344D8">
                    <w:pPr>
                      <w:kinsoku w:val="0"/>
                      <w:overflowPunct w:val="0"/>
                      <w:autoSpaceDE w:val="0"/>
                      <w:autoSpaceDN w:val="0"/>
                      <w:adjustRightInd w:val="0"/>
                      <w:snapToGrid w:val="0"/>
                      <w:rPr>
                        <w:szCs w:val="21"/>
                      </w:rPr>
                    </w:pPr>
                    <w:r>
                      <w:rPr>
                        <w:rFonts w:hint="eastAsia"/>
                        <w:szCs w:val="21"/>
                      </w:rPr>
                      <w:t>营业收入</w:t>
                    </w:r>
                  </w:p>
                </w:tc>
              </w:sdtContent>
            </w:sdt>
            <w:tc>
              <w:tcPr>
                <w:tcW w:w="1123" w:type="pct"/>
              </w:tcPr>
              <w:p w14:paraId="509A2A4D" w14:textId="77777777" w:rsidR="00830E72" w:rsidRDefault="008344D8">
                <w:pPr>
                  <w:kinsoku w:val="0"/>
                  <w:overflowPunct w:val="0"/>
                  <w:autoSpaceDE w:val="0"/>
                  <w:autoSpaceDN w:val="0"/>
                  <w:adjustRightInd w:val="0"/>
                  <w:snapToGrid w:val="0"/>
                  <w:jc w:val="right"/>
                  <w:rPr>
                    <w:szCs w:val="21"/>
                  </w:rPr>
                </w:pPr>
                <w:r>
                  <w:rPr>
                    <w:szCs w:val="21"/>
                  </w:rPr>
                  <w:t>1,577,624,127.79</w:t>
                </w:r>
              </w:p>
            </w:tc>
            <w:tc>
              <w:tcPr>
                <w:tcW w:w="1125" w:type="pct"/>
              </w:tcPr>
              <w:p w14:paraId="4555A690" w14:textId="77777777" w:rsidR="00830E72" w:rsidRDefault="008344D8">
                <w:pPr>
                  <w:kinsoku w:val="0"/>
                  <w:overflowPunct w:val="0"/>
                  <w:autoSpaceDE w:val="0"/>
                  <w:autoSpaceDN w:val="0"/>
                  <w:adjustRightInd w:val="0"/>
                  <w:snapToGrid w:val="0"/>
                  <w:jc w:val="right"/>
                  <w:rPr>
                    <w:bCs/>
                    <w:szCs w:val="21"/>
                  </w:rPr>
                </w:pPr>
                <w:r>
                  <w:rPr>
                    <w:bCs/>
                    <w:szCs w:val="21"/>
                  </w:rPr>
                  <w:t>1,225,121,706.52</w:t>
                </w:r>
              </w:p>
            </w:tc>
            <w:tc>
              <w:tcPr>
                <w:tcW w:w="986" w:type="pct"/>
              </w:tcPr>
              <w:p w14:paraId="01E3ACF2" w14:textId="77777777" w:rsidR="00830E72" w:rsidRDefault="008344D8">
                <w:pPr>
                  <w:kinsoku w:val="0"/>
                  <w:overflowPunct w:val="0"/>
                  <w:autoSpaceDE w:val="0"/>
                  <w:autoSpaceDN w:val="0"/>
                  <w:adjustRightInd w:val="0"/>
                  <w:snapToGrid w:val="0"/>
                  <w:jc w:val="right"/>
                  <w:rPr>
                    <w:szCs w:val="21"/>
                  </w:rPr>
                </w:pPr>
                <w:r>
                  <w:rPr>
                    <w:rFonts w:hint="eastAsia"/>
                    <w:szCs w:val="21"/>
                  </w:rPr>
                  <w:t>28.77</w:t>
                </w:r>
              </w:p>
            </w:tc>
          </w:tr>
          <w:tr w:rsidR="00830E72" w14:paraId="1342E6F4" w14:textId="77777777">
            <w:trPr>
              <w:trHeight w:val="285"/>
            </w:trPr>
            <w:sdt>
              <w:sdtPr>
                <w:tag w:val="_PLD_1825ec6c60fc481f877063c3cecfffca"/>
                <w:id w:val="1632748655"/>
                <w:lock w:val="sdtLocked"/>
              </w:sdtPr>
              <w:sdtEndPr/>
              <w:sdtContent>
                <w:tc>
                  <w:tcPr>
                    <w:tcW w:w="1766" w:type="pct"/>
                  </w:tcPr>
                  <w:p w14:paraId="25CF1AB2" w14:textId="77777777" w:rsidR="00830E72" w:rsidRDefault="008344D8">
                    <w:pPr>
                      <w:kinsoku w:val="0"/>
                      <w:overflowPunct w:val="0"/>
                      <w:autoSpaceDE w:val="0"/>
                      <w:autoSpaceDN w:val="0"/>
                      <w:adjustRightInd w:val="0"/>
                      <w:snapToGrid w:val="0"/>
                      <w:rPr>
                        <w:szCs w:val="21"/>
                      </w:rPr>
                    </w:pPr>
                    <w:r>
                      <w:rPr>
                        <w:rFonts w:hint="eastAsia"/>
                        <w:szCs w:val="21"/>
                      </w:rPr>
                      <w:t>归属于上市公司股东的净利润</w:t>
                    </w:r>
                  </w:p>
                </w:tc>
              </w:sdtContent>
            </w:sdt>
            <w:tc>
              <w:tcPr>
                <w:tcW w:w="1123" w:type="pct"/>
              </w:tcPr>
              <w:p w14:paraId="153FDE35" w14:textId="77777777" w:rsidR="00830E72" w:rsidRDefault="008344D8">
                <w:pPr>
                  <w:kinsoku w:val="0"/>
                  <w:overflowPunct w:val="0"/>
                  <w:autoSpaceDE w:val="0"/>
                  <w:autoSpaceDN w:val="0"/>
                  <w:adjustRightInd w:val="0"/>
                  <w:snapToGrid w:val="0"/>
                  <w:jc w:val="right"/>
                  <w:rPr>
                    <w:szCs w:val="21"/>
                  </w:rPr>
                </w:pPr>
                <w:r>
                  <w:rPr>
                    <w:szCs w:val="21"/>
                  </w:rPr>
                  <w:t>49,245,587.01</w:t>
                </w:r>
              </w:p>
            </w:tc>
            <w:tc>
              <w:tcPr>
                <w:tcW w:w="1125" w:type="pct"/>
              </w:tcPr>
              <w:p w14:paraId="4E3C4BEE" w14:textId="77777777" w:rsidR="00830E72" w:rsidRDefault="008344D8">
                <w:pPr>
                  <w:kinsoku w:val="0"/>
                  <w:overflowPunct w:val="0"/>
                  <w:autoSpaceDE w:val="0"/>
                  <w:autoSpaceDN w:val="0"/>
                  <w:adjustRightInd w:val="0"/>
                  <w:snapToGrid w:val="0"/>
                  <w:jc w:val="right"/>
                  <w:rPr>
                    <w:bCs/>
                    <w:szCs w:val="21"/>
                  </w:rPr>
                </w:pPr>
                <w:r>
                  <w:rPr>
                    <w:bCs/>
                    <w:szCs w:val="21"/>
                  </w:rPr>
                  <w:t>38,945,558.59</w:t>
                </w:r>
              </w:p>
            </w:tc>
            <w:tc>
              <w:tcPr>
                <w:tcW w:w="986" w:type="pct"/>
              </w:tcPr>
              <w:p w14:paraId="7A39B788" w14:textId="77777777" w:rsidR="00830E72" w:rsidRDefault="008344D8">
                <w:pPr>
                  <w:kinsoku w:val="0"/>
                  <w:overflowPunct w:val="0"/>
                  <w:autoSpaceDE w:val="0"/>
                  <w:autoSpaceDN w:val="0"/>
                  <w:adjustRightInd w:val="0"/>
                  <w:snapToGrid w:val="0"/>
                  <w:jc w:val="right"/>
                  <w:rPr>
                    <w:szCs w:val="21"/>
                  </w:rPr>
                </w:pPr>
                <w:r>
                  <w:rPr>
                    <w:rFonts w:hint="eastAsia"/>
                    <w:szCs w:val="21"/>
                  </w:rPr>
                  <w:t>26.45</w:t>
                </w:r>
              </w:p>
            </w:tc>
          </w:tr>
          <w:tr w:rsidR="00830E72" w14:paraId="680DA9E2" w14:textId="77777777">
            <w:trPr>
              <w:trHeight w:val="285"/>
            </w:trPr>
            <w:sdt>
              <w:sdtPr>
                <w:tag w:val="_PLD_f59cc08add024388b79135816e85f0a1"/>
                <w:id w:val="933013685"/>
                <w:lock w:val="sdtLocked"/>
              </w:sdtPr>
              <w:sdtEndPr/>
              <w:sdtContent>
                <w:tc>
                  <w:tcPr>
                    <w:tcW w:w="1766" w:type="pct"/>
                  </w:tcPr>
                  <w:p w14:paraId="08A2CC93" w14:textId="77777777" w:rsidR="00830E72" w:rsidRDefault="008344D8">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Content>
            </w:sdt>
            <w:tc>
              <w:tcPr>
                <w:tcW w:w="1123" w:type="pct"/>
              </w:tcPr>
              <w:p w14:paraId="688EE423" w14:textId="77777777" w:rsidR="00830E72" w:rsidRDefault="008344D8">
                <w:pPr>
                  <w:kinsoku w:val="0"/>
                  <w:overflowPunct w:val="0"/>
                  <w:autoSpaceDE w:val="0"/>
                  <w:autoSpaceDN w:val="0"/>
                  <w:adjustRightInd w:val="0"/>
                  <w:snapToGrid w:val="0"/>
                  <w:ind w:right="105"/>
                  <w:jc w:val="right"/>
                  <w:rPr>
                    <w:szCs w:val="21"/>
                  </w:rPr>
                </w:pPr>
                <w:r>
                  <w:rPr>
                    <w:szCs w:val="21"/>
                  </w:rPr>
                  <w:t>49,098,204.49</w:t>
                </w:r>
              </w:p>
            </w:tc>
            <w:tc>
              <w:tcPr>
                <w:tcW w:w="1125" w:type="pct"/>
              </w:tcPr>
              <w:p w14:paraId="4CD31085" w14:textId="77777777" w:rsidR="00830E72" w:rsidRDefault="008344D8">
                <w:pPr>
                  <w:kinsoku w:val="0"/>
                  <w:overflowPunct w:val="0"/>
                  <w:autoSpaceDE w:val="0"/>
                  <w:autoSpaceDN w:val="0"/>
                  <w:adjustRightInd w:val="0"/>
                  <w:snapToGrid w:val="0"/>
                  <w:jc w:val="right"/>
                  <w:rPr>
                    <w:bCs/>
                    <w:szCs w:val="21"/>
                  </w:rPr>
                </w:pPr>
                <w:r>
                  <w:rPr>
                    <w:bCs/>
                    <w:szCs w:val="21"/>
                  </w:rPr>
                  <w:t>36,430,450.86</w:t>
                </w:r>
              </w:p>
            </w:tc>
            <w:tc>
              <w:tcPr>
                <w:tcW w:w="986" w:type="pct"/>
              </w:tcPr>
              <w:p w14:paraId="582D972E" w14:textId="77777777" w:rsidR="00830E72" w:rsidRDefault="008344D8">
                <w:pPr>
                  <w:kinsoku w:val="0"/>
                  <w:overflowPunct w:val="0"/>
                  <w:autoSpaceDE w:val="0"/>
                  <w:autoSpaceDN w:val="0"/>
                  <w:adjustRightInd w:val="0"/>
                  <w:snapToGrid w:val="0"/>
                  <w:jc w:val="right"/>
                  <w:rPr>
                    <w:szCs w:val="21"/>
                  </w:rPr>
                </w:pPr>
                <w:r>
                  <w:rPr>
                    <w:rFonts w:hint="eastAsia"/>
                    <w:szCs w:val="21"/>
                  </w:rPr>
                  <w:t>34.77</w:t>
                </w:r>
              </w:p>
            </w:tc>
          </w:tr>
          <w:tr w:rsidR="00830E72" w14:paraId="6EE80C2F" w14:textId="77777777">
            <w:trPr>
              <w:trHeight w:val="285"/>
            </w:trPr>
            <w:sdt>
              <w:sdtPr>
                <w:tag w:val="_PLD_895da6708d8042d69e93b2530ead8964"/>
                <w:id w:val="-950313196"/>
                <w:lock w:val="sdtLocked"/>
              </w:sdtPr>
              <w:sdtEndPr/>
              <w:sdtContent>
                <w:tc>
                  <w:tcPr>
                    <w:tcW w:w="1766" w:type="pct"/>
                  </w:tcPr>
                  <w:p w14:paraId="6F3B2BB3" w14:textId="77777777" w:rsidR="00830E72" w:rsidRDefault="008344D8">
                    <w:pPr>
                      <w:kinsoku w:val="0"/>
                      <w:overflowPunct w:val="0"/>
                      <w:autoSpaceDE w:val="0"/>
                      <w:autoSpaceDN w:val="0"/>
                      <w:adjustRightInd w:val="0"/>
                      <w:snapToGrid w:val="0"/>
                      <w:rPr>
                        <w:szCs w:val="21"/>
                        <w:highlight w:val="magenta"/>
                      </w:rPr>
                    </w:pPr>
                    <w:r>
                      <w:rPr>
                        <w:rFonts w:hint="eastAsia"/>
                        <w:szCs w:val="21"/>
                      </w:rPr>
                      <w:t>经营活动产生的现金流量净额</w:t>
                    </w:r>
                  </w:p>
                </w:tc>
              </w:sdtContent>
            </w:sdt>
            <w:tc>
              <w:tcPr>
                <w:tcW w:w="1123" w:type="pct"/>
              </w:tcPr>
              <w:p w14:paraId="4C0861BF" w14:textId="77777777" w:rsidR="00830E72" w:rsidRDefault="008344D8">
                <w:pPr>
                  <w:kinsoku w:val="0"/>
                  <w:overflowPunct w:val="0"/>
                  <w:autoSpaceDE w:val="0"/>
                  <w:autoSpaceDN w:val="0"/>
                  <w:adjustRightInd w:val="0"/>
                  <w:snapToGrid w:val="0"/>
                  <w:jc w:val="right"/>
                  <w:rPr>
                    <w:szCs w:val="21"/>
                  </w:rPr>
                </w:pPr>
                <w:r>
                  <w:rPr>
                    <w:szCs w:val="21"/>
                  </w:rPr>
                  <w:t>-314,184,787.80</w:t>
                </w:r>
              </w:p>
            </w:tc>
            <w:tc>
              <w:tcPr>
                <w:tcW w:w="1125" w:type="pct"/>
              </w:tcPr>
              <w:p w14:paraId="789AAFA1" w14:textId="77777777" w:rsidR="00830E72" w:rsidRDefault="008344D8">
                <w:pPr>
                  <w:kinsoku w:val="0"/>
                  <w:overflowPunct w:val="0"/>
                  <w:autoSpaceDE w:val="0"/>
                  <w:autoSpaceDN w:val="0"/>
                  <w:adjustRightInd w:val="0"/>
                  <w:snapToGrid w:val="0"/>
                  <w:jc w:val="right"/>
                  <w:rPr>
                    <w:szCs w:val="21"/>
                  </w:rPr>
                </w:pPr>
                <w:r>
                  <w:rPr>
                    <w:szCs w:val="21"/>
                  </w:rPr>
                  <w:t>-209,030,766.02</w:t>
                </w:r>
              </w:p>
            </w:tc>
            <w:tc>
              <w:tcPr>
                <w:tcW w:w="986" w:type="pct"/>
              </w:tcPr>
              <w:p w14:paraId="6150AC1F" w14:textId="77777777" w:rsidR="00830E72" w:rsidRDefault="008344D8">
                <w:pPr>
                  <w:kinsoku w:val="0"/>
                  <w:overflowPunct w:val="0"/>
                  <w:autoSpaceDE w:val="0"/>
                  <w:autoSpaceDN w:val="0"/>
                  <w:adjustRightInd w:val="0"/>
                  <w:snapToGrid w:val="0"/>
                  <w:jc w:val="right"/>
                  <w:rPr>
                    <w:szCs w:val="21"/>
                  </w:rPr>
                </w:pPr>
                <w:r>
                  <w:rPr>
                    <w:rFonts w:hint="eastAsia"/>
                    <w:szCs w:val="21"/>
                  </w:rPr>
                  <w:t>不适用</w:t>
                </w:r>
              </w:p>
            </w:tc>
          </w:tr>
          <w:tr w:rsidR="00830E72" w14:paraId="2DDEBB27" w14:textId="77777777">
            <w:trPr>
              <w:trHeight w:val="533"/>
            </w:trPr>
            <w:tc>
              <w:tcPr>
                <w:tcW w:w="1766" w:type="pct"/>
                <w:vAlign w:val="center"/>
              </w:tcPr>
              <w:p w14:paraId="572848A1" w14:textId="77777777" w:rsidR="00830E72" w:rsidRDefault="00830E72">
                <w:pPr>
                  <w:kinsoku w:val="0"/>
                  <w:overflowPunct w:val="0"/>
                  <w:autoSpaceDE w:val="0"/>
                  <w:autoSpaceDN w:val="0"/>
                  <w:adjustRightInd w:val="0"/>
                  <w:snapToGrid w:val="0"/>
                  <w:jc w:val="center"/>
                  <w:rPr>
                    <w:szCs w:val="21"/>
                  </w:rPr>
                </w:pPr>
              </w:p>
            </w:tc>
            <w:sdt>
              <w:sdtPr>
                <w:tag w:val="_PLD_b75e9aa554cc48539ab9de572d244f45"/>
                <w:id w:val="1260261353"/>
                <w:lock w:val="sdtLocked"/>
              </w:sdtPr>
              <w:sdtEndPr/>
              <w:sdtContent>
                <w:tc>
                  <w:tcPr>
                    <w:tcW w:w="1123" w:type="pct"/>
                    <w:vAlign w:val="center"/>
                  </w:tcPr>
                  <w:p w14:paraId="3F773582" w14:textId="77777777" w:rsidR="00830E72" w:rsidRDefault="008344D8">
                    <w:pPr>
                      <w:kinsoku w:val="0"/>
                      <w:overflowPunct w:val="0"/>
                      <w:autoSpaceDE w:val="0"/>
                      <w:autoSpaceDN w:val="0"/>
                      <w:adjustRightInd w:val="0"/>
                      <w:snapToGrid w:val="0"/>
                      <w:jc w:val="center"/>
                      <w:rPr>
                        <w:szCs w:val="21"/>
                      </w:rPr>
                    </w:pPr>
                    <w:r>
                      <w:t>本报告期末</w:t>
                    </w:r>
                  </w:p>
                </w:tc>
              </w:sdtContent>
            </w:sdt>
            <w:sdt>
              <w:sdtPr>
                <w:tag w:val="_PLD_7425b2bc6a39452296814978a781ba72"/>
                <w:id w:val="-1258369265"/>
                <w:lock w:val="sdtLocked"/>
              </w:sdtPr>
              <w:sdtEndPr/>
              <w:sdtContent>
                <w:tc>
                  <w:tcPr>
                    <w:tcW w:w="1125" w:type="pct"/>
                    <w:vAlign w:val="center"/>
                  </w:tcPr>
                  <w:p w14:paraId="5B4CA114" w14:textId="77777777" w:rsidR="00830E72" w:rsidRDefault="008344D8">
                    <w:pPr>
                      <w:kinsoku w:val="0"/>
                      <w:overflowPunct w:val="0"/>
                      <w:autoSpaceDE w:val="0"/>
                      <w:autoSpaceDN w:val="0"/>
                      <w:adjustRightInd w:val="0"/>
                      <w:snapToGrid w:val="0"/>
                      <w:jc w:val="center"/>
                      <w:rPr>
                        <w:szCs w:val="21"/>
                      </w:rPr>
                    </w:pPr>
                    <w:r>
                      <w:t>上年度末</w:t>
                    </w:r>
                  </w:p>
                </w:tc>
              </w:sdtContent>
            </w:sdt>
            <w:sdt>
              <w:sdtPr>
                <w:tag w:val="_PLD_7a1ba9a6d9b54e51bd320f47b6233184"/>
                <w:id w:val="-2104478313"/>
                <w:lock w:val="sdtLocked"/>
              </w:sdtPr>
              <w:sdtEndPr/>
              <w:sdtContent>
                <w:tc>
                  <w:tcPr>
                    <w:tcW w:w="986" w:type="pct"/>
                    <w:vAlign w:val="center"/>
                  </w:tcPr>
                  <w:p w14:paraId="25CC68D7" w14:textId="77777777" w:rsidR="00830E72" w:rsidRDefault="008344D8">
                    <w:pPr>
                      <w:kinsoku w:val="0"/>
                      <w:overflowPunct w:val="0"/>
                      <w:autoSpaceDE w:val="0"/>
                      <w:autoSpaceDN w:val="0"/>
                      <w:adjustRightInd w:val="0"/>
                      <w:snapToGrid w:val="0"/>
                      <w:jc w:val="center"/>
                      <w:rPr>
                        <w:szCs w:val="21"/>
                      </w:rPr>
                    </w:pPr>
                    <w:r>
                      <w:t>本报告期末比上年度末增减</w:t>
                    </w:r>
                    <w:r>
                      <w:rPr>
                        <w:szCs w:val="21"/>
                      </w:rPr>
                      <w:t>(%)</w:t>
                    </w:r>
                  </w:p>
                </w:tc>
              </w:sdtContent>
            </w:sdt>
          </w:tr>
          <w:tr w:rsidR="00830E72" w14:paraId="5508077F" w14:textId="77777777">
            <w:trPr>
              <w:trHeight w:val="285"/>
            </w:trPr>
            <w:sdt>
              <w:sdtPr>
                <w:tag w:val="_PLD_c12ab31af03f46e4bd02eb659877c070"/>
                <w:id w:val="2031837593"/>
                <w:lock w:val="sdtLocked"/>
              </w:sdtPr>
              <w:sdtEndPr/>
              <w:sdtContent>
                <w:tc>
                  <w:tcPr>
                    <w:tcW w:w="1766" w:type="pct"/>
                  </w:tcPr>
                  <w:p w14:paraId="54BE7FBD" w14:textId="77777777" w:rsidR="00830E72" w:rsidRDefault="008344D8">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1123" w:type="pct"/>
              </w:tcPr>
              <w:p w14:paraId="2B3754D2" w14:textId="77777777" w:rsidR="00830E72" w:rsidRDefault="008344D8">
                <w:pPr>
                  <w:kinsoku w:val="0"/>
                  <w:overflowPunct w:val="0"/>
                  <w:autoSpaceDE w:val="0"/>
                  <w:autoSpaceDN w:val="0"/>
                  <w:adjustRightInd w:val="0"/>
                  <w:snapToGrid w:val="0"/>
                  <w:jc w:val="right"/>
                  <w:rPr>
                    <w:szCs w:val="21"/>
                  </w:rPr>
                </w:pPr>
                <w:r>
                  <w:rPr>
                    <w:szCs w:val="21"/>
                  </w:rPr>
                  <w:t>2,008,103,012.04</w:t>
                </w:r>
              </w:p>
            </w:tc>
            <w:tc>
              <w:tcPr>
                <w:tcW w:w="1125" w:type="pct"/>
              </w:tcPr>
              <w:p w14:paraId="04BDC9FE" w14:textId="77777777" w:rsidR="00830E72" w:rsidRDefault="008344D8">
                <w:pPr>
                  <w:kinsoku w:val="0"/>
                  <w:overflowPunct w:val="0"/>
                  <w:autoSpaceDE w:val="0"/>
                  <w:autoSpaceDN w:val="0"/>
                  <w:adjustRightInd w:val="0"/>
                  <w:snapToGrid w:val="0"/>
                  <w:jc w:val="right"/>
                  <w:rPr>
                    <w:bCs/>
                    <w:szCs w:val="21"/>
                  </w:rPr>
                </w:pPr>
                <w:r>
                  <w:rPr>
                    <w:bCs/>
                    <w:szCs w:val="21"/>
                  </w:rPr>
                  <w:t>1,129,113,096.47</w:t>
                </w:r>
              </w:p>
            </w:tc>
            <w:tc>
              <w:tcPr>
                <w:tcW w:w="986" w:type="pct"/>
              </w:tcPr>
              <w:p w14:paraId="7FFAD69B" w14:textId="77777777" w:rsidR="00830E72" w:rsidRDefault="008344D8">
                <w:pPr>
                  <w:kinsoku w:val="0"/>
                  <w:overflowPunct w:val="0"/>
                  <w:autoSpaceDE w:val="0"/>
                  <w:autoSpaceDN w:val="0"/>
                  <w:adjustRightInd w:val="0"/>
                  <w:snapToGrid w:val="0"/>
                  <w:jc w:val="right"/>
                  <w:rPr>
                    <w:szCs w:val="21"/>
                  </w:rPr>
                </w:pPr>
                <w:r>
                  <w:rPr>
                    <w:rFonts w:hint="eastAsia"/>
                    <w:szCs w:val="21"/>
                  </w:rPr>
                  <w:t>77.85</w:t>
                </w:r>
              </w:p>
            </w:tc>
          </w:tr>
          <w:tr w:rsidR="00830E72" w14:paraId="32CC56F1" w14:textId="77777777">
            <w:trPr>
              <w:trHeight w:val="285"/>
            </w:trPr>
            <w:sdt>
              <w:sdtPr>
                <w:tag w:val="_PLD_c9e79cad72304cada434a9145656a31f"/>
                <w:id w:val="-934441665"/>
                <w:lock w:val="sdtLocked"/>
              </w:sdtPr>
              <w:sdtEndPr/>
              <w:sdtContent>
                <w:tc>
                  <w:tcPr>
                    <w:tcW w:w="1766" w:type="pct"/>
                  </w:tcPr>
                  <w:p w14:paraId="30147179" w14:textId="77777777" w:rsidR="00830E72" w:rsidRDefault="008344D8">
                    <w:pPr>
                      <w:kinsoku w:val="0"/>
                      <w:overflowPunct w:val="0"/>
                      <w:autoSpaceDE w:val="0"/>
                      <w:autoSpaceDN w:val="0"/>
                      <w:adjustRightInd w:val="0"/>
                      <w:snapToGrid w:val="0"/>
                      <w:rPr>
                        <w:szCs w:val="21"/>
                      </w:rPr>
                    </w:pPr>
                    <w:r>
                      <w:rPr>
                        <w:rFonts w:hint="eastAsia"/>
                        <w:szCs w:val="21"/>
                      </w:rPr>
                      <w:t>总资产</w:t>
                    </w:r>
                  </w:p>
                </w:tc>
              </w:sdtContent>
            </w:sdt>
            <w:tc>
              <w:tcPr>
                <w:tcW w:w="1123" w:type="pct"/>
              </w:tcPr>
              <w:p w14:paraId="1B51FCBC" w14:textId="77777777" w:rsidR="00830E72" w:rsidRDefault="008344D8">
                <w:pPr>
                  <w:kinsoku w:val="0"/>
                  <w:overflowPunct w:val="0"/>
                  <w:autoSpaceDE w:val="0"/>
                  <w:autoSpaceDN w:val="0"/>
                  <w:adjustRightInd w:val="0"/>
                  <w:snapToGrid w:val="0"/>
                  <w:jc w:val="right"/>
                  <w:rPr>
                    <w:szCs w:val="21"/>
                  </w:rPr>
                </w:pPr>
                <w:r>
                  <w:rPr>
                    <w:szCs w:val="21"/>
                  </w:rPr>
                  <w:t>6,469,511,258.71</w:t>
                </w:r>
              </w:p>
            </w:tc>
            <w:tc>
              <w:tcPr>
                <w:tcW w:w="1125" w:type="pct"/>
              </w:tcPr>
              <w:p w14:paraId="3359809B" w14:textId="77777777" w:rsidR="00830E72" w:rsidRDefault="008344D8">
                <w:pPr>
                  <w:kinsoku w:val="0"/>
                  <w:overflowPunct w:val="0"/>
                  <w:autoSpaceDE w:val="0"/>
                  <w:autoSpaceDN w:val="0"/>
                  <w:adjustRightInd w:val="0"/>
                  <w:snapToGrid w:val="0"/>
                  <w:jc w:val="right"/>
                  <w:rPr>
                    <w:bCs/>
                    <w:szCs w:val="21"/>
                  </w:rPr>
                </w:pPr>
                <w:r>
                  <w:rPr>
                    <w:bCs/>
                    <w:szCs w:val="21"/>
                  </w:rPr>
                  <w:t>5,475,696,797.15</w:t>
                </w:r>
              </w:p>
            </w:tc>
            <w:tc>
              <w:tcPr>
                <w:tcW w:w="986" w:type="pct"/>
              </w:tcPr>
              <w:p w14:paraId="0BA778A7" w14:textId="77777777" w:rsidR="00830E72" w:rsidRDefault="008344D8">
                <w:pPr>
                  <w:kinsoku w:val="0"/>
                  <w:overflowPunct w:val="0"/>
                  <w:autoSpaceDE w:val="0"/>
                  <w:autoSpaceDN w:val="0"/>
                  <w:adjustRightInd w:val="0"/>
                  <w:snapToGrid w:val="0"/>
                  <w:jc w:val="right"/>
                  <w:rPr>
                    <w:szCs w:val="21"/>
                  </w:rPr>
                </w:pPr>
                <w:r>
                  <w:rPr>
                    <w:rFonts w:hint="eastAsia"/>
                    <w:szCs w:val="21"/>
                  </w:rPr>
                  <w:t>18.15</w:t>
                </w:r>
              </w:p>
            </w:tc>
          </w:tr>
          <w:bookmarkEnd w:id="16"/>
        </w:tbl>
      </w:sdtContent>
    </w:sdt>
    <w:p w14:paraId="64301ED6" w14:textId="77777777" w:rsidR="00830E72" w:rsidRDefault="00830E72">
      <w:pPr>
        <w:kinsoku w:val="0"/>
        <w:overflowPunct w:val="0"/>
        <w:autoSpaceDE w:val="0"/>
        <w:autoSpaceDN w:val="0"/>
        <w:adjustRightInd w:val="0"/>
        <w:snapToGrid w:val="0"/>
        <w:rPr>
          <w:szCs w:val="21"/>
        </w:rPr>
      </w:pPr>
    </w:p>
    <w:p w14:paraId="251BD5EE" w14:textId="77777777" w:rsidR="00830E72" w:rsidRDefault="008344D8">
      <w:pPr>
        <w:pStyle w:val="Style99"/>
        <w:numPr>
          <w:ilvl w:val="1"/>
          <w:numId w:val="4"/>
        </w:numPr>
        <w:rPr>
          <w:rFonts w:ascii="宋体" w:hAnsi="宋体"/>
          <w:szCs w:val="21"/>
        </w:rPr>
      </w:pPr>
      <w:r>
        <w:rPr>
          <w:rFonts w:ascii="宋体" w:hAnsi="宋体"/>
        </w:rPr>
        <w:t>主要财务指标</w:t>
      </w:r>
    </w:p>
    <w:sdt>
      <w:sdtPr>
        <w:alias w:val="选项模块:主要财务指标(无追溯)"/>
        <w:tag w:val="_GBC_b44cc48c2c094fe699f563d257345cf5"/>
        <w:id w:val="-752120487"/>
        <w:placeholder>
          <w:docPart w:val="GBC22222222222222222222222222222"/>
        </w:placeholder>
      </w:sdtPr>
      <w:sdtEndPr>
        <w:rPr>
          <w:szCs w:val="21"/>
        </w:rPr>
      </w:sdtEndPr>
      <w:sdtContent>
        <w:tbl>
          <w:tblPr>
            <w:tblStyle w:val="g2"/>
            <w:tblW w:w="0" w:type="auto"/>
            <w:tblLook w:val="04A0" w:firstRow="1" w:lastRow="0" w:firstColumn="1" w:lastColumn="0" w:noHBand="0" w:noVBand="1"/>
          </w:tblPr>
          <w:tblGrid>
            <w:gridCol w:w="3085"/>
            <w:gridCol w:w="1418"/>
            <w:gridCol w:w="1417"/>
            <w:gridCol w:w="2903"/>
          </w:tblGrid>
          <w:tr w:rsidR="00830E72" w14:paraId="66F018C1" w14:textId="77777777">
            <w:sdt>
              <w:sdtPr>
                <w:tag w:val="_PLD_b12e929543994adfbc7a21fe743cd125"/>
                <w:id w:val="-1441907334"/>
                <w:lock w:val="sdtLocked"/>
              </w:sdtPr>
              <w:sdtEndPr/>
              <w:sdtContent>
                <w:tc>
                  <w:tcPr>
                    <w:tcW w:w="3085" w:type="dxa"/>
                    <w:vAlign w:val="center"/>
                  </w:tcPr>
                  <w:p w14:paraId="37EACB4D" w14:textId="77777777" w:rsidR="00830E72" w:rsidRDefault="008344D8">
                    <w:pPr>
                      <w:kinsoku w:val="0"/>
                      <w:overflowPunct w:val="0"/>
                      <w:autoSpaceDE w:val="0"/>
                      <w:autoSpaceDN w:val="0"/>
                      <w:adjustRightInd w:val="0"/>
                      <w:snapToGrid w:val="0"/>
                      <w:jc w:val="center"/>
                      <w:rPr>
                        <w:szCs w:val="21"/>
                      </w:rPr>
                    </w:pPr>
                    <w:r>
                      <w:t>主要财务指标</w:t>
                    </w:r>
                  </w:p>
                </w:tc>
              </w:sdtContent>
            </w:sdt>
            <w:sdt>
              <w:sdtPr>
                <w:tag w:val="_PLD_d04f89449ff14c5fa39e871117b7e9e2"/>
                <w:id w:val="1959144605"/>
                <w:lock w:val="sdtLocked"/>
              </w:sdtPr>
              <w:sdtEndPr/>
              <w:sdtContent>
                <w:tc>
                  <w:tcPr>
                    <w:tcW w:w="1418" w:type="dxa"/>
                    <w:vAlign w:val="center"/>
                  </w:tcPr>
                  <w:p w14:paraId="45861985" w14:textId="77777777" w:rsidR="00830E72" w:rsidRDefault="008344D8">
                    <w:pPr>
                      <w:kinsoku w:val="0"/>
                      <w:overflowPunct w:val="0"/>
                      <w:autoSpaceDE w:val="0"/>
                      <w:autoSpaceDN w:val="0"/>
                      <w:adjustRightInd w:val="0"/>
                      <w:snapToGrid w:val="0"/>
                      <w:jc w:val="center"/>
                    </w:pPr>
                    <w:r>
                      <w:t>本报告期</w:t>
                    </w:r>
                  </w:p>
                  <w:p w14:paraId="448DE745" w14:textId="77777777" w:rsidR="00830E72" w:rsidRDefault="008344D8">
                    <w:pPr>
                      <w:kinsoku w:val="0"/>
                      <w:overflowPunct w:val="0"/>
                      <w:autoSpaceDE w:val="0"/>
                      <w:autoSpaceDN w:val="0"/>
                      <w:adjustRightInd w:val="0"/>
                      <w:snapToGrid w:val="0"/>
                      <w:jc w:val="center"/>
                      <w:rPr>
                        <w:szCs w:val="21"/>
                      </w:rPr>
                    </w:pPr>
                    <w:r>
                      <w:t>（1－6月）</w:t>
                    </w:r>
                  </w:p>
                </w:tc>
              </w:sdtContent>
            </w:sdt>
            <w:sdt>
              <w:sdtPr>
                <w:tag w:val="_PLD_bdb91a2a58254a0e945eecc5aef91521"/>
                <w:id w:val="-984000716"/>
                <w:lock w:val="sdtLocked"/>
              </w:sdtPr>
              <w:sdtEndPr/>
              <w:sdtContent>
                <w:tc>
                  <w:tcPr>
                    <w:tcW w:w="1417" w:type="dxa"/>
                    <w:vAlign w:val="center"/>
                  </w:tcPr>
                  <w:p w14:paraId="12EE27BF" w14:textId="77777777" w:rsidR="00830E72" w:rsidRDefault="008344D8">
                    <w:pPr>
                      <w:kinsoku w:val="0"/>
                      <w:overflowPunct w:val="0"/>
                      <w:autoSpaceDE w:val="0"/>
                      <w:autoSpaceDN w:val="0"/>
                      <w:adjustRightInd w:val="0"/>
                      <w:snapToGrid w:val="0"/>
                      <w:jc w:val="center"/>
                      <w:rPr>
                        <w:szCs w:val="21"/>
                      </w:rPr>
                    </w:pPr>
                    <w:r>
                      <w:t>上年同期</w:t>
                    </w:r>
                  </w:p>
                </w:tc>
              </w:sdtContent>
            </w:sdt>
            <w:sdt>
              <w:sdtPr>
                <w:tag w:val="_PLD_08306889e5b040aa83784b3f6db386f1"/>
                <w:id w:val="-642573704"/>
                <w:lock w:val="sdtLocked"/>
              </w:sdtPr>
              <w:sdtEndPr/>
              <w:sdtContent>
                <w:tc>
                  <w:tcPr>
                    <w:tcW w:w="2903" w:type="dxa"/>
                    <w:vAlign w:val="center"/>
                  </w:tcPr>
                  <w:p w14:paraId="55779085" w14:textId="77777777" w:rsidR="00830E72" w:rsidRDefault="008344D8">
                    <w:pPr>
                      <w:kinsoku w:val="0"/>
                      <w:overflowPunct w:val="0"/>
                      <w:autoSpaceDE w:val="0"/>
                      <w:autoSpaceDN w:val="0"/>
                      <w:adjustRightInd w:val="0"/>
                      <w:snapToGrid w:val="0"/>
                      <w:jc w:val="center"/>
                      <w:rPr>
                        <w:szCs w:val="21"/>
                      </w:rPr>
                    </w:pPr>
                    <w:r>
                      <w:t>本报告期比上年同期增减</w:t>
                    </w:r>
                    <w:r>
                      <w:rPr>
                        <w:szCs w:val="21"/>
                      </w:rPr>
                      <w:t>(%)</w:t>
                    </w:r>
                  </w:p>
                </w:tc>
              </w:sdtContent>
            </w:sdt>
          </w:tr>
          <w:tr w:rsidR="00830E72" w14:paraId="51C1C949" w14:textId="77777777">
            <w:sdt>
              <w:sdtPr>
                <w:tag w:val="_PLD_089671b43cd048bda3f42f7ff187200a"/>
                <w:id w:val="1309750159"/>
                <w:lock w:val="sdtLocked"/>
              </w:sdtPr>
              <w:sdtEndPr/>
              <w:sdtContent>
                <w:tc>
                  <w:tcPr>
                    <w:tcW w:w="3085" w:type="dxa"/>
                  </w:tcPr>
                  <w:p w14:paraId="23F2872C" w14:textId="77777777" w:rsidR="00830E72" w:rsidRDefault="008344D8">
                    <w:pPr>
                      <w:kinsoku w:val="0"/>
                      <w:overflowPunct w:val="0"/>
                      <w:autoSpaceDE w:val="0"/>
                      <w:autoSpaceDN w:val="0"/>
                      <w:adjustRightInd w:val="0"/>
                      <w:snapToGrid w:val="0"/>
                      <w:rPr>
                        <w:szCs w:val="21"/>
                      </w:rPr>
                    </w:pPr>
                    <w:r>
                      <w:t>基本每股收益（元／股）</w:t>
                    </w:r>
                  </w:p>
                </w:tc>
              </w:sdtContent>
            </w:sdt>
            <w:tc>
              <w:tcPr>
                <w:tcW w:w="1418" w:type="dxa"/>
              </w:tcPr>
              <w:p w14:paraId="2A385B68" w14:textId="77777777" w:rsidR="00830E72" w:rsidRDefault="008344D8">
                <w:pPr>
                  <w:kinsoku w:val="0"/>
                  <w:overflowPunct w:val="0"/>
                  <w:autoSpaceDE w:val="0"/>
                  <w:autoSpaceDN w:val="0"/>
                  <w:adjustRightInd w:val="0"/>
                  <w:snapToGrid w:val="0"/>
                  <w:jc w:val="right"/>
                  <w:rPr>
                    <w:szCs w:val="21"/>
                  </w:rPr>
                </w:pPr>
                <w:r>
                  <w:rPr>
                    <w:rFonts w:hint="eastAsia"/>
                    <w:szCs w:val="21"/>
                  </w:rPr>
                  <w:t>0.08</w:t>
                </w:r>
              </w:p>
            </w:tc>
            <w:tc>
              <w:tcPr>
                <w:tcW w:w="1417" w:type="dxa"/>
              </w:tcPr>
              <w:p w14:paraId="4F177601" w14:textId="77777777" w:rsidR="00830E72" w:rsidRDefault="008344D8">
                <w:pPr>
                  <w:kinsoku w:val="0"/>
                  <w:overflowPunct w:val="0"/>
                  <w:autoSpaceDE w:val="0"/>
                  <w:autoSpaceDN w:val="0"/>
                  <w:adjustRightInd w:val="0"/>
                  <w:snapToGrid w:val="0"/>
                  <w:jc w:val="right"/>
                  <w:rPr>
                    <w:szCs w:val="21"/>
                  </w:rPr>
                </w:pPr>
                <w:r>
                  <w:rPr>
                    <w:szCs w:val="21"/>
                  </w:rPr>
                  <w:t>0.08</w:t>
                </w:r>
              </w:p>
            </w:tc>
            <w:tc>
              <w:tcPr>
                <w:tcW w:w="2903" w:type="dxa"/>
              </w:tcPr>
              <w:p w14:paraId="5216DA4E" w14:textId="77777777" w:rsidR="00830E72" w:rsidRDefault="008344D8">
                <w:pPr>
                  <w:kinsoku w:val="0"/>
                  <w:overflowPunct w:val="0"/>
                  <w:autoSpaceDE w:val="0"/>
                  <w:autoSpaceDN w:val="0"/>
                  <w:adjustRightInd w:val="0"/>
                  <w:snapToGrid w:val="0"/>
                  <w:jc w:val="right"/>
                  <w:rPr>
                    <w:szCs w:val="21"/>
                  </w:rPr>
                </w:pPr>
                <w:r>
                  <w:rPr>
                    <w:rFonts w:hint="eastAsia"/>
                    <w:szCs w:val="21"/>
                  </w:rPr>
                  <w:t>0.00</w:t>
                </w:r>
              </w:p>
            </w:tc>
          </w:tr>
          <w:tr w:rsidR="00830E72" w14:paraId="2565F34B" w14:textId="77777777">
            <w:sdt>
              <w:sdtPr>
                <w:tag w:val="_PLD_b53c618810f6494198af9022cf5f9c92"/>
                <w:id w:val="2098586299"/>
                <w:lock w:val="sdtLocked"/>
              </w:sdtPr>
              <w:sdtEndPr/>
              <w:sdtContent>
                <w:tc>
                  <w:tcPr>
                    <w:tcW w:w="3085" w:type="dxa"/>
                  </w:tcPr>
                  <w:p w14:paraId="1253E564" w14:textId="77777777" w:rsidR="00830E72" w:rsidRDefault="008344D8">
                    <w:pPr>
                      <w:kinsoku w:val="0"/>
                      <w:overflowPunct w:val="0"/>
                      <w:autoSpaceDE w:val="0"/>
                      <w:autoSpaceDN w:val="0"/>
                      <w:adjustRightInd w:val="0"/>
                      <w:snapToGrid w:val="0"/>
                      <w:rPr>
                        <w:szCs w:val="21"/>
                      </w:rPr>
                    </w:pPr>
                    <w:r>
                      <w:t>稀释每股收益（元／股）</w:t>
                    </w:r>
                  </w:p>
                </w:tc>
              </w:sdtContent>
            </w:sdt>
            <w:tc>
              <w:tcPr>
                <w:tcW w:w="1418" w:type="dxa"/>
              </w:tcPr>
              <w:p w14:paraId="3793E813" w14:textId="77777777" w:rsidR="00830E72" w:rsidRDefault="008344D8">
                <w:pPr>
                  <w:kinsoku w:val="0"/>
                  <w:overflowPunct w:val="0"/>
                  <w:autoSpaceDE w:val="0"/>
                  <w:autoSpaceDN w:val="0"/>
                  <w:adjustRightInd w:val="0"/>
                  <w:snapToGrid w:val="0"/>
                  <w:jc w:val="right"/>
                  <w:rPr>
                    <w:szCs w:val="21"/>
                  </w:rPr>
                </w:pPr>
                <w:r>
                  <w:rPr>
                    <w:rFonts w:hint="eastAsia"/>
                    <w:szCs w:val="21"/>
                  </w:rPr>
                  <w:t>0.08</w:t>
                </w:r>
              </w:p>
            </w:tc>
            <w:tc>
              <w:tcPr>
                <w:tcW w:w="1417" w:type="dxa"/>
              </w:tcPr>
              <w:p w14:paraId="403AE3F7" w14:textId="77777777" w:rsidR="00830E72" w:rsidRDefault="008344D8">
                <w:pPr>
                  <w:kinsoku w:val="0"/>
                  <w:overflowPunct w:val="0"/>
                  <w:autoSpaceDE w:val="0"/>
                  <w:autoSpaceDN w:val="0"/>
                  <w:adjustRightInd w:val="0"/>
                  <w:snapToGrid w:val="0"/>
                  <w:jc w:val="right"/>
                  <w:rPr>
                    <w:szCs w:val="21"/>
                  </w:rPr>
                </w:pPr>
                <w:r>
                  <w:rPr>
                    <w:rFonts w:hint="eastAsia"/>
                    <w:szCs w:val="21"/>
                  </w:rPr>
                  <w:t>0.08</w:t>
                </w:r>
              </w:p>
            </w:tc>
            <w:tc>
              <w:tcPr>
                <w:tcW w:w="2903" w:type="dxa"/>
              </w:tcPr>
              <w:p w14:paraId="2E484403" w14:textId="77777777" w:rsidR="00830E72" w:rsidRDefault="008344D8">
                <w:pPr>
                  <w:kinsoku w:val="0"/>
                  <w:overflowPunct w:val="0"/>
                  <w:autoSpaceDE w:val="0"/>
                  <w:autoSpaceDN w:val="0"/>
                  <w:adjustRightInd w:val="0"/>
                  <w:snapToGrid w:val="0"/>
                  <w:jc w:val="right"/>
                  <w:rPr>
                    <w:szCs w:val="21"/>
                  </w:rPr>
                </w:pPr>
                <w:r>
                  <w:rPr>
                    <w:rFonts w:hint="eastAsia"/>
                    <w:szCs w:val="21"/>
                  </w:rPr>
                  <w:t>0.00</w:t>
                </w:r>
              </w:p>
            </w:tc>
          </w:tr>
          <w:tr w:rsidR="00830E72" w14:paraId="7C8FC81B" w14:textId="77777777">
            <w:sdt>
              <w:sdtPr>
                <w:tag w:val="_PLD_7995656a90ee4448a470f6a06fe39000"/>
                <w:id w:val="2107763926"/>
                <w:lock w:val="sdtLocked"/>
              </w:sdtPr>
              <w:sdtEndPr/>
              <w:sdtContent>
                <w:tc>
                  <w:tcPr>
                    <w:tcW w:w="3085" w:type="dxa"/>
                  </w:tcPr>
                  <w:p w14:paraId="533353AB" w14:textId="77777777" w:rsidR="00830E72" w:rsidRDefault="008344D8">
                    <w:pPr>
                      <w:kinsoku w:val="0"/>
                      <w:overflowPunct w:val="0"/>
                      <w:autoSpaceDE w:val="0"/>
                      <w:autoSpaceDN w:val="0"/>
                      <w:adjustRightInd w:val="0"/>
                      <w:snapToGrid w:val="0"/>
                      <w:rPr>
                        <w:szCs w:val="21"/>
                      </w:rPr>
                    </w:pPr>
                    <w:r>
                      <w:t>扣除非经常性损益后的基本每股收益（元／股）</w:t>
                    </w:r>
                  </w:p>
                </w:tc>
              </w:sdtContent>
            </w:sdt>
            <w:tc>
              <w:tcPr>
                <w:tcW w:w="1418" w:type="dxa"/>
              </w:tcPr>
              <w:p w14:paraId="731DB5A3" w14:textId="77777777" w:rsidR="00830E72" w:rsidRDefault="008344D8">
                <w:pPr>
                  <w:kinsoku w:val="0"/>
                  <w:overflowPunct w:val="0"/>
                  <w:autoSpaceDE w:val="0"/>
                  <w:autoSpaceDN w:val="0"/>
                  <w:adjustRightInd w:val="0"/>
                  <w:snapToGrid w:val="0"/>
                  <w:jc w:val="right"/>
                  <w:rPr>
                    <w:szCs w:val="21"/>
                  </w:rPr>
                </w:pPr>
                <w:r>
                  <w:rPr>
                    <w:szCs w:val="21"/>
                  </w:rPr>
                  <w:t>0.08</w:t>
                </w:r>
              </w:p>
            </w:tc>
            <w:tc>
              <w:tcPr>
                <w:tcW w:w="1417" w:type="dxa"/>
              </w:tcPr>
              <w:p w14:paraId="55CE2B58" w14:textId="77777777" w:rsidR="00830E72" w:rsidRDefault="008344D8">
                <w:pPr>
                  <w:kinsoku w:val="0"/>
                  <w:overflowPunct w:val="0"/>
                  <w:autoSpaceDE w:val="0"/>
                  <w:autoSpaceDN w:val="0"/>
                  <w:adjustRightInd w:val="0"/>
                  <w:snapToGrid w:val="0"/>
                  <w:jc w:val="right"/>
                  <w:rPr>
                    <w:szCs w:val="21"/>
                  </w:rPr>
                </w:pPr>
                <w:r>
                  <w:rPr>
                    <w:rFonts w:hint="eastAsia"/>
                    <w:szCs w:val="21"/>
                  </w:rPr>
                  <w:t>0.07</w:t>
                </w:r>
              </w:p>
            </w:tc>
            <w:tc>
              <w:tcPr>
                <w:tcW w:w="2903" w:type="dxa"/>
              </w:tcPr>
              <w:p w14:paraId="6161B5FE" w14:textId="77777777" w:rsidR="00830E72" w:rsidRDefault="008344D8">
                <w:pPr>
                  <w:kinsoku w:val="0"/>
                  <w:overflowPunct w:val="0"/>
                  <w:autoSpaceDE w:val="0"/>
                  <w:autoSpaceDN w:val="0"/>
                  <w:adjustRightInd w:val="0"/>
                  <w:snapToGrid w:val="0"/>
                  <w:jc w:val="right"/>
                  <w:rPr>
                    <w:szCs w:val="21"/>
                  </w:rPr>
                </w:pPr>
                <w:r>
                  <w:rPr>
                    <w:rFonts w:hint="eastAsia"/>
                    <w:szCs w:val="21"/>
                  </w:rPr>
                  <w:t>14.29</w:t>
                </w:r>
              </w:p>
            </w:tc>
          </w:tr>
          <w:tr w:rsidR="00830E72" w14:paraId="50A01FD9" w14:textId="77777777">
            <w:sdt>
              <w:sdtPr>
                <w:tag w:val="_PLD_7ae3fa8992794ff1bdf49e4e770ce96d"/>
                <w:id w:val="1897699435"/>
                <w:lock w:val="sdtLocked"/>
              </w:sdtPr>
              <w:sdtEndPr/>
              <w:sdtContent>
                <w:tc>
                  <w:tcPr>
                    <w:tcW w:w="3085" w:type="dxa"/>
                  </w:tcPr>
                  <w:p w14:paraId="32FCB729" w14:textId="77777777" w:rsidR="00830E72" w:rsidRDefault="008344D8">
                    <w:pPr>
                      <w:kinsoku w:val="0"/>
                      <w:overflowPunct w:val="0"/>
                      <w:autoSpaceDE w:val="0"/>
                      <w:autoSpaceDN w:val="0"/>
                      <w:adjustRightInd w:val="0"/>
                      <w:snapToGrid w:val="0"/>
                      <w:rPr>
                        <w:szCs w:val="21"/>
                      </w:rPr>
                    </w:pPr>
                    <w:r>
                      <w:t>加权平均净资产收益率（%）</w:t>
                    </w:r>
                  </w:p>
                </w:tc>
              </w:sdtContent>
            </w:sdt>
            <w:tc>
              <w:tcPr>
                <w:tcW w:w="1418" w:type="dxa"/>
              </w:tcPr>
              <w:p w14:paraId="240B6368" w14:textId="77777777" w:rsidR="00830E72" w:rsidRDefault="008344D8">
                <w:pPr>
                  <w:kinsoku w:val="0"/>
                  <w:overflowPunct w:val="0"/>
                  <w:autoSpaceDE w:val="0"/>
                  <w:autoSpaceDN w:val="0"/>
                  <w:adjustRightInd w:val="0"/>
                  <w:snapToGrid w:val="0"/>
                  <w:jc w:val="right"/>
                  <w:rPr>
                    <w:szCs w:val="21"/>
                  </w:rPr>
                </w:pPr>
                <w:r>
                  <w:rPr>
                    <w:rFonts w:hint="eastAsia"/>
                    <w:szCs w:val="21"/>
                  </w:rPr>
                  <w:t>4.31</w:t>
                </w:r>
              </w:p>
            </w:tc>
            <w:tc>
              <w:tcPr>
                <w:tcW w:w="1417" w:type="dxa"/>
              </w:tcPr>
              <w:p w14:paraId="63F15982" w14:textId="77777777" w:rsidR="00830E72" w:rsidRDefault="008344D8">
                <w:pPr>
                  <w:kinsoku w:val="0"/>
                  <w:overflowPunct w:val="0"/>
                  <w:autoSpaceDE w:val="0"/>
                  <w:autoSpaceDN w:val="0"/>
                  <w:adjustRightInd w:val="0"/>
                  <w:snapToGrid w:val="0"/>
                  <w:jc w:val="right"/>
                  <w:rPr>
                    <w:szCs w:val="21"/>
                  </w:rPr>
                </w:pPr>
                <w:r>
                  <w:rPr>
                    <w:rFonts w:hint="eastAsia"/>
                    <w:szCs w:val="21"/>
                  </w:rPr>
                  <w:t>3.61</w:t>
                </w:r>
              </w:p>
            </w:tc>
            <w:tc>
              <w:tcPr>
                <w:tcW w:w="2903" w:type="dxa"/>
              </w:tcPr>
              <w:p w14:paraId="3D03AA11" w14:textId="77777777" w:rsidR="00830E72" w:rsidRDefault="008344D8">
                <w:pPr>
                  <w:kinsoku w:val="0"/>
                  <w:overflowPunct w:val="0"/>
                  <w:autoSpaceDE w:val="0"/>
                  <w:autoSpaceDN w:val="0"/>
                  <w:adjustRightInd w:val="0"/>
                  <w:snapToGrid w:val="0"/>
                  <w:jc w:val="right"/>
                  <w:rPr>
                    <w:szCs w:val="21"/>
                  </w:rPr>
                </w:pPr>
                <w:r>
                  <w:rPr>
                    <w:rFonts w:hint="eastAsia"/>
                    <w:szCs w:val="21"/>
                  </w:rPr>
                  <w:t>增加</w:t>
                </w:r>
                <w:r>
                  <w:rPr>
                    <w:szCs w:val="21"/>
                  </w:rPr>
                  <w:t>0.70个百分点</w:t>
                </w:r>
              </w:p>
            </w:tc>
          </w:tr>
          <w:tr w:rsidR="00830E72" w14:paraId="023173E9" w14:textId="77777777">
            <w:sdt>
              <w:sdtPr>
                <w:tag w:val="_PLD_37d92f3112bf450196ad8233f93a5237"/>
                <w:id w:val="-1964720815"/>
                <w:lock w:val="sdtLocked"/>
              </w:sdtPr>
              <w:sdtEndPr/>
              <w:sdtContent>
                <w:tc>
                  <w:tcPr>
                    <w:tcW w:w="3085" w:type="dxa"/>
                  </w:tcPr>
                  <w:p w14:paraId="29F2A139" w14:textId="77777777" w:rsidR="00830E72" w:rsidRDefault="008344D8">
                    <w:pPr>
                      <w:kinsoku w:val="0"/>
                      <w:overflowPunct w:val="0"/>
                      <w:autoSpaceDE w:val="0"/>
                      <w:autoSpaceDN w:val="0"/>
                      <w:adjustRightInd w:val="0"/>
                      <w:snapToGrid w:val="0"/>
                      <w:rPr>
                        <w:szCs w:val="21"/>
                      </w:rPr>
                    </w:pPr>
                    <w:r>
                      <w:t>扣除非经常性损益后的加权平均净资产收益率（%）</w:t>
                    </w:r>
                  </w:p>
                </w:tc>
              </w:sdtContent>
            </w:sdt>
            <w:tc>
              <w:tcPr>
                <w:tcW w:w="1418" w:type="dxa"/>
              </w:tcPr>
              <w:p w14:paraId="5C1FD5EE" w14:textId="77777777" w:rsidR="00830E72" w:rsidRDefault="008344D8">
                <w:pPr>
                  <w:kinsoku w:val="0"/>
                  <w:overflowPunct w:val="0"/>
                  <w:autoSpaceDE w:val="0"/>
                  <w:autoSpaceDN w:val="0"/>
                  <w:adjustRightInd w:val="0"/>
                  <w:snapToGrid w:val="0"/>
                  <w:jc w:val="right"/>
                  <w:rPr>
                    <w:szCs w:val="21"/>
                  </w:rPr>
                </w:pPr>
                <w:r>
                  <w:rPr>
                    <w:rFonts w:hint="eastAsia"/>
                    <w:szCs w:val="21"/>
                  </w:rPr>
                  <w:t>4.29</w:t>
                </w:r>
              </w:p>
            </w:tc>
            <w:tc>
              <w:tcPr>
                <w:tcW w:w="1417" w:type="dxa"/>
              </w:tcPr>
              <w:p w14:paraId="4C5EFD94" w14:textId="77777777" w:rsidR="00830E72" w:rsidRDefault="008344D8">
                <w:pPr>
                  <w:kinsoku w:val="0"/>
                  <w:overflowPunct w:val="0"/>
                  <w:autoSpaceDE w:val="0"/>
                  <w:autoSpaceDN w:val="0"/>
                  <w:adjustRightInd w:val="0"/>
                  <w:snapToGrid w:val="0"/>
                  <w:jc w:val="right"/>
                  <w:rPr>
                    <w:szCs w:val="21"/>
                  </w:rPr>
                </w:pPr>
                <w:r>
                  <w:rPr>
                    <w:rFonts w:hint="eastAsia"/>
                    <w:szCs w:val="21"/>
                  </w:rPr>
                  <w:t>3.37</w:t>
                </w:r>
              </w:p>
            </w:tc>
            <w:tc>
              <w:tcPr>
                <w:tcW w:w="2903" w:type="dxa"/>
              </w:tcPr>
              <w:p w14:paraId="7332E2BD" w14:textId="77777777" w:rsidR="00830E72" w:rsidRDefault="008344D8">
                <w:pPr>
                  <w:kinsoku w:val="0"/>
                  <w:overflowPunct w:val="0"/>
                  <w:autoSpaceDE w:val="0"/>
                  <w:autoSpaceDN w:val="0"/>
                  <w:adjustRightInd w:val="0"/>
                  <w:snapToGrid w:val="0"/>
                  <w:jc w:val="right"/>
                  <w:rPr>
                    <w:szCs w:val="21"/>
                  </w:rPr>
                </w:pPr>
                <w:r>
                  <w:rPr>
                    <w:rFonts w:hint="eastAsia"/>
                    <w:szCs w:val="21"/>
                  </w:rPr>
                  <w:t>增加</w:t>
                </w:r>
                <w:r>
                  <w:rPr>
                    <w:szCs w:val="21"/>
                  </w:rPr>
                  <w:t>0.92个百分点</w:t>
                </w:r>
              </w:p>
            </w:tc>
          </w:tr>
        </w:tbl>
      </w:sdtContent>
    </w:sdt>
    <w:p w14:paraId="3E385FE0" w14:textId="77777777" w:rsidR="00830E72" w:rsidRDefault="00830E72">
      <w:bookmarkStart w:id="17" w:name="_Toc342056398"/>
      <w:bookmarkStart w:id="18" w:name="_Toc342565890"/>
    </w:p>
    <w:sdt>
      <w:sdtPr>
        <w:alias w:val="模块:公司主要会计数据和财务指标的说明"/>
        <w:tag w:val="_GBC_89dd4b4cf79140928f55be83e164f009"/>
        <w:id w:val="-1169632313"/>
        <w:lock w:val="sdtLocked"/>
        <w:placeholder>
          <w:docPart w:val="GBC22222222222222222222222222222"/>
        </w:placeholder>
      </w:sdtPr>
      <w:sdtEndPr/>
      <w:sdtContent>
        <w:p w14:paraId="13C2F0FE" w14:textId="77777777" w:rsidR="00830E72" w:rsidRDefault="008344D8">
          <w:r>
            <w:t>公司主要会计数据和财务指标的说明</w:t>
          </w:r>
        </w:p>
        <w:sdt>
          <w:sdtPr>
            <w:alias w:val="是否适用：公司主要会计数据和财务指标的说明[双击切换]"/>
            <w:tag w:val="_GBC_cfe99dae5f804f6f8f02eb429483f98a"/>
            <w:id w:val="-1958947867"/>
            <w:lock w:val="sdtLocked"/>
            <w:placeholder>
              <w:docPart w:val="GBC22222222222222222222222222222"/>
            </w:placeholder>
          </w:sdtPr>
          <w:sdtEndPr/>
          <w:sdtContent>
            <w:p w14:paraId="2369CFB9" w14:textId="77777777" w:rsidR="006F38A0" w:rsidRDefault="008344D8">
              <w:r>
                <w:fldChar w:fldCharType="begin"/>
              </w:r>
              <w:r w:rsidR="006F38A0">
                <w:instrText xml:space="preserve"> MACROBUTTON  SnrToggleCheckbox √适用 </w:instrText>
              </w:r>
              <w:r>
                <w:fldChar w:fldCharType="end"/>
              </w:r>
              <w:r>
                <w:fldChar w:fldCharType="begin"/>
              </w:r>
              <w:r w:rsidR="006F38A0">
                <w:instrText xml:space="preserve"> MACROBUTTON  SnrToggleCheckbox □不适用 </w:instrText>
              </w:r>
              <w:r>
                <w:fldChar w:fldCharType="end"/>
              </w:r>
            </w:p>
          </w:sdtContent>
        </w:sdt>
        <w:p w14:paraId="7503CBB3" w14:textId="53861278" w:rsidR="006F38A0" w:rsidRDefault="00D44830" w:rsidP="00176CAA">
          <w:sdt>
            <w:sdtPr>
              <w:alias w:val="公司主要会计数据和财务指标的说明"/>
              <w:tag w:val="_GBC_97608ceee0dd4babbeaf5daeb2216ce1"/>
              <w:id w:val="246549565"/>
              <w:lock w:val="sdtLocked"/>
              <w:placeholder>
                <w:docPart w:val="8E7D240D199B45ABA521E2DEB64A9B68"/>
              </w:placeholder>
            </w:sdtPr>
            <w:sdtEndPr/>
            <w:sdtContent>
              <w:r w:rsidR="006F38A0" w:rsidRPr="006F38A0">
                <w:rPr>
                  <w:rFonts w:hint="eastAsia"/>
                </w:rPr>
                <w:t>报告期内，公司归属于上市公司股东的扣除非经常性损益的净利润同比增长</w:t>
              </w:r>
              <w:r w:rsidR="006F38A0" w:rsidRPr="006F38A0">
                <w:t>34.77%，主要系产值规模增长，收入增加所致，归属于上市公司股东的净资产同比增长77.85%，主要系非公开发行股票股本和资本公积增加所致。</w:t>
              </w:r>
            </w:sdtContent>
          </w:sdt>
        </w:p>
        <w:p w14:paraId="38A3F7DF" w14:textId="084A3F44" w:rsidR="00830E72" w:rsidRDefault="00D44830"/>
      </w:sdtContent>
    </w:sdt>
    <w:p w14:paraId="0568F750" w14:textId="77777777" w:rsidR="00830E72" w:rsidRDefault="00830E72"/>
    <w:p w14:paraId="26E46E9D" w14:textId="77777777" w:rsidR="00830E72" w:rsidRDefault="008344D8">
      <w:pPr>
        <w:pStyle w:val="2"/>
        <w:numPr>
          <w:ilvl w:val="0"/>
          <w:numId w:val="3"/>
        </w:numPr>
        <w:ind w:firstLineChars="0"/>
      </w:pPr>
      <w:r>
        <w:rPr>
          <w:rFonts w:hint="eastAsia"/>
        </w:rPr>
        <w:t>境内外会计准则下会计数据差异</w:t>
      </w:r>
      <w:bookmarkEnd w:id="17"/>
      <w:bookmarkEnd w:id="18"/>
    </w:p>
    <w:sdt>
      <w:sdtPr>
        <w:alias w:val="是否适用：境内外会计准则下会计数据差异[双击切换]"/>
        <w:tag w:val="_GBC_bdabc18d82504a7696c49b78e67b7ce4"/>
        <w:id w:val="-2091833880"/>
        <w:lock w:val="sdtContentLocked"/>
        <w:placeholder>
          <w:docPart w:val="GBC22222222222222222222222222222"/>
        </w:placeholder>
      </w:sdtPr>
      <w:sdtEndPr/>
      <w:sdtContent>
        <w:p w14:paraId="24743981"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9CED3BF" w14:textId="77777777" w:rsidR="00830E72" w:rsidRDefault="00830E72"/>
    <w:bookmarkStart w:id="19" w:name="_Hlk10207943" w:displacedByCustomXml="next"/>
    <w:sdt>
      <w:sdtPr>
        <w:rPr>
          <w:rFonts w:ascii="宋体" w:hAnsi="宋体" w:cs="宋体"/>
          <w:b w:val="0"/>
          <w:bCs w:val="0"/>
          <w:kern w:val="0"/>
          <w:szCs w:val="24"/>
        </w:rPr>
        <w:alias w:val="模块:非经常性损益项目和金额"/>
        <w:tag w:val="_GBC_cc768cb4b3324e91897639bcc1eabf3a"/>
        <w:id w:val="347378513"/>
        <w:lock w:val="sdtLocked"/>
        <w:placeholder>
          <w:docPart w:val="GBC22222222222222222222222222222"/>
        </w:placeholder>
      </w:sdtPr>
      <w:sdtEndPr>
        <w:rPr>
          <w:rFonts w:hint="eastAsia"/>
        </w:rPr>
      </w:sdtEndPr>
      <w:sdtContent>
        <w:p w14:paraId="2E9DFD9C" w14:textId="77777777" w:rsidR="00830E72" w:rsidRDefault="008344D8">
          <w:pPr>
            <w:pStyle w:val="2"/>
            <w:numPr>
              <w:ilvl w:val="0"/>
              <w:numId w:val="3"/>
            </w:numPr>
            <w:ind w:firstLineChars="0"/>
          </w:pPr>
          <w:r>
            <w:t>非经常性损益项目和金额</w:t>
          </w:r>
        </w:p>
        <w:sdt>
          <w:sdtPr>
            <w:alias w:val="是否适用：扣除非经常性损益项目和金额[双击切换]"/>
            <w:tag w:val="_GBC_73788dbb480b4eb4a9ce7ed83af2d844"/>
            <w:id w:val="533000119"/>
            <w:lock w:val="sdtContentLocked"/>
            <w:placeholder>
              <w:docPart w:val="GBC22222222222222222222222222222"/>
            </w:placeholder>
          </w:sdtPr>
          <w:sdtEndPr/>
          <w:sdtContent>
            <w:p w14:paraId="7E171E7D"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7F992ED" w14:textId="77777777" w:rsidR="00830E72" w:rsidRDefault="008344D8">
          <w:pPr>
            <w:jc w:val="right"/>
          </w:pPr>
          <w:r>
            <w:rPr>
              <w:rFonts w:hint="eastAsia"/>
            </w:rPr>
            <w:t>单位：</w:t>
          </w:r>
          <w:sdt>
            <w:sdtPr>
              <w:rPr>
                <w:rFonts w:hint="eastAsia"/>
              </w:rPr>
              <w:alias w:val="单位：扣除非经常性损益项目和金额"/>
              <w:tag w:val="_GBC_4e9158759d174bf5a404e9d2ad2cb849"/>
              <w:id w:val="-11852791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扣除非经常性损益项目和金额"/>
              <w:tag w:val="_GBC_afe0377f3c754b5092310bd32f09f447"/>
              <w:id w:val="2658085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0" w:type="auto"/>
            <w:tblLook w:val="04A0" w:firstRow="1" w:lastRow="0" w:firstColumn="1" w:lastColumn="0" w:noHBand="0" w:noVBand="1"/>
          </w:tblPr>
          <w:tblGrid>
            <w:gridCol w:w="5495"/>
            <w:gridCol w:w="1701"/>
            <w:gridCol w:w="1627"/>
          </w:tblGrid>
          <w:tr w:rsidR="00830E72" w14:paraId="0D6ED6D5" w14:textId="77777777">
            <w:sdt>
              <w:sdtPr>
                <w:tag w:val="_PLD_46af532b652e45b49bf4f28412917df0"/>
                <w:id w:val="1126035924"/>
                <w:lock w:val="sdtLocked"/>
              </w:sdtPr>
              <w:sdtEndPr/>
              <w:sdtContent>
                <w:tc>
                  <w:tcPr>
                    <w:tcW w:w="5495" w:type="dxa"/>
                  </w:tcPr>
                  <w:p w14:paraId="1C866F22" w14:textId="77777777" w:rsidR="00830E72" w:rsidRDefault="008344D8">
                    <w:pPr>
                      <w:jc w:val="center"/>
                    </w:pPr>
                    <w:r>
                      <w:rPr>
                        <w:rFonts w:hint="eastAsia"/>
                      </w:rPr>
                      <w:t>非经常性损益项目</w:t>
                    </w:r>
                  </w:p>
                </w:tc>
              </w:sdtContent>
            </w:sdt>
            <w:sdt>
              <w:sdtPr>
                <w:tag w:val="_PLD_61b9b734635d488db996440c136563c8"/>
                <w:id w:val="-135493098"/>
                <w:lock w:val="sdtLocked"/>
              </w:sdtPr>
              <w:sdtEndPr/>
              <w:sdtContent>
                <w:tc>
                  <w:tcPr>
                    <w:tcW w:w="1701" w:type="dxa"/>
                  </w:tcPr>
                  <w:p w14:paraId="6C622771" w14:textId="77777777" w:rsidR="00830E72" w:rsidRDefault="008344D8">
                    <w:pPr>
                      <w:jc w:val="center"/>
                    </w:pPr>
                    <w:r>
                      <w:rPr>
                        <w:rFonts w:hint="eastAsia"/>
                      </w:rPr>
                      <w:t>金额</w:t>
                    </w:r>
                  </w:p>
                </w:tc>
              </w:sdtContent>
            </w:sdt>
            <w:sdt>
              <w:sdtPr>
                <w:tag w:val="_PLD_9e5d4505fc224fa08bc94ae2dc6cd081"/>
                <w:id w:val="-1723821599"/>
                <w:lock w:val="sdtLocked"/>
              </w:sdtPr>
              <w:sdtEndPr/>
              <w:sdtContent>
                <w:tc>
                  <w:tcPr>
                    <w:tcW w:w="1627" w:type="dxa"/>
                  </w:tcPr>
                  <w:p w14:paraId="0C900DD2" w14:textId="77777777" w:rsidR="00830E72" w:rsidRDefault="008344D8">
                    <w:pPr>
                      <w:jc w:val="center"/>
                    </w:pPr>
                    <w:r>
                      <w:rPr>
                        <w:rFonts w:hint="eastAsia"/>
                      </w:rPr>
                      <w:t>附注（如适用）</w:t>
                    </w:r>
                  </w:p>
                </w:tc>
              </w:sdtContent>
            </w:sdt>
          </w:tr>
          <w:tr w:rsidR="00830E72" w14:paraId="3F8E53F4" w14:textId="77777777">
            <w:sdt>
              <w:sdtPr>
                <w:tag w:val="_PLD_1ec9e925297d478d84779a68eec2bcd9"/>
                <w:id w:val="-1473510383"/>
                <w:lock w:val="sdtLocked"/>
              </w:sdtPr>
              <w:sdtEndPr/>
              <w:sdtContent>
                <w:tc>
                  <w:tcPr>
                    <w:tcW w:w="5495" w:type="dxa"/>
                  </w:tcPr>
                  <w:p w14:paraId="70345CED" w14:textId="77777777" w:rsidR="00830E72" w:rsidRDefault="008344D8">
                    <w:pPr>
                      <w:jc w:val="left"/>
                    </w:pPr>
                    <w:r>
                      <w:t>非流动资产处置损益</w:t>
                    </w:r>
                  </w:p>
                </w:tc>
              </w:sdtContent>
            </w:sdt>
            <w:tc>
              <w:tcPr>
                <w:tcW w:w="1701" w:type="dxa"/>
              </w:tcPr>
              <w:p w14:paraId="23DDEF1A" w14:textId="77777777" w:rsidR="00830E72" w:rsidRDefault="008344D8">
                <w:pPr>
                  <w:jc w:val="right"/>
                </w:pPr>
                <w:r>
                  <w:t>27,259.01</w:t>
                </w:r>
              </w:p>
            </w:tc>
            <w:tc>
              <w:tcPr>
                <w:tcW w:w="1627" w:type="dxa"/>
              </w:tcPr>
              <w:p w14:paraId="142A8DCB" w14:textId="77777777" w:rsidR="00830E72" w:rsidRDefault="00830E72">
                <w:pPr>
                  <w:jc w:val="left"/>
                </w:pPr>
              </w:p>
            </w:tc>
          </w:tr>
          <w:tr w:rsidR="00830E72" w14:paraId="4AD95033" w14:textId="77777777">
            <w:sdt>
              <w:sdtPr>
                <w:tag w:val="_PLD_02595b9db1a84694900203cf9656bfe9"/>
                <w:id w:val="919060009"/>
                <w:lock w:val="sdtLocked"/>
              </w:sdtPr>
              <w:sdtEndPr/>
              <w:sdtContent>
                <w:tc>
                  <w:tcPr>
                    <w:tcW w:w="5495" w:type="dxa"/>
                  </w:tcPr>
                  <w:p w14:paraId="52377BC0" w14:textId="77777777" w:rsidR="00830E72" w:rsidRDefault="008344D8">
                    <w:pPr>
                      <w:jc w:val="left"/>
                    </w:pPr>
                    <w:r>
                      <w:t>计入当期损益的政府补助，但与公司正常经营业务密切相关，符合国家政策规定、按照一定标准定额或定量持续享受的政府补助除外</w:t>
                    </w:r>
                  </w:p>
                </w:tc>
              </w:sdtContent>
            </w:sdt>
            <w:tc>
              <w:tcPr>
                <w:tcW w:w="1701" w:type="dxa"/>
              </w:tcPr>
              <w:p w14:paraId="359352DC" w14:textId="77777777" w:rsidR="00830E72" w:rsidRDefault="008344D8">
                <w:pPr>
                  <w:jc w:val="right"/>
                </w:pPr>
                <w:r>
                  <w:t>157,747.92</w:t>
                </w:r>
              </w:p>
            </w:tc>
            <w:tc>
              <w:tcPr>
                <w:tcW w:w="1627" w:type="dxa"/>
              </w:tcPr>
              <w:p w14:paraId="6FDEA127" w14:textId="77777777" w:rsidR="00830E72" w:rsidRDefault="00830E72">
                <w:pPr>
                  <w:jc w:val="left"/>
                </w:pPr>
              </w:p>
            </w:tc>
          </w:tr>
          <w:tr w:rsidR="00830E72" w14:paraId="2DBACE34" w14:textId="77777777">
            <w:sdt>
              <w:sdtPr>
                <w:tag w:val="_PLD_65d777c46bf342c69b250c467e00507e"/>
                <w:id w:val="-1398580455"/>
                <w:lock w:val="sdtLocked"/>
              </w:sdtPr>
              <w:sdtEndPr/>
              <w:sdtContent>
                <w:tc>
                  <w:tcPr>
                    <w:tcW w:w="5495" w:type="dxa"/>
                  </w:tcPr>
                  <w:p w14:paraId="0DE69843" w14:textId="77777777" w:rsidR="00830E72" w:rsidRDefault="008344D8">
                    <w:pPr>
                      <w:jc w:val="left"/>
                    </w:pPr>
                    <w:r>
                      <w:t>除上述各项之外的其他营业外收入和支出</w:t>
                    </w:r>
                  </w:p>
                </w:tc>
              </w:sdtContent>
            </w:sdt>
            <w:tc>
              <w:tcPr>
                <w:tcW w:w="1701" w:type="dxa"/>
              </w:tcPr>
              <w:p w14:paraId="626BECBF" w14:textId="77777777" w:rsidR="00830E72" w:rsidRDefault="008344D8">
                <w:pPr>
                  <w:jc w:val="right"/>
                </w:pPr>
                <w:r>
                  <w:t>-126,105.54</w:t>
                </w:r>
              </w:p>
            </w:tc>
            <w:tc>
              <w:tcPr>
                <w:tcW w:w="1627" w:type="dxa"/>
              </w:tcPr>
              <w:p w14:paraId="6166543F" w14:textId="77777777" w:rsidR="00830E72" w:rsidRDefault="00830E72">
                <w:pPr>
                  <w:jc w:val="left"/>
                </w:pPr>
              </w:p>
            </w:tc>
          </w:tr>
          <w:tr w:rsidR="00830E72" w14:paraId="14E3C6B7" w14:textId="77777777">
            <w:sdt>
              <w:sdtPr>
                <w:tag w:val="_PLD_0bcc4b6356f34adeb11de3e851d72079"/>
                <w:id w:val="708927477"/>
                <w:lock w:val="sdtLocked"/>
              </w:sdtPr>
              <w:sdtEndPr/>
              <w:sdtContent>
                <w:tc>
                  <w:tcPr>
                    <w:tcW w:w="5495" w:type="dxa"/>
                  </w:tcPr>
                  <w:p w14:paraId="72856825" w14:textId="77777777" w:rsidR="00830E72" w:rsidRDefault="008344D8">
                    <w:pPr>
                      <w:jc w:val="left"/>
                    </w:pPr>
                    <w:r>
                      <w:t>其他符合非经常性损益定义的损益项目</w:t>
                    </w:r>
                  </w:p>
                </w:tc>
              </w:sdtContent>
            </w:sdt>
            <w:tc>
              <w:tcPr>
                <w:tcW w:w="1701" w:type="dxa"/>
              </w:tcPr>
              <w:p w14:paraId="02F949AF" w14:textId="77777777" w:rsidR="00830E72" w:rsidRDefault="008344D8">
                <w:pPr>
                  <w:jc w:val="right"/>
                </w:pPr>
                <w:r>
                  <w:t>169,338.54</w:t>
                </w:r>
              </w:p>
            </w:tc>
            <w:tc>
              <w:tcPr>
                <w:tcW w:w="1627" w:type="dxa"/>
              </w:tcPr>
              <w:p w14:paraId="308C63F7" w14:textId="77777777" w:rsidR="00830E72" w:rsidRDefault="00830E72">
                <w:pPr>
                  <w:jc w:val="left"/>
                </w:pPr>
              </w:p>
            </w:tc>
          </w:tr>
          <w:tr w:rsidR="00830E72" w14:paraId="0E642E58" w14:textId="77777777">
            <w:sdt>
              <w:sdtPr>
                <w:tag w:val="_PLD_4e0667d68c0b417b952eb294efd204d7"/>
                <w:id w:val="-1275319836"/>
                <w:lock w:val="sdtLocked"/>
              </w:sdtPr>
              <w:sdtEndPr/>
              <w:sdtContent>
                <w:tc>
                  <w:tcPr>
                    <w:tcW w:w="5495" w:type="dxa"/>
                  </w:tcPr>
                  <w:p w14:paraId="014B05A5" w14:textId="77777777" w:rsidR="00830E72" w:rsidRDefault="008344D8">
                    <w:pPr>
                      <w:jc w:val="left"/>
                    </w:pPr>
                    <w:r>
                      <w:t>少数股东权益影响额</w:t>
                    </w:r>
                  </w:p>
                </w:tc>
              </w:sdtContent>
            </w:sdt>
            <w:tc>
              <w:tcPr>
                <w:tcW w:w="1701" w:type="dxa"/>
              </w:tcPr>
              <w:p w14:paraId="36243008" w14:textId="77777777" w:rsidR="00830E72" w:rsidRDefault="008344D8">
                <w:pPr>
                  <w:jc w:val="right"/>
                </w:pPr>
                <w:r>
                  <w:rPr>
                    <w:rFonts w:hint="eastAsia"/>
                  </w:rPr>
                  <w:t>-</w:t>
                </w:r>
                <w:r>
                  <w:t>25,125.60</w:t>
                </w:r>
              </w:p>
            </w:tc>
            <w:tc>
              <w:tcPr>
                <w:tcW w:w="1627" w:type="dxa"/>
              </w:tcPr>
              <w:p w14:paraId="25537960" w14:textId="77777777" w:rsidR="00830E72" w:rsidRDefault="00830E72">
                <w:pPr>
                  <w:jc w:val="left"/>
                </w:pPr>
              </w:p>
            </w:tc>
          </w:tr>
          <w:tr w:rsidR="00830E72" w14:paraId="403BAA7F" w14:textId="77777777">
            <w:sdt>
              <w:sdtPr>
                <w:tag w:val="_PLD_f67b3fcceba046d6ad67b7ce52c94054"/>
                <w:id w:val="-755282182"/>
                <w:lock w:val="sdtLocked"/>
              </w:sdtPr>
              <w:sdtEndPr/>
              <w:sdtContent>
                <w:tc>
                  <w:tcPr>
                    <w:tcW w:w="5495" w:type="dxa"/>
                  </w:tcPr>
                  <w:p w14:paraId="3452B0F9" w14:textId="77777777" w:rsidR="00830E72" w:rsidRDefault="008344D8">
                    <w:pPr>
                      <w:jc w:val="left"/>
                    </w:pPr>
                    <w:r>
                      <w:t>所得税影响额</w:t>
                    </w:r>
                  </w:p>
                </w:tc>
              </w:sdtContent>
            </w:sdt>
            <w:tc>
              <w:tcPr>
                <w:tcW w:w="1701" w:type="dxa"/>
              </w:tcPr>
              <w:p w14:paraId="635C137A" w14:textId="77777777" w:rsidR="00830E72" w:rsidRDefault="008344D8">
                <w:pPr>
                  <w:jc w:val="right"/>
                </w:pPr>
                <w:r>
                  <w:rPr>
                    <w:rFonts w:hint="eastAsia"/>
                  </w:rPr>
                  <w:t>-</w:t>
                </w:r>
                <w:r>
                  <w:t>55,731.81</w:t>
                </w:r>
              </w:p>
            </w:tc>
            <w:tc>
              <w:tcPr>
                <w:tcW w:w="1627" w:type="dxa"/>
              </w:tcPr>
              <w:p w14:paraId="5E64130C" w14:textId="77777777" w:rsidR="00830E72" w:rsidRDefault="00830E72">
                <w:pPr>
                  <w:jc w:val="left"/>
                </w:pPr>
              </w:p>
            </w:tc>
          </w:tr>
          <w:tr w:rsidR="00830E72" w14:paraId="2E4B0B9D" w14:textId="77777777">
            <w:sdt>
              <w:sdtPr>
                <w:tag w:val="_PLD_196ea10929cc45b2a25a10ce3f3fd3ad"/>
                <w:id w:val="-108198612"/>
                <w:lock w:val="sdtLocked"/>
              </w:sdtPr>
              <w:sdtEndPr/>
              <w:sdtContent>
                <w:tc>
                  <w:tcPr>
                    <w:tcW w:w="5495" w:type="dxa"/>
                  </w:tcPr>
                  <w:p w14:paraId="4C089CA2" w14:textId="77777777" w:rsidR="00830E72" w:rsidRDefault="008344D8">
                    <w:pPr>
                      <w:jc w:val="left"/>
                    </w:pPr>
                    <w:r>
                      <w:t>合计</w:t>
                    </w:r>
                  </w:p>
                </w:tc>
              </w:sdtContent>
            </w:sdt>
            <w:tc>
              <w:tcPr>
                <w:tcW w:w="1701" w:type="dxa"/>
              </w:tcPr>
              <w:p w14:paraId="016DCC2C" w14:textId="77777777" w:rsidR="00830E72" w:rsidRDefault="008344D8">
                <w:pPr>
                  <w:jc w:val="right"/>
                </w:pPr>
                <w:r>
                  <w:t>147,382.52</w:t>
                </w:r>
              </w:p>
            </w:tc>
            <w:tc>
              <w:tcPr>
                <w:tcW w:w="1627" w:type="dxa"/>
              </w:tcPr>
              <w:p w14:paraId="6C3E54E0" w14:textId="77777777" w:rsidR="00830E72" w:rsidRDefault="00830E72">
                <w:pPr>
                  <w:jc w:val="left"/>
                </w:pPr>
              </w:p>
            </w:tc>
          </w:tr>
        </w:tbl>
        <w:p w14:paraId="10095D2E" w14:textId="77777777" w:rsidR="00830E72" w:rsidRDefault="00D44830"/>
      </w:sdtContent>
    </w:sdt>
    <w:bookmarkEnd w:id="19" w:displacedByCustomXml="next"/>
    <w:sdt>
      <w:sdtPr>
        <w:rPr>
          <w:rFonts w:ascii="宋体" w:hAnsi="宋体" w:cs="宋体" w:hint="eastAsia"/>
          <w:b w:val="0"/>
          <w:bCs w:val="0"/>
          <w:kern w:val="0"/>
          <w:szCs w:val="24"/>
        </w:rPr>
        <w:alias w:val="模块:其他财务和业务数据"/>
        <w:tag w:val="_GBC_129e81c113f94ab2b6af974b5d24abc6"/>
        <w:id w:val="1725020289"/>
        <w:lock w:val="sdtLocked"/>
        <w:placeholder>
          <w:docPart w:val="GBC22222222222222222222222222222"/>
        </w:placeholder>
      </w:sdtPr>
      <w:sdtEndPr/>
      <w:sdtContent>
        <w:p w14:paraId="52486AB4" w14:textId="77777777" w:rsidR="00830E72" w:rsidRDefault="008344D8">
          <w:pPr>
            <w:pStyle w:val="2"/>
            <w:numPr>
              <w:ilvl w:val="0"/>
              <w:numId w:val="3"/>
            </w:numPr>
            <w:ind w:firstLineChars="0"/>
          </w:pPr>
          <w:r>
            <w:rPr>
              <w:rFonts w:hint="eastAsia"/>
            </w:rPr>
            <w:t>其他</w:t>
          </w:r>
        </w:p>
        <w:sdt>
          <w:sdtPr>
            <w:alias w:val="是否适用：公司简介和主要财务指标其他说明[双击切换]"/>
            <w:tag w:val="_GBC_5b4104dc5c2c4501bc2420c70be30c2a"/>
            <w:id w:val="-1886022140"/>
            <w:lock w:val="sdtContentLocked"/>
            <w:placeholder>
              <w:docPart w:val="GBC22222222222222222222222222222"/>
            </w:placeholder>
          </w:sdtPr>
          <w:sdtEndPr/>
          <w:sdtContent>
            <w:p w14:paraId="3F324FAF"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827D3AE" w14:textId="77777777" w:rsidR="00830E72" w:rsidRDefault="008344D8" w:rsidP="00F11952">
      <w:pPr>
        <w:pStyle w:val="1"/>
        <w:numPr>
          <w:ilvl w:val="0"/>
          <w:numId w:val="2"/>
        </w:numPr>
        <w:ind w:left="0" w:firstLine="0"/>
        <w:rPr>
          <w:rFonts w:ascii="黑体" w:hAnsi="黑体"/>
          <w:szCs w:val="21"/>
        </w:rPr>
      </w:pPr>
      <w:bookmarkStart w:id="20" w:name="_Toc79503144"/>
      <w:r>
        <w:rPr>
          <w:rFonts w:ascii="黑体" w:hAnsi="黑体" w:hint="eastAsia"/>
          <w:szCs w:val="21"/>
        </w:rPr>
        <w:t>管理层讨论与分析</w:t>
      </w:r>
      <w:bookmarkEnd w:id="20"/>
    </w:p>
    <w:sdt>
      <w:sdtPr>
        <w:rPr>
          <w:rFonts w:ascii="宋体" w:hAnsi="宋体" w:cs="宋体" w:hint="eastAsia"/>
          <w:b w:val="0"/>
          <w:bCs w:val="0"/>
          <w:kern w:val="0"/>
          <w:szCs w:val="24"/>
        </w:rPr>
        <w:alias w:val="模块:报告期内公司所从事的主要业务、经营模式及行业情况说明"/>
        <w:tag w:val="_SEC_30613ac4c1d74a918acca2b58acc457d"/>
        <w:id w:val="1967540359"/>
        <w:lock w:val="sdtLocked"/>
        <w:placeholder>
          <w:docPart w:val="GBC22222222222222222222222222222"/>
        </w:placeholder>
      </w:sdtPr>
      <w:sdtEndPr/>
      <w:sdtContent>
        <w:p w14:paraId="7AF06B49" w14:textId="77777777" w:rsidR="00830E72" w:rsidRDefault="008344D8">
          <w:pPr>
            <w:pStyle w:val="2"/>
            <w:numPr>
              <w:ilvl w:val="0"/>
              <w:numId w:val="5"/>
            </w:numPr>
            <w:tabs>
              <w:tab w:val="left" w:pos="426"/>
            </w:tabs>
            <w:jc w:val="left"/>
            <w:rPr>
              <w:rFonts w:ascii="宋体" w:hAnsi="宋体"/>
            </w:rPr>
          </w:pPr>
          <w:r>
            <w:rPr>
              <w:rFonts w:ascii="宋体" w:hAnsi="宋体" w:hint="eastAsia"/>
            </w:rPr>
            <w:t>报告期内公司所属行业及主营业务情况说明</w:t>
          </w:r>
        </w:p>
        <w:sdt>
          <w:sdtPr>
            <w:rPr>
              <w:rFonts w:hint="eastAsia"/>
            </w:rPr>
            <w:alias w:val="报告期内公司所从事的主要业务、经营模式及行业情况说明"/>
            <w:tag w:val="_GBC_5c28d6f46eea48f892bed0c5fc99ab60"/>
            <w:id w:val="620271108"/>
            <w:lock w:val="sdtLocked"/>
            <w:placeholder>
              <w:docPart w:val="GBC22222222222222222222222222222"/>
            </w:placeholder>
          </w:sdtPr>
          <w:sdtEndPr/>
          <w:sdtContent>
            <w:p w14:paraId="7450CEBF" w14:textId="77777777" w:rsidR="00830E72" w:rsidRDefault="008344D8">
              <w:pPr>
                <w:ind w:firstLineChars="200" w:firstLine="420"/>
              </w:pPr>
              <w:r>
                <w:rPr>
                  <w:rFonts w:hint="eastAsia"/>
                </w:rPr>
                <w:t>（一）主要业务</w:t>
              </w:r>
            </w:p>
            <w:p w14:paraId="5B185FB5" w14:textId="77777777" w:rsidR="00830E72" w:rsidRDefault="008344D8">
              <w:pPr>
                <w:ind w:firstLineChars="200" w:firstLine="420"/>
              </w:pPr>
              <w:r>
                <w:rPr>
                  <w:rFonts w:hint="eastAsia"/>
                </w:rPr>
                <w:t>公司以公路、市政基础设施施工业务为核心，打造“投资、设计、施工、养护”一体化的产业格局，主要从事公路、市政基础设施建设领域相关的工程施工、勘察设计、试验检测等业务。</w:t>
              </w:r>
            </w:p>
            <w:p w14:paraId="511C995D" w14:textId="77777777" w:rsidR="00830E72" w:rsidRDefault="008344D8">
              <w:pPr>
                <w:ind w:firstLineChars="200" w:firstLine="420"/>
              </w:pPr>
              <w:r>
                <w:rPr>
                  <w:rFonts w:hint="eastAsia"/>
                </w:rPr>
                <w:t>（二）经营模式</w:t>
              </w:r>
            </w:p>
            <w:p w14:paraId="5134733B" w14:textId="77777777" w:rsidR="00830E72" w:rsidRDefault="008344D8">
              <w:pPr>
                <w:ind w:firstLineChars="200" w:firstLine="420"/>
              </w:pPr>
              <w:r>
                <w:rPr>
                  <w:rFonts w:hint="eastAsia"/>
                </w:rPr>
                <w:t>公司的公路、市政基础设施施工业务主要以施工总承包、</w:t>
              </w:r>
              <w:r>
                <w:t>PPP模式、工程总承包为主，主要经营模式如下：</w:t>
              </w:r>
            </w:p>
            <w:p w14:paraId="64356E3B" w14:textId="77777777" w:rsidR="00830E72" w:rsidRDefault="008344D8">
              <w:pPr>
                <w:ind w:firstLineChars="200" w:firstLine="420"/>
              </w:pPr>
              <w:r>
                <w:t>1、施工总承包</w:t>
              </w:r>
            </w:p>
            <w:p w14:paraId="70D2B86E" w14:textId="77777777" w:rsidR="00830E72" w:rsidRDefault="008344D8">
              <w:pPr>
                <w:ind w:firstLineChars="200" w:firstLine="420"/>
              </w:pPr>
              <w:r>
                <w:rPr>
                  <w:rFonts w:hint="eastAsia"/>
                </w:rPr>
                <w:t>施工总承包是指发包方将全部施工任务发包给一个施工单位或由多个施工单位组成的施工联合体或施工合作体，施工总承包单位主要依靠自己的力量完成施工任务。经发包人同意，施工总承包单位可以根据需要将施工任务的一部分分包给其他符合资质的分包人。</w:t>
              </w:r>
            </w:p>
            <w:p w14:paraId="5EFA3C7C" w14:textId="77777777" w:rsidR="00830E72" w:rsidRDefault="008344D8">
              <w:pPr>
                <w:ind w:firstLineChars="200" w:firstLine="420"/>
              </w:pPr>
              <w:r>
                <w:t>2、PPP模式</w:t>
              </w:r>
            </w:p>
            <w:p w14:paraId="40EF49DF" w14:textId="77777777" w:rsidR="00830E72" w:rsidRDefault="008344D8">
              <w:pPr>
                <w:ind w:firstLineChars="200" w:firstLine="420"/>
              </w:pPr>
              <w:r>
                <w:t>PPP模式是指政府为增强公共产品和服务供给能力、提高供给效率，通过特许经营、购买服务、股权合作等方式，与社会资本建立的利益共享、风险分担及长期合作关系。根据业主的要求，可按照建设－移交（BT）、建设－经营－移交（BOT）、建设－拥有－经营（BOO）、建设－拥有－经营－移交（BOOT）等方式组织实施。</w:t>
              </w:r>
            </w:p>
            <w:p w14:paraId="36F1CE46" w14:textId="77777777" w:rsidR="00830E72" w:rsidRDefault="008344D8">
              <w:pPr>
                <w:ind w:firstLineChars="200" w:firstLine="420"/>
              </w:pPr>
              <w:r>
                <w:t>3、工程总承包</w:t>
              </w:r>
            </w:p>
            <w:p w14:paraId="75831A3C" w14:textId="77777777" w:rsidR="00830E72" w:rsidRDefault="008344D8">
              <w:pPr>
                <w:ind w:firstLineChars="200" w:firstLine="420"/>
              </w:pPr>
              <w:r>
                <w:rPr>
                  <w:rFonts w:hint="eastAsia"/>
                </w:rPr>
                <w:t>工程总承包是指从事工程总承包的企业受业主委托，按照合同约定对工程项目的勘察、设计、采购、施工、试运行（竣工验收）等实行全过程或若干阶段的承包，主要包括设计</w:t>
              </w:r>
              <w:r>
                <w:t>-采购-施工总承包（EPC）、设计-施工总承包（D-B）等。</w:t>
              </w:r>
            </w:p>
            <w:p w14:paraId="41926296" w14:textId="77777777" w:rsidR="00830E72" w:rsidRDefault="008344D8">
              <w:pPr>
                <w:ind w:firstLineChars="200" w:firstLine="420"/>
              </w:pPr>
              <w:r>
                <w:rPr>
                  <w:rFonts w:hint="eastAsia"/>
                </w:rPr>
                <w:t>（三）行业情况说明</w:t>
              </w:r>
            </w:p>
            <w:p w14:paraId="27DCF8D3" w14:textId="77777777" w:rsidR="00830E72" w:rsidRDefault="008344D8">
              <w:pPr>
                <w:ind w:firstLineChars="200" w:firstLine="420"/>
              </w:pPr>
              <w:r>
                <w:rPr>
                  <w:rFonts w:hint="eastAsia"/>
                </w:rPr>
                <w:t>公司所属行业为土木工程建筑业，报告期内，随着我国经济的持续发展及基础设施建设的持续推进，公司所属行业呈现稳步发展态势。</w:t>
              </w:r>
              <w:r>
                <w:t>《国民经济和社会发展第十四个五年规划和2035年远景目标纲要》提出统筹推进传统基础设施和新型基础设施建设，打造系统完备、高效实用、智能绿色、安全可靠的现代化基础设施体系。根据《纲要》内容，“十四五”期间，基础设施仍为重要建设内容之一，投资结构将不断优化，投资空间持续拓展，主要建设领域包括“两新一重”重大工程、城镇化建设、区域一体化、生态环保建设等，基础设施、市政工程、农村建 设和民生保障等多个领域补短板仍待加快需求。</w:t>
              </w:r>
            </w:p>
            <w:p w14:paraId="63427271" w14:textId="77777777" w:rsidR="00830E72" w:rsidRDefault="008344D8">
              <w:pPr>
                <w:ind w:firstLineChars="200" w:firstLine="420"/>
              </w:pPr>
              <w:r>
                <w:rPr>
                  <w:rFonts w:hint="eastAsia"/>
                </w:rPr>
                <w:t>国家统计局数据显示，2</w:t>
              </w:r>
              <w:r>
                <w:t>021</w:t>
              </w:r>
              <w:r>
                <w:rPr>
                  <w:rFonts w:hint="eastAsia"/>
                </w:rPr>
                <w:t>年上半年，全国固定资产投资（不含农户）</w:t>
              </w:r>
              <w:r>
                <w:t>255,900亿元，同比增长12.6%，6月份环比增长0.35%；两年平均增长4.4%，比一季度加快1.5个百分点。分领域看，上半年基础设施投资同比增长7.8%，两年平均增长2.4%，比1-5月份略降</w:t>
              </w:r>
              <w:r>
                <w:rPr>
                  <w:rFonts w:hint="eastAsia"/>
                </w:rPr>
                <w:t>。安徽省统计局数据显示</w:t>
              </w:r>
              <w:r>
                <w:t>，</w:t>
              </w:r>
              <w:r>
                <w:rPr>
                  <w:rFonts w:hint="eastAsia"/>
                </w:rPr>
                <w:t>2</w:t>
              </w:r>
              <w:r>
                <w:t>021</w:t>
              </w:r>
              <w:r>
                <w:rPr>
                  <w:rFonts w:hint="eastAsia"/>
                </w:rPr>
                <w:t>年上半年，固定资产投资同比增长</w:t>
              </w:r>
              <w:r>
                <w:t>11.4%，两年平均增长6.1%，比一季度加快0.4个百分点。分产业看，第一产业投资增长49.4%，第二产业投资增长13.7%，第三产业投资增长9.7%。基础设施投资增长2.7%</w:t>
              </w:r>
              <w:r>
                <w:rPr>
                  <w:rFonts w:hint="eastAsia"/>
                </w:rPr>
                <w:t>。</w:t>
              </w:r>
            </w:p>
          </w:sdtContent>
        </w:sdt>
      </w:sdtContent>
    </w:sdt>
    <w:p w14:paraId="072D574F" w14:textId="77777777" w:rsidR="00830E72" w:rsidRDefault="00830E72"/>
    <w:sdt>
      <w:sdtPr>
        <w:rPr>
          <w:rFonts w:ascii="宋体" w:hAnsi="宋体" w:cs="宋体" w:hint="eastAsia"/>
          <w:b w:val="0"/>
          <w:bCs w:val="0"/>
          <w:kern w:val="0"/>
          <w:szCs w:val="24"/>
        </w:rPr>
        <w:alias w:val="模块:报告期内核心竞争力分析"/>
        <w:tag w:val="_SEC_95fcc6373f8d4d92bdccbe04323713c4"/>
        <w:id w:val="2045243045"/>
        <w:lock w:val="sdtLocked"/>
        <w:placeholder>
          <w:docPart w:val="GBC22222222222222222222222222222"/>
        </w:placeholder>
      </w:sdtPr>
      <w:sdtEndPr/>
      <w:sdtContent>
        <w:p w14:paraId="717B27A5" w14:textId="77777777" w:rsidR="00830E72" w:rsidRDefault="008344D8">
          <w:pPr>
            <w:pStyle w:val="2"/>
            <w:numPr>
              <w:ilvl w:val="0"/>
              <w:numId w:val="5"/>
            </w:numPr>
            <w:tabs>
              <w:tab w:val="left" w:pos="426"/>
            </w:tabs>
            <w:jc w:val="left"/>
            <w:rPr>
              <w:rFonts w:ascii="宋体" w:hAnsi="宋体"/>
            </w:rPr>
          </w:pPr>
          <w:r>
            <w:rPr>
              <w:rFonts w:ascii="宋体" w:hAnsi="宋体" w:hint="eastAsia"/>
            </w:rPr>
            <w:t>报告期内核心竞争力分析</w:t>
          </w:r>
        </w:p>
        <w:sdt>
          <w:sdtPr>
            <w:alias w:val="是否适用：报告期内核心竞争力分析[双击切换]"/>
            <w:tag w:val="_GBC_f5e4beedb06c4dedb1da9c7f429d840e"/>
            <w:id w:val="-1464570519"/>
            <w:lock w:val="sdtLocked"/>
            <w:placeholder>
              <w:docPart w:val="GBC22222222222222222222222222222"/>
            </w:placeholder>
          </w:sdtPr>
          <w:sdtEndPr/>
          <w:sdtContent>
            <w:p w14:paraId="1CACDCC1"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报告期内核心竞争力分析"/>
            <w:tag w:val="_GBC_2aded0644185447a9ec788ba0b35ac4f"/>
            <w:id w:val="-1533722211"/>
            <w:lock w:val="sdtLocked"/>
            <w:placeholder>
              <w:docPart w:val="GBC22222222222222222222222222222"/>
            </w:placeholder>
          </w:sdtPr>
          <w:sdtEndPr/>
          <w:sdtContent>
            <w:p w14:paraId="2E9D9CAD" w14:textId="77777777" w:rsidR="00830E72" w:rsidRDefault="008344D8">
              <w:pPr>
                <w:ind w:firstLineChars="200" w:firstLine="420"/>
              </w:pPr>
              <w:r>
                <w:rPr>
                  <w:rFonts w:hint="eastAsia"/>
                </w:rPr>
                <w:t>（一）领先的业务资质</w:t>
              </w:r>
            </w:p>
            <w:p w14:paraId="6F90540A" w14:textId="77777777" w:rsidR="00830E72" w:rsidRDefault="008344D8">
              <w:pPr>
                <w:ind w:firstLineChars="200" w:firstLine="420"/>
              </w:pPr>
              <w:r>
                <w:rPr>
                  <w:rFonts w:hint="eastAsia"/>
                </w:rPr>
                <w:t>施工企业的资质能够在一定程度上反映企业的竞争力。公司及控股子公司拥有公路工程施工总承包特级，市政公用工程施工总承包壹级，水利水电工程、港口与航道工程、机电工程施工总承包贰级，桥梁工程、隧道工程、公路路面工程、公路路基工程、公路交通工程</w:t>
              </w:r>
              <w:r>
                <w:t>(公路安全设施)、环保工程专业承包壹级，公路行业甲级设计资质，公路专业甲级工程咨询单位资格等一系列资质。公司作为安徽省资质齐全、资质等级较高的公路、市政基础设施施工企业之一，在招投标中处于优势地位，是公司持续发展的重要保障。</w:t>
              </w:r>
            </w:p>
            <w:p w14:paraId="0EF4F082" w14:textId="77777777" w:rsidR="00830E72" w:rsidRDefault="008344D8">
              <w:pPr>
                <w:ind w:firstLineChars="200" w:firstLine="420"/>
              </w:pPr>
              <w:r>
                <w:rPr>
                  <w:rFonts w:hint="eastAsia"/>
                </w:rPr>
                <w:t>（二）区位优势</w:t>
              </w:r>
            </w:p>
            <w:p w14:paraId="65BB5BDA" w14:textId="77777777" w:rsidR="00830E72" w:rsidRDefault="008344D8">
              <w:pPr>
                <w:ind w:firstLineChars="200" w:firstLine="420"/>
              </w:pPr>
              <w:r>
                <w:rPr>
                  <w:rFonts w:hint="eastAsia"/>
                </w:rPr>
                <w:lastRenderedPageBreak/>
                <w:t>公司所在地安徽省区位优势明显，作为中部六省之一，紧紧抓住中部崛起战略和长三角经济一体化带来的机遇，经济发展势头良好。交通运输相关的基础设施建设为促进安徽省区位优势发挥，对经济社会持续健康发展提供了强有力的支撑。</w:t>
              </w:r>
            </w:p>
            <w:p w14:paraId="5FBFB5FA" w14:textId="77777777" w:rsidR="00830E72" w:rsidRDefault="008344D8">
              <w:pPr>
                <w:ind w:firstLineChars="200" w:firstLine="420"/>
              </w:pPr>
              <w:r>
                <w:rPr>
                  <w:rFonts w:hint="eastAsia"/>
                </w:rPr>
                <w:t>在上述背景下，《长江三角洲城市群发展规划》明确提出构筑一体化综合交通枢纽，继续强化和巩固安徽省在全国的综合交通枢纽地位，必将促进安徽省路桥施工行业的持续稳定发展，为公司业务发展带来良好机遇。</w:t>
              </w:r>
            </w:p>
            <w:p w14:paraId="58B5145B" w14:textId="77777777" w:rsidR="00830E72" w:rsidRDefault="008344D8">
              <w:pPr>
                <w:ind w:firstLineChars="200" w:firstLine="420"/>
              </w:pPr>
              <w:r>
                <w:rPr>
                  <w:rFonts w:hint="eastAsia"/>
                </w:rPr>
                <w:t>（三）完善、高效的项目管理模式</w:t>
              </w:r>
            </w:p>
            <w:p w14:paraId="35DACD69" w14:textId="77777777" w:rsidR="00830E72" w:rsidRDefault="008344D8">
              <w:pPr>
                <w:ind w:firstLineChars="200" w:firstLine="420"/>
              </w:pPr>
              <w:r>
                <w:rPr>
                  <w:rFonts w:hint="eastAsia"/>
                </w:rPr>
                <w:t>公司通过多年来的实践和总结，逐步形成了有效的目标考核机制、科学合理的项目策划管理体系、“先策划、后控制”的动态成本管理思想、“标准流程化、流程信息化”的管控手段等为核心的项目管理模式，提高管理效率的同时，也充分调动了管理人员的主观能动性，保证了工程的品质和资源的有效利用。</w:t>
              </w:r>
            </w:p>
            <w:p w14:paraId="260713A2" w14:textId="77777777" w:rsidR="00830E72" w:rsidRDefault="008344D8">
              <w:pPr>
                <w:ind w:firstLineChars="200" w:firstLine="420"/>
              </w:pPr>
              <w:r>
                <w:rPr>
                  <w:rFonts w:hint="eastAsia"/>
                </w:rPr>
                <w:t>（四）相对完善的业务体系</w:t>
              </w:r>
            </w:p>
            <w:p w14:paraId="7888E333" w14:textId="77777777" w:rsidR="00830E72" w:rsidRDefault="008344D8">
              <w:pPr>
                <w:ind w:firstLineChars="200" w:firstLine="420"/>
              </w:pPr>
              <w:r>
                <w:rPr>
                  <w:rFonts w:hint="eastAsia"/>
                </w:rPr>
                <w:t>随着近年来的不断发展，公司业务体系完整，业务涵盖投资、设计、施工和养护。公司不断探索并发展近年来兴起的</w:t>
              </w:r>
              <w:r>
                <w:t>PPP业务，通过投资参股PPP项目公司带动公司设计、施工业务发展；设计业务作为基础设施建设行业产业链前端，通过设计业务的先行介入，可以提高施工项目的中标率；工程施工业务作为公司核心业务，拥有资质、业绩、管理、技术、品牌等多方面的优势，为投资业务提供有力的业绩支撑。</w:t>
              </w:r>
            </w:p>
            <w:p w14:paraId="368101F5" w14:textId="77777777" w:rsidR="00830E72" w:rsidRDefault="008344D8">
              <w:pPr>
                <w:ind w:firstLineChars="200" w:firstLine="420"/>
              </w:pPr>
              <w:r>
                <w:rPr>
                  <w:rFonts w:hint="eastAsia"/>
                </w:rPr>
                <w:t>（五）经验丰富、专业化的核心管理运营团队</w:t>
              </w:r>
            </w:p>
            <w:p w14:paraId="0E34D32C" w14:textId="2DEA49CB" w:rsidR="00830E72" w:rsidRDefault="008344D8">
              <w:pPr>
                <w:ind w:firstLineChars="200" w:firstLine="420"/>
              </w:pPr>
              <w:r>
                <w:rPr>
                  <w:rFonts w:hint="eastAsia"/>
                </w:rPr>
                <w:t>公司的核心管理运营团队成员多数拥有十年以上的从业经验。公司拥有一批具有多年施工经验的项目管理人才和技术人才。公司重视技术创新和积累，</w:t>
              </w:r>
              <w:r w:rsidR="00EA6495">
                <w:rPr>
                  <w:rFonts w:hint="eastAsia"/>
                </w:rPr>
                <w:t>截至本报告披露日，公司</w:t>
              </w:r>
              <w:r>
                <w:rPr>
                  <w:rFonts w:hint="eastAsia"/>
                </w:rPr>
                <w:t>拥有省级企业技术中心，拥有发明专利</w:t>
              </w:r>
              <w:r w:rsidR="00EA6495">
                <w:t>13</w:t>
              </w:r>
              <w:r>
                <w:t>项、实用新型专利</w:t>
              </w:r>
              <w:r w:rsidR="00EA6495">
                <w:t>32</w:t>
              </w:r>
              <w:r>
                <w:t>项，获得国家级工法2项、省部级工法3</w:t>
              </w:r>
              <w:r w:rsidR="00EA6495">
                <w:t>8</w:t>
              </w:r>
              <w:r>
                <w:t>项。公司主持制定行业标准1项，地方标准4项，参与制定地方标准4项。公司拥有的成熟施工技术，为公司业务发展提供了技术支撑。</w:t>
              </w:r>
            </w:p>
            <w:p w14:paraId="1B95F72F" w14:textId="77777777" w:rsidR="00830E72" w:rsidRDefault="008344D8">
              <w:pPr>
                <w:ind w:firstLineChars="200" w:firstLine="420"/>
              </w:pPr>
              <w:r>
                <w:rPr>
                  <w:rFonts w:hint="eastAsia"/>
                </w:rPr>
                <w:t>（六）良好的品牌形象</w:t>
              </w:r>
            </w:p>
            <w:p w14:paraId="63388264" w14:textId="77777777" w:rsidR="00830E72" w:rsidRDefault="008344D8">
              <w:pPr>
                <w:ind w:firstLineChars="200" w:firstLine="420"/>
              </w:pPr>
              <w:r>
                <w:rPr>
                  <w:rFonts w:hint="eastAsia"/>
                </w:rPr>
                <w:t>公司拥有着丰富的公路、市政基础设施施工经验。公司承建的项目获得了“中国建设工程鲁班奖”、“李春奖”、“中国土木工程詹天佑奖”、“公路交通优质工程奖一等奖”、“全国市政金杯示范工程奖”、“国家优质工程奖”等多项国家级奖项。2</w:t>
              </w:r>
              <w:r>
                <w:t>021</w:t>
              </w:r>
              <w:r>
                <w:rPr>
                  <w:rFonts w:hint="eastAsia"/>
                </w:rPr>
                <w:t>年，公司</w:t>
              </w:r>
              <w:r>
                <w:t>获得</w:t>
              </w:r>
              <w:r>
                <w:rPr>
                  <w:rFonts w:hint="eastAsia"/>
                </w:rPr>
                <w:t>了</w:t>
              </w:r>
              <w:r>
                <w:t>中国施工企业管理协会颁发的“2020年度工程建设诚信典型企业”</w:t>
              </w:r>
              <w:r>
                <w:rPr>
                  <w:rFonts w:hint="eastAsia"/>
                </w:rPr>
                <w:t>，并获得该协会六星信用认证证书公司，此外，公司还获得了安徽省公路学会颁发的“安徽省交通科技进步奖”、被</w:t>
              </w:r>
              <w:r>
                <w:t>安徽省市政工程协会</w:t>
              </w:r>
              <w:r>
                <w:rPr>
                  <w:rFonts w:hint="eastAsia"/>
                </w:rPr>
                <w:t>评为</w:t>
              </w:r>
              <w:r>
                <w:t xml:space="preserve"> “</w:t>
              </w:r>
              <w:r>
                <w:rPr>
                  <w:rFonts w:hint="eastAsia"/>
                </w:rPr>
                <w:t>2</w:t>
              </w:r>
              <w:r>
                <w:t>020</w:t>
              </w:r>
              <w:r>
                <w:rPr>
                  <w:rFonts w:hint="eastAsia"/>
                </w:rPr>
                <w:t>年</w:t>
              </w:r>
              <w:r>
                <w:t>度安徽省市政优秀施工企业”</w:t>
              </w:r>
              <w:r>
                <w:rPr>
                  <w:rFonts w:hint="eastAsia"/>
                </w:rPr>
                <w:t>。</w:t>
              </w:r>
              <w:r>
                <w:t>凭借多年来积攒的良好的市场信誉和出色的工程质量，公司建立了良好的品牌形象，为公司在业务承揽方面带来了较大的竞争优势。</w:t>
              </w:r>
            </w:p>
          </w:sdtContent>
        </w:sdt>
      </w:sdtContent>
    </w:sdt>
    <w:p w14:paraId="09EF18A3" w14:textId="77777777" w:rsidR="00830E72" w:rsidRDefault="00830E72"/>
    <w:sdt>
      <w:sdtPr>
        <w:rPr>
          <w:rFonts w:ascii="宋体" w:hAnsi="宋体" w:cs="宋体" w:hint="eastAsia"/>
          <w:b w:val="0"/>
          <w:bCs w:val="0"/>
          <w:kern w:val="0"/>
          <w:szCs w:val="24"/>
        </w:rPr>
        <w:alias w:val="模块:经营情况的讨论与分析"/>
        <w:tag w:val="_GBC_ba3734a9f27a452095f3115c17f4b09e"/>
        <w:id w:val="729044342"/>
        <w:lock w:val="sdtLocked"/>
        <w:placeholder>
          <w:docPart w:val="GBC22222222222222222222222222222"/>
        </w:placeholder>
      </w:sdtPr>
      <w:sdtEndPr/>
      <w:sdtContent>
        <w:p w14:paraId="3490E4AE" w14:textId="77777777" w:rsidR="00830E72" w:rsidRDefault="008344D8">
          <w:pPr>
            <w:pStyle w:val="2"/>
            <w:numPr>
              <w:ilvl w:val="0"/>
              <w:numId w:val="5"/>
            </w:numPr>
            <w:tabs>
              <w:tab w:val="left" w:pos="426"/>
            </w:tabs>
            <w:jc w:val="left"/>
            <w:rPr>
              <w:rFonts w:ascii="宋体" w:hAnsi="宋体" w:cs="宋体"/>
              <w:kern w:val="0"/>
              <w:szCs w:val="24"/>
            </w:rPr>
          </w:pPr>
          <w:r>
            <w:rPr>
              <w:rFonts w:ascii="宋体" w:hAnsi="宋体" w:cs="宋体"/>
              <w:kern w:val="0"/>
              <w:szCs w:val="24"/>
            </w:rPr>
            <w:t>经营情况的讨论与分析</w:t>
          </w:r>
        </w:p>
        <w:sdt>
          <w:sdtPr>
            <w:rPr>
              <w:rFonts w:hint="eastAsia"/>
            </w:rPr>
            <w:alias w:val="管理层讨论与分析"/>
            <w:tag w:val="_GBC_886258ec69e240da99b57ac102afbda6"/>
            <w:id w:val="974416887"/>
            <w:lock w:val="sdtLocked"/>
            <w:placeholder>
              <w:docPart w:val="GBC22222222222222222222222222222"/>
            </w:placeholder>
          </w:sdtPr>
          <w:sdtEndPr/>
          <w:sdtContent>
            <w:p w14:paraId="35A1BB48" w14:textId="77777777" w:rsidR="00830E72" w:rsidRDefault="008344D8">
              <w:pPr>
                <w:ind w:firstLineChars="200" w:firstLine="420"/>
              </w:pPr>
              <w:r>
                <w:t>2021</w:t>
              </w:r>
              <w:r>
                <w:rPr>
                  <w:rFonts w:hint="eastAsia"/>
                </w:rPr>
                <w:t>上半年</w:t>
              </w:r>
              <w:r>
                <w:t>，公司紧扣“十四五”规划对基建行业的政策部署，抓住长三角一体化带来的市场机遇，贯彻“创建优质工程、铸造百年企业”的企业经营宗旨，进一步提升核心竞争力、加大市场业务开拓力度、强化在建项目管理能力，实现了经营业绩的较好增长。报告期内，公司实现营业收入157,762.41万元，同比增长28.77%；实现归属于上市公司股东的净利润为4,924.56万元，同比增长26.45%。</w:t>
              </w:r>
            </w:p>
            <w:p w14:paraId="189A8B5B" w14:textId="77777777" w:rsidR="00830E72" w:rsidRDefault="008344D8">
              <w:pPr>
                <w:ind w:firstLineChars="200" w:firstLine="420"/>
              </w:pPr>
              <w:r>
                <w:t>1、加大市场拓展力度，新承揽业务订单持续增长</w:t>
              </w:r>
            </w:p>
            <w:p w14:paraId="7BE0DF7F" w14:textId="77777777" w:rsidR="00830E72" w:rsidRDefault="008344D8">
              <w:pPr>
                <w:ind w:firstLineChars="200" w:firstLine="420"/>
              </w:pPr>
              <w:r>
                <w:rPr>
                  <w:rFonts w:hint="eastAsia"/>
                </w:rPr>
                <w:t>公司借助自身在资质、业绩、管理、技术、品牌等多方面的优势，巩固提升在安徽省竞争地位和领先优势的同时，加大周边省份特别是长三角地区市场拓展力度，通过对各区域市场的精耕细作，逐步提高市场占有率。</w:t>
              </w:r>
              <w:r>
                <w:t>2021年上半年，公司新承揽订单金额34.19亿元，在2020年业务承揽创历史较高水平的基础上实现同比12.39%的增长，为公司未来业绩成长奠定了良好的基础。</w:t>
              </w:r>
            </w:p>
            <w:p w14:paraId="7CEB093D" w14:textId="77777777" w:rsidR="00830E72" w:rsidRDefault="008344D8">
              <w:pPr>
                <w:ind w:firstLineChars="200" w:firstLine="420"/>
              </w:pPr>
              <w:r>
                <w:t>2、强化项目管理能力，高质量推进在建项目的实施</w:t>
              </w:r>
            </w:p>
            <w:p w14:paraId="5FCE5DF9" w14:textId="77777777" w:rsidR="00830E72" w:rsidRDefault="008344D8">
              <w:pPr>
                <w:ind w:firstLineChars="200" w:firstLine="420"/>
              </w:pPr>
              <w:r>
                <w:rPr>
                  <w:rFonts w:hint="eastAsia"/>
                </w:rPr>
                <w:t>面对上半年国内疫情防控常态化和原材料价格波动的双重影响，公司积极采取有效措施，提高项目管理效率，一方面严格按照政府相关部门疫情防护要求，常抓疫情防控制度的执行，确保公司范围内未有一例员工确诊病例；另一方面通过原材料动态储备、集中采购等合理措施，消减原材料价格波动对项目成本的影响。公司通过严抓项目管理，在实现半年度营业收入和净利润双双增长的同时，项目品质得到了广泛认可：负责承建的项目取得安徽公路交通优质工程奖</w:t>
              </w:r>
              <w:r>
                <w:t>1项、</w:t>
              </w:r>
              <w:r>
                <w:lastRenderedPageBreak/>
                <w:t>安徽省建设工程“黄山杯”奖3项；公司先后荣获安徽省市政优秀施工企业、合肥市市政工程优秀企</w:t>
              </w:r>
              <w:r>
                <w:rPr>
                  <w:rFonts w:hint="eastAsia"/>
                </w:rPr>
                <w:t>业和合肥建筑业优秀施工企业等荣誉。</w:t>
              </w:r>
            </w:p>
            <w:p w14:paraId="0AF7FA31" w14:textId="77777777" w:rsidR="00830E72" w:rsidRDefault="008344D8">
              <w:pPr>
                <w:ind w:firstLineChars="200" w:firstLine="420"/>
              </w:pPr>
              <w:r>
                <w:t>3、响应国家乡村振兴战略，紧抓乡村振兴发展机遇</w:t>
              </w:r>
            </w:p>
            <w:p w14:paraId="6645F062" w14:textId="77777777" w:rsidR="00830E72" w:rsidRDefault="008344D8">
              <w:pPr>
                <w:ind w:firstLineChars="200" w:firstLine="420"/>
              </w:pPr>
              <w:r>
                <w:t>2021 年，国家乡村振兴局成立、《乡村振兴促进法》正式颁布,乡村振兴战略实施蓬勃开展。作为一家从事公路、市政基础设施建设为主业的企业，公司积极找准在国家乡村振兴战略实施过程中的角色定位，主动参与各地乡村生态宜居项目的建设。公司负责建设的亳州谯城区改善农村人居环境PPP项目已竣工并交付使用，获得了业主方和地方群众的较高评价；在建的界首市美丽乡村建设整市推进PPP项目建设进展顺利，将在给公司带来施工收入的同时，完善地方乡村基础设施和改善乡村人居环境。公司组织专项团队，积极参与各地乡村生态宜居项目的招投标，争取</w:t>
              </w:r>
              <w:r>
                <w:rPr>
                  <w:rFonts w:hint="eastAsia"/>
                </w:rPr>
                <w:t>更多的为国家乡村振兴战略贡献企业力量。</w:t>
              </w:r>
            </w:p>
            <w:p w14:paraId="2423BD7D" w14:textId="77777777" w:rsidR="00830E72" w:rsidRDefault="008344D8">
              <w:pPr>
                <w:ind w:firstLineChars="200" w:firstLine="420"/>
              </w:pPr>
              <w:r>
                <w:t>4、做好非公开发行股票工作，助推公司业务快速发展</w:t>
              </w:r>
            </w:p>
            <w:p w14:paraId="0A292EBE" w14:textId="77777777" w:rsidR="00830E72" w:rsidRDefault="008344D8">
              <w:pPr>
                <w:ind w:firstLineChars="200" w:firstLine="420"/>
              </w:pPr>
              <w:r>
                <w:t>2021年1月13日，公司收到中国证券监督管理委员会（以下简称“证监会”）出具的《关于核准安徽省交通建设股份有限公司非公开发行股票的批复》（证监许可〔2021〕18号）。2021年6月3日，本次非公开发行股票启动发行。2021年6月18日，容诚会计师事务所（特殊普通合伙）对本次发行募集资金到达发行人账户情况进行了审验，并出具了《验资报告》（容诚验字[2021]230Z0133号）。2021年7月5日，本次发行新增股份的登记托管手续在中国证券登记结算有限责任公司上海分公司办理完成。本次发行募集资金投资项目围绕</w:t>
              </w:r>
              <w:r>
                <w:rPr>
                  <w:rFonts w:hint="eastAsia"/>
                </w:rPr>
                <w:t>公司主营业务展开，有利于公司未来业务的快速发展；同时，有助于公司深化与各方股东的业务合作，推动交建股份跨越式发展。</w:t>
              </w:r>
            </w:p>
            <w:p w14:paraId="68F2E9B1" w14:textId="77777777" w:rsidR="00830E72" w:rsidRDefault="008344D8">
              <w:pPr>
                <w:ind w:firstLineChars="200" w:firstLine="420"/>
              </w:pPr>
              <w:r>
                <w:t>5、坚持创新驱动发展，不断提升公司创新技术积累</w:t>
              </w:r>
            </w:p>
            <w:p w14:paraId="49FC0DC2" w14:textId="625A0F8A" w:rsidR="00830E72" w:rsidRDefault="008344D8">
              <w:pPr>
                <w:ind w:firstLineChars="200" w:firstLine="420"/>
              </w:pPr>
              <w:r>
                <w:rPr>
                  <w:rFonts w:hint="eastAsia"/>
                </w:rPr>
                <w:t>公司将根据自身发展战略，结合行业未来发展趋势，坚持加强创新技术和功法的研发力度，促进新技术、新工艺在实际工作施工的应用，通过技术创新提升项目建设能力，驱动公司业务持续发展。其次，加大外部高端技术人才引进和内部员工培养的力度，建立长效制度，不断提高公司的技术人才数量和整体水平，提升公司技术创新能力，扩大公司技术优势。</w:t>
              </w:r>
              <w:r>
                <w:t>2021年上半年，公司新申报完成省级工法3项，发明专利</w:t>
              </w:r>
              <w:r w:rsidR="00160946">
                <w:rPr>
                  <w:rFonts w:hint="eastAsia"/>
                </w:rPr>
                <w:t>3项</w:t>
              </w:r>
              <w:r w:rsidR="007D7FDB">
                <w:rPr>
                  <w:rFonts w:hint="eastAsia"/>
                </w:rPr>
                <w:t>、新型实用专利</w:t>
              </w:r>
              <w:r>
                <w:t>1</w:t>
              </w:r>
              <w:r w:rsidR="00160946">
                <w:t>2</w:t>
              </w:r>
              <w:r>
                <w:t>项，进一步提升了公司创新技术积累。</w:t>
              </w:r>
            </w:p>
          </w:sdtContent>
        </w:sdt>
      </w:sdtContent>
    </w:sdt>
    <w:sdt>
      <w:sdtPr>
        <w:rPr>
          <w:rFonts w:hint="eastAsia"/>
        </w:rPr>
        <w:alias w:val="模块:报告期内公司经营情况的重大变化，以及报告期内发生的对公司经营..."/>
        <w:tag w:val="_SEC_5c790aea31ad48bb8832d20c53fcc625"/>
        <w:id w:val="-481393494"/>
        <w:lock w:val="sdtLocked"/>
        <w:placeholder>
          <w:docPart w:val="GBC22222222222222222222222222222"/>
        </w:placeholder>
      </w:sdtPr>
      <w:sdtEndPr>
        <w:rPr>
          <w:rFonts w:hint="default"/>
        </w:rPr>
      </w:sdtEndPr>
      <w:sdtContent>
        <w:p w14:paraId="65A898E0" w14:textId="77777777" w:rsidR="00830E72" w:rsidRDefault="008344D8">
          <w:pPr>
            <w:rPr>
              <w:b/>
              <w:bCs/>
            </w:rPr>
          </w:pPr>
          <w:r>
            <w:rPr>
              <w:rFonts w:hint="eastAsia"/>
              <w:b/>
              <w:bCs/>
            </w:rPr>
            <w:t>报告期内公司经营情况的重大变化，以及报告期内发生的对公司经营情况有重大影响和预计未来会有重大影响的事项</w:t>
          </w:r>
        </w:p>
        <w:sdt>
          <w:sdtPr>
            <w:rPr>
              <w:rFonts w:hint="eastAsia"/>
            </w:rPr>
            <w:alias w:val="是否适用：报告期内公司经营情况的重大变化，以及报告期内发生的对公司经营情况有重大影响和预计未来会有重大影响的事项[双击切换]"/>
            <w:tag w:val="_GBC_0f91ff55b5a9406ea662149119d7e23c"/>
            <w:id w:val="-621990227"/>
            <w:lock w:val="sdtLocked"/>
            <w:placeholder>
              <w:docPart w:val="GBC22222222222222222222222222222"/>
            </w:placeholder>
          </w:sdtPr>
          <w:sdtEndPr/>
          <w:sdtContent>
            <w:p w14:paraId="0FFDBB9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4117CA0" w14:textId="77777777" w:rsidR="00830E72" w:rsidRDefault="008344D8">
      <w:pPr>
        <w:pStyle w:val="2"/>
        <w:numPr>
          <w:ilvl w:val="0"/>
          <w:numId w:val="5"/>
        </w:numPr>
        <w:tabs>
          <w:tab w:val="left" w:pos="426"/>
        </w:tabs>
        <w:ind w:left="422" w:hanging="422"/>
        <w:jc w:val="left"/>
        <w:rPr>
          <w:rFonts w:ascii="宋体" w:hAnsi="宋体" w:cs="宋体"/>
          <w:kern w:val="0"/>
          <w:szCs w:val="24"/>
        </w:rPr>
      </w:pPr>
      <w:r>
        <w:rPr>
          <w:rFonts w:ascii="宋体" w:hAnsi="宋体" w:cs="宋体" w:hint="eastAsia"/>
          <w:kern w:val="0"/>
          <w:szCs w:val="24"/>
        </w:rPr>
        <w:t>报告期内主要经营情况</w:t>
      </w:r>
    </w:p>
    <w:p w14:paraId="7DE6BC85" w14:textId="77777777" w:rsidR="00830E72" w:rsidRDefault="008344D8">
      <w:pPr>
        <w:pStyle w:val="Style99"/>
        <w:numPr>
          <w:ilvl w:val="0"/>
          <w:numId w:val="6"/>
        </w:numPr>
        <w:rPr>
          <w:rFonts w:ascii="宋体" w:hAnsi="宋体"/>
        </w:rPr>
      </w:pPr>
      <w:bookmarkStart w:id="21" w:name="_Toc342565895"/>
      <w:bookmarkStart w:id="22" w:name="_Toc342559738"/>
      <w:r>
        <w:rPr>
          <w:rFonts w:ascii="宋体" w:hAnsi="宋体" w:hint="eastAsia"/>
        </w:rPr>
        <w:t>主营业务分析</w:t>
      </w:r>
      <w:bookmarkEnd w:id="21"/>
      <w:bookmarkEnd w:id="22"/>
    </w:p>
    <w:p w14:paraId="17DB3594" w14:textId="77777777" w:rsidR="00830E72" w:rsidRDefault="008344D8">
      <w:pPr>
        <w:pStyle w:val="Style100"/>
        <w:numPr>
          <w:ilvl w:val="0"/>
          <w:numId w:val="7"/>
        </w:numPr>
        <w:rPr>
          <w:rFonts w:ascii="宋体" w:hAnsi="宋体"/>
        </w:rPr>
      </w:pPr>
      <w:bookmarkStart w:id="23" w:name="_Toc342565896"/>
      <w:bookmarkStart w:id="24" w:name="_Toc342559739"/>
      <w:r>
        <w:rPr>
          <w:rFonts w:ascii="宋体" w:hAnsi="宋体" w:hint="eastAsia"/>
        </w:rPr>
        <w:t>财务报表相关科目变动分析表</w:t>
      </w:r>
      <w:bookmarkEnd w:id="23"/>
      <w:bookmarkEnd w:id="24"/>
    </w:p>
    <w:bookmarkStart w:id="25" w:name="_Hlk10208083" w:displacedByCustomXml="next"/>
    <w:sdt>
      <w:sdtPr>
        <w:rPr>
          <w:rFonts w:ascii="宋体" w:hAnsi="宋体" w:hint="eastAsia"/>
          <w:szCs w:val="21"/>
        </w:rPr>
        <w:alias w:val="模块:财务报表相关科目变动分析表"/>
        <w:tag w:val="_GBC_281bf95299804381a41f7dd82e2c19f3"/>
        <w:id w:val="1754401006"/>
        <w:lock w:val="sdtLocked"/>
        <w:placeholder>
          <w:docPart w:val="GBC22222222222222222222222222222"/>
        </w:placeholder>
      </w:sdtPr>
      <w:sdtEndPr/>
      <w:sdtContent>
        <w:p w14:paraId="4FA31A99" w14:textId="77777777" w:rsidR="00830E72" w:rsidRDefault="008344D8">
          <w:pPr>
            <w:pStyle w:val="Style118"/>
            <w:ind w:left="360" w:firstLineChars="0" w:firstLine="0"/>
            <w:jc w:val="right"/>
            <w:rPr>
              <w:rFonts w:ascii="宋体" w:hAnsi="宋体"/>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20417818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6c86f79f9e2349b09f37ad908cd43f73"/>
              <w:id w:val="-592471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2"/>
            <w:tblW w:w="4994" w:type="pct"/>
            <w:tblLook w:val="04A0" w:firstRow="1" w:lastRow="0" w:firstColumn="1" w:lastColumn="0" w:noHBand="0" w:noVBand="1"/>
          </w:tblPr>
          <w:tblGrid>
            <w:gridCol w:w="3085"/>
            <w:gridCol w:w="2126"/>
            <w:gridCol w:w="1985"/>
            <w:gridCol w:w="1842"/>
          </w:tblGrid>
          <w:tr w:rsidR="00830E72" w14:paraId="0FED87F3" w14:textId="77777777">
            <w:bookmarkStart w:id="26" w:name="_Hlk10208057" w:displacedByCustomXml="next"/>
            <w:sdt>
              <w:sdtPr>
                <w:rPr>
                  <w:rFonts w:ascii="宋体" w:hAnsi="宋体"/>
                </w:rPr>
                <w:tag w:val="_PLD_2e2e0d1bb8d44a278061305ea6808979"/>
                <w:id w:val="-1949926578"/>
                <w:lock w:val="sdtLocked"/>
              </w:sdtPr>
              <w:sdtEndPr/>
              <w:sdtContent>
                <w:tc>
                  <w:tcPr>
                    <w:tcW w:w="1707" w:type="pct"/>
                  </w:tcPr>
                  <w:p w14:paraId="3F404363" w14:textId="77777777" w:rsidR="00830E72" w:rsidRDefault="008344D8">
                    <w:pPr>
                      <w:pStyle w:val="Style118"/>
                      <w:ind w:firstLineChars="0" w:firstLine="0"/>
                      <w:rPr>
                        <w:rFonts w:ascii="宋体" w:hAnsi="宋体"/>
                        <w:szCs w:val="21"/>
                      </w:rPr>
                    </w:pPr>
                    <w:r>
                      <w:rPr>
                        <w:rFonts w:ascii="宋体" w:hAnsi="宋体" w:hint="eastAsia"/>
                        <w:szCs w:val="21"/>
                      </w:rPr>
                      <w:t>科目</w:t>
                    </w:r>
                  </w:p>
                </w:tc>
              </w:sdtContent>
            </w:sdt>
            <w:sdt>
              <w:sdtPr>
                <w:rPr>
                  <w:rFonts w:ascii="宋体" w:hAnsi="宋体"/>
                </w:rPr>
                <w:tag w:val="_PLD_37391874ab08430b841a55f53c4d20e6"/>
                <w:id w:val="199359291"/>
                <w:lock w:val="sdtLocked"/>
              </w:sdtPr>
              <w:sdtEndPr/>
              <w:sdtContent>
                <w:tc>
                  <w:tcPr>
                    <w:tcW w:w="1176" w:type="pct"/>
                    <w:vAlign w:val="center"/>
                  </w:tcPr>
                  <w:p w14:paraId="1F6604B5" w14:textId="77777777" w:rsidR="00830E72" w:rsidRDefault="008344D8">
                    <w:pPr>
                      <w:pStyle w:val="Style118"/>
                      <w:ind w:firstLineChars="0" w:firstLine="0"/>
                      <w:jc w:val="center"/>
                      <w:rPr>
                        <w:rFonts w:ascii="宋体" w:hAnsi="宋体"/>
                        <w:szCs w:val="21"/>
                      </w:rPr>
                    </w:pPr>
                    <w:r>
                      <w:rPr>
                        <w:rFonts w:ascii="宋体" w:hAnsi="宋体" w:hint="eastAsia"/>
                        <w:szCs w:val="21"/>
                      </w:rPr>
                      <w:t>本期数</w:t>
                    </w:r>
                  </w:p>
                </w:tc>
              </w:sdtContent>
            </w:sdt>
            <w:sdt>
              <w:sdtPr>
                <w:rPr>
                  <w:rFonts w:ascii="宋体" w:hAnsi="宋体"/>
                </w:rPr>
                <w:tag w:val="_PLD_d061bf6d7e824e93a5540d2e36feb15d"/>
                <w:id w:val="490612687"/>
                <w:lock w:val="sdtLocked"/>
              </w:sdtPr>
              <w:sdtEndPr/>
              <w:sdtContent>
                <w:tc>
                  <w:tcPr>
                    <w:tcW w:w="1098" w:type="pct"/>
                    <w:vAlign w:val="center"/>
                  </w:tcPr>
                  <w:p w14:paraId="27CF6221" w14:textId="77777777" w:rsidR="00830E72" w:rsidRDefault="008344D8">
                    <w:pPr>
                      <w:pStyle w:val="Style118"/>
                      <w:ind w:firstLineChars="0" w:firstLine="0"/>
                      <w:jc w:val="center"/>
                      <w:rPr>
                        <w:rFonts w:ascii="宋体" w:hAnsi="宋体"/>
                        <w:szCs w:val="21"/>
                      </w:rPr>
                    </w:pPr>
                    <w:r>
                      <w:rPr>
                        <w:rFonts w:ascii="宋体" w:hAnsi="宋体" w:hint="eastAsia"/>
                        <w:szCs w:val="21"/>
                      </w:rPr>
                      <w:t>上年同期数</w:t>
                    </w:r>
                  </w:p>
                </w:tc>
              </w:sdtContent>
            </w:sdt>
            <w:sdt>
              <w:sdtPr>
                <w:rPr>
                  <w:rFonts w:ascii="宋体" w:hAnsi="宋体"/>
                </w:rPr>
                <w:tag w:val="_PLD_1792b71106c34c75af22292391c96e49"/>
                <w:id w:val="1615167735"/>
                <w:lock w:val="sdtLocked"/>
              </w:sdtPr>
              <w:sdtEndPr/>
              <w:sdtContent>
                <w:tc>
                  <w:tcPr>
                    <w:tcW w:w="1019" w:type="pct"/>
                    <w:vAlign w:val="center"/>
                  </w:tcPr>
                  <w:p w14:paraId="59F465AD" w14:textId="77777777" w:rsidR="00830E72" w:rsidRDefault="008344D8">
                    <w:pPr>
                      <w:pStyle w:val="Style118"/>
                      <w:ind w:firstLineChars="0" w:firstLine="0"/>
                      <w:jc w:val="center"/>
                      <w:rPr>
                        <w:rFonts w:ascii="宋体" w:hAnsi="宋体"/>
                        <w:szCs w:val="21"/>
                      </w:rPr>
                    </w:pPr>
                    <w:r>
                      <w:rPr>
                        <w:rFonts w:ascii="宋体" w:hAnsi="宋体" w:hint="eastAsia"/>
                        <w:szCs w:val="21"/>
                      </w:rPr>
                      <w:t>变动比例（%）</w:t>
                    </w:r>
                  </w:p>
                </w:tc>
              </w:sdtContent>
            </w:sdt>
          </w:tr>
          <w:tr w:rsidR="00830E72" w14:paraId="6867B9A3" w14:textId="77777777">
            <w:sdt>
              <w:sdtPr>
                <w:rPr>
                  <w:rFonts w:ascii="宋体" w:hAnsi="宋体"/>
                </w:rPr>
                <w:tag w:val="_PLD_c7aabd73356d4df6ad6c67395e690823"/>
                <w:id w:val="-939978570"/>
                <w:lock w:val="sdtLocked"/>
              </w:sdtPr>
              <w:sdtEndPr/>
              <w:sdtContent>
                <w:tc>
                  <w:tcPr>
                    <w:tcW w:w="1707" w:type="pct"/>
                  </w:tcPr>
                  <w:p w14:paraId="2685308C" w14:textId="77777777" w:rsidR="00830E72" w:rsidRDefault="008344D8">
                    <w:pPr>
                      <w:pStyle w:val="Style118"/>
                      <w:ind w:firstLineChars="0" w:firstLine="0"/>
                      <w:rPr>
                        <w:rFonts w:ascii="宋体" w:hAnsi="宋体"/>
                        <w:szCs w:val="21"/>
                      </w:rPr>
                    </w:pPr>
                    <w:r>
                      <w:rPr>
                        <w:rFonts w:ascii="宋体" w:hAnsi="宋体" w:hint="eastAsia"/>
                        <w:szCs w:val="21"/>
                      </w:rPr>
                      <w:t>营业收入</w:t>
                    </w:r>
                  </w:p>
                </w:tc>
              </w:sdtContent>
            </w:sdt>
            <w:tc>
              <w:tcPr>
                <w:tcW w:w="1176" w:type="pct"/>
              </w:tcPr>
              <w:p w14:paraId="5EA43855" w14:textId="77777777" w:rsidR="00830E72" w:rsidRDefault="008344D8">
                <w:pPr>
                  <w:pStyle w:val="Style118"/>
                  <w:ind w:firstLineChars="0" w:firstLine="0"/>
                  <w:jc w:val="right"/>
                  <w:rPr>
                    <w:rFonts w:ascii="宋体" w:hAnsi="宋体"/>
                    <w:szCs w:val="21"/>
                  </w:rPr>
                </w:pPr>
                <w:r>
                  <w:rPr>
                    <w:rFonts w:ascii="宋体" w:hAnsi="宋体"/>
                    <w:szCs w:val="21"/>
                  </w:rPr>
                  <w:t>1,577,624,127.79</w:t>
                </w:r>
              </w:p>
            </w:tc>
            <w:tc>
              <w:tcPr>
                <w:tcW w:w="1098" w:type="pct"/>
              </w:tcPr>
              <w:p w14:paraId="5D120E09" w14:textId="77777777" w:rsidR="00830E72" w:rsidRDefault="008344D8">
                <w:pPr>
                  <w:pStyle w:val="Style118"/>
                  <w:ind w:firstLineChars="0" w:firstLine="0"/>
                  <w:jc w:val="right"/>
                  <w:rPr>
                    <w:rFonts w:ascii="宋体" w:hAnsi="宋体"/>
                    <w:szCs w:val="21"/>
                  </w:rPr>
                </w:pPr>
                <w:r>
                  <w:rPr>
                    <w:rFonts w:ascii="宋体" w:hAnsi="宋体"/>
                    <w:szCs w:val="21"/>
                  </w:rPr>
                  <w:t>1,225,121,706.52</w:t>
                </w:r>
              </w:p>
            </w:tc>
            <w:tc>
              <w:tcPr>
                <w:tcW w:w="1019" w:type="pct"/>
              </w:tcPr>
              <w:p w14:paraId="18B16476" w14:textId="77777777" w:rsidR="00830E72" w:rsidRDefault="008344D8">
                <w:pPr>
                  <w:pStyle w:val="Style118"/>
                  <w:ind w:firstLineChars="0" w:firstLine="0"/>
                  <w:jc w:val="right"/>
                  <w:rPr>
                    <w:rFonts w:ascii="宋体" w:hAnsi="宋体"/>
                    <w:szCs w:val="21"/>
                  </w:rPr>
                </w:pPr>
                <w:r>
                  <w:rPr>
                    <w:rFonts w:ascii="宋体" w:hAnsi="宋体" w:hint="eastAsia"/>
                    <w:szCs w:val="21"/>
                  </w:rPr>
                  <w:t>28.77</w:t>
                </w:r>
              </w:p>
            </w:tc>
          </w:tr>
          <w:tr w:rsidR="00830E72" w14:paraId="56F24E3F" w14:textId="77777777">
            <w:sdt>
              <w:sdtPr>
                <w:rPr>
                  <w:rFonts w:ascii="宋体" w:hAnsi="宋体"/>
                </w:rPr>
                <w:tag w:val="_PLD_143930b444784190b0545eacad3472d8"/>
                <w:id w:val="564534440"/>
                <w:lock w:val="sdtLocked"/>
              </w:sdtPr>
              <w:sdtEndPr/>
              <w:sdtContent>
                <w:tc>
                  <w:tcPr>
                    <w:tcW w:w="1707" w:type="pct"/>
                  </w:tcPr>
                  <w:p w14:paraId="6E4999F3" w14:textId="77777777" w:rsidR="00830E72" w:rsidRDefault="008344D8">
                    <w:pPr>
                      <w:pStyle w:val="Style118"/>
                      <w:ind w:firstLineChars="0" w:firstLine="0"/>
                      <w:rPr>
                        <w:rFonts w:ascii="宋体" w:hAnsi="宋体"/>
                        <w:szCs w:val="21"/>
                      </w:rPr>
                    </w:pPr>
                    <w:r>
                      <w:rPr>
                        <w:rFonts w:ascii="宋体" w:hAnsi="宋体"/>
                        <w:szCs w:val="21"/>
                      </w:rPr>
                      <w:t>营业成本</w:t>
                    </w:r>
                  </w:p>
                </w:tc>
              </w:sdtContent>
            </w:sdt>
            <w:tc>
              <w:tcPr>
                <w:tcW w:w="1176" w:type="pct"/>
              </w:tcPr>
              <w:p w14:paraId="18A3E329" w14:textId="77777777" w:rsidR="00830E72" w:rsidRDefault="008344D8">
                <w:pPr>
                  <w:pStyle w:val="Style118"/>
                  <w:ind w:firstLineChars="0" w:firstLine="0"/>
                  <w:jc w:val="right"/>
                  <w:rPr>
                    <w:rFonts w:ascii="宋体" w:hAnsi="宋体"/>
                    <w:szCs w:val="21"/>
                  </w:rPr>
                </w:pPr>
                <w:r>
                  <w:rPr>
                    <w:rFonts w:ascii="宋体" w:hAnsi="宋体"/>
                    <w:szCs w:val="21"/>
                  </w:rPr>
                  <w:t>1,429,873,838.61</w:t>
                </w:r>
              </w:p>
            </w:tc>
            <w:tc>
              <w:tcPr>
                <w:tcW w:w="1098" w:type="pct"/>
              </w:tcPr>
              <w:p w14:paraId="624E5450" w14:textId="77777777" w:rsidR="00830E72" w:rsidRDefault="008344D8">
                <w:pPr>
                  <w:pStyle w:val="Style118"/>
                  <w:ind w:firstLineChars="0" w:firstLine="0"/>
                  <w:jc w:val="right"/>
                  <w:rPr>
                    <w:rFonts w:ascii="宋体" w:hAnsi="宋体"/>
                    <w:szCs w:val="21"/>
                  </w:rPr>
                </w:pPr>
                <w:r>
                  <w:rPr>
                    <w:rFonts w:ascii="宋体" w:hAnsi="宋体"/>
                    <w:szCs w:val="21"/>
                  </w:rPr>
                  <w:t>1,111,658,351.45</w:t>
                </w:r>
              </w:p>
            </w:tc>
            <w:tc>
              <w:tcPr>
                <w:tcW w:w="1019" w:type="pct"/>
              </w:tcPr>
              <w:p w14:paraId="720578A5" w14:textId="77777777" w:rsidR="00830E72" w:rsidRDefault="008344D8">
                <w:pPr>
                  <w:pStyle w:val="Style118"/>
                  <w:ind w:firstLineChars="0" w:firstLine="0"/>
                  <w:jc w:val="right"/>
                  <w:rPr>
                    <w:rFonts w:ascii="宋体" w:hAnsi="宋体"/>
                    <w:szCs w:val="21"/>
                  </w:rPr>
                </w:pPr>
                <w:r>
                  <w:rPr>
                    <w:rFonts w:ascii="宋体" w:hAnsi="宋体" w:hint="eastAsia"/>
                    <w:szCs w:val="21"/>
                  </w:rPr>
                  <w:t>28.63</w:t>
                </w:r>
              </w:p>
            </w:tc>
          </w:tr>
          <w:tr w:rsidR="00830E72" w14:paraId="5C066D7E" w14:textId="77777777">
            <w:sdt>
              <w:sdtPr>
                <w:rPr>
                  <w:rFonts w:ascii="宋体" w:hAnsi="宋体"/>
                </w:rPr>
                <w:tag w:val="_PLD_3140de3631dd486996919c00b7b71b20"/>
                <w:id w:val="-26109465"/>
                <w:lock w:val="sdtLocked"/>
              </w:sdtPr>
              <w:sdtEndPr/>
              <w:sdtContent>
                <w:tc>
                  <w:tcPr>
                    <w:tcW w:w="1707" w:type="pct"/>
                  </w:tcPr>
                  <w:p w14:paraId="28B0ADEA" w14:textId="77777777" w:rsidR="00830E72" w:rsidRDefault="008344D8">
                    <w:pPr>
                      <w:pStyle w:val="Style118"/>
                      <w:ind w:firstLineChars="0" w:firstLine="0"/>
                      <w:rPr>
                        <w:rFonts w:ascii="宋体" w:hAnsi="宋体"/>
                        <w:szCs w:val="21"/>
                      </w:rPr>
                    </w:pPr>
                    <w:r>
                      <w:rPr>
                        <w:rFonts w:ascii="宋体" w:hAnsi="宋体"/>
                        <w:szCs w:val="21"/>
                      </w:rPr>
                      <w:t>销售费用</w:t>
                    </w:r>
                  </w:p>
                </w:tc>
              </w:sdtContent>
            </w:sdt>
            <w:tc>
              <w:tcPr>
                <w:tcW w:w="1176" w:type="pct"/>
              </w:tcPr>
              <w:p w14:paraId="1D0CBA7C" w14:textId="77777777" w:rsidR="00830E72" w:rsidRDefault="008344D8">
                <w:pPr>
                  <w:pStyle w:val="Style118"/>
                  <w:ind w:firstLineChars="0" w:firstLine="0"/>
                  <w:jc w:val="right"/>
                  <w:rPr>
                    <w:rFonts w:ascii="宋体" w:hAnsi="宋体"/>
                    <w:szCs w:val="21"/>
                  </w:rPr>
                </w:pPr>
                <w:r>
                  <w:rPr>
                    <w:rFonts w:ascii="宋体" w:hAnsi="宋体"/>
                    <w:szCs w:val="21"/>
                  </w:rPr>
                  <w:t>10,483,994.98</w:t>
                </w:r>
              </w:p>
            </w:tc>
            <w:tc>
              <w:tcPr>
                <w:tcW w:w="1098" w:type="pct"/>
              </w:tcPr>
              <w:p w14:paraId="0C5ADDAC" w14:textId="77777777" w:rsidR="00830E72" w:rsidRDefault="008344D8">
                <w:pPr>
                  <w:pStyle w:val="Style118"/>
                  <w:ind w:firstLineChars="0" w:firstLine="0"/>
                  <w:jc w:val="right"/>
                  <w:rPr>
                    <w:rFonts w:ascii="宋体" w:hAnsi="宋体"/>
                    <w:szCs w:val="21"/>
                  </w:rPr>
                </w:pPr>
                <w:r>
                  <w:rPr>
                    <w:rFonts w:ascii="宋体" w:hAnsi="宋体"/>
                    <w:szCs w:val="21"/>
                  </w:rPr>
                  <w:t>8,241,718.28</w:t>
                </w:r>
              </w:p>
            </w:tc>
            <w:tc>
              <w:tcPr>
                <w:tcW w:w="1019" w:type="pct"/>
              </w:tcPr>
              <w:p w14:paraId="14F6D2EC" w14:textId="77777777" w:rsidR="00830E72" w:rsidRDefault="008344D8">
                <w:pPr>
                  <w:pStyle w:val="Style118"/>
                  <w:ind w:firstLineChars="0" w:firstLine="0"/>
                  <w:jc w:val="right"/>
                  <w:rPr>
                    <w:rFonts w:ascii="宋体" w:hAnsi="宋体"/>
                    <w:szCs w:val="21"/>
                  </w:rPr>
                </w:pPr>
                <w:r>
                  <w:rPr>
                    <w:rFonts w:ascii="宋体" w:hAnsi="宋体" w:hint="eastAsia"/>
                    <w:szCs w:val="21"/>
                  </w:rPr>
                  <w:t>27.21</w:t>
                </w:r>
              </w:p>
            </w:tc>
          </w:tr>
          <w:tr w:rsidR="00830E72" w14:paraId="5EAF1D01" w14:textId="77777777">
            <w:sdt>
              <w:sdtPr>
                <w:rPr>
                  <w:rFonts w:ascii="宋体" w:hAnsi="宋体"/>
                </w:rPr>
                <w:tag w:val="_PLD_6448b6c19be4461084a37286c6a46673"/>
                <w:id w:val="1307892555"/>
                <w:lock w:val="sdtLocked"/>
              </w:sdtPr>
              <w:sdtEndPr/>
              <w:sdtContent>
                <w:tc>
                  <w:tcPr>
                    <w:tcW w:w="1707" w:type="pct"/>
                  </w:tcPr>
                  <w:p w14:paraId="7DA358BB" w14:textId="77777777" w:rsidR="00830E72" w:rsidRDefault="008344D8">
                    <w:pPr>
                      <w:pStyle w:val="Style118"/>
                      <w:ind w:firstLineChars="0" w:firstLine="0"/>
                      <w:rPr>
                        <w:rFonts w:ascii="宋体" w:hAnsi="宋体"/>
                        <w:szCs w:val="21"/>
                      </w:rPr>
                    </w:pPr>
                    <w:r>
                      <w:rPr>
                        <w:rFonts w:ascii="宋体" w:hAnsi="宋体"/>
                        <w:szCs w:val="21"/>
                      </w:rPr>
                      <w:t>管理费用</w:t>
                    </w:r>
                  </w:p>
                </w:tc>
              </w:sdtContent>
            </w:sdt>
            <w:tc>
              <w:tcPr>
                <w:tcW w:w="1176" w:type="pct"/>
              </w:tcPr>
              <w:p w14:paraId="7E8FF597" w14:textId="77777777" w:rsidR="00830E72" w:rsidRDefault="008344D8">
                <w:pPr>
                  <w:pStyle w:val="Style118"/>
                  <w:ind w:firstLineChars="0" w:firstLine="0"/>
                  <w:jc w:val="right"/>
                  <w:rPr>
                    <w:rFonts w:ascii="宋体" w:hAnsi="宋体"/>
                    <w:szCs w:val="21"/>
                  </w:rPr>
                </w:pPr>
                <w:r>
                  <w:rPr>
                    <w:rFonts w:ascii="宋体" w:hAnsi="宋体"/>
                    <w:szCs w:val="21"/>
                  </w:rPr>
                  <w:t>33,554,145.03</w:t>
                </w:r>
              </w:p>
            </w:tc>
            <w:tc>
              <w:tcPr>
                <w:tcW w:w="1098" w:type="pct"/>
              </w:tcPr>
              <w:p w14:paraId="73CDA534" w14:textId="77777777" w:rsidR="00830E72" w:rsidRDefault="008344D8">
                <w:pPr>
                  <w:pStyle w:val="Style118"/>
                  <w:ind w:firstLineChars="0" w:firstLine="0"/>
                  <w:jc w:val="right"/>
                  <w:rPr>
                    <w:rFonts w:ascii="宋体" w:hAnsi="宋体"/>
                    <w:szCs w:val="21"/>
                  </w:rPr>
                </w:pPr>
                <w:r>
                  <w:rPr>
                    <w:rFonts w:ascii="宋体" w:hAnsi="宋体"/>
                    <w:szCs w:val="21"/>
                  </w:rPr>
                  <w:t>27,814,458.15</w:t>
                </w:r>
              </w:p>
            </w:tc>
            <w:tc>
              <w:tcPr>
                <w:tcW w:w="1019" w:type="pct"/>
              </w:tcPr>
              <w:p w14:paraId="3347A5C4" w14:textId="77777777" w:rsidR="00830E72" w:rsidRDefault="008344D8">
                <w:pPr>
                  <w:pStyle w:val="Style118"/>
                  <w:ind w:firstLineChars="0" w:firstLine="0"/>
                  <w:jc w:val="right"/>
                  <w:rPr>
                    <w:rFonts w:ascii="宋体" w:hAnsi="宋体"/>
                    <w:szCs w:val="21"/>
                  </w:rPr>
                </w:pPr>
                <w:r>
                  <w:rPr>
                    <w:rFonts w:ascii="宋体" w:hAnsi="宋体" w:hint="eastAsia"/>
                    <w:szCs w:val="21"/>
                  </w:rPr>
                  <w:t>20.64</w:t>
                </w:r>
              </w:p>
            </w:tc>
          </w:tr>
          <w:tr w:rsidR="00830E72" w14:paraId="3FA4E582" w14:textId="77777777">
            <w:sdt>
              <w:sdtPr>
                <w:rPr>
                  <w:rFonts w:ascii="宋体" w:hAnsi="宋体"/>
                </w:rPr>
                <w:tag w:val="_PLD_d989f363470245b8a8044d51af95f876"/>
                <w:id w:val="370341881"/>
                <w:lock w:val="sdtLocked"/>
              </w:sdtPr>
              <w:sdtEndPr/>
              <w:sdtContent>
                <w:tc>
                  <w:tcPr>
                    <w:tcW w:w="1707" w:type="pct"/>
                  </w:tcPr>
                  <w:p w14:paraId="7EF8902B" w14:textId="77777777" w:rsidR="00830E72" w:rsidRDefault="008344D8">
                    <w:pPr>
                      <w:pStyle w:val="Style118"/>
                      <w:ind w:firstLineChars="0" w:firstLine="0"/>
                      <w:rPr>
                        <w:rFonts w:ascii="宋体" w:hAnsi="宋体"/>
                        <w:szCs w:val="21"/>
                      </w:rPr>
                    </w:pPr>
                    <w:r>
                      <w:rPr>
                        <w:rFonts w:ascii="宋体" w:hAnsi="宋体"/>
                        <w:szCs w:val="21"/>
                      </w:rPr>
                      <w:t>财务费用</w:t>
                    </w:r>
                  </w:p>
                </w:tc>
              </w:sdtContent>
            </w:sdt>
            <w:tc>
              <w:tcPr>
                <w:tcW w:w="1176" w:type="pct"/>
              </w:tcPr>
              <w:p w14:paraId="20BFB58A" w14:textId="77777777" w:rsidR="00830E72" w:rsidRDefault="008344D8">
                <w:pPr>
                  <w:pStyle w:val="Style118"/>
                  <w:ind w:firstLineChars="0" w:firstLine="0"/>
                  <w:jc w:val="right"/>
                  <w:rPr>
                    <w:rFonts w:ascii="宋体" w:hAnsi="宋体"/>
                    <w:szCs w:val="21"/>
                  </w:rPr>
                </w:pPr>
                <w:r>
                  <w:rPr>
                    <w:rFonts w:ascii="宋体" w:hAnsi="宋体"/>
                    <w:szCs w:val="21"/>
                  </w:rPr>
                  <w:t>32,970,591.62</w:t>
                </w:r>
              </w:p>
            </w:tc>
            <w:tc>
              <w:tcPr>
                <w:tcW w:w="1098" w:type="pct"/>
              </w:tcPr>
              <w:p w14:paraId="75A4229B" w14:textId="77777777" w:rsidR="00830E72" w:rsidRDefault="008344D8">
                <w:pPr>
                  <w:pStyle w:val="Style118"/>
                  <w:ind w:firstLineChars="0" w:firstLine="0"/>
                  <w:jc w:val="right"/>
                  <w:rPr>
                    <w:rFonts w:ascii="宋体" w:hAnsi="宋体"/>
                    <w:szCs w:val="21"/>
                  </w:rPr>
                </w:pPr>
                <w:r>
                  <w:rPr>
                    <w:rFonts w:ascii="宋体" w:hAnsi="宋体"/>
                    <w:szCs w:val="21"/>
                  </w:rPr>
                  <w:t>21,061,053.34</w:t>
                </w:r>
              </w:p>
            </w:tc>
            <w:tc>
              <w:tcPr>
                <w:tcW w:w="1019" w:type="pct"/>
              </w:tcPr>
              <w:p w14:paraId="34D08C58" w14:textId="77777777" w:rsidR="00830E72" w:rsidRDefault="008344D8">
                <w:pPr>
                  <w:pStyle w:val="Style118"/>
                  <w:ind w:firstLineChars="0" w:firstLine="0"/>
                  <w:jc w:val="right"/>
                  <w:rPr>
                    <w:rFonts w:ascii="宋体" w:hAnsi="宋体"/>
                    <w:szCs w:val="21"/>
                  </w:rPr>
                </w:pPr>
                <w:r>
                  <w:rPr>
                    <w:rFonts w:ascii="宋体" w:hAnsi="宋体" w:hint="eastAsia"/>
                    <w:szCs w:val="21"/>
                  </w:rPr>
                  <w:t>56.55</w:t>
                </w:r>
              </w:p>
            </w:tc>
          </w:tr>
          <w:tr w:rsidR="00830E72" w14:paraId="01E1AE18" w14:textId="77777777">
            <w:sdt>
              <w:sdtPr>
                <w:rPr>
                  <w:rFonts w:ascii="宋体" w:hAnsi="宋体"/>
                </w:rPr>
                <w:tag w:val="_PLD_3e652539acb44f708b4f7202c302af4f"/>
                <w:id w:val="1459533610"/>
                <w:lock w:val="sdtLocked"/>
              </w:sdtPr>
              <w:sdtEndPr/>
              <w:sdtContent>
                <w:tc>
                  <w:tcPr>
                    <w:tcW w:w="1707" w:type="pct"/>
                  </w:tcPr>
                  <w:p w14:paraId="34058864" w14:textId="77777777" w:rsidR="00830E72" w:rsidRDefault="008344D8">
                    <w:pPr>
                      <w:pStyle w:val="Style118"/>
                      <w:ind w:firstLineChars="0" w:firstLine="0"/>
                      <w:rPr>
                        <w:rFonts w:ascii="宋体" w:hAnsi="宋体"/>
                        <w:szCs w:val="21"/>
                      </w:rPr>
                    </w:pPr>
                    <w:r>
                      <w:rPr>
                        <w:rFonts w:ascii="宋体" w:hAnsi="宋体"/>
                        <w:szCs w:val="21"/>
                      </w:rPr>
                      <w:t>经营活动产生的现金流量净额</w:t>
                    </w:r>
                  </w:p>
                </w:tc>
              </w:sdtContent>
            </w:sdt>
            <w:tc>
              <w:tcPr>
                <w:tcW w:w="1176" w:type="pct"/>
              </w:tcPr>
              <w:p w14:paraId="534E27D6" w14:textId="77777777" w:rsidR="00830E72" w:rsidRDefault="008344D8">
                <w:pPr>
                  <w:pStyle w:val="Style118"/>
                  <w:ind w:firstLineChars="0" w:firstLine="0"/>
                  <w:jc w:val="right"/>
                  <w:rPr>
                    <w:rFonts w:ascii="宋体" w:hAnsi="宋体"/>
                    <w:szCs w:val="21"/>
                  </w:rPr>
                </w:pPr>
                <w:r>
                  <w:rPr>
                    <w:rFonts w:ascii="宋体" w:hAnsi="宋体"/>
                    <w:szCs w:val="21"/>
                  </w:rPr>
                  <w:t>-314,184,787.80</w:t>
                </w:r>
              </w:p>
            </w:tc>
            <w:tc>
              <w:tcPr>
                <w:tcW w:w="1098" w:type="pct"/>
              </w:tcPr>
              <w:p w14:paraId="785B2FD4" w14:textId="77777777" w:rsidR="00830E72" w:rsidRDefault="008344D8">
                <w:pPr>
                  <w:pStyle w:val="Style118"/>
                  <w:ind w:firstLineChars="0" w:firstLine="0"/>
                  <w:jc w:val="right"/>
                  <w:rPr>
                    <w:rFonts w:ascii="宋体" w:hAnsi="宋体"/>
                    <w:szCs w:val="21"/>
                  </w:rPr>
                </w:pPr>
                <w:r>
                  <w:rPr>
                    <w:rFonts w:ascii="宋体" w:hAnsi="宋体"/>
                    <w:szCs w:val="21"/>
                  </w:rPr>
                  <w:t>-209,030,766.02</w:t>
                </w:r>
              </w:p>
            </w:tc>
            <w:tc>
              <w:tcPr>
                <w:tcW w:w="1019" w:type="pct"/>
              </w:tcPr>
              <w:p w14:paraId="5D46D837" w14:textId="77777777" w:rsidR="00830E72" w:rsidRDefault="008344D8">
                <w:pPr>
                  <w:pStyle w:val="Style118"/>
                  <w:ind w:firstLineChars="0" w:firstLine="0"/>
                  <w:jc w:val="right"/>
                  <w:rPr>
                    <w:rFonts w:ascii="宋体" w:hAnsi="宋体"/>
                    <w:szCs w:val="21"/>
                  </w:rPr>
                </w:pPr>
                <w:r>
                  <w:rPr>
                    <w:rFonts w:ascii="宋体" w:hAnsi="宋体" w:hint="eastAsia"/>
                    <w:szCs w:val="21"/>
                  </w:rPr>
                  <w:t>不适用</w:t>
                </w:r>
              </w:p>
            </w:tc>
          </w:tr>
          <w:tr w:rsidR="00830E72" w14:paraId="535AE50E" w14:textId="77777777">
            <w:sdt>
              <w:sdtPr>
                <w:rPr>
                  <w:rFonts w:ascii="宋体" w:hAnsi="宋体"/>
                </w:rPr>
                <w:tag w:val="_PLD_93331660aee640afb46a84edc7e2d2a4"/>
                <w:id w:val="1948187142"/>
                <w:lock w:val="sdtLocked"/>
              </w:sdtPr>
              <w:sdtEndPr/>
              <w:sdtContent>
                <w:tc>
                  <w:tcPr>
                    <w:tcW w:w="1707" w:type="pct"/>
                  </w:tcPr>
                  <w:p w14:paraId="49E088B7" w14:textId="77777777" w:rsidR="00830E72" w:rsidRDefault="008344D8">
                    <w:pPr>
                      <w:pStyle w:val="Style118"/>
                      <w:ind w:firstLineChars="0" w:firstLine="0"/>
                      <w:rPr>
                        <w:rFonts w:ascii="宋体" w:hAnsi="宋体"/>
                        <w:szCs w:val="21"/>
                      </w:rPr>
                    </w:pPr>
                    <w:r>
                      <w:rPr>
                        <w:rFonts w:ascii="宋体" w:hAnsi="宋体"/>
                        <w:szCs w:val="21"/>
                      </w:rPr>
                      <w:t>投资活动产生的现金流量净额</w:t>
                    </w:r>
                  </w:p>
                </w:tc>
              </w:sdtContent>
            </w:sdt>
            <w:tc>
              <w:tcPr>
                <w:tcW w:w="1176" w:type="pct"/>
              </w:tcPr>
              <w:p w14:paraId="45E99E96" w14:textId="77777777" w:rsidR="00830E72" w:rsidRDefault="008344D8">
                <w:pPr>
                  <w:pStyle w:val="Style118"/>
                  <w:ind w:firstLineChars="0" w:firstLine="0"/>
                  <w:jc w:val="right"/>
                  <w:rPr>
                    <w:rFonts w:ascii="宋体" w:hAnsi="宋体"/>
                    <w:szCs w:val="21"/>
                  </w:rPr>
                </w:pPr>
                <w:r>
                  <w:rPr>
                    <w:rFonts w:ascii="宋体" w:hAnsi="宋体"/>
                    <w:szCs w:val="21"/>
                  </w:rPr>
                  <w:t>1,557,023.41</w:t>
                </w:r>
              </w:p>
            </w:tc>
            <w:tc>
              <w:tcPr>
                <w:tcW w:w="1098" w:type="pct"/>
              </w:tcPr>
              <w:p w14:paraId="2E75C3A0" w14:textId="77777777" w:rsidR="00830E72" w:rsidRDefault="008344D8">
                <w:pPr>
                  <w:pStyle w:val="Style118"/>
                  <w:ind w:firstLineChars="0" w:firstLine="0"/>
                  <w:jc w:val="right"/>
                  <w:rPr>
                    <w:rFonts w:ascii="宋体" w:hAnsi="宋体"/>
                    <w:szCs w:val="21"/>
                  </w:rPr>
                </w:pPr>
                <w:r>
                  <w:rPr>
                    <w:rFonts w:ascii="宋体" w:hAnsi="宋体"/>
                    <w:szCs w:val="21"/>
                  </w:rPr>
                  <w:t>-49,252,169.05</w:t>
                </w:r>
              </w:p>
            </w:tc>
            <w:tc>
              <w:tcPr>
                <w:tcW w:w="1019" w:type="pct"/>
              </w:tcPr>
              <w:p w14:paraId="76DE9083" w14:textId="77777777" w:rsidR="00830E72" w:rsidRDefault="008344D8">
                <w:pPr>
                  <w:pStyle w:val="Style118"/>
                  <w:ind w:firstLineChars="0" w:firstLine="0"/>
                  <w:jc w:val="right"/>
                  <w:rPr>
                    <w:rFonts w:ascii="宋体" w:hAnsi="宋体"/>
                    <w:szCs w:val="21"/>
                  </w:rPr>
                </w:pPr>
                <w:r>
                  <w:rPr>
                    <w:rFonts w:ascii="宋体" w:hAnsi="宋体" w:hint="eastAsia"/>
                    <w:szCs w:val="21"/>
                  </w:rPr>
                  <w:t>不适用</w:t>
                </w:r>
              </w:p>
            </w:tc>
          </w:tr>
          <w:tr w:rsidR="00830E72" w14:paraId="27D14B37" w14:textId="77777777">
            <w:sdt>
              <w:sdtPr>
                <w:rPr>
                  <w:rFonts w:ascii="宋体" w:hAnsi="宋体"/>
                </w:rPr>
                <w:tag w:val="_PLD_8e32eafcb28041f58b5df53597b43172"/>
                <w:id w:val="-1071198186"/>
                <w:lock w:val="sdtLocked"/>
              </w:sdtPr>
              <w:sdtEndPr/>
              <w:sdtContent>
                <w:tc>
                  <w:tcPr>
                    <w:tcW w:w="1707" w:type="pct"/>
                  </w:tcPr>
                  <w:p w14:paraId="6112207A" w14:textId="77777777" w:rsidR="00830E72" w:rsidRDefault="008344D8">
                    <w:pPr>
                      <w:pStyle w:val="Style118"/>
                      <w:ind w:firstLineChars="0" w:firstLine="0"/>
                      <w:rPr>
                        <w:rFonts w:ascii="宋体" w:hAnsi="宋体"/>
                        <w:szCs w:val="21"/>
                      </w:rPr>
                    </w:pPr>
                    <w:r>
                      <w:rPr>
                        <w:rFonts w:ascii="宋体" w:hAnsi="宋体"/>
                        <w:szCs w:val="21"/>
                      </w:rPr>
                      <w:t>筹资活动产生的现金流量净额</w:t>
                    </w:r>
                  </w:p>
                </w:tc>
              </w:sdtContent>
            </w:sdt>
            <w:tc>
              <w:tcPr>
                <w:tcW w:w="1176" w:type="pct"/>
              </w:tcPr>
              <w:p w14:paraId="0F74D2B9" w14:textId="77777777" w:rsidR="00830E72" w:rsidRDefault="008344D8">
                <w:pPr>
                  <w:pStyle w:val="Style118"/>
                  <w:ind w:firstLineChars="0" w:firstLine="0"/>
                  <w:jc w:val="right"/>
                  <w:rPr>
                    <w:rFonts w:ascii="宋体" w:hAnsi="宋体"/>
                    <w:szCs w:val="21"/>
                  </w:rPr>
                </w:pPr>
                <w:r>
                  <w:rPr>
                    <w:rFonts w:ascii="宋体" w:hAnsi="宋体"/>
                    <w:szCs w:val="21"/>
                  </w:rPr>
                  <w:t>853,601,054.35</w:t>
                </w:r>
              </w:p>
            </w:tc>
            <w:tc>
              <w:tcPr>
                <w:tcW w:w="1098" w:type="pct"/>
              </w:tcPr>
              <w:p w14:paraId="0FC4B3FD" w14:textId="77777777" w:rsidR="00830E72" w:rsidRDefault="008344D8">
                <w:pPr>
                  <w:pStyle w:val="Style118"/>
                  <w:ind w:firstLineChars="0" w:firstLine="0"/>
                  <w:jc w:val="right"/>
                  <w:rPr>
                    <w:rFonts w:ascii="宋体" w:hAnsi="宋体"/>
                    <w:szCs w:val="21"/>
                  </w:rPr>
                </w:pPr>
                <w:r>
                  <w:rPr>
                    <w:rFonts w:ascii="宋体" w:hAnsi="宋体"/>
                    <w:szCs w:val="21"/>
                  </w:rPr>
                  <w:t>106,787,672.06</w:t>
                </w:r>
              </w:p>
            </w:tc>
            <w:tc>
              <w:tcPr>
                <w:tcW w:w="1019" w:type="pct"/>
              </w:tcPr>
              <w:p w14:paraId="0839ADE8" w14:textId="77777777" w:rsidR="00830E72" w:rsidRDefault="008344D8">
                <w:pPr>
                  <w:pStyle w:val="Style118"/>
                  <w:ind w:firstLineChars="0" w:firstLine="0"/>
                  <w:jc w:val="right"/>
                  <w:rPr>
                    <w:rFonts w:ascii="宋体" w:hAnsi="宋体"/>
                    <w:szCs w:val="21"/>
                  </w:rPr>
                </w:pPr>
                <w:r>
                  <w:rPr>
                    <w:rFonts w:ascii="宋体" w:hAnsi="宋体" w:hint="eastAsia"/>
                    <w:szCs w:val="21"/>
                  </w:rPr>
                  <w:t>699.34</w:t>
                </w:r>
              </w:p>
            </w:tc>
          </w:tr>
        </w:tbl>
        <w:bookmarkEnd w:id="26"/>
        <w:p w14:paraId="233F3DB8" w14:textId="77777777" w:rsidR="00830E72" w:rsidRDefault="008344D8">
          <w:pPr>
            <w:pStyle w:val="Style118"/>
            <w:ind w:firstLineChars="0" w:firstLine="0"/>
            <w:jc w:val="left"/>
            <w:rPr>
              <w:rFonts w:ascii="宋体" w:hAnsi="宋体"/>
            </w:rPr>
          </w:pPr>
          <w:r>
            <w:rPr>
              <w:rFonts w:ascii="宋体" w:hAnsi="宋体" w:hint="eastAsia"/>
            </w:rPr>
            <w:t>营业收入变动原因说明：</w:t>
          </w:r>
          <w:sdt>
            <w:sdtPr>
              <w:rPr>
                <w:rFonts w:ascii="宋体" w:hAnsi="宋体"/>
                <w:szCs w:val="21"/>
              </w:rPr>
              <w:alias w:val="营业收入变动原因说明"/>
              <w:tag w:val="_GBC_f42c61e6c2ef46fe886ea6ecdd4ea15b"/>
              <w:id w:val="817003362"/>
              <w:lock w:val="sdtLocked"/>
              <w:placeholder>
                <w:docPart w:val="GBC22222222222222222222222222222"/>
              </w:placeholder>
            </w:sdtPr>
            <w:sdtEndPr/>
            <w:sdtContent>
              <w:r>
                <w:rPr>
                  <w:rFonts w:ascii="宋体" w:hAnsi="宋体" w:hint="eastAsia"/>
                  <w:szCs w:val="21"/>
                </w:rPr>
                <w:t>主要系本期完成产值增加所致</w:t>
              </w:r>
            </w:sdtContent>
          </w:sdt>
        </w:p>
        <w:p w14:paraId="4C2F9349" w14:textId="77777777" w:rsidR="00830E72" w:rsidRDefault="008344D8">
          <w:pPr>
            <w:pStyle w:val="Style118"/>
            <w:ind w:firstLineChars="0" w:firstLine="0"/>
            <w:jc w:val="left"/>
            <w:rPr>
              <w:rFonts w:ascii="宋体" w:hAnsi="宋体"/>
            </w:rPr>
          </w:pPr>
          <w:r>
            <w:rPr>
              <w:rFonts w:ascii="宋体" w:hAnsi="宋体" w:hint="eastAsia"/>
            </w:rPr>
            <w:t>营业成本变动原因说明：</w:t>
          </w:r>
          <w:sdt>
            <w:sdtPr>
              <w:rPr>
                <w:rFonts w:ascii="宋体" w:hAnsi="宋体" w:hint="eastAsia"/>
              </w:rPr>
              <w:alias w:val="营业成本变动原因说明"/>
              <w:tag w:val="_GBC_4ab47071f9844da58abe164f6bd272aa"/>
              <w:id w:val="-950017367"/>
              <w:lock w:val="sdtLocked"/>
              <w:placeholder>
                <w:docPart w:val="GBC22222222222222222222222222222"/>
              </w:placeholder>
            </w:sdtPr>
            <w:sdtEndPr/>
            <w:sdtContent>
              <w:r>
                <w:rPr>
                  <w:rFonts w:ascii="宋体" w:hAnsi="宋体" w:hint="eastAsia"/>
                </w:rPr>
                <w:t>主要系本期完成产值增加所致</w:t>
              </w:r>
            </w:sdtContent>
          </w:sdt>
        </w:p>
        <w:p w14:paraId="58323062" w14:textId="77777777" w:rsidR="00830E72" w:rsidRDefault="008344D8">
          <w:pPr>
            <w:pStyle w:val="Style118"/>
            <w:ind w:firstLineChars="0" w:firstLine="0"/>
            <w:jc w:val="left"/>
            <w:rPr>
              <w:rFonts w:ascii="宋体" w:hAnsi="宋体"/>
            </w:rPr>
          </w:pPr>
          <w:r>
            <w:rPr>
              <w:rFonts w:ascii="宋体" w:hAnsi="宋体" w:hint="eastAsia"/>
            </w:rPr>
            <w:t>销售费用变动原因说明：</w:t>
          </w:r>
          <w:sdt>
            <w:sdtPr>
              <w:rPr>
                <w:rFonts w:ascii="宋体" w:hAnsi="宋体" w:hint="eastAsia"/>
              </w:rPr>
              <w:alias w:val="销售费用变动原因说明"/>
              <w:tag w:val="_GBC_d8f3d3236009445ca57b171f1c954fae"/>
              <w:id w:val="1566377393"/>
              <w:lock w:val="sdtLocked"/>
              <w:placeholder>
                <w:docPart w:val="GBC22222222222222222222222222222"/>
              </w:placeholder>
            </w:sdtPr>
            <w:sdtEndPr/>
            <w:sdtContent>
              <w:r>
                <w:rPr>
                  <w:rFonts w:ascii="宋体" w:hAnsi="宋体" w:hint="eastAsia"/>
                </w:rPr>
                <w:t>主要系营销人员工资增加所致</w:t>
              </w:r>
            </w:sdtContent>
          </w:sdt>
        </w:p>
        <w:p w14:paraId="187709C7" w14:textId="77777777" w:rsidR="00830E72" w:rsidRDefault="008344D8">
          <w:pPr>
            <w:pStyle w:val="Style118"/>
            <w:ind w:firstLineChars="0" w:firstLine="0"/>
            <w:jc w:val="left"/>
            <w:rPr>
              <w:rFonts w:ascii="宋体" w:hAnsi="宋体"/>
            </w:rPr>
          </w:pPr>
          <w:r>
            <w:rPr>
              <w:rFonts w:ascii="宋体" w:hAnsi="宋体" w:hint="eastAsia"/>
            </w:rPr>
            <w:t>管理费用变动原因说明：</w:t>
          </w:r>
          <w:sdt>
            <w:sdtPr>
              <w:rPr>
                <w:rFonts w:ascii="宋体" w:hAnsi="宋体" w:hint="eastAsia"/>
              </w:rPr>
              <w:alias w:val="管理费用变动原因说明"/>
              <w:tag w:val="_GBC_13103bbe23ee4770b17eecdee03d38a1"/>
              <w:id w:val="546114432"/>
              <w:lock w:val="sdtLocked"/>
              <w:placeholder>
                <w:docPart w:val="GBC22222222222222222222222222222"/>
              </w:placeholder>
            </w:sdtPr>
            <w:sdtEndPr/>
            <w:sdtContent>
              <w:r>
                <w:rPr>
                  <w:rFonts w:ascii="宋体" w:hAnsi="宋体" w:hint="eastAsia"/>
                </w:rPr>
                <w:t>主要系同期差旅费、工资等增加所致</w:t>
              </w:r>
            </w:sdtContent>
          </w:sdt>
        </w:p>
        <w:p w14:paraId="29BED988" w14:textId="77777777" w:rsidR="00830E72" w:rsidRDefault="008344D8">
          <w:pPr>
            <w:pStyle w:val="Style118"/>
            <w:ind w:firstLineChars="0" w:firstLine="0"/>
            <w:jc w:val="left"/>
            <w:rPr>
              <w:rFonts w:ascii="宋体" w:hAnsi="宋体"/>
            </w:rPr>
          </w:pPr>
          <w:r>
            <w:rPr>
              <w:rFonts w:ascii="宋体" w:hAnsi="宋体" w:hint="eastAsia"/>
            </w:rPr>
            <w:t>财务费用变动原因说明：</w:t>
          </w:r>
          <w:sdt>
            <w:sdtPr>
              <w:rPr>
                <w:rFonts w:ascii="宋体" w:hAnsi="宋体" w:hint="eastAsia"/>
              </w:rPr>
              <w:alias w:val="财务费用变动原因说明"/>
              <w:tag w:val="_GBC_2876360f1d844724b6ba84d6b9756580"/>
              <w:id w:val="-509913914"/>
              <w:lock w:val="sdtLocked"/>
              <w:placeholder>
                <w:docPart w:val="GBC22222222222222222222222222222"/>
              </w:placeholder>
            </w:sdtPr>
            <w:sdtEndPr/>
            <w:sdtContent>
              <w:r>
                <w:rPr>
                  <w:rFonts w:ascii="宋体" w:hAnsi="宋体" w:hint="eastAsia"/>
                </w:rPr>
                <w:t>主要系</w:t>
              </w:r>
              <w:r>
                <w:rPr>
                  <w:rFonts w:ascii="宋体" w:hAnsi="宋体"/>
                </w:rPr>
                <w:t>PPP项目公司融资放款利息费用增加所致</w:t>
              </w:r>
            </w:sdtContent>
          </w:sdt>
        </w:p>
        <w:p w14:paraId="19ABFFC4" w14:textId="77777777" w:rsidR="00830E72" w:rsidRDefault="008344D8">
          <w:pPr>
            <w:pStyle w:val="Style118"/>
            <w:ind w:firstLineChars="0" w:firstLine="0"/>
            <w:jc w:val="left"/>
            <w:rPr>
              <w:rFonts w:ascii="宋体" w:hAnsi="宋体"/>
            </w:rPr>
          </w:pPr>
          <w:r>
            <w:rPr>
              <w:rFonts w:ascii="宋体" w:hAnsi="宋体" w:hint="eastAsia"/>
              <w:szCs w:val="21"/>
            </w:rPr>
            <w:t>经</w:t>
          </w:r>
          <w:r>
            <w:rPr>
              <w:rFonts w:ascii="宋体" w:hAnsi="宋体"/>
              <w:szCs w:val="21"/>
            </w:rPr>
            <w:t>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309323bb8b0046e9bb6afe0231994d50"/>
              <w:id w:val="-643277784"/>
              <w:lock w:val="sdtLocked"/>
              <w:placeholder>
                <w:docPart w:val="GBC22222222222222222222222222222"/>
              </w:placeholder>
            </w:sdtPr>
            <w:sdtEndPr/>
            <w:sdtContent>
              <w:r>
                <w:rPr>
                  <w:rFonts w:ascii="宋体" w:hAnsi="宋体" w:hint="eastAsia"/>
                  <w:szCs w:val="21"/>
                </w:rPr>
                <w:t>主要系</w:t>
              </w:r>
              <w:r>
                <w:rPr>
                  <w:rFonts w:ascii="宋体" w:hAnsi="宋体"/>
                  <w:szCs w:val="21"/>
                </w:rPr>
                <w:t>PPP项目公司投资增加所致</w:t>
              </w:r>
            </w:sdtContent>
          </w:sdt>
        </w:p>
        <w:p w14:paraId="767FAF02" w14:textId="77777777" w:rsidR="00830E72" w:rsidRDefault="008344D8">
          <w:pPr>
            <w:pStyle w:val="Style118"/>
            <w:ind w:firstLineChars="0" w:firstLine="0"/>
            <w:jc w:val="left"/>
            <w:rPr>
              <w:rFonts w:ascii="宋体" w:hAnsi="宋体"/>
            </w:rPr>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981bcb9573814b8080b52fae435fb1b0"/>
              <w:id w:val="-841244487"/>
              <w:lock w:val="sdtLocked"/>
              <w:placeholder>
                <w:docPart w:val="GBC22222222222222222222222222222"/>
              </w:placeholder>
            </w:sdtPr>
            <w:sdtEndPr/>
            <w:sdtContent>
              <w:r>
                <w:rPr>
                  <w:rFonts w:ascii="宋体" w:hAnsi="宋体" w:hint="eastAsia"/>
                  <w:szCs w:val="21"/>
                </w:rPr>
                <w:t>主要系本期理财产品赎回所致</w:t>
              </w:r>
            </w:sdtContent>
          </w:sdt>
        </w:p>
        <w:p w14:paraId="1B69D165" w14:textId="77777777" w:rsidR="00830E72" w:rsidRDefault="008344D8">
          <w:pPr>
            <w:pStyle w:val="Style118"/>
            <w:ind w:firstLineChars="0" w:firstLine="0"/>
            <w:jc w:val="left"/>
            <w:rPr>
              <w:rFonts w:ascii="宋体" w:hAnsi="宋体"/>
            </w:rPr>
          </w:pPr>
          <w:r>
            <w:rPr>
              <w:rFonts w:ascii="宋体" w:hAnsi="宋体"/>
              <w:szCs w:val="21"/>
            </w:rPr>
            <w:lastRenderedPageBreak/>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900a9d8acfac4ec18a35c4034161c13e"/>
              <w:id w:val="-161627104"/>
              <w:lock w:val="sdtLocked"/>
              <w:placeholder>
                <w:docPart w:val="GBC22222222222222222222222222222"/>
              </w:placeholder>
            </w:sdtPr>
            <w:sdtEndPr/>
            <w:sdtContent>
              <w:r>
                <w:rPr>
                  <w:rFonts w:ascii="宋体" w:hAnsi="宋体" w:hint="eastAsia"/>
                  <w:szCs w:val="21"/>
                </w:rPr>
                <w:t>主要系本期非公开发行募集资金增加所致</w:t>
              </w:r>
            </w:sdtContent>
          </w:sdt>
        </w:p>
      </w:sdtContent>
    </w:sdt>
    <w:bookmarkEnd w:id="25" w:displacedByCustomXml="next"/>
    <w:bookmarkStart w:id="27" w:name="_Toc342565903" w:displacedByCustomXml="next"/>
    <w:bookmarkStart w:id="28" w:name="_Toc342559755" w:displacedByCustomXml="next"/>
    <w:sdt>
      <w:sdtPr>
        <w:rPr>
          <w:rFonts w:ascii="宋体" w:hAnsi="宋体" w:cs="宋体"/>
          <w:b w:val="0"/>
          <w:bCs w:val="0"/>
          <w:kern w:val="0"/>
          <w:szCs w:val="24"/>
        </w:rPr>
        <w:alias w:val="模块:公司利润构成或利润来源发生重大变动的详细说明"/>
        <w:tag w:val="_GBC_2346c2f60a0d447bb4e68d1cdeb1ae6e"/>
        <w:id w:val="1664514368"/>
        <w:lock w:val="sdtLocked"/>
        <w:placeholder>
          <w:docPart w:val="GBC22222222222222222222222222222"/>
        </w:placeholder>
      </w:sdtPr>
      <w:sdtEndPr>
        <w:rPr>
          <w:rFonts w:hint="eastAsia"/>
        </w:rPr>
      </w:sdtEndPr>
      <w:sdtContent>
        <w:p w14:paraId="4592D84C" w14:textId="77777777" w:rsidR="00830E72" w:rsidRDefault="008344D8">
          <w:pPr>
            <w:pStyle w:val="Style100"/>
            <w:numPr>
              <w:ilvl w:val="0"/>
              <w:numId w:val="7"/>
            </w:numPr>
            <w:rPr>
              <w:rFonts w:ascii="宋体" w:hAnsi="宋体"/>
            </w:rPr>
          </w:pPr>
          <w:r>
            <w:rPr>
              <w:rFonts w:ascii="宋体" w:hAnsi="宋体" w:hint="eastAsia"/>
            </w:rPr>
            <w:t>本期</w:t>
          </w:r>
          <w:r>
            <w:rPr>
              <w:rFonts w:ascii="宋体" w:hAnsi="宋体"/>
            </w:rPr>
            <w:t>公司</w:t>
          </w:r>
          <w:r>
            <w:rPr>
              <w:rFonts w:ascii="宋体" w:hAnsi="宋体" w:hint="eastAsia"/>
            </w:rPr>
            <w:t>业务类型、</w:t>
          </w:r>
          <w:r>
            <w:rPr>
              <w:rFonts w:ascii="宋体" w:hAnsi="宋体"/>
            </w:rPr>
            <w:t>利润构成或利润来源发生重大变动的详细说明</w:t>
          </w:r>
        </w:p>
        <w:sdt>
          <w:sdtPr>
            <w:alias w:val="是否适用：公司利润构成或利润来源发生重大变动的详细说明[双击切换]"/>
            <w:tag w:val="_GBC_cf62b49cb7b54052a77aa6c4ec7218c8"/>
            <w:id w:val="-186752229"/>
            <w:lock w:val="sdtContentLocked"/>
            <w:placeholder>
              <w:docPart w:val="GBC22222222222222222222222222222"/>
            </w:placeholder>
          </w:sdtPr>
          <w:sdtEndPr/>
          <w:sdtContent>
            <w:p w14:paraId="2D80B5D3"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DCC2DCE" w14:textId="77777777" w:rsidR="00830E72" w:rsidRDefault="00D44830"/>
      </w:sdtContent>
    </w:sdt>
    <w:sdt>
      <w:sdtPr>
        <w:rPr>
          <w:rFonts w:ascii="宋体" w:hAnsi="宋体" w:cs="宋体" w:hint="eastAsia"/>
          <w:b w:val="0"/>
          <w:bCs w:val="0"/>
          <w:kern w:val="0"/>
          <w:szCs w:val="24"/>
        </w:rPr>
        <w:alias w:val="模块:非主营业务导致利润重大变化的说明"/>
        <w:tag w:val="_SEC_8eca3e31ebef41f0bccb8c1e5fae0579"/>
        <w:id w:val="107942420"/>
        <w:lock w:val="sdtLocked"/>
        <w:placeholder>
          <w:docPart w:val="GBC22222222222222222222222222222"/>
        </w:placeholder>
      </w:sdtPr>
      <w:sdtEndPr/>
      <w:sdtContent>
        <w:p w14:paraId="5D05FC9E" w14:textId="77777777" w:rsidR="00830E72" w:rsidRDefault="008344D8">
          <w:pPr>
            <w:pStyle w:val="Style99"/>
            <w:numPr>
              <w:ilvl w:val="0"/>
              <w:numId w:val="6"/>
            </w:numPr>
            <w:rPr>
              <w:rFonts w:ascii="宋体" w:hAnsi="宋体"/>
            </w:rPr>
          </w:pPr>
          <w:r>
            <w:rPr>
              <w:rFonts w:ascii="宋体" w:hAnsi="宋体"/>
            </w:rPr>
            <w:t>非主营业务导致利润重大变化的说明</w:t>
          </w:r>
        </w:p>
        <w:sdt>
          <w:sdtPr>
            <w:rPr>
              <w:rFonts w:hint="eastAsia"/>
            </w:rPr>
            <w:alias w:val="是否适用：非主营业务来源分析[双击切换]"/>
            <w:tag w:val="_GBC_45f0580c6f114551af0270412b25ccd0"/>
            <w:id w:val="-819805528"/>
            <w:lock w:val="sdtContentLocked"/>
            <w:placeholder>
              <w:docPart w:val="GBC22222222222222222222222222222"/>
            </w:placeholder>
          </w:sdtPr>
          <w:sdtEndPr/>
          <w:sdtContent>
            <w:p w14:paraId="49B92FDC"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06DEB6E" w14:textId="77777777" w:rsidR="00830E72" w:rsidRDefault="00830E72">
      <w:pPr>
        <w:sectPr w:rsidR="00830E72">
          <w:pgSz w:w="11906" w:h="16838"/>
          <w:pgMar w:top="1525" w:right="1276" w:bottom="1440" w:left="1797" w:header="851" w:footer="992" w:gutter="0"/>
          <w:cols w:space="425"/>
          <w:docGrid w:linePitch="312"/>
        </w:sectPr>
      </w:pPr>
    </w:p>
    <w:p w14:paraId="73EDB300" w14:textId="77777777" w:rsidR="00830E72" w:rsidRDefault="00830E72"/>
    <w:p w14:paraId="00F8F141" w14:textId="77777777" w:rsidR="00830E72" w:rsidRDefault="008344D8">
      <w:pPr>
        <w:pStyle w:val="Style99"/>
        <w:numPr>
          <w:ilvl w:val="0"/>
          <w:numId w:val="6"/>
        </w:numPr>
        <w:rPr>
          <w:rFonts w:ascii="宋体" w:hAnsi="宋体"/>
          <w:szCs w:val="21"/>
        </w:rPr>
      </w:pPr>
      <w:r>
        <w:rPr>
          <w:rFonts w:ascii="宋体" w:hAnsi="宋体"/>
          <w:szCs w:val="21"/>
        </w:rPr>
        <w:t>资产、负债情况分析</w:t>
      </w:r>
    </w:p>
    <w:p w14:paraId="694BED9A" w14:textId="77777777" w:rsidR="00830E72" w:rsidRDefault="00D44830">
      <w:sdt>
        <w:sdtPr>
          <w:rPr>
            <w:rFonts w:hint="eastAsia"/>
          </w:rPr>
          <w:alias w:val="是否适用：资产、负债情况分析[双击切换]"/>
          <w:tag w:val="_GBC_7e768f46f428417e8696bff3cfaf9902"/>
          <w:id w:val="1159813769"/>
          <w:lock w:val="sdtContentLocked"/>
          <w:placeholder>
            <w:docPart w:val="GBC22222222222222222222222222222"/>
          </w:placeholder>
        </w:sdtPr>
        <w:sdtEndPr/>
        <w:sdtContent>
          <w:r w:rsidR="008344D8">
            <w:fldChar w:fldCharType="begin"/>
          </w:r>
          <w:r w:rsidR="008344D8">
            <w:instrText xml:space="preserve"> MACROBUTTON  SnrToggleCheckbox √适用 </w:instrText>
          </w:r>
          <w:r w:rsidR="008344D8">
            <w:fldChar w:fldCharType="end"/>
          </w:r>
          <w:r w:rsidR="008344D8">
            <w:fldChar w:fldCharType="begin"/>
          </w:r>
          <w:r w:rsidR="008344D8">
            <w:instrText xml:space="preserve"> MACROBUTTON  SnrToggleCheckbox □不适用 </w:instrText>
          </w:r>
          <w:r w:rsidR="008344D8">
            <w:fldChar w:fldCharType="end"/>
          </w:r>
        </w:sdtContent>
      </w:sdt>
    </w:p>
    <w:bookmarkStart w:id="29" w:name="_Hlk74730011" w:displacedByCustomXml="next"/>
    <w:sdt>
      <w:sdtPr>
        <w:rPr>
          <w:rFonts w:ascii="宋体" w:hAnsi="宋体" w:cs="宋体"/>
          <w:b w:val="0"/>
          <w:bCs w:val="0"/>
          <w:kern w:val="0"/>
          <w:szCs w:val="21"/>
        </w:rPr>
        <w:alias w:val="模块:资产负债情况分析表"/>
        <w:tag w:val="_SEC_6223798588db4238825d68a423f52705"/>
        <w:id w:val="358012727"/>
        <w:lock w:val="sdtLocked"/>
        <w:placeholder>
          <w:docPart w:val="GBC22222222222222222222222222222"/>
        </w:placeholder>
      </w:sdtPr>
      <w:sdtEndPr/>
      <w:sdtContent>
        <w:p w14:paraId="20E7267B" w14:textId="77777777" w:rsidR="00830E72" w:rsidRDefault="008344D8">
          <w:pPr>
            <w:pStyle w:val="Style100"/>
            <w:numPr>
              <w:ilvl w:val="0"/>
              <w:numId w:val="8"/>
            </w:numPr>
            <w:rPr>
              <w:rFonts w:ascii="宋体" w:hAnsi="宋体"/>
              <w:b w:val="0"/>
            </w:rPr>
          </w:pPr>
          <w:r>
            <w:rPr>
              <w:rFonts w:ascii="宋体" w:hAnsi="宋体"/>
            </w:rPr>
            <w:t>资产</w:t>
          </w:r>
          <w:r>
            <w:rPr>
              <w:rFonts w:ascii="宋体" w:hAnsi="宋体" w:hint="eastAsia"/>
            </w:rPr>
            <w:t>及</w:t>
          </w:r>
          <w:r>
            <w:rPr>
              <w:rFonts w:ascii="宋体" w:hAnsi="宋体"/>
            </w:rPr>
            <w:t>负债</w:t>
          </w:r>
          <w:r>
            <w:rPr>
              <w:rFonts w:ascii="宋体" w:hAnsi="宋体" w:hint="eastAsia"/>
              <w:szCs w:val="21"/>
            </w:rPr>
            <w:t>状</w:t>
          </w:r>
          <w:r>
            <w:rPr>
              <w:rFonts w:ascii="宋体" w:hAnsi="宋体"/>
              <w:szCs w:val="21"/>
            </w:rPr>
            <w:t>况</w:t>
          </w:r>
        </w:p>
        <w:p w14:paraId="5EBC1373" w14:textId="77777777" w:rsidR="00830E72" w:rsidRDefault="008344D8">
          <w:pPr>
            <w:jc w:val="right"/>
            <w:rPr>
              <w:szCs w:val="21"/>
            </w:rPr>
          </w:pPr>
          <w:r>
            <w:rPr>
              <w:rFonts w:hint="eastAsia"/>
              <w:szCs w:val="21"/>
            </w:rPr>
            <w:t>单位：</w:t>
          </w:r>
          <w:sdt>
            <w:sdtPr>
              <w:rPr>
                <w:rFonts w:hint="eastAsia"/>
                <w:szCs w:val="21"/>
              </w:rPr>
              <w:alias w:val="单位：资产负债状况分析"/>
              <w:tag w:val="_GBC_21de4e2184d94baf8e19137a1d0d5b74"/>
              <w:id w:val="-2353922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p>
        <w:tbl>
          <w:tblPr>
            <w:tblStyle w:val="g2"/>
            <w:tblW w:w="5000" w:type="pct"/>
            <w:tblLayout w:type="fixed"/>
            <w:tblLook w:val="04A0" w:firstRow="1" w:lastRow="0" w:firstColumn="1" w:lastColumn="0" w:noHBand="0" w:noVBand="1"/>
          </w:tblPr>
          <w:tblGrid>
            <w:gridCol w:w="1527"/>
            <w:gridCol w:w="2215"/>
            <w:gridCol w:w="1296"/>
            <w:gridCol w:w="1727"/>
            <w:gridCol w:w="1440"/>
            <w:gridCol w:w="1299"/>
            <w:gridCol w:w="4585"/>
          </w:tblGrid>
          <w:tr w:rsidR="00830E72" w14:paraId="63A99122" w14:textId="77777777">
            <w:trPr>
              <w:trHeight w:val="180"/>
            </w:trPr>
            <w:sdt>
              <w:sdtPr>
                <w:rPr>
                  <w:rFonts w:asciiTheme="minorEastAsia" w:hAnsiTheme="minorEastAsia"/>
                </w:rPr>
                <w:tag w:val="_PLD_d0f356a255cd4ad2a1d809f43b17afe4"/>
                <w:id w:val="212318674"/>
                <w:lock w:val="sdtLocked"/>
              </w:sdtPr>
              <w:sdtEndPr/>
              <w:sdtContent>
                <w:tc>
                  <w:tcPr>
                    <w:tcW w:w="542" w:type="pct"/>
                    <w:vAlign w:val="center"/>
                  </w:tcPr>
                  <w:p w14:paraId="704309A7" w14:textId="77777777" w:rsidR="00830E72" w:rsidRDefault="008344D8">
                    <w:pPr>
                      <w:jc w:val="center"/>
                      <w:rPr>
                        <w:rStyle w:val="5Char1"/>
                        <w:rFonts w:asciiTheme="minorEastAsia" w:eastAsiaTheme="minorEastAsia" w:hAnsiTheme="minorEastAsia"/>
                        <w:b w:val="0"/>
                        <w:bCs w:val="0"/>
                      </w:rPr>
                    </w:pPr>
                    <w:r>
                      <w:rPr>
                        <w:rFonts w:asciiTheme="minorEastAsia" w:eastAsiaTheme="minorEastAsia" w:hAnsiTheme="minorEastAsia"/>
                        <w:szCs w:val="21"/>
                      </w:rPr>
                      <w:t>项目名称</w:t>
                    </w:r>
                  </w:p>
                </w:tc>
              </w:sdtContent>
            </w:sdt>
            <w:sdt>
              <w:sdtPr>
                <w:rPr>
                  <w:rFonts w:asciiTheme="minorEastAsia" w:hAnsiTheme="minorEastAsia"/>
                </w:rPr>
                <w:tag w:val="_PLD_908740cf286747d79d5abbe407fef2b5"/>
                <w:id w:val="1072079637"/>
                <w:lock w:val="sdtLocked"/>
              </w:sdtPr>
              <w:sdtEndPr/>
              <w:sdtContent>
                <w:tc>
                  <w:tcPr>
                    <w:tcW w:w="786" w:type="pct"/>
                    <w:vAlign w:val="center"/>
                  </w:tcPr>
                  <w:p w14:paraId="56D63491" w14:textId="77777777" w:rsidR="00830E72" w:rsidRDefault="008344D8">
                    <w:pPr>
                      <w:jc w:val="center"/>
                      <w:rPr>
                        <w:rStyle w:val="5Char1"/>
                        <w:rFonts w:asciiTheme="minorEastAsia" w:eastAsiaTheme="minorEastAsia" w:hAnsiTheme="minorEastAsia"/>
                        <w:b w:val="0"/>
                        <w:bCs w:val="0"/>
                      </w:rPr>
                    </w:pPr>
                    <w:r>
                      <w:rPr>
                        <w:rFonts w:asciiTheme="minorEastAsia" w:eastAsiaTheme="minorEastAsia" w:hAnsiTheme="minorEastAsia"/>
                        <w:szCs w:val="21"/>
                      </w:rPr>
                      <w:t>本期期末数</w:t>
                    </w:r>
                  </w:p>
                </w:tc>
              </w:sdtContent>
            </w:sdt>
            <w:sdt>
              <w:sdtPr>
                <w:rPr>
                  <w:rFonts w:asciiTheme="minorEastAsia" w:hAnsiTheme="minorEastAsia"/>
                </w:rPr>
                <w:tag w:val="_PLD_329bbbc9fa484c0990e705c4343b8bd2"/>
                <w:id w:val="-1967644582"/>
                <w:lock w:val="sdtLocked"/>
              </w:sdtPr>
              <w:sdtEndPr/>
              <w:sdtContent>
                <w:tc>
                  <w:tcPr>
                    <w:tcW w:w="460" w:type="pct"/>
                    <w:vAlign w:val="center"/>
                  </w:tcPr>
                  <w:p w14:paraId="72AB83E7" w14:textId="77777777" w:rsidR="00830E72" w:rsidRDefault="008344D8">
                    <w:pPr>
                      <w:jc w:val="center"/>
                      <w:rPr>
                        <w:rStyle w:val="5Char1"/>
                        <w:rFonts w:asciiTheme="minorEastAsia" w:eastAsiaTheme="minorEastAsia" w:hAnsiTheme="minorEastAsia"/>
                        <w:b w:val="0"/>
                        <w:bCs w:val="0"/>
                      </w:rPr>
                    </w:pPr>
                    <w:r>
                      <w:rPr>
                        <w:rFonts w:asciiTheme="minorEastAsia" w:eastAsiaTheme="minorEastAsia" w:hAnsiTheme="minorEastAsia"/>
                        <w:szCs w:val="21"/>
                      </w:rPr>
                      <w:t>本期期末数占总资产的比例（%）</w:t>
                    </w:r>
                  </w:p>
                </w:tc>
              </w:sdtContent>
            </w:sdt>
            <w:sdt>
              <w:sdtPr>
                <w:rPr>
                  <w:rFonts w:asciiTheme="minorEastAsia" w:hAnsiTheme="minorEastAsia"/>
                </w:rPr>
                <w:tag w:val="_PLD_56ec8d815a204f39816e77d18cf2ac7e"/>
                <w:id w:val="-1429655009"/>
                <w:lock w:val="sdtLocked"/>
              </w:sdtPr>
              <w:sdtEndPr/>
              <w:sdtContent>
                <w:tc>
                  <w:tcPr>
                    <w:tcW w:w="613" w:type="pct"/>
                    <w:vAlign w:val="center"/>
                  </w:tcPr>
                  <w:p w14:paraId="38F01DF8" w14:textId="77777777" w:rsidR="00830E72" w:rsidRDefault="008344D8">
                    <w:pPr>
                      <w:jc w:val="center"/>
                      <w:rPr>
                        <w:rStyle w:val="5Char1"/>
                        <w:rFonts w:asciiTheme="minorEastAsia" w:eastAsiaTheme="minorEastAsia" w:hAnsiTheme="minorEastAsia"/>
                        <w:b w:val="0"/>
                        <w:bCs w:val="0"/>
                      </w:rPr>
                    </w:pPr>
                    <w:r>
                      <w:rPr>
                        <w:rFonts w:asciiTheme="minorEastAsia" w:eastAsiaTheme="minorEastAsia" w:hAnsiTheme="minorEastAsia"/>
                        <w:szCs w:val="21"/>
                      </w:rPr>
                      <w:t>上</w:t>
                    </w:r>
                    <w:r>
                      <w:rPr>
                        <w:rFonts w:asciiTheme="minorEastAsia" w:eastAsiaTheme="minorEastAsia" w:hAnsiTheme="minorEastAsia" w:hint="eastAsia"/>
                        <w:szCs w:val="21"/>
                      </w:rPr>
                      <w:t>年</w:t>
                    </w:r>
                    <w:r>
                      <w:rPr>
                        <w:rFonts w:asciiTheme="minorEastAsia" w:eastAsiaTheme="minorEastAsia" w:hAnsiTheme="minorEastAsia"/>
                        <w:szCs w:val="21"/>
                      </w:rPr>
                      <w:t>期末数</w:t>
                    </w:r>
                  </w:p>
                </w:tc>
              </w:sdtContent>
            </w:sdt>
            <w:sdt>
              <w:sdtPr>
                <w:rPr>
                  <w:rFonts w:asciiTheme="minorEastAsia" w:hAnsiTheme="minorEastAsia"/>
                </w:rPr>
                <w:tag w:val="_PLD_4bc2806364aa476db7b5ac96d585ad18"/>
                <w:id w:val="-1849932597"/>
                <w:lock w:val="sdtLocked"/>
              </w:sdtPr>
              <w:sdtEndPr/>
              <w:sdtContent>
                <w:tc>
                  <w:tcPr>
                    <w:tcW w:w="511" w:type="pct"/>
                    <w:vAlign w:val="center"/>
                  </w:tcPr>
                  <w:p w14:paraId="6EBA800B" w14:textId="77777777" w:rsidR="00830E72" w:rsidRDefault="008344D8">
                    <w:pPr>
                      <w:jc w:val="center"/>
                      <w:rPr>
                        <w:rStyle w:val="5Char1"/>
                        <w:rFonts w:asciiTheme="minorEastAsia" w:eastAsiaTheme="minorEastAsia" w:hAnsiTheme="minorEastAsia"/>
                        <w:b w:val="0"/>
                        <w:bCs w:val="0"/>
                      </w:rPr>
                    </w:pPr>
                    <w:r>
                      <w:rPr>
                        <w:rFonts w:asciiTheme="minorEastAsia" w:eastAsiaTheme="minorEastAsia" w:hAnsiTheme="minorEastAsia"/>
                        <w:szCs w:val="21"/>
                      </w:rPr>
                      <w:t>上</w:t>
                    </w:r>
                    <w:r>
                      <w:rPr>
                        <w:rFonts w:asciiTheme="minorEastAsia" w:eastAsiaTheme="minorEastAsia" w:hAnsiTheme="minorEastAsia" w:hint="eastAsia"/>
                        <w:szCs w:val="21"/>
                      </w:rPr>
                      <w:t>年</w:t>
                    </w:r>
                    <w:r>
                      <w:rPr>
                        <w:rFonts w:asciiTheme="minorEastAsia" w:eastAsiaTheme="minorEastAsia" w:hAnsiTheme="minorEastAsia"/>
                        <w:szCs w:val="21"/>
                      </w:rPr>
                      <w:t>期末数占总资产的比例（%）</w:t>
                    </w:r>
                  </w:p>
                </w:tc>
              </w:sdtContent>
            </w:sdt>
            <w:sdt>
              <w:sdtPr>
                <w:rPr>
                  <w:rFonts w:asciiTheme="minorEastAsia" w:hAnsiTheme="minorEastAsia"/>
                </w:rPr>
                <w:tag w:val="_PLD_4cfcbfaae8d94f2d87cb33b122df7a82"/>
                <w:id w:val="1401487582"/>
                <w:lock w:val="sdtLocked"/>
              </w:sdtPr>
              <w:sdtEndPr/>
              <w:sdtContent>
                <w:tc>
                  <w:tcPr>
                    <w:tcW w:w="461" w:type="pct"/>
                    <w:vAlign w:val="center"/>
                  </w:tcPr>
                  <w:p w14:paraId="03CF14BE" w14:textId="77777777" w:rsidR="00830E72" w:rsidRDefault="008344D8">
                    <w:pPr>
                      <w:jc w:val="center"/>
                      <w:rPr>
                        <w:rStyle w:val="5Char1"/>
                        <w:rFonts w:asciiTheme="minorEastAsia" w:eastAsiaTheme="minorEastAsia" w:hAnsiTheme="minorEastAsia"/>
                        <w:b w:val="0"/>
                        <w:bCs w:val="0"/>
                      </w:rPr>
                    </w:pPr>
                    <w:r>
                      <w:rPr>
                        <w:rFonts w:asciiTheme="minorEastAsia" w:eastAsiaTheme="minorEastAsia" w:hAnsiTheme="minorEastAsia"/>
                        <w:szCs w:val="21"/>
                      </w:rPr>
                      <w:t>本期期末金额较上</w:t>
                    </w:r>
                    <w:r>
                      <w:rPr>
                        <w:rFonts w:asciiTheme="minorEastAsia" w:eastAsiaTheme="minorEastAsia" w:hAnsiTheme="minorEastAsia" w:hint="eastAsia"/>
                        <w:szCs w:val="21"/>
                      </w:rPr>
                      <w:t>年</w:t>
                    </w:r>
                    <w:r>
                      <w:rPr>
                        <w:rFonts w:asciiTheme="minorEastAsia" w:eastAsiaTheme="minorEastAsia" w:hAnsiTheme="minorEastAsia"/>
                        <w:szCs w:val="21"/>
                      </w:rPr>
                      <w:t>期末变动比例（%）</w:t>
                    </w:r>
                  </w:p>
                </w:tc>
              </w:sdtContent>
            </w:sdt>
            <w:sdt>
              <w:sdtPr>
                <w:rPr>
                  <w:rFonts w:asciiTheme="minorEastAsia" w:hAnsiTheme="minorEastAsia"/>
                </w:rPr>
                <w:tag w:val="_PLD_2acc4b359fa846d5bfb9939daf2ce46b"/>
                <w:id w:val="-686523201"/>
                <w:lock w:val="sdtLocked"/>
              </w:sdtPr>
              <w:sdtEndPr/>
              <w:sdtContent>
                <w:tc>
                  <w:tcPr>
                    <w:tcW w:w="1627" w:type="pct"/>
                    <w:vAlign w:val="center"/>
                  </w:tcPr>
                  <w:p w14:paraId="3A5B827C" w14:textId="77777777" w:rsidR="00830E72" w:rsidRDefault="008344D8">
                    <w:pPr>
                      <w:jc w:val="center"/>
                      <w:rPr>
                        <w:rStyle w:val="5Char1"/>
                        <w:rFonts w:asciiTheme="minorEastAsia" w:eastAsiaTheme="minorEastAsia" w:hAnsiTheme="minorEastAsia"/>
                        <w:b w:val="0"/>
                        <w:bCs w:val="0"/>
                      </w:rPr>
                    </w:pPr>
                    <w:r>
                      <w:rPr>
                        <w:rFonts w:asciiTheme="minorEastAsia" w:eastAsiaTheme="minorEastAsia" w:hAnsiTheme="minorEastAsia"/>
                        <w:szCs w:val="21"/>
                      </w:rPr>
                      <w:t>情况说明</w:t>
                    </w:r>
                  </w:p>
                </w:tc>
              </w:sdtContent>
            </w:sdt>
          </w:tr>
          <w:tr w:rsidR="00830E72" w14:paraId="4B2003BC" w14:textId="77777777">
            <w:trPr>
              <w:trHeight w:val="135"/>
            </w:trPr>
            <w:sdt>
              <w:sdtPr>
                <w:rPr>
                  <w:rStyle w:val="5Char1"/>
                  <w:rFonts w:asciiTheme="minorEastAsia" w:hAnsiTheme="minorEastAsia" w:hint="eastAsia"/>
                  <w:b w:val="0"/>
                  <w:bCs w:val="0"/>
                </w:rPr>
                <w:tag w:val="_PLD_bd805733abd642d4a46b9e17e286e064"/>
                <w:id w:val="-1204550487"/>
                <w:lock w:val="sdtLocked"/>
              </w:sdtPr>
              <w:sdtEndPr>
                <w:rPr>
                  <w:rStyle w:val="5Char1"/>
                </w:rPr>
              </w:sdtEndPr>
              <w:sdtContent>
                <w:tc>
                  <w:tcPr>
                    <w:tcW w:w="542" w:type="pct"/>
                    <w:vAlign w:val="center"/>
                  </w:tcPr>
                  <w:p w14:paraId="7B31A721"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货币资金</w:t>
                    </w:r>
                  </w:p>
                </w:tc>
              </w:sdtContent>
            </w:sdt>
            <w:tc>
              <w:tcPr>
                <w:tcW w:w="786" w:type="pct"/>
                <w:vAlign w:val="center"/>
              </w:tcPr>
              <w:p w14:paraId="3AE59EC4"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1,307,504,916.50</w:t>
                </w:r>
              </w:p>
            </w:tc>
            <w:tc>
              <w:tcPr>
                <w:tcW w:w="460" w:type="pct"/>
                <w:vAlign w:val="center"/>
              </w:tcPr>
              <w:p w14:paraId="16088FC2"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20.21</w:t>
                </w:r>
              </w:p>
            </w:tc>
            <w:tc>
              <w:tcPr>
                <w:tcW w:w="613" w:type="pct"/>
                <w:vAlign w:val="center"/>
              </w:tcPr>
              <w:p w14:paraId="617FD50C"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799,237,358.79</w:t>
                </w:r>
              </w:p>
            </w:tc>
            <w:tc>
              <w:tcPr>
                <w:tcW w:w="511" w:type="pct"/>
                <w:vAlign w:val="center"/>
              </w:tcPr>
              <w:p w14:paraId="001D29D2"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14.60</w:t>
                </w:r>
              </w:p>
            </w:tc>
            <w:tc>
              <w:tcPr>
                <w:tcW w:w="461" w:type="pct"/>
                <w:vAlign w:val="center"/>
              </w:tcPr>
              <w:p w14:paraId="79DA0573"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63.59</w:t>
                </w:r>
              </w:p>
            </w:tc>
            <w:tc>
              <w:tcPr>
                <w:tcW w:w="1627" w:type="pct"/>
                <w:vAlign w:val="center"/>
              </w:tcPr>
              <w:p w14:paraId="3C0FF468"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主要系非公开发行募集资金增加所致</w:t>
                </w:r>
              </w:p>
            </w:tc>
          </w:tr>
          <w:tr w:rsidR="00830E72" w14:paraId="241DF648" w14:textId="77777777">
            <w:trPr>
              <w:trHeight w:val="135"/>
            </w:trPr>
            <w:sdt>
              <w:sdtPr>
                <w:rPr>
                  <w:rStyle w:val="5Char1"/>
                  <w:rFonts w:asciiTheme="minorEastAsia" w:hAnsiTheme="minorEastAsia" w:hint="eastAsia"/>
                  <w:b w:val="0"/>
                  <w:bCs w:val="0"/>
                </w:rPr>
                <w:tag w:val="_PLD_f58ed2d3d971460783470a9da569cb76"/>
                <w:id w:val="-1950768107"/>
                <w:lock w:val="sdtLocked"/>
              </w:sdtPr>
              <w:sdtEndPr>
                <w:rPr>
                  <w:rStyle w:val="5Char1"/>
                </w:rPr>
              </w:sdtEndPr>
              <w:sdtContent>
                <w:tc>
                  <w:tcPr>
                    <w:tcW w:w="542" w:type="pct"/>
                    <w:vAlign w:val="center"/>
                  </w:tcPr>
                  <w:p w14:paraId="263C27DA"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存货</w:t>
                    </w:r>
                  </w:p>
                </w:tc>
              </w:sdtContent>
            </w:sdt>
            <w:tc>
              <w:tcPr>
                <w:tcW w:w="786" w:type="pct"/>
                <w:vAlign w:val="center"/>
              </w:tcPr>
              <w:p w14:paraId="6CD1A6E4"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37,026,836.76</w:t>
                </w:r>
              </w:p>
            </w:tc>
            <w:tc>
              <w:tcPr>
                <w:tcW w:w="460" w:type="pct"/>
                <w:vAlign w:val="center"/>
              </w:tcPr>
              <w:p w14:paraId="41FC6AB8"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0.57</w:t>
                </w:r>
              </w:p>
            </w:tc>
            <w:tc>
              <w:tcPr>
                <w:tcW w:w="613" w:type="pct"/>
                <w:vAlign w:val="center"/>
              </w:tcPr>
              <w:p w14:paraId="0B96F248"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26,375,000.46</w:t>
                </w:r>
              </w:p>
            </w:tc>
            <w:tc>
              <w:tcPr>
                <w:tcW w:w="511" w:type="pct"/>
                <w:vAlign w:val="center"/>
              </w:tcPr>
              <w:p w14:paraId="38D97B0A"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0.48</w:t>
                </w:r>
              </w:p>
            </w:tc>
            <w:tc>
              <w:tcPr>
                <w:tcW w:w="461" w:type="pct"/>
                <w:vAlign w:val="center"/>
              </w:tcPr>
              <w:p w14:paraId="0A520208"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40.39</w:t>
                </w:r>
              </w:p>
            </w:tc>
            <w:tc>
              <w:tcPr>
                <w:tcW w:w="1627" w:type="pct"/>
                <w:vAlign w:val="center"/>
              </w:tcPr>
              <w:p w14:paraId="0724A6C1"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主要系期末库存原材料增加所致</w:t>
                </w:r>
              </w:p>
            </w:tc>
          </w:tr>
          <w:tr w:rsidR="00830E72" w14:paraId="51EBB8F0" w14:textId="77777777">
            <w:trPr>
              <w:trHeight w:val="135"/>
            </w:trPr>
            <w:tc>
              <w:tcPr>
                <w:tcW w:w="542" w:type="pct"/>
                <w:vAlign w:val="center"/>
              </w:tcPr>
              <w:sdt>
                <w:sdtPr>
                  <w:rPr>
                    <w:rStyle w:val="5Char1"/>
                    <w:rFonts w:asciiTheme="minorEastAsia" w:hAnsiTheme="minorEastAsia" w:hint="eastAsia"/>
                    <w:b w:val="0"/>
                    <w:bCs w:val="0"/>
                  </w:rPr>
                  <w:tag w:val="_PLD_57663922a6a24b4b85c3301d559203fe"/>
                  <w:id w:val="867413065"/>
                  <w:lock w:val="sdtLocked"/>
                </w:sdtPr>
                <w:sdtEndPr>
                  <w:rPr>
                    <w:rStyle w:val="5Char1"/>
                  </w:rPr>
                </w:sdtEndPr>
                <w:sdtContent>
                  <w:p w14:paraId="2C7DFC87"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合同资产</w:t>
                    </w:r>
                  </w:p>
                </w:sdtContent>
              </w:sdt>
            </w:tc>
            <w:tc>
              <w:tcPr>
                <w:tcW w:w="786" w:type="pct"/>
                <w:vAlign w:val="center"/>
              </w:tcPr>
              <w:p w14:paraId="784D8EBF"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996,854,998.42</w:t>
                </w:r>
              </w:p>
            </w:tc>
            <w:tc>
              <w:tcPr>
                <w:tcW w:w="460" w:type="pct"/>
                <w:vAlign w:val="center"/>
              </w:tcPr>
              <w:p w14:paraId="526A2F12"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15.41</w:t>
                </w:r>
              </w:p>
            </w:tc>
            <w:tc>
              <w:tcPr>
                <w:tcW w:w="613" w:type="pct"/>
                <w:vAlign w:val="center"/>
              </w:tcPr>
              <w:p w14:paraId="4E9C9EC7"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702,386,607.61</w:t>
                </w:r>
              </w:p>
            </w:tc>
            <w:tc>
              <w:tcPr>
                <w:tcW w:w="511" w:type="pct"/>
                <w:vAlign w:val="center"/>
              </w:tcPr>
              <w:p w14:paraId="69841EF1"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12.83</w:t>
                </w:r>
              </w:p>
            </w:tc>
            <w:tc>
              <w:tcPr>
                <w:tcW w:w="461" w:type="pct"/>
                <w:vAlign w:val="center"/>
              </w:tcPr>
              <w:p w14:paraId="0CA3FDEA"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41.92</w:t>
                </w:r>
              </w:p>
            </w:tc>
            <w:tc>
              <w:tcPr>
                <w:tcW w:w="1627" w:type="pct"/>
                <w:vAlign w:val="center"/>
              </w:tcPr>
              <w:p w14:paraId="0A509EE0"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主要系本期完成产值增加所致</w:t>
                </w:r>
              </w:p>
            </w:tc>
          </w:tr>
          <w:tr w:rsidR="00830E72" w14:paraId="39DCE5F4" w14:textId="77777777">
            <w:trPr>
              <w:trHeight w:val="135"/>
            </w:trPr>
            <w:sdt>
              <w:sdtPr>
                <w:rPr>
                  <w:rStyle w:val="5Char1"/>
                  <w:rFonts w:asciiTheme="minorEastAsia" w:hAnsiTheme="minorEastAsia" w:hint="eastAsia"/>
                  <w:b w:val="0"/>
                  <w:bCs w:val="0"/>
                </w:rPr>
                <w:tag w:val="_PLD_84192b5d6aaa46a4a5b491e7597c150a"/>
                <w:id w:val="614878725"/>
                <w:lock w:val="sdtLocked"/>
              </w:sdtPr>
              <w:sdtEndPr>
                <w:rPr>
                  <w:rStyle w:val="5Char1"/>
                </w:rPr>
              </w:sdtEndPr>
              <w:sdtContent>
                <w:tc>
                  <w:tcPr>
                    <w:tcW w:w="542" w:type="pct"/>
                    <w:vAlign w:val="center"/>
                  </w:tcPr>
                  <w:p w14:paraId="5B22A68D"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使用权资产</w:t>
                    </w:r>
                  </w:p>
                </w:tc>
              </w:sdtContent>
            </w:sdt>
            <w:tc>
              <w:tcPr>
                <w:tcW w:w="786" w:type="pct"/>
                <w:vAlign w:val="center"/>
              </w:tcPr>
              <w:p w14:paraId="5B5C677B"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4,161,769.14</w:t>
                </w:r>
              </w:p>
            </w:tc>
            <w:tc>
              <w:tcPr>
                <w:tcW w:w="460" w:type="pct"/>
                <w:vAlign w:val="center"/>
              </w:tcPr>
              <w:p w14:paraId="02FAC7FB"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0.06</w:t>
                </w:r>
              </w:p>
            </w:tc>
            <w:tc>
              <w:tcPr>
                <w:tcW w:w="613" w:type="pct"/>
                <w:vAlign w:val="center"/>
              </w:tcPr>
              <w:p w14:paraId="69D6AA0B" w14:textId="77777777" w:rsidR="00830E72" w:rsidRDefault="00830E72">
                <w:pPr>
                  <w:jc w:val="right"/>
                  <w:rPr>
                    <w:rStyle w:val="5Char1"/>
                    <w:rFonts w:asciiTheme="minorEastAsia" w:eastAsiaTheme="minorEastAsia" w:hAnsiTheme="minorEastAsia"/>
                    <w:b w:val="0"/>
                    <w:bCs w:val="0"/>
                  </w:rPr>
                </w:pPr>
              </w:p>
            </w:tc>
            <w:tc>
              <w:tcPr>
                <w:tcW w:w="511" w:type="pct"/>
                <w:vAlign w:val="center"/>
              </w:tcPr>
              <w:p w14:paraId="6B465B3C" w14:textId="77777777" w:rsidR="00830E72" w:rsidRDefault="00830E72">
                <w:pPr>
                  <w:jc w:val="right"/>
                  <w:rPr>
                    <w:rStyle w:val="5Char1"/>
                    <w:rFonts w:asciiTheme="minorEastAsia" w:eastAsiaTheme="minorEastAsia" w:hAnsiTheme="minorEastAsia"/>
                    <w:b w:val="0"/>
                    <w:bCs w:val="0"/>
                  </w:rPr>
                </w:pPr>
              </w:p>
            </w:tc>
            <w:tc>
              <w:tcPr>
                <w:tcW w:w="461" w:type="pct"/>
                <w:vAlign w:val="center"/>
              </w:tcPr>
              <w:p w14:paraId="05270B94"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100</w:t>
                </w:r>
                <w:r>
                  <w:rPr>
                    <w:rStyle w:val="5Char1"/>
                    <w:rFonts w:asciiTheme="minorEastAsia" w:eastAsiaTheme="minorEastAsia" w:hAnsiTheme="minorEastAsia"/>
                    <w:b w:val="0"/>
                    <w:bCs w:val="0"/>
                  </w:rPr>
                  <w:t>.00</w:t>
                </w:r>
              </w:p>
            </w:tc>
            <w:tc>
              <w:tcPr>
                <w:tcW w:w="1627" w:type="pct"/>
                <w:vAlign w:val="center"/>
              </w:tcPr>
              <w:p w14:paraId="45F3ED21"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主要系实行新租赁准则确认相应资产所致</w:t>
                </w:r>
              </w:p>
            </w:tc>
          </w:tr>
          <w:tr w:rsidR="00830E72" w14:paraId="5A2F04B8" w14:textId="77777777">
            <w:trPr>
              <w:trHeight w:val="135"/>
            </w:trPr>
            <w:sdt>
              <w:sdtPr>
                <w:rPr>
                  <w:rStyle w:val="5Char1"/>
                  <w:rFonts w:asciiTheme="minorEastAsia" w:hAnsiTheme="minorEastAsia" w:hint="eastAsia"/>
                  <w:b w:val="0"/>
                  <w:bCs w:val="0"/>
                </w:rPr>
                <w:tag w:val="_PLD_f446bfc0bdb7497b92f1f084f89862f6"/>
                <w:id w:val="927383472"/>
                <w:lock w:val="sdtLocked"/>
              </w:sdtPr>
              <w:sdtEndPr>
                <w:rPr>
                  <w:rStyle w:val="5Char1"/>
                </w:rPr>
              </w:sdtEndPr>
              <w:sdtContent>
                <w:tc>
                  <w:tcPr>
                    <w:tcW w:w="542" w:type="pct"/>
                    <w:vAlign w:val="center"/>
                  </w:tcPr>
                  <w:p w14:paraId="6A6E88BF"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短期借款</w:t>
                    </w:r>
                  </w:p>
                </w:tc>
              </w:sdtContent>
            </w:sdt>
            <w:tc>
              <w:tcPr>
                <w:tcW w:w="786" w:type="pct"/>
                <w:vAlign w:val="center"/>
              </w:tcPr>
              <w:p w14:paraId="2D80EFB0"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461,590,415.53</w:t>
                </w:r>
              </w:p>
            </w:tc>
            <w:tc>
              <w:tcPr>
                <w:tcW w:w="460" w:type="pct"/>
                <w:vAlign w:val="center"/>
              </w:tcPr>
              <w:p w14:paraId="467806C8"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7.13</w:t>
                </w:r>
              </w:p>
            </w:tc>
            <w:tc>
              <w:tcPr>
                <w:tcW w:w="613" w:type="pct"/>
                <w:vAlign w:val="center"/>
              </w:tcPr>
              <w:p w14:paraId="05A90A51"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274,501,944.67</w:t>
                </w:r>
              </w:p>
            </w:tc>
            <w:tc>
              <w:tcPr>
                <w:tcW w:w="511" w:type="pct"/>
                <w:vAlign w:val="center"/>
              </w:tcPr>
              <w:p w14:paraId="40FD68DE"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5.01</w:t>
                </w:r>
              </w:p>
            </w:tc>
            <w:tc>
              <w:tcPr>
                <w:tcW w:w="461" w:type="pct"/>
                <w:vAlign w:val="center"/>
              </w:tcPr>
              <w:p w14:paraId="54ACE344"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68.16</w:t>
                </w:r>
              </w:p>
            </w:tc>
            <w:tc>
              <w:tcPr>
                <w:tcW w:w="1627" w:type="pct"/>
                <w:vAlign w:val="center"/>
              </w:tcPr>
              <w:p w14:paraId="079780A6"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主要系银行借款增加所致</w:t>
                </w:r>
              </w:p>
            </w:tc>
          </w:tr>
          <w:tr w:rsidR="00830E72" w14:paraId="5FDBAF6A" w14:textId="77777777">
            <w:trPr>
              <w:trHeight w:val="135"/>
            </w:trPr>
            <w:sdt>
              <w:sdtPr>
                <w:rPr>
                  <w:rStyle w:val="5Char1"/>
                  <w:rFonts w:asciiTheme="minorEastAsia" w:hAnsiTheme="minorEastAsia" w:hint="eastAsia"/>
                  <w:b w:val="0"/>
                  <w:bCs w:val="0"/>
                </w:rPr>
                <w:tag w:val="_PLD_654b41a2ec1a4df0b42d03e29242e5c2"/>
                <w:id w:val="-689681859"/>
                <w:lock w:val="sdtLocked"/>
              </w:sdtPr>
              <w:sdtEndPr>
                <w:rPr>
                  <w:rStyle w:val="5Char1"/>
                </w:rPr>
              </w:sdtEndPr>
              <w:sdtContent>
                <w:tc>
                  <w:tcPr>
                    <w:tcW w:w="542" w:type="pct"/>
                    <w:vAlign w:val="center"/>
                  </w:tcPr>
                  <w:p w14:paraId="58D4EB52"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租赁负债</w:t>
                    </w:r>
                  </w:p>
                </w:tc>
              </w:sdtContent>
            </w:sdt>
            <w:tc>
              <w:tcPr>
                <w:tcW w:w="786" w:type="pct"/>
                <w:vAlign w:val="center"/>
              </w:tcPr>
              <w:p w14:paraId="7B5498E1"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4,230,035.87</w:t>
                </w:r>
              </w:p>
            </w:tc>
            <w:tc>
              <w:tcPr>
                <w:tcW w:w="460" w:type="pct"/>
                <w:vAlign w:val="center"/>
              </w:tcPr>
              <w:p w14:paraId="7779E5BF"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0</w:t>
                </w:r>
                <w:r>
                  <w:rPr>
                    <w:rStyle w:val="5Char1"/>
                    <w:rFonts w:asciiTheme="minorEastAsia" w:eastAsiaTheme="minorEastAsia" w:hAnsiTheme="minorEastAsia"/>
                  </w:rPr>
                  <w:t>.</w:t>
                </w:r>
                <w:r>
                  <w:rPr>
                    <w:rStyle w:val="5Char1"/>
                    <w:rFonts w:asciiTheme="minorEastAsia" w:eastAsiaTheme="minorEastAsia" w:hAnsiTheme="minorEastAsia"/>
                    <w:b w:val="0"/>
                    <w:bCs w:val="0"/>
                  </w:rPr>
                  <w:t>07</w:t>
                </w:r>
              </w:p>
            </w:tc>
            <w:tc>
              <w:tcPr>
                <w:tcW w:w="613" w:type="pct"/>
                <w:vAlign w:val="center"/>
              </w:tcPr>
              <w:p w14:paraId="1A6FD3E3" w14:textId="77777777" w:rsidR="00830E72" w:rsidRDefault="00830E72">
                <w:pPr>
                  <w:jc w:val="right"/>
                  <w:rPr>
                    <w:rStyle w:val="5Char1"/>
                    <w:rFonts w:asciiTheme="minorEastAsia" w:eastAsiaTheme="minorEastAsia" w:hAnsiTheme="minorEastAsia"/>
                    <w:b w:val="0"/>
                    <w:bCs w:val="0"/>
                  </w:rPr>
                </w:pPr>
              </w:p>
            </w:tc>
            <w:tc>
              <w:tcPr>
                <w:tcW w:w="511" w:type="pct"/>
                <w:vAlign w:val="center"/>
              </w:tcPr>
              <w:p w14:paraId="4F207CE9" w14:textId="77777777" w:rsidR="00830E72" w:rsidRDefault="00830E72">
                <w:pPr>
                  <w:jc w:val="right"/>
                  <w:rPr>
                    <w:rStyle w:val="5Char1"/>
                    <w:rFonts w:asciiTheme="minorEastAsia" w:eastAsiaTheme="minorEastAsia" w:hAnsiTheme="minorEastAsia"/>
                    <w:b w:val="0"/>
                    <w:bCs w:val="0"/>
                  </w:rPr>
                </w:pPr>
              </w:p>
            </w:tc>
            <w:tc>
              <w:tcPr>
                <w:tcW w:w="461" w:type="pct"/>
                <w:vAlign w:val="center"/>
              </w:tcPr>
              <w:p w14:paraId="2C64E17E"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不适用</w:t>
                </w:r>
              </w:p>
            </w:tc>
            <w:tc>
              <w:tcPr>
                <w:tcW w:w="1627" w:type="pct"/>
                <w:vAlign w:val="center"/>
              </w:tcPr>
              <w:p w14:paraId="352B795D"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主要系实行新租赁准则确认相应负债所致</w:t>
                </w:r>
              </w:p>
            </w:tc>
          </w:tr>
          <w:sdt>
            <w:sdtPr>
              <w:rPr>
                <w:rStyle w:val="5Char1"/>
                <w:rFonts w:asciiTheme="minorEastAsia" w:eastAsiaTheme="minorEastAsia" w:hAnsiTheme="minorEastAsia" w:cstheme="minorBidi" w:hint="eastAsia"/>
                <w:b w:val="0"/>
                <w:bCs w:val="0"/>
              </w:rPr>
              <w:alias w:val="资产负债状况分析"/>
              <w:tag w:val="_TUP_5b9451a24cf94bb19fcd924892517ec7"/>
              <w:id w:val="1261331738"/>
            </w:sdtPr>
            <w:sdtEndPr>
              <w:rPr>
                <w:rStyle w:val="5Char1"/>
              </w:rPr>
            </w:sdtEndPr>
            <w:sdtContent>
              <w:tr w:rsidR="00830E72" w14:paraId="740A6E17" w14:textId="77777777">
                <w:trPr>
                  <w:trHeight w:val="135"/>
                </w:trPr>
                <w:tc>
                  <w:tcPr>
                    <w:tcW w:w="542" w:type="pct"/>
                    <w:vAlign w:val="center"/>
                  </w:tcPr>
                  <w:p w14:paraId="09E54C0E"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cstheme="minorBidi" w:hint="eastAsia"/>
                        <w:b w:val="0"/>
                        <w:bCs w:val="0"/>
                      </w:rPr>
                      <w:t>其他应收款</w:t>
                    </w:r>
                  </w:p>
                </w:tc>
                <w:tc>
                  <w:tcPr>
                    <w:tcW w:w="786" w:type="pct"/>
                    <w:vAlign w:val="center"/>
                  </w:tcPr>
                  <w:p w14:paraId="3CA360B2"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257,904,283.58</w:t>
                    </w:r>
                  </w:p>
                </w:tc>
                <w:tc>
                  <w:tcPr>
                    <w:tcW w:w="460" w:type="pct"/>
                    <w:vAlign w:val="center"/>
                  </w:tcPr>
                  <w:p w14:paraId="62C15B90"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3.99</w:t>
                    </w:r>
                  </w:p>
                </w:tc>
                <w:tc>
                  <w:tcPr>
                    <w:tcW w:w="613" w:type="pct"/>
                    <w:vAlign w:val="center"/>
                  </w:tcPr>
                  <w:p w14:paraId="2EE2876B"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173,904,054.74</w:t>
                    </w:r>
                  </w:p>
                </w:tc>
                <w:tc>
                  <w:tcPr>
                    <w:tcW w:w="511" w:type="pct"/>
                    <w:vAlign w:val="center"/>
                  </w:tcPr>
                  <w:p w14:paraId="4371E11F"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3.18</w:t>
                    </w:r>
                  </w:p>
                </w:tc>
                <w:tc>
                  <w:tcPr>
                    <w:tcW w:w="461" w:type="pct"/>
                    <w:vAlign w:val="center"/>
                  </w:tcPr>
                  <w:p w14:paraId="02D64685"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48.30</w:t>
                    </w:r>
                  </w:p>
                </w:tc>
                <w:tc>
                  <w:tcPr>
                    <w:tcW w:w="1627" w:type="pct"/>
                    <w:vAlign w:val="center"/>
                  </w:tcPr>
                  <w:p w14:paraId="715C1123"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主要系支付投标履约金增加所致</w:t>
                    </w:r>
                  </w:p>
                </w:tc>
              </w:tr>
            </w:sdtContent>
          </w:sdt>
          <w:sdt>
            <w:sdtPr>
              <w:rPr>
                <w:rStyle w:val="5Char1"/>
                <w:rFonts w:asciiTheme="minorEastAsia" w:eastAsiaTheme="minorEastAsia" w:hAnsiTheme="minorEastAsia" w:cstheme="minorBidi" w:hint="eastAsia"/>
                <w:b w:val="0"/>
                <w:bCs w:val="0"/>
              </w:rPr>
              <w:alias w:val="资产负债状况分析"/>
              <w:tag w:val="_TUP_5b9451a24cf94bb19fcd924892517ec7"/>
              <w:id w:val="-1583372557"/>
            </w:sdtPr>
            <w:sdtEndPr>
              <w:rPr>
                <w:rStyle w:val="5Char1"/>
              </w:rPr>
            </w:sdtEndPr>
            <w:sdtContent>
              <w:tr w:rsidR="00830E72" w14:paraId="39D0BFD3" w14:textId="77777777">
                <w:trPr>
                  <w:trHeight w:val="135"/>
                </w:trPr>
                <w:tc>
                  <w:tcPr>
                    <w:tcW w:w="542" w:type="pct"/>
                    <w:vAlign w:val="center"/>
                  </w:tcPr>
                  <w:p w14:paraId="4F2E5B5F"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cstheme="minorBidi" w:hint="eastAsia"/>
                        <w:b w:val="0"/>
                        <w:bCs w:val="0"/>
                      </w:rPr>
                      <w:t>一年内到期的非流动资产</w:t>
                    </w:r>
                  </w:p>
                </w:tc>
                <w:tc>
                  <w:tcPr>
                    <w:tcW w:w="786" w:type="pct"/>
                    <w:vAlign w:val="center"/>
                  </w:tcPr>
                  <w:p w14:paraId="40741E75"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48,541,978.43</w:t>
                    </w:r>
                  </w:p>
                </w:tc>
                <w:tc>
                  <w:tcPr>
                    <w:tcW w:w="460" w:type="pct"/>
                    <w:vAlign w:val="center"/>
                  </w:tcPr>
                  <w:p w14:paraId="41C14B44"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0.75</w:t>
                    </w:r>
                  </w:p>
                </w:tc>
                <w:tc>
                  <w:tcPr>
                    <w:tcW w:w="613" w:type="pct"/>
                    <w:vAlign w:val="center"/>
                  </w:tcPr>
                  <w:p w14:paraId="2F714499"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83,251,919.30</w:t>
                    </w:r>
                  </w:p>
                </w:tc>
                <w:tc>
                  <w:tcPr>
                    <w:tcW w:w="511" w:type="pct"/>
                    <w:vAlign w:val="center"/>
                  </w:tcPr>
                  <w:p w14:paraId="276173B5"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1.52</w:t>
                    </w:r>
                  </w:p>
                </w:tc>
                <w:tc>
                  <w:tcPr>
                    <w:tcW w:w="461" w:type="pct"/>
                    <w:vAlign w:val="center"/>
                  </w:tcPr>
                  <w:p w14:paraId="60A09D3A"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-41.69</w:t>
                    </w:r>
                  </w:p>
                </w:tc>
                <w:tc>
                  <w:tcPr>
                    <w:tcW w:w="1627" w:type="pct"/>
                    <w:vAlign w:val="center"/>
                  </w:tcPr>
                  <w:p w14:paraId="0CBC95F0"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主要系一年内到期的长期应收款重分类减少所致</w:t>
                    </w:r>
                  </w:p>
                </w:tc>
              </w:tr>
            </w:sdtContent>
          </w:sdt>
          <w:sdt>
            <w:sdtPr>
              <w:rPr>
                <w:rStyle w:val="5Char1"/>
                <w:rFonts w:asciiTheme="minorEastAsia" w:eastAsiaTheme="minorEastAsia" w:hAnsiTheme="minorEastAsia" w:cstheme="minorBidi" w:hint="eastAsia"/>
                <w:b w:val="0"/>
                <w:bCs w:val="0"/>
              </w:rPr>
              <w:alias w:val="资产负债状况分析"/>
              <w:tag w:val="_TUP_5b9451a24cf94bb19fcd924892517ec7"/>
              <w:id w:val="-1344469114"/>
            </w:sdtPr>
            <w:sdtEndPr>
              <w:rPr>
                <w:rStyle w:val="5Char1"/>
              </w:rPr>
            </w:sdtEndPr>
            <w:sdtContent>
              <w:tr w:rsidR="00830E72" w14:paraId="50F67648" w14:textId="77777777">
                <w:trPr>
                  <w:trHeight w:val="135"/>
                </w:trPr>
                <w:tc>
                  <w:tcPr>
                    <w:tcW w:w="542" w:type="pct"/>
                    <w:vAlign w:val="center"/>
                  </w:tcPr>
                  <w:p w14:paraId="185BDEDE"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cstheme="minorBidi" w:hint="eastAsia"/>
                        <w:b w:val="0"/>
                        <w:bCs w:val="0"/>
                      </w:rPr>
                      <w:t>长期应收款</w:t>
                    </w:r>
                  </w:p>
                </w:tc>
                <w:tc>
                  <w:tcPr>
                    <w:tcW w:w="786" w:type="pct"/>
                    <w:vAlign w:val="center"/>
                  </w:tcPr>
                  <w:p w14:paraId="17819CA1"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1,180,343,937.66</w:t>
                    </w:r>
                  </w:p>
                </w:tc>
                <w:tc>
                  <w:tcPr>
                    <w:tcW w:w="460" w:type="pct"/>
                    <w:vAlign w:val="center"/>
                  </w:tcPr>
                  <w:p w14:paraId="626285E2"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18.24</w:t>
                    </w:r>
                  </w:p>
                </w:tc>
                <w:tc>
                  <w:tcPr>
                    <w:tcW w:w="613" w:type="pct"/>
                    <w:vAlign w:val="center"/>
                  </w:tcPr>
                  <w:p w14:paraId="78B70E2F"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802,954,150.86</w:t>
                    </w:r>
                  </w:p>
                </w:tc>
                <w:tc>
                  <w:tcPr>
                    <w:tcW w:w="511" w:type="pct"/>
                    <w:vAlign w:val="center"/>
                  </w:tcPr>
                  <w:p w14:paraId="21A80E2C"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14.66</w:t>
                    </w:r>
                  </w:p>
                </w:tc>
                <w:tc>
                  <w:tcPr>
                    <w:tcW w:w="461" w:type="pct"/>
                    <w:vAlign w:val="center"/>
                  </w:tcPr>
                  <w:p w14:paraId="47347371"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47.00</w:t>
                    </w:r>
                  </w:p>
                </w:tc>
                <w:tc>
                  <w:tcPr>
                    <w:tcW w:w="1627" w:type="pct"/>
                    <w:vAlign w:val="center"/>
                  </w:tcPr>
                  <w:p w14:paraId="423D9E80"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主要系处于建设期的P</w:t>
                    </w:r>
                    <w:r>
                      <w:rPr>
                        <w:rStyle w:val="5Char1"/>
                        <w:rFonts w:asciiTheme="minorEastAsia" w:eastAsiaTheme="minorEastAsia" w:hAnsiTheme="minorEastAsia"/>
                        <w:b w:val="0"/>
                        <w:bCs w:val="0"/>
                      </w:rPr>
                      <w:t>PP项目进入运营期增加所致</w:t>
                    </w:r>
                  </w:p>
                </w:tc>
              </w:tr>
            </w:sdtContent>
          </w:sdt>
          <w:sdt>
            <w:sdtPr>
              <w:rPr>
                <w:rStyle w:val="5Char1"/>
                <w:rFonts w:asciiTheme="minorEastAsia" w:eastAsiaTheme="minorEastAsia" w:hAnsiTheme="minorEastAsia" w:cstheme="minorBidi" w:hint="eastAsia"/>
                <w:b w:val="0"/>
                <w:bCs w:val="0"/>
              </w:rPr>
              <w:alias w:val="资产负债状况分析"/>
              <w:tag w:val="_TUP_5b9451a24cf94bb19fcd924892517ec7"/>
              <w:id w:val="730816025"/>
            </w:sdtPr>
            <w:sdtEndPr>
              <w:rPr>
                <w:rStyle w:val="5Char1"/>
              </w:rPr>
            </w:sdtEndPr>
            <w:sdtContent>
              <w:tr w:rsidR="00830E72" w14:paraId="41D5B7DC" w14:textId="77777777">
                <w:trPr>
                  <w:trHeight w:val="135"/>
                </w:trPr>
                <w:tc>
                  <w:tcPr>
                    <w:tcW w:w="542" w:type="pct"/>
                    <w:vAlign w:val="center"/>
                  </w:tcPr>
                  <w:p w14:paraId="1A248392"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cstheme="minorBidi" w:hint="eastAsia"/>
                        <w:b w:val="0"/>
                        <w:bCs w:val="0"/>
                      </w:rPr>
                      <w:t>其他非流动资产</w:t>
                    </w:r>
                  </w:p>
                </w:tc>
                <w:tc>
                  <w:tcPr>
                    <w:tcW w:w="786" w:type="pct"/>
                    <w:vAlign w:val="center"/>
                  </w:tcPr>
                  <w:p w14:paraId="05D84299"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192,946,005.33</w:t>
                    </w:r>
                  </w:p>
                </w:tc>
                <w:tc>
                  <w:tcPr>
                    <w:tcW w:w="460" w:type="pct"/>
                    <w:vAlign w:val="center"/>
                  </w:tcPr>
                  <w:p w14:paraId="547F90CB"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2.98</w:t>
                    </w:r>
                  </w:p>
                </w:tc>
                <w:tc>
                  <w:tcPr>
                    <w:tcW w:w="613" w:type="pct"/>
                    <w:vAlign w:val="center"/>
                  </w:tcPr>
                  <w:p w14:paraId="3CE291D7"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448,092,594.21</w:t>
                    </w:r>
                  </w:p>
                </w:tc>
                <w:tc>
                  <w:tcPr>
                    <w:tcW w:w="511" w:type="pct"/>
                    <w:vAlign w:val="center"/>
                  </w:tcPr>
                  <w:p w14:paraId="5B01B3A1"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8.18</w:t>
                    </w:r>
                  </w:p>
                </w:tc>
                <w:tc>
                  <w:tcPr>
                    <w:tcW w:w="461" w:type="pct"/>
                    <w:vAlign w:val="center"/>
                  </w:tcPr>
                  <w:p w14:paraId="6B550F1D"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-56.94</w:t>
                    </w:r>
                  </w:p>
                </w:tc>
                <w:tc>
                  <w:tcPr>
                    <w:tcW w:w="1627" w:type="pct"/>
                    <w:vAlign w:val="center"/>
                  </w:tcPr>
                  <w:p w14:paraId="3931AD64"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主要系处于建设期的</w:t>
                    </w:r>
                    <w:r>
                      <w:rPr>
                        <w:rStyle w:val="5Char1"/>
                        <w:rFonts w:asciiTheme="minorEastAsia" w:eastAsiaTheme="minorEastAsia" w:hAnsiTheme="minorEastAsia"/>
                        <w:b w:val="0"/>
                        <w:bCs w:val="0"/>
                      </w:rPr>
                      <w:t>PPP项目合同资产转入该项目列示减少所致</w:t>
                    </w:r>
                  </w:p>
                </w:tc>
              </w:tr>
            </w:sdtContent>
          </w:sdt>
          <w:sdt>
            <w:sdtPr>
              <w:rPr>
                <w:rStyle w:val="5Char1"/>
                <w:rFonts w:asciiTheme="minorEastAsia" w:eastAsiaTheme="minorEastAsia" w:hAnsiTheme="minorEastAsia" w:cstheme="minorBidi" w:hint="eastAsia"/>
                <w:b w:val="0"/>
                <w:bCs w:val="0"/>
              </w:rPr>
              <w:alias w:val="资产负债状况分析"/>
              <w:tag w:val="_TUP_5b9451a24cf94bb19fcd924892517ec7"/>
              <w:id w:val="-760834970"/>
            </w:sdtPr>
            <w:sdtEndPr>
              <w:rPr>
                <w:rStyle w:val="5Char1"/>
              </w:rPr>
            </w:sdtEndPr>
            <w:sdtContent>
              <w:tr w:rsidR="00830E72" w14:paraId="4991A738" w14:textId="77777777">
                <w:trPr>
                  <w:trHeight w:val="135"/>
                </w:trPr>
                <w:tc>
                  <w:tcPr>
                    <w:tcW w:w="542" w:type="pct"/>
                    <w:vAlign w:val="center"/>
                  </w:tcPr>
                  <w:p w14:paraId="3EFB474B"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cstheme="minorBidi" w:hint="eastAsia"/>
                        <w:b w:val="0"/>
                        <w:bCs w:val="0"/>
                      </w:rPr>
                      <w:t>应付票据</w:t>
                    </w:r>
                  </w:p>
                </w:tc>
                <w:tc>
                  <w:tcPr>
                    <w:tcW w:w="786" w:type="pct"/>
                    <w:vAlign w:val="center"/>
                  </w:tcPr>
                  <w:p w14:paraId="48EACFF4"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134,751,995.93</w:t>
                    </w:r>
                  </w:p>
                </w:tc>
                <w:tc>
                  <w:tcPr>
                    <w:tcW w:w="460" w:type="pct"/>
                    <w:vAlign w:val="center"/>
                  </w:tcPr>
                  <w:p w14:paraId="733896F5"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2.08</w:t>
                    </w:r>
                  </w:p>
                </w:tc>
                <w:tc>
                  <w:tcPr>
                    <w:tcW w:w="613" w:type="pct"/>
                    <w:vAlign w:val="center"/>
                  </w:tcPr>
                  <w:p w14:paraId="5D04349B"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195,061,404.69</w:t>
                    </w:r>
                  </w:p>
                </w:tc>
                <w:tc>
                  <w:tcPr>
                    <w:tcW w:w="511" w:type="pct"/>
                    <w:vAlign w:val="center"/>
                  </w:tcPr>
                  <w:p w14:paraId="0563050A"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3.56</w:t>
                    </w:r>
                  </w:p>
                </w:tc>
                <w:tc>
                  <w:tcPr>
                    <w:tcW w:w="461" w:type="pct"/>
                    <w:vAlign w:val="center"/>
                  </w:tcPr>
                  <w:p w14:paraId="42C5053C"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-30.92</w:t>
                    </w:r>
                  </w:p>
                </w:tc>
                <w:tc>
                  <w:tcPr>
                    <w:tcW w:w="1627" w:type="pct"/>
                    <w:vAlign w:val="center"/>
                  </w:tcPr>
                  <w:p w14:paraId="1B6695E8"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主要系银行承兑汇票到期兑付所致</w:t>
                    </w:r>
                  </w:p>
                </w:tc>
              </w:tr>
            </w:sdtContent>
          </w:sdt>
          <w:sdt>
            <w:sdtPr>
              <w:rPr>
                <w:rStyle w:val="5Char1"/>
                <w:rFonts w:asciiTheme="minorEastAsia" w:eastAsiaTheme="minorEastAsia" w:hAnsiTheme="minorEastAsia" w:cstheme="minorBidi" w:hint="eastAsia"/>
                <w:b w:val="0"/>
                <w:bCs w:val="0"/>
              </w:rPr>
              <w:alias w:val="资产负债状况分析"/>
              <w:tag w:val="_TUP_5b9451a24cf94bb19fcd924892517ec7"/>
              <w:id w:val="248396519"/>
            </w:sdtPr>
            <w:sdtEndPr>
              <w:rPr>
                <w:rStyle w:val="5Char1"/>
              </w:rPr>
            </w:sdtEndPr>
            <w:sdtContent>
              <w:tr w:rsidR="00830E72" w14:paraId="472268CA" w14:textId="77777777">
                <w:trPr>
                  <w:trHeight w:val="135"/>
                </w:trPr>
                <w:tc>
                  <w:tcPr>
                    <w:tcW w:w="542" w:type="pct"/>
                    <w:vAlign w:val="center"/>
                  </w:tcPr>
                  <w:p w14:paraId="73C8E330"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cstheme="minorBidi" w:hint="eastAsia"/>
                        <w:b w:val="0"/>
                        <w:bCs w:val="0"/>
                      </w:rPr>
                      <w:t>应付职工薪酬</w:t>
                    </w:r>
                  </w:p>
                </w:tc>
                <w:tc>
                  <w:tcPr>
                    <w:tcW w:w="786" w:type="pct"/>
                    <w:vAlign w:val="center"/>
                  </w:tcPr>
                  <w:p w14:paraId="7CC08C17"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21,391,316.54</w:t>
                    </w:r>
                  </w:p>
                </w:tc>
                <w:tc>
                  <w:tcPr>
                    <w:tcW w:w="460" w:type="pct"/>
                    <w:vAlign w:val="center"/>
                  </w:tcPr>
                  <w:p w14:paraId="01CB3EAD"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0.33</w:t>
                    </w:r>
                  </w:p>
                </w:tc>
                <w:tc>
                  <w:tcPr>
                    <w:tcW w:w="613" w:type="pct"/>
                    <w:vAlign w:val="center"/>
                  </w:tcPr>
                  <w:p w14:paraId="6D30311C"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29,196,308.98</w:t>
                    </w:r>
                  </w:p>
                </w:tc>
                <w:tc>
                  <w:tcPr>
                    <w:tcW w:w="511" w:type="pct"/>
                    <w:vAlign w:val="center"/>
                  </w:tcPr>
                  <w:p w14:paraId="6CD8FD34"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0.53</w:t>
                    </w:r>
                  </w:p>
                </w:tc>
                <w:tc>
                  <w:tcPr>
                    <w:tcW w:w="461" w:type="pct"/>
                    <w:vAlign w:val="center"/>
                  </w:tcPr>
                  <w:p w14:paraId="5B769260"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-26.73</w:t>
                    </w:r>
                  </w:p>
                </w:tc>
                <w:tc>
                  <w:tcPr>
                    <w:tcW w:w="1627" w:type="pct"/>
                    <w:vAlign w:val="center"/>
                  </w:tcPr>
                  <w:p w14:paraId="6EDA48A9"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主要系应付职工薪酬减少所致</w:t>
                    </w:r>
                  </w:p>
                </w:tc>
              </w:tr>
            </w:sdtContent>
          </w:sdt>
          <w:sdt>
            <w:sdtPr>
              <w:rPr>
                <w:rStyle w:val="5Char1"/>
                <w:rFonts w:asciiTheme="minorEastAsia" w:eastAsiaTheme="minorEastAsia" w:hAnsiTheme="minorEastAsia" w:cstheme="minorBidi" w:hint="eastAsia"/>
                <w:b w:val="0"/>
                <w:bCs w:val="0"/>
              </w:rPr>
              <w:alias w:val="资产负债状况分析"/>
              <w:tag w:val="_TUP_5b9451a24cf94bb19fcd924892517ec7"/>
              <w:id w:val="1388917677"/>
            </w:sdtPr>
            <w:sdtEndPr>
              <w:rPr>
                <w:rStyle w:val="5Char1"/>
              </w:rPr>
            </w:sdtEndPr>
            <w:sdtContent>
              <w:tr w:rsidR="00830E72" w14:paraId="5F1F4864" w14:textId="77777777">
                <w:trPr>
                  <w:trHeight w:val="135"/>
                </w:trPr>
                <w:tc>
                  <w:tcPr>
                    <w:tcW w:w="542" w:type="pct"/>
                    <w:vAlign w:val="center"/>
                  </w:tcPr>
                  <w:p w14:paraId="0E1AEEB8"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cstheme="minorBidi" w:hint="eastAsia"/>
                        <w:b w:val="0"/>
                        <w:bCs w:val="0"/>
                      </w:rPr>
                      <w:t>应交税费</w:t>
                    </w:r>
                  </w:p>
                </w:tc>
                <w:tc>
                  <w:tcPr>
                    <w:tcW w:w="786" w:type="pct"/>
                    <w:vAlign w:val="center"/>
                  </w:tcPr>
                  <w:p w14:paraId="3A44BA72"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17,917,444.26</w:t>
                    </w:r>
                  </w:p>
                </w:tc>
                <w:tc>
                  <w:tcPr>
                    <w:tcW w:w="460" w:type="pct"/>
                    <w:vAlign w:val="center"/>
                  </w:tcPr>
                  <w:p w14:paraId="79B18AB1"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0.28</w:t>
                    </w:r>
                  </w:p>
                </w:tc>
                <w:tc>
                  <w:tcPr>
                    <w:tcW w:w="613" w:type="pct"/>
                    <w:vAlign w:val="center"/>
                  </w:tcPr>
                  <w:p w14:paraId="2B229BFE"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29,842,852.51</w:t>
                    </w:r>
                  </w:p>
                </w:tc>
                <w:tc>
                  <w:tcPr>
                    <w:tcW w:w="511" w:type="pct"/>
                    <w:vAlign w:val="center"/>
                  </w:tcPr>
                  <w:p w14:paraId="69C72421"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0.55</w:t>
                    </w:r>
                  </w:p>
                </w:tc>
                <w:tc>
                  <w:tcPr>
                    <w:tcW w:w="461" w:type="pct"/>
                    <w:vAlign w:val="center"/>
                  </w:tcPr>
                  <w:p w14:paraId="17C2036C"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-39.96</w:t>
                    </w:r>
                  </w:p>
                </w:tc>
                <w:tc>
                  <w:tcPr>
                    <w:tcW w:w="1627" w:type="pct"/>
                    <w:vAlign w:val="center"/>
                  </w:tcPr>
                  <w:p w14:paraId="0909FC43"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主要系应交增值税及企业所得税减少所致</w:t>
                    </w:r>
                  </w:p>
                </w:tc>
              </w:tr>
            </w:sdtContent>
          </w:sdt>
          <w:sdt>
            <w:sdtPr>
              <w:rPr>
                <w:rStyle w:val="5Char1"/>
                <w:rFonts w:asciiTheme="minorEastAsia" w:eastAsiaTheme="minorEastAsia" w:hAnsiTheme="minorEastAsia" w:cstheme="minorBidi" w:hint="eastAsia"/>
                <w:b w:val="0"/>
                <w:bCs w:val="0"/>
              </w:rPr>
              <w:alias w:val="资产负债状况分析"/>
              <w:tag w:val="_TUP_5b9451a24cf94bb19fcd924892517ec7"/>
              <w:id w:val="-1527867812"/>
            </w:sdtPr>
            <w:sdtEndPr>
              <w:rPr>
                <w:rStyle w:val="5Char1"/>
              </w:rPr>
            </w:sdtEndPr>
            <w:sdtContent>
              <w:tr w:rsidR="00830E72" w14:paraId="50C47AB5" w14:textId="77777777">
                <w:trPr>
                  <w:trHeight w:val="135"/>
                </w:trPr>
                <w:tc>
                  <w:tcPr>
                    <w:tcW w:w="542" w:type="pct"/>
                    <w:vAlign w:val="center"/>
                  </w:tcPr>
                  <w:p w14:paraId="4E290B0E"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cstheme="minorBidi" w:hint="eastAsia"/>
                        <w:b w:val="0"/>
                        <w:bCs w:val="0"/>
                      </w:rPr>
                      <w:t>一年内到期的非流动负债</w:t>
                    </w:r>
                  </w:p>
                </w:tc>
                <w:tc>
                  <w:tcPr>
                    <w:tcW w:w="786" w:type="pct"/>
                    <w:vAlign w:val="center"/>
                  </w:tcPr>
                  <w:p w14:paraId="1799F30D" w14:textId="77777777" w:rsidR="00830E72" w:rsidRDefault="008344D8">
                    <w:pPr>
                      <w:jc w:val="right"/>
                      <w:rPr>
                        <w:rFonts w:asciiTheme="minorEastAsia" w:eastAsiaTheme="minorEastAsia" w:hAnsiTheme="minorEastAsia"/>
                        <w:kern w:val="2"/>
                        <w:szCs w:val="28"/>
                      </w:rPr>
                    </w:pPr>
                    <w:r>
                      <w:rPr>
                        <w:rStyle w:val="5Char1"/>
                        <w:rFonts w:asciiTheme="minorEastAsia" w:eastAsiaTheme="minorEastAsia" w:hAnsiTheme="minorEastAsia"/>
                        <w:b w:val="0"/>
                        <w:bCs w:val="0"/>
                      </w:rPr>
                      <w:t>69,722,550.37</w:t>
                    </w:r>
                  </w:p>
                </w:tc>
                <w:tc>
                  <w:tcPr>
                    <w:tcW w:w="460" w:type="pct"/>
                    <w:vAlign w:val="center"/>
                  </w:tcPr>
                  <w:p w14:paraId="080E00D5"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1.08</w:t>
                    </w:r>
                  </w:p>
                </w:tc>
                <w:tc>
                  <w:tcPr>
                    <w:tcW w:w="613" w:type="pct"/>
                    <w:vAlign w:val="center"/>
                  </w:tcPr>
                  <w:p w14:paraId="1C42AD51"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54,265,043.89</w:t>
                    </w:r>
                  </w:p>
                </w:tc>
                <w:tc>
                  <w:tcPr>
                    <w:tcW w:w="511" w:type="pct"/>
                    <w:vAlign w:val="center"/>
                  </w:tcPr>
                  <w:p w14:paraId="44FFD045"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0.99</w:t>
                    </w:r>
                  </w:p>
                </w:tc>
                <w:tc>
                  <w:tcPr>
                    <w:tcW w:w="461" w:type="pct"/>
                    <w:vAlign w:val="center"/>
                  </w:tcPr>
                  <w:p w14:paraId="24E5CAB9"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28.49</w:t>
                    </w:r>
                  </w:p>
                </w:tc>
                <w:tc>
                  <w:tcPr>
                    <w:tcW w:w="1627" w:type="pct"/>
                    <w:vAlign w:val="center"/>
                  </w:tcPr>
                  <w:p w14:paraId="1E9EE504"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主要系一年内到期的长期借款增加所致</w:t>
                    </w:r>
                  </w:p>
                </w:tc>
              </w:tr>
            </w:sdtContent>
          </w:sdt>
          <w:sdt>
            <w:sdtPr>
              <w:rPr>
                <w:rStyle w:val="5Char1"/>
                <w:rFonts w:asciiTheme="minorEastAsia" w:eastAsiaTheme="minorEastAsia" w:hAnsiTheme="minorEastAsia" w:cstheme="minorBidi" w:hint="eastAsia"/>
                <w:b w:val="0"/>
                <w:bCs w:val="0"/>
              </w:rPr>
              <w:alias w:val="资产负债状况分析"/>
              <w:tag w:val="_TUP_5b9451a24cf94bb19fcd924892517ec7"/>
              <w:id w:val="-1450394695"/>
            </w:sdtPr>
            <w:sdtEndPr>
              <w:rPr>
                <w:rStyle w:val="5Char1"/>
              </w:rPr>
            </w:sdtEndPr>
            <w:sdtContent>
              <w:tr w:rsidR="00830E72" w14:paraId="06022DCD" w14:textId="77777777">
                <w:trPr>
                  <w:trHeight w:val="135"/>
                </w:trPr>
                <w:tc>
                  <w:tcPr>
                    <w:tcW w:w="542" w:type="pct"/>
                    <w:vAlign w:val="center"/>
                  </w:tcPr>
                  <w:p w14:paraId="1CA44AB2"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cstheme="minorBidi" w:hint="eastAsia"/>
                        <w:b w:val="0"/>
                        <w:bCs w:val="0"/>
                      </w:rPr>
                      <w:t>股本</w:t>
                    </w:r>
                  </w:p>
                </w:tc>
                <w:tc>
                  <w:tcPr>
                    <w:tcW w:w="786" w:type="pct"/>
                    <w:vAlign w:val="center"/>
                  </w:tcPr>
                  <w:p w14:paraId="65D25971"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618,924,235.00</w:t>
                    </w:r>
                  </w:p>
                </w:tc>
                <w:tc>
                  <w:tcPr>
                    <w:tcW w:w="460" w:type="pct"/>
                    <w:vAlign w:val="center"/>
                  </w:tcPr>
                  <w:p w14:paraId="51BE2887"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9.57</w:t>
                    </w:r>
                  </w:p>
                </w:tc>
                <w:tc>
                  <w:tcPr>
                    <w:tcW w:w="613" w:type="pct"/>
                    <w:vAlign w:val="center"/>
                  </w:tcPr>
                  <w:p w14:paraId="0725B324"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499,000,000.00</w:t>
                    </w:r>
                  </w:p>
                </w:tc>
                <w:tc>
                  <w:tcPr>
                    <w:tcW w:w="511" w:type="pct"/>
                    <w:vAlign w:val="center"/>
                  </w:tcPr>
                  <w:p w14:paraId="4C56155D"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9.11</w:t>
                    </w:r>
                  </w:p>
                </w:tc>
                <w:tc>
                  <w:tcPr>
                    <w:tcW w:w="461" w:type="pct"/>
                    <w:vAlign w:val="center"/>
                  </w:tcPr>
                  <w:p w14:paraId="1D7E6DD9"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24.03</w:t>
                    </w:r>
                  </w:p>
                </w:tc>
                <w:tc>
                  <w:tcPr>
                    <w:tcW w:w="1627" w:type="pct"/>
                    <w:vAlign w:val="center"/>
                  </w:tcPr>
                  <w:p w14:paraId="1648E83D"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主要系非公开发行股票所致</w:t>
                    </w:r>
                  </w:p>
                </w:tc>
              </w:tr>
            </w:sdtContent>
          </w:sdt>
          <w:sdt>
            <w:sdtPr>
              <w:rPr>
                <w:rStyle w:val="5Char1"/>
                <w:rFonts w:asciiTheme="minorEastAsia" w:eastAsiaTheme="minorEastAsia" w:hAnsiTheme="minorEastAsia" w:cstheme="minorBidi" w:hint="eastAsia"/>
                <w:b w:val="0"/>
                <w:bCs w:val="0"/>
              </w:rPr>
              <w:alias w:val="资产负债状况分析"/>
              <w:tag w:val="_TUP_5b9451a24cf94bb19fcd924892517ec7"/>
              <w:id w:val="1882211303"/>
            </w:sdtPr>
            <w:sdtEndPr>
              <w:rPr>
                <w:rStyle w:val="5Char1"/>
              </w:rPr>
            </w:sdtEndPr>
            <w:sdtContent>
              <w:tr w:rsidR="00830E72" w14:paraId="3952D9BA" w14:textId="77777777">
                <w:trPr>
                  <w:trHeight w:val="135"/>
                </w:trPr>
                <w:tc>
                  <w:tcPr>
                    <w:tcW w:w="542" w:type="pct"/>
                    <w:vAlign w:val="center"/>
                  </w:tcPr>
                  <w:p w14:paraId="1CA3C972"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cstheme="minorBidi"/>
                        <w:b w:val="0"/>
                        <w:bCs w:val="0"/>
                      </w:rPr>
                      <w:t>资本公积</w:t>
                    </w:r>
                  </w:p>
                </w:tc>
                <w:tc>
                  <w:tcPr>
                    <w:tcW w:w="786" w:type="pct"/>
                    <w:vAlign w:val="center"/>
                  </w:tcPr>
                  <w:p w14:paraId="5273E830"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951,323,345.38</w:t>
                    </w:r>
                  </w:p>
                </w:tc>
                <w:tc>
                  <w:tcPr>
                    <w:tcW w:w="460" w:type="pct"/>
                    <w:vAlign w:val="center"/>
                  </w:tcPr>
                  <w:p w14:paraId="439F681B"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14.70</w:t>
                    </w:r>
                  </w:p>
                </w:tc>
                <w:tc>
                  <w:tcPr>
                    <w:tcW w:w="613" w:type="pct"/>
                    <w:vAlign w:val="center"/>
                  </w:tcPr>
                  <w:p w14:paraId="5569B883"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b w:val="0"/>
                        <w:bCs w:val="0"/>
                      </w:rPr>
                      <w:t>212,034,615.01</w:t>
                    </w:r>
                  </w:p>
                </w:tc>
                <w:tc>
                  <w:tcPr>
                    <w:tcW w:w="511" w:type="pct"/>
                    <w:vAlign w:val="center"/>
                  </w:tcPr>
                  <w:p w14:paraId="53D85839"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3.87</w:t>
                    </w:r>
                  </w:p>
                </w:tc>
                <w:tc>
                  <w:tcPr>
                    <w:tcW w:w="461" w:type="pct"/>
                    <w:vAlign w:val="center"/>
                  </w:tcPr>
                  <w:p w14:paraId="2DBD6C5B" w14:textId="77777777" w:rsidR="00830E72" w:rsidRDefault="008344D8">
                    <w:pPr>
                      <w:jc w:val="right"/>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348.66</w:t>
                    </w:r>
                  </w:p>
                </w:tc>
                <w:tc>
                  <w:tcPr>
                    <w:tcW w:w="1627" w:type="pct"/>
                    <w:vAlign w:val="center"/>
                  </w:tcPr>
                  <w:p w14:paraId="56F2BD3E" w14:textId="77777777" w:rsidR="00830E72" w:rsidRDefault="008344D8">
                    <w:pPr>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主要系非公开发行股票所致</w:t>
                    </w:r>
                  </w:p>
                </w:tc>
              </w:tr>
            </w:sdtContent>
          </w:sdt>
        </w:tbl>
        <w:p w14:paraId="3A77851E" w14:textId="77777777" w:rsidR="00830E72" w:rsidRDefault="00D44830"/>
      </w:sdtContent>
    </w:sdt>
    <w:bookmarkEnd w:id="29"/>
    <w:p w14:paraId="163AB3DB" w14:textId="77777777" w:rsidR="00830E72" w:rsidRDefault="00830E72">
      <w:pPr>
        <w:rPr>
          <w:szCs w:val="21"/>
        </w:rPr>
        <w:sectPr w:rsidR="00830E72">
          <w:pgSz w:w="16838" w:h="11906" w:orient="landscape"/>
          <w:pgMar w:top="1276" w:right="1440" w:bottom="1797" w:left="1525" w:header="851" w:footer="992" w:gutter="0"/>
          <w:cols w:space="425"/>
          <w:docGrid w:linePitch="312"/>
        </w:sectPr>
      </w:pPr>
    </w:p>
    <w:p w14:paraId="651297DF" w14:textId="77777777" w:rsidR="00830E72" w:rsidRDefault="008344D8">
      <w:pPr>
        <w:pStyle w:val="Style100"/>
        <w:numPr>
          <w:ilvl w:val="0"/>
          <w:numId w:val="8"/>
        </w:numPr>
        <w:ind w:left="0" w:firstLine="0"/>
        <w:rPr>
          <w:rFonts w:ascii="宋体" w:hAnsi="宋体"/>
          <w:szCs w:val="21"/>
        </w:rPr>
      </w:pPr>
      <w:r>
        <w:rPr>
          <w:rFonts w:ascii="宋体" w:hAnsi="宋体" w:hint="eastAsia"/>
          <w:szCs w:val="21"/>
        </w:rPr>
        <w:lastRenderedPageBreak/>
        <w:t>境外资产</w:t>
      </w:r>
      <w:r>
        <w:rPr>
          <w:rFonts w:ascii="宋体" w:hAnsi="宋体"/>
          <w:szCs w:val="21"/>
        </w:rPr>
        <w:t>情</w:t>
      </w:r>
      <w:r>
        <w:rPr>
          <w:rFonts w:ascii="宋体" w:hAnsi="宋体" w:hint="eastAsia"/>
          <w:szCs w:val="21"/>
        </w:rPr>
        <w:t>况</w:t>
      </w:r>
    </w:p>
    <w:sdt>
      <w:sdtPr>
        <w:rPr>
          <w:szCs w:val="21"/>
        </w:rPr>
        <w:alias w:val="是否适用：境外资产情况 [双击切换]"/>
        <w:tag w:val="_GBC_95d71e9a9dcd4966863ba2859a3bf0b7"/>
        <w:id w:val="438416229"/>
        <w:lock w:val="sdtContentLocked"/>
        <w:placeholder>
          <w:docPart w:val="GBC22222222222222222222222222222"/>
        </w:placeholder>
      </w:sdtPr>
      <w:sdtEndPr/>
      <w:sdtContent>
        <w:p w14:paraId="15593283" w14:textId="77777777" w:rsidR="00830E72" w:rsidRDefault="008344D8">
          <w:pPr>
            <w:rPr>
              <w:color w:val="000000" w:themeColor="text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b w:val="0"/>
          <w:bCs w:val="0"/>
          <w:kern w:val="0"/>
          <w:szCs w:val="21"/>
        </w:rPr>
        <w:alias w:val="模块:截至报告期末主要资产受限情"/>
        <w:tag w:val="_SEC_390cddc4349f46b4bcccd468c3e69d14"/>
        <w:id w:val="-1736393679"/>
        <w:lock w:val="sdtLocked"/>
        <w:placeholder>
          <w:docPart w:val="GBC22222222222222222222222222222"/>
        </w:placeholder>
      </w:sdtPr>
      <w:sdtEndPr>
        <w:rPr>
          <w:rFonts w:hint="eastAsia"/>
          <w:color w:val="000000" w:themeColor="text1"/>
        </w:rPr>
      </w:sdtEndPr>
      <w:sdtContent>
        <w:p w14:paraId="19F37FAB" w14:textId="77777777" w:rsidR="00830E72" w:rsidRDefault="008344D8">
          <w:pPr>
            <w:pStyle w:val="Style100"/>
            <w:numPr>
              <w:ilvl w:val="0"/>
              <w:numId w:val="8"/>
            </w:numPr>
            <w:rPr>
              <w:rFonts w:ascii="宋体" w:hAnsi="宋体"/>
              <w:szCs w:val="21"/>
            </w:rPr>
          </w:pPr>
          <w:r>
            <w:rPr>
              <w:rFonts w:ascii="宋体" w:hAnsi="宋体"/>
              <w:szCs w:val="21"/>
            </w:rPr>
            <w:t>截至报告期末主要资产受限情</w:t>
          </w:r>
          <w:r>
            <w:rPr>
              <w:rFonts w:ascii="宋体" w:hAnsi="宋体" w:hint="eastAsia"/>
              <w:szCs w:val="21"/>
            </w:rPr>
            <w:t>况</w:t>
          </w:r>
        </w:p>
        <w:sdt>
          <w:sdtPr>
            <w:rPr>
              <w:rFonts w:hint="eastAsia"/>
              <w:color w:val="000000" w:themeColor="text1"/>
              <w:szCs w:val="21"/>
            </w:rPr>
            <w:alias w:val="是否适用：主要资产受限情况[双击切换]"/>
            <w:tag w:val="_GBC_e9f1a2b3f13345eaac848c40837fffbb"/>
            <w:id w:val="-2054534231"/>
            <w:lock w:val="sdtContentLocked"/>
            <w:placeholder>
              <w:docPart w:val="GBC22222222222222222222222222222"/>
            </w:placeholder>
          </w:sdtPr>
          <w:sdtEndPr/>
          <w:sdtContent>
            <w:p w14:paraId="2D757FD1" w14:textId="77777777" w:rsidR="00830E72" w:rsidRDefault="008344D8">
              <w:pPr>
                <w:rPr>
                  <w:color w:val="000000" w:themeColor="text1"/>
                  <w:szCs w:val="21"/>
                </w:rPr>
              </w:pPr>
              <w:r>
                <w:rPr>
                  <w:color w:val="000000" w:themeColor="text1"/>
                  <w:szCs w:val="21"/>
                </w:rPr>
                <w:fldChar w:fldCharType="begin"/>
              </w:r>
              <w:r>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sdt>
          <w:sdtPr>
            <w:rPr>
              <w:color w:val="000000" w:themeColor="text1"/>
              <w:szCs w:val="21"/>
            </w:rPr>
            <w:alias w:val="主要资产受限情况"/>
            <w:tag w:val="_GBC_a45de9537ca94b758cc1d9c201a60b53"/>
            <w:id w:val="-2012594016"/>
            <w:lock w:val="sdtLocked"/>
            <w:placeholder>
              <w:docPart w:val="GBC22222222222222222222222222222"/>
            </w:placeholder>
          </w:sdtPr>
          <w:sdtEndPr/>
          <w:sdtContent>
            <w:p w14:paraId="0FB52D5A" w14:textId="3BF7E4EA" w:rsidR="00830E72" w:rsidRDefault="008344D8">
              <w:pPr>
                <w:rPr>
                  <w:color w:val="000000" w:themeColor="text1"/>
                  <w:szCs w:val="21"/>
                </w:rPr>
              </w:pPr>
              <w:r>
                <w:rPr>
                  <w:rFonts w:hint="eastAsia"/>
                  <w:color w:val="000000" w:themeColor="text1"/>
                  <w:szCs w:val="21"/>
                </w:rPr>
                <w:t>详见“第十节、财务报告”之“七、合并财务报表项目注释”之“</w:t>
              </w:r>
              <w:r>
                <w:rPr>
                  <w:color w:val="000000" w:themeColor="text1"/>
                  <w:szCs w:val="21"/>
                </w:rPr>
                <w:t>81、所有权或使用权受到</w:t>
              </w:r>
              <w:r w:rsidR="00D9539F">
                <w:rPr>
                  <w:rFonts w:hint="eastAsia"/>
                  <w:color w:val="000000" w:themeColor="text1"/>
                  <w:szCs w:val="21"/>
                </w:rPr>
                <w:t>限制</w:t>
              </w:r>
              <w:r>
                <w:rPr>
                  <w:color w:val="000000" w:themeColor="text1"/>
                  <w:szCs w:val="21"/>
                </w:rPr>
                <w:t>的资产”。</w:t>
              </w:r>
            </w:p>
          </w:sdtContent>
        </w:sdt>
      </w:sdtContent>
    </w:sdt>
    <w:sdt>
      <w:sdtPr>
        <w:rPr>
          <w:rFonts w:ascii="宋体" w:hAnsi="宋体" w:cs="宋体"/>
          <w:b w:val="0"/>
          <w:bCs w:val="0"/>
          <w:kern w:val="0"/>
          <w:szCs w:val="21"/>
        </w:rPr>
        <w:alias w:val="模块:其他说明"/>
        <w:tag w:val="_SEC_a3069c29080242b4a4de48db80a4164e"/>
        <w:id w:val="-574364709"/>
        <w:lock w:val="sdtLocked"/>
        <w:placeholder>
          <w:docPart w:val="GBC22222222222222222222222222222"/>
        </w:placeholder>
      </w:sdtPr>
      <w:sdtEndPr>
        <w:rPr>
          <w:rFonts w:hint="eastAsia"/>
        </w:rPr>
      </w:sdtEndPr>
      <w:sdtContent>
        <w:p w14:paraId="3499808E" w14:textId="77777777" w:rsidR="00830E72" w:rsidRDefault="008344D8">
          <w:pPr>
            <w:pStyle w:val="Style100"/>
            <w:numPr>
              <w:ilvl w:val="0"/>
              <w:numId w:val="8"/>
            </w:numPr>
            <w:rPr>
              <w:rFonts w:ascii="宋体" w:hAnsi="宋体"/>
              <w:szCs w:val="21"/>
            </w:rPr>
          </w:pPr>
          <w:r>
            <w:rPr>
              <w:rFonts w:ascii="宋体" w:hAnsi="宋体"/>
              <w:szCs w:val="21"/>
            </w:rPr>
            <w:t>其他说明</w:t>
          </w:r>
        </w:p>
        <w:sdt>
          <w:sdtPr>
            <w:rPr>
              <w:rFonts w:hint="eastAsia"/>
              <w:szCs w:val="21"/>
            </w:rPr>
            <w:alias w:val="是否适用：资产及负债状况的其他说明[双击切换]"/>
            <w:tag w:val="_GBC_ba674147d80648fba521aedf33ce0b27"/>
            <w:id w:val="1065986885"/>
            <w:lock w:val="sdtContentLocked"/>
            <w:placeholder>
              <w:docPart w:val="GBC22222222222222222222222222222"/>
            </w:placeholder>
          </w:sdtPr>
          <w:sdtEndPr/>
          <w:sdtContent>
            <w:p w14:paraId="7FE59D86"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6D92AFF" w14:textId="77777777" w:rsidR="00830E72" w:rsidRDefault="008344D8">
      <w:pPr>
        <w:pStyle w:val="Style99"/>
        <w:numPr>
          <w:ilvl w:val="0"/>
          <w:numId w:val="6"/>
        </w:numPr>
        <w:rPr>
          <w:rFonts w:ascii="宋体" w:hAnsi="宋体"/>
        </w:rPr>
      </w:pPr>
      <w:r>
        <w:rPr>
          <w:rFonts w:ascii="宋体" w:hAnsi="宋体" w:hint="eastAsia"/>
        </w:rPr>
        <w:t>投资状况分析</w:t>
      </w:r>
    </w:p>
    <w:sdt>
      <w:sdtPr>
        <w:rPr>
          <w:rFonts w:ascii="宋体" w:hAnsi="宋体" w:cs="宋体"/>
          <w:b w:val="0"/>
          <w:bCs w:val="0"/>
          <w:kern w:val="0"/>
          <w:szCs w:val="24"/>
        </w:rPr>
        <w:alias w:val="模块:对外股权投资总体分析"/>
        <w:tag w:val="_SEC_e7a08c655c9844a8b5127e2ae800064c"/>
        <w:id w:val="-682593073"/>
        <w:lock w:val="sdtLocked"/>
        <w:placeholder>
          <w:docPart w:val="GBC22222222222222222222222222222"/>
        </w:placeholder>
      </w:sdtPr>
      <w:sdtEndPr>
        <w:rPr>
          <w:rFonts w:hint="eastAsia"/>
        </w:rPr>
      </w:sdtEndPr>
      <w:sdtContent>
        <w:p w14:paraId="7453424A" w14:textId="77777777" w:rsidR="00830E72" w:rsidRDefault="008344D8">
          <w:pPr>
            <w:pStyle w:val="Style100"/>
            <w:numPr>
              <w:ilvl w:val="0"/>
              <w:numId w:val="9"/>
            </w:numPr>
            <w:rPr>
              <w:rFonts w:ascii="宋体" w:hAnsi="宋体"/>
            </w:rPr>
          </w:pPr>
          <w:r>
            <w:rPr>
              <w:rFonts w:ascii="宋体" w:hAnsi="宋体"/>
            </w:rPr>
            <w:t>对外股权投资总体分析</w:t>
          </w:r>
        </w:p>
        <w:p w14:paraId="3922FFED" w14:textId="77777777" w:rsidR="00830E72" w:rsidRDefault="00D44830">
          <w:sdt>
            <w:sdtPr>
              <w:alias w:val="是否适用：对外股权投资总体分析[双击切换]"/>
              <w:tag w:val="_GBC_d1852fb41d2a420f9f1d78c35235341a"/>
              <w:id w:val="-1675329600"/>
              <w:lock w:val="sdtContentLocked"/>
              <w:placeholder>
                <w:docPart w:val="GBC22222222222222222222222222222"/>
              </w:placeholder>
            </w:sdtPr>
            <w:sdtEndPr/>
            <w:sdtContent>
              <w:r w:rsidR="008344D8">
                <w:fldChar w:fldCharType="begin"/>
              </w:r>
              <w:r w:rsidR="008344D8">
                <w:instrText xml:space="preserve"> MACROBUTTON  SnrToggleCheckbox √适用 </w:instrText>
              </w:r>
              <w:r w:rsidR="008344D8">
                <w:fldChar w:fldCharType="end"/>
              </w:r>
              <w:r w:rsidR="008344D8">
                <w:fldChar w:fldCharType="begin"/>
              </w:r>
              <w:r w:rsidR="008344D8">
                <w:instrText xml:space="preserve"> MACROBUTTON  SnrToggleCheckbox □不适用 </w:instrText>
              </w:r>
              <w:r w:rsidR="008344D8">
                <w:fldChar w:fldCharType="end"/>
              </w:r>
            </w:sdtContent>
          </w:sdt>
        </w:p>
        <w:sdt>
          <w:sdtPr>
            <w:alias w:val="对外股权投资总体分析"/>
            <w:tag w:val="_GBC_cef6637b11fc44ed960eb269931b50e8"/>
            <w:id w:val="-408154614"/>
            <w:lock w:val="sdtLocked"/>
          </w:sdtPr>
          <w:sdtEndPr/>
          <w:sdtContent>
            <w:p w14:paraId="0EC1086F" w14:textId="77777777" w:rsidR="00830E72" w:rsidRDefault="008344D8">
              <w:pPr>
                <w:jc w:val="right"/>
              </w:pPr>
              <w:r>
                <w:rPr>
                  <w:rFonts w:hint="eastAsia"/>
                </w:rPr>
                <w:t>单位：元</w:t>
              </w:r>
            </w:p>
            <w:tbl>
              <w:tblPr>
                <w:tblStyle w:val="g2"/>
                <w:tblW w:w="0" w:type="auto"/>
                <w:tblLook w:val="04A0" w:firstRow="1" w:lastRow="0" w:firstColumn="1" w:lastColumn="0" w:noHBand="0" w:noVBand="1"/>
              </w:tblPr>
              <w:tblGrid>
                <w:gridCol w:w="3369"/>
                <w:gridCol w:w="2268"/>
                <w:gridCol w:w="1842"/>
                <w:gridCol w:w="1570"/>
              </w:tblGrid>
              <w:tr w:rsidR="00830E72" w14:paraId="1DCC35D7" w14:textId="77777777">
                <w:tc>
                  <w:tcPr>
                    <w:tcW w:w="3369" w:type="dxa"/>
                  </w:tcPr>
                  <w:p w14:paraId="1E6D3BEE" w14:textId="77777777" w:rsidR="00830E72" w:rsidRDefault="008344D8">
                    <w:pPr>
                      <w:jc w:val="center"/>
                    </w:pPr>
                    <w:r>
                      <w:rPr>
                        <w:rFonts w:hint="eastAsia"/>
                      </w:rPr>
                      <w:t>2021年6月末对外股权投资总额</w:t>
                    </w:r>
                  </w:p>
                </w:tc>
                <w:tc>
                  <w:tcPr>
                    <w:tcW w:w="2268" w:type="dxa"/>
                  </w:tcPr>
                  <w:p w14:paraId="5FA0D660" w14:textId="19313D57" w:rsidR="00830E72" w:rsidRDefault="006F38A0">
                    <w:pPr>
                      <w:jc w:val="center"/>
                    </w:pPr>
                    <w:r>
                      <w:rPr>
                        <w:rFonts w:hint="eastAsia"/>
                      </w:rPr>
                      <w:t>2</w:t>
                    </w:r>
                    <w:r>
                      <w:t>020</w:t>
                    </w:r>
                    <w:r>
                      <w:rPr>
                        <w:rFonts w:hint="eastAsia"/>
                      </w:rPr>
                      <w:t>年末</w:t>
                    </w:r>
                    <w:r w:rsidR="008344D8">
                      <w:rPr>
                        <w:rFonts w:hint="eastAsia"/>
                      </w:rPr>
                      <w:t>金额</w:t>
                    </w:r>
                  </w:p>
                </w:tc>
                <w:tc>
                  <w:tcPr>
                    <w:tcW w:w="1842" w:type="dxa"/>
                  </w:tcPr>
                  <w:p w14:paraId="384D1491" w14:textId="77777777" w:rsidR="00830E72" w:rsidRDefault="008344D8">
                    <w:pPr>
                      <w:jc w:val="center"/>
                    </w:pPr>
                    <w:r>
                      <w:rPr>
                        <w:rFonts w:hint="eastAsia"/>
                      </w:rPr>
                      <w:t>变动金额</w:t>
                    </w:r>
                  </w:p>
                </w:tc>
                <w:tc>
                  <w:tcPr>
                    <w:tcW w:w="1570" w:type="dxa"/>
                  </w:tcPr>
                  <w:p w14:paraId="001AC38A" w14:textId="77777777" w:rsidR="00830E72" w:rsidRDefault="008344D8">
                    <w:pPr>
                      <w:jc w:val="center"/>
                    </w:pPr>
                    <w:r>
                      <w:rPr>
                        <w:rFonts w:hint="eastAsia"/>
                      </w:rPr>
                      <w:t>变动比例</w:t>
                    </w:r>
                  </w:p>
                </w:tc>
              </w:tr>
              <w:tr w:rsidR="00830E72" w14:paraId="057B68F9" w14:textId="77777777">
                <w:tc>
                  <w:tcPr>
                    <w:tcW w:w="3369" w:type="dxa"/>
                  </w:tcPr>
                  <w:p w14:paraId="3E3A2F21" w14:textId="77777777" w:rsidR="00830E72" w:rsidRDefault="008344D8">
                    <w:pPr>
                      <w:jc w:val="center"/>
                    </w:pPr>
                    <w:r>
                      <w:t>75,453,157.25</w:t>
                    </w:r>
                  </w:p>
                </w:tc>
                <w:tc>
                  <w:tcPr>
                    <w:tcW w:w="2268" w:type="dxa"/>
                  </w:tcPr>
                  <w:p w14:paraId="592EEBCA" w14:textId="6D98E58A" w:rsidR="00830E72" w:rsidRDefault="006F38A0">
                    <w:pPr>
                      <w:jc w:val="center"/>
                    </w:pPr>
                    <w:r w:rsidRPr="006F38A0">
                      <w:t>75,453,157.25</w:t>
                    </w:r>
                  </w:p>
                </w:tc>
                <w:tc>
                  <w:tcPr>
                    <w:tcW w:w="1842" w:type="dxa"/>
                  </w:tcPr>
                  <w:p w14:paraId="78188650" w14:textId="3A9DE4AA" w:rsidR="00830E72" w:rsidRDefault="006F38A0">
                    <w:pPr>
                      <w:jc w:val="center"/>
                    </w:pPr>
                    <w:r>
                      <w:t>0</w:t>
                    </w:r>
                  </w:p>
                </w:tc>
                <w:tc>
                  <w:tcPr>
                    <w:tcW w:w="1570" w:type="dxa"/>
                  </w:tcPr>
                  <w:p w14:paraId="5FE59469" w14:textId="58E22A74" w:rsidR="00830E72" w:rsidRDefault="006F38A0">
                    <w:pPr>
                      <w:jc w:val="center"/>
                    </w:pPr>
                    <w:r>
                      <w:t>0</w:t>
                    </w:r>
                    <w:r w:rsidR="008344D8">
                      <w:rPr>
                        <w:rFonts w:hint="eastAsia"/>
                      </w:rPr>
                      <w:t>%</w:t>
                    </w:r>
                  </w:p>
                </w:tc>
              </w:tr>
            </w:tbl>
            <w:p w14:paraId="6A76D05A" w14:textId="59395CB8" w:rsidR="00830E72" w:rsidRDefault="006F38A0">
              <w:r>
                <w:t xml:space="preserve"> </w:t>
              </w:r>
            </w:p>
          </w:sdtContent>
        </w:sdt>
      </w:sdtContent>
    </w:sdt>
    <w:sdt>
      <w:sdtPr>
        <w:rPr>
          <w:rFonts w:ascii="宋体" w:hAnsi="宋体" w:cs="宋体" w:hint="eastAsia"/>
          <w:b w:val="0"/>
          <w:bCs w:val="0"/>
          <w:kern w:val="0"/>
          <w:szCs w:val="21"/>
        </w:rPr>
        <w:alias w:val="模块:重大的股权投资"/>
        <w:tag w:val="_SEC_72e4a7e3254a45e8898d094084d31b27"/>
        <w:id w:val="-1998796397"/>
        <w:lock w:val="sdtLocked"/>
        <w:placeholder>
          <w:docPart w:val="GBC22222222222222222222222222222"/>
        </w:placeholder>
      </w:sdtPr>
      <w:sdtEndPr>
        <w:rPr>
          <w:szCs w:val="24"/>
        </w:rPr>
      </w:sdtEndPr>
      <w:sdtContent>
        <w:p w14:paraId="6B23F9DD" w14:textId="77777777" w:rsidR="00830E72" w:rsidRDefault="008344D8">
          <w:pPr>
            <w:pStyle w:val="Style101"/>
            <w:numPr>
              <w:ilvl w:val="0"/>
              <w:numId w:val="10"/>
            </w:numPr>
            <w:rPr>
              <w:rFonts w:ascii="宋体" w:hAnsi="宋体"/>
              <w:szCs w:val="21"/>
            </w:rPr>
          </w:pPr>
          <w:r>
            <w:rPr>
              <w:rFonts w:ascii="宋体" w:hAnsi="宋体" w:hint="eastAsia"/>
              <w:szCs w:val="21"/>
            </w:rPr>
            <w:t>重大的股权投资</w:t>
          </w:r>
        </w:p>
        <w:sdt>
          <w:sdtPr>
            <w:rPr>
              <w:rFonts w:cs="Times New Roman" w:hint="eastAsia"/>
              <w:kern w:val="2"/>
              <w:szCs w:val="21"/>
            </w:rPr>
            <w:alias w:val="是否适用：重大的股权投资[双击切换]"/>
            <w:tag w:val="_GBC_f8bfa224d9f34f9e99e6f78de51aa576"/>
            <w:id w:val="-2044971643"/>
            <w:lock w:val="sdtContentLocked"/>
            <w:placeholder>
              <w:docPart w:val="GBC22222222222222222222222222222"/>
            </w:placeholder>
          </w:sdtPr>
          <w:sdtEndPr/>
          <w:sdtContent>
            <w:p w14:paraId="5E358613"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重大的股权投资情况"/>
            <w:tag w:val="_GBC_66534194d2ce4e8885ec7560835fd79f"/>
            <w:id w:val="912585262"/>
            <w:lock w:val="sdtLocked"/>
          </w:sdtPr>
          <w:sdtEndPr/>
          <w:sdtContent>
            <w:p w14:paraId="46656B3B" w14:textId="77777777" w:rsidR="00830E72" w:rsidRDefault="008344D8">
              <w:pPr>
                <w:ind w:firstLineChars="200" w:firstLine="420"/>
                <w:jc w:val="both"/>
              </w:pPr>
              <w:r>
                <w:t>2021年6月28日，公司召开第二届董事会第十五次会议及第二届监事会第十一次会议，审议通过了《关于调整购买资产方案的议案》，同意公司</w:t>
              </w:r>
              <w:r>
                <w:rPr>
                  <w:rFonts w:hint="eastAsia"/>
                </w:rPr>
                <w:t>调整</w:t>
              </w:r>
              <w:r>
                <w:t>购买资产方案。结合本次调整方案涉及资产的评估作价情况，本次交易不构成重大资产重组事项，因此公司决定终止筹划重大资产重组事项，并将按照购买资产的相关审议程序继续推进本次交易。相关内容详见《安徽省交通建设股份有限公司关于调整购买资产方案的公告》（公告编号2021-036）</w:t>
              </w:r>
              <w:r>
                <w:rPr>
                  <w:rFonts w:hint="eastAsia"/>
                </w:rPr>
                <w:t>。</w:t>
              </w:r>
            </w:p>
          </w:sdtContent>
        </w:sdt>
      </w:sdtContent>
    </w:sdt>
    <w:sdt>
      <w:sdtPr>
        <w:rPr>
          <w:rFonts w:ascii="宋体" w:hAnsi="宋体" w:cs="宋体" w:hint="eastAsia"/>
          <w:b w:val="0"/>
          <w:bCs w:val="0"/>
          <w:kern w:val="0"/>
          <w:szCs w:val="21"/>
        </w:rPr>
        <w:alias w:val="模块:重大的非股权投资"/>
        <w:tag w:val="_SEC_ac9932f6d2bb4e35b86dbcc496bca6c4"/>
        <w:id w:val="-1944293694"/>
        <w:lock w:val="sdtLocked"/>
        <w:placeholder>
          <w:docPart w:val="GBC22222222222222222222222222222"/>
        </w:placeholder>
      </w:sdtPr>
      <w:sdtEndPr>
        <w:rPr>
          <w:szCs w:val="24"/>
        </w:rPr>
      </w:sdtEndPr>
      <w:sdtContent>
        <w:p w14:paraId="3BCF9897" w14:textId="77777777" w:rsidR="00830E72" w:rsidRDefault="008344D8">
          <w:pPr>
            <w:pStyle w:val="Style101"/>
            <w:numPr>
              <w:ilvl w:val="0"/>
              <w:numId w:val="10"/>
            </w:numPr>
            <w:rPr>
              <w:rFonts w:ascii="宋体" w:hAnsi="宋体"/>
              <w:szCs w:val="21"/>
            </w:rPr>
          </w:pPr>
          <w:r>
            <w:rPr>
              <w:rFonts w:ascii="宋体" w:hAnsi="宋体" w:hint="eastAsia"/>
              <w:szCs w:val="21"/>
            </w:rPr>
            <w:t>重大的非股权投资</w:t>
          </w:r>
        </w:p>
        <w:sdt>
          <w:sdtPr>
            <w:rPr>
              <w:rFonts w:hint="eastAsia"/>
            </w:rPr>
            <w:alias w:val="是否适用：重大的非股权投资[双击切换]"/>
            <w:tag w:val="_GBC_ea7fdcb7583549f38c0db41e73af0a8b"/>
            <w:id w:val="-540207669"/>
            <w:lock w:val="sdtContentLocked"/>
            <w:placeholder>
              <w:docPart w:val="GBC22222222222222222222222222222"/>
            </w:placeholder>
          </w:sdtPr>
          <w:sdtEndPr/>
          <w:sdtContent>
            <w:p w14:paraId="261DB0C0"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以公允价值计量的金融资产"/>
        <w:tag w:val="_SEC_e1149f3e433f42c9895dce036b5525db"/>
        <w:id w:val="1223183508"/>
        <w:lock w:val="sdtLocked"/>
        <w:placeholder>
          <w:docPart w:val="GBC22222222222222222222222222222"/>
        </w:placeholder>
      </w:sdtPr>
      <w:sdtEndPr/>
      <w:sdtContent>
        <w:p w14:paraId="5C126BB2" w14:textId="77777777" w:rsidR="00830E72" w:rsidRDefault="008344D8">
          <w:pPr>
            <w:pStyle w:val="Style101"/>
            <w:numPr>
              <w:ilvl w:val="0"/>
              <w:numId w:val="10"/>
            </w:numPr>
            <w:rPr>
              <w:rFonts w:ascii="宋体" w:hAnsi="宋体"/>
              <w:szCs w:val="21"/>
            </w:rPr>
          </w:pPr>
          <w:r>
            <w:rPr>
              <w:rFonts w:ascii="宋体" w:hAnsi="宋体" w:hint="eastAsia"/>
              <w:szCs w:val="21"/>
            </w:rPr>
            <w:t>以公允价值计量的金融资产</w:t>
          </w:r>
        </w:p>
        <w:sdt>
          <w:sdtPr>
            <w:rPr>
              <w:rFonts w:hint="eastAsia"/>
              <w:szCs w:val="21"/>
            </w:rPr>
            <w:alias w:val="是否适用：以公允价值计量的金融资产[双击切换]"/>
            <w:tag w:val="_GBC_b79a1e16dad54b258983c3fa6da7033b"/>
            <w:id w:val="971097852"/>
            <w:lock w:val="sdtContentLocked"/>
            <w:placeholder>
              <w:docPart w:val="GBC22222222222222222222222222222"/>
            </w:placeholder>
          </w:sdtPr>
          <w:sdtEndPr/>
          <w:sdtContent>
            <w:p w14:paraId="49BA8379"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13d8538a1f944759907f2b446bfead94"/>
            <w:id w:val="-1938364608"/>
            <w:lock w:val="sdtLocked"/>
          </w:sdtPr>
          <w:sdtEndPr/>
          <w:sdtContent>
            <w:p w14:paraId="1352A3CF" w14:textId="19104EA0" w:rsidR="00830E72" w:rsidRDefault="008344D8">
              <w:pPr>
                <w:ind w:firstLineChars="200" w:firstLine="420"/>
                <w:rPr>
                  <w:szCs w:val="21"/>
                </w:rPr>
              </w:pPr>
              <w:r>
                <w:rPr>
                  <w:szCs w:val="21"/>
                </w:rPr>
                <w:t>202</w:t>
              </w:r>
              <w:r>
                <w:rPr>
                  <w:rFonts w:hint="eastAsia"/>
                  <w:szCs w:val="21"/>
                </w:rPr>
                <w:t>1</w:t>
              </w:r>
              <w:r>
                <w:rPr>
                  <w:szCs w:val="21"/>
                </w:rPr>
                <w:t xml:space="preserve"> 年</w:t>
              </w:r>
              <w:r>
                <w:rPr>
                  <w:rFonts w:hint="eastAsia"/>
                  <w:szCs w:val="21"/>
                </w:rPr>
                <w:t>6月末</w:t>
              </w:r>
              <w:r>
                <w:rPr>
                  <w:szCs w:val="21"/>
                </w:rPr>
                <w:t>，以公允价值计量的金融资产金额 75,453,157.25 元，系对海口海中城建项目管</w:t>
              </w:r>
              <w:r>
                <w:rPr>
                  <w:rFonts w:hint="eastAsia"/>
                  <w:szCs w:val="21"/>
                </w:rPr>
                <w:t>理有限公司以及安徽水安建设集团股份有限公司投资采用公允价值计量</w:t>
              </w:r>
              <w:r w:rsidR="005B4FBB">
                <w:rPr>
                  <w:rFonts w:hint="eastAsia"/>
                  <w:szCs w:val="21"/>
                </w:rPr>
                <w:t>所致</w:t>
              </w:r>
              <w:r>
                <w:rPr>
                  <w:rFonts w:hint="eastAsia"/>
                  <w:szCs w:val="21"/>
                </w:rPr>
                <w:t>。</w:t>
              </w:r>
            </w:p>
          </w:sdtContent>
        </w:sdt>
      </w:sdtContent>
    </w:sdt>
    <w:sdt>
      <w:sdtPr>
        <w:rPr>
          <w:rFonts w:ascii="宋体" w:hAnsi="宋体" w:cs="宋体"/>
          <w:b w:val="0"/>
          <w:bCs w:val="0"/>
          <w:kern w:val="0"/>
          <w:szCs w:val="24"/>
        </w:rPr>
        <w:alias w:val="模块:重大资产和股权出售"/>
        <w:tag w:val="_SEC_04b9238e9d184f1bab78bd58a24f46ef"/>
        <w:id w:val="156732792"/>
        <w:lock w:val="sdtLocked"/>
        <w:placeholder>
          <w:docPart w:val="GBC22222222222222222222222222222"/>
        </w:placeholder>
      </w:sdtPr>
      <w:sdtEndPr>
        <w:rPr>
          <w:rFonts w:hint="eastAsia"/>
        </w:rPr>
      </w:sdtEndPr>
      <w:sdtContent>
        <w:p w14:paraId="6462F06C" w14:textId="77777777" w:rsidR="00830E72" w:rsidRDefault="008344D8">
          <w:pPr>
            <w:pStyle w:val="Style99"/>
            <w:numPr>
              <w:ilvl w:val="0"/>
              <w:numId w:val="6"/>
            </w:numPr>
            <w:rPr>
              <w:rFonts w:ascii="宋体" w:hAnsi="宋体"/>
            </w:rPr>
          </w:pPr>
          <w:r>
            <w:rPr>
              <w:rFonts w:ascii="宋体" w:hAnsi="宋体"/>
            </w:rPr>
            <w:t>重大资产和股权出售</w:t>
          </w:r>
        </w:p>
        <w:sdt>
          <w:sdtPr>
            <w:rPr>
              <w:rFonts w:hint="eastAsia"/>
            </w:rPr>
            <w:alias w:val="是否适用：重大资产和股权出售[双击切换]"/>
            <w:tag w:val="_GBC_f566f251245e49238092032f065852be"/>
            <w:id w:val="836881111"/>
            <w:lock w:val="sdtContentLocked"/>
            <w:placeholder>
              <w:docPart w:val="GBC22222222222222222222222222222"/>
            </w:placeholder>
          </w:sdtPr>
          <w:sdtEndPr/>
          <w:sdtContent>
            <w:p w14:paraId="42AE503A"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448979D" w14:textId="77777777" w:rsidR="00830E72" w:rsidRDefault="00830E72">
      <w:pPr>
        <w:sectPr w:rsidR="00830E72">
          <w:pgSz w:w="11906" w:h="16838"/>
          <w:pgMar w:top="1525" w:right="1276" w:bottom="1440" w:left="1797" w:header="851" w:footer="992" w:gutter="0"/>
          <w:cols w:space="425"/>
          <w:docGrid w:linePitch="312"/>
        </w:sectPr>
      </w:pPr>
    </w:p>
    <w:p w14:paraId="5FED3401" w14:textId="77777777" w:rsidR="00830E72" w:rsidRDefault="00830E72"/>
    <w:sdt>
      <w:sdtPr>
        <w:rPr>
          <w:rFonts w:ascii="宋体" w:hAnsi="宋体" w:cs="宋体"/>
          <w:b w:val="0"/>
          <w:bCs w:val="0"/>
          <w:kern w:val="0"/>
          <w:szCs w:val="22"/>
        </w:rPr>
        <w:alias w:val="模块:主要控股参股公司分析"/>
        <w:tag w:val="_SEC_2a2bbe84e5b044d9b42284613cdb120d"/>
        <w:id w:val="-560244304"/>
        <w:lock w:val="sdtLocked"/>
        <w:placeholder>
          <w:docPart w:val="GBC22222222222222222222222222222"/>
        </w:placeholder>
      </w:sdtPr>
      <w:sdtEndPr>
        <w:rPr>
          <w:rFonts w:hint="eastAsia"/>
          <w:szCs w:val="24"/>
        </w:rPr>
      </w:sdtEndPr>
      <w:sdtContent>
        <w:p w14:paraId="29F0FFA1" w14:textId="77777777" w:rsidR="00830E72" w:rsidRDefault="008344D8">
          <w:pPr>
            <w:pStyle w:val="Style99"/>
            <w:numPr>
              <w:ilvl w:val="0"/>
              <w:numId w:val="6"/>
            </w:numPr>
            <w:rPr>
              <w:rFonts w:ascii="宋体" w:hAnsi="宋体"/>
            </w:rPr>
          </w:pPr>
          <w:r>
            <w:rPr>
              <w:rFonts w:ascii="宋体" w:hAnsi="宋体" w:hint="eastAsia"/>
            </w:rPr>
            <w:t>主要控股参股公司分析</w:t>
          </w:r>
        </w:p>
        <w:sdt>
          <w:sdtPr>
            <w:alias w:val="是否适用：主要控股参股公司分析[双击切换]"/>
            <w:tag w:val="_GBC_3f3bd67865a44413bcd1143c0df7558d"/>
            <w:id w:val="1401481339"/>
            <w:lock w:val="sdtContentLocked"/>
            <w:placeholder>
              <w:docPart w:val="GBC22222222222222222222222222222"/>
            </w:placeholder>
          </w:sdtPr>
          <w:sdtEndPr/>
          <w:sdtContent>
            <w:p w14:paraId="1D8B813B"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主要子公司、参股公司分析"/>
            <w:tag w:val="_GBC_839e73df2f5d460cbcde577c1623d15c"/>
            <w:id w:val="-908075788"/>
            <w:lock w:val="sdtLocked"/>
            <w:placeholder>
              <w:docPart w:val="GBC22222222222222222222222222222"/>
            </w:placeholder>
          </w:sdtPr>
          <w:sdtEndPr/>
          <w:sdtContent>
            <w:p w14:paraId="0BE981B0" w14:textId="77777777" w:rsidR="00830E72" w:rsidRDefault="008344D8">
              <w:r>
                <w:rPr>
                  <w:rFonts w:hint="eastAsia"/>
                </w:rPr>
                <w:t>单位：万元</w:t>
              </w:r>
            </w:p>
            <w:tbl>
              <w:tblPr>
                <w:tblStyle w:val="g2"/>
                <w:tblW w:w="5000" w:type="pct"/>
                <w:tblLook w:val="04A0" w:firstRow="1" w:lastRow="0" w:firstColumn="1" w:lastColumn="0" w:noHBand="0" w:noVBand="1"/>
              </w:tblPr>
              <w:tblGrid>
                <w:gridCol w:w="4219"/>
                <w:gridCol w:w="1410"/>
                <w:gridCol w:w="2347"/>
                <w:gridCol w:w="1293"/>
                <w:gridCol w:w="1293"/>
                <w:gridCol w:w="1293"/>
                <w:gridCol w:w="1175"/>
                <w:gridCol w:w="1059"/>
              </w:tblGrid>
              <w:tr w:rsidR="00830E72" w14:paraId="117ECD78" w14:textId="77777777">
                <w:tc>
                  <w:tcPr>
                    <w:tcW w:w="1497" w:type="pct"/>
                  </w:tcPr>
                  <w:p w14:paraId="1820FAD5" w14:textId="77777777" w:rsidR="00830E72" w:rsidRDefault="008344D8">
                    <w:pPr>
                      <w:jc w:val="center"/>
                    </w:pPr>
                    <w:r>
                      <w:rPr>
                        <w:rFonts w:hint="eastAsia"/>
                      </w:rPr>
                      <w:t>子公司</w:t>
                    </w:r>
                  </w:p>
                </w:tc>
                <w:tc>
                  <w:tcPr>
                    <w:tcW w:w="500" w:type="pct"/>
                  </w:tcPr>
                  <w:p w14:paraId="44437234" w14:textId="77777777" w:rsidR="00830E72" w:rsidRDefault="008344D8">
                    <w:pPr>
                      <w:jc w:val="center"/>
                    </w:pPr>
                    <w:r>
                      <w:rPr>
                        <w:rFonts w:hint="eastAsia"/>
                      </w:rPr>
                      <w:t>子公司类型</w:t>
                    </w:r>
                  </w:p>
                </w:tc>
                <w:tc>
                  <w:tcPr>
                    <w:tcW w:w="833" w:type="pct"/>
                  </w:tcPr>
                  <w:p w14:paraId="6A8110E6" w14:textId="77777777" w:rsidR="00830E72" w:rsidRDefault="008344D8">
                    <w:pPr>
                      <w:jc w:val="center"/>
                    </w:pPr>
                    <w:r>
                      <w:rPr>
                        <w:rFonts w:hint="eastAsia"/>
                      </w:rPr>
                      <w:t>业务性质</w:t>
                    </w:r>
                  </w:p>
                </w:tc>
                <w:tc>
                  <w:tcPr>
                    <w:tcW w:w="459" w:type="pct"/>
                  </w:tcPr>
                  <w:p w14:paraId="747249DA" w14:textId="77777777" w:rsidR="00830E72" w:rsidRDefault="008344D8">
                    <w:pPr>
                      <w:jc w:val="center"/>
                    </w:pPr>
                    <w:r>
                      <w:rPr>
                        <w:rFonts w:hint="eastAsia"/>
                      </w:rPr>
                      <w:t>注册资本</w:t>
                    </w:r>
                  </w:p>
                </w:tc>
                <w:tc>
                  <w:tcPr>
                    <w:tcW w:w="459" w:type="pct"/>
                  </w:tcPr>
                  <w:p w14:paraId="5F882B87" w14:textId="77777777" w:rsidR="00830E72" w:rsidRDefault="008344D8">
                    <w:pPr>
                      <w:jc w:val="center"/>
                    </w:pPr>
                    <w:r>
                      <w:rPr>
                        <w:rFonts w:hint="eastAsia"/>
                      </w:rPr>
                      <w:t>总资产</w:t>
                    </w:r>
                  </w:p>
                </w:tc>
                <w:tc>
                  <w:tcPr>
                    <w:tcW w:w="459" w:type="pct"/>
                  </w:tcPr>
                  <w:p w14:paraId="05FAB349" w14:textId="77777777" w:rsidR="00830E72" w:rsidRDefault="008344D8">
                    <w:pPr>
                      <w:jc w:val="center"/>
                    </w:pPr>
                    <w:r>
                      <w:rPr>
                        <w:rFonts w:hint="eastAsia"/>
                      </w:rPr>
                      <w:t>净资产</w:t>
                    </w:r>
                  </w:p>
                </w:tc>
                <w:tc>
                  <w:tcPr>
                    <w:tcW w:w="417" w:type="pct"/>
                  </w:tcPr>
                  <w:p w14:paraId="7DBCB7CE" w14:textId="77777777" w:rsidR="00830E72" w:rsidRDefault="008344D8">
                    <w:pPr>
                      <w:jc w:val="center"/>
                    </w:pPr>
                    <w:r>
                      <w:rPr>
                        <w:rFonts w:hint="eastAsia"/>
                      </w:rPr>
                      <w:t>营业收入</w:t>
                    </w:r>
                  </w:p>
                </w:tc>
                <w:tc>
                  <w:tcPr>
                    <w:tcW w:w="376" w:type="pct"/>
                  </w:tcPr>
                  <w:p w14:paraId="4BE45432" w14:textId="77777777" w:rsidR="00830E72" w:rsidRDefault="008344D8">
                    <w:pPr>
                      <w:jc w:val="center"/>
                    </w:pPr>
                    <w:r>
                      <w:rPr>
                        <w:rFonts w:hint="eastAsia"/>
                      </w:rPr>
                      <w:t>净利润</w:t>
                    </w:r>
                  </w:p>
                </w:tc>
              </w:tr>
              <w:tr w:rsidR="00830E72" w14:paraId="0CEA64F0" w14:textId="77777777">
                <w:tc>
                  <w:tcPr>
                    <w:tcW w:w="1497" w:type="pct"/>
                  </w:tcPr>
                  <w:p w14:paraId="489D3D20" w14:textId="77777777" w:rsidR="00830E72" w:rsidRDefault="008344D8">
                    <w:r>
                      <w:rPr>
                        <w:rFonts w:hint="eastAsia"/>
                      </w:rPr>
                      <w:t>安徽交建兴源路面有限公司</w:t>
                    </w:r>
                  </w:p>
                </w:tc>
                <w:tc>
                  <w:tcPr>
                    <w:tcW w:w="500" w:type="pct"/>
                  </w:tcPr>
                  <w:p w14:paraId="533EC7DF" w14:textId="77777777" w:rsidR="00830E72" w:rsidRDefault="008344D8">
                    <w:r>
                      <w:rPr>
                        <w:rFonts w:hint="eastAsia"/>
                      </w:rPr>
                      <w:t>全资子公司</w:t>
                    </w:r>
                  </w:p>
                </w:tc>
                <w:tc>
                  <w:tcPr>
                    <w:tcW w:w="833" w:type="pct"/>
                  </w:tcPr>
                  <w:p w14:paraId="2A868849" w14:textId="77777777" w:rsidR="00830E72" w:rsidRDefault="008344D8">
                    <w:r>
                      <w:rPr>
                        <w:rFonts w:hint="eastAsia"/>
                      </w:rPr>
                      <w:t>工程施工</w:t>
                    </w:r>
                  </w:p>
                </w:tc>
                <w:tc>
                  <w:tcPr>
                    <w:tcW w:w="459" w:type="pct"/>
                  </w:tcPr>
                  <w:p w14:paraId="06271CEF" w14:textId="77777777" w:rsidR="00830E72" w:rsidRDefault="008344D8">
                    <w:pPr>
                      <w:jc w:val="right"/>
                    </w:pPr>
                    <w:r>
                      <w:t>1,500.00</w:t>
                    </w:r>
                  </w:p>
                </w:tc>
                <w:tc>
                  <w:tcPr>
                    <w:tcW w:w="459" w:type="pct"/>
                  </w:tcPr>
                  <w:p w14:paraId="258DAA15" w14:textId="77777777" w:rsidR="00830E72" w:rsidRDefault="008344D8">
                    <w:pPr>
                      <w:jc w:val="right"/>
                    </w:pPr>
                    <w:r>
                      <w:rPr>
                        <w:rFonts w:hint="eastAsia"/>
                      </w:rPr>
                      <w:t>4,020.41</w:t>
                    </w:r>
                  </w:p>
                </w:tc>
                <w:tc>
                  <w:tcPr>
                    <w:tcW w:w="459" w:type="pct"/>
                  </w:tcPr>
                  <w:p w14:paraId="46C2B661" w14:textId="77777777" w:rsidR="00830E72" w:rsidRDefault="008344D8">
                    <w:pPr>
                      <w:jc w:val="right"/>
                    </w:pPr>
                    <w:r>
                      <w:rPr>
                        <w:rFonts w:hint="eastAsia"/>
                      </w:rPr>
                      <w:t>3,942.98</w:t>
                    </w:r>
                  </w:p>
                </w:tc>
                <w:tc>
                  <w:tcPr>
                    <w:tcW w:w="417" w:type="pct"/>
                  </w:tcPr>
                  <w:p w14:paraId="36DB7D68" w14:textId="77777777" w:rsidR="00830E72" w:rsidRDefault="008344D8">
                    <w:pPr>
                      <w:jc w:val="right"/>
                    </w:pPr>
                    <w:r>
                      <w:rPr>
                        <w:rFonts w:hint="eastAsia"/>
                      </w:rPr>
                      <w:t>19.16</w:t>
                    </w:r>
                  </w:p>
                </w:tc>
                <w:tc>
                  <w:tcPr>
                    <w:tcW w:w="376" w:type="pct"/>
                  </w:tcPr>
                  <w:p w14:paraId="1D66D447" w14:textId="77777777" w:rsidR="00830E72" w:rsidRDefault="008344D8">
                    <w:pPr>
                      <w:jc w:val="right"/>
                    </w:pPr>
                    <w:r>
                      <w:rPr>
                        <w:rFonts w:hint="eastAsia"/>
                      </w:rPr>
                      <w:t>46.27</w:t>
                    </w:r>
                  </w:p>
                </w:tc>
              </w:tr>
              <w:tr w:rsidR="00830E72" w14:paraId="525F96DE" w14:textId="77777777">
                <w:tc>
                  <w:tcPr>
                    <w:tcW w:w="1497" w:type="pct"/>
                  </w:tcPr>
                  <w:p w14:paraId="172F070F" w14:textId="77777777" w:rsidR="00830E72" w:rsidRDefault="008344D8">
                    <w:r>
                      <w:rPr>
                        <w:rFonts w:hint="eastAsia"/>
                      </w:rPr>
                      <w:t>安徽省路通公路工程检测有限公司</w:t>
                    </w:r>
                  </w:p>
                </w:tc>
                <w:tc>
                  <w:tcPr>
                    <w:tcW w:w="500" w:type="pct"/>
                  </w:tcPr>
                  <w:p w14:paraId="022E82F3" w14:textId="77777777" w:rsidR="00830E72" w:rsidRDefault="008344D8">
                    <w:r>
                      <w:rPr>
                        <w:rFonts w:hint="eastAsia"/>
                      </w:rPr>
                      <w:t>全资子公司</w:t>
                    </w:r>
                  </w:p>
                </w:tc>
                <w:tc>
                  <w:tcPr>
                    <w:tcW w:w="833" w:type="pct"/>
                  </w:tcPr>
                  <w:p w14:paraId="4D62561B" w14:textId="77777777" w:rsidR="00830E72" w:rsidRDefault="008344D8">
                    <w:r>
                      <w:rPr>
                        <w:rFonts w:hint="eastAsia"/>
                      </w:rPr>
                      <w:t>工程检测</w:t>
                    </w:r>
                  </w:p>
                </w:tc>
                <w:tc>
                  <w:tcPr>
                    <w:tcW w:w="459" w:type="pct"/>
                  </w:tcPr>
                  <w:p w14:paraId="508E1BA2" w14:textId="77777777" w:rsidR="00830E72" w:rsidRDefault="008344D8">
                    <w:pPr>
                      <w:jc w:val="right"/>
                    </w:pPr>
                    <w:r>
                      <w:t>200.00</w:t>
                    </w:r>
                  </w:p>
                </w:tc>
                <w:tc>
                  <w:tcPr>
                    <w:tcW w:w="459" w:type="pct"/>
                  </w:tcPr>
                  <w:p w14:paraId="76C6EDD0" w14:textId="77777777" w:rsidR="00830E72" w:rsidRDefault="008344D8">
                    <w:pPr>
                      <w:jc w:val="right"/>
                    </w:pPr>
                    <w:r>
                      <w:rPr>
                        <w:rFonts w:hint="eastAsia"/>
                      </w:rPr>
                      <w:t>2,272.23</w:t>
                    </w:r>
                  </w:p>
                </w:tc>
                <w:tc>
                  <w:tcPr>
                    <w:tcW w:w="459" w:type="pct"/>
                  </w:tcPr>
                  <w:p w14:paraId="489E4E35" w14:textId="77777777" w:rsidR="00830E72" w:rsidRDefault="008344D8">
                    <w:pPr>
                      <w:jc w:val="right"/>
                    </w:pPr>
                    <w:r>
                      <w:rPr>
                        <w:rFonts w:hint="eastAsia"/>
                      </w:rPr>
                      <w:t>1,315.52</w:t>
                    </w:r>
                  </w:p>
                </w:tc>
                <w:tc>
                  <w:tcPr>
                    <w:tcW w:w="417" w:type="pct"/>
                  </w:tcPr>
                  <w:p w14:paraId="7C2B14A7" w14:textId="77777777" w:rsidR="00830E72" w:rsidRDefault="008344D8">
                    <w:pPr>
                      <w:jc w:val="right"/>
                    </w:pPr>
                    <w:r>
                      <w:rPr>
                        <w:rFonts w:hint="eastAsia"/>
                      </w:rPr>
                      <w:t>1,035.76</w:t>
                    </w:r>
                  </w:p>
                </w:tc>
                <w:tc>
                  <w:tcPr>
                    <w:tcW w:w="376" w:type="pct"/>
                  </w:tcPr>
                  <w:p w14:paraId="1BC43CDC" w14:textId="77777777" w:rsidR="00830E72" w:rsidRDefault="008344D8">
                    <w:pPr>
                      <w:jc w:val="right"/>
                    </w:pPr>
                    <w:r>
                      <w:rPr>
                        <w:rFonts w:hint="eastAsia"/>
                      </w:rPr>
                      <w:t>40.73</w:t>
                    </w:r>
                  </w:p>
                </w:tc>
              </w:tr>
              <w:tr w:rsidR="00830E72" w14:paraId="4E1DA927" w14:textId="77777777">
                <w:tc>
                  <w:tcPr>
                    <w:tcW w:w="1497" w:type="pct"/>
                  </w:tcPr>
                  <w:p w14:paraId="382B9F69" w14:textId="77777777" w:rsidR="00830E72" w:rsidRDefault="008344D8">
                    <w:r>
                      <w:rPr>
                        <w:rFonts w:hint="eastAsia"/>
                      </w:rPr>
                      <w:t>浙江交通勘察设计有限公司</w:t>
                    </w:r>
                  </w:p>
                </w:tc>
                <w:tc>
                  <w:tcPr>
                    <w:tcW w:w="500" w:type="pct"/>
                  </w:tcPr>
                  <w:p w14:paraId="7C8F5409" w14:textId="77777777" w:rsidR="00830E72" w:rsidRDefault="008344D8">
                    <w:r>
                      <w:rPr>
                        <w:rFonts w:hint="eastAsia"/>
                      </w:rPr>
                      <w:t>控股子公司</w:t>
                    </w:r>
                  </w:p>
                </w:tc>
                <w:tc>
                  <w:tcPr>
                    <w:tcW w:w="833" w:type="pct"/>
                  </w:tcPr>
                  <w:p w14:paraId="2197D5C2" w14:textId="77777777" w:rsidR="00830E72" w:rsidRDefault="008344D8">
                    <w:r>
                      <w:rPr>
                        <w:rFonts w:hint="eastAsia"/>
                      </w:rPr>
                      <w:t>勘察设计、技术咨询</w:t>
                    </w:r>
                  </w:p>
                </w:tc>
                <w:tc>
                  <w:tcPr>
                    <w:tcW w:w="459" w:type="pct"/>
                  </w:tcPr>
                  <w:p w14:paraId="58F029F3" w14:textId="77777777" w:rsidR="00830E72" w:rsidRDefault="008344D8">
                    <w:pPr>
                      <w:jc w:val="right"/>
                    </w:pPr>
                    <w:r>
                      <w:t>1,000.00</w:t>
                    </w:r>
                  </w:p>
                </w:tc>
                <w:tc>
                  <w:tcPr>
                    <w:tcW w:w="459" w:type="pct"/>
                  </w:tcPr>
                  <w:p w14:paraId="10862B25" w14:textId="77777777" w:rsidR="00830E72" w:rsidRDefault="008344D8">
                    <w:pPr>
                      <w:jc w:val="right"/>
                    </w:pPr>
                    <w:r>
                      <w:rPr>
                        <w:rFonts w:hint="eastAsia"/>
                      </w:rPr>
                      <w:t>7,431.38</w:t>
                    </w:r>
                  </w:p>
                </w:tc>
                <w:tc>
                  <w:tcPr>
                    <w:tcW w:w="459" w:type="pct"/>
                  </w:tcPr>
                  <w:p w14:paraId="0631D215" w14:textId="77777777" w:rsidR="00830E72" w:rsidRDefault="008344D8">
                    <w:pPr>
                      <w:jc w:val="right"/>
                    </w:pPr>
                    <w:r>
                      <w:rPr>
                        <w:rFonts w:hint="eastAsia"/>
                      </w:rPr>
                      <w:t>4,704.42</w:t>
                    </w:r>
                  </w:p>
                </w:tc>
                <w:tc>
                  <w:tcPr>
                    <w:tcW w:w="417" w:type="pct"/>
                  </w:tcPr>
                  <w:p w14:paraId="4055267A" w14:textId="77777777" w:rsidR="00830E72" w:rsidRDefault="008344D8">
                    <w:pPr>
                      <w:jc w:val="right"/>
                    </w:pPr>
                    <w:r>
                      <w:rPr>
                        <w:rFonts w:hint="eastAsia"/>
                      </w:rPr>
                      <w:t>1,862.14</w:t>
                    </w:r>
                  </w:p>
                </w:tc>
                <w:tc>
                  <w:tcPr>
                    <w:tcW w:w="376" w:type="pct"/>
                  </w:tcPr>
                  <w:p w14:paraId="1DB1EEAA" w14:textId="77777777" w:rsidR="00830E72" w:rsidRDefault="008344D8">
                    <w:pPr>
                      <w:jc w:val="right"/>
                    </w:pPr>
                    <w:r>
                      <w:rPr>
                        <w:rFonts w:hint="eastAsia"/>
                      </w:rPr>
                      <w:t>2.70</w:t>
                    </w:r>
                  </w:p>
                </w:tc>
              </w:tr>
              <w:tr w:rsidR="00830E72" w14:paraId="48EDA267" w14:textId="77777777">
                <w:tc>
                  <w:tcPr>
                    <w:tcW w:w="1497" w:type="pct"/>
                  </w:tcPr>
                  <w:p w14:paraId="62EF1C40" w14:textId="77777777" w:rsidR="00830E72" w:rsidRDefault="008344D8">
                    <w:r>
                      <w:rPr>
                        <w:rFonts w:hint="eastAsia"/>
                      </w:rPr>
                      <w:t>亳州市祥居建设工程有限公司</w:t>
                    </w:r>
                  </w:p>
                </w:tc>
                <w:tc>
                  <w:tcPr>
                    <w:tcW w:w="500" w:type="pct"/>
                  </w:tcPr>
                  <w:p w14:paraId="0A1BB059" w14:textId="77777777" w:rsidR="00830E72" w:rsidRDefault="008344D8">
                    <w:r>
                      <w:rPr>
                        <w:rFonts w:hint="eastAsia"/>
                      </w:rPr>
                      <w:t>控股子公司</w:t>
                    </w:r>
                  </w:p>
                </w:tc>
                <w:tc>
                  <w:tcPr>
                    <w:tcW w:w="833" w:type="pct"/>
                  </w:tcPr>
                  <w:p w14:paraId="63490BCA" w14:textId="77777777" w:rsidR="00830E72" w:rsidRDefault="008344D8">
                    <w:r>
                      <w:rPr>
                        <w:rFonts w:hint="eastAsia"/>
                      </w:rPr>
                      <w:t>基础设施建设</w:t>
                    </w:r>
                  </w:p>
                </w:tc>
                <w:tc>
                  <w:tcPr>
                    <w:tcW w:w="459" w:type="pct"/>
                  </w:tcPr>
                  <w:p w14:paraId="04562CD6" w14:textId="77777777" w:rsidR="00830E72" w:rsidRDefault="008344D8">
                    <w:pPr>
                      <w:jc w:val="right"/>
                    </w:pPr>
                    <w:r>
                      <w:t>15,000.00</w:t>
                    </w:r>
                  </w:p>
                </w:tc>
                <w:tc>
                  <w:tcPr>
                    <w:tcW w:w="459" w:type="pct"/>
                  </w:tcPr>
                  <w:p w14:paraId="7902C928" w14:textId="77777777" w:rsidR="00830E72" w:rsidRDefault="008344D8">
                    <w:pPr>
                      <w:jc w:val="right"/>
                    </w:pPr>
                    <w:r>
                      <w:rPr>
                        <w:rFonts w:hint="eastAsia"/>
                      </w:rPr>
                      <w:t>82,544.48</w:t>
                    </w:r>
                  </w:p>
                </w:tc>
                <w:tc>
                  <w:tcPr>
                    <w:tcW w:w="459" w:type="pct"/>
                  </w:tcPr>
                  <w:p w14:paraId="7AEC054E" w14:textId="77777777" w:rsidR="00830E72" w:rsidRDefault="008344D8">
                    <w:pPr>
                      <w:jc w:val="right"/>
                    </w:pPr>
                    <w:r>
                      <w:rPr>
                        <w:rFonts w:hint="eastAsia"/>
                      </w:rPr>
                      <w:t>17,536.43</w:t>
                    </w:r>
                  </w:p>
                </w:tc>
                <w:tc>
                  <w:tcPr>
                    <w:tcW w:w="417" w:type="pct"/>
                  </w:tcPr>
                  <w:p w14:paraId="4B947241" w14:textId="77777777" w:rsidR="00830E72" w:rsidRDefault="008344D8">
                    <w:pPr>
                      <w:jc w:val="right"/>
                    </w:pPr>
                    <w:r>
                      <w:rPr>
                        <w:rFonts w:hint="eastAsia"/>
                      </w:rPr>
                      <w:t>3,019.99</w:t>
                    </w:r>
                  </w:p>
                </w:tc>
                <w:tc>
                  <w:tcPr>
                    <w:tcW w:w="376" w:type="pct"/>
                  </w:tcPr>
                  <w:p w14:paraId="18EFF744" w14:textId="77777777" w:rsidR="00830E72" w:rsidRDefault="008344D8">
                    <w:pPr>
                      <w:jc w:val="right"/>
                    </w:pPr>
                    <w:r>
                      <w:rPr>
                        <w:rFonts w:hint="eastAsia"/>
                      </w:rPr>
                      <w:t>937.65</w:t>
                    </w:r>
                  </w:p>
                </w:tc>
              </w:tr>
              <w:tr w:rsidR="00830E72" w14:paraId="5E0DB694" w14:textId="77777777">
                <w:tc>
                  <w:tcPr>
                    <w:tcW w:w="1497" w:type="pct"/>
                  </w:tcPr>
                  <w:p w14:paraId="5F7C13D2" w14:textId="77777777" w:rsidR="00830E72" w:rsidRDefault="008344D8">
                    <w:r>
                      <w:rPr>
                        <w:rFonts w:hint="eastAsia"/>
                      </w:rPr>
                      <w:t>宿松县振兴基础设施管理有限责任公司</w:t>
                    </w:r>
                  </w:p>
                </w:tc>
                <w:tc>
                  <w:tcPr>
                    <w:tcW w:w="500" w:type="pct"/>
                  </w:tcPr>
                  <w:p w14:paraId="3611474A" w14:textId="77777777" w:rsidR="00830E72" w:rsidRDefault="008344D8">
                    <w:r>
                      <w:rPr>
                        <w:rFonts w:hint="eastAsia"/>
                      </w:rPr>
                      <w:t>控股子公司</w:t>
                    </w:r>
                  </w:p>
                </w:tc>
                <w:tc>
                  <w:tcPr>
                    <w:tcW w:w="833" w:type="pct"/>
                  </w:tcPr>
                  <w:p w14:paraId="4FE8C038" w14:textId="77777777" w:rsidR="00830E72" w:rsidRDefault="008344D8">
                    <w:r>
                      <w:rPr>
                        <w:rFonts w:hint="eastAsia"/>
                      </w:rPr>
                      <w:t>基础设施建设</w:t>
                    </w:r>
                  </w:p>
                </w:tc>
                <w:tc>
                  <w:tcPr>
                    <w:tcW w:w="459" w:type="pct"/>
                  </w:tcPr>
                  <w:p w14:paraId="2F22F21F" w14:textId="77777777" w:rsidR="00830E72" w:rsidRDefault="008344D8">
                    <w:pPr>
                      <w:jc w:val="right"/>
                    </w:pPr>
                    <w:r>
                      <w:t>2,000.00</w:t>
                    </w:r>
                  </w:p>
                </w:tc>
                <w:tc>
                  <w:tcPr>
                    <w:tcW w:w="459" w:type="pct"/>
                  </w:tcPr>
                  <w:p w14:paraId="6AAF5791" w14:textId="77777777" w:rsidR="00830E72" w:rsidRDefault="008344D8">
                    <w:pPr>
                      <w:jc w:val="right"/>
                    </w:pPr>
                    <w:r>
                      <w:rPr>
                        <w:rFonts w:hint="eastAsia"/>
                      </w:rPr>
                      <w:t>38,305.97</w:t>
                    </w:r>
                  </w:p>
                </w:tc>
                <w:tc>
                  <w:tcPr>
                    <w:tcW w:w="459" w:type="pct"/>
                  </w:tcPr>
                  <w:p w14:paraId="63BF3A61" w14:textId="77777777" w:rsidR="00830E72" w:rsidRDefault="008344D8">
                    <w:pPr>
                      <w:jc w:val="right"/>
                    </w:pPr>
                    <w:r>
                      <w:rPr>
                        <w:rFonts w:hint="eastAsia"/>
                      </w:rPr>
                      <w:t>1,222.37</w:t>
                    </w:r>
                  </w:p>
                </w:tc>
                <w:tc>
                  <w:tcPr>
                    <w:tcW w:w="417" w:type="pct"/>
                  </w:tcPr>
                  <w:p w14:paraId="3A2F79E0" w14:textId="77777777" w:rsidR="00830E72" w:rsidRDefault="008344D8">
                    <w:pPr>
                      <w:jc w:val="right"/>
                    </w:pPr>
                    <w:r>
                      <w:rPr>
                        <w:rFonts w:hint="eastAsia"/>
                      </w:rPr>
                      <w:t>1,081.52</w:t>
                    </w:r>
                  </w:p>
                </w:tc>
                <w:tc>
                  <w:tcPr>
                    <w:tcW w:w="376" w:type="pct"/>
                  </w:tcPr>
                  <w:p w14:paraId="4A6349A9" w14:textId="77777777" w:rsidR="00830E72" w:rsidRDefault="008344D8">
                    <w:pPr>
                      <w:jc w:val="right"/>
                    </w:pPr>
                    <w:r>
                      <w:rPr>
                        <w:rFonts w:hint="eastAsia"/>
                      </w:rPr>
                      <w:t>210.93</w:t>
                    </w:r>
                  </w:p>
                </w:tc>
              </w:tr>
              <w:tr w:rsidR="00830E72" w14:paraId="256775C4" w14:textId="77777777">
                <w:tc>
                  <w:tcPr>
                    <w:tcW w:w="1497" w:type="pct"/>
                  </w:tcPr>
                  <w:p w14:paraId="4F2231F8" w14:textId="77777777" w:rsidR="00830E72" w:rsidRDefault="008344D8">
                    <w:r>
                      <w:rPr>
                        <w:rFonts w:hint="eastAsia"/>
                      </w:rPr>
                      <w:t>六安熠辉交通建设有限公司</w:t>
                    </w:r>
                  </w:p>
                </w:tc>
                <w:tc>
                  <w:tcPr>
                    <w:tcW w:w="500" w:type="pct"/>
                  </w:tcPr>
                  <w:p w14:paraId="6DE3C7A4" w14:textId="77777777" w:rsidR="00830E72" w:rsidRDefault="008344D8">
                    <w:r>
                      <w:rPr>
                        <w:rFonts w:hint="eastAsia"/>
                      </w:rPr>
                      <w:t>控股子公司</w:t>
                    </w:r>
                  </w:p>
                </w:tc>
                <w:tc>
                  <w:tcPr>
                    <w:tcW w:w="833" w:type="pct"/>
                  </w:tcPr>
                  <w:p w14:paraId="566EC288" w14:textId="77777777" w:rsidR="00830E72" w:rsidRDefault="008344D8">
                    <w:r>
                      <w:rPr>
                        <w:rFonts w:hint="eastAsia"/>
                      </w:rPr>
                      <w:t>工程施工</w:t>
                    </w:r>
                  </w:p>
                </w:tc>
                <w:tc>
                  <w:tcPr>
                    <w:tcW w:w="459" w:type="pct"/>
                  </w:tcPr>
                  <w:p w14:paraId="7229C13B" w14:textId="77777777" w:rsidR="00830E72" w:rsidRDefault="008344D8">
                    <w:pPr>
                      <w:jc w:val="right"/>
                    </w:pPr>
                    <w:r>
                      <w:t>100.00</w:t>
                    </w:r>
                  </w:p>
                </w:tc>
                <w:tc>
                  <w:tcPr>
                    <w:tcW w:w="459" w:type="pct"/>
                  </w:tcPr>
                  <w:p w14:paraId="46E6EEDE" w14:textId="77777777" w:rsidR="00830E72" w:rsidRDefault="008344D8">
                    <w:pPr>
                      <w:jc w:val="right"/>
                    </w:pPr>
                    <w:r>
                      <w:rPr>
                        <w:rFonts w:hint="eastAsia"/>
                      </w:rPr>
                      <w:t>3.50</w:t>
                    </w:r>
                  </w:p>
                </w:tc>
                <w:tc>
                  <w:tcPr>
                    <w:tcW w:w="459" w:type="pct"/>
                  </w:tcPr>
                  <w:p w14:paraId="24668CFF" w14:textId="77777777" w:rsidR="00830E72" w:rsidRDefault="008344D8">
                    <w:pPr>
                      <w:jc w:val="right"/>
                    </w:pPr>
                    <w:r>
                      <w:rPr>
                        <w:rFonts w:hint="eastAsia"/>
                      </w:rPr>
                      <w:t>-91.75</w:t>
                    </w:r>
                  </w:p>
                </w:tc>
                <w:tc>
                  <w:tcPr>
                    <w:tcW w:w="417" w:type="pct"/>
                  </w:tcPr>
                  <w:p w14:paraId="0D3BDE05" w14:textId="77777777" w:rsidR="00830E72" w:rsidRDefault="008344D8">
                    <w:pPr>
                      <w:jc w:val="right"/>
                    </w:pPr>
                    <w:r>
                      <w:rPr>
                        <w:rFonts w:hint="eastAsia"/>
                      </w:rPr>
                      <w:t>-</w:t>
                    </w:r>
                  </w:p>
                </w:tc>
                <w:tc>
                  <w:tcPr>
                    <w:tcW w:w="376" w:type="pct"/>
                  </w:tcPr>
                  <w:p w14:paraId="4CC10EF4" w14:textId="77777777" w:rsidR="00830E72" w:rsidRDefault="008344D8">
                    <w:pPr>
                      <w:jc w:val="right"/>
                    </w:pPr>
                    <w:r>
                      <w:rPr>
                        <w:rFonts w:hint="eastAsia"/>
                      </w:rPr>
                      <w:t>-91.75</w:t>
                    </w:r>
                  </w:p>
                </w:tc>
              </w:tr>
              <w:tr w:rsidR="00830E72" w14:paraId="2604F0B2" w14:textId="77777777">
                <w:tc>
                  <w:tcPr>
                    <w:tcW w:w="1497" w:type="pct"/>
                  </w:tcPr>
                  <w:p w14:paraId="0D1DB2DA" w14:textId="77777777" w:rsidR="00830E72" w:rsidRDefault="008344D8">
                    <w:r>
                      <w:rPr>
                        <w:rFonts w:hint="eastAsia"/>
                      </w:rPr>
                      <w:t>界首市齐美项目管理有限公司</w:t>
                    </w:r>
                  </w:p>
                </w:tc>
                <w:tc>
                  <w:tcPr>
                    <w:tcW w:w="500" w:type="pct"/>
                  </w:tcPr>
                  <w:p w14:paraId="47631615" w14:textId="77777777" w:rsidR="00830E72" w:rsidRDefault="008344D8">
                    <w:r>
                      <w:rPr>
                        <w:rFonts w:hint="eastAsia"/>
                      </w:rPr>
                      <w:t>控股子公司</w:t>
                    </w:r>
                  </w:p>
                </w:tc>
                <w:tc>
                  <w:tcPr>
                    <w:tcW w:w="833" w:type="pct"/>
                  </w:tcPr>
                  <w:p w14:paraId="3F530902" w14:textId="77777777" w:rsidR="00830E72" w:rsidRDefault="008344D8">
                    <w:r>
                      <w:rPr>
                        <w:rFonts w:hint="eastAsia"/>
                      </w:rPr>
                      <w:t>基础设施建设</w:t>
                    </w:r>
                  </w:p>
                </w:tc>
                <w:tc>
                  <w:tcPr>
                    <w:tcW w:w="459" w:type="pct"/>
                  </w:tcPr>
                  <w:p w14:paraId="6F8D6259" w14:textId="77777777" w:rsidR="00830E72" w:rsidRDefault="008344D8">
                    <w:pPr>
                      <w:jc w:val="right"/>
                    </w:pPr>
                    <w:r>
                      <w:t>32,973.08</w:t>
                    </w:r>
                  </w:p>
                </w:tc>
                <w:tc>
                  <w:tcPr>
                    <w:tcW w:w="459" w:type="pct"/>
                  </w:tcPr>
                  <w:p w14:paraId="1E02DB42" w14:textId="77777777" w:rsidR="00830E72" w:rsidRDefault="008344D8">
                    <w:pPr>
                      <w:jc w:val="right"/>
                    </w:pPr>
                    <w:r>
                      <w:rPr>
                        <w:rFonts w:hint="eastAsia"/>
                      </w:rPr>
                      <w:t>28,985.87</w:t>
                    </w:r>
                  </w:p>
                </w:tc>
                <w:tc>
                  <w:tcPr>
                    <w:tcW w:w="459" w:type="pct"/>
                  </w:tcPr>
                  <w:p w14:paraId="6EA22E3E" w14:textId="77777777" w:rsidR="00830E72" w:rsidRDefault="008344D8">
                    <w:pPr>
                      <w:jc w:val="right"/>
                    </w:pPr>
                    <w:r>
                      <w:rPr>
                        <w:rFonts w:hint="eastAsia"/>
                      </w:rPr>
                      <w:t>28,985.87</w:t>
                    </w:r>
                  </w:p>
                </w:tc>
                <w:tc>
                  <w:tcPr>
                    <w:tcW w:w="417" w:type="pct"/>
                  </w:tcPr>
                  <w:p w14:paraId="5ED4F45C" w14:textId="77777777" w:rsidR="00830E72" w:rsidRDefault="008344D8">
                    <w:pPr>
                      <w:jc w:val="right"/>
                    </w:pPr>
                    <w:r>
                      <w:rPr>
                        <w:rFonts w:hint="eastAsia"/>
                      </w:rPr>
                      <w:t>-</w:t>
                    </w:r>
                  </w:p>
                </w:tc>
                <w:tc>
                  <w:tcPr>
                    <w:tcW w:w="376" w:type="pct"/>
                  </w:tcPr>
                  <w:p w14:paraId="2AAF66BB" w14:textId="77777777" w:rsidR="00830E72" w:rsidRDefault="008344D8">
                    <w:pPr>
                      <w:jc w:val="right"/>
                    </w:pPr>
                    <w:r>
                      <w:rPr>
                        <w:rFonts w:hint="eastAsia"/>
                      </w:rPr>
                      <w:t>-183.68</w:t>
                    </w:r>
                  </w:p>
                </w:tc>
              </w:tr>
              <w:tr w:rsidR="00830E72" w14:paraId="443504C4" w14:textId="77777777">
                <w:tc>
                  <w:tcPr>
                    <w:tcW w:w="1497" w:type="pct"/>
                  </w:tcPr>
                  <w:p w14:paraId="2692B18F" w14:textId="77777777" w:rsidR="00830E72" w:rsidRDefault="008344D8">
                    <w:r>
                      <w:rPr>
                        <w:rFonts w:hint="eastAsia"/>
                      </w:rPr>
                      <w:t>明光市路安公路工程建设有限责任公司</w:t>
                    </w:r>
                  </w:p>
                </w:tc>
                <w:tc>
                  <w:tcPr>
                    <w:tcW w:w="500" w:type="pct"/>
                  </w:tcPr>
                  <w:p w14:paraId="64B28D12" w14:textId="77777777" w:rsidR="00830E72" w:rsidRDefault="008344D8">
                    <w:r>
                      <w:rPr>
                        <w:rFonts w:hint="eastAsia"/>
                      </w:rPr>
                      <w:t>控股子公司</w:t>
                    </w:r>
                  </w:p>
                </w:tc>
                <w:tc>
                  <w:tcPr>
                    <w:tcW w:w="833" w:type="pct"/>
                  </w:tcPr>
                  <w:p w14:paraId="30DAC860" w14:textId="77777777" w:rsidR="00830E72" w:rsidRDefault="008344D8">
                    <w:r>
                      <w:rPr>
                        <w:rFonts w:hint="eastAsia"/>
                      </w:rPr>
                      <w:t>基础设施建设</w:t>
                    </w:r>
                  </w:p>
                </w:tc>
                <w:tc>
                  <w:tcPr>
                    <w:tcW w:w="459" w:type="pct"/>
                  </w:tcPr>
                  <w:p w14:paraId="5445E6BC" w14:textId="77777777" w:rsidR="00830E72" w:rsidRDefault="008344D8">
                    <w:pPr>
                      <w:jc w:val="right"/>
                    </w:pPr>
                    <w:r>
                      <w:t>80.00</w:t>
                    </w:r>
                  </w:p>
                </w:tc>
                <w:tc>
                  <w:tcPr>
                    <w:tcW w:w="459" w:type="pct"/>
                  </w:tcPr>
                  <w:p w14:paraId="18B1AEAA" w14:textId="77777777" w:rsidR="00830E72" w:rsidRDefault="008344D8">
                    <w:pPr>
                      <w:jc w:val="right"/>
                    </w:pPr>
                    <w:r>
                      <w:rPr>
                        <w:rFonts w:hint="eastAsia"/>
                      </w:rPr>
                      <w:t>-</w:t>
                    </w:r>
                  </w:p>
                </w:tc>
                <w:tc>
                  <w:tcPr>
                    <w:tcW w:w="459" w:type="pct"/>
                  </w:tcPr>
                  <w:p w14:paraId="7386669A" w14:textId="77777777" w:rsidR="00830E72" w:rsidRDefault="008344D8">
                    <w:pPr>
                      <w:jc w:val="right"/>
                    </w:pPr>
                    <w:r>
                      <w:rPr>
                        <w:rFonts w:hint="eastAsia"/>
                      </w:rPr>
                      <w:t>-</w:t>
                    </w:r>
                  </w:p>
                </w:tc>
                <w:tc>
                  <w:tcPr>
                    <w:tcW w:w="417" w:type="pct"/>
                  </w:tcPr>
                  <w:p w14:paraId="061B20A7" w14:textId="77777777" w:rsidR="00830E72" w:rsidRDefault="008344D8">
                    <w:pPr>
                      <w:jc w:val="right"/>
                    </w:pPr>
                    <w:r>
                      <w:rPr>
                        <w:rFonts w:hint="eastAsia"/>
                      </w:rPr>
                      <w:t>-</w:t>
                    </w:r>
                  </w:p>
                </w:tc>
                <w:tc>
                  <w:tcPr>
                    <w:tcW w:w="376" w:type="pct"/>
                  </w:tcPr>
                  <w:p w14:paraId="59C06023" w14:textId="77777777" w:rsidR="00830E72" w:rsidRDefault="008344D8">
                    <w:pPr>
                      <w:jc w:val="right"/>
                    </w:pPr>
                    <w:r>
                      <w:rPr>
                        <w:rFonts w:hint="eastAsia"/>
                      </w:rPr>
                      <w:t>-</w:t>
                    </w:r>
                  </w:p>
                </w:tc>
              </w:tr>
            </w:tbl>
            <w:p w14:paraId="4104BC2E" w14:textId="77777777" w:rsidR="00830E72" w:rsidRDefault="00D44830"/>
          </w:sdtContent>
        </w:sdt>
      </w:sdtContent>
    </w:sdt>
    <w:p w14:paraId="6DB3F68B" w14:textId="77777777" w:rsidR="00830E72" w:rsidRDefault="00830E72">
      <w:pPr>
        <w:sectPr w:rsidR="00830E72">
          <w:pgSz w:w="16838" w:h="11906" w:orient="landscape"/>
          <w:pgMar w:top="1276" w:right="1440" w:bottom="1797" w:left="1525" w:header="851" w:footer="992" w:gutter="0"/>
          <w:cols w:space="425"/>
          <w:docGrid w:linePitch="312"/>
        </w:sectPr>
      </w:pPr>
    </w:p>
    <w:sdt>
      <w:sdtPr>
        <w:rPr>
          <w:rFonts w:ascii="宋体" w:hAnsi="宋体" w:cs="宋体"/>
          <w:b w:val="0"/>
          <w:bCs w:val="0"/>
          <w:kern w:val="0"/>
          <w:szCs w:val="24"/>
        </w:rPr>
        <w:alias w:val="模块:公司控制的结构化主体情况"/>
        <w:tag w:val="_SEC_1ac5f271c9c14f569093b3be96ecc8d2"/>
        <w:id w:val="1997524078"/>
        <w:lock w:val="sdtLocked"/>
        <w:placeholder>
          <w:docPart w:val="GBC22222222222222222222222222222"/>
        </w:placeholder>
      </w:sdtPr>
      <w:sdtEndPr/>
      <w:sdtContent>
        <w:p w14:paraId="2C06176D" w14:textId="77777777" w:rsidR="00830E72" w:rsidRDefault="008344D8">
          <w:pPr>
            <w:pStyle w:val="Style99"/>
            <w:numPr>
              <w:ilvl w:val="0"/>
              <w:numId w:val="6"/>
            </w:numPr>
            <w:rPr>
              <w:rFonts w:ascii="宋体" w:hAnsi="宋体"/>
            </w:rPr>
          </w:pPr>
          <w:r>
            <w:rPr>
              <w:rFonts w:ascii="宋体" w:hAnsi="宋体"/>
            </w:rPr>
            <w:t>公司控制的结构化主体情况</w:t>
          </w:r>
        </w:p>
        <w:sdt>
          <w:sdtPr>
            <w:rPr>
              <w:rFonts w:hint="eastAsia"/>
            </w:rPr>
            <w:alias w:val="是否适用：公司控制的结构化主体情况[双击切换]"/>
            <w:tag w:val="_GBC_6dee8f13bc9a4596ad3e5af6f90f0b8b"/>
            <w:id w:val="-808330126"/>
            <w:lock w:val="sdtContentLocked"/>
            <w:placeholder>
              <w:docPart w:val="GBC22222222222222222222222222222"/>
            </w:placeholder>
          </w:sdtPr>
          <w:sdtEndPr/>
          <w:sdtContent>
            <w:p w14:paraId="00BD7DDA"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091D217" w14:textId="77777777" w:rsidR="00830E72" w:rsidRDefault="008344D8">
      <w:pPr>
        <w:pStyle w:val="2"/>
        <w:numPr>
          <w:ilvl w:val="0"/>
          <w:numId w:val="5"/>
        </w:numPr>
        <w:tabs>
          <w:tab w:val="left" w:pos="426"/>
        </w:tabs>
        <w:ind w:left="422" w:hanging="422"/>
        <w:jc w:val="left"/>
        <w:rPr>
          <w:rFonts w:ascii="宋体" w:hAnsi="宋体" w:cs="宋体"/>
          <w:kern w:val="0"/>
          <w:szCs w:val="24"/>
        </w:rPr>
      </w:pPr>
      <w:r>
        <w:rPr>
          <w:rFonts w:ascii="宋体" w:hAnsi="宋体" w:cs="宋体" w:hint="eastAsia"/>
          <w:kern w:val="0"/>
          <w:szCs w:val="24"/>
        </w:rPr>
        <w:t>其他披露事项</w:t>
      </w:r>
    </w:p>
    <w:sdt>
      <w:sdtPr>
        <w:rPr>
          <w:rFonts w:ascii="宋体" w:hAnsi="宋体" w:cs="宋体"/>
          <w:b w:val="0"/>
          <w:bCs w:val="0"/>
          <w:kern w:val="0"/>
          <w:szCs w:val="24"/>
        </w:rPr>
        <w:alias w:val="模块:可能面对的风险"/>
        <w:tag w:val="_SEC_81e2de17d1214ba3b0e3ff89b6c2b65d"/>
        <w:id w:val="-1254662609"/>
        <w:lock w:val="sdtLocked"/>
        <w:placeholder>
          <w:docPart w:val="GBC22222222222222222222222222222"/>
        </w:placeholder>
      </w:sdtPr>
      <w:sdtEndPr>
        <w:rPr>
          <w:rFonts w:hint="eastAsia"/>
        </w:rPr>
      </w:sdtEndPr>
      <w:sdtContent>
        <w:p w14:paraId="7535712E" w14:textId="77777777" w:rsidR="00830E72" w:rsidRDefault="008344D8">
          <w:pPr>
            <w:pStyle w:val="3"/>
            <w:numPr>
              <w:ilvl w:val="0"/>
              <w:numId w:val="11"/>
            </w:numPr>
            <w:rPr>
              <w:rFonts w:ascii="宋体" w:hAnsi="宋体"/>
            </w:rPr>
          </w:pPr>
          <w:r>
            <w:rPr>
              <w:rFonts w:ascii="宋体" w:hAnsi="宋体"/>
            </w:rPr>
            <w:t>可能面对的风险</w:t>
          </w:r>
        </w:p>
        <w:sdt>
          <w:sdtPr>
            <w:rPr>
              <w:rFonts w:hint="eastAsia"/>
            </w:rPr>
            <w:alias w:val="是否适用：可能面对的风险[双击切换]"/>
            <w:tag w:val="_GBC_2a971d8ab5884d3eb5547ede4e1e17c9"/>
            <w:id w:val="836500636"/>
            <w:lock w:val="sdtLocked"/>
            <w:placeholder>
              <w:docPart w:val="GBC22222222222222222222222222222"/>
            </w:placeholder>
          </w:sdtPr>
          <w:sdtEndPr/>
          <w:sdtContent>
            <w:p w14:paraId="1E43D939"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公司可能面对的风险"/>
            <w:tag w:val="_GBC_6e03b01ba4f1453dbc563404b41bfdbc"/>
            <w:id w:val="1424291541"/>
            <w:lock w:val="sdtLocked"/>
            <w:placeholder>
              <w:docPart w:val="GBC22222222222222222222222222222"/>
            </w:placeholder>
          </w:sdtPr>
          <w:sdtEndPr/>
          <w:sdtContent>
            <w:p w14:paraId="2BF13367" w14:textId="77777777" w:rsidR="00830E72" w:rsidRDefault="008344D8">
              <w:pPr>
                <w:ind w:firstLineChars="200" w:firstLine="420"/>
                <w:rPr>
                  <w:szCs w:val="21"/>
                </w:rPr>
              </w:pPr>
              <w:r>
                <w:rPr>
                  <w:rFonts w:hint="eastAsia"/>
                  <w:szCs w:val="21"/>
                </w:rPr>
                <w:t>（一）宏观经济波动风险</w:t>
              </w:r>
            </w:p>
            <w:p w14:paraId="5F4DCC22" w14:textId="77777777" w:rsidR="00830E72" w:rsidRDefault="008344D8">
              <w:pPr>
                <w:ind w:firstLineChars="200" w:firstLine="420"/>
                <w:rPr>
                  <w:szCs w:val="21"/>
                </w:rPr>
              </w:pPr>
              <w:r>
                <w:rPr>
                  <w:rFonts w:hint="eastAsia"/>
                  <w:szCs w:val="21"/>
                </w:rPr>
                <w:t>本公司所从事的主营业务为公路、市政基础设施建设，与宏观经济环境和国民经济周期性波动紧密相关，受国家宏观经济走势、产业政策调整、固定资产投资规模、城市化进程等因素的影响较大。近年来，我国国民经济增长速度放缓，经济下行压力较大。</w:t>
              </w:r>
            </w:p>
            <w:p w14:paraId="469D2CC3" w14:textId="77777777" w:rsidR="00830E72" w:rsidRDefault="008344D8">
              <w:pPr>
                <w:ind w:firstLineChars="200" w:firstLine="420"/>
                <w:rPr>
                  <w:szCs w:val="21"/>
                </w:rPr>
              </w:pPr>
              <w:r>
                <w:rPr>
                  <w:rFonts w:hint="eastAsia"/>
                  <w:szCs w:val="21"/>
                </w:rPr>
                <w:t>如果国内宏观经济形势及相关政策出现较大波动，特别是新增固定资产投资规模的大幅度变动或者是公路、市政等领域的投资结构大规模调整，将对公司的经营造成不利影响。</w:t>
              </w:r>
            </w:p>
            <w:p w14:paraId="16CB0AB6" w14:textId="77777777" w:rsidR="00830E72" w:rsidRDefault="008344D8">
              <w:pPr>
                <w:ind w:firstLineChars="200" w:firstLine="420"/>
                <w:rPr>
                  <w:szCs w:val="21"/>
                </w:rPr>
              </w:pPr>
              <w:r>
                <w:rPr>
                  <w:rFonts w:hint="eastAsia"/>
                  <w:szCs w:val="21"/>
                </w:rPr>
                <w:t>（二）市场竞争风险</w:t>
              </w:r>
            </w:p>
            <w:p w14:paraId="0666A1BE" w14:textId="77777777" w:rsidR="00830E72" w:rsidRDefault="008344D8">
              <w:pPr>
                <w:ind w:firstLineChars="200" w:firstLine="420"/>
                <w:rPr>
                  <w:szCs w:val="21"/>
                </w:rPr>
              </w:pPr>
              <w:r>
                <w:rPr>
                  <w:rFonts w:hint="eastAsia"/>
                  <w:szCs w:val="21"/>
                </w:rPr>
                <w:t>公路、市政基础设施施工行业企业众多，行业集中度较低，市场竞争较为激烈，少数大型央企占据行业领先地位。公司在区域市场内主要面临央企和地方大型国有企业的竞争；另外，公司在业务区域扩大过程中还需要与新进入区域内原有优势企业进行竞争，公司可能面临因市场竞争加剧造成业务拓展不能达到预期发展目标或者综合收益率水平下降的风险。</w:t>
              </w:r>
            </w:p>
            <w:p w14:paraId="2A579D4A" w14:textId="77777777" w:rsidR="00830E72" w:rsidRDefault="008344D8">
              <w:pPr>
                <w:ind w:firstLineChars="200" w:firstLine="420"/>
                <w:rPr>
                  <w:szCs w:val="21"/>
                </w:rPr>
              </w:pPr>
              <w:r>
                <w:rPr>
                  <w:rFonts w:hint="eastAsia"/>
                  <w:szCs w:val="21"/>
                </w:rPr>
                <w:t>（三）可能发生施工安全、环保事故而受到处罚的风险</w:t>
              </w:r>
            </w:p>
            <w:p w14:paraId="7E39DA40" w14:textId="77777777" w:rsidR="00830E72" w:rsidRDefault="008344D8">
              <w:pPr>
                <w:ind w:firstLineChars="200" w:firstLine="420"/>
                <w:rPr>
                  <w:szCs w:val="21"/>
                </w:rPr>
              </w:pPr>
              <w:r>
                <w:rPr>
                  <w:rFonts w:hint="eastAsia"/>
                  <w:szCs w:val="21"/>
                </w:rPr>
                <w:t>公路、市政基础设施施工主要在露天作业，施工过程状况复杂，施工环境存在一定的危险性，如防护不当可能出现安全事故，从而造成财产损失和人员伤亡；同时，施工过程产生的噪声和扬尘会对环境造成一定的影响，如环保措施不到位，甚至可能引起环境污染事故。近年来，国家有关主管部门对建筑施工行业的施工安全、环保等方面提出了更高的要求，如发行人未高度重视安全生产和施工过程中的环境保护，或者在业务开展过程中未严格执行安全、环保制度，可能存在因施工安全、环保事故而受到处罚的风险。</w:t>
              </w:r>
            </w:p>
            <w:p w14:paraId="0C76B633" w14:textId="77777777" w:rsidR="00830E72" w:rsidRDefault="008344D8">
              <w:pPr>
                <w:ind w:firstLineChars="200" w:firstLine="420"/>
                <w:rPr>
                  <w:szCs w:val="21"/>
                </w:rPr>
              </w:pPr>
              <w:r>
                <w:rPr>
                  <w:rFonts w:hint="eastAsia"/>
                  <w:szCs w:val="21"/>
                </w:rPr>
                <w:t>（四）规模扩张可能带来的管理风险</w:t>
              </w:r>
            </w:p>
            <w:p w14:paraId="41387A33" w14:textId="77777777" w:rsidR="00830E72" w:rsidRDefault="008344D8">
              <w:pPr>
                <w:ind w:firstLineChars="200" w:firstLine="420"/>
                <w:rPr>
                  <w:szCs w:val="21"/>
                </w:rPr>
              </w:pPr>
              <w:r>
                <w:rPr>
                  <w:rFonts w:hint="eastAsia"/>
                  <w:szCs w:val="21"/>
                </w:rPr>
                <w:t>本公司在安徽省内外均有施工作业项目，施工场所分散给公司在施工过程控制、成本核算等环节的经营管理带来一定的困难。尽管本公司已经对各工程项目部实行了严格的管理，且在实际执行中效果良好，但随着工程项目部数量增多、分散区域更加广泛，若不能及时提升管理能力并不断完善相关管理制度，仍可能存在管理不到位的风险。</w:t>
              </w:r>
            </w:p>
            <w:p w14:paraId="2EB4CECB" w14:textId="77777777" w:rsidR="00830E72" w:rsidRDefault="008344D8">
              <w:pPr>
                <w:ind w:firstLineChars="200" w:firstLine="420"/>
                <w:rPr>
                  <w:szCs w:val="21"/>
                </w:rPr>
              </w:pPr>
              <w:r>
                <w:rPr>
                  <w:rFonts w:hint="eastAsia"/>
                  <w:szCs w:val="21"/>
                </w:rPr>
                <w:t>（五）原材料价格波动风险</w:t>
              </w:r>
            </w:p>
            <w:p w14:paraId="696E1A89" w14:textId="77777777" w:rsidR="00830E72" w:rsidRDefault="008344D8">
              <w:pPr>
                <w:ind w:firstLineChars="200" w:firstLine="420"/>
                <w:rPr>
                  <w:szCs w:val="21"/>
                </w:rPr>
              </w:pPr>
              <w:r>
                <w:rPr>
                  <w:rFonts w:hint="eastAsia"/>
                  <w:szCs w:val="21"/>
                </w:rPr>
                <w:t>公司主要从事公路、市政基础设施建设，施工所需主要原材料为钢材、水泥、沥青等。公司项目工期通常较长，施工期内主要原材料价格非预期波动将导致实际施工成本与工程预算总成本出现差异，进而影响公司经营业绩。</w:t>
              </w:r>
            </w:p>
            <w:p w14:paraId="3FFCDCFA" w14:textId="77777777" w:rsidR="00830E72" w:rsidRDefault="008344D8">
              <w:pPr>
                <w:ind w:firstLineChars="200" w:firstLine="420"/>
                <w:rPr>
                  <w:szCs w:val="21"/>
                </w:rPr>
              </w:pPr>
              <w:r>
                <w:rPr>
                  <w:rFonts w:hint="eastAsia"/>
                  <w:szCs w:val="21"/>
                </w:rPr>
                <w:t>针对主要原材料价格的非预期波动，公司采取在项目投标前向供应商询价，工程施工中按进度实施采购计划，同时，公司已签署并执行的部分合同中包含价格调整条款，在原材料价格上涨幅度超过预期水平情况下，业主将对公司产生的额外成本进行相应补偿。这些合同条款可在一定程度内降低由于原材料价格非预期上涨给公司带来的经营风险。尽管如此，公司在合同执行中仍可能出现一些意外因素，如设计变更、作业环境变化而导致工程延期、材料成本受无法预见因素影响大幅上涨等，若上述价格调整条款不能完全抵偿成本的增加，将导致公司实际合同毛利低于预期的风险。</w:t>
              </w:r>
            </w:p>
          </w:sdtContent>
        </w:sdt>
      </w:sdtContent>
    </w:sdt>
    <w:sdt>
      <w:sdtPr>
        <w:rPr>
          <w:rFonts w:ascii="宋体" w:hAnsi="宋体" w:cs="宋体"/>
          <w:b w:val="0"/>
          <w:bCs w:val="0"/>
          <w:kern w:val="0"/>
          <w:szCs w:val="24"/>
        </w:rPr>
        <w:alias w:val="模块:其他披露事项"/>
        <w:tag w:val="_SEC_2d00d0d8a1b7409b884a0beb6a447e0d"/>
        <w:id w:val="1400093689"/>
        <w:lock w:val="sdtLocked"/>
        <w:placeholder>
          <w:docPart w:val="GBC22222222222222222222222222222"/>
        </w:placeholder>
      </w:sdtPr>
      <w:sdtEndPr/>
      <w:sdtContent>
        <w:p w14:paraId="62B6292D" w14:textId="77777777" w:rsidR="00830E72" w:rsidRDefault="008344D8">
          <w:pPr>
            <w:pStyle w:val="3"/>
            <w:numPr>
              <w:ilvl w:val="0"/>
              <w:numId w:val="11"/>
            </w:numPr>
            <w:rPr>
              <w:rFonts w:ascii="宋体" w:hAnsi="宋体"/>
            </w:rPr>
          </w:pPr>
          <w:r>
            <w:rPr>
              <w:rFonts w:ascii="宋体" w:hAnsi="宋体"/>
            </w:rPr>
            <w:t>其他披露事项</w:t>
          </w:r>
        </w:p>
        <w:sdt>
          <w:sdtPr>
            <w:rPr>
              <w:rFonts w:hint="eastAsia"/>
            </w:rPr>
            <w:alias w:val="是否适用：董事会其他需要披露的事项[双击切换]"/>
            <w:tag w:val="_GBC_4bd5ba6bf4044aee9ecd40a0c2fc29bf"/>
            <w:id w:val="-1704863829"/>
            <w:lock w:val="sdtLocked"/>
            <w:placeholder>
              <w:docPart w:val="GBC22222222222222222222222222222"/>
            </w:placeholder>
          </w:sdtPr>
          <w:sdtEndPr/>
          <w:sdtContent>
            <w:p w14:paraId="015692B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14666FD" w14:textId="77777777" w:rsidR="00830E72" w:rsidRDefault="008344D8">
      <w:pPr>
        <w:pStyle w:val="1"/>
        <w:numPr>
          <w:ilvl w:val="0"/>
          <w:numId w:val="2"/>
        </w:numPr>
        <w:jc w:val="left"/>
        <w:rPr>
          <w:rFonts w:ascii="黑体" w:hAnsi="黑体"/>
        </w:rPr>
      </w:pPr>
      <w:bookmarkStart w:id="30" w:name="_Hlk79157775"/>
      <w:bookmarkStart w:id="31" w:name="_Toc79503145"/>
      <w:bookmarkEnd w:id="30"/>
      <w:bookmarkEnd w:id="28"/>
      <w:bookmarkEnd w:id="27"/>
      <w:r>
        <w:rPr>
          <w:rFonts w:ascii="黑体" w:hAnsi="黑体" w:hint="eastAsia"/>
        </w:rPr>
        <w:t>公司治理</w:t>
      </w:r>
      <w:bookmarkEnd w:id="31"/>
    </w:p>
    <w:bookmarkStart w:id="32" w:name="_Hlk74646363" w:displacedByCustomXml="next"/>
    <w:sdt>
      <w:sdtPr>
        <w:rPr>
          <w:rFonts w:ascii="宋体" w:hAnsi="宋体" w:cs="宋体"/>
          <w:b w:val="0"/>
          <w:bCs w:val="0"/>
          <w:kern w:val="0"/>
          <w:szCs w:val="24"/>
        </w:rPr>
        <w:alias w:val="模块:股东大会情况简介"/>
        <w:tag w:val="_SEC_d8b5f940b6314e479198b8ccc086b98d"/>
        <w:id w:val="-1925489358"/>
        <w:lock w:val="sdtLocked"/>
        <w:placeholder>
          <w:docPart w:val="GBC22222222222222222222222222222"/>
        </w:placeholder>
      </w:sdtPr>
      <w:sdtEndPr/>
      <w:sdtContent>
        <w:p w14:paraId="34E9FE2F" w14:textId="77777777" w:rsidR="00830E72" w:rsidRDefault="008344D8">
          <w:pPr>
            <w:pStyle w:val="2"/>
            <w:numPr>
              <w:ilvl w:val="0"/>
              <w:numId w:val="12"/>
            </w:numPr>
            <w:tabs>
              <w:tab w:val="left" w:pos="426"/>
            </w:tabs>
            <w:ind w:firstLineChars="0"/>
            <w:jc w:val="left"/>
            <w:rPr>
              <w:rFonts w:ascii="宋体" w:hAnsi="宋体"/>
            </w:rPr>
          </w:pPr>
          <w:r>
            <w:rPr>
              <w:rFonts w:ascii="宋体" w:hAnsi="宋体"/>
            </w:rPr>
            <w:t>股东大会情况简介</w:t>
          </w:r>
        </w:p>
        <w:tbl>
          <w:tblPr>
            <w:tblStyle w:val="g1"/>
            <w:tblW w:w="5219"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842"/>
            <w:gridCol w:w="2159"/>
            <w:gridCol w:w="1094"/>
            <w:gridCol w:w="4399"/>
          </w:tblGrid>
          <w:tr w:rsidR="00830E72" w14:paraId="241D8215" w14:textId="77777777">
            <w:trPr>
              <w:trHeight w:val="165"/>
            </w:trPr>
            <w:sdt>
              <w:sdtPr>
                <w:tag w:val="_PLD_22bc61a8a37f49b2b6002bda8044b00b"/>
                <w:id w:val="-1426031957"/>
                <w:lock w:val="sdtLocked"/>
              </w:sdtPr>
              <w:sdtEndPr/>
              <w:sdtContent>
                <w:tc>
                  <w:tcPr>
                    <w:tcW w:w="503" w:type="pct"/>
                    <w:vAlign w:val="center"/>
                  </w:tcPr>
                  <w:p w14:paraId="0FC92346" w14:textId="77777777" w:rsidR="00830E72" w:rsidRDefault="008344D8">
                    <w:pPr>
                      <w:widowControl w:val="0"/>
                      <w:jc w:val="center"/>
                      <w:rPr>
                        <w:szCs w:val="21"/>
                      </w:rPr>
                    </w:pPr>
                    <w:r>
                      <w:rPr>
                        <w:szCs w:val="21"/>
                      </w:rPr>
                      <w:t>会议</w:t>
                    </w:r>
                  </w:p>
                  <w:p w14:paraId="325AF1DF" w14:textId="77777777" w:rsidR="00830E72" w:rsidRDefault="008344D8">
                    <w:pPr>
                      <w:widowControl w:val="0"/>
                      <w:jc w:val="center"/>
                      <w:rPr>
                        <w:szCs w:val="21"/>
                      </w:rPr>
                    </w:pPr>
                    <w:r>
                      <w:rPr>
                        <w:szCs w:val="21"/>
                      </w:rPr>
                      <w:t>届次</w:t>
                    </w:r>
                  </w:p>
                </w:tc>
              </w:sdtContent>
            </w:sdt>
            <w:sdt>
              <w:sdtPr>
                <w:tag w:val="_PLD_4d4c6f75c14e44a5ae87874c2dde133c"/>
                <w:id w:val="1282143701"/>
                <w:lock w:val="sdtLocked"/>
              </w:sdtPr>
              <w:sdtEndPr/>
              <w:sdtContent>
                <w:tc>
                  <w:tcPr>
                    <w:tcW w:w="446" w:type="pct"/>
                    <w:vAlign w:val="center"/>
                  </w:tcPr>
                  <w:p w14:paraId="65FDCFC0" w14:textId="77777777" w:rsidR="00830E72" w:rsidRDefault="008344D8">
                    <w:pPr>
                      <w:widowControl w:val="0"/>
                      <w:jc w:val="center"/>
                      <w:rPr>
                        <w:szCs w:val="21"/>
                      </w:rPr>
                    </w:pPr>
                    <w:r>
                      <w:rPr>
                        <w:szCs w:val="21"/>
                      </w:rPr>
                      <w:t>召开</w:t>
                    </w:r>
                  </w:p>
                  <w:p w14:paraId="5517ED7D" w14:textId="77777777" w:rsidR="00830E72" w:rsidRDefault="008344D8">
                    <w:pPr>
                      <w:widowControl w:val="0"/>
                      <w:jc w:val="center"/>
                      <w:rPr>
                        <w:szCs w:val="21"/>
                      </w:rPr>
                    </w:pPr>
                    <w:r>
                      <w:rPr>
                        <w:szCs w:val="21"/>
                      </w:rPr>
                      <w:t>日期</w:t>
                    </w:r>
                  </w:p>
                </w:tc>
              </w:sdtContent>
            </w:sdt>
            <w:sdt>
              <w:sdtPr>
                <w:tag w:val="_PLD_63dde22e2e0a412986c86439c3ed05c3"/>
                <w:id w:val="1347293713"/>
                <w:lock w:val="sdtLocked"/>
              </w:sdtPr>
              <w:sdtEndPr/>
              <w:sdtContent>
                <w:tc>
                  <w:tcPr>
                    <w:tcW w:w="1143" w:type="pct"/>
                    <w:vAlign w:val="center"/>
                  </w:tcPr>
                  <w:p w14:paraId="11FEAE1A" w14:textId="77777777" w:rsidR="00830E72" w:rsidRDefault="008344D8">
                    <w:pPr>
                      <w:widowControl w:val="0"/>
                      <w:jc w:val="center"/>
                      <w:rPr>
                        <w:szCs w:val="21"/>
                      </w:rPr>
                    </w:pPr>
                    <w:r>
                      <w:rPr>
                        <w:szCs w:val="21"/>
                      </w:rPr>
                      <w:t>决议刊登的指定网站的查询索引</w:t>
                    </w:r>
                  </w:p>
                </w:tc>
              </w:sdtContent>
            </w:sdt>
            <w:sdt>
              <w:sdtPr>
                <w:tag w:val="_PLD_68e4d17d74f541f9b1d7075bcbb5b6c5"/>
                <w:id w:val="1332259288"/>
                <w:lock w:val="sdtLocked"/>
              </w:sdtPr>
              <w:sdtEndPr/>
              <w:sdtContent>
                <w:tc>
                  <w:tcPr>
                    <w:tcW w:w="579" w:type="pct"/>
                    <w:vAlign w:val="center"/>
                  </w:tcPr>
                  <w:p w14:paraId="7269DF2E" w14:textId="77777777" w:rsidR="00830E72" w:rsidRDefault="008344D8">
                    <w:pPr>
                      <w:widowControl w:val="0"/>
                      <w:jc w:val="center"/>
                      <w:rPr>
                        <w:szCs w:val="21"/>
                      </w:rPr>
                    </w:pPr>
                    <w:r>
                      <w:rPr>
                        <w:szCs w:val="21"/>
                      </w:rPr>
                      <w:t>决议刊登的披露</w:t>
                    </w:r>
                  </w:p>
                  <w:p w14:paraId="62A3C957" w14:textId="77777777" w:rsidR="00830E72" w:rsidRDefault="008344D8">
                    <w:pPr>
                      <w:widowControl w:val="0"/>
                      <w:jc w:val="center"/>
                      <w:rPr>
                        <w:szCs w:val="21"/>
                      </w:rPr>
                    </w:pPr>
                    <w:r>
                      <w:rPr>
                        <w:szCs w:val="21"/>
                      </w:rPr>
                      <w:t>日期</w:t>
                    </w:r>
                  </w:p>
                </w:tc>
              </w:sdtContent>
            </w:sdt>
            <w:tc>
              <w:tcPr>
                <w:tcW w:w="2329" w:type="pct"/>
                <w:vAlign w:val="center"/>
              </w:tcPr>
              <w:sdt>
                <w:sdtPr>
                  <w:rPr>
                    <w:rFonts w:hint="eastAsia"/>
                  </w:rPr>
                  <w:tag w:val="_PLD_d7d78aa5be2349bcb77c83b55ac046e4"/>
                  <w:id w:val="548960996"/>
                  <w:lock w:val="sdtLocked"/>
                </w:sdtPr>
                <w:sdtEndPr/>
                <w:sdtContent>
                  <w:p w14:paraId="40700285" w14:textId="77777777" w:rsidR="00830E72" w:rsidRDefault="008344D8">
                    <w:pPr>
                      <w:widowControl w:val="0"/>
                      <w:jc w:val="center"/>
                    </w:pPr>
                    <w:r>
                      <w:rPr>
                        <w:rFonts w:hint="eastAsia"/>
                      </w:rPr>
                      <w:t>会议决议</w:t>
                    </w:r>
                  </w:p>
                </w:sdtContent>
              </w:sdt>
            </w:tc>
          </w:tr>
          <w:sdt>
            <w:sdtPr>
              <w:rPr>
                <w:rFonts w:ascii="Times New Roman" w:hAnsi="Times New Roman" w:cs="Times New Roman" w:hint="eastAsia"/>
                <w:kern w:val="2"/>
                <w:szCs w:val="21"/>
              </w:rPr>
              <w:alias w:val="股东大会情况"/>
              <w:tag w:val="_TUP_4299ac0eb78c4c11ae0a1812edf5a2f1"/>
              <w:id w:val="-493019546"/>
              <w:placeholder>
                <w:docPart w:val="GBC11111111111111111111111111111"/>
              </w:placeholder>
            </w:sdtPr>
            <w:sdtEndPr/>
            <w:sdtContent>
              <w:tr w:rsidR="00830E72" w14:paraId="3D0BC568" w14:textId="77777777">
                <w:trPr>
                  <w:trHeight w:val="195"/>
                </w:trPr>
                <w:tc>
                  <w:tcPr>
                    <w:tcW w:w="503" w:type="pct"/>
                    <w:vAlign w:val="center"/>
                  </w:tcPr>
                  <w:p w14:paraId="1B142A56" w14:textId="77777777" w:rsidR="00830E72" w:rsidRDefault="008344D8">
                    <w:pPr>
                      <w:widowControl w:val="0"/>
                      <w:rPr>
                        <w:szCs w:val="21"/>
                      </w:rPr>
                    </w:pPr>
                    <w:r>
                      <w:rPr>
                        <w:szCs w:val="21"/>
                      </w:rPr>
                      <w:t>2020</w:t>
                    </w:r>
                    <w:r>
                      <w:rPr>
                        <w:rFonts w:hint="eastAsia"/>
                        <w:szCs w:val="21"/>
                      </w:rPr>
                      <w:t>年</w:t>
                    </w:r>
                    <w:r>
                      <w:rPr>
                        <w:rFonts w:hint="eastAsia"/>
                        <w:szCs w:val="21"/>
                      </w:rPr>
                      <w:lastRenderedPageBreak/>
                      <w:t>年度股东大会</w:t>
                    </w:r>
                  </w:p>
                </w:tc>
                <w:tc>
                  <w:tcPr>
                    <w:tcW w:w="446" w:type="pct"/>
                    <w:vAlign w:val="center"/>
                  </w:tcPr>
                  <w:p w14:paraId="6FA8DC63" w14:textId="77777777" w:rsidR="00830E72" w:rsidRDefault="008344D8">
                    <w:pPr>
                      <w:widowControl w:val="0"/>
                      <w:rPr>
                        <w:szCs w:val="21"/>
                      </w:rPr>
                    </w:pPr>
                    <w:r>
                      <w:rPr>
                        <w:rFonts w:hint="eastAsia"/>
                        <w:szCs w:val="21"/>
                      </w:rPr>
                      <w:lastRenderedPageBreak/>
                      <w:t>2</w:t>
                    </w:r>
                    <w:r>
                      <w:rPr>
                        <w:szCs w:val="21"/>
                      </w:rPr>
                      <w:t>021</w:t>
                    </w:r>
                    <w:r>
                      <w:rPr>
                        <w:rFonts w:hint="eastAsia"/>
                        <w:szCs w:val="21"/>
                      </w:rPr>
                      <w:lastRenderedPageBreak/>
                      <w:t>年5月1</w:t>
                    </w:r>
                    <w:r>
                      <w:rPr>
                        <w:szCs w:val="21"/>
                      </w:rPr>
                      <w:t>0</w:t>
                    </w:r>
                    <w:r>
                      <w:rPr>
                        <w:rFonts w:hint="eastAsia"/>
                        <w:szCs w:val="21"/>
                      </w:rPr>
                      <w:t>日</w:t>
                    </w:r>
                  </w:p>
                </w:tc>
                <w:tc>
                  <w:tcPr>
                    <w:tcW w:w="1143" w:type="pct"/>
                    <w:vAlign w:val="center"/>
                  </w:tcPr>
                  <w:p w14:paraId="3C1BB62E" w14:textId="77777777" w:rsidR="00830E72" w:rsidRDefault="008344D8">
                    <w:pPr>
                      <w:widowControl w:val="0"/>
                      <w:rPr>
                        <w:szCs w:val="21"/>
                      </w:rPr>
                    </w:pPr>
                    <w:r>
                      <w:rPr>
                        <w:rFonts w:hint="eastAsia"/>
                        <w:szCs w:val="21"/>
                      </w:rPr>
                      <w:lastRenderedPageBreak/>
                      <w:t>上海证券交易所网站</w:t>
                    </w:r>
                    <w:r>
                      <w:rPr>
                        <w:rFonts w:hint="eastAsia"/>
                        <w:szCs w:val="21"/>
                      </w:rPr>
                      <w:lastRenderedPageBreak/>
                      <w:t>（w</w:t>
                    </w:r>
                    <w:r>
                      <w:rPr>
                        <w:szCs w:val="21"/>
                      </w:rPr>
                      <w:t>ww.sse.com.cn）</w:t>
                    </w:r>
                  </w:p>
                </w:tc>
                <w:tc>
                  <w:tcPr>
                    <w:tcW w:w="579" w:type="pct"/>
                    <w:vAlign w:val="center"/>
                  </w:tcPr>
                  <w:p w14:paraId="0E28D210" w14:textId="77777777" w:rsidR="00830E72" w:rsidRDefault="008344D8">
                    <w:pPr>
                      <w:widowControl w:val="0"/>
                      <w:jc w:val="both"/>
                      <w:rPr>
                        <w:szCs w:val="21"/>
                      </w:rPr>
                    </w:pPr>
                    <w:r>
                      <w:rPr>
                        <w:rFonts w:hint="eastAsia"/>
                        <w:szCs w:val="21"/>
                      </w:rPr>
                      <w:lastRenderedPageBreak/>
                      <w:t>2</w:t>
                    </w:r>
                    <w:r>
                      <w:rPr>
                        <w:szCs w:val="21"/>
                      </w:rPr>
                      <w:t>021</w:t>
                    </w:r>
                    <w:r>
                      <w:rPr>
                        <w:rFonts w:hint="eastAsia"/>
                        <w:szCs w:val="21"/>
                      </w:rPr>
                      <w:t>年5</w:t>
                    </w:r>
                    <w:r>
                      <w:rPr>
                        <w:rFonts w:hint="eastAsia"/>
                        <w:szCs w:val="21"/>
                      </w:rPr>
                      <w:lastRenderedPageBreak/>
                      <w:t>月1</w:t>
                    </w:r>
                    <w:r>
                      <w:rPr>
                        <w:szCs w:val="21"/>
                      </w:rPr>
                      <w:t>1</w:t>
                    </w:r>
                    <w:r>
                      <w:rPr>
                        <w:rFonts w:hint="eastAsia"/>
                        <w:szCs w:val="21"/>
                      </w:rPr>
                      <w:t>日</w:t>
                    </w:r>
                  </w:p>
                </w:tc>
                <w:tc>
                  <w:tcPr>
                    <w:tcW w:w="2329" w:type="pct"/>
                    <w:vAlign w:val="center"/>
                  </w:tcPr>
                  <w:p w14:paraId="4F0F7100" w14:textId="77777777" w:rsidR="00830E72" w:rsidRDefault="008344D8">
                    <w:pPr>
                      <w:pStyle w:val="Style94"/>
                      <w:tabs>
                        <w:tab w:val="right" w:leader="dot" w:pos="8306"/>
                      </w:tabs>
                      <w:ind w:leftChars="0" w:left="0"/>
                      <w:jc w:val="left"/>
                      <w:rPr>
                        <w:rFonts w:ascii="宋体" w:hAnsi="宋体"/>
                        <w:bCs/>
                        <w:kern w:val="44"/>
                        <w:szCs w:val="21"/>
                      </w:rPr>
                    </w:pPr>
                    <w:r>
                      <w:rPr>
                        <w:rFonts w:ascii="宋体" w:hAnsi="宋体" w:hint="eastAsia"/>
                        <w:bCs/>
                        <w:kern w:val="44"/>
                        <w:szCs w:val="21"/>
                      </w:rPr>
                      <w:lastRenderedPageBreak/>
                      <w:t>《2020年度董事会工作报告的议案》</w:t>
                    </w:r>
                  </w:p>
                  <w:p w14:paraId="1E6EE7E4" w14:textId="77777777" w:rsidR="00830E72" w:rsidRDefault="008344D8">
                    <w:pPr>
                      <w:pStyle w:val="Style94"/>
                      <w:tabs>
                        <w:tab w:val="right" w:leader="dot" w:pos="8306"/>
                      </w:tabs>
                      <w:ind w:leftChars="0" w:left="0"/>
                      <w:jc w:val="left"/>
                      <w:rPr>
                        <w:rFonts w:ascii="宋体" w:hAnsi="宋体"/>
                        <w:bCs/>
                        <w:kern w:val="44"/>
                        <w:szCs w:val="21"/>
                      </w:rPr>
                    </w:pPr>
                    <w:r>
                      <w:rPr>
                        <w:rFonts w:ascii="宋体" w:hAnsi="宋体" w:hint="eastAsia"/>
                        <w:bCs/>
                        <w:kern w:val="44"/>
                        <w:szCs w:val="21"/>
                      </w:rPr>
                      <w:lastRenderedPageBreak/>
                      <w:t>《2020年度监事会工作报告的议案》</w:t>
                    </w:r>
                  </w:p>
                  <w:p w14:paraId="1FC2D5F8" w14:textId="77777777" w:rsidR="00830E72" w:rsidRDefault="008344D8">
                    <w:pPr>
                      <w:pStyle w:val="Style94"/>
                      <w:tabs>
                        <w:tab w:val="right" w:leader="dot" w:pos="8306"/>
                      </w:tabs>
                      <w:ind w:leftChars="0" w:left="0"/>
                      <w:jc w:val="left"/>
                      <w:rPr>
                        <w:rFonts w:ascii="宋体" w:hAnsi="宋体"/>
                        <w:bCs/>
                        <w:kern w:val="44"/>
                        <w:szCs w:val="21"/>
                      </w:rPr>
                    </w:pPr>
                    <w:r>
                      <w:rPr>
                        <w:rFonts w:ascii="宋体" w:hAnsi="宋体" w:hint="eastAsia"/>
                        <w:bCs/>
                        <w:kern w:val="44"/>
                        <w:szCs w:val="21"/>
                      </w:rPr>
                      <w:t>《关于公司2020年度财务决算报告的议案》</w:t>
                    </w:r>
                  </w:p>
                  <w:p w14:paraId="10975128" w14:textId="77777777" w:rsidR="00830E72" w:rsidRDefault="008344D8">
                    <w:pPr>
                      <w:pStyle w:val="Style94"/>
                      <w:tabs>
                        <w:tab w:val="right" w:leader="dot" w:pos="8306"/>
                      </w:tabs>
                      <w:ind w:leftChars="0" w:left="0"/>
                      <w:jc w:val="left"/>
                      <w:rPr>
                        <w:rFonts w:ascii="宋体" w:hAnsi="宋体"/>
                        <w:bCs/>
                        <w:kern w:val="44"/>
                        <w:szCs w:val="21"/>
                      </w:rPr>
                    </w:pPr>
                    <w:r>
                      <w:rPr>
                        <w:rFonts w:ascii="宋体" w:hAnsi="宋体" w:hint="eastAsia"/>
                        <w:bCs/>
                        <w:kern w:val="44"/>
                        <w:szCs w:val="21"/>
                      </w:rPr>
                      <w:t>《关于公司2020年年度报告全文及摘要的议案》</w:t>
                    </w:r>
                  </w:p>
                  <w:p w14:paraId="181118A4" w14:textId="77777777" w:rsidR="00830E72" w:rsidRDefault="008344D8">
                    <w:pPr>
                      <w:pStyle w:val="Style94"/>
                      <w:tabs>
                        <w:tab w:val="right" w:leader="dot" w:pos="8306"/>
                      </w:tabs>
                      <w:ind w:leftChars="0" w:left="0"/>
                      <w:jc w:val="left"/>
                      <w:rPr>
                        <w:rFonts w:ascii="宋体" w:hAnsi="宋体"/>
                        <w:bCs/>
                        <w:kern w:val="44"/>
                        <w:szCs w:val="21"/>
                      </w:rPr>
                    </w:pPr>
                    <w:r>
                      <w:rPr>
                        <w:rFonts w:ascii="宋体" w:hAnsi="宋体" w:hint="eastAsia"/>
                        <w:bCs/>
                        <w:kern w:val="44"/>
                        <w:szCs w:val="21"/>
                      </w:rPr>
                      <w:t>《关于公司2020年度利润分配预案的议案》</w:t>
                    </w:r>
                  </w:p>
                  <w:p w14:paraId="62EB0C64" w14:textId="77777777" w:rsidR="00830E72" w:rsidRDefault="008344D8">
                    <w:pPr>
                      <w:pStyle w:val="Style94"/>
                      <w:tabs>
                        <w:tab w:val="right" w:leader="dot" w:pos="8306"/>
                      </w:tabs>
                      <w:ind w:leftChars="0" w:left="0"/>
                      <w:jc w:val="left"/>
                      <w:rPr>
                        <w:rFonts w:ascii="宋体" w:hAnsi="宋体"/>
                        <w:bCs/>
                        <w:kern w:val="44"/>
                        <w:szCs w:val="21"/>
                      </w:rPr>
                    </w:pPr>
                    <w:r>
                      <w:rPr>
                        <w:rFonts w:ascii="宋体" w:hAnsi="宋体" w:hint="eastAsia"/>
                        <w:bCs/>
                        <w:kern w:val="44"/>
                        <w:szCs w:val="21"/>
                      </w:rPr>
                      <w:t>《关于公司2021年度综合授信额度的议案》</w:t>
                    </w:r>
                  </w:p>
                  <w:p w14:paraId="6E4736BC" w14:textId="77777777" w:rsidR="00830E72" w:rsidRDefault="008344D8">
                    <w:pPr>
                      <w:pStyle w:val="Style94"/>
                      <w:tabs>
                        <w:tab w:val="right" w:leader="dot" w:pos="8306"/>
                      </w:tabs>
                      <w:ind w:leftChars="0" w:left="0"/>
                      <w:jc w:val="left"/>
                      <w:rPr>
                        <w:rFonts w:ascii="宋体" w:hAnsi="宋体"/>
                        <w:bCs/>
                        <w:kern w:val="44"/>
                        <w:szCs w:val="21"/>
                      </w:rPr>
                    </w:pPr>
                    <w:r>
                      <w:rPr>
                        <w:rFonts w:ascii="宋体" w:hAnsi="宋体" w:hint="eastAsia"/>
                        <w:bCs/>
                        <w:kern w:val="44"/>
                        <w:szCs w:val="21"/>
                      </w:rPr>
                      <w:t>《关于公司续聘会计师事务所的议案</w:t>
                    </w:r>
                    <w:r w:rsidR="000E209E">
                      <w:rPr>
                        <w:rFonts w:ascii="宋体" w:hAnsi="宋体" w:hint="eastAsia"/>
                        <w:bCs/>
                        <w:kern w:val="44"/>
                        <w:szCs w:val="21"/>
                      </w:rPr>
                      <w:t>》</w:t>
                    </w:r>
                  </w:p>
                </w:tc>
              </w:tr>
            </w:sdtContent>
          </w:sdt>
        </w:tbl>
        <w:p w14:paraId="07A0EB0B" w14:textId="77777777" w:rsidR="00830E72" w:rsidRDefault="00D44830"/>
      </w:sdtContent>
    </w:sdt>
    <w:bookmarkEnd w:id="32" w:displacedByCustomXml="next"/>
    <w:bookmarkStart w:id="33" w:name="_Hlk41294309" w:displacedByCustomXml="next"/>
    <w:sdt>
      <w:sdtPr>
        <w:rPr>
          <w:rFonts w:hint="eastAsia"/>
          <w:b/>
        </w:rPr>
        <w:alias w:val="模块:表决权恢复的优先股股东请求召开临时股东大会 "/>
        <w:tag w:val="_SEC_d5dd00e8721a44d88174eb5aacf152b7"/>
        <w:id w:val="156505567"/>
        <w:lock w:val="sdtLocked"/>
        <w:placeholder>
          <w:docPart w:val="GBC22222222222222222222222222222"/>
        </w:placeholder>
      </w:sdtPr>
      <w:sdtEndPr>
        <w:rPr>
          <w:b w:val="0"/>
          <w:color w:val="333399"/>
        </w:rPr>
      </w:sdtEndPr>
      <w:sdtContent>
        <w:p w14:paraId="4365CAAE" w14:textId="77777777" w:rsidR="00830E72" w:rsidRDefault="008344D8">
          <w:pPr>
            <w:rPr>
              <w:b/>
            </w:rPr>
          </w:pPr>
          <w:r>
            <w:rPr>
              <w:rFonts w:hint="eastAsia"/>
              <w:b/>
            </w:rPr>
            <w:t>表决权恢复的优先股股东请求召开临时股东大会</w:t>
          </w:r>
        </w:p>
        <w:sdt>
          <w:sdtPr>
            <w:alias w:val="是否适用：表决权恢复的优先股股东请求召开临时股东大会[双击切换]"/>
            <w:tag w:val="_GBC_07c9bc8db9ab4498ac0bfac48beddedc"/>
            <w:id w:val="-1729836989"/>
            <w:lock w:val="sdtLocked"/>
            <w:placeholder>
              <w:docPart w:val="GBC22222222222222222222222222222"/>
            </w:placeholder>
          </w:sdtPr>
          <w:sdtEndPr/>
          <w:sdtContent>
            <w:p w14:paraId="331D4C34"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3" w:displacedByCustomXml="next"/>
    <w:bookmarkStart w:id="34" w:name="_Hlk78550336" w:displacedByCustomXml="next"/>
    <w:bookmarkEnd w:id="34" w:displacedByCustomXml="next"/>
    <w:sdt>
      <w:sdtPr>
        <w:rPr>
          <w:rFonts w:hint="eastAsia"/>
        </w:rPr>
        <w:alias w:val="模块:股东大会情况说明"/>
        <w:tag w:val="_SEC_bf1ce0d19a464ce2a3d1a1d438ffde42"/>
        <w:id w:val="-1958707082"/>
        <w:lock w:val="sdtLocked"/>
        <w:placeholder>
          <w:docPart w:val="GBC22222222222222222222222222222"/>
        </w:placeholder>
      </w:sdtPr>
      <w:sdtEndPr/>
      <w:sdtContent>
        <w:p w14:paraId="06013C50" w14:textId="77777777" w:rsidR="00830E72" w:rsidRDefault="008344D8">
          <w:r>
            <w:rPr>
              <w:rFonts w:hint="eastAsia"/>
            </w:rPr>
            <w:t>股东大会情况说明</w:t>
          </w:r>
        </w:p>
        <w:sdt>
          <w:sdtPr>
            <w:rPr>
              <w:rFonts w:hint="eastAsia"/>
            </w:rPr>
            <w:alias w:val="是否适用：股东大会情况说明[双击切换]"/>
            <w:tag w:val="_GBC_bc06fc78c35044b0a848192606e2a5ad"/>
            <w:id w:val="1353610394"/>
            <w:lock w:val="sdtLocked"/>
            <w:placeholder>
              <w:docPart w:val="GBC22222222222222222222222222222"/>
            </w:placeholder>
          </w:sdtPr>
          <w:sdtEndPr/>
          <w:sdtContent>
            <w:p w14:paraId="78737F3C"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35" w:name="_Toc342057949" w:displacedByCustomXml="next"/>
    <w:bookmarkStart w:id="36" w:name="_Toc342566009" w:displacedByCustomXml="next"/>
    <w:sdt>
      <w:sdtPr>
        <w:rPr>
          <w:rFonts w:ascii="宋体" w:hAnsi="宋体" w:cs="宋体" w:hint="eastAsia"/>
          <w:b w:val="0"/>
          <w:bCs w:val="0"/>
          <w:kern w:val="0"/>
          <w:szCs w:val="24"/>
        </w:rPr>
        <w:alias w:val="模块:公司董事、监事、高级管理人员变动情况"/>
        <w:tag w:val="_SEC_fe90051e8bfd40b8bb8541284a29b30e"/>
        <w:id w:val="777219167"/>
        <w:lock w:val="sdtLocked"/>
        <w:placeholder>
          <w:docPart w:val="GBC22222222222222222222222222222"/>
        </w:placeholder>
      </w:sdtPr>
      <w:sdtEndPr/>
      <w:sdtContent>
        <w:p w14:paraId="01E50727" w14:textId="77777777" w:rsidR="00830E72" w:rsidRDefault="008344D8">
          <w:pPr>
            <w:pStyle w:val="2"/>
            <w:numPr>
              <w:ilvl w:val="0"/>
              <w:numId w:val="12"/>
            </w:numPr>
            <w:tabs>
              <w:tab w:val="left" w:pos="426"/>
            </w:tabs>
            <w:jc w:val="left"/>
            <w:rPr>
              <w:rFonts w:ascii="宋体" w:hAnsi="宋体"/>
            </w:rPr>
          </w:pPr>
          <w:r>
            <w:rPr>
              <w:rFonts w:ascii="宋体" w:hAnsi="宋体" w:hint="eastAsia"/>
            </w:rPr>
            <w:t>公司董事、监事、高级管理人员变动情况</w:t>
          </w:r>
          <w:bookmarkEnd w:id="36"/>
          <w:bookmarkEnd w:id="35"/>
        </w:p>
        <w:sdt>
          <w:sdtPr>
            <w:alias w:val="是否适用：公司董事、监事、高级管理人员变动情况[双击切换]"/>
            <w:tag w:val="_GBC_001d837207464f1aaa52a7fb8cd9d226"/>
            <w:id w:val="-2060236717"/>
            <w:lock w:val="sdtLocked"/>
            <w:placeholder>
              <w:docPart w:val="GBC22222222222222222222222222222"/>
            </w:placeholder>
          </w:sdtPr>
          <w:sdtEndPr/>
          <w:sdtContent>
            <w:p w14:paraId="4A501B70"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590"/>
            <w:gridCol w:w="4413"/>
            <w:gridCol w:w="2890"/>
          </w:tblGrid>
          <w:tr w:rsidR="00830E72" w14:paraId="0A9A0288" w14:textId="77777777">
            <w:sdt>
              <w:sdtPr>
                <w:tag w:val="_PLD_8d21520223e04755b8822b634d237604"/>
                <w:id w:val="-353659195"/>
                <w:lock w:val="sdtLocked"/>
              </w:sdtPr>
              <w:sdtEndPr/>
              <w:sdtContent>
                <w:tc>
                  <w:tcPr>
                    <w:tcW w:w="894" w:type="pct"/>
                    <w:shd w:val="clear" w:color="auto" w:fill="auto"/>
                  </w:tcPr>
                  <w:p w14:paraId="7E398156" w14:textId="77777777" w:rsidR="00830E72" w:rsidRDefault="008344D8">
                    <w:pPr>
                      <w:kinsoku w:val="0"/>
                      <w:overflowPunct w:val="0"/>
                      <w:autoSpaceDE w:val="0"/>
                      <w:autoSpaceDN w:val="0"/>
                      <w:adjustRightInd w:val="0"/>
                      <w:snapToGrid w:val="0"/>
                      <w:jc w:val="center"/>
                      <w:rPr>
                        <w:szCs w:val="21"/>
                      </w:rPr>
                    </w:pPr>
                    <w:r>
                      <w:rPr>
                        <w:rFonts w:hint="eastAsia"/>
                        <w:szCs w:val="21"/>
                      </w:rPr>
                      <w:t>姓名</w:t>
                    </w:r>
                  </w:p>
                </w:tc>
              </w:sdtContent>
            </w:sdt>
            <w:sdt>
              <w:sdtPr>
                <w:tag w:val="_PLD_fbd3bf633b6f43caac5e618a32167462"/>
                <w:id w:val="1356303956"/>
                <w:lock w:val="sdtLocked"/>
              </w:sdtPr>
              <w:sdtEndPr/>
              <w:sdtContent>
                <w:tc>
                  <w:tcPr>
                    <w:tcW w:w="2481" w:type="pct"/>
                    <w:shd w:val="clear" w:color="auto" w:fill="auto"/>
                  </w:tcPr>
                  <w:p w14:paraId="7F23B56D" w14:textId="77777777" w:rsidR="00830E72" w:rsidRDefault="008344D8">
                    <w:pPr>
                      <w:kinsoku w:val="0"/>
                      <w:overflowPunct w:val="0"/>
                      <w:autoSpaceDE w:val="0"/>
                      <w:autoSpaceDN w:val="0"/>
                      <w:adjustRightInd w:val="0"/>
                      <w:snapToGrid w:val="0"/>
                      <w:jc w:val="center"/>
                      <w:rPr>
                        <w:szCs w:val="21"/>
                      </w:rPr>
                    </w:pPr>
                    <w:r>
                      <w:rPr>
                        <w:rFonts w:hint="eastAsia"/>
                        <w:szCs w:val="21"/>
                      </w:rPr>
                      <w:t>担任的职务</w:t>
                    </w:r>
                  </w:p>
                </w:tc>
              </w:sdtContent>
            </w:sdt>
            <w:sdt>
              <w:sdtPr>
                <w:tag w:val="_PLD_32b7efb7e5ea42b9a9c73ad4470b3d12"/>
                <w:id w:val="-2063706366"/>
                <w:lock w:val="sdtLocked"/>
              </w:sdtPr>
              <w:sdtEndPr/>
              <w:sdtContent>
                <w:tc>
                  <w:tcPr>
                    <w:tcW w:w="1625" w:type="pct"/>
                    <w:shd w:val="clear" w:color="auto" w:fill="auto"/>
                  </w:tcPr>
                  <w:p w14:paraId="17F41A19" w14:textId="77777777" w:rsidR="00830E72" w:rsidRDefault="008344D8">
                    <w:pPr>
                      <w:kinsoku w:val="0"/>
                      <w:overflowPunct w:val="0"/>
                      <w:autoSpaceDE w:val="0"/>
                      <w:autoSpaceDN w:val="0"/>
                      <w:adjustRightInd w:val="0"/>
                      <w:snapToGrid w:val="0"/>
                      <w:jc w:val="center"/>
                      <w:rPr>
                        <w:szCs w:val="21"/>
                        <w:highlight w:val="cyan"/>
                      </w:rPr>
                    </w:pPr>
                    <w:r>
                      <w:rPr>
                        <w:rFonts w:hint="eastAsia"/>
                        <w:szCs w:val="21"/>
                      </w:rPr>
                      <w:t>变动情形</w:t>
                    </w:r>
                  </w:p>
                </w:tc>
              </w:sdtContent>
            </w:sdt>
          </w:tr>
          <w:sdt>
            <w:sdtPr>
              <w:rPr>
                <w:rFonts w:hint="eastAsia"/>
                <w:szCs w:val="21"/>
              </w:rPr>
              <w:alias w:val="在报告期内公司董事、监事、高级管理人员变动情况"/>
              <w:tag w:val="_GBC_f8245c93a5574f05bb6e0a400a7c4f3b"/>
              <w:id w:val="-1997341608"/>
              <w:lock w:val="sdtLocked"/>
              <w:placeholder>
                <w:docPart w:val="GBC11111111111111111111111111111"/>
              </w:placeholder>
            </w:sdtPr>
            <w:sdtEndPr/>
            <w:sdtContent>
              <w:tr w:rsidR="00830E72" w14:paraId="4F9DF40B" w14:textId="77777777">
                <w:tc>
                  <w:tcPr>
                    <w:tcW w:w="894" w:type="pct"/>
                  </w:tcPr>
                  <w:p w14:paraId="515FDFE4" w14:textId="77777777" w:rsidR="00830E72" w:rsidRDefault="008344D8">
                    <w:pPr>
                      <w:kinsoku w:val="0"/>
                      <w:overflowPunct w:val="0"/>
                      <w:autoSpaceDE w:val="0"/>
                      <w:autoSpaceDN w:val="0"/>
                      <w:adjustRightInd w:val="0"/>
                      <w:snapToGrid w:val="0"/>
                      <w:jc w:val="center"/>
                      <w:rPr>
                        <w:szCs w:val="21"/>
                      </w:rPr>
                    </w:pPr>
                    <w:r>
                      <w:rPr>
                        <w:rFonts w:hint="eastAsia"/>
                        <w:szCs w:val="21"/>
                      </w:rPr>
                      <w:t>吴小辉</w:t>
                    </w:r>
                  </w:p>
                </w:tc>
                <w:tc>
                  <w:tcPr>
                    <w:tcW w:w="2481" w:type="pct"/>
                  </w:tcPr>
                  <w:p w14:paraId="661D086A" w14:textId="77777777" w:rsidR="00830E72" w:rsidRDefault="008344D8">
                    <w:pPr>
                      <w:kinsoku w:val="0"/>
                      <w:overflowPunct w:val="0"/>
                      <w:autoSpaceDE w:val="0"/>
                      <w:autoSpaceDN w:val="0"/>
                      <w:adjustRightInd w:val="0"/>
                      <w:snapToGrid w:val="0"/>
                      <w:jc w:val="center"/>
                      <w:rPr>
                        <w:szCs w:val="21"/>
                      </w:rPr>
                    </w:pPr>
                    <w:r>
                      <w:rPr>
                        <w:rFonts w:hint="eastAsia"/>
                        <w:szCs w:val="21"/>
                      </w:rPr>
                      <w:t>总经理</w:t>
                    </w:r>
                  </w:p>
                </w:tc>
                <w:sdt>
                  <w:sdtPr>
                    <w:rPr>
                      <w:szCs w:val="21"/>
                    </w:rPr>
                    <w:alias w:val="公司董事、监事、高级管理人员的变动情形"/>
                    <w:tag w:val="_GBC_466f24fb36cc4d949be4225fed8d37c7"/>
                    <w:id w:val="937253199"/>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02D8BB81" w14:textId="77777777" w:rsidR="00830E72" w:rsidRDefault="008344D8">
                        <w:pPr>
                          <w:kinsoku w:val="0"/>
                          <w:overflowPunct w:val="0"/>
                          <w:autoSpaceDE w:val="0"/>
                          <w:autoSpaceDN w:val="0"/>
                          <w:adjustRightInd w:val="0"/>
                          <w:snapToGrid w:val="0"/>
                          <w:jc w:val="center"/>
                          <w:rPr>
                            <w:color w:val="FFC000"/>
                            <w:szCs w:val="21"/>
                          </w:rPr>
                        </w:pPr>
                        <w:r>
                          <w:rPr>
                            <w:szCs w:val="21"/>
                          </w:rPr>
                          <w:t>聘任</w:t>
                        </w:r>
                      </w:p>
                    </w:tc>
                  </w:sdtContent>
                </w:sdt>
              </w:tr>
            </w:sdtContent>
          </w:sdt>
          <w:sdt>
            <w:sdtPr>
              <w:rPr>
                <w:rFonts w:hint="eastAsia"/>
                <w:szCs w:val="21"/>
              </w:rPr>
              <w:alias w:val="在报告期内公司董事、监事、高级管理人员变动情况"/>
              <w:tag w:val="_GBC_f8245c93a5574f05bb6e0a400a7c4f3b"/>
              <w:id w:val="1088811466"/>
              <w:lock w:val="sdtLocked"/>
              <w:placeholder>
                <w:docPart w:val="GBC11111111111111111111111111111"/>
              </w:placeholder>
            </w:sdtPr>
            <w:sdtEndPr/>
            <w:sdtContent>
              <w:tr w:rsidR="00830E72" w14:paraId="07FB35ED" w14:textId="77777777">
                <w:tc>
                  <w:tcPr>
                    <w:tcW w:w="894" w:type="pct"/>
                  </w:tcPr>
                  <w:p w14:paraId="79A81BF7" w14:textId="77777777" w:rsidR="00830E72" w:rsidRDefault="008344D8">
                    <w:pPr>
                      <w:kinsoku w:val="0"/>
                      <w:overflowPunct w:val="0"/>
                      <w:autoSpaceDE w:val="0"/>
                      <w:autoSpaceDN w:val="0"/>
                      <w:adjustRightInd w:val="0"/>
                      <w:snapToGrid w:val="0"/>
                      <w:jc w:val="center"/>
                      <w:rPr>
                        <w:szCs w:val="21"/>
                      </w:rPr>
                    </w:pPr>
                    <w:r>
                      <w:rPr>
                        <w:rFonts w:hint="eastAsia"/>
                        <w:szCs w:val="21"/>
                      </w:rPr>
                      <w:t>彭小毛</w:t>
                    </w:r>
                  </w:p>
                </w:tc>
                <w:tc>
                  <w:tcPr>
                    <w:tcW w:w="2481" w:type="pct"/>
                  </w:tcPr>
                  <w:p w14:paraId="4145DEFF" w14:textId="77777777" w:rsidR="00830E72" w:rsidRDefault="008344D8">
                    <w:pPr>
                      <w:kinsoku w:val="0"/>
                      <w:overflowPunct w:val="0"/>
                      <w:autoSpaceDE w:val="0"/>
                      <w:autoSpaceDN w:val="0"/>
                      <w:adjustRightInd w:val="0"/>
                      <w:snapToGrid w:val="0"/>
                      <w:jc w:val="center"/>
                      <w:rPr>
                        <w:szCs w:val="21"/>
                      </w:rPr>
                    </w:pPr>
                    <w:r>
                      <w:rPr>
                        <w:rFonts w:hint="eastAsia"/>
                        <w:szCs w:val="21"/>
                      </w:rPr>
                      <w:t>董事、总经理</w:t>
                    </w:r>
                  </w:p>
                </w:tc>
                <w:sdt>
                  <w:sdtPr>
                    <w:rPr>
                      <w:szCs w:val="21"/>
                    </w:rPr>
                    <w:alias w:val="公司董事、监事、高级管理人员的变动情形"/>
                    <w:tag w:val="_GBC_466f24fb36cc4d949be4225fed8d37c7"/>
                    <w:id w:val="630053280"/>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3088B7AD" w14:textId="77777777" w:rsidR="00830E72" w:rsidRDefault="008344D8">
                        <w:pPr>
                          <w:kinsoku w:val="0"/>
                          <w:overflowPunct w:val="0"/>
                          <w:autoSpaceDE w:val="0"/>
                          <w:autoSpaceDN w:val="0"/>
                          <w:adjustRightInd w:val="0"/>
                          <w:snapToGrid w:val="0"/>
                          <w:jc w:val="center"/>
                          <w:rPr>
                            <w:color w:val="FFC000"/>
                            <w:szCs w:val="21"/>
                          </w:rPr>
                        </w:pPr>
                        <w:r>
                          <w:rPr>
                            <w:szCs w:val="21"/>
                          </w:rPr>
                          <w:t>离任</w:t>
                        </w:r>
                      </w:p>
                    </w:tc>
                  </w:sdtContent>
                </w:sdt>
              </w:tr>
            </w:sdtContent>
          </w:sdt>
        </w:tbl>
        <w:p w14:paraId="4B5082EA" w14:textId="77777777" w:rsidR="00830E72" w:rsidRDefault="00D44830"/>
      </w:sdtContent>
    </w:sdt>
    <w:sdt>
      <w:sdtPr>
        <w:rPr>
          <w:rFonts w:hint="eastAsia"/>
        </w:rPr>
        <w:alias w:val="模块:公司董事、监事、高级管理人员变动的情况说明"/>
        <w:tag w:val="_SEC_9d764ab9e1c44e0e972e846b8ecf0813"/>
        <w:id w:val="-1083835996"/>
        <w:lock w:val="sdtLocked"/>
        <w:placeholder>
          <w:docPart w:val="GBC22222222222222222222222222222"/>
        </w:placeholder>
      </w:sdtPr>
      <w:sdtEndPr/>
      <w:sdtContent>
        <w:p w14:paraId="6ABB1F3A" w14:textId="77777777" w:rsidR="00830E72" w:rsidRDefault="008344D8">
          <w:r>
            <w:rPr>
              <w:rFonts w:hint="eastAsia"/>
            </w:rPr>
            <w:t>公司董事、监事、高级管理人员变动的情况说明</w:t>
          </w:r>
        </w:p>
        <w:sdt>
          <w:sdtPr>
            <w:rPr>
              <w:rFonts w:hint="eastAsia"/>
            </w:rPr>
            <w:alias w:val="是否适用：公司董事、监事、高级管理人员变动的情况说明 [双击切换]"/>
            <w:tag w:val="_GBC_1eda708e71a542fa89f6ad1bb8abbf70"/>
            <w:id w:val="-699318983"/>
            <w:lock w:val="sdtLocked"/>
            <w:placeholder>
              <w:docPart w:val="GBC22222222222222222222222222222"/>
            </w:placeholder>
          </w:sdtPr>
          <w:sdtEndPr/>
          <w:sdtContent>
            <w:p w14:paraId="27A9D435"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公司董事、监事、高级管理人员变动的情况说明"/>
            <w:tag w:val="_GBC_f2e7651aeda04cb8847fc3d49af6315f"/>
            <w:id w:val="118966454"/>
            <w:lock w:val="sdtLocked"/>
            <w:placeholder>
              <w:docPart w:val="GBC22222222222222222222222222222"/>
            </w:placeholder>
          </w:sdtPr>
          <w:sdtEndPr/>
          <w:sdtContent>
            <w:p w14:paraId="393EAA74" w14:textId="77777777" w:rsidR="00830E72" w:rsidRDefault="008344D8">
              <w:pPr>
                <w:ind w:firstLineChars="200" w:firstLine="420"/>
              </w:pPr>
              <w:r>
                <w:t>2021</w:t>
              </w:r>
              <w:r>
                <w:rPr>
                  <w:rFonts w:hint="eastAsia"/>
                </w:rPr>
                <w:t>年2月</w:t>
              </w:r>
              <w:r>
                <w:t>9</w:t>
              </w:r>
              <w:r>
                <w:rPr>
                  <w:rFonts w:hint="eastAsia"/>
                </w:rPr>
                <w:t>日，公司董事会收到原总经理彭小毛先生提交的书面辞职报告，彭小毛先生因个人原因，辞去担任的公司董事、董事会薪酬与考核委员会委员及总经理职务。经公司董事长提名，公司于</w:t>
              </w:r>
              <w:r>
                <w:t>2021年3月23日以通讯方式召开了第二届董事会第十二次会议，会议一致审议通过了《关于聘任公司总经理的议案》，董事会决定聘任吴小辉先生为公司总经理，任期自董事会审议通过之日起至第二届董事会届满为止。</w:t>
              </w:r>
            </w:p>
          </w:sdtContent>
        </w:sdt>
      </w:sdtContent>
    </w:sdt>
    <w:p w14:paraId="341DFCA2" w14:textId="77777777" w:rsidR="00830E72" w:rsidRDefault="008344D8">
      <w:pPr>
        <w:pStyle w:val="2"/>
        <w:numPr>
          <w:ilvl w:val="0"/>
          <w:numId w:val="12"/>
        </w:numPr>
        <w:tabs>
          <w:tab w:val="left" w:pos="426"/>
        </w:tabs>
        <w:ind w:left="422" w:hanging="422"/>
        <w:jc w:val="left"/>
        <w:rPr>
          <w:rFonts w:ascii="宋体" w:hAnsi="宋体"/>
        </w:rPr>
      </w:pPr>
      <w:r>
        <w:rPr>
          <w:rFonts w:ascii="宋体" w:hAnsi="宋体"/>
        </w:rPr>
        <w:t>利润分配或资本公积金转增预案</w:t>
      </w:r>
    </w:p>
    <w:p w14:paraId="7D719A2E" w14:textId="77777777" w:rsidR="00830E72" w:rsidRDefault="008344D8">
      <w:pPr>
        <w:rPr>
          <w:b/>
          <w:bCs/>
        </w:rPr>
      </w:pPr>
      <w:r>
        <w:rPr>
          <w:b/>
          <w:bCs/>
        </w:rPr>
        <w:t>半年度拟定的利润分配预案、公积金转增股本预案</w:t>
      </w:r>
    </w:p>
    <w:sdt>
      <w:sdtPr>
        <w:alias w:val="模块:半年度拟定的利润分配预案"/>
        <w:tag w:val="_GBC_e4b48d016b974478b1fce3e8671a7227"/>
        <w:id w:val="-1746341606"/>
        <w:lock w:val="sdtLocked"/>
        <w:placeholder>
          <w:docPart w:val="GBC22222222222222222222222222222"/>
        </w:placeholder>
      </w:sdtPr>
      <w:sdtEndPr>
        <w:rPr>
          <w:rFonts w:hint="eastAsia"/>
        </w:rPr>
      </w:sdtEndPr>
      <w:sdtContent>
        <w:tbl>
          <w:tblPr>
            <w:tblStyle w:val="aff0"/>
            <w:tblW w:w="0" w:type="auto"/>
            <w:tblLook w:val="04A0" w:firstRow="1" w:lastRow="0" w:firstColumn="1" w:lastColumn="0" w:noHBand="0" w:noVBand="1"/>
          </w:tblPr>
          <w:tblGrid>
            <w:gridCol w:w="4524"/>
            <w:gridCol w:w="4524"/>
          </w:tblGrid>
          <w:tr w:rsidR="00830E72" w14:paraId="0B9460D9" w14:textId="77777777">
            <w:sdt>
              <w:sdtPr>
                <w:tag w:val="_PLD_dee68179c02c4ccc8a9b8d7e3f70f2c6"/>
                <w:id w:val="2141533280"/>
                <w:lock w:val="sdtLocked"/>
              </w:sdtPr>
              <w:sdtEndPr/>
              <w:sdtContent>
                <w:tc>
                  <w:tcPr>
                    <w:tcW w:w="4524" w:type="dxa"/>
                  </w:tcPr>
                  <w:p w14:paraId="0A34D3EB" w14:textId="77777777" w:rsidR="00830E72" w:rsidRDefault="008344D8">
                    <w:r>
                      <w:t>是否分配或转增</w:t>
                    </w:r>
                  </w:p>
                </w:tc>
              </w:sdtContent>
            </w:sdt>
            <w:sdt>
              <w:sdtPr>
                <w:rPr>
                  <w:rFonts w:ascii="Times New Roman" w:hAnsi="Times New Roman" w:hint="eastAsia"/>
                </w:rPr>
                <w:alias w:val="是否分配或转增"/>
                <w:tag w:val="_GBC_1aa3bb539f35454da0536200efcc4f60"/>
                <w:id w:val="-1426882884"/>
                <w:lock w:val="sdtLocked"/>
                <w:comboBox>
                  <w:listItem w:displayText="是" w:value="true"/>
                  <w:listItem w:displayText="否" w:value="false"/>
                </w:comboBox>
              </w:sdtPr>
              <w:sdtEndPr/>
              <w:sdtContent>
                <w:tc>
                  <w:tcPr>
                    <w:tcW w:w="4524" w:type="dxa"/>
                  </w:tcPr>
                  <w:p w14:paraId="27B2A5EE" w14:textId="77777777" w:rsidR="00830E72" w:rsidRDefault="008344D8">
                    <w:pPr>
                      <w:jc w:val="center"/>
                    </w:pPr>
                    <w:r>
                      <w:rPr>
                        <w:rFonts w:hint="eastAsia"/>
                      </w:rPr>
                      <w:t>否</w:t>
                    </w:r>
                  </w:p>
                </w:tc>
              </w:sdtContent>
            </w:sdt>
          </w:tr>
          <w:tr w:rsidR="00830E72" w14:paraId="51CD26C0" w14:textId="77777777">
            <w:sdt>
              <w:sdtPr>
                <w:tag w:val="_PLD_bd901803dd924026b7c6f59fdd31aad5"/>
                <w:id w:val="1618026539"/>
                <w:lock w:val="sdtLocked"/>
              </w:sdtPr>
              <w:sdtEndPr/>
              <w:sdtContent>
                <w:tc>
                  <w:tcPr>
                    <w:tcW w:w="4524" w:type="dxa"/>
                  </w:tcPr>
                  <w:p w14:paraId="56541FF3" w14:textId="77777777" w:rsidR="00830E72" w:rsidRDefault="008344D8">
                    <w:r>
                      <w:t>每10股送红股数（股）</w:t>
                    </w:r>
                  </w:p>
                </w:tc>
              </w:sdtContent>
            </w:sdt>
            <w:tc>
              <w:tcPr>
                <w:tcW w:w="4524" w:type="dxa"/>
              </w:tcPr>
              <w:p w14:paraId="745A932D" w14:textId="77777777" w:rsidR="00830E72" w:rsidRDefault="008344D8">
                <w:pPr>
                  <w:jc w:val="center"/>
                </w:pPr>
                <w:r>
                  <w:rPr>
                    <w:rFonts w:hint="eastAsia"/>
                  </w:rPr>
                  <w:t>0</w:t>
                </w:r>
              </w:p>
            </w:tc>
          </w:tr>
          <w:tr w:rsidR="00830E72" w14:paraId="66C78C7D" w14:textId="77777777">
            <w:sdt>
              <w:sdtPr>
                <w:tag w:val="_PLD_6cbe2a97f01847b28eeb312b29d1d347"/>
                <w:id w:val="1464235652"/>
                <w:lock w:val="sdtLocked"/>
              </w:sdtPr>
              <w:sdtEndPr/>
              <w:sdtContent>
                <w:tc>
                  <w:tcPr>
                    <w:tcW w:w="4524" w:type="dxa"/>
                  </w:tcPr>
                  <w:p w14:paraId="465461E6" w14:textId="77777777" w:rsidR="00830E72" w:rsidRDefault="008344D8">
                    <w:r>
                      <w:t>每10股派息数(元)（含税）</w:t>
                    </w:r>
                  </w:p>
                </w:tc>
              </w:sdtContent>
            </w:sdt>
            <w:tc>
              <w:tcPr>
                <w:tcW w:w="4524" w:type="dxa"/>
              </w:tcPr>
              <w:p w14:paraId="2E3C9FB4" w14:textId="77777777" w:rsidR="00830E72" w:rsidRDefault="008344D8">
                <w:pPr>
                  <w:jc w:val="center"/>
                </w:pPr>
                <w:r>
                  <w:rPr>
                    <w:rFonts w:hint="eastAsia"/>
                  </w:rPr>
                  <w:t>0</w:t>
                </w:r>
              </w:p>
            </w:tc>
          </w:tr>
          <w:tr w:rsidR="00830E72" w14:paraId="2F518865" w14:textId="77777777">
            <w:sdt>
              <w:sdtPr>
                <w:tag w:val="_PLD_ea0844d0f72e40a392aba3e62b2e7e9c"/>
                <w:id w:val="33703336"/>
                <w:lock w:val="sdtLocked"/>
              </w:sdtPr>
              <w:sdtEndPr/>
              <w:sdtContent>
                <w:tc>
                  <w:tcPr>
                    <w:tcW w:w="4524" w:type="dxa"/>
                  </w:tcPr>
                  <w:p w14:paraId="106577EC" w14:textId="77777777" w:rsidR="00830E72" w:rsidRDefault="008344D8">
                    <w:r>
                      <w:t>每10股转增数（股）</w:t>
                    </w:r>
                  </w:p>
                </w:tc>
              </w:sdtContent>
            </w:sdt>
            <w:tc>
              <w:tcPr>
                <w:tcW w:w="4524" w:type="dxa"/>
              </w:tcPr>
              <w:p w14:paraId="1FB64A6A" w14:textId="77777777" w:rsidR="00830E72" w:rsidRDefault="008344D8">
                <w:pPr>
                  <w:jc w:val="center"/>
                </w:pPr>
                <w:r>
                  <w:rPr>
                    <w:rFonts w:hint="eastAsia"/>
                  </w:rPr>
                  <w:t>0</w:t>
                </w:r>
              </w:p>
            </w:tc>
          </w:tr>
          <w:tr w:rsidR="00830E72" w14:paraId="69A163C9" w14:textId="77777777">
            <w:sdt>
              <w:sdtPr>
                <w:tag w:val="_PLD_6f4b1db2793f4d00b5b11589fa8a57fc"/>
                <w:id w:val="2146620527"/>
                <w:lock w:val="sdtLocked"/>
              </w:sdtPr>
              <w:sdtEndPr/>
              <w:sdtContent>
                <w:tc>
                  <w:tcPr>
                    <w:tcW w:w="9048" w:type="dxa"/>
                    <w:gridSpan w:val="2"/>
                  </w:tcPr>
                  <w:p w14:paraId="65EA53E5" w14:textId="77777777" w:rsidR="00830E72" w:rsidRDefault="008344D8">
                    <w:pPr>
                      <w:jc w:val="center"/>
                    </w:pPr>
                    <w:r>
                      <w:t>利润分配或资本公积金转增预案的相关情况说明</w:t>
                    </w:r>
                  </w:p>
                </w:tc>
              </w:sdtContent>
            </w:sdt>
          </w:tr>
          <w:tr w:rsidR="00830E72" w14:paraId="5235E53E" w14:textId="77777777">
            <w:sdt>
              <w:sdtPr>
                <w:alias w:val="利润分配或资本公积金转增预案详细情况"/>
                <w:tag w:val="_GBC_94bed1d7442547dda64f3e2963ffc525"/>
                <w:id w:val="151263816"/>
                <w:lock w:val="sdtLocked"/>
              </w:sdtPr>
              <w:sdtEndPr/>
              <w:sdtContent>
                <w:tc>
                  <w:tcPr>
                    <w:tcW w:w="9048" w:type="dxa"/>
                    <w:gridSpan w:val="2"/>
                  </w:tcPr>
                  <w:p w14:paraId="6F7E0FED" w14:textId="77777777" w:rsidR="00830E72" w:rsidRDefault="008344D8">
                    <w:r>
                      <w:rPr>
                        <w:rFonts w:hint="eastAsia"/>
                      </w:rPr>
                      <w:t>无</w:t>
                    </w:r>
                  </w:p>
                </w:tc>
              </w:sdtContent>
            </w:sdt>
          </w:tr>
        </w:tbl>
      </w:sdtContent>
    </w:sdt>
    <w:p w14:paraId="78A855F5" w14:textId="77777777" w:rsidR="00830E72" w:rsidRDefault="00830E72"/>
    <w:p w14:paraId="6CF6A16C" w14:textId="77777777" w:rsidR="00830E72" w:rsidRDefault="008344D8">
      <w:pPr>
        <w:pStyle w:val="2"/>
        <w:numPr>
          <w:ilvl w:val="0"/>
          <w:numId w:val="12"/>
        </w:numPr>
        <w:tabs>
          <w:tab w:val="left" w:pos="426"/>
        </w:tabs>
        <w:ind w:left="422" w:hanging="422"/>
        <w:jc w:val="left"/>
        <w:rPr>
          <w:rFonts w:ascii="宋体" w:hAnsi="宋体"/>
        </w:rPr>
      </w:pPr>
      <w:r>
        <w:rPr>
          <w:rFonts w:ascii="宋体" w:hAnsi="宋体" w:hint="eastAsia"/>
        </w:rPr>
        <w:t>公司股权激励计划、员工持股计划或其他员工激励措施的情况及其影响</w:t>
      </w:r>
    </w:p>
    <w:bookmarkStart w:id="37" w:name="_Hlk74641818" w:displacedByCustomXml="next"/>
    <w:sdt>
      <w:sdtPr>
        <w:rPr>
          <w:rFonts w:ascii="宋体" w:hAnsi="宋体" w:cs="宋体"/>
          <w:b w:val="0"/>
          <w:bCs w:val="0"/>
          <w:kern w:val="0"/>
          <w:szCs w:val="24"/>
        </w:rPr>
        <w:alias w:val="模块:相关股权激励事项已在临时公告披露且后续实施无进展或变化的"/>
        <w:tag w:val="_SEC_27d68d30f5fb4d008c2e762ac7309c77"/>
        <w:id w:val="542260662"/>
        <w:lock w:val="sdtLocked"/>
        <w:placeholder>
          <w:docPart w:val="GBC22222222222222222222222222222"/>
        </w:placeholder>
      </w:sdtPr>
      <w:sdtEndPr/>
      <w:sdtContent>
        <w:p w14:paraId="4C9B8B2B" w14:textId="77777777" w:rsidR="00830E72" w:rsidRDefault="008344D8">
          <w:pPr>
            <w:pStyle w:val="3"/>
            <w:numPr>
              <w:ilvl w:val="1"/>
              <w:numId w:val="13"/>
            </w:numPr>
            <w:rPr>
              <w:rFonts w:ascii="宋体" w:hAnsi="宋体"/>
              <w:kern w:val="44"/>
            </w:rPr>
          </w:pPr>
          <w:r>
            <w:rPr>
              <w:rFonts w:ascii="宋体" w:hAnsi="宋体" w:hint="eastAsia"/>
              <w:kern w:val="44"/>
            </w:rPr>
            <w:t>相关股权激励事项已在临时公告披露且后续实施无进展或变化的</w:t>
          </w:r>
        </w:p>
        <w:sdt>
          <w:sdtPr>
            <w:alias w:val="是否适用：相关激励事项已在临时公告披露且后续实施无进展或变化的[双击切换]"/>
            <w:tag w:val="_GBC_3c43a5cea9ef47daa40f133532dcd63c"/>
            <w:id w:val="-446774449"/>
            <w:lock w:val="sdtLocked"/>
            <w:placeholder>
              <w:docPart w:val="GBC22222222222222222222222222222"/>
            </w:placeholder>
          </w:sdtPr>
          <w:sdtEndPr/>
          <w:sdtContent>
            <w:p w14:paraId="0636CFDC"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FD0D939" w14:textId="77777777" w:rsidR="00830E72" w:rsidRDefault="008344D8">
      <w:pPr>
        <w:pStyle w:val="3"/>
        <w:numPr>
          <w:ilvl w:val="1"/>
          <w:numId w:val="13"/>
        </w:numPr>
        <w:rPr>
          <w:rFonts w:ascii="宋体" w:hAnsi="宋体" w:cs="宋体"/>
          <w:kern w:val="0"/>
          <w:szCs w:val="24"/>
        </w:rPr>
      </w:pPr>
      <w:bookmarkStart w:id="38" w:name="_Hlk78551986"/>
      <w:bookmarkEnd w:id="38"/>
      <w:bookmarkEnd w:id="37"/>
      <w:r>
        <w:rPr>
          <w:rFonts w:ascii="宋体" w:hAnsi="宋体" w:cs="宋体" w:hint="eastAsia"/>
          <w:kern w:val="0"/>
          <w:szCs w:val="24"/>
        </w:rPr>
        <w:t>临时公告未披露或有后续进展的激励情况</w:t>
      </w:r>
    </w:p>
    <w:p w14:paraId="0A2A69A7" w14:textId="77777777" w:rsidR="00830E72" w:rsidRDefault="008344D8">
      <w:r>
        <w:rPr>
          <w:rFonts w:hint="eastAsia"/>
        </w:rPr>
        <w:t>股权激励情况</w:t>
      </w:r>
    </w:p>
    <w:sdt>
      <w:sdtPr>
        <w:alias w:val="是否适用：股权激励情况[双击切换]"/>
        <w:tag w:val="_GBC_388221bc7be24cdca55be337256c8bc1"/>
        <w:id w:val="-854655172"/>
        <w:lock w:val="sdtLocked"/>
        <w:placeholder>
          <w:docPart w:val="GBC22222222222222222222222222222"/>
        </w:placeholder>
      </w:sdtPr>
      <w:sdtEndPr/>
      <w:sdtContent>
        <w:p w14:paraId="1823EE95"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模块:股权激励情况的说明"/>
        <w:tag w:val="_SEC_a417a9b40b6a4adeba436d511837e016"/>
        <w:id w:val="1274907992"/>
        <w:lock w:val="sdtLocked"/>
        <w:placeholder>
          <w:docPart w:val="GBC22222222222222222222222222222"/>
        </w:placeholder>
      </w:sdtPr>
      <w:sdtEndPr>
        <w:rPr>
          <w:rFonts w:hint="default"/>
        </w:rPr>
      </w:sdtEndPr>
      <w:sdtContent>
        <w:p w14:paraId="35848579" w14:textId="77777777" w:rsidR="00830E72" w:rsidRDefault="008344D8">
          <w:pPr>
            <w:rPr>
              <w:szCs w:val="21"/>
            </w:rPr>
          </w:pPr>
          <w:r>
            <w:rPr>
              <w:rFonts w:hint="eastAsia"/>
              <w:szCs w:val="21"/>
            </w:rPr>
            <w:t>其他说明</w:t>
          </w:r>
        </w:p>
        <w:p w14:paraId="38014767" w14:textId="77777777" w:rsidR="00830E72" w:rsidRDefault="00D44830">
          <w:pPr>
            <w:rPr>
              <w:szCs w:val="21"/>
            </w:rPr>
          </w:pPr>
          <w:sdt>
            <w:sdtPr>
              <w:rPr>
                <w:rFonts w:hint="eastAsia"/>
                <w:szCs w:val="21"/>
              </w:rPr>
              <w:alias w:val="是否适用：股权激励情况的说明[双击切换]"/>
              <w:tag w:val="_GBC_e5a032ecd3e24335b29a38809f65a990"/>
              <w:id w:val="307211500"/>
              <w:lock w:val="sdtLocked"/>
              <w:placeholder>
                <w:docPart w:val="GBC22222222222222222222222222222"/>
              </w:placeholder>
            </w:sdtPr>
            <w:sdtEndPr/>
            <w:sdtContent>
              <w:r w:rsidR="008344D8">
                <w:rPr>
                  <w:szCs w:val="21"/>
                </w:rPr>
                <w:fldChar w:fldCharType="begin"/>
              </w:r>
              <w:r w:rsidR="008344D8">
                <w:rPr>
                  <w:szCs w:val="21"/>
                </w:rPr>
                <w:instrText xml:space="preserve"> MACROBUTTON  SnrToggleCheckbox □适用 </w:instrText>
              </w:r>
              <w:r w:rsidR="008344D8">
                <w:rPr>
                  <w:szCs w:val="21"/>
                </w:rPr>
                <w:fldChar w:fldCharType="end"/>
              </w:r>
              <w:r w:rsidR="008344D8">
                <w:rPr>
                  <w:szCs w:val="21"/>
                </w:rPr>
                <w:fldChar w:fldCharType="begin"/>
              </w:r>
              <w:r w:rsidR="008344D8">
                <w:rPr>
                  <w:szCs w:val="21"/>
                </w:rPr>
                <w:instrText xml:space="preserve"> MACROBUTTON  SnrToggleCheckbox √不适用 </w:instrText>
              </w:r>
              <w:r w:rsidR="008344D8">
                <w:rPr>
                  <w:szCs w:val="21"/>
                </w:rPr>
                <w:fldChar w:fldCharType="end"/>
              </w:r>
            </w:sdtContent>
          </w:sdt>
        </w:p>
      </w:sdtContent>
    </w:sdt>
    <w:sdt>
      <w:sdtPr>
        <w:rPr>
          <w:rFonts w:hint="eastAsia"/>
        </w:rPr>
        <w:alias w:val="模块:员工持股计划情况"/>
        <w:tag w:val="_SEC_70861e225efc4a6aa2a87c82bdeffa60"/>
        <w:id w:val="1339123302"/>
        <w:lock w:val="sdtLocked"/>
        <w:placeholder>
          <w:docPart w:val="GBC22222222222222222222222222222"/>
        </w:placeholder>
      </w:sdtPr>
      <w:sdtEndPr>
        <w:rPr>
          <w:bCs/>
          <w:szCs w:val="21"/>
        </w:rPr>
      </w:sdtEndPr>
      <w:sdtContent>
        <w:p w14:paraId="241D0918" w14:textId="77777777" w:rsidR="00830E72" w:rsidRDefault="008344D8">
          <w:r>
            <w:rPr>
              <w:rFonts w:hint="eastAsia"/>
            </w:rPr>
            <w:t>员工持股计划情况</w:t>
          </w:r>
        </w:p>
        <w:sdt>
          <w:sdtPr>
            <w:rPr>
              <w:szCs w:val="21"/>
            </w:rPr>
            <w:alias w:val="是否适用：员工持股计划情况[双击切换]"/>
            <w:tag w:val="_GBC_60a13b60efda4715a83fed9c5960ee3b"/>
            <w:id w:val="-1118289355"/>
            <w:lock w:val="sdtLocked"/>
            <w:placeholder>
              <w:docPart w:val="GBC22222222222222222222222222222"/>
            </w:placeholder>
          </w:sdtPr>
          <w:sdtEndPr/>
          <w:sdtContent>
            <w:p w14:paraId="08F2ACEC" w14:textId="77777777" w:rsidR="00830E72" w:rsidRDefault="008344D8">
              <w:pPr>
                <w:rPr>
                  <w:bCs/>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rPr>
        <w:alias w:val="模块:其他激励措施"/>
        <w:tag w:val="_SEC_63920368dc0b49e9a257b190129bf278"/>
        <w:id w:val="-422101736"/>
        <w:lock w:val="sdtLocked"/>
        <w:placeholder>
          <w:docPart w:val="GBC22222222222222222222222222222"/>
        </w:placeholder>
      </w:sdtPr>
      <w:sdtEndPr>
        <w:rPr>
          <w:bCs/>
          <w:szCs w:val="21"/>
        </w:rPr>
      </w:sdtEndPr>
      <w:sdtContent>
        <w:p w14:paraId="60E08CFC" w14:textId="77777777" w:rsidR="00830E72" w:rsidRDefault="008344D8">
          <w:r>
            <w:rPr>
              <w:rFonts w:hint="eastAsia"/>
            </w:rPr>
            <w:t>其他激励措施</w:t>
          </w:r>
        </w:p>
        <w:sdt>
          <w:sdtPr>
            <w:rPr>
              <w:szCs w:val="21"/>
            </w:rPr>
            <w:alias w:val="是否适用：其他激励措施[双击切换]"/>
            <w:tag w:val="_GBC_87e3c04518ac4bed97846d84cc8784e1"/>
            <w:id w:val="-1581748438"/>
            <w:lock w:val="sdtLocked"/>
            <w:placeholder>
              <w:docPart w:val="GBC22222222222222222222222222222"/>
            </w:placeholder>
          </w:sdtPr>
          <w:sdtEndPr/>
          <w:sdtContent>
            <w:p w14:paraId="218D82AE" w14:textId="77777777" w:rsidR="00830E72" w:rsidRDefault="008344D8">
              <w:pPr>
                <w:rPr>
                  <w:bCs/>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CDB0C9A" w14:textId="77777777" w:rsidR="00830E72" w:rsidRDefault="00830E72"/>
    <w:p w14:paraId="0A7F3D0D" w14:textId="77777777" w:rsidR="00830E72" w:rsidRDefault="008344D8">
      <w:pPr>
        <w:pStyle w:val="1"/>
        <w:numPr>
          <w:ilvl w:val="0"/>
          <w:numId w:val="2"/>
        </w:numPr>
        <w:jc w:val="left"/>
        <w:rPr>
          <w:rFonts w:ascii="黑体" w:hAnsi="黑体"/>
        </w:rPr>
      </w:pPr>
      <w:bookmarkStart w:id="39" w:name="_Toc79503146"/>
      <w:r>
        <w:rPr>
          <w:rFonts w:ascii="黑体" w:hAnsi="黑体" w:hint="eastAsia"/>
        </w:rPr>
        <w:lastRenderedPageBreak/>
        <w:t>环境与社会责任</w:t>
      </w:r>
      <w:bookmarkEnd w:id="39"/>
    </w:p>
    <w:p w14:paraId="4E55CBAD" w14:textId="77777777" w:rsidR="00830E72" w:rsidRDefault="008344D8">
      <w:pPr>
        <w:pStyle w:val="2"/>
        <w:numPr>
          <w:ilvl w:val="0"/>
          <w:numId w:val="14"/>
        </w:numPr>
        <w:tabs>
          <w:tab w:val="left" w:pos="426"/>
        </w:tabs>
        <w:ind w:firstLineChars="0"/>
        <w:jc w:val="left"/>
        <w:rPr>
          <w:rFonts w:ascii="宋体" w:hAnsi="宋体"/>
        </w:rPr>
      </w:pPr>
      <w:r>
        <w:rPr>
          <w:rFonts w:ascii="宋体" w:hAnsi="宋体" w:hint="eastAsia"/>
        </w:rPr>
        <w:t>环境</w:t>
      </w:r>
      <w:r>
        <w:rPr>
          <w:rFonts w:ascii="宋体" w:hAnsi="宋体"/>
        </w:rPr>
        <w:t>信息情况</w:t>
      </w:r>
    </w:p>
    <w:p w14:paraId="4C738F47" w14:textId="77777777" w:rsidR="00830E72" w:rsidRDefault="008344D8">
      <w:pPr>
        <w:pStyle w:val="3"/>
        <w:numPr>
          <w:ilvl w:val="0"/>
          <w:numId w:val="15"/>
        </w:numPr>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820250e25791459fb9ab9ed79c168408"/>
        <w:id w:val="424312142"/>
        <w:lock w:val="sdtLocked"/>
        <w:placeholder>
          <w:docPart w:val="GBC22222222222222222222222222222"/>
        </w:placeholder>
      </w:sdtPr>
      <w:sdtEndPr/>
      <w:sdtContent>
        <w:p w14:paraId="084C720F"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7C06610" w14:textId="77777777" w:rsidR="00830E72" w:rsidRDefault="008344D8">
      <w:pPr>
        <w:pStyle w:val="3"/>
        <w:numPr>
          <w:ilvl w:val="0"/>
          <w:numId w:val="15"/>
        </w:numPr>
        <w:rPr>
          <w:rFonts w:ascii="宋体" w:hAnsi="宋体"/>
        </w:rPr>
      </w:pPr>
      <w:r>
        <w:rPr>
          <w:rFonts w:ascii="宋体" w:hAnsi="宋体" w:hint="eastAsia"/>
        </w:rPr>
        <w:t>重点排污单位之外的公司环保情况说明</w:t>
      </w:r>
    </w:p>
    <w:sdt>
      <w:sdtPr>
        <w:alias w:val="是否适用：重点排污单位之外的公司的环保情况[双击切换]"/>
        <w:tag w:val="_GBC_5429e6d325df48abbf95eb4f87e71363"/>
        <w:id w:val="2084798499"/>
        <w:lock w:val="sdtLocked"/>
        <w:placeholder>
          <w:docPart w:val="GBC22222222222222222222222222222"/>
        </w:placeholder>
      </w:sdtPr>
      <w:sdtEndPr/>
      <w:sdtContent>
        <w:p w14:paraId="2B1871FE"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b w:val="0"/>
          <w:bCs w:val="0"/>
          <w:kern w:val="0"/>
          <w:szCs w:val="24"/>
        </w:rPr>
        <w:alias w:val="模块:报告期内披露环境信息内容的后续进展或变化情况的说明"/>
        <w:tag w:val="_SEC_3c63bb32177f4f368bb662e3b696830a"/>
        <w:id w:val="-1271774247"/>
        <w:lock w:val="sdtLocked"/>
        <w:placeholder>
          <w:docPart w:val="GBC22222222222222222222222222222"/>
        </w:placeholder>
      </w:sdtPr>
      <w:sdtEndPr/>
      <w:sdtContent>
        <w:p w14:paraId="63D9F29D" w14:textId="77777777" w:rsidR="00830E72" w:rsidRDefault="008344D8">
          <w:pPr>
            <w:pStyle w:val="3"/>
            <w:numPr>
              <w:ilvl w:val="0"/>
              <w:numId w:val="15"/>
            </w:numPr>
            <w:rPr>
              <w:rFonts w:ascii="宋体" w:hAnsi="宋体"/>
            </w:rPr>
          </w:pPr>
          <w:r>
            <w:rPr>
              <w:rFonts w:ascii="宋体" w:hAnsi="宋体" w:hint="eastAsia"/>
            </w:rPr>
            <w:t>报告期内披露环境信息内容的后续进展或变化情况的说明</w:t>
          </w:r>
        </w:p>
        <w:sdt>
          <w:sdtPr>
            <w:alias w:val="是否适用：披露环境信息内容的后续进展或变化情况[双击切换]"/>
            <w:tag w:val="_GBC_451a415ae7344df7ba110ec71bce5279"/>
            <w:id w:val="522602404"/>
            <w:lock w:val="sdtLocked"/>
            <w:placeholder>
              <w:docPart w:val="GBC22222222222222222222222222222"/>
            </w:placeholder>
          </w:sdtPr>
          <w:sdtEndPr/>
          <w:sdtContent>
            <w:p w14:paraId="3B3D6CF8"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有利于保护生态、防治污染、履行环境责任的相关信息  __..."/>
        <w:tag w:val="_SEC_94dff50e6ff346df8df30ef5135f60ea"/>
        <w:id w:val="2002232125"/>
        <w:lock w:val="sdtLocked"/>
        <w:placeholder>
          <w:docPart w:val="GBC22222222222222222222222222222"/>
        </w:placeholder>
      </w:sdtPr>
      <w:sdtEndPr>
        <w:rPr>
          <w:rFonts w:hint="default"/>
        </w:rPr>
      </w:sdtEndPr>
      <w:sdtContent>
        <w:p w14:paraId="3E8A2A34" w14:textId="77777777" w:rsidR="00830E72" w:rsidRDefault="008344D8">
          <w:pPr>
            <w:pStyle w:val="3"/>
            <w:numPr>
              <w:ilvl w:val="0"/>
              <w:numId w:val="15"/>
            </w:numPr>
            <w:ind w:left="450" w:hanging="450"/>
            <w:rPr>
              <w:rFonts w:ascii="宋体" w:hAnsi="宋体" w:cs="宋体"/>
              <w:kern w:val="0"/>
              <w:szCs w:val="24"/>
            </w:rPr>
          </w:pPr>
          <w:r>
            <w:rPr>
              <w:rFonts w:ascii="宋体" w:hAnsi="宋体" w:cs="宋体" w:hint="eastAsia"/>
              <w:kern w:val="0"/>
              <w:szCs w:val="24"/>
            </w:rPr>
            <w:t xml:space="preserve"> 有利于保护生态、防治污染、履行环境责任的相关信息</w:t>
          </w:r>
        </w:p>
        <w:sdt>
          <w:sdtPr>
            <w:rPr>
              <w:szCs w:val="21"/>
            </w:rPr>
            <w:alias w:val="是否适用：有利于保护生态、防治污染、履行环境责任的相关信息[双击切换]"/>
            <w:tag w:val="_GBC_1d95a0d39baa46e594806677748c6810"/>
            <w:id w:val="-1175956715"/>
            <w:lock w:val="sdtLocked"/>
            <w:placeholder>
              <w:docPart w:val="GBC22222222222222222222222222222"/>
            </w:placeholder>
          </w:sdtPr>
          <w:sdtEndPr/>
          <w:sdtContent>
            <w:p w14:paraId="5581EB00"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有利于保护生态、防治污染、履行环境责任的相关信息"/>
            <w:tag w:val="_GBC_a7d973127b43494bb6876b836c3ec06c"/>
            <w:id w:val="-1762899634"/>
            <w:lock w:val="sdtLocked"/>
            <w:placeholder>
              <w:docPart w:val="GBC22222222222222222222222222222"/>
            </w:placeholder>
          </w:sdtPr>
          <w:sdtEndPr/>
          <w:sdtContent>
            <w:p w14:paraId="74213E3B" w14:textId="77777777" w:rsidR="00830E72" w:rsidRDefault="008344D8">
              <w:pPr>
                <w:ind w:firstLineChars="200" w:firstLine="420"/>
                <w:rPr>
                  <w:szCs w:val="21"/>
                </w:rPr>
              </w:pPr>
              <w:r>
                <w:rPr>
                  <w:rFonts w:hint="eastAsia"/>
                  <w:szCs w:val="21"/>
                </w:rPr>
                <w:t>公司严格遵守国家环境法律、法规，参建项目通过优良的工序设计和现场管理，优化生产工艺，采用适用技术、材料和产品，合理利用和优化资源配置，减少对资源的占有和消耗，因地制宜，最大限度利用本地材料及资源，提高资源的利用效率，积极促进资源的综合循环利用，在文明施工、绿色施工、扬尘防治、污废水排放、噪声监测方面均取得取得各级单位好评，采取的环保措施如下：</w:t>
              </w:r>
            </w:p>
            <w:p w14:paraId="3A5D5877" w14:textId="77777777" w:rsidR="00830E72" w:rsidRDefault="008344D8">
              <w:pPr>
                <w:ind w:firstLineChars="200" w:firstLine="420"/>
                <w:rPr>
                  <w:szCs w:val="21"/>
                </w:rPr>
              </w:pPr>
              <w:r>
                <w:rPr>
                  <w:szCs w:val="21"/>
                </w:rPr>
                <w:t>1、施工现场按有关要求实行全封闭式管理，沿工地四周设置围挡</w:t>
              </w:r>
              <w:r>
                <w:rPr>
                  <w:rFonts w:hint="eastAsia"/>
                  <w:szCs w:val="21"/>
                </w:rPr>
                <w:t>；</w:t>
              </w:r>
            </w:p>
            <w:p w14:paraId="2A17B0F6" w14:textId="77777777" w:rsidR="00830E72" w:rsidRDefault="008344D8">
              <w:pPr>
                <w:ind w:firstLineChars="200" w:firstLine="420"/>
                <w:rPr>
                  <w:szCs w:val="21"/>
                </w:rPr>
              </w:pPr>
              <w:r>
                <w:rPr>
                  <w:szCs w:val="21"/>
                </w:rPr>
                <w:t>2、施工现场主要道路根据用途进行硬化，采用C25混凝土硬化15CM。施工现场材料堆放区、加工区及大模板堆放场地采用C25混凝土硬化15CM</w:t>
              </w:r>
              <w:r>
                <w:rPr>
                  <w:rFonts w:hint="eastAsia"/>
                  <w:szCs w:val="21"/>
                </w:rPr>
                <w:t>；</w:t>
              </w:r>
            </w:p>
            <w:p w14:paraId="69EC9E23" w14:textId="77777777" w:rsidR="00830E72" w:rsidRDefault="008344D8">
              <w:pPr>
                <w:ind w:firstLineChars="200" w:firstLine="420"/>
                <w:rPr>
                  <w:szCs w:val="21"/>
                </w:rPr>
              </w:pPr>
              <w:r>
                <w:rPr>
                  <w:szCs w:val="21"/>
                </w:rPr>
                <w:t>3、生产、生活用水的排泄应先经过沉淀池沉淀后排入市政管网，进出车辆经过冲洗槽冲洗干净后，方允许上市政道路，避免造成对公路的环境污染。粉尘材料入库保管，沙、石料、渣土须洒水或遮盖控制扬尘，避免对周围环境的污染</w:t>
              </w:r>
              <w:r>
                <w:rPr>
                  <w:rFonts w:hint="eastAsia"/>
                  <w:szCs w:val="21"/>
                </w:rPr>
                <w:t>；</w:t>
              </w:r>
            </w:p>
            <w:p w14:paraId="357B9D93" w14:textId="77777777" w:rsidR="00830E72" w:rsidRDefault="008344D8">
              <w:pPr>
                <w:ind w:firstLineChars="200" w:firstLine="420"/>
                <w:rPr>
                  <w:szCs w:val="21"/>
                </w:rPr>
              </w:pPr>
              <w:r>
                <w:rPr>
                  <w:szCs w:val="21"/>
                </w:rPr>
                <w:t>4、施工现场设置移动式除尘雾炮机，配合移动式PM2.5检测仪，实时监测空气质量，合理安排移动式除尘雾炮机喷雾降尘</w:t>
              </w:r>
              <w:r>
                <w:rPr>
                  <w:rFonts w:hint="eastAsia"/>
                  <w:szCs w:val="21"/>
                </w:rPr>
                <w:t>；</w:t>
              </w:r>
            </w:p>
            <w:p w14:paraId="6258E9B7" w14:textId="77777777" w:rsidR="00830E72" w:rsidRDefault="008344D8">
              <w:pPr>
                <w:ind w:firstLineChars="200" w:firstLine="420"/>
                <w:rPr>
                  <w:szCs w:val="21"/>
                </w:rPr>
              </w:pPr>
              <w:r>
                <w:rPr>
                  <w:szCs w:val="21"/>
                </w:rPr>
                <w:t>5、施工回填时使用施工中挖出的废土，因施工造成裸土的地块，采用覆盖沙石并种植速生草种进行绿化，防止扬尘</w:t>
              </w:r>
              <w:r>
                <w:rPr>
                  <w:rFonts w:hint="eastAsia"/>
                  <w:szCs w:val="21"/>
                </w:rPr>
                <w:t>；</w:t>
              </w:r>
            </w:p>
            <w:p w14:paraId="080AFF1B" w14:textId="77777777" w:rsidR="00830E72" w:rsidRDefault="008344D8">
              <w:pPr>
                <w:ind w:firstLineChars="200" w:firstLine="420"/>
                <w:rPr>
                  <w:szCs w:val="21"/>
                </w:rPr>
              </w:pPr>
              <w:r>
                <w:rPr>
                  <w:szCs w:val="21"/>
                </w:rPr>
                <w:t>6、现场办公和生活用房采用周转式活动房，现场临边防护部分采用公司统一标准的装配式可重复使用的铁马护栏进行临边防护，工程完成后进行回收再利用，以便能重复利用节约材料。</w:t>
              </w:r>
            </w:p>
          </w:sdtContent>
        </w:sdt>
        <w:p w14:paraId="28E95852" w14:textId="77777777" w:rsidR="00830E72" w:rsidRDefault="00D44830"/>
      </w:sdtContent>
    </w:sdt>
    <w:sdt>
      <w:sdtPr>
        <w:rPr>
          <w:rFonts w:ascii="宋体" w:hAnsi="宋体" w:cs="宋体"/>
          <w:b w:val="0"/>
          <w:bCs w:val="0"/>
          <w:kern w:val="0"/>
          <w:szCs w:val="24"/>
        </w:rPr>
        <w:alias w:val="模块:在报告期内为减少其碳排放所采取的措施及效果"/>
        <w:tag w:val="_SEC_87628184e820413e96ce4b271e0a263e"/>
        <w:id w:val="551505662"/>
        <w:lock w:val="sdtLocked"/>
        <w:placeholder>
          <w:docPart w:val="GBC22222222222222222222222222222"/>
        </w:placeholder>
      </w:sdtPr>
      <w:sdtEndPr/>
      <w:sdtContent>
        <w:p w14:paraId="1AEE0D65" w14:textId="77777777" w:rsidR="00830E72" w:rsidRDefault="008344D8">
          <w:pPr>
            <w:pStyle w:val="3"/>
            <w:numPr>
              <w:ilvl w:val="0"/>
              <w:numId w:val="15"/>
            </w:numPr>
            <w:ind w:left="450" w:hanging="450"/>
            <w:rPr>
              <w:rFonts w:ascii="宋体" w:hAnsi="宋体"/>
            </w:rPr>
          </w:pPr>
          <w:r>
            <w:rPr>
              <w:rFonts w:ascii="宋体" w:hAnsi="宋体"/>
            </w:rPr>
            <w:t>在报告期内为减少其碳排放所采取的措施及效果</w:t>
          </w:r>
        </w:p>
        <w:sdt>
          <w:sdtPr>
            <w:alias w:val="是否适用：在报告期内为减少其碳排放所采取的措施及效果 [双击切换]"/>
            <w:tag w:val="_GBC_ca569fabe8a9403daf36205eb0a0b1c9"/>
            <w:id w:val="-1185747387"/>
            <w:lock w:val="sdtLocked"/>
            <w:placeholder>
              <w:docPart w:val="GBC22222222222222222222222222222"/>
            </w:placeholder>
          </w:sdtPr>
          <w:sdtEndPr/>
          <w:sdtContent>
            <w:p w14:paraId="398499BC" w14:textId="58269B30" w:rsidR="006754E0" w:rsidRDefault="008344D8" w:rsidP="006754E0">
              <w:r>
                <w:fldChar w:fldCharType="begin"/>
              </w:r>
              <w:r w:rsidR="006754E0">
                <w:instrText xml:space="preserve"> MACROBUTTON  SnrToggleCheckbox □适用 </w:instrText>
              </w:r>
              <w:r>
                <w:fldChar w:fldCharType="end"/>
              </w:r>
              <w:r>
                <w:fldChar w:fldCharType="begin"/>
              </w:r>
              <w:r w:rsidR="006754E0">
                <w:instrText xml:space="preserve"> MACROBUTTON  SnrToggleCheckbox √不适用 </w:instrText>
              </w:r>
              <w:r>
                <w:fldChar w:fldCharType="end"/>
              </w:r>
            </w:p>
          </w:sdtContent>
        </w:sdt>
        <w:p w14:paraId="149E1CD6" w14:textId="1A44B105" w:rsidR="00830E72" w:rsidRDefault="00D44830">
          <w:pPr>
            <w:ind w:firstLineChars="200" w:firstLine="420"/>
          </w:pPr>
        </w:p>
      </w:sdtContent>
    </w:sdt>
    <w:sdt>
      <w:sdtPr>
        <w:rPr>
          <w:rFonts w:ascii="宋体" w:hAnsi="宋体" w:cs="宋体" w:hint="eastAsia"/>
          <w:b w:val="0"/>
          <w:bCs w:val="0"/>
          <w:kern w:val="0"/>
          <w:szCs w:val="24"/>
        </w:rPr>
        <w:alias w:val="模块:巩固拓展脱贫攻坚成果、乡村振兴工作具体情况"/>
        <w:tag w:val="_SEC_108ac2551a8348aa822912cd114d975d"/>
        <w:id w:val="945268525"/>
        <w:lock w:val="sdtLocked"/>
        <w:placeholder>
          <w:docPart w:val="GBC22222222222222222222222222222"/>
        </w:placeholder>
      </w:sdtPr>
      <w:sdtEndPr>
        <w:rPr>
          <w:rFonts w:hint="default"/>
        </w:rPr>
      </w:sdtEndPr>
      <w:sdtContent>
        <w:p w14:paraId="10C4EDA0" w14:textId="77777777" w:rsidR="00830E72" w:rsidRDefault="008344D8">
          <w:pPr>
            <w:pStyle w:val="2"/>
            <w:numPr>
              <w:ilvl w:val="0"/>
              <w:numId w:val="14"/>
            </w:numPr>
            <w:tabs>
              <w:tab w:val="left" w:pos="426"/>
            </w:tabs>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343d238938b047859f321e95ba7397a9"/>
            <w:id w:val="106545951"/>
            <w:lock w:val="sdtLocked"/>
            <w:placeholder>
              <w:docPart w:val="GBC22222222222222222222222222222"/>
            </w:placeholder>
          </w:sdtPr>
          <w:sdtEndPr/>
          <w:sdtContent>
            <w:p w14:paraId="6DDCC939"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巩固拓展脱贫攻坚成果、乡村振兴工作具体情况"/>
            <w:tag w:val="_GBC_d85322d97d5a43f2aa7d20954969492d"/>
            <w:id w:val="634457528"/>
            <w:lock w:val="sdtLocked"/>
          </w:sdtPr>
          <w:sdtEndPr/>
          <w:sdtContent>
            <w:p w14:paraId="4A206F17" w14:textId="093EACD5" w:rsidR="00830E72" w:rsidRDefault="008344D8">
              <w:pPr>
                <w:ind w:firstLineChars="200" w:firstLine="420"/>
              </w:pPr>
              <w:r>
                <w:rPr>
                  <w:rFonts w:hint="eastAsia"/>
                </w:rPr>
                <w:t>报告期，公司非公开募集资金8</w:t>
              </w:r>
              <w:r>
                <w:t>.7</w:t>
              </w:r>
              <w:r>
                <w:rPr>
                  <w:rFonts w:hint="eastAsia"/>
                </w:rPr>
                <w:t>亿元用于界首市</w:t>
              </w:r>
              <w:r>
                <w:rPr>
                  <w:rFonts w:asciiTheme="minorEastAsia" w:eastAsiaTheme="minorEastAsia" w:hAnsiTheme="minorEastAsia"/>
                </w:rPr>
                <w:t>美丽乡村建设整市推进PPP项目</w:t>
              </w:r>
              <w:r>
                <w:rPr>
                  <w:rFonts w:asciiTheme="minorEastAsia" w:eastAsiaTheme="minorEastAsia" w:hAnsiTheme="minorEastAsia" w:hint="eastAsia"/>
                </w:rPr>
                <w:t>，包括</w:t>
              </w:r>
              <w:r>
                <w:rPr>
                  <w:rFonts w:asciiTheme="minorEastAsia" w:hAnsiTheme="minorEastAsia"/>
                </w:rPr>
                <w:t>村居改善及配套设施提升、生态环保、垃圾治理、中心村示范建设等工程。具体包括四个子项，一是污水提升工程；二是中心村建设工程；三是村居改善及配套设施提升工程；四是垃圾治理工程</w:t>
              </w:r>
              <w:r>
                <w:rPr>
                  <w:rFonts w:asciiTheme="minorEastAsia" w:hAnsiTheme="minorEastAsia" w:hint="eastAsia"/>
                </w:rPr>
                <w:t>。</w:t>
              </w:r>
              <w:r w:rsidR="0045082B" w:rsidRPr="0045082B">
                <w:rPr>
                  <w:rFonts w:asciiTheme="minorEastAsia" w:hAnsiTheme="minorEastAsia" w:hint="eastAsia"/>
                </w:rPr>
                <w:t>项目建成后将对有效改善当地乡村居住环境和配套基础设施状况，创造良好的经济效益和社会效益。</w:t>
              </w:r>
            </w:p>
          </w:sdtContent>
        </w:sdt>
        <w:p w14:paraId="5952A809" w14:textId="77777777" w:rsidR="00830E72" w:rsidRDefault="00D44830"/>
      </w:sdtContent>
    </w:sdt>
    <w:p w14:paraId="53054393" w14:textId="77777777" w:rsidR="00830E72" w:rsidRDefault="00830E72">
      <w:pPr>
        <w:sectPr w:rsidR="00830E72">
          <w:pgSz w:w="11906" w:h="16838"/>
          <w:pgMar w:top="1525" w:right="1276" w:bottom="1440" w:left="1797" w:header="851" w:footer="992" w:gutter="0"/>
          <w:cols w:space="425"/>
          <w:docGrid w:linePitch="312"/>
        </w:sectPr>
      </w:pPr>
    </w:p>
    <w:p w14:paraId="0BFE443C" w14:textId="77777777" w:rsidR="00830E72" w:rsidRDefault="008344D8" w:rsidP="00562950">
      <w:pPr>
        <w:pStyle w:val="1"/>
        <w:numPr>
          <w:ilvl w:val="0"/>
          <w:numId w:val="2"/>
        </w:numPr>
        <w:ind w:left="0" w:firstLine="0"/>
        <w:rPr>
          <w:rFonts w:ascii="黑体" w:hAnsi="黑体"/>
        </w:rPr>
      </w:pPr>
      <w:bookmarkStart w:id="40" w:name="_Toc79503147"/>
      <w:r>
        <w:rPr>
          <w:rFonts w:ascii="黑体" w:hAnsi="黑体"/>
        </w:rPr>
        <w:lastRenderedPageBreak/>
        <w:t>重要事项</w:t>
      </w:r>
      <w:bookmarkEnd w:id="40"/>
    </w:p>
    <w:p w14:paraId="348C5F81" w14:textId="77777777" w:rsidR="00830E72" w:rsidRDefault="00830E72"/>
    <w:p w14:paraId="0838AA10" w14:textId="77777777" w:rsidR="00830E72" w:rsidRDefault="008344D8">
      <w:pPr>
        <w:pStyle w:val="2"/>
        <w:numPr>
          <w:ilvl w:val="0"/>
          <w:numId w:val="16"/>
        </w:numPr>
        <w:tabs>
          <w:tab w:val="left" w:pos="426"/>
        </w:tabs>
        <w:ind w:firstLineChars="0"/>
        <w:jc w:val="left"/>
        <w:rPr>
          <w:rFonts w:ascii="宋体" w:hAnsi="宋体"/>
        </w:rPr>
      </w:pPr>
      <w:bookmarkStart w:id="41" w:name="_Toc342565988"/>
      <w:r>
        <w:rPr>
          <w:rFonts w:ascii="宋体" w:hAnsi="宋体" w:hint="eastAsia"/>
        </w:rPr>
        <w:t>承诺事项履行情况</w:t>
      </w:r>
    </w:p>
    <w:sdt>
      <w:sdtPr>
        <w:rPr>
          <w:rFonts w:ascii="宋体" w:hAnsi="宋体" w:cs="宋体" w:hint="eastAsia"/>
          <w:b w:val="0"/>
          <w:bCs w:val="0"/>
          <w:kern w:val="0"/>
          <w:szCs w:val="21"/>
        </w:rPr>
        <w:alias w:val="模块:公司实际控制人、股东、关联方、收购人以及公司等承诺相关方在报..."/>
        <w:tag w:val="_SEC_0b5886e57afd437b88c6e55a33dbccb9"/>
        <w:id w:val="-295840669"/>
        <w:lock w:val="sdtLocked"/>
        <w:placeholder>
          <w:docPart w:val="GBC22222222222222222222222222222"/>
        </w:placeholder>
      </w:sdtPr>
      <w:sdtEndPr>
        <w:rPr>
          <w:rFonts w:hint="default"/>
        </w:rPr>
      </w:sdtEndPr>
      <w:sdtContent>
        <w:p w14:paraId="00E0E542" w14:textId="77777777" w:rsidR="00830E72" w:rsidRDefault="008344D8">
          <w:pPr>
            <w:pStyle w:val="3"/>
            <w:numPr>
              <w:ilvl w:val="1"/>
              <w:numId w:val="17"/>
            </w:numPr>
            <w:rPr>
              <w:rFonts w:ascii="宋体" w:hAnsi="宋体"/>
              <w:szCs w:val="21"/>
            </w:rPr>
          </w:pPr>
          <w:r>
            <w:rPr>
              <w:rFonts w:ascii="宋体" w:hAnsi="宋体"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1f306de554d7473c98965061dbefd050"/>
            <w:id w:val="-936894989"/>
            <w:lock w:val="sdtLocked"/>
            <w:placeholder>
              <w:docPart w:val="GBC22222222222222222222222222222"/>
            </w:placeholder>
          </w:sdtPr>
          <w:sdtEndPr/>
          <w:sdtContent>
            <w:p w14:paraId="4EC7C65B" w14:textId="5FC4FC69" w:rsidR="00830E72" w:rsidRDefault="008344D8">
              <w:r>
                <w:fldChar w:fldCharType="begin"/>
              </w:r>
              <w:r w:rsidR="00C5448D">
                <w:instrText xml:space="preserve"> MACROBUTTON  SnrToggleCheckbox √适用 </w:instrText>
              </w:r>
              <w:r>
                <w:fldChar w:fldCharType="end"/>
              </w:r>
              <w:r>
                <w:fldChar w:fldCharType="begin"/>
              </w:r>
              <w:r w:rsidR="00C5448D">
                <w:instrText xml:space="preserve"> MACROBUTTON  SnrToggleCheckbox □不适用 </w:instrText>
              </w:r>
              <w:r>
                <w:fldChar w:fldCharType="end"/>
              </w:r>
            </w:p>
          </w:sdtContent>
        </w:sdt>
        <w:tbl>
          <w:tblPr>
            <w:tblStyle w:val="g1"/>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1135"/>
            <w:gridCol w:w="1134"/>
            <w:gridCol w:w="5385"/>
            <w:gridCol w:w="1134"/>
            <w:gridCol w:w="708"/>
            <w:gridCol w:w="711"/>
            <w:gridCol w:w="1416"/>
            <w:gridCol w:w="936"/>
          </w:tblGrid>
          <w:tr w:rsidR="00830E72" w14:paraId="38CD36CB" w14:textId="77777777">
            <w:sdt>
              <w:sdtPr>
                <w:tag w:val="_PLD_7cf4be735507474ea2ffb334536196ae"/>
                <w:id w:val="816458396"/>
                <w:lock w:val="sdtLocked"/>
              </w:sdtPr>
              <w:sdtEndPr/>
              <w:sdtContent>
                <w:tc>
                  <w:tcPr>
                    <w:tcW w:w="547" w:type="pct"/>
                    <w:shd w:val="clear" w:color="auto" w:fill="auto"/>
                    <w:vAlign w:val="center"/>
                  </w:tcPr>
                  <w:p w14:paraId="61115F6F" w14:textId="77777777" w:rsidR="00830E72" w:rsidRDefault="008344D8">
                    <w:pPr>
                      <w:jc w:val="center"/>
                      <w:rPr>
                        <w:szCs w:val="21"/>
                      </w:rPr>
                    </w:pPr>
                    <w:r>
                      <w:rPr>
                        <w:rFonts w:hint="eastAsia"/>
                        <w:szCs w:val="21"/>
                      </w:rPr>
                      <w:t>承诺背景</w:t>
                    </w:r>
                  </w:p>
                </w:tc>
              </w:sdtContent>
            </w:sdt>
            <w:sdt>
              <w:sdtPr>
                <w:tag w:val="_PLD_77809d9b500842ee846f5b9234afaf2c"/>
                <w:id w:val="1381743550"/>
                <w:lock w:val="sdtLocked"/>
              </w:sdtPr>
              <w:sdtEndPr/>
              <w:sdtContent>
                <w:tc>
                  <w:tcPr>
                    <w:tcW w:w="402" w:type="pct"/>
                    <w:shd w:val="clear" w:color="auto" w:fill="auto"/>
                    <w:vAlign w:val="center"/>
                  </w:tcPr>
                  <w:p w14:paraId="72870A7A" w14:textId="77777777" w:rsidR="00830E72" w:rsidRDefault="008344D8">
                    <w:pPr>
                      <w:jc w:val="center"/>
                      <w:rPr>
                        <w:szCs w:val="21"/>
                      </w:rPr>
                    </w:pPr>
                    <w:r>
                      <w:rPr>
                        <w:rFonts w:hint="eastAsia"/>
                        <w:szCs w:val="21"/>
                      </w:rPr>
                      <w:t>承诺</w:t>
                    </w:r>
                  </w:p>
                  <w:p w14:paraId="41A9CC67" w14:textId="77777777" w:rsidR="00830E72" w:rsidRDefault="008344D8">
                    <w:pPr>
                      <w:jc w:val="center"/>
                      <w:rPr>
                        <w:szCs w:val="21"/>
                      </w:rPr>
                    </w:pPr>
                    <w:r>
                      <w:rPr>
                        <w:rFonts w:hint="eastAsia"/>
                        <w:szCs w:val="21"/>
                      </w:rPr>
                      <w:t>类型</w:t>
                    </w:r>
                  </w:p>
                </w:tc>
              </w:sdtContent>
            </w:sdt>
            <w:sdt>
              <w:sdtPr>
                <w:tag w:val="_PLD_d21f336f76d6499095ebb0491402a947"/>
                <w:id w:val="-666789718"/>
                <w:lock w:val="sdtLocked"/>
              </w:sdtPr>
              <w:sdtEndPr/>
              <w:sdtContent>
                <w:tc>
                  <w:tcPr>
                    <w:tcW w:w="402" w:type="pct"/>
                    <w:shd w:val="clear" w:color="auto" w:fill="auto"/>
                    <w:vAlign w:val="center"/>
                  </w:tcPr>
                  <w:p w14:paraId="2A135C6B" w14:textId="77777777" w:rsidR="00830E72" w:rsidRDefault="008344D8">
                    <w:pPr>
                      <w:jc w:val="center"/>
                      <w:rPr>
                        <w:szCs w:val="21"/>
                      </w:rPr>
                    </w:pPr>
                    <w:r>
                      <w:rPr>
                        <w:rFonts w:hint="eastAsia"/>
                        <w:szCs w:val="21"/>
                      </w:rPr>
                      <w:t>承诺方</w:t>
                    </w:r>
                  </w:p>
                </w:tc>
              </w:sdtContent>
            </w:sdt>
            <w:sdt>
              <w:sdtPr>
                <w:tag w:val="_PLD_edc023441e514f09b2c6745eaeed4f1d"/>
                <w:id w:val="346069001"/>
                <w:lock w:val="sdtLocked"/>
              </w:sdtPr>
              <w:sdtEndPr/>
              <w:sdtContent>
                <w:tc>
                  <w:tcPr>
                    <w:tcW w:w="1909" w:type="pct"/>
                    <w:shd w:val="clear" w:color="auto" w:fill="auto"/>
                    <w:vAlign w:val="center"/>
                  </w:tcPr>
                  <w:p w14:paraId="43CD35E9" w14:textId="77777777" w:rsidR="00830E72" w:rsidRDefault="008344D8">
                    <w:pPr>
                      <w:jc w:val="center"/>
                      <w:rPr>
                        <w:szCs w:val="21"/>
                      </w:rPr>
                    </w:pPr>
                    <w:r>
                      <w:rPr>
                        <w:rFonts w:hint="eastAsia"/>
                        <w:szCs w:val="21"/>
                      </w:rPr>
                      <w:t>承诺</w:t>
                    </w:r>
                  </w:p>
                  <w:p w14:paraId="3299F899" w14:textId="77777777" w:rsidR="00830E72" w:rsidRDefault="008344D8">
                    <w:pPr>
                      <w:jc w:val="center"/>
                      <w:rPr>
                        <w:szCs w:val="21"/>
                      </w:rPr>
                    </w:pPr>
                    <w:r>
                      <w:rPr>
                        <w:rFonts w:hint="eastAsia"/>
                        <w:szCs w:val="21"/>
                      </w:rPr>
                      <w:t>内容</w:t>
                    </w:r>
                  </w:p>
                </w:tc>
              </w:sdtContent>
            </w:sdt>
            <w:sdt>
              <w:sdtPr>
                <w:tag w:val="_PLD_d398e2f412b141208b0742084901cc8c"/>
                <w:id w:val="-494262611"/>
                <w:lock w:val="sdtLocked"/>
              </w:sdtPr>
              <w:sdtEndPr/>
              <w:sdtContent>
                <w:tc>
                  <w:tcPr>
                    <w:tcW w:w="402" w:type="pct"/>
                    <w:shd w:val="clear" w:color="auto" w:fill="auto"/>
                    <w:vAlign w:val="center"/>
                  </w:tcPr>
                  <w:p w14:paraId="57E2CDF6" w14:textId="77777777" w:rsidR="00830E72" w:rsidRDefault="008344D8">
                    <w:pPr>
                      <w:jc w:val="center"/>
                      <w:rPr>
                        <w:szCs w:val="21"/>
                      </w:rPr>
                    </w:pPr>
                    <w:r>
                      <w:rPr>
                        <w:rFonts w:hint="eastAsia"/>
                        <w:szCs w:val="21"/>
                      </w:rPr>
                      <w:t>承诺时间及期限</w:t>
                    </w:r>
                  </w:p>
                </w:tc>
              </w:sdtContent>
            </w:sdt>
            <w:sdt>
              <w:sdtPr>
                <w:tag w:val="_PLD_1bb30cce0850445480f1557cc607067b"/>
                <w:id w:val="139313857"/>
                <w:lock w:val="sdtLocked"/>
              </w:sdtPr>
              <w:sdtEndPr/>
              <w:sdtContent>
                <w:tc>
                  <w:tcPr>
                    <w:tcW w:w="251" w:type="pct"/>
                    <w:shd w:val="clear" w:color="auto" w:fill="auto"/>
                    <w:vAlign w:val="center"/>
                  </w:tcPr>
                  <w:p w14:paraId="3304420A" w14:textId="77777777" w:rsidR="00830E72" w:rsidRDefault="008344D8">
                    <w:pPr>
                      <w:jc w:val="center"/>
                      <w:rPr>
                        <w:szCs w:val="21"/>
                      </w:rPr>
                    </w:pPr>
                    <w:r>
                      <w:rPr>
                        <w:rFonts w:hint="eastAsia"/>
                        <w:szCs w:val="21"/>
                      </w:rPr>
                      <w:t>是否有履行期限</w:t>
                    </w:r>
                  </w:p>
                </w:tc>
              </w:sdtContent>
            </w:sdt>
            <w:sdt>
              <w:sdtPr>
                <w:tag w:val="_PLD_163d41dca4704f5ea4aae2d6d04db88e"/>
                <w:id w:val="-1014297081"/>
                <w:lock w:val="sdtLocked"/>
              </w:sdtPr>
              <w:sdtEndPr/>
              <w:sdtContent>
                <w:tc>
                  <w:tcPr>
                    <w:tcW w:w="252" w:type="pct"/>
                    <w:shd w:val="clear" w:color="auto" w:fill="auto"/>
                    <w:vAlign w:val="center"/>
                  </w:tcPr>
                  <w:p w14:paraId="45665425" w14:textId="77777777" w:rsidR="00830E72" w:rsidRDefault="008344D8">
                    <w:pPr>
                      <w:jc w:val="center"/>
                      <w:rPr>
                        <w:szCs w:val="21"/>
                      </w:rPr>
                    </w:pPr>
                    <w:r>
                      <w:rPr>
                        <w:rFonts w:hint="eastAsia"/>
                        <w:szCs w:val="21"/>
                      </w:rPr>
                      <w:t>是否及时严格履行</w:t>
                    </w:r>
                  </w:p>
                </w:tc>
              </w:sdtContent>
            </w:sdt>
            <w:sdt>
              <w:sdtPr>
                <w:tag w:val="_PLD_f0ee8c5125074149961859e986fb6c43"/>
                <w:id w:val="1748458224"/>
                <w:lock w:val="sdtLocked"/>
              </w:sdtPr>
              <w:sdtEndPr/>
              <w:sdtContent>
                <w:tc>
                  <w:tcPr>
                    <w:tcW w:w="502" w:type="pct"/>
                    <w:shd w:val="clear" w:color="auto" w:fill="auto"/>
                    <w:vAlign w:val="center"/>
                  </w:tcPr>
                  <w:p w14:paraId="01B6F978" w14:textId="77777777" w:rsidR="00830E72" w:rsidRDefault="008344D8">
                    <w:pPr>
                      <w:jc w:val="center"/>
                      <w:rPr>
                        <w:szCs w:val="21"/>
                      </w:rPr>
                    </w:pPr>
                    <w:r>
                      <w:rPr>
                        <w:rFonts w:hint="eastAsia"/>
                        <w:szCs w:val="21"/>
                      </w:rPr>
                      <w:t>如未能及时履行应说明未完成履行的具体原因</w:t>
                    </w:r>
                  </w:p>
                </w:tc>
              </w:sdtContent>
            </w:sdt>
            <w:sdt>
              <w:sdtPr>
                <w:tag w:val="_PLD_a7e59e23ed90488abff575e2b4f10711"/>
                <w:id w:val="107779668"/>
                <w:lock w:val="sdtLocked"/>
              </w:sdtPr>
              <w:sdtEndPr/>
              <w:sdtContent>
                <w:tc>
                  <w:tcPr>
                    <w:tcW w:w="332" w:type="pct"/>
                    <w:shd w:val="clear" w:color="auto" w:fill="auto"/>
                    <w:vAlign w:val="center"/>
                  </w:tcPr>
                  <w:p w14:paraId="638D24E4" w14:textId="77777777" w:rsidR="00830E72" w:rsidRDefault="008344D8">
                    <w:pPr>
                      <w:jc w:val="center"/>
                      <w:rPr>
                        <w:szCs w:val="21"/>
                      </w:rPr>
                    </w:pPr>
                    <w:r>
                      <w:rPr>
                        <w:rFonts w:hint="eastAsia"/>
                        <w:szCs w:val="21"/>
                      </w:rPr>
                      <w:t>如未能及时履行应说明下一步计划</w:t>
                    </w:r>
                  </w:p>
                </w:tc>
              </w:sdtContent>
            </w:sdt>
          </w:tr>
          <w:tr w:rsidR="00830E72" w14:paraId="48ECB465" w14:textId="77777777">
            <w:tc>
              <w:tcPr>
                <w:tcW w:w="547" w:type="pct"/>
                <w:vMerge w:val="restart"/>
                <w:shd w:val="clear" w:color="auto" w:fill="auto"/>
                <w:vAlign w:val="center"/>
              </w:tcPr>
              <w:p w14:paraId="33BBCCCF" w14:textId="77777777" w:rsidR="00830E72" w:rsidRDefault="008344D8">
                <w:pPr>
                  <w:rPr>
                    <w:szCs w:val="21"/>
                  </w:rPr>
                </w:pPr>
                <w:r>
                  <w:rPr>
                    <w:rFonts w:hint="eastAsia"/>
                    <w:szCs w:val="21"/>
                  </w:rPr>
                  <w:t>与首次公开发行相关的承诺</w:t>
                </w:r>
              </w:p>
            </w:tc>
            <w:sdt>
              <w:sdtPr>
                <w:rPr>
                  <w:szCs w:val="21"/>
                </w:rPr>
                <w:alias w:val="与首次公开发行相关的承诺-承诺类型"/>
                <w:tag w:val="_GBC_f0b3976fba3f46e4affc4364f69d8f5a"/>
                <w:id w:val="-203278691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2" w:type="pct"/>
                    <w:shd w:val="clear" w:color="auto" w:fill="auto"/>
                    <w:vAlign w:val="center"/>
                  </w:tcPr>
                  <w:p w14:paraId="46ACEA7B" w14:textId="77777777" w:rsidR="00830E72" w:rsidRDefault="008344D8">
                    <w:pPr>
                      <w:rPr>
                        <w:color w:val="FFC000"/>
                        <w:szCs w:val="21"/>
                      </w:rPr>
                    </w:pPr>
                    <w:r>
                      <w:rPr>
                        <w:szCs w:val="21"/>
                      </w:rPr>
                      <w:t>股份限售</w:t>
                    </w:r>
                  </w:p>
                </w:tc>
              </w:sdtContent>
            </w:sdt>
            <w:tc>
              <w:tcPr>
                <w:tcW w:w="402" w:type="pct"/>
                <w:shd w:val="clear" w:color="auto" w:fill="auto"/>
                <w:vAlign w:val="center"/>
              </w:tcPr>
              <w:p w14:paraId="72AC3CE2" w14:textId="77777777" w:rsidR="00830E72" w:rsidRDefault="008344D8">
                <w:pPr>
                  <w:rPr>
                    <w:szCs w:val="21"/>
                  </w:rPr>
                </w:pPr>
                <w:r>
                  <w:t>控股股东祥源控股</w:t>
                </w:r>
              </w:p>
            </w:tc>
            <w:tc>
              <w:tcPr>
                <w:tcW w:w="1909" w:type="pct"/>
                <w:shd w:val="clear" w:color="auto" w:fill="auto"/>
                <w:vAlign w:val="center"/>
              </w:tcPr>
              <w:p w14:paraId="54A89FE3" w14:textId="77777777" w:rsidR="00830E72" w:rsidRDefault="008344D8">
                <w:pPr>
                  <w:jc w:val="both"/>
                  <w:rPr>
                    <w:szCs w:val="21"/>
                  </w:rPr>
                </w:pPr>
                <w:r>
                  <w:t>本公司自安徽交建的股票上市之日起三十六个月内，不转让或者委托他人管理本次发行前本公司直接或间接持有的安徽交建股票，也不由安徽交建回购该部分股票。本公司在所持安徽交建股票锁定期届满后二年内减持安徽交建股票的，减持价格不低于安徽交建首次公开发行股票的发行价（如安徽交建发生分红、派息、送股、资本公积金转增股本等除权除息事项，发行价应相应调整），且每年减持安徽交建股份数量不超过本公司所持安徽交建股份数的5%。安徽交建上市后六个月内，如安徽交建的股票连续二十个交易日的收盘价均低于发行价，或者上市后六个月期末收盘价低于发行价，则本公司所持安徽交建的股票锁定期限自动延长六个月。上述发行价指安徽交建首次公开发行股票的发行价格，如安徽交建上市后至上述期间，安徽交建发生除权、除息行为，上述发行价格亦将作相应调整。在本公司做出减持决定时，将严格遵守《公司法》、《证券法》、《上市公司股东、董监高减持股份的若干规定》（〔2017〕9号）、《上海证券交易所上市公司股东及董事、监事、高级管理人员减持股份实施细则》等相关规定或届时有效的规定。若本公司违反上述承诺，</w:t>
                </w:r>
                <w:r>
                  <w:lastRenderedPageBreak/>
                  <w:t>本公司将在安徽交建的股东大会及中国证监会指定的报刊上公开说明原因并向安徽交建的股东和社会公众投资者道歉，同时本公司因违反上述承诺所获得的减持收益归安徽交建所有。</w:t>
                </w:r>
              </w:p>
            </w:tc>
            <w:tc>
              <w:tcPr>
                <w:tcW w:w="402" w:type="pct"/>
                <w:shd w:val="clear" w:color="auto" w:fill="auto"/>
                <w:vAlign w:val="center"/>
              </w:tcPr>
              <w:p w14:paraId="640AB5FB" w14:textId="77777777" w:rsidR="00830E72" w:rsidRDefault="008344D8">
                <w:pPr>
                  <w:rPr>
                    <w:szCs w:val="21"/>
                  </w:rPr>
                </w:pPr>
                <w:r>
                  <w:lastRenderedPageBreak/>
                  <w:t>自公司股票上市之日起3年内及锁定期届满后2年</w:t>
                </w:r>
              </w:p>
            </w:tc>
            <w:sdt>
              <w:sdtPr>
                <w:rPr>
                  <w:szCs w:val="21"/>
                </w:rPr>
                <w:alias w:val="与首次公开发行相关的承诺-是否有履行期限"/>
                <w:tag w:val="_GBC_1a64033131a64daa8e3bdd128e9385c8"/>
                <w:id w:val="-733082029"/>
                <w:lock w:val="sdtLocked"/>
                <w:comboBox>
                  <w:listItem w:displayText="是" w:value="true"/>
                  <w:listItem w:displayText="否" w:value="false"/>
                </w:comboBox>
              </w:sdtPr>
              <w:sdtEndPr/>
              <w:sdtContent>
                <w:tc>
                  <w:tcPr>
                    <w:tcW w:w="251" w:type="pct"/>
                    <w:shd w:val="clear" w:color="auto" w:fill="auto"/>
                    <w:vAlign w:val="center"/>
                  </w:tcPr>
                  <w:p w14:paraId="09F45B51" w14:textId="77777777" w:rsidR="00830E72" w:rsidRDefault="008344D8">
                    <w:pPr>
                      <w:rPr>
                        <w:szCs w:val="21"/>
                      </w:rPr>
                    </w:pPr>
                    <w:r>
                      <w:rPr>
                        <w:szCs w:val="21"/>
                      </w:rPr>
                      <w:t>是</w:t>
                    </w:r>
                  </w:p>
                </w:tc>
              </w:sdtContent>
            </w:sdt>
            <w:sdt>
              <w:sdtPr>
                <w:rPr>
                  <w:szCs w:val="21"/>
                </w:rPr>
                <w:alias w:val="与首次公开发行相关的承诺-是否及时严格履行"/>
                <w:tag w:val="_GBC_72e17878bcd24bdb95a1b0936940ee48"/>
                <w:id w:val="-1029259478"/>
                <w:lock w:val="sdtLocked"/>
                <w:comboBox>
                  <w:listItem w:displayText="是" w:value="true"/>
                  <w:listItem w:displayText="否" w:value="false"/>
                </w:comboBox>
              </w:sdtPr>
              <w:sdtEndPr/>
              <w:sdtContent>
                <w:tc>
                  <w:tcPr>
                    <w:tcW w:w="252" w:type="pct"/>
                    <w:shd w:val="clear" w:color="auto" w:fill="auto"/>
                    <w:vAlign w:val="center"/>
                  </w:tcPr>
                  <w:p w14:paraId="7E5FF2F0" w14:textId="77777777" w:rsidR="00830E72" w:rsidRDefault="008344D8">
                    <w:pPr>
                      <w:rPr>
                        <w:szCs w:val="21"/>
                      </w:rPr>
                    </w:pPr>
                    <w:r>
                      <w:rPr>
                        <w:szCs w:val="21"/>
                      </w:rPr>
                      <w:t xml:space="preserve">　是</w:t>
                    </w:r>
                  </w:p>
                </w:tc>
              </w:sdtContent>
            </w:sdt>
            <w:tc>
              <w:tcPr>
                <w:tcW w:w="502" w:type="pct"/>
                <w:shd w:val="clear" w:color="auto" w:fill="auto"/>
                <w:vAlign w:val="center"/>
              </w:tcPr>
              <w:p w14:paraId="41F7CA16" w14:textId="77777777" w:rsidR="00830E72" w:rsidRDefault="008344D8">
                <w:pPr>
                  <w:rPr>
                    <w:szCs w:val="21"/>
                  </w:rPr>
                </w:pPr>
                <w:r>
                  <w:t>不适用</w:t>
                </w:r>
              </w:p>
            </w:tc>
            <w:tc>
              <w:tcPr>
                <w:tcW w:w="332" w:type="pct"/>
                <w:shd w:val="clear" w:color="auto" w:fill="auto"/>
                <w:vAlign w:val="center"/>
              </w:tcPr>
              <w:p w14:paraId="5A109338" w14:textId="77777777" w:rsidR="00830E72" w:rsidRDefault="008344D8">
                <w:pPr>
                  <w:rPr>
                    <w:szCs w:val="21"/>
                  </w:rPr>
                </w:pPr>
                <w:r>
                  <w:t>不适用</w:t>
                </w:r>
              </w:p>
            </w:tc>
          </w:tr>
          <w:tr w:rsidR="00830E72" w14:paraId="1764B4A4" w14:textId="77777777">
            <w:tc>
              <w:tcPr>
                <w:tcW w:w="547" w:type="pct"/>
                <w:vMerge/>
                <w:shd w:val="clear" w:color="auto" w:fill="auto"/>
                <w:vAlign w:val="center"/>
              </w:tcPr>
              <w:p w14:paraId="3BD1537E" w14:textId="77777777" w:rsidR="00830E72" w:rsidRDefault="00830E72">
                <w:pPr>
                  <w:rPr>
                    <w:szCs w:val="21"/>
                  </w:rPr>
                </w:pPr>
              </w:p>
            </w:tc>
            <w:sdt>
              <w:sdtPr>
                <w:rPr>
                  <w:szCs w:val="21"/>
                </w:rPr>
                <w:alias w:val="与首次公开发行相关的承诺-承诺类型"/>
                <w:tag w:val="_GBC_f0b3976fba3f46e4affc4364f69d8f5a"/>
                <w:id w:val="12683381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2" w:type="pct"/>
                    <w:shd w:val="clear" w:color="auto" w:fill="auto"/>
                    <w:vAlign w:val="center"/>
                  </w:tcPr>
                  <w:p w14:paraId="687CE994" w14:textId="77777777" w:rsidR="00830E72" w:rsidRDefault="008344D8">
                    <w:pPr>
                      <w:rPr>
                        <w:szCs w:val="21"/>
                      </w:rPr>
                    </w:pPr>
                    <w:r>
                      <w:rPr>
                        <w:szCs w:val="21"/>
                      </w:rPr>
                      <w:t>股份限售</w:t>
                    </w:r>
                  </w:p>
                </w:tc>
              </w:sdtContent>
            </w:sdt>
            <w:tc>
              <w:tcPr>
                <w:tcW w:w="402" w:type="pct"/>
                <w:shd w:val="clear" w:color="auto" w:fill="auto"/>
                <w:vAlign w:val="center"/>
              </w:tcPr>
              <w:p w14:paraId="1B19C6AF" w14:textId="77777777" w:rsidR="00830E72" w:rsidRDefault="008344D8">
                <w:pPr>
                  <w:rPr>
                    <w:szCs w:val="21"/>
                  </w:rPr>
                </w:pPr>
                <w:r>
                  <w:t>实际控制人俞发祥</w:t>
                </w:r>
              </w:p>
            </w:tc>
            <w:tc>
              <w:tcPr>
                <w:tcW w:w="1909" w:type="pct"/>
                <w:shd w:val="clear" w:color="auto" w:fill="auto"/>
                <w:vAlign w:val="center"/>
              </w:tcPr>
              <w:p w14:paraId="46E7DAFA" w14:textId="77777777" w:rsidR="00830E72" w:rsidRDefault="008344D8">
                <w:pPr>
                  <w:jc w:val="both"/>
                  <w:rPr>
                    <w:szCs w:val="21"/>
                  </w:rPr>
                </w:pPr>
                <w:r>
                  <w:t>本人自安徽交建的股票上市之日起三十六个月内，不转让或者委托他人管理本次发行前本人直接或间接持有的安徽交建股票，也不由安徽交建回购该部分股票。本人在所持安徽交建股票锁定期届满后二年内减持安徽交建股票的，减持价格不低于安徽交建首次公开发行股票的发行价（如安徽交建发生分红、派息、送股、资本公积金转增股本等除权除息事项，发行价应相应调整），且每年减持安徽交建股份数量不超过本人所持安徽交建股份数的5%。安徽交建上市后六个月内，如安徽交建的股票连续二十个交易日的收盘价均低于发行价，或者上市后六个月期末收盘价低于发行价，则本人所持安徽交建的股票锁定期限自动延长六个月。上述发行价指安徽交建首次公开发行股票的发行价格，如安徽交建上市后至上述期间，安徽交建发生除权、除息行为，上述发行价格亦将作相应调整。本人将严格遵守《公司法》、《证券法》、《上市公司股东、董监高减持股份的若干规定》（〔2017〕9号）、《上海证券交易所上市公司股东及董事、监事、高级管理人员减持股份实施细则》等相关规定或届时有效的规定。</w:t>
                </w:r>
              </w:p>
            </w:tc>
            <w:tc>
              <w:tcPr>
                <w:tcW w:w="402" w:type="pct"/>
                <w:shd w:val="clear" w:color="auto" w:fill="auto"/>
                <w:vAlign w:val="center"/>
              </w:tcPr>
              <w:p w14:paraId="47C87386" w14:textId="77777777" w:rsidR="00830E72" w:rsidRDefault="008344D8">
                <w:pPr>
                  <w:rPr>
                    <w:szCs w:val="21"/>
                  </w:rPr>
                </w:pPr>
                <w:r>
                  <w:t>自公司股票上市之日起3年内及锁定期届满后2年</w:t>
                </w:r>
              </w:p>
            </w:tc>
            <w:sdt>
              <w:sdtPr>
                <w:rPr>
                  <w:szCs w:val="21"/>
                </w:rPr>
                <w:alias w:val="与首次公开发行相关的承诺-是否有履行期限"/>
                <w:tag w:val="_GBC_1a64033131a64daa8e3bdd128e9385c8"/>
                <w:id w:val="-1470886878"/>
                <w:lock w:val="sdtLocked"/>
                <w:comboBox>
                  <w:listItem w:displayText="是" w:value="true"/>
                  <w:listItem w:displayText="否" w:value="false"/>
                </w:comboBox>
              </w:sdtPr>
              <w:sdtEndPr/>
              <w:sdtContent>
                <w:tc>
                  <w:tcPr>
                    <w:tcW w:w="251" w:type="pct"/>
                    <w:shd w:val="clear" w:color="auto" w:fill="auto"/>
                    <w:vAlign w:val="center"/>
                  </w:tcPr>
                  <w:p w14:paraId="7004B930" w14:textId="77777777" w:rsidR="00830E72" w:rsidRDefault="008344D8">
                    <w:pPr>
                      <w:rPr>
                        <w:szCs w:val="21"/>
                      </w:rPr>
                    </w:pPr>
                    <w:r>
                      <w:rPr>
                        <w:szCs w:val="21"/>
                      </w:rPr>
                      <w:t>是</w:t>
                    </w:r>
                  </w:p>
                </w:tc>
              </w:sdtContent>
            </w:sdt>
            <w:sdt>
              <w:sdtPr>
                <w:rPr>
                  <w:szCs w:val="21"/>
                </w:rPr>
                <w:alias w:val="与首次公开发行相关的承诺-是否及时严格履行"/>
                <w:tag w:val="_GBC_72e17878bcd24bdb95a1b0936940ee48"/>
                <w:id w:val="-780259332"/>
                <w:lock w:val="sdtLocked"/>
                <w:comboBox>
                  <w:listItem w:displayText="是" w:value="true"/>
                  <w:listItem w:displayText="否" w:value="false"/>
                </w:comboBox>
              </w:sdtPr>
              <w:sdtEndPr/>
              <w:sdtContent>
                <w:tc>
                  <w:tcPr>
                    <w:tcW w:w="252" w:type="pct"/>
                    <w:shd w:val="clear" w:color="auto" w:fill="auto"/>
                    <w:vAlign w:val="center"/>
                  </w:tcPr>
                  <w:p w14:paraId="00415AA8" w14:textId="77777777" w:rsidR="00830E72" w:rsidRDefault="008344D8">
                    <w:pPr>
                      <w:rPr>
                        <w:szCs w:val="21"/>
                      </w:rPr>
                    </w:pPr>
                    <w:r>
                      <w:rPr>
                        <w:szCs w:val="21"/>
                      </w:rPr>
                      <w:t>是</w:t>
                    </w:r>
                  </w:p>
                </w:tc>
              </w:sdtContent>
            </w:sdt>
            <w:tc>
              <w:tcPr>
                <w:tcW w:w="502" w:type="pct"/>
                <w:shd w:val="clear" w:color="auto" w:fill="auto"/>
                <w:vAlign w:val="center"/>
              </w:tcPr>
              <w:p w14:paraId="663F8804" w14:textId="77777777" w:rsidR="00830E72" w:rsidRDefault="008344D8">
                <w:pPr>
                  <w:rPr>
                    <w:szCs w:val="21"/>
                  </w:rPr>
                </w:pPr>
                <w:r>
                  <w:t>不适用</w:t>
                </w:r>
              </w:p>
            </w:tc>
            <w:tc>
              <w:tcPr>
                <w:tcW w:w="332" w:type="pct"/>
                <w:shd w:val="clear" w:color="auto" w:fill="auto"/>
                <w:vAlign w:val="center"/>
              </w:tcPr>
              <w:p w14:paraId="2E51E902" w14:textId="77777777" w:rsidR="00830E72" w:rsidRDefault="008344D8">
                <w:pPr>
                  <w:rPr>
                    <w:szCs w:val="21"/>
                  </w:rPr>
                </w:pPr>
                <w:r>
                  <w:t>不适用</w:t>
                </w:r>
              </w:p>
            </w:tc>
          </w:tr>
          <w:tr w:rsidR="00830E72" w14:paraId="4BED086E" w14:textId="77777777">
            <w:tc>
              <w:tcPr>
                <w:tcW w:w="547" w:type="pct"/>
                <w:vMerge/>
                <w:shd w:val="clear" w:color="auto" w:fill="auto"/>
                <w:vAlign w:val="center"/>
              </w:tcPr>
              <w:p w14:paraId="0D72B2ED" w14:textId="77777777" w:rsidR="00830E72" w:rsidRDefault="00830E72">
                <w:pPr>
                  <w:rPr>
                    <w:szCs w:val="21"/>
                  </w:rPr>
                </w:pPr>
              </w:p>
            </w:tc>
            <w:sdt>
              <w:sdtPr>
                <w:rPr>
                  <w:szCs w:val="21"/>
                </w:rPr>
                <w:alias w:val="与首次公开发行相关的承诺-承诺类型"/>
                <w:tag w:val="_GBC_f0b3976fba3f46e4affc4364f69d8f5a"/>
                <w:id w:val="49476639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2" w:type="pct"/>
                    <w:shd w:val="clear" w:color="auto" w:fill="auto"/>
                    <w:vAlign w:val="center"/>
                  </w:tcPr>
                  <w:p w14:paraId="0446DC2F" w14:textId="77777777" w:rsidR="00830E72" w:rsidRDefault="008344D8">
                    <w:pPr>
                      <w:rPr>
                        <w:szCs w:val="21"/>
                      </w:rPr>
                    </w:pPr>
                    <w:r>
                      <w:rPr>
                        <w:szCs w:val="21"/>
                      </w:rPr>
                      <w:t>股份限售</w:t>
                    </w:r>
                  </w:p>
                </w:tc>
              </w:sdtContent>
            </w:sdt>
            <w:tc>
              <w:tcPr>
                <w:tcW w:w="402" w:type="pct"/>
                <w:shd w:val="clear" w:color="auto" w:fill="auto"/>
                <w:vAlign w:val="center"/>
              </w:tcPr>
              <w:p w14:paraId="2D799F63" w14:textId="77777777" w:rsidR="00830E72" w:rsidRDefault="008344D8">
                <w:pPr>
                  <w:rPr>
                    <w:szCs w:val="21"/>
                  </w:rPr>
                </w:pPr>
                <w:r>
                  <w:t>董事、高级管理人员</w:t>
                </w:r>
              </w:p>
            </w:tc>
            <w:tc>
              <w:tcPr>
                <w:tcW w:w="1909" w:type="pct"/>
                <w:shd w:val="clear" w:color="auto" w:fill="auto"/>
                <w:vAlign w:val="center"/>
              </w:tcPr>
              <w:p w14:paraId="2DE4682A" w14:textId="77777777" w:rsidR="00830E72" w:rsidRDefault="008344D8">
                <w:pPr>
                  <w:jc w:val="both"/>
                  <w:rPr>
                    <w:szCs w:val="21"/>
                  </w:rPr>
                </w:pPr>
                <w:r>
                  <w:t>本人自公司股票上市之日起三十六个月内，不转让或者委托他人管理本次发行前本人直接或间接持有的公司股票，也不由公司回购该部分股票。上述股份锁定期满后，本人在担任公司董事、高级管理人员期间，每年转让的股份不超过本人直接或间接持有的公司股份总数的25%；离职后半年内，不转让本人所持有的公司股份。如本人所持公司股份锁定期届满之日起两年内减持公司首次公开发行股票前本人已持有的公司股份，则本人的减持价格不低于公司首次公开发行股票的发行价格，如公司上市后至上述期</w:t>
                </w:r>
                <w:r>
                  <w:lastRenderedPageBreak/>
                  <w:t>间，公司发生除权、除息行为，上述发行价格亦将作相应调整。公司上市后六个月内如公司股票连续二十个交易日的收盘价均低于发行价，或者上市后六个月期末收盘价低于发行价，本人所持有的公司股票的锁定期限自动延长六个月。上述发行价指公司首次公开发行股票的发行价格，如公司上市后至上述期间，公司发生除权、除息行为，上述发行价格亦将作相应调整。本人将严格遵守《公司法》、《证券法》、《上市公司股东、董监高减持股份的若干规定》（〔2017〕9号）、《上海证券交易所上市公司股东及董事、监事、高级管理人员减持股份实施细则》等相关规定或届时有效的规定。</w:t>
                </w:r>
              </w:p>
            </w:tc>
            <w:tc>
              <w:tcPr>
                <w:tcW w:w="402" w:type="pct"/>
                <w:shd w:val="clear" w:color="auto" w:fill="auto"/>
                <w:vAlign w:val="center"/>
              </w:tcPr>
              <w:p w14:paraId="2E7CECE0" w14:textId="77777777" w:rsidR="00830E72" w:rsidRDefault="008344D8">
                <w:pPr>
                  <w:rPr>
                    <w:szCs w:val="21"/>
                  </w:rPr>
                </w:pPr>
                <w:r>
                  <w:lastRenderedPageBreak/>
                  <w:t>自公司股票上市之日起3年内及锁定期届满后2年</w:t>
                </w:r>
              </w:p>
            </w:tc>
            <w:sdt>
              <w:sdtPr>
                <w:rPr>
                  <w:szCs w:val="21"/>
                </w:rPr>
                <w:alias w:val="与首次公开发行相关的承诺-是否有履行期限"/>
                <w:tag w:val="_GBC_1a64033131a64daa8e3bdd128e9385c8"/>
                <w:id w:val="-88551579"/>
                <w:lock w:val="sdtLocked"/>
                <w:comboBox>
                  <w:listItem w:displayText="是" w:value="true"/>
                  <w:listItem w:displayText="否" w:value="false"/>
                </w:comboBox>
              </w:sdtPr>
              <w:sdtEndPr/>
              <w:sdtContent>
                <w:tc>
                  <w:tcPr>
                    <w:tcW w:w="251" w:type="pct"/>
                    <w:shd w:val="clear" w:color="auto" w:fill="auto"/>
                    <w:vAlign w:val="center"/>
                  </w:tcPr>
                  <w:p w14:paraId="09980A25" w14:textId="77777777" w:rsidR="00830E72" w:rsidRDefault="008344D8">
                    <w:pPr>
                      <w:rPr>
                        <w:szCs w:val="21"/>
                      </w:rPr>
                    </w:pPr>
                    <w:r>
                      <w:rPr>
                        <w:szCs w:val="21"/>
                      </w:rPr>
                      <w:t>是</w:t>
                    </w:r>
                  </w:p>
                </w:tc>
              </w:sdtContent>
            </w:sdt>
            <w:sdt>
              <w:sdtPr>
                <w:rPr>
                  <w:szCs w:val="21"/>
                </w:rPr>
                <w:alias w:val="与首次公开发行相关的承诺-是否及时严格履行"/>
                <w:tag w:val="_GBC_72e17878bcd24bdb95a1b0936940ee48"/>
                <w:id w:val="-1111664216"/>
                <w:lock w:val="sdtLocked"/>
                <w:comboBox>
                  <w:listItem w:displayText="是" w:value="true"/>
                  <w:listItem w:displayText="否" w:value="false"/>
                </w:comboBox>
              </w:sdtPr>
              <w:sdtEndPr/>
              <w:sdtContent>
                <w:tc>
                  <w:tcPr>
                    <w:tcW w:w="252" w:type="pct"/>
                    <w:shd w:val="clear" w:color="auto" w:fill="auto"/>
                    <w:vAlign w:val="center"/>
                  </w:tcPr>
                  <w:p w14:paraId="28C9ECD5" w14:textId="77777777" w:rsidR="00830E72" w:rsidRDefault="008344D8">
                    <w:pPr>
                      <w:rPr>
                        <w:szCs w:val="21"/>
                      </w:rPr>
                    </w:pPr>
                    <w:r>
                      <w:rPr>
                        <w:szCs w:val="21"/>
                      </w:rPr>
                      <w:t>是</w:t>
                    </w:r>
                  </w:p>
                </w:tc>
              </w:sdtContent>
            </w:sdt>
            <w:tc>
              <w:tcPr>
                <w:tcW w:w="502" w:type="pct"/>
                <w:shd w:val="clear" w:color="auto" w:fill="auto"/>
                <w:vAlign w:val="center"/>
              </w:tcPr>
              <w:p w14:paraId="658F747A" w14:textId="77777777" w:rsidR="00830E72" w:rsidRDefault="008344D8">
                <w:pPr>
                  <w:rPr>
                    <w:szCs w:val="21"/>
                  </w:rPr>
                </w:pPr>
                <w:r>
                  <w:t>不适用</w:t>
                </w:r>
              </w:p>
            </w:tc>
            <w:tc>
              <w:tcPr>
                <w:tcW w:w="332" w:type="pct"/>
                <w:shd w:val="clear" w:color="auto" w:fill="auto"/>
                <w:vAlign w:val="center"/>
              </w:tcPr>
              <w:p w14:paraId="4B746900" w14:textId="77777777" w:rsidR="00830E72" w:rsidRDefault="008344D8">
                <w:pPr>
                  <w:rPr>
                    <w:szCs w:val="21"/>
                  </w:rPr>
                </w:pPr>
                <w:r>
                  <w:t>不适用</w:t>
                </w:r>
              </w:p>
            </w:tc>
          </w:tr>
          <w:tr w:rsidR="00830E72" w14:paraId="111266F6" w14:textId="77777777">
            <w:tc>
              <w:tcPr>
                <w:tcW w:w="547" w:type="pct"/>
                <w:vMerge/>
                <w:shd w:val="clear" w:color="auto" w:fill="auto"/>
                <w:vAlign w:val="center"/>
              </w:tcPr>
              <w:p w14:paraId="5F693F39" w14:textId="77777777" w:rsidR="00830E72" w:rsidRDefault="00830E72">
                <w:pPr>
                  <w:rPr>
                    <w:szCs w:val="21"/>
                  </w:rPr>
                </w:pPr>
              </w:p>
            </w:tc>
            <w:sdt>
              <w:sdtPr>
                <w:rPr>
                  <w:szCs w:val="21"/>
                </w:rPr>
                <w:alias w:val="与首次公开发行相关的承诺-承诺类型"/>
                <w:tag w:val="_GBC_f0b3976fba3f46e4affc4364f69d8f5a"/>
                <w:id w:val="-65569044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2" w:type="pct"/>
                    <w:shd w:val="clear" w:color="auto" w:fill="auto"/>
                    <w:vAlign w:val="center"/>
                  </w:tcPr>
                  <w:p w14:paraId="63AB50AF" w14:textId="77777777" w:rsidR="00830E72" w:rsidRDefault="008344D8">
                    <w:pPr>
                      <w:rPr>
                        <w:szCs w:val="21"/>
                      </w:rPr>
                    </w:pPr>
                    <w:r>
                      <w:rPr>
                        <w:szCs w:val="21"/>
                      </w:rPr>
                      <w:t>股份限售</w:t>
                    </w:r>
                  </w:p>
                </w:tc>
              </w:sdtContent>
            </w:sdt>
            <w:tc>
              <w:tcPr>
                <w:tcW w:w="402" w:type="pct"/>
                <w:shd w:val="clear" w:color="auto" w:fill="auto"/>
                <w:vAlign w:val="center"/>
              </w:tcPr>
              <w:p w14:paraId="3E4347C1" w14:textId="77777777" w:rsidR="00830E72" w:rsidRDefault="008344D8">
                <w:pPr>
                  <w:rPr>
                    <w:szCs w:val="21"/>
                  </w:rPr>
                </w:pPr>
                <w:r>
                  <w:t>监事</w:t>
                </w:r>
              </w:p>
            </w:tc>
            <w:tc>
              <w:tcPr>
                <w:tcW w:w="1909" w:type="pct"/>
                <w:shd w:val="clear" w:color="auto" w:fill="auto"/>
                <w:vAlign w:val="center"/>
              </w:tcPr>
              <w:p w14:paraId="36248C75" w14:textId="77777777" w:rsidR="00830E72" w:rsidRDefault="008344D8">
                <w:pPr>
                  <w:jc w:val="both"/>
                  <w:rPr>
                    <w:szCs w:val="21"/>
                  </w:rPr>
                </w:pPr>
                <w:r>
                  <w:t>本人自公司股票上市之日起三十六个月内，不转让或者委托他人管理本次发行前本人直接或间接持有的公司股票，也不由公司回购该部分股票。上述股份锁定期满后，本人在担任公司监事期间，每年转让的股份不超过本人直接或间接持有的公司股份总数的25%；离职后半年内，不转让本人所持有的公司股份。如本人所持公司股份锁定期届满之日起两年内减持公司首次公开发行股票前本人已持有的公司股份，则本人的减持价格不低于公司首次公开发行股票的发行价格，如公司上市后至上述期间，公司发生除权、除息行为，上述发行价格亦将作相应调整。本人将严格遵守《公司法》、《证券法》、《上市公司股东、董监高减持股份的若干规定》（〔2017〕9号）、《上海证券交易所上市公司股东及董事、监事、高级管理人员减持股份实施细则》等相关规定或届时有效的规定。</w:t>
                </w:r>
              </w:p>
            </w:tc>
            <w:tc>
              <w:tcPr>
                <w:tcW w:w="402" w:type="pct"/>
                <w:shd w:val="clear" w:color="auto" w:fill="auto"/>
                <w:vAlign w:val="center"/>
              </w:tcPr>
              <w:p w14:paraId="332D3A13" w14:textId="77777777" w:rsidR="00830E72" w:rsidRDefault="008344D8">
                <w:pPr>
                  <w:rPr>
                    <w:szCs w:val="21"/>
                  </w:rPr>
                </w:pPr>
                <w:r>
                  <w:t>自公司股票上市之日起3年内及锁定期届满后2年</w:t>
                </w:r>
              </w:p>
            </w:tc>
            <w:sdt>
              <w:sdtPr>
                <w:rPr>
                  <w:szCs w:val="21"/>
                </w:rPr>
                <w:alias w:val="与首次公开发行相关的承诺-是否有履行期限"/>
                <w:tag w:val="_GBC_1a64033131a64daa8e3bdd128e9385c8"/>
                <w:id w:val="-1211724903"/>
                <w:lock w:val="sdtLocked"/>
                <w:comboBox>
                  <w:listItem w:displayText="是" w:value="true"/>
                  <w:listItem w:displayText="否" w:value="false"/>
                </w:comboBox>
              </w:sdtPr>
              <w:sdtEndPr/>
              <w:sdtContent>
                <w:tc>
                  <w:tcPr>
                    <w:tcW w:w="251" w:type="pct"/>
                    <w:shd w:val="clear" w:color="auto" w:fill="auto"/>
                    <w:vAlign w:val="center"/>
                  </w:tcPr>
                  <w:p w14:paraId="6919AF03" w14:textId="77777777" w:rsidR="00830E72" w:rsidRDefault="008344D8">
                    <w:pPr>
                      <w:rPr>
                        <w:szCs w:val="21"/>
                      </w:rPr>
                    </w:pPr>
                    <w:r>
                      <w:rPr>
                        <w:szCs w:val="21"/>
                      </w:rPr>
                      <w:t>是</w:t>
                    </w:r>
                  </w:p>
                </w:tc>
              </w:sdtContent>
            </w:sdt>
            <w:sdt>
              <w:sdtPr>
                <w:rPr>
                  <w:szCs w:val="21"/>
                </w:rPr>
                <w:alias w:val="与首次公开发行相关的承诺-是否及时严格履行"/>
                <w:tag w:val="_GBC_72e17878bcd24bdb95a1b0936940ee48"/>
                <w:id w:val="-784884677"/>
                <w:lock w:val="sdtLocked"/>
                <w:comboBox>
                  <w:listItem w:displayText="是" w:value="true"/>
                  <w:listItem w:displayText="否" w:value="false"/>
                </w:comboBox>
              </w:sdtPr>
              <w:sdtEndPr/>
              <w:sdtContent>
                <w:tc>
                  <w:tcPr>
                    <w:tcW w:w="252" w:type="pct"/>
                    <w:shd w:val="clear" w:color="auto" w:fill="auto"/>
                    <w:vAlign w:val="center"/>
                  </w:tcPr>
                  <w:p w14:paraId="195BE434" w14:textId="77777777" w:rsidR="00830E72" w:rsidRDefault="008344D8">
                    <w:pPr>
                      <w:rPr>
                        <w:szCs w:val="21"/>
                      </w:rPr>
                    </w:pPr>
                    <w:r>
                      <w:rPr>
                        <w:szCs w:val="21"/>
                      </w:rPr>
                      <w:t>是</w:t>
                    </w:r>
                  </w:p>
                </w:tc>
              </w:sdtContent>
            </w:sdt>
            <w:tc>
              <w:tcPr>
                <w:tcW w:w="502" w:type="pct"/>
                <w:shd w:val="clear" w:color="auto" w:fill="auto"/>
                <w:vAlign w:val="center"/>
              </w:tcPr>
              <w:p w14:paraId="754E57C2" w14:textId="77777777" w:rsidR="00830E72" w:rsidRDefault="008344D8">
                <w:pPr>
                  <w:rPr>
                    <w:szCs w:val="21"/>
                  </w:rPr>
                </w:pPr>
                <w:r>
                  <w:t>不适用</w:t>
                </w:r>
              </w:p>
            </w:tc>
            <w:tc>
              <w:tcPr>
                <w:tcW w:w="332" w:type="pct"/>
                <w:shd w:val="clear" w:color="auto" w:fill="auto"/>
                <w:vAlign w:val="center"/>
              </w:tcPr>
              <w:p w14:paraId="5989A882" w14:textId="77777777" w:rsidR="00830E72" w:rsidRDefault="008344D8">
                <w:pPr>
                  <w:rPr>
                    <w:szCs w:val="21"/>
                  </w:rPr>
                </w:pPr>
                <w:r>
                  <w:t>不适用</w:t>
                </w:r>
              </w:p>
            </w:tc>
          </w:tr>
          <w:tr w:rsidR="00830E72" w14:paraId="6B147E9E" w14:textId="77777777">
            <w:tc>
              <w:tcPr>
                <w:tcW w:w="547" w:type="pct"/>
                <w:vMerge/>
                <w:shd w:val="clear" w:color="auto" w:fill="auto"/>
                <w:vAlign w:val="center"/>
              </w:tcPr>
              <w:p w14:paraId="0A0495C8" w14:textId="77777777" w:rsidR="00830E72" w:rsidRDefault="00830E72">
                <w:pPr>
                  <w:rPr>
                    <w:szCs w:val="21"/>
                  </w:rPr>
                </w:pPr>
              </w:p>
            </w:tc>
            <w:sdt>
              <w:sdtPr>
                <w:rPr>
                  <w:szCs w:val="21"/>
                </w:rPr>
                <w:alias w:val="与首次公开发行相关的承诺-承诺类型"/>
                <w:tag w:val="_GBC_f0b3976fba3f46e4affc4364f69d8f5a"/>
                <w:id w:val="-69415797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2" w:type="pct"/>
                    <w:shd w:val="clear" w:color="auto" w:fill="auto"/>
                    <w:vAlign w:val="center"/>
                  </w:tcPr>
                  <w:p w14:paraId="6CF2C5C9" w14:textId="77777777" w:rsidR="00830E72" w:rsidRDefault="008344D8">
                    <w:pPr>
                      <w:rPr>
                        <w:szCs w:val="21"/>
                      </w:rPr>
                    </w:pPr>
                    <w:r>
                      <w:rPr>
                        <w:szCs w:val="21"/>
                      </w:rPr>
                      <w:t>股份限售</w:t>
                    </w:r>
                  </w:p>
                </w:tc>
              </w:sdtContent>
            </w:sdt>
            <w:tc>
              <w:tcPr>
                <w:tcW w:w="402" w:type="pct"/>
                <w:shd w:val="clear" w:color="auto" w:fill="auto"/>
                <w:vAlign w:val="center"/>
              </w:tcPr>
              <w:p w14:paraId="389AAFB3" w14:textId="77777777" w:rsidR="00830E72" w:rsidRDefault="008344D8">
                <w:pPr>
                  <w:rPr>
                    <w:szCs w:val="21"/>
                  </w:rPr>
                </w:pPr>
                <w:r>
                  <w:t>有限合伙股东行远投资、启建投资、为众投资</w:t>
                </w:r>
              </w:p>
            </w:tc>
            <w:tc>
              <w:tcPr>
                <w:tcW w:w="1909" w:type="pct"/>
                <w:shd w:val="clear" w:color="auto" w:fill="auto"/>
                <w:vAlign w:val="center"/>
              </w:tcPr>
              <w:p w14:paraId="21532D49" w14:textId="77777777" w:rsidR="00830E72" w:rsidRDefault="008344D8">
                <w:pPr>
                  <w:rPr>
                    <w:szCs w:val="21"/>
                  </w:rPr>
                </w:pPr>
                <w:r>
                  <w:t>本企业自安徽交建的股票上市之日起三十六个月内，不转让或者委托他人管理本次发行前本企业直接或间接持有的安徽交建股票，也不由安徽交建回购该部分股票。在本企业做出减持决定时，本企业将严格遵守《公司法》、《证券法》、《上市公司股东、董监高减持股份的若干规定》（〔2017〕9号）、《上海证券交易所上市公司股东及董</w:t>
                </w:r>
                <w:r>
                  <w:lastRenderedPageBreak/>
                  <w:t>事、监事、高级管理人员减持股份实施细则》等相关规定或届时有效的规定。</w:t>
                </w:r>
              </w:p>
            </w:tc>
            <w:tc>
              <w:tcPr>
                <w:tcW w:w="402" w:type="pct"/>
                <w:shd w:val="clear" w:color="auto" w:fill="auto"/>
                <w:vAlign w:val="center"/>
              </w:tcPr>
              <w:p w14:paraId="0EFD1965" w14:textId="77777777" w:rsidR="00830E72" w:rsidRDefault="008344D8">
                <w:pPr>
                  <w:rPr>
                    <w:szCs w:val="21"/>
                  </w:rPr>
                </w:pPr>
                <w:r>
                  <w:lastRenderedPageBreak/>
                  <w:t>自公司股票上市之日起3年内</w:t>
                </w:r>
              </w:p>
            </w:tc>
            <w:sdt>
              <w:sdtPr>
                <w:rPr>
                  <w:szCs w:val="21"/>
                </w:rPr>
                <w:alias w:val="与首次公开发行相关的承诺-是否有履行期限"/>
                <w:tag w:val="_GBC_1a64033131a64daa8e3bdd128e9385c8"/>
                <w:id w:val="-98332822"/>
                <w:lock w:val="sdtLocked"/>
                <w:comboBox>
                  <w:listItem w:displayText="是" w:value="true"/>
                  <w:listItem w:displayText="否" w:value="false"/>
                </w:comboBox>
              </w:sdtPr>
              <w:sdtEndPr/>
              <w:sdtContent>
                <w:tc>
                  <w:tcPr>
                    <w:tcW w:w="251" w:type="pct"/>
                    <w:shd w:val="clear" w:color="auto" w:fill="auto"/>
                    <w:vAlign w:val="center"/>
                  </w:tcPr>
                  <w:p w14:paraId="1EC4034C" w14:textId="77777777" w:rsidR="00830E72" w:rsidRDefault="008344D8">
                    <w:pPr>
                      <w:rPr>
                        <w:szCs w:val="21"/>
                      </w:rPr>
                    </w:pPr>
                    <w:r>
                      <w:rPr>
                        <w:szCs w:val="21"/>
                      </w:rPr>
                      <w:t>是</w:t>
                    </w:r>
                  </w:p>
                </w:tc>
              </w:sdtContent>
            </w:sdt>
            <w:sdt>
              <w:sdtPr>
                <w:rPr>
                  <w:szCs w:val="21"/>
                </w:rPr>
                <w:alias w:val="与首次公开发行相关的承诺-是否及时严格履行"/>
                <w:tag w:val="_GBC_72e17878bcd24bdb95a1b0936940ee48"/>
                <w:id w:val="702667802"/>
                <w:lock w:val="sdtLocked"/>
                <w:comboBox>
                  <w:listItem w:displayText="是" w:value="true"/>
                  <w:listItem w:displayText="否" w:value="false"/>
                </w:comboBox>
              </w:sdtPr>
              <w:sdtEndPr/>
              <w:sdtContent>
                <w:tc>
                  <w:tcPr>
                    <w:tcW w:w="252" w:type="pct"/>
                    <w:shd w:val="clear" w:color="auto" w:fill="auto"/>
                    <w:vAlign w:val="center"/>
                  </w:tcPr>
                  <w:p w14:paraId="60BF38A6" w14:textId="77777777" w:rsidR="00830E72" w:rsidRDefault="008344D8">
                    <w:pPr>
                      <w:rPr>
                        <w:szCs w:val="21"/>
                      </w:rPr>
                    </w:pPr>
                    <w:r>
                      <w:rPr>
                        <w:szCs w:val="21"/>
                      </w:rPr>
                      <w:t>是</w:t>
                    </w:r>
                  </w:p>
                </w:tc>
              </w:sdtContent>
            </w:sdt>
            <w:tc>
              <w:tcPr>
                <w:tcW w:w="502" w:type="pct"/>
                <w:shd w:val="clear" w:color="auto" w:fill="auto"/>
                <w:vAlign w:val="center"/>
              </w:tcPr>
              <w:p w14:paraId="22ED216E" w14:textId="77777777" w:rsidR="00830E72" w:rsidRDefault="008344D8">
                <w:pPr>
                  <w:rPr>
                    <w:szCs w:val="21"/>
                  </w:rPr>
                </w:pPr>
                <w:r>
                  <w:t>不适用</w:t>
                </w:r>
              </w:p>
            </w:tc>
            <w:tc>
              <w:tcPr>
                <w:tcW w:w="332" w:type="pct"/>
                <w:shd w:val="clear" w:color="auto" w:fill="auto"/>
                <w:vAlign w:val="center"/>
              </w:tcPr>
              <w:p w14:paraId="7E284CBA" w14:textId="77777777" w:rsidR="00830E72" w:rsidRDefault="008344D8">
                <w:pPr>
                  <w:rPr>
                    <w:szCs w:val="21"/>
                  </w:rPr>
                </w:pPr>
                <w:r>
                  <w:t>不适用</w:t>
                </w:r>
              </w:p>
            </w:tc>
          </w:tr>
          <w:tr w:rsidR="00830E72" w14:paraId="4EF1C980" w14:textId="77777777">
            <w:tc>
              <w:tcPr>
                <w:tcW w:w="547" w:type="pct"/>
                <w:vMerge/>
                <w:shd w:val="clear" w:color="auto" w:fill="auto"/>
                <w:vAlign w:val="center"/>
              </w:tcPr>
              <w:p w14:paraId="0C4A67C4" w14:textId="77777777" w:rsidR="00830E72" w:rsidRDefault="00830E72">
                <w:pPr>
                  <w:rPr>
                    <w:szCs w:val="21"/>
                  </w:rPr>
                </w:pPr>
              </w:p>
            </w:tc>
            <w:sdt>
              <w:sdtPr>
                <w:rPr>
                  <w:szCs w:val="21"/>
                </w:rPr>
                <w:alias w:val="与首次公开发行相关的承诺-承诺类型"/>
                <w:tag w:val="_GBC_f0b3976fba3f46e4affc4364f69d8f5a"/>
                <w:id w:val="81607190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2" w:type="pct"/>
                    <w:shd w:val="clear" w:color="auto" w:fill="auto"/>
                    <w:vAlign w:val="center"/>
                  </w:tcPr>
                  <w:p w14:paraId="1D7B8121" w14:textId="77777777" w:rsidR="00830E72" w:rsidRDefault="008344D8">
                    <w:pPr>
                      <w:rPr>
                        <w:szCs w:val="21"/>
                      </w:rPr>
                    </w:pPr>
                    <w:r>
                      <w:rPr>
                        <w:szCs w:val="21"/>
                      </w:rPr>
                      <w:t>股份限售</w:t>
                    </w:r>
                  </w:p>
                </w:tc>
              </w:sdtContent>
            </w:sdt>
            <w:tc>
              <w:tcPr>
                <w:tcW w:w="402" w:type="pct"/>
                <w:shd w:val="clear" w:color="auto" w:fill="auto"/>
                <w:vAlign w:val="center"/>
              </w:tcPr>
              <w:p w14:paraId="261587F0" w14:textId="77777777" w:rsidR="00830E72" w:rsidRDefault="008344D8">
                <w:pPr>
                  <w:rPr>
                    <w:szCs w:val="21"/>
                  </w:rPr>
                </w:pPr>
                <w:r>
                  <w:t>其他法人股东安元投资、国元投资</w:t>
                </w:r>
              </w:p>
            </w:tc>
            <w:tc>
              <w:tcPr>
                <w:tcW w:w="1909" w:type="pct"/>
                <w:shd w:val="clear" w:color="auto" w:fill="auto"/>
                <w:vAlign w:val="center"/>
              </w:tcPr>
              <w:p w14:paraId="230CB777" w14:textId="77777777" w:rsidR="00830E72" w:rsidRDefault="008344D8">
                <w:pPr>
                  <w:jc w:val="both"/>
                  <w:rPr>
                    <w:szCs w:val="21"/>
                  </w:rPr>
                </w:pPr>
                <w:r>
                  <w:t>本公司自安徽交建股票发行上市之日起十二个月内，不转让或者委托他人管理本次发行前本公司/本企业直接或间接持有的安徽交建股票，也不由安徽交建回购该部分股票。本公司在所持安徽交建股票锁定期届满后二年内减持安徽交建股票的，减持价格不低于安徽交建首次公开发行股票的发行价（如安徽交建发生分红、派息、送股、资本公积金转增股本等除权除息事项，发行价应相应调整），且每年减持安徽交建股份数量不超过本公司所持安徽交建股份数的100%。在本公司做出减持决定时，将严格遵守《公司法》、《证券法》、《上市公司股东、董监高减持股份的若干规定》（〔2017〕9号）、《上海证券交易所上市公司股东及董事、监事、高级管理人员减持股份实施细则》等相关规定或届时有效的规定。若本公司违反上述承诺，本公司将在安徽交建的股东大会及中国证监会指定的报刊上公开说明原因并向安徽交建的股东和社会公众投资者道歉，同时本公司因违反上述承诺所获得的减持收益归安徽交建所有。</w:t>
                </w:r>
              </w:p>
            </w:tc>
            <w:tc>
              <w:tcPr>
                <w:tcW w:w="402" w:type="pct"/>
                <w:shd w:val="clear" w:color="auto" w:fill="auto"/>
                <w:vAlign w:val="center"/>
              </w:tcPr>
              <w:p w14:paraId="39E70954" w14:textId="77777777" w:rsidR="00830E72" w:rsidRDefault="008344D8">
                <w:pPr>
                  <w:rPr>
                    <w:szCs w:val="21"/>
                  </w:rPr>
                </w:pPr>
                <w:r>
                  <w:t>自公司股票上市之日起1年内及锁定期届满后2年</w:t>
                </w:r>
              </w:p>
            </w:tc>
            <w:sdt>
              <w:sdtPr>
                <w:rPr>
                  <w:szCs w:val="21"/>
                </w:rPr>
                <w:alias w:val="与首次公开发行相关的承诺-是否有履行期限"/>
                <w:tag w:val="_GBC_1a64033131a64daa8e3bdd128e9385c8"/>
                <w:id w:val="-1096013583"/>
                <w:lock w:val="sdtLocked"/>
                <w:comboBox>
                  <w:listItem w:displayText="是" w:value="true"/>
                  <w:listItem w:displayText="否" w:value="false"/>
                </w:comboBox>
              </w:sdtPr>
              <w:sdtEndPr/>
              <w:sdtContent>
                <w:tc>
                  <w:tcPr>
                    <w:tcW w:w="251" w:type="pct"/>
                    <w:shd w:val="clear" w:color="auto" w:fill="auto"/>
                    <w:vAlign w:val="center"/>
                  </w:tcPr>
                  <w:p w14:paraId="6F5D9EB9" w14:textId="77777777" w:rsidR="00830E72" w:rsidRDefault="008344D8">
                    <w:pPr>
                      <w:rPr>
                        <w:szCs w:val="21"/>
                      </w:rPr>
                    </w:pPr>
                    <w:r>
                      <w:rPr>
                        <w:szCs w:val="21"/>
                      </w:rPr>
                      <w:t>是</w:t>
                    </w:r>
                  </w:p>
                </w:tc>
              </w:sdtContent>
            </w:sdt>
            <w:sdt>
              <w:sdtPr>
                <w:rPr>
                  <w:szCs w:val="21"/>
                </w:rPr>
                <w:alias w:val="与首次公开发行相关的承诺-是否及时严格履行"/>
                <w:tag w:val="_GBC_72e17878bcd24bdb95a1b0936940ee48"/>
                <w:id w:val="-173112293"/>
                <w:lock w:val="sdtLocked"/>
                <w:comboBox>
                  <w:listItem w:displayText="是" w:value="true"/>
                  <w:listItem w:displayText="否" w:value="false"/>
                </w:comboBox>
              </w:sdtPr>
              <w:sdtEndPr/>
              <w:sdtContent>
                <w:tc>
                  <w:tcPr>
                    <w:tcW w:w="252" w:type="pct"/>
                    <w:shd w:val="clear" w:color="auto" w:fill="auto"/>
                    <w:vAlign w:val="center"/>
                  </w:tcPr>
                  <w:p w14:paraId="759F1CC9" w14:textId="77777777" w:rsidR="00830E72" w:rsidRDefault="008344D8">
                    <w:pPr>
                      <w:rPr>
                        <w:szCs w:val="21"/>
                      </w:rPr>
                    </w:pPr>
                    <w:r>
                      <w:rPr>
                        <w:szCs w:val="21"/>
                      </w:rPr>
                      <w:t>是</w:t>
                    </w:r>
                  </w:p>
                </w:tc>
              </w:sdtContent>
            </w:sdt>
            <w:tc>
              <w:tcPr>
                <w:tcW w:w="502" w:type="pct"/>
                <w:shd w:val="clear" w:color="auto" w:fill="auto"/>
                <w:vAlign w:val="center"/>
              </w:tcPr>
              <w:p w14:paraId="74203557" w14:textId="77777777" w:rsidR="00830E72" w:rsidRDefault="008344D8">
                <w:pPr>
                  <w:rPr>
                    <w:szCs w:val="21"/>
                  </w:rPr>
                </w:pPr>
                <w:r>
                  <w:t>不适用</w:t>
                </w:r>
              </w:p>
            </w:tc>
            <w:tc>
              <w:tcPr>
                <w:tcW w:w="332" w:type="pct"/>
                <w:shd w:val="clear" w:color="auto" w:fill="auto"/>
                <w:vAlign w:val="center"/>
              </w:tcPr>
              <w:p w14:paraId="12AB4138" w14:textId="77777777" w:rsidR="00830E72" w:rsidRDefault="008344D8">
                <w:pPr>
                  <w:rPr>
                    <w:szCs w:val="21"/>
                  </w:rPr>
                </w:pPr>
                <w:r>
                  <w:t>不适用</w:t>
                </w:r>
              </w:p>
            </w:tc>
          </w:tr>
          <w:tr w:rsidR="00830E72" w14:paraId="6A75C0AA" w14:textId="77777777">
            <w:tc>
              <w:tcPr>
                <w:tcW w:w="547" w:type="pct"/>
                <w:vMerge/>
                <w:shd w:val="clear" w:color="auto" w:fill="auto"/>
                <w:vAlign w:val="center"/>
              </w:tcPr>
              <w:p w14:paraId="2CCC0A45" w14:textId="77777777" w:rsidR="00830E72" w:rsidRDefault="00830E72">
                <w:pPr>
                  <w:rPr>
                    <w:szCs w:val="21"/>
                  </w:rPr>
                </w:pPr>
              </w:p>
            </w:tc>
            <w:sdt>
              <w:sdtPr>
                <w:rPr>
                  <w:szCs w:val="21"/>
                </w:rPr>
                <w:alias w:val="与首次公开发行相关的承诺-承诺类型"/>
                <w:tag w:val="_GBC_f0b3976fba3f46e4affc4364f69d8f5a"/>
                <w:id w:val="127050889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2" w:type="pct"/>
                    <w:shd w:val="clear" w:color="auto" w:fill="auto"/>
                    <w:vAlign w:val="center"/>
                  </w:tcPr>
                  <w:p w14:paraId="2AB2B995" w14:textId="77777777" w:rsidR="00830E72" w:rsidRDefault="008344D8">
                    <w:pPr>
                      <w:rPr>
                        <w:szCs w:val="21"/>
                      </w:rPr>
                    </w:pPr>
                    <w:r>
                      <w:rPr>
                        <w:szCs w:val="21"/>
                      </w:rPr>
                      <w:t>股份限售</w:t>
                    </w:r>
                  </w:p>
                </w:tc>
              </w:sdtContent>
            </w:sdt>
            <w:tc>
              <w:tcPr>
                <w:tcW w:w="402" w:type="pct"/>
                <w:shd w:val="clear" w:color="auto" w:fill="auto"/>
                <w:vAlign w:val="center"/>
              </w:tcPr>
              <w:p w14:paraId="25864BAB" w14:textId="77777777" w:rsidR="00830E72" w:rsidRDefault="008344D8">
                <w:pPr>
                  <w:rPr>
                    <w:szCs w:val="21"/>
                  </w:rPr>
                </w:pPr>
                <w:r>
                  <w:t>其他法人/有限合伙股东安元投资、国元投资、金通安益、安华基金、欧普投资、合信投资、华柏利永、</w:t>
                </w:r>
                <w:r>
                  <w:lastRenderedPageBreak/>
                  <w:t>金牛国轩</w:t>
                </w:r>
              </w:p>
            </w:tc>
            <w:tc>
              <w:tcPr>
                <w:tcW w:w="1909" w:type="pct"/>
                <w:shd w:val="clear" w:color="auto" w:fill="auto"/>
                <w:vAlign w:val="center"/>
              </w:tcPr>
              <w:p w14:paraId="2C119DFD" w14:textId="77777777" w:rsidR="00830E72" w:rsidRDefault="008344D8">
                <w:pPr>
                  <w:jc w:val="both"/>
                  <w:rPr>
                    <w:szCs w:val="21"/>
                  </w:rPr>
                </w:pPr>
                <w:r>
                  <w:lastRenderedPageBreak/>
                  <w:t>本公司/本企业自安徽交建股票发行上市之日起十二个月内，不转让或者委托他人管理本次发行前本公司/本企业直接或间接持有的安徽交建股票，也不由安徽交建回购该部分股票。本公司/本企业将严格遵守《公司法》、《证券法》、《上市公司股东、董监高减持股份的若干规定》（〔2017〕9号）、《上海证券交易所上市公司股东及董事、监事、高级管理人员减持股份实施细则》等相关规定或届时有效的规定。</w:t>
                </w:r>
              </w:p>
            </w:tc>
            <w:tc>
              <w:tcPr>
                <w:tcW w:w="402" w:type="pct"/>
                <w:shd w:val="clear" w:color="auto" w:fill="auto"/>
                <w:vAlign w:val="center"/>
              </w:tcPr>
              <w:p w14:paraId="3AE6B599" w14:textId="77777777" w:rsidR="00830E72" w:rsidRDefault="008344D8">
                <w:pPr>
                  <w:rPr>
                    <w:szCs w:val="21"/>
                  </w:rPr>
                </w:pPr>
                <w:r>
                  <w:t>自公司股票上市之日起1年内</w:t>
                </w:r>
              </w:p>
            </w:tc>
            <w:sdt>
              <w:sdtPr>
                <w:rPr>
                  <w:szCs w:val="21"/>
                </w:rPr>
                <w:alias w:val="与首次公开发行相关的承诺-是否有履行期限"/>
                <w:tag w:val="_GBC_1a64033131a64daa8e3bdd128e9385c8"/>
                <w:id w:val="1437253108"/>
                <w:lock w:val="sdtLocked"/>
                <w:comboBox>
                  <w:listItem w:displayText="是" w:value="true"/>
                  <w:listItem w:displayText="否" w:value="false"/>
                </w:comboBox>
              </w:sdtPr>
              <w:sdtEndPr/>
              <w:sdtContent>
                <w:tc>
                  <w:tcPr>
                    <w:tcW w:w="251" w:type="pct"/>
                    <w:shd w:val="clear" w:color="auto" w:fill="auto"/>
                    <w:vAlign w:val="center"/>
                  </w:tcPr>
                  <w:p w14:paraId="3FD17B62" w14:textId="77777777" w:rsidR="00830E72" w:rsidRDefault="008344D8">
                    <w:pPr>
                      <w:rPr>
                        <w:szCs w:val="21"/>
                      </w:rPr>
                    </w:pPr>
                    <w:r>
                      <w:rPr>
                        <w:szCs w:val="21"/>
                      </w:rPr>
                      <w:t>是</w:t>
                    </w:r>
                  </w:p>
                </w:tc>
              </w:sdtContent>
            </w:sdt>
            <w:sdt>
              <w:sdtPr>
                <w:rPr>
                  <w:szCs w:val="21"/>
                </w:rPr>
                <w:alias w:val="与首次公开发行相关的承诺-是否及时严格履行"/>
                <w:tag w:val="_GBC_72e17878bcd24bdb95a1b0936940ee48"/>
                <w:id w:val="-1452553734"/>
                <w:lock w:val="sdtLocked"/>
                <w:comboBox>
                  <w:listItem w:displayText="是" w:value="true"/>
                  <w:listItem w:displayText="否" w:value="false"/>
                </w:comboBox>
              </w:sdtPr>
              <w:sdtEndPr/>
              <w:sdtContent>
                <w:tc>
                  <w:tcPr>
                    <w:tcW w:w="252" w:type="pct"/>
                    <w:shd w:val="clear" w:color="auto" w:fill="auto"/>
                    <w:vAlign w:val="center"/>
                  </w:tcPr>
                  <w:p w14:paraId="62773F68" w14:textId="77777777" w:rsidR="00830E72" w:rsidRDefault="008344D8">
                    <w:pPr>
                      <w:rPr>
                        <w:szCs w:val="21"/>
                      </w:rPr>
                    </w:pPr>
                    <w:r>
                      <w:rPr>
                        <w:szCs w:val="21"/>
                      </w:rPr>
                      <w:t>是</w:t>
                    </w:r>
                  </w:p>
                </w:tc>
              </w:sdtContent>
            </w:sdt>
            <w:tc>
              <w:tcPr>
                <w:tcW w:w="502" w:type="pct"/>
                <w:shd w:val="clear" w:color="auto" w:fill="auto"/>
                <w:vAlign w:val="center"/>
              </w:tcPr>
              <w:p w14:paraId="13C86CB3" w14:textId="77777777" w:rsidR="00830E72" w:rsidRDefault="008344D8">
                <w:pPr>
                  <w:rPr>
                    <w:szCs w:val="21"/>
                  </w:rPr>
                </w:pPr>
                <w:r>
                  <w:t>不适用</w:t>
                </w:r>
              </w:p>
            </w:tc>
            <w:tc>
              <w:tcPr>
                <w:tcW w:w="332" w:type="pct"/>
                <w:shd w:val="clear" w:color="auto" w:fill="auto"/>
                <w:vAlign w:val="center"/>
              </w:tcPr>
              <w:p w14:paraId="0AFEC26F" w14:textId="77777777" w:rsidR="00830E72" w:rsidRDefault="008344D8">
                <w:pPr>
                  <w:rPr>
                    <w:szCs w:val="21"/>
                  </w:rPr>
                </w:pPr>
                <w:r>
                  <w:t>不适用</w:t>
                </w:r>
              </w:p>
            </w:tc>
          </w:tr>
          <w:tr w:rsidR="00830E72" w14:paraId="4F9541DB" w14:textId="77777777">
            <w:tc>
              <w:tcPr>
                <w:tcW w:w="547" w:type="pct"/>
                <w:vMerge/>
                <w:shd w:val="clear" w:color="auto" w:fill="auto"/>
                <w:vAlign w:val="center"/>
              </w:tcPr>
              <w:p w14:paraId="426D1745" w14:textId="77777777" w:rsidR="00830E72" w:rsidRDefault="00830E72">
                <w:pPr>
                  <w:rPr>
                    <w:szCs w:val="21"/>
                  </w:rPr>
                </w:pPr>
              </w:p>
            </w:tc>
            <w:sdt>
              <w:sdtPr>
                <w:rPr>
                  <w:szCs w:val="21"/>
                </w:rPr>
                <w:alias w:val="与首次公开发行相关的承诺-承诺类型"/>
                <w:tag w:val="_GBC_f0b3976fba3f46e4affc4364f69d8f5a"/>
                <w:id w:val="-21920368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2" w:type="pct"/>
                    <w:shd w:val="clear" w:color="auto" w:fill="auto"/>
                    <w:vAlign w:val="center"/>
                  </w:tcPr>
                  <w:p w14:paraId="6E227FEA" w14:textId="77777777" w:rsidR="00830E72" w:rsidRDefault="008344D8">
                    <w:pPr>
                      <w:rPr>
                        <w:szCs w:val="21"/>
                      </w:rPr>
                    </w:pPr>
                    <w:r>
                      <w:rPr>
                        <w:szCs w:val="21"/>
                      </w:rPr>
                      <w:t>股份限售</w:t>
                    </w:r>
                  </w:p>
                </w:tc>
              </w:sdtContent>
            </w:sdt>
            <w:tc>
              <w:tcPr>
                <w:tcW w:w="402" w:type="pct"/>
                <w:shd w:val="clear" w:color="auto" w:fill="auto"/>
                <w:vAlign w:val="center"/>
              </w:tcPr>
              <w:p w14:paraId="3C9229A5" w14:textId="77777777" w:rsidR="00830E72" w:rsidRDefault="008344D8">
                <w:pPr>
                  <w:rPr>
                    <w:szCs w:val="21"/>
                  </w:rPr>
                </w:pPr>
                <w:r>
                  <w:t>自然人股东俞水祥、俞红华</w:t>
                </w:r>
              </w:p>
            </w:tc>
            <w:tc>
              <w:tcPr>
                <w:tcW w:w="1909" w:type="pct"/>
                <w:shd w:val="clear" w:color="auto" w:fill="auto"/>
                <w:vAlign w:val="center"/>
              </w:tcPr>
              <w:p w14:paraId="4E547FAC" w14:textId="77777777" w:rsidR="00830E72" w:rsidRDefault="008344D8">
                <w:pPr>
                  <w:jc w:val="both"/>
                  <w:rPr>
                    <w:szCs w:val="21"/>
                  </w:rPr>
                </w:pPr>
                <w:r>
                  <w:t>本人自安徽交建的股票上市之日起三十六个月内，不转让或者委托他人管理本次发行前本人直接或间接持有的安徽交建股票，也不由安徽交建回购该部分股票。本人将严格遵守《公司法》、《证券法》、《上市公司股东、董监高减持股份的若干规定》（〔2017〕9号）、《上海证券交易所上市公司股东及董事、监事、高级管理人员减持股份实施细则》等相关规定或届时有效的规定。</w:t>
                </w:r>
              </w:p>
            </w:tc>
            <w:tc>
              <w:tcPr>
                <w:tcW w:w="402" w:type="pct"/>
                <w:shd w:val="clear" w:color="auto" w:fill="auto"/>
                <w:vAlign w:val="center"/>
              </w:tcPr>
              <w:p w14:paraId="1AB2D66F" w14:textId="77777777" w:rsidR="00830E72" w:rsidRDefault="008344D8">
                <w:pPr>
                  <w:rPr>
                    <w:szCs w:val="21"/>
                  </w:rPr>
                </w:pPr>
                <w:r>
                  <w:t>自公司股票上市之日起3年内</w:t>
                </w:r>
              </w:p>
            </w:tc>
            <w:sdt>
              <w:sdtPr>
                <w:rPr>
                  <w:szCs w:val="21"/>
                </w:rPr>
                <w:alias w:val="与首次公开发行相关的承诺-是否有履行期限"/>
                <w:tag w:val="_GBC_1a64033131a64daa8e3bdd128e9385c8"/>
                <w:id w:val="68246368"/>
                <w:lock w:val="sdtLocked"/>
                <w:comboBox>
                  <w:listItem w:displayText="是" w:value="true"/>
                  <w:listItem w:displayText="否" w:value="false"/>
                </w:comboBox>
              </w:sdtPr>
              <w:sdtEndPr/>
              <w:sdtContent>
                <w:tc>
                  <w:tcPr>
                    <w:tcW w:w="251" w:type="pct"/>
                    <w:shd w:val="clear" w:color="auto" w:fill="auto"/>
                    <w:vAlign w:val="center"/>
                  </w:tcPr>
                  <w:p w14:paraId="59D917D8" w14:textId="77777777" w:rsidR="00830E72" w:rsidRDefault="008344D8">
                    <w:pPr>
                      <w:rPr>
                        <w:szCs w:val="21"/>
                      </w:rPr>
                    </w:pPr>
                    <w:r>
                      <w:rPr>
                        <w:szCs w:val="21"/>
                      </w:rPr>
                      <w:t>是</w:t>
                    </w:r>
                  </w:p>
                </w:tc>
              </w:sdtContent>
            </w:sdt>
            <w:sdt>
              <w:sdtPr>
                <w:rPr>
                  <w:szCs w:val="21"/>
                </w:rPr>
                <w:alias w:val="与首次公开发行相关的承诺-是否及时严格履行"/>
                <w:tag w:val="_GBC_72e17878bcd24bdb95a1b0936940ee48"/>
                <w:id w:val="-1162239464"/>
                <w:lock w:val="sdtLocked"/>
                <w:comboBox>
                  <w:listItem w:displayText="是" w:value="true"/>
                  <w:listItem w:displayText="否" w:value="false"/>
                </w:comboBox>
              </w:sdtPr>
              <w:sdtEndPr/>
              <w:sdtContent>
                <w:tc>
                  <w:tcPr>
                    <w:tcW w:w="252" w:type="pct"/>
                    <w:shd w:val="clear" w:color="auto" w:fill="auto"/>
                    <w:vAlign w:val="center"/>
                  </w:tcPr>
                  <w:p w14:paraId="7874AA28" w14:textId="77777777" w:rsidR="00830E72" w:rsidRDefault="008344D8">
                    <w:pPr>
                      <w:rPr>
                        <w:szCs w:val="21"/>
                      </w:rPr>
                    </w:pPr>
                    <w:r>
                      <w:rPr>
                        <w:szCs w:val="21"/>
                      </w:rPr>
                      <w:t>是</w:t>
                    </w:r>
                  </w:p>
                </w:tc>
              </w:sdtContent>
            </w:sdt>
            <w:tc>
              <w:tcPr>
                <w:tcW w:w="502" w:type="pct"/>
                <w:shd w:val="clear" w:color="auto" w:fill="auto"/>
                <w:vAlign w:val="center"/>
              </w:tcPr>
              <w:p w14:paraId="2EB0C7EE" w14:textId="77777777" w:rsidR="00830E72" w:rsidRDefault="008344D8">
                <w:pPr>
                  <w:rPr>
                    <w:szCs w:val="21"/>
                  </w:rPr>
                </w:pPr>
                <w:r>
                  <w:t>不适用</w:t>
                </w:r>
              </w:p>
            </w:tc>
            <w:tc>
              <w:tcPr>
                <w:tcW w:w="332" w:type="pct"/>
                <w:shd w:val="clear" w:color="auto" w:fill="auto"/>
                <w:vAlign w:val="center"/>
              </w:tcPr>
              <w:p w14:paraId="4EF2B1A1" w14:textId="77777777" w:rsidR="00830E72" w:rsidRDefault="008344D8">
                <w:pPr>
                  <w:rPr>
                    <w:szCs w:val="21"/>
                  </w:rPr>
                </w:pPr>
                <w:r>
                  <w:t>不适用</w:t>
                </w:r>
              </w:p>
            </w:tc>
          </w:tr>
          <w:tr w:rsidR="00830E72" w14:paraId="66E2A725" w14:textId="77777777">
            <w:tc>
              <w:tcPr>
                <w:tcW w:w="547" w:type="pct"/>
                <w:vMerge/>
                <w:shd w:val="clear" w:color="auto" w:fill="auto"/>
                <w:vAlign w:val="center"/>
              </w:tcPr>
              <w:p w14:paraId="2C0C5CA1" w14:textId="77777777" w:rsidR="00830E72" w:rsidRDefault="00830E72">
                <w:pPr>
                  <w:rPr>
                    <w:szCs w:val="21"/>
                  </w:rPr>
                </w:pPr>
              </w:p>
            </w:tc>
            <w:sdt>
              <w:sdtPr>
                <w:rPr>
                  <w:szCs w:val="21"/>
                </w:rPr>
                <w:alias w:val="与首次公开发行相关的承诺-承诺类型"/>
                <w:tag w:val="_GBC_f0b3976fba3f46e4affc4364f69d8f5a"/>
                <w:id w:val="-57528448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2" w:type="pct"/>
                    <w:shd w:val="clear" w:color="auto" w:fill="auto"/>
                    <w:vAlign w:val="center"/>
                  </w:tcPr>
                  <w:p w14:paraId="714A5FCE" w14:textId="77777777" w:rsidR="00830E72" w:rsidRDefault="008344D8">
                    <w:pPr>
                      <w:rPr>
                        <w:szCs w:val="21"/>
                      </w:rPr>
                    </w:pPr>
                    <w:r>
                      <w:rPr>
                        <w:szCs w:val="21"/>
                      </w:rPr>
                      <w:t>股份限售</w:t>
                    </w:r>
                  </w:p>
                </w:tc>
              </w:sdtContent>
            </w:sdt>
            <w:tc>
              <w:tcPr>
                <w:tcW w:w="402" w:type="pct"/>
                <w:shd w:val="clear" w:color="auto" w:fill="auto"/>
                <w:vAlign w:val="center"/>
              </w:tcPr>
              <w:p w14:paraId="4D4A6170" w14:textId="77777777" w:rsidR="00830E72" w:rsidRDefault="008344D8">
                <w:pPr>
                  <w:rPr>
                    <w:szCs w:val="21"/>
                  </w:rPr>
                </w:pPr>
                <w:r>
                  <w:t>其他自然人股东赖志林、沈保山、干勇、黄桦、张芸、沈同彦、刘军</w:t>
                </w:r>
              </w:p>
            </w:tc>
            <w:tc>
              <w:tcPr>
                <w:tcW w:w="1909" w:type="pct"/>
                <w:shd w:val="clear" w:color="auto" w:fill="auto"/>
                <w:vAlign w:val="center"/>
              </w:tcPr>
              <w:p w14:paraId="3988EC6A" w14:textId="77777777" w:rsidR="00830E72" w:rsidRDefault="008344D8">
                <w:pPr>
                  <w:jc w:val="both"/>
                  <w:rPr>
                    <w:szCs w:val="21"/>
                  </w:rPr>
                </w:pPr>
                <w:r>
                  <w:t>本人自安徽交建股票发行上市之日起十二个月内，不转让或者委托他人管理本次发行前本人直接或间接持有的安徽交建股票，也不由安徽交建回购该部分股票。本人将严格遵守《公司法》、《证券法》、《上市公司股东、董监高减持股份的若干规定》（〔2017〕9号）、《上海证券交易所上市公司股东及董事、监事、高级管理人员减持股份实施细则》等相关规定或届时有效的规定。</w:t>
                </w:r>
              </w:p>
            </w:tc>
            <w:tc>
              <w:tcPr>
                <w:tcW w:w="402" w:type="pct"/>
                <w:shd w:val="clear" w:color="auto" w:fill="auto"/>
                <w:vAlign w:val="center"/>
              </w:tcPr>
              <w:p w14:paraId="54E27978" w14:textId="77777777" w:rsidR="00830E72" w:rsidRDefault="008344D8">
                <w:pPr>
                  <w:rPr>
                    <w:szCs w:val="21"/>
                  </w:rPr>
                </w:pPr>
                <w:r>
                  <w:t>自公司股票上市之日起1年内</w:t>
                </w:r>
              </w:p>
            </w:tc>
            <w:sdt>
              <w:sdtPr>
                <w:rPr>
                  <w:szCs w:val="21"/>
                </w:rPr>
                <w:alias w:val="与首次公开发行相关的承诺-是否有履行期限"/>
                <w:tag w:val="_GBC_1a64033131a64daa8e3bdd128e9385c8"/>
                <w:id w:val="1066913875"/>
                <w:lock w:val="sdtLocked"/>
                <w:comboBox>
                  <w:listItem w:displayText="是" w:value="true"/>
                  <w:listItem w:displayText="否" w:value="false"/>
                </w:comboBox>
              </w:sdtPr>
              <w:sdtEndPr/>
              <w:sdtContent>
                <w:tc>
                  <w:tcPr>
                    <w:tcW w:w="251" w:type="pct"/>
                    <w:shd w:val="clear" w:color="auto" w:fill="auto"/>
                    <w:vAlign w:val="center"/>
                  </w:tcPr>
                  <w:p w14:paraId="0F5ADE11" w14:textId="77777777" w:rsidR="00830E72" w:rsidRDefault="008344D8">
                    <w:pPr>
                      <w:rPr>
                        <w:szCs w:val="21"/>
                      </w:rPr>
                    </w:pPr>
                    <w:r>
                      <w:rPr>
                        <w:szCs w:val="21"/>
                      </w:rPr>
                      <w:t>是</w:t>
                    </w:r>
                  </w:p>
                </w:tc>
              </w:sdtContent>
            </w:sdt>
            <w:sdt>
              <w:sdtPr>
                <w:rPr>
                  <w:szCs w:val="21"/>
                </w:rPr>
                <w:alias w:val="与首次公开发行相关的承诺-是否及时严格履行"/>
                <w:tag w:val="_GBC_72e17878bcd24bdb95a1b0936940ee48"/>
                <w:id w:val="1884444852"/>
                <w:lock w:val="sdtLocked"/>
                <w:comboBox>
                  <w:listItem w:displayText="是" w:value="true"/>
                  <w:listItem w:displayText="否" w:value="false"/>
                </w:comboBox>
              </w:sdtPr>
              <w:sdtEndPr/>
              <w:sdtContent>
                <w:tc>
                  <w:tcPr>
                    <w:tcW w:w="252" w:type="pct"/>
                    <w:shd w:val="clear" w:color="auto" w:fill="auto"/>
                    <w:vAlign w:val="center"/>
                  </w:tcPr>
                  <w:p w14:paraId="2C05F41D" w14:textId="77777777" w:rsidR="00830E72" w:rsidRDefault="008344D8">
                    <w:pPr>
                      <w:rPr>
                        <w:szCs w:val="21"/>
                      </w:rPr>
                    </w:pPr>
                    <w:r>
                      <w:rPr>
                        <w:szCs w:val="21"/>
                      </w:rPr>
                      <w:t>是</w:t>
                    </w:r>
                  </w:p>
                </w:tc>
              </w:sdtContent>
            </w:sdt>
            <w:tc>
              <w:tcPr>
                <w:tcW w:w="502" w:type="pct"/>
                <w:shd w:val="clear" w:color="auto" w:fill="auto"/>
                <w:vAlign w:val="center"/>
              </w:tcPr>
              <w:p w14:paraId="7B72D060" w14:textId="77777777" w:rsidR="00830E72" w:rsidRDefault="008344D8">
                <w:pPr>
                  <w:rPr>
                    <w:szCs w:val="21"/>
                  </w:rPr>
                </w:pPr>
                <w:r>
                  <w:t>不适用</w:t>
                </w:r>
              </w:p>
            </w:tc>
            <w:tc>
              <w:tcPr>
                <w:tcW w:w="332" w:type="pct"/>
                <w:shd w:val="clear" w:color="auto" w:fill="auto"/>
                <w:vAlign w:val="center"/>
              </w:tcPr>
              <w:p w14:paraId="7EB0FCE4" w14:textId="77777777" w:rsidR="00830E72" w:rsidRDefault="008344D8">
                <w:pPr>
                  <w:rPr>
                    <w:szCs w:val="21"/>
                  </w:rPr>
                </w:pPr>
                <w:r>
                  <w:t>不适用</w:t>
                </w:r>
              </w:p>
            </w:tc>
          </w:tr>
          <w:tr w:rsidR="00830E72" w14:paraId="49F73A8A" w14:textId="77777777">
            <w:tc>
              <w:tcPr>
                <w:tcW w:w="547" w:type="pct"/>
                <w:vMerge/>
                <w:shd w:val="clear" w:color="auto" w:fill="auto"/>
                <w:vAlign w:val="center"/>
              </w:tcPr>
              <w:p w14:paraId="20331B13" w14:textId="77777777" w:rsidR="00830E72" w:rsidRDefault="00830E72">
                <w:pPr>
                  <w:rPr>
                    <w:szCs w:val="21"/>
                  </w:rPr>
                </w:pPr>
              </w:p>
            </w:tc>
            <w:sdt>
              <w:sdtPr>
                <w:rPr>
                  <w:szCs w:val="21"/>
                </w:rPr>
                <w:alias w:val="与首次公开发行相关的承诺-承诺类型"/>
                <w:tag w:val="_GBC_f0b3976fba3f46e4affc4364f69d8f5a"/>
                <w:id w:val="144712220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2" w:type="pct"/>
                    <w:shd w:val="clear" w:color="auto" w:fill="auto"/>
                    <w:vAlign w:val="center"/>
                  </w:tcPr>
                  <w:p w14:paraId="63A25934" w14:textId="77777777" w:rsidR="00830E72" w:rsidRDefault="008344D8">
                    <w:pPr>
                      <w:rPr>
                        <w:szCs w:val="21"/>
                      </w:rPr>
                    </w:pPr>
                    <w:r>
                      <w:rPr>
                        <w:szCs w:val="21"/>
                      </w:rPr>
                      <w:t>其他</w:t>
                    </w:r>
                  </w:p>
                </w:tc>
              </w:sdtContent>
            </w:sdt>
            <w:tc>
              <w:tcPr>
                <w:tcW w:w="402" w:type="pct"/>
                <w:shd w:val="clear" w:color="auto" w:fill="auto"/>
                <w:vAlign w:val="center"/>
              </w:tcPr>
              <w:p w14:paraId="66450DA9" w14:textId="77777777" w:rsidR="00830E72" w:rsidRDefault="008344D8">
                <w:r>
                  <w:t>公司</w:t>
                </w:r>
              </w:p>
            </w:tc>
            <w:tc>
              <w:tcPr>
                <w:tcW w:w="1909" w:type="pct"/>
                <w:shd w:val="clear" w:color="auto" w:fill="auto"/>
                <w:vAlign w:val="center"/>
              </w:tcPr>
              <w:p w14:paraId="0229EA35" w14:textId="77777777" w:rsidR="00830E72" w:rsidRDefault="008344D8">
                <w:pPr>
                  <w:jc w:val="both"/>
                </w:pPr>
                <w:r>
                  <w:t>1、本公司将严格按照《稳定股价预案》之规定全面且有效地履行、承担本公司在《稳定股价预案》项下的各项义务和责任。2、本公司将极力敦促其他相关方严格按照《稳定股价预案》之规定全面且有效地履行、承担其在《稳定股价预案》项下的各项义务和责任。3、在触发本公司回购股票的条件成就时，如本公司未按照《稳定股价预案》规定采取稳定股价的具体措施，本公司将在股东大会及中国证监会指定的报刊上公开说明未采取稳定股价措施的具体原因并向股东和社会公共投资者道歉，同时在限期内继续履行稳定股价的具体措施；如本公司董事会未在回购条件满足后10日内审议通过回购股票方案的，本公司将延期向董事发放除基本工资以外的薪酬、津贴及公司股东分红（如有），同时其持有的股份（如有）不得转让，直至董事会审议通过回购股票方案之日止；本公司股东大会未在董事会审议通过回购股票方案之日起30日内审议通</w:t>
                </w:r>
                <w:r>
                  <w:lastRenderedPageBreak/>
                  <w:t>过回购股票方案的，本公司将实施强制分红，但在股东大会审议通过回购股票方案前，本公司股东不得领取前述分红。4、在触发本公司控股股东增持股票条件成就时，如控股股东未按照《稳定股价预案》采取增持股票的具体措施，本公司将延期向控股股东发放公司股东分红，同时控股股东持有的本公司股份将不得转让，直至控股股东按照《稳定股价预案》的规定采取相应的增持股票措施实施完毕为止。5、在触发本公司董事、高级管理人员增持公司股票的条件成就时，如董事、高级管理人员未按照《稳定股价预案》采取增持股票的具体措施，本公司将延期向董事、高级管理人员发放除基本工资外的薪酬、津贴及公司股东分红（如有），同时其持有的股份（如有）不得转让，直至其按照《稳定股价预案》的规定采取相应的增持股票措施并实施完毕为止。6、在本公司新聘任董事和高级管理人员时，本公司将确保该等人员遵守《稳定股价预案》的规定，并签订相应书面承诺。</w:t>
                </w:r>
              </w:p>
            </w:tc>
            <w:tc>
              <w:tcPr>
                <w:tcW w:w="402" w:type="pct"/>
                <w:shd w:val="clear" w:color="auto" w:fill="auto"/>
                <w:vAlign w:val="center"/>
              </w:tcPr>
              <w:p w14:paraId="1D0AB69E" w14:textId="77777777" w:rsidR="00830E72" w:rsidRDefault="008344D8">
                <w:r>
                  <w:lastRenderedPageBreak/>
                  <w:t>自公司股票上市之日起3年内</w:t>
                </w:r>
              </w:p>
            </w:tc>
            <w:sdt>
              <w:sdtPr>
                <w:rPr>
                  <w:szCs w:val="21"/>
                </w:rPr>
                <w:alias w:val="与首次公开发行相关的承诺-是否有履行期限"/>
                <w:tag w:val="_GBC_1a64033131a64daa8e3bdd128e9385c8"/>
                <w:id w:val="1868564847"/>
                <w:lock w:val="sdtLocked"/>
                <w:comboBox>
                  <w:listItem w:displayText="是" w:value="true"/>
                  <w:listItem w:displayText="否" w:value="false"/>
                </w:comboBox>
              </w:sdtPr>
              <w:sdtEndPr/>
              <w:sdtContent>
                <w:tc>
                  <w:tcPr>
                    <w:tcW w:w="251" w:type="pct"/>
                    <w:shd w:val="clear" w:color="auto" w:fill="auto"/>
                    <w:vAlign w:val="center"/>
                  </w:tcPr>
                  <w:p w14:paraId="3F0C8A31" w14:textId="77777777" w:rsidR="00830E72" w:rsidRDefault="008344D8">
                    <w:pPr>
                      <w:rPr>
                        <w:szCs w:val="21"/>
                      </w:rPr>
                    </w:pPr>
                    <w:r>
                      <w:rPr>
                        <w:szCs w:val="21"/>
                      </w:rPr>
                      <w:t>是</w:t>
                    </w:r>
                  </w:p>
                </w:tc>
              </w:sdtContent>
            </w:sdt>
            <w:sdt>
              <w:sdtPr>
                <w:rPr>
                  <w:szCs w:val="21"/>
                </w:rPr>
                <w:alias w:val="与首次公开发行相关的承诺-是否及时严格履行"/>
                <w:tag w:val="_GBC_72e17878bcd24bdb95a1b0936940ee48"/>
                <w:id w:val="681641114"/>
                <w:lock w:val="sdtLocked"/>
                <w:comboBox>
                  <w:listItem w:displayText="是" w:value="true"/>
                  <w:listItem w:displayText="否" w:value="false"/>
                </w:comboBox>
              </w:sdtPr>
              <w:sdtEndPr/>
              <w:sdtContent>
                <w:tc>
                  <w:tcPr>
                    <w:tcW w:w="252" w:type="pct"/>
                    <w:shd w:val="clear" w:color="auto" w:fill="auto"/>
                    <w:vAlign w:val="center"/>
                  </w:tcPr>
                  <w:p w14:paraId="5F1E4C85" w14:textId="77777777" w:rsidR="00830E72" w:rsidRDefault="008344D8">
                    <w:pPr>
                      <w:rPr>
                        <w:szCs w:val="21"/>
                      </w:rPr>
                    </w:pPr>
                    <w:r>
                      <w:rPr>
                        <w:szCs w:val="21"/>
                      </w:rPr>
                      <w:t>是</w:t>
                    </w:r>
                  </w:p>
                </w:tc>
              </w:sdtContent>
            </w:sdt>
            <w:tc>
              <w:tcPr>
                <w:tcW w:w="502" w:type="pct"/>
                <w:shd w:val="clear" w:color="auto" w:fill="auto"/>
                <w:vAlign w:val="center"/>
              </w:tcPr>
              <w:p w14:paraId="286A788A" w14:textId="77777777" w:rsidR="00830E72" w:rsidRDefault="008344D8">
                <w:r>
                  <w:t>不适用</w:t>
                </w:r>
              </w:p>
            </w:tc>
            <w:tc>
              <w:tcPr>
                <w:tcW w:w="332" w:type="pct"/>
                <w:shd w:val="clear" w:color="auto" w:fill="auto"/>
                <w:vAlign w:val="center"/>
              </w:tcPr>
              <w:p w14:paraId="179F0107" w14:textId="77777777" w:rsidR="00830E72" w:rsidRDefault="008344D8">
                <w:r>
                  <w:t>不适用</w:t>
                </w:r>
              </w:p>
            </w:tc>
          </w:tr>
          <w:tr w:rsidR="00830E72" w14:paraId="6689044F" w14:textId="77777777">
            <w:tc>
              <w:tcPr>
                <w:tcW w:w="547" w:type="pct"/>
                <w:vMerge/>
                <w:shd w:val="clear" w:color="auto" w:fill="auto"/>
                <w:vAlign w:val="center"/>
              </w:tcPr>
              <w:p w14:paraId="2C8DA789" w14:textId="77777777" w:rsidR="00830E72" w:rsidRDefault="00830E72">
                <w:pPr>
                  <w:rPr>
                    <w:szCs w:val="21"/>
                  </w:rPr>
                </w:pPr>
              </w:p>
            </w:tc>
            <w:sdt>
              <w:sdtPr>
                <w:rPr>
                  <w:szCs w:val="21"/>
                </w:rPr>
                <w:alias w:val="与首次公开发行相关的承诺-承诺类型"/>
                <w:tag w:val="_GBC_f0b3976fba3f46e4affc4364f69d8f5a"/>
                <w:id w:val="-71334795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2" w:type="pct"/>
                    <w:shd w:val="clear" w:color="auto" w:fill="auto"/>
                    <w:vAlign w:val="center"/>
                  </w:tcPr>
                  <w:p w14:paraId="5160FFB8" w14:textId="77777777" w:rsidR="00830E72" w:rsidRDefault="008344D8">
                    <w:pPr>
                      <w:rPr>
                        <w:szCs w:val="21"/>
                      </w:rPr>
                    </w:pPr>
                    <w:r>
                      <w:rPr>
                        <w:szCs w:val="21"/>
                      </w:rPr>
                      <w:t>其他</w:t>
                    </w:r>
                  </w:p>
                </w:tc>
              </w:sdtContent>
            </w:sdt>
            <w:tc>
              <w:tcPr>
                <w:tcW w:w="402" w:type="pct"/>
                <w:shd w:val="clear" w:color="auto" w:fill="auto"/>
                <w:vAlign w:val="center"/>
              </w:tcPr>
              <w:p w14:paraId="113F2497" w14:textId="77777777" w:rsidR="00830E72" w:rsidRDefault="008344D8">
                <w:r>
                  <w:t>控股股东祥源控股</w:t>
                </w:r>
              </w:p>
            </w:tc>
            <w:tc>
              <w:tcPr>
                <w:tcW w:w="1909" w:type="pct"/>
                <w:shd w:val="clear" w:color="auto" w:fill="auto"/>
                <w:vAlign w:val="center"/>
              </w:tcPr>
              <w:p w14:paraId="3E6B7A2A" w14:textId="77777777" w:rsidR="00830E72" w:rsidRDefault="008344D8">
                <w:pPr>
                  <w:jc w:val="both"/>
                </w:pPr>
                <w:r>
                  <w:t>1、本公司将严格按照《稳定股价预案》之规定全面且有效地履行、承担本公司在《稳定股价预案》项下的各项义务和责任。2、本公司将积极敦促安徽交建及其他相关方严格按照《稳定股价预案》之规定全面且有效地履行、承担其在《稳定股价预案》项下的各项义务和责任。3、在触发本公司增持安徽交建的股票条件成就时，如本公司未按照《稳定股价预案》采取增持股票的具体措施，将在安徽交建股东大会及中国证监会指定的报刊上公开说明未采取增持股票措施的具体原因并向安徽交建股东和社会公众投资者道歉，同时将在限期内继续履行增持股票的具体措施；本公司将自违反《稳定股价预案》之日起，将延期领取股东分红，同时本公司持有的安徽交建的股份将不得转让，直至按照《稳定股价预案》的规定采取相应的增持股票措施并实施完毕为止。4、如安徽交建未遵守《稳定股价预案》，本公司将督促安徽交建履行《稳定股价预</w:t>
                </w:r>
                <w:r>
                  <w:lastRenderedPageBreak/>
                  <w:t>案》，并提议召开相关董事会会议或股东大会会议并对有关议案投赞成票。</w:t>
                </w:r>
              </w:p>
            </w:tc>
            <w:tc>
              <w:tcPr>
                <w:tcW w:w="402" w:type="pct"/>
                <w:shd w:val="clear" w:color="auto" w:fill="auto"/>
                <w:vAlign w:val="center"/>
              </w:tcPr>
              <w:p w14:paraId="3C3A77C6" w14:textId="77777777" w:rsidR="00830E72" w:rsidRDefault="008344D8">
                <w:r>
                  <w:lastRenderedPageBreak/>
                  <w:t>自公司股票上市之日起3年内</w:t>
                </w:r>
              </w:p>
            </w:tc>
            <w:sdt>
              <w:sdtPr>
                <w:rPr>
                  <w:szCs w:val="21"/>
                </w:rPr>
                <w:alias w:val="与首次公开发行相关的承诺-是否有履行期限"/>
                <w:tag w:val="_GBC_1a64033131a64daa8e3bdd128e9385c8"/>
                <w:id w:val="-332146240"/>
                <w:lock w:val="sdtLocked"/>
                <w:comboBox>
                  <w:listItem w:displayText="是" w:value="true"/>
                  <w:listItem w:displayText="否" w:value="false"/>
                </w:comboBox>
              </w:sdtPr>
              <w:sdtEndPr/>
              <w:sdtContent>
                <w:tc>
                  <w:tcPr>
                    <w:tcW w:w="251" w:type="pct"/>
                    <w:shd w:val="clear" w:color="auto" w:fill="auto"/>
                    <w:vAlign w:val="center"/>
                  </w:tcPr>
                  <w:p w14:paraId="2A11AA97" w14:textId="77777777" w:rsidR="00830E72" w:rsidRDefault="008344D8">
                    <w:pPr>
                      <w:rPr>
                        <w:szCs w:val="21"/>
                      </w:rPr>
                    </w:pPr>
                    <w:r>
                      <w:rPr>
                        <w:szCs w:val="21"/>
                      </w:rPr>
                      <w:t>是</w:t>
                    </w:r>
                  </w:p>
                </w:tc>
              </w:sdtContent>
            </w:sdt>
            <w:sdt>
              <w:sdtPr>
                <w:rPr>
                  <w:szCs w:val="21"/>
                </w:rPr>
                <w:alias w:val="与首次公开发行相关的承诺-是否及时严格履行"/>
                <w:tag w:val="_GBC_72e17878bcd24bdb95a1b0936940ee48"/>
                <w:id w:val="-48925933"/>
                <w:lock w:val="sdtLocked"/>
                <w:comboBox>
                  <w:listItem w:displayText="是" w:value="true"/>
                  <w:listItem w:displayText="否" w:value="false"/>
                </w:comboBox>
              </w:sdtPr>
              <w:sdtEndPr/>
              <w:sdtContent>
                <w:tc>
                  <w:tcPr>
                    <w:tcW w:w="252" w:type="pct"/>
                    <w:shd w:val="clear" w:color="auto" w:fill="auto"/>
                    <w:vAlign w:val="center"/>
                  </w:tcPr>
                  <w:p w14:paraId="02CA3D86" w14:textId="77777777" w:rsidR="00830E72" w:rsidRDefault="008344D8">
                    <w:pPr>
                      <w:rPr>
                        <w:szCs w:val="21"/>
                      </w:rPr>
                    </w:pPr>
                    <w:r>
                      <w:rPr>
                        <w:szCs w:val="21"/>
                      </w:rPr>
                      <w:t>是</w:t>
                    </w:r>
                  </w:p>
                </w:tc>
              </w:sdtContent>
            </w:sdt>
            <w:tc>
              <w:tcPr>
                <w:tcW w:w="502" w:type="pct"/>
                <w:shd w:val="clear" w:color="auto" w:fill="auto"/>
                <w:vAlign w:val="center"/>
              </w:tcPr>
              <w:p w14:paraId="23A6E8EA" w14:textId="77777777" w:rsidR="00830E72" w:rsidRDefault="008344D8">
                <w:r>
                  <w:t>不适用</w:t>
                </w:r>
              </w:p>
            </w:tc>
            <w:tc>
              <w:tcPr>
                <w:tcW w:w="332" w:type="pct"/>
                <w:shd w:val="clear" w:color="auto" w:fill="auto"/>
                <w:vAlign w:val="center"/>
              </w:tcPr>
              <w:p w14:paraId="55422B6E" w14:textId="77777777" w:rsidR="00830E72" w:rsidRDefault="008344D8">
                <w:r>
                  <w:t>不适用</w:t>
                </w:r>
              </w:p>
            </w:tc>
          </w:tr>
          <w:tr w:rsidR="00830E72" w14:paraId="027101EF" w14:textId="77777777">
            <w:tc>
              <w:tcPr>
                <w:tcW w:w="547" w:type="pct"/>
                <w:vMerge/>
                <w:shd w:val="clear" w:color="auto" w:fill="auto"/>
                <w:vAlign w:val="center"/>
              </w:tcPr>
              <w:p w14:paraId="31773360" w14:textId="77777777" w:rsidR="00830E72" w:rsidRDefault="00830E72">
                <w:pPr>
                  <w:rPr>
                    <w:szCs w:val="21"/>
                  </w:rPr>
                </w:pPr>
              </w:p>
            </w:tc>
            <w:sdt>
              <w:sdtPr>
                <w:rPr>
                  <w:szCs w:val="21"/>
                </w:rPr>
                <w:alias w:val="与首次公开发行相关的承诺-承诺类型"/>
                <w:tag w:val="_GBC_f0b3976fba3f46e4affc4364f69d8f5a"/>
                <w:id w:val="-25652133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2" w:type="pct"/>
                    <w:shd w:val="clear" w:color="auto" w:fill="auto"/>
                    <w:vAlign w:val="center"/>
                  </w:tcPr>
                  <w:p w14:paraId="44FABA33" w14:textId="77777777" w:rsidR="00830E72" w:rsidRDefault="008344D8">
                    <w:pPr>
                      <w:rPr>
                        <w:szCs w:val="21"/>
                      </w:rPr>
                    </w:pPr>
                    <w:r>
                      <w:rPr>
                        <w:szCs w:val="21"/>
                      </w:rPr>
                      <w:t>其他</w:t>
                    </w:r>
                  </w:p>
                </w:tc>
              </w:sdtContent>
            </w:sdt>
            <w:tc>
              <w:tcPr>
                <w:tcW w:w="402" w:type="pct"/>
                <w:shd w:val="clear" w:color="auto" w:fill="auto"/>
                <w:vAlign w:val="center"/>
              </w:tcPr>
              <w:p w14:paraId="61C60593" w14:textId="77777777" w:rsidR="00830E72" w:rsidRDefault="008344D8">
                <w:r>
                  <w:t>实际控制人俞发祥</w:t>
                </w:r>
              </w:p>
            </w:tc>
            <w:tc>
              <w:tcPr>
                <w:tcW w:w="1909" w:type="pct"/>
                <w:shd w:val="clear" w:color="auto" w:fill="auto"/>
                <w:vAlign w:val="center"/>
              </w:tcPr>
              <w:p w14:paraId="04D0CA72" w14:textId="77777777" w:rsidR="00830E72" w:rsidRDefault="008344D8">
                <w:pPr>
                  <w:jc w:val="both"/>
                </w:pPr>
                <w:r>
                  <w:t>1、本人将严格按照《稳定股价预案》之规定全面且有效地履行、承担本人在《稳定股价预案》项下的各项义务和责任。2、本人将积极敦促安徽交建及其他相关方严格按照《稳定股价预案》之规定全面且有效地履行、承担其在《稳定股价预案》项下的各项义务和责任。3、如祥源控股集团有限责任公司未遵守《稳定股价预案》，本人将督促祥源控股集团有限责任公司履行《稳定股价预案》，并提议召开相关董事会会议或股东会会议并对有关议案投赞成票。</w:t>
                </w:r>
              </w:p>
            </w:tc>
            <w:tc>
              <w:tcPr>
                <w:tcW w:w="402" w:type="pct"/>
                <w:shd w:val="clear" w:color="auto" w:fill="auto"/>
                <w:vAlign w:val="center"/>
              </w:tcPr>
              <w:p w14:paraId="58F33C6C" w14:textId="77777777" w:rsidR="00830E72" w:rsidRDefault="008344D8">
                <w:r>
                  <w:t>自公司股票上市之日起3年内</w:t>
                </w:r>
              </w:p>
            </w:tc>
            <w:sdt>
              <w:sdtPr>
                <w:rPr>
                  <w:szCs w:val="21"/>
                </w:rPr>
                <w:alias w:val="与首次公开发行相关的承诺-是否有履行期限"/>
                <w:tag w:val="_GBC_1a64033131a64daa8e3bdd128e9385c8"/>
                <w:id w:val="1571694694"/>
                <w:lock w:val="sdtLocked"/>
                <w:comboBox>
                  <w:listItem w:displayText="是" w:value="true"/>
                  <w:listItem w:displayText="否" w:value="false"/>
                </w:comboBox>
              </w:sdtPr>
              <w:sdtEndPr/>
              <w:sdtContent>
                <w:tc>
                  <w:tcPr>
                    <w:tcW w:w="251" w:type="pct"/>
                    <w:shd w:val="clear" w:color="auto" w:fill="auto"/>
                    <w:vAlign w:val="center"/>
                  </w:tcPr>
                  <w:p w14:paraId="0661E03E" w14:textId="77777777" w:rsidR="00830E72" w:rsidRDefault="008344D8">
                    <w:pPr>
                      <w:rPr>
                        <w:szCs w:val="21"/>
                      </w:rPr>
                    </w:pPr>
                    <w:r>
                      <w:rPr>
                        <w:szCs w:val="21"/>
                      </w:rPr>
                      <w:t>是</w:t>
                    </w:r>
                  </w:p>
                </w:tc>
              </w:sdtContent>
            </w:sdt>
            <w:sdt>
              <w:sdtPr>
                <w:rPr>
                  <w:szCs w:val="21"/>
                </w:rPr>
                <w:alias w:val="与首次公开发行相关的承诺-是否及时严格履行"/>
                <w:tag w:val="_GBC_72e17878bcd24bdb95a1b0936940ee48"/>
                <w:id w:val="316155183"/>
                <w:lock w:val="sdtLocked"/>
                <w:comboBox>
                  <w:listItem w:displayText="是" w:value="true"/>
                  <w:listItem w:displayText="否" w:value="false"/>
                </w:comboBox>
              </w:sdtPr>
              <w:sdtEndPr/>
              <w:sdtContent>
                <w:tc>
                  <w:tcPr>
                    <w:tcW w:w="252" w:type="pct"/>
                    <w:shd w:val="clear" w:color="auto" w:fill="auto"/>
                    <w:vAlign w:val="center"/>
                  </w:tcPr>
                  <w:p w14:paraId="73E4584D" w14:textId="77777777" w:rsidR="00830E72" w:rsidRDefault="008344D8">
                    <w:pPr>
                      <w:rPr>
                        <w:szCs w:val="21"/>
                      </w:rPr>
                    </w:pPr>
                    <w:r>
                      <w:rPr>
                        <w:szCs w:val="21"/>
                      </w:rPr>
                      <w:t>是</w:t>
                    </w:r>
                  </w:p>
                </w:tc>
              </w:sdtContent>
            </w:sdt>
            <w:tc>
              <w:tcPr>
                <w:tcW w:w="502" w:type="pct"/>
                <w:shd w:val="clear" w:color="auto" w:fill="auto"/>
                <w:vAlign w:val="center"/>
              </w:tcPr>
              <w:p w14:paraId="1A1C8181" w14:textId="77777777" w:rsidR="00830E72" w:rsidRDefault="008344D8">
                <w:r>
                  <w:t>不适用</w:t>
                </w:r>
              </w:p>
            </w:tc>
            <w:tc>
              <w:tcPr>
                <w:tcW w:w="332" w:type="pct"/>
                <w:shd w:val="clear" w:color="auto" w:fill="auto"/>
                <w:vAlign w:val="center"/>
              </w:tcPr>
              <w:p w14:paraId="52A0EB55" w14:textId="77777777" w:rsidR="00830E72" w:rsidRDefault="008344D8">
                <w:r>
                  <w:t>不适用</w:t>
                </w:r>
              </w:p>
            </w:tc>
          </w:tr>
          <w:tr w:rsidR="00830E72" w14:paraId="7CF6A691" w14:textId="77777777">
            <w:tc>
              <w:tcPr>
                <w:tcW w:w="547" w:type="pct"/>
                <w:vMerge/>
                <w:shd w:val="clear" w:color="auto" w:fill="auto"/>
                <w:vAlign w:val="center"/>
              </w:tcPr>
              <w:p w14:paraId="4463F06F" w14:textId="77777777" w:rsidR="00830E72" w:rsidRDefault="00830E72">
                <w:pPr>
                  <w:rPr>
                    <w:szCs w:val="21"/>
                  </w:rPr>
                </w:pPr>
              </w:p>
            </w:tc>
            <w:sdt>
              <w:sdtPr>
                <w:rPr>
                  <w:szCs w:val="21"/>
                </w:rPr>
                <w:alias w:val="与首次公开发行相关的承诺-承诺类型"/>
                <w:tag w:val="_GBC_f0b3976fba3f46e4affc4364f69d8f5a"/>
                <w:id w:val="-114465954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2" w:type="pct"/>
                    <w:shd w:val="clear" w:color="auto" w:fill="auto"/>
                    <w:vAlign w:val="center"/>
                  </w:tcPr>
                  <w:p w14:paraId="490BBE86" w14:textId="77777777" w:rsidR="00830E72" w:rsidRDefault="008344D8">
                    <w:pPr>
                      <w:rPr>
                        <w:szCs w:val="21"/>
                      </w:rPr>
                    </w:pPr>
                    <w:r>
                      <w:rPr>
                        <w:szCs w:val="21"/>
                      </w:rPr>
                      <w:t>其他</w:t>
                    </w:r>
                  </w:p>
                </w:tc>
              </w:sdtContent>
            </w:sdt>
            <w:tc>
              <w:tcPr>
                <w:tcW w:w="402" w:type="pct"/>
                <w:shd w:val="clear" w:color="auto" w:fill="auto"/>
                <w:vAlign w:val="center"/>
              </w:tcPr>
              <w:p w14:paraId="6298F03F" w14:textId="77777777" w:rsidR="00830E72" w:rsidRDefault="008344D8">
                <w:r>
                  <w:t>董事、高级管理人员</w:t>
                </w:r>
              </w:p>
            </w:tc>
            <w:tc>
              <w:tcPr>
                <w:tcW w:w="1909" w:type="pct"/>
                <w:shd w:val="clear" w:color="auto" w:fill="auto"/>
                <w:vAlign w:val="center"/>
              </w:tcPr>
              <w:p w14:paraId="20458B5D" w14:textId="77777777" w:rsidR="00830E72" w:rsidRDefault="008344D8">
                <w:pPr>
                  <w:jc w:val="both"/>
                </w:pPr>
                <w:r>
                  <w:t>1、本人将严格按照《稳定股价预案》之规定全面且有效地履行、承担本人在《稳定股价预案》项下的各项义务和责任。2、本人将积极敦促安徽交建及其他相关方严格按照《稳定股价预案》之规定全面且有效地履行、承担其在《稳定股价预案》项下的各项义务和责任。3、在触发安徽交建董事、高级管理人员增持公司股票的条件成就时，如本人未按照《稳定股价预案》的规定采取增持股票的具体措施，将在安徽交建的股东大会及中国证监会指定的报刊上公开说明未采取增持股票措施的具体原因并向安徽交建股东和社会公众投资者道歉，同时将在限期内继续履行增持股票的具体措施；本人自违反《稳定股价预案》之日起，将延期领取除基本工资外的薪酬、津贴及股东分红（如有），同时本人持有的安徽交建的股份将不得转让，直至本人按照《稳定股价预案》的规定采取相应的增持股票措施并实施完毕为止。</w:t>
                </w:r>
              </w:p>
            </w:tc>
            <w:tc>
              <w:tcPr>
                <w:tcW w:w="402" w:type="pct"/>
                <w:shd w:val="clear" w:color="auto" w:fill="auto"/>
                <w:vAlign w:val="center"/>
              </w:tcPr>
              <w:p w14:paraId="27002689" w14:textId="77777777" w:rsidR="00830E72" w:rsidRDefault="008344D8">
                <w:r>
                  <w:t>自公司股票上市之日起3年内</w:t>
                </w:r>
              </w:p>
            </w:tc>
            <w:sdt>
              <w:sdtPr>
                <w:rPr>
                  <w:szCs w:val="21"/>
                </w:rPr>
                <w:alias w:val="与首次公开发行相关的承诺-是否有履行期限"/>
                <w:tag w:val="_GBC_1a64033131a64daa8e3bdd128e9385c8"/>
                <w:id w:val="-726684200"/>
                <w:lock w:val="sdtLocked"/>
                <w:comboBox>
                  <w:listItem w:displayText="是" w:value="true"/>
                  <w:listItem w:displayText="否" w:value="false"/>
                </w:comboBox>
              </w:sdtPr>
              <w:sdtEndPr/>
              <w:sdtContent>
                <w:tc>
                  <w:tcPr>
                    <w:tcW w:w="251" w:type="pct"/>
                    <w:shd w:val="clear" w:color="auto" w:fill="auto"/>
                    <w:vAlign w:val="center"/>
                  </w:tcPr>
                  <w:p w14:paraId="4BD30EA4" w14:textId="77777777" w:rsidR="00830E72" w:rsidRDefault="008344D8">
                    <w:pPr>
                      <w:rPr>
                        <w:szCs w:val="21"/>
                      </w:rPr>
                    </w:pPr>
                    <w:r>
                      <w:rPr>
                        <w:szCs w:val="21"/>
                      </w:rPr>
                      <w:t>是</w:t>
                    </w:r>
                  </w:p>
                </w:tc>
              </w:sdtContent>
            </w:sdt>
            <w:sdt>
              <w:sdtPr>
                <w:rPr>
                  <w:szCs w:val="21"/>
                </w:rPr>
                <w:alias w:val="与首次公开发行相关的承诺-是否及时严格履行"/>
                <w:tag w:val="_GBC_72e17878bcd24bdb95a1b0936940ee48"/>
                <w:id w:val="-1890558899"/>
                <w:lock w:val="sdtLocked"/>
                <w:comboBox>
                  <w:listItem w:displayText="是" w:value="true"/>
                  <w:listItem w:displayText="否" w:value="false"/>
                </w:comboBox>
              </w:sdtPr>
              <w:sdtEndPr/>
              <w:sdtContent>
                <w:tc>
                  <w:tcPr>
                    <w:tcW w:w="252" w:type="pct"/>
                    <w:shd w:val="clear" w:color="auto" w:fill="auto"/>
                    <w:vAlign w:val="center"/>
                  </w:tcPr>
                  <w:p w14:paraId="7AE57E3E" w14:textId="77777777" w:rsidR="00830E72" w:rsidRDefault="008344D8">
                    <w:pPr>
                      <w:rPr>
                        <w:szCs w:val="21"/>
                      </w:rPr>
                    </w:pPr>
                    <w:r>
                      <w:rPr>
                        <w:szCs w:val="21"/>
                      </w:rPr>
                      <w:t>是</w:t>
                    </w:r>
                  </w:p>
                </w:tc>
              </w:sdtContent>
            </w:sdt>
            <w:tc>
              <w:tcPr>
                <w:tcW w:w="502" w:type="pct"/>
                <w:shd w:val="clear" w:color="auto" w:fill="auto"/>
                <w:vAlign w:val="center"/>
              </w:tcPr>
              <w:p w14:paraId="51291A77" w14:textId="77777777" w:rsidR="00830E72" w:rsidRDefault="008344D8">
                <w:r>
                  <w:t>不适用</w:t>
                </w:r>
              </w:p>
            </w:tc>
            <w:tc>
              <w:tcPr>
                <w:tcW w:w="332" w:type="pct"/>
                <w:shd w:val="clear" w:color="auto" w:fill="auto"/>
                <w:vAlign w:val="center"/>
              </w:tcPr>
              <w:p w14:paraId="30E93082" w14:textId="77777777" w:rsidR="00830E72" w:rsidRDefault="008344D8">
                <w:r>
                  <w:t>不适用</w:t>
                </w:r>
              </w:p>
            </w:tc>
          </w:tr>
          <w:tr w:rsidR="00830E72" w14:paraId="4D0DB60D" w14:textId="77777777">
            <w:tc>
              <w:tcPr>
                <w:tcW w:w="547" w:type="pct"/>
                <w:vMerge/>
                <w:shd w:val="clear" w:color="auto" w:fill="auto"/>
                <w:vAlign w:val="center"/>
              </w:tcPr>
              <w:p w14:paraId="1D61037C" w14:textId="77777777" w:rsidR="00830E72" w:rsidRDefault="00830E72">
                <w:pPr>
                  <w:rPr>
                    <w:szCs w:val="21"/>
                  </w:rPr>
                </w:pPr>
              </w:p>
            </w:tc>
            <w:sdt>
              <w:sdtPr>
                <w:rPr>
                  <w:szCs w:val="21"/>
                </w:rPr>
                <w:alias w:val="与首次公开发行相关的承诺-承诺类型"/>
                <w:tag w:val="_GBC_f0b3976fba3f46e4affc4364f69d8f5a"/>
                <w:id w:val="99206672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2" w:type="pct"/>
                    <w:shd w:val="clear" w:color="auto" w:fill="auto"/>
                    <w:vAlign w:val="center"/>
                  </w:tcPr>
                  <w:p w14:paraId="2DCF7ACC" w14:textId="77777777" w:rsidR="00830E72" w:rsidRDefault="008344D8">
                    <w:pPr>
                      <w:rPr>
                        <w:szCs w:val="21"/>
                      </w:rPr>
                    </w:pPr>
                    <w:r>
                      <w:rPr>
                        <w:szCs w:val="21"/>
                      </w:rPr>
                      <w:t>其他</w:t>
                    </w:r>
                  </w:p>
                </w:tc>
              </w:sdtContent>
            </w:sdt>
            <w:tc>
              <w:tcPr>
                <w:tcW w:w="402" w:type="pct"/>
                <w:shd w:val="clear" w:color="auto" w:fill="auto"/>
                <w:vAlign w:val="center"/>
              </w:tcPr>
              <w:p w14:paraId="0BA6BA48" w14:textId="77777777" w:rsidR="00830E72" w:rsidRDefault="008344D8">
                <w:r>
                  <w:t>控股股东祥源控股、实际控制人俞发祥</w:t>
                </w:r>
              </w:p>
            </w:tc>
            <w:tc>
              <w:tcPr>
                <w:tcW w:w="1909" w:type="pct"/>
                <w:shd w:val="clear" w:color="auto" w:fill="auto"/>
                <w:vAlign w:val="center"/>
              </w:tcPr>
              <w:p w14:paraId="16450B4A" w14:textId="77777777" w:rsidR="00830E72" w:rsidRDefault="008344D8">
                <w:r>
                  <w:t>本公司/本人承诺不越权干预安徽交建经营管理活动，不侵占安徽交建利益。本公司/本人承诺切实履行安徽交建制定的有关填补回报的相关措施以及本公司/本人对此作出的任何有关填补回报措施的承诺，若本公司/本人违反该等承诺并给公司或者投资者造成损失的，本公司/本人</w:t>
                </w:r>
                <w:r>
                  <w:lastRenderedPageBreak/>
                  <w:t>愿意依法承担对安徽交建或者投资者的补偿责任。</w:t>
                </w:r>
              </w:p>
            </w:tc>
            <w:tc>
              <w:tcPr>
                <w:tcW w:w="402" w:type="pct"/>
                <w:shd w:val="clear" w:color="auto" w:fill="auto"/>
                <w:vAlign w:val="center"/>
              </w:tcPr>
              <w:p w14:paraId="71CED306" w14:textId="77777777" w:rsidR="00830E72" w:rsidRDefault="008344D8">
                <w:r>
                  <w:lastRenderedPageBreak/>
                  <w:t>长期有效</w:t>
                </w:r>
              </w:p>
            </w:tc>
            <w:sdt>
              <w:sdtPr>
                <w:rPr>
                  <w:szCs w:val="21"/>
                </w:rPr>
                <w:alias w:val="与首次公开发行相关的承诺-是否有履行期限"/>
                <w:tag w:val="_GBC_1a64033131a64daa8e3bdd128e9385c8"/>
                <w:id w:val="-1485692014"/>
                <w:lock w:val="sdtLocked"/>
                <w:comboBox>
                  <w:listItem w:displayText="是" w:value="true"/>
                  <w:listItem w:displayText="否" w:value="false"/>
                </w:comboBox>
              </w:sdtPr>
              <w:sdtEndPr/>
              <w:sdtContent>
                <w:tc>
                  <w:tcPr>
                    <w:tcW w:w="251" w:type="pct"/>
                    <w:shd w:val="clear" w:color="auto" w:fill="auto"/>
                    <w:vAlign w:val="center"/>
                  </w:tcPr>
                  <w:p w14:paraId="26826F6A" w14:textId="77777777" w:rsidR="00830E72" w:rsidRDefault="008344D8">
                    <w:pPr>
                      <w:rPr>
                        <w:szCs w:val="21"/>
                      </w:rPr>
                    </w:pPr>
                    <w:r>
                      <w:rPr>
                        <w:szCs w:val="21"/>
                      </w:rPr>
                      <w:t>是</w:t>
                    </w:r>
                  </w:p>
                </w:tc>
              </w:sdtContent>
            </w:sdt>
            <w:sdt>
              <w:sdtPr>
                <w:rPr>
                  <w:szCs w:val="21"/>
                </w:rPr>
                <w:alias w:val="与首次公开发行相关的承诺-是否及时严格履行"/>
                <w:tag w:val="_GBC_72e17878bcd24bdb95a1b0936940ee48"/>
                <w:id w:val="-381252283"/>
                <w:lock w:val="sdtLocked"/>
                <w:comboBox>
                  <w:listItem w:displayText="是" w:value="true"/>
                  <w:listItem w:displayText="否" w:value="false"/>
                </w:comboBox>
              </w:sdtPr>
              <w:sdtEndPr/>
              <w:sdtContent>
                <w:tc>
                  <w:tcPr>
                    <w:tcW w:w="252" w:type="pct"/>
                    <w:shd w:val="clear" w:color="auto" w:fill="auto"/>
                    <w:vAlign w:val="center"/>
                  </w:tcPr>
                  <w:p w14:paraId="74F8EE13" w14:textId="77777777" w:rsidR="00830E72" w:rsidRDefault="008344D8">
                    <w:pPr>
                      <w:rPr>
                        <w:szCs w:val="21"/>
                      </w:rPr>
                    </w:pPr>
                    <w:r>
                      <w:rPr>
                        <w:szCs w:val="21"/>
                      </w:rPr>
                      <w:t>是</w:t>
                    </w:r>
                  </w:p>
                </w:tc>
              </w:sdtContent>
            </w:sdt>
            <w:tc>
              <w:tcPr>
                <w:tcW w:w="502" w:type="pct"/>
                <w:shd w:val="clear" w:color="auto" w:fill="auto"/>
                <w:vAlign w:val="center"/>
              </w:tcPr>
              <w:p w14:paraId="0CD2546E" w14:textId="77777777" w:rsidR="00830E72" w:rsidRDefault="008344D8">
                <w:r>
                  <w:t>不适用</w:t>
                </w:r>
              </w:p>
            </w:tc>
            <w:tc>
              <w:tcPr>
                <w:tcW w:w="332" w:type="pct"/>
                <w:shd w:val="clear" w:color="auto" w:fill="auto"/>
                <w:vAlign w:val="center"/>
              </w:tcPr>
              <w:p w14:paraId="7BFDA772" w14:textId="77777777" w:rsidR="00830E72" w:rsidRDefault="008344D8">
                <w:r>
                  <w:t>不适用</w:t>
                </w:r>
              </w:p>
            </w:tc>
          </w:tr>
          <w:tr w:rsidR="00830E72" w14:paraId="43CDD529" w14:textId="77777777">
            <w:tc>
              <w:tcPr>
                <w:tcW w:w="547" w:type="pct"/>
                <w:vMerge/>
                <w:shd w:val="clear" w:color="auto" w:fill="auto"/>
                <w:vAlign w:val="center"/>
              </w:tcPr>
              <w:p w14:paraId="220DF175" w14:textId="77777777" w:rsidR="00830E72" w:rsidRDefault="00830E72">
                <w:pPr>
                  <w:rPr>
                    <w:szCs w:val="21"/>
                  </w:rPr>
                </w:pPr>
              </w:p>
            </w:tc>
            <w:sdt>
              <w:sdtPr>
                <w:rPr>
                  <w:szCs w:val="21"/>
                </w:rPr>
                <w:alias w:val="与首次公开发行相关的承诺-承诺类型"/>
                <w:tag w:val="_GBC_f0b3976fba3f46e4affc4364f69d8f5a"/>
                <w:id w:val="-10828113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2" w:type="pct"/>
                    <w:shd w:val="clear" w:color="auto" w:fill="auto"/>
                    <w:vAlign w:val="center"/>
                  </w:tcPr>
                  <w:p w14:paraId="0BF4DC17" w14:textId="77777777" w:rsidR="00830E72" w:rsidRDefault="008344D8">
                    <w:pPr>
                      <w:rPr>
                        <w:szCs w:val="21"/>
                      </w:rPr>
                    </w:pPr>
                    <w:r>
                      <w:rPr>
                        <w:szCs w:val="21"/>
                      </w:rPr>
                      <w:t>其他</w:t>
                    </w:r>
                  </w:p>
                </w:tc>
              </w:sdtContent>
            </w:sdt>
            <w:tc>
              <w:tcPr>
                <w:tcW w:w="402" w:type="pct"/>
                <w:shd w:val="clear" w:color="auto" w:fill="auto"/>
                <w:vAlign w:val="center"/>
              </w:tcPr>
              <w:p w14:paraId="4BAC15E0" w14:textId="77777777" w:rsidR="00830E72" w:rsidRDefault="008344D8">
                <w:r>
                  <w:t>董事、高级管理人员</w:t>
                </w:r>
              </w:p>
            </w:tc>
            <w:tc>
              <w:tcPr>
                <w:tcW w:w="1909" w:type="pct"/>
                <w:shd w:val="clear" w:color="auto" w:fill="auto"/>
                <w:vAlign w:val="center"/>
              </w:tcPr>
              <w:p w14:paraId="23D02312" w14:textId="77777777" w:rsidR="00830E72" w:rsidRDefault="008344D8">
                <w:pPr>
                  <w:jc w:val="both"/>
                </w:pPr>
                <w:r>
                  <w:t>1、承诺不无偿或以不公平条件向其他单位或者个人输送利益，也不采用其他方式损害公司利益。2、承诺对个人的职务消费行为进行约束。3、承诺不动用公司资产从事与其履行职责无关的投资、消费活动。4、承诺由董事会或薪酬委员会制定的薪酬制度与公司填补回报措施的执行情况相挂钩。5、承诺拟公布的公司股权激励的行权条件与公司填补回报措施的执行情况相挂钩。6、本承诺出具日后，如中国证监会作出关于填补回报措施及其承诺的新的监管规定的，且上述承诺不能满足中国证监会该等规定的，本人承诺届时将按照中国证监会的最新规定出具补充承诺。7、如本人未能履行上述承诺，本人将在公司股东大会及中国证监会指定报刊上公开说明未履行的具体原因并道歉；同时，若因违反该等承诺给公司或者投资者造成损失的，本人愿意依法承担对公司或者投资者的补偿责任。</w:t>
                </w:r>
              </w:p>
            </w:tc>
            <w:tc>
              <w:tcPr>
                <w:tcW w:w="402" w:type="pct"/>
                <w:shd w:val="clear" w:color="auto" w:fill="auto"/>
                <w:vAlign w:val="center"/>
              </w:tcPr>
              <w:p w14:paraId="02DE2436" w14:textId="77777777" w:rsidR="00830E72" w:rsidRDefault="008344D8">
                <w:r>
                  <w:t>长期有效</w:t>
                </w:r>
              </w:p>
            </w:tc>
            <w:sdt>
              <w:sdtPr>
                <w:rPr>
                  <w:szCs w:val="21"/>
                </w:rPr>
                <w:alias w:val="与首次公开发行相关的承诺-是否有履行期限"/>
                <w:tag w:val="_GBC_1a64033131a64daa8e3bdd128e9385c8"/>
                <w:id w:val="-1632006282"/>
                <w:lock w:val="sdtLocked"/>
                <w:comboBox>
                  <w:listItem w:displayText="是" w:value="true"/>
                  <w:listItem w:displayText="否" w:value="false"/>
                </w:comboBox>
              </w:sdtPr>
              <w:sdtEndPr/>
              <w:sdtContent>
                <w:tc>
                  <w:tcPr>
                    <w:tcW w:w="251" w:type="pct"/>
                    <w:shd w:val="clear" w:color="auto" w:fill="auto"/>
                    <w:vAlign w:val="center"/>
                  </w:tcPr>
                  <w:p w14:paraId="1F1FE7B6" w14:textId="77777777" w:rsidR="00830E72" w:rsidRDefault="008344D8">
                    <w:pPr>
                      <w:rPr>
                        <w:szCs w:val="21"/>
                      </w:rPr>
                    </w:pPr>
                    <w:r>
                      <w:rPr>
                        <w:szCs w:val="21"/>
                      </w:rPr>
                      <w:t>是</w:t>
                    </w:r>
                  </w:p>
                </w:tc>
              </w:sdtContent>
            </w:sdt>
            <w:sdt>
              <w:sdtPr>
                <w:rPr>
                  <w:szCs w:val="21"/>
                </w:rPr>
                <w:alias w:val="与首次公开发行相关的承诺-是否及时严格履行"/>
                <w:tag w:val="_GBC_72e17878bcd24bdb95a1b0936940ee48"/>
                <w:id w:val="-116688099"/>
                <w:lock w:val="sdtLocked"/>
                <w:comboBox>
                  <w:listItem w:displayText="是" w:value="true"/>
                  <w:listItem w:displayText="否" w:value="false"/>
                </w:comboBox>
              </w:sdtPr>
              <w:sdtEndPr/>
              <w:sdtContent>
                <w:tc>
                  <w:tcPr>
                    <w:tcW w:w="252" w:type="pct"/>
                    <w:shd w:val="clear" w:color="auto" w:fill="auto"/>
                    <w:vAlign w:val="center"/>
                  </w:tcPr>
                  <w:p w14:paraId="2608FE86" w14:textId="77777777" w:rsidR="00830E72" w:rsidRDefault="008344D8">
                    <w:pPr>
                      <w:rPr>
                        <w:szCs w:val="21"/>
                      </w:rPr>
                    </w:pPr>
                    <w:r>
                      <w:rPr>
                        <w:szCs w:val="21"/>
                      </w:rPr>
                      <w:t>是</w:t>
                    </w:r>
                  </w:p>
                </w:tc>
              </w:sdtContent>
            </w:sdt>
            <w:tc>
              <w:tcPr>
                <w:tcW w:w="502" w:type="pct"/>
                <w:shd w:val="clear" w:color="auto" w:fill="auto"/>
                <w:vAlign w:val="center"/>
              </w:tcPr>
              <w:p w14:paraId="42191726" w14:textId="77777777" w:rsidR="00830E72" w:rsidRDefault="008344D8">
                <w:r>
                  <w:t>不适用</w:t>
                </w:r>
              </w:p>
            </w:tc>
            <w:tc>
              <w:tcPr>
                <w:tcW w:w="332" w:type="pct"/>
                <w:shd w:val="clear" w:color="auto" w:fill="auto"/>
                <w:vAlign w:val="center"/>
              </w:tcPr>
              <w:p w14:paraId="5799D6AF" w14:textId="77777777" w:rsidR="00830E72" w:rsidRDefault="008344D8">
                <w:r>
                  <w:t>不适用</w:t>
                </w:r>
              </w:p>
            </w:tc>
          </w:tr>
          <w:tr w:rsidR="00830E72" w14:paraId="4ECD2F9F" w14:textId="77777777">
            <w:tc>
              <w:tcPr>
                <w:tcW w:w="547" w:type="pct"/>
                <w:vMerge/>
                <w:shd w:val="clear" w:color="auto" w:fill="auto"/>
                <w:vAlign w:val="center"/>
              </w:tcPr>
              <w:p w14:paraId="4A775AB7" w14:textId="77777777" w:rsidR="00830E72" w:rsidRDefault="00830E72">
                <w:pPr>
                  <w:rPr>
                    <w:szCs w:val="21"/>
                  </w:rPr>
                </w:pPr>
              </w:p>
            </w:tc>
            <w:sdt>
              <w:sdtPr>
                <w:rPr>
                  <w:szCs w:val="21"/>
                </w:rPr>
                <w:alias w:val="与首次公开发行相关的承诺-承诺类型"/>
                <w:tag w:val="_GBC_f0b3976fba3f46e4affc4364f69d8f5a"/>
                <w:id w:val="157022516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2" w:type="pct"/>
                    <w:shd w:val="clear" w:color="auto" w:fill="auto"/>
                    <w:vAlign w:val="center"/>
                  </w:tcPr>
                  <w:p w14:paraId="5FDFE9A2" w14:textId="77777777" w:rsidR="00830E72" w:rsidRDefault="008344D8">
                    <w:pPr>
                      <w:rPr>
                        <w:szCs w:val="21"/>
                      </w:rPr>
                    </w:pPr>
                    <w:r>
                      <w:rPr>
                        <w:szCs w:val="21"/>
                      </w:rPr>
                      <w:t>解决同业竞争</w:t>
                    </w:r>
                  </w:p>
                </w:tc>
              </w:sdtContent>
            </w:sdt>
            <w:tc>
              <w:tcPr>
                <w:tcW w:w="402" w:type="pct"/>
                <w:shd w:val="clear" w:color="auto" w:fill="auto"/>
                <w:vAlign w:val="center"/>
              </w:tcPr>
              <w:p w14:paraId="2C12CCCF" w14:textId="77777777" w:rsidR="00830E72" w:rsidRDefault="008344D8">
                <w:r>
                  <w:t>控股股东祥源控股、实际控制人俞发祥</w:t>
                </w:r>
              </w:p>
            </w:tc>
            <w:tc>
              <w:tcPr>
                <w:tcW w:w="1909" w:type="pct"/>
                <w:shd w:val="clear" w:color="auto" w:fill="auto"/>
                <w:vAlign w:val="center"/>
              </w:tcPr>
              <w:p w14:paraId="6847FCAF" w14:textId="77777777" w:rsidR="00830E72" w:rsidRDefault="008344D8">
                <w:pPr>
                  <w:jc w:val="both"/>
                </w:pPr>
                <w:r>
                  <w:t>在承诺函签署之日，本公司及下属子公司/本人及本人控制的公司及其下属子公司均未开展与安徽交建及其下属子公司主营业务构成竞争或可能竞争的业务，未直接或间接经营任何与安徽交建及其下属子公司经营的业务构成竞争或可能构成竞争的业务，也未参与投资任何与安徽交建及其下属子公司经营的业务构成竞争或可能构成竞争的其他企业。自承诺函签署之日起，本公司及下属子公司/本人及本人控制的公司及其下属子公司将不直接或间接经营任何与安徽交建及其下属子公司经营的业务构成竞争或可能构成竞争的业务，也不参与投资任何与安徽交建及其下属子公司经营的业务构成竞争或可能构成竞争的其他企业。自承诺函签署之日起,如安徽交建及其下属子公司进一步拓展业务范围,本公司及下属子公司/本人及本人控制的公司及其下属子公司将不与安徽交建及其下属子公司拓展后的业务相竞争；若与安徽交建及其下属子</w:t>
                </w:r>
                <w:r>
                  <w:lastRenderedPageBreak/>
                  <w:t>公司拓展后的业务产生竞争,则本公司及下属子公司/本人及本人控制的公司及其下属子公司将以停止经营相竞争业务的方式、或者将相竞争的业务纳入到安徽交建经营的方式、或者将相竞争的业务转让给无关联关系的第三方的方式避免同业竞争。如上述承诺被证明是不真实的或未被遵守,本公司/本人将向安徽交建赔偿一切直接和间接损失。</w:t>
                </w:r>
              </w:p>
            </w:tc>
            <w:tc>
              <w:tcPr>
                <w:tcW w:w="402" w:type="pct"/>
                <w:shd w:val="clear" w:color="auto" w:fill="auto"/>
                <w:vAlign w:val="center"/>
              </w:tcPr>
              <w:p w14:paraId="2CB5BD76" w14:textId="77777777" w:rsidR="00830E72" w:rsidRDefault="008344D8">
                <w:r>
                  <w:lastRenderedPageBreak/>
                  <w:t>长期有效</w:t>
                </w:r>
              </w:p>
            </w:tc>
            <w:sdt>
              <w:sdtPr>
                <w:rPr>
                  <w:szCs w:val="21"/>
                </w:rPr>
                <w:alias w:val="与首次公开发行相关的承诺-是否有履行期限"/>
                <w:tag w:val="_GBC_1a64033131a64daa8e3bdd128e9385c8"/>
                <w:id w:val="-1485469235"/>
                <w:lock w:val="sdtLocked"/>
                <w:comboBox>
                  <w:listItem w:displayText="是" w:value="true"/>
                  <w:listItem w:displayText="否" w:value="false"/>
                </w:comboBox>
              </w:sdtPr>
              <w:sdtEndPr/>
              <w:sdtContent>
                <w:tc>
                  <w:tcPr>
                    <w:tcW w:w="251" w:type="pct"/>
                    <w:shd w:val="clear" w:color="auto" w:fill="auto"/>
                    <w:vAlign w:val="center"/>
                  </w:tcPr>
                  <w:p w14:paraId="53322352" w14:textId="77777777" w:rsidR="00830E72" w:rsidRDefault="008344D8">
                    <w:pPr>
                      <w:rPr>
                        <w:szCs w:val="21"/>
                      </w:rPr>
                    </w:pPr>
                    <w:r>
                      <w:rPr>
                        <w:szCs w:val="21"/>
                      </w:rPr>
                      <w:t>是</w:t>
                    </w:r>
                  </w:p>
                </w:tc>
              </w:sdtContent>
            </w:sdt>
            <w:sdt>
              <w:sdtPr>
                <w:rPr>
                  <w:szCs w:val="21"/>
                </w:rPr>
                <w:alias w:val="与首次公开发行相关的承诺-是否及时严格履行"/>
                <w:tag w:val="_GBC_72e17878bcd24bdb95a1b0936940ee48"/>
                <w:id w:val="-686366914"/>
                <w:lock w:val="sdtLocked"/>
                <w:comboBox>
                  <w:listItem w:displayText="是" w:value="true"/>
                  <w:listItem w:displayText="否" w:value="false"/>
                </w:comboBox>
              </w:sdtPr>
              <w:sdtEndPr/>
              <w:sdtContent>
                <w:tc>
                  <w:tcPr>
                    <w:tcW w:w="252" w:type="pct"/>
                    <w:shd w:val="clear" w:color="auto" w:fill="auto"/>
                    <w:vAlign w:val="center"/>
                  </w:tcPr>
                  <w:p w14:paraId="4581D742" w14:textId="77777777" w:rsidR="00830E72" w:rsidRDefault="008344D8">
                    <w:pPr>
                      <w:rPr>
                        <w:szCs w:val="21"/>
                      </w:rPr>
                    </w:pPr>
                    <w:r>
                      <w:rPr>
                        <w:szCs w:val="21"/>
                      </w:rPr>
                      <w:t>是</w:t>
                    </w:r>
                  </w:p>
                </w:tc>
              </w:sdtContent>
            </w:sdt>
            <w:tc>
              <w:tcPr>
                <w:tcW w:w="502" w:type="pct"/>
                <w:shd w:val="clear" w:color="auto" w:fill="auto"/>
                <w:vAlign w:val="center"/>
              </w:tcPr>
              <w:p w14:paraId="212BC9FB" w14:textId="77777777" w:rsidR="00830E72" w:rsidRDefault="008344D8">
                <w:r>
                  <w:t>不适用</w:t>
                </w:r>
              </w:p>
            </w:tc>
            <w:tc>
              <w:tcPr>
                <w:tcW w:w="332" w:type="pct"/>
                <w:shd w:val="clear" w:color="auto" w:fill="auto"/>
                <w:vAlign w:val="center"/>
              </w:tcPr>
              <w:p w14:paraId="27F07535" w14:textId="77777777" w:rsidR="00830E72" w:rsidRDefault="008344D8">
                <w:r>
                  <w:t>不适用</w:t>
                </w:r>
              </w:p>
            </w:tc>
          </w:tr>
          <w:tr w:rsidR="00830E72" w14:paraId="37667A8D" w14:textId="77777777">
            <w:tc>
              <w:tcPr>
                <w:tcW w:w="547" w:type="pct"/>
                <w:vMerge/>
                <w:shd w:val="clear" w:color="auto" w:fill="auto"/>
                <w:vAlign w:val="center"/>
              </w:tcPr>
              <w:p w14:paraId="30A8B789" w14:textId="77777777" w:rsidR="00830E72" w:rsidRDefault="00830E72">
                <w:pPr>
                  <w:rPr>
                    <w:szCs w:val="21"/>
                  </w:rPr>
                </w:pPr>
              </w:p>
            </w:tc>
            <w:sdt>
              <w:sdtPr>
                <w:rPr>
                  <w:szCs w:val="21"/>
                </w:rPr>
                <w:alias w:val="与首次公开发行相关的承诺-承诺类型"/>
                <w:tag w:val="_GBC_f0b3976fba3f46e4affc4364f69d8f5a"/>
                <w:id w:val="-129759612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2" w:type="pct"/>
                    <w:shd w:val="clear" w:color="auto" w:fill="auto"/>
                    <w:vAlign w:val="center"/>
                  </w:tcPr>
                  <w:p w14:paraId="5395D544" w14:textId="77777777" w:rsidR="00830E72" w:rsidRDefault="008344D8">
                    <w:pPr>
                      <w:rPr>
                        <w:szCs w:val="21"/>
                      </w:rPr>
                    </w:pPr>
                    <w:r>
                      <w:rPr>
                        <w:szCs w:val="21"/>
                      </w:rPr>
                      <w:t>解决关联交易</w:t>
                    </w:r>
                  </w:p>
                </w:tc>
              </w:sdtContent>
            </w:sdt>
            <w:tc>
              <w:tcPr>
                <w:tcW w:w="402" w:type="pct"/>
                <w:shd w:val="clear" w:color="auto" w:fill="auto"/>
                <w:vAlign w:val="center"/>
              </w:tcPr>
              <w:p w14:paraId="36236B05" w14:textId="77777777" w:rsidR="00830E72" w:rsidRDefault="008344D8">
                <w:r>
                  <w:t>控股股东祥源控股、实际控制人俞发祥</w:t>
                </w:r>
              </w:p>
            </w:tc>
            <w:tc>
              <w:tcPr>
                <w:tcW w:w="1909" w:type="pct"/>
                <w:shd w:val="clear" w:color="auto" w:fill="auto"/>
                <w:vAlign w:val="center"/>
              </w:tcPr>
              <w:p w14:paraId="07CD6614" w14:textId="77777777" w:rsidR="00830E72" w:rsidRDefault="008344D8">
                <w:pPr>
                  <w:jc w:val="both"/>
                </w:pPr>
                <w:r>
                  <w:t>1、本公司/本人承诺本公司/本人及本公司/本人所控制的其他企业将尽量避免与安徽交建发生关联交易。2、如本公司/本人及本公司/本人所控制的其他企业与安徽交建不可避免地出现关联交易，将依据《公司法》等国家法律、法规和安徽交建的公司章程及有关制度的规定，依照市场规则，本着一般商业原则，通过签订书面协议，公平合理地进行交易，以维护安徽交建及其他股东的利益，本公司/本人将不利用在安徽交建中的控股股东/实际控制人地位，为本公司/本人及本公司/本人所控制的其他企业在与安徽交建的关联交易中谋取不正当利益。3、如违反前述承诺，本公司/本人将在安徽交建或中国证监会的要求下，在限期内采取有效措施予以纠正，造成安徽交建或其他股东利益受损的，本公司/本人将承担全额赔偿责任。</w:t>
                </w:r>
              </w:p>
            </w:tc>
            <w:tc>
              <w:tcPr>
                <w:tcW w:w="402" w:type="pct"/>
                <w:shd w:val="clear" w:color="auto" w:fill="auto"/>
                <w:vAlign w:val="center"/>
              </w:tcPr>
              <w:p w14:paraId="6DD1B6C6" w14:textId="77777777" w:rsidR="00830E72" w:rsidRDefault="008344D8">
                <w:r>
                  <w:t>长期有效</w:t>
                </w:r>
              </w:p>
            </w:tc>
            <w:sdt>
              <w:sdtPr>
                <w:rPr>
                  <w:szCs w:val="21"/>
                </w:rPr>
                <w:alias w:val="与首次公开发行相关的承诺-是否有履行期限"/>
                <w:tag w:val="_GBC_1a64033131a64daa8e3bdd128e9385c8"/>
                <w:id w:val="-840925842"/>
                <w:lock w:val="sdtLocked"/>
                <w:comboBox>
                  <w:listItem w:displayText="是" w:value="true"/>
                  <w:listItem w:displayText="否" w:value="false"/>
                </w:comboBox>
              </w:sdtPr>
              <w:sdtEndPr/>
              <w:sdtContent>
                <w:tc>
                  <w:tcPr>
                    <w:tcW w:w="251" w:type="pct"/>
                    <w:shd w:val="clear" w:color="auto" w:fill="auto"/>
                    <w:vAlign w:val="center"/>
                  </w:tcPr>
                  <w:p w14:paraId="215DBBE6" w14:textId="77777777" w:rsidR="00830E72" w:rsidRDefault="008344D8">
                    <w:pPr>
                      <w:rPr>
                        <w:szCs w:val="21"/>
                      </w:rPr>
                    </w:pPr>
                    <w:r>
                      <w:rPr>
                        <w:szCs w:val="21"/>
                      </w:rPr>
                      <w:t>是</w:t>
                    </w:r>
                  </w:p>
                </w:tc>
              </w:sdtContent>
            </w:sdt>
            <w:sdt>
              <w:sdtPr>
                <w:rPr>
                  <w:szCs w:val="21"/>
                </w:rPr>
                <w:alias w:val="与首次公开发行相关的承诺-是否及时严格履行"/>
                <w:tag w:val="_GBC_72e17878bcd24bdb95a1b0936940ee48"/>
                <w:id w:val="1188253505"/>
                <w:lock w:val="sdtLocked"/>
                <w:comboBox>
                  <w:listItem w:displayText="是" w:value="true"/>
                  <w:listItem w:displayText="否" w:value="false"/>
                </w:comboBox>
              </w:sdtPr>
              <w:sdtEndPr/>
              <w:sdtContent>
                <w:tc>
                  <w:tcPr>
                    <w:tcW w:w="252" w:type="pct"/>
                    <w:shd w:val="clear" w:color="auto" w:fill="auto"/>
                    <w:vAlign w:val="center"/>
                  </w:tcPr>
                  <w:p w14:paraId="23FE24AC" w14:textId="77777777" w:rsidR="00830E72" w:rsidRDefault="008344D8">
                    <w:pPr>
                      <w:rPr>
                        <w:szCs w:val="21"/>
                      </w:rPr>
                    </w:pPr>
                    <w:r>
                      <w:rPr>
                        <w:szCs w:val="21"/>
                      </w:rPr>
                      <w:t>是</w:t>
                    </w:r>
                  </w:p>
                </w:tc>
              </w:sdtContent>
            </w:sdt>
            <w:tc>
              <w:tcPr>
                <w:tcW w:w="502" w:type="pct"/>
                <w:shd w:val="clear" w:color="auto" w:fill="auto"/>
                <w:vAlign w:val="center"/>
              </w:tcPr>
              <w:p w14:paraId="67D1A436" w14:textId="77777777" w:rsidR="00830E72" w:rsidRDefault="008344D8">
                <w:r>
                  <w:t>不适用</w:t>
                </w:r>
              </w:p>
            </w:tc>
            <w:tc>
              <w:tcPr>
                <w:tcW w:w="332" w:type="pct"/>
                <w:shd w:val="clear" w:color="auto" w:fill="auto"/>
                <w:vAlign w:val="center"/>
              </w:tcPr>
              <w:p w14:paraId="7095A1A0" w14:textId="77777777" w:rsidR="00830E72" w:rsidRDefault="008344D8">
                <w:r>
                  <w:t>不适用</w:t>
                </w:r>
              </w:p>
            </w:tc>
          </w:tr>
          <w:tr w:rsidR="00830E72" w14:paraId="3245DE5A" w14:textId="77777777">
            <w:tc>
              <w:tcPr>
                <w:tcW w:w="547" w:type="pct"/>
                <w:vMerge/>
                <w:shd w:val="clear" w:color="auto" w:fill="auto"/>
                <w:vAlign w:val="center"/>
              </w:tcPr>
              <w:p w14:paraId="71783DC6" w14:textId="77777777" w:rsidR="00830E72" w:rsidRDefault="00830E72">
                <w:pPr>
                  <w:rPr>
                    <w:szCs w:val="21"/>
                  </w:rPr>
                </w:pPr>
              </w:p>
            </w:tc>
            <w:sdt>
              <w:sdtPr>
                <w:rPr>
                  <w:szCs w:val="21"/>
                </w:rPr>
                <w:alias w:val="与首次公开发行相关的承诺-承诺类型"/>
                <w:tag w:val="_GBC_f0b3976fba3f46e4affc4364f69d8f5a"/>
                <w:id w:val="-79791835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2" w:type="pct"/>
                    <w:shd w:val="clear" w:color="auto" w:fill="auto"/>
                    <w:vAlign w:val="center"/>
                  </w:tcPr>
                  <w:p w14:paraId="2CE6CADE" w14:textId="77777777" w:rsidR="00830E72" w:rsidRDefault="008344D8">
                    <w:pPr>
                      <w:rPr>
                        <w:szCs w:val="21"/>
                      </w:rPr>
                    </w:pPr>
                    <w:r>
                      <w:rPr>
                        <w:szCs w:val="21"/>
                      </w:rPr>
                      <w:t>其他</w:t>
                    </w:r>
                  </w:p>
                </w:tc>
              </w:sdtContent>
            </w:sdt>
            <w:tc>
              <w:tcPr>
                <w:tcW w:w="402" w:type="pct"/>
                <w:shd w:val="clear" w:color="auto" w:fill="auto"/>
                <w:vAlign w:val="center"/>
              </w:tcPr>
              <w:p w14:paraId="2D017CE4" w14:textId="77777777" w:rsidR="00830E72" w:rsidRDefault="008344D8">
                <w:r>
                  <w:t>控股股东祥源控股、实际控制人俞发祥</w:t>
                </w:r>
              </w:p>
            </w:tc>
            <w:tc>
              <w:tcPr>
                <w:tcW w:w="1909" w:type="pct"/>
                <w:shd w:val="clear" w:color="auto" w:fill="auto"/>
                <w:vAlign w:val="center"/>
              </w:tcPr>
              <w:p w14:paraId="2D21134B" w14:textId="77777777" w:rsidR="00830E72" w:rsidRDefault="008344D8">
                <w:pPr>
                  <w:jc w:val="both"/>
                </w:pPr>
                <w:r>
                  <w:t>本公司/本人不再将安徽交建纳入统一资金管理的范畴，自2016年10月1日至今，本公司/本人及本公司/本人控制的其他企业不存在违法占用安徽交建及其前身资金的情况，本公司/本人承诺本公司/本人及本公司/本人控制的其他企业未来也不会以任何方式占用安徽交建资金。</w:t>
                </w:r>
              </w:p>
            </w:tc>
            <w:tc>
              <w:tcPr>
                <w:tcW w:w="402" w:type="pct"/>
                <w:shd w:val="clear" w:color="auto" w:fill="auto"/>
                <w:vAlign w:val="center"/>
              </w:tcPr>
              <w:p w14:paraId="68EDDD44" w14:textId="77777777" w:rsidR="00830E72" w:rsidRDefault="008344D8">
                <w:r>
                  <w:t>长期有效</w:t>
                </w:r>
              </w:p>
            </w:tc>
            <w:sdt>
              <w:sdtPr>
                <w:rPr>
                  <w:szCs w:val="21"/>
                </w:rPr>
                <w:alias w:val="与首次公开发行相关的承诺-是否有履行期限"/>
                <w:tag w:val="_GBC_1a64033131a64daa8e3bdd128e9385c8"/>
                <w:id w:val="1486753221"/>
                <w:lock w:val="sdtLocked"/>
                <w:comboBox>
                  <w:listItem w:displayText="是" w:value="true"/>
                  <w:listItem w:displayText="否" w:value="false"/>
                </w:comboBox>
              </w:sdtPr>
              <w:sdtEndPr/>
              <w:sdtContent>
                <w:tc>
                  <w:tcPr>
                    <w:tcW w:w="251" w:type="pct"/>
                    <w:shd w:val="clear" w:color="auto" w:fill="auto"/>
                    <w:vAlign w:val="center"/>
                  </w:tcPr>
                  <w:p w14:paraId="084E5C50" w14:textId="77777777" w:rsidR="00830E72" w:rsidRDefault="008344D8">
                    <w:pPr>
                      <w:rPr>
                        <w:szCs w:val="21"/>
                      </w:rPr>
                    </w:pPr>
                    <w:r>
                      <w:rPr>
                        <w:szCs w:val="21"/>
                      </w:rPr>
                      <w:t>是</w:t>
                    </w:r>
                  </w:p>
                </w:tc>
              </w:sdtContent>
            </w:sdt>
            <w:sdt>
              <w:sdtPr>
                <w:rPr>
                  <w:szCs w:val="21"/>
                </w:rPr>
                <w:alias w:val="与首次公开发行相关的承诺-是否及时严格履行"/>
                <w:tag w:val="_GBC_72e17878bcd24bdb95a1b0936940ee48"/>
                <w:id w:val="-1679118815"/>
                <w:lock w:val="sdtLocked"/>
                <w:comboBox>
                  <w:listItem w:displayText="是" w:value="true"/>
                  <w:listItem w:displayText="否" w:value="false"/>
                </w:comboBox>
              </w:sdtPr>
              <w:sdtEndPr/>
              <w:sdtContent>
                <w:tc>
                  <w:tcPr>
                    <w:tcW w:w="252" w:type="pct"/>
                    <w:shd w:val="clear" w:color="auto" w:fill="auto"/>
                    <w:vAlign w:val="center"/>
                  </w:tcPr>
                  <w:p w14:paraId="41381E09" w14:textId="77777777" w:rsidR="00830E72" w:rsidRDefault="008344D8">
                    <w:pPr>
                      <w:rPr>
                        <w:szCs w:val="21"/>
                      </w:rPr>
                    </w:pPr>
                    <w:r>
                      <w:rPr>
                        <w:szCs w:val="21"/>
                      </w:rPr>
                      <w:t>是</w:t>
                    </w:r>
                  </w:p>
                </w:tc>
              </w:sdtContent>
            </w:sdt>
            <w:tc>
              <w:tcPr>
                <w:tcW w:w="502" w:type="pct"/>
                <w:shd w:val="clear" w:color="auto" w:fill="auto"/>
                <w:vAlign w:val="center"/>
              </w:tcPr>
              <w:p w14:paraId="20E52938" w14:textId="77777777" w:rsidR="00830E72" w:rsidRDefault="008344D8">
                <w:r>
                  <w:t>不适用</w:t>
                </w:r>
              </w:p>
            </w:tc>
            <w:tc>
              <w:tcPr>
                <w:tcW w:w="332" w:type="pct"/>
                <w:shd w:val="clear" w:color="auto" w:fill="auto"/>
                <w:vAlign w:val="center"/>
              </w:tcPr>
              <w:p w14:paraId="126B1D0B" w14:textId="77777777" w:rsidR="00830E72" w:rsidRDefault="008344D8">
                <w:r>
                  <w:t>不适用</w:t>
                </w:r>
              </w:p>
            </w:tc>
          </w:tr>
          <w:tr w:rsidR="00830E72" w14:paraId="5E21CA8A" w14:textId="77777777">
            <w:tc>
              <w:tcPr>
                <w:tcW w:w="547" w:type="pct"/>
                <w:vMerge/>
                <w:shd w:val="clear" w:color="auto" w:fill="auto"/>
                <w:vAlign w:val="center"/>
              </w:tcPr>
              <w:p w14:paraId="3D6FF4BE" w14:textId="77777777" w:rsidR="00830E72" w:rsidRDefault="00830E72">
                <w:pPr>
                  <w:rPr>
                    <w:szCs w:val="21"/>
                  </w:rPr>
                </w:pPr>
              </w:p>
            </w:tc>
            <w:sdt>
              <w:sdtPr>
                <w:rPr>
                  <w:szCs w:val="21"/>
                </w:rPr>
                <w:alias w:val="与首次公开发行相关的承诺-承诺类型"/>
                <w:tag w:val="_GBC_f0b3976fba3f46e4affc4364f69d8f5a"/>
                <w:id w:val="-186689503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2" w:type="pct"/>
                    <w:shd w:val="clear" w:color="auto" w:fill="auto"/>
                    <w:vAlign w:val="center"/>
                  </w:tcPr>
                  <w:p w14:paraId="0B0CF2E5" w14:textId="77777777" w:rsidR="00830E72" w:rsidRDefault="008344D8">
                    <w:pPr>
                      <w:rPr>
                        <w:szCs w:val="21"/>
                      </w:rPr>
                    </w:pPr>
                    <w:r>
                      <w:rPr>
                        <w:szCs w:val="21"/>
                      </w:rPr>
                      <w:t>其他</w:t>
                    </w:r>
                  </w:p>
                </w:tc>
              </w:sdtContent>
            </w:sdt>
            <w:tc>
              <w:tcPr>
                <w:tcW w:w="402" w:type="pct"/>
                <w:shd w:val="clear" w:color="auto" w:fill="auto"/>
                <w:vAlign w:val="center"/>
              </w:tcPr>
              <w:p w14:paraId="0ACEF4D1" w14:textId="77777777" w:rsidR="00830E72" w:rsidRDefault="008344D8">
                <w:r>
                  <w:t>公司</w:t>
                </w:r>
              </w:p>
            </w:tc>
            <w:tc>
              <w:tcPr>
                <w:tcW w:w="1909" w:type="pct"/>
                <w:shd w:val="clear" w:color="auto" w:fill="auto"/>
                <w:vAlign w:val="center"/>
              </w:tcPr>
              <w:p w14:paraId="40929D30" w14:textId="77777777" w:rsidR="00830E72" w:rsidRDefault="008344D8">
                <w:r>
                  <w:t>将严格履行《关联交易管理制度》、《防范控股股东及关联方资金占用管理制度》等各项制度，并确保本公司董事、监事、高管人员就职前签署相关承诺函，要求董监高在任职期间严格依照《公司章程》及《防范控股股东及关联方资金占用管理制度》内控制度，以公司利益为首选考量，严格履行关联交易决策程序，尤其切实杜绝关联方资金占</w:t>
                </w:r>
                <w:r>
                  <w:lastRenderedPageBreak/>
                  <w:t>用情形发生。</w:t>
                </w:r>
              </w:p>
            </w:tc>
            <w:tc>
              <w:tcPr>
                <w:tcW w:w="402" w:type="pct"/>
                <w:shd w:val="clear" w:color="auto" w:fill="auto"/>
                <w:vAlign w:val="center"/>
              </w:tcPr>
              <w:p w14:paraId="53A51B2B" w14:textId="77777777" w:rsidR="00830E72" w:rsidRDefault="008344D8">
                <w:r>
                  <w:lastRenderedPageBreak/>
                  <w:t>长期有效</w:t>
                </w:r>
              </w:p>
            </w:tc>
            <w:sdt>
              <w:sdtPr>
                <w:rPr>
                  <w:szCs w:val="21"/>
                </w:rPr>
                <w:alias w:val="与首次公开发行相关的承诺-是否有履行期限"/>
                <w:tag w:val="_GBC_1a64033131a64daa8e3bdd128e9385c8"/>
                <w:id w:val="-1466044631"/>
                <w:lock w:val="sdtLocked"/>
                <w:comboBox>
                  <w:listItem w:displayText="是" w:value="true"/>
                  <w:listItem w:displayText="否" w:value="false"/>
                </w:comboBox>
              </w:sdtPr>
              <w:sdtEndPr/>
              <w:sdtContent>
                <w:tc>
                  <w:tcPr>
                    <w:tcW w:w="251" w:type="pct"/>
                    <w:shd w:val="clear" w:color="auto" w:fill="auto"/>
                    <w:vAlign w:val="center"/>
                  </w:tcPr>
                  <w:p w14:paraId="00102D92" w14:textId="77777777" w:rsidR="00830E72" w:rsidRDefault="008344D8">
                    <w:pPr>
                      <w:rPr>
                        <w:szCs w:val="21"/>
                      </w:rPr>
                    </w:pPr>
                    <w:r>
                      <w:rPr>
                        <w:szCs w:val="21"/>
                      </w:rPr>
                      <w:t>是</w:t>
                    </w:r>
                  </w:p>
                </w:tc>
              </w:sdtContent>
            </w:sdt>
            <w:sdt>
              <w:sdtPr>
                <w:rPr>
                  <w:szCs w:val="21"/>
                </w:rPr>
                <w:alias w:val="与首次公开发行相关的承诺-是否及时严格履行"/>
                <w:tag w:val="_GBC_72e17878bcd24bdb95a1b0936940ee48"/>
                <w:id w:val="1965001985"/>
                <w:lock w:val="sdtLocked"/>
                <w:comboBox>
                  <w:listItem w:displayText="是" w:value="true"/>
                  <w:listItem w:displayText="否" w:value="false"/>
                </w:comboBox>
              </w:sdtPr>
              <w:sdtEndPr/>
              <w:sdtContent>
                <w:tc>
                  <w:tcPr>
                    <w:tcW w:w="252" w:type="pct"/>
                    <w:shd w:val="clear" w:color="auto" w:fill="auto"/>
                    <w:vAlign w:val="center"/>
                  </w:tcPr>
                  <w:p w14:paraId="07B0F191" w14:textId="77777777" w:rsidR="00830E72" w:rsidRDefault="008344D8">
                    <w:pPr>
                      <w:rPr>
                        <w:szCs w:val="21"/>
                      </w:rPr>
                    </w:pPr>
                    <w:r>
                      <w:rPr>
                        <w:szCs w:val="21"/>
                      </w:rPr>
                      <w:t>是</w:t>
                    </w:r>
                  </w:p>
                </w:tc>
              </w:sdtContent>
            </w:sdt>
            <w:tc>
              <w:tcPr>
                <w:tcW w:w="502" w:type="pct"/>
                <w:shd w:val="clear" w:color="auto" w:fill="auto"/>
                <w:vAlign w:val="center"/>
              </w:tcPr>
              <w:p w14:paraId="2A2FEBA5" w14:textId="77777777" w:rsidR="00830E72" w:rsidRDefault="008344D8">
                <w:r>
                  <w:t>不适用</w:t>
                </w:r>
              </w:p>
            </w:tc>
            <w:tc>
              <w:tcPr>
                <w:tcW w:w="332" w:type="pct"/>
                <w:shd w:val="clear" w:color="auto" w:fill="auto"/>
                <w:vAlign w:val="center"/>
              </w:tcPr>
              <w:p w14:paraId="0B6FE145" w14:textId="77777777" w:rsidR="00830E72" w:rsidRDefault="008344D8">
                <w:r>
                  <w:t>不适用</w:t>
                </w:r>
              </w:p>
            </w:tc>
          </w:tr>
          <w:tr w:rsidR="00830E72" w14:paraId="54BC1870" w14:textId="77777777">
            <w:tc>
              <w:tcPr>
                <w:tcW w:w="547" w:type="pct"/>
                <w:vMerge/>
                <w:shd w:val="clear" w:color="auto" w:fill="auto"/>
                <w:vAlign w:val="center"/>
              </w:tcPr>
              <w:p w14:paraId="5163EBFF" w14:textId="77777777" w:rsidR="00830E72" w:rsidRDefault="00830E72">
                <w:pPr>
                  <w:rPr>
                    <w:szCs w:val="21"/>
                  </w:rPr>
                </w:pPr>
              </w:p>
            </w:tc>
            <w:sdt>
              <w:sdtPr>
                <w:rPr>
                  <w:szCs w:val="21"/>
                </w:rPr>
                <w:alias w:val="与首次公开发行相关的承诺-承诺类型"/>
                <w:tag w:val="_GBC_f0b3976fba3f46e4affc4364f69d8f5a"/>
                <w:id w:val="-123099209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2" w:type="pct"/>
                    <w:shd w:val="clear" w:color="auto" w:fill="auto"/>
                    <w:vAlign w:val="center"/>
                  </w:tcPr>
                  <w:p w14:paraId="016163A4" w14:textId="77777777" w:rsidR="00830E72" w:rsidRDefault="008344D8">
                    <w:pPr>
                      <w:rPr>
                        <w:szCs w:val="21"/>
                      </w:rPr>
                    </w:pPr>
                    <w:r>
                      <w:rPr>
                        <w:szCs w:val="21"/>
                      </w:rPr>
                      <w:t>其他</w:t>
                    </w:r>
                  </w:p>
                </w:tc>
              </w:sdtContent>
            </w:sdt>
            <w:tc>
              <w:tcPr>
                <w:tcW w:w="402" w:type="pct"/>
                <w:shd w:val="clear" w:color="auto" w:fill="auto"/>
                <w:vAlign w:val="center"/>
              </w:tcPr>
              <w:p w14:paraId="1038416E" w14:textId="77777777" w:rsidR="00830E72" w:rsidRDefault="008344D8">
                <w:r>
                  <w:t>董事、监事、高级管理人员</w:t>
                </w:r>
              </w:p>
            </w:tc>
            <w:tc>
              <w:tcPr>
                <w:tcW w:w="1909" w:type="pct"/>
                <w:shd w:val="clear" w:color="auto" w:fill="auto"/>
                <w:vAlign w:val="center"/>
              </w:tcPr>
              <w:p w14:paraId="5932CAF0" w14:textId="77777777" w:rsidR="00830E72" w:rsidRDefault="008344D8">
                <w:r>
                  <w:t>在本人任职期间：严格依照《公司章程》及《防范控股股东及关联方资金占用管理制度》等内控制度，以安徽省交通建设股份有限公司利益为首选考量，严格履行关联交易决策程序，尤其切实杜绝关联方资金占用情形发生。</w:t>
                </w:r>
              </w:p>
            </w:tc>
            <w:tc>
              <w:tcPr>
                <w:tcW w:w="402" w:type="pct"/>
                <w:shd w:val="clear" w:color="auto" w:fill="auto"/>
                <w:vAlign w:val="center"/>
              </w:tcPr>
              <w:p w14:paraId="0CA04473" w14:textId="77777777" w:rsidR="00830E72" w:rsidRDefault="008344D8">
                <w:r>
                  <w:t>长期有效</w:t>
                </w:r>
              </w:p>
            </w:tc>
            <w:sdt>
              <w:sdtPr>
                <w:rPr>
                  <w:szCs w:val="21"/>
                </w:rPr>
                <w:alias w:val="与首次公开发行相关的承诺-是否有履行期限"/>
                <w:tag w:val="_GBC_1a64033131a64daa8e3bdd128e9385c8"/>
                <w:id w:val="-946929949"/>
                <w:lock w:val="sdtLocked"/>
                <w:comboBox>
                  <w:listItem w:displayText="是" w:value="true"/>
                  <w:listItem w:displayText="否" w:value="false"/>
                </w:comboBox>
              </w:sdtPr>
              <w:sdtEndPr/>
              <w:sdtContent>
                <w:tc>
                  <w:tcPr>
                    <w:tcW w:w="251" w:type="pct"/>
                    <w:shd w:val="clear" w:color="auto" w:fill="auto"/>
                    <w:vAlign w:val="center"/>
                  </w:tcPr>
                  <w:p w14:paraId="7B6EB71B" w14:textId="77777777" w:rsidR="00830E72" w:rsidRDefault="008344D8">
                    <w:pPr>
                      <w:rPr>
                        <w:szCs w:val="21"/>
                      </w:rPr>
                    </w:pPr>
                    <w:r>
                      <w:rPr>
                        <w:szCs w:val="21"/>
                      </w:rPr>
                      <w:t>是</w:t>
                    </w:r>
                  </w:p>
                </w:tc>
              </w:sdtContent>
            </w:sdt>
            <w:sdt>
              <w:sdtPr>
                <w:rPr>
                  <w:szCs w:val="21"/>
                </w:rPr>
                <w:alias w:val="与首次公开发行相关的承诺-是否及时严格履行"/>
                <w:tag w:val="_GBC_72e17878bcd24bdb95a1b0936940ee48"/>
                <w:id w:val="-880476914"/>
                <w:lock w:val="sdtLocked"/>
                <w:comboBox>
                  <w:listItem w:displayText="是" w:value="true"/>
                  <w:listItem w:displayText="否" w:value="false"/>
                </w:comboBox>
              </w:sdtPr>
              <w:sdtEndPr/>
              <w:sdtContent>
                <w:tc>
                  <w:tcPr>
                    <w:tcW w:w="252" w:type="pct"/>
                    <w:shd w:val="clear" w:color="auto" w:fill="auto"/>
                    <w:vAlign w:val="center"/>
                  </w:tcPr>
                  <w:p w14:paraId="61738403" w14:textId="77777777" w:rsidR="00830E72" w:rsidRDefault="008344D8">
                    <w:pPr>
                      <w:rPr>
                        <w:szCs w:val="21"/>
                      </w:rPr>
                    </w:pPr>
                    <w:r>
                      <w:rPr>
                        <w:szCs w:val="21"/>
                      </w:rPr>
                      <w:t>是</w:t>
                    </w:r>
                  </w:p>
                </w:tc>
              </w:sdtContent>
            </w:sdt>
            <w:tc>
              <w:tcPr>
                <w:tcW w:w="502" w:type="pct"/>
                <w:shd w:val="clear" w:color="auto" w:fill="auto"/>
                <w:vAlign w:val="center"/>
              </w:tcPr>
              <w:p w14:paraId="279C5503" w14:textId="77777777" w:rsidR="00830E72" w:rsidRDefault="008344D8">
                <w:r>
                  <w:t>不适用</w:t>
                </w:r>
              </w:p>
            </w:tc>
            <w:tc>
              <w:tcPr>
                <w:tcW w:w="332" w:type="pct"/>
                <w:shd w:val="clear" w:color="auto" w:fill="auto"/>
                <w:vAlign w:val="center"/>
              </w:tcPr>
              <w:p w14:paraId="33761979" w14:textId="77777777" w:rsidR="00830E72" w:rsidRDefault="008344D8">
                <w:r>
                  <w:t>不适用</w:t>
                </w:r>
              </w:p>
            </w:tc>
          </w:tr>
          <w:tr w:rsidR="00830E72" w14:paraId="10999957" w14:textId="77777777">
            <w:tc>
              <w:tcPr>
                <w:tcW w:w="547" w:type="pct"/>
                <w:vMerge/>
                <w:shd w:val="clear" w:color="auto" w:fill="auto"/>
                <w:vAlign w:val="center"/>
              </w:tcPr>
              <w:p w14:paraId="4F026697" w14:textId="77777777" w:rsidR="00830E72" w:rsidRDefault="00830E72">
                <w:pPr>
                  <w:rPr>
                    <w:szCs w:val="21"/>
                  </w:rPr>
                </w:pPr>
              </w:p>
            </w:tc>
            <w:sdt>
              <w:sdtPr>
                <w:rPr>
                  <w:szCs w:val="21"/>
                </w:rPr>
                <w:alias w:val="与首次公开发行相关的承诺-承诺类型"/>
                <w:tag w:val="_GBC_f0b3976fba3f46e4affc4364f69d8f5a"/>
                <w:id w:val="-211327609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2" w:type="pct"/>
                    <w:shd w:val="clear" w:color="auto" w:fill="auto"/>
                    <w:vAlign w:val="center"/>
                  </w:tcPr>
                  <w:p w14:paraId="2A2689E5" w14:textId="77777777" w:rsidR="00830E72" w:rsidRDefault="008344D8">
                    <w:pPr>
                      <w:rPr>
                        <w:szCs w:val="21"/>
                      </w:rPr>
                    </w:pPr>
                    <w:r>
                      <w:rPr>
                        <w:szCs w:val="21"/>
                      </w:rPr>
                      <w:t>其他</w:t>
                    </w:r>
                  </w:p>
                </w:tc>
              </w:sdtContent>
            </w:sdt>
            <w:tc>
              <w:tcPr>
                <w:tcW w:w="402" w:type="pct"/>
                <w:shd w:val="clear" w:color="auto" w:fill="auto"/>
                <w:vAlign w:val="center"/>
              </w:tcPr>
              <w:p w14:paraId="2384E445" w14:textId="77777777" w:rsidR="00830E72" w:rsidRDefault="008344D8">
                <w:r>
                  <w:t>控股股东的董事、监事及高级管理人员</w:t>
                </w:r>
              </w:p>
            </w:tc>
            <w:tc>
              <w:tcPr>
                <w:tcW w:w="1909" w:type="pct"/>
                <w:shd w:val="clear" w:color="auto" w:fill="auto"/>
                <w:vAlign w:val="center"/>
              </w:tcPr>
              <w:p w14:paraId="3C35E8E2" w14:textId="77777777" w:rsidR="00830E72" w:rsidRDefault="008344D8">
                <w:r>
                  <w:t>在本人任职期间，严格依照相关法律法规规定，不以任何方式占用安徽省交通建设股份有限公司（以下简称‘安徽交建’）资金，督促控股股东严格遵守相关制度，严格履行关联交易决策程序，切实杜绝控股股东或关联方占用安徽交建的情形发生。</w:t>
                </w:r>
              </w:p>
            </w:tc>
            <w:tc>
              <w:tcPr>
                <w:tcW w:w="402" w:type="pct"/>
                <w:shd w:val="clear" w:color="auto" w:fill="auto"/>
                <w:vAlign w:val="center"/>
              </w:tcPr>
              <w:p w14:paraId="7B33FA51" w14:textId="77777777" w:rsidR="00830E72" w:rsidRDefault="008344D8">
                <w:r>
                  <w:t>长期有效</w:t>
                </w:r>
              </w:p>
            </w:tc>
            <w:sdt>
              <w:sdtPr>
                <w:rPr>
                  <w:szCs w:val="21"/>
                </w:rPr>
                <w:alias w:val="与首次公开发行相关的承诺-是否有履行期限"/>
                <w:tag w:val="_GBC_1a64033131a64daa8e3bdd128e9385c8"/>
                <w:id w:val="1947352933"/>
                <w:lock w:val="sdtLocked"/>
                <w:comboBox>
                  <w:listItem w:displayText="是" w:value="true"/>
                  <w:listItem w:displayText="否" w:value="false"/>
                </w:comboBox>
              </w:sdtPr>
              <w:sdtEndPr/>
              <w:sdtContent>
                <w:tc>
                  <w:tcPr>
                    <w:tcW w:w="251" w:type="pct"/>
                    <w:shd w:val="clear" w:color="auto" w:fill="auto"/>
                    <w:vAlign w:val="center"/>
                  </w:tcPr>
                  <w:p w14:paraId="1416FBED" w14:textId="77777777" w:rsidR="00830E72" w:rsidRDefault="008344D8">
                    <w:pPr>
                      <w:rPr>
                        <w:szCs w:val="21"/>
                      </w:rPr>
                    </w:pPr>
                    <w:r>
                      <w:rPr>
                        <w:szCs w:val="21"/>
                      </w:rPr>
                      <w:t>是</w:t>
                    </w:r>
                  </w:p>
                </w:tc>
              </w:sdtContent>
            </w:sdt>
            <w:sdt>
              <w:sdtPr>
                <w:rPr>
                  <w:szCs w:val="21"/>
                </w:rPr>
                <w:alias w:val="与首次公开发行相关的承诺-是否及时严格履行"/>
                <w:tag w:val="_GBC_72e17878bcd24bdb95a1b0936940ee48"/>
                <w:id w:val="1364317664"/>
                <w:lock w:val="sdtLocked"/>
                <w:comboBox>
                  <w:listItem w:displayText="是" w:value="true"/>
                  <w:listItem w:displayText="否" w:value="false"/>
                </w:comboBox>
              </w:sdtPr>
              <w:sdtEndPr/>
              <w:sdtContent>
                <w:tc>
                  <w:tcPr>
                    <w:tcW w:w="252" w:type="pct"/>
                    <w:shd w:val="clear" w:color="auto" w:fill="auto"/>
                    <w:vAlign w:val="center"/>
                  </w:tcPr>
                  <w:p w14:paraId="50CB685F" w14:textId="77777777" w:rsidR="00830E72" w:rsidRDefault="008344D8">
                    <w:pPr>
                      <w:rPr>
                        <w:szCs w:val="21"/>
                      </w:rPr>
                    </w:pPr>
                    <w:r>
                      <w:rPr>
                        <w:szCs w:val="21"/>
                      </w:rPr>
                      <w:t>是</w:t>
                    </w:r>
                  </w:p>
                </w:tc>
              </w:sdtContent>
            </w:sdt>
            <w:tc>
              <w:tcPr>
                <w:tcW w:w="502" w:type="pct"/>
                <w:shd w:val="clear" w:color="auto" w:fill="auto"/>
                <w:vAlign w:val="center"/>
              </w:tcPr>
              <w:p w14:paraId="266FE3F9" w14:textId="77777777" w:rsidR="00830E72" w:rsidRDefault="008344D8">
                <w:r>
                  <w:t>不适用</w:t>
                </w:r>
              </w:p>
            </w:tc>
            <w:tc>
              <w:tcPr>
                <w:tcW w:w="332" w:type="pct"/>
                <w:shd w:val="clear" w:color="auto" w:fill="auto"/>
                <w:vAlign w:val="center"/>
              </w:tcPr>
              <w:p w14:paraId="2D898AAB" w14:textId="77777777" w:rsidR="00830E72" w:rsidRDefault="008344D8">
                <w:r>
                  <w:t>不适用</w:t>
                </w:r>
              </w:p>
            </w:tc>
          </w:tr>
          <w:tr w:rsidR="00830E72" w14:paraId="28D8F35E" w14:textId="77777777">
            <w:tc>
              <w:tcPr>
                <w:tcW w:w="547" w:type="pct"/>
                <w:vMerge/>
                <w:shd w:val="clear" w:color="auto" w:fill="auto"/>
                <w:vAlign w:val="center"/>
              </w:tcPr>
              <w:p w14:paraId="6F9C6290" w14:textId="77777777" w:rsidR="00830E72" w:rsidRDefault="00830E72"/>
            </w:tc>
            <w:sdt>
              <w:sdtPr>
                <w:rPr>
                  <w:szCs w:val="21"/>
                </w:rPr>
                <w:alias w:val="与首次公开发行相关的承诺-承诺类型"/>
                <w:tag w:val="_GBC_f0b3976fba3f46e4affc4364f69d8f5a"/>
                <w:id w:val="167722565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2" w:type="pct"/>
                    <w:shd w:val="clear" w:color="auto" w:fill="auto"/>
                    <w:vAlign w:val="center"/>
                  </w:tcPr>
                  <w:p w14:paraId="5D7E24D9" w14:textId="77777777" w:rsidR="00830E72" w:rsidRDefault="008344D8">
                    <w:pPr>
                      <w:rPr>
                        <w:szCs w:val="21"/>
                      </w:rPr>
                    </w:pPr>
                    <w:r>
                      <w:rPr>
                        <w:szCs w:val="21"/>
                      </w:rPr>
                      <w:t>其他</w:t>
                    </w:r>
                  </w:p>
                </w:tc>
              </w:sdtContent>
            </w:sdt>
            <w:tc>
              <w:tcPr>
                <w:tcW w:w="402" w:type="pct"/>
                <w:shd w:val="clear" w:color="auto" w:fill="auto"/>
                <w:vAlign w:val="center"/>
              </w:tcPr>
              <w:p w14:paraId="4B588075" w14:textId="77777777" w:rsidR="00830E72" w:rsidRDefault="008344D8">
                <w:pPr>
                  <w:rPr>
                    <w:szCs w:val="21"/>
                  </w:rPr>
                </w:pPr>
                <w:r>
                  <w:t>公司、控股股东、实际控制人、董事、监事、高级管理人员</w:t>
                </w:r>
              </w:p>
            </w:tc>
            <w:tc>
              <w:tcPr>
                <w:tcW w:w="1909" w:type="pct"/>
                <w:shd w:val="clear" w:color="auto" w:fill="auto"/>
                <w:vAlign w:val="center"/>
              </w:tcPr>
              <w:p w14:paraId="1D44EA5D" w14:textId="77777777" w:rsidR="00830E72" w:rsidRDefault="008344D8">
                <w:pPr>
                  <w:jc w:val="both"/>
                  <w:rPr>
                    <w:szCs w:val="21"/>
                  </w:rPr>
                </w:pPr>
                <w:r>
                  <w:t>公司承诺：如《招股说明书》有虚假记载、误导性陈述或者重大遗漏，致使投资者在证券交易中遭受损失的，本公司将在该事项经有权机关认定之日起30日内依法赔偿投资者损失。赔偿金额依据本公司与投资者协商确定的金额，或中国证监会、司法机关认定的方式或金额确定。如《招股说明书》有虚假记载、误导性陈述或者重大遗漏，对判断本公司是否符合法律规定的发行条件构成重大、实质性影响的，在该事项经有权机关认定之日起30日内，本公司将在股东大会审批批准回购方案后依法回购首次公开发行的全部新股，回购价格按公司股票首次公开发行价格加计同期银行存款利息。若回购时，法律法规及中国证监会、上海证券交易所颁布的规范性文件有新规定的，从其规定。控股股东承诺：如《招股说明书》有虚假记载、误导性陈述或者重大遗漏，致使投资者在证券交易中遭受损失的，本公司将在该事项经有权机关认定之日起30日内依法赔偿投资者损失。如《招股说明书》有虚假记载、误导性陈述或者重大遗漏，对判断安徽交建是否符合法律规定的发行条件构成重大、实质影响的情形，则本公司承诺督促安徽交建依法回购其首次公开发行的全部新股。实际控制人承诺：如《招股说明书》有虚假记载、误导性陈述或者重大遗漏，致使投资者在证券交易中遭受损失的，</w:t>
                </w:r>
                <w:r>
                  <w:lastRenderedPageBreak/>
                  <w:t>本人将在该事项经有权机关认定之日起30日内依法赔偿投资者损失。如《招股说明书》有虚假记载、误导性陈述或者重大遗漏，对判断安徽交建是否符合法律规定的发行条件构成重大、实质影响的情形，则本人承诺督促安徽交建依法回购其首次公开发行的全部新股。董事、监事、高级管理人员承诺：如《招股说明书》有虚假记载、误导性陈述或者重大遗漏，致使投资者在证券交易中遭受损失的，本人将依法赔偿投资者损失。赔偿金额依据本人与投资者协商确定的金额，或中国证监会、司法机关认定的方式或金额确定。</w:t>
                </w:r>
              </w:p>
            </w:tc>
            <w:tc>
              <w:tcPr>
                <w:tcW w:w="402" w:type="pct"/>
                <w:shd w:val="clear" w:color="auto" w:fill="auto"/>
                <w:vAlign w:val="center"/>
              </w:tcPr>
              <w:p w14:paraId="77DFADCD" w14:textId="77777777" w:rsidR="00830E72" w:rsidRDefault="008344D8">
                <w:pPr>
                  <w:rPr>
                    <w:szCs w:val="21"/>
                  </w:rPr>
                </w:pPr>
                <w:r>
                  <w:lastRenderedPageBreak/>
                  <w:t>长期有效</w:t>
                </w:r>
              </w:p>
            </w:tc>
            <w:sdt>
              <w:sdtPr>
                <w:rPr>
                  <w:szCs w:val="21"/>
                </w:rPr>
                <w:alias w:val="与首次公开发行相关的承诺-是否有履行期限"/>
                <w:tag w:val="_GBC_1a64033131a64daa8e3bdd128e9385c8"/>
                <w:id w:val="844750908"/>
                <w:lock w:val="sdtLocked"/>
                <w:comboBox>
                  <w:listItem w:displayText="是" w:value="true"/>
                  <w:listItem w:displayText="否" w:value="false"/>
                </w:comboBox>
              </w:sdtPr>
              <w:sdtEndPr/>
              <w:sdtContent>
                <w:tc>
                  <w:tcPr>
                    <w:tcW w:w="251" w:type="pct"/>
                    <w:shd w:val="clear" w:color="auto" w:fill="auto"/>
                    <w:vAlign w:val="center"/>
                  </w:tcPr>
                  <w:p w14:paraId="5B1B7E44" w14:textId="77777777" w:rsidR="00830E72" w:rsidRDefault="008344D8">
                    <w:pPr>
                      <w:rPr>
                        <w:szCs w:val="21"/>
                      </w:rPr>
                    </w:pPr>
                    <w:r>
                      <w:rPr>
                        <w:szCs w:val="21"/>
                      </w:rPr>
                      <w:t>是</w:t>
                    </w:r>
                  </w:p>
                </w:tc>
              </w:sdtContent>
            </w:sdt>
            <w:sdt>
              <w:sdtPr>
                <w:rPr>
                  <w:szCs w:val="21"/>
                </w:rPr>
                <w:alias w:val="与首次公开发行相关的承诺-是否及时严格履行"/>
                <w:tag w:val="_GBC_72e17878bcd24bdb95a1b0936940ee48"/>
                <w:id w:val="-838458972"/>
                <w:lock w:val="sdtLocked"/>
                <w:comboBox>
                  <w:listItem w:displayText="是" w:value="true"/>
                  <w:listItem w:displayText="否" w:value="false"/>
                </w:comboBox>
              </w:sdtPr>
              <w:sdtEndPr/>
              <w:sdtContent>
                <w:tc>
                  <w:tcPr>
                    <w:tcW w:w="252" w:type="pct"/>
                    <w:shd w:val="clear" w:color="auto" w:fill="auto"/>
                    <w:vAlign w:val="center"/>
                  </w:tcPr>
                  <w:p w14:paraId="48C7ED04" w14:textId="77777777" w:rsidR="00830E72" w:rsidRDefault="008344D8">
                    <w:pPr>
                      <w:rPr>
                        <w:szCs w:val="21"/>
                      </w:rPr>
                    </w:pPr>
                    <w:r>
                      <w:rPr>
                        <w:szCs w:val="21"/>
                      </w:rPr>
                      <w:t>是</w:t>
                    </w:r>
                  </w:p>
                </w:tc>
              </w:sdtContent>
            </w:sdt>
            <w:tc>
              <w:tcPr>
                <w:tcW w:w="502" w:type="pct"/>
                <w:shd w:val="clear" w:color="auto" w:fill="auto"/>
                <w:vAlign w:val="center"/>
              </w:tcPr>
              <w:p w14:paraId="38DC8506" w14:textId="77777777" w:rsidR="00830E72" w:rsidRDefault="008344D8">
                <w:pPr>
                  <w:rPr>
                    <w:szCs w:val="21"/>
                  </w:rPr>
                </w:pPr>
                <w:r>
                  <w:t>不适用</w:t>
                </w:r>
              </w:p>
            </w:tc>
            <w:tc>
              <w:tcPr>
                <w:tcW w:w="332" w:type="pct"/>
                <w:shd w:val="clear" w:color="auto" w:fill="auto"/>
                <w:vAlign w:val="center"/>
              </w:tcPr>
              <w:p w14:paraId="7EE81776" w14:textId="77777777" w:rsidR="00830E72" w:rsidRDefault="008344D8">
                <w:pPr>
                  <w:rPr>
                    <w:szCs w:val="21"/>
                  </w:rPr>
                </w:pPr>
                <w:r>
                  <w:t>不适用</w:t>
                </w:r>
              </w:p>
            </w:tc>
          </w:tr>
        </w:tbl>
        <w:p w14:paraId="25FD2D66" w14:textId="77777777" w:rsidR="00830E72" w:rsidRDefault="00D44830">
          <w:pPr>
            <w:rPr>
              <w:szCs w:val="21"/>
            </w:rPr>
          </w:pPr>
        </w:p>
      </w:sdtContent>
    </w:sdt>
    <w:sdt>
      <w:sdtPr>
        <w:rPr>
          <w:rFonts w:ascii="宋体" w:hAnsi="宋体" w:cs="宋体" w:hint="eastAsia"/>
          <w:b w:val="0"/>
          <w:bCs w:val="0"/>
          <w:kern w:val="0"/>
          <w:szCs w:val="24"/>
        </w:rPr>
        <w:alias w:val="模块:报告期内控股股东及其他关联方非经营性占用资金情况  单位..."/>
        <w:tag w:val="_SEC_2f371a3cc949400ea818d66a836d5785"/>
        <w:id w:val="1269052039"/>
        <w:lock w:val="sdtLocked"/>
        <w:placeholder>
          <w:docPart w:val="GBC22222222222222222222222222222"/>
        </w:placeholder>
      </w:sdtPr>
      <w:sdtEndPr>
        <w:rPr>
          <w:rFonts w:hint="default"/>
        </w:rPr>
      </w:sdtEndPr>
      <w:sdtContent>
        <w:p w14:paraId="7CC36A22" w14:textId="77777777" w:rsidR="00830E72" w:rsidRDefault="008344D8">
          <w:pPr>
            <w:pStyle w:val="2"/>
            <w:numPr>
              <w:ilvl w:val="0"/>
              <w:numId w:val="16"/>
            </w:numPr>
            <w:tabs>
              <w:tab w:val="left" w:pos="426"/>
            </w:tabs>
            <w:jc w:val="left"/>
            <w:rPr>
              <w:rFonts w:ascii="宋体" w:hAnsi="宋体"/>
            </w:rPr>
          </w:pPr>
          <w:r>
            <w:rPr>
              <w:rFonts w:ascii="宋体" w:hAnsi="宋体" w:hint="eastAsia"/>
            </w:rPr>
            <w:t>报</w:t>
          </w:r>
          <w:r>
            <w:rPr>
              <w:rFonts w:ascii="宋体" w:hAnsi="宋体"/>
            </w:rPr>
            <w:t>告期内</w:t>
          </w:r>
          <w:r>
            <w:rPr>
              <w:rFonts w:ascii="宋体" w:hAnsi="宋体" w:hint="eastAsia"/>
            </w:rPr>
            <w:t>控股股东及其他关联方非经营性占用资金情况</w:t>
          </w:r>
        </w:p>
        <w:sdt>
          <w:sdtPr>
            <w:rPr>
              <w:szCs w:val="21"/>
            </w:rPr>
            <w:alias w:val="是否适用：资金被占用情况及清欠进展情况[双击切换]"/>
            <w:tag w:val="_GBC_ae82394ae54d49eba71e8d8d6447c499"/>
            <w:id w:val="1265272815"/>
            <w:lock w:val="sdtLocked"/>
            <w:placeholder>
              <w:docPart w:val="GBC22222222222222222222222222222"/>
            </w:placeholder>
          </w:sdtPr>
          <w:sdtEndPr/>
          <w:sdtContent>
            <w:p w14:paraId="6FCB9083" w14:textId="77777777" w:rsidR="00830E72" w:rsidRDefault="008344D8">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违规担保情况"/>
        <w:tag w:val="_SEC_623f0c33c18d4979b146b229057a4e89"/>
        <w:id w:val="-833143462"/>
        <w:lock w:val="sdtLocked"/>
        <w:placeholder>
          <w:docPart w:val="GBC22222222222222222222222222222"/>
        </w:placeholder>
      </w:sdtPr>
      <w:sdtEndPr>
        <w:rPr>
          <w:rFonts w:hint="default"/>
        </w:rPr>
      </w:sdtEndPr>
      <w:sdtContent>
        <w:p w14:paraId="6F73DCA9" w14:textId="77777777" w:rsidR="00830E72" w:rsidRDefault="008344D8">
          <w:pPr>
            <w:pStyle w:val="2"/>
            <w:numPr>
              <w:ilvl w:val="0"/>
              <w:numId w:val="16"/>
            </w:numPr>
            <w:tabs>
              <w:tab w:val="left" w:pos="426"/>
            </w:tabs>
            <w:jc w:val="left"/>
            <w:rPr>
              <w:rFonts w:ascii="宋体" w:hAnsi="宋体"/>
            </w:rPr>
          </w:pPr>
          <w:r>
            <w:rPr>
              <w:rFonts w:ascii="宋体" w:hAnsi="宋体" w:hint="eastAsia"/>
            </w:rPr>
            <w:t>违规担保情况</w:t>
          </w:r>
        </w:p>
        <w:sdt>
          <w:sdtPr>
            <w:alias w:val="是否适用：违规担保情况[双击切换]"/>
            <w:tag w:val="_GBC_725722c7a37d40c28caf80b13d948933"/>
            <w:id w:val="-1201623731"/>
            <w:lock w:val="sdtLocked"/>
            <w:placeholder>
              <w:docPart w:val="GBC22222222222222222222222222222"/>
            </w:placeholder>
          </w:sdtPr>
          <w:sdtEndPr/>
          <w:sdtContent>
            <w:p w14:paraId="4AE52EF6"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5477F0A" w14:textId="77777777" w:rsidR="00830E72" w:rsidRDefault="00830E72">
      <w:pPr>
        <w:rPr>
          <w:szCs w:val="21"/>
        </w:rPr>
        <w:sectPr w:rsidR="00830E72">
          <w:pgSz w:w="16838" w:h="11906" w:orient="landscape"/>
          <w:pgMar w:top="1797" w:right="1525" w:bottom="1276" w:left="1440" w:header="851" w:footer="992" w:gutter="0"/>
          <w:cols w:space="425"/>
          <w:docGrid w:linePitch="312"/>
        </w:sectPr>
      </w:pPr>
    </w:p>
    <w:p w14:paraId="32E17D26" w14:textId="77777777" w:rsidR="00830E72" w:rsidRDefault="008344D8">
      <w:pPr>
        <w:pStyle w:val="2"/>
        <w:numPr>
          <w:ilvl w:val="0"/>
          <w:numId w:val="16"/>
        </w:numPr>
        <w:tabs>
          <w:tab w:val="left" w:pos="426"/>
        </w:tabs>
        <w:ind w:left="422" w:hanging="422"/>
        <w:jc w:val="left"/>
        <w:rPr>
          <w:rFonts w:ascii="宋体" w:hAnsi="宋体"/>
        </w:rPr>
      </w:pPr>
      <w:r>
        <w:rPr>
          <w:rFonts w:ascii="宋体" w:hAnsi="宋体" w:hint="eastAsia"/>
        </w:rPr>
        <w:lastRenderedPageBreak/>
        <w:t>半年报审计情况</w:t>
      </w:r>
    </w:p>
    <w:sdt>
      <w:sdtPr>
        <w:rPr>
          <w:szCs w:val="21"/>
        </w:rPr>
        <w:alias w:val="是否适用：半年报审计情况  [双击切换]"/>
        <w:tag w:val="_GBC_b2faf86be7fd4060a2a7ad4018aaf033"/>
        <w:id w:val="-111908668"/>
        <w:lock w:val="sdtLocked"/>
        <w:placeholder>
          <w:docPart w:val="GBC22222222222222222222222222222"/>
        </w:placeholder>
      </w:sdtPr>
      <w:sdtEndPr/>
      <w:sdtContent>
        <w:p w14:paraId="0F8ADE78" w14:textId="77777777" w:rsidR="00830E72" w:rsidRDefault="008344D8">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hint="eastAsia"/>
          <w:b w:val="0"/>
          <w:bCs w:val="0"/>
          <w:kern w:val="0"/>
          <w:szCs w:val="24"/>
        </w:rPr>
        <w:alias w:val="模块:公司对上年年度报告中的财务报告被注册会计师出具“非标准审计报..."/>
        <w:tag w:val="_SEC_10be83ff0126440a8620e35536191767"/>
        <w:id w:val="-1442531658"/>
        <w:lock w:val="sdtLocked"/>
        <w:placeholder>
          <w:docPart w:val="GBC22222222222222222222222222222"/>
        </w:placeholder>
      </w:sdtPr>
      <w:sdtEndPr/>
      <w:sdtContent>
        <w:p w14:paraId="5D8555E4" w14:textId="77777777" w:rsidR="00830E72" w:rsidRDefault="008344D8">
          <w:pPr>
            <w:pStyle w:val="2"/>
            <w:numPr>
              <w:ilvl w:val="0"/>
              <w:numId w:val="16"/>
            </w:numPr>
            <w:tabs>
              <w:tab w:val="left" w:pos="426"/>
            </w:tabs>
            <w:jc w:val="left"/>
            <w:rPr>
              <w:rFonts w:ascii="宋体" w:hAnsi="宋体"/>
            </w:rPr>
          </w:pPr>
          <w:r>
            <w:rPr>
              <w:rFonts w:ascii="宋体" w:hAnsi="宋体" w:hint="eastAsia"/>
            </w:rPr>
            <w:t>上年年度报告非标准审计意见涉及事项的变化及处理情况</w:t>
          </w:r>
        </w:p>
        <w:sdt>
          <w:sdtPr>
            <w:rPr>
              <w:rFonts w:hint="eastAsia"/>
            </w:rPr>
            <w:alias w:val="是否适用：公司对上年年度报告中的财务报告被注册会计师出具“非标准审计报告”的说明 [双击切换]"/>
            <w:tag w:val="_GBC_06e0811c47124b6da79369103f766350"/>
            <w:id w:val="1848440226"/>
            <w:lock w:val="sdtLocked"/>
            <w:placeholder>
              <w:docPart w:val="GBC22222222222222222222222222222"/>
            </w:placeholder>
          </w:sdtPr>
          <w:sdtEndPr/>
          <w:sdtContent>
            <w:p w14:paraId="5F3D03C9"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破产重整相关事项"/>
        <w:tag w:val="_SEC_1ae3a3f4b3c4484980120137749e19ed"/>
        <w:id w:val="1063147017"/>
        <w:lock w:val="sdtLocked"/>
        <w:placeholder>
          <w:docPart w:val="GBC22222222222222222222222222222"/>
        </w:placeholder>
      </w:sdtPr>
      <w:sdtEndPr/>
      <w:sdtContent>
        <w:p w14:paraId="42C72ECE" w14:textId="77777777" w:rsidR="00830E72" w:rsidRDefault="008344D8">
          <w:pPr>
            <w:pStyle w:val="2"/>
            <w:numPr>
              <w:ilvl w:val="0"/>
              <w:numId w:val="16"/>
            </w:numPr>
            <w:tabs>
              <w:tab w:val="left" w:pos="426"/>
            </w:tabs>
            <w:jc w:val="left"/>
            <w:rPr>
              <w:rFonts w:ascii="宋体" w:hAnsi="宋体"/>
            </w:rPr>
          </w:pPr>
          <w:r>
            <w:rPr>
              <w:rFonts w:ascii="宋体" w:hAnsi="宋体" w:hint="eastAsia"/>
            </w:rPr>
            <w:t>破产重整相关事项</w:t>
          </w:r>
        </w:p>
        <w:sdt>
          <w:sdtPr>
            <w:rPr>
              <w:rFonts w:hint="eastAsia"/>
            </w:rPr>
            <w:alias w:val="是否适用：破产重整相关事项[双击切换]"/>
            <w:tag w:val="_GBC_c4fc8890d63b44b19353d2188a5bce59"/>
            <w:id w:val="-1175176632"/>
            <w:lock w:val="sdtLocked"/>
            <w:placeholder>
              <w:docPart w:val="GBC22222222222222222222222222222"/>
            </w:placeholder>
          </w:sdtPr>
          <w:sdtEndPr/>
          <w:sdtContent>
            <w:p w14:paraId="6E5B672E"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3924174" w14:textId="77777777" w:rsidR="00830E72" w:rsidRDefault="008344D8">
      <w:pPr>
        <w:pStyle w:val="2"/>
        <w:numPr>
          <w:ilvl w:val="0"/>
          <w:numId w:val="16"/>
        </w:numPr>
        <w:tabs>
          <w:tab w:val="left" w:pos="426"/>
        </w:tabs>
        <w:ind w:left="422" w:hanging="422"/>
        <w:jc w:val="left"/>
        <w:rPr>
          <w:rFonts w:ascii="宋体" w:hAnsi="宋体"/>
        </w:rPr>
      </w:pPr>
      <w:r>
        <w:rPr>
          <w:rFonts w:ascii="宋体" w:hAnsi="宋体"/>
        </w:rPr>
        <w:t>重大诉讼、仲裁事项</w:t>
      </w:r>
    </w:p>
    <w:sdt>
      <w:sdtPr>
        <w:rPr>
          <w:szCs w:val="21"/>
        </w:rPr>
        <w:alias w:val="本年度公司有无重大诉讼、仲裁事项"/>
        <w:tag w:val="_GBC_0fcf1cd2d0814185bde747855edf5227"/>
        <w:id w:val="-1906823360"/>
        <w:lock w:val="sdtLocked"/>
        <w:placeholder>
          <w:docPart w:val="GBC22222222222222222222222222222"/>
        </w:placeholder>
      </w:sdtPr>
      <w:sdtEndPr/>
      <w:sdtContent>
        <w:p w14:paraId="5CE5CECA" w14:textId="77777777" w:rsidR="00830E72" w:rsidRDefault="008344D8">
          <w:r>
            <w:rPr>
              <w:szCs w:val="21"/>
            </w:rPr>
            <w:fldChar w:fldCharType="begin"/>
          </w:r>
          <w:r>
            <w:rPr>
              <w:szCs w:val="21"/>
            </w:rPr>
            <w:instrText xml:space="preserve"> MACROBUTTON  SnrToggleCheckbox □本报告期公司有重大诉讼、仲裁事项 </w:instrText>
          </w:r>
          <w:r>
            <w:rPr>
              <w:szCs w:val="21"/>
            </w:rPr>
            <w:fldChar w:fldCharType="end"/>
          </w:r>
          <w:r>
            <w:rPr>
              <w:szCs w:val="21"/>
            </w:rPr>
            <w:fldChar w:fldCharType="begin"/>
          </w:r>
          <w:r>
            <w:rPr>
              <w:szCs w:val="21"/>
            </w:rPr>
            <w:instrText xml:space="preserve"> MACROBUTTON  SnrToggleCheckbox √本报告期公司无重大诉讼、仲裁事项 </w:instrText>
          </w:r>
          <w:r>
            <w:rPr>
              <w:szCs w:val="21"/>
            </w:rPr>
            <w:fldChar w:fldCharType="end"/>
          </w:r>
        </w:p>
      </w:sdtContent>
    </w:sdt>
    <w:sdt>
      <w:sdtPr>
        <w:rPr>
          <w:rFonts w:ascii="宋体" w:hAnsi="宋体" w:cs="宋体"/>
          <w:b w:val="0"/>
          <w:bCs w:val="0"/>
          <w:kern w:val="0"/>
          <w:szCs w:val="24"/>
        </w:rPr>
        <w:alias w:val="模块:上市公司及其董事、监事、高级管理人员、控股股东、实际控制人、收购人处罚及整改情况"/>
        <w:tag w:val="_SEC_61682565f6714c6a81ab8e6d05a5abaa"/>
        <w:id w:val="-312176614"/>
        <w:lock w:val="sdtLocked"/>
        <w:placeholder>
          <w:docPart w:val="GBC22222222222222222222222222222"/>
        </w:placeholder>
      </w:sdtPr>
      <w:sdtEndPr>
        <w:rPr>
          <w:rFonts w:hint="eastAsia"/>
        </w:rPr>
      </w:sdtEndPr>
      <w:sdtContent>
        <w:p w14:paraId="773AF871" w14:textId="77777777" w:rsidR="00830E72" w:rsidRDefault="008344D8">
          <w:pPr>
            <w:pStyle w:val="2"/>
            <w:numPr>
              <w:ilvl w:val="0"/>
              <w:numId w:val="16"/>
            </w:numPr>
            <w:tabs>
              <w:tab w:val="left" w:pos="426"/>
            </w:tabs>
            <w:jc w:val="left"/>
            <w:rPr>
              <w:rFonts w:ascii="宋体" w:hAnsi="宋体"/>
            </w:rPr>
          </w:pPr>
          <w:r>
            <w:rPr>
              <w:rFonts w:ascii="宋体" w:hAnsi="宋体"/>
            </w:rPr>
            <w:t>上市公司</w:t>
          </w:r>
          <w:r>
            <w:rPr>
              <w:rFonts w:ascii="宋体" w:hAnsi="宋体" w:hint="eastAsia"/>
            </w:rPr>
            <w:t>及其董事、监事、高级管理人员、控股股东、实际控制人</w:t>
          </w:r>
          <w:r>
            <w:rPr>
              <w:rFonts w:ascii="宋体" w:hAnsi="宋体"/>
            </w:rPr>
            <w:t>涉嫌违法违规、受到处罚及整改情况</w:t>
          </w:r>
        </w:p>
        <w:sdt>
          <w:sdtPr>
            <w:rPr>
              <w:rFonts w:hint="eastAsia"/>
            </w:rPr>
            <w:alias w:val="是否适用：上市公司及其董事、监事、高级管理人员、持有5%以上股份的股东、实际控制人、收购人处罚及整改情况[双击切换]"/>
            <w:tag w:val="_GBC_05b097ae59254d13916df227f563a3ed"/>
            <w:id w:val="-358582726"/>
            <w:lock w:val="sdtLocked"/>
            <w:placeholder>
              <w:docPart w:val="GBC22222222222222222222222222222"/>
            </w:placeholder>
          </w:sdtPr>
          <w:sdtEndPr/>
          <w:sdtContent>
            <w:p w14:paraId="2C59F7D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报告期内公司及其控股股东、实际控制人诚信状况的说明"/>
        <w:tag w:val="_SEC_b6520273283341408b24eceadfb999dd"/>
        <w:id w:val="930942897"/>
        <w:lock w:val="sdtLocked"/>
        <w:placeholder>
          <w:docPart w:val="GBC22222222222222222222222222222"/>
        </w:placeholder>
      </w:sdtPr>
      <w:sdtEndPr/>
      <w:sdtContent>
        <w:p w14:paraId="1284F501" w14:textId="77777777" w:rsidR="00830E72" w:rsidRDefault="008344D8">
          <w:pPr>
            <w:pStyle w:val="2"/>
            <w:numPr>
              <w:ilvl w:val="0"/>
              <w:numId w:val="16"/>
            </w:numPr>
            <w:tabs>
              <w:tab w:val="left" w:pos="426"/>
            </w:tabs>
            <w:jc w:val="left"/>
            <w:rPr>
              <w:rFonts w:ascii="宋体" w:hAnsi="宋体"/>
            </w:rPr>
          </w:pPr>
          <w:r>
            <w:rPr>
              <w:rFonts w:ascii="宋体" w:hAnsi="宋体"/>
            </w:rPr>
            <w:t>报告期内公司及其控股股东、实际控制人诚信状况的说明</w:t>
          </w:r>
        </w:p>
        <w:sdt>
          <w:sdtPr>
            <w:rPr>
              <w:rFonts w:hint="eastAsia"/>
            </w:rPr>
            <w:alias w:val="是否适用：报告期内公司及其控股股东、实际控制人诚信状况的说明[双击切换]"/>
            <w:tag w:val="_GBC_650ef1e21808426d806ee2024dd14590"/>
            <w:id w:val="-1983303216"/>
            <w:lock w:val="sdtLocked"/>
            <w:placeholder>
              <w:docPart w:val="GBC22222222222222222222222222222"/>
            </w:placeholder>
          </w:sdtPr>
          <w:sdtEndPr/>
          <w:sdtContent>
            <w:p w14:paraId="11B7E64E"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70B07FD" w14:textId="77777777" w:rsidR="00830E72" w:rsidRDefault="008344D8">
      <w:pPr>
        <w:pStyle w:val="2"/>
        <w:numPr>
          <w:ilvl w:val="0"/>
          <w:numId w:val="16"/>
        </w:numPr>
        <w:tabs>
          <w:tab w:val="left" w:pos="426"/>
        </w:tabs>
        <w:ind w:left="422" w:hanging="422"/>
        <w:jc w:val="left"/>
        <w:rPr>
          <w:rFonts w:ascii="宋体" w:hAnsi="宋体"/>
        </w:rPr>
      </w:pPr>
      <w:r>
        <w:rPr>
          <w:rFonts w:ascii="宋体" w:hAnsi="宋体" w:hint="eastAsia"/>
        </w:rPr>
        <w:t>重大关联交易</w:t>
      </w:r>
    </w:p>
    <w:p w14:paraId="5D3E63F4" w14:textId="77777777" w:rsidR="00830E72" w:rsidRDefault="008344D8">
      <w:pPr>
        <w:pStyle w:val="3"/>
        <w:numPr>
          <w:ilvl w:val="2"/>
          <w:numId w:val="4"/>
        </w:numPr>
        <w:rPr>
          <w:rFonts w:ascii="宋体" w:hAnsi="宋体"/>
        </w:rPr>
      </w:pPr>
      <w:r>
        <w:rPr>
          <w:rFonts w:ascii="宋体" w:hAnsi="宋体" w:hint="eastAsia"/>
        </w:rPr>
        <w:t>与日常经营相关的关联交易</w:t>
      </w:r>
    </w:p>
    <w:sdt>
      <w:sdtPr>
        <w:rPr>
          <w:rFonts w:ascii="宋体" w:hAnsi="宋体" w:cs="宋体"/>
          <w:b w:val="0"/>
          <w:bCs w:val="0"/>
          <w:kern w:val="0"/>
          <w:szCs w:val="22"/>
        </w:rPr>
        <w:alias w:val="模块:已在临时公告披露且后续实施无进展或变化的事项"/>
        <w:tag w:val="_SEC_b9489dd6b4c843e6be6e5a97de24b51b"/>
        <w:id w:val="-836310386"/>
        <w:lock w:val="sdtLocked"/>
        <w:placeholder>
          <w:docPart w:val="GBC22222222222222222222222222222"/>
        </w:placeholder>
      </w:sdtPr>
      <w:sdtEndPr>
        <w:rPr>
          <w:szCs w:val="24"/>
        </w:rPr>
      </w:sdtEndPr>
      <w:sdtContent>
        <w:p w14:paraId="3D8D68D3" w14:textId="77777777" w:rsidR="00830E72" w:rsidRDefault="008344D8">
          <w:pPr>
            <w:pStyle w:val="4"/>
            <w:numPr>
              <w:ilvl w:val="2"/>
              <w:numId w:val="18"/>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与日常经营相关的关联交易[双击切换]"/>
            <w:tag w:val="_GBC_9cce66e2c46445bea6fd259dd8b5277c"/>
            <w:id w:val="872265852"/>
            <w:lock w:val="sdtLocked"/>
            <w:placeholder>
              <w:docPart w:val="GBC22222222222222222222222222222"/>
            </w:placeholder>
          </w:sdtPr>
          <w:sdtEndPr/>
          <w:sdtContent>
            <w:p w14:paraId="3453AA47" w14:textId="0748C041" w:rsidR="000A568D" w:rsidRDefault="008344D8" w:rsidP="002C3896">
              <w:r>
                <w:fldChar w:fldCharType="begin"/>
              </w:r>
              <w:r w:rsidR="002C3896">
                <w:instrText xml:space="preserve"> MACROBUTTON  SnrToggleCheckbox □适用 </w:instrText>
              </w:r>
              <w:r>
                <w:fldChar w:fldCharType="end"/>
              </w:r>
              <w:r>
                <w:fldChar w:fldCharType="begin"/>
              </w:r>
              <w:r w:rsidR="002C3896">
                <w:instrText xml:space="preserve"> MACROBUTTON  SnrToggleCheckbox √不适用 </w:instrText>
              </w:r>
              <w:r>
                <w:fldChar w:fldCharType="end"/>
              </w:r>
            </w:p>
          </w:sdtContent>
        </w:sdt>
        <w:p w14:paraId="74FB30AE" w14:textId="3DF48DDF" w:rsidR="00830E72" w:rsidRDefault="00D44830"/>
      </w:sdtContent>
    </w:sdt>
    <w:sdt>
      <w:sdtPr>
        <w:rPr>
          <w:rFonts w:ascii="宋体" w:hAnsi="宋体" w:cs="宋体"/>
          <w:b w:val="0"/>
          <w:bCs w:val="0"/>
          <w:kern w:val="0"/>
          <w:szCs w:val="22"/>
        </w:rPr>
        <w:alias w:val="模块:已在临时公告披露，但有后续实施的进展或变化的事项"/>
        <w:tag w:val="_SEC_ec9777844cc44aa6b3f98c8af0a20f95"/>
        <w:id w:val="1674772573"/>
        <w:lock w:val="sdtLocked"/>
        <w:placeholder>
          <w:docPart w:val="GBC22222222222222222222222222222"/>
        </w:placeholder>
      </w:sdtPr>
      <w:sdtEndPr>
        <w:rPr>
          <w:rFonts w:hint="eastAsia"/>
          <w:szCs w:val="24"/>
        </w:rPr>
      </w:sdtEndPr>
      <w:sdtContent>
        <w:p w14:paraId="63876EBB" w14:textId="77777777" w:rsidR="00830E72" w:rsidRDefault="008344D8">
          <w:pPr>
            <w:pStyle w:val="4"/>
            <w:numPr>
              <w:ilvl w:val="2"/>
              <w:numId w:val="18"/>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与日常经营相关的关联交易[双击切换]"/>
            <w:tag w:val="_GBC_3d236e76c44140259dd09a3aed77ca15"/>
            <w:id w:val="-1534643492"/>
            <w:lock w:val="sdtLocked"/>
            <w:placeholder>
              <w:docPart w:val="GBC22222222222222222222222222222"/>
            </w:placeholder>
          </w:sdtPr>
          <w:sdtEndPr/>
          <w:sdtContent>
            <w:p w14:paraId="5DAFEEF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2"/>
        </w:rPr>
        <w:alias w:val="模块:临时公告未披露的事项"/>
        <w:tag w:val="_SEC_227a4feb5cd045acb20f0e655bf26ea8"/>
        <w:id w:val="-1589614848"/>
        <w:lock w:val="sdtLocked"/>
        <w:placeholder>
          <w:docPart w:val="GBC22222222222222222222222222222"/>
        </w:placeholder>
      </w:sdtPr>
      <w:sdtEndPr>
        <w:rPr>
          <w:rFonts w:hint="default"/>
          <w:szCs w:val="24"/>
        </w:rPr>
      </w:sdtEndPr>
      <w:sdtContent>
        <w:p w14:paraId="416EB326" w14:textId="77777777" w:rsidR="00830E72" w:rsidRDefault="008344D8">
          <w:pPr>
            <w:pStyle w:val="4"/>
            <w:numPr>
              <w:ilvl w:val="2"/>
              <w:numId w:val="18"/>
            </w:numPr>
            <w:rPr>
              <w:rFonts w:ascii="宋体" w:hAnsi="宋体"/>
            </w:rPr>
          </w:pPr>
          <w:r>
            <w:rPr>
              <w:rFonts w:ascii="宋体" w:hAnsi="宋体" w:hint="eastAsia"/>
            </w:rPr>
            <w:t>临时公告未披露的事项</w:t>
          </w:r>
        </w:p>
        <w:sdt>
          <w:sdtPr>
            <w:alias w:val="是否适用：与日常经营相关的关联交易_临时公告未披露的事项[双击切换]"/>
            <w:tag w:val="_GBC_91ad548daaa84603a8faa6c0ce358499"/>
            <w:id w:val="1199974719"/>
            <w:lock w:val="sdtLocked"/>
            <w:placeholder>
              <w:docPart w:val="GBC22222222222222222222222222222"/>
            </w:placeholder>
          </w:sdtPr>
          <w:sdtEndPr/>
          <w:sdtContent>
            <w:p w14:paraId="4EDB8E99"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7FA5C99" w14:textId="77777777" w:rsidR="00830E72" w:rsidRDefault="008344D8">
      <w:pPr>
        <w:pStyle w:val="3"/>
        <w:numPr>
          <w:ilvl w:val="2"/>
          <w:numId w:val="4"/>
        </w:numPr>
        <w:rPr>
          <w:rFonts w:ascii="宋体" w:hAnsi="宋体"/>
        </w:rPr>
      </w:pPr>
      <w:r>
        <w:rPr>
          <w:rFonts w:ascii="宋体" w:hAnsi="宋体"/>
        </w:rPr>
        <w:t>资产收购</w:t>
      </w:r>
      <w:r>
        <w:rPr>
          <w:rFonts w:ascii="宋体" w:hAnsi="宋体" w:hint="eastAsia"/>
        </w:rPr>
        <w:t>或股权收购</w:t>
      </w:r>
      <w:r>
        <w:rPr>
          <w:rFonts w:ascii="宋体" w:hAnsi="宋体"/>
        </w:rPr>
        <w:t>、出售发生的关联交易</w:t>
      </w:r>
    </w:p>
    <w:sdt>
      <w:sdtPr>
        <w:rPr>
          <w:rFonts w:ascii="宋体" w:hAnsi="宋体" w:cs="宋体"/>
          <w:b w:val="0"/>
          <w:bCs w:val="0"/>
          <w:kern w:val="0"/>
          <w:szCs w:val="22"/>
        </w:rPr>
        <w:alias w:val="模块:已在临时公告披露且后续实施无进展或变化的事项"/>
        <w:tag w:val="_SEC_bf9131838c5b421d81cb3165b3861506"/>
        <w:id w:val="-2100560215"/>
        <w:lock w:val="sdtLocked"/>
        <w:placeholder>
          <w:docPart w:val="GBC22222222222222222222222222222"/>
        </w:placeholder>
      </w:sdtPr>
      <w:sdtEndPr>
        <w:rPr>
          <w:szCs w:val="24"/>
        </w:rPr>
      </w:sdtEndPr>
      <w:sdtContent>
        <w:p w14:paraId="3ABF2B54" w14:textId="77777777" w:rsidR="00830E72" w:rsidRDefault="008344D8">
          <w:pPr>
            <w:pStyle w:val="4"/>
            <w:numPr>
              <w:ilvl w:val="0"/>
              <w:numId w:val="19"/>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资产或股权收购、出售发生的关联交易[双击切换]"/>
            <w:tag w:val="_GBC_208b69178a984ade8f4f4dd7a3362ae3"/>
            <w:id w:val="-1209716157"/>
            <w:lock w:val="sdtLocked"/>
            <w:placeholder>
              <w:docPart w:val="GBC22222222222222222222222222222"/>
            </w:placeholder>
          </w:sdtPr>
          <w:sdtEndPr/>
          <w:sdtContent>
            <w:p w14:paraId="52EE15DF"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2"/>
        </w:rPr>
        <w:alias w:val="模块:已在临时公告披露，但有后续实施的进展或变化的事项"/>
        <w:tag w:val="_SEC_f9a57b14408248c4bc6881cfd0e81074"/>
        <w:id w:val="1066154014"/>
        <w:lock w:val="sdtLocked"/>
        <w:placeholder>
          <w:docPart w:val="GBC22222222222222222222222222222"/>
        </w:placeholder>
      </w:sdtPr>
      <w:sdtEndPr>
        <w:rPr>
          <w:rFonts w:hint="eastAsia"/>
          <w:szCs w:val="24"/>
        </w:rPr>
      </w:sdtEndPr>
      <w:sdtContent>
        <w:p w14:paraId="12C9FC7B" w14:textId="77777777" w:rsidR="00830E72" w:rsidRDefault="008344D8">
          <w:pPr>
            <w:pStyle w:val="4"/>
            <w:numPr>
              <w:ilvl w:val="0"/>
              <w:numId w:val="19"/>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资产或股权收购、出售发生的关联交易[双击切换]"/>
            <w:tag w:val="_GBC_b72de17637e74020b42aa0636b393f25"/>
            <w:id w:val="-135103636"/>
            <w:lock w:val="sdtLocked"/>
            <w:placeholder>
              <w:docPart w:val="GBC22222222222222222222222222222"/>
            </w:placeholder>
          </w:sdtPr>
          <w:sdtEndPr/>
          <w:sdtContent>
            <w:p w14:paraId="69E7C6CF"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2"/>
        </w:rPr>
        <w:alias w:val="模块:临时公告未披露的事项"/>
        <w:tag w:val="_SEC_a7b4eef2f39c4550974e81ee8caca798"/>
        <w:id w:val="1649945245"/>
        <w:lock w:val="sdtLocked"/>
        <w:placeholder>
          <w:docPart w:val="GBC22222222222222222222222222222"/>
        </w:placeholder>
      </w:sdtPr>
      <w:sdtEndPr>
        <w:rPr>
          <w:rFonts w:hint="eastAsia"/>
          <w:szCs w:val="24"/>
        </w:rPr>
      </w:sdtEndPr>
      <w:sdtContent>
        <w:p w14:paraId="7BC2E204" w14:textId="77777777" w:rsidR="00830E72" w:rsidRDefault="008344D8">
          <w:pPr>
            <w:pStyle w:val="4"/>
            <w:numPr>
              <w:ilvl w:val="0"/>
              <w:numId w:val="19"/>
            </w:numPr>
            <w:rPr>
              <w:rFonts w:ascii="宋体" w:hAnsi="宋体"/>
              <w:szCs w:val="32"/>
            </w:rPr>
          </w:pPr>
          <w:r>
            <w:rPr>
              <w:rFonts w:ascii="宋体" w:hAnsi="宋体"/>
              <w:szCs w:val="32"/>
            </w:rPr>
            <w:t>临时公告未披露的事项</w:t>
          </w:r>
        </w:p>
        <w:sdt>
          <w:sdtPr>
            <w:alias w:val="是否适用：资产收购、出售发生的关联交易_临时公告未披露的事项[双击切换]"/>
            <w:tag w:val="_GBC_d3f1f3f5ce564209aee49197432643af"/>
            <w:id w:val="629215608"/>
            <w:lock w:val="sdtLocked"/>
            <w:placeholder>
              <w:docPart w:val="GBC22222222222222222222222222222"/>
            </w:placeholder>
          </w:sdtPr>
          <w:sdtEndPr/>
          <w:sdtContent>
            <w:p w14:paraId="7E65A617"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4"/>
        </w:rPr>
        <w:alias w:val="模块:涉及业绩约定的，应当披露报告期内的业绩实现情况"/>
        <w:tag w:val="_SEC_e17a03ced9e54c92b773a7e185d85bd3"/>
        <w:id w:val="2061832568"/>
        <w:lock w:val="sdtLocked"/>
        <w:placeholder>
          <w:docPart w:val="GBC22222222222222222222222222222"/>
        </w:placeholder>
      </w:sdtPr>
      <w:sdtEndPr/>
      <w:sdtContent>
        <w:p w14:paraId="1CA1BD43" w14:textId="77777777" w:rsidR="00830E72" w:rsidRDefault="008344D8">
          <w:pPr>
            <w:pStyle w:val="4"/>
            <w:numPr>
              <w:ilvl w:val="0"/>
              <w:numId w:val="19"/>
            </w:numPr>
            <w:rPr>
              <w:rFonts w:ascii="宋体" w:hAnsi="宋体"/>
            </w:rPr>
          </w:pPr>
          <w:r>
            <w:rPr>
              <w:rFonts w:ascii="宋体" w:hAnsi="宋体"/>
            </w:rPr>
            <w:t>涉及业绩约定的，应当披露报告期内的业绩实现情况</w:t>
          </w:r>
        </w:p>
        <w:sdt>
          <w:sdtPr>
            <w:alias w:val="是否适用：涉及业绩约定的，应当披露报告期内的业绩实现情况[双击切换]"/>
            <w:tag w:val="_GBC_0640a8fc3526461ca1eed7810b087c23"/>
            <w:id w:val="413675211"/>
            <w:lock w:val="sdtLocked"/>
            <w:placeholder>
              <w:docPart w:val="GBC22222222222222222222222222222"/>
            </w:placeholder>
          </w:sdtPr>
          <w:sdtEndPr/>
          <w:sdtContent>
            <w:p w14:paraId="03E68564"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D97FCD5" w14:textId="77777777" w:rsidR="00830E72" w:rsidRDefault="008344D8">
      <w:pPr>
        <w:pStyle w:val="3"/>
        <w:numPr>
          <w:ilvl w:val="2"/>
          <w:numId w:val="4"/>
        </w:numPr>
        <w:rPr>
          <w:rFonts w:ascii="宋体" w:hAnsi="宋体"/>
        </w:rPr>
      </w:pPr>
      <w:r>
        <w:rPr>
          <w:rFonts w:ascii="宋体" w:hAnsi="宋体"/>
        </w:rPr>
        <w:t>共同对外投资的重大关联交易</w:t>
      </w:r>
    </w:p>
    <w:sdt>
      <w:sdtPr>
        <w:rPr>
          <w:rFonts w:ascii="宋体" w:hAnsi="宋体" w:cs="宋体"/>
          <w:b w:val="0"/>
          <w:bCs w:val="0"/>
          <w:kern w:val="0"/>
          <w:szCs w:val="22"/>
        </w:rPr>
        <w:alias w:val="模块:已在临时公告披露且后续实施无进展或变化的事项"/>
        <w:tag w:val="_SEC_d9e67609bdab489e985efba8758860bd"/>
        <w:id w:val="1742603154"/>
        <w:lock w:val="sdtLocked"/>
        <w:placeholder>
          <w:docPart w:val="GBC22222222222222222222222222222"/>
        </w:placeholder>
      </w:sdtPr>
      <w:sdtEndPr>
        <w:rPr>
          <w:szCs w:val="24"/>
        </w:rPr>
      </w:sdtEndPr>
      <w:sdtContent>
        <w:p w14:paraId="0ACB575E" w14:textId="77777777" w:rsidR="00830E72" w:rsidRDefault="008344D8">
          <w:pPr>
            <w:pStyle w:val="4"/>
            <w:numPr>
              <w:ilvl w:val="0"/>
              <w:numId w:val="20"/>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共同对外投资的重大关联交易[双击切换]"/>
            <w:tag w:val="_GBC_dda9192a67f44f8698afb5d0b3e3c767"/>
            <w:id w:val="1632744946"/>
            <w:lock w:val="sdtLocked"/>
            <w:placeholder>
              <w:docPart w:val="GBC22222222222222222222222222222"/>
            </w:placeholder>
          </w:sdtPr>
          <w:sdtEndPr/>
          <w:sdtContent>
            <w:p w14:paraId="35E35869"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2"/>
        </w:rPr>
        <w:alias w:val="模块:已在临时公告披露，但有后续实施的进展或变化的事项"/>
        <w:tag w:val="_SEC_53e4f8cd2c114fb1a1c9d74236ebd2fc"/>
        <w:id w:val="1580784143"/>
        <w:lock w:val="sdtLocked"/>
        <w:placeholder>
          <w:docPart w:val="GBC22222222222222222222222222222"/>
        </w:placeholder>
      </w:sdtPr>
      <w:sdtEndPr>
        <w:rPr>
          <w:rFonts w:hint="eastAsia"/>
          <w:szCs w:val="24"/>
        </w:rPr>
      </w:sdtEndPr>
      <w:sdtContent>
        <w:p w14:paraId="6DC394E0" w14:textId="77777777" w:rsidR="00830E72" w:rsidRDefault="008344D8">
          <w:pPr>
            <w:pStyle w:val="4"/>
            <w:numPr>
              <w:ilvl w:val="0"/>
              <w:numId w:val="20"/>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共同对外投资的重大关联交易[双击切换]"/>
            <w:tag w:val="_GBC_f5354c189ecd4cad9ef1e263c325c0db"/>
            <w:id w:val="1421444650"/>
            <w:lock w:val="sdtLocked"/>
            <w:placeholder>
              <w:docPart w:val="GBC22222222222222222222222222222"/>
            </w:placeholder>
          </w:sdtPr>
          <w:sdtEndPr/>
          <w:sdtContent>
            <w:p w14:paraId="03334253"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2"/>
        </w:rPr>
        <w:alias w:val="模块:临时公告未披露的事项"/>
        <w:tag w:val="_SEC_25e347f9cbc546cbafdf30522b654328"/>
        <w:id w:val="-457948939"/>
        <w:lock w:val="sdtLocked"/>
        <w:placeholder>
          <w:docPart w:val="GBC22222222222222222222222222222"/>
        </w:placeholder>
      </w:sdtPr>
      <w:sdtEndPr>
        <w:rPr>
          <w:rFonts w:hint="eastAsia"/>
          <w:szCs w:val="24"/>
        </w:rPr>
      </w:sdtEndPr>
      <w:sdtContent>
        <w:p w14:paraId="608421D3" w14:textId="77777777" w:rsidR="00830E72" w:rsidRDefault="008344D8">
          <w:pPr>
            <w:pStyle w:val="4"/>
            <w:numPr>
              <w:ilvl w:val="0"/>
              <w:numId w:val="20"/>
            </w:numPr>
            <w:rPr>
              <w:rFonts w:ascii="宋体" w:hAnsi="宋体"/>
            </w:rPr>
          </w:pPr>
          <w:r>
            <w:rPr>
              <w:rFonts w:ascii="宋体" w:hAnsi="宋体"/>
            </w:rPr>
            <w:t>临时公告未披露的事项</w:t>
          </w:r>
        </w:p>
        <w:sdt>
          <w:sdtPr>
            <w:rPr>
              <w:rFonts w:hint="eastAsia"/>
            </w:rPr>
            <w:alias w:val="是否适用：共同对外投资的重大关联交易_临时公告未披露的事项[双击切换]"/>
            <w:tag w:val="_GBC_3ac28148c3754202ba544078ad581a24"/>
            <w:id w:val="-657927365"/>
            <w:lock w:val="sdtLocked"/>
            <w:placeholder>
              <w:docPart w:val="GBC22222222222222222222222222222"/>
            </w:placeholder>
          </w:sdtPr>
          <w:sdtEndPr/>
          <w:sdtContent>
            <w:p w14:paraId="481273EC"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6F5EE2B" w14:textId="77777777" w:rsidR="00830E72" w:rsidRDefault="008344D8">
      <w:pPr>
        <w:pStyle w:val="3"/>
        <w:numPr>
          <w:ilvl w:val="2"/>
          <w:numId w:val="4"/>
        </w:numPr>
        <w:rPr>
          <w:rFonts w:ascii="宋体" w:hAnsi="宋体"/>
        </w:rPr>
      </w:pPr>
      <w:r>
        <w:rPr>
          <w:rFonts w:ascii="宋体" w:hAnsi="宋体" w:hint="eastAsia"/>
        </w:rPr>
        <w:t>关联债权债务往来</w:t>
      </w:r>
    </w:p>
    <w:sdt>
      <w:sdtPr>
        <w:rPr>
          <w:rFonts w:ascii="宋体" w:hAnsi="宋体" w:cs="宋体"/>
          <w:b w:val="0"/>
          <w:bCs w:val="0"/>
          <w:kern w:val="0"/>
          <w:szCs w:val="22"/>
        </w:rPr>
        <w:alias w:val="模块:已在临时公告披露且后续实施无进展或变化的事项"/>
        <w:tag w:val="_SEC_2fd4e717dd2949d2b4b4fb580dfce32a"/>
        <w:id w:val="-861969209"/>
        <w:lock w:val="sdtLocked"/>
        <w:placeholder>
          <w:docPart w:val="GBC22222222222222222222222222222"/>
        </w:placeholder>
      </w:sdtPr>
      <w:sdtEndPr>
        <w:rPr>
          <w:szCs w:val="24"/>
        </w:rPr>
      </w:sdtEndPr>
      <w:sdtContent>
        <w:p w14:paraId="23BE9B66" w14:textId="77777777" w:rsidR="00830E72" w:rsidRDefault="008344D8">
          <w:pPr>
            <w:pStyle w:val="4"/>
            <w:numPr>
              <w:ilvl w:val="0"/>
              <w:numId w:val="21"/>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关联债权债务往来[双击切换]"/>
            <w:tag w:val="_GBC_480ccdae6247445ca78cf6327eb0e24f"/>
            <w:id w:val="1536774974"/>
            <w:lock w:val="sdtLocked"/>
            <w:placeholder>
              <w:docPart w:val="GBC22222222222222222222222222222"/>
            </w:placeholder>
          </w:sdtPr>
          <w:sdtEndPr/>
          <w:sdtContent>
            <w:p w14:paraId="625C5F3C"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2"/>
        </w:rPr>
        <w:alias w:val="模块:已在临时公告披露，但有后续实施的进展或变化的事项"/>
        <w:tag w:val="_SEC_dcb3650518df4296931e576a9d6fdaf3"/>
        <w:id w:val="-1903978309"/>
        <w:lock w:val="sdtLocked"/>
        <w:placeholder>
          <w:docPart w:val="GBC22222222222222222222222222222"/>
        </w:placeholder>
      </w:sdtPr>
      <w:sdtEndPr>
        <w:rPr>
          <w:rFonts w:hint="eastAsia"/>
          <w:szCs w:val="24"/>
        </w:rPr>
      </w:sdtEndPr>
      <w:sdtContent>
        <w:p w14:paraId="0CBE7012" w14:textId="77777777" w:rsidR="00830E72" w:rsidRDefault="008344D8">
          <w:pPr>
            <w:pStyle w:val="4"/>
            <w:numPr>
              <w:ilvl w:val="0"/>
              <w:numId w:val="21"/>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关联债权债务往来[双击切换]"/>
            <w:tag w:val="_GBC_06dcfbbd6aed49aa878ab07a09b2270b"/>
            <w:id w:val="-2105486449"/>
            <w:lock w:val="sdtLocked"/>
            <w:placeholder>
              <w:docPart w:val="GBC22222222222222222222222222222"/>
            </w:placeholder>
          </w:sdtPr>
          <w:sdtEndPr/>
          <w:sdtContent>
            <w:p w14:paraId="00DE0BE7"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2"/>
        </w:rPr>
        <w:alias w:val="模块:临时公告未披露的事项"/>
        <w:tag w:val="_SEC_da19abf815bb4e3a97fcb901c6225551"/>
        <w:id w:val="450595018"/>
        <w:lock w:val="sdtLocked"/>
        <w:placeholder>
          <w:docPart w:val="GBC22222222222222222222222222222"/>
        </w:placeholder>
      </w:sdtPr>
      <w:sdtEndPr>
        <w:rPr>
          <w:szCs w:val="21"/>
        </w:rPr>
      </w:sdtEndPr>
      <w:sdtContent>
        <w:p w14:paraId="617B5A95" w14:textId="77777777" w:rsidR="00830E72" w:rsidRDefault="008344D8">
          <w:pPr>
            <w:pStyle w:val="4"/>
            <w:numPr>
              <w:ilvl w:val="0"/>
              <w:numId w:val="21"/>
            </w:numPr>
            <w:rPr>
              <w:rFonts w:ascii="宋体" w:hAnsi="宋体"/>
            </w:rPr>
          </w:pPr>
          <w:r>
            <w:rPr>
              <w:rFonts w:ascii="宋体" w:hAnsi="宋体" w:hint="eastAsia"/>
            </w:rPr>
            <w:t>临时公告未披露的事项</w:t>
          </w:r>
        </w:p>
        <w:sdt>
          <w:sdtPr>
            <w:alias w:val="是否适用：关联债权债务往来_临时公告未披露的事项[双击切换]"/>
            <w:tag w:val="_GBC_0f4a6802ca704b49a413888379a91f0b"/>
            <w:id w:val="-1801065145"/>
            <w:lock w:val="sdtLocked"/>
            <w:placeholder>
              <w:docPart w:val="GBC22222222222222222222222222222"/>
            </w:placeholder>
          </w:sdtPr>
          <w:sdtEndPr/>
          <w:sdtContent>
            <w:p w14:paraId="544EF2C6"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3C489C4" w14:textId="77777777" w:rsidR="00830E72" w:rsidRDefault="008344D8">
      <w:pPr>
        <w:pStyle w:val="3"/>
        <w:numPr>
          <w:ilvl w:val="2"/>
          <w:numId w:val="4"/>
        </w:numPr>
        <w:rPr>
          <w:rFonts w:ascii="宋体" w:hAnsi="宋体"/>
        </w:rPr>
      </w:pPr>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918ef76103ad41b4a79075b59fdb8bf4"/>
        <w:id w:val="238219661"/>
        <w:lock w:val="sdtLocked"/>
        <w:placeholder>
          <w:docPart w:val="GBC22222222222222222222222222222"/>
        </w:placeholder>
      </w:sdtPr>
      <w:sdtEndPr/>
      <w:sdtContent>
        <w:p w14:paraId="55E61D5C" w14:textId="77777777" w:rsidR="00830E72" w:rsidRDefault="008344D8">
          <w:pPr>
            <w:rPr>
              <w:color w:val="000000" w:themeColor="text1"/>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b w:val="0"/>
          <w:bCs w:val="0"/>
          <w:kern w:val="0"/>
          <w:szCs w:val="24"/>
        </w:rPr>
        <w:alias w:val="模块:(五) 其他重大关联交易"/>
        <w:tag w:val="_SEC_d0d528034450466db3d12315559a161a"/>
        <w:id w:val="-77593774"/>
        <w:lock w:val="sdtLocked"/>
        <w:placeholder>
          <w:docPart w:val="GBC22222222222222222222222222222"/>
        </w:placeholder>
      </w:sdtPr>
      <w:sdtEndPr>
        <w:rPr>
          <w:rFonts w:hint="default"/>
          <w:szCs w:val="21"/>
        </w:rPr>
      </w:sdtEndPr>
      <w:sdtContent>
        <w:p w14:paraId="780147AE" w14:textId="77777777" w:rsidR="00830E72" w:rsidRDefault="008344D8">
          <w:pPr>
            <w:pStyle w:val="3"/>
            <w:numPr>
              <w:ilvl w:val="2"/>
              <w:numId w:val="4"/>
            </w:numPr>
            <w:rPr>
              <w:rFonts w:ascii="宋体" w:hAnsi="宋体"/>
            </w:rPr>
          </w:pPr>
          <w:r>
            <w:rPr>
              <w:rFonts w:ascii="宋体" w:hAnsi="宋体" w:hint="eastAsia"/>
            </w:rPr>
            <w:t>其他重大关联交易</w:t>
          </w:r>
        </w:p>
        <w:sdt>
          <w:sdtPr>
            <w:rPr>
              <w:rFonts w:hint="eastAsia"/>
              <w:szCs w:val="21"/>
            </w:rPr>
            <w:alias w:val="是否适用：重大关联交易其他说明[双击切换]"/>
            <w:tag w:val="_GBC_7dd39ac420a244dcb8ea88c29ac07190"/>
            <w:id w:val="292110419"/>
            <w:lock w:val="sdtLocked"/>
            <w:placeholder>
              <w:docPart w:val="GBC22222222222222222222222222222"/>
            </w:placeholder>
          </w:sdtPr>
          <w:sdtEndPr/>
          <w:sdtContent>
            <w:p w14:paraId="6427E8AD" w14:textId="77777777" w:rsidR="00830E72" w:rsidRDefault="008344D8">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其他"/>
        <w:tag w:val="_SEC_94b5dc0c50e04cae8442e9675bd15742"/>
        <w:id w:val="-1801215698"/>
        <w:lock w:val="sdtLocked"/>
        <w:placeholder>
          <w:docPart w:val="GBC22222222222222222222222222222"/>
        </w:placeholder>
      </w:sdtPr>
      <w:sdtEndPr/>
      <w:sdtContent>
        <w:p w14:paraId="6A162876" w14:textId="77777777" w:rsidR="00830E72" w:rsidRDefault="008344D8">
          <w:pPr>
            <w:pStyle w:val="3"/>
            <w:numPr>
              <w:ilvl w:val="2"/>
              <w:numId w:val="4"/>
            </w:numPr>
            <w:rPr>
              <w:rFonts w:ascii="宋体" w:hAnsi="宋体"/>
            </w:rPr>
          </w:pPr>
          <w:r>
            <w:rPr>
              <w:rFonts w:ascii="宋体" w:hAnsi="宋体" w:hint="eastAsia"/>
            </w:rPr>
            <w:t>其他</w:t>
          </w:r>
        </w:p>
        <w:sdt>
          <w:sdtPr>
            <w:rPr>
              <w:rFonts w:hint="eastAsia"/>
            </w:rPr>
            <w:alias w:val="是否适用：重大关联交易事项其他补充说明[双击切换]"/>
            <w:tag w:val="_GBC_272061194cde466a9c566f0881c76d0d"/>
            <w:id w:val="-1538739442"/>
            <w:lock w:val="sdtLocked"/>
            <w:placeholder>
              <w:docPart w:val="GBC22222222222222222222222222222"/>
            </w:placeholder>
          </w:sdtPr>
          <w:sdtEndPr/>
          <w:sdtContent>
            <w:p w14:paraId="6F1B1B1E"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DEC4F72" w14:textId="77777777" w:rsidR="00830E72" w:rsidRDefault="008344D8">
      <w:pPr>
        <w:pStyle w:val="2"/>
        <w:numPr>
          <w:ilvl w:val="0"/>
          <w:numId w:val="16"/>
        </w:numPr>
        <w:tabs>
          <w:tab w:val="left" w:pos="426"/>
        </w:tabs>
        <w:ind w:left="422" w:hanging="422"/>
        <w:jc w:val="left"/>
        <w:rPr>
          <w:rFonts w:ascii="宋体" w:hAnsi="宋体"/>
        </w:rPr>
      </w:pPr>
      <w:r>
        <w:rPr>
          <w:rFonts w:ascii="宋体" w:hAnsi="宋体" w:hint="eastAsia"/>
        </w:rPr>
        <w:t>重大合同及其履行情况</w:t>
      </w:r>
    </w:p>
    <w:p w14:paraId="6DB0CADD" w14:textId="77777777" w:rsidR="00830E72" w:rsidRDefault="008344D8">
      <w:pPr>
        <w:pStyle w:val="3"/>
        <w:numPr>
          <w:ilvl w:val="0"/>
          <w:numId w:val="22"/>
        </w:numPr>
        <w:rPr>
          <w:rFonts w:ascii="宋体" w:hAnsi="宋体"/>
        </w:rPr>
      </w:pPr>
      <w:r>
        <w:rPr>
          <w:rFonts w:ascii="宋体" w:hAnsi="宋体"/>
        </w:rPr>
        <w:t>托管、承包、租赁事项</w:t>
      </w:r>
    </w:p>
    <w:p w14:paraId="32636344" w14:textId="06E0DA31" w:rsidR="000B5882" w:rsidRDefault="00D44830" w:rsidP="000B5882">
      <w:pPr>
        <w:rPr>
          <w:szCs w:val="21"/>
          <w:shd w:val="pct10" w:color="auto" w:fill="FFFFFF"/>
        </w:rPr>
      </w:pPr>
      <w:sdt>
        <w:sdtPr>
          <w:rPr>
            <w:szCs w:val="21"/>
          </w:rPr>
          <w:alias w:val="是否适用：托管、承包、租赁事项[双击切换]"/>
          <w:tag w:val="_GBC_daed561e68674d828a348a97bffbc154"/>
          <w:id w:val="-1178336007"/>
          <w:lock w:val="sdtLocked"/>
          <w:placeholder>
            <w:docPart w:val="GBC22222222222222222222222222222"/>
          </w:placeholder>
        </w:sdtPr>
        <w:sdtEndPr/>
        <w:sdtContent>
          <w:r w:rsidR="008344D8">
            <w:rPr>
              <w:szCs w:val="21"/>
            </w:rPr>
            <w:fldChar w:fldCharType="begin"/>
          </w:r>
          <w:r w:rsidR="000B5882">
            <w:rPr>
              <w:szCs w:val="21"/>
            </w:rPr>
            <w:instrText xml:space="preserve"> MACROBUTTON  SnrToggleCheckbox □适用 </w:instrText>
          </w:r>
          <w:r w:rsidR="008344D8">
            <w:rPr>
              <w:szCs w:val="21"/>
            </w:rPr>
            <w:fldChar w:fldCharType="end"/>
          </w:r>
          <w:r w:rsidR="008344D8">
            <w:rPr>
              <w:szCs w:val="21"/>
            </w:rPr>
            <w:fldChar w:fldCharType="begin"/>
          </w:r>
          <w:r w:rsidR="000B5882">
            <w:rPr>
              <w:szCs w:val="21"/>
            </w:rPr>
            <w:instrText xml:space="preserve"> MACROBUTTON  SnrToggleCheckbox √不适用 </w:instrText>
          </w:r>
          <w:r w:rsidR="008344D8">
            <w:rPr>
              <w:szCs w:val="21"/>
            </w:rPr>
            <w:fldChar w:fldCharType="end"/>
          </w:r>
        </w:sdtContent>
      </w:sdt>
    </w:p>
    <w:p w14:paraId="15739ACF" w14:textId="47B60D39" w:rsidR="00830E72" w:rsidRDefault="00830E72">
      <w:pPr>
        <w:rPr>
          <w:szCs w:val="21"/>
          <w:shd w:val="pct10" w:color="auto" w:fill="FFFFFF"/>
        </w:rPr>
      </w:pPr>
    </w:p>
    <w:p w14:paraId="0F06A2D0" w14:textId="77777777" w:rsidR="00830E72" w:rsidRDefault="008344D8">
      <w:pPr>
        <w:pStyle w:val="3"/>
        <w:numPr>
          <w:ilvl w:val="0"/>
          <w:numId w:val="24"/>
        </w:numPr>
        <w:ind w:left="450" w:hanging="450"/>
        <w:rPr>
          <w:rFonts w:ascii="宋体" w:hAnsi="宋体"/>
          <w:szCs w:val="21"/>
        </w:rPr>
      </w:pPr>
      <w:r>
        <w:rPr>
          <w:rFonts w:ascii="宋体" w:hAnsi="宋体" w:hint="eastAsia"/>
          <w:szCs w:val="21"/>
        </w:rPr>
        <w:t>报告期内履行的及尚未履行完毕的重大担保情况</w:t>
      </w:r>
    </w:p>
    <w:sdt>
      <w:sdtPr>
        <w:alias w:val="是否适用：担保情况[双击切换]"/>
        <w:tag w:val="_GBC_aae98b3e30bd49e4b2e1d2643f200047"/>
        <w:id w:val="-1937275842"/>
        <w:lock w:val="sdtContentLocked"/>
        <w:placeholder>
          <w:docPart w:val="GBC22222222222222222222222222222"/>
        </w:placeholder>
      </w:sdtPr>
      <w:sdtEndPr/>
      <w:sdtContent>
        <w:p w14:paraId="0CA0AE1A"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42" w:name="_Hlk42868045" w:displacedByCustomXml="next"/>
    <w:sdt>
      <w:sdtPr>
        <w:rPr>
          <w:rFonts w:hint="eastAsia"/>
          <w:szCs w:val="21"/>
        </w:rPr>
        <w:alias w:val="模块:担保情况"/>
        <w:tag w:val="_SEC_7252a26412904d92b0bddfc3266d9f75"/>
        <w:id w:val="392247650"/>
        <w:lock w:val="sdtLocked"/>
      </w:sdtPr>
      <w:sdtEndPr/>
      <w:sdtContent>
        <w:p w14:paraId="0B43D931" w14:textId="126A348A" w:rsidR="00830E72" w:rsidRDefault="008344D8">
          <w:pPr>
            <w:ind w:rightChars="-150" w:right="-315"/>
            <w:jc w:val="right"/>
            <w:rPr>
              <w:szCs w:val="21"/>
            </w:rPr>
          </w:pPr>
          <w:r>
            <w:rPr>
              <w:rFonts w:hint="eastAsia"/>
              <w:szCs w:val="21"/>
            </w:rPr>
            <w:t>单位</w:t>
          </w:r>
          <w:r>
            <w:rPr>
              <w:szCs w:val="21"/>
            </w:rPr>
            <w:t xml:space="preserve">： </w:t>
          </w:r>
          <w:sdt>
            <w:sdtPr>
              <w:rPr>
                <w:szCs w:val="21"/>
              </w:rPr>
              <w:alias w:val="单位：担保情况"/>
              <w:tag w:val="_GBC_27c8b92380c14fd7885db4b4050dbded"/>
              <w:id w:val="-137693200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6F538D">
                <w:rPr>
                  <w:szCs w:val="21"/>
                </w:rPr>
                <w:t>万元</w:t>
              </w:r>
            </w:sdtContent>
          </w:sdt>
          <w:r>
            <w:rPr>
              <w:rFonts w:hint="eastAsia"/>
              <w:szCs w:val="21"/>
            </w:rPr>
            <w:t>币种</w:t>
          </w:r>
          <w:r>
            <w:rPr>
              <w:szCs w:val="21"/>
            </w:rPr>
            <w:t xml:space="preserve">： </w:t>
          </w:r>
          <w:sdt>
            <w:sdtPr>
              <w:rPr>
                <w:szCs w:val="21"/>
              </w:rPr>
              <w:alias w:val="币种：担保情况"/>
              <w:tag w:val="_GBC_a5bed87537d146398206f22cc051cc03"/>
              <w:id w:val="42060688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531"/>
            <w:gridCol w:w="752"/>
            <w:gridCol w:w="352"/>
            <w:gridCol w:w="505"/>
            <w:gridCol w:w="715"/>
            <w:gridCol w:w="489"/>
            <w:gridCol w:w="478"/>
            <w:gridCol w:w="619"/>
            <w:gridCol w:w="551"/>
            <w:gridCol w:w="551"/>
            <w:gridCol w:w="551"/>
            <w:gridCol w:w="551"/>
            <w:gridCol w:w="607"/>
            <w:gridCol w:w="551"/>
            <w:gridCol w:w="551"/>
            <w:gridCol w:w="539"/>
          </w:tblGrid>
          <w:tr w:rsidR="00830E72" w14:paraId="3F98EB31" w14:textId="77777777">
            <w:trPr>
              <w:trHeight w:val="293"/>
            </w:trPr>
            <w:sdt>
              <w:sdtPr>
                <w:tag w:val="_PLD_e4c50adfca70424b94b9e8ceed3333ed"/>
                <w:id w:val="-590385698"/>
                <w:lock w:val="sdtLocked"/>
              </w:sdtPr>
              <w:sdtEndPr/>
              <w:sdtContent>
                <w:tc>
                  <w:tcPr>
                    <w:tcW w:w="5000" w:type="pct"/>
                    <w:gridSpan w:val="16"/>
                    <w:tcBorders>
                      <w:top w:val="single" w:sz="4" w:space="0" w:color="auto"/>
                      <w:bottom w:val="single" w:sz="4" w:space="0" w:color="auto"/>
                    </w:tcBorders>
                    <w:shd w:val="clear" w:color="auto" w:fill="auto"/>
                    <w:vAlign w:val="center"/>
                  </w:tcPr>
                  <w:p w14:paraId="44EFD3B0" w14:textId="77777777" w:rsidR="00830E72" w:rsidRDefault="008344D8">
                    <w:pPr>
                      <w:autoSpaceDE w:val="0"/>
                      <w:autoSpaceDN w:val="0"/>
                      <w:adjustRightInd w:val="0"/>
                      <w:jc w:val="center"/>
                      <w:rPr>
                        <w:szCs w:val="21"/>
                      </w:rPr>
                    </w:pPr>
                    <w:r>
                      <w:rPr>
                        <w:rFonts w:hint="eastAsia"/>
                        <w:szCs w:val="21"/>
                      </w:rPr>
                      <w:t>公司对外担保情况（不包括对子公司的担保）</w:t>
                    </w:r>
                  </w:p>
                </w:tc>
              </w:sdtContent>
            </w:sdt>
          </w:tr>
          <w:tr w:rsidR="00830E72" w14:paraId="3CD26827" w14:textId="77777777">
            <w:trPr>
              <w:trHeight w:val="293"/>
            </w:trPr>
            <w:sdt>
              <w:sdtPr>
                <w:tag w:val="_PLD_b5e3bfe83f5247d8b2e96e12bee8662f"/>
                <w:id w:val="1112781929"/>
                <w:lock w:val="sdtLocked"/>
              </w:sdtPr>
              <w:sdtEndPr/>
              <w:sdtContent>
                <w:tc>
                  <w:tcPr>
                    <w:tcW w:w="298" w:type="pct"/>
                    <w:tcBorders>
                      <w:top w:val="single" w:sz="4" w:space="0" w:color="auto"/>
                      <w:bottom w:val="single" w:sz="4" w:space="0" w:color="auto"/>
                      <w:right w:val="single" w:sz="4" w:space="0" w:color="auto"/>
                    </w:tcBorders>
                    <w:shd w:val="clear" w:color="auto" w:fill="auto"/>
                    <w:vAlign w:val="center"/>
                  </w:tcPr>
                  <w:p w14:paraId="688391FD" w14:textId="77777777" w:rsidR="00830E72" w:rsidRDefault="008344D8">
                    <w:pPr>
                      <w:autoSpaceDE w:val="0"/>
                      <w:autoSpaceDN w:val="0"/>
                      <w:adjustRightInd w:val="0"/>
                      <w:jc w:val="center"/>
                      <w:rPr>
                        <w:szCs w:val="21"/>
                      </w:rPr>
                    </w:pPr>
                    <w:r>
                      <w:rPr>
                        <w:rFonts w:hint="eastAsia"/>
                        <w:szCs w:val="21"/>
                      </w:rPr>
                      <w:t>担保方</w:t>
                    </w:r>
                  </w:p>
                </w:tc>
              </w:sdtContent>
            </w:sdt>
            <w:sdt>
              <w:sdtPr>
                <w:tag w:val="_PLD_11e8ec3aaba140989322530dbb4ee821"/>
                <w:id w:val="1946873060"/>
                <w:lock w:val="sdtLocked"/>
              </w:sdtPr>
              <w:sdtEndPr/>
              <w:sdtContent>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1A8472ED" w14:textId="77777777" w:rsidR="00830E72" w:rsidRDefault="008344D8">
                    <w:pPr>
                      <w:autoSpaceDE w:val="0"/>
                      <w:autoSpaceDN w:val="0"/>
                      <w:adjustRightInd w:val="0"/>
                      <w:jc w:val="center"/>
                      <w:rPr>
                        <w:szCs w:val="21"/>
                      </w:rPr>
                    </w:pPr>
                    <w:r>
                      <w:rPr>
                        <w:rFonts w:hint="eastAsia"/>
                        <w:szCs w:val="21"/>
                      </w:rPr>
                      <w:t>担保方与上市公司的关系</w:t>
                    </w:r>
                  </w:p>
                </w:tc>
              </w:sdtContent>
            </w:sdt>
            <w:sdt>
              <w:sdtPr>
                <w:tag w:val="_PLD_0a624167897e488eac102851cdaa2dd6"/>
                <w:id w:val="1256022440"/>
                <w:lock w:val="sdtLocked"/>
              </w:sdtPr>
              <w:sdtEndPr/>
              <w:sdtContent>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6639A3AB" w14:textId="77777777" w:rsidR="00830E72" w:rsidRDefault="008344D8">
                    <w:pPr>
                      <w:autoSpaceDE w:val="0"/>
                      <w:autoSpaceDN w:val="0"/>
                      <w:adjustRightInd w:val="0"/>
                      <w:jc w:val="center"/>
                      <w:rPr>
                        <w:szCs w:val="21"/>
                      </w:rPr>
                    </w:pPr>
                    <w:r>
                      <w:rPr>
                        <w:rFonts w:hint="eastAsia"/>
                        <w:szCs w:val="21"/>
                      </w:rPr>
                      <w:t>被担保方</w:t>
                    </w:r>
                  </w:p>
                </w:tc>
              </w:sdtContent>
            </w:sdt>
            <w:sdt>
              <w:sdtPr>
                <w:tag w:val="_PLD_d74521a92aaa42b5808e61f4fb826446"/>
                <w:id w:val="-1093161597"/>
                <w:lock w:val="sdtLocked"/>
              </w:sdtPr>
              <w:sdtEndPr/>
              <w:sdtContent>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C48D274" w14:textId="77777777" w:rsidR="00830E72" w:rsidRDefault="008344D8">
                    <w:pPr>
                      <w:autoSpaceDE w:val="0"/>
                      <w:autoSpaceDN w:val="0"/>
                      <w:adjustRightInd w:val="0"/>
                      <w:jc w:val="center"/>
                      <w:rPr>
                        <w:szCs w:val="21"/>
                      </w:rPr>
                    </w:pPr>
                    <w:r>
                      <w:rPr>
                        <w:rFonts w:hint="eastAsia"/>
                        <w:szCs w:val="21"/>
                      </w:rPr>
                      <w:t>担保金额</w:t>
                    </w:r>
                  </w:p>
                </w:tc>
              </w:sdtContent>
            </w:sdt>
            <w:sdt>
              <w:sdtPr>
                <w:tag w:val="_PLD_6741824a509a46cebcb644a6151b055d"/>
                <w:id w:val="-462890177"/>
                <w:lock w:val="sdtLocked"/>
              </w:sdtPr>
              <w:sdtEndPr/>
              <w:sdtContent>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0BE853C" w14:textId="77777777" w:rsidR="00830E72" w:rsidRDefault="008344D8">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sdtContent>
            </w:sdt>
            <w:sdt>
              <w:sdtPr>
                <w:tag w:val="_PLD_0e011a3a87e14e378e635db52fd873bd"/>
                <w:id w:val="1776437787"/>
                <w:lock w:val="sdtLocked"/>
              </w:sdtPr>
              <w:sdtEndPr/>
              <w:sdtContent>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480A0126" w14:textId="77777777" w:rsidR="00830E72" w:rsidRDefault="008344D8">
                    <w:pPr>
                      <w:autoSpaceDE w:val="0"/>
                      <w:autoSpaceDN w:val="0"/>
                      <w:adjustRightInd w:val="0"/>
                      <w:jc w:val="center"/>
                      <w:rPr>
                        <w:szCs w:val="21"/>
                      </w:rPr>
                    </w:pPr>
                    <w:r>
                      <w:rPr>
                        <w:rFonts w:hint="eastAsia"/>
                        <w:szCs w:val="21"/>
                      </w:rPr>
                      <w:t>担保</w:t>
                    </w:r>
                  </w:p>
                  <w:p w14:paraId="42DAEB0B" w14:textId="77777777" w:rsidR="00830E72" w:rsidRDefault="008344D8">
                    <w:pPr>
                      <w:autoSpaceDE w:val="0"/>
                      <w:autoSpaceDN w:val="0"/>
                      <w:adjustRightInd w:val="0"/>
                      <w:jc w:val="center"/>
                      <w:rPr>
                        <w:szCs w:val="21"/>
                      </w:rPr>
                    </w:pPr>
                    <w:r>
                      <w:rPr>
                        <w:rFonts w:hint="eastAsia"/>
                        <w:szCs w:val="21"/>
                      </w:rPr>
                      <w:t>起始日</w:t>
                    </w:r>
                  </w:p>
                </w:tc>
              </w:sdtContent>
            </w:sdt>
            <w:sdt>
              <w:sdtPr>
                <w:tag w:val="_PLD_938a1d93f58f4900b7afb7849e3e6a58"/>
                <w:id w:val="1322003996"/>
                <w:lock w:val="sdtLocked"/>
              </w:sdtPr>
              <w:sdtEndPr/>
              <w:sdtContent>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6377CF79" w14:textId="77777777" w:rsidR="00830E72" w:rsidRDefault="008344D8">
                    <w:pPr>
                      <w:autoSpaceDE w:val="0"/>
                      <w:autoSpaceDN w:val="0"/>
                      <w:adjustRightInd w:val="0"/>
                      <w:jc w:val="center"/>
                      <w:rPr>
                        <w:szCs w:val="21"/>
                      </w:rPr>
                    </w:pPr>
                    <w:r>
                      <w:rPr>
                        <w:rFonts w:hint="eastAsia"/>
                        <w:szCs w:val="21"/>
                      </w:rPr>
                      <w:t>担保</w:t>
                    </w:r>
                  </w:p>
                  <w:p w14:paraId="065F43EE" w14:textId="77777777" w:rsidR="00830E72" w:rsidRDefault="008344D8">
                    <w:pPr>
                      <w:autoSpaceDE w:val="0"/>
                      <w:autoSpaceDN w:val="0"/>
                      <w:adjustRightInd w:val="0"/>
                      <w:jc w:val="center"/>
                      <w:rPr>
                        <w:szCs w:val="21"/>
                      </w:rPr>
                    </w:pPr>
                    <w:r>
                      <w:rPr>
                        <w:rFonts w:hint="eastAsia"/>
                        <w:szCs w:val="21"/>
                      </w:rPr>
                      <w:t>到期日</w:t>
                    </w:r>
                  </w:p>
                </w:tc>
              </w:sdtContent>
            </w:sdt>
            <w:sdt>
              <w:sdtPr>
                <w:tag w:val="_PLD_51fa31228c524c01adac764c60a6999c"/>
                <w:id w:val="866948431"/>
                <w:lock w:val="sdtLocked"/>
              </w:sdtPr>
              <w:sdtEndPr/>
              <w:sdtContent>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0FBDB551" w14:textId="77777777" w:rsidR="00830E72" w:rsidRDefault="008344D8">
                    <w:pPr>
                      <w:autoSpaceDE w:val="0"/>
                      <w:autoSpaceDN w:val="0"/>
                      <w:adjustRightInd w:val="0"/>
                      <w:jc w:val="center"/>
                      <w:rPr>
                        <w:szCs w:val="21"/>
                      </w:rPr>
                    </w:pPr>
                    <w:r>
                      <w:rPr>
                        <w:rFonts w:hint="eastAsia"/>
                        <w:szCs w:val="21"/>
                      </w:rPr>
                      <w:t>担保类型</w:t>
                    </w:r>
                  </w:p>
                </w:tc>
              </w:sdtContent>
            </w:sdt>
            <w:sdt>
              <w:sdtPr>
                <w:rPr>
                  <w:rFonts w:hint="eastAsia"/>
                  <w:szCs w:val="21"/>
                </w:rPr>
                <w:tag w:val="_PLD_1f3f8cca8d8c4b94a8d81954f7951552"/>
                <w:id w:val="1203446423"/>
                <w:lock w:val="sdtLocked"/>
              </w:sdtPr>
              <w:sdtEndPr/>
              <w:sdtContent>
                <w:tc>
                  <w:tcPr>
                    <w:tcW w:w="310" w:type="pct"/>
                    <w:tcBorders>
                      <w:top w:val="single" w:sz="4" w:space="0" w:color="auto"/>
                      <w:left w:val="single" w:sz="4" w:space="0" w:color="auto"/>
                      <w:bottom w:val="single" w:sz="4" w:space="0" w:color="auto"/>
                      <w:right w:val="single" w:sz="4" w:space="0" w:color="auto"/>
                    </w:tcBorders>
                    <w:vAlign w:val="center"/>
                  </w:tcPr>
                  <w:p w14:paraId="7BE18C36" w14:textId="77777777" w:rsidR="00830E72" w:rsidRDefault="008344D8">
                    <w:pPr>
                      <w:autoSpaceDE w:val="0"/>
                      <w:autoSpaceDN w:val="0"/>
                      <w:adjustRightInd w:val="0"/>
                      <w:jc w:val="center"/>
                    </w:pPr>
                    <w:r>
                      <w:rPr>
                        <w:rFonts w:hint="eastAsia"/>
                        <w:szCs w:val="21"/>
                      </w:rPr>
                      <w:t>主债务情况</w:t>
                    </w:r>
                  </w:p>
                </w:tc>
              </w:sdtContent>
            </w:sdt>
            <w:sdt>
              <w:sdtPr>
                <w:rPr>
                  <w:rFonts w:hint="eastAsia"/>
                  <w:szCs w:val="21"/>
                </w:rPr>
                <w:tag w:val="_PLD_cd7b5ab30a06466e9c30b0ca1035b8c8"/>
                <w:id w:val="1194040117"/>
                <w:lock w:val="sdtLocked"/>
              </w:sdtPr>
              <w:sdtEndPr/>
              <w:sdtContent>
                <w:tc>
                  <w:tcPr>
                    <w:tcW w:w="310" w:type="pct"/>
                    <w:tcBorders>
                      <w:top w:val="single" w:sz="4" w:space="0" w:color="auto"/>
                      <w:left w:val="single" w:sz="4" w:space="0" w:color="auto"/>
                      <w:bottom w:val="single" w:sz="4" w:space="0" w:color="auto"/>
                      <w:right w:val="single" w:sz="4" w:space="0" w:color="auto"/>
                    </w:tcBorders>
                    <w:vAlign w:val="center"/>
                  </w:tcPr>
                  <w:p w14:paraId="16CCDEC4" w14:textId="77777777" w:rsidR="00830E72" w:rsidRDefault="008344D8">
                    <w:pPr>
                      <w:autoSpaceDE w:val="0"/>
                      <w:autoSpaceDN w:val="0"/>
                      <w:adjustRightInd w:val="0"/>
                      <w:jc w:val="center"/>
                    </w:pPr>
                    <w:r>
                      <w:rPr>
                        <w:rFonts w:hint="eastAsia"/>
                        <w:szCs w:val="21"/>
                      </w:rPr>
                      <w:t>担保物（如有）</w:t>
                    </w:r>
                  </w:p>
                </w:tc>
              </w:sdtContent>
            </w:sdt>
            <w:sdt>
              <w:sdtPr>
                <w:tag w:val="_PLD_a4bc1e9d84484ec38af3f5d7a2752067"/>
                <w:id w:val="-1894264562"/>
                <w:lock w:val="sdtLocked"/>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C8AD573" w14:textId="77777777" w:rsidR="00830E72" w:rsidRDefault="008344D8">
                    <w:pPr>
                      <w:autoSpaceDE w:val="0"/>
                      <w:autoSpaceDN w:val="0"/>
                      <w:adjustRightInd w:val="0"/>
                      <w:jc w:val="center"/>
                      <w:rPr>
                        <w:szCs w:val="21"/>
                      </w:rPr>
                    </w:pPr>
                    <w:r>
                      <w:rPr>
                        <w:rFonts w:hint="eastAsia"/>
                        <w:szCs w:val="21"/>
                      </w:rPr>
                      <w:t>担保是否已经履行完毕</w:t>
                    </w:r>
                  </w:p>
                </w:tc>
              </w:sdtContent>
            </w:sdt>
            <w:sdt>
              <w:sdtPr>
                <w:tag w:val="_PLD_3adcf1d50e504a54949358562441ef7b"/>
                <w:id w:val="2014951741"/>
                <w:lock w:val="sdtLocked"/>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52B8B3A" w14:textId="77777777" w:rsidR="00830E72" w:rsidRDefault="008344D8">
                    <w:pPr>
                      <w:autoSpaceDE w:val="0"/>
                      <w:autoSpaceDN w:val="0"/>
                      <w:adjustRightInd w:val="0"/>
                      <w:jc w:val="center"/>
                      <w:rPr>
                        <w:szCs w:val="21"/>
                      </w:rPr>
                    </w:pPr>
                    <w:r>
                      <w:rPr>
                        <w:rFonts w:hint="eastAsia"/>
                        <w:szCs w:val="21"/>
                      </w:rPr>
                      <w:t>担保是否逾期</w:t>
                    </w:r>
                  </w:p>
                </w:tc>
              </w:sdtContent>
            </w:sdt>
            <w:sdt>
              <w:sdtPr>
                <w:tag w:val="_PLD_3860b2e281fb4e30b2945d128cc96939"/>
                <w:id w:val="-1310013061"/>
                <w:lock w:val="sdtLocked"/>
              </w:sdtPr>
              <w:sdtEndPr/>
              <w:sdtContent>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7288D981" w14:textId="77777777" w:rsidR="00830E72" w:rsidRDefault="008344D8">
                    <w:pPr>
                      <w:autoSpaceDE w:val="0"/>
                      <w:autoSpaceDN w:val="0"/>
                      <w:adjustRightInd w:val="0"/>
                      <w:jc w:val="center"/>
                      <w:rPr>
                        <w:szCs w:val="21"/>
                      </w:rPr>
                    </w:pPr>
                    <w:r>
                      <w:rPr>
                        <w:rFonts w:hint="eastAsia"/>
                        <w:szCs w:val="21"/>
                      </w:rPr>
                      <w:t>担保逾期金额</w:t>
                    </w:r>
                  </w:p>
                </w:tc>
              </w:sdtContent>
            </w:sdt>
            <w:tc>
              <w:tcPr>
                <w:tcW w:w="310"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tag w:val="_PLD_63e29615db7e439fbe446447d9abc680"/>
                  <w:id w:val="-629165120"/>
                  <w:lock w:val="sdtLocked"/>
                </w:sdtPr>
                <w:sdtEndPr/>
                <w:sdtContent>
                  <w:p w14:paraId="070D14DD" w14:textId="77777777" w:rsidR="00830E72" w:rsidRDefault="008344D8">
                    <w:pPr>
                      <w:autoSpaceDE w:val="0"/>
                      <w:autoSpaceDN w:val="0"/>
                      <w:adjustRightInd w:val="0"/>
                      <w:jc w:val="center"/>
                    </w:pPr>
                    <w:r>
                      <w:rPr>
                        <w:rFonts w:hint="eastAsia"/>
                        <w:szCs w:val="21"/>
                      </w:rPr>
                      <w:t>反担保情况</w:t>
                    </w:r>
                  </w:p>
                </w:sdtContent>
              </w:sdt>
            </w:tc>
            <w:sdt>
              <w:sdtPr>
                <w:tag w:val="_PLD_0f93b7a8a3684e3ba874246a93cd5173"/>
                <w:id w:val="869425498"/>
                <w:lock w:val="sdtLocked"/>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BE62473" w14:textId="77777777" w:rsidR="00830E72" w:rsidRDefault="008344D8">
                    <w:pPr>
                      <w:autoSpaceDE w:val="0"/>
                      <w:autoSpaceDN w:val="0"/>
                      <w:adjustRightInd w:val="0"/>
                      <w:jc w:val="center"/>
                      <w:rPr>
                        <w:szCs w:val="21"/>
                      </w:rPr>
                    </w:pPr>
                    <w:r>
                      <w:rPr>
                        <w:rFonts w:hint="eastAsia"/>
                        <w:szCs w:val="21"/>
                      </w:rPr>
                      <w:t>是否为关联方担保</w:t>
                    </w:r>
                  </w:p>
                </w:tc>
              </w:sdtContent>
            </w:sdt>
            <w:sdt>
              <w:sdtPr>
                <w:tag w:val="_PLD_fd1e6b8b28d64a7ea7816d45bcfc0699"/>
                <w:id w:val="159742806"/>
                <w:lock w:val="sdtLocked"/>
              </w:sdtPr>
              <w:sdtEndPr/>
              <w:sdtContent>
                <w:tc>
                  <w:tcPr>
                    <w:tcW w:w="303" w:type="pct"/>
                    <w:tcBorders>
                      <w:top w:val="single" w:sz="4" w:space="0" w:color="auto"/>
                      <w:left w:val="single" w:sz="4" w:space="0" w:color="auto"/>
                      <w:bottom w:val="single" w:sz="4" w:space="0" w:color="auto"/>
                    </w:tcBorders>
                    <w:shd w:val="clear" w:color="auto" w:fill="auto"/>
                    <w:vAlign w:val="center"/>
                  </w:tcPr>
                  <w:p w14:paraId="67111229" w14:textId="77777777" w:rsidR="00830E72" w:rsidRDefault="008344D8">
                    <w:pPr>
                      <w:autoSpaceDE w:val="0"/>
                      <w:autoSpaceDN w:val="0"/>
                      <w:adjustRightInd w:val="0"/>
                      <w:jc w:val="center"/>
                      <w:rPr>
                        <w:szCs w:val="21"/>
                      </w:rPr>
                    </w:pPr>
                    <w:r>
                      <w:rPr>
                        <w:rFonts w:hint="eastAsia"/>
                        <w:szCs w:val="21"/>
                      </w:rPr>
                      <w:t>关联</w:t>
                    </w:r>
                  </w:p>
                  <w:p w14:paraId="14F2AC8D" w14:textId="77777777" w:rsidR="00830E72" w:rsidRDefault="008344D8">
                    <w:pPr>
                      <w:autoSpaceDE w:val="0"/>
                      <w:autoSpaceDN w:val="0"/>
                      <w:adjustRightInd w:val="0"/>
                      <w:jc w:val="center"/>
                      <w:rPr>
                        <w:szCs w:val="21"/>
                      </w:rPr>
                    </w:pPr>
                    <w:r>
                      <w:rPr>
                        <w:rFonts w:hint="eastAsia"/>
                        <w:szCs w:val="21"/>
                      </w:rPr>
                      <w:t>关系</w:t>
                    </w:r>
                  </w:p>
                </w:tc>
              </w:sdtContent>
            </w:sdt>
          </w:tr>
          <w:tr w:rsidR="00830E72" w14:paraId="452BB6B6" w14:textId="77777777">
            <w:trPr>
              <w:trHeight w:val="308"/>
            </w:trPr>
            <w:sdt>
              <w:sdtPr>
                <w:tag w:val="_PLD_d3f8496ab2aa4285bf776285bebe3438"/>
                <w:id w:val="916518100"/>
                <w:lock w:val="sdtLocked"/>
              </w:sdtPr>
              <w:sdtEndPr/>
              <w:sdtContent>
                <w:tc>
                  <w:tcPr>
                    <w:tcW w:w="2148" w:type="pct"/>
                    <w:gridSpan w:val="7"/>
                    <w:tcBorders>
                      <w:top w:val="single" w:sz="4" w:space="0" w:color="auto"/>
                      <w:bottom w:val="single" w:sz="4" w:space="0" w:color="auto"/>
                      <w:right w:val="single" w:sz="4" w:space="0" w:color="auto"/>
                    </w:tcBorders>
                    <w:shd w:val="clear" w:color="auto" w:fill="auto"/>
                    <w:vAlign w:val="center"/>
                  </w:tcPr>
                  <w:p w14:paraId="6EF26C38" w14:textId="77777777" w:rsidR="00830E72" w:rsidRDefault="008344D8">
                    <w:pPr>
                      <w:autoSpaceDE w:val="0"/>
                      <w:autoSpaceDN w:val="0"/>
                      <w:adjustRightInd w:val="0"/>
                      <w:rPr>
                        <w:szCs w:val="21"/>
                      </w:rPr>
                    </w:pPr>
                    <w:r>
                      <w:rPr>
                        <w:rFonts w:hint="eastAsia"/>
                        <w:szCs w:val="21"/>
                      </w:rPr>
                      <w:t>报告期内担保发生额合计（不包括对子公司的担保）</w:t>
                    </w:r>
                  </w:p>
                </w:tc>
              </w:sdtContent>
            </w:sdt>
            <w:tc>
              <w:tcPr>
                <w:tcW w:w="2852" w:type="pct"/>
                <w:gridSpan w:val="9"/>
                <w:tcBorders>
                  <w:top w:val="single" w:sz="4" w:space="0" w:color="auto"/>
                  <w:left w:val="single" w:sz="4" w:space="0" w:color="auto"/>
                  <w:bottom w:val="single" w:sz="4" w:space="0" w:color="auto"/>
                </w:tcBorders>
                <w:shd w:val="clear" w:color="auto" w:fill="auto"/>
                <w:vAlign w:val="center"/>
              </w:tcPr>
              <w:p w14:paraId="652E8831" w14:textId="77777777" w:rsidR="00830E72" w:rsidRDefault="00830E72">
                <w:pPr>
                  <w:ind w:rightChars="40" w:right="84"/>
                  <w:jc w:val="right"/>
                  <w:rPr>
                    <w:szCs w:val="21"/>
                  </w:rPr>
                </w:pPr>
              </w:p>
            </w:tc>
          </w:tr>
          <w:tr w:rsidR="00830E72" w14:paraId="11E4EA7B" w14:textId="77777777">
            <w:trPr>
              <w:trHeight w:val="308"/>
            </w:trPr>
            <w:sdt>
              <w:sdtPr>
                <w:tag w:val="_PLD_b55a1c0b2abc412094fcc159dfb3ecda"/>
                <w:id w:val="-925656075"/>
                <w:lock w:val="sdtLocked"/>
              </w:sdtPr>
              <w:sdtEndPr/>
              <w:sdtContent>
                <w:tc>
                  <w:tcPr>
                    <w:tcW w:w="2148" w:type="pct"/>
                    <w:gridSpan w:val="7"/>
                    <w:tcBorders>
                      <w:top w:val="single" w:sz="4" w:space="0" w:color="auto"/>
                      <w:bottom w:val="single" w:sz="4" w:space="0" w:color="auto"/>
                      <w:right w:val="single" w:sz="4" w:space="0" w:color="auto"/>
                    </w:tcBorders>
                    <w:shd w:val="clear" w:color="auto" w:fill="auto"/>
                    <w:vAlign w:val="center"/>
                  </w:tcPr>
                  <w:p w14:paraId="390D4813" w14:textId="77777777" w:rsidR="00830E72" w:rsidRDefault="008344D8">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sdtContent>
            </w:sdt>
            <w:tc>
              <w:tcPr>
                <w:tcW w:w="2852" w:type="pct"/>
                <w:gridSpan w:val="9"/>
                <w:tcBorders>
                  <w:top w:val="single" w:sz="4" w:space="0" w:color="auto"/>
                  <w:left w:val="single" w:sz="4" w:space="0" w:color="auto"/>
                  <w:bottom w:val="single" w:sz="4" w:space="0" w:color="auto"/>
                </w:tcBorders>
                <w:shd w:val="clear" w:color="auto" w:fill="auto"/>
                <w:vAlign w:val="center"/>
              </w:tcPr>
              <w:p w14:paraId="4D92C037" w14:textId="77777777" w:rsidR="00830E72" w:rsidRDefault="00830E72">
                <w:pPr>
                  <w:autoSpaceDE w:val="0"/>
                  <w:autoSpaceDN w:val="0"/>
                  <w:adjustRightInd w:val="0"/>
                  <w:ind w:rightChars="40" w:right="84"/>
                  <w:jc w:val="right"/>
                  <w:rPr>
                    <w:szCs w:val="21"/>
                  </w:rPr>
                </w:pPr>
              </w:p>
            </w:tc>
          </w:tr>
          <w:tr w:rsidR="00830E72" w14:paraId="38030988" w14:textId="77777777">
            <w:trPr>
              <w:trHeight w:val="308"/>
            </w:trPr>
            <w:tc>
              <w:tcPr>
                <w:tcW w:w="5000" w:type="pct"/>
                <w:gridSpan w:val="16"/>
                <w:tcBorders>
                  <w:top w:val="single" w:sz="4" w:space="0" w:color="auto"/>
                  <w:bottom w:val="single" w:sz="4" w:space="0" w:color="auto"/>
                </w:tcBorders>
                <w:shd w:val="clear" w:color="auto" w:fill="auto"/>
                <w:vAlign w:val="center"/>
              </w:tcPr>
              <w:p w14:paraId="160424C3" w14:textId="77777777" w:rsidR="00830E72" w:rsidRDefault="00D44830">
                <w:pPr>
                  <w:autoSpaceDE w:val="0"/>
                  <w:autoSpaceDN w:val="0"/>
                  <w:adjustRightInd w:val="0"/>
                  <w:ind w:rightChars="40" w:right="84"/>
                  <w:jc w:val="center"/>
                  <w:rPr>
                    <w:szCs w:val="21"/>
                  </w:rPr>
                </w:pPr>
                <w:sdt>
                  <w:sdtPr>
                    <w:rPr>
                      <w:rFonts w:hint="eastAsia"/>
                    </w:rPr>
                    <w:tag w:val="_PLD_05f81595191b432fba2f5467a459f70b"/>
                    <w:id w:val="1890370556"/>
                    <w:lock w:val="sdtLocked"/>
                  </w:sdtPr>
                  <w:sdtEndPr/>
                  <w:sdtContent>
                    <w:r w:rsidR="008344D8">
                      <w:rPr>
                        <w:rFonts w:hint="eastAsia"/>
                      </w:rPr>
                      <w:t>公司对子公司的担保情况</w:t>
                    </w:r>
                  </w:sdtContent>
                </w:sdt>
              </w:p>
            </w:tc>
          </w:tr>
          <w:tr w:rsidR="00830E72" w14:paraId="6AE90E1F" w14:textId="77777777">
            <w:trPr>
              <w:trHeight w:val="308"/>
            </w:trPr>
            <w:sdt>
              <w:sdtPr>
                <w:tag w:val="_PLD_bd646052ed464f3aaf4411adbc884bb9"/>
                <w:id w:val="302200318"/>
                <w:lock w:val="sdtLocked"/>
              </w:sdtPr>
              <w:sdtEndPr/>
              <w:sdtContent>
                <w:tc>
                  <w:tcPr>
                    <w:tcW w:w="2148" w:type="pct"/>
                    <w:gridSpan w:val="7"/>
                    <w:tcBorders>
                      <w:top w:val="single" w:sz="4" w:space="0" w:color="auto"/>
                      <w:bottom w:val="single" w:sz="4" w:space="0" w:color="auto"/>
                      <w:right w:val="single" w:sz="4" w:space="0" w:color="auto"/>
                    </w:tcBorders>
                    <w:shd w:val="clear" w:color="auto" w:fill="auto"/>
                    <w:vAlign w:val="center"/>
                  </w:tcPr>
                  <w:p w14:paraId="67918530" w14:textId="77777777" w:rsidR="00830E72" w:rsidRDefault="008344D8">
                    <w:pPr>
                      <w:autoSpaceDE w:val="0"/>
                      <w:autoSpaceDN w:val="0"/>
                      <w:adjustRightInd w:val="0"/>
                      <w:ind w:rightChars="40" w:right="84"/>
                      <w:rPr>
                        <w:color w:val="FF0000"/>
                        <w:szCs w:val="21"/>
                      </w:rPr>
                    </w:pPr>
                    <w:r>
                      <w:rPr>
                        <w:rFonts w:hint="eastAsia"/>
                        <w:szCs w:val="21"/>
                      </w:rPr>
                      <w:t>报告期内对子公司担保发生额合计</w:t>
                    </w:r>
                  </w:p>
                </w:tc>
              </w:sdtContent>
            </w:sdt>
            <w:tc>
              <w:tcPr>
                <w:tcW w:w="2852" w:type="pct"/>
                <w:gridSpan w:val="9"/>
                <w:tcBorders>
                  <w:top w:val="single" w:sz="4" w:space="0" w:color="auto"/>
                  <w:left w:val="single" w:sz="4" w:space="0" w:color="auto"/>
                  <w:bottom w:val="single" w:sz="4" w:space="0" w:color="auto"/>
                </w:tcBorders>
                <w:shd w:val="clear" w:color="auto" w:fill="auto"/>
                <w:vAlign w:val="center"/>
              </w:tcPr>
              <w:p w14:paraId="54AF7A06" w14:textId="77777777" w:rsidR="00830E72" w:rsidRDefault="008344D8">
                <w:pPr>
                  <w:ind w:rightChars="40" w:right="84"/>
                  <w:jc w:val="right"/>
                  <w:rPr>
                    <w:szCs w:val="21"/>
                  </w:rPr>
                </w:pPr>
                <w:r>
                  <w:rPr>
                    <w:rFonts w:hint="eastAsia"/>
                    <w:szCs w:val="21"/>
                  </w:rPr>
                  <w:t>1</w:t>
                </w:r>
                <w:r>
                  <w:rPr>
                    <w:szCs w:val="21"/>
                  </w:rPr>
                  <w:t>00.00</w:t>
                </w:r>
              </w:p>
            </w:tc>
          </w:tr>
          <w:tr w:rsidR="00830E72" w14:paraId="6D72F2E5" w14:textId="77777777">
            <w:trPr>
              <w:trHeight w:val="308"/>
            </w:trPr>
            <w:sdt>
              <w:sdtPr>
                <w:tag w:val="_PLD_350c26e78409464a9a6fe0a9a4a2a65a"/>
                <w:id w:val="-1528174377"/>
                <w:lock w:val="sdtLocked"/>
              </w:sdtPr>
              <w:sdtEndPr/>
              <w:sdtContent>
                <w:tc>
                  <w:tcPr>
                    <w:tcW w:w="2148" w:type="pct"/>
                    <w:gridSpan w:val="7"/>
                    <w:tcBorders>
                      <w:top w:val="single" w:sz="4" w:space="0" w:color="auto"/>
                      <w:bottom w:val="single" w:sz="4" w:space="0" w:color="auto"/>
                      <w:right w:val="single" w:sz="4" w:space="0" w:color="auto"/>
                    </w:tcBorders>
                    <w:shd w:val="clear" w:color="auto" w:fill="auto"/>
                    <w:vAlign w:val="center"/>
                  </w:tcPr>
                  <w:p w14:paraId="09CFA238" w14:textId="77777777" w:rsidR="00830E72" w:rsidRDefault="008344D8">
                    <w:pPr>
                      <w:autoSpaceDE w:val="0"/>
                      <w:autoSpaceDN w:val="0"/>
                      <w:adjustRightInd w:val="0"/>
                      <w:ind w:rightChars="40" w:right="84"/>
                      <w:rPr>
                        <w:color w:val="FF0000"/>
                        <w:szCs w:val="21"/>
                      </w:rPr>
                    </w:pPr>
                    <w:r>
                      <w:rPr>
                        <w:rFonts w:hint="eastAsia"/>
                        <w:szCs w:val="21"/>
                      </w:rPr>
                      <w:t>报告期末对子公司担保余额合计（</w:t>
                    </w:r>
                    <w:r>
                      <w:rPr>
                        <w:szCs w:val="21"/>
                      </w:rPr>
                      <w:t>B</w:t>
                    </w:r>
                    <w:r>
                      <w:rPr>
                        <w:rFonts w:hint="eastAsia"/>
                        <w:szCs w:val="21"/>
                      </w:rPr>
                      <w:t>）</w:t>
                    </w:r>
                  </w:p>
                </w:tc>
              </w:sdtContent>
            </w:sdt>
            <w:tc>
              <w:tcPr>
                <w:tcW w:w="2852" w:type="pct"/>
                <w:gridSpan w:val="9"/>
                <w:tcBorders>
                  <w:top w:val="single" w:sz="4" w:space="0" w:color="auto"/>
                  <w:left w:val="single" w:sz="4" w:space="0" w:color="auto"/>
                  <w:bottom w:val="single" w:sz="4" w:space="0" w:color="auto"/>
                </w:tcBorders>
                <w:shd w:val="clear" w:color="auto" w:fill="auto"/>
                <w:vAlign w:val="center"/>
              </w:tcPr>
              <w:p w14:paraId="7D8EE1A2" w14:textId="77777777" w:rsidR="00830E72" w:rsidRDefault="008344D8">
                <w:pPr>
                  <w:tabs>
                    <w:tab w:val="center" w:pos="2466"/>
                    <w:tab w:val="right" w:pos="4932"/>
                  </w:tabs>
                  <w:autoSpaceDE w:val="0"/>
                  <w:autoSpaceDN w:val="0"/>
                  <w:adjustRightInd w:val="0"/>
                  <w:ind w:rightChars="40" w:right="84"/>
                  <w:jc w:val="right"/>
                  <w:rPr>
                    <w:szCs w:val="21"/>
                  </w:rPr>
                </w:pPr>
                <w:r>
                  <w:rPr>
                    <w:szCs w:val="21"/>
                  </w:rPr>
                  <w:t>84,000.00</w:t>
                </w:r>
              </w:p>
            </w:tc>
          </w:tr>
          <w:tr w:rsidR="00830E72" w14:paraId="569C18B8" w14:textId="77777777">
            <w:trPr>
              <w:trHeight w:val="308"/>
            </w:trPr>
            <w:sdt>
              <w:sdtPr>
                <w:tag w:val="_PLD_7934b7db222a4b859de67adddfbf4ea4"/>
                <w:id w:val="-27340842"/>
                <w:lock w:val="sdtLocked"/>
              </w:sdtPr>
              <w:sdtEndPr/>
              <w:sdtContent>
                <w:tc>
                  <w:tcPr>
                    <w:tcW w:w="5000" w:type="pct"/>
                    <w:gridSpan w:val="16"/>
                    <w:tcBorders>
                      <w:top w:val="single" w:sz="4" w:space="0" w:color="auto"/>
                      <w:bottom w:val="single" w:sz="4" w:space="0" w:color="auto"/>
                    </w:tcBorders>
                    <w:shd w:val="clear" w:color="auto" w:fill="auto"/>
                    <w:vAlign w:val="center"/>
                  </w:tcPr>
                  <w:p w14:paraId="6DDD1C85" w14:textId="77777777" w:rsidR="00830E72" w:rsidRDefault="008344D8">
                    <w:pPr>
                      <w:autoSpaceDE w:val="0"/>
                      <w:autoSpaceDN w:val="0"/>
                      <w:adjustRightInd w:val="0"/>
                      <w:ind w:rightChars="40" w:right="84"/>
                      <w:jc w:val="center"/>
                      <w:rPr>
                        <w:szCs w:val="21"/>
                      </w:rPr>
                    </w:pPr>
                    <w:r>
                      <w:rPr>
                        <w:rFonts w:hint="eastAsia"/>
                        <w:szCs w:val="21"/>
                      </w:rPr>
                      <w:t>公司担保总额情况（包括对子公司的担保）</w:t>
                    </w:r>
                  </w:p>
                </w:tc>
              </w:sdtContent>
            </w:sdt>
          </w:tr>
          <w:tr w:rsidR="00830E72" w14:paraId="32AF8D39" w14:textId="77777777">
            <w:trPr>
              <w:trHeight w:val="470"/>
            </w:trPr>
            <w:sdt>
              <w:sdtPr>
                <w:tag w:val="_PLD_6b0c4c002c694982b48e0ac72810185e"/>
                <w:id w:val="-1658998714"/>
                <w:lock w:val="sdtLocked"/>
              </w:sdtPr>
              <w:sdtEndPr/>
              <w:sdtContent>
                <w:tc>
                  <w:tcPr>
                    <w:tcW w:w="2148" w:type="pct"/>
                    <w:gridSpan w:val="7"/>
                    <w:tcBorders>
                      <w:top w:val="single" w:sz="4" w:space="0" w:color="auto"/>
                      <w:bottom w:val="single" w:sz="4" w:space="0" w:color="auto"/>
                      <w:right w:val="single" w:sz="4" w:space="0" w:color="auto"/>
                    </w:tcBorders>
                    <w:shd w:val="clear" w:color="auto" w:fill="auto"/>
                    <w:vAlign w:val="center"/>
                  </w:tcPr>
                  <w:p w14:paraId="3D6D352B" w14:textId="77777777" w:rsidR="00830E72" w:rsidRDefault="008344D8">
                    <w:pPr>
                      <w:autoSpaceDE w:val="0"/>
                      <w:autoSpaceDN w:val="0"/>
                      <w:adjustRightInd w:val="0"/>
                      <w:ind w:rightChars="40" w:right="84"/>
                      <w:rPr>
                        <w:szCs w:val="21"/>
                      </w:rPr>
                    </w:pPr>
                    <w:r>
                      <w:rPr>
                        <w:rFonts w:hint="eastAsia"/>
                        <w:szCs w:val="21"/>
                      </w:rPr>
                      <w:t>担保总额（</w:t>
                    </w:r>
                    <w:r>
                      <w:rPr>
                        <w:szCs w:val="21"/>
                      </w:rPr>
                      <w:t>A+B</w:t>
                    </w:r>
                    <w:r>
                      <w:rPr>
                        <w:rFonts w:hint="eastAsia"/>
                        <w:szCs w:val="21"/>
                      </w:rPr>
                      <w:t>）</w:t>
                    </w:r>
                  </w:p>
                </w:tc>
              </w:sdtContent>
            </w:sdt>
            <w:tc>
              <w:tcPr>
                <w:tcW w:w="2852" w:type="pct"/>
                <w:gridSpan w:val="9"/>
                <w:tcBorders>
                  <w:top w:val="single" w:sz="4" w:space="0" w:color="auto"/>
                  <w:left w:val="single" w:sz="4" w:space="0" w:color="auto"/>
                  <w:bottom w:val="single" w:sz="4" w:space="0" w:color="auto"/>
                </w:tcBorders>
                <w:shd w:val="clear" w:color="auto" w:fill="auto"/>
                <w:vAlign w:val="center"/>
              </w:tcPr>
              <w:p w14:paraId="219D82CC" w14:textId="77777777" w:rsidR="00830E72" w:rsidRDefault="008344D8">
                <w:pPr>
                  <w:autoSpaceDE w:val="0"/>
                  <w:autoSpaceDN w:val="0"/>
                  <w:adjustRightInd w:val="0"/>
                  <w:ind w:rightChars="40" w:right="84"/>
                  <w:jc w:val="right"/>
                  <w:rPr>
                    <w:szCs w:val="21"/>
                  </w:rPr>
                </w:pPr>
                <w:r>
                  <w:rPr>
                    <w:szCs w:val="21"/>
                  </w:rPr>
                  <w:t>84,000.00</w:t>
                </w:r>
              </w:p>
            </w:tc>
          </w:tr>
          <w:tr w:rsidR="00830E72" w14:paraId="782AEE6E" w14:textId="77777777">
            <w:trPr>
              <w:trHeight w:val="308"/>
            </w:trPr>
            <w:sdt>
              <w:sdtPr>
                <w:tag w:val="_PLD_2d0f72aea87f48239298404a726330f6"/>
                <w:id w:val="-933357235"/>
                <w:lock w:val="sdtLocked"/>
              </w:sdtPr>
              <w:sdtEndPr/>
              <w:sdtContent>
                <w:tc>
                  <w:tcPr>
                    <w:tcW w:w="2148" w:type="pct"/>
                    <w:gridSpan w:val="7"/>
                    <w:tcBorders>
                      <w:top w:val="single" w:sz="4" w:space="0" w:color="auto"/>
                      <w:bottom w:val="single" w:sz="4" w:space="0" w:color="auto"/>
                      <w:right w:val="single" w:sz="4" w:space="0" w:color="auto"/>
                    </w:tcBorders>
                    <w:shd w:val="clear" w:color="auto" w:fill="auto"/>
                    <w:vAlign w:val="center"/>
                  </w:tcPr>
                  <w:p w14:paraId="13C997A1" w14:textId="77777777" w:rsidR="00830E72" w:rsidRDefault="008344D8">
                    <w:pPr>
                      <w:autoSpaceDE w:val="0"/>
                      <w:autoSpaceDN w:val="0"/>
                      <w:adjustRightInd w:val="0"/>
                      <w:ind w:rightChars="40" w:right="84"/>
                      <w:rPr>
                        <w:szCs w:val="21"/>
                      </w:rPr>
                    </w:pPr>
                    <w:r>
                      <w:rPr>
                        <w:rFonts w:hint="eastAsia"/>
                        <w:szCs w:val="21"/>
                      </w:rPr>
                      <w:t>担保总额占公司净资产的比例</w:t>
                    </w:r>
                    <w:r>
                      <w:rPr>
                        <w:szCs w:val="21"/>
                      </w:rPr>
                      <w:t>(%)</w:t>
                    </w:r>
                  </w:p>
                </w:tc>
              </w:sdtContent>
            </w:sdt>
            <w:tc>
              <w:tcPr>
                <w:tcW w:w="2852" w:type="pct"/>
                <w:gridSpan w:val="9"/>
                <w:tcBorders>
                  <w:top w:val="single" w:sz="4" w:space="0" w:color="auto"/>
                  <w:left w:val="single" w:sz="4" w:space="0" w:color="auto"/>
                  <w:bottom w:val="single" w:sz="4" w:space="0" w:color="auto"/>
                </w:tcBorders>
                <w:shd w:val="clear" w:color="auto" w:fill="auto"/>
                <w:vAlign w:val="center"/>
              </w:tcPr>
              <w:p w14:paraId="37CABFC0" w14:textId="77777777" w:rsidR="00830E72" w:rsidRDefault="008344D8">
                <w:pPr>
                  <w:autoSpaceDE w:val="0"/>
                  <w:autoSpaceDN w:val="0"/>
                  <w:adjustRightInd w:val="0"/>
                  <w:ind w:rightChars="40" w:right="84"/>
                  <w:jc w:val="right"/>
                  <w:rPr>
                    <w:szCs w:val="21"/>
                  </w:rPr>
                </w:pPr>
                <w:r>
                  <w:rPr>
                    <w:szCs w:val="21"/>
                  </w:rPr>
                  <w:t>40.58</w:t>
                </w:r>
              </w:p>
            </w:tc>
          </w:tr>
          <w:tr w:rsidR="00830E72" w14:paraId="722ECBEB" w14:textId="77777777">
            <w:trPr>
              <w:trHeight w:val="308"/>
            </w:trPr>
            <w:sdt>
              <w:sdtPr>
                <w:rPr>
                  <w:rFonts w:ascii="宋体" w:hAnsi="宋体"/>
                </w:rPr>
                <w:tag w:val="_PLD_a773089c19754364bad6c8803a7c8022"/>
                <w:id w:val="-126246248"/>
                <w:lock w:val="sdtLocked"/>
              </w:sdtPr>
              <w:sdtEndPr/>
              <w:sdtContent>
                <w:tc>
                  <w:tcPr>
                    <w:tcW w:w="5000" w:type="pct"/>
                    <w:gridSpan w:val="16"/>
                    <w:tcBorders>
                      <w:top w:val="single" w:sz="4" w:space="0" w:color="auto"/>
                      <w:bottom w:val="single" w:sz="4" w:space="0" w:color="auto"/>
                    </w:tcBorders>
                    <w:shd w:val="clear" w:color="auto" w:fill="auto"/>
                    <w:vAlign w:val="center"/>
                  </w:tcPr>
                  <w:p w14:paraId="2209EF51" w14:textId="77777777" w:rsidR="00830E72" w:rsidRDefault="008344D8">
                    <w:pPr>
                      <w:pStyle w:val="ab"/>
                      <w:autoSpaceDE w:val="0"/>
                      <w:autoSpaceDN w:val="0"/>
                      <w:adjustRightInd w:val="0"/>
                      <w:ind w:rightChars="40" w:right="84"/>
                      <w:rPr>
                        <w:rFonts w:ascii="宋体" w:hAnsi="宋体"/>
                      </w:rPr>
                    </w:pPr>
                    <w:r>
                      <w:rPr>
                        <w:rFonts w:ascii="宋体" w:hAnsi="宋体" w:hint="eastAsia"/>
                      </w:rPr>
                      <w:t>其中：</w:t>
                    </w:r>
                  </w:p>
                </w:tc>
              </w:sdtContent>
            </w:sdt>
          </w:tr>
          <w:tr w:rsidR="00830E72" w14:paraId="3C8E412B" w14:textId="77777777">
            <w:trPr>
              <w:trHeight w:val="308"/>
            </w:trPr>
            <w:sdt>
              <w:sdtPr>
                <w:tag w:val="_PLD_2b478682f6824384b68d5b0029a80fac"/>
                <w:id w:val="-50232814"/>
                <w:lock w:val="sdtLocked"/>
              </w:sdtPr>
              <w:sdtEndPr/>
              <w:sdtContent>
                <w:tc>
                  <w:tcPr>
                    <w:tcW w:w="2148" w:type="pct"/>
                    <w:gridSpan w:val="7"/>
                    <w:tcBorders>
                      <w:top w:val="single" w:sz="4" w:space="0" w:color="auto"/>
                      <w:bottom w:val="single" w:sz="4" w:space="0" w:color="auto"/>
                      <w:right w:val="single" w:sz="4" w:space="0" w:color="auto"/>
                    </w:tcBorders>
                    <w:shd w:val="clear" w:color="auto" w:fill="auto"/>
                    <w:vAlign w:val="center"/>
                  </w:tcPr>
                  <w:p w14:paraId="0851D9E1" w14:textId="77777777" w:rsidR="00830E72" w:rsidRDefault="008344D8">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sdtContent>
            </w:sdt>
            <w:tc>
              <w:tcPr>
                <w:tcW w:w="2852" w:type="pct"/>
                <w:gridSpan w:val="9"/>
                <w:tcBorders>
                  <w:top w:val="single" w:sz="4" w:space="0" w:color="auto"/>
                  <w:left w:val="single" w:sz="4" w:space="0" w:color="auto"/>
                  <w:bottom w:val="single" w:sz="4" w:space="0" w:color="auto"/>
                </w:tcBorders>
                <w:shd w:val="clear" w:color="auto" w:fill="auto"/>
                <w:vAlign w:val="center"/>
              </w:tcPr>
              <w:p w14:paraId="4720489B" w14:textId="77777777" w:rsidR="00830E72" w:rsidRDefault="00830E72">
                <w:pPr>
                  <w:ind w:rightChars="40" w:right="84"/>
                  <w:jc w:val="right"/>
                  <w:rPr>
                    <w:szCs w:val="21"/>
                  </w:rPr>
                </w:pPr>
              </w:p>
            </w:tc>
          </w:tr>
          <w:tr w:rsidR="00830E72" w14:paraId="5C3D15ED" w14:textId="77777777">
            <w:trPr>
              <w:trHeight w:val="308"/>
            </w:trPr>
            <w:sdt>
              <w:sdtPr>
                <w:tag w:val="_PLD_bd548a5f7dc24a60aa38273913ff7b9c"/>
                <w:id w:val="1110253067"/>
                <w:lock w:val="sdtLocked"/>
              </w:sdtPr>
              <w:sdtEndPr/>
              <w:sdtContent>
                <w:tc>
                  <w:tcPr>
                    <w:tcW w:w="2148" w:type="pct"/>
                    <w:gridSpan w:val="7"/>
                    <w:tcBorders>
                      <w:top w:val="single" w:sz="4" w:space="0" w:color="auto"/>
                      <w:bottom w:val="single" w:sz="4" w:space="0" w:color="auto"/>
                      <w:right w:val="single" w:sz="4" w:space="0" w:color="auto"/>
                    </w:tcBorders>
                    <w:shd w:val="clear" w:color="auto" w:fill="auto"/>
                    <w:vAlign w:val="center"/>
                  </w:tcPr>
                  <w:p w14:paraId="3866E6D0" w14:textId="77777777" w:rsidR="00830E72" w:rsidRDefault="008344D8">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sdtContent>
            </w:sdt>
            <w:tc>
              <w:tcPr>
                <w:tcW w:w="2852" w:type="pct"/>
                <w:gridSpan w:val="9"/>
                <w:tcBorders>
                  <w:top w:val="single" w:sz="4" w:space="0" w:color="auto"/>
                  <w:left w:val="single" w:sz="4" w:space="0" w:color="auto"/>
                  <w:bottom w:val="single" w:sz="4" w:space="0" w:color="auto"/>
                </w:tcBorders>
                <w:shd w:val="clear" w:color="auto" w:fill="auto"/>
                <w:vAlign w:val="center"/>
              </w:tcPr>
              <w:p w14:paraId="5EB18B62" w14:textId="77777777" w:rsidR="00830E72" w:rsidRDefault="00830E72">
                <w:pPr>
                  <w:autoSpaceDE w:val="0"/>
                  <w:autoSpaceDN w:val="0"/>
                  <w:adjustRightInd w:val="0"/>
                  <w:ind w:rightChars="40" w:right="84"/>
                  <w:jc w:val="right"/>
                  <w:rPr>
                    <w:szCs w:val="21"/>
                  </w:rPr>
                </w:pPr>
              </w:p>
            </w:tc>
          </w:tr>
          <w:tr w:rsidR="00830E72" w14:paraId="64C2124E" w14:textId="77777777">
            <w:trPr>
              <w:trHeight w:val="308"/>
            </w:trPr>
            <w:sdt>
              <w:sdtPr>
                <w:tag w:val="_PLD_9d058e02099a4546a00404272905f4bd"/>
                <w:id w:val="-958636402"/>
                <w:lock w:val="sdtLocked"/>
              </w:sdtPr>
              <w:sdtEndPr/>
              <w:sdtContent>
                <w:tc>
                  <w:tcPr>
                    <w:tcW w:w="2148" w:type="pct"/>
                    <w:gridSpan w:val="7"/>
                    <w:tcBorders>
                      <w:top w:val="single" w:sz="4" w:space="0" w:color="auto"/>
                      <w:bottom w:val="single" w:sz="4" w:space="0" w:color="auto"/>
                      <w:right w:val="single" w:sz="4" w:space="0" w:color="auto"/>
                    </w:tcBorders>
                    <w:shd w:val="clear" w:color="auto" w:fill="auto"/>
                    <w:vAlign w:val="center"/>
                  </w:tcPr>
                  <w:p w14:paraId="2E7F1172" w14:textId="77777777" w:rsidR="00830E72" w:rsidRDefault="008344D8">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sdtContent>
            </w:sdt>
            <w:tc>
              <w:tcPr>
                <w:tcW w:w="2852" w:type="pct"/>
                <w:gridSpan w:val="9"/>
                <w:tcBorders>
                  <w:top w:val="single" w:sz="4" w:space="0" w:color="auto"/>
                  <w:left w:val="single" w:sz="4" w:space="0" w:color="auto"/>
                  <w:bottom w:val="single" w:sz="4" w:space="0" w:color="auto"/>
                </w:tcBorders>
                <w:shd w:val="clear" w:color="auto" w:fill="auto"/>
                <w:vAlign w:val="center"/>
              </w:tcPr>
              <w:p w14:paraId="5BCD0EEA" w14:textId="77777777" w:rsidR="00830E72" w:rsidRDefault="00830E72">
                <w:pPr>
                  <w:ind w:rightChars="40" w:right="84"/>
                  <w:jc w:val="right"/>
                  <w:rPr>
                    <w:szCs w:val="21"/>
                  </w:rPr>
                </w:pPr>
              </w:p>
            </w:tc>
          </w:tr>
          <w:tr w:rsidR="00830E72" w14:paraId="3DF0C715" w14:textId="77777777">
            <w:trPr>
              <w:trHeight w:val="308"/>
            </w:trPr>
            <w:sdt>
              <w:sdtPr>
                <w:tag w:val="_PLD_03da683ec4b5413c894077b5f513200f"/>
                <w:id w:val="-1069882824"/>
                <w:lock w:val="sdtLocked"/>
              </w:sdtPr>
              <w:sdtEndPr/>
              <w:sdtContent>
                <w:tc>
                  <w:tcPr>
                    <w:tcW w:w="2148" w:type="pct"/>
                    <w:gridSpan w:val="7"/>
                    <w:tcBorders>
                      <w:top w:val="single" w:sz="4" w:space="0" w:color="auto"/>
                      <w:bottom w:val="single" w:sz="4" w:space="0" w:color="auto"/>
                      <w:right w:val="single" w:sz="4" w:space="0" w:color="auto"/>
                    </w:tcBorders>
                    <w:shd w:val="clear" w:color="auto" w:fill="auto"/>
                    <w:vAlign w:val="center"/>
                  </w:tcPr>
                  <w:p w14:paraId="04451860" w14:textId="77777777" w:rsidR="00830E72" w:rsidRDefault="008344D8">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Content>
            </w:sdt>
            <w:tc>
              <w:tcPr>
                <w:tcW w:w="2852" w:type="pct"/>
                <w:gridSpan w:val="9"/>
                <w:tcBorders>
                  <w:top w:val="single" w:sz="4" w:space="0" w:color="auto"/>
                  <w:left w:val="single" w:sz="4" w:space="0" w:color="auto"/>
                  <w:bottom w:val="single" w:sz="4" w:space="0" w:color="auto"/>
                </w:tcBorders>
                <w:shd w:val="clear" w:color="auto" w:fill="auto"/>
                <w:vAlign w:val="center"/>
              </w:tcPr>
              <w:p w14:paraId="69C4CCC6" w14:textId="77777777" w:rsidR="00830E72" w:rsidRDefault="00830E72">
                <w:pPr>
                  <w:autoSpaceDE w:val="0"/>
                  <w:autoSpaceDN w:val="0"/>
                  <w:adjustRightInd w:val="0"/>
                  <w:ind w:rightChars="40" w:right="84"/>
                  <w:jc w:val="right"/>
                  <w:rPr>
                    <w:szCs w:val="21"/>
                  </w:rPr>
                </w:pPr>
              </w:p>
            </w:tc>
          </w:tr>
          <w:tr w:rsidR="00830E72" w14:paraId="0615516E" w14:textId="77777777">
            <w:trPr>
              <w:trHeight w:val="308"/>
            </w:trPr>
            <w:sdt>
              <w:sdtPr>
                <w:rPr>
                  <w:rFonts w:ascii="宋体" w:hAnsi="宋体"/>
                </w:rPr>
                <w:tag w:val="_PLD_ae4f1a7cfa594de68497f7d16c7d80e5"/>
                <w:id w:val="-336227735"/>
                <w:lock w:val="sdtLocked"/>
              </w:sdtPr>
              <w:sdtEndPr/>
              <w:sdtContent>
                <w:tc>
                  <w:tcPr>
                    <w:tcW w:w="2148" w:type="pct"/>
                    <w:gridSpan w:val="7"/>
                    <w:tcBorders>
                      <w:top w:val="single" w:sz="4" w:space="0" w:color="auto"/>
                      <w:bottom w:val="single" w:sz="4" w:space="0" w:color="auto"/>
                      <w:right w:val="single" w:sz="4" w:space="0" w:color="auto"/>
                    </w:tcBorders>
                    <w:shd w:val="clear" w:color="auto" w:fill="auto"/>
                    <w:vAlign w:val="center"/>
                  </w:tcPr>
                  <w:p w14:paraId="591253D5" w14:textId="77777777" w:rsidR="00830E72" w:rsidRDefault="008344D8">
                    <w:pPr>
                      <w:pStyle w:val="ab"/>
                      <w:autoSpaceDE w:val="0"/>
                      <w:autoSpaceDN w:val="0"/>
                      <w:adjustRightInd w:val="0"/>
                      <w:rPr>
                        <w:rFonts w:ascii="宋体" w:hAnsi="宋体"/>
                      </w:rPr>
                    </w:pPr>
                    <w:r>
                      <w:rPr>
                        <w:rFonts w:ascii="宋体" w:hAnsi="宋体" w:hint="eastAsia"/>
                      </w:rPr>
                      <w:t>未到期担保可能承担连带清偿责任说明</w:t>
                    </w:r>
                  </w:p>
                </w:tc>
              </w:sdtContent>
            </w:sdt>
            <w:tc>
              <w:tcPr>
                <w:tcW w:w="2852" w:type="pct"/>
                <w:gridSpan w:val="9"/>
                <w:tcBorders>
                  <w:top w:val="single" w:sz="4" w:space="0" w:color="auto"/>
                  <w:left w:val="single" w:sz="4" w:space="0" w:color="auto"/>
                  <w:bottom w:val="single" w:sz="4" w:space="0" w:color="auto"/>
                </w:tcBorders>
                <w:shd w:val="clear" w:color="auto" w:fill="auto"/>
                <w:vAlign w:val="center"/>
              </w:tcPr>
              <w:p w14:paraId="2F26FF1A" w14:textId="77777777" w:rsidR="00830E72" w:rsidRDefault="00830E72">
                <w:pPr>
                  <w:autoSpaceDE w:val="0"/>
                  <w:autoSpaceDN w:val="0"/>
                  <w:adjustRightInd w:val="0"/>
                  <w:rPr>
                    <w:szCs w:val="21"/>
                  </w:rPr>
                </w:pPr>
              </w:p>
            </w:tc>
          </w:tr>
          <w:tr w:rsidR="00830E72" w14:paraId="3179B168" w14:textId="77777777">
            <w:trPr>
              <w:trHeight w:val="308"/>
            </w:trPr>
            <w:sdt>
              <w:sdtPr>
                <w:tag w:val="_PLD_88f88dacaff54d419c61ced0566505e9"/>
                <w:id w:val="866178253"/>
                <w:lock w:val="sdtLocked"/>
              </w:sdtPr>
              <w:sdtEndPr/>
              <w:sdtContent>
                <w:tc>
                  <w:tcPr>
                    <w:tcW w:w="2148" w:type="pct"/>
                    <w:gridSpan w:val="7"/>
                    <w:tcBorders>
                      <w:top w:val="single" w:sz="4" w:space="0" w:color="auto"/>
                      <w:bottom w:val="single" w:sz="4" w:space="0" w:color="auto"/>
                      <w:right w:val="single" w:sz="4" w:space="0" w:color="auto"/>
                    </w:tcBorders>
                    <w:shd w:val="clear" w:color="auto" w:fill="auto"/>
                    <w:vAlign w:val="center"/>
                  </w:tcPr>
                  <w:p w14:paraId="7AE19949" w14:textId="77777777" w:rsidR="00830E72" w:rsidRDefault="008344D8">
                    <w:pPr>
                      <w:autoSpaceDE w:val="0"/>
                      <w:autoSpaceDN w:val="0"/>
                      <w:adjustRightInd w:val="0"/>
                      <w:rPr>
                        <w:szCs w:val="21"/>
                      </w:rPr>
                    </w:pPr>
                    <w:r>
                      <w:rPr>
                        <w:rFonts w:hint="eastAsia"/>
                        <w:szCs w:val="21"/>
                      </w:rPr>
                      <w:t>担保情况说明</w:t>
                    </w:r>
                  </w:p>
                </w:tc>
              </w:sdtContent>
            </w:sdt>
            <w:tc>
              <w:tcPr>
                <w:tcW w:w="2852" w:type="pct"/>
                <w:gridSpan w:val="9"/>
                <w:tcBorders>
                  <w:top w:val="single" w:sz="4" w:space="0" w:color="auto"/>
                  <w:left w:val="single" w:sz="4" w:space="0" w:color="auto"/>
                  <w:bottom w:val="single" w:sz="4" w:space="0" w:color="auto"/>
                </w:tcBorders>
                <w:shd w:val="clear" w:color="auto" w:fill="auto"/>
                <w:vAlign w:val="center"/>
              </w:tcPr>
              <w:p w14:paraId="3BC28BCB" w14:textId="77777777" w:rsidR="00830E72" w:rsidRDefault="00830E72">
                <w:pPr>
                  <w:autoSpaceDE w:val="0"/>
                  <w:autoSpaceDN w:val="0"/>
                  <w:adjustRightInd w:val="0"/>
                  <w:rPr>
                    <w:szCs w:val="21"/>
                  </w:rPr>
                </w:pPr>
              </w:p>
            </w:tc>
          </w:tr>
        </w:tbl>
        <w:p w14:paraId="2497A146" w14:textId="77777777" w:rsidR="00830E72" w:rsidRDefault="00D44830"/>
      </w:sdtContent>
    </w:sdt>
    <w:bookmarkEnd w:id="42" w:displacedByCustomXml="next"/>
    <w:sdt>
      <w:sdtPr>
        <w:rPr>
          <w:rFonts w:ascii="宋体" w:hAnsi="宋体" w:cs="宋体"/>
          <w:b w:val="0"/>
          <w:bCs w:val="0"/>
          <w:kern w:val="0"/>
          <w:szCs w:val="21"/>
        </w:rPr>
        <w:alias w:val="模块:其他重大合同"/>
        <w:tag w:val="_SEC_e046194a1b604165ab4ac9dbd406e6b1"/>
        <w:id w:val="1692952346"/>
        <w:lock w:val="sdtLocked"/>
        <w:placeholder>
          <w:docPart w:val="GBC22222222222222222222222222222"/>
        </w:placeholder>
      </w:sdtPr>
      <w:sdtEndPr>
        <w:rPr>
          <w:rFonts w:hint="eastAsia"/>
          <w:szCs w:val="24"/>
        </w:rPr>
      </w:sdtEndPr>
      <w:sdtContent>
        <w:p w14:paraId="6812C0A3" w14:textId="77777777" w:rsidR="00830E72" w:rsidRDefault="008344D8">
          <w:pPr>
            <w:pStyle w:val="3"/>
            <w:numPr>
              <w:ilvl w:val="0"/>
              <w:numId w:val="24"/>
            </w:numPr>
            <w:ind w:left="450" w:hanging="450"/>
            <w:rPr>
              <w:rFonts w:ascii="宋体" w:hAnsi="宋体"/>
              <w:szCs w:val="21"/>
            </w:rPr>
          </w:pPr>
          <w:r>
            <w:rPr>
              <w:rFonts w:ascii="宋体" w:hAnsi="宋体"/>
              <w:szCs w:val="21"/>
            </w:rPr>
            <w:t>其他重大合同</w:t>
          </w:r>
        </w:p>
        <w:sdt>
          <w:sdtPr>
            <w:alias w:val="是否适用：其他重大合同[双击切换]"/>
            <w:tag w:val="_GBC_23289ac36e3b4aeeaff6a4f1df0c3165"/>
            <w:id w:val="-1376928156"/>
            <w:lock w:val="sdtLocked"/>
            <w:placeholder>
              <w:docPart w:val="GBC22222222222222222222222222222"/>
            </w:placeholder>
          </w:sdtPr>
          <w:sdtEndPr/>
          <w:sdtContent>
            <w:p w14:paraId="32750E9F"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43" w:name="_Hlk74820557" w:displacedByCustomXml="next"/>
    <w:bookmarkStart w:id="44" w:name="_Hlk74904700" w:displacedByCustomXml="next"/>
    <w:sdt>
      <w:sdtPr>
        <w:rPr>
          <w:rFonts w:ascii="宋体" w:hAnsi="宋体" w:cs="宋体"/>
          <w:b w:val="0"/>
          <w:bCs w:val="0"/>
          <w:kern w:val="0"/>
          <w:szCs w:val="24"/>
        </w:rPr>
        <w:alias w:val="模块:"/>
        <w:tag w:val="_SEC_82a7281a6dc544bea8ef97d430f7b6fc"/>
        <w:id w:val="-798767877"/>
        <w:lock w:val="sdtLocked"/>
        <w:placeholder>
          <w:docPart w:val="GBC22222222222222222222222222222"/>
        </w:placeholder>
      </w:sdtPr>
      <w:sdtEndPr/>
      <w:sdtContent>
        <w:p w14:paraId="4FBEC8B2" w14:textId="77777777" w:rsidR="00830E72" w:rsidRDefault="008344D8">
          <w:pPr>
            <w:pStyle w:val="2"/>
            <w:numPr>
              <w:ilvl w:val="0"/>
              <w:numId w:val="16"/>
            </w:numPr>
            <w:tabs>
              <w:tab w:val="left" w:pos="426"/>
            </w:tabs>
            <w:jc w:val="left"/>
            <w:rPr>
              <w:rFonts w:ascii="宋体" w:hAnsi="宋体"/>
            </w:rPr>
          </w:pPr>
          <w:r>
            <w:rPr>
              <w:rFonts w:ascii="宋体" w:hAnsi="宋体"/>
            </w:rPr>
            <w:t>其他</w:t>
          </w:r>
          <w:r>
            <w:rPr>
              <w:rFonts w:ascii="宋体" w:hAnsi="宋体" w:hint="eastAsia"/>
            </w:rPr>
            <w:t>重大事项的说明</w:t>
          </w:r>
        </w:p>
        <w:sdt>
          <w:sdtPr>
            <w:alias w:val="是否适用：其他重大事项的说明[双击切换]"/>
            <w:tag w:val="_GBC_60472543195d45309db4d042b8e09883"/>
            <w:id w:val="-1438526648"/>
            <w:lock w:val="sdtLocked"/>
            <w:placeholder>
              <w:docPart w:val="GBC22222222222222222222222222222"/>
            </w:placeholder>
          </w:sdtPr>
          <w:sdtEndPr/>
          <w:sdtContent>
            <w:p w14:paraId="652633D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59EF35B" w14:textId="77777777" w:rsidR="00830E72" w:rsidRDefault="00D44830"/>
      </w:sdtContent>
    </w:sdt>
    <w:bookmarkEnd w:id="44"/>
    <w:bookmarkEnd w:id="43"/>
    <w:p w14:paraId="3DEAAB66" w14:textId="77777777" w:rsidR="00830E72" w:rsidRDefault="00830E72"/>
    <w:p w14:paraId="6EBE2A83" w14:textId="77777777" w:rsidR="00830E72" w:rsidRDefault="008344D8" w:rsidP="00720002">
      <w:pPr>
        <w:pStyle w:val="1"/>
        <w:numPr>
          <w:ilvl w:val="0"/>
          <w:numId w:val="2"/>
        </w:numPr>
        <w:ind w:left="0" w:firstLine="0"/>
        <w:rPr>
          <w:rFonts w:ascii="黑体" w:hAnsi="黑体"/>
        </w:rPr>
      </w:pPr>
      <w:bookmarkStart w:id="45" w:name="_Toc79503148"/>
      <w:bookmarkStart w:id="46" w:name="_Toc392233016"/>
      <w:r>
        <w:rPr>
          <w:rFonts w:ascii="黑体" w:hAnsi="黑体" w:hint="eastAsia"/>
        </w:rPr>
        <w:t>股份变动及股东情况</w:t>
      </w:r>
      <w:bookmarkEnd w:id="41"/>
      <w:bookmarkEnd w:id="45"/>
      <w:bookmarkEnd w:id="46"/>
    </w:p>
    <w:p w14:paraId="1071E837" w14:textId="77777777" w:rsidR="00830E72" w:rsidRDefault="008344D8">
      <w:pPr>
        <w:pStyle w:val="2"/>
        <w:numPr>
          <w:ilvl w:val="0"/>
          <w:numId w:val="25"/>
        </w:numPr>
        <w:spacing w:line="360" w:lineRule="auto"/>
        <w:ind w:left="422" w:hanging="422"/>
        <w:rPr>
          <w:rFonts w:ascii="宋体" w:hAnsi="宋体"/>
        </w:rPr>
      </w:pPr>
      <w:bookmarkStart w:id="47" w:name="_Toc342059476"/>
      <w:bookmarkStart w:id="48" w:name="_Toc342565989"/>
      <w:r>
        <w:rPr>
          <w:rFonts w:ascii="宋体" w:hAnsi="宋体"/>
        </w:rPr>
        <w:t>股</w:t>
      </w:r>
      <w:r>
        <w:rPr>
          <w:rFonts w:ascii="宋体" w:hAnsi="宋体" w:hint="eastAsia"/>
        </w:rPr>
        <w:t>本变动情况</w:t>
      </w:r>
      <w:bookmarkEnd w:id="47"/>
      <w:bookmarkEnd w:id="48"/>
    </w:p>
    <w:p w14:paraId="7CE64CEF" w14:textId="77777777" w:rsidR="00830E72" w:rsidRDefault="008344D8">
      <w:pPr>
        <w:pStyle w:val="3"/>
        <w:numPr>
          <w:ilvl w:val="1"/>
          <w:numId w:val="26"/>
        </w:numPr>
        <w:rPr>
          <w:rFonts w:ascii="宋体" w:hAnsi="宋体"/>
        </w:rPr>
      </w:pPr>
      <w:bookmarkStart w:id="49" w:name="_Toc342059477"/>
      <w:bookmarkStart w:id="50" w:name="_Toc342565990"/>
      <w:r>
        <w:rPr>
          <w:rFonts w:ascii="宋体" w:hAnsi="宋体" w:hint="eastAsia"/>
        </w:rPr>
        <w:t>股份变动情况表</w:t>
      </w:r>
      <w:bookmarkEnd w:id="49"/>
      <w:bookmarkEnd w:id="50"/>
    </w:p>
    <w:p w14:paraId="2A226D8D" w14:textId="77777777" w:rsidR="00830E72" w:rsidRDefault="008344D8">
      <w:pPr>
        <w:pStyle w:val="4"/>
        <w:numPr>
          <w:ilvl w:val="2"/>
          <w:numId w:val="27"/>
        </w:numPr>
        <w:rPr>
          <w:rFonts w:ascii="宋体" w:hAnsi="宋体"/>
        </w:rPr>
      </w:pPr>
      <w:r>
        <w:rPr>
          <w:rFonts w:ascii="宋体" w:hAnsi="宋体" w:hint="eastAsia"/>
        </w:rPr>
        <w:t>股份变动情况表</w:t>
      </w:r>
    </w:p>
    <w:sdt>
      <w:sdtPr>
        <w:rPr>
          <w:rFonts w:hint="eastAsia"/>
        </w:rPr>
        <w:alias w:val="选项模块:报告期内，公司股份总数及股本结构未发生变化。"/>
        <w:tag w:val="_GBC_dd8bc2a0b3ed4147a1e657cdc8573344"/>
        <w:id w:val="1010489920"/>
        <w:lock w:val="sdtLocked"/>
        <w:placeholder>
          <w:docPart w:val="GBC22222222222222222222222222222"/>
        </w:placeholder>
      </w:sdtPr>
      <w:sdtEndPr/>
      <w:sdtContent>
        <w:p w14:paraId="05D19677" w14:textId="77777777" w:rsidR="00830E72" w:rsidRDefault="008344D8">
          <w:r>
            <w:rPr>
              <w:rFonts w:hint="eastAsia"/>
            </w:rPr>
            <w:t>报告期内，公司股份总数及股本结构未发生变化。</w:t>
          </w:r>
        </w:p>
      </w:sdtContent>
    </w:sdt>
    <w:bookmarkStart w:id="51" w:name="_Toc342565996" w:displacedByCustomXml="next"/>
    <w:bookmarkStart w:id="52" w:name="_Toc342059483" w:displacedByCustomXml="next"/>
    <w:sdt>
      <w:sdtPr>
        <w:rPr>
          <w:rFonts w:ascii="宋体" w:hAnsi="宋体" w:cs="宋体"/>
          <w:b w:val="0"/>
          <w:bCs w:val="0"/>
          <w:kern w:val="0"/>
          <w:szCs w:val="22"/>
        </w:rPr>
        <w:alias w:val="模块:股份变动情况说明"/>
        <w:tag w:val="_GBC_11d26f58e47e4a1f997d73362074f464"/>
        <w:id w:val="-2102095722"/>
        <w:lock w:val="sdtLocked"/>
        <w:placeholder>
          <w:docPart w:val="GBC22222222222222222222222222222"/>
        </w:placeholder>
      </w:sdtPr>
      <w:sdtEndPr>
        <w:rPr>
          <w:rFonts w:hint="eastAsia"/>
          <w:szCs w:val="24"/>
        </w:rPr>
      </w:sdtEndPr>
      <w:sdtContent>
        <w:p w14:paraId="5485F758" w14:textId="77777777" w:rsidR="00830E72" w:rsidRDefault="008344D8">
          <w:pPr>
            <w:pStyle w:val="4"/>
            <w:numPr>
              <w:ilvl w:val="2"/>
              <w:numId w:val="27"/>
            </w:numPr>
            <w:rPr>
              <w:rFonts w:ascii="宋体" w:hAnsi="宋体"/>
            </w:rPr>
          </w:pPr>
          <w:r>
            <w:rPr>
              <w:rFonts w:ascii="宋体" w:hAnsi="宋体"/>
            </w:rPr>
            <w:t>股份变动情况说明</w:t>
          </w:r>
        </w:p>
        <w:sdt>
          <w:sdtPr>
            <w:alias w:val="是否适用：普通股股份变动情况说明[双击切换]"/>
            <w:tag w:val="_GBC_28994e6dc9c649e498c0ab9c340777bf"/>
            <w:id w:val="988591783"/>
            <w:lock w:val="sdtLocked"/>
            <w:placeholder>
              <w:docPart w:val="GBC22222222222222222222222222222"/>
            </w:placeholder>
          </w:sdtPr>
          <w:sdtEndPr/>
          <w:sdtContent>
            <w:p w14:paraId="326ED9F0"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2"/>
        </w:rPr>
        <w:alias w:val="模块:报告期后到半年报披露日期间发生股份变动对每股收益等指标影响"/>
        <w:tag w:val="_GBC_2c9eb79778814e39ab254196ba75dab3"/>
        <w:id w:val="1370571036"/>
        <w:lock w:val="sdtLocked"/>
        <w:placeholder>
          <w:docPart w:val="GBC22222222222222222222222222222"/>
        </w:placeholder>
      </w:sdtPr>
      <w:sdtEndPr>
        <w:rPr>
          <w:rFonts w:hint="eastAsia"/>
          <w:szCs w:val="24"/>
        </w:rPr>
      </w:sdtEndPr>
      <w:sdtContent>
        <w:p w14:paraId="61ABA666" w14:textId="77777777" w:rsidR="00830E72" w:rsidRDefault="008344D8">
          <w:pPr>
            <w:pStyle w:val="4"/>
            <w:numPr>
              <w:ilvl w:val="2"/>
              <w:numId w:val="27"/>
            </w:numPr>
            <w:rPr>
              <w:rFonts w:ascii="宋体" w:hAnsi="宋体" w:cs="宋体"/>
              <w:kern w:val="0"/>
              <w:szCs w:val="22"/>
            </w:rPr>
          </w:pPr>
          <w:r>
            <w:rPr>
              <w:rFonts w:ascii="宋体" w:hAnsi="宋体" w:cs="宋体" w:hint="eastAsia"/>
              <w:kern w:val="0"/>
              <w:szCs w:val="22"/>
            </w:rPr>
            <w:t>报告期后到半年报披露日期间发生股份变动对每股收益、每股净资产等财务指标的影响（如有）</w:t>
          </w:r>
        </w:p>
        <w:sdt>
          <w:sdtPr>
            <w:rPr>
              <w:rFonts w:hint="eastAsia"/>
            </w:rPr>
            <w:alias w:val="是否适用：普通股股份变动对最近一年和最近一期每股收益、每股净资产等财务指标的影响[双击切换]"/>
            <w:tag w:val="_GBC_bb0980f1589b4db8944ca5595f342bfe"/>
            <w:id w:val="2100363099"/>
            <w:lock w:val="sdtLocked"/>
            <w:placeholder>
              <w:docPart w:val="GBC22222222222222222222222222222"/>
            </w:placeholder>
          </w:sdtPr>
          <w:sdtEndPr/>
          <w:sdtContent>
            <w:p w14:paraId="111B8B9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股份变动对最近一年和最近一期财务指标的影响"/>
            <w:tag w:val="_GBC_357a4417afe34f56bf112d0f65cd7d39"/>
            <w:id w:val="-1334831149"/>
            <w:lock w:val="sdtLocked"/>
            <w:placeholder>
              <w:docPart w:val="GBC22222222222222222222222222222"/>
            </w:placeholder>
          </w:sdtPr>
          <w:sdtEndPr/>
          <w:sdtContent>
            <w:p w14:paraId="68C624D2" w14:textId="77777777" w:rsidR="00830E72" w:rsidRDefault="008344D8">
              <w:pPr>
                <w:ind w:firstLineChars="200" w:firstLine="420"/>
              </w:pPr>
              <w:r>
                <w:rPr>
                  <w:rFonts w:hint="eastAsia"/>
                  <w:szCs w:val="21"/>
                </w:rPr>
                <w:t>经中国证券监督管理委员会《关于核准安徽省交通建设股份有限公司非公开发行股票的批复》（证监许可〔</w:t>
              </w:r>
              <w:r>
                <w:rPr>
                  <w:szCs w:val="21"/>
                </w:rPr>
                <w:t>2021〕18号）核准，公司非公开发行股票数量119,924,235股，发行后公司总股本为618,924,235股。本次发行新增股份已于2021年7月5日在中国证券登记结算有限责任公司上海分公司办理完毕登记托管相关事宜。</w:t>
              </w:r>
            </w:p>
            <w:tbl>
              <w:tblPr>
                <w:tblStyle w:val="aff0"/>
                <w:tblW w:w="0" w:type="auto"/>
                <w:tblLook w:val="04A0" w:firstRow="1" w:lastRow="0" w:firstColumn="1" w:lastColumn="0" w:noHBand="0" w:noVBand="1"/>
              </w:tblPr>
              <w:tblGrid>
                <w:gridCol w:w="5070"/>
                <w:gridCol w:w="1842"/>
                <w:gridCol w:w="2137"/>
              </w:tblGrid>
              <w:tr w:rsidR="00830E72" w14:paraId="60F31C04" w14:textId="77777777">
                <w:tc>
                  <w:tcPr>
                    <w:tcW w:w="5070" w:type="dxa"/>
                  </w:tcPr>
                  <w:p w14:paraId="147F82C1" w14:textId="77777777" w:rsidR="00830E72" w:rsidRDefault="00830E72">
                    <w:pPr>
                      <w:jc w:val="center"/>
                    </w:pPr>
                  </w:p>
                </w:tc>
                <w:tc>
                  <w:tcPr>
                    <w:tcW w:w="3979" w:type="dxa"/>
                    <w:gridSpan w:val="2"/>
                  </w:tcPr>
                  <w:p w14:paraId="7AC7E041" w14:textId="77777777" w:rsidR="00830E72" w:rsidRDefault="008344D8">
                    <w:pPr>
                      <w:jc w:val="center"/>
                    </w:pPr>
                    <w:r>
                      <w:rPr>
                        <w:rFonts w:hint="eastAsia"/>
                      </w:rPr>
                      <w:t>2</w:t>
                    </w:r>
                    <w:r>
                      <w:t>021</w:t>
                    </w:r>
                    <w:r>
                      <w:rPr>
                        <w:rFonts w:hint="eastAsia"/>
                      </w:rPr>
                      <w:t>年1</w:t>
                    </w:r>
                    <w:r>
                      <w:t>-6</w:t>
                    </w:r>
                    <w:r>
                      <w:rPr>
                        <w:rFonts w:hint="eastAsia"/>
                      </w:rPr>
                      <w:t>月份</w:t>
                    </w:r>
                  </w:p>
                </w:tc>
              </w:tr>
              <w:tr w:rsidR="00830E72" w14:paraId="36A6DCC0" w14:textId="77777777">
                <w:tc>
                  <w:tcPr>
                    <w:tcW w:w="5070" w:type="dxa"/>
                  </w:tcPr>
                  <w:p w14:paraId="6986AFC6" w14:textId="77777777" w:rsidR="00830E72" w:rsidRDefault="008344D8">
                    <w:pPr>
                      <w:jc w:val="center"/>
                    </w:pPr>
                    <w:r>
                      <w:rPr>
                        <w:rFonts w:hint="eastAsia"/>
                      </w:rPr>
                      <w:t>主要财务指标</w:t>
                    </w:r>
                  </w:p>
                </w:tc>
                <w:tc>
                  <w:tcPr>
                    <w:tcW w:w="1842" w:type="dxa"/>
                  </w:tcPr>
                  <w:p w14:paraId="6F123577" w14:textId="77777777" w:rsidR="00830E72" w:rsidRDefault="008344D8">
                    <w:pPr>
                      <w:jc w:val="center"/>
                    </w:pPr>
                    <w:r>
                      <w:rPr>
                        <w:rFonts w:hint="eastAsia"/>
                      </w:rPr>
                      <w:t>非公开发行前</w:t>
                    </w:r>
                  </w:p>
                </w:tc>
                <w:tc>
                  <w:tcPr>
                    <w:tcW w:w="2137" w:type="dxa"/>
                  </w:tcPr>
                  <w:p w14:paraId="2899FDB5" w14:textId="77777777" w:rsidR="00830E72" w:rsidRDefault="008344D8">
                    <w:pPr>
                      <w:jc w:val="center"/>
                    </w:pPr>
                    <w:r>
                      <w:rPr>
                        <w:rFonts w:hint="eastAsia"/>
                      </w:rPr>
                      <w:t>非公开发行后</w:t>
                    </w:r>
                  </w:p>
                </w:tc>
              </w:tr>
              <w:tr w:rsidR="00830E72" w14:paraId="3DBCD603" w14:textId="77777777">
                <w:tc>
                  <w:tcPr>
                    <w:tcW w:w="5070" w:type="dxa"/>
                  </w:tcPr>
                  <w:p w14:paraId="3A6F7CFB" w14:textId="77777777" w:rsidR="00830E72" w:rsidRDefault="008344D8">
                    <w:r>
                      <w:t>基本每股收益（元／股）</w:t>
                    </w:r>
                  </w:p>
                </w:tc>
                <w:tc>
                  <w:tcPr>
                    <w:tcW w:w="1842" w:type="dxa"/>
                  </w:tcPr>
                  <w:p w14:paraId="621A6ABE" w14:textId="77777777" w:rsidR="00830E72" w:rsidRDefault="008344D8">
                    <w:pPr>
                      <w:jc w:val="right"/>
                    </w:pPr>
                    <w:r>
                      <w:t>0.10</w:t>
                    </w:r>
                  </w:p>
                </w:tc>
                <w:tc>
                  <w:tcPr>
                    <w:tcW w:w="2137" w:type="dxa"/>
                  </w:tcPr>
                  <w:p w14:paraId="2A7DF8C1" w14:textId="77777777" w:rsidR="00830E72" w:rsidRDefault="008344D8">
                    <w:pPr>
                      <w:jc w:val="right"/>
                    </w:pPr>
                    <w:r>
                      <w:t>0.08</w:t>
                    </w:r>
                  </w:p>
                </w:tc>
              </w:tr>
              <w:tr w:rsidR="00830E72" w14:paraId="5EB981F0" w14:textId="77777777">
                <w:tc>
                  <w:tcPr>
                    <w:tcW w:w="5070" w:type="dxa"/>
                  </w:tcPr>
                  <w:p w14:paraId="106AF906" w14:textId="77777777" w:rsidR="00830E72" w:rsidRDefault="008344D8">
                    <w:r>
                      <w:t>稀释每股收益（元／股）</w:t>
                    </w:r>
                  </w:p>
                </w:tc>
                <w:tc>
                  <w:tcPr>
                    <w:tcW w:w="1842" w:type="dxa"/>
                  </w:tcPr>
                  <w:p w14:paraId="72E01D0A" w14:textId="77777777" w:rsidR="00830E72" w:rsidRDefault="008344D8">
                    <w:pPr>
                      <w:jc w:val="right"/>
                    </w:pPr>
                    <w:r>
                      <w:t>0.10</w:t>
                    </w:r>
                  </w:p>
                </w:tc>
                <w:tc>
                  <w:tcPr>
                    <w:tcW w:w="2137" w:type="dxa"/>
                  </w:tcPr>
                  <w:p w14:paraId="1AC6FBE0" w14:textId="77777777" w:rsidR="00830E72" w:rsidRDefault="008344D8">
                    <w:pPr>
                      <w:jc w:val="right"/>
                    </w:pPr>
                    <w:r>
                      <w:t>0.08</w:t>
                    </w:r>
                  </w:p>
                </w:tc>
              </w:tr>
              <w:tr w:rsidR="00830E72" w14:paraId="49B6C30C" w14:textId="77777777">
                <w:tc>
                  <w:tcPr>
                    <w:tcW w:w="5070" w:type="dxa"/>
                  </w:tcPr>
                  <w:p w14:paraId="0DBAAB8F" w14:textId="77777777" w:rsidR="00830E72" w:rsidRDefault="008344D8">
                    <w:r>
                      <w:t>扣除非经常性损益后的基本每股收益（元／股）</w:t>
                    </w:r>
                  </w:p>
                </w:tc>
                <w:tc>
                  <w:tcPr>
                    <w:tcW w:w="1842" w:type="dxa"/>
                  </w:tcPr>
                  <w:p w14:paraId="4D54387B" w14:textId="77777777" w:rsidR="00830E72" w:rsidRDefault="008344D8">
                    <w:pPr>
                      <w:jc w:val="right"/>
                    </w:pPr>
                    <w:r>
                      <w:t>0.10</w:t>
                    </w:r>
                  </w:p>
                </w:tc>
                <w:tc>
                  <w:tcPr>
                    <w:tcW w:w="2137" w:type="dxa"/>
                  </w:tcPr>
                  <w:p w14:paraId="3307B4FB" w14:textId="77777777" w:rsidR="00830E72" w:rsidRDefault="008344D8">
                    <w:pPr>
                      <w:jc w:val="right"/>
                    </w:pPr>
                    <w:r>
                      <w:t>0.08</w:t>
                    </w:r>
                  </w:p>
                </w:tc>
              </w:tr>
              <w:tr w:rsidR="00830E72" w14:paraId="0B6F5285" w14:textId="77777777">
                <w:tc>
                  <w:tcPr>
                    <w:tcW w:w="5070" w:type="dxa"/>
                  </w:tcPr>
                  <w:p w14:paraId="0365703D" w14:textId="77777777" w:rsidR="00830E72" w:rsidRDefault="008344D8">
                    <w:r>
                      <w:t>加权平均净资产收益率（%）</w:t>
                    </w:r>
                  </w:p>
                </w:tc>
                <w:tc>
                  <w:tcPr>
                    <w:tcW w:w="1842" w:type="dxa"/>
                  </w:tcPr>
                  <w:p w14:paraId="658F9592" w14:textId="77777777" w:rsidR="00830E72" w:rsidRDefault="008344D8">
                    <w:pPr>
                      <w:jc w:val="right"/>
                    </w:pPr>
                    <w:r>
                      <w:t>4.31</w:t>
                    </w:r>
                  </w:p>
                </w:tc>
                <w:tc>
                  <w:tcPr>
                    <w:tcW w:w="2137" w:type="dxa"/>
                  </w:tcPr>
                  <w:p w14:paraId="5069F1D5" w14:textId="77777777" w:rsidR="00830E72" w:rsidRDefault="008344D8">
                    <w:pPr>
                      <w:jc w:val="right"/>
                    </w:pPr>
                    <w:r>
                      <w:t>4.31</w:t>
                    </w:r>
                  </w:p>
                </w:tc>
              </w:tr>
              <w:tr w:rsidR="00830E72" w14:paraId="7DCE53E4" w14:textId="77777777">
                <w:tc>
                  <w:tcPr>
                    <w:tcW w:w="5070" w:type="dxa"/>
                  </w:tcPr>
                  <w:p w14:paraId="48BD7F80" w14:textId="77777777" w:rsidR="00830E72" w:rsidRDefault="008344D8">
                    <w:r w:rsidRPr="005B4FBB">
                      <w:t>扣除非经常性损益后的加权平均净资产收益率（%）</w:t>
                    </w:r>
                  </w:p>
                </w:tc>
                <w:tc>
                  <w:tcPr>
                    <w:tcW w:w="1842" w:type="dxa"/>
                  </w:tcPr>
                  <w:p w14:paraId="28D11A68" w14:textId="77777777" w:rsidR="00830E72" w:rsidRDefault="008344D8">
                    <w:pPr>
                      <w:jc w:val="right"/>
                    </w:pPr>
                    <w:r>
                      <w:t>4.29</w:t>
                    </w:r>
                  </w:p>
                </w:tc>
                <w:tc>
                  <w:tcPr>
                    <w:tcW w:w="2137" w:type="dxa"/>
                  </w:tcPr>
                  <w:p w14:paraId="78EED780" w14:textId="77777777" w:rsidR="00830E72" w:rsidRDefault="008344D8">
                    <w:pPr>
                      <w:jc w:val="right"/>
                    </w:pPr>
                    <w:r>
                      <w:t>4.29</w:t>
                    </w:r>
                  </w:p>
                </w:tc>
              </w:tr>
            </w:tbl>
            <w:p w14:paraId="6F753E8C" w14:textId="77777777" w:rsidR="00830E72" w:rsidRDefault="00D44830"/>
          </w:sdtContent>
        </w:sdt>
      </w:sdtContent>
    </w:sdt>
    <w:sdt>
      <w:sdtPr>
        <w:rPr>
          <w:rFonts w:ascii="宋体" w:hAnsi="宋体" w:cs="宋体"/>
          <w:b w:val="0"/>
          <w:bCs w:val="0"/>
          <w:kern w:val="0"/>
          <w:szCs w:val="22"/>
        </w:rPr>
        <w:alias w:val="模块:公司认为必要或证券监管机构要求披露的其他内容"/>
        <w:tag w:val="_GBC_ea8cea8d08c04df4b51a4a58c86eadd2"/>
        <w:id w:val="72319495"/>
        <w:lock w:val="sdtLocked"/>
        <w:placeholder>
          <w:docPart w:val="GBC22222222222222222222222222222"/>
        </w:placeholder>
      </w:sdtPr>
      <w:sdtEndPr>
        <w:rPr>
          <w:rFonts w:hint="eastAsia"/>
          <w:szCs w:val="24"/>
        </w:rPr>
      </w:sdtEndPr>
      <w:sdtContent>
        <w:p w14:paraId="7FED7046" w14:textId="77777777" w:rsidR="00830E72" w:rsidRDefault="008344D8">
          <w:pPr>
            <w:pStyle w:val="4"/>
            <w:numPr>
              <w:ilvl w:val="2"/>
              <w:numId w:val="27"/>
            </w:numPr>
            <w:rPr>
              <w:rFonts w:ascii="宋体" w:hAnsi="宋体"/>
            </w:rPr>
          </w:pPr>
          <w:r>
            <w:rPr>
              <w:rFonts w:ascii="宋体" w:hAnsi="宋体"/>
            </w:rPr>
            <w:t>公司认为必要或证券监管机构要求披露的其他内容</w:t>
          </w:r>
        </w:p>
        <w:sdt>
          <w:sdtPr>
            <w:alias w:val="是否适用：公司认为必要或证券监管机构要求披露的其他内容[双击切换]"/>
            <w:tag w:val="_GBC_7554eed1e25047d282437f24056d532b"/>
            <w:id w:val="385690609"/>
            <w:lock w:val="sdtLocked"/>
            <w:placeholder>
              <w:docPart w:val="GBC22222222222222222222222222222"/>
            </w:placeholder>
          </w:sdtPr>
          <w:sdtEndPr/>
          <w:sdtContent>
            <w:p w14:paraId="52F93187"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4"/>
        </w:rPr>
        <w:alias w:val="模块:限售股份变动情况"/>
        <w:tag w:val="_SEC_71bda84d0fff4902850bfc37d3477fb7"/>
        <w:id w:val="1470167695"/>
        <w:lock w:val="sdtLocked"/>
        <w:placeholder>
          <w:docPart w:val="GBC22222222222222222222222222222"/>
        </w:placeholder>
      </w:sdtPr>
      <w:sdtEndPr/>
      <w:sdtContent>
        <w:p w14:paraId="3CEDEAE0" w14:textId="77777777" w:rsidR="00830E72" w:rsidRDefault="008344D8">
          <w:pPr>
            <w:pStyle w:val="3"/>
            <w:numPr>
              <w:ilvl w:val="1"/>
              <w:numId w:val="26"/>
            </w:numPr>
            <w:rPr>
              <w:rFonts w:ascii="宋体" w:hAnsi="宋体"/>
            </w:rPr>
          </w:pPr>
          <w:r>
            <w:rPr>
              <w:rFonts w:ascii="宋体" w:hAnsi="宋体"/>
            </w:rPr>
            <w:t>限售股份变动情况</w:t>
          </w:r>
        </w:p>
        <w:sdt>
          <w:sdtPr>
            <w:alias w:val="是否适用：限售股份变动情况表[双击切换]"/>
            <w:tag w:val="_GBC_6f5978a50e224b6aa94189436cdee711"/>
            <w:id w:val="-1288889725"/>
            <w:lock w:val="sdtLocked"/>
            <w:placeholder>
              <w:docPart w:val="GBC22222222222222222222222222222"/>
            </w:placeholder>
          </w:sdtPr>
          <w:sdtEndPr/>
          <w:sdtContent>
            <w:p w14:paraId="0E585D4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EFE6432" w14:textId="77777777" w:rsidR="00830E72" w:rsidRDefault="00830E72"/>
    <w:p w14:paraId="3056CD59" w14:textId="77777777" w:rsidR="00830E72" w:rsidRDefault="00830E72">
      <w:pPr>
        <w:pStyle w:val="2"/>
        <w:numPr>
          <w:ilvl w:val="0"/>
          <w:numId w:val="25"/>
        </w:numPr>
        <w:spacing w:line="360" w:lineRule="auto"/>
        <w:ind w:left="422" w:hanging="422"/>
        <w:rPr>
          <w:rFonts w:ascii="宋体" w:hAnsi="宋体"/>
        </w:rPr>
        <w:sectPr w:rsidR="00830E72">
          <w:pgSz w:w="11906" w:h="16838"/>
          <w:pgMar w:top="1525" w:right="1276" w:bottom="1440" w:left="1797" w:header="851" w:footer="992" w:gutter="0"/>
          <w:cols w:space="425"/>
          <w:docGrid w:linePitch="312"/>
        </w:sectPr>
      </w:pPr>
    </w:p>
    <w:p w14:paraId="0D109A7D" w14:textId="77777777" w:rsidR="00830E72" w:rsidRDefault="008344D8">
      <w:pPr>
        <w:pStyle w:val="2"/>
        <w:numPr>
          <w:ilvl w:val="0"/>
          <w:numId w:val="25"/>
        </w:numPr>
        <w:spacing w:line="360" w:lineRule="auto"/>
        <w:ind w:left="422" w:hanging="422"/>
        <w:rPr>
          <w:rFonts w:ascii="宋体" w:hAnsi="宋体"/>
        </w:rPr>
      </w:pPr>
      <w:r>
        <w:rPr>
          <w:rFonts w:ascii="宋体" w:hAnsi="宋体"/>
        </w:rPr>
        <w:lastRenderedPageBreak/>
        <w:t>股东情况</w:t>
      </w:r>
      <w:bookmarkEnd w:id="52"/>
      <w:bookmarkEnd w:id="51"/>
    </w:p>
    <w:sdt>
      <w:sdtPr>
        <w:rPr>
          <w:rFonts w:ascii="宋体" w:hAnsi="宋体" w:cs="宋体"/>
          <w:b w:val="0"/>
          <w:bCs w:val="0"/>
          <w:kern w:val="0"/>
          <w:szCs w:val="22"/>
        </w:rPr>
        <w:alias w:val="模块:股东总数"/>
        <w:tag w:val="_GBC_ba0ac3b5d31347c0a620e3662112fa62"/>
        <w:id w:val="982743266"/>
        <w:lock w:val="sdtLocked"/>
        <w:placeholder>
          <w:docPart w:val="GBC22222222222222222222222222222"/>
        </w:placeholder>
      </w:sdtPr>
      <w:sdtEndPr>
        <w:rPr>
          <w:szCs w:val="24"/>
        </w:rPr>
      </w:sdtEndPr>
      <w:sdtContent>
        <w:p w14:paraId="51036801" w14:textId="77777777" w:rsidR="00830E72" w:rsidRDefault="008344D8">
          <w:pPr>
            <w:pStyle w:val="3"/>
            <w:numPr>
              <w:ilvl w:val="1"/>
              <w:numId w:val="28"/>
            </w:numPr>
            <w:rPr>
              <w:rFonts w:ascii="宋体" w:hAnsi="宋体"/>
            </w:rPr>
          </w:pPr>
          <w:r>
            <w:rPr>
              <w:rFonts w:ascii="宋体" w:hAnsi="宋体"/>
            </w:rPr>
            <w:t>股东总数：</w:t>
          </w:r>
        </w:p>
        <w:tbl>
          <w:tblPr>
            <w:tblStyle w:val="aff0"/>
            <w:tblW w:w="0" w:type="auto"/>
            <w:tblLook w:val="04A0" w:firstRow="1" w:lastRow="0" w:firstColumn="1" w:lastColumn="0" w:noHBand="0" w:noVBand="1"/>
          </w:tblPr>
          <w:tblGrid>
            <w:gridCol w:w="5070"/>
            <w:gridCol w:w="3978"/>
          </w:tblGrid>
          <w:tr w:rsidR="00830E72" w14:paraId="475A3B4C" w14:textId="77777777">
            <w:sdt>
              <w:sdtPr>
                <w:tag w:val="_PLD_9206d6884981495295105158630a6172"/>
                <w:id w:val="-1367830515"/>
                <w:lock w:val="sdtLocked"/>
              </w:sdtPr>
              <w:sdtEndPr/>
              <w:sdtContent>
                <w:tc>
                  <w:tcPr>
                    <w:tcW w:w="5070" w:type="dxa"/>
                  </w:tcPr>
                  <w:p w14:paraId="0AB9C9DB" w14:textId="77777777" w:rsidR="00830E72" w:rsidRDefault="008344D8">
                    <w:r>
                      <w:t>截止报告期末</w:t>
                    </w:r>
                    <w:r>
                      <w:rPr>
                        <w:rFonts w:hint="eastAsia"/>
                      </w:rPr>
                      <w:t>普通股</w:t>
                    </w:r>
                    <w:r>
                      <w:t>股东总数(户)</w:t>
                    </w:r>
                  </w:p>
                </w:tc>
              </w:sdtContent>
            </w:sdt>
            <w:sdt>
              <w:sdtPr>
                <w:alias w:val="报告期末股东总数"/>
                <w:tag w:val="_GBC_9fd402ec66014f4e9716c7fdb0286bd2"/>
                <w:id w:val="-1392494058"/>
                <w:lock w:val="sdtLocked"/>
              </w:sdtPr>
              <w:sdtEndPr/>
              <w:sdtContent>
                <w:tc>
                  <w:tcPr>
                    <w:tcW w:w="3978" w:type="dxa"/>
                  </w:tcPr>
                  <w:p w14:paraId="148181B8" w14:textId="77777777" w:rsidR="00830E72" w:rsidRDefault="008344D8">
                    <w:pPr>
                      <w:jc w:val="right"/>
                    </w:pPr>
                    <w:r>
                      <w:t>24,935</w:t>
                    </w:r>
                  </w:p>
                </w:tc>
              </w:sdtContent>
            </w:sdt>
          </w:tr>
          <w:tr w:rsidR="00830E72" w14:paraId="3A823D2A" w14:textId="77777777">
            <w:sdt>
              <w:sdtPr>
                <w:tag w:val="_PLD_40c51c13ddad420ab635010b5df15a40"/>
                <w:id w:val="-1216745208"/>
                <w:lock w:val="sdtLocked"/>
              </w:sdtPr>
              <w:sdtEndPr/>
              <w:sdtContent>
                <w:tc>
                  <w:tcPr>
                    <w:tcW w:w="5070" w:type="dxa"/>
                  </w:tcPr>
                  <w:p w14:paraId="6BA1A913" w14:textId="77777777" w:rsidR="00830E72" w:rsidRDefault="008344D8">
                    <w:r>
                      <w:rPr>
                        <w:rFonts w:hint="eastAsia"/>
                      </w:rPr>
                      <w:t>截止报告期末表决权恢复的优先股股东总数（户）</w:t>
                    </w:r>
                  </w:p>
                </w:tc>
              </w:sdtContent>
            </w:sdt>
            <w:tc>
              <w:tcPr>
                <w:tcW w:w="3978" w:type="dxa"/>
              </w:tcPr>
              <w:p w14:paraId="33E02F45" w14:textId="77777777" w:rsidR="00830E72" w:rsidRDefault="008344D8">
                <w:pPr>
                  <w:jc w:val="right"/>
                </w:pPr>
                <w:r>
                  <w:rPr>
                    <w:rFonts w:hint="eastAsia"/>
                  </w:rPr>
                  <w:t>0</w:t>
                </w:r>
              </w:p>
            </w:tc>
          </w:tr>
        </w:tbl>
        <w:p w14:paraId="31713898" w14:textId="77777777" w:rsidR="00830E72" w:rsidRDefault="00D44830"/>
      </w:sdtContent>
    </w:sdt>
    <w:bookmarkStart w:id="53" w:name="_Toc342565998" w:displacedByCustomXml="next"/>
    <w:bookmarkEnd w:id="53" w:displacedByCustomXml="next"/>
    <w:bookmarkStart w:id="54" w:name="_Toc342059485" w:displacedByCustomXml="next"/>
    <w:bookmarkEnd w:id="54" w:displacedByCustomXml="next"/>
    <w:sdt>
      <w:sdtPr>
        <w:rPr>
          <w:rFonts w:ascii="宋体" w:hAnsi="宋体" w:cs="宋体" w:hint="eastAsia"/>
          <w:b w:val="0"/>
          <w:bCs w:val="0"/>
          <w:kern w:val="0"/>
          <w:szCs w:val="22"/>
        </w:rPr>
        <w:alias w:val="选项模块:前十名股东持股情况(已完成或不涉及股改)"/>
        <w:tag w:val="_GBC_558dfa41ef4b4fa8adb57b3c9c0a2887"/>
        <w:id w:val="513739423"/>
        <w:lock w:val="sdtLocked"/>
        <w:placeholder>
          <w:docPart w:val="GBC22222222222222222222222222222"/>
        </w:placeholder>
      </w:sdtPr>
      <w:sdtEndPr>
        <w:rPr>
          <w:rFonts w:hint="default"/>
          <w:szCs w:val="24"/>
        </w:rPr>
      </w:sdtEndPr>
      <w:sdtContent>
        <w:p w14:paraId="5F94EBDE" w14:textId="77777777" w:rsidR="00830E72" w:rsidRDefault="008344D8">
          <w:pPr>
            <w:pStyle w:val="3"/>
            <w:numPr>
              <w:ilvl w:val="1"/>
              <w:numId w:val="28"/>
            </w:numPr>
            <w:rPr>
              <w:rFonts w:ascii="宋体" w:hAnsi="宋体"/>
            </w:rPr>
          </w:pPr>
          <w:r>
            <w:rPr>
              <w:rFonts w:ascii="宋体" w:hAnsi="宋体" w:hint="eastAsia"/>
              <w:szCs w:val="21"/>
            </w:rPr>
            <w:t>截止报告期末前十名股东、前十名流通股东（或无限售条件股东）持股情况表</w:t>
          </w:r>
        </w:p>
        <w:p w14:paraId="6F299CE1" w14:textId="77777777" w:rsidR="00830E72" w:rsidRDefault="008344D8">
          <w:pPr>
            <w:jc w:val="right"/>
            <w:rPr>
              <w:szCs w:val="21"/>
            </w:rPr>
          </w:pPr>
          <w:r>
            <w:rPr>
              <w:bCs/>
              <w:szCs w:val="21"/>
            </w:rPr>
            <w:t>单位：</w:t>
          </w:r>
          <w:sdt>
            <w:sdtPr>
              <w:rPr>
                <w:bCs/>
                <w:szCs w:val="21"/>
              </w:rPr>
              <w:alias w:val="单位：前十名股东持股情况"/>
              <w:tag w:val="_GBC_9d020b31dcb449c980ed0856cf6dae82"/>
              <w:id w:val="-94368535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szCs w:val="21"/>
                </w:rPr>
                <w:t>股</w:t>
              </w:r>
            </w:sdtContent>
          </w:sdt>
        </w:p>
        <w:tbl>
          <w:tblPr>
            <w:tblStyle w:val="g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418"/>
            <w:gridCol w:w="1417"/>
            <w:gridCol w:w="851"/>
            <w:gridCol w:w="1559"/>
            <w:gridCol w:w="1134"/>
            <w:gridCol w:w="1417"/>
            <w:gridCol w:w="1701"/>
          </w:tblGrid>
          <w:tr w:rsidR="00830E72" w14:paraId="4D8FAD48" w14:textId="77777777">
            <w:trPr>
              <w:cantSplit/>
            </w:trPr>
            <w:sdt>
              <w:sdtPr>
                <w:rPr>
                  <w:rFonts w:ascii="宋体" w:hAnsi="宋体"/>
                </w:rPr>
                <w:tag w:val="_PLD_3038da138bad4905b589aeba821a8575"/>
                <w:id w:val="396405254"/>
                <w:lock w:val="sdtLocked"/>
              </w:sdtPr>
              <w:sdtEndPr/>
              <w:sdtContent>
                <w:tc>
                  <w:tcPr>
                    <w:tcW w:w="13149" w:type="dxa"/>
                    <w:gridSpan w:val="8"/>
                    <w:shd w:val="clear" w:color="auto" w:fill="auto"/>
                    <w:vAlign w:val="center"/>
                  </w:tcPr>
                  <w:p w14:paraId="2A745FE5" w14:textId="77777777" w:rsidR="00830E72" w:rsidRDefault="008344D8">
                    <w:pPr>
                      <w:pStyle w:val="ab"/>
                      <w:jc w:val="center"/>
                      <w:rPr>
                        <w:rFonts w:ascii="宋体" w:hAnsi="宋体"/>
                      </w:rPr>
                    </w:pPr>
                    <w:r>
                      <w:rPr>
                        <w:rFonts w:ascii="宋体" w:hAnsi="宋体"/>
                      </w:rPr>
                      <w:t>前十名股东持股情况</w:t>
                    </w:r>
                  </w:p>
                </w:tc>
              </w:sdtContent>
            </w:sdt>
          </w:tr>
          <w:tr w:rsidR="00830E72" w14:paraId="4B5FE323" w14:textId="77777777" w:rsidTr="00A40D2A">
            <w:trPr>
              <w:cantSplit/>
            </w:trPr>
            <w:sdt>
              <w:sdtPr>
                <w:tag w:val="_PLD_80eda5ca76254dc1b950ed7de7dc5885"/>
                <w:id w:val="335510648"/>
                <w:lock w:val="sdtLocked"/>
              </w:sdtPr>
              <w:sdtEndPr/>
              <w:sdtContent>
                <w:tc>
                  <w:tcPr>
                    <w:tcW w:w="3652" w:type="dxa"/>
                    <w:vMerge w:val="restart"/>
                    <w:shd w:val="clear" w:color="auto" w:fill="auto"/>
                    <w:vAlign w:val="center"/>
                  </w:tcPr>
                  <w:p w14:paraId="1BF77BE0" w14:textId="77777777" w:rsidR="00830E72" w:rsidRDefault="008344D8">
                    <w:pPr>
                      <w:jc w:val="center"/>
                      <w:rPr>
                        <w:szCs w:val="21"/>
                      </w:rPr>
                    </w:pPr>
                    <w:r>
                      <w:rPr>
                        <w:szCs w:val="21"/>
                      </w:rPr>
                      <w:t>股东名称</w:t>
                    </w:r>
                  </w:p>
                  <w:p w14:paraId="0057F641" w14:textId="77777777" w:rsidR="00830E72" w:rsidRDefault="008344D8">
                    <w:pPr>
                      <w:jc w:val="center"/>
                      <w:rPr>
                        <w:szCs w:val="21"/>
                      </w:rPr>
                    </w:pPr>
                    <w:r>
                      <w:rPr>
                        <w:rFonts w:hint="eastAsia"/>
                        <w:szCs w:val="21"/>
                      </w:rPr>
                      <w:t>（全称）</w:t>
                    </w:r>
                  </w:p>
                </w:tc>
              </w:sdtContent>
            </w:sdt>
            <w:sdt>
              <w:sdtPr>
                <w:tag w:val="_PLD_ca2ffd3fc186426e98aac562ecc1ba54"/>
                <w:id w:val="1988515690"/>
                <w:lock w:val="sdtLocked"/>
              </w:sdtPr>
              <w:sdtEndPr/>
              <w:sdtContent>
                <w:tc>
                  <w:tcPr>
                    <w:tcW w:w="1418" w:type="dxa"/>
                    <w:vMerge w:val="restart"/>
                    <w:shd w:val="clear" w:color="auto" w:fill="auto"/>
                    <w:vAlign w:val="center"/>
                  </w:tcPr>
                  <w:p w14:paraId="498EBFBA" w14:textId="77777777" w:rsidR="00830E72" w:rsidRDefault="008344D8">
                    <w:pPr>
                      <w:jc w:val="center"/>
                      <w:rPr>
                        <w:szCs w:val="21"/>
                      </w:rPr>
                    </w:pPr>
                    <w:r>
                      <w:rPr>
                        <w:szCs w:val="21"/>
                      </w:rPr>
                      <w:t>报告期内</w:t>
                    </w:r>
                  </w:p>
                  <w:p w14:paraId="045E318B" w14:textId="77777777" w:rsidR="00830E72" w:rsidRDefault="008344D8">
                    <w:pPr>
                      <w:jc w:val="center"/>
                      <w:rPr>
                        <w:szCs w:val="21"/>
                      </w:rPr>
                    </w:pPr>
                    <w:r>
                      <w:rPr>
                        <w:szCs w:val="21"/>
                      </w:rPr>
                      <w:t>增减</w:t>
                    </w:r>
                  </w:p>
                </w:tc>
              </w:sdtContent>
            </w:sdt>
            <w:sdt>
              <w:sdtPr>
                <w:tag w:val="_PLD_084006d53bec42bea9418fc4576a1210"/>
                <w:id w:val="-575200959"/>
                <w:lock w:val="sdtLocked"/>
              </w:sdtPr>
              <w:sdtEndPr/>
              <w:sdtContent>
                <w:tc>
                  <w:tcPr>
                    <w:tcW w:w="1417" w:type="dxa"/>
                    <w:vMerge w:val="restart"/>
                    <w:shd w:val="clear" w:color="auto" w:fill="auto"/>
                    <w:vAlign w:val="center"/>
                  </w:tcPr>
                  <w:p w14:paraId="2C9F63BC" w14:textId="77777777" w:rsidR="00830E72" w:rsidRDefault="008344D8">
                    <w:pPr>
                      <w:jc w:val="center"/>
                      <w:rPr>
                        <w:szCs w:val="21"/>
                      </w:rPr>
                    </w:pPr>
                    <w:r>
                      <w:rPr>
                        <w:szCs w:val="21"/>
                      </w:rPr>
                      <w:t>期末持股</w:t>
                    </w:r>
                  </w:p>
                  <w:p w14:paraId="79C1ECA6" w14:textId="77777777" w:rsidR="00830E72" w:rsidRDefault="008344D8">
                    <w:pPr>
                      <w:jc w:val="center"/>
                      <w:rPr>
                        <w:szCs w:val="21"/>
                      </w:rPr>
                    </w:pPr>
                    <w:r>
                      <w:rPr>
                        <w:szCs w:val="21"/>
                      </w:rPr>
                      <w:t>数量</w:t>
                    </w:r>
                  </w:p>
                </w:tc>
              </w:sdtContent>
            </w:sdt>
            <w:sdt>
              <w:sdtPr>
                <w:tag w:val="_PLD_f27008de77ee4b27b35e2ae22d35699c"/>
                <w:id w:val="-182972773"/>
                <w:lock w:val="sdtLocked"/>
              </w:sdtPr>
              <w:sdtEndPr/>
              <w:sdtContent>
                <w:tc>
                  <w:tcPr>
                    <w:tcW w:w="851" w:type="dxa"/>
                    <w:vMerge w:val="restart"/>
                    <w:shd w:val="clear" w:color="auto" w:fill="auto"/>
                    <w:vAlign w:val="center"/>
                  </w:tcPr>
                  <w:p w14:paraId="1FA095D7" w14:textId="77777777" w:rsidR="00830E72" w:rsidRDefault="008344D8">
                    <w:pPr>
                      <w:jc w:val="center"/>
                      <w:rPr>
                        <w:szCs w:val="21"/>
                      </w:rPr>
                    </w:pPr>
                    <w:r>
                      <w:rPr>
                        <w:szCs w:val="21"/>
                      </w:rPr>
                      <w:t>比例(%)</w:t>
                    </w:r>
                  </w:p>
                </w:tc>
              </w:sdtContent>
            </w:sdt>
            <w:sdt>
              <w:sdtPr>
                <w:rPr>
                  <w:rFonts w:ascii="宋体" w:hAnsi="宋体"/>
                </w:rPr>
                <w:tag w:val="_PLD_34fcc5fa9a414555bef1b48aa74c8135"/>
                <w:id w:val="-1393044156"/>
                <w:lock w:val="sdtLocked"/>
              </w:sdtPr>
              <w:sdtEndPr/>
              <w:sdtContent>
                <w:tc>
                  <w:tcPr>
                    <w:tcW w:w="1559" w:type="dxa"/>
                    <w:vMerge w:val="restart"/>
                    <w:shd w:val="clear" w:color="auto" w:fill="auto"/>
                    <w:vAlign w:val="center"/>
                  </w:tcPr>
                  <w:p w14:paraId="6EA1248E" w14:textId="77777777" w:rsidR="00830E72" w:rsidRDefault="008344D8">
                    <w:pPr>
                      <w:pStyle w:val="a3"/>
                      <w:rPr>
                        <w:rFonts w:ascii="宋体" w:hAnsi="宋体"/>
                        <w:bCs/>
                        <w:color w:val="00B050"/>
                      </w:rPr>
                    </w:pPr>
                    <w:r>
                      <w:rPr>
                        <w:rFonts w:ascii="宋体" w:hAnsi="宋体"/>
                        <w:bCs/>
                      </w:rPr>
                      <w:t>持有有限售条件股份数量</w:t>
                    </w:r>
                  </w:p>
                </w:tc>
              </w:sdtContent>
            </w:sdt>
            <w:sdt>
              <w:sdtPr>
                <w:tag w:val="_PLD_94fbee67e09740e59eb90272af77b58a"/>
                <w:id w:val="-146291443"/>
                <w:lock w:val="sdtLocked"/>
              </w:sdtPr>
              <w:sdtEndPr/>
              <w:sdtContent>
                <w:tc>
                  <w:tcPr>
                    <w:tcW w:w="2551" w:type="dxa"/>
                    <w:gridSpan w:val="2"/>
                    <w:shd w:val="clear" w:color="auto" w:fill="auto"/>
                    <w:vAlign w:val="center"/>
                  </w:tcPr>
                  <w:p w14:paraId="3704586B" w14:textId="77777777" w:rsidR="00830E72" w:rsidRDefault="008344D8">
                    <w:pPr>
                      <w:jc w:val="center"/>
                      <w:rPr>
                        <w:szCs w:val="21"/>
                      </w:rPr>
                    </w:pPr>
                    <w:r>
                      <w:rPr>
                        <w:szCs w:val="21"/>
                      </w:rPr>
                      <w:t>质押</w:t>
                    </w:r>
                    <w:r>
                      <w:rPr>
                        <w:rFonts w:hint="eastAsia"/>
                        <w:szCs w:val="21"/>
                      </w:rPr>
                      <w:t>、标记</w:t>
                    </w:r>
                    <w:r>
                      <w:rPr>
                        <w:szCs w:val="21"/>
                      </w:rPr>
                      <w:t>或冻结情况</w:t>
                    </w:r>
                  </w:p>
                </w:tc>
              </w:sdtContent>
            </w:sdt>
            <w:sdt>
              <w:sdtPr>
                <w:tag w:val="_PLD_2228ecf4db6a4362bff11fe1e2d3c903"/>
                <w:id w:val="-187606010"/>
                <w:lock w:val="sdtLocked"/>
              </w:sdtPr>
              <w:sdtEndPr/>
              <w:sdtContent>
                <w:tc>
                  <w:tcPr>
                    <w:tcW w:w="1701" w:type="dxa"/>
                    <w:vMerge w:val="restart"/>
                    <w:shd w:val="clear" w:color="auto" w:fill="auto"/>
                    <w:vAlign w:val="center"/>
                  </w:tcPr>
                  <w:p w14:paraId="3CC0CC06" w14:textId="77777777" w:rsidR="00830E72" w:rsidRDefault="008344D8">
                    <w:pPr>
                      <w:jc w:val="center"/>
                      <w:rPr>
                        <w:szCs w:val="21"/>
                      </w:rPr>
                    </w:pPr>
                    <w:r>
                      <w:rPr>
                        <w:szCs w:val="21"/>
                      </w:rPr>
                      <w:t>股东性质</w:t>
                    </w:r>
                  </w:p>
                </w:tc>
              </w:sdtContent>
            </w:sdt>
          </w:tr>
          <w:tr w:rsidR="00830E72" w14:paraId="0BBA061F" w14:textId="77777777" w:rsidTr="00A40D2A">
            <w:trPr>
              <w:cantSplit/>
            </w:trPr>
            <w:tc>
              <w:tcPr>
                <w:tcW w:w="3652" w:type="dxa"/>
                <w:vMerge/>
                <w:tcBorders>
                  <w:bottom w:val="single" w:sz="4" w:space="0" w:color="auto"/>
                </w:tcBorders>
                <w:shd w:val="clear" w:color="auto" w:fill="auto"/>
                <w:vAlign w:val="center"/>
              </w:tcPr>
              <w:p w14:paraId="38999134" w14:textId="77777777" w:rsidR="00830E72" w:rsidRDefault="00830E72">
                <w:pPr>
                  <w:jc w:val="center"/>
                  <w:rPr>
                    <w:szCs w:val="21"/>
                  </w:rPr>
                </w:pPr>
              </w:p>
            </w:tc>
            <w:tc>
              <w:tcPr>
                <w:tcW w:w="1418" w:type="dxa"/>
                <w:vMerge/>
                <w:tcBorders>
                  <w:bottom w:val="single" w:sz="4" w:space="0" w:color="auto"/>
                </w:tcBorders>
                <w:shd w:val="clear" w:color="auto" w:fill="auto"/>
                <w:vAlign w:val="center"/>
              </w:tcPr>
              <w:p w14:paraId="76644969" w14:textId="77777777" w:rsidR="00830E72" w:rsidRDefault="00830E72">
                <w:pPr>
                  <w:jc w:val="center"/>
                  <w:rPr>
                    <w:szCs w:val="21"/>
                  </w:rPr>
                </w:pPr>
              </w:p>
            </w:tc>
            <w:tc>
              <w:tcPr>
                <w:tcW w:w="1417" w:type="dxa"/>
                <w:vMerge/>
                <w:tcBorders>
                  <w:bottom w:val="single" w:sz="4" w:space="0" w:color="auto"/>
                </w:tcBorders>
                <w:shd w:val="clear" w:color="auto" w:fill="auto"/>
                <w:vAlign w:val="center"/>
              </w:tcPr>
              <w:p w14:paraId="006132F7" w14:textId="77777777" w:rsidR="00830E72" w:rsidRDefault="00830E72">
                <w:pPr>
                  <w:jc w:val="center"/>
                  <w:rPr>
                    <w:szCs w:val="21"/>
                  </w:rPr>
                </w:pPr>
              </w:p>
            </w:tc>
            <w:tc>
              <w:tcPr>
                <w:tcW w:w="851" w:type="dxa"/>
                <w:vMerge/>
                <w:tcBorders>
                  <w:bottom w:val="single" w:sz="4" w:space="0" w:color="auto"/>
                </w:tcBorders>
                <w:shd w:val="clear" w:color="auto" w:fill="auto"/>
                <w:vAlign w:val="center"/>
              </w:tcPr>
              <w:p w14:paraId="2BECDDE9" w14:textId="77777777" w:rsidR="00830E72" w:rsidRDefault="00830E72">
                <w:pPr>
                  <w:jc w:val="center"/>
                  <w:rPr>
                    <w:szCs w:val="21"/>
                  </w:rPr>
                </w:pPr>
              </w:p>
            </w:tc>
            <w:tc>
              <w:tcPr>
                <w:tcW w:w="1559" w:type="dxa"/>
                <w:vMerge/>
                <w:tcBorders>
                  <w:bottom w:val="single" w:sz="4" w:space="0" w:color="auto"/>
                </w:tcBorders>
                <w:shd w:val="clear" w:color="auto" w:fill="auto"/>
                <w:vAlign w:val="center"/>
              </w:tcPr>
              <w:p w14:paraId="390A059E" w14:textId="77777777" w:rsidR="00830E72" w:rsidRDefault="00830E72">
                <w:pPr>
                  <w:jc w:val="center"/>
                  <w:rPr>
                    <w:szCs w:val="21"/>
                  </w:rPr>
                </w:pPr>
              </w:p>
            </w:tc>
            <w:sdt>
              <w:sdtPr>
                <w:tag w:val="_PLD_45bf36a531de47beb596ebacadac576a"/>
                <w:id w:val="-1310315386"/>
                <w:lock w:val="sdtLocked"/>
              </w:sdtPr>
              <w:sdtEndPr/>
              <w:sdtContent>
                <w:tc>
                  <w:tcPr>
                    <w:tcW w:w="1134" w:type="dxa"/>
                    <w:tcBorders>
                      <w:bottom w:val="single" w:sz="4" w:space="0" w:color="auto"/>
                    </w:tcBorders>
                    <w:shd w:val="clear" w:color="auto" w:fill="auto"/>
                    <w:vAlign w:val="center"/>
                  </w:tcPr>
                  <w:p w14:paraId="50865BAF" w14:textId="77777777" w:rsidR="00830E72" w:rsidRDefault="008344D8">
                    <w:pPr>
                      <w:jc w:val="center"/>
                      <w:rPr>
                        <w:szCs w:val="21"/>
                      </w:rPr>
                    </w:pPr>
                    <w:r>
                      <w:rPr>
                        <w:szCs w:val="21"/>
                      </w:rPr>
                      <w:t>股份状态</w:t>
                    </w:r>
                  </w:p>
                </w:tc>
              </w:sdtContent>
            </w:sdt>
            <w:sdt>
              <w:sdtPr>
                <w:tag w:val="_PLD_bea7397233604f859f8d14f2ae0a0417"/>
                <w:id w:val="1334266752"/>
                <w:lock w:val="sdtLocked"/>
              </w:sdtPr>
              <w:sdtEndPr/>
              <w:sdtContent>
                <w:tc>
                  <w:tcPr>
                    <w:tcW w:w="1417" w:type="dxa"/>
                    <w:tcBorders>
                      <w:bottom w:val="single" w:sz="4" w:space="0" w:color="auto"/>
                    </w:tcBorders>
                    <w:shd w:val="clear" w:color="auto" w:fill="auto"/>
                    <w:vAlign w:val="center"/>
                  </w:tcPr>
                  <w:p w14:paraId="4D7827E2" w14:textId="77777777" w:rsidR="00830E72" w:rsidRDefault="008344D8">
                    <w:pPr>
                      <w:jc w:val="center"/>
                      <w:rPr>
                        <w:szCs w:val="21"/>
                      </w:rPr>
                    </w:pPr>
                    <w:r>
                      <w:rPr>
                        <w:szCs w:val="21"/>
                      </w:rPr>
                      <w:t>数量</w:t>
                    </w:r>
                  </w:p>
                </w:tc>
              </w:sdtContent>
            </w:sdt>
            <w:tc>
              <w:tcPr>
                <w:tcW w:w="1701" w:type="dxa"/>
                <w:vMerge/>
                <w:shd w:val="clear" w:color="auto" w:fill="auto"/>
                <w:vAlign w:val="center"/>
              </w:tcPr>
              <w:p w14:paraId="159EE4BE" w14:textId="77777777" w:rsidR="00830E72" w:rsidRDefault="00830E72">
                <w:pPr>
                  <w:jc w:val="center"/>
                  <w:rPr>
                    <w:szCs w:val="21"/>
                  </w:rPr>
                </w:pPr>
              </w:p>
            </w:tc>
          </w:tr>
          <w:sdt>
            <w:sdtPr>
              <w:rPr>
                <w:szCs w:val="21"/>
              </w:rPr>
              <w:alias w:val="前十名股东持股情况"/>
              <w:tag w:val="_GBC_5fc8eaeeffc7456eb1a09687db3d4206"/>
              <w:id w:val="852624888"/>
              <w:lock w:val="sdtLocked"/>
            </w:sdtPr>
            <w:sdtEndPr>
              <w:rPr>
                <w:color w:val="FF9900"/>
              </w:rPr>
            </w:sdtEndPr>
            <w:sdtContent>
              <w:tr w:rsidR="00830E72" w14:paraId="3F217AFB" w14:textId="77777777" w:rsidTr="00A40D2A">
                <w:trPr>
                  <w:cantSplit/>
                </w:trPr>
                <w:tc>
                  <w:tcPr>
                    <w:tcW w:w="3652" w:type="dxa"/>
                    <w:shd w:val="clear" w:color="auto" w:fill="auto"/>
                    <w:vAlign w:val="center"/>
                  </w:tcPr>
                  <w:p w14:paraId="7A899678" w14:textId="77777777" w:rsidR="00830E72" w:rsidRDefault="008344D8">
                    <w:pPr>
                      <w:rPr>
                        <w:szCs w:val="21"/>
                      </w:rPr>
                    </w:pPr>
                    <w:r>
                      <w:t>祥源控股集团有限责任公司</w:t>
                    </w:r>
                  </w:p>
                </w:tc>
                <w:tc>
                  <w:tcPr>
                    <w:tcW w:w="1418" w:type="dxa"/>
                    <w:shd w:val="clear" w:color="auto" w:fill="auto"/>
                    <w:vAlign w:val="center"/>
                  </w:tcPr>
                  <w:p w14:paraId="0B5E772D" w14:textId="77777777" w:rsidR="00830E72" w:rsidRDefault="008344D8">
                    <w:pPr>
                      <w:jc w:val="right"/>
                      <w:rPr>
                        <w:szCs w:val="21"/>
                      </w:rPr>
                    </w:pPr>
                    <w:r>
                      <w:t>0</w:t>
                    </w:r>
                  </w:p>
                </w:tc>
                <w:tc>
                  <w:tcPr>
                    <w:tcW w:w="1417" w:type="dxa"/>
                    <w:shd w:val="clear" w:color="auto" w:fill="auto"/>
                    <w:vAlign w:val="center"/>
                  </w:tcPr>
                  <w:p w14:paraId="420EBD4F" w14:textId="77777777" w:rsidR="00830E72" w:rsidRDefault="008344D8">
                    <w:pPr>
                      <w:jc w:val="right"/>
                      <w:rPr>
                        <w:szCs w:val="21"/>
                      </w:rPr>
                    </w:pPr>
                    <w:r>
                      <w:t>274,293,290</w:t>
                    </w:r>
                  </w:p>
                </w:tc>
                <w:tc>
                  <w:tcPr>
                    <w:tcW w:w="851" w:type="dxa"/>
                    <w:shd w:val="clear" w:color="auto" w:fill="auto"/>
                    <w:vAlign w:val="center"/>
                  </w:tcPr>
                  <w:p w14:paraId="4A814FDF" w14:textId="77777777" w:rsidR="00830E72" w:rsidRDefault="008344D8">
                    <w:pPr>
                      <w:jc w:val="right"/>
                      <w:rPr>
                        <w:szCs w:val="21"/>
                      </w:rPr>
                    </w:pPr>
                    <w:r>
                      <w:t>54.97</w:t>
                    </w:r>
                  </w:p>
                </w:tc>
                <w:tc>
                  <w:tcPr>
                    <w:tcW w:w="1559" w:type="dxa"/>
                    <w:shd w:val="clear" w:color="auto" w:fill="auto"/>
                    <w:vAlign w:val="center"/>
                  </w:tcPr>
                  <w:p w14:paraId="5DE2057C" w14:textId="77777777" w:rsidR="00830E72" w:rsidRDefault="008344D8">
                    <w:pPr>
                      <w:jc w:val="right"/>
                      <w:rPr>
                        <w:szCs w:val="21"/>
                      </w:rPr>
                    </w:pPr>
                    <w:r>
                      <w:t>274,293,290</w:t>
                    </w:r>
                  </w:p>
                </w:tc>
                <w:sdt>
                  <w:sdtPr>
                    <w:rPr>
                      <w:szCs w:val="21"/>
                    </w:rPr>
                    <w:alias w:val="前十名股东持有股份状态"/>
                    <w:tag w:val="_GBC_d5194108b2a8481e94140819dbdc5afe"/>
                    <w:id w:val="-125959621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134" w:type="dxa"/>
                        <w:shd w:val="clear" w:color="auto" w:fill="auto"/>
                        <w:vAlign w:val="center"/>
                      </w:tcPr>
                      <w:p w14:paraId="42F96054" w14:textId="77777777" w:rsidR="00830E72" w:rsidRDefault="008344D8">
                        <w:pPr>
                          <w:jc w:val="center"/>
                          <w:rPr>
                            <w:color w:val="FF9900"/>
                            <w:szCs w:val="21"/>
                          </w:rPr>
                        </w:pPr>
                        <w:r>
                          <w:rPr>
                            <w:szCs w:val="21"/>
                          </w:rPr>
                          <w:t>质押</w:t>
                        </w:r>
                      </w:p>
                    </w:tc>
                  </w:sdtContent>
                </w:sdt>
                <w:tc>
                  <w:tcPr>
                    <w:tcW w:w="1417" w:type="dxa"/>
                    <w:shd w:val="clear" w:color="auto" w:fill="auto"/>
                    <w:vAlign w:val="center"/>
                  </w:tcPr>
                  <w:p w14:paraId="73F16123" w14:textId="77777777" w:rsidR="00830E72" w:rsidRDefault="008344D8">
                    <w:pPr>
                      <w:jc w:val="right"/>
                      <w:rPr>
                        <w:szCs w:val="21"/>
                      </w:rPr>
                    </w:pPr>
                    <w:r>
                      <w:t>136,500,000</w:t>
                    </w:r>
                  </w:p>
                </w:tc>
                <w:sdt>
                  <w:sdtPr>
                    <w:rPr>
                      <w:szCs w:val="21"/>
                    </w:rPr>
                    <w:alias w:val="前十名股东的股东性质"/>
                    <w:tag w:val="_GBC_71380bc899eb4b9781e95e37e7a1e221"/>
                    <w:id w:val="-16262883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701" w:type="dxa"/>
                        <w:shd w:val="clear" w:color="auto" w:fill="auto"/>
                        <w:vAlign w:val="center"/>
                      </w:tcPr>
                      <w:p w14:paraId="0E2867C4" w14:textId="77777777" w:rsidR="00830E72" w:rsidRDefault="008344D8">
                        <w:pPr>
                          <w:rPr>
                            <w:color w:val="FF9900"/>
                            <w:szCs w:val="21"/>
                          </w:rPr>
                        </w:pPr>
                        <w:r>
                          <w:rPr>
                            <w:szCs w:val="21"/>
                          </w:rPr>
                          <w:t>境内非国有法人</w:t>
                        </w:r>
                      </w:p>
                    </w:tc>
                  </w:sdtContent>
                </w:sdt>
              </w:tr>
            </w:sdtContent>
          </w:sdt>
          <w:sdt>
            <w:sdtPr>
              <w:rPr>
                <w:szCs w:val="21"/>
              </w:rPr>
              <w:alias w:val="前十名股东持股情况"/>
              <w:tag w:val="_GBC_5fc8eaeeffc7456eb1a09687db3d4206"/>
              <w:id w:val="-1079911828"/>
              <w:lock w:val="sdtLocked"/>
            </w:sdtPr>
            <w:sdtEndPr>
              <w:rPr>
                <w:color w:val="FF9900"/>
              </w:rPr>
            </w:sdtEndPr>
            <w:sdtContent>
              <w:tr w:rsidR="00830E72" w14:paraId="12CE5DBF" w14:textId="77777777" w:rsidTr="00A40D2A">
                <w:trPr>
                  <w:cantSplit/>
                </w:trPr>
                <w:tc>
                  <w:tcPr>
                    <w:tcW w:w="3652" w:type="dxa"/>
                    <w:shd w:val="clear" w:color="auto" w:fill="auto"/>
                    <w:vAlign w:val="center"/>
                  </w:tcPr>
                  <w:p w14:paraId="0277D28B" w14:textId="77777777" w:rsidR="00830E72" w:rsidRDefault="008344D8">
                    <w:pPr>
                      <w:rPr>
                        <w:szCs w:val="21"/>
                      </w:rPr>
                    </w:pPr>
                    <w:r>
                      <w:t>俞发祥</w:t>
                    </w:r>
                  </w:p>
                </w:tc>
                <w:tc>
                  <w:tcPr>
                    <w:tcW w:w="1418" w:type="dxa"/>
                    <w:shd w:val="clear" w:color="auto" w:fill="auto"/>
                    <w:vAlign w:val="center"/>
                  </w:tcPr>
                  <w:p w14:paraId="49D4CC6D" w14:textId="77777777" w:rsidR="00830E72" w:rsidRDefault="008344D8">
                    <w:pPr>
                      <w:jc w:val="right"/>
                      <w:rPr>
                        <w:szCs w:val="21"/>
                      </w:rPr>
                    </w:pPr>
                    <w:r>
                      <w:t>0</w:t>
                    </w:r>
                  </w:p>
                </w:tc>
                <w:tc>
                  <w:tcPr>
                    <w:tcW w:w="1417" w:type="dxa"/>
                    <w:shd w:val="clear" w:color="auto" w:fill="auto"/>
                    <w:vAlign w:val="center"/>
                  </w:tcPr>
                  <w:p w14:paraId="03B358B5" w14:textId="77777777" w:rsidR="00830E72" w:rsidRDefault="008344D8">
                    <w:pPr>
                      <w:jc w:val="right"/>
                      <w:rPr>
                        <w:szCs w:val="21"/>
                      </w:rPr>
                    </w:pPr>
                    <w:r>
                      <w:t>15,729,100</w:t>
                    </w:r>
                  </w:p>
                </w:tc>
                <w:tc>
                  <w:tcPr>
                    <w:tcW w:w="851" w:type="dxa"/>
                    <w:shd w:val="clear" w:color="auto" w:fill="auto"/>
                    <w:vAlign w:val="center"/>
                  </w:tcPr>
                  <w:p w14:paraId="125EB97A" w14:textId="77777777" w:rsidR="00830E72" w:rsidRDefault="008344D8">
                    <w:pPr>
                      <w:jc w:val="right"/>
                      <w:rPr>
                        <w:szCs w:val="21"/>
                      </w:rPr>
                    </w:pPr>
                    <w:r>
                      <w:t>3.15</w:t>
                    </w:r>
                  </w:p>
                </w:tc>
                <w:tc>
                  <w:tcPr>
                    <w:tcW w:w="1559" w:type="dxa"/>
                    <w:shd w:val="clear" w:color="auto" w:fill="auto"/>
                    <w:vAlign w:val="center"/>
                  </w:tcPr>
                  <w:p w14:paraId="56FE26C1" w14:textId="77777777" w:rsidR="00830E72" w:rsidRDefault="008344D8">
                    <w:pPr>
                      <w:jc w:val="right"/>
                      <w:rPr>
                        <w:szCs w:val="21"/>
                      </w:rPr>
                    </w:pPr>
                    <w:r>
                      <w:t>15,729,100</w:t>
                    </w:r>
                  </w:p>
                </w:tc>
                <w:sdt>
                  <w:sdtPr>
                    <w:rPr>
                      <w:szCs w:val="21"/>
                    </w:rPr>
                    <w:alias w:val="前十名股东持有股份状态"/>
                    <w:tag w:val="_GBC_d5194108b2a8481e94140819dbdc5afe"/>
                    <w:id w:val="122895686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134" w:type="dxa"/>
                        <w:shd w:val="clear" w:color="auto" w:fill="auto"/>
                        <w:vAlign w:val="center"/>
                      </w:tcPr>
                      <w:p w14:paraId="6F21A51C" w14:textId="77777777" w:rsidR="00830E72" w:rsidRDefault="008344D8">
                        <w:pPr>
                          <w:jc w:val="center"/>
                          <w:rPr>
                            <w:color w:val="FF9900"/>
                            <w:szCs w:val="21"/>
                          </w:rPr>
                        </w:pPr>
                        <w:r>
                          <w:rPr>
                            <w:szCs w:val="21"/>
                          </w:rPr>
                          <w:t>质押</w:t>
                        </w:r>
                      </w:p>
                    </w:tc>
                  </w:sdtContent>
                </w:sdt>
                <w:tc>
                  <w:tcPr>
                    <w:tcW w:w="1417" w:type="dxa"/>
                    <w:shd w:val="clear" w:color="auto" w:fill="auto"/>
                    <w:vAlign w:val="center"/>
                  </w:tcPr>
                  <w:p w14:paraId="78C80BB2" w14:textId="77777777" w:rsidR="00830E72" w:rsidRDefault="008344D8">
                    <w:pPr>
                      <w:jc w:val="right"/>
                      <w:rPr>
                        <w:szCs w:val="21"/>
                      </w:rPr>
                    </w:pPr>
                    <w:r>
                      <w:t>9,740,000</w:t>
                    </w:r>
                  </w:p>
                </w:tc>
                <w:sdt>
                  <w:sdtPr>
                    <w:rPr>
                      <w:szCs w:val="21"/>
                    </w:rPr>
                    <w:alias w:val="前十名股东的股东性质"/>
                    <w:tag w:val="_GBC_71380bc899eb4b9781e95e37e7a1e221"/>
                    <w:id w:val="40311755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701" w:type="dxa"/>
                        <w:shd w:val="clear" w:color="auto" w:fill="auto"/>
                        <w:vAlign w:val="center"/>
                      </w:tcPr>
                      <w:p w14:paraId="2D75947D" w14:textId="77777777" w:rsidR="00830E72" w:rsidRDefault="008344D8">
                        <w:pPr>
                          <w:rPr>
                            <w:color w:val="FF9900"/>
                            <w:szCs w:val="21"/>
                          </w:rPr>
                        </w:pPr>
                        <w:r>
                          <w:rPr>
                            <w:szCs w:val="21"/>
                          </w:rPr>
                          <w:t>境内自然人</w:t>
                        </w:r>
                      </w:p>
                    </w:tc>
                  </w:sdtContent>
                </w:sdt>
              </w:tr>
            </w:sdtContent>
          </w:sdt>
          <w:sdt>
            <w:sdtPr>
              <w:rPr>
                <w:szCs w:val="21"/>
              </w:rPr>
              <w:alias w:val="前十名股东持股情况"/>
              <w:tag w:val="_GBC_5fc8eaeeffc7456eb1a09687db3d4206"/>
              <w:id w:val="687879549"/>
              <w:lock w:val="sdtLocked"/>
            </w:sdtPr>
            <w:sdtEndPr>
              <w:rPr>
                <w:color w:val="FF9900"/>
              </w:rPr>
            </w:sdtEndPr>
            <w:sdtContent>
              <w:tr w:rsidR="00830E72" w14:paraId="4F21D573" w14:textId="77777777" w:rsidTr="00A40D2A">
                <w:trPr>
                  <w:cantSplit/>
                </w:trPr>
                <w:tc>
                  <w:tcPr>
                    <w:tcW w:w="3652" w:type="dxa"/>
                    <w:shd w:val="clear" w:color="auto" w:fill="auto"/>
                    <w:vAlign w:val="center"/>
                  </w:tcPr>
                  <w:p w14:paraId="11EF362A" w14:textId="77777777" w:rsidR="00830E72" w:rsidRDefault="008344D8">
                    <w:pPr>
                      <w:rPr>
                        <w:szCs w:val="21"/>
                      </w:rPr>
                    </w:pPr>
                    <w:r>
                      <w:t>安徽高新金通安益二期创业投资基金（有限合伙）</w:t>
                    </w:r>
                  </w:p>
                </w:tc>
                <w:tc>
                  <w:tcPr>
                    <w:tcW w:w="1418" w:type="dxa"/>
                    <w:shd w:val="clear" w:color="auto" w:fill="auto"/>
                    <w:vAlign w:val="center"/>
                  </w:tcPr>
                  <w:p w14:paraId="20FDB191" w14:textId="77777777" w:rsidR="00830E72" w:rsidRDefault="008344D8">
                    <w:pPr>
                      <w:jc w:val="right"/>
                      <w:rPr>
                        <w:szCs w:val="21"/>
                      </w:rPr>
                    </w:pPr>
                    <w:r>
                      <w:t>-1</w:t>
                    </w:r>
                    <w:r>
                      <w:rPr>
                        <w:rFonts w:hint="eastAsia"/>
                      </w:rPr>
                      <w:t>,</w:t>
                    </w:r>
                    <w:r>
                      <w:t>677</w:t>
                    </w:r>
                    <w:r>
                      <w:rPr>
                        <w:rFonts w:hint="eastAsia"/>
                      </w:rPr>
                      <w:t>,</w:t>
                    </w:r>
                    <w:r>
                      <w:t>300</w:t>
                    </w:r>
                  </w:p>
                </w:tc>
                <w:tc>
                  <w:tcPr>
                    <w:tcW w:w="1417" w:type="dxa"/>
                    <w:shd w:val="clear" w:color="auto" w:fill="auto"/>
                    <w:vAlign w:val="center"/>
                  </w:tcPr>
                  <w:p w14:paraId="3F91C604" w14:textId="77777777" w:rsidR="00830E72" w:rsidRDefault="008344D8">
                    <w:pPr>
                      <w:jc w:val="right"/>
                      <w:rPr>
                        <w:szCs w:val="21"/>
                      </w:rPr>
                    </w:pPr>
                    <w:r>
                      <w:t>13,322,600</w:t>
                    </w:r>
                  </w:p>
                </w:tc>
                <w:tc>
                  <w:tcPr>
                    <w:tcW w:w="851" w:type="dxa"/>
                    <w:shd w:val="clear" w:color="auto" w:fill="auto"/>
                    <w:vAlign w:val="center"/>
                  </w:tcPr>
                  <w:p w14:paraId="56666616" w14:textId="77777777" w:rsidR="00830E72" w:rsidRDefault="008344D8">
                    <w:pPr>
                      <w:jc w:val="right"/>
                      <w:rPr>
                        <w:szCs w:val="21"/>
                      </w:rPr>
                    </w:pPr>
                    <w:r>
                      <w:t>2.67</w:t>
                    </w:r>
                  </w:p>
                </w:tc>
                <w:tc>
                  <w:tcPr>
                    <w:tcW w:w="1559" w:type="dxa"/>
                    <w:shd w:val="clear" w:color="auto" w:fill="auto"/>
                    <w:vAlign w:val="center"/>
                  </w:tcPr>
                  <w:p w14:paraId="316743A4" w14:textId="77777777" w:rsidR="00830E72" w:rsidRDefault="008344D8">
                    <w:pPr>
                      <w:jc w:val="right"/>
                      <w:rPr>
                        <w:szCs w:val="21"/>
                      </w:rPr>
                    </w:pPr>
                    <w:r>
                      <w:t>0</w:t>
                    </w:r>
                  </w:p>
                </w:tc>
                <w:sdt>
                  <w:sdtPr>
                    <w:rPr>
                      <w:szCs w:val="21"/>
                    </w:rPr>
                    <w:alias w:val="前十名股东持有股份状态"/>
                    <w:tag w:val="_GBC_d5194108b2a8481e94140819dbdc5afe"/>
                    <w:id w:val="-101013866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134" w:type="dxa"/>
                        <w:shd w:val="clear" w:color="auto" w:fill="auto"/>
                        <w:vAlign w:val="center"/>
                      </w:tcPr>
                      <w:p w14:paraId="619AC8C3" w14:textId="77777777" w:rsidR="00830E72" w:rsidRDefault="008344D8">
                        <w:pPr>
                          <w:jc w:val="center"/>
                          <w:rPr>
                            <w:color w:val="FF9900"/>
                            <w:szCs w:val="21"/>
                          </w:rPr>
                        </w:pPr>
                        <w:r>
                          <w:rPr>
                            <w:szCs w:val="21"/>
                          </w:rPr>
                          <w:t>未知</w:t>
                        </w:r>
                      </w:p>
                    </w:tc>
                  </w:sdtContent>
                </w:sdt>
                <w:tc>
                  <w:tcPr>
                    <w:tcW w:w="1417" w:type="dxa"/>
                    <w:shd w:val="clear" w:color="auto" w:fill="auto"/>
                    <w:vAlign w:val="center"/>
                  </w:tcPr>
                  <w:p w14:paraId="0A14C70C" w14:textId="77777777" w:rsidR="00830E72" w:rsidRDefault="008344D8">
                    <w:pPr>
                      <w:jc w:val="right"/>
                      <w:rPr>
                        <w:szCs w:val="21"/>
                      </w:rPr>
                    </w:pPr>
                    <w:r>
                      <w:t>0</w:t>
                    </w:r>
                  </w:p>
                </w:tc>
                <w:sdt>
                  <w:sdtPr>
                    <w:rPr>
                      <w:szCs w:val="21"/>
                    </w:rPr>
                    <w:alias w:val="前十名股东的股东性质"/>
                    <w:tag w:val="_GBC_71380bc899eb4b9781e95e37e7a1e221"/>
                    <w:id w:val="51881867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701" w:type="dxa"/>
                        <w:shd w:val="clear" w:color="auto" w:fill="auto"/>
                        <w:vAlign w:val="center"/>
                      </w:tcPr>
                      <w:p w14:paraId="5A24C18B" w14:textId="77777777" w:rsidR="00830E72" w:rsidRDefault="008344D8">
                        <w:pPr>
                          <w:rPr>
                            <w:color w:val="FF9900"/>
                            <w:szCs w:val="21"/>
                          </w:rPr>
                        </w:pPr>
                        <w:r>
                          <w:rPr>
                            <w:szCs w:val="21"/>
                          </w:rPr>
                          <w:t>境内非国有法人</w:t>
                        </w:r>
                      </w:p>
                    </w:tc>
                  </w:sdtContent>
                </w:sdt>
              </w:tr>
            </w:sdtContent>
          </w:sdt>
          <w:sdt>
            <w:sdtPr>
              <w:rPr>
                <w:szCs w:val="21"/>
              </w:rPr>
              <w:alias w:val="前十名股东持股情况"/>
              <w:tag w:val="_GBC_5fc8eaeeffc7456eb1a09687db3d4206"/>
              <w:id w:val="506874943"/>
              <w:lock w:val="sdtLocked"/>
            </w:sdtPr>
            <w:sdtEndPr>
              <w:rPr>
                <w:color w:val="FF9900"/>
              </w:rPr>
            </w:sdtEndPr>
            <w:sdtContent>
              <w:tr w:rsidR="00830E72" w14:paraId="7D736528" w14:textId="77777777" w:rsidTr="00A40D2A">
                <w:trPr>
                  <w:cantSplit/>
                </w:trPr>
                <w:tc>
                  <w:tcPr>
                    <w:tcW w:w="3652" w:type="dxa"/>
                    <w:shd w:val="clear" w:color="auto" w:fill="auto"/>
                    <w:vAlign w:val="center"/>
                  </w:tcPr>
                  <w:p w14:paraId="60068274" w14:textId="77777777" w:rsidR="00830E72" w:rsidRDefault="008344D8">
                    <w:pPr>
                      <w:rPr>
                        <w:szCs w:val="21"/>
                      </w:rPr>
                    </w:pPr>
                    <w:r>
                      <w:t>安徽安元投资基金有限公司</w:t>
                    </w:r>
                  </w:p>
                </w:tc>
                <w:tc>
                  <w:tcPr>
                    <w:tcW w:w="1418" w:type="dxa"/>
                    <w:shd w:val="clear" w:color="auto" w:fill="auto"/>
                    <w:vAlign w:val="center"/>
                  </w:tcPr>
                  <w:p w14:paraId="74C788A2" w14:textId="77777777" w:rsidR="00830E72" w:rsidRDefault="008344D8">
                    <w:pPr>
                      <w:jc w:val="right"/>
                      <w:rPr>
                        <w:szCs w:val="21"/>
                      </w:rPr>
                    </w:pPr>
                    <w:r>
                      <w:t>-3,130,200</w:t>
                    </w:r>
                  </w:p>
                </w:tc>
                <w:tc>
                  <w:tcPr>
                    <w:tcW w:w="1417" w:type="dxa"/>
                    <w:shd w:val="clear" w:color="auto" w:fill="auto"/>
                    <w:vAlign w:val="center"/>
                  </w:tcPr>
                  <w:p w14:paraId="25D1AFA8" w14:textId="77777777" w:rsidR="00830E72" w:rsidRDefault="008344D8">
                    <w:pPr>
                      <w:jc w:val="right"/>
                      <w:rPr>
                        <w:szCs w:val="21"/>
                      </w:rPr>
                    </w:pPr>
                    <w:r>
                      <w:t>12,869,800</w:t>
                    </w:r>
                  </w:p>
                </w:tc>
                <w:tc>
                  <w:tcPr>
                    <w:tcW w:w="851" w:type="dxa"/>
                    <w:shd w:val="clear" w:color="auto" w:fill="auto"/>
                    <w:vAlign w:val="center"/>
                  </w:tcPr>
                  <w:p w14:paraId="784C7CCC" w14:textId="77777777" w:rsidR="00830E72" w:rsidRDefault="008344D8">
                    <w:pPr>
                      <w:jc w:val="right"/>
                      <w:rPr>
                        <w:szCs w:val="21"/>
                      </w:rPr>
                    </w:pPr>
                    <w:r>
                      <w:t>2.58</w:t>
                    </w:r>
                  </w:p>
                </w:tc>
                <w:tc>
                  <w:tcPr>
                    <w:tcW w:w="1559" w:type="dxa"/>
                    <w:shd w:val="clear" w:color="auto" w:fill="auto"/>
                    <w:vAlign w:val="center"/>
                  </w:tcPr>
                  <w:p w14:paraId="295C83DD" w14:textId="77777777" w:rsidR="00830E72" w:rsidRDefault="008344D8">
                    <w:pPr>
                      <w:jc w:val="right"/>
                      <w:rPr>
                        <w:szCs w:val="21"/>
                      </w:rPr>
                    </w:pPr>
                    <w:r>
                      <w:t>0</w:t>
                    </w:r>
                  </w:p>
                </w:tc>
                <w:sdt>
                  <w:sdtPr>
                    <w:rPr>
                      <w:szCs w:val="21"/>
                    </w:rPr>
                    <w:alias w:val="前十名股东持有股份状态"/>
                    <w:tag w:val="_GBC_d5194108b2a8481e94140819dbdc5afe"/>
                    <w:id w:val="111378993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134" w:type="dxa"/>
                        <w:shd w:val="clear" w:color="auto" w:fill="auto"/>
                        <w:vAlign w:val="center"/>
                      </w:tcPr>
                      <w:p w14:paraId="5D3B8289" w14:textId="77777777" w:rsidR="00830E72" w:rsidRDefault="008344D8">
                        <w:pPr>
                          <w:jc w:val="center"/>
                          <w:rPr>
                            <w:color w:val="FF9900"/>
                            <w:szCs w:val="21"/>
                          </w:rPr>
                        </w:pPr>
                        <w:r>
                          <w:rPr>
                            <w:szCs w:val="21"/>
                          </w:rPr>
                          <w:t>未知</w:t>
                        </w:r>
                      </w:p>
                    </w:tc>
                  </w:sdtContent>
                </w:sdt>
                <w:tc>
                  <w:tcPr>
                    <w:tcW w:w="1417" w:type="dxa"/>
                    <w:shd w:val="clear" w:color="auto" w:fill="auto"/>
                    <w:vAlign w:val="center"/>
                  </w:tcPr>
                  <w:p w14:paraId="4F0BA606" w14:textId="77777777" w:rsidR="00830E72" w:rsidRDefault="008344D8">
                    <w:pPr>
                      <w:jc w:val="right"/>
                      <w:rPr>
                        <w:szCs w:val="21"/>
                      </w:rPr>
                    </w:pPr>
                    <w:r>
                      <w:t>0</w:t>
                    </w:r>
                  </w:p>
                </w:tc>
                <w:sdt>
                  <w:sdtPr>
                    <w:rPr>
                      <w:szCs w:val="21"/>
                    </w:rPr>
                    <w:alias w:val="前十名股东的股东性质"/>
                    <w:tag w:val="_GBC_71380bc899eb4b9781e95e37e7a1e221"/>
                    <w:id w:val="-19638759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701" w:type="dxa"/>
                        <w:shd w:val="clear" w:color="auto" w:fill="auto"/>
                        <w:vAlign w:val="center"/>
                      </w:tcPr>
                      <w:p w14:paraId="0CED0F5F" w14:textId="77777777" w:rsidR="00830E72" w:rsidRDefault="008344D8">
                        <w:pPr>
                          <w:rPr>
                            <w:color w:val="FF9900"/>
                            <w:szCs w:val="21"/>
                          </w:rPr>
                        </w:pPr>
                        <w:r>
                          <w:rPr>
                            <w:szCs w:val="21"/>
                          </w:rPr>
                          <w:t>境内非国有法人</w:t>
                        </w:r>
                      </w:p>
                    </w:tc>
                  </w:sdtContent>
                </w:sdt>
              </w:tr>
            </w:sdtContent>
          </w:sdt>
          <w:sdt>
            <w:sdtPr>
              <w:rPr>
                <w:szCs w:val="21"/>
              </w:rPr>
              <w:alias w:val="前十名股东持股情况"/>
              <w:tag w:val="_GBC_5fc8eaeeffc7456eb1a09687db3d4206"/>
              <w:id w:val="1494379492"/>
              <w:lock w:val="sdtLocked"/>
            </w:sdtPr>
            <w:sdtEndPr>
              <w:rPr>
                <w:color w:val="FF9900"/>
              </w:rPr>
            </w:sdtEndPr>
            <w:sdtContent>
              <w:tr w:rsidR="00830E72" w14:paraId="0F1722D1" w14:textId="77777777" w:rsidTr="00A40D2A">
                <w:trPr>
                  <w:cantSplit/>
                </w:trPr>
                <w:tc>
                  <w:tcPr>
                    <w:tcW w:w="3652" w:type="dxa"/>
                    <w:shd w:val="clear" w:color="auto" w:fill="auto"/>
                    <w:vAlign w:val="center"/>
                  </w:tcPr>
                  <w:p w14:paraId="4EFCB1D5" w14:textId="77777777" w:rsidR="00830E72" w:rsidRDefault="008344D8">
                    <w:pPr>
                      <w:rPr>
                        <w:szCs w:val="21"/>
                      </w:rPr>
                    </w:pPr>
                    <w:r>
                      <w:t>国元股权投资有限公司</w:t>
                    </w:r>
                  </w:p>
                </w:tc>
                <w:tc>
                  <w:tcPr>
                    <w:tcW w:w="1418" w:type="dxa"/>
                    <w:shd w:val="clear" w:color="auto" w:fill="auto"/>
                    <w:vAlign w:val="center"/>
                  </w:tcPr>
                  <w:p w14:paraId="4F3F0D6C" w14:textId="77777777" w:rsidR="00830E72" w:rsidRDefault="008344D8">
                    <w:pPr>
                      <w:jc w:val="right"/>
                      <w:rPr>
                        <w:szCs w:val="21"/>
                      </w:rPr>
                    </w:pPr>
                    <w:r>
                      <w:t>-566,800</w:t>
                    </w:r>
                  </w:p>
                </w:tc>
                <w:tc>
                  <w:tcPr>
                    <w:tcW w:w="1417" w:type="dxa"/>
                    <w:shd w:val="clear" w:color="auto" w:fill="auto"/>
                    <w:vAlign w:val="center"/>
                  </w:tcPr>
                  <w:p w14:paraId="40F2C84B" w14:textId="77777777" w:rsidR="00830E72" w:rsidRDefault="008344D8">
                    <w:pPr>
                      <w:jc w:val="right"/>
                      <w:rPr>
                        <w:szCs w:val="21"/>
                      </w:rPr>
                    </w:pPr>
                    <w:r>
                      <w:t>8,882,400</w:t>
                    </w:r>
                  </w:p>
                </w:tc>
                <w:tc>
                  <w:tcPr>
                    <w:tcW w:w="851" w:type="dxa"/>
                    <w:shd w:val="clear" w:color="auto" w:fill="auto"/>
                    <w:vAlign w:val="center"/>
                  </w:tcPr>
                  <w:p w14:paraId="3CFAB9D7" w14:textId="77777777" w:rsidR="00830E72" w:rsidRDefault="008344D8">
                    <w:pPr>
                      <w:jc w:val="right"/>
                      <w:rPr>
                        <w:szCs w:val="21"/>
                      </w:rPr>
                    </w:pPr>
                    <w:r>
                      <w:t>1.78</w:t>
                    </w:r>
                  </w:p>
                </w:tc>
                <w:tc>
                  <w:tcPr>
                    <w:tcW w:w="1559" w:type="dxa"/>
                    <w:shd w:val="clear" w:color="auto" w:fill="auto"/>
                    <w:vAlign w:val="center"/>
                  </w:tcPr>
                  <w:p w14:paraId="79B849B7" w14:textId="77777777" w:rsidR="00830E72" w:rsidRDefault="008344D8">
                    <w:pPr>
                      <w:jc w:val="right"/>
                      <w:rPr>
                        <w:szCs w:val="21"/>
                      </w:rPr>
                    </w:pPr>
                    <w:r>
                      <w:t>0</w:t>
                    </w:r>
                  </w:p>
                </w:tc>
                <w:sdt>
                  <w:sdtPr>
                    <w:rPr>
                      <w:szCs w:val="21"/>
                    </w:rPr>
                    <w:alias w:val="前十名股东持有股份状态"/>
                    <w:tag w:val="_GBC_d5194108b2a8481e94140819dbdc5afe"/>
                    <w:id w:val="173751692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134" w:type="dxa"/>
                        <w:shd w:val="clear" w:color="auto" w:fill="auto"/>
                        <w:vAlign w:val="center"/>
                      </w:tcPr>
                      <w:p w14:paraId="2DF0DECD" w14:textId="77777777" w:rsidR="00830E72" w:rsidRDefault="008344D8">
                        <w:pPr>
                          <w:jc w:val="center"/>
                          <w:rPr>
                            <w:color w:val="FF9900"/>
                            <w:szCs w:val="21"/>
                          </w:rPr>
                        </w:pPr>
                        <w:r>
                          <w:rPr>
                            <w:szCs w:val="21"/>
                          </w:rPr>
                          <w:t>未知</w:t>
                        </w:r>
                      </w:p>
                    </w:tc>
                  </w:sdtContent>
                </w:sdt>
                <w:tc>
                  <w:tcPr>
                    <w:tcW w:w="1417" w:type="dxa"/>
                    <w:shd w:val="clear" w:color="auto" w:fill="auto"/>
                    <w:vAlign w:val="center"/>
                  </w:tcPr>
                  <w:p w14:paraId="0CA038EA" w14:textId="77777777" w:rsidR="00830E72" w:rsidRDefault="008344D8">
                    <w:pPr>
                      <w:jc w:val="right"/>
                      <w:rPr>
                        <w:szCs w:val="21"/>
                      </w:rPr>
                    </w:pPr>
                    <w:r>
                      <w:t>0</w:t>
                    </w:r>
                  </w:p>
                </w:tc>
                <w:sdt>
                  <w:sdtPr>
                    <w:rPr>
                      <w:szCs w:val="21"/>
                    </w:rPr>
                    <w:alias w:val="前十名股东的股东性质"/>
                    <w:tag w:val="_GBC_71380bc899eb4b9781e95e37e7a1e221"/>
                    <w:id w:val="-146951493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701" w:type="dxa"/>
                        <w:shd w:val="clear" w:color="auto" w:fill="auto"/>
                        <w:vAlign w:val="center"/>
                      </w:tcPr>
                      <w:p w14:paraId="79B425B2" w14:textId="77777777" w:rsidR="00830E72" w:rsidRDefault="008344D8">
                        <w:pPr>
                          <w:rPr>
                            <w:color w:val="FF9900"/>
                            <w:szCs w:val="21"/>
                          </w:rPr>
                        </w:pPr>
                        <w:r>
                          <w:rPr>
                            <w:szCs w:val="21"/>
                          </w:rPr>
                          <w:t>境内非国有法人</w:t>
                        </w:r>
                      </w:p>
                    </w:tc>
                  </w:sdtContent>
                </w:sdt>
              </w:tr>
            </w:sdtContent>
          </w:sdt>
          <w:sdt>
            <w:sdtPr>
              <w:rPr>
                <w:szCs w:val="21"/>
              </w:rPr>
              <w:alias w:val="前十名股东持股情况"/>
              <w:tag w:val="_GBC_5fc8eaeeffc7456eb1a09687db3d4206"/>
              <w:id w:val="-1234856343"/>
              <w:lock w:val="sdtLocked"/>
            </w:sdtPr>
            <w:sdtEndPr>
              <w:rPr>
                <w:color w:val="FF9900"/>
              </w:rPr>
            </w:sdtEndPr>
            <w:sdtContent>
              <w:tr w:rsidR="00830E72" w14:paraId="4AC35631" w14:textId="77777777" w:rsidTr="00A40D2A">
                <w:trPr>
                  <w:cantSplit/>
                </w:trPr>
                <w:tc>
                  <w:tcPr>
                    <w:tcW w:w="3652" w:type="dxa"/>
                    <w:shd w:val="clear" w:color="auto" w:fill="auto"/>
                    <w:vAlign w:val="center"/>
                  </w:tcPr>
                  <w:p w14:paraId="059F56DD" w14:textId="77777777" w:rsidR="00830E72" w:rsidRDefault="008344D8">
                    <w:pPr>
                      <w:rPr>
                        <w:szCs w:val="21"/>
                      </w:rPr>
                    </w:pPr>
                    <w:r>
                      <w:t>黄山市为众投资管理中心（有限合伙）</w:t>
                    </w:r>
                  </w:p>
                </w:tc>
                <w:tc>
                  <w:tcPr>
                    <w:tcW w:w="1418" w:type="dxa"/>
                    <w:shd w:val="clear" w:color="auto" w:fill="auto"/>
                    <w:vAlign w:val="center"/>
                  </w:tcPr>
                  <w:p w14:paraId="4CD412D5" w14:textId="77777777" w:rsidR="00830E72" w:rsidRDefault="008344D8">
                    <w:pPr>
                      <w:jc w:val="right"/>
                      <w:rPr>
                        <w:szCs w:val="21"/>
                      </w:rPr>
                    </w:pPr>
                    <w:r>
                      <w:t>0</w:t>
                    </w:r>
                  </w:p>
                </w:tc>
                <w:tc>
                  <w:tcPr>
                    <w:tcW w:w="1417" w:type="dxa"/>
                    <w:shd w:val="clear" w:color="auto" w:fill="auto"/>
                    <w:vAlign w:val="center"/>
                  </w:tcPr>
                  <w:p w14:paraId="7EE35835" w14:textId="77777777" w:rsidR="00830E72" w:rsidRDefault="008344D8">
                    <w:pPr>
                      <w:jc w:val="right"/>
                      <w:rPr>
                        <w:szCs w:val="21"/>
                      </w:rPr>
                    </w:pPr>
                    <w:r>
                      <w:t>8,690,000</w:t>
                    </w:r>
                  </w:p>
                </w:tc>
                <w:tc>
                  <w:tcPr>
                    <w:tcW w:w="851" w:type="dxa"/>
                    <w:shd w:val="clear" w:color="auto" w:fill="auto"/>
                    <w:vAlign w:val="center"/>
                  </w:tcPr>
                  <w:p w14:paraId="72BBD97E" w14:textId="77777777" w:rsidR="00830E72" w:rsidRDefault="008344D8">
                    <w:pPr>
                      <w:jc w:val="right"/>
                      <w:rPr>
                        <w:szCs w:val="21"/>
                      </w:rPr>
                    </w:pPr>
                    <w:r>
                      <w:t>1.74</w:t>
                    </w:r>
                  </w:p>
                </w:tc>
                <w:tc>
                  <w:tcPr>
                    <w:tcW w:w="1559" w:type="dxa"/>
                    <w:shd w:val="clear" w:color="auto" w:fill="auto"/>
                    <w:vAlign w:val="center"/>
                  </w:tcPr>
                  <w:p w14:paraId="2B93BAE0" w14:textId="77777777" w:rsidR="00830E72" w:rsidRDefault="008344D8">
                    <w:pPr>
                      <w:jc w:val="right"/>
                      <w:rPr>
                        <w:szCs w:val="21"/>
                      </w:rPr>
                    </w:pPr>
                    <w:r>
                      <w:t>8,690,000</w:t>
                    </w:r>
                  </w:p>
                </w:tc>
                <w:sdt>
                  <w:sdtPr>
                    <w:rPr>
                      <w:szCs w:val="21"/>
                    </w:rPr>
                    <w:alias w:val="前十名股东持有股份状态"/>
                    <w:tag w:val="_GBC_d5194108b2a8481e94140819dbdc5afe"/>
                    <w:id w:val="1453288233"/>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134" w:type="dxa"/>
                        <w:shd w:val="clear" w:color="auto" w:fill="auto"/>
                        <w:vAlign w:val="center"/>
                      </w:tcPr>
                      <w:p w14:paraId="5D74DFD7" w14:textId="77777777" w:rsidR="00830E72" w:rsidRDefault="008344D8">
                        <w:pPr>
                          <w:jc w:val="center"/>
                          <w:rPr>
                            <w:color w:val="FF9900"/>
                            <w:szCs w:val="21"/>
                          </w:rPr>
                        </w:pPr>
                        <w:r>
                          <w:rPr>
                            <w:szCs w:val="21"/>
                          </w:rPr>
                          <w:t>未知</w:t>
                        </w:r>
                      </w:p>
                    </w:tc>
                  </w:sdtContent>
                </w:sdt>
                <w:tc>
                  <w:tcPr>
                    <w:tcW w:w="1417" w:type="dxa"/>
                    <w:shd w:val="clear" w:color="auto" w:fill="auto"/>
                    <w:vAlign w:val="center"/>
                  </w:tcPr>
                  <w:p w14:paraId="67BC2B59" w14:textId="77777777" w:rsidR="00830E72" w:rsidRDefault="008344D8">
                    <w:pPr>
                      <w:jc w:val="right"/>
                      <w:rPr>
                        <w:szCs w:val="21"/>
                      </w:rPr>
                    </w:pPr>
                    <w:r>
                      <w:t>0</w:t>
                    </w:r>
                  </w:p>
                </w:tc>
                <w:sdt>
                  <w:sdtPr>
                    <w:rPr>
                      <w:szCs w:val="21"/>
                    </w:rPr>
                    <w:alias w:val="前十名股东的股东性质"/>
                    <w:tag w:val="_GBC_71380bc899eb4b9781e95e37e7a1e221"/>
                    <w:id w:val="166859566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701" w:type="dxa"/>
                        <w:shd w:val="clear" w:color="auto" w:fill="auto"/>
                        <w:vAlign w:val="center"/>
                      </w:tcPr>
                      <w:p w14:paraId="38D7D2EB" w14:textId="77777777" w:rsidR="00830E72" w:rsidRDefault="008344D8">
                        <w:pPr>
                          <w:rPr>
                            <w:color w:val="FF9900"/>
                            <w:szCs w:val="21"/>
                          </w:rPr>
                        </w:pPr>
                        <w:r>
                          <w:rPr>
                            <w:szCs w:val="21"/>
                          </w:rPr>
                          <w:t>境内非国有法人</w:t>
                        </w:r>
                      </w:p>
                    </w:tc>
                  </w:sdtContent>
                </w:sdt>
              </w:tr>
            </w:sdtContent>
          </w:sdt>
          <w:sdt>
            <w:sdtPr>
              <w:rPr>
                <w:szCs w:val="21"/>
              </w:rPr>
              <w:alias w:val="前十名股东持股情况"/>
              <w:tag w:val="_GBC_5fc8eaeeffc7456eb1a09687db3d4206"/>
              <w:id w:val="1964776788"/>
              <w:lock w:val="sdtLocked"/>
            </w:sdtPr>
            <w:sdtEndPr>
              <w:rPr>
                <w:color w:val="FF9900"/>
              </w:rPr>
            </w:sdtEndPr>
            <w:sdtContent>
              <w:tr w:rsidR="00830E72" w14:paraId="17D7B07A" w14:textId="77777777" w:rsidTr="00A40D2A">
                <w:trPr>
                  <w:cantSplit/>
                </w:trPr>
                <w:tc>
                  <w:tcPr>
                    <w:tcW w:w="3652" w:type="dxa"/>
                    <w:shd w:val="clear" w:color="auto" w:fill="auto"/>
                    <w:vAlign w:val="center"/>
                  </w:tcPr>
                  <w:p w14:paraId="42CE60F4" w14:textId="77777777" w:rsidR="00830E72" w:rsidRDefault="008344D8">
                    <w:pPr>
                      <w:rPr>
                        <w:szCs w:val="21"/>
                      </w:rPr>
                    </w:pPr>
                    <w:r>
                      <w:t>安徽金牛国轩新能源产业投资合伙企业（有限合伙）</w:t>
                    </w:r>
                  </w:p>
                </w:tc>
                <w:tc>
                  <w:tcPr>
                    <w:tcW w:w="1418" w:type="dxa"/>
                    <w:shd w:val="clear" w:color="auto" w:fill="auto"/>
                    <w:vAlign w:val="center"/>
                  </w:tcPr>
                  <w:p w14:paraId="026A519A" w14:textId="77777777" w:rsidR="00830E72" w:rsidRDefault="008344D8">
                    <w:pPr>
                      <w:jc w:val="right"/>
                      <w:rPr>
                        <w:szCs w:val="21"/>
                      </w:rPr>
                    </w:pPr>
                    <w:r>
                      <w:t>-34,300</w:t>
                    </w:r>
                  </w:p>
                </w:tc>
                <w:tc>
                  <w:tcPr>
                    <w:tcW w:w="1417" w:type="dxa"/>
                    <w:shd w:val="clear" w:color="auto" w:fill="auto"/>
                    <w:vAlign w:val="center"/>
                  </w:tcPr>
                  <w:p w14:paraId="43C93612" w14:textId="77777777" w:rsidR="00830E72" w:rsidRDefault="008344D8">
                    <w:pPr>
                      <w:jc w:val="right"/>
                      <w:rPr>
                        <w:szCs w:val="21"/>
                      </w:rPr>
                    </w:pPr>
                    <w:r>
                      <w:t>8,250,000</w:t>
                    </w:r>
                  </w:p>
                </w:tc>
                <w:tc>
                  <w:tcPr>
                    <w:tcW w:w="851" w:type="dxa"/>
                    <w:shd w:val="clear" w:color="auto" w:fill="auto"/>
                    <w:vAlign w:val="center"/>
                  </w:tcPr>
                  <w:p w14:paraId="192C2211" w14:textId="77777777" w:rsidR="00830E72" w:rsidRDefault="008344D8">
                    <w:pPr>
                      <w:jc w:val="right"/>
                      <w:rPr>
                        <w:szCs w:val="21"/>
                      </w:rPr>
                    </w:pPr>
                    <w:r>
                      <w:t>1.65</w:t>
                    </w:r>
                  </w:p>
                </w:tc>
                <w:tc>
                  <w:tcPr>
                    <w:tcW w:w="1559" w:type="dxa"/>
                    <w:shd w:val="clear" w:color="auto" w:fill="auto"/>
                    <w:vAlign w:val="center"/>
                  </w:tcPr>
                  <w:p w14:paraId="4D23A245" w14:textId="77777777" w:rsidR="00830E72" w:rsidRDefault="008344D8">
                    <w:pPr>
                      <w:jc w:val="right"/>
                      <w:rPr>
                        <w:szCs w:val="21"/>
                      </w:rPr>
                    </w:pPr>
                    <w:r>
                      <w:t>0</w:t>
                    </w:r>
                  </w:p>
                </w:tc>
                <w:sdt>
                  <w:sdtPr>
                    <w:rPr>
                      <w:szCs w:val="21"/>
                    </w:rPr>
                    <w:alias w:val="前十名股东持有股份状态"/>
                    <w:tag w:val="_GBC_d5194108b2a8481e94140819dbdc5afe"/>
                    <w:id w:val="-190652850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134" w:type="dxa"/>
                        <w:shd w:val="clear" w:color="auto" w:fill="auto"/>
                        <w:vAlign w:val="center"/>
                      </w:tcPr>
                      <w:p w14:paraId="6B14FE77" w14:textId="77777777" w:rsidR="00830E72" w:rsidRDefault="008344D8">
                        <w:pPr>
                          <w:jc w:val="center"/>
                          <w:rPr>
                            <w:color w:val="FF9900"/>
                            <w:szCs w:val="21"/>
                          </w:rPr>
                        </w:pPr>
                        <w:r>
                          <w:rPr>
                            <w:szCs w:val="21"/>
                          </w:rPr>
                          <w:t>未知</w:t>
                        </w:r>
                      </w:p>
                    </w:tc>
                  </w:sdtContent>
                </w:sdt>
                <w:tc>
                  <w:tcPr>
                    <w:tcW w:w="1417" w:type="dxa"/>
                    <w:shd w:val="clear" w:color="auto" w:fill="auto"/>
                    <w:vAlign w:val="center"/>
                  </w:tcPr>
                  <w:p w14:paraId="1F730D6C" w14:textId="77777777" w:rsidR="00830E72" w:rsidRDefault="008344D8">
                    <w:pPr>
                      <w:jc w:val="right"/>
                      <w:rPr>
                        <w:szCs w:val="21"/>
                      </w:rPr>
                    </w:pPr>
                    <w:r>
                      <w:t>0</w:t>
                    </w:r>
                  </w:p>
                </w:tc>
                <w:sdt>
                  <w:sdtPr>
                    <w:rPr>
                      <w:szCs w:val="21"/>
                    </w:rPr>
                    <w:alias w:val="前十名股东的股东性质"/>
                    <w:tag w:val="_GBC_71380bc899eb4b9781e95e37e7a1e221"/>
                    <w:id w:val="-94846726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701" w:type="dxa"/>
                        <w:shd w:val="clear" w:color="auto" w:fill="auto"/>
                        <w:vAlign w:val="center"/>
                      </w:tcPr>
                      <w:p w14:paraId="1BD6BB2F" w14:textId="77777777" w:rsidR="00830E72" w:rsidRDefault="008344D8">
                        <w:pPr>
                          <w:rPr>
                            <w:color w:val="FF9900"/>
                            <w:szCs w:val="21"/>
                          </w:rPr>
                        </w:pPr>
                        <w:r>
                          <w:rPr>
                            <w:szCs w:val="21"/>
                          </w:rPr>
                          <w:t>境内非国有法人</w:t>
                        </w:r>
                      </w:p>
                    </w:tc>
                  </w:sdtContent>
                </w:sdt>
              </w:tr>
            </w:sdtContent>
          </w:sdt>
          <w:sdt>
            <w:sdtPr>
              <w:rPr>
                <w:szCs w:val="21"/>
              </w:rPr>
              <w:alias w:val="前十名股东持股情况"/>
              <w:tag w:val="_GBC_5fc8eaeeffc7456eb1a09687db3d4206"/>
              <w:id w:val="1396694067"/>
              <w:lock w:val="sdtLocked"/>
            </w:sdtPr>
            <w:sdtEndPr>
              <w:rPr>
                <w:color w:val="FF9900"/>
              </w:rPr>
            </w:sdtEndPr>
            <w:sdtContent>
              <w:tr w:rsidR="00830E72" w14:paraId="69069FCD" w14:textId="77777777" w:rsidTr="00A40D2A">
                <w:trPr>
                  <w:cantSplit/>
                </w:trPr>
                <w:tc>
                  <w:tcPr>
                    <w:tcW w:w="3652" w:type="dxa"/>
                    <w:shd w:val="clear" w:color="auto" w:fill="auto"/>
                    <w:vAlign w:val="center"/>
                  </w:tcPr>
                  <w:p w14:paraId="4899E6DA" w14:textId="77777777" w:rsidR="00830E72" w:rsidRDefault="008344D8">
                    <w:pPr>
                      <w:rPr>
                        <w:szCs w:val="21"/>
                      </w:rPr>
                    </w:pPr>
                    <w:r>
                      <w:t>俞水祥</w:t>
                    </w:r>
                  </w:p>
                </w:tc>
                <w:tc>
                  <w:tcPr>
                    <w:tcW w:w="1418" w:type="dxa"/>
                    <w:shd w:val="clear" w:color="auto" w:fill="auto"/>
                    <w:vAlign w:val="center"/>
                  </w:tcPr>
                  <w:p w14:paraId="533A0B51" w14:textId="77777777" w:rsidR="00830E72" w:rsidRDefault="008344D8">
                    <w:pPr>
                      <w:jc w:val="right"/>
                      <w:rPr>
                        <w:szCs w:val="21"/>
                      </w:rPr>
                    </w:pPr>
                    <w:r>
                      <w:t>0</w:t>
                    </w:r>
                  </w:p>
                </w:tc>
                <w:tc>
                  <w:tcPr>
                    <w:tcW w:w="1417" w:type="dxa"/>
                    <w:shd w:val="clear" w:color="auto" w:fill="auto"/>
                    <w:vAlign w:val="center"/>
                  </w:tcPr>
                  <w:p w14:paraId="74D0FF42" w14:textId="77777777" w:rsidR="00830E72" w:rsidRDefault="008344D8">
                    <w:pPr>
                      <w:jc w:val="right"/>
                      <w:rPr>
                        <w:szCs w:val="21"/>
                      </w:rPr>
                    </w:pPr>
                    <w:r>
                      <w:t>7,294,930</w:t>
                    </w:r>
                  </w:p>
                </w:tc>
                <w:tc>
                  <w:tcPr>
                    <w:tcW w:w="851" w:type="dxa"/>
                    <w:shd w:val="clear" w:color="auto" w:fill="auto"/>
                    <w:vAlign w:val="center"/>
                  </w:tcPr>
                  <w:p w14:paraId="10DD8935" w14:textId="77777777" w:rsidR="00830E72" w:rsidRDefault="008344D8">
                    <w:pPr>
                      <w:jc w:val="right"/>
                      <w:rPr>
                        <w:szCs w:val="21"/>
                      </w:rPr>
                    </w:pPr>
                    <w:r>
                      <w:t>1.46</w:t>
                    </w:r>
                  </w:p>
                </w:tc>
                <w:tc>
                  <w:tcPr>
                    <w:tcW w:w="1559" w:type="dxa"/>
                    <w:shd w:val="clear" w:color="auto" w:fill="auto"/>
                    <w:vAlign w:val="center"/>
                  </w:tcPr>
                  <w:p w14:paraId="1DE55E0B" w14:textId="77777777" w:rsidR="00830E72" w:rsidRDefault="008344D8">
                    <w:pPr>
                      <w:jc w:val="right"/>
                      <w:rPr>
                        <w:szCs w:val="21"/>
                      </w:rPr>
                    </w:pPr>
                    <w:r>
                      <w:t>7,294,930</w:t>
                    </w:r>
                  </w:p>
                </w:tc>
                <w:sdt>
                  <w:sdtPr>
                    <w:rPr>
                      <w:szCs w:val="21"/>
                    </w:rPr>
                    <w:alias w:val="前十名股东持有股份状态"/>
                    <w:tag w:val="_GBC_d5194108b2a8481e94140819dbdc5afe"/>
                    <w:id w:val="155412262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134" w:type="dxa"/>
                        <w:shd w:val="clear" w:color="auto" w:fill="auto"/>
                        <w:vAlign w:val="center"/>
                      </w:tcPr>
                      <w:p w14:paraId="035590C9" w14:textId="77777777" w:rsidR="00830E72" w:rsidRDefault="008344D8">
                        <w:pPr>
                          <w:jc w:val="center"/>
                          <w:rPr>
                            <w:color w:val="FF9900"/>
                            <w:szCs w:val="21"/>
                          </w:rPr>
                        </w:pPr>
                        <w:r>
                          <w:rPr>
                            <w:szCs w:val="21"/>
                          </w:rPr>
                          <w:t>质押</w:t>
                        </w:r>
                      </w:p>
                    </w:tc>
                  </w:sdtContent>
                </w:sdt>
                <w:tc>
                  <w:tcPr>
                    <w:tcW w:w="1417" w:type="dxa"/>
                    <w:shd w:val="clear" w:color="auto" w:fill="auto"/>
                    <w:vAlign w:val="center"/>
                  </w:tcPr>
                  <w:p w14:paraId="04A018C2" w14:textId="77777777" w:rsidR="00830E72" w:rsidRDefault="008344D8">
                    <w:pPr>
                      <w:jc w:val="right"/>
                      <w:rPr>
                        <w:szCs w:val="21"/>
                      </w:rPr>
                    </w:pPr>
                    <w:r>
                      <w:t>5,830,000</w:t>
                    </w:r>
                  </w:p>
                </w:tc>
                <w:sdt>
                  <w:sdtPr>
                    <w:rPr>
                      <w:szCs w:val="21"/>
                    </w:rPr>
                    <w:alias w:val="前十名股东的股东性质"/>
                    <w:tag w:val="_GBC_71380bc899eb4b9781e95e37e7a1e221"/>
                    <w:id w:val="82772278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701" w:type="dxa"/>
                        <w:shd w:val="clear" w:color="auto" w:fill="auto"/>
                        <w:vAlign w:val="center"/>
                      </w:tcPr>
                      <w:p w14:paraId="0CE284A0" w14:textId="77777777" w:rsidR="00830E72" w:rsidRDefault="008344D8">
                        <w:pPr>
                          <w:rPr>
                            <w:color w:val="FF9900"/>
                            <w:szCs w:val="21"/>
                          </w:rPr>
                        </w:pPr>
                        <w:r>
                          <w:rPr>
                            <w:szCs w:val="21"/>
                          </w:rPr>
                          <w:t>境内自然人</w:t>
                        </w:r>
                      </w:p>
                    </w:tc>
                  </w:sdtContent>
                </w:sdt>
              </w:tr>
            </w:sdtContent>
          </w:sdt>
          <w:sdt>
            <w:sdtPr>
              <w:rPr>
                <w:szCs w:val="21"/>
              </w:rPr>
              <w:alias w:val="前十名股东持股情况"/>
              <w:tag w:val="_GBC_5fc8eaeeffc7456eb1a09687db3d4206"/>
              <w:id w:val="-832840286"/>
              <w:lock w:val="sdtLocked"/>
            </w:sdtPr>
            <w:sdtEndPr>
              <w:rPr>
                <w:color w:val="FF9900"/>
              </w:rPr>
            </w:sdtEndPr>
            <w:sdtContent>
              <w:tr w:rsidR="00830E72" w14:paraId="78D18188" w14:textId="77777777" w:rsidTr="00A40D2A">
                <w:trPr>
                  <w:cantSplit/>
                </w:trPr>
                <w:tc>
                  <w:tcPr>
                    <w:tcW w:w="3652" w:type="dxa"/>
                    <w:shd w:val="clear" w:color="auto" w:fill="auto"/>
                    <w:vAlign w:val="center"/>
                  </w:tcPr>
                  <w:p w14:paraId="3E2D65B9" w14:textId="77777777" w:rsidR="00830E72" w:rsidRDefault="008344D8">
                    <w:pPr>
                      <w:rPr>
                        <w:szCs w:val="21"/>
                      </w:rPr>
                    </w:pPr>
                    <w:r>
                      <w:t>安徽安华基金投资有限公司</w:t>
                    </w:r>
                  </w:p>
                </w:tc>
                <w:tc>
                  <w:tcPr>
                    <w:tcW w:w="1418" w:type="dxa"/>
                    <w:shd w:val="clear" w:color="auto" w:fill="auto"/>
                    <w:vAlign w:val="center"/>
                  </w:tcPr>
                  <w:p w14:paraId="6EA43369" w14:textId="77777777" w:rsidR="00830E72" w:rsidRDefault="008344D8">
                    <w:pPr>
                      <w:jc w:val="right"/>
                      <w:rPr>
                        <w:szCs w:val="21"/>
                      </w:rPr>
                    </w:pPr>
                    <w:r>
                      <w:t>-4,990,000</w:t>
                    </w:r>
                  </w:p>
                </w:tc>
                <w:tc>
                  <w:tcPr>
                    <w:tcW w:w="1417" w:type="dxa"/>
                    <w:shd w:val="clear" w:color="auto" w:fill="auto"/>
                    <w:vAlign w:val="center"/>
                  </w:tcPr>
                  <w:p w14:paraId="2C552EBE" w14:textId="77777777" w:rsidR="00830E72" w:rsidRDefault="008344D8">
                    <w:pPr>
                      <w:jc w:val="right"/>
                      <w:rPr>
                        <w:szCs w:val="21"/>
                      </w:rPr>
                    </w:pPr>
                    <w:r>
                      <w:t>7,010,000</w:t>
                    </w:r>
                  </w:p>
                </w:tc>
                <w:tc>
                  <w:tcPr>
                    <w:tcW w:w="851" w:type="dxa"/>
                    <w:shd w:val="clear" w:color="auto" w:fill="auto"/>
                    <w:vAlign w:val="center"/>
                  </w:tcPr>
                  <w:p w14:paraId="5AEF0291" w14:textId="77777777" w:rsidR="00830E72" w:rsidRDefault="008344D8">
                    <w:pPr>
                      <w:jc w:val="right"/>
                      <w:rPr>
                        <w:szCs w:val="21"/>
                      </w:rPr>
                    </w:pPr>
                    <w:r>
                      <w:t>1.40</w:t>
                    </w:r>
                  </w:p>
                </w:tc>
                <w:tc>
                  <w:tcPr>
                    <w:tcW w:w="1559" w:type="dxa"/>
                    <w:shd w:val="clear" w:color="auto" w:fill="auto"/>
                    <w:vAlign w:val="center"/>
                  </w:tcPr>
                  <w:p w14:paraId="1E4262D3" w14:textId="77777777" w:rsidR="00830E72" w:rsidRDefault="008344D8">
                    <w:pPr>
                      <w:jc w:val="right"/>
                      <w:rPr>
                        <w:szCs w:val="21"/>
                      </w:rPr>
                    </w:pPr>
                    <w:r>
                      <w:t>0</w:t>
                    </w:r>
                  </w:p>
                </w:tc>
                <w:sdt>
                  <w:sdtPr>
                    <w:rPr>
                      <w:szCs w:val="21"/>
                    </w:rPr>
                    <w:alias w:val="前十名股东持有股份状态"/>
                    <w:tag w:val="_GBC_d5194108b2a8481e94140819dbdc5afe"/>
                    <w:id w:val="-20202417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134" w:type="dxa"/>
                        <w:shd w:val="clear" w:color="auto" w:fill="auto"/>
                        <w:vAlign w:val="center"/>
                      </w:tcPr>
                      <w:p w14:paraId="73D5EC93" w14:textId="77777777" w:rsidR="00830E72" w:rsidRDefault="008344D8">
                        <w:pPr>
                          <w:jc w:val="center"/>
                          <w:rPr>
                            <w:color w:val="FF9900"/>
                            <w:szCs w:val="21"/>
                          </w:rPr>
                        </w:pPr>
                        <w:r>
                          <w:rPr>
                            <w:szCs w:val="21"/>
                          </w:rPr>
                          <w:t>未知</w:t>
                        </w:r>
                      </w:p>
                    </w:tc>
                  </w:sdtContent>
                </w:sdt>
                <w:tc>
                  <w:tcPr>
                    <w:tcW w:w="1417" w:type="dxa"/>
                    <w:shd w:val="clear" w:color="auto" w:fill="auto"/>
                    <w:vAlign w:val="center"/>
                  </w:tcPr>
                  <w:p w14:paraId="70E1BEE2" w14:textId="77777777" w:rsidR="00830E72" w:rsidRDefault="008344D8">
                    <w:pPr>
                      <w:jc w:val="right"/>
                      <w:rPr>
                        <w:szCs w:val="21"/>
                      </w:rPr>
                    </w:pPr>
                    <w:r>
                      <w:t>0</w:t>
                    </w:r>
                  </w:p>
                </w:tc>
                <w:sdt>
                  <w:sdtPr>
                    <w:rPr>
                      <w:szCs w:val="21"/>
                    </w:rPr>
                    <w:alias w:val="前十名股东的股东性质"/>
                    <w:tag w:val="_GBC_71380bc899eb4b9781e95e37e7a1e221"/>
                    <w:id w:val="175709510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701" w:type="dxa"/>
                        <w:shd w:val="clear" w:color="auto" w:fill="auto"/>
                        <w:vAlign w:val="center"/>
                      </w:tcPr>
                      <w:p w14:paraId="1F64CB21" w14:textId="77777777" w:rsidR="00830E72" w:rsidRDefault="008344D8">
                        <w:pPr>
                          <w:rPr>
                            <w:color w:val="FF9900"/>
                            <w:szCs w:val="21"/>
                          </w:rPr>
                        </w:pPr>
                        <w:r>
                          <w:rPr>
                            <w:szCs w:val="21"/>
                          </w:rPr>
                          <w:t>境内非国有法人</w:t>
                        </w:r>
                      </w:p>
                    </w:tc>
                  </w:sdtContent>
                </w:sdt>
              </w:tr>
            </w:sdtContent>
          </w:sdt>
          <w:sdt>
            <w:sdtPr>
              <w:rPr>
                <w:szCs w:val="21"/>
              </w:rPr>
              <w:alias w:val="前十名股东持股情况"/>
              <w:tag w:val="_GBC_5fc8eaeeffc7456eb1a09687db3d4206"/>
              <w:id w:val="-75373767"/>
              <w:lock w:val="sdtLocked"/>
            </w:sdtPr>
            <w:sdtEndPr>
              <w:rPr>
                <w:color w:val="FF9900"/>
              </w:rPr>
            </w:sdtEndPr>
            <w:sdtContent>
              <w:tr w:rsidR="00830E72" w14:paraId="18A14D17" w14:textId="77777777" w:rsidTr="00A40D2A">
                <w:trPr>
                  <w:cantSplit/>
                </w:trPr>
                <w:tc>
                  <w:tcPr>
                    <w:tcW w:w="3652" w:type="dxa"/>
                    <w:shd w:val="clear" w:color="auto" w:fill="auto"/>
                    <w:vAlign w:val="center"/>
                  </w:tcPr>
                  <w:p w14:paraId="186348BA" w14:textId="77777777" w:rsidR="00830E72" w:rsidRDefault="008344D8">
                    <w:pPr>
                      <w:rPr>
                        <w:szCs w:val="21"/>
                      </w:rPr>
                    </w:pPr>
                    <w:r>
                      <w:t>黄山市行远投资管理中心（有限合伙）</w:t>
                    </w:r>
                  </w:p>
                </w:tc>
                <w:tc>
                  <w:tcPr>
                    <w:tcW w:w="1418" w:type="dxa"/>
                    <w:shd w:val="clear" w:color="auto" w:fill="auto"/>
                    <w:vAlign w:val="center"/>
                  </w:tcPr>
                  <w:p w14:paraId="33E9C709" w14:textId="77777777" w:rsidR="00830E72" w:rsidRDefault="008344D8">
                    <w:pPr>
                      <w:jc w:val="right"/>
                      <w:rPr>
                        <w:szCs w:val="21"/>
                      </w:rPr>
                    </w:pPr>
                    <w:r>
                      <w:t>0</w:t>
                    </w:r>
                  </w:p>
                </w:tc>
                <w:tc>
                  <w:tcPr>
                    <w:tcW w:w="1417" w:type="dxa"/>
                    <w:shd w:val="clear" w:color="auto" w:fill="auto"/>
                    <w:vAlign w:val="center"/>
                  </w:tcPr>
                  <w:p w14:paraId="2A857857" w14:textId="77777777" w:rsidR="00830E72" w:rsidRDefault="008344D8">
                    <w:pPr>
                      <w:jc w:val="right"/>
                      <w:rPr>
                        <w:szCs w:val="21"/>
                      </w:rPr>
                    </w:pPr>
                    <w:r>
                      <w:t>6,965,000</w:t>
                    </w:r>
                  </w:p>
                </w:tc>
                <w:tc>
                  <w:tcPr>
                    <w:tcW w:w="851" w:type="dxa"/>
                    <w:shd w:val="clear" w:color="auto" w:fill="auto"/>
                    <w:vAlign w:val="center"/>
                  </w:tcPr>
                  <w:p w14:paraId="5D6673CD" w14:textId="77777777" w:rsidR="00830E72" w:rsidRDefault="008344D8">
                    <w:pPr>
                      <w:jc w:val="right"/>
                      <w:rPr>
                        <w:szCs w:val="21"/>
                      </w:rPr>
                    </w:pPr>
                    <w:r>
                      <w:t>1.40</w:t>
                    </w:r>
                  </w:p>
                </w:tc>
                <w:tc>
                  <w:tcPr>
                    <w:tcW w:w="1559" w:type="dxa"/>
                    <w:shd w:val="clear" w:color="auto" w:fill="auto"/>
                    <w:vAlign w:val="center"/>
                  </w:tcPr>
                  <w:p w14:paraId="3E756347" w14:textId="77777777" w:rsidR="00830E72" w:rsidRDefault="008344D8">
                    <w:pPr>
                      <w:jc w:val="right"/>
                      <w:rPr>
                        <w:szCs w:val="21"/>
                      </w:rPr>
                    </w:pPr>
                    <w:r>
                      <w:t>6,965,000</w:t>
                    </w:r>
                  </w:p>
                </w:tc>
                <w:sdt>
                  <w:sdtPr>
                    <w:rPr>
                      <w:szCs w:val="21"/>
                    </w:rPr>
                    <w:alias w:val="前十名股东持有股份状态"/>
                    <w:tag w:val="_GBC_d5194108b2a8481e94140819dbdc5afe"/>
                    <w:id w:val="-7405026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134" w:type="dxa"/>
                        <w:shd w:val="clear" w:color="auto" w:fill="auto"/>
                        <w:vAlign w:val="center"/>
                      </w:tcPr>
                      <w:p w14:paraId="386E7289" w14:textId="77777777" w:rsidR="00830E72" w:rsidRDefault="008344D8">
                        <w:pPr>
                          <w:jc w:val="center"/>
                          <w:rPr>
                            <w:color w:val="FF9900"/>
                            <w:szCs w:val="21"/>
                          </w:rPr>
                        </w:pPr>
                        <w:r>
                          <w:rPr>
                            <w:szCs w:val="21"/>
                          </w:rPr>
                          <w:t>无</w:t>
                        </w:r>
                      </w:p>
                    </w:tc>
                  </w:sdtContent>
                </w:sdt>
                <w:tc>
                  <w:tcPr>
                    <w:tcW w:w="1417" w:type="dxa"/>
                    <w:shd w:val="clear" w:color="auto" w:fill="auto"/>
                    <w:vAlign w:val="center"/>
                  </w:tcPr>
                  <w:p w14:paraId="002CC026" w14:textId="77777777" w:rsidR="00830E72" w:rsidRDefault="008344D8">
                    <w:pPr>
                      <w:jc w:val="right"/>
                      <w:rPr>
                        <w:szCs w:val="21"/>
                      </w:rPr>
                    </w:pPr>
                    <w:r>
                      <w:t>0</w:t>
                    </w:r>
                  </w:p>
                </w:tc>
                <w:sdt>
                  <w:sdtPr>
                    <w:rPr>
                      <w:szCs w:val="21"/>
                    </w:rPr>
                    <w:alias w:val="前十名股东的股东性质"/>
                    <w:tag w:val="_GBC_71380bc899eb4b9781e95e37e7a1e221"/>
                    <w:id w:val="-13117215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701" w:type="dxa"/>
                        <w:shd w:val="clear" w:color="auto" w:fill="auto"/>
                        <w:vAlign w:val="center"/>
                      </w:tcPr>
                      <w:p w14:paraId="4FD42521" w14:textId="77777777" w:rsidR="00830E72" w:rsidRDefault="008344D8">
                        <w:pPr>
                          <w:rPr>
                            <w:color w:val="FF9900"/>
                            <w:szCs w:val="21"/>
                          </w:rPr>
                        </w:pPr>
                        <w:r>
                          <w:rPr>
                            <w:szCs w:val="21"/>
                          </w:rPr>
                          <w:t>境内非国有法人</w:t>
                        </w:r>
                      </w:p>
                    </w:tc>
                  </w:sdtContent>
                </w:sdt>
              </w:tr>
            </w:sdtContent>
          </w:sdt>
          <w:tr w:rsidR="00830E72" w14:paraId="38597CC5" w14:textId="77777777">
            <w:trPr>
              <w:cantSplit/>
            </w:trPr>
            <w:sdt>
              <w:sdtPr>
                <w:tag w:val="_PLD_6f36efd0621247ffb7b2462dd9753e27"/>
                <w:id w:val="1743758764"/>
                <w:lock w:val="sdtLocked"/>
              </w:sdtPr>
              <w:sdtEndPr/>
              <w:sdtContent>
                <w:tc>
                  <w:tcPr>
                    <w:tcW w:w="13149" w:type="dxa"/>
                    <w:gridSpan w:val="8"/>
                    <w:shd w:val="clear" w:color="auto" w:fill="auto"/>
                    <w:vAlign w:val="center"/>
                  </w:tcPr>
                  <w:p w14:paraId="7F173502" w14:textId="77777777" w:rsidR="00830E72" w:rsidRDefault="008344D8">
                    <w:pPr>
                      <w:jc w:val="center"/>
                      <w:rPr>
                        <w:color w:val="FF9900"/>
                        <w:szCs w:val="21"/>
                      </w:rPr>
                    </w:pPr>
                    <w:r>
                      <w:rPr>
                        <w:szCs w:val="21"/>
                      </w:rPr>
                      <w:t>前十名无限售条件股东持股情况</w:t>
                    </w:r>
                  </w:p>
                </w:tc>
              </w:sdtContent>
            </w:sdt>
          </w:tr>
          <w:tr w:rsidR="00830E72" w14:paraId="4703E8E8" w14:textId="77777777" w:rsidTr="00A40D2A">
            <w:trPr>
              <w:cantSplit/>
            </w:trPr>
            <w:sdt>
              <w:sdtPr>
                <w:tag w:val="_PLD_6c8c7d50ba2b44858757eeaaa20b5499"/>
                <w:id w:val="743774928"/>
                <w:lock w:val="sdtLocked"/>
              </w:sdtPr>
              <w:sdtEndPr/>
              <w:sdtContent>
                <w:tc>
                  <w:tcPr>
                    <w:tcW w:w="5070" w:type="dxa"/>
                    <w:gridSpan w:val="2"/>
                    <w:vMerge w:val="restart"/>
                    <w:shd w:val="clear" w:color="auto" w:fill="auto"/>
                    <w:vAlign w:val="center"/>
                  </w:tcPr>
                  <w:p w14:paraId="5C1472E6" w14:textId="77777777" w:rsidR="00830E72" w:rsidRDefault="008344D8">
                    <w:pPr>
                      <w:jc w:val="center"/>
                      <w:rPr>
                        <w:color w:val="FF9900"/>
                        <w:szCs w:val="21"/>
                      </w:rPr>
                    </w:pPr>
                    <w:r>
                      <w:t>股东名称</w:t>
                    </w:r>
                  </w:p>
                </w:tc>
              </w:sdtContent>
            </w:sdt>
            <w:sdt>
              <w:sdtPr>
                <w:tag w:val="_PLD_e4987b1a07a6489c82ab5ef0aa3370ea"/>
                <w:id w:val="-202713531"/>
                <w:lock w:val="sdtLocked"/>
              </w:sdtPr>
              <w:sdtEndPr/>
              <w:sdtContent>
                <w:tc>
                  <w:tcPr>
                    <w:tcW w:w="3827" w:type="dxa"/>
                    <w:gridSpan w:val="3"/>
                    <w:vMerge w:val="restart"/>
                    <w:shd w:val="clear" w:color="auto" w:fill="auto"/>
                    <w:vAlign w:val="center"/>
                  </w:tcPr>
                  <w:p w14:paraId="1788B986" w14:textId="77777777" w:rsidR="00830E72" w:rsidRDefault="008344D8">
                    <w:pPr>
                      <w:jc w:val="center"/>
                      <w:rPr>
                        <w:color w:val="FF9900"/>
                        <w:szCs w:val="21"/>
                      </w:rPr>
                    </w:pPr>
                    <w:r>
                      <w:t>持有无限售条件流通股的数量</w:t>
                    </w:r>
                  </w:p>
                </w:tc>
              </w:sdtContent>
            </w:sdt>
            <w:sdt>
              <w:sdtPr>
                <w:tag w:val="_PLD_26ce78cac14a427ca05aa80b21b65936"/>
                <w:id w:val="1847903393"/>
                <w:lock w:val="sdtLocked"/>
              </w:sdtPr>
              <w:sdtEndPr/>
              <w:sdtContent>
                <w:tc>
                  <w:tcPr>
                    <w:tcW w:w="4252" w:type="dxa"/>
                    <w:gridSpan w:val="3"/>
                    <w:tcBorders>
                      <w:bottom w:val="single" w:sz="4" w:space="0" w:color="auto"/>
                    </w:tcBorders>
                    <w:shd w:val="clear" w:color="auto" w:fill="auto"/>
                    <w:vAlign w:val="center"/>
                  </w:tcPr>
                  <w:p w14:paraId="73420698" w14:textId="77777777" w:rsidR="00830E72" w:rsidRDefault="008344D8">
                    <w:pPr>
                      <w:jc w:val="center"/>
                      <w:rPr>
                        <w:color w:val="FF9900"/>
                        <w:szCs w:val="21"/>
                      </w:rPr>
                    </w:pPr>
                    <w:r>
                      <w:rPr>
                        <w:szCs w:val="21"/>
                      </w:rPr>
                      <w:t>股份种类</w:t>
                    </w:r>
                    <w:r>
                      <w:rPr>
                        <w:rFonts w:hint="eastAsia"/>
                        <w:szCs w:val="21"/>
                      </w:rPr>
                      <w:t>及数量</w:t>
                    </w:r>
                  </w:p>
                </w:tc>
              </w:sdtContent>
            </w:sdt>
          </w:tr>
          <w:tr w:rsidR="00830E72" w14:paraId="6180A865" w14:textId="77777777" w:rsidTr="00A40D2A">
            <w:trPr>
              <w:cantSplit/>
            </w:trPr>
            <w:tc>
              <w:tcPr>
                <w:tcW w:w="5070" w:type="dxa"/>
                <w:gridSpan w:val="2"/>
                <w:vMerge/>
                <w:shd w:val="clear" w:color="auto" w:fill="auto"/>
                <w:vAlign w:val="center"/>
              </w:tcPr>
              <w:p w14:paraId="7C0AF780" w14:textId="77777777" w:rsidR="00830E72" w:rsidRDefault="00830E72">
                <w:pPr>
                  <w:jc w:val="center"/>
                  <w:rPr>
                    <w:color w:val="FF9900"/>
                    <w:szCs w:val="21"/>
                  </w:rPr>
                </w:pPr>
              </w:p>
            </w:tc>
            <w:tc>
              <w:tcPr>
                <w:tcW w:w="3827" w:type="dxa"/>
                <w:gridSpan w:val="3"/>
                <w:vMerge/>
                <w:shd w:val="clear" w:color="auto" w:fill="auto"/>
                <w:vAlign w:val="center"/>
              </w:tcPr>
              <w:p w14:paraId="4BC5E6EE" w14:textId="77777777" w:rsidR="00830E72" w:rsidRDefault="00830E72">
                <w:pPr>
                  <w:jc w:val="center"/>
                  <w:rPr>
                    <w:color w:val="FF9900"/>
                    <w:szCs w:val="21"/>
                  </w:rPr>
                </w:pPr>
              </w:p>
            </w:tc>
            <w:sdt>
              <w:sdtPr>
                <w:tag w:val="_PLD_05580a00e3f942c0b2da618818a84669"/>
                <w:id w:val="-1277712764"/>
                <w:lock w:val="sdtLocked"/>
              </w:sdtPr>
              <w:sdtEndPr/>
              <w:sdtContent>
                <w:tc>
                  <w:tcPr>
                    <w:tcW w:w="2551" w:type="dxa"/>
                    <w:gridSpan w:val="2"/>
                    <w:shd w:val="clear" w:color="auto" w:fill="auto"/>
                    <w:vAlign w:val="center"/>
                  </w:tcPr>
                  <w:p w14:paraId="02391500" w14:textId="77777777" w:rsidR="00830E72" w:rsidRDefault="008344D8">
                    <w:pPr>
                      <w:jc w:val="center"/>
                      <w:rPr>
                        <w:color w:val="008000"/>
                        <w:szCs w:val="21"/>
                      </w:rPr>
                    </w:pPr>
                    <w:r>
                      <w:rPr>
                        <w:rFonts w:hint="eastAsia"/>
                        <w:szCs w:val="21"/>
                      </w:rPr>
                      <w:t>种类</w:t>
                    </w:r>
                  </w:p>
                </w:tc>
              </w:sdtContent>
            </w:sdt>
            <w:sdt>
              <w:sdtPr>
                <w:tag w:val="_PLD_7f8ec6251e234192b411b34b07ccd732"/>
                <w:id w:val="1756551354"/>
                <w:lock w:val="sdtLocked"/>
              </w:sdtPr>
              <w:sdtEndPr/>
              <w:sdtContent>
                <w:tc>
                  <w:tcPr>
                    <w:tcW w:w="1701" w:type="dxa"/>
                    <w:shd w:val="clear" w:color="auto" w:fill="auto"/>
                    <w:vAlign w:val="center"/>
                  </w:tcPr>
                  <w:p w14:paraId="62E760FD" w14:textId="77777777" w:rsidR="00830E72" w:rsidRDefault="008344D8">
                    <w:pPr>
                      <w:jc w:val="center"/>
                      <w:rPr>
                        <w:color w:val="008000"/>
                        <w:szCs w:val="21"/>
                      </w:rPr>
                    </w:pPr>
                    <w:r>
                      <w:rPr>
                        <w:rFonts w:hint="eastAsia"/>
                        <w:szCs w:val="21"/>
                      </w:rPr>
                      <w:t>数量</w:t>
                    </w:r>
                  </w:p>
                </w:tc>
              </w:sdtContent>
            </w:sdt>
          </w:tr>
          <w:sdt>
            <w:sdtPr>
              <w:rPr>
                <w:szCs w:val="21"/>
              </w:rPr>
              <w:alias w:val="前十名无限售条件股东持股情况"/>
              <w:tag w:val="_GBC_d4835fea183942b8823bf8913d1f2f26"/>
              <w:id w:val="1304195910"/>
              <w:lock w:val="sdtLocked"/>
            </w:sdtPr>
            <w:sdtEndPr/>
            <w:sdtContent>
              <w:tr w:rsidR="00830E72" w14:paraId="21DB13B4" w14:textId="77777777" w:rsidTr="00A40D2A">
                <w:trPr>
                  <w:cantSplit/>
                </w:trPr>
                <w:tc>
                  <w:tcPr>
                    <w:tcW w:w="5070" w:type="dxa"/>
                    <w:gridSpan w:val="2"/>
                    <w:shd w:val="clear" w:color="auto" w:fill="auto"/>
                    <w:vAlign w:val="center"/>
                  </w:tcPr>
                  <w:p w14:paraId="1FC91D69" w14:textId="77777777" w:rsidR="00830E72" w:rsidRDefault="008344D8">
                    <w:pPr>
                      <w:rPr>
                        <w:szCs w:val="21"/>
                      </w:rPr>
                    </w:pPr>
                    <w:r>
                      <w:t>安徽高新金通安益二期创业投资基金（有限合伙）</w:t>
                    </w:r>
                  </w:p>
                </w:tc>
                <w:tc>
                  <w:tcPr>
                    <w:tcW w:w="3827" w:type="dxa"/>
                    <w:gridSpan w:val="3"/>
                    <w:shd w:val="clear" w:color="auto" w:fill="auto"/>
                    <w:vAlign w:val="center"/>
                  </w:tcPr>
                  <w:p w14:paraId="0179FC25" w14:textId="77777777" w:rsidR="00830E72" w:rsidRDefault="008344D8">
                    <w:pPr>
                      <w:jc w:val="right"/>
                      <w:rPr>
                        <w:szCs w:val="21"/>
                      </w:rPr>
                    </w:pPr>
                    <w:r>
                      <w:t>13,322,600</w:t>
                    </w:r>
                  </w:p>
                </w:tc>
                <w:sdt>
                  <w:sdtPr>
                    <w:rPr>
                      <w:bCs/>
                      <w:szCs w:val="21"/>
                    </w:rPr>
                    <w:alias w:val="前十名无限售条件股东期末持有流通股的种类"/>
                    <w:tag w:val="_GBC_5d0d3dfc3b8545ce906ab8a21728fb94"/>
                    <w:id w:val="-133236547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551" w:type="dxa"/>
                        <w:gridSpan w:val="2"/>
                        <w:shd w:val="clear" w:color="auto" w:fill="auto"/>
                        <w:vAlign w:val="center"/>
                      </w:tcPr>
                      <w:p w14:paraId="3FCAD75B" w14:textId="77777777" w:rsidR="00830E72" w:rsidRDefault="008344D8">
                        <w:pPr>
                          <w:jc w:val="center"/>
                          <w:rPr>
                            <w:bCs/>
                            <w:szCs w:val="21"/>
                          </w:rPr>
                        </w:pPr>
                        <w:r>
                          <w:rPr>
                            <w:bCs/>
                            <w:szCs w:val="21"/>
                          </w:rPr>
                          <w:t>人民币普通股</w:t>
                        </w:r>
                      </w:p>
                    </w:tc>
                  </w:sdtContent>
                </w:sdt>
                <w:tc>
                  <w:tcPr>
                    <w:tcW w:w="1701" w:type="dxa"/>
                    <w:shd w:val="clear" w:color="auto" w:fill="auto"/>
                    <w:vAlign w:val="center"/>
                  </w:tcPr>
                  <w:p w14:paraId="63B49593" w14:textId="77777777" w:rsidR="00830E72" w:rsidRDefault="008344D8">
                    <w:pPr>
                      <w:jc w:val="right"/>
                      <w:rPr>
                        <w:szCs w:val="21"/>
                      </w:rPr>
                    </w:pPr>
                    <w:r>
                      <w:t>13,322,600</w:t>
                    </w:r>
                  </w:p>
                </w:tc>
              </w:tr>
            </w:sdtContent>
          </w:sdt>
          <w:sdt>
            <w:sdtPr>
              <w:rPr>
                <w:szCs w:val="21"/>
              </w:rPr>
              <w:alias w:val="前十名无限售条件股东持股情况"/>
              <w:tag w:val="_GBC_d4835fea183942b8823bf8913d1f2f26"/>
              <w:id w:val="1492370611"/>
              <w:lock w:val="sdtLocked"/>
            </w:sdtPr>
            <w:sdtEndPr/>
            <w:sdtContent>
              <w:tr w:rsidR="00830E72" w14:paraId="10864963" w14:textId="77777777" w:rsidTr="00A40D2A">
                <w:trPr>
                  <w:cantSplit/>
                </w:trPr>
                <w:tc>
                  <w:tcPr>
                    <w:tcW w:w="5070" w:type="dxa"/>
                    <w:gridSpan w:val="2"/>
                    <w:shd w:val="clear" w:color="auto" w:fill="auto"/>
                    <w:vAlign w:val="center"/>
                  </w:tcPr>
                  <w:p w14:paraId="6C8F980F" w14:textId="77777777" w:rsidR="00830E72" w:rsidRDefault="008344D8">
                    <w:pPr>
                      <w:rPr>
                        <w:szCs w:val="21"/>
                      </w:rPr>
                    </w:pPr>
                    <w:r>
                      <w:t>安徽安元投资基金有限公司</w:t>
                    </w:r>
                  </w:p>
                </w:tc>
                <w:tc>
                  <w:tcPr>
                    <w:tcW w:w="3827" w:type="dxa"/>
                    <w:gridSpan w:val="3"/>
                    <w:shd w:val="clear" w:color="auto" w:fill="auto"/>
                    <w:vAlign w:val="center"/>
                  </w:tcPr>
                  <w:p w14:paraId="5BC97614" w14:textId="77777777" w:rsidR="00830E72" w:rsidRDefault="008344D8">
                    <w:pPr>
                      <w:jc w:val="right"/>
                      <w:rPr>
                        <w:szCs w:val="21"/>
                      </w:rPr>
                    </w:pPr>
                    <w:r>
                      <w:t>12,869,800</w:t>
                    </w:r>
                  </w:p>
                </w:tc>
                <w:sdt>
                  <w:sdtPr>
                    <w:rPr>
                      <w:bCs/>
                      <w:szCs w:val="21"/>
                    </w:rPr>
                    <w:alias w:val="前十名无限售条件股东期末持有流通股的种类"/>
                    <w:tag w:val="_GBC_5d0d3dfc3b8545ce906ab8a21728fb94"/>
                    <w:id w:val="-1702006849"/>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551" w:type="dxa"/>
                        <w:gridSpan w:val="2"/>
                        <w:shd w:val="clear" w:color="auto" w:fill="auto"/>
                        <w:vAlign w:val="center"/>
                      </w:tcPr>
                      <w:p w14:paraId="5AC3B634" w14:textId="77777777" w:rsidR="00830E72" w:rsidRDefault="008344D8">
                        <w:pPr>
                          <w:jc w:val="center"/>
                          <w:rPr>
                            <w:bCs/>
                            <w:szCs w:val="21"/>
                          </w:rPr>
                        </w:pPr>
                        <w:r>
                          <w:rPr>
                            <w:bCs/>
                            <w:szCs w:val="21"/>
                          </w:rPr>
                          <w:t>人民币普通股</w:t>
                        </w:r>
                      </w:p>
                    </w:tc>
                  </w:sdtContent>
                </w:sdt>
                <w:tc>
                  <w:tcPr>
                    <w:tcW w:w="1701" w:type="dxa"/>
                    <w:shd w:val="clear" w:color="auto" w:fill="auto"/>
                    <w:vAlign w:val="center"/>
                  </w:tcPr>
                  <w:p w14:paraId="2131DA09" w14:textId="77777777" w:rsidR="00830E72" w:rsidRDefault="008344D8">
                    <w:pPr>
                      <w:jc w:val="right"/>
                      <w:rPr>
                        <w:szCs w:val="21"/>
                      </w:rPr>
                    </w:pPr>
                    <w:r>
                      <w:t>12,869,800</w:t>
                    </w:r>
                  </w:p>
                </w:tc>
              </w:tr>
            </w:sdtContent>
          </w:sdt>
          <w:sdt>
            <w:sdtPr>
              <w:rPr>
                <w:szCs w:val="21"/>
              </w:rPr>
              <w:alias w:val="前十名无限售条件股东持股情况"/>
              <w:tag w:val="_GBC_d4835fea183942b8823bf8913d1f2f26"/>
              <w:id w:val="26068409"/>
              <w:lock w:val="sdtLocked"/>
            </w:sdtPr>
            <w:sdtEndPr/>
            <w:sdtContent>
              <w:tr w:rsidR="00830E72" w14:paraId="0D436C8C" w14:textId="77777777" w:rsidTr="00A40D2A">
                <w:trPr>
                  <w:cantSplit/>
                </w:trPr>
                <w:tc>
                  <w:tcPr>
                    <w:tcW w:w="5070" w:type="dxa"/>
                    <w:gridSpan w:val="2"/>
                    <w:shd w:val="clear" w:color="auto" w:fill="auto"/>
                    <w:vAlign w:val="center"/>
                  </w:tcPr>
                  <w:p w14:paraId="0ABA24B3" w14:textId="77777777" w:rsidR="00830E72" w:rsidRDefault="008344D8">
                    <w:pPr>
                      <w:rPr>
                        <w:szCs w:val="21"/>
                      </w:rPr>
                    </w:pPr>
                    <w:r>
                      <w:t>国元股权投资有限公司</w:t>
                    </w:r>
                  </w:p>
                </w:tc>
                <w:tc>
                  <w:tcPr>
                    <w:tcW w:w="3827" w:type="dxa"/>
                    <w:gridSpan w:val="3"/>
                    <w:shd w:val="clear" w:color="auto" w:fill="auto"/>
                    <w:vAlign w:val="center"/>
                  </w:tcPr>
                  <w:p w14:paraId="221E9051" w14:textId="77777777" w:rsidR="00830E72" w:rsidRDefault="008344D8">
                    <w:pPr>
                      <w:jc w:val="right"/>
                      <w:rPr>
                        <w:szCs w:val="21"/>
                      </w:rPr>
                    </w:pPr>
                    <w:r>
                      <w:t>8,882,400</w:t>
                    </w:r>
                  </w:p>
                </w:tc>
                <w:sdt>
                  <w:sdtPr>
                    <w:rPr>
                      <w:bCs/>
                      <w:szCs w:val="21"/>
                    </w:rPr>
                    <w:alias w:val="前十名无限售条件股东期末持有流通股的种类"/>
                    <w:tag w:val="_GBC_5d0d3dfc3b8545ce906ab8a21728fb94"/>
                    <w:id w:val="1529990167"/>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551" w:type="dxa"/>
                        <w:gridSpan w:val="2"/>
                        <w:shd w:val="clear" w:color="auto" w:fill="auto"/>
                        <w:vAlign w:val="center"/>
                      </w:tcPr>
                      <w:p w14:paraId="09932A21" w14:textId="77777777" w:rsidR="00830E72" w:rsidRDefault="008344D8">
                        <w:pPr>
                          <w:jc w:val="center"/>
                          <w:rPr>
                            <w:bCs/>
                            <w:szCs w:val="21"/>
                          </w:rPr>
                        </w:pPr>
                        <w:r>
                          <w:rPr>
                            <w:bCs/>
                            <w:szCs w:val="21"/>
                          </w:rPr>
                          <w:t>人民币普通股</w:t>
                        </w:r>
                      </w:p>
                    </w:tc>
                  </w:sdtContent>
                </w:sdt>
                <w:tc>
                  <w:tcPr>
                    <w:tcW w:w="1701" w:type="dxa"/>
                    <w:shd w:val="clear" w:color="auto" w:fill="auto"/>
                    <w:vAlign w:val="center"/>
                  </w:tcPr>
                  <w:p w14:paraId="6DC3D807" w14:textId="77777777" w:rsidR="00830E72" w:rsidRDefault="008344D8">
                    <w:pPr>
                      <w:jc w:val="right"/>
                      <w:rPr>
                        <w:szCs w:val="21"/>
                      </w:rPr>
                    </w:pPr>
                    <w:r>
                      <w:t>8,882,400</w:t>
                    </w:r>
                  </w:p>
                </w:tc>
              </w:tr>
            </w:sdtContent>
          </w:sdt>
          <w:sdt>
            <w:sdtPr>
              <w:rPr>
                <w:szCs w:val="21"/>
              </w:rPr>
              <w:alias w:val="前十名无限售条件股东持股情况"/>
              <w:tag w:val="_GBC_d4835fea183942b8823bf8913d1f2f26"/>
              <w:id w:val="1384365776"/>
              <w:lock w:val="sdtLocked"/>
            </w:sdtPr>
            <w:sdtEndPr/>
            <w:sdtContent>
              <w:tr w:rsidR="00830E72" w14:paraId="76B286D4" w14:textId="77777777" w:rsidTr="00A40D2A">
                <w:trPr>
                  <w:cantSplit/>
                </w:trPr>
                <w:tc>
                  <w:tcPr>
                    <w:tcW w:w="5070" w:type="dxa"/>
                    <w:gridSpan w:val="2"/>
                    <w:shd w:val="clear" w:color="auto" w:fill="auto"/>
                    <w:vAlign w:val="center"/>
                  </w:tcPr>
                  <w:p w14:paraId="6EA7EED4" w14:textId="77777777" w:rsidR="00830E72" w:rsidRDefault="008344D8">
                    <w:pPr>
                      <w:rPr>
                        <w:szCs w:val="21"/>
                      </w:rPr>
                    </w:pPr>
                    <w:r>
                      <w:t>安徽金牛国轩新能源产业投资合伙企业（有限合伙）</w:t>
                    </w:r>
                  </w:p>
                </w:tc>
                <w:tc>
                  <w:tcPr>
                    <w:tcW w:w="3827" w:type="dxa"/>
                    <w:gridSpan w:val="3"/>
                    <w:shd w:val="clear" w:color="auto" w:fill="auto"/>
                    <w:vAlign w:val="center"/>
                  </w:tcPr>
                  <w:p w14:paraId="3B822F28" w14:textId="77777777" w:rsidR="00830E72" w:rsidRDefault="008344D8">
                    <w:pPr>
                      <w:jc w:val="right"/>
                      <w:rPr>
                        <w:szCs w:val="21"/>
                      </w:rPr>
                    </w:pPr>
                    <w:r>
                      <w:t>8,250,000</w:t>
                    </w:r>
                  </w:p>
                </w:tc>
                <w:sdt>
                  <w:sdtPr>
                    <w:rPr>
                      <w:bCs/>
                      <w:szCs w:val="21"/>
                    </w:rPr>
                    <w:alias w:val="前十名无限售条件股东期末持有流通股的种类"/>
                    <w:tag w:val="_GBC_5d0d3dfc3b8545ce906ab8a21728fb94"/>
                    <w:id w:val="-141755393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551" w:type="dxa"/>
                        <w:gridSpan w:val="2"/>
                        <w:shd w:val="clear" w:color="auto" w:fill="auto"/>
                        <w:vAlign w:val="center"/>
                      </w:tcPr>
                      <w:p w14:paraId="0C57D9FE" w14:textId="77777777" w:rsidR="00830E72" w:rsidRDefault="008344D8">
                        <w:pPr>
                          <w:jc w:val="center"/>
                          <w:rPr>
                            <w:bCs/>
                            <w:szCs w:val="21"/>
                          </w:rPr>
                        </w:pPr>
                        <w:r>
                          <w:rPr>
                            <w:bCs/>
                            <w:szCs w:val="21"/>
                          </w:rPr>
                          <w:t>人民币普通股</w:t>
                        </w:r>
                      </w:p>
                    </w:tc>
                  </w:sdtContent>
                </w:sdt>
                <w:tc>
                  <w:tcPr>
                    <w:tcW w:w="1701" w:type="dxa"/>
                    <w:shd w:val="clear" w:color="auto" w:fill="auto"/>
                    <w:vAlign w:val="center"/>
                  </w:tcPr>
                  <w:p w14:paraId="21528B30" w14:textId="77777777" w:rsidR="00830E72" w:rsidRDefault="008344D8">
                    <w:pPr>
                      <w:jc w:val="right"/>
                      <w:rPr>
                        <w:szCs w:val="21"/>
                      </w:rPr>
                    </w:pPr>
                    <w:r>
                      <w:t>8,250,000</w:t>
                    </w:r>
                  </w:p>
                </w:tc>
              </w:tr>
            </w:sdtContent>
          </w:sdt>
          <w:sdt>
            <w:sdtPr>
              <w:rPr>
                <w:szCs w:val="21"/>
              </w:rPr>
              <w:alias w:val="前十名无限售条件股东持股情况"/>
              <w:tag w:val="_GBC_d4835fea183942b8823bf8913d1f2f26"/>
              <w:id w:val="-42534636"/>
              <w:lock w:val="sdtLocked"/>
            </w:sdtPr>
            <w:sdtEndPr/>
            <w:sdtContent>
              <w:tr w:rsidR="00830E72" w14:paraId="5F14170A" w14:textId="77777777" w:rsidTr="00A40D2A">
                <w:trPr>
                  <w:cantSplit/>
                </w:trPr>
                <w:tc>
                  <w:tcPr>
                    <w:tcW w:w="5070" w:type="dxa"/>
                    <w:gridSpan w:val="2"/>
                    <w:shd w:val="clear" w:color="auto" w:fill="auto"/>
                    <w:vAlign w:val="center"/>
                  </w:tcPr>
                  <w:p w14:paraId="39EB5D6A" w14:textId="77777777" w:rsidR="00830E72" w:rsidRDefault="008344D8">
                    <w:pPr>
                      <w:rPr>
                        <w:szCs w:val="21"/>
                      </w:rPr>
                    </w:pPr>
                    <w:r>
                      <w:t>安徽安华基金投资有限公司</w:t>
                    </w:r>
                  </w:p>
                </w:tc>
                <w:tc>
                  <w:tcPr>
                    <w:tcW w:w="3827" w:type="dxa"/>
                    <w:gridSpan w:val="3"/>
                    <w:shd w:val="clear" w:color="auto" w:fill="auto"/>
                    <w:vAlign w:val="center"/>
                  </w:tcPr>
                  <w:p w14:paraId="156B82A7" w14:textId="77777777" w:rsidR="00830E72" w:rsidRDefault="008344D8">
                    <w:pPr>
                      <w:jc w:val="right"/>
                      <w:rPr>
                        <w:szCs w:val="21"/>
                      </w:rPr>
                    </w:pPr>
                    <w:r>
                      <w:t>7,010,000</w:t>
                    </w:r>
                  </w:p>
                </w:tc>
                <w:sdt>
                  <w:sdtPr>
                    <w:rPr>
                      <w:bCs/>
                      <w:szCs w:val="21"/>
                    </w:rPr>
                    <w:alias w:val="前十名无限售条件股东期末持有流通股的种类"/>
                    <w:tag w:val="_GBC_5d0d3dfc3b8545ce906ab8a21728fb94"/>
                    <w:id w:val="-181100774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551" w:type="dxa"/>
                        <w:gridSpan w:val="2"/>
                        <w:shd w:val="clear" w:color="auto" w:fill="auto"/>
                        <w:vAlign w:val="center"/>
                      </w:tcPr>
                      <w:p w14:paraId="587FFDA9" w14:textId="77777777" w:rsidR="00830E72" w:rsidRDefault="008344D8">
                        <w:pPr>
                          <w:jc w:val="center"/>
                          <w:rPr>
                            <w:bCs/>
                            <w:szCs w:val="21"/>
                          </w:rPr>
                        </w:pPr>
                        <w:r>
                          <w:rPr>
                            <w:bCs/>
                            <w:szCs w:val="21"/>
                          </w:rPr>
                          <w:t>人民币普通股</w:t>
                        </w:r>
                      </w:p>
                    </w:tc>
                  </w:sdtContent>
                </w:sdt>
                <w:tc>
                  <w:tcPr>
                    <w:tcW w:w="1701" w:type="dxa"/>
                    <w:shd w:val="clear" w:color="auto" w:fill="auto"/>
                    <w:vAlign w:val="center"/>
                  </w:tcPr>
                  <w:p w14:paraId="413310B0" w14:textId="77777777" w:rsidR="00830E72" w:rsidRDefault="008344D8">
                    <w:pPr>
                      <w:jc w:val="right"/>
                      <w:rPr>
                        <w:szCs w:val="21"/>
                      </w:rPr>
                    </w:pPr>
                    <w:r>
                      <w:t>7,010,000</w:t>
                    </w:r>
                  </w:p>
                </w:tc>
              </w:tr>
            </w:sdtContent>
          </w:sdt>
          <w:sdt>
            <w:sdtPr>
              <w:rPr>
                <w:szCs w:val="21"/>
              </w:rPr>
              <w:alias w:val="前十名无限售条件股东持股情况"/>
              <w:tag w:val="_GBC_d4835fea183942b8823bf8913d1f2f26"/>
              <w:id w:val="-1023242944"/>
              <w:lock w:val="sdtLocked"/>
            </w:sdtPr>
            <w:sdtEndPr/>
            <w:sdtContent>
              <w:tr w:rsidR="00830E72" w14:paraId="550D68AD" w14:textId="77777777" w:rsidTr="00A40D2A">
                <w:trPr>
                  <w:cantSplit/>
                </w:trPr>
                <w:tc>
                  <w:tcPr>
                    <w:tcW w:w="5070" w:type="dxa"/>
                    <w:gridSpan w:val="2"/>
                    <w:shd w:val="clear" w:color="auto" w:fill="auto"/>
                    <w:vAlign w:val="center"/>
                  </w:tcPr>
                  <w:p w14:paraId="20C4B214" w14:textId="77777777" w:rsidR="00830E72" w:rsidRDefault="008344D8">
                    <w:pPr>
                      <w:rPr>
                        <w:szCs w:val="21"/>
                      </w:rPr>
                    </w:pPr>
                    <w:r>
                      <w:t>刘远游</w:t>
                    </w:r>
                  </w:p>
                </w:tc>
                <w:tc>
                  <w:tcPr>
                    <w:tcW w:w="3827" w:type="dxa"/>
                    <w:gridSpan w:val="3"/>
                    <w:shd w:val="clear" w:color="auto" w:fill="auto"/>
                    <w:vAlign w:val="center"/>
                  </w:tcPr>
                  <w:p w14:paraId="34F05BC5" w14:textId="77777777" w:rsidR="00830E72" w:rsidRDefault="008344D8">
                    <w:pPr>
                      <w:jc w:val="right"/>
                      <w:rPr>
                        <w:szCs w:val="21"/>
                      </w:rPr>
                    </w:pPr>
                    <w:r>
                      <w:t>1,070,000</w:t>
                    </w:r>
                  </w:p>
                </w:tc>
                <w:sdt>
                  <w:sdtPr>
                    <w:rPr>
                      <w:bCs/>
                      <w:szCs w:val="21"/>
                    </w:rPr>
                    <w:alias w:val="前十名无限售条件股东期末持有流通股的种类"/>
                    <w:tag w:val="_GBC_5d0d3dfc3b8545ce906ab8a21728fb94"/>
                    <w:id w:val="-346406777"/>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551" w:type="dxa"/>
                        <w:gridSpan w:val="2"/>
                        <w:shd w:val="clear" w:color="auto" w:fill="auto"/>
                        <w:vAlign w:val="center"/>
                      </w:tcPr>
                      <w:p w14:paraId="03FD5861" w14:textId="77777777" w:rsidR="00830E72" w:rsidRDefault="008344D8">
                        <w:pPr>
                          <w:jc w:val="center"/>
                          <w:rPr>
                            <w:bCs/>
                            <w:szCs w:val="21"/>
                          </w:rPr>
                        </w:pPr>
                        <w:r>
                          <w:rPr>
                            <w:bCs/>
                            <w:szCs w:val="21"/>
                          </w:rPr>
                          <w:t>人民币普通股</w:t>
                        </w:r>
                      </w:p>
                    </w:tc>
                  </w:sdtContent>
                </w:sdt>
                <w:tc>
                  <w:tcPr>
                    <w:tcW w:w="1701" w:type="dxa"/>
                    <w:shd w:val="clear" w:color="auto" w:fill="auto"/>
                    <w:vAlign w:val="center"/>
                  </w:tcPr>
                  <w:p w14:paraId="2934437A" w14:textId="77777777" w:rsidR="00830E72" w:rsidRDefault="008344D8">
                    <w:pPr>
                      <w:jc w:val="right"/>
                      <w:rPr>
                        <w:szCs w:val="21"/>
                      </w:rPr>
                    </w:pPr>
                    <w:r>
                      <w:t>1,070,000</w:t>
                    </w:r>
                  </w:p>
                </w:tc>
              </w:tr>
            </w:sdtContent>
          </w:sdt>
          <w:sdt>
            <w:sdtPr>
              <w:rPr>
                <w:szCs w:val="21"/>
              </w:rPr>
              <w:alias w:val="前十名无限售条件股东持股情况"/>
              <w:tag w:val="_GBC_d4835fea183942b8823bf8913d1f2f26"/>
              <w:id w:val="-1105274923"/>
              <w:lock w:val="sdtLocked"/>
            </w:sdtPr>
            <w:sdtEndPr/>
            <w:sdtContent>
              <w:tr w:rsidR="00830E72" w14:paraId="79150661" w14:textId="77777777" w:rsidTr="00A40D2A">
                <w:trPr>
                  <w:cantSplit/>
                </w:trPr>
                <w:tc>
                  <w:tcPr>
                    <w:tcW w:w="5070" w:type="dxa"/>
                    <w:gridSpan w:val="2"/>
                    <w:shd w:val="clear" w:color="auto" w:fill="auto"/>
                    <w:vAlign w:val="center"/>
                  </w:tcPr>
                  <w:p w14:paraId="7E758804" w14:textId="77777777" w:rsidR="00830E72" w:rsidRDefault="008344D8">
                    <w:pPr>
                      <w:rPr>
                        <w:szCs w:val="21"/>
                      </w:rPr>
                    </w:pPr>
                    <w:r>
                      <w:t>沈同彦</w:t>
                    </w:r>
                  </w:p>
                </w:tc>
                <w:tc>
                  <w:tcPr>
                    <w:tcW w:w="3827" w:type="dxa"/>
                    <w:gridSpan w:val="3"/>
                    <w:shd w:val="clear" w:color="auto" w:fill="auto"/>
                    <w:vAlign w:val="center"/>
                  </w:tcPr>
                  <w:p w14:paraId="7DEFF31E" w14:textId="77777777" w:rsidR="00830E72" w:rsidRDefault="008344D8">
                    <w:pPr>
                      <w:jc w:val="right"/>
                      <w:rPr>
                        <w:szCs w:val="21"/>
                      </w:rPr>
                    </w:pPr>
                    <w:r>
                      <w:t>980,000</w:t>
                    </w:r>
                  </w:p>
                </w:tc>
                <w:sdt>
                  <w:sdtPr>
                    <w:rPr>
                      <w:bCs/>
                      <w:szCs w:val="21"/>
                    </w:rPr>
                    <w:alias w:val="前十名无限售条件股东期末持有流通股的种类"/>
                    <w:tag w:val="_GBC_5d0d3dfc3b8545ce906ab8a21728fb94"/>
                    <w:id w:val="708689203"/>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551" w:type="dxa"/>
                        <w:gridSpan w:val="2"/>
                        <w:shd w:val="clear" w:color="auto" w:fill="auto"/>
                        <w:vAlign w:val="center"/>
                      </w:tcPr>
                      <w:p w14:paraId="794EB4DD" w14:textId="77777777" w:rsidR="00830E72" w:rsidRDefault="008344D8">
                        <w:pPr>
                          <w:jc w:val="center"/>
                          <w:rPr>
                            <w:bCs/>
                            <w:szCs w:val="21"/>
                          </w:rPr>
                        </w:pPr>
                        <w:r>
                          <w:rPr>
                            <w:bCs/>
                            <w:szCs w:val="21"/>
                          </w:rPr>
                          <w:t>人民币普通股</w:t>
                        </w:r>
                      </w:p>
                    </w:tc>
                  </w:sdtContent>
                </w:sdt>
                <w:tc>
                  <w:tcPr>
                    <w:tcW w:w="1701" w:type="dxa"/>
                    <w:shd w:val="clear" w:color="auto" w:fill="auto"/>
                    <w:vAlign w:val="center"/>
                  </w:tcPr>
                  <w:p w14:paraId="5B7D82F0" w14:textId="77777777" w:rsidR="00830E72" w:rsidRDefault="008344D8">
                    <w:pPr>
                      <w:jc w:val="right"/>
                      <w:rPr>
                        <w:szCs w:val="21"/>
                      </w:rPr>
                    </w:pPr>
                    <w:r>
                      <w:t>980,000</w:t>
                    </w:r>
                  </w:p>
                </w:tc>
              </w:tr>
            </w:sdtContent>
          </w:sdt>
          <w:sdt>
            <w:sdtPr>
              <w:rPr>
                <w:szCs w:val="21"/>
              </w:rPr>
              <w:alias w:val="前十名无限售条件股东持股情况"/>
              <w:tag w:val="_GBC_d4835fea183942b8823bf8913d1f2f26"/>
              <w:id w:val="2040550142"/>
              <w:lock w:val="sdtLocked"/>
            </w:sdtPr>
            <w:sdtEndPr/>
            <w:sdtContent>
              <w:tr w:rsidR="00830E72" w14:paraId="26EE1A4A" w14:textId="77777777" w:rsidTr="00A40D2A">
                <w:trPr>
                  <w:cantSplit/>
                </w:trPr>
                <w:tc>
                  <w:tcPr>
                    <w:tcW w:w="5070" w:type="dxa"/>
                    <w:gridSpan w:val="2"/>
                    <w:shd w:val="clear" w:color="auto" w:fill="auto"/>
                    <w:vAlign w:val="center"/>
                  </w:tcPr>
                  <w:p w14:paraId="36A2A53C" w14:textId="77777777" w:rsidR="00830E72" w:rsidRDefault="008344D8">
                    <w:pPr>
                      <w:rPr>
                        <w:szCs w:val="21"/>
                      </w:rPr>
                    </w:pPr>
                    <w:r>
                      <w:t>交通银行股份有限公司－广发中证基建工程指数型发起式证券投资基金</w:t>
                    </w:r>
                  </w:p>
                </w:tc>
                <w:tc>
                  <w:tcPr>
                    <w:tcW w:w="3827" w:type="dxa"/>
                    <w:gridSpan w:val="3"/>
                    <w:shd w:val="clear" w:color="auto" w:fill="auto"/>
                    <w:vAlign w:val="center"/>
                  </w:tcPr>
                  <w:p w14:paraId="18A9BB27" w14:textId="77777777" w:rsidR="00830E72" w:rsidRDefault="008344D8">
                    <w:pPr>
                      <w:jc w:val="right"/>
                      <w:rPr>
                        <w:szCs w:val="21"/>
                      </w:rPr>
                    </w:pPr>
                    <w:r>
                      <w:t>944,300</w:t>
                    </w:r>
                  </w:p>
                </w:tc>
                <w:sdt>
                  <w:sdtPr>
                    <w:rPr>
                      <w:bCs/>
                      <w:szCs w:val="21"/>
                    </w:rPr>
                    <w:alias w:val="前十名无限售条件股东期末持有流通股的种类"/>
                    <w:tag w:val="_GBC_5d0d3dfc3b8545ce906ab8a21728fb94"/>
                    <w:id w:val="204478266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551" w:type="dxa"/>
                        <w:gridSpan w:val="2"/>
                        <w:shd w:val="clear" w:color="auto" w:fill="auto"/>
                        <w:vAlign w:val="center"/>
                      </w:tcPr>
                      <w:p w14:paraId="427D7E2A" w14:textId="77777777" w:rsidR="00830E72" w:rsidRDefault="008344D8">
                        <w:pPr>
                          <w:jc w:val="center"/>
                          <w:rPr>
                            <w:bCs/>
                            <w:szCs w:val="21"/>
                          </w:rPr>
                        </w:pPr>
                        <w:r>
                          <w:rPr>
                            <w:bCs/>
                            <w:szCs w:val="21"/>
                          </w:rPr>
                          <w:t>人民币普通股</w:t>
                        </w:r>
                      </w:p>
                    </w:tc>
                  </w:sdtContent>
                </w:sdt>
                <w:tc>
                  <w:tcPr>
                    <w:tcW w:w="1701" w:type="dxa"/>
                    <w:shd w:val="clear" w:color="auto" w:fill="auto"/>
                    <w:vAlign w:val="center"/>
                  </w:tcPr>
                  <w:p w14:paraId="635DF788" w14:textId="77777777" w:rsidR="00830E72" w:rsidRDefault="008344D8">
                    <w:pPr>
                      <w:jc w:val="right"/>
                      <w:rPr>
                        <w:szCs w:val="21"/>
                      </w:rPr>
                    </w:pPr>
                    <w:r>
                      <w:t>944,300</w:t>
                    </w:r>
                  </w:p>
                </w:tc>
              </w:tr>
            </w:sdtContent>
          </w:sdt>
          <w:sdt>
            <w:sdtPr>
              <w:rPr>
                <w:szCs w:val="21"/>
              </w:rPr>
              <w:alias w:val="前十名无限售条件股东持股情况"/>
              <w:tag w:val="_GBC_d4835fea183942b8823bf8913d1f2f26"/>
              <w:id w:val="-1456781890"/>
              <w:lock w:val="sdtLocked"/>
            </w:sdtPr>
            <w:sdtEndPr/>
            <w:sdtContent>
              <w:tr w:rsidR="00830E72" w14:paraId="0E74E755" w14:textId="77777777" w:rsidTr="00A40D2A">
                <w:trPr>
                  <w:cantSplit/>
                </w:trPr>
                <w:tc>
                  <w:tcPr>
                    <w:tcW w:w="5070" w:type="dxa"/>
                    <w:gridSpan w:val="2"/>
                    <w:shd w:val="clear" w:color="auto" w:fill="auto"/>
                    <w:vAlign w:val="center"/>
                  </w:tcPr>
                  <w:p w14:paraId="1773425B" w14:textId="77777777" w:rsidR="00830E72" w:rsidRDefault="008344D8">
                    <w:pPr>
                      <w:rPr>
                        <w:szCs w:val="21"/>
                      </w:rPr>
                    </w:pPr>
                    <w:r>
                      <w:t>金梅恩</w:t>
                    </w:r>
                  </w:p>
                </w:tc>
                <w:tc>
                  <w:tcPr>
                    <w:tcW w:w="3827" w:type="dxa"/>
                    <w:gridSpan w:val="3"/>
                    <w:shd w:val="clear" w:color="auto" w:fill="auto"/>
                    <w:vAlign w:val="center"/>
                  </w:tcPr>
                  <w:p w14:paraId="3BC55CC0" w14:textId="77777777" w:rsidR="00830E72" w:rsidRDefault="008344D8">
                    <w:pPr>
                      <w:jc w:val="right"/>
                      <w:rPr>
                        <w:szCs w:val="21"/>
                      </w:rPr>
                    </w:pPr>
                    <w:r>
                      <w:t>836,000</w:t>
                    </w:r>
                  </w:p>
                </w:tc>
                <w:sdt>
                  <w:sdtPr>
                    <w:rPr>
                      <w:bCs/>
                      <w:szCs w:val="21"/>
                    </w:rPr>
                    <w:alias w:val="前十名无限售条件股东期末持有流通股的种类"/>
                    <w:tag w:val="_GBC_5d0d3dfc3b8545ce906ab8a21728fb94"/>
                    <w:id w:val="78177016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551" w:type="dxa"/>
                        <w:gridSpan w:val="2"/>
                        <w:shd w:val="clear" w:color="auto" w:fill="auto"/>
                        <w:vAlign w:val="center"/>
                      </w:tcPr>
                      <w:p w14:paraId="1D83F45D" w14:textId="77777777" w:rsidR="00830E72" w:rsidRDefault="008344D8">
                        <w:pPr>
                          <w:jc w:val="center"/>
                          <w:rPr>
                            <w:bCs/>
                            <w:szCs w:val="21"/>
                          </w:rPr>
                        </w:pPr>
                        <w:r>
                          <w:rPr>
                            <w:bCs/>
                            <w:szCs w:val="21"/>
                          </w:rPr>
                          <w:t>人民币普通股</w:t>
                        </w:r>
                      </w:p>
                    </w:tc>
                  </w:sdtContent>
                </w:sdt>
                <w:tc>
                  <w:tcPr>
                    <w:tcW w:w="1701" w:type="dxa"/>
                    <w:shd w:val="clear" w:color="auto" w:fill="auto"/>
                    <w:vAlign w:val="center"/>
                  </w:tcPr>
                  <w:p w14:paraId="6A42599E" w14:textId="77777777" w:rsidR="00830E72" w:rsidRDefault="008344D8">
                    <w:pPr>
                      <w:jc w:val="right"/>
                      <w:rPr>
                        <w:szCs w:val="21"/>
                      </w:rPr>
                    </w:pPr>
                    <w:r>
                      <w:t>836,000</w:t>
                    </w:r>
                  </w:p>
                </w:tc>
              </w:tr>
            </w:sdtContent>
          </w:sdt>
          <w:sdt>
            <w:sdtPr>
              <w:rPr>
                <w:szCs w:val="21"/>
              </w:rPr>
              <w:alias w:val="前十名无限售条件股东持股情况"/>
              <w:tag w:val="_GBC_d4835fea183942b8823bf8913d1f2f26"/>
              <w:id w:val="1729965539"/>
              <w:lock w:val="sdtLocked"/>
            </w:sdtPr>
            <w:sdtEndPr/>
            <w:sdtContent>
              <w:tr w:rsidR="00830E72" w14:paraId="1ADD53A2" w14:textId="77777777" w:rsidTr="00A40D2A">
                <w:trPr>
                  <w:cantSplit/>
                </w:trPr>
                <w:tc>
                  <w:tcPr>
                    <w:tcW w:w="5070" w:type="dxa"/>
                    <w:gridSpan w:val="2"/>
                    <w:shd w:val="clear" w:color="auto" w:fill="auto"/>
                    <w:vAlign w:val="center"/>
                  </w:tcPr>
                  <w:p w14:paraId="35DB4EB1" w14:textId="77777777" w:rsidR="00830E72" w:rsidRDefault="008344D8">
                    <w:pPr>
                      <w:rPr>
                        <w:szCs w:val="21"/>
                      </w:rPr>
                    </w:pPr>
                    <w:r>
                      <w:t>施燕红</w:t>
                    </w:r>
                  </w:p>
                </w:tc>
                <w:tc>
                  <w:tcPr>
                    <w:tcW w:w="3827" w:type="dxa"/>
                    <w:gridSpan w:val="3"/>
                    <w:shd w:val="clear" w:color="auto" w:fill="auto"/>
                    <w:vAlign w:val="center"/>
                  </w:tcPr>
                  <w:p w14:paraId="3966B996" w14:textId="77777777" w:rsidR="00830E72" w:rsidRDefault="008344D8">
                    <w:pPr>
                      <w:jc w:val="right"/>
                      <w:rPr>
                        <w:szCs w:val="21"/>
                      </w:rPr>
                    </w:pPr>
                    <w:r>
                      <w:t>764,827</w:t>
                    </w:r>
                  </w:p>
                </w:tc>
                <w:sdt>
                  <w:sdtPr>
                    <w:rPr>
                      <w:bCs/>
                      <w:szCs w:val="21"/>
                    </w:rPr>
                    <w:alias w:val="前十名无限售条件股东期末持有流通股的种类"/>
                    <w:tag w:val="_GBC_5d0d3dfc3b8545ce906ab8a21728fb94"/>
                    <w:id w:val="-56795906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551" w:type="dxa"/>
                        <w:gridSpan w:val="2"/>
                        <w:shd w:val="clear" w:color="auto" w:fill="auto"/>
                        <w:vAlign w:val="center"/>
                      </w:tcPr>
                      <w:p w14:paraId="34EA8ECD" w14:textId="77777777" w:rsidR="00830E72" w:rsidRDefault="008344D8">
                        <w:pPr>
                          <w:jc w:val="center"/>
                          <w:rPr>
                            <w:bCs/>
                            <w:szCs w:val="21"/>
                          </w:rPr>
                        </w:pPr>
                        <w:r>
                          <w:rPr>
                            <w:bCs/>
                            <w:szCs w:val="21"/>
                          </w:rPr>
                          <w:t>人民币普通股</w:t>
                        </w:r>
                      </w:p>
                    </w:tc>
                  </w:sdtContent>
                </w:sdt>
                <w:tc>
                  <w:tcPr>
                    <w:tcW w:w="1701" w:type="dxa"/>
                    <w:shd w:val="clear" w:color="auto" w:fill="auto"/>
                    <w:vAlign w:val="center"/>
                  </w:tcPr>
                  <w:p w14:paraId="25752A1D" w14:textId="77777777" w:rsidR="00830E72" w:rsidRDefault="008344D8">
                    <w:pPr>
                      <w:jc w:val="right"/>
                      <w:rPr>
                        <w:szCs w:val="21"/>
                      </w:rPr>
                    </w:pPr>
                    <w:r>
                      <w:t>764,827</w:t>
                    </w:r>
                  </w:p>
                </w:tc>
              </w:tr>
            </w:sdtContent>
          </w:sdt>
          <w:tr w:rsidR="00830E72" w14:paraId="294698DE" w14:textId="77777777" w:rsidTr="00A40D2A">
            <w:trPr>
              <w:cantSplit/>
            </w:trPr>
            <w:tc>
              <w:tcPr>
                <w:tcW w:w="5070" w:type="dxa"/>
                <w:gridSpan w:val="2"/>
                <w:shd w:val="clear" w:color="auto" w:fill="auto"/>
                <w:vAlign w:val="center"/>
              </w:tcPr>
              <w:sdt>
                <w:sdtPr>
                  <w:rPr>
                    <w:rFonts w:hint="eastAsia"/>
                  </w:rPr>
                  <w:tag w:val="_PLD_4b46a710569e470996b1037551fc02bf"/>
                  <w:id w:val="-1082068673"/>
                  <w:lock w:val="sdtLocked"/>
                </w:sdtPr>
                <w:sdtEndPr/>
                <w:sdtContent>
                  <w:p w14:paraId="37DE3110" w14:textId="77777777" w:rsidR="00830E72" w:rsidRDefault="008344D8">
                    <w:pPr>
                      <w:rPr>
                        <w:szCs w:val="21"/>
                      </w:rPr>
                    </w:pPr>
                    <w:r>
                      <w:rPr>
                        <w:rFonts w:hint="eastAsia"/>
                      </w:rPr>
                      <w:t>前十名股东中回购专户情况说明</w:t>
                    </w:r>
                  </w:p>
                </w:sdtContent>
              </w:sdt>
            </w:tc>
            <w:tc>
              <w:tcPr>
                <w:tcW w:w="8079" w:type="dxa"/>
                <w:gridSpan w:val="6"/>
                <w:shd w:val="clear" w:color="auto" w:fill="auto"/>
                <w:vAlign w:val="center"/>
              </w:tcPr>
              <w:p w14:paraId="620D0A07" w14:textId="77777777" w:rsidR="00830E72" w:rsidRDefault="008344D8">
                <w:pPr>
                  <w:rPr>
                    <w:szCs w:val="21"/>
                  </w:rPr>
                </w:pPr>
                <w:r>
                  <w:rPr>
                    <w:rFonts w:hint="eastAsia"/>
                    <w:szCs w:val="21"/>
                  </w:rPr>
                  <w:t>无</w:t>
                </w:r>
              </w:p>
            </w:tc>
          </w:tr>
          <w:tr w:rsidR="00830E72" w14:paraId="15756220" w14:textId="77777777" w:rsidTr="00A40D2A">
            <w:trPr>
              <w:cantSplit/>
            </w:trPr>
            <w:tc>
              <w:tcPr>
                <w:tcW w:w="5070" w:type="dxa"/>
                <w:gridSpan w:val="2"/>
                <w:shd w:val="clear" w:color="auto" w:fill="auto"/>
                <w:vAlign w:val="center"/>
              </w:tcPr>
              <w:sdt>
                <w:sdtPr>
                  <w:rPr>
                    <w:szCs w:val="21"/>
                  </w:rPr>
                  <w:tag w:val="_PLD_bc2af940e93042a39994415f0e50380a"/>
                  <w:id w:val="1569000191"/>
                  <w:lock w:val="sdtLocked"/>
                </w:sdtPr>
                <w:sdtEndPr/>
                <w:sdtContent>
                  <w:p w14:paraId="14634CD3" w14:textId="77777777" w:rsidR="00830E72" w:rsidRDefault="008344D8">
                    <w:r>
                      <w:rPr>
                        <w:szCs w:val="21"/>
                      </w:rPr>
                      <w:t>上述股东</w:t>
                    </w:r>
                    <w:r>
                      <w:rPr>
                        <w:rFonts w:hint="eastAsia"/>
                        <w:szCs w:val="21"/>
                      </w:rPr>
                      <w:t>委托表决权、受托表决权、放弃表决权</w:t>
                    </w:r>
                    <w:r>
                      <w:rPr>
                        <w:szCs w:val="21"/>
                      </w:rPr>
                      <w:t>的说明</w:t>
                    </w:r>
                  </w:p>
                </w:sdtContent>
              </w:sdt>
            </w:tc>
            <w:tc>
              <w:tcPr>
                <w:tcW w:w="8079" w:type="dxa"/>
                <w:gridSpan w:val="6"/>
                <w:shd w:val="clear" w:color="auto" w:fill="auto"/>
                <w:vAlign w:val="center"/>
              </w:tcPr>
              <w:p w14:paraId="4086FBC4" w14:textId="77777777" w:rsidR="00830E72" w:rsidRDefault="008344D8">
                <w:pPr>
                  <w:rPr>
                    <w:szCs w:val="21"/>
                  </w:rPr>
                </w:pPr>
                <w:r>
                  <w:rPr>
                    <w:rFonts w:hint="eastAsia"/>
                    <w:szCs w:val="21"/>
                  </w:rPr>
                  <w:t>无</w:t>
                </w:r>
              </w:p>
            </w:tc>
          </w:tr>
          <w:tr w:rsidR="00830E72" w14:paraId="3B451BCC" w14:textId="77777777" w:rsidTr="00A40D2A">
            <w:trPr>
              <w:cantSplit/>
            </w:trPr>
            <w:sdt>
              <w:sdtPr>
                <w:tag w:val="_PLD_7013809d29cf4718a9bcc3305f3a2fcd"/>
                <w:id w:val="642008403"/>
                <w:lock w:val="sdtLocked"/>
              </w:sdtPr>
              <w:sdtEndPr/>
              <w:sdtContent>
                <w:tc>
                  <w:tcPr>
                    <w:tcW w:w="5070" w:type="dxa"/>
                    <w:gridSpan w:val="2"/>
                    <w:shd w:val="clear" w:color="auto" w:fill="auto"/>
                    <w:vAlign w:val="center"/>
                  </w:tcPr>
                  <w:p w14:paraId="534229E2" w14:textId="77777777" w:rsidR="00830E72" w:rsidRDefault="008344D8">
                    <w:pPr>
                      <w:rPr>
                        <w:szCs w:val="21"/>
                      </w:rPr>
                    </w:pPr>
                    <w:r>
                      <w:rPr>
                        <w:szCs w:val="21"/>
                      </w:rPr>
                      <w:t>上述股东关联关系或一致行动的说明</w:t>
                    </w:r>
                  </w:p>
                </w:tc>
              </w:sdtContent>
            </w:sdt>
            <w:tc>
              <w:tcPr>
                <w:tcW w:w="8079" w:type="dxa"/>
                <w:gridSpan w:val="6"/>
                <w:shd w:val="clear" w:color="auto" w:fill="auto"/>
                <w:vAlign w:val="center"/>
              </w:tcPr>
              <w:p w14:paraId="2C4DAF26" w14:textId="77777777" w:rsidR="00830E72" w:rsidRDefault="008344D8">
                <w:pPr>
                  <w:rPr>
                    <w:szCs w:val="21"/>
                  </w:rPr>
                </w:pPr>
                <w:r>
                  <w:rPr>
                    <w:rFonts w:hint="eastAsia"/>
                    <w:szCs w:val="21"/>
                  </w:rPr>
                  <w:t>俞发祥与俞水祥系兄弟关系；俞发祥系祥源控股实际控制人；祥源控股系为众投资的执行事务合伙人；安徽安元投资基金有限公司与国元股权投资有限公司系同受安徽国元金融控股集团有限责任公司控制的企业。</w:t>
                </w:r>
              </w:p>
            </w:tc>
          </w:tr>
          <w:tr w:rsidR="00830E72" w14:paraId="7F22D51D" w14:textId="77777777" w:rsidTr="00A40D2A">
            <w:trPr>
              <w:cantSplit/>
            </w:trPr>
            <w:sdt>
              <w:sdtPr>
                <w:tag w:val="_PLD_03a6639ad7fb4ac1a2cd145fe333146e"/>
                <w:id w:val="-858354947"/>
                <w:lock w:val="sdtLocked"/>
              </w:sdtPr>
              <w:sdtEndPr/>
              <w:sdtContent>
                <w:tc>
                  <w:tcPr>
                    <w:tcW w:w="5070" w:type="dxa"/>
                    <w:gridSpan w:val="2"/>
                    <w:shd w:val="clear" w:color="auto" w:fill="auto"/>
                    <w:vAlign w:val="center"/>
                  </w:tcPr>
                  <w:p w14:paraId="65483687" w14:textId="77777777" w:rsidR="00830E72" w:rsidRDefault="008344D8">
                    <w:pPr>
                      <w:rPr>
                        <w:szCs w:val="21"/>
                      </w:rPr>
                    </w:pPr>
                    <w:r>
                      <w:rPr>
                        <w:rFonts w:hint="eastAsia"/>
                        <w:szCs w:val="21"/>
                      </w:rPr>
                      <w:t>表决权恢复的优先股股东及持股数量的说明</w:t>
                    </w:r>
                  </w:p>
                </w:tc>
              </w:sdtContent>
            </w:sdt>
            <w:tc>
              <w:tcPr>
                <w:tcW w:w="8079" w:type="dxa"/>
                <w:gridSpan w:val="6"/>
                <w:shd w:val="clear" w:color="auto" w:fill="auto"/>
                <w:vAlign w:val="center"/>
              </w:tcPr>
              <w:p w14:paraId="1E60B595" w14:textId="77777777" w:rsidR="00830E72" w:rsidRDefault="008344D8">
                <w:pPr>
                  <w:rPr>
                    <w:szCs w:val="21"/>
                  </w:rPr>
                </w:pPr>
                <w:r>
                  <w:rPr>
                    <w:rFonts w:hint="eastAsia"/>
                    <w:szCs w:val="21"/>
                  </w:rPr>
                  <w:t>无</w:t>
                </w:r>
              </w:p>
            </w:tc>
          </w:tr>
        </w:tbl>
        <w:p w14:paraId="7656BE61" w14:textId="77777777" w:rsidR="00830E72" w:rsidRDefault="00830E72"/>
        <w:p w14:paraId="78D29163" w14:textId="77777777" w:rsidR="00830E72" w:rsidRDefault="008344D8">
          <w:pPr>
            <w:rPr>
              <w:szCs w:val="21"/>
            </w:rPr>
          </w:pPr>
          <w:r>
            <w:rPr>
              <w:szCs w:val="21"/>
            </w:rPr>
            <w:t>前十名有限售条件股东持股数量及限售条件</w:t>
          </w:r>
        </w:p>
        <w:sdt>
          <w:sdtPr>
            <w:rPr>
              <w:bCs/>
              <w:szCs w:val="21"/>
            </w:rPr>
            <w:alias w:val="是否适用：前十名有限售条件股东持股数量及限售条件[双击切换]"/>
            <w:tag w:val="_GBC_681c25d581914cb19d4b007c00511b6a"/>
            <w:id w:val="1487508728"/>
            <w:lock w:val="sdtLocked"/>
            <w:placeholder>
              <w:docPart w:val="GBC22222222222222222222222222222"/>
            </w:placeholder>
          </w:sdtPr>
          <w:sdtEndPr/>
          <w:sdtContent>
            <w:p w14:paraId="4120706F" w14:textId="77777777" w:rsidR="00830E72" w:rsidRDefault="008344D8">
              <w:pPr>
                <w:rPr>
                  <w:bCs/>
                  <w:szCs w:val="21"/>
                </w:rPr>
              </w:pPr>
              <w:r>
                <w:rPr>
                  <w:bCs/>
                  <w:szCs w:val="21"/>
                </w:rPr>
                <w:fldChar w:fldCharType="begin"/>
              </w:r>
              <w:r>
                <w:rPr>
                  <w:bCs/>
                  <w:szCs w:val="21"/>
                </w:rPr>
                <w:instrText xml:space="preserve"> 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p w14:paraId="14863AB4" w14:textId="77777777" w:rsidR="00830E72" w:rsidRDefault="008344D8">
          <w:pPr>
            <w:jc w:val="right"/>
            <w:rPr>
              <w:szCs w:val="21"/>
            </w:rPr>
          </w:pPr>
          <w:r>
            <w:rPr>
              <w:szCs w:val="21"/>
            </w:rPr>
            <w:t>单位</w:t>
          </w:r>
          <w:r>
            <w:rPr>
              <w:rFonts w:hint="eastAsia"/>
              <w:szCs w:val="21"/>
            </w:rPr>
            <w:t>：</w:t>
          </w:r>
          <w:sdt>
            <w:sdtPr>
              <w:rPr>
                <w:szCs w:val="21"/>
              </w:rPr>
              <w:alias w:val="单位：前十名有限售条件股东持股数量及限售条件"/>
              <w:tag w:val="_GBC_e1f4dc77c6fe470d84a40ebf654565a1"/>
              <w:id w:val="1108466374"/>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sdtContent>
          </w:sdt>
        </w:p>
        <w:tbl>
          <w:tblPr>
            <w:tblStyle w:val="g1"/>
            <w:tblW w:w="4616"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4950"/>
            <w:gridCol w:w="1699"/>
            <w:gridCol w:w="1699"/>
            <w:gridCol w:w="1701"/>
            <w:gridCol w:w="1704"/>
          </w:tblGrid>
          <w:tr w:rsidR="00830E72" w14:paraId="63AD2654" w14:textId="77777777">
            <w:trPr>
              <w:cantSplit/>
            </w:trPr>
            <w:sdt>
              <w:sdtPr>
                <w:tag w:val="_PLD_c92f9760fb844bdcbf137801edfe1487"/>
                <w:id w:val="-1015071141"/>
                <w:lock w:val="sdtLocked"/>
              </w:sdtPr>
              <w:sdtEndPr/>
              <w:sdtContent>
                <w:tc>
                  <w:tcPr>
                    <w:tcW w:w="482" w:type="pct"/>
                    <w:vMerge w:val="restart"/>
                    <w:shd w:val="clear" w:color="auto" w:fill="auto"/>
                    <w:vAlign w:val="center"/>
                  </w:tcPr>
                  <w:p w14:paraId="7C86BFD6" w14:textId="77777777" w:rsidR="00830E72" w:rsidRDefault="008344D8">
                    <w:pPr>
                      <w:jc w:val="center"/>
                      <w:rPr>
                        <w:szCs w:val="21"/>
                      </w:rPr>
                    </w:pPr>
                    <w:r>
                      <w:rPr>
                        <w:szCs w:val="21"/>
                      </w:rPr>
                      <w:t>序号</w:t>
                    </w:r>
                  </w:p>
                </w:tc>
              </w:sdtContent>
            </w:sdt>
            <w:sdt>
              <w:sdtPr>
                <w:tag w:val="_PLD_f0351f96214540d48d3086df8f215bd8"/>
                <w:id w:val="-1920021445"/>
                <w:lock w:val="sdtLocked"/>
              </w:sdtPr>
              <w:sdtEndPr/>
              <w:sdtContent>
                <w:tc>
                  <w:tcPr>
                    <w:tcW w:w="1903" w:type="pct"/>
                    <w:vMerge w:val="restart"/>
                    <w:shd w:val="clear" w:color="auto" w:fill="auto"/>
                    <w:vAlign w:val="center"/>
                  </w:tcPr>
                  <w:p w14:paraId="587A7AA3" w14:textId="77777777" w:rsidR="00830E72" w:rsidRDefault="008344D8">
                    <w:pPr>
                      <w:jc w:val="center"/>
                      <w:rPr>
                        <w:szCs w:val="21"/>
                      </w:rPr>
                    </w:pPr>
                    <w:r>
                      <w:rPr>
                        <w:szCs w:val="21"/>
                      </w:rPr>
                      <w:t>有限售条件股东名称</w:t>
                    </w:r>
                  </w:p>
                </w:tc>
              </w:sdtContent>
            </w:sdt>
            <w:sdt>
              <w:sdtPr>
                <w:tag w:val="_PLD_0c27248bc4a349a5829f031d37409979"/>
                <w:id w:val="1411203202"/>
                <w:lock w:val="sdtLocked"/>
              </w:sdtPr>
              <w:sdtEndPr/>
              <w:sdtContent>
                <w:tc>
                  <w:tcPr>
                    <w:tcW w:w="653" w:type="pct"/>
                    <w:vMerge w:val="restart"/>
                    <w:shd w:val="clear" w:color="auto" w:fill="auto"/>
                    <w:vAlign w:val="center"/>
                  </w:tcPr>
                  <w:p w14:paraId="6DBFAFD4" w14:textId="77777777" w:rsidR="00830E72" w:rsidRDefault="008344D8">
                    <w:pPr>
                      <w:jc w:val="center"/>
                      <w:rPr>
                        <w:szCs w:val="21"/>
                      </w:rPr>
                    </w:pPr>
                    <w:r>
                      <w:rPr>
                        <w:szCs w:val="21"/>
                      </w:rPr>
                      <w:t>持有的有限售条件股份数量</w:t>
                    </w:r>
                  </w:p>
                </w:tc>
              </w:sdtContent>
            </w:sdt>
            <w:sdt>
              <w:sdtPr>
                <w:tag w:val="_PLD_587ec775b6a04dd5a88413426813db47"/>
                <w:id w:val="277070570"/>
                <w:lock w:val="sdtLocked"/>
              </w:sdtPr>
              <w:sdtEndPr/>
              <w:sdtContent>
                <w:tc>
                  <w:tcPr>
                    <w:tcW w:w="1307" w:type="pct"/>
                    <w:gridSpan w:val="2"/>
                    <w:shd w:val="clear" w:color="auto" w:fill="auto"/>
                    <w:vAlign w:val="center"/>
                  </w:tcPr>
                  <w:p w14:paraId="6DC95871" w14:textId="77777777" w:rsidR="00830E72" w:rsidRDefault="008344D8">
                    <w:pPr>
                      <w:jc w:val="center"/>
                      <w:rPr>
                        <w:szCs w:val="21"/>
                      </w:rPr>
                    </w:pPr>
                    <w:r>
                      <w:rPr>
                        <w:szCs w:val="21"/>
                      </w:rPr>
                      <w:t>有限售条件股份可上市交易情况</w:t>
                    </w:r>
                  </w:p>
                </w:tc>
              </w:sdtContent>
            </w:sdt>
            <w:sdt>
              <w:sdtPr>
                <w:tag w:val="_PLD_0d2174cf11f94614b4639460c051a27a"/>
                <w:id w:val="-488634458"/>
                <w:lock w:val="sdtLocked"/>
              </w:sdtPr>
              <w:sdtEndPr/>
              <w:sdtContent>
                <w:tc>
                  <w:tcPr>
                    <w:tcW w:w="655" w:type="pct"/>
                    <w:vMerge w:val="restart"/>
                    <w:shd w:val="clear" w:color="auto" w:fill="auto"/>
                    <w:vAlign w:val="center"/>
                  </w:tcPr>
                  <w:p w14:paraId="6052CDC7" w14:textId="77777777" w:rsidR="00830E72" w:rsidRDefault="008344D8">
                    <w:pPr>
                      <w:jc w:val="center"/>
                      <w:rPr>
                        <w:szCs w:val="21"/>
                      </w:rPr>
                    </w:pPr>
                    <w:r>
                      <w:rPr>
                        <w:szCs w:val="21"/>
                      </w:rPr>
                      <w:t>限售条件</w:t>
                    </w:r>
                  </w:p>
                </w:tc>
              </w:sdtContent>
            </w:sdt>
          </w:tr>
          <w:tr w:rsidR="00830E72" w14:paraId="17DDCFBB" w14:textId="77777777">
            <w:trPr>
              <w:cantSplit/>
            </w:trPr>
            <w:tc>
              <w:tcPr>
                <w:tcW w:w="482" w:type="pct"/>
                <w:vMerge/>
                <w:shd w:val="clear" w:color="auto" w:fill="auto"/>
                <w:vAlign w:val="center"/>
              </w:tcPr>
              <w:p w14:paraId="04A458F5" w14:textId="77777777" w:rsidR="00830E72" w:rsidRDefault="00830E72">
                <w:pPr>
                  <w:jc w:val="center"/>
                  <w:rPr>
                    <w:szCs w:val="21"/>
                  </w:rPr>
                </w:pPr>
              </w:p>
            </w:tc>
            <w:tc>
              <w:tcPr>
                <w:tcW w:w="1903" w:type="pct"/>
                <w:vMerge/>
                <w:shd w:val="clear" w:color="auto" w:fill="auto"/>
                <w:vAlign w:val="center"/>
              </w:tcPr>
              <w:p w14:paraId="2FF56CD2" w14:textId="77777777" w:rsidR="00830E72" w:rsidRDefault="00830E72">
                <w:pPr>
                  <w:jc w:val="center"/>
                  <w:rPr>
                    <w:szCs w:val="21"/>
                  </w:rPr>
                </w:pPr>
              </w:p>
            </w:tc>
            <w:tc>
              <w:tcPr>
                <w:tcW w:w="653" w:type="pct"/>
                <w:vMerge/>
                <w:shd w:val="clear" w:color="auto" w:fill="auto"/>
                <w:vAlign w:val="center"/>
              </w:tcPr>
              <w:p w14:paraId="755C8881" w14:textId="77777777" w:rsidR="00830E72" w:rsidRDefault="00830E72">
                <w:pPr>
                  <w:jc w:val="center"/>
                  <w:rPr>
                    <w:szCs w:val="21"/>
                  </w:rPr>
                </w:pPr>
              </w:p>
            </w:tc>
            <w:sdt>
              <w:sdtPr>
                <w:tag w:val="_PLD_b302119e40884c6483e7fa11ca891aa5"/>
                <w:id w:val="-940378235"/>
                <w:lock w:val="sdtLocked"/>
              </w:sdtPr>
              <w:sdtEndPr/>
              <w:sdtContent>
                <w:tc>
                  <w:tcPr>
                    <w:tcW w:w="653" w:type="pct"/>
                    <w:shd w:val="clear" w:color="auto" w:fill="auto"/>
                    <w:vAlign w:val="center"/>
                  </w:tcPr>
                  <w:p w14:paraId="79EDC35B" w14:textId="77777777" w:rsidR="00830E72" w:rsidRDefault="008344D8">
                    <w:pPr>
                      <w:jc w:val="center"/>
                      <w:rPr>
                        <w:szCs w:val="21"/>
                      </w:rPr>
                    </w:pPr>
                    <w:r>
                      <w:rPr>
                        <w:szCs w:val="21"/>
                      </w:rPr>
                      <w:t>可上市交易时间</w:t>
                    </w:r>
                  </w:p>
                </w:tc>
              </w:sdtContent>
            </w:sdt>
            <w:sdt>
              <w:sdtPr>
                <w:tag w:val="_PLD_91e34be7fab047108c36f6a6d8a5ce0d"/>
                <w:id w:val="279467107"/>
                <w:lock w:val="sdtLocked"/>
              </w:sdtPr>
              <w:sdtEndPr/>
              <w:sdtContent>
                <w:tc>
                  <w:tcPr>
                    <w:tcW w:w="654" w:type="pct"/>
                    <w:shd w:val="clear" w:color="auto" w:fill="auto"/>
                    <w:vAlign w:val="center"/>
                  </w:tcPr>
                  <w:p w14:paraId="316C7C0F" w14:textId="77777777" w:rsidR="00830E72" w:rsidRDefault="008344D8">
                    <w:pPr>
                      <w:jc w:val="center"/>
                      <w:rPr>
                        <w:szCs w:val="21"/>
                      </w:rPr>
                    </w:pPr>
                    <w:r>
                      <w:rPr>
                        <w:szCs w:val="21"/>
                      </w:rPr>
                      <w:t>新增可上市交易股份数量</w:t>
                    </w:r>
                  </w:p>
                </w:tc>
              </w:sdtContent>
            </w:sdt>
            <w:tc>
              <w:tcPr>
                <w:tcW w:w="655" w:type="pct"/>
                <w:vMerge/>
                <w:shd w:val="clear" w:color="auto" w:fill="auto"/>
                <w:vAlign w:val="center"/>
              </w:tcPr>
              <w:p w14:paraId="29E02AFC" w14:textId="77777777" w:rsidR="00830E72" w:rsidRDefault="00830E72">
                <w:pPr>
                  <w:jc w:val="center"/>
                  <w:rPr>
                    <w:szCs w:val="21"/>
                  </w:rPr>
                </w:pPr>
              </w:p>
            </w:tc>
          </w:tr>
          <w:sdt>
            <w:sdtPr>
              <w:rPr>
                <w:rFonts w:ascii="宋体" w:eastAsiaTheme="minorEastAsia" w:hAnsi="宋体" w:cs="宋体"/>
                <w:kern w:val="0"/>
                <w:szCs w:val="22"/>
              </w:rPr>
              <w:alias w:val="前十名有限售条件股东持股数量及限售条件"/>
              <w:tag w:val="_GBC_62e0ab38d74544fd9d47241b6b823153"/>
              <w:id w:val="-2125527853"/>
            </w:sdtPr>
            <w:sdtEndPr>
              <w:rPr>
                <w:rFonts w:eastAsia="宋体"/>
                <w:szCs w:val="24"/>
              </w:rPr>
            </w:sdtEndPr>
            <w:sdtContent>
              <w:tr w:rsidR="00830E72" w14:paraId="0F1330CE" w14:textId="77777777">
                <w:trPr>
                  <w:cantSplit/>
                  <w:trHeight w:val="345"/>
                </w:trPr>
                <w:tc>
                  <w:tcPr>
                    <w:tcW w:w="482" w:type="pct"/>
                    <w:shd w:val="clear" w:color="auto" w:fill="auto"/>
                    <w:vAlign w:val="center"/>
                  </w:tcPr>
                  <w:sdt>
                    <w:sdtPr>
                      <w:rPr>
                        <w:rFonts w:ascii="宋体" w:hAnsi="宋体" w:cs="宋体"/>
                        <w:szCs w:val="22"/>
                      </w:rPr>
                      <w:tag w:val="_GBC_f32d0bdb0c31457e83a46f73c1a5c98a"/>
                      <w:id w:val="-1196306962"/>
                      <w:lock w:val="sdtLocked"/>
                    </w:sdtPr>
                    <w:sdtEndPr>
                      <w:rPr>
                        <w:rFonts w:cs="Times New Roman"/>
                        <w:szCs w:val="21"/>
                      </w:rPr>
                    </w:sdtEndPr>
                    <w:sdtContent>
                      <w:p w14:paraId="3376E5AB" w14:textId="77777777" w:rsidR="00830E72" w:rsidRDefault="008344D8">
                        <w:pPr>
                          <w:pStyle w:val="ab"/>
                          <w:jc w:val="center"/>
                          <w:rPr>
                            <w:rFonts w:ascii="宋体" w:hAnsi="宋体"/>
                          </w:rPr>
                        </w:pPr>
                        <w:r>
                          <w:rPr>
                            <w:rFonts w:ascii="宋体" w:hAnsi="宋体"/>
                          </w:rPr>
                          <w:t>1</w:t>
                        </w:r>
                      </w:p>
                    </w:sdtContent>
                  </w:sdt>
                </w:tc>
                <w:tc>
                  <w:tcPr>
                    <w:tcW w:w="1903" w:type="pct"/>
                    <w:shd w:val="clear" w:color="auto" w:fill="auto"/>
                    <w:vAlign w:val="center"/>
                  </w:tcPr>
                  <w:p w14:paraId="73559574" w14:textId="77777777" w:rsidR="00830E72" w:rsidRDefault="008344D8">
                    <w:pPr>
                      <w:rPr>
                        <w:szCs w:val="21"/>
                      </w:rPr>
                    </w:pPr>
                    <w:r>
                      <w:t>祥源控股集团有限责任公司</w:t>
                    </w:r>
                  </w:p>
                </w:tc>
                <w:tc>
                  <w:tcPr>
                    <w:tcW w:w="653" w:type="pct"/>
                    <w:shd w:val="clear" w:color="auto" w:fill="auto"/>
                    <w:vAlign w:val="center"/>
                  </w:tcPr>
                  <w:p w14:paraId="35537628" w14:textId="77777777" w:rsidR="00830E72" w:rsidRDefault="008344D8">
                    <w:pPr>
                      <w:jc w:val="right"/>
                      <w:rPr>
                        <w:szCs w:val="21"/>
                      </w:rPr>
                    </w:pPr>
                    <w:r>
                      <w:t>274,293,290</w:t>
                    </w:r>
                  </w:p>
                </w:tc>
                <w:tc>
                  <w:tcPr>
                    <w:tcW w:w="653" w:type="pct"/>
                    <w:shd w:val="clear" w:color="auto" w:fill="auto"/>
                    <w:vAlign w:val="center"/>
                  </w:tcPr>
                  <w:p w14:paraId="5DE8AF7A" w14:textId="77777777" w:rsidR="00830E72" w:rsidRDefault="008344D8">
                    <w:pPr>
                      <w:rPr>
                        <w:szCs w:val="21"/>
                      </w:rPr>
                    </w:pPr>
                    <w:r>
                      <w:t>2022-10-21</w:t>
                    </w:r>
                  </w:p>
                </w:tc>
                <w:tc>
                  <w:tcPr>
                    <w:tcW w:w="654" w:type="pct"/>
                    <w:shd w:val="clear" w:color="auto" w:fill="auto"/>
                    <w:vAlign w:val="center"/>
                  </w:tcPr>
                  <w:p w14:paraId="42A0B815" w14:textId="77777777" w:rsidR="00830E72" w:rsidRDefault="008344D8">
                    <w:pPr>
                      <w:jc w:val="right"/>
                      <w:rPr>
                        <w:szCs w:val="21"/>
                      </w:rPr>
                    </w:pPr>
                    <w:r>
                      <w:rPr>
                        <w:rFonts w:hint="eastAsia"/>
                        <w:szCs w:val="21"/>
                      </w:rPr>
                      <w:t>0</w:t>
                    </w:r>
                  </w:p>
                </w:tc>
                <w:tc>
                  <w:tcPr>
                    <w:tcW w:w="655" w:type="pct"/>
                    <w:shd w:val="clear" w:color="auto" w:fill="auto"/>
                    <w:vAlign w:val="center"/>
                  </w:tcPr>
                  <w:p w14:paraId="2AC2D286" w14:textId="77777777" w:rsidR="00830E72" w:rsidRDefault="008344D8">
                    <w:pPr>
                      <w:rPr>
                        <w:szCs w:val="21"/>
                      </w:rPr>
                    </w:pPr>
                    <w:r>
                      <w:t>首发限售股</w:t>
                    </w:r>
                  </w:p>
                </w:tc>
              </w:tr>
            </w:sdtContent>
          </w:sdt>
          <w:sdt>
            <w:sdtPr>
              <w:rPr>
                <w:rFonts w:ascii="宋体" w:eastAsiaTheme="minorEastAsia" w:hAnsi="宋体" w:cs="宋体"/>
                <w:kern w:val="0"/>
                <w:szCs w:val="22"/>
              </w:rPr>
              <w:alias w:val="前十名有限售条件股东持股数量及限售条件"/>
              <w:tag w:val="_GBC_62e0ab38d74544fd9d47241b6b823153"/>
              <w:id w:val="-1348560418"/>
            </w:sdtPr>
            <w:sdtEndPr>
              <w:rPr>
                <w:rFonts w:eastAsia="宋体"/>
                <w:szCs w:val="24"/>
              </w:rPr>
            </w:sdtEndPr>
            <w:sdtContent>
              <w:tr w:rsidR="00830E72" w14:paraId="6E67F6F9" w14:textId="77777777">
                <w:trPr>
                  <w:cantSplit/>
                  <w:trHeight w:val="345"/>
                </w:trPr>
                <w:tc>
                  <w:tcPr>
                    <w:tcW w:w="482" w:type="pct"/>
                    <w:shd w:val="clear" w:color="auto" w:fill="auto"/>
                    <w:vAlign w:val="center"/>
                  </w:tcPr>
                  <w:sdt>
                    <w:sdtPr>
                      <w:rPr>
                        <w:rFonts w:ascii="宋体" w:hAnsi="宋体" w:cs="宋体"/>
                        <w:szCs w:val="22"/>
                      </w:rPr>
                      <w:tag w:val="_GBC_f32d0bdb0c31457e83a46f73c1a5c98a"/>
                      <w:id w:val="1386375012"/>
                      <w:lock w:val="sdtLocked"/>
                    </w:sdtPr>
                    <w:sdtEndPr>
                      <w:rPr>
                        <w:rFonts w:cs="Times New Roman"/>
                        <w:szCs w:val="21"/>
                      </w:rPr>
                    </w:sdtEndPr>
                    <w:sdtContent>
                      <w:p w14:paraId="6E44054E" w14:textId="77777777" w:rsidR="00830E72" w:rsidRDefault="008344D8">
                        <w:pPr>
                          <w:pStyle w:val="ab"/>
                          <w:jc w:val="center"/>
                          <w:rPr>
                            <w:rFonts w:ascii="宋体" w:hAnsi="宋体"/>
                          </w:rPr>
                        </w:pPr>
                        <w:r>
                          <w:rPr>
                            <w:rFonts w:ascii="宋体" w:hAnsi="宋体"/>
                          </w:rPr>
                          <w:t>2</w:t>
                        </w:r>
                      </w:p>
                    </w:sdtContent>
                  </w:sdt>
                </w:tc>
                <w:tc>
                  <w:tcPr>
                    <w:tcW w:w="1903" w:type="pct"/>
                    <w:shd w:val="clear" w:color="auto" w:fill="auto"/>
                    <w:vAlign w:val="center"/>
                  </w:tcPr>
                  <w:p w14:paraId="428C8390" w14:textId="77777777" w:rsidR="00830E72" w:rsidRDefault="008344D8">
                    <w:pPr>
                      <w:rPr>
                        <w:szCs w:val="21"/>
                      </w:rPr>
                    </w:pPr>
                    <w:r>
                      <w:t>俞发祥</w:t>
                    </w:r>
                  </w:p>
                </w:tc>
                <w:tc>
                  <w:tcPr>
                    <w:tcW w:w="653" w:type="pct"/>
                    <w:shd w:val="clear" w:color="auto" w:fill="auto"/>
                    <w:vAlign w:val="center"/>
                  </w:tcPr>
                  <w:p w14:paraId="239FF977" w14:textId="77777777" w:rsidR="00830E72" w:rsidRDefault="008344D8">
                    <w:pPr>
                      <w:jc w:val="right"/>
                      <w:rPr>
                        <w:szCs w:val="21"/>
                      </w:rPr>
                    </w:pPr>
                    <w:r>
                      <w:t>15,729,100</w:t>
                    </w:r>
                  </w:p>
                </w:tc>
                <w:tc>
                  <w:tcPr>
                    <w:tcW w:w="653" w:type="pct"/>
                    <w:shd w:val="clear" w:color="auto" w:fill="auto"/>
                    <w:vAlign w:val="center"/>
                  </w:tcPr>
                  <w:p w14:paraId="4B320F04" w14:textId="77777777" w:rsidR="00830E72" w:rsidRDefault="008344D8">
                    <w:pPr>
                      <w:rPr>
                        <w:szCs w:val="21"/>
                      </w:rPr>
                    </w:pPr>
                    <w:r>
                      <w:t>2022-10-21</w:t>
                    </w:r>
                  </w:p>
                </w:tc>
                <w:tc>
                  <w:tcPr>
                    <w:tcW w:w="654" w:type="pct"/>
                    <w:shd w:val="clear" w:color="auto" w:fill="auto"/>
                    <w:vAlign w:val="center"/>
                  </w:tcPr>
                  <w:p w14:paraId="5A76DC8D" w14:textId="77777777" w:rsidR="00830E72" w:rsidRDefault="008344D8">
                    <w:pPr>
                      <w:jc w:val="right"/>
                      <w:rPr>
                        <w:szCs w:val="21"/>
                      </w:rPr>
                    </w:pPr>
                    <w:r>
                      <w:rPr>
                        <w:rFonts w:hint="eastAsia"/>
                        <w:szCs w:val="21"/>
                      </w:rPr>
                      <w:t>0</w:t>
                    </w:r>
                  </w:p>
                </w:tc>
                <w:tc>
                  <w:tcPr>
                    <w:tcW w:w="655" w:type="pct"/>
                    <w:shd w:val="clear" w:color="auto" w:fill="auto"/>
                    <w:vAlign w:val="center"/>
                  </w:tcPr>
                  <w:p w14:paraId="1CF7EDBC" w14:textId="77777777" w:rsidR="00830E72" w:rsidRDefault="008344D8">
                    <w:pPr>
                      <w:rPr>
                        <w:szCs w:val="21"/>
                      </w:rPr>
                    </w:pPr>
                    <w:r>
                      <w:t>首发限售股</w:t>
                    </w:r>
                  </w:p>
                </w:tc>
              </w:tr>
            </w:sdtContent>
          </w:sdt>
          <w:sdt>
            <w:sdtPr>
              <w:rPr>
                <w:rFonts w:ascii="宋体" w:eastAsiaTheme="minorEastAsia" w:hAnsi="宋体" w:cs="宋体"/>
                <w:kern w:val="0"/>
                <w:szCs w:val="22"/>
              </w:rPr>
              <w:alias w:val="前十名有限售条件股东持股数量及限售条件"/>
              <w:tag w:val="_GBC_62e0ab38d74544fd9d47241b6b823153"/>
              <w:id w:val="1382979023"/>
            </w:sdtPr>
            <w:sdtEndPr>
              <w:rPr>
                <w:rFonts w:eastAsia="宋体"/>
                <w:szCs w:val="24"/>
              </w:rPr>
            </w:sdtEndPr>
            <w:sdtContent>
              <w:tr w:rsidR="00830E72" w14:paraId="25299FB7" w14:textId="77777777">
                <w:trPr>
                  <w:cantSplit/>
                  <w:trHeight w:val="345"/>
                </w:trPr>
                <w:tc>
                  <w:tcPr>
                    <w:tcW w:w="482" w:type="pct"/>
                    <w:shd w:val="clear" w:color="auto" w:fill="auto"/>
                    <w:vAlign w:val="center"/>
                  </w:tcPr>
                  <w:sdt>
                    <w:sdtPr>
                      <w:rPr>
                        <w:rFonts w:ascii="宋体" w:hAnsi="宋体" w:cs="宋体"/>
                        <w:szCs w:val="22"/>
                      </w:rPr>
                      <w:tag w:val="_GBC_f32d0bdb0c31457e83a46f73c1a5c98a"/>
                      <w:id w:val="843668123"/>
                      <w:lock w:val="sdtLocked"/>
                    </w:sdtPr>
                    <w:sdtEndPr>
                      <w:rPr>
                        <w:rFonts w:cs="Times New Roman"/>
                        <w:szCs w:val="21"/>
                      </w:rPr>
                    </w:sdtEndPr>
                    <w:sdtContent>
                      <w:p w14:paraId="257A98B5" w14:textId="77777777" w:rsidR="00830E72" w:rsidRDefault="008344D8">
                        <w:pPr>
                          <w:pStyle w:val="ab"/>
                          <w:jc w:val="center"/>
                          <w:rPr>
                            <w:rFonts w:ascii="宋体" w:hAnsi="宋体"/>
                          </w:rPr>
                        </w:pPr>
                        <w:r>
                          <w:rPr>
                            <w:rFonts w:ascii="宋体" w:hAnsi="宋体"/>
                          </w:rPr>
                          <w:t>3</w:t>
                        </w:r>
                      </w:p>
                    </w:sdtContent>
                  </w:sdt>
                </w:tc>
                <w:tc>
                  <w:tcPr>
                    <w:tcW w:w="1903" w:type="pct"/>
                    <w:shd w:val="clear" w:color="auto" w:fill="auto"/>
                    <w:vAlign w:val="center"/>
                  </w:tcPr>
                  <w:p w14:paraId="6B41211B" w14:textId="77777777" w:rsidR="00830E72" w:rsidRDefault="008344D8">
                    <w:pPr>
                      <w:rPr>
                        <w:szCs w:val="21"/>
                      </w:rPr>
                    </w:pPr>
                    <w:r>
                      <w:t>黄山市为众投资管理中心（有限合伙）</w:t>
                    </w:r>
                  </w:p>
                </w:tc>
                <w:tc>
                  <w:tcPr>
                    <w:tcW w:w="653" w:type="pct"/>
                    <w:shd w:val="clear" w:color="auto" w:fill="auto"/>
                    <w:vAlign w:val="center"/>
                  </w:tcPr>
                  <w:p w14:paraId="3CA00258" w14:textId="77777777" w:rsidR="00830E72" w:rsidRDefault="008344D8">
                    <w:pPr>
                      <w:jc w:val="right"/>
                      <w:rPr>
                        <w:szCs w:val="21"/>
                      </w:rPr>
                    </w:pPr>
                    <w:r>
                      <w:t>8,690,000</w:t>
                    </w:r>
                  </w:p>
                </w:tc>
                <w:tc>
                  <w:tcPr>
                    <w:tcW w:w="653" w:type="pct"/>
                    <w:shd w:val="clear" w:color="auto" w:fill="auto"/>
                    <w:vAlign w:val="center"/>
                  </w:tcPr>
                  <w:p w14:paraId="6186B56B" w14:textId="77777777" w:rsidR="00830E72" w:rsidRDefault="008344D8">
                    <w:pPr>
                      <w:rPr>
                        <w:szCs w:val="21"/>
                      </w:rPr>
                    </w:pPr>
                    <w:r>
                      <w:t>2022-10-21</w:t>
                    </w:r>
                  </w:p>
                </w:tc>
                <w:tc>
                  <w:tcPr>
                    <w:tcW w:w="654" w:type="pct"/>
                    <w:shd w:val="clear" w:color="auto" w:fill="auto"/>
                    <w:vAlign w:val="center"/>
                  </w:tcPr>
                  <w:p w14:paraId="07EAC6B5" w14:textId="77777777" w:rsidR="00830E72" w:rsidRDefault="008344D8">
                    <w:pPr>
                      <w:jc w:val="right"/>
                      <w:rPr>
                        <w:szCs w:val="21"/>
                      </w:rPr>
                    </w:pPr>
                    <w:r>
                      <w:rPr>
                        <w:rFonts w:hint="eastAsia"/>
                        <w:szCs w:val="21"/>
                      </w:rPr>
                      <w:t>0</w:t>
                    </w:r>
                  </w:p>
                </w:tc>
                <w:tc>
                  <w:tcPr>
                    <w:tcW w:w="655" w:type="pct"/>
                    <w:shd w:val="clear" w:color="auto" w:fill="auto"/>
                    <w:vAlign w:val="center"/>
                  </w:tcPr>
                  <w:p w14:paraId="54D5B265" w14:textId="77777777" w:rsidR="00830E72" w:rsidRDefault="008344D8">
                    <w:pPr>
                      <w:rPr>
                        <w:szCs w:val="21"/>
                      </w:rPr>
                    </w:pPr>
                    <w:r>
                      <w:t>首发限售股</w:t>
                    </w:r>
                  </w:p>
                </w:tc>
              </w:tr>
            </w:sdtContent>
          </w:sdt>
          <w:sdt>
            <w:sdtPr>
              <w:rPr>
                <w:rFonts w:ascii="宋体" w:eastAsiaTheme="minorEastAsia" w:hAnsi="宋体" w:cs="宋体"/>
                <w:kern w:val="0"/>
                <w:szCs w:val="22"/>
              </w:rPr>
              <w:alias w:val="前十名有限售条件股东持股数量及限售条件"/>
              <w:tag w:val="_GBC_62e0ab38d74544fd9d47241b6b823153"/>
              <w:id w:val="-37199053"/>
            </w:sdtPr>
            <w:sdtEndPr>
              <w:rPr>
                <w:rFonts w:eastAsia="宋体"/>
                <w:szCs w:val="24"/>
              </w:rPr>
            </w:sdtEndPr>
            <w:sdtContent>
              <w:tr w:rsidR="00830E72" w14:paraId="2178A6C4" w14:textId="77777777">
                <w:trPr>
                  <w:cantSplit/>
                  <w:trHeight w:val="345"/>
                </w:trPr>
                <w:tc>
                  <w:tcPr>
                    <w:tcW w:w="482" w:type="pct"/>
                    <w:shd w:val="clear" w:color="auto" w:fill="auto"/>
                    <w:vAlign w:val="center"/>
                  </w:tcPr>
                  <w:sdt>
                    <w:sdtPr>
                      <w:rPr>
                        <w:rFonts w:ascii="宋体" w:hAnsi="宋体" w:cs="宋体"/>
                        <w:szCs w:val="22"/>
                      </w:rPr>
                      <w:tag w:val="_GBC_f32d0bdb0c31457e83a46f73c1a5c98a"/>
                      <w:id w:val="2132203995"/>
                      <w:lock w:val="sdtLocked"/>
                    </w:sdtPr>
                    <w:sdtEndPr>
                      <w:rPr>
                        <w:rFonts w:cs="Times New Roman"/>
                        <w:szCs w:val="21"/>
                      </w:rPr>
                    </w:sdtEndPr>
                    <w:sdtContent>
                      <w:p w14:paraId="48E0ECD9" w14:textId="77777777" w:rsidR="00830E72" w:rsidRDefault="008344D8">
                        <w:pPr>
                          <w:pStyle w:val="ab"/>
                          <w:jc w:val="center"/>
                          <w:rPr>
                            <w:rFonts w:ascii="宋体" w:hAnsi="宋体"/>
                          </w:rPr>
                        </w:pPr>
                        <w:r>
                          <w:rPr>
                            <w:rFonts w:ascii="宋体" w:hAnsi="宋体"/>
                          </w:rPr>
                          <w:t>4</w:t>
                        </w:r>
                      </w:p>
                    </w:sdtContent>
                  </w:sdt>
                </w:tc>
                <w:tc>
                  <w:tcPr>
                    <w:tcW w:w="1903" w:type="pct"/>
                    <w:shd w:val="clear" w:color="auto" w:fill="auto"/>
                    <w:vAlign w:val="center"/>
                  </w:tcPr>
                  <w:p w14:paraId="77EB119A" w14:textId="77777777" w:rsidR="00830E72" w:rsidRDefault="008344D8">
                    <w:pPr>
                      <w:rPr>
                        <w:szCs w:val="21"/>
                      </w:rPr>
                    </w:pPr>
                    <w:r>
                      <w:t>俞水祥</w:t>
                    </w:r>
                  </w:p>
                </w:tc>
                <w:tc>
                  <w:tcPr>
                    <w:tcW w:w="653" w:type="pct"/>
                    <w:shd w:val="clear" w:color="auto" w:fill="auto"/>
                    <w:vAlign w:val="center"/>
                  </w:tcPr>
                  <w:p w14:paraId="100F39CF" w14:textId="77777777" w:rsidR="00830E72" w:rsidRDefault="008344D8">
                    <w:pPr>
                      <w:jc w:val="right"/>
                      <w:rPr>
                        <w:szCs w:val="21"/>
                      </w:rPr>
                    </w:pPr>
                    <w:r>
                      <w:t>7,294,930</w:t>
                    </w:r>
                  </w:p>
                </w:tc>
                <w:tc>
                  <w:tcPr>
                    <w:tcW w:w="653" w:type="pct"/>
                    <w:shd w:val="clear" w:color="auto" w:fill="auto"/>
                    <w:vAlign w:val="center"/>
                  </w:tcPr>
                  <w:p w14:paraId="33296D3A" w14:textId="77777777" w:rsidR="00830E72" w:rsidRDefault="008344D8">
                    <w:pPr>
                      <w:rPr>
                        <w:szCs w:val="21"/>
                      </w:rPr>
                    </w:pPr>
                    <w:r>
                      <w:t>2022-10-21</w:t>
                    </w:r>
                  </w:p>
                </w:tc>
                <w:tc>
                  <w:tcPr>
                    <w:tcW w:w="654" w:type="pct"/>
                    <w:shd w:val="clear" w:color="auto" w:fill="auto"/>
                    <w:vAlign w:val="center"/>
                  </w:tcPr>
                  <w:p w14:paraId="5750184B" w14:textId="77777777" w:rsidR="00830E72" w:rsidRDefault="008344D8">
                    <w:pPr>
                      <w:jc w:val="right"/>
                      <w:rPr>
                        <w:szCs w:val="21"/>
                      </w:rPr>
                    </w:pPr>
                    <w:r>
                      <w:rPr>
                        <w:rFonts w:hint="eastAsia"/>
                        <w:szCs w:val="21"/>
                      </w:rPr>
                      <w:t>0</w:t>
                    </w:r>
                  </w:p>
                </w:tc>
                <w:tc>
                  <w:tcPr>
                    <w:tcW w:w="655" w:type="pct"/>
                    <w:shd w:val="clear" w:color="auto" w:fill="auto"/>
                    <w:vAlign w:val="center"/>
                  </w:tcPr>
                  <w:p w14:paraId="36C0E75D" w14:textId="77777777" w:rsidR="00830E72" w:rsidRDefault="008344D8">
                    <w:pPr>
                      <w:rPr>
                        <w:szCs w:val="21"/>
                      </w:rPr>
                    </w:pPr>
                    <w:r>
                      <w:t>首发限售股</w:t>
                    </w:r>
                  </w:p>
                </w:tc>
              </w:tr>
            </w:sdtContent>
          </w:sdt>
          <w:tr w:rsidR="00830E72" w14:paraId="0D8CB7F6" w14:textId="77777777">
            <w:trPr>
              <w:cantSplit/>
              <w:trHeight w:val="345"/>
            </w:trPr>
            <w:tc>
              <w:tcPr>
                <w:tcW w:w="482" w:type="pct"/>
                <w:shd w:val="clear" w:color="auto" w:fill="auto"/>
                <w:vAlign w:val="center"/>
              </w:tcPr>
              <w:sdt>
                <w:sdtPr>
                  <w:rPr>
                    <w:rFonts w:ascii="宋体" w:hAnsi="宋体" w:cs="宋体"/>
                    <w:szCs w:val="22"/>
                  </w:rPr>
                  <w:tag w:val="_GBC_f32d0bdb0c31457e83a46f73c1a5c98a"/>
                  <w:id w:val="-380402362"/>
                  <w:lock w:val="sdtLocked"/>
                </w:sdtPr>
                <w:sdtEndPr>
                  <w:rPr>
                    <w:rFonts w:cs="Times New Roman"/>
                    <w:szCs w:val="21"/>
                  </w:rPr>
                </w:sdtEndPr>
                <w:sdtContent>
                  <w:p w14:paraId="2CA267B9" w14:textId="77777777" w:rsidR="00830E72" w:rsidRDefault="008344D8">
                    <w:pPr>
                      <w:pStyle w:val="ab"/>
                      <w:jc w:val="center"/>
                      <w:rPr>
                        <w:rFonts w:ascii="宋体" w:hAnsi="宋体"/>
                      </w:rPr>
                    </w:pPr>
                    <w:r>
                      <w:rPr>
                        <w:rFonts w:ascii="宋体" w:hAnsi="宋体"/>
                      </w:rPr>
                      <w:t>5</w:t>
                    </w:r>
                  </w:p>
                </w:sdtContent>
              </w:sdt>
            </w:tc>
            <w:tc>
              <w:tcPr>
                <w:tcW w:w="1903" w:type="pct"/>
                <w:shd w:val="clear" w:color="auto" w:fill="auto"/>
                <w:vAlign w:val="center"/>
              </w:tcPr>
              <w:p w14:paraId="6D71F8B9" w14:textId="77777777" w:rsidR="00830E72" w:rsidRDefault="008344D8">
                <w:pPr>
                  <w:rPr>
                    <w:szCs w:val="21"/>
                  </w:rPr>
                </w:pPr>
                <w:r>
                  <w:t>黄山市行远投资管理中心（有限合伙）</w:t>
                </w:r>
              </w:p>
            </w:tc>
            <w:tc>
              <w:tcPr>
                <w:tcW w:w="653" w:type="pct"/>
                <w:shd w:val="clear" w:color="auto" w:fill="auto"/>
                <w:vAlign w:val="center"/>
              </w:tcPr>
              <w:p w14:paraId="485FCD37" w14:textId="77777777" w:rsidR="00830E72" w:rsidRDefault="008344D8">
                <w:pPr>
                  <w:jc w:val="right"/>
                  <w:rPr>
                    <w:szCs w:val="21"/>
                  </w:rPr>
                </w:pPr>
                <w:r>
                  <w:t>6,965,000</w:t>
                </w:r>
              </w:p>
            </w:tc>
            <w:tc>
              <w:tcPr>
                <w:tcW w:w="653" w:type="pct"/>
                <w:shd w:val="clear" w:color="auto" w:fill="auto"/>
                <w:vAlign w:val="center"/>
              </w:tcPr>
              <w:p w14:paraId="1E508223" w14:textId="77777777" w:rsidR="00830E72" w:rsidRDefault="008344D8">
                <w:pPr>
                  <w:rPr>
                    <w:szCs w:val="21"/>
                  </w:rPr>
                </w:pPr>
                <w:r>
                  <w:rPr>
                    <w:szCs w:val="21"/>
                  </w:rPr>
                  <w:t>2022-10-21</w:t>
                </w:r>
              </w:p>
            </w:tc>
            <w:tc>
              <w:tcPr>
                <w:tcW w:w="654" w:type="pct"/>
                <w:shd w:val="clear" w:color="auto" w:fill="auto"/>
                <w:vAlign w:val="center"/>
              </w:tcPr>
              <w:p w14:paraId="119D3350" w14:textId="77777777" w:rsidR="00830E72" w:rsidRDefault="008344D8">
                <w:pPr>
                  <w:jc w:val="right"/>
                  <w:rPr>
                    <w:szCs w:val="21"/>
                  </w:rPr>
                </w:pPr>
                <w:r>
                  <w:rPr>
                    <w:rFonts w:hint="eastAsia"/>
                    <w:szCs w:val="21"/>
                  </w:rPr>
                  <w:t>0</w:t>
                </w:r>
              </w:p>
            </w:tc>
            <w:tc>
              <w:tcPr>
                <w:tcW w:w="655" w:type="pct"/>
                <w:shd w:val="clear" w:color="auto" w:fill="auto"/>
                <w:vAlign w:val="center"/>
              </w:tcPr>
              <w:p w14:paraId="56C63930" w14:textId="77777777" w:rsidR="00830E72" w:rsidRDefault="008344D8">
                <w:pPr>
                  <w:rPr>
                    <w:szCs w:val="21"/>
                  </w:rPr>
                </w:pPr>
                <w:r>
                  <w:t>首发限售股</w:t>
                </w:r>
              </w:p>
            </w:tc>
          </w:tr>
          <w:tr w:rsidR="00830E72" w14:paraId="5C85E1C4" w14:textId="77777777">
            <w:trPr>
              <w:cantSplit/>
              <w:trHeight w:val="345"/>
            </w:trPr>
            <w:tc>
              <w:tcPr>
                <w:tcW w:w="482" w:type="pct"/>
                <w:shd w:val="clear" w:color="auto" w:fill="auto"/>
                <w:vAlign w:val="center"/>
              </w:tcPr>
              <w:sdt>
                <w:sdtPr>
                  <w:rPr>
                    <w:rFonts w:ascii="宋体" w:hAnsi="宋体" w:cs="宋体"/>
                    <w:szCs w:val="22"/>
                  </w:rPr>
                  <w:tag w:val="_GBC_f32d0bdb0c31457e83a46f73c1a5c98a"/>
                  <w:id w:val="-1090616198"/>
                  <w:lock w:val="sdtLocked"/>
                </w:sdtPr>
                <w:sdtEndPr>
                  <w:rPr>
                    <w:rFonts w:cs="Times New Roman"/>
                    <w:szCs w:val="21"/>
                  </w:rPr>
                </w:sdtEndPr>
                <w:sdtContent>
                  <w:p w14:paraId="6A7A23D1" w14:textId="77777777" w:rsidR="00830E72" w:rsidRDefault="008344D8">
                    <w:pPr>
                      <w:pStyle w:val="ab"/>
                      <w:jc w:val="center"/>
                      <w:rPr>
                        <w:rFonts w:ascii="宋体" w:hAnsi="宋体"/>
                      </w:rPr>
                    </w:pPr>
                    <w:r>
                      <w:rPr>
                        <w:rFonts w:ascii="宋体" w:hAnsi="宋体"/>
                      </w:rPr>
                      <w:t>6</w:t>
                    </w:r>
                  </w:p>
                </w:sdtContent>
              </w:sdt>
            </w:tc>
            <w:tc>
              <w:tcPr>
                <w:tcW w:w="1903" w:type="pct"/>
                <w:shd w:val="clear" w:color="auto" w:fill="auto"/>
                <w:vAlign w:val="center"/>
              </w:tcPr>
              <w:p w14:paraId="6ABD05C1" w14:textId="77777777" w:rsidR="00830E72" w:rsidRDefault="008344D8">
                <w:pPr>
                  <w:rPr>
                    <w:szCs w:val="21"/>
                  </w:rPr>
                </w:pPr>
                <w:r>
                  <w:t>胡先宽</w:t>
                </w:r>
              </w:p>
            </w:tc>
            <w:tc>
              <w:tcPr>
                <w:tcW w:w="653" w:type="pct"/>
                <w:shd w:val="clear" w:color="auto" w:fill="auto"/>
                <w:vAlign w:val="center"/>
              </w:tcPr>
              <w:p w14:paraId="7092AE7A" w14:textId="77777777" w:rsidR="00830E72" w:rsidRDefault="008344D8">
                <w:pPr>
                  <w:jc w:val="right"/>
                  <w:rPr>
                    <w:szCs w:val="21"/>
                  </w:rPr>
                </w:pPr>
                <w:r>
                  <w:t>6,000,000</w:t>
                </w:r>
              </w:p>
            </w:tc>
            <w:tc>
              <w:tcPr>
                <w:tcW w:w="653" w:type="pct"/>
                <w:shd w:val="clear" w:color="auto" w:fill="auto"/>
                <w:vAlign w:val="center"/>
              </w:tcPr>
              <w:p w14:paraId="463C77B4" w14:textId="77777777" w:rsidR="00830E72" w:rsidRDefault="008344D8">
                <w:pPr>
                  <w:rPr>
                    <w:szCs w:val="21"/>
                  </w:rPr>
                </w:pPr>
                <w:r>
                  <w:rPr>
                    <w:szCs w:val="21"/>
                  </w:rPr>
                  <w:t>2022-10-21</w:t>
                </w:r>
              </w:p>
            </w:tc>
            <w:tc>
              <w:tcPr>
                <w:tcW w:w="654" w:type="pct"/>
                <w:shd w:val="clear" w:color="auto" w:fill="auto"/>
                <w:vAlign w:val="center"/>
              </w:tcPr>
              <w:p w14:paraId="18C9181F" w14:textId="77777777" w:rsidR="00830E72" w:rsidRDefault="008344D8">
                <w:pPr>
                  <w:jc w:val="right"/>
                  <w:rPr>
                    <w:szCs w:val="21"/>
                  </w:rPr>
                </w:pPr>
                <w:r>
                  <w:rPr>
                    <w:rFonts w:hint="eastAsia"/>
                    <w:szCs w:val="21"/>
                  </w:rPr>
                  <w:t>0</w:t>
                </w:r>
              </w:p>
            </w:tc>
            <w:tc>
              <w:tcPr>
                <w:tcW w:w="655" w:type="pct"/>
                <w:shd w:val="clear" w:color="auto" w:fill="auto"/>
                <w:vAlign w:val="center"/>
              </w:tcPr>
              <w:p w14:paraId="75AF2E08" w14:textId="77777777" w:rsidR="00830E72" w:rsidRDefault="008344D8">
                <w:pPr>
                  <w:rPr>
                    <w:szCs w:val="21"/>
                  </w:rPr>
                </w:pPr>
                <w:r>
                  <w:t>首发限售股</w:t>
                </w:r>
              </w:p>
            </w:tc>
          </w:tr>
          <w:tr w:rsidR="00830E72" w14:paraId="0CF07E65" w14:textId="77777777">
            <w:trPr>
              <w:cantSplit/>
              <w:trHeight w:val="345"/>
            </w:trPr>
            <w:tc>
              <w:tcPr>
                <w:tcW w:w="482" w:type="pct"/>
                <w:shd w:val="clear" w:color="auto" w:fill="auto"/>
                <w:vAlign w:val="center"/>
              </w:tcPr>
              <w:sdt>
                <w:sdtPr>
                  <w:rPr>
                    <w:rFonts w:ascii="宋体" w:hAnsi="宋体" w:cs="宋体"/>
                    <w:szCs w:val="22"/>
                  </w:rPr>
                  <w:tag w:val="_GBC_f32d0bdb0c31457e83a46f73c1a5c98a"/>
                  <w:id w:val="2005853243"/>
                  <w:lock w:val="sdtLocked"/>
                </w:sdtPr>
                <w:sdtEndPr>
                  <w:rPr>
                    <w:rFonts w:cs="Times New Roman"/>
                    <w:szCs w:val="21"/>
                  </w:rPr>
                </w:sdtEndPr>
                <w:sdtContent>
                  <w:p w14:paraId="1732F598" w14:textId="77777777" w:rsidR="00830E72" w:rsidRDefault="008344D8">
                    <w:pPr>
                      <w:pStyle w:val="ab"/>
                      <w:jc w:val="center"/>
                      <w:rPr>
                        <w:rFonts w:ascii="宋体" w:hAnsi="宋体"/>
                      </w:rPr>
                    </w:pPr>
                    <w:r>
                      <w:rPr>
                        <w:rFonts w:ascii="宋体" w:hAnsi="宋体"/>
                      </w:rPr>
                      <w:t>7</w:t>
                    </w:r>
                  </w:p>
                </w:sdtContent>
              </w:sdt>
            </w:tc>
            <w:tc>
              <w:tcPr>
                <w:tcW w:w="1903" w:type="pct"/>
                <w:shd w:val="clear" w:color="auto" w:fill="auto"/>
                <w:vAlign w:val="center"/>
              </w:tcPr>
              <w:p w14:paraId="19049672" w14:textId="77777777" w:rsidR="00830E72" w:rsidRDefault="008344D8">
                <w:pPr>
                  <w:rPr>
                    <w:szCs w:val="21"/>
                  </w:rPr>
                </w:pPr>
                <w:r>
                  <w:t>黄山市启建投资管理中心（有限合伙）</w:t>
                </w:r>
              </w:p>
            </w:tc>
            <w:tc>
              <w:tcPr>
                <w:tcW w:w="653" w:type="pct"/>
                <w:shd w:val="clear" w:color="auto" w:fill="auto"/>
                <w:vAlign w:val="center"/>
              </w:tcPr>
              <w:p w14:paraId="600C5F2A" w14:textId="77777777" w:rsidR="00830E72" w:rsidRDefault="008344D8">
                <w:pPr>
                  <w:jc w:val="right"/>
                  <w:rPr>
                    <w:szCs w:val="21"/>
                  </w:rPr>
                </w:pPr>
                <w:r>
                  <w:t>5,219,500</w:t>
                </w:r>
              </w:p>
            </w:tc>
            <w:tc>
              <w:tcPr>
                <w:tcW w:w="653" w:type="pct"/>
                <w:shd w:val="clear" w:color="auto" w:fill="auto"/>
                <w:vAlign w:val="center"/>
              </w:tcPr>
              <w:p w14:paraId="55ABC099" w14:textId="77777777" w:rsidR="00830E72" w:rsidRDefault="008344D8">
                <w:pPr>
                  <w:rPr>
                    <w:szCs w:val="21"/>
                  </w:rPr>
                </w:pPr>
                <w:r>
                  <w:rPr>
                    <w:szCs w:val="21"/>
                  </w:rPr>
                  <w:t>2022-10-21</w:t>
                </w:r>
              </w:p>
            </w:tc>
            <w:tc>
              <w:tcPr>
                <w:tcW w:w="654" w:type="pct"/>
                <w:shd w:val="clear" w:color="auto" w:fill="auto"/>
                <w:vAlign w:val="center"/>
              </w:tcPr>
              <w:p w14:paraId="39088E77" w14:textId="77777777" w:rsidR="00830E72" w:rsidRDefault="008344D8">
                <w:pPr>
                  <w:jc w:val="right"/>
                  <w:rPr>
                    <w:szCs w:val="21"/>
                  </w:rPr>
                </w:pPr>
                <w:r>
                  <w:rPr>
                    <w:rFonts w:hint="eastAsia"/>
                    <w:szCs w:val="21"/>
                  </w:rPr>
                  <w:t>0</w:t>
                </w:r>
              </w:p>
            </w:tc>
            <w:tc>
              <w:tcPr>
                <w:tcW w:w="655" w:type="pct"/>
                <w:shd w:val="clear" w:color="auto" w:fill="auto"/>
                <w:vAlign w:val="center"/>
              </w:tcPr>
              <w:p w14:paraId="184E3FC1" w14:textId="77777777" w:rsidR="00830E72" w:rsidRDefault="008344D8">
                <w:pPr>
                  <w:rPr>
                    <w:szCs w:val="21"/>
                  </w:rPr>
                </w:pPr>
                <w:r>
                  <w:t>首发限售股</w:t>
                </w:r>
              </w:p>
            </w:tc>
          </w:tr>
          <w:tr w:rsidR="00830E72" w14:paraId="29A59820" w14:textId="77777777">
            <w:trPr>
              <w:cantSplit/>
              <w:trHeight w:val="345"/>
            </w:trPr>
            <w:tc>
              <w:tcPr>
                <w:tcW w:w="482" w:type="pct"/>
                <w:shd w:val="clear" w:color="auto" w:fill="auto"/>
                <w:vAlign w:val="center"/>
              </w:tcPr>
              <w:sdt>
                <w:sdtPr>
                  <w:rPr>
                    <w:rFonts w:ascii="宋体" w:hAnsi="宋体" w:cs="宋体"/>
                    <w:szCs w:val="22"/>
                  </w:rPr>
                  <w:tag w:val="_GBC_f32d0bdb0c31457e83a46f73c1a5c98a"/>
                  <w:id w:val="1000774008"/>
                  <w:lock w:val="sdtLocked"/>
                </w:sdtPr>
                <w:sdtEndPr>
                  <w:rPr>
                    <w:rFonts w:cs="Times New Roman"/>
                    <w:szCs w:val="21"/>
                  </w:rPr>
                </w:sdtEndPr>
                <w:sdtContent>
                  <w:p w14:paraId="012DB3C6" w14:textId="77777777" w:rsidR="00830E72" w:rsidRDefault="008344D8">
                    <w:pPr>
                      <w:pStyle w:val="ab"/>
                      <w:jc w:val="center"/>
                      <w:rPr>
                        <w:rFonts w:ascii="宋体" w:hAnsi="宋体"/>
                      </w:rPr>
                    </w:pPr>
                    <w:r>
                      <w:rPr>
                        <w:rFonts w:ascii="宋体" w:hAnsi="宋体"/>
                      </w:rPr>
                      <w:t>8</w:t>
                    </w:r>
                  </w:p>
                </w:sdtContent>
              </w:sdt>
            </w:tc>
            <w:tc>
              <w:tcPr>
                <w:tcW w:w="1903" w:type="pct"/>
                <w:shd w:val="clear" w:color="auto" w:fill="auto"/>
                <w:vAlign w:val="center"/>
              </w:tcPr>
              <w:p w14:paraId="5156668E" w14:textId="77777777" w:rsidR="00830E72" w:rsidRDefault="008344D8">
                <w:pPr>
                  <w:rPr>
                    <w:szCs w:val="21"/>
                  </w:rPr>
                </w:pPr>
                <w:r>
                  <w:t>欧阳明</w:t>
                </w:r>
              </w:p>
            </w:tc>
            <w:tc>
              <w:tcPr>
                <w:tcW w:w="653" w:type="pct"/>
                <w:shd w:val="clear" w:color="auto" w:fill="auto"/>
                <w:vAlign w:val="center"/>
              </w:tcPr>
              <w:p w14:paraId="7AA93531" w14:textId="77777777" w:rsidR="00830E72" w:rsidRDefault="008344D8">
                <w:pPr>
                  <w:jc w:val="right"/>
                  <w:rPr>
                    <w:szCs w:val="21"/>
                  </w:rPr>
                </w:pPr>
                <w:r>
                  <w:t>1,945,320</w:t>
                </w:r>
              </w:p>
            </w:tc>
            <w:tc>
              <w:tcPr>
                <w:tcW w:w="653" w:type="pct"/>
                <w:shd w:val="clear" w:color="auto" w:fill="auto"/>
                <w:vAlign w:val="center"/>
              </w:tcPr>
              <w:p w14:paraId="486A9BC6" w14:textId="77777777" w:rsidR="00830E72" w:rsidRDefault="008344D8">
                <w:pPr>
                  <w:rPr>
                    <w:szCs w:val="21"/>
                  </w:rPr>
                </w:pPr>
                <w:r>
                  <w:rPr>
                    <w:szCs w:val="21"/>
                  </w:rPr>
                  <w:t>2022-10-21</w:t>
                </w:r>
              </w:p>
            </w:tc>
            <w:tc>
              <w:tcPr>
                <w:tcW w:w="654" w:type="pct"/>
                <w:shd w:val="clear" w:color="auto" w:fill="auto"/>
                <w:vAlign w:val="center"/>
              </w:tcPr>
              <w:p w14:paraId="3CE6E840" w14:textId="77777777" w:rsidR="00830E72" w:rsidRDefault="008344D8">
                <w:pPr>
                  <w:jc w:val="right"/>
                  <w:rPr>
                    <w:szCs w:val="21"/>
                  </w:rPr>
                </w:pPr>
                <w:r>
                  <w:rPr>
                    <w:rFonts w:hint="eastAsia"/>
                    <w:szCs w:val="21"/>
                  </w:rPr>
                  <w:t>0</w:t>
                </w:r>
              </w:p>
            </w:tc>
            <w:tc>
              <w:tcPr>
                <w:tcW w:w="655" w:type="pct"/>
                <w:shd w:val="clear" w:color="auto" w:fill="auto"/>
                <w:vAlign w:val="center"/>
              </w:tcPr>
              <w:p w14:paraId="0168B99E" w14:textId="77777777" w:rsidR="00830E72" w:rsidRDefault="008344D8">
                <w:pPr>
                  <w:rPr>
                    <w:szCs w:val="21"/>
                  </w:rPr>
                </w:pPr>
                <w:r>
                  <w:t>首发限售股</w:t>
                </w:r>
              </w:p>
            </w:tc>
          </w:tr>
          <w:tr w:rsidR="00830E72" w14:paraId="5483D030" w14:textId="77777777">
            <w:trPr>
              <w:cantSplit/>
              <w:trHeight w:val="345"/>
            </w:trPr>
            <w:tc>
              <w:tcPr>
                <w:tcW w:w="482" w:type="pct"/>
                <w:shd w:val="clear" w:color="auto" w:fill="auto"/>
                <w:vAlign w:val="center"/>
              </w:tcPr>
              <w:sdt>
                <w:sdtPr>
                  <w:rPr>
                    <w:rFonts w:ascii="宋体" w:hAnsi="宋体" w:cs="宋体"/>
                    <w:szCs w:val="22"/>
                  </w:rPr>
                  <w:tag w:val="_GBC_f32d0bdb0c31457e83a46f73c1a5c98a"/>
                  <w:id w:val="881982560"/>
                  <w:lock w:val="sdtLocked"/>
                </w:sdtPr>
                <w:sdtEndPr>
                  <w:rPr>
                    <w:rFonts w:cs="Times New Roman"/>
                    <w:szCs w:val="21"/>
                  </w:rPr>
                </w:sdtEndPr>
                <w:sdtContent>
                  <w:p w14:paraId="50C9C02B" w14:textId="77777777" w:rsidR="00830E72" w:rsidRDefault="008344D8">
                    <w:pPr>
                      <w:pStyle w:val="ab"/>
                      <w:jc w:val="center"/>
                      <w:rPr>
                        <w:rFonts w:ascii="宋体" w:hAnsi="宋体"/>
                      </w:rPr>
                    </w:pPr>
                    <w:r>
                      <w:rPr>
                        <w:rFonts w:ascii="宋体" w:hAnsi="宋体"/>
                      </w:rPr>
                      <w:t>9</w:t>
                    </w:r>
                  </w:p>
                </w:sdtContent>
              </w:sdt>
            </w:tc>
            <w:tc>
              <w:tcPr>
                <w:tcW w:w="1903" w:type="pct"/>
                <w:shd w:val="clear" w:color="auto" w:fill="auto"/>
                <w:vAlign w:val="center"/>
              </w:tcPr>
              <w:p w14:paraId="66DE0DF8" w14:textId="77777777" w:rsidR="00830E72" w:rsidRDefault="008344D8">
                <w:pPr>
                  <w:rPr>
                    <w:szCs w:val="21"/>
                  </w:rPr>
                </w:pPr>
                <w:r>
                  <w:t>俞红华</w:t>
                </w:r>
              </w:p>
            </w:tc>
            <w:tc>
              <w:tcPr>
                <w:tcW w:w="653" w:type="pct"/>
                <w:shd w:val="clear" w:color="auto" w:fill="auto"/>
                <w:vAlign w:val="center"/>
              </w:tcPr>
              <w:p w14:paraId="6FCACB3E" w14:textId="77777777" w:rsidR="00830E72" w:rsidRDefault="008344D8">
                <w:pPr>
                  <w:jc w:val="right"/>
                  <w:rPr>
                    <w:szCs w:val="21"/>
                  </w:rPr>
                </w:pPr>
                <w:r>
                  <w:t>1,945,320</w:t>
                </w:r>
              </w:p>
            </w:tc>
            <w:tc>
              <w:tcPr>
                <w:tcW w:w="653" w:type="pct"/>
                <w:shd w:val="clear" w:color="auto" w:fill="auto"/>
                <w:vAlign w:val="center"/>
              </w:tcPr>
              <w:p w14:paraId="51E3F5CB" w14:textId="77777777" w:rsidR="00830E72" w:rsidRDefault="008344D8">
                <w:pPr>
                  <w:rPr>
                    <w:szCs w:val="21"/>
                  </w:rPr>
                </w:pPr>
                <w:r>
                  <w:rPr>
                    <w:szCs w:val="21"/>
                  </w:rPr>
                  <w:t>2022-10-21</w:t>
                </w:r>
              </w:p>
            </w:tc>
            <w:tc>
              <w:tcPr>
                <w:tcW w:w="654" w:type="pct"/>
                <w:shd w:val="clear" w:color="auto" w:fill="auto"/>
                <w:vAlign w:val="center"/>
              </w:tcPr>
              <w:p w14:paraId="315958B8" w14:textId="77777777" w:rsidR="00830E72" w:rsidRDefault="008344D8">
                <w:pPr>
                  <w:jc w:val="right"/>
                  <w:rPr>
                    <w:szCs w:val="21"/>
                  </w:rPr>
                </w:pPr>
                <w:r>
                  <w:rPr>
                    <w:rFonts w:hint="eastAsia"/>
                    <w:szCs w:val="21"/>
                  </w:rPr>
                  <w:t>0</w:t>
                </w:r>
              </w:p>
            </w:tc>
            <w:tc>
              <w:tcPr>
                <w:tcW w:w="655" w:type="pct"/>
                <w:shd w:val="clear" w:color="auto" w:fill="auto"/>
                <w:vAlign w:val="center"/>
              </w:tcPr>
              <w:p w14:paraId="4BAD5ADE" w14:textId="77777777" w:rsidR="00830E72" w:rsidRDefault="008344D8">
                <w:pPr>
                  <w:rPr>
                    <w:szCs w:val="21"/>
                  </w:rPr>
                </w:pPr>
                <w:r>
                  <w:t>首发限售股</w:t>
                </w:r>
              </w:p>
            </w:tc>
          </w:tr>
          <w:tr w:rsidR="00830E72" w14:paraId="0D5826F9" w14:textId="77777777">
            <w:trPr>
              <w:cantSplit/>
              <w:trHeight w:val="345"/>
            </w:trPr>
            <w:tc>
              <w:tcPr>
                <w:tcW w:w="482" w:type="pct"/>
                <w:shd w:val="clear" w:color="auto" w:fill="auto"/>
                <w:vAlign w:val="center"/>
              </w:tcPr>
              <w:sdt>
                <w:sdtPr>
                  <w:rPr>
                    <w:rFonts w:ascii="宋体" w:hAnsi="宋体" w:cs="宋体"/>
                    <w:szCs w:val="22"/>
                  </w:rPr>
                  <w:tag w:val="_GBC_f32d0bdb0c31457e83a46f73c1a5c98a"/>
                  <w:id w:val="-2025005356"/>
                  <w:lock w:val="sdtLocked"/>
                </w:sdtPr>
                <w:sdtEndPr>
                  <w:rPr>
                    <w:rFonts w:cs="Times New Roman"/>
                    <w:szCs w:val="21"/>
                  </w:rPr>
                </w:sdtEndPr>
                <w:sdtContent>
                  <w:p w14:paraId="5FD69D99" w14:textId="77777777" w:rsidR="00830E72" w:rsidRDefault="008344D8">
                    <w:pPr>
                      <w:pStyle w:val="ab"/>
                      <w:jc w:val="center"/>
                      <w:rPr>
                        <w:rFonts w:ascii="宋体" w:hAnsi="宋体"/>
                      </w:rPr>
                    </w:pPr>
                    <w:r>
                      <w:rPr>
                        <w:rFonts w:ascii="宋体" w:hAnsi="宋体"/>
                      </w:rPr>
                      <w:t>10</w:t>
                    </w:r>
                  </w:p>
                </w:sdtContent>
              </w:sdt>
            </w:tc>
            <w:tc>
              <w:tcPr>
                <w:tcW w:w="1903" w:type="pct"/>
                <w:shd w:val="clear" w:color="auto" w:fill="auto"/>
                <w:vAlign w:val="center"/>
              </w:tcPr>
              <w:p w14:paraId="4768E075" w14:textId="77777777" w:rsidR="00830E72" w:rsidRDefault="008344D8">
                <w:pPr>
                  <w:rPr>
                    <w:szCs w:val="21"/>
                  </w:rPr>
                </w:pPr>
                <w:r>
                  <w:t>陈明洋</w:t>
                </w:r>
              </w:p>
            </w:tc>
            <w:tc>
              <w:tcPr>
                <w:tcW w:w="653" w:type="pct"/>
                <w:shd w:val="clear" w:color="auto" w:fill="auto"/>
                <w:vAlign w:val="center"/>
              </w:tcPr>
              <w:p w14:paraId="1D77B53C" w14:textId="77777777" w:rsidR="00830E72" w:rsidRDefault="008344D8">
                <w:pPr>
                  <w:jc w:val="right"/>
                  <w:rPr>
                    <w:szCs w:val="21"/>
                  </w:rPr>
                </w:pPr>
                <w:r>
                  <w:t>1,710,000</w:t>
                </w:r>
              </w:p>
            </w:tc>
            <w:tc>
              <w:tcPr>
                <w:tcW w:w="653" w:type="pct"/>
                <w:shd w:val="clear" w:color="auto" w:fill="auto"/>
                <w:vAlign w:val="center"/>
              </w:tcPr>
              <w:p w14:paraId="14707247" w14:textId="77777777" w:rsidR="00830E72" w:rsidRDefault="008344D8">
                <w:pPr>
                  <w:rPr>
                    <w:szCs w:val="21"/>
                  </w:rPr>
                </w:pPr>
                <w:r>
                  <w:rPr>
                    <w:szCs w:val="21"/>
                  </w:rPr>
                  <w:t>2022-10-21</w:t>
                </w:r>
              </w:p>
            </w:tc>
            <w:tc>
              <w:tcPr>
                <w:tcW w:w="654" w:type="pct"/>
                <w:shd w:val="clear" w:color="auto" w:fill="auto"/>
                <w:vAlign w:val="center"/>
              </w:tcPr>
              <w:p w14:paraId="38DCB91A" w14:textId="77777777" w:rsidR="00830E72" w:rsidRDefault="008344D8">
                <w:pPr>
                  <w:jc w:val="right"/>
                  <w:rPr>
                    <w:szCs w:val="21"/>
                  </w:rPr>
                </w:pPr>
                <w:r>
                  <w:rPr>
                    <w:rFonts w:hint="eastAsia"/>
                    <w:szCs w:val="21"/>
                  </w:rPr>
                  <w:t>0</w:t>
                </w:r>
              </w:p>
            </w:tc>
            <w:tc>
              <w:tcPr>
                <w:tcW w:w="655" w:type="pct"/>
                <w:shd w:val="clear" w:color="auto" w:fill="auto"/>
                <w:vAlign w:val="center"/>
              </w:tcPr>
              <w:p w14:paraId="06B5F3D7" w14:textId="77777777" w:rsidR="00830E72" w:rsidRDefault="008344D8">
                <w:pPr>
                  <w:rPr>
                    <w:szCs w:val="21"/>
                  </w:rPr>
                </w:pPr>
                <w:r>
                  <w:t>首发限售股</w:t>
                </w:r>
              </w:p>
            </w:tc>
          </w:tr>
          <w:tr w:rsidR="00830E72" w14:paraId="2E051115" w14:textId="77777777">
            <w:trPr>
              <w:cantSplit/>
            </w:trPr>
            <w:sdt>
              <w:sdtPr>
                <w:tag w:val="_PLD_36d7b2d69f1746d18d12a19b0bd1d57e"/>
                <w:id w:val="593599376"/>
                <w:lock w:val="sdtLocked"/>
              </w:sdtPr>
              <w:sdtEndPr/>
              <w:sdtContent>
                <w:tc>
                  <w:tcPr>
                    <w:tcW w:w="2385" w:type="pct"/>
                    <w:gridSpan w:val="2"/>
                    <w:shd w:val="clear" w:color="auto" w:fill="auto"/>
                    <w:vAlign w:val="center"/>
                  </w:tcPr>
                  <w:p w14:paraId="09DBC3DA" w14:textId="77777777" w:rsidR="00830E72" w:rsidRDefault="008344D8">
                    <w:pPr>
                      <w:ind w:rightChars="46" w:right="97"/>
                      <w:rPr>
                        <w:szCs w:val="21"/>
                      </w:rPr>
                    </w:pPr>
                    <w:r>
                      <w:rPr>
                        <w:rFonts w:hint="eastAsia"/>
                        <w:szCs w:val="21"/>
                      </w:rPr>
                      <w:t>上述股东关联关系或一致行动的说明</w:t>
                    </w:r>
                  </w:p>
                </w:tc>
              </w:sdtContent>
            </w:sdt>
            <w:tc>
              <w:tcPr>
                <w:tcW w:w="2615" w:type="pct"/>
                <w:gridSpan w:val="4"/>
                <w:shd w:val="clear" w:color="auto" w:fill="auto"/>
                <w:vAlign w:val="center"/>
              </w:tcPr>
              <w:p w14:paraId="4EF527CF" w14:textId="77777777" w:rsidR="00830E72" w:rsidRDefault="008344D8">
                <w:r>
                  <w:rPr>
                    <w:rFonts w:hint="eastAsia"/>
                  </w:rPr>
                  <w:t>俞发祥与俞水祥系兄弟关系；俞发祥系祥源控股实际控制人；祥源控股系为众投资的执行事务合伙人。</w:t>
                </w:r>
              </w:p>
            </w:tc>
          </w:tr>
        </w:tbl>
        <w:p w14:paraId="136D2727" w14:textId="77777777" w:rsidR="00830E72" w:rsidRDefault="00D44830"/>
      </w:sdtContent>
    </w:sdt>
    <w:p w14:paraId="5D83B272" w14:textId="77777777" w:rsidR="00830E72" w:rsidRDefault="00830E72">
      <w:bookmarkStart w:id="55" w:name="_Toc342059487"/>
      <w:bookmarkStart w:id="56" w:name="_Toc342566000"/>
    </w:p>
    <w:sdt>
      <w:sdtPr>
        <w:rPr>
          <w:rFonts w:ascii="宋体" w:hAnsi="宋体" w:cs="宋体"/>
          <w:b w:val="0"/>
          <w:bCs w:val="0"/>
          <w:kern w:val="0"/>
          <w:szCs w:val="22"/>
        </w:rPr>
        <w:alias w:val="模块:战略投资者或一般法人因配售新股成为前10名股东"/>
        <w:tag w:val="_GBC_e978a717352b4bf6852a761b15c1e95b"/>
        <w:id w:val="-1956784375"/>
        <w:lock w:val="sdtLocked"/>
        <w:placeholder>
          <w:docPart w:val="GBC22222222222222222222222222222"/>
        </w:placeholder>
      </w:sdtPr>
      <w:sdtEndPr>
        <w:rPr>
          <w:szCs w:val="24"/>
        </w:rPr>
      </w:sdtEndPr>
      <w:sdtContent>
        <w:p w14:paraId="2061B0DC" w14:textId="77777777" w:rsidR="00830E72" w:rsidRDefault="008344D8">
          <w:pPr>
            <w:pStyle w:val="3"/>
            <w:numPr>
              <w:ilvl w:val="1"/>
              <w:numId w:val="28"/>
            </w:numPr>
            <w:rPr>
              <w:rFonts w:ascii="宋体" w:hAnsi="宋体"/>
            </w:rPr>
          </w:pPr>
          <w:r>
            <w:rPr>
              <w:rFonts w:ascii="宋体" w:hAnsi="宋体"/>
            </w:rPr>
            <w:t>战略投资者或一般法人因配售新股成为前</w:t>
          </w:r>
          <w:r>
            <w:rPr>
              <w:rFonts w:ascii="宋体" w:hAnsi="宋体" w:hint="eastAsia"/>
            </w:rPr>
            <w:t>十</w:t>
          </w:r>
          <w:r>
            <w:rPr>
              <w:rFonts w:ascii="宋体" w:hAnsi="宋体"/>
            </w:rPr>
            <w:t>名股东</w:t>
          </w:r>
        </w:p>
        <w:sdt>
          <w:sdtPr>
            <w:alias w:val="是否适用：战略投资者或一般法人因配售新股成为前10名股东[双击切换]"/>
            <w:tag w:val="_GBC_fe7bdc72bd78490fb48d0f3eaca6248e"/>
            <w:id w:val="-1328586149"/>
            <w:lock w:val="sdtLocked"/>
            <w:placeholder>
              <w:docPart w:val="GBC22222222222222222222222222222"/>
            </w:placeholder>
          </w:sdtPr>
          <w:sdtEndPr/>
          <w:sdtContent>
            <w:p w14:paraId="5ECA9B8C"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DBE2978" w14:textId="77777777" w:rsidR="00830E72" w:rsidRDefault="00830E72"/>
    <w:p w14:paraId="2349B1BE" w14:textId="77777777" w:rsidR="00830E72" w:rsidRDefault="008344D8">
      <w:pPr>
        <w:pStyle w:val="2"/>
        <w:numPr>
          <w:ilvl w:val="0"/>
          <w:numId w:val="25"/>
        </w:numPr>
        <w:spacing w:line="360" w:lineRule="auto"/>
        <w:ind w:left="422" w:hanging="422"/>
        <w:rPr>
          <w:rFonts w:ascii="宋体" w:hAnsi="宋体"/>
        </w:rPr>
      </w:pPr>
      <w:bookmarkStart w:id="57" w:name="_Toc342057944"/>
      <w:bookmarkStart w:id="58" w:name="_Toc342566004"/>
      <w:r>
        <w:rPr>
          <w:rFonts w:ascii="宋体" w:hAnsi="宋体"/>
        </w:rPr>
        <w:t>董事、监事和高级管理人员情况</w:t>
      </w:r>
    </w:p>
    <w:sdt>
      <w:sdtPr>
        <w:rPr>
          <w:rFonts w:ascii="宋体" w:hAnsi="宋体" w:cs="宋体"/>
          <w:b w:val="0"/>
          <w:bCs w:val="0"/>
          <w:kern w:val="0"/>
          <w:szCs w:val="24"/>
        </w:rPr>
        <w:alias w:val="模块:现任及报告期内离任董事、监事和高级管理人员持股变动情况 "/>
        <w:tag w:val="_SEC_34f8808520ab47be851d00ee44fc510b"/>
        <w:id w:val="-201866394"/>
        <w:lock w:val="sdtLocked"/>
        <w:placeholder>
          <w:docPart w:val="GBC22222222222222222222222222222"/>
        </w:placeholder>
      </w:sdtPr>
      <w:sdtEndPr/>
      <w:sdtContent>
        <w:p w14:paraId="5D3494FF" w14:textId="77777777" w:rsidR="00830E72" w:rsidRDefault="008344D8">
          <w:pPr>
            <w:pStyle w:val="3"/>
            <w:numPr>
              <w:ilvl w:val="2"/>
              <w:numId w:val="29"/>
            </w:numPr>
            <w:rPr>
              <w:rFonts w:ascii="宋体" w:hAnsi="宋体"/>
            </w:rPr>
          </w:pPr>
          <w:r>
            <w:rPr>
              <w:rFonts w:ascii="宋体" w:hAnsi="宋体"/>
            </w:rPr>
            <w:t>现任及报告期内离任董事、监事和高级管理人员持股变动情况</w:t>
          </w:r>
        </w:p>
        <w:sdt>
          <w:sdtPr>
            <w:alias w:val="是否适用：董事、监事和高级管理人员持股变动[双击切换]"/>
            <w:tag w:val="_GBC_e4aa9f89c24b4cbb80c479762adcf568"/>
            <w:id w:val="-374163051"/>
            <w:lock w:val="sdtLocked"/>
            <w:placeholder>
              <w:docPart w:val="GBC22222222222222222222222222222"/>
            </w:placeholder>
          </w:sdtPr>
          <w:sdtEndPr/>
          <w:sdtContent>
            <w:p w14:paraId="4544E5B6"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F2D403E" w14:textId="77777777" w:rsidR="00830E72" w:rsidRDefault="00830E72"/>
    <w:sdt>
      <w:sdtPr>
        <w:alias w:val="模块:其它情况说明"/>
        <w:tag w:val="_SEC_ddbdd27d049d452a9d63bfa087a3f3c5"/>
        <w:id w:val="-180897019"/>
        <w:lock w:val="sdtLocked"/>
        <w:placeholder>
          <w:docPart w:val="GBC22222222222222222222222222222"/>
        </w:placeholder>
      </w:sdtPr>
      <w:sdtEndPr>
        <w:rPr>
          <w:rFonts w:hint="eastAsia"/>
        </w:rPr>
      </w:sdtEndPr>
      <w:sdtContent>
        <w:p w14:paraId="06069585" w14:textId="77777777" w:rsidR="00830E72" w:rsidRDefault="008344D8">
          <w:r>
            <w:t>其它情况说明</w:t>
          </w:r>
        </w:p>
        <w:sdt>
          <w:sdtPr>
            <w:alias w:val="是否适用：董事、监事 和高级管理人员持股变动及报酬情况其他情况说明[双击切换]"/>
            <w:tag w:val="_GBC_6604d619d6f94a81b12f8155637bb211"/>
            <w:id w:val="1956447334"/>
            <w:lock w:val="sdtLocked"/>
            <w:placeholder>
              <w:docPart w:val="GBC22222222222222222222222222222"/>
            </w:placeholder>
          </w:sdtPr>
          <w:sdtEndPr/>
          <w:sdtContent>
            <w:p w14:paraId="45A2C0B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58" w:displacedByCustomXml="next"/>
    <w:bookmarkEnd w:id="57" w:displacedByCustomXml="next"/>
    <w:bookmarkStart w:id="59" w:name="_Toc342057945" w:displacedByCustomXml="next"/>
    <w:bookmarkStart w:id="60" w:name="_Toc342566005" w:displacedByCustomXml="next"/>
    <w:sdt>
      <w:sdtPr>
        <w:rPr>
          <w:rFonts w:ascii="宋体" w:hAnsi="宋体" w:cs="宋体" w:hint="eastAsia"/>
          <w:b w:val="0"/>
          <w:bCs w:val="0"/>
          <w:kern w:val="0"/>
          <w:szCs w:val="24"/>
        </w:rPr>
        <w:alias w:val="模块:董事、监事、高级管理人员报告期内被授予的股权激励情况"/>
        <w:tag w:val="_SEC_e31f847e559a4ff7aa07914d45526543"/>
        <w:id w:val="-1326205022"/>
        <w:lock w:val="sdtLocked"/>
        <w:placeholder>
          <w:docPart w:val="GBC22222222222222222222222222222"/>
        </w:placeholder>
      </w:sdtPr>
      <w:sdtEndPr>
        <w:rPr>
          <w:rFonts w:hint="default"/>
          <w:color w:val="0000FF"/>
          <w:szCs w:val="21"/>
        </w:rPr>
      </w:sdtEndPr>
      <w:sdtContent>
        <w:p w14:paraId="0FC73B0B" w14:textId="77777777" w:rsidR="00830E72" w:rsidRDefault="008344D8">
          <w:pPr>
            <w:pStyle w:val="3"/>
            <w:numPr>
              <w:ilvl w:val="2"/>
              <w:numId w:val="29"/>
            </w:numPr>
            <w:rPr>
              <w:rFonts w:ascii="宋体" w:hAnsi="宋体"/>
            </w:rPr>
          </w:pPr>
          <w:r>
            <w:rPr>
              <w:rFonts w:ascii="宋体" w:hAnsi="宋体" w:hint="eastAsia"/>
            </w:rPr>
            <w:t>董事、监事、高级管理人员报告期内被授予的股权激励情况</w:t>
          </w:r>
          <w:bookmarkEnd w:id="60"/>
          <w:bookmarkEnd w:id="59"/>
        </w:p>
        <w:p w14:paraId="6930C852" w14:textId="77777777" w:rsidR="00830E72" w:rsidRDefault="00D44830">
          <w:pPr>
            <w:kinsoku w:val="0"/>
            <w:overflowPunct w:val="0"/>
            <w:autoSpaceDE w:val="0"/>
            <w:autoSpaceDN w:val="0"/>
            <w:adjustRightInd w:val="0"/>
            <w:snapToGrid w:val="0"/>
            <w:rPr>
              <w:color w:val="0000FF"/>
              <w:szCs w:val="21"/>
            </w:rPr>
          </w:pPr>
          <w:sdt>
            <w:sdtPr>
              <w:rPr>
                <w:rFonts w:hint="eastAsia"/>
                <w:szCs w:val="21"/>
              </w:rPr>
              <w:alias w:val="是否适用：董事、监事、高级管理人员报告期内被授予的股权激励情况[双击切换]"/>
              <w:tag w:val="_GBC_3c204ebee7cf4fc2a7c4a3ad63ffe1c4"/>
              <w:id w:val="176155044"/>
              <w:lock w:val="sdtLocked"/>
              <w:placeholder>
                <w:docPart w:val="GBC22222222222222222222222222222"/>
              </w:placeholder>
            </w:sdtPr>
            <w:sdtEndPr/>
            <w:sdtContent>
              <w:r w:rsidR="008344D8">
                <w:rPr>
                  <w:szCs w:val="21"/>
                </w:rPr>
                <w:fldChar w:fldCharType="begin"/>
              </w:r>
              <w:r w:rsidR="008344D8">
                <w:rPr>
                  <w:szCs w:val="21"/>
                </w:rPr>
                <w:instrText xml:space="preserve"> MACROBUTTON  SnrToggleCheckbox □适用 </w:instrText>
              </w:r>
              <w:r w:rsidR="008344D8">
                <w:rPr>
                  <w:szCs w:val="21"/>
                </w:rPr>
                <w:fldChar w:fldCharType="end"/>
              </w:r>
              <w:r w:rsidR="008344D8">
                <w:rPr>
                  <w:szCs w:val="21"/>
                </w:rPr>
                <w:fldChar w:fldCharType="begin"/>
              </w:r>
              <w:r w:rsidR="008344D8">
                <w:rPr>
                  <w:szCs w:val="21"/>
                </w:rPr>
                <w:instrText xml:space="preserve"> MACROBUTTON  SnrToggleCheckbox √不适用 </w:instrText>
              </w:r>
              <w:r w:rsidR="008344D8">
                <w:rPr>
                  <w:szCs w:val="21"/>
                </w:rPr>
                <w:fldChar w:fldCharType="end"/>
              </w:r>
            </w:sdtContent>
          </w:sdt>
        </w:p>
      </w:sdtContent>
    </w:sdt>
    <w:p w14:paraId="0F81DBE4" w14:textId="77777777" w:rsidR="00830E72" w:rsidRDefault="00830E72"/>
    <w:sdt>
      <w:sdtPr>
        <w:rPr>
          <w:rFonts w:ascii="宋体" w:hAnsi="宋体" w:cs="宋体" w:hint="eastAsia"/>
          <w:b w:val="0"/>
          <w:bCs w:val="0"/>
          <w:kern w:val="0"/>
          <w:szCs w:val="24"/>
        </w:rPr>
        <w:alias w:val="模块:其他董事、监事、高级管理人员和员工情况"/>
        <w:tag w:val="_SEC_a1a4d90699494886b231030a7c17645b"/>
        <w:id w:val="1900561062"/>
        <w:lock w:val="sdtLocked"/>
        <w:placeholder>
          <w:docPart w:val="GBC22222222222222222222222222222"/>
        </w:placeholder>
      </w:sdtPr>
      <w:sdtEndPr>
        <w:rPr>
          <w:rFonts w:hint="default"/>
        </w:rPr>
      </w:sdtEndPr>
      <w:sdtContent>
        <w:p w14:paraId="03DD751A" w14:textId="77777777" w:rsidR="00830E72" w:rsidRDefault="008344D8">
          <w:pPr>
            <w:pStyle w:val="3"/>
            <w:numPr>
              <w:ilvl w:val="2"/>
              <w:numId w:val="29"/>
            </w:numPr>
            <w:rPr>
              <w:rFonts w:ascii="宋体" w:hAnsi="宋体"/>
            </w:rPr>
          </w:pPr>
          <w:r>
            <w:rPr>
              <w:rFonts w:ascii="宋体" w:hAnsi="宋体" w:hint="eastAsia"/>
            </w:rPr>
            <w:t>其他说明</w:t>
          </w:r>
        </w:p>
        <w:sdt>
          <w:sdtPr>
            <w:alias w:val="是否适用：其他董事、监事、高级管理人员情况说明[双击切换]"/>
            <w:tag w:val="_GBC_8e7eb434c4c34c1b86cdb9f39b70c323"/>
            <w:id w:val="797954505"/>
            <w:lock w:val="sdtLocked"/>
            <w:placeholder>
              <w:docPart w:val="GBC22222222222222222222222222222"/>
            </w:placeholder>
          </w:sdtPr>
          <w:sdtEndPr/>
          <w:sdtContent>
            <w:p w14:paraId="61E20D8E"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55"/>
    <w:bookmarkEnd w:id="56"/>
    <w:p w14:paraId="382EF9BF" w14:textId="77777777" w:rsidR="00830E72" w:rsidRDefault="008344D8">
      <w:pPr>
        <w:pStyle w:val="2"/>
        <w:numPr>
          <w:ilvl w:val="0"/>
          <w:numId w:val="25"/>
        </w:numPr>
        <w:spacing w:line="360" w:lineRule="auto"/>
        <w:ind w:left="422" w:hanging="422"/>
        <w:rPr>
          <w:rFonts w:ascii="宋体" w:hAnsi="宋体"/>
        </w:rPr>
      </w:pPr>
      <w:r>
        <w:rPr>
          <w:rFonts w:ascii="宋体" w:hAnsi="宋体" w:hint="eastAsia"/>
        </w:rPr>
        <w:t>控股股东或实际控制人变更情况</w:t>
      </w:r>
    </w:p>
    <w:sdt>
      <w:sdtPr>
        <w:alias w:val="模块:控股股东及实际控制人变更情况"/>
        <w:tag w:val="_GBC_2e7a202224f3494aa0093f3bd0f39d33"/>
        <w:id w:val="1167437937"/>
        <w:lock w:val="sdtLocked"/>
        <w:placeholder>
          <w:docPart w:val="GBC22222222222222222222222222222"/>
        </w:placeholder>
      </w:sdtPr>
      <w:sdtEndPr/>
      <w:sdtContent>
        <w:sdt>
          <w:sdtPr>
            <w:alias w:val="是否适用：控股股东及实际控制人变更情况[双击切换]"/>
            <w:tag w:val="_GBC_84ff369a3f714dbbbec5a13460906f4b"/>
            <w:id w:val="1003860421"/>
            <w:lock w:val="sdtLocked"/>
            <w:placeholder>
              <w:docPart w:val="GBC22222222222222222222222222222"/>
            </w:placeholder>
          </w:sdtPr>
          <w:sdtEndPr/>
          <w:sdtContent>
            <w:p w14:paraId="7D2FE335"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12C6BC1" w14:textId="77777777" w:rsidR="00830E72" w:rsidRDefault="00830E72">
      <w:pPr>
        <w:sectPr w:rsidR="00830E72">
          <w:pgSz w:w="16838" w:h="11906" w:orient="landscape"/>
          <w:pgMar w:top="1797" w:right="1525" w:bottom="1276" w:left="1440" w:header="851" w:footer="992" w:gutter="0"/>
          <w:cols w:space="425"/>
          <w:docGrid w:linePitch="312"/>
        </w:sectPr>
      </w:pPr>
    </w:p>
    <w:p w14:paraId="102E9C90" w14:textId="77777777" w:rsidR="00830E72" w:rsidRDefault="00830E72" w:rsidP="00C62577">
      <w:pPr>
        <w:jc w:val="center"/>
      </w:pPr>
    </w:p>
    <w:p w14:paraId="673904CB" w14:textId="77777777" w:rsidR="00830E72" w:rsidRDefault="008344D8" w:rsidP="00C62577">
      <w:pPr>
        <w:pStyle w:val="1"/>
        <w:numPr>
          <w:ilvl w:val="0"/>
          <w:numId w:val="2"/>
        </w:numPr>
        <w:ind w:left="0" w:firstLine="0"/>
        <w:rPr>
          <w:rFonts w:ascii="黑体" w:hAnsi="黑体"/>
        </w:rPr>
      </w:pPr>
      <w:bookmarkStart w:id="61" w:name="_Toc79503149"/>
      <w:bookmarkStart w:id="62" w:name="_Toc392233017"/>
      <w:r>
        <w:rPr>
          <w:rFonts w:ascii="黑体" w:hAnsi="黑体" w:hint="eastAsia"/>
        </w:rPr>
        <w:t>优先股相关情况</w:t>
      </w:r>
      <w:bookmarkEnd w:id="61"/>
      <w:bookmarkEnd w:id="62"/>
    </w:p>
    <w:sdt>
      <w:sdtPr>
        <w:alias w:val="是否适用：优先股相关情况[双击切换]"/>
        <w:tag w:val="_GBC_2113adbee8464e1c828b3d6d35c60abf"/>
        <w:id w:val="1223948280"/>
        <w:lock w:val="sdtLocked"/>
        <w:placeholder>
          <w:docPart w:val="GBC22222222222222222222222222222"/>
        </w:placeholder>
      </w:sdtPr>
      <w:sdtEndPr/>
      <w:sdtContent>
        <w:p w14:paraId="1179E0B3"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BADFDA9" w14:textId="77777777" w:rsidR="00830E72" w:rsidRDefault="00830E72"/>
    <w:p w14:paraId="2CE8EC93" w14:textId="77777777" w:rsidR="00830E72" w:rsidRDefault="008344D8" w:rsidP="00C62577">
      <w:pPr>
        <w:pStyle w:val="1"/>
        <w:numPr>
          <w:ilvl w:val="0"/>
          <w:numId w:val="2"/>
        </w:numPr>
        <w:ind w:left="0" w:firstLine="0"/>
        <w:rPr>
          <w:rFonts w:ascii="黑体" w:hAnsi="黑体"/>
          <w:bCs w:val="0"/>
          <w:szCs w:val="28"/>
        </w:rPr>
      </w:pPr>
      <w:bookmarkStart w:id="63" w:name="_Toc79503150"/>
      <w:r>
        <w:rPr>
          <w:rFonts w:ascii="黑体" w:hAnsi="黑体" w:hint="eastAsia"/>
          <w:bCs w:val="0"/>
          <w:szCs w:val="28"/>
        </w:rPr>
        <w:t>债券相关情况</w:t>
      </w:r>
      <w:bookmarkEnd w:id="63"/>
    </w:p>
    <w:p w14:paraId="7EC8955F" w14:textId="77777777" w:rsidR="00830E72" w:rsidRDefault="008344D8">
      <w:pPr>
        <w:pStyle w:val="2"/>
        <w:numPr>
          <w:ilvl w:val="0"/>
          <w:numId w:val="30"/>
        </w:numPr>
        <w:ind w:firstLineChars="0"/>
        <w:rPr>
          <w:rFonts w:ascii="宋体" w:hAnsi="宋体"/>
        </w:rPr>
      </w:pPr>
      <w:r>
        <w:rPr>
          <w:rFonts w:ascii="宋体" w:hAnsi="宋体" w:hint="eastAsia"/>
        </w:rPr>
        <w:t>企业债券、公司债券和非金融企业债务融资工具</w:t>
      </w:r>
    </w:p>
    <w:sdt>
      <w:sdtPr>
        <w:rPr>
          <w:szCs w:val="21"/>
        </w:rPr>
        <w:alias w:val="是否适用：债券相关情况[双击切换]"/>
        <w:tag w:val="_GBC_8e6b9cf2d8c24a6faf41199f98e408b3"/>
        <w:id w:val="1193501235"/>
        <w:lock w:val="sdtLocked"/>
      </w:sdtPr>
      <w:sdtEndPr/>
      <w:sdtContent>
        <w:p w14:paraId="701752C6"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9CF5A1C" w14:textId="77777777" w:rsidR="00830E72" w:rsidRDefault="00830E72"/>
    <w:p w14:paraId="32C0B878" w14:textId="77777777" w:rsidR="00830E72" w:rsidRDefault="008344D8">
      <w:pPr>
        <w:pStyle w:val="3"/>
        <w:numPr>
          <w:ilvl w:val="0"/>
          <w:numId w:val="31"/>
        </w:numPr>
        <w:rPr>
          <w:rFonts w:ascii="宋体" w:hAnsi="宋体"/>
        </w:rPr>
      </w:pPr>
      <w:r>
        <w:rPr>
          <w:rFonts w:ascii="宋体" w:hAnsi="宋体" w:hint="eastAsia"/>
        </w:rPr>
        <w:t>企业债券</w:t>
      </w:r>
    </w:p>
    <w:p w14:paraId="26719455" w14:textId="77777777" w:rsidR="00830E72" w:rsidRDefault="00830E72"/>
    <w:p w14:paraId="6E545851" w14:textId="77777777" w:rsidR="00830E72" w:rsidRDefault="00830E72"/>
    <w:p w14:paraId="34CD1AA8" w14:textId="77777777" w:rsidR="00830E72" w:rsidRDefault="008344D8">
      <w:pPr>
        <w:pStyle w:val="2"/>
        <w:numPr>
          <w:ilvl w:val="0"/>
          <w:numId w:val="30"/>
        </w:numPr>
        <w:ind w:firstLineChars="0"/>
        <w:rPr>
          <w:rFonts w:ascii="宋体" w:hAnsi="宋体"/>
        </w:rPr>
      </w:pPr>
      <w:r>
        <w:rPr>
          <w:rFonts w:ascii="宋体" w:hAnsi="宋体" w:hint="eastAsia"/>
        </w:rPr>
        <w:t>可转换公司债券情况</w:t>
      </w:r>
    </w:p>
    <w:sdt>
      <w:sdtPr>
        <w:alias w:val="是否适用：可转换公司债券情况[双击切换]"/>
        <w:tag w:val="_GBC_6a49e99841294af3b87ba6216b1997d9"/>
        <w:id w:val="-651216828"/>
        <w:lock w:val="sdtLocked"/>
      </w:sdtPr>
      <w:sdtEndPr/>
      <w:sdtContent>
        <w:p w14:paraId="3B8462FE"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0D67A72" w14:textId="77777777" w:rsidR="00830E72" w:rsidRDefault="00830E72"/>
    <w:p w14:paraId="1F244EE4" w14:textId="77777777" w:rsidR="00830E72" w:rsidRDefault="00830E72"/>
    <w:p w14:paraId="4EF354BF" w14:textId="77777777" w:rsidR="00830E72" w:rsidRDefault="00830E72"/>
    <w:p w14:paraId="68070E02" w14:textId="77777777" w:rsidR="00830E72" w:rsidRDefault="008344D8" w:rsidP="00C62577">
      <w:pPr>
        <w:pStyle w:val="1"/>
        <w:numPr>
          <w:ilvl w:val="0"/>
          <w:numId w:val="2"/>
        </w:numPr>
        <w:ind w:left="0" w:firstLine="0"/>
        <w:rPr>
          <w:rFonts w:ascii="黑体" w:hAnsi="黑体"/>
          <w:bCs w:val="0"/>
          <w:szCs w:val="28"/>
        </w:rPr>
      </w:pPr>
      <w:bookmarkStart w:id="64" w:name="_Toc79503151"/>
      <w:r>
        <w:rPr>
          <w:rFonts w:ascii="黑体" w:hAnsi="黑体"/>
          <w:bCs w:val="0"/>
          <w:szCs w:val="28"/>
        </w:rPr>
        <w:t>财务报告</w:t>
      </w:r>
      <w:bookmarkEnd w:id="64"/>
    </w:p>
    <w:sdt>
      <w:sdtPr>
        <w:rPr>
          <w:rFonts w:ascii="宋体" w:hAnsi="宋体" w:cs="宋体" w:hint="eastAsia"/>
          <w:b w:val="0"/>
          <w:bCs w:val="0"/>
          <w:kern w:val="0"/>
          <w:szCs w:val="24"/>
        </w:rPr>
        <w:alias w:val="模块:审计报告"/>
        <w:tag w:val="_GBC_3c4b7d00409449a2b71d41277e7bd042"/>
        <w:id w:val="-71351797"/>
        <w:lock w:val="sdtLocked"/>
        <w:placeholder>
          <w:docPart w:val="GBC22222222222222222222222222222"/>
        </w:placeholder>
      </w:sdtPr>
      <w:sdtEndPr/>
      <w:sdtContent>
        <w:p w14:paraId="71B14EC5" w14:textId="77777777" w:rsidR="00830E72" w:rsidRDefault="008344D8">
          <w:pPr>
            <w:pStyle w:val="2CharCharChar"/>
            <w:numPr>
              <w:ilvl w:val="0"/>
              <w:numId w:val="32"/>
            </w:numPr>
            <w:ind w:left="420" w:hanging="420"/>
            <w:rPr>
              <w:rFonts w:ascii="宋体" w:hAnsi="宋体"/>
            </w:rPr>
          </w:pPr>
          <w:r>
            <w:rPr>
              <w:rFonts w:ascii="宋体" w:hAnsi="宋体" w:hint="eastAsia"/>
            </w:rPr>
            <w:t>审计报告</w:t>
          </w:r>
        </w:p>
        <w:sdt>
          <w:sdtPr>
            <w:alias w:val="是否适用：审计报告[双击切换]"/>
            <w:tag w:val="_GBC_33dac3baf6634fba91e3026ebaaad280"/>
            <w:id w:val="1594123076"/>
            <w:lock w:val="sdtLocked"/>
            <w:placeholder>
              <w:docPart w:val="GBC22222222222222222222222222222"/>
            </w:placeholder>
          </w:sdtPr>
          <w:sdtEndPr/>
          <w:sdtContent>
            <w:p w14:paraId="3A27D8EC"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5B9AB3B" w14:textId="77777777" w:rsidR="00830E72" w:rsidRDefault="00830E72"/>
    <w:p w14:paraId="5EEAB393" w14:textId="77777777" w:rsidR="00830E72" w:rsidRDefault="008344D8">
      <w:pPr>
        <w:pStyle w:val="2CharCharChar"/>
        <w:numPr>
          <w:ilvl w:val="0"/>
          <w:numId w:val="32"/>
        </w:numPr>
        <w:ind w:left="422" w:hanging="422"/>
        <w:rPr>
          <w:rFonts w:ascii="宋体" w:hAnsi="宋体"/>
        </w:rPr>
      </w:pPr>
      <w:r>
        <w:rPr>
          <w:rFonts w:ascii="宋体" w:hAnsi="宋体" w:hint="eastAsia"/>
        </w:rPr>
        <w:t>财务报表</w:t>
      </w:r>
    </w:p>
    <w:bookmarkStart w:id="65" w:name="_Hlk10208794" w:displacedByCustomXml="next"/>
    <w:sdt>
      <w:sdtPr>
        <w:rPr>
          <w:rFonts w:ascii="宋体" w:hAnsi="宋体" w:cs="宋体"/>
          <w:b w:val="0"/>
          <w:bCs w:val="0"/>
          <w:kern w:val="0"/>
          <w:szCs w:val="24"/>
        </w:rPr>
        <w:alias w:val="选项模块:需要编制合并报表"/>
        <w:tag w:val="_GBC_f3d43b26b5d34a4c88db3cb7d81650cc"/>
        <w:id w:val="-441927081"/>
        <w:lock w:val="sdtLocked"/>
        <w:placeholder>
          <w:docPart w:val="GBC22222222222222222222222222222"/>
        </w:placeholder>
      </w:sdtPr>
      <w:sdtEndPr>
        <w:rPr>
          <w:szCs w:val="21"/>
        </w:rPr>
      </w:sdtEndPr>
      <w:sdtContent>
        <w:sdt>
          <w:sdtPr>
            <w:rPr>
              <w:rFonts w:ascii="宋体" w:hAnsi="宋体" w:cs="宋体" w:hint="eastAsia"/>
              <w:b w:val="0"/>
              <w:bCs w:val="0"/>
              <w:kern w:val="0"/>
              <w:szCs w:val="24"/>
            </w:rPr>
            <w:tag w:val="_GBC_b84409e42f904bdab44813a972d54149"/>
            <w:id w:val="255723188"/>
            <w:lock w:val="sdtLocked"/>
            <w:placeholder>
              <w:docPart w:val="GBC22222222222222222222222222222"/>
            </w:placeholder>
          </w:sdtPr>
          <w:sdtEndPr>
            <w:rPr>
              <w:rFonts w:hint="default"/>
              <w:color w:val="008000"/>
              <w:szCs w:val="21"/>
              <w:u w:val="single"/>
            </w:rPr>
          </w:sdtEndPr>
          <w:sdtContent>
            <w:p w14:paraId="6CF7F0A2" w14:textId="77777777" w:rsidR="00830E72" w:rsidRDefault="008344D8">
              <w:pPr>
                <w:pStyle w:val="Style99"/>
                <w:jc w:val="center"/>
                <w:rPr>
                  <w:rFonts w:ascii="宋体" w:hAnsi="宋体"/>
                </w:rPr>
              </w:pPr>
              <w:r>
                <w:rPr>
                  <w:rFonts w:ascii="宋体" w:hAnsi="宋体" w:hint="eastAsia"/>
                </w:rPr>
                <w:t>合并资产负债表</w:t>
              </w:r>
            </w:p>
            <w:p w14:paraId="7ED755B5" w14:textId="77777777" w:rsidR="00830E72" w:rsidRDefault="008344D8">
              <w:pPr>
                <w:snapToGrid w:val="0"/>
                <w:spacing w:line="240" w:lineRule="atLeast"/>
                <w:jc w:val="center"/>
                <w:rPr>
                  <w:b/>
                  <w:szCs w:val="21"/>
                </w:rPr>
              </w:pPr>
              <w:r>
                <w:rPr>
                  <w:szCs w:val="21"/>
                </w:rPr>
                <w:t>2021年6月30日</w:t>
              </w:r>
            </w:p>
            <w:p w14:paraId="25FFFF76" w14:textId="77777777" w:rsidR="00830E72" w:rsidRDefault="008344D8">
              <w:pPr>
                <w:rPr>
                  <w:szCs w:val="21"/>
                </w:rPr>
              </w:pPr>
              <w:r>
                <w:rPr>
                  <w:szCs w:val="21"/>
                </w:rPr>
                <w:t xml:space="preserve">编制单位： </w:t>
              </w:r>
              <w:sdt>
                <w:sdtPr>
                  <w:rPr>
                    <w:szCs w:val="21"/>
                  </w:rPr>
                  <w:alias w:val="公司法定中文名称"/>
                  <w:tag w:val="_GBC_76dae7aa62d842859c05c05e750163c2"/>
                  <w:id w:val="-1271773699"/>
                  <w:lock w:val="sdtLocked"/>
                  <w:placeholder>
                    <w:docPart w:val="GBC22222222222222222222222222222"/>
                  </w:placeholder>
                  <w:text/>
                </w:sdtPr>
                <w:sdtEndPr/>
                <w:sdtContent>
                  <w:r>
                    <w:rPr>
                      <w:szCs w:val="21"/>
                    </w:rPr>
                    <w:t>安徽省交通建设股份有限公司</w:t>
                  </w:r>
                </w:sdtContent>
              </w:sdt>
            </w:p>
            <w:p w14:paraId="68F80B56" w14:textId="77777777" w:rsidR="00830E72" w:rsidRDefault="008344D8">
              <w:pPr>
                <w:jc w:val="right"/>
                <w:rPr>
                  <w:szCs w:val="21"/>
                </w:rPr>
              </w:pPr>
              <w:r>
                <w:rPr>
                  <w:szCs w:val="21"/>
                </w:rPr>
                <w:t>单位：</w:t>
              </w:r>
              <w:sdt>
                <w:sdtPr>
                  <w:rPr>
                    <w:szCs w:val="21"/>
                  </w:rPr>
                  <w:alias w:val="单位：合并资产负债表"/>
                  <w:tag w:val="_GBC_710dced47e5943589779e071c78c5512"/>
                  <w:id w:val="-1329123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资产负债表"/>
                  <w:tag w:val="_GBC_7e2679155b104d33ba04158c7414bcff"/>
                  <w:id w:val="4577577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4994"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93"/>
                <w:gridCol w:w="884"/>
                <w:gridCol w:w="2551"/>
                <w:gridCol w:w="2410"/>
              </w:tblGrid>
              <w:tr w:rsidR="00830E72" w14:paraId="48AA6FFD" w14:textId="77777777">
                <w:sdt>
                  <w:sdtPr>
                    <w:tag w:val="_PLD_1d3f74748a444e6ea0d191e81e54edca"/>
                    <w:id w:val="-336928696"/>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0ED7C84C" w14:textId="77777777" w:rsidR="00830E72" w:rsidRDefault="008344D8">
                        <w:pPr>
                          <w:jc w:val="center"/>
                          <w:rPr>
                            <w:b/>
                            <w:szCs w:val="21"/>
                          </w:rPr>
                        </w:pPr>
                        <w:r>
                          <w:rPr>
                            <w:b/>
                            <w:szCs w:val="21"/>
                          </w:rPr>
                          <w:t>项目</w:t>
                        </w:r>
                      </w:p>
                    </w:tc>
                  </w:sdtContent>
                </w:sdt>
                <w:sdt>
                  <w:sdtPr>
                    <w:tag w:val="_PLD_da216b439a53487e85f12225916c5563"/>
                    <w:id w:val="-569034193"/>
                    <w:lock w:val="sdtLocked"/>
                  </w:sdtPr>
                  <w:sdtEndPr/>
                  <w:sdtContent>
                    <w:tc>
                      <w:tcPr>
                        <w:tcW w:w="489" w:type="pct"/>
                        <w:tcBorders>
                          <w:top w:val="outset" w:sz="6" w:space="0" w:color="auto"/>
                          <w:left w:val="outset" w:sz="6" w:space="0" w:color="auto"/>
                          <w:bottom w:val="outset" w:sz="6" w:space="0" w:color="auto"/>
                          <w:right w:val="outset" w:sz="6" w:space="0" w:color="auto"/>
                        </w:tcBorders>
                        <w:vAlign w:val="center"/>
                      </w:tcPr>
                      <w:p w14:paraId="072BCE39" w14:textId="77777777" w:rsidR="00830E72" w:rsidRDefault="008344D8">
                        <w:pPr>
                          <w:jc w:val="center"/>
                          <w:rPr>
                            <w:b/>
                            <w:szCs w:val="21"/>
                          </w:rPr>
                        </w:pPr>
                        <w:r>
                          <w:rPr>
                            <w:rFonts w:hint="eastAsia"/>
                            <w:b/>
                            <w:szCs w:val="21"/>
                          </w:rPr>
                          <w:t>附注</w:t>
                        </w:r>
                      </w:p>
                    </w:tc>
                  </w:sdtContent>
                </w:sdt>
                <w:sdt>
                  <w:sdtPr>
                    <w:tag w:val="_PLD_21df1d74f3114abf83688ef31bc4d9a7"/>
                    <w:id w:val="808515440"/>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14:paraId="3693268B" w14:textId="77777777" w:rsidR="00830E72" w:rsidRDefault="008344D8">
                        <w:pPr>
                          <w:jc w:val="center"/>
                          <w:rPr>
                            <w:b/>
                            <w:szCs w:val="21"/>
                          </w:rPr>
                        </w:pPr>
                        <w:r>
                          <w:rPr>
                            <w:rFonts w:hint="eastAsia"/>
                            <w:b/>
                          </w:rPr>
                          <w:t>2021年6月30日</w:t>
                        </w:r>
                      </w:p>
                    </w:tc>
                  </w:sdtContent>
                </w:sdt>
                <w:sdt>
                  <w:sdtPr>
                    <w:tag w:val="_PLD_d92c936206d34a64b4b2139999e7311b"/>
                    <w:id w:val="760793931"/>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14:paraId="463A6110" w14:textId="77777777" w:rsidR="00830E72" w:rsidRDefault="008344D8">
                        <w:pPr>
                          <w:jc w:val="center"/>
                          <w:rPr>
                            <w:b/>
                            <w:szCs w:val="21"/>
                          </w:rPr>
                        </w:pPr>
                        <w:r>
                          <w:rPr>
                            <w:rFonts w:hint="eastAsia"/>
                            <w:b/>
                            <w:szCs w:val="21"/>
                          </w:rPr>
                          <w:t>2020年12月31日</w:t>
                        </w:r>
                      </w:p>
                    </w:tc>
                  </w:sdtContent>
                </w:sdt>
              </w:tr>
              <w:tr w:rsidR="00830E72" w14:paraId="2BBBD46C" w14:textId="77777777">
                <w:sdt>
                  <w:sdtPr>
                    <w:tag w:val="_PLD_c47a329e79ad491ca413bdaf35b1f19b"/>
                    <w:id w:val="1428313052"/>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4D971A32" w14:textId="77777777" w:rsidR="00830E72" w:rsidRDefault="008344D8">
                        <w:pPr>
                          <w:rPr>
                            <w:szCs w:val="21"/>
                          </w:rPr>
                        </w:pPr>
                        <w:r>
                          <w:rPr>
                            <w:rFonts w:hint="eastAsia"/>
                            <w:b/>
                            <w:bCs/>
                            <w:szCs w:val="21"/>
                          </w:rPr>
                          <w:t>流动资产：</w:t>
                        </w:r>
                      </w:p>
                    </w:tc>
                  </w:sdtContent>
                </w:sdt>
                <w:tc>
                  <w:tcPr>
                    <w:tcW w:w="489" w:type="pct"/>
                    <w:tcBorders>
                      <w:top w:val="outset" w:sz="6" w:space="0" w:color="auto"/>
                      <w:left w:val="outset" w:sz="6" w:space="0" w:color="auto"/>
                      <w:bottom w:val="outset" w:sz="6" w:space="0" w:color="auto"/>
                      <w:right w:val="outset" w:sz="6" w:space="0" w:color="auto"/>
                    </w:tcBorders>
                  </w:tcPr>
                  <w:p w14:paraId="38D4CF79" w14:textId="77777777" w:rsidR="00830E72" w:rsidRDefault="00830E72">
                    <w:pPr>
                      <w:rPr>
                        <w:b/>
                        <w:color w:val="FF00FF"/>
                        <w:szCs w:val="21"/>
                      </w:rPr>
                    </w:pPr>
                  </w:p>
                </w:tc>
                <w:tc>
                  <w:tcPr>
                    <w:tcW w:w="1411" w:type="pct"/>
                    <w:tcBorders>
                      <w:top w:val="outset" w:sz="6" w:space="0" w:color="auto"/>
                      <w:left w:val="outset" w:sz="6" w:space="0" w:color="auto"/>
                      <w:bottom w:val="outset" w:sz="6" w:space="0" w:color="auto"/>
                      <w:right w:val="outset" w:sz="6" w:space="0" w:color="auto"/>
                    </w:tcBorders>
                  </w:tcPr>
                  <w:p w14:paraId="57283098" w14:textId="77777777" w:rsidR="00830E72" w:rsidRDefault="00830E72">
                    <w:pPr>
                      <w:rPr>
                        <w:b/>
                        <w:color w:val="FF00FF"/>
                        <w:szCs w:val="21"/>
                      </w:rPr>
                    </w:pPr>
                  </w:p>
                </w:tc>
                <w:tc>
                  <w:tcPr>
                    <w:tcW w:w="1333" w:type="pct"/>
                    <w:tcBorders>
                      <w:top w:val="outset" w:sz="6" w:space="0" w:color="auto"/>
                      <w:left w:val="outset" w:sz="6" w:space="0" w:color="auto"/>
                      <w:bottom w:val="outset" w:sz="6" w:space="0" w:color="auto"/>
                      <w:right w:val="outset" w:sz="6" w:space="0" w:color="auto"/>
                    </w:tcBorders>
                  </w:tcPr>
                  <w:p w14:paraId="3BDD16AE" w14:textId="77777777" w:rsidR="00830E72" w:rsidRDefault="00830E72">
                    <w:pPr>
                      <w:rPr>
                        <w:b/>
                        <w:color w:val="FF00FF"/>
                        <w:szCs w:val="21"/>
                      </w:rPr>
                    </w:pPr>
                  </w:p>
                </w:tc>
              </w:tr>
              <w:tr w:rsidR="00830E72" w14:paraId="022AEE1D" w14:textId="77777777">
                <w:sdt>
                  <w:sdtPr>
                    <w:tag w:val="_PLD_36a7056a6e314e22ba0fd39d033ba0ea"/>
                    <w:id w:val="2101365855"/>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5FD10A73" w14:textId="77777777" w:rsidR="00830E72" w:rsidRDefault="008344D8">
                        <w:pPr>
                          <w:ind w:firstLineChars="100" w:firstLine="210"/>
                          <w:rPr>
                            <w:szCs w:val="21"/>
                          </w:rPr>
                        </w:pPr>
                        <w:r>
                          <w:rPr>
                            <w:rFonts w:hint="eastAsia"/>
                            <w:szCs w:val="21"/>
                          </w:rPr>
                          <w:t>货币资金</w:t>
                        </w:r>
                      </w:p>
                    </w:tc>
                  </w:sdtContent>
                </w:sdt>
                <w:tc>
                  <w:tcPr>
                    <w:tcW w:w="489" w:type="pct"/>
                    <w:tcBorders>
                      <w:top w:val="outset" w:sz="6" w:space="0" w:color="auto"/>
                      <w:left w:val="outset" w:sz="6" w:space="0" w:color="auto"/>
                      <w:bottom w:val="outset" w:sz="6" w:space="0" w:color="auto"/>
                      <w:right w:val="outset" w:sz="6" w:space="0" w:color="auto"/>
                    </w:tcBorders>
                  </w:tcPr>
                  <w:p w14:paraId="718AC819"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42B5D9E" w14:textId="77777777" w:rsidR="00830E72" w:rsidRDefault="008344D8">
                    <w:pPr>
                      <w:jc w:val="right"/>
                      <w:rPr>
                        <w:szCs w:val="21"/>
                      </w:rPr>
                    </w:pPr>
                    <w:r>
                      <w:rPr>
                        <w:szCs w:val="21"/>
                      </w:rPr>
                      <w:t>1,307,504,916.50</w:t>
                    </w:r>
                  </w:p>
                </w:tc>
                <w:tc>
                  <w:tcPr>
                    <w:tcW w:w="1333" w:type="pct"/>
                    <w:tcBorders>
                      <w:top w:val="outset" w:sz="6" w:space="0" w:color="auto"/>
                      <w:left w:val="outset" w:sz="6" w:space="0" w:color="auto"/>
                      <w:bottom w:val="outset" w:sz="6" w:space="0" w:color="auto"/>
                      <w:right w:val="outset" w:sz="6" w:space="0" w:color="auto"/>
                    </w:tcBorders>
                  </w:tcPr>
                  <w:p w14:paraId="3EB35E06" w14:textId="77777777" w:rsidR="00830E72" w:rsidRDefault="008344D8">
                    <w:pPr>
                      <w:jc w:val="right"/>
                      <w:rPr>
                        <w:szCs w:val="21"/>
                      </w:rPr>
                    </w:pPr>
                    <w:r>
                      <w:rPr>
                        <w:szCs w:val="21"/>
                      </w:rPr>
                      <w:t>799,237,358.79</w:t>
                    </w:r>
                  </w:p>
                </w:tc>
              </w:tr>
              <w:tr w:rsidR="00830E72" w14:paraId="45FCA9D5" w14:textId="77777777">
                <w:sdt>
                  <w:sdtPr>
                    <w:tag w:val="_PLD_eeecea89787644c581a60f0ab1e1e353"/>
                    <w:id w:val="-977614377"/>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43FD9185" w14:textId="77777777" w:rsidR="00830E72" w:rsidRDefault="008344D8">
                        <w:pPr>
                          <w:ind w:firstLineChars="100" w:firstLine="210"/>
                          <w:rPr>
                            <w:szCs w:val="21"/>
                          </w:rPr>
                        </w:pPr>
                        <w:r>
                          <w:rPr>
                            <w:rFonts w:hint="eastAsia"/>
                            <w:szCs w:val="21"/>
                          </w:rPr>
                          <w:t>结算备付金</w:t>
                        </w:r>
                      </w:p>
                    </w:tc>
                  </w:sdtContent>
                </w:sdt>
                <w:tc>
                  <w:tcPr>
                    <w:tcW w:w="489" w:type="pct"/>
                    <w:tcBorders>
                      <w:top w:val="outset" w:sz="6" w:space="0" w:color="auto"/>
                      <w:left w:val="outset" w:sz="6" w:space="0" w:color="auto"/>
                      <w:bottom w:val="outset" w:sz="6" w:space="0" w:color="auto"/>
                      <w:right w:val="outset" w:sz="6" w:space="0" w:color="auto"/>
                    </w:tcBorders>
                  </w:tcPr>
                  <w:p w14:paraId="71C483FE"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B088E9A"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2537001" w14:textId="77777777" w:rsidR="00830E72" w:rsidRDefault="00830E72">
                    <w:pPr>
                      <w:jc w:val="right"/>
                      <w:rPr>
                        <w:szCs w:val="21"/>
                      </w:rPr>
                    </w:pPr>
                  </w:p>
                </w:tc>
              </w:tr>
              <w:tr w:rsidR="00830E72" w14:paraId="27150E1A" w14:textId="77777777">
                <w:sdt>
                  <w:sdtPr>
                    <w:tag w:val="_PLD_879bf785eb864905ac5a35d3fcf6fc5e"/>
                    <w:id w:val="1362476645"/>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090C378F" w14:textId="77777777" w:rsidR="00830E72" w:rsidRDefault="008344D8">
                        <w:pPr>
                          <w:ind w:firstLineChars="100" w:firstLine="210"/>
                          <w:rPr>
                            <w:szCs w:val="21"/>
                          </w:rPr>
                        </w:pPr>
                        <w:r>
                          <w:rPr>
                            <w:rFonts w:hint="eastAsia"/>
                            <w:szCs w:val="21"/>
                          </w:rPr>
                          <w:t>拆出资金</w:t>
                        </w:r>
                      </w:p>
                    </w:tc>
                  </w:sdtContent>
                </w:sdt>
                <w:tc>
                  <w:tcPr>
                    <w:tcW w:w="489" w:type="pct"/>
                    <w:tcBorders>
                      <w:top w:val="outset" w:sz="6" w:space="0" w:color="auto"/>
                      <w:left w:val="outset" w:sz="6" w:space="0" w:color="auto"/>
                      <w:bottom w:val="outset" w:sz="6" w:space="0" w:color="auto"/>
                      <w:right w:val="outset" w:sz="6" w:space="0" w:color="auto"/>
                    </w:tcBorders>
                  </w:tcPr>
                  <w:p w14:paraId="34BC20FF"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304AAB62"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B9D92C9" w14:textId="77777777" w:rsidR="00830E72" w:rsidRDefault="00830E72">
                    <w:pPr>
                      <w:jc w:val="right"/>
                      <w:rPr>
                        <w:szCs w:val="21"/>
                      </w:rPr>
                    </w:pPr>
                  </w:p>
                </w:tc>
              </w:tr>
              <w:tr w:rsidR="00830E72" w14:paraId="21A2C889" w14:textId="77777777">
                <w:tc>
                  <w:tcPr>
                    <w:tcW w:w="17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6d63ef987134b32b553402ba76eef23"/>
                      <w:id w:val="-1581139313"/>
                      <w:lock w:val="sdtLocked"/>
                    </w:sdtPr>
                    <w:sdtEndPr/>
                    <w:sdtContent>
                      <w:p w14:paraId="6DCAB031" w14:textId="77777777" w:rsidR="00830E72" w:rsidRDefault="008344D8">
                        <w:pPr>
                          <w:ind w:firstLineChars="100" w:firstLine="210"/>
                        </w:pPr>
                        <w:r>
                          <w:rPr>
                            <w:rFonts w:hint="eastAsia"/>
                          </w:rPr>
                          <w:t>交易性金融资产</w:t>
                        </w:r>
                      </w:p>
                    </w:sdtContent>
                  </w:sdt>
                </w:tc>
                <w:tc>
                  <w:tcPr>
                    <w:tcW w:w="489" w:type="pct"/>
                    <w:tcBorders>
                      <w:top w:val="outset" w:sz="6" w:space="0" w:color="auto"/>
                      <w:left w:val="outset" w:sz="6" w:space="0" w:color="auto"/>
                      <w:bottom w:val="outset" w:sz="6" w:space="0" w:color="auto"/>
                      <w:right w:val="outset" w:sz="6" w:space="0" w:color="auto"/>
                    </w:tcBorders>
                  </w:tcPr>
                  <w:p w14:paraId="13D64336"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DDD2864" w14:textId="77777777" w:rsidR="00830E72" w:rsidRDefault="008344D8">
                    <w:pPr>
                      <w:jc w:val="right"/>
                      <w:rPr>
                        <w:szCs w:val="21"/>
                      </w:rPr>
                    </w:pPr>
                    <w:r>
                      <w:rPr>
                        <w:szCs w:val="21"/>
                      </w:rPr>
                      <w:t>28,809,590.66</w:t>
                    </w:r>
                  </w:p>
                </w:tc>
                <w:tc>
                  <w:tcPr>
                    <w:tcW w:w="1333" w:type="pct"/>
                    <w:tcBorders>
                      <w:top w:val="outset" w:sz="6" w:space="0" w:color="auto"/>
                      <w:left w:val="outset" w:sz="6" w:space="0" w:color="auto"/>
                      <w:bottom w:val="outset" w:sz="6" w:space="0" w:color="auto"/>
                      <w:right w:val="outset" w:sz="6" w:space="0" w:color="auto"/>
                    </w:tcBorders>
                  </w:tcPr>
                  <w:p w14:paraId="48633987" w14:textId="77777777" w:rsidR="00830E72" w:rsidRDefault="008344D8">
                    <w:pPr>
                      <w:jc w:val="right"/>
                      <w:rPr>
                        <w:szCs w:val="21"/>
                      </w:rPr>
                    </w:pPr>
                    <w:r>
                      <w:rPr>
                        <w:szCs w:val="21"/>
                      </w:rPr>
                      <w:t>30,616,759.03</w:t>
                    </w:r>
                  </w:p>
                </w:tc>
              </w:tr>
              <w:tr w:rsidR="00830E72" w14:paraId="7E0488F4" w14:textId="77777777">
                <w:sdt>
                  <w:sdtPr>
                    <w:tag w:val="_PLD_a2a2e8b160574a929568047f67b21dba"/>
                    <w:id w:val="925849176"/>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7CF3F719" w14:textId="77777777" w:rsidR="00830E72" w:rsidRDefault="008344D8">
                        <w:pPr>
                          <w:ind w:firstLineChars="100" w:firstLine="210"/>
                          <w:rPr>
                            <w:szCs w:val="21"/>
                          </w:rPr>
                        </w:pPr>
                        <w:r>
                          <w:rPr>
                            <w:rFonts w:hint="eastAsia"/>
                            <w:szCs w:val="21"/>
                          </w:rPr>
                          <w:t>衍生金融资产</w:t>
                        </w:r>
                      </w:p>
                    </w:tc>
                  </w:sdtContent>
                </w:sdt>
                <w:tc>
                  <w:tcPr>
                    <w:tcW w:w="489" w:type="pct"/>
                    <w:tcBorders>
                      <w:top w:val="outset" w:sz="6" w:space="0" w:color="auto"/>
                      <w:left w:val="outset" w:sz="6" w:space="0" w:color="auto"/>
                      <w:bottom w:val="outset" w:sz="6" w:space="0" w:color="auto"/>
                      <w:right w:val="outset" w:sz="6" w:space="0" w:color="auto"/>
                    </w:tcBorders>
                  </w:tcPr>
                  <w:p w14:paraId="365B774A"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DFC1970"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B68C96E" w14:textId="77777777" w:rsidR="00830E72" w:rsidRDefault="00830E72">
                    <w:pPr>
                      <w:jc w:val="right"/>
                      <w:rPr>
                        <w:szCs w:val="21"/>
                      </w:rPr>
                    </w:pPr>
                  </w:p>
                </w:tc>
              </w:tr>
              <w:tr w:rsidR="00830E72" w14:paraId="3E66B6BB" w14:textId="77777777">
                <w:sdt>
                  <w:sdtPr>
                    <w:tag w:val="_PLD_b4275fbbd6c24380aaa849df8e4a5394"/>
                    <w:id w:val="145095619"/>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0F06EC8F" w14:textId="77777777" w:rsidR="00830E72" w:rsidRDefault="008344D8">
                        <w:pPr>
                          <w:ind w:firstLineChars="100" w:firstLine="210"/>
                          <w:rPr>
                            <w:szCs w:val="21"/>
                          </w:rPr>
                        </w:pPr>
                        <w:r>
                          <w:rPr>
                            <w:rFonts w:hint="eastAsia"/>
                            <w:szCs w:val="21"/>
                          </w:rPr>
                          <w:t>应收票据</w:t>
                        </w:r>
                      </w:p>
                    </w:tc>
                  </w:sdtContent>
                </w:sdt>
                <w:tc>
                  <w:tcPr>
                    <w:tcW w:w="489" w:type="pct"/>
                    <w:tcBorders>
                      <w:top w:val="outset" w:sz="6" w:space="0" w:color="auto"/>
                      <w:left w:val="outset" w:sz="6" w:space="0" w:color="auto"/>
                      <w:bottom w:val="outset" w:sz="6" w:space="0" w:color="auto"/>
                      <w:right w:val="outset" w:sz="6" w:space="0" w:color="auto"/>
                    </w:tcBorders>
                  </w:tcPr>
                  <w:p w14:paraId="17ADDD6E"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4147046"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F23E075" w14:textId="77777777" w:rsidR="00830E72" w:rsidRDefault="008344D8">
                    <w:pPr>
                      <w:jc w:val="right"/>
                      <w:rPr>
                        <w:szCs w:val="21"/>
                      </w:rPr>
                    </w:pPr>
                    <w:r>
                      <w:rPr>
                        <w:szCs w:val="21"/>
                      </w:rPr>
                      <w:t>38,680.00</w:t>
                    </w:r>
                  </w:p>
                </w:tc>
              </w:tr>
              <w:tr w:rsidR="00830E72" w14:paraId="331BFDFA" w14:textId="77777777">
                <w:sdt>
                  <w:sdtPr>
                    <w:tag w:val="_PLD_916701d47616495dad873446e57f88f1"/>
                    <w:id w:val="-1555221752"/>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057CEFB1" w14:textId="77777777" w:rsidR="00830E72" w:rsidRDefault="008344D8">
                        <w:pPr>
                          <w:ind w:firstLineChars="100" w:firstLine="210"/>
                          <w:rPr>
                            <w:szCs w:val="21"/>
                          </w:rPr>
                        </w:pPr>
                        <w:r>
                          <w:rPr>
                            <w:rFonts w:hint="eastAsia"/>
                            <w:szCs w:val="21"/>
                          </w:rPr>
                          <w:t>应收账款</w:t>
                        </w:r>
                      </w:p>
                    </w:tc>
                  </w:sdtContent>
                </w:sdt>
                <w:tc>
                  <w:tcPr>
                    <w:tcW w:w="489" w:type="pct"/>
                    <w:tcBorders>
                      <w:top w:val="outset" w:sz="6" w:space="0" w:color="auto"/>
                      <w:left w:val="outset" w:sz="6" w:space="0" w:color="auto"/>
                      <w:bottom w:val="outset" w:sz="6" w:space="0" w:color="auto"/>
                      <w:right w:val="outset" w:sz="6" w:space="0" w:color="auto"/>
                    </w:tcBorders>
                  </w:tcPr>
                  <w:p w14:paraId="2503FEEB"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55737E4" w14:textId="77777777" w:rsidR="00830E72" w:rsidRDefault="008344D8">
                    <w:pPr>
                      <w:jc w:val="right"/>
                      <w:rPr>
                        <w:szCs w:val="21"/>
                      </w:rPr>
                    </w:pPr>
                    <w:r>
                      <w:rPr>
                        <w:szCs w:val="21"/>
                      </w:rPr>
                      <w:t>2,070,084,775.91</w:t>
                    </w:r>
                  </w:p>
                </w:tc>
                <w:tc>
                  <w:tcPr>
                    <w:tcW w:w="1333" w:type="pct"/>
                    <w:tcBorders>
                      <w:top w:val="outset" w:sz="6" w:space="0" w:color="auto"/>
                      <w:left w:val="outset" w:sz="6" w:space="0" w:color="auto"/>
                      <w:bottom w:val="outset" w:sz="6" w:space="0" w:color="auto"/>
                      <w:right w:val="outset" w:sz="6" w:space="0" w:color="auto"/>
                    </w:tcBorders>
                  </w:tcPr>
                  <w:p w14:paraId="1E07FA5A" w14:textId="77777777" w:rsidR="00830E72" w:rsidRDefault="008344D8">
                    <w:pPr>
                      <w:jc w:val="right"/>
                      <w:rPr>
                        <w:szCs w:val="21"/>
                      </w:rPr>
                    </w:pPr>
                    <w:r>
                      <w:rPr>
                        <w:szCs w:val="21"/>
                      </w:rPr>
                      <w:t>2,048,728,886.76</w:t>
                    </w:r>
                  </w:p>
                </w:tc>
              </w:tr>
              <w:tr w:rsidR="00830E72" w14:paraId="0F6BA4FB" w14:textId="77777777">
                <w:tc>
                  <w:tcPr>
                    <w:tcW w:w="17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1ffdf4cf3084797bec970e07c957549"/>
                      <w:id w:val="125433457"/>
                      <w:lock w:val="sdtLocked"/>
                    </w:sdtPr>
                    <w:sdtEndPr/>
                    <w:sdtContent>
                      <w:p w14:paraId="53EB2AE6" w14:textId="77777777" w:rsidR="00830E72" w:rsidRDefault="008344D8">
                        <w:pPr>
                          <w:ind w:firstLineChars="100" w:firstLine="210"/>
                        </w:pPr>
                        <w:r>
                          <w:rPr>
                            <w:rFonts w:hint="eastAsia"/>
                          </w:rPr>
                          <w:t>应收款项融资</w:t>
                        </w:r>
                      </w:p>
                    </w:sdtContent>
                  </w:sdt>
                </w:tc>
                <w:tc>
                  <w:tcPr>
                    <w:tcW w:w="489" w:type="pct"/>
                    <w:tcBorders>
                      <w:top w:val="outset" w:sz="6" w:space="0" w:color="auto"/>
                      <w:left w:val="outset" w:sz="6" w:space="0" w:color="auto"/>
                      <w:bottom w:val="outset" w:sz="6" w:space="0" w:color="auto"/>
                      <w:right w:val="outset" w:sz="6" w:space="0" w:color="auto"/>
                    </w:tcBorders>
                  </w:tcPr>
                  <w:p w14:paraId="7FD9938A"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8FE1B1A"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762ABF5" w14:textId="77777777" w:rsidR="00830E72" w:rsidRDefault="00830E72">
                    <w:pPr>
                      <w:jc w:val="right"/>
                      <w:rPr>
                        <w:szCs w:val="21"/>
                      </w:rPr>
                    </w:pPr>
                  </w:p>
                </w:tc>
              </w:tr>
              <w:tr w:rsidR="00830E72" w14:paraId="14147AB1" w14:textId="77777777">
                <w:sdt>
                  <w:sdtPr>
                    <w:tag w:val="_PLD_eff32a719f7a407f8e2bd0fc67579696"/>
                    <w:id w:val="2136664442"/>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2FA4F5E5" w14:textId="77777777" w:rsidR="00830E72" w:rsidRDefault="008344D8">
                        <w:pPr>
                          <w:ind w:firstLineChars="100" w:firstLine="210"/>
                          <w:rPr>
                            <w:szCs w:val="21"/>
                          </w:rPr>
                        </w:pPr>
                        <w:r>
                          <w:rPr>
                            <w:rFonts w:hint="eastAsia"/>
                            <w:szCs w:val="21"/>
                          </w:rPr>
                          <w:t>预付款项</w:t>
                        </w:r>
                      </w:p>
                    </w:tc>
                  </w:sdtContent>
                </w:sdt>
                <w:tc>
                  <w:tcPr>
                    <w:tcW w:w="489" w:type="pct"/>
                    <w:tcBorders>
                      <w:top w:val="outset" w:sz="6" w:space="0" w:color="auto"/>
                      <w:left w:val="outset" w:sz="6" w:space="0" w:color="auto"/>
                      <w:bottom w:val="outset" w:sz="6" w:space="0" w:color="auto"/>
                      <w:right w:val="outset" w:sz="6" w:space="0" w:color="auto"/>
                    </w:tcBorders>
                  </w:tcPr>
                  <w:p w14:paraId="667A1B52"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576FD6A" w14:textId="77777777" w:rsidR="00830E72" w:rsidRDefault="008344D8">
                    <w:pPr>
                      <w:jc w:val="right"/>
                      <w:rPr>
                        <w:szCs w:val="21"/>
                      </w:rPr>
                    </w:pPr>
                    <w:r>
                      <w:rPr>
                        <w:szCs w:val="21"/>
                      </w:rPr>
                      <w:t>9,629,825.33</w:t>
                    </w:r>
                  </w:p>
                </w:tc>
                <w:tc>
                  <w:tcPr>
                    <w:tcW w:w="1333" w:type="pct"/>
                    <w:tcBorders>
                      <w:top w:val="outset" w:sz="6" w:space="0" w:color="auto"/>
                      <w:left w:val="outset" w:sz="6" w:space="0" w:color="auto"/>
                      <w:bottom w:val="outset" w:sz="6" w:space="0" w:color="auto"/>
                      <w:right w:val="outset" w:sz="6" w:space="0" w:color="auto"/>
                    </w:tcBorders>
                  </w:tcPr>
                  <w:p w14:paraId="70E4C989" w14:textId="77777777" w:rsidR="00830E72" w:rsidRDefault="008344D8">
                    <w:pPr>
                      <w:jc w:val="right"/>
                      <w:rPr>
                        <w:szCs w:val="21"/>
                      </w:rPr>
                    </w:pPr>
                    <w:r>
                      <w:rPr>
                        <w:szCs w:val="21"/>
                      </w:rPr>
                      <w:t>10,463,839.46</w:t>
                    </w:r>
                  </w:p>
                </w:tc>
              </w:tr>
              <w:tr w:rsidR="00830E72" w14:paraId="77DD39A6" w14:textId="77777777">
                <w:sdt>
                  <w:sdtPr>
                    <w:tag w:val="_PLD_a40cfdfb0ba6490cb057d30f2eced3ad"/>
                    <w:id w:val="542558439"/>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70B39DC2" w14:textId="77777777" w:rsidR="00830E72" w:rsidRDefault="008344D8">
                        <w:pPr>
                          <w:ind w:firstLineChars="100" w:firstLine="210"/>
                          <w:rPr>
                            <w:szCs w:val="21"/>
                          </w:rPr>
                        </w:pPr>
                        <w:r>
                          <w:rPr>
                            <w:rFonts w:hint="eastAsia"/>
                            <w:szCs w:val="21"/>
                          </w:rPr>
                          <w:t>应收保费</w:t>
                        </w:r>
                      </w:p>
                    </w:tc>
                  </w:sdtContent>
                </w:sdt>
                <w:tc>
                  <w:tcPr>
                    <w:tcW w:w="489" w:type="pct"/>
                    <w:tcBorders>
                      <w:top w:val="outset" w:sz="6" w:space="0" w:color="auto"/>
                      <w:left w:val="outset" w:sz="6" w:space="0" w:color="auto"/>
                      <w:bottom w:val="outset" w:sz="6" w:space="0" w:color="auto"/>
                      <w:right w:val="outset" w:sz="6" w:space="0" w:color="auto"/>
                    </w:tcBorders>
                  </w:tcPr>
                  <w:p w14:paraId="35B803ED"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F7B7D07"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F785EE4" w14:textId="77777777" w:rsidR="00830E72" w:rsidRDefault="00830E72">
                    <w:pPr>
                      <w:jc w:val="right"/>
                      <w:rPr>
                        <w:szCs w:val="21"/>
                      </w:rPr>
                    </w:pPr>
                  </w:p>
                </w:tc>
              </w:tr>
              <w:tr w:rsidR="00830E72" w14:paraId="33C3E011" w14:textId="77777777">
                <w:sdt>
                  <w:sdtPr>
                    <w:tag w:val="_PLD_78ae33502cc54f38ad943e4f0832ea8d"/>
                    <w:id w:val="-943850978"/>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7CF99A00" w14:textId="77777777" w:rsidR="00830E72" w:rsidRDefault="008344D8">
                        <w:pPr>
                          <w:ind w:firstLineChars="100" w:firstLine="210"/>
                          <w:rPr>
                            <w:szCs w:val="21"/>
                          </w:rPr>
                        </w:pPr>
                        <w:r>
                          <w:rPr>
                            <w:rFonts w:hint="eastAsia"/>
                            <w:szCs w:val="21"/>
                          </w:rPr>
                          <w:t>应收分保账款</w:t>
                        </w:r>
                      </w:p>
                    </w:tc>
                  </w:sdtContent>
                </w:sdt>
                <w:tc>
                  <w:tcPr>
                    <w:tcW w:w="489" w:type="pct"/>
                    <w:tcBorders>
                      <w:top w:val="outset" w:sz="6" w:space="0" w:color="auto"/>
                      <w:left w:val="outset" w:sz="6" w:space="0" w:color="auto"/>
                      <w:bottom w:val="outset" w:sz="6" w:space="0" w:color="auto"/>
                      <w:right w:val="outset" w:sz="6" w:space="0" w:color="auto"/>
                    </w:tcBorders>
                  </w:tcPr>
                  <w:p w14:paraId="0E95E638"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7AD9B55"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A2CCD11" w14:textId="77777777" w:rsidR="00830E72" w:rsidRDefault="00830E72">
                    <w:pPr>
                      <w:jc w:val="right"/>
                      <w:rPr>
                        <w:szCs w:val="21"/>
                      </w:rPr>
                    </w:pPr>
                  </w:p>
                </w:tc>
              </w:tr>
              <w:tr w:rsidR="00830E72" w14:paraId="1E0E6E4A" w14:textId="77777777">
                <w:sdt>
                  <w:sdtPr>
                    <w:tag w:val="_PLD_c81dfd1c51694e04be879fd98e2f222f"/>
                    <w:id w:val="-1408917898"/>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7C77AC50" w14:textId="77777777" w:rsidR="00830E72" w:rsidRDefault="008344D8">
                        <w:pPr>
                          <w:ind w:firstLineChars="100" w:firstLine="210"/>
                          <w:rPr>
                            <w:szCs w:val="21"/>
                          </w:rPr>
                        </w:pPr>
                        <w:r>
                          <w:rPr>
                            <w:rFonts w:hint="eastAsia"/>
                            <w:szCs w:val="21"/>
                          </w:rPr>
                          <w:t>应收分保合同准备金</w:t>
                        </w:r>
                      </w:p>
                    </w:tc>
                  </w:sdtContent>
                </w:sdt>
                <w:tc>
                  <w:tcPr>
                    <w:tcW w:w="489" w:type="pct"/>
                    <w:tcBorders>
                      <w:top w:val="outset" w:sz="6" w:space="0" w:color="auto"/>
                      <w:left w:val="outset" w:sz="6" w:space="0" w:color="auto"/>
                      <w:bottom w:val="outset" w:sz="6" w:space="0" w:color="auto"/>
                      <w:right w:val="outset" w:sz="6" w:space="0" w:color="auto"/>
                    </w:tcBorders>
                  </w:tcPr>
                  <w:p w14:paraId="161A657D"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DB41998"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146A400" w14:textId="77777777" w:rsidR="00830E72" w:rsidRDefault="00830E72">
                    <w:pPr>
                      <w:jc w:val="right"/>
                      <w:rPr>
                        <w:szCs w:val="21"/>
                      </w:rPr>
                    </w:pPr>
                  </w:p>
                </w:tc>
              </w:tr>
              <w:tr w:rsidR="00830E72" w14:paraId="3AE91A7D" w14:textId="77777777">
                <w:sdt>
                  <w:sdtPr>
                    <w:tag w:val="_PLD_14b6c1004ee94e9c86f6872629ce8ec5"/>
                    <w:id w:val="162051249"/>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2AA9E201" w14:textId="77777777" w:rsidR="00830E72" w:rsidRDefault="008344D8">
                        <w:pPr>
                          <w:ind w:firstLineChars="100" w:firstLine="210"/>
                          <w:rPr>
                            <w:szCs w:val="21"/>
                          </w:rPr>
                        </w:pPr>
                        <w:r>
                          <w:rPr>
                            <w:rFonts w:hint="eastAsia"/>
                            <w:szCs w:val="21"/>
                          </w:rPr>
                          <w:t>其他应收款</w:t>
                        </w:r>
                      </w:p>
                    </w:tc>
                  </w:sdtContent>
                </w:sdt>
                <w:tc>
                  <w:tcPr>
                    <w:tcW w:w="489" w:type="pct"/>
                    <w:tcBorders>
                      <w:top w:val="outset" w:sz="6" w:space="0" w:color="auto"/>
                      <w:left w:val="outset" w:sz="6" w:space="0" w:color="auto"/>
                      <w:bottom w:val="outset" w:sz="6" w:space="0" w:color="auto"/>
                      <w:right w:val="outset" w:sz="6" w:space="0" w:color="auto"/>
                    </w:tcBorders>
                  </w:tcPr>
                  <w:p w14:paraId="52500107"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2443A04" w14:textId="77777777" w:rsidR="00830E72" w:rsidRDefault="008344D8">
                    <w:pPr>
                      <w:jc w:val="right"/>
                      <w:rPr>
                        <w:szCs w:val="21"/>
                      </w:rPr>
                    </w:pPr>
                    <w:r>
                      <w:rPr>
                        <w:szCs w:val="21"/>
                      </w:rPr>
                      <w:t>257,904,283.58</w:t>
                    </w:r>
                  </w:p>
                </w:tc>
                <w:tc>
                  <w:tcPr>
                    <w:tcW w:w="1333" w:type="pct"/>
                    <w:tcBorders>
                      <w:top w:val="outset" w:sz="6" w:space="0" w:color="auto"/>
                      <w:left w:val="outset" w:sz="6" w:space="0" w:color="auto"/>
                      <w:bottom w:val="outset" w:sz="6" w:space="0" w:color="auto"/>
                      <w:right w:val="outset" w:sz="6" w:space="0" w:color="auto"/>
                    </w:tcBorders>
                  </w:tcPr>
                  <w:p w14:paraId="6E728870" w14:textId="77777777" w:rsidR="00830E72" w:rsidRDefault="008344D8">
                    <w:pPr>
                      <w:jc w:val="right"/>
                      <w:rPr>
                        <w:szCs w:val="21"/>
                      </w:rPr>
                    </w:pPr>
                    <w:r>
                      <w:rPr>
                        <w:szCs w:val="21"/>
                      </w:rPr>
                      <w:t>173,904,054.74</w:t>
                    </w:r>
                  </w:p>
                </w:tc>
              </w:tr>
              <w:tr w:rsidR="00830E72" w14:paraId="36AD830F" w14:textId="77777777">
                <w:sdt>
                  <w:sdtPr>
                    <w:tag w:val="_PLD_f7b8b5cf09f34b18bdaa893a720147a3"/>
                    <w:id w:val="-2047279066"/>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1BA9F32C" w14:textId="77777777" w:rsidR="00830E72" w:rsidRDefault="008344D8">
                        <w:pPr>
                          <w:ind w:firstLineChars="100" w:firstLine="210"/>
                          <w:rPr>
                            <w:szCs w:val="21"/>
                          </w:rPr>
                        </w:pPr>
                        <w:r>
                          <w:rPr>
                            <w:rFonts w:hint="eastAsia"/>
                          </w:rPr>
                          <w:t>其中：</w:t>
                        </w:r>
                        <w:r>
                          <w:rPr>
                            <w:rFonts w:hint="eastAsia"/>
                            <w:szCs w:val="21"/>
                          </w:rPr>
                          <w:t>应收利息</w:t>
                        </w:r>
                      </w:p>
                    </w:tc>
                  </w:sdtContent>
                </w:sdt>
                <w:tc>
                  <w:tcPr>
                    <w:tcW w:w="489" w:type="pct"/>
                    <w:tcBorders>
                      <w:top w:val="outset" w:sz="6" w:space="0" w:color="auto"/>
                      <w:left w:val="outset" w:sz="6" w:space="0" w:color="auto"/>
                      <w:bottom w:val="outset" w:sz="6" w:space="0" w:color="auto"/>
                      <w:right w:val="outset" w:sz="6" w:space="0" w:color="auto"/>
                    </w:tcBorders>
                  </w:tcPr>
                  <w:p w14:paraId="61E29694"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CB7A36D"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C056982" w14:textId="77777777" w:rsidR="00830E72" w:rsidRDefault="00830E72">
                    <w:pPr>
                      <w:jc w:val="right"/>
                      <w:rPr>
                        <w:szCs w:val="21"/>
                      </w:rPr>
                    </w:pPr>
                  </w:p>
                </w:tc>
              </w:tr>
              <w:tr w:rsidR="00830E72" w14:paraId="1A17CF85" w14:textId="77777777">
                <w:sdt>
                  <w:sdtPr>
                    <w:tag w:val="_PLD_4d3fdbd13bd44399aedfc802cf2f5e84"/>
                    <w:id w:val="1656641814"/>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3989A054" w14:textId="77777777" w:rsidR="00830E72" w:rsidRDefault="008344D8">
                        <w:pPr>
                          <w:ind w:firstLineChars="400" w:firstLine="840"/>
                          <w:rPr>
                            <w:szCs w:val="21"/>
                          </w:rPr>
                        </w:pPr>
                        <w:r>
                          <w:rPr>
                            <w:rFonts w:hint="eastAsia"/>
                            <w:szCs w:val="21"/>
                          </w:rPr>
                          <w:t>应收股利</w:t>
                        </w:r>
                      </w:p>
                    </w:tc>
                  </w:sdtContent>
                </w:sdt>
                <w:tc>
                  <w:tcPr>
                    <w:tcW w:w="489" w:type="pct"/>
                    <w:tcBorders>
                      <w:top w:val="outset" w:sz="6" w:space="0" w:color="auto"/>
                      <w:left w:val="outset" w:sz="6" w:space="0" w:color="auto"/>
                      <w:bottom w:val="outset" w:sz="6" w:space="0" w:color="auto"/>
                      <w:right w:val="outset" w:sz="6" w:space="0" w:color="auto"/>
                    </w:tcBorders>
                  </w:tcPr>
                  <w:p w14:paraId="6FD89419"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2B67E43"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E16C1DC" w14:textId="77777777" w:rsidR="00830E72" w:rsidRDefault="00830E72">
                    <w:pPr>
                      <w:jc w:val="right"/>
                      <w:rPr>
                        <w:szCs w:val="21"/>
                      </w:rPr>
                    </w:pPr>
                  </w:p>
                </w:tc>
              </w:tr>
              <w:tr w:rsidR="00830E72" w14:paraId="75D2378B" w14:textId="77777777">
                <w:sdt>
                  <w:sdtPr>
                    <w:tag w:val="_PLD_150565b75bcd4f3c8e385b838e4135fa"/>
                    <w:id w:val="703902653"/>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1E80D671" w14:textId="77777777" w:rsidR="00830E72" w:rsidRDefault="008344D8">
                        <w:pPr>
                          <w:ind w:firstLineChars="100" w:firstLine="210"/>
                          <w:rPr>
                            <w:szCs w:val="21"/>
                          </w:rPr>
                        </w:pPr>
                        <w:r>
                          <w:rPr>
                            <w:rFonts w:hint="eastAsia"/>
                            <w:szCs w:val="21"/>
                          </w:rPr>
                          <w:t>买入返售金融资产</w:t>
                        </w:r>
                      </w:p>
                    </w:tc>
                  </w:sdtContent>
                </w:sdt>
                <w:tc>
                  <w:tcPr>
                    <w:tcW w:w="489" w:type="pct"/>
                    <w:tcBorders>
                      <w:top w:val="outset" w:sz="6" w:space="0" w:color="auto"/>
                      <w:left w:val="outset" w:sz="6" w:space="0" w:color="auto"/>
                      <w:bottom w:val="outset" w:sz="6" w:space="0" w:color="auto"/>
                      <w:right w:val="outset" w:sz="6" w:space="0" w:color="auto"/>
                    </w:tcBorders>
                  </w:tcPr>
                  <w:p w14:paraId="4FAF7E92"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A9798DC"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4CFE007" w14:textId="77777777" w:rsidR="00830E72" w:rsidRDefault="00830E72">
                    <w:pPr>
                      <w:jc w:val="right"/>
                      <w:rPr>
                        <w:szCs w:val="21"/>
                      </w:rPr>
                    </w:pPr>
                  </w:p>
                </w:tc>
              </w:tr>
              <w:tr w:rsidR="00830E72" w14:paraId="163B5655" w14:textId="77777777">
                <w:sdt>
                  <w:sdtPr>
                    <w:tag w:val="_PLD_0967af437eee4294b4f611b5abd91937"/>
                    <w:id w:val="-2055374455"/>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1CA9C8E2" w14:textId="77777777" w:rsidR="00830E72" w:rsidRDefault="008344D8">
                        <w:pPr>
                          <w:ind w:firstLineChars="100" w:firstLine="210"/>
                          <w:rPr>
                            <w:szCs w:val="21"/>
                          </w:rPr>
                        </w:pPr>
                        <w:r>
                          <w:rPr>
                            <w:rFonts w:hint="eastAsia"/>
                            <w:szCs w:val="21"/>
                          </w:rPr>
                          <w:t>存货</w:t>
                        </w:r>
                      </w:p>
                    </w:tc>
                  </w:sdtContent>
                </w:sdt>
                <w:tc>
                  <w:tcPr>
                    <w:tcW w:w="489" w:type="pct"/>
                    <w:tcBorders>
                      <w:top w:val="outset" w:sz="6" w:space="0" w:color="auto"/>
                      <w:left w:val="outset" w:sz="6" w:space="0" w:color="auto"/>
                      <w:bottom w:val="outset" w:sz="6" w:space="0" w:color="auto"/>
                      <w:right w:val="outset" w:sz="6" w:space="0" w:color="auto"/>
                    </w:tcBorders>
                  </w:tcPr>
                  <w:p w14:paraId="388C4378"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805235D" w14:textId="77777777" w:rsidR="00830E72" w:rsidRDefault="008344D8">
                    <w:pPr>
                      <w:jc w:val="right"/>
                      <w:rPr>
                        <w:szCs w:val="21"/>
                      </w:rPr>
                    </w:pPr>
                    <w:r>
                      <w:rPr>
                        <w:szCs w:val="21"/>
                      </w:rPr>
                      <w:t>37,026,836.76</w:t>
                    </w:r>
                  </w:p>
                </w:tc>
                <w:tc>
                  <w:tcPr>
                    <w:tcW w:w="1333" w:type="pct"/>
                    <w:tcBorders>
                      <w:top w:val="outset" w:sz="6" w:space="0" w:color="auto"/>
                      <w:left w:val="outset" w:sz="6" w:space="0" w:color="auto"/>
                      <w:bottom w:val="outset" w:sz="6" w:space="0" w:color="auto"/>
                      <w:right w:val="outset" w:sz="6" w:space="0" w:color="auto"/>
                    </w:tcBorders>
                  </w:tcPr>
                  <w:p w14:paraId="782A9FA4" w14:textId="77777777" w:rsidR="00830E72" w:rsidRDefault="008344D8">
                    <w:pPr>
                      <w:jc w:val="right"/>
                      <w:rPr>
                        <w:szCs w:val="21"/>
                      </w:rPr>
                    </w:pPr>
                    <w:r>
                      <w:rPr>
                        <w:szCs w:val="21"/>
                      </w:rPr>
                      <w:t>26,375,000.46</w:t>
                    </w:r>
                  </w:p>
                </w:tc>
              </w:tr>
              <w:tr w:rsidR="00830E72" w14:paraId="1E317218" w14:textId="77777777">
                <w:tc>
                  <w:tcPr>
                    <w:tcW w:w="17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ecfb75d6b6f43eaab87b9fe006ab819"/>
                      <w:id w:val="-573273169"/>
                      <w:lock w:val="sdtLocked"/>
                    </w:sdtPr>
                    <w:sdtEndPr/>
                    <w:sdtContent>
                      <w:p w14:paraId="7D6BC92D" w14:textId="77777777" w:rsidR="00830E72" w:rsidRDefault="008344D8">
                        <w:pPr>
                          <w:ind w:firstLineChars="100" w:firstLine="210"/>
                        </w:pPr>
                        <w:r>
                          <w:rPr>
                            <w:rFonts w:hint="eastAsia"/>
                          </w:rPr>
                          <w:t>合同资产</w:t>
                        </w:r>
                      </w:p>
                    </w:sdtContent>
                  </w:sdt>
                </w:tc>
                <w:tc>
                  <w:tcPr>
                    <w:tcW w:w="489" w:type="pct"/>
                    <w:tcBorders>
                      <w:top w:val="outset" w:sz="6" w:space="0" w:color="auto"/>
                      <w:left w:val="outset" w:sz="6" w:space="0" w:color="auto"/>
                      <w:bottom w:val="outset" w:sz="6" w:space="0" w:color="auto"/>
                      <w:right w:val="outset" w:sz="6" w:space="0" w:color="auto"/>
                    </w:tcBorders>
                  </w:tcPr>
                  <w:p w14:paraId="2B11BC6F"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276B62E" w14:textId="77777777" w:rsidR="00830E72" w:rsidRDefault="008344D8">
                    <w:pPr>
                      <w:jc w:val="right"/>
                      <w:rPr>
                        <w:szCs w:val="21"/>
                      </w:rPr>
                    </w:pPr>
                    <w:r>
                      <w:rPr>
                        <w:szCs w:val="21"/>
                      </w:rPr>
                      <w:t>996,854,998.42</w:t>
                    </w:r>
                  </w:p>
                </w:tc>
                <w:tc>
                  <w:tcPr>
                    <w:tcW w:w="1333" w:type="pct"/>
                    <w:tcBorders>
                      <w:top w:val="outset" w:sz="6" w:space="0" w:color="auto"/>
                      <w:left w:val="outset" w:sz="6" w:space="0" w:color="auto"/>
                      <w:bottom w:val="outset" w:sz="6" w:space="0" w:color="auto"/>
                      <w:right w:val="outset" w:sz="6" w:space="0" w:color="auto"/>
                    </w:tcBorders>
                  </w:tcPr>
                  <w:p w14:paraId="7F37E3F7" w14:textId="77777777" w:rsidR="00830E72" w:rsidRDefault="008344D8">
                    <w:pPr>
                      <w:jc w:val="right"/>
                      <w:rPr>
                        <w:szCs w:val="21"/>
                      </w:rPr>
                    </w:pPr>
                    <w:r>
                      <w:rPr>
                        <w:szCs w:val="21"/>
                      </w:rPr>
                      <w:t>702,386,607.61</w:t>
                    </w:r>
                  </w:p>
                </w:tc>
              </w:tr>
              <w:tr w:rsidR="00830E72" w14:paraId="0C6248AE" w14:textId="77777777">
                <w:sdt>
                  <w:sdtPr>
                    <w:tag w:val="_PLD_20a26361e8f8463bbf996022971e66c0"/>
                    <w:id w:val="-1113133162"/>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69F2C3D4" w14:textId="77777777" w:rsidR="00830E72" w:rsidRDefault="008344D8">
                        <w:pPr>
                          <w:ind w:firstLineChars="100" w:firstLine="210"/>
                          <w:rPr>
                            <w:szCs w:val="21"/>
                          </w:rPr>
                        </w:pPr>
                        <w:r>
                          <w:rPr>
                            <w:rFonts w:hint="eastAsia"/>
                            <w:szCs w:val="21"/>
                          </w:rPr>
                          <w:t>持有待售资产</w:t>
                        </w:r>
                      </w:p>
                    </w:tc>
                  </w:sdtContent>
                </w:sdt>
                <w:tc>
                  <w:tcPr>
                    <w:tcW w:w="489" w:type="pct"/>
                    <w:tcBorders>
                      <w:top w:val="outset" w:sz="6" w:space="0" w:color="auto"/>
                      <w:left w:val="outset" w:sz="6" w:space="0" w:color="auto"/>
                      <w:bottom w:val="outset" w:sz="6" w:space="0" w:color="auto"/>
                      <w:right w:val="outset" w:sz="6" w:space="0" w:color="auto"/>
                    </w:tcBorders>
                  </w:tcPr>
                  <w:p w14:paraId="214F964D"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545CC3C"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1B8DF7A" w14:textId="77777777" w:rsidR="00830E72" w:rsidRDefault="00830E72">
                    <w:pPr>
                      <w:jc w:val="right"/>
                      <w:rPr>
                        <w:szCs w:val="21"/>
                      </w:rPr>
                    </w:pPr>
                  </w:p>
                </w:tc>
              </w:tr>
              <w:tr w:rsidR="00830E72" w14:paraId="1FB8599E" w14:textId="77777777">
                <w:sdt>
                  <w:sdtPr>
                    <w:tag w:val="_PLD_85034baf09ae473db2e4694be7430d29"/>
                    <w:id w:val="-813100976"/>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318AEA44" w14:textId="77777777" w:rsidR="00830E72" w:rsidRDefault="008344D8">
                        <w:pPr>
                          <w:ind w:firstLineChars="100" w:firstLine="210"/>
                          <w:rPr>
                            <w:szCs w:val="21"/>
                          </w:rPr>
                        </w:pPr>
                        <w:r>
                          <w:rPr>
                            <w:rFonts w:hint="eastAsia"/>
                            <w:szCs w:val="21"/>
                          </w:rPr>
                          <w:t>一年内到期的非流动资产</w:t>
                        </w:r>
                      </w:p>
                    </w:tc>
                  </w:sdtContent>
                </w:sdt>
                <w:tc>
                  <w:tcPr>
                    <w:tcW w:w="489" w:type="pct"/>
                    <w:tcBorders>
                      <w:top w:val="outset" w:sz="6" w:space="0" w:color="auto"/>
                      <w:left w:val="outset" w:sz="6" w:space="0" w:color="auto"/>
                      <w:bottom w:val="outset" w:sz="6" w:space="0" w:color="auto"/>
                      <w:right w:val="outset" w:sz="6" w:space="0" w:color="auto"/>
                    </w:tcBorders>
                  </w:tcPr>
                  <w:p w14:paraId="394A0F3E"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9377D83" w14:textId="77777777" w:rsidR="00830E72" w:rsidRDefault="008344D8">
                    <w:pPr>
                      <w:jc w:val="right"/>
                      <w:rPr>
                        <w:szCs w:val="21"/>
                      </w:rPr>
                    </w:pPr>
                    <w:r>
                      <w:rPr>
                        <w:szCs w:val="21"/>
                      </w:rPr>
                      <w:t>48,541,978.43</w:t>
                    </w:r>
                  </w:p>
                </w:tc>
                <w:tc>
                  <w:tcPr>
                    <w:tcW w:w="1333" w:type="pct"/>
                    <w:tcBorders>
                      <w:top w:val="outset" w:sz="6" w:space="0" w:color="auto"/>
                      <w:left w:val="outset" w:sz="6" w:space="0" w:color="auto"/>
                      <w:bottom w:val="outset" w:sz="6" w:space="0" w:color="auto"/>
                      <w:right w:val="outset" w:sz="6" w:space="0" w:color="auto"/>
                    </w:tcBorders>
                  </w:tcPr>
                  <w:p w14:paraId="10D6E914" w14:textId="77777777" w:rsidR="00830E72" w:rsidRDefault="008344D8">
                    <w:pPr>
                      <w:jc w:val="right"/>
                      <w:rPr>
                        <w:szCs w:val="21"/>
                      </w:rPr>
                    </w:pPr>
                    <w:r>
                      <w:rPr>
                        <w:szCs w:val="21"/>
                      </w:rPr>
                      <w:t>83,251,919.30</w:t>
                    </w:r>
                  </w:p>
                </w:tc>
              </w:tr>
              <w:tr w:rsidR="00830E72" w14:paraId="6B221458" w14:textId="77777777">
                <w:sdt>
                  <w:sdtPr>
                    <w:tag w:val="_PLD_59111301b0474503970c30d14c6c16c1"/>
                    <w:id w:val="-335547569"/>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7E52C275" w14:textId="77777777" w:rsidR="00830E72" w:rsidRDefault="008344D8">
                        <w:pPr>
                          <w:ind w:firstLineChars="100" w:firstLine="210"/>
                          <w:rPr>
                            <w:szCs w:val="21"/>
                          </w:rPr>
                        </w:pPr>
                        <w:r>
                          <w:rPr>
                            <w:rFonts w:hint="eastAsia"/>
                            <w:szCs w:val="21"/>
                          </w:rPr>
                          <w:t>其他流动资产</w:t>
                        </w:r>
                      </w:p>
                    </w:tc>
                  </w:sdtContent>
                </w:sdt>
                <w:tc>
                  <w:tcPr>
                    <w:tcW w:w="489" w:type="pct"/>
                    <w:tcBorders>
                      <w:top w:val="outset" w:sz="6" w:space="0" w:color="auto"/>
                      <w:left w:val="outset" w:sz="6" w:space="0" w:color="auto"/>
                      <w:bottom w:val="outset" w:sz="6" w:space="0" w:color="auto"/>
                      <w:right w:val="outset" w:sz="6" w:space="0" w:color="auto"/>
                    </w:tcBorders>
                  </w:tcPr>
                  <w:p w14:paraId="47FB0E52"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5613789" w14:textId="77777777" w:rsidR="00830E72" w:rsidRDefault="008344D8">
                    <w:pPr>
                      <w:jc w:val="right"/>
                      <w:rPr>
                        <w:szCs w:val="21"/>
                      </w:rPr>
                    </w:pPr>
                    <w:r>
                      <w:rPr>
                        <w:szCs w:val="21"/>
                      </w:rPr>
                      <w:t>69,047,479.43</w:t>
                    </w:r>
                  </w:p>
                </w:tc>
                <w:tc>
                  <w:tcPr>
                    <w:tcW w:w="1333" w:type="pct"/>
                    <w:tcBorders>
                      <w:top w:val="outset" w:sz="6" w:space="0" w:color="auto"/>
                      <w:left w:val="outset" w:sz="6" w:space="0" w:color="auto"/>
                      <w:bottom w:val="outset" w:sz="6" w:space="0" w:color="auto"/>
                      <w:right w:val="outset" w:sz="6" w:space="0" w:color="auto"/>
                    </w:tcBorders>
                  </w:tcPr>
                  <w:p w14:paraId="7D9C2AC7" w14:textId="77777777" w:rsidR="00830E72" w:rsidRDefault="008344D8">
                    <w:pPr>
                      <w:jc w:val="right"/>
                      <w:rPr>
                        <w:szCs w:val="21"/>
                      </w:rPr>
                    </w:pPr>
                    <w:r>
                      <w:rPr>
                        <w:szCs w:val="21"/>
                      </w:rPr>
                      <w:t>78,577,663.96</w:t>
                    </w:r>
                  </w:p>
                </w:tc>
              </w:tr>
              <w:tr w:rsidR="00830E72" w14:paraId="3968D457" w14:textId="77777777">
                <w:sdt>
                  <w:sdtPr>
                    <w:tag w:val="_PLD_e89c5fc1115a4751868d93f96af78d12"/>
                    <w:id w:val="-76592627"/>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15735E25" w14:textId="77777777" w:rsidR="00830E72" w:rsidRDefault="008344D8">
                        <w:pPr>
                          <w:ind w:firstLineChars="200" w:firstLine="420"/>
                          <w:rPr>
                            <w:szCs w:val="21"/>
                          </w:rPr>
                        </w:pPr>
                        <w:r>
                          <w:rPr>
                            <w:rFonts w:hint="eastAsia"/>
                            <w:szCs w:val="21"/>
                          </w:rPr>
                          <w:t>流动资产合计</w:t>
                        </w:r>
                      </w:p>
                    </w:tc>
                  </w:sdtContent>
                </w:sdt>
                <w:tc>
                  <w:tcPr>
                    <w:tcW w:w="489" w:type="pct"/>
                    <w:tcBorders>
                      <w:top w:val="outset" w:sz="6" w:space="0" w:color="auto"/>
                      <w:left w:val="outset" w:sz="6" w:space="0" w:color="auto"/>
                      <w:bottom w:val="outset" w:sz="6" w:space="0" w:color="auto"/>
                      <w:right w:val="outset" w:sz="6" w:space="0" w:color="auto"/>
                    </w:tcBorders>
                  </w:tcPr>
                  <w:p w14:paraId="05EF73C2"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E388370" w14:textId="77777777" w:rsidR="00830E72" w:rsidRDefault="008344D8">
                    <w:pPr>
                      <w:jc w:val="right"/>
                      <w:rPr>
                        <w:szCs w:val="21"/>
                      </w:rPr>
                    </w:pPr>
                    <w:r>
                      <w:rPr>
                        <w:szCs w:val="21"/>
                      </w:rPr>
                      <w:t>4,825,404,685.02</w:t>
                    </w:r>
                  </w:p>
                </w:tc>
                <w:tc>
                  <w:tcPr>
                    <w:tcW w:w="1333" w:type="pct"/>
                    <w:tcBorders>
                      <w:top w:val="outset" w:sz="6" w:space="0" w:color="auto"/>
                      <w:left w:val="outset" w:sz="6" w:space="0" w:color="auto"/>
                      <w:bottom w:val="outset" w:sz="6" w:space="0" w:color="auto"/>
                      <w:right w:val="outset" w:sz="6" w:space="0" w:color="auto"/>
                    </w:tcBorders>
                  </w:tcPr>
                  <w:p w14:paraId="69172EBC" w14:textId="77777777" w:rsidR="00830E72" w:rsidRDefault="008344D8">
                    <w:pPr>
                      <w:jc w:val="right"/>
                      <w:rPr>
                        <w:szCs w:val="21"/>
                      </w:rPr>
                    </w:pPr>
                    <w:r>
                      <w:rPr>
                        <w:szCs w:val="21"/>
                      </w:rPr>
                      <w:t>3,953,580,770.11</w:t>
                    </w:r>
                  </w:p>
                </w:tc>
              </w:tr>
              <w:tr w:rsidR="00830E72" w14:paraId="094F2010" w14:textId="77777777">
                <w:sdt>
                  <w:sdtPr>
                    <w:tag w:val="_PLD_66ac6acc14e74939b5cc43190a3afd2b"/>
                    <w:id w:val="1266811870"/>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05A6D29E" w14:textId="77777777" w:rsidR="00830E72" w:rsidRDefault="008344D8">
                        <w:pPr>
                          <w:rPr>
                            <w:szCs w:val="21"/>
                          </w:rPr>
                        </w:pPr>
                        <w:r>
                          <w:rPr>
                            <w:rFonts w:hint="eastAsia"/>
                            <w:b/>
                            <w:bCs/>
                            <w:szCs w:val="21"/>
                          </w:rPr>
                          <w:t>非流动资产：</w:t>
                        </w:r>
                      </w:p>
                    </w:tc>
                  </w:sdtContent>
                </w:sdt>
                <w:tc>
                  <w:tcPr>
                    <w:tcW w:w="489" w:type="pct"/>
                    <w:tcBorders>
                      <w:top w:val="outset" w:sz="6" w:space="0" w:color="auto"/>
                      <w:left w:val="outset" w:sz="6" w:space="0" w:color="auto"/>
                      <w:bottom w:val="outset" w:sz="6" w:space="0" w:color="auto"/>
                      <w:right w:val="outset" w:sz="6" w:space="0" w:color="auto"/>
                    </w:tcBorders>
                  </w:tcPr>
                  <w:p w14:paraId="6BEAB609" w14:textId="77777777" w:rsidR="00830E72" w:rsidRDefault="00830E72">
                    <w:pPr>
                      <w:rPr>
                        <w:color w:val="008000"/>
                        <w:szCs w:val="21"/>
                      </w:rPr>
                    </w:pPr>
                  </w:p>
                </w:tc>
                <w:tc>
                  <w:tcPr>
                    <w:tcW w:w="1411" w:type="pct"/>
                    <w:tcBorders>
                      <w:top w:val="outset" w:sz="6" w:space="0" w:color="auto"/>
                      <w:left w:val="outset" w:sz="6" w:space="0" w:color="auto"/>
                      <w:bottom w:val="outset" w:sz="6" w:space="0" w:color="auto"/>
                      <w:right w:val="outset" w:sz="6" w:space="0" w:color="auto"/>
                    </w:tcBorders>
                  </w:tcPr>
                  <w:p w14:paraId="265671C7" w14:textId="77777777" w:rsidR="00830E72" w:rsidRDefault="00830E72">
                    <w:pPr>
                      <w:rPr>
                        <w:color w:val="008000"/>
                        <w:szCs w:val="21"/>
                      </w:rPr>
                    </w:pPr>
                  </w:p>
                </w:tc>
                <w:tc>
                  <w:tcPr>
                    <w:tcW w:w="1333" w:type="pct"/>
                    <w:tcBorders>
                      <w:top w:val="outset" w:sz="6" w:space="0" w:color="auto"/>
                      <w:left w:val="outset" w:sz="6" w:space="0" w:color="auto"/>
                      <w:bottom w:val="outset" w:sz="6" w:space="0" w:color="auto"/>
                      <w:right w:val="outset" w:sz="6" w:space="0" w:color="auto"/>
                    </w:tcBorders>
                  </w:tcPr>
                  <w:p w14:paraId="5D57B888" w14:textId="77777777" w:rsidR="00830E72" w:rsidRDefault="00830E72">
                    <w:pPr>
                      <w:rPr>
                        <w:color w:val="008000"/>
                        <w:szCs w:val="21"/>
                      </w:rPr>
                    </w:pPr>
                  </w:p>
                </w:tc>
              </w:tr>
              <w:tr w:rsidR="00830E72" w14:paraId="7DD3BB54" w14:textId="77777777">
                <w:sdt>
                  <w:sdtPr>
                    <w:tag w:val="_PLD_22aa48a975974ca794a64ae94835362c"/>
                    <w:id w:val="1529061153"/>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3B8DB372" w14:textId="77777777" w:rsidR="00830E72" w:rsidRDefault="008344D8">
                        <w:pPr>
                          <w:ind w:firstLineChars="100" w:firstLine="210"/>
                          <w:rPr>
                            <w:szCs w:val="21"/>
                          </w:rPr>
                        </w:pPr>
                        <w:r>
                          <w:rPr>
                            <w:rFonts w:hint="eastAsia"/>
                            <w:szCs w:val="21"/>
                          </w:rPr>
                          <w:t>发放贷款和垫款</w:t>
                        </w:r>
                      </w:p>
                    </w:tc>
                  </w:sdtContent>
                </w:sdt>
                <w:tc>
                  <w:tcPr>
                    <w:tcW w:w="489" w:type="pct"/>
                    <w:tcBorders>
                      <w:top w:val="outset" w:sz="6" w:space="0" w:color="auto"/>
                      <w:left w:val="outset" w:sz="6" w:space="0" w:color="auto"/>
                      <w:bottom w:val="outset" w:sz="6" w:space="0" w:color="auto"/>
                      <w:right w:val="outset" w:sz="6" w:space="0" w:color="auto"/>
                    </w:tcBorders>
                  </w:tcPr>
                  <w:p w14:paraId="4629E7A4"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0A86681"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7713A3A" w14:textId="77777777" w:rsidR="00830E72" w:rsidRDefault="00830E72">
                    <w:pPr>
                      <w:jc w:val="right"/>
                      <w:rPr>
                        <w:szCs w:val="21"/>
                      </w:rPr>
                    </w:pPr>
                  </w:p>
                </w:tc>
              </w:tr>
              <w:tr w:rsidR="00830E72" w14:paraId="630B70BA" w14:textId="77777777">
                <w:tc>
                  <w:tcPr>
                    <w:tcW w:w="17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b4e85a6b3e74bac9cd4834b80365bf5"/>
                      <w:id w:val="-895044646"/>
                      <w:lock w:val="sdtLocked"/>
                    </w:sdtPr>
                    <w:sdtEndPr/>
                    <w:sdtContent>
                      <w:p w14:paraId="3EC673CF" w14:textId="77777777" w:rsidR="00830E72" w:rsidRDefault="008344D8">
                        <w:pPr>
                          <w:ind w:firstLineChars="100" w:firstLine="210"/>
                        </w:pPr>
                        <w:r>
                          <w:rPr>
                            <w:rFonts w:hint="eastAsia"/>
                          </w:rPr>
                          <w:t>债权投资</w:t>
                        </w:r>
                      </w:p>
                    </w:sdtContent>
                  </w:sdt>
                </w:tc>
                <w:tc>
                  <w:tcPr>
                    <w:tcW w:w="489" w:type="pct"/>
                    <w:tcBorders>
                      <w:top w:val="outset" w:sz="6" w:space="0" w:color="auto"/>
                      <w:left w:val="outset" w:sz="6" w:space="0" w:color="auto"/>
                      <w:bottom w:val="outset" w:sz="6" w:space="0" w:color="auto"/>
                      <w:right w:val="outset" w:sz="6" w:space="0" w:color="auto"/>
                    </w:tcBorders>
                  </w:tcPr>
                  <w:p w14:paraId="5E55B46C"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8F7867A"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AEEB7BB" w14:textId="77777777" w:rsidR="00830E72" w:rsidRDefault="00830E72">
                    <w:pPr>
                      <w:jc w:val="right"/>
                      <w:rPr>
                        <w:szCs w:val="21"/>
                      </w:rPr>
                    </w:pPr>
                  </w:p>
                </w:tc>
              </w:tr>
              <w:tr w:rsidR="00830E72" w14:paraId="3B26F9E6" w14:textId="77777777">
                <w:tc>
                  <w:tcPr>
                    <w:tcW w:w="17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a42e80c658846cda83a637d16a3300f"/>
                      <w:id w:val="-549153296"/>
                      <w:lock w:val="sdtLocked"/>
                    </w:sdtPr>
                    <w:sdtEndPr/>
                    <w:sdtContent>
                      <w:p w14:paraId="48F069B5" w14:textId="77777777" w:rsidR="00830E72" w:rsidRDefault="008344D8">
                        <w:pPr>
                          <w:ind w:firstLineChars="100" w:firstLine="210"/>
                        </w:pPr>
                        <w:r>
                          <w:rPr>
                            <w:rFonts w:hint="eastAsia"/>
                          </w:rPr>
                          <w:t>其他债权投资</w:t>
                        </w:r>
                      </w:p>
                    </w:sdtContent>
                  </w:sdt>
                </w:tc>
                <w:tc>
                  <w:tcPr>
                    <w:tcW w:w="489" w:type="pct"/>
                    <w:tcBorders>
                      <w:top w:val="outset" w:sz="6" w:space="0" w:color="auto"/>
                      <w:left w:val="outset" w:sz="6" w:space="0" w:color="auto"/>
                      <w:bottom w:val="outset" w:sz="6" w:space="0" w:color="auto"/>
                      <w:right w:val="outset" w:sz="6" w:space="0" w:color="auto"/>
                    </w:tcBorders>
                  </w:tcPr>
                  <w:p w14:paraId="4A14324C"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3DA7CE2"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FF59376" w14:textId="77777777" w:rsidR="00830E72" w:rsidRDefault="00830E72">
                    <w:pPr>
                      <w:jc w:val="right"/>
                      <w:rPr>
                        <w:szCs w:val="21"/>
                      </w:rPr>
                    </w:pPr>
                  </w:p>
                </w:tc>
              </w:tr>
              <w:tr w:rsidR="00830E72" w14:paraId="176E0E17" w14:textId="77777777">
                <w:sdt>
                  <w:sdtPr>
                    <w:tag w:val="_PLD_235e8def5b4b4c7abc05596f3566e5ca"/>
                    <w:id w:val="6412882"/>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614DB2E9" w14:textId="77777777" w:rsidR="00830E72" w:rsidRDefault="008344D8">
                        <w:pPr>
                          <w:ind w:firstLineChars="100" w:firstLine="210"/>
                          <w:rPr>
                            <w:szCs w:val="21"/>
                          </w:rPr>
                        </w:pPr>
                        <w:r>
                          <w:rPr>
                            <w:rFonts w:hint="eastAsia"/>
                            <w:szCs w:val="21"/>
                          </w:rPr>
                          <w:t>长期应收款</w:t>
                        </w:r>
                      </w:p>
                    </w:tc>
                  </w:sdtContent>
                </w:sdt>
                <w:tc>
                  <w:tcPr>
                    <w:tcW w:w="489" w:type="pct"/>
                    <w:tcBorders>
                      <w:top w:val="outset" w:sz="6" w:space="0" w:color="auto"/>
                      <w:left w:val="outset" w:sz="6" w:space="0" w:color="auto"/>
                      <w:bottom w:val="outset" w:sz="6" w:space="0" w:color="auto"/>
                      <w:right w:val="outset" w:sz="6" w:space="0" w:color="auto"/>
                    </w:tcBorders>
                  </w:tcPr>
                  <w:p w14:paraId="7CD583FC"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635579B" w14:textId="77777777" w:rsidR="00830E72" w:rsidRDefault="008344D8">
                    <w:pPr>
                      <w:jc w:val="right"/>
                      <w:rPr>
                        <w:szCs w:val="21"/>
                      </w:rPr>
                    </w:pPr>
                    <w:r>
                      <w:rPr>
                        <w:szCs w:val="21"/>
                      </w:rPr>
                      <w:t>1,180,343,937.66</w:t>
                    </w:r>
                  </w:p>
                </w:tc>
                <w:tc>
                  <w:tcPr>
                    <w:tcW w:w="1333" w:type="pct"/>
                    <w:tcBorders>
                      <w:top w:val="outset" w:sz="6" w:space="0" w:color="auto"/>
                      <w:left w:val="outset" w:sz="6" w:space="0" w:color="auto"/>
                      <w:bottom w:val="outset" w:sz="6" w:space="0" w:color="auto"/>
                      <w:right w:val="outset" w:sz="6" w:space="0" w:color="auto"/>
                    </w:tcBorders>
                  </w:tcPr>
                  <w:p w14:paraId="676E8EED" w14:textId="77777777" w:rsidR="00830E72" w:rsidRDefault="008344D8">
                    <w:pPr>
                      <w:jc w:val="right"/>
                      <w:rPr>
                        <w:szCs w:val="21"/>
                      </w:rPr>
                    </w:pPr>
                    <w:r>
                      <w:rPr>
                        <w:szCs w:val="21"/>
                      </w:rPr>
                      <w:t>802,954,150.86</w:t>
                    </w:r>
                  </w:p>
                </w:tc>
              </w:tr>
              <w:tr w:rsidR="00830E72" w14:paraId="1A63F445" w14:textId="77777777">
                <w:sdt>
                  <w:sdtPr>
                    <w:tag w:val="_PLD_a03693997f484cfcaa912b0e71d5709d"/>
                    <w:id w:val="-79988786"/>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741F42B9" w14:textId="77777777" w:rsidR="00830E72" w:rsidRDefault="008344D8">
                        <w:pPr>
                          <w:ind w:firstLineChars="100" w:firstLine="210"/>
                          <w:rPr>
                            <w:szCs w:val="21"/>
                          </w:rPr>
                        </w:pPr>
                        <w:r>
                          <w:rPr>
                            <w:rFonts w:hint="eastAsia"/>
                            <w:szCs w:val="21"/>
                          </w:rPr>
                          <w:t>长期股权投资</w:t>
                        </w:r>
                      </w:p>
                    </w:tc>
                  </w:sdtContent>
                </w:sdt>
                <w:tc>
                  <w:tcPr>
                    <w:tcW w:w="489" w:type="pct"/>
                    <w:tcBorders>
                      <w:top w:val="outset" w:sz="6" w:space="0" w:color="auto"/>
                      <w:left w:val="outset" w:sz="6" w:space="0" w:color="auto"/>
                      <w:bottom w:val="outset" w:sz="6" w:space="0" w:color="auto"/>
                      <w:right w:val="outset" w:sz="6" w:space="0" w:color="auto"/>
                    </w:tcBorders>
                  </w:tcPr>
                  <w:p w14:paraId="6E4FA026"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FBFD633"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D89613A" w14:textId="77777777" w:rsidR="00830E72" w:rsidRDefault="00830E72">
                    <w:pPr>
                      <w:jc w:val="right"/>
                      <w:rPr>
                        <w:szCs w:val="21"/>
                      </w:rPr>
                    </w:pPr>
                  </w:p>
                </w:tc>
              </w:tr>
              <w:tr w:rsidR="00830E72" w14:paraId="0F079391" w14:textId="77777777">
                <w:tc>
                  <w:tcPr>
                    <w:tcW w:w="17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c57523e7f9d4490b8fc01da554e0edf"/>
                      <w:id w:val="-905375661"/>
                      <w:lock w:val="sdtLocked"/>
                    </w:sdtPr>
                    <w:sdtEndPr/>
                    <w:sdtContent>
                      <w:p w14:paraId="079EBAD6" w14:textId="77777777" w:rsidR="00830E72" w:rsidRDefault="008344D8">
                        <w:pPr>
                          <w:ind w:firstLineChars="100" w:firstLine="210"/>
                        </w:pPr>
                        <w:r>
                          <w:rPr>
                            <w:rFonts w:hint="eastAsia"/>
                          </w:rPr>
                          <w:t>其他权益工具投资</w:t>
                        </w:r>
                      </w:p>
                    </w:sdtContent>
                  </w:sdt>
                </w:tc>
                <w:tc>
                  <w:tcPr>
                    <w:tcW w:w="489" w:type="pct"/>
                    <w:tcBorders>
                      <w:top w:val="outset" w:sz="6" w:space="0" w:color="auto"/>
                      <w:left w:val="outset" w:sz="6" w:space="0" w:color="auto"/>
                      <w:bottom w:val="outset" w:sz="6" w:space="0" w:color="auto"/>
                      <w:right w:val="outset" w:sz="6" w:space="0" w:color="auto"/>
                    </w:tcBorders>
                  </w:tcPr>
                  <w:p w14:paraId="6F7246F5"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E190D15"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2179DA4" w14:textId="77777777" w:rsidR="00830E72" w:rsidRDefault="00830E72">
                    <w:pPr>
                      <w:jc w:val="right"/>
                      <w:rPr>
                        <w:szCs w:val="21"/>
                      </w:rPr>
                    </w:pPr>
                  </w:p>
                </w:tc>
              </w:tr>
              <w:tr w:rsidR="00830E72" w14:paraId="6D58D4AB" w14:textId="77777777">
                <w:tc>
                  <w:tcPr>
                    <w:tcW w:w="17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89d47082a034512856b0d9af89eed72"/>
                      <w:id w:val="1771498287"/>
                      <w:lock w:val="sdtLocked"/>
                    </w:sdtPr>
                    <w:sdtEndPr/>
                    <w:sdtContent>
                      <w:p w14:paraId="30B4E63D" w14:textId="77777777" w:rsidR="00830E72" w:rsidRDefault="008344D8">
                        <w:pPr>
                          <w:ind w:firstLineChars="100" w:firstLine="210"/>
                        </w:pPr>
                        <w:r>
                          <w:rPr>
                            <w:rFonts w:hint="eastAsia"/>
                          </w:rPr>
                          <w:t>其他非流动金融资产</w:t>
                        </w:r>
                      </w:p>
                    </w:sdtContent>
                  </w:sdt>
                </w:tc>
                <w:tc>
                  <w:tcPr>
                    <w:tcW w:w="489" w:type="pct"/>
                    <w:tcBorders>
                      <w:top w:val="outset" w:sz="6" w:space="0" w:color="auto"/>
                      <w:left w:val="outset" w:sz="6" w:space="0" w:color="auto"/>
                      <w:bottom w:val="outset" w:sz="6" w:space="0" w:color="auto"/>
                      <w:right w:val="outset" w:sz="6" w:space="0" w:color="auto"/>
                    </w:tcBorders>
                  </w:tcPr>
                  <w:p w14:paraId="26F16D5B"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6FD0292" w14:textId="77777777" w:rsidR="00830E72" w:rsidRDefault="008344D8">
                    <w:pPr>
                      <w:jc w:val="right"/>
                      <w:rPr>
                        <w:szCs w:val="21"/>
                      </w:rPr>
                    </w:pPr>
                    <w:r>
                      <w:rPr>
                        <w:szCs w:val="21"/>
                      </w:rPr>
                      <w:t>75,453,157.25</w:t>
                    </w:r>
                  </w:p>
                </w:tc>
                <w:tc>
                  <w:tcPr>
                    <w:tcW w:w="1333" w:type="pct"/>
                    <w:tcBorders>
                      <w:top w:val="outset" w:sz="6" w:space="0" w:color="auto"/>
                      <w:left w:val="outset" w:sz="6" w:space="0" w:color="auto"/>
                      <w:bottom w:val="outset" w:sz="6" w:space="0" w:color="auto"/>
                      <w:right w:val="outset" w:sz="6" w:space="0" w:color="auto"/>
                    </w:tcBorders>
                  </w:tcPr>
                  <w:p w14:paraId="03584B99" w14:textId="77777777" w:rsidR="00830E72" w:rsidRDefault="008344D8">
                    <w:pPr>
                      <w:jc w:val="right"/>
                      <w:rPr>
                        <w:szCs w:val="21"/>
                      </w:rPr>
                    </w:pPr>
                    <w:r>
                      <w:rPr>
                        <w:szCs w:val="21"/>
                      </w:rPr>
                      <w:t>75,453,157.25</w:t>
                    </w:r>
                  </w:p>
                </w:tc>
              </w:tr>
              <w:tr w:rsidR="00830E72" w14:paraId="00414D86" w14:textId="77777777">
                <w:sdt>
                  <w:sdtPr>
                    <w:tag w:val="_PLD_4684cd13f34942aabf4f5a55f1148c84"/>
                    <w:id w:val="1693956729"/>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03E384C8" w14:textId="77777777" w:rsidR="00830E72" w:rsidRDefault="008344D8">
                        <w:pPr>
                          <w:ind w:firstLineChars="100" w:firstLine="210"/>
                          <w:rPr>
                            <w:szCs w:val="21"/>
                          </w:rPr>
                        </w:pPr>
                        <w:r>
                          <w:rPr>
                            <w:rFonts w:hint="eastAsia"/>
                            <w:szCs w:val="21"/>
                          </w:rPr>
                          <w:t>投资性房地产</w:t>
                        </w:r>
                      </w:p>
                    </w:tc>
                  </w:sdtContent>
                </w:sdt>
                <w:tc>
                  <w:tcPr>
                    <w:tcW w:w="489" w:type="pct"/>
                    <w:tcBorders>
                      <w:top w:val="outset" w:sz="6" w:space="0" w:color="auto"/>
                      <w:left w:val="outset" w:sz="6" w:space="0" w:color="auto"/>
                      <w:bottom w:val="outset" w:sz="6" w:space="0" w:color="auto"/>
                      <w:right w:val="outset" w:sz="6" w:space="0" w:color="auto"/>
                    </w:tcBorders>
                  </w:tcPr>
                  <w:p w14:paraId="4A69AC6B"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30874D0" w14:textId="77777777" w:rsidR="00830E72" w:rsidRDefault="008344D8">
                    <w:pPr>
                      <w:jc w:val="right"/>
                      <w:rPr>
                        <w:szCs w:val="21"/>
                      </w:rPr>
                    </w:pPr>
                    <w:r>
                      <w:rPr>
                        <w:szCs w:val="21"/>
                      </w:rPr>
                      <w:t>95,840,183.90</w:t>
                    </w:r>
                  </w:p>
                </w:tc>
                <w:tc>
                  <w:tcPr>
                    <w:tcW w:w="1333" w:type="pct"/>
                    <w:tcBorders>
                      <w:top w:val="outset" w:sz="6" w:space="0" w:color="auto"/>
                      <w:left w:val="outset" w:sz="6" w:space="0" w:color="auto"/>
                      <w:bottom w:val="outset" w:sz="6" w:space="0" w:color="auto"/>
                      <w:right w:val="outset" w:sz="6" w:space="0" w:color="auto"/>
                    </w:tcBorders>
                  </w:tcPr>
                  <w:p w14:paraId="067637A4" w14:textId="77777777" w:rsidR="00830E72" w:rsidRDefault="008344D8">
                    <w:pPr>
                      <w:jc w:val="right"/>
                      <w:rPr>
                        <w:szCs w:val="21"/>
                      </w:rPr>
                    </w:pPr>
                    <w:r>
                      <w:rPr>
                        <w:szCs w:val="21"/>
                      </w:rPr>
                      <w:t>97,634,438.66</w:t>
                    </w:r>
                  </w:p>
                </w:tc>
              </w:tr>
              <w:tr w:rsidR="00830E72" w14:paraId="73B9CBA8" w14:textId="77777777">
                <w:sdt>
                  <w:sdtPr>
                    <w:tag w:val="_PLD_ea85d42312a14428bf960d1d9ac28904"/>
                    <w:id w:val="1284614756"/>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6447B0F8" w14:textId="77777777" w:rsidR="00830E72" w:rsidRDefault="008344D8">
                        <w:pPr>
                          <w:ind w:firstLineChars="100" w:firstLine="210"/>
                          <w:rPr>
                            <w:szCs w:val="21"/>
                          </w:rPr>
                        </w:pPr>
                        <w:r>
                          <w:rPr>
                            <w:rFonts w:hint="eastAsia"/>
                            <w:szCs w:val="21"/>
                          </w:rPr>
                          <w:t>固定资产</w:t>
                        </w:r>
                      </w:p>
                    </w:tc>
                  </w:sdtContent>
                </w:sdt>
                <w:tc>
                  <w:tcPr>
                    <w:tcW w:w="489" w:type="pct"/>
                    <w:tcBorders>
                      <w:top w:val="outset" w:sz="6" w:space="0" w:color="auto"/>
                      <w:left w:val="outset" w:sz="6" w:space="0" w:color="auto"/>
                      <w:bottom w:val="outset" w:sz="6" w:space="0" w:color="auto"/>
                      <w:right w:val="outset" w:sz="6" w:space="0" w:color="auto"/>
                    </w:tcBorders>
                  </w:tcPr>
                  <w:p w14:paraId="2D5D0924"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5347348" w14:textId="77777777" w:rsidR="00830E72" w:rsidRDefault="008344D8">
                    <w:pPr>
                      <w:jc w:val="right"/>
                      <w:rPr>
                        <w:szCs w:val="21"/>
                      </w:rPr>
                    </w:pPr>
                    <w:r>
                      <w:rPr>
                        <w:szCs w:val="21"/>
                      </w:rPr>
                      <w:t>39,125,319.45</w:t>
                    </w:r>
                  </w:p>
                </w:tc>
                <w:tc>
                  <w:tcPr>
                    <w:tcW w:w="1333" w:type="pct"/>
                    <w:tcBorders>
                      <w:top w:val="outset" w:sz="6" w:space="0" w:color="auto"/>
                      <w:left w:val="outset" w:sz="6" w:space="0" w:color="auto"/>
                      <w:bottom w:val="outset" w:sz="6" w:space="0" w:color="auto"/>
                      <w:right w:val="outset" w:sz="6" w:space="0" w:color="auto"/>
                    </w:tcBorders>
                  </w:tcPr>
                  <w:p w14:paraId="28377CC1" w14:textId="77777777" w:rsidR="00830E72" w:rsidRDefault="008344D8">
                    <w:pPr>
                      <w:jc w:val="right"/>
                      <w:rPr>
                        <w:szCs w:val="21"/>
                      </w:rPr>
                    </w:pPr>
                    <w:r>
                      <w:rPr>
                        <w:szCs w:val="21"/>
                      </w:rPr>
                      <w:t>41,020,039.76</w:t>
                    </w:r>
                  </w:p>
                </w:tc>
              </w:tr>
              <w:tr w:rsidR="00830E72" w14:paraId="63753028" w14:textId="77777777">
                <w:sdt>
                  <w:sdtPr>
                    <w:tag w:val="_PLD_6572a20e6bfc4146a00336e842a92a6c"/>
                    <w:id w:val="753171729"/>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39C6DA2D" w14:textId="77777777" w:rsidR="00830E72" w:rsidRDefault="008344D8">
                        <w:pPr>
                          <w:ind w:firstLineChars="100" w:firstLine="210"/>
                          <w:rPr>
                            <w:szCs w:val="21"/>
                          </w:rPr>
                        </w:pPr>
                        <w:r>
                          <w:rPr>
                            <w:rFonts w:hint="eastAsia"/>
                            <w:szCs w:val="21"/>
                          </w:rPr>
                          <w:t>在建工程</w:t>
                        </w:r>
                      </w:p>
                    </w:tc>
                  </w:sdtContent>
                </w:sdt>
                <w:tc>
                  <w:tcPr>
                    <w:tcW w:w="489" w:type="pct"/>
                    <w:tcBorders>
                      <w:top w:val="outset" w:sz="6" w:space="0" w:color="auto"/>
                      <w:left w:val="outset" w:sz="6" w:space="0" w:color="auto"/>
                      <w:bottom w:val="outset" w:sz="6" w:space="0" w:color="auto"/>
                      <w:right w:val="outset" w:sz="6" w:space="0" w:color="auto"/>
                    </w:tcBorders>
                  </w:tcPr>
                  <w:p w14:paraId="1CACCACA"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BEC6414"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6C80BB0" w14:textId="77777777" w:rsidR="00830E72" w:rsidRDefault="00830E72">
                    <w:pPr>
                      <w:jc w:val="right"/>
                      <w:rPr>
                        <w:szCs w:val="21"/>
                      </w:rPr>
                    </w:pPr>
                  </w:p>
                </w:tc>
              </w:tr>
              <w:tr w:rsidR="00830E72" w14:paraId="1EE59AFF" w14:textId="77777777">
                <w:sdt>
                  <w:sdtPr>
                    <w:tag w:val="_PLD_681c8940563045f7a9114e64a64c0cbb"/>
                    <w:id w:val="-2047206987"/>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21C56AD7" w14:textId="77777777" w:rsidR="00830E72" w:rsidRDefault="008344D8">
                        <w:pPr>
                          <w:ind w:firstLineChars="100" w:firstLine="210"/>
                          <w:rPr>
                            <w:szCs w:val="21"/>
                          </w:rPr>
                        </w:pPr>
                        <w:r>
                          <w:rPr>
                            <w:rFonts w:hint="eastAsia"/>
                            <w:szCs w:val="21"/>
                          </w:rPr>
                          <w:t>生产性生物资产</w:t>
                        </w:r>
                      </w:p>
                    </w:tc>
                  </w:sdtContent>
                </w:sdt>
                <w:tc>
                  <w:tcPr>
                    <w:tcW w:w="489" w:type="pct"/>
                    <w:tcBorders>
                      <w:top w:val="outset" w:sz="6" w:space="0" w:color="auto"/>
                      <w:left w:val="outset" w:sz="6" w:space="0" w:color="auto"/>
                      <w:bottom w:val="outset" w:sz="6" w:space="0" w:color="auto"/>
                      <w:right w:val="outset" w:sz="6" w:space="0" w:color="auto"/>
                    </w:tcBorders>
                  </w:tcPr>
                  <w:p w14:paraId="2DA07AB2"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08FC82C"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6FEFABB" w14:textId="77777777" w:rsidR="00830E72" w:rsidRDefault="00830E72">
                    <w:pPr>
                      <w:jc w:val="right"/>
                      <w:rPr>
                        <w:szCs w:val="21"/>
                      </w:rPr>
                    </w:pPr>
                  </w:p>
                </w:tc>
              </w:tr>
              <w:tr w:rsidR="00830E72" w14:paraId="7847D5D6" w14:textId="77777777">
                <w:sdt>
                  <w:sdtPr>
                    <w:tag w:val="_PLD_86e2225c67a84720afd738287a9c2365"/>
                    <w:id w:val="-400372972"/>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6977FD6A" w14:textId="77777777" w:rsidR="00830E72" w:rsidRDefault="008344D8">
                        <w:pPr>
                          <w:ind w:firstLineChars="100" w:firstLine="210"/>
                          <w:rPr>
                            <w:szCs w:val="21"/>
                          </w:rPr>
                        </w:pPr>
                        <w:r>
                          <w:rPr>
                            <w:rFonts w:hint="eastAsia"/>
                            <w:szCs w:val="21"/>
                          </w:rPr>
                          <w:t>油气资产</w:t>
                        </w:r>
                      </w:p>
                    </w:tc>
                  </w:sdtContent>
                </w:sdt>
                <w:tc>
                  <w:tcPr>
                    <w:tcW w:w="489" w:type="pct"/>
                    <w:tcBorders>
                      <w:top w:val="outset" w:sz="6" w:space="0" w:color="auto"/>
                      <w:left w:val="outset" w:sz="6" w:space="0" w:color="auto"/>
                      <w:bottom w:val="outset" w:sz="6" w:space="0" w:color="auto"/>
                      <w:right w:val="outset" w:sz="6" w:space="0" w:color="auto"/>
                    </w:tcBorders>
                  </w:tcPr>
                  <w:p w14:paraId="3B41CCB9"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657A514"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B64E23B" w14:textId="77777777" w:rsidR="00830E72" w:rsidRDefault="00830E72">
                    <w:pPr>
                      <w:jc w:val="right"/>
                      <w:rPr>
                        <w:szCs w:val="21"/>
                      </w:rPr>
                    </w:pPr>
                  </w:p>
                </w:tc>
              </w:tr>
              <w:tr w:rsidR="00830E72" w14:paraId="329420B6" w14:textId="77777777">
                <w:tc>
                  <w:tcPr>
                    <w:tcW w:w="17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039fa9358a43b398f3274466785fc8"/>
                      <w:id w:val="1438262203"/>
                      <w:lock w:val="sdtLocked"/>
                    </w:sdtPr>
                    <w:sdtEndPr/>
                    <w:sdtContent>
                      <w:p w14:paraId="76E35BDD" w14:textId="77777777" w:rsidR="00830E72" w:rsidRDefault="008344D8">
                        <w:pPr>
                          <w:ind w:firstLineChars="100" w:firstLine="210"/>
                        </w:pPr>
                        <w:r>
                          <w:rPr>
                            <w:rFonts w:hint="eastAsia"/>
                          </w:rPr>
                          <w:t>使用权资产</w:t>
                        </w:r>
                      </w:p>
                    </w:sdtContent>
                  </w:sdt>
                </w:tc>
                <w:tc>
                  <w:tcPr>
                    <w:tcW w:w="489" w:type="pct"/>
                    <w:tcBorders>
                      <w:top w:val="outset" w:sz="6" w:space="0" w:color="auto"/>
                      <w:left w:val="outset" w:sz="6" w:space="0" w:color="auto"/>
                      <w:bottom w:val="outset" w:sz="6" w:space="0" w:color="auto"/>
                      <w:right w:val="outset" w:sz="6" w:space="0" w:color="auto"/>
                    </w:tcBorders>
                  </w:tcPr>
                  <w:p w14:paraId="0B48277F"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A1FF080" w14:textId="77777777" w:rsidR="00830E72" w:rsidRDefault="008344D8">
                    <w:pPr>
                      <w:jc w:val="right"/>
                      <w:rPr>
                        <w:szCs w:val="21"/>
                      </w:rPr>
                    </w:pPr>
                    <w:r>
                      <w:rPr>
                        <w:szCs w:val="21"/>
                      </w:rPr>
                      <w:t>4,161,769.14</w:t>
                    </w:r>
                  </w:p>
                </w:tc>
                <w:tc>
                  <w:tcPr>
                    <w:tcW w:w="1333" w:type="pct"/>
                    <w:tcBorders>
                      <w:top w:val="outset" w:sz="6" w:space="0" w:color="auto"/>
                      <w:left w:val="outset" w:sz="6" w:space="0" w:color="auto"/>
                      <w:bottom w:val="outset" w:sz="6" w:space="0" w:color="auto"/>
                      <w:right w:val="outset" w:sz="6" w:space="0" w:color="auto"/>
                    </w:tcBorders>
                  </w:tcPr>
                  <w:p w14:paraId="665A55A2" w14:textId="77777777" w:rsidR="00830E72" w:rsidRDefault="00830E72">
                    <w:pPr>
                      <w:jc w:val="right"/>
                      <w:rPr>
                        <w:szCs w:val="21"/>
                      </w:rPr>
                    </w:pPr>
                  </w:p>
                </w:tc>
              </w:tr>
              <w:tr w:rsidR="00830E72" w14:paraId="7C941F2C" w14:textId="77777777">
                <w:sdt>
                  <w:sdtPr>
                    <w:tag w:val="_PLD_f9f0cc8ce8dc4387b1611032921da1ea"/>
                    <w:id w:val="241531251"/>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77B7BF6E" w14:textId="77777777" w:rsidR="00830E72" w:rsidRDefault="008344D8">
                        <w:pPr>
                          <w:ind w:firstLineChars="100" w:firstLine="210"/>
                          <w:rPr>
                            <w:szCs w:val="21"/>
                          </w:rPr>
                        </w:pPr>
                        <w:r>
                          <w:rPr>
                            <w:rFonts w:hint="eastAsia"/>
                            <w:szCs w:val="21"/>
                          </w:rPr>
                          <w:t>无形资产</w:t>
                        </w:r>
                      </w:p>
                    </w:tc>
                  </w:sdtContent>
                </w:sdt>
                <w:tc>
                  <w:tcPr>
                    <w:tcW w:w="489" w:type="pct"/>
                    <w:tcBorders>
                      <w:top w:val="outset" w:sz="6" w:space="0" w:color="auto"/>
                      <w:left w:val="outset" w:sz="6" w:space="0" w:color="auto"/>
                      <w:bottom w:val="outset" w:sz="6" w:space="0" w:color="auto"/>
                      <w:right w:val="outset" w:sz="6" w:space="0" w:color="auto"/>
                    </w:tcBorders>
                  </w:tcPr>
                  <w:p w14:paraId="5F37CC94"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AB04013" w14:textId="77777777" w:rsidR="00830E72" w:rsidRDefault="008344D8">
                    <w:pPr>
                      <w:jc w:val="right"/>
                      <w:rPr>
                        <w:szCs w:val="21"/>
                      </w:rPr>
                    </w:pPr>
                    <w:r>
                      <w:rPr>
                        <w:szCs w:val="21"/>
                      </w:rPr>
                      <w:t>1,448,414.79</w:t>
                    </w:r>
                  </w:p>
                </w:tc>
                <w:tc>
                  <w:tcPr>
                    <w:tcW w:w="1333" w:type="pct"/>
                    <w:tcBorders>
                      <w:top w:val="outset" w:sz="6" w:space="0" w:color="auto"/>
                      <w:left w:val="outset" w:sz="6" w:space="0" w:color="auto"/>
                      <w:bottom w:val="outset" w:sz="6" w:space="0" w:color="auto"/>
                      <w:right w:val="outset" w:sz="6" w:space="0" w:color="auto"/>
                    </w:tcBorders>
                  </w:tcPr>
                  <w:p w14:paraId="569711D6" w14:textId="77777777" w:rsidR="00830E72" w:rsidRDefault="008344D8">
                    <w:pPr>
                      <w:jc w:val="right"/>
                      <w:rPr>
                        <w:szCs w:val="21"/>
                      </w:rPr>
                    </w:pPr>
                    <w:r>
                      <w:rPr>
                        <w:szCs w:val="21"/>
                      </w:rPr>
                      <w:t>1,506,179.30</w:t>
                    </w:r>
                  </w:p>
                </w:tc>
              </w:tr>
              <w:tr w:rsidR="00830E72" w14:paraId="6889C31E" w14:textId="77777777">
                <w:sdt>
                  <w:sdtPr>
                    <w:tag w:val="_PLD_9e19501f4749495c8e2c099358304536"/>
                    <w:id w:val="1519188931"/>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597CD26B" w14:textId="77777777" w:rsidR="00830E72" w:rsidRDefault="008344D8">
                        <w:pPr>
                          <w:ind w:firstLineChars="100" w:firstLine="210"/>
                          <w:rPr>
                            <w:szCs w:val="21"/>
                          </w:rPr>
                        </w:pPr>
                        <w:r>
                          <w:rPr>
                            <w:rFonts w:hint="eastAsia"/>
                            <w:szCs w:val="21"/>
                          </w:rPr>
                          <w:t>开发支出</w:t>
                        </w:r>
                      </w:p>
                    </w:tc>
                  </w:sdtContent>
                </w:sdt>
                <w:tc>
                  <w:tcPr>
                    <w:tcW w:w="489" w:type="pct"/>
                    <w:tcBorders>
                      <w:top w:val="outset" w:sz="6" w:space="0" w:color="auto"/>
                      <w:left w:val="outset" w:sz="6" w:space="0" w:color="auto"/>
                      <w:bottom w:val="outset" w:sz="6" w:space="0" w:color="auto"/>
                      <w:right w:val="outset" w:sz="6" w:space="0" w:color="auto"/>
                    </w:tcBorders>
                  </w:tcPr>
                  <w:p w14:paraId="24A14164"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9567018"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4172F98" w14:textId="77777777" w:rsidR="00830E72" w:rsidRDefault="00830E72">
                    <w:pPr>
                      <w:jc w:val="right"/>
                      <w:rPr>
                        <w:szCs w:val="21"/>
                      </w:rPr>
                    </w:pPr>
                  </w:p>
                </w:tc>
              </w:tr>
              <w:tr w:rsidR="00830E72" w14:paraId="4E8F3316" w14:textId="77777777">
                <w:sdt>
                  <w:sdtPr>
                    <w:tag w:val="_PLD_f8ed91a88675406ea5643bb20525ebab"/>
                    <w:id w:val="1313605178"/>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080F3B21" w14:textId="77777777" w:rsidR="00830E72" w:rsidRDefault="008344D8">
                        <w:pPr>
                          <w:ind w:firstLineChars="100" w:firstLine="210"/>
                          <w:rPr>
                            <w:szCs w:val="21"/>
                          </w:rPr>
                        </w:pPr>
                        <w:r>
                          <w:rPr>
                            <w:rFonts w:hint="eastAsia"/>
                            <w:szCs w:val="21"/>
                          </w:rPr>
                          <w:t>商誉</w:t>
                        </w:r>
                      </w:p>
                    </w:tc>
                  </w:sdtContent>
                </w:sdt>
                <w:tc>
                  <w:tcPr>
                    <w:tcW w:w="489" w:type="pct"/>
                    <w:tcBorders>
                      <w:top w:val="outset" w:sz="6" w:space="0" w:color="auto"/>
                      <w:left w:val="outset" w:sz="6" w:space="0" w:color="auto"/>
                      <w:bottom w:val="outset" w:sz="6" w:space="0" w:color="auto"/>
                      <w:right w:val="outset" w:sz="6" w:space="0" w:color="auto"/>
                    </w:tcBorders>
                  </w:tcPr>
                  <w:p w14:paraId="4B5C23AD"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8D170A7"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5DB711E" w14:textId="77777777" w:rsidR="00830E72" w:rsidRDefault="00830E72">
                    <w:pPr>
                      <w:jc w:val="right"/>
                      <w:rPr>
                        <w:szCs w:val="21"/>
                      </w:rPr>
                    </w:pPr>
                  </w:p>
                </w:tc>
              </w:tr>
              <w:tr w:rsidR="00830E72" w14:paraId="5C414439" w14:textId="77777777">
                <w:sdt>
                  <w:sdtPr>
                    <w:tag w:val="_PLD_c7616aaf37e541948f0c2ca1f9b68af9"/>
                    <w:id w:val="-92099051"/>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66A7ACC1" w14:textId="77777777" w:rsidR="00830E72" w:rsidRDefault="008344D8">
                        <w:pPr>
                          <w:ind w:firstLineChars="100" w:firstLine="210"/>
                          <w:rPr>
                            <w:szCs w:val="21"/>
                          </w:rPr>
                        </w:pPr>
                        <w:r>
                          <w:rPr>
                            <w:rFonts w:hint="eastAsia"/>
                            <w:szCs w:val="21"/>
                          </w:rPr>
                          <w:t>长期待摊费用</w:t>
                        </w:r>
                      </w:p>
                    </w:tc>
                  </w:sdtContent>
                </w:sdt>
                <w:tc>
                  <w:tcPr>
                    <w:tcW w:w="489" w:type="pct"/>
                    <w:tcBorders>
                      <w:top w:val="outset" w:sz="6" w:space="0" w:color="auto"/>
                      <w:left w:val="outset" w:sz="6" w:space="0" w:color="auto"/>
                      <w:bottom w:val="outset" w:sz="6" w:space="0" w:color="auto"/>
                      <w:right w:val="outset" w:sz="6" w:space="0" w:color="auto"/>
                    </w:tcBorders>
                  </w:tcPr>
                  <w:p w14:paraId="499B592E"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7B91738" w14:textId="77777777" w:rsidR="00830E72" w:rsidRDefault="008344D8">
                    <w:pPr>
                      <w:jc w:val="right"/>
                      <w:rPr>
                        <w:szCs w:val="21"/>
                      </w:rPr>
                    </w:pPr>
                    <w:r>
                      <w:rPr>
                        <w:szCs w:val="21"/>
                      </w:rPr>
                      <w:t>579,688.77</w:t>
                    </w:r>
                  </w:p>
                </w:tc>
                <w:tc>
                  <w:tcPr>
                    <w:tcW w:w="1333" w:type="pct"/>
                    <w:tcBorders>
                      <w:top w:val="outset" w:sz="6" w:space="0" w:color="auto"/>
                      <w:left w:val="outset" w:sz="6" w:space="0" w:color="auto"/>
                      <w:bottom w:val="outset" w:sz="6" w:space="0" w:color="auto"/>
                      <w:right w:val="outset" w:sz="6" w:space="0" w:color="auto"/>
                    </w:tcBorders>
                  </w:tcPr>
                  <w:p w14:paraId="42BCB38F" w14:textId="77777777" w:rsidR="00830E72" w:rsidRDefault="008344D8">
                    <w:pPr>
                      <w:jc w:val="right"/>
                      <w:rPr>
                        <w:szCs w:val="21"/>
                      </w:rPr>
                    </w:pPr>
                    <w:r>
                      <w:rPr>
                        <w:szCs w:val="21"/>
                      </w:rPr>
                      <w:t>554,183.94</w:t>
                    </w:r>
                  </w:p>
                </w:tc>
              </w:tr>
              <w:tr w:rsidR="00830E72" w14:paraId="32AA4413" w14:textId="77777777">
                <w:sdt>
                  <w:sdtPr>
                    <w:tag w:val="_PLD_831746b98bdc4418bed3ce5f97331371"/>
                    <w:id w:val="1961914139"/>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4EE31F4A" w14:textId="77777777" w:rsidR="00830E72" w:rsidRDefault="008344D8">
                        <w:pPr>
                          <w:ind w:firstLineChars="100" w:firstLine="210"/>
                          <w:rPr>
                            <w:szCs w:val="21"/>
                          </w:rPr>
                        </w:pPr>
                        <w:r>
                          <w:rPr>
                            <w:rFonts w:hint="eastAsia"/>
                            <w:szCs w:val="21"/>
                          </w:rPr>
                          <w:t>递延所得税资产</w:t>
                        </w:r>
                      </w:p>
                    </w:tc>
                  </w:sdtContent>
                </w:sdt>
                <w:tc>
                  <w:tcPr>
                    <w:tcW w:w="489" w:type="pct"/>
                    <w:tcBorders>
                      <w:top w:val="outset" w:sz="6" w:space="0" w:color="auto"/>
                      <w:left w:val="outset" w:sz="6" w:space="0" w:color="auto"/>
                      <w:bottom w:val="outset" w:sz="6" w:space="0" w:color="auto"/>
                      <w:right w:val="outset" w:sz="6" w:space="0" w:color="auto"/>
                    </w:tcBorders>
                  </w:tcPr>
                  <w:p w14:paraId="7A3438E3"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07768F5" w14:textId="77777777" w:rsidR="00830E72" w:rsidRDefault="008344D8">
                    <w:pPr>
                      <w:jc w:val="right"/>
                      <w:rPr>
                        <w:szCs w:val="21"/>
                      </w:rPr>
                    </w:pPr>
                    <w:r>
                      <w:rPr>
                        <w:szCs w:val="21"/>
                      </w:rPr>
                      <w:t>54,208,097.40</w:t>
                    </w:r>
                  </w:p>
                </w:tc>
                <w:tc>
                  <w:tcPr>
                    <w:tcW w:w="1333" w:type="pct"/>
                    <w:tcBorders>
                      <w:top w:val="outset" w:sz="6" w:space="0" w:color="auto"/>
                      <w:left w:val="outset" w:sz="6" w:space="0" w:color="auto"/>
                      <w:bottom w:val="outset" w:sz="6" w:space="0" w:color="auto"/>
                      <w:right w:val="outset" w:sz="6" w:space="0" w:color="auto"/>
                    </w:tcBorders>
                  </w:tcPr>
                  <w:p w14:paraId="400248A9" w14:textId="77777777" w:rsidR="00830E72" w:rsidRDefault="008344D8">
                    <w:pPr>
                      <w:jc w:val="right"/>
                      <w:rPr>
                        <w:szCs w:val="21"/>
                      </w:rPr>
                    </w:pPr>
                    <w:r>
                      <w:rPr>
                        <w:szCs w:val="21"/>
                      </w:rPr>
                      <w:t>54,901,283.06</w:t>
                    </w:r>
                  </w:p>
                </w:tc>
              </w:tr>
              <w:tr w:rsidR="00830E72" w14:paraId="42F5F3DA" w14:textId="77777777">
                <w:sdt>
                  <w:sdtPr>
                    <w:tag w:val="_PLD_b16d4dbbdf9e4712984ce3d90131c10b"/>
                    <w:id w:val="-1376394233"/>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49026E16" w14:textId="77777777" w:rsidR="00830E72" w:rsidRDefault="008344D8">
                        <w:pPr>
                          <w:ind w:firstLineChars="100" w:firstLine="210"/>
                          <w:rPr>
                            <w:szCs w:val="21"/>
                          </w:rPr>
                        </w:pPr>
                        <w:r>
                          <w:rPr>
                            <w:rFonts w:hint="eastAsia"/>
                            <w:szCs w:val="21"/>
                          </w:rPr>
                          <w:t>其他非流动资产</w:t>
                        </w:r>
                      </w:p>
                    </w:tc>
                  </w:sdtContent>
                </w:sdt>
                <w:tc>
                  <w:tcPr>
                    <w:tcW w:w="489" w:type="pct"/>
                    <w:tcBorders>
                      <w:top w:val="outset" w:sz="6" w:space="0" w:color="auto"/>
                      <w:left w:val="outset" w:sz="6" w:space="0" w:color="auto"/>
                      <w:bottom w:val="outset" w:sz="6" w:space="0" w:color="auto"/>
                      <w:right w:val="outset" w:sz="6" w:space="0" w:color="auto"/>
                    </w:tcBorders>
                  </w:tcPr>
                  <w:p w14:paraId="7D460C05"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3480758" w14:textId="77777777" w:rsidR="00830E72" w:rsidRDefault="008344D8">
                    <w:pPr>
                      <w:jc w:val="right"/>
                      <w:rPr>
                        <w:szCs w:val="21"/>
                      </w:rPr>
                    </w:pPr>
                    <w:r>
                      <w:rPr>
                        <w:szCs w:val="21"/>
                      </w:rPr>
                      <w:t>192,946,005.33</w:t>
                    </w:r>
                  </w:p>
                </w:tc>
                <w:tc>
                  <w:tcPr>
                    <w:tcW w:w="1333" w:type="pct"/>
                    <w:tcBorders>
                      <w:top w:val="outset" w:sz="6" w:space="0" w:color="auto"/>
                      <w:left w:val="outset" w:sz="6" w:space="0" w:color="auto"/>
                      <w:bottom w:val="outset" w:sz="6" w:space="0" w:color="auto"/>
                      <w:right w:val="outset" w:sz="6" w:space="0" w:color="auto"/>
                    </w:tcBorders>
                  </w:tcPr>
                  <w:p w14:paraId="7D4E6141" w14:textId="77777777" w:rsidR="00830E72" w:rsidRDefault="008344D8">
                    <w:pPr>
                      <w:jc w:val="right"/>
                      <w:rPr>
                        <w:szCs w:val="21"/>
                      </w:rPr>
                    </w:pPr>
                    <w:r>
                      <w:rPr>
                        <w:szCs w:val="21"/>
                      </w:rPr>
                      <w:t>448,092,594.21</w:t>
                    </w:r>
                  </w:p>
                </w:tc>
              </w:tr>
              <w:tr w:rsidR="00830E72" w14:paraId="36B173D8" w14:textId="77777777">
                <w:sdt>
                  <w:sdtPr>
                    <w:tag w:val="_PLD_244b63fab9214d849ab2fc2afd25f0a8"/>
                    <w:id w:val="767439742"/>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7098B8B3" w14:textId="77777777" w:rsidR="00830E72" w:rsidRDefault="008344D8">
                        <w:pPr>
                          <w:ind w:firstLineChars="200" w:firstLine="420"/>
                          <w:rPr>
                            <w:szCs w:val="21"/>
                          </w:rPr>
                        </w:pPr>
                        <w:r>
                          <w:rPr>
                            <w:rFonts w:hint="eastAsia"/>
                            <w:szCs w:val="21"/>
                          </w:rPr>
                          <w:t>非流动资产合计</w:t>
                        </w:r>
                      </w:p>
                    </w:tc>
                  </w:sdtContent>
                </w:sdt>
                <w:tc>
                  <w:tcPr>
                    <w:tcW w:w="489" w:type="pct"/>
                    <w:tcBorders>
                      <w:top w:val="outset" w:sz="6" w:space="0" w:color="auto"/>
                      <w:left w:val="outset" w:sz="6" w:space="0" w:color="auto"/>
                      <w:bottom w:val="outset" w:sz="6" w:space="0" w:color="auto"/>
                      <w:right w:val="outset" w:sz="6" w:space="0" w:color="auto"/>
                    </w:tcBorders>
                  </w:tcPr>
                  <w:p w14:paraId="2DF2A84F"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12FAD26" w14:textId="77777777" w:rsidR="00830E72" w:rsidRDefault="008344D8">
                    <w:pPr>
                      <w:jc w:val="right"/>
                      <w:rPr>
                        <w:szCs w:val="21"/>
                      </w:rPr>
                    </w:pPr>
                    <w:r>
                      <w:rPr>
                        <w:szCs w:val="21"/>
                      </w:rPr>
                      <w:t>1,644,106,573.69</w:t>
                    </w:r>
                  </w:p>
                </w:tc>
                <w:tc>
                  <w:tcPr>
                    <w:tcW w:w="1333" w:type="pct"/>
                    <w:tcBorders>
                      <w:top w:val="outset" w:sz="6" w:space="0" w:color="auto"/>
                      <w:left w:val="outset" w:sz="6" w:space="0" w:color="auto"/>
                      <w:bottom w:val="outset" w:sz="6" w:space="0" w:color="auto"/>
                      <w:right w:val="outset" w:sz="6" w:space="0" w:color="auto"/>
                    </w:tcBorders>
                  </w:tcPr>
                  <w:p w14:paraId="2D126B77" w14:textId="77777777" w:rsidR="00830E72" w:rsidRDefault="008344D8">
                    <w:pPr>
                      <w:jc w:val="right"/>
                      <w:rPr>
                        <w:szCs w:val="21"/>
                      </w:rPr>
                    </w:pPr>
                    <w:r>
                      <w:rPr>
                        <w:szCs w:val="21"/>
                      </w:rPr>
                      <w:t>1,522,116,027.04</w:t>
                    </w:r>
                  </w:p>
                </w:tc>
              </w:tr>
              <w:tr w:rsidR="00830E72" w14:paraId="0A83FA29" w14:textId="77777777">
                <w:sdt>
                  <w:sdtPr>
                    <w:tag w:val="_PLD_6e563319c2e4471398624f06f1db4a4e"/>
                    <w:id w:val="582797988"/>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50B60779" w14:textId="77777777" w:rsidR="00830E72" w:rsidRDefault="008344D8">
                        <w:pPr>
                          <w:ind w:firstLineChars="300" w:firstLine="630"/>
                          <w:rPr>
                            <w:szCs w:val="21"/>
                          </w:rPr>
                        </w:pPr>
                        <w:r>
                          <w:rPr>
                            <w:rFonts w:hint="eastAsia"/>
                            <w:szCs w:val="21"/>
                          </w:rPr>
                          <w:t>资产总计</w:t>
                        </w:r>
                      </w:p>
                    </w:tc>
                  </w:sdtContent>
                </w:sdt>
                <w:tc>
                  <w:tcPr>
                    <w:tcW w:w="489" w:type="pct"/>
                    <w:tcBorders>
                      <w:top w:val="outset" w:sz="6" w:space="0" w:color="auto"/>
                      <w:left w:val="outset" w:sz="6" w:space="0" w:color="auto"/>
                      <w:bottom w:val="outset" w:sz="6" w:space="0" w:color="auto"/>
                      <w:right w:val="outset" w:sz="6" w:space="0" w:color="auto"/>
                    </w:tcBorders>
                  </w:tcPr>
                  <w:p w14:paraId="72499D46"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D236AFD" w14:textId="77777777" w:rsidR="00830E72" w:rsidRDefault="008344D8">
                    <w:pPr>
                      <w:jc w:val="right"/>
                      <w:rPr>
                        <w:szCs w:val="21"/>
                      </w:rPr>
                    </w:pPr>
                    <w:r>
                      <w:rPr>
                        <w:szCs w:val="21"/>
                      </w:rPr>
                      <w:t>6,469,511,258.71</w:t>
                    </w:r>
                  </w:p>
                </w:tc>
                <w:tc>
                  <w:tcPr>
                    <w:tcW w:w="1333" w:type="pct"/>
                    <w:tcBorders>
                      <w:top w:val="outset" w:sz="6" w:space="0" w:color="auto"/>
                      <w:left w:val="outset" w:sz="6" w:space="0" w:color="auto"/>
                      <w:bottom w:val="outset" w:sz="6" w:space="0" w:color="auto"/>
                      <w:right w:val="outset" w:sz="6" w:space="0" w:color="auto"/>
                    </w:tcBorders>
                  </w:tcPr>
                  <w:p w14:paraId="22CC1666" w14:textId="77777777" w:rsidR="00830E72" w:rsidRDefault="008344D8">
                    <w:pPr>
                      <w:jc w:val="right"/>
                      <w:rPr>
                        <w:szCs w:val="21"/>
                      </w:rPr>
                    </w:pPr>
                    <w:r>
                      <w:rPr>
                        <w:szCs w:val="21"/>
                      </w:rPr>
                      <w:t>5,475,696,797.15</w:t>
                    </w:r>
                  </w:p>
                </w:tc>
              </w:tr>
              <w:tr w:rsidR="00830E72" w14:paraId="6BFA5652" w14:textId="77777777">
                <w:sdt>
                  <w:sdtPr>
                    <w:tag w:val="_PLD_9375d0f637964c329fb26d2b4f648745"/>
                    <w:id w:val="-1955014783"/>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0420A5BB" w14:textId="77777777" w:rsidR="00830E72" w:rsidRDefault="008344D8">
                        <w:pPr>
                          <w:rPr>
                            <w:szCs w:val="21"/>
                          </w:rPr>
                        </w:pPr>
                        <w:r>
                          <w:rPr>
                            <w:rFonts w:hint="eastAsia"/>
                            <w:b/>
                            <w:bCs/>
                            <w:szCs w:val="21"/>
                          </w:rPr>
                          <w:t>流动负债：</w:t>
                        </w:r>
                      </w:p>
                    </w:tc>
                  </w:sdtContent>
                </w:sdt>
                <w:tc>
                  <w:tcPr>
                    <w:tcW w:w="489" w:type="pct"/>
                    <w:tcBorders>
                      <w:top w:val="outset" w:sz="6" w:space="0" w:color="auto"/>
                      <w:left w:val="outset" w:sz="6" w:space="0" w:color="auto"/>
                      <w:bottom w:val="outset" w:sz="6" w:space="0" w:color="auto"/>
                      <w:right w:val="outset" w:sz="6" w:space="0" w:color="auto"/>
                    </w:tcBorders>
                  </w:tcPr>
                  <w:p w14:paraId="73829833" w14:textId="77777777" w:rsidR="00830E72" w:rsidRDefault="00830E72">
                    <w:pPr>
                      <w:rPr>
                        <w:color w:val="FF00FF"/>
                        <w:szCs w:val="21"/>
                      </w:rPr>
                    </w:pPr>
                  </w:p>
                </w:tc>
                <w:tc>
                  <w:tcPr>
                    <w:tcW w:w="1411" w:type="pct"/>
                    <w:tcBorders>
                      <w:top w:val="outset" w:sz="6" w:space="0" w:color="auto"/>
                      <w:left w:val="outset" w:sz="6" w:space="0" w:color="auto"/>
                      <w:bottom w:val="outset" w:sz="6" w:space="0" w:color="auto"/>
                      <w:right w:val="outset" w:sz="6" w:space="0" w:color="auto"/>
                    </w:tcBorders>
                  </w:tcPr>
                  <w:p w14:paraId="7415CF3D" w14:textId="77777777" w:rsidR="00830E72" w:rsidRDefault="00830E72">
                    <w:pPr>
                      <w:rPr>
                        <w:color w:val="FF00FF"/>
                        <w:szCs w:val="21"/>
                      </w:rPr>
                    </w:pPr>
                  </w:p>
                </w:tc>
                <w:tc>
                  <w:tcPr>
                    <w:tcW w:w="1333" w:type="pct"/>
                    <w:tcBorders>
                      <w:top w:val="outset" w:sz="6" w:space="0" w:color="auto"/>
                      <w:left w:val="outset" w:sz="6" w:space="0" w:color="auto"/>
                      <w:bottom w:val="outset" w:sz="6" w:space="0" w:color="auto"/>
                      <w:right w:val="outset" w:sz="6" w:space="0" w:color="auto"/>
                    </w:tcBorders>
                  </w:tcPr>
                  <w:p w14:paraId="03BC5AF7" w14:textId="77777777" w:rsidR="00830E72" w:rsidRDefault="00830E72">
                    <w:pPr>
                      <w:rPr>
                        <w:color w:val="FF00FF"/>
                        <w:szCs w:val="21"/>
                      </w:rPr>
                    </w:pPr>
                  </w:p>
                </w:tc>
              </w:tr>
              <w:tr w:rsidR="00830E72" w14:paraId="60B054D0" w14:textId="77777777">
                <w:sdt>
                  <w:sdtPr>
                    <w:tag w:val="_PLD_2fd37dc37d5e4c28b5b0dbe25be93232"/>
                    <w:id w:val="-223376548"/>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7DCE8883" w14:textId="77777777" w:rsidR="00830E72" w:rsidRDefault="008344D8">
                        <w:pPr>
                          <w:ind w:firstLineChars="100" w:firstLine="210"/>
                          <w:rPr>
                            <w:szCs w:val="21"/>
                          </w:rPr>
                        </w:pPr>
                        <w:r>
                          <w:rPr>
                            <w:rFonts w:hint="eastAsia"/>
                            <w:szCs w:val="21"/>
                          </w:rPr>
                          <w:t>短期借款</w:t>
                        </w:r>
                      </w:p>
                    </w:tc>
                  </w:sdtContent>
                </w:sdt>
                <w:tc>
                  <w:tcPr>
                    <w:tcW w:w="489" w:type="pct"/>
                    <w:tcBorders>
                      <w:top w:val="outset" w:sz="6" w:space="0" w:color="auto"/>
                      <w:left w:val="outset" w:sz="6" w:space="0" w:color="auto"/>
                      <w:bottom w:val="outset" w:sz="6" w:space="0" w:color="auto"/>
                      <w:right w:val="outset" w:sz="6" w:space="0" w:color="auto"/>
                    </w:tcBorders>
                  </w:tcPr>
                  <w:p w14:paraId="77580C30"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7D87E5C" w14:textId="77777777" w:rsidR="00830E72" w:rsidRDefault="008344D8">
                    <w:pPr>
                      <w:jc w:val="right"/>
                      <w:rPr>
                        <w:szCs w:val="21"/>
                      </w:rPr>
                    </w:pPr>
                    <w:r>
                      <w:rPr>
                        <w:szCs w:val="21"/>
                      </w:rPr>
                      <w:t>461,590,415.53</w:t>
                    </w:r>
                  </w:p>
                </w:tc>
                <w:tc>
                  <w:tcPr>
                    <w:tcW w:w="1333" w:type="pct"/>
                    <w:tcBorders>
                      <w:top w:val="outset" w:sz="6" w:space="0" w:color="auto"/>
                      <w:left w:val="outset" w:sz="6" w:space="0" w:color="auto"/>
                      <w:bottom w:val="outset" w:sz="6" w:space="0" w:color="auto"/>
                      <w:right w:val="outset" w:sz="6" w:space="0" w:color="auto"/>
                    </w:tcBorders>
                  </w:tcPr>
                  <w:p w14:paraId="177438B6" w14:textId="77777777" w:rsidR="00830E72" w:rsidRDefault="008344D8">
                    <w:pPr>
                      <w:jc w:val="right"/>
                      <w:rPr>
                        <w:szCs w:val="21"/>
                      </w:rPr>
                    </w:pPr>
                    <w:r>
                      <w:rPr>
                        <w:szCs w:val="21"/>
                      </w:rPr>
                      <w:t>274,501,944.67</w:t>
                    </w:r>
                  </w:p>
                </w:tc>
              </w:tr>
              <w:tr w:rsidR="00830E72" w14:paraId="13005BB4" w14:textId="77777777">
                <w:sdt>
                  <w:sdtPr>
                    <w:tag w:val="_PLD_d4d41992aeff449e841a25d78244a217"/>
                    <w:id w:val="1577626185"/>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67B2A054" w14:textId="77777777" w:rsidR="00830E72" w:rsidRDefault="008344D8">
                        <w:pPr>
                          <w:ind w:firstLineChars="100" w:firstLine="210"/>
                          <w:rPr>
                            <w:szCs w:val="21"/>
                          </w:rPr>
                        </w:pPr>
                        <w:r>
                          <w:rPr>
                            <w:rFonts w:hint="eastAsia"/>
                            <w:szCs w:val="21"/>
                          </w:rPr>
                          <w:t>向中央银行借款</w:t>
                        </w:r>
                      </w:p>
                    </w:tc>
                  </w:sdtContent>
                </w:sdt>
                <w:tc>
                  <w:tcPr>
                    <w:tcW w:w="489" w:type="pct"/>
                    <w:tcBorders>
                      <w:top w:val="outset" w:sz="6" w:space="0" w:color="auto"/>
                      <w:left w:val="outset" w:sz="6" w:space="0" w:color="auto"/>
                      <w:bottom w:val="outset" w:sz="6" w:space="0" w:color="auto"/>
                      <w:right w:val="outset" w:sz="6" w:space="0" w:color="auto"/>
                    </w:tcBorders>
                  </w:tcPr>
                  <w:p w14:paraId="4ABD9E84"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7770C49"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D1F40A8" w14:textId="77777777" w:rsidR="00830E72" w:rsidRDefault="00830E72">
                    <w:pPr>
                      <w:jc w:val="right"/>
                      <w:rPr>
                        <w:szCs w:val="21"/>
                      </w:rPr>
                    </w:pPr>
                  </w:p>
                </w:tc>
              </w:tr>
              <w:tr w:rsidR="00830E72" w14:paraId="124DBD30" w14:textId="77777777">
                <w:sdt>
                  <w:sdtPr>
                    <w:tag w:val="_PLD_aa8e7d1680b146519de30874741a7d72"/>
                    <w:id w:val="-383872373"/>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0FCAC6BC" w14:textId="77777777" w:rsidR="00830E72" w:rsidRDefault="008344D8">
                        <w:pPr>
                          <w:ind w:firstLineChars="100" w:firstLine="210"/>
                          <w:rPr>
                            <w:szCs w:val="21"/>
                          </w:rPr>
                        </w:pPr>
                        <w:r>
                          <w:rPr>
                            <w:rFonts w:hint="eastAsia"/>
                            <w:szCs w:val="21"/>
                          </w:rPr>
                          <w:t>拆入资金</w:t>
                        </w:r>
                      </w:p>
                    </w:tc>
                  </w:sdtContent>
                </w:sdt>
                <w:tc>
                  <w:tcPr>
                    <w:tcW w:w="489" w:type="pct"/>
                    <w:tcBorders>
                      <w:top w:val="outset" w:sz="6" w:space="0" w:color="auto"/>
                      <w:left w:val="outset" w:sz="6" w:space="0" w:color="auto"/>
                      <w:bottom w:val="outset" w:sz="6" w:space="0" w:color="auto"/>
                      <w:right w:val="outset" w:sz="6" w:space="0" w:color="auto"/>
                    </w:tcBorders>
                  </w:tcPr>
                  <w:p w14:paraId="7136D291"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F38EE53"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61BC47D" w14:textId="77777777" w:rsidR="00830E72" w:rsidRDefault="00830E72">
                    <w:pPr>
                      <w:jc w:val="right"/>
                      <w:rPr>
                        <w:szCs w:val="21"/>
                      </w:rPr>
                    </w:pPr>
                  </w:p>
                </w:tc>
              </w:tr>
              <w:tr w:rsidR="00830E72" w14:paraId="705A3151" w14:textId="77777777">
                <w:tc>
                  <w:tcPr>
                    <w:tcW w:w="17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695121b86514004a89ae09bf4805868"/>
                      <w:id w:val="-1764134224"/>
                      <w:lock w:val="sdtLocked"/>
                    </w:sdtPr>
                    <w:sdtEndPr/>
                    <w:sdtContent>
                      <w:p w14:paraId="4B5FA2BE" w14:textId="77777777" w:rsidR="00830E72" w:rsidRDefault="008344D8">
                        <w:pPr>
                          <w:ind w:firstLineChars="100" w:firstLine="210"/>
                        </w:pPr>
                        <w:r>
                          <w:rPr>
                            <w:rFonts w:hint="eastAsia"/>
                          </w:rPr>
                          <w:t>交易性金融负债</w:t>
                        </w:r>
                      </w:p>
                    </w:sdtContent>
                  </w:sdt>
                </w:tc>
                <w:tc>
                  <w:tcPr>
                    <w:tcW w:w="489" w:type="pct"/>
                    <w:tcBorders>
                      <w:top w:val="outset" w:sz="6" w:space="0" w:color="auto"/>
                      <w:left w:val="outset" w:sz="6" w:space="0" w:color="auto"/>
                      <w:bottom w:val="outset" w:sz="6" w:space="0" w:color="auto"/>
                      <w:right w:val="outset" w:sz="6" w:space="0" w:color="auto"/>
                    </w:tcBorders>
                  </w:tcPr>
                  <w:p w14:paraId="2EF337BA"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3ADB934"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AA6E989" w14:textId="77777777" w:rsidR="00830E72" w:rsidRDefault="00830E72">
                    <w:pPr>
                      <w:jc w:val="right"/>
                      <w:rPr>
                        <w:szCs w:val="21"/>
                      </w:rPr>
                    </w:pPr>
                  </w:p>
                </w:tc>
              </w:tr>
              <w:tr w:rsidR="00830E72" w14:paraId="5534C3AB" w14:textId="77777777">
                <w:sdt>
                  <w:sdtPr>
                    <w:tag w:val="_PLD_24e5d5bfa7f841d1bd60fddcb2e66c58"/>
                    <w:id w:val="-925806701"/>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4F22D6B4" w14:textId="77777777" w:rsidR="00830E72" w:rsidRDefault="008344D8">
                        <w:pPr>
                          <w:ind w:firstLineChars="100" w:firstLine="210"/>
                          <w:rPr>
                            <w:szCs w:val="21"/>
                          </w:rPr>
                        </w:pPr>
                        <w:r>
                          <w:rPr>
                            <w:rFonts w:hint="eastAsia"/>
                            <w:szCs w:val="21"/>
                          </w:rPr>
                          <w:t>衍生金融负债</w:t>
                        </w:r>
                      </w:p>
                    </w:tc>
                  </w:sdtContent>
                </w:sdt>
                <w:tc>
                  <w:tcPr>
                    <w:tcW w:w="489" w:type="pct"/>
                    <w:tcBorders>
                      <w:top w:val="outset" w:sz="6" w:space="0" w:color="auto"/>
                      <w:left w:val="outset" w:sz="6" w:space="0" w:color="auto"/>
                      <w:bottom w:val="outset" w:sz="6" w:space="0" w:color="auto"/>
                      <w:right w:val="outset" w:sz="6" w:space="0" w:color="auto"/>
                    </w:tcBorders>
                  </w:tcPr>
                  <w:p w14:paraId="06938EFC"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5E119FC"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7AEBA7B" w14:textId="77777777" w:rsidR="00830E72" w:rsidRDefault="00830E72">
                    <w:pPr>
                      <w:jc w:val="right"/>
                      <w:rPr>
                        <w:szCs w:val="21"/>
                      </w:rPr>
                    </w:pPr>
                  </w:p>
                </w:tc>
              </w:tr>
              <w:tr w:rsidR="00830E72" w14:paraId="5B02F498" w14:textId="77777777">
                <w:sdt>
                  <w:sdtPr>
                    <w:tag w:val="_PLD_a1ccdf0c4f4443b685142442e1c3f8f6"/>
                    <w:id w:val="-1009514070"/>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64435FCB" w14:textId="77777777" w:rsidR="00830E72" w:rsidRDefault="008344D8">
                        <w:pPr>
                          <w:ind w:firstLineChars="100" w:firstLine="210"/>
                          <w:rPr>
                            <w:szCs w:val="21"/>
                          </w:rPr>
                        </w:pPr>
                        <w:r>
                          <w:rPr>
                            <w:rFonts w:hint="eastAsia"/>
                            <w:szCs w:val="21"/>
                          </w:rPr>
                          <w:t>应付票据</w:t>
                        </w:r>
                      </w:p>
                    </w:tc>
                  </w:sdtContent>
                </w:sdt>
                <w:tc>
                  <w:tcPr>
                    <w:tcW w:w="489" w:type="pct"/>
                    <w:tcBorders>
                      <w:top w:val="outset" w:sz="6" w:space="0" w:color="auto"/>
                      <w:left w:val="outset" w:sz="6" w:space="0" w:color="auto"/>
                      <w:bottom w:val="outset" w:sz="6" w:space="0" w:color="auto"/>
                      <w:right w:val="outset" w:sz="6" w:space="0" w:color="auto"/>
                    </w:tcBorders>
                  </w:tcPr>
                  <w:p w14:paraId="07BEE570"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174A260" w14:textId="77777777" w:rsidR="00830E72" w:rsidRDefault="008344D8">
                    <w:pPr>
                      <w:jc w:val="right"/>
                      <w:rPr>
                        <w:szCs w:val="21"/>
                      </w:rPr>
                    </w:pPr>
                    <w:r>
                      <w:rPr>
                        <w:szCs w:val="21"/>
                      </w:rPr>
                      <w:t>134,751,995.93</w:t>
                    </w:r>
                  </w:p>
                </w:tc>
                <w:tc>
                  <w:tcPr>
                    <w:tcW w:w="1333" w:type="pct"/>
                    <w:tcBorders>
                      <w:top w:val="outset" w:sz="6" w:space="0" w:color="auto"/>
                      <w:left w:val="outset" w:sz="6" w:space="0" w:color="auto"/>
                      <w:bottom w:val="outset" w:sz="6" w:space="0" w:color="auto"/>
                      <w:right w:val="outset" w:sz="6" w:space="0" w:color="auto"/>
                    </w:tcBorders>
                  </w:tcPr>
                  <w:p w14:paraId="3286088E" w14:textId="77777777" w:rsidR="00830E72" w:rsidRDefault="008344D8">
                    <w:pPr>
                      <w:jc w:val="right"/>
                      <w:rPr>
                        <w:szCs w:val="21"/>
                      </w:rPr>
                    </w:pPr>
                    <w:r>
                      <w:rPr>
                        <w:szCs w:val="21"/>
                      </w:rPr>
                      <w:t>195,061,404.69</w:t>
                    </w:r>
                  </w:p>
                </w:tc>
              </w:tr>
              <w:tr w:rsidR="00830E72" w14:paraId="5026D2AA" w14:textId="77777777">
                <w:sdt>
                  <w:sdtPr>
                    <w:tag w:val="_PLD_63f7bc90fdbe4fe9b76159c57157c382"/>
                    <w:id w:val="2077158233"/>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1B6E503A" w14:textId="77777777" w:rsidR="00830E72" w:rsidRDefault="008344D8">
                        <w:pPr>
                          <w:ind w:firstLineChars="100" w:firstLine="210"/>
                          <w:rPr>
                            <w:szCs w:val="21"/>
                          </w:rPr>
                        </w:pPr>
                        <w:r>
                          <w:rPr>
                            <w:rFonts w:hint="eastAsia"/>
                            <w:szCs w:val="21"/>
                          </w:rPr>
                          <w:t>应付账款</w:t>
                        </w:r>
                      </w:p>
                    </w:tc>
                  </w:sdtContent>
                </w:sdt>
                <w:tc>
                  <w:tcPr>
                    <w:tcW w:w="489" w:type="pct"/>
                    <w:tcBorders>
                      <w:top w:val="outset" w:sz="6" w:space="0" w:color="auto"/>
                      <w:left w:val="outset" w:sz="6" w:space="0" w:color="auto"/>
                      <w:bottom w:val="outset" w:sz="6" w:space="0" w:color="auto"/>
                      <w:right w:val="outset" w:sz="6" w:space="0" w:color="auto"/>
                    </w:tcBorders>
                  </w:tcPr>
                  <w:p w14:paraId="72086ED9"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8917A5C" w14:textId="77777777" w:rsidR="00830E72" w:rsidRDefault="008344D8">
                    <w:pPr>
                      <w:jc w:val="right"/>
                      <w:rPr>
                        <w:szCs w:val="21"/>
                      </w:rPr>
                    </w:pPr>
                    <w:r>
                      <w:rPr>
                        <w:szCs w:val="21"/>
                      </w:rPr>
                      <w:t>2,525,278,157.75</w:t>
                    </w:r>
                  </w:p>
                </w:tc>
                <w:tc>
                  <w:tcPr>
                    <w:tcW w:w="1333" w:type="pct"/>
                    <w:tcBorders>
                      <w:top w:val="outset" w:sz="6" w:space="0" w:color="auto"/>
                      <w:left w:val="outset" w:sz="6" w:space="0" w:color="auto"/>
                      <w:bottom w:val="outset" w:sz="6" w:space="0" w:color="auto"/>
                      <w:right w:val="outset" w:sz="6" w:space="0" w:color="auto"/>
                    </w:tcBorders>
                  </w:tcPr>
                  <w:p w14:paraId="100FFB42" w14:textId="77777777" w:rsidR="00830E72" w:rsidRDefault="008344D8">
                    <w:pPr>
                      <w:jc w:val="right"/>
                      <w:rPr>
                        <w:szCs w:val="21"/>
                      </w:rPr>
                    </w:pPr>
                    <w:r>
                      <w:rPr>
                        <w:szCs w:val="21"/>
                      </w:rPr>
                      <w:t>2,536,809,448.24</w:t>
                    </w:r>
                  </w:p>
                </w:tc>
              </w:tr>
              <w:tr w:rsidR="00830E72" w14:paraId="7AF65803" w14:textId="77777777">
                <w:sdt>
                  <w:sdtPr>
                    <w:tag w:val="_PLD_3652c9d68fee4d45b2cd80abc417bcfd"/>
                    <w:id w:val="-35506091"/>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7C6CACBB" w14:textId="77777777" w:rsidR="00830E72" w:rsidRDefault="008344D8">
                        <w:pPr>
                          <w:ind w:firstLineChars="100" w:firstLine="210"/>
                          <w:rPr>
                            <w:szCs w:val="21"/>
                          </w:rPr>
                        </w:pPr>
                        <w:r>
                          <w:rPr>
                            <w:rFonts w:hint="eastAsia"/>
                            <w:szCs w:val="21"/>
                          </w:rPr>
                          <w:t>预收款项</w:t>
                        </w:r>
                      </w:p>
                    </w:tc>
                  </w:sdtContent>
                </w:sdt>
                <w:tc>
                  <w:tcPr>
                    <w:tcW w:w="489" w:type="pct"/>
                    <w:tcBorders>
                      <w:top w:val="outset" w:sz="6" w:space="0" w:color="auto"/>
                      <w:left w:val="outset" w:sz="6" w:space="0" w:color="auto"/>
                      <w:bottom w:val="outset" w:sz="6" w:space="0" w:color="auto"/>
                      <w:right w:val="outset" w:sz="6" w:space="0" w:color="auto"/>
                    </w:tcBorders>
                  </w:tcPr>
                  <w:p w14:paraId="702B6E21"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D2CCCEB"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ABE209F" w14:textId="77777777" w:rsidR="00830E72" w:rsidRDefault="00830E72">
                    <w:pPr>
                      <w:jc w:val="right"/>
                      <w:rPr>
                        <w:szCs w:val="21"/>
                      </w:rPr>
                    </w:pPr>
                  </w:p>
                </w:tc>
              </w:tr>
              <w:tr w:rsidR="00830E72" w14:paraId="3FDD9446" w14:textId="77777777">
                <w:tc>
                  <w:tcPr>
                    <w:tcW w:w="17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16bfcfaac284e66b961859169968520"/>
                      <w:id w:val="1082637482"/>
                      <w:lock w:val="sdtLocked"/>
                    </w:sdtPr>
                    <w:sdtEndPr/>
                    <w:sdtContent>
                      <w:p w14:paraId="579B6CA4" w14:textId="77777777" w:rsidR="00830E72" w:rsidRDefault="008344D8">
                        <w:pPr>
                          <w:ind w:firstLineChars="100" w:firstLine="210"/>
                        </w:pPr>
                        <w:r>
                          <w:rPr>
                            <w:rFonts w:hint="eastAsia"/>
                          </w:rPr>
                          <w:t>合同负债</w:t>
                        </w:r>
                      </w:p>
                    </w:sdtContent>
                  </w:sdt>
                </w:tc>
                <w:tc>
                  <w:tcPr>
                    <w:tcW w:w="489" w:type="pct"/>
                    <w:tcBorders>
                      <w:top w:val="outset" w:sz="6" w:space="0" w:color="auto"/>
                      <w:left w:val="outset" w:sz="6" w:space="0" w:color="auto"/>
                      <w:bottom w:val="outset" w:sz="6" w:space="0" w:color="auto"/>
                      <w:right w:val="outset" w:sz="6" w:space="0" w:color="auto"/>
                    </w:tcBorders>
                  </w:tcPr>
                  <w:p w14:paraId="00A3ABAB"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1FD7BAA" w14:textId="77777777" w:rsidR="00830E72" w:rsidRDefault="008344D8">
                    <w:pPr>
                      <w:jc w:val="right"/>
                      <w:rPr>
                        <w:szCs w:val="21"/>
                      </w:rPr>
                    </w:pPr>
                    <w:r>
                      <w:rPr>
                        <w:szCs w:val="21"/>
                      </w:rPr>
                      <w:t>41,630,523.03</w:t>
                    </w:r>
                  </w:p>
                </w:tc>
                <w:tc>
                  <w:tcPr>
                    <w:tcW w:w="1333" w:type="pct"/>
                    <w:tcBorders>
                      <w:top w:val="outset" w:sz="6" w:space="0" w:color="auto"/>
                      <w:left w:val="outset" w:sz="6" w:space="0" w:color="auto"/>
                      <w:bottom w:val="outset" w:sz="6" w:space="0" w:color="auto"/>
                      <w:right w:val="outset" w:sz="6" w:space="0" w:color="auto"/>
                    </w:tcBorders>
                  </w:tcPr>
                  <w:p w14:paraId="147DF99C" w14:textId="77777777" w:rsidR="00830E72" w:rsidRDefault="008344D8">
                    <w:pPr>
                      <w:jc w:val="right"/>
                      <w:rPr>
                        <w:szCs w:val="21"/>
                      </w:rPr>
                    </w:pPr>
                    <w:r>
                      <w:rPr>
                        <w:szCs w:val="21"/>
                      </w:rPr>
                      <w:t>44,265,830.92</w:t>
                    </w:r>
                  </w:p>
                </w:tc>
              </w:tr>
              <w:tr w:rsidR="00830E72" w14:paraId="4CF7CCE4" w14:textId="77777777">
                <w:sdt>
                  <w:sdtPr>
                    <w:tag w:val="_PLD_be5eec398fb24e96b51c778e07be994c"/>
                    <w:id w:val="-4603157"/>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328E2546" w14:textId="77777777" w:rsidR="00830E72" w:rsidRDefault="008344D8">
                        <w:pPr>
                          <w:ind w:firstLineChars="100" w:firstLine="210"/>
                          <w:rPr>
                            <w:szCs w:val="21"/>
                          </w:rPr>
                        </w:pPr>
                        <w:r>
                          <w:rPr>
                            <w:rFonts w:hint="eastAsia"/>
                            <w:szCs w:val="21"/>
                          </w:rPr>
                          <w:t>卖出回购金融资产款</w:t>
                        </w:r>
                      </w:p>
                    </w:tc>
                  </w:sdtContent>
                </w:sdt>
                <w:tc>
                  <w:tcPr>
                    <w:tcW w:w="489" w:type="pct"/>
                    <w:tcBorders>
                      <w:top w:val="outset" w:sz="6" w:space="0" w:color="auto"/>
                      <w:left w:val="outset" w:sz="6" w:space="0" w:color="auto"/>
                      <w:bottom w:val="outset" w:sz="6" w:space="0" w:color="auto"/>
                      <w:right w:val="outset" w:sz="6" w:space="0" w:color="auto"/>
                    </w:tcBorders>
                  </w:tcPr>
                  <w:p w14:paraId="1238B684"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4BE8F64"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D8FB3F7" w14:textId="77777777" w:rsidR="00830E72" w:rsidRDefault="00830E72">
                    <w:pPr>
                      <w:jc w:val="right"/>
                      <w:rPr>
                        <w:szCs w:val="21"/>
                      </w:rPr>
                    </w:pPr>
                  </w:p>
                </w:tc>
              </w:tr>
              <w:tr w:rsidR="00830E72" w14:paraId="39B731BC" w14:textId="77777777">
                <w:sdt>
                  <w:sdtPr>
                    <w:tag w:val="_PLD_c96881e9f0ab40769bcc86283e6097ff"/>
                    <w:id w:val="412058209"/>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597C2F94" w14:textId="77777777" w:rsidR="00830E72" w:rsidRDefault="008344D8">
                        <w:pPr>
                          <w:ind w:firstLineChars="100" w:firstLine="210"/>
                          <w:rPr>
                            <w:szCs w:val="21"/>
                          </w:rPr>
                        </w:pPr>
                        <w:r>
                          <w:rPr>
                            <w:rFonts w:hint="eastAsia"/>
                            <w:szCs w:val="21"/>
                          </w:rPr>
                          <w:t>吸收存款及同业存放</w:t>
                        </w:r>
                      </w:p>
                    </w:tc>
                  </w:sdtContent>
                </w:sdt>
                <w:tc>
                  <w:tcPr>
                    <w:tcW w:w="489" w:type="pct"/>
                    <w:tcBorders>
                      <w:top w:val="outset" w:sz="6" w:space="0" w:color="auto"/>
                      <w:left w:val="outset" w:sz="6" w:space="0" w:color="auto"/>
                      <w:bottom w:val="outset" w:sz="6" w:space="0" w:color="auto"/>
                      <w:right w:val="outset" w:sz="6" w:space="0" w:color="auto"/>
                    </w:tcBorders>
                  </w:tcPr>
                  <w:p w14:paraId="0C3A1810"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BB9C261"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062CF4B" w14:textId="77777777" w:rsidR="00830E72" w:rsidRDefault="00830E72">
                    <w:pPr>
                      <w:jc w:val="right"/>
                      <w:rPr>
                        <w:szCs w:val="21"/>
                      </w:rPr>
                    </w:pPr>
                  </w:p>
                </w:tc>
              </w:tr>
              <w:tr w:rsidR="00830E72" w14:paraId="6D94C2C7" w14:textId="77777777">
                <w:sdt>
                  <w:sdtPr>
                    <w:tag w:val="_PLD_f52e1d03b4c642029c957ce402548b4d"/>
                    <w:id w:val="522604153"/>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43FBC9B2" w14:textId="77777777" w:rsidR="00830E72" w:rsidRDefault="008344D8">
                        <w:pPr>
                          <w:ind w:firstLineChars="100" w:firstLine="210"/>
                          <w:rPr>
                            <w:szCs w:val="21"/>
                          </w:rPr>
                        </w:pPr>
                        <w:r>
                          <w:rPr>
                            <w:rFonts w:hint="eastAsia"/>
                            <w:szCs w:val="21"/>
                          </w:rPr>
                          <w:t>代理买卖证券款</w:t>
                        </w:r>
                      </w:p>
                    </w:tc>
                  </w:sdtContent>
                </w:sdt>
                <w:tc>
                  <w:tcPr>
                    <w:tcW w:w="489" w:type="pct"/>
                    <w:tcBorders>
                      <w:top w:val="outset" w:sz="6" w:space="0" w:color="auto"/>
                      <w:left w:val="outset" w:sz="6" w:space="0" w:color="auto"/>
                      <w:bottom w:val="outset" w:sz="6" w:space="0" w:color="auto"/>
                      <w:right w:val="outset" w:sz="6" w:space="0" w:color="auto"/>
                    </w:tcBorders>
                  </w:tcPr>
                  <w:p w14:paraId="2D7587AF"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0E30C22"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15539BC" w14:textId="77777777" w:rsidR="00830E72" w:rsidRDefault="00830E72">
                    <w:pPr>
                      <w:jc w:val="right"/>
                      <w:rPr>
                        <w:szCs w:val="21"/>
                      </w:rPr>
                    </w:pPr>
                  </w:p>
                </w:tc>
              </w:tr>
              <w:tr w:rsidR="00830E72" w14:paraId="6F3A0232" w14:textId="77777777">
                <w:sdt>
                  <w:sdtPr>
                    <w:tag w:val="_PLD_eac3eaf64a174f42beaddc0b3be0ef73"/>
                    <w:id w:val="-1819955032"/>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7F013244" w14:textId="77777777" w:rsidR="00830E72" w:rsidRDefault="008344D8">
                        <w:pPr>
                          <w:ind w:firstLineChars="100" w:firstLine="210"/>
                          <w:rPr>
                            <w:szCs w:val="21"/>
                          </w:rPr>
                        </w:pPr>
                        <w:r>
                          <w:rPr>
                            <w:rFonts w:hint="eastAsia"/>
                            <w:szCs w:val="21"/>
                          </w:rPr>
                          <w:t>代理承销证券款</w:t>
                        </w:r>
                      </w:p>
                    </w:tc>
                  </w:sdtContent>
                </w:sdt>
                <w:tc>
                  <w:tcPr>
                    <w:tcW w:w="489" w:type="pct"/>
                    <w:tcBorders>
                      <w:top w:val="outset" w:sz="6" w:space="0" w:color="auto"/>
                      <w:left w:val="outset" w:sz="6" w:space="0" w:color="auto"/>
                      <w:bottom w:val="outset" w:sz="6" w:space="0" w:color="auto"/>
                      <w:right w:val="outset" w:sz="6" w:space="0" w:color="auto"/>
                    </w:tcBorders>
                  </w:tcPr>
                  <w:p w14:paraId="6BF26325"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CD279CD"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19794F3" w14:textId="77777777" w:rsidR="00830E72" w:rsidRDefault="00830E72">
                    <w:pPr>
                      <w:jc w:val="right"/>
                      <w:rPr>
                        <w:szCs w:val="21"/>
                      </w:rPr>
                    </w:pPr>
                  </w:p>
                </w:tc>
              </w:tr>
              <w:tr w:rsidR="00830E72" w14:paraId="422D2B72" w14:textId="77777777">
                <w:sdt>
                  <w:sdtPr>
                    <w:tag w:val="_PLD_b46164c72e3e41ec9fc7c62554dc88df"/>
                    <w:id w:val="1746913614"/>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1F7322CA" w14:textId="77777777" w:rsidR="00830E72" w:rsidRDefault="008344D8">
                        <w:pPr>
                          <w:ind w:firstLineChars="100" w:firstLine="210"/>
                          <w:rPr>
                            <w:szCs w:val="21"/>
                          </w:rPr>
                        </w:pPr>
                        <w:r>
                          <w:rPr>
                            <w:rFonts w:hint="eastAsia"/>
                            <w:szCs w:val="21"/>
                          </w:rPr>
                          <w:t>应付职工薪酬</w:t>
                        </w:r>
                      </w:p>
                    </w:tc>
                  </w:sdtContent>
                </w:sdt>
                <w:tc>
                  <w:tcPr>
                    <w:tcW w:w="489" w:type="pct"/>
                    <w:tcBorders>
                      <w:top w:val="outset" w:sz="6" w:space="0" w:color="auto"/>
                      <w:left w:val="outset" w:sz="6" w:space="0" w:color="auto"/>
                      <w:bottom w:val="outset" w:sz="6" w:space="0" w:color="auto"/>
                      <w:right w:val="outset" w:sz="6" w:space="0" w:color="auto"/>
                    </w:tcBorders>
                  </w:tcPr>
                  <w:p w14:paraId="1F0A6525"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CD6F409" w14:textId="77777777" w:rsidR="00830E72" w:rsidRDefault="008344D8">
                    <w:pPr>
                      <w:jc w:val="right"/>
                      <w:rPr>
                        <w:szCs w:val="21"/>
                      </w:rPr>
                    </w:pPr>
                    <w:r>
                      <w:rPr>
                        <w:szCs w:val="21"/>
                      </w:rPr>
                      <w:t>21,391,316.54</w:t>
                    </w:r>
                  </w:p>
                </w:tc>
                <w:tc>
                  <w:tcPr>
                    <w:tcW w:w="1333" w:type="pct"/>
                    <w:tcBorders>
                      <w:top w:val="outset" w:sz="6" w:space="0" w:color="auto"/>
                      <w:left w:val="outset" w:sz="6" w:space="0" w:color="auto"/>
                      <w:bottom w:val="outset" w:sz="6" w:space="0" w:color="auto"/>
                      <w:right w:val="outset" w:sz="6" w:space="0" w:color="auto"/>
                    </w:tcBorders>
                  </w:tcPr>
                  <w:p w14:paraId="0D5CF4EF" w14:textId="77777777" w:rsidR="00830E72" w:rsidRDefault="008344D8">
                    <w:pPr>
                      <w:jc w:val="right"/>
                      <w:rPr>
                        <w:szCs w:val="21"/>
                      </w:rPr>
                    </w:pPr>
                    <w:r>
                      <w:rPr>
                        <w:szCs w:val="21"/>
                      </w:rPr>
                      <w:t>29,196,308.98</w:t>
                    </w:r>
                  </w:p>
                </w:tc>
              </w:tr>
              <w:tr w:rsidR="00830E72" w14:paraId="1CDFCA5D" w14:textId="77777777">
                <w:sdt>
                  <w:sdtPr>
                    <w:tag w:val="_PLD_da4e94adb66d4e528e4e8867ce4f2302"/>
                    <w:id w:val="-2136320994"/>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59E89E36" w14:textId="77777777" w:rsidR="00830E72" w:rsidRDefault="008344D8">
                        <w:pPr>
                          <w:ind w:firstLineChars="100" w:firstLine="210"/>
                          <w:rPr>
                            <w:szCs w:val="21"/>
                          </w:rPr>
                        </w:pPr>
                        <w:r>
                          <w:rPr>
                            <w:rFonts w:hint="eastAsia"/>
                            <w:szCs w:val="21"/>
                          </w:rPr>
                          <w:t>应交税费</w:t>
                        </w:r>
                      </w:p>
                    </w:tc>
                  </w:sdtContent>
                </w:sdt>
                <w:tc>
                  <w:tcPr>
                    <w:tcW w:w="489" w:type="pct"/>
                    <w:tcBorders>
                      <w:top w:val="outset" w:sz="6" w:space="0" w:color="auto"/>
                      <w:left w:val="outset" w:sz="6" w:space="0" w:color="auto"/>
                      <w:bottom w:val="outset" w:sz="6" w:space="0" w:color="auto"/>
                      <w:right w:val="outset" w:sz="6" w:space="0" w:color="auto"/>
                    </w:tcBorders>
                  </w:tcPr>
                  <w:p w14:paraId="4C0A69BD"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687559F" w14:textId="77777777" w:rsidR="00830E72" w:rsidRDefault="008344D8">
                    <w:pPr>
                      <w:jc w:val="right"/>
                      <w:rPr>
                        <w:szCs w:val="21"/>
                      </w:rPr>
                    </w:pPr>
                    <w:r>
                      <w:rPr>
                        <w:szCs w:val="21"/>
                      </w:rPr>
                      <w:t>17,917,444.26</w:t>
                    </w:r>
                  </w:p>
                </w:tc>
                <w:tc>
                  <w:tcPr>
                    <w:tcW w:w="1333" w:type="pct"/>
                    <w:tcBorders>
                      <w:top w:val="outset" w:sz="6" w:space="0" w:color="auto"/>
                      <w:left w:val="outset" w:sz="6" w:space="0" w:color="auto"/>
                      <w:bottom w:val="outset" w:sz="6" w:space="0" w:color="auto"/>
                      <w:right w:val="outset" w:sz="6" w:space="0" w:color="auto"/>
                    </w:tcBorders>
                  </w:tcPr>
                  <w:p w14:paraId="50EC860F" w14:textId="77777777" w:rsidR="00830E72" w:rsidRDefault="008344D8">
                    <w:pPr>
                      <w:jc w:val="right"/>
                      <w:rPr>
                        <w:szCs w:val="21"/>
                      </w:rPr>
                    </w:pPr>
                    <w:r>
                      <w:rPr>
                        <w:szCs w:val="21"/>
                      </w:rPr>
                      <w:t>29,842,852.51</w:t>
                    </w:r>
                  </w:p>
                </w:tc>
              </w:tr>
              <w:tr w:rsidR="00830E72" w14:paraId="458E9AC1" w14:textId="77777777">
                <w:sdt>
                  <w:sdtPr>
                    <w:tag w:val="_PLD_f1bb75ef275f4cabafc790de2f817512"/>
                    <w:id w:val="-1363204318"/>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50630E40" w14:textId="77777777" w:rsidR="00830E72" w:rsidRDefault="008344D8">
                        <w:pPr>
                          <w:ind w:firstLineChars="100" w:firstLine="210"/>
                          <w:rPr>
                            <w:szCs w:val="21"/>
                          </w:rPr>
                        </w:pPr>
                        <w:r>
                          <w:rPr>
                            <w:rFonts w:hint="eastAsia"/>
                            <w:szCs w:val="21"/>
                          </w:rPr>
                          <w:t>其他应付款</w:t>
                        </w:r>
                      </w:p>
                    </w:tc>
                  </w:sdtContent>
                </w:sdt>
                <w:tc>
                  <w:tcPr>
                    <w:tcW w:w="489" w:type="pct"/>
                    <w:tcBorders>
                      <w:top w:val="outset" w:sz="6" w:space="0" w:color="auto"/>
                      <w:left w:val="outset" w:sz="6" w:space="0" w:color="auto"/>
                      <w:bottom w:val="outset" w:sz="6" w:space="0" w:color="auto"/>
                      <w:right w:val="outset" w:sz="6" w:space="0" w:color="auto"/>
                    </w:tcBorders>
                  </w:tcPr>
                  <w:p w14:paraId="03269D7F"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B74C85B" w14:textId="77777777" w:rsidR="00830E72" w:rsidRDefault="008344D8">
                    <w:pPr>
                      <w:jc w:val="right"/>
                      <w:rPr>
                        <w:szCs w:val="21"/>
                      </w:rPr>
                    </w:pPr>
                    <w:r>
                      <w:rPr>
                        <w:szCs w:val="21"/>
                      </w:rPr>
                      <w:t>136,291,798.14</w:t>
                    </w:r>
                  </w:p>
                </w:tc>
                <w:tc>
                  <w:tcPr>
                    <w:tcW w:w="1333" w:type="pct"/>
                    <w:tcBorders>
                      <w:top w:val="outset" w:sz="6" w:space="0" w:color="auto"/>
                      <w:left w:val="outset" w:sz="6" w:space="0" w:color="auto"/>
                      <w:bottom w:val="outset" w:sz="6" w:space="0" w:color="auto"/>
                      <w:right w:val="outset" w:sz="6" w:space="0" w:color="auto"/>
                    </w:tcBorders>
                  </w:tcPr>
                  <w:p w14:paraId="4A37463E" w14:textId="77777777" w:rsidR="00830E72" w:rsidRDefault="008344D8">
                    <w:pPr>
                      <w:jc w:val="right"/>
                      <w:rPr>
                        <w:szCs w:val="21"/>
                      </w:rPr>
                    </w:pPr>
                    <w:r>
                      <w:rPr>
                        <w:szCs w:val="21"/>
                      </w:rPr>
                      <w:t>121,586,460.61</w:t>
                    </w:r>
                  </w:p>
                </w:tc>
              </w:tr>
              <w:tr w:rsidR="00830E72" w14:paraId="3AC906A0" w14:textId="77777777">
                <w:sdt>
                  <w:sdtPr>
                    <w:tag w:val="_PLD_c2d9be160e384569b83c6b4fa8a1aa71"/>
                    <w:id w:val="84969150"/>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0AD3BCFA" w14:textId="77777777" w:rsidR="00830E72" w:rsidRDefault="008344D8">
                        <w:pPr>
                          <w:ind w:firstLineChars="100" w:firstLine="210"/>
                          <w:rPr>
                            <w:szCs w:val="21"/>
                          </w:rPr>
                        </w:pPr>
                        <w:r>
                          <w:rPr>
                            <w:rFonts w:hint="eastAsia"/>
                          </w:rPr>
                          <w:t>其中：</w:t>
                        </w:r>
                        <w:r>
                          <w:rPr>
                            <w:rFonts w:hint="eastAsia"/>
                            <w:szCs w:val="21"/>
                          </w:rPr>
                          <w:t>应付利息</w:t>
                        </w:r>
                      </w:p>
                    </w:tc>
                  </w:sdtContent>
                </w:sdt>
                <w:tc>
                  <w:tcPr>
                    <w:tcW w:w="489" w:type="pct"/>
                    <w:tcBorders>
                      <w:top w:val="outset" w:sz="6" w:space="0" w:color="auto"/>
                      <w:left w:val="outset" w:sz="6" w:space="0" w:color="auto"/>
                      <w:bottom w:val="outset" w:sz="6" w:space="0" w:color="auto"/>
                      <w:right w:val="outset" w:sz="6" w:space="0" w:color="auto"/>
                    </w:tcBorders>
                  </w:tcPr>
                  <w:p w14:paraId="780574A5"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458D621"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F1B70F3" w14:textId="77777777" w:rsidR="00830E72" w:rsidRDefault="00830E72">
                    <w:pPr>
                      <w:jc w:val="right"/>
                      <w:rPr>
                        <w:szCs w:val="21"/>
                      </w:rPr>
                    </w:pPr>
                  </w:p>
                </w:tc>
              </w:tr>
              <w:tr w:rsidR="00830E72" w14:paraId="41BD6A8A" w14:textId="77777777">
                <w:sdt>
                  <w:sdtPr>
                    <w:tag w:val="_PLD_d687f45d03d4450780c80600a9c2e9d5"/>
                    <w:id w:val="-1657680818"/>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4D0FF4A0" w14:textId="77777777" w:rsidR="00830E72" w:rsidRDefault="008344D8">
                        <w:pPr>
                          <w:ind w:firstLineChars="400" w:firstLine="840"/>
                          <w:rPr>
                            <w:szCs w:val="21"/>
                          </w:rPr>
                        </w:pPr>
                        <w:r>
                          <w:rPr>
                            <w:rFonts w:hint="eastAsia"/>
                            <w:szCs w:val="21"/>
                          </w:rPr>
                          <w:t>应付股利</w:t>
                        </w:r>
                      </w:p>
                    </w:tc>
                  </w:sdtContent>
                </w:sdt>
                <w:tc>
                  <w:tcPr>
                    <w:tcW w:w="489" w:type="pct"/>
                    <w:tcBorders>
                      <w:top w:val="outset" w:sz="6" w:space="0" w:color="auto"/>
                      <w:left w:val="outset" w:sz="6" w:space="0" w:color="auto"/>
                      <w:bottom w:val="outset" w:sz="6" w:space="0" w:color="auto"/>
                      <w:right w:val="outset" w:sz="6" w:space="0" w:color="auto"/>
                    </w:tcBorders>
                  </w:tcPr>
                  <w:p w14:paraId="7828896B"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62CD245"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08B7968" w14:textId="77777777" w:rsidR="00830E72" w:rsidRDefault="00830E72">
                    <w:pPr>
                      <w:jc w:val="right"/>
                      <w:rPr>
                        <w:szCs w:val="21"/>
                      </w:rPr>
                    </w:pPr>
                  </w:p>
                </w:tc>
              </w:tr>
              <w:tr w:rsidR="00830E72" w14:paraId="6A3A65C2" w14:textId="77777777">
                <w:sdt>
                  <w:sdtPr>
                    <w:tag w:val="_PLD_92ed0ec1441a49ed9ae726f88f149d23"/>
                    <w:id w:val="-842385489"/>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1AAD0F38" w14:textId="77777777" w:rsidR="00830E72" w:rsidRDefault="008344D8">
                        <w:pPr>
                          <w:ind w:firstLineChars="100" w:firstLine="210"/>
                          <w:rPr>
                            <w:szCs w:val="21"/>
                          </w:rPr>
                        </w:pPr>
                        <w:r>
                          <w:rPr>
                            <w:rFonts w:hint="eastAsia"/>
                            <w:szCs w:val="21"/>
                          </w:rPr>
                          <w:t>应付手续费及佣金</w:t>
                        </w:r>
                      </w:p>
                    </w:tc>
                  </w:sdtContent>
                </w:sdt>
                <w:tc>
                  <w:tcPr>
                    <w:tcW w:w="489" w:type="pct"/>
                    <w:tcBorders>
                      <w:top w:val="outset" w:sz="6" w:space="0" w:color="auto"/>
                      <w:left w:val="outset" w:sz="6" w:space="0" w:color="auto"/>
                      <w:bottom w:val="outset" w:sz="6" w:space="0" w:color="auto"/>
                      <w:right w:val="outset" w:sz="6" w:space="0" w:color="auto"/>
                    </w:tcBorders>
                  </w:tcPr>
                  <w:p w14:paraId="7C2D9E13"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D162AB9"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671E3BB" w14:textId="77777777" w:rsidR="00830E72" w:rsidRDefault="00830E72">
                    <w:pPr>
                      <w:jc w:val="right"/>
                      <w:rPr>
                        <w:szCs w:val="21"/>
                      </w:rPr>
                    </w:pPr>
                  </w:p>
                </w:tc>
              </w:tr>
              <w:tr w:rsidR="00830E72" w14:paraId="5D8FF799" w14:textId="77777777">
                <w:sdt>
                  <w:sdtPr>
                    <w:tag w:val="_PLD_3cd74a6b00ca416da58e99206b2a6150"/>
                    <w:id w:val="1391234467"/>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5D5EA1BC" w14:textId="77777777" w:rsidR="00830E72" w:rsidRDefault="008344D8">
                        <w:pPr>
                          <w:ind w:firstLineChars="100" w:firstLine="210"/>
                          <w:rPr>
                            <w:szCs w:val="21"/>
                          </w:rPr>
                        </w:pPr>
                        <w:r>
                          <w:rPr>
                            <w:rFonts w:hint="eastAsia"/>
                            <w:szCs w:val="21"/>
                          </w:rPr>
                          <w:t>应付分保账款</w:t>
                        </w:r>
                      </w:p>
                    </w:tc>
                  </w:sdtContent>
                </w:sdt>
                <w:tc>
                  <w:tcPr>
                    <w:tcW w:w="489" w:type="pct"/>
                    <w:tcBorders>
                      <w:top w:val="outset" w:sz="6" w:space="0" w:color="auto"/>
                      <w:left w:val="outset" w:sz="6" w:space="0" w:color="auto"/>
                      <w:bottom w:val="outset" w:sz="6" w:space="0" w:color="auto"/>
                      <w:right w:val="outset" w:sz="6" w:space="0" w:color="auto"/>
                    </w:tcBorders>
                  </w:tcPr>
                  <w:p w14:paraId="126F9678"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DEC4605"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C471225" w14:textId="77777777" w:rsidR="00830E72" w:rsidRDefault="00830E72">
                    <w:pPr>
                      <w:jc w:val="right"/>
                      <w:rPr>
                        <w:szCs w:val="21"/>
                      </w:rPr>
                    </w:pPr>
                  </w:p>
                </w:tc>
              </w:tr>
              <w:tr w:rsidR="00830E72" w14:paraId="7E9C5D46" w14:textId="77777777">
                <w:sdt>
                  <w:sdtPr>
                    <w:tag w:val="_PLD_e2e76edca1004352bfa9fe9ea4f74480"/>
                    <w:id w:val="805739302"/>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771A8078" w14:textId="77777777" w:rsidR="00830E72" w:rsidRDefault="008344D8">
                        <w:pPr>
                          <w:ind w:firstLineChars="100" w:firstLine="210"/>
                          <w:rPr>
                            <w:szCs w:val="21"/>
                          </w:rPr>
                        </w:pPr>
                        <w:r>
                          <w:rPr>
                            <w:rFonts w:hint="eastAsia"/>
                            <w:szCs w:val="21"/>
                          </w:rPr>
                          <w:t>持有待售负债</w:t>
                        </w:r>
                      </w:p>
                    </w:tc>
                  </w:sdtContent>
                </w:sdt>
                <w:tc>
                  <w:tcPr>
                    <w:tcW w:w="489" w:type="pct"/>
                    <w:tcBorders>
                      <w:top w:val="outset" w:sz="6" w:space="0" w:color="auto"/>
                      <w:left w:val="outset" w:sz="6" w:space="0" w:color="auto"/>
                      <w:bottom w:val="outset" w:sz="6" w:space="0" w:color="auto"/>
                      <w:right w:val="outset" w:sz="6" w:space="0" w:color="auto"/>
                    </w:tcBorders>
                  </w:tcPr>
                  <w:p w14:paraId="4EBF7E45"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35BEE84"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8DA0271" w14:textId="77777777" w:rsidR="00830E72" w:rsidRDefault="00830E72">
                    <w:pPr>
                      <w:jc w:val="right"/>
                      <w:rPr>
                        <w:szCs w:val="21"/>
                      </w:rPr>
                    </w:pPr>
                  </w:p>
                </w:tc>
              </w:tr>
              <w:tr w:rsidR="00830E72" w14:paraId="66D15F0C" w14:textId="77777777">
                <w:sdt>
                  <w:sdtPr>
                    <w:tag w:val="_PLD_3d84ac3419c14af1a70409a1e659bc33"/>
                    <w:id w:val="38486298"/>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4FB3376C" w14:textId="77777777" w:rsidR="00830E72" w:rsidRDefault="008344D8">
                        <w:pPr>
                          <w:ind w:firstLineChars="100" w:firstLine="210"/>
                          <w:rPr>
                            <w:szCs w:val="21"/>
                          </w:rPr>
                        </w:pPr>
                        <w:r>
                          <w:rPr>
                            <w:rFonts w:hint="eastAsia"/>
                            <w:szCs w:val="21"/>
                          </w:rPr>
                          <w:t>一年内到期的非流动负债</w:t>
                        </w:r>
                      </w:p>
                    </w:tc>
                  </w:sdtContent>
                </w:sdt>
                <w:tc>
                  <w:tcPr>
                    <w:tcW w:w="489" w:type="pct"/>
                    <w:tcBorders>
                      <w:top w:val="outset" w:sz="6" w:space="0" w:color="auto"/>
                      <w:left w:val="outset" w:sz="6" w:space="0" w:color="auto"/>
                      <w:bottom w:val="outset" w:sz="6" w:space="0" w:color="auto"/>
                      <w:right w:val="outset" w:sz="6" w:space="0" w:color="auto"/>
                    </w:tcBorders>
                  </w:tcPr>
                  <w:p w14:paraId="296200C7"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FC4A444" w14:textId="77777777" w:rsidR="00830E72" w:rsidRDefault="008344D8">
                    <w:pPr>
                      <w:jc w:val="right"/>
                      <w:rPr>
                        <w:szCs w:val="21"/>
                      </w:rPr>
                    </w:pPr>
                    <w:r>
                      <w:rPr>
                        <w:szCs w:val="21"/>
                      </w:rPr>
                      <w:t>69,722,550.37</w:t>
                    </w:r>
                  </w:p>
                </w:tc>
                <w:tc>
                  <w:tcPr>
                    <w:tcW w:w="1333" w:type="pct"/>
                    <w:tcBorders>
                      <w:top w:val="outset" w:sz="6" w:space="0" w:color="auto"/>
                      <w:left w:val="outset" w:sz="6" w:space="0" w:color="auto"/>
                      <w:bottom w:val="outset" w:sz="6" w:space="0" w:color="auto"/>
                      <w:right w:val="outset" w:sz="6" w:space="0" w:color="auto"/>
                    </w:tcBorders>
                  </w:tcPr>
                  <w:p w14:paraId="25DE939B" w14:textId="77777777" w:rsidR="00830E72" w:rsidRDefault="008344D8">
                    <w:pPr>
                      <w:jc w:val="right"/>
                      <w:rPr>
                        <w:szCs w:val="21"/>
                      </w:rPr>
                    </w:pPr>
                    <w:r>
                      <w:rPr>
                        <w:szCs w:val="21"/>
                      </w:rPr>
                      <w:t>54,265,043.89</w:t>
                    </w:r>
                  </w:p>
                </w:tc>
              </w:tr>
              <w:tr w:rsidR="00830E72" w14:paraId="2FC2DD45" w14:textId="77777777">
                <w:sdt>
                  <w:sdtPr>
                    <w:tag w:val="_PLD_d98d6b8169c447a0bc0b1ae069d60a30"/>
                    <w:id w:val="1928913423"/>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093842FA" w14:textId="77777777" w:rsidR="00830E72" w:rsidRDefault="008344D8">
                        <w:pPr>
                          <w:ind w:firstLineChars="100" w:firstLine="210"/>
                          <w:rPr>
                            <w:szCs w:val="21"/>
                          </w:rPr>
                        </w:pPr>
                        <w:r>
                          <w:rPr>
                            <w:rFonts w:hint="eastAsia"/>
                            <w:szCs w:val="21"/>
                          </w:rPr>
                          <w:t>其他流动负债</w:t>
                        </w:r>
                      </w:p>
                    </w:tc>
                  </w:sdtContent>
                </w:sdt>
                <w:tc>
                  <w:tcPr>
                    <w:tcW w:w="489" w:type="pct"/>
                    <w:tcBorders>
                      <w:top w:val="outset" w:sz="6" w:space="0" w:color="auto"/>
                      <w:left w:val="outset" w:sz="6" w:space="0" w:color="auto"/>
                      <w:bottom w:val="outset" w:sz="6" w:space="0" w:color="auto"/>
                      <w:right w:val="outset" w:sz="6" w:space="0" w:color="auto"/>
                    </w:tcBorders>
                  </w:tcPr>
                  <w:p w14:paraId="4E6E2EB6"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402D74D" w14:textId="77777777" w:rsidR="00830E72" w:rsidRDefault="008344D8">
                    <w:pPr>
                      <w:jc w:val="right"/>
                      <w:rPr>
                        <w:szCs w:val="21"/>
                      </w:rPr>
                    </w:pPr>
                    <w:r>
                      <w:rPr>
                        <w:szCs w:val="21"/>
                      </w:rPr>
                      <w:t>166,970,707.48</w:t>
                    </w:r>
                  </w:p>
                </w:tc>
                <w:tc>
                  <w:tcPr>
                    <w:tcW w:w="1333" w:type="pct"/>
                    <w:tcBorders>
                      <w:top w:val="outset" w:sz="6" w:space="0" w:color="auto"/>
                      <w:left w:val="outset" w:sz="6" w:space="0" w:color="auto"/>
                      <w:bottom w:val="outset" w:sz="6" w:space="0" w:color="auto"/>
                      <w:right w:val="outset" w:sz="6" w:space="0" w:color="auto"/>
                    </w:tcBorders>
                  </w:tcPr>
                  <w:p w14:paraId="2C0AA759" w14:textId="77777777" w:rsidR="00830E72" w:rsidRDefault="008344D8">
                    <w:pPr>
                      <w:jc w:val="right"/>
                      <w:rPr>
                        <w:szCs w:val="21"/>
                      </w:rPr>
                    </w:pPr>
                    <w:r>
                      <w:rPr>
                        <w:szCs w:val="21"/>
                      </w:rPr>
                      <w:t>167,183,284.13</w:t>
                    </w:r>
                  </w:p>
                </w:tc>
              </w:tr>
              <w:tr w:rsidR="00830E72" w14:paraId="3CCC7E1F" w14:textId="77777777">
                <w:sdt>
                  <w:sdtPr>
                    <w:tag w:val="_PLD_d6387f8c45ce4f8599c26d4b88544573"/>
                    <w:id w:val="-320506935"/>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61AF7509" w14:textId="77777777" w:rsidR="00830E72" w:rsidRDefault="008344D8">
                        <w:pPr>
                          <w:ind w:firstLineChars="200" w:firstLine="420"/>
                          <w:rPr>
                            <w:szCs w:val="21"/>
                          </w:rPr>
                        </w:pPr>
                        <w:r>
                          <w:rPr>
                            <w:rFonts w:hint="eastAsia"/>
                            <w:szCs w:val="21"/>
                          </w:rPr>
                          <w:t>流动负债合计</w:t>
                        </w:r>
                      </w:p>
                    </w:tc>
                  </w:sdtContent>
                </w:sdt>
                <w:tc>
                  <w:tcPr>
                    <w:tcW w:w="489" w:type="pct"/>
                    <w:tcBorders>
                      <w:top w:val="outset" w:sz="6" w:space="0" w:color="auto"/>
                      <w:left w:val="outset" w:sz="6" w:space="0" w:color="auto"/>
                      <w:bottom w:val="outset" w:sz="6" w:space="0" w:color="auto"/>
                      <w:right w:val="outset" w:sz="6" w:space="0" w:color="auto"/>
                    </w:tcBorders>
                  </w:tcPr>
                  <w:p w14:paraId="2329B35D"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1D2A924" w14:textId="77777777" w:rsidR="00830E72" w:rsidRDefault="008344D8">
                    <w:pPr>
                      <w:jc w:val="right"/>
                      <w:rPr>
                        <w:szCs w:val="21"/>
                      </w:rPr>
                    </w:pPr>
                    <w:r>
                      <w:rPr>
                        <w:szCs w:val="21"/>
                      </w:rPr>
                      <w:t>3,575,544,909.03</w:t>
                    </w:r>
                  </w:p>
                </w:tc>
                <w:tc>
                  <w:tcPr>
                    <w:tcW w:w="1333" w:type="pct"/>
                    <w:tcBorders>
                      <w:top w:val="outset" w:sz="6" w:space="0" w:color="auto"/>
                      <w:left w:val="outset" w:sz="6" w:space="0" w:color="auto"/>
                      <w:bottom w:val="outset" w:sz="6" w:space="0" w:color="auto"/>
                      <w:right w:val="outset" w:sz="6" w:space="0" w:color="auto"/>
                    </w:tcBorders>
                  </w:tcPr>
                  <w:p w14:paraId="59AF7FF3" w14:textId="77777777" w:rsidR="00830E72" w:rsidRDefault="008344D8">
                    <w:pPr>
                      <w:jc w:val="right"/>
                      <w:rPr>
                        <w:szCs w:val="21"/>
                      </w:rPr>
                    </w:pPr>
                    <w:r>
                      <w:rPr>
                        <w:szCs w:val="21"/>
                      </w:rPr>
                      <w:t>3,452,712,578.64</w:t>
                    </w:r>
                  </w:p>
                </w:tc>
              </w:tr>
              <w:tr w:rsidR="00830E72" w14:paraId="4957B00E" w14:textId="77777777">
                <w:sdt>
                  <w:sdtPr>
                    <w:tag w:val="_PLD_e92d79badc1945afbed8782cdacf599f"/>
                    <w:id w:val="-549685747"/>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0C0F33DF" w14:textId="77777777" w:rsidR="00830E72" w:rsidRDefault="008344D8">
                        <w:pPr>
                          <w:rPr>
                            <w:szCs w:val="21"/>
                          </w:rPr>
                        </w:pPr>
                        <w:r>
                          <w:rPr>
                            <w:rFonts w:hint="eastAsia"/>
                            <w:b/>
                            <w:bCs/>
                            <w:szCs w:val="21"/>
                          </w:rPr>
                          <w:t>非流动负债：</w:t>
                        </w:r>
                      </w:p>
                    </w:tc>
                  </w:sdtContent>
                </w:sdt>
                <w:tc>
                  <w:tcPr>
                    <w:tcW w:w="489" w:type="pct"/>
                    <w:tcBorders>
                      <w:top w:val="outset" w:sz="6" w:space="0" w:color="auto"/>
                      <w:left w:val="outset" w:sz="6" w:space="0" w:color="auto"/>
                      <w:bottom w:val="outset" w:sz="6" w:space="0" w:color="auto"/>
                      <w:right w:val="outset" w:sz="6" w:space="0" w:color="auto"/>
                    </w:tcBorders>
                  </w:tcPr>
                  <w:p w14:paraId="3E45A5DD" w14:textId="77777777" w:rsidR="00830E72" w:rsidRDefault="00830E72">
                    <w:pPr>
                      <w:rPr>
                        <w:color w:val="008000"/>
                        <w:szCs w:val="21"/>
                      </w:rPr>
                    </w:pPr>
                  </w:p>
                </w:tc>
                <w:tc>
                  <w:tcPr>
                    <w:tcW w:w="1411" w:type="pct"/>
                    <w:tcBorders>
                      <w:top w:val="outset" w:sz="6" w:space="0" w:color="auto"/>
                      <w:left w:val="outset" w:sz="6" w:space="0" w:color="auto"/>
                      <w:bottom w:val="outset" w:sz="6" w:space="0" w:color="auto"/>
                      <w:right w:val="outset" w:sz="6" w:space="0" w:color="auto"/>
                    </w:tcBorders>
                  </w:tcPr>
                  <w:p w14:paraId="10F8DD70" w14:textId="77777777" w:rsidR="00830E72" w:rsidRDefault="00830E72">
                    <w:pPr>
                      <w:ind w:right="210"/>
                      <w:jc w:val="right"/>
                      <w:rPr>
                        <w:color w:val="008000"/>
                        <w:szCs w:val="21"/>
                      </w:rPr>
                    </w:pPr>
                  </w:p>
                </w:tc>
                <w:tc>
                  <w:tcPr>
                    <w:tcW w:w="1333" w:type="pct"/>
                    <w:tcBorders>
                      <w:top w:val="outset" w:sz="6" w:space="0" w:color="auto"/>
                      <w:left w:val="outset" w:sz="6" w:space="0" w:color="auto"/>
                      <w:bottom w:val="outset" w:sz="6" w:space="0" w:color="auto"/>
                      <w:right w:val="outset" w:sz="6" w:space="0" w:color="auto"/>
                    </w:tcBorders>
                  </w:tcPr>
                  <w:p w14:paraId="3653D679" w14:textId="77777777" w:rsidR="00830E72" w:rsidRDefault="00830E72">
                    <w:pPr>
                      <w:jc w:val="right"/>
                      <w:rPr>
                        <w:color w:val="008000"/>
                        <w:szCs w:val="21"/>
                      </w:rPr>
                    </w:pPr>
                  </w:p>
                </w:tc>
              </w:tr>
              <w:tr w:rsidR="00830E72" w14:paraId="00BECD08" w14:textId="77777777">
                <w:sdt>
                  <w:sdtPr>
                    <w:tag w:val="_PLD_4515eae7d3ee403aac2fdade1a6ff71a"/>
                    <w:id w:val="1545174699"/>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4409E998" w14:textId="77777777" w:rsidR="00830E72" w:rsidRDefault="008344D8">
                        <w:pPr>
                          <w:ind w:firstLineChars="100" w:firstLine="210"/>
                          <w:rPr>
                            <w:szCs w:val="21"/>
                          </w:rPr>
                        </w:pPr>
                        <w:r>
                          <w:rPr>
                            <w:rFonts w:hint="eastAsia"/>
                            <w:szCs w:val="21"/>
                          </w:rPr>
                          <w:t>保险合同准备金</w:t>
                        </w:r>
                      </w:p>
                    </w:tc>
                  </w:sdtContent>
                </w:sdt>
                <w:tc>
                  <w:tcPr>
                    <w:tcW w:w="489" w:type="pct"/>
                    <w:tcBorders>
                      <w:top w:val="outset" w:sz="6" w:space="0" w:color="auto"/>
                      <w:left w:val="outset" w:sz="6" w:space="0" w:color="auto"/>
                      <w:bottom w:val="outset" w:sz="6" w:space="0" w:color="auto"/>
                      <w:right w:val="outset" w:sz="6" w:space="0" w:color="auto"/>
                    </w:tcBorders>
                  </w:tcPr>
                  <w:p w14:paraId="4B534442"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46E8239"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E86B447" w14:textId="77777777" w:rsidR="00830E72" w:rsidRDefault="00830E72">
                    <w:pPr>
                      <w:jc w:val="right"/>
                      <w:rPr>
                        <w:szCs w:val="21"/>
                      </w:rPr>
                    </w:pPr>
                  </w:p>
                </w:tc>
              </w:tr>
              <w:tr w:rsidR="00830E72" w14:paraId="1341DEDD" w14:textId="77777777">
                <w:sdt>
                  <w:sdtPr>
                    <w:tag w:val="_PLD_0b8d7682584443f4bae26e2ed50f8040"/>
                    <w:id w:val="995303864"/>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32CC5917" w14:textId="77777777" w:rsidR="00830E72" w:rsidRDefault="008344D8">
                        <w:pPr>
                          <w:ind w:firstLineChars="100" w:firstLine="210"/>
                          <w:rPr>
                            <w:szCs w:val="21"/>
                          </w:rPr>
                        </w:pPr>
                        <w:r>
                          <w:rPr>
                            <w:rFonts w:hint="eastAsia"/>
                            <w:szCs w:val="21"/>
                          </w:rPr>
                          <w:t>长期借款</w:t>
                        </w:r>
                      </w:p>
                    </w:tc>
                  </w:sdtContent>
                </w:sdt>
                <w:tc>
                  <w:tcPr>
                    <w:tcW w:w="489" w:type="pct"/>
                    <w:tcBorders>
                      <w:top w:val="outset" w:sz="6" w:space="0" w:color="auto"/>
                      <w:left w:val="outset" w:sz="6" w:space="0" w:color="auto"/>
                      <w:bottom w:val="outset" w:sz="6" w:space="0" w:color="auto"/>
                      <w:right w:val="outset" w:sz="6" w:space="0" w:color="auto"/>
                    </w:tcBorders>
                  </w:tcPr>
                  <w:p w14:paraId="64828F23"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FBA1780" w14:textId="77777777" w:rsidR="00830E72" w:rsidRDefault="008344D8">
                    <w:pPr>
                      <w:jc w:val="right"/>
                      <w:rPr>
                        <w:szCs w:val="21"/>
                      </w:rPr>
                    </w:pPr>
                    <w:r>
                      <w:rPr>
                        <w:szCs w:val="21"/>
                      </w:rPr>
                      <w:t>735,809,750.00</w:t>
                    </w:r>
                  </w:p>
                </w:tc>
                <w:tc>
                  <w:tcPr>
                    <w:tcW w:w="1333" w:type="pct"/>
                    <w:tcBorders>
                      <w:top w:val="outset" w:sz="6" w:space="0" w:color="auto"/>
                      <w:left w:val="outset" w:sz="6" w:space="0" w:color="auto"/>
                      <w:bottom w:val="outset" w:sz="6" w:space="0" w:color="auto"/>
                      <w:right w:val="outset" w:sz="6" w:space="0" w:color="auto"/>
                    </w:tcBorders>
                  </w:tcPr>
                  <w:p w14:paraId="212493AC" w14:textId="77777777" w:rsidR="00830E72" w:rsidRDefault="008344D8">
                    <w:pPr>
                      <w:jc w:val="right"/>
                      <w:rPr>
                        <w:szCs w:val="21"/>
                      </w:rPr>
                    </w:pPr>
                    <w:r>
                      <w:rPr>
                        <w:szCs w:val="21"/>
                      </w:rPr>
                      <w:t>747,391,300.00</w:t>
                    </w:r>
                  </w:p>
                </w:tc>
              </w:tr>
              <w:tr w:rsidR="00830E72" w14:paraId="04928F5F" w14:textId="77777777">
                <w:sdt>
                  <w:sdtPr>
                    <w:tag w:val="_PLD_21503c6281dc48d19440b9f16f150ec0"/>
                    <w:id w:val="-9683165"/>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610F92A9" w14:textId="77777777" w:rsidR="00830E72" w:rsidRDefault="008344D8">
                        <w:pPr>
                          <w:ind w:firstLineChars="100" w:firstLine="210"/>
                          <w:rPr>
                            <w:szCs w:val="21"/>
                          </w:rPr>
                        </w:pPr>
                        <w:r>
                          <w:rPr>
                            <w:rFonts w:hint="eastAsia"/>
                            <w:szCs w:val="21"/>
                          </w:rPr>
                          <w:t>应付债券</w:t>
                        </w:r>
                      </w:p>
                    </w:tc>
                  </w:sdtContent>
                </w:sdt>
                <w:tc>
                  <w:tcPr>
                    <w:tcW w:w="489" w:type="pct"/>
                    <w:tcBorders>
                      <w:top w:val="outset" w:sz="6" w:space="0" w:color="auto"/>
                      <w:left w:val="outset" w:sz="6" w:space="0" w:color="auto"/>
                      <w:bottom w:val="outset" w:sz="6" w:space="0" w:color="auto"/>
                      <w:right w:val="outset" w:sz="6" w:space="0" w:color="auto"/>
                    </w:tcBorders>
                  </w:tcPr>
                  <w:p w14:paraId="2D7A3716"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4A00ABA"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AC86334" w14:textId="77777777" w:rsidR="00830E72" w:rsidRDefault="00830E72">
                    <w:pPr>
                      <w:jc w:val="right"/>
                      <w:rPr>
                        <w:szCs w:val="21"/>
                      </w:rPr>
                    </w:pPr>
                  </w:p>
                </w:tc>
              </w:tr>
              <w:tr w:rsidR="00830E72" w14:paraId="6DA73582" w14:textId="77777777">
                <w:sdt>
                  <w:sdtPr>
                    <w:tag w:val="_PLD_cfeff2e31a4d4689842e8f9ce5e8b342"/>
                    <w:id w:val="-2026473502"/>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0592DBF3" w14:textId="77777777" w:rsidR="00830E72" w:rsidRDefault="008344D8">
                        <w:pPr>
                          <w:ind w:firstLineChars="100" w:firstLine="210"/>
                          <w:rPr>
                            <w:szCs w:val="21"/>
                          </w:rPr>
                        </w:pPr>
                        <w:r>
                          <w:rPr>
                            <w:rFonts w:hint="eastAsia"/>
                            <w:szCs w:val="21"/>
                          </w:rPr>
                          <w:t>其中：优先股</w:t>
                        </w:r>
                      </w:p>
                    </w:tc>
                  </w:sdtContent>
                </w:sdt>
                <w:tc>
                  <w:tcPr>
                    <w:tcW w:w="489" w:type="pct"/>
                    <w:tcBorders>
                      <w:top w:val="outset" w:sz="6" w:space="0" w:color="auto"/>
                      <w:left w:val="outset" w:sz="6" w:space="0" w:color="auto"/>
                      <w:bottom w:val="outset" w:sz="6" w:space="0" w:color="auto"/>
                      <w:right w:val="outset" w:sz="6" w:space="0" w:color="auto"/>
                    </w:tcBorders>
                  </w:tcPr>
                  <w:p w14:paraId="6E0CA1BC"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5A5ACCB"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FE2DF8E" w14:textId="77777777" w:rsidR="00830E72" w:rsidRDefault="00830E72">
                    <w:pPr>
                      <w:jc w:val="right"/>
                      <w:rPr>
                        <w:szCs w:val="21"/>
                      </w:rPr>
                    </w:pPr>
                  </w:p>
                </w:tc>
              </w:tr>
              <w:tr w:rsidR="00830E72" w14:paraId="13EF7828" w14:textId="77777777">
                <w:sdt>
                  <w:sdtPr>
                    <w:tag w:val="_PLD_36b6cba673904261afdd80fbfbf5d1b4"/>
                    <w:id w:val="-491801986"/>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42BC9DDC" w14:textId="77777777" w:rsidR="00830E72" w:rsidRDefault="008344D8">
                        <w:pPr>
                          <w:ind w:leftChars="300" w:left="630" w:firstLineChars="100" w:firstLine="210"/>
                          <w:rPr>
                            <w:szCs w:val="21"/>
                          </w:rPr>
                        </w:pPr>
                        <w:r>
                          <w:rPr>
                            <w:rFonts w:hint="eastAsia"/>
                            <w:szCs w:val="21"/>
                          </w:rPr>
                          <w:t>永续债</w:t>
                        </w:r>
                      </w:p>
                    </w:tc>
                  </w:sdtContent>
                </w:sdt>
                <w:tc>
                  <w:tcPr>
                    <w:tcW w:w="489" w:type="pct"/>
                    <w:tcBorders>
                      <w:top w:val="outset" w:sz="6" w:space="0" w:color="auto"/>
                      <w:left w:val="outset" w:sz="6" w:space="0" w:color="auto"/>
                      <w:bottom w:val="outset" w:sz="6" w:space="0" w:color="auto"/>
                      <w:right w:val="outset" w:sz="6" w:space="0" w:color="auto"/>
                    </w:tcBorders>
                  </w:tcPr>
                  <w:p w14:paraId="5900CE79"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EFDD1B9"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A6370E9" w14:textId="77777777" w:rsidR="00830E72" w:rsidRDefault="00830E72">
                    <w:pPr>
                      <w:jc w:val="right"/>
                      <w:rPr>
                        <w:szCs w:val="21"/>
                      </w:rPr>
                    </w:pPr>
                  </w:p>
                </w:tc>
              </w:tr>
              <w:tr w:rsidR="00830E72" w14:paraId="2F70AA38" w14:textId="77777777">
                <w:tc>
                  <w:tcPr>
                    <w:tcW w:w="17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f24a143dea468283877b9adfce049b"/>
                      <w:id w:val="1948274577"/>
                      <w:lock w:val="sdtLocked"/>
                    </w:sdtPr>
                    <w:sdtEndPr/>
                    <w:sdtContent>
                      <w:p w14:paraId="64E16461" w14:textId="77777777" w:rsidR="00830E72" w:rsidRDefault="008344D8">
                        <w:pPr>
                          <w:ind w:firstLineChars="100" w:firstLine="210"/>
                        </w:pPr>
                        <w:r>
                          <w:rPr>
                            <w:rFonts w:hint="eastAsia"/>
                          </w:rPr>
                          <w:t>租赁负债</w:t>
                        </w:r>
                      </w:p>
                    </w:sdtContent>
                  </w:sdt>
                </w:tc>
                <w:tc>
                  <w:tcPr>
                    <w:tcW w:w="489" w:type="pct"/>
                    <w:tcBorders>
                      <w:top w:val="outset" w:sz="6" w:space="0" w:color="auto"/>
                      <w:left w:val="outset" w:sz="6" w:space="0" w:color="auto"/>
                      <w:bottom w:val="outset" w:sz="6" w:space="0" w:color="auto"/>
                      <w:right w:val="outset" w:sz="6" w:space="0" w:color="auto"/>
                    </w:tcBorders>
                  </w:tcPr>
                  <w:p w14:paraId="35D4D2E0"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0AABBF5" w14:textId="77777777" w:rsidR="00830E72" w:rsidRDefault="008344D8">
                    <w:pPr>
                      <w:jc w:val="right"/>
                      <w:rPr>
                        <w:szCs w:val="21"/>
                      </w:rPr>
                    </w:pPr>
                    <w:r>
                      <w:rPr>
                        <w:szCs w:val="21"/>
                      </w:rPr>
                      <w:t>4,230,035.87</w:t>
                    </w:r>
                  </w:p>
                </w:tc>
                <w:tc>
                  <w:tcPr>
                    <w:tcW w:w="1333" w:type="pct"/>
                    <w:tcBorders>
                      <w:top w:val="outset" w:sz="6" w:space="0" w:color="auto"/>
                      <w:left w:val="outset" w:sz="6" w:space="0" w:color="auto"/>
                      <w:bottom w:val="outset" w:sz="6" w:space="0" w:color="auto"/>
                      <w:right w:val="outset" w:sz="6" w:space="0" w:color="auto"/>
                    </w:tcBorders>
                  </w:tcPr>
                  <w:p w14:paraId="70F98503" w14:textId="77777777" w:rsidR="00830E72" w:rsidRDefault="00830E72">
                    <w:pPr>
                      <w:jc w:val="right"/>
                      <w:rPr>
                        <w:szCs w:val="21"/>
                      </w:rPr>
                    </w:pPr>
                  </w:p>
                </w:tc>
              </w:tr>
              <w:tr w:rsidR="00830E72" w14:paraId="2A80A65E" w14:textId="77777777">
                <w:sdt>
                  <w:sdtPr>
                    <w:tag w:val="_PLD_e7eb803a0fb248e2b8805e67dbe2336f"/>
                    <w:id w:val="-1064795288"/>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103EF000" w14:textId="77777777" w:rsidR="00830E72" w:rsidRDefault="008344D8">
                        <w:pPr>
                          <w:ind w:firstLineChars="100" w:firstLine="210"/>
                          <w:rPr>
                            <w:szCs w:val="21"/>
                          </w:rPr>
                        </w:pPr>
                        <w:r>
                          <w:rPr>
                            <w:rFonts w:hint="eastAsia"/>
                            <w:szCs w:val="21"/>
                          </w:rPr>
                          <w:t>长期应付款</w:t>
                        </w:r>
                      </w:p>
                    </w:tc>
                  </w:sdtContent>
                </w:sdt>
                <w:tc>
                  <w:tcPr>
                    <w:tcW w:w="489" w:type="pct"/>
                    <w:tcBorders>
                      <w:top w:val="outset" w:sz="6" w:space="0" w:color="auto"/>
                      <w:left w:val="outset" w:sz="6" w:space="0" w:color="auto"/>
                      <w:bottom w:val="outset" w:sz="6" w:space="0" w:color="auto"/>
                      <w:right w:val="outset" w:sz="6" w:space="0" w:color="auto"/>
                    </w:tcBorders>
                  </w:tcPr>
                  <w:p w14:paraId="5989F8AE"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D160C65"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1E648B8" w14:textId="77777777" w:rsidR="00830E72" w:rsidRDefault="00830E72">
                    <w:pPr>
                      <w:jc w:val="right"/>
                      <w:rPr>
                        <w:szCs w:val="21"/>
                      </w:rPr>
                    </w:pPr>
                  </w:p>
                </w:tc>
              </w:tr>
              <w:tr w:rsidR="00830E72" w14:paraId="666EA44E" w14:textId="77777777">
                <w:sdt>
                  <w:sdtPr>
                    <w:tag w:val="_PLD_5eafba3923544dfc81be450ef6e000ee"/>
                    <w:id w:val="327562531"/>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247B30CD" w14:textId="77777777" w:rsidR="00830E72" w:rsidRDefault="008344D8">
                        <w:pPr>
                          <w:ind w:firstLineChars="100" w:firstLine="210"/>
                          <w:rPr>
                            <w:szCs w:val="21"/>
                          </w:rPr>
                        </w:pPr>
                        <w:r>
                          <w:rPr>
                            <w:rFonts w:hint="eastAsia"/>
                            <w:szCs w:val="21"/>
                          </w:rPr>
                          <w:t>长期应付职工薪酬</w:t>
                        </w:r>
                      </w:p>
                    </w:tc>
                  </w:sdtContent>
                </w:sdt>
                <w:tc>
                  <w:tcPr>
                    <w:tcW w:w="489" w:type="pct"/>
                    <w:tcBorders>
                      <w:top w:val="outset" w:sz="6" w:space="0" w:color="auto"/>
                      <w:left w:val="outset" w:sz="6" w:space="0" w:color="auto"/>
                      <w:bottom w:val="outset" w:sz="6" w:space="0" w:color="auto"/>
                      <w:right w:val="outset" w:sz="6" w:space="0" w:color="auto"/>
                    </w:tcBorders>
                  </w:tcPr>
                  <w:p w14:paraId="250BFB58"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7B634C3"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412F5DC" w14:textId="77777777" w:rsidR="00830E72" w:rsidRDefault="00830E72">
                    <w:pPr>
                      <w:jc w:val="right"/>
                      <w:rPr>
                        <w:szCs w:val="21"/>
                      </w:rPr>
                    </w:pPr>
                  </w:p>
                </w:tc>
              </w:tr>
              <w:tr w:rsidR="00830E72" w14:paraId="009C3D8B" w14:textId="77777777">
                <w:sdt>
                  <w:sdtPr>
                    <w:tag w:val="_PLD_ed2d2511d3684ed0ac593049a3abc203"/>
                    <w:id w:val="1669052943"/>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3DA224B2" w14:textId="77777777" w:rsidR="00830E72" w:rsidRDefault="008344D8">
                        <w:pPr>
                          <w:ind w:firstLineChars="100" w:firstLine="210"/>
                          <w:rPr>
                            <w:szCs w:val="21"/>
                          </w:rPr>
                        </w:pPr>
                        <w:r>
                          <w:rPr>
                            <w:rFonts w:hint="eastAsia"/>
                            <w:szCs w:val="21"/>
                          </w:rPr>
                          <w:t>预计负债</w:t>
                        </w:r>
                      </w:p>
                    </w:tc>
                  </w:sdtContent>
                </w:sdt>
                <w:tc>
                  <w:tcPr>
                    <w:tcW w:w="489" w:type="pct"/>
                    <w:tcBorders>
                      <w:top w:val="outset" w:sz="6" w:space="0" w:color="auto"/>
                      <w:left w:val="outset" w:sz="6" w:space="0" w:color="auto"/>
                      <w:bottom w:val="outset" w:sz="6" w:space="0" w:color="auto"/>
                      <w:right w:val="outset" w:sz="6" w:space="0" w:color="auto"/>
                    </w:tcBorders>
                  </w:tcPr>
                  <w:p w14:paraId="10668AC5"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8E673B1" w14:textId="77777777" w:rsidR="00830E72" w:rsidRDefault="008344D8">
                    <w:pPr>
                      <w:jc w:val="right"/>
                      <w:rPr>
                        <w:szCs w:val="21"/>
                      </w:rPr>
                    </w:pPr>
                    <w:r>
                      <w:rPr>
                        <w:szCs w:val="21"/>
                      </w:rPr>
                      <w:t>4,112,794.49</w:t>
                    </w:r>
                  </w:p>
                </w:tc>
                <w:tc>
                  <w:tcPr>
                    <w:tcW w:w="1333" w:type="pct"/>
                    <w:tcBorders>
                      <w:top w:val="outset" w:sz="6" w:space="0" w:color="auto"/>
                      <w:left w:val="outset" w:sz="6" w:space="0" w:color="auto"/>
                      <w:bottom w:val="outset" w:sz="6" w:space="0" w:color="auto"/>
                      <w:right w:val="outset" w:sz="6" w:space="0" w:color="auto"/>
                    </w:tcBorders>
                  </w:tcPr>
                  <w:p w14:paraId="4BF13C1F" w14:textId="77777777" w:rsidR="00830E72" w:rsidRDefault="008344D8">
                    <w:pPr>
                      <w:jc w:val="right"/>
                      <w:rPr>
                        <w:szCs w:val="21"/>
                      </w:rPr>
                    </w:pPr>
                    <w:r>
                      <w:rPr>
                        <w:szCs w:val="21"/>
                      </w:rPr>
                      <w:t>4,855,107.55</w:t>
                    </w:r>
                  </w:p>
                </w:tc>
              </w:tr>
              <w:tr w:rsidR="00830E72" w14:paraId="42E84391" w14:textId="77777777">
                <w:sdt>
                  <w:sdtPr>
                    <w:tag w:val="_PLD_ee1b0ee29ae24aa09d29da2690e141a2"/>
                    <w:id w:val="-1961553782"/>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04F1AD87" w14:textId="77777777" w:rsidR="00830E72" w:rsidRDefault="008344D8">
                        <w:pPr>
                          <w:ind w:firstLineChars="100" w:firstLine="210"/>
                          <w:rPr>
                            <w:szCs w:val="21"/>
                          </w:rPr>
                        </w:pPr>
                        <w:r>
                          <w:rPr>
                            <w:rFonts w:hint="eastAsia"/>
                            <w:szCs w:val="21"/>
                          </w:rPr>
                          <w:t>递延收益</w:t>
                        </w:r>
                      </w:p>
                    </w:tc>
                  </w:sdtContent>
                </w:sdt>
                <w:tc>
                  <w:tcPr>
                    <w:tcW w:w="489" w:type="pct"/>
                    <w:tcBorders>
                      <w:top w:val="outset" w:sz="6" w:space="0" w:color="auto"/>
                      <w:left w:val="outset" w:sz="6" w:space="0" w:color="auto"/>
                      <w:bottom w:val="outset" w:sz="6" w:space="0" w:color="auto"/>
                      <w:right w:val="outset" w:sz="6" w:space="0" w:color="auto"/>
                    </w:tcBorders>
                  </w:tcPr>
                  <w:p w14:paraId="469AD814"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3D6059E8"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465DD51" w14:textId="77777777" w:rsidR="00830E72" w:rsidRDefault="00830E72">
                    <w:pPr>
                      <w:jc w:val="right"/>
                      <w:rPr>
                        <w:szCs w:val="21"/>
                      </w:rPr>
                    </w:pPr>
                  </w:p>
                </w:tc>
              </w:tr>
              <w:tr w:rsidR="00830E72" w14:paraId="39D58954" w14:textId="77777777">
                <w:sdt>
                  <w:sdtPr>
                    <w:tag w:val="_PLD_f6e51ce85b734d1984a9495c17250c42"/>
                    <w:id w:val="710382545"/>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6374F507" w14:textId="77777777" w:rsidR="00830E72" w:rsidRDefault="008344D8">
                        <w:pPr>
                          <w:ind w:firstLineChars="100" w:firstLine="210"/>
                          <w:rPr>
                            <w:szCs w:val="21"/>
                          </w:rPr>
                        </w:pPr>
                        <w:r>
                          <w:rPr>
                            <w:rFonts w:hint="eastAsia"/>
                            <w:szCs w:val="21"/>
                          </w:rPr>
                          <w:t>递延所得税负债</w:t>
                        </w:r>
                      </w:p>
                    </w:tc>
                  </w:sdtContent>
                </w:sdt>
                <w:tc>
                  <w:tcPr>
                    <w:tcW w:w="489" w:type="pct"/>
                    <w:tcBorders>
                      <w:top w:val="outset" w:sz="6" w:space="0" w:color="auto"/>
                      <w:left w:val="outset" w:sz="6" w:space="0" w:color="auto"/>
                      <w:bottom w:val="outset" w:sz="6" w:space="0" w:color="auto"/>
                      <w:right w:val="outset" w:sz="6" w:space="0" w:color="auto"/>
                    </w:tcBorders>
                  </w:tcPr>
                  <w:p w14:paraId="18E90834"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3EEC73A1" w14:textId="77777777" w:rsidR="00830E72" w:rsidRDefault="008344D8">
                    <w:pPr>
                      <w:jc w:val="right"/>
                      <w:rPr>
                        <w:szCs w:val="21"/>
                      </w:rPr>
                    </w:pPr>
                    <w:r>
                      <w:rPr>
                        <w:szCs w:val="21"/>
                      </w:rPr>
                      <w:t>7,794,095.22</w:t>
                    </w:r>
                  </w:p>
                </w:tc>
                <w:tc>
                  <w:tcPr>
                    <w:tcW w:w="1333" w:type="pct"/>
                    <w:tcBorders>
                      <w:top w:val="outset" w:sz="6" w:space="0" w:color="auto"/>
                      <w:left w:val="outset" w:sz="6" w:space="0" w:color="auto"/>
                      <w:bottom w:val="outset" w:sz="6" w:space="0" w:color="auto"/>
                      <w:right w:val="outset" w:sz="6" w:space="0" w:color="auto"/>
                    </w:tcBorders>
                  </w:tcPr>
                  <w:p w14:paraId="101CBEEF" w14:textId="77777777" w:rsidR="00830E72" w:rsidRDefault="008344D8">
                    <w:pPr>
                      <w:jc w:val="right"/>
                      <w:rPr>
                        <w:szCs w:val="21"/>
                      </w:rPr>
                    </w:pPr>
                    <w:r>
                      <w:rPr>
                        <w:szCs w:val="21"/>
                      </w:rPr>
                      <w:t>7,934,122.63</w:t>
                    </w:r>
                  </w:p>
                </w:tc>
              </w:tr>
              <w:tr w:rsidR="00830E72" w14:paraId="19C50461" w14:textId="77777777">
                <w:sdt>
                  <w:sdtPr>
                    <w:tag w:val="_PLD_4811ce5907e64a868d871af763ddc347"/>
                    <w:id w:val="1226187686"/>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50021F53" w14:textId="77777777" w:rsidR="00830E72" w:rsidRDefault="008344D8">
                        <w:pPr>
                          <w:ind w:firstLineChars="100" w:firstLine="210"/>
                          <w:rPr>
                            <w:szCs w:val="21"/>
                          </w:rPr>
                        </w:pPr>
                        <w:r>
                          <w:rPr>
                            <w:rFonts w:hint="eastAsia"/>
                            <w:szCs w:val="21"/>
                          </w:rPr>
                          <w:t>其他非流动负债</w:t>
                        </w:r>
                      </w:p>
                    </w:tc>
                  </w:sdtContent>
                </w:sdt>
                <w:tc>
                  <w:tcPr>
                    <w:tcW w:w="489" w:type="pct"/>
                    <w:tcBorders>
                      <w:top w:val="outset" w:sz="6" w:space="0" w:color="auto"/>
                      <w:left w:val="outset" w:sz="6" w:space="0" w:color="auto"/>
                      <w:bottom w:val="outset" w:sz="6" w:space="0" w:color="auto"/>
                      <w:right w:val="outset" w:sz="6" w:space="0" w:color="auto"/>
                    </w:tcBorders>
                  </w:tcPr>
                  <w:p w14:paraId="7C789BC0"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39FC0478" w14:textId="77777777" w:rsidR="00830E72" w:rsidRDefault="008344D8">
                    <w:pPr>
                      <w:jc w:val="right"/>
                      <w:rPr>
                        <w:szCs w:val="21"/>
                      </w:rPr>
                    </w:pPr>
                    <w:r>
                      <w:rPr>
                        <w:szCs w:val="21"/>
                      </w:rPr>
                      <w:t>71,841,179.09</w:t>
                    </w:r>
                  </w:p>
                </w:tc>
                <w:tc>
                  <w:tcPr>
                    <w:tcW w:w="1333" w:type="pct"/>
                    <w:tcBorders>
                      <w:top w:val="outset" w:sz="6" w:space="0" w:color="auto"/>
                      <w:left w:val="outset" w:sz="6" w:space="0" w:color="auto"/>
                      <w:bottom w:val="outset" w:sz="6" w:space="0" w:color="auto"/>
                      <w:right w:val="outset" w:sz="6" w:space="0" w:color="auto"/>
                    </w:tcBorders>
                  </w:tcPr>
                  <w:p w14:paraId="144442D8" w14:textId="77777777" w:rsidR="00830E72" w:rsidRDefault="008344D8">
                    <w:pPr>
                      <w:jc w:val="right"/>
                      <w:rPr>
                        <w:szCs w:val="21"/>
                      </w:rPr>
                    </w:pPr>
                    <w:r>
                      <w:rPr>
                        <w:szCs w:val="21"/>
                      </w:rPr>
                      <w:t>73,596,316.49</w:t>
                    </w:r>
                  </w:p>
                </w:tc>
              </w:tr>
              <w:tr w:rsidR="00830E72" w14:paraId="6DB1567E" w14:textId="77777777">
                <w:sdt>
                  <w:sdtPr>
                    <w:tag w:val="_PLD_9a037ee272c84e11aebdce23c3e2fab7"/>
                    <w:id w:val="-559476886"/>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3645C1A6" w14:textId="77777777" w:rsidR="00830E72" w:rsidRDefault="008344D8">
                        <w:pPr>
                          <w:ind w:firstLineChars="200" w:firstLine="420"/>
                          <w:rPr>
                            <w:szCs w:val="21"/>
                          </w:rPr>
                        </w:pPr>
                        <w:r>
                          <w:rPr>
                            <w:rFonts w:hint="eastAsia"/>
                            <w:szCs w:val="21"/>
                          </w:rPr>
                          <w:t>非流动负债合计</w:t>
                        </w:r>
                      </w:p>
                    </w:tc>
                  </w:sdtContent>
                </w:sdt>
                <w:tc>
                  <w:tcPr>
                    <w:tcW w:w="489" w:type="pct"/>
                    <w:tcBorders>
                      <w:top w:val="outset" w:sz="6" w:space="0" w:color="auto"/>
                      <w:left w:val="outset" w:sz="6" w:space="0" w:color="auto"/>
                      <w:bottom w:val="outset" w:sz="6" w:space="0" w:color="auto"/>
                      <w:right w:val="outset" w:sz="6" w:space="0" w:color="auto"/>
                    </w:tcBorders>
                  </w:tcPr>
                  <w:p w14:paraId="2D22D0ED"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BB5E2D9" w14:textId="77777777" w:rsidR="00830E72" w:rsidRDefault="008344D8">
                    <w:pPr>
                      <w:jc w:val="right"/>
                      <w:rPr>
                        <w:szCs w:val="21"/>
                      </w:rPr>
                    </w:pPr>
                    <w:r>
                      <w:rPr>
                        <w:szCs w:val="21"/>
                      </w:rPr>
                      <w:t>823,787,854.67</w:t>
                    </w:r>
                  </w:p>
                </w:tc>
                <w:tc>
                  <w:tcPr>
                    <w:tcW w:w="1333" w:type="pct"/>
                    <w:tcBorders>
                      <w:top w:val="outset" w:sz="6" w:space="0" w:color="auto"/>
                      <w:left w:val="outset" w:sz="6" w:space="0" w:color="auto"/>
                      <w:bottom w:val="outset" w:sz="6" w:space="0" w:color="auto"/>
                      <w:right w:val="outset" w:sz="6" w:space="0" w:color="auto"/>
                    </w:tcBorders>
                  </w:tcPr>
                  <w:p w14:paraId="7BCC74FF" w14:textId="77777777" w:rsidR="00830E72" w:rsidRDefault="008344D8">
                    <w:pPr>
                      <w:jc w:val="right"/>
                      <w:rPr>
                        <w:szCs w:val="21"/>
                      </w:rPr>
                    </w:pPr>
                    <w:r>
                      <w:rPr>
                        <w:szCs w:val="21"/>
                      </w:rPr>
                      <w:t>833,776,846.67</w:t>
                    </w:r>
                  </w:p>
                </w:tc>
              </w:tr>
              <w:tr w:rsidR="00830E72" w14:paraId="2126F10C" w14:textId="77777777">
                <w:sdt>
                  <w:sdtPr>
                    <w:tag w:val="_PLD_233108162bf84d59baba5ef73da9dcd0"/>
                    <w:id w:val="900335093"/>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4750035A" w14:textId="77777777" w:rsidR="00830E72" w:rsidRDefault="008344D8">
                        <w:pPr>
                          <w:ind w:firstLineChars="300" w:firstLine="630"/>
                          <w:rPr>
                            <w:szCs w:val="21"/>
                          </w:rPr>
                        </w:pPr>
                        <w:r>
                          <w:rPr>
                            <w:rFonts w:hint="eastAsia"/>
                            <w:szCs w:val="21"/>
                          </w:rPr>
                          <w:t>负债合计</w:t>
                        </w:r>
                      </w:p>
                    </w:tc>
                  </w:sdtContent>
                </w:sdt>
                <w:tc>
                  <w:tcPr>
                    <w:tcW w:w="489" w:type="pct"/>
                    <w:tcBorders>
                      <w:top w:val="outset" w:sz="6" w:space="0" w:color="auto"/>
                      <w:left w:val="outset" w:sz="6" w:space="0" w:color="auto"/>
                      <w:bottom w:val="outset" w:sz="6" w:space="0" w:color="auto"/>
                      <w:right w:val="outset" w:sz="6" w:space="0" w:color="auto"/>
                    </w:tcBorders>
                  </w:tcPr>
                  <w:p w14:paraId="639D7CF8"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BD017CD" w14:textId="77777777" w:rsidR="00830E72" w:rsidRDefault="008344D8">
                    <w:pPr>
                      <w:jc w:val="right"/>
                      <w:rPr>
                        <w:szCs w:val="21"/>
                      </w:rPr>
                    </w:pPr>
                    <w:r>
                      <w:rPr>
                        <w:szCs w:val="21"/>
                      </w:rPr>
                      <w:t>4,399,332,763.70</w:t>
                    </w:r>
                  </w:p>
                </w:tc>
                <w:tc>
                  <w:tcPr>
                    <w:tcW w:w="1333" w:type="pct"/>
                    <w:tcBorders>
                      <w:top w:val="outset" w:sz="6" w:space="0" w:color="auto"/>
                      <w:left w:val="outset" w:sz="6" w:space="0" w:color="auto"/>
                      <w:bottom w:val="outset" w:sz="6" w:space="0" w:color="auto"/>
                      <w:right w:val="outset" w:sz="6" w:space="0" w:color="auto"/>
                    </w:tcBorders>
                  </w:tcPr>
                  <w:p w14:paraId="692DE7EA" w14:textId="77777777" w:rsidR="00830E72" w:rsidRDefault="008344D8">
                    <w:pPr>
                      <w:jc w:val="right"/>
                      <w:rPr>
                        <w:szCs w:val="21"/>
                      </w:rPr>
                    </w:pPr>
                    <w:r>
                      <w:rPr>
                        <w:szCs w:val="21"/>
                      </w:rPr>
                      <w:t>4,286,489,425.31</w:t>
                    </w:r>
                  </w:p>
                </w:tc>
              </w:tr>
              <w:tr w:rsidR="00830E72" w14:paraId="2EDA2A17" w14:textId="77777777">
                <w:sdt>
                  <w:sdtPr>
                    <w:tag w:val="_PLD_4fe68479676b4c8c840de2211f0c67b8"/>
                    <w:id w:val="-2121290147"/>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6DFA288E" w14:textId="77777777" w:rsidR="00830E72" w:rsidRDefault="008344D8">
                        <w:pPr>
                          <w:rPr>
                            <w:szCs w:val="21"/>
                          </w:rPr>
                        </w:pPr>
                        <w:r>
                          <w:rPr>
                            <w:rFonts w:hint="eastAsia"/>
                            <w:b/>
                            <w:bCs/>
                            <w:szCs w:val="21"/>
                          </w:rPr>
                          <w:t>所有者权益（或股东权益）：</w:t>
                        </w:r>
                      </w:p>
                    </w:tc>
                  </w:sdtContent>
                </w:sdt>
                <w:tc>
                  <w:tcPr>
                    <w:tcW w:w="489" w:type="pct"/>
                    <w:tcBorders>
                      <w:top w:val="outset" w:sz="6" w:space="0" w:color="auto"/>
                      <w:left w:val="outset" w:sz="6" w:space="0" w:color="auto"/>
                      <w:bottom w:val="outset" w:sz="6" w:space="0" w:color="auto"/>
                      <w:right w:val="outset" w:sz="6" w:space="0" w:color="auto"/>
                    </w:tcBorders>
                  </w:tcPr>
                  <w:p w14:paraId="30F2CF91" w14:textId="77777777" w:rsidR="00830E72" w:rsidRDefault="00830E72">
                    <w:pPr>
                      <w:rPr>
                        <w:color w:val="008000"/>
                        <w:szCs w:val="21"/>
                      </w:rPr>
                    </w:pPr>
                  </w:p>
                </w:tc>
                <w:tc>
                  <w:tcPr>
                    <w:tcW w:w="1411" w:type="pct"/>
                    <w:tcBorders>
                      <w:top w:val="outset" w:sz="6" w:space="0" w:color="auto"/>
                      <w:left w:val="outset" w:sz="6" w:space="0" w:color="auto"/>
                      <w:bottom w:val="outset" w:sz="6" w:space="0" w:color="auto"/>
                      <w:right w:val="outset" w:sz="6" w:space="0" w:color="auto"/>
                    </w:tcBorders>
                  </w:tcPr>
                  <w:p w14:paraId="6E11AA71" w14:textId="77777777" w:rsidR="00830E72" w:rsidRDefault="00830E72">
                    <w:pPr>
                      <w:rPr>
                        <w:color w:val="008000"/>
                        <w:szCs w:val="21"/>
                      </w:rPr>
                    </w:pPr>
                  </w:p>
                </w:tc>
                <w:tc>
                  <w:tcPr>
                    <w:tcW w:w="1333" w:type="pct"/>
                    <w:tcBorders>
                      <w:top w:val="outset" w:sz="6" w:space="0" w:color="auto"/>
                      <w:left w:val="outset" w:sz="6" w:space="0" w:color="auto"/>
                      <w:bottom w:val="outset" w:sz="6" w:space="0" w:color="auto"/>
                      <w:right w:val="outset" w:sz="6" w:space="0" w:color="auto"/>
                    </w:tcBorders>
                  </w:tcPr>
                  <w:p w14:paraId="36C496CE" w14:textId="77777777" w:rsidR="00830E72" w:rsidRDefault="00830E72">
                    <w:pPr>
                      <w:rPr>
                        <w:color w:val="008000"/>
                        <w:szCs w:val="21"/>
                      </w:rPr>
                    </w:pPr>
                  </w:p>
                </w:tc>
              </w:tr>
              <w:tr w:rsidR="00830E72" w14:paraId="1473D32C" w14:textId="77777777">
                <w:sdt>
                  <w:sdtPr>
                    <w:tag w:val="_PLD_b456a8ee715b430f8ed57755440db66b"/>
                    <w:id w:val="-2017998168"/>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028D7240" w14:textId="77777777" w:rsidR="00830E72" w:rsidRDefault="008344D8">
                        <w:pPr>
                          <w:ind w:firstLineChars="100" w:firstLine="210"/>
                          <w:rPr>
                            <w:szCs w:val="21"/>
                          </w:rPr>
                        </w:pPr>
                        <w:r>
                          <w:rPr>
                            <w:rFonts w:hint="eastAsia"/>
                            <w:szCs w:val="21"/>
                          </w:rPr>
                          <w:t>实收资本（或股本）</w:t>
                        </w:r>
                      </w:p>
                    </w:tc>
                  </w:sdtContent>
                </w:sdt>
                <w:tc>
                  <w:tcPr>
                    <w:tcW w:w="489" w:type="pct"/>
                    <w:tcBorders>
                      <w:top w:val="outset" w:sz="6" w:space="0" w:color="auto"/>
                      <w:left w:val="outset" w:sz="6" w:space="0" w:color="auto"/>
                      <w:bottom w:val="outset" w:sz="6" w:space="0" w:color="auto"/>
                      <w:right w:val="outset" w:sz="6" w:space="0" w:color="auto"/>
                    </w:tcBorders>
                  </w:tcPr>
                  <w:p w14:paraId="0764B614"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3DA9D2EB" w14:textId="77777777" w:rsidR="00830E72" w:rsidRDefault="008344D8">
                    <w:pPr>
                      <w:jc w:val="right"/>
                      <w:rPr>
                        <w:szCs w:val="21"/>
                      </w:rPr>
                    </w:pPr>
                    <w:r>
                      <w:rPr>
                        <w:szCs w:val="21"/>
                      </w:rPr>
                      <w:t>618,924,235.00</w:t>
                    </w:r>
                  </w:p>
                </w:tc>
                <w:tc>
                  <w:tcPr>
                    <w:tcW w:w="1333" w:type="pct"/>
                    <w:tcBorders>
                      <w:top w:val="outset" w:sz="6" w:space="0" w:color="auto"/>
                      <w:left w:val="outset" w:sz="6" w:space="0" w:color="auto"/>
                      <w:bottom w:val="outset" w:sz="6" w:space="0" w:color="auto"/>
                      <w:right w:val="outset" w:sz="6" w:space="0" w:color="auto"/>
                    </w:tcBorders>
                  </w:tcPr>
                  <w:p w14:paraId="370D4DF0" w14:textId="77777777" w:rsidR="00830E72" w:rsidRDefault="008344D8">
                    <w:pPr>
                      <w:jc w:val="right"/>
                      <w:rPr>
                        <w:szCs w:val="21"/>
                      </w:rPr>
                    </w:pPr>
                    <w:r>
                      <w:rPr>
                        <w:szCs w:val="21"/>
                      </w:rPr>
                      <w:t>499,000,000.00</w:t>
                    </w:r>
                  </w:p>
                </w:tc>
              </w:tr>
              <w:tr w:rsidR="00830E72" w14:paraId="6D690412" w14:textId="77777777">
                <w:sdt>
                  <w:sdtPr>
                    <w:tag w:val="_PLD_f03411a9f0b84565a295b92424cbb955"/>
                    <w:id w:val="-61107428"/>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3A78F070" w14:textId="77777777" w:rsidR="00830E72" w:rsidRDefault="008344D8">
                        <w:pPr>
                          <w:ind w:firstLineChars="100" w:firstLine="210"/>
                          <w:rPr>
                            <w:szCs w:val="21"/>
                          </w:rPr>
                        </w:pPr>
                        <w:r>
                          <w:rPr>
                            <w:rFonts w:hint="eastAsia"/>
                            <w:szCs w:val="21"/>
                          </w:rPr>
                          <w:t>其他权益工具</w:t>
                        </w:r>
                      </w:p>
                    </w:tc>
                  </w:sdtContent>
                </w:sdt>
                <w:tc>
                  <w:tcPr>
                    <w:tcW w:w="489" w:type="pct"/>
                    <w:tcBorders>
                      <w:top w:val="outset" w:sz="6" w:space="0" w:color="auto"/>
                      <w:left w:val="outset" w:sz="6" w:space="0" w:color="auto"/>
                      <w:bottom w:val="outset" w:sz="6" w:space="0" w:color="auto"/>
                      <w:right w:val="outset" w:sz="6" w:space="0" w:color="auto"/>
                    </w:tcBorders>
                  </w:tcPr>
                  <w:p w14:paraId="4CACCE08"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C68DE7A"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E2BB26D" w14:textId="77777777" w:rsidR="00830E72" w:rsidRDefault="00830E72">
                    <w:pPr>
                      <w:jc w:val="right"/>
                      <w:rPr>
                        <w:szCs w:val="21"/>
                      </w:rPr>
                    </w:pPr>
                  </w:p>
                </w:tc>
              </w:tr>
              <w:tr w:rsidR="00830E72" w14:paraId="3E18F18D" w14:textId="77777777">
                <w:sdt>
                  <w:sdtPr>
                    <w:tag w:val="_PLD_c9ec7a87a13f488c86dc6eef623b59eb"/>
                    <w:id w:val="1904327054"/>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70CE05C5" w14:textId="77777777" w:rsidR="00830E72" w:rsidRDefault="008344D8">
                        <w:pPr>
                          <w:ind w:firstLineChars="100" w:firstLine="210"/>
                          <w:rPr>
                            <w:szCs w:val="21"/>
                          </w:rPr>
                        </w:pPr>
                        <w:r>
                          <w:rPr>
                            <w:rFonts w:hint="eastAsia"/>
                            <w:szCs w:val="21"/>
                          </w:rPr>
                          <w:t>其中：优先股</w:t>
                        </w:r>
                      </w:p>
                    </w:tc>
                  </w:sdtContent>
                </w:sdt>
                <w:tc>
                  <w:tcPr>
                    <w:tcW w:w="489" w:type="pct"/>
                    <w:tcBorders>
                      <w:top w:val="outset" w:sz="6" w:space="0" w:color="auto"/>
                      <w:left w:val="outset" w:sz="6" w:space="0" w:color="auto"/>
                      <w:bottom w:val="outset" w:sz="6" w:space="0" w:color="auto"/>
                      <w:right w:val="outset" w:sz="6" w:space="0" w:color="auto"/>
                    </w:tcBorders>
                  </w:tcPr>
                  <w:p w14:paraId="2AC051AD"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F0A1E1C"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231DDDB" w14:textId="77777777" w:rsidR="00830E72" w:rsidRDefault="00830E72">
                    <w:pPr>
                      <w:jc w:val="right"/>
                      <w:rPr>
                        <w:szCs w:val="21"/>
                      </w:rPr>
                    </w:pPr>
                  </w:p>
                </w:tc>
              </w:tr>
              <w:tr w:rsidR="00830E72" w14:paraId="721CF0BA" w14:textId="77777777">
                <w:sdt>
                  <w:sdtPr>
                    <w:tag w:val="_PLD_cb955a4562374c1795f3fa8ff4b3341b"/>
                    <w:id w:val="-201097965"/>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5DF783A4" w14:textId="77777777" w:rsidR="00830E72" w:rsidRDefault="008344D8">
                        <w:pPr>
                          <w:ind w:leftChars="300" w:left="630" w:firstLineChars="100" w:firstLine="210"/>
                          <w:rPr>
                            <w:szCs w:val="21"/>
                          </w:rPr>
                        </w:pPr>
                        <w:r>
                          <w:rPr>
                            <w:rFonts w:hint="eastAsia"/>
                            <w:szCs w:val="21"/>
                          </w:rPr>
                          <w:t>永续债</w:t>
                        </w:r>
                      </w:p>
                    </w:tc>
                  </w:sdtContent>
                </w:sdt>
                <w:tc>
                  <w:tcPr>
                    <w:tcW w:w="489" w:type="pct"/>
                    <w:tcBorders>
                      <w:top w:val="outset" w:sz="6" w:space="0" w:color="auto"/>
                      <w:left w:val="outset" w:sz="6" w:space="0" w:color="auto"/>
                      <w:bottom w:val="outset" w:sz="6" w:space="0" w:color="auto"/>
                      <w:right w:val="outset" w:sz="6" w:space="0" w:color="auto"/>
                    </w:tcBorders>
                  </w:tcPr>
                  <w:p w14:paraId="7B82071C"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657C9E3"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0E8E81A" w14:textId="77777777" w:rsidR="00830E72" w:rsidRDefault="00830E72">
                    <w:pPr>
                      <w:jc w:val="right"/>
                      <w:rPr>
                        <w:szCs w:val="21"/>
                      </w:rPr>
                    </w:pPr>
                  </w:p>
                </w:tc>
              </w:tr>
              <w:tr w:rsidR="00830E72" w14:paraId="3342F4F4" w14:textId="77777777">
                <w:sdt>
                  <w:sdtPr>
                    <w:tag w:val="_PLD_e6837305adaf4d9aba334aa74c5bef79"/>
                    <w:id w:val="842199710"/>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5B4C141E" w14:textId="77777777" w:rsidR="00830E72" w:rsidRDefault="008344D8">
                        <w:pPr>
                          <w:ind w:firstLineChars="100" w:firstLine="210"/>
                          <w:rPr>
                            <w:szCs w:val="21"/>
                          </w:rPr>
                        </w:pPr>
                        <w:r>
                          <w:rPr>
                            <w:rFonts w:hint="eastAsia"/>
                            <w:szCs w:val="21"/>
                          </w:rPr>
                          <w:t>资本公积</w:t>
                        </w:r>
                      </w:p>
                    </w:tc>
                  </w:sdtContent>
                </w:sdt>
                <w:tc>
                  <w:tcPr>
                    <w:tcW w:w="489" w:type="pct"/>
                    <w:tcBorders>
                      <w:top w:val="outset" w:sz="6" w:space="0" w:color="auto"/>
                      <w:left w:val="outset" w:sz="6" w:space="0" w:color="auto"/>
                      <w:bottom w:val="outset" w:sz="6" w:space="0" w:color="auto"/>
                      <w:right w:val="outset" w:sz="6" w:space="0" w:color="auto"/>
                    </w:tcBorders>
                  </w:tcPr>
                  <w:p w14:paraId="10ACA92E"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AE2FADD" w14:textId="77777777" w:rsidR="00830E72" w:rsidRDefault="008344D8">
                    <w:pPr>
                      <w:jc w:val="right"/>
                      <w:rPr>
                        <w:szCs w:val="21"/>
                      </w:rPr>
                    </w:pPr>
                    <w:r>
                      <w:rPr>
                        <w:szCs w:val="21"/>
                      </w:rPr>
                      <w:t>951,323,345.38</w:t>
                    </w:r>
                  </w:p>
                </w:tc>
                <w:tc>
                  <w:tcPr>
                    <w:tcW w:w="1333" w:type="pct"/>
                    <w:tcBorders>
                      <w:top w:val="outset" w:sz="6" w:space="0" w:color="auto"/>
                      <w:left w:val="outset" w:sz="6" w:space="0" w:color="auto"/>
                      <w:bottom w:val="outset" w:sz="6" w:space="0" w:color="auto"/>
                      <w:right w:val="outset" w:sz="6" w:space="0" w:color="auto"/>
                    </w:tcBorders>
                  </w:tcPr>
                  <w:p w14:paraId="00BED01F" w14:textId="77777777" w:rsidR="00830E72" w:rsidRDefault="008344D8">
                    <w:pPr>
                      <w:jc w:val="right"/>
                      <w:rPr>
                        <w:szCs w:val="21"/>
                      </w:rPr>
                    </w:pPr>
                    <w:r>
                      <w:rPr>
                        <w:szCs w:val="21"/>
                      </w:rPr>
                      <w:t>212,034,615.01</w:t>
                    </w:r>
                  </w:p>
                </w:tc>
              </w:tr>
              <w:tr w:rsidR="00830E72" w14:paraId="760CE8D0" w14:textId="77777777">
                <w:sdt>
                  <w:sdtPr>
                    <w:tag w:val="_PLD_a0bc7febf8c447638471a1616647725d"/>
                    <w:id w:val="820766741"/>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2ABBF741" w14:textId="77777777" w:rsidR="00830E72" w:rsidRDefault="008344D8">
                        <w:pPr>
                          <w:ind w:firstLineChars="100" w:firstLine="210"/>
                          <w:rPr>
                            <w:szCs w:val="21"/>
                          </w:rPr>
                        </w:pPr>
                        <w:r>
                          <w:rPr>
                            <w:rFonts w:hint="eastAsia"/>
                            <w:szCs w:val="21"/>
                          </w:rPr>
                          <w:t>减：库存股</w:t>
                        </w:r>
                      </w:p>
                    </w:tc>
                  </w:sdtContent>
                </w:sdt>
                <w:tc>
                  <w:tcPr>
                    <w:tcW w:w="489" w:type="pct"/>
                    <w:tcBorders>
                      <w:top w:val="outset" w:sz="6" w:space="0" w:color="auto"/>
                      <w:left w:val="outset" w:sz="6" w:space="0" w:color="auto"/>
                      <w:bottom w:val="outset" w:sz="6" w:space="0" w:color="auto"/>
                      <w:right w:val="outset" w:sz="6" w:space="0" w:color="auto"/>
                    </w:tcBorders>
                  </w:tcPr>
                  <w:p w14:paraId="080949F4"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766BC7D"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B59FB5C" w14:textId="77777777" w:rsidR="00830E72" w:rsidRDefault="00830E72">
                    <w:pPr>
                      <w:jc w:val="right"/>
                      <w:rPr>
                        <w:szCs w:val="21"/>
                      </w:rPr>
                    </w:pPr>
                  </w:p>
                </w:tc>
              </w:tr>
              <w:tr w:rsidR="00830E72" w14:paraId="21B6CC27" w14:textId="77777777">
                <w:sdt>
                  <w:sdtPr>
                    <w:tag w:val="_PLD_ed778b8c2aaa425cb45af63fe0d20a4d"/>
                    <w:id w:val="1550803929"/>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684C5F15" w14:textId="77777777" w:rsidR="00830E72" w:rsidRDefault="008344D8">
                        <w:pPr>
                          <w:ind w:firstLineChars="100" w:firstLine="210"/>
                          <w:rPr>
                            <w:szCs w:val="21"/>
                          </w:rPr>
                        </w:pPr>
                        <w:r>
                          <w:rPr>
                            <w:rFonts w:hint="eastAsia"/>
                            <w:szCs w:val="21"/>
                          </w:rPr>
                          <w:t>其他综合收益</w:t>
                        </w:r>
                      </w:p>
                    </w:tc>
                  </w:sdtContent>
                </w:sdt>
                <w:tc>
                  <w:tcPr>
                    <w:tcW w:w="489" w:type="pct"/>
                    <w:tcBorders>
                      <w:top w:val="outset" w:sz="6" w:space="0" w:color="auto"/>
                      <w:left w:val="outset" w:sz="6" w:space="0" w:color="auto"/>
                      <w:bottom w:val="outset" w:sz="6" w:space="0" w:color="auto"/>
                      <w:right w:val="outset" w:sz="6" w:space="0" w:color="auto"/>
                    </w:tcBorders>
                  </w:tcPr>
                  <w:p w14:paraId="54E89BA5"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AA7DBCF"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4A8905C" w14:textId="77777777" w:rsidR="00830E72" w:rsidRDefault="00830E72">
                    <w:pPr>
                      <w:jc w:val="right"/>
                      <w:rPr>
                        <w:szCs w:val="21"/>
                      </w:rPr>
                    </w:pPr>
                  </w:p>
                </w:tc>
              </w:tr>
              <w:tr w:rsidR="00830E72" w14:paraId="16AC5AC3" w14:textId="77777777">
                <w:sdt>
                  <w:sdtPr>
                    <w:tag w:val="_PLD_88ef3a1b7ae6448183de3fe2b91f7cd5"/>
                    <w:id w:val="-180131591"/>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7CC2A684" w14:textId="77777777" w:rsidR="00830E72" w:rsidRDefault="008344D8">
                        <w:pPr>
                          <w:ind w:firstLineChars="100" w:firstLine="210"/>
                          <w:rPr>
                            <w:szCs w:val="21"/>
                          </w:rPr>
                        </w:pPr>
                        <w:r>
                          <w:rPr>
                            <w:rFonts w:hint="eastAsia"/>
                            <w:szCs w:val="21"/>
                          </w:rPr>
                          <w:t>专项储备</w:t>
                        </w:r>
                      </w:p>
                    </w:tc>
                  </w:sdtContent>
                </w:sdt>
                <w:tc>
                  <w:tcPr>
                    <w:tcW w:w="489" w:type="pct"/>
                    <w:tcBorders>
                      <w:top w:val="outset" w:sz="6" w:space="0" w:color="auto"/>
                      <w:left w:val="outset" w:sz="6" w:space="0" w:color="auto"/>
                      <w:bottom w:val="outset" w:sz="6" w:space="0" w:color="auto"/>
                      <w:right w:val="outset" w:sz="6" w:space="0" w:color="auto"/>
                    </w:tcBorders>
                  </w:tcPr>
                  <w:p w14:paraId="527B188D"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769CA23" w14:textId="77777777" w:rsidR="00830E72" w:rsidRDefault="008344D8">
                    <w:pPr>
                      <w:jc w:val="right"/>
                      <w:rPr>
                        <w:szCs w:val="21"/>
                      </w:rPr>
                    </w:pPr>
                    <w:r>
                      <w:rPr>
                        <w:szCs w:val="21"/>
                      </w:rPr>
                      <w:t>15,908,148.00</w:t>
                    </w:r>
                  </w:p>
                </w:tc>
                <w:tc>
                  <w:tcPr>
                    <w:tcW w:w="1333" w:type="pct"/>
                    <w:tcBorders>
                      <w:top w:val="outset" w:sz="6" w:space="0" w:color="auto"/>
                      <w:left w:val="outset" w:sz="6" w:space="0" w:color="auto"/>
                      <w:bottom w:val="outset" w:sz="6" w:space="0" w:color="auto"/>
                      <w:right w:val="outset" w:sz="6" w:space="0" w:color="auto"/>
                    </w:tcBorders>
                  </w:tcPr>
                  <w:p w14:paraId="107C96A8" w14:textId="77777777" w:rsidR="00830E72" w:rsidRDefault="008344D8">
                    <w:pPr>
                      <w:jc w:val="right"/>
                      <w:rPr>
                        <w:szCs w:val="21"/>
                      </w:rPr>
                    </w:pPr>
                    <w:r>
                      <w:rPr>
                        <w:szCs w:val="21"/>
                      </w:rPr>
                      <w:t>15,436,784.81</w:t>
                    </w:r>
                  </w:p>
                </w:tc>
              </w:tr>
              <w:tr w:rsidR="00830E72" w14:paraId="790043EC" w14:textId="77777777">
                <w:sdt>
                  <w:sdtPr>
                    <w:tag w:val="_PLD_9f1157091e4b41f7b980273a3e11b2e5"/>
                    <w:id w:val="668442762"/>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6D22B95D" w14:textId="77777777" w:rsidR="00830E72" w:rsidRDefault="008344D8">
                        <w:pPr>
                          <w:ind w:firstLineChars="100" w:firstLine="210"/>
                          <w:rPr>
                            <w:szCs w:val="21"/>
                          </w:rPr>
                        </w:pPr>
                        <w:r>
                          <w:rPr>
                            <w:rFonts w:hint="eastAsia"/>
                            <w:szCs w:val="21"/>
                          </w:rPr>
                          <w:t>盈余公积</w:t>
                        </w:r>
                      </w:p>
                    </w:tc>
                  </w:sdtContent>
                </w:sdt>
                <w:tc>
                  <w:tcPr>
                    <w:tcW w:w="489" w:type="pct"/>
                    <w:tcBorders>
                      <w:top w:val="outset" w:sz="6" w:space="0" w:color="auto"/>
                      <w:left w:val="outset" w:sz="6" w:space="0" w:color="auto"/>
                      <w:bottom w:val="outset" w:sz="6" w:space="0" w:color="auto"/>
                      <w:right w:val="outset" w:sz="6" w:space="0" w:color="auto"/>
                    </w:tcBorders>
                  </w:tcPr>
                  <w:p w14:paraId="682E0C69"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99EFA13" w14:textId="77777777" w:rsidR="00830E72" w:rsidRDefault="008344D8">
                    <w:pPr>
                      <w:jc w:val="right"/>
                      <w:rPr>
                        <w:szCs w:val="21"/>
                      </w:rPr>
                    </w:pPr>
                    <w:r>
                      <w:rPr>
                        <w:szCs w:val="21"/>
                      </w:rPr>
                      <w:t>44,344,922.59</w:t>
                    </w:r>
                  </w:p>
                </w:tc>
                <w:tc>
                  <w:tcPr>
                    <w:tcW w:w="1333" w:type="pct"/>
                    <w:tcBorders>
                      <w:top w:val="outset" w:sz="6" w:space="0" w:color="auto"/>
                      <w:left w:val="outset" w:sz="6" w:space="0" w:color="auto"/>
                      <w:bottom w:val="outset" w:sz="6" w:space="0" w:color="auto"/>
                      <w:right w:val="outset" w:sz="6" w:space="0" w:color="auto"/>
                    </w:tcBorders>
                  </w:tcPr>
                  <w:p w14:paraId="72EC9440" w14:textId="77777777" w:rsidR="00830E72" w:rsidRDefault="008344D8">
                    <w:pPr>
                      <w:jc w:val="right"/>
                      <w:rPr>
                        <w:szCs w:val="21"/>
                      </w:rPr>
                    </w:pPr>
                    <w:r>
                      <w:rPr>
                        <w:szCs w:val="21"/>
                      </w:rPr>
                      <w:t>44,344,922.59</w:t>
                    </w:r>
                  </w:p>
                </w:tc>
              </w:tr>
              <w:tr w:rsidR="00830E72" w14:paraId="7F30E657" w14:textId="77777777">
                <w:sdt>
                  <w:sdtPr>
                    <w:tag w:val="_PLD_c223f5905b0e4651a5a022690a7a5a1c"/>
                    <w:id w:val="721482625"/>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1A3AAB80" w14:textId="77777777" w:rsidR="00830E72" w:rsidRDefault="008344D8">
                        <w:pPr>
                          <w:ind w:firstLineChars="100" w:firstLine="210"/>
                          <w:rPr>
                            <w:szCs w:val="21"/>
                          </w:rPr>
                        </w:pPr>
                        <w:r>
                          <w:rPr>
                            <w:rFonts w:hint="eastAsia"/>
                            <w:szCs w:val="21"/>
                          </w:rPr>
                          <w:t>一般风险准备</w:t>
                        </w:r>
                      </w:p>
                    </w:tc>
                  </w:sdtContent>
                </w:sdt>
                <w:tc>
                  <w:tcPr>
                    <w:tcW w:w="489" w:type="pct"/>
                    <w:tcBorders>
                      <w:top w:val="outset" w:sz="6" w:space="0" w:color="auto"/>
                      <w:left w:val="outset" w:sz="6" w:space="0" w:color="auto"/>
                      <w:bottom w:val="outset" w:sz="6" w:space="0" w:color="auto"/>
                      <w:right w:val="outset" w:sz="6" w:space="0" w:color="auto"/>
                    </w:tcBorders>
                  </w:tcPr>
                  <w:p w14:paraId="57D1FD3A"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DEC8EF6" w14:textId="77777777" w:rsidR="00830E72" w:rsidRDefault="00830E7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73534A1" w14:textId="77777777" w:rsidR="00830E72" w:rsidRDefault="00830E72">
                    <w:pPr>
                      <w:jc w:val="right"/>
                      <w:rPr>
                        <w:szCs w:val="21"/>
                      </w:rPr>
                    </w:pPr>
                  </w:p>
                </w:tc>
              </w:tr>
              <w:tr w:rsidR="00830E72" w14:paraId="3801BFF7" w14:textId="77777777">
                <w:sdt>
                  <w:sdtPr>
                    <w:tag w:val="_PLD_c329719465d9412cab74b5424ac30bd4"/>
                    <w:id w:val="1575704233"/>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1201A05A" w14:textId="77777777" w:rsidR="00830E72" w:rsidRDefault="008344D8">
                        <w:pPr>
                          <w:ind w:firstLineChars="100" w:firstLine="210"/>
                          <w:rPr>
                            <w:szCs w:val="21"/>
                          </w:rPr>
                        </w:pPr>
                        <w:r>
                          <w:rPr>
                            <w:rFonts w:hint="eastAsia"/>
                            <w:szCs w:val="21"/>
                          </w:rPr>
                          <w:t>未分配利润</w:t>
                        </w:r>
                      </w:p>
                    </w:tc>
                  </w:sdtContent>
                </w:sdt>
                <w:tc>
                  <w:tcPr>
                    <w:tcW w:w="489" w:type="pct"/>
                    <w:tcBorders>
                      <w:top w:val="outset" w:sz="6" w:space="0" w:color="auto"/>
                      <w:left w:val="outset" w:sz="6" w:space="0" w:color="auto"/>
                      <w:bottom w:val="outset" w:sz="6" w:space="0" w:color="auto"/>
                      <w:right w:val="outset" w:sz="6" w:space="0" w:color="auto"/>
                    </w:tcBorders>
                  </w:tcPr>
                  <w:p w14:paraId="63716333"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FF798D0" w14:textId="77777777" w:rsidR="00830E72" w:rsidRDefault="008344D8">
                    <w:pPr>
                      <w:jc w:val="right"/>
                      <w:rPr>
                        <w:szCs w:val="21"/>
                      </w:rPr>
                    </w:pPr>
                    <w:r>
                      <w:rPr>
                        <w:szCs w:val="21"/>
                      </w:rPr>
                      <w:t>377,602,361.07</w:t>
                    </w:r>
                  </w:p>
                </w:tc>
                <w:tc>
                  <w:tcPr>
                    <w:tcW w:w="1333" w:type="pct"/>
                    <w:tcBorders>
                      <w:top w:val="outset" w:sz="6" w:space="0" w:color="auto"/>
                      <w:left w:val="outset" w:sz="6" w:space="0" w:color="auto"/>
                      <w:bottom w:val="outset" w:sz="6" w:space="0" w:color="auto"/>
                      <w:right w:val="outset" w:sz="6" w:space="0" w:color="auto"/>
                    </w:tcBorders>
                    <w:vAlign w:val="center"/>
                  </w:tcPr>
                  <w:p w14:paraId="28AE0BA7" w14:textId="122DE528" w:rsidR="00830E72" w:rsidRDefault="008344D8">
                    <w:pPr>
                      <w:jc w:val="right"/>
                      <w:rPr>
                        <w:szCs w:val="21"/>
                      </w:rPr>
                    </w:pPr>
                    <w:r>
                      <w:rPr>
                        <w:szCs w:val="21"/>
                      </w:rPr>
                      <w:t>358,</w:t>
                    </w:r>
                    <w:r w:rsidR="0092322D">
                      <w:rPr>
                        <w:szCs w:val="21"/>
                      </w:rPr>
                      <w:t>296</w:t>
                    </w:r>
                    <w:r>
                      <w:rPr>
                        <w:szCs w:val="21"/>
                      </w:rPr>
                      <w:t>,</w:t>
                    </w:r>
                    <w:r w:rsidR="0092322D">
                      <w:rPr>
                        <w:szCs w:val="21"/>
                      </w:rPr>
                      <w:t>774</w:t>
                    </w:r>
                    <w:r>
                      <w:rPr>
                        <w:szCs w:val="21"/>
                      </w:rPr>
                      <w:t>.</w:t>
                    </w:r>
                    <w:r w:rsidR="0092322D">
                      <w:rPr>
                        <w:szCs w:val="21"/>
                      </w:rPr>
                      <w:t>06</w:t>
                    </w:r>
                  </w:p>
                </w:tc>
              </w:tr>
              <w:tr w:rsidR="00830E72" w14:paraId="736B50BE" w14:textId="77777777">
                <w:sdt>
                  <w:sdtPr>
                    <w:tag w:val="_PLD_09fcb4ca82f14307ab214d34a90b9ef2"/>
                    <w:id w:val="-1440835924"/>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362E2658" w14:textId="77777777" w:rsidR="00830E72" w:rsidRDefault="008344D8">
                        <w:pPr>
                          <w:ind w:firstLineChars="100" w:firstLine="210"/>
                          <w:rPr>
                            <w:szCs w:val="21"/>
                          </w:rPr>
                        </w:pPr>
                        <w:r>
                          <w:rPr>
                            <w:rFonts w:hint="eastAsia"/>
                          </w:rPr>
                          <w:t>归属于母公司所有者权益（或股东权益）合计</w:t>
                        </w:r>
                      </w:p>
                    </w:tc>
                  </w:sdtContent>
                </w:sdt>
                <w:tc>
                  <w:tcPr>
                    <w:tcW w:w="489" w:type="pct"/>
                    <w:tcBorders>
                      <w:top w:val="outset" w:sz="6" w:space="0" w:color="auto"/>
                      <w:left w:val="outset" w:sz="6" w:space="0" w:color="auto"/>
                      <w:bottom w:val="outset" w:sz="6" w:space="0" w:color="auto"/>
                      <w:right w:val="outset" w:sz="6" w:space="0" w:color="auto"/>
                    </w:tcBorders>
                  </w:tcPr>
                  <w:p w14:paraId="2381DFFA"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87A43C6" w14:textId="77777777" w:rsidR="00830E72" w:rsidRDefault="008344D8">
                    <w:pPr>
                      <w:jc w:val="right"/>
                      <w:rPr>
                        <w:szCs w:val="21"/>
                      </w:rPr>
                    </w:pPr>
                    <w:r>
                      <w:rPr>
                        <w:szCs w:val="21"/>
                      </w:rPr>
                      <w:t>2,008,103,012.04</w:t>
                    </w:r>
                  </w:p>
                </w:tc>
                <w:tc>
                  <w:tcPr>
                    <w:tcW w:w="1333" w:type="pct"/>
                    <w:tcBorders>
                      <w:top w:val="outset" w:sz="6" w:space="0" w:color="auto"/>
                      <w:left w:val="outset" w:sz="6" w:space="0" w:color="auto"/>
                      <w:bottom w:val="outset" w:sz="6" w:space="0" w:color="auto"/>
                      <w:right w:val="outset" w:sz="6" w:space="0" w:color="auto"/>
                    </w:tcBorders>
                    <w:vAlign w:val="center"/>
                  </w:tcPr>
                  <w:p w14:paraId="1586E77D" w14:textId="77777777" w:rsidR="00830E72" w:rsidRDefault="008344D8">
                    <w:pPr>
                      <w:jc w:val="right"/>
                      <w:rPr>
                        <w:szCs w:val="21"/>
                      </w:rPr>
                    </w:pPr>
                    <w:r>
                      <w:rPr>
                        <w:szCs w:val="21"/>
                      </w:rPr>
                      <w:t>1,129,113,096.47</w:t>
                    </w:r>
                  </w:p>
                </w:tc>
              </w:tr>
              <w:tr w:rsidR="00830E72" w14:paraId="36956776" w14:textId="77777777">
                <w:sdt>
                  <w:sdtPr>
                    <w:tag w:val="_PLD_ba9844f67b5f427c8b672b584512bc30"/>
                    <w:id w:val="218553602"/>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77057AE9" w14:textId="77777777" w:rsidR="00830E72" w:rsidRDefault="008344D8">
                        <w:pPr>
                          <w:ind w:firstLineChars="100" w:firstLine="210"/>
                          <w:rPr>
                            <w:szCs w:val="21"/>
                          </w:rPr>
                        </w:pPr>
                        <w:r>
                          <w:rPr>
                            <w:rFonts w:hint="eastAsia"/>
                            <w:szCs w:val="21"/>
                          </w:rPr>
                          <w:t>少数股东权益</w:t>
                        </w:r>
                      </w:p>
                    </w:tc>
                  </w:sdtContent>
                </w:sdt>
                <w:tc>
                  <w:tcPr>
                    <w:tcW w:w="489" w:type="pct"/>
                    <w:tcBorders>
                      <w:top w:val="outset" w:sz="6" w:space="0" w:color="auto"/>
                      <w:left w:val="outset" w:sz="6" w:space="0" w:color="auto"/>
                      <w:bottom w:val="outset" w:sz="6" w:space="0" w:color="auto"/>
                      <w:right w:val="outset" w:sz="6" w:space="0" w:color="auto"/>
                    </w:tcBorders>
                  </w:tcPr>
                  <w:p w14:paraId="28494072"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D3A1C60" w14:textId="77777777" w:rsidR="00830E72" w:rsidRDefault="008344D8">
                    <w:pPr>
                      <w:jc w:val="right"/>
                      <w:rPr>
                        <w:szCs w:val="21"/>
                      </w:rPr>
                    </w:pPr>
                    <w:r>
                      <w:rPr>
                        <w:szCs w:val="21"/>
                      </w:rPr>
                      <w:t>62,075,482.97</w:t>
                    </w:r>
                  </w:p>
                </w:tc>
                <w:tc>
                  <w:tcPr>
                    <w:tcW w:w="1333" w:type="pct"/>
                    <w:tcBorders>
                      <w:top w:val="outset" w:sz="6" w:space="0" w:color="auto"/>
                      <w:left w:val="outset" w:sz="6" w:space="0" w:color="auto"/>
                      <w:bottom w:val="outset" w:sz="6" w:space="0" w:color="auto"/>
                      <w:right w:val="outset" w:sz="6" w:space="0" w:color="auto"/>
                    </w:tcBorders>
                    <w:vAlign w:val="center"/>
                  </w:tcPr>
                  <w:p w14:paraId="595F42E0" w14:textId="77777777" w:rsidR="00830E72" w:rsidRDefault="008344D8">
                    <w:pPr>
                      <w:jc w:val="right"/>
                      <w:rPr>
                        <w:szCs w:val="21"/>
                      </w:rPr>
                    </w:pPr>
                    <w:r>
                      <w:rPr>
                        <w:szCs w:val="21"/>
                      </w:rPr>
                      <w:t>60,094,275.37</w:t>
                    </w:r>
                  </w:p>
                </w:tc>
              </w:tr>
              <w:tr w:rsidR="00830E72" w14:paraId="5A5CF27D" w14:textId="77777777">
                <w:sdt>
                  <w:sdtPr>
                    <w:tag w:val="_PLD_49d0693ecf324c179ed30b3065d9fd15"/>
                    <w:id w:val="-1663928186"/>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1CAEFCC6" w14:textId="77777777" w:rsidR="00830E72" w:rsidRDefault="008344D8">
                        <w:pPr>
                          <w:ind w:firstLineChars="200" w:firstLine="420"/>
                          <w:rPr>
                            <w:szCs w:val="21"/>
                          </w:rPr>
                        </w:pPr>
                        <w:r>
                          <w:rPr>
                            <w:rFonts w:hint="eastAsia"/>
                          </w:rPr>
                          <w:t>所有者权益（或股东权益）合计</w:t>
                        </w:r>
                      </w:p>
                    </w:tc>
                  </w:sdtContent>
                </w:sdt>
                <w:tc>
                  <w:tcPr>
                    <w:tcW w:w="489" w:type="pct"/>
                    <w:tcBorders>
                      <w:top w:val="outset" w:sz="6" w:space="0" w:color="auto"/>
                      <w:left w:val="outset" w:sz="6" w:space="0" w:color="auto"/>
                      <w:bottom w:val="outset" w:sz="6" w:space="0" w:color="auto"/>
                      <w:right w:val="outset" w:sz="6" w:space="0" w:color="auto"/>
                    </w:tcBorders>
                  </w:tcPr>
                  <w:p w14:paraId="002408C8"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17193C3" w14:textId="77777777" w:rsidR="00830E72" w:rsidRDefault="008344D8">
                    <w:pPr>
                      <w:jc w:val="right"/>
                      <w:rPr>
                        <w:szCs w:val="21"/>
                      </w:rPr>
                    </w:pPr>
                    <w:r>
                      <w:rPr>
                        <w:szCs w:val="21"/>
                      </w:rPr>
                      <w:t>2,070,178,495.01</w:t>
                    </w:r>
                  </w:p>
                </w:tc>
                <w:tc>
                  <w:tcPr>
                    <w:tcW w:w="1333" w:type="pct"/>
                    <w:tcBorders>
                      <w:top w:val="outset" w:sz="6" w:space="0" w:color="auto"/>
                      <w:left w:val="outset" w:sz="6" w:space="0" w:color="auto"/>
                      <w:bottom w:val="outset" w:sz="6" w:space="0" w:color="auto"/>
                      <w:right w:val="outset" w:sz="6" w:space="0" w:color="auto"/>
                    </w:tcBorders>
                    <w:vAlign w:val="center"/>
                  </w:tcPr>
                  <w:p w14:paraId="7D3E4EAB" w14:textId="77777777" w:rsidR="00830E72" w:rsidRDefault="008344D8">
                    <w:pPr>
                      <w:jc w:val="right"/>
                      <w:rPr>
                        <w:szCs w:val="21"/>
                      </w:rPr>
                    </w:pPr>
                    <w:r>
                      <w:rPr>
                        <w:szCs w:val="21"/>
                      </w:rPr>
                      <w:t>1,189,207,371.84</w:t>
                    </w:r>
                  </w:p>
                </w:tc>
              </w:tr>
              <w:tr w:rsidR="00830E72" w14:paraId="3611377E" w14:textId="77777777">
                <w:sdt>
                  <w:sdtPr>
                    <w:tag w:val="_PLD_def9f9081ac845ec93bbb1e70817d650"/>
                    <w:id w:val="512890553"/>
                    <w:lock w:val="sdtLocked"/>
                  </w:sdtPr>
                  <w:sdtEndPr/>
                  <w:sdtContent>
                    <w:tc>
                      <w:tcPr>
                        <w:tcW w:w="1766" w:type="pct"/>
                        <w:tcBorders>
                          <w:top w:val="outset" w:sz="6" w:space="0" w:color="auto"/>
                          <w:left w:val="outset" w:sz="6" w:space="0" w:color="auto"/>
                          <w:bottom w:val="outset" w:sz="6" w:space="0" w:color="auto"/>
                          <w:right w:val="outset" w:sz="6" w:space="0" w:color="auto"/>
                        </w:tcBorders>
                        <w:vAlign w:val="center"/>
                      </w:tcPr>
                      <w:p w14:paraId="3ACF8817" w14:textId="77777777" w:rsidR="00830E72" w:rsidRDefault="008344D8">
                        <w:pPr>
                          <w:ind w:firstLineChars="300" w:firstLine="630"/>
                          <w:rPr>
                            <w:szCs w:val="21"/>
                          </w:rPr>
                        </w:pPr>
                        <w:r>
                          <w:rPr>
                            <w:rFonts w:hint="eastAsia"/>
                            <w:szCs w:val="21"/>
                          </w:rPr>
                          <w:t>负债和所有者权益（或股东权益）总计</w:t>
                        </w:r>
                      </w:p>
                    </w:tc>
                  </w:sdtContent>
                </w:sdt>
                <w:tc>
                  <w:tcPr>
                    <w:tcW w:w="489" w:type="pct"/>
                    <w:tcBorders>
                      <w:top w:val="outset" w:sz="6" w:space="0" w:color="auto"/>
                      <w:left w:val="outset" w:sz="6" w:space="0" w:color="auto"/>
                      <w:bottom w:val="outset" w:sz="6" w:space="0" w:color="auto"/>
                      <w:right w:val="outset" w:sz="6" w:space="0" w:color="auto"/>
                    </w:tcBorders>
                  </w:tcPr>
                  <w:p w14:paraId="46A4BCA9" w14:textId="77777777" w:rsidR="00830E72" w:rsidRDefault="00830E7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8E68539" w14:textId="77777777" w:rsidR="00830E72" w:rsidRDefault="008344D8">
                    <w:pPr>
                      <w:jc w:val="right"/>
                      <w:rPr>
                        <w:szCs w:val="21"/>
                      </w:rPr>
                    </w:pPr>
                    <w:r>
                      <w:rPr>
                        <w:szCs w:val="21"/>
                      </w:rPr>
                      <w:t>6,469,511,258.71</w:t>
                    </w:r>
                  </w:p>
                </w:tc>
                <w:tc>
                  <w:tcPr>
                    <w:tcW w:w="1333" w:type="pct"/>
                    <w:tcBorders>
                      <w:top w:val="outset" w:sz="6" w:space="0" w:color="auto"/>
                      <w:left w:val="outset" w:sz="6" w:space="0" w:color="auto"/>
                      <w:bottom w:val="outset" w:sz="6" w:space="0" w:color="auto"/>
                      <w:right w:val="outset" w:sz="6" w:space="0" w:color="auto"/>
                    </w:tcBorders>
                    <w:vAlign w:val="center"/>
                  </w:tcPr>
                  <w:p w14:paraId="7E91AFC6" w14:textId="77777777" w:rsidR="00830E72" w:rsidRDefault="008344D8">
                    <w:pPr>
                      <w:jc w:val="right"/>
                      <w:rPr>
                        <w:szCs w:val="21"/>
                      </w:rPr>
                    </w:pPr>
                    <w:r>
                      <w:rPr>
                        <w:szCs w:val="21"/>
                      </w:rPr>
                      <w:t>5,475,696,797.15</w:t>
                    </w:r>
                  </w:p>
                </w:tc>
              </w:tr>
            </w:tbl>
            <w:p w14:paraId="4D8A9A4A" w14:textId="77777777" w:rsidR="00830E72" w:rsidRDefault="00830E72"/>
            <w:p w14:paraId="594DE797" w14:textId="77777777" w:rsidR="00830E72" w:rsidRDefault="008344D8">
              <w:pPr>
                <w:ind w:rightChars="-73" w:right="-153"/>
                <w:rPr>
                  <w:color w:val="008000"/>
                  <w:szCs w:val="21"/>
                  <w:u w:val="single"/>
                </w:rPr>
              </w:pPr>
              <w:r>
                <w:rPr>
                  <w:szCs w:val="21"/>
                </w:rPr>
                <w:t>公司负责人</w:t>
              </w:r>
              <w:r>
                <w:rPr>
                  <w:rFonts w:hint="eastAsia"/>
                  <w:szCs w:val="21"/>
                </w:rPr>
                <w:t>：</w:t>
              </w:r>
              <w:sdt>
                <w:sdtPr>
                  <w:rPr>
                    <w:rFonts w:hint="eastAsia"/>
                    <w:szCs w:val="21"/>
                  </w:rPr>
                  <w:alias w:val="公司负责人"/>
                  <w:tag w:val="_GBC_82350876809b4479afe9f3c55db147dd"/>
                  <w:id w:val="-1291205051"/>
                  <w:lock w:val="sdtLocked"/>
                  <w:placeholder>
                    <w:docPart w:val="GBC22222222222222222222222222222"/>
                  </w:placeholder>
                  <w:text/>
                </w:sdtPr>
                <w:sdtEndPr/>
                <w:sdtContent>
                  <w:r>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9caf2fff268b41a7b3fe74fc4a3d6533"/>
                  <w:id w:val="-1285191747"/>
                  <w:lock w:val="sdtLocked"/>
                  <w:placeholder>
                    <w:docPart w:val="GBC22222222222222222222222222222"/>
                  </w:placeholder>
                  <w:text/>
                </w:sdtPr>
                <w:sdtEndPr/>
                <w:sdtContent>
                  <w:r>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cacbe4a6fcc41699e67ce809516ec50"/>
                  <w:id w:val="-1042441094"/>
                  <w:lock w:val="sdtLocked"/>
                  <w:placeholder>
                    <w:docPart w:val="GBC22222222222222222222222222222"/>
                  </w:placeholder>
                  <w:text/>
                </w:sdtPr>
                <w:sdtEndPr/>
                <w:sdtContent>
                  <w:r>
                    <w:rPr>
                      <w:rFonts w:hint="eastAsia"/>
                      <w:szCs w:val="21"/>
                    </w:rPr>
                    <w:t>王国鑫</w:t>
                  </w:r>
                </w:sdtContent>
              </w:sdt>
            </w:p>
            <w:p w14:paraId="1CBA7C7A" w14:textId="77777777" w:rsidR="00830E72" w:rsidRDefault="00D44830">
              <w:pPr>
                <w:ind w:rightChars="-73" w:right="-153"/>
                <w:rPr>
                  <w:b/>
                  <w:bCs/>
                  <w:color w:val="008000"/>
                  <w:szCs w:val="21"/>
                  <w:u w:val="single"/>
                </w:rPr>
              </w:pPr>
            </w:p>
          </w:sdtContent>
        </w:sdt>
        <w:p w14:paraId="39460806" w14:textId="77777777" w:rsidR="00830E72" w:rsidRDefault="00830E72">
          <w:pPr>
            <w:snapToGrid w:val="0"/>
            <w:spacing w:line="240" w:lineRule="atLeast"/>
            <w:ind w:rightChars="-759" w:right="-1594"/>
            <w:rPr>
              <w:szCs w:val="21"/>
            </w:rPr>
          </w:pPr>
        </w:p>
        <w:sdt>
          <w:sdtPr>
            <w:rPr>
              <w:rFonts w:ascii="宋体" w:hAnsi="宋体" w:cs="宋体" w:hint="eastAsia"/>
              <w:b w:val="0"/>
              <w:bCs w:val="0"/>
              <w:kern w:val="0"/>
              <w:szCs w:val="24"/>
            </w:rPr>
            <w:tag w:val="_GBC_af8c8d1094d041008b00be724891aff3"/>
            <w:id w:val="703369103"/>
            <w:lock w:val="sdtLocked"/>
            <w:placeholder>
              <w:docPart w:val="GBC22222222222222222222222222222"/>
            </w:placeholder>
          </w:sdtPr>
          <w:sdtEndPr>
            <w:rPr>
              <w:szCs w:val="21"/>
            </w:rPr>
          </w:sdtEndPr>
          <w:sdtContent>
            <w:p w14:paraId="4EAE8E65" w14:textId="77777777" w:rsidR="00830E72" w:rsidRDefault="008344D8">
              <w:pPr>
                <w:pStyle w:val="Style99"/>
                <w:jc w:val="center"/>
                <w:rPr>
                  <w:rFonts w:ascii="宋体" w:hAnsi="宋体"/>
                </w:rPr>
              </w:pPr>
              <w:r>
                <w:rPr>
                  <w:rFonts w:ascii="宋体" w:hAnsi="宋体" w:hint="eastAsia"/>
                </w:rPr>
                <w:t>母公司</w:t>
              </w:r>
              <w:r>
                <w:rPr>
                  <w:rFonts w:ascii="宋体" w:hAnsi="宋体"/>
                </w:rPr>
                <w:t>资产负债表</w:t>
              </w:r>
            </w:p>
            <w:p w14:paraId="199985B8" w14:textId="77777777" w:rsidR="00830E72" w:rsidRDefault="008344D8">
              <w:pPr>
                <w:jc w:val="center"/>
                <w:rPr>
                  <w:b/>
                  <w:bCs/>
                  <w:szCs w:val="21"/>
                </w:rPr>
              </w:pPr>
              <w:r>
                <w:rPr>
                  <w:szCs w:val="21"/>
                </w:rPr>
                <w:t>2021年6月30日</w:t>
              </w:r>
            </w:p>
            <w:p w14:paraId="31ABB332" w14:textId="77777777" w:rsidR="00830E72" w:rsidRDefault="008344D8">
              <w:pPr>
                <w:rPr>
                  <w:szCs w:val="21"/>
                </w:rPr>
              </w:pPr>
              <w:r>
                <w:rPr>
                  <w:szCs w:val="21"/>
                </w:rPr>
                <w:t>编制单位：</w:t>
              </w:r>
              <w:sdt>
                <w:sdtPr>
                  <w:rPr>
                    <w:szCs w:val="21"/>
                  </w:rPr>
                  <w:alias w:val="公司法定中文名称"/>
                  <w:tag w:val="_GBC_824a3e7402834e78aa66a9ee77d287bc"/>
                  <w:id w:val="-79841445"/>
                  <w:lock w:val="sdtLocked"/>
                  <w:placeholder>
                    <w:docPart w:val="GBC22222222222222222222222222222"/>
                  </w:placeholder>
                  <w:text/>
                </w:sdtPr>
                <w:sdtEndPr/>
                <w:sdtContent>
                  <w:r>
                    <w:rPr>
                      <w:szCs w:val="21"/>
                    </w:rPr>
                    <w:t>安徽省交通建设股份有限公司</w:t>
                  </w:r>
                </w:sdtContent>
              </w:sdt>
              <w:r>
                <w:rPr>
                  <w:szCs w:val="21"/>
                </w:rPr>
                <w:t> </w:t>
              </w:r>
            </w:p>
            <w:p w14:paraId="2306465B" w14:textId="77777777" w:rsidR="00830E72" w:rsidRDefault="008344D8">
              <w:pPr>
                <w:jc w:val="right"/>
                <w:rPr>
                  <w:szCs w:val="21"/>
                </w:rPr>
              </w:pPr>
              <w:r>
                <w:rPr>
                  <w:szCs w:val="21"/>
                </w:rPr>
                <w:t>单位：</w:t>
              </w:r>
              <w:sdt>
                <w:sdtPr>
                  <w:rPr>
                    <w:szCs w:val="21"/>
                  </w:rPr>
                  <w:alias w:val="单位：母公司资产负债表"/>
                  <w:tag w:val="_GBC_7be010b1a07f4048a3805d40208ccda4"/>
                  <w:id w:val="3994091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17154203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4994"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18"/>
                <w:gridCol w:w="709"/>
                <w:gridCol w:w="2126"/>
                <w:gridCol w:w="1985"/>
              </w:tblGrid>
              <w:tr w:rsidR="00830E72" w14:paraId="4048A8B6" w14:textId="77777777">
                <w:sdt>
                  <w:sdtPr>
                    <w:tag w:val="_PLD_7b231a79acb54050b640bf23dd34ab8c"/>
                    <w:id w:val="-2065165329"/>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42C5C595" w14:textId="77777777" w:rsidR="00830E72" w:rsidRDefault="008344D8">
                        <w:pPr>
                          <w:jc w:val="center"/>
                          <w:rPr>
                            <w:b/>
                            <w:szCs w:val="21"/>
                          </w:rPr>
                        </w:pPr>
                        <w:r>
                          <w:rPr>
                            <w:b/>
                            <w:szCs w:val="21"/>
                          </w:rPr>
                          <w:t>项目</w:t>
                        </w:r>
                      </w:p>
                    </w:tc>
                  </w:sdtContent>
                </w:sdt>
                <w:sdt>
                  <w:sdtPr>
                    <w:tag w:val="_PLD_5e370aa08a144a709185abd9b2f11c20"/>
                    <w:id w:val="-730308736"/>
                    <w:lock w:val="sdtLocked"/>
                  </w:sdtPr>
                  <w:sdtEndPr/>
                  <w:sdtContent>
                    <w:tc>
                      <w:tcPr>
                        <w:tcW w:w="392" w:type="pct"/>
                        <w:tcBorders>
                          <w:top w:val="outset" w:sz="6" w:space="0" w:color="auto"/>
                          <w:left w:val="outset" w:sz="6" w:space="0" w:color="auto"/>
                          <w:bottom w:val="outset" w:sz="6" w:space="0" w:color="auto"/>
                          <w:right w:val="outset" w:sz="6" w:space="0" w:color="auto"/>
                        </w:tcBorders>
                        <w:vAlign w:val="center"/>
                      </w:tcPr>
                      <w:p w14:paraId="3839CBA2" w14:textId="77777777" w:rsidR="00830E72" w:rsidRDefault="008344D8">
                        <w:pPr>
                          <w:jc w:val="center"/>
                          <w:rPr>
                            <w:b/>
                            <w:szCs w:val="21"/>
                          </w:rPr>
                        </w:pPr>
                        <w:r>
                          <w:rPr>
                            <w:rFonts w:hint="eastAsia"/>
                            <w:b/>
                            <w:szCs w:val="21"/>
                          </w:rPr>
                          <w:t>附注</w:t>
                        </w:r>
                      </w:p>
                    </w:tc>
                  </w:sdtContent>
                </w:sdt>
                <w:sdt>
                  <w:sdtPr>
                    <w:tag w:val="_PLD_0aa0a7a0cd4c45afa7cfb1bcfbba36c3"/>
                    <w:id w:val="-1271013834"/>
                    <w:lock w:val="sdtLocked"/>
                  </w:sdtPr>
                  <w:sdtEndPr/>
                  <w:sdtContent>
                    <w:tc>
                      <w:tcPr>
                        <w:tcW w:w="1176" w:type="pct"/>
                        <w:tcBorders>
                          <w:top w:val="outset" w:sz="6" w:space="0" w:color="auto"/>
                          <w:left w:val="outset" w:sz="6" w:space="0" w:color="auto"/>
                          <w:bottom w:val="outset" w:sz="6" w:space="0" w:color="auto"/>
                          <w:right w:val="outset" w:sz="6" w:space="0" w:color="auto"/>
                        </w:tcBorders>
                        <w:vAlign w:val="center"/>
                      </w:tcPr>
                      <w:p w14:paraId="1C45CBE9" w14:textId="77777777" w:rsidR="00830E72" w:rsidRDefault="008344D8">
                        <w:pPr>
                          <w:jc w:val="center"/>
                          <w:rPr>
                            <w:b/>
                            <w:szCs w:val="21"/>
                          </w:rPr>
                        </w:pPr>
                        <w:r>
                          <w:rPr>
                            <w:rFonts w:hint="eastAsia"/>
                            <w:b/>
                          </w:rPr>
                          <w:t>2021年6月30日</w:t>
                        </w:r>
                      </w:p>
                    </w:tc>
                  </w:sdtContent>
                </w:sdt>
                <w:sdt>
                  <w:sdtPr>
                    <w:tag w:val="_PLD_e986dda0dbc74346a9296e5a4646b696"/>
                    <w:id w:val="-1645581165"/>
                    <w:lock w:val="sdtLocked"/>
                  </w:sdtPr>
                  <w:sdtEndPr/>
                  <w:sdtContent>
                    <w:tc>
                      <w:tcPr>
                        <w:tcW w:w="1098" w:type="pct"/>
                        <w:tcBorders>
                          <w:top w:val="outset" w:sz="6" w:space="0" w:color="auto"/>
                          <w:left w:val="outset" w:sz="6" w:space="0" w:color="auto"/>
                          <w:bottom w:val="outset" w:sz="6" w:space="0" w:color="auto"/>
                          <w:right w:val="outset" w:sz="6" w:space="0" w:color="auto"/>
                        </w:tcBorders>
                        <w:vAlign w:val="center"/>
                      </w:tcPr>
                      <w:p w14:paraId="3CAC7D1D" w14:textId="77777777" w:rsidR="00830E72" w:rsidRDefault="008344D8">
                        <w:pPr>
                          <w:jc w:val="center"/>
                          <w:rPr>
                            <w:b/>
                            <w:szCs w:val="21"/>
                          </w:rPr>
                        </w:pPr>
                        <w:r>
                          <w:rPr>
                            <w:rFonts w:hint="eastAsia"/>
                            <w:b/>
                            <w:szCs w:val="21"/>
                          </w:rPr>
                          <w:t>2020年12月31日</w:t>
                        </w:r>
                      </w:p>
                    </w:tc>
                  </w:sdtContent>
                </w:sdt>
              </w:tr>
              <w:tr w:rsidR="00830E72" w14:paraId="0508D23B" w14:textId="77777777">
                <w:sdt>
                  <w:sdtPr>
                    <w:tag w:val="_PLD_64ae72669eea4837a1a220d585585bdf"/>
                    <w:id w:val="24067321"/>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3E7D2C87" w14:textId="77777777" w:rsidR="00830E72" w:rsidRDefault="008344D8">
                        <w:pPr>
                          <w:rPr>
                            <w:szCs w:val="21"/>
                          </w:rPr>
                        </w:pPr>
                        <w:r>
                          <w:rPr>
                            <w:rFonts w:hint="eastAsia"/>
                            <w:b/>
                            <w:bCs/>
                            <w:szCs w:val="21"/>
                          </w:rPr>
                          <w:t>流动资产：</w:t>
                        </w:r>
                      </w:p>
                    </w:tc>
                  </w:sdtContent>
                </w:sdt>
                <w:tc>
                  <w:tcPr>
                    <w:tcW w:w="392" w:type="pct"/>
                    <w:tcBorders>
                      <w:top w:val="outset" w:sz="6" w:space="0" w:color="auto"/>
                      <w:left w:val="outset" w:sz="6" w:space="0" w:color="auto"/>
                      <w:bottom w:val="outset" w:sz="6" w:space="0" w:color="auto"/>
                      <w:right w:val="outset" w:sz="6" w:space="0" w:color="auto"/>
                    </w:tcBorders>
                  </w:tcPr>
                  <w:p w14:paraId="63220BC9" w14:textId="77777777" w:rsidR="00830E72" w:rsidRDefault="00830E72">
                    <w:pPr>
                      <w:rPr>
                        <w:b/>
                        <w:color w:val="FF00FF"/>
                        <w:szCs w:val="21"/>
                      </w:rPr>
                    </w:pPr>
                  </w:p>
                </w:tc>
                <w:tc>
                  <w:tcPr>
                    <w:tcW w:w="1176" w:type="pct"/>
                    <w:tcBorders>
                      <w:top w:val="outset" w:sz="6" w:space="0" w:color="auto"/>
                      <w:left w:val="outset" w:sz="6" w:space="0" w:color="auto"/>
                      <w:bottom w:val="outset" w:sz="6" w:space="0" w:color="auto"/>
                      <w:right w:val="outset" w:sz="6" w:space="0" w:color="auto"/>
                    </w:tcBorders>
                  </w:tcPr>
                  <w:p w14:paraId="2C2B0892" w14:textId="77777777" w:rsidR="00830E72" w:rsidRDefault="00830E72">
                    <w:pPr>
                      <w:rPr>
                        <w:b/>
                        <w:color w:val="FF00FF"/>
                        <w:szCs w:val="21"/>
                      </w:rPr>
                    </w:pPr>
                  </w:p>
                </w:tc>
                <w:tc>
                  <w:tcPr>
                    <w:tcW w:w="1098" w:type="pct"/>
                    <w:tcBorders>
                      <w:top w:val="outset" w:sz="6" w:space="0" w:color="auto"/>
                      <w:left w:val="outset" w:sz="6" w:space="0" w:color="auto"/>
                      <w:bottom w:val="outset" w:sz="6" w:space="0" w:color="auto"/>
                      <w:right w:val="outset" w:sz="6" w:space="0" w:color="auto"/>
                    </w:tcBorders>
                  </w:tcPr>
                  <w:p w14:paraId="09F487C2" w14:textId="77777777" w:rsidR="00830E72" w:rsidRDefault="00830E72">
                    <w:pPr>
                      <w:rPr>
                        <w:b/>
                        <w:color w:val="FF00FF"/>
                        <w:szCs w:val="21"/>
                      </w:rPr>
                    </w:pPr>
                  </w:p>
                </w:tc>
              </w:tr>
              <w:tr w:rsidR="00830E72" w14:paraId="489B084E" w14:textId="77777777">
                <w:sdt>
                  <w:sdtPr>
                    <w:tag w:val="_PLD_9b78743cdab64576b5cd6da9a3a930fa"/>
                    <w:id w:val="1427538009"/>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3E75D01D" w14:textId="77777777" w:rsidR="00830E72" w:rsidRDefault="008344D8">
                        <w:pPr>
                          <w:ind w:firstLineChars="100" w:firstLine="210"/>
                          <w:rPr>
                            <w:szCs w:val="21"/>
                          </w:rPr>
                        </w:pPr>
                        <w:r>
                          <w:rPr>
                            <w:rFonts w:hint="eastAsia"/>
                            <w:szCs w:val="21"/>
                          </w:rPr>
                          <w:t>货币资金</w:t>
                        </w:r>
                      </w:p>
                    </w:tc>
                  </w:sdtContent>
                </w:sdt>
                <w:tc>
                  <w:tcPr>
                    <w:tcW w:w="392" w:type="pct"/>
                    <w:tcBorders>
                      <w:top w:val="outset" w:sz="6" w:space="0" w:color="auto"/>
                      <w:left w:val="outset" w:sz="6" w:space="0" w:color="auto"/>
                      <w:bottom w:val="outset" w:sz="6" w:space="0" w:color="auto"/>
                      <w:right w:val="outset" w:sz="6" w:space="0" w:color="auto"/>
                    </w:tcBorders>
                  </w:tcPr>
                  <w:p w14:paraId="48BDC898"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33C543D0" w14:textId="77777777" w:rsidR="00830E72" w:rsidRDefault="008344D8">
                    <w:pPr>
                      <w:jc w:val="right"/>
                      <w:rPr>
                        <w:szCs w:val="21"/>
                      </w:rPr>
                    </w:pPr>
                    <w:r>
                      <w:rPr>
                        <w:szCs w:val="21"/>
                      </w:rPr>
                      <w:t>1,263,673,126.81</w:t>
                    </w:r>
                  </w:p>
                </w:tc>
                <w:tc>
                  <w:tcPr>
                    <w:tcW w:w="1098" w:type="pct"/>
                    <w:tcBorders>
                      <w:top w:val="outset" w:sz="6" w:space="0" w:color="auto"/>
                      <w:left w:val="outset" w:sz="6" w:space="0" w:color="auto"/>
                      <w:bottom w:val="outset" w:sz="6" w:space="0" w:color="auto"/>
                      <w:right w:val="outset" w:sz="6" w:space="0" w:color="auto"/>
                    </w:tcBorders>
                  </w:tcPr>
                  <w:p w14:paraId="31C75F2D" w14:textId="77777777" w:rsidR="00830E72" w:rsidRDefault="008344D8">
                    <w:pPr>
                      <w:jc w:val="right"/>
                      <w:rPr>
                        <w:szCs w:val="21"/>
                      </w:rPr>
                    </w:pPr>
                    <w:r>
                      <w:rPr>
                        <w:szCs w:val="21"/>
                      </w:rPr>
                      <w:t>759,005,773.52</w:t>
                    </w:r>
                  </w:p>
                </w:tc>
              </w:tr>
              <w:tr w:rsidR="00830E72" w14:paraId="5127EDE9" w14:textId="77777777">
                <w:tc>
                  <w:tcPr>
                    <w:tcW w:w="233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110b32630da4518a6cd2897b5ab904c"/>
                      <w:id w:val="-169257222"/>
                      <w:lock w:val="sdtLocked"/>
                    </w:sdtPr>
                    <w:sdtEndPr/>
                    <w:sdtContent>
                      <w:p w14:paraId="7E9A72B2" w14:textId="77777777" w:rsidR="00830E72" w:rsidRDefault="008344D8">
                        <w:pPr>
                          <w:ind w:firstLineChars="100" w:firstLine="210"/>
                        </w:pPr>
                        <w:r>
                          <w:rPr>
                            <w:rFonts w:hint="eastAsia"/>
                          </w:rPr>
                          <w:t>交易性金融资产</w:t>
                        </w:r>
                      </w:p>
                    </w:sdtContent>
                  </w:sdt>
                </w:tc>
                <w:tc>
                  <w:tcPr>
                    <w:tcW w:w="392" w:type="pct"/>
                    <w:tcBorders>
                      <w:top w:val="outset" w:sz="6" w:space="0" w:color="auto"/>
                      <w:left w:val="outset" w:sz="6" w:space="0" w:color="auto"/>
                      <w:bottom w:val="outset" w:sz="6" w:space="0" w:color="auto"/>
                      <w:right w:val="outset" w:sz="6" w:space="0" w:color="auto"/>
                    </w:tcBorders>
                  </w:tcPr>
                  <w:p w14:paraId="062F191E"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57E35084"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4694AFC5" w14:textId="77777777" w:rsidR="00830E72" w:rsidRDefault="00830E72">
                    <w:pPr>
                      <w:jc w:val="right"/>
                      <w:rPr>
                        <w:szCs w:val="21"/>
                      </w:rPr>
                    </w:pPr>
                  </w:p>
                </w:tc>
              </w:tr>
              <w:tr w:rsidR="00830E72" w14:paraId="081410E7" w14:textId="77777777">
                <w:sdt>
                  <w:sdtPr>
                    <w:tag w:val="_PLD_1bfca77991c7445a99252c547d869547"/>
                    <w:id w:val="809519041"/>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03DED937" w14:textId="77777777" w:rsidR="00830E72" w:rsidRDefault="008344D8">
                        <w:pPr>
                          <w:ind w:firstLineChars="100" w:firstLine="210"/>
                          <w:rPr>
                            <w:szCs w:val="21"/>
                          </w:rPr>
                        </w:pPr>
                        <w:r>
                          <w:rPr>
                            <w:rFonts w:hint="eastAsia"/>
                            <w:szCs w:val="21"/>
                          </w:rPr>
                          <w:t>衍生金融资产</w:t>
                        </w:r>
                      </w:p>
                    </w:tc>
                  </w:sdtContent>
                </w:sdt>
                <w:tc>
                  <w:tcPr>
                    <w:tcW w:w="392" w:type="pct"/>
                    <w:tcBorders>
                      <w:top w:val="outset" w:sz="6" w:space="0" w:color="auto"/>
                      <w:left w:val="outset" w:sz="6" w:space="0" w:color="auto"/>
                      <w:bottom w:val="outset" w:sz="6" w:space="0" w:color="auto"/>
                      <w:right w:val="outset" w:sz="6" w:space="0" w:color="auto"/>
                    </w:tcBorders>
                  </w:tcPr>
                  <w:p w14:paraId="173FD718"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072B6B78"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27C69377" w14:textId="77777777" w:rsidR="00830E72" w:rsidRDefault="00830E72">
                    <w:pPr>
                      <w:jc w:val="right"/>
                      <w:rPr>
                        <w:szCs w:val="21"/>
                      </w:rPr>
                    </w:pPr>
                  </w:p>
                </w:tc>
              </w:tr>
              <w:tr w:rsidR="00830E72" w14:paraId="26D59320" w14:textId="77777777">
                <w:sdt>
                  <w:sdtPr>
                    <w:tag w:val="_PLD_ff993f326eb24b209c608805e7d5452d"/>
                    <w:id w:val="1496296554"/>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04D92B23" w14:textId="77777777" w:rsidR="00830E72" w:rsidRDefault="008344D8">
                        <w:pPr>
                          <w:ind w:firstLineChars="100" w:firstLine="210"/>
                          <w:rPr>
                            <w:szCs w:val="21"/>
                          </w:rPr>
                        </w:pPr>
                        <w:r>
                          <w:rPr>
                            <w:rFonts w:hint="eastAsia"/>
                            <w:szCs w:val="21"/>
                          </w:rPr>
                          <w:t>应收票据</w:t>
                        </w:r>
                      </w:p>
                    </w:tc>
                  </w:sdtContent>
                </w:sdt>
                <w:tc>
                  <w:tcPr>
                    <w:tcW w:w="392" w:type="pct"/>
                    <w:tcBorders>
                      <w:top w:val="outset" w:sz="6" w:space="0" w:color="auto"/>
                      <w:left w:val="outset" w:sz="6" w:space="0" w:color="auto"/>
                      <w:bottom w:val="outset" w:sz="6" w:space="0" w:color="auto"/>
                      <w:right w:val="outset" w:sz="6" w:space="0" w:color="auto"/>
                    </w:tcBorders>
                  </w:tcPr>
                  <w:p w14:paraId="1A58A08E"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55141BF6"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7F8184EE" w14:textId="77777777" w:rsidR="00830E72" w:rsidRDefault="00830E72">
                    <w:pPr>
                      <w:jc w:val="right"/>
                      <w:rPr>
                        <w:szCs w:val="21"/>
                      </w:rPr>
                    </w:pPr>
                  </w:p>
                </w:tc>
              </w:tr>
              <w:tr w:rsidR="00830E72" w14:paraId="2C4D482B" w14:textId="77777777">
                <w:sdt>
                  <w:sdtPr>
                    <w:tag w:val="_PLD_e1b51c42e6ff4b2b89ce73b84b0ca8c1"/>
                    <w:id w:val="734743679"/>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6A7A056B" w14:textId="77777777" w:rsidR="00830E72" w:rsidRDefault="008344D8">
                        <w:pPr>
                          <w:ind w:firstLineChars="100" w:firstLine="210"/>
                          <w:rPr>
                            <w:szCs w:val="21"/>
                          </w:rPr>
                        </w:pPr>
                        <w:r>
                          <w:rPr>
                            <w:rFonts w:hint="eastAsia"/>
                            <w:szCs w:val="21"/>
                          </w:rPr>
                          <w:t>应收账款</w:t>
                        </w:r>
                      </w:p>
                    </w:tc>
                  </w:sdtContent>
                </w:sdt>
                <w:tc>
                  <w:tcPr>
                    <w:tcW w:w="392" w:type="pct"/>
                    <w:tcBorders>
                      <w:top w:val="outset" w:sz="6" w:space="0" w:color="auto"/>
                      <w:left w:val="outset" w:sz="6" w:space="0" w:color="auto"/>
                      <w:bottom w:val="outset" w:sz="6" w:space="0" w:color="auto"/>
                      <w:right w:val="outset" w:sz="6" w:space="0" w:color="auto"/>
                    </w:tcBorders>
                  </w:tcPr>
                  <w:p w14:paraId="662ECF0F"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2CCA4F96" w14:textId="77777777" w:rsidR="00830E72" w:rsidRDefault="008344D8">
                    <w:pPr>
                      <w:jc w:val="right"/>
                      <w:rPr>
                        <w:szCs w:val="21"/>
                      </w:rPr>
                    </w:pPr>
                    <w:r>
                      <w:rPr>
                        <w:szCs w:val="21"/>
                      </w:rPr>
                      <w:t>2,104,055,625.03</w:t>
                    </w:r>
                  </w:p>
                </w:tc>
                <w:tc>
                  <w:tcPr>
                    <w:tcW w:w="1098" w:type="pct"/>
                    <w:tcBorders>
                      <w:top w:val="outset" w:sz="6" w:space="0" w:color="auto"/>
                      <w:left w:val="outset" w:sz="6" w:space="0" w:color="auto"/>
                      <w:bottom w:val="outset" w:sz="6" w:space="0" w:color="auto"/>
                      <w:right w:val="outset" w:sz="6" w:space="0" w:color="auto"/>
                    </w:tcBorders>
                  </w:tcPr>
                  <w:p w14:paraId="685BFEDD" w14:textId="77777777" w:rsidR="00830E72" w:rsidRDefault="008344D8">
                    <w:pPr>
                      <w:jc w:val="right"/>
                      <w:rPr>
                        <w:szCs w:val="21"/>
                      </w:rPr>
                    </w:pPr>
                    <w:r>
                      <w:rPr>
                        <w:szCs w:val="21"/>
                      </w:rPr>
                      <w:t>2,114,132,107.83</w:t>
                    </w:r>
                  </w:p>
                </w:tc>
              </w:tr>
              <w:tr w:rsidR="00830E72" w14:paraId="59C4FE2B" w14:textId="77777777">
                <w:tc>
                  <w:tcPr>
                    <w:tcW w:w="233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1cc65422d84c058777e9f23de9aaef"/>
                      <w:id w:val="-183212388"/>
                      <w:lock w:val="sdtLocked"/>
                    </w:sdtPr>
                    <w:sdtEndPr/>
                    <w:sdtContent>
                      <w:p w14:paraId="2BD651F8" w14:textId="77777777" w:rsidR="00830E72" w:rsidRDefault="008344D8">
                        <w:pPr>
                          <w:ind w:firstLineChars="100" w:firstLine="210"/>
                        </w:pPr>
                        <w:r>
                          <w:rPr>
                            <w:rFonts w:hint="eastAsia"/>
                          </w:rPr>
                          <w:t>应收款项融资</w:t>
                        </w:r>
                      </w:p>
                    </w:sdtContent>
                  </w:sdt>
                </w:tc>
                <w:tc>
                  <w:tcPr>
                    <w:tcW w:w="392" w:type="pct"/>
                    <w:tcBorders>
                      <w:top w:val="outset" w:sz="6" w:space="0" w:color="auto"/>
                      <w:left w:val="outset" w:sz="6" w:space="0" w:color="auto"/>
                      <w:bottom w:val="outset" w:sz="6" w:space="0" w:color="auto"/>
                      <w:right w:val="outset" w:sz="6" w:space="0" w:color="auto"/>
                    </w:tcBorders>
                  </w:tcPr>
                  <w:p w14:paraId="58136159"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7A8A6D65"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2B93A245" w14:textId="77777777" w:rsidR="00830E72" w:rsidRDefault="00830E72">
                    <w:pPr>
                      <w:jc w:val="right"/>
                      <w:rPr>
                        <w:szCs w:val="21"/>
                      </w:rPr>
                    </w:pPr>
                  </w:p>
                </w:tc>
              </w:tr>
              <w:tr w:rsidR="00830E72" w14:paraId="58D76995" w14:textId="77777777">
                <w:sdt>
                  <w:sdtPr>
                    <w:tag w:val="_PLD_805b2d340ad24fae990479b422656525"/>
                    <w:id w:val="1764415540"/>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75578DF0" w14:textId="77777777" w:rsidR="00830E72" w:rsidRDefault="008344D8">
                        <w:pPr>
                          <w:ind w:firstLineChars="100" w:firstLine="210"/>
                          <w:rPr>
                            <w:szCs w:val="21"/>
                          </w:rPr>
                        </w:pPr>
                        <w:r>
                          <w:rPr>
                            <w:rFonts w:hint="eastAsia"/>
                            <w:szCs w:val="21"/>
                          </w:rPr>
                          <w:t>预付款项</w:t>
                        </w:r>
                      </w:p>
                    </w:tc>
                  </w:sdtContent>
                </w:sdt>
                <w:tc>
                  <w:tcPr>
                    <w:tcW w:w="392" w:type="pct"/>
                    <w:tcBorders>
                      <w:top w:val="outset" w:sz="6" w:space="0" w:color="auto"/>
                      <w:left w:val="outset" w:sz="6" w:space="0" w:color="auto"/>
                      <w:bottom w:val="outset" w:sz="6" w:space="0" w:color="auto"/>
                      <w:right w:val="outset" w:sz="6" w:space="0" w:color="auto"/>
                    </w:tcBorders>
                  </w:tcPr>
                  <w:p w14:paraId="3AED139E"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34166FBD" w14:textId="77777777" w:rsidR="00830E72" w:rsidRDefault="008344D8">
                    <w:pPr>
                      <w:jc w:val="right"/>
                      <w:rPr>
                        <w:szCs w:val="21"/>
                      </w:rPr>
                    </w:pPr>
                    <w:r>
                      <w:rPr>
                        <w:szCs w:val="21"/>
                      </w:rPr>
                      <w:t>8,763,139.83</w:t>
                    </w:r>
                  </w:p>
                </w:tc>
                <w:tc>
                  <w:tcPr>
                    <w:tcW w:w="1098" w:type="pct"/>
                    <w:tcBorders>
                      <w:top w:val="outset" w:sz="6" w:space="0" w:color="auto"/>
                      <w:left w:val="outset" w:sz="6" w:space="0" w:color="auto"/>
                      <w:bottom w:val="outset" w:sz="6" w:space="0" w:color="auto"/>
                      <w:right w:val="outset" w:sz="6" w:space="0" w:color="auto"/>
                    </w:tcBorders>
                  </w:tcPr>
                  <w:p w14:paraId="5BC9693E" w14:textId="77777777" w:rsidR="00830E72" w:rsidRDefault="008344D8">
                    <w:pPr>
                      <w:jc w:val="right"/>
                      <w:rPr>
                        <w:szCs w:val="21"/>
                      </w:rPr>
                    </w:pPr>
                    <w:r>
                      <w:rPr>
                        <w:szCs w:val="21"/>
                      </w:rPr>
                      <w:t>8,405,637.69</w:t>
                    </w:r>
                  </w:p>
                </w:tc>
              </w:tr>
              <w:tr w:rsidR="00830E72" w14:paraId="4C858DDF" w14:textId="77777777">
                <w:sdt>
                  <w:sdtPr>
                    <w:tag w:val="_PLD_cf9f116dabbb48b2a5a0f3ba0b4772cd"/>
                    <w:id w:val="-356964118"/>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5AFA4ED8" w14:textId="77777777" w:rsidR="00830E72" w:rsidRDefault="008344D8">
                        <w:pPr>
                          <w:ind w:firstLineChars="100" w:firstLine="210"/>
                          <w:rPr>
                            <w:szCs w:val="21"/>
                          </w:rPr>
                        </w:pPr>
                        <w:r>
                          <w:rPr>
                            <w:rFonts w:hint="eastAsia"/>
                            <w:szCs w:val="21"/>
                          </w:rPr>
                          <w:t>其他应收款</w:t>
                        </w:r>
                      </w:p>
                    </w:tc>
                  </w:sdtContent>
                </w:sdt>
                <w:tc>
                  <w:tcPr>
                    <w:tcW w:w="392" w:type="pct"/>
                    <w:tcBorders>
                      <w:top w:val="outset" w:sz="6" w:space="0" w:color="auto"/>
                      <w:left w:val="outset" w:sz="6" w:space="0" w:color="auto"/>
                      <w:bottom w:val="outset" w:sz="6" w:space="0" w:color="auto"/>
                      <w:right w:val="outset" w:sz="6" w:space="0" w:color="auto"/>
                    </w:tcBorders>
                  </w:tcPr>
                  <w:p w14:paraId="4FAFACE1"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2188099C" w14:textId="77777777" w:rsidR="00830E72" w:rsidRDefault="008344D8">
                    <w:pPr>
                      <w:jc w:val="right"/>
                      <w:rPr>
                        <w:szCs w:val="21"/>
                      </w:rPr>
                    </w:pPr>
                    <w:r>
                      <w:rPr>
                        <w:szCs w:val="21"/>
                      </w:rPr>
                      <w:t>378,850,408.32</w:t>
                    </w:r>
                  </w:p>
                </w:tc>
                <w:tc>
                  <w:tcPr>
                    <w:tcW w:w="1098" w:type="pct"/>
                    <w:tcBorders>
                      <w:top w:val="outset" w:sz="6" w:space="0" w:color="auto"/>
                      <w:left w:val="outset" w:sz="6" w:space="0" w:color="auto"/>
                      <w:bottom w:val="outset" w:sz="6" w:space="0" w:color="auto"/>
                      <w:right w:val="outset" w:sz="6" w:space="0" w:color="auto"/>
                    </w:tcBorders>
                  </w:tcPr>
                  <w:p w14:paraId="7AE55F4A" w14:textId="77777777" w:rsidR="00830E72" w:rsidRDefault="008344D8">
                    <w:pPr>
                      <w:jc w:val="right"/>
                      <w:rPr>
                        <w:szCs w:val="21"/>
                      </w:rPr>
                    </w:pPr>
                    <w:r>
                      <w:rPr>
                        <w:szCs w:val="21"/>
                      </w:rPr>
                      <w:t>246,365,846.15</w:t>
                    </w:r>
                  </w:p>
                </w:tc>
              </w:tr>
              <w:tr w:rsidR="00830E72" w14:paraId="0A0B29A0" w14:textId="77777777">
                <w:sdt>
                  <w:sdtPr>
                    <w:tag w:val="_PLD_b55f9182bb0f4ff099725b83128277f5"/>
                    <w:id w:val="-46995860"/>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3AA084BF" w14:textId="77777777" w:rsidR="00830E72" w:rsidRDefault="008344D8">
                        <w:pPr>
                          <w:ind w:firstLineChars="100" w:firstLine="210"/>
                          <w:rPr>
                            <w:szCs w:val="21"/>
                          </w:rPr>
                        </w:pPr>
                        <w:r>
                          <w:rPr>
                            <w:rFonts w:hint="eastAsia"/>
                          </w:rPr>
                          <w:t>其中：</w:t>
                        </w:r>
                        <w:r>
                          <w:rPr>
                            <w:rFonts w:hint="eastAsia"/>
                            <w:szCs w:val="21"/>
                          </w:rPr>
                          <w:t>应收利息</w:t>
                        </w:r>
                      </w:p>
                    </w:tc>
                  </w:sdtContent>
                </w:sdt>
                <w:tc>
                  <w:tcPr>
                    <w:tcW w:w="392" w:type="pct"/>
                    <w:tcBorders>
                      <w:top w:val="outset" w:sz="6" w:space="0" w:color="auto"/>
                      <w:left w:val="outset" w:sz="6" w:space="0" w:color="auto"/>
                      <w:bottom w:val="outset" w:sz="6" w:space="0" w:color="auto"/>
                      <w:right w:val="outset" w:sz="6" w:space="0" w:color="auto"/>
                    </w:tcBorders>
                  </w:tcPr>
                  <w:p w14:paraId="3B1159F8"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23B55CFB"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7FBCD382" w14:textId="77777777" w:rsidR="00830E72" w:rsidRDefault="00830E72">
                    <w:pPr>
                      <w:jc w:val="right"/>
                      <w:rPr>
                        <w:szCs w:val="21"/>
                      </w:rPr>
                    </w:pPr>
                  </w:p>
                </w:tc>
              </w:tr>
              <w:tr w:rsidR="00830E72" w14:paraId="58B18B3A" w14:textId="77777777">
                <w:sdt>
                  <w:sdtPr>
                    <w:tag w:val="_PLD_e9ef2df028eb46cbb98922f7b2e9c423"/>
                    <w:id w:val="-1295989485"/>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69489B4A" w14:textId="77777777" w:rsidR="00830E72" w:rsidRDefault="008344D8">
                        <w:pPr>
                          <w:ind w:firstLineChars="400" w:firstLine="840"/>
                          <w:rPr>
                            <w:szCs w:val="21"/>
                          </w:rPr>
                        </w:pPr>
                        <w:r>
                          <w:rPr>
                            <w:rFonts w:hint="eastAsia"/>
                            <w:szCs w:val="21"/>
                          </w:rPr>
                          <w:t>应收股利</w:t>
                        </w:r>
                      </w:p>
                    </w:tc>
                  </w:sdtContent>
                </w:sdt>
                <w:tc>
                  <w:tcPr>
                    <w:tcW w:w="392" w:type="pct"/>
                    <w:tcBorders>
                      <w:top w:val="outset" w:sz="6" w:space="0" w:color="auto"/>
                      <w:left w:val="outset" w:sz="6" w:space="0" w:color="auto"/>
                      <w:bottom w:val="outset" w:sz="6" w:space="0" w:color="auto"/>
                      <w:right w:val="outset" w:sz="6" w:space="0" w:color="auto"/>
                    </w:tcBorders>
                  </w:tcPr>
                  <w:p w14:paraId="217A609E"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6ED9551A"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22A2C022" w14:textId="77777777" w:rsidR="00830E72" w:rsidRDefault="00830E72">
                    <w:pPr>
                      <w:jc w:val="right"/>
                      <w:rPr>
                        <w:szCs w:val="21"/>
                      </w:rPr>
                    </w:pPr>
                  </w:p>
                </w:tc>
              </w:tr>
              <w:tr w:rsidR="00830E72" w14:paraId="77500104" w14:textId="77777777">
                <w:sdt>
                  <w:sdtPr>
                    <w:tag w:val="_PLD_6cc0aeaf59b04efabb1f01b5c63b990f"/>
                    <w:id w:val="-1945383299"/>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2E3716B9" w14:textId="77777777" w:rsidR="00830E72" w:rsidRDefault="008344D8">
                        <w:pPr>
                          <w:ind w:firstLineChars="100" w:firstLine="210"/>
                          <w:rPr>
                            <w:szCs w:val="21"/>
                          </w:rPr>
                        </w:pPr>
                        <w:r>
                          <w:rPr>
                            <w:rFonts w:hint="eastAsia"/>
                            <w:szCs w:val="21"/>
                          </w:rPr>
                          <w:t>存货</w:t>
                        </w:r>
                      </w:p>
                    </w:tc>
                  </w:sdtContent>
                </w:sdt>
                <w:tc>
                  <w:tcPr>
                    <w:tcW w:w="392" w:type="pct"/>
                    <w:tcBorders>
                      <w:top w:val="outset" w:sz="6" w:space="0" w:color="auto"/>
                      <w:left w:val="outset" w:sz="6" w:space="0" w:color="auto"/>
                      <w:bottom w:val="outset" w:sz="6" w:space="0" w:color="auto"/>
                      <w:right w:val="outset" w:sz="6" w:space="0" w:color="auto"/>
                    </w:tcBorders>
                  </w:tcPr>
                  <w:p w14:paraId="126F8B34"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5C3C151E" w14:textId="77777777" w:rsidR="00830E72" w:rsidRDefault="008344D8">
                    <w:pPr>
                      <w:jc w:val="right"/>
                      <w:rPr>
                        <w:szCs w:val="21"/>
                      </w:rPr>
                    </w:pPr>
                    <w:r>
                      <w:rPr>
                        <w:szCs w:val="21"/>
                      </w:rPr>
                      <w:t>37,026,836.76</w:t>
                    </w:r>
                  </w:p>
                </w:tc>
                <w:tc>
                  <w:tcPr>
                    <w:tcW w:w="1098" w:type="pct"/>
                    <w:tcBorders>
                      <w:top w:val="outset" w:sz="6" w:space="0" w:color="auto"/>
                      <w:left w:val="outset" w:sz="6" w:space="0" w:color="auto"/>
                      <w:bottom w:val="outset" w:sz="6" w:space="0" w:color="auto"/>
                      <w:right w:val="outset" w:sz="6" w:space="0" w:color="auto"/>
                    </w:tcBorders>
                  </w:tcPr>
                  <w:p w14:paraId="080307D4" w14:textId="77777777" w:rsidR="00830E72" w:rsidRDefault="008344D8">
                    <w:pPr>
                      <w:jc w:val="right"/>
                      <w:rPr>
                        <w:szCs w:val="21"/>
                      </w:rPr>
                    </w:pPr>
                    <w:r>
                      <w:rPr>
                        <w:szCs w:val="21"/>
                      </w:rPr>
                      <w:t>26,375,000.46</w:t>
                    </w:r>
                  </w:p>
                </w:tc>
              </w:tr>
              <w:tr w:rsidR="00830E72" w14:paraId="20C168F2" w14:textId="77777777">
                <w:tc>
                  <w:tcPr>
                    <w:tcW w:w="233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3d0e1008ca4d3b96e66b5c92068d38"/>
                      <w:id w:val="550582269"/>
                      <w:lock w:val="sdtLocked"/>
                    </w:sdtPr>
                    <w:sdtEndPr/>
                    <w:sdtContent>
                      <w:p w14:paraId="5343EEB6" w14:textId="77777777" w:rsidR="00830E72" w:rsidRDefault="008344D8">
                        <w:pPr>
                          <w:ind w:firstLineChars="100" w:firstLine="210"/>
                        </w:pPr>
                        <w:r>
                          <w:rPr>
                            <w:rFonts w:hint="eastAsia"/>
                          </w:rPr>
                          <w:t>合同资产</w:t>
                        </w:r>
                      </w:p>
                    </w:sdtContent>
                  </w:sdt>
                </w:tc>
                <w:tc>
                  <w:tcPr>
                    <w:tcW w:w="392" w:type="pct"/>
                    <w:tcBorders>
                      <w:top w:val="outset" w:sz="6" w:space="0" w:color="auto"/>
                      <w:left w:val="outset" w:sz="6" w:space="0" w:color="auto"/>
                      <w:bottom w:val="outset" w:sz="6" w:space="0" w:color="auto"/>
                      <w:right w:val="outset" w:sz="6" w:space="0" w:color="auto"/>
                    </w:tcBorders>
                  </w:tcPr>
                  <w:p w14:paraId="7029AA7C"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097E463E" w14:textId="77777777" w:rsidR="00830E72" w:rsidRDefault="008344D8">
                    <w:pPr>
                      <w:jc w:val="right"/>
                      <w:rPr>
                        <w:szCs w:val="21"/>
                      </w:rPr>
                    </w:pPr>
                    <w:r>
                      <w:rPr>
                        <w:szCs w:val="21"/>
                      </w:rPr>
                      <w:t>996,854,998.42</w:t>
                    </w:r>
                  </w:p>
                </w:tc>
                <w:tc>
                  <w:tcPr>
                    <w:tcW w:w="1098" w:type="pct"/>
                    <w:tcBorders>
                      <w:top w:val="outset" w:sz="6" w:space="0" w:color="auto"/>
                      <w:left w:val="outset" w:sz="6" w:space="0" w:color="auto"/>
                      <w:bottom w:val="outset" w:sz="6" w:space="0" w:color="auto"/>
                      <w:right w:val="outset" w:sz="6" w:space="0" w:color="auto"/>
                    </w:tcBorders>
                  </w:tcPr>
                  <w:p w14:paraId="4C598147" w14:textId="77777777" w:rsidR="00830E72" w:rsidRDefault="008344D8">
                    <w:pPr>
                      <w:jc w:val="right"/>
                      <w:rPr>
                        <w:szCs w:val="21"/>
                      </w:rPr>
                    </w:pPr>
                    <w:r>
                      <w:rPr>
                        <w:szCs w:val="21"/>
                      </w:rPr>
                      <w:t>702,386,607.61</w:t>
                    </w:r>
                  </w:p>
                </w:tc>
              </w:tr>
              <w:tr w:rsidR="00830E72" w14:paraId="6F53C01C" w14:textId="77777777">
                <w:sdt>
                  <w:sdtPr>
                    <w:tag w:val="_PLD_a0e80251eb49414f8ed0e4f3efcb5263"/>
                    <w:id w:val="-888569222"/>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36E3D1D3" w14:textId="77777777" w:rsidR="00830E72" w:rsidRDefault="008344D8">
                        <w:pPr>
                          <w:ind w:firstLineChars="100" w:firstLine="210"/>
                          <w:rPr>
                            <w:szCs w:val="21"/>
                          </w:rPr>
                        </w:pPr>
                        <w:r>
                          <w:rPr>
                            <w:rFonts w:hint="eastAsia"/>
                            <w:szCs w:val="21"/>
                          </w:rPr>
                          <w:t>持有待售资产</w:t>
                        </w:r>
                      </w:p>
                    </w:tc>
                  </w:sdtContent>
                </w:sdt>
                <w:tc>
                  <w:tcPr>
                    <w:tcW w:w="392" w:type="pct"/>
                    <w:tcBorders>
                      <w:top w:val="outset" w:sz="6" w:space="0" w:color="auto"/>
                      <w:left w:val="outset" w:sz="6" w:space="0" w:color="auto"/>
                      <w:bottom w:val="outset" w:sz="6" w:space="0" w:color="auto"/>
                      <w:right w:val="outset" w:sz="6" w:space="0" w:color="auto"/>
                    </w:tcBorders>
                  </w:tcPr>
                  <w:p w14:paraId="5CF5512F"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4A38677E"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70E72A6E" w14:textId="77777777" w:rsidR="00830E72" w:rsidRDefault="00830E72">
                    <w:pPr>
                      <w:jc w:val="right"/>
                      <w:rPr>
                        <w:szCs w:val="21"/>
                      </w:rPr>
                    </w:pPr>
                  </w:p>
                </w:tc>
              </w:tr>
              <w:tr w:rsidR="00830E72" w14:paraId="2AAF16CA" w14:textId="77777777">
                <w:sdt>
                  <w:sdtPr>
                    <w:tag w:val="_PLD_b0b228c115df478088a29f03f8d7ad59"/>
                    <w:id w:val="-993870021"/>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7AFDDFA4" w14:textId="77777777" w:rsidR="00830E72" w:rsidRDefault="008344D8">
                        <w:pPr>
                          <w:ind w:firstLineChars="100" w:firstLine="210"/>
                          <w:rPr>
                            <w:szCs w:val="21"/>
                          </w:rPr>
                        </w:pPr>
                        <w:r>
                          <w:rPr>
                            <w:rFonts w:hint="eastAsia"/>
                            <w:szCs w:val="21"/>
                          </w:rPr>
                          <w:t>一年内到期的非流动资产</w:t>
                        </w:r>
                      </w:p>
                    </w:tc>
                  </w:sdtContent>
                </w:sdt>
                <w:tc>
                  <w:tcPr>
                    <w:tcW w:w="392" w:type="pct"/>
                    <w:tcBorders>
                      <w:top w:val="outset" w:sz="6" w:space="0" w:color="auto"/>
                      <w:left w:val="outset" w:sz="6" w:space="0" w:color="auto"/>
                      <w:bottom w:val="outset" w:sz="6" w:space="0" w:color="auto"/>
                      <w:right w:val="outset" w:sz="6" w:space="0" w:color="auto"/>
                    </w:tcBorders>
                  </w:tcPr>
                  <w:p w14:paraId="78797EF3"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68083187" w14:textId="77777777" w:rsidR="00830E72" w:rsidRDefault="008344D8">
                    <w:pPr>
                      <w:jc w:val="right"/>
                      <w:rPr>
                        <w:szCs w:val="21"/>
                      </w:rPr>
                    </w:pPr>
                    <w:r>
                      <w:rPr>
                        <w:szCs w:val="21"/>
                      </w:rPr>
                      <w:t>17,404,893.72</w:t>
                    </w:r>
                  </w:p>
                </w:tc>
                <w:tc>
                  <w:tcPr>
                    <w:tcW w:w="1098" w:type="pct"/>
                    <w:tcBorders>
                      <w:top w:val="outset" w:sz="6" w:space="0" w:color="auto"/>
                      <w:left w:val="outset" w:sz="6" w:space="0" w:color="auto"/>
                      <w:bottom w:val="outset" w:sz="6" w:space="0" w:color="auto"/>
                      <w:right w:val="outset" w:sz="6" w:space="0" w:color="auto"/>
                    </w:tcBorders>
                  </w:tcPr>
                  <w:p w14:paraId="1D60EE9F" w14:textId="77777777" w:rsidR="00830E72" w:rsidRDefault="008344D8">
                    <w:pPr>
                      <w:jc w:val="right"/>
                      <w:rPr>
                        <w:szCs w:val="21"/>
                      </w:rPr>
                    </w:pPr>
                    <w:r>
                      <w:rPr>
                        <w:szCs w:val="21"/>
                      </w:rPr>
                      <w:t>17,558,672.16</w:t>
                    </w:r>
                  </w:p>
                </w:tc>
              </w:tr>
              <w:tr w:rsidR="00830E72" w14:paraId="70025192" w14:textId="77777777">
                <w:sdt>
                  <w:sdtPr>
                    <w:tag w:val="_PLD_62c79909426d483f990fd7869da0a773"/>
                    <w:id w:val="-513066035"/>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1A0A12BC" w14:textId="77777777" w:rsidR="00830E72" w:rsidRDefault="008344D8">
                        <w:pPr>
                          <w:ind w:firstLineChars="100" w:firstLine="210"/>
                          <w:rPr>
                            <w:szCs w:val="21"/>
                          </w:rPr>
                        </w:pPr>
                        <w:r>
                          <w:rPr>
                            <w:rFonts w:hint="eastAsia"/>
                            <w:szCs w:val="21"/>
                          </w:rPr>
                          <w:t>其他流动资产</w:t>
                        </w:r>
                      </w:p>
                    </w:tc>
                  </w:sdtContent>
                </w:sdt>
                <w:tc>
                  <w:tcPr>
                    <w:tcW w:w="392" w:type="pct"/>
                    <w:tcBorders>
                      <w:top w:val="outset" w:sz="6" w:space="0" w:color="auto"/>
                      <w:left w:val="outset" w:sz="6" w:space="0" w:color="auto"/>
                      <w:bottom w:val="outset" w:sz="6" w:space="0" w:color="auto"/>
                      <w:right w:val="outset" w:sz="6" w:space="0" w:color="auto"/>
                    </w:tcBorders>
                  </w:tcPr>
                  <w:p w14:paraId="0F7D777D"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5B5DAAEF" w14:textId="77777777" w:rsidR="00830E72" w:rsidRDefault="008344D8">
                    <w:pPr>
                      <w:jc w:val="right"/>
                      <w:rPr>
                        <w:szCs w:val="21"/>
                      </w:rPr>
                    </w:pPr>
                    <w:r>
                      <w:rPr>
                        <w:szCs w:val="21"/>
                      </w:rPr>
                      <w:t>22,961,524.60</w:t>
                    </w:r>
                  </w:p>
                </w:tc>
                <w:tc>
                  <w:tcPr>
                    <w:tcW w:w="1098" w:type="pct"/>
                    <w:tcBorders>
                      <w:top w:val="outset" w:sz="6" w:space="0" w:color="auto"/>
                      <w:left w:val="outset" w:sz="6" w:space="0" w:color="auto"/>
                      <w:bottom w:val="outset" w:sz="6" w:space="0" w:color="auto"/>
                      <w:right w:val="outset" w:sz="6" w:space="0" w:color="auto"/>
                    </w:tcBorders>
                  </w:tcPr>
                  <w:p w14:paraId="33737954" w14:textId="77777777" w:rsidR="00830E72" w:rsidRDefault="008344D8">
                    <w:pPr>
                      <w:jc w:val="right"/>
                      <w:rPr>
                        <w:szCs w:val="21"/>
                      </w:rPr>
                    </w:pPr>
                    <w:r>
                      <w:rPr>
                        <w:szCs w:val="21"/>
                      </w:rPr>
                      <w:t>25,175,885.68</w:t>
                    </w:r>
                  </w:p>
                </w:tc>
              </w:tr>
              <w:tr w:rsidR="00830E72" w14:paraId="2E003F5B" w14:textId="77777777">
                <w:sdt>
                  <w:sdtPr>
                    <w:tag w:val="_PLD_b5f1546085cd4f41ba16ec6a8b42ac7f"/>
                    <w:id w:val="1217318813"/>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240047E0" w14:textId="77777777" w:rsidR="00830E72" w:rsidRDefault="008344D8">
                        <w:pPr>
                          <w:ind w:firstLineChars="200" w:firstLine="420"/>
                          <w:rPr>
                            <w:szCs w:val="21"/>
                          </w:rPr>
                        </w:pPr>
                        <w:r>
                          <w:rPr>
                            <w:rFonts w:hint="eastAsia"/>
                            <w:szCs w:val="21"/>
                          </w:rPr>
                          <w:t>流动资产合计</w:t>
                        </w:r>
                      </w:p>
                    </w:tc>
                  </w:sdtContent>
                </w:sdt>
                <w:tc>
                  <w:tcPr>
                    <w:tcW w:w="392" w:type="pct"/>
                    <w:tcBorders>
                      <w:top w:val="outset" w:sz="6" w:space="0" w:color="auto"/>
                      <w:left w:val="outset" w:sz="6" w:space="0" w:color="auto"/>
                      <w:bottom w:val="outset" w:sz="6" w:space="0" w:color="auto"/>
                      <w:right w:val="outset" w:sz="6" w:space="0" w:color="auto"/>
                    </w:tcBorders>
                  </w:tcPr>
                  <w:p w14:paraId="39D21D57"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4CBC5897" w14:textId="77777777" w:rsidR="00830E72" w:rsidRDefault="008344D8">
                    <w:pPr>
                      <w:jc w:val="right"/>
                      <w:rPr>
                        <w:szCs w:val="21"/>
                      </w:rPr>
                    </w:pPr>
                    <w:r>
                      <w:rPr>
                        <w:szCs w:val="21"/>
                      </w:rPr>
                      <w:t>4,829,590,553.49</w:t>
                    </w:r>
                  </w:p>
                </w:tc>
                <w:tc>
                  <w:tcPr>
                    <w:tcW w:w="1098" w:type="pct"/>
                    <w:tcBorders>
                      <w:top w:val="outset" w:sz="6" w:space="0" w:color="auto"/>
                      <w:left w:val="outset" w:sz="6" w:space="0" w:color="auto"/>
                      <w:bottom w:val="outset" w:sz="6" w:space="0" w:color="auto"/>
                      <w:right w:val="outset" w:sz="6" w:space="0" w:color="auto"/>
                    </w:tcBorders>
                  </w:tcPr>
                  <w:p w14:paraId="709F655B" w14:textId="77777777" w:rsidR="00830E72" w:rsidRDefault="008344D8">
                    <w:pPr>
                      <w:jc w:val="right"/>
                      <w:rPr>
                        <w:szCs w:val="21"/>
                      </w:rPr>
                    </w:pPr>
                    <w:r>
                      <w:rPr>
                        <w:szCs w:val="21"/>
                      </w:rPr>
                      <w:t>3,899,405,531.10</w:t>
                    </w:r>
                  </w:p>
                </w:tc>
              </w:tr>
              <w:tr w:rsidR="00830E72" w14:paraId="12A24023" w14:textId="77777777">
                <w:sdt>
                  <w:sdtPr>
                    <w:tag w:val="_PLD_71f45ac7535d4ffeaa6273d6527bae0d"/>
                    <w:id w:val="1407957937"/>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5A8B6418" w14:textId="77777777" w:rsidR="00830E72" w:rsidRDefault="008344D8">
                        <w:pPr>
                          <w:rPr>
                            <w:szCs w:val="21"/>
                          </w:rPr>
                        </w:pPr>
                        <w:r>
                          <w:rPr>
                            <w:rFonts w:hint="eastAsia"/>
                            <w:b/>
                            <w:bCs/>
                            <w:szCs w:val="21"/>
                          </w:rPr>
                          <w:t>非流动资产：</w:t>
                        </w:r>
                      </w:p>
                    </w:tc>
                  </w:sdtContent>
                </w:sdt>
                <w:tc>
                  <w:tcPr>
                    <w:tcW w:w="392" w:type="pct"/>
                    <w:tcBorders>
                      <w:top w:val="outset" w:sz="6" w:space="0" w:color="auto"/>
                      <w:left w:val="outset" w:sz="6" w:space="0" w:color="auto"/>
                      <w:bottom w:val="outset" w:sz="6" w:space="0" w:color="auto"/>
                      <w:right w:val="outset" w:sz="6" w:space="0" w:color="auto"/>
                    </w:tcBorders>
                  </w:tcPr>
                  <w:p w14:paraId="308BC4FC" w14:textId="77777777" w:rsidR="00830E72" w:rsidRDefault="00830E72">
                    <w:pPr>
                      <w:rPr>
                        <w:color w:val="008000"/>
                        <w:szCs w:val="21"/>
                      </w:rPr>
                    </w:pPr>
                  </w:p>
                </w:tc>
                <w:tc>
                  <w:tcPr>
                    <w:tcW w:w="1176" w:type="pct"/>
                    <w:tcBorders>
                      <w:top w:val="outset" w:sz="6" w:space="0" w:color="auto"/>
                      <w:left w:val="outset" w:sz="6" w:space="0" w:color="auto"/>
                      <w:bottom w:val="outset" w:sz="6" w:space="0" w:color="auto"/>
                      <w:right w:val="outset" w:sz="6" w:space="0" w:color="auto"/>
                    </w:tcBorders>
                  </w:tcPr>
                  <w:p w14:paraId="7D10D055" w14:textId="77777777" w:rsidR="00830E72" w:rsidRDefault="00830E72">
                    <w:pPr>
                      <w:rPr>
                        <w:color w:val="008000"/>
                        <w:szCs w:val="21"/>
                      </w:rPr>
                    </w:pPr>
                  </w:p>
                </w:tc>
                <w:tc>
                  <w:tcPr>
                    <w:tcW w:w="1098" w:type="pct"/>
                    <w:tcBorders>
                      <w:top w:val="outset" w:sz="6" w:space="0" w:color="auto"/>
                      <w:left w:val="outset" w:sz="6" w:space="0" w:color="auto"/>
                      <w:bottom w:val="outset" w:sz="6" w:space="0" w:color="auto"/>
                      <w:right w:val="outset" w:sz="6" w:space="0" w:color="auto"/>
                    </w:tcBorders>
                  </w:tcPr>
                  <w:p w14:paraId="09155673" w14:textId="77777777" w:rsidR="00830E72" w:rsidRDefault="00830E72">
                    <w:pPr>
                      <w:rPr>
                        <w:color w:val="008000"/>
                        <w:szCs w:val="21"/>
                      </w:rPr>
                    </w:pPr>
                  </w:p>
                </w:tc>
              </w:tr>
              <w:tr w:rsidR="00830E72" w14:paraId="2CD9DC7F" w14:textId="77777777">
                <w:tc>
                  <w:tcPr>
                    <w:tcW w:w="233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c2fbd80d951495a9e6e271d71a458e3"/>
                      <w:id w:val="1630125737"/>
                      <w:lock w:val="sdtLocked"/>
                    </w:sdtPr>
                    <w:sdtEndPr/>
                    <w:sdtContent>
                      <w:p w14:paraId="758347B1" w14:textId="77777777" w:rsidR="00830E72" w:rsidRDefault="008344D8">
                        <w:pPr>
                          <w:ind w:firstLineChars="100" w:firstLine="210"/>
                        </w:pPr>
                        <w:r>
                          <w:rPr>
                            <w:rFonts w:hint="eastAsia"/>
                          </w:rPr>
                          <w:t>债权投资</w:t>
                        </w:r>
                      </w:p>
                    </w:sdtContent>
                  </w:sdt>
                </w:tc>
                <w:tc>
                  <w:tcPr>
                    <w:tcW w:w="392" w:type="pct"/>
                    <w:tcBorders>
                      <w:top w:val="outset" w:sz="6" w:space="0" w:color="auto"/>
                      <w:left w:val="outset" w:sz="6" w:space="0" w:color="auto"/>
                      <w:bottom w:val="outset" w:sz="6" w:space="0" w:color="auto"/>
                      <w:right w:val="outset" w:sz="6" w:space="0" w:color="auto"/>
                    </w:tcBorders>
                  </w:tcPr>
                  <w:p w14:paraId="48624E5B"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7E64D90A"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7DE7489E" w14:textId="77777777" w:rsidR="00830E72" w:rsidRDefault="00830E72">
                    <w:pPr>
                      <w:jc w:val="right"/>
                      <w:rPr>
                        <w:szCs w:val="21"/>
                      </w:rPr>
                    </w:pPr>
                  </w:p>
                </w:tc>
              </w:tr>
              <w:tr w:rsidR="00830E72" w14:paraId="2FF0AF56" w14:textId="77777777">
                <w:tc>
                  <w:tcPr>
                    <w:tcW w:w="233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e13bbca7370496690a32404c8d408c7"/>
                      <w:id w:val="665438931"/>
                      <w:lock w:val="sdtLocked"/>
                    </w:sdtPr>
                    <w:sdtEndPr/>
                    <w:sdtContent>
                      <w:p w14:paraId="3CECBACB" w14:textId="77777777" w:rsidR="00830E72" w:rsidRDefault="008344D8">
                        <w:pPr>
                          <w:ind w:firstLineChars="100" w:firstLine="210"/>
                        </w:pPr>
                        <w:r>
                          <w:rPr>
                            <w:rFonts w:hint="eastAsia"/>
                          </w:rPr>
                          <w:t>其他债权投资</w:t>
                        </w:r>
                      </w:p>
                    </w:sdtContent>
                  </w:sdt>
                </w:tc>
                <w:tc>
                  <w:tcPr>
                    <w:tcW w:w="392" w:type="pct"/>
                    <w:tcBorders>
                      <w:top w:val="outset" w:sz="6" w:space="0" w:color="auto"/>
                      <w:left w:val="outset" w:sz="6" w:space="0" w:color="auto"/>
                      <w:bottom w:val="outset" w:sz="6" w:space="0" w:color="auto"/>
                      <w:right w:val="outset" w:sz="6" w:space="0" w:color="auto"/>
                    </w:tcBorders>
                  </w:tcPr>
                  <w:p w14:paraId="60C6E299"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48EFF427"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38765D93" w14:textId="77777777" w:rsidR="00830E72" w:rsidRDefault="00830E72">
                    <w:pPr>
                      <w:jc w:val="right"/>
                      <w:rPr>
                        <w:szCs w:val="21"/>
                      </w:rPr>
                    </w:pPr>
                  </w:p>
                </w:tc>
              </w:tr>
              <w:tr w:rsidR="00830E72" w14:paraId="2B7CDE0B" w14:textId="77777777">
                <w:sdt>
                  <w:sdtPr>
                    <w:tag w:val="_PLD_6305d0ab634c4b40bd8df81ff23c8d0d"/>
                    <w:id w:val="-1169249494"/>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3F835567" w14:textId="77777777" w:rsidR="00830E72" w:rsidRDefault="008344D8">
                        <w:pPr>
                          <w:ind w:firstLineChars="100" w:firstLine="210"/>
                          <w:rPr>
                            <w:szCs w:val="21"/>
                          </w:rPr>
                        </w:pPr>
                        <w:r>
                          <w:rPr>
                            <w:rFonts w:hint="eastAsia"/>
                            <w:szCs w:val="21"/>
                          </w:rPr>
                          <w:t>长期应收款</w:t>
                        </w:r>
                      </w:p>
                    </w:tc>
                  </w:sdtContent>
                </w:sdt>
                <w:tc>
                  <w:tcPr>
                    <w:tcW w:w="392" w:type="pct"/>
                    <w:tcBorders>
                      <w:top w:val="outset" w:sz="6" w:space="0" w:color="auto"/>
                      <w:left w:val="outset" w:sz="6" w:space="0" w:color="auto"/>
                      <w:bottom w:val="outset" w:sz="6" w:space="0" w:color="auto"/>
                      <w:right w:val="outset" w:sz="6" w:space="0" w:color="auto"/>
                    </w:tcBorders>
                  </w:tcPr>
                  <w:p w14:paraId="2C701E1F"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64404C99" w14:textId="77777777" w:rsidR="00830E72" w:rsidRDefault="008344D8">
                    <w:pPr>
                      <w:jc w:val="right"/>
                      <w:rPr>
                        <w:szCs w:val="21"/>
                      </w:rPr>
                    </w:pPr>
                    <w:r>
                      <w:rPr>
                        <w:szCs w:val="21"/>
                      </w:rPr>
                      <w:t>48,732,442.21</w:t>
                    </w:r>
                  </w:p>
                </w:tc>
                <w:tc>
                  <w:tcPr>
                    <w:tcW w:w="1098" w:type="pct"/>
                    <w:tcBorders>
                      <w:top w:val="outset" w:sz="6" w:space="0" w:color="auto"/>
                      <w:left w:val="outset" w:sz="6" w:space="0" w:color="auto"/>
                      <w:bottom w:val="outset" w:sz="6" w:space="0" w:color="auto"/>
                      <w:right w:val="outset" w:sz="6" w:space="0" w:color="auto"/>
                    </w:tcBorders>
                  </w:tcPr>
                  <w:p w14:paraId="11C77269" w14:textId="77777777" w:rsidR="00830E72" w:rsidRDefault="008344D8">
                    <w:pPr>
                      <w:jc w:val="right"/>
                      <w:rPr>
                        <w:szCs w:val="21"/>
                      </w:rPr>
                    </w:pPr>
                    <w:r>
                      <w:rPr>
                        <w:szCs w:val="21"/>
                      </w:rPr>
                      <w:t>50,087,856.34</w:t>
                    </w:r>
                  </w:p>
                </w:tc>
              </w:tr>
              <w:tr w:rsidR="00830E72" w14:paraId="48659CAF" w14:textId="77777777">
                <w:sdt>
                  <w:sdtPr>
                    <w:tag w:val="_PLD_fa3d0d37a62a4d8890171550ab1664b1"/>
                    <w:id w:val="2027513450"/>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705F12CD" w14:textId="77777777" w:rsidR="00830E72" w:rsidRDefault="008344D8">
                        <w:pPr>
                          <w:ind w:firstLineChars="100" w:firstLine="210"/>
                          <w:rPr>
                            <w:szCs w:val="21"/>
                          </w:rPr>
                        </w:pPr>
                        <w:r>
                          <w:rPr>
                            <w:rFonts w:hint="eastAsia"/>
                            <w:szCs w:val="21"/>
                          </w:rPr>
                          <w:t>长期股权投资</w:t>
                        </w:r>
                      </w:p>
                    </w:tc>
                  </w:sdtContent>
                </w:sdt>
                <w:tc>
                  <w:tcPr>
                    <w:tcW w:w="392" w:type="pct"/>
                    <w:tcBorders>
                      <w:top w:val="outset" w:sz="6" w:space="0" w:color="auto"/>
                      <w:left w:val="outset" w:sz="6" w:space="0" w:color="auto"/>
                      <w:bottom w:val="outset" w:sz="6" w:space="0" w:color="auto"/>
                      <w:right w:val="outset" w:sz="6" w:space="0" w:color="auto"/>
                    </w:tcBorders>
                  </w:tcPr>
                  <w:p w14:paraId="0A613544"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4E452FAB" w14:textId="77777777" w:rsidR="00830E72" w:rsidRDefault="008344D8">
                    <w:pPr>
                      <w:jc w:val="right"/>
                      <w:rPr>
                        <w:szCs w:val="21"/>
                      </w:rPr>
                    </w:pPr>
                    <w:r>
                      <w:rPr>
                        <w:szCs w:val="21"/>
                      </w:rPr>
                      <w:t>462,808,811.17</w:t>
                    </w:r>
                  </w:p>
                </w:tc>
                <w:tc>
                  <w:tcPr>
                    <w:tcW w:w="1098" w:type="pct"/>
                    <w:tcBorders>
                      <w:top w:val="outset" w:sz="6" w:space="0" w:color="auto"/>
                      <w:left w:val="outset" w:sz="6" w:space="0" w:color="auto"/>
                      <w:bottom w:val="outset" w:sz="6" w:space="0" w:color="auto"/>
                      <w:right w:val="outset" w:sz="6" w:space="0" w:color="auto"/>
                    </w:tcBorders>
                  </w:tcPr>
                  <w:p w14:paraId="4F429547" w14:textId="77777777" w:rsidR="00830E72" w:rsidRDefault="008344D8">
                    <w:pPr>
                      <w:jc w:val="right"/>
                      <w:rPr>
                        <w:szCs w:val="21"/>
                      </w:rPr>
                    </w:pPr>
                    <w:r>
                      <w:rPr>
                        <w:szCs w:val="21"/>
                      </w:rPr>
                      <w:t>249,348,399.17</w:t>
                    </w:r>
                  </w:p>
                </w:tc>
              </w:tr>
              <w:tr w:rsidR="00830E72" w14:paraId="0BEE674F" w14:textId="77777777">
                <w:tc>
                  <w:tcPr>
                    <w:tcW w:w="233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f348e432d64b2db9dfbd6062b82eb5"/>
                      <w:id w:val="-146586915"/>
                      <w:lock w:val="sdtLocked"/>
                    </w:sdtPr>
                    <w:sdtEndPr/>
                    <w:sdtContent>
                      <w:p w14:paraId="7D38C1E2" w14:textId="77777777" w:rsidR="00830E72" w:rsidRDefault="008344D8">
                        <w:pPr>
                          <w:ind w:firstLineChars="100" w:firstLine="210"/>
                        </w:pPr>
                        <w:r>
                          <w:rPr>
                            <w:rFonts w:hint="eastAsia"/>
                          </w:rPr>
                          <w:t>其他权益工具投资</w:t>
                        </w:r>
                      </w:p>
                    </w:sdtContent>
                  </w:sdt>
                </w:tc>
                <w:tc>
                  <w:tcPr>
                    <w:tcW w:w="392" w:type="pct"/>
                    <w:tcBorders>
                      <w:top w:val="outset" w:sz="6" w:space="0" w:color="auto"/>
                      <w:left w:val="outset" w:sz="6" w:space="0" w:color="auto"/>
                      <w:bottom w:val="outset" w:sz="6" w:space="0" w:color="auto"/>
                      <w:right w:val="outset" w:sz="6" w:space="0" w:color="auto"/>
                    </w:tcBorders>
                  </w:tcPr>
                  <w:p w14:paraId="0572F2EA"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25DDBF92"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470AFF3B" w14:textId="77777777" w:rsidR="00830E72" w:rsidRDefault="00830E72">
                    <w:pPr>
                      <w:jc w:val="right"/>
                      <w:rPr>
                        <w:szCs w:val="21"/>
                      </w:rPr>
                    </w:pPr>
                  </w:p>
                </w:tc>
              </w:tr>
              <w:tr w:rsidR="00830E72" w14:paraId="51EDC40B" w14:textId="77777777">
                <w:tc>
                  <w:tcPr>
                    <w:tcW w:w="233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3127ce1ff284582992a5980b440c217"/>
                      <w:id w:val="128291602"/>
                      <w:lock w:val="sdtLocked"/>
                    </w:sdtPr>
                    <w:sdtEndPr/>
                    <w:sdtContent>
                      <w:p w14:paraId="53FDF240" w14:textId="77777777" w:rsidR="00830E72" w:rsidRDefault="008344D8">
                        <w:pPr>
                          <w:ind w:firstLineChars="100" w:firstLine="210"/>
                        </w:pPr>
                        <w:r>
                          <w:rPr>
                            <w:rFonts w:hint="eastAsia"/>
                          </w:rPr>
                          <w:t>其他非流动金融资产</w:t>
                        </w:r>
                      </w:p>
                    </w:sdtContent>
                  </w:sdt>
                </w:tc>
                <w:tc>
                  <w:tcPr>
                    <w:tcW w:w="392" w:type="pct"/>
                    <w:tcBorders>
                      <w:top w:val="outset" w:sz="6" w:space="0" w:color="auto"/>
                      <w:left w:val="outset" w:sz="6" w:space="0" w:color="auto"/>
                      <w:bottom w:val="outset" w:sz="6" w:space="0" w:color="auto"/>
                      <w:right w:val="outset" w:sz="6" w:space="0" w:color="auto"/>
                    </w:tcBorders>
                  </w:tcPr>
                  <w:p w14:paraId="50437610"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47152478" w14:textId="77777777" w:rsidR="00830E72" w:rsidRDefault="008344D8">
                    <w:pPr>
                      <w:jc w:val="right"/>
                      <w:rPr>
                        <w:szCs w:val="21"/>
                      </w:rPr>
                    </w:pPr>
                    <w:r>
                      <w:rPr>
                        <w:szCs w:val="21"/>
                      </w:rPr>
                      <w:t>75,453,157.25</w:t>
                    </w:r>
                  </w:p>
                </w:tc>
                <w:tc>
                  <w:tcPr>
                    <w:tcW w:w="1098" w:type="pct"/>
                    <w:tcBorders>
                      <w:top w:val="outset" w:sz="6" w:space="0" w:color="auto"/>
                      <w:left w:val="outset" w:sz="6" w:space="0" w:color="auto"/>
                      <w:bottom w:val="outset" w:sz="6" w:space="0" w:color="auto"/>
                      <w:right w:val="outset" w:sz="6" w:space="0" w:color="auto"/>
                    </w:tcBorders>
                  </w:tcPr>
                  <w:p w14:paraId="1124F593" w14:textId="77777777" w:rsidR="00830E72" w:rsidRDefault="008344D8">
                    <w:pPr>
                      <w:jc w:val="right"/>
                      <w:rPr>
                        <w:szCs w:val="21"/>
                      </w:rPr>
                    </w:pPr>
                    <w:r>
                      <w:rPr>
                        <w:szCs w:val="21"/>
                      </w:rPr>
                      <w:t>75,453,157.25</w:t>
                    </w:r>
                  </w:p>
                </w:tc>
              </w:tr>
              <w:tr w:rsidR="00830E72" w14:paraId="73E49D1B" w14:textId="77777777">
                <w:sdt>
                  <w:sdtPr>
                    <w:tag w:val="_PLD_d598b192b9aa4c77b3dbe14be0a567ae"/>
                    <w:id w:val="-736786744"/>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2986CA51" w14:textId="77777777" w:rsidR="00830E72" w:rsidRDefault="008344D8">
                        <w:pPr>
                          <w:ind w:firstLineChars="100" w:firstLine="210"/>
                          <w:rPr>
                            <w:szCs w:val="21"/>
                          </w:rPr>
                        </w:pPr>
                        <w:r>
                          <w:rPr>
                            <w:rFonts w:hint="eastAsia"/>
                            <w:szCs w:val="21"/>
                          </w:rPr>
                          <w:t>投资性房地产</w:t>
                        </w:r>
                      </w:p>
                    </w:tc>
                  </w:sdtContent>
                </w:sdt>
                <w:tc>
                  <w:tcPr>
                    <w:tcW w:w="392" w:type="pct"/>
                    <w:tcBorders>
                      <w:top w:val="outset" w:sz="6" w:space="0" w:color="auto"/>
                      <w:left w:val="outset" w:sz="6" w:space="0" w:color="auto"/>
                      <w:bottom w:val="outset" w:sz="6" w:space="0" w:color="auto"/>
                      <w:right w:val="outset" w:sz="6" w:space="0" w:color="auto"/>
                    </w:tcBorders>
                  </w:tcPr>
                  <w:p w14:paraId="330C439E"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788AD518" w14:textId="77777777" w:rsidR="00830E72" w:rsidRDefault="008344D8">
                    <w:pPr>
                      <w:jc w:val="right"/>
                      <w:rPr>
                        <w:szCs w:val="21"/>
                      </w:rPr>
                    </w:pPr>
                    <w:r>
                      <w:rPr>
                        <w:szCs w:val="21"/>
                      </w:rPr>
                      <w:t>95,840,183.90</w:t>
                    </w:r>
                  </w:p>
                </w:tc>
                <w:tc>
                  <w:tcPr>
                    <w:tcW w:w="1098" w:type="pct"/>
                    <w:tcBorders>
                      <w:top w:val="outset" w:sz="6" w:space="0" w:color="auto"/>
                      <w:left w:val="outset" w:sz="6" w:space="0" w:color="auto"/>
                      <w:bottom w:val="outset" w:sz="6" w:space="0" w:color="auto"/>
                      <w:right w:val="outset" w:sz="6" w:space="0" w:color="auto"/>
                    </w:tcBorders>
                  </w:tcPr>
                  <w:p w14:paraId="011DEB9D" w14:textId="77777777" w:rsidR="00830E72" w:rsidRDefault="008344D8">
                    <w:pPr>
                      <w:jc w:val="right"/>
                      <w:rPr>
                        <w:szCs w:val="21"/>
                      </w:rPr>
                    </w:pPr>
                    <w:r>
                      <w:rPr>
                        <w:szCs w:val="21"/>
                      </w:rPr>
                      <w:t>97,634,438.66</w:t>
                    </w:r>
                  </w:p>
                </w:tc>
              </w:tr>
              <w:tr w:rsidR="00830E72" w14:paraId="31D91218" w14:textId="77777777">
                <w:sdt>
                  <w:sdtPr>
                    <w:tag w:val="_PLD_36c5e0c04606490d92af21e793463b46"/>
                    <w:id w:val="-1763452104"/>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246C020F" w14:textId="77777777" w:rsidR="00830E72" w:rsidRDefault="008344D8">
                        <w:pPr>
                          <w:ind w:firstLineChars="100" w:firstLine="210"/>
                          <w:rPr>
                            <w:szCs w:val="21"/>
                          </w:rPr>
                        </w:pPr>
                        <w:r>
                          <w:rPr>
                            <w:rFonts w:hint="eastAsia"/>
                            <w:szCs w:val="21"/>
                          </w:rPr>
                          <w:t>固定资产</w:t>
                        </w:r>
                      </w:p>
                    </w:tc>
                  </w:sdtContent>
                </w:sdt>
                <w:tc>
                  <w:tcPr>
                    <w:tcW w:w="392" w:type="pct"/>
                    <w:tcBorders>
                      <w:top w:val="outset" w:sz="6" w:space="0" w:color="auto"/>
                      <w:left w:val="outset" w:sz="6" w:space="0" w:color="auto"/>
                      <w:bottom w:val="outset" w:sz="6" w:space="0" w:color="auto"/>
                      <w:right w:val="outset" w:sz="6" w:space="0" w:color="auto"/>
                    </w:tcBorders>
                  </w:tcPr>
                  <w:p w14:paraId="5E97B205"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7C9548F9" w14:textId="77777777" w:rsidR="00830E72" w:rsidRDefault="008344D8">
                    <w:pPr>
                      <w:jc w:val="right"/>
                      <w:rPr>
                        <w:szCs w:val="21"/>
                      </w:rPr>
                    </w:pPr>
                    <w:r>
                      <w:rPr>
                        <w:szCs w:val="21"/>
                      </w:rPr>
                      <w:t>32,396,295.87</w:t>
                    </w:r>
                  </w:p>
                </w:tc>
                <w:tc>
                  <w:tcPr>
                    <w:tcW w:w="1098" w:type="pct"/>
                    <w:tcBorders>
                      <w:top w:val="outset" w:sz="6" w:space="0" w:color="auto"/>
                      <w:left w:val="outset" w:sz="6" w:space="0" w:color="auto"/>
                      <w:bottom w:val="outset" w:sz="6" w:space="0" w:color="auto"/>
                      <w:right w:val="outset" w:sz="6" w:space="0" w:color="auto"/>
                    </w:tcBorders>
                  </w:tcPr>
                  <w:p w14:paraId="061D6C86" w14:textId="77777777" w:rsidR="00830E72" w:rsidRDefault="008344D8">
                    <w:pPr>
                      <w:jc w:val="right"/>
                      <w:rPr>
                        <w:szCs w:val="21"/>
                      </w:rPr>
                    </w:pPr>
                    <w:r>
                      <w:rPr>
                        <w:szCs w:val="21"/>
                      </w:rPr>
                      <w:t>33,994,656.25</w:t>
                    </w:r>
                  </w:p>
                </w:tc>
              </w:tr>
              <w:tr w:rsidR="00830E72" w14:paraId="66153486" w14:textId="77777777">
                <w:sdt>
                  <w:sdtPr>
                    <w:tag w:val="_PLD_81cd0ff44d5a4f0e8701c556dd24e59c"/>
                    <w:id w:val="-511367083"/>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6F97EC25" w14:textId="77777777" w:rsidR="00830E72" w:rsidRDefault="008344D8">
                        <w:pPr>
                          <w:ind w:firstLineChars="100" w:firstLine="210"/>
                          <w:rPr>
                            <w:szCs w:val="21"/>
                          </w:rPr>
                        </w:pPr>
                        <w:r>
                          <w:rPr>
                            <w:rFonts w:hint="eastAsia"/>
                            <w:szCs w:val="21"/>
                          </w:rPr>
                          <w:t>在建工程</w:t>
                        </w:r>
                      </w:p>
                    </w:tc>
                  </w:sdtContent>
                </w:sdt>
                <w:tc>
                  <w:tcPr>
                    <w:tcW w:w="392" w:type="pct"/>
                    <w:tcBorders>
                      <w:top w:val="outset" w:sz="6" w:space="0" w:color="auto"/>
                      <w:left w:val="outset" w:sz="6" w:space="0" w:color="auto"/>
                      <w:bottom w:val="outset" w:sz="6" w:space="0" w:color="auto"/>
                      <w:right w:val="outset" w:sz="6" w:space="0" w:color="auto"/>
                    </w:tcBorders>
                  </w:tcPr>
                  <w:p w14:paraId="324B47F2"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0D13D62D"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4D0C25DC" w14:textId="77777777" w:rsidR="00830E72" w:rsidRDefault="00830E72">
                    <w:pPr>
                      <w:jc w:val="right"/>
                      <w:rPr>
                        <w:szCs w:val="21"/>
                      </w:rPr>
                    </w:pPr>
                  </w:p>
                </w:tc>
              </w:tr>
              <w:tr w:rsidR="00830E72" w14:paraId="23BC0F0D" w14:textId="77777777">
                <w:sdt>
                  <w:sdtPr>
                    <w:tag w:val="_PLD_74c33ad5ce6d42528b0c43102a02972c"/>
                    <w:id w:val="1784995845"/>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568CDD15" w14:textId="77777777" w:rsidR="00830E72" w:rsidRDefault="008344D8">
                        <w:pPr>
                          <w:ind w:firstLineChars="100" w:firstLine="210"/>
                          <w:rPr>
                            <w:szCs w:val="21"/>
                          </w:rPr>
                        </w:pPr>
                        <w:r>
                          <w:rPr>
                            <w:rFonts w:hint="eastAsia"/>
                            <w:szCs w:val="21"/>
                          </w:rPr>
                          <w:t>生产性生物资产</w:t>
                        </w:r>
                      </w:p>
                    </w:tc>
                  </w:sdtContent>
                </w:sdt>
                <w:tc>
                  <w:tcPr>
                    <w:tcW w:w="392" w:type="pct"/>
                    <w:tcBorders>
                      <w:top w:val="outset" w:sz="6" w:space="0" w:color="auto"/>
                      <w:left w:val="outset" w:sz="6" w:space="0" w:color="auto"/>
                      <w:bottom w:val="outset" w:sz="6" w:space="0" w:color="auto"/>
                      <w:right w:val="outset" w:sz="6" w:space="0" w:color="auto"/>
                    </w:tcBorders>
                  </w:tcPr>
                  <w:p w14:paraId="750A57C0"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28D55AE3"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1C0C6CF1" w14:textId="77777777" w:rsidR="00830E72" w:rsidRDefault="00830E72">
                    <w:pPr>
                      <w:jc w:val="right"/>
                      <w:rPr>
                        <w:szCs w:val="21"/>
                      </w:rPr>
                    </w:pPr>
                  </w:p>
                </w:tc>
              </w:tr>
              <w:tr w:rsidR="00830E72" w14:paraId="5248032C" w14:textId="77777777">
                <w:sdt>
                  <w:sdtPr>
                    <w:tag w:val="_PLD_edcc58c83399408895b0a6d09d9073f2"/>
                    <w:id w:val="2027833807"/>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009A33BA" w14:textId="77777777" w:rsidR="00830E72" w:rsidRDefault="008344D8">
                        <w:pPr>
                          <w:ind w:firstLineChars="100" w:firstLine="210"/>
                          <w:rPr>
                            <w:szCs w:val="21"/>
                          </w:rPr>
                        </w:pPr>
                        <w:r>
                          <w:rPr>
                            <w:rFonts w:hint="eastAsia"/>
                            <w:szCs w:val="21"/>
                          </w:rPr>
                          <w:t>油气资产</w:t>
                        </w:r>
                      </w:p>
                    </w:tc>
                  </w:sdtContent>
                </w:sdt>
                <w:tc>
                  <w:tcPr>
                    <w:tcW w:w="392" w:type="pct"/>
                    <w:tcBorders>
                      <w:top w:val="outset" w:sz="6" w:space="0" w:color="auto"/>
                      <w:left w:val="outset" w:sz="6" w:space="0" w:color="auto"/>
                      <w:bottom w:val="outset" w:sz="6" w:space="0" w:color="auto"/>
                      <w:right w:val="outset" w:sz="6" w:space="0" w:color="auto"/>
                    </w:tcBorders>
                  </w:tcPr>
                  <w:p w14:paraId="36BF1D6B"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5CD86A36"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756F84D6" w14:textId="77777777" w:rsidR="00830E72" w:rsidRDefault="00830E72">
                    <w:pPr>
                      <w:jc w:val="right"/>
                      <w:rPr>
                        <w:szCs w:val="21"/>
                      </w:rPr>
                    </w:pPr>
                  </w:p>
                </w:tc>
              </w:tr>
              <w:tr w:rsidR="00830E72" w14:paraId="015D313F" w14:textId="77777777">
                <w:tc>
                  <w:tcPr>
                    <w:tcW w:w="233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d2c3b675df54b0b89d82ab1b691d06c"/>
                      <w:id w:val="-1290428918"/>
                      <w:lock w:val="sdtLocked"/>
                    </w:sdtPr>
                    <w:sdtEndPr/>
                    <w:sdtContent>
                      <w:p w14:paraId="2FAE8B86" w14:textId="77777777" w:rsidR="00830E72" w:rsidRDefault="008344D8">
                        <w:pPr>
                          <w:ind w:firstLineChars="100" w:firstLine="210"/>
                        </w:pPr>
                        <w:r>
                          <w:rPr>
                            <w:rFonts w:hint="eastAsia"/>
                          </w:rPr>
                          <w:t>使用权资产</w:t>
                        </w:r>
                      </w:p>
                    </w:sdtContent>
                  </w:sdt>
                </w:tc>
                <w:tc>
                  <w:tcPr>
                    <w:tcW w:w="392" w:type="pct"/>
                    <w:tcBorders>
                      <w:top w:val="outset" w:sz="6" w:space="0" w:color="auto"/>
                      <w:left w:val="outset" w:sz="6" w:space="0" w:color="auto"/>
                      <w:bottom w:val="outset" w:sz="6" w:space="0" w:color="auto"/>
                      <w:right w:val="outset" w:sz="6" w:space="0" w:color="auto"/>
                    </w:tcBorders>
                  </w:tcPr>
                  <w:p w14:paraId="562B53AB"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5735A59B" w14:textId="77777777" w:rsidR="00830E72" w:rsidRDefault="008344D8">
                    <w:pPr>
                      <w:jc w:val="right"/>
                      <w:rPr>
                        <w:szCs w:val="21"/>
                      </w:rPr>
                    </w:pPr>
                    <w:r>
                      <w:rPr>
                        <w:szCs w:val="21"/>
                      </w:rPr>
                      <w:t>3,508,223.72</w:t>
                    </w:r>
                  </w:p>
                </w:tc>
                <w:tc>
                  <w:tcPr>
                    <w:tcW w:w="1098" w:type="pct"/>
                    <w:tcBorders>
                      <w:top w:val="outset" w:sz="6" w:space="0" w:color="auto"/>
                      <w:left w:val="outset" w:sz="6" w:space="0" w:color="auto"/>
                      <w:bottom w:val="outset" w:sz="6" w:space="0" w:color="auto"/>
                      <w:right w:val="outset" w:sz="6" w:space="0" w:color="auto"/>
                    </w:tcBorders>
                  </w:tcPr>
                  <w:p w14:paraId="401F0705" w14:textId="77777777" w:rsidR="00830E72" w:rsidRDefault="00830E72">
                    <w:pPr>
                      <w:jc w:val="right"/>
                      <w:rPr>
                        <w:szCs w:val="21"/>
                      </w:rPr>
                    </w:pPr>
                  </w:p>
                </w:tc>
              </w:tr>
              <w:tr w:rsidR="00830E72" w14:paraId="617049DE" w14:textId="77777777">
                <w:sdt>
                  <w:sdtPr>
                    <w:tag w:val="_PLD_e97c32de07ca406c995520445e6dffbf"/>
                    <w:id w:val="-1445921297"/>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6F36FCF9" w14:textId="77777777" w:rsidR="00830E72" w:rsidRDefault="008344D8">
                        <w:pPr>
                          <w:ind w:firstLineChars="100" w:firstLine="210"/>
                          <w:rPr>
                            <w:szCs w:val="21"/>
                          </w:rPr>
                        </w:pPr>
                        <w:r>
                          <w:rPr>
                            <w:rFonts w:hint="eastAsia"/>
                            <w:szCs w:val="21"/>
                          </w:rPr>
                          <w:t>无形资产</w:t>
                        </w:r>
                      </w:p>
                    </w:tc>
                  </w:sdtContent>
                </w:sdt>
                <w:tc>
                  <w:tcPr>
                    <w:tcW w:w="392" w:type="pct"/>
                    <w:tcBorders>
                      <w:top w:val="outset" w:sz="6" w:space="0" w:color="auto"/>
                      <w:left w:val="outset" w:sz="6" w:space="0" w:color="auto"/>
                      <w:bottom w:val="outset" w:sz="6" w:space="0" w:color="auto"/>
                      <w:right w:val="outset" w:sz="6" w:space="0" w:color="auto"/>
                    </w:tcBorders>
                  </w:tcPr>
                  <w:p w14:paraId="2B93DA6A"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622EE08F" w14:textId="77777777" w:rsidR="00830E72" w:rsidRDefault="008344D8">
                    <w:pPr>
                      <w:jc w:val="right"/>
                      <w:rPr>
                        <w:szCs w:val="21"/>
                      </w:rPr>
                    </w:pPr>
                    <w:r>
                      <w:rPr>
                        <w:szCs w:val="21"/>
                      </w:rPr>
                      <w:t>1,249,806.37</w:t>
                    </w:r>
                  </w:p>
                </w:tc>
                <w:tc>
                  <w:tcPr>
                    <w:tcW w:w="1098" w:type="pct"/>
                    <w:tcBorders>
                      <w:top w:val="outset" w:sz="6" w:space="0" w:color="auto"/>
                      <w:left w:val="outset" w:sz="6" w:space="0" w:color="auto"/>
                      <w:bottom w:val="outset" w:sz="6" w:space="0" w:color="auto"/>
                      <w:right w:val="outset" w:sz="6" w:space="0" w:color="auto"/>
                    </w:tcBorders>
                  </w:tcPr>
                  <w:p w14:paraId="3B69B5CD" w14:textId="77777777" w:rsidR="00830E72" w:rsidRDefault="008344D8">
                    <w:pPr>
                      <w:jc w:val="right"/>
                      <w:rPr>
                        <w:szCs w:val="21"/>
                      </w:rPr>
                    </w:pPr>
                    <w:r>
                      <w:rPr>
                        <w:szCs w:val="21"/>
                      </w:rPr>
                      <w:t>1,230,706.61</w:t>
                    </w:r>
                  </w:p>
                </w:tc>
              </w:tr>
              <w:tr w:rsidR="00830E72" w14:paraId="5D92E7DB" w14:textId="77777777">
                <w:sdt>
                  <w:sdtPr>
                    <w:tag w:val="_PLD_f4ffd10790ec4e6bb2e54090fd20cdea"/>
                    <w:id w:val="898643864"/>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2BCEC608" w14:textId="77777777" w:rsidR="00830E72" w:rsidRDefault="008344D8">
                        <w:pPr>
                          <w:ind w:firstLineChars="100" w:firstLine="210"/>
                          <w:rPr>
                            <w:szCs w:val="21"/>
                          </w:rPr>
                        </w:pPr>
                        <w:r>
                          <w:rPr>
                            <w:rFonts w:hint="eastAsia"/>
                            <w:szCs w:val="21"/>
                          </w:rPr>
                          <w:t>开发支出</w:t>
                        </w:r>
                      </w:p>
                    </w:tc>
                  </w:sdtContent>
                </w:sdt>
                <w:tc>
                  <w:tcPr>
                    <w:tcW w:w="392" w:type="pct"/>
                    <w:tcBorders>
                      <w:top w:val="outset" w:sz="6" w:space="0" w:color="auto"/>
                      <w:left w:val="outset" w:sz="6" w:space="0" w:color="auto"/>
                      <w:bottom w:val="outset" w:sz="6" w:space="0" w:color="auto"/>
                      <w:right w:val="outset" w:sz="6" w:space="0" w:color="auto"/>
                    </w:tcBorders>
                  </w:tcPr>
                  <w:p w14:paraId="368FE877"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49D5E29D"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2D638285" w14:textId="77777777" w:rsidR="00830E72" w:rsidRDefault="00830E72">
                    <w:pPr>
                      <w:jc w:val="right"/>
                      <w:rPr>
                        <w:szCs w:val="21"/>
                      </w:rPr>
                    </w:pPr>
                  </w:p>
                </w:tc>
              </w:tr>
              <w:tr w:rsidR="00830E72" w14:paraId="4F0497E0" w14:textId="77777777">
                <w:sdt>
                  <w:sdtPr>
                    <w:tag w:val="_PLD_8ab7a8967dca44f3b2bd0ec65150e937"/>
                    <w:id w:val="-825974920"/>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67D59798" w14:textId="77777777" w:rsidR="00830E72" w:rsidRDefault="008344D8">
                        <w:pPr>
                          <w:ind w:firstLineChars="100" w:firstLine="210"/>
                          <w:rPr>
                            <w:szCs w:val="21"/>
                          </w:rPr>
                        </w:pPr>
                        <w:r>
                          <w:rPr>
                            <w:rFonts w:hint="eastAsia"/>
                            <w:szCs w:val="21"/>
                          </w:rPr>
                          <w:t>商誉</w:t>
                        </w:r>
                      </w:p>
                    </w:tc>
                  </w:sdtContent>
                </w:sdt>
                <w:tc>
                  <w:tcPr>
                    <w:tcW w:w="392" w:type="pct"/>
                    <w:tcBorders>
                      <w:top w:val="outset" w:sz="6" w:space="0" w:color="auto"/>
                      <w:left w:val="outset" w:sz="6" w:space="0" w:color="auto"/>
                      <w:bottom w:val="outset" w:sz="6" w:space="0" w:color="auto"/>
                      <w:right w:val="outset" w:sz="6" w:space="0" w:color="auto"/>
                    </w:tcBorders>
                  </w:tcPr>
                  <w:p w14:paraId="082596A9"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25118F36"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2DAFDED7" w14:textId="77777777" w:rsidR="00830E72" w:rsidRDefault="00830E72">
                    <w:pPr>
                      <w:jc w:val="right"/>
                      <w:rPr>
                        <w:szCs w:val="21"/>
                      </w:rPr>
                    </w:pPr>
                  </w:p>
                </w:tc>
              </w:tr>
              <w:tr w:rsidR="00830E72" w14:paraId="579D65DA" w14:textId="77777777">
                <w:sdt>
                  <w:sdtPr>
                    <w:tag w:val="_PLD_c056001bc1b3464fb0b5268a537d7ec4"/>
                    <w:id w:val="1602989734"/>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7E4347EF" w14:textId="77777777" w:rsidR="00830E72" w:rsidRDefault="008344D8">
                        <w:pPr>
                          <w:ind w:firstLineChars="100" w:firstLine="210"/>
                          <w:rPr>
                            <w:szCs w:val="21"/>
                          </w:rPr>
                        </w:pPr>
                        <w:r>
                          <w:rPr>
                            <w:rFonts w:hint="eastAsia"/>
                            <w:szCs w:val="21"/>
                          </w:rPr>
                          <w:t>长期待摊费用</w:t>
                        </w:r>
                      </w:p>
                    </w:tc>
                  </w:sdtContent>
                </w:sdt>
                <w:tc>
                  <w:tcPr>
                    <w:tcW w:w="392" w:type="pct"/>
                    <w:tcBorders>
                      <w:top w:val="outset" w:sz="6" w:space="0" w:color="auto"/>
                      <w:left w:val="outset" w:sz="6" w:space="0" w:color="auto"/>
                      <w:bottom w:val="outset" w:sz="6" w:space="0" w:color="auto"/>
                      <w:right w:val="outset" w:sz="6" w:space="0" w:color="auto"/>
                    </w:tcBorders>
                  </w:tcPr>
                  <w:p w14:paraId="762B9AAD"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01D9CC9F"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1B8BA749" w14:textId="77777777" w:rsidR="00830E72" w:rsidRDefault="00830E72">
                    <w:pPr>
                      <w:jc w:val="right"/>
                      <w:rPr>
                        <w:szCs w:val="21"/>
                      </w:rPr>
                    </w:pPr>
                  </w:p>
                </w:tc>
              </w:tr>
              <w:tr w:rsidR="00830E72" w14:paraId="250B57D4" w14:textId="77777777">
                <w:sdt>
                  <w:sdtPr>
                    <w:tag w:val="_PLD_8c08fa756eba4bf89ad37621da0216df"/>
                    <w:id w:val="1276823141"/>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4C592DDE" w14:textId="77777777" w:rsidR="00830E72" w:rsidRDefault="008344D8">
                        <w:pPr>
                          <w:ind w:firstLineChars="100" w:firstLine="210"/>
                          <w:rPr>
                            <w:szCs w:val="21"/>
                          </w:rPr>
                        </w:pPr>
                        <w:r>
                          <w:rPr>
                            <w:rFonts w:hint="eastAsia"/>
                            <w:szCs w:val="21"/>
                          </w:rPr>
                          <w:t>递延所得税资产</w:t>
                        </w:r>
                      </w:p>
                    </w:tc>
                  </w:sdtContent>
                </w:sdt>
                <w:tc>
                  <w:tcPr>
                    <w:tcW w:w="392" w:type="pct"/>
                    <w:tcBorders>
                      <w:top w:val="outset" w:sz="6" w:space="0" w:color="auto"/>
                      <w:left w:val="outset" w:sz="6" w:space="0" w:color="auto"/>
                      <w:bottom w:val="outset" w:sz="6" w:space="0" w:color="auto"/>
                      <w:right w:val="outset" w:sz="6" w:space="0" w:color="auto"/>
                    </w:tcBorders>
                  </w:tcPr>
                  <w:p w14:paraId="1441770A"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2E8088DC" w14:textId="77777777" w:rsidR="00830E72" w:rsidRDefault="008344D8">
                    <w:pPr>
                      <w:jc w:val="right"/>
                      <w:rPr>
                        <w:szCs w:val="21"/>
                      </w:rPr>
                    </w:pPr>
                    <w:r>
                      <w:rPr>
                        <w:szCs w:val="21"/>
                      </w:rPr>
                      <w:t>43,442,352.89</w:t>
                    </w:r>
                  </w:p>
                </w:tc>
                <w:tc>
                  <w:tcPr>
                    <w:tcW w:w="1098" w:type="pct"/>
                    <w:tcBorders>
                      <w:top w:val="outset" w:sz="6" w:space="0" w:color="auto"/>
                      <w:left w:val="outset" w:sz="6" w:space="0" w:color="auto"/>
                      <w:bottom w:val="outset" w:sz="6" w:space="0" w:color="auto"/>
                      <w:right w:val="outset" w:sz="6" w:space="0" w:color="auto"/>
                    </w:tcBorders>
                  </w:tcPr>
                  <w:p w14:paraId="140F2BAD" w14:textId="77777777" w:rsidR="00830E72" w:rsidRDefault="008344D8">
                    <w:pPr>
                      <w:jc w:val="right"/>
                      <w:rPr>
                        <w:szCs w:val="21"/>
                      </w:rPr>
                    </w:pPr>
                    <w:r>
                      <w:rPr>
                        <w:szCs w:val="21"/>
                      </w:rPr>
                      <w:t>43,988,324.83</w:t>
                    </w:r>
                  </w:p>
                </w:tc>
              </w:tr>
              <w:tr w:rsidR="00830E72" w14:paraId="0352DF20" w14:textId="77777777">
                <w:sdt>
                  <w:sdtPr>
                    <w:tag w:val="_PLD_2c72539456a6441ab49e4634f35d3b45"/>
                    <w:id w:val="-1264679012"/>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3F351A89" w14:textId="77777777" w:rsidR="00830E72" w:rsidRDefault="008344D8">
                        <w:pPr>
                          <w:ind w:firstLineChars="100" w:firstLine="210"/>
                          <w:rPr>
                            <w:szCs w:val="21"/>
                          </w:rPr>
                        </w:pPr>
                        <w:r>
                          <w:rPr>
                            <w:rFonts w:hint="eastAsia"/>
                            <w:szCs w:val="21"/>
                          </w:rPr>
                          <w:t>其他非流动资产</w:t>
                        </w:r>
                      </w:p>
                    </w:tc>
                  </w:sdtContent>
                </w:sdt>
                <w:tc>
                  <w:tcPr>
                    <w:tcW w:w="392" w:type="pct"/>
                    <w:tcBorders>
                      <w:top w:val="outset" w:sz="6" w:space="0" w:color="auto"/>
                      <w:left w:val="outset" w:sz="6" w:space="0" w:color="auto"/>
                      <w:bottom w:val="outset" w:sz="6" w:space="0" w:color="auto"/>
                      <w:right w:val="outset" w:sz="6" w:space="0" w:color="auto"/>
                    </w:tcBorders>
                  </w:tcPr>
                  <w:p w14:paraId="7347CE49"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24C1C287" w14:textId="77777777" w:rsidR="00830E72" w:rsidRDefault="008344D8">
                    <w:pPr>
                      <w:jc w:val="right"/>
                      <w:rPr>
                        <w:szCs w:val="21"/>
                      </w:rPr>
                    </w:pPr>
                    <w:r>
                      <w:rPr>
                        <w:szCs w:val="21"/>
                      </w:rPr>
                      <w:t>21,119,436.99</w:t>
                    </w:r>
                  </w:p>
                </w:tc>
                <w:tc>
                  <w:tcPr>
                    <w:tcW w:w="1098" w:type="pct"/>
                    <w:tcBorders>
                      <w:top w:val="outset" w:sz="6" w:space="0" w:color="auto"/>
                      <w:left w:val="outset" w:sz="6" w:space="0" w:color="auto"/>
                      <w:bottom w:val="outset" w:sz="6" w:space="0" w:color="auto"/>
                      <w:right w:val="outset" w:sz="6" w:space="0" w:color="auto"/>
                    </w:tcBorders>
                  </w:tcPr>
                  <w:p w14:paraId="38508032" w14:textId="77777777" w:rsidR="00830E72" w:rsidRDefault="008344D8">
                    <w:pPr>
                      <w:jc w:val="right"/>
                      <w:rPr>
                        <w:szCs w:val="21"/>
                      </w:rPr>
                    </w:pPr>
                    <w:r>
                      <w:rPr>
                        <w:szCs w:val="21"/>
                      </w:rPr>
                      <w:t>10,046,673.76</w:t>
                    </w:r>
                  </w:p>
                </w:tc>
              </w:tr>
              <w:tr w:rsidR="00830E72" w14:paraId="75C07A8C" w14:textId="77777777">
                <w:sdt>
                  <w:sdtPr>
                    <w:tag w:val="_PLD_0584991385414bca8cca9a7a9f5fabfd"/>
                    <w:id w:val="1784535392"/>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1D4683C0" w14:textId="77777777" w:rsidR="00830E72" w:rsidRDefault="008344D8">
                        <w:pPr>
                          <w:ind w:firstLineChars="200" w:firstLine="420"/>
                          <w:rPr>
                            <w:szCs w:val="21"/>
                          </w:rPr>
                        </w:pPr>
                        <w:r>
                          <w:rPr>
                            <w:rFonts w:hint="eastAsia"/>
                            <w:szCs w:val="21"/>
                          </w:rPr>
                          <w:t>非流动资产合计</w:t>
                        </w:r>
                      </w:p>
                    </w:tc>
                  </w:sdtContent>
                </w:sdt>
                <w:tc>
                  <w:tcPr>
                    <w:tcW w:w="392" w:type="pct"/>
                    <w:tcBorders>
                      <w:top w:val="outset" w:sz="6" w:space="0" w:color="auto"/>
                      <w:left w:val="outset" w:sz="6" w:space="0" w:color="auto"/>
                      <w:bottom w:val="outset" w:sz="6" w:space="0" w:color="auto"/>
                      <w:right w:val="outset" w:sz="6" w:space="0" w:color="auto"/>
                    </w:tcBorders>
                  </w:tcPr>
                  <w:p w14:paraId="35392E46"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6DB115E2" w14:textId="77777777" w:rsidR="00830E72" w:rsidRDefault="008344D8">
                    <w:pPr>
                      <w:jc w:val="right"/>
                      <w:rPr>
                        <w:szCs w:val="21"/>
                      </w:rPr>
                    </w:pPr>
                    <w:r>
                      <w:rPr>
                        <w:szCs w:val="21"/>
                      </w:rPr>
                      <w:t>784,550,710.37</w:t>
                    </w:r>
                  </w:p>
                </w:tc>
                <w:tc>
                  <w:tcPr>
                    <w:tcW w:w="1098" w:type="pct"/>
                    <w:tcBorders>
                      <w:top w:val="outset" w:sz="6" w:space="0" w:color="auto"/>
                      <w:left w:val="outset" w:sz="6" w:space="0" w:color="auto"/>
                      <w:bottom w:val="outset" w:sz="6" w:space="0" w:color="auto"/>
                      <w:right w:val="outset" w:sz="6" w:space="0" w:color="auto"/>
                    </w:tcBorders>
                  </w:tcPr>
                  <w:p w14:paraId="3DA172DE" w14:textId="77777777" w:rsidR="00830E72" w:rsidRDefault="008344D8">
                    <w:pPr>
                      <w:jc w:val="right"/>
                      <w:rPr>
                        <w:szCs w:val="21"/>
                      </w:rPr>
                    </w:pPr>
                    <w:r>
                      <w:rPr>
                        <w:szCs w:val="21"/>
                      </w:rPr>
                      <w:t>561,784,212.87</w:t>
                    </w:r>
                  </w:p>
                </w:tc>
              </w:tr>
              <w:tr w:rsidR="00830E72" w14:paraId="1AC5EA06" w14:textId="77777777">
                <w:sdt>
                  <w:sdtPr>
                    <w:tag w:val="_PLD_064f3b6fe172472c8abf2e1bf1a2b68a"/>
                    <w:id w:val="798189472"/>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742A4D22" w14:textId="77777777" w:rsidR="00830E72" w:rsidRDefault="008344D8">
                        <w:pPr>
                          <w:ind w:firstLineChars="300" w:firstLine="630"/>
                          <w:rPr>
                            <w:szCs w:val="21"/>
                          </w:rPr>
                        </w:pPr>
                        <w:r>
                          <w:rPr>
                            <w:rFonts w:hint="eastAsia"/>
                            <w:szCs w:val="21"/>
                          </w:rPr>
                          <w:t>资产总计</w:t>
                        </w:r>
                      </w:p>
                    </w:tc>
                  </w:sdtContent>
                </w:sdt>
                <w:tc>
                  <w:tcPr>
                    <w:tcW w:w="392" w:type="pct"/>
                    <w:tcBorders>
                      <w:top w:val="outset" w:sz="6" w:space="0" w:color="auto"/>
                      <w:left w:val="outset" w:sz="6" w:space="0" w:color="auto"/>
                      <w:bottom w:val="outset" w:sz="6" w:space="0" w:color="auto"/>
                      <w:right w:val="outset" w:sz="6" w:space="0" w:color="auto"/>
                    </w:tcBorders>
                  </w:tcPr>
                  <w:p w14:paraId="15DE105C"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03264868" w14:textId="77777777" w:rsidR="00830E72" w:rsidRDefault="008344D8">
                    <w:pPr>
                      <w:jc w:val="right"/>
                      <w:rPr>
                        <w:szCs w:val="21"/>
                      </w:rPr>
                    </w:pPr>
                    <w:r>
                      <w:rPr>
                        <w:szCs w:val="21"/>
                      </w:rPr>
                      <w:t>5,614,141,263.86</w:t>
                    </w:r>
                  </w:p>
                </w:tc>
                <w:tc>
                  <w:tcPr>
                    <w:tcW w:w="1098" w:type="pct"/>
                    <w:tcBorders>
                      <w:top w:val="outset" w:sz="6" w:space="0" w:color="auto"/>
                      <w:left w:val="outset" w:sz="6" w:space="0" w:color="auto"/>
                      <w:bottom w:val="outset" w:sz="6" w:space="0" w:color="auto"/>
                      <w:right w:val="outset" w:sz="6" w:space="0" w:color="auto"/>
                    </w:tcBorders>
                  </w:tcPr>
                  <w:p w14:paraId="6EB46CFC" w14:textId="77777777" w:rsidR="00830E72" w:rsidRDefault="008344D8">
                    <w:pPr>
                      <w:jc w:val="right"/>
                      <w:rPr>
                        <w:szCs w:val="21"/>
                      </w:rPr>
                    </w:pPr>
                    <w:r>
                      <w:rPr>
                        <w:szCs w:val="21"/>
                      </w:rPr>
                      <w:t>4,461,189,743.97</w:t>
                    </w:r>
                  </w:p>
                </w:tc>
              </w:tr>
              <w:tr w:rsidR="00830E72" w14:paraId="1205352C" w14:textId="77777777">
                <w:sdt>
                  <w:sdtPr>
                    <w:tag w:val="_PLD_380943e088034c15ad8af33927d58d1b"/>
                    <w:id w:val="-1833821565"/>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35AFB6EE" w14:textId="77777777" w:rsidR="00830E72" w:rsidRDefault="008344D8">
                        <w:pPr>
                          <w:rPr>
                            <w:szCs w:val="21"/>
                          </w:rPr>
                        </w:pPr>
                        <w:r>
                          <w:rPr>
                            <w:rFonts w:hint="eastAsia"/>
                            <w:b/>
                            <w:bCs/>
                            <w:szCs w:val="21"/>
                          </w:rPr>
                          <w:t>流动负债：</w:t>
                        </w:r>
                      </w:p>
                    </w:tc>
                  </w:sdtContent>
                </w:sdt>
                <w:tc>
                  <w:tcPr>
                    <w:tcW w:w="392" w:type="pct"/>
                    <w:tcBorders>
                      <w:top w:val="outset" w:sz="6" w:space="0" w:color="auto"/>
                      <w:left w:val="outset" w:sz="6" w:space="0" w:color="auto"/>
                      <w:bottom w:val="outset" w:sz="6" w:space="0" w:color="auto"/>
                      <w:right w:val="outset" w:sz="6" w:space="0" w:color="auto"/>
                    </w:tcBorders>
                  </w:tcPr>
                  <w:p w14:paraId="31099EA1" w14:textId="77777777" w:rsidR="00830E72" w:rsidRDefault="00830E72">
                    <w:pPr>
                      <w:rPr>
                        <w:color w:val="FF00FF"/>
                        <w:szCs w:val="21"/>
                      </w:rPr>
                    </w:pPr>
                  </w:p>
                </w:tc>
                <w:tc>
                  <w:tcPr>
                    <w:tcW w:w="1176" w:type="pct"/>
                    <w:tcBorders>
                      <w:top w:val="outset" w:sz="6" w:space="0" w:color="auto"/>
                      <w:left w:val="outset" w:sz="6" w:space="0" w:color="auto"/>
                      <w:bottom w:val="outset" w:sz="6" w:space="0" w:color="auto"/>
                      <w:right w:val="outset" w:sz="6" w:space="0" w:color="auto"/>
                    </w:tcBorders>
                  </w:tcPr>
                  <w:p w14:paraId="59175BFB" w14:textId="77777777" w:rsidR="00830E72" w:rsidRDefault="00830E72">
                    <w:pPr>
                      <w:rPr>
                        <w:color w:val="FF00FF"/>
                        <w:szCs w:val="21"/>
                      </w:rPr>
                    </w:pPr>
                  </w:p>
                </w:tc>
                <w:tc>
                  <w:tcPr>
                    <w:tcW w:w="1098" w:type="pct"/>
                    <w:tcBorders>
                      <w:top w:val="outset" w:sz="6" w:space="0" w:color="auto"/>
                      <w:left w:val="outset" w:sz="6" w:space="0" w:color="auto"/>
                      <w:bottom w:val="outset" w:sz="6" w:space="0" w:color="auto"/>
                      <w:right w:val="outset" w:sz="6" w:space="0" w:color="auto"/>
                    </w:tcBorders>
                  </w:tcPr>
                  <w:p w14:paraId="70308FB0" w14:textId="77777777" w:rsidR="00830E72" w:rsidRDefault="00830E72">
                    <w:pPr>
                      <w:rPr>
                        <w:color w:val="FF00FF"/>
                        <w:szCs w:val="21"/>
                      </w:rPr>
                    </w:pPr>
                  </w:p>
                </w:tc>
              </w:tr>
              <w:tr w:rsidR="00830E72" w14:paraId="5F357DE8" w14:textId="77777777">
                <w:sdt>
                  <w:sdtPr>
                    <w:tag w:val="_PLD_43de8e9c3fff4ed09c99de434527ef0d"/>
                    <w:id w:val="-319504062"/>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6CD5918E" w14:textId="77777777" w:rsidR="00830E72" w:rsidRDefault="008344D8">
                        <w:pPr>
                          <w:ind w:firstLineChars="100" w:firstLine="210"/>
                          <w:rPr>
                            <w:szCs w:val="21"/>
                          </w:rPr>
                        </w:pPr>
                        <w:r>
                          <w:rPr>
                            <w:rFonts w:hint="eastAsia"/>
                            <w:szCs w:val="21"/>
                          </w:rPr>
                          <w:t>短期借款</w:t>
                        </w:r>
                      </w:p>
                    </w:tc>
                  </w:sdtContent>
                </w:sdt>
                <w:tc>
                  <w:tcPr>
                    <w:tcW w:w="392" w:type="pct"/>
                    <w:tcBorders>
                      <w:top w:val="outset" w:sz="6" w:space="0" w:color="auto"/>
                      <w:left w:val="outset" w:sz="6" w:space="0" w:color="auto"/>
                      <w:bottom w:val="outset" w:sz="6" w:space="0" w:color="auto"/>
                      <w:right w:val="outset" w:sz="6" w:space="0" w:color="auto"/>
                    </w:tcBorders>
                  </w:tcPr>
                  <w:p w14:paraId="583DD3BE"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56F1143C" w14:textId="77777777" w:rsidR="00830E72" w:rsidRDefault="008344D8">
                    <w:pPr>
                      <w:jc w:val="right"/>
                      <w:rPr>
                        <w:szCs w:val="21"/>
                      </w:rPr>
                    </w:pPr>
                    <w:r>
                      <w:rPr>
                        <w:szCs w:val="21"/>
                      </w:rPr>
                      <w:t>448,590,415.53</w:t>
                    </w:r>
                  </w:p>
                </w:tc>
                <w:tc>
                  <w:tcPr>
                    <w:tcW w:w="1098" w:type="pct"/>
                    <w:tcBorders>
                      <w:top w:val="outset" w:sz="6" w:space="0" w:color="auto"/>
                      <w:left w:val="outset" w:sz="6" w:space="0" w:color="auto"/>
                      <w:bottom w:val="outset" w:sz="6" w:space="0" w:color="auto"/>
                      <w:right w:val="outset" w:sz="6" w:space="0" w:color="auto"/>
                    </w:tcBorders>
                  </w:tcPr>
                  <w:p w14:paraId="79A2376E" w14:textId="77777777" w:rsidR="00830E72" w:rsidRDefault="008344D8">
                    <w:pPr>
                      <w:jc w:val="right"/>
                      <w:rPr>
                        <w:szCs w:val="21"/>
                      </w:rPr>
                    </w:pPr>
                    <w:r>
                      <w:rPr>
                        <w:szCs w:val="21"/>
                      </w:rPr>
                      <w:t>261,501,944.67</w:t>
                    </w:r>
                  </w:p>
                </w:tc>
              </w:tr>
              <w:tr w:rsidR="00830E72" w14:paraId="687E7BD5" w14:textId="77777777">
                <w:tc>
                  <w:tcPr>
                    <w:tcW w:w="233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16a31b429943b78fc30663bc4be1b8"/>
                      <w:id w:val="2076545207"/>
                      <w:lock w:val="sdtLocked"/>
                    </w:sdtPr>
                    <w:sdtEndPr/>
                    <w:sdtContent>
                      <w:p w14:paraId="222C0C5E" w14:textId="77777777" w:rsidR="00830E72" w:rsidRDefault="008344D8">
                        <w:pPr>
                          <w:ind w:firstLineChars="100" w:firstLine="210"/>
                        </w:pPr>
                        <w:r>
                          <w:rPr>
                            <w:rFonts w:hint="eastAsia"/>
                          </w:rPr>
                          <w:t>交易性金融负债</w:t>
                        </w:r>
                      </w:p>
                    </w:sdtContent>
                  </w:sdt>
                </w:tc>
                <w:tc>
                  <w:tcPr>
                    <w:tcW w:w="392" w:type="pct"/>
                    <w:tcBorders>
                      <w:top w:val="outset" w:sz="6" w:space="0" w:color="auto"/>
                      <w:left w:val="outset" w:sz="6" w:space="0" w:color="auto"/>
                      <w:bottom w:val="outset" w:sz="6" w:space="0" w:color="auto"/>
                      <w:right w:val="outset" w:sz="6" w:space="0" w:color="auto"/>
                    </w:tcBorders>
                  </w:tcPr>
                  <w:p w14:paraId="0EE338E2"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3E09FB8F"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20048567" w14:textId="77777777" w:rsidR="00830E72" w:rsidRDefault="00830E72">
                    <w:pPr>
                      <w:jc w:val="right"/>
                      <w:rPr>
                        <w:szCs w:val="21"/>
                      </w:rPr>
                    </w:pPr>
                  </w:p>
                </w:tc>
              </w:tr>
              <w:tr w:rsidR="00830E72" w14:paraId="5C872017" w14:textId="77777777">
                <w:sdt>
                  <w:sdtPr>
                    <w:tag w:val="_PLD_9ca7ab0d48474bdbb62e5ad7f94b7c27"/>
                    <w:id w:val="150112312"/>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57619C27" w14:textId="77777777" w:rsidR="00830E72" w:rsidRDefault="008344D8">
                        <w:pPr>
                          <w:ind w:firstLineChars="100" w:firstLine="210"/>
                          <w:rPr>
                            <w:szCs w:val="21"/>
                          </w:rPr>
                        </w:pPr>
                        <w:r>
                          <w:rPr>
                            <w:rFonts w:hint="eastAsia"/>
                            <w:szCs w:val="21"/>
                          </w:rPr>
                          <w:t>衍生金融负债</w:t>
                        </w:r>
                      </w:p>
                    </w:tc>
                  </w:sdtContent>
                </w:sdt>
                <w:tc>
                  <w:tcPr>
                    <w:tcW w:w="392" w:type="pct"/>
                    <w:tcBorders>
                      <w:top w:val="outset" w:sz="6" w:space="0" w:color="auto"/>
                      <w:left w:val="outset" w:sz="6" w:space="0" w:color="auto"/>
                      <w:bottom w:val="outset" w:sz="6" w:space="0" w:color="auto"/>
                      <w:right w:val="outset" w:sz="6" w:space="0" w:color="auto"/>
                    </w:tcBorders>
                  </w:tcPr>
                  <w:p w14:paraId="56B07515"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4A889C91"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75EB3CC4" w14:textId="77777777" w:rsidR="00830E72" w:rsidRDefault="00830E72">
                    <w:pPr>
                      <w:jc w:val="right"/>
                      <w:rPr>
                        <w:szCs w:val="21"/>
                      </w:rPr>
                    </w:pPr>
                  </w:p>
                </w:tc>
              </w:tr>
              <w:tr w:rsidR="00830E72" w14:paraId="7EBE0D69" w14:textId="77777777">
                <w:sdt>
                  <w:sdtPr>
                    <w:tag w:val="_PLD_ef54e09967474f6490bedae105a3d5af"/>
                    <w:id w:val="790476590"/>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46E6F9FB" w14:textId="77777777" w:rsidR="00830E72" w:rsidRDefault="008344D8">
                        <w:pPr>
                          <w:ind w:firstLineChars="100" w:firstLine="210"/>
                          <w:rPr>
                            <w:szCs w:val="21"/>
                          </w:rPr>
                        </w:pPr>
                        <w:r>
                          <w:rPr>
                            <w:rFonts w:hint="eastAsia"/>
                            <w:szCs w:val="21"/>
                          </w:rPr>
                          <w:t>应付票据</w:t>
                        </w:r>
                      </w:p>
                    </w:tc>
                  </w:sdtContent>
                </w:sdt>
                <w:tc>
                  <w:tcPr>
                    <w:tcW w:w="392" w:type="pct"/>
                    <w:tcBorders>
                      <w:top w:val="outset" w:sz="6" w:space="0" w:color="auto"/>
                      <w:left w:val="outset" w:sz="6" w:space="0" w:color="auto"/>
                      <w:bottom w:val="outset" w:sz="6" w:space="0" w:color="auto"/>
                      <w:right w:val="outset" w:sz="6" w:space="0" w:color="auto"/>
                    </w:tcBorders>
                  </w:tcPr>
                  <w:p w14:paraId="2610F40B"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736F0603" w14:textId="77777777" w:rsidR="00830E72" w:rsidRDefault="008344D8">
                    <w:pPr>
                      <w:jc w:val="right"/>
                      <w:rPr>
                        <w:szCs w:val="21"/>
                      </w:rPr>
                    </w:pPr>
                    <w:r>
                      <w:rPr>
                        <w:szCs w:val="21"/>
                      </w:rPr>
                      <w:t>134,751,995.93</w:t>
                    </w:r>
                  </w:p>
                </w:tc>
                <w:tc>
                  <w:tcPr>
                    <w:tcW w:w="1098" w:type="pct"/>
                    <w:tcBorders>
                      <w:top w:val="outset" w:sz="6" w:space="0" w:color="auto"/>
                      <w:left w:val="outset" w:sz="6" w:space="0" w:color="auto"/>
                      <w:bottom w:val="outset" w:sz="6" w:space="0" w:color="auto"/>
                      <w:right w:val="outset" w:sz="6" w:space="0" w:color="auto"/>
                    </w:tcBorders>
                  </w:tcPr>
                  <w:p w14:paraId="05468DE4" w14:textId="77777777" w:rsidR="00830E72" w:rsidRDefault="008344D8">
                    <w:pPr>
                      <w:jc w:val="right"/>
                      <w:rPr>
                        <w:szCs w:val="21"/>
                      </w:rPr>
                    </w:pPr>
                    <w:r>
                      <w:rPr>
                        <w:szCs w:val="21"/>
                      </w:rPr>
                      <w:t>195,061,404.69</w:t>
                    </w:r>
                  </w:p>
                </w:tc>
              </w:tr>
              <w:tr w:rsidR="00830E72" w14:paraId="2356F10C" w14:textId="77777777">
                <w:sdt>
                  <w:sdtPr>
                    <w:tag w:val="_PLD_73f601396ff94f55ba0d9f4f04bea3f7"/>
                    <w:id w:val="-1978140730"/>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5C156E14" w14:textId="77777777" w:rsidR="00830E72" w:rsidRDefault="008344D8">
                        <w:pPr>
                          <w:ind w:firstLineChars="100" w:firstLine="210"/>
                          <w:rPr>
                            <w:szCs w:val="21"/>
                          </w:rPr>
                        </w:pPr>
                        <w:r>
                          <w:rPr>
                            <w:rFonts w:hint="eastAsia"/>
                            <w:szCs w:val="21"/>
                          </w:rPr>
                          <w:t>应付账款</w:t>
                        </w:r>
                      </w:p>
                    </w:tc>
                  </w:sdtContent>
                </w:sdt>
                <w:tc>
                  <w:tcPr>
                    <w:tcW w:w="392" w:type="pct"/>
                    <w:tcBorders>
                      <w:top w:val="outset" w:sz="6" w:space="0" w:color="auto"/>
                      <w:left w:val="outset" w:sz="6" w:space="0" w:color="auto"/>
                      <w:bottom w:val="outset" w:sz="6" w:space="0" w:color="auto"/>
                      <w:right w:val="outset" w:sz="6" w:space="0" w:color="auto"/>
                    </w:tcBorders>
                  </w:tcPr>
                  <w:p w14:paraId="3D2CD5B3"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7C0F0519" w14:textId="77777777" w:rsidR="00830E72" w:rsidRDefault="008344D8">
                    <w:pPr>
                      <w:jc w:val="right"/>
                      <w:rPr>
                        <w:szCs w:val="21"/>
                      </w:rPr>
                    </w:pPr>
                    <w:r>
                      <w:rPr>
                        <w:szCs w:val="21"/>
                      </w:rPr>
                      <w:t>2,561,502,739.73</w:t>
                    </w:r>
                  </w:p>
                </w:tc>
                <w:tc>
                  <w:tcPr>
                    <w:tcW w:w="1098" w:type="pct"/>
                    <w:tcBorders>
                      <w:top w:val="outset" w:sz="6" w:space="0" w:color="auto"/>
                      <w:left w:val="outset" w:sz="6" w:space="0" w:color="auto"/>
                      <w:bottom w:val="outset" w:sz="6" w:space="0" w:color="auto"/>
                      <w:right w:val="outset" w:sz="6" w:space="0" w:color="auto"/>
                    </w:tcBorders>
                  </w:tcPr>
                  <w:p w14:paraId="67437E73" w14:textId="77777777" w:rsidR="00830E72" w:rsidRDefault="008344D8">
                    <w:pPr>
                      <w:jc w:val="right"/>
                      <w:rPr>
                        <w:szCs w:val="21"/>
                      </w:rPr>
                    </w:pPr>
                    <w:r>
                      <w:rPr>
                        <w:szCs w:val="21"/>
                      </w:rPr>
                      <w:t>2,535,911,978.68</w:t>
                    </w:r>
                  </w:p>
                </w:tc>
              </w:tr>
              <w:tr w:rsidR="00830E72" w14:paraId="23B00D99" w14:textId="77777777">
                <w:sdt>
                  <w:sdtPr>
                    <w:tag w:val="_PLD_8d33cba97f8f47758fee51d65c9dfe52"/>
                    <w:id w:val="1638925086"/>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596A2915" w14:textId="77777777" w:rsidR="00830E72" w:rsidRDefault="008344D8">
                        <w:pPr>
                          <w:ind w:firstLineChars="100" w:firstLine="210"/>
                          <w:rPr>
                            <w:szCs w:val="21"/>
                          </w:rPr>
                        </w:pPr>
                        <w:r>
                          <w:rPr>
                            <w:rFonts w:hint="eastAsia"/>
                            <w:szCs w:val="21"/>
                          </w:rPr>
                          <w:t>预收款项</w:t>
                        </w:r>
                      </w:p>
                    </w:tc>
                  </w:sdtContent>
                </w:sdt>
                <w:tc>
                  <w:tcPr>
                    <w:tcW w:w="392" w:type="pct"/>
                    <w:tcBorders>
                      <w:top w:val="outset" w:sz="6" w:space="0" w:color="auto"/>
                      <w:left w:val="outset" w:sz="6" w:space="0" w:color="auto"/>
                      <w:bottom w:val="outset" w:sz="6" w:space="0" w:color="auto"/>
                      <w:right w:val="outset" w:sz="6" w:space="0" w:color="auto"/>
                    </w:tcBorders>
                  </w:tcPr>
                  <w:p w14:paraId="58B6EEA8"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7CEE8FAD"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670AC839" w14:textId="77777777" w:rsidR="00830E72" w:rsidRDefault="00830E72">
                    <w:pPr>
                      <w:jc w:val="right"/>
                      <w:rPr>
                        <w:szCs w:val="21"/>
                      </w:rPr>
                    </w:pPr>
                  </w:p>
                </w:tc>
              </w:tr>
              <w:tr w:rsidR="00830E72" w14:paraId="3953CB0C" w14:textId="77777777">
                <w:tc>
                  <w:tcPr>
                    <w:tcW w:w="233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a9889c00684dd48ad945fce53e8274"/>
                      <w:id w:val="-142740070"/>
                      <w:lock w:val="sdtLocked"/>
                    </w:sdtPr>
                    <w:sdtEndPr/>
                    <w:sdtContent>
                      <w:p w14:paraId="340666B9" w14:textId="77777777" w:rsidR="00830E72" w:rsidRDefault="008344D8">
                        <w:pPr>
                          <w:ind w:firstLineChars="100" w:firstLine="210"/>
                        </w:pPr>
                        <w:r>
                          <w:rPr>
                            <w:rFonts w:hint="eastAsia"/>
                          </w:rPr>
                          <w:t>合同负债</w:t>
                        </w:r>
                      </w:p>
                    </w:sdtContent>
                  </w:sdt>
                </w:tc>
                <w:tc>
                  <w:tcPr>
                    <w:tcW w:w="392" w:type="pct"/>
                    <w:tcBorders>
                      <w:top w:val="outset" w:sz="6" w:space="0" w:color="auto"/>
                      <w:left w:val="outset" w:sz="6" w:space="0" w:color="auto"/>
                      <w:bottom w:val="outset" w:sz="6" w:space="0" w:color="auto"/>
                      <w:right w:val="outset" w:sz="6" w:space="0" w:color="auto"/>
                    </w:tcBorders>
                  </w:tcPr>
                  <w:p w14:paraId="749F8D43"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27FB3D2D" w14:textId="77777777" w:rsidR="00830E72" w:rsidRDefault="008344D8">
                    <w:pPr>
                      <w:jc w:val="right"/>
                      <w:rPr>
                        <w:szCs w:val="21"/>
                      </w:rPr>
                    </w:pPr>
                    <w:r>
                      <w:rPr>
                        <w:szCs w:val="21"/>
                      </w:rPr>
                      <w:t>170,226,943.94</w:t>
                    </w:r>
                  </w:p>
                </w:tc>
                <w:tc>
                  <w:tcPr>
                    <w:tcW w:w="1098" w:type="pct"/>
                    <w:tcBorders>
                      <w:top w:val="outset" w:sz="6" w:space="0" w:color="auto"/>
                      <w:left w:val="outset" w:sz="6" w:space="0" w:color="auto"/>
                      <w:bottom w:val="outset" w:sz="6" w:space="0" w:color="auto"/>
                      <w:right w:val="outset" w:sz="6" w:space="0" w:color="auto"/>
                    </w:tcBorders>
                  </w:tcPr>
                  <w:p w14:paraId="6C66A84F" w14:textId="77777777" w:rsidR="00830E72" w:rsidRDefault="008344D8">
                    <w:pPr>
                      <w:jc w:val="right"/>
                      <w:rPr>
                        <w:szCs w:val="21"/>
                      </w:rPr>
                    </w:pPr>
                    <w:r>
                      <w:rPr>
                        <w:szCs w:val="21"/>
                      </w:rPr>
                      <w:t>43,989,830.92</w:t>
                    </w:r>
                  </w:p>
                </w:tc>
              </w:tr>
              <w:tr w:rsidR="00830E72" w14:paraId="4B1E4156" w14:textId="77777777">
                <w:sdt>
                  <w:sdtPr>
                    <w:tag w:val="_PLD_5179db1f484045d98b88860edc153236"/>
                    <w:id w:val="-195002358"/>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5EA15802" w14:textId="77777777" w:rsidR="00830E72" w:rsidRDefault="008344D8">
                        <w:pPr>
                          <w:ind w:firstLineChars="100" w:firstLine="210"/>
                          <w:rPr>
                            <w:szCs w:val="21"/>
                          </w:rPr>
                        </w:pPr>
                        <w:r>
                          <w:rPr>
                            <w:rFonts w:hint="eastAsia"/>
                            <w:szCs w:val="21"/>
                          </w:rPr>
                          <w:t>应付职工薪酬</w:t>
                        </w:r>
                      </w:p>
                    </w:tc>
                  </w:sdtContent>
                </w:sdt>
                <w:tc>
                  <w:tcPr>
                    <w:tcW w:w="392" w:type="pct"/>
                    <w:tcBorders>
                      <w:top w:val="outset" w:sz="6" w:space="0" w:color="auto"/>
                      <w:left w:val="outset" w:sz="6" w:space="0" w:color="auto"/>
                      <w:bottom w:val="outset" w:sz="6" w:space="0" w:color="auto"/>
                      <w:right w:val="outset" w:sz="6" w:space="0" w:color="auto"/>
                    </w:tcBorders>
                  </w:tcPr>
                  <w:p w14:paraId="6EBA3DF5"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79E7DC28" w14:textId="77777777" w:rsidR="00830E72" w:rsidRDefault="008344D8">
                    <w:pPr>
                      <w:jc w:val="right"/>
                      <w:rPr>
                        <w:szCs w:val="21"/>
                      </w:rPr>
                    </w:pPr>
                    <w:r>
                      <w:rPr>
                        <w:szCs w:val="21"/>
                      </w:rPr>
                      <w:t>18,191,527.70</w:t>
                    </w:r>
                  </w:p>
                </w:tc>
                <w:tc>
                  <w:tcPr>
                    <w:tcW w:w="1098" w:type="pct"/>
                    <w:tcBorders>
                      <w:top w:val="outset" w:sz="6" w:space="0" w:color="auto"/>
                      <w:left w:val="outset" w:sz="6" w:space="0" w:color="auto"/>
                      <w:bottom w:val="outset" w:sz="6" w:space="0" w:color="auto"/>
                      <w:right w:val="outset" w:sz="6" w:space="0" w:color="auto"/>
                    </w:tcBorders>
                  </w:tcPr>
                  <w:p w14:paraId="4EF5E9FC" w14:textId="77777777" w:rsidR="00830E72" w:rsidRDefault="008344D8">
                    <w:pPr>
                      <w:jc w:val="right"/>
                      <w:rPr>
                        <w:szCs w:val="21"/>
                      </w:rPr>
                    </w:pPr>
                    <w:r>
                      <w:rPr>
                        <w:szCs w:val="21"/>
                      </w:rPr>
                      <w:t>23,520,091.86</w:t>
                    </w:r>
                  </w:p>
                </w:tc>
              </w:tr>
              <w:tr w:rsidR="00830E72" w14:paraId="6DD275F7" w14:textId="77777777">
                <w:sdt>
                  <w:sdtPr>
                    <w:tag w:val="_PLD_f9c6f095658e40b2a72d3d8b778fd72b"/>
                    <w:id w:val="-1155063360"/>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62BD6372" w14:textId="77777777" w:rsidR="00830E72" w:rsidRDefault="008344D8">
                        <w:pPr>
                          <w:ind w:firstLineChars="100" w:firstLine="210"/>
                          <w:rPr>
                            <w:szCs w:val="21"/>
                          </w:rPr>
                        </w:pPr>
                        <w:r>
                          <w:rPr>
                            <w:rFonts w:hint="eastAsia"/>
                            <w:szCs w:val="21"/>
                          </w:rPr>
                          <w:t>应交税费</w:t>
                        </w:r>
                      </w:p>
                    </w:tc>
                  </w:sdtContent>
                </w:sdt>
                <w:tc>
                  <w:tcPr>
                    <w:tcW w:w="392" w:type="pct"/>
                    <w:tcBorders>
                      <w:top w:val="outset" w:sz="6" w:space="0" w:color="auto"/>
                      <w:left w:val="outset" w:sz="6" w:space="0" w:color="auto"/>
                      <w:bottom w:val="outset" w:sz="6" w:space="0" w:color="auto"/>
                      <w:right w:val="outset" w:sz="6" w:space="0" w:color="auto"/>
                    </w:tcBorders>
                  </w:tcPr>
                  <w:p w14:paraId="169CF923"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1F0E7CB3" w14:textId="77777777" w:rsidR="00830E72" w:rsidRDefault="008344D8">
                    <w:pPr>
                      <w:jc w:val="right"/>
                      <w:rPr>
                        <w:szCs w:val="21"/>
                      </w:rPr>
                    </w:pPr>
                    <w:r>
                      <w:rPr>
                        <w:szCs w:val="21"/>
                      </w:rPr>
                      <w:t>14,961,574.79</w:t>
                    </w:r>
                  </w:p>
                </w:tc>
                <w:tc>
                  <w:tcPr>
                    <w:tcW w:w="1098" w:type="pct"/>
                    <w:tcBorders>
                      <w:top w:val="outset" w:sz="6" w:space="0" w:color="auto"/>
                      <w:left w:val="outset" w:sz="6" w:space="0" w:color="auto"/>
                      <w:bottom w:val="outset" w:sz="6" w:space="0" w:color="auto"/>
                      <w:right w:val="outset" w:sz="6" w:space="0" w:color="auto"/>
                    </w:tcBorders>
                  </w:tcPr>
                  <w:p w14:paraId="09D28F5C" w14:textId="77777777" w:rsidR="00830E72" w:rsidRDefault="008344D8">
                    <w:pPr>
                      <w:jc w:val="right"/>
                      <w:rPr>
                        <w:szCs w:val="21"/>
                      </w:rPr>
                    </w:pPr>
                    <w:r>
                      <w:rPr>
                        <w:szCs w:val="21"/>
                      </w:rPr>
                      <w:t>21,611,578.67</w:t>
                    </w:r>
                  </w:p>
                </w:tc>
              </w:tr>
              <w:tr w:rsidR="00830E72" w14:paraId="7355F0A2" w14:textId="77777777">
                <w:sdt>
                  <w:sdtPr>
                    <w:tag w:val="_PLD_c490ad2cbccd426084cbcc4f5ffff983"/>
                    <w:id w:val="-569808771"/>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3E0471C0" w14:textId="77777777" w:rsidR="00830E72" w:rsidRDefault="008344D8">
                        <w:pPr>
                          <w:ind w:firstLineChars="100" w:firstLine="210"/>
                          <w:rPr>
                            <w:szCs w:val="21"/>
                          </w:rPr>
                        </w:pPr>
                        <w:r>
                          <w:rPr>
                            <w:rFonts w:hint="eastAsia"/>
                            <w:szCs w:val="21"/>
                          </w:rPr>
                          <w:t>其他应付款</w:t>
                        </w:r>
                      </w:p>
                    </w:tc>
                  </w:sdtContent>
                </w:sdt>
                <w:tc>
                  <w:tcPr>
                    <w:tcW w:w="392" w:type="pct"/>
                    <w:tcBorders>
                      <w:top w:val="outset" w:sz="6" w:space="0" w:color="auto"/>
                      <w:left w:val="outset" w:sz="6" w:space="0" w:color="auto"/>
                      <w:bottom w:val="outset" w:sz="6" w:space="0" w:color="auto"/>
                      <w:right w:val="outset" w:sz="6" w:space="0" w:color="auto"/>
                    </w:tcBorders>
                  </w:tcPr>
                  <w:p w14:paraId="4B8CB7AE"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706F5B62" w14:textId="77777777" w:rsidR="00830E72" w:rsidRDefault="008344D8">
                    <w:pPr>
                      <w:jc w:val="right"/>
                      <w:rPr>
                        <w:szCs w:val="21"/>
                      </w:rPr>
                    </w:pPr>
                    <w:r>
                      <w:rPr>
                        <w:szCs w:val="21"/>
                      </w:rPr>
                      <w:t>132,826,419.72</w:t>
                    </w:r>
                  </w:p>
                </w:tc>
                <w:tc>
                  <w:tcPr>
                    <w:tcW w:w="1098" w:type="pct"/>
                    <w:tcBorders>
                      <w:top w:val="outset" w:sz="6" w:space="0" w:color="auto"/>
                      <w:left w:val="outset" w:sz="6" w:space="0" w:color="auto"/>
                      <w:bottom w:val="outset" w:sz="6" w:space="0" w:color="auto"/>
                      <w:right w:val="outset" w:sz="6" w:space="0" w:color="auto"/>
                    </w:tcBorders>
                  </w:tcPr>
                  <w:p w14:paraId="7B11C23F" w14:textId="77777777" w:rsidR="00830E72" w:rsidRDefault="008344D8">
                    <w:pPr>
                      <w:jc w:val="right"/>
                      <w:rPr>
                        <w:szCs w:val="21"/>
                      </w:rPr>
                    </w:pPr>
                    <w:r>
                      <w:rPr>
                        <w:szCs w:val="21"/>
                      </w:rPr>
                      <w:t>118,251,334.15</w:t>
                    </w:r>
                  </w:p>
                </w:tc>
              </w:tr>
              <w:tr w:rsidR="00830E72" w14:paraId="54A9FC05" w14:textId="77777777">
                <w:sdt>
                  <w:sdtPr>
                    <w:tag w:val="_PLD_33305757c71a4e02885ac4b4bd4dd023"/>
                    <w:id w:val="-1691444936"/>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42FD5988" w14:textId="77777777" w:rsidR="00830E72" w:rsidRDefault="008344D8">
                        <w:pPr>
                          <w:ind w:firstLineChars="100" w:firstLine="210"/>
                          <w:rPr>
                            <w:szCs w:val="21"/>
                          </w:rPr>
                        </w:pPr>
                        <w:r>
                          <w:rPr>
                            <w:rFonts w:hint="eastAsia"/>
                          </w:rPr>
                          <w:t>其中：</w:t>
                        </w:r>
                        <w:r>
                          <w:rPr>
                            <w:rFonts w:hint="eastAsia"/>
                            <w:szCs w:val="21"/>
                          </w:rPr>
                          <w:t>应付利息</w:t>
                        </w:r>
                      </w:p>
                    </w:tc>
                  </w:sdtContent>
                </w:sdt>
                <w:tc>
                  <w:tcPr>
                    <w:tcW w:w="392" w:type="pct"/>
                    <w:tcBorders>
                      <w:top w:val="outset" w:sz="6" w:space="0" w:color="auto"/>
                      <w:left w:val="outset" w:sz="6" w:space="0" w:color="auto"/>
                      <w:bottom w:val="outset" w:sz="6" w:space="0" w:color="auto"/>
                      <w:right w:val="outset" w:sz="6" w:space="0" w:color="auto"/>
                    </w:tcBorders>
                  </w:tcPr>
                  <w:p w14:paraId="0C6098CA"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70D243D0"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4D8078E0" w14:textId="77777777" w:rsidR="00830E72" w:rsidRDefault="00830E72">
                    <w:pPr>
                      <w:jc w:val="right"/>
                      <w:rPr>
                        <w:szCs w:val="21"/>
                      </w:rPr>
                    </w:pPr>
                  </w:p>
                </w:tc>
              </w:tr>
              <w:tr w:rsidR="00830E72" w14:paraId="19263BE8" w14:textId="77777777">
                <w:sdt>
                  <w:sdtPr>
                    <w:tag w:val="_PLD_af17ddcf0f4c41d7ad5d3631e95d7da2"/>
                    <w:id w:val="1185944233"/>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18363312" w14:textId="77777777" w:rsidR="00830E72" w:rsidRDefault="008344D8">
                        <w:pPr>
                          <w:ind w:firstLineChars="400" w:firstLine="840"/>
                          <w:rPr>
                            <w:szCs w:val="21"/>
                          </w:rPr>
                        </w:pPr>
                        <w:r>
                          <w:rPr>
                            <w:rFonts w:hint="eastAsia"/>
                            <w:szCs w:val="21"/>
                          </w:rPr>
                          <w:t>应付股利</w:t>
                        </w:r>
                      </w:p>
                    </w:tc>
                  </w:sdtContent>
                </w:sdt>
                <w:tc>
                  <w:tcPr>
                    <w:tcW w:w="392" w:type="pct"/>
                    <w:tcBorders>
                      <w:top w:val="outset" w:sz="6" w:space="0" w:color="auto"/>
                      <w:left w:val="outset" w:sz="6" w:space="0" w:color="auto"/>
                      <w:bottom w:val="outset" w:sz="6" w:space="0" w:color="auto"/>
                      <w:right w:val="outset" w:sz="6" w:space="0" w:color="auto"/>
                    </w:tcBorders>
                  </w:tcPr>
                  <w:p w14:paraId="7251F88D"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4DB93035"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547B4C2D" w14:textId="77777777" w:rsidR="00830E72" w:rsidRDefault="00830E72">
                    <w:pPr>
                      <w:jc w:val="right"/>
                      <w:rPr>
                        <w:szCs w:val="21"/>
                      </w:rPr>
                    </w:pPr>
                  </w:p>
                </w:tc>
              </w:tr>
              <w:tr w:rsidR="00830E72" w14:paraId="7DD270CD" w14:textId="77777777">
                <w:sdt>
                  <w:sdtPr>
                    <w:tag w:val="_PLD_f77f7dcdf9d04cd9ae289b7b3f5b7b02"/>
                    <w:id w:val="1232352398"/>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6AD4F9C9" w14:textId="77777777" w:rsidR="00830E72" w:rsidRDefault="008344D8">
                        <w:pPr>
                          <w:ind w:firstLineChars="100" w:firstLine="210"/>
                          <w:rPr>
                            <w:szCs w:val="21"/>
                          </w:rPr>
                        </w:pPr>
                        <w:r>
                          <w:rPr>
                            <w:rFonts w:hint="eastAsia"/>
                            <w:szCs w:val="21"/>
                          </w:rPr>
                          <w:t>持有待售负债</w:t>
                        </w:r>
                      </w:p>
                    </w:tc>
                  </w:sdtContent>
                </w:sdt>
                <w:tc>
                  <w:tcPr>
                    <w:tcW w:w="392" w:type="pct"/>
                    <w:tcBorders>
                      <w:top w:val="outset" w:sz="6" w:space="0" w:color="auto"/>
                      <w:left w:val="outset" w:sz="6" w:space="0" w:color="auto"/>
                      <w:bottom w:val="outset" w:sz="6" w:space="0" w:color="auto"/>
                      <w:right w:val="outset" w:sz="6" w:space="0" w:color="auto"/>
                    </w:tcBorders>
                  </w:tcPr>
                  <w:p w14:paraId="077F914E"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43F6056C"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503AE0E4" w14:textId="77777777" w:rsidR="00830E72" w:rsidRDefault="00830E72">
                    <w:pPr>
                      <w:jc w:val="right"/>
                      <w:rPr>
                        <w:szCs w:val="21"/>
                      </w:rPr>
                    </w:pPr>
                  </w:p>
                </w:tc>
              </w:tr>
              <w:tr w:rsidR="00830E72" w14:paraId="03011229" w14:textId="77777777">
                <w:sdt>
                  <w:sdtPr>
                    <w:tag w:val="_PLD_a29046fb2b7d4844a6a2146909afbe96"/>
                    <w:id w:val="432711679"/>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0D3E70D8" w14:textId="77777777" w:rsidR="00830E72" w:rsidRDefault="008344D8">
                        <w:pPr>
                          <w:ind w:firstLineChars="100" w:firstLine="210"/>
                          <w:rPr>
                            <w:szCs w:val="21"/>
                          </w:rPr>
                        </w:pPr>
                        <w:r>
                          <w:rPr>
                            <w:rFonts w:hint="eastAsia"/>
                            <w:szCs w:val="21"/>
                          </w:rPr>
                          <w:t>一年内到期的非流动负债</w:t>
                        </w:r>
                      </w:p>
                    </w:tc>
                  </w:sdtContent>
                </w:sdt>
                <w:tc>
                  <w:tcPr>
                    <w:tcW w:w="392" w:type="pct"/>
                    <w:tcBorders>
                      <w:top w:val="outset" w:sz="6" w:space="0" w:color="auto"/>
                      <w:left w:val="outset" w:sz="6" w:space="0" w:color="auto"/>
                      <w:bottom w:val="outset" w:sz="6" w:space="0" w:color="auto"/>
                      <w:right w:val="outset" w:sz="6" w:space="0" w:color="auto"/>
                    </w:tcBorders>
                  </w:tcPr>
                  <w:p w14:paraId="2F7BD86D"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3D2A8BCA"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24419515" w14:textId="77777777" w:rsidR="00830E72" w:rsidRDefault="00830E72">
                    <w:pPr>
                      <w:jc w:val="right"/>
                      <w:rPr>
                        <w:szCs w:val="21"/>
                      </w:rPr>
                    </w:pPr>
                  </w:p>
                </w:tc>
              </w:tr>
              <w:tr w:rsidR="00830E72" w14:paraId="3CF43567" w14:textId="77777777">
                <w:sdt>
                  <w:sdtPr>
                    <w:tag w:val="_PLD_29a119c77a3042f187a5aba37b5deecc"/>
                    <w:id w:val="1477491299"/>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5B2265F7" w14:textId="77777777" w:rsidR="00830E72" w:rsidRDefault="008344D8">
                        <w:pPr>
                          <w:ind w:firstLineChars="100" w:firstLine="210"/>
                          <w:rPr>
                            <w:szCs w:val="21"/>
                          </w:rPr>
                        </w:pPr>
                        <w:r>
                          <w:rPr>
                            <w:rFonts w:hint="eastAsia"/>
                            <w:szCs w:val="21"/>
                          </w:rPr>
                          <w:t>其他流动负债</w:t>
                        </w:r>
                      </w:p>
                    </w:tc>
                  </w:sdtContent>
                </w:sdt>
                <w:tc>
                  <w:tcPr>
                    <w:tcW w:w="392" w:type="pct"/>
                    <w:tcBorders>
                      <w:top w:val="outset" w:sz="6" w:space="0" w:color="auto"/>
                      <w:left w:val="outset" w:sz="6" w:space="0" w:color="auto"/>
                      <w:bottom w:val="outset" w:sz="6" w:space="0" w:color="auto"/>
                      <w:right w:val="outset" w:sz="6" w:space="0" w:color="auto"/>
                    </w:tcBorders>
                  </w:tcPr>
                  <w:p w14:paraId="51AEA1FA"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3388DE38" w14:textId="77777777" w:rsidR="00830E72" w:rsidRDefault="008344D8">
                    <w:pPr>
                      <w:jc w:val="right"/>
                      <w:rPr>
                        <w:szCs w:val="21"/>
                      </w:rPr>
                    </w:pPr>
                    <w:r>
                      <w:rPr>
                        <w:szCs w:val="21"/>
                      </w:rPr>
                      <w:t>161,067,450.75</w:t>
                    </w:r>
                  </w:p>
                </w:tc>
                <w:tc>
                  <w:tcPr>
                    <w:tcW w:w="1098" w:type="pct"/>
                    <w:tcBorders>
                      <w:top w:val="outset" w:sz="6" w:space="0" w:color="auto"/>
                      <w:left w:val="outset" w:sz="6" w:space="0" w:color="auto"/>
                      <w:bottom w:val="outset" w:sz="6" w:space="0" w:color="auto"/>
                      <w:right w:val="outset" w:sz="6" w:space="0" w:color="auto"/>
                    </w:tcBorders>
                  </w:tcPr>
                  <w:p w14:paraId="24C1E17D" w14:textId="77777777" w:rsidR="00830E72" w:rsidRDefault="008344D8">
                    <w:pPr>
                      <w:jc w:val="right"/>
                      <w:rPr>
                        <w:szCs w:val="21"/>
                      </w:rPr>
                    </w:pPr>
                    <w:r>
                      <w:rPr>
                        <w:szCs w:val="21"/>
                      </w:rPr>
                      <w:t>163,374,143.81</w:t>
                    </w:r>
                  </w:p>
                </w:tc>
              </w:tr>
              <w:tr w:rsidR="00830E72" w14:paraId="7DA87B46" w14:textId="77777777">
                <w:sdt>
                  <w:sdtPr>
                    <w:tag w:val="_PLD_fd497b996a3c46b99eb5112ec0f3d649"/>
                    <w:id w:val="509330707"/>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7FB184B5" w14:textId="77777777" w:rsidR="00830E72" w:rsidRDefault="008344D8">
                        <w:pPr>
                          <w:ind w:firstLineChars="200" w:firstLine="420"/>
                          <w:rPr>
                            <w:szCs w:val="21"/>
                          </w:rPr>
                        </w:pPr>
                        <w:r>
                          <w:rPr>
                            <w:rFonts w:hint="eastAsia"/>
                            <w:szCs w:val="21"/>
                          </w:rPr>
                          <w:t>流动负债合计</w:t>
                        </w:r>
                      </w:p>
                    </w:tc>
                  </w:sdtContent>
                </w:sdt>
                <w:tc>
                  <w:tcPr>
                    <w:tcW w:w="392" w:type="pct"/>
                    <w:tcBorders>
                      <w:top w:val="outset" w:sz="6" w:space="0" w:color="auto"/>
                      <w:left w:val="outset" w:sz="6" w:space="0" w:color="auto"/>
                      <w:bottom w:val="outset" w:sz="6" w:space="0" w:color="auto"/>
                      <w:right w:val="outset" w:sz="6" w:space="0" w:color="auto"/>
                    </w:tcBorders>
                  </w:tcPr>
                  <w:p w14:paraId="583D2138"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3C3038C9" w14:textId="77777777" w:rsidR="00830E72" w:rsidRDefault="008344D8">
                    <w:pPr>
                      <w:jc w:val="right"/>
                      <w:rPr>
                        <w:szCs w:val="21"/>
                      </w:rPr>
                    </w:pPr>
                    <w:r>
                      <w:rPr>
                        <w:szCs w:val="21"/>
                      </w:rPr>
                      <w:t>3,642,119,068.09</w:t>
                    </w:r>
                  </w:p>
                </w:tc>
                <w:tc>
                  <w:tcPr>
                    <w:tcW w:w="1098" w:type="pct"/>
                    <w:tcBorders>
                      <w:top w:val="outset" w:sz="6" w:space="0" w:color="auto"/>
                      <w:left w:val="outset" w:sz="6" w:space="0" w:color="auto"/>
                      <w:bottom w:val="outset" w:sz="6" w:space="0" w:color="auto"/>
                      <w:right w:val="outset" w:sz="6" w:space="0" w:color="auto"/>
                    </w:tcBorders>
                  </w:tcPr>
                  <w:p w14:paraId="20FF4FE3" w14:textId="77777777" w:rsidR="00830E72" w:rsidRDefault="008344D8">
                    <w:pPr>
                      <w:jc w:val="right"/>
                      <w:rPr>
                        <w:szCs w:val="21"/>
                      </w:rPr>
                    </w:pPr>
                    <w:r>
                      <w:rPr>
                        <w:szCs w:val="21"/>
                      </w:rPr>
                      <w:t>3,363,222,307.45</w:t>
                    </w:r>
                  </w:p>
                </w:tc>
              </w:tr>
              <w:tr w:rsidR="00830E72" w14:paraId="68B2EBB8" w14:textId="77777777">
                <w:sdt>
                  <w:sdtPr>
                    <w:tag w:val="_PLD_e62929b21cd4456494013c9cb0dc5b16"/>
                    <w:id w:val="-2094691507"/>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438E1508" w14:textId="77777777" w:rsidR="00830E72" w:rsidRDefault="008344D8">
                        <w:pPr>
                          <w:rPr>
                            <w:szCs w:val="21"/>
                          </w:rPr>
                        </w:pPr>
                        <w:r>
                          <w:rPr>
                            <w:rFonts w:hint="eastAsia"/>
                            <w:b/>
                            <w:bCs/>
                            <w:szCs w:val="21"/>
                          </w:rPr>
                          <w:t>非流动负债：</w:t>
                        </w:r>
                      </w:p>
                    </w:tc>
                  </w:sdtContent>
                </w:sdt>
                <w:tc>
                  <w:tcPr>
                    <w:tcW w:w="392" w:type="pct"/>
                    <w:tcBorders>
                      <w:top w:val="outset" w:sz="6" w:space="0" w:color="auto"/>
                      <w:left w:val="outset" w:sz="6" w:space="0" w:color="auto"/>
                      <w:bottom w:val="outset" w:sz="6" w:space="0" w:color="auto"/>
                      <w:right w:val="outset" w:sz="6" w:space="0" w:color="auto"/>
                    </w:tcBorders>
                  </w:tcPr>
                  <w:p w14:paraId="3CC99D43" w14:textId="77777777" w:rsidR="00830E72" w:rsidRDefault="00830E72">
                    <w:pPr>
                      <w:rPr>
                        <w:color w:val="008000"/>
                        <w:szCs w:val="21"/>
                      </w:rPr>
                    </w:pPr>
                  </w:p>
                </w:tc>
                <w:tc>
                  <w:tcPr>
                    <w:tcW w:w="1176" w:type="pct"/>
                    <w:tcBorders>
                      <w:top w:val="outset" w:sz="6" w:space="0" w:color="auto"/>
                      <w:left w:val="outset" w:sz="6" w:space="0" w:color="auto"/>
                      <w:bottom w:val="outset" w:sz="6" w:space="0" w:color="auto"/>
                      <w:right w:val="outset" w:sz="6" w:space="0" w:color="auto"/>
                    </w:tcBorders>
                  </w:tcPr>
                  <w:p w14:paraId="1DA2E683" w14:textId="77777777" w:rsidR="00830E72" w:rsidRDefault="00830E72">
                    <w:pPr>
                      <w:ind w:right="210"/>
                      <w:jc w:val="right"/>
                      <w:rPr>
                        <w:color w:val="008000"/>
                        <w:szCs w:val="21"/>
                      </w:rPr>
                    </w:pPr>
                  </w:p>
                </w:tc>
                <w:tc>
                  <w:tcPr>
                    <w:tcW w:w="1098" w:type="pct"/>
                    <w:tcBorders>
                      <w:top w:val="outset" w:sz="6" w:space="0" w:color="auto"/>
                      <w:left w:val="outset" w:sz="6" w:space="0" w:color="auto"/>
                      <w:bottom w:val="outset" w:sz="6" w:space="0" w:color="auto"/>
                      <w:right w:val="outset" w:sz="6" w:space="0" w:color="auto"/>
                    </w:tcBorders>
                  </w:tcPr>
                  <w:p w14:paraId="0D71FAE5" w14:textId="77777777" w:rsidR="00830E72" w:rsidRDefault="00830E72">
                    <w:pPr>
                      <w:jc w:val="right"/>
                      <w:rPr>
                        <w:color w:val="008000"/>
                        <w:szCs w:val="21"/>
                      </w:rPr>
                    </w:pPr>
                  </w:p>
                </w:tc>
              </w:tr>
              <w:tr w:rsidR="00830E72" w14:paraId="6C0BB605" w14:textId="77777777">
                <w:sdt>
                  <w:sdtPr>
                    <w:tag w:val="_PLD_dc705bf824d14c06a0f0ff2183f061bb"/>
                    <w:id w:val="-1960402974"/>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3309EB74" w14:textId="77777777" w:rsidR="00830E72" w:rsidRDefault="008344D8">
                        <w:pPr>
                          <w:ind w:firstLineChars="100" w:firstLine="210"/>
                          <w:rPr>
                            <w:szCs w:val="21"/>
                          </w:rPr>
                        </w:pPr>
                        <w:r>
                          <w:rPr>
                            <w:rFonts w:hint="eastAsia"/>
                            <w:szCs w:val="21"/>
                          </w:rPr>
                          <w:t>长期借款</w:t>
                        </w:r>
                      </w:p>
                    </w:tc>
                  </w:sdtContent>
                </w:sdt>
                <w:tc>
                  <w:tcPr>
                    <w:tcW w:w="392" w:type="pct"/>
                    <w:tcBorders>
                      <w:top w:val="outset" w:sz="6" w:space="0" w:color="auto"/>
                      <w:left w:val="outset" w:sz="6" w:space="0" w:color="auto"/>
                      <w:bottom w:val="outset" w:sz="6" w:space="0" w:color="auto"/>
                      <w:right w:val="outset" w:sz="6" w:space="0" w:color="auto"/>
                    </w:tcBorders>
                  </w:tcPr>
                  <w:p w14:paraId="1E9A936A"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2B160DEB"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0820C3FF" w14:textId="77777777" w:rsidR="00830E72" w:rsidRDefault="00830E72">
                    <w:pPr>
                      <w:jc w:val="right"/>
                      <w:rPr>
                        <w:szCs w:val="21"/>
                      </w:rPr>
                    </w:pPr>
                  </w:p>
                </w:tc>
              </w:tr>
              <w:tr w:rsidR="00830E72" w14:paraId="503EFB1B" w14:textId="77777777">
                <w:sdt>
                  <w:sdtPr>
                    <w:tag w:val="_PLD_338e61244aeb4a06b85c45422b5d2e25"/>
                    <w:id w:val="1775280008"/>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1852DA5A" w14:textId="77777777" w:rsidR="00830E72" w:rsidRDefault="008344D8">
                        <w:pPr>
                          <w:ind w:firstLineChars="100" w:firstLine="210"/>
                          <w:rPr>
                            <w:szCs w:val="21"/>
                          </w:rPr>
                        </w:pPr>
                        <w:r>
                          <w:rPr>
                            <w:rFonts w:hint="eastAsia"/>
                            <w:szCs w:val="21"/>
                          </w:rPr>
                          <w:t>应付债券</w:t>
                        </w:r>
                      </w:p>
                    </w:tc>
                  </w:sdtContent>
                </w:sdt>
                <w:tc>
                  <w:tcPr>
                    <w:tcW w:w="392" w:type="pct"/>
                    <w:tcBorders>
                      <w:top w:val="outset" w:sz="6" w:space="0" w:color="auto"/>
                      <w:left w:val="outset" w:sz="6" w:space="0" w:color="auto"/>
                      <w:bottom w:val="outset" w:sz="6" w:space="0" w:color="auto"/>
                      <w:right w:val="outset" w:sz="6" w:space="0" w:color="auto"/>
                    </w:tcBorders>
                  </w:tcPr>
                  <w:p w14:paraId="3D8F5DFA"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40150AE6"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024FF38C" w14:textId="77777777" w:rsidR="00830E72" w:rsidRDefault="00830E72">
                    <w:pPr>
                      <w:jc w:val="right"/>
                      <w:rPr>
                        <w:szCs w:val="21"/>
                      </w:rPr>
                    </w:pPr>
                  </w:p>
                </w:tc>
              </w:tr>
              <w:tr w:rsidR="00830E72" w14:paraId="358A8BAB" w14:textId="77777777">
                <w:sdt>
                  <w:sdtPr>
                    <w:tag w:val="_PLD_314bd73553e7420a8c904cb2018c47e8"/>
                    <w:id w:val="-775104245"/>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1B340BF6" w14:textId="77777777" w:rsidR="00830E72" w:rsidRDefault="008344D8">
                        <w:pPr>
                          <w:ind w:firstLineChars="100" w:firstLine="210"/>
                          <w:rPr>
                            <w:szCs w:val="21"/>
                          </w:rPr>
                        </w:pPr>
                        <w:r>
                          <w:rPr>
                            <w:rFonts w:hint="eastAsia"/>
                            <w:szCs w:val="21"/>
                          </w:rPr>
                          <w:t>其中：优先股</w:t>
                        </w:r>
                      </w:p>
                    </w:tc>
                  </w:sdtContent>
                </w:sdt>
                <w:tc>
                  <w:tcPr>
                    <w:tcW w:w="392" w:type="pct"/>
                    <w:tcBorders>
                      <w:top w:val="outset" w:sz="6" w:space="0" w:color="auto"/>
                      <w:left w:val="outset" w:sz="6" w:space="0" w:color="auto"/>
                      <w:bottom w:val="outset" w:sz="6" w:space="0" w:color="auto"/>
                      <w:right w:val="outset" w:sz="6" w:space="0" w:color="auto"/>
                    </w:tcBorders>
                  </w:tcPr>
                  <w:p w14:paraId="36BB9BFB"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565BCE30"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1B01F7C2" w14:textId="77777777" w:rsidR="00830E72" w:rsidRDefault="00830E72">
                    <w:pPr>
                      <w:jc w:val="right"/>
                      <w:rPr>
                        <w:szCs w:val="21"/>
                      </w:rPr>
                    </w:pPr>
                  </w:p>
                </w:tc>
              </w:tr>
              <w:tr w:rsidR="00830E72" w14:paraId="303FE684" w14:textId="77777777">
                <w:sdt>
                  <w:sdtPr>
                    <w:tag w:val="_PLD_5044e414e8a34f969372ff67406d75ff"/>
                    <w:id w:val="-965267921"/>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1F1CEFD2" w14:textId="77777777" w:rsidR="00830E72" w:rsidRDefault="008344D8">
                        <w:pPr>
                          <w:ind w:leftChars="300" w:left="630" w:firstLineChars="100" w:firstLine="210"/>
                          <w:rPr>
                            <w:szCs w:val="21"/>
                          </w:rPr>
                        </w:pPr>
                        <w:r>
                          <w:rPr>
                            <w:rFonts w:hint="eastAsia"/>
                            <w:szCs w:val="21"/>
                          </w:rPr>
                          <w:t>永续债</w:t>
                        </w:r>
                      </w:p>
                    </w:tc>
                  </w:sdtContent>
                </w:sdt>
                <w:tc>
                  <w:tcPr>
                    <w:tcW w:w="392" w:type="pct"/>
                    <w:tcBorders>
                      <w:top w:val="outset" w:sz="6" w:space="0" w:color="auto"/>
                      <w:left w:val="outset" w:sz="6" w:space="0" w:color="auto"/>
                      <w:bottom w:val="outset" w:sz="6" w:space="0" w:color="auto"/>
                      <w:right w:val="outset" w:sz="6" w:space="0" w:color="auto"/>
                    </w:tcBorders>
                  </w:tcPr>
                  <w:p w14:paraId="342916D1"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275D2D5D"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3CA20FAB" w14:textId="77777777" w:rsidR="00830E72" w:rsidRDefault="00830E72">
                    <w:pPr>
                      <w:jc w:val="right"/>
                      <w:rPr>
                        <w:szCs w:val="21"/>
                      </w:rPr>
                    </w:pPr>
                  </w:p>
                </w:tc>
              </w:tr>
              <w:tr w:rsidR="00830E72" w14:paraId="2D6E429C" w14:textId="77777777">
                <w:sdt>
                  <w:sdtPr>
                    <w:tag w:val="_PLD_7b2441d86aba45d4ab5739ca0af69796"/>
                    <w:id w:val="-831144177"/>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1E7B362A" w14:textId="77777777" w:rsidR="00830E72" w:rsidRDefault="008344D8">
                        <w:pPr>
                          <w:ind w:firstLineChars="100" w:firstLine="210"/>
                        </w:pPr>
                        <w:r>
                          <w:rPr>
                            <w:rFonts w:hint="eastAsia"/>
                          </w:rPr>
                          <w:t>租赁负债</w:t>
                        </w:r>
                      </w:p>
                    </w:tc>
                  </w:sdtContent>
                </w:sdt>
                <w:tc>
                  <w:tcPr>
                    <w:tcW w:w="392" w:type="pct"/>
                    <w:tcBorders>
                      <w:top w:val="outset" w:sz="6" w:space="0" w:color="auto"/>
                      <w:left w:val="outset" w:sz="6" w:space="0" w:color="auto"/>
                      <w:bottom w:val="outset" w:sz="6" w:space="0" w:color="auto"/>
                      <w:right w:val="outset" w:sz="6" w:space="0" w:color="auto"/>
                    </w:tcBorders>
                  </w:tcPr>
                  <w:p w14:paraId="77D9A56C"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73AC1AF7" w14:textId="77777777" w:rsidR="00830E72" w:rsidRDefault="008344D8">
                    <w:pPr>
                      <w:jc w:val="right"/>
                      <w:rPr>
                        <w:szCs w:val="21"/>
                      </w:rPr>
                    </w:pPr>
                    <w:r>
                      <w:rPr>
                        <w:szCs w:val="21"/>
                      </w:rPr>
                      <w:t>3,559,663.43</w:t>
                    </w:r>
                  </w:p>
                </w:tc>
                <w:tc>
                  <w:tcPr>
                    <w:tcW w:w="1098" w:type="pct"/>
                    <w:tcBorders>
                      <w:top w:val="outset" w:sz="6" w:space="0" w:color="auto"/>
                      <w:left w:val="outset" w:sz="6" w:space="0" w:color="auto"/>
                      <w:bottom w:val="outset" w:sz="6" w:space="0" w:color="auto"/>
                      <w:right w:val="outset" w:sz="6" w:space="0" w:color="auto"/>
                    </w:tcBorders>
                  </w:tcPr>
                  <w:p w14:paraId="2C9363F4" w14:textId="77777777" w:rsidR="00830E72" w:rsidRDefault="00830E72">
                    <w:pPr>
                      <w:jc w:val="right"/>
                      <w:rPr>
                        <w:szCs w:val="21"/>
                      </w:rPr>
                    </w:pPr>
                  </w:p>
                </w:tc>
              </w:tr>
              <w:tr w:rsidR="00830E72" w14:paraId="626F4450" w14:textId="77777777">
                <w:sdt>
                  <w:sdtPr>
                    <w:tag w:val="_PLD_d268871ae8f24f1d920dd95b56180bba"/>
                    <w:id w:val="-1143647655"/>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79FE32A2" w14:textId="77777777" w:rsidR="00830E72" w:rsidRDefault="008344D8">
                        <w:pPr>
                          <w:ind w:firstLineChars="100" w:firstLine="210"/>
                          <w:rPr>
                            <w:szCs w:val="21"/>
                          </w:rPr>
                        </w:pPr>
                        <w:r>
                          <w:rPr>
                            <w:rFonts w:hint="eastAsia"/>
                            <w:szCs w:val="21"/>
                          </w:rPr>
                          <w:t>长期应付款</w:t>
                        </w:r>
                      </w:p>
                    </w:tc>
                  </w:sdtContent>
                </w:sdt>
                <w:tc>
                  <w:tcPr>
                    <w:tcW w:w="392" w:type="pct"/>
                    <w:tcBorders>
                      <w:top w:val="outset" w:sz="6" w:space="0" w:color="auto"/>
                      <w:left w:val="outset" w:sz="6" w:space="0" w:color="auto"/>
                      <w:bottom w:val="outset" w:sz="6" w:space="0" w:color="auto"/>
                      <w:right w:val="outset" w:sz="6" w:space="0" w:color="auto"/>
                    </w:tcBorders>
                  </w:tcPr>
                  <w:p w14:paraId="27E97A7F"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430D278A"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6AB2A4F5" w14:textId="77777777" w:rsidR="00830E72" w:rsidRDefault="00830E72">
                    <w:pPr>
                      <w:jc w:val="right"/>
                      <w:rPr>
                        <w:szCs w:val="21"/>
                      </w:rPr>
                    </w:pPr>
                  </w:p>
                </w:tc>
              </w:tr>
              <w:tr w:rsidR="00830E72" w14:paraId="47E575C1" w14:textId="77777777">
                <w:sdt>
                  <w:sdtPr>
                    <w:tag w:val="_PLD_200b2b0412114e3b932260eef9b4c6fe"/>
                    <w:id w:val="1873263682"/>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619C8DD2" w14:textId="77777777" w:rsidR="00830E72" w:rsidRDefault="008344D8">
                        <w:pPr>
                          <w:ind w:firstLineChars="100" w:firstLine="210"/>
                          <w:rPr>
                            <w:szCs w:val="21"/>
                          </w:rPr>
                        </w:pPr>
                        <w:r>
                          <w:rPr>
                            <w:rFonts w:hint="eastAsia"/>
                            <w:szCs w:val="21"/>
                          </w:rPr>
                          <w:t>长期应付职工薪酬</w:t>
                        </w:r>
                      </w:p>
                    </w:tc>
                  </w:sdtContent>
                </w:sdt>
                <w:tc>
                  <w:tcPr>
                    <w:tcW w:w="392" w:type="pct"/>
                    <w:tcBorders>
                      <w:top w:val="outset" w:sz="6" w:space="0" w:color="auto"/>
                      <w:left w:val="outset" w:sz="6" w:space="0" w:color="auto"/>
                      <w:bottom w:val="outset" w:sz="6" w:space="0" w:color="auto"/>
                      <w:right w:val="outset" w:sz="6" w:space="0" w:color="auto"/>
                    </w:tcBorders>
                  </w:tcPr>
                  <w:p w14:paraId="4DF9AC8C"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7E5D48FA"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5BC5A205" w14:textId="77777777" w:rsidR="00830E72" w:rsidRDefault="00830E72">
                    <w:pPr>
                      <w:jc w:val="right"/>
                      <w:rPr>
                        <w:szCs w:val="21"/>
                      </w:rPr>
                    </w:pPr>
                  </w:p>
                </w:tc>
              </w:tr>
              <w:tr w:rsidR="00830E72" w14:paraId="1D16B8EB" w14:textId="77777777">
                <w:sdt>
                  <w:sdtPr>
                    <w:tag w:val="_PLD_175206d9834f4332bb966826e2fc6cf7"/>
                    <w:id w:val="1037619640"/>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48E34215" w14:textId="77777777" w:rsidR="00830E72" w:rsidRDefault="008344D8">
                        <w:pPr>
                          <w:ind w:firstLineChars="100" w:firstLine="210"/>
                          <w:rPr>
                            <w:szCs w:val="21"/>
                          </w:rPr>
                        </w:pPr>
                        <w:r>
                          <w:rPr>
                            <w:rFonts w:hint="eastAsia"/>
                            <w:szCs w:val="21"/>
                          </w:rPr>
                          <w:t>预计负债</w:t>
                        </w:r>
                      </w:p>
                    </w:tc>
                  </w:sdtContent>
                </w:sdt>
                <w:tc>
                  <w:tcPr>
                    <w:tcW w:w="392" w:type="pct"/>
                    <w:tcBorders>
                      <w:top w:val="outset" w:sz="6" w:space="0" w:color="auto"/>
                      <w:left w:val="outset" w:sz="6" w:space="0" w:color="auto"/>
                      <w:bottom w:val="outset" w:sz="6" w:space="0" w:color="auto"/>
                      <w:right w:val="outset" w:sz="6" w:space="0" w:color="auto"/>
                    </w:tcBorders>
                  </w:tcPr>
                  <w:p w14:paraId="516AF8B8"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0FD48390" w14:textId="77777777" w:rsidR="00830E72" w:rsidRDefault="008344D8">
                    <w:pPr>
                      <w:jc w:val="right"/>
                      <w:rPr>
                        <w:szCs w:val="21"/>
                      </w:rPr>
                    </w:pPr>
                    <w:r>
                      <w:rPr>
                        <w:szCs w:val="21"/>
                      </w:rPr>
                      <w:t>4,112,794.49</w:t>
                    </w:r>
                  </w:p>
                </w:tc>
                <w:tc>
                  <w:tcPr>
                    <w:tcW w:w="1098" w:type="pct"/>
                    <w:tcBorders>
                      <w:top w:val="outset" w:sz="6" w:space="0" w:color="auto"/>
                      <w:left w:val="outset" w:sz="6" w:space="0" w:color="auto"/>
                      <w:bottom w:val="outset" w:sz="6" w:space="0" w:color="auto"/>
                      <w:right w:val="outset" w:sz="6" w:space="0" w:color="auto"/>
                    </w:tcBorders>
                  </w:tcPr>
                  <w:p w14:paraId="66C7E12F" w14:textId="77777777" w:rsidR="00830E72" w:rsidRDefault="008344D8">
                    <w:pPr>
                      <w:jc w:val="right"/>
                      <w:rPr>
                        <w:szCs w:val="21"/>
                      </w:rPr>
                    </w:pPr>
                    <w:r>
                      <w:rPr>
                        <w:szCs w:val="21"/>
                      </w:rPr>
                      <w:t>4,855,107.55</w:t>
                    </w:r>
                  </w:p>
                </w:tc>
              </w:tr>
              <w:tr w:rsidR="00830E72" w14:paraId="33E5FD4D" w14:textId="77777777">
                <w:sdt>
                  <w:sdtPr>
                    <w:tag w:val="_PLD_eab00dbf5a03497493b7cecfc307a4f7"/>
                    <w:id w:val="906430063"/>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0BC0D7FB" w14:textId="77777777" w:rsidR="00830E72" w:rsidRDefault="008344D8">
                        <w:pPr>
                          <w:ind w:firstLineChars="100" w:firstLine="210"/>
                          <w:rPr>
                            <w:szCs w:val="21"/>
                          </w:rPr>
                        </w:pPr>
                        <w:r>
                          <w:rPr>
                            <w:rFonts w:hint="eastAsia"/>
                            <w:szCs w:val="21"/>
                          </w:rPr>
                          <w:t>递延收益</w:t>
                        </w:r>
                      </w:p>
                    </w:tc>
                  </w:sdtContent>
                </w:sdt>
                <w:tc>
                  <w:tcPr>
                    <w:tcW w:w="392" w:type="pct"/>
                    <w:tcBorders>
                      <w:top w:val="outset" w:sz="6" w:space="0" w:color="auto"/>
                      <w:left w:val="outset" w:sz="6" w:space="0" w:color="auto"/>
                      <w:bottom w:val="outset" w:sz="6" w:space="0" w:color="auto"/>
                      <w:right w:val="outset" w:sz="6" w:space="0" w:color="auto"/>
                    </w:tcBorders>
                  </w:tcPr>
                  <w:p w14:paraId="002A6C0A"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767F636B"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1015EB06" w14:textId="77777777" w:rsidR="00830E72" w:rsidRDefault="00830E72">
                    <w:pPr>
                      <w:jc w:val="right"/>
                      <w:rPr>
                        <w:szCs w:val="21"/>
                      </w:rPr>
                    </w:pPr>
                  </w:p>
                </w:tc>
              </w:tr>
              <w:tr w:rsidR="00830E72" w14:paraId="7ED2BCBB" w14:textId="77777777">
                <w:sdt>
                  <w:sdtPr>
                    <w:tag w:val="_PLD_b27860a290d6473991cd09d203f00279"/>
                    <w:id w:val="-1377611566"/>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19334EB0" w14:textId="77777777" w:rsidR="00830E72" w:rsidRDefault="008344D8">
                        <w:pPr>
                          <w:ind w:firstLineChars="100" w:firstLine="210"/>
                          <w:rPr>
                            <w:szCs w:val="21"/>
                          </w:rPr>
                        </w:pPr>
                        <w:r>
                          <w:rPr>
                            <w:rFonts w:hint="eastAsia"/>
                            <w:szCs w:val="21"/>
                          </w:rPr>
                          <w:t>递延所得税负债</w:t>
                        </w:r>
                      </w:p>
                    </w:tc>
                  </w:sdtContent>
                </w:sdt>
                <w:tc>
                  <w:tcPr>
                    <w:tcW w:w="392" w:type="pct"/>
                    <w:tcBorders>
                      <w:top w:val="outset" w:sz="6" w:space="0" w:color="auto"/>
                      <w:left w:val="outset" w:sz="6" w:space="0" w:color="auto"/>
                      <w:bottom w:val="outset" w:sz="6" w:space="0" w:color="auto"/>
                      <w:right w:val="outset" w:sz="6" w:space="0" w:color="auto"/>
                    </w:tcBorders>
                  </w:tcPr>
                  <w:p w14:paraId="605E7600"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22E1C374" w14:textId="77777777" w:rsidR="00830E72" w:rsidRDefault="008344D8">
                    <w:pPr>
                      <w:jc w:val="right"/>
                      <w:rPr>
                        <w:szCs w:val="21"/>
                      </w:rPr>
                    </w:pPr>
                    <w:r>
                      <w:rPr>
                        <w:szCs w:val="21"/>
                      </w:rPr>
                      <w:t>7,405,837.57</w:t>
                    </w:r>
                  </w:p>
                </w:tc>
                <w:tc>
                  <w:tcPr>
                    <w:tcW w:w="1098" w:type="pct"/>
                    <w:tcBorders>
                      <w:top w:val="outset" w:sz="6" w:space="0" w:color="auto"/>
                      <w:left w:val="outset" w:sz="6" w:space="0" w:color="auto"/>
                      <w:bottom w:val="outset" w:sz="6" w:space="0" w:color="auto"/>
                      <w:right w:val="outset" w:sz="6" w:space="0" w:color="auto"/>
                    </w:tcBorders>
                  </w:tcPr>
                  <w:p w14:paraId="4A1410BB" w14:textId="77777777" w:rsidR="00830E72" w:rsidRDefault="008344D8">
                    <w:pPr>
                      <w:jc w:val="right"/>
                      <w:rPr>
                        <w:szCs w:val="21"/>
                      </w:rPr>
                    </w:pPr>
                    <w:r>
                      <w:rPr>
                        <w:szCs w:val="21"/>
                      </w:rPr>
                      <w:t>7,511,253.52</w:t>
                    </w:r>
                  </w:p>
                </w:tc>
              </w:tr>
              <w:tr w:rsidR="00830E72" w14:paraId="1CC2E817" w14:textId="77777777">
                <w:sdt>
                  <w:sdtPr>
                    <w:tag w:val="_PLD_4e68f69147854f91a45d2da03b70d4d5"/>
                    <w:id w:val="585274597"/>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759F5A3A" w14:textId="77777777" w:rsidR="00830E72" w:rsidRDefault="008344D8">
                        <w:pPr>
                          <w:ind w:firstLineChars="100" w:firstLine="210"/>
                          <w:rPr>
                            <w:szCs w:val="21"/>
                          </w:rPr>
                        </w:pPr>
                        <w:r>
                          <w:rPr>
                            <w:rFonts w:hint="eastAsia"/>
                            <w:szCs w:val="21"/>
                          </w:rPr>
                          <w:t>其他非流动负债</w:t>
                        </w:r>
                      </w:p>
                    </w:tc>
                  </w:sdtContent>
                </w:sdt>
                <w:tc>
                  <w:tcPr>
                    <w:tcW w:w="392" w:type="pct"/>
                    <w:tcBorders>
                      <w:top w:val="outset" w:sz="6" w:space="0" w:color="auto"/>
                      <w:left w:val="outset" w:sz="6" w:space="0" w:color="auto"/>
                      <w:bottom w:val="outset" w:sz="6" w:space="0" w:color="auto"/>
                      <w:right w:val="outset" w:sz="6" w:space="0" w:color="auto"/>
                    </w:tcBorders>
                  </w:tcPr>
                  <w:p w14:paraId="7D554C7E"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4C646D7E"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43C94E05" w14:textId="77777777" w:rsidR="00830E72" w:rsidRDefault="00830E72">
                    <w:pPr>
                      <w:jc w:val="right"/>
                      <w:rPr>
                        <w:szCs w:val="21"/>
                      </w:rPr>
                    </w:pPr>
                  </w:p>
                </w:tc>
              </w:tr>
              <w:tr w:rsidR="00830E72" w14:paraId="21AACDFD" w14:textId="77777777">
                <w:sdt>
                  <w:sdtPr>
                    <w:tag w:val="_PLD_2c899ef8da434424b5289e4324851489"/>
                    <w:id w:val="1350528910"/>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7C4E7EC3" w14:textId="77777777" w:rsidR="00830E72" w:rsidRDefault="008344D8">
                        <w:pPr>
                          <w:ind w:firstLineChars="200" w:firstLine="420"/>
                          <w:rPr>
                            <w:szCs w:val="21"/>
                          </w:rPr>
                        </w:pPr>
                        <w:r>
                          <w:rPr>
                            <w:rFonts w:hint="eastAsia"/>
                            <w:szCs w:val="21"/>
                          </w:rPr>
                          <w:t>非流动负债合计</w:t>
                        </w:r>
                      </w:p>
                    </w:tc>
                  </w:sdtContent>
                </w:sdt>
                <w:tc>
                  <w:tcPr>
                    <w:tcW w:w="392" w:type="pct"/>
                    <w:tcBorders>
                      <w:top w:val="outset" w:sz="6" w:space="0" w:color="auto"/>
                      <w:left w:val="outset" w:sz="6" w:space="0" w:color="auto"/>
                      <w:bottom w:val="outset" w:sz="6" w:space="0" w:color="auto"/>
                      <w:right w:val="outset" w:sz="6" w:space="0" w:color="auto"/>
                    </w:tcBorders>
                  </w:tcPr>
                  <w:p w14:paraId="6A61F8D2"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4B938567" w14:textId="77777777" w:rsidR="00830E72" w:rsidRDefault="008344D8">
                    <w:pPr>
                      <w:jc w:val="right"/>
                      <w:rPr>
                        <w:szCs w:val="21"/>
                      </w:rPr>
                    </w:pPr>
                    <w:r>
                      <w:rPr>
                        <w:szCs w:val="21"/>
                      </w:rPr>
                      <w:t>15,078,295.49</w:t>
                    </w:r>
                  </w:p>
                </w:tc>
                <w:tc>
                  <w:tcPr>
                    <w:tcW w:w="1098" w:type="pct"/>
                    <w:tcBorders>
                      <w:top w:val="outset" w:sz="6" w:space="0" w:color="auto"/>
                      <w:left w:val="outset" w:sz="6" w:space="0" w:color="auto"/>
                      <w:bottom w:val="outset" w:sz="6" w:space="0" w:color="auto"/>
                      <w:right w:val="outset" w:sz="6" w:space="0" w:color="auto"/>
                    </w:tcBorders>
                  </w:tcPr>
                  <w:p w14:paraId="75719695" w14:textId="77777777" w:rsidR="00830E72" w:rsidRDefault="008344D8">
                    <w:pPr>
                      <w:jc w:val="right"/>
                      <w:rPr>
                        <w:szCs w:val="21"/>
                      </w:rPr>
                    </w:pPr>
                    <w:r>
                      <w:rPr>
                        <w:szCs w:val="21"/>
                      </w:rPr>
                      <w:t>12,366,361.07</w:t>
                    </w:r>
                  </w:p>
                </w:tc>
              </w:tr>
              <w:tr w:rsidR="00830E72" w14:paraId="2535A870" w14:textId="77777777">
                <w:sdt>
                  <w:sdtPr>
                    <w:tag w:val="_PLD_e2102ad9792147f2bf11ec884c204033"/>
                    <w:id w:val="-1970265241"/>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30AD2021" w14:textId="77777777" w:rsidR="00830E72" w:rsidRDefault="008344D8">
                        <w:pPr>
                          <w:ind w:firstLineChars="300" w:firstLine="630"/>
                          <w:rPr>
                            <w:szCs w:val="21"/>
                          </w:rPr>
                        </w:pPr>
                        <w:r>
                          <w:rPr>
                            <w:rFonts w:hint="eastAsia"/>
                            <w:szCs w:val="21"/>
                          </w:rPr>
                          <w:t>负债合计</w:t>
                        </w:r>
                      </w:p>
                    </w:tc>
                  </w:sdtContent>
                </w:sdt>
                <w:tc>
                  <w:tcPr>
                    <w:tcW w:w="392" w:type="pct"/>
                    <w:tcBorders>
                      <w:top w:val="outset" w:sz="6" w:space="0" w:color="auto"/>
                      <w:left w:val="outset" w:sz="6" w:space="0" w:color="auto"/>
                      <w:bottom w:val="outset" w:sz="6" w:space="0" w:color="auto"/>
                      <w:right w:val="outset" w:sz="6" w:space="0" w:color="auto"/>
                    </w:tcBorders>
                  </w:tcPr>
                  <w:p w14:paraId="7CB654D2"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79E0FD63" w14:textId="77777777" w:rsidR="00830E72" w:rsidRDefault="008344D8">
                    <w:pPr>
                      <w:jc w:val="right"/>
                      <w:rPr>
                        <w:szCs w:val="21"/>
                      </w:rPr>
                    </w:pPr>
                    <w:r>
                      <w:rPr>
                        <w:szCs w:val="21"/>
                      </w:rPr>
                      <w:t>3,657,197,363.58</w:t>
                    </w:r>
                  </w:p>
                </w:tc>
                <w:tc>
                  <w:tcPr>
                    <w:tcW w:w="1098" w:type="pct"/>
                    <w:tcBorders>
                      <w:top w:val="outset" w:sz="6" w:space="0" w:color="auto"/>
                      <w:left w:val="outset" w:sz="6" w:space="0" w:color="auto"/>
                      <w:bottom w:val="outset" w:sz="6" w:space="0" w:color="auto"/>
                      <w:right w:val="outset" w:sz="6" w:space="0" w:color="auto"/>
                    </w:tcBorders>
                  </w:tcPr>
                  <w:p w14:paraId="4765BDF8" w14:textId="77777777" w:rsidR="00830E72" w:rsidRDefault="008344D8">
                    <w:pPr>
                      <w:jc w:val="right"/>
                      <w:rPr>
                        <w:szCs w:val="21"/>
                      </w:rPr>
                    </w:pPr>
                    <w:r>
                      <w:rPr>
                        <w:szCs w:val="21"/>
                      </w:rPr>
                      <w:t>3,375,588,668.52</w:t>
                    </w:r>
                  </w:p>
                </w:tc>
              </w:tr>
              <w:tr w:rsidR="00830E72" w14:paraId="7C86E3F4" w14:textId="77777777">
                <w:sdt>
                  <w:sdtPr>
                    <w:tag w:val="_PLD_b3c95ee428314f8b8091bd15dff2a83d"/>
                    <w:id w:val="1541707508"/>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168BA642" w14:textId="77777777" w:rsidR="00830E72" w:rsidRDefault="008344D8">
                        <w:pPr>
                          <w:rPr>
                            <w:szCs w:val="21"/>
                          </w:rPr>
                        </w:pPr>
                        <w:r>
                          <w:rPr>
                            <w:rFonts w:hint="eastAsia"/>
                            <w:b/>
                            <w:bCs/>
                            <w:szCs w:val="21"/>
                          </w:rPr>
                          <w:t>所有者权益（或股东权益）：</w:t>
                        </w:r>
                      </w:p>
                    </w:tc>
                  </w:sdtContent>
                </w:sdt>
                <w:tc>
                  <w:tcPr>
                    <w:tcW w:w="392" w:type="pct"/>
                    <w:tcBorders>
                      <w:top w:val="outset" w:sz="6" w:space="0" w:color="auto"/>
                      <w:left w:val="outset" w:sz="6" w:space="0" w:color="auto"/>
                      <w:bottom w:val="outset" w:sz="6" w:space="0" w:color="auto"/>
                      <w:right w:val="outset" w:sz="6" w:space="0" w:color="auto"/>
                    </w:tcBorders>
                  </w:tcPr>
                  <w:p w14:paraId="0675F617" w14:textId="77777777" w:rsidR="00830E72" w:rsidRDefault="00830E72">
                    <w:pPr>
                      <w:rPr>
                        <w:color w:val="008000"/>
                        <w:szCs w:val="21"/>
                      </w:rPr>
                    </w:pPr>
                  </w:p>
                </w:tc>
                <w:tc>
                  <w:tcPr>
                    <w:tcW w:w="1176" w:type="pct"/>
                    <w:tcBorders>
                      <w:top w:val="outset" w:sz="6" w:space="0" w:color="auto"/>
                      <w:left w:val="outset" w:sz="6" w:space="0" w:color="auto"/>
                      <w:bottom w:val="outset" w:sz="6" w:space="0" w:color="auto"/>
                      <w:right w:val="outset" w:sz="6" w:space="0" w:color="auto"/>
                    </w:tcBorders>
                  </w:tcPr>
                  <w:p w14:paraId="766E8819" w14:textId="77777777" w:rsidR="00830E72" w:rsidRDefault="00830E72">
                    <w:pPr>
                      <w:rPr>
                        <w:color w:val="008000"/>
                        <w:szCs w:val="21"/>
                      </w:rPr>
                    </w:pPr>
                  </w:p>
                </w:tc>
                <w:tc>
                  <w:tcPr>
                    <w:tcW w:w="1098" w:type="pct"/>
                    <w:tcBorders>
                      <w:top w:val="outset" w:sz="6" w:space="0" w:color="auto"/>
                      <w:left w:val="outset" w:sz="6" w:space="0" w:color="auto"/>
                      <w:bottom w:val="outset" w:sz="6" w:space="0" w:color="auto"/>
                      <w:right w:val="outset" w:sz="6" w:space="0" w:color="auto"/>
                    </w:tcBorders>
                  </w:tcPr>
                  <w:p w14:paraId="09682CAF" w14:textId="77777777" w:rsidR="00830E72" w:rsidRDefault="00830E72">
                    <w:pPr>
                      <w:rPr>
                        <w:color w:val="008000"/>
                        <w:szCs w:val="21"/>
                      </w:rPr>
                    </w:pPr>
                  </w:p>
                </w:tc>
              </w:tr>
              <w:tr w:rsidR="00830E72" w14:paraId="38AC1CE2" w14:textId="77777777">
                <w:sdt>
                  <w:sdtPr>
                    <w:tag w:val="_PLD_4dc50e71aa7b412096aaa176abd95e28"/>
                    <w:id w:val="-554392490"/>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5DE3F230" w14:textId="77777777" w:rsidR="00830E72" w:rsidRDefault="008344D8">
                        <w:pPr>
                          <w:ind w:firstLineChars="100" w:firstLine="210"/>
                          <w:rPr>
                            <w:szCs w:val="21"/>
                          </w:rPr>
                        </w:pPr>
                        <w:r>
                          <w:rPr>
                            <w:rFonts w:hint="eastAsia"/>
                            <w:szCs w:val="21"/>
                          </w:rPr>
                          <w:t>实收资本（或股本）</w:t>
                        </w:r>
                      </w:p>
                    </w:tc>
                  </w:sdtContent>
                </w:sdt>
                <w:tc>
                  <w:tcPr>
                    <w:tcW w:w="392" w:type="pct"/>
                    <w:tcBorders>
                      <w:top w:val="outset" w:sz="6" w:space="0" w:color="auto"/>
                      <w:left w:val="outset" w:sz="6" w:space="0" w:color="auto"/>
                      <w:bottom w:val="outset" w:sz="6" w:space="0" w:color="auto"/>
                      <w:right w:val="outset" w:sz="6" w:space="0" w:color="auto"/>
                    </w:tcBorders>
                  </w:tcPr>
                  <w:p w14:paraId="0CCF00AB"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7C5962CE" w14:textId="77777777" w:rsidR="00830E72" w:rsidRDefault="008344D8">
                    <w:pPr>
                      <w:jc w:val="right"/>
                      <w:rPr>
                        <w:szCs w:val="21"/>
                      </w:rPr>
                    </w:pPr>
                    <w:r>
                      <w:rPr>
                        <w:szCs w:val="21"/>
                      </w:rPr>
                      <w:t>618,924,235.00</w:t>
                    </w:r>
                  </w:p>
                </w:tc>
                <w:tc>
                  <w:tcPr>
                    <w:tcW w:w="1098" w:type="pct"/>
                    <w:tcBorders>
                      <w:top w:val="outset" w:sz="6" w:space="0" w:color="auto"/>
                      <w:left w:val="outset" w:sz="6" w:space="0" w:color="auto"/>
                      <w:bottom w:val="outset" w:sz="6" w:space="0" w:color="auto"/>
                      <w:right w:val="outset" w:sz="6" w:space="0" w:color="auto"/>
                    </w:tcBorders>
                  </w:tcPr>
                  <w:p w14:paraId="0C306C01" w14:textId="77777777" w:rsidR="00830E72" w:rsidRDefault="008344D8">
                    <w:pPr>
                      <w:jc w:val="right"/>
                      <w:rPr>
                        <w:szCs w:val="21"/>
                      </w:rPr>
                    </w:pPr>
                    <w:r>
                      <w:rPr>
                        <w:szCs w:val="21"/>
                      </w:rPr>
                      <w:t>499,000,000.00</w:t>
                    </w:r>
                  </w:p>
                </w:tc>
              </w:tr>
              <w:tr w:rsidR="00830E72" w14:paraId="3964A241" w14:textId="77777777">
                <w:sdt>
                  <w:sdtPr>
                    <w:tag w:val="_PLD_f36127e51236487893688b464544872d"/>
                    <w:id w:val="-193077521"/>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3DDCDE9F" w14:textId="77777777" w:rsidR="00830E72" w:rsidRDefault="008344D8">
                        <w:pPr>
                          <w:ind w:firstLineChars="100" w:firstLine="210"/>
                          <w:rPr>
                            <w:szCs w:val="21"/>
                          </w:rPr>
                        </w:pPr>
                        <w:r>
                          <w:rPr>
                            <w:rFonts w:hint="eastAsia"/>
                            <w:szCs w:val="21"/>
                          </w:rPr>
                          <w:t>其他权益工具</w:t>
                        </w:r>
                      </w:p>
                    </w:tc>
                  </w:sdtContent>
                </w:sdt>
                <w:tc>
                  <w:tcPr>
                    <w:tcW w:w="392" w:type="pct"/>
                    <w:tcBorders>
                      <w:top w:val="outset" w:sz="6" w:space="0" w:color="auto"/>
                      <w:left w:val="outset" w:sz="6" w:space="0" w:color="auto"/>
                      <w:bottom w:val="outset" w:sz="6" w:space="0" w:color="auto"/>
                      <w:right w:val="outset" w:sz="6" w:space="0" w:color="auto"/>
                    </w:tcBorders>
                  </w:tcPr>
                  <w:p w14:paraId="5D554F67"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2CD413DC"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5F0AB8E9" w14:textId="77777777" w:rsidR="00830E72" w:rsidRDefault="00830E72">
                    <w:pPr>
                      <w:jc w:val="right"/>
                      <w:rPr>
                        <w:szCs w:val="21"/>
                      </w:rPr>
                    </w:pPr>
                  </w:p>
                </w:tc>
              </w:tr>
              <w:tr w:rsidR="00830E72" w14:paraId="0176039A" w14:textId="77777777">
                <w:sdt>
                  <w:sdtPr>
                    <w:tag w:val="_PLD_6ff9fed10f5e4421b4d017b86f339700"/>
                    <w:id w:val="1882288890"/>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64B168C2" w14:textId="77777777" w:rsidR="00830E72" w:rsidRDefault="008344D8">
                        <w:pPr>
                          <w:ind w:firstLineChars="100" w:firstLine="210"/>
                          <w:rPr>
                            <w:szCs w:val="21"/>
                          </w:rPr>
                        </w:pPr>
                        <w:r>
                          <w:rPr>
                            <w:rFonts w:hint="eastAsia"/>
                            <w:szCs w:val="21"/>
                          </w:rPr>
                          <w:t>其中：优先股</w:t>
                        </w:r>
                      </w:p>
                    </w:tc>
                  </w:sdtContent>
                </w:sdt>
                <w:tc>
                  <w:tcPr>
                    <w:tcW w:w="392" w:type="pct"/>
                    <w:tcBorders>
                      <w:top w:val="outset" w:sz="6" w:space="0" w:color="auto"/>
                      <w:left w:val="outset" w:sz="6" w:space="0" w:color="auto"/>
                      <w:bottom w:val="outset" w:sz="6" w:space="0" w:color="auto"/>
                      <w:right w:val="outset" w:sz="6" w:space="0" w:color="auto"/>
                    </w:tcBorders>
                  </w:tcPr>
                  <w:p w14:paraId="050CCFD1"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578D49A2"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624EBB58" w14:textId="77777777" w:rsidR="00830E72" w:rsidRDefault="00830E72">
                    <w:pPr>
                      <w:jc w:val="right"/>
                      <w:rPr>
                        <w:szCs w:val="21"/>
                      </w:rPr>
                    </w:pPr>
                  </w:p>
                </w:tc>
              </w:tr>
              <w:tr w:rsidR="00830E72" w14:paraId="5EBA0173" w14:textId="77777777">
                <w:sdt>
                  <w:sdtPr>
                    <w:tag w:val="_PLD_a53508683d034577843778ba9d06a615"/>
                    <w:id w:val="-1790502767"/>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2774DC40" w14:textId="77777777" w:rsidR="00830E72" w:rsidRDefault="008344D8">
                        <w:pPr>
                          <w:ind w:leftChars="300" w:left="630" w:firstLineChars="100" w:firstLine="210"/>
                          <w:rPr>
                            <w:szCs w:val="21"/>
                          </w:rPr>
                        </w:pPr>
                        <w:r>
                          <w:rPr>
                            <w:rFonts w:hint="eastAsia"/>
                            <w:szCs w:val="21"/>
                          </w:rPr>
                          <w:t>永续债</w:t>
                        </w:r>
                      </w:p>
                    </w:tc>
                  </w:sdtContent>
                </w:sdt>
                <w:tc>
                  <w:tcPr>
                    <w:tcW w:w="392" w:type="pct"/>
                    <w:tcBorders>
                      <w:top w:val="outset" w:sz="6" w:space="0" w:color="auto"/>
                      <w:left w:val="outset" w:sz="6" w:space="0" w:color="auto"/>
                      <w:bottom w:val="outset" w:sz="6" w:space="0" w:color="auto"/>
                      <w:right w:val="outset" w:sz="6" w:space="0" w:color="auto"/>
                    </w:tcBorders>
                  </w:tcPr>
                  <w:p w14:paraId="49324AA8"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tcPr>
                  <w:p w14:paraId="2966F858"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14:paraId="6E5219F0" w14:textId="77777777" w:rsidR="00830E72" w:rsidRDefault="00830E72">
                    <w:pPr>
                      <w:jc w:val="right"/>
                      <w:rPr>
                        <w:szCs w:val="21"/>
                      </w:rPr>
                    </w:pPr>
                  </w:p>
                </w:tc>
              </w:tr>
              <w:tr w:rsidR="00830E72" w14:paraId="3CF98CC3" w14:textId="77777777">
                <w:sdt>
                  <w:sdtPr>
                    <w:tag w:val="_PLD_08724ab7c9244a1186a8219085238e9f"/>
                    <w:id w:val="727342365"/>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20D67CF5" w14:textId="77777777" w:rsidR="00830E72" w:rsidRDefault="008344D8">
                        <w:pPr>
                          <w:ind w:firstLineChars="100" w:firstLine="210"/>
                          <w:rPr>
                            <w:szCs w:val="21"/>
                          </w:rPr>
                        </w:pPr>
                        <w:r>
                          <w:rPr>
                            <w:rFonts w:hint="eastAsia"/>
                            <w:szCs w:val="21"/>
                          </w:rPr>
                          <w:t>资本公积</w:t>
                        </w:r>
                      </w:p>
                    </w:tc>
                  </w:sdtContent>
                </w:sdt>
                <w:tc>
                  <w:tcPr>
                    <w:tcW w:w="392" w:type="pct"/>
                    <w:tcBorders>
                      <w:top w:val="outset" w:sz="6" w:space="0" w:color="auto"/>
                      <w:left w:val="outset" w:sz="6" w:space="0" w:color="auto"/>
                      <w:bottom w:val="outset" w:sz="6" w:space="0" w:color="auto"/>
                      <w:right w:val="outset" w:sz="6" w:space="0" w:color="auto"/>
                    </w:tcBorders>
                  </w:tcPr>
                  <w:p w14:paraId="5F849739"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CAA45D6" w14:textId="77777777" w:rsidR="00830E72" w:rsidRDefault="008344D8">
                    <w:pPr>
                      <w:jc w:val="right"/>
                      <w:rPr>
                        <w:szCs w:val="21"/>
                      </w:rPr>
                    </w:pPr>
                    <w:r>
                      <w:rPr>
                        <w:szCs w:val="21"/>
                      </w:rPr>
                      <w:t>948,554,348.81</w:t>
                    </w:r>
                  </w:p>
                </w:tc>
                <w:tc>
                  <w:tcPr>
                    <w:tcW w:w="1098" w:type="pct"/>
                    <w:tcBorders>
                      <w:top w:val="outset" w:sz="6" w:space="0" w:color="auto"/>
                      <w:left w:val="outset" w:sz="6" w:space="0" w:color="auto"/>
                      <w:bottom w:val="outset" w:sz="6" w:space="0" w:color="auto"/>
                      <w:right w:val="outset" w:sz="6" w:space="0" w:color="auto"/>
                    </w:tcBorders>
                    <w:vAlign w:val="center"/>
                  </w:tcPr>
                  <w:p w14:paraId="2B4624AB" w14:textId="77777777" w:rsidR="00830E72" w:rsidRDefault="008344D8">
                    <w:pPr>
                      <w:jc w:val="right"/>
                      <w:rPr>
                        <w:szCs w:val="21"/>
                      </w:rPr>
                    </w:pPr>
                    <w:r>
                      <w:rPr>
                        <w:szCs w:val="21"/>
                      </w:rPr>
                      <w:t>209,265,618.44</w:t>
                    </w:r>
                  </w:p>
                </w:tc>
              </w:tr>
              <w:tr w:rsidR="00830E72" w14:paraId="0174DB3F" w14:textId="77777777">
                <w:sdt>
                  <w:sdtPr>
                    <w:tag w:val="_PLD_acf5eb5023ce48a38a6314aa3a59978b"/>
                    <w:id w:val="-208957189"/>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4C99EA1C" w14:textId="77777777" w:rsidR="00830E72" w:rsidRDefault="008344D8">
                        <w:pPr>
                          <w:ind w:firstLineChars="100" w:firstLine="210"/>
                          <w:rPr>
                            <w:szCs w:val="21"/>
                          </w:rPr>
                        </w:pPr>
                        <w:r>
                          <w:rPr>
                            <w:rFonts w:hint="eastAsia"/>
                            <w:szCs w:val="21"/>
                          </w:rPr>
                          <w:t>减：库存股</w:t>
                        </w:r>
                      </w:p>
                    </w:tc>
                  </w:sdtContent>
                </w:sdt>
                <w:tc>
                  <w:tcPr>
                    <w:tcW w:w="392" w:type="pct"/>
                    <w:tcBorders>
                      <w:top w:val="outset" w:sz="6" w:space="0" w:color="auto"/>
                      <w:left w:val="outset" w:sz="6" w:space="0" w:color="auto"/>
                      <w:bottom w:val="outset" w:sz="6" w:space="0" w:color="auto"/>
                      <w:right w:val="outset" w:sz="6" w:space="0" w:color="auto"/>
                    </w:tcBorders>
                  </w:tcPr>
                  <w:p w14:paraId="47B702C6"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2F22E29"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vAlign w:val="center"/>
                  </w:tcPr>
                  <w:p w14:paraId="2FE1B8A2" w14:textId="77777777" w:rsidR="00830E72" w:rsidRDefault="00830E72">
                    <w:pPr>
                      <w:jc w:val="right"/>
                      <w:rPr>
                        <w:szCs w:val="21"/>
                      </w:rPr>
                    </w:pPr>
                  </w:p>
                </w:tc>
              </w:tr>
              <w:tr w:rsidR="00830E72" w14:paraId="47F529CC" w14:textId="77777777">
                <w:sdt>
                  <w:sdtPr>
                    <w:tag w:val="_PLD_b511319799ae49febdfc2f1e81f6d67c"/>
                    <w:id w:val="-1846395258"/>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7B0BC2CB" w14:textId="77777777" w:rsidR="00830E72" w:rsidRDefault="008344D8">
                        <w:pPr>
                          <w:ind w:firstLineChars="100" w:firstLine="210"/>
                          <w:rPr>
                            <w:szCs w:val="21"/>
                          </w:rPr>
                        </w:pPr>
                        <w:r>
                          <w:rPr>
                            <w:rFonts w:hint="eastAsia"/>
                            <w:szCs w:val="21"/>
                          </w:rPr>
                          <w:t>其他综合收益</w:t>
                        </w:r>
                      </w:p>
                    </w:tc>
                  </w:sdtContent>
                </w:sdt>
                <w:tc>
                  <w:tcPr>
                    <w:tcW w:w="392" w:type="pct"/>
                    <w:tcBorders>
                      <w:top w:val="outset" w:sz="6" w:space="0" w:color="auto"/>
                      <w:left w:val="outset" w:sz="6" w:space="0" w:color="auto"/>
                      <w:bottom w:val="outset" w:sz="6" w:space="0" w:color="auto"/>
                      <w:right w:val="outset" w:sz="6" w:space="0" w:color="auto"/>
                    </w:tcBorders>
                  </w:tcPr>
                  <w:p w14:paraId="0D3CEDD2"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57C4AE8" w14:textId="77777777" w:rsidR="00830E72" w:rsidRDefault="00830E72">
                    <w:pPr>
                      <w:jc w:val="right"/>
                      <w:rPr>
                        <w:szCs w:val="21"/>
                      </w:rPr>
                    </w:pPr>
                  </w:p>
                </w:tc>
                <w:tc>
                  <w:tcPr>
                    <w:tcW w:w="1098" w:type="pct"/>
                    <w:tcBorders>
                      <w:top w:val="outset" w:sz="6" w:space="0" w:color="auto"/>
                      <w:left w:val="outset" w:sz="6" w:space="0" w:color="auto"/>
                      <w:bottom w:val="outset" w:sz="6" w:space="0" w:color="auto"/>
                      <w:right w:val="outset" w:sz="6" w:space="0" w:color="auto"/>
                    </w:tcBorders>
                    <w:vAlign w:val="center"/>
                  </w:tcPr>
                  <w:p w14:paraId="3C529A45" w14:textId="77777777" w:rsidR="00830E72" w:rsidRDefault="00830E72">
                    <w:pPr>
                      <w:jc w:val="right"/>
                      <w:rPr>
                        <w:szCs w:val="21"/>
                      </w:rPr>
                    </w:pPr>
                  </w:p>
                </w:tc>
              </w:tr>
              <w:tr w:rsidR="00830E72" w14:paraId="275FB12E" w14:textId="77777777">
                <w:sdt>
                  <w:sdtPr>
                    <w:tag w:val="_PLD_485864b6f1a24685a2635ee51b952005"/>
                    <w:id w:val="295807845"/>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2351640F" w14:textId="77777777" w:rsidR="00830E72" w:rsidRDefault="008344D8">
                        <w:pPr>
                          <w:ind w:firstLineChars="100" w:firstLine="210"/>
                          <w:rPr>
                            <w:szCs w:val="21"/>
                          </w:rPr>
                        </w:pPr>
                        <w:r>
                          <w:rPr>
                            <w:rFonts w:hint="eastAsia"/>
                            <w:szCs w:val="21"/>
                          </w:rPr>
                          <w:t>专项储备</w:t>
                        </w:r>
                      </w:p>
                    </w:tc>
                  </w:sdtContent>
                </w:sdt>
                <w:tc>
                  <w:tcPr>
                    <w:tcW w:w="392" w:type="pct"/>
                    <w:tcBorders>
                      <w:top w:val="outset" w:sz="6" w:space="0" w:color="auto"/>
                      <w:left w:val="outset" w:sz="6" w:space="0" w:color="auto"/>
                      <w:bottom w:val="outset" w:sz="6" w:space="0" w:color="auto"/>
                      <w:right w:val="outset" w:sz="6" w:space="0" w:color="auto"/>
                    </w:tcBorders>
                  </w:tcPr>
                  <w:p w14:paraId="04784AFA"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15E0FCCA" w14:textId="77777777" w:rsidR="00830E72" w:rsidRDefault="008344D8">
                    <w:pPr>
                      <w:jc w:val="right"/>
                      <w:rPr>
                        <w:szCs w:val="21"/>
                      </w:rPr>
                    </w:pPr>
                    <w:r>
                      <w:rPr>
                        <w:szCs w:val="21"/>
                      </w:rPr>
                      <w:t>15,908,148.00</w:t>
                    </w:r>
                  </w:p>
                </w:tc>
                <w:tc>
                  <w:tcPr>
                    <w:tcW w:w="1098" w:type="pct"/>
                    <w:tcBorders>
                      <w:top w:val="outset" w:sz="6" w:space="0" w:color="auto"/>
                      <w:left w:val="outset" w:sz="6" w:space="0" w:color="auto"/>
                      <w:bottom w:val="outset" w:sz="6" w:space="0" w:color="auto"/>
                      <w:right w:val="outset" w:sz="6" w:space="0" w:color="auto"/>
                    </w:tcBorders>
                    <w:vAlign w:val="center"/>
                  </w:tcPr>
                  <w:p w14:paraId="734E8C0D" w14:textId="77777777" w:rsidR="00830E72" w:rsidRDefault="008344D8">
                    <w:pPr>
                      <w:jc w:val="right"/>
                      <w:rPr>
                        <w:szCs w:val="21"/>
                      </w:rPr>
                    </w:pPr>
                    <w:r>
                      <w:rPr>
                        <w:szCs w:val="21"/>
                      </w:rPr>
                      <w:t>15,436,784.81</w:t>
                    </w:r>
                  </w:p>
                </w:tc>
              </w:tr>
              <w:tr w:rsidR="00830E72" w14:paraId="45C95F2B" w14:textId="77777777">
                <w:sdt>
                  <w:sdtPr>
                    <w:tag w:val="_PLD_81d459a1820947dd8bb91df8e71c615b"/>
                    <w:id w:val="2020576301"/>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1D1CFF44" w14:textId="77777777" w:rsidR="00830E72" w:rsidRDefault="008344D8">
                        <w:pPr>
                          <w:ind w:firstLineChars="100" w:firstLine="210"/>
                          <w:rPr>
                            <w:szCs w:val="21"/>
                          </w:rPr>
                        </w:pPr>
                        <w:r>
                          <w:rPr>
                            <w:rFonts w:hint="eastAsia"/>
                            <w:szCs w:val="21"/>
                          </w:rPr>
                          <w:t>盈余公积</w:t>
                        </w:r>
                      </w:p>
                    </w:tc>
                  </w:sdtContent>
                </w:sdt>
                <w:tc>
                  <w:tcPr>
                    <w:tcW w:w="392" w:type="pct"/>
                    <w:tcBorders>
                      <w:top w:val="outset" w:sz="6" w:space="0" w:color="auto"/>
                      <w:left w:val="outset" w:sz="6" w:space="0" w:color="auto"/>
                      <w:bottom w:val="outset" w:sz="6" w:space="0" w:color="auto"/>
                      <w:right w:val="outset" w:sz="6" w:space="0" w:color="auto"/>
                    </w:tcBorders>
                  </w:tcPr>
                  <w:p w14:paraId="7C79871A"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D40E183" w14:textId="77777777" w:rsidR="00830E72" w:rsidRDefault="008344D8">
                    <w:pPr>
                      <w:jc w:val="right"/>
                      <w:rPr>
                        <w:szCs w:val="21"/>
                      </w:rPr>
                    </w:pPr>
                    <w:r>
                      <w:rPr>
                        <w:szCs w:val="21"/>
                      </w:rPr>
                      <w:t>44,344,922.59</w:t>
                    </w:r>
                  </w:p>
                </w:tc>
                <w:tc>
                  <w:tcPr>
                    <w:tcW w:w="1098" w:type="pct"/>
                    <w:tcBorders>
                      <w:top w:val="outset" w:sz="6" w:space="0" w:color="auto"/>
                      <w:left w:val="outset" w:sz="6" w:space="0" w:color="auto"/>
                      <w:bottom w:val="outset" w:sz="6" w:space="0" w:color="auto"/>
                      <w:right w:val="outset" w:sz="6" w:space="0" w:color="auto"/>
                    </w:tcBorders>
                    <w:vAlign w:val="center"/>
                  </w:tcPr>
                  <w:p w14:paraId="1D183C2E" w14:textId="77777777" w:rsidR="00830E72" w:rsidRDefault="008344D8">
                    <w:pPr>
                      <w:jc w:val="right"/>
                      <w:rPr>
                        <w:szCs w:val="21"/>
                      </w:rPr>
                    </w:pPr>
                    <w:r>
                      <w:rPr>
                        <w:szCs w:val="21"/>
                      </w:rPr>
                      <w:t>44,344,922.59</w:t>
                    </w:r>
                  </w:p>
                </w:tc>
              </w:tr>
              <w:tr w:rsidR="00830E72" w14:paraId="343D72B6" w14:textId="77777777">
                <w:sdt>
                  <w:sdtPr>
                    <w:tag w:val="_PLD_9bf3fa2bf87240889853d8e32c117a77"/>
                    <w:id w:val="612557690"/>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5954BFC6" w14:textId="77777777" w:rsidR="00830E72" w:rsidRDefault="008344D8">
                        <w:pPr>
                          <w:ind w:firstLineChars="100" w:firstLine="210"/>
                          <w:rPr>
                            <w:szCs w:val="21"/>
                          </w:rPr>
                        </w:pPr>
                        <w:r>
                          <w:rPr>
                            <w:rFonts w:hint="eastAsia"/>
                            <w:szCs w:val="21"/>
                          </w:rPr>
                          <w:t>未分配利润</w:t>
                        </w:r>
                      </w:p>
                    </w:tc>
                  </w:sdtContent>
                </w:sdt>
                <w:tc>
                  <w:tcPr>
                    <w:tcW w:w="392" w:type="pct"/>
                    <w:tcBorders>
                      <w:top w:val="outset" w:sz="6" w:space="0" w:color="auto"/>
                      <w:left w:val="outset" w:sz="6" w:space="0" w:color="auto"/>
                      <w:bottom w:val="outset" w:sz="6" w:space="0" w:color="auto"/>
                      <w:right w:val="outset" w:sz="6" w:space="0" w:color="auto"/>
                    </w:tcBorders>
                  </w:tcPr>
                  <w:p w14:paraId="234DEFE4"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FF8B2F3" w14:textId="77777777" w:rsidR="00830E72" w:rsidRDefault="008344D8">
                    <w:pPr>
                      <w:jc w:val="right"/>
                      <w:rPr>
                        <w:szCs w:val="21"/>
                      </w:rPr>
                    </w:pPr>
                    <w:r>
                      <w:rPr>
                        <w:szCs w:val="21"/>
                      </w:rPr>
                      <w:t>329,212,245.88</w:t>
                    </w:r>
                  </w:p>
                </w:tc>
                <w:tc>
                  <w:tcPr>
                    <w:tcW w:w="1098" w:type="pct"/>
                    <w:tcBorders>
                      <w:top w:val="outset" w:sz="6" w:space="0" w:color="auto"/>
                      <w:left w:val="outset" w:sz="6" w:space="0" w:color="auto"/>
                      <w:bottom w:val="outset" w:sz="6" w:space="0" w:color="auto"/>
                      <w:right w:val="outset" w:sz="6" w:space="0" w:color="auto"/>
                    </w:tcBorders>
                    <w:vAlign w:val="center"/>
                  </w:tcPr>
                  <w:p w14:paraId="02F60C2B" w14:textId="77777777" w:rsidR="00830E72" w:rsidRDefault="008344D8">
                    <w:pPr>
                      <w:jc w:val="right"/>
                      <w:rPr>
                        <w:szCs w:val="21"/>
                      </w:rPr>
                    </w:pPr>
                    <w:r>
                      <w:rPr>
                        <w:szCs w:val="21"/>
                      </w:rPr>
                      <w:t>317,553,749.61</w:t>
                    </w:r>
                  </w:p>
                </w:tc>
              </w:tr>
              <w:tr w:rsidR="00830E72" w14:paraId="24EAD55D" w14:textId="77777777">
                <w:sdt>
                  <w:sdtPr>
                    <w:tag w:val="_PLD_a8e701b7d2f8447c8bb34870babce384"/>
                    <w:id w:val="1746682938"/>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34668696" w14:textId="77777777" w:rsidR="00830E72" w:rsidRDefault="008344D8">
                        <w:pPr>
                          <w:ind w:firstLineChars="200" w:firstLine="420"/>
                          <w:rPr>
                            <w:szCs w:val="21"/>
                          </w:rPr>
                        </w:pPr>
                        <w:r>
                          <w:rPr>
                            <w:rFonts w:hint="eastAsia"/>
                          </w:rPr>
                          <w:t>所有者权益（或股东权益）合计</w:t>
                        </w:r>
                      </w:p>
                    </w:tc>
                  </w:sdtContent>
                </w:sdt>
                <w:tc>
                  <w:tcPr>
                    <w:tcW w:w="392" w:type="pct"/>
                    <w:tcBorders>
                      <w:top w:val="outset" w:sz="6" w:space="0" w:color="auto"/>
                      <w:left w:val="outset" w:sz="6" w:space="0" w:color="auto"/>
                      <w:bottom w:val="outset" w:sz="6" w:space="0" w:color="auto"/>
                      <w:right w:val="outset" w:sz="6" w:space="0" w:color="auto"/>
                    </w:tcBorders>
                  </w:tcPr>
                  <w:p w14:paraId="5C460A7F"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060D9A75" w14:textId="77777777" w:rsidR="00830E72" w:rsidRDefault="008344D8">
                    <w:pPr>
                      <w:jc w:val="right"/>
                      <w:rPr>
                        <w:szCs w:val="21"/>
                      </w:rPr>
                    </w:pPr>
                    <w:r>
                      <w:rPr>
                        <w:szCs w:val="21"/>
                      </w:rPr>
                      <w:t>1,956,943,900.28</w:t>
                    </w:r>
                  </w:p>
                </w:tc>
                <w:tc>
                  <w:tcPr>
                    <w:tcW w:w="1098" w:type="pct"/>
                    <w:tcBorders>
                      <w:top w:val="outset" w:sz="6" w:space="0" w:color="auto"/>
                      <w:left w:val="outset" w:sz="6" w:space="0" w:color="auto"/>
                      <w:bottom w:val="outset" w:sz="6" w:space="0" w:color="auto"/>
                      <w:right w:val="outset" w:sz="6" w:space="0" w:color="auto"/>
                    </w:tcBorders>
                    <w:vAlign w:val="center"/>
                  </w:tcPr>
                  <w:p w14:paraId="52EB38B2" w14:textId="77777777" w:rsidR="00830E72" w:rsidRDefault="008344D8">
                    <w:pPr>
                      <w:jc w:val="right"/>
                      <w:rPr>
                        <w:szCs w:val="21"/>
                      </w:rPr>
                    </w:pPr>
                    <w:r>
                      <w:rPr>
                        <w:szCs w:val="21"/>
                      </w:rPr>
                      <w:t>1,085,601,075.45</w:t>
                    </w:r>
                  </w:p>
                </w:tc>
              </w:tr>
              <w:tr w:rsidR="00830E72" w14:paraId="0224CBD9" w14:textId="77777777">
                <w:sdt>
                  <w:sdtPr>
                    <w:tag w:val="_PLD_448d7a5f1f6c488cb5525aa8d0d88441"/>
                    <w:id w:val="1913736251"/>
                    <w:lock w:val="sdtLocked"/>
                  </w:sdtPr>
                  <w:sdtEndPr/>
                  <w:sdtContent>
                    <w:tc>
                      <w:tcPr>
                        <w:tcW w:w="2334" w:type="pct"/>
                        <w:tcBorders>
                          <w:top w:val="outset" w:sz="6" w:space="0" w:color="auto"/>
                          <w:left w:val="outset" w:sz="6" w:space="0" w:color="auto"/>
                          <w:bottom w:val="outset" w:sz="6" w:space="0" w:color="auto"/>
                          <w:right w:val="outset" w:sz="6" w:space="0" w:color="auto"/>
                        </w:tcBorders>
                        <w:vAlign w:val="center"/>
                      </w:tcPr>
                      <w:p w14:paraId="60081C50" w14:textId="77777777" w:rsidR="00830E72" w:rsidRDefault="008344D8">
                        <w:pPr>
                          <w:ind w:firstLineChars="200" w:firstLine="420"/>
                          <w:rPr>
                            <w:szCs w:val="21"/>
                          </w:rPr>
                        </w:pPr>
                        <w:r>
                          <w:rPr>
                            <w:rFonts w:hint="eastAsia"/>
                            <w:szCs w:val="21"/>
                          </w:rPr>
                          <w:t>负债和所有者权益（或股东权益）总计</w:t>
                        </w:r>
                      </w:p>
                    </w:tc>
                  </w:sdtContent>
                </w:sdt>
                <w:tc>
                  <w:tcPr>
                    <w:tcW w:w="392" w:type="pct"/>
                    <w:tcBorders>
                      <w:top w:val="outset" w:sz="6" w:space="0" w:color="auto"/>
                      <w:left w:val="outset" w:sz="6" w:space="0" w:color="auto"/>
                      <w:bottom w:val="outset" w:sz="6" w:space="0" w:color="auto"/>
                      <w:right w:val="outset" w:sz="6" w:space="0" w:color="auto"/>
                    </w:tcBorders>
                  </w:tcPr>
                  <w:p w14:paraId="32330680" w14:textId="77777777" w:rsidR="00830E72" w:rsidRDefault="00830E72">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A8D2361" w14:textId="77777777" w:rsidR="00830E72" w:rsidRDefault="008344D8">
                    <w:pPr>
                      <w:jc w:val="right"/>
                      <w:rPr>
                        <w:szCs w:val="21"/>
                      </w:rPr>
                    </w:pPr>
                    <w:r>
                      <w:rPr>
                        <w:szCs w:val="21"/>
                      </w:rPr>
                      <w:t>5,614,141,263.86</w:t>
                    </w:r>
                  </w:p>
                </w:tc>
                <w:tc>
                  <w:tcPr>
                    <w:tcW w:w="1098" w:type="pct"/>
                    <w:tcBorders>
                      <w:top w:val="outset" w:sz="6" w:space="0" w:color="auto"/>
                      <w:left w:val="outset" w:sz="6" w:space="0" w:color="auto"/>
                      <w:bottom w:val="outset" w:sz="6" w:space="0" w:color="auto"/>
                      <w:right w:val="outset" w:sz="6" w:space="0" w:color="auto"/>
                    </w:tcBorders>
                    <w:vAlign w:val="center"/>
                  </w:tcPr>
                  <w:p w14:paraId="439339FF" w14:textId="77777777" w:rsidR="00830E72" w:rsidRDefault="008344D8">
                    <w:pPr>
                      <w:jc w:val="right"/>
                      <w:rPr>
                        <w:szCs w:val="21"/>
                      </w:rPr>
                    </w:pPr>
                    <w:r>
                      <w:rPr>
                        <w:szCs w:val="21"/>
                      </w:rPr>
                      <w:t>4,461,189,743.97</w:t>
                    </w:r>
                  </w:p>
                </w:tc>
              </w:tr>
            </w:tbl>
            <w:p w14:paraId="58AD0000" w14:textId="77777777" w:rsidR="00830E72" w:rsidRDefault="008344D8">
              <w:pPr>
                <w:ind w:rightChars="-73" w:right="-153"/>
                <w:rPr>
                  <w:szCs w:val="21"/>
                </w:rPr>
              </w:pPr>
              <w:r>
                <w:rPr>
                  <w:szCs w:val="21"/>
                </w:rPr>
                <w:t>公司负责人</w:t>
              </w:r>
              <w:r>
                <w:rPr>
                  <w:rFonts w:hint="eastAsia"/>
                  <w:szCs w:val="21"/>
                </w:rPr>
                <w:t>：</w:t>
              </w:r>
              <w:sdt>
                <w:sdtPr>
                  <w:rPr>
                    <w:rFonts w:hint="eastAsia"/>
                    <w:szCs w:val="21"/>
                  </w:rPr>
                  <w:alias w:val="公司负责人"/>
                  <w:tag w:val="_GBC_f43f422c96ec4e009c3976ce8e58b778"/>
                  <w:id w:val="-1968811640"/>
                  <w:lock w:val="sdtLocked"/>
                  <w:placeholder>
                    <w:docPart w:val="GBC22222222222222222222222222222"/>
                  </w:placeholder>
                  <w:text/>
                </w:sdtPr>
                <w:sdtEndPr/>
                <w:sdtContent>
                  <w:r>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ac751c8378d4424bbdf4c74057683d9"/>
                  <w:id w:val="620035533"/>
                  <w:lock w:val="sdtLocked"/>
                  <w:placeholder>
                    <w:docPart w:val="GBC22222222222222222222222222222"/>
                  </w:placeholder>
                  <w:text/>
                </w:sdtPr>
                <w:sdtEndPr/>
                <w:sdtContent>
                  <w:r>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182ff185180a4ea4b9c93bbd4b01de2c"/>
                  <w:id w:val="307215904"/>
                  <w:lock w:val="sdtLocked"/>
                  <w:placeholder>
                    <w:docPart w:val="GBC22222222222222222222222222222"/>
                  </w:placeholder>
                  <w:text/>
                </w:sdtPr>
                <w:sdtEndPr/>
                <w:sdtContent>
                  <w:r>
                    <w:rPr>
                      <w:rFonts w:hint="eastAsia"/>
                      <w:szCs w:val="21"/>
                    </w:rPr>
                    <w:t>王国鑫</w:t>
                  </w:r>
                </w:sdtContent>
              </w:sdt>
            </w:p>
          </w:sdtContent>
        </w:sdt>
        <w:p w14:paraId="7FE5D45E" w14:textId="77777777" w:rsidR="00830E72" w:rsidRDefault="00D44830">
          <w:pPr>
            <w:snapToGrid w:val="0"/>
            <w:rPr>
              <w:szCs w:val="21"/>
            </w:rPr>
          </w:pPr>
        </w:p>
      </w:sdtContent>
    </w:sdt>
    <w:bookmarkEnd w:id="65" w:displacedByCustomXml="next"/>
    <w:bookmarkStart w:id="66" w:name="_Hlk10210822" w:displacedByCustomXml="next"/>
    <w:sdt>
      <w:sdtPr>
        <w:rPr>
          <w:rFonts w:hint="eastAsia"/>
          <w:b/>
          <w:szCs w:val="21"/>
        </w:rPr>
        <w:alias w:val="选项模块:需要编制合并报表"/>
        <w:tag w:val="_GBC_bf89afc47e17438594730edb3412d929"/>
        <w:id w:val="185493914"/>
        <w:lock w:val="sdtLocked"/>
        <w:placeholder>
          <w:docPart w:val="GBC22222222222222222222222222222"/>
        </w:placeholder>
      </w:sdtPr>
      <w:sdtEndPr>
        <w:rPr>
          <w:rFonts w:cs="宋体-方正超大字符集"/>
          <w:b w:val="0"/>
        </w:rPr>
      </w:sdtEndPr>
      <w:sdtContent>
        <w:p w14:paraId="2F111F39" w14:textId="77777777" w:rsidR="00830E72" w:rsidRDefault="00830E72">
          <w:pPr>
            <w:jc w:val="center"/>
            <w:rPr>
              <w:b/>
              <w:szCs w:val="21"/>
            </w:rPr>
          </w:pPr>
        </w:p>
        <w:p w14:paraId="3EE797F6" w14:textId="77777777" w:rsidR="00830E72" w:rsidRDefault="00830E72">
          <w:pPr>
            <w:jc w:val="center"/>
            <w:rPr>
              <w:b/>
              <w:szCs w:val="21"/>
            </w:rPr>
          </w:pPr>
        </w:p>
        <w:p w14:paraId="55BD926E" w14:textId="77777777" w:rsidR="00830E72" w:rsidRDefault="00830E72">
          <w:pPr>
            <w:jc w:val="center"/>
            <w:rPr>
              <w:b/>
              <w:szCs w:val="21"/>
            </w:rPr>
          </w:pPr>
        </w:p>
        <w:sdt>
          <w:sdtPr>
            <w:rPr>
              <w:rFonts w:ascii="宋体" w:hAnsi="宋体" w:cs="宋体" w:hint="eastAsia"/>
              <w:b w:val="0"/>
              <w:bCs w:val="0"/>
              <w:kern w:val="0"/>
              <w:szCs w:val="24"/>
            </w:rPr>
            <w:tag w:val="_GBC_cc363e9840a448cbaf363887668cbe2a"/>
            <w:id w:val="1513413481"/>
            <w:lock w:val="sdtLocked"/>
            <w:placeholder>
              <w:docPart w:val="GBC22222222222222222222222222222"/>
            </w:placeholder>
          </w:sdtPr>
          <w:sdtEndPr>
            <w:rPr>
              <w:szCs w:val="21"/>
            </w:rPr>
          </w:sdtEndPr>
          <w:sdtContent>
            <w:p w14:paraId="64A76C89" w14:textId="77777777" w:rsidR="00830E72" w:rsidRDefault="008344D8">
              <w:pPr>
                <w:pStyle w:val="Style99"/>
                <w:jc w:val="center"/>
                <w:rPr>
                  <w:rFonts w:ascii="宋体" w:hAnsi="宋体"/>
                </w:rPr>
              </w:pPr>
              <w:r>
                <w:rPr>
                  <w:rFonts w:ascii="宋体" w:hAnsi="宋体" w:hint="eastAsia"/>
                </w:rPr>
                <w:t>合并</w:t>
              </w:r>
              <w:r>
                <w:rPr>
                  <w:rFonts w:ascii="宋体" w:hAnsi="宋体"/>
                </w:rPr>
                <w:t>利润表</w:t>
              </w:r>
            </w:p>
            <w:p w14:paraId="05FBB72A" w14:textId="77777777" w:rsidR="00830E72" w:rsidRDefault="008344D8">
              <w:pPr>
                <w:jc w:val="center"/>
                <w:rPr>
                  <w:b/>
                  <w:bCs/>
                  <w:szCs w:val="21"/>
                </w:rPr>
              </w:pPr>
              <w:r>
                <w:rPr>
                  <w:szCs w:val="21"/>
                </w:rPr>
                <w:t>2021年</w:t>
              </w:r>
              <w:r>
                <w:rPr>
                  <w:rFonts w:hint="eastAsia"/>
                  <w:szCs w:val="21"/>
                </w:rPr>
                <w:t>1—6</w:t>
              </w:r>
              <w:r>
                <w:rPr>
                  <w:szCs w:val="21"/>
                </w:rPr>
                <w:t>月</w:t>
              </w:r>
            </w:p>
            <w:p w14:paraId="24AE6F3F" w14:textId="77777777" w:rsidR="00830E72" w:rsidRDefault="008344D8">
              <w:pPr>
                <w:jc w:val="right"/>
                <w:rPr>
                  <w:szCs w:val="21"/>
                </w:rPr>
              </w:pPr>
              <w:r>
                <w:rPr>
                  <w:szCs w:val="21"/>
                </w:rPr>
                <w:t>单位：</w:t>
              </w:r>
              <w:sdt>
                <w:sdtPr>
                  <w:rPr>
                    <w:szCs w:val="21"/>
                  </w:rPr>
                  <w:alias w:val="单位：合并利润表"/>
                  <w:tag w:val="_GBC_4fec24feb4834b768c484fe556046382"/>
                  <w:id w:val="-13799328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利润表"/>
                  <w:tag w:val="_GBC_ae5c0d79e5694eb28ba1b8160e27a464"/>
                  <w:id w:val="21034398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65"/>
                <w:gridCol w:w="957"/>
                <w:gridCol w:w="2009"/>
                <w:gridCol w:w="2018"/>
              </w:tblGrid>
              <w:tr w:rsidR="00830E72" w14:paraId="56242126" w14:textId="77777777">
                <w:trPr>
                  <w:cantSplit/>
                </w:trPr>
                <w:sdt>
                  <w:sdtPr>
                    <w:tag w:val="_PLD_ea01e0b0c9224fe59426c375515c2359"/>
                    <w:id w:val="-787047350"/>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52EE8513" w14:textId="77777777" w:rsidR="00830E72" w:rsidRDefault="008344D8" w:rsidP="008344D8">
                        <w:pPr>
                          <w:ind w:leftChars="-19" w:hangingChars="19" w:hanging="40"/>
                          <w:jc w:val="center"/>
                          <w:rPr>
                            <w:b/>
                            <w:szCs w:val="21"/>
                          </w:rPr>
                        </w:pPr>
                        <w:r>
                          <w:rPr>
                            <w:b/>
                            <w:szCs w:val="21"/>
                          </w:rPr>
                          <w:t>项目</w:t>
                        </w:r>
                      </w:p>
                    </w:tc>
                  </w:sdtContent>
                </w:sdt>
                <w:sdt>
                  <w:sdtPr>
                    <w:tag w:val="_PLD_e4f45f42e79e4a4aba892e3a7a7b123d"/>
                    <w:id w:val="1067458239"/>
                    <w:lock w:val="sdtLocked"/>
                  </w:sdtPr>
                  <w:sdtEndPr/>
                  <w:sdtContent>
                    <w:tc>
                      <w:tcPr>
                        <w:tcW w:w="529" w:type="pct"/>
                        <w:tcBorders>
                          <w:top w:val="outset" w:sz="4" w:space="0" w:color="auto"/>
                          <w:left w:val="outset" w:sz="4" w:space="0" w:color="auto"/>
                          <w:bottom w:val="outset" w:sz="4" w:space="0" w:color="auto"/>
                          <w:right w:val="outset" w:sz="4" w:space="0" w:color="auto"/>
                        </w:tcBorders>
                        <w:vAlign w:val="center"/>
                      </w:tcPr>
                      <w:p w14:paraId="237404CB" w14:textId="77777777" w:rsidR="00830E72" w:rsidRDefault="008344D8">
                        <w:pPr>
                          <w:jc w:val="center"/>
                          <w:rPr>
                            <w:b/>
                            <w:szCs w:val="21"/>
                          </w:rPr>
                        </w:pPr>
                        <w:r>
                          <w:rPr>
                            <w:rFonts w:hint="eastAsia"/>
                            <w:b/>
                            <w:szCs w:val="21"/>
                          </w:rPr>
                          <w:t>附注</w:t>
                        </w:r>
                      </w:p>
                    </w:tc>
                  </w:sdtContent>
                </w:sdt>
                <w:sdt>
                  <w:sdtPr>
                    <w:tag w:val="_PLD_41682cdf00e5450394986df99de953d1"/>
                    <w:id w:val="-1102566684"/>
                    <w:lock w:val="sdtLocked"/>
                  </w:sdtPr>
                  <w:sdtEndPr/>
                  <w:sdtContent>
                    <w:tc>
                      <w:tcPr>
                        <w:tcW w:w="1110" w:type="pct"/>
                        <w:tcBorders>
                          <w:top w:val="outset" w:sz="4" w:space="0" w:color="auto"/>
                          <w:left w:val="outset" w:sz="4" w:space="0" w:color="auto"/>
                          <w:bottom w:val="outset" w:sz="4" w:space="0" w:color="auto"/>
                          <w:right w:val="outset" w:sz="4" w:space="0" w:color="auto"/>
                        </w:tcBorders>
                        <w:vAlign w:val="center"/>
                      </w:tcPr>
                      <w:p w14:paraId="34E89FE3" w14:textId="77777777" w:rsidR="00830E72" w:rsidRDefault="008344D8">
                        <w:pPr>
                          <w:jc w:val="center"/>
                          <w:rPr>
                            <w:b/>
                            <w:szCs w:val="21"/>
                          </w:rPr>
                        </w:pPr>
                        <w:r>
                          <w:rPr>
                            <w:rFonts w:hint="eastAsia"/>
                            <w:b/>
                            <w:szCs w:val="21"/>
                          </w:rPr>
                          <w:t>2021年半年度</w:t>
                        </w:r>
                      </w:p>
                    </w:tc>
                  </w:sdtContent>
                </w:sdt>
                <w:sdt>
                  <w:sdtPr>
                    <w:tag w:val="_PLD_f020215569a54a6db2bd3d5298280e01"/>
                    <w:id w:val="-1892716877"/>
                    <w:lock w:val="sdtLocked"/>
                  </w:sdtPr>
                  <w:sdtEndPr/>
                  <w:sdtContent>
                    <w:tc>
                      <w:tcPr>
                        <w:tcW w:w="1114" w:type="pct"/>
                        <w:tcBorders>
                          <w:top w:val="outset" w:sz="4" w:space="0" w:color="auto"/>
                          <w:left w:val="outset" w:sz="4" w:space="0" w:color="auto"/>
                          <w:bottom w:val="outset" w:sz="4" w:space="0" w:color="auto"/>
                          <w:right w:val="outset" w:sz="4" w:space="0" w:color="auto"/>
                        </w:tcBorders>
                        <w:vAlign w:val="center"/>
                      </w:tcPr>
                      <w:p w14:paraId="5B4A8D85" w14:textId="77777777" w:rsidR="00830E72" w:rsidRDefault="008344D8">
                        <w:pPr>
                          <w:jc w:val="center"/>
                          <w:rPr>
                            <w:b/>
                            <w:szCs w:val="21"/>
                          </w:rPr>
                        </w:pPr>
                        <w:r>
                          <w:rPr>
                            <w:rFonts w:hint="eastAsia"/>
                            <w:b/>
                            <w:szCs w:val="21"/>
                          </w:rPr>
                          <w:t>2020年半年度</w:t>
                        </w:r>
                      </w:p>
                    </w:tc>
                  </w:sdtContent>
                </w:sdt>
              </w:tr>
              <w:tr w:rsidR="00830E72" w14:paraId="414C003C" w14:textId="77777777">
                <w:sdt>
                  <w:sdtPr>
                    <w:tag w:val="_PLD_2d877c352d5440b8bf7dcd1940d9f85b"/>
                    <w:id w:val="1114169166"/>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431895FB" w14:textId="77777777" w:rsidR="00830E72" w:rsidRDefault="008344D8">
                        <w:pPr>
                          <w:rPr>
                            <w:color w:val="000000"/>
                            <w:szCs w:val="21"/>
                          </w:rPr>
                        </w:pPr>
                        <w:r>
                          <w:rPr>
                            <w:rFonts w:hint="eastAsia"/>
                            <w:szCs w:val="21"/>
                          </w:rPr>
                          <w:t>一、营业总收入</w:t>
                        </w:r>
                      </w:p>
                    </w:tc>
                  </w:sdtContent>
                </w:sdt>
                <w:tc>
                  <w:tcPr>
                    <w:tcW w:w="529" w:type="pct"/>
                    <w:tcBorders>
                      <w:top w:val="outset" w:sz="4" w:space="0" w:color="auto"/>
                      <w:left w:val="outset" w:sz="4" w:space="0" w:color="auto"/>
                      <w:bottom w:val="outset" w:sz="4" w:space="0" w:color="auto"/>
                      <w:right w:val="outset" w:sz="4" w:space="0" w:color="auto"/>
                    </w:tcBorders>
                  </w:tcPr>
                  <w:p w14:paraId="213E9C98"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7A0A47F6" w14:textId="77777777" w:rsidR="00830E72" w:rsidRDefault="008344D8">
                    <w:pPr>
                      <w:jc w:val="right"/>
                      <w:rPr>
                        <w:szCs w:val="21"/>
                      </w:rPr>
                    </w:pPr>
                    <w:r>
                      <w:rPr>
                        <w:szCs w:val="21"/>
                      </w:rPr>
                      <w:t>1,577,624,127.79</w:t>
                    </w:r>
                  </w:p>
                </w:tc>
                <w:tc>
                  <w:tcPr>
                    <w:tcW w:w="1114" w:type="pct"/>
                    <w:tcBorders>
                      <w:top w:val="outset" w:sz="4" w:space="0" w:color="auto"/>
                      <w:left w:val="outset" w:sz="4" w:space="0" w:color="auto"/>
                      <w:bottom w:val="outset" w:sz="4" w:space="0" w:color="auto"/>
                      <w:right w:val="outset" w:sz="4" w:space="0" w:color="auto"/>
                    </w:tcBorders>
                  </w:tcPr>
                  <w:p w14:paraId="777792EA" w14:textId="77777777" w:rsidR="00830E72" w:rsidRDefault="008344D8">
                    <w:pPr>
                      <w:jc w:val="right"/>
                      <w:rPr>
                        <w:szCs w:val="21"/>
                      </w:rPr>
                    </w:pPr>
                    <w:r>
                      <w:rPr>
                        <w:szCs w:val="21"/>
                      </w:rPr>
                      <w:t>1,225,121,706.52</w:t>
                    </w:r>
                  </w:p>
                </w:tc>
              </w:tr>
              <w:tr w:rsidR="00830E72" w14:paraId="20538F0D" w14:textId="77777777">
                <w:sdt>
                  <w:sdtPr>
                    <w:tag w:val="_PLD_7f7b1fb368014debb0a48d797b8c9159"/>
                    <w:id w:val="2035918731"/>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1BB1E6EC" w14:textId="77777777" w:rsidR="00830E72" w:rsidRDefault="008344D8">
                        <w:pPr>
                          <w:rPr>
                            <w:color w:val="000000"/>
                            <w:szCs w:val="21"/>
                          </w:rPr>
                        </w:pPr>
                        <w:r>
                          <w:rPr>
                            <w:rFonts w:hint="eastAsia"/>
                            <w:szCs w:val="21"/>
                          </w:rPr>
                          <w:t>其中：营业收入</w:t>
                        </w:r>
                      </w:p>
                    </w:tc>
                  </w:sdtContent>
                </w:sdt>
                <w:tc>
                  <w:tcPr>
                    <w:tcW w:w="529" w:type="pct"/>
                    <w:tcBorders>
                      <w:top w:val="outset" w:sz="4" w:space="0" w:color="auto"/>
                      <w:left w:val="outset" w:sz="4" w:space="0" w:color="auto"/>
                      <w:bottom w:val="outset" w:sz="4" w:space="0" w:color="auto"/>
                      <w:right w:val="outset" w:sz="4" w:space="0" w:color="auto"/>
                    </w:tcBorders>
                  </w:tcPr>
                  <w:p w14:paraId="12F4BF82"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5263948C" w14:textId="77777777" w:rsidR="00830E72" w:rsidRDefault="008344D8">
                    <w:pPr>
                      <w:jc w:val="right"/>
                      <w:rPr>
                        <w:szCs w:val="21"/>
                      </w:rPr>
                    </w:pPr>
                    <w:r>
                      <w:rPr>
                        <w:szCs w:val="21"/>
                      </w:rPr>
                      <w:t>1,577,624,127.79</w:t>
                    </w:r>
                  </w:p>
                </w:tc>
                <w:tc>
                  <w:tcPr>
                    <w:tcW w:w="1114" w:type="pct"/>
                    <w:tcBorders>
                      <w:top w:val="outset" w:sz="4" w:space="0" w:color="auto"/>
                      <w:left w:val="outset" w:sz="4" w:space="0" w:color="auto"/>
                      <w:bottom w:val="outset" w:sz="4" w:space="0" w:color="auto"/>
                      <w:right w:val="outset" w:sz="4" w:space="0" w:color="auto"/>
                    </w:tcBorders>
                  </w:tcPr>
                  <w:p w14:paraId="5146B326" w14:textId="77777777" w:rsidR="00830E72" w:rsidRDefault="008344D8">
                    <w:pPr>
                      <w:jc w:val="right"/>
                      <w:rPr>
                        <w:szCs w:val="21"/>
                      </w:rPr>
                    </w:pPr>
                    <w:r>
                      <w:rPr>
                        <w:szCs w:val="21"/>
                      </w:rPr>
                      <w:t>1,225,121,706.52</w:t>
                    </w:r>
                  </w:p>
                </w:tc>
              </w:tr>
              <w:tr w:rsidR="00830E72" w14:paraId="28655840" w14:textId="77777777">
                <w:sdt>
                  <w:sdtPr>
                    <w:tag w:val="_PLD_4bb4a9195510467caafeb8cff0762036"/>
                    <w:id w:val="598986252"/>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40A39BD2" w14:textId="77777777" w:rsidR="00830E72" w:rsidRDefault="008344D8">
                        <w:pPr>
                          <w:ind w:firstLineChars="300" w:firstLine="630"/>
                          <w:rPr>
                            <w:color w:val="000000"/>
                            <w:szCs w:val="21"/>
                          </w:rPr>
                        </w:pPr>
                        <w:r>
                          <w:rPr>
                            <w:rFonts w:hint="eastAsia"/>
                            <w:szCs w:val="21"/>
                          </w:rPr>
                          <w:t>利息收入</w:t>
                        </w:r>
                      </w:p>
                    </w:tc>
                  </w:sdtContent>
                </w:sdt>
                <w:tc>
                  <w:tcPr>
                    <w:tcW w:w="529" w:type="pct"/>
                    <w:tcBorders>
                      <w:top w:val="outset" w:sz="4" w:space="0" w:color="auto"/>
                      <w:left w:val="outset" w:sz="4" w:space="0" w:color="auto"/>
                      <w:bottom w:val="outset" w:sz="4" w:space="0" w:color="auto"/>
                      <w:right w:val="outset" w:sz="4" w:space="0" w:color="auto"/>
                    </w:tcBorders>
                  </w:tcPr>
                  <w:p w14:paraId="5F9DA6AC"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3E0FF717"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58708B2" w14:textId="77777777" w:rsidR="00830E72" w:rsidRDefault="00830E72">
                    <w:pPr>
                      <w:jc w:val="right"/>
                      <w:rPr>
                        <w:szCs w:val="21"/>
                      </w:rPr>
                    </w:pPr>
                  </w:p>
                </w:tc>
              </w:tr>
              <w:tr w:rsidR="00830E72" w14:paraId="1E773F17" w14:textId="77777777">
                <w:sdt>
                  <w:sdtPr>
                    <w:tag w:val="_PLD_30359468eba04ffa9f75eced8813c7f6"/>
                    <w:id w:val="-1015914217"/>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52F762F2" w14:textId="77777777" w:rsidR="00830E72" w:rsidRDefault="008344D8">
                        <w:pPr>
                          <w:ind w:firstLineChars="300" w:firstLine="630"/>
                          <w:rPr>
                            <w:szCs w:val="21"/>
                          </w:rPr>
                        </w:pPr>
                        <w:r>
                          <w:rPr>
                            <w:rFonts w:hint="eastAsia"/>
                            <w:szCs w:val="21"/>
                          </w:rPr>
                          <w:t>已赚保费</w:t>
                        </w:r>
                      </w:p>
                    </w:tc>
                  </w:sdtContent>
                </w:sdt>
                <w:tc>
                  <w:tcPr>
                    <w:tcW w:w="529" w:type="pct"/>
                    <w:tcBorders>
                      <w:top w:val="outset" w:sz="4" w:space="0" w:color="auto"/>
                      <w:left w:val="outset" w:sz="4" w:space="0" w:color="auto"/>
                      <w:bottom w:val="outset" w:sz="4" w:space="0" w:color="auto"/>
                      <w:right w:val="outset" w:sz="4" w:space="0" w:color="auto"/>
                    </w:tcBorders>
                  </w:tcPr>
                  <w:p w14:paraId="779BB3A1"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2B471FE6"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29F907F" w14:textId="77777777" w:rsidR="00830E72" w:rsidRDefault="00830E72">
                    <w:pPr>
                      <w:jc w:val="right"/>
                      <w:rPr>
                        <w:szCs w:val="21"/>
                      </w:rPr>
                    </w:pPr>
                  </w:p>
                </w:tc>
              </w:tr>
              <w:tr w:rsidR="00830E72" w14:paraId="0A3C8E15" w14:textId="77777777">
                <w:sdt>
                  <w:sdtPr>
                    <w:tag w:val="_PLD_b7b3fd7ce91b4e7e9b50735409fad4b2"/>
                    <w:id w:val="742757695"/>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5FBC1EDC" w14:textId="77777777" w:rsidR="00830E72" w:rsidRDefault="008344D8">
                        <w:pPr>
                          <w:ind w:firstLineChars="300" w:firstLine="630"/>
                          <w:rPr>
                            <w:szCs w:val="21"/>
                          </w:rPr>
                        </w:pPr>
                        <w:r>
                          <w:rPr>
                            <w:rFonts w:hint="eastAsia"/>
                            <w:szCs w:val="21"/>
                          </w:rPr>
                          <w:t>手续费及佣金收入</w:t>
                        </w:r>
                      </w:p>
                    </w:tc>
                  </w:sdtContent>
                </w:sdt>
                <w:tc>
                  <w:tcPr>
                    <w:tcW w:w="529" w:type="pct"/>
                    <w:tcBorders>
                      <w:top w:val="outset" w:sz="4" w:space="0" w:color="auto"/>
                      <w:left w:val="outset" w:sz="4" w:space="0" w:color="auto"/>
                      <w:bottom w:val="outset" w:sz="4" w:space="0" w:color="auto"/>
                      <w:right w:val="outset" w:sz="4" w:space="0" w:color="auto"/>
                    </w:tcBorders>
                  </w:tcPr>
                  <w:p w14:paraId="4EF8BF07"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37C558F8"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8F2EB60" w14:textId="77777777" w:rsidR="00830E72" w:rsidRDefault="00830E72">
                    <w:pPr>
                      <w:jc w:val="right"/>
                      <w:rPr>
                        <w:szCs w:val="21"/>
                      </w:rPr>
                    </w:pPr>
                  </w:p>
                </w:tc>
              </w:tr>
              <w:tr w:rsidR="00830E72" w14:paraId="2E86B045" w14:textId="77777777">
                <w:sdt>
                  <w:sdtPr>
                    <w:tag w:val="_PLD_f666055067944f82816d6d4acfa0eb4c"/>
                    <w:id w:val="2113705595"/>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502364B0" w14:textId="77777777" w:rsidR="00830E72" w:rsidRDefault="008344D8">
                        <w:pPr>
                          <w:rPr>
                            <w:color w:val="000000"/>
                            <w:szCs w:val="21"/>
                          </w:rPr>
                        </w:pPr>
                        <w:r>
                          <w:rPr>
                            <w:rFonts w:hint="eastAsia"/>
                            <w:szCs w:val="21"/>
                          </w:rPr>
                          <w:t>二、营业总成本</w:t>
                        </w:r>
                      </w:p>
                    </w:tc>
                  </w:sdtContent>
                </w:sdt>
                <w:tc>
                  <w:tcPr>
                    <w:tcW w:w="529" w:type="pct"/>
                    <w:tcBorders>
                      <w:top w:val="outset" w:sz="4" w:space="0" w:color="auto"/>
                      <w:left w:val="outset" w:sz="4" w:space="0" w:color="auto"/>
                      <w:bottom w:val="outset" w:sz="4" w:space="0" w:color="auto"/>
                      <w:right w:val="outset" w:sz="4" w:space="0" w:color="auto"/>
                    </w:tcBorders>
                  </w:tcPr>
                  <w:p w14:paraId="78DAA274"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76973945" w14:textId="77777777" w:rsidR="00830E72" w:rsidRDefault="008344D8">
                    <w:pPr>
                      <w:jc w:val="right"/>
                      <w:rPr>
                        <w:szCs w:val="21"/>
                      </w:rPr>
                    </w:pPr>
                    <w:r>
                      <w:rPr>
                        <w:szCs w:val="21"/>
                      </w:rPr>
                      <w:t>1,508,310,837.95</w:t>
                    </w:r>
                  </w:p>
                </w:tc>
                <w:tc>
                  <w:tcPr>
                    <w:tcW w:w="1114" w:type="pct"/>
                    <w:tcBorders>
                      <w:top w:val="outset" w:sz="4" w:space="0" w:color="auto"/>
                      <w:left w:val="outset" w:sz="4" w:space="0" w:color="auto"/>
                      <w:bottom w:val="outset" w:sz="4" w:space="0" w:color="auto"/>
                      <w:right w:val="outset" w:sz="4" w:space="0" w:color="auto"/>
                    </w:tcBorders>
                  </w:tcPr>
                  <w:p w14:paraId="227CF318" w14:textId="77777777" w:rsidR="00830E72" w:rsidRDefault="008344D8">
                    <w:pPr>
                      <w:jc w:val="right"/>
                      <w:rPr>
                        <w:szCs w:val="21"/>
                      </w:rPr>
                    </w:pPr>
                    <w:r>
                      <w:rPr>
                        <w:szCs w:val="21"/>
                      </w:rPr>
                      <w:t>1,172,048,729.40</w:t>
                    </w:r>
                  </w:p>
                </w:tc>
              </w:tr>
              <w:tr w:rsidR="00830E72" w14:paraId="3F2C412A" w14:textId="77777777">
                <w:sdt>
                  <w:sdtPr>
                    <w:tag w:val="_PLD_21171334ba69445a843af4e467f2f7b1"/>
                    <w:id w:val="-521390692"/>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002504A9" w14:textId="77777777" w:rsidR="00830E72" w:rsidRDefault="008344D8">
                        <w:pPr>
                          <w:rPr>
                            <w:color w:val="000000"/>
                            <w:szCs w:val="21"/>
                          </w:rPr>
                        </w:pPr>
                        <w:r>
                          <w:rPr>
                            <w:rFonts w:hint="eastAsia"/>
                            <w:szCs w:val="21"/>
                          </w:rPr>
                          <w:t>其中：营业成本</w:t>
                        </w:r>
                      </w:p>
                    </w:tc>
                  </w:sdtContent>
                </w:sdt>
                <w:tc>
                  <w:tcPr>
                    <w:tcW w:w="529" w:type="pct"/>
                    <w:tcBorders>
                      <w:top w:val="outset" w:sz="4" w:space="0" w:color="auto"/>
                      <w:left w:val="outset" w:sz="4" w:space="0" w:color="auto"/>
                      <w:bottom w:val="outset" w:sz="4" w:space="0" w:color="auto"/>
                      <w:right w:val="outset" w:sz="4" w:space="0" w:color="auto"/>
                    </w:tcBorders>
                  </w:tcPr>
                  <w:p w14:paraId="273086B6"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0BACBA41" w14:textId="77777777" w:rsidR="00830E72" w:rsidRDefault="008344D8">
                    <w:pPr>
                      <w:jc w:val="right"/>
                      <w:rPr>
                        <w:szCs w:val="21"/>
                      </w:rPr>
                    </w:pPr>
                    <w:r>
                      <w:rPr>
                        <w:szCs w:val="21"/>
                      </w:rPr>
                      <w:t>1,429,873,838.61</w:t>
                    </w:r>
                  </w:p>
                </w:tc>
                <w:tc>
                  <w:tcPr>
                    <w:tcW w:w="1114" w:type="pct"/>
                    <w:tcBorders>
                      <w:top w:val="outset" w:sz="4" w:space="0" w:color="auto"/>
                      <w:left w:val="outset" w:sz="4" w:space="0" w:color="auto"/>
                      <w:bottom w:val="outset" w:sz="4" w:space="0" w:color="auto"/>
                      <w:right w:val="outset" w:sz="4" w:space="0" w:color="auto"/>
                    </w:tcBorders>
                  </w:tcPr>
                  <w:p w14:paraId="7C721212" w14:textId="77777777" w:rsidR="00830E72" w:rsidRDefault="008344D8">
                    <w:pPr>
                      <w:jc w:val="right"/>
                      <w:rPr>
                        <w:szCs w:val="21"/>
                      </w:rPr>
                    </w:pPr>
                    <w:r>
                      <w:rPr>
                        <w:szCs w:val="21"/>
                      </w:rPr>
                      <w:t>1,111,658,351.45</w:t>
                    </w:r>
                  </w:p>
                </w:tc>
              </w:tr>
              <w:tr w:rsidR="00830E72" w14:paraId="19E2D320" w14:textId="77777777">
                <w:sdt>
                  <w:sdtPr>
                    <w:tag w:val="_PLD_63933a3d083f4e46896b598fd5ce81e0"/>
                    <w:id w:val="-655145841"/>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1FCCAF38" w14:textId="77777777" w:rsidR="00830E72" w:rsidRDefault="008344D8">
                        <w:pPr>
                          <w:ind w:firstLineChars="300" w:firstLine="630"/>
                          <w:rPr>
                            <w:szCs w:val="21"/>
                          </w:rPr>
                        </w:pPr>
                        <w:r>
                          <w:rPr>
                            <w:rFonts w:hint="eastAsia"/>
                            <w:szCs w:val="21"/>
                          </w:rPr>
                          <w:t>利息支出</w:t>
                        </w:r>
                      </w:p>
                    </w:tc>
                  </w:sdtContent>
                </w:sdt>
                <w:tc>
                  <w:tcPr>
                    <w:tcW w:w="529" w:type="pct"/>
                    <w:tcBorders>
                      <w:top w:val="outset" w:sz="4" w:space="0" w:color="auto"/>
                      <w:left w:val="outset" w:sz="4" w:space="0" w:color="auto"/>
                      <w:bottom w:val="outset" w:sz="4" w:space="0" w:color="auto"/>
                      <w:right w:val="outset" w:sz="4" w:space="0" w:color="auto"/>
                    </w:tcBorders>
                  </w:tcPr>
                  <w:p w14:paraId="0A6AAB59"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393C2B0E"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544C9AFE" w14:textId="77777777" w:rsidR="00830E72" w:rsidRDefault="00830E72">
                    <w:pPr>
                      <w:jc w:val="right"/>
                      <w:rPr>
                        <w:szCs w:val="21"/>
                      </w:rPr>
                    </w:pPr>
                  </w:p>
                </w:tc>
              </w:tr>
              <w:tr w:rsidR="00830E72" w14:paraId="76CDAB14" w14:textId="77777777">
                <w:sdt>
                  <w:sdtPr>
                    <w:tag w:val="_PLD_934fe982f64044ad97c0d08ecb41b364"/>
                    <w:id w:val="-35818648"/>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2DCA25BA" w14:textId="77777777" w:rsidR="00830E72" w:rsidRDefault="008344D8">
                        <w:pPr>
                          <w:ind w:firstLineChars="300" w:firstLine="630"/>
                          <w:rPr>
                            <w:szCs w:val="21"/>
                          </w:rPr>
                        </w:pPr>
                        <w:r>
                          <w:rPr>
                            <w:rFonts w:hint="eastAsia"/>
                            <w:szCs w:val="21"/>
                          </w:rPr>
                          <w:t>手续费及佣金支出</w:t>
                        </w:r>
                      </w:p>
                    </w:tc>
                  </w:sdtContent>
                </w:sdt>
                <w:tc>
                  <w:tcPr>
                    <w:tcW w:w="529" w:type="pct"/>
                    <w:tcBorders>
                      <w:top w:val="outset" w:sz="4" w:space="0" w:color="auto"/>
                      <w:left w:val="outset" w:sz="4" w:space="0" w:color="auto"/>
                      <w:bottom w:val="outset" w:sz="4" w:space="0" w:color="auto"/>
                      <w:right w:val="outset" w:sz="4" w:space="0" w:color="auto"/>
                    </w:tcBorders>
                  </w:tcPr>
                  <w:p w14:paraId="3F1625C4"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4FB397D5"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7D4B918" w14:textId="77777777" w:rsidR="00830E72" w:rsidRDefault="00830E72">
                    <w:pPr>
                      <w:jc w:val="right"/>
                      <w:rPr>
                        <w:szCs w:val="21"/>
                      </w:rPr>
                    </w:pPr>
                  </w:p>
                </w:tc>
              </w:tr>
              <w:tr w:rsidR="00830E72" w14:paraId="6111B132" w14:textId="77777777">
                <w:sdt>
                  <w:sdtPr>
                    <w:tag w:val="_PLD_eaafee5ba2dd4351ac6567c52b90028d"/>
                    <w:id w:val="-77296537"/>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4B29048B" w14:textId="77777777" w:rsidR="00830E72" w:rsidRDefault="008344D8">
                        <w:pPr>
                          <w:ind w:firstLineChars="300" w:firstLine="630"/>
                          <w:rPr>
                            <w:szCs w:val="21"/>
                          </w:rPr>
                        </w:pPr>
                        <w:r>
                          <w:rPr>
                            <w:rFonts w:hint="eastAsia"/>
                            <w:szCs w:val="21"/>
                          </w:rPr>
                          <w:t>退保金</w:t>
                        </w:r>
                      </w:p>
                    </w:tc>
                  </w:sdtContent>
                </w:sdt>
                <w:tc>
                  <w:tcPr>
                    <w:tcW w:w="529" w:type="pct"/>
                    <w:tcBorders>
                      <w:top w:val="outset" w:sz="4" w:space="0" w:color="auto"/>
                      <w:left w:val="outset" w:sz="4" w:space="0" w:color="auto"/>
                      <w:bottom w:val="outset" w:sz="4" w:space="0" w:color="auto"/>
                      <w:right w:val="outset" w:sz="4" w:space="0" w:color="auto"/>
                    </w:tcBorders>
                  </w:tcPr>
                  <w:p w14:paraId="7FA02015"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3CFBD2CB"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3D297AE" w14:textId="77777777" w:rsidR="00830E72" w:rsidRDefault="00830E72">
                    <w:pPr>
                      <w:jc w:val="right"/>
                      <w:rPr>
                        <w:szCs w:val="21"/>
                      </w:rPr>
                    </w:pPr>
                  </w:p>
                </w:tc>
              </w:tr>
              <w:tr w:rsidR="00830E72" w14:paraId="4DBBFE93" w14:textId="77777777">
                <w:sdt>
                  <w:sdtPr>
                    <w:tag w:val="_PLD_d2b12062f8d44ca990403c69bec23c10"/>
                    <w:id w:val="1814371536"/>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7EC7B3D6" w14:textId="77777777" w:rsidR="00830E72" w:rsidRDefault="008344D8">
                        <w:pPr>
                          <w:ind w:firstLineChars="300" w:firstLine="630"/>
                          <w:rPr>
                            <w:szCs w:val="21"/>
                          </w:rPr>
                        </w:pPr>
                        <w:r>
                          <w:rPr>
                            <w:rFonts w:hint="eastAsia"/>
                            <w:szCs w:val="21"/>
                          </w:rPr>
                          <w:t>赔付支出净额</w:t>
                        </w:r>
                      </w:p>
                    </w:tc>
                  </w:sdtContent>
                </w:sdt>
                <w:tc>
                  <w:tcPr>
                    <w:tcW w:w="529" w:type="pct"/>
                    <w:tcBorders>
                      <w:top w:val="outset" w:sz="4" w:space="0" w:color="auto"/>
                      <w:left w:val="outset" w:sz="4" w:space="0" w:color="auto"/>
                      <w:bottom w:val="outset" w:sz="4" w:space="0" w:color="auto"/>
                      <w:right w:val="outset" w:sz="4" w:space="0" w:color="auto"/>
                    </w:tcBorders>
                  </w:tcPr>
                  <w:p w14:paraId="4E4B0F6E"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309BBE03"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1D544C4" w14:textId="77777777" w:rsidR="00830E72" w:rsidRDefault="00830E72">
                    <w:pPr>
                      <w:jc w:val="right"/>
                      <w:rPr>
                        <w:szCs w:val="21"/>
                      </w:rPr>
                    </w:pPr>
                  </w:p>
                </w:tc>
              </w:tr>
              <w:tr w:rsidR="00830E72" w14:paraId="6C636409" w14:textId="77777777">
                <w:sdt>
                  <w:sdtPr>
                    <w:tag w:val="_PLD_875c876824d140a6b5076aa4e7f82db5"/>
                    <w:id w:val="-1335751951"/>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40223268" w14:textId="77777777" w:rsidR="00830E72" w:rsidRDefault="008344D8">
                        <w:pPr>
                          <w:ind w:firstLineChars="300" w:firstLine="630"/>
                          <w:rPr>
                            <w:szCs w:val="21"/>
                          </w:rPr>
                        </w:pPr>
                        <w:r>
                          <w:rPr>
                            <w:rFonts w:hint="eastAsia"/>
                            <w:szCs w:val="21"/>
                          </w:rPr>
                          <w:t>提取保险责任准备金净额</w:t>
                        </w:r>
                      </w:p>
                    </w:tc>
                  </w:sdtContent>
                </w:sdt>
                <w:tc>
                  <w:tcPr>
                    <w:tcW w:w="529" w:type="pct"/>
                    <w:tcBorders>
                      <w:top w:val="outset" w:sz="4" w:space="0" w:color="auto"/>
                      <w:left w:val="outset" w:sz="4" w:space="0" w:color="auto"/>
                      <w:bottom w:val="outset" w:sz="4" w:space="0" w:color="auto"/>
                      <w:right w:val="outset" w:sz="4" w:space="0" w:color="auto"/>
                    </w:tcBorders>
                  </w:tcPr>
                  <w:p w14:paraId="7AF493EC"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13DBC444"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1051E2C" w14:textId="77777777" w:rsidR="00830E72" w:rsidRDefault="00830E72">
                    <w:pPr>
                      <w:jc w:val="right"/>
                      <w:rPr>
                        <w:szCs w:val="21"/>
                      </w:rPr>
                    </w:pPr>
                  </w:p>
                </w:tc>
              </w:tr>
              <w:tr w:rsidR="00830E72" w14:paraId="17E7D00A" w14:textId="77777777">
                <w:sdt>
                  <w:sdtPr>
                    <w:tag w:val="_PLD_9d4d1ca3123b4cdc816e88724acaf725"/>
                    <w:id w:val="1457676358"/>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3C019665" w14:textId="77777777" w:rsidR="00830E72" w:rsidRDefault="008344D8">
                        <w:pPr>
                          <w:ind w:firstLineChars="300" w:firstLine="630"/>
                          <w:rPr>
                            <w:szCs w:val="21"/>
                          </w:rPr>
                        </w:pPr>
                        <w:r>
                          <w:rPr>
                            <w:rFonts w:hint="eastAsia"/>
                            <w:szCs w:val="21"/>
                          </w:rPr>
                          <w:t>保单红利支出</w:t>
                        </w:r>
                      </w:p>
                    </w:tc>
                  </w:sdtContent>
                </w:sdt>
                <w:tc>
                  <w:tcPr>
                    <w:tcW w:w="529" w:type="pct"/>
                    <w:tcBorders>
                      <w:top w:val="outset" w:sz="4" w:space="0" w:color="auto"/>
                      <w:left w:val="outset" w:sz="4" w:space="0" w:color="auto"/>
                      <w:bottom w:val="outset" w:sz="4" w:space="0" w:color="auto"/>
                      <w:right w:val="outset" w:sz="4" w:space="0" w:color="auto"/>
                    </w:tcBorders>
                  </w:tcPr>
                  <w:p w14:paraId="23F3748A"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4DCA8F6C"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EED1266" w14:textId="77777777" w:rsidR="00830E72" w:rsidRDefault="00830E72">
                    <w:pPr>
                      <w:jc w:val="right"/>
                      <w:rPr>
                        <w:szCs w:val="21"/>
                      </w:rPr>
                    </w:pPr>
                  </w:p>
                </w:tc>
              </w:tr>
              <w:tr w:rsidR="00830E72" w14:paraId="6DCDC420" w14:textId="77777777">
                <w:sdt>
                  <w:sdtPr>
                    <w:tag w:val="_PLD_c70ac86a67b244f1a170db9b0705b55a"/>
                    <w:id w:val="-964198223"/>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3324C236" w14:textId="77777777" w:rsidR="00830E72" w:rsidRDefault="008344D8">
                        <w:pPr>
                          <w:ind w:firstLineChars="300" w:firstLine="630"/>
                          <w:rPr>
                            <w:szCs w:val="21"/>
                          </w:rPr>
                        </w:pPr>
                        <w:r>
                          <w:rPr>
                            <w:rFonts w:hint="eastAsia"/>
                            <w:szCs w:val="21"/>
                          </w:rPr>
                          <w:t>分保费用</w:t>
                        </w:r>
                      </w:p>
                    </w:tc>
                  </w:sdtContent>
                </w:sdt>
                <w:tc>
                  <w:tcPr>
                    <w:tcW w:w="529" w:type="pct"/>
                    <w:tcBorders>
                      <w:top w:val="outset" w:sz="4" w:space="0" w:color="auto"/>
                      <w:left w:val="outset" w:sz="4" w:space="0" w:color="auto"/>
                      <w:bottom w:val="outset" w:sz="4" w:space="0" w:color="auto"/>
                      <w:right w:val="outset" w:sz="4" w:space="0" w:color="auto"/>
                    </w:tcBorders>
                  </w:tcPr>
                  <w:p w14:paraId="243B5C66"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1454732C"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6D328B8" w14:textId="77777777" w:rsidR="00830E72" w:rsidRDefault="00830E72">
                    <w:pPr>
                      <w:jc w:val="right"/>
                      <w:rPr>
                        <w:szCs w:val="21"/>
                      </w:rPr>
                    </w:pPr>
                  </w:p>
                </w:tc>
              </w:tr>
              <w:tr w:rsidR="00830E72" w14:paraId="466F03CA" w14:textId="77777777">
                <w:sdt>
                  <w:sdtPr>
                    <w:tag w:val="_PLD_06c17ba723b44617ab108e2265705c9e"/>
                    <w:id w:val="-1403049272"/>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09EA030E" w14:textId="77777777" w:rsidR="00830E72" w:rsidRDefault="008344D8">
                        <w:pPr>
                          <w:ind w:firstLineChars="300" w:firstLine="630"/>
                          <w:rPr>
                            <w:szCs w:val="21"/>
                          </w:rPr>
                        </w:pPr>
                        <w:r>
                          <w:rPr>
                            <w:rFonts w:hint="eastAsia"/>
                            <w:szCs w:val="21"/>
                          </w:rPr>
                          <w:t>税金及附加</w:t>
                        </w:r>
                      </w:p>
                    </w:tc>
                  </w:sdtContent>
                </w:sdt>
                <w:tc>
                  <w:tcPr>
                    <w:tcW w:w="529" w:type="pct"/>
                    <w:tcBorders>
                      <w:top w:val="outset" w:sz="4" w:space="0" w:color="auto"/>
                      <w:left w:val="outset" w:sz="4" w:space="0" w:color="auto"/>
                      <w:bottom w:val="outset" w:sz="4" w:space="0" w:color="auto"/>
                      <w:right w:val="outset" w:sz="4" w:space="0" w:color="auto"/>
                    </w:tcBorders>
                  </w:tcPr>
                  <w:p w14:paraId="7183D446"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6973775D" w14:textId="77777777" w:rsidR="00830E72" w:rsidRDefault="008344D8">
                    <w:pPr>
                      <w:jc w:val="right"/>
                      <w:rPr>
                        <w:szCs w:val="21"/>
                      </w:rPr>
                    </w:pPr>
                    <w:r>
                      <w:rPr>
                        <w:szCs w:val="21"/>
                      </w:rPr>
                      <w:t>1,428,267.71</w:t>
                    </w:r>
                  </w:p>
                </w:tc>
                <w:tc>
                  <w:tcPr>
                    <w:tcW w:w="1114" w:type="pct"/>
                    <w:tcBorders>
                      <w:top w:val="outset" w:sz="4" w:space="0" w:color="auto"/>
                      <w:left w:val="outset" w:sz="4" w:space="0" w:color="auto"/>
                      <w:bottom w:val="outset" w:sz="4" w:space="0" w:color="auto"/>
                      <w:right w:val="outset" w:sz="4" w:space="0" w:color="auto"/>
                    </w:tcBorders>
                  </w:tcPr>
                  <w:p w14:paraId="0DB72765" w14:textId="77777777" w:rsidR="00830E72" w:rsidRDefault="008344D8">
                    <w:pPr>
                      <w:jc w:val="right"/>
                      <w:rPr>
                        <w:szCs w:val="21"/>
                      </w:rPr>
                    </w:pPr>
                    <w:r>
                      <w:rPr>
                        <w:szCs w:val="21"/>
                      </w:rPr>
                      <w:t>3,273,148.18</w:t>
                    </w:r>
                  </w:p>
                </w:tc>
              </w:tr>
              <w:tr w:rsidR="00830E72" w14:paraId="3330C38A" w14:textId="77777777">
                <w:sdt>
                  <w:sdtPr>
                    <w:tag w:val="_PLD_a3b8d65ff4ec461aa0e45656973f9d4f"/>
                    <w:id w:val="702986019"/>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2BF13BC5" w14:textId="77777777" w:rsidR="00830E72" w:rsidRDefault="008344D8">
                        <w:pPr>
                          <w:ind w:firstLineChars="300" w:firstLine="630"/>
                          <w:rPr>
                            <w:szCs w:val="21"/>
                          </w:rPr>
                        </w:pPr>
                        <w:r>
                          <w:rPr>
                            <w:rFonts w:hint="eastAsia"/>
                            <w:szCs w:val="21"/>
                          </w:rPr>
                          <w:t>销售费用</w:t>
                        </w:r>
                      </w:p>
                    </w:tc>
                  </w:sdtContent>
                </w:sdt>
                <w:tc>
                  <w:tcPr>
                    <w:tcW w:w="529" w:type="pct"/>
                    <w:tcBorders>
                      <w:top w:val="outset" w:sz="4" w:space="0" w:color="auto"/>
                      <w:left w:val="outset" w:sz="4" w:space="0" w:color="auto"/>
                      <w:bottom w:val="outset" w:sz="4" w:space="0" w:color="auto"/>
                      <w:right w:val="outset" w:sz="4" w:space="0" w:color="auto"/>
                    </w:tcBorders>
                  </w:tcPr>
                  <w:p w14:paraId="608EB0CF"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5D21D089" w14:textId="77777777" w:rsidR="00830E72" w:rsidRDefault="008344D8">
                    <w:pPr>
                      <w:jc w:val="right"/>
                      <w:rPr>
                        <w:szCs w:val="21"/>
                      </w:rPr>
                    </w:pPr>
                    <w:r>
                      <w:rPr>
                        <w:szCs w:val="21"/>
                      </w:rPr>
                      <w:t>10,483,994.98</w:t>
                    </w:r>
                  </w:p>
                </w:tc>
                <w:tc>
                  <w:tcPr>
                    <w:tcW w:w="1114" w:type="pct"/>
                    <w:tcBorders>
                      <w:top w:val="outset" w:sz="4" w:space="0" w:color="auto"/>
                      <w:left w:val="outset" w:sz="4" w:space="0" w:color="auto"/>
                      <w:bottom w:val="outset" w:sz="4" w:space="0" w:color="auto"/>
                      <w:right w:val="outset" w:sz="4" w:space="0" w:color="auto"/>
                    </w:tcBorders>
                  </w:tcPr>
                  <w:p w14:paraId="754A01B7" w14:textId="77777777" w:rsidR="00830E72" w:rsidRDefault="008344D8">
                    <w:pPr>
                      <w:jc w:val="right"/>
                      <w:rPr>
                        <w:szCs w:val="21"/>
                      </w:rPr>
                    </w:pPr>
                    <w:r>
                      <w:rPr>
                        <w:szCs w:val="21"/>
                      </w:rPr>
                      <w:t>8,241,718.28</w:t>
                    </w:r>
                  </w:p>
                </w:tc>
              </w:tr>
              <w:tr w:rsidR="00830E72" w14:paraId="6F74990E" w14:textId="77777777">
                <w:sdt>
                  <w:sdtPr>
                    <w:tag w:val="_PLD_bed77e0a08324462af3ef7a5005bb139"/>
                    <w:id w:val="-510220814"/>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70CA5AEC" w14:textId="77777777" w:rsidR="00830E72" w:rsidRDefault="008344D8">
                        <w:pPr>
                          <w:ind w:firstLineChars="300" w:firstLine="630"/>
                          <w:rPr>
                            <w:szCs w:val="21"/>
                          </w:rPr>
                        </w:pPr>
                        <w:r>
                          <w:rPr>
                            <w:rFonts w:hint="eastAsia"/>
                            <w:szCs w:val="21"/>
                          </w:rPr>
                          <w:t>管理费用</w:t>
                        </w:r>
                      </w:p>
                    </w:tc>
                  </w:sdtContent>
                </w:sdt>
                <w:tc>
                  <w:tcPr>
                    <w:tcW w:w="529" w:type="pct"/>
                    <w:tcBorders>
                      <w:top w:val="outset" w:sz="4" w:space="0" w:color="auto"/>
                      <w:left w:val="outset" w:sz="4" w:space="0" w:color="auto"/>
                      <w:bottom w:val="outset" w:sz="4" w:space="0" w:color="auto"/>
                      <w:right w:val="outset" w:sz="4" w:space="0" w:color="auto"/>
                    </w:tcBorders>
                  </w:tcPr>
                  <w:p w14:paraId="1E0F0F1D"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42C39D48" w14:textId="77777777" w:rsidR="00830E72" w:rsidRDefault="008344D8">
                    <w:pPr>
                      <w:jc w:val="right"/>
                      <w:rPr>
                        <w:szCs w:val="21"/>
                      </w:rPr>
                    </w:pPr>
                    <w:r>
                      <w:rPr>
                        <w:szCs w:val="21"/>
                      </w:rPr>
                      <w:t>33,554,145.03</w:t>
                    </w:r>
                  </w:p>
                </w:tc>
                <w:tc>
                  <w:tcPr>
                    <w:tcW w:w="1114" w:type="pct"/>
                    <w:tcBorders>
                      <w:top w:val="outset" w:sz="4" w:space="0" w:color="auto"/>
                      <w:left w:val="outset" w:sz="4" w:space="0" w:color="auto"/>
                      <w:bottom w:val="outset" w:sz="4" w:space="0" w:color="auto"/>
                      <w:right w:val="outset" w:sz="4" w:space="0" w:color="auto"/>
                    </w:tcBorders>
                  </w:tcPr>
                  <w:p w14:paraId="6575B383" w14:textId="77777777" w:rsidR="00830E72" w:rsidRDefault="008344D8">
                    <w:pPr>
                      <w:jc w:val="right"/>
                      <w:rPr>
                        <w:szCs w:val="21"/>
                      </w:rPr>
                    </w:pPr>
                    <w:r>
                      <w:rPr>
                        <w:szCs w:val="21"/>
                      </w:rPr>
                      <w:t>27,814,458.15</w:t>
                    </w:r>
                  </w:p>
                </w:tc>
              </w:tr>
              <w:tr w:rsidR="00830E72" w14:paraId="19686A97" w14:textId="77777777">
                <w:tc>
                  <w:tcPr>
                    <w:tcW w:w="224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16c8567363a4b4facb5a9c7d99f206b"/>
                      <w:id w:val="-1944903594"/>
                      <w:lock w:val="sdtLocked"/>
                    </w:sdtPr>
                    <w:sdtEndPr/>
                    <w:sdtContent>
                      <w:p w14:paraId="6720A093" w14:textId="77777777" w:rsidR="00830E72" w:rsidRDefault="008344D8">
                        <w:pPr>
                          <w:ind w:firstLineChars="300" w:firstLine="630"/>
                        </w:pPr>
                        <w:r>
                          <w:rPr>
                            <w:rFonts w:hint="eastAsia"/>
                          </w:rPr>
                          <w:t>研发费用</w:t>
                        </w:r>
                      </w:p>
                    </w:sdtContent>
                  </w:sdt>
                </w:tc>
                <w:tc>
                  <w:tcPr>
                    <w:tcW w:w="529" w:type="pct"/>
                    <w:tcBorders>
                      <w:top w:val="outset" w:sz="4" w:space="0" w:color="auto"/>
                      <w:left w:val="outset" w:sz="4" w:space="0" w:color="auto"/>
                      <w:bottom w:val="outset" w:sz="4" w:space="0" w:color="auto"/>
                      <w:right w:val="outset" w:sz="4" w:space="0" w:color="auto"/>
                    </w:tcBorders>
                  </w:tcPr>
                  <w:p w14:paraId="69BD1638"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160A54FD"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56B1DF1" w14:textId="77777777" w:rsidR="00830E72" w:rsidRDefault="00830E72">
                    <w:pPr>
                      <w:jc w:val="right"/>
                      <w:rPr>
                        <w:szCs w:val="21"/>
                      </w:rPr>
                    </w:pPr>
                  </w:p>
                </w:tc>
              </w:tr>
              <w:tr w:rsidR="00830E72" w14:paraId="7D1E33CE" w14:textId="77777777">
                <w:sdt>
                  <w:sdtPr>
                    <w:tag w:val="_PLD_6faf3cf39dfa4fd1925e0d9be4566671"/>
                    <w:id w:val="-1006136302"/>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55CDD3A2" w14:textId="77777777" w:rsidR="00830E72" w:rsidRDefault="008344D8">
                        <w:pPr>
                          <w:ind w:firstLineChars="300" w:firstLine="630"/>
                          <w:rPr>
                            <w:szCs w:val="21"/>
                          </w:rPr>
                        </w:pPr>
                        <w:r>
                          <w:rPr>
                            <w:rFonts w:hint="eastAsia"/>
                            <w:szCs w:val="21"/>
                          </w:rPr>
                          <w:t>财务费用</w:t>
                        </w:r>
                      </w:p>
                    </w:tc>
                  </w:sdtContent>
                </w:sdt>
                <w:tc>
                  <w:tcPr>
                    <w:tcW w:w="529" w:type="pct"/>
                    <w:tcBorders>
                      <w:top w:val="outset" w:sz="4" w:space="0" w:color="auto"/>
                      <w:left w:val="outset" w:sz="4" w:space="0" w:color="auto"/>
                      <w:bottom w:val="outset" w:sz="4" w:space="0" w:color="auto"/>
                      <w:right w:val="outset" w:sz="4" w:space="0" w:color="auto"/>
                    </w:tcBorders>
                  </w:tcPr>
                  <w:p w14:paraId="543CD135"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3C32B28C" w14:textId="77777777" w:rsidR="00830E72" w:rsidRDefault="008344D8">
                    <w:pPr>
                      <w:jc w:val="right"/>
                      <w:rPr>
                        <w:szCs w:val="21"/>
                      </w:rPr>
                    </w:pPr>
                    <w:r>
                      <w:rPr>
                        <w:szCs w:val="21"/>
                      </w:rPr>
                      <w:t>32,970,591.62</w:t>
                    </w:r>
                  </w:p>
                </w:tc>
                <w:tc>
                  <w:tcPr>
                    <w:tcW w:w="1114" w:type="pct"/>
                    <w:tcBorders>
                      <w:top w:val="outset" w:sz="4" w:space="0" w:color="auto"/>
                      <w:left w:val="outset" w:sz="4" w:space="0" w:color="auto"/>
                      <w:bottom w:val="outset" w:sz="4" w:space="0" w:color="auto"/>
                      <w:right w:val="outset" w:sz="4" w:space="0" w:color="auto"/>
                    </w:tcBorders>
                  </w:tcPr>
                  <w:p w14:paraId="7FF88BF5" w14:textId="77777777" w:rsidR="00830E72" w:rsidRDefault="008344D8">
                    <w:pPr>
                      <w:jc w:val="right"/>
                      <w:rPr>
                        <w:szCs w:val="21"/>
                      </w:rPr>
                    </w:pPr>
                    <w:r>
                      <w:rPr>
                        <w:szCs w:val="21"/>
                      </w:rPr>
                      <w:t>21,061,053.34</w:t>
                    </w:r>
                  </w:p>
                </w:tc>
              </w:tr>
              <w:tr w:rsidR="00830E72" w14:paraId="2C4DDAA3" w14:textId="77777777">
                <w:tc>
                  <w:tcPr>
                    <w:tcW w:w="224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8e9b72af75c437aafc0c975b29e2a55"/>
                      <w:id w:val="-1922566758"/>
                      <w:lock w:val="sdtLocked"/>
                    </w:sdtPr>
                    <w:sdtEndPr/>
                    <w:sdtContent>
                      <w:p w14:paraId="0AB66525" w14:textId="77777777" w:rsidR="00830E72" w:rsidRDefault="008344D8">
                        <w:pPr>
                          <w:ind w:firstLineChars="300" w:firstLine="630"/>
                        </w:pPr>
                        <w:r>
                          <w:rPr>
                            <w:rFonts w:hint="eastAsia"/>
                          </w:rPr>
                          <w:t>其中：利息费用</w:t>
                        </w:r>
                      </w:p>
                    </w:sdtContent>
                  </w:sdt>
                </w:tc>
                <w:tc>
                  <w:tcPr>
                    <w:tcW w:w="529" w:type="pct"/>
                    <w:tcBorders>
                      <w:top w:val="outset" w:sz="4" w:space="0" w:color="auto"/>
                      <w:left w:val="outset" w:sz="4" w:space="0" w:color="auto"/>
                      <w:bottom w:val="outset" w:sz="4" w:space="0" w:color="auto"/>
                      <w:right w:val="outset" w:sz="4" w:space="0" w:color="auto"/>
                    </w:tcBorders>
                  </w:tcPr>
                  <w:p w14:paraId="1252E0EF"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108BF5E9" w14:textId="77777777" w:rsidR="00830E72" w:rsidRDefault="008344D8">
                    <w:pPr>
                      <w:jc w:val="right"/>
                      <w:rPr>
                        <w:szCs w:val="21"/>
                      </w:rPr>
                    </w:pPr>
                    <w:r>
                      <w:rPr>
                        <w:szCs w:val="21"/>
                      </w:rPr>
                      <w:t>32,362,274.29</w:t>
                    </w:r>
                  </w:p>
                </w:tc>
                <w:tc>
                  <w:tcPr>
                    <w:tcW w:w="1114" w:type="pct"/>
                    <w:tcBorders>
                      <w:top w:val="outset" w:sz="4" w:space="0" w:color="auto"/>
                      <w:left w:val="outset" w:sz="4" w:space="0" w:color="auto"/>
                      <w:bottom w:val="outset" w:sz="4" w:space="0" w:color="auto"/>
                      <w:right w:val="outset" w:sz="4" w:space="0" w:color="auto"/>
                    </w:tcBorders>
                  </w:tcPr>
                  <w:p w14:paraId="6465B140" w14:textId="77777777" w:rsidR="00830E72" w:rsidRDefault="008344D8">
                    <w:pPr>
                      <w:jc w:val="right"/>
                      <w:rPr>
                        <w:szCs w:val="21"/>
                      </w:rPr>
                    </w:pPr>
                    <w:r>
                      <w:rPr>
                        <w:szCs w:val="21"/>
                      </w:rPr>
                      <w:t>24,813,419.59</w:t>
                    </w:r>
                  </w:p>
                </w:tc>
              </w:tr>
              <w:tr w:rsidR="00830E72" w14:paraId="43C167A7" w14:textId="77777777">
                <w:tc>
                  <w:tcPr>
                    <w:tcW w:w="224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295ba98b84473595f32450ae66410e"/>
                      <w:id w:val="1399092313"/>
                      <w:lock w:val="sdtLocked"/>
                    </w:sdtPr>
                    <w:sdtEndPr/>
                    <w:sdtContent>
                      <w:p w14:paraId="41C978C1" w14:textId="77777777" w:rsidR="00830E72" w:rsidRDefault="008344D8">
                        <w:pPr>
                          <w:ind w:firstLineChars="600" w:firstLine="1260"/>
                        </w:pPr>
                        <w:r>
                          <w:rPr>
                            <w:rFonts w:hint="eastAsia"/>
                          </w:rPr>
                          <w:t>利息收入</w:t>
                        </w:r>
                      </w:p>
                    </w:sdtContent>
                  </w:sdt>
                </w:tc>
                <w:tc>
                  <w:tcPr>
                    <w:tcW w:w="529" w:type="pct"/>
                    <w:tcBorders>
                      <w:top w:val="outset" w:sz="4" w:space="0" w:color="auto"/>
                      <w:left w:val="outset" w:sz="4" w:space="0" w:color="auto"/>
                      <w:bottom w:val="outset" w:sz="4" w:space="0" w:color="auto"/>
                      <w:right w:val="outset" w:sz="4" w:space="0" w:color="auto"/>
                    </w:tcBorders>
                  </w:tcPr>
                  <w:p w14:paraId="692A6046"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19BC474E" w14:textId="77777777" w:rsidR="00830E72" w:rsidRDefault="008344D8">
                    <w:pPr>
                      <w:jc w:val="right"/>
                      <w:rPr>
                        <w:szCs w:val="21"/>
                      </w:rPr>
                    </w:pPr>
                    <w:r>
                      <w:rPr>
                        <w:szCs w:val="21"/>
                      </w:rPr>
                      <w:t>1,973,280.24</w:t>
                    </w:r>
                  </w:p>
                </w:tc>
                <w:tc>
                  <w:tcPr>
                    <w:tcW w:w="1114" w:type="pct"/>
                    <w:tcBorders>
                      <w:top w:val="outset" w:sz="4" w:space="0" w:color="auto"/>
                      <w:left w:val="outset" w:sz="4" w:space="0" w:color="auto"/>
                      <w:bottom w:val="outset" w:sz="4" w:space="0" w:color="auto"/>
                      <w:right w:val="outset" w:sz="4" w:space="0" w:color="auto"/>
                    </w:tcBorders>
                  </w:tcPr>
                  <w:p w14:paraId="6708480F" w14:textId="77777777" w:rsidR="00830E72" w:rsidRDefault="008344D8">
                    <w:pPr>
                      <w:jc w:val="right"/>
                      <w:rPr>
                        <w:szCs w:val="21"/>
                      </w:rPr>
                    </w:pPr>
                    <w:r>
                      <w:rPr>
                        <w:szCs w:val="21"/>
                      </w:rPr>
                      <w:t>4,573,355.12</w:t>
                    </w:r>
                  </w:p>
                </w:tc>
              </w:tr>
              <w:tr w:rsidR="00830E72" w14:paraId="6852D85F" w14:textId="77777777">
                <w:sdt>
                  <w:sdtPr>
                    <w:tag w:val="_PLD_c5148208867748028cb9d238ab2addb6"/>
                    <w:id w:val="-976688101"/>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6DB24356" w14:textId="77777777" w:rsidR="00830E72" w:rsidRDefault="008344D8">
                        <w:pPr>
                          <w:ind w:firstLineChars="100" w:firstLine="210"/>
                          <w:rPr>
                            <w:szCs w:val="21"/>
                          </w:rPr>
                        </w:pPr>
                        <w:r>
                          <w:rPr>
                            <w:rFonts w:hint="eastAsia"/>
                          </w:rPr>
                          <w:t>加：</w:t>
                        </w:r>
                        <w:r>
                          <w:rPr>
                            <w:rFonts w:hint="eastAsia"/>
                            <w:szCs w:val="21"/>
                          </w:rPr>
                          <w:t>其他收益</w:t>
                        </w:r>
                      </w:p>
                    </w:tc>
                  </w:sdtContent>
                </w:sdt>
                <w:tc>
                  <w:tcPr>
                    <w:tcW w:w="529" w:type="pct"/>
                    <w:tcBorders>
                      <w:top w:val="outset" w:sz="4" w:space="0" w:color="auto"/>
                      <w:left w:val="outset" w:sz="4" w:space="0" w:color="auto"/>
                      <w:bottom w:val="outset" w:sz="4" w:space="0" w:color="auto"/>
                      <w:right w:val="outset" w:sz="4" w:space="0" w:color="auto"/>
                    </w:tcBorders>
                  </w:tcPr>
                  <w:p w14:paraId="6ACE39FE"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0493B9F1" w14:textId="77777777" w:rsidR="00830E72" w:rsidRDefault="008344D8">
                    <w:pPr>
                      <w:jc w:val="right"/>
                      <w:rPr>
                        <w:szCs w:val="21"/>
                      </w:rPr>
                    </w:pPr>
                    <w:r>
                      <w:rPr>
                        <w:szCs w:val="21"/>
                      </w:rPr>
                      <w:t>169,338.54</w:t>
                    </w:r>
                  </w:p>
                </w:tc>
                <w:tc>
                  <w:tcPr>
                    <w:tcW w:w="1114" w:type="pct"/>
                    <w:tcBorders>
                      <w:top w:val="outset" w:sz="4" w:space="0" w:color="auto"/>
                      <w:left w:val="outset" w:sz="4" w:space="0" w:color="auto"/>
                      <w:bottom w:val="outset" w:sz="4" w:space="0" w:color="auto"/>
                      <w:right w:val="outset" w:sz="4" w:space="0" w:color="auto"/>
                    </w:tcBorders>
                  </w:tcPr>
                  <w:p w14:paraId="3250FEFC" w14:textId="77777777" w:rsidR="00830E72" w:rsidRDefault="008344D8">
                    <w:pPr>
                      <w:jc w:val="right"/>
                      <w:rPr>
                        <w:szCs w:val="21"/>
                      </w:rPr>
                    </w:pPr>
                    <w:r>
                      <w:rPr>
                        <w:szCs w:val="21"/>
                      </w:rPr>
                      <w:t>145,637.79</w:t>
                    </w:r>
                  </w:p>
                </w:tc>
              </w:tr>
              <w:tr w:rsidR="00830E72" w14:paraId="6EA6C068" w14:textId="77777777">
                <w:sdt>
                  <w:sdtPr>
                    <w:tag w:val="_PLD_c58a027e2ee74b79b026fbba720ccf3a"/>
                    <w:id w:val="287248574"/>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4D4391A6" w14:textId="77777777" w:rsidR="00830E72" w:rsidRDefault="008344D8">
                        <w:pPr>
                          <w:ind w:firstLineChars="300" w:firstLine="630"/>
                          <w:rPr>
                            <w:szCs w:val="21"/>
                          </w:rPr>
                        </w:pPr>
                        <w:r>
                          <w:rPr>
                            <w:rFonts w:hint="eastAsia"/>
                            <w:szCs w:val="21"/>
                          </w:rPr>
                          <w:t>投资收益（损失以“－”号填列）</w:t>
                        </w:r>
                      </w:p>
                    </w:tc>
                  </w:sdtContent>
                </w:sdt>
                <w:tc>
                  <w:tcPr>
                    <w:tcW w:w="529" w:type="pct"/>
                    <w:tcBorders>
                      <w:top w:val="outset" w:sz="4" w:space="0" w:color="auto"/>
                      <w:left w:val="outset" w:sz="4" w:space="0" w:color="auto"/>
                      <w:bottom w:val="outset" w:sz="4" w:space="0" w:color="auto"/>
                      <w:right w:val="outset" w:sz="4" w:space="0" w:color="auto"/>
                    </w:tcBorders>
                  </w:tcPr>
                  <w:p w14:paraId="34375EAE"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4B37F6BA"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D011C48" w14:textId="77777777" w:rsidR="00830E72" w:rsidRDefault="00830E72">
                    <w:pPr>
                      <w:jc w:val="right"/>
                      <w:rPr>
                        <w:szCs w:val="21"/>
                      </w:rPr>
                    </w:pPr>
                  </w:p>
                </w:tc>
              </w:tr>
              <w:tr w:rsidR="00830E72" w14:paraId="2063CBB0" w14:textId="77777777">
                <w:sdt>
                  <w:sdtPr>
                    <w:tag w:val="_PLD_58f92dc598044243844972f7264dee3f"/>
                    <w:id w:val="73251838"/>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0E305636" w14:textId="77777777" w:rsidR="00830E72" w:rsidRDefault="008344D8">
                        <w:pPr>
                          <w:ind w:firstLineChars="300" w:firstLine="630"/>
                          <w:rPr>
                            <w:szCs w:val="21"/>
                          </w:rPr>
                        </w:pPr>
                        <w:r>
                          <w:rPr>
                            <w:rFonts w:hint="eastAsia"/>
                            <w:szCs w:val="21"/>
                          </w:rPr>
                          <w:t>其中：对联营企业和合营企业的投资收益</w:t>
                        </w:r>
                      </w:p>
                    </w:tc>
                  </w:sdtContent>
                </w:sdt>
                <w:tc>
                  <w:tcPr>
                    <w:tcW w:w="529" w:type="pct"/>
                    <w:tcBorders>
                      <w:top w:val="outset" w:sz="4" w:space="0" w:color="auto"/>
                      <w:left w:val="outset" w:sz="4" w:space="0" w:color="auto"/>
                      <w:bottom w:val="outset" w:sz="4" w:space="0" w:color="auto"/>
                      <w:right w:val="outset" w:sz="4" w:space="0" w:color="auto"/>
                    </w:tcBorders>
                  </w:tcPr>
                  <w:p w14:paraId="6F6815FA"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07201926"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5718E0F" w14:textId="77777777" w:rsidR="00830E72" w:rsidRDefault="00830E72">
                    <w:pPr>
                      <w:jc w:val="right"/>
                      <w:rPr>
                        <w:szCs w:val="21"/>
                      </w:rPr>
                    </w:pPr>
                  </w:p>
                </w:tc>
              </w:tr>
              <w:tr w:rsidR="00830E72" w14:paraId="395250CB" w14:textId="77777777">
                <w:sdt>
                  <w:sdtPr>
                    <w:tag w:val="_PLD_f783ee8c18aa4ec6b0fe746603c1afc2"/>
                    <w:id w:val="-551610096"/>
                    <w:lock w:val="sdtLocked"/>
                  </w:sdtPr>
                  <w:sdtEndPr/>
                  <w:sdtContent>
                    <w:tc>
                      <w:tcPr>
                        <w:tcW w:w="2246" w:type="pct"/>
                        <w:tcBorders>
                          <w:top w:val="outset" w:sz="4" w:space="0" w:color="auto"/>
                          <w:left w:val="outset" w:sz="4" w:space="0" w:color="auto"/>
                          <w:bottom w:val="outset" w:sz="4" w:space="0" w:color="auto"/>
                          <w:right w:val="outset" w:sz="4" w:space="0" w:color="auto"/>
                        </w:tcBorders>
                      </w:tcPr>
                      <w:p w14:paraId="2F89EAB1" w14:textId="77777777" w:rsidR="00830E72" w:rsidRDefault="008344D8">
                        <w:pPr>
                          <w:ind w:firstLineChars="550" w:firstLine="1155"/>
                        </w:pPr>
                        <w:r>
                          <w:rPr>
                            <w:rFonts w:hint="eastAsia"/>
                          </w:rPr>
                          <w:t>以摊余成本计量的金融资产终止确认收益（损失以“</w:t>
                        </w:r>
                        <w:r>
                          <w:t>-”号填列）</w:t>
                        </w:r>
                      </w:p>
                    </w:tc>
                  </w:sdtContent>
                </w:sdt>
                <w:tc>
                  <w:tcPr>
                    <w:tcW w:w="529" w:type="pct"/>
                    <w:tcBorders>
                      <w:top w:val="outset" w:sz="4" w:space="0" w:color="auto"/>
                      <w:left w:val="outset" w:sz="4" w:space="0" w:color="auto"/>
                      <w:bottom w:val="outset" w:sz="4" w:space="0" w:color="auto"/>
                      <w:right w:val="outset" w:sz="4" w:space="0" w:color="auto"/>
                    </w:tcBorders>
                  </w:tcPr>
                  <w:p w14:paraId="58FD5447"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099708AE"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234A95F" w14:textId="77777777" w:rsidR="00830E72" w:rsidRDefault="00830E72">
                    <w:pPr>
                      <w:jc w:val="right"/>
                      <w:rPr>
                        <w:szCs w:val="21"/>
                      </w:rPr>
                    </w:pPr>
                  </w:p>
                </w:tc>
              </w:tr>
              <w:tr w:rsidR="00830E72" w14:paraId="0419FADF" w14:textId="77777777">
                <w:sdt>
                  <w:sdtPr>
                    <w:tag w:val="_PLD_33855fc7ddf74a1b9f9c1dfc4ab34fc7"/>
                    <w:id w:val="-1261826368"/>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25F246D4" w14:textId="77777777" w:rsidR="00830E72" w:rsidRDefault="008344D8">
                        <w:pPr>
                          <w:ind w:firstLineChars="300" w:firstLine="630"/>
                          <w:rPr>
                            <w:szCs w:val="21"/>
                          </w:rPr>
                        </w:pPr>
                        <w:r>
                          <w:rPr>
                            <w:rFonts w:hint="eastAsia"/>
                            <w:szCs w:val="21"/>
                          </w:rPr>
                          <w:t>汇兑收益（损失以“－”号填列）</w:t>
                        </w:r>
                      </w:p>
                    </w:tc>
                  </w:sdtContent>
                </w:sdt>
                <w:tc>
                  <w:tcPr>
                    <w:tcW w:w="529" w:type="pct"/>
                    <w:tcBorders>
                      <w:top w:val="outset" w:sz="4" w:space="0" w:color="auto"/>
                      <w:left w:val="outset" w:sz="4" w:space="0" w:color="auto"/>
                      <w:bottom w:val="outset" w:sz="4" w:space="0" w:color="auto"/>
                      <w:right w:val="outset" w:sz="4" w:space="0" w:color="auto"/>
                    </w:tcBorders>
                  </w:tcPr>
                  <w:p w14:paraId="5A93FDA5"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7A76797B"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E1F5C05" w14:textId="77777777" w:rsidR="00830E72" w:rsidRDefault="00830E72">
                    <w:pPr>
                      <w:jc w:val="right"/>
                      <w:rPr>
                        <w:szCs w:val="21"/>
                      </w:rPr>
                    </w:pPr>
                  </w:p>
                </w:tc>
              </w:tr>
              <w:tr w:rsidR="00830E72" w14:paraId="7A8B58E5" w14:textId="77777777">
                <w:tc>
                  <w:tcPr>
                    <w:tcW w:w="224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351bb9f9f034ce8b252cc8056810655"/>
                      <w:id w:val="-2045055445"/>
                      <w:lock w:val="sdtLocked"/>
                    </w:sdtPr>
                    <w:sdtEndPr>
                      <w:rPr>
                        <w:rFonts w:hint="default"/>
                      </w:rPr>
                    </w:sdtEndPr>
                    <w:sdtContent>
                      <w:p w14:paraId="73B9E253" w14:textId="77777777" w:rsidR="00830E72" w:rsidRDefault="008344D8">
                        <w:pPr>
                          <w:ind w:firstLineChars="300" w:firstLine="630"/>
                        </w:pPr>
                        <w:r>
                          <w:rPr>
                            <w:rFonts w:hint="eastAsia"/>
                          </w:rPr>
                          <w:t>净敞口套期收益（损失以“</w:t>
                        </w:r>
                        <w:r>
                          <w:t>-”号填列）</w:t>
                        </w:r>
                      </w:p>
                    </w:sdtContent>
                  </w:sdt>
                </w:tc>
                <w:tc>
                  <w:tcPr>
                    <w:tcW w:w="529" w:type="pct"/>
                    <w:tcBorders>
                      <w:top w:val="outset" w:sz="4" w:space="0" w:color="auto"/>
                      <w:left w:val="outset" w:sz="4" w:space="0" w:color="auto"/>
                      <w:bottom w:val="outset" w:sz="4" w:space="0" w:color="auto"/>
                      <w:right w:val="outset" w:sz="4" w:space="0" w:color="auto"/>
                    </w:tcBorders>
                  </w:tcPr>
                  <w:p w14:paraId="3D2C7586"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6DA57AC1"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0633F98" w14:textId="77777777" w:rsidR="00830E72" w:rsidRDefault="00830E72">
                    <w:pPr>
                      <w:jc w:val="right"/>
                      <w:rPr>
                        <w:szCs w:val="21"/>
                      </w:rPr>
                    </w:pPr>
                  </w:p>
                </w:tc>
              </w:tr>
              <w:tr w:rsidR="00830E72" w14:paraId="69D7D7B6" w14:textId="77777777">
                <w:sdt>
                  <w:sdtPr>
                    <w:tag w:val="_PLD_e6e5f627ac054b8b8f91f930cd45c7d6"/>
                    <w:id w:val="-152140870"/>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4EDE4F9D" w14:textId="77777777" w:rsidR="00830E72" w:rsidRDefault="008344D8">
                        <w:pPr>
                          <w:ind w:firstLineChars="300" w:firstLine="630"/>
                          <w:rPr>
                            <w:color w:val="000000"/>
                            <w:szCs w:val="21"/>
                          </w:rPr>
                        </w:pPr>
                        <w:r>
                          <w:rPr>
                            <w:rFonts w:hint="eastAsia"/>
                            <w:szCs w:val="21"/>
                          </w:rPr>
                          <w:t>公允价值变动收益（损失以“－”号填列）</w:t>
                        </w:r>
                      </w:p>
                    </w:tc>
                  </w:sdtContent>
                </w:sdt>
                <w:tc>
                  <w:tcPr>
                    <w:tcW w:w="529" w:type="pct"/>
                    <w:tcBorders>
                      <w:top w:val="outset" w:sz="4" w:space="0" w:color="auto"/>
                      <w:left w:val="outset" w:sz="4" w:space="0" w:color="auto"/>
                      <w:bottom w:val="outset" w:sz="4" w:space="0" w:color="auto"/>
                      <w:right w:val="outset" w:sz="4" w:space="0" w:color="auto"/>
                    </w:tcBorders>
                  </w:tcPr>
                  <w:p w14:paraId="41A11D04"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CE2FA45" w14:textId="77777777" w:rsidR="00830E72" w:rsidRDefault="008344D8">
                    <w:pPr>
                      <w:jc w:val="right"/>
                      <w:rPr>
                        <w:szCs w:val="21"/>
                      </w:rPr>
                    </w:pPr>
                    <w:r>
                      <w:rPr>
                        <w:szCs w:val="21"/>
                      </w:rPr>
                      <w:t>469,489.17</w:t>
                    </w:r>
                  </w:p>
                </w:tc>
                <w:tc>
                  <w:tcPr>
                    <w:tcW w:w="1114" w:type="pct"/>
                    <w:tcBorders>
                      <w:top w:val="outset" w:sz="4" w:space="0" w:color="auto"/>
                      <w:left w:val="outset" w:sz="4" w:space="0" w:color="auto"/>
                      <w:bottom w:val="outset" w:sz="4" w:space="0" w:color="auto"/>
                      <w:right w:val="outset" w:sz="4" w:space="0" w:color="auto"/>
                    </w:tcBorders>
                    <w:vAlign w:val="center"/>
                  </w:tcPr>
                  <w:p w14:paraId="0AA7FE6A" w14:textId="77777777" w:rsidR="00830E72" w:rsidRDefault="00830E72">
                    <w:pPr>
                      <w:jc w:val="right"/>
                      <w:rPr>
                        <w:szCs w:val="21"/>
                      </w:rPr>
                    </w:pPr>
                  </w:p>
                </w:tc>
              </w:tr>
              <w:tr w:rsidR="00830E72" w14:paraId="4242C7C9" w14:textId="77777777">
                <w:tc>
                  <w:tcPr>
                    <w:tcW w:w="224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30e32ac0eb74cccbe4261a78579a5ff"/>
                      <w:id w:val="829864829"/>
                      <w:lock w:val="sdtLocked"/>
                    </w:sdtPr>
                    <w:sdtEndPr/>
                    <w:sdtContent>
                      <w:p w14:paraId="187B4B98" w14:textId="77777777" w:rsidR="00830E72" w:rsidRDefault="008344D8">
                        <w:pPr>
                          <w:ind w:firstLineChars="300" w:firstLine="630"/>
                        </w:pPr>
                        <w:r>
                          <w:rPr>
                            <w:rFonts w:hint="eastAsia"/>
                          </w:rPr>
                          <w:t>信用减值损失（损失以“</w:t>
                        </w:r>
                        <w:r>
                          <w:t>-”号填列）</w:t>
                        </w:r>
                      </w:p>
                    </w:sdtContent>
                  </w:sdt>
                </w:tc>
                <w:tc>
                  <w:tcPr>
                    <w:tcW w:w="529" w:type="pct"/>
                    <w:tcBorders>
                      <w:top w:val="outset" w:sz="4" w:space="0" w:color="auto"/>
                      <w:left w:val="outset" w:sz="4" w:space="0" w:color="auto"/>
                      <w:bottom w:val="outset" w:sz="4" w:space="0" w:color="auto"/>
                      <w:right w:val="outset" w:sz="4" w:space="0" w:color="auto"/>
                    </w:tcBorders>
                  </w:tcPr>
                  <w:p w14:paraId="4D0FBDF7"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FF78BF6" w14:textId="77777777" w:rsidR="00830E72" w:rsidRDefault="008344D8">
                    <w:pPr>
                      <w:jc w:val="right"/>
                      <w:rPr>
                        <w:szCs w:val="21"/>
                      </w:rPr>
                    </w:pPr>
                    <w:r>
                      <w:rPr>
                        <w:szCs w:val="21"/>
                      </w:rPr>
                      <w:t>613,805.02</w:t>
                    </w:r>
                  </w:p>
                </w:tc>
                <w:tc>
                  <w:tcPr>
                    <w:tcW w:w="1114" w:type="pct"/>
                    <w:tcBorders>
                      <w:top w:val="outset" w:sz="4" w:space="0" w:color="auto"/>
                      <w:left w:val="outset" w:sz="4" w:space="0" w:color="auto"/>
                      <w:bottom w:val="outset" w:sz="4" w:space="0" w:color="auto"/>
                      <w:right w:val="outset" w:sz="4" w:space="0" w:color="auto"/>
                    </w:tcBorders>
                    <w:vAlign w:val="center"/>
                  </w:tcPr>
                  <w:p w14:paraId="06C15767" w14:textId="77777777" w:rsidR="00830E72" w:rsidRDefault="008344D8">
                    <w:pPr>
                      <w:jc w:val="right"/>
                      <w:rPr>
                        <w:szCs w:val="21"/>
                      </w:rPr>
                    </w:pPr>
                    <w:r>
                      <w:rPr>
                        <w:szCs w:val="21"/>
                      </w:rPr>
                      <w:t>-2,186,358.75</w:t>
                    </w:r>
                  </w:p>
                </w:tc>
              </w:tr>
              <w:tr w:rsidR="00830E72" w14:paraId="43FA6DA9" w14:textId="77777777">
                <w:sdt>
                  <w:sdtPr>
                    <w:tag w:val="_PLD_fe82d7189b7a42a6ae64dd80ca9bbe80"/>
                    <w:id w:val="-1036737766"/>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16F73ACC" w14:textId="77777777" w:rsidR="00830E72" w:rsidRDefault="008344D8">
                        <w:pPr>
                          <w:ind w:firstLineChars="300" w:firstLine="630"/>
                          <w:rPr>
                            <w:szCs w:val="21"/>
                          </w:rPr>
                        </w:pPr>
                        <w:r>
                          <w:rPr>
                            <w:rFonts w:hint="eastAsia"/>
                            <w:szCs w:val="21"/>
                          </w:rPr>
                          <w:t>资产减值损失</w:t>
                        </w:r>
                        <w:r>
                          <w:rPr>
                            <w:rFonts w:hint="eastAsia"/>
                          </w:rPr>
                          <w:t>（损失以“</w:t>
                        </w:r>
                        <w:r>
                          <w:t>-”号填列）</w:t>
                        </w:r>
                      </w:p>
                    </w:tc>
                  </w:sdtContent>
                </w:sdt>
                <w:tc>
                  <w:tcPr>
                    <w:tcW w:w="529" w:type="pct"/>
                    <w:tcBorders>
                      <w:top w:val="outset" w:sz="4" w:space="0" w:color="auto"/>
                      <w:left w:val="outset" w:sz="4" w:space="0" w:color="auto"/>
                      <w:bottom w:val="outset" w:sz="4" w:space="0" w:color="auto"/>
                      <w:right w:val="outset" w:sz="4" w:space="0" w:color="auto"/>
                    </w:tcBorders>
                  </w:tcPr>
                  <w:p w14:paraId="2597503E"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8EE33D7" w14:textId="77777777" w:rsidR="00830E72" w:rsidRDefault="008344D8">
                    <w:pPr>
                      <w:jc w:val="right"/>
                      <w:rPr>
                        <w:szCs w:val="21"/>
                      </w:rPr>
                    </w:pPr>
                    <w:r>
                      <w:rPr>
                        <w:szCs w:val="21"/>
                      </w:rPr>
                      <w:t>1,264,819.94</w:t>
                    </w:r>
                  </w:p>
                </w:tc>
                <w:tc>
                  <w:tcPr>
                    <w:tcW w:w="1114" w:type="pct"/>
                    <w:tcBorders>
                      <w:top w:val="outset" w:sz="4" w:space="0" w:color="auto"/>
                      <w:left w:val="outset" w:sz="4" w:space="0" w:color="auto"/>
                      <w:bottom w:val="outset" w:sz="4" w:space="0" w:color="auto"/>
                      <w:right w:val="outset" w:sz="4" w:space="0" w:color="auto"/>
                    </w:tcBorders>
                    <w:vAlign w:val="center"/>
                  </w:tcPr>
                  <w:p w14:paraId="2547865D" w14:textId="77777777" w:rsidR="00830E72" w:rsidRDefault="00830E72">
                    <w:pPr>
                      <w:jc w:val="right"/>
                      <w:rPr>
                        <w:szCs w:val="21"/>
                      </w:rPr>
                    </w:pPr>
                  </w:p>
                </w:tc>
              </w:tr>
              <w:tr w:rsidR="00830E72" w14:paraId="0DB57194" w14:textId="77777777">
                <w:sdt>
                  <w:sdtPr>
                    <w:rPr>
                      <w:rFonts w:hint="eastAsia"/>
                    </w:rPr>
                    <w:tag w:val="_PLD_60761ec4a82c4bc298a64deee215586d"/>
                    <w:id w:val="264127533"/>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794DB7FE" w14:textId="77777777" w:rsidR="00830E72" w:rsidRDefault="008344D8">
                        <w:pPr>
                          <w:ind w:firstLineChars="300" w:firstLine="630"/>
                        </w:pPr>
                        <w:r>
                          <w:rPr>
                            <w:rFonts w:hint="eastAsia"/>
                          </w:rPr>
                          <w:t>资产处置收益（损失以“－”号填列）</w:t>
                        </w:r>
                      </w:p>
                    </w:tc>
                  </w:sdtContent>
                </w:sdt>
                <w:tc>
                  <w:tcPr>
                    <w:tcW w:w="529" w:type="pct"/>
                    <w:tcBorders>
                      <w:top w:val="outset" w:sz="4" w:space="0" w:color="auto"/>
                      <w:left w:val="outset" w:sz="4" w:space="0" w:color="auto"/>
                      <w:bottom w:val="outset" w:sz="4" w:space="0" w:color="auto"/>
                      <w:right w:val="outset" w:sz="4" w:space="0" w:color="auto"/>
                    </w:tcBorders>
                  </w:tcPr>
                  <w:p w14:paraId="3598960B"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9C0E6C2" w14:textId="77777777" w:rsidR="00830E72" w:rsidRDefault="008344D8">
                    <w:pPr>
                      <w:jc w:val="right"/>
                      <w:rPr>
                        <w:szCs w:val="21"/>
                      </w:rPr>
                    </w:pPr>
                    <w:r>
                      <w:rPr>
                        <w:szCs w:val="21"/>
                      </w:rPr>
                      <w:t>-31,650.15</w:t>
                    </w:r>
                  </w:p>
                </w:tc>
                <w:tc>
                  <w:tcPr>
                    <w:tcW w:w="1114" w:type="pct"/>
                    <w:tcBorders>
                      <w:top w:val="outset" w:sz="4" w:space="0" w:color="auto"/>
                      <w:left w:val="outset" w:sz="4" w:space="0" w:color="auto"/>
                      <w:bottom w:val="outset" w:sz="4" w:space="0" w:color="auto"/>
                      <w:right w:val="outset" w:sz="4" w:space="0" w:color="auto"/>
                    </w:tcBorders>
                    <w:vAlign w:val="center"/>
                  </w:tcPr>
                  <w:p w14:paraId="3861743F" w14:textId="77777777" w:rsidR="00830E72" w:rsidRDefault="008344D8">
                    <w:pPr>
                      <w:jc w:val="right"/>
                      <w:rPr>
                        <w:szCs w:val="21"/>
                      </w:rPr>
                    </w:pPr>
                    <w:r>
                      <w:rPr>
                        <w:szCs w:val="21"/>
                      </w:rPr>
                      <w:t>-7,826.25</w:t>
                    </w:r>
                  </w:p>
                </w:tc>
              </w:tr>
              <w:tr w:rsidR="00830E72" w14:paraId="073DFDA6" w14:textId="77777777">
                <w:sdt>
                  <w:sdtPr>
                    <w:tag w:val="_PLD_18d15c0eacb94678be3131e09c8d9904"/>
                    <w:id w:val="-1306001299"/>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04D2E255" w14:textId="77777777" w:rsidR="00830E72" w:rsidRDefault="008344D8">
                        <w:pPr>
                          <w:rPr>
                            <w:color w:val="000000"/>
                            <w:szCs w:val="21"/>
                          </w:rPr>
                        </w:pPr>
                        <w:r>
                          <w:rPr>
                            <w:rFonts w:hint="eastAsia"/>
                            <w:szCs w:val="21"/>
                          </w:rPr>
                          <w:t>三、营业利润（亏损以“－”号填列）</w:t>
                        </w:r>
                      </w:p>
                    </w:tc>
                  </w:sdtContent>
                </w:sdt>
                <w:tc>
                  <w:tcPr>
                    <w:tcW w:w="529" w:type="pct"/>
                    <w:tcBorders>
                      <w:top w:val="outset" w:sz="4" w:space="0" w:color="auto"/>
                      <w:left w:val="outset" w:sz="4" w:space="0" w:color="auto"/>
                      <w:bottom w:val="outset" w:sz="4" w:space="0" w:color="auto"/>
                      <w:right w:val="outset" w:sz="4" w:space="0" w:color="auto"/>
                    </w:tcBorders>
                  </w:tcPr>
                  <w:p w14:paraId="294186C3"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1DB9CF0" w14:textId="77777777" w:rsidR="00830E72" w:rsidRDefault="008344D8">
                    <w:pPr>
                      <w:jc w:val="right"/>
                      <w:rPr>
                        <w:szCs w:val="21"/>
                      </w:rPr>
                    </w:pPr>
                    <w:r>
                      <w:rPr>
                        <w:szCs w:val="21"/>
                      </w:rPr>
                      <w:t>71,799,092.36</w:t>
                    </w:r>
                  </w:p>
                </w:tc>
                <w:tc>
                  <w:tcPr>
                    <w:tcW w:w="1114" w:type="pct"/>
                    <w:tcBorders>
                      <w:top w:val="outset" w:sz="4" w:space="0" w:color="auto"/>
                      <w:left w:val="outset" w:sz="4" w:space="0" w:color="auto"/>
                      <w:bottom w:val="outset" w:sz="4" w:space="0" w:color="auto"/>
                      <w:right w:val="outset" w:sz="4" w:space="0" w:color="auto"/>
                    </w:tcBorders>
                    <w:vAlign w:val="center"/>
                  </w:tcPr>
                  <w:p w14:paraId="71208292" w14:textId="77777777" w:rsidR="00830E72" w:rsidRDefault="008344D8">
                    <w:pPr>
                      <w:jc w:val="right"/>
                      <w:rPr>
                        <w:szCs w:val="21"/>
                      </w:rPr>
                    </w:pPr>
                    <w:r>
                      <w:rPr>
                        <w:szCs w:val="21"/>
                      </w:rPr>
                      <w:t>51,024,429.91</w:t>
                    </w:r>
                  </w:p>
                </w:tc>
              </w:tr>
              <w:tr w:rsidR="00830E72" w14:paraId="16C44D25" w14:textId="77777777">
                <w:sdt>
                  <w:sdtPr>
                    <w:tag w:val="_PLD_e328c8d559944bfd89e7332623e0aea3"/>
                    <w:id w:val="-509594449"/>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70387E47" w14:textId="77777777" w:rsidR="00830E72" w:rsidRDefault="008344D8">
                        <w:pPr>
                          <w:ind w:firstLineChars="100" w:firstLine="210"/>
                          <w:rPr>
                            <w:szCs w:val="21"/>
                          </w:rPr>
                        </w:pPr>
                        <w:r>
                          <w:rPr>
                            <w:rFonts w:hint="eastAsia"/>
                            <w:szCs w:val="21"/>
                          </w:rPr>
                          <w:t>加：营业外收入</w:t>
                        </w:r>
                      </w:p>
                    </w:tc>
                  </w:sdtContent>
                </w:sdt>
                <w:tc>
                  <w:tcPr>
                    <w:tcW w:w="529" w:type="pct"/>
                    <w:tcBorders>
                      <w:top w:val="outset" w:sz="4" w:space="0" w:color="auto"/>
                      <w:left w:val="outset" w:sz="4" w:space="0" w:color="auto"/>
                      <w:bottom w:val="outset" w:sz="4" w:space="0" w:color="auto"/>
                      <w:right w:val="outset" w:sz="4" w:space="0" w:color="auto"/>
                    </w:tcBorders>
                  </w:tcPr>
                  <w:p w14:paraId="425153BE"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50673DE" w14:textId="77777777" w:rsidR="00830E72" w:rsidRDefault="008344D8">
                    <w:pPr>
                      <w:jc w:val="right"/>
                      <w:rPr>
                        <w:szCs w:val="21"/>
                      </w:rPr>
                    </w:pPr>
                    <w:r>
                      <w:rPr>
                        <w:szCs w:val="21"/>
                      </w:rPr>
                      <w:t>661,172.83</w:t>
                    </w:r>
                  </w:p>
                </w:tc>
                <w:tc>
                  <w:tcPr>
                    <w:tcW w:w="1114" w:type="pct"/>
                    <w:tcBorders>
                      <w:top w:val="outset" w:sz="4" w:space="0" w:color="auto"/>
                      <w:left w:val="outset" w:sz="4" w:space="0" w:color="auto"/>
                      <w:bottom w:val="outset" w:sz="4" w:space="0" w:color="auto"/>
                      <w:right w:val="outset" w:sz="4" w:space="0" w:color="auto"/>
                    </w:tcBorders>
                    <w:vAlign w:val="center"/>
                  </w:tcPr>
                  <w:p w14:paraId="2397EF4E" w14:textId="77777777" w:rsidR="00830E72" w:rsidRDefault="008344D8">
                    <w:pPr>
                      <w:jc w:val="right"/>
                      <w:rPr>
                        <w:szCs w:val="21"/>
                      </w:rPr>
                    </w:pPr>
                    <w:r>
                      <w:rPr>
                        <w:szCs w:val="21"/>
                      </w:rPr>
                      <w:t>3,363,682.06</w:t>
                    </w:r>
                  </w:p>
                </w:tc>
              </w:tr>
              <w:tr w:rsidR="00830E72" w14:paraId="61AD55AF" w14:textId="77777777">
                <w:sdt>
                  <w:sdtPr>
                    <w:tag w:val="_PLD_862b6a23799a4cfdb3792bfc43248bcd"/>
                    <w:id w:val="-1025402596"/>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03D034B3" w14:textId="77777777" w:rsidR="00830E72" w:rsidRDefault="008344D8">
                        <w:pPr>
                          <w:ind w:firstLineChars="100" w:firstLine="210"/>
                          <w:rPr>
                            <w:szCs w:val="21"/>
                          </w:rPr>
                        </w:pPr>
                        <w:r>
                          <w:rPr>
                            <w:rFonts w:hint="eastAsia"/>
                            <w:szCs w:val="21"/>
                          </w:rPr>
                          <w:t>减：营业外支出</w:t>
                        </w:r>
                      </w:p>
                    </w:tc>
                  </w:sdtContent>
                </w:sdt>
                <w:tc>
                  <w:tcPr>
                    <w:tcW w:w="529" w:type="pct"/>
                    <w:tcBorders>
                      <w:top w:val="outset" w:sz="4" w:space="0" w:color="auto"/>
                      <w:left w:val="outset" w:sz="4" w:space="0" w:color="auto"/>
                      <w:bottom w:val="outset" w:sz="4" w:space="0" w:color="auto"/>
                      <w:right w:val="outset" w:sz="4" w:space="0" w:color="auto"/>
                    </w:tcBorders>
                  </w:tcPr>
                  <w:p w14:paraId="6582699A"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71A2A16" w14:textId="77777777" w:rsidR="00830E72" w:rsidRDefault="008344D8">
                    <w:pPr>
                      <w:jc w:val="right"/>
                      <w:rPr>
                        <w:szCs w:val="21"/>
                      </w:rPr>
                    </w:pPr>
                    <w:r>
                      <w:rPr>
                        <w:szCs w:val="21"/>
                      </w:rPr>
                      <w:t>570,621.29</w:t>
                    </w:r>
                  </w:p>
                </w:tc>
                <w:tc>
                  <w:tcPr>
                    <w:tcW w:w="1114" w:type="pct"/>
                    <w:tcBorders>
                      <w:top w:val="outset" w:sz="4" w:space="0" w:color="auto"/>
                      <w:left w:val="outset" w:sz="4" w:space="0" w:color="auto"/>
                      <w:bottom w:val="outset" w:sz="4" w:space="0" w:color="auto"/>
                      <w:right w:val="outset" w:sz="4" w:space="0" w:color="auto"/>
                    </w:tcBorders>
                    <w:vAlign w:val="center"/>
                  </w:tcPr>
                  <w:p w14:paraId="21CD7279" w14:textId="77777777" w:rsidR="00830E72" w:rsidRDefault="008344D8">
                    <w:pPr>
                      <w:jc w:val="right"/>
                      <w:rPr>
                        <w:szCs w:val="21"/>
                      </w:rPr>
                    </w:pPr>
                    <w:r>
                      <w:rPr>
                        <w:szCs w:val="21"/>
                      </w:rPr>
                      <w:t>87,979.47</w:t>
                    </w:r>
                  </w:p>
                </w:tc>
              </w:tr>
              <w:tr w:rsidR="00830E72" w14:paraId="506AD1FB" w14:textId="77777777">
                <w:sdt>
                  <w:sdtPr>
                    <w:tag w:val="_PLD_91e0599aa02a45b39a5b0dfc801cbadf"/>
                    <w:id w:val="541169982"/>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51BD1096" w14:textId="77777777" w:rsidR="00830E72" w:rsidRDefault="008344D8">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529" w:type="pct"/>
                    <w:tcBorders>
                      <w:top w:val="outset" w:sz="4" w:space="0" w:color="auto"/>
                      <w:left w:val="outset" w:sz="4" w:space="0" w:color="auto"/>
                      <w:bottom w:val="outset" w:sz="4" w:space="0" w:color="auto"/>
                      <w:right w:val="outset" w:sz="4" w:space="0" w:color="auto"/>
                    </w:tcBorders>
                  </w:tcPr>
                  <w:p w14:paraId="5D32278D"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8243CFD" w14:textId="77777777" w:rsidR="00830E72" w:rsidRDefault="008344D8">
                    <w:pPr>
                      <w:jc w:val="right"/>
                      <w:rPr>
                        <w:szCs w:val="21"/>
                      </w:rPr>
                    </w:pPr>
                    <w:r>
                      <w:rPr>
                        <w:szCs w:val="21"/>
                      </w:rPr>
                      <w:t>71,889,643.90</w:t>
                    </w:r>
                  </w:p>
                </w:tc>
                <w:tc>
                  <w:tcPr>
                    <w:tcW w:w="1114" w:type="pct"/>
                    <w:tcBorders>
                      <w:top w:val="outset" w:sz="4" w:space="0" w:color="auto"/>
                      <w:left w:val="outset" w:sz="4" w:space="0" w:color="auto"/>
                      <w:bottom w:val="outset" w:sz="4" w:space="0" w:color="auto"/>
                      <w:right w:val="outset" w:sz="4" w:space="0" w:color="auto"/>
                    </w:tcBorders>
                    <w:vAlign w:val="center"/>
                  </w:tcPr>
                  <w:p w14:paraId="51449DE9" w14:textId="77777777" w:rsidR="00830E72" w:rsidRDefault="008344D8">
                    <w:pPr>
                      <w:jc w:val="right"/>
                      <w:rPr>
                        <w:szCs w:val="21"/>
                      </w:rPr>
                    </w:pPr>
                    <w:r>
                      <w:rPr>
                        <w:szCs w:val="21"/>
                      </w:rPr>
                      <w:t>54,300,132.50</w:t>
                    </w:r>
                  </w:p>
                </w:tc>
              </w:tr>
              <w:tr w:rsidR="00830E72" w14:paraId="5D62EF30" w14:textId="77777777">
                <w:sdt>
                  <w:sdtPr>
                    <w:tag w:val="_PLD_068015dc8ea145fca7f54b4569a31184"/>
                    <w:id w:val="804744310"/>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2D0657F6" w14:textId="77777777" w:rsidR="00830E72" w:rsidRDefault="008344D8">
                        <w:pPr>
                          <w:ind w:firstLineChars="100" w:firstLine="210"/>
                          <w:rPr>
                            <w:color w:val="000000"/>
                            <w:szCs w:val="21"/>
                          </w:rPr>
                        </w:pPr>
                        <w:r>
                          <w:rPr>
                            <w:rFonts w:hint="eastAsia"/>
                            <w:szCs w:val="21"/>
                          </w:rPr>
                          <w:t>减：所得税费用</w:t>
                        </w:r>
                      </w:p>
                    </w:tc>
                  </w:sdtContent>
                </w:sdt>
                <w:tc>
                  <w:tcPr>
                    <w:tcW w:w="529" w:type="pct"/>
                    <w:tcBorders>
                      <w:top w:val="outset" w:sz="4" w:space="0" w:color="auto"/>
                      <w:left w:val="outset" w:sz="4" w:space="0" w:color="auto"/>
                      <w:bottom w:val="outset" w:sz="4" w:space="0" w:color="auto"/>
                      <w:right w:val="outset" w:sz="4" w:space="0" w:color="auto"/>
                    </w:tcBorders>
                  </w:tcPr>
                  <w:p w14:paraId="676940AC"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BE2EB30" w14:textId="77777777" w:rsidR="00830E72" w:rsidRDefault="008344D8">
                    <w:pPr>
                      <w:jc w:val="right"/>
                      <w:rPr>
                        <w:szCs w:val="21"/>
                      </w:rPr>
                    </w:pPr>
                    <w:r>
                      <w:rPr>
                        <w:szCs w:val="21"/>
                      </w:rPr>
                      <w:t>20,662,849.29</w:t>
                    </w:r>
                  </w:p>
                </w:tc>
                <w:tc>
                  <w:tcPr>
                    <w:tcW w:w="1114" w:type="pct"/>
                    <w:tcBorders>
                      <w:top w:val="outset" w:sz="4" w:space="0" w:color="auto"/>
                      <w:left w:val="outset" w:sz="4" w:space="0" w:color="auto"/>
                      <w:bottom w:val="outset" w:sz="4" w:space="0" w:color="auto"/>
                      <w:right w:val="outset" w:sz="4" w:space="0" w:color="auto"/>
                    </w:tcBorders>
                    <w:vAlign w:val="center"/>
                  </w:tcPr>
                  <w:p w14:paraId="5B656F12" w14:textId="77777777" w:rsidR="00830E72" w:rsidRDefault="008344D8">
                    <w:pPr>
                      <w:jc w:val="right"/>
                      <w:rPr>
                        <w:szCs w:val="21"/>
                      </w:rPr>
                    </w:pPr>
                    <w:r>
                      <w:rPr>
                        <w:szCs w:val="21"/>
                      </w:rPr>
                      <w:t>14,614,159.72</w:t>
                    </w:r>
                  </w:p>
                </w:tc>
              </w:tr>
              <w:tr w:rsidR="00830E72" w14:paraId="0F272311" w14:textId="77777777">
                <w:sdt>
                  <w:sdtPr>
                    <w:tag w:val="_PLD_355129e4ca9b4d29bd85d210d08f622f"/>
                    <w:id w:val="2111079189"/>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377EE2A0" w14:textId="77777777" w:rsidR="00830E72" w:rsidRDefault="008344D8">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529" w:type="pct"/>
                    <w:tcBorders>
                      <w:top w:val="outset" w:sz="4" w:space="0" w:color="auto"/>
                      <w:left w:val="outset" w:sz="4" w:space="0" w:color="auto"/>
                      <w:bottom w:val="outset" w:sz="4" w:space="0" w:color="auto"/>
                      <w:right w:val="outset" w:sz="4" w:space="0" w:color="auto"/>
                    </w:tcBorders>
                  </w:tcPr>
                  <w:p w14:paraId="19C8D3F7"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8787B47" w14:textId="77777777" w:rsidR="00830E72" w:rsidRDefault="008344D8">
                    <w:pPr>
                      <w:jc w:val="right"/>
                      <w:rPr>
                        <w:szCs w:val="21"/>
                      </w:rPr>
                    </w:pPr>
                    <w:r>
                      <w:rPr>
                        <w:szCs w:val="21"/>
                      </w:rPr>
                      <w:t>51,226,794.61</w:t>
                    </w:r>
                  </w:p>
                </w:tc>
                <w:tc>
                  <w:tcPr>
                    <w:tcW w:w="1114" w:type="pct"/>
                    <w:tcBorders>
                      <w:top w:val="outset" w:sz="4" w:space="0" w:color="auto"/>
                      <w:left w:val="outset" w:sz="4" w:space="0" w:color="auto"/>
                      <w:bottom w:val="outset" w:sz="4" w:space="0" w:color="auto"/>
                      <w:right w:val="outset" w:sz="4" w:space="0" w:color="auto"/>
                    </w:tcBorders>
                    <w:vAlign w:val="center"/>
                  </w:tcPr>
                  <w:p w14:paraId="511E36BF" w14:textId="77777777" w:rsidR="00830E72" w:rsidRDefault="008344D8">
                    <w:pPr>
                      <w:jc w:val="right"/>
                      <w:rPr>
                        <w:szCs w:val="21"/>
                      </w:rPr>
                    </w:pPr>
                    <w:r>
                      <w:rPr>
                        <w:szCs w:val="21"/>
                      </w:rPr>
                      <w:t>39,685,972.78</w:t>
                    </w:r>
                  </w:p>
                </w:tc>
              </w:tr>
              <w:tr w:rsidR="00830E72" w14:paraId="1D66F624" w14:textId="77777777">
                <w:sdt>
                  <w:sdtPr>
                    <w:tag w:val="_PLD_c576a2f5fbec4ba2b1cc36d0a215ba5c"/>
                    <w:id w:val="168123721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B79094E" w14:textId="77777777" w:rsidR="00830E72" w:rsidRDefault="008344D8">
                        <w:pPr>
                          <w:rPr>
                            <w:szCs w:val="21"/>
                          </w:rPr>
                        </w:pPr>
                        <w:r>
                          <w:rPr>
                            <w:rFonts w:hint="eastAsia"/>
                            <w:szCs w:val="21"/>
                          </w:rPr>
                          <w:t>（一）</w:t>
                        </w:r>
                        <w:r>
                          <w:t>按经营持续性分类</w:t>
                        </w:r>
                      </w:p>
                    </w:tc>
                  </w:sdtContent>
                </w:sdt>
              </w:tr>
              <w:tr w:rsidR="00830E72" w14:paraId="699D8C61" w14:textId="77777777">
                <w:sdt>
                  <w:sdtPr>
                    <w:rPr>
                      <w:rFonts w:hint="eastAsia"/>
                    </w:rPr>
                    <w:tag w:val="_PLD_0cbbecfa36204e9cb4a8afb27df49afc"/>
                    <w:id w:val="1372883183"/>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11FD7FD9" w14:textId="77777777" w:rsidR="00830E72" w:rsidRDefault="008344D8">
                        <w:pPr>
                          <w:ind w:firstLineChars="200" w:firstLine="420"/>
                        </w:pPr>
                        <w:r>
                          <w:t>1.持续经营净利润（净亏损以“－”号填列）</w:t>
                        </w:r>
                      </w:p>
                    </w:tc>
                  </w:sdtContent>
                </w:sdt>
                <w:tc>
                  <w:tcPr>
                    <w:tcW w:w="529" w:type="pct"/>
                    <w:tcBorders>
                      <w:top w:val="outset" w:sz="4" w:space="0" w:color="auto"/>
                      <w:left w:val="outset" w:sz="4" w:space="0" w:color="auto"/>
                      <w:bottom w:val="outset" w:sz="4" w:space="0" w:color="auto"/>
                      <w:right w:val="outset" w:sz="4" w:space="0" w:color="auto"/>
                    </w:tcBorders>
                  </w:tcPr>
                  <w:p w14:paraId="451E6739"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A6AC2CF" w14:textId="77777777" w:rsidR="00830E72" w:rsidRDefault="008344D8">
                    <w:pPr>
                      <w:jc w:val="right"/>
                      <w:rPr>
                        <w:szCs w:val="21"/>
                      </w:rPr>
                    </w:pPr>
                    <w:r>
                      <w:rPr>
                        <w:szCs w:val="21"/>
                      </w:rPr>
                      <w:t>51,226,794.61</w:t>
                    </w:r>
                  </w:p>
                </w:tc>
                <w:tc>
                  <w:tcPr>
                    <w:tcW w:w="1114" w:type="pct"/>
                    <w:tcBorders>
                      <w:top w:val="outset" w:sz="4" w:space="0" w:color="auto"/>
                      <w:left w:val="outset" w:sz="4" w:space="0" w:color="auto"/>
                      <w:bottom w:val="outset" w:sz="4" w:space="0" w:color="auto"/>
                      <w:right w:val="outset" w:sz="4" w:space="0" w:color="auto"/>
                    </w:tcBorders>
                    <w:vAlign w:val="center"/>
                  </w:tcPr>
                  <w:p w14:paraId="2CC05585" w14:textId="77777777" w:rsidR="00830E72" w:rsidRDefault="008344D8">
                    <w:pPr>
                      <w:jc w:val="right"/>
                      <w:rPr>
                        <w:szCs w:val="21"/>
                      </w:rPr>
                    </w:pPr>
                    <w:r>
                      <w:rPr>
                        <w:szCs w:val="21"/>
                      </w:rPr>
                      <w:t>39,685,972.78</w:t>
                    </w:r>
                  </w:p>
                </w:tc>
              </w:tr>
              <w:tr w:rsidR="00830E72" w14:paraId="74569309" w14:textId="77777777">
                <w:sdt>
                  <w:sdtPr>
                    <w:rPr>
                      <w:rFonts w:hint="eastAsia"/>
                    </w:rPr>
                    <w:tag w:val="_PLD_52694b4d274c4f909bf793dd26abeda4"/>
                    <w:id w:val="811443638"/>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5C1F66DD" w14:textId="77777777" w:rsidR="00830E72" w:rsidRDefault="008344D8">
                        <w:pPr>
                          <w:ind w:firstLineChars="200" w:firstLine="420"/>
                        </w:pPr>
                        <w:r>
                          <w:t>2.终止经营净利润（净亏损以“－”号填列）</w:t>
                        </w:r>
                      </w:p>
                    </w:tc>
                  </w:sdtContent>
                </w:sdt>
                <w:tc>
                  <w:tcPr>
                    <w:tcW w:w="529" w:type="pct"/>
                    <w:tcBorders>
                      <w:top w:val="outset" w:sz="4" w:space="0" w:color="auto"/>
                      <w:left w:val="outset" w:sz="4" w:space="0" w:color="auto"/>
                      <w:bottom w:val="outset" w:sz="4" w:space="0" w:color="auto"/>
                      <w:right w:val="outset" w:sz="4" w:space="0" w:color="auto"/>
                    </w:tcBorders>
                  </w:tcPr>
                  <w:p w14:paraId="3BBA0F44"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BE87B84"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50D772A9" w14:textId="77777777" w:rsidR="00830E72" w:rsidRDefault="00830E72">
                    <w:pPr>
                      <w:jc w:val="right"/>
                      <w:rPr>
                        <w:szCs w:val="21"/>
                      </w:rPr>
                    </w:pPr>
                  </w:p>
                </w:tc>
              </w:tr>
              <w:tr w:rsidR="00830E72" w14:paraId="7DD56D41" w14:textId="77777777">
                <w:sdt>
                  <w:sdtPr>
                    <w:tag w:val="_PLD_5da729560f54464cbcc9ce762078f9ba"/>
                    <w:id w:val="81197982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853B1B6" w14:textId="77777777" w:rsidR="00830E72" w:rsidRDefault="008344D8">
                        <w:pPr>
                          <w:rPr>
                            <w:szCs w:val="21"/>
                          </w:rPr>
                        </w:pPr>
                        <w:r>
                          <w:rPr>
                            <w:rFonts w:hint="eastAsia"/>
                            <w:szCs w:val="21"/>
                          </w:rPr>
                          <w:t>（二）</w:t>
                        </w:r>
                        <w:r>
                          <w:t>按所有权归属分类</w:t>
                        </w:r>
                      </w:p>
                    </w:tc>
                  </w:sdtContent>
                </w:sdt>
              </w:tr>
              <w:tr w:rsidR="00830E72" w14:paraId="71F3E134" w14:textId="77777777">
                <w:sdt>
                  <w:sdtPr>
                    <w:tag w:val="_PLD_d4f7c178814a4729a89415435ac2aac1"/>
                    <w:id w:val="1510103089"/>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7FCD4428" w14:textId="77777777" w:rsidR="00830E72" w:rsidRDefault="008344D8">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529" w:type="pct"/>
                    <w:tcBorders>
                      <w:top w:val="outset" w:sz="4" w:space="0" w:color="auto"/>
                      <w:left w:val="outset" w:sz="4" w:space="0" w:color="auto"/>
                      <w:bottom w:val="outset" w:sz="4" w:space="0" w:color="auto"/>
                      <w:right w:val="outset" w:sz="4" w:space="0" w:color="auto"/>
                    </w:tcBorders>
                  </w:tcPr>
                  <w:p w14:paraId="00BCA1F4"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F9DC503" w14:textId="77777777" w:rsidR="00830E72" w:rsidRDefault="008344D8">
                    <w:pPr>
                      <w:jc w:val="right"/>
                      <w:rPr>
                        <w:szCs w:val="21"/>
                      </w:rPr>
                    </w:pPr>
                    <w:r>
                      <w:rPr>
                        <w:szCs w:val="21"/>
                      </w:rPr>
                      <w:t>49,245,587.01</w:t>
                    </w:r>
                  </w:p>
                </w:tc>
                <w:tc>
                  <w:tcPr>
                    <w:tcW w:w="1114" w:type="pct"/>
                    <w:tcBorders>
                      <w:top w:val="outset" w:sz="4" w:space="0" w:color="auto"/>
                      <w:left w:val="outset" w:sz="4" w:space="0" w:color="auto"/>
                      <w:bottom w:val="outset" w:sz="4" w:space="0" w:color="auto"/>
                      <w:right w:val="outset" w:sz="4" w:space="0" w:color="auto"/>
                    </w:tcBorders>
                    <w:vAlign w:val="center"/>
                  </w:tcPr>
                  <w:p w14:paraId="429BE6D9" w14:textId="77777777" w:rsidR="00830E72" w:rsidRDefault="008344D8">
                    <w:pPr>
                      <w:jc w:val="right"/>
                      <w:rPr>
                        <w:szCs w:val="21"/>
                      </w:rPr>
                    </w:pPr>
                    <w:r>
                      <w:rPr>
                        <w:szCs w:val="21"/>
                      </w:rPr>
                      <w:t>38,945,558.59</w:t>
                    </w:r>
                  </w:p>
                </w:tc>
              </w:tr>
              <w:tr w:rsidR="00830E72" w14:paraId="4512B3C2" w14:textId="77777777">
                <w:sdt>
                  <w:sdtPr>
                    <w:tag w:val="_PLD_095b31d3979943dc85b47d9a42d89a91"/>
                    <w:id w:val="-732313340"/>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341387F2" w14:textId="77777777" w:rsidR="00830E72" w:rsidRDefault="008344D8">
                        <w:pPr>
                          <w:ind w:firstLineChars="200" w:firstLine="420"/>
                          <w:rPr>
                            <w:szCs w:val="21"/>
                          </w:rPr>
                        </w:pPr>
                        <w:r>
                          <w:t>2.</w:t>
                        </w:r>
                        <w:r>
                          <w:rPr>
                            <w:rFonts w:hint="eastAsia"/>
                            <w:szCs w:val="21"/>
                          </w:rPr>
                          <w:t>少数股东损益（净亏损以“</w:t>
                        </w:r>
                        <w:r>
                          <w:rPr>
                            <w:szCs w:val="21"/>
                          </w:rPr>
                          <w:t>-”号填列）</w:t>
                        </w:r>
                      </w:p>
                    </w:tc>
                  </w:sdtContent>
                </w:sdt>
                <w:tc>
                  <w:tcPr>
                    <w:tcW w:w="529" w:type="pct"/>
                    <w:tcBorders>
                      <w:top w:val="outset" w:sz="4" w:space="0" w:color="auto"/>
                      <w:left w:val="outset" w:sz="4" w:space="0" w:color="auto"/>
                      <w:bottom w:val="outset" w:sz="4" w:space="0" w:color="auto"/>
                      <w:right w:val="outset" w:sz="4" w:space="0" w:color="auto"/>
                    </w:tcBorders>
                  </w:tcPr>
                  <w:p w14:paraId="6C5312B9"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A022BCE" w14:textId="77777777" w:rsidR="00830E72" w:rsidRDefault="008344D8">
                    <w:pPr>
                      <w:jc w:val="right"/>
                      <w:rPr>
                        <w:szCs w:val="21"/>
                      </w:rPr>
                    </w:pPr>
                    <w:r>
                      <w:rPr>
                        <w:szCs w:val="21"/>
                      </w:rPr>
                      <w:t>1,981,207.60</w:t>
                    </w:r>
                  </w:p>
                </w:tc>
                <w:tc>
                  <w:tcPr>
                    <w:tcW w:w="1114" w:type="pct"/>
                    <w:tcBorders>
                      <w:top w:val="outset" w:sz="4" w:space="0" w:color="auto"/>
                      <w:left w:val="outset" w:sz="4" w:space="0" w:color="auto"/>
                      <w:bottom w:val="outset" w:sz="4" w:space="0" w:color="auto"/>
                      <w:right w:val="outset" w:sz="4" w:space="0" w:color="auto"/>
                    </w:tcBorders>
                    <w:vAlign w:val="center"/>
                  </w:tcPr>
                  <w:p w14:paraId="50576D8E" w14:textId="77777777" w:rsidR="00830E72" w:rsidRDefault="008344D8">
                    <w:pPr>
                      <w:jc w:val="right"/>
                      <w:rPr>
                        <w:szCs w:val="21"/>
                      </w:rPr>
                    </w:pPr>
                    <w:r>
                      <w:rPr>
                        <w:szCs w:val="21"/>
                      </w:rPr>
                      <w:t>740,414.19</w:t>
                    </w:r>
                  </w:p>
                </w:tc>
              </w:tr>
              <w:tr w:rsidR="00830E72" w14:paraId="48235564" w14:textId="77777777">
                <w:sdt>
                  <w:sdtPr>
                    <w:tag w:val="_PLD_6a43e7f14d234c52a7ab5dff443252a7"/>
                    <w:id w:val="1433008479"/>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7986E4C7" w14:textId="77777777" w:rsidR="00830E72" w:rsidRDefault="008344D8">
                        <w:pPr>
                          <w:rPr>
                            <w:szCs w:val="21"/>
                          </w:rPr>
                        </w:pPr>
                        <w:r>
                          <w:rPr>
                            <w:rFonts w:hint="eastAsia"/>
                            <w:szCs w:val="21"/>
                          </w:rPr>
                          <w:t>六、其他综合收益的税后净额</w:t>
                        </w:r>
                      </w:p>
                    </w:tc>
                  </w:sdtContent>
                </w:sdt>
                <w:tc>
                  <w:tcPr>
                    <w:tcW w:w="529" w:type="pct"/>
                    <w:tcBorders>
                      <w:top w:val="outset" w:sz="4" w:space="0" w:color="auto"/>
                      <w:left w:val="outset" w:sz="4" w:space="0" w:color="auto"/>
                      <w:bottom w:val="outset" w:sz="4" w:space="0" w:color="auto"/>
                      <w:right w:val="outset" w:sz="4" w:space="0" w:color="auto"/>
                    </w:tcBorders>
                  </w:tcPr>
                  <w:p w14:paraId="47039530"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F7F25AE"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BD57CD8" w14:textId="77777777" w:rsidR="00830E72" w:rsidRDefault="00830E72">
                    <w:pPr>
                      <w:jc w:val="right"/>
                      <w:rPr>
                        <w:szCs w:val="21"/>
                      </w:rPr>
                    </w:pPr>
                  </w:p>
                </w:tc>
              </w:tr>
              <w:tr w:rsidR="00830E72" w14:paraId="0A92A42F" w14:textId="77777777">
                <w:sdt>
                  <w:sdtPr>
                    <w:tag w:val="_PLD_402e48f41e92468e9ccfc9f5b154d698"/>
                    <w:id w:val="968859211"/>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0E8FBEF7" w14:textId="77777777" w:rsidR="00830E72" w:rsidRDefault="008344D8">
                        <w:pPr>
                          <w:ind w:firstLineChars="100" w:firstLine="210"/>
                          <w:rPr>
                            <w:szCs w:val="21"/>
                          </w:rPr>
                        </w:pPr>
                        <w:r>
                          <w:rPr>
                            <w:rFonts w:hint="eastAsia"/>
                            <w:szCs w:val="21"/>
                          </w:rPr>
                          <w:t>（一）归属母公司所有者的其他综合收</w:t>
                        </w:r>
                        <w:r>
                          <w:rPr>
                            <w:rFonts w:hint="eastAsia"/>
                            <w:szCs w:val="21"/>
                          </w:rPr>
                          <w:lastRenderedPageBreak/>
                          <w:t>益的税后净额</w:t>
                        </w:r>
                      </w:p>
                    </w:tc>
                  </w:sdtContent>
                </w:sdt>
                <w:tc>
                  <w:tcPr>
                    <w:tcW w:w="529" w:type="pct"/>
                    <w:tcBorders>
                      <w:top w:val="outset" w:sz="4" w:space="0" w:color="auto"/>
                      <w:left w:val="outset" w:sz="4" w:space="0" w:color="auto"/>
                      <w:bottom w:val="outset" w:sz="4" w:space="0" w:color="auto"/>
                      <w:right w:val="outset" w:sz="4" w:space="0" w:color="auto"/>
                    </w:tcBorders>
                  </w:tcPr>
                  <w:p w14:paraId="3B9DB0D8"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B962144"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3986FC87" w14:textId="77777777" w:rsidR="00830E72" w:rsidRDefault="00830E72">
                    <w:pPr>
                      <w:jc w:val="right"/>
                      <w:rPr>
                        <w:szCs w:val="21"/>
                      </w:rPr>
                    </w:pPr>
                  </w:p>
                </w:tc>
              </w:tr>
              <w:tr w:rsidR="00830E72" w14:paraId="02705E1E" w14:textId="77777777">
                <w:sdt>
                  <w:sdtPr>
                    <w:tag w:val="_PLD_b367f8195cde49b4861d967effb0f541"/>
                    <w:id w:val="1658952277"/>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36B14A15" w14:textId="77777777" w:rsidR="00830E72" w:rsidRDefault="008344D8">
                        <w:pPr>
                          <w:ind w:firstLineChars="200" w:firstLine="420"/>
                          <w:rPr>
                            <w:szCs w:val="21"/>
                          </w:rPr>
                        </w:pPr>
                        <w:r>
                          <w:rPr>
                            <w:szCs w:val="21"/>
                          </w:rPr>
                          <w:t>1.</w:t>
                        </w:r>
                        <w:r>
                          <w:rPr>
                            <w:rFonts w:hint="eastAsia"/>
                            <w:szCs w:val="21"/>
                          </w:rPr>
                          <w:t>不能重分类进损益的其他综合收益</w:t>
                        </w:r>
                      </w:p>
                    </w:tc>
                  </w:sdtContent>
                </w:sdt>
                <w:tc>
                  <w:tcPr>
                    <w:tcW w:w="529" w:type="pct"/>
                    <w:tcBorders>
                      <w:top w:val="outset" w:sz="4" w:space="0" w:color="auto"/>
                      <w:left w:val="outset" w:sz="4" w:space="0" w:color="auto"/>
                      <w:bottom w:val="outset" w:sz="4" w:space="0" w:color="auto"/>
                      <w:right w:val="outset" w:sz="4" w:space="0" w:color="auto"/>
                    </w:tcBorders>
                  </w:tcPr>
                  <w:p w14:paraId="4A73EB82"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C1EB8EF"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1A99972" w14:textId="77777777" w:rsidR="00830E72" w:rsidRDefault="00830E72">
                    <w:pPr>
                      <w:jc w:val="right"/>
                      <w:rPr>
                        <w:szCs w:val="21"/>
                      </w:rPr>
                    </w:pPr>
                  </w:p>
                </w:tc>
              </w:tr>
              <w:tr w:rsidR="00830E72" w14:paraId="70F221B2" w14:textId="77777777">
                <w:sdt>
                  <w:sdtPr>
                    <w:tag w:val="_PLD_c1d0eb5a70bd4147bff8f5ac51104882"/>
                    <w:id w:val="734357221"/>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2BD7651D" w14:textId="77777777" w:rsidR="00830E72" w:rsidRDefault="008344D8">
                        <w:pPr>
                          <w:rPr>
                            <w:szCs w:val="21"/>
                          </w:rPr>
                        </w:pPr>
                        <w:r>
                          <w:rPr>
                            <w:rFonts w:hint="eastAsia"/>
                          </w:rPr>
                          <w:t>（1）</w:t>
                        </w:r>
                        <w:r>
                          <w:rPr>
                            <w:szCs w:val="21"/>
                          </w:rPr>
                          <w:t>重新计量设定受益计划变动额</w:t>
                        </w:r>
                      </w:p>
                    </w:tc>
                  </w:sdtContent>
                </w:sdt>
                <w:tc>
                  <w:tcPr>
                    <w:tcW w:w="529" w:type="pct"/>
                    <w:tcBorders>
                      <w:top w:val="outset" w:sz="4" w:space="0" w:color="auto"/>
                      <w:left w:val="outset" w:sz="4" w:space="0" w:color="auto"/>
                      <w:bottom w:val="outset" w:sz="4" w:space="0" w:color="auto"/>
                      <w:right w:val="outset" w:sz="4" w:space="0" w:color="auto"/>
                    </w:tcBorders>
                  </w:tcPr>
                  <w:p w14:paraId="014ED691"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88A38AA"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9ACB03E" w14:textId="77777777" w:rsidR="00830E72" w:rsidRDefault="00830E72">
                    <w:pPr>
                      <w:jc w:val="right"/>
                      <w:rPr>
                        <w:szCs w:val="21"/>
                      </w:rPr>
                    </w:pPr>
                  </w:p>
                </w:tc>
              </w:tr>
              <w:tr w:rsidR="00830E72" w14:paraId="09AAC806" w14:textId="77777777">
                <w:sdt>
                  <w:sdtPr>
                    <w:tag w:val="_PLD_da98b29079a040128e53e7426fc30a60"/>
                    <w:id w:val="-1817100974"/>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1403AE84" w14:textId="77777777" w:rsidR="00830E72" w:rsidRDefault="008344D8">
                        <w:pPr>
                          <w:rPr>
                            <w:szCs w:val="21"/>
                          </w:rPr>
                        </w:pPr>
                        <w:r>
                          <w:rPr>
                            <w:rFonts w:hint="eastAsia"/>
                          </w:rPr>
                          <w:t>（</w:t>
                        </w:r>
                        <w:r>
                          <w:t>2</w:t>
                        </w:r>
                        <w:r>
                          <w:rPr>
                            <w:rFonts w:hint="eastAsia"/>
                          </w:rPr>
                          <w:t>）</w:t>
                        </w:r>
                        <w:r>
                          <w:t>权益法下不能转损益的其他综合收益</w:t>
                        </w:r>
                      </w:p>
                    </w:tc>
                  </w:sdtContent>
                </w:sdt>
                <w:tc>
                  <w:tcPr>
                    <w:tcW w:w="529" w:type="pct"/>
                    <w:tcBorders>
                      <w:top w:val="outset" w:sz="4" w:space="0" w:color="auto"/>
                      <w:left w:val="outset" w:sz="4" w:space="0" w:color="auto"/>
                      <w:bottom w:val="outset" w:sz="4" w:space="0" w:color="auto"/>
                      <w:right w:val="outset" w:sz="4" w:space="0" w:color="auto"/>
                    </w:tcBorders>
                  </w:tcPr>
                  <w:p w14:paraId="6C4AB360"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08D05746"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BB0D366" w14:textId="77777777" w:rsidR="00830E72" w:rsidRDefault="00830E72">
                    <w:pPr>
                      <w:jc w:val="right"/>
                      <w:rPr>
                        <w:szCs w:val="21"/>
                      </w:rPr>
                    </w:pPr>
                  </w:p>
                </w:tc>
              </w:tr>
              <w:tr w:rsidR="00830E72" w14:paraId="0966815A" w14:textId="77777777">
                <w:tc>
                  <w:tcPr>
                    <w:tcW w:w="2246" w:type="pct"/>
                    <w:tcBorders>
                      <w:top w:val="outset" w:sz="4" w:space="0" w:color="auto"/>
                      <w:left w:val="outset" w:sz="4" w:space="0" w:color="auto"/>
                      <w:bottom w:val="outset" w:sz="4" w:space="0" w:color="auto"/>
                      <w:right w:val="outset" w:sz="4" w:space="0" w:color="auto"/>
                    </w:tcBorders>
                    <w:vAlign w:val="center"/>
                  </w:tcPr>
                  <w:sdt>
                    <w:sdtPr>
                      <w:tag w:val="_PLD_9346e4819ec34beabe92d365c497e001"/>
                      <w:id w:val="-1519539020"/>
                      <w:lock w:val="sdtLocked"/>
                    </w:sdtPr>
                    <w:sdtEndPr/>
                    <w:sdtContent>
                      <w:p w14:paraId="77C84B18" w14:textId="77777777" w:rsidR="00830E72" w:rsidRDefault="008344D8">
                        <w:r>
                          <w:rPr>
                            <w:rFonts w:hint="eastAsia"/>
                          </w:rPr>
                          <w:t>（3）</w:t>
                        </w:r>
                        <w:r>
                          <w:t>其他权益工具投资公允价值变动</w:t>
                        </w:r>
                      </w:p>
                    </w:sdtContent>
                  </w:sdt>
                </w:tc>
                <w:tc>
                  <w:tcPr>
                    <w:tcW w:w="529" w:type="pct"/>
                    <w:tcBorders>
                      <w:top w:val="outset" w:sz="4" w:space="0" w:color="auto"/>
                      <w:left w:val="outset" w:sz="4" w:space="0" w:color="auto"/>
                      <w:bottom w:val="outset" w:sz="4" w:space="0" w:color="auto"/>
                      <w:right w:val="outset" w:sz="4" w:space="0" w:color="auto"/>
                    </w:tcBorders>
                  </w:tcPr>
                  <w:p w14:paraId="59F5CB68"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45894001"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D693D6E" w14:textId="77777777" w:rsidR="00830E72" w:rsidRDefault="00830E72">
                    <w:pPr>
                      <w:jc w:val="right"/>
                      <w:rPr>
                        <w:szCs w:val="21"/>
                      </w:rPr>
                    </w:pPr>
                  </w:p>
                </w:tc>
              </w:tr>
              <w:tr w:rsidR="00830E72" w14:paraId="3048C79C" w14:textId="77777777">
                <w:tc>
                  <w:tcPr>
                    <w:tcW w:w="2246" w:type="pct"/>
                    <w:tcBorders>
                      <w:top w:val="outset" w:sz="4" w:space="0" w:color="auto"/>
                      <w:left w:val="outset" w:sz="4" w:space="0" w:color="auto"/>
                      <w:bottom w:val="outset" w:sz="4" w:space="0" w:color="auto"/>
                      <w:right w:val="outset" w:sz="4" w:space="0" w:color="auto"/>
                    </w:tcBorders>
                    <w:vAlign w:val="center"/>
                  </w:tcPr>
                  <w:sdt>
                    <w:sdtPr>
                      <w:tag w:val="_PLD_70f86b80dfa1468c8c481e18f675ad6a"/>
                      <w:id w:val="723341784"/>
                      <w:lock w:val="sdtLocked"/>
                    </w:sdtPr>
                    <w:sdtEndPr/>
                    <w:sdtContent>
                      <w:p w14:paraId="3C7D0BBF" w14:textId="77777777" w:rsidR="00830E72" w:rsidRDefault="008344D8">
                        <w:r>
                          <w:rPr>
                            <w:rFonts w:hint="eastAsia"/>
                          </w:rPr>
                          <w:t>（4）</w:t>
                        </w:r>
                        <w:r>
                          <w:t>企业自身信用风险公允价值变动</w:t>
                        </w:r>
                      </w:p>
                    </w:sdtContent>
                  </w:sdt>
                </w:tc>
                <w:tc>
                  <w:tcPr>
                    <w:tcW w:w="529" w:type="pct"/>
                    <w:tcBorders>
                      <w:top w:val="outset" w:sz="4" w:space="0" w:color="auto"/>
                      <w:left w:val="outset" w:sz="4" w:space="0" w:color="auto"/>
                      <w:bottom w:val="outset" w:sz="4" w:space="0" w:color="auto"/>
                      <w:right w:val="outset" w:sz="4" w:space="0" w:color="auto"/>
                    </w:tcBorders>
                  </w:tcPr>
                  <w:p w14:paraId="2438851E"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27578480"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382E99B" w14:textId="77777777" w:rsidR="00830E72" w:rsidRDefault="00830E72">
                    <w:pPr>
                      <w:jc w:val="right"/>
                      <w:rPr>
                        <w:szCs w:val="21"/>
                      </w:rPr>
                    </w:pPr>
                  </w:p>
                </w:tc>
              </w:tr>
              <w:tr w:rsidR="00830E72" w14:paraId="682369DA" w14:textId="77777777">
                <w:sdt>
                  <w:sdtPr>
                    <w:tag w:val="_PLD_1d4c3625b1a9453f98b920131a00b22a"/>
                    <w:id w:val="232126529"/>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731E7F84" w14:textId="77777777" w:rsidR="00830E72" w:rsidRDefault="008344D8">
                        <w:pPr>
                          <w:ind w:firstLineChars="200" w:firstLine="420"/>
                          <w:rPr>
                            <w:szCs w:val="21"/>
                          </w:rPr>
                        </w:pPr>
                        <w:r>
                          <w:t>2</w:t>
                        </w:r>
                        <w:r>
                          <w:rPr>
                            <w:szCs w:val="21"/>
                          </w:rPr>
                          <w:t>.</w:t>
                        </w:r>
                        <w:r>
                          <w:rPr>
                            <w:rFonts w:hint="eastAsia"/>
                            <w:szCs w:val="21"/>
                          </w:rPr>
                          <w:t>将重分类进损益的其他综合收益</w:t>
                        </w:r>
                      </w:p>
                    </w:tc>
                  </w:sdtContent>
                </w:sdt>
                <w:tc>
                  <w:tcPr>
                    <w:tcW w:w="529" w:type="pct"/>
                    <w:tcBorders>
                      <w:top w:val="outset" w:sz="4" w:space="0" w:color="auto"/>
                      <w:left w:val="outset" w:sz="4" w:space="0" w:color="auto"/>
                      <w:bottom w:val="outset" w:sz="4" w:space="0" w:color="auto"/>
                      <w:right w:val="outset" w:sz="4" w:space="0" w:color="auto"/>
                    </w:tcBorders>
                  </w:tcPr>
                  <w:p w14:paraId="740ECE9B"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771900A0"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539DEC2" w14:textId="77777777" w:rsidR="00830E72" w:rsidRDefault="00830E72">
                    <w:pPr>
                      <w:jc w:val="right"/>
                      <w:rPr>
                        <w:szCs w:val="21"/>
                      </w:rPr>
                    </w:pPr>
                  </w:p>
                </w:tc>
              </w:tr>
              <w:tr w:rsidR="00830E72" w14:paraId="3216C484" w14:textId="77777777">
                <w:sdt>
                  <w:sdtPr>
                    <w:tag w:val="_PLD_e78255a0eaf548199db0c5a635c041ec"/>
                    <w:id w:val="-1995013928"/>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31A0C4EF" w14:textId="77777777" w:rsidR="00830E72" w:rsidRDefault="008344D8">
                        <w:pPr>
                          <w:rPr>
                            <w:szCs w:val="21"/>
                          </w:rPr>
                        </w:pPr>
                        <w:r>
                          <w:rPr>
                            <w:rFonts w:hint="eastAsia"/>
                          </w:rPr>
                          <w:t>（1）</w:t>
                        </w:r>
                        <w:r>
                          <w:t>权益法下可转损益的其他综合收益</w:t>
                        </w:r>
                      </w:p>
                    </w:tc>
                  </w:sdtContent>
                </w:sdt>
                <w:tc>
                  <w:tcPr>
                    <w:tcW w:w="529" w:type="pct"/>
                    <w:tcBorders>
                      <w:top w:val="outset" w:sz="4" w:space="0" w:color="auto"/>
                      <w:left w:val="outset" w:sz="4" w:space="0" w:color="auto"/>
                      <w:bottom w:val="outset" w:sz="4" w:space="0" w:color="auto"/>
                      <w:right w:val="outset" w:sz="4" w:space="0" w:color="auto"/>
                    </w:tcBorders>
                  </w:tcPr>
                  <w:p w14:paraId="7FAFDE83"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18F831B1"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4970E93" w14:textId="77777777" w:rsidR="00830E72" w:rsidRDefault="00830E72">
                    <w:pPr>
                      <w:jc w:val="right"/>
                      <w:rPr>
                        <w:szCs w:val="21"/>
                      </w:rPr>
                    </w:pPr>
                  </w:p>
                </w:tc>
              </w:tr>
              <w:tr w:rsidR="00830E72" w14:paraId="6DE571BD" w14:textId="77777777">
                <w:tc>
                  <w:tcPr>
                    <w:tcW w:w="2246" w:type="pct"/>
                    <w:tcBorders>
                      <w:top w:val="outset" w:sz="4" w:space="0" w:color="auto"/>
                      <w:left w:val="outset" w:sz="4" w:space="0" w:color="auto"/>
                      <w:bottom w:val="outset" w:sz="4" w:space="0" w:color="auto"/>
                      <w:right w:val="outset" w:sz="4" w:space="0" w:color="auto"/>
                    </w:tcBorders>
                    <w:vAlign w:val="center"/>
                  </w:tcPr>
                  <w:sdt>
                    <w:sdtPr>
                      <w:tag w:val="_PLD_a608a9b526b94d059af9488704db19ed"/>
                      <w:id w:val="423627087"/>
                      <w:lock w:val="sdtLocked"/>
                    </w:sdtPr>
                    <w:sdtEndPr/>
                    <w:sdtContent>
                      <w:p w14:paraId="2E7DCEC0" w14:textId="77777777" w:rsidR="00830E72" w:rsidRDefault="008344D8">
                        <w:r>
                          <w:rPr>
                            <w:rFonts w:hint="eastAsia"/>
                          </w:rPr>
                          <w:t>（</w:t>
                        </w:r>
                        <w:r>
                          <w:t>2</w:t>
                        </w:r>
                        <w:r>
                          <w:rPr>
                            <w:rFonts w:hint="eastAsia"/>
                          </w:rPr>
                          <w:t>）</w:t>
                        </w:r>
                        <w:r>
                          <w:t>其他债权投资公允价值变动</w:t>
                        </w:r>
                      </w:p>
                    </w:sdtContent>
                  </w:sdt>
                </w:tc>
                <w:tc>
                  <w:tcPr>
                    <w:tcW w:w="529" w:type="pct"/>
                    <w:tcBorders>
                      <w:top w:val="outset" w:sz="4" w:space="0" w:color="auto"/>
                      <w:left w:val="outset" w:sz="4" w:space="0" w:color="auto"/>
                      <w:bottom w:val="outset" w:sz="4" w:space="0" w:color="auto"/>
                      <w:right w:val="outset" w:sz="4" w:space="0" w:color="auto"/>
                    </w:tcBorders>
                  </w:tcPr>
                  <w:p w14:paraId="2B716A93"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3912668A"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1F48D82" w14:textId="77777777" w:rsidR="00830E72" w:rsidRDefault="00830E72">
                    <w:pPr>
                      <w:jc w:val="right"/>
                      <w:rPr>
                        <w:szCs w:val="21"/>
                      </w:rPr>
                    </w:pPr>
                  </w:p>
                </w:tc>
              </w:tr>
              <w:tr w:rsidR="00830E72" w14:paraId="28C42C1C" w14:textId="77777777">
                <w:tc>
                  <w:tcPr>
                    <w:tcW w:w="224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a9ae8ab6d184d70b8bcabf893d29ffc"/>
                      <w:id w:val="349993719"/>
                      <w:lock w:val="sdtLocked"/>
                    </w:sdtPr>
                    <w:sdtEndPr>
                      <w:rPr>
                        <w:rFonts w:hint="default"/>
                      </w:rPr>
                    </w:sdtEndPr>
                    <w:sdtContent>
                      <w:p w14:paraId="164964BC" w14:textId="77777777" w:rsidR="00830E72" w:rsidRDefault="008344D8">
                        <w:r>
                          <w:rPr>
                            <w:rFonts w:hint="eastAsia"/>
                          </w:rPr>
                          <w:t>（3）</w:t>
                        </w:r>
                        <w:r>
                          <w:t>金融资产重分类计入其他综合收益的金额</w:t>
                        </w:r>
                      </w:p>
                    </w:sdtContent>
                  </w:sdt>
                </w:tc>
                <w:tc>
                  <w:tcPr>
                    <w:tcW w:w="529" w:type="pct"/>
                    <w:tcBorders>
                      <w:top w:val="outset" w:sz="4" w:space="0" w:color="auto"/>
                      <w:left w:val="outset" w:sz="4" w:space="0" w:color="auto"/>
                      <w:bottom w:val="outset" w:sz="4" w:space="0" w:color="auto"/>
                      <w:right w:val="outset" w:sz="4" w:space="0" w:color="auto"/>
                    </w:tcBorders>
                  </w:tcPr>
                  <w:p w14:paraId="18AA4A8E"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57FADD49"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4E082019" w14:textId="77777777" w:rsidR="00830E72" w:rsidRDefault="00830E72">
                    <w:pPr>
                      <w:jc w:val="right"/>
                      <w:rPr>
                        <w:szCs w:val="21"/>
                      </w:rPr>
                    </w:pPr>
                  </w:p>
                </w:tc>
              </w:tr>
              <w:tr w:rsidR="00830E72" w14:paraId="74EB467C" w14:textId="77777777">
                <w:tc>
                  <w:tcPr>
                    <w:tcW w:w="224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5de4743667a48328a43f776b78669b0"/>
                      <w:id w:val="1514566699"/>
                      <w:lock w:val="sdtLocked"/>
                    </w:sdtPr>
                    <w:sdtEndPr>
                      <w:rPr>
                        <w:rFonts w:hint="default"/>
                      </w:rPr>
                    </w:sdtEndPr>
                    <w:sdtContent>
                      <w:p w14:paraId="08DCFD86" w14:textId="77777777" w:rsidR="00830E72" w:rsidRDefault="008344D8">
                        <w:r>
                          <w:rPr>
                            <w:rFonts w:hint="eastAsia"/>
                          </w:rPr>
                          <w:t>（4）</w:t>
                        </w:r>
                        <w:r>
                          <w:t>其他债权投资信用减值准备</w:t>
                        </w:r>
                      </w:p>
                    </w:sdtContent>
                  </w:sdt>
                </w:tc>
                <w:tc>
                  <w:tcPr>
                    <w:tcW w:w="529" w:type="pct"/>
                    <w:tcBorders>
                      <w:top w:val="outset" w:sz="4" w:space="0" w:color="auto"/>
                      <w:left w:val="outset" w:sz="4" w:space="0" w:color="auto"/>
                      <w:bottom w:val="outset" w:sz="4" w:space="0" w:color="auto"/>
                      <w:right w:val="outset" w:sz="4" w:space="0" w:color="auto"/>
                    </w:tcBorders>
                  </w:tcPr>
                  <w:p w14:paraId="20F6BEDF"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3505258A"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17DDF46" w14:textId="77777777" w:rsidR="00830E72" w:rsidRDefault="00830E72">
                    <w:pPr>
                      <w:jc w:val="right"/>
                      <w:rPr>
                        <w:szCs w:val="21"/>
                      </w:rPr>
                    </w:pPr>
                  </w:p>
                </w:tc>
              </w:tr>
              <w:tr w:rsidR="00830E72" w14:paraId="304AA034" w14:textId="77777777">
                <w:tc>
                  <w:tcPr>
                    <w:tcW w:w="2246" w:type="pct"/>
                    <w:tcBorders>
                      <w:top w:val="outset" w:sz="4" w:space="0" w:color="auto"/>
                      <w:left w:val="outset" w:sz="4" w:space="0" w:color="auto"/>
                      <w:bottom w:val="outset" w:sz="4" w:space="0" w:color="auto"/>
                      <w:right w:val="outset" w:sz="4" w:space="0" w:color="auto"/>
                    </w:tcBorders>
                    <w:vAlign w:val="center"/>
                  </w:tcPr>
                  <w:sdt>
                    <w:sdtPr>
                      <w:tag w:val="_PLD_30eadfe5eb0b43159a484d6e9e241037"/>
                      <w:id w:val="-266081152"/>
                      <w:lock w:val="sdtLocked"/>
                    </w:sdtPr>
                    <w:sdtEndPr/>
                    <w:sdtContent>
                      <w:p w14:paraId="00FBFCE2" w14:textId="77777777" w:rsidR="00830E72" w:rsidRDefault="008344D8">
                        <w:r>
                          <w:rPr>
                            <w:rFonts w:hint="eastAsia"/>
                          </w:rPr>
                          <w:t>（5）</w:t>
                        </w:r>
                        <w:r>
                          <w:t>现金流量套期储备</w:t>
                        </w:r>
                      </w:p>
                    </w:sdtContent>
                  </w:sdt>
                </w:tc>
                <w:tc>
                  <w:tcPr>
                    <w:tcW w:w="529" w:type="pct"/>
                    <w:tcBorders>
                      <w:top w:val="outset" w:sz="4" w:space="0" w:color="auto"/>
                      <w:left w:val="outset" w:sz="4" w:space="0" w:color="auto"/>
                      <w:bottom w:val="outset" w:sz="4" w:space="0" w:color="auto"/>
                      <w:right w:val="outset" w:sz="4" w:space="0" w:color="auto"/>
                    </w:tcBorders>
                  </w:tcPr>
                  <w:p w14:paraId="5E212B10"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397DF129"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F9989DD" w14:textId="77777777" w:rsidR="00830E72" w:rsidRDefault="00830E72">
                    <w:pPr>
                      <w:jc w:val="right"/>
                      <w:rPr>
                        <w:szCs w:val="21"/>
                      </w:rPr>
                    </w:pPr>
                  </w:p>
                </w:tc>
              </w:tr>
              <w:tr w:rsidR="00830E72" w14:paraId="76FFA9BE" w14:textId="77777777">
                <w:tc>
                  <w:tcPr>
                    <w:tcW w:w="2246" w:type="pct"/>
                    <w:tcBorders>
                      <w:top w:val="outset" w:sz="4" w:space="0" w:color="auto"/>
                      <w:left w:val="outset" w:sz="4" w:space="0" w:color="auto"/>
                      <w:bottom w:val="outset" w:sz="4" w:space="0" w:color="auto"/>
                      <w:right w:val="outset" w:sz="4" w:space="0" w:color="auto"/>
                    </w:tcBorders>
                    <w:vAlign w:val="center"/>
                  </w:tcPr>
                  <w:sdt>
                    <w:sdtPr>
                      <w:tag w:val="_PLD_a5d181921d264dc2857e201385fa2b90"/>
                      <w:id w:val="235513760"/>
                      <w:lock w:val="sdtLocked"/>
                    </w:sdtPr>
                    <w:sdtEndPr/>
                    <w:sdtContent>
                      <w:p w14:paraId="39F0B838" w14:textId="77777777" w:rsidR="00830E72" w:rsidRDefault="008344D8">
                        <w:r>
                          <w:rPr>
                            <w:rFonts w:hint="eastAsia"/>
                          </w:rPr>
                          <w:t>（6）</w:t>
                        </w:r>
                        <w:r>
                          <w:t>外币财务报表折算差额</w:t>
                        </w:r>
                      </w:p>
                    </w:sdtContent>
                  </w:sdt>
                </w:tc>
                <w:tc>
                  <w:tcPr>
                    <w:tcW w:w="529" w:type="pct"/>
                    <w:tcBorders>
                      <w:top w:val="outset" w:sz="4" w:space="0" w:color="auto"/>
                      <w:left w:val="outset" w:sz="4" w:space="0" w:color="auto"/>
                      <w:bottom w:val="outset" w:sz="4" w:space="0" w:color="auto"/>
                      <w:right w:val="outset" w:sz="4" w:space="0" w:color="auto"/>
                    </w:tcBorders>
                  </w:tcPr>
                  <w:p w14:paraId="62D80133"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13B2FEF6"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54EBD964" w14:textId="77777777" w:rsidR="00830E72" w:rsidRDefault="00830E72">
                    <w:pPr>
                      <w:jc w:val="right"/>
                      <w:rPr>
                        <w:szCs w:val="21"/>
                      </w:rPr>
                    </w:pPr>
                  </w:p>
                </w:tc>
              </w:tr>
              <w:tr w:rsidR="00830E72" w14:paraId="2FB058CC" w14:textId="77777777">
                <w:tc>
                  <w:tcPr>
                    <w:tcW w:w="2246" w:type="pct"/>
                    <w:tcBorders>
                      <w:top w:val="outset" w:sz="4" w:space="0" w:color="auto"/>
                      <w:left w:val="outset" w:sz="4" w:space="0" w:color="auto"/>
                      <w:bottom w:val="outset" w:sz="4" w:space="0" w:color="auto"/>
                      <w:right w:val="outset" w:sz="4" w:space="0" w:color="auto"/>
                    </w:tcBorders>
                    <w:vAlign w:val="center"/>
                  </w:tcPr>
                  <w:sdt>
                    <w:sdtPr>
                      <w:tag w:val="_PLD_efc9c8840682443ab9c10573fa124a4f"/>
                      <w:id w:val="473650729"/>
                      <w:lock w:val="sdtLocked"/>
                    </w:sdtPr>
                    <w:sdtEndPr/>
                    <w:sdtContent>
                      <w:p w14:paraId="491FC4C0" w14:textId="77777777" w:rsidR="00830E72" w:rsidRDefault="008344D8">
                        <w:r>
                          <w:rPr>
                            <w:rFonts w:hint="eastAsia"/>
                          </w:rPr>
                          <w:t>（7）</w:t>
                        </w:r>
                        <w:r>
                          <w:t>其他</w:t>
                        </w:r>
                      </w:p>
                    </w:sdtContent>
                  </w:sdt>
                </w:tc>
                <w:tc>
                  <w:tcPr>
                    <w:tcW w:w="529" w:type="pct"/>
                    <w:tcBorders>
                      <w:top w:val="outset" w:sz="4" w:space="0" w:color="auto"/>
                      <w:left w:val="outset" w:sz="4" w:space="0" w:color="auto"/>
                      <w:bottom w:val="outset" w:sz="4" w:space="0" w:color="auto"/>
                      <w:right w:val="outset" w:sz="4" w:space="0" w:color="auto"/>
                    </w:tcBorders>
                  </w:tcPr>
                  <w:p w14:paraId="62CBD4C9"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40AF1775"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823C7B0" w14:textId="77777777" w:rsidR="00830E72" w:rsidRDefault="00830E72">
                    <w:pPr>
                      <w:jc w:val="right"/>
                      <w:rPr>
                        <w:szCs w:val="21"/>
                      </w:rPr>
                    </w:pPr>
                  </w:p>
                </w:tc>
              </w:tr>
              <w:tr w:rsidR="00830E72" w14:paraId="690F9B27" w14:textId="77777777">
                <w:sdt>
                  <w:sdtPr>
                    <w:tag w:val="_PLD_4f19daa8ec184be19a8a0afe308c1896"/>
                    <w:id w:val="25991162"/>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1B4B43E2" w14:textId="77777777" w:rsidR="00830E72" w:rsidRDefault="008344D8">
                        <w:pPr>
                          <w:ind w:firstLineChars="100" w:firstLine="210"/>
                          <w:rPr>
                            <w:szCs w:val="21"/>
                          </w:rPr>
                        </w:pPr>
                        <w:r>
                          <w:rPr>
                            <w:rFonts w:hint="eastAsia"/>
                            <w:szCs w:val="21"/>
                          </w:rPr>
                          <w:t>（二）归属于少数股东的其他综合收益的税后净额</w:t>
                        </w:r>
                      </w:p>
                    </w:tc>
                  </w:sdtContent>
                </w:sdt>
                <w:tc>
                  <w:tcPr>
                    <w:tcW w:w="529" w:type="pct"/>
                    <w:tcBorders>
                      <w:top w:val="outset" w:sz="4" w:space="0" w:color="auto"/>
                      <w:left w:val="outset" w:sz="4" w:space="0" w:color="auto"/>
                      <w:bottom w:val="outset" w:sz="4" w:space="0" w:color="auto"/>
                      <w:right w:val="outset" w:sz="4" w:space="0" w:color="auto"/>
                    </w:tcBorders>
                  </w:tcPr>
                  <w:p w14:paraId="3177EA4D"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60646476"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66EF091" w14:textId="77777777" w:rsidR="00830E72" w:rsidRDefault="00830E72">
                    <w:pPr>
                      <w:jc w:val="right"/>
                      <w:rPr>
                        <w:szCs w:val="21"/>
                      </w:rPr>
                    </w:pPr>
                  </w:p>
                </w:tc>
              </w:tr>
              <w:tr w:rsidR="00830E72" w14:paraId="2E7D8EDB" w14:textId="77777777">
                <w:sdt>
                  <w:sdtPr>
                    <w:tag w:val="_PLD_29e4ab6c011f4b23961b002b616b19d8"/>
                    <w:id w:val="707759536"/>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16C01504" w14:textId="77777777" w:rsidR="00830E72" w:rsidRDefault="008344D8">
                        <w:pPr>
                          <w:rPr>
                            <w:szCs w:val="21"/>
                          </w:rPr>
                        </w:pPr>
                        <w:r>
                          <w:rPr>
                            <w:rFonts w:hint="eastAsia"/>
                            <w:szCs w:val="21"/>
                          </w:rPr>
                          <w:t>七、综合收益总额</w:t>
                        </w:r>
                      </w:p>
                    </w:tc>
                  </w:sdtContent>
                </w:sdt>
                <w:tc>
                  <w:tcPr>
                    <w:tcW w:w="529" w:type="pct"/>
                    <w:tcBorders>
                      <w:top w:val="outset" w:sz="4" w:space="0" w:color="auto"/>
                      <w:left w:val="outset" w:sz="4" w:space="0" w:color="auto"/>
                      <w:bottom w:val="outset" w:sz="4" w:space="0" w:color="auto"/>
                      <w:right w:val="outset" w:sz="4" w:space="0" w:color="auto"/>
                    </w:tcBorders>
                  </w:tcPr>
                  <w:p w14:paraId="61F2F8DE"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1424240" w14:textId="77777777" w:rsidR="00830E72" w:rsidRDefault="008344D8">
                    <w:pPr>
                      <w:jc w:val="right"/>
                      <w:rPr>
                        <w:szCs w:val="21"/>
                      </w:rPr>
                    </w:pPr>
                    <w:r>
                      <w:rPr>
                        <w:szCs w:val="21"/>
                      </w:rPr>
                      <w:t>51,226,794.61</w:t>
                    </w:r>
                  </w:p>
                </w:tc>
                <w:tc>
                  <w:tcPr>
                    <w:tcW w:w="1114" w:type="pct"/>
                    <w:tcBorders>
                      <w:top w:val="outset" w:sz="4" w:space="0" w:color="auto"/>
                      <w:left w:val="outset" w:sz="4" w:space="0" w:color="auto"/>
                      <w:bottom w:val="outset" w:sz="4" w:space="0" w:color="auto"/>
                      <w:right w:val="outset" w:sz="4" w:space="0" w:color="auto"/>
                    </w:tcBorders>
                    <w:vAlign w:val="center"/>
                  </w:tcPr>
                  <w:p w14:paraId="25F476C8" w14:textId="77777777" w:rsidR="00830E72" w:rsidRDefault="008344D8">
                    <w:pPr>
                      <w:jc w:val="right"/>
                      <w:rPr>
                        <w:szCs w:val="21"/>
                      </w:rPr>
                    </w:pPr>
                    <w:r>
                      <w:rPr>
                        <w:szCs w:val="21"/>
                      </w:rPr>
                      <w:t>39,685,972.78</w:t>
                    </w:r>
                  </w:p>
                </w:tc>
              </w:tr>
              <w:tr w:rsidR="00830E72" w14:paraId="6F4C4596" w14:textId="77777777">
                <w:sdt>
                  <w:sdtPr>
                    <w:tag w:val="_PLD_c6a40d405b9d4a8a8406c1d4ba16ad58"/>
                    <w:id w:val="-1560316888"/>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21DE23E1" w14:textId="77777777" w:rsidR="00830E72" w:rsidRDefault="008344D8">
                        <w:pPr>
                          <w:ind w:firstLineChars="100" w:firstLine="210"/>
                          <w:rPr>
                            <w:szCs w:val="21"/>
                          </w:rPr>
                        </w:pPr>
                        <w:r>
                          <w:rPr>
                            <w:szCs w:val="21"/>
                          </w:rPr>
                          <w:t>（一）</w:t>
                        </w:r>
                        <w:r>
                          <w:rPr>
                            <w:rFonts w:hint="eastAsia"/>
                            <w:szCs w:val="21"/>
                          </w:rPr>
                          <w:t>归属于母公司所有者的综合收益总额</w:t>
                        </w:r>
                      </w:p>
                    </w:tc>
                  </w:sdtContent>
                </w:sdt>
                <w:tc>
                  <w:tcPr>
                    <w:tcW w:w="529" w:type="pct"/>
                    <w:tcBorders>
                      <w:top w:val="outset" w:sz="4" w:space="0" w:color="auto"/>
                      <w:left w:val="outset" w:sz="4" w:space="0" w:color="auto"/>
                      <w:bottom w:val="outset" w:sz="4" w:space="0" w:color="auto"/>
                      <w:right w:val="outset" w:sz="4" w:space="0" w:color="auto"/>
                    </w:tcBorders>
                  </w:tcPr>
                  <w:p w14:paraId="62132AAE"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4593B0B" w14:textId="77777777" w:rsidR="00830E72" w:rsidRDefault="008344D8">
                    <w:pPr>
                      <w:jc w:val="right"/>
                      <w:rPr>
                        <w:szCs w:val="21"/>
                      </w:rPr>
                    </w:pPr>
                    <w:r>
                      <w:rPr>
                        <w:szCs w:val="21"/>
                      </w:rPr>
                      <w:t>49,245,587.01</w:t>
                    </w:r>
                  </w:p>
                </w:tc>
                <w:tc>
                  <w:tcPr>
                    <w:tcW w:w="1114" w:type="pct"/>
                    <w:tcBorders>
                      <w:top w:val="outset" w:sz="4" w:space="0" w:color="auto"/>
                      <w:left w:val="outset" w:sz="4" w:space="0" w:color="auto"/>
                      <w:bottom w:val="outset" w:sz="4" w:space="0" w:color="auto"/>
                      <w:right w:val="outset" w:sz="4" w:space="0" w:color="auto"/>
                    </w:tcBorders>
                    <w:vAlign w:val="center"/>
                  </w:tcPr>
                  <w:p w14:paraId="3E3AC2B4" w14:textId="77777777" w:rsidR="00830E72" w:rsidRDefault="008344D8">
                    <w:pPr>
                      <w:jc w:val="right"/>
                      <w:rPr>
                        <w:szCs w:val="21"/>
                      </w:rPr>
                    </w:pPr>
                    <w:r>
                      <w:rPr>
                        <w:szCs w:val="21"/>
                      </w:rPr>
                      <w:t>38,945,558.59</w:t>
                    </w:r>
                  </w:p>
                </w:tc>
              </w:tr>
              <w:tr w:rsidR="00830E72" w14:paraId="1012202C" w14:textId="77777777">
                <w:sdt>
                  <w:sdtPr>
                    <w:tag w:val="_PLD_a3f7a78de9cc4a0c8e2b3e050895da67"/>
                    <w:id w:val="-795685800"/>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5C166F4C" w14:textId="77777777" w:rsidR="00830E72" w:rsidRDefault="008344D8">
                        <w:pPr>
                          <w:ind w:firstLineChars="100" w:firstLine="210"/>
                          <w:rPr>
                            <w:szCs w:val="21"/>
                          </w:rPr>
                        </w:pPr>
                        <w:r>
                          <w:rPr>
                            <w:szCs w:val="21"/>
                          </w:rPr>
                          <w:t>（二）</w:t>
                        </w:r>
                        <w:r>
                          <w:rPr>
                            <w:rFonts w:hint="eastAsia"/>
                            <w:szCs w:val="21"/>
                          </w:rPr>
                          <w:t>归属于少数股东的综合收益总额</w:t>
                        </w:r>
                      </w:p>
                    </w:tc>
                  </w:sdtContent>
                </w:sdt>
                <w:tc>
                  <w:tcPr>
                    <w:tcW w:w="529" w:type="pct"/>
                    <w:tcBorders>
                      <w:top w:val="outset" w:sz="4" w:space="0" w:color="auto"/>
                      <w:left w:val="outset" w:sz="4" w:space="0" w:color="auto"/>
                      <w:bottom w:val="outset" w:sz="4" w:space="0" w:color="auto"/>
                      <w:right w:val="outset" w:sz="4" w:space="0" w:color="auto"/>
                    </w:tcBorders>
                  </w:tcPr>
                  <w:p w14:paraId="63B88E59"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A39E112" w14:textId="77777777" w:rsidR="00830E72" w:rsidRDefault="008344D8">
                    <w:pPr>
                      <w:jc w:val="right"/>
                      <w:rPr>
                        <w:szCs w:val="21"/>
                      </w:rPr>
                    </w:pPr>
                    <w:r>
                      <w:rPr>
                        <w:szCs w:val="21"/>
                      </w:rPr>
                      <w:t>1,981,207.60</w:t>
                    </w:r>
                  </w:p>
                </w:tc>
                <w:tc>
                  <w:tcPr>
                    <w:tcW w:w="1114" w:type="pct"/>
                    <w:tcBorders>
                      <w:top w:val="outset" w:sz="4" w:space="0" w:color="auto"/>
                      <w:left w:val="outset" w:sz="4" w:space="0" w:color="auto"/>
                      <w:bottom w:val="outset" w:sz="4" w:space="0" w:color="auto"/>
                      <w:right w:val="outset" w:sz="4" w:space="0" w:color="auto"/>
                    </w:tcBorders>
                    <w:vAlign w:val="center"/>
                  </w:tcPr>
                  <w:p w14:paraId="597C493A" w14:textId="77777777" w:rsidR="00830E72" w:rsidRDefault="008344D8">
                    <w:pPr>
                      <w:jc w:val="right"/>
                      <w:rPr>
                        <w:szCs w:val="21"/>
                      </w:rPr>
                    </w:pPr>
                    <w:r>
                      <w:rPr>
                        <w:szCs w:val="21"/>
                      </w:rPr>
                      <w:t>740,414.19</w:t>
                    </w:r>
                  </w:p>
                </w:tc>
              </w:tr>
              <w:tr w:rsidR="00830E72" w14:paraId="59D08268" w14:textId="77777777">
                <w:sdt>
                  <w:sdtPr>
                    <w:tag w:val="_PLD_2faba48500f741229b3467bfe3ce2495"/>
                    <w:id w:val="1394237868"/>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2268F341" w14:textId="77777777" w:rsidR="00830E72" w:rsidRDefault="008344D8">
                        <w:pPr>
                          <w:rPr>
                            <w:color w:val="000000"/>
                            <w:szCs w:val="21"/>
                          </w:rPr>
                        </w:pPr>
                        <w:r>
                          <w:rPr>
                            <w:rFonts w:hint="eastAsia"/>
                            <w:szCs w:val="21"/>
                          </w:rPr>
                          <w:t>八、每股收益：</w:t>
                        </w:r>
                      </w:p>
                    </w:tc>
                  </w:sdtContent>
                </w:sdt>
                <w:tc>
                  <w:tcPr>
                    <w:tcW w:w="529" w:type="pct"/>
                    <w:tcBorders>
                      <w:top w:val="outset" w:sz="4" w:space="0" w:color="auto"/>
                      <w:left w:val="outset" w:sz="4" w:space="0" w:color="auto"/>
                      <w:bottom w:val="outset" w:sz="4" w:space="0" w:color="auto"/>
                      <w:right w:val="outset" w:sz="4" w:space="0" w:color="auto"/>
                    </w:tcBorders>
                  </w:tcPr>
                  <w:p w14:paraId="2F48D217" w14:textId="77777777" w:rsidR="00830E72" w:rsidRDefault="00830E72">
                    <w:pPr>
                      <w:rPr>
                        <w:color w:val="008000"/>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7B08F27" w14:textId="77777777" w:rsidR="00830E72" w:rsidRDefault="00830E72">
                    <w:pPr>
                      <w:jc w:val="right"/>
                      <w:rPr>
                        <w:color w:val="008000"/>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B7099FD" w14:textId="77777777" w:rsidR="00830E72" w:rsidRDefault="00830E72">
                    <w:pPr>
                      <w:jc w:val="right"/>
                      <w:rPr>
                        <w:color w:val="008000"/>
                        <w:szCs w:val="21"/>
                      </w:rPr>
                    </w:pPr>
                  </w:p>
                </w:tc>
              </w:tr>
              <w:tr w:rsidR="00830E72" w14:paraId="5BA5461A" w14:textId="77777777">
                <w:sdt>
                  <w:sdtPr>
                    <w:tag w:val="_PLD_16d9b9d4e8c34e3b874fbdaedc915880"/>
                    <w:id w:val="-749577614"/>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2F27C798" w14:textId="77777777" w:rsidR="00830E72" w:rsidRDefault="008344D8">
                        <w:pPr>
                          <w:ind w:firstLineChars="100" w:firstLine="210"/>
                          <w:rPr>
                            <w:szCs w:val="21"/>
                          </w:rPr>
                        </w:pPr>
                        <w:r>
                          <w:rPr>
                            <w:szCs w:val="21"/>
                          </w:rPr>
                          <w:t>（一）基本每股收益</w:t>
                        </w:r>
                        <w:r>
                          <w:rPr>
                            <w:rFonts w:hint="eastAsia"/>
                            <w:szCs w:val="21"/>
                          </w:rPr>
                          <w:t>(元/股)</w:t>
                        </w:r>
                      </w:p>
                    </w:tc>
                  </w:sdtContent>
                </w:sdt>
                <w:tc>
                  <w:tcPr>
                    <w:tcW w:w="529" w:type="pct"/>
                    <w:tcBorders>
                      <w:top w:val="outset" w:sz="4" w:space="0" w:color="auto"/>
                      <w:left w:val="outset" w:sz="4" w:space="0" w:color="auto"/>
                      <w:bottom w:val="outset" w:sz="4" w:space="0" w:color="auto"/>
                      <w:right w:val="outset" w:sz="4" w:space="0" w:color="auto"/>
                    </w:tcBorders>
                  </w:tcPr>
                  <w:p w14:paraId="2420D6B5"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AD991FB" w14:textId="77777777" w:rsidR="00830E72" w:rsidRDefault="008344D8">
                    <w:pPr>
                      <w:jc w:val="right"/>
                      <w:rPr>
                        <w:szCs w:val="21"/>
                      </w:rPr>
                    </w:pPr>
                    <w:r>
                      <w:rPr>
                        <w:rFonts w:hint="eastAsia"/>
                        <w:szCs w:val="21"/>
                      </w:rPr>
                      <w:t>0.08</w:t>
                    </w:r>
                  </w:p>
                </w:tc>
                <w:tc>
                  <w:tcPr>
                    <w:tcW w:w="1114" w:type="pct"/>
                    <w:tcBorders>
                      <w:top w:val="outset" w:sz="4" w:space="0" w:color="auto"/>
                      <w:left w:val="outset" w:sz="4" w:space="0" w:color="auto"/>
                      <w:bottom w:val="outset" w:sz="4" w:space="0" w:color="auto"/>
                      <w:right w:val="outset" w:sz="4" w:space="0" w:color="auto"/>
                    </w:tcBorders>
                    <w:vAlign w:val="center"/>
                  </w:tcPr>
                  <w:p w14:paraId="27C214D0" w14:textId="77777777" w:rsidR="00830E72" w:rsidRDefault="008344D8">
                    <w:pPr>
                      <w:jc w:val="right"/>
                      <w:rPr>
                        <w:szCs w:val="21"/>
                      </w:rPr>
                    </w:pPr>
                    <w:r>
                      <w:rPr>
                        <w:rFonts w:hint="eastAsia"/>
                        <w:szCs w:val="21"/>
                      </w:rPr>
                      <w:t>0.08</w:t>
                    </w:r>
                  </w:p>
                </w:tc>
              </w:tr>
              <w:tr w:rsidR="00830E72" w14:paraId="1EFD775F" w14:textId="77777777">
                <w:sdt>
                  <w:sdtPr>
                    <w:tag w:val="_PLD_ec4d9e148cba4e79bb3da0f8a0ddb92a"/>
                    <w:id w:val="-2105031175"/>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6E7F4BC7" w14:textId="77777777" w:rsidR="00830E72" w:rsidRDefault="008344D8">
                        <w:pPr>
                          <w:ind w:firstLineChars="100" w:firstLine="210"/>
                          <w:rPr>
                            <w:szCs w:val="21"/>
                          </w:rPr>
                        </w:pPr>
                        <w:r>
                          <w:rPr>
                            <w:szCs w:val="21"/>
                          </w:rPr>
                          <w:t>（二）稀释每股收益</w:t>
                        </w:r>
                        <w:r>
                          <w:rPr>
                            <w:rFonts w:hint="eastAsia"/>
                            <w:szCs w:val="21"/>
                          </w:rPr>
                          <w:t>(元/股)</w:t>
                        </w:r>
                      </w:p>
                    </w:tc>
                  </w:sdtContent>
                </w:sdt>
                <w:tc>
                  <w:tcPr>
                    <w:tcW w:w="529" w:type="pct"/>
                    <w:tcBorders>
                      <w:top w:val="outset" w:sz="4" w:space="0" w:color="auto"/>
                      <w:left w:val="outset" w:sz="4" w:space="0" w:color="auto"/>
                      <w:bottom w:val="outset" w:sz="4" w:space="0" w:color="auto"/>
                      <w:right w:val="outset" w:sz="4" w:space="0" w:color="auto"/>
                    </w:tcBorders>
                  </w:tcPr>
                  <w:p w14:paraId="248B068F"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48759C5" w14:textId="77777777" w:rsidR="00830E72" w:rsidRDefault="008344D8">
                    <w:pPr>
                      <w:jc w:val="right"/>
                      <w:rPr>
                        <w:szCs w:val="21"/>
                      </w:rPr>
                    </w:pPr>
                    <w:r>
                      <w:rPr>
                        <w:rFonts w:hint="eastAsia"/>
                        <w:szCs w:val="21"/>
                      </w:rPr>
                      <w:t>0.08</w:t>
                    </w:r>
                  </w:p>
                </w:tc>
                <w:tc>
                  <w:tcPr>
                    <w:tcW w:w="1114" w:type="pct"/>
                    <w:tcBorders>
                      <w:top w:val="outset" w:sz="4" w:space="0" w:color="auto"/>
                      <w:left w:val="outset" w:sz="4" w:space="0" w:color="auto"/>
                      <w:bottom w:val="outset" w:sz="4" w:space="0" w:color="auto"/>
                      <w:right w:val="outset" w:sz="4" w:space="0" w:color="auto"/>
                    </w:tcBorders>
                    <w:vAlign w:val="center"/>
                  </w:tcPr>
                  <w:p w14:paraId="578B886C" w14:textId="77777777" w:rsidR="00830E72" w:rsidRDefault="008344D8">
                    <w:pPr>
                      <w:jc w:val="right"/>
                      <w:rPr>
                        <w:szCs w:val="21"/>
                      </w:rPr>
                    </w:pPr>
                    <w:r>
                      <w:rPr>
                        <w:rFonts w:hint="eastAsia"/>
                        <w:szCs w:val="21"/>
                      </w:rPr>
                      <w:t>0.08</w:t>
                    </w:r>
                  </w:p>
                </w:tc>
              </w:tr>
            </w:tbl>
            <w:p w14:paraId="7CD92CB5" w14:textId="77777777" w:rsidR="00830E72" w:rsidRDefault="00830E72"/>
            <w:p w14:paraId="32951A9C" w14:textId="77777777" w:rsidR="00830E72" w:rsidRDefault="008344D8">
              <w:pPr>
                <w:rPr>
                  <w:b/>
                  <w:bCs/>
                  <w:color w:val="FF0000"/>
                  <w:szCs w:val="21"/>
                </w:rPr>
              </w:pPr>
              <w:r>
                <w:rPr>
                  <w:rFonts w:hint="eastAsia"/>
                  <w:szCs w:val="21"/>
                </w:rPr>
                <w:t>本期发生同一控制下企业合并的，被合并方在合并前实现的净利润为：</w:t>
              </w:r>
              <w:sdt>
                <w:sdtPr>
                  <w:rPr>
                    <w:rFonts w:hint="eastAsia"/>
                    <w:szCs w:val="21"/>
                  </w:rPr>
                  <w:alias w:val="同一控制下的企业合并中被合并方在合并前实现的净利润"/>
                  <w:tag w:val="_GBC_0d3f3004d896427080339d4b0e2d499c"/>
                  <w:id w:val="-1816869290"/>
                  <w:lock w:val="sdtLocked"/>
                  <w:placeholder>
                    <w:docPart w:val="GBC22222222222222222222222222222"/>
                  </w:placeholder>
                </w:sdtPr>
                <w:sdtEndPr/>
                <w:sdtContent>
                  <w:r>
                    <w:rPr>
                      <w:rFonts w:hint="eastAsia"/>
                      <w:szCs w:val="21"/>
                    </w:rPr>
                    <w:t>0</w:t>
                  </w:r>
                </w:sdtContent>
              </w:sdt>
              <w:r>
                <w:rPr>
                  <w:rFonts w:hint="eastAsia"/>
                  <w:szCs w:val="21"/>
                </w:rPr>
                <w:t xml:space="preserve"> 元, 上期被合并方实现的净利润为： </w:t>
              </w:r>
              <w:sdt>
                <w:sdtPr>
                  <w:rPr>
                    <w:rFonts w:hint="eastAsia"/>
                    <w:szCs w:val="21"/>
                  </w:rPr>
                  <w:alias w:val="同一控制下的企业合并中被合并方在合并前实现的净利润"/>
                  <w:tag w:val="_GBC_7e8cf02e71b9434883c60dcb8fb33270"/>
                  <w:id w:val="906888573"/>
                  <w:lock w:val="sdtLocked"/>
                  <w:placeholder>
                    <w:docPart w:val="GBC22222222222222222222222222222"/>
                  </w:placeholder>
                </w:sdtPr>
                <w:sdtEndPr>
                  <w:rPr>
                    <w:rFonts w:hint="default"/>
                  </w:rPr>
                </w:sdtEndPr>
                <w:sdtContent>
                  <w:r>
                    <w:rPr>
                      <w:rFonts w:hint="eastAsia"/>
                      <w:szCs w:val="21"/>
                    </w:rPr>
                    <w:t>0</w:t>
                  </w:r>
                </w:sdtContent>
              </w:sdt>
              <w:r>
                <w:rPr>
                  <w:rFonts w:hint="eastAsia"/>
                  <w:szCs w:val="21"/>
                </w:rPr>
                <w:t xml:space="preserve"> 元。</w:t>
              </w:r>
            </w:p>
            <w:p w14:paraId="1D2A9A15" w14:textId="77777777" w:rsidR="00830E72" w:rsidRDefault="008344D8">
              <w:pPr>
                <w:rPr>
                  <w:color w:val="008000"/>
                  <w:szCs w:val="21"/>
                  <w:u w:val="single"/>
                </w:rPr>
              </w:pPr>
              <w:r>
                <w:rPr>
                  <w:szCs w:val="21"/>
                </w:rPr>
                <w:t>公司负责人</w:t>
              </w:r>
              <w:r>
                <w:rPr>
                  <w:rFonts w:hint="eastAsia"/>
                  <w:szCs w:val="21"/>
                </w:rPr>
                <w:t>：</w:t>
              </w:r>
              <w:sdt>
                <w:sdtPr>
                  <w:rPr>
                    <w:rFonts w:hint="eastAsia"/>
                    <w:szCs w:val="21"/>
                  </w:rPr>
                  <w:alias w:val="公司负责人"/>
                  <w:tag w:val="_GBC_84d2ead02dbe49699dff5184a9cd1bd3"/>
                  <w:id w:val="-976287514"/>
                  <w:lock w:val="sdtLocked"/>
                  <w:placeholder>
                    <w:docPart w:val="GBC22222222222222222222222222222"/>
                  </w:placeholder>
                  <w:text/>
                </w:sdtPr>
                <w:sdtEndPr/>
                <w:sdtContent>
                  <w:r>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e958f3d59232458da90c4799548d15ea"/>
                  <w:id w:val="-1488012714"/>
                  <w:lock w:val="sdtLocked"/>
                  <w:placeholder>
                    <w:docPart w:val="GBC22222222222222222222222222222"/>
                  </w:placeholder>
                  <w:text/>
                </w:sdtPr>
                <w:sdtEndPr/>
                <w:sdtContent>
                  <w:r>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3eea96809554a8b86e8c53c6e3da040"/>
                  <w:id w:val="-397898291"/>
                  <w:lock w:val="sdtLocked"/>
                  <w:placeholder>
                    <w:docPart w:val="GBC22222222222222222222222222222"/>
                  </w:placeholder>
                  <w:text/>
                </w:sdtPr>
                <w:sdtEndPr/>
                <w:sdtContent>
                  <w:r>
                    <w:rPr>
                      <w:rFonts w:hint="eastAsia"/>
                      <w:szCs w:val="21"/>
                    </w:rPr>
                    <w:t>王国鑫</w:t>
                  </w:r>
                </w:sdtContent>
              </w:sdt>
            </w:p>
          </w:sdtContent>
        </w:sdt>
        <w:p w14:paraId="0665CF14" w14:textId="77777777" w:rsidR="00830E72" w:rsidRDefault="00830E72">
          <w:pPr>
            <w:rPr>
              <w:color w:val="008000"/>
              <w:szCs w:val="21"/>
              <w:u w:val="single"/>
            </w:rPr>
          </w:pPr>
        </w:p>
        <w:p w14:paraId="0AC5F5A1" w14:textId="77777777" w:rsidR="00830E72" w:rsidRDefault="00830E72">
          <w:pPr>
            <w:rPr>
              <w:color w:val="008000"/>
              <w:szCs w:val="21"/>
              <w:u w:val="single"/>
            </w:rPr>
          </w:pPr>
        </w:p>
        <w:p w14:paraId="676CE047" w14:textId="77777777" w:rsidR="00830E72" w:rsidRDefault="00830E72">
          <w:pPr>
            <w:rPr>
              <w:color w:val="008000"/>
              <w:szCs w:val="21"/>
              <w:u w:val="single"/>
            </w:rPr>
          </w:pPr>
        </w:p>
        <w:bookmarkStart w:id="67" w:name="_Hlk80257124" w:displacedByCustomXml="next"/>
        <w:sdt>
          <w:sdtPr>
            <w:rPr>
              <w:rFonts w:ascii="宋体" w:hAnsi="宋体" w:cs="宋体" w:hint="eastAsia"/>
              <w:b w:val="0"/>
              <w:bCs w:val="0"/>
              <w:kern w:val="0"/>
              <w:szCs w:val="24"/>
            </w:rPr>
            <w:tag w:val="_GBC_fab740d2e6854481af171030c14673b7"/>
            <w:id w:val="-213202498"/>
            <w:lock w:val="sdtLocked"/>
            <w:placeholder>
              <w:docPart w:val="GBC22222222222222222222222222222"/>
            </w:placeholder>
          </w:sdtPr>
          <w:sdtEndPr>
            <w:rPr>
              <w:rFonts w:cs="宋体-方正超大字符集"/>
              <w:szCs w:val="21"/>
            </w:rPr>
          </w:sdtEndPr>
          <w:sdtContent>
            <w:p w14:paraId="56E4E5DF" w14:textId="77777777" w:rsidR="00830E72" w:rsidRDefault="008344D8">
              <w:pPr>
                <w:pStyle w:val="Style99"/>
                <w:jc w:val="center"/>
                <w:rPr>
                  <w:rFonts w:ascii="宋体" w:hAnsi="宋体"/>
                </w:rPr>
              </w:pPr>
              <w:r>
                <w:rPr>
                  <w:rFonts w:ascii="宋体" w:hAnsi="宋体" w:hint="eastAsia"/>
                </w:rPr>
                <w:t>母公司</w:t>
              </w:r>
              <w:r>
                <w:rPr>
                  <w:rFonts w:ascii="宋体" w:hAnsi="宋体"/>
                </w:rPr>
                <w:t>利润表</w:t>
              </w:r>
            </w:p>
            <w:p w14:paraId="2653934D" w14:textId="77777777" w:rsidR="00830E72" w:rsidRDefault="008344D8">
              <w:pPr>
                <w:jc w:val="center"/>
                <w:rPr>
                  <w:b/>
                  <w:bCs/>
                  <w:szCs w:val="21"/>
                </w:rPr>
              </w:pPr>
              <w:r>
                <w:rPr>
                  <w:szCs w:val="21"/>
                </w:rPr>
                <w:t>2021年</w:t>
              </w:r>
              <w:r>
                <w:rPr>
                  <w:rFonts w:hint="eastAsia"/>
                  <w:szCs w:val="21"/>
                </w:rPr>
                <w:t>1—6</w:t>
              </w:r>
              <w:r>
                <w:rPr>
                  <w:szCs w:val="21"/>
                </w:rPr>
                <w:t>月</w:t>
              </w:r>
            </w:p>
            <w:p w14:paraId="6F46AB0A" w14:textId="77777777" w:rsidR="00830E72" w:rsidRDefault="008344D8">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18396151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利润表"/>
                  <w:tag w:val="_GBC_125a2547934143ccb384434361f57d37"/>
                  <w:id w:val="17760573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11"/>
                <w:gridCol w:w="813"/>
                <w:gridCol w:w="2009"/>
                <w:gridCol w:w="2016"/>
              </w:tblGrid>
              <w:tr w:rsidR="00830E72" w14:paraId="257047A5" w14:textId="77777777">
                <w:trPr>
                  <w:cantSplit/>
                </w:trPr>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2746da9ce382479bbcc34de94cc91419"/>
                      <w:id w:val="672305902"/>
                      <w:lock w:val="sdtLocked"/>
                    </w:sdtPr>
                    <w:sdtEndPr/>
                    <w:sdtContent>
                      <w:p w14:paraId="051C9613" w14:textId="77777777" w:rsidR="00830E72" w:rsidRDefault="008344D8">
                        <w:pPr>
                          <w:ind w:leftChars="-19" w:hangingChars="19" w:hanging="40"/>
                          <w:jc w:val="center"/>
                          <w:rPr>
                            <w:b/>
                          </w:rPr>
                        </w:pPr>
                        <w:r>
                          <w:rPr>
                            <w:rFonts w:hint="eastAsia"/>
                            <w:b/>
                          </w:rPr>
                          <w:t>项目</w:t>
                        </w:r>
                      </w:p>
                    </w:sdtContent>
                  </w:sdt>
                </w:tc>
                <w:tc>
                  <w:tcPr>
                    <w:tcW w:w="449" w:type="pct"/>
                    <w:tcBorders>
                      <w:top w:val="outset" w:sz="4" w:space="0" w:color="auto"/>
                      <w:left w:val="outset" w:sz="4" w:space="0" w:color="auto"/>
                      <w:bottom w:val="outset" w:sz="4" w:space="0" w:color="auto"/>
                      <w:right w:val="outset" w:sz="4" w:space="0" w:color="auto"/>
                    </w:tcBorders>
                  </w:tcPr>
                  <w:sdt>
                    <w:sdtPr>
                      <w:rPr>
                        <w:rFonts w:hint="eastAsia"/>
                        <w:b/>
                      </w:rPr>
                      <w:tag w:val="_PLD_353d1b95815e4cb9bce619c23384aae7"/>
                      <w:id w:val="238599531"/>
                      <w:lock w:val="sdtLocked"/>
                    </w:sdtPr>
                    <w:sdtEndPr/>
                    <w:sdtContent>
                      <w:p w14:paraId="34B5F8B2" w14:textId="77777777" w:rsidR="00830E72" w:rsidRDefault="008344D8">
                        <w:pPr>
                          <w:jc w:val="center"/>
                          <w:rPr>
                            <w:b/>
                          </w:rPr>
                        </w:pPr>
                        <w:r>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a6da19e961f4f0aa9c1f47a5d8bdb21"/>
                      <w:id w:val="1214851890"/>
                      <w:lock w:val="sdtLocked"/>
                    </w:sdtPr>
                    <w:sdtEndPr/>
                    <w:sdtContent>
                      <w:p w14:paraId="44129B6E" w14:textId="77777777" w:rsidR="00830E72" w:rsidRDefault="008344D8">
                        <w:pPr>
                          <w:jc w:val="center"/>
                          <w:rPr>
                            <w:b/>
                          </w:rPr>
                        </w:pPr>
                        <w:r>
                          <w:rPr>
                            <w:rFonts w:hint="eastAsia"/>
                            <w:b/>
                          </w:rPr>
                          <w:t>2021年半年度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d6f3d63a7544a05b6f572cee64f39fb"/>
                      <w:id w:val="-1528322520"/>
                      <w:lock w:val="sdtLocked"/>
                    </w:sdtPr>
                    <w:sdtEndPr/>
                    <w:sdtContent>
                      <w:p w14:paraId="18E1B1D7" w14:textId="77777777" w:rsidR="00830E72" w:rsidRDefault="008344D8">
                        <w:pPr>
                          <w:jc w:val="center"/>
                          <w:rPr>
                            <w:b/>
                          </w:rPr>
                        </w:pPr>
                        <w:r>
                          <w:rPr>
                            <w:rFonts w:hint="eastAsia"/>
                            <w:b/>
                          </w:rPr>
                          <w:t>2020年半年度</w:t>
                        </w:r>
                      </w:p>
                    </w:sdtContent>
                  </w:sdt>
                </w:tc>
              </w:tr>
              <w:tr w:rsidR="00830E72" w14:paraId="125E4B25" w14:textId="77777777">
                <w:sdt>
                  <w:sdtPr>
                    <w:tag w:val="_PLD_064cf96d2f1c4cf0927ae1121cfbe089"/>
                    <w:id w:val="-1169252808"/>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F7943CE" w14:textId="77777777" w:rsidR="00830E72" w:rsidRDefault="008344D8">
                        <w:pPr>
                          <w:ind w:left="-19"/>
                          <w:rPr>
                            <w:color w:val="000000"/>
                            <w:szCs w:val="21"/>
                          </w:rPr>
                        </w:pPr>
                        <w:r>
                          <w:rPr>
                            <w:rFonts w:hint="eastAsia"/>
                            <w:szCs w:val="21"/>
                          </w:rPr>
                          <w:t>一、营业收入</w:t>
                        </w:r>
                      </w:p>
                    </w:tc>
                  </w:sdtContent>
                </w:sdt>
                <w:tc>
                  <w:tcPr>
                    <w:tcW w:w="449" w:type="pct"/>
                    <w:tcBorders>
                      <w:top w:val="outset" w:sz="4" w:space="0" w:color="auto"/>
                      <w:left w:val="outset" w:sz="4" w:space="0" w:color="auto"/>
                      <w:bottom w:val="outset" w:sz="4" w:space="0" w:color="auto"/>
                      <w:right w:val="outset" w:sz="4" w:space="0" w:color="auto"/>
                    </w:tcBorders>
                  </w:tcPr>
                  <w:p w14:paraId="4A2B1EE3"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734CB743" w14:textId="77777777" w:rsidR="00830E72" w:rsidRDefault="008344D8">
                    <w:pPr>
                      <w:jc w:val="right"/>
                      <w:rPr>
                        <w:szCs w:val="21"/>
                      </w:rPr>
                    </w:pPr>
                    <w:r>
                      <w:rPr>
                        <w:szCs w:val="21"/>
                      </w:rPr>
                      <w:t>1,516,578,023.56</w:t>
                    </w:r>
                  </w:p>
                </w:tc>
                <w:tc>
                  <w:tcPr>
                    <w:tcW w:w="1114" w:type="pct"/>
                    <w:tcBorders>
                      <w:top w:val="outset" w:sz="4" w:space="0" w:color="auto"/>
                      <w:left w:val="outset" w:sz="4" w:space="0" w:color="auto"/>
                      <w:bottom w:val="outset" w:sz="4" w:space="0" w:color="auto"/>
                      <w:right w:val="outset" w:sz="4" w:space="0" w:color="auto"/>
                    </w:tcBorders>
                  </w:tcPr>
                  <w:p w14:paraId="611F8C82" w14:textId="77777777" w:rsidR="00830E72" w:rsidRDefault="008344D8">
                    <w:pPr>
                      <w:jc w:val="right"/>
                      <w:rPr>
                        <w:szCs w:val="21"/>
                      </w:rPr>
                    </w:pPr>
                    <w:r>
                      <w:t>1,173,316,806.78</w:t>
                    </w:r>
                  </w:p>
                </w:tc>
              </w:tr>
              <w:tr w:rsidR="00830E72" w14:paraId="2028D130" w14:textId="77777777">
                <w:sdt>
                  <w:sdtPr>
                    <w:tag w:val="_PLD_d41d97fe7493434d8f6c5694b95ac217"/>
                    <w:id w:val="237447025"/>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46757DD8" w14:textId="77777777" w:rsidR="00830E72" w:rsidRDefault="008344D8">
                        <w:pPr>
                          <w:ind w:firstLineChars="100" w:firstLine="210"/>
                          <w:rPr>
                            <w:color w:val="000000"/>
                            <w:szCs w:val="21"/>
                          </w:rPr>
                        </w:pPr>
                        <w:r>
                          <w:rPr>
                            <w:rFonts w:hint="eastAsia"/>
                            <w:szCs w:val="21"/>
                          </w:rPr>
                          <w:t>减：营业成本</w:t>
                        </w:r>
                      </w:p>
                    </w:tc>
                  </w:sdtContent>
                </w:sdt>
                <w:tc>
                  <w:tcPr>
                    <w:tcW w:w="449" w:type="pct"/>
                    <w:tcBorders>
                      <w:top w:val="outset" w:sz="4" w:space="0" w:color="auto"/>
                      <w:left w:val="outset" w:sz="4" w:space="0" w:color="auto"/>
                      <w:bottom w:val="outset" w:sz="4" w:space="0" w:color="auto"/>
                      <w:right w:val="outset" w:sz="4" w:space="0" w:color="auto"/>
                    </w:tcBorders>
                  </w:tcPr>
                  <w:p w14:paraId="2469922D"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01197F80" w14:textId="77777777" w:rsidR="00830E72" w:rsidRDefault="008344D8">
                    <w:pPr>
                      <w:jc w:val="right"/>
                      <w:rPr>
                        <w:szCs w:val="21"/>
                      </w:rPr>
                    </w:pPr>
                    <w:r>
                      <w:rPr>
                        <w:szCs w:val="21"/>
                      </w:rPr>
                      <w:t>1,416,760,383.13</w:t>
                    </w:r>
                  </w:p>
                </w:tc>
                <w:tc>
                  <w:tcPr>
                    <w:tcW w:w="1114" w:type="pct"/>
                    <w:tcBorders>
                      <w:top w:val="outset" w:sz="4" w:space="0" w:color="auto"/>
                      <w:left w:val="outset" w:sz="4" w:space="0" w:color="auto"/>
                      <w:bottom w:val="outset" w:sz="4" w:space="0" w:color="auto"/>
                      <w:right w:val="outset" w:sz="4" w:space="0" w:color="auto"/>
                    </w:tcBorders>
                  </w:tcPr>
                  <w:p w14:paraId="4A3CF8FD" w14:textId="77777777" w:rsidR="00830E72" w:rsidRDefault="008344D8">
                    <w:pPr>
                      <w:jc w:val="right"/>
                      <w:rPr>
                        <w:szCs w:val="21"/>
                      </w:rPr>
                    </w:pPr>
                    <w:r>
                      <w:t>1,094,963,929.52</w:t>
                    </w:r>
                  </w:p>
                </w:tc>
              </w:tr>
              <w:tr w:rsidR="00830E72" w14:paraId="56DE4367" w14:textId="77777777">
                <w:sdt>
                  <w:sdtPr>
                    <w:tag w:val="_PLD_310d343d286f48cca8b82d2d78d02a7b"/>
                    <w:id w:val="103122676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8EDE41F" w14:textId="77777777" w:rsidR="00830E72" w:rsidRDefault="008344D8">
                        <w:pPr>
                          <w:ind w:firstLineChars="300" w:firstLine="630"/>
                          <w:rPr>
                            <w:szCs w:val="21"/>
                          </w:rPr>
                        </w:pPr>
                        <w:r>
                          <w:rPr>
                            <w:rFonts w:hint="eastAsia"/>
                            <w:szCs w:val="21"/>
                          </w:rPr>
                          <w:t>税金及附加</w:t>
                        </w:r>
                      </w:p>
                    </w:tc>
                  </w:sdtContent>
                </w:sdt>
                <w:tc>
                  <w:tcPr>
                    <w:tcW w:w="449" w:type="pct"/>
                    <w:tcBorders>
                      <w:top w:val="outset" w:sz="4" w:space="0" w:color="auto"/>
                      <w:left w:val="outset" w:sz="4" w:space="0" w:color="auto"/>
                      <w:bottom w:val="outset" w:sz="4" w:space="0" w:color="auto"/>
                      <w:right w:val="outset" w:sz="4" w:space="0" w:color="auto"/>
                    </w:tcBorders>
                  </w:tcPr>
                  <w:p w14:paraId="39555041"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18F4A309" w14:textId="77777777" w:rsidR="00830E72" w:rsidRDefault="008344D8">
                    <w:pPr>
                      <w:jc w:val="right"/>
                      <w:rPr>
                        <w:szCs w:val="21"/>
                      </w:rPr>
                    </w:pPr>
                    <w:r>
                      <w:rPr>
                        <w:szCs w:val="21"/>
                      </w:rPr>
                      <w:t>1,210,674.07</w:t>
                    </w:r>
                  </w:p>
                </w:tc>
                <w:tc>
                  <w:tcPr>
                    <w:tcW w:w="1114" w:type="pct"/>
                    <w:tcBorders>
                      <w:top w:val="outset" w:sz="4" w:space="0" w:color="auto"/>
                      <w:left w:val="outset" w:sz="4" w:space="0" w:color="auto"/>
                      <w:bottom w:val="outset" w:sz="4" w:space="0" w:color="auto"/>
                      <w:right w:val="outset" w:sz="4" w:space="0" w:color="auto"/>
                    </w:tcBorders>
                  </w:tcPr>
                  <w:p w14:paraId="7C1F4670" w14:textId="77777777" w:rsidR="00830E72" w:rsidRDefault="008344D8">
                    <w:pPr>
                      <w:jc w:val="right"/>
                      <w:rPr>
                        <w:szCs w:val="21"/>
                      </w:rPr>
                    </w:pPr>
                    <w:r>
                      <w:t>3,158,682.76</w:t>
                    </w:r>
                  </w:p>
                </w:tc>
              </w:tr>
              <w:tr w:rsidR="00830E72" w14:paraId="74566A10" w14:textId="77777777">
                <w:sdt>
                  <w:sdtPr>
                    <w:tag w:val="_PLD_991800b670f245798d81fceda321ab53"/>
                    <w:id w:val="-127971475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27CCA50E" w14:textId="77777777" w:rsidR="00830E72" w:rsidRDefault="008344D8">
                        <w:pPr>
                          <w:ind w:firstLineChars="300" w:firstLine="630"/>
                          <w:rPr>
                            <w:szCs w:val="21"/>
                          </w:rPr>
                        </w:pPr>
                        <w:r>
                          <w:rPr>
                            <w:rFonts w:hint="eastAsia"/>
                            <w:szCs w:val="21"/>
                          </w:rPr>
                          <w:t>销售费用</w:t>
                        </w:r>
                      </w:p>
                    </w:tc>
                  </w:sdtContent>
                </w:sdt>
                <w:tc>
                  <w:tcPr>
                    <w:tcW w:w="449" w:type="pct"/>
                    <w:tcBorders>
                      <w:top w:val="outset" w:sz="4" w:space="0" w:color="auto"/>
                      <w:left w:val="outset" w:sz="4" w:space="0" w:color="auto"/>
                      <w:bottom w:val="outset" w:sz="4" w:space="0" w:color="auto"/>
                      <w:right w:val="outset" w:sz="4" w:space="0" w:color="auto"/>
                    </w:tcBorders>
                  </w:tcPr>
                  <w:p w14:paraId="70E4CD5E"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14A793B3" w14:textId="77777777" w:rsidR="00830E72" w:rsidRDefault="008344D8">
                    <w:pPr>
                      <w:jc w:val="center"/>
                      <w:rPr>
                        <w:szCs w:val="21"/>
                      </w:rPr>
                    </w:pPr>
                    <w:r>
                      <w:rPr>
                        <w:szCs w:val="21"/>
                      </w:rPr>
                      <w:t>10,051,473.50</w:t>
                    </w:r>
                  </w:p>
                </w:tc>
                <w:tc>
                  <w:tcPr>
                    <w:tcW w:w="1114" w:type="pct"/>
                    <w:tcBorders>
                      <w:top w:val="outset" w:sz="4" w:space="0" w:color="auto"/>
                      <w:left w:val="outset" w:sz="4" w:space="0" w:color="auto"/>
                      <w:bottom w:val="outset" w:sz="4" w:space="0" w:color="auto"/>
                      <w:right w:val="outset" w:sz="4" w:space="0" w:color="auto"/>
                    </w:tcBorders>
                  </w:tcPr>
                  <w:p w14:paraId="7BD9F9F0" w14:textId="77777777" w:rsidR="00830E72" w:rsidRDefault="008344D8">
                    <w:pPr>
                      <w:jc w:val="right"/>
                      <w:rPr>
                        <w:szCs w:val="21"/>
                      </w:rPr>
                    </w:pPr>
                    <w:r>
                      <w:t>7,508,193.34</w:t>
                    </w:r>
                  </w:p>
                </w:tc>
              </w:tr>
              <w:tr w:rsidR="00830E72" w14:paraId="57DFB36D" w14:textId="77777777">
                <w:sdt>
                  <w:sdtPr>
                    <w:tag w:val="_PLD_a0661646595b49dea568535f2a30949c"/>
                    <w:id w:val="1465161912"/>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322FEE03" w14:textId="77777777" w:rsidR="00830E72" w:rsidRDefault="008344D8">
                        <w:pPr>
                          <w:ind w:firstLineChars="300" w:firstLine="630"/>
                          <w:rPr>
                            <w:szCs w:val="21"/>
                          </w:rPr>
                        </w:pPr>
                        <w:r>
                          <w:rPr>
                            <w:rFonts w:hint="eastAsia"/>
                            <w:szCs w:val="21"/>
                          </w:rPr>
                          <w:t>管理费用</w:t>
                        </w:r>
                      </w:p>
                    </w:tc>
                  </w:sdtContent>
                </w:sdt>
                <w:tc>
                  <w:tcPr>
                    <w:tcW w:w="449" w:type="pct"/>
                    <w:tcBorders>
                      <w:top w:val="outset" w:sz="4" w:space="0" w:color="auto"/>
                      <w:left w:val="outset" w:sz="4" w:space="0" w:color="auto"/>
                      <w:bottom w:val="outset" w:sz="4" w:space="0" w:color="auto"/>
                      <w:right w:val="outset" w:sz="4" w:space="0" w:color="auto"/>
                    </w:tcBorders>
                  </w:tcPr>
                  <w:p w14:paraId="73CAA8DA"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40BCA323" w14:textId="77777777" w:rsidR="00830E72" w:rsidRDefault="008344D8">
                    <w:pPr>
                      <w:jc w:val="right"/>
                      <w:rPr>
                        <w:szCs w:val="21"/>
                      </w:rPr>
                    </w:pPr>
                    <w:r>
                      <w:rPr>
                        <w:szCs w:val="21"/>
                      </w:rPr>
                      <w:t>22,171,922.61</w:t>
                    </w:r>
                  </w:p>
                </w:tc>
                <w:tc>
                  <w:tcPr>
                    <w:tcW w:w="1114" w:type="pct"/>
                    <w:tcBorders>
                      <w:top w:val="outset" w:sz="4" w:space="0" w:color="auto"/>
                      <w:left w:val="outset" w:sz="4" w:space="0" w:color="auto"/>
                      <w:bottom w:val="outset" w:sz="4" w:space="0" w:color="auto"/>
                      <w:right w:val="outset" w:sz="4" w:space="0" w:color="auto"/>
                    </w:tcBorders>
                  </w:tcPr>
                  <w:p w14:paraId="1FCB5DF1" w14:textId="77777777" w:rsidR="00830E72" w:rsidRDefault="008344D8">
                    <w:pPr>
                      <w:jc w:val="right"/>
                      <w:rPr>
                        <w:szCs w:val="21"/>
                      </w:rPr>
                    </w:pPr>
                    <w:r>
                      <w:t>18,271,687.96</w:t>
                    </w:r>
                  </w:p>
                </w:tc>
              </w:tr>
              <w:tr w:rsidR="00830E72" w14:paraId="43AA2AA4" w14:textId="77777777">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9852ba9e79247049df3a6bc9ca51ca0"/>
                      <w:id w:val="-1323196310"/>
                      <w:lock w:val="sdtLocked"/>
                    </w:sdtPr>
                    <w:sdtEndPr/>
                    <w:sdtContent>
                      <w:p w14:paraId="3BF34460" w14:textId="77777777" w:rsidR="00830E72" w:rsidRDefault="008344D8">
                        <w:pPr>
                          <w:ind w:firstLineChars="300" w:firstLine="630"/>
                        </w:pPr>
                        <w:r>
                          <w:rPr>
                            <w:rFonts w:hint="eastAsia"/>
                          </w:rPr>
                          <w:t>研发费用</w:t>
                        </w:r>
                      </w:p>
                    </w:sdtContent>
                  </w:sdt>
                </w:tc>
                <w:tc>
                  <w:tcPr>
                    <w:tcW w:w="449" w:type="pct"/>
                    <w:tcBorders>
                      <w:top w:val="outset" w:sz="4" w:space="0" w:color="auto"/>
                      <w:left w:val="outset" w:sz="4" w:space="0" w:color="auto"/>
                      <w:bottom w:val="outset" w:sz="4" w:space="0" w:color="auto"/>
                      <w:right w:val="outset" w:sz="4" w:space="0" w:color="auto"/>
                    </w:tcBorders>
                  </w:tcPr>
                  <w:p w14:paraId="7E92E04D"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63B3EA79"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8371195" w14:textId="77777777" w:rsidR="00830E72" w:rsidRDefault="00830E72">
                    <w:pPr>
                      <w:jc w:val="right"/>
                      <w:rPr>
                        <w:szCs w:val="21"/>
                      </w:rPr>
                    </w:pPr>
                  </w:p>
                </w:tc>
              </w:tr>
              <w:tr w:rsidR="00830E72" w14:paraId="7FC9B9F1" w14:textId="77777777">
                <w:sdt>
                  <w:sdtPr>
                    <w:tag w:val="_PLD_8d80afb387a7412cacbf6e23bf7e765d"/>
                    <w:id w:val="-1518920203"/>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232A12E" w14:textId="77777777" w:rsidR="00830E72" w:rsidRDefault="008344D8">
                        <w:pPr>
                          <w:ind w:firstLineChars="300" w:firstLine="630"/>
                          <w:rPr>
                            <w:szCs w:val="21"/>
                          </w:rPr>
                        </w:pPr>
                        <w:r>
                          <w:rPr>
                            <w:rFonts w:hint="eastAsia"/>
                            <w:szCs w:val="21"/>
                          </w:rPr>
                          <w:t>财务费用</w:t>
                        </w:r>
                      </w:p>
                    </w:tc>
                  </w:sdtContent>
                </w:sdt>
                <w:tc>
                  <w:tcPr>
                    <w:tcW w:w="449" w:type="pct"/>
                    <w:tcBorders>
                      <w:top w:val="outset" w:sz="4" w:space="0" w:color="auto"/>
                      <w:left w:val="outset" w:sz="4" w:space="0" w:color="auto"/>
                      <w:bottom w:val="outset" w:sz="4" w:space="0" w:color="auto"/>
                      <w:right w:val="outset" w:sz="4" w:space="0" w:color="auto"/>
                    </w:tcBorders>
                  </w:tcPr>
                  <w:p w14:paraId="1B5E461E"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0AB4AFAA" w14:textId="77777777" w:rsidR="00830E72" w:rsidRDefault="008344D8">
                    <w:pPr>
                      <w:jc w:val="right"/>
                      <w:rPr>
                        <w:szCs w:val="21"/>
                      </w:rPr>
                    </w:pPr>
                    <w:r>
                      <w:rPr>
                        <w:szCs w:val="21"/>
                      </w:rPr>
                      <w:t>8,930,148.88</w:t>
                    </w:r>
                  </w:p>
                </w:tc>
                <w:tc>
                  <w:tcPr>
                    <w:tcW w:w="1114" w:type="pct"/>
                    <w:tcBorders>
                      <w:top w:val="outset" w:sz="4" w:space="0" w:color="auto"/>
                      <w:left w:val="outset" w:sz="4" w:space="0" w:color="auto"/>
                      <w:bottom w:val="outset" w:sz="4" w:space="0" w:color="auto"/>
                      <w:right w:val="outset" w:sz="4" w:space="0" w:color="auto"/>
                    </w:tcBorders>
                  </w:tcPr>
                  <w:p w14:paraId="50C3BA2A" w14:textId="77777777" w:rsidR="00830E72" w:rsidRDefault="008344D8">
                    <w:pPr>
                      <w:jc w:val="right"/>
                      <w:rPr>
                        <w:szCs w:val="21"/>
                      </w:rPr>
                    </w:pPr>
                    <w:r>
                      <w:t>4,425,431.68</w:t>
                    </w:r>
                  </w:p>
                </w:tc>
              </w:tr>
              <w:tr w:rsidR="00830E72" w14:paraId="47032BA2" w14:textId="77777777">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b579b7cdda84cef98e4af379ba33cb2"/>
                      <w:id w:val="1281689083"/>
                      <w:lock w:val="sdtLocked"/>
                    </w:sdtPr>
                    <w:sdtEndPr/>
                    <w:sdtContent>
                      <w:p w14:paraId="78EF46D6" w14:textId="77777777" w:rsidR="00830E72" w:rsidRDefault="008344D8">
                        <w:pPr>
                          <w:ind w:firstLineChars="300" w:firstLine="630"/>
                        </w:pPr>
                        <w:r>
                          <w:rPr>
                            <w:rFonts w:hint="eastAsia"/>
                          </w:rPr>
                          <w:t>其中：利息费用</w:t>
                        </w:r>
                      </w:p>
                    </w:sdtContent>
                  </w:sdt>
                </w:tc>
                <w:tc>
                  <w:tcPr>
                    <w:tcW w:w="449" w:type="pct"/>
                    <w:tcBorders>
                      <w:top w:val="outset" w:sz="4" w:space="0" w:color="auto"/>
                      <w:left w:val="outset" w:sz="4" w:space="0" w:color="auto"/>
                      <w:bottom w:val="outset" w:sz="4" w:space="0" w:color="auto"/>
                      <w:right w:val="outset" w:sz="4" w:space="0" w:color="auto"/>
                    </w:tcBorders>
                  </w:tcPr>
                  <w:p w14:paraId="0E7D7C5A"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7F183EDD" w14:textId="77777777" w:rsidR="00830E72" w:rsidRDefault="008344D8">
                    <w:pPr>
                      <w:jc w:val="right"/>
                      <w:rPr>
                        <w:szCs w:val="21"/>
                      </w:rPr>
                    </w:pPr>
                    <w:r>
                      <w:rPr>
                        <w:szCs w:val="21"/>
                      </w:rPr>
                      <w:t>7,860,308.86</w:t>
                    </w:r>
                  </w:p>
                </w:tc>
                <w:tc>
                  <w:tcPr>
                    <w:tcW w:w="1114" w:type="pct"/>
                    <w:tcBorders>
                      <w:top w:val="outset" w:sz="4" w:space="0" w:color="auto"/>
                      <w:left w:val="outset" w:sz="4" w:space="0" w:color="auto"/>
                      <w:bottom w:val="outset" w:sz="4" w:space="0" w:color="auto"/>
                      <w:right w:val="outset" w:sz="4" w:space="0" w:color="auto"/>
                    </w:tcBorders>
                  </w:tcPr>
                  <w:p w14:paraId="6030B100" w14:textId="77777777" w:rsidR="00830E72" w:rsidRDefault="008344D8">
                    <w:pPr>
                      <w:jc w:val="right"/>
                      <w:rPr>
                        <w:szCs w:val="21"/>
                      </w:rPr>
                    </w:pPr>
                    <w:r>
                      <w:t>5,166,158.77</w:t>
                    </w:r>
                  </w:p>
                </w:tc>
              </w:tr>
              <w:tr w:rsidR="00830E72" w14:paraId="027F8810" w14:textId="77777777">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5359bdf6941b58ec89fcbf4066014"/>
                      <w:id w:val="-1152141229"/>
                      <w:lock w:val="sdtLocked"/>
                    </w:sdtPr>
                    <w:sdtEndPr/>
                    <w:sdtContent>
                      <w:p w14:paraId="5FADCF80" w14:textId="77777777" w:rsidR="00830E72" w:rsidRDefault="008344D8">
                        <w:pPr>
                          <w:ind w:firstLineChars="600" w:firstLine="1260"/>
                        </w:pPr>
                        <w:r>
                          <w:rPr>
                            <w:rFonts w:hint="eastAsia"/>
                          </w:rPr>
                          <w:t>利息收入</w:t>
                        </w:r>
                      </w:p>
                    </w:sdtContent>
                  </w:sdt>
                </w:tc>
                <w:tc>
                  <w:tcPr>
                    <w:tcW w:w="449" w:type="pct"/>
                    <w:tcBorders>
                      <w:top w:val="outset" w:sz="4" w:space="0" w:color="auto"/>
                      <w:left w:val="outset" w:sz="4" w:space="0" w:color="auto"/>
                      <w:bottom w:val="outset" w:sz="4" w:space="0" w:color="auto"/>
                      <w:right w:val="outset" w:sz="4" w:space="0" w:color="auto"/>
                    </w:tcBorders>
                  </w:tcPr>
                  <w:p w14:paraId="29FE3FB0"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19DE02C7" w14:textId="77777777" w:rsidR="00830E72" w:rsidRDefault="008344D8">
                    <w:pPr>
                      <w:jc w:val="right"/>
                      <w:rPr>
                        <w:szCs w:val="21"/>
                      </w:rPr>
                    </w:pPr>
                    <w:r>
                      <w:rPr>
                        <w:szCs w:val="21"/>
                      </w:rPr>
                      <w:t>1,499,570.38</w:t>
                    </w:r>
                  </w:p>
                </w:tc>
                <w:tc>
                  <w:tcPr>
                    <w:tcW w:w="1114" w:type="pct"/>
                    <w:tcBorders>
                      <w:top w:val="outset" w:sz="4" w:space="0" w:color="auto"/>
                      <w:left w:val="outset" w:sz="4" w:space="0" w:color="auto"/>
                      <w:bottom w:val="outset" w:sz="4" w:space="0" w:color="auto"/>
                      <w:right w:val="outset" w:sz="4" w:space="0" w:color="auto"/>
                    </w:tcBorders>
                  </w:tcPr>
                  <w:p w14:paraId="751D5CD7" w14:textId="77777777" w:rsidR="00830E72" w:rsidRDefault="008344D8">
                    <w:pPr>
                      <w:jc w:val="right"/>
                      <w:rPr>
                        <w:szCs w:val="21"/>
                      </w:rPr>
                    </w:pPr>
                    <w:r>
                      <w:t>1,546,880.36</w:t>
                    </w:r>
                  </w:p>
                </w:tc>
              </w:tr>
              <w:tr w:rsidR="00830E72" w14:paraId="4243A37A" w14:textId="77777777">
                <w:sdt>
                  <w:sdtPr>
                    <w:tag w:val="_PLD_57b368ef9f204da9ac5a6e42b07d2fda"/>
                    <w:id w:val="-2086296386"/>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1938D46" w14:textId="77777777" w:rsidR="00830E72" w:rsidRDefault="008344D8">
                        <w:pPr>
                          <w:ind w:firstLineChars="100" w:firstLine="210"/>
                          <w:rPr>
                            <w:szCs w:val="21"/>
                          </w:rPr>
                        </w:pPr>
                        <w:r>
                          <w:rPr>
                            <w:rFonts w:hint="eastAsia"/>
                          </w:rPr>
                          <w:t>加：</w:t>
                        </w:r>
                        <w:r>
                          <w:rPr>
                            <w:rFonts w:hint="eastAsia"/>
                            <w:szCs w:val="21"/>
                          </w:rPr>
                          <w:t>其他收益</w:t>
                        </w:r>
                      </w:p>
                    </w:tc>
                  </w:sdtContent>
                </w:sdt>
                <w:tc>
                  <w:tcPr>
                    <w:tcW w:w="449" w:type="pct"/>
                    <w:tcBorders>
                      <w:top w:val="outset" w:sz="4" w:space="0" w:color="auto"/>
                      <w:left w:val="outset" w:sz="4" w:space="0" w:color="auto"/>
                      <w:bottom w:val="outset" w:sz="4" w:space="0" w:color="auto"/>
                      <w:right w:val="outset" w:sz="4" w:space="0" w:color="auto"/>
                    </w:tcBorders>
                  </w:tcPr>
                  <w:p w14:paraId="449FB0DD"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3D50F78F" w14:textId="77777777" w:rsidR="00830E72" w:rsidRDefault="008344D8">
                    <w:pPr>
                      <w:jc w:val="right"/>
                      <w:rPr>
                        <w:szCs w:val="21"/>
                      </w:rPr>
                    </w:pPr>
                    <w:r>
                      <w:rPr>
                        <w:szCs w:val="21"/>
                      </w:rPr>
                      <w:t>93,951.54</w:t>
                    </w:r>
                  </w:p>
                </w:tc>
                <w:tc>
                  <w:tcPr>
                    <w:tcW w:w="1114" w:type="pct"/>
                    <w:tcBorders>
                      <w:top w:val="outset" w:sz="4" w:space="0" w:color="auto"/>
                      <w:left w:val="outset" w:sz="4" w:space="0" w:color="auto"/>
                      <w:bottom w:val="outset" w:sz="4" w:space="0" w:color="auto"/>
                      <w:right w:val="outset" w:sz="4" w:space="0" w:color="auto"/>
                    </w:tcBorders>
                  </w:tcPr>
                  <w:p w14:paraId="66360AA7" w14:textId="77777777" w:rsidR="00830E72" w:rsidRDefault="008344D8">
                    <w:pPr>
                      <w:jc w:val="right"/>
                      <w:rPr>
                        <w:szCs w:val="21"/>
                      </w:rPr>
                    </w:pPr>
                    <w:r>
                      <w:t>66,230.70</w:t>
                    </w:r>
                  </w:p>
                </w:tc>
              </w:tr>
              <w:tr w:rsidR="00830E72" w14:paraId="6FD23E30" w14:textId="77777777">
                <w:sdt>
                  <w:sdtPr>
                    <w:tag w:val="_PLD_16fd18eb434d4828b40716d17c61b068"/>
                    <w:id w:val="-1122307274"/>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37E34DFF" w14:textId="77777777" w:rsidR="00830E72" w:rsidRDefault="008344D8">
                        <w:pPr>
                          <w:ind w:firstLineChars="300" w:firstLine="630"/>
                          <w:rPr>
                            <w:szCs w:val="21"/>
                          </w:rPr>
                        </w:pPr>
                        <w:r>
                          <w:rPr>
                            <w:rFonts w:hint="eastAsia"/>
                            <w:szCs w:val="21"/>
                          </w:rPr>
                          <w:t>投资收益（损失以“－”号填列）</w:t>
                        </w:r>
                      </w:p>
                    </w:tc>
                  </w:sdtContent>
                </w:sdt>
                <w:tc>
                  <w:tcPr>
                    <w:tcW w:w="449" w:type="pct"/>
                    <w:tcBorders>
                      <w:top w:val="outset" w:sz="4" w:space="0" w:color="auto"/>
                      <w:left w:val="outset" w:sz="4" w:space="0" w:color="auto"/>
                      <w:bottom w:val="outset" w:sz="4" w:space="0" w:color="auto"/>
                      <w:right w:val="outset" w:sz="4" w:space="0" w:color="auto"/>
                    </w:tcBorders>
                  </w:tcPr>
                  <w:p w14:paraId="2633FED6"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33C4315C"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8A65331" w14:textId="77777777" w:rsidR="00830E72" w:rsidRDefault="00830E72">
                    <w:pPr>
                      <w:jc w:val="right"/>
                      <w:rPr>
                        <w:szCs w:val="21"/>
                      </w:rPr>
                    </w:pPr>
                  </w:p>
                </w:tc>
              </w:tr>
              <w:tr w:rsidR="00830E72" w14:paraId="5C38ECF4" w14:textId="77777777">
                <w:sdt>
                  <w:sdtPr>
                    <w:tag w:val="_PLD_2bea34f5113c449e9a05ba733de8a76c"/>
                    <w:id w:val="-923178846"/>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FA8AAE6" w14:textId="77777777" w:rsidR="00830E72" w:rsidRDefault="008344D8">
                        <w:pPr>
                          <w:ind w:firstLineChars="300" w:firstLine="630"/>
                          <w:rPr>
                            <w:szCs w:val="21"/>
                          </w:rPr>
                        </w:pPr>
                        <w:r>
                          <w:rPr>
                            <w:rFonts w:hint="eastAsia"/>
                            <w:szCs w:val="21"/>
                          </w:rPr>
                          <w:t>其中：对联营企业和合营企业的投资收益</w:t>
                        </w:r>
                      </w:p>
                    </w:tc>
                  </w:sdtContent>
                </w:sdt>
                <w:tc>
                  <w:tcPr>
                    <w:tcW w:w="449" w:type="pct"/>
                    <w:tcBorders>
                      <w:top w:val="outset" w:sz="4" w:space="0" w:color="auto"/>
                      <w:left w:val="outset" w:sz="4" w:space="0" w:color="auto"/>
                      <w:bottom w:val="outset" w:sz="4" w:space="0" w:color="auto"/>
                      <w:right w:val="outset" w:sz="4" w:space="0" w:color="auto"/>
                    </w:tcBorders>
                  </w:tcPr>
                  <w:p w14:paraId="34B13650"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0D7D5F2D"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DB8F919" w14:textId="77777777" w:rsidR="00830E72" w:rsidRDefault="00830E72">
                    <w:pPr>
                      <w:jc w:val="right"/>
                      <w:rPr>
                        <w:szCs w:val="21"/>
                      </w:rPr>
                    </w:pPr>
                  </w:p>
                </w:tc>
              </w:tr>
              <w:tr w:rsidR="00830E72" w14:paraId="170C29A8" w14:textId="77777777">
                <w:sdt>
                  <w:sdtPr>
                    <w:tag w:val="_PLD_a015afefb87543308b983fbb12c6212d"/>
                    <w:id w:val="-904835161"/>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0EE72150" w14:textId="77777777" w:rsidR="00830E72" w:rsidRDefault="008344D8">
                        <w:pPr>
                          <w:ind w:firstLineChars="550" w:firstLine="1155"/>
                        </w:pPr>
                        <w:r>
                          <w:rPr>
                            <w:rFonts w:hint="eastAsia"/>
                          </w:rPr>
                          <w:t>以摊余成本计量的金融资产终</w:t>
                        </w:r>
                        <w:r>
                          <w:rPr>
                            <w:rFonts w:hint="eastAsia"/>
                          </w:rPr>
                          <w:lastRenderedPageBreak/>
                          <w:t>止确认收益（损失以“</w:t>
                        </w:r>
                        <w:r>
                          <w:t>-”号填列）</w:t>
                        </w:r>
                      </w:p>
                    </w:tc>
                  </w:sdtContent>
                </w:sdt>
                <w:tc>
                  <w:tcPr>
                    <w:tcW w:w="449" w:type="pct"/>
                    <w:tcBorders>
                      <w:top w:val="outset" w:sz="4" w:space="0" w:color="auto"/>
                      <w:left w:val="outset" w:sz="4" w:space="0" w:color="auto"/>
                      <w:bottom w:val="outset" w:sz="4" w:space="0" w:color="auto"/>
                      <w:right w:val="outset" w:sz="4" w:space="0" w:color="auto"/>
                    </w:tcBorders>
                  </w:tcPr>
                  <w:p w14:paraId="53F5B747"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148507FF"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4E907603" w14:textId="77777777" w:rsidR="00830E72" w:rsidRDefault="00830E72">
                    <w:pPr>
                      <w:jc w:val="right"/>
                      <w:rPr>
                        <w:bCs/>
                        <w:szCs w:val="21"/>
                      </w:rPr>
                    </w:pPr>
                  </w:p>
                </w:tc>
              </w:tr>
              <w:tr w:rsidR="00830E72" w14:paraId="702009EE" w14:textId="77777777">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bcb300b294e416d865b2977935ac43a"/>
                      <w:id w:val="1782845743"/>
                      <w:lock w:val="sdtLocked"/>
                    </w:sdtPr>
                    <w:sdtEndPr>
                      <w:rPr>
                        <w:rFonts w:hint="default"/>
                      </w:rPr>
                    </w:sdtEndPr>
                    <w:sdtContent>
                      <w:p w14:paraId="48A6E055" w14:textId="77777777" w:rsidR="00830E72" w:rsidRDefault="008344D8">
                        <w:pPr>
                          <w:ind w:firstLineChars="300" w:firstLine="630"/>
                        </w:pPr>
                        <w:r>
                          <w:rPr>
                            <w:rFonts w:hint="eastAsia"/>
                          </w:rPr>
                          <w:t>净敞口套期收益（损失以“</w:t>
                        </w:r>
                        <w:r>
                          <w:t>-”号填列）</w:t>
                        </w:r>
                      </w:p>
                    </w:sdtContent>
                  </w:sdt>
                </w:tc>
                <w:tc>
                  <w:tcPr>
                    <w:tcW w:w="449" w:type="pct"/>
                    <w:tcBorders>
                      <w:top w:val="outset" w:sz="4" w:space="0" w:color="auto"/>
                      <w:left w:val="outset" w:sz="4" w:space="0" w:color="auto"/>
                      <w:bottom w:val="outset" w:sz="4" w:space="0" w:color="auto"/>
                      <w:right w:val="outset" w:sz="4" w:space="0" w:color="auto"/>
                    </w:tcBorders>
                  </w:tcPr>
                  <w:p w14:paraId="44F8EF9A"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1D0CAECE"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A9ACFBC" w14:textId="77777777" w:rsidR="00830E72" w:rsidRDefault="00830E72">
                    <w:pPr>
                      <w:jc w:val="right"/>
                      <w:rPr>
                        <w:szCs w:val="21"/>
                      </w:rPr>
                    </w:pPr>
                  </w:p>
                </w:tc>
              </w:tr>
              <w:tr w:rsidR="00830E72" w14:paraId="6247E759" w14:textId="77777777">
                <w:sdt>
                  <w:sdtPr>
                    <w:tag w:val="_PLD_96dddecaabdb4c699853ad79ff8ce0c7"/>
                    <w:id w:val="1273203314"/>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829D6DD" w14:textId="77777777" w:rsidR="00830E72" w:rsidRDefault="008344D8">
                        <w:pPr>
                          <w:ind w:firstLineChars="300" w:firstLine="630"/>
                          <w:rPr>
                            <w:color w:val="000000"/>
                            <w:szCs w:val="21"/>
                          </w:rPr>
                        </w:pPr>
                        <w:r>
                          <w:rPr>
                            <w:rFonts w:hint="eastAsia"/>
                            <w:szCs w:val="21"/>
                          </w:rPr>
                          <w:t>公允价值变动收益（损失以“－”号填列）</w:t>
                        </w:r>
                      </w:p>
                    </w:tc>
                  </w:sdtContent>
                </w:sdt>
                <w:tc>
                  <w:tcPr>
                    <w:tcW w:w="449" w:type="pct"/>
                    <w:tcBorders>
                      <w:top w:val="outset" w:sz="4" w:space="0" w:color="auto"/>
                      <w:left w:val="outset" w:sz="4" w:space="0" w:color="auto"/>
                      <w:bottom w:val="outset" w:sz="4" w:space="0" w:color="auto"/>
                      <w:right w:val="outset" w:sz="4" w:space="0" w:color="auto"/>
                    </w:tcBorders>
                  </w:tcPr>
                  <w:p w14:paraId="1824A93D"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517D518A"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4FAE06CE" w14:textId="77777777" w:rsidR="00830E72" w:rsidRDefault="00830E72">
                    <w:pPr>
                      <w:jc w:val="right"/>
                      <w:rPr>
                        <w:szCs w:val="21"/>
                      </w:rPr>
                    </w:pPr>
                  </w:p>
                </w:tc>
              </w:tr>
              <w:tr w:rsidR="00830E72" w14:paraId="46119CFA" w14:textId="77777777">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2ea4b74b8c74945853430e402c6958a"/>
                      <w:id w:val="-1929108786"/>
                      <w:lock w:val="sdtLocked"/>
                    </w:sdtPr>
                    <w:sdtEndPr/>
                    <w:sdtContent>
                      <w:p w14:paraId="7B832B5A" w14:textId="77777777" w:rsidR="00830E72" w:rsidRDefault="008344D8">
                        <w:pPr>
                          <w:ind w:firstLineChars="300" w:firstLine="630"/>
                        </w:pPr>
                        <w:r>
                          <w:rPr>
                            <w:rFonts w:hint="eastAsia"/>
                          </w:rPr>
                          <w:t>信用减值损失（损失以“</w:t>
                        </w:r>
                        <w:r>
                          <w:t>-”号填列）</w:t>
                        </w:r>
                      </w:p>
                    </w:sdtContent>
                  </w:sdt>
                </w:tc>
                <w:tc>
                  <w:tcPr>
                    <w:tcW w:w="449" w:type="pct"/>
                    <w:tcBorders>
                      <w:top w:val="outset" w:sz="4" w:space="0" w:color="auto"/>
                      <w:left w:val="outset" w:sz="4" w:space="0" w:color="auto"/>
                      <w:bottom w:val="outset" w:sz="4" w:space="0" w:color="auto"/>
                      <w:right w:val="outset" w:sz="4" w:space="0" w:color="auto"/>
                    </w:tcBorders>
                  </w:tcPr>
                  <w:p w14:paraId="72231CB8"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4811B6F4" w14:textId="77777777" w:rsidR="00830E72" w:rsidRDefault="008344D8">
                    <w:pPr>
                      <w:jc w:val="right"/>
                      <w:rPr>
                        <w:szCs w:val="21"/>
                      </w:rPr>
                    </w:pPr>
                    <w:r>
                      <w:rPr>
                        <w:szCs w:val="21"/>
                      </w:rPr>
                      <w:t>-191,673.03</w:t>
                    </w:r>
                  </w:p>
                </w:tc>
                <w:tc>
                  <w:tcPr>
                    <w:tcW w:w="1114" w:type="pct"/>
                    <w:tcBorders>
                      <w:top w:val="outset" w:sz="4" w:space="0" w:color="auto"/>
                      <w:left w:val="outset" w:sz="4" w:space="0" w:color="auto"/>
                      <w:bottom w:val="outset" w:sz="4" w:space="0" w:color="auto"/>
                      <w:right w:val="outset" w:sz="4" w:space="0" w:color="auto"/>
                    </w:tcBorders>
                  </w:tcPr>
                  <w:p w14:paraId="6AA48F12" w14:textId="77777777" w:rsidR="00830E72" w:rsidRDefault="008344D8">
                    <w:pPr>
                      <w:jc w:val="right"/>
                      <w:rPr>
                        <w:szCs w:val="21"/>
                      </w:rPr>
                    </w:pPr>
                    <w:r>
                      <w:t>77,855.12</w:t>
                    </w:r>
                  </w:p>
                </w:tc>
              </w:tr>
              <w:tr w:rsidR="00830E72" w14:paraId="7FD159FF" w14:textId="77777777">
                <w:sdt>
                  <w:sdtPr>
                    <w:tag w:val="_PLD_16430dcabb93489da19dede13b679da4"/>
                    <w:id w:val="714312997"/>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2CBFEAD4" w14:textId="77777777" w:rsidR="00830E72" w:rsidRDefault="008344D8">
                        <w:pPr>
                          <w:ind w:firstLineChars="300" w:firstLine="630"/>
                          <w:rPr>
                            <w:szCs w:val="21"/>
                          </w:rPr>
                        </w:pPr>
                        <w:r>
                          <w:rPr>
                            <w:rFonts w:hint="eastAsia"/>
                            <w:szCs w:val="21"/>
                          </w:rPr>
                          <w:t>资产减值损失（损失以“</w:t>
                        </w:r>
                        <w:r>
                          <w:rPr>
                            <w:szCs w:val="21"/>
                          </w:rPr>
                          <w:t>-”号填列）</w:t>
                        </w:r>
                      </w:p>
                    </w:tc>
                  </w:sdtContent>
                </w:sdt>
                <w:tc>
                  <w:tcPr>
                    <w:tcW w:w="449" w:type="pct"/>
                    <w:tcBorders>
                      <w:top w:val="outset" w:sz="4" w:space="0" w:color="auto"/>
                      <w:left w:val="outset" w:sz="4" w:space="0" w:color="auto"/>
                      <w:bottom w:val="outset" w:sz="4" w:space="0" w:color="auto"/>
                      <w:right w:val="outset" w:sz="4" w:space="0" w:color="auto"/>
                    </w:tcBorders>
                  </w:tcPr>
                  <w:p w14:paraId="59A08FD8"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7FBB4095" w14:textId="77777777" w:rsidR="00830E72" w:rsidRDefault="008344D8">
                    <w:pPr>
                      <w:jc w:val="right"/>
                      <w:rPr>
                        <w:szCs w:val="21"/>
                      </w:rPr>
                    </w:pPr>
                    <w:r>
                      <w:rPr>
                        <w:szCs w:val="21"/>
                      </w:rPr>
                      <w:t>1,633,247.73</w:t>
                    </w:r>
                  </w:p>
                </w:tc>
                <w:tc>
                  <w:tcPr>
                    <w:tcW w:w="1114" w:type="pct"/>
                    <w:tcBorders>
                      <w:top w:val="outset" w:sz="4" w:space="0" w:color="auto"/>
                      <w:left w:val="outset" w:sz="4" w:space="0" w:color="auto"/>
                      <w:bottom w:val="outset" w:sz="4" w:space="0" w:color="auto"/>
                      <w:right w:val="outset" w:sz="4" w:space="0" w:color="auto"/>
                    </w:tcBorders>
                  </w:tcPr>
                  <w:p w14:paraId="4DA9A2A4" w14:textId="77777777" w:rsidR="00830E72" w:rsidRDefault="00830E72">
                    <w:pPr>
                      <w:jc w:val="right"/>
                      <w:rPr>
                        <w:szCs w:val="21"/>
                      </w:rPr>
                    </w:pPr>
                  </w:p>
                </w:tc>
              </w:tr>
              <w:tr w:rsidR="00830E72" w14:paraId="41F11844" w14:textId="77777777">
                <w:sdt>
                  <w:sdtPr>
                    <w:rPr>
                      <w:rFonts w:hint="eastAsia"/>
                    </w:rPr>
                    <w:tag w:val="_PLD_907d21105eff451b99c14b026296e12a"/>
                    <w:id w:val="-46526802"/>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D768579" w14:textId="77777777" w:rsidR="00830E72" w:rsidRDefault="008344D8">
                        <w:pPr>
                          <w:ind w:firstLineChars="300" w:firstLine="630"/>
                        </w:pPr>
                        <w:r>
                          <w:rPr>
                            <w:rFonts w:hint="eastAsia"/>
                          </w:rPr>
                          <w:t>资产处置收益（损失以“－”号填列）</w:t>
                        </w:r>
                      </w:p>
                    </w:tc>
                  </w:sdtContent>
                </w:sdt>
                <w:tc>
                  <w:tcPr>
                    <w:tcW w:w="449" w:type="pct"/>
                    <w:tcBorders>
                      <w:top w:val="outset" w:sz="4" w:space="0" w:color="auto"/>
                      <w:left w:val="outset" w:sz="4" w:space="0" w:color="auto"/>
                      <w:bottom w:val="outset" w:sz="4" w:space="0" w:color="auto"/>
                      <w:right w:val="outset" w:sz="4" w:space="0" w:color="auto"/>
                    </w:tcBorders>
                  </w:tcPr>
                  <w:p w14:paraId="66EB33EB"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6833AAB7" w14:textId="77777777" w:rsidR="00830E72" w:rsidRDefault="008344D8">
                    <w:pPr>
                      <w:jc w:val="right"/>
                      <w:rPr>
                        <w:szCs w:val="21"/>
                      </w:rPr>
                    </w:pPr>
                    <w:r>
                      <w:rPr>
                        <w:szCs w:val="21"/>
                      </w:rPr>
                      <w:t>-34,450.15</w:t>
                    </w:r>
                  </w:p>
                </w:tc>
                <w:tc>
                  <w:tcPr>
                    <w:tcW w:w="1114" w:type="pct"/>
                    <w:tcBorders>
                      <w:top w:val="outset" w:sz="4" w:space="0" w:color="auto"/>
                      <w:left w:val="outset" w:sz="4" w:space="0" w:color="auto"/>
                      <w:bottom w:val="outset" w:sz="4" w:space="0" w:color="auto"/>
                      <w:right w:val="outset" w:sz="4" w:space="0" w:color="auto"/>
                    </w:tcBorders>
                  </w:tcPr>
                  <w:p w14:paraId="21292159" w14:textId="77777777" w:rsidR="00830E72" w:rsidRDefault="008344D8">
                    <w:pPr>
                      <w:jc w:val="right"/>
                      <w:rPr>
                        <w:szCs w:val="21"/>
                      </w:rPr>
                    </w:pPr>
                    <w:r>
                      <w:t>-7,826.25</w:t>
                    </w:r>
                  </w:p>
                </w:tc>
              </w:tr>
              <w:tr w:rsidR="00830E72" w14:paraId="7F442BD7" w14:textId="77777777">
                <w:sdt>
                  <w:sdtPr>
                    <w:tag w:val="_PLD_107926df9ebd4b039128ab562ec28ff7"/>
                    <w:id w:val="577336660"/>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93CC6BD" w14:textId="77777777" w:rsidR="00830E72" w:rsidRDefault="008344D8">
                        <w:pPr>
                          <w:ind w:left="-19"/>
                          <w:rPr>
                            <w:color w:val="000000"/>
                            <w:szCs w:val="21"/>
                          </w:rPr>
                        </w:pPr>
                        <w:r>
                          <w:rPr>
                            <w:rFonts w:hint="eastAsia"/>
                            <w:szCs w:val="21"/>
                          </w:rPr>
                          <w:t>二、营业利润（亏损以“－”号填列）</w:t>
                        </w:r>
                      </w:p>
                    </w:tc>
                  </w:sdtContent>
                </w:sdt>
                <w:tc>
                  <w:tcPr>
                    <w:tcW w:w="449" w:type="pct"/>
                    <w:tcBorders>
                      <w:top w:val="outset" w:sz="4" w:space="0" w:color="auto"/>
                      <w:left w:val="outset" w:sz="4" w:space="0" w:color="auto"/>
                      <w:bottom w:val="outset" w:sz="4" w:space="0" w:color="auto"/>
                      <w:right w:val="outset" w:sz="4" w:space="0" w:color="auto"/>
                    </w:tcBorders>
                  </w:tcPr>
                  <w:p w14:paraId="0BA118EE"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3E4614E3" w14:textId="77777777" w:rsidR="00830E72" w:rsidRDefault="008344D8">
                    <w:pPr>
                      <w:jc w:val="right"/>
                      <w:rPr>
                        <w:szCs w:val="21"/>
                      </w:rPr>
                    </w:pPr>
                    <w:r>
                      <w:rPr>
                        <w:szCs w:val="21"/>
                      </w:rPr>
                      <w:t>58,954,497.46</w:t>
                    </w:r>
                  </w:p>
                </w:tc>
                <w:tc>
                  <w:tcPr>
                    <w:tcW w:w="1114" w:type="pct"/>
                    <w:tcBorders>
                      <w:top w:val="outset" w:sz="4" w:space="0" w:color="auto"/>
                      <w:left w:val="outset" w:sz="4" w:space="0" w:color="auto"/>
                      <w:bottom w:val="outset" w:sz="4" w:space="0" w:color="auto"/>
                      <w:right w:val="outset" w:sz="4" w:space="0" w:color="auto"/>
                    </w:tcBorders>
                  </w:tcPr>
                  <w:p w14:paraId="219C2BAC" w14:textId="77777777" w:rsidR="00830E72" w:rsidRDefault="008344D8">
                    <w:pPr>
                      <w:jc w:val="right"/>
                      <w:rPr>
                        <w:szCs w:val="21"/>
                      </w:rPr>
                    </w:pPr>
                    <w:r>
                      <w:t>45,125,141.09</w:t>
                    </w:r>
                  </w:p>
                </w:tc>
              </w:tr>
              <w:tr w:rsidR="00830E72" w14:paraId="58789F77" w14:textId="77777777">
                <w:sdt>
                  <w:sdtPr>
                    <w:tag w:val="_PLD_279fac843c63467da244e8b49f89e4dc"/>
                    <w:id w:val="601222948"/>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552C672" w14:textId="77777777" w:rsidR="00830E72" w:rsidRDefault="008344D8">
                        <w:pPr>
                          <w:ind w:firstLineChars="100" w:firstLine="210"/>
                          <w:rPr>
                            <w:color w:val="000000"/>
                            <w:szCs w:val="21"/>
                          </w:rPr>
                        </w:pPr>
                        <w:r>
                          <w:rPr>
                            <w:rFonts w:hint="eastAsia"/>
                            <w:szCs w:val="21"/>
                          </w:rPr>
                          <w:t>加：营业外收入</w:t>
                        </w:r>
                      </w:p>
                    </w:tc>
                  </w:sdtContent>
                </w:sdt>
                <w:tc>
                  <w:tcPr>
                    <w:tcW w:w="449" w:type="pct"/>
                    <w:tcBorders>
                      <w:top w:val="outset" w:sz="4" w:space="0" w:color="auto"/>
                      <w:left w:val="outset" w:sz="4" w:space="0" w:color="auto"/>
                      <w:bottom w:val="outset" w:sz="4" w:space="0" w:color="auto"/>
                      <w:right w:val="outset" w:sz="4" w:space="0" w:color="auto"/>
                    </w:tcBorders>
                  </w:tcPr>
                  <w:p w14:paraId="039400A0"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5FE89B51" w14:textId="77777777" w:rsidR="00830E72" w:rsidRDefault="008344D8">
                    <w:pPr>
                      <w:jc w:val="right"/>
                      <w:rPr>
                        <w:szCs w:val="21"/>
                      </w:rPr>
                    </w:pPr>
                    <w:r>
                      <w:rPr>
                        <w:szCs w:val="21"/>
                      </w:rPr>
                      <w:t>347,360.73</w:t>
                    </w:r>
                  </w:p>
                </w:tc>
                <w:tc>
                  <w:tcPr>
                    <w:tcW w:w="1114" w:type="pct"/>
                    <w:tcBorders>
                      <w:top w:val="outset" w:sz="4" w:space="0" w:color="auto"/>
                      <w:left w:val="outset" w:sz="4" w:space="0" w:color="auto"/>
                      <w:bottom w:val="outset" w:sz="4" w:space="0" w:color="auto"/>
                      <w:right w:val="outset" w:sz="4" w:space="0" w:color="auto"/>
                    </w:tcBorders>
                  </w:tcPr>
                  <w:p w14:paraId="799B5E2B" w14:textId="77777777" w:rsidR="00830E72" w:rsidRDefault="008344D8">
                    <w:pPr>
                      <w:jc w:val="right"/>
                      <w:rPr>
                        <w:szCs w:val="21"/>
                      </w:rPr>
                    </w:pPr>
                    <w:r>
                      <w:t>3,272,699.15</w:t>
                    </w:r>
                  </w:p>
                </w:tc>
              </w:tr>
              <w:tr w:rsidR="00830E72" w14:paraId="7848F72B" w14:textId="77777777">
                <w:sdt>
                  <w:sdtPr>
                    <w:tag w:val="_PLD_f7c3a61b735644a1a4b866e88cef247a"/>
                    <w:id w:val="-553770763"/>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268A7E36" w14:textId="77777777" w:rsidR="00830E72" w:rsidRDefault="008344D8">
                        <w:pPr>
                          <w:ind w:firstLineChars="100" w:firstLine="210"/>
                          <w:rPr>
                            <w:color w:val="000000"/>
                            <w:szCs w:val="21"/>
                          </w:rPr>
                        </w:pPr>
                        <w:r>
                          <w:rPr>
                            <w:rFonts w:hint="eastAsia"/>
                            <w:szCs w:val="21"/>
                          </w:rPr>
                          <w:t>减：营业外支出</w:t>
                        </w:r>
                      </w:p>
                    </w:tc>
                  </w:sdtContent>
                </w:sdt>
                <w:tc>
                  <w:tcPr>
                    <w:tcW w:w="449" w:type="pct"/>
                    <w:tcBorders>
                      <w:top w:val="outset" w:sz="4" w:space="0" w:color="auto"/>
                      <w:left w:val="outset" w:sz="4" w:space="0" w:color="auto"/>
                      <w:bottom w:val="outset" w:sz="4" w:space="0" w:color="auto"/>
                      <w:right w:val="outset" w:sz="4" w:space="0" w:color="auto"/>
                    </w:tcBorders>
                  </w:tcPr>
                  <w:p w14:paraId="2A189943"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0CBC694C" w14:textId="77777777" w:rsidR="00830E72" w:rsidRDefault="008344D8">
                    <w:pPr>
                      <w:jc w:val="right"/>
                      <w:rPr>
                        <w:szCs w:val="21"/>
                      </w:rPr>
                    </w:pPr>
                    <w:r>
                      <w:rPr>
                        <w:szCs w:val="21"/>
                      </w:rPr>
                      <w:t>558,343.62</w:t>
                    </w:r>
                  </w:p>
                </w:tc>
                <w:tc>
                  <w:tcPr>
                    <w:tcW w:w="1114" w:type="pct"/>
                    <w:tcBorders>
                      <w:top w:val="outset" w:sz="4" w:space="0" w:color="auto"/>
                      <w:left w:val="outset" w:sz="4" w:space="0" w:color="auto"/>
                      <w:bottom w:val="outset" w:sz="4" w:space="0" w:color="auto"/>
                      <w:right w:val="outset" w:sz="4" w:space="0" w:color="auto"/>
                    </w:tcBorders>
                  </w:tcPr>
                  <w:p w14:paraId="332046CD" w14:textId="77777777" w:rsidR="00830E72" w:rsidRDefault="008344D8">
                    <w:pPr>
                      <w:jc w:val="right"/>
                      <w:rPr>
                        <w:szCs w:val="21"/>
                      </w:rPr>
                    </w:pPr>
                    <w:r>
                      <w:t>87,979.47</w:t>
                    </w:r>
                  </w:p>
                </w:tc>
              </w:tr>
              <w:tr w:rsidR="00830E72" w14:paraId="5AD01C7B" w14:textId="77777777">
                <w:sdt>
                  <w:sdtPr>
                    <w:tag w:val="_PLD_5956406fbb5b47029f2bca13fce9359e"/>
                    <w:id w:val="1304420818"/>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223F1E84" w14:textId="77777777" w:rsidR="00830E72" w:rsidRDefault="008344D8">
                        <w:pPr>
                          <w:ind w:left="-19"/>
                          <w:rPr>
                            <w:color w:val="000000"/>
                            <w:szCs w:val="21"/>
                          </w:rPr>
                        </w:pPr>
                        <w:r>
                          <w:rPr>
                            <w:rFonts w:hint="eastAsia"/>
                            <w:szCs w:val="21"/>
                          </w:rPr>
                          <w:t>三、利润总额（亏损总额以“－”号填列）</w:t>
                        </w:r>
                      </w:p>
                    </w:tc>
                  </w:sdtContent>
                </w:sdt>
                <w:tc>
                  <w:tcPr>
                    <w:tcW w:w="449" w:type="pct"/>
                    <w:tcBorders>
                      <w:top w:val="outset" w:sz="4" w:space="0" w:color="auto"/>
                      <w:left w:val="outset" w:sz="4" w:space="0" w:color="auto"/>
                      <w:bottom w:val="outset" w:sz="4" w:space="0" w:color="auto"/>
                      <w:right w:val="outset" w:sz="4" w:space="0" w:color="auto"/>
                    </w:tcBorders>
                  </w:tcPr>
                  <w:p w14:paraId="6A826506"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276A846D" w14:textId="77777777" w:rsidR="00830E72" w:rsidRDefault="008344D8">
                    <w:pPr>
                      <w:jc w:val="right"/>
                      <w:rPr>
                        <w:szCs w:val="21"/>
                      </w:rPr>
                    </w:pPr>
                    <w:r>
                      <w:rPr>
                        <w:szCs w:val="21"/>
                      </w:rPr>
                      <w:t>58,743,514.57</w:t>
                    </w:r>
                  </w:p>
                </w:tc>
                <w:tc>
                  <w:tcPr>
                    <w:tcW w:w="1114" w:type="pct"/>
                    <w:tcBorders>
                      <w:top w:val="outset" w:sz="4" w:space="0" w:color="auto"/>
                      <w:left w:val="outset" w:sz="4" w:space="0" w:color="auto"/>
                      <w:bottom w:val="outset" w:sz="4" w:space="0" w:color="auto"/>
                      <w:right w:val="outset" w:sz="4" w:space="0" w:color="auto"/>
                    </w:tcBorders>
                  </w:tcPr>
                  <w:p w14:paraId="3C671CFE" w14:textId="77777777" w:rsidR="00830E72" w:rsidRDefault="008344D8">
                    <w:pPr>
                      <w:jc w:val="right"/>
                      <w:rPr>
                        <w:szCs w:val="21"/>
                      </w:rPr>
                    </w:pPr>
                    <w:r>
                      <w:t>48,309,860.77</w:t>
                    </w:r>
                  </w:p>
                </w:tc>
              </w:tr>
              <w:tr w:rsidR="00830E72" w14:paraId="0B77A48E" w14:textId="77777777">
                <w:sdt>
                  <w:sdtPr>
                    <w:tag w:val="_PLD_6de0aad305fe4960b4c088f68ada351b"/>
                    <w:id w:val="1336347691"/>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CE17D36" w14:textId="77777777" w:rsidR="00830E72" w:rsidRDefault="008344D8">
                        <w:pPr>
                          <w:ind w:left="-19" w:firstLineChars="200" w:firstLine="420"/>
                          <w:rPr>
                            <w:color w:val="000000"/>
                            <w:szCs w:val="21"/>
                          </w:rPr>
                        </w:pPr>
                        <w:r>
                          <w:rPr>
                            <w:rFonts w:hint="eastAsia"/>
                            <w:szCs w:val="21"/>
                          </w:rPr>
                          <w:t>减：所得税费用</w:t>
                        </w:r>
                      </w:p>
                    </w:tc>
                  </w:sdtContent>
                </w:sdt>
                <w:tc>
                  <w:tcPr>
                    <w:tcW w:w="449" w:type="pct"/>
                    <w:tcBorders>
                      <w:top w:val="outset" w:sz="4" w:space="0" w:color="auto"/>
                      <w:left w:val="outset" w:sz="4" w:space="0" w:color="auto"/>
                      <w:bottom w:val="outset" w:sz="4" w:space="0" w:color="auto"/>
                      <w:right w:val="outset" w:sz="4" w:space="0" w:color="auto"/>
                    </w:tcBorders>
                  </w:tcPr>
                  <w:p w14:paraId="718D7B59"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5BC1F38D" w14:textId="77777777" w:rsidR="00830E72" w:rsidRDefault="008344D8">
                    <w:pPr>
                      <w:jc w:val="right"/>
                      <w:rPr>
                        <w:szCs w:val="21"/>
                      </w:rPr>
                    </w:pPr>
                    <w:r>
                      <w:rPr>
                        <w:szCs w:val="21"/>
                      </w:rPr>
                      <w:t>17,145,018.30</w:t>
                    </w:r>
                  </w:p>
                </w:tc>
                <w:tc>
                  <w:tcPr>
                    <w:tcW w:w="1114" w:type="pct"/>
                    <w:tcBorders>
                      <w:top w:val="outset" w:sz="4" w:space="0" w:color="auto"/>
                      <w:left w:val="outset" w:sz="4" w:space="0" w:color="auto"/>
                      <w:bottom w:val="outset" w:sz="4" w:space="0" w:color="auto"/>
                      <w:right w:val="outset" w:sz="4" w:space="0" w:color="auto"/>
                    </w:tcBorders>
                  </w:tcPr>
                  <w:p w14:paraId="3AA9498E" w14:textId="77777777" w:rsidR="00830E72" w:rsidRDefault="008344D8">
                    <w:pPr>
                      <w:jc w:val="right"/>
                      <w:rPr>
                        <w:szCs w:val="21"/>
                      </w:rPr>
                    </w:pPr>
                    <w:r>
                      <w:t>13,198,037.35</w:t>
                    </w:r>
                  </w:p>
                </w:tc>
              </w:tr>
              <w:tr w:rsidR="00830E72" w14:paraId="12728B68" w14:textId="77777777">
                <w:sdt>
                  <w:sdtPr>
                    <w:tag w:val="_PLD_7ab8a9f66eb1439ab50e43a032c9541e"/>
                    <w:id w:val="897865864"/>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07F09882" w14:textId="77777777" w:rsidR="00830E72" w:rsidRDefault="008344D8">
                        <w:pPr>
                          <w:ind w:left="-19"/>
                          <w:rPr>
                            <w:color w:val="000000"/>
                            <w:szCs w:val="21"/>
                          </w:rPr>
                        </w:pPr>
                        <w:r>
                          <w:rPr>
                            <w:rFonts w:hint="eastAsia"/>
                            <w:szCs w:val="21"/>
                          </w:rPr>
                          <w:t>四、净利润（净亏损以“－”号填列）</w:t>
                        </w:r>
                      </w:p>
                    </w:tc>
                  </w:sdtContent>
                </w:sdt>
                <w:tc>
                  <w:tcPr>
                    <w:tcW w:w="449" w:type="pct"/>
                    <w:tcBorders>
                      <w:top w:val="outset" w:sz="4" w:space="0" w:color="auto"/>
                      <w:left w:val="outset" w:sz="4" w:space="0" w:color="auto"/>
                      <w:bottom w:val="outset" w:sz="4" w:space="0" w:color="auto"/>
                      <w:right w:val="outset" w:sz="4" w:space="0" w:color="auto"/>
                    </w:tcBorders>
                  </w:tcPr>
                  <w:p w14:paraId="34175A31"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7EEBCEA8" w14:textId="77777777" w:rsidR="00830E72" w:rsidRDefault="008344D8">
                    <w:pPr>
                      <w:jc w:val="center"/>
                      <w:rPr>
                        <w:szCs w:val="21"/>
                      </w:rPr>
                    </w:pPr>
                    <w:r>
                      <w:rPr>
                        <w:szCs w:val="21"/>
                      </w:rPr>
                      <w:t>41,598,496.27</w:t>
                    </w:r>
                  </w:p>
                </w:tc>
                <w:tc>
                  <w:tcPr>
                    <w:tcW w:w="1114" w:type="pct"/>
                    <w:tcBorders>
                      <w:top w:val="outset" w:sz="4" w:space="0" w:color="auto"/>
                      <w:left w:val="outset" w:sz="4" w:space="0" w:color="auto"/>
                      <w:bottom w:val="outset" w:sz="4" w:space="0" w:color="auto"/>
                      <w:right w:val="outset" w:sz="4" w:space="0" w:color="auto"/>
                    </w:tcBorders>
                  </w:tcPr>
                  <w:p w14:paraId="37640076" w14:textId="77777777" w:rsidR="00830E72" w:rsidRDefault="008344D8">
                    <w:pPr>
                      <w:jc w:val="right"/>
                      <w:rPr>
                        <w:szCs w:val="21"/>
                      </w:rPr>
                    </w:pPr>
                    <w:r>
                      <w:t>35,111,823.42</w:t>
                    </w:r>
                  </w:p>
                </w:tc>
              </w:tr>
              <w:tr w:rsidR="00830E72" w14:paraId="1C30D935" w14:textId="77777777">
                <w:sdt>
                  <w:sdtPr>
                    <w:tag w:val="_PLD_289ca01a050e4d34aae7f623dfff6058"/>
                    <w:id w:val="463240606"/>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4F5AD4C5" w14:textId="77777777" w:rsidR="00830E72" w:rsidRDefault="008344D8" w:rsidP="008344D8">
                        <w:pPr>
                          <w:ind w:firstLineChars="108" w:firstLine="227"/>
                        </w:pPr>
                        <w:r>
                          <w:rPr>
                            <w:rFonts w:hint="eastAsia"/>
                            <w:szCs w:val="21"/>
                          </w:rPr>
                          <w:t>（一）</w:t>
                        </w:r>
                        <w:r>
                          <w:t>持续经营净利润（净亏损以“－”号填列）</w:t>
                        </w:r>
                      </w:p>
                    </w:tc>
                  </w:sdtContent>
                </w:sdt>
                <w:tc>
                  <w:tcPr>
                    <w:tcW w:w="449" w:type="pct"/>
                    <w:tcBorders>
                      <w:top w:val="outset" w:sz="4" w:space="0" w:color="auto"/>
                      <w:left w:val="outset" w:sz="4" w:space="0" w:color="auto"/>
                      <w:bottom w:val="outset" w:sz="4" w:space="0" w:color="auto"/>
                      <w:right w:val="outset" w:sz="4" w:space="0" w:color="auto"/>
                    </w:tcBorders>
                  </w:tcPr>
                  <w:p w14:paraId="6AA1680C"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4D21966F" w14:textId="77777777" w:rsidR="00830E72" w:rsidRDefault="008344D8">
                    <w:pPr>
                      <w:jc w:val="right"/>
                      <w:rPr>
                        <w:szCs w:val="21"/>
                      </w:rPr>
                    </w:pPr>
                    <w:r>
                      <w:rPr>
                        <w:szCs w:val="21"/>
                      </w:rPr>
                      <w:t>41,598,496.27</w:t>
                    </w:r>
                  </w:p>
                </w:tc>
                <w:tc>
                  <w:tcPr>
                    <w:tcW w:w="1114" w:type="pct"/>
                    <w:tcBorders>
                      <w:top w:val="outset" w:sz="4" w:space="0" w:color="auto"/>
                      <w:left w:val="outset" w:sz="4" w:space="0" w:color="auto"/>
                      <w:bottom w:val="outset" w:sz="4" w:space="0" w:color="auto"/>
                      <w:right w:val="outset" w:sz="4" w:space="0" w:color="auto"/>
                    </w:tcBorders>
                  </w:tcPr>
                  <w:p w14:paraId="1C9506C1" w14:textId="77777777" w:rsidR="00830E72" w:rsidRDefault="008344D8">
                    <w:pPr>
                      <w:jc w:val="right"/>
                      <w:rPr>
                        <w:szCs w:val="21"/>
                      </w:rPr>
                    </w:pPr>
                    <w:r>
                      <w:t>35,111,823.42</w:t>
                    </w:r>
                  </w:p>
                </w:tc>
              </w:tr>
              <w:tr w:rsidR="00830E72" w14:paraId="3711B04C" w14:textId="77777777">
                <w:sdt>
                  <w:sdtPr>
                    <w:rPr>
                      <w:rFonts w:hint="eastAsia"/>
                    </w:rPr>
                    <w:tag w:val="_PLD_3b2e8ef21ec246eaabe42c7024d8ce19"/>
                    <w:id w:val="-274327980"/>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909777C" w14:textId="77777777" w:rsidR="00830E72" w:rsidRDefault="008344D8" w:rsidP="008344D8">
                        <w:pPr>
                          <w:ind w:firstLineChars="108" w:firstLine="227"/>
                        </w:pPr>
                        <w:r>
                          <w:rPr>
                            <w:rFonts w:hint="eastAsia"/>
                          </w:rPr>
                          <w:t>（二）终止经营净利润（净亏损以“－”号填列）</w:t>
                        </w:r>
                      </w:p>
                    </w:tc>
                  </w:sdtContent>
                </w:sdt>
                <w:tc>
                  <w:tcPr>
                    <w:tcW w:w="449" w:type="pct"/>
                    <w:tcBorders>
                      <w:top w:val="outset" w:sz="4" w:space="0" w:color="auto"/>
                      <w:left w:val="outset" w:sz="4" w:space="0" w:color="auto"/>
                      <w:bottom w:val="outset" w:sz="4" w:space="0" w:color="auto"/>
                      <w:right w:val="outset" w:sz="4" w:space="0" w:color="auto"/>
                    </w:tcBorders>
                  </w:tcPr>
                  <w:p w14:paraId="1B39907D"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0A68C6FB"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0A64E2B" w14:textId="77777777" w:rsidR="00830E72" w:rsidRDefault="00830E72">
                    <w:pPr>
                      <w:jc w:val="right"/>
                      <w:rPr>
                        <w:szCs w:val="21"/>
                      </w:rPr>
                    </w:pPr>
                  </w:p>
                </w:tc>
              </w:tr>
              <w:tr w:rsidR="00830E72" w14:paraId="052DAE18" w14:textId="77777777">
                <w:sdt>
                  <w:sdtPr>
                    <w:tag w:val="_PLD_843a2fab84a848319e89b43f4f5f13af"/>
                    <w:id w:val="1977941683"/>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3CA52402" w14:textId="77777777" w:rsidR="00830E72" w:rsidRDefault="008344D8" w:rsidP="008344D8">
                        <w:pPr>
                          <w:ind w:leftChars="-19" w:hangingChars="19" w:hanging="40"/>
                          <w:rPr>
                            <w:szCs w:val="21"/>
                          </w:rPr>
                        </w:pPr>
                        <w:r>
                          <w:rPr>
                            <w:rFonts w:hint="eastAsia"/>
                            <w:szCs w:val="21"/>
                          </w:rPr>
                          <w:t>五、其他综合收益的税后净额</w:t>
                        </w:r>
                      </w:p>
                    </w:tc>
                  </w:sdtContent>
                </w:sdt>
                <w:tc>
                  <w:tcPr>
                    <w:tcW w:w="449" w:type="pct"/>
                    <w:tcBorders>
                      <w:top w:val="outset" w:sz="4" w:space="0" w:color="auto"/>
                      <w:left w:val="outset" w:sz="4" w:space="0" w:color="auto"/>
                      <w:bottom w:val="outset" w:sz="4" w:space="0" w:color="auto"/>
                      <w:right w:val="outset" w:sz="4" w:space="0" w:color="auto"/>
                    </w:tcBorders>
                  </w:tcPr>
                  <w:p w14:paraId="266336BF"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473804F1"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4B227D4C" w14:textId="77777777" w:rsidR="00830E72" w:rsidRDefault="00830E72">
                    <w:pPr>
                      <w:jc w:val="right"/>
                      <w:rPr>
                        <w:szCs w:val="21"/>
                      </w:rPr>
                    </w:pPr>
                  </w:p>
                </w:tc>
              </w:tr>
              <w:tr w:rsidR="00830E72" w14:paraId="5CC9E9BE" w14:textId="77777777">
                <w:sdt>
                  <w:sdtPr>
                    <w:tag w:val="_PLD_b8aa6d052de04d1a947a8cf96dde3fef"/>
                    <w:id w:val="-1755973088"/>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447C8E42" w14:textId="77777777" w:rsidR="00830E72" w:rsidRDefault="008344D8">
                        <w:pPr>
                          <w:ind w:firstLineChars="100" w:firstLine="210"/>
                          <w:rPr>
                            <w:szCs w:val="21"/>
                          </w:rPr>
                        </w:pPr>
                        <w:r>
                          <w:rPr>
                            <w:rFonts w:hint="eastAsia"/>
                            <w:szCs w:val="21"/>
                          </w:rPr>
                          <w:t>（一）不能重分类进损益的其他综合收益</w:t>
                        </w:r>
                      </w:p>
                    </w:tc>
                  </w:sdtContent>
                </w:sdt>
                <w:tc>
                  <w:tcPr>
                    <w:tcW w:w="449" w:type="pct"/>
                    <w:tcBorders>
                      <w:top w:val="outset" w:sz="4" w:space="0" w:color="auto"/>
                      <w:left w:val="outset" w:sz="4" w:space="0" w:color="auto"/>
                      <w:bottom w:val="outset" w:sz="4" w:space="0" w:color="auto"/>
                      <w:right w:val="outset" w:sz="4" w:space="0" w:color="auto"/>
                    </w:tcBorders>
                  </w:tcPr>
                  <w:p w14:paraId="796A5503"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7F4C4886"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C874760" w14:textId="77777777" w:rsidR="00830E72" w:rsidRDefault="00830E72">
                    <w:pPr>
                      <w:jc w:val="right"/>
                      <w:rPr>
                        <w:szCs w:val="21"/>
                      </w:rPr>
                    </w:pPr>
                  </w:p>
                </w:tc>
              </w:tr>
              <w:tr w:rsidR="00830E72" w14:paraId="37A8F2D9" w14:textId="77777777">
                <w:sdt>
                  <w:sdtPr>
                    <w:tag w:val="_PLD_2f95025f3e0f4c69b258974fe8486517"/>
                    <w:id w:val="1643924195"/>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4918FCE2" w14:textId="77777777" w:rsidR="00830E72" w:rsidRDefault="008344D8">
                        <w:pPr>
                          <w:ind w:firstLineChars="200" w:firstLine="420"/>
                          <w:rPr>
                            <w:szCs w:val="21"/>
                          </w:rPr>
                        </w:pPr>
                        <w:r>
                          <w:rPr>
                            <w:szCs w:val="21"/>
                          </w:rPr>
                          <w:t>1.重新计量设定受益计划变动额</w:t>
                        </w:r>
                      </w:p>
                    </w:tc>
                  </w:sdtContent>
                </w:sdt>
                <w:tc>
                  <w:tcPr>
                    <w:tcW w:w="449" w:type="pct"/>
                    <w:tcBorders>
                      <w:top w:val="outset" w:sz="4" w:space="0" w:color="auto"/>
                      <w:left w:val="outset" w:sz="4" w:space="0" w:color="auto"/>
                      <w:bottom w:val="outset" w:sz="4" w:space="0" w:color="auto"/>
                      <w:right w:val="outset" w:sz="4" w:space="0" w:color="auto"/>
                    </w:tcBorders>
                  </w:tcPr>
                  <w:p w14:paraId="5EAA424A"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44BE0911"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496EB880" w14:textId="77777777" w:rsidR="00830E72" w:rsidRDefault="00830E72">
                    <w:pPr>
                      <w:jc w:val="right"/>
                      <w:rPr>
                        <w:szCs w:val="21"/>
                      </w:rPr>
                    </w:pPr>
                  </w:p>
                </w:tc>
              </w:tr>
              <w:tr w:rsidR="00830E72" w14:paraId="56401770" w14:textId="77777777">
                <w:sdt>
                  <w:sdtPr>
                    <w:tag w:val="_PLD_a1dd2af1863b4e3d917020633c99734c"/>
                    <w:id w:val="1820304283"/>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7793B55" w14:textId="77777777" w:rsidR="00830E72" w:rsidRDefault="008344D8">
                        <w:pPr>
                          <w:ind w:firstLineChars="200" w:firstLine="420"/>
                          <w:rPr>
                            <w:szCs w:val="21"/>
                          </w:rPr>
                        </w:pPr>
                        <w:r>
                          <w:rPr>
                            <w:szCs w:val="21"/>
                          </w:rPr>
                          <w:t>2.权益法下不能转损益的其他综合收益</w:t>
                        </w:r>
                      </w:p>
                    </w:tc>
                  </w:sdtContent>
                </w:sdt>
                <w:tc>
                  <w:tcPr>
                    <w:tcW w:w="449" w:type="pct"/>
                    <w:tcBorders>
                      <w:top w:val="outset" w:sz="4" w:space="0" w:color="auto"/>
                      <w:left w:val="outset" w:sz="4" w:space="0" w:color="auto"/>
                      <w:bottom w:val="outset" w:sz="4" w:space="0" w:color="auto"/>
                      <w:right w:val="outset" w:sz="4" w:space="0" w:color="auto"/>
                    </w:tcBorders>
                  </w:tcPr>
                  <w:p w14:paraId="30E6172D"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0613F763"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470642DE" w14:textId="77777777" w:rsidR="00830E72" w:rsidRDefault="00830E72">
                    <w:pPr>
                      <w:jc w:val="right"/>
                      <w:rPr>
                        <w:szCs w:val="21"/>
                      </w:rPr>
                    </w:pPr>
                  </w:p>
                </w:tc>
              </w:tr>
              <w:tr w:rsidR="00830E72" w14:paraId="23532E14" w14:textId="77777777">
                <w:tc>
                  <w:tcPr>
                    <w:tcW w:w="2327" w:type="pct"/>
                    <w:tcBorders>
                      <w:top w:val="outset" w:sz="4" w:space="0" w:color="auto"/>
                      <w:left w:val="outset" w:sz="4" w:space="0" w:color="auto"/>
                      <w:bottom w:val="outset" w:sz="4" w:space="0" w:color="auto"/>
                      <w:right w:val="outset" w:sz="4" w:space="0" w:color="auto"/>
                    </w:tcBorders>
                    <w:vAlign w:val="center"/>
                  </w:tcPr>
                  <w:sdt>
                    <w:sdtPr>
                      <w:tag w:val="_PLD_db2b7892b44f4f818af9a0a288171043"/>
                      <w:id w:val="-706018775"/>
                      <w:lock w:val="sdtLocked"/>
                    </w:sdtPr>
                    <w:sdtEndPr/>
                    <w:sdtContent>
                      <w:p w14:paraId="73D006E4" w14:textId="77777777" w:rsidR="00830E72" w:rsidRDefault="008344D8">
                        <w:pPr>
                          <w:ind w:firstLineChars="200" w:firstLine="420"/>
                        </w:pPr>
                        <w:r>
                          <w:t>3.其他权益工具投资公允价值变动</w:t>
                        </w:r>
                      </w:p>
                    </w:sdtContent>
                  </w:sdt>
                </w:tc>
                <w:tc>
                  <w:tcPr>
                    <w:tcW w:w="449" w:type="pct"/>
                    <w:tcBorders>
                      <w:top w:val="outset" w:sz="4" w:space="0" w:color="auto"/>
                      <w:left w:val="outset" w:sz="4" w:space="0" w:color="auto"/>
                      <w:bottom w:val="outset" w:sz="4" w:space="0" w:color="auto"/>
                      <w:right w:val="outset" w:sz="4" w:space="0" w:color="auto"/>
                    </w:tcBorders>
                  </w:tcPr>
                  <w:p w14:paraId="0EA5458D"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7569FB46"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DD9B073" w14:textId="77777777" w:rsidR="00830E72" w:rsidRDefault="00830E72">
                    <w:pPr>
                      <w:jc w:val="right"/>
                      <w:rPr>
                        <w:szCs w:val="21"/>
                      </w:rPr>
                    </w:pPr>
                  </w:p>
                </w:tc>
              </w:tr>
              <w:tr w:rsidR="00830E72" w14:paraId="37122920" w14:textId="77777777">
                <w:tc>
                  <w:tcPr>
                    <w:tcW w:w="2327" w:type="pct"/>
                    <w:tcBorders>
                      <w:top w:val="outset" w:sz="4" w:space="0" w:color="auto"/>
                      <w:left w:val="outset" w:sz="4" w:space="0" w:color="auto"/>
                      <w:bottom w:val="outset" w:sz="4" w:space="0" w:color="auto"/>
                      <w:right w:val="outset" w:sz="4" w:space="0" w:color="auto"/>
                    </w:tcBorders>
                    <w:vAlign w:val="center"/>
                  </w:tcPr>
                  <w:sdt>
                    <w:sdtPr>
                      <w:tag w:val="_PLD_2a0fa7e33fb34cd1bed8ba1525721e1e"/>
                      <w:id w:val="-338320421"/>
                      <w:lock w:val="sdtLocked"/>
                    </w:sdtPr>
                    <w:sdtEndPr/>
                    <w:sdtContent>
                      <w:p w14:paraId="491B8A4F" w14:textId="77777777" w:rsidR="00830E72" w:rsidRDefault="008344D8">
                        <w:pPr>
                          <w:ind w:firstLineChars="200" w:firstLine="420"/>
                        </w:pPr>
                        <w:r>
                          <w:t>4.企业自身信用风险公允价值变动</w:t>
                        </w:r>
                      </w:p>
                    </w:sdtContent>
                  </w:sdt>
                </w:tc>
                <w:tc>
                  <w:tcPr>
                    <w:tcW w:w="449" w:type="pct"/>
                    <w:tcBorders>
                      <w:top w:val="outset" w:sz="4" w:space="0" w:color="auto"/>
                      <w:left w:val="outset" w:sz="4" w:space="0" w:color="auto"/>
                      <w:bottom w:val="outset" w:sz="4" w:space="0" w:color="auto"/>
                      <w:right w:val="outset" w:sz="4" w:space="0" w:color="auto"/>
                    </w:tcBorders>
                  </w:tcPr>
                  <w:p w14:paraId="4095D8C2"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4FA95F12"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FB11227" w14:textId="77777777" w:rsidR="00830E72" w:rsidRDefault="00830E72">
                    <w:pPr>
                      <w:jc w:val="right"/>
                      <w:rPr>
                        <w:szCs w:val="21"/>
                      </w:rPr>
                    </w:pPr>
                  </w:p>
                </w:tc>
              </w:tr>
              <w:tr w:rsidR="00830E72" w14:paraId="44011E82" w14:textId="77777777">
                <w:sdt>
                  <w:sdtPr>
                    <w:tag w:val="_PLD_37e542b34b764230a84886c730eceb4b"/>
                    <w:id w:val="-1110813655"/>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4EC08AFD" w14:textId="77777777" w:rsidR="00830E72" w:rsidRDefault="008344D8">
                        <w:pPr>
                          <w:ind w:firstLineChars="100" w:firstLine="210"/>
                          <w:rPr>
                            <w:szCs w:val="21"/>
                          </w:rPr>
                        </w:pPr>
                        <w:r>
                          <w:rPr>
                            <w:rFonts w:hint="eastAsia"/>
                            <w:szCs w:val="21"/>
                          </w:rPr>
                          <w:t>（二）将重分类进损益的其他综合收益</w:t>
                        </w:r>
                      </w:p>
                    </w:tc>
                  </w:sdtContent>
                </w:sdt>
                <w:tc>
                  <w:tcPr>
                    <w:tcW w:w="449" w:type="pct"/>
                    <w:tcBorders>
                      <w:top w:val="outset" w:sz="4" w:space="0" w:color="auto"/>
                      <w:left w:val="outset" w:sz="4" w:space="0" w:color="auto"/>
                      <w:bottom w:val="outset" w:sz="4" w:space="0" w:color="auto"/>
                      <w:right w:val="outset" w:sz="4" w:space="0" w:color="auto"/>
                    </w:tcBorders>
                  </w:tcPr>
                  <w:p w14:paraId="4BA0E7FF"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76F1048A"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7481959" w14:textId="77777777" w:rsidR="00830E72" w:rsidRDefault="00830E72">
                    <w:pPr>
                      <w:jc w:val="right"/>
                      <w:rPr>
                        <w:szCs w:val="21"/>
                      </w:rPr>
                    </w:pPr>
                  </w:p>
                </w:tc>
              </w:tr>
              <w:tr w:rsidR="00830E72" w14:paraId="7164DCE7" w14:textId="77777777">
                <w:sdt>
                  <w:sdtPr>
                    <w:tag w:val="_PLD_d4ccf04d8d17419faa79e993ba558b97"/>
                    <w:id w:val="1051657505"/>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9FC3D63" w14:textId="77777777" w:rsidR="00830E72" w:rsidRDefault="008344D8">
                        <w:pPr>
                          <w:ind w:firstLineChars="200" w:firstLine="420"/>
                          <w:rPr>
                            <w:szCs w:val="21"/>
                          </w:rPr>
                        </w:pPr>
                        <w:r>
                          <w:rPr>
                            <w:szCs w:val="21"/>
                          </w:rPr>
                          <w:t>1.权益法下可转损益的其他综合收益</w:t>
                        </w:r>
                      </w:p>
                    </w:tc>
                  </w:sdtContent>
                </w:sdt>
                <w:tc>
                  <w:tcPr>
                    <w:tcW w:w="449" w:type="pct"/>
                    <w:tcBorders>
                      <w:top w:val="outset" w:sz="4" w:space="0" w:color="auto"/>
                      <w:left w:val="outset" w:sz="4" w:space="0" w:color="auto"/>
                      <w:bottom w:val="outset" w:sz="4" w:space="0" w:color="auto"/>
                      <w:right w:val="outset" w:sz="4" w:space="0" w:color="auto"/>
                    </w:tcBorders>
                  </w:tcPr>
                  <w:p w14:paraId="5CCBE8D6"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15B04CE9"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7834117" w14:textId="77777777" w:rsidR="00830E72" w:rsidRDefault="00830E72">
                    <w:pPr>
                      <w:jc w:val="right"/>
                      <w:rPr>
                        <w:szCs w:val="21"/>
                      </w:rPr>
                    </w:pPr>
                  </w:p>
                </w:tc>
              </w:tr>
              <w:tr w:rsidR="00830E72" w14:paraId="4A1A540B" w14:textId="77777777">
                <w:tc>
                  <w:tcPr>
                    <w:tcW w:w="2327" w:type="pct"/>
                    <w:tcBorders>
                      <w:top w:val="outset" w:sz="4" w:space="0" w:color="auto"/>
                      <w:left w:val="outset" w:sz="4" w:space="0" w:color="auto"/>
                      <w:bottom w:val="outset" w:sz="4" w:space="0" w:color="auto"/>
                      <w:right w:val="outset" w:sz="4" w:space="0" w:color="auto"/>
                    </w:tcBorders>
                    <w:vAlign w:val="center"/>
                  </w:tcPr>
                  <w:sdt>
                    <w:sdtPr>
                      <w:rPr>
                        <w:szCs w:val="21"/>
                      </w:rPr>
                      <w:tag w:val="_PLD_93132456e42c443bbad89584529b2f0a"/>
                      <w:id w:val="-1143426814"/>
                      <w:lock w:val="sdtLocked"/>
                    </w:sdtPr>
                    <w:sdtEndPr>
                      <w:rPr>
                        <w:szCs w:val="24"/>
                      </w:rPr>
                    </w:sdtEndPr>
                    <w:sdtContent>
                      <w:p w14:paraId="457B8A0C" w14:textId="77777777" w:rsidR="00830E72" w:rsidRDefault="008344D8">
                        <w:pPr>
                          <w:ind w:firstLineChars="200" w:firstLine="420"/>
                        </w:pPr>
                        <w:r>
                          <w:rPr>
                            <w:szCs w:val="21"/>
                          </w:rPr>
                          <w:t>2.</w:t>
                        </w:r>
                        <w:r>
                          <w:t>其他债权投资公允价值变动</w:t>
                        </w:r>
                      </w:p>
                    </w:sdtContent>
                  </w:sdt>
                </w:tc>
                <w:tc>
                  <w:tcPr>
                    <w:tcW w:w="449" w:type="pct"/>
                    <w:tcBorders>
                      <w:top w:val="outset" w:sz="4" w:space="0" w:color="auto"/>
                      <w:left w:val="outset" w:sz="4" w:space="0" w:color="auto"/>
                      <w:bottom w:val="outset" w:sz="4" w:space="0" w:color="auto"/>
                      <w:right w:val="outset" w:sz="4" w:space="0" w:color="auto"/>
                    </w:tcBorders>
                  </w:tcPr>
                  <w:p w14:paraId="2F6BB937"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52AD3810"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5A4CA9C8" w14:textId="77777777" w:rsidR="00830E72" w:rsidRDefault="00830E72">
                    <w:pPr>
                      <w:jc w:val="right"/>
                      <w:rPr>
                        <w:szCs w:val="21"/>
                      </w:rPr>
                    </w:pPr>
                  </w:p>
                </w:tc>
              </w:tr>
              <w:tr w:rsidR="00830E72" w14:paraId="4C7300B7" w14:textId="77777777">
                <w:tc>
                  <w:tcPr>
                    <w:tcW w:w="2327" w:type="pct"/>
                    <w:tcBorders>
                      <w:top w:val="outset" w:sz="4" w:space="0" w:color="auto"/>
                      <w:left w:val="outset" w:sz="4" w:space="0" w:color="auto"/>
                      <w:bottom w:val="outset" w:sz="4" w:space="0" w:color="auto"/>
                      <w:right w:val="outset" w:sz="4" w:space="0" w:color="auto"/>
                    </w:tcBorders>
                    <w:vAlign w:val="center"/>
                  </w:tcPr>
                  <w:sdt>
                    <w:sdtPr>
                      <w:tag w:val="_PLD_a743db4ee3c74304b756c0773ac46b11"/>
                      <w:id w:val="-202485954"/>
                      <w:lock w:val="sdtLocked"/>
                    </w:sdtPr>
                    <w:sdtEndPr/>
                    <w:sdtContent>
                      <w:p w14:paraId="6F170388" w14:textId="77777777" w:rsidR="00830E72" w:rsidRDefault="008344D8">
                        <w:pPr>
                          <w:ind w:firstLineChars="200" w:firstLine="420"/>
                        </w:pPr>
                        <w:r>
                          <w:t>3.金融资产重分类计入其他综合收益的金额</w:t>
                        </w:r>
                      </w:p>
                    </w:sdtContent>
                  </w:sdt>
                </w:tc>
                <w:tc>
                  <w:tcPr>
                    <w:tcW w:w="449" w:type="pct"/>
                    <w:tcBorders>
                      <w:top w:val="outset" w:sz="4" w:space="0" w:color="auto"/>
                      <w:left w:val="outset" w:sz="4" w:space="0" w:color="auto"/>
                      <w:bottom w:val="outset" w:sz="4" w:space="0" w:color="auto"/>
                      <w:right w:val="outset" w:sz="4" w:space="0" w:color="auto"/>
                    </w:tcBorders>
                  </w:tcPr>
                  <w:p w14:paraId="60EF7AEE"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5E4BE67C"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0D5FDB6" w14:textId="77777777" w:rsidR="00830E72" w:rsidRDefault="00830E72">
                    <w:pPr>
                      <w:jc w:val="right"/>
                      <w:rPr>
                        <w:szCs w:val="21"/>
                      </w:rPr>
                    </w:pPr>
                  </w:p>
                </w:tc>
              </w:tr>
              <w:tr w:rsidR="00830E72" w14:paraId="3C4AD601" w14:textId="77777777">
                <w:tc>
                  <w:tcPr>
                    <w:tcW w:w="2327" w:type="pct"/>
                    <w:tcBorders>
                      <w:top w:val="outset" w:sz="4" w:space="0" w:color="auto"/>
                      <w:left w:val="outset" w:sz="4" w:space="0" w:color="auto"/>
                      <w:bottom w:val="outset" w:sz="4" w:space="0" w:color="auto"/>
                      <w:right w:val="outset" w:sz="4" w:space="0" w:color="auto"/>
                    </w:tcBorders>
                    <w:vAlign w:val="center"/>
                  </w:tcPr>
                  <w:sdt>
                    <w:sdtPr>
                      <w:tag w:val="_PLD_14b4f884fa314ceab81d81f32b566281"/>
                      <w:id w:val="-2120667004"/>
                      <w:lock w:val="sdtLocked"/>
                    </w:sdtPr>
                    <w:sdtEndPr/>
                    <w:sdtContent>
                      <w:p w14:paraId="72EF3EE6" w14:textId="77777777" w:rsidR="00830E72" w:rsidRDefault="008344D8">
                        <w:pPr>
                          <w:ind w:firstLineChars="200" w:firstLine="420"/>
                        </w:pPr>
                        <w:r>
                          <w:t>4.其他债权投资信用减值准备</w:t>
                        </w:r>
                      </w:p>
                    </w:sdtContent>
                  </w:sdt>
                </w:tc>
                <w:tc>
                  <w:tcPr>
                    <w:tcW w:w="449" w:type="pct"/>
                    <w:tcBorders>
                      <w:top w:val="outset" w:sz="4" w:space="0" w:color="auto"/>
                      <w:left w:val="outset" w:sz="4" w:space="0" w:color="auto"/>
                      <w:bottom w:val="outset" w:sz="4" w:space="0" w:color="auto"/>
                      <w:right w:val="outset" w:sz="4" w:space="0" w:color="auto"/>
                    </w:tcBorders>
                  </w:tcPr>
                  <w:p w14:paraId="5F4CF643"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26905A28"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ADF8701" w14:textId="77777777" w:rsidR="00830E72" w:rsidRDefault="00830E72">
                    <w:pPr>
                      <w:jc w:val="right"/>
                      <w:rPr>
                        <w:szCs w:val="21"/>
                      </w:rPr>
                    </w:pPr>
                  </w:p>
                </w:tc>
              </w:tr>
              <w:tr w:rsidR="00830E72" w14:paraId="50C9F492" w14:textId="77777777">
                <w:tc>
                  <w:tcPr>
                    <w:tcW w:w="2327" w:type="pct"/>
                    <w:tcBorders>
                      <w:top w:val="outset" w:sz="4" w:space="0" w:color="auto"/>
                      <w:left w:val="outset" w:sz="4" w:space="0" w:color="auto"/>
                      <w:bottom w:val="outset" w:sz="4" w:space="0" w:color="auto"/>
                      <w:right w:val="outset" w:sz="4" w:space="0" w:color="auto"/>
                    </w:tcBorders>
                    <w:vAlign w:val="center"/>
                  </w:tcPr>
                  <w:sdt>
                    <w:sdtPr>
                      <w:tag w:val="_PLD_796032270909454aa844e29f93af9bfd"/>
                      <w:id w:val="-277409348"/>
                      <w:lock w:val="sdtLocked"/>
                    </w:sdtPr>
                    <w:sdtEndPr/>
                    <w:sdtContent>
                      <w:p w14:paraId="1E00B763" w14:textId="77777777" w:rsidR="00830E72" w:rsidRDefault="008344D8">
                        <w:pPr>
                          <w:ind w:firstLineChars="200" w:firstLine="420"/>
                        </w:pPr>
                        <w:r>
                          <w:t>5.现金流量套期储备</w:t>
                        </w:r>
                      </w:p>
                    </w:sdtContent>
                  </w:sdt>
                </w:tc>
                <w:tc>
                  <w:tcPr>
                    <w:tcW w:w="449" w:type="pct"/>
                    <w:tcBorders>
                      <w:top w:val="outset" w:sz="4" w:space="0" w:color="auto"/>
                      <w:left w:val="outset" w:sz="4" w:space="0" w:color="auto"/>
                      <w:bottom w:val="outset" w:sz="4" w:space="0" w:color="auto"/>
                      <w:right w:val="outset" w:sz="4" w:space="0" w:color="auto"/>
                    </w:tcBorders>
                  </w:tcPr>
                  <w:p w14:paraId="1C880E55"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2A9AA3A7"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985102B" w14:textId="77777777" w:rsidR="00830E72" w:rsidRDefault="00830E72">
                    <w:pPr>
                      <w:jc w:val="right"/>
                      <w:rPr>
                        <w:szCs w:val="21"/>
                      </w:rPr>
                    </w:pPr>
                  </w:p>
                </w:tc>
              </w:tr>
              <w:tr w:rsidR="00830E72" w14:paraId="4A113896" w14:textId="77777777">
                <w:tc>
                  <w:tcPr>
                    <w:tcW w:w="2327" w:type="pct"/>
                    <w:tcBorders>
                      <w:top w:val="outset" w:sz="4" w:space="0" w:color="auto"/>
                      <w:left w:val="outset" w:sz="4" w:space="0" w:color="auto"/>
                      <w:bottom w:val="outset" w:sz="4" w:space="0" w:color="auto"/>
                      <w:right w:val="outset" w:sz="4" w:space="0" w:color="auto"/>
                    </w:tcBorders>
                    <w:vAlign w:val="center"/>
                  </w:tcPr>
                  <w:sdt>
                    <w:sdtPr>
                      <w:tag w:val="_PLD_323d275a987c439884f3d362a19ee65f"/>
                      <w:id w:val="1851527864"/>
                      <w:lock w:val="sdtLocked"/>
                    </w:sdtPr>
                    <w:sdtEndPr/>
                    <w:sdtContent>
                      <w:p w14:paraId="6EB872A8" w14:textId="77777777" w:rsidR="00830E72" w:rsidRDefault="008344D8">
                        <w:pPr>
                          <w:ind w:firstLineChars="200" w:firstLine="420"/>
                        </w:pPr>
                        <w:r>
                          <w:t>6.外币财务报表折算差额</w:t>
                        </w:r>
                      </w:p>
                    </w:sdtContent>
                  </w:sdt>
                </w:tc>
                <w:tc>
                  <w:tcPr>
                    <w:tcW w:w="449" w:type="pct"/>
                    <w:tcBorders>
                      <w:top w:val="outset" w:sz="4" w:space="0" w:color="auto"/>
                      <w:left w:val="outset" w:sz="4" w:space="0" w:color="auto"/>
                      <w:bottom w:val="outset" w:sz="4" w:space="0" w:color="auto"/>
                      <w:right w:val="outset" w:sz="4" w:space="0" w:color="auto"/>
                    </w:tcBorders>
                  </w:tcPr>
                  <w:p w14:paraId="35138D45"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4A1F5BD2"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0125345" w14:textId="77777777" w:rsidR="00830E72" w:rsidRDefault="00830E72">
                    <w:pPr>
                      <w:jc w:val="right"/>
                      <w:rPr>
                        <w:szCs w:val="21"/>
                      </w:rPr>
                    </w:pPr>
                  </w:p>
                </w:tc>
              </w:tr>
              <w:tr w:rsidR="00830E72" w14:paraId="1CAF77E5" w14:textId="77777777">
                <w:tc>
                  <w:tcPr>
                    <w:tcW w:w="2327" w:type="pct"/>
                    <w:tcBorders>
                      <w:top w:val="outset" w:sz="4" w:space="0" w:color="auto"/>
                      <w:left w:val="outset" w:sz="4" w:space="0" w:color="auto"/>
                      <w:bottom w:val="outset" w:sz="4" w:space="0" w:color="auto"/>
                      <w:right w:val="outset" w:sz="4" w:space="0" w:color="auto"/>
                    </w:tcBorders>
                    <w:vAlign w:val="center"/>
                  </w:tcPr>
                  <w:sdt>
                    <w:sdtPr>
                      <w:tag w:val="_PLD_4762e9ad5d4d4b7c9fc8455f2f975e7d"/>
                      <w:id w:val="345528437"/>
                      <w:lock w:val="sdtLocked"/>
                    </w:sdtPr>
                    <w:sdtEndPr/>
                    <w:sdtContent>
                      <w:p w14:paraId="11B4A704" w14:textId="77777777" w:rsidR="00830E72" w:rsidRDefault="008344D8">
                        <w:pPr>
                          <w:ind w:firstLineChars="200" w:firstLine="420"/>
                        </w:pPr>
                        <w:r>
                          <w:t>7.其他</w:t>
                        </w:r>
                      </w:p>
                    </w:sdtContent>
                  </w:sdt>
                </w:tc>
                <w:tc>
                  <w:tcPr>
                    <w:tcW w:w="449" w:type="pct"/>
                    <w:tcBorders>
                      <w:top w:val="outset" w:sz="4" w:space="0" w:color="auto"/>
                      <w:left w:val="outset" w:sz="4" w:space="0" w:color="auto"/>
                      <w:bottom w:val="outset" w:sz="4" w:space="0" w:color="auto"/>
                      <w:right w:val="outset" w:sz="4" w:space="0" w:color="auto"/>
                    </w:tcBorders>
                  </w:tcPr>
                  <w:p w14:paraId="5A77F3BB"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46CE3E60"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13BC2DC" w14:textId="77777777" w:rsidR="00830E72" w:rsidRDefault="00830E72">
                    <w:pPr>
                      <w:jc w:val="right"/>
                      <w:rPr>
                        <w:szCs w:val="21"/>
                      </w:rPr>
                    </w:pPr>
                  </w:p>
                </w:tc>
              </w:tr>
              <w:tr w:rsidR="00830E72" w14:paraId="3C1A3C6D" w14:textId="77777777">
                <w:sdt>
                  <w:sdtPr>
                    <w:tag w:val="_PLD_28547dbb231643aebb7e2c7f824bc757"/>
                    <w:id w:val="64910115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2975D58" w14:textId="77777777" w:rsidR="00830E72" w:rsidRDefault="008344D8">
                        <w:pPr>
                          <w:ind w:left="-19"/>
                          <w:rPr>
                            <w:szCs w:val="21"/>
                          </w:rPr>
                        </w:pPr>
                        <w:r>
                          <w:rPr>
                            <w:rFonts w:hint="eastAsia"/>
                            <w:szCs w:val="21"/>
                          </w:rPr>
                          <w:t>六、综合收益总额</w:t>
                        </w:r>
                      </w:p>
                    </w:tc>
                  </w:sdtContent>
                </w:sdt>
                <w:tc>
                  <w:tcPr>
                    <w:tcW w:w="449" w:type="pct"/>
                    <w:tcBorders>
                      <w:top w:val="outset" w:sz="4" w:space="0" w:color="auto"/>
                      <w:left w:val="outset" w:sz="4" w:space="0" w:color="auto"/>
                      <w:bottom w:val="outset" w:sz="4" w:space="0" w:color="auto"/>
                      <w:right w:val="outset" w:sz="4" w:space="0" w:color="auto"/>
                    </w:tcBorders>
                  </w:tcPr>
                  <w:p w14:paraId="53E4A194"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051795D8" w14:textId="77777777" w:rsidR="00830E72" w:rsidRDefault="008344D8">
                    <w:pPr>
                      <w:jc w:val="right"/>
                      <w:rPr>
                        <w:szCs w:val="21"/>
                      </w:rPr>
                    </w:pPr>
                    <w:r>
                      <w:rPr>
                        <w:szCs w:val="21"/>
                      </w:rPr>
                      <w:t>41,598,496.27</w:t>
                    </w:r>
                  </w:p>
                </w:tc>
                <w:tc>
                  <w:tcPr>
                    <w:tcW w:w="1114" w:type="pct"/>
                    <w:tcBorders>
                      <w:top w:val="outset" w:sz="4" w:space="0" w:color="auto"/>
                      <w:left w:val="outset" w:sz="4" w:space="0" w:color="auto"/>
                      <w:bottom w:val="outset" w:sz="4" w:space="0" w:color="auto"/>
                      <w:right w:val="outset" w:sz="4" w:space="0" w:color="auto"/>
                    </w:tcBorders>
                  </w:tcPr>
                  <w:p w14:paraId="74DC223C" w14:textId="77777777" w:rsidR="00830E72" w:rsidRDefault="008344D8">
                    <w:pPr>
                      <w:jc w:val="right"/>
                      <w:rPr>
                        <w:szCs w:val="21"/>
                      </w:rPr>
                    </w:pPr>
                    <w:r>
                      <w:t>35,111,823.42</w:t>
                    </w:r>
                  </w:p>
                </w:tc>
              </w:tr>
              <w:tr w:rsidR="00830E72" w14:paraId="1E0016CE" w14:textId="77777777">
                <w:sdt>
                  <w:sdtPr>
                    <w:tag w:val="_PLD_302a225367d84b88a766d8daaf22e468"/>
                    <w:id w:val="-1406605824"/>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58CF956" w14:textId="77777777" w:rsidR="00830E72" w:rsidRDefault="008344D8" w:rsidP="008344D8">
                        <w:pPr>
                          <w:ind w:leftChars="-19" w:hangingChars="19" w:hanging="40"/>
                          <w:rPr>
                            <w:szCs w:val="21"/>
                          </w:rPr>
                        </w:pPr>
                        <w:r>
                          <w:rPr>
                            <w:rFonts w:hint="eastAsia"/>
                            <w:szCs w:val="21"/>
                          </w:rPr>
                          <w:t>七</w:t>
                        </w:r>
                        <w:r>
                          <w:rPr>
                            <w:szCs w:val="21"/>
                          </w:rPr>
                          <w:t>、每股收益：</w:t>
                        </w:r>
                      </w:p>
                    </w:tc>
                  </w:sdtContent>
                </w:sdt>
                <w:tc>
                  <w:tcPr>
                    <w:tcW w:w="449" w:type="pct"/>
                    <w:tcBorders>
                      <w:top w:val="outset" w:sz="4" w:space="0" w:color="auto"/>
                      <w:left w:val="outset" w:sz="4" w:space="0" w:color="auto"/>
                      <w:bottom w:val="outset" w:sz="4" w:space="0" w:color="auto"/>
                      <w:right w:val="outset" w:sz="4" w:space="0" w:color="auto"/>
                    </w:tcBorders>
                  </w:tcPr>
                  <w:p w14:paraId="1C464CFC"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500412DF" w14:textId="77777777" w:rsidR="00830E72" w:rsidRDefault="00830E7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4754DF1C" w14:textId="77777777" w:rsidR="00830E72" w:rsidRDefault="00830E72">
                    <w:pPr>
                      <w:jc w:val="right"/>
                      <w:rPr>
                        <w:szCs w:val="21"/>
                      </w:rPr>
                    </w:pPr>
                  </w:p>
                </w:tc>
              </w:tr>
              <w:tr w:rsidR="00830E72" w14:paraId="0F053D0E" w14:textId="77777777">
                <w:sdt>
                  <w:sdtPr>
                    <w:tag w:val="_PLD_02c58dc4adaa4ac0a7ec8d49dda16ebf"/>
                    <w:id w:val="-488170777"/>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0477AA51" w14:textId="77777777" w:rsidR="00830E72" w:rsidRDefault="008344D8">
                        <w:pPr>
                          <w:ind w:left="-19" w:firstLineChars="200" w:firstLine="420"/>
                          <w:rPr>
                            <w:szCs w:val="21"/>
                          </w:rPr>
                        </w:pPr>
                        <w:r>
                          <w:rPr>
                            <w:szCs w:val="21"/>
                          </w:rPr>
                          <w:t>（一）基本每股收益</w:t>
                        </w:r>
                        <w:r>
                          <w:rPr>
                            <w:rFonts w:hint="eastAsia"/>
                            <w:szCs w:val="21"/>
                          </w:rPr>
                          <w:t>(元/股)</w:t>
                        </w:r>
                      </w:p>
                    </w:tc>
                  </w:sdtContent>
                </w:sdt>
                <w:tc>
                  <w:tcPr>
                    <w:tcW w:w="449" w:type="pct"/>
                    <w:tcBorders>
                      <w:top w:val="outset" w:sz="4" w:space="0" w:color="auto"/>
                      <w:left w:val="outset" w:sz="4" w:space="0" w:color="auto"/>
                      <w:bottom w:val="outset" w:sz="4" w:space="0" w:color="auto"/>
                      <w:right w:val="outset" w:sz="4" w:space="0" w:color="auto"/>
                    </w:tcBorders>
                  </w:tcPr>
                  <w:p w14:paraId="7DCD91DB"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526173BF" w14:textId="77777777" w:rsidR="00830E72" w:rsidRDefault="008344D8">
                    <w:pPr>
                      <w:jc w:val="right"/>
                      <w:rPr>
                        <w:szCs w:val="21"/>
                      </w:rPr>
                    </w:pPr>
                    <w:r>
                      <w:rPr>
                        <w:rFonts w:hint="eastAsia"/>
                        <w:szCs w:val="21"/>
                      </w:rPr>
                      <w:t>0.07</w:t>
                    </w:r>
                  </w:p>
                </w:tc>
                <w:tc>
                  <w:tcPr>
                    <w:tcW w:w="1114" w:type="pct"/>
                    <w:tcBorders>
                      <w:top w:val="outset" w:sz="4" w:space="0" w:color="auto"/>
                      <w:left w:val="outset" w:sz="4" w:space="0" w:color="auto"/>
                      <w:bottom w:val="outset" w:sz="4" w:space="0" w:color="auto"/>
                      <w:right w:val="outset" w:sz="4" w:space="0" w:color="auto"/>
                    </w:tcBorders>
                  </w:tcPr>
                  <w:p w14:paraId="7FA24385" w14:textId="77777777" w:rsidR="00830E72" w:rsidRDefault="008344D8">
                    <w:pPr>
                      <w:jc w:val="right"/>
                      <w:rPr>
                        <w:szCs w:val="21"/>
                      </w:rPr>
                    </w:pPr>
                    <w:r>
                      <w:rPr>
                        <w:rFonts w:hint="eastAsia"/>
                        <w:szCs w:val="21"/>
                      </w:rPr>
                      <w:t>0.07</w:t>
                    </w:r>
                  </w:p>
                </w:tc>
              </w:tr>
              <w:tr w:rsidR="00830E72" w14:paraId="41CF2372" w14:textId="77777777">
                <w:sdt>
                  <w:sdtPr>
                    <w:tag w:val="_PLD_59e8f40ed93e41f8a25596a736bf29e0"/>
                    <w:id w:val="-1939751177"/>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703FFC0" w14:textId="77777777" w:rsidR="00830E72" w:rsidRDefault="008344D8">
                        <w:pPr>
                          <w:ind w:left="-19" w:firstLineChars="200" w:firstLine="420"/>
                          <w:rPr>
                            <w:szCs w:val="21"/>
                          </w:rPr>
                        </w:pPr>
                        <w:r>
                          <w:rPr>
                            <w:szCs w:val="21"/>
                          </w:rPr>
                          <w:t>（二）稀释每股收益</w:t>
                        </w:r>
                        <w:r>
                          <w:rPr>
                            <w:rFonts w:hint="eastAsia"/>
                            <w:szCs w:val="21"/>
                          </w:rPr>
                          <w:t>(元/股)</w:t>
                        </w:r>
                      </w:p>
                    </w:tc>
                  </w:sdtContent>
                </w:sdt>
                <w:tc>
                  <w:tcPr>
                    <w:tcW w:w="449" w:type="pct"/>
                    <w:tcBorders>
                      <w:top w:val="outset" w:sz="4" w:space="0" w:color="auto"/>
                      <w:left w:val="outset" w:sz="4" w:space="0" w:color="auto"/>
                      <w:bottom w:val="outset" w:sz="4" w:space="0" w:color="auto"/>
                      <w:right w:val="outset" w:sz="4" w:space="0" w:color="auto"/>
                    </w:tcBorders>
                  </w:tcPr>
                  <w:p w14:paraId="4F775565" w14:textId="77777777" w:rsidR="00830E72" w:rsidRDefault="00830E72">
                    <w:pPr>
                      <w:rPr>
                        <w:szCs w:val="21"/>
                      </w:rPr>
                    </w:pPr>
                  </w:p>
                </w:tc>
                <w:tc>
                  <w:tcPr>
                    <w:tcW w:w="1110" w:type="pct"/>
                    <w:tcBorders>
                      <w:top w:val="outset" w:sz="4" w:space="0" w:color="auto"/>
                      <w:left w:val="outset" w:sz="4" w:space="0" w:color="auto"/>
                      <w:bottom w:val="outset" w:sz="4" w:space="0" w:color="auto"/>
                      <w:right w:val="outset" w:sz="4" w:space="0" w:color="auto"/>
                    </w:tcBorders>
                  </w:tcPr>
                  <w:p w14:paraId="3013EC11" w14:textId="77777777" w:rsidR="00830E72" w:rsidRDefault="008344D8">
                    <w:pPr>
                      <w:jc w:val="right"/>
                      <w:rPr>
                        <w:szCs w:val="21"/>
                      </w:rPr>
                    </w:pPr>
                    <w:r>
                      <w:rPr>
                        <w:rFonts w:hint="eastAsia"/>
                        <w:szCs w:val="21"/>
                      </w:rPr>
                      <w:t>0.07</w:t>
                    </w:r>
                  </w:p>
                </w:tc>
                <w:tc>
                  <w:tcPr>
                    <w:tcW w:w="1114" w:type="pct"/>
                    <w:tcBorders>
                      <w:top w:val="outset" w:sz="4" w:space="0" w:color="auto"/>
                      <w:left w:val="outset" w:sz="4" w:space="0" w:color="auto"/>
                      <w:bottom w:val="outset" w:sz="4" w:space="0" w:color="auto"/>
                      <w:right w:val="outset" w:sz="4" w:space="0" w:color="auto"/>
                    </w:tcBorders>
                  </w:tcPr>
                  <w:p w14:paraId="075422FE" w14:textId="77777777" w:rsidR="00830E72" w:rsidRDefault="008344D8">
                    <w:pPr>
                      <w:jc w:val="right"/>
                      <w:rPr>
                        <w:szCs w:val="21"/>
                      </w:rPr>
                    </w:pPr>
                    <w:r>
                      <w:rPr>
                        <w:rFonts w:hint="eastAsia"/>
                        <w:szCs w:val="21"/>
                      </w:rPr>
                      <w:t>0.07</w:t>
                    </w:r>
                  </w:p>
                </w:tc>
              </w:tr>
            </w:tbl>
            <w:p w14:paraId="428F9698" w14:textId="77777777" w:rsidR="00830E72" w:rsidRDefault="00830E72"/>
            <w:p w14:paraId="19911851" w14:textId="77777777" w:rsidR="00830E72" w:rsidRDefault="008344D8">
              <w:pPr>
                <w:snapToGrid w:val="0"/>
                <w:spacing w:line="240" w:lineRule="atLeast"/>
                <w:ind w:rightChars="-73" w:right="-153"/>
                <w:rPr>
                  <w:rFonts w:cs="宋体-方正超大字符集"/>
                  <w:szCs w:val="21"/>
                </w:rPr>
              </w:pPr>
              <w:r>
                <w:rPr>
                  <w:szCs w:val="21"/>
                </w:rPr>
                <w:t>公司负责人</w:t>
              </w:r>
              <w:r>
                <w:rPr>
                  <w:rFonts w:hint="eastAsia"/>
                  <w:szCs w:val="21"/>
                </w:rPr>
                <w:t>：</w:t>
              </w:r>
              <w:sdt>
                <w:sdtPr>
                  <w:rPr>
                    <w:rFonts w:hint="eastAsia"/>
                    <w:szCs w:val="21"/>
                  </w:rPr>
                  <w:alias w:val="公司负责人"/>
                  <w:tag w:val="_GBC_6be9c51ef68a40f0b60486f4414f2413"/>
                  <w:id w:val="48196295"/>
                  <w:lock w:val="sdtLocked"/>
                  <w:placeholder>
                    <w:docPart w:val="GBC22222222222222222222222222222"/>
                  </w:placeholder>
                  <w:text/>
                </w:sdtPr>
                <w:sdtEndPr/>
                <w:sdtContent>
                  <w:r>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ac91a6c67f0a401ab312a449bd87b833"/>
                  <w:id w:val="-1483698382"/>
                  <w:lock w:val="sdtLocked"/>
                  <w:placeholder>
                    <w:docPart w:val="GBC22222222222222222222222222222"/>
                  </w:placeholder>
                  <w:text/>
                </w:sdtPr>
                <w:sdtEndPr/>
                <w:sdtContent>
                  <w:r>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0f6b900783346cfad817de4d84acf5e"/>
                  <w:id w:val="-588852494"/>
                  <w:lock w:val="sdtLocked"/>
                  <w:placeholder>
                    <w:docPart w:val="GBC22222222222222222222222222222"/>
                  </w:placeholder>
                  <w:text/>
                </w:sdtPr>
                <w:sdtEndPr/>
                <w:sdtContent>
                  <w:r>
                    <w:rPr>
                      <w:rFonts w:hint="eastAsia"/>
                      <w:szCs w:val="21"/>
                    </w:rPr>
                    <w:t>王国鑫</w:t>
                  </w:r>
                </w:sdtContent>
              </w:sdt>
            </w:p>
          </w:sdtContent>
        </w:sdt>
        <w:p w14:paraId="6E5E9FC2" w14:textId="77777777" w:rsidR="00830E72" w:rsidRDefault="00D44830">
          <w:pPr>
            <w:snapToGrid w:val="0"/>
            <w:spacing w:line="240" w:lineRule="atLeast"/>
            <w:ind w:rightChars="-73" w:right="-153"/>
            <w:rPr>
              <w:b/>
              <w:bCs/>
              <w:color w:val="FF0000"/>
              <w:szCs w:val="21"/>
            </w:rPr>
          </w:pPr>
        </w:p>
      </w:sdtContent>
    </w:sdt>
    <w:bookmarkEnd w:id="66"/>
    <w:p w14:paraId="3F23C87E" w14:textId="77777777" w:rsidR="00830E72" w:rsidRDefault="00830E72">
      <w:pPr>
        <w:rPr>
          <w:color w:val="FF0000"/>
          <w:szCs w:val="21"/>
        </w:rPr>
      </w:pPr>
    </w:p>
    <w:bookmarkEnd w:id="67" w:displacedByCustomXml="next"/>
    <w:bookmarkStart w:id="68" w:name="_Hlk10211590" w:displacedByCustomXml="next"/>
    <w:sdt>
      <w:sdtPr>
        <w:rPr>
          <w:rFonts w:ascii="宋体" w:hAnsi="宋体" w:cs="宋体" w:hint="eastAsia"/>
          <w:b w:val="0"/>
          <w:bCs w:val="0"/>
          <w:kern w:val="0"/>
          <w:szCs w:val="24"/>
        </w:rPr>
        <w:alias w:val="选项模块:需要编制合并报表"/>
        <w:tag w:val="_GBC_d6533048a32749eaa7738390457b7f24"/>
        <w:id w:val="-286202721"/>
        <w:lock w:val="sdtLocked"/>
        <w:placeholder>
          <w:docPart w:val="GBC22222222222222222222222222222"/>
        </w:placeholder>
      </w:sdtPr>
      <w:sdtEndPr>
        <w:rPr>
          <w:szCs w:val="21"/>
        </w:rPr>
      </w:sdtEndPr>
      <w:sdtContent>
        <w:sdt>
          <w:sdtPr>
            <w:rPr>
              <w:rFonts w:ascii="宋体" w:hAnsi="宋体" w:cs="宋体" w:hint="eastAsia"/>
              <w:b w:val="0"/>
              <w:bCs w:val="0"/>
              <w:kern w:val="0"/>
              <w:szCs w:val="24"/>
            </w:rPr>
            <w:tag w:val="_GBC_17c43da24c7845d3aa093910aeaf2348"/>
            <w:id w:val="1001087053"/>
            <w:lock w:val="sdtLocked"/>
            <w:placeholder>
              <w:docPart w:val="GBC22222222222222222222222222222"/>
            </w:placeholder>
          </w:sdtPr>
          <w:sdtEndPr>
            <w:rPr>
              <w:szCs w:val="21"/>
            </w:rPr>
          </w:sdtEndPr>
          <w:sdtContent>
            <w:p w14:paraId="5ACF5CB8" w14:textId="77777777" w:rsidR="00830E72" w:rsidRDefault="008344D8">
              <w:pPr>
                <w:pStyle w:val="Style99"/>
                <w:jc w:val="center"/>
                <w:rPr>
                  <w:rFonts w:ascii="宋体" w:hAnsi="宋体"/>
                </w:rPr>
              </w:pPr>
              <w:r>
                <w:rPr>
                  <w:rFonts w:ascii="宋体" w:hAnsi="宋体" w:hint="eastAsia"/>
                </w:rPr>
                <w:t>合并</w:t>
              </w:r>
              <w:r>
                <w:rPr>
                  <w:rFonts w:ascii="宋体" w:hAnsi="宋体"/>
                </w:rPr>
                <w:t>现金流量表</w:t>
              </w:r>
            </w:p>
            <w:p w14:paraId="6024DB9A" w14:textId="77777777" w:rsidR="00830E72" w:rsidRDefault="008344D8">
              <w:pPr>
                <w:jc w:val="center"/>
                <w:rPr>
                  <w:b/>
                  <w:bCs/>
                  <w:szCs w:val="21"/>
                </w:rPr>
              </w:pPr>
              <w:r>
                <w:rPr>
                  <w:szCs w:val="21"/>
                </w:rPr>
                <w:t>2021年</w:t>
              </w:r>
              <w:r>
                <w:rPr>
                  <w:rFonts w:hint="eastAsia"/>
                  <w:szCs w:val="21"/>
                </w:rPr>
                <w:t>1—6</w:t>
              </w:r>
              <w:r>
                <w:rPr>
                  <w:szCs w:val="21"/>
                </w:rPr>
                <w:t>月</w:t>
              </w:r>
            </w:p>
            <w:p w14:paraId="01099E35" w14:textId="77777777" w:rsidR="00830E72" w:rsidRDefault="008344D8">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18496323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17857710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77"/>
                <w:gridCol w:w="851"/>
                <w:gridCol w:w="1955"/>
                <w:gridCol w:w="2166"/>
              </w:tblGrid>
              <w:tr w:rsidR="00830E72" w14:paraId="2EA3F0A2" w14:textId="77777777">
                <w:sdt>
                  <w:sdtPr>
                    <w:tag w:val="_PLD_2a3b6af3ab824e2db1022630f7a58e18"/>
                    <w:id w:val="673305748"/>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69070303" w14:textId="77777777" w:rsidR="00830E72" w:rsidRDefault="008344D8">
                        <w:pPr>
                          <w:jc w:val="center"/>
                          <w:rPr>
                            <w:b/>
                            <w:bCs/>
                            <w:szCs w:val="21"/>
                          </w:rPr>
                        </w:pPr>
                        <w:r>
                          <w:rPr>
                            <w:b/>
                            <w:szCs w:val="21"/>
                          </w:rPr>
                          <w:t>项目</w:t>
                        </w:r>
                      </w:p>
                    </w:tc>
                  </w:sdtContent>
                </w:sdt>
                <w:sdt>
                  <w:sdtPr>
                    <w:tag w:val="_PLD_49df1a6f5a224085bdcd56671a898d47"/>
                    <w:id w:val="-1853956446"/>
                    <w:lock w:val="sdtLocked"/>
                  </w:sdtPr>
                  <w:sdtEndPr/>
                  <w:sdtContent>
                    <w:tc>
                      <w:tcPr>
                        <w:tcW w:w="470" w:type="pct"/>
                        <w:tcBorders>
                          <w:top w:val="outset" w:sz="4" w:space="0" w:color="auto"/>
                          <w:left w:val="outset" w:sz="4" w:space="0" w:color="auto"/>
                          <w:bottom w:val="outset" w:sz="4" w:space="0" w:color="auto"/>
                          <w:right w:val="outset" w:sz="4" w:space="0" w:color="auto"/>
                        </w:tcBorders>
                      </w:tcPr>
                      <w:p w14:paraId="4D0B66ED" w14:textId="77777777" w:rsidR="00830E72" w:rsidRDefault="008344D8">
                        <w:pPr>
                          <w:jc w:val="center"/>
                          <w:rPr>
                            <w:b/>
                            <w:szCs w:val="21"/>
                          </w:rPr>
                        </w:pPr>
                        <w:r>
                          <w:rPr>
                            <w:b/>
                            <w:szCs w:val="21"/>
                          </w:rPr>
                          <w:t>附注</w:t>
                        </w:r>
                      </w:p>
                    </w:tc>
                  </w:sdtContent>
                </w:sdt>
                <w:sdt>
                  <w:sdtPr>
                    <w:tag w:val="_PLD_aba5e14092764f689b78fdbe9892bc51"/>
                    <w:id w:val="-1613514742"/>
                    <w:lock w:val="sdtLocked"/>
                  </w:sdtPr>
                  <w:sdtEndPr/>
                  <w:sdtContent>
                    <w:tc>
                      <w:tcPr>
                        <w:tcW w:w="1080" w:type="pct"/>
                        <w:tcBorders>
                          <w:top w:val="outset" w:sz="4" w:space="0" w:color="auto"/>
                          <w:left w:val="outset" w:sz="4" w:space="0" w:color="auto"/>
                          <w:bottom w:val="outset" w:sz="4" w:space="0" w:color="auto"/>
                          <w:right w:val="outset" w:sz="4" w:space="0" w:color="auto"/>
                        </w:tcBorders>
                      </w:tcPr>
                      <w:p w14:paraId="4978796C" w14:textId="77777777" w:rsidR="00830E72" w:rsidRDefault="008344D8">
                        <w:pPr>
                          <w:autoSpaceDE w:val="0"/>
                          <w:autoSpaceDN w:val="0"/>
                          <w:adjustRightInd w:val="0"/>
                          <w:jc w:val="center"/>
                          <w:rPr>
                            <w:b/>
                            <w:szCs w:val="21"/>
                          </w:rPr>
                        </w:pPr>
                        <w:r>
                          <w:rPr>
                            <w:rFonts w:hint="eastAsia"/>
                            <w:b/>
                            <w:szCs w:val="21"/>
                          </w:rPr>
                          <w:t>2021年半年度</w:t>
                        </w:r>
                      </w:p>
                    </w:tc>
                  </w:sdtContent>
                </w:sdt>
                <w:sdt>
                  <w:sdtPr>
                    <w:tag w:val="_PLD_8cac70c6f00c4266a9b8cff482cc71cc"/>
                    <w:id w:val="-1847392852"/>
                    <w:lock w:val="sdtLocked"/>
                  </w:sdtPr>
                  <w:sdtEndPr/>
                  <w:sdtContent>
                    <w:tc>
                      <w:tcPr>
                        <w:tcW w:w="1197" w:type="pct"/>
                        <w:tcBorders>
                          <w:top w:val="outset" w:sz="4" w:space="0" w:color="auto"/>
                          <w:left w:val="outset" w:sz="4" w:space="0" w:color="auto"/>
                          <w:bottom w:val="outset" w:sz="4" w:space="0" w:color="auto"/>
                          <w:right w:val="outset" w:sz="4" w:space="0" w:color="auto"/>
                        </w:tcBorders>
                      </w:tcPr>
                      <w:p w14:paraId="2DD71095" w14:textId="77777777" w:rsidR="00830E72" w:rsidRDefault="008344D8">
                        <w:pPr>
                          <w:autoSpaceDE w:val="0"/>
                          <w:autoSpaceDN w:val="0"/>
                          <w:adjustRightInd w:val="0"/>
                          <w:jc w:val="center"/>
                          <w:rPr>
                            <w:b/>
                            <w:szCs w:val="21"/>
                          </w:rPr>
                        </w:pPr>
                        <w:r>
                          <w:rPr>
                            <w:rFonts w:hint="eastAsia"/>
                            <w:b/>
                            <w:szCs w:val="21"/>
                          </w:rPr>
                          <w:t>2020年半年度</w:t>
                        </w:r>
                      </w:p>
                    </w:tc>
                  </w:sdtContent>
                </w:sdt>
              </w:tr>
              <w:tr w:rsidR="00830E72" w14:paraId="3925AE41" w14:textId="77777777">
                <w:sdt>
                  <w:sdtPr>
                    <w:tag w:val="_PLD_ffd119a1ffa641c1a00397806a78ee23"/>
                    <w:id w:val="1135377145"/>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62533BC9" w14:textId="77777777" w:rsidR="00830E72" w:rsidRDefault="008344D8">
                        <w:pPr>
                          <w:rPr>
                            <w:color w:val="000000"/>
                            <w:szCs w:val="21"/>
                          </w:rPr>
                        </w:pPr>
                        <w:r>
                          <w:rPr>
                            <w:rFonts w:hint="eastAsia"/>
                            <w:b/>
                            <w:bCs/>
                            <w:szCs w:val="21"/>
                          </w:rPr>
                          <w:t>一、经营活动产生的现金流量：</w:t>
                        </w:r>
                      </w:p>
                    </w:tc>
                  </w:sdtContent>
                </w:sdt>
                <w:tc>
                  <w:tcPr>
                    <w:tcW w:w="470" w:type="pct"/>
                    <w:tcBorders>
                      <w:top w:val="outset" w:sz="4" w:space="0" w:color="auto"/>
                      <w:left w:val="outset" w:sz="4" w:space="0" w:color="auto"/>
                      <w:bottom w:val="outset" w:sz="4" w:space="0" w:color="auto"/>
                      <w:right w:val="outset" w:sz="4" w:space="0" w:color="auto"/>
                    </w:tcBorders>
                  </w:tcPr>
                  <w:p w14:paraId="2E296C0E"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06232D5B" w14:textId="77777777" w:rsidR="00830E72" w:rsidRDefault="00830E72">
                    <w:pPr>
                      <w:rPr>
                        <w:szCs w:val="21"/>
                      </w:rPr>
                    </w:pPr>
                  </w:p>
                </w:tc>
                <w:tc>
                  <w:tcPr>
                    <w:tcW w:w="1197" w:type="pct"/>
                    <w:tcBorders>
                      <w:top w:val="outset" w:sz="4" w:space="0" w:color="auto"/>
                      <w:left w:val="outset" w:sz="4" w:space="0" w:color="auto"/>
                      <w:bottom w:val="outset" w:sz="4" w:space="0" w:color="auto"/>
                      <w:right w:val="outset" w:sz="4" w:space="0" w:color="auto"/>
                    </w:tcBorders>
                  </w:tcPr>
                  <w:p w14:paraId="0E8FAE7D" w14:textId="77777777" w:rsidR="00830E72" w:rsidRDefault="00830E72">
                    <w:pPr>
                      <w:rPr>
                        <w:szCs w:val="21"/>
                      </w:rPr>
                    </w:pPr>
                  </w:p>
                </w:tc>
              </w:tr>
              <w:tr w:rsidR="00830E72" w14:paraId="5611CE3E" w14:textId="77777777">
                <w:sdt>
                  <w:sdtPr>
                    <w:tag w:val="_PLD_3737bef37bc541e2b41571186e0af02f"/>
                    <w:id w:val="-997954246"/>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759AB9F8" w14:textId="77777777" w:rsidR="00830E72" w:rsidRDefault="008344D8">
                        <w:pPr>
                          <w:ind w:firstLineChars="100" w:firstLine="210"/>
                          <w:rPr>
                            <w:color w:val="000000"/>
                            <w:szCs w:val="21"/>
                          </w:rPr>
                        </w:pPr>
                        <w:r>
                          <w:rPr>
                            <w:rFonts w:hint="eastAsia"/>
                            <w:szCs w:val="21"/>
                          </w:rPr>
                          <w:t>销售商品、提供劳务收到的现金</w:t>
                        </w:r>
                      </w:p>
                    </w:tc>
                  </w:sdtContent>
                </w:sdt>
                <w:tc>
                  <w:tcPr>
                    <w:tcW w:w="470" w:type="pct"/>
                    <w:tcBorders>
                      <w:top w:val="outset" w:sz="4" w:space="0" w:color="auto"/>
                      <w:left w:val="outset" w:sz="4" w:space="0" w:color="auto"/>
                      <w:bottom w:val="outset" w:sz="4" w:space="0" w:color="auto"/>
                      <w:right w:val="outset" w:sz="4" w:space="0" w:color="auto"/>
                    </w:tcBorders>
                  </w:tcPr>
                  <w:p w14:paraId="4BDD4E70"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0416F589" w14:textId="77777777" w:rsidR="00830E72" w:rsidRDefault="008344D8">
                    <w:pPr>
                      <w:jc w:val="right"/>
                      <w:rPr>
                        <w:szCs w:val="21"/>
                      </w:rPr>
                    </w:pPr>
                    <w:r>
                      <w:rPr>
                        <w:szCs w:val="21"/>
                      </w:rPr>
                      <w:t>1,540,107,132.39</w:t>
                    </w:r>
                  </w:p>
                </w:tc>
                <w:tc>
                  <w:tcPr>
                    <w:tcW w:w="1197" w:type="pct"/>
                    <w:tcBorders>
                      <w:top w:val="outset" w:sz="4" w:space="0" w:color="auto"/>
                      <w:left w:val="outset" w:sz="4" w:space="0" w:color="auto"/>
                      <w:bottom w:val="outset" w:sz="4" w:space="0" w:color="auto"/>
                      <w:right w:val="outset" w:sz="4" w:space="0" w:color="auto"/>
                    </w:tcBorders>
                  </w:tcPr>
                  <w:p w14:paraId="7FD629E2" w14:textId="77777777" w:rsidR="00830E72" w:rsidRDefault="008344D8">
                    <w:pPr>
                      <w:jc w:val="right"/>
                      <w:rPr>
                        <w:szCs w:val="21"/>
                      </w:rPr>
                    </w:pPr>
                    <w:r>
                      <w:rPr>
                        <w:szCs w:val="21"/>
                      </w:rPr>
                      <w:t>1,426,309,184.31</w:t>
                    </w:r>
                  </w:p>
                </w:tc>
              </w:tr>
              <w:tr w:rsidR="00830E72" w14:paraId="75320BEC" w14:textId="77777777">
                <w:sdt>
                  <w:sdtPr>
                    <w:tag w:val="_PLD_0e165cb86e9e42a0b268845ab2bfbc62"/>
                    <w:id w:val="-1101255477"/>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04220635" w14:textId="77777777" w:rsidR="00830E72" w:rsidRDefault="008344D8">
                        <w:pPr>
                          <w:ind w:firstLineChars="100" w:firstLine="210"/>
                          <w:rPr>
                            <w:szCs w:val="21"/>
                          </w:rPr>
                        </w:pPr>
                        <w:r>
                          <w:rPr>
                            <w:rFonts w:hint="eastAsia"/>
                            <w:szCs w:val="21"/>
                          </w:rPr>
                          <w:t>客户存款和同业存放款项净增加额</w:t>
                        </w:r>
                      </w:p>
                    </w:tc>
                  </w:sdtContent>
                </w:sdt>
                <w:tc>
                  <w:tcPr>
                    <w:tcW w:w="470" w:type="pct"/>
                    <w:tcBorders>
                      <w:top w:val="outset" w:sz="4" w:space="0" w:color="auto"/>
                      <w:left w:val="outset" w:sz="4" w:space="0" w:color="auto"/>
                      <w:bottom w:val="outset" w:sz="4" w:space="0" w:color="auto"/>
                      <w:right w:val="outset" w:sz="4" w:space="0" w:color="auto"/>
                    </w:tcBorders>
                  </w:tcPr>
                  <w:p w14:paraId="2854BF06"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5631239E"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36304774" w14:textId="77777777" w:rsidR="00830E72" w:rsidRDefault="00830E72">
                    <w:pPr>
                      <w:jc w:val="right"/>
                      <w:rPr>
                        <w:szCs w:val="21"/>
                      </w:rPr>
                    </w:pPr>
                  </w:p>
                </w:tc>
              </w:tr>
              <w:tr w:rsidR="00830E72" w14:paraId="3DC3FF34" w14:textId="77777777">
                <w:sdt>
                  <w:sdtPr>
                    <w:tag w:val="_PLD_53ac9ac9881c4fd7a23a964afe0f5ab9"/>
                    <w:id w:val="404960899"/>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1C005453" w14:textId="77777777" w:rsidR="00830E72" w:rsidRDefault="008344D8">
                        <w:pPr>
                          <w:ind w:firstLineChars="100" w:firstLine="210"/>
                          <w:rPr>
                            <w:szCs w:val="21"/>
                          </w:rPr>
                        </w:pPr>
                        <w:r>
                          <w:rPr>
                            <w:rFonts w:hint="eastAsia"/>
                            <w:szCs w:val="21"/>
                          </w:rPr>
                          <w:t>向中央银行借款净增加额</w:t>
                        </w:r>
                      </w:p>
                    </w:tc>
                  </w:sdtContent>
                </w:sdt>
                <w:tc>
                  <w:tcPr>
                    <w:tcW w:w="470" w:type="pct"/>
                    <w:tcBorders>
                      <w:top w:val="outset" w:sz="4" w:space="0" w:color="auto"/>
                      <w:left w:val="outset" w:sz="4" w:space="0" w:color="auto"/>
                      <w:bottom w:val="outset" w:sz="4" w:space="0" w:color="auto"/>
                      <w:right w:val="outset" w:sz="4" w:space="0" w:color="auto"/>
                    </w:tcBorders>
                  </w:tcPr>
                  <w:p w14:paraId="53AFA3BB"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142923E3"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095284F9" w14:textId="77777777" w:rsidR="00830E72" w:rsidRDefault="00830E72">
                    <w:pPr>
                      <w:jc w:val="right"/>
                      <w:rPr>
                        <w:szCs w:val="21"/>
                      </w:rPr>
                    </w:pPr>
                  </w:p>
                </w:tc>
              </w:tr>
              <w:tr w:rsidR="00830E72" w14:paraId="18103B24" w14:textId="77777777">
                <w:sdt>
                  <w:sdtPr>
                    <w:tag w:val="_PLD_4fa5cd7231084d5e8d16a86dececd3b2"/>
                    <w:id w:val="-148065488"/>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232230F4" w14:textId="77777777" w:rsidR="00830E72" w:rsidRDefault="008344D8">
                        <w:pPr>
                          <w:ind w:firstLineChars="100" w:firstLine="210"/>
                          <w:rPr>
                            <w:szCs w:val="21"/>
                          </w:rPr>
                        </w:pPr>
                        <w:r>
                          <w:rPr>
                            <w:rFonts w:hint="eastAsia"/>
                            <w:szCs w:val="21"/>
                          </w:rPr>
                          <w:t>向其他金融机构拆入资金净增加额</w:t>
                        </w:r>
                      </w:p>
                    </w:tc>
                  </w:sdtContent>
                </w:sdt>
                <w:tc>
                  <w:tcPr>
                    <w:tcW w:w="470" w:type="pct"/>
                    <w:tcBorders>
                      <w:top w:val="outset" w:sz="4" w:space="0" w:color="auto"/>
                      <w:left w:val="outset" w:sz="4" w:space="0" w:color="auto"/>
                      <w:bottom w:val="outset" w:sz="4" w:space="0" w:color="auto"/>
                      <w:right w:val="outset" w:sz="4" w:space="0" w:color="auto"/>
                    </w:tcBorders>
                  </w:tcPr>
                  <w:p w14:paraId="71BCC9EB"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729B2EEF"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46647CB0" w14:textId="77777777" w:rsidR="00830E72" w:rsidRDefault="00830E72">
                    <w:pPr>
                      <w:jc w:val="right"/>
                      <w:rPr>
                        <w:szCs w:val="21"/>
                      </w:rPr>
                    </w:pPr>
                  </w:p>
                </w:tc>
              </w:tr>
              <w:tr w:rsidR="00830E72" w14:paraId="63339585" w14:textId="77777777">
                <w:sdt>
                  <w:sdtPr>
                    <w:tag w:val="_PLD_ca0d502c0b574483ab47d4c8173169f9"/>
                    <w:id w:val="1899626154"/>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41B98754" w14:textId="77777777" w:rsidR="00830E72" w:rsidRDefault="008344D8">
                        <w:pPr>
                          <w:ind w:firstLineChars="100" w:firstLine="210"/>
                          <w:rPr>
                            <w:szCs w:val="21"/>
                          </w:rPr>
                        </w:pPr>
                        <w:r>
                          <w:rPr>
                            <w:rFonts w:hint="eastAsia"/>
                            <w:szCs w:val="21"/>
                          </w:rPr>
                          <w:t>收到原保险合同保费取得的现金</w:t>
                        </w:r>
                      </w:p>
                    </w:tc>
                  </w:sdtContent>
                </w:sdt>
                <w:tc>
                  <w:tcPr>
                    <w:tcW w:w="470" w:type="pct"/>
                    <w:tcBorders>
                      <w:top w:val="outset" w:sz="4" w:space="0" w:color="auto"/>
                      <w:left w:val="outset" w:sz="4" w:space="0" w:color="auto"/>
                      <w:bottom w:val="outset" w:sz="4" w:space="0" w:color="auto"/>
                      <w:right w:val="outset" w:sz="4" w:space="0" w:color="auto"/>
                    </w:tcBorders>
                  </w:tcPr>
                  <w:p w14:paraId="058984A6"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07B293B3"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68D8E0C3" w14:textId="77777777" w:rsidR="00830E72" w:rsidRDefault="00830E72">
                    <w:pPr>
                      <w:jc w:val="right"/>
                      <w:rPr>
                        <w:szCs w:val="21"/>
                      </w:rPr>
                    </w:pPr>
                  </w:p>
                </w:tc>
              </w:tr>
              <w:tr w:rsidR="00830E72" w14:paraId="1E3B4F75" w14:textId="77777777">
                <w:sdt>
                  <w:sdtPr>
                    <w:tag w:val="_PLD_27d3854b584b426e821112162a2315b7"/>
                    <w:id w:val="985432512"/>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4CFBF2BF" w14:textId="77777777" w:rsidR="00830E72" w:rsidRDefault="008344D8">
                        <w:pPr>
                          <w:ind w:firstLineChars="100" w:firstLine="210"/>
                          <w:rPr>
                            <w:szCs w:val="21"/>
                          </w:rPr>
                        </w:pPr>
                        <w:r>
                          <w:rPr>
                            <w:rFonts w:hint="eastAsia"/>
                            <w:szCs w:val="21"/>
                          </w:rPr>
                          <w:t>收到再保业务现金净额</w:t>
                        </w:r>
                      </w:p>
                    </w:tc>
                  </w:sdtContent>
                </w:sdt>
                <w:tc>
                  <w:tcPr>
                    <w:tcW w:w="470" w:type="pct"/>
                    <w:tcBorders>
                      <w:top w:val="outset" w:sz="4" w:space="0" w:color="auto"/>
                      <w:left w:val="outset" w:sz="4" w:space="0" w:color="auto"/>
                      <w:bottom w:val="outset" w:sz="4" w:space="0" w:color="auto"/>
                      <w:right w:val="outset" w:sz="4" w:space="0" w:color="auto"/>
                    </w:tcBorders>
                  </w:tcPr>
                  <w:p w14:paraId="789C64A5"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22CE1749"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57602369" w14:textId="77777777" w:rsidR="00830E72" w:rsidRDefault="00830E72">
                    <w:pPr>
                      <w:jc w:val="right"/>
                      <w:rPr>
                        <w:szCs w:val="21"/>
                      </w:rPr>
                    </w:pPr>
                  </w:p>
                </w:tc>
              </w:tr>
              <w:tr w:rsidR="00830E72" w14:paraId="0B44CA2A" w14:textId="77777777">
                <w:sdt>
                  <w:sdtPr>
                    <w:tag w:val="_PLD_9042657b6c95463292e1d70a9dcb4339"/>
                    <w:id w:val="-2078122706"/>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64640CF3" w14:textId="77777777" w:rsidR="00830E72" w:rsidRDefault="008344D8">
                        <w:pPr>
                          <w:ind w:firstLineChars="100" w:firstLine="210"/>
                          <w:rPr>
                            <w:szCs w:val="21"/>
                          </w:rPr>
                        </w:pPr>
                        <w:r>
                          <w:rPr>
                            <w:rFonts w:hint="eastAsia"/>
                            <w:szCs w:val="21"/>
                          </w:rPr>
                          <w:t>保户储金及投资款净增加额</w:t>
                        </w:r>
                      </w:p>
                    </w:tc>
                  </w:sdtContent>
                </w:sdt>
                <w:tc>
                  <w:tcPr>
                    <w:tcW w:w="470" w:type="pct"/>
                    <w:tcBorders>
                      <w:top w:val="outset" w:sz="4" w:space="0" w:color="auto"/>
                      <w:left w:val="outset" w:sz="4" w:space="0" w:color="auto"/>
                      <w:bottom w:val="outset" w:sz="4" w:space="0" w:color="auto"/>
                      <w:right w:val="outset" w:sz="4" w:space="0" w:color="auto"/>
                    </w:tcBorders>
                  </w:tcPr>
                  <w:p w14:paraId="6D51B11F"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7204F336"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42F34FAF" w14:textId="77777777" w:rsidR="00830E72" w:rsidRDefault="00830E72">
                    <w:pPr>
                      <w:jc w:val="right"/>
                      <w:rPr>
                        <w:szCs w:val="21"/>
                      </w:rPr>
                    </w:pPr>
                  </w:p>
                </w:tc>
              </w:tr>
              <w:tr w:rsidR="00830E72" w14:paraId="37C28E89" w14:textId="77777777">
                <w:sdt>
                  <w:sdtPr>
                    <w:tag w:val="_PLD_f2b940928e9a441385d0fbc1e03e9847"/>
                    <w:id w:val="-757605413"/>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690C5BB6" w14:textId="77777777" w:rsidR="00830E72" w:rsidRDefault="008344D8">
                        <w:pPr>
                          <w:ind w:firstLineChars="100" w:firstLine="210"/>
                          <w:rPr>
                            <w:szCs w:val="21"/>
                          </w:rPr>
                        </w:pPr>
                        <w:r>
                          <w:rPr>
                            <w:rFonts w:hint="eastAsia"/>
                            <w:szCs w:val="21"/>
                          </w:rPr>
                          <w:t>收取利息、手续费及佣金的现金</w:t>
                        </w:r>
                      </w:p>
                    </w:tc>
                  </w:sdtContent>
                </w:sdt>
                <w:tc>
                  <w:tcPr>
                    <w:tcW w:w="470" w:type="pct"/>
                    <w:tcBorders>
                      <w:top w:val="outset" w:sz="4" w:space="0" w:color="auto"/>
                      <w:left w:val="outset" w:sz="4" w:space="0" w:color="auto"/>
                      <w:bottom w:val="outset" w:sz="4" w:space="0" w:color="auto"/>
                      <w:right w:val="outset" w:sz="4" w:space="0" w:color="auto"/>
                    </w:tcBorders>
                  </w:tcPr>
                  <w:p w14:paraId="1A2746A3"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6FCD95CE"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3CF901B0" w14:textId="77777777" w:rsidR="00830E72" w:rsidRDefault="00830E72">
                    <w:pPr>
                      <w:jc w:val="right"/>
                      <w:rPr>
                        <w:szCs w:val="21"/>
                      </w:rPr>
                    </w:pPr>
                  </w:p>
                </w:tc>
              </w:tr>
              <w:tr w:rsidR="00830E72" w14:paraId="498CEF87" w14:textId="77777777">
                <w:sdt>
                  <w:sdtPr>
                    <w:tag w:val="_PLD_fb8a102c0adb420b81df819e96f35605"/>
                    <w:id w:val="-733159807"/>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3DE2F031" w14:textId="77777777" w:rsidR="00830E72" w:rsidRDefault="008344D8">
                        <w:pPr>
                          <w:ind w:firstLineChars="100" w:firstLine="210"/>
                          <w:rPr>
                            <w:szCs w:val="21"/>
                          </w:rPr>
                        </w:pPr>
                        <w:r>
                          <w:rPr>
                            <w:rFonts w:hint="eastAsia"/>
                            <w:szCs w:val="21"/>
                          </w:rPr>
                          <w:t>拆入资金净增加额</w:t>
                        </w:r>
                      </w:p>
                    </w:tc>
                  </w:sdtContent>
                </w:sdt>
                <w:tc>
                  <w:tcPr>
                    <w:tcW w:w="470" w:type="pct"/>
                    <w:tcBorders>
                      <w:top w:val="outset" w:sz="4" w:space="0" w:color="auto"/>
                      <w:left w:val="outset" w:sz="4" w:space="0" w:color="auto"/>
                      <w:bottom w:val="outset" w:sz="4" w:space="0" w:color="auto"/>
                      <w:right w:val="outset" w:sz="4" w:space="0" w:color="auto"/>
                    </w:tcBorders>
                  </w:tcPr>
                  <w:p w14:paraId="46255A26"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22002F2F"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7C1EED92" w14:textId="77777777" w:rsidR="00830E72" w:rsidRDefault="00830E72">
                    <w:pPr>
                      <w:jc w:val="right"/>
                      <w:rPr>
                        <w:szCs w:val="21"/>
                      </w:rPr>
                    </w:pPr>
                  </w:p>
                </w:tc>
              </w:tr>
              <w:tr w:rsidR="00830E72" w14:paraId="5FACA8A7" w14:textId="77777777">
                <w:sdt>
                  <w:sdtPr>
                    <w:tag w:val="_PLD_ed524170a3b440c494db2f51afa02dae"/>
                    <w:id w:val="1951971998"/>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3ECDE0B0" w14:textId="77777777" w:rsidR="00830E72" w:rsidRDefault="008344D8">
                        <w:pPr>
                          <w:ind w:firstLineChars="100" w:firstLine="210"/>
                          <w:rPr>
                            <w:szCs w:val="21"/>
                          </w:rPr>
                        </w:pPr>
                        <w:r>
                          <w:rPr>
                            <w:rFonts w:hint="eastAsia"/>
                            <w:szCs w:val="21"/>
                          </w:rPr>
                          <w:t>回购业务资金净增加额</w:t>
                        </w:r>
                      </w:p>
                    </w:tc>
                  </w:sdtContent>
                </w:sdt>
                <w:tc>
                  <w:tcPr>
                    <w:tcW w:w="470" w:type="pct"/>
                    <w:tcBorders>
                      <w:top w:val="outset" w:sz="4" w:space="0" w:color="auto"/>
                      <w:left w:val="outset" w:sz="4" w:space="0" w:color="auto"/>
                      <w:bottom w:val="outset" w:sz="4" w:space="0" w:color="auto"/>
                      <w:right w:val="outset" w:sz="4" w:space="0" w:color="auto"/>
                    </w:tcBorders>
                  </w:tcPr>
                  <w:p w14:paraId="7B31A72F"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3AE7C1D1"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68033F9F" w14:textId="77777777" w:rsidR="00830E72" w:rsidRDefault="00830E72">
                    <w:pPr>
                      <w:jc w:val="right"/>
                      <w:rPr>
                        <w:szCs w:val="21"/>
                      </w:rPr>
                    </w:pPr>
                  </w:p>
                </w:tc>
              </w:tr>
              <w:tr w:rsidR="00830E72" w14:paraId="31C1A453" w14:textId="77777777">
                <w:tc>
                  <w:tcPr>
                    <w:tcW w:w="2253" w:type="pct"/>
                    <w:tcBorders>
                      <w:top w:val="outset" w:sz="4" w:space="0" w:color="auto"/>
                      <w:left w:val="outset" w:sz="4" w:space="0" w:color="auto"/>
                      <w:bottom w:val="outset" w:sz="4" w:space="0" w:color="auto"/>
                      <w:right w:val="outset" w:sz="4" w:space="0" w:color="auto"/>
                    </w:tcBorders>
                  </w:tcPr>
                  <w:sdt>
                    <w:sdtPr>
                      <w:rPr>
                        <w:rFonts w:hint="eastAsia"/>
                      </w:rPr>
                      <w:tag w:val="_PLD_92047b241c2a4992afcdac105b616305"/>
                      <w:id w:val="1990984859"/>
                      <w:lock w:val="sdtLocked"/>
                    </w:sdtPr>
                    <w:sdtEndPr/>
                    <w:sdtContent>
                      <w:p w14:paraId="7DCEEC1A" w14:textId="77777777" w:rsidR="00830E72" w:rsidRDefault="008344D8">
                        <w:pPr>
                          <w:ind w:firstLineChars="100" w:firstLine="210"/>
                        </w:pPr>
                        <w:r>
                          <w:rPr>
                            <w:rFonts w:hint="eastAsia"/>
                          </w:rPr>
                          <w:t>代理买卖证券收到的现金净额</w:t>
                        </w:r>
                      </w:p>
                    </w:sdtContent>
                  </w:sdt>
                </w:tc>
                <w:tc>
                  <w:tcPr>
                    <w:tcW w:w="470" w:type="pct"/>
                    <w:tcBorders>
                      <w:top w:val="outset" w:sz="4" w:space="0" w:color="auto"/>
                      <w:left w:val="outset" w:sz="4" w:space="0" w:color="auto"/>
                      <w:bottom w:val="outset" w:sz="4" w:space="0" w:color="auto"/>
                      <w:right w:val="outset" w:sz="4" w:space="0" w:color="auto"/>
                    </w:tcBorders>
                  </w:tcPr>
                  <w:p w14:paraId="06448EB2"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0F22EFD9"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4A581F9D" w14:textId="77777777" w:rsidR="00830E72" w:rsidRDefault="00830E72">
                    <w:pPr>
                      <w:jc w:val="right"/>
                      <w:rPr>
                        <w:szCs w:val="21"/>
                      </w:rPr>
                    </w:pPr>
                  </w:p>
                </w:tc>
              </w:tr>
              <w:tr w:rsidR="00830E72" w14:paraId="04E526B6" w14:textId="77777777">
                <w:sdt>
                  <w:sdtPr>
                    <w:tag w:val="_PLD_64653926f1d7432aafc100b141947533"/>
                    <w:id w:val="1290088461"/>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6CC9D945" w14:textId="77777777" w:rsidR="00830E72" w:rsidRDefault="008344D8">
                        <w:pPr>
                          <w:ind w:firstLineChars="100" w:firstLine="210"/>
                          <w:rPr>
                            <w:szCs w:val="21"/>
                          </w:rPr>
                        </w:pPr>
                        <w:r>
                          <w:rPr>
                            <w:rFonts w:hint="eastAsia"/>
                            <w:szCs w:val="21"/>
                          </w:rPr>
                          <w:t>收到的税费返还</w:t>
                        </w:r>
                      </w:p>
                    </w:tc>
                  </w:sdtContent>
                </w:sdt>
                <w:tc>
                  <w:tcPr>
                    <w:tcW w:w="470" w:type="pct"/>
                    <w:tcBorders>
                      <w:top w:val="outset" w:sz="4" w:space="0" w:color="auto"/>
                      <w:left w:val="outset" w:sz="4" w:space="0" w:color="auto"/>
                      <w:bottom w:val="outset" w:sz="4" w:space="0" w:color="auto"/>
                      <w:right w:val="outset" w:sz="4" w:space="0" w:color="auto"/>
                    </w:tcBorders>
                  </w:tcPr>
                  <w:p w14:paraId="16A11318"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3C665044"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3C2224A8" w14:textId="77777777" w:rsidR="00830E72" w:rsidRDefault="00830E72">
                    <w:pPr>
                      <w:jc w:val="right"/>
                      <w:rPr>
                        <w:szCs w:val="21"/>
                      </w:rPr>
                    </w:pPr>
                  </w:p>
                </w:tc>
              </w:tr>
              <w:tr w:rsidR="00830E72" w14:paraId="36E0E4AC" w14:textId="77777777">
                <w:sdt>
                  <w:sdtPr>
                    <w:tag w:val="_PLD_a5a847bd8381445cacfacf3bd061b567"/>
                    <w:id w:val="-1854103917"/>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660ADA40" w14:textId="77777777" w:rsidR="00830E72" w:rsidRDefault="008344D8">
                        <w:pPr>
                          <w:ind w:firstLineChars="100" w:firstLine="210"/>
                          <w:rPr>
                            <w:szCs w:val="21"/>
                          </w:rPr>
                        </w:pPr>
                        <w:r>
                          <w:rPr>
                            <w:rFonts w:hint="eastAsia"/>
                            <w:szCs w:val="21"/>
                          </w:rPr>
                          <w:t>收到其他与经营活动有关的现金</w:t>
                        </w:r>
                      </w:p>
                    </w:tc>
                  </w:sdtContent>
                </w:sdt>
                <w:tc>
                  <w:tcPr>
                    <w:tcW w:w="470" w:type="pct"/>
                    <w:tcBorders>
                      <w:top w:val="outset" w:sz="4" w:space="0" w:color="auto"/>
                      <w:left w:val="outset" w:sz="4" w:space="0" w:color="auto"/>
                      <w:bottom w:val="outset" w:sz="4" w:space="0" w:color="auto"/>
                      <w:right w:val="outset" w:sz="4" w:space="0" w:color="auto"/>
                    </w:tcBorders>
                  </w:tcPr>
                  <w:p w14:paraId="4963A3B0"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0E8B79FF" w14:textId="77777777" w:rsidR="00830E72" w:rsidRDefault="008344D8">
                    <w:pPr>
                      <w:jc w:val="right"/>
                      <w:rPr>
                        <w:szCs w:val="21"/>
                      </w:rPr>
                    </w:pPr>
                    <w:r>
                      <w:rPr>
                        <w:szCs w:val="21"/>
                      </w:rPr>
                      <w:t>64,003,004.78</w:t>
                    </w:r>
                  </w:p>
                </w:tc>
                <w:tc>
                  <w:tcPr>
                    <w:tcW w:w="1197" w:type="pct"/>
                    <w:tcBorders>
                      <w:top w:val="outset" w:sz="4" w:space="0" w:color="auto"/>
                      <w:left w:val="outset" w:sz="4" w:space="0" w:color="auto"/>
                      <w:bottom w:val="outset" w:sz="4" w:space="0" w:color="auto"/>
                      <w:right w:val="outset" w:sz="4" w:space="0" w:color="auto"/>
                    </w:tcBorders>
                  </w:tcPr>
                  <w:p w14:paraId="17D3E40F" w14:textId="77777777" w:rsidR="00830E72" w:rsidRDefault="008344D8">
                    <w:pPr>
                      <w:jc w:val="right"/>
                      <w:rPr>
                        <w:szCs w:val="21"/>
                      </w:rPr>
                    </w:pPr>
                    <w:r>
                      <w:rPr>
                        <w:szCs w:val="21"/>
                      </w:rPr>
                      <w:t>25,753,789.95</w:t>
                    </w:r>
                  </w:p>
                </w:tc>
              </w:tr>
              <w:tr w:rsidR="00830E72" w14:paraId="42C59FED" w14:textId="77777777">
                <w:sdt>
                  <w:sdtPr>
                    <w:tag w:val="_PLD_99ee67e244574f82a472dc4db883c019"/>
                    <w:id w:val="-1787263605"/>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6CB1706D" w14:textId="77777777" w:rsidR="00830E72" w:rsidRDefault="008344D8">
                        <w:pPr>
                          <w:ind w:firstLineChars="200" w:firstLine="420"/>
                          <w:rPr>
                            <w:color w:val="000000"/>
                            <w:szCs w:val="21"/>
                          </w:rPr>
                        </w:pPr>
                        <w:r>
                          <w:rPr>
                            <w:rFonts w:hint="eastAsia"/>
                            <w:szCs w:val="21"/>
                          </w:rPr>
                          <w:t>经营活动现金流入小计</w:t>
                        </w:r>
                      </w:p>
                    </w:tc>
                  </w:sdtContent>
                </w:sdt>
                <w:tc>
                  <w:tcPr>
                    <w:tcW w:w="470" w:type="pct"/>
                    <w:tcBorders>
                      <w:top w:val="outset" w:sz="4" w:space="0" w:color="auto"/>
                      <w:left w:val="outset" w:sz="4" w:space="0" w:color="auto"/>
                      <w:bottom w:val="outset" w:sz="4" w:space="0" w:color="auto"/>
                      <w:right w:val="outset" w:sz="4" w:space="0" w:color="auto"/>
                    </w:tcBorders>
                  </w:tcPr>
                  <w:p w14:paraId="6E32EC8C"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32A9A6E1" w14:textId="77777777" w:rsidR="00830E72" w:rsidRDefault="008344D8">
                    <w:pPr>
                      <w:jc w:val="right"/>
                      <w:rPr>
                        <w:szCs w:val="21"/>
                      </w:rPr>
                    </w:pPr>
                    <w:r>
                      <w:rPr>
                        <w:szCs w:val="21"/>
                      </w:rPr>
                      <w:t>1,604,110,137.17</w:t>
                    </w:r>
                  </w:p>
                </w:tc>
                <w:tc>
                  <w:tcPr>
                    <w:tcW w:w="1197" w:type="pct"/>
                    <w:tcBorders>
                      <w:top w:val="outset" w:sz="4" w:space="0" w:color="auto"/>
                      <w:left w:val="outset" w:sz="4" w:space="0" w:color="auto"/>
                      <w:bottom w:val="outset" w:sz="4" w:space="0" w:color="auto"/>
                      <w:right w:val="outset" w:sz="4" w:space="0" w:color="auto"/>
                    </w:tcBorders>
                  </w:tcPr>
                  <w:p w14:paraId="3173CE7F" w14:textId="77777777" w:rsidR="00830E72" w:rsidRDefault="008344D8">
                    <w:pPr>
                      <w:jc w:val="right"/>
                      <w:rPr>
                        <w:szCs w:val="21"/>
                      </w:rPr>
                    </w:pPr>
                    <w:r>
                      <w:rPr>
                        <w:szCs w:val="21"/>
                      </w:rPr>
                      <w:t>1,452,062,974.26</w:t>
                    </w:r>
                  </w:p>
                </w:tc>
              </w:tr>
              <w:tr w:rsidR="00830E72" w14:paraId="1F34FA7C" w14:textId="77777777">
                <w:sdt>
                  <w:sdtPr>
                    <w:tag w:val="_PLD_7c898111c7fa4c2db82bbfa4cfade7b1"/>
                    <w:id w:val="-175888228"/>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32950D02" w14:textId="77777777" w:rsidR="00830E72" w:rsidRDefault="008344D8">
                        <w:pPr>
                          <w:ind w:firstLineChars="100" w:firstLine="210"/>
                          <w:rPr>
                            <w:szCs w:val="21"/>
                          </w:rPr>
                        </w:pPr>
                        <w:r>
                          <w:rPr>
                            <w:rFonts w:hint="eastAsia"/>
                            <w:szCs w:val="21"/>
                          </w:rPr>
                          <w:t>购买商品、接受劳务支付的现金</w:t>
                        </w:r>
                      </w:p>
                    </w:tc>
                  </w:sdtContent>
                </w:sdt>
                <w:tc>
                  <w:tcPr>
                    <w:tcW w:w="470" w:type="pct"/>
                    <w:tcBorders>
                      <w:top w:val="outset" w:sz="4" w:space="0" w:color="auto"/>
                      <w:left w:val="outset" w:sz="4" w:space="0" w:color="auto"/>
                      <w:bottom w:val="outset" w:sz="4" w:space="0" w:color="auto"/>
                      <w:right w:val="outset" w:sz="4" w:space="0" w:color="auto"/>
                    </w:tcBorders>
                  </w:tcPr>
                  <w:p w14:paraId="1B20CB43"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54229265" w14:textId="77777777" w:rsidR="00830E72" w:rsidRDefault="008344D8">
                    <w:pPr>
                      <w:jc w:val="right"/>
                      <w:rPr>
                        <w:szCs w:val="21"/>
                      </w:rPr>
                    </w:pPr>
                    <w:r>
                      <w:rPr>
                        <w:szCs w:val="21"/>
                      </w:rPr>
                      <w:t>1,644,227,513.70</w:t>
                    </w:r>
                  </w:p>
                </w:tc>
                <w:tc>
                  <w:tcPr>
                    <w:tcW w:w="1197" w:type="pct"/>
                    <w:tcBorders>
                      <w:top w:val="outset" w:sz="4" w:space="0" w:color="auto"/>
                      <w:left w:val="outset" w:sz="4" w:space="0" w:color="auto"/>
                      <w:bottom w:val="outset" w:sz="4" w:space="0" w:color="auto"/>
                      <w:right w:val="outset" w:sz="4" w:space="0" w:color="auto"/>
                    </w:tcBorders>
                  </w:tcPr>
                  <w:p w14:paraId="4D570A5A" w14:textId="77777777" w:rsidR="00830E72" w:rsidRDefault="008344D8">
                    <w:pPr>
                      <w:jc w:val="right"/>
                      <w:rPr>
                        <w:szCs w:val="21"/>
                      </w:rPr>
                    </w:pPr>
                    <w:r>
                      <w:rPr>
                        <w:szCs w:val="21"/>
                      </w:rPr>
                      <w:t>1,456,146,802.18</w:t>
                    </w:r>
                  </w:p>
                </w:tc>
              </w:tr>
              <w:tr w:rsidR="00830E72" w14:paraId="386B737B" w14:textId="77777777">
                <w:sdt>
                  <w:sdtPr>
                    <w:tag w:val="_PLD_f94c31d02a6a46e28ef866c8d8b1eb4f"/>
                    <w:id w:val="1427302545"/>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4E7A2E14" w14:textId="77777777" w:rsidR="00830E72" w:rsidRDefault="008344D8">
                        <w:pPr>
                          <w:ind w:firstLineChars="100" w:firstLine="210"/>
                          <w:rPr>
                            <w:szCs w:val="21"/>
                          </w:rPr>
                        </w:pPr>
                        <w:r>
                          <w:rPr>
                            <w:rFonts w:hint="eastAsia"/>
                            <w:szCs w:val="21"/>
                          </w:rPr>
                          <w:t>客户贷款及垫款净增加额</w:t>
                        </w:r>
                      </w:p>
                    </w:tc>
                  </w:sdtContent>
                </w:sdt>
                <w:tc>
                  <w:tcPr>
                    <w:tcW w:w="470" w:type="pct"/>
                    <w:tcBorders>
                      <w:top w:val="outset" w:sz="4" w:space="0" w:color="auto"/>
                      <w:left w:val="outset" w:sz="4" w:space="0" w:color="auto"/>
                      <w:bottom w:val="outset" w:sz="4" w:space="0" w:color="auto"/>
                      <w:right w:val="outset" w:sz="4" w:space="0" w:color="auto"/>
                    </w:tcBorders>
                  </w:tcPr>
                  <w:p w14:paraId="40469699"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6F0C438C"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44883524" w14:textId="77777777" w:rsidR="00830E72" w:rsidRDefault="00830E72">
                    <w:pPr>
                      <w:jc w:val="right"/>
                      <w:rPr>
                        <w:szCs w:val="21"/>
                      </w:rPr>
                    </w:pPr>
                  </w:p>
                </w:tc>
              </w:tr>
              <w:tr w:rsidR="00830E72" w14:paraId="353C9318" w14:textId="77777777">
                <w:sdt>
                  <w:sdtPr>
                    <w:tag w:val="_PLD_c930b8bdc14d4d048d2b903bf85928a6"/>
                    <w:id w:val="1534309160"/>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0D3A0184" w14:textId="77777777" w:rsidR="00830E72" w:rsidRDefault="008344D8">
                        <w:pPr>
                          <w:ind w:firstLineChars="100" w:firstLine="210"/>
                          <w:rPr>
                            <w:szCs w:val="21"/>
                          </w:rPr>
                        </w:pPr>
                        <w:r>
                          <w:rPr>
                            <w:rFonts w:hint="eastAsia"/>
                            <w:szCs w:val="21"/>
                          </w:rPr>
                          <w:t>存放中央银行和同业款项净增加额</w:t>
                        </w:r>
                      </w:p>
                    </w:tc>
                  </w:sdtContent>
                </w:sdt>
                <w:tc>
                  <w:tcPr>
                    <w:tcW w:w="470" w:type="pct"/>
                    <w:tcBorders>
                      <w:top w:val="outset" w:sz="4" w:space="0" w:color="auto"/>
                      <w:left w:val="outset" w:sz="4" w:space="0" w:color="auto"/>
                      <w:bottom w:val="outset" w:sz="4" w:space="0" w:color="auto"/>
                      <w:right w:val="outset" w:sz="4" w:space="0" w:color="auto"/>
                    </w:tcBorders>
                  </w:tcPr>
                  <w:p w14:paraId="0558D18A"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3B6B5188"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1F23A34D" w14:textId="77777777" w:rsidR="00830E72" w:rsidRDefault="00830E72">
                    <w:pPr>
                      <w:jc w:val="right"/>
                      <w:rPr>
                        <w:szCs w:val="21"/>
                      </w:rPr>
                    </w:pPr>
                  </w:p>
                </w:tc>
              </w:tr>
              <w:tr w:rsidR="00830E72" w14:paraId="6CEFEFFC" w14:textId="77777777">
                <w:sdt>
                  <w:sdtPr>
                    <w:tag w:val="_PLD_eb41952abbe741389032345de9aedbff"/>
                    <w:id w:val="195277842"/>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6FE3DC8D" w14:textId="77777777" w:rsidR="00830E72" w:rsidRDefault="008344D8">
                        <w:pPr>
                          <w:ind w:firstLineChars="100" w:firstLine="210"/>
                          <w:rPr>
                            <w:szCs w:val="21"/>
                          </w:rPr>
                        </w:pPr>
                        <w:r>
                          <w:rPr>
                            <w:rFonts w:hint="eastAsia"/>
                            <w:szCs w:val="21"/>
                          </w:rPr>
                          <w:t>支付原保险合同赔付款项的现金</w:t>
                        </w:r>
                      </w:p>
                    </w:tc>
                  </w:sdtContent>
                </w:sdt>
                <w:tc>
                  <w:tcPr>
                    <w:tcW w:w="470" w:type="pct"/>
                    <w:tcBorders>
                      <w:top w:val="outset" w:sz="4" w:space="0" w:color="auto"/>
                      <w:left w:val="outset" w:sz="4" w:space="0" w:color="auto"/>
                      <w:bottom w:val="outset" w:sz="4" w:space="0" w:color="auto"/>
                      <w:right w:val="outset" w:sz="4" w:space="0" w:color="auto"/>
                    </w:tcBorders>
                  </w:tcPr>
                  <w:p w14:paraId="13910F73"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3F0A7CEE"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10677B40" w14:textId="77777777" w:rsidR="00830E72" w:rsidRDefault="00830E72">
                    <w:pPr>
                      <w:jc w:val="right"/>
                      <w:rPr>
                        <w:szCs w:val="21"/>
                      </w:rPr>
                    </w:pPr>
                  </w:p>
                </w:tc>
              </w:tr>
              <w:tr w:rsidR="00830E72" w14:paraId="256E841B" w14:textId="77777777">
                <w:tc>
                  <w:tcPr>
                    <w:tcW w:w="2253" w:type="pct"/>
                    <w:tcBorders>
                      <w:top w:val="outset" w:sz="4" w:space="0" w:color="auto"/>
                      <w:left w:val="outset" w:sz="4" w:space="0" w:color="auto"/>
                      <w:bottom w:val="outset" w:sz="4" w:space="0" w:color="auto"/>
                      <w:right w:val="outset" w:sz="4" w:space="0" w:color="auto"/>
                    </w:tcBorders>
                  </w:tcPr>
                  <w:sdt>
                    <w:sdtPr>
                      <w:rPr>
                        <w:rFonts w:hint="eastAsia"/>
                      </w:rPr>
                      <w:tag w:val="_PLD_22a8c5b88fa84ee5bb2a7df3c08dff78"/>
                      <w:id w:val="-595619"/>
                      <w:lock w:val="sdtLocked"/>
                    </w:sdtPr>
                    <w:sdtEndPr/>
                    <w:sdtContent>
                      <w:p w14:paraId="4BD6770E" w14:textId="77777777" w:rsidR="00830E72" w:rsidRDefault="008344D8">
                        <w:pPr>
                          <w:ind w:firstLineChars="100" w:firstLine="210"/>
                        </w:pPr>
                        <w:r>
                          <w:rPr>
                            <w:rFonts w:hint="eastAsia"/>
                          </w:rPr>
                          <w:t>拆出资金净增加额</w:t>
                        </w:r>
                      </w:p>
                    </w:sdtContent>
                  </w:sdt>
                </w:tc>
                <w:tc>
                  <w:tcPr>
                    <w:tcW w:w="470" w:type="pct"/>
                    <w:tcBorders>
                      <w:top w:val="outset" w:sz="4" w:space="0" w:color="auto"/>
                      <w:left w:val="outset" w:sz="4" w:space="0" w:color="auto"/>
                      <w:bottom w:val="outset" w:sz="4" w:space="0" w:color="auto"/>
                      <w:right w:val="outset" w:sz="4" w:space="0" w:color="auto"/>
                    </w:tcBorders>
                  </w:tcPr>
                  <w:p w14:paraId="7DA22C20"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5183B1DF"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444BA7BB" w14:textId="77777777" w:rsidR="00830E72" w:rsidRDefault="00830E72">
                    <w:pPr>
                      <w:jc w:val="right"/>
                      <w:rPr>
                        <w:szCs w:val="21"/>
                      </w:rPr>
                    </w:pPr>
                  </w:p>
                </w:tc>
              </w:tr>
              <w:tr w:rsidR="00830E72" w14:paraId="1FA293CA" w14:textId="77777777">
                <w:sdt>
                  <w:sdtPr>
                    <w:tag w:val="_PLD_182352293eb948718bd2d2895af0d012"/>
                    <w:id w:val="623811903"/>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1BCECB1D" w14:textId="77777777" w:rsidR="00830E72" w:rsidRDefault="008344D8">
                        <w:pPr>
                          <w:ind w:firstLineChars="100" w:firstLine="210"/>
                          <w:rPr>
                            <w:szCs w:val="21"/>
                          </w:rPr>
                        </w:pPr>
                        <w:r>
                          <w:rPr>
                            <w:rFonts w:hint="eastAsia"/>
                            <w:szCs w:val="21"/>
                          </w:rPr>
                          <w:t>支付利息、手续费及佣金的现金</w:t>
                        </w:r>
                      </w:p>
                    </w:tc>
                  </w:sdtContent>
                </w:sdt>
                <w:tc>
                  <w:tcPr>
                    <w:tcW w:w="470" w:type="pct"/>
                    <w:tcBorders>
                      <w:top w:val="outset" w:sz="4" w:space="0" w:color="auto"/>
                      <w:left w:val="outset" w:sz="4" w:space="0" w:color="auto"/>
                      <w:bottom w:val="outset" w:sz="4" w:space="0" w:color="auto"/>
                      <w:right w:val="outset" w:sz="4" w:space="0" w:color="auto"/>
                    </w:tcBorders>
                  </w:tcPr>
                  <w:p w14:paraId="6752E010"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716ABF6B"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273E6482" w14:textId="77777777" w:rsidR="00830E72" w:rsidRDefault="00830E72">
                    <w:pPr>
                      <w:jc w:val="right"/>
                      <w:rPr>
                        <w:szCs w:val="21"/>
                      </w:rPr>
                    </w:pPr>
                  </w:p>
                </w:tc>
              </w:tr>
              <w:tr w:rsidR="00830E72" w14:paraId="0436BC51" w14:textId="77777777">
                <w:sdt>
                  <w:sdtPr>
                    <w:tag w:val="_PLD_c4e139d97f004b09b9ef784db1d19d92"/>
                    <w:id w:val="860476462"/>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3B0C6794" w14:textId="77777777" w:rsidR="00830E72" w:rsidRDefault="008344D8">
                        <w:pPr>
                          <w:ind w:firstLineChars="100" w:firstLine="210"/>
                          <w:rPr>
                            <w:szCs w:val="21"/>
                          </w:rPr>
                        </w:pPr>
                        <w:r>
                          <w:rPr>
                            <w:rFonts w:hint="eastAsia"/>
                            <w:szCs w:val="21"/>
                          </w:rPr>
                          <w:t>支付保单红利的现金</w:t>
                        </w:r>
                      </w:p>
                    </w:tc>
                  </w:sdtContent>
                </w:sdt>
                <w:tc>
                  <w:tcPr>
                    <w:tcW w:w="470" w:type="pct"/>
                    <w:tcBorders>
                      <w:top w:val="outset" w:sz="4" w:space="0" w:color="auto"/>
                      <w:left w:val="outset" w:sz="4" w:space="0" w:color="auto"/>
                      <w:bottom w:val="outset" w:sz="4" w:space="0" w:color="auto"/>
                      <w:right w:val="outset" w:sz="4" w:space="0" w:color="auto"/>
                    </w:tcBorders>
                  </w:tcPr>
                  <w:p w14:paraId="65EE5F45"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04C9D75A"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4E573FC8" w14:textId="77777777" w:rsidR="00830E72" w:rsidRDefault="00830E72">
                    <w:pPr>
                      <w:jc w:val="right"/>
                      <w:rPr>
                        <w:szCs w:val="21"/>
                      </w:rPr>
                    </w:pPr>
                  </w:p>
                </w:tc>
              </w:tr>
              <w:tr w:rsidR="00830E72" w14:paraId="48F70811" w14:textId="77777777">
                <w:sdt>
                  <w:sdtPr>
                    <w:tag w:val="_PLD_1706e75cd4ec4004b26be27bc8d7bb92"/>
                    <w:id w:val="-1154910757"/>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42E32F0A" w14:textId="77777777" w:rsidR="00830E72" w:rsidRDefault="008344D8">
                        <w:pPr>
                          <w:ind w:firstLineChars="100" w:firstLine="210"/>
                          <w:rPr>
                            <w:szCs w:val="21"/>
                          </w:rPr>
                        </w:pPr>
                        <w:r>
                          <w:rPr>
                            <w:rFonts w:hint="eastAsia"/>
                            <w:szCs w:val="21"/>
                          </w:rPr>
                          <w:t>支付给职工及为职工支付的现金</w:t>
                        </w:r>
                      </w:p>
                    </w:tc>
                  </w:sdtContent>
                </w:sdt>
                <w:tc>
                  <w:tcPr>
                    <w:tcW w:w="470" w:type="pct"/>
                    <w:tcBorders>
                      <w:top w:val="outset" w:sz="4" w:space="0" w:color="auto"/>
                      <w:left w:val="outset" w:sz="4" w:space="0" w:color="auto"/>
                      <w:bottom w:val="outset" w:sz="4" w:space="0" w:color="auto"/>
                      <w:right w:val="outset" w:sz="4" w:space="0" w:color="auto"/>
                    </w:tcBorders>
                  </w:tcPr>
                  <w:p w14:paraId="209074A4"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60D78188" w14:textId="77777777" w:rsidR="00830E72" w:rsidRDefault="008344D8">
                    <w:pPr>
                      <w:jc w:val="right"/>
                      <w:rPr>
                        <w:szCs w:val="21"/>
                      </w:rPr>
                    </w:pPr>
                    <w:r>
                      <w:rPr>
                        <w:szCs w:val="21"/>
                      </w:rPr>
                      <w:t>87,525,415.99</w:t>
                    </w:r>
                  </w:p>
                </w:tc>
                <w:tc>
                  <w:tcPr>
                    <w:tcW w:w="1197" w:type="pct"/>
                    <w:tcBorders>
                      <w:top w:val="outset" w:sz="4" w:space="0" w:color="auto"/>
                      <w:left w:val="outset" w:sz="4" w:space="0" w:color="auto"/>
                      <w:bottom w:val="outset" w:sz="4" w:space="0" w:color="auto"/>
                      <w:right w:val="outset" w:sz="4" w:space="0" w:color="auto"/>
                    </w:tcBorders>
                  </w:tcPr>
                  <w:p w14:paraId="469122F6" w14:textId="77777777" w:rsidR="00830E72" w:rsidRDefault="008344D8">
                    <w:pPr>
                      <w:jc w:val="right"/>
                      <w:rPr>
                        <w:szCs w:val="21"/>
                      </w:rPr>
                    </w:pPr>
                    <w:r>
                      <w:rPr>
                        <w:szCs w:val="21"/>
                      </w:rPr>
                      <w:t>69,498,107.00</w:t>
                    </w:r>
                  </w:p>
                </w:tc>
              </w:tr>
              <w:tr w:rsidR="00830E72" w14:paraId="0103EC7D" w14:textId="77777777">
                <w:sdt>
                  <w:sdtPr>
                    <w:tag w:val="_PLD_afa9119929c34433add5e6feaff13661"/>
                    <w:id w:val="-131340030"/>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47FD3FB4" w14:textId="77777777" w:rsidR="00830E72" w:rsidRDefault="008344D8">
                        <w:pPr>
                          <w:ind w:firstLineChars="100" w:firstLine="210"/>
                          <w:rPr>
                            <w:szCs w:val="21"/>
                          </w:rPr>
                        </w:pPr>
                        <w:r>
                          <w:rPr>
                            <w:rFonts w:hint="eastAsia"/>
                            <w:szCs w:val="21"/>
                          </w:rPr>
                          <w:t>支付的各项税费</w:t>
                        </w:r>
                      </w:p>
                    </w:tc>
                  </w:sdtContent>
                </w:sdt>
                <w:tc>
                  <w:tcPr>
                    <w:tcW w:w="470" w:type="pct"/>
                    <w:tcBorders>
                      <w:top w:val="outset" w:sz="4" w:space="0" w:color="auto"/>
                      <w:left w:val="outset" w:sz="4" w:space="0" w:color="auto"/>
                      <w:bottom w:val="outset" w:sz="4" w:space="0" w:color="auto"/>
                      <w:right w:val="outset" w:sz="4" w:space="0" w:color="auto"/>
                    </w:tcBorders>
                  </w:tcPr>
                  <w:p w14:paraId="5981B9D3"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60C2C0E5" w14:textId="77777777" w:rsidR="00830E72" w:rsidRDefault="008344D8">
                    <w:pPr>
                      <w:jc w:val="right"/>
                      <w:rPr>
                        <w:szCs w:val="21"/>
                      </w:rPr>
                    </w:pPr>
                    <w:r>
                      <w:rPr>
                        <w:szCs w:val="21"/>
                      </w:rPr>
                      <w:t>39,711,147.64</w:t>
                    </w:r>
                  </w:p>
                </w:tc>
                <w:tc>
                  <w:tcPr>
                    <w:tcW w:w="1197" w:type="pct"/>
                    <w:tcBorders>
                      <w:top w:val="outset" w:sz="4" w:space="0" w:color="auto"/>
                      <w:left w:val="outset" w:sz="4" w:space="0" w:color="auto"/>
                      <w:bottom w:val="outset" w:sz="4" w:space="0" w:color="auto"/>
                      <w:right w:val="outset" w:sz="4" w:space="0" w:color="auto"/>
                    </w:tcBorders>
                  </w:tcPr>
                  <w:p w14:paraId="2A6F0AF4" w14:textId="77777777" w:rsidR="00830E72" w:rsidRDefault="008344D8">
                    <w:pPr>
                      <w:jc w:val="right"/>
                      <w:rPr>
                        <w:szCs w:val="21"/>
                      </w:rPr>
                    </w:pPr>
                    <w:r>
                      <w:rPr>
                        <w:szCs w:val="21"/>
                      </w:rPr>
                      <w:t>41,730,686.09</w:t>
                    </w:r>
                  </w:p>
                </w:tc>
              </w:tr>
              <w:tr w:rsidR="00830E72" w14:paraId="5A882BFA" w14:textId="77777777">
                <w:sdt>
                  <w:sdtPr>
                    <w:tag w:val="_PLD_32d29e7e43cb4df78fb5562eda7075c6"/>
                    <w:id w:val="1407958960"/>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0E943395" w14:textId="77777777" w:rsidR="00830E72" w:rsidRDefault="008344D8">
                        <w:pPr>
                          <w:ind w:firstLineChars="100" w:firstLine="210"/>
                          <w:rPr>
                            <w:szCs w:val="21"/>
                          </w:rPr>
                        </w:pPr>
                        <w:r>
                          <w:rPr>
                            <w:rFonts w:hint="eastAsia"/>
                            <w:szCs w:val="21"/>
                          </w:rPr>
                          <w:t>支付其他与经营活动有关的现金</w:t>
                        </w:r>
                      </w:p>
                    </w:tc>
                  </w:sdtContent>
                </w:sdt>
                <w:tc>
                  <w:tcPr>
                    <w:tcW w:w="470" w:type="pct"/>
                    <w:tcBorders>
                      <w:top w:val="outset" w:sz="4" w:space="0" w:color="auto"/>
                      <w:left w:val="outset" w:sz="4" w:space="0" w:color="auto"/>
                      <w:bottom w:val="outset" w:sz="4" w:space="0" w:color="auto"/>
                      <w:right w:val="outset" w:sz="4" w:space="0" w:color="auto"/>
                    </w:tcBorders>
                  </w:tcPr>
                  <w:p w14:paraId="668B8922"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1218D6ED" w14:textId="77777777" w:rsidR="00830E72" w:rsidRDefault="008344D8">
                    <w:pPr>
                      <w:jc w:val="right"/>
                      <w:rPr>
                        <w:szCs w:val="21"/>
                      </w:rPr>
                    </w:pPr>
                    <w:r>
                      <w:rPr>
                        <w:szCs w:val="21"/>
                      </w:rPr>
                      <w:t>146,830,847.64</w:t>
                    </w:r>
                  </w:p>
                </w:tc>
                <w:tc>
                  <w:tcPr>
                    <w:tcW w:w="1197" w:type="pct"/>
                    <w:tcBorders>
                      <w:top w:val="outset" w:sz="4" w:space="0" w:color="auto"/>
                      <w:left w:val="outset" w:sz="4" w:space="0" w:color="auto"/>
                      <w:bottom w:val="outset" w:sz="4" w:space="0" w:color="auto"/>
                      <w:right w:val="outset" w:sz="4" w:space="0" w:color="auto"/>
                    </w:tcBorders>
                  </w:tcPr>
                  <w:p w14:paraId="5DF9FDBD" w14:textId="77777777" w:rsidR="00830E72" w:rsidRDefault="008344D8">
                    <w:pPr>
                      <w:jc w:val="right"/>
                      <w:rPr>
                        <w:szCs w:val="21"/>
                      </w:rPr>
                    </w:pPr>
                    <w:r>
                      <w:rPr>
                        <w:szCs w:val="21"/>
                      </w:rPr>
                      <w:t>93,718,145.01</w:t>
                    </w:r>
                  </w:p>
                </w:tc>
              </w:tr>
              <w:tr w:rsidR="00830E72" w14:paraId="11F84471" w14:textId="77777777">
                <w:sdt>
                  <w:sdtPr>
                    <w:tag w:val="_PLD_1898b9e3495c4369a548071a900462f2"/>
                    <w:id w:val="-231698531"/>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350BFA60" w14:textId="77777777" w:rsidR="00830E72" w:rsidRDefault="008344D8">
                        <w:pPr>
                          <w:ind w:firstLineChars="200" w:firstLine="420"/>
                          <w:rPr>
                            <w:color w:val="000000"/>
                            <w:szCs w:val="21"/>
                          </w:rPr>
                        </w:pPr>
                        <w:r>
                          <w:rPr>
                            <w:rFonts w:hint="eastAsia"/>
                            <w:szCs w:val="21"/>
                          </w:rPr>
                          <w:t>经营活动现金流出小计</w:t>
                        </w:r>
                      </w:p>
                    </w:tc>
                  </w:sdtContent>
                </w:sdt>
                <w:tc>
                  <w:tcPr>
                    <w:tcW w:w="470" w:type="pct"/>
                    <w:tcBorders>
                      <w:top w:val="outset" w:sz="4" w:space="0" w:color="auto"/>
                      <w:left w:val="outset" w:sz="4" w:space="0" w:color="auto"/>
                      <w:bottom w:val="outset" w:sz="4" w:space="0" w:color="auto"/>
                      <w:right w:val="outset" w:sz="4" w:space="0" w:color="auto"/>
                    </w:tcBorders>
                  </w:tcPr>
                  <w:p w14:paraId="27910593"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018FA3EF" w14:textId="77777777" w:rsidR="00830E72" w:rsidRDefault="008344D8">
                    <w:pPr>
                      <w:jc w:val="right"/>
                      <w:rPr>
                        <w:szCs w:val="21"/>
                      </w:rPr>
                    </w:pPr>
                    <w:r>
                      <w:rPr>
                        <w:szCs w:val="21"/>
                      </w:rPr>
                      <w:t>1,918,294,924.97</w:t>
                    </w:r>
                  </w:p>
                </w:tc>
                <w:tc>
                  <w:tcPr>
                    <w:tcW w:w="1197" w:type="pct"/>
                    <w:tcBorders>
                      <w:top w:val="outset" w:sz="4" w:space="0" w:color="auto"/>
                      <w:left w:val="outset" w:sz="4" w:space="0" w:color="auto"/>
                      <w:bottom w:val="outset" w:sz="4" w:space="0" w:color="auto"/>
                      <w:right w:val="outset" w:sz="4" w:space="0" w:color="auto"/>
                    </w:tcBorders>
                  </w:tcPr>
                  <w:p w14:paraId="7E90BEE5" w14:textId="77777777" w:rsidR="00830E72" w:rsidRDefault="008344D8">
                    <w:pPr>
                      <w:jc w:val="right"/>
                      <w:rPr>
                        <w:szCs w:val="21"/>
                      </w:rPr>
                    </w:pPr>
                    <w:r>
                      <w:rPr>
                        <w:szCs w:val="21"/>
                      </w:rPr>
                      <w:t>1,661,093,740.28</w:t>
                    </w:r>
                  </w:p>
                </w:tc>
              </w:tr>
              <w:tr w:rsidR="00830E72" w14:paraId="385A2CA8" w14:textId="77777777">
                <w:sdt>
                  <w:sdtPr>
                    <w:tag w:val="_PLD_3668436c46fe4d03bca9e7585b314b78"/>
                    <w:id w:val="-1838068191"/>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7C665B9E" w14:textId="77777777" w:rsidR="00830E72" w:rsidRDefault="008344D8">
                        <w:pPr>
                          <w:ind w:firstLineChars="300" w:firstLine="630"/>
                          <w:rPr>
                            <w:color w:val="000000"/>
                            <w:szCs w:val="21"/>
                          </w:rPr>
                        </w:pPr>
                        <w:r>
                          <w:rPr>
                            <w:rFonts w:hint="eastAsia"/>
                            <w:szCs w:val="21"/>
                          </w:rPr>
                          <w:t>经营活动产生的现金流量净额</w:t>
                        </w:r>
                      </w:p>
                    </w:tc>
                  </w:sdtContent>
                </w:sdt>
                <w:tc>
                  <w:tcPr>
                    <w:tcW w:w="470" w:type="pct"/>
                    <w:tcBorders>
                      <w:top w:val="outset" w:sz="4" w:space="0" w:color="auto"/>
                      <w:left w:val="outset" w:sz="4" w:space="0" w:color="auto"/>
                      <w:bottom w:val="outset" w:sz="4" w:space="0" w:color="auto"/>
                      <w:right w:val="outset" w:sz="4" w:space="0" w:color="auto"/>
                    </w:tcBorders>
                  </w:tcPr>
                  <w:p w14:paraId="7DD5C1EB"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0C7D4897" w14:textId="77777777" w:rsidR="00830E72" w:rsidRDefault="008344D8">
                    <w:pPr>
                      <w:jc w:val="right"/>
                      <w:rPr>
                        <w:szCs w:val="21"/>
                      </w:rPr>
                    </w:pPr>
                    <w:r>
                      <w:rPr>
                        <w:szCs w:val="21"/>
                      </w:rPr>
                      <w:t>-314,184,787.80</w:t>
                    </w:r>
                  </w:p>
                </w:tc>
                <w:tc>
                  <w:tcPr>
                    <w:tcW w:w="1197" w:type="pct"/>
                    <w:tcBorders>
                      <w:top w:val="outset" w:sz="4" w:space="0" w:color="auto"/>
                      <w:left w:val="outset" w:sz="4" w:space="0" w:color="auto"/>
                      <w:bottom w:val="outset" w:sz="4" w:space="0" w:color="auto"/>
                      <w:right w:val="outset" w:sz="4" w:space="0" w:color="auto"/>
                    </w:tcBorders>
                  </w:tcPr>
                  <w:p w14:paraId="3D5671D7" w14:textId="77777777" w:rsidR="00830E72" w:rsidRDefault="008344D8">
                    <w:pPr>
                      <w:jc w:val="right"/>
                      <w:rPr>
                        <w:szCs w:val="21"/>
                      </w:rPr>
                    </w:pPr>
                    <w:r>
                      <w:rPr>
                        <w:szCs w:val="21"/>
                      </w:rPr>
                      <w:t>-209,030,766.02</w:t>
                    </w:r>
                  </w:p>
                </w:tc>
              </w:tr>
              <w:tr w:rsidR="00830E72" w14:paraId="731A26EB" w14:textId="77777777">
                <w:sdt>
                  <w:sdtPr>
                    <w:tag w:val="_PLD_95b1c638e8714129b03173a0758b863f"/>
                    <w:id w:val="1866323597"/>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767003EB" w14:textId="77777777" w:rsidR="00830E72" w:rsidRDefault="008344D8">
                        <w:pPr>
                          <w:rPr>
                            <w:color w:val="000000"/>
                            <w:szCs w:val="21"/>
                          </w:rPr>
                        </w:pPr>
                        <w:r>
                          <w:rPr>
                            <w:rFonts w:hint="eastAsia"/>
                            <w:b/>
                            <w:bCs/>
                            <w:szCs w:val="21"/>
                          </w:rPr>
                          <w:t>二、投资活动产生的现金流量：</w:t>
                        </w:r>
                      </w:p>
                    </w:tc>
                  </w:sdtContent>
                </w:sdt>
                <w:tc>
                  <w:tcPr>
                    <w:tcW w:w="470" w:type="pct"/>
                    <w:tcBorders>
                      <w:top w:val="outset" w:sz="4" w:space="0" w:color="auto"/>
                      <w:left w:val="outset" w:sz="4" w:space="0" w:color="auto"/>
                      <w:bottom w:val="outset" w:sz="4" w:space="0" w:color="auto"/>
                      <w:right w:val="outset" w:sz="4" w:space="0" w:color="auto"/>
                    </w:tcBorders>
                  </w:tcPr>
                  <w:p w14:paraId="425334E0" w14:textId="77777777" w:rsidR="00830E72" w:rsidRDefault="00830E72">
                    <w:pPr>
                      <w:rPr>
                        <w:color w:val="008000"/>
                        <w:szCs w:val="21"/>
                      </w:rPr>
                    </w:pPr>
                  </w:p>
                </w:tc>
                <w:tc>
                  <w:tcPr>
                    <w:tcW w:w="1080" w:type="pct"/>
                    <w:tcBorders>
                      <w:top w:val="outset" w:sz="4" w:space="0" w:color="auto"/>
                      <w:left w:val="outset" w:sz="4" w:space="0" w:color="auto"/>
                      <w:bottom w:val="outset" w:sz="4" w:space="0" w:color="auto"/>
                      <w:right w:val="outset" w:sz="4" w:space="0" w:color="auto"/>
                    </w:tcBorders>
                  </w:tcPr>
                  <w:p w14:paraId="0D203B70" w14:textId="77777777" w:rsidR="00830E72" w:rsidRDefault="00830E72">
                    <w:pPr>
                      <w:jc w:val="right"/>
                      <w:rPr>
                        <w:color w:val="008000"/>
                        <w:szCs w:val="21"/>
                      </w:rPr>
                    </w:pPr>
                  </w:p>
                </w:tc>
                <w:tc>
                  <w:tcPr>
                    <w:tcW w:w="1197" w:type="pct"/>
                    <w:tcBorders>
                      <w:top w:val="outset" w:sz="4" w:space="0" w:color="auto"/>
                      <w:left w:val="outset" w:sz="4" w:space="0" w:color="auto"/>
                      <w:bottom w:val="outset" w:sz="4" w:space="0" w:color="auto"/>
                      <w:right w:val="outset" w:sz="4" w:space="0" w:color="auto"/>
                    </w:tcBorders>
                  </w:tcPr>
                  <w:p w14:paraId="2894E4CC" w14:textId="77777777" w:rsidR="00830E72" w:rsidRDefault="00830E72">
                    <w:pPr>
                      <w:jc w:val="right"/>
                      <w:rPr>
                        <w:color w:val="008000"/>
                        <w:szCs w:val="21"/>
                      </w:rPr>
                    </w:pPr>
                  </w:p>
                </w:tc>
              </w:tr>
              <w:tr w:rsidR="00830E72" w14:paraId="685E5237" w14:textId="77777777">
                <w:sdt>
                  <w:sdtPr>
                    <w:tag w:val="_PLD_95fbf0328fd24ef59c8541003255b0f4"/>
                    <w:id w:val="-1505664570"/>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4D540A25" w14:textId="77777777" w:rsidR="00830E72" w:rsidRDefault="008344D8">
                        <w:pPr>
                          <w:ind w:firstLineChars="100" w:firstLine="210"/>
                          <w:rPr>
                            <w:szCs w:val="21"/>
                          </w:rPr>
                        </w:pPr>
                        <w:r>
                          <w:rPr>
                            <w:rFonts w:hint="eastAsia"/>
                            <w:szCs w:val="21"/>
                          </w:rPr>
                          <w:t>收回投资收到的现金</w:t>
                        </w:r>
                      </w:p>
                    </w:tc>
                  </w:sdtContent>
                </w:sdt>
                <w:tc>
                  <w:tcPr>
                    <w:tcW w:w="470" w:type="pct"/>
                    <w:tcBorders>
                      <w:top w:val="outset" w:sz="4" w:space="0" w:color="auto"/>
                      <w:left w:val="outset" w:sz="4" w:space="0" w:color="auto"/>
                      <w:bottom w:val="outset" w:sz="4" w:space="0" w:color="auto"/>
                      <w:right w:val="outset" w:sz="4" w:space="0" w:color="auto"/>
                    </w:tcBorders>
                  </w:tcPr>
                  <w:p w14:paraId="2C160230"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635EAF9F"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42844BD7" w14:textId="77777777" w:rsidR="00830E72" w:rsidRDefault="00830E72">
                    <w:pPr>
                      <w:jc w:val="right"/>
                      <w:rPr>
                        <w:szCs w:val="21"/>
                      </w:rPr>
                    </w:pPr>
                  </w:p>
                </w:tc>
              </w:tr>
              <w:tr w:rsidR="00830E72" w14:paraId="05650E75" w14:textId="77777777">
                <w:sdt>
                  <w:sdtPr>
                    <w:tag w:val="_PLD_35e4982400d84c73b6fc0f506a5d5376"/>
                    <w:id w:val="-690841588"/>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05850364" w14:textId="77777777" w:rsidR="00830E72" w:rsidRDefault="008344D8">
                        <w:pPr>
                          <w:ind w:firstLineChars="100" w:firstLine="210"/>
                          <w:rPr>
                            <w:szCs w:val="21"/>
                          </w:rPr>
                        </w:pPr>
                        <w:r>
                          <w:rPr>
                            <w:rFonts w:hint="eastAsia"/>
                            <w:szCs w:val="21"/>
                          </w:rPr>
                          <w:t>取得投资收益收到的现金</w:t>
                        </w:r>
                      </w:p>
                    </w:tc>
                  </w:sdtContent>
                </w:sdt>
                <w:tc>
                  <w:tcPr>
                    <w:tcW w:w="470" w:type="pct"/>
                    <w:tcBorders>
                      <w:top w:val="outset" w:sz="4" w:space="0" w:color="auto"/>
                      <w:left w:val="outset" w:sz="4" w:space="0" w:color="auto"/>
                      <w:bottom w:val="outset" w:sz="4" w:space="0" w:color="auto"/>
                      <w:right w:val="outset" w:sz="4" w:space="0" w:color="auto"/>
                    </w:tcBorders>
                  </w:tcPr>
                  <w:p w14:paraId="5ADFCD06"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56C933C6"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7FD40F8A" w14:textId="77777777" w:rsidR="00830E72" w:rsidRDefault="00830E72">
                    <w:pPr>
                      <w:jc w:val="right"/>
                      <w:rPr>
                        <w:szCs w:val="21"/>
                      </w:rPr>
                    </w:pPr>
                  </w:p>
                </w:tc>
              </w:tr>
              <w:tr w:rsidR="00830E72" w14:paraId="60E1F491" w14:textId="77777777">
                <w:sdt>
                  <w:sdtPr>
                    <w:tag w:val="_PLD_7070e73d5e4b4f3ab454e8266545ce2f"/>
                    <w:id w:val="-1868052756"/>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10E85295" w14:textId="77777777" w:rsidR="00830E72" w:rsidRDefault="008344D8">
                        <w:pPr>
                          <w:ind w:firstLineChars="100" w:firstLine="210"/>
                          <w:rPr>
                            <w:szCs w:val="21"/>
                          </w:rPr>
                        </w:pPr>
                        <w:r>
                          <w:rPr>
                            <w:rFonts w:hint="eastAsia"/>
                            <w:szCs w:val="21"/>
                          </w:rPr>
                          <w:t>处置固定资产、无形资产和其他长期资产收回的现金净额</w:t>
                        </w:r>
                      </w:p>
                    </w:tc>
                  </w:sdtContent>
                </w:sdt>
                <w:tc>
                  <w:tcPr>
                    <w:tcW w:w="470" w:type="pct"/>
                    <w:tcBorders>
                      <w:top w:val="outset" w:sz="4" w:space="0" w:color="auto"/>
                      <w:left w:val="outset" w:sz="4" w:space="0" w:color="auto"/>
                      <w:bottom w:val="outset" w:sz="4" w:space="0" w:color="auto"/>
                      <w:right w:val="outset" w:sz="4" w:space="0" w:color="auto"/>
                    </w:tcBorders>
                  </w:tcPr>
                  <w:p w14:paraId="3BB4DAD2"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243B8913" w14:textId="77777777" w:rsidR="00830E72" w:rsidRDefault="008344D8">
                    <w:pPr>
                      <w:jc w:val="right"/>
                      <w:rPr>
                        <w:szCs w:val="21"/>
                      </w:rPr>
                    </w:pPr>
                    <w:r>
                      <w:rPr>
                        <w:szCs w:val="21"/>
                      </w:rPr>
                      <w:t>233,016.00</w:t>
                    </w:r>
                  </w:p>
                </w:tc>
                <w:tc>
                  <w:tcPr>
                    <w:tcW w:w="1197" w:type="pct"/>
                    <w:tcBorders>
                      <w:top w:val="outset" w:sz="4" w:space="0" w:color="auto"/>
                      <w:left w:val="outset" w:sz="4" w:space="0" w:color="auto"/>
                      <w:bottom w:val="outset" w:sz="4" w:space="0" w:color="auto"/>
                      <w:right w:val="outset" w:sz="4" w:space="0" w:color="auto"/>
                    </w:tcBorders>
                  </w:tcPr>
                  <w:p w14:paraId="1B066F21" w14:textId="77777777" w:rsidR="00830E72" w:rsidRDefault="00830E72">
                    <w:pPr>
                      <w:jc w:val="right"/>
                      <w:rPr>
                        <w:szCs w:val="21"/>
                      </w:rPr>
                    </w:pPr>
                  </w:p>
                </w:tc>
              </w:tr>
              <w:tr w:rsidR="00830E72" w14:paraId="6422C81C" w14:textId="77777777">
                <w:sdt>
                  <w:sdtPr>
                    <w:tag w:val="_PLD_c759f863222a4b86a2bd00d28adee545"/>
                    <w:id w:val="1776364334"/>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577045A0" w14:textId="77777777" w:rsidR="00830E72" w:rsidRDefault="008344D8">
                        <w:pPr>
                          <w:ind w:firstLineChars="100" w:firstLine="210"/>
                          <w:rPr>
                            <w:szCs w:val="21"/>
                          </w:rPr>
                        </w:pPr>
                        <w:r>
                          <w:rPr>
                            <w:rFonts w:hint="eastAsia"/>
                            <w:szCs w:val="21"/>
                          </w:rPr>
                          <w:t>处置子公司及其他营业单位收到的现金净额</w:t>
                        </w:r>
                      </w:p>
                    </w:tc>
                  </w:sdtContent>
                </w:sdt>
                <w:tc>
                  <w:tcPr>
                    <w:tcW w:w="470" w:type="pct"/>
                    <w:tcBorders>
                      <w:top w:val="outset" w:sz="4" w:space="0" w:color="auto"/>
                      <w:left w:val="outset" w:sz="4" w:space="0" w:color="auto"/>
                      <w:bottom w:val="outset" w:sz="4" w:space="0" w:color="auto"/>
                      <w:right w:val="outset" w:sz="4" w:space="0" w:color="auto"/>
                    </w:tcBorders>
                  </w:tcPr>
                  <w:p w14:paraId="092BFAFF"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7748C361"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3D7C49AA" w14:textId="77777777" w:rsidR="00830E72" w:rsidRDefault="00830E72">
                    <w:pPr>
                      <w:jc w:val="right"/>
                      <w:rPr>
                        <w:szCs w:val="21"/>
                      </w:rPr>
                    </w:pPr>
                  </w:p>
                </w:tc>
              </w:tr>
              <w:tr w:rsidR="00830E72" w14:paraId="01CB6E3D" w14:textId="77777777">
                <w:sdt>
                  <w:sdtPr>
                    <w:tag w:val="_PLD_952d04204f8a403a94876043b8095de0"/>
                    <w:id w:val="348997969"/>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2563D3B5" w14:textId="77777777" w:rsidR="00830E72" w:rsidRDefault="008344D8">
                        <w:pPr>
                          <w:ind w:firstLineChars="100" w:firstLine="210"/>
                          <w:rPr>
                            <w:szCs w:val="21"/>
                          </w:rPr>
                        </w:pPr>
                        <w:r>
                          <w:rPr>
                            <w:rFonts w:hint="eastAsia"/>
                            <w:szCs w:val="21"/>
                          </w:rPr>
                          <w:t>收到其他与投资活动有关的现金</w:t>
                        </w:r>
                      </w:p>
                    </w:tc>
                  </w:sdtContent>
                </w:sdt>
                <w:tc>
                  <w:tcPr>
                    <w:tcW w:w="470" w:type="pct"/>
                    <w:tcBorders>
                      <w:top w:val="outset" w:sz="4" w:space="0" w:color="auto"/>
                      <w:left w:val="outset" w:sz="4" w:space="0" w:color="auto"/>
                      <w:bottom w:val="outset" w:sz="4" w:space="0" w:color="auto"/>
                      <w:right w:val="outset" w:sz="4" w:space="0" w:color="auto"/>
                    </w:tcBorders>
                  </w:tcPr>
                  <w:p w14:paraId="01BD9210"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609911FA" w14:textId="77777777" w:rsidR="00830E72" w:rsidRDefault="008344D8">
                    <w:pPr>
                      <w:jc w:val="right"/>
                      <w:rPr>
                        <w:szCs w:val="21"/>
                      </w:rPr>
                    </w:pPr>
                    <w:r>
                      <w:rPr>
                        <w:szCs w:val="21"/>
                      </w:rPr>
                      <w:t>15,364,532.30</w:t>
                    </w:r>
                  </w:p>
                </w:tc>
                <w:tc>
                  <w:tcPr>
                    <w:tcW w:w="1197" w:type="pct"/>
                    <w:tcBorders>
                      <w:top w:val="outset" w:sz="4" w:space="0" w:color="auto"/>
                      <w:left w:val="outset" w:sz="4" w:space="0" w:color="auto"/>
                      <w:bottom w:val="outset" w:sz="4" w:space="0" w:color="auto"/>
                      <w:right w:val="outset" w:sz="4" w:space="0" w:color="auto"/>
                    </w:tcBorders>
                  </w:tcPr>
                  <w:p w14:paraId="6B539D6E" w14:textId="77777777" w:rsidR="00830E72" w:rsidRDefault="008344D8">
                    <w:pPr>
                      <w:jc w:val="right"/>
                      <w:rPr>
                        <w:szCs w:val="21"/>
                      </w:rPr>
                    </w:pPr>
                    <w:r>
                      <w:rPr>
                        <w:szCs w:val="21"/>
                      </w:rPr>
                      <w:t>1,566,888.94</w:t>
                    </w:r>
                  </w:p>
                </w:tc>
              </w:tr>
              <w:tr w:rsidR="00830E72" w14:paraId="52395936" w14:textId="77777777">
                <w:sdt>
                  <w:sdtPr>
                    <w:tag w:val="_PLD_64f8da16e041496994b857c4c1889283"/>
                    <w:id w:val="-1696301808"/>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7450D593" w14:textId="77777777" w:rsidR="00830E72" w:rsidRDefault="008344D8">
                        <w:pPr>
                          <w:ind w:firstLineChars="200" w:firstLine="420"/>
                          <w:rPr>
                            <w:color w:val="000000"/>
                            <w:szCs w:val="21"/>
                          </w:rPr>
                        </w:pPr>
                        <w:r>
                          <w:rPr>
                            <w:rFonts w:hint="eastAsia"/>
                            <w:szCs w:val="21"/>
                          </w:rPr>
                          <w:t>投资活动现金流入小计</w:t>
                        </w:r>
                      </w:p>
                    </w:tc>
                  </w:sdtContent>
                </w:sdt>
                <w:tc>
                  <w:tcPr>
                    <w:tcW w:w="470" w:type="pct"/>
                    <w:tcBorders>
                      <w:top w:val="outset" w:sz="4" w:space="0" w:color="auto"/>
                      <w:left w:val="outset" w:sz="4" w:space="0" w:color="auto"/>
                      <w:bottom w:val="outset" w:sz="4" w:space="0" w:color="auto"/>
                      <w:right w:val="outset" w:sz="4" w:space="0" w:color="auto"/>
                    </w:tcBorders>
                  </w:tcPr>
                  <w:p w14:paraId="5C1E6A2E"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15DC4858" w14:textId="77777777" w:rsidR="00830E72" w:rsidRDefault="008344D8">
                    <w:pPr>
                      <w:jc w:val="right"/>
                      <w:rPr>
                        <w:szCs w:val="21"/>
                      </w:rPr>
                    </w:pPr>
                    <w:r>
                      <w:rPr>
                        <w:szCs w:val="21"/>
                      </w:rPr>
                      <w:t>15,597,548.30</w:t>
                    </w:r>
                  </w:p>
                </w:tc>
                <w:tc>
                  <w:tcPr>
                    <w:tcW w:w="1197" w:type="pct"/>
                    <w:tcBorders>
                      <w:top w:val="outset" w:sz="4" w:space="0" w:color="auto"/>
                      <w:left w:val="outset" w:sz="4" w:space="0" w:color="auto"/>
                      <w:bottom w:val="outset" w:sz="4" w:space="0" w:color="auto"/>
                      <w:right w:val="outset" w:sz="4" w:space="0" w:color="auto"/>
                    </w:tcBorders>
                  </w:tcPr>
                  <w:p w14:paraId="3ED02572" w14:textId="77777777" w:rsidR="00830E72" w:rsidRDefault="008344D8">
                    <w:pPr>
                      <w:jc w:val="right"/>
                      <w:rPr>
                        <w:szCs w:val="21"/>
                      </w:rPr>
                    </w:pPr>
                    <w:r>
                      <w:rPr>
                        <w:szCs w:val="21"/>
                      </w:rPr>
                      <w:t>1,566,888.94</w:t>
                    </w:r>
                  </w:p>
                </w:tc>
              </w:tr>
              <w:tr w:rsidR="00830E72" w14:paraId="6511A603" w14:textId="77777777">
                <w:sdt>
                  <w:sdtPr>
                    <w:tag w:val="_PLD_8ec533e5ae47447ca845ccd778baf9d2"/>
                    <w:id w:val="1633131994"/>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7D203B70" w14:textId="77777777" w:rsidR="00830E72" w:rsidRDefault="008344D8">
                        <w:pPr>
                          <w:ind w:firstLineChars="100" w:firstLine="210"/>
                          <w:rPr>
                            <w:color w:val="000000"/>
                            <w:szCs w:val="21"/>
                          </w:rPr>
                        </w:pPr>
                        <w:r>
                          <w:rPr>
                            <w:rFonts w:hint="eastAsia"/>
                            <w:szCs w:val="21"/>
                          </w:rPr>
                          <w:t>购建固定资产、无形资产和其他长期资产支付的现金</w:t>
                        </w:r>
                      </w:p>
                    </w:tc>
                  </w:sdtContent>
                </w:sdt>
                <w:tc>
                  <w:tcPr>
                    <w:tcW w:w="470" w:type="pct"/>
                    <w:tcBorders>
                      <w:top w:val="outset" w:sz="4" w:space="0" w:color="auto"/>
                      <w:left w:val="outset" w:sz="4" w:space="0" w:color="auto"/>
                      <w:bottom w:val="outset" w:sz="4" w:space="0" w:color="auto"/>
                      <w:right w:val="outset" w:sz="4" w:space="0" w:color="auto"/>
                    </w:tcBorders>
                  </w:tcPr>
                  <w:p w14:paraId="58953B2F"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700C71E2" w14:textId="77777777" w:rsidR="00830E72" w:rsidRDefault="008344D8">
                    <w:pPr>
                      <w:jc w:val="right"/>
                      <w:rPr>
                        <w:szCs w:val="21"/>
                      </w:rPr>
                    </w:pPr>
                    <w:r>
                      <w:rPr>
                        <w:szCs w:val="21"/>
                      </w:rPr>
                      <w:t>2,540,524.89</w:t>
                    </w:r>
                  </w:p>
                </w:tc>
                <w:tc>
                  <w:tcPr>
                    <w:tcW w:w="1197" w:type="pct"/>
                    <w:tcBorders>
                      <w:top w:val="outset" w:sz="4" w:space="0" w:color="auto"/>
                      <w:left w:val="outset" w:sz="4" w:space="0" w:color="auto"/>
                      <w:bottom w:val="outset" w:sz="4" w:space="0" w:color="auto"/>
                      <w:right w:val="outset" w:sz="4" w:space="0" w:color="auto"/>
                    </w:tcBorders>
                  </w:tcPr>
                  <w:p w14:paraId="2879D5F3" w14:textId="77777777" w:rsidR="00830E72" w:rsidRDefault="008344D8">
                    <w:pPr>
                      <w:jc w:val="right"/>
                      <w:rPr>
                        <w:szCs w:val="21"/>
                      </w:rPr>
                    </w:pPr>
                    <w:r>
                      <w:rPr>
                        <w:szCs w:val="21"/>
                      </w:rPr>
                      <w:t>819,057.99</w:t>
                    </w:r>
                  </w:p>
                </w:tc>
              </w:tr>
              <w:tr w:rsidR="00830E72" w14:paraId="0F69668D" w14:textId="77777777">
                <w:sdt>
                  <w:sdtPr>
                    <w:tag w:val="_PLD_6cfa06cfb65e431588ea9f9c8c72d193"/>
                    <w:id w:val="2102294384"/>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711AC004" w14:textId="77777777" w:rsidR="00830E72" w:rsidRDefault="008344D8">
                        <w:pPr>
                          <w:ind w:firstLineChars="100" w:firstLine="210"/>
                          <w:rPr>
                            <w:szCs w:val="21"/>
                          </w:rPr>
                        </w:pPr>
                        <w:r>
                          <w:rPr>
                            <w:rFonts w:hint="eastAsia"/>
                            <w:szCs w:val="21"/>
                          </w:rPr>
                          <w:t>投资支付的现金</w:t>
                        </w:r>
                      </w:p>
                    </w:tc>
                  </w:sdtContent>
                </w:sdt>
                <w:tc>
                  <w:tcPr>
                    <w:tcW w:w="470" w:type="pct"/>
                    <w:tcBorders>
                      <w:top w:val="outset" w:sz="4" w:space="0" w:color="auto"/>
                      <w:left w:val="outset" w:sz="4" w:space="0" w:color="auto"/>
                      <w:bottom w:val="outset" w:sz="4" w:space="0" w:color="auto"/>
                      <w:right w:val="outset" w:sz="4" w:space="0" w:color="auto"/>
                    </w:tcBorders>
                  </w:tcPr>
                  <w:p w14:paraId="2A454E1E"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3FD2A7B2"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0F78267E" w14:textId="77777777" w:rsidR="00830E72" w:rsidRDefault="008344D8">
                    <w:pPr>
                      <w:jc w:val="right"/>
                      <w:rPr>
                        <w:szCs w:val="21"/>
                      </w:rPr>
                    </w:pPr>
                    <w:r>
                      <w:rPr>
                        <w:szCs w:val="21"/>
                      </w:rPr>
                      <w:t>30,000,000.00</w:t>
                    </w:r>
                  </w:p>
                </w:tc>
              </w:tr>
              <w:tr w:rsidR="00830E72" w14:paraId="2DE35724" w14:textId="77777777">
                <w:sdt>
                  <w:sdtPr>
                    <w:tag w:val="_PLD_40c2de7357364683ba4aa78c10d20704"/>
                    <w:id w:val="795793621"/>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598FDA3B" w14:textId="77777777" w:rsidR="00830E72" w:rsidRDefault="008344D8">
                        <w:pPr>
                          <w:ind w:firstLineChars="100" w:firstLine="210"/>
                          <w:rPr>
                            <w:szCs w:val="21"/>
                          </w:rPr>
                        </w:pPr>
                        <w:r>
                          <w:rPr>
                            <w:rFonts w:hint="eastAsia"/>
                            <w:szCs w:val="21"/>
                          </w:rPr>
                          <w:t>质押贷款净增加额</w:t>
                        </w:r>
                      </w:p>
                    </w:tc>
                  </w:sdtContent>
                </w:sdt>
                <w:tc>
                  <w:tcPr>
                    <w:tcW w:w="470" w:type="pct"/>
                    <w:tcBorders>
                      <w:top w:val="outset" w:sz="4" w:space="0" w:color="auto"/>
                      <w:left w:val="outset" w:sz="4" w:space="0" w:color="auto"/>
                      <w:bottom w:val="outset" w:sz="4" w:space="0" w:color="auto"/>
                      <w:right w:val="outset" w:sz="4" w:space="0" w:color="auto"/>
                    </w:tcBorders>
                  </w:tcPr>
                  <w:p w14:paraId="7EB3ED4F"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57A3F4C5"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47F21A2F" w14:textId="77777777" w:rsidR="00830E72" w:rsidRDefault="00830E72">
                    <w:pPr>
                      <w:jc w:val="right"/>
                      <w:rPr>
                        <w:szCs w:val="21"/>
                      </w:rPr>
                    </w:pPr>
                  </w:p>
                </w:tc>
              </w:tr>
              <w:tr w:rsidR="00830E72" w14:paraId="22E60C82" w14:textId="77777777">
                <w:sdt>
                  <w:sdtPr>
                    <w:tag w:val="_PLD_4d1b57b8ea74470da0c4e250ba5ee9ce"/>
                    <w:id w:val="-717659819"/>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0592C04C" w14:textId="77777777" w:rsidR="00830E72" w:rsidRDefault="008344D8">
                        <w:pPr>
                          <w:ind w:firstLineChars="100" w:firstLine="210"/>
                          <w:rPr>
                            <w:szCs w:val="21"/>
                          </w:rPr>
                        </w:pPr>
                        <w:r>
                          <w:rPr>
                            <w:rFonts w:hint="eastAsia"/>
                            <w:szCs w:val="21"/>
                          </w:rPr>
                          <w:t>取得子公司及其他营业单位支付的现金净额</w:t>
                        </w:r>
                      </w:p>
                    </w:tc>
                  </w:sdtContent>
                </w:sdt>
                <w:tc>
                  <w:tcPr>
                    <w:tcW w:w="470" w:type="pct"/>
                    <w:tcBorders>
                      <w:top w:val="outset" w:sz="4" w:space="0" w:color="auto"/>
                      <w:left w:val="outset" w:sz="4" w:space="0" w:color="auto"/>
                      <w:bottom w:val="outset" w:sz="4" w:space="0" w:color="auto"/>
                      <w:right w:val="outset" w:sz="4" w:space="0" w:color="auto"/>
                    </w:tcBorders>
                  </w:tcPr>
                  <w:p w14:paraId="69E7CA45"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7C47AEC7"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6508EFD8" w14:textId="77777777" w:rsidR="00830E72" w:rsidRDefault="00830E72">
                    <w:pPr>
                      <w:jc w:val="right"/>
                      <w:rPr>
                        <w:szCs w:val="21"/>
                      </w:rPr>
                    </w:pPr>
                  </w:p>
                </w:tc>
              </w:tr>
              <w:tr w:rsidR="00830E72" w14:paraId="5001E97B" w14:textId="77777777">
                <w:sdt>
                  <w:sdtPr>
                    <w:tag w:val="_PLD_f53ecab3f93149519a6b0b08b3adf953"/>
                    <w:id w:val="438503417"/>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6E7AA54D" w14:textId="77777777" w:rsidR="00830E72" w:rsidRDefault="008344D8">
                        <w:pPr>
                          <w:ind w:firstLineChars="100" w:firstLine="210"/>
                          <w:rPr>
                            <w:szCs w:val="21"/>
                          </w:rPr>
                        </w:pPr>
                        <w:r>
                          <w:rPr>
                            <w:rFonts w:hint="eastAsia"/>
                            <w:szCs w:val="21"/>
                          </w:rPr>
                          <w:t>支付其他与投资活动有关的现金</w:t>
                        </w:r>
                      </w:p>
                    </w:tc>
                  </w:sdtContent>
                </w:sdt>
                <w:tc>
                  <w:tcPr>
                    <w:tcW w:w="470" w:type="pct"/>
                    <w:tcBorders>
                      <w:top w:val="outset" w:sz="4" w:space="0" w:color="auto"/>
                      <w:left w:val="outset" w:sz="4" w:space="0" w:color="auto"/>
                      <w:bottom w:val="outset" w:sz="4" w:space="0" w:color="auto"/>
                      <w:right w:val="outset" w:sz="4" w:space="0" w:color="auto"/>
                    </w:tcBorders>
                  </w:tcPr>
                  <w:p w14:paraId="72245F26"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78632F76" w14:textId="77777777" w:rsidR="00830E72" w:rsidRDefault="008344D8">
                    <w:pPr>
                      <w:jc w:val="right"/>
                      <w:rPr>
                        <w:szCs w:val="21"/>
                      </w:rPr>
                    </w:pPr>
                    <w:r>
                      <w:rPr>
                        <w:szCs w:val="21"/>
                      </w:rPr>
                      <w:t>11,500,000.00</w:t>
                    </w:r>
                  </w:p>
                </w:tc>
                <w:tc>
                  <w:tcPr>
                    <w:tcW w:w="1197" w:type="pct"/>
                    <w:tcBorders>
                      <w:top w:val="outset" w:sz="4" w:space="0" w:color="auto"/>
                      <w:left w:val="outset" w:sz="4" w:space="0" w:color="auto"/>
                      <w:bottom w:val="outset" w:sz="4" w:space="0" w:color="auto"/>
                      <w:right w:val="outset" w:sz="4" w:space="0" w:color="auto"/>
                    </w:tcBorders>
                  </w:tcPr>
                  <w:p w14:paraId="1020A90C" w14:textId="77777777" w:rsidR="00830E72" w:rsidRDefault="008344D8">
                    <w:pPr>
                      <w:jc w:val="right"/>
                      <w:rPr>
                        <w:szCs w:val="21"/>
                      </w:rPr>
                    </w:pPr>
                    <w:r>
                      <w:rPr>
                        <w:szCs w:val="21"/>
                      </w:rPr>
                      <w:t>20,000,000.00</w:t>
                    </w:r>
                  </w:p>
                </w:tc>
              </w:tr>
              <w:tr w:rsidR="00830E72" w14:paraId="29A89537" w14:textId="77777777">
                <w:sdt>
                  <w:sdtPr>
                    <w:tag w:val="_PLD_00f03153fc624284b3402147ccc07698"/>
                    <w:id w:val="1651559774"/>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7466EF65" w14:textId="77777777" w:rsidR="00830E72" w:rsidRDefault="008344D8">
                        <w:pPr>
                          <w:ind w:firstLineChars="200" w:firstLine="420"/>
                          <w:rPr>
                            <w:color w:val="000000"/>
                            <w:szCs w:val="21"/>
                          </w:rPr>
                        </w:pPr>
                        <w:r>
                          <w:rPr>
                            <w:rFonts w:hint="eastAsia"/>
                            <w:szCs w:val="21"/>
                          </w:rPr>
                          <w:t>投资活动现金流出小计</w:t>
                        </w:r>
                      </w:p>
                    </w:tc>
                  </w:sdtContent>
                </w:sdt>
                <w:tc>
                  <w:tcPr>
                    <w:tcW w:w="470" w:type="pct"/>
                    <w:tcBorders>
                      <w:top w:val="outset" w:sz="4" w:space="0" w:color="auto"/>
                      <w:left w:val="outset" w:sz="4" w:space="0" w:color="auto"/>
                      <w:bottom w:val="outset" w:sz="4" w:space="0" w:color="auto"/>
                      <w:right w:val="outset" w:sz="4" w:space="0" w:color="auto"/>
                    </w:tcBorders>
                  </w:tcPr>
                  <w:p w14:paraId="2BFADC1F"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51DB506D" w14:textId="77777777" w:rsidR="00830E72" w:rsidRDefault="008344D8">
                    <w:pPr>
                      <w:jc w:val="right"/>
                      <w:rPr>
                        <w:szCs w:val="21"/>
                      </w:rPr>
                    </w:pPr>
                    <w:r>
                      <w:rPr>
                        <w:szCs w:val="21"/>
                      </w:rPr>
                      <w:t>14,040,524.89</w:t>
                    </w:r>
                  </w:p>
                </w:tc>
                <w:tc>
                  <w:tcPr>
                    <w:tcW w:w="1197" w:type="pct"/>
                    <w:tcBorders>
                      <w:top w:val="outset" w:sz="4" w:space="0" w:color="auto"/>
                      <w:left w:val="outset" w:sz="4" w:space="0" w:color="auto"/>
                      <w:bottom w:val="outset" w:sz="4" w:space="0" w:color="auto"/>
                      <w:right w:val="outset" w:sz="4" w:space="0" w:color="auto"/>
                    </w:tcBorders>
                  </w:tcPr>
                  <w:p w14:paraId="65A94428" w14:textId="77777777" w:rsidR="00830E72" w:rsidRDefault="008344D8">
                    <w:pPr>
                      <w:jc w:val="right"/>
                      <w:rPr>
                        <w:szCs w:val="21"/>
                      </w:rPr>
                    </w:pPr>
                    <w:r>
                      <w:rPr>
                        <w:szCs w:val="21"/>
                      </w:rPr>
                      <w:t>50,819,057.99</w:t>
                    </w:r>
                  </w:p>
                </w:tc>
              </w:tr>
              <w:tr w:rsidR="00830E72" w14:paraId="1C3083FE" w14:textId="77777777">
                <w:sdt>
                  <w:sdtPr>
                    <w:tag w:val="_PLD_42db552946874e118fb4a5282ca23bcb"/>
                    <w:id w:val="223794708"/>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43711AEC" w14:textId="77777777" w:rsidR="00830E72" w:rsidRDefault="008344D8">
                        <w:pPr>
                          <w:ind w:firstLineChars="300" w:firstLine="630"/>
                          <w:rPr>
                            <w:color w:val="000000"/>
                            <w:szCs w:val="21"/>
                          </w:rPr>
                        </w:pPr>
                        <w:r>
                          <w:rPr>
                            <w:rFonts w:hint="eastAsia"/>
                            <w:szCs w:val="21"/>
                          </w:rPr>
                          <w:t>投资活动产生的现金流量净额</w:t>
                        </w:r>
                      </w:p>
                    </w:tc>
                  </w:sdtContent>
                </w:sdt>
                <w:tc>
                  <w:tcPr>
                    <w:tcW w:w="470" w:type="pct"/>
                    <w:tcBorders>
                      <w:top w:val="outset" w:sz="4" w:space="0" w:color="auto"/>
                      <w:left w:val="outset" w:sz="4" w:space="0" w:color="auto"/>
                      <w:bottom w:val="outset" w:sz="4" w:space="0" w:color="auto"/>
                      <w:right w:val="outset" w:sz="4" w:space="0" w:color="auto"/>
                    </w:tcBorders>
                  </w:tcPr>
                  <w:p w14:paraId="6522B58F"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7F9C2961" w14:textId="77777777" w:rsidR="00830E72" w:rsidRDefault="008344D8">
                    <w:pPr>
                      <w:jc w:val="right"/>
                      <w:rPr>
                        <w:szCs w:val="21"/>
                      </w:rPr>
                    </w:pPr>
                    <w:r>
                      <w:rPr>
                        <w:szCs w:val="21"/>
                      </w:rPr>
                      <w:t>1,557,023.41</w:t>
                    </w:r>
                  </w:p>
                </w:tc>
                <w:tc>
                  <w:tcPr>
                    <w:tcW w:w="1197" w:type="pct"/>
                    <w:tcBorders>
                      <w:top w:val="outset" w:sz="4" w:space="0" w:color="auto"/>
                      <w:left w:val="outset" w:sz="4" w:space="0" w:color="auto"/>
                      <w:bottom w:val="outset" w:sz="4" w:space="0" w:color="auto"/>
                      <w:right w:val="outset" w:sz="4" w:space="0" w:color="auto"/>
                    </w:tcBorders>
                  </w:tcPr>
                  <w:p w14:paraId="24EC66CD" w14:textId="77777777" w:rsidR="00830E72" w:rsidRDefault="008344D8">
                    <w:pPr>
                      <w:jc w:val="right"/>
                      <w:rPr>
                        <w:szCs w:val="21"/>
                      </w:rPr>
                    </w:pPr>
                    <w:r>
                      <w:rPr>
                        <w:szCs w:val="21"/>
                      </w:rPr>
                      <w:t>-49,252,169.05</w:t>
                    </w:r>
                  </w:p>
                </w:tc>
              </w:tr>
              <w:tr w:rsidR="00830E72" w14:paraId="0B7C5470" w14:textId="77777777">
                <w:sdt>
                  <w:sdtPr>
                    <w:tag w:val="_PLD_0ebd9a8b5d8e4227a6bc3b0738379ef1"/>
                    <w:id w:val="-1786194687"/>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0C445F9F" w14:textId="77777777" w:rsidR="00830E72" w:rsidRDefault="008344D8">
                        <w:pPr>
                          <w:rPr>
                            <w:color w:val="000000"/>
                            <w:szCs w:val="21"/>
                          </w:rPr>
                        </w:pPr>
                        <w:r>
                          <w:rPr>
                            <w:rFonts w:hint="eastAsia"/>
                            <w:b/>
                            <w:bCs/>
                            <w:szCs w:val="21"/>
                          </w:rPr>
                          <w:t>三、筹资活动产生的现金流量：</w:t>
                        </w:r>
                      </w:p>
                    </w:tc>
                  </w:sdtContent>
                </w:sdt>
                <w:tc>
                  <w:tcPr>
                    <w:tcW w:w="470" w:type="pct"/>
                    <w:tcBorders>
                      <w:top w:val="outset" w:sz="4" w:space="0" w:color="auto"/>
                      <w:left w:val="outset" w:sz="4" w:space="0" w:color="auto"/>
                      <w:bottom w:val="outset" w:sz="4" w:space="0" w:color="auto"/>
                      <w:right w:val="outset" w:sz="4" w:space="0" w:color="auto"/>
                    </w:tcBorders>
                  </w:tcPr>
                  <w:p w14:paraId="36152104" w14:textId="77777777" w:rsidR="00830E72" w:rsidRDefault="00830E72">
                    <w:pPr>
                      <w:rPr>
                        <w:color w:val="008000"/>
                        <w:szCs w:val="21"/>
                      </w:rPr>
                    </w:pPr>
                  </w:p>
                </w:tc>
                <w:tc>
                  <w:tcPr>
                    <w:tcW w:w="1080" w:type="pct"/>
                    <w:tcBorders>
                      <w:top w:val="outset" w:sz="4" w:space="0" w:color="auto"/>
                      <w:left w:val="outset" w:sz="4" w:space="0" w:color="auto"/>
                      <w:bottom w:val="outset" w:sz="4" w:space="0" w:color="auto"/>
                      <w:right w:val="outset" w:sz="4" w:space="0" w:color="auto"/>
                    </w:tcBorders>
                  </w:tcPr>
                  <w:p w14:paraId="63A07084" w14:textId="77777777" w:rsidR="00830E72" w:rsidRDefault="00830E72">
                    <w:pPr>
                      <w:jc w:val="right"/>
                      <w:rPr>
                        <w:color w:val="008000"/>
                        <w:szCs w:val="21"/>
                      </w:rPr>
                    </w:pPr>
                  </w:p>
                </w:tc>
                <w:tc>
                  <w:tcPr>
                    <w:tcW w:w="1197" w:type="pct"/>
                    <w:tcBorders>
                      <w:top w:val="outset" w:sz="4" w:space="0" w:color="auto"/>
                      <w:left w:val="outset" w:sz="4" w:space="0" w:color="auto"/>
                      <w:bottom w:val="outset" w:sz="4" w:space="0" w:color="auto"/>
                      <w:right w:val="outset" w:sz="4" w:space="0" w:color="auto"/>
                    </w:tcBorders>
                  </w:tcPr>
                  <w:p w14:paraId="1D095E88" w14:textId="77777777" w:rsidR="00830E72" w:rsidRDefault="00830E72">
                    <w:pPr>
                      <w:jc w:val="right"/>
                      <w:rPr>
                        <w:color w:val="008000"/>
                        <w:szCs w:val="21"/>
                      </w:rPr>
                    </w:pPr>
                  </w:p>
                </w:tc>
              </w:tr>
              <w:tr w:rsidR="00830E72" w14:paraId="126F8F55" w14:textId="77777777">
                <w:sdt>
                  <w:sdtPr>
                    <w:tag w:val="_PLD_d87e16dcff524c8fab8d4804bc3560eb"/>
                    <w:id w:val="-1695601796"/>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3BBFF5AD" w14:textId="77777777" w:rsidR="00830E72" w:rsidRDefault="008344D8">
                        <w:pPr>
                          <w:ind w:firstLineChars="100" w:firstLine="210"/>
                          <w:rPr>
                            <w:color w:val="000000"/>
                            <w:szCs w:val="21"/>
                          </w:rPr>
                        </w:pPr>
                        <w:r>
                          <w:rPr>
                            <w:rFonts w:hint="eastAsia"/>
                            <w:szCs w:val="21"/>
                          </w:rPr>
                          <w:t>吸收投资收到的现金</w:t>
                        </w:r>
                      </w:p>
                    </w:tc>
                  </w:sdtContent>
                </w:sdt>
                <w:tc>
                  <w:tcPr>
                    <w:tcW w:w="470" w:type="pct"/>
                    <w:tcBorders>
                      <w:top w:val="outset" w:sz="4" w:space="0" w:color="auto"/>
                      <w:left w:val="outset" w:sz="4" w:space="0" w:color="auto"/>
                      <w:bottom w:val="outset" w:sz="4" w:space="0" w:color="auto"/>
                      <w:right w:val="outset" w:sz="4" w:space="0" w:color="auto"/>
                    </w:tcBorders>
                  </w:tcPr>
                  <w:p w14:paraId="4E40AF09"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2287C729" w14:textId="77777777" w:rsidR="00830E72" w:rsidRDefault="008344D8">
                    <w:pPr>
                      <w:jc w:val="right"/>
                      <w:rPr>
                        <w:szCs w:val="21"/>
                      </w:rPr>
                    </w:pPr>
                    <w:r>
                      <w:rPr>
                        <w:szCs w:val="21"/>
                      </w:rPr>
                      <w:t>863,184,746.53</w:t>
                    </w:r>
                  </w:p>
                </w:tc>
                <w:tc>
                  <w:tcPr>
                    <w:tcW w:w="1197" w:type="pct"/>
                    <w:tcBorders>
                      <w:top w:val="outset" w:sz="4" w:space="0" w:color="auto"/>
                      <w:left w:val="outset" w:sz="4" w:space="0" w:color="auto"/>
                      <w:bottom w:val="outset" w:sz="4" w:space="0" w:color="auto"/>
                      <w:right w:val="outset" w:sz="4" w:space="0" w:color="auto"/>
                    </w:tcBorders>
                  </w:tcPr>
                  <w:p w14:paraId="4DF03008" w14:textId="77777777" w:rsidR="00830E72" w:rsidRDefault="00830E72">
                    <w:pPr>
                      <w:jc w:val="right"/>
                      <w:rPr>
                        <w:szCs w:val="21"/>
                      </w:rPr>
                    </w:pPr>
                  </w:p>
                </w:tc>
              </w:tr>
              <w:tr w:rsidR="00830E72" w14:paraId="3A1186A0" w14:textId="77777777">
                <w:sdt>
                  <w:sdtPr>
                    <w:tag w:val="_PLD_58fd8ee113014f9584611dc39886caf7"/>
                    <w:id w:val="778760137"/>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5CDA5CFC" w14:textId="77777777" w:rsidR="00830E72" w:rsidRDefault="008344D8">
                        <w:pPr>
                          <w:ind w:firstLineChars="100" w:firstLine="210"/>
                          <w:rPr>
                            <w:color w:val="000000"/>
                            <w:szCs w:val="21"/>
                          </w:rPr>
                        </w:pPr>
                        <w:r>
                          <w:rPr>
                            <w:rFonts w:hint="eastAsia"/>
                            <w:szCs w:val="21"/>
                          </w:rPr>
                          <w:t>其中：子公司吸收少数股东投资收到的现金</w:t>
                        </w:r>
                      </w:p>
                    </w:tc>
                  </w:sdtContent>
                </w:sdt>
                <w:tc>
                  <w:tcPr>
                    <w:tcW w:w="470" w:type="pct"/>
                    <w:tcBorders>
                      <w:top w:val="outset" w:sz="4" w:space="0" w:color="auto"/>
                      <w:left w:val="outset" w:sz="4" w:space="0" w:color="auto"/>
                      <w:bottom w:val="outset" w:sz="4" w:space="0" w:color="auto"/>
                      <w:right w:val="outset" w:sz="4" w:space="0" w:color="auto"/>
                    </w:tcBorders>
                  </w:tcPr>
                  <w:p w14:paraId="402E16B9"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432A959E"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53BAA324" w14:textId="77777777" w:rsidR="00830E72" w:rsidRDefault="00830E72">
                    <w:pPr>
                      <w:jc w:val="right"/>
                      <w:rPr>
                        <w:szCs w:val="21"/>
                      </w:rPr>
                    </w:pPr>
                  </w:p>
                </w:tc>
              </w:tr>
              <w:tr w:rsidR="00830E72" w14:paraId="53EFDB92" w14:textId="77777777">
                <w:sdt>
                  <w:sdtPr>
                    <w:tag w:val="_PLD_10190b07f720484f9e0102359e7978d3"/>
                    <w:id w:val="-367223223"/>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4D668D34" w14:textId="77777777" w:rsidR="00830E72" w:rsidRDefault="008344D8">
                        <w:pPr>
                          <w:ind w:firstLineChars="100" w:firstLine="210"/>
                          <w:rPr>
                            <w:color w:val="000000"/>
                            <w:szCs w:val="21"/>
                          </w:rPr>
                        </w:pPr>
                        <w:r>
                          <w:rPr>
                            <w:rFonts w:hint="eastAsia"/>
                            <w:szCs w:val="21"/>
                          </w:rPr>
                          <w:t>取得借款收到的现金</w:t>
                        </w:r>
                      </w:p>
                    </w:tc>
                  </w:sdtContent>
                </w:sdt>
                <w:tc>
                  <w:tcPr>
                    <w:tcW w:w="470" w:type="pct"/>
                    <w:tcBorders>
                      <w:top w:val="outset" w:sz="4" w:space="0" w:color="auto"/>
                      <w:left w:val="outset" w:sz="4" w:space="0" w:color="auto"/>
                      <w:bottom w:val="outset" w:sz="4" w:space="0" w:color="auto"/>
                      <w:right w:val="outset" w:sz="4" w:space="0" w:color="auto"/>
                    </w:tcBorders>
                  </w:tcPr>
                  <w:p w14:paraId="7243DF00"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30CEFE68" w14:textId="77777777" w:rsidR="00830E72" w:rsidRDefault="008344D8">
                    <w:pPr>
                      <w:jc w:val="right"/>
                      <w:rPr>
                        <w:szCs w:val="21"/>
                      </w:rPr>
                    </w:pPr>
                    <w:r>
                      <w:rPr>
                        <w:szCs w:val="21"/>
                      </w:rPr>
                      <w:t>241,312,724.37</w:t>
                    </w:r>
                  </w:p>
                </w:tc>
                <w:tc>
                  <w:tcPr>
                    <w:tcW w:w="1197" w:type="pct"/>
                    <w:tcBorders>
                      <w:top w:val="outset" w:sz="4" w:space="0" w:color="auto"/>
                      <w:left w:val="outset" w:sz="4" w:space="0" w:color="auto"/>
                      <w:bottom w:val="outset" w:sz="4" w:space="0" w:color="auto"/>
                      <w:right w:val="outset" w:sz="4" w:space="0" w:color="auto"/>
                    </w:tcBorders>
                  </w:tcPr>
                  <w:p w14:paraId="1002BBEB" w14:textId="77777777" w:rsidR="00830E72" w:rsidRDefault="008344D8">
                    <w:pPr>
                      <w:jc w:val="right"/>
                      <w:rPr>
                        <w:szCs w:val="21"/>
                      </w:rPr>
                    </w:pPr>
                    <w:r>
                      <w:rPr>
                        <w:szCs w:val="21"/>
                      </w:rPr>
                      <w:t>246,650,000.00</w:t>
                    </w:r>
                  </w:p>
                </w:tc>
              </w:tr>
              <w:tr w:rsidR="00830E72" w14:paraId="6214E19E" w14:textId="77777777">
                <w:sdt>
                  <w:sdtPr>
                    <w:tag w:val="_PLD_a7831604962849fb93fa8d17ab106c5b"/>
                    <w:id w:val="1739356578"/>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33C74888" w14:textId="77777777" w:rsidR="00830E72" w:rsidRDefault="008344D8">
                        <w:pPr>
                          <w:ind w:firstLineChars="100" w:firstLine="210"/>
                          <w:rPr>
                            <w:color w:val="000000"/>
                            <w:szCs w:val="21"/>
                          </w:rPr>
                        </w:pPr>
                        <w:r>
                          <w:rPr>
                            <w:rFonts w:hint="eastAsia"/>
                            <w:szCs w:val="21"/>
                          </w:rPr>
                          <w:t>收到其他与筹资活动有关的现金</w:t>
                        </w:r>
                      </w:p>
                    </w:tc>
                  </w:sdtContent>
                </w:sdt>
                <w:tc>
                  <w:tcPr>
                    <w:tcW w:w="470" w:type="pct"/>
                    <w:tcBorders>
                      <w:top w:val="outset" w:sz="4" w:space="0" w:color="auto"/>
                      <w:left w:val="outset" w:sz="4" w:space="0" w:color="auto"/>
                      <w:bottom w:val="outset" w:sz="4" w:space="0" w:color="auto"/>
                      <w:right w:val="outset" w:sz="4" w:space="0" w:color="auto"/>
                    </w:tcBorders>
                  </w:tcPr>
                  <w:p w14:paraId="7F3650BC"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61C43980"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3FDED16C" w14:textId="77777777" w:rsidR="00830E72" w:rsidRDefault="00830E72">
                    <w:pPr>
                      <w:jc w:val="right"/>
                      <w:rPr>
                        <w:szCs w:val="21"/>
                      </w:rPr>
                    </w:pPr>
                  </w:p>
                </w:tc>
              </w:tr>
              <w:tr w:rsidR="00830E72" w14:paraId="6E565F22" w14:textId="77777777">
                <w:sdt>
                  <w:sdtPr>
                    <w:tag w:val="_PLD_c926a46349eb4b56bdbb2f2f944e8881"/>
                    <w:id w:val="-482850242"/>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56204BE1" w14:textId="77777777" w:rsidR="00830E72" w:rsidRDefault="008344D8">
                        <w:pPr>
                          <w:ind w:firstLineChars="200" w:firstLine="420"/>
                          <w:rPr>
                            <w:color w:val="000000"/>
                            <w:szCs w:val="21"/>
                          </w:rPr>
                        </w:pPr>
                        <w:r>
                          <w:rPr>
                            <w:rFonts w:hint="eastAsia"/>
                            <w:szCs w:val="21"/>
                          </w:rPr>
                          <w:t>筹资活动现金流入小计</w:t>
                        </w:r>
                      </w:p>
                    </w:tc>
                  </w:sdtContent>
                </w:sdt>
                <w:tc>
                  <w:tcPr>
                    <w:tcW w:w="470" w:type="pct"/>
                    <w:tcBorders>
                      <w:top w:val="outset" w:sz="4" w:space="0" w:color="auto"/>
                      <w:left w:val="outset" w:sz="4" w:space="0" w:color="auto"/>
                      <w:bottom w:val="outset" w:sz="4" w:space="0" w:color="auto"/>
                      <w:right w:val="outset" w:sz="4" w:space="0" w:color="auto"/>
                    </w:tcBorders>
                  </w:tcPr>
                  <w:p w14:paraId="300BDCA4"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521C5A9D" w14:textId="77777777" w:rsidR="00830E72" w:rsidRDefault="008344D8">
                    <w:pPr>
                      <w:jc w:val="right"/>
                      <w:rPr>
                        <w:szCs w:val="21"/>
                      </w:rPr>
                    </w:pPr>
                    <w:r>
                      <w:rPr>
                        <w:szCs w:val="21"/>
                      </w:rPr>
                      <w:t>1,104,497,470.90</w:t>
                    </w:r>
                  </w:p>
                </w:tc>
                <w:tc>
                  <w:tcPr>
                    <w:tcW w:w="1197" w:type="pct"/>
                    <w:tcBorders>
                      <w:top w:val="outset" w:sz="4" w:space="0" w:color="auto"/>
                      <w:left w:val="outset" w:sz="4" w:space="0" w:color="auto"/>
                      <w:bottom w:val="outset" w:sz="4" w:space="0" w:color="auto"/>
                      <w:right w:val="outset" w:sz="4" w:space="0" w:color="auto"/>
                    </w:tcBorders>
                  </w:tcPr>
                  <w:p w14:paraId="24CD2D7A" w14:textId="77777777" w:rsidR="00830E72" w:rsidRDefault="008344D8">
                    <w:pPr>
                      <w:jc w:val="right"/>
                      <w:rPr>
                        <w:szCs w:val="21"/>
                      </w:rPr>
                    </w:pPr>
                    <w:r>
                      <w:rPr>
                        <w:szCs w:val="21"/>
                      </w:rPr>
                      <w:t>246,650,000.00</w:t>
                    </w:r>
                  </w:p>
                </w:tc>
              </w:tr>
              <w:tr w:rsidR="00830E72" w14:paraId="62C8CF3F" w14:textId="77777777">
                <w:sdt>
                  <w:sdtPr>
                    <w:tag w:val="_PLD_7137864a3db342b2affb93d91fc42d1a"/>
                    <w:id w:val="-1388025810"/>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028C95F0" w14:textId="77777777" w:rsidR="00830E72" w:rsidRDefault="008344D8">
                        <w:pPr>
                          <w:ind w:firstLineChars="100" w:firstLine="210"/>
                          <w:rPr>
                            <w:color w:val="000000"/>
                            <w:szCs w:val="21"/>
                          </w:rPr>
                        </w:pPr>
                        <w:r>
                          <w:rPr>
                            <w:rFonts w:hint="eastAsia"/>
                            <w:szCs w:val="21"/>
                          </w:rPr>
                          <w:t>偿还债务支付的现金</w:t>
                        </w:r>
                      </w:p>
                    </w:tc>
                  </w:sdtContent>
                </w:sdt>
                <w:tc>
                  <w:tcPr>
                    <w:tcW w:w="470" w:type="pct"/>
                    <w:tcBorders>
                      <w:top w:val="outset" w:sz="4" w:space="0" w:color="auto"/>
                      <w:left w:val="outset" w:sz="4" w:space="0" w:color="auto"/>
                      <w:bottom w:val="outset" w:sz="4" w:space="0" w:color="auto"/>
                      <w:right w:val="outset" w:sz="4" w:space="0" w:color="auto"/>
                    </w:tcBorders>
                  </w:tcPr>
                  <w:p w14:paraId="6660D1F5"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2B637F92" w14:textId="77777777" w:rsidR="00830E72" w:rsidRDefault="008344D8">
                    <w:pPr>
                      <w:jc w:val="right"/>
                      <w:rPr>
                        <w:szCs w:val="21"/>
                      </w:rPr>
                    </w:pPr>
                    <w:r>
                      <w:rPr>
                        <w:szCs w:val="21"/>
                      </w:rPr>
                      <w:t>191,388,094.75</w:t>
                    </w:r>
                  </w:p>
                </w:tc>
                <w:tc>
                  <w:tcPr>
                    <w:tcW w:w="1197" w:type="pct"/>
                    <w:tcBorders>
                      <w:top w:val="outset" w:sz="4" w:space="0" w:color="auto"/>
                      <w:left w:val="outset" w:sz="4" w:space="0" w:color="auto"/>
                      <w:bottom w:val="outset" w:sz="4" w:space="0" w:color="auto"/>
                      <w:right w:val="outset" w:sz="4" w:space="0" w:color="auto"/>
                    </w:tcBorders>
                  </w:tcPr>
                  <w:p w14:paraId="2321CD2C" w14:textId="77777777" w:rsidR="00830E72" w:rsidRDefault="008344D8">
                    <w:pPr>
                      <w:jc w:val="right"/>
                      <w:rPr>
                        <w:szCs w:val="21"/>
                      </w:rPr>
                    </w:pPr>
                    <w:r>
                      <w:rPr>
                        <w:szCs w:val="21"/>
                      </w:rPr>
                      <w:t>62,000,000.00</w:t>
                    </w:r>
                  </w:p>
                </w:tc>
              </w:tr>
              <w:tr w:rsidR="00830E72" w14:paraId="793A20D9" w14:textId="77777777">
                <w:sdt>
                  <w:sdtPr>
                    <w:tag w:val="_PLD_32a887dda27749eebf9088b00cfe1966"/>
                    <w:id w:val="1243762766"/>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4CC3A1EA" w14:textId="77777777" w:rsidR="00830E72" w:rsidRDefault="008344D8">
                        <w:pPr>
                          <w:ind w:firstLineChars="100" w:firstLine="210"/>
                          <w:rPr>
                            <w:szCs w:val="21"/>
                          </w:rPr>
                        </w:pPr>
                        <w:r>
                          <w:rPr>
                            <w:rFonts w:hint="eastAsia"/>
                            <w:szCs w:val="21"/>
                          </w:rPr>
                          <w:t>分配股利、利润或偿付利息支付的现金</w:t>
                        </w:r>
                      </w:p>
                    </w:tc>
                  </w:sdtContent>
                </w:sdt>
                <w:tc>
                  <w:tcPr>
                    <w:tcW w:w="470" w:type="pct"/>
                    <w:tcBorders>
                      <w:top w:val="outset" w:sz="4" w:space="0" w:color="auto"/>
                      <w:left w:val="outset" w:sz="4" w:space="0" w:color="auto"/>
                      <w:bottom w:val="outset" w:sz="4" w:space="0" w:color="auto"/>
                      <w:right w:val="outset" w:sz="4" w:space="0" w:color="auto"/>
                    </w:tcBorders>
                  </w:tcPr>
                  <w:p w14:paraId="08277BC8"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6DC45F1A" w14:textId="77777777" w:rsidR="00830E72" w:rsidRDefault="008344D8">
                    <w:pPr>
                      <w:jc w:val="right"/>
                      <w:rPr>
                        <w:szCs w:val="21"/>
                      </w:rPr>
                    </w:pPr>
                    <w:r>
                      <w:rPr>
                        <w:szCs w:val="21"/>
                      </w:rPr>
                      <w:t>58,273,479.54</w:t>
                    </w:r>
                  </w:p>
                </w:tc>
                <w:tc>
                  <w:tcPr>
                    <w:tcW w:w="1197" w:type="pct"/>
                    <w:tcBorders>
                      <w:top w:val="outset" w:sz="4" w:space="0" w:color="auto"/>
                      <w:left w:val="outset" w:sz="4" w:space="0" w:color="auto"/>
                      <w:bottom w:val="outset" w:sz="4" w:space="0" w:color="auto"/>
                      <w:right w:val="outset" w:sz="4" w:space="0" w:color="auto"/>
                    </w:tcBorders>
                  </w:tcPr>
                  <w:p w14:paraId="2181522C" w14:textId="77777777" w:rsidR="00830E72" w:rsidRDefault="008344D8">
                    <w:pPr>
                      <w:jc w:val="right"/>
                      <w:rPr>
                        <w:szCs w:val="21"/>
                      </w:rPr>
                    </w:pPr>
                    <w:r>
                      <w:rPr>
                        <w:szCs w:val="21"/>
                      </w:rPr>
                      <w:t>72,802,327.94</w:t>
                    </w:r>
                  </w:p>
                </w:tc>
              </w:tr>
              <w:tr w:rsidR="00830E72" w14:paraId="4F68D56E" w14:textId="77777777">
                <w:sdt>
                  <w:sdtPr>
                    <w:tag w:val="_PLD_0b8d07de199a4a5dbc96c42e4c1ed665"/>
                    <w:id w:val="607325185"/>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460B0DE2" w14:textId="77777777" w:rsidR="00830E72" w:rsidRDefault="008344D8">
                        <w:pPr>
                          <w:ind w:firstLineChars="100" w:firstLine="210"/>
                          <w:rPr>
                            <w:szCs w:val="21"/>
                          </w:rPr>
                        </w:pPr>
                        <w:r>
                          <w:rPr>
                            <w:rFonts w:hint="eastAsia"/>
                            <w:szCs w:val="21"/>
                          </w:rPr>
                          <w:t>其中：子公司支付给少数股东的股利、利润</w:t>
                        </w:r>
                      </w:p>
                    </w:tc>
                  </w:sdtContent>
                </w:sdt>
                <w:tc>
                  <w:tcPr>
                    <w:tcW w:w="470" w:type="pct"/>
                    <w:tcBorders>
                      <w:top w:val="outset" w:sz="4" w:space="0" w:color="auto"/>
                      <w:left w:val="outset" w:sz="4" w:space="0" w:color="auto"/>
                      <w:bottom w:val="outset" w:sz="4" w:space="0" w:color="auto"/>
                      <w:right w:val="outset" w:sz="4" w:space="0" w:color="auto"/>
                    </w:tcBorders>
                  </w:tcPr>
                  <w:p w14:paraId="3120640E"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42AB3578"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3D2F01E7" w14:textId="77777777" w:rsidR="00830E72" w:rsidRDefault="00830E72">
                    <w:pPr>
                      <w:jc w:val="right"/>
                      <w:rPr>
                        <w:szCs w:val="21"/>
                      </w:rPr>
                    </w:pPr>
                  </w:p>
                </w:tc>
              </w:tr>
              <w:tr w:rsidR="00830E72" w14:paraId="471E9EA2" w14:textId="77777777">
                <w:sdt>
                  <w:sdtPr>
                    <w:tag w:val="_PLD_3fb96c1bc59a47a4b30f74aabd8d3bc1"/>
                    <w:id w:val="247471277"/>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03D0C6FD" w14:textId="77777777" w:rsidR="00830E72" w:rsidRDefault="008344D8">
                        <w:pPr>
                          <w:ind w:firstLineChars="100" w:firstLine="210"/>
                          <w:rPr>
                            <w:szCs w:val="21"/>
                          </w:rPr>
                        </w:pPr>
                        <w:r>
                          <w:rPr>
                            <w:rFonts w:hint="eastAsia"/>
                            <w:szCs w:val="21"/>
                          </w:rPr>
                          <w:t>支付其他与筹资活动有关的现金</w:t>
                        </w:r>
                      </w:p>
                    </w:tc>
                  </w:sdtContent>
                </w:sdt>
                <w:tc>
                  <w:tcPr>
                    <w:tcW w:w="470" w:type="pct"/>
                    <w:tcBorders>
                      <w:top w:val="outset" w:sz="4" w:space="0" w:color="auto"/>
                      <w:left w:val="outset" w:sz="4" w:space="0" w:color="auto"/>
                      <w:bottom w:val="outset" w:sz="4" w:space="0" w:color="auto"/>
                      <w:right w:val="outset" w:sz="4" w:space="0" w:color="auto"/>
                    </w:tcBorders>
                  </w:tcPr>
                  <w:p w14:paraId="7B6E8C35"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5B05C536" w14:textId="77777777" w:rsidR="00830E72" w:rsidRDefault="008344D8">
                    <w:pPr>
                      <w:jc w:val="right"/>
                      <w:rPr>
                        <w:szCs w:val="21"/>
                      </w:rPr>
                    </w:pPr>
                    <w:r>
                      <w:rPr>
                        <w:szCs w:val="21"/>
                      </w:rPr>
                      <w:t>1,234,842.26</w:t>
                    </w:r>
                  </w:p>
                </w:tc>
                <w:tc>
                  <w:tcPr>
                    <w:tcW w:w="1197" w:type="pct"/>
                    <w:tcBorders>
                      <w:top w:val="outset" w:sz="4" w:space="0" w:color="auto"/>
                      <w:left w:val="outset" w:sz="4" w:space="0" w:color="auto"/>
                      <w:bottom w:val="outset" w:sz="4" w:space="0" w:color="auto"/>
                      <w:right w:val="outset" w:sz="4" w:space="0" w:color="auto"/>
                    </w:tcBorders>
                  </w:tcPr>
                  <w:p w14:paraId="076BA17B" w14:textId="77777777" w:rsidR="00830E72" w:rsidRDefault="008344D8">
                    <w:pPr>
                      <w:jc w:val="right"/>
                      <w:rPr>
                        <w:szCs w:val="21"/>
                      </w:rPr>
                    </w:pPr>
                    <w:r>
                      <w:rPr>
                        <w:szCs w:val="21"/>
                      </w:rPr>
                      <w:t>5,060,000.00</w:t>
                    </w:r>
                  </w:p>
                </w:tc>
              </w:tr>
              <w:tr w:rsidR="00830E72" w14:paraId="2A366966" w14:textId="77777777">
                <w:sdt>
                  <w:sdtPr>
                    <w:tag w:val="_PLD_b2e28ae5b48f44edbae325bc7a025b65"/>
                    <w:id w:val="-1120060245"/>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7CB89A78" w14:textId="77777777" w:rsidR="00830E72" w:rsidRDefault="008344D8">
                        <w:pPr>
                          <w:ind w:firstLineChars="200" w:firstLine="420"/>
                          <w:rPr>
                            <w:color w:val="000000"/>
                            <w:szCs w:val="21"/>
                          </w:rPr>
                        </w:pPr>
                        <w:r>
                          <w:rPr>
                            <w:rFonts w:hint="eastAsia"/>
                            <w:szCs w:val="21"/>
                          </w:rPr>
                          <w:t>筹资活动现金流出小计</w:t>
                        </w:r>
                      </w:p>
                    </w:tc>
                  </w:sdtContent>
                </w:sdt>
                <w:tc>
                  <w:tcPr>
                    <w:tcW w:w="470" w:type="pct"/>
                    <w:tcBorders>
                      <w:top w:val="outset" w:sz="4" w:space="0" w:color="auto"/>
                      <w:left w:val="outset" w:sz="4" w:space="0" w:color="auto"/>
                      <w:bottom w:val="outset" w:sz="4" w:space="0" w:color="auto"/>
                      <w:right w:val="outset" w:sz="4" w:space="0" w:color="auto"/>
                    </w:tcBorders>
                  </w:tcPr>
                  <w:p w14:paraId="510AE3D4"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29D32E22" w14:textId="77777777" w:rsidR="00830E72" w:rsidRDefault="008344D8">
                    <w:pPr>
                      <w:jc w:val="right"/>
                      <w:rPr>
                        <w:szCs w:val="21"/>
                      </w:rPr>
                    </w:pPr>
                    <w:r>
                      <w:rPr>
                        <w:szCs w:val="21"/>
                      </w:rPr>
                      <w:t>250,896,416.55</w:t>
                    </w:r>
                  </w:p>
                </w:tc>
                <w:tc>
                  <w:tcPr>
                    <w:tcW w:w="1197" w:type="pct"/>
                    <w:tcBorders>
                      <w:top w:val="outset" w:sz="4" w:space="0" w:color="auto"/>
                      <w:left w:val="outset" w:sz="4" w:space="0" w:color="auto"/>
                      <w:bottom w:val="outset" w:sz="4" w:space="0" w:color="auto"/>
                      <w:right w:val="outset" w:sz="4" w:space="0" w:color="auto"/>
                    </w:tcBorders>
                  </w:tcPr>
                  <w:p w14:paraId="259D9A55" w14:textId="77777777" w:rsidR="00830E72" w:rsidRDefault="008344D8">
                    <w:pPr>
                      <w:jc w:val="right"/>
                      <w:rPr>
                        <w:szCs w:val="21"/>
                      </w:rPr>
                    </w:pPr>
                    <w:r>
                      <w:rPr>
                        <w:szCs w:val="21"/>
                      </w:rPr>
                      <w:t>139,862,327.94</w:t>
                    </w:r>
                  </w:p>
                </w:tc>
              </w:tr>
              <w:tr w:rsidR="00830E72" w14:paraId="6C566874" w14:textId="77777777">
                <w:sdt>
                  <w:sdtPr>
                    <w:tag w:val="_PLD_dacfeaab1df34490bc35dfb823671d84"/>
                    <w:id w:val="345457569"/>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04764294" w14:textId="77777777" w:rsidR="00830E72" w:rsidRDefault="008344D8">
                        <w:pPr>
                          <w:ind w:firstLineChars="300" w:firstLine="630"/>
                          <w:rPr>
                            <w:color w:val="000000"/>
                            <w:szCs w:val="21"/>
                          </w:rPr>
                        </w:pPr>
                        <w:r>
                          <w:rPr>
                            <w:rFonts w:hint="eastAsia"/>
                            <w:szCs w:val="21"/>
                          </w:rPr>
                          <w:t>筹资活动产生的现金流量净额</w:t>
                        </w:r>
                      </w:p>
                    </w:tc>
                  </w:sdtContent>
                </w:sdt>
                <w:tc>
                  <w:tcPr>
                    <w:tcW w:w="470" w:type="pct"/>
                    <w:tcBorders>
                      <w:top w:val="outset" w:sz="4" w:space="0" w:color="auto"/>
                      <w:left w:val="outset" w:sz="4" w:space="0" w:color="auto"/>
                      <w:bottom w:val="outset" w:sz="4" w:space="0" w:color="auto"/>
                      <w:right w:val="outset" w:sz="4" w:space="0" w:color="auto"/>
                    </w:tcBorders>
                  </w:tcPr>
                  <w:p w14:paraId="47E4D70C"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311AB270" w14:textId="77777777" w:rsidR="00830E72" w:rsidRDefault="008344D8">
                    <w:pPr>
                      <w:jc w:val="right"/>
                      <w:rPr>
                        <w:szCs w:val="21"/>
                      </w:rPr>
                    </w:pPr>
                    <w:r>
                      <w:rPr>
                        <w:szCs w:val="21"/>
                      </w:rPr>
                      <w:t>853,601,054.35</w:t>
                    </w:r>
                  </w:p>
                </w:tc>
                <w:tc>
                  <w:tcPr>
                    <w:tcW w:w="1197" w:type="pct"/>
                    <w:tcBorders>
                      <w:top w:val="outset" w:sz="4" w:space="0" w:color="auto"/>
                      <w:left w:val="outset" w:sz="4" w:space="0" w:color="auto"/>
                      <w:bottom w:val="outset" w:sz="4" w:space="0" w:color="auto"/>
                      <w:right w:val="outset" w:sz="4" w:space="0" w:color="auto"/>
                    </w:tcBorders>
                  </w:tcPr>
                  <w:p w14:paraId="683C4CAD" w14:textId="77777777" w:rsidR="00830E72" w:rsidRDefault="008344D8">
                    <w:pPr>
                      <w:jc w:val="right"/>
                      <w:rPr>
                        <w:szCs w:val="21"/>
                      </w:rPr>
                    </w:pPr>
                    <w:r>
                      <w:rPr>
                        <w:szCs w:val="21"/>
                      </w:rPr>
                      <w:t>106,787,672.06</w:t>
                    </w:r>
                  </w:p>
                </w:tc>
              </w:tr>
              <w:tr w:rsidR="00830E72" w14:paraId="277D01F1" w14:textId="77777777">
                <w:sdt>
                  <w:sdtPr>
                    <w:tag w:val="_PLD_88d125642e41419d9843a71dc9472f51"/>
                    <w:id w:val="-295066609"/>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49F221A7" w14:textId="77777777" w:rsidR="00830E72" w:rsidRDefault="008344D8">
                        <w:pPr>
                          <w:rPr>
                            <w:color w:val="000000"/>
                            <w:szCs w:val="21"/>
                          </w:rPr>
                        </w:pPr>
                        <w:r>
                          <w:rPr>
                            <w:rFonts w:hint="eastAsia"/>
                            <w:b/>
                            <w:bCs/>
                            <w:szCs w:val="21"/>
                          </w:rPr>
                          <w:t>四、汇率变动对现金及现金等价物的影响</w:t>
                        </w:r>
                      </w:p>
                    </w:tc>
                  </w:sdtContent>
                </w:sdt>
                <w:tc>
                  <w:tcPr>
                    <w:tcW w:w="470" w:type="pct"/>
                    <w:tcBorders>
                      <w:top w:val="outset" w:sz="4" w:space="0" w:color="auto"/>
                      <w:left w:val="outset" w:sz="4" w:space="0" w:color="auto"/>
                      <w:bottom w:val="outset" w:sz="4" w:space="0" w:color="auto"/>
                      <w:right w:val="outset" w:sz="4" w:space="0" w:color="auto"/>
                    </w:tcBorders>
                  </w:tcPr>
                  <w:p w14:paraId="6901D2B7"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05FDA886" w14:textId="77777777" w:rsidR="00830E72" w:rsidRDefault="00830E7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6F36E1B0" w14:textId="77777777" w:rsidR="00830E72" w:rsidRDefault="00830E72">
                    <w:pPr>
                      <w:jc w:val="right"/>
                      <w:rPr>
                        <w:szCs w:val="21"/>
                      </w:rPr>
                    </w:pPr>
                  </w:p>
                </w:tc>
              </w:tr>
              <w:tr w:rsidR="00830E72" w14:paraId="1A7FF898" w14:textId="77777777">
                <w:sdt>
                  <w:sdtPr>
                    <w:tag w:val="_PLD_fd66e1d9937544d090d0b7529065ff9b"/>
                    <w:id w:val="741760752"/>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01C04EB3" w14:textId="77777777" w:rsidR="00830E72" w:rsidRDefault="008344D8">
                        <w:pPr>
                          <w:rPr>
                            <w:color w:val="000000"/>
                            <w:szCs w:val="21"/>
                          </w:rPr>
                        </w:pPr>
                        <w:r>
                          <w:rPr>
                            <w:rFonts w:hint="eastAsia"/>
                            <w:b/>
                            <w:bCs/>
                            <w:szCs w:val="21"/>
                          </w:rPr>
                          <w:t>五、现金及现金等价物净增加额</w:t>
                        </w:r>
                      </w:p>
                    </w:tc>
                  </w:sdtContent>
                </w:sdt>
                <w:tc>
                  <w:tcPr>
                    <w:tcW w:w="470" w:type="pct"/>
                    <w:tcBorders>
                      <w:top w:val="outset" w:sz="4" w:space="0" w:color="auto"/>
                      <w:left w:val="outset" w:sz="4" w:space="0" w:color="auto"/>
                      <w:bottom w:val="outset" w:sz="4" w:space="0" w:color="auto"/>
                      <w:right w:val="outset" w:sz="4" w:space="0" w:color="auto"/>
                    </w:tcBorders>
                  </w:tcPr>
                  <w:p w14:paraId="4997DBD4"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61D933B3" w14:textId="77777777" w:rsidR="00830E72" w:rsidRDefault="008344D8">
                    <w:pPr>
                      <w:jc w:val="right"/>
                      <w:rPr>
                        <w:szCs w:val="21"/>
                      </w:rPr>
                    </w:pPr>
                    <w:r>
                      <w:rPr>
                        <w:szCs w:val="21"/>
                      </w:rPr>
                      <w:t>540,973,289.96</w:t>
                    </w:r>
                  </w:p>
                </w:tc>
                <w:tc>
                  <w:tcPr>
                    <w:tcW w:w="1197" w:type="pct"/>
                    <w:tcBorders>
                      <w:top w:val="outset" w:sz="4" w:space="0" w:color="auto"/>
                      <w:left w:val="outset" w:sz="4" w:space="0" w:color="auto"/>
                      <w:bottom w:val="outset" w:sz="4" w:space="0" w:color="auto"/>
                      <w:right w:val="outset" w:sz="4" w:space="0" w:color="auto"/>
                    </w:tcBorders>
                  </w:tcPr>
                  <w:p w14:paraId="64A14925" w14:textId="77777777" w:rsidR="00830E72" w:rsidRDefault="008344D8">
                    <w:pPr>
                      <w:jc w:val="right"/>
                      <w:rPr>
                        <w:szCs w:val="21"/>
                      </w:rPr>
                    </w:pPr>
                    <w:r>
                      <w:rPr>
                        <w:szCs w:val="21"/>
                      </w:rPr>
                      <w:t>-151,495,263.01</w:t>
                    </w:r>
                  </w:p>
                </w:tc>
              </w:tr>
              <w:tr w:rsidR="00830E72" w14:paraId="5F10A4CA" w14:textId="77777777">
                <w:sdt>
                  <w:sdtPr>
                    <w:tag w:val="_PLD_c384e472db4a44618443173a520a565b"/>
                    <w:id w:val="554357758"/>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3A70A521" w14:textId="77777777" w:rsidR="00830E72" w:rsidRDefault="008344D8">
                        <w:pPr>
                          <w:ind w:firstLineChars="100" w:firstLine="210"/>
                          <w:rPr>
                            <w:color w:val="000000"/>
                            <w:szCs w:val="21"/>
                          </w:rPr>
                        </w:pPr>
                        <w:r>
                          <w:rPr>
                            <w:rFonts w:hint="eastAsia"/>
                            <w:szCs w:val="21"/>
                          </w:rPr>
                          <w:t>加：期初现金及现金等价物余额</w:t>
                        </w:r>
                      </w:p>
                    </w:tc>
                  </w:sdtContent>
                </w:sdt>
                <w:tc>
                  <w:tcPr>
                    <w:tcW w:w="470" w:type="pct"/>
                    <w:tcBorders>
                      <w:top w:val="outset" w:sz="4" w:space="0" w:color="auto"/>
                      <w:left w:val="outset" w:sz="4" w:space="0" w:color="auto"/>
                      <w:bottom w:val="outset" w:sz="4" w:space="0" w:color="auto"/>
                      <w:right w:val="outset" w:sz="4" w:space="0" w:color="auto"/>
                    </w:tcBorders>
                  </w:tcPr>
                  <w:p w14:paraId="0E7BA886"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38FCE5BC" w14:textId="77777777" w:rsidR="00830E72" w:rsidRDefault="008344D8">
                    <w:pPr>
                      <w:jc w:val="right"/>
                      <w:rPr>
                        <w:szCs w:val="21"/>
                      </w:rPr>
                    </w:pPr>
                    <w:r>
                      <w:rPr>
                        <w:szCs w:val="21"/>
                      </w:rPr>
                      <w:t>686,046,728.81</w:t>
                    </w:r>
                  </w:p>
                </w:tc>
                <w:tc>
                  <w:tcPr>
                    <w:tcW w:w="1197" w:type="pct"/>
                    <w:tcBorders>
                      <w:top w:val="outset" w:sz="4" w:space="0" w:color="auto"/>
                      <w:left w:val="outset" w:sz="4" w:space="0" w:color="auto"/>
                      <w:bottom w:val="outset" w:sz="4" w:space="0" w:color="auto"/>
                      <w:right w:val="outset" w:sz="4" w:space="0" w:color="auto"/>
                    </w:tcBorders>
                  </w:tcPr>
                  <w:p w14:paraId="59063AF5" w14:textId="77777777" w:rsidR="00830E72" w:rsidRDefault="008344D8">
                    <w:pPr>
                      <w:jc w:val="right"/>
                      <w:rPr>
                        <w:szCs w:val="21"/>
                      </w:rPr>
                    </w:pPr>
                    <w:r>
                      <w:rPr>
                        <w:szCs w:val="21"/>
                      </w:rPr>
                      <w:t>679,628,127.53</w:t>
                    </w:r>
                  </w:p>
                </w:tc>
              </w:tr>
              <w:tr w:rsidR="00830E72" w14:paraId="788C228A" w14:textId="77777777">
                <w:sdt>
                  <w:sdtPr>
                    <w:tag w:val="_PLD_bb83b8f9db734a7cb83175f4e64ae363"/>
                    <w:id w:val="130908086"/>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1C8EC6C8" w14:textId="77777777" w:rsidR="00830E72" w:rsidRDefault="008344D8">
                        <w:pPr>
                          <w:rPr>
                            <w:color w:val="000000"/>
                            <w:szCs w:val="21"/>
                          </w:rPr>
                        </w:pPr>
                        <w:r>
                          <w:rPr>
                            <w:rFonts w:hint="eastAsia"/>
                            <w:b/>
                            <w:bCs/>
                            <w:szCs w:val="21"/>
                          </w:rPr>
                          <w:t>六、期末现金及现金等价物余额</w:t>
                        </w:r>
                      </w:p>
                    </w:tc>
                  </w:sdtContent>
                </w:sdt>
                <w:tc>
                  <w:tcPr>
                    <w:tcW w:w="470" w:type="pct"/>
                    <w:tcBorders>
                      <w:top w:val="outset" w:sz="4" w:space="0" w:color="auto"/>
                      <w:left w:val="outset" w:sz="4" w:space="0" w:color="auto"/>
                      <w:bottom w:val="outset" w:sz="4" w:space="0" w:color="auto"/>
                      <w:right w:val="outset" w:sz="4" w:space="0" w:color="auto"/>
                    </w:tcBorders>
                  </w:tcPr>
                  <w:p w14:paraId="2C6CA1A0" w14:textId="77777777" w:rsidR="00830E72" w:rsidRDefault="00830E72">
                    <w:pPr>
                      <w:rPr>
                        <w:szCs w:val="21"/>
                      </w:rPr>
                    </w:pPr>
                  </w:p>
                </w:tc>
                <w:tc>
                  <w:tcPr>
                    <w:tcW w:w="1080" w:type="pct"/>
                    <w:tcBorders>
                      <w:top w:val="outset" w:sz="4" w:space="0" w:color="auto"/>
                      <w:left w:val="outset" w:sz="4" w:space="0" w:color="auto"/>
                      <w:bottom w:val="outset" w:sz="4" w:space="0" w:color="auto"/>
                      <w:right w:val="outset" w:sz="4" w:space="0" w:color="auto"/>
                    </w:tcBorders>
                  </w:tcPr>
                  <w:p w14:paraId="5E814F17" w14:textId="77777777" w:rsidR="00830E72" w:rsidRDefault="008344D8">
                    <w:pPr>
                      <w:jc w:val="right"/>
                      <w:rPr>
                        <w:szCs w:val="21"/>
                      </w:rPr>
                    </w:pPr>
                    <w:r>
                      <w:rPr>
                        <w:szCs w:val="21"/>
                      </w:rPr>
                      <w:t>1,227,020,018.77</w:t>
                    </w:r>
                  </w:p>
                </w:tc>
                <w:tc>
                  <w:tcPr>
                    <w:tcW w:w="1197" w:type="pct"/>
                    <w:tcBorders>
                      <w:top w:val="outset" w:sz="4" w:space="0" w:color="auto"/>
                      <w:left w:val="outset" w:sz="4" w:space="0" w:color="auto"/>
                      <w:bottom w:val="outset" w:sz="4" w:space="0" w:color="auto"/>
                      <w:right w:val="outset" w:sz="4" w:space="0" w:color="auto"/>
                    </w:tcBorders>
                  </w:tcPr>
                  <w:p w14:paraId="21C408A3" w14:textId="77777777" w:rsidR="00830E72" w:rsidRDefault="008344D8">
                    <w:pPr>
                      <w:jc w:val="right"/>
                      <w:rPr>
                        <w:szCs w:val="21"/>
                      </w:rPr>
                    </w:pPr>
                    <w:r>
                      <w:rPr>
                        <w:szCs w:val="21"/>
                      </w:rPr>
                      <w:t>528,132,864.52</w:t>
                    </w:r>
                  </w:p>
                </w:tc>
              </w:tr>
            </w:tbl>
            <w:p w14:paraId="3315F35B" w14:textId="77777777" w:rsidR="00830E72" w:rsidRDefault="008344D8">
              <w:pPr>
                <w:snapToGrid w:val="0"/>
                <w:spacing w:line="240" w:lineRule="atLeast"/>
                <w:ind w:rightChars="12" w:right="25"/>
                <w:rPr>
                  <w:b/>
                  <w:bCs/>
                  <w:color w:val="FF0000"/>
                  <w:szCs w:val="21"/>
                </w:rPr>
              </w:pPr>
              <w:r>
                <w:rPr>
                  <w:szCs w:val="21"/>
                </w:rPr>
                <w:t>公司负责人</w:t>
              </w:r>
              <w:r>
                <w:rPr>
                  <w:rFonts w:hint="eastAsia"/>
                  <w:szCs w:val="21"/>
                </w:rPr>
                <w:t>：</w:t>
              </w:r>
              <w:sdt>
                <w:sdtPr>
                  <w:rPr>
                    <w:rFonts w:hint="eastAsia"/>
                    <w:szCs w:val="21"/>
                  </w:rPr>
                  <w:alias w:val="公司负责人"/>
                  <w:tag w:val="_GBC_d1f7cb193ab444ff8482a06aad12f0db"/>
                  <w:id w:val="-1841610577"/>
                  <w:lock w:val="sdtLocked"/>
                  <w:placeholder>
                    <w:docPart w:val="GBC22222222222222222222222222222"/>
                  </w:placeholder>
                  <w:text/>
                </w:sdtPr>
                <w:sdtEndPr/>
                <w:sdtContent>
                  <w:r>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1117984076"/>
                  <w:lock w:val="sdtLocked"/>
                  <w:placeholder>
                    <w:docPart w:val="GBC22222222222222222222222222222"/>
                  </w:placeholder>
                  <w:text/>
                </w:sdtPr>
                <w:sdtEndPr/>
                <w:sdtContent>
                  <w:r>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1529674574"/>
                  <w:lock w:val="sdtLocked"/>
                  <w:placeholder>
                    <w:docPart w:val="GBC22222222222222222222222222222"/>
                  </w:placeholder>
                  <w:text/>
                </w:sdtPr>
                <w:sdtEndPr/>
                <w:sdtContent>
                  <w:r>
                    <w:rPr>
                      <w:rFonts w:hint="eastAsia"/>
                      <w:szCs w:val="21"/>
                    </w:rPr>
                    <w:t>王国鑫</w:t>
                  </w:r>
                </w:sdtContent>
              </w:sdt>
            </w:p>
          </w:sdtContent>
        </w:sdt>
        <w:p w14:paraId="6C25C133" w14:textId="77777777" w:rsidR="00830E72" w:rsidRDefault="00830E72">
          <w:pPr>
            <w:rPr>
              <w:szCs w:val="21"/>
            </w:rPr>
          </w:pPr>
        </w:p>
        <w:p w14:paraId="7F71A4E1" w14:textId="77777777" w:rsidR="00830E72" w:rsidRDefault="00830E72">
          <w:pPr>
            <w:jc w:val="center"/>
            <w:rPr>
              <w:b/>
              <w:bCs/>
              <w:szCs w:val="21"/>
            </w:rPr>
          </w:pPr>
        </w:p>
        <w:bookmarkStart w:id="69" w:name="_Hlk80257138" w:displacedByCustomXml="next"/>
        <w:sdt>
          <w:sdtPr>
            <w:rPr>
              <w:rFonts w:ascii="宋体" w:hAnsi="宋体" w:cs="宋体" w:hint="eastAsia"/>
              <w:b w:val="0"/>
              <w:bCs w:val="0"/>
              <w:kern w:val="0"/>
              <w:szCs w:val="24"/>
            </w:rPr>
            <w:tag w:val="_GBC_fa07832b39b14b348ba105d6cedbd7b8"/>
            <w:id w:val="-1888179481"/>
            <w:lock w:val="sdtLocked"/>
            <w:placeholder>
              <w:docPart w:val="GBC22222222222222222222222222222"/>
            </w:placeholder>
          </w:sdtPr>
          <w:sdtEndPr>
            <w:rPr>
              <w:szCs w:val="21"/>
            </w:rPr>
          </w:sdtEndPr>
          <w:sdtContent>
            <w:p w14:paraId="45CF468C" w14:textId="77777777" w:rsidR="00830E72" w:rsidRDefault="008344D8">
              <w:pPr>
                <w:pStyle w:val="Style99"/>
                <w:jc w:val="center"/>
                <w:rPr>
                  <w:rFonts w:ascii="宋体" w:hAnsi="宋体"/>
                </w:rPr>
              </w:pPr>
              <w:r>
                <w:rPr>
                  <w:rFonts w:ascii="宋体" w:hAnsi="宋体" w:hint="eastAsia"/>
                </w:rPr>
                <w:t>母公司</w:t>
              </w:r>
              <w:r>
                <w:rPr>
                  <w:rFonts w:ascii="宋体" w:hAnsi="宋体"/>
                </w:rPr>
                <w:t>现金流量表</w:t>
              </w:r>
            </w:p>
            <w:p w14:paraId="3BD2379C" w14:textId="77777777" w:rsidR="00830E72" w:rsidRDefault="008344D8">
              <w:pPr>
                <w:jc w:val="center"/>
                <w:rPr>
                  <w:b/>
                  <w:bCs/>
                  <w:szCs w:val="21"/>
                </w:rPr>
              </w:pPr>
              <w:r>
                <w:rPr>
                  <w:szCs w:val="21"/>
                </w:rPr>
                <w:t>2021年</w:t>
              </w:r>
              <w:r>
                <w:rPr>
                  <w:rFonts w:hint="eastAsia"/>
                  <w:szCs w:val="21"/>
                </w:rPr>
                <w:t>1—6</w:t>
              </w:r>
              <w:r>
                <w:rPr>
                  <w:szCs w:val="21"/>
                </w:rPr>
                <w:t>月</w:t>
              </w:r>
            </w:p>
            <w:p w14:paraId="0AAC31D8" w14:textId="77777777" w:rsidR="00830E72" w:rsidRDefault="008344D8">
              <w:pPr>
                <w:jc w:val="right"/>
                <w:rPr>
                  <w:szCs w:val="21"/>
                </w:rPr>
              </w:pPr>
              <w:r>
                <w:rPr>
                  <w:szCs w:val="21"/>
                </w:rPr>
                <w:t>单位：</w:t>
              </w:r>
              <w:sdt>
                <w:sdtPr>
                  <w:rPr>
                    <w:szCs w:val="21"/>
                  </w:rPr>
                  <w:alias w:val="单位：母公司现金流量表"/>
                  <w:tag w:val="_GBC_993ead81b27a41dfaccaacfaec8b7c78"/>
                  <w:id w:val="-814541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16224077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794"/>
                <w:gridCol w:w="1074"/>
                <w:gridCol w:w="2096"/>
                <w:gridCol w:w="2085"/>
              </w:tblGrid>
              <w:tr w:rsidR="00830E72" w14:paraId="7C8CE4DD" w14:textId="77777777">
                <w:sdt>
                  <w:sdtPr>
                    <w:tag w:val="_PLD_20ae0904ed714106892a5beddfe5846a"/>
                    <w:id w:val="799427725"/>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0B00DA9A" w14:textId="77777777" w:rsidR="00830E72" w:rsidRDefault="008344D8">
                        <w:pPr>
                          <w:jc w:val="center"/>
                          <w:rPr>
                            <w:b/>
                            <w:bCs/>
                            <w:szCs w:val="21"/>
                          </w:rPr>
                        </w:pPr>
                        <w:r>
                          <w:rPr>
                            <w:b/>
                            <w:bCs/>
                            <w:szCs w:val="21"/>
                          </w:rPr>
                          <w:t>项目</w:t>
                        </w:r>
                      </w:p>
                    </w:tc>
                  </w:sdtContent>
                </w:sdt>
                <w:sdt>
                  <w:sdtPr>
                    <w:tag w:val="_PLD_9cb87427e0de42d2b7e58a286ff58290"/>
                    <w:id w:val="1520352418"/>
                    <w:lock w:val="sdtLocked"/>
                  </w:sdtPr>
                  <w:sdtEndPr/>
                  <w:sdtContent>
                    <w:tc>
                      <w:tcPr>
                        <w:tcW w:w="593" w:type="pct"/>
                        <w:tcBorders>
                          <w:top w:val="outset" w:sz="4" w:space="0" w:color="auto"/>
                          <w:left w:val="outset" w:sz="4" w:space="0" w:color="auto"/>
                          <w:bottom w:val="outset" w:sz="4" w:space="0" w:color="auto"/>
                          <w:right w:val="outset" w:sz="4" w:space="0" w:color="auto"/>
                        </w:tcBorders>
                      </w:tcPr>
                      <w:p w14:paraId="3ACF0316" w14:textId="77777777" w:rsidR="00830E72" w:rsidRDefault="008344D8">
                        <w:pPr>
                          <w:autoSpaceDE w:val="0"/>
                          <w:autoSpaceDN w:val="0"/>
                          <w:adjustRightInd w:val="0"/>
                          <w:jc w:val="center"/>
                          <w:rPr>
                            <w:b/>
                            <w:szCs w:val="21"/>
                          </w:rPr>
                        </w:pPr>
                        <w:r>
                          <w:rPr>
                            <w:b/>
                            <w:szCs w:val="21"/>
                          </w:rPr>
                          <w:t>附注</w:t>
                        </w:r>
                      </w:p>
                    </w:tc>
                  </w:sdtContent>
                </w:sdt>
                <w:sdt>
                  <w:sdtPr>
                    <w:tag w:val="_PLD_514bbce28b6040e393e59c5ec50c3820"/>
                    <w:id w:val="-1404835165"/>
                    <w:lock w:val="sdtLocked"/>
                  </w:sdtPr>
                  <w:sdtEndPr/>
                  <w:sdtContent>
                    <w:tc>
                      <w:tcPr>
                        <w:tcW w:w="1158" w:type="pct"/>
                        <w:tcBorders>
                          <w:top w:val="outset" w:sz="4" w:space="0" w:color="auto"/>
                          <w:left w:val="outset" w:sz="4" w:space="0" w:color="auto"/>
                          <w:bottom w:val="outset" w:sz="4" w:space="0" w:color="auto"/>
                          <w:right w:val="outset" w:sz="4" w:space="0" w:color="auto"/>
                        </w:tcBorders>
                      </w:tcPr>
                      <w:p w14:paraId="32B64539" w14:textId="77777777" w:rsidR="00830E72" w:rsidRDefault="008344D8">
                        <w:pPr>
                          <w:autoSpaceDE w:val="0"/>
                          <w:autoSpaceDN w:val="0"/>
                          <w:adjustRightInd w:val="0"/>
                          <w:jc w:val="center"/>
                          <w:rPr>
                            <w:b/>
                            <w:szCs w:val="21"/>
                          </w:rPr>
                        </w:pPr>
                        <w:r>
                          <w:rPr>
                            <w:rFonts w:hint="eastAsia"/>
                            <w:b/>
                            <w:szCs w:val="21"/>
                          </w:rPr>
                          <w:t>2021年半年度</w:t>
                        </w:r>
                      </w:p>
                    </w:tc>
                  </w:sdtContent>
                </w:sdt>
                <w:sdt>
                  <w:sdtPr>
                    <w:tag w:val="_PLD_de39c3f730c74ecca3c9a890bc08a2c1"/>
                    <w:id w:val="-260606513"/>
                    <w:lock w:val="sdtLocked"/>
                  </w:sdtPr>
                  <w:sdtEndPr/>
                  <w:sdtContent>
                    <w:tc>
                      <w:tcPr>
                        <w:tcW w:w="1152" w:type="pct"/>
                        <w:tcBorders>
                          <w:top w:val="outset" w:sz="4" w:space="0" w:color="auto"/>
                          <w:left w:val="outset" w:sz="4" w:space="0" w:color="auto"/>
                          <w:bottom w:val="outset" w:sz="4" w:space="0" w:color="auto"/>
                          <w:right w:val="outset" w:sz="4" w:space="0" w:color="auto"/>
                        </w:tcBorders>
                      </w:tcPr>
                      <w:p w14:paraId="158A7A92" w14:textId="77777777" w:rsidR="00830E72" w:rsidRDefault="008344D8">
                        <w:pPr>
                          <w:autoSpaceDE w:val="0"/>
                          <w:autoSpaceDN w:val="0"/>
                          <w:adjustRightInd w:val="0"/>
                          <w:jc w:val="center"/>
                          <w:rPr>
                            <w:b/>
                            <w:szCs w:val="21"/>
                          </w:rPr>
                        </w:pPr>
                        <w:r>
                          <w:rPr>
                            <w:rFonts w:hint="eastAsia"/>
                            <w:b/>
                            <w:szCs w:val="21"/>
                          </w:rPr>
                          <w:t>2020年半年度</w:t>
                        </w:r>
                      </w:p>
                    </w:tc>
                  </w:sdtContent>
                </w:sdt>
              </w:tr>
              <w:tr w:rsidR="00830E72" w14:paraId="1E048D45" w14:textId="77777777">
                <w:sdt>
                  <w:sdtPr>
                    <w:tag w:val="_PLD_575fd724a7cb4261a6c80660162ce2fb"/>
                    <w:id w:val="-2132700334"/>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4434EA78" w14:textId="77777777" w:rsidR="00830E72" w:rsidRDefault="008344D8">
                        <w:pPr>
                          <w:rPr>
                            <w:color w:val="000000"/>
                            <w:szCs w:val="21"/>
                          </w:rPr>
                        </w:pPr>
                        <w:r>
                          <w:rPr>
                            <w:rFonts w:hint="eastAsia"/>
                            <w:b/>
                            <w:bCs/>
                            <w:szCs w:val="21"/>
                          </w:rPr>
                          <w:t>一、经营活动产生的现金流量：</w:t>
                        </w:r>
                      </w:p>
                    </w:tc>
                  </w:sdtContent>
                </w:sdt>
                <w:tc>
                  <w:tcPr>
                    <w:tcW w:w="593" w:type="pct"/>
                    <w:tcBorders>
                      <w:top w:val="outset" w:sz="4" w:space="0" w:color="auto"/>
                      <w:left w:val="outset" w:sz="4" w:space="0" w:color="auto"/>
                      <w:bottom w:val="outset" w:sz="4" w:space="0" w:color="auto"/>
                      <w:right w:val="outset" w:sz="4" w:space="0" w:color="auto"/>
                    </w:tcBorders>
                  </w:tcPr>
                  <w:p w14:paraId="3D13E4EC"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tcPr>
                  <w:p w14:paraId="3F41F7B8" w14:textId="77777777" w:rsidR="00830E72" w:rsidRDefault="00830E72">
                    <w:pPr>
                      <w:rPr>
                        <w:szCs w:val="21"/>
                      </w:rPr>
                    </w:pPr>
                  </w:p>
                </w:tc>
                <w:tc>
                  <w:tcPr>
                    <w:tcW w:w="1152" w:type="pct"/>
                    <w:tcBorders>
                      <w:top w:val="outset" w:sz="4" w:space="0" w:color="auto"/>
                      <w:left w:val="outset" w:sz="4" w:space="0" w:color="auto"/>
                      <w:bottom w:val="outset" w:sz="4" w:space="0" w:color="auto"/>
                      <w:right w:val="outset" w:sz="4" w:space="0" w:color="auto"/>
                    </w:tcBorders>
                  </w:tcPr>
                  <w:p w14:paraId="60C91A58" w14:textId="77777777" w:rsidR="00830E72" w:rsidRDefault="00830E72">
                    <w:pPr>
                      <w:rPr>
                        <w:szCs w:val="21"/>
                      </w:rPr>
                    </w:pPr>
                  </w:p>
                </w:tc>
              </w:tr>
              <w:tr w:rsidR="00830E72" w14:paraId="0D365CB7" w14:textId="77777777">
                <w:sdt>
                  <w:sdtPr>
                    <w:tag w:val="_PLD_82863635c2aa4636ad77b92e44fbd77d"/>
                    <w:id w:val="-509223831"/>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2FAC47BD" w14:textId="77777777" w:rsidR="00830E72" w:rsidRDefault="008344D8">
                        <w:pPr>
                          <w:ind w:firstLineChars="100" w:firstLine="210"/>
                          <w:rPr>
                            <w:color w:val="000000"/>
                            <w:szCs w:val="21"/>
                          </w:rPr>
                        </w:pPr>
                        <w:r>
                          <w:rPr>
                            <w:rFonts w:hint="eastAsia"/>
                            <w:szCs w:val="21"/>
                          </w:rPr>
                          <w:t>销售商品、提供劳务收到的现金</w:t>
                        </w:r>
                      </w:p>
                    </w:tc>
                  </w:sdtContent>
                </w:sdt>
                <w:tc>
                  <w:tcPr>
                    <w:tcW w:w="593" w:type="pct"/>
                    <w:tcBorders>
                      <w:top w:val="outset" w:sz="4" w:space="0" w:color="auto"/>
                      <w:left w:val="outset" w:sz="4" w:space="0" w:color="auto"/>
                      <w:bottom w:val="outset" w:sz="4" w:space="0" w:color="auto"/>
                      <w:right w:val="outset" w:sz="4" w:space="0" w:color="auto"/>
                    </w:tcBorders>
                  </w:tcPr>
                  <w:p w14:paraId="7F48F5EC"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tcPr>
                  <w:p w14:paraId="2D0F5DE4" w14:textId="77777777" w:rsidR="00830E72" w:rsidRDefault="008344D8">
                    <w:pPr>
                      <w:jc w:val="right"/>
                      <w:rPr>
                        <w:szCs w:val="21"/>
                      </w:rPr>
                    </w:pPr>
                    <w:r>
                      <w:rPr>
                        <w:szCs w:val="21"/>
                      </w:rPr>
                      <w:t>1,458,469,905.70</w:t>
                    </w:r>
                  </w:p>
                </w:tc>
                <w:tc>
                  <w:tcPr>
                    <w:tcW w:w="1152" w:type="pct"/>
                    <w:tcBorders>
                      <w:top w:val="outset" w:sz="4" w:space="0" w:color="auto"/>
                      <w:left w:val="outset" w:sz="4" w:space="0" w:color="auto"/>
                      <w:bottom w:val="outset" w:sz="4" w:space="0" w:color="auto"/>
                      <w:right w:val="outset" w:sz="4" w:space="0" w:color="auto"/>
                    </w:tcBorders>
                  </w:tcPr>
                  <w:p w14:paraId="4191B0BF" w14:textId="77777777" w:rsidR="00830E72" w:rsidRDefault="008344D8">
                    <w:pPr>
                      <w:jc w:val="right"/>
                      <w:rPr>
                        <w:szCs w:val="21"/>
                      </w:rPr>
                    </w:pPr>
                    <w:r>
                      <w:t>1,393,687,496.12</w:t>
                    </w:r>
                  </w:p>
                </w:tc>
              </w:tr>
              <w:tr w:rsidR="00830E72" w14:paraId="6F45261A" w14:textId="77777777">
                <w:sdt>
                  <w:sdtPr>
                    <w:tag w:val="_PLD_6f6ba49a98924345bef562f06bfcb294"/>
                    <w:id w:val="-1375546633"/>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798F9D56" w14:textId="77777777" w:rsidR="00830E72" w:rsidRDefault="008344D8">
                        <w:pPr>
                          <w:ind w:firstLineChars="100" w:firstLine="210"/>
                          <w:rPr>
                            <w:color w:val="000000"/>
                            <w:szCs w:val="21"/>
                          </w:rPr>
                        </w:pPr>
                        <w:r>
                          <w:rPr>
                            <w:rFonts w:hint="eastAsia"/>
                            <w:szCs w:val="21"/>
                          </w:rPr>
                          <w:t>收到的税费返还</w:t>
                        </w:r>
                      </w:p>
                    </w:tc>
                  </w:sdtContent>
                </w:sdt>
                <w:tc>
                  <w:tcPr>
                    <w:tcW w:w="593" w:type="pct"/>
                    <w:tcBorders>
                      <w:top w:val="outset" w:sz="4" w:space="0" w:color="auto"/>
                      <w:left w:val="outset" w:sz="4" w:space="0" w:color="auto"/>
                      <w:bottom w:val="outset" w:sz="4" w:space="0" w:color="auto"/>
                      <w:right w:val="outset" w:sz="4" w:space="0" w:color="auto"/>
                    </w:tcBorders>
                  </w:tcPr>
                  <w:p w14:paraId="1593E9AD"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tcPr>
                  <w:p w14:paraId="66784805" w14:textId="77777777" w:rsidR="00830E72" w:rsidRDefault="00830E72">
                    <w:pPr>
                      <w:jc w:val="right"/>
                      <w:rPr>
                        <w:szCs w:val="21"/>
                      </w:rPr>
                    </w:pPr>
                  </w:p>
                </w:tc>
                <w:tc>
                  <w:tcPr>
                    <w:tcW w:w="1152" w:type="pct"/>
                    <w:tcBorders>
                      <w:top w:val="outset" w:sz="4" w:space="0" w:color="auto"/>
                      <w:left w:val="outset" w:sz="4" w:space="0" w:color="auto"/>
                      <w:bottom w:val="outset" w:sz="4" w:space="0" w:color="auto"/>
                      <w:right w:val="outset" w:sz="4" w:space="0" w:color="auto"/>
                    </w:tcBorders>
                  </w:tcPr>
                  <w:p w14:paraId="2F6FCE2B" w14:textId="77777777" w:rsidR="00830E72" w:rsidRDefault="00830E72">
                    <w:pPr>
                      <w:jc w:val="right"/>
                      <w:rPr>
                        <w:szCs w:val="21"/>
                      </w:rPr>
                    </w:pPr>
                  </w:p>
                </w:tc>
              </w:tr>
              <w:tr w:rsidR="00830E72" w14:paraId="61E6CB85" w14:textId="77777777">
                <w:sdt>
                  <w:sdtPr>
                    <w:tag w:val="_PLD_06639b4a021d45c5a9c028b0a988399d"/>
                    <w:id w:val="-257138938"/>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4AD3B585" w14:textId="77777777" w:rsidR="00830E72" w:rsidRDefault="008344D8">
                        <w:pPr>
                          <w:ind w:firstLineChars="100" w:firstLine="210"/>
                          <w:rPr>
                            <w:color w:val="000000"/>
                            <w:szCs w:val="21"/>
                          </w:rPr>
                        </w:pPr>
                        <w:r>
                          <w:rPr>
                            <w:rFonts w:hint="eastAsia"/>
                            <w:szCs w:val="21"/>
                          </w:rPr>
                          <w:t>收到其他与经营活动有关的现金</w:t>
                        </w:r>
                      </w:p>
                    </w:tc>
                  </w:sdtContent>
                </w:sdt>
                <w:tc>
                  <w:tcPr>
                    <w:tcW w:w="593" w:type="pct"/>
                    <w:tcBorders>
                      <w:top w:val="outset" w:sz="4" w:space="0" w:color="auto"/>
                      <w:left w:val="outset" w:sz="4" w:space="0" w:color="auto"/>
                      <w:bottom w:val="outset" w:sz="4" w:space="0" w:color="auto"/>
                      <w:right w:val="outset" w:sz="4" w:space="0" w:color="auto"/>
                    </w:tcBorders>
                  </w:tcPr>
                  <w:p w14:paraId="36E795BF"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tcPr>
                  <w:p w14:paraId="6D687F79" w14:textId="77777777" w:rsidR="00830E72" w:rsidRDefault="008344D8">
                    <w:pPr>
                      <w:jc w:val="right"/>
                      <w:rPr>
                        <w:szCs w:val="21"/>
                      </w:rPr>
                    </w:pPr>
                    <w:r>
                      <w:rPr>
                        <w:szCs w:val="21"/>
                      </w:rPr>
                      <w:t>40,586,334.87</w:t>
                    </w:r>
                  </w:p>
                </w:tc>
                <w:tc>
                  <w:tcPr>
                    <w:tcW w:w="1152" w:type="pct"/>
                    <w:tcBorders>
                      <w:top w:val="outset" w:sz="4" w:space="0" w:color="auto"/>
                      <w:left w:val="outset" w:sz="4" w:space="0" w:color="auto"/>
                      <w:bottom w:val="outset" w:sz="4" w:space="0" w:color="auto"/>
                      <w:right w:val="outset" w:sz="4" w:space="0" w:color="auto"/>
                    </w:tcBorders>
                  </w:tcPr>
                  <w:p w14:paraId="5CEF42E9" w14:textId="77777777" w:rsidR="00830E72" w:rsidRDefault="008344D8">
                    <w:pPr>
                      <w:jc w:val="right"/>
                      <w:rPr>
                        <w:szCs w:val="21"/>
                      </w:rPr>
                    </w:pPr>
                    <w:r>
                      <w:t>9,716,878.42</w:t>
                    </w:r>
                  </w:p>
                </w:tc>
              </w:tr>
              <w:tr w:rsidR="00830E72" w14:paraId="0BED416B" w14:textId="77777777">
                <w:sdt>
                  <w:sdtPr>
                    <w:tag w:val="_PLD_64de81055bc940a3b2e810f08ea30cd0"/>
                    <w:id w:val="-1690062062"/>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6E1A9637" w14:textId="77777777" w:rsidR="00830E72" w:rsidRDefault="008344D8">
                        <w:pPr>
                          <w:ind w:firstLineChars="200" w:firstLine="420"/>
                          <w:rPr>
                            <w:color w:val="000000"/>
                            <w:szCs w:val="21"/>
                          </w:rPr>
                        </w:pPr>
                        <w:r>
                          <w:rPr>
                            <w:rFonts w:hint="eastAsia"/>
                            <w:szCs w:val="21"/>
                          </w:rPr>
                          <w:t>经营活动现金流入小计</w:t>
                        </w:r>
                      </w:p>
                    </w:tc>
                  </w:sdtContent>
                </w:sdt>
                <w:tc>
                  <w:tcPr>
                    <w:tcW w:w="593" w:type="pct"/>
                    <w:tcBorders>
                      <w:top w:val="outset" w:sz="4" w:space="0" w:color="auto"/>
                      <w:left w:val="outset" w:sz="4" w:space="0" w:color="auto"/>
                      <w:bottom w:val="outset" w:sz="4" w:space="0" w:color="auto"/>
                      <w:right w:val="outset" w:sz="4" w:space="0" w:color="auto"/>
                    </w:tcBorders>
                  </w:tcPr>
                  <w:p w14:paraId="0D01A136"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tcPr>
                  <w:p w14:paraId="12925762" w14:textId="77777777" w:rsidR="00830E72" w:rsidRDefault="008344D8">
                    <w:pPr>
                      <w:jc w:val="right"/>
                      <w:rPr>
                        <w:szCs w:val="21"/>
                      </w:rPr>
                    </w:pPr>
                    <w:r>
                      <w:rPr>
                        <w:szCs w:val="21"/>
                      </w:rPr>
                      <w:t>1,499,056,240.57</w:t>
                    </w:r>
                  </w:p>
                </w:tc>
                <w:tc>
                  <w:tcPr>
                    <w:tcW w:w="1152" w:type="pct"/>
                    <w:tcBorders>
                      <w:top w:val="outset" w:sz="4" w:space="0" w:color="auto"/>
                      <w:left w:val="outset" w:sz="4" w:space="0" w:color="auto"/>
                      <w:bottom w:val="outset" w:sz="4" w:space="0" w:color="auto"/>
                      <w:right w:val="outset" w:sz="4" w:space="0" w:color="auto"/>
                    </w:tcBorders>
                  </w:tcPr>
                  <w:p w14:paraId="132EF803" w14:textId="77777777" w:rsidR="00830E72" w:rsidRDefault="008344D8">
                    <w:pPr>
                      <w:jc w:val="right"/>
                      <w:rPr>
                        <w:szCs w:val="21"/>
                      </w:rPr>
                    </w:pPr>
                    <w:r>
                      <w:t>1,403,404,374.54</w:t>
                    </w:r>
                  </w:p>
                </w:tc>
              </w:tr>
              <w:tr w:rsidR="00830E72" w14:paraId="38AD4BB0" w14:textId="77777777">
                <w:sdt>
                  <w:sdtPr>
                    <w:tag w:val="_PLD_9225a8e3c0d04e74be5259e8c6d2c503"/>
                    <w:id w:val="1389606134"/>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27F34D6F" w14:textId="77777777" w:rsidR="00830E72" w:rsidRDefault="008344D8">
                        <w:pPr>
                          <w:ind w:firstLineChars="100" w:firstLine="210"/>
                          <w:rPr>
                            <w:szCs w:val="21"/>
                          </w:rPr>
                        </w:pPr>
                        <w:r>
                          <w:rPr>
                            <w:rFonts w:hint="eastAsia"/>
                            <w:szCs w:val="21"/>
                          </w:rPr>
                          <w:t>购买商品、接受劳务支付的现金</w:t>
                        </w:r>
                      </w:p>
                    </w:tc>
                  </w:sdtContent>
                </w:sdt>
                <w:tc>
                  <w:tcPr>
                    <w:tcW w:w="593" w:type="pct"/>
                    <w:tcBorders>
                      <w:top w:val="outset" w:sz="4" w:space="0" w:color="auto"/>
                      <w:left w:val="outset" w:sz="4" w:space="0" w:color="auto"/>
                      <w:bottom w:val="outset" w:sz="4" w:space="0" w:color="auto"/>
                      <w:right w:val="outset" w:sz="4" w:space="0" w:color="auto"/>
                    </w:tcBorders>
                  </w:tcPr>
                  <w:p w14:paraId="3BEE7191"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tcPr>
                  <w:p w14:paraId="4587A423" w14:textId="77777777" w:rsidR="00830E72" w:rsidRDefault="008344D8">
                    <w:pPr>
                      <w:jc w:val="right"/>
                      <w:rPr>
                        <w:szCs w:val="21"/>
                      </w:rPr>
                    </w:pPr>
                    <w:r>
                      <w:rPr>
                        <w:szCs w:val="21"/>
                      </w:rPr>
                      <w:t>1,349,540,601.45</w:t>
                    </w:r>
                  </w:p>
                </w:tc>
                <w:tc>
                  <w:tcPr>
                    <w:tcW w:w="1152" w:type="pct"/>
                    <w:tcBorders>
                      <w:top w:val="outset" w:sz="4" w:space="0" w:color="auto"/>
                      <w:left w:val="outset" w:sz="4" w:space="0" w:color="auto"/>
                      <w:bottom w:val="outset" w:sz="4" w:space="0" w:color="auto"/>
                      <w:right w:val="outset" w:sz="4" w:space="0" w:color="auto"/>
                    </w:tcBorders>
                  </w:tcPr>
                  <w:p w14:paraId="7FB0B218" w14:textId="77777777" w:rsidR="00830E72" w:rsidRDefault="008344D8">
                    <w:pPr>
                      <w:jc w:val="right"/>
                      <w:rPr>
                        <w:szCs w:val="21"/>
                      </w:rPr>
                    </w:pPr>
                    <w:r>
                      <w:t>1,330,114,007.19</w:t>
                    </w:r>
                  </w:p>
                </w:tc>
              </w:tr>
              <w:tr w:rsidR="00830E72" w14:paraId="6E99A152" w14:textId="77777777">
                <w:sdt>
                  <w:sdtPr>
                    <w:tag w:val="_PLD_3bc74c61fa7a4ba98c9b2ee5eb59820e"/>
                    <w:id w:val="-728769495"/>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6B3D7A46" w14:textId="77777777" w:rsidR="00830E72" w:rsidRDefault="008344D8">
                        <w:pPr>
                          <w:ind w:firstLineChars="100" w:firstLine="210"/>
                          <w:rPr>
                            <w:szCs w:val="21"/>
                          </w:rPr>
                        </w:pPr>
                        <w:r>
                          <w:rPr>
                            <w:rFonts w:hint="eastAsia"/>
                            <w:szCs w:val="21"/>
                          </w:rPr>
                          <w:t>支付给职工及为职工支付的现金</w:t>
                        </w:r>
                      </w:p>
                    </w:tc>
                  </w:sdtContent>
                </w:sdt>
                <w:tc>
                  <w:tcPr>
                    <w:tcW w:w="593" w:type="pct"/>
                    <w:tcBorders>
                      <w:top w:val="outset" w:sz="4" w:space="0" w:color="auto"/>
                      <w:left w:val="outset" w:sz="4" w:space="0" w:color="auto"/>
                      <w:bottom w:val="outset" w:sz="4" w:space="0" w:color="auto"/>
                      <w:right w:val="outset" w:sz="4" w:space="0" w:color="auto"/>
                    </w:tcBorders>
                  </w:tcPr>
                  <w:p w14:paraId="3088B961"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tcPr>
                  <w:p w14:paraId="083C9216" w14:textId="77777777" w:rsidR="00830E72" w:rsidRDefault="008344D8">
                    <w:pPr>
                      <w:jc w:val="right"/>
                      <w:rPr>
                        <w:szCs w:val="21"/>
                      </w:rPr>
                    </w:pPr>
                    <w:r>
                      <w:rPr>
                        <w:szCs w:val="21"/>
                      </w:rPr>
                      <w:t>73,288,158.98</w:t>
                    </w:r>
                  </w:p>
                </w:tc>
                <w:tc>
                  <w:tcPr>
                    <w:tcW w:w="1152" w:type="pct"/>
                    <w:tcBorders>
                      <w:top w:val="outset" w:sz="4" w:space="0" w:color="auto"/>
                      <w:left w:val="outset" w:sz="4" w:space="0" w:color="auto"/>
                      <w:bottom w:val="outset" w:sz="4" w:space="0" w:color="auto"/>
                      <w:right w:val="outset" w:sz="4" w:space="0" w:color="auto"/>
                    </w:tcBorders>
                  </w:tcPr>
                  <w:p w14:paraId="16BD1349" w14:textId="77777777" w:rsidR="00830E72" w:rsidRDefault="008344D8">
                    <w:pPr>
                      <w:jc w:val="right"/>
                      <w:rPr>
                        <w:szCs w:val="21"/>
                      </w:rPr>
                    </w:pPr>
                    <w:r>
                      <w:t>57,478,680.67</w:t>
                    </w:r>
                  </w:p>
                </w:tc>
              </w:tr>
              <w:tr w:rsidR="00830E72" w14:paraId="02F0C934" w14:textId="77777777">
                <w:sdt>
                  <w:sdtPr>
                    <w:tag w:val="_PLD_336b8ff4ff8840c58c0c9f99f358310c"/>
                    <w:id w:val="-206031615"/>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16CEC3C6" w14:textId="77777777" w:rsidR="00830E72" w:rsidRDefault="008344D8">
                        <w:pPr>
                          <w:ind w:firstLineChars="100" w:firstLine="210"/>
                          <w:rPr>
                            <w:szCs w:val="21"/>
                          </w:rPr>
                        </w:pPr>
                        <w:r>
                          <w:rPr>
                            <w:rFonts w:hint="eastAsia"/>
                            <w:szCs w:val="21"/>
                          </w:rPr>
                          <w:t>支付的各项税费</w:t>
                        </w:r>
                      </w:p>
                    </w:tc>
                  </w:sdtContent>
                </w:sdt>
                <w:tc>
                  <w:tcPr>
                    <w:tcW w:w="593" w:type="pct"/>
                    <w:tcBorders>
                      <w:top w:val="outset" w:sz="4" w:space="0" w:color="auto"/>
                      <w:left w:val="outset" w:sz="4" w:space="0" w:color="auto"/>
                      <w:bottom w:val="outset" w:sz="4" w:space="0" w:color="auto"/>
                      <w:right w:val="outset" w:sz="4" w:space="0" w:color="auto"/>
                    </w:tcBorders>
                  </w:tcPr>
                  <w:p w14:paraId="15393582"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tcPr>
                  <w:p w14:paraId="4EC68701" w14:textId="77777777" w:rsidR="00830E72" w:rsidRDefault="008344D8">
                    <w:pPr>
                      <w:jc w:val="right"/>
                      <w:rPr>
                        <w:szCs w:val="21"/>
                      </w:rPr>
                    </w:pPr>
                    <w:r>
                      <w:rPr>
                        <w:szCs w:val="21"/>
                      </w:rPr>
                      <w:t>29,764,381.69</w:t>
                    </w:r>
                  </w:p>
                </w:tc>
                <w:tc>
                  <w:tcPr>
                    <w:tcW w:w="1152" w:type="pct"/>
                    <w:tcBorders>
                      <w:top w:val="outset" w:sz="4" w:space="0" w:color="auto"/>
                      <w:left w:val="outset" w:sz="4" w:space="0" w:color="auto"/>
                      <w:bottom w:val="outset" w:sz="4" w:space="0" w:color="auto"/>
                      <w:right w:val="outset" w:sz="4" w:space="0" w:color="auto"/>
                    </w:tcBorders>
                  </w:tcPr>
                  <w:p w14:paraId="313615D8" w14:textId="77777777" w:rsidR="00830E72" w:rsidRDefault="008344D8">
                    <w:pPr>
                      <w:jc w:val="right"/>
                      <w:rPr>
                        <w:szCs w:val="21"/>
                      </w:rPr>
                    </w:pPr>
                    <w:r>
                      <w:t>39,332,578.65</w:t>
                    </w:r>
                  </w:p>
                </w:tc>
              </w:tr>
              <w:tr w:rsidR="00830E72" w14:paraId="292BF2B1" w14:textId="77777777">
                <w:sdt>
                  <w:sdtPr>
                    <w:tag w:val="_PLD_6ca36b1e8aed4dcf8f2b3a0daeff07e6"/>
                    <w:id w:val="-44144319"/>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6A63792D" w14:textId="77777777" w:rsidR="00830E72" w:rsidRDefault="008344D8">
                        <w:pPr>
                          <w:ind w:firstLineChars="100" w:firstLine="210"/>
                          <w:rPr>
                            <w:szCs w:val="21"/>
                          </w:rPr>
                        </w:pPr>
                        <w:r>
                          <w:rPr>
                            <w:rFonts w:hint="eastAsia"/>
                            <w:szCs w:val="21"/>
                          </w:rPr>
                          <w:t>支付其他与经营活动有关的现金</w:t>
                        </w:r>
                      </w:p>
                    </w:tc>
                  </w:sdtContent>
                </w:sdt>
                <w:tc>
                  <w:tcPr>
                    <w:tcW w:w="593" w:type="pct"/>
                    <w:tcBorders>
                      <w:top w:val="outset" w:sz="4" w:space="0" w:color="auto"/>
                      <w:left w:val="outset" w:sz="4" w:space="0" w:color="auto"/>
                      <w:bottom w:val="outset" w:sz="4" w:space="0" w:color="auto"/>
                      <w:right w:val="outset" w:sz="4" w:space="0" w:color="auto"/>
                    </w:tcBorders>
                  </w:tcPr>
                  <w:p w14:paraId="052C906A"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tcPr>
                  <w:p w14:paraId="19ACED8E" w14:textId="77777777" w:rsidR="00830E72" w:rsidRDefault="008344D8">
                    <w:pPr>
                      <w:jc w:val="right"/>
                      <w:rPr>
                        <w:szCs w:val="21"/>
                      </w:rPr>
                    </w:pPr>
                    <w:r>
                      <w:rPr>
                        <w:szCs w:val="21"/>
                      </w:rPr>
                      <w:t>169,459,421.13</w:t>
                    </w:r>
                  </w:p>
                </w:tc>
                <w:tc>
                  <w:tcPr>
                    <w:tcW w:w="1152" w:type="pct"/>
                    <w:tcBorders>
                      <w:top w:val="outset" w:sz="4" w:space="0" w:color="auto"/>
                      <w:left w:val="outset" w:sz="4" w:space="0" w:color="auto"/>
                      <w:bottom w:val="outset" w:sz="4" w:space="0" w:color="auto"/>
                      <w:right w:val="outset" w:sz="4" w:space="0" w:color="auto"/>
                    </w:tcBorders>
                  </w:tcPr>
                  <w:p w14:paraId="1A221929" w14:textId="77777777" w:rsidR="00830E72" w:rsidRDefault="008344D8">
                    <w:pPr>
                      <w:jc w:val="right"/>
                      <w:rPr>
                        <w:szCs w:val="21"/>
                      </w:rPr>
                    </w:pPr>
                    <w:r>
                      <w:t>105,757,585.36</w:t>
                    </w:r>
                  </w:p>
                </w:tc>
              </w:tr>
              <w:tr w:rsidR="00830E72" w14:paraId="47470876" w14:textId="77777777">
                <w:sdt>
                  <w:sdtPr>
                    <w:tag w:val="_PLD_340429c1d7014fa58e9b7238e10cefc6"/>
                    <w:id w:val="-2033019373"/>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160A3E01" w14:textId="77777777" w:rsidR="00830E72" w:rsidRDefault="008344D8">
                        <w:pPr>
                          <w:ind w:firstLineChars="200" w:firstLine="420"/>
                          <w:rPr>
                            <w:color w:val="000000"/>
                            <w:szCs w:val="21"/>
                          </w:rPr>
                        </w:pPr>
                        <w:r>
                          <w:rPr>
                            <w:rFonts w:hint="eastAsia"/>
                            <w:szCs w:val="21"/>
                          </w:rPr>
                          <w:t>经营活动现金流出小计</w:t>
                        </w:r>
                      </w:p>
                    </w:tc>
                  </w:sdtContent>
                </w:sdt>
                <w:tc>
                  <w:tcPr>
                    <w:tcW w:w="593" w:type="pct"/>
                    <w:tcBorders>
                      <w:top w:val="outset" w:sz="4" w:space="0" w:color="auto"/>
                      <w:left w:val="outset" w:sz="4" w:space="0" w:color="auto"/>
                      <w:bottom w:val="outset" w:sz="4" w:space="0" w:color="auto"/>
                      <w:right w:val="outset" w:sz="4" w:space="0" w:color="auto"/>
                    </w:tcBorders>
                  </w:tcPr>
                  <w:p w14:paraId="21F96DB4"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tcPr>
                  <w:p w14:paraId="78F254D9" w14:textId="77777777" w:rsidR="00830E72" w:rsidRDefault="008344D8">
                    <w:pPr>
                      <w:jc w:val="right"/>
                      <w:rPr>
                        <w:szCs w:val="21"/>
                      </w:rPr>
                    </w:pPr>
                    <w:r>
                      <w:rPr>
                        <w:szCs w:val="21"/>
                      </w:rPr>
                      <w:t>1,622,052,563.25</w:t>
                    </w:r>
                  </w:p>
                </w:tc>
                <w:tc>
                  <w:tcPr>
                    <w:tcW w:w="1152" w:type="pct"/>
                    <w:tcBorders>
                      <w:top w:val="outset" w:sz="4" w:space="0" w:color="auto"/>
                      <w:left w:val="outset" w:sz="4" w:space="0" w:color="auto"/>
                      <w:bottom w:val="outset" w:sz="4" w:space="0" w:color="auto"/>
                      <w:right w:val="outset" w:sz="4" w:space="0" w:color="auto"/>
                    </w:tcBorders>
                  </w:tcPr>
                  <w:p w14:paraId="03AE0D76" w14:textId="77777777" w:rsidR="00830E72" w:rsidRDefault="008344D8">
                    <w:pPr>
                      <w:jc w:val="right"/>
                      <w:rPr>
                        <w:szCs w:val="21"/>
                      </w:rPr>
                    </w:pPr>
                    <w:r>
                      <w:t>1,532,682,851.87</w:t>
                    </w:r>
                  </w:p>
                </w:tc>
              </w:tr>
              <w:tr w:rsidR="00830E72" w14:paraId="3B6B090D" w14:textId="77777777">
                <w:sdt>
                  <w:sdtPr>
                    <w:tag w:val="_PLD_61f55569c4e04d6a8c94438f8ecb1122"/>
                    <w:id w:val="116881262"/>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0B1C713C" w14:textId="77777777" w:rsidR="00830E72" w:rsidRDefault="008344D8">
                        <w:pPr>
                          <w:ind w:firstLineChars="100" w:firstLine="210"/>
                          <w:rPr>
                            <w:color w:val="000000"/>
                            <w:szCs w:val="21"/>
                          </w:rPr>
                        </w:pPr>
                        <w:r>
                          <w:rPr>
                            <w:rFonts w:hint="eastAsia"/>
                            <w:szCs w:val="21"/>
                          </w:rPr>
                          <w:t>经营活动产生的现金流量净额</w:t>
                        </w:r>
                      </w:p>
                    </w:tc>
                  </w:sdtContent>
                </w:sdt>
                <w:tc>
                  <w:tcPr>
                    <w:tcW w:w="593" w:type="pct"/>
                    <w:tcBorders>
                      <w:top w:val="outset" w:sz="4" w:space="0" w:color="auto"/>
                      <w:left w:val="outset" w:sz="4" w:space="0" w:color="auto"/>
                      <w:bottom w:val="outset" w:sz="4" w:space="0" w:color="auto"/>
                      <w:right w:val="outset" w:sz="4" w:space="0" w:color="auto"/>
                    </w:tcBorders>
                  </w:tcPr>
                  <w:p w14:paraId="5D30C085"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tcPr>
                  <w:p w14:paraId="32569139" w14:textId="77777777" w:rsidR="00830E72" w:rsidRDefault="008344D8">
                    <w:pPr>
                      <w:jc w:val="right"/>
                      <w:rPr>
                        <w:szCs w:val="21"/>
                      </w:rPr>
                    </w:pPr>
                    <w:r>
                      <w:rPr>
                        <w:szCs w:val="21"/>
                      </w:rPr>
                      <w:t>-122,996,322.68</w:t>
                    </w:r>
                  </w:p>
                </w:tc>
                <w:tc>
                  <w:tcPr>
                    <w:tcW w:w="1152" w:type="pct"/>
                    <w:tcBorders>
                      <w:top w:val="outset" w:sz="4" w:space="0" w:color="auto"/>
                      <w:left w:val="outset" w:sz="4" w:space="0" w:color="auto"/>
                      <w:bottom w:val="outset" w:sz="4" w:space="0" w:color="auto"/>
                      <w:right w:val="outset" w:sz="4" w:space="0" w:color="auto"/>
                    </w:tcBorders>
                  </w:tcPr>
                  <w:p w14:paraId="3E0E088E" w14:textId="77777777" w:rsidR="00830E72" w:rsidRDefault="008344D8">
                    <w:pPr>
                      <w:jc w:val="right"/>
                      <w:rPr>
                        <w:szCs w:val="21"/>
                      </w:rPr>
                    </w:pPr>
                    <w:r>
                      <w:t>-129,278,477.33</w:t>
                    </w:r>
                  </w:p>
                </w:tc>
              </w:tr>
              <w:tr w:rsidR="00830E72" w14:paraId="25766C89" w14:textId="77777777">
                <w:sdt>
                  <w:sdtPr>
                    <w:tag w:val="_PLD_8f9190ce4227402ab02ac6431a00b46e"/>
                    <w:id w:val="-1698612811"/>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14470CEB" w14:textId="77777777" w:rsidR="00830E72" w:rsidRDefault="008344D8">
                        <w:pPr>
                          <w:rPr>
                            <w:color w:val="000000"/>
                            <w:szCs w:val="21"/>
                          </w:rPr>
                        </w:pPr>
                        <w:r>
                          <w:rPr>
                            <w:rFonts w:hint="eastAsia"/>
                            <w:b/>
                            <w:bCs/>
                            <w:szCs w:val="21"/>
                          </w:rPr>
                          <w:t>二、投资活动产生的现金流量：</w:t>
                        </w:r>
                      </w:p>
                    </w:tc>
                  </w:sdtContent>
                </w:sdt>
                <w:tc>
                  <w:tcPr>
                    <w:tcW w:w="593" w:type="pct"/>
                    <w:tcBorders>
                      <w:top w:val="outset" w:sz="4" w:space="0" w:color="auto"/>
                      <w:left w:val="outset" w:sz="4" w:space="0" w:color="auto"/>
                      <w:bottom w:val="outset" w:sz="4" w:space="0" w:color="auto"/>
                      <w:right w:val="outset" w:sz="4" w:space="0" w:color="auto"/>
                    </w:tcBorders>
                  </w:tcPr>
                  <w:p w14:paraId="04C75B02" w14:textId="77777777" w:rsidR="00830E72" w:rsidRDefault="00830E72">
                    <w:pPr>
                      <w:rPr>
                        <w:color w:val="008000"/>
                        <w:szCs w:val="21"/>
                      </w:rPr>
                    </w:pPr>
                  </w:p>
                </w:tc>
                <w:tc>
                  <w:tcPr>
                    <w:tcW w:w="1158" w:type="pct"/>
                    <w:tcBorders>
                      <w:top w:val="outset" w:sz="4" w:space="0" w:color="auto"/>
                      <w:left w:val="outset" w:sz="4" w:space="0" w:color="auto"/>
                      <w:bottom w:val="outset" w:sz="4" w:space="0" w:color="auto"/>
                      <w:right w:val="outset" w:sz="4" w:space="0" w:color="auto"/>
                    </w:tcBorders>
                  </w:tcPr>
                  <w:p w14:paraId="6EFB01B6" w14:textId="77777777" w:rsidR="00830E72" w:rsidRDefault="00830E72">
                    <w:pPr>
                      <w:jc w:val="right"/>
                      <w:rPr>
                        <w:color w:val="008000"/>
                        <w:szCs w:val="21"/>
                      </w:rPr>
                    </w:pPr>
                  </w:p>
                </w:tc>
                <w:tc>
                  <w:tcPr>
                    <w:tcW w:w="1152" w:type="pct"/>
                    <w:tcBorders>
                      <w:top w:val="outset" w:sz="4" w:space="0" w:color="auto"/>
                      <w:left w:val="outset" w:sz="4" w:space="0" w:color="auto"/>
                      <w:bottom w:val="outset" w:sz="4" w:space="0" w:color="auto"/>
                      <w:right w:val="outset" w:sz="4" w:space="0" w:color="auto"/>
                    </w:tcBorders>
                  </w:tcPr>
                  <w:p w14:paraId="2E7DA6D8" w14:textId="77777777" w:rsidR="00830E72" w:rsidRDefault="00830E72">
                    <w:pPr>
                      <w:jc w:val="right"/>
                      <w:rPr>
                        <w:color w:val="008000"/>
                        <w:szCs w:val="21"/>
                      </w:rPr>
                    </w:pPr>
                  </w:p>
                </w:tc>
              </w:tr>
              <w:tr w:rsidR="00830E72" w14:paraId="26006854" w14:textId="77777777">
                <w:sdt>
                  <w:sdtPr>
                    <w:tag w:val="_PLD_beb5ade569574a3c87ebe15ef758047a"/>
                    <w:id w:val="-1323348026"/>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4B2E82DC" w14:textId="77777777" w:rsidR="00830E72" w:rsidRDefault="008344D8">
                        <w:pPr>
                          <w:ind w:firstLineChars="100" w:firstLine="210"/>
                          <w:rPr>
                            <w:szCs w:val="21"/>
                          </w:rPr>
                        </w:pPr>
                        <w:r>
                          <w:rPr>
                            <w:rFonts w:hint="eastAsia"/>
                            <w:szCs w:val="21"/>
                          </w:rPr>
                          <w:t>收回投资收到的现金</w:t>
                        </w:r>
                      </w:p>
                    </w:tc>
                  </w:sdtContent>
                </w:sdt>
                <w:tc>
                  <w:tcPr>
                    <w:tcW w:w="593" w:type="pct"/>
                    <w:tcBorders>
                      <w:top w:val="outset" w:sz="4" w:space="0" w:color="auto"/>
                      <w:left w:val="outset" w:sz="4" w:space="0" w:color="auto"/>
                      <w:bottom w:val="outset" w:sz="4" w:space="0" w:color="auto"/>
                      <w:right w:val="outset" w:sz="4" w:space="0" w:color="auto"/>
                    </w:tcBorders>
                  </w:tcPr>
                  <w:p w14:paraId="525F0983"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tcPr>
                  <w:p w14:paraId="22FCCD65" w14:textId="77777777" w:rsidR="00830E72" w:rsidRDefault="00830E72">
                    <w:pPr>
                      <w:jc w:val="right"/>
                      <w:rPr>
                        <w:szCs w:val="21"/>
                      </w:rPr>
                    </w:pPr>
                  </w:p>
                </w:tc>
                <w:tc>
                  <w:tcPr>
                    <w:tcW w:w="1152" w:type="pct"/>
                    <w:tcBorders>
                      <w:top w:val="outset" w:sz="4" w:space="0" w:color="auto"/>
                      <w:left w:val="outset" w:sz="4" w:space="0" w:color="auto"/>
                      <w:bottom w:val="outset" w:sz="4" w:space="0" w:color="auto"/>
                      <w:right w:val="outset" w:sz="4" w:space="0" w:color="auto"/>
                    </w:tcBorders>
                  </w:tcPr>
                  <w:p w14:paraId="57605742" w14:textId="77777777" w:rsidR="00830E72" w:rsidRDefault="00830E72">
                    <w:pPr>
                      <w:jc w:val="right"/>
                      <w:rPr>
                        <w:szCs w:val="21"/>
                      </w:rPr>
                    </w:pPr>
                  </w:p>
                </w:tc>
              </w:tr>
              <w:tr w:rsidR="00830E72" w14:paraId="46A8A3FF" w14:textId="77777777">
                <w:sdt>
                  <w:sdtPr>
                    <w:tag w:val="_PLD_3a0ffc6a5d6f4279bf5f479f6d37fa63"/>
                    <w:id w:val="1396856522"/>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78AF20D3" w14:textId="77777777" w:rsidR="00830E72" w:rsidRDefault="008344D8">
                        <w:pPr>
                          <w:ind w:firstLineChars="100" w:firstLine="210"/>
                          <w:rPr>
                            <w:szCs w:val="21"/>
                          </w:rPr>
                        </w:pPr>
                        <w:r>
                          <w:rPr>
                            <w:rFonts w:hint="eastAsia"/>
                            <w:szCs w:val="21"/>
                          </w:rPr>
                          <w:t>取得投资收益收到的现金</w:t>
                        </w:r>
                      </w:p>
                    </w:tc>
                  </w:sdtContent>
                </w:sdt>
                <w:tc>
                  <w:tcPr>
                    <w:tcW w:w="593" w:type="pct"/>
                    <w:tcBorders>
                      <w:top w:val="outset" w:sz="4" w:space="0" w:color="auto"/>
                      <w:left w:val="outset" w:sz="4" w:space="0" w:color="auto"/>
                      <w:bottom w:val="outset" w:sz="4" w:space="0" w:color="auto"/>
                      <w:right w:val="outset" w:sz="4" w:space="0" w:color="auto"/>
                    </w:tcBorders>
                  </w:tcPr>
                  <w:p w14:paraId="718B3556"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tcPr>
                  <w:p w14:paraId="048A19A9" w14:textId="77777777" w:rsidR="00830E72" w:rsidRDefault="00830E72">
                    <w:pPr>
                      <w:jc w:val="right"/>
                      <w:rPr>
                        <w:szCs w:val="21"/>
                      </w:rPr>
                    </w:pPr>
                  </w:p>
                </w:tc>
                <w:tc>
                  <w:tcPr>
                    <w:tcW w:w="1152" w:type="pct"/>
                    <w:tcBorders>
                      <w:top w:val="outset" w:sz="4" w:space="0" w:color="auto"/>
                      <w:left w:val="outset" w:sz="4" w:space="0" w:color="auto"/>
                      <w:bottom w:val="outset" w:sz="4" w:space="0" w:color="auto"/>
                      <w:right w:val="outset" w:sz="4" w:space="0" w:color="auto"/>
                    </w:tcBorders>
                  </w:tcPr>
                  <w:p w14:paraId="41070DC9" w14:textId="77777777" w:rsidR="00830E72" w:rsidRDefault="00830E72">
                    <w:pPr>
                      <w:jc w:val="right"/>
                      <w:rPr>
                        <w:szCs w:val="21"/>
                      </w:rPr>
                    </w:pPr>
                  </w:p>
                </w:tc>
              </w:tr>
              <w:tr w:rsidR="00830E72" w14:paraId="17C7D3FD" w14:textId="77777777">
                <w:sdt>
                  <w:sdtPr>
                    <w:tag w:val="_PLD_ab86d628c73648de84f4c45b64cce1a7"/>
                    <w:id w:val="-230536177"/>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4EA84E85" w14:textId="77777777" w:rsidR="00830E72" w:rsidRDefault="008344D8">
                        <w:pPr>
                          <w:ind w:firstLineChars="100" w:firstLine="210"/>
                          <w:rPr>
                            <w:szCs w:val="21"/>
                          </w:rPr>
                        </w:pPr>
                        <w:r>
                          <w:rPr>
                            <w:rFonts w:hint="eastAsia"/>
                            <w:szCs w:val="21"/>
                          </w:rPr>
                          <w:t>处置固定资产、无形资产和其他长期资产收回的现金净额</w:t>
                        </w:r>
                      </w:p>
                    </w:tc>
                  </w:sdtContent>
                </w:sdt>
                <w:tc>
                  <w:tcPr>
                    <w:tcW w:w="593" w:type="pct"/>
                    <w:tcBorders>
                      <w:top w:val="outset" w:sz="4" w:space="0" w:color="auto"/>
                      <w:left w:val="outset" w:sz="4" w:space="0" w:color="auto"/>
                      <w:bottom w:val="outset" w:sz="4" w:space="0" w:color="auto"/>
                      <w:right w:val="outset" w:sz="4" w:space="0" w:color="auto"/>
                    </w:tcBorders>
                  </w:tcPr>
                  <w:p w14:paraId="29D918D6"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089A9F64" w14:textId="77777777" w:rsidR="00830E72" w:rsidRDefault="008344D8">
                    <w:pPr>
                      <w:jc w:val="right"/>
                      <w:rPr>
                        <w:szCs w:val="21"/>
                      </w:rPr>
                    </w:pPr>
                    <w:r>
                      <w:rPr>
                        <w:szCs w:val="21"/>
                      </w:rPr>
                      <w:t>230,216.00</w:t>
                    </w:r>
                  </w:p>
                </w:tc>
                <w:tc>
                  <w:tcPr>
                    <w:tcW w:w="1152" w:type="pct"/>
                    <w:tcBorders>
                      <w:top w:val="outset" w:sz="4" w:space="0" w:color="auto"/>
                      <w:left w:val="outset" w:sz="4" w:space="0" w:color="auto"/>
                      <w:bottom w:val="outset" w:sz="4" w:space="0" w:color="auto"/>
                      <w:right w:val="outset" w:sz="4" w:space="0" w:color="auto"/>
                    </w:tcBorders>
                    <w:vAlign w:val="center"/>
                  </w:tcPr>
                  <w:p w14:paraId="2EE1640B" w14:textId="77777777" w:rsidR="00830E72" w:rsidRDefault="00830E72">
                    <w:pPr>
                      <w:jc w:val="right"/>
                      <w:rPr>
                        <w:szCs w:val="21"/>
                      </w:rPr>
                    </w:pPr>
                  </w:p>
                </w:tc>
              </w:tr>
              <w:tr w:rsidR="00830E72" w14:paraId="032CBFF0" w14:textId="77777777">
                <w:sdt>
                  <w:sdtPr>
                    <w:tag w:val="_PLD_21334c9538694cfcadc2b7850ff168f3"/>
                    <w:id w:val="224570075"/>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681C4A27" w14:textId="77777777" w:rsidR="00830E72" w:rsidRDefault="008344D8">
                        <w:pPr>
                          <w:ind w:firstLineChars="100" w:firstLine="210"/>
                          <w:rPr>
                            <w:szCs w:val="21"/>
                          </w:rPr>
                        </w:pPr>
                        <w:r>
                          <w:rPr>
                            <w:rFonts w:hint="eastAsia"/>
                            <w:szCs w:val="21"/>
                          </w:rPr>
                          <w:t>处置子公司及其他营业单位收到的现金净额</w:t>
                        </w:r>
                      </w:p>
                    </w:tc>
                  </w:sdtContent>
                </w:sdt>
                <w:tc>
                  <w:tcPr>
                    <w:tcW w:w="593" w:type="pct"/>
                    <w:tcBorders>
                      <w:top w:val="outset" w:sz="4" w:space="0" w:color="auto"/>
                      <w:left w:val="outset" w:sz="4" w:space="0" w:color="auto"/>
                      <w:bottom w:val="outset" w:sz="4" w:space="0" w:color="auto"/>
                      <w:right w:val="outset" w:sz="4" w:space="0" w:color="auto"/>
                    </w:tcBorders>
                  </w:tcPr>
                  <w:p w14:paraId="2055B1AE"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128E2F30" w14:textId="77777777" w:rsidR="00830E72" w:rsidRDefault="00830E72">
                    <w:pPr>
                      <w:jc w:val="right"/>
                      <w:rPr>
                        <w:szCs w:val="21"/>
                      </w:rPr>
                    </w:pPr>
                  </w:p>
                </w:tc>
                <w:tc>
                  <w:tcPr>
                    <w:tcW w:w="1152" w:type="pct"/>
                    <w:tcBorders>
                      <w:top w:val="outset" w:sz="4" w:space="0" w:color="auto"/>
                      <w:left w:val="outset" w:sz="4" w:space="0" w:color="auto"/>
                      <w:bottom w:val="outset" w:sz="4" w:space="0" w:color="auto"/>
                      <w:right w:val="outset" w:sz="4" w:space="0" w:color="auto"/>
                    </w:tcBorders>
                    <w:vAlign w:val="center"/>
                  </w:tcPr>
                  <w:p w14:paraId="73B50925" w14:textId="77777777" w:rsidR="00830E72" w:rsidRDefault="00830E72">
                    <w:pPr>
                      <w:jc w:val="right"/>
                      <w:rPr>
                        <w:szCs w:val="21"/>
                      </w:rPr>
                    </w:pPr>
                  </w:p>
                </w:tc>
              </w:tr>
              <w:tr w:rsidR="00830E72" w14:paraId="1994FE0F" w14:textId="77777777">
                <w:sdt>
                  <w:sdtPr>
                    <w:tag w:val="_PLD_1bbc06129d1649f69097b53902bcb183"/>
                    <w:id w:val="-1459330140"/>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66CC1873" w14:textId="77777777" w:rsidR="00830E72" w:rsidRDefault="008344D8">
                        <w:pPr>
                          <w:ind w:firstLineChars="100" w:firstLine="210"/>
                          <w:rPr>
                            <w:szCs w:val="21"/>
                          </w:rPr>
                        </w:pPr>
                        <w:r>
                          <w:rPr>
                            <w:rFonts w:hint="eastAsia"/>
                            <w:szCs w:val="21"/>
                          </w:rPr>
                          <w:t>收到其他与投资活动有关的现金</w:t>
                        </w:r>
                      </w:p>
                    </w:tc>
                  </w:sdtContent>
                </w:sdt>
                <w:tc>
                  <w:tcPr>
                    <w:tcW w:w="593" w:type="pct"/>
                    <w:tcBorders>
                      <w:top w:val="outset" w:sz="4" w:space="0" w:color="auto"/>
                      <w:left w:val="outset" w:sz="4" w:space="0" w:color="auto"/>
                      <w:bottom w:val="outset" w:sz="4" w:space="0" w:color="auto"/>
                      <w:right w:val="outset" w:sz="4" w:space="0" w:color="auto"/>
                    </w:tcBorders>
                  </w:tcPr>
                  <w:p w14:paraId="3ED2F1CF"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3D93709C" w14:textId="77777777" w:rsidR="00830E72" w:rsidRDefault="008344D8">
                    <w:pPr>
                      <w:jc w:val="right"/>
                      <w:rPr>
                        <w:szCs w:val="21"/>
                      </w:rPr>
                    </w:pPr>
                    <w:r>
                      <w:rPr>
                        <w:szCs w:val="21"/>
                      </w:rPr>
                      <w:t>1,321,487.20</w:t>
                    </w:r>
                  </w:p>
                </w:tc>
                <w:tc>
                  <w:tcPr>
                    <w:tcW w:w="1152" w:type="pct"/>
                    <w:tcBorders>
                      <w:top w:val="outset" w:sz="4" w:space="0" w:color="auto"/>
                      <w:left w:val="outset" w:sz="4" w:space="0" w:color="auto"/>
                      <w:bottom w:val="outset" w:sz="4" w:space="0" w:color="auto"/>
                      <w:right w:val="outset" w:sz="4" w:space="0" w:color="auto"/>
                    </w:tcBorders>
                    <w:vAlign w:val="center"/>
                  </w:tcPr>
                  <w:p w14:paraId="5C53E56A" w14:textId="77777777" w:rsidR="00830E72" w:rsidRDefault="008344D8">
                    <w:pPr>
                      <w:jc w:val="right"/>
                      <w:rPr>
                        <w:szCs w:val="21"/>
                      </w:rPr>
                    </w:pPr>
                    <w:r>
                      <w:t>1,528,187.34</w:t>
                    </w:r>
                  </w:p>
                </w:tc>
              </w:tr>
              <w:tr w:rsidR="00830E72" w14:paraId="671B5489" w14:textId="77777777">
                <w:sdt>
                  <w:sdtPr>
                    <w:tag w:val="_PLD_7d740284844e4f809679ef6bb77b25bc"/>
                    <w:id w:val="-419718846"/>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03E3442B" w14:textId="77777777" w:rsidR="00830E72" w:rsidRDefault="008344D8">
                        <w:pPr>
                          <w:ind w:firstLineChars="200" w:firstLine="420"/>
                          <w:rPr>
                            <w:color w:val="000000"/>
                            <w:szCs w:val="21"/>
                          </w:rPr>
                        </w:pPr>
                        <w:r>
                          <w:rPr>
                            <w:rFonts w:hint="eastAsia"/>
                            <w:szCs w:val="21"/>
                          </w:rPr>
                          <w:t>投资活动现金流入小计</w:t>
                        </w:r>
                      </w:p>
                    </w:tc>
                  </w:sdtContent>
                </w:sdt>
                <w:tc>
                  <w:tcPr>
                    <w:tcW w:w="593" w:type="pct"/>
                    <w:tcBorders>
                      <w:top w:val="outset" w:sz="4" w:space="0" w:color="auto"/>
                      <w:left w:val="outset" w:sz="4" w:space="0" w:color="auto"/>
                      <w:bottom w:val="outset" w:sz="4" w:space="0" w:color="auto"/>
                      <w:right w:val="outset" w:sz="4" w:space="0" w:color="auto"/>
                    </w:tcBorders>
                  </w:tcPr>
                  <w:p w14:paraId="40BADA5F"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5B58438E" w14:textId="77777777" w:rsidR="00830E72" w:rsidRDefault="008344D8">
                    <w:pPr>
                      <w:jc w:val="right"/>
                      <w:rPr>
                        <w:szCs w:val="21"/>
                      </w:rPr>
                    </w:pPr>
                    <w:r>
                      <w:rPr>
                        <w:szCs w:val="21"/>
                      </w:rPr>
                      <w:t>1,551,703.20</w:t>
                    </w:r>
                  </w:p>
                </w:tc>
                <w:tc>
                  <w:tcPr>
                    <w:tcW w:w="1152" w:type="pct"/>
                    <w:tcBorders>
                      <w:top w:val="outset" w:sz="4" w:space="0" w:color="auto"/>
                      <w:left w:val="outset" w:sz="4" w:space="0" w:color="auto"/>
                      <w:bottom w:val="outset" w:sz="4" w:space="0" w:color="auto"/>
                      <w:right w:val="outset" w:sz="4" w:space="0" w:color="auto"/>
                    </w:tcBorders>
                    <w:vAlign w:val="center"/>
                  </w:tcPr>
                  <w:p w14:paraId="64247EA4" w14:textId="77777777" w:rsidR="00830E72" w:rsidRDefault="008344D8">
                    <w:pPr>
                      <w:jc w:val="right"/>
                      <w:rPr>
                        <w:szCs w:val="21"/>
                      </w:rPr>
                    </w:pPr>
                    <w:r>
                      <w:t>1,528,187.34</w:t>
                    </w:r>
                  </w:p>
                </w:tc>
              </w:tr>
              <w:tr w:rsidR="00830E72" w14:paraId="6996A7B5" w14:textId="77777777">
                <w:sdt>
                  <w:sdtPr>
                    <w:tag w:val="_PLD_62fef635400a49fdab7a94e37c70f56f"/>
                    <w:id w:val="745157373"/>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1E86E862" w14:textId="77777777" w:rsidR="00830E72" w:rsidRDefault="008344D8">
                        <w:pPr>
                          <w:ind w:firstLineChars="100" w:firstLine="210"/>
                          <w:rPr>
                            <w:szCs w:val="21"/>
                          </w:rPr>
                        </w:pPr>
                        <w:r>
                          <w:rPr>
                            <w:rFonts w:hint="eastAsia"/>
                            <w:szCs w:val="21"/>
                          </w:rPr>
                          <w:t>购建固定资产、无形资产和其他长期资产支付的现金</w:t>
                        </w:r>
                      </w:p>
                    </w:tc>
                  </w:sdtContent>
                </w:sdt>
                <w:tc>
                  <w:tcPr>
                    <w:tcW w:w="593" w:type="pct"/>
                    <w:tcBorders>
                      <w:top w:val="outset" w:sz="4" w:space="0" w:color="auto"/>
                      <w:left w:val="outset" w:sz="4" w:space="0" w:color="auto"/>
                      <w:bottom w:val="outset" w:sz="4" w:space="0" w:color="auto"/>
                      <w:right w:val="outset" w:sz="4" w:space="0" w:color="auto"/>
                    </w:tcBorders>
                  </w:tcPr>
                  <w:p w14:paraId="388DBE8F"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30D44E50" w14:textId="77777777" w:rsidR="00830E72" w:rsidRDefault="008344D8">
                    <w:pPr>
                      <w:jc w:val="right"/>
                      <w:rPr>
                        <w:szCs w:val="21"/>
                      </w:rPr>
                    </w:pPr>
                    <w:r>
                      <w:rPr>
                        <w:szCs w:val="21"/>
                      </w:rPr>
                      <w:t>1,499,357.78</w:t>
                    </w:r>
                  </w:p>
                </w:tc>
                <w:tc>
                  <w:tcPr>
                    <w:tcW w:w="1152" w:type="pct"/>
                    <w:tcBorders>
                      <w:top w:val="outset" w:sz="4" w:space="0" w:color="auto"/>
                      <w:left w:val="outset" w:sz="4" w:space="0" w:color="auto"/>
                      <w:bottom w:val="outset" w:sz="4" w:space="0" w:color="auto"/>
                      <w:right w:val="outset" w:sz="4" w:space="0" w:color="auto"/>
                    </w:tcBorders>
                    <w:vAlign w:val="center"/>
                  </w:tcPr>
                  <w:p w14:paraId="5BCD2F26" w14:textId="77777777" w:rsidR="00830E72" w:rsidRDefault="008344D8">
                    <w:pPr>
                      <w:jc w:val="right"/>
                      <w:rPr>
                        <w:szCs w:val="21"/>
                      </w:rPr>
                    </w:pPr>
                    <w:r>
                      <w:t>386,705.40</w:t>
                    </w:r>
                  </w:p>
                </w:tc>
              </w:tr>
              <w:tr w:rsidR="00830E72" w14:paraId="2BC99F70" w14:textId="77777777">
                <w:sdt>
                  <w:sdtPr>
                    <w:tag w:val="_PLD_1ef5a0eb21854c7a9b13f6f3b7a8ebcc"/>
                    <w:id w:val="286018029"/>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53ACC1F7" w14:textId="77777777" w:rsidR="00830E72" w:rsidRDefault="008344D8">
                        <w:pPr>
                          <w:ind w:firstLineChars="100" w:firstLine="210"/>
                          <w:rPr>
                            <w:szCs w:val="21"/>
                          </w:rPr>
                        </w:pPr>
                        <w:r>
                          <w:rPr>
                            <w:rFonts w:hint="eastAsia"/>
                            <w:szCs w:val="21"/>
                          </w:rPr>
                          <w:t>投资支付的现金</w:t>
                        </w:r>
                      </w:p>
                    </w:tc>
                  </w:sdtContent>
                </w:sdt>
                <w:tc>
                  <w:tcPr>
                    <w:tcW w:w="593" w:type="pct"/>
                    <w:tcBorders>
                      <w:top w:val="outset" w:sz="4" w:space="0" w:color="auto"/>
                      <w:left w:val="outset" w:sz="4" w:space="0" w:color="auto"/>
                      <w:bottom w:val="outset" w:sz="4" w:space="0" w:color="auto"/>
                      <w:right w:val="outset" w:sz="4" w:space="0" w:color="auto"/>
                    </w:tcBorders>
                  </w:tcPr>
                  <w:p w14:paraId="2599FA32"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1F20255C" w14:textId="77777777" w:rsidR="00830E72" w:rsidRDefault="008344D8">
                    <w:pPr>
                      <w:jc w:val="right"/>
                      <w:rPr>
                        <w:szCs w:val="21"/>
                      </w:rPr>
                    </w:pPr>
                    <w:r>
                      <w:rPr>
                        <w:szCs w:val="21"/>
                      </w:rPr>
                      <w:t>213,460,412.00</w:t>
                    </w:r>
                  </w:p>
                </w:tc>
                <w:tc>
                  <w:tcPr>
                    <w:tcW w:w="1152" w:type="pct"/>
                    <w:tcBorders>
                      <w:top w:val="outset" w:sz="4" w:space="0" w:color="auto"/>
                      <w:left w:val="outset" w:sz="4" w:space="0" w:color="auto"/>
                      <w:bottom w:val="outset" w:sz="4" w:space="0" w:color="auto"/>
                      <w:right w:val="outset" w:sz="4" w:space="0" w:color="auto"/>
                    </w:tcBorders>
                    <w:vAlign w:val="center"/>
                  </w:tcPr>
                  <w:p w14:paraId="2F46020E" w14:textId="77777777" w:rsidR="00830E72" w:rsidRDefault="008344D8">
                    <w:pPr>
                      <w:jc w:val="right"/>
                      <w:rPr>
                        <w:szCs w:val="21"/>
                      </w:rPr>
                    </w:pPr>
                    <w:r>
                      <w:t> -   </w:t>
                    </w:r>
                  </w:p>
                </w:tc>
              </w:tr>
              <w:tr w:rsidR="00830E72" w14:paraId="3E847726" w14:textId="77777777">
                <w:sdt>
                  <w:sdtPr>
                    <w:tag w:val="_PLD_7d0701b5e83d4159a4e201e3bfc27ba1"/>
                    <w:id w:val="269289288"/>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70F6690C" w14:textId="77777777" w:rsidR="00830E72" w:rsidRDefault="008344D8">
                        <w:pPr>
                          <w:ind w:firstLineChars="100" w:firstLine="210"/>
                          <w:rPr>
                            <w:szCs w:val="21"/>
                          </w:rPr>
                        </w:pPr>
                        <w:r>
                          <w:rPr>
                            <w:rFonts w:hint="eastAsia"/>
                            <w:szCs w:val="21"/>
                          </w:rPr>
                          <w:t>取得子公司及其他营业单位支付的现金净额</w:t>
                        </w:r>
                      </w:p>
                    </w:tc>
                  </w:sdtContent>
                </w:sdt>
                <w:tc>
                  <w:tcPr>
                    <w:tcW w:w="593" w:type="pct"/>
                    <w:tcBorders>
                      <w:top w:val="outset" w:sz="4" w:space="0" w:color="auto"/>
                      <w:left w:val="outset" w:sz="4" w:space="0" w:color="auto"/>
                      <w:bottom w:val="outset" w:sz="4" w:space="0" w:color="auto"/>
                      <w:right w:val="outset" w:sz="4" w:space="0" w:color="auto"/>
                    </w:tcBorders>
                  </w:tcPr>
                  <w:p w14:paraId="3828D7A3"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11E55FCF" w14:textId="77777777" w:rsidR="00830E72" w:rsidRDefault="00830E72">
                    <w:pPr>
                      <w:jc w:val="right"/>
                      <w:rPr>
                        <w:szCs w:val="21"/>
                      </w:rPr>
                    </w:pPr>
                  </w:p>
                </w:tc>
                <w:tc>
                  <w:tcPr>
                    <w:tcW w:w="1152" w:type="pct"/>
                    <w:tcBorders>
                      <w:top w:val="outset" w:sz="4" w:space="0" w:color="auto"/>
                      <w:left w:val="outset" w:sz="4" w:space="0" w:color="auto"/>
                      <w:bottom w:val="outset" w:sz="4" w:space="0" w:color="auto"/>
                      <w:right w:val="outset" w:sz="4" w:space="0" w:color="auto"/>
                    </w:tcBorders>
                    <w:vAlign w:val="center"/>
                  </w:tcPr>
                  <w:p w14:paraId="279948A4" w14:textId="77777777" w:rsidR="00830E72" w:rsidRDefault="00830E72">
                    <w:pPr>
                      <w:jc w:val="right"/>
                      <w:rPr>
                        <w:szCs w:val="21"/>
                      </w:rPr>
                    </w:pPr>
                  </w:p>
                </w:tc>
              </w:tr>
              <w:tr w:rsidR="00830E72" w14:paraId="0273B0C2" w14:textId="77777777">
                <w:sdt>
                  <w:sdtPr>
                    <w:tag w:val="_PLD_813ddb5a043d48ffa883eb8db9d86449"/>
                    <w:id w:val="678934455"/>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7ADBAFCA" w14:textId="77777777" w:rsidR="00830E72" w:rsidRDefault="008344D8">
                        <w:pPr>
                          <w:ind w:firstLineChars="100" w:firstLine="210"/>
                          <w:rPr>
                            <w:szCs w:val="21"/>
                          </w:rPr>
                        </w:pPr>
                        <w:r>
                          <w:rPr>
                            <w:rFonts w:hint="eastAsia"/>
                            <w:szCs w:val="21"/>
                          </w:rPr>
                          <w:t>支付其他与投资活动有关的现金</w:t>
                        </w:r>
                      </w:p>
                    </w:tc>
                  </w:sdtContent>
                </w:sdt>
                <w:tc>
                  <w:tcPr>
                    <w:tcW w:w="593" w:type="pct"/>
                    <w:tcBorders>
                      <w:top w:val="outset" w:sz="4" w:space="0" w:color="auto"/>
                      <w:left w:val="outset" w:sz="4" w:space="0" w:color="auto"/>
                      <w:bottom w:val="outset" w:sz="4" w:space="0" w:color="auto"/>
                      <w:right w:val="outset" w:sz="4" w:space="0" w:color="auto"/>
                    </w:tcBorders>
                  </w:tcPr>
                  <w:p w14:paraId="58F3C10E"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1A422CDA" w14:textId="77777777" w:rsidR="00830E72" w:rsidRDefault="00830E72">
                    <w:pPr>
                      <w:jc w:val="right"/>
                      <w:rPr>
                        <w:szCs w:val="21"/>
                      </w:rPr>
                    </w:pPr>
                  </w:p>
                </w:tc>
                <w:tc>
                  <w:tcPr>
                    <w:tcW w:w="1152" w:type="pct"/>
                    <w:tcBorders>
                      <w:top w:val="outset" w:sz="4" w:space="0" w:color="auto"/>
                      <w:left w:val="outset" w:sz="4" w:space="0" w:color="auto"/>
                      <w:bottom w:val="outset" w:sz="4" w:space="0" w:color="auto"/>
                      <w:right w:val="outset" w:sz="4" w:space="0" w:color="auto"/>
                    </w:tcBorders>
                    <w:vAlign w:val="center"/>
                  </w:tcPr>
                  <w:p w14:paraId="77BF56D9" w14:textId="77777777" w:rsidR="00830E72" w:rsidRDefault="008344D8">
                    <w:pPr>
                      <w:jc w:val="right"/>
                      <w:rPr>
                        <w:szCs w:val="21"/>
                      </w:rPr>
                    </w:pPr>
                    <w:r>
                      <w:t>20,000,000.00</w:t>
                    </w:r>
                  </w:p>
                </w:tc>
              </w:tr>
              <w:tr w:rsidR="00830E72" w14:paraId="427A2EF8" w14:textId="77777777">
                <w:sdt>
                  <w:sdtPr>
                    <w:tag w:val="_PLD_ebc63f66aafc42e49516dac116f4b4d5"/>
                    <w:id w:val="1091509331"/>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2B50A193" w14:textId="77777777" w:rsidR="00830E72" w:rsidRDefault="008344D8">
                        <w:pPr>
                          <w:ind w:firstLineChars="200" w:firstLine="420"/>
                          <w:rPr>
                            <w:color w:val="000000"/>
                            <w:szCs w:val="21"/>
                          </w:rPr>
                        </w:pPr>
                        <w:r>
                          <w:rPr>
                            <w:rFonts w:hint="eastAsia"/>
                            <w:szCs w:val="21"/>
                          </w:rPr>
                          <w:t>投资活动现金流出小计</w:t>
                        </w:r>
                      </w:p>
                    </w:tc>
                  </w:sdtContent>
                </w:sdt>
                <w:tc>
                  <w:tcPr>
                    <w:tcW w:w="593" w:type="pct"/>
                    <w:tcBorders>
                      <w:top w:val="outset" w:sz="4" w:space="0" w:color="auto"/>
                      <w:left w:val="outset" w:sz="4" w:space="0" w:color="auto"/>
                      <w:bottom w:val="outset" w:sz="4" w:space="0" w:color="auto"/>
                      <w:right w:val="outset" w:sz="4" w:space="0" w:color="auto"/>
                    </w:tcBorders>
                  </w:tcPr>
                  <w:p w14:paraId="4F53467E"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48C42232" w14:textId="77777777" w:rsidR="00830E72" w:rsidRDefault="008344D8">
                    <w:pPr>
                      <w:jc w:val="right"/>
                      <w:rPr>
                        <w:szCs w:val="21"/>
                      </w:rPr>
                    </w:pPr>
                    <w:r>
                      <w:rPr>
                        <w:szCs w:val="21"/>
                      </w:rPr>
                      <w:t>214,959,769.78</w:t>
                    </w:r>
                  </w:p>
                </w:tc>
                <w:tc>
                  <w:tcPr>
                    <w:tcW w:w="1152" w:type="pct"/>
                    <w:tcBorders>
                      <w:top w:val="outset" w:sz="4" w:space="0" w:color="auto"/>
                      <w:left w:val="outset" w:sz="4" w:space="0" w:color="auto"/>
                      <w:bottom w:val="outset" w:sz="4" w:space="0" w:color="auto"/>
                      <w:right w:val="outset" w:sz="4" w:space="0" w:color="auto"/>
                    </w:tcBorders>
                    <w:vAlign w:val="center"/>
                  </w:tcPr>
                  <w:p w14:paraId="2760AA83" w14:textId="77777777" w:rsidR="00830E72" w:rsidRDefault="008344D8">
                    <w:pPr>
                      <w:jc w:val="right"/>
                      <w:rPr>
                        <w:szCs w:val="21"/>
                      </w:rPr>
                    </w:pPr>
                    <w:r>
                      <w:t>20,386,705.40</w:t>
                    </w:r>
                  </w:p>
                </w:tc>
              </w:tr>
              <w:tr w:rsidR="00830E72" w14:paraId="474F2B0C" w14:textId="77777777">
                <w:sdt>
                  <w:sdtPr>
                    <w:tag w:val="_PLD_616b02a522724a558ecbae77fe729bdb"/>
                    <w:id w:val="1663584478"/>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6468AF97" w14:textId="77777777" w:rsidR="00830E72" w:rsidRDefault="008344D8">
                        <w:pPr>
                          <w:ind w:firstLineChars="300" w:firstLine="630"/>
                          <w:rPr>
                            <w:color w:val="000000"/>
                            <w:szCs w:val="21"/>
                          </w:rPr>
                        </w:pPr>
                        <w:r>
                          <w:rPr>
                            <w:rFonts w:hint="eastAsia"/>
                            <w:szCs w:val="21"/>
                          </w:rPr>
                          <w:t>投资活动产生的现金流量净额</w:t>
                        </w:r>
                      </w:p>
                    </w:tc>
                  </w:sdtContent>
                </w:sdt>
                <w:tc>
                  <w:tcPr>
                    <w:tcW w:w="593" w:type="pct"/>
                    <w:tcBorders>
                      <w:top w:val="outset" w:sz="4" w:space="0" w:color="auto"/>
                      <w:left w:val="outset" w:sz="4" w:space="0" w:color="auto"/>
                      <w:bottom w:val="outset" w:sz="4" w:space="0" w:color="auto"/>
                      <w:right w:val="outset" w:sz="4" w:space="0" w:color="auto"/>
                    </w:tcBorders>
                  </w:tcPr>
                  <w:p w14:paraId="1F252958"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6FAFE79D" w14:textId="77777777" w:rsidR="00830E72" w:rsidRDefault="008344D8">
                    <w:pPr>
                      <w:jc w:val="right"/>
                      <w:rPr>
                        <w:szCs w:val="21"/>
                      </w:rPr>
                    </w:pPr>
                    <w:r>
                      <w:rPr>
                        <w:szCs w:val="21"/>
                      </w:rPr>
                      <w:t>-213,408,066.58</w:t>
                    </w:r>
                  </w:p>
                </w:tc>
                <w:tc>
                  <w:tcPr>
                    <w:tcW w:w="1152" w:type="pct"/>
                    <w:tcBorders>
                      <w:top w:val="outset" w:sz="4" w:space="0" w:color="auto"/>
                      <w:left w:val="outset" w:sz="4" w:space="0" w:color="auto"/>
                      <w:bottom w:val="outset" w:sz="4" w:space="0" w:color="auto"/>
                      <w:right w:val="outset" w:sz="4" w:space="0" w:color="auto"/>
                    </w:tcBorders>
                    <w:vAlign w:val="center"/>
                  </w:tcPr>
                  <w:p w14:paraId="4A555949" w14:textId="77777777" w:rsidR="00830E72" w:rsidRDefault="008344D8">
                    <w:pPr>
                      <w:jc w:val="right"/>
                      <w:rPr>
                        <w:szCs w:val="21"/>
                      </w:rPr>
                    </w:pPr>
                    <w:r>
                      <w:t>-18,858,518.06</w:t>
                    </w:r>
                  </w:p>
                </w:tc>
              </w:tr>
              <w:tr w:rsidR="00830E72" w14:paraId="477C5295" w14:textId="77777777">
                <w:sdt>
                  <w:sdtPr>
                    <w:tag w:val="_PLD_7d68e34216d04af0934267b3078d3c35"/>
                    <w:id w:val="638464106"/>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433349EB" w14:textId="77777777" w:rsidR="00830E72" w:rsidRDefault="008344D8">
                        <w:pPr>
                          <w:rPr>
                            <w:color w:val="000000"/>
                            <w:szCs w:val="21"/>
                          </w:rPr>
                        </w:pPr>
                        <w:r>
                          <w:rPr>
                            <w:rFonts w:hint="eastAsia"/>
                            <w:b/>
                            <w:bCs/>
                            <w:szCs w:val="21"/>
                          </w:rPr>
                          <w:t>三、筹资活动产生的现金流量：</w:t>
                        </w:r>
                      </w:p>
                    </w:tc>
                  </w:sdtContent>
                </w:sdt>
                <w:tc>
                  <w:tcPr>
                    <w:tcW w:w="593" w:type="pct"/>
                    <w:tcBorders>
                      <w:top w:val="outset" w:sz="4" w:space="0" w:color="auto"/>
                      <w:left w:val="outset" w:sz="4" w:space="0" w:color="auto"/>
                      <w:bottom w:val="outset" w:sz="4" w:space="0" w:color="auto"/>
                      <w:right w:val="outset" w:sz="4" w:space="0" w:color="auto"/>
                    </w:tcBorders>
                  </w:tcPr>
                  <w:p w14:paraId="21A79F0E" w14:textId="77777777" w:rsidR="00830E72" w:rsidRDefault="00830E72">
                    <w:pPr>
                      <w:rPr>
                        <w:color w:val="008000"/>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368D9808" w14:textId="77777777" w:rsidR="00830E72" w:rsidRDefault="00830E72">
                    <w:pPr>
                      <w:jc w:val="right"/>
                      <w:rPr>
                        <w:color w:val="008000"/>
                        <w:szCs w:val="21"/>
                      </w:rPr>
                    </w:pPr>
                  </w:p>
                </w:tc>
                <w:tc>
                  <w:tcPr>
                    <w:tcW w:w="1152" w:type="pct"/>
                    <w:tcBorders>
                      <w:top w:val="outset" w:sz="4" w:space="0" w:color="auto"/>
                      <w:left w:val="outset" w:sz="4" w:space="0" w:color="auto"/>
                      <w:bottom w:val="outset" w:sz="4" w:space="0" w:color="auto"/>
                      <w:right w:val="outset" w:sz="4" w:space="0" w:color="auto"/>
                    </w:tcBorders>
                    <w:vAlign w:val="center"/>
                  </w:tcPr>
                  <w:p w14:paraId="710E2A5E" w14:textId="77777777" w:rsidR="00830E72" w:rsidRDefault="00830E72">
                    <w:pPr>
                      <w:jc w:val="right"/>
                      <w:rPr>
                        <w:color w:val="008000"/>
                        <w:szCs w:val="21"/>
                      </w:rPr>
                    </w:pPr>
                  </w:p>
                </w:tc>
              </w:tr>
              <w:tr w:rsidR="00830E72" w14:paraId="0A076745" w14:textId="77777777">
                <w:sdt>
                  <w:sdtPr>
                    <w:tag w:val="_PLD_12516ea91b664cd98125761df9d8009e"/>
                    <w:id w:val="661210475"/>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0778F07B" w14:textId="77777777" w:rsidR="00830E72" w:rsidRDefault="008344D8">
                        <w:pPr>
                          <w:ind w:firstLineChars="100" w:firstLine="210"/>
                          <w:rPr>
                            <w:color w:val="000000"/>
                            <w:szCs w:val="21"/>
                          </w:rPr>
                        </w:pPr>
                        <w:r>
                          <w:rPr>
                            <w:rFonts w:hint="eastAsia"/>
                            <w:szCs w:val="21"/>
                          </w:rPr>
                          <w:t>吸收投资收到的现金</w:t>
                        </w:r>
                      </w:p>
                    </w:tc>
                  </w:sdtContent>
                </w:sdt>
                <w:tc>
                  <w:tcPr>
                    <w:tcW w:w="593" w:type="pct"/>
                    <w:tcBorders>
                      <w:top w:val="outset" w:sz="4" w:space="0" w:color="auto"/>
                      <w:left w:val="outset" w:sz="4" w:space="0" w:color="auto"/>
                      <w:bottom w:val="outset" w:sz="4" w:space="0" w:color="auto"/>
                      <w:right w:val="outset" w:sz="4" w:space="0" w:color="auto"/>
                    </w:tcBorders>
                  </w:tcPr>
                  <w:p w14:paraId="45AE43B3"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4967F987" w14:textId="77777777" w:rsidR="00830E72" w:rsidRDefault="008344D8">
                    <w:pPr>
                      <w:jc w:val="right"/>
                      <w:rPr>
                        <w:szCs w:val="21"/>
                      </w:rPr>
                    </w:pPr>
                    <w:r>
                      <w:rPr>
                        <w:szCs w:val="21"/>
                      </w:rPr>
                      <w:t>863,184,746.53</w:t>
                    </w:r>
                  </w:p>
                </w:tc>
                <w:tc>
                  <w:tcPr>
                    <w:tcW w:w="1152" w:type="pct"/>
                    <w:tcBorders>
                      <w:top w:val="outset" w:sz="4" w:space="0" w:color="auto"/>
                      <w:left w:val="outset" w:sz="4" w:space="0" w:color="auto"/>
                      <w:bottom w:val="outset" w:sz="4" w:space="0" w:color="auto"/>
                      <w:right w:val="outset" w:sz="4" w:space="0" w:color="auto"/>
                    </w:tcBorders>
                    <w:vAlign w:val="center"/>
                  </w:tcPr>
                  <w:p w14:paraId="34DC7F2B" w14:textId="77777777" w:rsidR="00830E72" w:rsidRDefault="00830E72">
                    <w:pPr>
                      <w:jc w:val="right"/>
                      <w:rPr>
                        <w:szCs w:val="21"/>
                      </w:rPr>
                    </w:pPr>
                  </w:p>
                </w:tc>
              </w:tr>
              <w:tr w:rsidR="00830E72" w14:paraId="7F36C93A" w14:textId="77777777">
                <w:sdt>
                  <w:sdtPr>
                    <w:tag w:val="_PLD_29a78e59f2b441018bc188661adf1a5e"/>
                    <w:id w:val="-206947690"/>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591182F4" w14:textId="77777777" w:rsidR="00830E72" w:rsidRDefault="008344D8">
                        <w:pPr>
                          <w:ind w:firstLineChars="100" w:firstLine="210"/>
                          <w:rPr>
                            <w:color w:val="000000"/>
                            <w:szCs w:val="21"/>
                          </w:rPr>
                        </w:pPr>
                        <w:r>
                          <w:rPr>
                            <w:rFonts w:hint="eastAsia"/>
                            <w:szCs w:val="21"/>
                          </w:rPr>
                          <w:t>取得借款收到的现金</w:t>
                        </w:r>
                      </w:p>
                    </w:tc>
                  </w:sdtContent>
                </w:sdt>
                <w:tc>
                  <w:tcPr>
                    <w:tcW w:w="593" w:type="pct"/>
                    <w:tcBorders>
                      <w:top w:val="outset" w:sz="4" w:space="0" w:color="auto"/>
                      <w:left w:val="outset" w:sz="4" w:space="0" w:color="auto"/>
                      <w:bottom w:val="outset" w:sz="4" w:space="0" w:color="auto"/>
                      <w:right w:val="outset" w:sz="4" w:space="0" w:color="auto"/>
                    </w:tcBorders>
                  </w:tcPr>
                  <w:p w14:paraId="0FD9B006"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2D428071" w14:textId="77777777" w:rsidR="00830E72" w:rsidRDefault="008344D8">
                    <w:pPr>
                      <w:jc w:val="right"/>
                      <w:rPr>
                        <w:szCs w:val="21"/>
                      </w:rPr>
                    </w:pPr>
                    <w:r>
                      <w:rPr>
                        <w:szCs w:val="21"/>
                      </w:rPr>
                      <w:t>229,312,724.37</w:t>
                    </w:r>
                  </w:p>
                </w:tc>
                <w:tc>
                  <w:tcPr>
                    <w:tcW w:w="1152" w:type="pct"/>
                    <w:tcBorders>
                      <w:top w:val="outset" w:sz="4" w:space="0" w:color="auto"/>
                      <w:left w:val="outset" w:sz="4" w:space="0" w:color="auto"/>
                      <w:bottom w:val="outset" w:sz="4" w:space="0" w:color="auto"/>
                      <w:right w:val="outset" w:sz="4" w:space="0" w:color="auto"/>
                    </w:tcBorders>
                    <w:vAlign w:val="center"/>
                  </w:tcPr>
                  <w:p w14:paraId="6B46339C" w14:textId="77777777" w:rsidR="00830E72" w:rsidRDefault="008344D8">
                    <w:pPr>
                      <w:jc w:val="right"/>
                      <w:rPr>
                        <w:szCs w:val="21"/>
                      </w:rPr>
                    </w:pPr>
                    <w:r>
                      <w:t>160,650,000.00</w:t>
                    </w:r>
                  </w:p>
                </w:tc>
              </w:tr>
              <w:tr w:rsidR="00830E72" w14:paraId="432F836C" w14:textId="77777777">
                <w:sdt>
                  <w:sdtPr>
                    <w:tag w:val="_PLD_26d354b07ee94d2e97e821e5194c14a8"/>
                    <w:id w:val="-846022173"/>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73D2A317" w14:textId="77777777" w:rsidR="00830E72" w:rsidRDefault="008344D8">
                        <w:pPr>
                          <w:ind w:firstLineChars="100" w:firstLine="210"/>
                          <w:rPr>
                            <w:color w:val="000000"/>
                            <w:szCs w:val="21"/>
                          </w:rPr>
                        </w:pPr>
                        <w:r>
                          <w:rPr>
                            <w:rFonts w:hint="eastAsia"/>
                            <w:szCs w:val="21"/>
                          </w:rPr>
                          <w:t>收到其他与筹资活动有关的现金</w:t>
                        </w:r>
                      </w:p>
                    </w:tc>
                  </w:sdtContent>
                </w:sdt>
                <w:tc>
                  <w:tcPr>
                    <w:tcW w:w="593" w:type="pct"/>
                    <w:tcBorders>
                      <w:top w:val="outset" w:sz="4" w:space="0" w:color="auto"/>
                      <w:left w:val="outset" w:sz="4" w:space="0" w:color="auto"/>
                      <w:bottom w:val="outset" w:sz="4" w:space="0" w:color="auto"/>
                      <w:right w:val="outset" w:sz="4" w:space="0" w:color="auto"/>
                    </w:tcBorders>
                  </w:tcPr>
                  <w:p w14:paraId="72C78E48"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6CAA53C5" w14:textId="77777777" w:rsidR="00830E72" w:rsidRDefault="00830E72">
                    <w:pPr>
                      <w:jc w:val="right"/>
                      <w:rPr>
                        <w:szCs w:val="21"/>
                      </w:rPr>
                    </w:pPr>
                  </w:p>
                </w:tc>
                <w:tc>
                  <w:tcPr>
                    <w:tcW w:w="1152" w:type="pct"/>
                    <w:tcBorders>
                      <w:top w:val="outset" w:sz="4" w:space="0" w:color="auto"/>
                      <w:left w:val="outset" w:sz="4" w:space="0" w:color="auto"/>
                      <w:bottom w:val="outset" w:sz="4" w:space="0" w:color="auto"/>
                      <w:right w:val="outset" w:sz="4" w:space="0" w:color="auto"/>
                    </w:tcBorders>
                    <w:vAlign w:val="center"/>
                  </w:tcPr>
                  <w:p w14:paraId="5D5C90E5" w14:textId="77777777" w:rsidR="00830E72" w:rsidRDefault="00830E72">
                    <w:pPr>
                      <w:jc w:val="right"/>
                      <w:rPr>
                        <w:szCs w:val="21"/>
                      </w:rPr>
                    </w:pPr>
                  </w:p>
                </w:tc>
              </w:tr>
              <w:tr w:rsidR="00830E72" w14:paraId="42D80102" w14:textId="77777777">
                <w:sdt>
                  <w:sdtPr>
                    <w:tag w:val="_PLD_63d48c10d6aa4cf680f8a0d28834aa5a"/>
                    <w:id w:val="1375668156"/>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10D1A519" w14:textId="77777777" w:rsidR="00830E72" w:rsidRDefault="008344D8">
                        <w:pPr>
                          <w:ind w:firstLineChars="200" w:firstLine="420"/>
                          <w:rPr>
                            <w:color w:val="000000"/>
                            <w:szCs w:val="21"/>
                          </w:rPr>
                        </w:pPr>
                        <w:r>
                          <w:rPr>
                            <w:rFonts w:hint="eastAsia"/>
                            <w:szCs w:val="21"/>
                          </w:rPr>
                          <w:t>筹资活动现金流入小计</w:t>
                        </w:r>
                      </w:p>
                    </w:tc>
                  </w:sdtContent>
                </w:sdt>
                <w:tc>
                  <w:tcPr>
                    <w:tcW w:w="593" w:type="pct"/>
                    <w:tcBorders>
                      <w:top w:val="outset" w:sz="4" w:space="0" w:color="auto"/>
                      <w:left w:val="outset" w:sz="4" w:space="0" w:color="auto"/>
                      <w:bottom w:val="outset" w:sz="4" w:space="0" w:color="auto"/>
                      <w:right w:val="outset" w:sz="4" w:space="0" w:color="auto"/>
                    </w:tcBorders>
                  </w:tcPr>
                  <w:p w14:paraId="55B761E9"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7733F977" w14:textId="77777777" w:rsidR="00830E72" w:rsidRDefault="008344D8">
                    <w:pPr>
                      <w:jc w:val="right"/>
                      <w:rPr>
                        <w:szCs w:val="21"/>
                      </w:rPr>
                    </w:pPr>
                    <w:r>
                      <w:rPr>
                        <w:szCs w:val="21"/>
                      </w:rPr>
                      <w:t>1,092,497,470.90</w:t>
                    </w:r>
                  </w:p>
                </w:tc>
                <w:tc>
                  <w:tcPr>
                    <w:tcW w:w="1152" w:type="pct"/>
                    <w:tcBorders>
                      <w:top w:val="outset" w:sz="4" w:space="0" w:color="auto"/>
                      <w:left w:val="outset" w:sz="4" w:space="0" w:color="auto"/>
                      <w:bottom w:val="outset" w:sz="4" w:space="0" w:color="auto"/>
                      <w:right w:val="outset" w:sz="4" w:space="0" w:color="auto"/>
                    </w:tcBorders>
                    <w:vAlign w:val="center"/>
                  </w:tcPr>
                  <w:p w14:paraId="1FF6318F" w14:textId="77777777" w:rsidR="00830E72" w:rsidRDefault="008344D8">
                    <w:pPr>
                      <w:tabs>
                        <w:tab w:val="center" w:pos="989"/>
                        <w:tab w:val="right" w:pos="1979"/>
                      </w:tabs>
                      <w:jc w:val="right"/>
                      <w:rPr>
                        <w:szCs w:val="21"/>
                      </w:rPr>
                    </w:pPr>
                    <w:r>
                      <w:t>160,650,000.00</w:t>
                    </w:r>
                  </w:p>
                </w:tc>
              </w:tr>
              <w:tr w:rsidR="00830E72" w14:paraId="1EC8F69B" w14:textId="77777777">
                <w:sdt>
                  <w:sdtPr>
                    <w:tag w:val="_PLD_8162d7f78ec54a5485f64b75ffbfce7d"/>
                    <w:id w:val="-9065546"/>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73AB7D32" w14:textId="77777777" w:rsidR="00830E72" w:rsidRDefault="008344D8">
                        <w:pPr>
                          <w:ind w:firstLineChars="100" w:firstLine="210"/>
                          <w:rPr>
                            <w:szCs w:val="21"/>
                          </w:rPr>
                        </w:pPr>
                        <w:r>
                          <w:rPr>
                            <w:rFonts w:hint="eastAsia"/>
                            <w:szCs w:val="21"/>
                          </w:rPr>
                          <w:t>偿还债务支付的现金</w:t>
                        </w:r>
                      </w:p>
                    </w:tc>
                  </w:sdtContent>
                </w:sdt>
                <w:tc>
                  <w:tcPr>
                    <w:tcW w:w="593" w:type="pct"/>
                    <w:tcBorders>
                      <w:top w:val="outset" w:sz="4" w:space="0" w:color="auto"/>
                      <w:left w:val="outset" w:sz="4" w:space="0" w:color="auto"/>
                      <w:bottom w:val="outset" w:sz="4" w:space="0" w:color="auto"/>
                      <w:right w:val="outset" w:sz="4" w:space="0" w:color="auto"/>
                    </w:tcBorders>
                  </w:tcPr>
                  <w:p w14:paraId="14EECE58"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286EBE18" w14:textId="77777777" w:rsidR="00830E72" w:rsidRDefault="008344D8">
                    <w:pPr>
                      <w:jc w:val="right"/>
                      <w:rPr>
                        <w:szCs w:val="21"/>
                      </w:rPr>
                    </w:pPr>
                    <w:r>
                      <w:rPr>
                        <w:szCs w:val="21"/>
                      </w:rPr>
                      <w:t>180,388,094.75</w:t>
                    </w:r>
                  </w:p>
                </w:tc>
                <w:tc>
                  <w:tcPr>
                    <w:tcW w:w="1152" w:type="pct"/>
                    <w:tcBorders>
                      <w:top w:val="outset" w:sz="4" w:space="0" w:color="auto"/>
                      <w:left w:val="outset" w:sz="4" w:space="0" w:color="auto"/>
                      <w:bottom w:val="outset" w:sz="4" w:space="0" w:color="auto"/>
                      <w:right w:val="outset" w:sz="4" w:space="0" w:color="auto"/>
                    </w:tcBorders>
                    <w:vAlign w:val="center"/>
                  </w:tcPr>
                  <w:p w14:paraId="3B7F5411" w14:textId="77777777" w:rsidR="00830E72" w:rsidRDefault="008344D8">
                    <w:pPr>
                      <w:jc w:val="right"/>
                      <w:rPr>
                        <w:szCs w:val="21"/>
                      </w:rPr>
                    </w:pPr>
                    <w:r>
                      <w:t>62,000,000.00</w:t>
                    </w:r>
                  </w:p>
                </w:tc>
              </w:tr>
              <w:tr w:rsidR="00830E72" w14:paraId="7F0B72FC" w14:textId="77777777">
                <w:sdt>
                  <w:sdtPr>
                    <w:tag w:val="_PLD_0b61ad2acef9490ba6b84477b3518635"/>
                    <w:id w:val="-141811926"/>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1EA95767" w14:textId="77777777" w:rsidR="00830E72" w:rsidRDefault="008344D8">
                        <w:pPr>
                          <w:ind w:firstLineChars="100" w:firstLine="210"/>
                          <w:rPr>
                            <w:szCs w:val="21"/>
                          </w:rPr>
                        </w:pPr>
                        <w:r>
                          <w:rPr>
                            <w:rFonts w:hint="eastAsia"/>
                            <w:szCs w:val="21"/>
                          </w:rPr>
                          <w:t>分配股利、利润或偿付利息支付的现金</w:t>
                        </w:r>
                      </w:p>
                    </w:tc>
                  </w:sdtContent>
                </w:sdt>
                <w:tc>
                  <w:tcPr>
                    <w:tcW w:w="593" w:type="pct"/>
                    <w:tcBorders>
                      <w:top w:val="outset" w:sz="4" w:space="0" w:color="auto"/>
                      <w:left w:val="outset" w:sz="4" w:space="0" w:color="auto"/>
                      <w:bottom w:val="outset" w:sz="4" w:space="0" w:color="auto"/>
                      <w:right w:val="outset" w:sz="4" w:space="0" w:color="auto"/>
                    </w:tcBorders>
                  </w:tcPr>
                  <w:p w14:paraId="618ABBA5"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224D8FBF" w14:textId="77777777" w:rsidR="00830E72" w:rsidRDefault="008344D8">
                    <w:pPr>
                      <w:jc w:val="right"/>
                      <w:rPr>
                        <w:szCs w:val="21"/>
                      </w:rPr>
                    </w:pPr>
                    <w:r>
                      <w:rPr>
                        <w:szCs w:val="21"/>
                      </w:rPr>
                      <w:t>37,097,059.09</w:t>
                    </w:r>
                  </w:p>
                </w:tc>
                <w:tc>
                  <w:tcPr>
                    <w:tcW w:w="1152" w:type="pct"/>
                    <w:tcBorders>
                      <w:top w:val="outset" w:sz="4" w:space="0" w:color="auto"/>
                      <w:left w:val="outset" w:sz="4" w:space="0" w:color="auto"/>
                      <w:bottom w:val="outset" w:sz="4" w:space="0" w:color="auto"/>
                      <w:right w:val="outset" w:sz="4" w:space="0" w:color="auto"/>
                    </w:tcBorders>
                    <w:vAlign w:val="center"/>
                  </w:tcPr>
                  <w:p w14:paraId="14904DF5" w14:textId="77777777" w:rsidR="00830E72" w:rsidRDefault="008344D8">
                    <w:pPr>
                      <w:jc w:val="right"/>
                      <w:rPr>
                        <w:szCs w:val="21"/>
                      </w:rPr>
                    </w:pPr>
                    <w:r>
                      <w:t>54,453,558.72</w:t>
                    </w:r>
                  </w:p>
                </w:tc>
              </w:tr>
              <w:tr w:rsidR="00830E72" w14:paraId="2CD2359B" w14:textId="77777777">
                <w:sdt>
                  <w:sdtPr>
                    <w:tag w:val="_PLD_871424c9704b4bd5aa50d3ae77d051a8"/>
                    <w:id w:val="-749279343"/>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75473C95" w14:textId="77777777" w:rsidR="00830E72" w:rsidRDefault="008344D8">
                        <w:pPr>
                          <w:ind w:firstLineChars="100" w:firstLine="210"/>
                          <w:rPr>
                            <w:color w:val="000000"/>
                            <w:szCs w:val="21"/>
                          </w:rPr>
                        </w:pPr>
                        <w:r>
                          <w:rPr>
                            <w:rFonts w:hint="eastAsia"/>
                            <w:szCs w:val="21"/>
                          </w:rPr>
                          <w:t>支付其他与筹资活动有关的现金</w:t>
                        </w:r>
                      </w:p>
                    </w:tc>
                  </w:sdtContent>
                </w:sdt>
                <w:tc>
                  <w:tcPr>
                    <w:tcW w:w="593" w:type="pct"/>
                    <w:tcBorders>
                      <w:top w:val="outset" w:sz="4" w:space="0" w:color="auto"/>
                      <w:left w:val="outset" w:sz="4" w:space="0" w:color="auto"/>
                      <w:bottom w:val="outset" w:sz="4" w:space="0" w:color="auto"/>
                      <w:right w:val="outset" w:sz="4" w:space="0" w:color="auto"/>
                    </w:tcBorders>
                  </w:tcPr>
                  <w:p w14:paraId="48EC16E4"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2436FEEC" w14:textId="77777777" w:rsidR="00830E72" w:rsidRDefault="008344D8">
                    <w:pPr>
                      <w:jc w:val="right"/>
                      <w:rPr>
                        <w:szCs w:val="21"/>
                      </w:rPr>
                    </w:pPr>
                    <w:r>
                      <w:rPr>
                        <w:szCs w:val="21"/>
                      </w:rPr>
                      <w:t>1,234,842.26</w:t>
                    </w:r>
                  </w:p>
                </w:tc>
                <w:tc>
                  <w:tcPr>
                    <w:tcW w:w="1152" w:type="pct"/>
                    <w:tcBorders>
                      <w:top w:val="outset" w:sz="4" w:space="0" w:color="auto"/>
                      <w:left w:val="outset" w:sz="4" w:space="0" w:color="auto"/>
                      <w:bottom w:val="outset" w:sz="4" w:space="0" w:color="auto"/>
                      <w:right w:val="outset" w:sz="4" w:space="0" w:color="auto"/>
                    </w:tcBorders>
                    <w:vAlign w:val="center"/>
                  </w:tcPr>
                  <w:p w14:paraId="6CDE7242" w14:textId="77777777" w:rsidR="00830E72" w:rsidRDefault="008344D8">
                    <w:pPr>
                      <w:jc w:val="right"/>
                      <w:rPr>
                        <w:szCs w:val="21"/>
                      </w:rPr>
                    </w:pPr>
                    <w:r>
                      <w:t>5,060,000.00</w:t>
                    </w:r>
                  </w:p>
                </w:tc>
              </w:tr>
              <w:tr w:rsidR="00830E72" w14:paraId="62573BA5" w14:textId="77777777">
                <w:sdt>
                  <w:sdtPr>
                    <w:tag w:val="_PLD_9927c735ed5d4c919f65e1a111425aa6"/>
                    <w:id w:val="-174570730"/>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175F36E1" w14:textId="77777777" w:rsidR="00830E72" w:rsidRDefault="008344D8">
                        <w:pPr>
                          <w:ind w:firstLineChars="200" w:firstLine="420"/>
                          <w:rPr>
                            <w:color w:val="000000"/>
                            <w:szCs w:val="21"/>
                          </w:rPr>
                        </w:pPr>
                        <w:r>
                          <w:rPr>
                            <w:rFonts w:hint="eastAsia"/>
                            <w:szCs w:val="21"/>
                          </w:rPr>
                          <w:t>筹资活动现金流出小计</w:t>
                        </w:r>
                      </w:p>
                    </w:tc>
                  </w:sdtContent>
                </w:sdt>
                <w:tc>
                  <w:tcPr>
                    <w:tcW w:w="593" w:type="pct"/>
                    <w:tcBorders>
                      <w:top w:val="outset" w:sz="4" w:space="0" w:color="auto"/>
                      <w:left w:val="outset" w:sz="4" w:space="0" w:color="auto"/>
                      <w:bottom w:val="outset" w:sz="4" w:space="0" w:color="auto"/>
                      <w:right w:val="outset" w:sz="4" w:space="0" w:color="auto"/>
                    </w:tcBorders>
                  </w:tcPr>
                  <w:p w14:paraId="3AC918BA"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4FC659E2" w14:textId="77777777" w:rsidR="00830E72" w:rsidRDefault="008344D8">
                    <w:pPr>
                      <w:jc w:val="right"/>
                      <w:rPr>
                        <w:szCs w:val="21"/>
                      </w:rPr>
                    </w:pPr>
                    <w:r>
                      <w:rPr>
                        <w:szCs w:val="21"/>
                      </w:rPr>
                      <w:t>218,719,996.10</w:t>
                    </w:r>
                  </w:p>
                </w:tc>
                <w:tc>
                  <w:tcPr>
                    <w:tcW w:w="1152" w:type="pct"/>
                    <w:tcBorders>
                      <w:top w:val="outset" w:sz="4" w:space="0" w:color="auto"/>
                      <w:left w:val="outset" w:sz="4" w:space="0" w:color="auto"/>
                      <w:bottom w:val="outset" w:sz="4" w:space="0" w:color="auto"/>
                      <w:right w:val="outset" w:sz="4" w:space="0" w:color="auto"/>
                    </w:tcBorders>
                    <w:vAlign w:val="center"/>
                  </w:tcPr>
                  <w:p w14:paraId="0773036E" w14:textId="77777777" w:rsidR="00830E72" w:rsidRDefault="008344D8">
                    <w:pPr>
                      <w:jc w:val="right"/>
                      <w:rPr>
                        <w:szCs w:val="21"/>
                      </w:rPr>
                    </w:pPr>
                    <w:r>
                      <w:t>121,513,558.72</w:t>
                    </w:r>
                  </w:p>
                </w:tc>
              </w:tr>
              <w:tr w:rsidR="00830E72" w14:paraId="167CC82B" w14:textId="77777777">
                <w:sdt>
                  <w:sdtPr>
                    <w:tag w:val="_PLD_19be081a78e64a56ac141df3af5fc043"/>
                    <w:id w:val="-1168405955"/>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47981AFB" w14:textId="77777777" w:rsidR="00830E72" w:rsidRDefault="008344D8">
                        <w:pPr>
                          <w:ind w:firstLineChars="300" w:firstLine="630"/>
                          <w:rPr>
                            <w:color w:val="000000"/>
                            <w:szCs w:val="21"/>
                          </w:rPr>
                        </w:pPr>
                        <w:r>
                          <w:rPr>
                            <w:rFonts w:hint="eastAsia"/>
                            <w:szCs w:val="21"/>
                          </w:rPr>
                          <w:t>筹资活动产生的现金流量净额</w:t>
                        </w:r>
                      </w:p>
                    </w:tc>
                  </w:sdtContent>
                </w:sdt>
                <w:tc>
                  <w:tcPr>
                    <w:tcW w:w="593" w:type="pct"/>
                    <w:tcBorders>
                      <w:top w:val="outset" w:sz="4" w:space="0" w:color="auto"/>
                      <w:left w:val="outset" w:sz="4" w:space="0" w:color="auto"/>
                      <w:bottom w:val="outset" w:sz="4" w:space="0" w:color="auto"/>
                      <w:right w:val="outset" w:sz="4" w:space="0" w:color="auto"/>
                    </w:tcBorders>
                  </w:tcPr>
                  <w:p w14:paraId="314FFA8F"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644BFE96" w14:textId="77777777" w:rsidR="00830E72" w:rsidRDefault="008344D8">
                    <w:pPr>
                      <w:jc w:val="right"/>
                      <w:rPr>
                        <w:szCs w:val="21"/>
                      </w:rPr>
                    </w:pPr>
                    <w:r>
                      <w:rPr>
                        <w:szCs w:val="21"/>
                      </w:rPr>
                      <w:t>873,777,474.80</w:t>
                    </w:r>
                  </w:p>
                </w:tc>
                <w:tc>
                  <w:tcPr>
                    <w:tcW w:w="1152" w:type="pct"/>
                    <w:tcBorders>
                      <w:top w:val="outset" w:sz="4" w:space="0" w:color="auto"/>
                      <w:left w:val="outset" w:sz="4" w:space="0" w:color="auto"/>
                      <w:bottom w:val="outset" w:sz="4" w:space="0" w:color="auto"/>
                      <w:right w:val="outset" w:sz="4" w:space="0" w:color="auto"/>
                    </w:tcBorders>
                    <w:vAlign w:val="center"/>
                  </w:tcPr>
                  <w:p w14:paraId="5272BB00" w14:textId="77777777" w:rsidR="00830E72" w:rsidRDefault="008344D8">
                    <w:pPr>
                      <w:jc w:val="right"/>
                      <w:rPr>
                        <w:szCs w:val="21"/>
                      </w:rPr>
                    </w:pPr>
                    <w:r>
                      <w:t>39,136,441.28</w:t>
                    </w:r>
                  </w:p>
                </w:tc>
              </w:tr>
              <w:tr w:rsidR="00830E72" w14:paraId="5FE96DE3" w14:textId="77777777">
                <w:sdt>
                  <w:sdtPr>
                    <w:tag w:val="_PLD_297da387d2e74132aff7cc22c8d8bb95"/>
                    <w:id w:val="-288366377"/>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4C17D2F1" w14:textId="77777777" w:rsidR="00830E72" w:rsidRDefault="008344D8">
                        <w:pPr>
                          <w:rPr>
                            <w:color w:val="000000"/>
                            <w:szCs w:val="21"/>
                          </w:rPr>
                        </w:pPr>
                        <w:r>
                          <w:rPr>
                            <w:rFonts w:hint="eastAsia"/>
                            <w:b/>
                            <w:bCs/>
                            <w:szCs w:val="21"/>
                          </w:rPr>
                          <w:t>四、汇率变动对现金及现金等价物的影响</w:t>
                        </w:r>
                      </w:p>
                    </w:tc>
                  </w:sdtContent>
                </w:sdt>
                <w:tc>
                  <w:tcPr>
                    <w:tcW w:w="593" w:type="pct"/>
                    <w:tcBorders>
                      <w:top w:val="outset" w:sz="4" w:space="0" w:color="auto"/>
                      <w:left w:val="outset" w:sz="4" w:space="0" w:color="auto"/>
                      <w:bottom w:val="outset" w:sz="4" w:space="0" w:color="auto"/>
                      <w:right w:val="outset" w:sz="4" w:space="0" w:color="auto"/>
                    </w:tcBorders>
                  </w:tcPr>
                  <w:p w14:paraId="49043FAB"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430B4DF9" w14:textId="77777777" w:rsidR="00830E72" w:rsidRDefault="00830E72">
                    <w:pPr>
                      <w:jc w:val="right"/>
                      <w:rPr>
                        <w:szCs w:val="21"/>
                      </w:rPr>
                    </w:pPr>
                  </w:p>
                </w:tc>
                <w:tc>
                  <w:tcPr>
                    <w:tcW w:w="1152" w:type="pct"/>
                    <w:tcBorders>
                      <w:top w:val="outset" w:sz="4" w:space="0" w:color="auto"/>
                      <w:left w:val="outset" w:sz="4" w:space="0" w:color="auto"/>
                      <w:bottom w:val="outset" w:sz="4" w:space="0" w:color="auto"/>
                      <w:right w:val="outset" w:sz="4" w:space="0" w:color="auto"/>
                    </w:tcBorders>
                    <w:vAlign w:val="center"/>
                  </w:tcPr>
                  <w:p w14:paraId="23BB34E8" w14:textId="77777777" w:rsidR="00830E72" w:rsidRDefault="00830E72">
                    <w:pPr>
                      <w:jc w:val="right"/>
                      <w:rPr>
                        <w:szCs w:val="21"/>
                      </w:rPr>
                    </w:pPr>
                  </w:p>
                </w:tc>
              </w:tr>
              <w:tr w:rsidR="00830E72" w14:paraId="18555EB5" w14:textId="77777777">
                <w:sdt>
                  <w:sdtPr>
                    <w:tag w:val="_PLD_088346aec88c4c41a0051140dc375359"/>
                    <w:id w:val="1029370317"/>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192993DB" w14:textId="77777777" w:rsidR="00830E72" w:rsidRDefault="008344D8">
                        <w:pPr>
                          <w:rPr>
                            <w:color w:val="000000"/>
                            <w:szCs w:val="21"/>
                          </w:rPr>
                        </w:pPr>
                        <w:r>
                          <w:rPr>
                            <w:rFonts w:hint="eastAsia"/>
                            <w:b/>
                            <w:bCs/>
                            <w:szCs w:val="21"/>
                          </w:rPr>
                          <w:t>五、现金及现金等价物净增加额</w:t>
                        </w:r>
                      </w:p>
                    </w:tc>
                  </w:sdtContent>
                </w:sdt>
                <w:tc>
                  <w:tcPr>
                    <w:tcW w:w="593" w:type="pct"/>
                    <w:tcBorders>
                      <w:top w:val="outset" w:sz="4" w:space="0" w:color="auto"/>
                      <w:left w:val="outset" w:sz="4" w:space="0" w:color="auto"/>
                      <w:bottom w:val="outset" w:sz="4" w:space="0" w:color="auto"/>
                      <w:right w:val="outset" w:sz="4" w:space="0" w:color="auto"/>
                    </w:tcBorders>
                  </w:tcPr>
                  <w:p w14:paraId="6B19EBBB"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5C756775" w14:textId="77777777" w:rsidR="00830E72" w:rsidRDefault="008344D8">
                    <w:pPr>
                      <w:jc w:val="right"/>
                      <w:rPr>
                        <w:szCs w:val="21"/>
                      </w:rPr>
                    </w:pPr>
                    <w:r>
                      <w:rPr>
                        <w:szCs w:val="21"/>
                      </w:rPr>
                      <w:t>537,373,085.54</w:t>
                    </w:r>
                  </w:p>
                </w:tc>
                <w:tc>
                  <w:tcPr>
                    <w:tcW w:w="1152" w:type="pct"/>
                    <w:tcBorders>
                      <w:top w:val="outset" w:sz="4" w:space="0" w:color="auto"/>
                      <w:left w:val="outset" w:sz="4" w:space="0" w:color="auto"/>
                      <w:bottom w:val="outset" w:sz="4" w:space="0" w:color="auto"/>
                      <w:right w:val="outset" w:sz="4" w:space="0" w:color="auto"/>
                    </w:tcBorders>
                    <w:vAlign w:val="center"/>
                  </w:tcPr>
                  <w:p w14:paraId="1F0EDD88" w14:textId="77777777" w:rsidR="00830E72" w:rsidRDefault="008344D8">
                    <w:pPr>
                      <w:jc w:val="right"/>
                      <w:rPr>
                        <w:szCs w:val="21"/>
                      </w:rPr>
                    </w:pPr>
                    <w:r>
                      <w:t>-109,000,554.11</w:t>
                    </w:r>
                  </w:p>
                </w:tc>
              </w:tr>
              <w:tr w:rsidR="00830E72" w14:paraId="6356B733" w14:textId="77777777">
                <w:sdt>
                  <w:sdtPr>
                    <w:tag w:val="_PLD_782deef70bc446e795d750d3d14aefbe"/>
                    <w:id w:val="1805736784"/>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1E1F175A" w14:textId="77777777" w:rsidR="00830E72" w:rsidRDefault="008344D8">
                        <w:pPr>
                          <w:ind w:firstLineChars="100" w:firstLine="210"/>
                          <w:rPr>
                            <w:color w:val="000000"/>
                            <w:szCs w:val="21"/>
                          </w:rPr>
                        </w:pPr>
                        <w:r>
                          <w:rPr>
                            <w:rFonts w:hint="eastAsia"/>
                            <w:szCs w:val="21"/>
                          </w:rPr>
                          <w:t>加：期初现金及现金等价物余额</w:t>
                        </w:r>
                      </w:p>
                    </w:tc>
                  </w:sdtContent>
                </w:sdt>
                <w:tc>
                  <w:tcPr>
                    <w:tcW w:w="593" w:type="pct"/>
                    <w:tcBorders>
                      <w:top w:val="outset" w:sz="4" w:space="0" w:color="auto"/>
                      <w:left w:val="outset" w:sz="4" w:space="0" w:color="auto"/>
                      <w:bottom w:val="outset" w:sz="4" w:space="0" w:color="auto"/>
                      <w:right w:val="outset" w:sz="4" w:space="0" w:color="auto"/>
                    </w:tcBorders>
                  </w:tcPr>
                  <w:p w14:paraId="29CFAA1E"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1EBE133F" w14:textId="77777777" w:rsidR="00830E72" w:rsidRDefault="008344D8">
                    <w:pPr>
                      <w:jc w:val="right"/>
                      <w:rPr>
                        <w:szCs w:val="21"/>
                      </w:rPr>
                    </w:pPr>
                    <w:r>
                      <w:rPr>
                        <w:szCs w:val="21"/>
                      </w:rPr>
                      <w:t>658,815,143.54</w:t>
                    </w:r>
                  </w:p>
                </w:tc>
                <w:tc>
                  <w:tcPr>
                    <w:tcW w:w="1152" w:type="pct"/>
                    <w:tcBorders>
                      <w:top w:val="outset" w:sz="4" w:space="0" w:color="auto"/>
                      <w:left w:val="outset" w:sz="4" w:space="0" w:color="auto"/>
                      <w:bottom w:val="outset" w:sz="4" w:space="0" w:color="auto"/>
                      <w:right w:val="outset" w:sz="4" w:space="0" w:color="auto"/>
                    </w:tcBorders>
                    <w:vAlign w:val="center"/>
                  </w:tcPr>
                  <w:p w14:paraId="7CF52343" w14:textId="77777777" w:rsidR="00830E72" w:rsidRDefault="008344D8">
                    <w:pPr>
                      <w:jc w:val="right"/>
                      <w:rPr>
                        <w:szCs w:val="21"/>
                      </w:rPr>
                    </w:pPr>
                    <w:r>
                      <w:t>622,918,767.22</w:t>
                    </w:r>
                  </w:p>
                </w:tc>
              </w:tr>
              <w:tr w:rsidR="00830E72" w14:paraId="61C9FCF7" w14:textId="77777777">
                <w:sdt>
                  <w:sdtPr>
                    <w:tag w:val="_PLD_ec70667dbbb64ee5a6d36588cda942f9"/>
                    <w:id w:val="-955792300"/>
                    <w:lock w:val="sdtLocked"/>
                  </w:sdtPr>
                  <w:sdtEndPr/>
                  <w:sdtContent>
                    <w:tc>
                      <w:tcPr>
                        <w:tcW w:w="2096" w:type="pct"/>
                        <w:tcBorders>
                          <w:top w:val="outset" w:sz="4" w:space="0" w:color="auto"/>
                          <w:left w:val="outset" w:sz="4" w:space="0" w:color="auto"/>
                          <w:bottom w:val="outset" w:sz="4" w:space="0" w:color="auto"/>
                          <w:right w:val="outset" w:sz="4" w:space="0" w:color="auto"/>
                        </w:tcBorders>
                      </w:tcPr>
                      <w:p w14:paraId="10BF1518" w14:textId="77777777" w:rsidR="00830E72" w:rsidRDefault="008344D8">
                        <w:pPr>
                          <w:rPr>
                            <w:color w:val="000000"/>
                            <w:szCs w:val="21"/>
                          </w:rPr>
                        </w:pPr>
                        <w:r>
                          <w:rPr>
                            <w:rFonts w:hint="eastAsia"/>
                            <w:b/>
                            <w:bCs/>
                            <w:szCs w:val="21"/>
                          </w:rPr>
                          <w:t>六、期末现金及现金等价物余额</w:t>
                        </w:r>
                      </w:p>
                    </w:tc>
                  </w:sdtContent>
                </w:sdt>
                <w:tc>
                  <w:tcPr>
                    <w:tcW w:w="593" w:type="pct"/>
                    <w:tcBorders>
                      <w:top w:val="outset" w:sz="4" w:space="0" w:color="auto"/>
                      <w:left w:val="outset" w:sz="4" w:space="0" w:color="auto"/>
                      <w:bottom w:val="outset" w:sz="4" w:space="0" w:color="auto"/>
                      <w:right w:val="outset" w:sz="4" w:space="0" w:color="auto"/>
                    </w:tcBorders>
                  </w:tcPr>
                  <w:p w14:paraId="0D98ECF9" w14:textId="77777777" w:rsidR="00830E72" w:rsidRDefault="00830E72">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3EC7C939" w14:textId="77777777" w:rsidR="00830E72" w:rsidRDefault="008344D8">
                    <w:pPr>
                      <w:jc w:val="right"/>
                      <w:rPr>
                        <w:szCs w:val="21"/>
                      </w:rPr>
                    </w:pPr>
                    <w:r>
                      <w:rPr>
                        <w:szCs w:val="21"/>
                      </w:rPr>
                      <w:t>1,196,188,229.08</w:t>
                    </w:r>
                  </w:p>
                </w:tc>
                <w:tc>
                  <w:tcPr>
                    <w:tcW w:w="1152" w:type="pct"/>
                    <w:tcBorders>
                      <w:top w:val="outset" w:sz="4" w:space="0" w:color="auto"/>
                      <w:left w:val="outset" w:sz="4" w:space="0" w:color="auto"/>
                      <w:bottom w:val="outset" w:sz="4" w:space="0" w:color="auto"/>
                      <w:right w:val="outset" w:sz="4" w:space="0" w:color="auto"/>
                    </w:tcBorders>
                    <w:vAlign w:val="center"/>
                  </w:tcPr>
                  <w:p w14:paraId="117F7576" w14:textId="77777777" w:rsidR="00830E72" w:rsidRDefault="008344D8">
                    <w:pPr>
                      <w:jc w:val="right"/>
                      <w:rPr>
                        <w:szCs w:val="21"/>
                      </w:rPr>
                    </w:pPr>
                    <w:r>
                      <w:t>513,918,213.11</w:t>
                    </w:r>
                  </w:p>
                </w:tc>
              </w:tr>
            </w:tbl>
            <w:p w14:paraId="1CFA8C6A" w14:textId="77777777" w:rsidR="00830E72" w:rsidRDefault="00830E72"/>
            <w:p w14:paraId="52E97B93" w14:textId="77777777" w:rsidR="00830E72" w:rsidRDefault="008344D8">
              <w:pPr>
                <w:snapToGrid w:val="0"/>
                <w:spacing w:line="240" w:lineRule="atLeast"/>
                <w:ind w:rightChars="-73" w:right="-153"/>
                <w:rPr>
                  <w:b/>
                  <w:bCs/>
                  <w:color w:val="FF0000"/>
                  <w:szCs w:val="21"/>
                </w:rPr>
              </w:pPr>
              <w:r>
                <w:rPr>
                  <w:szCs w:val="21"/>
                </w:rPr>
                <w:t>公司负责人</w:t>
              </w:r>
              <w:r>
                <w:rPr>
                  <w:rFonts w:hint="eastAsia"/>
                  <w:szCs w:val="21"/>
                </w:rPr>
                <w:t>：</w:t>
              </w:r>
              <w:sdt>
                <w:sdtPr>
                  <w:rPr>
                    <w:rFonts w:hint="eastAsia"/>
                    <w:szCs w:val="21"/>
                  </w:rPr>
                  <w:alias w:val="公司负责人"/>
                  <w:tag w:val="_GBC_b872f4b10a12453987b2d73dfe2a5ff9"/>
                  <w:id w:val="156496799"/>
                  <w:lock w:val="sdtLocked"/>
                  <w:placeholder>
                    <w:docPart w:val="GBC22222222222222222222222222222"/>
                  </w:placeholder>
                  <w:text/>
                </w:sdtPr>
                <w:sdtEndPr/>
                <w:sdtContent>
                  <w:r>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1866970703"/>
                  <w:lock w:val="sdtLocked"/>
                  <w:placeholder>
                    <w:docPart w:val="GBC22222222222222222222222222222"/>
                  </w:placeholder>
                  <w:text/>
                </w:sdtPr>
                <w:sdtEndPr/>
                <w:sdtContent>
                  <w:r>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1379359683"/>
                  <w:lock w:val="sdtLocked"/>
                  <w:placeholder>
                    <w:docPart w:val="GBC22222222222222222222222222222"/>
                  </w:placeholder>
                  <w:text/>
                </w:sdtPr>
                <w:sdtEndPr/>
                <w:sdtContent>
                  <w:r>
                    <w:rPr>
                      <w:rFonts w:hint="eastAsia"/>
                      <w:szCs w:val="21"/>
                    </w:rPr>
                    <w:t>王国鑫</w:t>
                  </w:r>
                </w:sdtContent>
              </w:sdt>
            </w:p>
          </w:sdtContent>
        </w:sdt>
        <w:p w14:paraId="623691AA" w14:textId="77777777" w:rsidR="00830E72" w:rsidRDefault="00D44830">
          <w:pPr>
            <w:rPr>
              <w:b/>
              <w:bCs/>
              <w:color w:val="FF0000"/>
              <w:szCs w:val="21"/>
            </w:rPr>
          </w:pPr>
        </w:p>
      </w:sdtContent>
    </w:sdt>
    <w:bookmarkEnd w:id="68"/>
    <w:p w14:paraId="627F09BC" w14:textId="77777777" w:rsidR="00830E72" w:rsidRDefault="00830E72">
      <w:pPr>
        <w:rPr>
          <w:szCs w:val="21"/>
        </w:rPr>
        <w:sectPr w:rsidR="00830E72">
          <w:pgSz w:w="11906" w:h="16838"/>
          <w:pgMar w:top="1525" w:right="1276" w:bottom="1440" w:left="1797" w:header="851" w:footer="992" w:gutter="0"/>
          <w:cols w:space="425"/>
          <w:docGrid w:linePitch="312"/>
        </w:sectPr>
      </w:pPr>
    </w:p>
    <w:bookmarkEnd w:id="69" w:displacedByCustomXml="next"/>
    <w:bookmarkStart w:id="70" w:name="_Hlk10211858" w:displacedByCustomXml="next"/>
    <w:sdt>
      <w:sdtPr>
        <w:rPr>
          <w:rFonts w:ascii="宋体" w:hAnsi="宋体" w:cs="宋体"/>
          <w:b w:val="0"/>
          <w:bCs w:val="0"/>
          <w:kern w:val="0"/>
          <w:szCs w:val="24"/>
        </w:rPr>
        <w:alias w:val="选项模块:需要编制合并报表"/>
        <w:tag w:val="_GBC_3b1dcbfa33024cc0a5c2f3d693817342"/>
        <w:id w:val="-1949696869"/>
        <w:lock w:val="sdtLocked"/>
        <w:placeholder>
          <w:docPart w:val="GBC22222222222222222222222222222"/>
        </w:placeholder>
      </w:sdtPr>
      <w:sdtEndPr>
        <w:rPr>
          <w:color w:val="FF0000"/>
        </w:rPr>
      </w:sdtEndPr>
      <w:sdtContent>
        <w:sdt>
          <w:sdtPr>
            <w:rPr>
              <w:rFonts w:ascii="宋体" w:hAnsi="宋体" w:cs="宋体"/>
              <w:b w:val="0"/>
              <w:bCs w:val="0"/>
              <w:kern w:val="0"/>
              <w:szCs w:val="24"/>
            </w:rPr>
            <w:tag w:val="_GBC_3eeab460b9b64d53b91f5e0ddcd3030f"/>
            <w:id w:val="-1040133589"/>
            <w:lock w:val="sdtLocked"/>
            <w:placeholder>
              <w:docPart w:val="GBC22222222222222222222222222222"/>
            </w:placeholder>
          </w:sdtPr>
          <w:sdtEndPr>
            <w:rPr>
              <w:rFonts w:hint="eastAsia"/>
              <w:szCs w:val="21"/>
            </w:rPr>
          </w:sdtEndPr>
          <w:sdtContent>
            <w:p w14:paraId="3EA56F7A" w14:textId="77777777" w:rsidR="00830E72" w:rsidRDefault="008344D8">
              <w:pPr>
                <w:pStyle w:val="Style99"/>
                <w:jc w:val="center"/>
                <w:rPr>
                  <w:rFonts w:ascii="宋体" w:hAnsi="宋体"/>
                </w:rPr>
              </w:pPr>
              <w:r>
                <w:rPr>
                  <w:rFonts w:ascii="宋体" w:hAnsi="宋体"/>
                </w:rPr>
                <w:t>合并</w:t>
              </w:r>
              <w:r>
                <w:rPr>
                  <w:rFonts w:ascii="宋体" w:hAnsi="宋体" w:hint="eastAsia"/>
                </w:rPr>
                <w:t>所有者权益变动表</w:t>
              </w:r>
            </w:p>
            <w:p w14:paraId="6BB270A9" w14:textId="77777777" w:rsidR="00830E72" w:rsidRDefault="008344D8">
              <w:pPr>
                <w:tabs>
                  <w:tab w:val="left" w:pos="10080"/>
                </w:tabs>
                <w:snapToGrid w:val="0"/>
                <w:spacing w:line="240" w:lineRule="atLeast"/>
                <w:ind w:rightChars="12" w:right="25"/>
                <w:jc w:val="center"/>
                <w:rPr>
                  <w:szCs w:val="21"/>
                </w:rPr>
              </w:pPr>
              <w:r>
                <w:rPr>
                  <w:szCs w:val="21"/>
                </w:rPr>
                <w:t>2021年</w:t>
              </w:r>
              <w:r>
                <w:rPr>
                  <w:rFonts w:hint="eastAsia"/>
                  <w:szCs w:val="21"/>
                </w:rPr>
                <w:t>1—6月</w:t>
              </w:r>
            </w:p>
            <w:p w14:paraId="3798FF54" w14:textId="77777777" w:rsidR="00830E72" w:rsidRDefault="008344D8">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6766438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14452649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9"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1382"/>
                <w:gridCol w:w="240"/>
                <w:gridCol w:w="251"/>
                <w:gridCol w:w="285"/>
                <w:gridCol w:w="1296"/>
                <w:gridCol w:w="291"/>
                <w:gridCol w:w="432"/>
                <w:gridCol w:w="1296"/>
                <w:gridCol w:w="1296"/>
                <w:gridCol w:w="432"/>
                <w:gridCol w:w="1296"/>
                <w:gridCol w:w="291"/>
                <w:gridCol w:w="1584"/>
                <w:gridCol w:w="1442"/>
                <w:gridCol w:w="1584"/>
              </w:tblGrid>
              <w:tr w:rsidR="00830E72" w14:paraId="3AA3CDD0" w14:textId="77777777">
                <w:trPr>
                  <w:cantSplit/>
                </w:trPr>
                <w:tc>
                  <w:tcPr>
                    <w:tcW w:w="254" w:type="pct"/>
                    <w:vMerge w:val="restart"/>
                    <w:vAlign w:val="center"/>
                  </w:tcPr>
                  <w:sdt>
                    <w:sdtPr>
                      <w:rPr>
                        <w:rFonts w:hint="eastAsia"/>
                        <w:sz w:val="18"/>
                        <w:szCs w:val="18"/>
                      </w:rPr>
                      <w:tag w:val="_PLD_5bd68ed5796041328d1a003c1362ceaf"/>
                      <w:id w:val="-1724970420"/>
                      <w:lock w:val="sdtLocked"/>
                    </w:sdtPr>
                    <w:sdtEndPr/>
                    <w:sdtContent>
                      <w:p w14:paraId="0387FDC8" w14:textId="77777777" w:rsidR="00830E72" w:rsidRDefault="008344D8">
                        <w:pPr>
                          <w:snapToGrid w:val="0"/>
                          <w:spacing w:line="240" w:lineRule="atLeast"/>
                          <w:jc w:val="center"/>
                          <w:rPr>
                            <w:sz w:val="18"/>
                            <w:szCs w:val="18"/>
                          </w:rPr>
                        </w:pPr>
                        <w:r>
                          <w:rPr>
                            <w:rFonts w:hint="eastAsia"/>
                            <w:sz w:val="18"/>
                            <w:szCs w:val="18"/>
                          </w:rPr>
                          <w:t>项目</w:t>
                        </w:r>
                      </w:p>
                    </w:sdtContent>
                  </w:sdt>
                </w:tc>
                <w:tc>
                  <w:tcPr>
                    <w:tcW w:w="4746" w:type="pct"/>
                    <w:gridSpan w:val="15"/>
                    <w:vAlign w:val="center"/>
                  </w:tcPr>
                  <w:p w14:paraId="131F80FB" w14:textId="77777777" w:rsidR="00830E72" w:rsidRDefault="00D44830">
                    <w:pPr>
                      <w:snapToGrid w:val="0"/>
                      <w:spacing w:line="240" w:lineRule="atLeast"/>
                      <w:ind w:rightChars="-759" w:right="-1594"/>
                      <w:jc w:val="center"/>
                    </w:pPr>
                    <w:sdt>
                      <w:sdtPr>
                        <w:tag w:val="_PLD_70c71cd0427542b1b96a0fa943173d3d"/>
                        <w:id w:val="-277648660"/>
                        <w:lock w:val="sdtLocked"/>
                      </w:sdtPr>
                      <w:sdtEndPr/>
                      <w:sdtContent>
                        <w:r w:rsidR="008344D8">
                          <w:rPr>
                            <w:rFonts w:hint="eastAsia"/>
                            <w:sz w:val="18"/>
                            <w:szCs w:val="18"/>
                          </w:rPr>
                          <w:t>2021年半年度</w:t>
                        </w:r>
                      </w:sdtContent>
                    </w:sdt>
                  </w:p>
                </w:tc>
              </w:tr>
              <w:tr w:rsidR="00830E72" w14:paraId="70F60EC1" w14:textId="77777777">
                <w:trPr>
                  <w:cantSplit/>
                  <w:trHeight w:val="540"/>
                </w:trPr>
                <w:tc>
                  <w:tcPr>
                    <w:tcW w:w="254" w:type="pct"/>
                    <w:vMerge/>
                  </w:tcPr>
                  <w:p w14:paraId="391B79FB" w14:textId="77777777" w:rsidR="00830E72" w:rsidRDefault="00830E72">
                    <w:pPr>
                      <w:snapToGrid w:val="0"/>
                      <w:spacing w:line="240" w:lineRule="atLeast"/>
                      <w:ind w:rightChars="-759" w:right="-1594"/>
                      <w:rPr>
                        <w:sz w:val="18"/>
                        <w:szCs w:val="18"/>
                      </w:rPr>
                    </w:pPr>
                  </w:p>
                </w:tc>
                <w:sdt>
                  <w:sdtPr>
                    <w:tag w:val="_PLD_e146ec74496c4c03a714dcef40faa972"/>
                    <w:id w:val="-1671556221"/>
                    <w:lock w:val="sdtLocked"/>
                  </w:sdtPr>
                  <w:sdtEndPr/>
                  <w:sdtContent>
                    <w:tc>
                      <w:tcPr>
                        <w:tcW w:w="3674" w:type="pct"/>
                        <w:gridSpan w:val="13"/>
                        <w:vAlign w:val="center"/>
                      </w:tcPr>
                      <w:p w14:paraId="6E236EB8" w14:textId="77777777" w:rsidR="00830E72" w:rsidRDefault="008344D8">
                        <w:pPr>
                          <w:jc w:val="center"/>
                        </w:pPr>
                        <w:r>
                          <w:rPr>
                            <w:sz w:val="18"/>
                            <w:szCs w:val="18"/>
                          </w:rPr>
                          <w:t>归属于母公司所有者权益</w:t>
                        </w:r>
                      </w:p>
                    </w:tc>
                  </w:sdtContent>
                </w:sdt>
                <w:sdt>
                  <w:sdtPr>
                    <w:tag w:val="_PLD_b1ca85c50c1341e59b4b412e92d87f2f"/>
                    <w:id w:val="1344748393"/>
                    <w:lock w:val="sdtLocked"/>
                  </w:sdtPr>
                  <w:sdtEndPr/>
                  <w:sdtContent>
                    <w:tc>
                      <w:tcPr>
                        <w:tcW w:w="511" w:type="pct"/>
                        <w:vMerge w:val="restart"/>
                        <w:vAlign w:val="center"/>
                      </w:tcPr>
                      <w:p w14:paraId="605B6F32" w14:textId="77777777" w:rsidR="00830E72" w:rsidRDefault="008344D8">
                        <w:pPr>
                          <w:jc w:val="center"/>
                          <w:rPr>
                            <w:sz w:val="18"/>
                            <w:szCs w:val="18"/>
                          </w:rPr>
                        </w:pPr>
                        <w:r>
                          <w:rPr>
                            <w:sz w:val="18"/>
                            <w:szCs w:val="18"/>
                          </w:rPr>
                          <w:t>少数股东权益</w:t>
                        </w:r>
                      </w:p>
                    </w:tc>
                  </w:sdtContent>
                </w:sdt>
                <w:sdt>
                  <w:sdtPr>
                    <w:tag w:val="_PLD_0e252e0d00f04386b93d4e3064ba423d"/>
                    <w:id w:val="117732115"/>
                    <w:lock w:val="sdtLocked"/>
                  </w:sdtPr>
                  <w:sdtEndPr/>
                  <w:sdtContent>
                    <w:tc>
                      <w:tcPr>
                        <w:tcW w:w="562" w:type="pct"/>
                        <w:vMerge w:val="restart"/>
                        <w:vAlign w:val="center"/>
                      </w:tcPr>
                      <w:p w14:paraId="2EC5AFCD" w14:textId="77777777" w:rsidR="00830E72" w:rsidRDefault="008344D8">
                        <w:pPr>
                          <w:jc w:val="center"/>
                          <w:rPr>
                            <w:sz w:val="18"/>
                            <w:szCs w:val="18"/>
                          </w:rPr>
                        </w:pPr>
                        <w:r>
                          <w:rPr>
                            <w:sz w:val="18"/>
                            <w:szCs w:val="18"/>
                          </w:rPr>
                          <w:t>所有者权益合计</w:t>
                        </w:r>
                      </w:p>
                    </w:tc>
                  </w:sdtContent>
                </w:sdt>
              </w:tr>
              <w:tr w:rsidR="00830E72" w14:paraId="673D9025" w14:textId="77777777">
                <w:trPr>
                  <w:cantSplit/>
                  <w:trHeight w:val="352"/>
                </w:trPr>
                <w:tc>
                  <w:tcPr>
                    <w:tcW w:w="254" w:type="pct"/>
                    <w:vMerge/>
                  </w:tcPr>
                  <w:p w14:paraId="2AA106AA" w14:textId="77777777" w:rsidR="00830E72" w:rsidRDefault="00830E72">
                    <w:pPr>
                      <w:snapToGrid w:val="0"/>
                      <w:spacing w:line="240" w:lineRule="atLeast"/>
                      <w:ind w:rightChars="-759" w:right="-1594"/>
                      <w:rPr>
                        <w:sz w:val="18"/>
                        <w:szCs w:val="18"/>
                      </w:rPr>
                    </w:pPr>
                  </w:p>
                </w:tc>
                <w:sdt>
                  <w:sdtPr>
                    <w:tag w:val="_PLD_1605afb5a60946a9ba86cca783d492d3"/>
                    <w:id w:val="832188578"/>
                    <w:lock w:val="sdtLocked"/>
                  </w:sdtPr>
                  <w:sdtEndPr/>
                  <w:sdtContent>
                    <w:tc>
                      <w:tcPr>
                        <w:tcW w:w="490" w:type="pct"/>
                        <w:vMerge w:val="restart"/>
                        <w:vAlign w:val="center"/>
                      </w:tcPr>
                      <w:p w14:paraId="7E8967AB" w14:textId="77777777" w:rsidR="00830E72" w:rsidRDefault="008344D8">
                        <w:pPr>
                          <w:snapToGrid w:val="0"/>
                          <w:spacing w:line="240" w:lineRule="atLeast"/>
                          <w:jc w:val="center"/>
                          <w:rPr>
                            <w:sz w:val="18"/>
                            <w:szCs w:val="18"/>
                          </w:rPr>
                        </w:pPr>
                        <w:r>
                          <w:rPr>
                            <w:rFonts w:hint="eastAsia"/>
                            <w:sz w:val="18"/>
                            <w:szCs w:val="18"/>
                          </w:rPr>
                          <w:t>实收资本</w:t>
                        </w:r>
                        <w:r>
                          <w:rPr>
                            <w:sz w:val="18"/>
                            <w:szCs w:val="18"/>
                          </w:rPr>
                          <w:t xml:space="preserve"> (或股本)</w:t>
                        </w:r>
                      </w:p>
                    </w:tc>
                  </w:sdtContent>
                </w:sdt>
                <w:sdt>
                  <w:sdtPr>
                    <w:tag w:val="_PLD_78f5e518a65d422c99d27d23e96afb9e"/>
                    <w:id w:val="-257525359"/>
                    <w:lock w:val="sdtLocked"/>
                  </w:sdtPr>
                  <w:sdtEndPr/>
                  <w:sdtContent>
                    <w:tc>
                      <w:tcPr>
                        <w:tcW w:w="275" w:type="pct"/>
                        <w:gridSpan w:val="3"/>
                        <w:vAlign w:val="center"/>
                      </w:tcPr>
                      <w:p w14:paraId="785B08FF" w14:textId="77777777" w:rsidR="00830E72" w:rsidRDefault="008344D8">
                        <w:pPr>
                          <w:snapToGrid w:val="0"/>
                          <w:spacing w:line="240" w:lineRule="atLeast"/>
                          <w:jc w:val="center"/>
                          <w:rPr>
                            <w:sz w:val="18"/>
                            <w:szCs w:val="18"/>
                          </w:rPr>
                        </w:pPr>
                        <w:r>
                          <w:rPr>
                            <w:rFonts w:hint="eastAsia"/>
                            <w:sz w:val="18"/>
                            <w:szCs w:val="18"/>
                          </w:rPr>
                          <w:t>其他权益工具</w:t>
                        </w:r>
                      </w:p>
                    </w:tc>
                  </w:sdtContent>
                </w:sdt>
                <w:sdt>
                  <w:sdtPr>
                    <w:tag w:val="_PLD_f67d05ac9f6f4daaafdf90084911dcee"/>
                    <w:id w:val="-1918693687"/>
                    <w:lock w:val="sdtLocked"/>
                  </w:sdtPr>
                  <w:sdtEndPr/>
                  <w:sdtContent>
                    <w:tc>
                      <w:tcPr>
                        <w:tcW w:w="459" w:type="pct"/>
                        <w:vMerge w:val="restart"/>
                        <w:vAlign w:val="center"/>
                      </w:tcPr>
                      <w:p w14:paraId="577524D5" w14:textId="77777777" w:rsidR="00830E72" w:rsidRDefault="008344D8">
                        <w:pPr>
                          <w:snapToGrid w:val="0"/>
                          <w:spacing w:line="240" w:lineRule="atLeast"/>
                          <w:jc w:val="center"/>
                          <w:rPr>
                            <w:sz w:val="18"/>
                            <w:szCs w:val="18"/>
                          </w:rPr>
                        </w:pPr>
                        <w:r>
                          <w:rPr>
                            <w:rFonts w:hint="eastAsia"/>
                            <w:sz w:val="18"/>
                            <w:szCs w:val="18"/>
                          </w:rPr>
                          <w:t>资本公积</w:t>
                        </w:r>
                      </w:p>
                    </w:tc>
                  </w:sdtContent>
                </w:sdt>
                <w:sdt>
                  <w:sdtPr>
                    <w:tag w:val="_PLD_21df11f52b3443acacf7dd8421b5cc67"/>
                    <w:id w:val="316545473"/>
                    <w:lock w:val="sdtLocked"/>
                  </w:sdtPr>
                  <w:sdtEndPr/>
                  <w:sdtContent>
                    <w:tc>
                      <w:tcPr>
                        <w:tcW w:w="103" w:type="pct"/>
                        <w:vMerge w:val="restart"/>
                        <w:vAlign w:val="center"/>
                      </w:tcPr>
                      <w:p w14:paraId="4412E582" w14:textId="77777777" w:rsidR="00830E72" w:rsidRDefault="008344D8">
                        <w:pPr>
                          <w:snapToGrid w:val="0"/>
                          <w:spacing w:line="240" w:lineRule="atLeast"/>
                          <w:jc w:val="center"/>
                          <w:rPr>
                            <w:sz w:val="18"/>
                            <w:szCs w:val="18"/>
                          </w:rPr>
                        </w:pPr>
                        <w:r>
                          <w:rPr>
                            <w:rFonts w:hint="eastAsia"/>
                            <w:sz w:val="18"/>
                            <w:szCs w:val="18"/>
                          </w:rPr>
                          <w:t>减：库存股</w:t>
                        </w:r>
                      </w:p>
                    </w:tc>
                  </w:sdtContent>
                </w:sdt>
                <w:sdt>
                  <w:sdtPr>
                    <w:tag w:val="_PLD_bdc12fd277ea4fbe9c90f9480d9ecddb"/>
                    <w:id w:val="-1243416709"/>
                    <w:lock w:val="sdtLocked"/>
                  </w:sdtPr>
                  <w:sdtEndPr/>
                  <w:sdtContent>
                    <w:tc>
                      <w:tcPr>
                        <w:tcW w:w="153" w:type="pct"/>
                        <w:vMerge w:val="restart"/>
                        <w:vAlign w:val="center"/>
                      </w:tcPr>
                      <w:p w14:paraId="23FB75CF" w14:textId="77777777" w:rsidR="00830E72" w:rsidRDefault="008344D8">
                        <w:pPr>
                          <w:snapToGrid w:val="0"/>
                          <w:spacing w:line="240" w:lineRule="atLeast"/>
                          <w:jc w:val="center"/>
                          <w:rPr>
                            <w:sz w:val="18"/>
                            <w:szCs w:val="18"/>
                          </w:rPr>
                        </w:pPr>
                        <w:r>
                          <w:rPr>
                            <w:rFonts w:hint="eastAsia"/>
                            <w:sz w:val="18"/>
                            <w:szCs w:val="18"/>
                          </w:rPr>
                          <w:t>其他综合收益</w:t>
                        </w:r>
                      </w:p>
                    </w:tc>
                  </w:sdtContent>
                </w:sdt>
                <w:sdt>
                  <w:sdtPr>
                    <w:tag w:val="_PLD_b4aa95f4be904a02958b77b5542bb78d"/>
                    <w:id w:val="-830679294"/>
                    <w:lock w:val="sdtLocked"/>
                  </w:sdtPr>
                  <w:sdtEndPr/>
                  <w:sdtContent>
                    <w:tc>
                      <w:tcPr>
                        <w:tcW w:w="459" w:type="pct"/>
                        <w:vMerge w:val="restart"/>
                        <w:vAlign w:val="center"/>
                      </w:tcPr>
                      <w:p w14:paraId="00E347EA" w14:textId="77777777" w:rsidR="00830E72" w:rsidRDefault="008344D8">
                        <w:pPr>
                          <w:snapToGrid w:val="0"/>
                          <w:spacing w:line="240" w:lineRule="atLeast"/>
                          <w:jc w:val="center"/>
                          <w:rPr>
                            <w:sz w:val="18"/>
                            <w:szCs w:val="18"/>
                          </w:rPr>
                        </w:pPr>
                        <w:r>
                          <w:rPr>
                            <w:rFonts w:hint="eastAsia"/>
                            <w:sz w:val="18"/>
                            <w:szCs w:val="18"/>
                          </w:rPr>
                          <w:t>专项储备</w:t>
                        </w:r>
                      </w:p>
                    </w:tc>
                  </w:sdtContent>
                </w:sdt>
                <w:sdt>
                  <w:sdtPr>
                    <w:tag w:val="_PLD_1ee8f47ee38e4000af64e781a1a0e729"/>
                    <w:id w:val="187030664"/>
                    <w:lock w:val="sdtLocked"/>
                  </w:sdtPr>
                  <w:sdtEndPr/>
                  <w:sdtContent>
                    <w:tc>
                      <w:tcPr>
                        <w:tcW w:w="459" w:type="pct"/>
                        <w:vMerge w:val="restart"/>
                        <w:vAlign w:val="center"/>
                      </w:tcPr>
                      <w:p w14:paraId="2A4A9AF3" w14:textId="77777777" w:rsidR="00830E72" w:rsidRDefault="008344D8">
                        <w:pPr>
                          <w:snapToGrid w:val="0"/>
                          <w:spacing w:line="240" w:lineRule="atLeast"/>
                          <w:jc w:val="center"/>
                          <w:rPr>
                            <w:sz w:val="18"/>
                            <w:szCs w:val="18"/>
                          </w:rPr>
                        </w:pPr>
                        <w:r>
                          <w:rPr>
                            <w:rFonts w:hint="eastAsia"/>
                            <w:sz w:val="18"/>
                            <w:szCs w:val="18"/>
                          </w:rPr>
                          <w:t>盈余公积</w:t>
                        </w:r>
                      </w:p>
                    </w:tc>
                  </w:sdtContent>
                </w:sdt>
                <w:sdt>
                  <w:sdtPr>
                    <w:tag w:val="_PLD_b09258af0aa4494b8e88e711ca2dd7b8"/>
                    <w:id w:val="916598813"/>
                    <w:lock w:val="sdtLocked"/>
                  </w:sdtPr>
                  <w:sdtEndPr/>
                  <w:sdtContent>
                    <w:tc>
                      <w:tcPr>
                        <w:tcW w:w="153" w:type="pct"/>
                        <w:vMerge w:val="restart"/>
                        <w:vAlign w:val="center"/>
                      </w:tcPr>
                      <w:p w14:paraId="0B2725F0" w14:textId="77777777" w:rsidR="00830E72" w:rsidRDefault="008344D8">
                        <w:pPr>
                          <w:snapToGrid w:val="0"/>
                          <w:spacing w:line="240" w:lineRule="atLeast"/>
                          <w:jc w:val="center"/>
                          <w:rPr>
                            <w:sz w:val="18"/>
                            <w:szCs w:val="18"/>
                          </w:rPr>
                        </w:pPr>
                        <w:r>
                          <w:rPr>
                            <w:rFonts w:hint="eastAsia"/>
                            <w:sz w:val="18"/>
                            <w:szCs w:val="18"/>
                          </w:rPr>
                          <w:t>一般风险准备</w:t>
                        </w:r>
                      </w:p>
                    </w:tc>
                  </w:sdtContent>
                </w:sdt>
                <w:sdt>
                  <w:sdtPr>
                    <w:tag w:val="_PLD_f20054bead0a491aafe7bb5a5952f48f"/>
                    <w:id w:val="-1951694283"/>
                    <w:lock w:val="sdtLocked"/>
                  </w:sdtPr>
                  <w:sdtEndPr/>
                  <w:sdtContent>
                    <w:tc>
                      <w:tcPr>
                        <w:tcW w:w="459" w:type="pct"/>
                        <w:vMerge w:val="restart"/>
                        <w:vAlign w:val="center"/>
                      </w:tcPr>
                      <w:p w14:paraId="77E71601" w14:textId="77777777" w:rsidR="00830E72" w:rsidRDefault="008344D8">
                        <w:pPr>
                          <w:snapToGrid w:val="0"/>
                          <w:spacing w:line="240" w:lineRule="atLeast"/>
                          <w:jc w:val="center"/>
                          <w:rPr>
                            <w:sz w:val="18"/>
                            <w:szCs w:val="18"/>
                          </w:rPr>
                        </w:pPr>
                        <w:r>
                          <w:rPr>
                            <w:rFonts w:hint="eastAsia"/>
                            <w:sz w:val="18"/>
                            <w:szCs w:val="18"/>
                          </w:rPr>
                          <w:t>未分配利润</w:t>
                        </w:r>
                      </w:p>
                    </w:tc>
                  </w:sdtContent>
                </w:sdt>
                <w:tc>
                  <w:tcPr>
                    <w:tcW w:w="103" w:type="pct"/>
                    <w:vMerge w:val="restart"/>
                    <w:vAlign w:val="center"/>
                  </w:tcPr>
                  <w:sdt>
                    <w:sdtPr>
                      <w:rPr>
                        <w:rFonts w:hint="eastAsia"/>
                        <w:sz w:val="18"/>
                        <w:szCs w:val="18"/>
                      </w:rPr>
                      <w:tag w:val="_PLD_ee763dfa69fd4fa3bec927cefa83eadc"/>
                      <w:id w:val="1196880259"/>
                      <w:lock w:val="sdtLocked"/>
                    </w:sdtPr>
                    <w:sdtEndPr/>
                    <w:sdtContent>
                      <w:p w14:paraId="77441431" w14:textId="77777777" w:rsidR="00830E72" w:rsidRDefault="008344D8">
                        <w:pPr>
                          <w:jc w:val="center"/>
                          <w:rPr>
                            <w:sz w:val="18"/>
                            <w:szCs w:val="18"/>
                          </w:rPr>
                        </w:pPr>
                        <w:r>
                          <w:rPr>
                            <w:rFonts w:hint="eastAsia"/>
                            <w:sz w:val="18"/>
                            <w:szCs w:val="18"/>
                          </w:rPr>
                          <w:t>其他</w:t>
                        </w:r>
                      </w:p>
                    </w:sdtContent>
                  </w:sdt>
                </w:tc>
                <w:tc>
                  <w:tcPr>
                    <w:tcW w:w="561" w:type="pct"/>
                    <w:vMerge w:val="restart"/>
                    <w:vAlign w:val="center"/>
                  </w:tcPr>
                  <w:sdt>
                    <w:sdtPr>
                      <w:rPr>
                        <w:rFonts w:hint="eastAsia"/>
                        <w:sz w:val="18"/>
                        <w:szCs w:val="18"/>
                      </w:rPr>
                      <w:tag w:val="_PLD_97c92cf2be1e4f36880a16a2c16704b4"/>
                      <w:id w:val="-536965763"/>
                      <w:lock w:val="sdtLocked"/>
                    </w:sdtPr>
                    <w:sdtEndPr/>
                    <w:sdtContent>
                      <w:p w14:paraId="09C78CB9" w14:textId="77777777" w:rsidR="00830E72" w:rsidRDefault="008344D8">
                        <w:pPr>
                          <w:jc w:val="center"/>
                          <w:rPr>
                            <w:sz w:val="18"/>
                            <w:szCs w:val="18"/>
                          </w:rPr>
                        </w:pPr>
                        <w:r>
                          <w:rPr>
                            <w:rFonts w:hint="eastAsia"/>
                            <w:sz w:val="18"/>
                            <w:szCs w:val="18"/>
                          </w:rPr>
                          <w:t>小计</w:t>
                        </w:r>
                      </w:p>
                    </w:sdtContent>
                  </w:sdt>
                </w:tc>
                <w:tc>
                  <w:tcPr>
                    <w:tcW w:w="511" w:type="pct"/>
                    <w:vMerge/>
                  </w:tcPr>
                  <w:p w14:paraId="476E3E7E" w14:textId="77777777" w:rsidR="00830E72" w:rsidRDefault="00830E72">
                    <w:pPr>
                      <w:jc w:val="center"/>
                      <w:rPr>
                        <w:sz w:val="18"/>
                        <w:szCs w:val="18"/>
                      </w:rPr>
                    </w:pPr>
                  </w:p>
                </w:tc>
                <w:tc>
                  <w:tcPr>
                    <w:tcW w:w="562" w:type="pct"/>
                    <w:vMerge/>
                  </w:tcPr>
                  <w:p w14:paraId="6B6044D5" w14:textId="77777777" w:rsidR="00830E72" w:rsidRDefault="00830E72">
                    <w:pPr>
                      <w:jc w:val="center"/>
                      <w:rPr>
                        <w:sz w:val="18"/>
                        <w:szCs w:val="18"/>
                      </w:rPr>
                    </w:pPr>
                  </w:p>
                </w:tc>
              </w:tr>
              <w:tr w:rsidR="00830E72" w14:paraId="0F811D23" w14:textId="77777777">
                <w:trPr>
                  <w:cantSplit/>
                  <w:trHeight w:val="345"/>
                </w:trPr>
                <w:tc>
                  <w:tcPr>
                    <w:tcW w:w="254" w:type="pct"/>
                    <w:vMerge/>
                  </w:tcPr>
                  <w:p w14:paraId="3FCFC384" w14:textId="77777777" w:rsidR="00830E72" w:rsidRDefault="00830E72">
                    <w:pPr>
                      <w:snapToGrid w:val="0"/>
                      <w:spacing w:line="240" w:lineRule="atLeast"/>
                      <w:ind w:rightChars="-759" w:right="-1594"/>
                      <w:rPr>
                        <w:sz w:val="18"/>
                        <w:szCs w:val="18"/>
                      </w:rPr>
                    </w:pPr>
                  </w:p>
                </w:tc>
                <w:tc>
                  <w:tcPr>
                    <w:tcW w:w="490" w:type="pct"/>
                    <w:vMerge/>
                  </w:tcPr>
                  <w:p w14:paraId="208C8442" w14:textId="77777777" w:rsidR="00830E72" w:rsidRDefault="00830E72">
                    <w:pPr>
                      <w:snapToGrid w:val="0"/>
                      <w:spacing w:line="240" w:lineRule="atLeast"/>
                      <w:jc w:val="center"/>
                      <w:rPr>
                        <w:sz w:val="18"/>
                        <w:szCs w:val="18"/>
                      </w:rPr>
                    </w:pPr>
                  </w:p>
                </w:tc>
                <w:sdt>
                  <w:sdtPr>
                    <w:tag w:val="_PLD_7b6493af25ff4e3986120f711cb3be4e"/>
                    <w:id w:val="-437063751"/>
                    <w:lock w:val="sdtLocked"/>
                  </w:sdtPr>
                  <w:sdtEndPr/>
                  <w:sdtContent>
                    <w:tc>
                      <w:tcPr>
                        <w:tcW w:w="85" w:type="pct"/>
                        <w:vAlign w:val="center"/>
                      </w:tcPr>
                      <w:p w14:paraId="49BAA1A1" w14:textId="77777777" w:rsidR="00830E72" w:rsidRDefault="008344D8">
                        <w:pPr>
                          <w:snapToGrid w:val="0"/>
                          <w:spacing w:line="240" w:lineRule="atLeast"/>
                          <w:jc w:val="center"/>
                          <w:rPr>
                            <w:sz w:val="18"/>
                            <w:szCs w:val="18"/>
                          </w:rPr>
                        </w:pPr>
                        <w:r>
                          <w:rPr>
                            <w:rFonts w:hint="eastAsia"/>
                            <w:sz w:val="18"/>
                            <w:szCs w:val="18"/>
                          </w:rPr>
                          <w:t>优先股</w:t>
                        </w:r>
                      </w:p>
                    </w:tc>
                  </w:sdtContent>
                </w:sdt>
                <w:sdt>
                  <w:sdtPr>
                    <w:tag w:val="_PLD_446c35c8857c4ad0bb648db82e104141"/>
                    <w:id w:val="1047716483"/>
                    <w:lock w:val="sdtLocked"/>
                  </w:sdtPr>
                  <w:sdtEndPr/>
                  <w:sdtContent>
                    <w:tc>
                      <w:tcPr>
                        <w:tcW w:w="89" w:type="pct"/>
                        <w:vAlign w:val="center"/>
                      </w:tcPr>
                      <w:p w14:paraId="17D78C89" w14:textId="77777777" w:rsidR="00830E72" w:rsidRDefault="008344D8">
                        <w:pPr>
                          <w:snapToGrid w:val="0"/>
                          <w:spacing w:line="240" w:lineRule="atLeast"/>
                          <w:jc w:val="center"/>
                          <w:rPr>
                            <w:sz w:val="18"/>
                            <w:szCs w:val="18"/>
                          </w:rPr>
                        </w:pPr>
                        <w:r>
                          <w:rPr>
                            <w:rFonts w:hint="eastAsia"/>
                            <w:sz w:val="18"/>
                            <w:szCs w:val="18"/>
                          </w:rPr>
                          <w:t>永续债</w:t>
                        </w:r>
                      </w:p>
                    </w:tc>
                  </w:sdtContent>
                </w:sdt>
                <w:sdt>
                  <w:sdtPr>
                    <w:tag w:val="_PLD_e8048d05ab294ec8a2a849ca1f70a7c9"/>
                    <w:id w:val="2007783934"/>
                    <w:lock w:val="sdtLocked"/>
                  </w:sdtPr>
                  <w:sdtEndPr/>
                  <w:sdtContent>
                    <w:tc>
                      <w:tcPr>
                        <w:tcW w:w="101" w:type="pct"/>
                        <w:vAlign w:val="center"/>
                      </w:tcPr>
                      <w:p w14:paraId="43371E97" w14:textId="77777777" w:rsidR="00830E72" w:rsidRDefault="008344D8">
                        <w:pPr>
                          <w:snapToGrid w:val="0"/>
                          <w:spacing w:line="240" w:lineRule="atLeast"/>
                          <w:jc w:val="center"/>
                          <w:rPr>
                            <w:sz w:val="18"/>
                            <w:szCs w:val="18"/>
                          </w:rPr>
                        </w:pPr>
                        <w:r>
                          <w:rPr>
                            <w:rFonts w:hint="eastAsia"/>
                            <w:sz w:val="18"/>
                            <w:szCs w:val="18"/>
                          </w:rPr>
                          <w:t>其他</w:t>
                        </w:r>
                      </w:p>
                    </w:tc>
                  </w:sdtContent>
                </w:sdt>
                <w:tc>
                  <w:tcPr>
                    <w:tcW w:w="459" w:type="pct"/>
                    <w:vMerge/>
                  </w:tcPr>
                  <w:p w14:paraId="349D50E3" w14:textId="77777777" w:rsidR="00830E72" w:rsidRDefault="00830E72">
                    <w:pPr>
                      <w:snapToGrid w:val="0"/>
                      <w:spacing w:line="240" w:lineRule="atLeast"/>
                      <w:jc w:val="center"/>
                      <w:rPr>
                        <w:sz w:val="18"/>
                        <w:szCs w:val="18"/>
                      </w:rPr>
                    </w:pPr>
                  </w:p>
                </w:tc>
                <w:tc>
                  <w:tcPr>
                    <w:tcW w:w="103" w:type="pct"/>
                    <w:vMerge/>
                  </w:tcPr>
                  <w:p w14:paraId="1234D9A0" w14:textId="77777777" w:rsidR="00830E72" w:rsidRDefault="00830E72">
                    <w:pPr>
                      <w:snapToGrid w:val="0"/>
                      <w:spacing w:line="240" w:lineRule="atLeast"/>
                      <w:jc w:val="center"/>
                      <w:rPr>
                        <w:sz w:val="18"/>
                        <w:szCs w:val="18"/>
                      </w:rPr>
                    </w:pPr>
                  </w:p>
                </w:tc>
                <w:tc>
                  <w:tcPr>
                    <w:tcW w:w="153" w:type="pct"/>
                    <w:vMerge/>
                  </w:tcPr>
                  <w:p w14:paraId="108D9BB4" w14:textId="77777777" w:rsidR="00830E72" w:rsidRDefault="00830E72">
                    <w:pPr>
                      <w:snapToGrid w:val="0"/>
                      <w:spacing w:line="240" w:lineRule="atLeast"/>
                      <w:jc w:val="center"/>
                      <w:rPr>
                        <w:sz w:val="18"/>
                        <w:szCs w:val="18"/>
                      </w:rPr>
                    </w:pPr>
                  </w:p>
                </w:tc>
                <w:tc>
                  <w:tcPr>
                    <w:tcW w:w="459" w:type="pct"/>
                    <w:vMerge/>
                  </w:tcPr>
                  <w:p w14:paraId="239B144C" w14:textId="77777777" w:rsidR="00830E72" w:rsidRDefault="00830E72">
                    <w:pPr>
                      <w:snapToGrid w:val="0"/>
                      <w:spacing w:line="240" w:lineRule="atLeast"/>
                      <w:jc w:val="center"/>
                      <w:rPr>
                        <w:sz w:val="18"/>
                        <w:szCs w:val="18"/>
                      </w:rPr>
                    </w:pPr>
                  </w:p>
                </w:tc>
                <w:tc>
                  <w:tcPr>
                    <w:tcW w:w="459" w:type="pct"/>
                    <w:vMerge/>
                  </w:tcPr>
                  <w:p w14:paraId="0F665B2A" w14:textId="77777777" w:rsidR="00830E72" w:rsidRDefault="00830E72">
                    <w:pPr>
                      <w:snapToGrid w:val="0"/>
                      <w:spacing w:line="240" w:lineRule="atLeast"/>
                      <w:jc w:val="center"/>
                      <w:rPr>
                        <w:sz w:val="18"/>
                        <w:szCs w:val="18"/>
                      </w:rPr>
                    </w:pPr>
                  </w:p>
                </w:tc>
                <w:tc>
                  <w:tcPr>
                    <w:tcW w:w="153" w:type="pct"/>
                    <w:vMerge/>
                  </w:tcPr>
                  <w:p w14:paraId="64C40C88" w14:textId="77777777" w:rsidR="00830E72" w:rsidRDefault="00830E72">
                    <w:pPr>
                      <w:snapToGrid w:val="0"/>
                      <w:spacing w:line="240" w:lineRule="atLeast"/>
                      <w:jc w:val="center"/>
                      <w:rPr>
                        <w:sz w:val="18"/>
                        <w:szCs w:val="18"/>
                      </w:rPr>
                    </w:pPr>
                  </w:p>
                </w:tc>
                <w:tc>
                  <w:tcPr>
                    <w:tcW w:w="459" w:type="pct"/>
                    <w:vMerge/>
                  </w:tcPr>
                  <w:p w14:paraId="5021B90A" w14:textId="77777777" w:rsidR="00830E72" w:rsidRDefault="00830E72">
                    <w:pPr>
                      <w:snapToGrid w:val="0"/>
                      <w:spacing w:line="240" w:lineRule="atLeast"/>
                      <w:jc w:val="center"/>
                      <w:rPr>
                        <w:sz w:val="18"/>
                        <w:szCs w:val="18"/>
                      </w:rPr>
                    </w:pPr>
                  </w:p>
                </w:tc>
                <w:tc>
                  <w:tcPr>
                    <w:tcW w:w="103" w:type="pct"/>
                    <w:vMerge/>
                  </w:tcPr>
                  <w:p w14:paraId="38C4833C" w14:textId="77777777" w:rsidR="00830E72" w:rsidRDefault="00830E72">
                    <w:pPr>
                      <w:jc w:val="center"/>
                      <w:rPr>
                        <w:sz w:val="18"/>
                        <w:szCs w:val="18"/>
                      </w:rPr>
                    </w:pPr>
                  </w:p>
                </w:tc>
                <w:tc>
                  <w:tcPr>
                    <w:tcW w:w="561" w:type="pct"/>
                    <w:vMerge/>
                  </w:tcPr>
                  <w:p w14:paraId="65EB5D07" w14:textId="77777777" w:rsidR="00830E72" w:rsidRDefault="00830E72">
                    <w:pPr>
                      <w:jc w:val="center"/>
                      <w:rPr>
                        <w:sz w:val="18"/>
                        <w:szCs w:val="18"/>
                      </w:rPr>
                    </w:pPr>
                  </w:p>
                </w:tc>
                <w:tc>
                  <w:tcPr>
                    <w:tcW w:w="511" w:type="pct"/>
                    <w:vMerge/>
                  </w:tcPr>
                  <w:p w14:paraId="115CB348" w14:textId="77777777" w:rsidR="00830E72" w:rsidRDefault="00830E72">
                    <w:pPr>
                      <w:jc w:val="center"/>
                      <w:rPr>
                        <w:sz w:val="18"/>
                        <w:szCs w:val="18"/>
                      </w:rPr>
                    </w:pPr>
                  </w:p>
                </w:tc>
                <w:tc>
                  <w:tcPr>
                    <w:tcW w:w="562" w:type="pct"/>
                    <w:vMerge/>
                    <w:tcBorders>
                      <w:bottom w:val="nil"/>
                    </w:tcBorders>
                  </w:tcPr>
                  <w:p w14:paraId="2C568D8D" w14:textId="77777777" w:rsidR="00830E72" w:rsidRDefault="00830E72">
                    <w:pPr>
                      <w:jc w:val="center"/>
                      <w:rPr>
                        <w:sz w:val="18"/>
                        <w:szCs w:val="18"/>
                      </w:rPr>
                    </w:pPr>
                  </w:p>
                </w:tc>
              </w:tr>
              <w:tr w:rsidR="00830E72" w14:paraId="0DD00C71" w14:textId="77777777">
                <w:sdt>
                  <w:sdtPr>
                    <w:tag w:val="_PLD_1f22f69e67ea4292afb08dec65f863c7"/>
                    <w:id w:val="-1475133450"/>
                    <w:lock w:val="sdtLocked"/>
                  </w:sdtPr>
                  <w:sdtEndPr/>
                  <w:sdtContent>
                    <w:tc>
                      <w:tcPr>
                        <w:tcW w:w="254" w:type="pct"/>
                      </w:tcPr>
                      <w:p w14:paraId="6747830E" w14:textId="77777777" w:rsidR="00830E72" w:rsidRDefault="008344D8">
                        <w:pPr>
                          <w:rPr>
                            <w:sz w:val="18"/>
                            <w:szCs w:val="18"/>
                          </w:rPr>
                        </w:pPr>
                        <w:r>
                          <w:rPr>
                            <w:sz w:val="18"/>
                            <w:szCs w:val="18"/>
                          </w:rPr>
                          <w:t>一、上年</w:t>
                        </w:r>
                        <w:r>
                          <w:rPr>
                            <w:rFonts w:hint="eastAsia"/>
                            <w:sz w:val="18"/>
                            <w:szCs w:val="18"/>
                          </w:rPr>
                          <w:t>期</w:t>
                        </w:r>
                        <w:r>
                          <w:rPr>
                            <w:sz w:val="18"/>
                            <w:szCs w:val="18"/>
                          </w:rPr>
                          <w:t>末余额</w:t>
                        </w:r>
                      </w:p>
                    </w:tc>
                  </w:sdtContent>
                </w:sdt>
                <w:tc>
                  <w:tcPr>
                    <w:tcW w:w="490" w:type="pct"/>
                  </w:tcPr>
                  <w:p w14:paraId="3D7BAAE5" w14:textId="77777777" w:rsidR="00830E72" w:rsidRDefault="008344D8">
                    <w:pPr>
                      <w:rPr>
                        <w:sz w:val="15"/>
                        <w:szCs w:val="15"/>
                      </w:rPr>
                    </w:pPr>
                    <w:r>
                      <w:rPr>
                        <w:sz w:val="15"/>
                        <w:szCs w:val="15"/>
                      </w:rPr>
                      <w:t>499,000,000.00</w:t>
                    </w:r>
                  </w:p>
                </w:tc>
                <w:tc>
                  <w:tcPr>
                    <w:tcW w:w="85" w:type="pct"/>
                  </w:tcPr>
                  <w:p w14:paraId="4C57E1DE" w14:textId="77777777" w:rsidR="00830E72" w:rsidRDefault="00830E72">
                    <w:pPr>
                      <w:jc w:val="right"/>
                      <w:rPr>
                        <w:sz w:val="15"/>
                        <w:szCs w:val="15"/>
                      </w:rPr>
                    </w:pPr>
                  </w:p>
                </w:tc>
                <w:tc>
                  <w:tcPr>
                    <w:tcW w:w="89" w:type="pct"/>
                  </w:tcPr>
                  <w:p w14:paraId="6280D0D9" w14:textId="77777777" w:rsidR="00830E72" w:rsidRDefault="00830E72">
                    <w:pPr>
                      <w:jc w:val="right"/>
                      <w:rPr>
                        <w:sz w:val="15"/>
                        <w:szCs w:val="15"/>
                      </w:rPr>
                    </w:pPr>
                  </w:p>
                </w:tc>
                <w:tc>
                  <w:tcPr>
                    <w:tcW w:w="101" w:type="pct"/>
                  </w:tcPr>
                  <w:p w14:paraId="02D8EE73" w14:textId="77777777" w:rsidR="00830E72" w:rsidRDefault="00830E72">
                    <w:pPr>
                      <w:jc w:val="right"/>
                      <w:rPr>
                        <w:sz w:val="15"/>
                        <w:szCs w:val="15"/>
                      </w:rPr>
                    </w:pPr>
                  </w:p>
                </w:tc>
                <w:tc>
                  <w:tcPr>
                    <w:tcW w:w="459" w:type="pct"/>
                  </w:tcPr>
                  <w:p w14:paraId="57406E8B" w14:textId="77777777" w:rsidR="00830E72" w:rsidRDefault="008344D8">
                    <w:pPr>
                      <w:jc w:val="right"/>
                      <w:rPr>
                        <w:sz w:val="15"/>
                        <w:szCs w:val="15"/>
                      </w:rPr>
                    </w:pPr>
                    <w:r>
                      <w:rPr>
                        <w:sz w:val="15"/>
                        <w:szCs w:val="15"/>
                      </w:rPr>
                      <w:t>212,034,615.01</w:t>
                    </w:r>
                  </w:p>
                </w:tc>
                <w:tc>
                  <w:tcPr>
                    <w:tcW w:w="103" w:type="pct"/>
                  </w:tcPr>
                  <w:p w14:paraId="5DDDB040" w14:textId="77777777" w:rsidR="00830E72" w:rsidRDefault="00830E72">
                    <w:pPr>
                      <w:jc w:val="right"/>
                      <w:rPr>
                        <w:sz w:val="15"/>
                        <w:szCs w:val="15"/>
                      </w:rPr>
                    </w:pPr>
                  </w:p>
                </w:tc>
                <w:tc>
                  <w:tcPr>
                    <w:tcW w:w="153" w:type="pct"/>
                  </w:tcPr>
                  <w:p w14:paraId="1CBF6B5B" w14:textId="77777777" w:rsidR="00830E72" w:rsidRDefault="00830E72">
                    <w:pPr>
                      <w:jc w:val="right"/>
                      <w:rPr>
                        <w:sz w:val="15"/>
                        <w:szCs w:val="15"/>
                      </w:rPr>
                    </w:pPr>
                  </w:p>
                </w:tc>
                <w:tc>
                  <w:tcPr>
                    <w:tcW w:w="459" w:type="pct"/>
                  </w:tcPr>
                  <w:p w14:paraId="76864F4F" w14:textId="77777777" w:rsidR="00830E72" w:rsidRDefault="008344D8">
                    <w:pPr>
                      <w:jc w:val="right"/>
                      <w:rPr>
                        <w:sz w:val="15"/>
                        <w:szCs w:val="15"/>
                      </w:rPr>
                    </w:pPr>
                    <w:r>
                      <w:rPr>
                        <w:sz w:val="15"/>
                        <w:szCs w:val="15"/>
                      </w:rPr>
                      <w:t>15,436,784.81</w:t>
                    </w:r>
                  </w:p>
                </w:tc>
                <w:tc>
                  <w:tcPr>
                    <w:tcW w:w="459" w:type="pct"/>
                  </w:tcPr>
                  <w:p w14:paraId="199D6DF5" w14:textId="77777777" w:rsidR="00830E72" w:rsidRDefault="008344D8">
                    <w:pPr>
                      <w:jc w:val="right"/>
                      <w:rPr>
                        <w:sz w:val="15"/>
                        <w:szCs w:val="15"/>
                      </w:rPr>
                    </w:pPr>
                    <w:r>
                      <w:rPr>
                        <w:sz w:val="15"/>
                        <w:szCs w:val="15"/>
                      </w:rPr>
                      <w:t>44,344,922.59</w:t>
                    </w:r>
                  </w:p>
                </w:tc>
                <w:tc>
                  <w:tcPr>
                    <w:tcW w:w="153" w:type="pct"/>
                  </w:tcPr>
                  <w:p w14:paraId="479004FA" w14:textId="77777777" w:rsidR="00830E72" w:rsidRDefault="00830E72">
                    <w:pPr>
                      <w:jc w:val="right"/>
                      <w:rPr>
                        <w:sz w:val="15"/>
                        <w:szCs w:val="15"/>
                      </w:rPr>
                    </w:pPr>
                  </w:p>
                </w:tc>
                <w:tc>
                  <w:tcPr>
                    <w:tcW w:w="459" w:type="pct"/>
                  </w:tcPr>
                  <w:p w14:paraId="7B1BD4C4" w14:textId="77777777" w:rsidR="00830E72" w:rsidRDefault="008344D8">
                    <w:pPr>
                      <w:jc w:val="right"/>
                      <w:rPr>
                        <w:sz w:val="15"/>
                        <w:szCs w:val="15"/>
                      </w:rPr>
                    </w:pPr>
                    <w:r>
                      <w:rPr>
                        <w:sz w:val="15"/>
                        <w:szCs w:val="15"/>
                      </w:rPr>
                      <w:t>358,296,774.06</w:t>
                    </w:r>
                  </w:p>
                </w:tc>
                <w:tc>
                  <w:tcPr>
                    <w:tcW w:w="103" w:type="pct"/>
                  </w:tcPr>
                  <w:p w14:paraId="75BE5D42" w14:textId="77777777" w:rsidR="00830E72" w:rsidRDefault="00830E72">
                    <w:pPr>
                      <w:jc w:val="right"/>
                      <w:rPr>
                        <w:sz w:val="15"/>
                        <w:szCs w:val="15"/>
                      </w:rPr>
                    </w:pPr>
                  </w:p>
                </w:tc>
                <w:tc>
                  <w:tcPr>
                    <w:tcW w:w="561" w:type="pct"/>
                  </w:tcPr>
                  <w:p w14:paraId="230CA923" w14:textId="77777777" w:rsidR="00830E72" w:rsidRDefault="008344D8">
                    <w:pPr>
                      <w:jc w:val="right"/>
                      <w:rPr>
                        <w:sz w:val="15"/>
                        <w:szCs w:val="15"/>
                      </w:rPr>
                    </w:pPr>
                    <w:r>
                      <w:rPr>
                        <w:sz w:val="15"/>
                        <w:szCs w:val="15"/>
                      </w:rPr>
                      <w:t>1,129,113,096.47</w:t>
                    </w:r>
                  </w:p>
                </w:tc>
                <w:tc>
                  <w:tcPr>
                    <w:tcW w:w="511" w:type="pct"/>
                  </w:tcPr>
                  <w:p w14:paraId="37C15671" w14:textId="77777777" w:rsidR="00830E72" w:rsidRDefault="008344D8">
                    <w:pPr>
                      <w:jc w:val="right"/>
                      <w:rPr>
                        <w:sz w:val="15"/>
                        <w:szCs w:val="15"/>
                      </w:rPr>
                    </w:pPr>
                    <w:r>
                      <w:rPr>
                        <w:sz w:val="15"/>
                        <w:szCs w:val="15"/>
                      </w:rPr>
                      <w:t>60,094,275.37</w:t>
                    </w:r>
                  </w:p>
                </w:tc>
                <w:tc>
                  <w:tcPr>
                    <w:tcW w:w="562" w:type="pct"/>
                  </w:tcPr>
                  <w:p w14:paraId="0F1E05C5" w14:textId="77777777" w:rsidR="00830E72" w:rsidRDefault="008344D8">
                    <w:pPr>
                      <w:jc w:val="right"/>
                      <w:rPr>
                        <w:sz w:val="15"/>
                        <w:szCs w:val="15"/>
                      </w:rPr>
                    </w:pPr>
                    <w:r>
                      <w:rPr>
                        <w:sz w:val="15"/>
                        <w:szCs w:val="15"/>
                      </w:rPr>
                      <w:t>1,189,207,371.84</w:t>
                    </w:r>
                  </w:p>
                </w:tc>
              </w:tr>
              <w:tr w:rsidR="00830E72" w14:paraId="46F35EB3" w14:textId="77777777">
                <w:sdt>
                  <w:sdtPr>
                    <w:tag w:val="_PLD_8753148a28244d68bf92b2fbad32f9b8"/>
                    <w:id w:val="-1067026238"/>
                    <w:lock w:val="sdtLocked"/>
                  </w:sdtPr>
                  <w:sdtEndPr/>
                  <w:sdtContent>
                    <w:tc>
                      <w:tcPr>
                        <w:tcW w:w="254" w:type="pct"/>
                      </w:tcPr>
                      <w:p w14:paraId="017A1589" w14:textId="77777777" w:rsidR="00830E72" w:rsidRDefault="008344D8">
                        <w:pPr>
                          <w:rPr>
                            <w:sz w:val="18"/>
                            <w:szCs w:val="18"/>
                          </w:rPr>
                        </w:pPr>
                        <w:r>
                          <w:rPr>
                            <w:rFonts w:hint="eastAsia"/>
                            <w:sz w:val="18"/>
                            <w:szCs w:val="18"/>
                          </w:rPr>
                          <w:t>加：</w:t>
                        </w:r>
                        <w:r>
                          <w:rPr>
                            <w:sz w:val="18"/>
                            <w:szCs w:val="18"/>
                          </w:rPr>
                          <w:t>会计政策变更</w:t>
                        </w:r>
                      </w:p>
                    </w:tc>
                  </w:sdtContent>
                </w:sdt>
                <w:tc>
                  <w:tcPr>
                    <w:tcW w:w="490" w:type="pct"/>
                  </w:tcPr>
                  <w:p w14:paraId="4398CB03" w14:textId="77777777" w:rsidR="00830E72" w:rsidRDefault="00830E72">
                    <w:pPr>
                      <w:jc w:val="right"/>
                      <w:rPr>
                        <w:sz w:val="18"/>
                        <w:szCs w:val="18"/>
                      </w:rPr>
                    </w:pPr>
                  </w:p>
                </w:tc>
                <w:tc>
                  <w:tcPr>
                    <w:tcW w:w="85" w:type="pct"/>
                  </w:tcPr>
                  <w:p w14:paraId="57B10C4E" w14:textId="77777777" w:rsidR="00830E72" w:rsidRDefault="00830E72">
                    <w:pPr>
                      <w:jc w:val="right"/>
                      <w:rPr>
                        <w:sz w:val="18"/>
                        <w:szCs w:val="18"/>
                      </w:rPr>
                    </w:pPr>
                  </w:p>
                </w:tc>
                <w:tc>
                  <w:tcPr>
                    <w:tcW w:w="89" w:type="pct"/>
                  </w:tcPr>
                  <w:p w14:paraId="3E31E5F3" w14:textId="77777777" w:rsidR="00830E72" w:rsidRDefault="00830E72">
                    <w:pPr>
                      <w:jc w:val="right"/>
                      <w:rPr>
                        <w:sz w:val="18"/>
                        <w:szCs w:val="18"/>
                      </w:rPr>
                    </w:pPr>
                  </w:p>
                </w:tc>
                <w:tc>
                  <w:tcPr>
                    <w:tcW w:w="101" w:type="pct"/>
                  </w:tcPr>
                  <w:p w14:paraId="1B4F7E69" w14:textId="77777777" w:rsidR="00830E72" w:rsidRDefault="00830E72">
                    <w:pPr>
                      <w:jc w:val="right"/>
                      <w:rPr>
                        <w:sz w:val="18"/>
                        <w:szCs w:val="18"/>
                      </w:rPr>
                    </w:pPr>
                  </w:p>
                </w:tc>
                <w:tc>
                  <w:tcPr>
                    <w:tcW w:w="459" w:type="pct"/>
                  </w:tcPr>
                  <w:p w14:paraId="53B14188" w14:textId="77777777" w:rsidR="00830E72" w:rsidRDefault="00830E72">
                    <w:pPr>
                      <w:jc w:val="right"/>
                      <w:rPr>
                        <w:sz w:val="18"/>
                        <w:szCs w:val="18"/>
                      </w:rPr>
                    </w:pPr>
                  </w:p>
                </w:tc>
                <w:tc>
                  <w:tcPr>
                    <w:tcW w:w="103" w:type="pct"/>
                  </w:tcPr>
                  <w:p w14:paraId="522BF1DF" w14:textId="77777777" w:rsidR="00830E72" w:rsidRDefault="00830E72">
                    <w:pPr>
                      <w:jc w:val="right"/>
                      <w:rPr>
                        <w:sz w:val="18"/>
                        <w:szCs w:val="18"/>
                      </w:rPr>
                    </w:pPr>
                  </w:p>
                </w:tc>
                <w:tc>
                  <w:tcPr>
                    <w:tcW w:w="153" w:type="pct"/>
                  </w:tcPr>
                  <w:p w14:paraId="7AEACE53" w14:textId="77777777" w:rsidR="00830E72" w:rsidRDefault="00830E72">
                    <w:pPr>
                      <w:jc w:val="right"/>
                      <w:rPr>
                        <w:sz w:val="18"/>
                        <w:szCs w:val="18"/>
                      </w:rPr>
                    </w:pPr>
                  </w:p>
                </w:tc>
                <w:tc>
                  <w:tcPr>
                    <w:tcW w:w="459" w:type="pct"/>
                  </w:tcPr>
                  <w:p w14:paraId="1CFA4FF3" w14:textId="77777777" w:rsidR="00830E72" w:rsidRDefault="00830E72">
                    <w:pPr>
                      <w:jc w:val="right"/>
                      <w:rPr>
                        <w:sz w:val="18"/>
                        <w:szCs w:val="18"/>
                      </w:rPr>
                    </w:pPr>
                  </w:p>
                </w:tc>
                <w:tc>
                  <w:tcPr>
                    <w:tcW w:w="459" w:type="pct"/>
                  </w:tcPr>
                  <w:p w14:paraId="49D9D240" w14:textId="77777777" w:rsidR="00830E72" w:rsidRDefault="00830E72">
                    <w:pPr>
                      <w:jc w:val="right"/>
                      <w:rPr>
                        <w:sz w:val="18"/>
                        <w:szCs w:val="18"/>
                      </w:rPr>
                    </w:pPr>
                  </w:p>
                </w:tc>
                <w:tc>
                  <w:tcPr>
                    <w:tcW w:w="153" w:type="pct"/>
                  </w:tcPr>
                  <w:p w14:paraId="4463CB33" w14:textId="77777777" w:rsidR="00830E72" w:rsidRDefault="00830E72">
                    <w:pPr>
                      <w:jc w:val="right"/>
                      <w:rPr>
                        <w:sz w:val="18"/>
                        <w:szCs w:val="18"/>
                      </w:rPr>
                    </w:pPr>
                  </w:p>
                </w:tc>
                <w:tc>
                  <w:tcPr>
                    <w:tcW w:w="459" w:type="pct"/>
                  </w:tcPr>
                  <w:p w14:paraId="43773739" w14:textId="77777777" w:rsidR="00830E72" w:rsidRDefault="00830E72">
                    <w:pPr>
                      <w:jc w:val="right"/>
                      <w:rPr>
                        <w:sz w:val="18"/>
                        <w:szCs w:val="18"/>
                      </w:rPr>
                    </w:pPr>
                  </w:p>
                </w:tc>
                <w:tc>
                  <w:tcPr>
                    <w:tcW w:w="103" w:type="pct"/>
                  </w:tcPr>
                  <w:p w14:paraId="4F8E5B6D" w14:textId="77777777" w:rsidR="00830E72" w:rsidRDefault="00830E72">
                    <w:pPr>
                      <w:jc w:val="right"/>
                      <w:rPr>
                        <w:sz w:val="18"/>
                        <w:szCs w:val="18"/>
                      </w:rPr>
                    </w:pPr>
                  </w:p>
                </w:tc>
                <w:tc>
                  <w:tcPr>
                    <w:tcW w:w="561" w:type="pct"/>
                  </w:tcPr>
                  <w:p w14:paraId="235636A5" w14:textId="77777777" w:rsidR="00830E72" w:rsidRDefault="00830E72">
                    <w:pPr>
                      <w:jc w:val="right"/>
                      <w:rPr>
                        <w:sz w:val="18"/>
                        <w:szCs w:val="18"/>
                      </w:rPr>
                    </w:pPr>
                  </w:p>
                </w:tc>
                <w:tc>
                  <w:tcPr>
                    <w:tcW w:w="511" w:type="pct"/>
                  </w:tcPr>
                  <w:p w14:paraId="3D7B2DCF" w14:textId="77777777" w:rsidR="00830E72" w:rsidRDefault="00830E72">
                    <w:pPr>
                      <w:jc w:val="right"/>
                      <w:rPr>
                        <w:sz w:val="18"/>
                        <w:szCs w:val="18"/>
                      </w:rPr>
                    </w:pPr>
                  </w:p>
                </w:tc>
                <w:tc>
                  <w:tcPr>
                    <w:tcW w:w="562" w:type="pct"/>
                  </w:tcPr>
                  <w:p w14:paraId="39993E2F" w14:textId="77777777" w:rsidR="00830E72" w:rsidRDefault="00830E72">
                    <w:pPr>
                      <w:jc w:val="right"/>
                      <w:rPr>
                        <w:sz w:val="18"/>
                        <w:szCs w:val="18"/>
                      </w:rPr>
                    </w:pPr>
                  </w:p>
                </w:tc>
              </w:tr>
              <w:tr w:rsidR="00830E72" w14:paraId="544AAFD3" w14:textId="77777777">
                <w:sdt>
                  <w:sdtPr>
                    <w:tag w:val="_PLD_291ece6b974e4962be6cec3c398fd5be"/>
                    <w:id w:val="1492675276"/>
                    <w:lock w:val="sdtLocked"/>
                  </w:sdtPr>
                  <w:sdtEndPr/>
                  <w:sdtContent>
                    <w:tc>
                      <w:tcPr>
                        <w:tcW w:w="254" w:type="pct"/>
                      </w:tcPr>
                      <w:p w14:paraId="0184D9C4" w14:textId="77777777" w:rsidR="00830E72" w:rsidRDefault="008344D8">
                        <w:pPr>
                          <w:ind w:firstLineChars="200" w:firstLine="420"/>
                          <w:rPr>
                            <w:sz w:val="18"/>
                            <w:szCs w:val="18"/>
                          </w:rPr>
                        </w:pPr>
                        <w:r>
                          <w:rPr>
                            <w:sz w:val="18"/>
                            <w:szCs w:val="18"/>
                          </w:rPr>
                          <w:t>前期差错更正</w:t>
                        </w:r>
                      </w:p>
                    </w:tc>
                  </w:sdtContent>
                </w:sdt>
                <w:tc>
                  <w:tcPr>
                    <w:tcW w:w="490" w:type="pct"/>
                  </w:tcPr>
                  <w:p w14:paraId="60A2D46C" w14:textId="77777777" w:rsidR="00830E72" w:rsidRDefault="00830E72">
                    <w:pPr>
                      <w:jc w:val="right"/>
                      <w:rPr>
                        <w:sz w:val="18"/>
                        <w:szCs w:val="18"/>
                      </w:rPr>
                    </w:pPr>
                  </w:p>
                </w:tc>
                <w:tc>
                  <w:tcPr>
                    <w:tcW w:w="85" w:type="pct"/>
                  </w:tcPr>
                  <w:p w14:paraId="61BC111E" w14:textId="77777777" w:rsidR="00830E72" w:rsidRDefault="00830E72">
                    <w:pPr>
                      <w:jc w:val="right"/>
                      <w:rPr>
                        <w:sz w:val="18"/>
                        <w:szCs w:val="18"/>
                      </w:rPr>
                    </w:pPr>
                  </w:p>
                </w:tc>
                <w:tc>
                  <w:tcPr>
                    <w:tcW w:w="89" w:type="pct"/>
                  </w:tcPr>
                  <w:p w14:paraId="06E9A80F" w14:textId="77777777" w:rsidR="00830E72" w:rsidRDefault="00830E72">
                    <w:pPr>
                      <w:jc w:val="right"/>
                      <w:rPr>
                        <w:sz w:val="18"/>
                        <w:szCs w:val="18"/>
                      </w:rPr>
                    </w:pPr>
                  </w:p>
                </w:tc>
                <w:tc>
                  <w:tcPr>
                    <w:tcW w:w="101" w:type="pct"/>
                  </w:tcPr>
                  <w:p w14:paraId="4CE0FA1A" w14:textId="77777777" w:rsidR="00830E72" w:rsidRDefault="00830E72">
                    <w:pPr>
                      <w:jc w:val="right"/>
                      <w:rPr>
                        <w:sz w:val="18"/>
                        <w:szCs w:val="18"/>
                      </w:rPr>
                    </w:pPr>
                  </w:p>
                </w:tc>
                <w:tc>
                  <w:tcPr>
                    <w:tcW w:w="459" w:type="pct"/>
                  </w:tcPr>
                  <w:p w14:paraId="6DE78931" w14:textId="77777777" w:rsidR="00830E72" w:rsidRDefault="00830E72">
                    <w:pPr>
                      <w:jc w:val="right"/>
                      <w:rPr>
                        <w:sz w:val="18"/>
                        <w:szCs w:val="18"/>
                      </w:rPr>
                    </w:pPr>
                  </w:p>
                </w:tc>
                <w:tc>
                  <w:tcPr>
                    <w:tcW w:w="103" w:type="pct"/>
                  </w:tcPr>
                  <w:p w14:paraId="6686FD28" w14:textId="77777777" w:rsidR="00830E72" w:rsidRDefault="00830E72">
                    <w:pPr>
                      <w:jc w:val="right"/>
                      <w:rPr>
                        <w:sz w:val="18"/>
                        <w:szCs w:val="18"/>
                      </w:rPr>
                    </w:pPr>
                  </w:p>
                </w:tc>
                <w:tc>
                  <w:tcPr>
                    <w:tcW w:w="153" w:type="pct"/>
                  </w:tcPr>
                  <w:p w14:paraId="63AAD826" w14:textId="77777777" w:rsidR="00830E72" w:rsidRDefault="00830E72">
                    <w:pPr>
                      <w:jc w:val="right"/>
                      <w:rPr>
                        <w:sz w:val="18"/>
                        <w:szCs w:val="18"/>
                      </w:rPr>
                    </w:pPr>
                  </w:p>
                </w:tc>
                <w:tc>
                  <w:tcPr>
                    <w:tcW w:w="459" w:type="pct"/>
                  </w:tcPr>
                  <w:p w14:paraId="2C3303DF" w14:textId="77777777" w:rsidR="00830E72" w:rsidRDefault="00830E72">
                    <w:pPr>
                      <w:jc w:val="right"/>
                      <w:rPr>
                        <w:sz w:val="18"/>
                        <w:szCs w:val="18"/>
                      </w:rPr>
                    </w:pPr>
                  </w:p>
                </w:tc>
                <w:tc>
                  <w:tcPr>
                    <w:tcW w:w="459" w:type="pct"/>
                  </w:tcPr>
                  <w:p w14:paraId="3C28423A" w14:textId="77777777" w:rsidR="00830E72" w:rsidRDefault="00830E72">
                    <w:pPr>
                      <w:jc w:val="right"/>
                      <w:rPr>
                        <w:sz w:val="18"/>
                        <w:szCs w:val="18"/>
                      </w:rPr>
                    </w:pPr>
                  </w:p>
                </w:tc>
                <w:tc>
                  <w:tcPr>
                    <w:tcW w:w="153" w:type="pct"/>
                  </w:tcPr>
                  <w:p w14:paraId="6F817818" w14:textId="77777777" w:rsidR="00830E72" w:rsidRDefault="00830E72">
                    <w:pPr>
                      <w:jc w:val="right"/>
                      <w:rPr>
                        <w:sz w:val="18"/>
                        <w:szCs w:val="18"/>
                      </w:rPr>
                    </w:pPr>
                  </w:p>
                </w:tc>
                <w:tc>
                  <w:tcPr>
                    <w:tcW w:w="459" w:type="pct"/>
                  </w:tcPr>
                  <w:p w14:paraId="54E9266E" w14:textId="77777777" w:rsidR="00830E72" w:rsidRDefault="00830E72">
                    <w:pPr>
                      <w:jc w:val="right"/>
                      <w:rPr>
                        <w:sz w:val="18"/>
                        <w:szCs w:val="18"/>
                      </w:rPr>
                    </w:pPr>
                  </w:p>
                </w:tc>
                <w:tc>
                  <w:tcPr>
                    <w:tcW w:w="103" w:type="pct"/>
                  </w:tcPr>
                  <w:p w14:paraId="0F743197" w14:textId="77777777" w:rsidR="00830E72" w:rsidRDefault="00830E72">
                    <w:pPr>
                      <w:jc w:val="right"/>
                      <w:rPr>
                        <w:sz w:val="18"/>
                        <w:szCs w:val="18"/>
                      </w:rPr>
                    </w:pPr>
                  </w:p>
                </w:tc>
                <w:tc>
                  <w:tcPr>
                    <w:tcW w:w="561" w:type="pct"/>
                  </w:tcPr>
                  <w:p w14:paraId="779F2958" w14:textId="77777777" w:rsidR="00830E72" w:rsidRDefault="00830E72">
                    <w:pPr>
                      <w:jc w:val="right"/>
                      <w:rPr>
                        <w:sz w:val="18"/>
                        <w:szCs w:val="18"/>
                      </w:rPr>
                    </w:pPr>
                  </w:p>
                </w:tc>
                <w:tc>
                  <w:tcPr>
                    <w:tcW w:w="511" w:type="pct"/>
                  </w:tcPr>
                  <w:p w14:paraId="30021DB7" w14:textId="77777777" w:rsidR="00830E72" w:rsidRDefault="00830E72">
                    <w:pPr>
                      <w:jc w:val="right"/>
                      <w:rPr>
                        <w:sz w:val="18"/>
                        <w:szCs w:val="18"/>
                      </w:rPr>
                    </w:pPr>
                  </w:p>
                </w:tc>
                <w:tc>
                  <w:tcPr>
                    <w:tcW w:w="562" w:type="pct"/>
                  </w:tcPr>
                  <w:p w14:paraId="5C3ABBFD" w14:textId="77777777" w:rsidR="00830E72" w:rsidRDefault="00830E72">
                    <w:pPr>
                      <w:jc w:val="right"/>
                      <w:rPr>
                        <w:sz w:val="18"/>
                        <w:szCs w:val="18"/>
                      </w:rPr>
                    </w:pPr>
                  </w:p>
                </w:tc>
              </w:tr>
              <w:tr w:rsidR="00830E72" w14:paraId="37AA3B66" w14:textId="77777777">
                <w:sdt>
                  <w:sdtPr>
                    <w:tag w:val="_PLD_1a5424a99ed44019a3f8a704efe4903d"/>
                    <w:id w:val="-306094180"/>
                    <w:lock w:val="sdtLocked"/>
                  </w:sdtPr>
                  <w:sdtEndPr/>
                  <w:sdtContent>
                    <w:tc>
                      <w:tcPr>
                        <w:tcW w:w="254" w:type="pct"/>
                      </w:tcPr>
                      <w:p w14:paraId="50482677" w14:textId="77777777" w:rsidR="00830E72" w:rsidRDefault="008344D8">
                        <w:pPr>
                          <w:ind w:firstLineChars="200" w:firstLine="420"/>
                          <w:rPr>
                            <w:sz w:val="18"/>
                            <w:szCs w:val="18"/>
                          </w:rPr>
                        </w:pPr>
                        <w:r>
                          <w:rPr>
                            <w:rFonts w:hint="eastAsia"/>
                            <w:sz w:val="18"/>
                            <w:szCs w:val="18"/>
                          </w:rPr>
                          <w:t>同一控制下企业合并</w:t>
                        </w:r>
                      </w:p>
                    </w:tc>
                  </w:sdtContent>
                </w:sdt>
                <w:tc>
                  <w:tcPr>
                    <w:tcW w:w="490" w:type="pct"/>
                  </w:tcPr>
                  <w:p w14:paraId="7AF883E2" w14:textId="77777777" w:rsidR="00830E72" w:rsidRDefault="00830E72">
                    <w:pPr>
                      <w:jc w:val="right"/>
                      <w:rPr>
                        <w:sz w:val="18"/>
                        <w:szCs w:val="18"/>
                      </w:rPr>
                    </w:pPr>
                  </w:p>
                </w:tc>
                <w:tc>
                  <w:tcPr>
                    <w:tcW w:w="85" w:type="pct"/>
                  </w:tcPr>
                  <w:p w14:paraId="2AE88172" w14:textId="77777777" w:rsidR="00830E72" w:rsidRDefault="00830E72">
                    <w:pPr>
                      <w:jc w:val="right"/>
                      <w:rPr>
                        <w:sz w:val="18"/>
                        <w:szCs w:val="18"/>
                      </w:rPr>
                    </w:pPr>
                  </w:p>
                </w:tc>
                <w:tc>
                  <w:tcPr>
                    <w:tcW w:w="89" w:type="pct"/>
                  </w:tcPr>
                  <w:p w14:paraId="34BAAE22" w14:textId="77777777" w:rsidR="00830E72" w:rsidRDefault="00830E72">
                    <w:pPr>
                      <w:jc w:val="right"/>
                      <w:rPr>
                        <w:sz w:val="18"/>
                        <w:szCs w:val="18"/>
                      </w:rPr>
                    </w:pPr>
                  </w:p>
                </w:tc>
                <w:tc>
                  <w:tcPr>
                    <w:tcW w:w="101" w:type="pct"/>
                  </w:tcPr>
                  <w:p w14:paraId="78B71F45" w14:textId="77777777" w:rsidR="00830E72" w:rsidRDefault="00830E72">
                    <w:pPr>
                      <w:jc w:val="right"/>
                      <w:rPr>
                        <w:sz w:val="18"/>
                        <w:szCs w:val="18"/>
                      </w:rPr>
                    </w:pPr>
                  </w:p>
                </w:tc>
                <w:tc>
                  <w:tcPr>
                    <w:tcW w:w="459" w:type="pct"/>
                  </w:tcPr>
                  <w:p w14:paraId="2437A0DD" w14:textId="77777777" w:rsidR="00830E72" w:rsidRDefault="00830E72">
                    <w:pPr>
                      <w:jc w:val="right"/>
                      <w:rPr>
                        <w:sz w:val="18"/>
                        <w:szCs w:val="18"/>
                      </w:rPr>
                    </w:pPr>
                  </w:p>
                </w:tc>
                <w:tc>
                  <w:tcPr>
                    <w:tcW w:w="103" w:type="pct"/>
                  </w:tcPr>
                  <w:p w14:paraId="05230F70" w14:textId="77777777" w:rsidR="00830E72" w:rsidRDefault="00830E72">
                    <w:pPr>
                      <w:jc w:val="right"/>
                      <w:rPr>
                        <w:sz w:val="18"/>
                        <w:szCs w:val="18"/>
                      </w:rPr>
                    </w:pPr>
                  </w:p>
                </w:tc>
                <w:tc>
                  <w:tcPr>
                    <w:tcW w:w="153" w:type="pct"/>
                  </w:tcPr>
                  <w:p w14:paraId="2D13E44D" w14:textId="77777777" w:rsidR="00830E72" w:rsidRDefault="00830E72">
                    <w:pPr>
                      <w:jc w:val="right"/>
                      <w:rPr>
                        <w:sz w:val="18"/>
                        <w:szCs w:val="18"/>
                      </w:rPr>
                    </w:pPr>
                  </w:p>
                </w:tc>
                <w:tc>
                  <w:tcPr>
                    <w:tcW w:w="459" w:type="pct"/>
                  </w:tcPr>
                  <w:p w14:paraId="6F2A22AE" w14:textId="77777777" w:rsidR="00830E72" w:rsidRDefault="00830E72">
                    <w:pPr>
                      <w:jc w:val="right"/>
                      <w:rPr>
                        <w:sz w:val="18"/>
                        <w:szCs w:val="18"/>
                      </w:rPr>
                    </w:pPr>
                  </w:p>
                </w:tc>
                <w:tc>
                  <w:tcPr>
                    <w:tcW w:w="459" w:type="pct"/>
                  </w:tcPr>
                  <w:p w14:paraId="3E815CB4" w14:textId="77777777" w:rsidR="00830E72" w:rsidRDefault="00830E72">
                    <w:pPr>
                      <w:jc w:val="right"/>
                      <w:rPr>
                        <w:sz w:val="18"/>
                        <w:szCs w:val="18"/>
                      </w:rPr>
                    </w:pPr>
                  </w:p>
                </w:tc>
                <w:tc>
                  <w:tcPr>
                    <w:tcW w:w="153" w:type="pct"/>
                  </w:tcPr>
                  <w:p w14:paraId="03CE4A06" w14:textId="77777777" w:rsidR="00830E72" w:rsidRDefault="00830E72">
                    <w:pPr>
                      <w:jc w:val="right"/>
                      <w:rPr>
                        <w:sz w:val="18"/>
                        <w:szCs w:val="18"/>
                      </w:rPr>
                    </w:pPr>
                  </w:p>
                </w:tc>
                <w:tc>
                  <w:tcPr>
                    <w:tcW w:w="459" w:type="pct"/>
                  </w:tcPr>
                  <w:p w14:paraId="1BFA797C" w14:textId="77777777" w:rsidR="00830E72" w:rsidRDefault="00830E72">
                    <w:pPr>
                      <w:jc w:val="right"/>
                      <w:rPr>
                        <w:sz w:val="18"/>
                        <w:szCs w:val="18"/>
                      </w:rPr>
                    </w:pPr>
                  </w:p>
                </w:tc>
                <w:tc>
                  <w:tcPr>
                    <w:tcW w:w="103" w:type="pct"/>
                  </w:tcPr>
                  <w:p w14:paraId="73135173" w14:textId="77777777" w:rsidR="00830E72" w:rsidRDefault="00830E72">
                    <w:pPr>
                      <w:jc w:val="right"/>
                      <w:rPr>
                        <w:sz w:val="18"/>
                        <w:szCs w:val="18"/>
                      </w:rPr>
                    </w:pPr>
                  </w:p>
                </w:tc>
                <w:tc>
                  <w:tcPr>
                    <w:tcW w:w="561" w:type="pct"/>
                  </w:tcPr>
                  <w:p w14:paraId="4728ACF3" w14:textId="77777777" w:rsidR="00830E72" w:rsidRDefault="00830E72">
                    <w:pPr>
                      <w:jc w:val="right"/>
                      <w:rPr>
                        <w:sz w:val="18"/>
                        <w:szCs w:val="18"/>
                      </w:rPr>
                    </w:pPr>
                  </w:p>
                </w:tc>
                <w:tc>
                  <w:tcPr>
                    <w:tcW w:w="511" w:type="pct"/>
                  </w:tcPr>
                  <w:p w14:paraId="7E7FCFFF" w14:textId="77777777" w:rsidR="00830E72" w:rsidRDefault="00830E72">
                    <w:pPr>
                      <w:jc w:val="right"/>
                      <w:rPr>
                        <w:sz w:val="18"/>
                        <w:szCs w:val="18"/>
                      </w:rPr>
                    </w:pPr>
                  </w:p>
                </w:tc>
                <w:tc>
                  <w:tcPr>
                    <w:tcW w:w="562" w:type="pct"/>
                  </w:tcPr>
                  <w:p w14:paraId="085B7528" w14:textId="77777777" w:rsidR="00830E72" w:rsidRDefault="00830E72">
                    <w:pPr>
                      <w:jc w:val="right"/>
                      <w:rPr>
                        <w:sz w:val="18"/>
                        <w:szCs w:val="18"/>
                      </w:rPr>
                    </w:pPr>
                  </w:p>
                </w:tc>
              </w:tr>
              <w:tr w:rsidR="00830E72" w14:paraId="6E373ADC" w14:textId="77777777">
                <w:sdt>
                  <w:sdtPr>
                    <w:tag w:val="_PLD_7953fd87201b462ab8c42a4716d6cb65"/>
                    <w:id w:val="1881289835"/>
                    <w:lock w:val="sdtLocked"/>
                  </w:sdtPr>
                  <w:sdtEndPr/>
                  <w:sdtContent>
                    <w:tc>
                      <w:tcPr>
                        <w:tcW w:w="254" w:type="pct"/>
                      </w:tcPr>
                      <w:p w14:paraId="18B596EB" w14:textId="77777777" w:rsidR="00830E72" w:rsidRDefault="008344D8">
                        <w:pPr>
                          <w:ind w:firstLineChars="200" w:firstLine="420"/>
                          <w:rPr>
                            <w:sz w:val="18"/>
                            <w:szCs w:val="18"/>
                          </w:rPr>
                        </w:pPr>
                        <w:r>
                          <w:rPr>
                            <w:rFonts w:hint="eastAsia"/>
                            <w:sz w:val="18"/>
                            <w:szCs w:val="18"/>
                          </w:rPr>
                          <w:t>其他</w:t>
                        </w:r>
                      </w:p>
                    </w:tc>
                  </w:sdtContent>
                </w:sdt>
                <w:tc>
                  <w:tcPr>
                    <w:tcW w:w="490" w:type="pct"/>
                  </w:tcPr>
                  <w:p w14:paraId="096B6734" w14:textId="77777777" w:rsidR="00830E72" w:rsidRDefault="00830E72">
                    <w:pPr>
                      <w:jc w:val="right"/>
                      <w:rPr>
                        <w:sz w:val="18"/>
                        <w:szCs w:val="18"/>
                      </w:rPr>
                    </w:pPr>
                  </w:p>
                </w:tc>
                <w:tc>
                  <w:tcPr>
                    <w:tcW w:w="85" w:type="pct"/>
                  </w:tcPr>
                  <w:p w14:paraId="7862E159" w14:textId="77777777" w:rsidR="00830E72" w:rsidRDefault="00830E72">
                    <w:pPr>
                      <w:jc w:val="right"/>
                      <w:rPr>
                        <w:sz w:val="18"/>
                        <w:szCs w:val="18"/>
                      </w:rPr>
                    </w:pPr>
                  </w:p>
                </w:tc>
                <w:tc>
                  <w:tcPr>
                    <w:tcW w:w="89" w:type="pct"/>
                  </w:tcPr>
                  <w:p w14:paraId="046BFAAA" w14:textId="77777777" w:rsidR="00830E72" w:rsidRDefault="00830E72">
                    <w:pPr>
                      <w:jc w:val="right"/>
                      <w:rPr>
                        <w:sz w:val="18"/>
                        <w:szCs w:val="18"/>
                      </w:rPr>
                    </w:pPr>
                  </w:p>
                </w:tc>
                <w:tc>
                  <w:tcPr>
                    <w:tcW w:w="101" w:type="pct"/>
                  </w:tcPr>
                  <w:p w14:paraId="3D7BEB74" w14:textId="77777777" w:rsidR="00830E72" w:rsidRDefault="00830E72">
                    <w:pPr>
                      <w:jc w:val="right"/>
                      <w:rPr>
                        <w:sz w:val="18"/>
                        <w:szCs w:val="18"/>
                      </w:rPr>
                    </w:pPr>
                  </w:p>
                </w:tc>
                <w:tc>
                  <w:tcPr>
                    <w:tcW w:w="459" w:type="pct"/>
                  </w:tcPr>
                  <w:p w14:paraId="5604949C" w14:textId="77777777" w:rsidR="00830E72" w:rsidRDefault="00830E72">
                    <w:pPr>
                      <w:jc w:val="right"/>
                      <w:rPr>
                        <w:sz w:val="18"/>
                        <w:szCs w:val="18"/>
                      </w:rPr>
                    </w:pPr>
                  </w:p>
                </w:tc>
                <w:tc>
                  <w:tcPr>
                    <w:tcW w:w="103" w:type="pct"/>
                  </w:tcPr>
                  <w:p w14:paraId="08C60BDA" w14:textId="77777777" w:rsidR="00830E72" w:rsidRDefault="00830E72">
                    <w:pPr>
                      <w:jc w:val="right"/>
                      <w:rPr>
                        <w:sz w:val="18"/>
                        <w:szCs w:val="18"/>
                      </w:rPr>
                    </w:pPr>
                  </w:p>
                </w:tc>
                <w:tc>
                  <w:tcPr>
                    <w:tcW w:w="153" w:type="pct"/>
                  </w:tcPr>
                  <w:p w14:paraId="30C1623E" w14:textId="77777777" w:rsidR="00830E72" w:rsidRDefault="00830E72">
                    <w:pPr>
                      <w:jc w:val="right"/>
                      <w:rPr>
                        <w:sz w:val="18"/>
                        <w:szCs w:val="18"/>
                      </w:rPr>
                    </w:pPr>
                  </w:p>
                </w:tc>
                <w:tc>
                  <w:tcPr>
                    <w:tcW w:w="459" w:type="pct"/>
                  </w:tcPr>
                  <w:p w14:paraId="05E2B945" w14:textId="77777777" w:rsidR="00830E72" w:rsidRDefault="00830E72">
                    <w:pPr>
                      <w:jc w:val="right"/>
                      <w:rPr>
                        <w:sz w:val="18"/>
                        <w:szCs w:val="18"/>
                      </w:rPr>
                    </w:pPr>
                  </w:p>
                </w:tc>
                <w:tc>
                  <w:tcPr>
                    <w:tcW w:w="459" w:type="pct"/>
                  </w:tcPr>
                  <w:p w14:paraId="65EA5040" w14:textId="77777777" w:rsidR="00830E72" w:rsidRDefault="00830E72">
                    <w:pPr>
                      <w:jc w:val="right"/>
                      <w:rPr>
                        <w:sz w:val="18"/>
                        <w:szCs w:val="18"/>
                      </w:rPr>
                    </w:pPr>
                  </w:p>
                </w:tc>
                <w:tc>
                  <w:tcPr>
                    <w:tcW w:w="153" w:type="pct"/>
                  </w:tcPr>
                  <w:p w14:paraId="69158C53" w14:textId="77777777" w:rsidR="00830E72" w:rsidRDefault="00830E72">
                    <w:pPr>
                      <w:jc w:val="right"/>
                      <w:rPr>
                        <w:sz w:val="18"/>
                        <w:szCs w:val="18"/>
                      </w:rPr>
                    </w:pPr>
                  </w:p>
                </w:tc>
                <w:tc>
                  <w:tcPr>
                    <w:tcW w:w="459" w:type="pct"/>
                  </w:tcPr>
                  <w:p w14:paraId="7AB54DA0" w14:textId="77777777" w:rsidR="00830E72" w:rsidRDefault="00830E72">
                    <w:pPr>
                      <w:jc w:val="right"/>
                      <w:rPr>
                        <w:sz w:val="18"/>
                        <w:szCs w:val="18"/>
                      </w:rPr>
                    </w:pPr>
                  </w:p>
                </w:tc>
                <w:tc>
                  <w:tcPr>
                    <w:tcW w:w="103" w:type="pct"/>
                  </w:tcPr>
                  <w:p w14:paraId="186FEE89" w14:textId="77777777" w:rsidR="00830E72" w:rsidRDefault="00830E72">
                    <w:pPr>
                      <w:jc w:val="right"/>
                      <w:rPr>
                        <w:sz w:val="18"/>
                        <w:szCs w:val="18"/>
                      </w:rPr>
                    </w:pPr>
                  </w:p>
                </w:tc>
                <w:tc>
                  <w:tcPr>
                    <w:tcW w:w="561" w:type="pct"/>
                  </w:tcPr>
                  <w:p w14:paraId="191EB78B" w14:textId="77777777" w:rsidR="00830E72" w:rsidRDefault="00830E72">
                    <w:pPr>
                      <w:jc w:val="right"/>
                      <w:rPr>
                        <w:sz w:val="18"/>
                        <w:szCs w:val="18"/>
                      </w:rPr>
                    </w:pPr>
                  </w:p>
                </w:tc>
                <w:tc>
                  <w:tcPr>
                    <w:tcW w:w="511" w:type="pct"/>
                  </w:tcPr>
                  <w:p w14:paraId="4A7404B2" w14:textId="77777777" w:rsidR="00830E72" w:rsidRDefault="00830E72">
                    <w:pPr>
                      <w:jc w:val="right"/>
                      <w:rPr>
                        <w:sz w:val="18"/>
                        <w:szCs w:val="18"/>
                      </w:rPr>
                    </w:pPr>
                  </w:p>
                </w:tc>
                <w:tc>
                  <w:tcPr>
                    <w:tcW w:w="562" w:type="pct"/>
                  </w:tcPr>
                  <w:p w14:paraId="5FE4F927" w14:textId="77777777" w:rsidR="00830E72" w:rsidRDefault="00830E72">
                    <w:pPr>
                      <w:jc w:val="right"/>
                      <w:rPr>
                        <w:sz w:val="18"/>
                        <w:szCs w:val="18"/>
                      </w:rPr>
                    </w:pPr>
                  </w:p>
                </w:tc>
              </w:tr>
              <w:tr w:rsidR="00830E72" w14:paraId="25CCD569" w14:textId="77777777">
                <w:sdt>
                  <w:sdtPr>
                    <w:tag w:val="_PLD_16d601e73dc14990b60ca53acf1371ba"/>
                    <w:id w:val="521288001"/>
                    <w:lock w:val="sdtLocked"/>
                  </w:sdtPr>
                  <w:sdtEndPr/>
                  <w:sdtContent>
                    <w:tc>
                      <w:tcPr>
                        <w:tcW w:w="254" w:type="pct"/>
                      </w:tcPr>
                      <w:p w14:paraId="57DA0720" w14:textId="77777777" w:rsidR="00830E72" w:rsidRDefault="008344D8">
                        <w:pPr>
                          <w:rPr>
                            <w:sz w:val="18"/>
                            <w:szCs w:val="18"/>
                          </w:rPr>
                        </w:pPr>
                        <w:r>
                          <w:rPr>
                            <w:sz w:val="18"/>
                            <w:szCs w:val="18"/>
                          </w:rPr>
                          <w:t>二、本年</w:t>
                        </w:r>
                        <w:r>
                          <w:rPr>
                            <w:rFonts w:hint="eastAsia"/>
                            <w:sz w:val="18"/>
                            <w:szCs w:val="18"/>
                          </w:rPr>
                          <w:t>期</w:t>
                        </w:r>
                        <w:r>
                          <w:rPr>
                            <w:sz w:val="18"/>
                            <w:szCs w:val="18"/>
                          </w:rPr>
                          <w:t>初余额</w:t>
                        </w:r>
                      </w:p>
                    </w:tc>
                  </w:sdtContent>
                </w:sdt>
                <w:tc>
                  <w:tcPr>
                    <w:tcW w:w="490" w:type="pct"/>
                  </w:tcPr>
                  <w:p w14:paraId="6250448B" w14:textId="77777777" w:rsidR="00830E72" w:rsidRDefault="008344D8">
                    <w:pPr>
                      <w:jc w:val="right"/>
                      <w:rPr>
                        <w:sz w:val="15"/>
                        <w:szCs w:val="15"/>
                      </w:rPr>
                    </w:pPr>
                    <w:r>
                      <w:rPr>
                        <w:sz w:val="15"/>
                        <w:szCs w:val="15"/>
                      </w:rPr>
                      <w:t>499,000,000.00</w:t>
                    </w:r>
                  </w:p>
                </w:tc>
                <w:tc>
                  <w:tcPr>
                    <w:tcW w:w="85" w:type="pct"/>
                  </w:tcPr>
                  <w:p w14:paraId="3C62743E" w14:textId="77777777" w:rsidR="00830E72" w:rsidRDefault="00830E72">
                    <w:pPr>
                      <w:jc w:val="right"/>
                      <w:rPr>
                        <w:sz w:val="15"/>
                        <w:szCs w:val="15"/>
                      </w:rPr>
                    </w:pPr>
                  </w:p>
                </w:tc>
                <w:tc>
                  <w:tcPr>
                    <w:tcW w:w="89" w:type="pct"/>
                  </w:tcPr>
                  <w:p w14:paraId="28125002" w14:textId="77777777" w:rsidR="00830E72" w:rsidRDefault="00830E72">
                    <w:pPr>
                      <w:jc w:val="right"/>
                      <w:rPr>
                        <w:sz w:val="15"/>
                        <w:szCs w:val="15"/>
                      </w:rPr>
                    </w:pPr>
                  </w:p>
                </w:tc>
                <w:tc>
                  <w:tcPr>
                    <w:tcW w:w="101" w:type="pct"/>
                  </w:tcPr>
                  <w:p w14:paraId="61941C44" w14:textId="77777777" w:rsidR="00830E72" w:rsidRDefault="00830E72">
                    <w:pPr>
                      <w:jc w:val="right"/>
                      <w:rPr>
                        <w:sz w:val="15"/>
                        <w:szCs w:val="15"/>
                      </w:rPr>
                    </w:pPr>
                  </w:p>
                </w:tc>
                <w:tc>
                  <w:tcPr>
                    <w:tcW w:w="459" w:type="pct"/>
                  </w:tcPr>
                  <w:p w14:paraId="0A0D37BF" w14:textId="77777777" w:rsidR="00830E72" w:rsidRDefault="008344D8">
                    <w:pPr>
                      <w:jc w:val="right"/>
                      <w:rPr>
                        <w:sz w:val="15"/>
                        <w:szCs w:val="15"/>
                      </w:rPr>
                    </w:pPr>
                    <w:r>
                      <w:rPr>
                        <w:sz w:val="15"/>
                        <w:szCs w:val="15"/>
                      </w:rPr>
                      <w:t>212,034,615.01</w:t>
                    </w:r>
                  </w:p>
                </w:tc>
                <w:tc>
                  <w:tcPr>
                    <w:tcW w:w="103" w:type="pct"/>
                  </w:tcPr>
                  <w:p w14:paraId="38204219" w14:textId="77777777" w:rsidR="00830E72" w:rsidRDefault="00830E72">
                    <w:pPr>
                      <w:jc w:val="right"/>
                      <w:rPr>
                        <w:sz w:val="15"/>
                        <w:szCs w:val="15"/>
                      </w:rPr>
                    </w:pPr>
                  </w:p>
                </w:tc>
                <w:tc>
                  <w:tcPr>
                    <w:tcW w:w="153" w:type="pct"/>
                  </w:tcPr>
                  <w:p w14:paraId="48949D43" w14:textId="77777777" w:rsidR="00830E72" w:rsidRDefault="00830E72">
                    <w:pPr>
                      <w:jc w:val="right"/>
                      <w:rPr>
                        <w:sz w:val="15"/>
                        <w:szCs w:val="15"/>
                      </w:rPr>
                    </w:pPr>
                  </w:p>
                </w:tc>
                <w:tc>
                  <w:tcPr>
                    <w:tcW w:w="459" w:type="pct"/>
                  </w:tcPr>
                  <w:p w14:paraId="0861E790" w14:textId="77777777" w:rsidR="00830E72" w:rsidRDefault="008344D8">
                    <w:pPr>
                      <w:jc w:val="right"/>
                      <w:rPr>
                        <w:sz w:val="15"/>
                        <w:szCs w:val="15"/>
                      </w:rPr>
                    </w:pPr>
                    <w:r>
                      <w:rPr>
                        <w:sz w:val="15"/>
                        <w:szCs w:val="15"/>
                      </w:rPr>
                      <w:t>15,436,784.81</w:t>
                    </w:r>
                  </w:p>
                </w:tc>
                <w:tc>
                  <w:tcPr>
                    <w:tcW w:w="459" w:type="pct"/>
                  </w:tcPr>
                  <w:p w14:paraId="2EFD3915" w14:textId="77777777" w:rsidR="00830E72" w:rsidRDefault="008344D8">
                    <w:pPr>
                      <w:jc w:val="right"/>
                      <w:rPr>
                        <w:sz w:val="15"/>
                        <w:szCs w:val="15"/>
                      </w:rPr>
                    </w:pPr>
                    <w:r>
                      <w:rPr>
                        <w:sz w:val="15"/>
                        <w:szCs w:val="15"/>
                      </w:rPr>
                      <w:t>44,344,922.59</w:t>
                    </w:r>
                  </w:p>
                </w:tc>
                <w:tc>
                  <w:tcPr>
                    <w:tcW w:w="153" w:type="pct"/>
                  </w:tcPr>
                  <w:p w14:paraId="4383B631" w14:textId="77777777" w:rsidR="00830E72" w:rsidRDefault="00830E72">
                    <w:pPr>
                      <w:jc w:val="right"/>
                      <w:rPr>
                        <w:sz w:val="15"/>
                        <w:szCs w:val="15"/>
                      </w:rPr>
                    </w:pPr>
                  </w:p>
                </w:tc>
                <w:tc>
                  <w:tcPr>
                    <w:tcW w:w="459" w:type="pct"/>
                  </w:tcPr>
                  <w:p w14:paraId="2EF14E4B" w14:textId="77777777" w:rsidR="00830E72" w:rsidRDefault="008344D8">
                    <w:pPr>
                      <w:jc w:val="right"/>
                      <w:rPr>
                        <w:sz w:val="15"/>
                        <w:szCs w:val="15"/>
                      </w:rPr>
                    </w:pPr>
                    <w:r>
                      <w:rPr>
                        <w:sz w:val="15"/>
                        <w:szCs w:val="15"/>
                      </w:rPr>
                      <w:t>358,296,774.06</w:t>
                    </w:r>
                  </w:p>
                </w:tc>
                <w:tc>
                  <w:tcPr>
                    <w:tcW w:w="103" w:type="pct"/>
                  </w:tcPr>
                  <w:p w14:paraId="7A555A93" w14:textId="77777777" w:rsidR="00830E72" w:rsidRDefault="00830E72">
                    <w:pPr>
                      <w:jc w:val="right"/>
                      <w:rPr>
                        <w:sz w:val="15"/>
                        <w:szCs w:val="15"/>
                      </w:rPr>
                    </w:pPr>
                  </w:p>
                </w:tc>
                <w:tc>
                  <w:tcPr>
                    <w:tcW w:w="561" w:type="pct"/>
                  </w:tcPr>
                  <w:p w14:paraId="3780B69C" w14:textId="77777777" w:rsidR="00830E72" w:rsidRDefault="008344D8">
                    <w:pPr>
                      <w:jc w:val="right"/>
                      <w:rPr>
                        <w:sz w:val="15"/>
                        <w:szCs w:val="15"/>
                      </w:rPr>
                    </w:pPr>
                    <w:r>
                      <w:rPr>
                        <w:sz w:val="15"/>
                        <w:szCs w:val="15"/>
                      </w:rPr>
                      <w:t>1,129,113,096.47</w:t>
                    </w:r>
                  </w:p>
                </w:tc>
                <w:tc>
                  <w:tcPr>
                    <w:tcW w:w="511" w:type="pct"/>
                  </w:tcPr>
                  <w:p w14:paraId="5FEA463A" w14:textId="77777777" w:rsidR="00830E72" w:rsidRDefault="008344D8">
                    <w:pPr>
                      <w:jc w:val="right"/>
                      <w:rPr>
                        <w:sz w:val="15"/>
                        <w:szCs w:val="15"/>
                      </w:rPr>
                    </w:pPr>
                    <w:r>
                      <w:rPr>
                        <w:sz w:val="15"/>
                        <w:szCs w:val="15"/>
                      </w:rPr>
                      <w:t>60,094,275.37</w:t>
                    </w:r>
                  </w:p>
                </w:tc>
                <w:tc>
                  <w:tcPr>
                    <w:tcW w:w="562" w:type="pct"/>
                  </w:tcPr>
                  <w:p w14:paraId="39950AD1" w14:textId="77777777" w:rsidR="00830E72" w:rsidRDefault="008344D8">
                    <w:pPr>
                      <w:jc w:val="right"/>
                      <w:rPr>
                        <w:sz w:val="15"/>
                        <w:szCs w:val="15"/>
                      </w:rPr>
                    </w:pPr>
                    <w:r>
                      <w:rPr>
                        <w:sz w:val="15"/>
                        <w:szCs w:val="15"/>
                      </w:rPr>
                      <w:t>1,189,207,371.84</w:t>
                    </w:r>
                  </w:p>
                </w:tc>
              </w:tr>
              <w:tr w:rsidR="00830E72" w14:paraId="358C3C71" w14:textId="77777777">
                <w:sdt>
                  <w:sdtPr>
                    <w:tag w:val="_PLD_60156dcb8ac241a7929015e75c8eef16"/>
                    <w:id w:val="-957327961"/>
                    <w:lock w:val="sdtLocked"/>
                  </w:sdtPr>
                  <w:sdtEndPr/>
                  <w:sdtContent>
                    <w:tc>
                      <w:tcPr>
                        <w:tcW w:w="254" w:type="pct"/>
                      </w:tcPr>
                      <w:p w14:paraId="3E23DCAF" w14:textId="77777777" w:rsidR="00830E72" w:rsidRDefault="008344D8">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490" w:type="pct"/>
                  </w:tcPr>
                  <w:p w14:paraId="00D6009E" w14:textId="77777777" w:rsidR="00830E72" w:rsidRDefault="008344D8">
                    <w:pPr>
                      <w:jc w:val="right"/>
                      <w:rPr>
                        <w:sz w:val="15"/>
                        <w:szCs w:val="15"/>
                      </w:rPr>
                    </w:pPr>
                    <w:r>
                      <w:rPr>
                        <w:sz w:val="15"/>
                        <w:szCs w:val="15"/>
                      </w:rPr>
                      <w:t>119,924,235.00</w:t>
                    </w:r>
                  </w:p>
                </w:tc>
                <w:tc>
                  <w:tcPr>
                    <w:tcW w:w="85" w:type="pct"/>
                  </w:tcPr>
                  <w:p w14:paraId="2CE2551D" w14:textId="77777777" w:rsidR="00830E72" w:rsidRDefault="00830E72">
                    <w:pPr>
                      <w:jc w:val="right"/>
                      <w:rPr>
                        <w:sz w:val="15"/>
                        <w:szCs w:val="15"/>
                      </w:rPr>
                    </w:pPr>
                  </w:p>
                </w:tc>
                <w:tc>
                  <w:tcPr>
                    <w:tcW w:w="89" w:type="pct"/>
                  </w:tcPr>
                  <w:p w14:paraId="01E7F75B" w14:textId="77777777" w:rsidR="00830E72" w:rsidRDefault="00830E72">
                    <w:pPr>
                      <w:jc w:val="right"/>
                      <w:rPr>
                        <w:sz w:val="15"/>
                        <w:szCs w:val="15"/>
                      </w:rPr>
                    </w:pPr>
                  </w:p>
                </w:tc>
                <w:tc>
                  <w:tcPr>
                    <w:tcW w:w="101" w:type="pct"/>
                  </w:tcPr>
                  <w:p w14:paraId="3B09176B" w14:textId="77777777" w:rsidR="00830E72" w:rsidRDefault="00830E72">
                    <w:pPr>
                      <w:jc w:val="right"/>
                      <w:rPr>
                        <w:sz w:val="15"/>
                        <w:szCs w:val="15"/>
                      </w:rPr>
                    </w:pPr>
                  </w:p>
                </w:tc>
                <w:tc>
                  <w:tcPr>
                    <w:tcW w:w="459" w:type="pct"/>
                  </w:tcPr>
                  <w:p w14:paraId="66D42C4A" w14:textId="77777777" w:rsidR="00830E72" w:rsidRDefault="008344D8">
                    <w:pPr>
                      <w:jc w:val="right"/>
                      <w:rPr>
                        <w:sz w:val="15"/>
                        <w:szCs w:val="15"/>
                      </w:rPr>
                    </w:pPr>
                    <w:r>
                      <w:rPr>
                        <w:sz w:val="15"/>
                        <w:szCs w:val="15"/>
                      </w:rPr>
                      <w:t>739,288,730.37</w:t>
                    </w:r>
                  </w:p>
                </w:tc>
                <w:tc>
                  <w:tcPr>
                    <w:tcW w:w="103" w:type="pct"/>
                  </w:tcPr>
                  <w:p w14:paraId="74B405D2" w14:textId="77777777" w:rsidR="00830E72" w:rsidRDefault="00830E72">
                    <w:pPr>
                      <w:jc w:val="right"/>
                      <w:rPr>
                        <w:sz w:val="15"/>
                        <w:szCs w:val="15"/>
                      </w:rPr>
                    </w:pPr>
                  </w:p>
                </w:tc>
                <w:tc>
                  <w:tcPr>
                    <w:tcW w:w="153" w:type="pct"/>
                  </w:tcPr>
                  <w:p w14:paraId="39503B8E" w14:textId="77777777" w:rsidR="00830E72" w:rsidRDefault="00830E72">
                    <w:pPr>
                      <w:jc w:val="right"/>
                      <w:rPr>
                        <w:sz w:val="15"/>
                        <w:szCs w:val="15"/>
                      </w:rPr>
                    </w:pPr>
                  </w:p>
                </w:tc>
                <w:tc>
                  <w:tcPr>
                    <w:tcW w:w="459" w:type="pct"/>
                  </w:tcPr>
                  <w:p w14:paraId="56099093" w14:textId="77777777" w:rsidR="00830E72" w:rsidRDefault="008344D8">
                    <w:pPr>
                      <w:jc w:val="right"/>
                      <w:rPr>
                        <w:sz w:val="15"/>
                        <w:szCs w:val="15"/>
                      </w:rPr>
                    </w:pPr>
                    <w:r>
                      <w:rPr>
                        <w:sz w:val="15"/>
                        <w:szCs w:val="15"/>
                      </w:rPr>
                      <w:t>471,363.19</w:t>
                    </w:r>
                  </w:p>
                </w:tc>
                <w:tc>
                  <w:tcPr>
                    <w:tcW w:w="459" w:type="pct"/>
                  </w:tcPr>
                  <w:p w14:paraId="47FC3703" w14:textId="77777777" w:rsidR="00830E72" w:rsidRDefault="00830E72">
                    <w:pPr>
                      <w:jc w:val="right"/>
                      <w:rPr>
                        <w:sz w:val="15"/>
                        <w:szCs w:val="15"/>
                      </w:rPr>
                    </w:pPr>
                  </w:p>
                </w:tc>
                <w:tc>
                  <w:tcPr>
                    <w:tcW w:w="153" w:type="pct"/>
                  </w:tcPr>
                  <w:p w14:paraId="31D73F3D" w14:textId="77777777" w:rsidR="00830E72" w:rsidRDefault="00830E72">
                    <w:pPr>
                      <w:jc w:val="right"/>
                      <w:rPr>
                        <w:sz w:val="15"/>
                        <w:szCs w:val="15"/>
                      </w:rPr>
                    </w:pPr>
                  </w:p>
                </w:tc>
                <w:tc>
                  <w:tcPr>
                    <w:tcW w:w="459" w:type="pct"/>
                  </w:tcPr>
                  <w:p w14:paraId="29A1D623" w14:textId="77777777" w:rsidR="00830E72" w:rsidRDefault="008344D8">
                    <w:pPr>
                      <w:jc w:val="right"/>
                      <w:rPr>
                        <w:sz w:val="15"/>
                        <w:szCs w:val="15"/>
                      </w:rPr>
                    </w:pPr>
                    <w:r>
                      <w:rPr>
                        <w:sz w:val="15"/>
                        <w:szCs w:val="15"/>
                      </w:rPr>
                      <w:t>19,305,587.01</w:t>
                    </w:r>
                  </w:p>
                </w:tc>
                <w:tc>
                  <w:tcPr>
                    <w:tcW w:w="103" w:type="pct"/>
                  </w:tcPr>
                  <w:p w14:paraId="40A0C16D" w14:textId="77777777" w:rsidR="00830E72" w:rsidRDefault="00830E72">
                    <w:pPr>
                      <w:jc w:val="right"/>
                      <w:rPr>
                        <w:sz w:val="15"/>
                        <w:szCs w:val="15"/>
                      </w:rPr>
                    </w:pPr>
                  </w:p>
                </w:tc>
                <w:tc>
                  <w:tcPr>
                    <w:tcW w:w="561" w:type="pct"/>
                  </w:tcPr>
                  <w:p w14:paraId="72293BBA" w14:textId="77777777" w:rsidR="00830E72" w:rsidRDefault="008344D8">
                    <w:pPr>
                      <w:jc w:val="right"/>
                      <w:rPr>
                        <w:sz w:val="15"/>
                        <w:szCs w:val="15"/>
                      </w:rPr>
                    </w:pPr>
                    <w:r>
                      <w:rPr>
                        <w:sz w:val="15"/>
                        <w:szCs w:val="15"/>
                      </w:rPr>
                      <w:t>878,989,915.57</w:t>
                    </w:r>
                  </w:p>
                </w:tc>
                <w:tc>
                  <w:tcPr>
                    <w:tcW w:w="511" w:type="pct"/>
                  </w:tcPr>
                  <w:p w14:paraId="32E53333" w14:textId="77777777" w:rsidR="00830E72" w:rsidRDefault="008344D8">
                    <w:pPr>
                      <w:jc w:val="right"/>
                      <w:rPr>
                        <w:sz w:val="15"/>
                        <w:szCs w:val="15"/>
                      </w:rPr>
                    </w:pPr>
                    <w:r>
                      <w:rPr>
                        <w:sz w:val="15"/>
                        <w:szCs w:val="15"/>
                      </w:rPr>
                      <w:t>1,981,207.60</w:t>
                    </w:r>
                  </w:p>
                </w:tc>
                <w:tc>
                  <w:tcPr>
                    <w:tcW w:w="562" w:type="pct"/>
                  </w:tcPr>
                  <w:p w14:paraId="1DEA0345" w14:textId="77777777" w:rsidR="00830E72" w:rsidRDefault="008344D8">
                    <w:pPr>
                      <w:jc w:val="right"/>
                      <w:rPr>
                        <w:sz w:val="15"/>
                        <w:szCs w:val="15"/>
                      </w:rPr>
                    </w:pPr>
                    <w:r>
                      <w:rPr>
                        <w:sz w:val="15"/>
                        <w:szCs w:val="15"/>
                      </w:rPr>
                      <w:t>880,971,123.17</w:t>
                    </w:r>
                  </w:p>
                </w:tc>
              </w:tr>
              <w:tr w:rsidR="00830E72" w14:paraId="4A2E18A7" w14:textId="77777777">
                <w:sdt>
                  <w:sdtPr>
                    <w:tag w:val="_PLD_b05dacde51ff43abaf7ec73bf9668d99"/>
                    <w:id w:val="980654776"/>
                    <w:lock w:val="sdtLocked"/>
                  </w:sdtPr>
                  <w:sdtEndPr/>
                  <w:sdtContent>
                    <w:tc>
                      <w:tcPr>
                        <w:tcW w:w="254" w:type="pct"/>
                      </w:tcPr>
                      <w:p w14:paraId="5FF794BD" w14:textId="77777777" w:rsidR="00830E72" w:rsidRDefault="008344D8">
                        <w:pPr>
                          <w:rPr>
                            <w:sz w:val="18"/>
                            <w:szCs w:val="18"/>
                          </w:rPr>
                        </w:pPr>
                        <w:r>
                          <w:rPr>
                            <w:rFonts w:hint="eastAsia"/>
                            <w:sz w:val="18"/>
                            <w:szCs w:val="18"/>
                          </w:rPr>
                          <w:t>（一）综合收益总额</w:t>
                        </w:r>
                      </w:p>
                    </w:tc>
                  </w:sdtContent>
                </w:sdt>
                <w:tc>
                  <w:tcPr>
                    <w:tcW w:w="490" w:type="pct"/>
                  </w:tcPr>
                  <w:p w14:paraId="381200C2" w14:textId="77777777" w:rsidR="00830E72" w:rsidRDefault="00830E72">
                    <w:pPr>
                      <w:jc w:val="right"/>
                      <w:rPr>
                        <w:sz w:val="15"/>
                        <w:szCs w:val="15"/>
                      </w:rPr>
                    </w:pPr>
                  </w:p>
                </w:tc>
                <w:tc>
                  <w:tcPr>
                    <w:tcW w:w="85" w:type="pct"/>
                  </w:tcPr>
                  <w:p w14:paraId="25B3F41C" w14:textId="77777777" w:rsidR="00830E72" w:rsidRDefault="00830E72">
                    <w:pPr>
                      <w:jc w:val="right"/>
                      <w:rPr>
                        <w:sz w:val="15"/>
                        <w:szCs w:val="15"/>
                      </w:rPr>
                    </w:pPr>
                  </w:p>
                </w:tc>
                <w:tc>
                  <w:tcPr>
                    <w:tcW w:w="89" w:type="pct"/>
                  </w:tcPr>
                  <w:p w14:paraId="03A8A3A7" w14:textId="77777777" w:rsidR="00830E72" w:rsidRDefault="00830E72">
                    <w:pPr>
                      <w:jc w:val="right"/>
                      <w:rPr>
                        <w:sz w:val="15"/>
                        <w:szCs w:val="15"/>
                      </w:rPr>
                    </w:pPr>
                  </w:p>
                </w:tc>
                <w:tc>
                  <w:tcPr>
                    <w:tcW w:w="101" w:type="pct"/>
                  </w:tcPr>
                  <w:p w14:paraId="779AEA19" w14:textId="77777777" w:rsidR="00830E72" w:rsidRDefault="00830E72">
                    <w:pPr>
                      <w:jc w:val="right"/>
                      <w:rPr>
                        <w:sz w:val="15"/>
                        <w:szCs w:val="15"/>
                      </w:rPr>
                    </w:pPr>
                  </w:p>
                </w:tc>
                <w:tc>
                  <w:tcPr>
                    <w:tcW w:w="459" w:type="pct"/>
                  </w:tcPr>
                  <w:p w14:paraId="0D13B646" w14:textId="77777777" w:rsidR="00830E72" w:rsidRDefault="00830E72">
                    <w:pPr>
                      <w:jc w:val="right"/>
                      <w:rPr>
                        <w:sz w:val="15"/>
                        <w:szCs w:val="15"/>
                      </w:rPr>
                    </w:pPr>
                  </w:p>
                </w:tc>
                <w:tc>
                  <w:tcPr>
                    <w:tcW w:w="103" w:type="pct"/>
                  </w:tcPr>
                  <w:p w14:paraId="48445234" w14:textId="77777777" w:rsidR="00830E72" w:rsidRDefault="00830E72">
                    <w:pPr>
                      <w:jc w:val="right"/>
                      <w:rPr>
                        <w:sz w:val="15"/>
                        <w:szCs w:val="15"/>
                      </w:rPr>
                    </w:pPr>
                  </w:p>
                </w:tc>
                <w:tc>
                  <w:tcPr>
                    <w:tcW w:w="153" w:type="pct"/>
                  </w:tcPr>
                  <w:p w14:paraId="00126644" w14:textId="77777777" w:rsidR="00830E72" w:rsidRDefault="00830E72">
                    <w:pPr>
                      <w:jc w:val="right"/>
                      <w:rPr>
                        <w:sz w:val="15"/>
                        <w:szCs w:val="15"/>
                      </w:rPr>
                    </w:pPr>
                  </w:p>
                </w:tc>
                <w:tc>
                  <w:tcPr>
                    <w:tcW w:w="459" w:type="pct"/>
                  </w:tcPr>
                  <w:p w14:paraId="5CE9FC38" w14:textId="77777777" w:rsidR="00830E72" w:rsidRDefault="00830E72">
                    <w:pPr>
                      <w:jc w:val="right"/>
                      <w:rPr>
                        <w:sz w:val="15"/>
                        <w:szCs w:val="15"/>
                      </w:rPr>
                    </w:pPr>
                  </w:p>
                </w:tc>
                <w:tc>
                  <w:tcPr>
                    <w:tcW w:w="459" w:type="pct"/>
                  </w:tcPr>
                  <w:p w14:paraId="177DCF0F" w14:textId="77777777" w:rsidR="00830E72" w:rsidRDefault="00830E72">
                    <w:pPr>
                      <w:jc w:val="right"/>
                      <w:rPr>
                        <w:sz w:val="15"/>
                        <w:szCs w:val="15"/>
                      </w:rPr>
                    </w:pPr>
                  </w:p>
                </w:tc>
                <w:tc>
                  <w:tcPr>
                    <w:tcW w:w="153" w:type="pct"/>
                  </w:tcPr>
                  <w:p w14:paraId="507D23FA" w14:textId="77777777" w:rsidR="00830E72" w:rsidRDefault="00830E72">
                    <w:pPr>
                      <w:jc w:val="right"/>
                      <w:rPr>
                        <w:sz w:val="15"/>
                        <w:szCs w:val="15"/>
                      </w:rPr>
                    </w:pPr>
                  </w:p>
                </w:tc>
                <w:tc>
                  <w:tcPr>
                    <w:tcW w:w="459" w:type="pct"/>
                  </w:tcPr>
                  <w:p w14:paraId="6BDA0A21" w14:textId="77777777" w:rsidR="00830E72" w:rsidRDefault="008344D8">
                    <w:pPr>
                      <w:jc w:val="right"/>
                      <w:rPr>
                        <w:sz w:val="15"/>
                        <w:szCs w:val="15"/>
                      </w:rPr>
                    </w:pPr>
                    <w:r>
                      <w:rPr>
                        <w:sz w:val="15"/>
                        <w:szCs w:val="15"/>
                      </w:rPr>
                      <w:t>49,245,587.01</w:t>
                    </w:r>
                  </w:p>
                </w:tc>
                <w:tc>
                  <w:tcPr>
                    <w:tcW w:w="103" w:type="pct"/>
                  </w:tcPr>
                  <w:p w14:paraId="26C38BCD" w14:textId="77777777" w:rsidR="00830E72" w:rsidRDefault="00830E72">
                    <w:pPr>
                      <w:jc w:val="right"/>
                      <w:rPr>
                        <w:sz w:val="15"/>
                        <w:szCs w:val="15"/>
                      </w:rPr>
                    </w:pPr>
                  </w:p>
                </w:tc>
                <w:tc>
                  <w:tcPr>
                    <w:tcW w:w="561" w:type="pct"/>
                  </w:tcPr>
                  <w:p w14:paraId="36D6FC08" w14:textId="77777777" w:rsidR="00830E72" w:rsidRDefault="008344D8">
                    <w:pPr>
                      <w:jc w:val="right"/>
                      <w:rPr>
                        <w:sz w:val="15"/>
                        <w:szCs w:val="15"/>
                      </w:rPr>
                    </w:pPr>
                    <w:r>
                      <w:rPr>
                        <w:sz w:val="15"/>
                        <w:szCs w:val="15"/>
                      </w:rPr>
                      <w:t>49,245,587.01</w:t>
                    </w:r>
                  </w:p>
                </w:tc>
                <w:tc>
                  <w:tcPr>
                    <w:tcW w:w="511" w:type="pct"/>
                  </w:tcPr>
                  <w:p w14:paraId="708FA076" w14:textId="77777777" w:rsidR="00830E72" w:rsidRDefault="008344D8">
                    <w:pPr>
                      <w:jc w:val="right"/>
                      <w:rPr>
                        <w:sz w:val="15"/>
                        <w:szCs w:val="15"/>
                      </w:rPr>
                    </w:pPr>
                    <w:r>
                      <w:rPr>
                        <w:sz w:val="15"/>
                        <w:szCs w:val="15"/>
                      </w:rPr>
                      <w:t>1,981,207.60</w:t>
                    </w:r>
                  </w:p>
                </w:tc>
                <w:tc>
                  <w:tcPr>
                    <w:tcW w:w="562" w:type="pct"/>
                  </w:tcPr>
                  <w:p w14:paraId="510BBBBD" w14:textId="77777777" w:rsidR="00830E72" w:rsidRDefault="008344D8">
                    <w:pPr>
                      <w:jc w:val="right"/>
                      <w:rPr>
                        <w:sz w:val="15"/>
                        <w:szCs w:val="15"/>
                      </w:rPr>
                    </w:pPr>
                    <w:r>
                      <w:rPr>
                        <w:sz w:val="15"/>
                        <w:szCs w:val="15"/>
                      </w:rPr>
                      <w:t>51,226,794.61</w:t>
                    </w:r>
                  </w:p>
                </w:tc>
              </w:tr>
              <w:tr w:rsidR="00830E72" w14:paraId="27524673" w14:textId="77777777">
                <w:sdt>
                  <w:sdtPr>
                    <w:tag w:val="_PLD_f17921fb207340239c73a056e615d773"/>
                    <w:id w:val="1574779768"/>
                    <w:lock w:val="sdtLocked"/>
                  </w:sdtPr>
                  <w:sdtEndPr/>
                  <w:sdtContent>
                    <w:tc>
                      <w:tcPr>
                        <w:tcW w:w="254" w:type="pct"/>
                      </w:tcPr>
                      <w:p w14:paraId="65749416" w14:textId="77777777" w:rsidR="00830E72" w:rsidRDefault="008344D8">
                        <w:pPr>
                          <w:rPr>
                            <w:sz w:val="18"/>
                            <w:szCs w:val="18"/>
                          </w:rPr>
                        </w:pPr>
                        <w:r>
                          <w:rPr>
                            <w:sz w:val="18"/>
                            <w:szCs w:val="18"/>
                          </w:rPr>
                          <w:t>（</w:t>
                        </w:r>
                        <w:r>
                          <w:rPr>
                            <w:rFonts w:hint="eastAsia"/>
                            <w:sz w:val="18"/>
                            <w:szCs w:val="18"/>
                          </w:rPr>
                          <w:t>二</w:t>
                        </w:r>
                        <w:r>
                          <w:rPr>
                            <w:sz w:val="18"/>
                            <w:szCs w:val="18"/>
                          </w:rPr>
                          <w:t>）所有者投入和减少资本</w:t>
                        </w:r>
                      </w:p>
                    </w:tc>
                  </w:sdtContent>
                </w:sdt>
                <w:tc>
                  <w:tcPr>
                    <w:tcW w:w="490" w:type="pct"/>
                  </w:tcPr>
                  <w:p w14:paraId="4461EC87" w14:textId="77777777" w:rsidR="00830E72" w:rsidRDefault="008344D8">
                    <w:pPr>
                      <w:jc w:val="right"/>
                      <w:rPr>
                        <w:sz w:val="15"/>
                        <w:szCs w:val="15"/>
                      </w:rPr>
                    </w:pPr>
                    <w:r>
                      <w:rPr>
                        <w:sz w:val="15"/>
                        <w:szCs w:val="15"/>
                      </w:rPr>
                      <w:t>119,924,235.00</w:t>
                    </w:r>
                  </w:p>
                </w:tc>
                <w:tc>
                  <w:tcPr>
                    <w:tcW w:w="85" w:type="pct"/>
                  </w:tcPr>
                  <w:p w14:paraId="7BBBDD64" w14:textId="77777777" w:rsidR="00830E72" w:rsidRDefault="00830E72">
                    <w:pPr>
                      <w:jc w:val="right"/>
                      <w:rPr>
                        <w:sz w:val="15"/>
                        <w:szCs w:val="15"/>
                      </w:rPr>
                    </w:pPr>
                  </w:p>
                </w:tc>
                <w:tc>
                  <w:tcPr>
                    <w:tcW w:w="89" w:type="pct"/>
                  </w:tcPr>
                  <w:p w14:paraId="71294A2C" w14:textId="77777777" w:rsidR="00830E72" w:rsidRDefault="00830E72">
                    <w:pPr>
                      <w:jc w:val="right"/>
                      <w:rPr>
                        <w:sz w:val="15"/>
                        <w:szCs w:val="15"/>
                      </w:rPr>
                    </w:pPr>
                  </w:p>
                </w:tc>
                <w:tc>
                  <w:tcPr>
                    <w:tcW w:w="101" w:type="pct"/>
                  </w:tcPr>
                  <w:p w14:paraId="580F7C22" w14:textId="77777777" w:rsidR="00830E72" w:rsidRDefault="00830E72">
                    <w:pPr>
                      <w:jc w:val="right"/>
                      <w:rPr>
                        <w:sz w:val="15"/>
                        <w:szCs w:val="15"/>
                      </w:rPr>
                    </w:pPr>
                  </w:p>
                </w:tc>
                <w:tc>
                  <w:tcPr>
                    <w:tcW w:w="459" w:type="pct"/>
                  </w:tcPr>
                  <w:p w14:paraId="651A11D2" w14:textId="77777777" w:rsidR="00830E72" w:rsidRDefault="008344D8">
                    <w:pPr>
                      <w:jc w:val="right"/>
                      <w:rPr>
                        <w:sz w:val="15"/>
                        <w:szCs w:val="15"/>
                      </w:rPr>
                    </w:pPr>
                    <w:r>
                      <w:rPr>
                        <w:sz w:val="15"/>
                        <w:szCs w:val="15"/>
                      </w:rPr>
                      <w:t>739,288,730.37</w:t>
                    </w:r>
                  </w:p>
                </w:tc>
                <w:tc>
                  <w:tcPr>
                    <w:tcW w:w="103" w:type="pct"/>
                  </w:tcPr>
                  <w:p w14:paraId="342A8D97" w14:textId="77777777" w:rsidR="00830E72" w:rsidRDefault="00830E72">
                    <w:pPr>
                      <w:jc w:val="right"/>
                      <w:rPr>
                        <w:sz w:val="15"/>
                        <w:szCs w:val="15"/>
                      </w:rPr>
                    </w:pPr>
                  </w:p>
                </w:tc>
                <w:tc>
                  <w:tcPr>
                    <w:tcW w:w="153" w:type="pct"/>
                  </w:tcPr>
                  <w:p w14:paraId="5F86ADB3" w14:textId="77777777" w:rsidR="00830E72" w:rsidRDefault="00830E72">
                    <w:pPr>
                      <w:jc w:val="right"/>
                      <w:rPr>
                        <w:sz w:val="15"/>
                        <w:szCs w:val="15"/>
                      </w:rPr>
                    </w:pPr>
                  </w:p>
                </w:tc>
                <w:tc>
                  <w:tcPr>
                    <w:tcW w:w="459" w:type="pct"/>
                  </w:tcPr>
                  <w:p w14:paraId="4CC28FAE" w14:textId="77777777" w:rsidR="00830E72" w:rsidRDefault="00830E72">
                    <w:pPr>
                      <w:jc w:val="right"/>
                      <w:rPr>
                        <w:sz w:val="15"/>
                        <w:szCs w:val="15"/>
                      </w:rPr>
                    </w:pPr>
                  </w:p>
                </w:tc>
                <w:tc>
                  <w:tcPr>
                    <w:tcW w:w="459" w:type="pct"/>
                  </w:tcPr>
                  <w:p w14:paraId="5F0EF661" w14:textId="77777777" w:rsidR="00830E72" w:rsidRDefault="00830E72">
                    <w:pPr>
                      <w:jc w:val="right"/>
                      <w:rPr>
                        <w:sz w:val="15"/>
                        <w:szCs w:val="15"/>
                      </w:rPr>
                    </w:pPr>
                  </w:p>
                </w:tc>
                <w:tc>
                  <w:tcPr>
                    <w:tcW w:w="153" w:type="pct"/>
                  </w:tcPr>
                  <w:p w14:paraId="5C0EBDDB" w14:textId="77777777" w:rsidR="00830E72" w:rsidRDefault="00830E72">
                    <w:pPr>
                      <w:jc w:val="right"/>
                      <w:rPr>
                        <w:sz w:val="15"/>
                        <w:szCs w:val="15"/>
                      </w:rPr>
                    </w:pPr>
                  </w:p>
                </w:tc>
                <w:tc>
                  <w:tcPr>
                    <w:tcW w:w="459" w:type="pct"/>
                  </w:tcPr>
                  <w:p w14:paraId="3C965380" w14:textId="77777777" w:rsidR="00830E72" w:rsidRDefault="00830E72">
                    <w:pPr>
                      <w:jc w:val="right"/>
                      <w:rPr>
                        <w:sz w:val="15"/>
                        <w:szCs w:val="15"/>
                      </w:rPr>
                    </w:pPr>
                  </w:p>
                </w:tc>
                <w:tc>
                  <w:tcPr>
                    <w:tcW w:w="103" w:type="pct"/>
                  </w:tcPr>
                  <w:p w14:paraId="6E0E2047" w14:textId="77777777" w:rsidR="00830E72" w:rsidRDefault="00830E72">
                    <w:pPr>
                      <w:jc w:val="right"/>
                      <w:rPr>
                        <w:sz w:val="15"/>
                        <w:szCs w:val="15"/>
                      </w:rPr>
                    </w:pPr>
                  </w:p>
                </w:tc>
                <w:tc>
                  <w:tcPr>
                    <w:tcW w:w="561" w:type="pct"/>
                  </w:tcPr>
                  <w:p w14:paraId="2EF92846" w14:textId="77777777" w:rsidR="00830E72" w:rsidRDefault="008344D8">
                    <w:pPr>
                      <w:jc w:val="right"/>
                      <w:rPr>
                        <w:sz w:val="15"/>
                        <w:szCs w:val="15"/>
                      </w:rPr>
                    </w:pPr>
                    <w:r>
                      <w:rPr>
                        <w:sz w:val="15"/>
                        <w:szCs w:val="15"/>
                      </w:rPr>
                      <w:t>859,212,965.37</w:t>
                    </w:r>
                  </w:p>
                </w:tc>
                <w:tc>
                  <w:tcPr>
                    <w:tcW w:w="511" w:type="pct"/>
                  </w:tcPr>
                  <w:p w14:paraId="278ACF3C" w14:textId="77777777" w:rsidR="00830E72" w:rsidRDefault="00830E72">
                    <w:pPr>
                      <w:jc w:val="right"/>
                      <w:rPr>
                        <w:sz w:val="15"/>
                        <w:szCs w:val="15"/>
                      </w:rPr>
                    </w:pPr>
                  </w:p>
                </w:tc>
                <w:tc>
                  <w:tcPr>
                    <w:tcW w:w="562" w:type="pct"/>
                  </w:tcPr>
                  <w:p w14:paraId="133D076B" w14:textId="77777777" w:rsidR="00830E72" w:rsidRDefault="008344D8">
                    <w:pPr>
                      <w:jc w:val="right"/>
                      <w:rPr>
                        <w:sz w:val="15"/>
                        <w:szCs w:val="15"/>
                      </w:rPr>
                    </w:pPr>
                    <w:r>
                      <w:rPr>
                        <w:sz w:val="15"/>
                        <w:szCs w:val="15"/>
                      </w:rPr>
                      <w:t>859,212,965.37</w:t>
                    </w:r>
                  </w:p>
                </w:tc>
              </w:tr>
              <w:tr w:rsidR="00830E72" w14:paraId="615C689D" w14:textId="77777777">
                <w:sdt>
                  <w:sdtPr>
                    <w:tag w:val="_PLD_a4e5a1909d05445a88f8a664e237ae02"/>
                    <w:id w:val="1379598381"/>
                    <w:lock w:val="sdtLocked"/>
                  </w:sdtPr>
                  <w:sdtEndPr/>
                  <w:sdtContent>
                    <w:tc>
                      <w:tcPr>
                        <w:tcW w:w="254" w:type="pct"/>
                      </w:tcPr>
                      <w:p w14:paraId="1A65748F" w14:textId="77777777" w:rsidR="00830E72" w:rsidRDefault="008344D8">
                        <w:pPr>
                          <w:rPr>
                            <w:sz w:val="18"/>
                            <w:szCs w:val="18"/>
                          </w:rPr>
                        </w:pPr>
                        <w:r>
                          <w:rPr>
                            <w:rFonts w:hint="eastAsia"/>
                            <w:sz w:val="18"/>
                            <w:szCs w:val="18"/>
                          </w:rPr>
                          <w:t>1．所有者投入的普通股</w:t>
                        </w:r>
                      </w:p>
                    </w:tc>
                  </w:sdtContent>
                </w:sdt>
                <w:tc>
                  <w:tcPr>
                    <w:tcW w:w="490" w:type="pct"/>
                  </w:tcPr>
                  <w:p w14:paraId="41355011" w14:textId="77777777" w:rsidR="00830E72" w:rsidRDefault="008344D8">
                    <w:pPr>
                      <w:jc w:val="right"/>
                      <w:rPr>
                        <w:sz w:val="15"/>
                        <w:szCs w:val="15"/>
                      </w:rPr>
                    </w:pPr>
                    <w:r>
                      <w:rPr>
                        <w:sz w:val="15"/>
                        <w:szCs w:val="15"/>
                      </w:rPr>
                      <w:t>119,924,235.00</w:t>
                    </w:r>
                  </w:p>
                </w:tc>
                <w:tc>
                  <w:tcPr>
                    <w:tcW w:w="85" w:type="pct"/>
                  </w:tcPr>
                  <w:p w14:paraId="354D65E8" w14:textId="77777777" w:rsidR="00830E72" w:rsidRDefault="00830E72">
                    <w:pPr>
                      <w:jc w:val="right"/>
                      <w:rPr>
                        <w:sz w:val="15"/>
                        <w:szCs w:val="15"/>
                      </w:rPr>
                    </w:pPr>
                  </w:p>
                </w:tc>
                <w:tc>
                  <w:tcPr>
                    <w:tcW w:w="89" w:type="pct"/>
                  </w:tcPr>
                  <w:p w14:paraId="754B44ED" w14:textId="77777777" w:rsidR="00830E72" w:rsidRDefault="00830E72">
                    <w:pPr>
                      <w:jc w:val="right"/>
                      <w:rPr>
                        <w:sz w:val="15"/>
                        <w:szCs w:val="15"/>
                      </w:rPr>
                    </w:pPr>
                  </w:p>
                </w:tc>
                <w:tc>
                  <w:tcPr>
                    <w:tcW w:w="101" w:type="pct"/>
                  </w:tcPr>
                  <w:p w14:paraId="63A03B85" w14:textId="77777777" w:rsidR="00830E72" w:rsidRDefault="00830E72">
                    <w:pPr>
                      <w:jc w:val="right"/>
                      <w:rPr>
                        <w:sz w:val="15"/>
                        <w:szCs w:val="15"/>
                      </w:rPr>
                    </w:pPr>
                  </w:p>
                </w:tc>
                <w:tc>
                  <w:tcPr>
                    <w:tcW w:w="459" w:type="pct"/>
                  </w:tcPr>
                  <w:p w14:paraId="15184E3C" w14:textId="77777777" w:rsidR="00830E72" w:rsidRDefault="008344D8">
                    <w:pPr>
                      <w:jc w:val="right"/>
                      <w:rPr>
                        <w:sz w:val="15"/>
                        <w:szCs w:val="15"/>
                      </w:rPr>
                    </w:pPr>
                    <w:r>
                      <w:rPr>
                        <w:sz w:val="15"/>
                        <w:szCs w:val="15"/>
                      </w:rPr>
                      <w:t>739,288,730.37</w:t>
                    </w:r>
                  </w:p>
                </w:tc>
                <w:tc>
                  <w:tcPr>
                    <w:tcW w:w="103" w:type="pct"/>
                  </w:tcPr>
                  <w:p w14:paraId="607E235E" w14:textId="77777777" w:rsidR="00830E72" w:rsidRDefault="00830E72">
                    <w:pPr>
                      <w:jc w:val="right"/>
                      <w:rPr>
                        <w:sz w:val="15"/>
                        <w:szCs w:val="15"/>
                      </w:rPr>
                    </w:pPr>
                  </w:p>
                </w:tc>
                <w:tc>
                  <w:tcPr>
                    <w:tcW w:w="153" w:type="pct"/>
                  </w:tcPr>
                  <w:p w14:paraId="621FC99A" w14:textId="77777777" w:rsidR="00830E72" w:rsidRDefault="00830E72">
                    <w:pPr>
                      <w:jc w:val="right"/>
                      <w:rPr>
                        <w:sz w:val="15"/>
                        <w:szCs w:val="15"/>
                      </w:rPr>
                    </w:pPr>
                  </w:p>
                </w:tc>
                <w:tc>
                  <w:tcPr>
                    <w:tcW w:w="459" w:type="pct"/>
                  </w:tcPr>
                  <w:p w14:paraId="78860DD5" w14:textId="77777777" w:rsidR="00830E72" w:rsidRDefault="00830E72">
                    <w:pPr>
                      <w:jc w:val="right"/>
                      <w:rPr>
                        <w:sz w:val="15"/>
                        <w:szCs w:val="15"/>
                      </w:rPr>
                    </w:pPr>
                  </w:p>
                </w:tc>
                <w:tc>
                  <w:tcPr>
                    <w:tcW w:w="459" w:type="pct"/>
                  </w:tcPr>
                  <w:p w14:paraId="49CD8C01" w14:textId="77777777" w:rsidR="00830E72" w:rsidRDefault="00830E72">
                    <w:pPr>
                      <w:jc w:val="right"/>
                      <w:rPr>
                        <w:sz w:val="15"/>
                        <w:szCs w:val="15"/>
                      </w:rPr>
                    </w:pPr>
                  </w:p>
                </w:tc>
                <w:tc>
                  <w:tcPr>
                    <w:tcW w:w="153" w:type="pct"/>
                  </w:tcPr>
                  <w:p w14:paraId="6D80E44B" w14:textId="77777777" w:rsidR="00830E72" w:rsidRDefault="00830E72">
                    <w:pPr>
                      <w:jc w:val="right"/>
                      <w:rPr>
                        <w:sz w:val="15"/>
                        <w:szCs w:val="15"/>
                      </w:rPr>
                    </w:pPr>
                  </w:p>
                </w:tc>
                <w:tc>
                  <w:tcPr>
                    <w:tcW w:w="459" w:type="pct"/>
                  </w:tcPr>
                  <w:p w14:paraId="04C2FA99" w14:textId="77777777" w:rsidR="00830E72" w:rsidRDefault="00830E72">
                    <w:pPr>
                      <w:jc w:val="right"/>
                      <w:rPr>
                        <w:sz w:val="15"/>
                        <w:szCs w:val="15"/>
                      </w:rPr>
                    </w:pPr>
                  </w:p>
                </w:tc>
                <w:tc>
                  <w:tcPr>
                    <w:tcW w:w="103" w:type="pct"/>
                  </w:tcPr>
                  <w:p w14:paraId="4714820B" w14:textId="77777777" w:rsidR="00830E72" w:rsidRDefault="00830E72">
                    <w:pPr>
                      <w:jc w:val="right"/>
                      <w:rPr>
                        <w:sz w:val="15"/>
                        <w:szCs w:val="15"/>
                      </w:rPr>
                    </w:pPr>
                  </w:p>
                </w:tc>
                <w:tc>
                  <w:tcPr>
                    <w:tcW w:w="561" w:type="pct"/>
                  </w:tcPr>
                  <w:p w14:paraId="78CDBE41" w14:textId="77777777" w:rsidR="00830E72" w:rsidRDefault="008344D8">
                    <w:pPr>
                      <w:jc w:val="right"/>
                      <w:rPr>
                        <w:sz w:val="15"/>
                        <w:szCs w:val="15"/>
                      </w:rPr>
                    </w:pPr>
                    <w:r>
                      <w:rPr>
                        <w:sz w:val="15"/>
                        <w:szCs w:val="15"/>
                      </w:rPr>
                      <w:t>859,212,965.37</w:t>
                    </w:r>
                  </w:p>
                </w:tc>
                <w:tc>
                  <w:tcPr>
                    <w:tcW w:w="511" w:type="pct"/>
                  </w:tcPr>
                  <w:p w14:paraId="0808B0CA" w14:textId="77777777" w:rsidR="00830E72" w:rsidRDefault="00830E72">
                    <w:pPr>
                      <w:jc w:val="right"/>
                      <w:rPr>
                        <w:sz w:val="15"/>
                        <w:szCs w:val="15"/>
                      </w:rPr>
                    </w:pPr>
                  </w:p>
                </w:tc>
                <w:tc>
                  <w:tcPr>
                    <w:tcW w:w="562" w:type="pct"/>
                  </w:tcPr>
                  <w:p w14:paraId="5072DB85" w14:textId="77777777" w:rsidR="00830E72" w:rsidRDefault="008344D8">
                    <w:pPr>
                      <w:jc w:val="right"/>
                      <w:rPr>
                        <w:sz w:val="15"/>
                        <w:szCs w:val="15"/>
                      </w:rPr>
                    </w:pPr>
                    <w:r>
                      <w:rPr>
                        <w:sz w:val="15"/>
                        <w:szCs w:val="15"/>
                      </w:rPr>
                      <w:t>859,212,965.37</w:t>
                    </w:r>
                  </w:p>
                </w:tc>
              </w:tr>
              <w:tr w:rsidR="00830E72" w14:paraId="58235DF2" w14:textId="77777777">
                <w:sdt>
                  <w:sdtPr>
                    <w:tag w:val="_PLD_00983bc5e4cc404f92b2fab2c532ec5f"/>
                    <w:id w:val="-916246601"/>
                    <w:lock w:val="sdtLocked"/>
                  </w:sdtPr>
                  <w:sdtEndPr/>
                  <w:sdtContent>
                    <w:tc>
                      <w:tcPr>
                        <w:tcW w:w="254" w:type="pct"/>
                      </w:tcPr>
                      <w:p w14:paraId="31262D12" w14:textId="77777777" w:rsidR="00830E72" w:rsidRDefault="008344D8">
                        <w:pPr>
                          <w:rPr>
                            <w:sz w:val="18"/>
                            <w:szCs w:val="18"/>
                          </w:rPr>
                        </w:pPr>
                        <w:r>
                          <w:rPr>
                            <w:rFonts w:hint="eastAsia"/>
                            <w:sz w:val="18"/>
                            <w:szCs w:val="18"/>
                          </w:rPr>
                          <w:t>2．其他权益工具持有者投入资本</w:t>
                        </w:r>
                      </w:p>
                    </w:tc>
                  </w:sdtContent>
                </w:sdt>
                <w:tc>
                  <w:tcPr>
                    <w:tcW w:w="490" w:type="pct"/>
                  </w:tcPr>
                  <w:p w14:paraId="209BE3CF" w14:textId="77777777" w:rsidR="00830E72" w:rsidRDefault="00830E72">
                    <w:pPr>
                      <w:jc w:val="right"/>
                      <w:rPr>
                        <w:sz w:val="18"/>
                        <w:szCs w:val="18"/>
                      </w:rPr>
                    </w:pPr>
                  </w:p>
                </w:tc>
                <w:tc>
                  <w:tcPr>
                    <w:tcW w:w="85" w:type="pct"/>
                  </w:tcPr>
                  <w:p w14:paraId="177F2EA1" w14:textId="77777777" w:rsidR="00830E72" w:rsidRDefault="00830E72">
                    <w:pPr>
                      <w:jc w:val="right"/>
                      <w:rPr>
                        <w:sz w:val="18"/>
                        <w:szCs w:val="18"/>
                      </w:rPr>
                    </w:pPr>
                  </w:p>
                </w:tc>
                <w:tc>
                  <w:tcPr>
                    <w:tcW w:w="89" w:type="pct"/>
                  </w:tcPr>
                  <w:p w14:paraId="052C9355" w14:textId="77777777" w:rsidR="00830E72" w:rsidRDefault="00830E72">
                    <w:pPr>
                      <w:jc w:val="right"/>
                      <w:rPr>
                        <w:sz w:val="18"/>
                        <w:szCs w:val="18"/>
                      </w:rPr>
                    </w:pPr>
                  </w:p>
                </w:tc>
                <w:tc>
                  <w:tcPr>
                    <w:tcW w:w="101" w:type="pct"/>
                  </w:tcPr>
                  <w:p w14:paraId="1A1CEA3D" w14:textId="77777777" w:rsidR="00830E72" w:rsidRDefault="00830E72">
                    <w:pPr>
                      <w:jc w:val="right"/>
                      <w:rPr>
                        <w:sz w:val="18"/>
                        <w:szCs w:val="18"/>
                      </w:rPr>
                    </w:pPr>
                  </w:p>
                </w:tc>
                <w:tc>
                  <w:tcPr>
                    <w:tcW w:w="459" w:type="pct"/>
                  </w:tcPr>
                  <w:p w14:paraId="6252EF23" w14:textId="77777777" w:rsidR="00830E72" w:rsidRDefault="00830E72">
                    <w:pPr>
                      <w:jc w:val="right"/>
                      <w:rPr>
                        <w:sz w:val="18"/>
                        <w:szCs w:val="18"/>
                      </w:rPr>
                    </w:pPr>
                  </w:p>
                </w:tc>
                <w:tc>
                  <w:tcPr>
                    <w:tcW w:w="103" w:type="pct"/>
                  </w:tcPr>
                  <w:p w14:paraId="22AD0EC6" w14:textId="77777777" w:rsidR="00830E72" w:rsidRDefault="00830E72">
                    <w:pPr>
                      <w:jc w:val="right"/>
                      <w:rPr>
                        <w:sz w:val="18"/>
                        <w:szCs w:val="18"/>
                      </w:rPr>
                    </w:pPr>
                  </w:p>
                </w:tc>
                <w:tc>
                  <w:tcPr>
                    <w:tcW w:w="153" w:type="pct"/>
                  </w:tcPr>
                  <w:p w14:paraId="641C7B79" w14:textId="77777777" w:rsidR="00830E72" w:rsidRDefault="00830E72">
                    <w:pPr>
                      <w:jc w:val="right"/>
                      <w:rPr>
                        <w:sz w:val="18"/>
                        <w:szCs w:val="18"/>
                      </w:rPr>
                    </w:pPr>
                  </w:p>
                </w:tc>
                <w:tc>
                  <w:tcPr>
                    <w:tcW w:w="459" w:type="pct"/>
                  </w:tcPr>
                  <w:p w14:paraId="33B9BDFB" w14:textId="77777777" w:rsidR="00830E72" w:rsidRDefault="00830E72">
                    <w:pPr>
                      <w:jc w:val="right"/>
                      <w:rPr>
                        <w:sz w:val="18"/>
                        <w:szCs w:val="18"/>
                      </w:rPr>
                    </w:pPr>
                  </w:p>
                </w:tc>
                <w:tc>
                  <w:tcPr>
                    <w:tcW w:w="459" w:type="pct"/>
                  </w:tcPr>
                  <w:p w14:paraId="77BA04AC" w14:textId="77777777" w:rsidR="00830E72" w:rsidRDefault="00830E72">
                    <w:pPr>
                      <w:jc w:val="right"/>
                      <w:rPr>
                        <w:sz w:val="18"/>
                        <w:szCs w:val="18"/>
                      </w:rPr>
                    </w:pPr>
                  </w:p>
                </w:tc>
                <w:tc>
                  <w:tcPr>
                    <w:tcW w:w="153" w:type="pct"/>
                  </w:tcPr>
                  <w:p w14:paraId="3652270E" w14:textId="77777777" w:rsidR="00830E72" w:rsidRDefault="00830E72">
                    <w:pPr>
                      <w:jc w:val="right"/>
                      <w:rPr>
                        <w:sz w:val="18"/>
                        <w:szCs w:val="18"/>
                      </w:rPr>
                    </w:pPr>
                  </w:p>
                </w:tc>
                <w:tc>
                  <w:tcPr>
                    <w:tcW w:w="459" w:type="pct"/>
                  </w:tcPr>
                  <w:p w14:paraId="08B12592" w14:textId="77777777" w:rsidR="00830E72" w:rsidRDefault="00830E72">
                    <w:pPr>
                      <w:jc w:val="right"/>
                      <w:rPr>
                        <w:sz w:val="18"/>
                        <w:szCs w:val="18"/>
                      </w:rPr>
                    </w:pPr>
                  </w:p>
                </w:tc>
                <w:tc>
                  <w:tcPr>
                    <w:tcW w:w="103" w:type="pct"/>
                  </w:tcPr>
                  <w:p w14:paraId="0EFB1195" w14:textId="77777777" w:rsidR="00830E72" w:rsidRDefault="00830E72">
                    <w:pPr>
                      <w:jc w:val="right"/>
                      <w:rPr>
                        <w:sz w:val="18"/>
                        <w:szCs w:val="18"/>
                      </w:rPr>
                    </w:pPr>
                  </w:p>
                </w:tc>
                <w:tc>
                  <w:tcPr>
                    <w:tcW w:w="561" w:type="pct"/>
                  </w:tcPr>
                  <w:p w14:paraId="50DE35CE" w14:textId="77777777" w:rsidR="00830E72" w:rsidRDefault="00830E72">
                    <w:pPr>
                      <w:jc w:val="right"/>
                      <w:rPr>
                        <w:sz w:val="18"/>
                        <w:szCs w:val="18"/>
                      </w:rPr>
                    </w:pPr>
                  </w:p>
                </w:tc>
                <w:tc>
                  <w:tcPr>
                    <w:tcW w:w="511" w:type="pct"/>
                  </w:tcPr>
                  <w:p w14:paraId="77C2EDE8" w14:textId="77777777" w:rsidR="00830E72" w:rsidRDefault="00830E72">
                    <w:pPr>
                      <w:jc w:val="right"/>
                      <w:rPr>
                        <w:sz w:val="18"/>
                        <w:szCs w:val="18"/>
                      </w:rPr>
                    </w:pPr>
                  </w:p>
                </w:tc>
                <w:tc>
                  <w:tcPr>
                    <w:tcW w:w="562" w:type="pct"/>
                  </w:tcPr>
                  <w:p w14:paraId="0C2DE7D4" w14:textId="77777777" w:rsidR="00830E72" w:rsidRDefault="00830E72">
                    <w:pPr>
                      <w:jc w:val="right"/>
                      <w:rPr>
                        <w:sz w:val="18"/>
                        <w:szCs w:val="18"/>
                      </w:rPr>
                    </w:pPr>
                  </w:p>
                </w:tc>
              </w:tr>
              <w:tr w:rsidR="00830E72" w14:paraId="7628FAEB" w14:textId="77777777">
                <w:sdt>
                  <w:sdtPr>
                    <w:tag w:val="_PLD_b945685508384f75ad9507566dd406a5"/>
                    <w:id w:val="793260845"/>
                    <w:lock w:val="sdtLocked"/>
                  </w:sdtPr>
                  <w:sdtEndPr/>
                  <w:sdtContent>
                    <w:tc>
                      <w:tcPr>
                        <w:tcW w:w="254" w:type="pct"/>
                      </w:tcPr>
                      <w:p w14:paraId="5FD7F404" w14:textId="77777777" w:rsidR="00830E72" w:rsidRDefault="008344D8">
                        <w:pPr>
                          <w:rPr>
                            <w:sz w:val="18"/>
                            <w:szCs w:val="18"/>
                          </w:rPr>
                        </w:pPr>
                        <w:r>
                          <w:rPr>
                            <w:rFonts w:hint="eastAsia"/>
                            <w:sz w:val="18"/>
                            <w:szCs w:val="18"/>
                          </w:rPr>
                          <w:t>3</w:t>
                        </w:r>
                        <w:r>
                          <w:rPr>
                            <w:sz w:val="18"/>
                            <w:szCs w:val="18"/>
                          </w:rPr>
                          <w:t>．股份支付计入所有者</w:t>
                        </w:r>
                        <w:r>
                          <w:rPr>
                            <w:sz w:val="18"/>
                            <w:szCs w:val="18"/>
                          </w:rPr>
                          <w:lastRenderedPageBreak/>
                          <w:t>权益的金额</w:t>
                        </w:r>
                      </w:p>
                    </w:tc>
                  </w:sdtContent>
                </w:sdt>
                <w:tc>
                  <w:tcPr>
                    <w:tcW w:w="490" w:type="pct"/>
                  </w:tcPr>
                  <w:p w14:paraId="7AB914E4" w14:textId="77777777" w:rsidR="00830E72" w:rsidRDefault="00830E72">
                    <w:pPr>
                      <w:jc w:val="right"/>
                      <w:rPr>
                        <w:sz w:val="18"/>
                        <w:szCs w:val="18"/>
                      </w:rPr>
                    </w:pPr>
                  </w:p>
                </w:tc>
                <w:tc>
                  <w:tcPr>
                    <w:tcW w:w="85" w:type="pct"/>
                  </w:tcPr>
                  <w:p w14:paraId="29636E0F" w14:textId="77777777" w:rsidR="00830E72" w:rsidRDefault="00830E72">
                    <w:pPr>
                      <w:jc w:val="right"/>
                      <w:rPr>
                        <w:sz w:val="18"/>
                        <w:szCs w:val="18"/>
                      </w:rPr>
                    </w:pPr>
                  </w:p>
                </w:tc>
                <w:tc>
                  <w:tcPr>
                    <w:tcW w:w="89" w:type="pct"/>
                  </w:tcPr>
                  <w:p w14:paraId="6681F968" w14:textId="77777777" w:rsidR="00830E72" w:rsidRDefault="00830E72">
                    <w:pPr>
                      <w:jc w:val="right"/>
                      <w:rPr>
                        <w:sz w:val="18"/>
                        <w:szCs w:val="18"/>
                      </w:rPr>
                    </w:pPr>
                  </w:p>
                </w:tc>
                <w:tc>
                  <w:tcPr>
                    <w:tcW w:w="101" w:type="pct"/>
                  </w:tcPr>
                  <w:p w14:paraId="234A0152" w14:textId="77777777" w:rsidR="00830E72" w:rsidRDefault="00830E72">
                    <w:pPr>
                      <w:jc w:val="right"/>
                      <w:rPr>
                        <w:sz w:val="18"/>
                        <w:szCs w:val="18"/>
                      </w:rPr>
                    </w:pPr>
                  </w:p>
                </w:tc>
                <w:tc>
                  <w:tcPr>
                    <w:tcW w:w="459" w:type="pct"/>
                  </w:tcPr>
                  <w:p w14:paraId="692167E6" w14:textId="77777777" w:rsidR="00830E72" w:rsidRDefault="00830E72">
                    <w:pPr>
                      <w:jc w:val="right"/>
                      <w:rPr>
                        <w:sz w:val="18"/>
                        <w:szCs w:val="18"/>
                      </w:rPr>
                    </w:pPr>
                  </w:p>
                </w:tc>
                <w:tc>
                  <w:tcPr>
                    <w:tcW w:w="103" w:type="pct"/>
                  </w:tcPr>
                  <w:p w14:paraId="419BDCD6" w14:textId="77777777" w:rsidR="00830E72" w:rsidRDefault="00830E72">
                    <w:pPr>
                      <w:jc w:val="right"/>
                      <w:rPr>
                        <w:sz w:val="18"/>
                        <w:szCs w:val="18"/>
                      </w:rPr>
                    </w:pPr>
                  </w:p>
                </w:tc>
                <w:tc>
                  <w:tcPr>
                    <w:tcW w:w="153" w:type="pct"/>
                  </w:tcPr>
                  <w:p w14:paraId="1373E85E" w14:textId="77777777" w:rsidR="00830E72" w:rsidRDefault="00830E72">
                    <w:pPr>
                      <w:jc w:val="right"/>
                      <w:rPr>
                        <w:sz w:val="18"/>
                        <w:szCs w:val="18"/>
                      </w:rPr>
                    </w:pPr>
                  </w:p>
                </w:tc>
                <w:tc>
                  <w:tcPr>
                    <w:tcW w:w="459" w:type="pct"/>
                  </w:tcPr>
                  <w:p w14:paraId="60A623D5" w14:textId="77777777" w:rsidR="00830E72" w:rsidRDefault="00830E72">
                    <w:pPr>
                      <w:jc w:val="right"/>
                      <w:rPr>
                        <w:sz w:val="18"/>
                        <w:szCs w:val="18"/>
                      </w:rPr>
                    </w:pPr>
                  </w:p>
                </w:tc>
                <w:tc>
                  <w:tcPr>
                    <w:tcW w:w="459" w:type="pct"/>
                  </w:tcPr>
                  <w:p w14:paraId="60B9795E" w14:textId="77777777" w:rsidR="00830E72" w:rsidRDefault="00830E72">
                    <w:pPr>
                      <w:jc w:val="right"/>
                      <w:rPr>
                        <w:sz w:val="18"/>
                        <w:szCs w:val="18"/>
                      </w:rPr>
                    </w:pPr>
                  </w:p>
                </w:tc>
                <w:tc>
                  <w:tcPr>
                    <w:tcW w:w="153" w:type="pct"/>
                  </w:tcPr>
                  <w:p w14:paraId="467206EE" w14:textId="77777777" w:rsidR="00830E72" w:rsidRDefault="00830E72">
                    <w:pPr>
                      <w:jc w:val="right"/>
                      <w:rPr>
                        <w:sz w:val="18"/>
                        <w:szCs w:val="18"/>
                      </w:rPr>
                    </w:pPr>
                  </w:p>
                </w:tc>
                <w:tc>
                  <w:tcPr>
                    <w:tcW w:w="459" w:type="pct"/>
                  </w:tcPr>
                  <w:p w14:paraId="1F80B500" w14:textId="77777777" w:rsidR="00830E72" w:rsidRDefault="00830E72">
                    <w:pPr>
                      <w:jc w:val="right"/>
                      <w:rPr>
                        <w:sz w:val="18"/>
                        <w:szCs w:val="18"/>
                      </w:rPr>
                    </w:pPr>
                  </w:p>
                </w:tc>
                <w:tc>
                  <w:tcPr>
                    <w:tcW w:w="103" w:type="pct"/>
                  </w:tcPr>
                  <w:p w14:paraId="27AC80FE" w14:textId="77777777" w:rsidR="00830E72" w:rsidRDefault="00830E72">
                    <w:pPr>
                      <w:jc w:val="right"/>
                      <w:rPr>
                        <w:sz w:val="18"/>
                        <w:szCs w:val="18"/>
                      </w:rPr>
                    </w:pPr>
                  </w:p>
                </w:tc>
                <w:tc>
                  <w:tcPr>
                    <w:tcW w:w="561" w:type="pct"/>
                  </w:tcPr>
                  <w:p w14:paraId="1FDD4866" w14:textId="77777777" w:rsidR="00830E72" w:rsidRDefault="00830E72">
                    <w:pPr>
                      <w:jc w:val="right"/>
                      <w:rPr>
                        <w:sz w:val="18"/>
                        <w:szCs w:val="18"/>
                      </w:rPr>
                    </w:pPr>
                  </w:p>
                </w:tc>
                <w:tc>
                  <w:tcPr>
                    <w:tcW w:w="511" w:type="pct"/>
                  </w:tcPr>
                  <w:p w14:paraId="072F2668" w14:textId="77777777" w:rsidR="00830E72" w:rsidRDefault="00830E72">
                    <w:pPr>
                      <w:jc w:val="right"/>
                      <w:rPr>
                        <w:sz w:val="18"/>
                        <w:szCs w:val="18"/>
                      </w:rPr>
                    </w:pPr>
                  </w:p>
                </w:tc>
                <w:tc>
                  <w:tcPr>
                    <w:tcW w:w="562" w:type="pct"/>
                  </w:tcPr>
                  <w:p w14:paraId="36E123D9" w14:textId="77777777" w:rsidR="00830E72" w:rsidRDefault="00830E72">
                    <w:pPr>
                      <w:jc w:val="right"/>
                      <w:rPr>
                        <w:sz w:val="18"/>
                        <w:szCs w:val="18"/>
                      </w:rPr>
                    </w:pPr>
                  </w:p>
                </w:tc>
              </w:tr>
              <w:tr w:rsidR="00830E72" w14:paraId="0C59A834" w14:textId="77777777">
                <w:sdt>
                  <w:sdtPr>
                    <w:tag w:val="_PLD_86538f5d06744ca9be65b0b439b17643"/>
                    <w:id w:val="-275172309"/>
                    <w:lock w:val="sdtLocked"/>
                  </w:sdtPr>
                  <w:sdtEndPr/>
                  <w:sdtContent>
                    <w:tc>
                      <w:tcPr>
                        <w:tcW w:w="254" w:type="pct"/>
                      </w:tcPr>
                      <w:p w14:paraId="1D2F0754" w14:textId="77777777" w:rsidR="00830E72" w:rsidRDefault="008344D8">
                        <w:pPr>
                          <w:rPr>
                            <w:sz w:val="18"/>
                            <w:szCs w:val="18"/>
                          </w:rPr>
                        </w:pPr>
                        <w:r>
                          <w:rPr>
                            <w:rFonts w:hint="eastAsia"/>
                            <w:sz w:val="18"/>
                            <w:szCs w:val="18"/>
                          </w:rPr>
                          <w:t>4</w:t>
                        </w:r>
                        <w:r>
                          <w:rPr>
                            <w:sz w:val="18"/>
                            <w:szCs w:val="18"/>
                          </w:rPr>
                          <w:t>．其他</w:t>
                        </w:r>
                      </w:p>
                    </w:tc>
                  </w:sdtContent>
                </w:sdt>
                <w:tc>
                  <w:tcPr>
                    <w:tcW w:w="490" w:type="pct"/>
                  </w:tcPr>
                  <w:p w14:paraId="3038E208" w14:textId="77777777" w:rsidR="00830E72" w:rsidRDefault="00830E72">
                    <w:pPr>
                      <w:jc w:val="right"/>
                      <w:rPr>
                        <w:sz w:val="18"/>
                        <w:szCs w:val="18"/>
                      </w:rPr>
                    </w:pPr>
                  </w:p>
                </w:tc>
                <w:tc>
                  <w:tcPr>
                    <w:tcW w:w="85" w:type="pct"/>
                  </w:tcPr>
                  <w:p w14:paraId="11440F72" w14:textId="77777777" w:rsidR="00830E72" w:rsidRDefault="00830E72">
                    <w:pPr>
                      <w:jc w:val="right"/>
                      <w:rPr>
                        <w:sz w:val="18"/>
                        <w:szCs w:val="18"/>
                      </w:rPr>
                    </w:pPr>
                  </w:p>
                </w:tc>
                <w:tc>
                  <w:tcPr>
                    <w:tcW w:w="89" w:type="pct"/>
                  </w:tcPr>
                  <w:p w14:paraId="7B114747" w14:textId="77777777" w:rsidR="00830E72" w:rsidRDefault="00830E72">
                    <w:pPr>
                      <w:jc w:val="right"/>
                      <w:rPr>
                        <w:sz w:val="18"/>
                        <w:szCs w:val="18"/>
                      </w:rPr>
                    </w:pPr>
                  </w:p>
                </w:tc>
                <w:tc>
                  <w:tcPr>
                    <w:tcW w:w="101" w:type="pct"/>
                  </w:tcPr>
                  <w:p w14:paraId="60E857D7" w14:textId="77777777" w:rsidR="00830E72" w:rsidRDefault="00830E72">
                    <w:pPr>
                      <w:jc w:val="right"/>
                      <w:rPr>
                        <w:sz w:val="18"/>
                        <w:szCs w:val="18"/>
                      </w:rPr>
                    </w:pPr>
                  </w:p>
                </w:tc>
                <w:tc>
                  <w:tcPr>
                    <w:tcW w:w="459" w:type="pct"/>
                  </w:tcPr>
                  <w:p w14:paraId="4C7EC66B" w14:textId="77777777" w:rsidR="00830E72" w:rsidRDefault="00830E72">
                    <w:pPr>
                      <w:jc w:val="right"/>
                      <w:rPr>
                        <w:sz w:val="18"/>
                        <w:szCs w:val="18"/>
                      </w:rPr>
                    </w:pPr>
                  </w:p>
                </w:tc>
                <w:tc>
                  <w:tcPr>
                    <w:tcW w:w="103" w:type="pct"/>
                  </w:tcPr>
                  <w:p w14:paraId="368EE59E" w14:textId="77777777" w:rsidR="00830E72" w:rsidRDefault="00830E72">
                    <w:pPr>
                      <w:jc w:val="right"/>
                      <w:rPr>
                        <w:sz w:val="18"/>
                        <w:szCs w:val="18"/>
                      </w:rPr>
                    </w:pPr>
                  </w:p>
                </w:tc>
                <w:tc>
                  <w:tcPr>
                    <w:tcW w:w="153" w:type="pct"/>
                  </w:tcPr>
                  <w:p w14:paraId="230BA3B6" w14:textId="77777777" w:rsidR="00830E72" w:rsidRDefault="00830E72">
                    <w:pPr>
                      <w:jc w:val="right"/>
                      <w:rPr>
                        <w:sz w:val="18"/>
                        <w:szCs w:val="18"/>
                      </w:rPr>
                    </w:pPr>
                  </w:p>
                </w:tc>
                <w:tc>
                  <w:tcPr>
                    <w:tcW w:w="459" w:type="pct"/>
                  </w:tcPr>
                  <w:p w14:paraId="10943145" w14:textId="77777777" w:rsidR="00830E72" w:rsidRDefault="00830E72">
                    <w:pPr>
                      <w:jc w:val="right"/>
                      <w:rPr>
                        <w:sz w:val="18"/>
                        <w:szCs w:val="18"/>
                      </w:rPr>
                    </w:pPr>
                  </w:p>
                </w:tc>
                <w:tc>
                  <w:tcPr>
                    <w:tcW w:w="459" w:type="pct"/>
                  </w:tcPr>
                  <w:p w14:paraId="2032E7BB" w14:textId="77777777" w:rsidR="00830E72" w:rsidRDefault="00830E72">
                    <w:pPr>
                      <w:jc w:val="right"/>
                      <w:rPr>
                        <w:sz w:val="18"/>
                        <w:szCs w:val="18"/>
                      </w:rPr>
                    </w:pPr>
                  </w:p>
                </w:tc>
                <w:tc>
                  <w:tcPr>
                    <w:tcW w:w="153" w:type="pct"/>
                  </w:tcPr>
                  <w:p w14:paraId="5BF0A53B" w14:textId="77777777" w:rsidR="00830E72" w:rsidRDefault="00830E72">
                    <w:pPr>
                      <w:jc w:val="right"/>
                      <w:rPr>
                        <w:sz w:val="18"/>
                        <w:szCs w:val="18"/>
                      </w:rPr>
                    </w:pPr>
                  </w:p>
                </w:tc>
                <w:tc>
                  <w:tcPr>
                    <w:tcW w:w="459" w:type="pct"/>
                  </w:tcPr>
                  <w:p w14:paraId="39FFC065" w14:textId="77777777" w:rsidR="00830E72" w:rsidRDefault="00830E72">
                    <w:pPr>
                      <w:jc w:val="right"/>
                      <w:rPr>
                        <w:sz w:val="18"/>
                        <w:szCs w:val="18"/>
                      </w:rPr>
                    </w:pPr>
                  </w:p>
                </w:tc>
                <w:tc>
                  <w:tcPr>
                    <w:tcW w:w="103" w:type="pct"/>
                  </w:tcPr>
                  <w:p w14:paraId="2384B51D" w14:textId="77777777" w:rsidR="00830E72" w:rsidRDefault="00830E72">
                    <w:pPr>
                      <w:jc w:val="right"/>
                      <w:rPr>
                        <w:sz w:val="18"/>
                        <w:szCs w:val="18"/>
                      </w:rPr>
                    </w:pPr>
                  </w:p>
                </w:tc>
                <w:tc>
                  <w:tcPr>
                    <w:tcW w:w="561" w:type="pct"/>
                  </w:tcPr>
                  <w:p w14:paraId="3524EBE2" w14:textId="77777777" w:rsidR="00830E72" w:rsidRDefault="00830E72">
                    <w:pPr>
                      <w:jc w:val="right"/>
                      <w:rPr>
                        <w:sz w:val="18"/>
                        <w:szCs w:val="18"/>
                      </w:rPr>
                    </w:pPr>
                  </w:p>
                </w:tc>
                <w:tc>
                  <w:tcPr>
                    <w:tcW w:w="511" w:type="pct"/>
                  </w:tcPr>
                  <w:p w14:paraId="647A087A" w14:textId="77777777" w:rsidR="00830E72" w:rsidRDefault="00830E72">
                    <w:pPr>
                      <w:jc w:val="right"/>
                      <w:rPr>
                        <w:sz w:val="18"/>
                        <w:szCs w:val="18"/>
                      </w:rPr>
                    </w:pPr>
                  </w:p>
                </w:tc>
                <w:tc>
                  <w:tcPr>
                    <w:tcW w:w="562" w:type="pct"/>
                  </w:tcPr>
                  <w:p w14:paraId="38A4262F" w14:textId="77777777" w:rsidR="00830E72" w:rsidRDefault="00830E72">
                    <w:pPr>
                      <w:jc w:val="right"/>
                      <w:rPr>
                        <w:sz w:val="18"/>
                        <w:szCs w:val="18"/>
                      </w:rPr>
                    </w:pPr>
                  </w:p>
                </w:tc>
              </w:tr>
              <w:tr w:rsidR="00830E72" w14:paraId="24221C3D" w14:textId="77777777">
                <w:sdt>
                  <w:sdtPr>
                    <w:tag w:val="_PLD_8fb1d678e8ca4e3ba31e34bed05e6c58"/>
                    <w:id w:val="-1024706348"/>
                    <w:lock w:val="sdtLocked"/>
                  </w:sdtPr>
                  <w:sdtEndPr/>
                  <w:sdtContent>
                    <w:tc>
                      <w:tcPr>
                        <w:tcW w:w="254" w:type="pct"/>
                      </w:tcPr>
                      <w:p w14:paraId="66967F2C" w14:textId="77777777" w:rsidR="00830E72" w:rsidRDefault="008344D8">
                        <w:pPr>
                          <w:rPr>
                            <w:sz w:val="18"/>
                            <w:szCs w:val="18"/>
                          </w:rPr>
                        </w:pPr>
                        <w:r>
                          <w:rPr>
                            <w:sz w:val="18"/>
                            <w:szCs w:val="18"/>
                          </w:rPr>
                          <w:t>（</w:t>
                        </w:r>
                        <w:r>
                          <w:rPr>
                            <w:rFonts w:hint="eastAsia"/>
                            <w:sz w:val="18"/>
                            <w:szCs w:val="18"/>
                          </w:rPr>
                          <w:t>三</w:t>
                        </w:r>
                        <w:r>
                          <w:rPr>
                            <w:sz w:val="18"/>
                            <w:szCs w:val="18"/>
                          </w:rPr>
                          <w:t>）利润分配</w:t>
                        </w:r>
                      </w:p>
                    </w:tc>
                  </w:sdtContent>
                </w:sdt>
                <w:tc>
                  <w:tcPr>
                    <w:tcW w:w="490" w:type="pct"/>
                  </w:tcPr>
                  <w:p w14:paraId="3699A23D" w14:textId="77777777" w:rsidR="00830E72" w:rsidRDefault="00830E72">
                    <w:pPr>
                      <w:jc w:val="right"/>
                      <w:rPr>
                        <w:sz w:val="18"/>
                        <w:szCs w:val="18"/>
                      </w:rPr>
                    </w:pPr>
                  </w:p>
                </w:tc>
                <w:tc>
                  <w:tcPr>
                    <w:tcW w:w="85" w:type="pct"/>
                  </w:tcPr>
                  <w:p w14:paraId="3EF1BD2D" w14:textId="77777777" w:rsidR="00830E72" w:rsidRDefault="00830E72">
                    <w:pPr>
                      <w:jc w:val="right"/>
                      <w:rPr>
                        <w:sz w:val="18"/>
                        <w:szCs w:val="18"/>
                      </w:rPr>
                    </w:pPr>
                  </w:p>
                </w:tc>
                <w:tc>
                  <w:tcPr>
                    <w:tcW w:w="89" w:type="pct"/>
                  </w:tcPr>
                  <w:p w14:paraId="5AF337F8" w14:textId="77777777" w:rsidR="00830E72" w:rsidRDefault="00830E72">
                    <w:pPr>
                      <w:jc w:val="right"/>
                      <w:rPr>
                        <w:sz w:val="18"/>
                        <w:szCs w:val="18"/>
                      </w:rPr>
                    </w:pPr>
                  </w:p>
                </w:tc>
                <w:tc>
                  <w:tcPr>
                    <w:tcW w:w="101" w:type="pct"/>
                  </w:tcPr>
                  <w:p w14:paraId="3FB71004" w14:textId="77777777" w:rsidR="00830E72" w:rsidRDefault="00830E72">
                    <w:pPr>
                      <w:jc w:val="right"/>
                      <w:rPr>
                        <w:sz w:val="18"/>
                        <w:szCs w:val="18"/>
                      </w:rPr>
                    </w:pPr>
                  </w:p>
                </w:tc>
                <w:tc>
                  <w:tcPr>
                    <w:tcW w:w="459" w:type="pct"/>
                  </w:tcPr>
                  <w:p w14:paraId="6CEE4B02" w14:textId="77777777" w:rsidR="00830E72" w:rsidRDefault="00830E72">
                    <w:pPr>
                      <w:jc w:val="right"/>
                      <w:rPr>
                        <w:sz w:val="18"/>
                        <w:szCs w:val="18"/>
                      </w:rPr>
                    </w:pPr>
                  </w:p>
                </w:tc>
                <w:tc>
                  <w:tcPr>
                    <w:tcW w:w="103" w:type="pct"/>
                  </w:tcPr>
                  <w:p w14:paraId="0CC0789A" w14:textId="77777777" w:rsidR="00830E72" w:rsidRDefault="00830E72">
                    <w:pPr>
                      <w:jc w:val="right"/>
                      <w:rPr>
                        <w:sz w:val="18"/>
                        <w:szCs w:val="18"/>
                      </w:rPr>
                    </w:pPr>
                  </w:p>
                </w:tc>
                <w:tc>
                  <w:tcPr>
                    <w:tcW w:w="153" w:type="pct"/>
                  </w:tcPr>
                  <w:p w14:paraId="4EDF5C93" w14:textId="77777777" w:rsidR="00830E72" w:rsidRDefault="00830E72">
                    <w:pPr>
                      <w:jc w:val="right"/>
                      <w:rPr>
                        <w:sz w:val="18"/>
                        <w:szCs w:val="18"/>
                      </w:rPr>
                    </w:pPr>
                  </w:p>
                </w:tc>
                <w:tc>
                  <w:tcPr>
                    <w:tcW w:w="459" w:type="pct"/>
                  </w:tcPr>
                  <w:p w14:paraId="69EF48D2" w14:textId="77777777" w:rsidR="00830E72" w:rsidRDefault="00830E72">
                    <w:pPr>
                      <w:jc w:val="right"/>
                      <w:rPr>
                        <w:sz w:val="18"/>
                        <w:szCs w:val="18"/>
                      </w:rPr>
                    </w:pPr>
                  </w:p>
                </w:tc>
                <w:tc>
                  <w:tcPr>
                    <w:tcW w:w="459" w:type="pct"/>
                  </w:tcPr>
                  <w:p w14:paraId="1BC97CD4" w14:textId="77777777" w:rsidR="00830E72" w:rsidRDefault="00830E72">
                    <w:pPr>
                      <w:jc w:val="right"/>
                      <w:rPr>
                        <w:sz w:val="18"/>
                        <w:szCs w:val="18"/>
                      </w:rPr>
                    </w:pPr>
                  </w:p>
                </w:tc>
                <w:tc>
                  <w:tcPr>
                    <w:tcW w:w="153" w:type="pct"/>
                  </w:tcPr>
                  <w:p w14:paraId="1BC69102" w14:textId="77777777" w:rsidR="00830E72" w:rsidRDefault="00830E72">
                    <w:pPr>
                      <w:jc w:val="right"/>
                      <w:rPr>
                        <w:sz w:val="18"/>
                        <w:szCs w:val="18"/>
                      </w:rPr>
                    </w:pPr>
                  </w:p>
                </w:tc>
                <w:tc>
                  <w:tcPr>
                    <w:tcW w:w="459" w:type="pct"/>
                  </w:tcPr>
                  <w:p w14:paraId="2BB5B1D9" w14:textId="77777777" w:rsidR="00830E72" w:rsidRDefault="008344D8">
                    <w:pPr>
                      <w:jc w:val="right"/>
                      <w:rPr>
                        <w:sz w:val="15"/>
                        <w:szCs w:val="15"/>
                      </w:rPr>
                    </w:pPr>
                    <w:r>
                      <w:rPr>
                        <w:sz w:val="15"/>
                        <w:szCs w:val="15"/>
                      </w:rPr>
                      <w:t>-29,940,000.00</w:t>
                    </w:r>
                  </w:p>
                </w:tc>
                <w:tc>
                  <w:tcPr>
                    <w:tcW w:w="103" w:type="pct"/>
                  </w:tcPr>
                  <w:p w14:paraId="7474AD8B" w14:textId="77777777" w:rsidR="00830E72" w:rsidRDefault="00830E72">
                    <w:pPr>
                      <w:jc w:val="right"/>
                      <w:rPr>
                        <w:sz w:val="15"/>
                        <w:szCs w:val="15"/>
                      </w:rPr>
                    </w:pPr>
                  </w:p>
                </w:tc>
                <w:tc>
                  <w:tcPr>
                    <w:tcW w:w="561" w:type="pct"/>
                  </w:tcPr>
                  <w:p w14:paraId="3B3293EC" w14:textId="77777777" w:rsidR="00830E72" w:rsidRDefault="008344D8">
                    <w:pPr>
                      <w:jc w:val="right"/>
                      <w:rPr>
                        <w:sz w:val="15"/>
                        <w:szCs w:val="15"/>
                      </w:rPr>
                    </w:pPr>
                    <w:r>
                      <w:rPr>
                        <w:sz w:val="15"/>
                        <w:szCs w:val="15"/>
                      </w:rPr>
                      <w:t>-29,940,000.00</w:t>
                    </w:r>
                  </w:p>
                </w:tc>
                <w:tc>
                  <w:tcPr>
                    <w:tcW w:w="511" w:type="pct"/>
                  </w:tcPr>
                  <w:p w14:paraId="1E61AA44" w14:textId="77777777" w:rsidR="00830E72" w:rsidRDefault="00830E72">
                    <w:pPr>
                      <w:jc w:val="right"/>
                      <w:rPr>
                        <w:sz w:val="15"/>
                        <w:szCs w:val="15"/>
                      </w:rPr>
                    </w:pPr>
                  </w:p>
                </w:tc>
                <w:tc>
                  <w:tcPr>
                    <w:tcW w:w="562" w:type="pct"/>
                  </w:tcPr>
                  <w:p w14:paraId="23CDAAE7" w14:textId="77777777" w:rsidR="00830E72" w:rsidRDefault="008344D8">
                    <w:pPr>
                      <w:jc w:val="right"/>
                      <w:rPr>
                        <w:sz w:val="15"/>
                        <w:szCs w:val="15"/>
                      </w:rPr>
                    </w:pPr>
                    <w:r>
                      <w:rPr>
                        <w:sz w:val="15"/>
                        <w:szCs w:val="15"/>
                      </w:rPr>
                      <w:t>-29,940,000.00</w:t>
                    </w:r>
                  </w:p>
                </w:tc>
              </w:tr>
              <w:tr w:rsidR="00830E72" w14:paraId="274500AB" w14:textId="77777777">
                <w:sdt>
                  <w:sdtPr>
                    <w:tag w:val="_PLD_5badbc22860d48e29f8d8d9a4a633d8c"/>
                    <w:id w:val="-1343075734"/>
                    <w:lock w:val="sdtLocked"/>
                  </w:sdtPr>
                  <w:sdtEndPr/>
                  <w:sdtContent>
                    <w:tc>
                      <w:tcPr>
                        <w:tcW w:w="254" w:type="pct"/>
                      </w:tcPr>
                      <w:p w14:paraId="4BA20C1A" w14:textId="77777777" w:rsidR="00830E72" w:rsidRDefault="008344D8">
                        <w:pPr>
                          <w:rPr>
                            <w:sz w:val="18"/>
                            <w:szCs w:val="18"/>
                          </w:rPr>
                        </w:pPr>
                        <w:r>
                          <w:rPr>
                            <w:sz w:val="18"/>
                            <w:szCs w:val="18"/>
                          </w:rPr>
                          <w:t>1．提取盈余公积</w:t>
                        </w:r>
                      </w:p>
                    </w:tc>
                  </w:sdtContent>
                </w:sdt>
                <w:tc>
                  <w:tcPr>
                    <w:tcW w:w="490" w:type="pct"/>
                  </w:tcPr>
                  <w:p w14:paraId="22B72746" w14:textId="77777777" w:rsidR="00830E72" w:rsidRDefault="00830E72">
                    <w:pPr>
                      <w:jc w:val="right"/>
                      <w:rPr>
                        <w:sz w:val="18"/>
                        <w:szCs w:val="18"/>
                      </w:rPr>
                    </w:pPr>
                  </w:p>
                </w:tc>
                <w:tc>
                  <w:tcPr>
                    <w:tcW w:w="85" w:type="pct"/>
                  </w:tcPr>
                  <w:p w14:paraId="676A7C7F" w14:textId="77777777" w:rsidR="00830E72" w:rsidRDefault="00830E72">
                    <w:pPr>
                      <w:jc w:val="right"/>
                      <w:rPr>
                        <w:sz w:val="18"/>
                        <w:szCs w:val="18"/>
                      </w:rPr>
                    </w:pPr>
                  </w:p>
                </w:tc>
                <w:tc>
                  <w:tcPr>
                    <w:tcW w:w="89" w:type="pct"/>
                  </w:tcPr>
                  <w:p w14:paraId="7B370CB1" w14:textId="77777777" w:rsidR="00830E72" w:rsidRDefault="00830E72">
                    <w:pPr>
                      <w:jc w:val="right"/>
                      <w:rPr>
                        <w:sz w:val="18"/>
                        <w:szCs w:val="18"/>
                      </w:rPr>
                    </w:pPr>
                  </w:p>
                </w:tc>
                <w:tc>
                  <w:tcPr>
                    <w:tcW w:w="101" w:type="pct"/>
                  </w:tcPr>
                  <w:p w14:paraId="09EEEC79" w14:textId="77777777" w:rsidR="00830E72" w:rsidRDefault="00830E72">
                    <w:pPr>
                      <w:jc w:val="right"/>
                      <w:rPr>
                        <w:sz w:val="18"/>
                        <w:szCs w:val="18"/>
                      </w:rPr>
                    </w:pPr>
                  </w:p>
                </w:tc>
                <w:tc>
                  <w:tcPr>
                    <w:tcW w:w="459" w:type="pct"/>
                  </w:tcPr>
                  <w:p w14:paraId="2DF28F56" w14:textId="77777777" w:rsidR="00830E72" w:rsidRDefault="00830E72">
                    <w:pPr>
                      <w:jc w:val="right"/>
                      <w:rPr>
                        <w:sz w:val="18"/>
                        <w:szCs w:val="18"/>
                      </w:rPr>
                    </w:pPr>
                  </w:p>
                </w:tc>
                <w:tc>
                  <w:tcPr>
                    <w:tcW w:w="103" w:type="pct"/>
                  </w:tcPr>
                  <w:p w14:paraId="4D71A49E" w14:textId="77777777" w:rsidR="00830E72" w:rsidRDefault="00830E72">
                    <w:pPr>
                      <w:jc w:val="right"/>
                      <w:rPr>
                        <w:sz w:val="18"/>
                        <w:szCs w:val="18"/>
                      </w:rPr>
                    </w:pPr>
                  </w:p>
                </w:tc>
                <w:tc>
                  <w:tcPr>
                    <w:tcW w:w="153" w:type="pct"/>
                  </w:tcPr>
                  <w:p w14:paraId="1BC51B17" w14:textId="77777777" w:rsidR="00830E72" w:rsidRDefault="00830E72">
                    <w:pPr>
                      <w:jc w:val="right"/>
                      <w:rPr>
                        <w:sz w:val="18"/>
                        <w:szCs w:val="18"/>
                      </w:rPr>
                    </w:pPr>
                  </w:p>
                </w:tc>
                <w:tc>
                  <w:tcPr>
                    <w:tcW w:w="459" w:type="pct"/>
                  </w:tcPr>
                  <w:p w14:paraId="73AD0516" w14:textId="77777777" w:rsidR="00830E72" w:rsidRDefault="00830E72">
                    <w:pPr>
                      <w:jc w:val="right"/>
                      <w:rPr>
                        <w:sz w:val="18"/>
                        <w:szCs w:val="18"/>
                      </w:rPr>
                    </w:pPr>
                  </w:p>
                </w:tc>
                <w:tc>
                  <w:tcPr>
                    <w:tcW w:w="459" w:type="pct"/>
                  </w:tcPr>
                  <w:p w14:paraId="4FA924FD" w14:textId="77777777" w:rsidR="00830E72" w:rsidRDefault="00830E72">
                    <w:pPr>
                      <w:jc w:val="right"/>
                      <w:rPr>
                        <w:sz w:val="18"/>
                        <w:szCs w:val="18"/>
                      </w:rPr>
                    </w:pPr>
                  </w:p>
                </w:tc>
                <w:tc>
                  <w:tcPr>
                    <w:tcW w:w="153" w:type="pct"/>
                  </w:tcPr>
                  <w:p w14:paraId="26FCCB76" w14:textId="77777777" w:rsidR="00830E72" w:rsidRDefault="00830E72">
                    <w:pPr>
                      <w:jc w:val="right"/>
                      <w:rPr>
                        <w:sz w:val="18"/>
                        <w:szCs w:val="18"/>
                      </w:rPr>
                    </w:pPr>
                  </w:p>
                </w:tc>
                <w:tc>
                  <w:tcPr>
                    <w:tcW w:w="459" w:type="pct"/>
                  </w:tcPr>
                  <w:p w14:paraId="4B1647A2" w14:textId="77777777" w:rsidR="00830E72" w:rsidRDefault="00830E72">
                    <w:pPr>
                      <w:jc w:val="right"/>
                      <w:rPr>
                        <w:sz w:val="15"/>
                        <w:szCs w:val="15"/>
                      </w:rPr>
                    </w:pPr>
                  </w:p>
                </w:tc>
                <w:tc>
                  <w:tcPr>
                    <w:tcW w:w="103" w:type="pct"/>
                  </w:tcPr>
                  <w:p w14:paraId="30C6DC8E" w14:textId="77777777" w:rsidR="00830E72" w:rsidRDefault="00830E72">
                    <w:pPr>
                      <w:jc w:val="right"/>
                      <w:rPr>
                        <w:sz w:val="15"/>
                        <w:szCs w:val="15"/>
                      </w:rPr>
                    </w:pPr>
                  </w:p>
                </w:tc>
                <w:tc>
                  <w:tcPr>
                    <w:tcW w:w="561" w:type="pct"/>
                  </w:tcPr>
                  <w:p w14:paraId="58081118" w14:textId="77777777" w:rsidR="00830E72" w:rsidRDefault="00830E72">
                    <w:pPr>
                      <w:jc w:val="right"/>
                      <w:rPr>
                        <w:sz w:val="15"/>
                        <w:szCs w:val="15"/>
                      </w:rPr>
                    </w:pPr>
                  </w:p>
                </w:tc>
                <w:tc>
                  <w:tcPr>
                    <w:tcW w:w="511" w:type="pct"/>
                  </w:tcPr>
                  <w:p w14:paraId="4884B9EF" w14:textId="77777777" w:rsidR="00830E72" w:rsidRDefault="00830E72">
                    <w:pPr>
                      <w:jc w:val="right"/>
                      <w:rPr>
                        <w:sz w:val="15"/>
                        <w:szCs w:val="15"/>
                      </w:rPr>
                    </w:pPr>
                  </w:p>
                </w:tc>
                <w:tc>
                  <w:tcPr>
                    <w:tcW w:w="562" w:type="pct"/>
                  </w:tcPr>
                  <w:p w14:paraId="26DDD51A" w14:textId="77777777" w:rsidR="00830E72" w:rsidRDefault="00830E72">
                    <w:pPr>
                      <w:jc w:val="right"/>
                      <w:rPr>
                        <w:sz w:val="15"/>
                        <w:szCs w:val="15"/>
                      </w:rPr>
                    </w:pPr>
                  </w:p>
                </w:tc>
              </w:tr>
              <w:tr w:rsidR="00830E72" w14:paraId="2EC89BCF" w14:textId="77777777">
                <w:sdt>
                  <w:sdtPr>
                    <w:tag w:val="_PLD_2c8b649d670044a9b5fda521dd40705d"/>
                    <w:id w:val="1357472043"/>
                    <w:lock w:val="sdtLocked"/>
                  </w:sdtPr>
                  <w:sdtEndPr/>
                  <w:sdtContent>
                    <w:tc>
                      <w:tcPr>
                        <w:tcW w:w="254" w:type="pct"/>
                      </w:tcPr>
                      <w:p w14:paraId="1D3758C5" w14:textId="77777777" w:rsidR="00830E72" w:rsidRDefault="008344D8">
                        <w:pPr>
                          <w:rPr>
                            <w:sz w:val="18"/>
                            <w:szCs w:val="18"/>
                          </w:rPr>
                        </w:pPr>
                        <w:r>
                          <w:rPr>
                            <w:sz w:val="18"/>
                            <w:szCs w:val="18"/>
                          </w:rPr>
                          <w:t>2．提取一般风险准备</w:t>
                        </w:r>
                      </w:p>
                    </w:tc>
                  </w:sdtContent>
                </w:sdt>
                <w:tc>
                  <w:tcPr>
                    <w:tcW w:w="490" w:type="pct"/>
                  </w:tcPr>
                  <w:p w14:paraId="6F553D54" w14:textId="77777777" w:rsidR="00830E72" w:rsidRDefault="00830E72">
                    <w:pPr>
                      <w:jc w:val="right"/>
                      <w:rPr>
                        <w:sz w:val="18"/>
                        <w:szCs w:val="18"/>
                      </w:rPr>
                    </w:pPr>
                  </w:p>
                </w:tc>
                <w:tc>
                  <w:tcPr>
                    <w:tcW w:w="85" w:type="pct"/>
                  </w:tcPr>
                  <w:p w14:paraId="341EAF76" w14:textId="77777777" w:rsidR="00830E72" w:rsidRDefault="00830E72">
                    <w:pPr>
                      <w:jc w:val="right"/>
                      <w:rPr>
                        <w:sz w:val="18"/>
                        <w:szCs w:val="18"/>
                      </w:rPr>
                    </w:pPr>
                  </w:p>
                </w:tc>
                <w:tc>
                  <w:tcPr>
                    <w:tcW w:w="89" w:type="pct"/>
                  </w:tcPr>
                  <w:p w14:paraId="183E03BB" w14:textId="77777777" w:rsidR="00830E72" w:rsidRDefault="00830E72">
                    <w:pPr>
                      <w:jc w:val="right"/>
                      <w:rPr>
                        <w:sz w:val="18"/>
                        <w:szCs w:val="18"/>
                      </w:rPr>
                    </w:pPr>
                  </w:p>
                </w:tc>
                <w:tc>
                  <w:tcPr>
                    <w:tcW w:w="101" w:type="pct"/>
                  </w:tcPr>
                  <w:p w14:paraId="1E21E9D0" w14:textId="77777777" w:rsidR="00830E72" w:rsidRDefault="00830E72">
                    <w:pPr>
                      <w:jc w:val="right"/>
                      <w:rPr>
                        <w:sz w:val="18"/>
                        <w:szCs w:val="18"/>
                      </w:rPr>
                    </w:pPr>
                  </w:p>
                </w:tc>
                <w:tc>
                  <w:tcPr>
                    <w:tcW w:w="459" w:type="pct"/>
                  </w:tcPr>
                  <w:p w14:paraId="161391FA" w14:textId="77777777" w:rsidR="00830E72" w:rsidRDefault="00830E72">
                    <w:pPr>
                      <w:jc w:val="right"/>
                      <w:rPr>
                        <w:sz w:val="18"/>
                        <w:szCs w:val="18"/>
                      </w:rPr>
                    </w:pPr>
                  </w:p>
                </w:tc>
                <w:tc>
                  <w:tcPr>
                    <w:tcW w:w="103" w:type="pct"/>
                  </w:tcPr>
                  <w:p w14:paraId="07D3ED41" w14:textId="77777777" w:rsidR="00830E72" w:rsidRDefault="00830E72">
                    <w:pPr>
                      <w:jc w:val="right"/>
                      <w:rPr>
                        <w:sz w:val="18"/>
                        <w:szCs w:val="18"/>
                      </w:rPr>
                    </w:pPr>
                  </w:p>
                </w:tc>
                <w:tc>
                  <w:tcPr>
                    <w:tcW w:w="153" w:type="pct"/>
                  </w:tcPr>
                  <w:p w14:paraId="68418A63" w14:textId="77777777" w:rsidR="00830E72" w:rsidRDefault="00830E72">
                    <w:pPr>
                      <w:jc w:val="right"/>
                      <w:rPr>
                        <w:sz w:val="18"/>
                        <w:szCs w:val="18"/>
                      </w:rPr>
                    </w:pPr>
                  </w:p>
                </w:tc>
                <w:tc>
                  <w:tcPr>
                    <w:tcW w:w="459" w:type="pct"/>
                  </w:tcPr>
                  <w:p w14:paraId="3566E583" w14:textId="77777777" w:rsidR="00830E72" w:rsidRDefault="00830E72">
                    <w:pPr>
                      <w:jc w:val="right"/>
                      <w:rPr>
                        <w:sz w:val="18"/>
                        <w:szCs w:val="18"/>
                      </w:rPr>
                    </w:pPr>
                  </w:p>
                </w:tc>
                <w:tc>
                  <w:tcPr>
                    <w:tcW w:w="459" w:type="pct"/>
                  </w:tcPr>
                  <w:p w14:paraId="477F9B7F" w14:textId="77777777" w:rsidR="00830E72" w:rsidRDefault="00830E72">
                    <w:pPr>
                      <w:jc w:val="right"/>
                      <w:rPr>
                        <w:sz w:val="18"/>
                        <w:szCs w:val="18"/>
                      </w:rPr>
                    </w:pPr>
                  </w:p>
                </w:tc>
                <w:tc>
                  <w:tcPr>
                    <w:tcW w:w="153" w:type="pct"/>
                  </w:tcPr>
                  <w:p w14:paraId="057D26DD" w14:textId="77777777" w:rsidR="00830E72" w:rsidRDefault="00830E72">
                    <w:pPr>
                      <w:jc w:val="right"/>
                      <w:rPr>
                        <w:sz w:val="18"/>
                        <w:szCs w:val="18"/>
                      </w:rPr>
                    </w:pPr>
                  </w:p>
                </w:tc>
                <w:tc>
                  <w:tcPr>
                    <w:tcW w:w="459" w:type="pct"/>
                  </w:tcPr>
                  <w:p w14:paraId="2D48A9F4" w14:textId="77777777" w:rsidR="00830E72" w:rsidRDefault="00830E72">
                    <w:pPr>
                      <w:jc w:val="right"/>
                      <w:rPr>
                        <w:sz w:val="15"/>
                        <w:szCs w:val="15"/>
                      </w:rPr>
                    </w:pPr>
                  </w:p>
                </w:tc>
                <w:tc>
                  <w:tcPr>
                    <w:tcW w:w="103" w:type="pct"/>
                  </w:tcPr>
                  <w:p w14:paraId="57ACBBEC" w14:textId="77777777" w:rsidR="00830E72" w:rsidRDefault="00830E72">
                    <w:pPr>
                      <w:jc w:val="right"/>
                      <w:rPr>
                        <w:sz w:val="15"/>
                        <w:szCs w:val="15"/>
                      </w:rPr>
                    </w:pPr>
                  </w:p>
                </w:tc>
                <w:tc>
                  <w:tcPr>
                    <w:tcW w:w="561" w:type="pct"/>
                  </w:tcPr>
                  <w:p w14:paraId="18B2351D" w14:textId="77777777" w:rsidR="00830E72" w:rsidRDefault="00830E72">
                    <w:pPr>
                      <w:jc w:val="right"/>
                      <w:rPr>
                        <w:sz w:val="15"/>
                        <w:szCs w:val="15"/>
                      </w:rPr>
                    </w:pPr>
                  </w:p>
                </w:tc>
                <w:tc>
                  <w:tcPr>
                    <w:tcW w:w="511" w:type="pct"/>
                  </w:tcPr>
                  <w:p w14:paraId="07AC4DFD" w14:textId="77777777" w:rsidR="00830E72" w:rsidRDefault="00830E72">
                    <w:pPr>
                      <w:jc w:val="right"/>
                      <w:rPr>
                        <w:sz w:val="15"/>
                        <w:szCs w:val="15"/>
                      </w:rPr>
                    </w:pPr>
                  </w:p>
                </w:tc>
                <w:tc>
                  <w:tcPr>
                    <w:tcW w:w="562" w:type="pct"/>
                  </w:tcPr>
                  <w:p w14:paraId="78389C14" w14:textId="77777777" w:rsidR="00830E72" w:rsidRDefault="00830E72">
                    <w:pPr>
                      <w:jc w:val="right"/>
                      <w:rPr>
                        <w:sz w:val="15"/>
                        <w:szCs w:val="15"/>
                      </w:rPr>
                    </w:pPr>
                  </w:p>
                </w:tc>
              </w:tr>
              <w:tr w:rsidR="00830E72" w14:paraId="1BBF57D5" w14:textId="77777777">
                <w:sdt>
                  <w:sdtPr>
                    <w:tag w:val="_PLD_254428ff3bee49c2acd11ef634901543"/>
                    <w:id w:val="272672803"/>
                    <w:lock w:val="sdtLocked"/>
                  </w:sdtPr>
                  <w:sdtEndPr/>
                  <w:sdtContent>
                    <w:tc>
                      <w:tcPr>
                        <w:tcW w:w="254" w:type="pct"/>
                      </w:tcPr>
                      <w:p w14:paraId="610E2771" w14:textId="77777777" w:rsidR="00830E72" w:rsidRDefault="008344D8">
                        <w:pPr>
                          <w:rPr>
                            <w:sz w:val="18"/>
                            <w:szCs w:val="18"/>
                          </w:rPr>
                        </w:pPr>
                        <w:r>
                          <w:rPr>
                            <w:sz w:val="18"/>
                            <w:szCs w:val="18"/>
                          </w:rPr>
                          <w:t>3．对所有者（或股东）的分配</w:t>
                        </w:r>
                      </w:p>
                    </w:tc>
                  </w:sdtContent>
                </w:sdt>
                <w:tc>
                  <w:tcPr>
                    <w:tcW w:w="490" w:type="pct"/>
                  </w:tcPr>
                  <w:p w14:paraId="770C12AF" w14:textId="77777777" w:rsidR="00830E72" w:rsidRDefault="00830E72">
                    <w:pPr>
                      <w:jc w:val="right"/>
                      <w:rPr>
                        <w:sz w:val="18"/>
                        <w:szCs w:val="18"/>
                      </w:rPr>
                    </w:pPr>
                  </w:p>
                </w:tc>
                <w:tc>
                  <w:tcPr>
                    <w:tcW w:w="85" w:type="pct"/>
                  </w:tcPr>
                  <w:p w14:paraId="2535AE59" w14:textId="77777777" w:rsidR="00830E72" w:rsidRDefault="00830E72">
                    <w:pPr>
                      <w:jc w:val="right"/>
                      <w:rPr>
                        <w:sz w:val="18"/>
                        <w:szCs w:val="18"/>
                      </w:rPr>
                    </w:pPr>
                  </w:p>
                </w:tc>
                <w:tc>
                  <w:tcPr>
                    <w:tcW w:w="89" w:type="pct"/>
                  </w:tcPr>
                  <w:p w14:paraId="176E6008" w14:textId="77777777" w:rsidR="00830E72" w:rsidRDefault="00830E72">
                    <w:pPr>
                      <w:jc w:val="right"/>
                      <w:rPr>
                        <w:sz w:val="18"/>
                        <w:szCs w:val="18"/>
                      </w:rPr>
                    </w:pPr>
                  </w:p>
                </w:tc>
                <w:tc>
                  <w:tcPr>
                    <w:tcW w:w="101" w:type="pct"/>
                  </w:tcPr>
                  <w:p w14:paraId="0066C244" w14:textId="77777777" w:rsidR="00830E72" w:rsidRDefault="00830E72">
                    <w:pPr>
                      <w:jc w:val="right"/>
                      <w:rPr>
                        <w:sz w:val="18"/>
                        <w:szCs w:val="18"/>
                      </w:rPr>
                    </w:pPr>
                  </w:p>
                </w:tc>
                <w:tc>
                  <w:tcPr>
                    <w:tcW w:w="459" w:type="pct"/>
                  </w:tcPr>
                  <w:p w14:paraId="01375664" w14:textId="77777777" w:rsidR="00830E72" w:rsidRDefault="00830E72">
                    <w:pPr>
                      <w:jc w:val="right"/>
                      <w:rPr>
                        <w:sz w:val="18"/>
                        <w:szCs w:val="18"/>
                      </w:rPr>
                    </w:pPr>
                  </w:p>
                </w:tc>
                <w:tc>
                  <w:tcPr>
                    <w:tcW w:w="103" w:type="pct"/>
                  </w:tcPr>
                  <w:p w14:paraId="42F9E9D6" w14:textId="77777777" w:rsidR="00830E72" w:rsidRDefault="00830E72">
                    <w:pPr>
                      <w:jc w:val="right"/>
                      <w:rPr>
                        <w:sz w:val="18"/>
                        <w:szCs w:val="18"/>
                      </w:rPr>
                    </w:pPr>
                  </w:p>
                </w:tc>
                <w:tc>
                  <w:tcPr>
                    <w:tcW w:w="153" w:type="pct"/>
                  </w:tcPr>
                  <w:p w14:paraId="088C7EBD" w14:textId="77777777" w:rsidR="00830E72" w:rsidRDefault="00830E72">
                    <w:pPr>
                      <w:jc w:val="right"/>
                      <w:rPr>
                        <w:sz w:val="18"/>
                        <w:szCs w:val="18"/>
                      </w:rPr>
                    </w:pPr>
                  </w:p>
                </w:tc>
                <w:tc>
                  <w:tcPr>
                    <w:tcW w:w="459" w:type="pct"/>
                  </w:tcPr>
                  <w:p w14:paraId="10E6D61B" w14:textId="77777777" w:rsidR="00830E72" w:rsidRDefault="00830E72">
                    <w:pPr>
                      <w:jc w:val="right"/>
                      <w:rPr>
                        <w:sz w:val="18"/>
                        <w:szCs w:val="18"/>
                      </w:rPr>
                    </w:pPr>
                  </w:p>
                </w:tc>
                <w:tc>
                  <w:tcPr>
                    <w:tcW w:w="459" w:type="pct"/>
                  </w:tcPr>
                  <w:p w14:paraId="02B07B31" w14:textId="77777777" w:rsidR="00830E72" w:rsidRDefault="00830E72">
                    <w:pPr>
                      <w:jc w:val="right"/>
                      <w:rPr>
                        <w:sz w:val="18"/>
                        <w:szCs w:val="18"/>
                      </w:rPr>
                    </w:pPr>
                  </w:p>
                </w:tc>
                <w:tc>
                  <w:tcPr>
                    <w:tcW w:w="153" w:type="pct"/>
                  </w:tcPr>
                  <w:p w14:paraId="4772AED0" w14:textId="77777777" w:rsidR="00830E72" w:rsidRDefault="00830E72">
                    <w:pPr>
                      <w:jc w:val="right"/>
                      <w:rPr>
                        <w:sz w:val="18"/>
                        <w:szCs w:val="18"/>
                      </w:rPr>
                    </w:pPr>
                  </w:p>
                </w:tc>
                <w:tc>
                  <w:tcPr>
                    <w:tcW w:w="459" w:type="pct"/>
                  </w:tcPr>
                  <w:p w14:paraId="15A93B42" w14:textId="77777777" w:rsidR="00830E72" w:rsidRDefault="008344D8">
                    <w:pPr>
                      <w:jc w:val="right"/>
                      <w:rPr>
                        <w:sz w:val="15"/>
                        <w:szCs w:val="15"/>
                      </w:rPr>
                    </w:pPr>
                    <w:r>
                      <w:rPr>
                        <w:sz w:val="15"/>
                        <w:szCs w:val="15"/>
                      </w:rPr>
                      <w:t>-29,940,000.00</w:t>
                    </w:r>
                  </w:p>
                </w:tc>
                <w:tc>
                  <w:tcPr>
                    <w:tcW w:w="103" w:type="pct"/>
                  </w:tcPr>
                  <w:p w14:paraId="1853075B" w14:textId="77777777" w:rsidR="00830E72" w:rsidRDefault="00830E72">
                    <w:pPr>
                      <w:jc w:val="right"/>
                      <w:rPr>
                        <w:sz w:val="15"/>
                        <w:szCs w:val="15"/>
                      </w:rPr>
                    </w:pPr>
                  </w:p>
                </w:tc>
                <w:tc>
                  <w:tcPr>
                    <w:tcW w:w="561" w:type="pct"/>
                  </w:tcPr>
                  <w:p w14:paraId="444DE043" w14:textId="77777777" w:rsidR="00830E72" w:rsidRDefault="008344D8">
                    <w:pPr>
                      <w:jc w:val="right"/>
                      <w:rPr>
                        <w:sz w:val="15"/>
                        <w:szCs w:val="15"/>
                      </w:rPr>
                    </w:pPr>
                    <w:r>
                      <w:rPr>
                        <w:sz w:val="15"/>
                        <w:szCs w:val="15"/>
                      </w:rPr>
                      <w:t>-29,940,000.00</w:t>
                    </w:r>
                  </w:p>
                </w:tc>
                <w:tc>
                  <w:tcPr>
                    <w:tcW w:w="511" w:type="pct"/>
                  </w:tcPr>
                  <w:p w14:paraId="7AA138A3" w14:textId="77777777" w:rsidR="00830E72" w:rsidRDefault="00830E72">
                    <w:pPr>
                      <w:jc w:val="right"/>
                      <w:rPr>
                        <w:sz w:val="15"/>
                        <w:szCs w:val="15"/>
                      </w:rPr>
                    </w:pPr>
                  </w:p>
                </w:tc>
                <w:tc>
                  <w:tcPr>
                    <w:tcW w:w="562" w:type="pct"/>
                  </w:tcPr>
                  <w:p w14:paraId="1606BE4D" w14:textId="77777777" w:rsidR="00830E72" w:rsidRDefault="008344D8">
                    <w:pPr>
                      <w:jc w:val="right"/>
                      <w:rPr>
                        <w:sz w:val="15"/>
                        <w:szCs w:val="15"/>
                      </w:rPr>
                    </w:pPr>
                    <w:r>
                      <w:rPr>
                        <w:sz w:val="15"/>
                        <w:szCs w:val="15"/>
                      </w:rPr>
                      <w:t>-29,940,000.00</w:t>
                    </w:r>
                  </w:p>
                </w:tc>
              </w:tr>
              <w:tr w:rsidR="00830E72" w14:paraId="6D91D425" w14:textId="77777777">
                <w:sdt>
                  <w:sdtPr>
                    <w:tag w:val="_PLD_b3d350728a6c49ccaa6dbb4adf16c691"/>
                    <w:id w:val="633985016"/>
                    <w:lock w:val="sdtLocked"/>
                  </w:sdtPr>
                  <w:sdtEndPr/>
                  <w:sdtContent>
                    <w:tc>
                      <w:tcPr>
                        <w:tcW w:w="254" w:type="pct"/>
                      </w:tcPr>
                      <w:p w14:paraId="16994147" w14:textId="77777777" w:rsidR="00830E72" w:rsidRDefault="008344D8">
                        <w:pPr>
                          <w:rPr>
                            <w:sz w:val="18"/>
                            <w:szCs w:val="18"/>
                          </w:rPr>
                        </w:pPr>
                        <w:r>
                          <w:rPr>
                            <w:sz w:val="18"/>
                            <w:szCs w:val="18"/>
                          </w:rPr>
                          <w:t>4．其他</w:t>
                        </w:r>
                      </w:p>
                    </w:tc>
                  </w:sdtContent>
                </w:sdt>
                <w:tc>
                  <w:tcPr>
                    <w:tcW w:w="490" w:type="pct"/>
                  </w:tcPr>
                  <w:p w14:paraId="1069EB6E" w14:textId="77777777" w:rsidR="00830E72" w:rsidRDefault="00830E72">
                    <w:pPr>
                      <w:jc w:val="right"/>
                      <w:rPr>
                        <w:sz w:val="18"/>
                        <w:szCs w:val="18"/>
                      </w:rPr>
                    </w:pPr>
                  </w:p>
                </w:tc>
                <w:tc>
                  <w:tcPr>
                    <w:tcW w:w="85" w:type="pct"/>
                  </w:tcPr>
                  <w:p w14:paraId="4A799C00" w14:textId="77777777" w:rsidR="00830E72" w:rsidRDefault="00830E72">
                    <w:pPr>
                      <w:jc w:val="right"/>
                      <w:rPr>
                        <w:sz w:val="18"/>
                        <w:szCs w:val="18"/>
                      </w:rPr>
                    </w:pPr>
                  </w:p>
                </w:tc>
                <w:tc>
                  <w:tcPr>
                    <w:tcW w:w="89" w:type="pct"/>
                  </w:tcPr>
                  <w:p w14:paraId="366278F4" w14:textId="77777777" w:rsidR="00830E72" w:rsidRDefault="00830E72">
                    <w:pPr>
                      <w:jc w:val="right"/>
                      <w:rPr>
                        <w:sz w:val="18"/>
                        <w:szCs w:val="18"/>
                      </w:rPr>
                    </w:pPr>
                  </w:p>
                </w:tc>
                <w:tc>
                  <w:tcPr>
                    <w:tcW w:w="101" w:type="pct"/>
                  </w:tcPr>
                  <w:p w14:paraId="7AC6F105" w14:textId="77777777" w:rsidR="00830E72" w:rsidRDefault="00830E72">
                    <w:pPr>
                      <w:jc w:val="right"/>
                      <w:rPr>
                        <w:sz w:val="18"/>
                        <w:szCs w:val="18"/>
                      </w:rPr>
                    </w:pPr>
                  </w:p>
                </w:tc>
                <w:tc>
                  <w:tcPr>
                    <w:tcW w:w="459" w:type="pct"/>
                  </w:tcPr>
                  <w:p w14:paraId="3D19387D" w14:textId="77777777" w:rsidR="00830E72" w:rsidRDefault="00830E72">
                    <w:pPr>
                      <w:jc w:val="right"/>
                      <w:rPr>
                        <w:sz w:val="18"/>
                        <w:szCs w:val="18"/>
                      </w:rPr>
                    </w:pPr>
                  </w:p>
                </w:tc>
                <w:tc>
                  <w:tcPr>
                    <w:tcW w:w="103" w:type="pct"/>
                  </w:tcPr>
                  <w:p w14:paraId="0B98EE01" w14:textId="77777777" w:rsidR="00830E72" w:rsidRDefault="00830E72">
                    <w:pPr>
                      <w:jc w:val="right"/>
                      <w:rPr>
                        <w:sz w:val="18"/>
                        <w:szCs w:val="18"/>
                      </w:rPr>
                    </w:pPr>
                  </w:p>
                </w:tc>
                <w:tc>
                  <w:tcPr>
                    <w:tcW w:w="153" w:type="pct"/>
                  </w:tcPr>
                  <w:p w14:paraId="04EF40A2" w14:textId="77777777" w:rsidR="00830E72" w:rsidRDefault="00830E72">
                    <w:pPr>
                      <w:jc w:val="right"/>
                      <w:rPr>
                        <w:sz w:val="18"/>
                        <w:szCs w:val="18"/>
                      </w:rPr>
                    </w:pPr>
                  </w:p>
                </w:tc>
                <w:tc>
                  <w:tcPr>
                    <w:tcW w:w="459" w:type="pct"/>
                  </w:tcPr>
                  <w:p w14:paraId="698F3707" w14:textId="77777777" w:rsidR="00830E72" w:rsidRDefault="00830E72">
                    <w:pPr>
                      <w:jc w:val="right"/>
                      <w:rPr>
                        <w:sz w:val="18"/>
                        <w:szCs w:val="18"/>
                      </w:rPr>
                    </w:pPr>
                  </w:p>
                </w:tc>
                <w:tc>
                  <w:tcPr>
                    <w:tcW w:w="459" w:type="pct"/>
                  </w:tcPr>
                  <w:p w14:paraId="363EFFE1" w14:textId="77777777" w:rsidR="00830E72" w:rsidRDefault="00830E72">
                    <w:pPr>
                      <w:jc w:val="right"/>
                      <w:rPr>
                        <w:sz w:val="18"/>
                        <w:szCs w:val="18"/>
                      </w:rPr>
                    </w:pPr>
                  </w:p>
                </w:tc>
                <w:tc>
                  <w:tcPr>
                    <w:tcW w:w="153" w:type="pct"/>
                  </w:tcPr>
                  <w:p w14:paraId="29EB29A4" w14:textId="77777777" w:rsidR="00830E72" w:rsidRDefault="00830E72">
                    <w:pPr>
                      <w:jc w:val="right"/>
                      <w:rPr>
                        <w:sz w:val="18"/>
                        <w:szCs w:val="18"/>
                      </w:rPr>
                    </w:pPr>
                  </w:p>
                </w:tc>
                <w:tc>
                  <w:tcPr>
                    <w:tcW w:w="459" w:type="pct"/>
                  </w:tcPr>
                  <w:p w14:paraId="3DA93652" w14:textId="77777777" w:rsidR="00830E72" w:rsidRDefault="00830E72">
                    <w:pPr>
                      <w:jc w:val="right"/>
                      <w:rPr>
                        <w:sz w:val="18"/>
                        <w:szCs w:val="18"/>
                      </w:rPr>
                    </w:pPr>
                  </w:p>
                </w:tc>
                <w:tc>
                  <w:tcPr>
                    <w:tcW w:w="103" w:type="pct"/>
                  </w:tcPr>
                  <w:p w14:paraId="1F95B50B" w14:textId="77777777" w:rsidR="00830E72" w:rsidRDefault="00830E72">
                    <w:pPr>
                      <w:jc w:val="right"/>
                      <w:rPr>
                        <w:sz w:val="18"/>
                        <w:szCs w:val="18"/>
                      </w:rPr>
                    </w:pPr>
                  </w:p>
                </w:tc>
                <w:tc>
                  <w:tcPr>
                    <w:tcW w:w="561" w:type="pct"/>
                  </w:tcPr>
                  <w:p w14:paraId="4D4F24E3" w14:textId="77777777" w:rsidR="00830E72" w:rsidRDefault="00830E72">
                    <w:pPr>
                      <w:jc w:val="right"/>
                      <w:rPr>
                        <w:sz w:val="18"/>
                        <w:szCs w:val="18"/>
                      </w:rPr>
                    </w:pPr>
                  </w:p>
                </w:tc>
                <w:tc>
                  <w:tcPr>
                    <w:tcW w:w="511" w:type="pct"/>
                  </w:tcPr>
                  <w:p w14:paraId="7046F3A6" w14:textId="77777777" w:rsidR="00830E72" w:rsidRDefault="00830E72">
                    <w:pPr>
                      <w:jc w:val="right"/>
                      <w:rPr>
                        <w:sz w:val="18"/>
                        <w:szCs w:val="18"/>
                      </w:rPr>
                    </w:pPr>
                  </w:p>
                </w:tc>
                <w:tc>
                  <w:tcPr>
                    <w:tcW w:w="562" w:type="pct"/>
                  </w:tcPr>
                  <w:p w14:paraId="6CFE29AD" w14:textId="77777777" w:rsidR="00830E72" w:rsidRDefault="00830E72">
                    <w:pPr>
                      <w:jc w:val="right"/>
                      <w:rPr>
                        <w:sz w:val="18"/>
                        <w:szCs w:val="18"/>
                      </w:rPr>
                    </w:pPr>
                  </w:p>
                </w:tc>
              </w:tr>
              <w:tr w:rsidR="00830E72" w14:paraId="6C88DCA1" w14:textId="77777777">
                <w:sdt>
                  <w:sdtPr>
                    <w:tag w:val="_PLD_03ab84b7536c4ddcaaad4c99a2dd5fd3"/>
                    <w:id w:val="-1554459767"/>
                    <w:lock w:val="sdtLocked"/>
                  </w:sdtPr>
                  <w:sdtEndPr/>
                  <w:sdtContent>
                    <w:tc>
                      <w:tcPr>
                        <w:tcW w:w="254" w:type="pct"/>
                      </w:tcPr>
                      <w:p w14:paraId="0E848ADA" w14:textId="77777777" w:rsidR="00830E72" w:rsidRDefault="008344D8">
                        <w:pPr>
                          <w:rPr>
                            <w:sz w:val="18"/>
                            <w:szCs w:val="18"/>
                          </w:rPr>
                        </w:pPr>
                        <w:r>
                          <w:rPr>
                            <w:sz w:val="18"/>
                            <w:szCs w:val="18"/>
                          </w:rPr>
                          <w:t>（</w:t>
                        </w:r>
                        <w:r>
                          <w:rPr>
                            <w:rFonts w:hint="eastAsia"/>
                            <w:sz w:val="18"/>
                            <w:szCs w:val="18"/>
                          </w:rPr>
                          <w:t>四</w:t>
                        </w:r>
                        <w:r>
                          <w:rPr>
                            <w:sz w:val="18"/>
                            <w:szCs w:val="18"/>
                          </w:rPr>
                          <w:t>）所有者权益内部结转</w:t>
                        </w:r>
                      </w:p>
                    </w:tc>
                  </w:sdtContent>
                </w:sdt>
                <w:tc>
                  <w:tcPr>
                    <w:tcW w:w="490" w:type="pct"/>
                  </w:tcPr>
                  <w:p w14:paraId="0DCF86F8" w14:textId="77777777" w:rsidR="00830E72" w:rsidRDefault="00830E72">
                    <w:pPr>
                      <w:jc w:val="right"/>
                      <w:rPr>
                        <w:sz w:val="18"/>
                        <w:szCs w:val="18"/>
                      </w:rPr>
                    </w:pPr>
                  </w:p>
                </w:tc>
                <w:tc>
                  <w:tcPr>
                    <w:tcW w:w="85" w:type="pct"/>
                  </w:tcPr>
                  <w:p w14:paraId="6D798D4A" w14:textId="77777777" w:rsidR="00830E72" w:rsidRDefault="00830E72">
                    <w:pPr>
                      <w:jc w:val="right"/>
                      <w:rPr>
                        <w:sz w:val="18"/>
                        <w:szCs w:val="18"/>
                      </w:rPr>
                    </w:pPr>
                  </w:p>
                </w:tc>
                <w:tc>
                  <w:tcPr>
                    <w:tcW w:w="89" w:type="pct"/>
                  </w:tcPr>
                  <w:p w14:paraId="6B2E4EBC" w14:textId="77777777" w:rsidR="00830E72" w:rsidRDefault="00830E72">
                    <w:pPr>
                      <w:jc w:val="right"/>
                      <w:rPr>
                        <w:sz w:val="18"/>
                        <w:szCs w:val="18"/>
                      </w:rPr>
                    </w:pPr>
                  </w:p>
                </w:tc>
                <w:tc>
                  <w:tcPr>
                    <w:tcW w:w="101" w:type="pct"/>
                  </w:tcPr>
                  <w:p w14:paraId="6A8F7011" w14:textId="77777777" w:rsidR="00830E72" w:rsidRDefault="00830E72">
                    <w:pPr>
                      <w:jc w:val="right"/>
                      <w:rPr>
                        <w:sz w:val="18"/>
                        <w:szCs w:val="18"/>
                      </w:rPr>
                    </w:pPr>
                  </w:p>
                </w:tc>
                <w:tc>
                  <w:tcPr>
                    <w:tcW w:w="459" w:type="pct"/>
                  </w:tcPr>
                  <w:p w14:paraId="1BCB1A10" w14:textId="77777777" w:rsidR="00830E72" w:rsidRDefault="00830E72">
                    <w:pPr>
                      <w:jc w:val="right"/>
                      <w:rPr>
                        <w:sz w:val="18"/>
                        <w:szCs w:val="18"/>
                      </w:rPr>
                    </w:pPr>
                  </w:p>
                </w:tc>
                <w:tc>
                  <w:tcPr>
                    <w:tcW w:w="103" w:type="pct"/>
                  </w:tcPr>
                  <w:p w14:paraId="59B3A224" w14:textId="77777777" w:rsidR="00830E72" w:rsidRDefault="00830E72">
                    <w:pPr>
                      <w:jc w:val="right"/>
                      <w:rPr>
                        <w:sz w:val="18"/>
                        <w:szCs w:val="18"/>
                      </w:rPr>
                    </w:pPr>
                  </w:p>
                </w:tc>
                <w:tc>
                  <w:tcPr>
                    <w:tcW w:w="153" w:type="pct"/>
                  </w:tcPr>
                  <w:p w14:paraId="5B60201C" w14:textId="77777777" w:rsidR="00830E72" w:rsidRDefault="00830E72">
                    <w:pPr>
                      <w:jc w:val="right"/>
                      <w:rPr>
                        <w:sz w:val="18"/>
                        <w:szCs w:val="18"/>
                      </w:rPr>
                    </w:pPr>
                  </w:p>
                </w:tc>
                <w:tc>
                  <w:tcPr>
                    <w:tcW w:w="459" w:type="pct"/>
                  </w:tcPr>
                  <w:p w14:paraId="11BCB4A1" w14:textId="77777777" w:rsidR="00830E72" w:rsidRDefault="00830E72">
                    <w:pPr>
                      <w:jc w:val="right"/>
                      <w:rPr>
                        <w:sz w:val="18"/>
                        <w:szCs w:val="18"/>
                      </w:rPr>
                    </w:pPr>
                  </w:p>
                </w:tc>
                <w:tc>
                  <w:tcPr>
                    <w:tcW w:w="459" w:type="pct"/>
                  </w:tcPr>
                  <w:p w14:paraId="0F6A51E4" w14:textId="77777777" w:rsidR="00830E72" w:rsidRDefault="00830E72">
                    <w:pPr>
                      <w:jc w:val="right"/>
                      <w:rPr>
                        <w:sz w:val="18"/>
                        <w:szCs w:val="18"/>
                      </w:rPr>
                    </w:pPr>
                  </w:p>
                </w:tc>
                <w:tc>
                  <w:tcPr>
                    <w:tcW w:w="153" w:type="pct"/>
                  </w:tcPr>
                  <w:p w14:paraId="7CD463A7" w14:textId="77777777" w:rsidR="00830E72" w:rsidRDefault="00830E72">
                    <w:pPr>
                      <w:jc w:val="right"/>
                      <w:rPr>
                        <w:sz w:val="18"/>
                        <w:szCs w:val="18"/>
                      </w:rPr>
                    </w:pPr>
                  </w:p>
                </w:tc>
                <w:tc>
                  <w:tcPr>
                    <w:tcW w:w="459" w:type="pct"/>
                  </w:tcPr>
                  <w:p w14:paraId="7AFFF6F9" w14:textId="77777777" w:rsidR="00830E72" w:rsidRDefault="00830E72">
                    <w:pPr>
                      <w:jc w:val="right"/>
                      <w:rPr>
                        <w:sz w:val="18"/>
                        <w:szCs w:val="18"/>
                      </w:rPr>
                    </w:pPr>
                  </w:p>
                </w:tc>
                <w:tc>
                  <w:tcPr>
                    <w:tcW w:w="103" w:type="pct"/>
                  </w:tcPr>
                  <w:p w14:paraId="48B2B1A8" w14:textId="77777777" w:rsidR="00830E72" w:rsidRDefault="00830E72">
                    <w:pPr>
                      <w:jc w:val="right"/>
                      <w:rPr>
                        <w:sz w:val="18"/>
                        <w:szCs w:val="18"/>
                      </w:rPr>
                    </w:pPr>
                  </w:p>
                </w:tc>
                <w:tc>
                  <w:tcPr>
                    <w:tcW w:w="561" w:type="pct"/>
                  </w:tcPr>
                  <w:p w14:paraId="0A5655F9" w14:textId="77777777" w:rsidR="00830E72" w:rsidRDefault="00830E72">
                    <w:pPr>
                      <w:jc w:val="right"/>
                      <w:rPr>
                        <w:sz w:val="18"/>
                        <w:szCs w:val="18"/>
                      </w:rPr>
                    </w:pPr>
                  </w:p>
                </w:tc>
                <w:tc>
                  <w:tcPr>
                    <w:tcW w:w="511" w:type="pct"/>
                  </w:tcPr>
                  <w:p w14:paraId="2D2CE010" w14:textId="77777777" w:rsidR="00830E72" w:rsidRDefault="00830E72">
                    <w:pPr>
                      <w:jc w:val="right"/>
                      <w:rPr>
                        <w:sz w:val="18"/>
                        <w:szCs w:val="18"/>
                      </w:rPr>
                    </w:pPr>
                  </w:p>
                </w:tc>
                <w:tc>
                  <w:tcPr>
                    <w:tcW w:w="562" w:type="pct"/>
                  </w:tcPr>
                  <w:p w14:paraId="2D9C9EE7" w14:textId="77777777" w:rsidR="00830E72" w:rsidRDefault="00830E72">
                    <w:pPr>
                      <w:jc w:val="right"/>
                      <w:rPr>
                        <w:sz w:val="18"/>
                        <w:szCs w:val="18"/>
                      </w:rPr>
                    </w:pPr>
                  </w:p>
                </w:tc>
              </w:tr>
              <w:tr w:rsidR="00830E72" w14:paraId="611D25D2" w14:textId="77777777">
                <w:sdt>
                  <w:sdtPr>
                    <w:tag w:val="_PLD_88233f88b9ea4ceb82a1cc6cd7a5030d"/>
                    <w:id w:val="1679002736"/>
                    <w:lock w:val="sdtLocked"/>
                  </w:sdtPr>
                  <w:sdtEndPr/>
                  <w:sdtContent>
                    <w:tc>
                      <w:tcPr>
                        <w:tcW w:w="254" w:type="pct"/>
                      </w:tcPr>
                      <w:p w14:paraId="59850F16" w14:textId="77777777" w:rsidR="00830E72" w:rsidRDefault="008344D8">
                        <w:pPr>
                          <w:rPr>
                            <w:sz w:val="18"/>
                            <w:szCs w:val="18"/>
                          </w:rPr>
                        </w:pPr>
                        <w:r>
                          <w:rPr>
                            <w:sz w:val="18"/>
                            <w:szCs w:val="18"/>
                          </w:rPr>
                          <w:t>1．资本公积转增资本（或</w:t>
                        </w:r>
                        <w:r>
                          <w:rPr>
                            <w:sz w:val="18"/>
                            <w:szCs w:val="18"/>
                          </w:rPr>
                          <w:lastRenderedPageBreak/>
                          <w:t>股本）</w:t>
                        </w:r>
                      </w:p>
                    </w:tc>
                  </w:sdtContent>
                </w:sdt>
                <w:tc>
                  <w:tcPr>
                    <w:tcW w:w="490" w:type="pct"/>
                  </w:tcPr>
                  <w:p w14:paraId="60A0AFE8" w14:textId="77777777" w:rsidR="00830E72" w:rsidRDefault="00830E72">
                    <w:pPr>
                      <w:jc w:val="right"/>
                      <w:rPr>
                        <w:sz w:val="18"/>
                        <w:szCs w:val="18"/>
                      </w:rPr>
                    </w:pPr>
                  </w:p>
                </w:tc>
                <w:tc>
                  <w:tcPr>
                    <w:tcW w:w="85" w:type="pct"/>
                  </w:tcPr>
                  <w:p w14:paraId="0F894D39" w14:textId="77777777" w:rsidR="00830E72" w:rsidRDefault="00830E72">
                    <w:pPr>
                      <w:jc w:val="right"/>
                      <w:rPr>
                        <w:sz w:val="18"/>
                        <w:szCs w:val="18"/>
                      </w:rPr>
                    </w:pPr>
                  </w:p>
                </w:tc>
                <w:tc>
                  <w:tcPr>
                    <w:tcW w:w="89" w:type="pct"/>
                  </w:tcPr>
                  <w:p w14:paraId="21643370" w14:textId="77777777" w:rsidR="00830E72" w:rsidRDefault="00830E72">
                    <w:pPr>
                      <w:jc w:val="right"/>
                      <w:rPr>
                        <w:sz w:val="18"/>
                        <w:szCs w:val="18"/>
                      </w:rPr>
                    </w:pPr>
                  </w:p>
                </w:tc>
                <w:tc>
                  <w:tcPr>
                    <w:tcW w:w="101" w:type="pct"/>
                  </w:tcPr>
                  <w:p w14:paraId="1C161E37" w14:textId="77777777" w:rsidR="00830E72" w:rsidRDefault="00830E72">
                    <w:pPr>
                      <w:jc w:val="right"/>
                      <w:rPr>
                        <w:sz w:val="18"/>
                        <w:szCs w:val="18"/>
                      </w:rPr>
                    </w:pPr>
                  </w:p>
                </w:tc>
                <w:tc>
                  <w:tcPr>
                    <w:tcW w:w="459" w:type="pct"/>
                  </w:tcPr>
                  <w:p w14:paraId="1791E53F" w14:textId="77777777" w:rsidR="00830E72" w:rsidRDefault="00830E72">
                    <w:pPr>
                      <w:jc w:val="right"/>
                      <w:rPr>
                        <w:sz w:val="18"/>
                        <w:szCs w:val="18"/>
                      </w:rPr>
                    </w:pPr>
                  </w:p>
                </w:tc>
                <w:tc>
                  <w:tcPr>
                    <w:tcW w:w="103" w:type="pct"/>
                  </w:tcPr>
                  <w:p w14:paraId="53145D61" w14:textId="77777777" w:rsidR="00830E72" w:rsidRDefault="00830E72">
                    <w:pPr>
                      <w:jc w:val="right"/>
                      <w:rPr>
                        <w:sz w:val="18"/>
                        <w:szCs w:val="18"/>
                      </w:rPr>
                    </w:pPr>
                  </w:p>
                </w:tc>
                <w:tc>
                  <w:tcPr>
                    <w:tcW w:w="153" w:type="pct"/>
                  </w:tcPr>
                  <w:p w14:paraId="4F4F349E" w14:textId="77777777" w:rsidR="00830E72" w:rsidRDefault="00830E72">
                    <w:pPr>
                      <w:jc w:val="right"/>
                      <w:rPr>
                        <w:sz w:val="18"/>
                        <w:szCs w:val="18"/>
                      </w:rPr>
                    </w:pPr>
                  </w:p>
                </w:tc>
                <w:tc>
                  <w:tcPr>
                    <w:tcW w:w="459" w:type="pct"/>
                  </w:tcPr>
                  <w:p w14:paraId="2CA27E32" w14:textId="77777777" w:rsidR="00830E72" w:rsidRDefault="00830E72">
                    <w:pPr>
                      <w:jc w:val="right"/>
                      <w:rPr>
                        <w:sz w:val="18"/>
                        <w:szCs w:val="18"/>
                      </w:rPr>
                    </w:pPr>
                  </w:p>
                </w:tc>
                <w:tc>
                  <w:tcPr>
                    <w:tcW w:w="459" w:type="pct"/>
                  </w:tcPr>
                  <w:p w14:paraId="70D0141C" w14:textId="77777777" w:rsidR="00830E72" w:rsidRDefault="00830E72">
                    <w:pPr>
                      <w:jc w:val="right"/>
                      <w:rPr>
                        <w:sz w:val="18"/>
                        <w:szCs w:val="18"/>
                      </w:rPr>
                    </w:pPr>
                  </w:p>
                </w:tc>
                <w:tc>
                  <w:tcPr>
                    <w:tcW w:w="153" w:type="pct"/>
                  </w:tcPr>
                  <w:p w14:paraId="79A06F1A" w14:textId="77777777" w:rsidR="00830E72" w:rsidRDefault="00830E72">
                    <w:pPr>
                      <w:jc w:val="right"/>
                      <w:rPr>
                        <w:sz w:val="18"/>
                        <w:szCs w:val="18"/>
                      </w:rPr>
                    </w:pPr>
                  </w:p>
                </w:tc>
                <w:tc>
                  <w:tcPr>
                    <w:tcW w:w="459" w:type="pct"/>
                  </w:tcPr>
                  <w:p w14:paraId="1AD33F3E" w14:textId="77777777" w:rsidR="00830E72" w:rsidRDefault="00830E72">
                    <w:pPr>
                      <w:jc w:val="right"/>
                      <w:rPr>
                        <w:sz w:val="18"/>
                        <w:szCs w:val="18"/>
                      </w:rPr>
                    </w:pPr>
                  </w:p>
                </w:tc>
                <w:tc>
                  <w:tcPr>
                    <w:tcW w:w="103" w:type="pct"/>
                  </w:tcPr>
                  <w:p w14:paraId="352DFEAC" w14:textId="77777777" w:rsidR="00830E72" w:rsidRDefault="00830E72">
                    <w:pPr>
                      <w:jc w:val="right"/>
                      <w:rPr>
                        <w:sz w:val="18"/>
                        <w:szCs w:val="18"/>
                      </w:rPr>
                    </w:pPr>
                  </w:p>
                </w:tc>
                <w:tc>
                  <w:tcPr>
                    <w:tcW w:w="561" w:type="pct"/>
                  </w:tcPr>
                  <w:p w14:paraId="408FDB76" w14:textId="77777777" w:rsidR="00830E72" w:rsidRDefault="00830E72">
                    <w:pPr>
                      <w:jc w:val="right"/>
                      <w:rPr>
                        <w:sz w:val="18"/>
                        <w:szCs w:val="18"/>
                      </w:rPr>
                    </w:pPr>
                  </w:p>
                </w:tc>
                <w:tc>
                  <w:tcPr>
                    <w:tcW w:w="511" w:type="pct"/>
                  </w:tcPr>
                  <w:p w14:paraId="69E30293" w14:textId="77777777" w:rsidR="00830E72" w:rsidRDefault="00830E72">
                    <w:pPr>
                      <w:jc w:val="right"/>
                      <w:rPr>
                        <w:sz w:val="18"/>
                        <w:szCs w:val="18"/>
                      </w:rPr>
                    </w:pPr>
                  </w:p>
                </w:tc>
                <w:tc>
                  <w:tcPr>
                    <w:tcW w:w="562" w:type="pct"/>
                  </w:tcPr>
                  <w:p w14:paraId="44E6B0E5" w14:textId="77777777" w:rsidR="00830E72" w:rsidRDefault="00830E72">
                    <w:pPr>
                      <w:jc w:val="right"/>
                      <w:rPr>
                        <w:sz w:val="18"/>
                        <w:szCs w:val="18"/>
                      </w:rPr>
                    </w:pPr>
                  </w:p>
                </w:tc>
              </w:tr>
              <w:tr w:rsidR="00830E72" w14:paraId="71182950" w14:textId="77777777">
                <w:sdt>
                  <w:sdtPr>
                    <w:tag w:val="_PLD_4a9492c5a232434296cfdef5eeded778"/>
                    <w:id w:val="1219634359"/>
                    <w:lock w:val="sdtLocked"/>
                  </w:sdtPr>
                  <w:sdtEndPr/>
                  <w:sdtContent>
                    <w:tc>
                      <w:tcPr>
                        <w:tcW w:w="254" w:type="pct"/>
                      </w:tcPr>
                      <w:p w14:paraId="3640C0F5" w14:textId="77777777" w:rsidR="00830E72" w:rsidRDefault="008344D8">
                        <w:pPr>
                          <w:rPr>
                            <w:sz w:val="18"/>
                            <w:szCs w:val="18"/>
                          </w:rPr>
                        </w:pPr>
                        <w:r>
                          <w:rPr>
                            <w:sz w:val="18"/>
                            <w:szCs w:val="18"/>
                          </w:rPr>
                          <w:t>2．盈余公积转增资本（或股本）</w:t>
                        </w:r>
                      </w:p>
                    </w:tc>
                  </w:sdtContent>
                </w:sdt>
                <w:tc>
                  <w:tcPr>
                    <w:tcW w:w="490" w:type="pct"/>
                  </w:tcPr>
                  <w:p w14:paraId="6D373E68" w14:textId="77777777" w:rsidR="00830E72" w:rsidRDefault="00830E72">
                    <w:pPr>
                      <w:jc w:val="right"/>
                      <w:rPr>
                        <w:sz w:val="18"/>
                        <w:szCs w:val="18"/>
                      </w:rPr>
                    </w:pPr>
                  </w:p>
                </w:tc>
                <w:tc>
                  <w:tcPr>
                    <w:tcW w:w="85" w:type="pct"/>
                  </w:tcPr>
                  <w:p w14:paraId="7B621FF4" w14:textId="77777777" w:rsidR="00830E72" w:rsidRDefault="00830E72">
                    <w:pPr>
                      <w:jc w:val="right"/>
                      <w:rPr>
                        <w:sz w:val="18"/>
                        <w:szCs w:val="18"/>
                      </w:rPr>
                    </w:pPr>
                  </w:p>
                </w:tc>
                <w:tc>
                  <w:tcPr>
                    <w:tcW w:w="89" w:type="pct"/>
                  </w:tcPr>
                  <w:p w14:paraId="7E70BD5C" w14:textId="77777777" w:rsidR="00830E72" w:rsidRDefault="00830E72">
                    <w:pPr>
                      <w:jc w:val="right"/>
                      <w:rPr>
                        <w:sz w:val="18"/>
                        <w:szCs w:val="18"/>
                      </w:rPr>
                    </w:pPr>
                  </w:p>
                </w:tc>
                <w:tc>
                  <w:tcPr>
                    <w:tcW w:w="101" w:type="pct"/>
                  </w:tcPr>
                  <w:p w14:paraId="461D7E03" w14:textId="77777777" w:rsidR="00830E72" w:rsidRDefault="00830E72">
                    <w:pPr>
                      <w:jc w:val="right"/>
                      <w:rPr>
                        <w:sz w:val="18"/>
                        <w:szCs w:val="18"/>
                      </w:rPr>
                    </w:pPr>
                  </w:p>
                </w:tc>
                <w:tc>
                  <w:tcPr>
                    <w:tcW w:w="459" w:type="pct"/>
                  </w:tcPr>
                  <w:p w14:paraId="74782236" w14:textId="77777777" w:rsidR="00830E72" w:rsidRDefault="00830E72">
                    <w:pPr>
                      <w:jc w:val="right"/>
                      <w:rPr>
                        <w:sz w:val="18"/>
                        <w:szCs w:val="18"/>
                      </w:rPr>
                    </w:pPr>
                  </w:p>
                </w:tc>
                <w:tc>
                  <w:tcPr>
                    <w:tcW w:w="103" w:type="pct"/>
                  </w:tcPr>
                  <w:p w14:paraId="3FC56BC0" w14:textId="77777777" w:rsidR="00830E72" w:rsidRDefault="00830E72">
                    <w:pPr>
                      <w:jc w:val="right"/>
                      <w:rPr>
                        <w:sz w:val="18"/>
                        <w:szCs w:val="18"/>
                      </w:rPr>
                    </w:pPr>
                  </w:p>
                </w:tc>
                <w:tc>
                  <w:tcPr>
                    <w:tcW w:w="153" w:type="pct"/>
                  </w:tcPr>
                  <w:p w14:paraId="13C38197" w14:textId="77777777" w:rsidR="00830E72" w:rsidRDefault="00830E72">
                    <w:pPr>
                      <w:jc w:val="right"/>
                      <w:rPr>
                        <w:sz w:val="18"/>
                        <w:szCs w:val="18"/>
                      </w:rPr>
                    </w:pPr>
                  </w:p>
                </w:tc>
                <w:tc>
                  <w:tcPr>
                    <w:tcW w:w="459" w:type="pct"/>
                  </w:tcPr>
                  <w:p w14:paraId="4E4F335B" w14:textId="77777777" w:rsidR="00830E72" w:rsidRDefault="00830E72">
                    <w:pPr>
                      <w:jc w:val="right"/>
                      <w:rPr>
                        <w:sz w:val="18"/>
                        <w:szCs w:val="18"/>
                      </w:rPr>
                    </w:pPr>
                  </w:p>
                </w:tc>
                <w:tc>
                  <w:tcPr>
                    <w:tcW w:w="459" w:type="pct"/>
                  </w:tcPr>
                  <w:p w14:paraId="4F71F80F" w14:textId="77777777" w:rsidR="00830E72" w:rsidRDefault="00830E72">
                    <w:pPr>
                      <w:jc w:val="right"/>
                      <w:rPr>
                        <w:sz w:val="18"/>
                        <w:szCs w:val="18"/>
                      </w:rPr>
                    </w:pPr>
                  </w:p>
                </w:tc>
                <w:tc>
                  <w:tcPr>
                    <w:tcW w:w="153" w:type="pct"/>
                  </w:tcPr>
                  <w:p w14:paraId="624634A9" w14:textId="77777777" w:rsidR="00830E72" w:rsidRDefault="00830E72">
                    <w:pPr>
                      <w:jc w:val="right"/>
                      <w:rPr>
                        <w:sz w:val="18"/>
                        <w:szCs w:val="18"/>
                      </w:rPr>
                    </w:pPr>
                  </w:p>
                </w:tc>
                <w:tc>
                  <w:tcPr>
                    <w:tcW w:w="459" w:type="pct"/>
                  </w:tcPr>
                  <w:p w14:paraId="3A5F0FBC" w14:textId="77777777" w:rsidR="00830E72" w:rsidRDefault="00830E72">
                    <w:pPr>
                      <w:jc w:val="right"/>
                      <w:rPr>
                        <w:sz w:val="18"/>
                        <w:szCs w:val="18"/>
                      </w:rPr>
                    </w:pPr>
                  </w:p>
                </w:tc>
                <w:tc>
                  <w:tcPr>
                    <w:tcW w:w="103" w:type="pct"/>
                  </w:tcPr>
                  <w:p w14:paraId="6BEB7F0E" w14:textId="77777777" w:rsidR="00830E72" w:rsidRDefault="00830E72">
                    <w:pPr>
                      <w:jc w:val="right"/>
                      <w:rPr>
                        <w:sz w:val="18"/>
                        <w:szCs w:val="18"/>
                      </w:rPr>
                    </w:pPr>
                  </w:p>
                </w:tc>
                <w:tc>
                  <w:tcPr>
                    <w:tcW w:w="561" w:type="pct"/>
                  </w:tcPr>
                  <w:p w14:paraId="44761B2C" w14:textId="77777777" w:rsidR="00830E72" w:rsidRDefault="00830E72">
                    <w:pPr>
                      <w:jc w:val="right"/>
                      <w:rPr>
                        <w:sz w:val="18"/>
                        <w:szCs w:val="18"/>
                      </w:rPr>
                    </w:pPr>
                  </w:p>
                </w:tc>
                <w:tc>
                  <w:tcPr>
                    <w:tcW w:w="511" w:type="pct"/>
                  </w:tcPr>
                  <w:p w14:paraId="01FD2DCC" w14:textId="77777777" w:rsidR="00830E72" w:rsidRDefault="00830E72">
                    <w:pPr>
                      <w:jc w:val="right"/>
                      <w:rPr>
                        <w:sz w:val="18"/>
                        <w:szCs w:val="18"/>
                      </w:rPr>
                    </w:pPr>
                  </w:p>
                </w:tc>
                <w:tc>
                  <w:tcPr>
                    <w:tcW w:w="562" w:type="pct"/>
                  </w:tcPr>
                  <w:p w14:paraId="68D2912C" w14:textId="77777777" w:rsidR="00830E72" w:rsidRDefault="00830E72">
                    <w:pPr>
                      <w:jc w:val="right"/>
                      <w:rPr>
                        <w:sz w:val="18"/>
                        <w:szCs w:val="18"/>
                      </w:rPr>
                    </w:pPr>
                  </w:p>
                </w:tc>
              </w:tr>
              <w:tr w:rsidR="00830E72" w14:paraId="3D9E3D86" w14:textId="77777777">
                <w:sdt>
                  <w:sdtPr>
                    <w:tag w:val="_PLD_25911664beff496799fc3193be7c3182"/>
                    <w:id w:val="-715590884"/>
                    <w:lock w:val="sdtLocked"/>
                  </w:sdtPr>
                  <w:sdtEndPr/>
                  <w:sdtContent>
                    <w:tc>
                      <w:tcPr>
                        <w:tcW w:w="254" w:type="pct"/>
                      </w:tcPr>
                      <w:p w14:paraId="46F5DB39" w14:textId="77777777" w:rsidR="00830E72" w:rsidRDefault="008344D8">
                        <w:pPr>
                          <w:rPr>
                            <w:sz w:val="18"/>
                            <w:szCs w:val="18"/>
                          </w:rPr>
                        </w:pPr>
                        <w:r>
                          <w:rPr>
                            <w:sz w:val="18"/>
                            <w:szCs w:val="18"/>
                          </w:rPr>
                          <w:t>3．盈余公积弥补亏损</w:t>
                        </w:r>
                      </w:p>
                    </w:tc>
                  </w:sdtContent>
                </w:sdt>
                <w:tc>
                  <w:tcPr>
                    <w:tcW w:w="490" w:type="pct"/>
                  </w:tcPr>
                  <w:p w14:paraId="60E7E89B" w14:textId="77777777" w:rsidR="00830E72" w:rsidRDefault="00830E72">
                    <w:pPr>
                      <w:jc w:val="right"/>
                      <w:rPr>
                        <w:sz w:val="18"/>
                        <w:szCs w:val="18"/>
                      </w:rPr>
                    </w:pPr>
                  </w:p>
                </w:tc>
                <w:tc>
                  <w:tcPr>
                    <w:tcW w:w="85" w:type="pct"/>
                  </w:tcPr>
                  <w:p w14:paraId="3BD3666A" w14:textId="77777777" w:rsidR="00830E72" w:rsidRDefault="00830E72">
                    <w:pPr>
                      <w:jc w:val="right"/>
                      <w:rPr>
                        <w:sz w:val="18"/>
                        <w:szCs w:val="18"/>
                      </w:rPr>
                    </w:pPr>
                  </w:p>
                </w:tc>
                <w:tc>
                  <w:tcPr>
                    <w:tcW w:w="89" w:type="pct"/>
                  </w:tcPr>
                  <w:p w14:paraId="380CBDC2" w14:textId="77777777" w:rsidR="00830E72" w:rsidRDefault="00830E72">
                    <w:pPr>
                      <w:jc w:val="right"/>
                      <w:rPr>
                        <w:sz w:val="18"/>
                        <w:szCs w:val="18"/>
                      </w:rPr>
                    </w:pPr>
                  </w:p>
                </w:tc>
                <w:tc>
                  <w:tcPr>
                    <w:tcW w:w="101" w:type="pct"/>
                  </w:tcPr>
                  <w:p w14:paraId="5BD89FBB" w14:textId="77777777" w:rsidR="00830E72" w:rsidRDefault="00830E72">
                    <w:pPr>
                      <w:jc w:val="right"/>
                      <w:rPr>
                        <w:sz w:val="18"/>
                        <w:szCs w:val="18"/>
                      </w:rPr>
                    </w:pPr>
                  </w:p>
                </w:tc>
                <w:tc>
                  <w:tcPr>
                    <w:tcW w:w="459" w:type="pct"/>
                  </w:tcPr>
                  <w:p w14:paraId="2074A420" w14:textId="77777777" w:rsidR="00830E72" w:rsidRDefault="00830E72">
                    <w:pPr>
                      <w:jc w:val="right"/>
                      <w:rPr>
                        <w:sz w:val="18"/>
                        <w:szCs w:val="18"/>
                      </w:rPr>
                    </w:pPr>
                  </w:p>
                </w:tc>
                <w:tc>
                  <w:tcPr>
                    <w:tcW w:w="103" w:type="pct"/>
                  </w:tcPr>
                  <w:p w14:paraId="35C91546" w14:textId="77777777" w:rsidR="00830E72" w:rsidRDefault="00830E72">
                    <w:pPr>
                      <w:jc w:val="right"/>
                      <w:rPr>
                        <w:sz w:val="18"/>
                        <w:szCs w:val="18"/>
                      </w:rPr>
                    </w:pPr>
                  </w:p>
                </w:tc>
                <w:tc>
                  <w:tcPr>
                    <w:tcW w:w="153" w:type="pct"/>
                  </w:tcPr>
                  <w:p w14:paraId="7E41FA5D" w14:textId="77777777" w:rsidR="00830E72" w:rsidRDefault="00830E72">
                    <w:pPr>
                      <w:jc w:val="right"/>
                      <w:rPr>
                        <w:sz w:val="18"/>
                        <w:szCs w:val="18"/>
                      </w:rPr>
                    </w:pPr>
                  </w:p>
                </w:tc>
                <w:tc>
                  <w:tcPr>
                    <w:tcW w:w="459" w:type="pct"/>
                  </w:tcPr>
                  <w:p w14:paraId="442EBD1E" w14:textId="77777777" w:rsidR="00830E72" w:rsidRDefault="00830E72">
                    <w:pPr>
                      <w:jc w:val="right"/>
                      <w:rPr>
                        <w:sz w:val="18"/>
                        <w:szCs w:val="18"/>
                      </w:rPr>
                    </w:pPr>
                  </w:p>
                </w:tc>
                <w:tc>
                  <w:tcPr>
                    <w:tcW w:w="459" w:type="pct"/>
                  </w:tcPr>
                  <w:p w14:paraId="501A0123" w14:textId="77777777" w:rsidR="00830E72" w:rsidRDefault="00830E72">
                    <w:pPr>
                      <w:jc w:val="right"/>
                      <w:rPr>
                        <w:sz w:val="18"/>
                        <w:szCs w:val="18"/>
                      </w:rPr>
                    </w:pPr>
                  </w:p>
                </w:tc>
                <w:tc>
                  <w:tcPr>
                    <w:tcW w:w="153" w:type="pct"/>
                  </w:tcPr>
                  <w:p w14:paraId="10AA825F" w14:textId="77777777" w:rsidR="00830E72" w:rsidRDefault="00830E72">
                    <w:pPr>
                      <w:jc w:val="right"/>
                      <w:rPr>
                        <w:sz w:val="18"/>
                        <w:szCs w:val="18"/>
                      </w:rPr>
                    </w:pPr>
                  </w:p>
                </w:tc>
                <w:tc>
                  <w:tcPr>
                    <w:tcW w:w="459" w:type="pct"/>
                  </w:tcPr>
                  <w:p w14:paraId="78582424" w14:textId="77777777" w:rsidR="00830E72" w:rsidRDefault="00830E72">
                    <w:pPr>
                      <w:jc w:val="right"/>
                      <w:rPr>
                        <w:sz w:val="18"/>
                        <w:szCs w:val="18"/>
                      </w:rPr>
                    </w:pPr>
                  </w:p>
                </w:tc>
                <w:tc>
                  <w:tcPr>
                    <w:tcW w:w="103" w:type="pct"/>
                  </w:tcPr>
                  <w:p w14:paraId="686F6AAB" w14:textId="77777777" w:rsidR="00830E72" w:rsidRDefault="00830E72">
                    <w:pPr>
                      <w:jc w:val="right"/>
                      <w:rPr>
                        <w:sz w:val="18"/>
                        <w:szCs w:val="18"/>
                      </w:rPr>
                    </w:pPr>
                  </w:p>
                </w:tc>
                <w:tc>
                  <w:tcPr>
                    <w:tcW w:w="561" w:type="pct"/>
                  </w:tcPr>
                  <w:p w14:paraId="155C0A0D" w14:textId="77777777" w:rsidR="00830E72" w:rsidRDefault="00830E72">
                    <w:pPr>
                      <w:jc w:val="right"/>
                      <w:rPr>
                        <w:sz w:val="18"/>
                        <w:szCs w:val="18"/>
                      </w:rPr>
                    </w:pPr>
                  </w:p>
                </w:tc>
                <w:tc>
                  <w:tcPr>
                    <w:tcW w:w="511" w:type="pct"/>
                  </w:tcPr>
                  <w:p w14:paraId="06FA45BB" w14:textId="77777777" w:rsidR="00830E72" w:rsidRDefault="00830E72">
                    <w:pPr>
                      <w:jc w:val="right"/>
                      <w:rPr>
                        <w:sz w:val="18"/>
                        <w:szCs w:val="18"/>
                      </w:rPr>
                    </w:pPr>
                  </w:p>
                </w:tc>
                <w:tc>
                  <w:tcPr>
                    <w:tcW w:w="562" w:type="pct"/>
                  </w:tcPr>
                  <w:p w14:paraId="4A51C277" w14:textId="77777777" w:rsidR="00830E72" w:rsidRDefault="00830E72">
                    <w:pPr>
                      <w:jc w:val="right"/>
                      <w:rPr>
                        <w:sz w:val="18"/>
                        <w:szCs w:val="18"/>
                      </w:rPr>
                    </w:pPr>
                  </w:p>
                </w:tc>
              </w:tr>
              <w:tr w:rsidR="00830E72" w14:paraId="7671AD64" w14:textId="77777777">
                <w:tc>
                  <w:tcPr>
                    <w:tcW w:w="254" w:type="pct"/>
                  </w:tcPr>
                  <w:sdt>
                    <w:sdtPr>
                      <w:rPr>
                        <w:sz w:val="18"/>
                        <w:szCs w:val="18"/>
                      </w:rPr>
                      <w:tag w:val="_PLD_c2918ada9b53437193e4f9cfffa064e3"/>
                      <w:id w:val="-1570650882"/>
                      <w:lock w:val="sdtLocked"/>
                    </w:sdtPr>
                    <w:sdtEndPr/>
                    <w:sdtContent>
                      <w:p w14:paraId="7AAB25E7" w14:textId="77777777" w:rsidR="00830E72" w:rsidRDefault="008344D8">
                        <w:r>
                          <w:rPr>
                            <w:sz w:val="18"/>
                            <w:szCs w:val="18"/>
                          </w:rPr>
                          <w:t>4．设定受益计划变动额结转留存收益</w:t>
                        </w:r>
                      </w:p>
                    </w:sdtContent>
                  </w:sdt>
                </w:tc>
                <w:tc>
                  <w:tcPr>
                    <w:tcW w:w="490" w:type="pct"/>
                  </w:tcPr>
                  <w:p w14:paraId="12DA0229" w14:textId="77777777" w:rsidR="00830E72" w:rsidRDefault="00830E72">
                    <w:pPr>
                      <w:jc w:val="right"/>
                      <w:rPr>
                        <w:sz w:val="18"/>
                        <w:szCs w:val="18"/>
                      </w:rPr>
                    </w:pPr>
                  </w:p>
                </w:tc>
                <w:tc>
                  <w:tcPr>
                    <w:tcW w:w="85" w:type="pct"/>
                  </w:tcPr>
                  <w:p w14:paraId="5091A075" w14:textId="77777777" w:rsidR="00830E72" w:rsidRDefault="00830E72">
                    <w:pPr>
                      <w:jc w:val="right"/>
                      <w:rPr>
                        <w:sz w:val="18"/>
                        <w:szCs w:val="18"/>
                      </w:rPr>
                    </w:pPr>
                  </w:p>
                </w:tc>
                <w:tc>
                  <w:tcPr>
                    <w:tcW w:w="89" w:type="pct"/>
                  </w:tcPr>
                  <w:p w14:paraId="7DC57FDE" w14:textId="77777777" w:rsidR="00830E72" w:rsidRDefault="00830E72">
                    <w:pPr>
                      <w:jc w:val="right"/>
                      <w:rPr>
                        <w:sz w:val="18"/>
                        <w:szCs w:val="18"/>
                      </w:rPr>
                    </w:pPr>
                  </w:p>
                </w:tc>
                <w:tc>
                  <w:tcPr>
                    <w:tcW w:w="101" w:type="pct"/>
                  </w:tcPr>
                  <w:p w14:paraId="1CC75FE9" w14:textId="77777777" w:rsidR="00830E72" w:rsidRDefault="00830E72">
                    <w:pPr>
                      <w:jc w:val="right"/>
                      <w:rPr>
                        <w:sz w:val="18"/>
                        <w:szCs w:val="18"/>
                      </w:rPr>
                    </w:pPr>
                  </w:p>
                </w:tc>
                <w:tc>
                  <w:tcPr>
                    <w:tcW w:w="459" w:type="pct"/>
                  </w:tcPr>
                  <w:p w14:paraId="27B735A7" w14:textId="77777777" w:rsidR="00830E72" w:rsidRDefault="00830E72">
                    <w:pPr>
                      <w:jc w:val="right"/>
                      <w:rPr>
                        <w:sz w:val="18"/>
                        <w:szCs w:val="18"/>
                      </w:rPr>
                    </w:pPr>
                  </w:p>
                </w:tc>
                <w:tc>
                  <w:tcPr>
                    <w:tcW w:w="103" w:type="pct"/>
                  </w:tcPr>
                  <w:p w14:paraId="3A921080" w14:textId="77777777" w:rsidR="00830E72" w:rsidRDefault="00830E72">
                    <w:pPr>
                      <w:jc w:val="right"/>
                      <w:rPr>
                        <w:sz w:val="18"/>
                        <w:szCs w:val="18"/>
                      </w:rPr>
                    </w:pPr>
                  </w:p>
                </w:tc>
                <w:tc>
                  <w:tcPr>
                    <w:tcW w:w="153" w:type="pct"/>
                  </w:tcPr>
                  <w:p w14:paraId="108FC742" w14:textId="77777777" w:rsidR="00830E72" w:rsidRDefault="00830E72">
                    <w:pPr>
                      <w:jc w:val="right"/>
                      <w:rPr>
                        <w:sz w:val="18"/>
                        <w:szCs w:val="18"/>
                      </w:rPr>
                    </w:pPr>
                  </w:p>
                </w:tc>
                <w:tc>
                  <w:tcPr>
                    <w:tcW w:w="459" w:type="pct"/>
                  </w:tcPr>
                  <w:p w14:paraId="76DBF0C3" w14:textId="77777777" w:rsidR="00830E72" w:rsidRDefault="00830E72">
                    <w:pPr>
                      <w:jc w:val="right"/>
                      <w:rPr>
                        <w:sz w:val="18"/>
                        <w:szCs w:val="18"/>
                      </w:rPr>
                    </w:pPr>
                  </w:p>
                </w:tc>
                <w:tc>
                  <w:tcPr>
                    <w:tcW w:w="459" w:type="pct"/>
                  </w:tcPr>
                  <w:p w14:paraId="6EB0551C" w14:textId="77777777" w:rsidR="00830E72" w:rsidRDefault="00830E72">
                    <w:pPr>
                      <w:jc w:val="right"/>
                      <w:rPr>
                        <w:sz w:val="18"/>
                        <w:szCs w:val="18"/>
                      </w:rPr>
                    </w:pPr>
                  </w:p>
                </w:tc>
                <w:tc>
                  <w:tcPr>
                    <w:tcW w:w="153" w:type="pct"/>
                  </w:tcPr>
                  <w:p w14:paraId="7DBDFF24" w14:textId="77777777" w:rsidR="00830E72" w:rsidRDefault="00830E72">
                    <w:pPr>
                      <w:jc w:val="right"/>
                      <w:rPr>
                        <w:sz w:val="18"/>
                        <w:szCs w:val="18"/>
                      </w:rPr>
                    </w:pPr>
                  </w:p>
                </w:tc>
                <w:tc>
                  <w:tcPr>
                    <w:tcW w:w="459" w:type="pct"/>
                  </w:tcPr>
                  <w:p w14:paraId="7CF1FE89" w14:textId="77777777" w:rsidR="00830E72" w:rsidRDefault="00830E72">
                    <w:pPr>
                      <w:jc w:val="right"/>
                      <w:rPr>
                        <w:sz w:val="18"/>
                        <w:szCs w:val="18"/>
                      </w:rPr>
                    </w:pPr>
                  </w:p>
                </w:tc>
                <w:tc>
                  <w:tcPr>
                    <w:tcW w:w="103" w:type="pct"/>
                  </w:tcPr>
                  <w:p w14:paraId="6ABED4B7" w14:textId="77777777" w:rsidR="00830E72" w:rsidRDefault="00830E72">
                    <w:pPr>
                      <w:jc w:val="right"/>
                      <w:rPr>
                        <w:sz w:val="18"/>
                        <w:szCs w:val="18"/>
                      </w:rPr>
                    </w:pPr>
                  </w:p>
                </w:tc>
                <w:tc>
                  <w:tcPr>
                    <w:tcW w:w="561" w:type="pct"/>
                  </w:tcPr>
                  <w:p w14:paraId="35F34F91" w14:textId="77777777" w:rsidR="00830E72" w:rsidRDefault="00830E72">
                    <w:pPr>
                      <w:jc w:val="right"/>
                      <w:rPr>
                        <w:sz w:val="18"/>
                        <w:szCs w:val="18"/>
                      </w:rPr>
                    </w:pPr>
                  </w:p>
                </w:tc>
                <w:tc>
                  <w:tcPr>
                    <w:tcW w:w="511" w:type="pct"/>
                  </w:tcPr>
                  <w:p w14:paraId="52403468" w14:textId="77777777" w:rsidR="00830E72" w:rsidRDefault="00830E72">
                    <w:pPr>
                      <w:jc w:val="right"/>
                      <w:rPr>
                        <w:sz w:val="18"/>
                        <w:szCs w:val="18"/>
                      </w:rPr>
                    </w:pPr>
                  </w:p>
                </w:tc>
                <w:tc>
                  <w:tcPr>
                    <w:tcW w:w="562" w:type="pct"/>
                  </w:tcPr>
                  <w:p w14:paraId="0427659B" w14:textId="77777777" w:rsidR="00830E72" w:rsidRDefault="00830E72">
                    <w:pPr>
                      <w:jc w:val="right"/>
                      <w:rPr>
                        <w:sz w:val="18"/>
                        <w:szCs w:val="18"/>
                      </w:rPr>
                    </w:pPr>
                  </w:p>
                </w:tc>
              </w:tr>
              <w:tr w:rsidR="00830E72" w14:paraId="488CD4F0" w14:textId="77777777">
                <w:tc>
                  <w:tcPr>
                    <w:tcW w:w="254" w:type="pct"/>
                  </w:tcPr>
                  <w:sdt>
                    <w:sdtPr>
                      <w:rPr>
                        <w:sz w:val="18"/>
                        <w:szCs w:val="18"/>
                      </w:rPr>
                      <w:tag w:val="_PLD_ea153cdd99f74bf1b50bc1743d25f429"/>
                      <w:id w:val="168681461"/>
                      <w:lock w:val="sdtLocked"/>
                    </w:sdtPr>
                    <w:sdtEndPr/>
                    <w:sdtContent>
                      <w:p w14:paraId="0215DD7A" w14:textId="77777777" w:rsidR="00830E72" w:rsidRDefault="008344D8">
                        <w:pPr>
                          <w:rPr>
                            <w:sz w:val="18"/>
                            <w:szCs w:val="18"/>
                          </w:rPr>
                        </w:pPr>
                        <w:r>
                          <w:rPr>
                            <w:sz w:val="18"/>
                            <w:szCs w:val="18"/>
                          </w:rPr>
                          <w:t>5．其他综合收益结转留存收益</w:t>
                        </w:r>
                      </w:p>
                    </w:sdtContent>
                  </w:sdt>
                </w:tc>
                <w:tc>
                  <w:tcPr>
                    <w:tcW w:w="490" w:type="pct"/>
                  </w:tcPr>
                  <w:p w14:paraId="1BDE4672" w14:textId="77777777" w:rsidR="00830E72" w:rsidRDefault="00830E72">
                    <w:pPr>
                      <w:jc w:val="right"/>
                      <w:rPr>
                        <w:sz w:val="18"/>
                        <w:szCs w:val="18"/>
                      </w:rPr>
                    </w:pPr>
                  </w:p>
                </w:tc>
                <w:tc>
                  <w:tcPr>
                    <w:tcW w:w="85" w:type="pct"/>
                  </w:tcPr>
                  <w:p w14:paraId="394154F0" w14:textId="77777777" w:rsidR="00830E72" w:rsidRDefault="00830E72">
                    <w:pPr>
                      <w:jc w:val="right"/>
                      <w:rPr>
                        <w:sz w:val="18"/>
                        <w:szCs w:val="18"/>
                      </w:rPr>
                    </w:pPr>
                  </w:p>
                </w:tc>
                <w:tc>
                  <w:tcPr>
                    <w:tcW w:w="89" w:type="pct"/>
                  </w:tcPr>
                  <w:p w14:paraId="1A645DA5" w14:textId="77777777" w:rsidR="00830E72" w:rsidRDefault="00830E72">
                    <w:pPr>
                      <w:jc w:val="right"/>
                      <w:rPr>
                        <w:sz w:val="18"/>
                        <w:szCs w:val="18"/>
                      </w:rPr>
                    </w:pPr>
                  </w:p>
                </w:tc>
                <w:tc>
                  <w:tcPr>
                    <w:tcW w:w="101" w:type="pct"/>
                  </w:tcPr>
                  <w:p w14:paraId="17695058" w14:textId="77777777" w:rsidR="00830E72" w:rsidRDefault="00830E72">
                    <w:pPr>
                      <w:jc w:val="right"/>
                      <w:rPr>
                        <w:sz w:val="18"/>
                        <w:szCs w:val="18"/>
                      </w:rPr>
                    </w:pPr>
                  </w:p>
                </w:tc>
                <w:tc>
                  <w:tcPr>
                    <w:tcW w:w="459" w:type="pct"/>
                  </w:tcPr>
                  <w:p w14:paraId="3E3C0BCC" w14:textId="77777777" w:rsidR="00830E72" w:rsidRDefault="00830E72">
                    <w:pPr>
                      <w:jc w:val="right"/>
                      <w:rPr>
                        <w:sz w:val="18"/>
                        <w:szCs w:val="18"/>
                      </w:rPr>
                    </w:pPr>
                  </w:p>
                </w:tc>
                <w:tc>
                  <w:tcPr>
                    <w:tcW w:w="103" w:type="pct"/>
                  </w:tcPr>
                  <w:p w14:paraId="209D640F" w14:textId="77777777" w:rsidR="00830E72" w:rsidRDefault="00830E72">
                    <w:pPr>
                      <w:jc w:val="right"/>
                      <w:rPr>
                        <w:sz w:val="18"/>
                        <w:szCs w:val="18"/>
                      </w:rPr>
                    </w:pPr>
                  </w:p>
                </w:tc>
                <w:tc>
                  <w:tcPr>
                    <w:tcW w:w="153" w:type="pct"/>
                  </w:tcPr>
                  <w:p w14:paraId="511449D9" w14:textId="77777777" w:rsidR="00830E72" w:rsidRDefault="00830E72">
                    <w:pPr>
                      <w:jc w:val="right"/>
                      <w:rPr>
                        <w:sz w:val="18"/>
                        <w:szCs w:val="18"/>
                      </w:rPr>
                    </w:pPr>
                  </w:p>
                </w:tc>
                <w:tc>
                  <w:tcPr>
                    <w:tcW w:w="459" w:type="pct"/>
                  </w:tcPr>
                  <w:p w14:paraId="1261DEBB" w14:textId="77777777" w:rsidR="00830E72" w:rsidRDefault="00830E72">
                    <w:pPr>
                      <w:jc w:val="right"/>
                      <w:rPr>
                        <w:sz w:val="18"/>
                        <w:szCs w:val="18"/>
                      </w:rPr>
                    </w:pPr>
                  </w:p>
                </w:tc>
                <w:tc>
                  <w:tcPr>
                    <w:tcW w:w="459" w:type="pct"/>
                  </w:tcPr>
                  <w:p w14:paraId="4FAA57B1" w14:textId="77777777" w:rsidR="00830E72" w:rsidRDefault="00830E72">
                    <w:pPr>
                      <w:jc w:val="right"/>
                      <w:rPr>
                        <w:sz w:val="18"/>
                        <w:szCs w:val="18"/>
                      </w:rPr>
                    </w:pPr>
                  </w:p>
                </w:tc>
                <w:tc>
                  <w:tcPr>
                    <w:tcW w:w="153" w:type="pct"/>
                  </w:tcPr>
                  <w:p w14:paraId="54F2FE23" w14:textId="77777777" w:rsidR="00830E72" w:rsidRDefault="00830E72">
                    <w:pPr>
                      <w:jc w:val="right"/>
                      <w:rPr>
                        <w:sz w:val="18"/>
                        <w:szCs w:val="18"/>
                      </w:rPr>
                    </w:pPr>
                  </w:p>
                </w:tc>
                <w:tc>
                  <w:tcPr>
                    <w:tcW w:w="459" w:type="pct"/>
                  </w:tcPr>
                  <w:p w14:paraId="090C6095" w14:textId="77777777" w:rsidR="00830E72" w:rsidRDefault="00830E72">
                    <w:pPr>
                      <w:jc w:val="right"/>
                      <w:rPr>
                        <w:sz w:val="18"/>
                        <w:szCs w:val="18"/>
                      </w:rPr>
                    </w:pPr>
                  </w:p>
                </w:tc>
                <w:tc>
                  <w:tcPr>
                    <w:tcW w:w="103" w:type="pct"/>
                  </w:tcPr>
                  <w:p w14:paraId="3AE1DBC4" w14:textId="77777777" w:rsidR="00830E72" w:rsidRDefault="00830E72">
                    <w:pPr>
                      <w:jc w:val="right"/>
                      <w:rPr>
                        <w:sz w:val="18"/>
                        <w:szCs w:val="18"/>
                      </w:rPr>
                    </w:pPr>
                  </w:p>
                </w:tc>
                <w:tc>
                  <w:tcPr>
                    <w:tcW w:w="561" w:type="pct"/>
                  </w:tcPr>
                  <w:p w14:paraId="05B8CB6B" w14:textId="77777777" w:rsidR="00830E72" w:rsidRDefault="00830E72">
                    <w:pPr>
                      <w:jc w:val="right"/>
                      <w:rPr>
                        <w:sz w:val="18"/>
                        <w:szCs w:val="18"/>
                      </w:rPr>
                    </w:pPr>
                  </w:p>
                </w:tc>
                <w:tc>
                  <w:tcPr>
                    <w:tcW w:w="511" w:type="pct"/>
                  </w:tcPr>
                  <w:p w14:paraId="1D6079DA" w14:textId="77777777" w:rsidR="00830E72" w:rsidRDefault="00830E72">
                    <w:pPr>
                      <w:jc w:val="right"/>
                      <w:rPr>
                        <w:sz w:val="18"/>
                        <w:szCs w:val="18"/>
                      </w:rPr>
                    </w:pPr>
                  </w:p>
                </w:tc>
                <w:tc>
                  <w:tcPr>
                    <w:tcW w:w="562" w:type="pct"/>
                  </w:tcPr>
                  <w:p w14:paraId="192F5998" w14:textId="77777777" w:rsidR="00830E72" w:rsidRDefault="00830E72">
                    <w:pPr>
                      <w:jc w:val="right"/>
                      <w:rPr>
                        <w:sz w:val="18"/>
                        <w:szCs w:val="18"/>
                      </w:rPr>
                    </w:pPr>
                  </w:p>
                </w:tc>
              </w:tr>
              <w:tr w:rsidR="00830E72" w14:paraId="74DBAB66" w14:textId="77777777">
                <w:tc>
                  <w:tcPr>
                    <w:tcW w:w="254" w:type="pct"/>
                  </w:tcPr>
                  <w:sdt>
                    <w:sdtPr>
                      <w:rPr>
                        <w:sz w:val="18"/>
                        <w:szCs w:val="18"/>
                      </w:rPr>
                      <w:tag w:val="_PLD_de42fced9d0547ecb946b8443ac4ea20"/>
                      <w:id w:val="861024292"/>
                      <w:lock w:val="sdtLocked"/>
                    </w:sdtPr>
                    <w:sdtEndPr/>
                    <w:sdtContent>
                      <w:p w14:paraId="5DD1E848" w14:textId="77777777" w:rsidR="00830E72" w:rsidRDefault="008344D8">
                        <w:r>
                          <w:rPr>
                            <w:sz w:val="18"/>
                            <w:szCs w:val="18"/>
                          </w:rPr>
                          <w:t>6．其他</w:t>
                        </w:r>
                      </w:p>
                    </w:sdtContent>
                  </w:sdt>
                </w:tc>
                <w:tc>
                  <w:tcPr>
                    <w:tcW w:w="490" w:type="pct"/>
                  </w:tcPr>
                  <w:p w14:paraId="58C8FDFA" w14:textId="77777777" w:rsidR="00830E72" w:rsidRDefault="00830E72">
                    <w:pPr>
                      <w:jc w:val="right"/>
                      <w:rPr>
                        <w:sz w:val="15"/>
                        <w:szCs w:val="15"/>
                      </w:rPr>
                    </w:pPr>
                  </w:p>
                </w:tc>
                <w:tc>
                  <w:tcPr>
                    <w:tcW w:w="85" w:type="pct"/>
                  </w:tcPr>
                  <w:p w14:paraId="31C44846" w14:textId="77777777" w:rsidR="00830E72" w:rsidRDefault="00830E72">
                    <w:pPr>
                      <w:jc w:val="right"/>
                      <w:rPr>
                        <w:sz w:val="15"/>
                        <w:szCs w:val="15"/>
                      </w:rPr>
                    </w:pPr>
                  </w:p>
                </w:tc>
                <w:tc>
                  <w:tcPr>
                    <w:tcW w:w="89" w:type="pct"/>
                  </w:tcPr>
                  <w:p w14:paraId="521560D9" w14:textId="77777777" w:rsidR="00830E72" w:rsidRDefault="00830E72">
                    <w:pPr>
                      <w:jc w:val="right"/>
                      <w:rPr>
                        <w:sz w:val="15"/>
                        <w:szCs w:val="15"/>
                      </w:rPr>
                    </w:pPr>
                  </w:p>
                </w:tc>
                <w:tc>
                  <w:tcPr>
                    <w:tcW w:w="101" w:type="pct"/>
                  </w:tcPr>
                  <w:p w14:paraId="1931403F" w14:textId="77777777" w:rsidR="00830E72" w:rsidRDefault="00830E72">
                    <w:pPr>
                      <w:jc w:val="right"/>
                      <w:rPr>
                        <w:sz w:val="15"/>
                        <w:szCs w:val="15"/>
                      </w:rPr>
                    </w:pPr>
                  </w:p>
                </w:tc>
                <w:tc>
                  <w:tcPr>
                    <w:tcW w:w="459" w:type="pct"/>
                  </w:tcPr>
                  <w:p w14:paraId="117A7B72" w14:textId="77777777" w:rsidR="00830E72" w:rsidRDefault="00830E72">
                    <w:pPr>
                      <w:jc w:val="right"/>
                      <w:rPr>
                        <w:sz w:val="15"/>
                        <w:szCs w:val="15"/>
                      </w:rPr>
                    </w:pPr>
                  </w:p>
                </w:tc>
                <w:tc>
                  <w:tcPr>
                    <w:tcW w:w="103" w:type="pct"/>
                  </w:tcPr>
                  <w:p w14:paraId="22DE6DA0" w14:textId="77777777" w:rsidR="00830E72" w:rsidRDefault="00830E72">
                    <w:pPr>
                      <w:jc w:val="right"/>
                      <w:rPr>
                        <w:sz w:val="15"/>
                        <w:szCs w:val="15"/>
                      </w:rPr>
                    </w:pPr>
                  </w:p>
                </w:tc>
                <w:tc>
                  <w:tcPr>
                    <w:tcW w:w="153" w:type="pct"/>
                  </w:tcPr>
                  <w:p w14:paraId="4A206938" w14:textId="77777777" w:rsidR="00830E72" w:rsidRDefault="00830E72">
                    <w:pPr>
                      <w:jc w:val="right"/>
                      <w:rPr>
                        <w:sz w:val="15"/>
                        <w:szCs w:val="15"/>
                      </w:rPr>
                    </w:pPr>
                  </w:p>
                </w:tc>
                <w:tc>
                  <w:tcPr>
                    <w:tcW w:w="459" w:type="pct"/>
                  </w:tcPr>
                  <w:p w14:paraId="587157DE" w14:textId="77777777" w:rsidR="00830E72" w:rsidRDefault="00830E72">
                    <w:pPr>
                      <w:jc w:val="right"/>
                      <w:rPr>
                        <w:sz w:val="15"/>
                        <w:szCs w:val="15"/>
                      </w:rPr>
                    </w:pPr>
                  </w:p>
                </w:tc>
                <w:tc>
                  <w:tcPr>
                    <w:tcW w:w="459" w:type="pct"/>
                  </w:tcPr>
                  <w:p w14:paraId="0F44C747" w14:textId="77777777" w:rsidR="00830E72" w:rsidRDefault="00830E72">
                    <w:pPr>
                      <w:jc w:val="right"/>
                      <w:rPr>
                        <w:sz w:val="15"/>
                        <w:szCs w:val="15"/>
                      </w:rPr>
                    </w:pPr>
                  </w:p>
                </w:tc>
                <w:tc>
                  <w:tcPr>
                    <w:tcW w:w="153" w:type="pct"/>
                  </w:tcPr>
                  <w:p w14:paraId="5C9DAA49" w14:textId="77777777" w:rsidR="00830E72" w:rsidRDefault="00830E72">
                    <w:pPr>
                      <w:jc w:val="right"/>
                      <w:rPr>
                        <w:sz w:val="15"/>
                        <w:szCs w:val="15"/>
                      </w:rPr>
                    </w:pPr>
                  </w:p>
                </w:tc>
                <w:tc>
                  <w:tcPr>
                    <w:tcW w:w="459" w:type="pct"/>
                  </w:tcPr>
                  <w:p w14:paraId="279A94E7" w14:textId="77777777" w:rsidR="00830E72" w:rsidRDefault="00830E72">
                    <w:pPr>
                      <w:jc w:val="right"/>
                      <w:rPr>
                        <w:sz w:val="15"/>
                        <w:szCs w:val="15"/>
                      </w:rPr>
                    </w:pPr>
                  </w:p>
                </w:tc>
                <w:tc>
                  <w:tcPr>
                    <w:tcW w:w="103" w:type="pct"/>
                  </w:tcPr>
                  <w:p w14:paraId="704F2859" w14:textId="77777777" w:rsidR="00830E72" w:rsidRDefault="00830E72">
                    <w:pPr>
                      <w:jc w:val="right"/>
                      <w:rPr>
                        <w:sz w:val="15"/>
                        <w:szCs w:val="15"/>
                      </w:rPr>
                    </w:pPr>
                  </w:p>
                </w:tc>
                <w:tc>
                  <w:tcPr>
                    <w:tcW w:w="561" w:type="pct"/>
                  </w:tcPr>
                  <w:p w14:paraId="27CBD4A5" w14:textId="77777777" w:rsidR="00830E72" w:rsidRDefault="00830E72">
                    <w:pPr>
                      <w:jc w:val="right"/>
                      <w:rPr>
                        <w:sz w:val="15"/>
                        <w:szCs w:val="15"/>
                      </w:rPr>
                    </w:pPr>
                  </w:p>
                </w:tc>
                <w:tc>
                  <w:tcPr>
                    <w:tcW w:w="511" w:type="pct"/>
                  </w:tcPr>
                  <w:p w14:paraId="51A99096" w14:textId="77777777" w:rsidR="00830E72" w:rsidRDefault="00830E72">
                    <w:pPr>
                      <w:jc w:val="right"/>
                      <w:rPr>
                        <w:sz w:val="15"/>
                        <w:szCs w:val="15"/>
                      </w:rPr>
                    </w:pPr>
                  </w:p>
                </w:tc>
                <w:tc>
                  <w:tcPr>
                    <w:tcW w:w="562" w:type="pct"/>
                  </w:tcPr>
                  <w:p w14:paraId="711CB1BE" w14:textId="77777777" w:rsidR="00830E72" w:rsidRDefault="00830E72">
                    <w:pPr>
                      <w:jc w:val="right"/>
                      <w:rPr>
                        <w:sz w:val="15"/>
                        <w:szCs w:val="15"/>
                      </w:rPr>
                    </w:pPr>
                  </w:p>
                </w:tc>
              </w:tr>
              <w:tr w:rsidR="00830E72" w14:paraId="06D5846F" w14:textId="77777777">
                <w:sdt>
                  <w:sdtPr>
                    <w:tag w:val="_PLD_14d25c6e75074c52a0f884581cc84dba"/>
                    <w:id w:val="-1902892641"/>
                    <w:lock w:val="sdtLocked"/>
                  </w:sdtPr>
                  <w:sdtEndPr/>
                  <w:sdtContent>
                    <w:tc>
                      <w:tcPr>
                        <w:tcW w:w="254" w:type="pct"/>
                      </w:tcPr>
                      <w:p w14:paraId="2A4B5F1E" w14:textId="77777777" w:rsidR="00830E72" w:rsidRDefault="008344D8">
                        <w:pPr>
                          <w:rPr>
                            <w:sz w:val="18"/>
                            <w:szCs w:val="18"/>
                          </w:rPr>
                        </w:pPr>
                        <w:r>
                          <w:rPr>
                            <w:rFonts w:hint="eastAsia"/>
                            <w:sz w:val="18"/>
                            <w:szCs w:val="18"/>
                          </w:rPr>
                          <w:t>（五）专项储备</w:t>
                        </w:r>
                      </w:p>
                    </w:tc>
                  </w:sdtContent>
                </w:sdt>
                <w:tc>
                  <w:tcPr>
                    <w:tcW w:w="490" w:type="pct"/>
                  </w:tcPr>
                  <w:p w14:paraId="288CCD81" w14:textId="77777777" w:rsidR="00830E72" w:rsidRDefault="00830E72">
                    <w:pPr>
                      <w:jc w:val="right"/>
                      <w:rPr>
                        <w:sz w:val="15"/>
                        <w:szCs w:val="15"/>
                      </w:rPr>
                    </w:pPr>
                  </w:p>
                </w:tc>
                <w:tc>
                  <w:tcPr>
                    <w:tcW w:w="85" w:type="pct"/>
                  </w:tcPr>
                  <w:p w14:paraId="3CB48BE8" w14:textId="77777777" w:rsidR="00830E72" w:rsidRDefault="00830E72">
                    <w:pPr>
                      <w:jc w:val="right"/>
                      <w:rPr>
                        <w:sz w:val="15"/>
                        <w:szCs w:val="15"/>
                      </w:rPr>
                    </w:pPr>
                  </w:p>
                </w:tc>
                <w:tc>
                  <w:tcPr>
                    <w:tcW w:w="89" w:type="pct"/>
                  </w:tcPr>
                  <w:p w14:paraId="7568060A" w14:textId="77777777" w:rsidR="00830E72" w:rsidRDefault="00830E72">
                    <w:pPr>
                      <w:jc w:val="right"/>
                      <w:rPr>
                        <w:sz w:val="15"/>
                        <w:szCs w:val="15"/>
                      </w:rPr>
                    </w:pPr>
                  </w:p>
                </w:tc>
                <w:tc>
                  <w:tcPr>
                    <w:tcW w:w="101" w:type="pct"/>
                  </w:tcPr>
                  <w:p w14:paraId="32BCA7C4" w14:textId="77777777" w:rsidR="00830E72" w:rsidRDefault="00830E72">
                    <w:pPr>
                      <w:jc w:val="right"/>
                      <w:rPr>
                        <w:sz w:val="15"/>
                        <w:szCs w:val="15"/>
                      </w:rPr>
                    </w:pPr>
                  </w:p>
                </w:tc>
                <w:tc>
                  <w:tcPr>
                    <w:tcW w:w="459" w:type="pct"/>
                  </w:tcPr>
                  <w:p w14:paraId="0A7CE70B" w14:textId="77777777" w:rsidR="00830E72" w:rsidRDefault="00830E72">
                    <w:pPr>
                      <w:jc w:val="right"/>
                      <w:rPr>
                        <w:sz w:val="15"/>
                        <w:szCs w:val="15"/>
                      </w:rPr>
                    </w:pPr>
                  </w:p>
                </w:tc>
                <w:tc>
                  <w:tcPr>
                    <w:tcW w:w="103" w:type="pct"/>
                  </w:tcPr>
                  <w:p w14:paraId="74B8467E" w14:textId="77777777" w:rsidR="00830E72" w:rsidRDefault="00830E72">
                    <w:pPr>
                      <w:jc w:val="right"/>
                      <w:rPr>
                        <w:sz w:val="15"/>
                        <w:szCs w:val="15"/>
                      </w:rPr>
                    </w:pPr>
                  </w:p>
                </w:tc>
                <w:tc>
                  <w:tcPr>
                    <w:tcW w:w="153" w:type="pct"/>
                  </w:tcPr>
                  <w:p w14:paraId="5C754423" w14:textId="77777777" w:rsidR="00830E72" w:rsidRDefault="00830E72">
                    <w:pPr>
                      <w:jc w:val="right"/>
                      <w:rPr>
                        <w:sz w:val="15"/>
                        <w:szCs w:val="15"/>
                      </w:rPr>
                    </w:pPr>
                  </w:p>
                </w:tc>
                <w:tc>
                  <w:tcPr>
                    <w:tcW w:w="459" w:type="pct"/>
                  </w:tcPr>
                  <w:p w14:paraId="19C3D001" w14:textId="77777777" w:rsidR="00830E72" w:rsidRDefault="008344D8">
                    <w:pPr>
                      <w:jc w:val="right"/>
                      <w:rPr>
                        <w:sz w:val="15"/>
                        <w:szCs w:val="15"/>
                      </w:rPr>
                    </w:pPr>
                    <w:r>
                      <w:rPr>
                        <w:sz w:val="15"/>
                        <w:szCs w:val="15"/>
                      </w:rPr>
                      <w:t>471,363.19</w:t>
                    </w:r>
                  </w:p>
                </w:tc>
                <w:tc>
                  <w:tcPr>
                    <w:tcW w:w="459" w:type="pct"/>
                  </w:tcPr>
                  <w:p w14:paraId="080F6F50" w14:textId="77777777" w:rsidR="00830E72" w:rsidRDefault="00830E72">
                    <w:pPr>
                      <w:jc w:val="right"/>
                      <w:rPr>
                        <w:sz w:val="15"/>
                        <w:szCs w:val="15"/>
                      </w:rPr>
                    </w:pPr>
                  </w:p>
                </w:tc>
                <w:tc>
                  <w:tcPr>
                    <w:tcW w:w="153" w:type="pct"/>
                  </w:tcPr>
                  <w:p w14:paraId="532E0556" w14:textId="77777777" w:rsidR="00830E72" w:rsidRDefault="00830E72">
                    <w:pPr>
                      <w:jc w:val="right"/>
                      <w:rPr>
                        <w:sz w:val="15"/>
                        <w:szCs w:val="15"/>
                      </w:rPr>
                    </w:pPr>
                  </w:p>
                </w:tc>
                <w:tc>
                  <w:tcPr>
                    <w:tcW w:w="459" w:type="pct"/>
                  </w:tcPr>
                  <w:p w14:paraId="278F93B4" w14:textId="77777777" w:rsidR="00830E72" w:rsidRDefault="00830E72">
                    <w:pPr>
                      <w:jc w:val="right"/>
                      <w:rPr>
                        <w:sz w:val="15"/>
                        <w:szCs w:val="15"/>
                      </w:rPr>
                    </w:pPr>
                  </w:p>
                </w:tc>
                <w:tc>
                  <w:tcPr>
                    <w:tcW w:w="103" w:type="pct"/>
                  </w:tcPr>
                  <w:p w14:paraId="4A22239A" w14:textId="77777777" w:rsidR="00830E72" w:rsidRDefault="00830E72">
                    <w:pPr>
                      <w:jc w:val="right"/>
                      <w:rPr>
                        <w:sz w:val="15"/>
                        <w:szCs w:val="15"/>
                      </w:rPr>
                    </w:pPr>
                  </w:p>
                </w:tc>
                <w:tc>
                  <w:tcPr>
                    <w:tcW w:w="561" w:type="pct"/>
                  </w:tcPr>
                  <w:p w14:paraId="1ABCA22A" w14:textId="77777777" w:rsidR="00830E72" w:rsidRDefault="008344D8">
                    <w:pPr>
                      <w:jc w:val="right"/>
                      <w:rPr>
                        <w:sz w:val="15"/>
                        <w:szCs w:val="15"/>
                      </w:rPr>
                    </w:pPr>
                    <w:r>
                      <w:rPr>
                        <w:sz w:val="15"/>
                        <w:szCs w:val="15"/>
                      </w:rPr>
                      <w:t>471,363.19</w:t>
                    </w:r>
                  </w:p>
                </w:tc>
                <w:tc>
                  <w:tcPr>
                    <w:tcW w:w="511" w:type="pct"/>
                  </w:tcPr>
                  <w:p w14:paraId="51A5E938" w14:textId="77777777" w:rsidR="00830E72" w:rsidRDefault="00830E72">
                    <w:pPr>
                      <w:jc w:val="right"/>
                      <w:rPr>
                        <w:sz w:val="15"/>
                        <w:szCs w:val="15"/>
                      </w:rPr>
                    </w:pPr>
                  </w:p>
                </w:tc>
                <w:tc>
                  <w:tcPr>
                    <w:tcW w:w="562" w:type="pct"/>
                  </w:tcPr>
                  <w:p w14:paraId="64F0D984" w14:textId="77777777" w:rsidR="00830E72" w:rsidRDefault="008344D8">
                    <w:pPr>
                      <w:jc w:val="right"/>
                      <w:rPr>
                        <w:sz w:val="15"/>
                        <w:szCs w:val="15"/>
                      </w:rPr>
                    </w:pPr>
                    <w:r>
                      <w:rPr>
                        <w:sz w:val="15"/>
                        <w:szCs w:val="15"/>
                      </w:rPr>
                      <w:t>471,363.19</w:t>
                    </w:r>
                  </w:p>
                </w:tc>
              </w:tr>
              <w:tr w:rsidR="00830E72" w14:paraId="072423F8" w14:textId="77777777">
                <w:sdt>
                  <w:sdtPr>
                    <w:tag w:val="_PLD_672c666008dd4adfa2ab5933e9cd1671"/>
                    <w:id w:val="-2033486136"/>
                    <w:lock w:val="sdtLocked"/>
                  </w:sdtPr>
                  <w:sdtEndPr/>
                  <w:sdtContent>
                    <w:tc>
                      <w:tcPr>
                        <w:tcW w:w="254" w:type="pct"/>
                      </w:tcPr>
                      <w:p w14:paraId="484643E1" w14:textId="77777777" w:rsidR="00830E72" w:rsidRDefault="008344D8">
                        <w:pPr>
                          <w:rPr>
                            <w:sz w:val="18"/>
                            <w:szCs w:val="18"/>
                          </w:rPr>
                        </w:pPr>
                        <w:r>
                          <w:rPr>
                            <w:rFonts w:hint="eastAsia"/>
                            <w:sz w:val="18"/>
                            <w:szCs w:val="18"/>
                          </w:rPr>
                          <w:t>1．本期提取</w:t>
                        </w:r>
                      </w:p>
                    </w:tc>
                  </w:sdtContent>
                </w:sdt>
                <w:tc>
                  <w:tcPr>
                    <w:tcW w:w="490" w:type="pct"/>
                  </w:tcPr>
                  <w:p w14:paraId="4AA6F95C" w14:textId="77777777" w:rsidR="00830E72" w:rsidRDefault="00830E72">
                    <w:pPr>
                      <w:jc w:val="right"/>
                      <w:rPr>
                        <w:sz w:val="15"/>
                        <w:szCs w:val="15"/>
                      </w:rPr>
                    </w:pPr>
                  </w:p>
                </w:tc>
                <w:tc>
                  <w:tcPr>
                    <w:tcW w:w="85" w:type="pct"/>
                  </w:tcPr>
                  <w:p w14:paraId="02B92A79" w14:textId="77777777" w:rsidR="00830E72" w:rsidRDefault="00830E72">
                    <w:pPr>
                      <w:jc w:val="right"/>
                      <w:rPr>
                        <w:sz w:val="15"/>
                        <w:szCs w:val="15"/>
                      </w:rPr>
                    </w:pPr>
                  </w:p>
                </w:tc>
                <w:tc>
                  <w:tcPr>
                    <w:tcW w:w="89" w:type="pct"/>
                  </w:tcPr>
                  <w:p w14:paraId="149F1497" w14:textId="77777777" w:rsidR="00830E72" w:rsidRDefault="00830E72">
                    <w:pPr>
                      <w:jc w:val="right"/>
                      <w:rPr>
                        <w:sz w:val="15"/>
                        <w:szCs w:val="15"/>
                      </w:rPr>
                    </w:pPr>
                  </w:p>
                </w:tc>
                <w:tc>
                  <w:tcPr>
                    <w:tcW w:w="101" w:type="pct"/>
                  </w:tcPr>
                  <w:p w14:paraId="35E593EA" w14:textId="77777777" w:rsidR="00830E72" w:rsidRDefault="00830E72">
                    <w:pPr>
                      <w:jc w:val="right"/>
                      <w:rPr>
                        <w:sz w:val="15"/>
                        <w:szCs w:val="15"/>
                      </w:rPr>
                    </w:pPr>
                  </w:p>
                </w:tc>
                <w:tc>
                  <w:tcPr>
                    <w:tcW w:w="459" w:type="pct"/>
                  </w:tcPr>
                  <w:p w14:paraId="4368452F" w14:textId="77777777" w:rsidR="00830E72" w:rsidRDefault="00830E72">
                    <w:pPr>
                      <w:jc w:val="right"/>
                      <w:rPr>
                        <w:sz w:val="15"/>
                        <w:szCs w:val="15"/>
                      </w:rPr>
                    </w:pPr>
                  </w:p>
                </w:tc>
                <w:tc>
                  <w:tcPr>
                    <w:tcW w:w="103" w:type="pct"/>
                  </w:tcPr>
                  <w:p w14:paraId="1232F95D" w14:textId="77777777" w:rsidR="00830E72" w:rsidRDefault="00830E72">
                    <w:pPr>
                      <w:jc w:val="right"/>
                      <w:rPr>
                        <w:sz w:val="15"/>
                        <w:szCs w:val="15"/>
                      </w:rPr>
                    </w:pPr>
                  </w:p>
                </w:tc>
                <w:tc>
                  <w:tcPr>
                    <w:tcW w:w="153" w:type="pct"/>
                  </w:tcPr>
                  <w:p w14:paraId="48951DBB" w14:textId="77777777" w:rsidR="00830E72" w:rsidRDefault="00830E72">
                    <w:pPr>
                      <w:jc w:val="right"/>
                      <w:rPr>
                        <w:sz w:val="15"/>
                        <w:szCs w:val="15"/>
                      </w:rPr>
                    </w:pPr>
                  </w:p>
                </w:tc>
                <w:tc>
                  <w:tcPr>
                    <w:tcW w:w="459" w:type="pct"/>
                  </w:tcPr>
                  <w:p w14:paraId="1BA26A93" w14:textId="77777777" w:rsidR="00830E72" w:rsidRDefault="008344D8">
                    <w:pPr>
                      <w:jc w:val="right"/>
                      <w:rPr>
                        <w:sz w:val="15"/>
                        <w:szCs w:val="15"/>
                      </w:rPr>
                    </w:pPr>
                    <w:r>
                      <w:rPr>
                        <w:sz w:val="15"/>
                        <w:szCs w:val="15"/>
                      </w:rPr>
                      <w:t>28,407,888.61</w:t>
                    </w:r>
                  </w:p>
                </w:tc>
                <w:tc>
                  <w:tcPr>
                    <w:tcW w:w="459" w:type="pct"/>
                  </w:tcPr>
                  <w:p w14:paraId="40DF427F" w14:textId="77777777" w:rsidR="00830E72" w:rsidRDefault="00830E72">
                    <w:pPr>
                      <w:jc w:val="right"/>
                      <w:rPr>
                        <w:sz w:val="15"/>
                        <w:szCs w:val="15"/>
                      </w:rPr>
                    </w:pPr>
                  </w:p>
                </w:tc>
                <w:tc>
                  <w:tcPr>
                    <w:tcW w:w="153" w:type="pct"/>
                  </w:tcPr>
                  <w:p w14:paraId="5006EBB6" w14:textId="77777777" w:rsidR="00830E72" w:rsidRDefault="00830E72">
                    <w:pPr>
                      <w:jc w:val="right"/>
                      <w:rPr>
                        <w:sz w:val="15"/>
                        <w:szCs w:val="15"/>
                      </w:rPr>
                    </w:pPr>
                  </w:p>
                </w:tc>
                <w:tc>
                  <w:tcPr>
                    <w:tcW w:w="459" w:type="pct"/>
                  </w:tcPr>
                  <w:p w14:paraId="348D7C56" w14:textId="77777777" w:rsidR="00830E72" w:rsidRDefault="00830E72">
                    <w:pPr>
                      <w:jc w:val="right"/>
                      <w:rPr>
                        <w:sz w:val="15"/>
                        <w:szCs w:val="15"/>
                      </w:rPr>
                    </w:pPr>
                  </w:p>
                </w:tc>
                <w:tc>
                  <w:tcPr>
                    <w:tcW w:w="103" w:type="pct"/>
                  </w:tcPr>
                  <w:p w14:paraId="32E7B334" w14:textId="77777777" w:rsidR="00830E72" w:rsidRDefault="00830E72">
                    <w:pPr>
                      <w:jc w:val="right"/>
                      <w:rPr>
                        <w:sz w:val="15"/>
                        <w:szCs w:val="15"/>
                      </w:rPr>
                    </w:pPr>
                  </w:p>
                </w:tc>
                <w:tc>
                  <w:tcPr>
                    <w:tcW w:w="561" w:type="pct"/>
                  </w:tcPr>
                  <w:p w14:paraId="7DD2A20F" w14:textId="77777777" w:rsidR="00830E72" w:rsidRDefault="008344D8">
                    <w:pPr>
                      <w:jc w:val="right"/>
                      <w:rPr>
                        <w:sz w:val="15"/>
                        <w:szCs w:val="15"/>
                      </w:rPr>
                    </w:pPr>
                    <w:r>
                      <w:rPr>
                        <w:sz w:val="15"/>
                        <w:szCs w:val="15"/>
                      </w:rPr>
                      <w:t>28,407,888.61</w:t>
                    </w:r>
                  </w:p>
                </w:tc>
                <w:tc>
                  <w:tcPr>
                    <w:tcW w:w="511" w:type="pct"/>
                  </w:tcPr>
                  <w:p w14:paraId="14A0274B" w14:textId="77777777" w:rsidR="00830E72" w:rsidRDefault="00830E72">
                    <w:pPr>
                      <w:jc w:val="right"/>
                      <w:rPr>
                        <w:sz w:val="15"/>
                        <w:szCs w:val="15"/>
                      </w:rPr>
                    </w:pPr>
                  </w:p>
                </w:tc>
                <w:tc>
                  <w:tcPr>
                    <w:tcW w:w="562" w:type="pct"/>
                  </w:tcPr>
                  <w:p w14:paraId="5F1015E0" w14:textId="77777777" w:rsidR="00830E72" w:rsidRDefault="008344D8">
                    <w:pPr>
                      <w:jc w:val="right"/>
                      <w:rPr>
                        <w:sz w:val="15"/>
                        <w:szCs w:val="15"/>
                      </w:rPr>
                    </w:pPr>
                    <w:r>
                      <w:rPr>
                        <w:sz w:val="15"/>
                        <w:szCs w:val="15"/>
                      </w:rPr>
                      <w:t>28,407,888.61</w:t>
                    </w:r>
                  </w:p>
                </w:tc>
              </w:tr>
              <w:tr w:rsidR="00830E72" w14:paraId="16452EAC" w14:textId="77777777">
                <w:sdt>
                  <w:sdtPr>
                    <w:tag w:val="_PLD_810ec2533aac40f59079e8e8d20e52c3"/>
                    <w:id w:val="458461189"/>
                    <w:lock w:val="sdtLocked"/>
                  </w:sdtPr>
                  <w:sdtEndPr/>
                  <w:sdtContent>
                    <w:tc>
                      <w:tcPr>
                        <w:tcW w:w="254" w:type="pct"/>
                      </w:tcPr>
                      <w:p w14:paraId="1084A2A9" w14:textId="77777777" w:rsidR="00830E72" w:rsidRDefault="008344D8">
                        <w:pPr>
                          <w:rPr>
                            <w:sz w:val="18"/>
                            <w:szCs w:val="18"/>
                          </w:rPr>
                        </w:pPr>
                        <w:r>
                          <w:rPr>
                            <w:rFonts w:hint="eastAsia"/>
                            <w:sz w:val="18"/>
                            <w:szCs w:val="18"/>
                          </w:rPr>
                          <w:t>2．本</w:t>
                        </w:r>
                        <w:r>
                          <w:rPr>
                            <w:rFonts w:hint="eastAsia"/>
                            <w:sz w:val="18"/>
                            <w:szCs w:val="18"/>
                          </w:rPr>
                          <w:lastRenderedPageBreak/>
                          <w:t>期使用</w:t>
                        </w:r>
                      </w:p>
                    </w:tc>
                  </w:sdtContent>
                </w:sdt>
                <w:tc>
                  <w:tcPr>
                    <w:tcW w:w="490" w:type="pct"/>
                  </w:tcPr>
                  <w:p w14:paraId="4B60DE66" w14:textId="77777777" w:rsidR="00830E72" w:rsidRDefault="00830E72">
                    <w:pPr>
                      <w:jc w:val="right"/>
                      <w:rPr>
                        <w:sz w:val="15"/>
                        <w:szCs w:val="15"/>
                      </w:rPr>
                    </w:pPr>
                  </w:p>
                </w:tc>
                <w:tc>
                  <w:tcPr>
                    <w:tcW w:w="85" w:type="pct"/>
                  </w:tcPr>
                  <w:p w14:paraId="5E40C0F3" w14:textId="77777777" w:rsidR="00830E72" w:rsidRDefault="00830E72">
                    <w:pPr>
                      <w:jc w:val="right"/>
                      <w:rPr>
                        <w:sz w:val="15"/>
                        <w:szCs w:val="15"/>
                      </w:rPr>
                    </w:pPr>
                  </w:p>
                </w:tc>
                <w:tc>
                  <w:tcPr>
                    <w:tcW w:w="89" w:type="pct"/>
                  </w:tcPr>
                  <w:p w14:paraId="75371892" w14:textId="77777777" w:rsidR="00830E72" w:rsidRDefault="00830E72">
                    <w:pPr>
                      <w:jc w:val="right"/>
                      <w:rPr>
                        <w:sz w:val="15"/>
                        <w:szCs w:val="15"/>
                      </w:rPr>
                    </w:pPr>
                  </w:p>
                </w:tc>
                <w:tc>
                  <w:tcPr>
                    <w:tcW w:w="101" w:type="pct"/>
                  </w:tcPr>
                  <w:p w14:paraId="5DB68143" w14:textId="77777777" w:rsidR="00830E72" w:rsidRDefault="00830E72">
                    <w:pPr>
                      <w:jc w:val="right"/>
                      <w:rPr>
                        <w:sz w:val="15"/>
                        <w:szCs w:val="15"/>
                      </w:rPr>
                    </w:pPr>
                  </w:p>
                </w:tc>
                <w:tc>
                  <w:tcPr>
                    <w:tcW w:w="459" w:type="pct"/>
                  </w:tcPr>
                  <w:p w14:paraId="3D89DAA8" w14:textId="77777777" w:rsidR="00830E72" w:rsidRDefault="00830E72">
                    <w:pPr>
                      <w:jc w:val="right"/>
                      <w:rPr>
                        <w:sz w:val="15"/>
                        <w:szCs w:val="15"/>
                      </w:rPr>
                    </w:pPr>
                  </w:p>
                </w:tc>
                <w:tc>
                  <w:tcPr>
                    <w:tcW w:w="103" w:type="pct"/>
                  </w:tcPr>
                  <w:p w14:paraId="6C962769" w14:textId="77777777" w:rsidR="00830E72" w:rsidRDefault="00830E72">
                    <w:pPr>
                      <w:jc w:val="right"/>
                      <w:rPr>
                        <w:sz w:val="15"/>
                        <w:szCs w:val="15"/>
                      </w:rPr>
                    </w:pPr>
                  </w:p>
                </w:tc>
                <w:tc>
                  <w:tcPr>
                    <w:tcW w:w="153" w:type="pct"/>
                  </w:tcPr>
                  <w:p w14:paraId="5772D2D1" w14:textId="77777777" w:rsidR="00830E72" w:rsidRDefault="00830E72">
                    <w:pPr>
                      <w:jc w:val="right"/>
                      <w:rPr>
                        <w:sz w:val="15"/>
                        <w:szCs w:val="15"/>
                      </w:rPr>
                    </w:pPr>
                  </w:p>
                </w:tc>
                <w:tc>
                  <w:tcPr>
                    <w:tcW w:w="459" w:type="pct"/>
                  </w:tcPr>
                  <w:p w14:paraId="6B0E7683" w14:textId="77777777" w:rsidR="00830E72" w:rsidRDefault="008344D8">
                    <w:pPr>
                      <w:jc w:val="right"/>
                      <w:rPr>
                        <w:sz w:val="15"/>
                        <w:szCs w:val="15"/>
                      </w:rPr>
                    </w:pPr>
                    <w:r>
                      <w:rPr>
                        <w:sz w:val="15"/>
                        <w:szCs w:val="15"/>
                      </w:rPr>
                      <w:t>27,936,525.42</w:t>
                    </w:r>
                  </w:p>
                </w:tc>
                <w:tc>
                  <w:tcPr>
                    <w:tcW w:w="459" w:type="pct"/>
                  </w:tcPr>
                  <w:p w14:paraId="24E57095" w14:textId="77777777" w:rsidR="00830E72" w:rsidRDefault="00830E72">
                    <w:pPr>
                      <w:jc w:val="right"/>
                      <w:rPr>
                        <w:sz w:val="15"/>
                        <w:szCs w:val="15"/>
                      </w:rPr>
                    </w:pPr>
                  </w:p>
                </w:tc>
                <w:tc>
                  <w:tcPr>
                    <w:tcW w:w="153" w:type="pct"/>
                  </w:tcPr>
                  <w:p w14:paraId="111CDAAD" w14:textId="77777777" w:rsidR="00830E72" w:rsidRDefault="00830E72">
                    <w:pPr>
                      <w:jc w:val="right"/>
                      <w:rPr>
                        <w:sz w:val="15"/>
                        <w:szCs w:val="15"/>
                      </w:rPr>
                    </w:pPr>
                  </w:p>
                </w:tc>
                <w:tc>
                  <w:tcPr>
                    <w:tcW w:w="459" w:type="pct"/>
                  </w:tcPr>
                  <w:p w14:paraId="1AFDCA75" w14:textId="77777777" w:rsidR="00830E72" w:rsidRDefault="00830E72">
                    <w:pPr>
                      <w:jc w:val="right"/>
                      <w:rPr>
                        <w:sz w:val="15"/>
                        <w:szCs w:val="15"/>
                      </w:rPr>
                    </w:pPr>
                  </w:p>
                </w:tc>
                <w:tc>
                  <w:tcPr>
                    <w:tcW w:w="103" w:type="pct"/>
                  </w:tcPr>
                  <w:p w14:paraId="154CB968" w14:textId="77777777" w:rsidR="00830E72" w:rsidRDefault="00830E72">
                    <w:pPr>
                      <w:jc w:val="right"/>
                      <w:rPr>
                        <w:sz w:val="15"/>
                        <w:szCs w:val="15"/>
                      </w:rPr>
                    </w:pPr>
                  </w:p>
                </w:tc>
                <w:tc>
                  <w:tcPr>
                    <w:tcW w:w="561" w:type="pct"/>
                  </w:tcPr>
                  <w:p w14:paraId="3B718886" w14:textId="77777777" w:rsidR="00830E72" w:rsidRDefault="008344D8">
                    <w:pPr>
                      <w:jc w:val="right"/>
                      <w:rPr>
                        <w:sz w:val="15"/>
                        <w:szCs w:val="15"/>
                      </w:rPr>
                    </w:pPr>
                    <w:r>
                      <w:rPr>
                        <w:sz w:val="15"/>
                        <w:szCs w:val="15"/>
                      </w:rPr>
                      <w:t>27,936,525.42</w:t>
                    </w:r>
                  </w:p>
                </w:tc>
                <w:tc>
                  <w:tcPr>
                    <w:tcW w:w="511" w:type="pct"/>
                  </w:tcPr>
                  <w:p w14:paraId="0D8F49EF" w14:textId="77777777" w:rsidR="00830E72" w:rsidRDefault="00830E72">
                    <w:pPr>
                      <w:jc w:val="right"/>
                      <w:rPr>
                        <w:sz w:val="15"/>
                        <w:szCs w:val="15"/>
                      </w:rPr>
                    </w:pPr>
                  </w:p>
                </w:tc>
                <w:tc>
                  <w:tcPr>
                    <w:tcW w:w="562" w:type="pct"/>
                  </w:tcPr>
                  <w:p w14:paraId="4D1413B7" w14:textId="77777777" w:rsidR="00830E72" w:rsidRDefault="008344D8">
                    <w:pPr>
                      <w:jc w:val="right"/>
                      <w:rPr>
                        <w:sz w:val="15"/>
                        <w:szCs w:val="15"/>
                      </w:rPr>
                    </w:pPr>
                    <w:r>
                      <w:rPr>
                        <w:sz w:val="15"/>
                        <w:szCs w:val="15"/>
                      </w:rPr>
                      <w:t>27,936,525.42</w:t>
                    </w:r>
                  </w:p>
                </w:tc>
              </w:tr>
              <w:tr w:rsidR="00830E72" w14:paraId="6E091A81" w14:textId="77777777">
                <w:sdt>
                  <w:sdtPr>
                    <w:tag w:val="_PLD_f4bc69f9c7d34151a4b7a0d89088f0ee"/>
                    <w:id w:val="-1630622168"/>
                    <w:lock w:val="sdtLocked"/>
                  </w:sdtPr>
                  <w:sdtEndPr/>
                  <w:sdtContent>
                    <w:tc>
                      <w:tcPr>
                        <w:tcW w:w="254" w:type="pct"/>
                      </w:tcPr>
                      <w:p w14:paraId="771C3221" w14:textId="77777777" w:rsidR="00830E72" w:rsidRDefault="008344D8">
                        <w:pPr>
                          <w:rPr>
                            <w:sz w:val="18"/>
                            <w:szCs w:val="18"/>
                          </w:rPr>
                        </w:pPr>
                        <w:r>
                          <w:rPr>
                            <w:rFonts w:hint="eastAsia"/>
                            <w:sz w:val="18"/>
                            <w:szCs w:val="18"/>
                          </w:rPr>
                          <w:t>（六）其他</w:t>
                        </w:r>
                      </w:p>
                    </w:tc>
                  </w:sdtContent>
                </w:sdt>
                <w:tc>
                  <w:tcPr>
                    <w:tcW w:w="490" w:type="pct"/>
                  </w:tcPr>
                  <w:p w14:paraId="0FBC1E4B" w14:textId="77777777" w:rsidR="00830E72" w:rsidRDefault="00830E72">
                    <w:pPr>
                      <w:jc w:val="right"/>
                      <w:rPr>
                        <w:sz w:val="15"/>
                        <w:szCs w:val="15"/>
                      </w:rPr>
                    </w:pPr>
                  </w:p>
                </w:tc>
                <w:tc>
                  <w:tcPr>
                    <w:tcW w:w="85" w:type="pct"/>
                  </w:tcPr>
                  <w:p w14:paraId="3EE2D1ED" w14:textId="77777777" w:rsidR="00830E72" w:rsidRDefault="00830E72">
                    <w:pPr>
                      <w:jc w:val="right"/>
                      <w:rPr>
                        <w:sz w:val="15"/>
                        <w:szCs w:val="15"/>
                      </w:rPr>
                    </w:pPr>
                  </w:p>
                </w:tc>
                <w:tc>
                  <w:tcPr>
                    <w:tcW w:w="89" w:type="pct"/>
                  </w:tcPr>
                  <w:p w14:paraId="1E9C5128" w14:textId="77777777" w:rsidR="00830E72" w:rsidRDefault="00830E72">
                    <w:pPr>
                      <w:jc w:val="right"/>
                      <w:rPr>
                        <w:sz w:val="15"/>
                        <w:szCs w:val="15"/>
                      </w:rPr>
                    </w:pPr>
                  </w:p>
                </w:tc>
                <w:tc>
                  <w:tcPr>
                    <w:tcW w:w="101" w:type="pct"/>
                  </w:tcPr>
                  <w:p w14:paraId="6DE2401F" w14:textId="77777777" w:rsidR="00830E72" w:rsidRDefault="00830E72">
                    <w:pPr>
                      <w:jc w:val="right"/>
                      <w:rPr>
                        <w:sz w:val="15"/>
                        <w:szCs w:val="15"/>
                      </w:rPr>
                    </w:pPr>
                  </w:p>
                </w:tc>
                <w:tc>
                  <w:tcPr>
                    <w:tcW w:w="459" w:type="pct"/>
                  </w:tcPr>
                  <w:p w14:paraId="1BC2E83D" w14:textId="77777777" w:rsidR="00830E72" w:rsidRDefault="00830E72">
                    <w:pPr>
                      <w:jc w:val="right"/>
                      <w:rPr>
                        <w:sz w:val="15"/>
                        <w:szCs w:val="15"/>
                      </w:rPr>
                    </w:pPr>
                  </w:p>
                </w:tc>
                <w:tc>
                  <w:tcPr>
                    <w:tcW w:w="103" w:type="pct"/>
                  </w:tcPr>
                  <w:p w14:paraId="1F54331F" w14:textId="77777777" w:rsidR="00830E72" w:rsidRDefault="00830E72">
                    <w:pPr>
                      <w:jc w:val="right"/>
                      <w:rPr>
                        <w:sz w:val="15"/>
                        <w:szCs w:val="15"/>
                      </w:rPr>
                    </w:pPr>
                  </w:p>
                </w:tc>
                <w:tc>
                  <w:tcPr>
                    <w:tcW w:w="153" w:type="pct"/>
                  </w:tcPr>
                  <w:p w14:paraId="7C39E042" w14:textId="77777777" w:rsidR="00830E72" w:rsidRDefault="00830E72">
                    <w:pPr>
                      <w:jc w:val="right"/>
                      <w:rPr>
                        <w:sz w:val="15"/>
                        <w:szCs w:val="15"/>
                      </w:rPr>
                    </w:pPr>
                  </w:p>
                </w:tc>
                <w:tc>
                  <w:tcPr>
                    <w:tcW w:w="459" w:type="pct"/>
                  </w:tcPr>
                  <w:p w14:paraId="535D466D" w14:textId="77777777" w:rsidR="00830E72" w:rsidRDefault="00830E72">
                    <w:pPr>
                      <w:jc w:val="right"/>
                      <w:rPr>
                        <w:sz w:val="15"/>
                        <w:szCs w:val="15"/>
                      </w:rPr>
                    </w:pPr>
                  </w:p>
                </w:tc>
                <w:tc>
                  <w:tcPr>
                    <w:tcW w:w="459" w:type="pct"/>
                  </w:tcPr>
                  <w:p w14:paraId="3C63A694" w14:textId="77777777" w:rsidR="00830E72" w:rsidRDefault="00830E72">
                    <w:pPr>
                      <w:jc w:val="right"/>
                      <w:rPr>
                        <w:sz w:val="15"/>
                        <w:szCs w:val="15"/>
                      </w:rPr>
                    </w:pPr>
                  </w:p>
                </w:tc>
                <w:tc>
                  <w:tcPr>
                    <w:tcW w:w="153" w:type="pct"/>
                  </w:tcPr>
                  <w:p w14:paraId="55FA5395" w14:textId="77777777" w:rsidR="00830E72" w:rsidRDefault="00830E72">
                    <w:pPr>
                      <w:jc w:val="right"/>
                      <w:rPr>
                        <w:sz w:val="15"/>
                        <w:szCs w:val="15"/>
                      </w:rPr>
                    </w:pPr>
                  </w:p>
                </w:tc>
                <w:tc>
                  <w:tcPr>
                    <w:tcW w:w="459" w:type="pct"/>
                  </w:tcPr>
                  <w:p w14:paraId="7F655078" w14:textId="77777777" w:rsidR="00830E72" w:rsidRDefault="00830E72">
                    <w:pPr>
                      <w:jc w:val="right"/>
                      <w:rPr>
                        <w:sz w:val="15"/>
                        <w:szCs w:val="15"/>
                      </w:rPr>
                    </w:pPr>
                  </w:p>
                </w:tc>
                <w:tc>
                  <w:tcPr>
                    <w:tcW w:w="103" w:type="pct"/>
                  </w:tcPr>
                  <w:p w14:paraId="6CCD0786" w14:textId="77777777" w:rsidR="00830E72" w:rsidRDefault="00830E72">
                    <w:pPr>
                      <w:jc w:val="right"/>
                      <w:rPr>
                        <w:sz w:val="15"/>
                        <w:szCs w:val="15"/>
                      </w:rPr>
                    </w:pPr>
                  </w:p>
                </w:tc>
                <w:tc>
                  <w:tcPr>
                    <w:tcW w:w="561" w:type="pct"/>
                  </w:tcPr>
                  <w:p w14:paraId="10A68A4E" w14:textId="77777777" w:rsidR="00830E72" w:rsidRDefault="00830E72">
                    <w:pPr>
                      <w:jc w:val="right"/>
                      <w:rPr>
                        <w:sz w:val="15"/>
                        <w:szCs w:val="15"/>
                      </w:rPr>
                    </w:pPr>
                  </w:p>
                </w:tc>
                <w:tc>
                  <w:tcPr>
                    <w:tcW w:w="511" w:type="pct"/>
                  </w:tcPr>
                  <w:p w14:paraId="60149818" w14:textId="77777777" w:rsidR="00830E72" w:rsidRDefault="00830E72">
                    <w:pPr>
                      <w:jc w:val="right"/>
                      <w:rPr>
                        <w:sz w:val="15"/>
                        <w:szCs w:val="15"/>
                      </w:rPr>
                    </w:pPr>
                  </w:p>
                </w:tc>
                <w:tc>
                  <w:tcPr>
                    <w:tcW w:w="562" w:type="pct"/>
                  </w:tcPr>
                  <w:p w14:paraId="111BAEAF" w14:textId="77777777" w:rsidR="00830E72" w:rsidRDefault="00830E72">
                    <w:pPr>
                      <w:jc w:val="right"/>
                      <w:rPr>
                        <w:sz w:val="15"/>
                        <w:szCs w:val="15"/>
                      </w:rPr>
                    </w:pPr>
                  </w:p>
                </w:tc>
              </w:tr>
              <w:tr w:rsidR="00830E72" w14:paraId="11FAF05D" w14:textId="77777777">
                <w:sdt>
                  <w:sdtPr>
                    <w:tag w:val="_PLD_033ca7ec3c1d4c1b905d0af57ca8a614"/>
                    <w:id w:val="-406302967"/>
                    <w:lock w:val="sdtLocked"/>
                  </w:sdtPr>
                  <w:sdtEndPr/>
                  <w:sdtContent>
                    <w:tc>
                      <w:tcPr>
                        <w:tcW w:w="254" w:type="pct"/>
                      </w:tcPr>
                      <w:p w14:paraId="6E4ACA23" w14:textId="77777777" w:rsidR="00830E72" w:rsidRDefault="008344D8">
                        <w:pPr>
                          <w:rPr>
                            <w:sz w:val="18"/>
                            <w:szCs w:val="18"/>
                          </w:rPr>
                        </w:pPr>
                        <w:r>
                          <w:rPr>
                            <w:sz w:val="18"/>
                            <w:szCs w:val="18"/>
                          </w:rPr>
                          <w:t>四、本期期末余额</w:t>
                        </w:r>
                      </w:p>
                    </w:tc>
                  </w:sdtContent>
                </w:sdt>
                <w:tc>
                  <w:tcPr>
                    <w:tcW w:w="490" w:type="pct"/>
                  </w:tcPr>
                  <w:p w14:paraId="4639838C" w14:textId="77777777" w:rsidR="00830E72" w:rsidRDefault="008344D8">
                    <w:pPr>
                      <w:jc w:val="center"/>
                      <w:rPr>
                        <w:sz w:val="15"/>
                        <w:szCs w:val="15"/>
                      </w:rPr>
                    </w:pPr>
                    <w:r>
                      <w:rPr>
                        <w:sz w:val="15"/>
                        <w:szCs w:val="15"/>
                      </w:rPr>
                      <w:t>618,924,235.00</w:t>
                    </w:r>
                  </w:p>
                </w:tc>
                <w:tc>
                  <w:tcPr>
                    <w:tcW w:w="85" w:type="pct"/>
                  </w:tcPr>
                  <w:p w14:paraId="27785BD1" w14:textId="77777777" w:rsidR="00830E72" w:rsidRDefault="00830E72">
                    <w:pPr>
                      <w:jc w:val="right"/>
                      <w:rPr>
                        <w:sz w:val="15"/>
                        <w:szCs w:val="15"/>
                      </w:rPr>
                    </w:pPr>
                  </w:p>
                </w:tc>
                <w:tc>
                  <w:tcPr>
                    <w:tcW w:w="89" w:type="pct"/>
                  </w:tcPr>
                  <w:p w14:paraId="4F671F1E" w14:textId="77777777" w:rsidR="00830E72" w:rsidRDefault="00830E72">
                    <w:pPr>
                      <w:jc w:val="right"/>
                      <w:rPr>
                        <w:sz w:val="15"/>
                        <w:szCs w:val="15"/>
                      </w:rPr>
                    </w:pPr>
                  </w:p>
                </w:tc>
                <w:tc>
                  <w:tcPr>
                    <w:tcW w:w="101" w:type="pct"/>
                  </w:tcPr>
                  <w:p w14:paraId="42219299" w14:textId="77777777" w:rsidR="00830E72" w:rsidRDefault="00830E72">
                    <w:pPr>
                      <w:jc w:val="right"/>
                      <w:rPr>
                        <w:sz w:val="15"/>
                        <w:szCs w:val="15"/>
                      </w:rPr>
                    </w:pPr>
                  </w:p>
                </w:tc>
                <w:tc>
                  <w:tcPr>
                    <w:tcW w:w="459" w:type="pct"/>
                  </w:tcPr>
                  <w:p w14:paraId="1D01C31D" w14:textId="77777777" w:rsidR="00830E72" w:rsidRDefault="008344D8">
                    <w:pPr>
                      <w:jc w:val="right"/>
                      <w:rPr>
                        <w:sz w:val="15"/>
                        <w:szCs w:val="15"/>
                      </w:rPr>
                    </w:pPr>
                    <w:r>
                      <w:rPr>
                        <w:sz w:val="15"/>
                        <w:szCs w:val="15"/>
                      </w:rPr>
                      <w:t>951,323,345.38</w:t>
                    </w:r>
                  </w:p>
                </w:tc>
                <w:tc>
                  <w:tcPr>
                    <w:tcW w:w="103" w:type="pct"/>
                  </w:tcPr>
                  <w:p w14:paraId="67A6E69B" w14:textId="77777777" w:rsidR="00830E72" w:rsidRDefault="00830E72">
                    <w:pPr>
                      <w:jc w:val="right"/>
                      <w:rPr>
                        <w:sz w:val="15"/>
                        <w:szCs w:val="15"/>
                      </w:rPr>
                    </w:pPr>
                  </w:p>
                </w:tc>
                <w:tc>
                  <w:tcPr>
                    <w:tcW w:w="153" w:type="pct"/>
                  </w:tcPr>
                  <w:p w14:paraId="08E9B58F" w14:textId="77777777" w:rsidR="00830E72" w:rsidRDefault="00830E72">
                    <w:pPr>
                      <w:jc w:val="right"/>
                      <w:rPr>
                        <w:sz w:val="15"/>
                        <w:szCs w:val="15"/>
                      </w:rPr>
                    </w:pPr>
                  </w:p>
                </w:tc>
                <w:tc>
                  <w:tcPr>
                    <w:tcW w:w="459" w:type="pct"/>
                  </w:tcPr>
                  <w:p w14:paraId="08E6DBFC" w14:textId="77777777" w:rsidR="00830E72" w:rsidRDefault="008344D8">
                    <w:pPr>
                      <w:jc w:val="right"/>
                      <w:rPr>
                        <w:sz w:val="15"/>
                        <w:szCs w:val="15"/>
                      </w:rPr>
                    </w:pPr>
                    <w:r>
                      <w:rPr>
                        <w:sz w:val="15"/>
                        <w:szCs w:val="15"/>
                      </w:rPr>
                      <w:t>15,908,148.00</w:t>
                    </w:r>
                  </w:p>
                </w:tc>
                <w:tc>
                  <w:tcPr>
                    <w:tcW w:w="459" w:type="pct"/>
                  </w:tcPr>
                  <w:p w14:paraId="1B920C65" w14:textId="77777777" w:rsidR="00830E72" w:rsidRDefault="008344D8">
                    <w:pPr>
                      <w:jc w:val="right"/>
                      <w:rPr>
                        <w:sz w:val="15"/>
                        <w:szCs w:val="15"/>
                      </w:rPr>
                    </w:pPr>
                    <w:r>
                      <w:rPr>
                        <w:sz w:val="15"/>
                        <w:szCs w:val="15"/>
                      </w:rPr>
                      <w:t>44,344,922.59</w:t>
                    </w:r>
                  </w:p>
                </w:tc>
                <w:tc>
                  <w:tcPr>
                    <w:tcW w:w="153" w:type="pct"/>
                  </w:tcPr>
                  <w:p w14:paraId="4CF23ADC" w14:textId="77777777" w:rsidR="00830E72" w:rsidRDefault="00830E72">
                    <w:pPr>
                      <w:jc w:val="right"/>
                      <w:rPr>
                        <w:sz w:val="15"/>
                        <w:szCs w:val="15"/>
                      </w:rPr>
                    </w:pPr>
                  </w:p>
                </w:tc>
                <w:tc>
                  <w:tcPr>
                    <w:tcW w:w="459" w:type="pct"/>
                  </w:tcPr>
                  <w:p w14:paraId="03C8DE4C" w14:textId="77777777" w:rsidR="00830E72" w:rsidRDefault="008344D8">
                    <w:pPr>
                      <w:jc w:val="right"/>
                      <w:rPr>
                        <w:sz w:val="15"/>
                        <w:szCs w:val="15"/>
                      </w:rPr>
                    </w:pPr>
                    <w:r>
                      <w:rPr>
                        <w:sz w:val="15"/>
                        <w:szCs w:val="15"/>
                      </w:rPr>
                      <w:t>377,602,361.07</w:t>
                    </w:r>
                  </w:p>
                </w:tc>
                <w:tc>
                  <w:tcPr>
                    <w:tcW w:w="103" w:type="pct"/>
                  </w:tcPr>
                  <w:p w14:paraId="4C04AAF4" w14:textId="77777777" w:rsidR="00830E72" w:rsidRDefault="00830E72">
                    <w:pPr>
                      <w:jc w:val="right"/>
                      <w:rPr>
                        <w:sz w:val="15"/>
                        <w:szCs w:val="15"/>
                      </w:rPr>
                    </w:pPr>
                  </w:p>
                </w:tc>
                <w:tc>
                  <w:tcPr>
                    <w:tcW w:w="561" w:type="pct"/>
                  </w:tcPr>
                  <w:p w14:paraId="6A1F25F5" w14:textId="77777777" w:rsidR="00830E72" w:rsidRDefault="008344D8">
                    <w:pPr>
                      <w:jc w:val="right"/>
                      <w:rPr>
                        <w:sz w:val="15"/>
                        <w:szCs w:val="15"/>
                      </w:rPr>
                    </w:pPr>
                    <w:r>
                      <w:rPr>
                        <w:sz w:val="15"/>
                        <w:szCs w:val="15"/>
                      </w:rPr>
                      <w:t>2,008,103,012.04</w:t>
                    </w:r>
                  </w:p>
                </w:tc>
                <w:tc>
                  <w:tcPr>
                    <w:tcW w:w="511" w:type="pct"/>
                  </w:tcPr>
                  <w:p w14:paraId="4800279B" w14:textId="77777777" w:rsidR="00830E72" w:rsidRDefault="008344D8">
                    <w:pPr>
                      <w:jc w:val="right"/>
                      <w:rPr>
                        <w:sz w:val="15"/>
                        <w:szCs w:val="15"/>
                      </w:rPr>
                    </w:pPr>
                    <w:r>
                      <w:rPr>
                        <w:sz w:val="15"/>
                        <w:szCs w:val="15"/>
                      </w:rPr>
                      <w:t>62,075,482.97</w:t>
                    </w:r>
                  </w:p>
                </w:tc>
                <w:tc>
                  <w:tcPr>
                    <w:tcW w:w="562" w:type="pct"/>
                  </w:tcPr>
                  <w:p w14:paraId="48FC4BF6" w14:textId="77777777" w:rsidR="00830E72" w:rsidRDefault="008344D8">
                    <w:pPr>
                      <w:jc w:val="right"/>
                      <w:rPr>
                        <w:sz w:val="15"/>
                        <w:szCs w:val="15"/>
                      </w:rPr>
                    </w:pPr>
                    <w:r>
                      <w:rPr>
                        <w:sz w:val="15"/>
                        <w:szCs w:val="15"/>
                      </w:rPr>
                      <w:t>2,070,178,495.01</w:t>
                    </w:r>
                  </w:p>
                </w:tc>
              </w:tr>
            </w:tbl>
            <w:p w14:paraId="62E3EB03" w14:textId="77777777" w:rsidR="00830E72" w:rsidRDefault="00830E72">
              <w:pPr>
                <w:snapToGrid w:val="0"/>
                <w:spacing w:line="240" w:lineRule="atLeast"/>
                <w:ind w:rightChars="-759" w:right="-1594"/>
                <w:rPr>
                  <w:szCs w:val="21"/>
                </w:rPr>
              </w:pPr>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1305"/>
                <w:gridCol w:w="375"/>
                <w:gridCol w:w="375"/>
                <w:gridCol w:w="231"/>
                <w:gridCol w:w="8"/>
                <w:gridCol w:w="1477"/>
                <w:gridCol w:w="242"/>
                <w:gridCol w:w="434"/>
                <w:gridCol w:w="1296"/>
                <w:gridCol w:w="1296"/>
                <w:gridCol w:w="287"/>
                <w:gridCol w:w="1488"/>
                <w:gridCol w:w="375"/>
                <w:gridCol w:w="1471"/>
                <w:gridCol w:w="1229"/>
                <w:gridCol w:w="1465"/>
              </w:tblGrid>
              <w:tr w:rsidR="00830E72" w14:paraId="1B650430" w14:textId="77777777">
                <w:trPr>
                  <w:cantSplit/>
                </w:trPr>
                <w:tc>
                  <w:tcPr>
                    <w:tcW w:w="261" w:type="pct"/>
                    <w:vMerge w:val="restart"/>
                    <w:vAlign w:val="center"/>
                  </w:tcPr>
                  <w:sdt>
                    <w:sdtPr>
                      <w:rPr>
                        <w:rFonts w:hint="eastAsia"/>
                        <w:sz w:val="18"/>
                        <w:szCs w:val="18"/>
                      </w:rPr>
                      <w:tag w:val="_PLD_20eb9c9dd1e14fb0a0790f87b63a489d"/>
                      <w:id w:val="1153646091"/>
                      <w:lock w:val="sdtLocked"/>
                    </w:sdtPr>
                    <w:sdtEndPr/>
                    <w:sdtContent>
                      <w:p w14:paraId="5CBBBA04" w14:textId="77777777" w:rsidR="00830E72" w:rsidRDefault="008344D8">
                        <w:pPr>
                          <w:snapToGrid w:val="0"/>
                          <w:spacing w:line="240" w:lineRule="atLeast"/>
                          <w:jc w:val="center"/>
                          <w:rPr>
                            <w:sz w:val="18"/>
                            <w:szCs w:val="18"/>
                          </w:rPr>
                        </w:pPr>
                        <w:r>
                          <w:rPr>
                            <w:rFonts w:hint="eastAsia"/>
                            <w:sz w:val="18"/>
                            <w:szCs w:val="18"/>
                          </w:rPr>
                          <w:t>项目</w:t>
                        </w:r>
                      </w:p>
                    </w:sdtContent>
                  </w:sdt>
                </w:tc>
                <w:tc>
                  <w:tcPr>
                    <w:tcW w:w="4739" w:type="pct"/>
                    <w:gridSpan w:val="16"/>
                  </w:tcPr>
                  <w:p w14:paraId="28DC02D2" w14:textId="77777777" w:rsidR="00830E72" w:rsidRDefault="008344D8">
                    <w:pPr>
                      <w:snapToGrid w:val="0"/>
                      <w:spacing w:line="240" w:lineRule="atLeast"/>
                      <w:jc w:val="center"/>
                    </w:pPr>
                    <w:r>
                      <w:rPr>
                        <w:rFonts w:hint="eastAsia"/>
                      </w:rPr>
                      <w:t xml:space="preserve"> </w:t>
                    </w:r>
                    <w:sdt>
                      <w:sdtPr>
                        <w:rPr>
                          <w:rFonts w:hint="eastAsia"/>
                        </w:rPr>
                        <w:tag w:val="_PLD_95c0e6e5f75a49daa1b601f67b7dd704"/>
                        <w:id w:val="1549564808"/>
                        <w:lock w:val="sdtLocked"/>
                      </w:sdtPr>
                      <w:sdtEndPr/>
                      <w:sdtContent>
                        <w:r>
                          <w:rPr>
                            <w:rFonts w:hint="eastAsia"/>
                            <w:sz w:val="18"/>
                            <w:szCs w:val="18"/>
                          </w:rPr>
                          <w:t>2020年半年度</w:t>
                        </w:r>
                      </w:sdtContent>
                    </w:sdt>
                  </w:p>
                </w:tc>
              </w:tr>
              <w:tr w:rsidR="00830E72" w14:paraId="13EC774B" w14:textId="77777777">
                <w:trPr>
                  <w:cantSplit/>
                  <w:trHeight w:val="471"/>
                </w:trPr>
                <w:tc>
                  <w:tcPr>
                    <w:tcW w:w="261" w:type="pct"/>
                    <w:vMerge/>
                  </w:tcPr>
                  <w:p w14:paraId="0D5E6D5F" w14:textId="77777777" w:rsidR="00830E72" w:rsidRDefault="00830E72">
                    <w:pPr>
                      <w:snapToGrid w:val="0"/>
                      <w:spacing w:line="240" w:lineRule="atLeast"/>
                      <w:ind w:rightChars="-759" w:right="-1594"/>
                      <w:rPr>
                        <w:sz w:val="18"/>
                        <w:szCs w:val="18"/>
                      </w:rPr>
                    </w:pPr>
                  </w:p>
                </w:tc>
                <w:sdt>
                  <w:sdtPr>
                    <w:tag w:val="_PLD_3c5d65171933469ea16eac46afc03a54"/>
                    <w:id w:val="34408273"/>
                    <w:lock w:val="sdtLocked"/>
                  </w:sdtPr>
                  <w:sdtEndPr/>
                  <w:sdtContent>
                    <w:tc>
                      <w:tcPr>
                        <w:tcW w:w="3783" w:type="pct"/>
                        <w:gridSpan w:val="14"/>
                        <w:vAlign w:val="center"/>
                      </w:tcPr>
                      <w:p w14:paraId="7A96975F" w14:textId="77777777" w:rsidR="00830E72" w:rsidRDefault="008344D8">
                        <w:pPr>
                          <w:jc w:val="center"/>
                        </w:pPr>
                        <w:r>
                          <w:rPr>
                            <w:sz w:val="18"/>
                            <w:szCs w:val="18"/>
                          </w:rPr>
                          <w:t>归属于母公司所有者权益</w:t>
                        </w:r>
                      </w:p>
                    </w:tc>
                  </w:sdtContent>
                </w:sdt>
                <w:sdt>
                  <w:sdtPr>
                    <w:tag w:val="_PLD_ba7b1c99b1634f48939c500d6c46ce09"/>
                    <w:id w:val="872269376"/>
                    <w:lock w:val="sdtLocked"/>
                  </w:sdtPr>
                  <w:sdtEndPr/>
                  <w:sdtContent>
                    <w:tc>
                      <w:tcPr>
                        <w:tcW w:w="436" w:type="pct"/>
                        <w:vMerge w:val="restart"/>
                        <w:vAlign w:val="center"/>
                      </w:tcPr>
                      <w:p w14:paraId="7E3A0ABF" w14:textId="77777777" w:rsidR="00830E72" w:rsidRDefault="008344D8">
                        <w:pPr>
                          <w:jc w:val="center"/>
                          <w:rPr>
                            <w:sz w:val="18"/>
                            <w:szCs w:val="18"/>
                          </w:rPr>
                        </w:pPr>
                        <w:r>
                          <w:rPr>
                            <w:sz w:val="18"/>
                            <w:szCs w:val="18"/>
                          </w:rPr>
                          <w:t>少数股东权益</w:t>
                        </w:r>
                      </w:p>
                    </w:tc>
                  </w:sdtContent>
                </w:sdt>
                <w:sdt>
                  <w:sdtPr>
                    <w:tag w:val="_PLD_fb367567c5f141a5863649df07435b71"/>
                    <w:id w:val="-672878458"/>
                    <w:lock w:val="sdtLocked"/>
                  </w:sdtPr>
                  <w:sdtEndPr/>
                  <w:sdtContent>
                    <w:tc>
                      <w:tcPr>
                        <w:tcW w:w="520" w:type="pct"/>
                        <w:vMerge w:val="restart"/>
                        <w:vAlign w:val="center"/>
                      </w:tcPr>
                      <w:p w14:paraId="13BB4FAE" w14:textId="77777777" w:rsidR="00830E72" w:rsidRDefault="008344D8">
                        <w:pPr>
                          <w:jc w:val="center"/>
                          <w:rPr>
                            <w:sz w:val="18"/>
                            <w:szCs w:val="18"/>
                          </w:rPr>
                        </w:pPr>
                        <w:r>
                          <w:rPr>
                            <w:sz w:val="18"/>
                            <w:szCs w:val="18"/>
                          </w:rPr>
                          <w:t>所有者权益合计</w:t>
                        </w:r>
                      </w:p>
                    </w:tc>
                  </w:sdtContent>
                </w:sdt>
              </w:tr>
              <w:tr w:rsidR="00830E72" w14:paraId="3159FCF5" w14:textId="77777777">
                <w:trPr>
                  <w:cantSplit/>
                  <w:trHeight w:val="383"/>
                </w:trPr>
                <w:tc>
                  <w:tcPr>
                    <w:tcW w:w="261" w:type="pct"/>
                    <w:vMerge/>
                  </w:tcPr>
                  <w:p w14:paraId="71A92ABF" w14:textId="77777777" w:rsidR="00830E72" w:rsidRDefault="00830E72">
                    <w:pPr>
                      <w:snapToGrid w:val="0"/>
                      <w:spacing w:line="240" w:lineRule="atLeast"/>
                      <w:ind w:rightChars="-759" w:right="-1594"/>
                      <w:rPr>
                        <w:sz w:val="18"/>
                        <w:szCs w:val="18"/>
                      </w:rPr>
                    </w:pPr>
                  </w:p>
                </w:tc>
                <w:sdt>
                  <w:sdtPr>
                    <w:tag w:val="_PLD_36b3a5c009c04b53b0bd25afc2596e7e"/>
                    <w:id w:val="-400137587"/>
                    <w:lock w:val="sdtLocked"/>
                  </w:sdtPr>
                  <w:sdtEndPr/>
                  <w:sdtContent>
                    <w:tc>
                      <w:tcPr>
                        <w:tcW w:w="463" w:type="pct"/>
                        <w:vMerge w:val="restart"/>
                        <w:vAlign w:val="center"/>
                      </w:tcPr>
                      <w:p w14:paraId="01D9CB90" w14:textId="77777777" w:rsidR="00830E72" w:rsidRDefault="008344D8">
                        <w:pPr>
                          <w:snapToGrid w:val="0"/>
                          <w:spacing w:line="240" w:lineRule="atLeast"/>
                          <w:jc w:val="center"/>
                          <w:rPr>
                            <w:sz w:val="18"/>
                            <w:szCs w:val="18"/>
                          </w:rPr>
                        </w:pPr>
                        <w:r>
                          <w:rPr>
                            <w:rFonts w:hint="eastAsia"/>
                            <w:sz w:val="18"/>
                            <w:szCs w:val="18"/>
                          </w:rPr>
                          <w:t>实收资本</w:t>
                        </w:r>
                        <w:r>
                          <w:rPr>
                            <w:sz w:val="18"/>
                            <w:szCs w:val="18"/>
                          </w:rPr>
                          <w:t>(或股本)</w:t>
                        </w:r>
                      </w:p>
                    </w:tc>
                  </w:sdtContent>
                </w:sdt>
                <w:sdt>
                  <w:sdtPr>
                    <w:tag w:val="_PLD_c0579a9940424a129a85d26955bb30bc"/>
                    <w:id w:val="-2112660082"/>
                    <w:lock w:val="sdtLocked"/>
                  </w:sdtPr>
                  <w:sdtEndPr/>
                  <w:sdtContent>
                    <w:tc>
                      <w:tcPr>
                        <w:tcW w:w="348" w:type="pct"/>
                        <w:gridSpan w:val="3"/>
                        <w:vAlign w:val="center"/>
                      </w:tcPr>
                      <w:p w14:paraId="1B6315A0" w14:textId="77777777" w:rsidR="00830E72" w:rsidRDefault="008344D8">
                        <w:pPr>
                          <w:snapToGrid w:val="0"/>
                          <w:spacing w:line="240" w:lineRule="atLeast"/>
                          <w:jc w:val="center"/>
                          <w:rPr>
                            <w:sz w:val="18"/>
                            <w:szCs w:val="18"/>
                          </w:rPr>
                        </w:pPr>
                        <w:r>
                          <w:rPr>
                            <w:rFonts w:hint="eastAsia"/>
                            <w:sz w:val="18"/>
                            <w:szCs w:val="18"/>
                          </w:rPr>
                          <w:t>其他权益工具</w:t>
                        </w:r>
                      </w:p>
                    </w:tc>
                  </w:sdtContent>
                </w:sdt>
                <w:sdt>
                  <w:sdtPr>
                    <w:tag w:val="_PLD_f728bf12d1d64c4fa04dfc828a7a0411"/>
                    <w:id w:val="-715043212"/>
                    <w:lock w:val="sdtLocked"/>
                  </w:sdtPr>
                  <w:sdtEndPr/>
                  <w:sdtContent>
                    <w:tc>
                      <w:tcPr>
                        <w:tcW w:w="527" w:type="pct"/>
                        <w:gridSpan w:val="2"/>
                        <w:vAlign w:val="center"/>
                      </w:tcPr>
                      <w:p w14:paraId="43416B73" w14:textId="77777777" w:rsidR="00830E72" w:rsidRDefault="008344D8">
                        <w:pPr>
                          <w:snapToGrid w:val="0"/>
                          <w:spacing w:line="240" w:lineRule="atLeast"/>
                          <w:jc w:val="center"/>
                          <w:rPr>
                            <w:sz w:val="18"/>
                            <w:szCs w:val="18"/>
                          </w:rPr>
                        </w:pPr>
                        <w:r>
                          <w:rPr>
                            <w:rFonts w:hint="eastAsia"/>
                            <w:sz w:val="18"/>
                            <w:szCs w:val="18"/>
                          </w:rPr>
                          <w:t>资本公积</w:t>
                        </w:r>
                      </w:p>
                    </w:tc>
                  </w:sdtContent>
                </w:sdt>
                <w:sdt>
                  <w:sdtPr>
                    <w:tag w:val="_PLD_8c191e0685ac4367b113504c484a11e9"/>
                    <w:id w:val="-1154301604"/>
                    <w:lock w:val="sdtLocked"/>
                  </w:sdtPr>
                  <w:sdtEndPr/>
                  <w:sdtContent>
                    <w:tc>
                      <w:tcPr>
                        <w:tcW w:w="86" w:type="pct"/>
                        <w:vMerge w:val="restart"/>
                        <w:vAlign w:val="center"/>
                      </w:tcPr>
                      <w:p w14:paraId="3FC400D4" w14:textId="77777777" w:rsidR="00830E72" w:rsidRDefault="008344D8">
                        <w:pPr>
                          <w:snapToGrid w:val="0"/>
                          <w:spacing w:line="240" w:lineRule="atLeast"/>
                          <w:jc w:val="center"/>
                          <w:rPr>
                            <w:sz w:val="18"/>
                            <w:szCs w:val="18"/>
                          </w:rPr>
                        </w:pPr>
                        <w:r>
                          <w:rPr>
                            <w:rFonts w:hint="eastAsia"/>
                            <w:sz w:val="18"/>
                            <w:szCs w:val="18"/>
                          </w:rPr>
                          <w:t>减：库存股</w:t>
                        </w:r>
                      </w:p>
                    </w:tc>
                  </w:sdtContent>
                </w:sdt>
                <w:sdt>
                  <w:sdtPr>
                    <w:tag w:val="_PLD_68ae3206209542ea8491f40d49bafeb7"/>
                    <w:id w:val="-37743903"/>
                    <w:lock w:val="sdtLocked"/>
                  </w:sdtPr>
                  <w:sdtEndPr/>
                  <w:sdtContent>
                    <w:tc>
                      <w:tcPr>
                        <w:tcW w:w="154" w:type="pct"/>
                        <w:vMerge w:val="restart"/>
                        <w:vAlign w:val="center"/>
                      </w:tcPr>
                      <w:p w14:paraId="5D60ADFD" w14:textId="77777777" w:rsidR="00830E72" w:rsidRDefault="008344D8">
                        <w:pPr>
                          <w:snapToGrid w:val="0"/>
                          <w:spacing w:line="240" w:lineRule="atLeast"/>
                          <w:jc w:val="center"/>
                          <w:rPr>
                            <w:sz w:val="18"/>
                            <w:szCs w:val="18"/>
                          </w:rPr>
                        </w:pPr>
                        <w:r>
                          <w:rPr>
                            <w:rFonts w:hint="eastAsia"/>
                            <w:sz w:val="18"/>
                            <w:szCs w:val="18"/>
                          </w:rPr>
                          <w:t>其他综合收益</w:t>
                        </w:r>
                      </w:p>
                    </w:tc>
                  </w:sdtContent>
                </w:sdt>
                <w:sdt>
                  <w:sdtPr>
                    <w:tag w:val="_PLD_6402f064d7a041d58973d8b8205096d0"/>
                    <w:id w:val="661049881"/>
                    <w:lock w:val="sdtLocked"/>
                  </w:sdtPr>
                  <w:sdtEndPr/>
                  <w:sdtContent>
                    <w:tc>
                      <w:tcPr>
                        <w:tcW w:w="460" w:type="pct"/>
                        <w:vMerge w:val="restart"/>
                        <w:vAlign w:val="center"/>
                      </w:tcPr>
                      <w:p w14:paraId="60FFAF1B" w14:textId="77777777" w:rsidR="00830E72" w:rsidRDefault="008344D8">
                        <w:pPr>
                          <w:snapToGrid w:val="0"/>
                          <w:spacing w:line="240" w:lineRule="atLeast"/>
                          <w:jc w:val="center"/>
                          <w:rPr>
                            <w:sz w:val="18"/>
                            <w:szCs w:val="18"/>
                          </w:rPr>
                        </w:pPr>
                        <w:r>
                          <w:rPr>
                            <w:rFonts w:hint="eastAsia"/>
                            <w:sz w:val="18"/>
                            <w:szCs w:val="18"/>
                          </w:rPr>
                          <w:t>专项储备</w:t>
                        </w:r>
                      </w:p>
                    </w:tc>
                  </w:sdtContent>
                </w:sdt>
                <w:sdt>
                  <w:sdtPr>
                    <w:tag w:val="_PLD_b1d22d8686164205bfa14ef647cebfcd"/>
                    <w:id w:val="-516077034"/>
                    <w:lock w:val="sdtLocked"/>
                  </w:sdtPr>
                  <w:sdtEndPr/>
                  <w:sdtContent>
                    <w:tc>
                      <w:tcPr>
                        <w:tcW w:w="460" w:type="pct"/>
                        <w:vMerge w:val="restart"/>
                        <w:vAlign w:val="center"/>
                      </w:tcPr>
                      <w:p w14:paraId="4BED83BD" w14:textId="77777777" w:rsidR="00830E72" w:rsidRDefault="008344D8">
                        <w:pPr>
                          <w:snapToGrid w:val="0"/>
                          <w:spacing w:line="240" w:lineRule="atLeast"/>
                          <w:jc w:val="center"/>
                          <w:rPr>
                            <w:sz w:val="18"/>
                            <w:szCs w:val="18"/>
                          </w:rPr>
                        </w:pPr>
                        <w:r>
                          <w:rPr>
                            <w:rFonts w:hint="eastAsia"/>
                            <w:sz w:val="18"/>
                            <w:szCs w:val="18"/>
                          </w:rPr>
                          <w:t>盈余公积</w:t>
                        </w:r>
                      </w:p>
                    </w:tc>
                  </w:sdtContent>
                </w:sdt>
                <w:sdt>
                  <w:sdtPr>
                    <w:tag w:val="_PLD_c5c57d0195b14864b413898a9c76e89d"/>
                    <w:id w:val="-354876223"/>
                    <w:lock w:val="sdtLocked"/>
                  </w:sdtPr>
                  <w:sdtEndPr/>
                  <w:sdtContent>
                    <w:tc>
                      <w:tcPr>
                        <w:tcW w:w="102" w:type="pct"/>
                        <w:vMerge w:val="restart"/>
                        <w:vAlign w:val="center"/>
                      </w:tcPr>
                      <w:p w14:paraId="71E3B6D5" w14:textId="77777777" w:rsidR="00830E72" w:rsidRDefault="008344D8">
                        <w:pPr>
                          <w:snapToGrid w:val="0"/>
                          <w:spacing w:line="240" w:lineRule="atLeast"/>
                          <w:jc w:val="center"/>
                          <w:rPr>
                            <w:sz w:val="18"/>
                            <w:szCs w:val="18"/>
                          </w:rPr>
                        </w:pPr>
                        <w:r>
                          <w:rPr>
                            <w:rFonts w:hint="eastAsia"/>
                            <w:sz w:val="18"/>
                            <w:szCs w:val="18"/>
                          </w:rPr>
                          <w:t>一般风险准备</w:t>
                        </w:r>
                      </w:p>
                    </w:tc>
                  </w:sdtContent>
                </w:sdt>
                <w:sdt>
                  <w:sdtPr>
                    <w:tag w:val="_PLD_c9bffd2027d24ca1955db036ad79f5ea"/>
                    <w:id w:val="-1161850031"/>
                    <w:lock w:val="sdtLocked"/>
                  </w:sdtPr>
                  <w:sdtEndPr/>
                  <w:sdtContent>
                    <w:tc>
                      <w:tcPr>
                        <w:tcW w:w="528" w:type="pct"/>
                        <w:vMerge w:val="restart"/>
                        <w:vAlign w:val="center"/>
                      </w:tcPr>
                      <w:p w14:paraId="47EA0D07" w14:textId="77777777" w:rsidR="00830E72" w:rsidRDefault="008344D8">
                        <w:pPr>
                          <w:snapToGrid w:val="0"/>
                          <w:spacing w:line="240" w:lineRule="atLeast"/>
                          <w:jc w:val="center"/>
                          <w:rPr>
                            <w:sz w:val="18"/>
                            <w:szCs w:val="18"/>
                          </w:rPr>
                        </w:pPr>
                        <w:r>
                          <w:rPr>
                            <w:rFonts w:hint="eastAsia"/>
                            <w:sz w:val="18"/>
                            <w:szCs w:val="18"/>
                          </w:rPr>
                          <w:t>未分配利润</w:t>
                        </w:r>
                      </w:p>
                    </w:tc>
                  </w:sdtContent>
                </w:sdt>
                <w:tc>
                  <w:tcPr>
                    <w:tcW w:w="133" w:type="pct"/>
                    <w:vMerge w:val="restart"/>
                    <w:vAlign w:val="center"/>
                  </w:tcPr>
                  <w:sdt>
                    <w:sdtPr>
                      <w:rPr>
                        <w:rFonts w:hint="eastAsia"/>
                        <w:sz w:val="18"/>
                        <w:szCs w:val="18"/>
                      </w:rPr>
                      <w:tag w:val="_PLD_de6da1e2128f48e49564e44af75ff7ab"/>
                      <w:id w:val="-807851002"/>
                      <w:lock w:val="sdtLocked"/>
                    </w:sdtPr>
                    <w:sdtEndPr/>
                    <w:sdtContent>
                      <w:sdt>
                        <w:sdtPr>
                          <w:rPr>
                            <w:rFonts w:hint="eastAsia"/>
                            <w:sz w:val="18"/>
                            <w:szCs w:val="18"/>
                          </w:rPr>
                          <w:tag w:val="_PLD_ff5e808cf3794086a9aee4c489a9f6eb"/>
                          <w:id w:val="843825537"/>
                          <w:lock w:val="sdtLocked"/>
                          <w:placeholder>
                            <w:docPart w:val="GBC11111111111111111111111111111"/>
                          </w:placeholder>
                        </w:sdtPr>
                        <w:sdtEndPr/>
                        <w:sdtContent>
                          <w:p w14:paraId="7902A4EC" w14:textId="77777777" w:rsidR="00830E72" w:rsidRDefault="008344D8">
                            <w:pPr>
                              <w:jc w:val="center"/>
                              <w:rPr>
                                <w:sz w:val="18"/>
                                <w:szCs w:val="18"/>
                              </w:rPr>
                            </w:pPr>
                            <w:r>
                              <w:rPr>
                                <w:rFonts w:hint="eastAsia"/>
                                <w:sz w:val="18"/>
                                <w:szCs w:val="18"/>
                              </w:rPr>
                              <w:t>其他</w:t>
                            </w:r>
                          </w:p>
                        </w:sdtContent>
                      </w:sdt>
                    </w:sdtContent>
                  </w:sdt>
                </w:tc>
                <w:tc>
                  <w:tcPr>
                    <w:tcW w:w="522" w:type="pct"/>
                    <w:vMerge w:val="restart"/>
                    <w:vAlign w:val="center"/>
                  </w:tcPr>
                  <w:sdt>
                    <w:sdtPr>
                      <w:rPr>
                        <w:rFonts w:hint="eastAsia"/>
                        <w:sz w:val="18"/>
                        <w:szCs w:val="18"/>
                      </w:rPr>
                      <w:tag w:val="_PLD_e6df9793a438430a8df9730b2cdd8a99"/>
                      <w:id w:val="961619954"/>
                      <w:lock w:val="sdtLocked"/>
                    </w:sdtPr>
                    <w:sdtEndPr/>
                    <w:sdtContent>
                      <w:p w14:paraId="757DFAB3" w14:textId="77777777" w:rsidR="00830E72" w:rsidRDefault="008344D8">
                        <w:pPr>
                          <w:jc w:val="center"/>
                          <w:rPr>
                            <w:sz w:val="18"/>
                            <w:szCs w:val="18"/>
                          </w:rPr>
                        </w:pPr>
                        <w:r>
                          <w:rPr>
                            <w:rFonts w:hint="eastAsia"/>
                            <w:sz w:val="18"/>
                            <w:szCs w:val="18"/>
                          </w:rPr>
                          <w:t>小计</w:t>
                        </w:r>
                      </w:p>
                    </w:sdtContent>
                  </w:sdt>
                </w:tc>
                <w:tc>
                  <w:tcPr>
                    <w:tcW w:w="436" w:type="pct"/>
                    <w:vMerge/>
                  </w:tcPr>
                  <w:p w14:paraId="7D07A6BA" w14:textId="77777777" w:rsidR="00830E72" w:rsidRDefault="00830E72">
                    <w:pPr>
                      <w:jc w:val="center"/>
                      <w:rPr>
                        <w:sz w:val="18"/>
                        <w:szCs w:val="18"/>
                      </w:rPr>
                    </w:pPr>
                  </w:p>
                </w:tc>
                <w:tc>
                  <w:tcPr>
                    <w:tcW w:w="520" w:type="pct"/>
                    <w:vMerge/>
                  </w:tcPr>
                  <w:p w14:paraId="29941798" w14:textId="77777777" w:rsidR="00830E72" w:rsidRDefault="00830E72">
                    <w:pPr>
                      <w:jc w:val="center"/>
                      <w:rPr>
                        <w:sz w:val="18"/>
                        <w:szCs w:val="18"/>
                      </w:rPr>
                    </w:pPr>
                  </w:p>
                </w:tc>
              </w:tr>
              <w:tr w:rsidR="00830E72" w14:paraId="0FEC9889" w14:textId="77777777">
                <w:trPr>
                  <w:cantSplit/>
                  <w:trHeight w:val="303"/>
                </w:trPr>
                <w:tc>
                  <w:tcPr>
                    <w:tcW w:w="261" w:type="pct"/>
                    <w:vMerge/>
                  </w:tcPr>
                  <w:p w14:paraId="644A1B91" w14:textId="77777777" w:rsidR="00830E72" w:rsidRDefault="00830E72">
                    <w:pPr>
                      <w:snapToGrid w:val="0"/>
                      <w:spacing w:line="240" w:lineRule="atLeast"/>
                      <w:ind w:rightChars="-759" w:right="-1594"/>
                      <w:rPr>
                        <w:sz w:val="18"/>
                        <w:szCs w:val="18"/>
                      </w:rPr>
                    </w:pPr>
                  </w:p>
                </w:tc>
                <w:tc>
                  <w:tcPr>
                    <w:tcW w:w="463" w:type="pct"/>
                    <w:vMerge/>
                  </w:tcPr>
                  <w:p w14:paraId="0A107E58" w14:textId="77777777" w:rsidR="00830E72" w:rsidRDefault="00830E72">
                    <w:pPr>
                      <w:snapToGrid w:val="0"/>
                      <w:spacing w:line="240" w:lineRule="atLeast"/>
                      <w:jc w:val="center"/>
                      <w:rPr>
                        <w:sz w:val="18"/>
                        <w:szCs w:val="18"/>
                      </w:rPr>
                    </w:pPr>
                  </w:p>
                </w:tc>
                <w:sdt>
                  <w:sdtPr>
                    <w:tag w:val="_PLD_052ae87eff474159aaedec0c5ce4bb50"/>
                    <w:id w:val="-196541383"/>
                    <w:lock w:val="sdtLocked"/>
                  </w:sdtPr>
                  <w:sdtEndPr/>
                  <w:sdtContent>
                    <w:tc>
                      <w:tcPr>
                        <w:tcW w:w="133" w:type="pct"/>
                        <w:vAlign w:val="center"/>
                      </w:tcPr>
                      <w:p w14:paraId="35CBA254" w14:textId="77777777" w:rsidR="00830E72" w:rsidRDefault="008344D8">
                        <w:pPr>
                          <w:jc w:val="center"/>
                          <w:rPr>
                            <w:sz w:val="18"/>
                            <w:szCs w:val="18"/>
                          </w:rPr>
                        </w:pPr>
                        <w:r>
                          <w:rPr>
                            <w:rFonts w:hint="eastAsia"/>
                            <w:sz w:val="18"/>
                            <w:szCs w:val="18"/>
                          </w:rPr>
                          <w:t>优先股</w:t>
                        </w:r>
                      </w:p>
                    </w:tc>
                  </w:sdtContent>
                </w:sdt>
                <w:sdt>
                  <w:sdtPr>
                    <w:tag w:val="_PLD_f40d311f528a48d8a47457e11ad5ccd5"/>
                    <w:id w:val="1335334491"/>
                    <w:lock w:val="sdtLocked"/>
                  </w:sdtPr>
                  <w:sdtEndPr/>
                  <w:sdtContent>
                    <w:tc>
                      <w:tcPr>
                        <w:tcW w:w="133" w:type="pct"/>
                        <w:vAlign w:val="center"/>
                      </w:tcPr>
                      <w:p w14:paraId="601F385F" w14:textId="77777777" w:rsidR="00830E72" w:rsidRDefault="008344D8">
                        <w:pPr>
                          <w:jc w:val="center"/>
                          <w:rPr>
                            <w:sz w:val="18"/>
                            <w:szCs w:val="18"/>
                          </w:rPr>
                        </w:pPr>
                        <w:r>
                          <w:rPr>
                            <w:rFonts w:hint="eastAsia"/>
                            <w:sz w:val="18"/>
                            <w:szCs w:val="18"/>
                          </w:rPr>
                          <w:t>永续债</w:t>
                        </w:r>
                      </w:p>
                    </w:tc>
                  </w:sdtContent>
                </w:sdt>
                <w:sdt>
                  <w:sdtPr>
                    <w:tag w:val="_PLD_90f98adf8eaf44078005d57f570c4291"/>
                    <w:id w:val="1182475379"/>
                    <w:lock w:val="sdtLocked"/>
                  </w:sdtPr>
                  <w:sdtEndPr/>
                  <w:sdtContent>
                    <w:tc>
                      <w:tcPr>
                        <w:tcW w:w="85" w:type="pct"/>
                        <w:gridSpan w:val="2"/>
                        <w:vAlign w:val="center"/>
                      </w:tcPr>
                      <w:p w14:paraId="28C275C5" w14:textId="77777777" w:rsidR="00830E72" w:rsidRDefault="008344D8">
                        <w:pPr>
                          <w:jc w:val="center"/>
                          <w:rPr>
                            <w:sz w:val="18"/>
                            <w:szCs w:val="18"/>
                          </w:rPr>
                        </w:pPr>
                        <w:r>
                          <w:rPr>
                            <w:rFonts w:hint="eastAsia"/>
                            <w:sz w:val="18"/>
                            <w:szCs w:val="18"/>
                          </w:rPr>
                          <w:t>其他</w:t>
                        </w:r>
                      </w:p>
                    </w:tc>
                  </w:sdtContent>
                </w:sdt>
                <w:tc>
                  <w:tcPr>
                    <w:tcW w:w="524" w:type="pct"/>
                  </w:tcPr>
                  <w:p w14:paraId="472CD790" w14:textId="77777777" w:rsidR="00830E72" w:rsidRDefault="00830E72">
                    <w:pPr>
                      <w:snapToGrid w:val="0"/>
                      <w:spacing w:line="240" w:lineRule="atLeast"/>
                      <w:jc w:val="center"/>
                      <w:rPr>
                        <w:sz w:val="18"/>
                        <w:szCs w:val="18"/>
                      </w:rPr>
                    </w:pPr>
                  </w:p>
                </w:tc>
                <w:tc>
                  <w:tcPr>
                    <w:tcW w:w="86" w:type="pct"/>
                    <w:vMerge/>
                  </w:tcPr>
                  <w:p w14:paraId="1E5696B7" w14:textId="77777777" w:rsidR="00830E72" w:rsidRDefault="00830E72">
                    <w:pPr>
                      <w:snapToGrid w:val="0"/>
                      <w:spacing w:line="240" w:lineRule="atLeast"/>
                      <w:jc w:val="center"/>
                      <w:rPr>
                        <w:sz w:val="18"/>
                        <w:szCs w:val="18"/>
                      </w:rPr>
                    </w:pPr>
                  </w:p>
                </w:tc>
                <w:tc>
                  <w:tcPr>
                    <w:tcW w:w="154" w:type="pct"/>
                    <w:vMerge/>
                  </w:tcPr>
                  <w:p w14:paraId="7AE0B76E" w14:textId="77777777" w:rsidR="00830E72" w:rsidRDefault="00830E72">
                    <w:pPr>
                      <w:snapToGrid w:val="0"/>
                      <w:spacing w:line="240" w:lineRule="atLeast"/>
                      <w:jc w:val="center"/>
                      <w:rPr>
                        <w:sz w:val="18"/>
                        <w:szCs w:val="18"/>
                      </w:rPr>
                    </w:pPr>
                  </w:p>
                </w:tc>
                <w:tc>
                  <w:tcPr>
                    <w:tcW w:w="460" w:type="pct"/>
                    <w:vMerge/>
                  </w:tcPr>
                  <w:p w14:paraId="19E9E5B5" w14:textId="77777777" w:rsidR="00830E72" w:rsidRDefault="00830E72">
                    <w:pPr>
                      <w:snapToGrid w:val="0"/>
                      <w:spacing w:line="240" w:lineRule="atLeast"/>
                      <w:jc w:val="center"/>
                      <w:rPr>
                        <w:sz w:val="18"/>
                        <w:szCs w:val="18"/>
                      </w:rPr>
                    </w:pPr>
                  </w:p>
                </w:tc>
                <w:tc>
                  <w:tcPr>
                    <w:tcW w:w="460" w:type="pct"/>
                    <w:vMerge/>
                  </w:tcPr>
                  <w:p w14:paraId="3D1E1637" w14:textId="77777777" w:rsidR="00830E72" w:rsidRDefault="00830E72">
                    <w:pPr>
                      <w:snapToGrid w:val="0"/>
                      <w:spacing w:line="240" w:lineRule="atLeast"/>
                      <w:jc w:val="center"/>
                      <w:rPr>
                        <w:sz w:val="18"/>
                        <w:szCs w:val="18"/>
                      </w:rPr>
                    </w:pPr>
                  </w:p>
                </w:tc>
                <w:tc>
                  <w:tcPr>
                    <w:tcW w:w="102" w:type="pct"/>
                    <w:vMerge/>
                  </w:tcPr>
                  <w:p w14:paraId="4646FE11" w14:textId="77777777" w:rsidR="00830E72" w:rsidRDefault="00830E72">
                    <w:pPr>
                      <w:snapToGrid w:val="0"/>
                      <w:spacing w:line="240" w:lineRule="atLeast"/>
                      <w:jc w:val="center"/>
                      <w:rPr>
                        <w:sz w:val="18"/>
                        <w:szCs w:val="18"/>
                      </w:rPr>
                    </w:pPr>
                  </w:p>
                </w:tc>
                <w:tc>
                  <w:tcPr>
                    <w:tcW w:w="528" w:type="pct"/>
                    <w:vMerge/>
                  </w:tcPr>
                  <w:p w14:paraId="2C8DB3F5" w14:textId="77777777" w:rsidR="00830E72" w:rsidRDefault="00830E72">
                    <w:pPr>
                      <w:snapToGrid w:val="0"/>
                      <w:spacing w:line="240" w:lineRule="atLeast"/>
                      <w:jc w:val="center"/>
                      <w:rPr>
                        <w:sz w:val="18"/>
                        <w:szCs w:val="18"/>
                      </w:rPr>
                    </w:pPr>
                  </w:p>
                </w:tc>
                <w:tc>
                  <w:tcPr>
                    <w:tcW w:w="133" w:type="pct"/>
                    <w:vMerge/>
                  </w:tcPr>
                  <w:p w14:paraId="533D996A" w14:textId="77777777" w:rsidR="00830E72" w:rsidRDefault="00830E72">
                    <w:pPr>
                      <w:jc w:val="center"/>
                      <w:rPr>
                        <w:sz w:val="18"/>
                        <w:szCs w:val="18"/>
                      </w:rPr>
                    </w:pPr>
                  </w:p>
                </w:tc>
                <w:tc>
                  <w:tcPr>
                    <w:tcW w:w="522" w:type="pct"/>
                    <w:vMerge/>
                  </w:tcPr>
                  <w:p w14:paraId="7D33686C" w14:textId="77777777" w:rsidR="00830E72" w:rsidRDefault="00830E72">
                    <w:pPr>
                      <w:jc w:val="center"/>
                      <w:rPr>
                        <w:sz w:val="18"/>
                        <w:szCs w:val="18"/>
                      </w:rPr>
                    </w:pPr>
                  </w:p>
                </w:tc>
                <w:tc>
                  <w:tcPr>
                    <w:tcW w:w="436" w:type="pct"/>
                    <w:vMerge/>
                  </w:tcPr>
                  <w:p w14:paraId="3839ED2C" w14:textId="77777777" w:rsidR="00830E72" w:rsidRDefault="00830E72">
                    <w:pPr>
                      <w:jc w:val="center"/>
                      <w:rPr>
                        <w:sz w:val="18"/>
                        <w:szCs w:val="18"/>
                      </w:rPr>
                    </w:pPr>
                  </w:p>
                </w:tc>
                <w:tc>
                  <w:tcPr>
                    <w:tcW w:w="520" w:type="pct"/>
                    <w:vMerge/>
                    <w:tcBorders>
                      <w:bottom w:val="nil"/>
                    </w:tcBorders>
                  </w:tcPr>
                  <w:p w14:paraId="214C873B" w14:textId="77777777" w:rsidR="00830E72" w:rsidRDefault="00830E72">
                    <w:pPr>
                      <w:jc w:val="center"/>
                      <w:rPr>
                        <w:sz w:val="18"/>
                        <w:szCs w:val="18"/>
                      </w:rPr>
                    </w:pPr>
                  </w:p>
                </w:tc>
              </w:tr>
              <w:tr w:rsidR="00830E72" w14:paraId="58C97C06" w14:textId="77777777">
                <w:sdt>
                  <w:sdtPr>
                    <w:tag w:val="_PLD_7e9607e7cfb34d74bf0fce08e0866d34"/>
                    <w:id w:val="988834301"/>
                    <w:lock w:val="sdtLocked"/>
                  </w:sdtPr>
                  <w:sdtEndPr/>
                  <w:sdtContent>
                    <w:tc>
                      <w:tcPr>
                        <w:tcW w:w="261" w:type="pct"/>
                      </w:tcPr>
                      <w:p w14:paraId="02A478CB" w14:textId="77777777" w:rsidR="00830E72" w:rsidRDefault="008344D8">
                        <w:pPr>
                          <w:rPr>
                            <w:sz w:val="18"/>
                            <w:szCs w:val="18"/>
                          </w:rPr>
                        </w:pPr>
                        <w:r>
                          <w:rPr>
                            <w:sz w:val="18"/>
                            <w:szCs w:val="18"/>
                          </w:rPr>
                          <w:t>一、上年</w:t>
                        </w:r>
                        <w:r>
                          <w:rPr>
                            <w:rFonts w:hint="eastAsia"/>
                            <w:sz w:val="18"/>
                            <w:szCs w:val="18"/>
                          </w:rPr>
                          <w:t>期</w:t>
                        </w:r>
                        <w:r>
                          <w:rPr>
                            <w:sz w:val="18"/>
                            <w:szCs w:val="18"/>
                          </w:rPr>
                          <w:t>末余额</w:t>
                        </w:r>
                      </w:p>
                    </w:tc>
                  </w:sdtContent>
                </w:sdt>
                <w:tc>
                  <w:tcPr>
                    <w:tcW w:w="463" w:type="pct"/>
                  </w:tcPr>
                  <w:p w14:paraId="7ABABFFC" w14:textId="77777777" w:rsidR="00830E72" w:rsidRDefault="008344D8">
                    <w:pPr>
                      <w:jc w:val="right"/>
                      <w:rPr>
                        <w:sz w:val="15"/>
                        <w:szCs w:val="15"/>
                      </w:rPr>
                    </w:pPr>
                    <w:r>
                      <w:rPr>
                        <w:sz w:val="15"/>
                        <w:szCs w:val="15"/>
                      </w:rPr>
                      <w:t>499,000,000.00</w:t>
                    </w:r>
                  </w:p>
                </w:tc>
                <w:tc>
                  <w:tcPr>
                    <w:tcW w:w="133" w:type="pct"/>
                  </w:tcPr>
                  <w:p w14:paraId="6964283F" w14:textId="77777777" w:rsidR="00830E72" w:rsidRDefault="00830E72">
                    <w:pPr>
                      <w:jc w:val="right"/>
                      <w:rPr>
                        <w:sz w:val="15"/>
                        <w:szCs w:val="15"/>
                      </w:rPr>
                    </w:pPr>
                  </w:p>
                </w:tc>
                <w:tc>
                  <w:tcPr>
                    <w:tcW w:w="133" w:type="pct"/>
                  </w:tcPr>
                  <w:p w14:paraId="4268F9D7" w14:textId="77777777" w:rsidR="00830E72" w:rsidRDefault="00830E72">
                    <w:pPr>
                      <w:jc w:val="right"/>
                      <w:rPr>
                        <w:sz w:val="15"/>
                        <w:szCs w:val="15"/>
                      </w:rPr>
                    </w:pPr>
                  </w:p>
                </w:tc>
                <w:tc>
                  <w:tcPr>
                    <w:tcW w:w="85" w:type="pct"/>
                    <w:gridSpan w:val="2"/>
                  </w:tcPr>
                  <w:p w14:paraId="504577BC" w14:textId="77777777" w:rsidR="00830E72" w:rsidRDefault="00830E72">
                    <w:pPr>
                      <w:jc w:val="right"/>
                      <w:rPr>
                        <w:sz w:val="15"/>
                        <w:szCs w:val="15"/>
                      </w:rPr>
                    </w:pPr>
                  </w:p>
                </w:tc>
                <w:tc>
                  <w:tcPr>
                    <w:tcW w:w="524" w:type="pct"/>
                  </w:tcPr>
                  <w:p w14:paraId="140F3DD8" w14:textId="77777777" w:rsidR="00830E72" w:rsidRDefault="008344D8">
                    <w:pPr>
                      <w:ind w:right="150"/>
                      <w:jc w:val="right"/>
                      <w:rPr>
                        <w:sz w:val="15"/>
                        <w:szCs w:val="15"/>
                      </w:rPr>
                    </w:pPr>
                    <w:r>
                      <w:rPr>
                        <w:sz w:val="15"/>
                        <w:szCs w:val="15"/>
                      </w:rPr>
                      <w:t>212,034,615.01</w:t>
                    </w:r>
                  </w:p>
                </w:tc>
                <w:tc>
                  <w:tcPr>
                    <w:tcW w:w="86" w:type="pct"/>
                  </w:tcPr>
                  <w:p w14:paraId="27C43314" w14:textId="77777777" w:rsidR="00830E72" w:rsidRDefault="00830E72">
                    <w:pPr>
                      <w:jc w:val="right"/>
                      <w:rPr>
                        <w:sz w:val="15"/>
                        <w:szCs w:val="15"/>
                      </w:rPr>
                    </w:pPr>
                  </w:p>
                </w:tc>
                <w:tc>
                  <w:tcPr>
                    <w:tcW w:w="154" w:type="pct"/>
                  </w:tcPr>
                  <w:p w14:paraId="2CE8552B" w14:textId="77777777" w:rsidR="00830E72" w:rsidRDefault="00830E72">
                    <w:pPr>
                      <w:jc w:val="right"/>
                      <w:rPr>
                        <w:sz w:val="15"/>
                        <w:szCs w:val="15"/>
                      </w:rPr>
                    </w:pPr>
                  </w:p>
                </w:tc>
                <w:tc>
                  <w:tcPr>
                    <w:tcW w:w="460" w:type="pct"/>
                  </w:tcPr>
                  <w:p w14:paraId="6818105C" w14:textId="77777777" w:rsidR="00830E72" w:rsidRDefault="008344D8">
                    <w:pPr>
                      <w:jc w:val="right"/>
                      <w:rPr>
                        <w:sz w:val="15"/>
                        <w:szCs w:val="15"/>
                      </w:rPr>
                    </w:pPr>
                    <w:r>
                      <w:rPr>
                        <w:sz w:val="15"/>
                        <w:szCs w:val="15"/>
                      </w:rPr>
                      <w:t>16,037,293.36</w:t>
                    </w:r>
                  </w:p>
                </w:tc>
                <w:tc>
                  <w:tcPr>
                    <w:tcW w:w="460" w:type="pct"/>
                  </w:tcPr>
                  <w:p w14:paraId="7E388D08" w14:textId="77777777" w:rsidR="00830E72" w:rsidRDefault="008344D8">
                    <w:pPr>
                      <w:jc w:val="right"/>
                      <w:rPr>
                        <w:sz w:val="15"/>
                        <w:szCs w:val="15"/>
                      </w:rPr>
                    </w:pPr>
                    <w:r>
                      <w:rPr>
                        <w:sz w:val="15"/>
                        <w:szCs w:val="15"/>
                      </w:rPr>
                      <w:t>35,835,569.39</w:t>
                    </w:r>
                  </w:p>
                </w:tc>
                <w:tc>
                  <w:tcPr>
                    <w:tcW w:w="102" w:type="pct"/>
                  </w:tcPr>
                  <w:p w14:paraId="5A877686" w14:textId="77777777" w:rsidR="00830E72" w:rsidRDefault="00830E72">
                    <w:pPr>
                      <w:jc w:val="right"/>
                      <w:rPr>
                        <w:sz w:val="15"/>
                        <w:szCs w:val="15"/>
                      </w:rPr>
                    </w:pPr>
                  </w:p>
                </w:tc>
                <w:tc>
                  <w:tcPr>
                    <w:tcW w:w="528" w:type="pct"/>
                  </w:tcPr>
                  <w:p w14:paraId="19DACE05" w14:textId="77777777" w:rsidR="00830E72" w:rsidRDefault="008344D8">
                    <w:pPr>
                      <w:jc w:val="right"/>
                      <w:rPr>
                        <w:sz w:val="15"/>
                        <w:szCs w:val="15"/>
                      </w:rPr>
                    </w:pPr>
                    <w:r>
                      <w:rPr>
                        <w:sz w:val="15"/>
                        <w:szCs w:val="15"/>
                      </w:rPr>
                      <w:t>322,369,956.08</w:t>
                    </w:r>
                  </w:p>
                </w:tc>
                <w:tc>
                  <w:tcPr>
                    <w:tcW w:w="133" w:type="pct"/>
                  </w:tcPr>
                  <w:p w14:paraId="7A1E5966" w14:textId="77777777" w:rsidR="00830E72" w:rsidRDefault="00830E72">
                    <w:pPr>
                      <w:jc w:val="right"/>
                      <w:rPr>
                        <w:sz w:val="15"/>
                        <w:szCs w:val="15"/>
                      </w:rPr>
                    </w:pPr>
                  </w:p>
                </w:tc>
                <w:tc>
                  <w:tcPr>
                    <w:tcW w:w="522" w:type="pct"/>
                  </w:tcPr>
                  <w:p w14:paraId="7958981C" w14:textId="77777777" w:rsidR="00830E72" w:rsidRDefault="008344D8">
                    <w:pPr>
                      <w:jc w:val="right"/>
                      <w:rPr>
                        <w:sz w:val="15"/>
                        <w:szCs w:val="15"/>
                      </w:rPr>
                    </w:pPr>
                    <w:r>
                      <w:rPr>
                        <w:sz w:val="15"/>
                        <w:szCs w:val="15"/>
                      </w:rPr>
                      <w:t>1,085,277,433.84</w:t>
                    </w:r>
                  </w:p>
                </w:tc>
                <w:tc>
                  <w:tcPr>
                    <w:tcW w:w="436" w:type="pct"/>
                  </w:tcPr>
                  <w:p w14:paraId="56D06654" w14:textId="77777777" w:rsidR="00830E72" w:rsidRDefault="008344D8">
                    <w:pPr>
                      <w:jc w:val="right"/>
                      <w:rPr>
                        <w:sz w:val="15"/>
                        <w:szCs w:val="15"/>
                      </w:rPr>
                    </w:pPr>
                    <w:r>
                      <w:rPr>
                        <w:sz w:val="15"/>
                        <w:szCs w:val="15"/>
                      </w:rPr>
                      <w:t>55,393,298.75</w:t>
                    </w:r>
                  </w:p>
                </w:tc>
                <w:tc>
                  <w:tcPr>
                    <w:tcW w:w="520" w:type="pct"/>
                  </w:tcPr>
                  <w:p w14:paraId="13F27D9C" w14:textId="77777777" w:rsidR="00830E72" w:rsidRDefault="008344D8">
                    <w:pPr>
                      <w:jc w:val="right"/>
                      <w:rPr>
                        <w:sz w:val="15"/>
                        <w:szCs w:val="15"/>
                      </w:rPr>
                    </w:pPr>
                    <w:r>
                      <w:rPr>
                        <w:sz w:val="15"/>
                        <w:szCs w:val="15"/>
                      </w:rPr>
                      <w:t>1,140,670,732.59</w:t>
                    </w:r>
                  </w:p>
                </w:tc>
              </w:tr>
              <w:tr w:rsidR="00830E72" w14:paraId="030CD0B9" w14:textId="77777777">
                <w:sdt>
                  <w:sdtPr>
                    <w:tag w:val="_PLD_fd33bb0caf614a75b319dc40c7515dcc"/>
                    <w:id w:val="-1826433500"/>
                    <w:lock w:val="sdtLocked"/>
                  </w:sdtPr>
                  <w:sdtEndPr/>
                  <w:sdtContent>
                    <w:tc>
                      <w:tcPr>
                        <w:tcW w:w="261" w:type="pct"/>
                      </w:tcPr>
                      <w:p w14:paraId="44A7CE6B" w14:textId="77777777" w:rsidR="00830E72" w:rsidRDefault="008344D8">
                        <w:pPr>
                          <w:rPr>
                            <w:sz w:val="18"/>
                            <w:szCs w:val="18"/>
                          </w:rPr>
                        </w:pPr>
                        <w:r>
                          <w:rPr>
                            <w:rFonts w:hint="eastAsia"/>
                            <w:sz w:val="18"/>
                            <w:szCs w:val="18"/>
                          </w:rPr>
                          <w:t>加：</w:t>
                        </w:r>
                        <w:r>
                          <w:rPr>
                            <w:sz w:val="18"/>
                            <w:szCs w:val="18"/>
                          </w:rPr>
                          <w:t>会计政策变更</w:t>
                        </w:r>
                      </w:p>
                    </w:tc>
                  </w:sdtContent>
                </w:sdt>
                <w:tc>
                  <w:tcPr>
                    <w:tcW w:w="463" w:type="pct"/>
                  </w:tcPr>
                  <w:p w14:paraId="74A6A959" w14:textId="77777777" w:rsidR="00830E72" w:rsidRDefault="00830E72">
                    <w:pPr>
                      <w:jc w:val="right"/>
                      <w:rPr>
                        <w:sz w:val="15"/>
                        <w:szCs w:val="15"/>
                      </w:rPr>
                    </w:pPr>
                  </w:p>
                </w:tc>
                <w:tc>
                  <w:tcPr>
                    <w:tcW w:w="133" w:type="pct"/>
                  </w:tcPr>
                  <w:p w14:paraId="38BBAA4D" w14:textId="77777777" w:rsidR="00830E72" w:rsidRDefault="00830E72">
                    <w:pPr>
                      <w:jc w:val="right"/>
                      <w:rPr>
                        <w:sz w:val="15"/>
                        <w:szCs w:val="15"/>
                      </w:rPr>
                    </w:pPr>
                  </w:p>
                </w:tc>
                <w:tc>
                  <w:tcPr>
                    <w:tcW w:w="133" w:type="pct"/>
                  </w:tcPr>
                  <w:p w14:paraId="12812644" w14:textId="77777777" w:rsidR="00830E72" w:rsidRDefault="00830E72">
                    <w:pPr>
                      <w:jc w:val="right"/>
                      <w:rPr>
                        <w:sz w:val="15"/>
                        <w:szCs w:val="15"/>
                      </w:rPr>
                    </w:pPr>
                  </w:p>
                </w:tc>
                <w:tc>
                  <w:tcPr>
                    <w:tcW w:w="85" w:type="pct"/>
                    <w:gridSpan w:val="2"/>
                  </w:tcPr>
                  <w:p w14:paraId="7FA5AD74" w14:textId="77777777" w:rsidR="00830E72" w:rsidRDefault="00830E72">
                    <w:pPr>
                      <w:jc w:val="right"/>
                      <w:rPr>
                        <w:sz w:val="15"/>
                        <w:szCs w:val="15"/>
                      </w:rPr>
                    </w:pPr>
                  </w:p>
                </w:tc>
                <w:tc>
                  <w:tcPr>
                    <w:tcW w:w="524" w:type="pct"/>
                  </w:tcPr>
                  <w:p w14:paraId="11FC4889" w14:textId="77777777" w:rsidR="00830E72" w:rsidRDefault="00830E72">
                    <w:pPr>
                      <w:jc w:val="right"/>
                      <w:rPr>
                        <w:sz w:val="15"/>
                        <w:szCs w:val="15"/>
                      </w:rPr>
                    </w:pPr>
                  </w:p>
                </w:tc>
                <w:tc>
                  <w:tcPr>
                    <w:tcW w:w="86" w:type="pct"/>
                  </w:tcPr>
                  <w:p w14:paraId="167759F5" w14:textId="77777777" w:rsidR="00830E72" w:rsidRDefault="00830E72">
                    <w:pPr>
                      <w:jc w:val="right"/>
                      <w:rPr>
                        <w:sz w:val="15"/>
                        <w:szCs w:val="15"/>
                      </w:rPr>
                    </w:pPr>
                  </w:p>
                </w:tc>
                <w:tc>
                  <w:tcPr>
                    <w:tcW w:w="154" w:type="pct"/>
                  </w:tcPr>
                  <w:p w14:paraId="7BC2C997" w14:textId="77777777" w:rsidR="00830E72" w:rsidRDefault="00830E72">
                    <w:pPr>
                      <w:jc w:val="right"/>
                      <w:rPr>
                        <w:sz w:val="15"/>
                        <w:szCs w:val="15"/>
                      </w:rPr>
                    </w:pPr>
                  </w:p>
                </w:tc>
                <w:tc>
                  <w:tcPr>
                    <w:tcW w:w="460" w:type="pct"/>
                  </w:tcPr>
                  <w:p w14:paraId="7ABCB1E5" w14:textId="77777777" w:rsidR="00830E72" w:rsidRDefault="00830E72">
                    <w:pPr>
                      <w:jc w:val="right"/>
                      <w:rPr>
                        <w:sz w:val="15"/>
                        <w:szCs w:val="15"/>
                      </w:rPr>
                    </w:pPr>
                  </w:p>
                </w:tc>
                <w:tc>
                  <w:tcPr>
                    <w:tcW w:w="460" w:type="pct"/>
                  </w:tcPr>
                  <w:p w14:paraId="34018AC3" w14:textId="1CD4600A" w:rsidR="00830E72" w:rsidRDefault="00F247C2" w:rsidP="00306B3D">
                    <w:pPr>
                      <w:ind w:right="600"/>
                      <w:jc w:val="right"/>
                      <w:rPr>
                        <w:sz w:val="15"/>
                        <w:szCs w:val="15"/>
                      </w:rPr>
                    </w:pPr>
                    <w:r>
                      <w:rPr>
                        <w:rFonts w:hint="eastAsia"/>
                        <w:sz w:val="15"/>
                        <w:szCs w:val="15"/>
                      </w:rPr>
                      <w:t>-</w:t>
                    </w:r>
                    <w:r>
                      <w:rPr>
                        <w:sz w:val="15"/>
                        <w:szCs w:val="15"/>
                      </w:rPr>
                      <w:t>277,918.78</w:t>
                    </w:r>
                  </w:p>
                </w:tc>
                <w:tc>
                  <w:tcPr>
                    <w:tcW w:w="102" w:type="pct"/>
                  </w:tcPr>
                  <w:p w14:paraId="3A353C52" w14:textId="77777777" w:rsidR="00830E72" w:rsidRDefault="00830E72">
                    <w:pPr>
                      <w:jc w:val="right"/>
                      <w:rPr>
                        <w:sz w:val="15"/>
                        <w:szCs w:val="15"/>
                      </w:rPr>
                    </w:pPr>
                  </w:p>
                </w:tc>
                <w:tc>
                  <w:tcPr>
                    <w:tcW w:w="528" w:type="pct"/>
                  </w:tcPr>
                  <w:p w14:paraId="2757FBB2" w14:textId="3D530124" w:rsidR="00830E72" w:rsidRDefault="00F247C2">
                    <w:pPr>
                      <w:jc w:val="right"/>
                      <w:rPr>
                        <w:sz w:val="15"/>
                        <w:szCs w:val="15"/>
                      </w:rPr>
                    </w:pPr>
                    <w:r>
                      <w:rPr>
                        <w:sz w:val="15"/>
                        <w:szCs w:val="15"/>
                      </w:rPr>
                      <w:t>-2,501,269.00</w:t>
                    </w:r>
                  </w:p>
                </w:tc>
                <w:tc>
                  <w:tcPr>
                    <w:tcW w:w="133" w:type="pct"/>
                  </w:tcPr>
                  <w:p w14:paraId="755F9056" w14:textId="77777777" w:rsidR="00830E72" w:rsidRDefault="00830E72">
                    <w:pPr>
                      <w:jc w:val="right"/>
                      <w:rPr>
                        <w:sz w:val="15"/>
                        <w:szCs w:val="15"/>
                      </w:rPr>
                    </w:pPr>
                  </w:p>
                </w:tc>
                <w:tc>
                  <w:tcPr>
                    <w:tcW w:w="522" w:type="pct"/>
                  </w:tcPr>
                  <w:p w14:paraId="6E3127AE" w14:textId="77777777" w:rsidR="00830E72" w:rsidRDefault="008344D8">
                    <w:pPr>
                      <w:jc w:val="right"/>
                      <w:rPr>
                        <w:sz w:val="15"/>
                        <w:szCs w:val="15"/>
                      </w:rPr>
                    </w:pPr>
                    <w:r>
                      <w:rPr>
                        <w:sz w:val="15"/>
                        <w:szCs w:val="15"/>
                      </w:rPr>
                      <w:t>-2,779,187.78</w:t>
                    </w:r>
                  </w:p>
                </w:tc>
                <w:tc>
                  <w:tcPr>
                    <w:tcW w:w="436" w:type="pct"/>
                  </w:tcPr>
                  <w:p w14:paraId="6ECC228A" w14:textId="77777777" w:rsidR="00830E72" w:rsidRDefault="00830E72">
                    <w:pPr>
                      <w:jc w:val="right"/>
                      <w:rPr>
                        <w:sz w:val="15"/>
                        <w:szCs w:val="15"/>
                      </w:rPr>
                    </w:pPr>
                  </w:p>
                </w:tc>
                <w:tc>
                  <w:tcPr>
                    <w:tcW w:w="520" w:type="pct"/>
                  </w:tcPr>
                  <w:p w14:paraId="2855EA5E" w14:textId="77777777" w:rsidR="00830E72" w:rsidRDefault="008344D8">
                    <w:pPr>
                      <w:jc w:val="right"/>
                      <w:rPr>
                        <w:sz w:val="15"/>
                        <w:szCs w:val="15"/>
                      </w:rPr>
                    </w:pPr>
                    <w:r>
                      <w:rPr>
                        <w:sz w:val="15"/>
                        <w:szCs w:val="15"/>
                      </w:rPr>
                      <w:t>-2,779,187.78</w:t>
                    </w:r>
                  </w:p>
                </w:tc>
              </w:tr>
              <w:tr w:rsidR="00830E72" w14:paraId="15BB7062" w14:textId="77777777">
                <w:sdt>
                  <w:sdtPr>
                    <w:tag w:val="_PLD_15b4364437fa4ad39040010f7c204056"/>
                    <w:id w:val="934783755"/>
                    <w:lock w:val="sdtLocked"/>
                  </w:sdtPr>
                  <w:sdtEndPr/>
                  <w:sdtContent>
                    <w:tc>
                      <w:tcPr>
                        <w:tcW w:w="261" w:type="pct"/>
                      </w:tcPr>
                      <w:p w14:paraId="1DB00201" w14:textId="77777777" w:rsidR="00830E72" w:rsidRDefault="008344D8">
                        <w:pPr>
                          <w:ind w:firstLineChars="200" w:firstLine="420"/>
                          <w:rPr>
                            <w:sz w:val="18"/>
                            <w:szCs w:val="18"/>
                          </w:rPr>
                        </w:pPr>
                        <w:r>
                          <w:rPr>
                            <w:sz w:val="18"/>
                            <w:szCs w:val="18"/>
                          </w:rPr>
                          <w:t>前期差错更正</w:t>
                        </w:r>
                      </w:p>
                    </w:tc>
                  </w:sdtContent>
                </w:sdt>
                <w:tc>
                  <w:tcPr>
                    <w:tcW w:w="463" w:type="pct"/>
                  </w:tcPr>
                  <w:p w14:paraId="0449AE12" w14:textId="77777777" w:rsidR="00830E72" w:rsidRDefault="00830E72">
                    <w:pPr>
                      <w:jc w:val="right"/>
                      <w:rPr>
                        <w:sz w:val="15"/>
                        <w:szCs w:val="15"/>
                      </w:rPr>
                    </w:pPr>
                  </w:p>
                </w:tc>
                <w:tc>
                  <w:tcPr>
                    <w:tcW w:w="133" w:type="pct"/>
                  </w:tcPr>
                  <w:p w14:paraId="19A79A85" w14:textId="77777777" w:rsidR="00830E72" w:rsidRDefault="00830E72">
                    <w:pPr>
                      <w:jc w:val="right"/>
                      <w:rPr>
                        <w:sz w:val="15"/>
                        <w:szCs w:val="15"/>
                      </w:rPr>
                    </w:pPr>
                  </w:p>
                </w:tc>
                <w:tc>
                  <w:tcPr>
                    <w:tcW w:w="133" w:type="pct"/>
                  </w:tcPr>
                  <w:p w14:paraId="4DDF99B6" w14:textId="77777777" w:rsidR="00830E72" w:rsidRDefault="00830E72">
                    <w:pPr>
                      <w:jc w:val="right"/>
                      <w:rPr>
                        <w:sz w:val="15"/>
                        <w:szCs w:val="15"/>
                      </w:rPr>
                    </w:pPr>
                  </w:p>
                </w:tc>
                <w:tc>
                  <w:tcPr>
                    <w:tcW w:w="85" w:type="pct"/>
                    <w:gridSpan w:val="2"/>
                  </w:tcPr>
                  <w:p w14:paraId="1618BA34" w14:textId="77777777" w:rsidR="00830E72" w:rsidRDefault="00830E72">
                    <w:pPr>
                      <w:jc w:val="right"/>
                      <w:rPr>
                        <w:sz w:val="15"/>
                        <w:szCs w:val="15"/>
                      </w:rPr>
                    </w:pPr>
                  </w:p>
                </w:tc>
                <w:tc>
                  <w:tcPr>
                    <w:tcW w:w="524" w:type="pct"/>
                  </w:tcPr>
                  <w:p w14:paraId="4DAC239F" w14:textId="77777777" w:rsidR="00830E72" w:rsidRDefault="00830E72">
                    <w:pPr>
                      <w:jc w:val="right"/>
                      <w:rPr>
                        <w:sz w:val="15"/>
                        <w:szCs w:val="15"/>
                      </w:rPr>
                    </w:pPr>
                  </w:p>
                </w:tc>
                <w:tc>
                  <w:tcPr>
                    <w:tcW w:w="86" w:type="pct"/>
                  </w:tcPr>
                  <w:p w14:paraId="5FDF7695" w14:textId="77777777" w:rsidR="00830E72" w:rsidRDefault="00830E72">
                    <w:pPr>
                      <w:jc w:val="right"/>
                      <w:rPr>
                        <w:sz w:val="15"/>
                        <w:szCs w:val="15"/>
                      </w:rPr>
                    </w:pPr>
                  </w:p>
                </w:tc>
                <w:tc>
                  <w:tcPr>
                    <w:tcW w:w="154" w:type="pct"/>
                  </w:tcPr>
                  <w:p w14:paraId="1AD51A95" w14:textId="77777777" w:rsidR="00830E72" w:rsidRDefault="00830E72">
                    <w:pPr>
                      <w:jc w:val="right"/>
                      <w:rPr>
                        <w:sz w:val="15"/>
                        <w:szCs w:val="15"/>
                      </w:rPr>
                    </w:pPr>
                  </w:p>
                </w:tc>
                <w:tc>
                  <w:tcPr>
                    <w:tcW w:w="460" w:type="pct"/>
                  </w:tcPr>
                  <w:p w14:paraId="7C69818B" w14:textId="77777777" w:rsidR="00830E72" w:rsidRDefault="00830E72">
                    <w:pPr>
                      <w:jc w:val="right"/>
                      <w:rPr>
                        <w:sz w:val="15"/>
                        <w:szCs w:val="15"/>
                      </w:rPr>
                    </w:pPr>
                  </w:p>
                </w:tc>
                <w:tc>
                  <w:tcPr>
                    <w:tcW w:w="460" w:type="pct"/>
                  </w:tcPr>
                  <w:p w14:paraId="769BB345" w14:textId="77777777" w:rsidR="00830E72" w:rsidRDefault="00830E72">
                    <w:pPr>
                      <w:jc w:val="right"/>
                      <w:rPr>
                        <w:sz w:val="15"/>
                        <w:szCs w:val="15"/>
                      </w:rPr>
                    </w:pPr>
                  </w:p>
                </w:tc>
                <w:tc>
                  <w:tcPr>
                    <w:tcW w:w="102" w:type="pct"/>
                  </w:tcPr>
                  <w:p w14:paraId="4E394EFC" w14:textId="77777777" w:rsidR="00830E72" w:rsidRDefault="00830E72">
                    <w:pPr>
                      <w:jc w:val="right"/>
                      <w:rPr>
                        <w:sz w:val="15"/>
                        <w:szCs w:val="15"/>
                      </w:rPr>
                    </w:pPr>
                  </w:p>
                </w:tc>
                <w:tc>
                  <w:tcPr>
                    <w:tcW w:w="528" w:type="pct"/>
                  </w:tcPr>
                  <w:p w14:paraId="0797E933" w14:textId="77777777" w:rsidR="00830E72" w:rsidRDefault="00830E72">
                    <w:pPr>
                      <w:jc w:val="right"/>
                      <w:rPr>
                        <w:sz w:val="15"/>
                        <w:szCs w:val="15"/>
                      </w:rPr>
                    </w:pPr>
                  </w:p>
                </w:tc>
                <w:tc>
                  <w:tcPr>
                    <w:tcW w:w="133" w:type="pct"/>
                  </w:tcPr>
                  <w:p w14:paraId="69DA0039" w14:textId="77777777" w:rsidR="00830E72" w:rsidRDefault="00830E72">
                    <w:pPr>
                      <w:jc w:val="right"/>
                      <w:rPr>
                        <w:sz w:val="15"/>
                        <w:szCs w:val="15"/>
                      </w:rPr>
                    </w:pPr>
                  </w:p>
                </w:tc>
                <w:tc>
                  <w:tcPr>
                    <w:tcW w:w="522" w:type="pct"/>
                  </w:tcPr>
                  <w:p w14:paraId="6B477B79" w14:textId="77777777" w:rsidR="00830E72" w:rsidRDefault="00830E72">
                    <w:pPr>
                      <w:jc w:val="right"/>
                      <w:rPr>
                        <w:sz w:val="15"/>
                        <w:szCs w:val="15"/>
                      </w:rPr>
                    </w:pPr>
                  </w:p>
                </w:tc>
                <w:tc>
                  <w:tcPr>
                    <w:tcW w:w="436" w:type="pct"/>
                  </w:tcPr>
                  <w:p w14:paraId="3058B8F5" w14:textId="77777777" w:rsidR="00830E72" w:rsidRDefault="00830E72">
                    <w:pPr>
                      <w:jc w:val="right"/>
                      <w:rPr>
                        <w:sz w:val="15"/>
                        <w:szCs w:val="15"/>
                      </w:rPr>
                    </w:pPr>
                  </w:p>
                </w:tc>
                <w:tc>
                  <w:tcPr>
                    <w:tcW w:w="520" w:type="pct"/>
                  </w:tcPr>
                  <w:p w14:paraId="56BC6D56" w14:textId="77777777" w:rsidR="00830E72" w:rsidRDefault="00830E72">
                    <w:pPr>
                      <w:jc w:val="right"/>
                      <w:rPr>
                        <w:sz w:val="15"/>
                        <w:szCs w:val="15"/>
                      </w:rPr>
                    </w:pPr>
                  </w:p>
                </w:tc>
              </w:tr>
              <w:tr w:rsidR="00830E72" w14:paraId="5B730919" w14:textId="77777777">
                <w:sdt>
                  <w:sdtPr>
                    <w:tag w:val="_PLD_800fb53c11a943e3b9b9bd49c8085679"/>
                    <w:id w:val="1034153255"/>
                    <w:lock w:val="sdtLocked"/>
                  </w:sdtPr>
                  <w:sdtEndPr/>
                  <w:sdtContent>
                    <w:tc>
                      <w:tcPr>
                        <w:tcW w:w="261" w:type="pct"/>
                      </w:tcPr>
                      <w:p w14:paraId="52D327E8" w14:textId="77777777" w:rsidR="00830E72" w:rsidRDefault="008344D8">
                        <w:pPr>
                          <w:ind w:firstLineChars="200" w:firstLine="420"/>
                          <w:rPr>
                            <w:sz w:val="18"/>
                            <w:szCs w:val="18"/>
                          </w:rPr>
                        </w:pPr>
                        <w:r>
                          <w:rPr>
                            <w:rFonts w:hint="eastAsia"/>
                            <w:sz w:val="18"/>
                            <w:szCs w:val="18"/>
                          </w:rPr>
                          <w:t>同一控制下企业合并</w:t>
                        </w:r>
                      </w:p>
                    </w:tc>
                  </w:sdtContent>
                </w:sdt>
                <w:tc>
                  <w:tcPr>
                    <w:tcW w:w="463" w:type="pct"/>
                  </w:tcPr>
                  <w:p w14:paraId="09AED3FD" w14:textId="77777777" w:rsidR="00830E72" w:rsidRDefault="00830E72">
                    <w:pPr>
                      <w:jc w:val="right"/>
                      <w:rPr>
                        <w:sz w:val="15"/>
                        <w:szCs w:val="15"/>
                      </w:rPr>
                    </w:pPr>
                  </w:p>
                </w:tc>
                <w:tc>
                  <w:tcPr>
                    <w:tcW w:w="133" w:type="pct"/>
                  </w:tcPr>
                  <w:p w14:paraId="1307492F" w14:textId="77777777" w:rsidR="00830E72" w:rsidRDefault="00830E72">
                    <w:pPr>
                      <w:jc w:val="right"/>
                      <w:rPr>
                        <w:sz w:val="15"/>
                        <w:szCs w:val="15"/>
                      </w:rPr>
                    </w:pPr>
                  </w:p>
                </w:tc>
                <w:tc>
                  <w:tcPr>
                    <w:tcW w:w="133" w:type="pct"/>
                  </w:tcPr>
                  <w:p w14:paraId="198F535D" w14:textId="77777777" w:rsidR="00830E72" w:rsidRDefault="00830E72">
                    <w:pPr>
                      <w:jc w:val="right"/>
                      <w:rPr>
                        <w:sz w:val="15"/>
                        <w:szCs w:val="15"/>
                      </w:rPr>
                    </w:pPr>
                  </w:p>
                </w:tc>
                <w:tc>
                  <w:tcPr>
                    <w:tcW w:w="85" w:type="pct"/>
                    <w:gridSpan w:val="2"/>
                  </w:tcPr>
                  <w:p w14:paraId="2A7DCE9C" w14:textId="77777777" w:rsidR="00830E72" w:rsidRDefault="00830E72">
                    <w:pPr>
                      <w:jc w:val="right"/>
                      <w:rPr>
                        <w:sz w:val="15"/>
                        <w:szCs w:val="15"/>
                      </w:rPr>
                    </w:pPr>
                  </w:p>
                </w:tc>
                <w:tc>
                  <w:tcPr>
                    <w:tcW w:w="524" w:type="pct"/>
                  </w:tcPr>
                  <w:p w14:paraId="376BF683" w14:textId="77777777" w:rsidR="00830E72" w:rsidRDefault="00830E72">
                    <w:pPr>
                      <w:jc w:val="right"/>
                      <w:rPr>
                        <w:sz w:val="15"/>
                        <w:szCs w:val="15"/>
                      </w:rPr>
                    </w:pPr>
                  </w:p>
                </w:tc>
                <w:tc>
                  <w:tcPr>
                    <w:tcW w:w="86" w:type="pct"/>
                  </w:tcPr>
                  <w:p w14:paraId="43DCD023" w14:textId="77777777" w:rsidR="00830E72" w:rsidRDefault="00830E72">
                    <w:pPr>
                      <w:jc w:val="right"/>
                      <w:rPr>
                        <w:sz w:val="15"/>
                        <w:szCs w:val="15"/>
                      </w:rPr>
                    </w:pPr>
                  </w:p>
                </w:tc>
                <w:tc>
                  <w:tcPr>
                    <w:tcW w:w="154" w:type="pct"/>
                  </w:tcPr>
                  <w:p w14:paraId="0929B2AC" w14:textId="77777777" w:rsidR="00830E72" w:rsidRDefault="00830E72">
                    <w:pPr>
                      <w:jc w:val="right"/>
                      <w:rPr>
                        <w:sz w:val="15"/>
                        <w:szCs w:val="15"/>
                      </w:rPr>
                    </w:pPr>
                  </w:p>
                </w:tc>
                <w:tc>
                  <w:tcPr>
                    <w:tcW w:w="460" w:type="pct"/>
                  </w:tcPr>
                  <w:p w14:paraId="1FB82FCD" w14:textId="77777777" w:rsidR="00830E72" w:rsidRDefault="00830E72">
                    <w:pPr>
                      <w:jc w:val="right"/>
                      <w:rPr>
                        <w:sz w:val="15"/>
                        <w:szCs w:val="15"/>
                      </w:rPr>
                    </w:pPr>
                  </w:p>
                </w:tc>
                <w:tc>
                  <w:tcPr>
                    <w:tcW w:w="460" w:type="pct"/>
                  </w:tcPr>
                  <w:p w14:paraId="780E919A" w14:textId="77777777" w:rsidR="00830E72" w:rsidRDefault="00830E72">
                    <w:pPr>
                      <w:jc w:val="right"/>
                      <w:rPr>
                        <w:sz w:val="15"/>
                        <w:szCs w:val="15"/>
                      </w:rPr>
                    </w:pPr>
                  </w:p>
                </w:tc>
                <w:tc>
                  <w:tcPr>
                    <w:tcW w:w="102" w:type="pct"/>
                  </w:tcPr>
                  <w:p w14:paraId="61F4C1BF" w14:textId="77777777" w:rsidR="00830E72" w:rsidRDefault="00830E72">
                    <w:pPr>
                      <w:jc w:val="right"/>
                      <w:rPr>
                        <w:sz w:val="15"/>
                        <w:szCs w:val="15"/>
                      </w:rPr>
                    </w:pPr>
                  </w:p>
                </w:tc>
                <w:tc>
                  <w:tcPr>
                    <w:tcW w:w="528" w:type="pct"/>
                  </w:tcPr>
                  <w:p w14:paraId="05B99F85" w14:textId="77777777" w:rsidR="00830E72" w:rsidRDefault="00830E72">
                    <w:pPr>
                      <w:jc w:val="right"/>
                      <w:rPr>
                        <w:sz w:val="15"/>
                        <w:szCs w:val="15"/>
                      </w:rPr>
                    </w:pPr>
                  </w:p>
                </w:tc>
                <w:tc>
                  <w:tcPr>
                    <w:tcW w:w="133" w:type="pct"/>
                  </w:tcPr>
                  <w:p w14:paraId="3D2970B5" w14:textId="77777777" w:rsidR="00830E72" w:rsidRDefault="00830E72">
                    <w:pPr>
                      <w:jc w:val="right"/>
                      <w:rPr>
                        <w:sz w:val="15"/>
                        <w:szCs w:val="15"/>
                      </w:rPr>
                    </w:pPr>
                  </w:p>
                </w:tc>
                <w:tc>
                  <w:tcPr>
                    <w:tcW w:w="522" w:type="pct"/>
                  </w:tcPr>
                  <w:p w14:paraId="79D59CDA" w14:textId="77777777" w:rsidR="00830E72" w:rsidRDefault="00830E72">
                    <w:pPr>
                      <w:jc w:val="right"/>
                      <w:rPr>
                        <w:sz w:val="15"/>
                        <w:szCs w:val="15"/>
                      </w:rPr>
                    </w:pPr>
                  </w:p>
                </w:tc>
                <w:tc>
                  <w:tcPr>
                    <w:tcW w:w="436" w:type="pct"/>
                  </w:tcPr>
                  <w:p w14:paraId="12EF53E1" w14:textId="77777777" w:rsidR="00830E72" w:rsidRDefault="00830E72">
                    <w:pPr>
                      <w:jc w:val="right"/>
                      <w:rPr>
                        <w:sz w:val="15"/>
                        <w:szCs w:val="15"/>
                      </w:rPr>
                    </w:pPr>
                  </w:p>
                </w:tc>
                <w:tc>
                  <w:tcPr>
                    <w:tcW w:w="520" w:type="pct"/>
                  </w:tcPr>
                  <w:p w14:paraId="02719BCF" w14:textId="77777777" w:rsidR="00830E72" w:rsidRDefault="00830E72">
                    <w:pPr>
                      <w:jc w:val="right"/>
                      <w:rPr>
                        <w:sz w:val="15"/>
                        <w:szCs w:val="15"/>
                      </w:rPr>
                    </w:pPr>
                  </w:p>
                </w:tc>
              </w:tr>
              <w:tr w:rsidR="00830E72" w14:paraId="77E2A96E" w14:textId="77777777">
                <w:sdt>
                  <w:sdtPr>
                    <w:tag w:val="_PLD_87118e97730e486dbbcc5e072b67665f"/>
                    <w:id w:val="1680544962"/>
                    <w:lock w:val="sdtLocked"/>
                  </w:sdtPr>
                  <w:sdtEndPr/>
                  <w:sdtContent>
                    <w:tc>
                      <w:tcPr>
                        <w:tcW w:w="261" w:type="pct"/>
                      </w:tcPr>
                      <w:p w14:paraId="6730E710" w14:textId="77777777" w:rsidR="00830E72" w:rsidRDefault="008344D8">
                        <w:pPr>
                          <w:ind w:firstLineChars="200" w:firstLine="420"/>
                          <w:rPr>
                            <w:sz w:val="18"/>
                            <w:szCs w:val="18"/>
                          </w:rPr>
                        </w:pPr>
                        <w:r>
                          <w:rPr>
                            <w:rFonts w:hint="eastAsia"/>
                            <w:sz w:val="18"/>
                            <w:szCs w:val="18"/>
                          </w:rPr>
                          <w:t>其</w:t>
                        </w:r>
                        <w:r>
                          <w:rPr>
                            <w:rFonts w:hint="eastAsia"/>
                            <w:sz w:val="18"/>
                            <w:szCs w:val="18"/>
                          </w:rPr>
                          <w:lastRenderedPageBreak/>
                          <w:t>他</w:t>
                        </w:r>
                      </w:p>
                    </w:tc>
                  </w:sdtContent>
                </w:sdt>
                <w:tc>
                  <w:tcPr>
                    <w:tcW w:w="463" w:type="pct"/>
                  </w:tcPr>
                  <w:p w14:paraId="5A1D3FA1" w14:textId="77777777" w:rsidR="00830E72" w:rsidRDefault="00830E72">
                    <w:pPr>
                      <w:jc w:val="right"/>
                      <w:rPr>
                        <w:sz w:val="15"/>
                        <w:szCs w:val="15"/>
                      </w:rPr>
                    </w:pPr>
                  </w:p>
                </w:tc>
                <w:tc>
                  <w:tcPr>
                    <w:tcW w:w="133" w:type="pct"/>
                  </w:tcPr>
                  <w:p w14:paraId="2F1EF621" w14:textId="77777777" w:rsidR="00830E72" w:rsidRDefault="00830E72">
                    <w:pPr>
                      <w:jc w:val="right"/>
                      <w:rPr>
                        <w:sz w:val="15"/>
                        <w:szCs w:val="15"/>
                      </w:rPr>
                    </w:pPr>
                  </w:p>
                </w:tc>
                <w:tc>
                  <w:tcPr>
                    <w:tcW w:w="133" w:type="pct"/>
                  </w:tcPr>
                  <w:p w14:paraId="51D52661" w14:textId="77777777" w:rsidR="00830E72" w:rsidRDefault="00830E72">
                    <w:pPr>
                      <w:jc w:val="right"/>
                      <w:rPr>
                        <w:sz w:val="15"/>
                        <w:szCs w:val="15"/>
                      </w:rPr>
                    </w:pPr>
                  </w:p>
                </w:tc>
                <w:tc>
                  <w:tcPr>
                    <w:tcW w:w="85" w:type="pct"/>
                    <w:gridSpan w:val="2"/>
                  </w:tcPr>
                  <w:p w14:paraId="792E41A2" w14:textId="77777777" w:rsidR="00830E72" w:rsidRDefault="00830E72">
                    <w:pPr>
                      <w:jc w:val="right"/>
                      <w:rPr>
                        <w:sz w:val="15"/>
                        <w:szCs w:val="15"/>
                      </w:rPr>
                    </w:pPr>
                  </w:p>
                </w:tc>
                <w:tc>
                  <w:tcPr>
                    <w:tcW w:w="524" w:type="pct"/>
                  </w:tcPr>
                  <w:p w14:paraId="7E98E15A" w14:textId="77777777" w:rsidR="00830E72" w:rsidRDefault="00830E72">
                    <w:pPr>
                      <w:jc w:val="right"/>
                      <w:rPr>
                        <w:sz w:val="15"/>
                        <w:szCs w:val="15"/>
                      </w:rPr>
                    </w:pPr>
                  </w:p>
                </w:tc>
                <w:tc>
                  <w:tcPr>
                    <w:tcW w:w="86" w:type="pct"/>
                  </w:tcPr>
                  <w:p w14:paraId="4A0A437D" w14:textId="77777777" w:rsidR="00830E72" w:rsidRDefault="00830E72">
                    <w:pPr>
                      <w:jc w:val="right"/>
                      <w:rPr>
                        <w:sz w:val="15"/>
                        <w:szCs w:val="15"/>
                      </w:rPr>
                    </w:pPr>
                  </w:p>
                </w:tc>
                <w:tc>
                  <w:tcPr>
                    <w:tcW w:w="154" w:type="pct"/>
                  </w:tcPr>
                  <w:p w14:paraId="06CBEDC0" w14:textId="77777777" w:rsidR="00830E72" w:rsidRDefault="00830E72">
                    <w:pPr>
                      <w:jc w:val="right"/>
                      <w:rPr>
                        <w:sz w:val="15"/>
                        <w:szCs w:val="15"/>
                      </w:rPr>
                    </w:pPr>
                  </w:p>
                </w:tc>
                <w:tc>
                  <w:tcPr>
                    <w:tcW w:w="460" w:type="pct"/>
                  </w:tcPr>
                  <w:p w14:paraId="586CA256" w14:textId="77777777" w:rsidR="00830E72" w:rsidRDefault="00830E72">
                    <w:pPr>
                      <w:jc w:val="right"/>
                      <w:rPr>
                        <w:sz w:val="15"/>
                        <w:szCs w:val="15"/>
                      </w:rPr>
                    </w:pPr>
                  </w:p>
                </w:tc>
                <w:tc>
                  <w:tcPr>
                    <w:tcW w:w="460" w:type="pct"/>
                  </w:tcPr>
                  <w:p w14:paraId="5A9C90F0" w14:textId="77777777" w:rsidR="00830E72" w:rsidRDefault="00830E72">
                    <w:pPr>
                      <w:jc w:val="right"/>
                      <w:rPr>
                        <w:sz w:val="15"/>
                        <w:szCs w:val="15"/>
                      </w:rPr>
                    </w:pPr>
                  </w:p>
                </w:tc>
                <w:tc>
                  <w:tcPr>
                    <w:tcW w:w="102" w:type="pct"/>
                  </w:tcPr>
                  <w:p w14:paraId="43711CE8" w14:textId="77777777" w:rsidR="00830E72" w:rsidRDefault="00830E72">
                    <w:pPr>
                      <w:jc w:val="right"/>
                      <w:rPr>
                        <w:sz w:val="15"/>
                        <w:szCs w:val="15"/>
                      </w:rPr>
                    </w:pPr>
                  </w:p>
                </w:tc>
                <w:tc>
                  <w:tcPr>
                    <w:tcW w:w="528" w:type="pct"/>
                  </w:tcPr>
                  <w:p w14:paraId="656EC253" w14:textId="77777777" w:rsidR="00830E72" w:rsidRDefault="00830E72">
                    <w:pPr>
                      <w:jc w:val="right"/>
                      <w:rPr>
                        <w:sz w:val="15"/>
                        <w:szCs w:val="15"/>
                      </w:rPr>
                    </w:pPr>
                  </w:p>
                </w:tc>
                <w:tc>
                  <w:tcPr>
                    <w:tcW w:w="133" w:type="pct"/>
                  </w:tcPr>
                  <w:p w14:paraId="6521E662" w14:textId="77777777" w:rsidR="00830E72" w:rsidRDefault="00830E72">
                    <w:pPr>
                      <w:jc w:val="right"/>
                      <w:rPr>
                        <w:sz w:val="15"/>
                        <w:szCs w:val="15"/>
                      </w:rPr>
                    </w:pPr>
                  </w:p>
                </w:tc>
                <w:tc>
                  <w:tcPr>
                    <w:tcW w:w="522" w:type="pct"/>
                  </w:tcPr>
                  <w:p w14:paraId="60901D95" w14:textId="77777777" w:rsidR="00830E72" w:rsidRDefault="00830E72">
                    <w:pPr>
                      <w:jc w:val="right"/>
                      <w:rPr>
                        <w:sz w:val="15"/>
                        <w:szCs w:val="15"/>
                      </w:rPr>
                    </w:pPr>
                  </w:p>
                </w:tc>
                <w:tc>
                  <w:tcPr>
                    <w:tcW w:w="436" w:type="pct"/>
                  </w:tcPr>
                  <w:p w14:paraId="13CBD11F" w14:textId="77777777" w:rsidR="00830E72" w:rsidRDefault="00830E72">
                    <w:pPr>
                      <w:jc w:val="right"/>
                      <w:rPr>
                        <w:sz w:val="15"/>
                        <w:szCs w:val="15"/>
                      </w:rPr>
                    </w:pPr>
                  </w:p>
                </w:tc>
                <w:tc>
                  <w:tcPr>
                    <w:tcW w:w="520" w:type="pct"/>
                  </w:tcPr>
                  <w:p w14:paraId="0D224CA2" w14:textId="77777777" w:rsidR="00830E72" w:rsidRDefault="00830E72">
                    <w:pPr>
                      <w:jc w:val="right"/>
                      <w:rPr>
                        <w:sz w:val="15"/>
                        <w:szCs w:val="15"/>
                      </w:rPr>
                    </w:pPr>
                  </w:p>
                </w:tc>
              </w:tr>
              <w:tr w:rsidR="00830E72" w14:paraId="7BAAD950" w14:textId="77777777">
                <w:sdt>
                  <w:sdtPr>
                    <w:tag w:val="_PLD_b579c38070f04b86951daea3037af89c"/>
                    <w:id w:val="646793243"/>
                    <w:lock w:val="sdtLocked"/>
                  </w:sdtPr>
                  <w:sdtEndPr/>
                  <w:sdtContent>
                    <w:tc>
                      <w:tcPr>
                        <w:tcW w:w="261" w:type="pct"/>
                      </w:tcPr>
                      <w:p w14:paraId="4D8AE535" w14:textId="77777777" w:rsidR="00830E72" w:rsidRDefault="008344D8">
                        <w:pPr>
                          <w:rPr>
                            <w:sz w:val="18"/>
                            <w:szCs w:val="18"/>
                          </w:rPr>
                        </w:pPr>
                        <w:r>
                          <w:rPr>
                            <w:sz w:val="18"/>
                            <w:szCs w:val="18"/>
                          </w:rPr>
                          <w:t>二、本年</w:t>
                        </w:r>
                        <w:r>
                          <w:rPr>
                            <w:rFonts w:hint="eastAsia"/>
                            <w:sz w:val="18"/>
                            <w:szCs w:val="18"/>
                          </w:rPr>
                          <w:t>期</w:t>
                        </w:r>
                        <w:r>
                          <w:rPr>
                            <w:sz w:val="18"/>
                            <w:szCs w:val="18"/>
                          </w:rPr>
                          <w:t>初余额</w:t>
                        </w:r>
                      </w:p>
                    </w:tc>
                  </w:sdtContent>
                </w:sdt>
                <w:tc>
                  <w:tcPr>
                    <w:tcW w:w="463" w:type="pct"/>
                  </w:tcPr>
                  <w:p w14:paraId="64881305" w14:textId="77777777" w:rsidR="00830E72" w:rsidRDefault="008344D8">
                    <w:pPr>
                      <w:jc w:val="right"/>
                      <w:rPr>
                        <w:sz w:val="15"/>
                        <w:szCs w:val="15"/>
                      </w:rPr>
                    </w:pPr>
                    <w:r>
                      <w:rPr>
                        <w:sz w:val="15"/>
                        <w:szCs w:val="15"/>
                      </w:rPr>
                      <w:t>499,000,000.00</w:t>
                    </w:r>
                  </w:p>
                </w:tc>
                <w:tc>
                  <w:tcPr>
                    <w:tcW w:w="133" w:type="pct"/>
                  </w:tcPr>
                  <w:p w14:paraId="534E8ED1" w14:textId="77777777" w:rsidR="00830E72" w:rsidRDefault="00830E72">
                    <w:pPr>
                      <w:jc w:val="right"/>
                      <w:rPr>
                        <w:sz w:val="15"/>
                        <w:szCs w:val="15"/>
                      </w:rPr>
                    </w:pPr>
                  </w:p>
                </w:tc>
                <w:tc>
                  <w:tcPr>
                    <w:tcW w:w="133" w:type="pct"/>
                  </w:tcPr>
                  <w:p w14:paraId="07C9C644" w14:textId="77777777" w:rsidR="00830E72" w:rsidRDefault="00830E72">
                    <w:pPr>
                      <w:jc w:val="right"/>
                      <w:rPr>
                        <w:sz w:val="15"/>
                        <w:szCs w:val="15"/>
                      </w:rPr>
                    </w:pPr>
                  </w:p>
                </w:tc>
                <w:tc>
                  <w:tcPr>
                    <w:tcW w:w="85" w:type="pct"/>
                    <w:gridSpan w:val="2"/>
                  </w:tcPr>
                  <w:p w14:paraId="62C7C61D" w14:textId="77777777" w:rsidR="00830E72" w:rsidRDefault="00830E72">
                    <w:pPr>
                      <w:jc w:val="right"/>
                      <w:rPr>
                        <w:sz w:val="15"/>
                        <w:szCs w:val="15"/>
                      </w:rPr>
                    </w:pPr>
                  </w:p>
                </w:tc>
                <w:tc>
                  <w:tcPr>
                    <w:tcW w:w="524" w:type="pct"/>
                  </w:tcPr>
                  <w:p w14:paraId="25083535" w14:textId="77777777" w:rsidR="00830E72" w:rsidRDefault="008344D8">
                    <w:pPr>
                      <w:jc w:val="right"/>
                      <w:rPr>
                        <w:sz w:val="15"/>
                        <w:szCs w:val="15"/>
                      </w:rPr>
                    </w:pPr>
                    <w:r>
                      <w:rPr>
                        <w:sz w:val="15"/>
                        <w:szCs w:val="15"/>
                      </w:rPr>
                      <w:t>212,034,615.01</w:t>
                    </w:r>
                  </w:p>
                </w:tc>
                <w:tc>
                  <w:tcPr>
                    <w:tcW w:w="86" w:type="pct"/>
                  </w:tcPr>
                  <w:p w14:paraId="46EDF098" w14:textId="77777777" w:rsidR="00830E72" w:rsidRDefault="00830E72">
                    <w:pPr>
                      <w:jc w:val="right"/>
                      <w:rPr>
                        <w:sz w:val="15"/>
                        <w:szCs w:val="15"/>
                      </w:rPr>
                    </w:pPr>
                  </w:p>
                </w:tc>
                <w:tc>
                  <w:tcPr>
                    <w:tcW w:w="154" w:type="pct"/>
                  </w:tcPr>
                  <w:p w14:paraId="3133D5DB" w14:textId="77777777" w:rsidR="00830E72" w:rsidRDefault="00830E72">
                    <w:pPr>
                      <w:jc w:val="right"/>
                      <w:rPr>
                        <w:sz w:val="15"/>
                        <w:szCs w:val="15"/>
                      </w:rPr>
                    </w:pPr>
                  </w:p>
                </w:tc>
                <w:tc>
                  <w:tcPr>
                    <w:tcW w:w="460" w:type="pct"/>
                  </w:tcPr>
                  <w:p w14:paraId="2C9FF5D9" w14:textId="77777777" w:rsidR="00830E72" w:rsidRDefault="008344D8">
                    <w:pPr>
                      <w:jc w:val="right"/>
                      <w:rPr>
                        <w:sz w:val="15"/>
                        <w:szCs w:val="15"/>
                      </w:rPr>
                    </w:pPr>
                    <w:r>
                      <w:rPr>
                        <w:sz w:val="15"/>
                        <w:szCs w:val="15"/>
                      </w:rPr>
                      <w:t>16,037,293.36</w:t>
                    </w:r>
                  </w:p>
                </w:tc>
                <w:tc>
                  <w:tcPr>
                    <w:tcW w:w="460" w:type="pct"/>
                  </w:tcPr>
                  <w:p w14:paraId="0FA73DA8" w14:textId="5B5E8577" w:rsidR="00830E72" w:rsidRDefault="00F247C2">
                    <w:pPr>
                      <w:jc w:val="right"/>
                      <w:rPr>
                        <w:sz w:val="15"/>
                        <w:szCs w:val="15"/>
                      </w:rPr>
                    </w:pPr>
                    <w:r>
                      <w:rPr>
                        <w:sz w:val="15"/>
                        <w:szCs w:val="15"/>
                      </w:rPr>
                      <w:t>35,557,650.61</w:t>
                    </w:r>
                  </w:p>
                </w:tc>
                <w:tc>
                  <w:tcPr>
                    <w:tcW w:w="102" w:type="pct"/>
                  </w:tcPr>
                  <w:p w14:paraId="1DF515DF" w14:textId="77777777" w:rsidR="00830E72" w:rsidRDefault="00830E72">
                    <w:pPr>
                      <w:jc w:val="right"/>
                      <w:rPr>
                        <w:sz w:val="15"/>
                        <w:szCs w:val="15"/>
                      </w:rPr>
                    </w:pPr>
                  </w:p>
                </w:tc>
                <w:tc>
                  <w:tcPr>
                    <w:tcW w:w="528" w:type="pct"/>
                  </w:tcPr>
                  <w:p w14:paraId="5E54DC8F" w14:textId="744F4C6C" w:rsidR="00830E72" w:rsidRDefault="00F247C2">
                    <w:pPr>
                      <w:jc w:val="right"/>
                      <w:rPr>
                        <w:sz w:val="15"/>
                        <w:szCs w:val="15"/>
                      </w:rPr>
                    </w:pPr>
                    <w:r>
                      <w:rPr>
                        <w:sz w:val="15"/>
                        <w:szCs w:val="15"/>
                      </w:rPr>
                      <w:t>319,868,687.08</w:t>
                    </w:r>
                  </w:p>
                </w:tc>
                <w:tc>
                  <w:tcPr>
                    <w:tcW w:w="133" w:type="pct"/>
                  </w:tcPr>
                  <w:p w14:paraId="789E3DE7" w14:textId="77777777" w:rsidR="00830E72" w:rsidRDefault="00830E72">
                    <w:pPr>
                      <w:jc w:val="right"/>
                      <w:rPr>
                        <w:sz w:val="15"/>
                        <w:szCs w:val="15"/>
                      </w:rPr>
                    </w:pPr>
                  </w:p>
                </w:tc>
                <w:tc>
                  <w:tcPr>
                    <w:tcW w:w="522" w:type="pct"/>
                  </w:tcPr>
                  <w:p w14:paraId="69B9AC98" w14:textId="77777777" w:rsidR="00830E72" w:rsidRDefault="008344D8">
                    <w:pPr>
                      <w:jc w:val="right"/>
                      <w:rPr>
                        <w:sz w:val="15"/>
                        <w:szCs w:val="15"/>
                      </w:rPr>
                    </w:pPr>
                    <w:r>
                      <w:rPr>
                        <w:sz w:val="15"/>
                        <w:szCs w:val="15"/>
                      </w:rPr>
                      <w:t>1,082,498,246.06</w:t>
                    </w:r>
                  </w:p>
                </w:tc>
                <w:tc>
                  <w:tcPr>
                    <w:tcW w:w="436" w:type="pct"/>
                  </w:tcPr>
                  <w:p w14:paraId="131F2FCB" w14:textId="77777777" w:rsidR="00830E72" w:rsidRDefault="008344D8">
                    <w:pPr>
                      <w:jc w:val="right"/>
                      <w:rPr>
                        <w:sz w:val="15"/>
                        <w:szCs w:val="15"/>
                      </w:rPr>
                    </w:pPr>
                    <w:r>
                      <w:rPr>
                        <w:sz w:val="15"/>
                        <w:szCs w:val="15"/>
                      </w:rPr>
                      <w:t>55,393,298.75</w:t>
                    </w:r>
                  </w:p>
                </w:tc>
                <w:tc>
                  <w:tcPr>
                    <w:tcW w:w="520" w:type="pct"/>
                  </w:tcPr>
                  <w:p w14:paraId="2E7939CA" w14:textId="77777777" w:rsidR="00830E72" w:rsidRDefault="008344D8">
                    <w:pPr>
                      <w:jc w:val="right"/>
                      <w:rPr>
                        <w:sz w:val="15"/>
                        <w:szCs w:val="15"/>
                      </w:rPr>
                    </w:pPr>
                    <w:r>
                      <w:rPr>
                        <w:sz w:val="15"/>
                        <w:szCs w:val="15"/>
                      </w:rPr>
                      <w:t>1,137,891,544.81</w:t>
                    </w:r>
                  </w:p>
                </w:tc>
              </w:tr>
              <w:tr w:rsidR="00830E72" w14:paraId="554A1B9A" w14:textId="77777777">
                <w:sdt>
                  <w:sdtPr>
                    <w:tag w:val="_PLD_186aec2424a047ee9af21797aa0ee0d8"/>
                    <w:id w:val="677239161"/>
                    <w:lock w:val="sdtLocked"/>
                  </w:sdtPr>
                  <w:sdtEndPr/>
                  <w:sdtContent>
                    <w:tc>
                      <w:tcPr>
                        <w:tcW w:w="261" w:type="pct"/>
                      </w:tcPr>
                      <w:p w14:paraId="645FD795" w14:textId="77777777" w:rsidR="00830E72" w:rsidRDefault="008344D8">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463" w:type="pct"/>
                  </w:tcPr>
                  <w:p w14:paraId="4BDE6358" w14:textId="77777777" w:rsidR="00830E72" w:rsidRDefault="00830E72">
                    <w:pPr>
                      <w:jc w:val="right"/>
                      <w:rPr>
                        <w:sz w:val="15"/>
                        <w:szCs w:val="15"/>
                      </w:rPr>
                    </w:pPr>
                  </w:p>
                </w:tc>
                <w:tc>
                  <w:tcPr>
                    <w:tcW w:w="133" w:type="pct"/>
                  </w:tcPr>
                  <w:p w14:paraId="2D95F63F" w14:textId="77777777" w:rsidR="00830E72" w:rsidRDefault="00830E72">
                    <w:pPr>
                      <w:jc w:val="right"/>
                      <w:rPr>
                        <w:sz w:val="15"/>
                        <w:szCs w:val="15"/>
                      </w:rPr>
                    </w:pPr>
                  </w:p>
                </w:tc>
                <w:tc>
                  <w:tcPr>
                    <w:tcW w:w="133" w:type="pct"/>
                  </w:tcPr>
                  <w:p w14:paraId="6D14891B" w14:textId="77777777" w:rsidR="00830E72" w:rsidRDefault="00830E72">
                    <w:pPr>
                      <w:jc w:val="right"/>
                      <w:rPr>
                        <w:sz w:val="15"/>
                        <w:szCs w:val="15"/>
                      </w:rPr>
                    </w:pPr>
                  </w:p>
                </w:tc>
                <w:tc>
                  <w:tcPr>
                    <w:tcW w:w="85" w:type="pct"/>
                    <w:gridSpan w:val="2"/>
                  </w:tcPr>
                  <w:p w14:paraId="47DCAFD1" w14:textId="77777777" w:rsidR="00830E72" w:rsidRDefault="00830E72">
                    <w:pPr>
                      <w:jc w:val="right"/>
                      <w:rPr>
                        <w:sz w:val="15"/>
                        <w:szCs w:val="15"/>
                      </w:rPr>
                    </w:pPr>
                  </w:p>
                </w:tc>
                <w:tc>
                  <w:tcPr>
                    <w:tcW w:w="524" w:type="pct"/>
                  </w:tcPr>
                  <w:p w14:paraId="7851CB0D" w14:textId="77777777" w:rsidR="00830E72" w:rsidRDefault="00830E72">
                    <w:pPr>
                      <w:jc w:val="right"/>
                      <w:rPr>
                        <w:sz w:val="15"/>
                        <w:szCs w:val="15"/>
                      </w:rPr>
                    </w:pPr>
                  </w:p>
                </w:tc>
                <w:tc>
                  <w:tcPr>
                    <w:tcW w:w="86" w:type="pct"/>
                  </w:tcPr>
                  <w:p w14:paraId="74E7A1AA" w14:textId="77777777" w:rsidR="00830E72" w:rsidRDefault="00830E72">
                    <w:pPr>
                      <w:jc w:val="right"/>
                      <w:rPr>
                        <w:sz w:val="15"/>
                        <w:szCs w:val="15"/>
                      </w:rPr>
                    </w:pPr>
                  </w:p>
                </w:tc>
                <w:tc>
                  <w:tcPr>
                    <w:tcW w:w="154" w:type="pct"/>
                  </w:tcPr>
                  <w:p w14:paraId="7531DEFB" w14:textId="77777777" w:rsidR="00830E72" w:rsidRDefault="00830E72">
                    <w:pPr>
                      <w:jc w:val="right"/>
                      <w:rPr>
                        <w:sz w:val="15"/>
                        <w:szCs w:val="15"/>
                      </w:rPr>
                    </w:pPr>
                  </w:p>
                </w:tc>
                <w:tc>
                  <w:tcPr>
                    <w:tcW w:w="460" w:type="pct"/>
                  </w:tcPr>
                  <w:p w14:paraId="15443680" w14:textId="77777777" w:rsidR="00830E72" w:rsidRDefault="008344D8">
                    <w:pPr>
                      <w:jc w:val="right"/>
                      <w:rPr>
                        <w:sz w:val="15"/>
                        <w:szCs w:val="15"/>
                      </w:rPr>
                    </w:pPr>
                    <w:r>
                      <w:rPr>
                        <w:sz w:val="15"/>
                        <w:szCs w:val="15"/>
                      </w:rPr>
                      <w:t>2,641,876.41</w:t>
                    </w:r>
                  </w:p>
                </w:tc>
                <w:tc>
                  <w:tcPr>
                    <w:tcW w:w="460" w:type="pct"/>
                  </w:tcPr>
                  <w:p w14:paraId="74EB94F4" w14:textId="77777777" w:rsidR="00830E72" w:rsidRDefault="00830E72">
                    <w:pPr>
                      <w:jc w:val="right"/>
                      <w:rPr>
                        <w:sz w:val="15"/>
                        <w:szCs w:val="15"/>
                      </w:rPr>
                    </w:pPr>
                  </w:p>
                </w:tc>
                <w:tc>
                  <w:tcPr>
                    <w:tcW w:w="102" w:type="pct"/>
                  </w:tcPr>
                  <w:p w14:paraId="0CBE4749" w14:textId="77777777" w:rsidR="00830E72" w:rsidRDefault="00830E72">
                    <w:pPr>
                      <w:jc w:val="right"/>
                      <w:rPr>
                        <w:sz w:val="15"/>
                        <w:szCs w:val="15"/>
                      </w:rPr>
                    </w:pPr>
                  </w:p>
                </w:tc>
                <w:tc>
                  <w:tcPr>
                    <w:tcW w:w="528" w:type="pct"/>
                  </w:tcPr>
                  <w:p w14:paraId="7AC16BB2" w14:textId="77777777" w:rsidR="00830E72" w:rsidRDefault="008344D8">
                    <w:pPr>
                      <w:jc w:val="right"/>
                      <w:rPr>
                        <w:sz w:val="15"/>
                        <w:szCs w:val="15"/>
                      </w:rPr>
                    </w:pPr>
                    <w:r>
                      <w:rPr>
                        <w:sz w:val="15"/>
                        <w:szCs w:val="15"/>
                      </w:rPr>
                      <w:t>-10,954,441.41</w:t>
                    </w:r>
                  </w:p>
                </w:tc>
                <w:tc>
                  <w:tcPr>
                    <w:tcW w:w="133" w:type="pct"/>
                  </w:tcPr>
                  <w:p w14:paraId="694D83FF" w14:textId="77777777" w:rsidR="00830E72" w:rsidRDefault="00830E72">
                    <w:pPr>
                      <w:jc w:val="right"/>
                      <w:rPr>
                        <w:sz w:val="15"/>
                        <w:szCs w:val="15"/>
                      </w:rPr>
                    </w:pPr>
                  </w:p>
                </w:tc>
                <w:tc>
                  <w:tcPr>
                    <w:tcW w:w="522" w:type="pct"/>
                  </w:tcPr>
                  <w:p w14:paraId="5DCDC30C" w14:textId="77777777" w:rsidR="00830E72" w:rsidRDefault="008344D8">
                    <w:pPr>
                      <w:jc w:val="right"/>
                      <w:rPr>
                        <w:sz w:val="15"/>
                        <w:szCs w:val="15"/>
                      </w:rPr>
                    </w:pPr>
                    <w:r>
                      <w:rPr>
                        <w:sz w:val="15"/>
                        <w:szCs w:val="15"/>
                      </w:rPr>
                      <w:t>-8,312,565.00</w:t>
                    </w:r>
                  </w:p>
                </w:tc>
                <w:tc>
                  <w:tcPr>
                    <w:tcW w:w="436" w:type="pct"/>
                  </w:tcPr>
                  <w:p w14:paraId="39C09567" w14:textId="77777777" w:rsidR="00830E72" w:rsidRDefault="008344D8">
                    <w:pPr>
                      <w:jc w:val="right"/>
                      <w:rPr>
                        <w:sz w:val="15"/>
                        <w:szCs w:val="15"/>
                      </w:rPr>
                    </w:pPr>
                    <w:r>
                      <w:rPr>
                        <w:sz w:val="15"/>
                        <w:szCs w:val="15"/>
                      </w:rPr>
                      <w:t>740,414.19</w:t>
                    </w:r>
                  </w:p>
                </w:tc>
                <w:tc>
                  <w:tcPr>
                    <w:tcW w:w="520" w:type="pct"/>
                  </w:tcPr>
                  <w:p w14:paraId="2C30556E" w14:textId="77777777" w:rsidR="00830E72" w:rsidRDefault="008344D8">
                    <w:pPr>
                      <w:jc w:val="right"/>
                      <w:rPr>
                        <w:sz w:val="15"/>
                        <w:szCs w:val="15"/>
                      </w:rPr>
                    </w:pPr>
                    <w:r>
                      <w:rPr>
                        <w:sz w:val="15"/>
                        <w:szCs w:val="15"/>
                      </w:rPr>
                      <w:t>-7,572,150.81</w:t>
                    </w:r>
                  </w:p>
                </w:tc>
              </w:tr>
              <w:tr w:rsidR="00830E72" w14:paraId="18ABCA6F" w14:textId="77777777">
                <w:sdt>
                  <w:sdtPr>
                    <w:tag w:val="_PLD_17bf1a1d144b41e18dbd63758cccc7b5"/>
                    <w:id w:val="1423073835"/>
                    <w:lock w:val="sdtLocked"/>
                  </w:sdtPr>
                  <w:sdtEndPr/>
                  <w:sdtContent>
                    <w:tc>
                      <w:tcPr>
                        <w:tcW w:w="261" w:type="pct"/>
                      </w:tcPr>
                      <w:p w14:paraId="1711B718" w14:textId="77777777" w:rsidR="00830E72" w:rsidRDefault="008344D8">
                        <w:pPr>
                          <w:rPr>
                            <w:sz w:val="18"/>
                            <w:szCs w:val="18"/>
                          </w:rPr>
                        </w:pPr>
                        <w:r>
                          <w:rPr>
                            <w:rFonts w:hint="eastAsia"/>
                            <w:sz w:val="18"/>
                            <w:szCs w:val="18"/>
                          </w:rPr>
                          <w:t>（一）综合收益总额</w:t>
                        </w:r>
                      </w:p>
                    </w:tc>
                  </w:sdtContent>
                </w:sdt>
                <w:tc>
                  <w:tcPr>
                    <w:tcW w:w="463" w:type="pct"/>
                  </w:tcPr>
                  <w:p w14:paraId="1DA9C686" w14:textId="77777777" w:rsidR="00830E72" w:rsidRDefault="00830E72">
                    <w:pPr>
                      <w:jc w:val="right"/>
                      <w:rPr>
                        <w:sz w:val="15"/>
                        <w:szCs w:val="15"/>
                      </w:rPr>
                    </w:pPr>
                  </w:p>
                </w:tc>
                <w:tc>
                  <w:tcPr>
                    <w:tcW w:w="133" w:type="pct"/>
                  </w:tcPr>
                  <w:p w14:paraId="1531BC01" w14:textId="77777777" w:rsidR="00830E72" w:rsidRDefault="00830E72">
                    <w:pPr>
                      <w:jc w:val="right"/>
                      <w:rPr>
                        <w:sz w:val="15"/>
                        <w:szCs w:val="15"/>
                      </w:rPr>
                    </w:pPr>
                  </w:p>
                </w:tc>
                <w:tc>
                  <w:tcPr>
                    <w:tcW w:w="133" w:type="pct"/>
                  </w:tcPr>
                  <w:p w14:paraId="3006241E" w14:textId="77777777" w:rsidR="00830E72" w:rsidRDefault="00830E72">
                    <w:pPr>
                      <w:jc w:val="right"/>
                      <w:rPr>
                        <w:sz w:val="15"/>
                        <w:szCs w:val="15"/>
                      </w:rPr>
                    </w:pPr>
                  </w:p>
                </w:tc>
                <w:tc>
                  <w:tcPr>
                    <w:tcW w:w="85" w:type="pct"/>
                    <w:gridSpan w:val="2"/>
                  </w:tcPr>
                  <w:p w14:paraId="76A45DC0" w14:textId="77777777" w:rsidR="00830E72" w:rsidRDefault="00830E72">
                    <w:pPr>
                      <w:jc w:val="right"/>
                      <w:rPr>
                        <w:sz w:val="15"/>
                        <w:szCs w:val="15"/>
                      </w:rPr>
                    </w:pPr>
                  </w:p>
                </w:tc>
                <w:tc>
                  <w:tcPr>
                    <w:tcW w:w="524" w:type="pct"/>
                  </w:tcPr>
                  <w:p w14:paraId="1AAD7A33" w14:textId="77777777" w:rsidR="00830E72" w:rsidRDefault="00830E72">
                    <w:pPr>
                      <w:jc w:val="right"/>
                      <w:rPr>
                        <w:sz w:val="15"/>
                        <w:szCs w:val="15"/>
                      </w:rPr>
                    </w:pPr>
                  </w:p>
                </w:tc>
                <w:tc>
                  <w:tcPr>
                    <w:tcW w:w="86" w:type="pct"/>
                  </w:tcPr>
                  <w:p w14:paraId="0C35BC4A" w14:textId="77777777" w:rsidR="00830E72" w:rsidRDefault="00830E72">
                    <w:pPr>
                      <w:jc w:val="right"/>
                      <w:rPr>
                        <w:sz w:val="15"/>
                        <w:szCs w:val="15"/>
                      </w:rPr>
                    </w:pPr>
                  </w:p>
                </w:tc>
                <w:tc>
                  <w:tcPr>
                    <w:tcW w:w="154" w:type="pct"/>
                  </w:tcPr>
                  <w:p w14:paraId="04851A7C" w14:textId="77777777" w:rsidR="00830E72" w:rsidRDefault="00830E72">
                    <w:pPr>
                      <w:jc w:val="right"/>
                      <w:rPr>
                        <w:sz w:val="15"/>
                        <w:szCs w:val="15"/>
                      </w:rPr>
                    </w:pPr>
                  </w:p>
                </w:tc>
                <w:tc>
                  <w:tcPr>
                    <w:tcW w:w="460" w:type="pct"/>
                  </w:tcPr>
                  <w:p w14:paraId="0155B1FC" w14:textId="77777777" w:rsidR="00830E72" w:rsidRDefault="00830E72">
                    <w:pPr>
                      <w:jc w:val="right"/>
                      <w:rPr>
                        <w:sz w:val="15"/>
                        <w:szCs w:val="15"/>
                      </w:rPr>
                    </w:pPr>
                  </w:p>
                </w:tc>
                <w:tc>
                  <w:tcPr>
                    <w:tcW w:w="460" w:type="pct"/>
                  </w:tcPr>
                  <w:p w14:paraId="4F99C718" w14:textId="77777777" w:rsidR="00830E72" w:rsidRDefault="00830E72">
                    <w:pPr>
                      <w:jc w:val="right"/>
                      <w:rPr>
                        <w:sz w:val="15"/>
                        <w:szCs w:val="15"/>
                      </w:rPr>
                    </w:pPr>
                  </w:p>
                </w:tc>
                <w:tc>
                  <w:tcPr>
                    <w:tcW w:w="102" w:type="pct"/>
                  </w:tcPr>
                  <w:p w14:paraId="5977C68D" w14:textId="77777777" w:rsidR="00830E72" w:rsidRDefault="00830E72">
                    <w:pPr>
                      <w:jc w:val="right"/>
                      <w:rPr>
                        <w:sz w:val="15"/>
                        <w:szCs w:val="15"/>
                      </w:rPr>
                    </w:pPr>
                  </w:p>
                </w:tc>
                <w:tc>
                  <w:tcPr>
                    <w:tcW w:w="528" w:type="pct"/>
                  </w:tcPr>
                  <w:p w14:paraId="6308E490" w14:textId="77777777" w:rsidR="00830E72" w:rsidRDefault="008344D8">
                    <w:pPr>
                      <w:jc w:val="right"/>
                      <w:rPr>
                        <w:sz w:val="15"/>
                        <w:szCs w:val="15"/>
                      </w:rPr>
                    </w:pPr>
                    <w:r>
                      <w:rPr>
                        <w:sz w:val="15"/>
                        <w:szCs w:val="15"/>
                      </w:rPr>
                      <w:t>38,945,558.59</w:t>
                    </w:r>
                  </w:p>
                </w:tc>
                <w:tc>
                  <w:tcPr>
                    <w:tcW w:w="133" w:type="pct"/>
                  </w:tcPr>
                  <w:p w14:paraId="6735643E" w14:textId="77777777" w:rsidR="00830E72" w:rsidRDefault="00830E72">
                    <w:pPr>
                      <w:jc w:val="right"/>
                      <w:rPr>
                        <w:sz w:val="15"/>
                        <w:szCs w:val="15"/>
                      </w:rPr>
                    </w:pPr>
                  </w:p>
                </w:tc>
                <w:tc>
                  <w:tcPr>
                    <w:tcW w:w="522" w:type="pct"/>
                  </w:tcPr>
                  <w:p w14:paraId="06538900" w14:textId="77777777" w:rsidR="00830E72" w:rsidRDefault="008344D8">
                    <w:pPr>
                      <w:jc w:val="right"/>
                      <w:rPr>
                        <w:sz w:val="15"/>
                        <w:szCs w:val="15"/>
                      </w:rPr>
                    </w:pPr>
                    <w:r>
                      <w:rPr>
                        <w:sz w:val="15"/>
                        <w:szCs w:val="15"/>
                      </w:rPr>
                      <w:t>38,945,558.59</w:t>
                    </w:r>
                  </w:p>
                </w:tc>
                <w:tc>
                  <w:tcPr>
                    <w:tcW w:w="436" w:type="pct"/>
                  </w:tcPr>
                  <w:p w14:paraId="4DBB7CBF" w14:textId="77777777" w:rsidR="00830E72" w:rsidRDefault="008344D8">
                    <w:pPr>
                      <w:jc w:val="right"/>
                      <w:rPr>
                        <w:sz w:val="15"/>
                        <w:szCs w:val="15"/>
                      </w:rPr>
                    </w:pPr>
                    <w:r>
                      <w:rPr>
                        <w:sz w:val="15"/>
                        <w:szCs w:val="15"/>
                      </w:rPr>
                      <w:t>740,414.19</w:t>
                    </w:r>
                  </w:p>
                </w:tc>
                <w:tc>
                  <w:tcPr>
                    <w:tcW w:w="520" w:type="pct"/>
                  </w:tcPr>
                  <w:p w14:paraId="2CAD8A9F" w14:textId="77777777" w:rsidR="00830E72" w:rsidRDefault="008344D8">
                    <w:pPr>
                      <w:jc w:val="right"/>
                      <w:rPr>
                        <w:sz w:val="15"/>
                        <w:szCs w:val="15"/>
                      </w:rPr>
                    </w:pPr>
                    <w:r>
                      <w:rPr>
                        <w:sz w:val="15"/>
                        <w:szCs w:val="15"/>
                      </w:rPr>
                      <w:t>39,685,972.78</w:t>
                    </w:r>
                  </w:p>
                </w:tc>
              </w:tr>
              <w:tr w:rsidR="00830E72" w14:paraId="09E0627A" w14:textId="77777777">
                <w:sdt>
                  <w:sdtPr>
                    <w:tag w:val="_PLD_d55056423dbf4ac187d64bd43c03aca3"/>
                    <w:id w:val="-1137177515"/>
                    <w:lock w:val="sdtLocked"/>
                  </w:sdtPr>
                  <w:sdtEndPr/>
                  <w:sdtContent>
                    <w:tc>
                      <w:tcPr>
                        <w:tcW w:w="261" w:type="pct"/>
                      </w:tcPr>
                      <w:p w14:paraId="1181C18B" w14:textId="77777777" w:rsidR="00830E72" w:rsidRDefault="008344D8">
                        <w:pPr>
                          <w:rPr>
                            <w:sz w:val="18"/>
                            <w:szCs w:val="18"/>
                          </w:rPr>
                        </w:pPr>
                        <w:r>
                          <w:rPr>
                            <w:sz w:val="18"/>
                            <w:szCs w:val="18"/>
                          </w:rPr>
                          <w:t>（</w:t>
                        </w:r>
                        <w:r>
                          <w:rPr>
                            <w:rFonts w:hint="eastAsia"/>
                            <w:sz w:val="18"/>
                            <w:szCs w:val="18"/>
                          </w:rPr>
                          <w:t>二</w:t>
                        </w:r>
                        <w:r>
                          <w:rPr>
                            <w:sz w:val="18"/>
                            <w:szCs w:val="18"/>
                          </w:rPr>
                          <w:t>）所有者投入和减少资本</w:t>
                        </w:r>
                      </w:p>
                    </w:tc>
                  </w:sdtContent>
                </w:sdt>
                <w:tc>
                  <w:tcPr>
                    <w:tcW w:w="463" w:type="pct"/>
                  </w:tcPr>
                  <w:p w14:paraId="39EAB455" w14:textId="77777777" w:rsidR="00830E72" w:rsidRDefault="00830E72">
                    <w:pPr>
                      <w:jc w:val="right"/>
                      <w:rPr>
                        <w:sz w:val="15"/>
                        <w:szCs w:val="15"/>
                      </w:rPr>
                    </w:pPr>
                  </w:p>
                </w:tc>
                <w:tc>
                  <w:tcPr>
                    <w:tcW w:w="133" w:type="pct"/>
                  </w:tcPr>
                  <w:p w14:paraId="7C14FB9D" w14:textId="77777777" w:rsidR="00830E72" w:rsidRDefault="00830E72">
                    <w:pPr>
                      <w:jc w:val="right"/>
                      <w:rPr>
                        <w:sz w:val="15"/>
                        <w:szCs w:val="15"/>
                      </w:rPr>
                    </w:pPr>
                  </w:p>
                </w:tc>
                <w:tc>
                  <w:tcPr>
                    <w:tcW w:w="133" w:type="pct"/>
                  </w:tcPr>
                  <w:p w14:paraId="4C05B4F7" w14:textId="77777777" w:rsidR="00830E72" w:rsidRDefault="00830E72">
                    <w:pPr>
                      <w:jc w:val="right"/>
                      <w:rPr>
                        <w:sz w:val="15"/>
                        <w:szCs w:val="15"/>
                      </w:rPr>
                    </w:pPr>
                  </w:p>
                </w:tc>
                <w:tc>
                  <w:tcPr>
                    <w:tcW w:w="85" w:type="pct"/>
                    <w:gridSpan w:val="2"/>
                  </w:tcPr>
                  <w:p w14:paraId="11FC362F" w14:textId="77777777" w:rsidR="00830E72" w:rsidRDefault="00830E72">
                    <w:pPr>
                      <w:jc w:val="right"/>
                      <w:rPr>
                        <w:sz w:val="15"/>
                        <w:szCs w:val="15"/>
                      </w:rPr>
                    </w:pPr>
                  </w:p>
                </w:tc>
                <w:tc>
                  <w:tcPr>
                    <w:tcW w:w="524" w:type="pct"/>
                  </w:tcPr>
                  <w:p w14:paraId="13B7635F" w14:textId="77777777" w:rsidR="00830E72" w:rsidRDefault="00830E72">
                    <w:pPr>
                      <w:jc w:val="right"/>
                      <w:rPr>
                        <w:sz w:val="15"/>
                        <w:szCs w:val="15"/>
                      </w:rPr>
                    </w:pPr>
                  </w:p>
                </w:tc>
                <w:tc>
                  <w:tcPr>
                    <w:tcW w:w="86" w:type="pct"/>
                  </w:tcPr>
                  <w:p w14:paraId="7D6BF31F" w14:textId="77777777" w:rsidR="00830E72" w:rsidRDefault="00830E72">
                    <w:pPr>
                      <w:jc w:val="right"/>
                      <w:rPr>
                        <w:sz w:val="15"/>
                        <w:szCs w:val="15"/>
                      </w:rPr>
                    </w:pPr>
                  </w:p>
                </w:tc>
                <w:tc>
                  <w:tcPr>
                    <w:tcW w:w="154" w:type="pct"/>
                  </w:tcPr>
                  <w:p w14:paraId="315AF4A2" w14:textId="77777777" w:rsidR="00830E72" w:rsidRDefault="00830E72">
                    <w:pPr>
                      <w:jc w:val="right"/>
                      <w:rPr>
                        <w:sz w:val="15"/>
                        <w:szCs w:val="15"/>
                      </w:rPr>
                    </w:pPr>
                  </w:p>
                </w:tc>
                <w:tc>
                  <w:tcPr>
                    <w:tcW w:w="460" w:type="pct"/>
                  </w:tcPr>
                  <w:p w14:paraId="0967B4CF" w14:textId="77777777" w:rsidR="00830E72" w:rsidRDefault="00830E72">
                    <w:pPr>
                      <w:jc w:val="right"/>
                      <w:rPr>
                        <w:sz w:val="15"/>
                        <w:szCs w:val="15"/>
                      </w:rPr>
                    </w:pPr>
                  </w:p>
                </w:tc>
                <w:tc>
                  <w:tcPr>
                    <w:tcW w:w="460" w:type="pct"/>
                  </w:tcPr>
                  <w:p w14:paraId="6A902763" w14:textId="77777777" w:rsidR="00830E72" w:rsidRDefault="00830E72">
                    <w:pPr>
                      <w:jc w:val="right"/>
                      <w:rPr>
                        <w:sz w:val="15"/>
                        <w:szCs w:val="15"/>
                      </w:rPr>
                    </w:pPr>
                  </w:p>
                </w:tc>
                <w:tc>
                  <w:tcPr>
                    <w:tcW w:w="102" w:type="pct"/>
                  </w:tcPr>
                  <w:p w14:paraId="3743F807" w14:textId="77777777" w:rsidR="00830E72" w:rsidRDefault="00830E72">
                    <w:pPr>
                      <w:jc w:val="right"/>
                      <w:rPr>
                        <w:sz w:val="15"/>
                        <w:szCs w:val="15"/>
                      </w:rPr>
                    </w:pPr>
                  </w:p>
                </w:tc>
                <w:tc>
                  <w:tcPr>
                    <w:tcW w:w="528" w:type="pct"/>
                  </w:tcPr>
                  <w:p w14:paraId="458EF012" w14:textId="77777777" w:rsidR="00830E72" w:rsidRDefault="00830E72">
                    <w:pPr>
                      <w:jc w:val="right"/>
                      <w:rPr>
                        <w:sz w:val="15"/>
                        <w:szCs w:val="15"/>
                      </w:rPr>
                    </w:pPr>
                  </w:p>
                </w:tc>
                <w:tc>
                  <w:tcPr>
                    <w:tcW w:w="133" w:type="pct"/>
                  </w:tcPr>
                  <w:p w14:paraId="179CBFFA" w14:textId="77777777" w:rsidR="00830E72" w:rsidRDefault="00830E72">
                    <w:pPr>
                      <w:jc w:val="right"/>
                      <w:rPr>
                        <w:sz w:val="15"/>
                        <w:szCs w:val="15"/>
                      </w:rPr>
                    </w:pPr>
                  </w:p>
                </w:tc>
                <w:tc>
                  <w:tcPr>
                    <w:tcW w:w="522" w:type="pct"/>
                  </w:tcPr>
                  <w:p w14:paraId="737DA0B3" w14:textId="77777777" w:rsidR="00830E72" w:rsidRDefault="00830E72">
                    <w:pPr>
                      <w:jc w:val="right"/>
                      <w:rPr>
                        <w:sz w:val="15"/>
                        <w:szCs w:val="15"/>
                      </w:rPr>
                    </w:pPr>
                  </w:p>
                </w:tc>
                <w:tc>
                  <w:tcPr>
                    <w:tcW w:w="436" w:type="pct"/>
                  </w:tcPr>
                  <w:p w14:paraId="358AECC9" w14:textId="77777777" w:rsidR="00830E72" w:rsidRDefault="00830E72">
                    <w:pPr>
                      <w:jc w:val="right"/>
                      <w:rPr>
                        <w:sz w:val="15"/>
                        <w:szCs w:val="15"/>
                      </w:rPr>
                    </w:pPr>
                  </w:p>
                </w:tc>
                <w:tc>
                  <w:tcPr>
                    <w:tcW w:w="520" w:type="pct"/>
                  </w:tcPr>
                  <w:p w14:paraId="2DAABB4E" w14:textId="77777777" w:rsidR="00830E72" w:rsidRDefault="00830E72">
                    <w:pPr>
                      <w:jc w:val="right"/>
                      <w:rPr>
                        <w:sz w:val="15"/>
                        <w:szCs w:val="15"/>
                      </w:rPr>
                    </w:pPr>
                  </w:p>
                </w:tc>
              </w:tr>
              <w:tr w:rsidR="00830E72" w14:paraId="04460BF4" w14:textId="77777777">
                <w:sdt>
                  <w:sdtPr>
                    <w:tag w:val="_PLD_284541025868477ca26973c13dd9ff9e"/>
                    <w:id w:val="814378611"/>
                    <w:lock w:val="sdtLocked"/>
                  </w:sdtPr>
                  <w:sdtEndPr/>
                  <w:sdtContent>
                    <w:tc>
                      <w:tcPr>
                        <w:tcW w:w="261" w:type="pct"/>
                      </w:tcPr>
                      <w:p w14:paraId="002E8C36" w14:textId="77777777" w:rsidR="00830E72" w:rsidRDefault="008344D8">
                        <w:pPr>
                          <w:rPr>
                            <w:sz w:val="18"/>
                            <w:szCs w:val="18"/>
                          </w:rPr>
                        </w:pPr>
                        <w:r>
                          <w:rPr>
                            <w:rFonts w:hint="eastAsia"/>
                            <w:sz w:val="18"/>
                            <w:szCs w:val="18"/>
                          </w:rPr>
                          <w:t>1．所有者投入的普通股</w:t>
                        </w:r>
                      </w:p>
                    </w:tc>
                  </w:sdtContent>
                </w:sdt>
                <w:tc>
                  <w:tcPr>
                    <w:tcW w:w="463" w:type="pct"/>
                  </w:tcPr>
                  <w:p w14:paraId="14C59556" w14:textId="77777777" w:rsidR="00830E72" w:rsidRDefault="00830E72">
                    <w:pPr>
                      <w:jc w:val="right"/>
                      <w:rPr>
                        <w:sz w:val="15"/>
                        <w:szCs w:val="15"/>
                      </w:rPr>
                    </w:pPr>
                  </w:p>
                </w:tc>
                <w:tc>
                  <w:tcPr>
                    <w:tcW w:w="133" w:type="pct"/>
                  </w:tcPr>
                  <w:p w14:paraId="7AFED40A" w14:textId="77777777" w:rsidR="00830E72" w:rsidRDefault="00830E72">
                    <w:pPr>
                      <w:jc w:val="right"/>
                      <w:rPr>
                        <w:sz w:val="15"/>
                        <w:szCs w:val="15"/>
                      </w:rPr>
                    </w:pPr>
                  </w:p>
                </w:tc>
                <w:tc>
                  <w:tcPr>
                    <w:tcW w:w="133" w:type="pct"/>
                  </w:tcPr>
                  <w:p w14:paraId="1D197D00" w14:textId="77777777" w:rsidR="00830E72" w:rsidRDefault="00830E72">
                    <w:pPr>
                      <w:jc w:val="right"/>
                      <w:rPr>
                        <w:sz w:val="15"/>
                        <w:szCs w:val="15"/>
                      </w:rPr>
                    </w:pPr>
                  </w:p>
                </w:tc>
                <w:tc>
                  <w:tcPr>
                    <w:tcW w:w="85" w:type="pct"/>
                    <w:gridSpan w:val="2"/>
                  </w:tcPr>
                  <w:p w14:paraId="75DD2E4E" w14:textId="77777777" w:rsidR="00830E72" w:rsidRDefault="00830E72">
                    <w:pPr>
                      <w:jc w:val="right"/>
                      <w:rPr>
                        <w:sz w:val="15"/>
                        <w:szCs w:val="15"/>
                      </w:rPr>
                    </w:pPr>
                  </w:p>
                </w:tc>
                <w:tc>
                  <w:tcPr>
                    <w:tcW w:w="524" w:type="pct"/>
                  </w:tcPr>
                  <w:p w14:paraId="41466736" w14:textId="77777777" w:rsidR="00830E72" w:rsidRDefault="00830E72">
                    <w:pPr>
                      <w:jc w:val="right"/>
                      <w:rPr>
                        <w:sz w:val="15"/>
                        <w:szCs w:val="15"/>
                      </w:rPr>
                    </w:pPr>
                  </w:p>
                </w:tc>
                <w:tc>
                  <w:tcPr>
                    <w:tcW w:w="86" w:type="pct"/>
                  </w:tcPr>
                  <w:p w14:paraId="44F26CA4" w14:textId="77777777" w:rsidR="00830E72" w:rsidRDefault="00830E72">
                    <w:pPr>
                      <w:jc w:val="right"/>
                      <w:rPr>
                        <w:sz w:val="15"/>
                        <w:szCs w:val="15"/>
                      </w:rPr>
                    </w:pPr>
                  </w:p>
                </w:tc>
                <w:tc>
                  <w:tcPr>
                    <w:tcW w:w="154" w:type="pct"/>
                  </w:tcPr>
                  <w:p w14:paraId="233EAA3E" w14:textId="77777777" w:rsidR="00830E72" w:rsidRDefault="00830E72">
                    <w:pPr>
                      <w:jc w:val="right"/>
                      <w:rPr>
                        <w:sz w:val="15"/>
                        <w:szCs w:val="15"/>
                      </w:rPr>
                    </w:pPr>
                  </w:p>
                </w:tc>
                <w:tc>
                  <w:tcPr>
                    <w:tcW w:w="460" w:type="pct"/>
                  </w:tcPr>
                  <w:p w14:paraId="3615DE1F" w14:textId="77777777" w:rsidR="00830E72" w:rsidRDefault="00830E72">
                    <w:pPr>
                      <w:jc w:val="right"/>
                      <w:rPr>
                        <w:sz w:val="15"/>
                        <w:szCs w:val="15"/>
                      </w:rPr>
                    </w:pPr>
                  </w:p>
                </w:tc>
                <w:tc>
                  <w:tcPr>
                    <w:tcW w:w="460" w:type="pct"/>
                  </w:tcPr>
                  <w:p w14:paraId="7FF71DAE" w14:textId="77777777" w:rsidR="00830E72" w:rsidRDefault="00830E72">
                    <w:pPr>
                      <w:jc w:val="right"/>
                      <w:rPr>
                        <w:sz w:val="15"/>
                        <w:szCs w:val="15"/>
                      </w:rPr>
                    </w:pPr>
                  </w:p>
                </w:tc>
                <w:tc>
                  <w:tcPr>
                    <w:tcW w:w="102" w:type="pct"/>
                  </w:tcPr>
                  <w:p w14:paraId="463A94EC" w14:textId="77777777" w:rsidR="00830E72" w:rsidRDefault="00830E72">
                    <w:pPr>
                      <w:jc w:val="right"/>
                      <w:rPr>
                        <w:sz w:val="15"/>
                        <w:szCs w:val="15"/>
                      </w:rPr>
                    </w:pPr>
                  </w:p>
                </w:tc>
                <w:tc>
                  <w:tcPr>
                    <w:tcW w:w="528" w:type="pct"/>
                  </w:tcPr>
                  <w:p w14:paraId="506FED30" w14:textId="77777777" w:rsidR="00830E72" w:rsidRDefault="00830E72">
                    <w:pPr>
                      <w:jc w:val="right"/>
                      <w:rPr>
                        <w:sz w:val="15"/>
                        <w:szCs w:val="15"/>
                      </w:rPr>
                    </w:pPr>
                  </w:p>
                </w:tc>
                <w:tc>
                  <w:tcPr>
                    <w:tcW w:w="133" w:type="pct"/>
                  </w:tcPr>
                  <w:p w14:paraId="70EB20E7" w14:textId="77777777" w:rsidR="00830E72" w:rsidRDefault="00830E72">
                    <w:pPr>
                      <w:jc w:val="right"/>
                      <w:rPr>
                        <w:sz w:val="15"/>
                        <w:szCs w:val="15"/>
                      </w:rPr>
                    </w:pPr>
                  </w:p>
                </w:tc>
                <w:tc>
                  <w:tcPr>
                    <w:tcW w:w="522" w:type="pct"/>
                  </w:tcPr>
                  <w:p w14:paraId="075A2F4A" w14:textId="77777777" w:rsidR="00830E72" w:rsidRDefault="00830E72">
                    <w:pPr>
                      <w:jc w:val="right"/>
                      <w:rPr>
                        <w:sz w:val="15"/>
                        <w:szCs w:val="15"/>
                      </w:rPr>
                    </w:pPr>
                  </w:p>
                </w:tc>
                <w:tc>
                  <w:tcPr>
                    <w:tcW w:w="436" w:type="pct"/>
                  </w:tcPr>
                  <w:p w14:paraId="29D4D69E" w14:textId="77777777" w:rsidR="00830E72" w:rsidRDefault="00830E72">
                    <w:pPr>
                      <w:jc w:val="right"/>
                      <w:rPr>
                        <w:sz w:val="15"/>
                        <w:szCs w:val="15"/>
                      </w:rPr>
                    </w:pPr>
                  </w:p>
                </w:tc>
                <w:tc>
                  <w:tcPr>
                    <w:tcW w:w="520" w:type="pct"/>
                  </w:tcPr>
                  <w:p w14:paraId="653A2FBB" w14:textId="77777777" w:rsidR="00830E72" w:rsidRDefault="00830E72">
                    <w:pPr>
                      <w:jc w:val="right"/>
                      <w:rPr>
                        <w:sz w:val="15"/>
                        <w:szCs w:val="15"/>
                      </w:rPr>
                    </w:pPr>
                  </w:p>
                </w:tc>
              </w:tr>
              <w:tr w:rsidR="00830E72" w14:paraId="1D8F407F" w14:textId="77777777">
                <w:sdt>
                  <w:sdtPr>
                    <w:tag w:val="_PLD_13b4ec8d0fe34f9797d68eab8f95768d"/>
                    <w:id w:val="851850699"/>
                    <w:lock w:val="sdtLocked"/>
                  </w:sdtPr>
                  <w:sdtEndPr/>
                  <w:sdtContent>
                    <w:tc>
                      <w:tcPr>
                        <w:tcW w:w="261" w:type="pct"/>
                      </w:tcPr>
                      <w:p w14:paraId="0E453C27" w14:textId="77777777" w:rsidR="00830E72" w:rsidRDefault="008344D8">
                        <w:pPr>
                          <w:rPr>
                            <w:sz w:val="18"/>
                            <w:szCs w:val="18"/>
                          </w:rPr>
                        </w:pPr>
                        <w:r>
                          <w:rPr>
                            <w:rFonts w:hint="eastAsia"/>
                            <w:sz w:val="18"/>
                            <w:szCs w:val="18"/>
                          </w:rPr>
                          <w:t>2．其他权益工具持有者投入资本</w:t>
                        </w:r>
                      </w:p>
                    </w:tc>
                  </w:sdtContent>
                </w:sdt>
                <w:tc>
                  <w:tcPr>
                    <w:tcW w:w="463" w:type="pct"/>
                  </w:tcPr>
                  <w:p w14:paraId="1121539A" w14:textId="77777777" w:rsidR="00830E72" w:rsidRDefault="00830E72">
                    <w:pPr>
                      <w:jc w:val="right"/>
                      <w:rPr>
                        <w:sz w:val="15"/>
                        <w:szCs w:val="15"/>
                      </w:rPr>
                    </w:pPr>
                  </w:p>
                </w:tc>
                <w:tc>
                  <w:tcPr>
                    <w:tcW w:w="133" w:type="pct"/>
                  </w:tcPr>
                  <w:p w14:paraId="4690ED99" w14:textId="77777777" w:rsidR="00830E72" w:rsidRDefault="00830E72">
                    <w:pPr>
                      <w:jc w:val="right"/>
                      <w:rPr>
                        <w:sz w:val="15"/>
                        <w:szCs w:val="15"/>
                      </w:rPr>
                    </w:pPr>
                  </w:p>
                </w:tc>
                <w:tc>
                  <w:tcPr>
                    <w:tcW w:w="133" w:type="pct"/>
                  </w:tcPr>
                  <w:p w14:paraId="40F7D854" w14:textId="77777777" w:rsidR="00830E72" w:rsidRDefault="00830E72">
                    <w:pPr>
                      <w:jc w:val="right"/>
                      <w:rPr>
                        <w:sz w:val="15"/>
                        <w:szCs w:val="15"/>
                      </w:rPr>
                    </w:pPr>
                  </w:p>
                </w:tc>
                <w:tc>
                  <w:tcPr>
                    <w:tcW w:w="85" w:type="pct"/>
                    <w:gridSpan w:val="2"/>
                  </w:tcPr>
                  <w:p w14:paraId="7F32EEDF" w14:textId="77777777" w:rsidR="00830E72" w:rsidRDefault="00830E72">
                    <w:pPr>
                      <w:jc w:val="right"/>
                      <w:rPr>
                        <w:sz w:val="15"/>
                        <w:szCs w:val="15"/>
                      </w:rPr>
                    </w:pPr>
                  </w:p>
                </w:tc>
                <w:tc>
                  <w:tcPr>
                    <w:tcW w:w="524" w:type="pct"/>
                  </w:tcPr>
                  <w:p w14:paraId="6002D17A" w14:textId="77777777" w:rsidR="00830E72" w:rsidRDefault="00830E72">
                    <w:pPr>
                      <w:jc w:val="right"/>
                      <w:rPr>
                        <w:sz w:val="15"/>
                        <w:szCs w:val="15"/>
                      </w:rPr>
                    </w:pPr>
                  </w:p>
                </w:tc>
                <w:tc>
                  <w:tcPr>
                    <w:tcW w:w="86" w:type="pct"/>
                  </w:tcPr>
                  <w:p w14:paraId="672B27E2" w14:textId="77777777" w:rsidR="00830E72" w:rsidRDefault="00830E72">
                    <w:pPr>
                      <w:jc w:val="right"/>
                      <w:rPr>
                        <w:sz w:val="15"/>
                        <w:szCs w:val="15"/>
                      </w:rPr>
                    </w:pPr>
                  </w:p>
                </w:tc>
                <w:tc>
                  <w:tcPr>
                    <w:tcW w:w="154" w:type="pct"/>
                  </w:tcPr>
                  <w:p w14:paraId="7DA5FEE3" w14:textId="77777777" w:rsidR="00830E72" w:rsidRDefault="00830E72">
                    <w:pPr>
                      <w:jc w:val="right"/>
                      <w:rPr>
                        <w:sz w:val="15"/>
                        <w:szCs w:val="15"/>
                      </w:rPr>
                    </w:pPr>
                  </w:p>
                </w:tc>
                <w:tc>
                  <w:tcPr>
                    <w:tcW w:w="460" w:type="pct"/>
                  </w:tcPr>
                  <w:p w14:paraId="643038FB" w14:textId="77777777" w:rsidR="00830E72" w:rsidRDefault="00830E72">
                    <w:pPr>
                      <w:jc w:val="right"/>
                      <w:rPr>
                        <w:sz w:val="15"/>
                        <w:szCs w:val="15"/>
                      </w:rPr>
                    </w:pPr>
                  </w:p>
                </w:tc>
                <w:tc>
                  <w:tcPr>
                    <w:tcW w:w="460" w:type="pct"/>
                  </w:tcPr>
                  <w:p w14:paraId="2906F264" w14:textId="77777777" w:rsidR="00830E72" w:rsidRDefault="00830E72">
                    <w:pPr>
                      <w:jc w:val="right"/>
                      <w:rPr>
                        <w:sz w:val="15"/>
                        <w:szCs w:val="15"/>
                      </w:rPr>
                    </w:pPr>
                  </w:p>
                </w:tc>
                <w:tc>
                  <w:tcPr>
                    <w:tcW w:w="102" w:type="pct"/>
                  </w:tcPr>
                  <w:p w14:paraId="0A8DADD0" w14:textId="77777777" w:rsidR="00830E72" w:rsidRDefault="00830E72">
                    <w:pPr>
                      <w:jc w:val="right"/>
                      <w:rPr>
                        <w:sz w:val="15"/>
                        <w:szCs w:val="15"/>
                      </w:rPr>
                    </w:pPr>
                  </w:p>
                </w:tc>
                <w:tc>
                  <w:tcPr>
                    <w:tcW w:w="528" w:type="pct"/>
                  </w:tcPr>
                  <w:p w14:paraId="7851C2FA" w14:textId="77777777" w:rsidR="00830E72" w:rsidRDefault="00830E72">
                    <w:pPr>
                      <w:jc w:val="right"/>
                      <w:rPr>
                        <w:sz w:val="15"/>
                        <w:szCs w:val="15"/>
                      </w:rPr>
                    </w:pPr>
                  </w:p>
                </w:tc>
                <w:tc>
                  <w:tcPr>
                    <w:tcW w:w="133" w:type="pct"/>
                  </w:tcPr>
                  <w:p w14:paraId="73B1D66C" w14:textId="77777777" w:rsidR="00830E72" w:rsidRDefault="00830E72">
                    <w:pPr>
                      <w:jc w:val="right"/>
                      <w:rPr>
                        <w:sz w:val="15"/>
                        <w:szCs w:val="15"/>
                      </w:rPr>
                    </w:pPr>
                  </w:p>
                </w:tc>
                <w:tc>
                  <w:tcPr>
                    <w:tcW w:w="522" w:type="pct"/>
                  </w:tcPr>
                  <w:p w14:paraId="087BD2C4" w14:textId="77777777" w:rsidR="00830E72" w:rsidRDefault="00830E72">
                    <w:pPr>
                      <w:jc w:val="right"/>
                      <w:rPr>
                        <w:sz w:val="15"/>
                        <w:szCs w:val="15"/>
                      </w:rPr>
                    </w:pPr>
                  </w:p>
                </w:tc>
                <w:tc>
                  <w:tcPr>
                    <w:tcW w:w="436" w:type="pct"/>
                  </w:tcPr>
                  <w:p w14:paraId="1151617A" w14:textId="77777777" w:rsidR="00830E72" w:rsidRDefault="00830E72">
                    <w:pPr>
                      <w:jc w:val="right"/>
                      <w:rPr>
                        <w:sz w:val="15"/>
                        <w:szCs w:val="15"/>
                      </w:rPr>
                    </w:pPr>
                  </w:p>
                </w:tc>
                <w:tc>
                  <w:tcPr>
                    <w:tcW w:w="520" w:type="pct"/>
                  </w:tcPr>
                  <w:p w14:paraId="7A15489A" w14:textId="77777777" w:rsidR="00830E72" w:rsidRDefault="00830E72">
                    <w:pPr>
                      <w:jc w:val="right"/>
                      <w:rPr>
                        <w:sz w:val="15"/>
                        <w:szCs w:val="15"/>
                      </w:rPr>
                    </w:pPr>
                  </w:p>
                </w:tc>
              </w:tr>
              <w:tr w:rsidR="00830E72" w14:paraId="5F3A0147" w14:textId="77777777">
                <w:sdt>
                  <w:sdtPr>
                    <w:tag w:val="_PLD_f1f3be9263a748c28f276e78f447b133"/>
                    <w:id w:val="330040096"/>
                    <w:lock w:val="sdtLocked"/>
                  </w:sdtPr>
                  <w:sdtEndPr/>
                  <w:sdtContent>
                    <w:tc>
                      <w:tcPr>
                        <w:tcW w:w="261" w:type="pct"/>
                      </w:tcPr>
                      <w:p w14:paraId="1BAA080E" w14:textId="77777777" w:rsidR="00830E72" w:rsidRDefault="008344D8">
                        <w:pPr>
                          <w:rPr>
                            <w:sz w:val="18"/>
                            <w:szCs w:val="18"/>
                          </w:rPr>
                        </w:pPr>
                        <w:r>
                          <w:rPr>
                            <w:rFonts w:hint="eastAsia"/>
                            <w:sz w:val="18"/>
                            <w:szCs w:val="18"/>
                          </w:rPr>
                          <w:t>3</w:t>
                        </w:r>
                        <w:r>
                          <w:rPr>
                            <w:sz w:val="18"/>
                            <w:szCs w:val="18"/>
                          </w:rPr>
                          <w:t>．股份支付计入所有者权益的金额</w:t>
                        </w:r>
                      </w:p>
                    </w:tc>
                  </w:sdtContent>
                </w:sdt>
                <w:tc>
                  <w:tcPr>
                    <w:tcW w:w="463" w:type="pct"/>
                  </w:tcPr>
                  <w:p w14:paraId="6503B23D" w14:textId="77777777" w:rsidR="00830E72" w:rsidRDefault="00830E72">
                    <w:pPr>
                      <w:jc w:val="right"/>
                      <w:rPr>
                        <w:sz w:val="15"/>
                        <w:szCs w:val="15"/>
                      </w:rPr>
                    </w:pPr>
                  </w:p>
                </w:tc>
                <w:tc>
                  <w:tcPr>
                    <w:tcW w:w="133" w:type="pct"/>
                  </w:tcPr>
                  <w:p w14:paraId="59D9ADFE" w14:textId="77777777" w:rsidR="00830E72" w:rsidRDefault="00830E72">
                    <w:pPr>
                      <w:jc w:val="right"/>
                      <w:rPr>
                        <w:sz w:val="15"/>
                        <w:szCs w:val="15"/>
                      </w:rPr>
                    </w:pPr>
                  </w:p>
                </w:tc>
                <w:tc>
                  <w:tcPr>
                    <w:tcW w:w="133" w:type="pct"/>
                  </w:tcPr>
                  <w:p w14:paraId="0EF4CF54" w14:textId="77777777" w:rsidR="00830E72" w:rsidRDefault="00830E72">
                    <w:pPr>
                      <w:jc w:val="right"/>
                      <w:rPr>
                        <w:sz w:val="15"/>
                        <w:szCs w:val="15"/>
                      </w:rPr>
                    </w:pPr>
                  </w:p>
                </w:tc>
                <w:tc>
                  <w:tcPr>
                    <w:tcW w:w="85" w:type="pct"/>
                    <w:gridSpan w:val="2"/>
                  </w:tcPr>
                  <w:p w14:paraId="60C28C20" w14:textId="77777777" w:rsidR="00830E72" w:rsidRDefault="00830E72">
                    <w:pPr>
                      <w:jc w:val="right"/>
                      <w:rPr>
                        <w:sz w:val="15"/>
                        <w:szCs w:val="15"/>
                      </w:rPr>
                    </w:pPr>
                  </w:p>
                </w:tc>
                <w:tc>
                  <w:tcPr>
                    <w:tcW w:w="524" w:type="pct"/>
                  </w:tcPr>
                  <w:p w14:paraId="228693D3" w14:textId="77777777" w:rsidR="00830E72" w:rsidRDefault="00830E72">
                    <w:pPr>
                      <w:jc w:val="right"/>
                      <w:rPr>
                        <w:sz w:val="15"/>
                        <w:szCs w:val="15"/>
                      </w:rPr>
                    </w:pPr>
                  </w:p>
                </w:tc>
                <w:tc>
                  <w:tcPr>
                    <w:tcW w:w="86" w:type="pct"/>
                  </w:tcPr>
                  <w:p w14:paraId="1FE1C438" w14:textId="77777777" w:rsidR="00830E72" w:rsidRDefault="00830E72">
                    <w:pPr>
                      <w:jc w:val="right"/>
                      <w:rPr>
                        <w:sz w:val="15"/>
                        <w:szCs w:val="15"/>
                      </w:rPr>
                    </w:pPr>
                  </w:p>
                </w:tc>
                <w:tc>
                  <w:tcPr>
                    <w:tcW w:w="154" w:type="pct"/>
                  </w:tcPr>
                  <w:p w14:paraId="33316585" w14:textId="77777777" w:rsidR="00830E72" w:rsidRDefault="00830E72">
                    <w:pPr>
                      <w:jc w:val="right"/>
                      <w:rPr>
                        <w:sz w:val="15"/>
                        <w:szCs w:val="15"/>
                      </w:rPr>
                    </w:pPr>
                  </w:p>
                </w:tc>
                <w:tc>
                  <w:tcPr>
                    <w:tcW w:w="460" w:type="pct"/>
                  </w:tcPr>
                  <w:p w14:paraId="09107C9B" w14:textId="77777777" w:rsidR="00830E72" w:rsidRDefault="00830E72">
                    <w:pPr>
                      <w:jc w:val="right"/>
                      <w:rPr>
                        <w:sz w:val="15"/>
                        <w:szCs w:val="15"/>
                      </w:rPr>
                    </w:pPr>
                  </w:p>
                </w:tc>
                <w:tc>
                  <w:tcPr>
                    <w:tcW w:w="460" w:type="pct"/>
                  </w:tcPr>
                  <w:p w14:paraId="5888FF41" w14:textId="77777777" w:rsidR="00830E72" w:rsidRDefault="00830E72">
                    <w:pPr>
                      <w:jc w:val="right"/>
                      <w:rPr>
                        <w:sz w:val="15"/>
                        <w:szCs w:val="15"/>
                      </w:rPr>
                    </w:pPr>
                  </w:p>
                </w:tc>
                <w:tc>
                  <w:tcPr>
                    <w:tcW w:w="102" w:type="pct"/>
                  </w:tcPr>
                  <w:p w14:paraId="1AB53C41" w14:textId="77777777" w:rsidR="00830E72" w:rsidRDefault="00830E72">
                    <w:pPr>
                      <w:jc w:val="right"/>
                      <w:rPr>
                        <w:sz w:val="15"/>
                        <w:szCs w:val="15"/>
                      </w:rPr>
                    </w:pPr>
                  </w:p>
                </w:tc>
                <w:tc>
                  <w:tcPr>
                    <w:tcW w:w="528" w:type="pct"/>
                  </w:tcPr>
                  <w:p w14:paraId="35D542B6" w14:textId="77777777" w:rsidR="00830E72" w:rsidRDefault="00830E72">
                    <w:pPr>
                      <w:jc w:val="right"/>
                      <w:rPr>
                        <w:sz w:val="15"/>
                        <w:szCs w:val="15"/>
                      </w:rPr>
                    </w:pPr>
                  </w:p>
                </w:tc>
                <w:tc>
                  <w:tcPr>
                    <w:tcW w:w="133" w:type="pct"/>
                  </w:tcPr>
                  <w:p w14:paraId="516D0354" w14:textId="77777777" w:rsidR="00830E72" w:rsidRDefault="00830E72">
                    <w:pPr>
                      <w:jc w:val="right"/>
                      <w:rPr>
                        <w:sz w:val="15"/>
                        <w:szCs w:val="15"/>
                      </w:rPr>
                    </w:pPr>
                  </w:p>
                </w:tc>
                <w:tc>
                  <w:tcPr>
                    <w:tcW w:w="522" w:type="pct"/>
                  </w:tcPr>
                  <w:p w14:paraId="5E2584BB" w14:textId="77777777" w:rsidR="00830E72" w:rsidRDefault="00830E72">
                    <w:pPr>
                      <w:jc w:val="right"/>
                      <w:rPr>
                        <w:sz w:val="15"/>
                        <w:szCs w:val="15"/>
                      </w:rPr>
                    </w:pPr>
                  </w:p>
                </w:tc>
                <w:tc>
                  <w:tcPr>
                    <w:tcW w:w="436" w:type="pct"/>
                  </w:tcPr>
                  <w:p w14:paraId="6061E441" w14:textId="77777777" w:rsidR="00830E72" w:rsidRDefault="00830E72">
                    <w:pPr>
                      <w:jc w:val="right"/>
                      <w:rPr>
                        <w:sz w:val="15"/>
                        <w:szCs w:val="15"/>
                      </w:rPr>
                    </w:pPr>
                  </w:p>
                </w:tc>
                <w:tc>
                  <w:tcPr>
                    <w:tcW w:w="520" w:type="pct"/>
                  </w:tcPr>
                  <w:p w14:paraId="267E8827" w14:textId="77777777" w:rsidR="00830E72" w:rsidRDefault="00830E72">
                    <w:pPr>
                      <w:jc w:val="right"/>
                      <w:rPr>
                        <w:sz w:val="15"/>
                        <w:szCs w:val="15"/>
                      </w:rPr>
                    </w:pPr>
                  </w:p>
                </w:tc>
              </w:tr>
              <w:tr w:rsidR="00830E72" w14:paraId="13D45D22" w14:textId="77777777">
                <w:sdt>
                  <w:sdtPr>
                    <w:tag w:val="_PLD_b361f3a237774bcd8ac416b2b21655eb"/>
                    <w:id w:val="619569838"/>
                    <w:lock w:val="sdtLocked"/>
                  </w:sdtPr>
                  <w:sdtEndPr/>
                  <w:sdtContent>
                    <w:tc>
                      <w:tcPr>
                        <w:tcW w:w="261" w:type="pct"/>
                      </w:tcPr>
                      <w:p w14:paraId="4F4FFB13" w14:textId="77777777" w:rsidR="00830E72" w:rsidRDefault="008344D8">
                        <w:pPr>
                          <w:rPr>
                            <w:sz w:val="18"/>
                            <w:szCs w:val="18"/>
                          </w:rPr>
                        </w:pPr>
                        <w:r>
                          <w:rPr>
                            <w:rFonts w:hint="eastAsia"/>
                            <w:sz w:val="18"/>
                            <w:szCs w:val="18"/>
                          </w:rPr>
                          <w:t>4</w:t>
                        </w:r>
                        <w:r>
                          <w:rPr>
                            <w:sz w:val="18"/>
                            <w:szCs w:val="18"/>
                          </w:rPr>
                          <w:t>．其他</w:t>
                        </w:r>
                      </w:p>
                    </w:tc>
                  </w:sdtContent>
                </w:sdt>
                <w:tc>
                  <w:tcPr>
                    <w:tcW w:w="463" w:type="pct"/>
                  </w:tcPr>
                  <w:p w14:paraId="4A5FF286" w14:textId="77777777" w:rsidR="00830E72" w:rsidRDefault="00830E72">
                    <w:pPr>
                      <w:jc w:val="right"/>
                      <w:rPr>
                        <w:sz w:val="18"/>
                        <w:szCs w:val="18"/>
                      </w:rPr>
                    </w:pPr>
                  </w:p>
                </w:tc>
                <w:tc>
                  <w:tcPr>
                    <w:tcW w:w="133" w:type="pct"/>
                  </w:tcPr>
                  <w:p w14:paraId="5DE7EABA" w14:textId="77777777" w:rsidR="00830E72" w:rsidRDefault="00830E72">
                    <w:pPr>
                      <w:jc w:val="right"/>
                      <w:rPr>
                        <w:sz w:val="18"/>
                        <w:szCs w:val="18"/>
                      </w:rPr>
                    </w:pPr>
                  </w:p>
                </w:tc>
                <w:tc>
                  <w:tcPr>
                    <w:tcW w:w="133" w:type="pct"/>
                  </w:tcPr>
                  <w:p w14:paraId="2524B890" w14:textId="77777777" w:rsidR="00830E72" w:rsidRDefault="00830E72">
                    <w:pPr>
                      <w:jc w:val="right"/>
                      <w:rPr>
                        <w:sz w:val="18"/>
                        <w:szCs w:val="18"/>
                      </w:rPr>
                    </w:pPr>
                  </w:p>
                </w:tc>
                <w:tc>
                  <w:tcPr>
                    <w:tcW w:w="85" w:type="pct"/>
                    <w:gridSpan w:val="2"/>
                  </w:tcPr>
                  <w:p w14:paraId="0CC941BC" w14:textId="77777777" w:rsidR="00830E72" w:rsidRDefault="00830E72">
                    <w:pPr>
                      <w:jc w:val="right"/>
                      <w:rPr>
                        <w:sz w:val="18"/>
                        <w:szCs w:val="18"/>
                      </w:rPr>
                    </w:pPr>
                  </w:p>
                </w:tc>
                <w:tc>
                  <w:tcPr>
                    <w:tcW w:w="524" w:type="pct"/>
                  </w:tcPr>
                  <w:p w14:paraId="1FEB7F79" w14:textId="77777777" w:rsidR="00830E72" w:rsidRDefault="00830E72">
                    <w:pPr>
                      <w:jc w:val="right"/>
                      <w:rPr>
                        <w:sz w:val="18"/>
                        <w:szCs w:val="18"/>
                      </w:rPr>
                    </w:pPr>
                  </w:p>
                </w:tc>
                <w:tc>
                  <w:tcPr>
                    <w:tcW w:w="86" w:type="pct"/>
                  </w:tcPr>
                  <w:p w14:paraId="288604F3" w14:textId="77777777" w:rsidR="00830E72" w:rsidRDefault="00830E72">
                    <w:pPr>
                      <w:jc w:val="right"/>
                      <w:rPr>
                        <w:sz w:val="18"/>
                        <w:szCs w:val="18"/>
                      </w:rPr>
                    </w:pPr>
                  </w:p>
                </w:tc>
                <w:tc>
                  <w:tcPr>
                    <w:tcW w:w="154" w:type="pct"/>
                  </w:tcPr>
                  <w:p w14:paraId="38789666" w14:textId="77777777" w:rsidR="00830E72" w:rsidRDefault="00830E72">
                    <w:pPr>
                      <w:jc w:val="right"/>
                      <w:rPr>
                        <w:sz w:val="18"/>
                        <w:szCs w:val="18"/>
                      </w:rPr>
                    </w:pPr>
                  </w:p>
                </w:tc>
                <w:tc>
                  <w:tcPr>
                    <w:tcW w:w="460" w:type="pct"/>
                  </w:tcPr>
                  <w:p w14:paraId="052EA2C5" w14:textId="77777777" w:rsidR="00830E72" w:rsidRDefault="00830E72">
                    <w:pPr>
                      <w:jc w:val="right"/>
                      <w:rPr>
                        <w:sz w:val="18"/>
                        <w:szCs w:val="18"/>
                      </w:rPr>
                    </w:pPr>
                  </w:p>
                </w:tc>
                <w:tc>
                  <w:tcPr>
                    <w:tcW w:w="460" w:type="pct"/>
                  </w:tcPr>
                  <w:p w14:paraId="69271FA1" w14:textId="77777777" w:rsidR="00830E72" w:rsidRDefault="00830E72">
                    <w:pPr>
                      <w:jc w:val="right"/>
                      <w:rPr>
                        <w:sz w:val="18"/>
                        <w:szCs w:val="18"/>
                      </w:rPr>
                    </w:pPr>
                  </w:p>
                </w:tc>
                <w:tc>
                  <w:tcPr>
                    <w:tcW w:w="102" w:type="pct"/>
                  </w:tcPr>
                  <w:p w14:paraId="1CF548F2" w14:textId="77777777" w:rsidR="00830E72" w:rsidRDefault="00830E72">
                    <w:pPr>
                      <w:jc w:val="right"/>
                      <w:rPr>
                        <w:sz w:val="18"/>
                        <w:szCs w:val="18"/>
                      </w:rPr>
                    </w:pPr>
                  </w:p>
                </w:tc>
                <w:tc>
                  <w:tcPr>
                    <w:tcW w:w="528" w:type="pct"/>
                  </w:tcPr>
                  <w:p w14:paraId="08FC1D25" w14:textId="77777777" w:rsidR="00830E72" w:rsidRDefault="00830E72">
                    <w:pPr>
                      <w:jc w:val="right"/>
                      <w:rPr>
                        <w:sz w:val="18"/>
                        <w:szCs w:val="18"/>
                      </w:rPr>
                    </w:pPr>
                  </w:p>
                </w:tc>
                <w:tc>
                  <w:tcPr>
                    <w:tcW w:w="133" w:type="pct"/>
                  </w:tcPr>
                  <w:p w14:paraId="4AF6D4E1" w14:textId="77777777" w:rsidR="00830E72" w:rsidRDefault="00830E72">
                    <w:pPr>
                      <w:jc w:val="right"/>
                      <w:rPr>
                        <w:sz w:val="18"/>
                        <w:szCs w:val="18"/>
                      </w:rPr>
                    </w:pPr>
                  </w:p>
                </w:tc>
                <w:tc>
                  <w:tcPr>
                    <w:tcW w:w="522" w:type="pct"/>
                  </w:tcPr>
                  <w:p w14:paraId="7A519DAB" w14:textId="77777777" w:rsidR="00830E72" w:rsidRDefault="00830E72">
                    <w:pPr>
                      <w:jc w:val="right"/>
                      <w:rPr>
                        <w:sz w:val="18"/>
                        <w:szCs w:val="18"/>
                      </w:rPr>
                    </w:pPr>
                  </w:p>
                </w:tc>
                <w:tc>
                  <w:tcPr>
                    <w:tcW w:w="436" w:type="pct"/>
                  </w:tcPr>
                  <w:p w14:paraId="281A9279" w14:textId="77777777" w:rsidR="00830E72" w:rsidRDefault="00830E72">
                    <w:pPr>
                      <w:jc w:val="right"/>
                      <w:rPr>
                        <w:sz w:val="18"/>
                        <w:szCs w:val="18"/>
                      </w:rPr>
                    </w:pPr>
                  </w:p>
                </w:tc>
                <w:tc>
                  <w:tcPr>
                    <w:tcW w:w="520" w:type="pct"/>
                  </w:tcPr>
                  <w:p w14:paraId="1E71EE6C" w14:textId="77777777" w:rsidR="00830E72" w:rsidRDefault="00830E72">
                    <w:pPr>
                      <w:jc w:val="right"/>
                      <w:rPr>
                        <w:sz w:val="18"/>
                        <w:szCs w:val="18"/>
                      </w:rPr>
                    </w:pPr>
                  </w:p>
                </w:tc>
              </w:tr>
              <w:tr w:rsidR="00830E72" w14:paraId="0D7488FD" w14:textId="77777777">
                <w:sdt>
                  <w:sdtPr>
                    <w:tag w:val="_PLD_a7e75a2d1ed049d9bbdb0ef093ac9478"/>
                    <w:id w:val="1300804360"/>
                    <w:lock w:val="sdtLocked"/>
                  </w:sdtPr>
                  <w:sdtEndPr/>
                  <w:sdtContent>
                    <w:tc>
                      <w:tcPr>
                        <w:tcW w:w="261" w:type="pct"/>
                      </w:tcPr>
                      <w:p w14:paraId="5505A828" w14:textId="77777777" w:rsidR="00830E72" w:rsidRDefault="008344D8">
                        <w:pPr>
                          <w:rPr>
                            <w:sz w:val="18"/>
                            <w:szCs w:val="18"/>
                          </w:rPr>
                        </w:pPr>
                        <w:r>
                          <w:rPr>
                            <w:sz w:val="18"/>
                            <w:szCs w:val="18"/>
                          </w:rPr>
                          <w:t>（</w:t>
                        </w:r>
                        <w:r>
                          <w:rPr>
                            <w:rFonts w:hint="eastAsia"/>
                            <w:sz w:val="18"/>
                            <w:szCs w:val="18"/>
                          </w:rPr>
                          <w:t>三</w:t>
                        </w:r>
                        <w:r>
                          <w:rPr>
                            <w:sz w:val="18"/>
                            <w:szCs w:val="18"/>
                          </w:rPr>
                          <w:t>）利润分配</w:t>
                        </w:r>
                      </w:p>
                    </w:tc>
                  </w:sdtContent>
                </w:sdt>
                <w:tc>
                  <w:tcPr>
                    <w:tcW w:w="463" w:type="pct"/>
                  </w:tcPr>
                  <w:p w14:paraId="5510F952" w14:textId="77777777" w:rsidR="00830E72" w:rsidRDefault="00830E72">
                    <w:pPr>
                      <w:jc w:val="right"/>
                      <w:rPr>
                        <w:sz w:val="18"/>
                        <w:szCs w:val="18"/>
                      </w:rPr>
                    </w:pPr>
                  </w:p>
                </w:tc>
                <w:tc>
                  <w:tcPr>
                    <w:tcW w:w="133" w:type="pct"/>
                  </w:tcPr>
                  <w:p w14:paraId="0739A31F" w14:textId="77777777" w:rsidR="00830E72" w:rsidRDefault="00830E72">
                    <w:pPr>
                      <w:jc w:val="right"/>
                      <w:rPr>
                        <w:sz w:val="18"/>
                        <w:szCs w:val="18"/>
                      </w:rPr>
                    </w:pPr>
                  </w:p>
                </w:tc>
                <w:tc>
                  <w:tcPr>
                    <w:tcW w:w="133" w:type="pct"/>
                  </w:tcPr>
                  <w:p w14:paraId="4933980E" w14:textId="77777777" w:rsidR="00830E72" w:rsidRDefault="00830E72">
                    <w:pPr>
                      <w:jc w:val="right"/>
                      <w:rPr>
                        <w:sz w:val="18"/>
                        <w:szCs w:val="18"/>
                      </w:rPr>
                    </w:pPr>
                  </w:p>
                </w:tc>
                <w:tc>
                  <w:tcPr>
                    <w:tcW w:w="85" w:type="pct"/>
                    <w:gridSpan w:val="2"/>
                  </w:tcPr>
                  <w:p w14:paraId="5B5D28FA" w14:textId="77777777" w:rsidR="00830E72" w:rsidRDefault="00830E72">
                    <w:pPr>
                      <w:jc w:val="right"/>
                      <w:rPr>
                        <w:sz w:val="18"/>
                        <w:szCs w:val="18"/>
                      </w:rPr>
                    </w:pPr>
                  </w:p>
                </w:tc>
                <w:tc>
                  <w:tcPr>
                    <w:tcW w:w="524" w:type="pct"/>
                  </w:tcPr>
                  <w:p w14:paraId="1FF9DB22" w14:textId="77777777" w:rsidR="00830E72" w:rsidRDefault="00830E72">
                    <w:pPr>
                      <w:jc w:val="right"/>
                      <w:rPr>
                        <w:sz w:val="18"/>
                        <w:szCs w:val="18"/>
                      </w:rPr>
                    </w:pPr>
                  </w:p>
                </w:tc>
                <w:tc>
                  <w:tcPr>
                    <w:tcW w:w="86" w:type="pct"/>
                  </w:tcPr>
                  <w:p w14:paraId="4F5878CC" w14:textId="77777777" w:rsidR="00830E72" w:rsidRDefault="00830E72">
                    <w:pPr>
                      <w:jc w:val="right"/>
                      <w:rPr>
                        <w:sz w:val="18"/>
                        <w:szCs w:val="18"/>
                      </w:rPr>
                    </w:pPr>
                  </w:p>
                </w:tc>
                <w:tc>
                  <w:tcPr>
                    <w:tcW w:w="154" w:type="pct"/>
                  </w:tcPr>
                  <w:p w14:paraId="101F14F6" w14:textId="77777777" w:rsidR="00830E72" w:rsidRDefault="00830E72">
                    <w:pPr>
                      <w:jc w:val="right"/>
                      <w:rPr>
                        <w:sz w:val="18"/>
                        <w:szCs w:val="18"/>
                      </w:rPr>
                    </w:pPr>
                  </w:p>
                </w:tc>
                <w:tc>
                  <w:tcPr>
                    <w:tcW w:w="460" w:type="pct"/>
                  </w:tcPr>
                  <w:p w14:paraId="1373D598" w14:textId="77777777" w:rsidR="00830E72" w:rsidRDefault="00830E72">
                    <w:pPr>
                      <w:jc w:val="right"/>
                      <w:rPr>
                        <w:sz w:val="18"/>
                        <w:szCs w:val="18"/>
                      </w:rPr>
                    </w:pPr>
                  </w:p>
                </w:tc>
                <w:tc>
                  <w:tcPr>
                    <w:tcW w:w="460" w:type="pct"/>
                  </w:tcPr>
                  <w:p w14:paraId="5DD5F2D9" w14:textId="77777777" w:rsidR="00830E72" w:rsidRDefault="00830E72">
                    <w:pPr>
                      <w:jc w:val="right"/>
                      <w:rPr>
                        <w:sz w:val="18"/>
                        <w:szCs w:val="18"/>
                      </w:rPr>
                    </w:pPr>
                  </w:p>
                </w:tc>
                <w:tc>
                  <w:tcPr>
                    <w:tcW w:w="102" w:type="pct"/>
                  </w:tcPr>
                  <w:p w14:paraId="73D2455F" w14:textId="77777777" w:rsidR="00830E72" w:rsidRDefault="00830E72">
                    <w:pPr>
                      <w:jc w:val="right"/>
                      <w:rPr>
                        <w:sz w:val="18"/>
                        <w:szCs w:val="18"/>
                      </w:rPr>
                    </w:pPr>
                  </w:p>
                </w:tc>
                <w:tc>
                  <w:tcPr>
                    <w:tcW w:w="528" w:type="pct"/>
                  </w:tcPr>
                  <w:p w14:paraId="64BC45D8" w14:textId="77777777" w:rsidR="00830E72" w:rsidRDefault="008344D8">
                    <w:pPr>
                      <w:jc w:val="right"/>
                      <w:rPr>
                        <w:sz w:val="18"/>
                        <w:szCs w:val="18"/>
                      </w:rPr>
                    </w:pPr>
                    <w:r>
                      <w:rPr>
                        <w:sz w:val="18"/>
                        <w:szCs w:val="18"/>
                      </w:rPr>
                      <w:t>-49,900,000.00</w:t>
                    </w:r>
                  </w:p>
                </w:tc>
                <w:tc>
                  <w:tcPr>
                    <w:tcW w:w="133" w:type="pct"/>
                  </w:tcPr>
                  <w:p w14:paraId="25D064E2" w14:textId="77777777" w:rsidR="00830E72" w:rsidRDefault="00830E72">
                    <w:pPr>
                      <w:jc w:val="right"/>
                      <w:rPr>
                        <w:sz w:val="18"/>
                        <w:szCs w:val="18"/>
                      </w:rPr>
                    </w:pPr>
                  </w:p>
                </w:tc>
                <w:tc>
                  <w:tcPr>
                    <w:tcW w:w="522" w:type="pct"/>
                  </w:tcPr>
                  <w:p w14:paraId="46BAFDC7" w14:textId="77777777" w:rsidR="00830E72" w:rsidRDefault="008344D8">
                    <w:pPr>
                      <w:jc w:val="right"/>
                      <w:rPr>
                        <w:sz w:val="18"/>
                        <w:szCs w:val="18"/>
                      </w:rPr>
                    </w:pPr>
                    <w:r>
                      <w:rPr>
                        <w:sz w:val="18"/>
                        <w:szCs w:val="18"/>
                      </w:rPr>
                      <w:t>-49,900,000.00</w:t>
                    </w:r>
                  </w:p>
                </w:tc>
                <w:tc>
                  <w:tcPr>
                    <w:tcW w:w="436" w:type="pct"/>
                  </w:tcPr>
                  <w:p w14:paraId="0EA6A6AB" w14:textId="77777777" w:rsidR="00830E72" w:rsidRDefault="00830E72">
                    <w:pPr>
                      <w:jc w:val="right"/>
                      <w:rPr>
                        <w:sz w:val="18"/>
                        <w:szCs w:val="18"/>
                      </w:rPr>
                    </w:pPr>
                  </w:p>
                </w:tc>
                <w:tc>
                  <w:tcPr>
                    <w:tcW w:w="520" w:type="pct"/>
                  </w:tcPr>
                  <w:p w14:paraId="2A54ACC3" w14:textId="77777777" w:rsidR="00830E72" w:rsidRDefault="008344D8">
                    <w:pPr>
                      <w:jc w:val="right"/>
                      <w:rPr>
                        <w:sz w:val="18"/>
                        <w:szCs w:val="18"/>
                      </w:rPr>
                    </w:pPr>
                    <w:r>
                      <w:rPr>
                        <w:sz w:val="18"/>
                        <w:szCs w:val="18"/>
                      </w:rPr>
                      <w:t>-49,900,000.00</w:t>
                    </w:r>
                  </w:p>
                </w:tc>
              </w:tr>
              <w:tr w:rsidR="00830E72" w14:paraId="75A53C15" w14:textId="77777777">
                <w:sdt>
                  <w:sdtPr>
                    <w:tag w:val="_PLD_728c39864cdd4a7c93d6a2bae73ac47f"/>
                    <w:id w:val="1588503230"/>
                    <w:lock w:val="sdtLocked"/>
                  </w:sdtPr>
                  <w:sdtEndPr/>
                  <w:sdtContent>
                    <w:tc>
                      <w:tcPr>
                        <w:tcW w:w="261" w:type="pct"/>
                      </w:tcPr>
                      <w:p w14:paraId="4AB804B6" w14:textId="77777777" w:rsidR="00830E72" w:rsidRDefault="008344D8">
                        <w:pPr>
                          <w:rPr>
                            <w:sz w:val="18"/>
                            <w:szCs w:val="18"/>
                          </w:rPr>
                        </w:pPr>
                        <w:r>
                          <w:rPr>
                            <w:sz w:val="18"/>
                            <w:szCs w:val="18"/>
                          </w:rPr>
                          <w:t>1．提取盈余公积</w:t>
                        </w:r>
                      </w:p>
                    </w:tc>
                  </w:sdtContent>
                </w:sdt>
                <w:tc>
                  <w:tcPr>
                    <w:tcW w:w="463" w:type="pct"/>
                  </w:tcPr>
                  <w:p w14:paraId="109999CE" w14:textId="77777777" w:rsidR="00830E72" w:rsidRDefault="00830E72">
                    <w:pPr>
                      <w:jc w:val="right"/>
                      <w:rPr>
                        <w:sz w:val="18"/>
                        <w:szCs w:val="18"/>
                      </w:rPr>
                    </w:pPr>
                  </w:p>
                </w:tc>
                <w:tc>
                  <w:tcPr>
                    <w:tcW w:w="133" w:type="pct"/>
                  </w:tcPr>
                  <w:p w14:paraId="6FAE2596" w14:textId="77777777" w:rsidR="00830E72" w:rsidRDefault="00830E72">
                    <w:pPr>
                      <w:jc w:val="right"/>
                      <w:rPr>
                        <w:sz w:val="18"/>
                        <w:szCs w:val="18"/>
                      </w:rPr>
                    </w:pPr>
                  </w:p>
                </w:tc>
                <w:tc>
                  <w:tcPr>
                    <w:tcW w:w="133" w:type="pct"/>
                  </w:tcPr>
                  <w:p w14:paraId="06E4DCB6" w14:textId="77777777" w:rsidR="00830E72" w:rsidRDefault="00830E72">
                    <w:pPr>
                      <w:jc w:val="right"/>
                      <w:rPr>
                        <w:sz w:val="18"/>
                        <w:szCs w:val="18"/>
                      </w:rPr>
                    </w:pPr>
                  </w:p>
                </w:tc>
                <w:tc>
                  <w:tcPr>
                    <w:tcW w:w="85" w:type="pct"/>
                    <w:gridSpan w:val="2"/>
                  </w:tcPr>
                  <w:p w14:paraId="14F3F747" w14:textId="77777777" w:rsidR="00830E72" w:rsidRDefault="00830E72">
                    <w:pPr>
                      <w:jc w:val="right"/>
                      <w:rPr>
                        <w:sz w:val="18"/>
                        <w:szCs w:val="18"/>
                      </w:rPr>
                    </w:pPr>
                  </w:p>
                </w:tc>
                <w:tc>
                  <w:tcPr>
                    <w:tcW w:w="524" w:type="pct"/>
                  </w:tcPr>
                  <w:p w14:paraId="6E622B5E" w14:textId="77777777" w:rsidR="00830E72" w:rsidRDefault="00830E72">
                    <w:pPr>
                      <w:jc w:val="right"/>
                      <w:rPr>
                        <w:sz w:val="18"/>
                        <w:szCs w:val="18"/>
                      </w:rPr>
                    </w:pPr>
                  </w:p>
                </w:tc>
                <w:tc>
                  <w:tcPr>
                    <w:tcW w:w="86" w:type="pct"/>
                  </w:tcPr>
                  <w:p w14:paraId="4726A76A" w14:textId="77777777" w:rsidR="00830E72" w:rsidRDefault="00830E72">
                    <w:pPr>
                      <w:jc w:val="right"/>
                      <w:rPr>
                        <w:sz w:val="18"/>
                        <w:szCs w:val="18"/>
                      </w:rPr>
                    </w:pPr>
                  </w:p>
                </w:tc>
                <w:tc>
                  <w:tcPr>
                    <w:tcW w:w="154" w:type="pct"/>
                  </w:tcPr>
                  <w:p w14:paraId="30F1677F" w14:textId="77777777" w:rsidR="00830E72" w:rsidRDefault="00830E72">
                    <w:pPr>
                      <w:jc w:val="right"/>
                      <w:rPr>
                        <w:sz w:val="18"/>
                        <w:szCs w:val="18"/>
                      </w:rPr>
                    </w:pPr>
                  </w:p>
                </w:tc>
                <w:tc>
                  <w:tcPr>
                    <w:tcW w:w="460" w:type="pct"/>
                  </w:tcPr>
                  <w:p w14:paraId="381C52BF" w14:textId="77777777" w:rsidR="00830E72" w:rsidRDefault="00830E72">
                    <w:pPr>
                      <w:jc w:val="right"/>
                      <w:rPr>
                        <w:sz w:val="18"/>
                        <w:szCs w:val="18"/>
                      </w:rPr>
                    </w:pPr>
                  </w:p>
                </w:tc>
                <w:tc>
                  <w:tcPr>
                    <w:tcW w:w="460" w:type="pct"/>
                  </w:tcPr>
                  <w:p w14:paraId="319F3A89" w14:textId="77777777" w:rsidR="00830E72" w:rsidRDefault="00830E72">
                    <w:pPr>
                      <w:jc w:val="right"/>
                      <w:rPr>
                        <w:sz w:val="18"/>
                        <w:szCs w:val="18"/>
                      </w:rPr>
                    </w:pPr>
                  </w:p>
                </w:tc>
                <w:tc>
                  <w:tcPr>
                    <w:tcW w:w="102" w:type="pct"/>
                  </w:tcPr>
                  <w:p w14:paraId="449568BE" w14:textId="77777777" w:rsidR="00830E72" w:rsidRDefault="00830E72">
                    <w:pPr>
                      <w:jc w:val="right"/>
                      <w:rPr>
                        <w:sz w:val="18"/>
                        <w:szCs w:val="18"/>
                      </w:rPr>
                    </w:pPr>
                  </w:p>
                </w:tc>
                <w:tc>
                  <w:tcPr>
                    <w:tcW w:w="528" w:type="pct"/>
                  </w:tcPr>
                  <w:p w14:paraId="32E02C19" w14:textId="77777777" w:rsidR="00830E72" w:rsidRDefault="00830E72">
                    <w:pPr>
                      <w:jc w:val="right"/>
                      <w:rPr>
                        <w:sz w:val="18"/>
                        <w:szCs w:val="18"/>
                      </w:rPr>
                    </w:pPr>
                  </w:p>
                </w:tc>
                <w:tc>
                  <w:tcPr>
                    <w:tcW w:w="133" w:type="pct"/>
                  </w:tcPr>
                  <w:p w14:paraId="5D088436" w14:textId="77777777" w:rsidR="00830E72" w:rsidRDefault="00830E72">
                    <w:pPr>
                      <w:jc w:val="right"/>
                      <w:rPr>
                        <w:sz w:val="18"/>
                        <w:szCs w:val="18"/>
                      </w:rPr>
                    </w:pPr>
                  </w:p>
                </w:tc>
                <w:tc>
                  <w:tcPr>
                    <w:tcW w:w="522" w:type="pct"/>
                  </w:tcPr>
                  <w:p w14:paraId="2AC4F03F" w14:textId="77777777" w:rsidR="00830E72" w:rsidRDefault="00830E72">
                    <w:pPr>
                      <w:jc w:val="right"/>
                      <w:rPr>
                        <w:sz w:val="18"/>
                        <w:szCs w:val="18"/>
                      </w:rPr>
                    </w:pPr>
                  </w:p>
                </w:tc>
                <w:tc>
                  <w:tcPr>
                    <w:tcW w:w="436" w:type="pct"/>
                  </w:tcPr>
                  <w:p w14:paraId="6041788D" w14:textId="77777777" w:rsidR="00830E72" w:rsidRDefault="00830E72">
                    <w:pPr>
                      <w:jc w:val="right"/>
                      <w:rPr>
                        <w:sz w:val="18"/>
                        <w:szCs w:val="18"/>
                      </w:rPr>
                    </w:pPr>
                  </w:p>
                </w:tc>
                <w:tc>
                  <w:tcPr>
                    <w:tcW w:w="520" w:type="pct"/>
                  </w:tcPr>
                  <w:p w14:paraId="4ABAA6FE" w14:textId="77777777" w:rsidR="00830E72" w:rsidRDefault="00830E72">
                    <w:pPr>
                      <w:jc w:val="right"/>
                      <w:rPr>
                        <w:sz w:val="18"/>
                        <w:szCs w:val="18"/>
                      </w:rPr>
                    </w:pPr>
                  </w:p>
                </w:tc>
              </w:tr>
              <w:tr w:rsidR="00830E72" w14:paraId="2B68DF66" w14:textId="77777777">
                <w:sdt>
                  <w:sdtPr>
                    <w:tag w:val="_PLD_6d8c8a0de80b4f6a97fdb16b82b3a6ac"/>
                    <w:id w:val="2052417265"/>
                    <w:lock w:val="sdtLocked"/>
                  </w:sdtPr>
                  <w:sdtEndPr/>
                  <w:sdtContent>
                    <w:tc>
                      <w:tcPr>
                        <w:tcW w:w="261" w:type="pct"/>
                      </w:tcPr>
                      <w:p w14:paraId="5EFEDB5A" w14:textId="77777777" w:rsidR="00830E72" w:rsidRDefault="008344D8">
                        <w:pPr>
                          <w:rPr>
                            <w:sz w:val="18"/>
                            <w:szCs w:val="18"/>
                          </w:rPr>
                        </w:pPr>
                        <w:r>
                          <w:rPr>
                            <w:sz w:val="18"/>
                            <w:szCs w:val="18"/>
                          </w:rPr>
                          <w:t>2．提取一般风险准备</w:t>
                        </w:r>
                      </w:p>
                    </w:tc>
                  </w:sdtContent>
                </w:sdt>
                <w:tc>
                  <w:tcPr>
                    <w:tcW w:w="463" w:type="pct"/>
                  </w:tcPr>
                  <w:p w14:paraId="7231F0EC" w14:textId="77777777" w:rsidR="00830E72" w:rsidRDefault="00830E72">
                    <w:pPr>
                      <w:jc w:val="right"/>
                      <w:rPr>
                        <w:sz w:val="18"/>
                        <w:szCs w:val="18"/>
                      </w:rPr>
                    </w:pPr>
                  </w:p>
                </w:tc>
                <w:tc>
                  <w:tcPr>
                    <w:tcW w:w="133" w:type="pct"/>
                  </w:tcPr>
                  <w:p w14:paraId="00F476CA" w14:textId="77777777" w:rsidR="00830E72" w:rsidRDefault="00830E72">
                    <w:pPr>
                      <w:jc w:val="right"/>
                      <w:rPr>
                        <w:sz w:val="18"/>
                        <w:szCs w:val="18"/>
                      </w:rPr>
                    </w:pPr>
                  </w:p>
                </w:tc>
                <w:tc>
                  <w:tcPr>
                    <w:tcW w:w="133" w:type="pct"/>
                  </w:tcPr>
                  <w:p w14:paraId="3D7DC9F9" w14:textId="77777777" w:rsidR="00830E72" w:rsidRDefault="00830E72">
                    <w:pPr>
                      <w:jc w:val="right"/>
                      <w:rPr>
                        <w:sz w:val="18"/>
                        <w:szCs w:val="18"/>
                      </w:rPr>
                    </w:pPr>
                  </w:p>
                </w:tc>
                <w:tc>
                  <w:tcPr>
                    <w:tcW w:w="85" w:type="pct"/>
                    <w:gridSpan w:val="2"/>
                  </w:tcPr>
                  <w:p w14:paraId="1DBA1DD7" w14:textId="77777777" w:rsidR="00830E72" w:rsidRDefault="00830E72">
                    <w:pPr>
                      <w:jc w:val="right"/>
                      <w:rPr>
                        <w:sz w:val="18"/>
                        <w:szCs w:val="18"/>
                      </w:rPr>
                    </w:pPr>
                  </w:p>
                </w:tc>
                <w:tc>
                  <w:tcPr>
                    <w:tcW w:w="524" w:type="pct"/>
                  </w:tcPr>
                  <w:p w14:paraId="081791E2" w14:textId="77777777" w:rsidR="00830E72" w:rsidRDefault="00830E72">
                    <w:pPr>
                      <w:jc w:val="right"/>
                      <w:rPr>
                        <w:sz w:val="18"/>
                        <w:szCs w:val="18"/>
                      </w:rPr>
                    </w:pPr>
                  </w:p>
                </w:tc>
                <w:tc>
                  <w:tcPr>
                    <w:tcW w:w="86" w:type="pct"/>
                  </w:tcPr>
                  <w:p w14:paraId="0B44373D" w14:textId="77777777" w:rsidR="00830E72" w:rsidRDefault="00830E72">
                    <w:pPr>
                      <w:jc w:val="right"/>
                      <w:rPr>
                        <w:sz w:val="18"/>
                        <w:szCs w:val="18"/>
                      </w:rPr>
                    </w:pPr>
                  </w:p>
                </w:tc>
                <w:tc>
                  <w:tcPr>
                    <w:tcW w:w="154" w:type="pct"/>
                  </w:tcPr>
                  <w:p w14:paraId="5307D21C" w14:textId="77777777" w:rsidR="00830E72" w:rsidRDefault="00830E72">
                    <w:pPr>
                      <w:jc w:val="right"/>
                      <w:rPr>
                        <w:sz w:val="18"/>
                        <w:szCs w:val="18"/>
                      </w:rPr>
                    </w:pPr>
                  </w:p>
                </w:tc>
                <w:tc>
                  <w:tcPr>
                    <w:tcW w:w="460" w:type="pct"/>
                  </w:tcPr>
                  <w:p w14:paraId="6E1469CA" w14:textId="77777777" w:rsidR="00830E72" w:rsidRDefault="00830E72">
                    <w:pPr>
                      <w:jc w:val="right"/>
                      <w:rPr>
                        <w:sz w:val="18"/>
                        <w:szCs w:val="18"/>
                      </w:rPr>
                    </w:pPr>
                  </w:p>
                </w:tc>
                <w:tc>
                  <w:tcPr>
                    <w:tcW w:w="460" w:type="pct"/>
                  </w:tcPr>
                  <w:p w14:paraId="202B609F" w14:textId="77777777" w:rsidR="00830E72" w:rsidRDefault="00830E72">
                    <w:pPr>
                      <w:jc w:val="right"/>
                      <w:rPr>
                        <w:sz w:val="18"/>
                        <w:szCs w:val="18"/>
                      </w:rPr>
                    </w:pPr>
                  </w:p>
                </w:tc>
                <w:tc>
                  <w:tcPr>
                    <w:tcW w:w="102" w:type="pct"/>
                  </w:tcPr>
                  <w:p w14:paraId="3B267F84" w14:textId="77777777" w:rsidR="00830E72" w:rsidRDefault="00830E72">
                    <w:pPr>
                      <w:jc w:val="right"/>
                      <w:rPr>
                        <w:sz w:val="18"/>
                        <w:szCs w:val="18"/>
                      </w:rPr>
                    </w:pPr>
                  </w:p>
                </w:tc>
                <w:tc>
                  <w:tcPr>
                    <w:tcW w:w="528" w:type="pct"/>
                  </w:tcPr>
                  <w:p w14:paraId="4EF6B6EE" w14:textId="77777777" w:rsidR="00830E72" w:rsidRDefault="00830E72">
                    <w:pPr>
                      <w:jc w:val="right"/>
                      <w:rPr>
                        <w:sz w:val="18"/>
                        <w:szCs w:val="18"/>
                      </w:rPr>
                    </w:pPr>
                  </w:p>
                </w:tc>
                <w:tc>
                  <w:tcPr>
                    <w:tcW w:w="133" w:type="pct"/>
                  </w:tcPr>
                  <w:p w14:paraId="69D4A957" w14:textId="77777777" w:rsidR="00830E72" w:rsidRDefault="00830E72">
                    <w:pPr>
                      <w:jc w:val="right"/>
                      <w:rPr>
                        <w:sz w:val="18"/>
                        <w:szCs w:val="18"/>
                      </w:rPr>
                    </w:pPr>
                  </w:p>
                </w:tc>
                <w:tc>
                  <w:tcPr>
                    <w:tcW w:w="522" w:type="pct"/>
                  </w:tcPr>
                  <w:p w14:paraId="1E71697E" w14:textId="77777777" w:rsidR="00830E72" w:rsidRDefault="00830E72">
                    <w:pPr>
                      <w:jc w:val="right"/>
                      <w:rPr>
                        <w:sz w:val="18"/>
                        <w:szCs w:val="18"/>
                      </w:rPr>
                    </w:pPr>
                  </w:p>
                </w:tc>
                <w:tc>
                  <w:tcPr>
                    <w:tcW w:w="436" w:type="pct"/>
                  </w:tcPr>
                  <w:p w14:paraId="7FE8B60D" w14:textId="77777777" w:rsidR="00830E72" w:rsidRDefault="00830E72">
                    <w:pPr>
                      <w:jc w:val="right"/>
                      <w:rPr>
                        <w:sz w:val="18"/>
                        <w:szCs w:val="18"/>
                      </w:rPr>
                    </w:pPr>
                  </w:p>
                </w:tc>
                <w:tc>
                  <w:tcPr>
                    <w:tcW w:w="520" w:type="pct"/>
                  </w:tcPr>
                  <w:p w14:paraId="1D9D022B" w14:textId="77777777" w:rsidR="00830E72" w:rsidRDefault="00830E72">
                    <w:pPr>
                      <w:jc w:val="right"/>
                      <w:rPr>
                        <w:sz w:val="18"/>
                        <w:szCs w:val="18"/>
                      </w:rPr>
                    </w:pPr>
                  </w:p>
                </w:tc>
              </w:tr>
              <w:tr w:rsidR="00830E72" w14:paraId="2D7D297C" w14:textId="77777777">
                <w:sdt>
                  <w:sdtPr>
                    <w:tag w:val="_PLD_a5531db3e1d84f3897cb962fdc73ab3d"/>
                    <w:id w:val="1227412967"/>
                    <w:lock w:val="sdtLocked"/>
                  </w:sdtPr>
                  <w:sdtEndPr/>
                  <w:sdtContent>
                    <w:tc>
                      <w:tcPr>
                        <w:tcW w:w="261" w:type="pct"/>
                      </w:tcPr>
                      <w:p w14:paraId="714F133C" w14:textId="77777777" w:rsidR="00830E72" w:rsidRDefault="008344D8">
                        <w:pPr>
                          <w:rPr>
                            <w:sz w:val="18"/>
                            <w:szCs w:val="18"/>
                          </w:rPr>
                        </w:pPr>
                        <w:r>
                          <w:rPr>
                            <w:sz w:val="18"/>
                            <w:szCs w:val="18"/>
                          </w:rPr>
                          <w:t>3．对所有者（或股东）的分配</w:t>
                        </w:r>
                      </w:p>
                    </w:tc>
                  </w:sdtContent>
                </w:sdt>
                <w:tc>
                  <w:tcPr>
                    <w:tcW w:w="463" w:type="pct"/>
                  </w:tcPr>
                  <w:p w14:paraId="01A1D412" w14:textId="77777777" w:rsidR="00830E72" w:rsidRDefault="00830E72">
                    <w:pPr>
                      <w:jc w:val="right"/>
                      <w:rPr>
                        <w:sz w:val="18"/>
                        <w:szCs w:val="18"/>
                      </w:rPr>
                    </w:pPr>
                  </w:p>
                </w:tc>
                <w:tc>
                  <w:tcPr>
                    <w:tcW w:w="133" w:type="pct"/>
                  </w:tcPr>
                  <w:p w14:paraId="38515FFA" w14:textId="77777777" w:rsidR="00830E72" w:rsidRDefault="00830E72">
                    <w:pPr>
                      <w:jc w:val="right"/>
                      <w:rPr>
                        <w:sz w:val="18"/>
                        <w:szCs w:val="18"/>
                      </w:rPr>
                    </w:pPr>
                  </w:p>
                </w:tc>
                <w:tc>
                  <w:tcPr>
                    <w:tcW w:w="133" w:type="pct"/>
                  </w:tcPr>
                  <w:p w14:paraId="24DBBE75" w14:textId="77777777" w:rsidR="00830E72" w:rsidRDefault="00830E72">
                    <w:pPr>
                      <w:jc w:val="right"/>
                      <w:rPr>
                        <w:sz w:val="18"/>
                        <w:szCs w:val="18"/>
                      </w:rPr>
                    </w:pPr>
                  </w:p>
                </w:tc>
                <w:tc>
                  <w:tcPr>
                    <w:tcW w:w="85" w:type="pct"/>
                    <w:gridSpan w:val="2"/>
                  </w:tcPr>
                  <w:p w14:paraId="1D265C22" w14:textId="77777777" w:rsidR="00830E72" w:rsidRDefault="00830E72">
                    <w:pPr>
                      <w:jc w:val="right"/>
                      <w:rPr>
                        <w:sz w:val="18"/>
                        <w:szCs w:val="18"/>
                      </w:rPr>
                    </w:pPr>
                  </w:p>
                </w:tc>
                <w:tc>
                  <w:tcPr>
                    <w:tcW w:w="524" w:type="pct"/>
                  </w:tcPr>
                  <w:p w14:paraId="63A93EB8" w14:textId="77777777" w:rsidR="00830E72" w:rsidRDefault="00830E72">
                    <w:pPr>
                      <w:jc w:val="right"/>
                      <w:rPr>
                        <w:sz w:val="18"/>
                        <w:szCs w:val="18"/>
                      </w:rPr>
                    </w:pPr>
                  </w:p>
                </w:tc>
                <w:tc>
                  <w:tcPr>
                    <w:tcW w:w="86" w:type="pct"/>
                  </w:tcPr>
                  <w:p w14:paraId="6ED805C9" w14:textId="77777777" w:rsidR="00830E72" w:rsidRDefault="00830E72">
                    <w:pPr>
                      <w:jc w:val="right"/>
                      <w:rPr>
                        <w:sz w:val="18"/>
                        <w:szCs w:val="18"/>
                      </w:rPr>
                    </w:pPr>
                  </w:p>
                </w:tc>
                <w:tc>
                  <w:tcPr>
                    <w:tcW w:w="154" w:type="pct"/>
                  </w:tcPr>
                  <w:p w14:paraId="7062F444" w14:textId="77777777" w:rsidR="00830E72" w:rsidRDefault="00830E72">
                    <w:pPr>
                      <w:jc w:val="right"/>
                      <w:rPr>
                        <w:sz w:val="18"/>
                        <w:szCs w:val="18"/>
                      </w:rPr>
                    </w:pPr>
                  </w:p>
                </w:tc>
                <w:tc>
                  <w:tcPr>
                    <w:tcW w:w="460" w:type="pct"/>
                  </w:tcPr>
                  <w:p w14:paraId="1F41C579" w14:textId="77777777" w:rsidR="00830E72" w:rsidRDefault="00830E72">
                    <w:pPr>
                      <w:jc w:val="right"/>
                      <w:rPr>
                        <w:sz w:val="18"/>
                        <w:szCs w:val="18"/>
                      </w:rPr>
                    </w:pPr>
                  </w:p>
                </w:tc>
                <w:tc>
                  <w:tcPr>
                    <w:tcW w:w="460" w:type="pct"/>
                  </w:tcPr>
                  <w:p w14:paraId="394174AB" w14:textId="77777777" w:rsidR="00830E72" w:rsidRDefault="00830E72">
                    <w:pPr>
                      <w:jc w:val="right"/>
                      <w:rPr>
                        <w:sz w:val="18"/>
                        <w:szCs w:val="18"/>
                      </w:rPr>
                    </w:pPr>
                  </w:p>
                </w:tc>
                <w:tc>
                  <w:tcPr>
                    <w:tcW w:w="102" w:type="pct"/>
                  </w:tcPr>
                  <w:p w14:paraId="1F25A96D" w14:textId="77777777" w:rsidR="00830E72" w:rsidRDefault="00830E72">
                    <w:pPr>
                      <w:jc w:val="right"/>
                      <w:rPr>
                        <w:sz w:val="18"/>
                        <w:szCs w:val="18"/>
                      </w:rPr>
                    </w:pPr>
                  </w:p>
                </w:tc>
                <w:tc>
                  <w:tcPr>
                    <w:tcW w:w="528" w:type="pct"/>
                  </w:tcPr>
                  <w:p w14:paraId="02E18442" w14:textId="77777777" w:rsidR="00830E72" w:rsidRDefault="008344D8">
                    <w:pPr>
                      <w:jc w:val="right"/>
                      <w:rPr>
                        <w:sz w:val="18"/>
                        <w:szCs w:val="18"/>
                      </w:rPr>
                    </w:pPr>
                    <w:r>
                      <w:rPr>
                        <w:sz w:val="18"/>
                        <w:szCs w:val="18"/>
                      </w:rPr>
                      <w:t>-49,900,000.00</w:t>
                    </w:r>
                  </w:p>
                </w:tc>
                <w:tc>
                  <w:tcPr>
                    <w:tcW w:w="133" w:type="pct"/>
                  </w:tcPr>
                  <w:p w14:paraId="209B7A4C" w14:textId="77777777" w:rsidR="00830E72" w:rsidRDefault="00830E72">
                    <w:pPr>
                      <w:jc w:val="right"/>
                      <w:rPr>
                        <w:sz w:val="18"/>
                        <w:szCs w:val="18"/>
                      </w:rPr>
                    </w:pPr>
                  </w:p>
                </w:tc>
                <w:tc>
                  <w:tcPr>
                    <w:tcW w:w="522" w:type="pct"/>
                  </w:tcPr>
                  <w:p w14:paraId="07AF706F" w14:textId="77777777" w:rsidR="00830E72" w:rsidRDefault="008344D8">
                    <w:pPr>
                      <w:jc w:val="right"/>
                      <w:rPr>
                        <w:sz w:val="18"/>
                        <w:szCs w:val="18"/>
                      </w:rPr>
                    </w:pPr>
                    <w:r>
                      <w:rPr>
                        <w:sz w:val="18"/>
                        <w:szCs w:val="18"/>
                      </w:rPr>
                      <w:t>-49,900,000.00</w:t>
                    </w:r>
                  </w:p>
                </w:tc>
                <w:tc>
                  <w:tcPr>
                    <w:tcW w:w="436" w:type="pct"/>
                  </w:tcPr>
                  <w:p w14:paraId="70790CFE" w14:textId="77777777" w:rsidR="00830E72" w:rsidRDefault="00830E72">
                    <w:pPr>
                      <w:jc w:val="right"/>
                      <w:rPr>
                        <w:sz w:val="18"/>
                        <w:szCs w:val="18"/>
                      </w:rPr>
                    </w:pPr>
                  </w:p>
                </w:tc>
                <w:tc>
                  <w:tcPr>
                    <w:tcW w:w="520" w:type="pct"/>
                  </w:tcPr>
                  <w:p w14:paraId="6EF44EBA" w14:textId="77777777" w:rsidR="00830E72" w:rsidRDefault="008344D8">
                    <w:pPr>
                      <w:jc w:val="right"/>
                      <w:rPr>
                        <w:sz w:val="18"/>
                        <w:szCs w:val="18"/>
                      </w:rPr>
                    </w:pPr>
                    <w:r>
                      <w:rPr>
                        <w:sz w:val="18"/>
                        <w:szCs w:val="18"/>
                      </w:rPr>
                      <w:t>-49,900,000.00</w:t>
                    </w:r>
                  </w:p>
                </w:tc>
              </w:tr>
              <w:tr w:rsidR="00830E72" w14:paraId="6AF4635F" w14:textId="77777777">
                <w:sdt>
                  <w:sdtPr>
                    <w:tag w:val="_PLD_f3206f8cddd54371b8a1b220dc836af8"/>
                    <w:id w:val="-2123288405"/>
                    <w:lock w:val="sdtLocked"/>
                  </w:sdtPr>
                  <w:sdtEndPr/>
                  <w:sdtContent>
                    <w:tc>
                      <w:tcPr>
                        <w:tcW w:w="261" w:type="pct"/>
                      </w:tcPr>
                      <w:p w14:paraId="35AD53E3" w14:textId="77777777" w:rsidR="00830E72" w:rsidRDefault="008344D8">
                        <w:pPr>
                          <w:rPr>
                            <w:sz w:val="18"/>
                            <w:szCs w:val="18"/>
                          </w:rPr>
                        </w:pPr>
                        <w:r>
                          <w:rPr>
                            <w:sz w:val="18"/>
                            <w:szCs w:val="18"/>
                          </w:rPr>
                          <w:t>4．其他</w:t>
                        </w:r>
                      </w:p>
                    </w:tc>
                  </w:sdtContent>
                </w:sdt>
                <w:tc>
                  <w:tcPr>
                    <w:tcW w:w="463" w:type="pct"/>
                  </w:tcPr>
                  <w:p w14:paraId="5577FD23" w14:textId="77777777" w:rsidR="00830E72" w:rsidRDefault="00830E72">
                    <w:pPr>
                      <w:jc w:val="right"/>
                      <w:rPr>
                        <w:sz w:val="18"/>
                        <w:szCs w:val="18"/>
                      </w:rPr>
                    </w:pPr>
                  </w:p>
                </w:tc>
                <w:tc>
                  <w:tcPr>
                    <w:tcW w:w="133" w:type="pct"/>
                  </w:tcPr>
                  <w:p w14:paraId="7737011A" w14:textId="77777777" w:rsidR="00830E72" w:rsidRDefault="00830E72">
                    <w:pPr>
                      <w:jc w:val="right"/>
                      <w:rPr>
                        <w:sz w:val="18"/>
                        <w:szCs w:val="18"/>
                      </w:rPr>
                    </w:pPr>
                  </w:p>
                </w:tc>
                <w:tc>
                  <w:tcPr>
                    <w:tcW w:w="133" w:type="pct"/>
                  </w:tcPr>
                  <w:p w14:paraId="14323709" w14:textId="77777777" w:rsidR="00830E72" w:rsidRDefault="00830E72">
                    <w:pPr>
                      <w:jc w:val="right"/>
                      <w:rPr>
                        <w:sz w:val="18"/>
                        <w:szCs w:val="18"/>
                      </w:rPr>
                    </w:pPr>
                  </w:p>
                </w:tc>
                <w:tc>
                  <w:tcPr>
                    <w:tcW w:w="85" w:type="pct"/>
                    <w:gridSpan w:val="2"/>
                  </w:tcPr>
                  <w:p w14:paraId="65762005" w14:textId="77777777" w:rsidR="00830E72" w:rsidRDefault="00830E72">
                    <w:pPr>
                      <w:jc w:val="right"/>
                      <w:rPr>
                        <w:sz w:val="18"/>
                        <w:szCs w:val="18"/>
                      </w:rPr>
                    </w:pPr>
                  </w:p>
                </w:tc>
                <w:tc>
                  <w:tcPr>
                    <w:tcW w:w="524" w:type="pct"/>
                  </w:tcPr>
                  <w:p w14:paraId="7FB75227" w14:textId="77777777" w:rsidR="00830E72" w:rsidRDefault="00830E72">
                    <w:pPr>
                      <w:jc w:val="right"/>
                      <w:rPr>
                        <w:sz w:val="18"/>
                        <w:szCs w:val="18"/>
                      </w:rPr>
                    </w:pPr>
                  </w:p>
                </w:tc>
                <w:tc>
                  <w:tcPr>
                    <w:tcW w:w="86" w:type="pct"/>
                  </w:tcPr>
                  <w:p w14:paraId="36D7A96A" w14:textId="77777777" w:rsidR="00830E72" w:rsidRDefault="00830E72">
                    <w:pPr>
                      <w:jc w:val="right"/>
                      <w:rPr>
                        <w:sz w:val="18"/>
                        <w:szCs w:val="18"/>
                      </w:rPr>
                    </w:pPr>
                  </w:p>
                </w:tc>
                <w:tc>
                  <w:tcPr>
                    <w:tcW w:w="154" w:type="pct"/>
                  </w:tcPr>
                  <w:p w14:paraId="0A8B1C1B" w14:textId="77777777" w:rsidR="00830E72" w:rsidRDefault="00830E72">
                    <w:pPr>
                      <w:jc w:val="right"/>
                      <w:rPr>
                        <w:sz w:val="18"/>
                        <w:szCs w:val="18"/>
                      </w:rPr>
                    </w:pPr>
                  </w:p>
                </w:tc>
                <w:tc>
                  <w:tcPr>
                    <w:tcW w:w="460" w:type="pct"/>
                  </w:tcPr>
                  <w:p w14:paraId="15C1EE0F" w14:textId="77777777" w:rsidR="00830E72" w:rsidRDefault="00830E72">
                    <w:pPr>
                      <w:jc w:val="right"/>
                      <w:rPr>
                        <w:sz w:val="18"/>
                        <w:szCs w:val="18"/>
                      </w:rPr>
                    </w:pPr>
                  </w:p>
                </w:tc>
                <w:tc>
                  <w:tcPr>
                    <w:tcW w:w="460" w:type="pct"/>
                  </w:tcPr>
                  <w:p w14:paraId="4BD67C68" w14:textId="77777777" w:rsidR="00830E72" w:rsidRDefault="00830E72">
                    <w:pPr>
                      <w:jc w:val="right"/>
                      <w:rPr>
                        <w:sz w:val="18"/>
                        <w:szCs w:val="18"/>
                      </w:rPr>
                    </w:pPr>
                  </w:p>
                </w:tc>
                <w:tc>
                  <w:tcPr>
                    <w:tcW w:w="102" w:type="pct"/>
                  </w:tcPr>
                  <w:p w14:paraId="7E6F7C24" w14:textId="77777777" w:rsidR="00830E72" w:rsidRDefault="00830E72">
                    <w:pPr>
                      <w:jc w:val="right"/>
                      <w:rPr>
                        <w:sz w:val="18"/>
                        <w:szCs w:val="18"/>
                      </w:rPr>
                    </w:pPr>
                  </w:p>
                </w:tc>
                <w:tc>
                  <w:tcPr>
                    <w:tcW w:w="528" w:type="pct"/>
                  </w:tcPr>
                  <w:p w14:paraId="15FA7388" w14:textId="77777777" w:rsidR="00830E72" w:rsidRDefault="00830E72">
                    <w:pPr>
                      <w:jc w:val="right"/>
                      <w:rPr>
                        <w:sz w:val="18"/>
                        <w:szCs w:val="18"/>
                      </w:rPr>
                    </w:pPr>
                  </w:p>
                </w:tc>
                <w:tc>
                  <w:tcPr>
                    <w:tcW w:w="133" w:type="pct"/>
                  </w:tcPr>
                  <w:p w14:paraId="442EE506" w14:textId="77777777" w:rsidR="00830E72" w:rsidRDefault="00830E72">
                    <w:pPr>
                      <w:jc w:val="right"/>
                      <w:rPr>
                        <w:sz w:val="18"/>
                        <w:szCs w:val="18"/>
                      </w:rPr>
                    </w:pPr>
                  </w:p>
                </w:tc>
                <w:tc>
                  <w:tcPr>
                    <w:tcW w:w="522" w:type="pct"/>
                  </w:tcPr>
                  <w:p w14:paraId="5614EEFF" w14:textId="77777777" w:rsidR="00830E72" w:rsidRDefault="00830E72">
                    <w:pPr>
                      <w:jc w:val="right"/>
                      <w:rPr>
                        <w:sz w:val="18"/>
                        <w:szCs w:val="18"/>
                      </w:rPr>
                    </w:pPr>
                  </w:p>
                </w:tc>
                <w:tc>
                  <w:tcPr>
                    <w:tcW w:w="436" w:type="pct"/>
                  </w:tcPr>
                  <w:p w14:paraId="7C2181FA" w14:textId="77777777" w:rsidR="00830E72" w:rsidRDefault="00830E72">
                    <w:pPr>
                      <w:jc w:val="right"/>
                      <w:rPr>
                        <w:sz w:val="18"/>
                        <w:szCs w:val="18"/>
                      </w:rPr>
                    </w:pPr>
                  </w:p>
                </w:tc>
                <w:tc>
                  <w:tcPr>
                    <w:tcW w:w="520" w:type="pct"/>
                  </w:tcPr>
                  <w:p w14:paraId="2C844FC1" w14:textId="77777777" w:rsidR="00830E72" w:rsidRDefault="00830E72">
                    <w:pPr>
                      <w:jc w:val="right"/>
                      <w:rPr>
                        <w:sz w:val="18"/>
                        <w:szCs w:val="18"/>
                      </w:rPr>
                    </w:pPr>
                  </w:p>
                </w:tc>
              </w:tr>
              <w:tr w:rsidR="00830E72" w14:paraId="17AB3553" w14:textId="77777777">
                <w:sdt>
                  <w:sdtPr>
                    <w:tag w:val="_PLD_c0c9652bd3724ad8b729d3650a0840d4"/>
                    <w:id w:val="1445884810"/>
                    <w:lock w:val="sdtLocked"/>
                  </w:sdtPr>
                  <w:sdtEndPr/>
                  <w:sdtContent>
                    <w:tc>
                      <w:tcPr>
                        <w:tcW w:w="261" w:type="pct"/>
                      </w:tcPr>
                      <w:p w14:paraId="3C951F8F" w14:textId="77777777" w:rsidR="00830E72" w:rsidRDefault="008344D8">
                        <w:pPr>
                          <w:rPr>
                            <w:sz w:val="18"/>
                            <w:szCs w:val="18"/>
                          </w:rPr>
                        </w:pPr>
                        <w:r>
                          <w:rPr>
                            <w:sz w:val="18"/>
                            <w:szCs w:val="18"/>
                          </w:rPr>
                          <w:t>（</w:t>
                        </w:r>
                        <w:r>
                          <w:rPr>
                            <w:rFonts w:hint="eastAsia"/>
                            <w:sz w:val="18"/>
                            <w:szCs w:val="18"/>
                          </w:rPr>
                          <w:t>四</w:t>
                        </w:r>
                        <w:r>
                          <w:rPr>
                            <w:sz w:val="18"/>
                            <w:szCs w:val="18"/>
                          </w:rPr>
                          <w:t>）所有者权益内部结转</w:t>
                        </w:r>
                      </w:p>
                    </w:tc>
                  </w:sdtContent>
                </w:sdt>
                <w:tc>
                  <w:tcPr>
                    <w:tcW w:w="463" w:type="pct"/>
                  </w:tcPr>
                  <w:p w14:paraId="3FE88817" w14:textId="77777777" w:rsidR="00830E72" w:rsidRDefault="00830E72">
                    <w:pPr>
                      <w:jc w:val="right"/>
                      <w:rPr>
                        <w:sz w:val="18"/>
                        <w:szCs w:val="18"/>
                      </w:rPr>
                    </w:pPr>
                  </w:p>
                </w:tc>
                <w:tc>
                  <w:tcPr>
                    <w:tcW w:w="133" w:type="pct"/>
                  </w:tcPr>
                  <w:p w14:paraId="56B9BDB6" w14:textId="77777777" w:rsidR="00830E72" w:rsidRDefault="00830E72">
                    <w:pPr>
                      <w:jc w:val="right"/>
                      <w:rPr>
                        <w:sz w:val="18"/>
                        <w:szCs w:val="18"/>
                      </w:rPr>
                    </w:pPr>
                  </w:p>
                </w:tc>
                <w:tc>
                  <w:tcPr>
                    <w:tcW w:w="133" w:type="pct"/>
                  </w:tcPr>
                  <w:p w14:paraId="2EAFC36A" w14:textId="77777777" w:rsidR="00830E72" w:rsidRDefault="00830E72">
                    <w:pPr>
                      <w:jc w:val="right"/>
                      <w:rPr>
                        <w:sz w:val="18"/>
                        <w:szCs w:val="18"/>
                      </w:rPr>
                    </w:pPr>
                  </w:p>
                </w:tc>
                <w:tc>
                  <w:tcPr>
                    <w:tcW w:w="85" w:type="pct"/>
                    <w:gridSpan w:val="2"/>
                  </w:tcPr>
                  <w:p w14:paraId="27E87A3F" w14:textId="77777777" w:rsidR="00830E72" w:rsidRDefault="00830E72">
                    <w:pPr>
                      <w:jc w:val="right"/>
                      <w:rPr>
                        <w:sz w:val="18"/>
                        <w:szCs w:val="18"/>
                      </w:rPr>
                    </w:pPr>
                  </w:p>
                </w:tc>
                <w:tc>
                  <w:tcPr>
                    <w:tcW w:w="524" w:type="pct"/>
                  </w:tcPr>
                  <w:p w14:paraId="1CA69A55" w14:textId="77777777" w:rsidR="00830E72" w:rsidRDefault="00830E72">
                    <w:pPr>
                      <w:jc w:val="right"/>
                      <w:rPr>
                        <w:sz w:val="18"/>
                        <w:szCs w:val="18"/>
                      </w:rPr>
                    </w:pPr>
                  </w:p>
                </w:tc>
                <w:tc>
                  <w:tcPr>
                    <w:tcW w:w="86" w:type="pct"/>
                  </w:tcPr>
                  <w:p w14:paraId="3E7B6162" w14:textId="77777777" w:rsidR="00830E72" w:rsidRDefault="00830E72">
                    <w:pPr>
                      <w:jc w:val="right"/>
                      <w:rPr>
                        <w:sz w:val="18"/>
                        <w:szCs w:val="18"/>
                      </w:rPr>
                    </w:pPr>
                  </w:p>
                </w:tc>
                <w:tc>
                  <w:tcPr>
                    <w:tcW w:w="154" w:type="pct"/>
                  </w:tcPr>
                  <w:p w14:paraId="1E53B06A" w14:textId="77777777" w:rsidR="00830E72" w:rsidRDefault="00830E72">
                    <w:pPr>
                      <w:jc w:val="right"/>
                      <w:rPr>
                        <w:sz w:val="18"/>
                        <w:szCs w:val="18"/>
                      </w:rPr>
                    </w:pPr>
                  </w:p>
                </w:tc>
                <w:tc>
                  <w:tcPr>
                    <w:tcW w:w="460" w:type="pct"/>
                  </w:tcPr>
                  <w:p w14:paraId="0BA394BF" w14:textId="77777777" w:rsidR="00830E72" w:rsidRDefault="00830E72">
                    <w:pPr>
                      <w:jc w:val="right"/>
                      <w:rPr>
                        <w:sz w:val="18"/>
                        <w:szCs w:val="18"/>
                      </w:rPr>
                    </w:pPr>
                  </w:p>
                </w:tc>
                <w:tc>
                  <w:tcPr>
                    <w:tcW w:w="460" w:type="pct"/>
                  </w:tcPr>
                  <w:p w14:paraId="1D8E2CBE" w14:textId="77777777" w:rsidR="00830E72" w:rsidRDefault="00830E72">
                    <w:pPr>
                      <w:jc w:val="right"/>
                      <w:rPr>
                        <w:sz w:val="18"/>
                        <w:szCs w:val="18"/>
                      </w:rPr>
                    </w:pPr>
                  </w:p>
                </w:tc>
                <w:tc>
                  <w:tcPr>
                    <w:tcW w:w="102" w:type="pct"/>
                  </w:tcPr>
                  <w:p w14:paraId="72574831" w14:textId="77777777" w:rsidR="00830E72" w:rsidRDefault="00830E72">
                    <w:pPr>
                      <w:jc w:val="right"/>
                      <w:rPr>
                        <w:sz w:val="18"/>
                        <w:szCs w:val="18"/>
                      </w:rPr>
                    </w:pPr>
                  </w:p>
                </w:tc>
                <w:tc>
                  <w:tcPr>
                    <w:tcW w:w="528" w:type="pct"/>
                  </w:tcPr>
                  <w:p w14:paraId="19797178" w14:textId="77777777" w:rsidR="00830E72" w:rsidRDefault="00830E72">
                    <w:pPr>
                      <w:jc w:val="right"/>
                      <w:rPr>
                        <w:sz w:val="18"/>
                        <w:szCs w:val="18"/>
                      </w:rPr>
                    </w:pPr>
                  </w:p>
                </w:tc>
                <w:tc>
                  <w:tcPr>
                    <w:tcW w:w="133" w:type="pct"/>
                  </w:tcPr>
                  <w:p w14:paraId="6302D133" w14:textId="77777777" w:rsidR="00830E72" w:rsidRDefault="00830E72">
                    <w:pPr>
                      <w:jc w:val="right"/>
                      <w:rPr>
                        <w:sz w:val="18"/>
                        <w:szCs w:val="18"/>
                      </w:rPr>
                    </w:pPr>
                  </w:p>
                </w:tc>
                <w:tc>
                  <w:tcPr>
                    <w:tcW w:w="522" w:type="pct"/>
                  </w:tcPr>
                  <w:p w14:paraId="7E206BBD" w14:textId="77777777" w:rsidR="00830E72" w:rsidRDefault="00830E72">
                    <w:pPr>
                      <w:jc w:val="right"/>
                      <w:rPr>
                        <w:sz w:val="18"/>
                        <w:szCs w:val="18"/>
                      </w:rPr>
                    </w:pPr>
                  </w:p>
                </w:tc>
                <w:tc>
                  <w:tcPr>
                    <w:tcW w:w="436" w:type="pct"/>
                  </w:tcPr>
                  <w:p w14:paraId="3CD2262D" w14:textId="77777777" w:rsidR="00830E72" w:rsidRDefault="00830E72">
                    <w:pPr>
                      <w:jc w:val="right"/>
                      <w:rPr>
                        <w:sz w:val="18"/>
                        <w:szCs w:val="18"/>
                      </w:rPr>
                    </w:pPr>
                  </w:p>
                </w:tc>
                <w:tc>
                  <w:tcPr>
                    <w:tcW w:w="520" w:type="pct"/>
                  </w:tcPr>
                  <w:p w14:paraId="650F5134" w14:textId="77777777" w:rsidR="00830E72" w:rsidRDefault="00830E72">
                    <w:pPr>
                      <w:jc w:val="right"/>
                      <w:rPr>
                        <w:sz w:val="18"/>
                        <w:szCs w:val="18"/>
                      </w:rPr>
                    </w:pPr>
                  </w:p>
                </w:tc>
              </w:tr>
              <w:tr w:rsidR="00830E72" w14:paraId="27244999" w14:textId="77777777">
                <w:sdt>
                  <w:sdtPr>
                    <w:tag w:val="_PLD_469a000ac571436189f1cb682bbe4ce7"/>
                    <w:id w:val="509106127"/>
                    <w:lock w:val="sdtLocked"/>
                  </w:sdtPr>
                  <w:sdtEndPr/>
                  <w:sdtContent>
                    <w:tc>
                      <w:tcPr>
                        <w:tcW w:w="261" w:type="pct"/>
                      </w:tcPr>
                      <w:p w14:paraId="1E29672E" w14:textId="77777777" w:rsidR="00830E72" w:rsidRDefault="008344D8">
                        <w:pPr>
                          <w:rPr>
                            <w:sz w:val="18"/>
                            <w:szCs w:val="18"/>
                          </w:rPr>
                        </w:pPr>
                        <w:r>
                          <w:rPr>
                            <w:sz w:val="18"/>
                            <w:szCs w:val="18"/>
                          </w:rPr>
                          <w:t>1．资本公积转增资本（或股本）</w:t>
                        </w:r>
                      </w:p>
                    </w:tc>
                  </w:sdtContent>
                </w:sdt>
                <w:tc>
                  <w:tcPr>
                    <w:tcW w:w="463" w:type="pct"/>
                  </w:tcPr>
                  <w:p w14:paraId="356801C4" w14:textId="77777777" w:rsidR="00830E72" w:rsidRDefault="00830E72">
                    <w:pPr>
                      <w:jc w:val="right"/>
                      <w:rPr>
                        <w:sz w:val="18"/>
                        <w:szCs w:val="18"/>
                      </w:rPr>
                    </w:pPr>
                  </w:p>
                </w:tc>
                <w:tc>
                  <w:tcPr>
                    <w:tcW w:w="133" w:type="pct"/>
                  </w:tcPr>
                  <w:p w14:paraId="72187C90" w14:textId="77777777" w:rsidR="00830E72" w:rsidRDefault="00830E72">
                    <w:pPr>
                      <w:jc w:val="right"/>
                      <w:rPr>
                        <w:sz w:val="18"/>
                        <w:szCs w:val="18"/>
                      </w:rPr>
                    </w:pPr>
                  </w:p>
                </w:tc>
                <w:tc>
                  <w:tcPr>
                    <w:tcW w:w="133" w:type="pct"/>
                  </w:tcPr>
                  <w:p w14:paraId="306FA1A4" w14:textId="77777777" w:rsidR="00830E72" w:rsidRDefault="00830E72">
                    <w:pPr>
                      <w:jc w:val="right"/>
                      <w:rPr>
                        <w:sz w:val="18"/>
                        <w:szCs w:val="18"/>
                      </w:rPr>
                    </w:pPr>
                  </w:p>
                </w:tc>
                <w:tc>
                  <w:tcPr>
                    <w:tcW w:w="85" w:type="pct"/>
                    <w:gridSpan w:val="2"/>
                  </w:tcPr>
                  <w:p w14:paraId="4598D7D6" w14:textId="77777777" w:rsidR="00830E72" w:rsidRDefault="00830E72">
                    <w:pPr>
                      <w:jc w:val="right"/>
                      <w:rPr>
                        <w:sz w:val="18"/>
                        <w:szCs w:val="18"/>
                      </w:rPr>
                    </w:pPr>
                  </w:p>
                </w:tc>
                <w:tc>
                  <w:tcPr>
                    <w:tcW w:w="524" w:type="pct"/>
                  </w:tcPr>
                  <w:p w14:paraId="139CFC9E" w14:textId="77777777" w:rsidR="00830E72" w:rsidRDefault="00830E72">
                    <w:pPr>
                      <w:jc w:val="right"/>
                      <w:rPr>
                        <w:sz w:val="18"/>
                        <w:szCs w:val="18"/>
                      </w:rPr>
                    </w:pPr>
                  </w:p>
                </w:tc>
                <w:tc>
                  <w:tcPr>
                    <w:tcW w:w="86" w:type="pct"/>
                  </w:tcPr>
                  <w:p w14:paraId="08940501" w14:textId="77777777" w:rsidR="00830E72" w:rsidRDefault="00830E72">
                    <w:pPr>
                      <w:jc w:val="right"/>
                      <w:rPr>
                        <w:sz w:val="18"/>
                        <w:szCs w:val="18"/>
                      </w:rPr>
                    </w:pPr>
                  </w:p>
                </w:tc>
                <w:tc>
                  <w:tcPr>
                    <w:tcW w:w="154" w:type="pct"/>
                  </w:tcPr>
                  <w:p w14:paraId="3190B568" w14:textId="77777777" w:rsidR="00830E72" w:rsidRDefault="00830E72">
                    <w:pPr>
                      <w:jc w:val="right"/>
                      <w:rPr>
                        <w:sz w:val="18"/>
                        <w:szCs w:val="18"/>
                      </w:rPr>
                    </w:pPr>
                  </w:p>
                </w:tc>
                <w:tc>
                  <w:tcPr>
                    <w:tcW w:w="460" w:type="pct"/>
                  </w:tcPr>
                  <w:p w14:paraId="178C198C" w14:textId="77777777" w:rsidR="00830E72" w:rsidRDefault="00830E72">
                    <w:pPr>
                      <w:jc w:val="right"/>
                      <w:rPr>
                        <w:sz w:val="18"/>
                        <w:szCs w:val="18"/>
                      </w:rPr>
                    </w:pPr>
                  </w:p>
                </w:tc>
                <w:tc>
                  <w:tcPr>
                    <w:tcW w:w="460" w:type="pct"/>
                  </w:tcPr>
                  <w:p w14:paraId="74BCBD43" w14:textId="77777777" w:rsidR="00830E72" w:rsidRDefault="00830E72">
                    <w:pPr>
                      <w:jc w:val="right"/>
                      <w:rPr>
                        <w:sz w:val="18"/>
                        <w:szCs w:val="18"/>
                      </w:rPr>
                    </w:pPr>
                  </w:p>
                </w:tc>
                <w:tc>
                  <w:tcPr>
                    <w:tcW w:w="102" w:type="pct"/>
                  </w:tcPr>
                  <w:p w14:paraId="07B5B665" w14:textId="77777777" w:rsidR="00830E72" w:rsidRDefault="00830E72">
                    <w:pPr>
                      <w:jc w:val="right"/>
                      <w:rPr>
                        <w:sz w:val="18"/>
                        <w:szCs w:val="18"/>
                      </w:rPr>
                    </w:pPr>
                  </w:p>
                </w:tc>
                <w:tc>
                  <w:tcPr>
                    <w:tcW w:w="528" w:type="pct"/>
                  </w:tcPr>
                  <w:p w14:paraId="6122E854" w14:textId="77777777" w:rsidR="00830E72" w:rsidRDefault="00830E72">
                    <w:pPr>
                      <w:jc w:val="right"/>
                      <w:rPr>
                        <w:sz w:val="18"/>
                        <w:szCs w:val="18"/>
                      </w:rPr>
                    </w:pPr>
                  </w:p>
                </w:tc>
                <w:tc>
                  <w:tcPr>
                    <w:tcW w:w="133" w:type="pct"/>
                  </w:tcPr>
                  <w:p w14:paraId="1337BBBB" w14:textId="77777777" w:rsidR="00830E72" w:rsidRDefault="00830E72">
                    <w:pPr>
                      <w:jc w:val="right"/>
                      <w:rPr>
                        <w:sz w:val="18"/>
                        <w:szCs w:val="18"/>
                      </w:rPr>
                    </w:pPr>
                  </w:p>
                </w:tc>
                <w:tc>
                  <w:tcPr>
                    <w:tcW w:w="522" w:type="pct"/>
                  </w:tcPr>
                  <w:p w14:paraId="5C29A6E9" w14:textId="77777777" w:rsidR="00830E72" w:rsidRDefault="00830E72">
                    <w:pPr>
                      <w:jc w:val="right"/>
                      <w:rPr>
                        <w:sz w:val="18"/>
                        <w:szCs w:val="18"/>
                      </w:rPr>
                    </w:pPr>
                  </w:p>
                </w:tc>
                <w:tc>
                  <w:tcPr>
                    <w:tcW w:w="436" w:type="pct"/>
                  </w:tcPr>
                  <w:p w14:paraId="44F51867" w14:textId="77777777" w:rsidR="00830E72" w:rsidRDefault="00830E72">
                    <w:pPr>
                      <w:jc w:val="right"/>
                      <w:rPr>
                        <w:sz w:val="18"/>
                        <w:szCs w:val="18"/>
                      </w:rPr>
                    </w:pPr>
                  </w:p>
                </w:tc>
                <w:tc>
                  <w:tcPr>
                    <w:tcW w:w="520" w:type="pct"/>
                  </w:tcPr>
                  <w:p w14:paraId="09B60681" w14:textId="77777777" w:rsidR="00830E72" w:rsidRDefault="00830E72">
                    <w:pPr>
                      <w:jc w:val="right"/>
                      <w:rPr>
                        <w:sz w:val="18"/>
                        <w:szCs w:val="18"/>
                      </w:rPr>
                    </w:pPr>
                  </w:p>
                </w:tc>
              </w:tr>
              <w:tr w:rsidR="00830E72" w14:paraId="50EDB9B8" w14:textId="77777777">
                <w:sdt>
                  <w:sdtPr>
                    <w:tag w:val="_PLD_8874e17dc09c419baab53299f7967f44"/>
                    <w:id w:val="-359199124"/>
                    <w:lock w:val="sdtLocked"/>
                  </w:sdtPr>
                  <w:sdtEndPr/>
                  <w:sdtContent>
                    <w:tc>
                      <w:tcPr>
                        <w:tcW w:w="261" w:type="pct"/>
                      </w:tcPr>
                      <w:p w14:paraId="3628380B" w14:textId="77777777" w:rsidR="00830E72" w:rsidRDefault="008344D8">
                        <w:pPr>
                          <w:rPr>
                            <w:sz w:val="18"/>
                            <w:szCs w:val="18"/>
                          </w:rPr>
                        </w:pPr>
                        <w:r>
                          <w:rPr>
                            <w:sz w:val="18"/>
                            <w:szCs w:val="18"/>
                          </w:rPr>
                          <w:t>2．盈余公积转增资本（或股本）</w:t>
                        </w:r>
                      </w:p>
                    </w:tc>
                  </w:sdtContent>
                </w:sdt>
                <w:tc>
                  <w:tcPr>
                    <w:tcW w:w="463" w:type="pct"/>
                  </w:tcPr>
                  <w:p w14:paraId="3FFAC015" w14:textId="77777777" w:rsidR="00830E72" w:rsidRDefault="00830E72">
                    <w:pPr>
                      <w:jc w:val="right"/>
                      <w:rPr>
                        <w:sz w:val="18"/>
                        <w:szCs w:val="18"/>
                      </w:rPr>
                    </w:pPr>
                  </w:p>
                </w:tc>
                <w:tc>
                  <w:tcPr>
                    <w:tcW w:w="133" w:type="pct"/>
                  </w:tcPr>
                  <w:p w14:paraId="11A7C76A" w14:textId="77777777" w:rsidR="00830E72" w:rsidRDefault="00830E72">
                    <w:pPr>
                      <w:jc w:val="right"/>
                      <w:rPr>
                        <w:sz w:val="18"/>
                        <w:szCs w:val="18"/>
                      </w:rPr>
                    </w:pPr>
                  </w:p>
                </w:tc>
                <w:tc>
                  <w:tcPr>
                    <w:tcW w:w="133" w:type="pct"/>
                  </w:tcPr>
                  <w:p w14:paraId="6C99E28E" w14:textId="77777777" w:rsidR="00830E72" w:rsidRDefault="00830E72">
                    <w:pPr>
                      <w:jc w:val="right"/>
                      <w:rPr>
                        <w:sz w:val="18"/>
                        <w:szCs w:val="18"/>
                      </w:rPr>
                    </w:pPr>
                  </w:p>
                </w:tc>
                <w:tc>
                  <w:tcPr>
                    <w:tcW w:w="85" w:type="pct"/>
                    <w:gridSpan w:val="2"/>
                  </w:tcPr>
                  <w:p w14:paraId="66955280" w14:textId="77777777" w:rsidR="00830E72" w:rsidRDefault="00830E72">
                    <w:pPr>
                      <w:jc w:val="right"/>
                      <w:rPr>
                        <w:sz w:val="18"/>
                        <w:szCs w:val="18"/>
                      </w:rPr>
                    </w:pPr>
                  </w:p>
                </w:tc>
                <w:tc>
                  <w:tcPr>
                    <w:tcW w:w="524" w:type="pct"/>
                  </w:tcPr>
                  <w:p w14:paraId="098AEE84" w14:textId="77777777" w:rsidR="00830E72" w:rsidRDefault="00830E72">
                    <w:pPr>
                      <w:jc w:val="right"/>
                      <w:rPr>
                        <w:sz w:val="18"/>
                        <w:szCs w:val="18"/>
                      </w:rPr>
                    </w:pPr>
                  </w:p>
                </w:tc>
                <w:tc>
                  <w:tcPr>
                    <w:tcW w:w="86" w:type="pct"/>
                  </w:tcPr>
                  <w:p w14:paraId="31ECF4A7" w14:textId="77777777" w:rsidR="00830E72" w:rsidRDefault="00830E72">
                    <w:pPr>
                      <w:jc w:val="right"/>
                      <w:rPr>
                        <w:sz w:val="18"/>
                        <w:szCs w:val="18"/>
                      </w:rPr>
                    </w:pPr>
                  </w:p>
                </w:tc>
                <w:tc>
                  <w:tcPr>
                    <w:tcW w:w="154" w:type="pct"/>
                  </w:tcPr>
                  <w:p w14:paraId="6A727512" w14:textId="77777777" w:rsidR="00830E72" w:rsidRDefault="00830E72">
                    <w:pPr>
                      <w:jc w:val="right"/>
                      <w:rPr>
                        <w:sz w:val="18"/>
                        <w:szCs w:val="18"/>
                      </w:rPr>
                    </w:pPr>
                  </w:p>
                </w:tc>
                <w:tc>
                  <w:tcPr>
                    <w:tcW w:w="460" w:type="pct"/>
                  </w:tcPr>
                  <w:p w14:paraId="44021B8A" w14:textId="77777777" w:rsidR="00830E72" w:rsidRDefault="00830E72">
                    <w:pPr>
                      <w:jc w:val="right"/>
                      <w:rPr>
                        <w:sz w:val="18"/>
                        <w:szCs w:val="18"/>
                      </w:rPr>
                    </w:pPr>
                  </w:p>
                </w:tc>
                <w:tc>
                  <w:tcPr>
                    <w:tcW w:w="460" w:type="pct"/>
                  </w:tcPr>
                  <w:p w14:paraId="1FE75B78" w14:textId="77777777" w:rsidR="00830E72" w:rsidRDefault="00830E72">
                    <w:pPr>
                      <w:jc w:val="right"/>
                      <w:rPr>
                        <w:sz w:val="18"/>
                        <w:szCs w:val="18"/>
                      </w:rPr>
                    </w:pPr>
                  </w:p>
                </w:tc>
                <w:tc>
                  <w:tcPr>
                    <w:tcW w:w="102" w:type="pct"/>
                  </w:tcPr>
                  <w:p w14:paraId="09ACD85F" w14:textId="77777777" w:rsidR="00830E72" w:rsidRDefault="00830E72">
                    <w:pPr>
                      <w:jc w:val="right"/>
                      <w:rPr>
                        <w:sz w:val="18"/>
                        <w:szCs w:val="18"/>
                      </w:rPr>
                    </w:pPr>
                  </w:p>
                </w:tc>
                <w:tc>
                  <w:tcPr>
                    <w:tcW w:w="528" w:type="pct"/>
                  </w:tcPr>
                  <w:p w14:paraId="46F57CD1" w14:textId="77777777" w:rsidR="00830E72" w:rsidRDefault="00830E72">
                    <w:pPr>
                      <w:jc w:val="right"/>
                      <w:rPr>
                        <w:sz w:val="18"/>
                        <w:szCs w:val="18"/>
                      </w:rPr>
                    </w:pPr>
                  </w:p>
                </w:tc>
                <w:tc>
                  <w:tcPr>
                    <w:tcW w:w="133" w:type="pct"/>
                  </w:tcPr>
                  <w:p w14:paraId="52C242A1" w14:textId="77777777" w:rsidR="00830E72" w:rsidRDefault="00830E72">
                    <w:pPr>
                      <w:jc w:val="right"/>
                      <w:rPr>
                        <w:sz w:val="18"/>
                        <w:szCs w:val="18"/>
                      </w:rPr>
                    </w:pPr>
                  </w:p>
                </w:tc>
                <w:tc>
                  <w:tcPr>
                    <w:tcW w:w="522" w:type="pct"/>
                  </w:tcPr>
                  <w:p w14:paraId="0182F920" w14:textId="77777777" w:rsidR="00830E72" w:rsidRDefault="00830E72">
                    <w:pPr>
                      <w:jc w:val="right"/>
                      <w:rPr>
                        <w:sz w:val="18"/>
                        <w:szCs w:val="18"/>
                      </w:rPr>
                    </w:pPr>
                  </w:p>
                </w:tc>
                <w:tc>
                  <w:tcPr>
                    <w:tcW w:w="436" w:type="pct"/>
                  </w:tcPr>
                  <w:p w14:paraId="189C03EA" w14:textId="77777777" w:rsidR="00830E72" w:rsidRDefault="00830E72">
                    <w:pPr>
                      <w:jc w:val="right"/>
                      <w:rPr>
                        <w:sz w:val="18"/>
                        <w:szCs w:val="18"/>
                      </w:rPr>
                    </w:pPr>
                  </w:p>
                </w:tc>
                <w:tc>
                  <w:tcPr>
                    <w:tcW w:w="520" w:type="pct"/>
                  </w:tcPr>
                  <w:p w14:paraId="344EDFD5" w14:textId="77777777" w:rsidR="00830E72" w:rsidRDefault="00830E72">
                    <w:pPr>
                      <w:jc w:val="right"/>
                      <w:rPr>
                        <w:sz w:val="18"/>
                        <w:szCs w:val="18"/>
                      </w:rPr>
                    </w:pPr>
                  </w:p>
                </w:tc>
              </w:tr>
              <w:tr w:rsidR="00830E72" w14:paraId="6978E50D" w14:textId="77777777">
                <w:sdt>
                  <w:sdtPr>
                    <w:tag w:val="_PLD_e3c6e2e078f649258bfa4dadb9266249"/>
                    <w:id w:val="62453172"/>
                    <w:lock w:val="sdtLocked"/>
                  </w:sdtPr>
                  <w:sdtEndPr/>
                  <w:sdtContent>
                    <w:tc>
                      <w:tcPr>
                        <w:tcW w:w="261" w:type="pct"/>
                      </w:tcPr>
                      <w:p w14:paraId="4AFAA70A" w14:textId="77777777" w:rsidR="00830E72" w:rsidRDefault="008344D8">
                        <w:pPr>
                          <w:rPr>
                            <w:sz w:val="18"/>
                            <w:szCs w:val="18"/>
                          </w:rPr>
                        </w:pPr>
                        <w:r>
                          <w:rPr>
                            <w:sz w:val="18"/>
                            <w:szCs w:val="18"/>
                          </w:rPr>
                          <w:t>3．盈余公积弥补亏损</w:t>
                        </w:r>
                      </w:p>
                    </w:tc>
                  </w:sdtContent>
                </w:sdt>
                <w:tc>
                  <w:tcPr>
                    <w:tcW w:w="463" w:type="pct"/>
                  </w:tcPr>
                  <w:p w14:paraId="0CE70F0A" w14:textId="77777777" w:rsidR="00830E72" w:rsidRDefault="00830E72">
                    <w:pPr>
                      <w:jc w:val="right"/>
                      <w:rPr>
                        <w:sz w:val="18"/>
                        <w:szCs w:val="18"/>
                      </w:rPr>
                    </w:pPr>
                  </w:p>
                </w:tc>
                <w:tc>
                  <w:tcPr>
                    <w:tcW w:w="133" w:type="pct"/>
                  </w:tcPr>
                  <w:p w14:paraId="1738B566" w14:textId="77777777" w:rsidR="00830E72" w:rsidRDefault="00830E72">
                    <w:pPr>
                      <w:jc w:val="right"/>
                      <w:rPr>
                        <w:sz w:val="18"/>
                        <w:szCs w:val="18"/>
                      </w:rPr>
                    </w:pPr>
                  </w:p>
                </w:tc>
                <w:tc>
                  <w:tcPr>
                    <w:tcW w:w="133" w:type="pct"/>
                  </w:tcPr>
                  <w:p w14:paraId="7593B775" w14:textId="77777777" w:rsidR="00830E72" w:rsidRDefault="00830E72">
                    <w:pPr>
                      <w:jc w:val="right"/>
                      <w:rPr>
                        <w:sz w:val="18"/>
                        <w:szCs w:val="18"/>
                      </w:rPr>
                    </w:pPr>
                  </w:p>
                </w:tc>
                <w:tc>
                  <w:tcPr>
                    <w:tcW w:w="85" w:type="pct"/>
                    <w:gridSpan w:val="2"/>
                  </w:tcPr>
                  <w:p w14:paraId="3EF2068E" w14:textId="77777777" w:rsidR="00830E72" w:rsidRDefault="00830E72">
                    <w:pPr>
                      <w:jc w:val="right"/>
                      <w:rPr>
                        <w:sz w:val="18"/>
                        <w:szCs w:val="18"/>
                      </w:rPr>
                    </w:pPr>
                  </w:p>
                </w:tc>
                <w:tc>
                  <w:tcPr>
                    <w:tcW w:w="524" w:type="pct"/>
                  </w:tcPr>
                  <w:p w14:paraId="65F24396" w14:textId="77777777" w:rsidR="00830E72" w:rsidRDefault="00830E72">
                    <w:pPr>
                      <w:jc w:val="right"/>
                      <w:rPr>
                        <w:sz w:val="18"/>
                        <w:szCs w:val="18"/>
                      </w:rPr>
                    </w:pPr>
                  </w:p>
                </w:tc>
                <w:tc>
                  <w:tcPr>
                    <w:tcW w:w="86" w:type="pct"/>
                  </w:tcPr>
                  <w:p w14:paraId="1A17AEB5" w14:textId="77777777" w:rsidR="00830E72" w:rsidRDefault="00830E72">
                    <w:pPr>
                      <w:jc w:val="right"/>
                      <w:rPr>
                        <w:sz w:val="18"/>
                        <w:szCs w:val="18"/>
                      </w:rPr>
                    </w:pPr>
                  </w:p>
                </w:tc>
                <w:tc>
                  <w:tcPr>
                    <w:tcW w:w="154" w:type="pct"/>
                  </w:tcPr>
                  <w:p w14:paraId="199607BC" w14:textId="77777777" w:rsidR="00830E72" w:rsidRDefault="00830E72">
                    <w:pPr>
                      <w:jc w:val="right"/>
                      <w:rPr>
                        <w:sz w:val="18"/>
                        <w:szCs w:val="18"/>
                      </w:rPr>
                    </w:pPr>
                  </w:p>
                </w:tc>
                <w:tc>
                  <w:tcPr>
                    <w:tcW w:w="460" w:type="pct"/>
                  </w:tcPr>
                  <w:p w14:paraId="2BB370B2" w14:textId="77777777" w:rsidR="00830E72" w:rsidRDefault="00830E72">
                    <w:pPr>
                      <w:jc w:val="right"/>
                      <w:rPr>
                        <w:sz w:val="18"/>
                        <w:szCs w:val="18"/>
                      </w:rPr>
                    </w:pPr>
                  </w:p>
                </w:tc>
                <w:tc>
                  <w:tcPr>
                    <w:tcW w:w="460" w:type="pct"/>
                  </w:tcPr>
                  <w:p w14:paraId="1DF71563" w14:textId="77777777" w:rsidR="00830E72" w:rsidRDefault="00830E72">
                    <w:pPr>
                      <w:jc w:val="right"/>
                      <w:rPr>
                        <w:sz w:val="18"/>
                        <w:szCs w:val="18"/>
                      </w:rPr>
                    </w:pPr>
                  </w:p>
                </w:tc>
                <w:tc>
                  <w:tcPr>
                    <w:tcW w:w="102" w:type="pct"/>
                  </w:tcPr>
                  <w:p w14:paraId="2AFC3DB3" w14:textId="77777777" w:rsidR="00830E72" w:rsidRDefault="00830E72">
                    <w:pPr>
                      <w:jc w:val="right"/>
                      <w:rPr>
                        <w:sz w:val="18"/>
                        <w:szCs w:val="18"/>
                      </w:rPr>
                    </w:pPr>
                  </w:p>
                </w:tc>
                <w:tc>
                  <w:tcPr>
                    <w:tcW w:w="528" w:type="pct"/>
                  </w:tcPr>
                  <w:p w14:paraId="29D7C17D" w14:textId="77777777" w:rsidR="00830E72" w:rsidRDefault="00830E72">
                    <w:pPr>
                      <w:jc w:val="right"/>
                      <w:rPr>
                        <w:sz w:val="18"/>
                        <w:szCs w:val="18"/>
                      </w:rPr>
                    </w:pPr>
                  </w:p>
                </w:tc>
                <w:tc>
                  <w:tcPr>
                    <w:tcW w:w="133" w:type="pct"/>
                  </w:tcPr>
                  <w:p w14:paraId="55269A7F" w14:textId="77777777" w:rsidR="00830E72" w:rsidRDefault="00830E72">
                    <w:pPr>
                      <w:jc w:val="right"/>
                      <w:rPr>
                        <w:sz w:val="18"/>
                        <w:szCs w:val="18"/>
                      </w:rPr>
                    </w:pPr>
                  </w:p>
                </w:tc>
                <w:tc>
                  <w:tcPr>
                    <w:tcW w:w="522" w:type="pct"/>
                  </w:tcPr>
                  <w:p w14:paraId="4501DBEB" w14:textId="77777777" w:rsidR="00830E72" w:rsidRDefault="00830E72">
                    <w:pPr>
                      <w:jc w:val="right"/>
                      <w:rPr>
                        <w:sz w:val="18"/>
                        <w:szCs w:val="18"/>
                      </w:rPr>
                    </w:pPr>
                  </w:p>
                </w:tc>
                <w:tc>
                  <w:tcPr>
                    <w:tcW w:w="436" w:type="pct"/>
                  </w:tcPr>
                  <w:p w14:paraId="735EA1C8" w14:textId="77777777" w:rsidR="00830E72" w:rsidRDefault="00830E72">
                    <w:pPr>
                      <w:jc w:val="right"/>
                      <w:rPr>
                        <w:sz w:val="18"/>
                        <w:szCs w:val="18"/>
                      </w:rPr>
                    </w:pPr>
                  </w:p>
                </w:tc>
                <w:tc>
                  <w:tcPr>
                    <w:tcW w:w="520" w:type="pct"/>
                  </w:tcPr>
                  <w:p w14:paraId="10716694" w14:textId="77777777" w:rsidR="00830E72" w:rsidRDefault="00830E72">
                    <w:pPr>
                      <w:jc w:val="right"/>
                      <w:rPr>
                        <w:sz w:val="18"/>
                        <w:szCs w:val="18"/>
                      </w:rPr>
                    </w:pPr>
                  </w:p>
                </w:tc>
              </w:tr>
              <w:tr w:rsidR="00830E72" w14:paraId="6E2E27C3" w14:textId="77777777">
                <w:tc>
                  <w:tcPr>
                    <w:tcW w:w="261" w:type="pct"/>
                  </w:tcPr>
                  <w:sdt>
                    <w:sdtPr>
                      <w:rPr>
                        <w:sz w:val="18"/>
                        <w:szCs w:val="18"/>
                      </w:rPr>
                      <w:tag w:val="_PLD_7a03b853b8c74c2fb2e89f59e327b578"/>
                      <w:id w:val="1985352766"/>
                      <w:lock w:val="sdtLocked"/>
                    </w:sdtPr>
                    <w:sdtEndPr/>
                    <w:sdtContent>
                      <w:p w14:paraId="5DF800C8" w14:textId="77777777" w:rsidR="00830E72" w:rsidRDefault="008344D8">
                        <w:r>
                          <w:rPr>
                            <w:sz w:val="18"/>
                            <w:szCs w:val="18"/>
                          </w:rPr>
                          <w:t>4．设定受益计划变动额结转留存收益</w:t>
                        </w:r>
                      </w:p>
                    </w:sdtContent>
                  </w:sdt>
                </w:tc>
                <w:tc>
                  <w:tcPr>
                    <w:tcW w:w="463" w:type="pct"/>
                  </w:tcPr>
                  <w:p w14:paraId="0E42E96D" w14:textId="77777777" w:rsidR="00830E72" w:rsidRDefault="00830E72">
                    <w:pPr>
                      <w:jc w:val="right"/>
                      <w:rPr>
                        <w:sz w:val="18"/>
                        <w:szCs w:val="18"/>
                      </w:rPr>
                    </w:pPr>
                  </w:p>
                </w:tc>
                <w:tc>
                  <w:tcPr>
                    <w:tcW w:w="133" w:type="pct"/>
                  </w:tcPr>
                  <w:p w14:paraId="3801BC3C" w14:textId="77777777" w:rsidR="00830E72" w:rsidRDefault="00830E72">
                    <w:pPr>
                      <w:jc w:val="right"/>
                      <w:rPr>
                        <w:sz w:val="18"/>
                        <w:szCs w:val="18"/>
                      </w:rPr>
                    </w:pPr>
                  </w:p>
                </w:tc>
                <w:tc>
                  <w:tcPr>
                    <w:tcW w:w="133" w:type="pct"/>
                  </w:tcPr>
                  <w:p w14:paraId="359F2822" w14:textId="77777777" w:rsidR="00830E72" w:rsidRDefault="00830E72">
                    <w:pPr>
                      <w:jc w:val="right"/>
                      <w:rPr>
                        <w:sz w:val="18"/>
                        <w:szCs w:val="18"/>
                      </w:rPr>
                    </w:pPr>
                  </w:p>
                </w:tc>
                <w:tc>
                  <w:tcPr>
                    <w:tcW w:w="85" w:type="pct"/>
                    <w:gridSpan w:val="2"/>
                  </w:tcPr>
                  <w:p w14:paraId="35D36E21" w14:textId="77777777" w:rsidR="00830E72" w:rsidRDefault="00830E72">
                    <w:pPr>
                      <w:jc w:val="right"/>
                      <w:rPr>
                        <w:sz w:val="18"/>
                        <w:szCs w:val="18"/>
                      </w:rPr>
                    </w:pPr>
                  </w:p>
                </w:tc>
                <w:tc>
                  <w:tcPr>
                    <w:tcW w:w="524" w:type="pct"/>
                  </w:tcPr>
                  <w:p w14:paraId="0B34B04C" w14:textId="77777777" w:rsidR="00830E72" w:rsidRDefault="00830E72">
                    <w:pPr>
                      <w:jc w:val="right"/>
                      <w:rPr>
                        <w:sz w:val="18"/>
                        <w:szCs w:val="18"/>
                      </w:rPr>
                    </w:pPr>
                  </w:p>
                </w:tc>
                <w:tc>
                  <w:tcPr>
                    <w:tcW w:w="86" w:type="pct"/>
                  </w:tcPr>
                  <w:p w14:paraId="7F5C11F2" w14:textId="77777777" w:rsidR="00830E72" w:rsidRDefault="00830E72">
                    <w:pPr>
                      <w:jc w:val="right"/>
                      <w:rPr>
                        <w:sz w:val="18"/>
                        <w:szCs w:val="18"/>
                      </w:rPr>
                    </w:pPr>
                  </w:p>
                </w:tc>
                <w:tc>
                  <w:tcPr>
                    <w:tcW w:w="154" w:type="pct"/>
                  </w:tcPr>
                  <w:p w14:paraId="0A2975EA" w14:textId="77777777" w:rsidR="00830E72" w:rsidRDefault="00830E72">
                    <w:pPr>
                      <w:jc w:val="right"/>
                      <w:rPr>
                        <w:sz w:val="18"/>
                        <w:szCs w:val="18"/>
                      </w:rPr>
                    </w:pPr>
                  </w:p>
                </w:tc>
                <w:tc>
                  <w:tcPr>
                    <w:tcW w:w="460" w:type="pct"/>
                  </w:tcPr>
                  <w:p w14:paraId="739D555E" w14:textId="77777777" w:rsidR="00830E72" w:rsidRDefault="00830E72">
                    <w:pPr>
                      <w:jc w:val="right"/>
                      <w:rPr>
                        <w:sz w:val="18"/>
                        <w:szCs w:val="18"/>
                      </w:rPr>
                    </w:pPr>
                  </w:p>
                </w:tc>
                <w:tc>
                  <w:tcPr>
                    <w:tcW w:w="460" w:type="pct"/>
                  </w:tcPr>
                  <w:p w14:paraId="75E0DC4C" w14:textId="77777777" w:rsidR="00830E72" w:rsidRDefault="00830E72">
                    <w:pPr>
                      <w:jc w:val="right"/>
                      <w:rPr>
                        <w:sz w:val="18"/>
                        <w:szCs w:val="18"/>
                      </w:rPr>
                    </w:pPr>
                  </w:p>
                </w:tc>
                <w:tc>
                  <w:tcPr>
                    <w:tcW w:w="102" w:type="pct"/>
                  </w:tcPr>
                  <w:p w14:paraId="4E705834" w14:textId="77777777" w:rsidR="00830E72" w:rsidRDefault="00830E72">
                    <w:pPr>
                      <w:jc w:val="right"/>
                      <w:rPr>
                        <w:sz w:val="18"/>
                        <w:szCs w:val="18"/>
                      </w:rPr>
                    </w:pPr>
                  </w:p>
                </w:tc>
                <w:tc>
                  <w:tcPr>
                    <w:tcW w:w="528" w:type="pct"/>
                  </w:tcPr>
                  <w:p w14:paraId="46F4A1D3" w14:textId="77777777" w:rsidR="00830E72" w:rsidRDefault="00830E72">
                    <w:pPr>
                      <w:jc w:val="right"/>
                      <w:rPr>
                        <w:sz w:val="18"/>
                        <w:szCs w:val="18"/>
                      </w:rPr>
                    </w:pPr>
                  </w:p>
                </w:tc>
                <w:tc>
                  <w:tcPr>
                    <w:tcW w:w="133" w:type="pct"/>
                  </w:tcPr>
                  <w:p w14:paraId="31F0FAD0" w14:textId="77777777" w:rsidR="00830E72" w:rsidRDefault="00830E72">
                    <w:pPr>
                      <w:jc w:val="right"/>
                      <w:rPr>
                        <w:sz w:val="18"/>
                        <w:szCs w:val="18"/>
                      </w:rPr>
                    </w:pPr>
                  </w:p>
                </w:tc>
                <w:tc>
                  <w:tcPr>
                    <w:tcW w:w="522" w:type="pct"/>
                  </w:tcPr>
                  <w:p w14:paraId="04D2CB44" w14:textId="77777777" w:rsidR="00830E72" w:rsidRDefault="00830E72">
                    <w:pPr>
                      <w:jc w:val="right"/>
                      <w:rPr>
                        <w:sz w:val="18"/>
                        <w:szCs w:val="18"/>
                      </w:rPr>
                    </w:pPr>
                  </w:p>
                </w:tc>
                <w:tc>
                  <w:tcPr>
                    <w:tcW w:w="436" w:type="pct"/>
                  </w:tcPr>
                  <w:p w14:paraId="25CCB10B" w14:textId="77777777" w:rsidR="00830E72" w:rsidRDefault="00830E72">
                    <w:pPr>
                      <w:jc w:val="right"/>
                      <w:rPr>
                        <w:sz w:val="18"/>
                        <w:szCs w:val="18"/>
                      </w:rPr>
                    </w:pPr>
                  </w:p>
                </w:tc>
                <w:tc>
                  <w:tcPr>
                    <w:tcW w:w="520" w:type="pct"/>
                  </w:tcPr>
                  <w:p w14:paraId="38B0B575" w14:textId="77777777" w:rsidR="00830E72" w:rsidRDefault="00830E72">
                    <w:pPr>
                      <w:jc w:val="right"/>
                      <w:rPr>
                        <w:sz w:val="18"/>
                        <w:szCs w:val="18"/>
                      </w:rPr>
                    </w:pPr>
                  </w:p>
                </w:tc>
              </w:tr>
              <w:tr w:rsidR="00830E72" w14:paraId="0C9A5B6C" w14:textId="77777777">
                <w:tc>
                  <w:tcPr>
                    <w:tcW w:w="261" w:type="pct"/>
                  </w:tcPr>
                  <w:sdt>
                    <w:sdtPr>
                      <w:rPr>
                        <w:sz w:val="18"/>
                        <w:szCs w:val="18"/>
                      </w:rPr>
                      <w:tag w:val="_PLD_1db95d2c039e4fb6b41eae5a5c0aeb0a"/>
                      <w:id w:val="1606068346"/>
                      <w:lock w:val="sdtLocked"/>
                    </w:sdtPr>
                    <w:sdtEndPr/>
                    <w:sdtContent>
                      <w:p w14:paraId="7BB85102" w14:textId="77777777" w:rsidR="00830E72" w:rsidRDefault="008344D8">
                        <w:pPr>
                          <w:rPr>
                            <w:sz w:val="18"/>
                            <w:szCs w:val="18"/>
                          </w:rPr>
                        </w:pPr>
                        <w:r>
                          <w:rPr>
                            <w:sz w:val="18"/>
                            <w:szCs w:val="18"/>
                          </w:rPr>
                          <w:t>5．其他综合收益结转留存收益</w:t>
                        </w:r>
                      </w:p>
                    </w:sdtContent>
                  </w:sdt>
                </w:tc>
                <w:tc>
                  <w:tcPr>
                    <w:tcW w:w="463" w:type="pct"/>
                  </w:tcPr>
                  <w:p w14:paraId="6908AC97" w14:textId="77777777" w:rsidR="00830E72" w:rsidRDefault="00830E72">
                    <w:pPr>
                      <w:jc w:val="right"/>
                      <w:rPr>
                        <w:sz w:val="18"/>
                        <w:szCs w:val="18"/>
                      </w:rPr>
                    </w:pPr>
                  </w:p>
                </w:tc>
                <w:tc>
                  <w:tcPr>
                    <w:tcW w:w="133" w:type="pct"/>
                  </w:tcPr>
                  <w:p w14:paraId="0CD2083B" w14:textId="77777777" w:rsidR="00830E72" w:rsidRDefault="00830E72">
                    <w:pPr>
                      <w:jc w:val="right"/>
                      <w:rPr>
                        <w:sz w:val="18"/>
                        <w:szCs w:val="18"/>
                      </w:rPr>
                    </w:pPr>
                  </w:p>
                </w:tc>
                <w:tc>
                  <w:tcPr>
                    <w:tcW w:w="133" w:type="pct"/>
                  </w:tcPr>
                  <w:p w14:paraId="70927E12" w14:textId="77777777" w:rsidR="00830E72" w:rsidRDefault="00830E72">
                    <w:pPr>
                      <w:jc w:val="right"/>
                      <w:rPr>
                        <w:sz w:val="18"/>
                        <w:szCs w:val="18"/>
                      </w:rPr>
                    </w:pPr>
                  </w:p>
                </w:tc>
                <w:tc>
                  <w:tcPr>
                    <w:tcW w:w="85" w:type="pct"/>
                    <w:gridSpan w:val="2"/>
                  </w:tcPr>
                  <w:p w14:paraId="3EFB730C" w14:textId="77777777" w:rsidR="00830E72" w:rsidRDefault="00830E72">
                    <w:pPr>
                      <w:jc w:val="right"/>
                      <w:rPr>
                        <w:sz w:val="18"/>
                        <w:szCs w:val="18"/>
                      </w:rPr>
                    </w:pPr>
                  </w:p>
                </w:tc>
                <w:tc>
                  <w:tcPr>
                    <w:tcW w:w="524" w:type="pct"/>
                  </w:tcPr>
                  <w:p w14:paraId="4F796C99" w14:textId="77777777" w:rsidR="00830E72" w:rsidRDefault="00830E72">
                    <w:pPr>
                      <w:jc w:val="right"/>
                      <w:rPr>
                        <w:sz w:val="18"/>
                        <w:szCs w:val="18"/>
                      </w:rPr>
                    </w:pPr>
                  </w:p>
                </w:tc>
                <w:tc>
                  <w:tcPr>
                    <w:tcW w:w="86" w:type="pct"/>
                  </w:tcPr>
                  <w:p w14:paraId="0048103D" w14:textId="77777777" w:rsidR="00830E72" w:rsidRDefault="00830E72">
                    <w:pPr>
                      <w:jc w:val="right"/>
                      <w:rPr>
                        <w:sz w:val="18"/>
                        <w:szCs w:val="18"/>
                      </w:rPr>
                    </w:pPr>
                  </w:p>
                </w:tc>
                <w:tc>
                  <w:tcPr>
                    <w:tcW w:w="154" w:type="pct"/>
                  </w:tcPr>
                  <w:p w14:paraId="67A3A1CA" w14:textId="77777777" w:rsidR="00830E72" w:rsidRDefault="00830E72">
                    <w:pPr>
                      <w:jc w:val="right"/>
                      <w:rPr>
                        <w:sz w:val="18"/>
                        <w:szCs w:val="18"/>
                      </w:rPr>
                    </w:pPr>
                  </w:p>
                </w:tc>
                <w:tc>
                  <w:tcPr>
                    <w:tcW w:w="460" w:type="pct"/>
                  </w:tcPr>
                  <w:p w14:paraId="0B82B3FB" w14:textId="77777777" w:rsidR="00830E72" w:rsidRDefault="00830E72">
                    <w:pPr>
                      <w:jc w:val="right"/>
                      <w:rPr>
                        <w:sz w:val="18"/>
                        <w:szCs w:val="18"/>
                      </w:rPr>
                    </w:pPr>
                  </w:p>
                </w:tc>
                <w:tc>
                  <w:tcPr>
                    <w:tcW w:w="460" w:type="pct"/>
                  </w:tcPr>
                  <w:p w14:paraId="303F4DC5" w14:textId="77777777" w:rsidR="00830E72" w:rsidRDefault="00830E72">
                    <w:pPr>
                      <w:jc w:val="right"/>
                      <w:rPr>
                        <w:sz w:val="18"/>
                        <w:szCs w:val="18"/>
                      </w:rPr>
                    </w:pPr>
                  </w:p>
                </w:tc>
                <w:tc>
                  <w:tcPr>
                    <w:tcW w:w="102" w:type="pct"/>
                  </w:tcPr>
                  <w:p w14:paraId="07975124" w14:textId="77777777" w:rsidR="00830E72" w:rsidRDefault="00830E72">
                    <w:pPr>
                      <w:jc w:val="right"/>
                      <w:rPr>
                        <w:sz w:val="18"/>
                        <w:szCs w:val="18"/>
                      </w:rPr>
                    </w:pPr>
                  </w:p>
                </w:tc>
                <w:tc>
                  <w:tcPr>
                    <w:tcW w:w="528" w:type="pct"/>
                  </w:tcPr>
                  <w:p w14:paraId="53108BFF" w14:textId="77777777" w:rsidR="00830E72" w:rsidRDefault="00830E72">
                    <w:pPr>
                      <w:jc w:val="right"/>
                      <w:rPr>
                        <w:sz w:val="18"/>
                        <w:szCs w:val="18"/>
                      </w:rPr>
                    </w:pPr>
                  </w:p>
                </w:tc>
                <w:tc>
                  <w:tcPr>
                    <w:tcW w:w="133" w:type="pct"/>
                  </w:tcPr>
                  <w:p w14:paraId="3CD79F23" w14:textId="77777777" w:rsidR="00830E72" w:rsidRDefault="00830E72">
                    <w:pPr>
                      <w:jc w:val="right"/>
                      <w:rPr>
                        <w:sz w:val="18"/>
                        <w:szCs w:val="18"/>
                      </w:rPr>
                    </w:pPr>
                  </w:p>
                </w:tc>
                <w:tc>
                  <w:tcPr>
                    <w:tcW w:w="522" w:type="pct"/>
                  </w:tcPr>
                  <w:p w14:paraId="3700D1F7" w14:textId="77777777" w:rsidR="00830E72" w:rsidRDefault="00830E72">
                    <w:pPr>
                      <w:jc w:val="right"/>
                      <w:rPr>
                        <w:sz w:val="18"/>
                        <w:szCs w:val="18"/>
                      </w:rPr>
                    </w:pPr>
                  </w:p>
                </w:tc>
                <w:tc>
                  <w:tcPr>
                    <w:tcW w:w="436" w:type="pct"/>
                  </w:tcPr>
                  <w:p w14:paraId="3583B8D0" w14:textId="77777777" w:rsidR="00830E72" w:rsidRDefault="00830E72">
                    <w:pPr>
                      <w:jc w:val="right"/>
                      <w:rPr>
                        <w:sz w:val="18"/>
                        <w:szCs w:val="18"/>
                      </w:rPr>
                    </w:pPr>
                  </w:p>
                </w:tc>
                <w:tc>
                  <w:tcPr>
                    <w:tcW w:w="520" w:type="pct"/>
                  </w:tcPr>
                  <w:p w14:paraId="1955D35D" w14:textId="77777777" w:rsidR="00830E72" w:rsidRDefault="00830E72">
                    <w:pPr>
                      <w:jc w:val="right"/>
                      <w:rPr>
                        <w:sz w:val="18"/>
                        <w:szCs w:val="18"/>
                      </w:rPr>
                    </w:pPr>
                  </w:p>
                </w:tc>
              </w:tr>
              <w:tr w:rsidR="00830E72" w14:paraId="4C595E25" w14:textId="77777777">
                <w:tc>
                  <w:tcPr>
                    <w:tcW w:w="261" w:type="pct"/>
                  </w:tcPr>
                  <w:sdt>
                    <w:sdtPr>
                      <w:rPr>
                        <w:sz w:val="18"/>
                        <w:szCs w:val="18"/>
                      </w:rPr>
                      <w:tag w:val="_PLD_44b366cf670e4514b5f91bc8cef97e27"/>
                      <w:id w:val="-723454726"/>
                      <w:lock w:val="sdtLocked"/>
                    </w:sdtPr>
                    <w:sdtEndPr/>
                    <w:sdtContent>
                      <w:p w14:paraId="18B20066" w14:textId="77777777" w:rsidR="00830E72" w:rsidRDefault="008344D8">
                        <w:r>
                          <w:rPr>
                            <w:sz w:val="18"/>
                            <w:szCs w:val="18"/>
                          </w:rPr>
                          <w:t>6．其他</w:t>
                        </w:r>
                      </w:p>
                    </w:sdtContent>
                  </w:sdt>
                </w:tc>
                <w:tc>
                  <w:tcPr>
                    <w:tcW w:w="463" w:type="pct"/>
                  </w:tcPr>
                  <w:p w14:paraId="7FC60B70" w14:textId="77777777" w:rsidR="00830E72" w:rsidRDefault="00830E72">
                    <w:pPr>
                      <w:jc w:val="right"/>
                      <w:rPr>
                        <w:sz w:val="18"/>
                        <w:szCs w:val="18"/>
                      </w:rPr>
                    </w:pPr>
                  </w:p>
                </w:tc>
                <w:tc>
                  <w:tcPr>
                    <w:tcW w:w="133" w:type="pct"/>
                  </w:tcPr>
                  <w:p w14:paraId="6BB1C557" w14:textId="77777777" w:rsidR="00830E72" w:rsidRDefault="00830E72">
                    <w:pPr>
                      <w:jc w:val="right"/>
                      <w:rPr>
                        <w:sz w:val="18"/>
                        <w:szCs w:val="18"/>
                      </w:rPr>
                    </w:pPr>
                  </w:p>
                </w:tc>
                <w:tc>
                  <w:tcPr>
                    <w:tcW w:w="133" w:type="pct"/>
                  </w:tcPr>
                  <w:p w14:paraId="1DEC8BF9" w14:textId="77777777" w:rsidR="00830E72" w:rsidRDefault="00830E72">
                    <w:pPr>
                      <w:jc w:val="right"/>
                      <w:rPr>
                        <w:sz w:val="18"/>
                        <w:szCs w:val="18"/>
                      </w:rPr>
                    </w:pPr>
                  </w:p>
                </w:tc>
                <w:tc>
                  <w:tcPr>
                    <w:tcW w:w="85" w:type="pct"/>
                    <w:gridSpan w:val="2"/>
                  </w:tcPr>
                  <w:p w14:paraId="16C2A28E" w14:textId="77777777" w:rsidR="00830E72" w:rsidRDefault="00830E72">
                    <w:pPr>
                      <w:jc w:val="right"/>
                      <w:rPr>
                        <w:sz w:val="18"/>
                        <w:szCs w:val="18"/>
                      </w:rPr>
                    </w:pPr>
                  </w:p>
                </w:tc>
                <w:tc>
                  <w:tcPr>
                    <w:tcW w:w="524" w:type="pct"/>
                  </w:tcPr>
                  <w:p w14:paraId="43E2E5EC" w14:textId="77777777" w:rsidR="00830E72" w:rsidRDefault="00830E72">
                    <w:pPr>
                      <w:jc w:val="right"/>
                      <w:rPr>
                        <w:sz w:val="18"/>
                        <w:szCs w:val="18"/>
                      </w:rPr>
                    </w:pPr>
                  </w:p>
                </w:tc>
                <w:tc>
                  <w:tcPr>
                    <w:tcW w:w="86" w:type="pct"/>
                  </w:tcPr>
                  <w:p w14:paraId="729B5B62" w14:textId="77777777" w:rsidR="00830E72" w:rsidRDefault="00830E72">
                    <w:pPr>
                      <w:jc w:val="right"/>
                      <w:rPr>
                        <w:sz w:val="18"/>
                        <w:szCs w:val="18"/>
                      </w:rPr>
                    </w:pPr>
                  </w:p>
                </w:tc>
                <w:tc>
                  <w:tcPr>
                    <w:tcW w:w="154" w:type="pct"/>
                  </w:tcPr>
                  <w:p w14:paraId="4D0DB7D6" w14:textId="77777777" w:rsidR="00830E72" w:rsidRDefault="00830E72">
                    <w:pPr>
                      <w:jc w:val="right"/>
                      <w:rPr>
                        <w:sz w:val="18"/>
                        <w:szCs w:val="18"/>
                      </w:rPr>
                    </w:pPr>
                  </w:p>
                </w:tc>
                <w:tc>
                  <w:tcPr>
                    <w:tcW w:w="460" w:type="pct"/>
                  </w:tcPr>
                  <w:p w14:paraId="225262B0" w14:textId="77777777" w:rsidR="00830E72" w:rsidRDefault="00830E72">
                    <w:pPr>
                      <w:jc w:val="right"/>
                      <w:rPr>
                        <w:sz w:val="18"/>
                        <w:szCs w:val="18"/>
                      </w:rPr>
                    </w:pPr>
                  </w:p>
                </w:tc>
                <w:tc>
                  <w:tcPr>
                    <w:tcW w:w="460" w:type="pct"/>
                  </w:tcPr>
                  <w:p w14:paraId="4DA0BA86" w14:textId="77777777" w:rsidR="00830E72" w:rsidRDefault="00830E72">
                    <w:pPr>
                      <w:jc w:val="right"/>
                      <w:rPr>
                        <w:sz w:val="18"/>
                        <w:szCs w:val="18"/>
                      </w:rPr>
                    </w:pPr>
                  </w:p>
                </w:tc>
                <w:tc>
                  <w:tcPr>
                    <w:tcW w:w="102" w:type="pct"/>
                  </w:tcPr>
                  <w:p w14:paraId="2A20968D" w14:textId="77777777" w:rsidR="00830E72" w:rsidRDefault="00830E72">
                    <w:pPr>
                      <w:jc w:val="right"/>
                      <w:rPr>
                        <w:sz w:val="18"/>
                        <w:szCs w:val="18"/>
                      </w:rPr>
                    </w:pPr>
                  </w:p>
                </w:tc>
                <w:tc>
                  <w:tcPr>
                    <w:tcW w:w="528" w:type="pct"/>
                  </w:tcPr>
                  <w:p w14:paraId="3F3C59F8" w14:textId="77777777" w:rsidR="00830E72" w:rsidRDefault="00830E72">
                    <w:pPr>
                      <w:jc w:val="right"/>
                      <w:rPr>
                        <w:sz w:val="18"/>
                        <w:szCs w:val="18"/>
                      </w:rPr>
                    </w:pPr>
                  </w:p>
                </w:tc>
                <w:tc>
                  <w:tcPr>
                    <w:tcW w:w="133" w:type="pct"/>
                  </w:tcPr>
                  <w:p w14:paraId="09544229" w14:textId="77777777" w:rsidR="00830E72" w:rsidRDefault="00830E72">
                    <w:pPr>
                      <w:jc w:val="right"/>
                      <w:rPr>
                        <w:sz w:val="18"/>
                        <w:szCs w:val="18"/>
                      </w:rPr>
                    </w:pPr>
                  </w:p>
                </w:tc>
                <w:tc>
                  <w:tcPr>
                    <w:tcW w:w="522" w:type="pct"/>
                  </w:tcPr>
                  <w:p w14:paraId="007AC1D1" w14:textId="77777777" w:rsidR="00830E72" w:rsidRDefault="00830E72">
                    <w:pPr>
                      <w:jc w:val="right"/>
                      <w:rPr>
                        <w:sz w:val="18"/>
                        <w:szCs w:val="18"/>
                      </w:rPr>
                    </w:pPr>
                  </w:p>
                </w:tc>
                <w:tc>
                  <w:tcPr>
                    <w:tcW w:w="436" w:type="pct"/>
                  </w:tcPr>
                  <w:p w14:paraId="006A14C5" w14:textId="77777777" w:rsidR="00830E72" w:rsidRDefault="00830E72">
                    <w:pPr>
                      <w:jc w:val="right"/>
                      <w:rPr>
                        <w:sz w:val="18"/>
                        <w:szCs w:val="18"/>
                      </w:rPr>
                    </w:pPr>
                  </w:p>
                </w:tc>
                <w:tc>
                  <w:tcPr>
                    <w:tcW w:w="520" w:type="pct"/>
                  </w:tcPr>
                  <w:p w14:paraId="00AB72A2" w14:textId="77777777" w:rsidR="00830E72" w:rsidRDefault="00830E72">
                    <w:pPr>
                      <w:jc w:val="right"/>
                      <w:rPr>
                        <w:sz w:val="18"/>
                        <w:szCs w:val="18"/>
                      </w:rPr>
                    </w:pPr>
                  </w:p>
                </w:tc>
              </w:tr>
              <w:tr w:rsidR="00830E72" w14:paraId="230605E7" w14:textId="77777777">
                <w:sdt>
                  <w:sdtPr>
                    <w:tag w:val="_PLD_4c2ffccd1b8247f8b48874b508665dc1"/>
                    <w:id w:val="764428672"/>
                    <w:lock w:val="sdtLocked"/>
                  </w:sdtPr>
                  <w:sdtEndPr/>
                  <w:sdtContent>
                    <w:tc>
                      <w:tcPr>
                        <w:tcW w:w="261" w:type="pct"/>
                      </w:tcPr>
                      <w:p w14:paraId="1B7D7FDD" w14:textId="77777777" w:rsidR="00830E72" w:rsidRDefault="008344D8">
                        <w:pPr>
                          <w:rPr>
                            <w:sz w:val="18"/>
                            <w:szCs w:val="18"/>
                          </w:rPr>
                        </w:pPr>
                        <w:r>
                          <w:rPr>
                            <w:rFonts w:hint="eastAsia"/>
                            <w:sz w:val="18"/>
                            <w:szCs w:val="18"/>
                          </w:rPr>
                          <w:t>（五）专项</w:t>
                        </w:r>
                        <w:r>
                          <w:rPr>
                            <w:rFonts w:hint="eastAsia"/>
                            <w:sz w:val="18"/>
                            <w:szCs w:val="18"/>
                          </w:rPr>
                          <w:lastRenderedPageBreak/>
                          <w:t>储备</w:t>
                        </w:r>
                      </w:p>
                    </w:tc>
                  </w:sdtContent>
                </w:sdt>
                <w:tc>
                  <w:tcPr>
                    <w:tcW w:w="463" w:type="pct"/>
                  </w:tcPr>
                  <w:p w14:paraId="389F0F10" w14:textId="77777777" w:rsidR="00830E72" w:rsidRDefault="00830E72">
                    <w:pPr>
                      <w:jc w:val="right"/>
                      <w:rPr>
                        <w:sz w:val="18"/>
                        <w:szCs w:val="18"/>
                      </w:rPr>
                    </w:pPr>
                  </w:p>
                </w:tc>
                <w:tc>
                  <w:tcPr>
                    <w:tcW w:w="133" w:type="pct"/>
                  </w:tcPr>
                  <w:p w14:paraId="4911A11E" w14:textId="77777777" w:rsidR="00830E72" w:rsidRDefault="00830E72">
                    <w:pPr>
                      <w:jc w:val="right"/>
                      <w:rPr>
                        <w:sz w:val="18"/>
                        <w:szCs w:val="18"/>
                      </w:rPr>
                    </w:pPr>
                  </w:p>
                </w:tc>
                <w:tc>
                  <w:tcPr>
                    <w:tcW w:w="133" w:type="pct"/>
                  </w:tcPr>
                  <w:p w14:paraId="445EE09A" w14:textId="77777777" w:rsidR="00830E72" w:rsidRDefault="00830E72">
                    <w:pPr>
                      <w:jc w:val="right"/>
                      <w:rPr>
                        <w:sz w:val="18"/>
                        <w:szCs w:val="18"/>
                      </w:rPr>
                    </w:pPr>
                  </w:p>
                </w:tc>
                <w:tc>
                  <w:tcPr>
                    <w:tcW w:w="85" w:type="pct"/>
                    <w:gridSpan w:val="2"/>
                  </w:tcPr>
                  <w:p w14:paraId="06DB5295" w14:textId="77777777" w:rsidR="00830E72" w:rsidRDefault="00830E72">
                    <w:pPr>
                      <w:jc w:val="right"/>
                      <w:rPr>
                        <w:sz w:val="18"/>
                        <w:szCs w:val="18"/>
                      </w:rPr>
                    </w:pPr>
                  </w:p>
                </w:tc>
                <w:tc>
                  <w:tcPr>
                    <w:tcW w:w="524" w:type="pct"/>
                  </w:tcPr>
                  <w:p w14:paraId="26FBE16B" w14:textId="77777777" w:rsidR="00830E72" w:rsidRDefault="00830E72">
                    <w:pPr>
                      <w:jc w:val="right"/>
                      <w:rPr>
                        <w:sz w:val="18"/>
                        <w:szCs w:val="18"/>
                      </w:rPr>
                    </w:pPr>
                  </w:p>
                </w:tc>
                <w:tc>
                  <w:tcPr>
                    <w:tcW w:w="86" w:type="pct"/>
                  </w:tcPr>
                  <w:p w14:paraId="28037DB2" w14:textId="77777777" w:rsidR="00830E72" w:rsidRDefault="00830E72">
                    <w:pPr>
                      <w:jc w:val="right"/>
                      <w:rPr>
                        <w:sz w:val="18"/>
                        <w:szCs w:val="18"/>
                      </w:rPr>
                    </w:pPr>
                  </w:p>
                </w:tc>
                <w:tc>
                  <w:tcPr>
                    <w:tcW w:w="154" w:type="pct"/>
                  </w:tcPr>
                  <w:p w14:paraId="28F9D581" w14:textId="77777777" w:rsidR="00830E72" w:rsidRDefault="00830E72">
                    <w:pPr>
                      <w:jc w:val="right"/>
                      <w:rPr>
                        <w:sz w:val="18"/>
                        <w:szCs w:val="18"/>
                      </w:rPr>
                    </w:pPr>
                  </w:p>
                </w:tc>
                <w:tc>
                  <w:tcPr>
                    <w:tcW w:w="460" w:type="pct"/>
                  </w:tcPr>
                  <w:p w14:paraId="1380866A" w14:textId="77777777" w:rsidR="00830E72" w:rsidRDefault="008344D8">
                    <w:pPr>
                      <w:jc w:val="right"/>
                      <w:rPr>
                        <w:sz w:val="15"/>
                        <w:szCs w:val="15"/>
                      </w:rPr>
                    </w:pPr>
                    <w:r>
                      <w:rPr>
                        <w:sz w:val="15"/>
                        <w:szCs w:val="15"/>
                      </w:rPr>
                      <w:t>2,641,876.41</w:t>
                    </w:r>
                  </w:p>
                </w:tc>
                <w:tc>
                  <w:tcPr>
                    <w:tcW w:w="460" w:type="pct"/>
                  </w:tcPr>
                  <w:p w14:paraId="44B14E19" w14:textId="77777777" w:rsidR="00830E72" w:rsidRDefault="00830E72">
                    <w:pPr>
                      <w:jc w:val="right"/>
                      <w:rPr>
                        <w:sz w:val="15"/>
                        <w:szCs w:val="15"/>
                      </w:rPr>
                    </w:pPr>
                  </w:p>
                </w:tc>
                <w:tc>
                  <w:tcPr>
                    <w:tcW w:w="102" w:type="pct"/>
                  </w:tcPr>
                  <w:p w14:paraId="610DFAC2" w14:textId="77777777" w:rsidR="00830E72" w:rsidRDefault="00830E72">
                    <w:pPr>
                      <w:jc w:val="right"/>
                      <w:rPr>
                        <w:sz w:val="15"/>
                        <w:szCs w:val="15"/>
                      </w:rPr>
                    </w:pPr>
                  </w:p>
                </w:tc>
                <w:tc>
                  <w:tcPr>
                    <w:tcW w:w="528" w:type="pct"/>
                  </w:tcPr>
                  <w:p w14:paraId="7059D0F8" w14:textId="77777777" w:rsidR="00830E72" w:rsidRDefault="00830E72">
                    <w:pPr>
                      <w:jc w:val="right"/>
                      <w:rPr>
                        <w:sz w:val="15"/>
                        <w:szCs w:val="15"/>
                      </w:rPr>
                    </w:pPr>
                  </w:p>
                </w:tc>
                <w:tc>
                  <w:tcPr>
                    <w:tcW w:w="133" w:type="pct"/>
                  </w:tcPr>
                  <w:p w14:paraId="40B2BAE5" w14:textId="77777777" w:rsidR="00830E72" w:rsidRDefault="00830E72">
                    <w:pPr>
                      <w:jc w:val="right"/>
                      <w:rPr>
                        <w:sz w:val="15"/>
                        <w:szCs w:val="15"/>
                      </w:rPr>
                    </w:pPr>
                  </w:p>
                </w:tc>
                <w:tc>
                  <w:tcPr>
                    <w:tcW w:w="522" w:type="pct"/>
                  </w:tcPr>
                  <w:p w14:paraId="23B8C653" w14:textId="77777777" w:rsidR="00830E72" w:rsidRDefault="008344D8">
                    <w:pPr>
                      <w:jc w:val="right"/>
                      <w:rPr>
                        <w:sz w:val="15"/>
                        <w:szCs w:val="15"/>
                      </w:rPr>
                    </w:pPr>
                    <w:r>
                      <w:rPr>
                        <w:sz w:val="15"/>
                        <w:szCs w:val="15"/>
                      </w:rPr>
                      <w:t>2,641,876.41</w:t>
                    </w:r>
                  </w:p>
                </w:tc>
                <w:tc>
                  <w:tcPr>
                    <w:tcW w:w="436" w:type="pct"/>
                  </w:tcPr>
                  <w:p w14:paraId="029D1D8C" w14:textId="77777777" w:rsidR="00830E72" w:rsidRDefault="00830E72">
                    <w:pPr>
                      <w:jc w:val="right"/>
                      <w:rPr>
                        <w:sz w:val="15"/>
                        <w:szCs w:val="15"/>
                      </w:rPr>
                    </w:pPr>
                  </w:p>
                </w:tc>
                <w:tc>
                  <w:tcPr>
                    <w:tcW w:w="520" w:type="pct"/>
                  </w:tcPr>
                  <w:p w14:paraId="60832A98" w14:textId="77777777" w:rsidR="00830E72" w:rsidRDefault="008344D8">
                    <w:pPr>
                      <w:jc w:val="right"/>
                      <w:rPr>
                        <w:sz w:val="15"/>
                        <w:szCs w:val="15"/>
                      </w:rPr>
                    </w:pPr>
                    <w:r>
                      <w:rPr>
                        <w:sz w:val="15"/>
                        <w:szCs w:val="15"/>
                      </w:rPr>
                      <w:t>2,641,876.41</w:t>
                    </w:r>
                  </w:p>
                </w:tc>
              </w:tr>
              <w:tr w:rsidR="00830E72" w14:paraId="02FE581F" w14:textId="77777777">
                <w:sdt>
                  <w:sdtPr>
                    <w:tag w:val="_PLD_d7da1c1428f3471c9d74c89a582725d7"/>
                    <w:id w:val="-1542041153"/>
                    <w:lock w:val="sdtLocked"/>
                  </w:sdtPr>
                  <w:sdtEndPr/>
                  <w:sdtContent>
                    <w:tc>
                      <w:tcPr>
                        <w:tcW w:w="261" w:type="pct"/>
                      </w:tcPr>
                      <w:p w14:paraId="391D42FD" w14:textId="77777777" w:rsidR="00830E72" w:rsidRDefault="008344D8">
                        <w:pPr>
                          <w:rPr>
                            <w:sz w:val="18"/>
                            <w:szCs w:val="18"/>
                          </w:rPr>
                        </w:pPr>
                        <w:r>
                          <w:rPr>
                            <w:rFonts w:hint="eastAsia"/>
                            <w:sz w:val="18"/>
                            <w:szCs w:val="18"/>
                          </w:rPr>
                          <w:t>1．本期提取</w:t>
                        </w:r>
                      </w:p>
                    </w:tc>
                  </w:sdtContent>
                </w:sdt>
                <w:tc>
                  <w:tcPr>
                    <w:tcW w:w="463" w:type="pct"/>
                  </w:tcPr>
                  <w:p w14:paraId="329FB61C" w14:textId="77777777" w:rsidR="00830E72" w:rsidRDefault="00830E72">
                    <w:pPr>
                      <w:jc w:val="right"/>
                      <w:rPr>
                        <w:sz w:val="18"/>
                        <w:szCs w:val="18"/>
                      </w:rPr>
                    </w:pPr>
                  </w:p>
                </w:tc>
                <w:tc>
                  <w:tcPr>
                    <w:tcW w:w="133" w:type="pct"/>
                  </w:tcPr>
                  <w:p w14:paraId="341A0D9D" w14:textId="77777777" w:rsidR="00830E72" w:rsidRDefault="00830E72">
                    <w:pPr>
                      <w:jc w:val="right"/>
                      <w:rPr>
                        <w:sz w:val="18"/>
                        <w:szCs w:val="18"/>
                      </w:rPr>
                    </w:pPr>
                  </w:p>
                </w:tc>
                <w:tc>
                  <w:tcPr>
                    <w:tcW w:w="133" w:type="pct"/>
                  </w:tcPr>
                  <w:p w14:paraId="668917C6" w14:textId="77777777" w:rsidR="00830E72" w:rsidRDefault="00830E72">
                    <w:pPr>
                      <w:jc w:val="right"/>
                      <w:rPr>
                        <w:sz w:val="18"/>
                        <w:szCs w:val="18"/>
                      </w:rPr>
                    </w:pPr>
                  </w:p>
                </w:tc>
                <w:tc>
                  <w:tcPr>
                    <w:tcW w:w="85" w:type="pct"/>
                    <w:gridSpan w:val="2"/>
                  </w:tcPr>
                  <w:p w14:paraId="3461FBAB" w14:textId="77777777" w:rsidR="00830E72" w:rsidRDefault="00830E72">
                    <w:pPr>
                      <w:jc w:val="right"/>
                      <w:rPr>
                        <w:sz w:val="18"/>
                        <w:szCs w:val="18"/>
                      </w:rPr>
                    </w:pPr>
                  </w:p>
                </w:tc>
                <w:tc>
                  <w:tcPr>
                    <w:tcW w:w="524" w:type="pct"/>
                  </w:tcPr>
                  <w:p w14:paraId="2E00A8D0" w14:textId="77777777" w:rsidR="00830E72" w:rsidRDefault="00830E72">
                    <w:pPr>
                      <w:jc w:val="right"/>
                      <w:rPr>
                        <w:sz w:val="18"/>
                        <w:szCs w:val="18"/>
                      </w:rPr>
                    </w:pPr>
                  </w:p>
                </w:tc>
                <w:tc>
                  <w:tcPr>
                    <w:tcW w:w="86" w:type="pct"/>
                  </w:tcPr>
                  <w:p w14:paraId="6A58F74C" w14:textId="77777777" w:rsidR="00830E72" w:rsidRDefault="00830E72">
                    <w:pPr>
                      <w:jc w:val="right"/>
                      <w:rPr>
                        <w:sz w:val="18"/>
                        <w:szCs w:val="18"/>
                      </w:rPr>
                    </w:pPr>
                  </w:p>
                </w:tc>
                <w:tc>
                  <w:tcPr>
                    <w:tcW w:w="154" w:type="pct"/>
                  </w:tcPr>
                  <w:p w14:paraId="7214003D" w14:textId="77777777" w:rsidR="00830E72" w:rsidRDefault="00830E72">
                    <w:pPr>
                      <w:jc w:val="right"/>
                      <w:rPr>
                        <w:sz w:val="18"/>
                        <w:szCs w:val="18"/>
                      </w:rPr>
                    </w:pPr>
                  </w:p>
                </w:tc>
                <w:tc>
                  <w:tcPr>
                    <w:tcW w:w="460" w:type="pct"/>
                  </w:tcPr>
                  <w:p w14:paraId="045A1801" w14:textId="77777777" w:rsidR="00830E72" w:rsidRDefault="008344D8">
                    <w:pPr>
                      <w:jc w:val="right"/>
                      <w:rPr>
                        <w:sz w:val="15"/>
                        <w:szCs w:val="15"/>
                      </w:rPr>
                    </w:pPr>
                    <w:r>
                      <w:rPr>
                        <w:sz w:val="15"/>
                        <w:szCs w:val="15"/>
                      </w:rPr>
                      <w:t>18,110,402.16</w:t>
                    </w:r>
                  </w:p>
                </w:tc>
                <w:tc>
                  <w:tcPr>
                    <w:tcW w:w="460" w:type="pct"/>
                  </w:tcPr>
                  <w:p w14:paraId="0F578AF3" w14:textId="77777777" w:rsidR="00830E72" w:rsidRDefault="00830E72">
                    <w:pPr>
                      <w:jc w:val="right"/>
                      <w:rPr>
                        <w:sz w:val="15"/>
                        <w:szCs w:val="15"/>
                      </w:rPr>
                    </w:pPr>
                  </w:p>
                </w:tc>
                <w:tc>
                  <w:tcPr>
                    <w:tcW w:w="102" w:type="pct"/>
                  </w:tcPr>
                  <w:p w14:paraId="2C7A42AD" w14:textId="77777777" w:rsidR="00830E72" w:rsidRDefault="00830E72">
                    <w:pPr>
                      <w:jc w:val="right"/>
                      <w:rPr>
                        <w:sz w:val="15"/>
                        <w:szCs w:val="15"/>
                      </w:rPr>
                    </w:pPr>
                  </w:p>
                </w:tc>
                <w:tc>
                  <w:tcPr>
                    <w:tcW w:w="528" w:type="pct"/>
                  </w:tcPr>
                  <w:p w14:paraId="695CBBBD" w14:textId="77777777" w:rsidR="00830E72" w:rsidRDefault="00830E72">
                    <w:pPr>
                      <w:jc w:val="right"/>
                      <w:rPr>
                        <w:sz w:val="15"/>
                        <w:szCs w:val="15"/>
                      </w:rPr>
                    </w:pPr>
                  </w:p>
                </w:tc>
                <w:tc>
                  <w:tcPr>
                    <w:tcW w:w="133" w:type="pct"/>
                  </w:tcPr>
                  <w:p w14:paraId="259B3A26" w14:textId="77777777" w:rsidR="00830E72" w:rsidRDefault="00830E72">
                    <w:pPr>
                      <w:jc w:val="right"/>
                      <w:rPr>
                        <w:sz w:val="15"/>
                        <w:szCs w:val="15"/>
                      </w:rPr>
                    </w:pPr>
                  </w:p>
                </w:tc>
                <w:tc>
                  <w:tcPr>
                    <w:tcW w:w="522" w:type="pct"/>
                  </w:tcPr>
                  <w:p w14:paraId="4F127A47" w14:textId="77777777" w:rsidR="00830E72" w:rsidRDefault="008344D8">
                    <w:pPr>
                      <w:jc w:val="right"/>
                      <w:rPr>
                        <w:sz w:val="15"/>
                        <w:szCs w:val="15"/>
                      </w:rPr>
                    </w:pPr>
                    <w:r>
                      <w:rPr>
                        <w:sz w:val="15"/>
                        <w:szCs w:val="15"/>
                      </w:rPr>
                      <w:t>18,110,402.16</w:t>
                    </w:r>
                  </w:p>
                </w:tc>
                <w:tc>
                  <w:tcPr>
                    <w:tcW w:w="436" w:type="pct"/>
                  </w:tcPr>
                  <w:p w14:paraId="12E9D1A8" w14:textId="77777777" w:rsidR="00830E72" w:rsidRDefault="00830E72">
                    <w:pPr>
                      <w:jc w:val="right"/>
                      <w:rPr>
                        <w:sz w:val="15"/>
                        <w:szCs w:val="15"/>
                      </w:rPr>
                    </w:pPr>
                  </w:p>
                </w:tc>
                <w:tc>
                  <w:tcPr>
                    <w:tcW w:w="520" w:type="pct"/>
                  </w:tcPr>
                  <w:p w14:paraId="2F1CE808" w14:textId="77777777" w:rsidR="00830E72" w:rsidRDefault="008344D8">
                    <w:pPr>
                      <w:jc w:val="right"/>
                      <w:rPr>
                        <w:sz w:val="15"/>
                        <w:szCs w:val="15"/>
                      </w:rPr>
                    </w:pPr>
                    <w:r>
                      <w:rPr>
                        <w:sz w:val="15"/>
                        <w:szCs w:val="15"/>
                      </w:rPr>
                      <w:t>18,110,402.16</w:t>
                    </w:r>
                  </w:p>
                </w:tc>
              </w:tr>
              <w:tr w:rsidR="00830E72" w14:paraId="504FF79D" w14:textId="77777777">
                <w:sdt>
                  <w:sdtPr>
                    <w:tag w:val="_PLD_f11a5c1cf32e432cb3dba158baca32fc"/>
                    <w:id w:val="1255854687"/>
                    <w:lock w:val="sdtLocked"/>
                  </w:sdtPr>
                  <w:sdtEndPr/>
                  <w:sdtContent>
                    <w:tc>
                      <w:tcPr>
                        <w:tcW w:w="261" w:type="pct"/>
                      </w:tcPr>
                      <w:p w14:paraId="72874F3C" w14:textId="77777777" w:rsidR="00830E72" w:rsidRDefault="008344D8">
                        <w:pPr>
                          <w:rPr>
                            <w:sz w:val="18"/>
                            <w:szCs w:val="18"/>
                          </w:rPr>
                        </w:pPr>
                        <w:r>
                          <w:rPr>
                            <w:rFonts w:hint="eastAsia"/>
                            <w:sz w:val="18"/>
                            <w:szCs w:val="18"/>
                          </w:rPr>
                          <w:t>2．本期使用</w:t>
                        </w:r>
                      </w:p>
                    </w:tc>
                  </w:sdtContent>
                </w:sdt>
                <w:tc>
                  <w:tcPr>
                    <w:tcW w:w="463" w:type="pct"/>
                  </w:tcPr>
                  <w:p w14:paraId="4BF7B6EC" w14:textId="77777777" w:rsidR="00830E72" w:rsidRDefault="00830E72">
                    <w:pPr>
                      <w:jc w:val="right"/>
                      <w:rPr>
                        <w:sz w:val="18"/>
                        <w:szCs w:val="18"/>
                      </w:rPr>
                    </w:pPr>
                  </w:p>
                </w:tc>
                <w:tc>
                  <w:tcPr>
                    <w:tcW w:w="133" w:type="pct"/>
                  </w:tcPr>
                  <w:p w14:paraId="79314B88" w14:textId="77777777" w:rsidR="00830E72" w:rsidRDefault="00830E72">
                    <w:pPr>
                      <w:jc w:val="right"/>
                      <w:rPr>
                        <w:sz w:val="18"/>
                        <w:szCs w:val="18"/>
                      </w:rPr>
                    </w:pPr>
                  </w:p>
                </w:tc>
                <w:tc>
                  <w:tcPr>
                    <w:tcW w:w="133" w:type="pct"/>
                  </w:tcPr>
                  <w:p w14:paraId="732B8B67" w14:textId="77777777" w:rsidR="00830E72" w:rsidRDefault="00830E72">
                    <w:pPr>
                      <w:jc w:val="right"/>
                      <w:rPr>
                        <w:sz w:val="18"/>
                        <w:szCs w:val="18"/>
                      </w:rPr>
                    </w:pPr>
                  </w:p>
                </w:tc>
                <w:tc>
                  <w:tcPr>
                    <w:tcW w:w="85" w:type="pct"/>
                    <w:gridSpan w:val="2"/>
                  </w:tcPr>
                  <w:p w14:paraId="688FD6F1" w14:textId="77777777" w:rsidR="00830E72" w:rsidRDefault="00830E72">
                    <w:pPr>
                      <w:jc w:val="right"/>
                      <w:rPr>
                        <w:sz w:val="18"/>
                        <w:szCs w:val="18"/>
                      </w:rPr>
                    </w:pPr>
                  </w:p>
                </w:tc>
                <w:tc>
                  <w:tcPr>
                    <w:tcW w:w="524" w:type="pct"/>
                  </w:tcPr>
                  <w:p w14:paraId="7135C45F" w14:textId="77777777" w:rsidR="00830E72" w:rsidRDefault="00830E72">
                    <w:pPr>
                      <w:jc w:val="right"/>
                      <w:rPr>
                        <w:sz w:val="18"/>
                        <w:szCs w:val="18"/>
                      </w:rPr>
                    </w:pPr>
                  </w:p>
                </w:tc>
                <w:tc>
                  <w:tcPr>
                    <w:tcW w:w="86" w:type="pct"/>
                  </w:tcPr>
                  <w:p w14:paraId="36BB7523" w14:textId="77777777" w:rsidR="00830E72" w:rsidRDefault="00830E72">
                    <w:pPr>
                      <w:jc w:val="right"/>
                      <w:rPr>
                        <w:sz w:val="18"/>
                        <w:szCs w:val="18"/>
                      </w:rPr>
                    </w:pPr>
                  </w:p>
                </w:tc>
                <w:tc>
                  <w:tcPr>
                    <w:tcW w:w="154" w:type="pct"/>
                  </w:tcPr>
                  <w:p w14:paraId="508986AC" w14:textId="77777777" w:rsidR="00830E72" w:rsidRDefault="00830E72">
                    <w:pPr>
                      <w:jc w:val="right"/>
                      <w:rPr>
                        <w:sz w:val="18"/>
                        <w:szCs w:val="18"/>
                      </w:rPr>
                    </w:pPr>
                  </w:p>
                </w:tc>
                <w:tc>
                  <w:tcPr>
                    <w:tcW w:w="460" w:type="pct"/>
                  </w:tcPr>
                  <w:p w14:paraId="47004ED9" w14:textId="77777777" w:rsidR="00830E72" w:rsidRDefault="008344D8">
                    <w:pPr>
                      <w:jc w:val="right"/>
                      <w:rPr>
                        <w:sz w:val="15"/>
                        <w:szCs w:val="15"/>
                      </w:rPr>
                    </w:pPr>
                    <w:r>
                      <w:rPr>
                        <w:sz w:val="15"/>
                        <w:szCs w:val="15"/>
                      </w:rPr>
                      <w:t>15,468,525.75</w:t>
                    </w:r>
                  </w:p>
                </w:tc>
                <w:tc>
                  <w:tcPr>
                    <w:tcW w:w="460" w:type="pct"/>
                  </w:tcPr>
                  <w:p w14:paraId="71DDB6EB" w14:textId="77777777" w:rsidR="00830E72" w:rsidRDefault="00830E72">
                    <w:pPr>
                      <w:jc w:val="right"/>
                      <w:rPr>
                        <w:sz w:val="15"/>
                        <w:szCs w:val="15"/>
                      </w:rPr>
                    </w:pPr>
                  </w:p>
                </w:tc>
                <w:tc>
                  <w:tcPr>
                    <w:tcW w:w="102" w:type="pct"/>
                  </w:tcPr>
                  <w:p w14:paraId="61BF3846" w14:textId="77777777" w:rsidR="00830E72" w:rsidRDefault="00830E72">
                    <w:pPr>
                      <w:jc w:val="right"/>
                      <w:rPr>
                        <w:sz w:val="15"/>
                        <w:szCs w:val="15"/>
                      </w:rPr>
                    </w:pPr>
                  </w:p>
                </w:tc>
                <w:tc>
                  <w:tcPr>
                    <w:tcW w:w="528" w:type="pct"/>
                  </w:tcPr>
                  <w:p w14:paraId="7FDECCA3" w14:textId="77777777" w:rsidR="00830E72" w:rsidRDefault="00830E72">
                    <w:pPr>
                      <w:jc w:val="right"/>
                      <w:rPr>
                        <w:sz w:val="15"/>
                        <w:szCs w:val="15"/>
                      </w:rPr>
                    </w:pPr>
                  </w:p>
                </w:tc>
                <w:tc>
                  <w:tcPr>
                    <w:tcW w:w="133" w:type="pct"/>
                  </w:tcPr>
                  <w:p w14:paraId="215D890B" w14:textId="77777777" w:rsidR="00830E72" w:rsidRDefault="00830E72">
                    <w:pPr>
                      <w:jc w:val="right"/>
                      <w:rPr>
                        <w:sz w:val="15"/>
                        <w:szCs w:val="15"/>
                      </w:rPr>
                    </w:pPr>
                  </w:p>
                </w:tc>
                <w:tc>
                  <w:tcPr>
                    <w:tcW w:w="522" w:type="pct"/>
                  </w:tcPr>
                  <w:p w14:paraId="1C5F4058" w14:textId="77777777" w:rsidR="00830E72" w:rsidRDefault="008344D8">
                    <w:pPr>
                      <w:jc w:val="right"/>
                      <w:rPr>
                        <w:sz w:val="15"/>
                        <w:szCs w:val="15"/>
                      </w:rPr>
                    </w:pPr>
                    <w:r>
                      <w:rPr>
                        <w:sz w:val="15"/>
                        <w:szCs w:val="15"/>
                      </w:rPr>
                      <w:t>15,468,525.75</w:t>
                    </w:r>
                  </w:p>
                </w:tc>
                <w:tc>
                  <w:tcPr>
                    <w:tcW w:w="436" w:type="pct"/>
                  </w:tcPr>
                  <w:p w14:paraId="0D341F2D" w14:textId="77777777" w:rsidR="00830E72" w:rsidRDefault="00830E72">
                    <w:pPr>
                      <w:jc w:val="right"/>
                      <w:rPr>
                        <w:sz w:val="15"/>
                        <w:szCs w:val="15"/>
                      </w:rPr>
                    </w:pPr>
                  </w:p>
                </w:tc>
                <w:tc>
                  <w:tcPr>
                    <w:tcW w:w="520" w:type="pct"/>
                  </w:tcPr>
                  <w:p w14:paraId="239CC576" w14:textId="77777777" w:rsidR="00830E72" w:rsidRDefault="008344D8">
                    <w:pPr>
                      <w:jc w:val="right"/>
                      <w:rPr>
                        <w:sz w:val="15"/>
                        <w:szCs w:val="15"/>
                      </w:rPr>
                    </w:pPr>
                    <w:r>
                      <w:rPr>
                        <w:sz w:val="15"/>
                        <w:szCs w:val="15"/>
                      </w:rPr>
                      <w:t>15,468,525.75</w:t>
                    </w:r>
                  </w:p>
                </w:tc>
              </w:tr>
              <w:tr w:rsidR="00830E72" w14:paraId="4CA80CF8" w14:textId="77777777">
                <w:sdt>
                  <w:sdtPr>
                    <w:tag w:val="_PLD_749e92980f334c9cae023bb1dba136fc"/>
                    <w:id w:val="-2119823539"/>
                    <w:lock w:val="sdtLocked"/>
                  </w:sdtPr>
                  <w:sdtEndPr/>
                  <w:sdtContent>
                    <w:tc>
                      <w:tcPr>
                        <w:tcW w:w="261" w:type="pct"/>
                      </w:tcPr>
                      <w:p w14:paraId="26DB2145" w14:textId="77777777" w:rsidR="00830E72" w:rsidRDefault="008344D8">
                        <w:pPr>
                          <w:rPr>
                            <w:sz w:val="18"/>
                            <w:szCs w:val="18"/>
                          </w:rPr>
                        </w:pPr>
                        <w:r>
                          <w:rPr>
                            <w:rFonts w:hint="eastAsia"/>
                            <w:sz w:val="18"/>
                            <w:szCs w:val="18"/>
                          </w:rPr>
                          <w:t>（六）其他</w:t>
                        </w:r>
                      </w:p>
                    </w:tc>
                  </w:sdtContent>
                </w:sdt>
                <w:tc>
                  <w:tcPr>
                    <w:tcW w:w="463" w:type="pct"/>
                  </w:tcPr>
                  <w:p w14:paraId="3F9828BC" w14:textId="77777777" w:rsidR="00830E72" w:rsidRDefault="00830E72">
                    <w:pPr>
                      <w:jc w:val="right"/>
                      <w:rPr>
                        <w:sz w:val="18"/>
                        <w:szCs w:val="18"/>
                      </w:rPr>
                    </w:pPr>
                  </w:p>
                </w:tc>
                <w:tc>
                  <w:tcPr>
                    <w:tcW w:w="133" w:type="pct"/>
                  </w:tcPr>
                  <w:p w14:paraId="4B5F97E0" w14:textId="77777777" w:rsidR="00830E72" w:rsidRDefault="00830E72">
                    <w:pPr>
                      <w:jc w:val="right"/>
                      <w:rPr>
                        <w:sz w:val="18"/>
                        <w:szCs w:val="18"/>
                      </w:rPr>
                    </w:pPr>
                  </w:p>
                </w:tc>
                <w:tc>
                  <w:tcPr>
                    <w:tcW w:w="133" w:type="pct"/>
                  </w:tcPr>
                  <w:p w14:paraId="2D525593" w14:textId="77777777" w:rsidR="00830E72" w:rsidRDefault="00830E72">
                    <w:pPr>
                      <w:jc w:val="right"/>
                      <w:rPr>
                        <w:sz w:val="18"/>
                        <w:szCs w:val="18"/>
                      </w:rPr>
                    </w:pPr>
                  </w:p>
                </w:tc>
                <w:tc>
                  <w:tcPr>
                    <w:tcW w:w="85" w:type="pct"/>
                    <w:gridSpan w:val="2"/>
                  </w:tcPr>
                  <w:p w14:paraId="4AA9C324" w14:textId="77777777" w:rsidR="00830E72" w:rsidRDefault="00830E72">
                    <w:pPr>
                      <w:jc w:val="right"/>
                      <w:rPr>
                        <w:sz w:val="18"/>
                        <w:szCs w:val="18"/>
                      </w:rPr>
                    </w:pPr>
                  </w:p>
                </w:tc>
                <w:tc>
                  <w:tcPr>
                    <w:tcW w:w="524" w:type="pct"/>
                  </w:tcPr>
                  <w:p w14:paraId="6DB014A4" w14:textId="77777777" w:rsidR="00830E72" w:rsidRDefault="00830E72">
                    <w:pPr>
                      <w:jc w:val="right"/>
                      <w:rPr>
                        <w:sz w:val="18"/>
                        <w:szCs w:val="18"/>
                      </w:rPr>
                    </w:pPr>
                  </w:p>
                </w:tc>
                <w:tc>
                  <w:tcPr>
                    <w:tcW w:w="86" w:type="pct"/>
                  </w:tcPr>
                  <w:p w14:paraId="1714CC3F" w14:textId="77777777" w:rsidR="00830E72" w:rsidRDefault="00830E72">
                    <w:pPr>
                      <w:jc w:val="right"/>
                      <w:rPr>
                        <w:sz w:val="18"/>
                        <w:szCs w:val="18"/>
                      </w:rPr>
                    </w:pPr>
                  </w:p>
                </w:tc>
                <w:tc>
                  <w:tcPr>
                    <w:tcW w:w="154" w:type="pct"/>
                  </w:tcPr>
                  <w:p w14:paraId="13EC3952" w14:textId="77777777" w:rsidR="00830E72" w:rsidRDefault="00830E72">
                    <w:pPr>
                      <w:jc w:val="right"/>
                      <w:rPr>
                        <w:sz w:val="18"/>
                        <w:szCs w:val="18"/>
                      </w:rPr>
                    </w:pPr>
                  </w:p>
                </w:tc>
                <w:tc>
                  <w:tcPr>
                    <w:tcW w:w="460" w:type="pct"/>
                  </w:tcPr>
                  <w:p w14:paraId="685FCD9D" w14:textId="77777777" w:rsidR="00830E72" w:rsidRDefault="00830E72">
                    <w:pPr>
                      <w:jc w:val="right"/>
                      <w:rPr>
                        <w:sz w:val="18"/>
                        <w:szCs w:val="18"/>
                      </w:rPr>
                    </w:pPr>
                  </w:p>
                </w:tc>
                <w:tc>
                  <w:tcPr>
                    <w:tcW w:w="460" w:type="pct"/>
                  </w:tcPr>
                  <w:p w14:paraId="3E5FDD2C" w14:textId="77777777" w:rsidR="00830E72" w:rsidRDefault="00830E72">
                    <w:pPr>
                      <w:jc w:val="right"/>
                      <w:rPr>
                        <w:sz w:val="18"/>
                        <w:szCs w:val="18"/>
                      </w:rPr>
                    </w:pPr>
                  </w:p>
                </w:tc>
                <w:tc>
                  <w:tcPr>
                    <w:tcW w:w="102" w:type="pct"/>
                  </w:tcPr>
                  <w:p w14:paraId="7EB4B25A" w14:textId="77777777" w:rsidR="00830E72" w:rsidRDefault="00830E72">
                    <w:pPr>
                      <w:jc w:val="right"/>
                      <w:rPr>
                        <w:sz w:val="18"/>
                        <w:szCs w:val="18"/>
                      </w:rPr>
                    </w:pPr>
                  </w:p>
                </w:tc>
                <w:tc>
                  <w:tcPr>
                    <w:tcW w:w="528" w:type="pct"/>
                  </w:tcPr>
                  <w:p w14:paraId="752B30EF" w14:textId="77777777" w:rsidR="00830E72" w:rsidRDefault="00830E72">
                    <w:pPr>
                      <w:jc w:val="right"/>
                      <w:rPr>
                        <w:sz w:val="18"/>
                        <w:szCs w:val="18"/>
                      </w:rPr>
                    </w:pPr>
                  </w:p>
                </w:tc>
                <w:tc>
                  <w:tcPr>
                    <w:tcW w:w="133" w:type="pct"/>
                  </w:tcPr>
                  <w:p w14:paraId="150145FA" w14:textId="77777777" w:rsidR="00830E72" w:rsidRDefault="00830E72">
                    <w:pPr>
                      <w:jc w:val="right"/>
                      <w:rPr>
                        <w:sz w:val="18"/>
                        <w:szCs w:val="18"/>
                      </w:rPr>
                    </w:pPr>
                  </w:p>
                </w:tc>
                <w:tc>
                  <w:tcPr>
                    <w:tcW w:w="522" w:type="pct"/>
                  </w:tcPr>
                  <w:p w14:paraId="6CE632C0" w14:textId="77777777" w:rsidR="00830E72" w:rsidRDefault="00830E72">
                    <w:pPr>
                      <w:jc w:val="right"/>
                      <w:rPr>
                        <w:sz w:val="18"/>
                        <w:szCs w:val="18"/>
                      </w:rPr>
                    </w:pPr>
                  </w:p>
                </w:tc>
                <w:tc>
                  <w:tcPr>
                    <w:tcW w:w="436" w:type="pct"/>
                  </w:tcPr>
                  <w:p w14:paraId="5635F306" w14:textId="77777777" w:rsidR="00830E72" w:rsidRDefault="00830E72">
                    <w:pPr>
                      <w:jc w:val="right"/>
                      <w:rPr>
                        <w:sz w:val="18"/>
                        <w:szCs w:val="18"/>
                      </w:rPr>
                    </w:pPr>
                  </w:p>
                </w:tc>
                <w:tc>
                  <w:tcPr>
                    <w:tcW w:w="520" w:type="pct"/>
                  </w:tcPr>
                  <w:p w14:paraId="6EB91002" w14:textId="77777777" w:rsidR="00830E72" w:rsidRDefault="00830E72">
                    <w:pPr>
                      <w:jc w:val="right"/>
                      <w:rPr>
                        <w:sz w:val="18"/>
                        <w:szCs w:val="18"/>
                      </w:rPr>
                    </w:pPr>
                  </w:p>
                </w:tc>
              </w:tr>
              <w:tr w:rsidR="00830E72" w14:paraId="427FDDE8" w14:textId="77777777">
                <w:sdt>
                  <w:sdtPr>
                    <w:tag w:val="_PLD_e9c8435b637745858c6ad855ad7bbea0"/>
                    <w:id w:val="1901171906"/>
                    <w:lock w:val="sdtLocked"/>
                  </w:sdtPr>
                  <w:sdtEndPr/>
                  <w:sdtContent>
                    <w:tc>
                      <w:tcPr>
                        <w:tcW w:w="261" w:type="pct"/>
                      </w:tcPr>
                      <w:p w14:paraId="660663D4" w14:textId="77777777" w:rsidR="00830E72" w:rsidRDefault="008344D8">
                        <w:pPr>
                          <w:rPr>
                            <w:sz w:val="18"/>
                            <w:szCs w:val="18"/>
                          </w:rPr>
                        </w:pPr>
                        <w:r>
                          <w:rPr>
                            <w:sz w:val="18"/>
                            <w:szCs w:val="18"/>
                          </w:rPr>
                          <w:t>四、本期期末余额</w:t>
                        </w:r>
                      </w:p>
                    </w:tc>
                  </w:sdtContent>
                </w:sdt>
                <w:tc>
                  <w:tcPr>
                    <w:tcW w:w="463" w:type="pct"/>
                  </w:tcPr>
                  <w:p w14:paraId="1E309EC6" w14:textId="77777777" w:rsidR="00830E72" w:rsidRDefault="008344D8">
                    <w:pPr>
                      <w:jc w:val="right"/>
                      <w:rPr>
                        <w:sz w:val="15"/>
                        <w:szCs w:val="15"/>
                      </w:rPr>
                    </w:pPr>
                    <w:r>
                      <w:rPr>
                        <w:sz w:val="15"/>
                        <w:szCs w:val="15"/>
                      </w:rPr>
                      <w:t>499,000,000.00</w:t>
                    </w:r>
                  </w:p>
                </w:tc>
                <w:tc>
                  <w:tcPr>
                    <w:tcW w:w="133" w:type="pct"/>
                  </w:tcPr>
                  <w:p w14:paraId="4A47D4D7" w14:textId="77777777" w:rsidR="00830E72" w:rsidRDefault="00830E72">
                    <w:pPr>
                      <w:jc w:val="right"/>
                      <w:rPr>
                        <w:sz w:val="15"/>
                        <w:szCs w:val="15"/>
                      </w:rPr>
                    </w:pPr>
                  </w:p>
                </w:tc>
                <w:tc>
                  <w:tcPr>
                    <w:tcW w:w="133" w:type="pct"/>
                  </w:tcPr>
                  <w:p w14:paraId="40BD1DD0" w14:textId="77777777" w:rsidR="00830E72" w:rsidRDefault="00830E72">
                    <w:pPr>
                      <w:jc w:val="right"/>
                      <w:rPr>
                        <w:sz w:val="15"/>
                        <w:szCs w:val="15"/>
                      </w:rPr>
                    </w:pPr>
                  </w:p>
                </w:tc>
                <w:tc>
                  <w:tcPr>
                    <w:tcW w:w="85" w:type="pct"/>
                    <w:gridSpan w:val="2"/>
                  </w:tcPr>
                  <w:p w14:paraId="322D8902" w14:textId="77777777" w:rsidR="00830E72" w:rsidRDefault="00830E72">
                    <w:pPr>
                      <w:jc w:val="right"/>
                      <w:rPr>
                        <w:sz w:val="15"/>
                        <w:szCs w:val="15"/>
                      </w:rPr>
                    </w:pPr>
                  </w:p>
                </w:tc>
                <w:tc>
                  <w:tcPr>
                    <w:tcW w:w="524" w:type="pct"/>
                  </w:tcPr>
                  <w:p w14:paraId="17EDE067" w14:textId="77777777" w:rsidR="00830E72" w:rsidRDefault="008344D8">
                    <w:pPr>
                      <w:jc w:val="right"/>
                      <w:rPr>
                        <w:sz w:val="15"/>
                        <w:szCs w:val="15"/>
                      </w:rPr>
                    </w:pPr>
                    <w:r>
                      <w:rPr>
                        <w:sz w:val="15"/>
                        <w:szCs w:val="15"/>
                      </w:rPr>
                      <w:t>212,034,615.01</w:t>
                    </w:r>
                  </w:p>
                </w:tc>
                <w:tc>
                  <w:tcPr>
                    <w:tcW w:w="86" w:type="pct"/>
                  </w:tcPr>
                  <w:p w14:paraId="1BC69E9F" w14:textId="77777777" w:rsidR="00830E72" w:rsidRDefault="00830E72">
                    <w:pPr>
                      <w:jc w:val="right"/>
                      <w:rPr>
                        <w:sz w:val="15"/>
                        <w:szCs w:val="15"/>
                      </w:rPr>
                    </w:pPr>
                  </w:p>
                </w:tc>
                <w:tc>
                  <w:tcPr>
                    <w:tcW w:w="154" w:type="pct"/>
                  </w:tcPr>
                  <w:p w14:paraId="2DBFED04" w14:textId="77777777" w:rsidR="00830E72" w:rsidRDefault="00830E72">
                    <w:pPr>
                      <w:jc w:val="right"/>
                      <w:rPr>
                        <w:sz w:val="15"/>
                        <w:szCs w:val="15"/>
                      </w:rPr>
                    </w:pPr>
                  </w:p>
                </w:tc>
                <w:tc>
                  <w:tcPr>
                    <w:tcW w:w="460" w:type="pct"/>
                  </w:tcPr>
                  <w:p w14:paraId="36F46F39" w14:textId="77777777" w:rsidR="00830E72" w:rsidRDefault="008344D8">
                    <w:pPr>
                      <w:jc w:val="right"/>
                      <w:rPr>
                        <w:sz w:val="15"/>
                        <w:szCs w:val="15"/>
                      </w:rPr>
                    </w:pPr>
                    <w:r>
                      <w:rPr>
                        <w:sz w:val="15"/>
                        <w:szCs w:val="15"/>
                      </w:rPr>
                      <w:t>18,679,169.77</w:t>
                    </w:r>
                  </w:p>
                </w:tc>
                <w:tc>
                  <w:tcPr>
                    <w:tcW w:w="460" w:type="pct"/>
                  </w:tcPr>
                  <w:p w14:paraId="5A5B9D18" w14:textId="0B5788D3" w:rsidR="00830E72" w:rsidRDefault="000D1A34">
                    <w:pPr>
                      <w:jc w:val="right"/>
                      <w:rPr>
                        <w:sz w:val="15"/>
                        <w:szCs w:val="15"/>
                      </w:rPr>
                    </w:pPr>
                    <w:r>
                      <w:rPr>
                        <w:sz w:val="15"/>
                        <w:szCs w:val="15"/>
                      </w:rPr>
                      <w:t>35,557,650.61</w:t>
                    </w:r>
                  </w:p>
                </w:tc>
                <w:tc>
                  <w:tcPr>
                    <w:tcW w:w="102" w:type="pct"/>
                  </w:tcPr>
                  <w:p w14:paraId="07A69530" w14:textId="77777777" w:rsidR="00830E72" w:rsidRDefault="00830E72">
                    <w:pPr>
                      <w:jc w:val="right"/>
                      <w:rPr>
                        <w:sz w:val="15"/>
                        <w:szCs w:val="15"/>
                      </w:rPr>
                    </w:pPr>
                  </w:p>
                </w:tc>
                <w:tc>
                  <w:tcPr>
                    <w:tcW w:w="528" w:type="pct"/>
                  </w:tcPr>
                  <w:p w14:paraId="1CB60265" w14:textId="292909C6" w:rsidR="00830E72" w:rsidRDefault="00522A36">
                    <w:pPr>
                      <w:jc w:val="right"/>
                      <w:rPr>
                        <w:sz w:val="15"/>
                        <w:szCs w:val="15"/>
                      </w:rPr>
                    </w:pPr>
                    <w:r w:rsidRPr="00522A36">
                      <w:rPr>
                        <w:sz w:val="15"/>
                        <w:szCs w:val="15"/>
                      </w:rPr>
                      <w:t>308,</w:t>
                    </w:r>
                    <w:r w:rsidR="00FE1AA8">
                      <w:rPr>
                        <w:sz w:val="15"/>
                        <w:szCs w:val="15"/>
                      </w:rPr>
                      <w:t>914</w:t>
                    </w:r>
                    <w:r w:rsidRPr="00522A36">
                      <w:rPr>
                        <w:sz w:val="15"/>
                        <w:szCs w:val="15"/>
                      </w:rPr>
                      <w:t>,</w:t>
                    </w:r>
                    <w:r w:rsidR="00FE1AA8">
                      <w:rPr>
                        <w:sz w:val="15"/>
                        <w:szCs w:val="15"/>
                      </w:rPr>
                      <w:t>245</w:t>
                    </w:r>
                    <w:r w:rsidRPr="00522A36">
                      <w:rPr>
                        <w:sz w:val="15"/>
                        <w:szCs w:val="15"/>
                      </w:rPr>
                      <w:t>.</w:t>
                    </w:r>
                    <w:r w:rsidR="00FE1AA8">
                      <w:rPr>
                        <w:sz w:val="15"/>
                        <w:szCs w:val="15"/>
                      </w:rPr>
                      <w:t>67</w:t>
                    </w:r>
                  </w:p>
                </w:tc>
                <w:tc>
                  <w:tcPr>
                    <w:tcW w:w="133" w:type="pct"/>
                  </w:tcPr>
                  <w:p w14:paraId="0D8699C3" w14:textId="77777777" w:rsidR="00830E72" w:rsidRDefault="00830E72">
                    <w:pPr>
                      <w:jc w:val="right"/>
                      <w:rPr>
                        <w:sz w:val="15"/>
                        <w:szCs w:val="15"/>
                      </w:rPr>
                    </w:pPr>
                  </w:p>
                </w:tc>
                <w:tc>
                  <w:tcPr>
                    <w:tcW w:w="522" w:type="pct"/>
                  </w:tcPr>
                  <w:p w14:paraId="7FC582BC" w14:textId="77777777" w:rsidR="00830E72" w:rsidRDefault="008344D8">
                    <w:pPr>
                      <w:jc w:val="right"/>
                      <w:rPr>
                        <w:sz w:val="15"/>
                        <w:szCs w:val="15"/>
                      </w:rPr>
                    </w:pPr>
                    <w:r>
                      <w:rPr>
                        <w:sz w:val="15"/>
                        <w:szCs w:val="15"/>
                      </w:rPr>
                      <w:t>1,074,185,681.06</w:t>
                    </w:r>
                  </w:p>
                </w:tc>
                <w:tc>
                  <w:tcPr>
                    <w:tcW w:w="436" w:type="pct"/>
                  </w:tcPr>
                  <w:p w14:paraId="57356FA4" w14:textId="77777777" w:rsidR="00830E72" w:rsidRDefault="008344D8">
                    <w:pPr>
                      <w:jc w:val="right"/>
                      <w:rPr>
                        <w:sz w:val="15"/>
                        <w:szCs w:val="15"/>
                      </w:rPr>
                    </w:pPr>
                    <w:r>
                      <w:rPr>
                        <w:sz w:val="15"/>
                        <w:szCs w:val="15"/>
                      </w:rPr>
                      <w:t>56,133,712.94</w:t>
                    </w:r>
                  </w:p>
                </w:tc>
                <w:tc>
                  <w:tcPr>
                    <w:tcW w:w="520" w:type="pct"/>
                  </w:tcPr>
                  <w:p w14:paraId="3808BE78" w14:textId="77777777" w:rsidR="00830E72" w:rsidRDefault="008344D8">
                    <w:pPr>
                      <w:jc w:val="right"/>
                      <w:rPr>
                        <w:sz w:val="15"/>
                        <w:szCs w:val="15"/>
                      </w:rPr>
                    </w:pPr>
                    <w:r>
                      <w:rPr>
                        <w:sz w:val="15"/>
                        <w:szCs w:val="15"/>
                      </w:rPr>
                      <w:t>1,130,319,394.00</w:t>
                    </w:r>
                  </w:p>
                </w:tc>
              </w:tr>
            </w:tbl>
            <w:p w14:paraId="3E70DEBB" w14:textId="77777777" w:rsidR="00830E72" w:rsidRDefault="00830E72"/>
            <w:p w14:paraId="0B1D706C" w14:textId="77777777" w:rsidR="00830E72" w:rsidRDefault="008344D8">
              <w:pPr>
                <w:snapToGrid w:val="0"/>
                <w:spacing w:line="240" w:lineRule="atLeast"/>
                <w:rPr>
                  <w:b/>
                  <w:bCs/>
                  <w:color w:val="FF0000"/>
                  <w:szCs w:val="21"/>
                </w:rPr>
              </w:pPr>
              <w:r>
                <w:rPr>
                  <w:szCs w:val="21"/>
                </w:rPr>
                <w:t>公司负责人</w:t>
              </w:r>
              <w:r>
                <w:rPr>
                  <w:rFonts w:hint="eastAsia"/>
                  <w:szCs w:val="21"/>
                </w:rPr>
                <w:t>：</w:t>
              </w:r>
              <w:sdt>
                <w:sdtPr>
                  <w:rPr>
                    <w:rFonts w:hint="eastAsia"/>
                    <w:szCs w:val="21"/>
                  </w:rPr>
                  <w:alias w:val="公司负责人"/>
                  <w:tag w:val="_GBC_076a4a0998a840bab20f0ed83e5bab3d"/>
                  <w:id w:val="-1998256357"/>
                  <w:lock w:val="sdtLocked"/>
                  <w:placeholder>
                    <w:docPart w:val="GBC22222222222222222222222222222"/>
                  </w:placeholder>
                  <w:text/>
                </w:sdtPr>
                <w:sdtEndPr/>
                <w:sdtContent>
                  <w:r>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606668582"/>
                  <w:lock w:val="sdtLocked"/>
                  <w:placeholder>
                    <w:docPart w:val="GBC22222222222222222222222222222"/>
                  </w:placeholder>
                  <w:text/>
                </w:sdtPr>
                <w:sdtEndPr/>
                <w:sdtContent>
                  <w:r>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1121572743"/>
                  <w:lock w:val="sdtLocked"/>
                  <w:placeholder>
                    <w:docPart w:val="GBC22222222222222222222222222222"/>
                  </w:placeholder>
                  <w:text/>
                </w:sdtPr>
                <w:sdtEndPr/>
                <w:sdtContent>
                  <w:r>
                    <w:rPr>
                      <w:rFonts w:hint="eastAsia"/>
                      <w:szCs w:val="21"/>
                    </w:rPr>
                    <w:t>王国鑫</w:t>
                  </w:r>
                </w:sdtContent>
              </w:sdt>
            </w:p>
          </w:sdtContent>
        </w:sdt>
        <w:p w14:paraId="036E9377" w14:textId="77777777" w:rsidR="00830E72" w:rsidRDefault="00830E72">
          <w:pPr>
            <w:rPr>
              <w:szCs w:val="21"/>
            </w:rPr>
          </w:pPr>
        </w:p>
        <w:p w14:paraId="441BE07F" w14:textId="77777777" w:rsidR="00830E72" w:rsidRDefault="00830E72">
          <w:pPr>
            <w:rPr>
              <w:szCs w:val="21"/>
            </w:rPr>
          </w:pPr>
        </w:p>
        <w:sdt>
          <w:sdtPr>
            <w:rPr>
              <w:rFonts w:ascii="宋体" w:hAnsi="宋体" w:cs="宋体"/>
              <w:b w:val="0"/>
              <w:bCs w:val="0"/>
              <w:kern w:val="0"/>
              <w:szCs w:val="24"/>
            </w:rPr>
            <w:tag w:val="_GBC_24560eea01804b8b9d3678736eb60ca8"/>
            <w:id w:val="611558066"/>
            <w:lock w:val="sdtLocked"/>
            <w:placeholder>
              <w:docPart w:val="GBC22222222222222222222222222222"/>
            </w:placeholder>
          </w:sdtPr>
          <w:sdtEndPr>
            <w:rPr>
              <w:rFonts w:hint="eastAsia"/>
              <w:szCs w:val="21"/>
            </w:rPr>
          </w:sdtEndPr>
          <w:sdtContent>
            <w:p w14:paraId="7C803EAD" w14:textId="77777777" w:rsidR="00830E72" w:rsidRDefault="008344D8">
              <w:pPr>
                <w:pStyle w:val="Style99"/>
                <w:jc w:val="center"/>
                <w:rPr>
                  <w:rFonts w:ascii="宋体" w:hAnsi="宋体"/>
                </w:rPr>
              </w:pPr>
              <w:r>
                <w:rPr>
                  <w:rFonts w:ascii="宋体" w:hAnsi="宋体"/>
                </w:rPr>
                <w:t>母公司</w:t>
              </w:r>
              <w:r>
                <w:rPr>
                  <w:rFonts w:ascii="宋体" w:hAnsi="宋体" w:hint="eastAsia"/>
                </w:rPr>
                <w:t>所有者权益变动表</w:t>
              </w:r>
            </w:p>
            <w:p w14:paraId="5EF16B2E" w14:textId="77777777" w:rsidR="00830E72" w:rsidRDefault="008344D8">
              <w:pPr>
                <w:tabs>
                  <w:tab w:val="left" w:pos="10080"/>
                </w:tabs>
                <w:snapToGrid w:val="0"/>
                <w:spacing w:line="240" w:lineRule="atLeast"/>
                <w:ind w:rightChars="12" w:right="25"/>
                <w:jc w:val="center"/>
                <w:rPr>
                  <w:b/>
                  <w:bCs/>
                  <w:szCs w:val="21"/>
                </w:rPr>
              </w:pPr>
              <w:r>
                <w:rPr>
                  <w:szCs w:val="21"/>
                </w:rPr>
                <w:t>2021年</w:t>
              </w:r>
              <w:r>
                <w:rPr>
                  <w:rFonts w:hint="eastAsia"/>
                  <w:szCs w:val="21"/>
                </w:rPr>
                <w:t>1—6</w:t>
              </w:r>
              <w:r>
                <w:rPr>
                  <w:szCs w:val="21"/>
                </w:rPr>
                <w:t>月</w:t>
              </w:r>
            </w:p>
            <w:p w14:paraId="6EA9B91F" w14:textId="77777777" w:rsidR="00830E72" w:rsidRDefault="008344D8">
              <w:pPr>
                <w:snapToGrid w:val="0"/>
                <w:spacing w:line="240" w:lineRule="atLeast"/>
                <w:jc w:val="right"/>
                <w:rPr>
                  <w:szCs w:val="21"/>
                </w:rPr>
              </w:pPr>
              <w:r>
                <w:rPr>
                  <w:szCs w:val="21"/>
                </w:rPr>
                <w:t>单位：</w:t>
              </w:r>
              <w:sdt>
                <w:sdtPr>
                  <w:rPr>
                    <w:szCs w:val="21"/>
                  </w:rPr>
                  <w:alias w:val="单位：母公司股东权益调节表"/>
                  <w:tag w:val="_GBC_048773409e614c6bb753000b028316a5"/>
                  <w:id w:val="-20975499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17554227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3"/>
                <w:gridCol w:w="1559"/>
                <w:gridCol w:w="567"/>
                <w:gridCol w:w="567"/>
                <w:gridCol w:w="396"/>
                <w:gridCol w:w="1560"/>
                <w:gridCol w:w="595"/>
                <w:gridCol w:w="851"/>
                <w:gridCol w:w="1417"/>
                <w:gridCol w:w="1560"/>
                <w:gridCol w:w="1701"/>
                <w:gridCol w:w="1684"/>
              </w:tblGrid>
              <w:tr w:rsidR="00830E72" w14:paraId="378381B7" w14:textId="77777777">
                <w:trPr>
                  <w:trHeight w:val="20"/>
                </w:trPr>
                <w:sdt>
                  <w:sdtPr>
                    <w:tag w:val="_PLD_e16babcb874e4410be91226aac3d24db"/>
                    <w:id w:val="-416478684"/>
                    <w:lock w:val="sdtLocked"/>
                  </w:sdtPr>
                  <w:sdtEndPr/>
                  <w:sdtContent>
                    <w:tc>
                      <w:tcPr>
                        <w:tcW w:w="1503" w:type="dxa"/>
                        <w:vMerge w:val="restart"/>
                        <w:vAlign w:val="center"/>
                      </w:tcPr>
                      <w:p w14:paraId="002FCC4F" w14:textId="77777777" w:rsidR="00830E72" w:rsidRDefault="008344D8">
                        <w:pPr>
                          <w:adjustRightInd w:val="0"/>
                          <w:snapToGrid w:val="0"/>
                          <w:jc w:val="center"/>
                          <w:rPr>
                            <w:sz w:val="18"/>
                            <w:szCs w:val="18"/>
                          </w:rPr>
                        </w:pPr>
                        <w:r>
                          <w:rPr>
                            <w:rFonts w:hint="eastAsia"/>
                            <w:sz w:val="18"/>
                            <w:szCs w:val="18"/>
                          </w:rPr>
                          <w:t>项目</w:t>
                        </w:r>
                      </w:p>
                    </w:tc>
                  </w:sdtContent>
                </w:sdt>
                <w:tc>
                  <w:tcPr>
                    <w:tcW w:w="12457" w:type="dxa"/>
                    <w:gridSpan w:val="11"/>
                    <w:vAlign w:val="center"/>
                  </w:tcPr>
                  <w:p w14:paraId="44BD917F" w14:textId="77777777" w:rsidR="00830E72" w:rsidRDefault="008344D8">
                    <w:pPr>
                      <w:adjustRightInd w:val="0"/>
                      <w:snapToGrid w:val="0"/>
                      <w:jc w:val="center"/>
                    </w:pPr>
                    <w:r>
                      <w:rPr>
                        <w:rFonts w:hint="eastAsia"/>
                      </w:rPr>
                      <w:t xml:space="preserve"> </w:t>
                    </w:r>
                    <w:sdt>
                      <w:sdtPr>
                        <w:rPr>
                          <w:rFonts w:hint="eastAsia"/>
                        </w:rPr>
                        <w:tag w:val="_PLD_f6e21c3ce66d4e148eea3bf743a653b8"/>
                        <w:id w:val="-1588914780"/>
                        <w:lock w:val="sdtLocked"/>
                      </w:sdtPr>
                      <w:sdtEndPr/>
                      <w:sdtContent>
                        <w:r>
                          <w:rPr>
                            <w:rFonts w:hint="eastAsia"/>
                            <w:sz w:val="18"/>
                          </w:rPr>
                          <w:t>2021年半年度</w:t>
                        </w:r>
                      </w:sdtContent>
                    </w:sdt>
                  </w:p>
                </w:tc>
              </w:tr>
              <w:tr w:rsidR="00830E72" w14:paraId="23DD8770" w14:textId="77777777" w:rsidTr="00D44830">
                <w:trPr>
                  <w:trHeight w:val="315"/>
                </w:trPr>
                <w:tc>
                  <w:tcPr>
                    <w:tcW w:w="1503" w:type="dxa"/>
                    <w:vMerge/>
                  </w:tcPr>
                  <w:p w14:paraId="4B1423C5" w14:textId="77777777" w:rsidR="00830E72" w:rsidRDefault="00830E72">
                    <w:pPr>
                      <w:adjustRightInd w:val="0"/>
                      <w:snapToGrid w:val="0"/>
                      <w:rPr>
                        <w:sz w:val="18"/>
                        <w:szCs w:val="18"/>
                      </w:rPr>
                    </w:pPr>
                  </w:p>
                </w:tc>
                <w:sdt>
                  <w:sdtPr>
                    <w:tag w:val="_PLD_0b6e9703ed65458cb162afd47e6cc9f5"/>
                    <w:id w:val="1833484506"/>
                    <w:lock w:val="sdtLocked"/>
                  </w:sdtPr>
                  <w:sdtEndPr/>
                  <w:sdtContent>
                    <w:tc>
                      <w:tcPr>
                        <w:tcW w:w="1559" w:type="dxa"/>
                        <w:vMerge w:val="restart"/>
                        <w:tcBorders>
                          <w:right w:val="single" w:sz="4" w:space="0" w:color="auto"/>
                        </w:tcBorders>
                        <w:vAlign w:val="center"/>
                      </w:tcPr>
                      <w:p w14:paraId="5EAD11AF" w14:textId="77777777" w:rsidR="00830E72" w:rsidRDefault="008344D8">
                        <w:pPr>
                          <w:adjustRightInd w:val="0"/>
                          <w:snapToGrid w:val="0"/>
                          <w:jc w:val="center"/>
                          <w:rPr>
                            <w:sz w:val="18"/>
                            <w:szCs w:val="18"/>
                          </w:rPr>
                        </w:pPr>
                        <w:r>
                          <w:rPr>
                            <w:rFonts w:hint="eastAsia"/>
                            <w:sz w:val="18"/>
                            <w:szCs w:val="18"/>
                          </w:rPr>
                          <w:t>实收资本</w:t>
                        </w:r>
                        <w:r>
                          <w:rPr>
                            <w:sz w:val="18"/>
                            <w:szCs w:val="18"/>
                          </w:rPr>
                          <w:t xml:space="preserve"> (或股本)</w:t>
                        </w:r>
                      </w:p>
                    </w:tc>
                  </w:sdtContent>
                </w:sdt>
                <w:sdt>
                  <w:sdtPr>
                    <w:tag w:val="_PLD_385a3413585444238bb59d181b958311"/>
                    <w:id w:val="-549912555"/>
                    <w:lock w:val="sdtLocked"/>
                  </w:sdtPr>
                  <w:sdtEndPr/>
                  <w:sdtContent>
                    <w:tc>
                      <w:tcPr>
                        <w:tcW w:w="1530" w:type="dxa"/>
                        <w:gridSpan w:val="3"/>
                        <w:tcBorders>
                          <w:left w:val="single" w:sz="4" w:space="0" w:color="auto"/>
                          <w:bottom w:val="single" w:sz="4" w:space="0" w:color="auto"/>
                        </w:tcBorders>
                        <w:vAlign w:val="center"/>
                      </w:tcPr>
                      <w:p w14:paraId="308C4D9A" w14:textId="77777777" w:rsidR="00830E72" w:rsidRDefault="008344D8">
                        <w:pPr>
                          <w:adjustRightInd w:val="0"/>
                          <w:snapToGrid w:val="0"/>
                          <w:jc w:val="center"/>
                          <w:rPr>
                            <w:sz w:val="18"/>
                            <w:szCs w:val="18"/>
                          </w:rPr>
                        </w:pPr>
                        <w:r>
                          <w:rPr>
                            <w:rFonts w:hint="eastAsia"/>
                            <w:sz w:val="18"/>
                            <w:szCs w:val="18"/>
                          </w:rPr>
                          <w:t>其他权益工具</w:t>
                        </w:r>
                      </w:p>
                    </w:tc>
                  </w:sdtContent>
                </w:sdt>
                <w:sdt>
                  <w:sdtPr>
                    <w:tag w:val="_PLD_670488de432c4150880353e82f6ebb21"/>
                    <w:id w:val="-1234693461"/>
                    <w:lock w:val="sdtLocked"/>
                  </w:sdtPr>
                  <w:sdtEndPr/>
                  <w:sdtContent>
                    <w:tc>
                      <w:tcPr>
                        <w:tcW w:w="1560" w:type="dxa"/>
                        <w:vAlign w:val="center"/>
                      </w:tcPr>
                      <w:p w14:paraId="1189DD6C" w14:textId="77777777" w:rsidR="00830E72" w:rsidRDefault="008344D8">
                        <w:pPr>
                          <w:adjustRightInd w:val="0"/>
                          <w:snapToGrid w:val="0"/>
                          <w:jc w:val="center"/>
                          <w:rPr>
                            <w:sz w:val="18"/>
                            <w:szCs w:val="18"/>
                          </w:rPr>
                        </w:pPr>
                        <w:r>
                          <w:rPr>
                            <w:sz w:val="18"/>
                            <w:szCs w:val="18"/>
                          </w:rPr>
                          <w:t>资本公积</w:t>
                        </w:r>
                      </w:p>
                    </w:tc>
                  </w:sdtContent>
                </w:sdt>
                <w:sdt>
                  <w:sdtPr>
                    <w:tag w:val="_PLD_c1c25c4e521b4e8aba5ccfef16a558c5"/>
                    <w:id w:val="-1481312302"/>
                    <w:lock w:val="sdtLocked"/>
                  </w:sdtPr>
                  <w:sdtEndPr/>
                  <w:sdtContent>
                    <w:tc>
                      <w:tcPr>
                        <w:tcW w:w="595" w:type="dxa"/>
                        <w:vMerge w:val="restart"/>
                        <w:vAlign w:val="center"/>
                      </w:tcPr>
                      <w:p w14:paraId="71002EDB" w14:textId="77777777" w:rsidR="00830E72" w:rsidRDefault="008344D8">
                        <w:pPr>
                          <w:adjustRightInd w:val="0"/>
                          <w:snapToGrid w:val="0"/>
                          <w:jc w:val="center"/>
                          <w:rPr>
                            <w:sz w:val="18"/>
                            <w:szCs w:val="18"/>
                          </w:rPr>
                        </w:pPr>
                        <w:r>
                          <w:rPr>
                            <w:sz w:val="18"/>
                            <w:szCs w:val="18"/>
                          </w:rPr>
                          <w:t>减：库存股</w:t>
                        </w:r>
                      </w:p>
                    </w:tc>
                  </w:sdtContent>
                </w:sdt>
                <w:sdt>
                  <w:sdtPr>
                    <w:tag w:val="_PLD_4ef83c170ca54a08ac6fcebc6a487dcd"/>
                    <w:id w:val="-922950699"/>
                    <w:lock w:val="sdtLocked"/>
                  </w:sdtPr>
                  <w:sdtEndPr/>
                  <w:sdtContent>
                    <w:tc>
                      <w:tcPr>
                        <w:tcW w:w="851" w:type="dxa"/>
                        <w:vMerge w:val="restart"/>
                        <w:vAlign w:val="center"/>
                      </w:tcPr>
                      <w:p w14:paraId="2F12715C" w14:textId="77777777" w:rsidR="00830E72" w:rsidRDefault="008344D8">
                        <w:pPr>
                          <w:jc w:val="center"/>
                          <w:rPr>
                            <w:sz w:val="18"/>
                            <w:szCs w:val="18"/>
                          </w:rPr>
                        </w:pPr>
                        <w:r>
                          <w:rPr>
                            <w:rFonts w:hint="eastAsia"/>
                            <w:sz w:val="18"/>
                            <w:szCs w:val="18"/>
                          </w:rPr>
                          <w:t>其他综合收益</w:t>
                        </w:r>
                      </w:p>
                    </w:tc>
                  </w:sdtContent>
                </w:sdt>
                <w:sdt>
                  <w:sdtPr>
                    <w:tag w:val="_PLD_5a42f2a835d44138928915520fc5e902"/>
                    <w:id w:val="1053819191"/>
                    <w:lock w:val="sdtLocked"/>
                  </w:sdtPr>
                  <w:sdtEndPr/>
                  <w:sdtContent>
                    <w:tc>
                      <w:tcPr>
                        <w:tcW w:w="1417" w:type="dxa"/>
                        <w:vMerge w:val="restart"/>
                        <w:vAlign w:val="center"/>
                      </w:tcPr>
                      <w:p w14:paraId="71939C2D" w14:textId="77777777" w:rsidR="00830E72" w:rsidRDefault="008344D8">
                        <w:pPr>
                          <w:adjustRightInd w:val="0"/>
                          <w:snapToGrid w:val="0"/>
                          <w:jc w:val="center"/>
                          <w:rPr>
                            <w:sz w:val="18"/>
                            <w:szCs w:val="18"/>
                          </w:rPr>
                        </w:pPr>
                        <w:r>
                          <w:rPr>
                            <w:rFonts w:hint="eastAsia"/>
                            <w:sz w:val="18"/>
                            <w:szCs w:val="18"/>
                          </w:rPr>
                          <w:t>专项储备</w:t>
                        </w:r>
                      </w:p>
                    </w:tc>
                  </w:sdtContent>
                </w:sdt>
                <w:sdt>
                  <w:sdtPr>
                    <w:tag w:val="_PLD_dbef0e1514f54b8ab8b43e975d3451b6"/>
                    <w:id w:val="-1527087966"/>
                    <w:lock w:val="sdtLocked"/>
                  </w:sdtPr>
                  <w:sdtEndPr/>
                  <w:sdtContent>
                    <w:tc>
                      <w:tcPr>
                        <w:tcW w:w="1560" w:type="dxa"/>
                        <w:vMerge w:val="restart"/>
                        <w:vAlign w:val="center"/>
                      </w:tcPr>
                      <w:p w14:paraId="46DB6EAC" w14:textId="77777777" w:rsidR="00830E72" w:rsidRDefault="008344D8">
                        <w:pPr>
                          <w:adjustRightInd w:val="0"/>
                          <w:snapToGrid w:val="0"/>
                          <w:jc w:val="center"/>
                          <w:rPr>
                            <w:sz w:val="18"/>
                            <w:szCs w:val="18"/>
                          </w:rPr>
                        </w:pPr>
                        <w:r>
                          <w:rPr>
                            <w:sz w:val="18"/>
                            <w:szCs w:val="18"/>
                          </w:rPr>
                          <w:t>盈余公积</w:t>
                        </w:r>
                      </w:p>
                    </w:tc>
                  </w:sdtContent>
                </w:sdt>
                <w:sdt>
                  <w:sdtPr>
                    <w:tag w:val="_PLD_63b6c2969ec64e7abb1802f027c1069a"/>
                    <w:id w:val="259104934"/>
                    <w:lock w:val="sdtLocked"/>
                  </w:sdtPr>
                  <w:sdtEndPr/>
                  <w:sdtContent>
                    <w:tc>
                      <w:tcPr>
                        <w:tcW w:w="1701" w:type="dxa"/>
                        <w:vMerge w:val="restart"/>
                        <w:vAlign w:val="center"/>
                      </w:tcPr>
                      <w:p w14:paraId="6B318DEE" w14:textId="77777777" w:rsidR="00830E72" w:rsidRDefault="008344D8">
                        <w:pPr>
                          <w:adjustRightInd w:val="0"/>
                          <w:snapToGrid w:val="0"/>
                          <w:jc w:val="center"/>
                          <w:rPr>
                            <w:sz w:val="18"/>
                            <w:szCs w:val="18"/>
                          </w:rPr>
                        </w:pPr>
                        <w:r>
                          <w:rPr>
                            <w:sz w:val="18"/>
                            <w:szCs w:val="18"/>
                          </w:rPr>
                          <w:t>未分配利润</w:t>
                        </w:r>
                      </w:p>
                    </w:tc>
                  </w:sdtContent>
                </w:sdt>
                <w:sdt>
                  <w:sdtPr>
                    <w:tag w:val="_PLD_cdd38492b3a84e28b52c6700432babfd"/>
                    <w:id w:val="-568426559"/>
                    <w:lock w:val="sdtLocked"/>
                  </w:sdtPr>
                  <w:sdtEndPr/>
                  <w:sdtContent>
                    <w:tc>
                      <w:tcPr>
                        <w:tcW w:w="1684" w:type="dxa"/>
                        <w:vMerge w:val="restart"/>
                        <w:vAlign w:val="center"/>
                      </w:tcPr>
                      <w:p w14:paraId="671ECE4E" w14:textId="77777777" w:rsidR="00830E72" w:rsidRDefault="008344D8">
                        <w:pPr>
                          <w:adjustRightInd w:val="0"/>
                          <w:snapToGrid w:val="0"/>
                          <w:jc w:val="center"/>
                          <w:rPr>
                            <w:sz w:val="18"/>
                            <w:szCs w:val="18"/>
                          </w:rPr>
                        </w:pPr>
                        <w:r>
                          <w:rPr>
                            <w:sz w:val="18"/>
                            <w:szCs w:val="18"/>
                          </w:rPr>
                          <w:t>所有者权益合计</w:t>
                        </w:r>
                      </w:p>
                    </w:tc>
                  </w:sdtContent>
                </w:sdt>
              </w:tr>
              <w:tr w:rsidR="00830E72" w14:paraId="09189443" w14:textId="77777777" w:rsidTr="00D44830">
                <w:trPr>
                  <w:trHeight w:val="294"/>
                </w:trPr>
                <w:tc>
                  <w:tcPr>
                    <w:tcW w:w="1503" w:type="dxa"/>
                    <w:vMerge/>
                  </w:tcPr>
                  <w:p w14:paraId="04A1AC42" w14:textId="77777777" w:rsidR="00830E72" w:rsidRDefault="00830E72">
                    <w:pPr>
                      <w:adjustRightInd w:val="0"/>
                      <w:snapToGrid w:val="0"/>
                      <w:rPr>
                        <w:sz w:val="18"/>
                        <w:szCs w:val="18"/>
                      </w:rPr>
                    </w:pPr>
                  </w:p>
                </w:tc>
                <w:tc>
                  <w:tcPr>
                    <w:tcW w:w="1559" w:type="dxa"/>
                    <w:vMerge/>
                    <w:tcBorders>
                      <w:right w:val="single" w:sz="4" w:space="0" w:color="auto"/>
                    </w:tcBorders>
                    <w:vAlign w:val="center"/>
                  </w:tcPr>
                  <w:p w14:paraId="495A07EA" w14:textId="77777777" w:rsidR="00830E72" w:rsidRDefault="00830E72">
                    <w:pPr>
                      <w:adjustRightInd w:val="0"/>
                      <w:snapToGrid w:val="0"/>
                      <w:jc w:val="center"/>
                      <w:rPr>
                        <w:sz w:val="18"/>
                        <w:szCs w:val="18"/>
                      </w:rPr>
                    </w:pPr>
                  </w:p>
                </w:tc>
                <w:sdt>
                  <w:sdtPr>
                    <w:tag w:val="_PLD_90c1cf3c29414463ba491093caed23a7"/>
                    <w:id w:val="431936219"/>
                    <w:lock w:val="sdtLocked"/>
                  </w:sdtPr>
                  <w:sdtEndPr/>
                  <w:sdtContent>
                    <w:tc>
                      <w:tcPr>
                        <w:tcW w:w="567" w:type="dxa"/>
                        <w:tcBorders>
                          <w:top w:val="single" w:sz="4" w:space="0" w:color="auto"/>
                          <w:left w:val="single" w:sz="4" w:space="0" w:color="auto"/>
                          <w:right w:val="single" w:sz="4" w:space="0" w:color="auto"/>
                        </w:tcBorders>
                        <w:vAlign w:val="center"/>
                      </w:tcPr>
                      <w:p w14:paraId="1DEE6EBB" w14:textId="77777777" w:rsidR="00830E72" w:rsidRDefault="008344D8">
                        <w:pPr>
                          <w:adjustRightInd w:val="0"/>
                          <w:snapToGrid w:val="0"/>
                          <w:jc w:val="center"/>
                          <w:rPr>
                            <w:sz w:val="18"/>
                            <w:szCs w:val="18"/>
                          </w:rPr>
                        </w:pPr>
                        <w:r>
                          <w:rPr>
                            <w:rFonts w:hint="eastAsia"/>
                            <w:sz w:val="18"/>
                            <w:szCs w:val="18"/>
                          </w:rPr>
                          <w:t>优先股</w:t>
                        </w:r>
                      </w:p>
                    </w:tc>
                  </w:sdtContent>
                </w:sdt>
                <w:sdt>
                  <w:sdtPr>
                    <w:tag w:val="_PLD_7dac20c025664b94b7a2176be4c24d00"/>
                    <w:id w:val="1388996180"/>
                    <w:lock w:val="sdtLocked"/>
                  </w:sdtPr>
                  <w:sdtEndPr/>
                  <w:sdtContent>
                    <w:tc>
                      <w:tcPr>
                        <w:tcW w:w="567" w:type="dxa"/>
                        <w:tcBorders>
                          <w:top w:val="single" w:sz="4" w:space="0" w:color="auto"/>
                          <w:left w:val="single" w:sz="4" w:space="0" w:color="auto"/>
                          <w:right w:val="single" w:sz="4" w:space="0" w:color="auto"/>
                        </w:tcBorders>
                        <w:vAlign w:val="center"/>
                      </w:tcPr>
                      <w:p w14:paraId="5F1AC3CA" w14:textId="77777777" w:rsidR="00830E72" w:rsidRDefault="008344D8">
                        <w:pPr>
                          <w:adjustRightInd w:val="0"/>
                          <w:snapToGrid w:val="0"/>
                          <w:jc w:val="center"/>
                          <w:rPr>
                            <w:sz w:val="18"/>
                            <w:szCs w:val="18"/>
                          </w:rPr>
                        </w:pPr>
                        <w:r>
                          <w:rPr>
                            <w:rFonts w:hint="eastAsia"/>
                            <w:sz w:val="18"/>
                            <w:szCs w:val="18"/>
                          </w:rPr>
                          <w:t>永续债</w:t>
                        </w:r>
                      </w:p>
                    </w:tc>
                  </w:sdtContent>
                </w:sdt>
                <w:sdt>
                  <w:sdtPr>
                    <w:tag w:val="_PLD_23829f284d5149ee92e64b94083b1ade"/>
                    <w:id w:val="-1023481022"/>
                    <w:lock w:val="sdtLocked"/>
                  </w:sdtPr>
                  <w:sdtEndPr/>
                  <w:sdtContent>
                    <w:tc>
                      <w:tcPr>
                        <w:tcW w:w="396" w:type="dxa"/>
                        <w:tcBorders>
                          <w:top w:val="single" w:sz="4" w:space="0" w:color="auto"/>
                          <w:left w:val="single" w:sz="4" w:space="0" w:color="auto"/>
                        </w:tcBorders>
                        <w:vAlign w:val="center"/>
                      </w:tcPr>
                      <w:p w14:paraId="20D5FDA4" w14:textId="77777777" w:rsidR="00830E72" w:rsidRDefault="008344D8">
                        <w:pPr>
                          <w:adjustRightInd w:val="0"/>
                          <w:snapToGrid w:val="0"/>
                          <w:jc w:val="center"/>
                          <w:rPr>
                            <w:sz w:val="18"/>
                            <w:szCs w:val="18"/>
                          </w:rPr>
                        </w:pPr>
                        <w:r>
                          <w:rPr>
                            <w:rFonts w:hint="eastAsia"/>
                            <w:sz w:val="18"/>
                            <w:szCs w:val="18"/>
                          </w:rPr>
                          <w:t>其他</w:t>
                        </w:r>
                      </w:p>
                    </w:tc>
                  </w:sdtContent>
                </w:sdt>
                <w:tc>
                  <w:tcPr>
                    <w:tcW w:w="1560" w:type="dxa"/>
                  </w:tcPr>
                  <w:p w14:paraId="4C704D93" w14:textId="77777777" w:rsidR="00830E72" w:rsidRDefault="00830E72">
                    <w:pPr>
                      <w:adjustRightInd w:val="0"/>
                      <w:snapToGrid w:val="0"/>
                      <w:jc w:val="center"/>
                      <w:rPr>
                        <w:sz w:val="18"/>
                        <w:szCs w:val="18"/>
                      </w:rPr>
                    </w:pPr>
                  </w:p>
                </w:tc>
                <w:tc>
                  <w:tcPr>
                    <w:tcW w:w="595" w:type="dxa"/>
                    <w:vMerge/>
                  </w:tcPr>
                  <w:p w14:paraId="0B5CE7CF" w14:textId="77777777" w:rsidR="00830E72" w:rsidRDefault="00830E72">
                    <w:pPr>
                      <w:adjustRightInd w:val="0"/>
                      <w:snapToGrid w:val="0"/>
                      <w:jc w:val="center"/>
                      <w:rPr>
                        <w:sz w:val="18"/>
                        <w:szCs w:val="18"/>
                      </w:rPr>
                    </w:pPr>
                  </w:p>
                </w:tc>
                <w:tc>
                  <w:tcPr>
                    <w:tcW w:w="851" w:type="dxa"/>
                    <w:vMerge/>
                  </w:tcPr>
                  <w:p w14:paraId="063596CB" w14:textId="77777777" w:rsidR="00830E72" w:rsidRDefault="00830E72">
                    <w:pPr>
                      <w:jc w:val="center"/>
                      <w:rPr>
                        <w:sz w:val="18"/>
                        <w:szCs w:val="18"/>
                      </w:rPr>
                    </w:pPr>
                  </w:p>
                </w:tc>
                <w:tc>
                  <w:tcPr>
                    <w:tcW w:w="1417" w:type="dxa"/>
                    <w:vMerge/>
                  </w:tcPr>
                  <w:p w14:paraId="50E68BC3" w14:textId="77777777" w:rsidR="00830E72" w:rsidRDefault="00830E72">
                    <w:pPr>
                      <w:adjustRightInd w:val="0"/>
                      <w:snapToGrid w:val="0"/>
                      <w:jc w:val="center"/>
                      <w:rPr>
                        <w:sz w:val="18"/>
                        <w:szCs w:val="18"/>
                      </w:rPr>
                    </w:pPr>
                  </w:p>
                </w:tc>
                <w:tc>
                  <w:tcPr>
                    <w:tcW w:w="1560" w:type="dxa"/>
                    <w:vMerge/>
                  </w:tcPr>
                  <w:p w14:paraId="378CA383" w14:textId="77777777" w:rsidR="00830E72" w:rsidRDefault="00830E72">
                    <w:pPr>
                      <w:adjustRightInd w:val="0"/>
                      <w:snapToGrid w:val="0"/>
                      <w:jc w:val="center"/>
                      <w:rPr>
                        <w:sz w:val="18"/>
                        <w:szCs w:val="18"/>
                      </w:rPr>
                    </w:pPr>
                  </w:p>
                </w:tc>
                <w:tc>
                  <w:tcPr>
                    <w:tcW w:w="1701" w:type="dxa"/>
                    <w:vMerge/>
                  </w:tcPr>
                  <w:p w14:paraId="2969B31B" w14:textId="77777777" w:rsidR="00830E72" w:rsidRDefault="00830E72">
                    <w:pPr>
                      <w:adjustRightInd w:val="0"/>
                      <w:snapToGrid w:val="0"/>
                      <w:jc w:val="center"/>
                      <w:rPr>
                        <w:sz w:val="18"/>
                        <w:szCs w:val="18"/>
                      </w:rPr>
                    </w:pPr>
                  </w:p>
                </w:tc>
                <w:tc>
                  <w:tcPr>
                    <w:tcW w:w="1684" w:type="dxa"/>
                    <w:vMerge/>
                  </w:tcPr>
                  <w:p w14:paraId="5708D678" w14:textId="77777777" w:rsidR="00830E72" w:rsidRDefault="00830E72">
                    <w:pPr>
                      <w:adjustRightInd w:val="0"/>
                      <w:snapToGrid w:val="0"/>
                      <w:jc w:val="center"/>
                      <w:rPr>
                        <w:sz w:val="18"/>
                        <w:szCs w:val="18"/>
                      </w:rPr>
                    </w:pPr>
                  </w:p>
                </w:tc>
              </w:tr>
              <w:tr w:rsidR="00830E72" w14:paraId="2F9C31C6" w14:textId="77777777" w:rsidTr="00D44830">
                <w:trPr>
                  <w:trHeight w:val="20"/>
                </w:trPr>
                <w:sdt>
                  <w:sdtPr>
                    <w:tag w:val="_PLD_b5131b53bda244fcbd76916797d6b666"/>
                    <w:id w:val="-1889709784"/>
                    <w:lock w:val="sdtLocked"/>
                  </w:sdtPr>
                  <w:sdtEndPr/>
                  <w:sdtContent>
                    <w:tc>
                      <w:tcPr>
                        <w:tcW w:w="1503" w:type="dxa"/>
                      </w:tcPr>
                      <w:p w14:paraId="0EFC7994" w14:textId="77777777" w:rsidR="00830E72" w:rsidRDefault="008344D8">
                        <w:pPr>
                          <w:rPr>
                            <w:sz w:val="18"/>
                            <w:szCs w:val="18"/>
                          </w:rPr>
                        </w:pPr>
                        <w:r>
                          <w:rPr>
                            <w:sz w:val="18"/>
                            <w:szCs w:val="18"/>
                          </w:rPr>
                          <w:t>一、上年</w:t>
                        </w:r>
                        <w:r>
                          <w:rPr>
                            <w:rFonts w:hint="eastAsia"/>
                            <w:sz w:val="18"/>
                            <w:szCs w:val="18"/>
                          </w:rPr>
                          <w:t>期</w:t>
                        </w:r>
                        <w:r>
                          <w:rPr>
                            <w:sz w:val="18"/>
                            <w:szCs w:val="18"/>
                          </w:rPr>
                          <w:t>末余额</w:t>
                        </w:r>
                      </w:p>
                    </w:tc>
                  </w:sdtContent>
                </w:sdt>
                <w:tc>
                  <w:tcPr>
                    <w:tcW w:w="1559" w:type="dxa"/>
                    <w:tcBorders>
                      <w:right w:val="single" w:sz="4" w:space="0" w:color="auto"/>
                    </w:tcBorders>
                  </w:tcPr>
                  <w:p w14:paraId="06D0CED4" w14:textId="77777777" w:rsidR="00830E72" w:rsidRDefault="008344D8">
                    <w:pPr>
                      <w:jc w:val="right"/>
                      <w:rPr>
                        <w:sz w:val="18"/>
                        <w:szCs w:val="18"/>
                      </w:rPr>
                    </w:pPr>
                    <w:r>
                      <w:rPr>
                        <w:sz w:val="18"/>
                        <w:szCs w:val="18"/>
                      </w:rPr>
                      <w:t>499,000,000.00</w:t>
                    </w:r>
                  </w:p>
                </w:tc>
                <w:tc>
                  <w:tcPr>
                    <w:tcW w:w="567" w:type="dxa"/>
                    <w:tcBorders>
                      <w:left w:val="single" w:sz="4" w:space="0" w:color="auto"/>
                      <w:right w:val="single" w:sz="4" w:space="0" w:color="auto"/>
                    </w:tcBorders>
                  </w:tcPr>
                  <w:p w14:paraId="139B4700" w14:textId="77777777" w:rsidR="00830E72" w:rsidRDefault="00830E72">
                    <w:pPr>
                      <w:jc w:val="right"/>
                      <w:rPr>
                        <w:sz w:val="18"/>
                        <w:szCs w:val="18"/>
                      </w:rPr>
                    </w:pPr>
                  </w:p>
                </w:tc>
                <w:tc>
                  <w:tcPr>
                    <w:tcW w:w="567" w:type="dxa"/>
                    <w:tcBorders>
                      <w:left w:val="single" w:sz="4" w:space="0" w:color="auto"/>
                      <w:right w:val="single" w:sz="4" w:space="0" w:color="auto"/>
                    </w:tcBorders>
                  </w:tcPr>
                  <w:p w14:paraId="46FF9661" w14:textId="77777777" w:rsidR="00830E72" w:rsidRDefault="00830E72">
                    <w:pPr>
                      <w:jc w:val="right"/>
                      <w:rPr>
                        <w:sz w:val="18"/>
                        <w:szCs w:val="18"/>
                      </w:rPr>
                    </w:pPr>
                  </w:p>
                </w:tc>
                <w:tc>
                  <w:tcPr>
                    <w:tcW w:w="396" w:type="dxa"/>
                    <w:tcBorders>
                      <w:left w:val="single" w:sz="4" w:space="0" w:color="auto"/>
                      <w:right w:val="single" w:sz="4" w:space="0" w:color="auto"/>
                    </w:tcBorders>
                  </w:tcPr>
                  <w:p w14:paraId="5638D6BC" w14:textId="77777777" w:rsidR="00830E72" w:rsidRDefault="00830E72">
                    <w:pPr>
                      <w:jc w:val="right"/>
                      <w:rPr>
                        <w:sz w:val="18"/>
                        <w:szCs w:val="18"/>
                      </w:rPr>
                    </w:pPr>
                  </w:p>
                </w:tc>
                <w:tc>
                  <w:tcPr>
                    <w:tcW w:w="1560" w:type="dxa"/>
                    <w:tcBorders>
                      <w:left w:val="single" w:sz="4" w:space="0" w:color="auto"/>
                    </w:tcBorders>
                  </w:tcPr>
                  <w:p w14:paraId="5D92DFC8" w14:textId="77777777" w:rsidR="00830E72" w:rsidRDefault="008344D8">
                    <w:pPr>
                      <w:jc w:val="right"/>
                      <w:rPr>
                        <w:sz w:val="18"/>
                        <w:szCs w:val="18"/>
                      </w:rPr>
                    </w:pPr>
                    <w:r>
                      <w:rPr>
                        <w:sz w:val="18"/>
                        <w:szCs w:val="18"/>
                      </w:rPr>
                      <w:t>209,265,618.44</w:t>
                    </w:r>
                  </w:p>
                </w:tc>
                <w:tc>
                  <w:tcPr>
                    <w:tcW w:w="595" w:type="dxa"/>
                  </w:tcPr>
                  <w:p w14:paraId="669FF4AA" w14:textId="77777777" w:rsidR="00830E72" w:rsidRDefault="00830E72">
                    <w:pPr>
                      <w:jc w:val="right"/>
                      <w:rPr>
                        <w:sz w:val="18"/>
                        <w:szCs w:val="18"/>
                      </w:rPr>
                    </w:pPr>
                  </w:p>
                </w:tc>
                <w:tc>
                  <w:tcPr>
                    <w:tcW w:w="851" w:type="dxa"/>
                  </w:tcPr>
                  <w:p w14:paraId="217A0503" w14:textId="77777777" w:rsidR="00830E72" w:rsidRDefault="00830E72">
                    <w:pPr>
                      <w:jc w:val="right"/>
                      <w:rPr>
                        <w:sz w:val="18"/>
                        <w:szCs w:val="18"/>
                      </w:rPr>
                    </w:pPr>
                  </w:p>
                </w:tc>
                <w:tc>
                  <w:tcPr>
                    <w:tcW w:w="1417" w:type="dxa"/>
                  </w:tcPr>
                  <w:p w14:paraId="611F031A" w14:textId="77777777" w:rsidR="00830E72" w:rsidRDefault="008344D8">
                    <w:pPr>
                      <w:jc w:val="right"/>
                      <w:rPr>
                        <w:sz w:val="18"/>
                        <w:szCs w:val="18"/>
                      </w:rPr>
                    </w:pPr>
                    <w:r>
                      <w:rPr>
                        <w:sz w:val="18"/>
                        <w:szCs w:val="18"/>
                      </w:rPr>
                      <w:t>15,436,784.81</w:t>
                    </w:r>
                  </w:p>
                </w:tc>
                <w:tc>
                  <w:tcPr>
                    <w:tcW w:w="1560" w:type="dxa"/>
                  </w:tcPr>
                  <w:p w14:paraId="7DC6F36E" w14:textId="77777777" w:rsidR="00830E72" w:rsidRDefault="008344D8">
                    <w:pPr>
                      <w:jc w:val="right"/>
                      <w:rPr>
                        <w:sz w:val="18"/>
                        <w:szCs w:val="18"/>
                      </w:rPr>
                    </w:pPr>
                    <w:r>
                      <w:rPr>
                        <w:sz w:val="18"/>
                        <w:szCs w:val="18"/>
                      </w:rPr>
                      <w:t>44,344,922.59</w:t>
                    </w:r>
                  </w:p>
                </w:tc>
                <w:tc>
                  <w:tcPr>
                    <w:tcW w:w="1701" w:type="dxa"/>
                  </w:tcPr>
                  <w:p w14:paraId="5475ADE2" w14:textId="77777777" w:rsidR="00830E72" w:rsidRDefault="008344D8">
                    <w:pPr>
                      <w:jc w:val="right"/>
                      <w:rPr>
                        <w:sz w:val="18"/>
                        <w:szCs w:val="18"/>
                      </w:rPr>
                    </w:pPr>
                    <w:r>
                      <w:rPr>
                        <w:sz w:val="18"/>
                        <w:szCs w:val="18"/>
                      </w:rPr>
                      <w:t>317,553,749.61</w:t>
                    </w:r>
                  </w:p>
                </w:tc>
                <w:tc>
                  <w:tcPr>
                    <w:tcW w:w="1684" w:type="dxa"/>
                  </w:tcPr>
                  <w:p w14:paraId="419C98BC" w14:textId="77777777" w:rsidR="00830E72" w:rsidRDefault="008344D8">
                    <w:pPr>
                      <w:jc w:val="right"/>
                      <w:rPr>
                        <w:sz w:val="18"/>
                        <w:szCs w:val="18"/>
                      </w:rPr>
                    </w:pPr>
                    <w:r>
                      <w:rPr>
                        <w:sz w:val="18"/>
                        <w:szCs w:val="18"/>
                      </w:rPr>
                      <w:t>1,085,601,075.45</w:t>
                    </w:r>
                  </w:p>
                </w:tc>
              </w:tr>
              <w:tr w:rsidR="00830E72" w14:paraId="603683E3" w14:textId="77777777" w:rsidTr="00D44830">
                <w:trPr>
                  <w:trHeight w:val="20"/>
                </w:trPr>
                <w:sdt>
                  <w:sdtPr>
                    <w:tag w:val="_PLD_66de901175bd4e50a35a24f0fca7513d"/>
                    <w:id w:val="1527067670"/>
                    <w:lock w:val="sdtLocked"/>
                  </w:sdtPr>
                  <w:sdtEndPr/>
                  <w:sdtContent>
                    <w:tc>
                      <w:tcPr>
                        <w:tcW w:w="1503" w:type="dxa"/>
                      </w:tcPr>
                      <w:p w14:paraId="162E4BBA" w14:textId="77777777" w:rsidR="00830E72" w:rsidRDefault="008344D8">
                        <w:pPr>
                          <w:rPr>
                            <w:sz w:val="18"/>
                            <w:szCs w:val="18"/>
                          </w:rPr>
                        </w:pPr>
                        <w:r>
                          <w:rPr>
                            <w:sz w:val="18"/>
                            <w:szCs w:val="18"/>
                          </w:rPr>
                          <w:t>加：会计政策变更</w:t>
                        </w:r>
                      </w:p>
                    </w:tc>
                  </w:sdtContent>
                </w:sdt>
                <w:tc>
                  <w:tcPr>
                    <w:tcW w:w="1559" w:type="dxa"/>
                    <w:tcBorders>
                      <w:right w:val="single" w:sz="4" w:space="0" w:color="auto"/>
                    </w:tcBorders>
                  </w:tcPr>
                  <w:p w14:paraId="091BED66" w14:textId="77777777" w:rsidR="00830E72" w:rsidRDefault="00830E72">
                    <w:pPr>
                      <w:jc w:val="right"/>
                      <w:rPr>
                        <w:sz w:val="18"/>
                        <w:szCs w:val="18"/>
                      </w:rPr>
                    </w:pPr>
                  </w:p>
                </w:tc>
                <w:tc>
                  <w:tcPr>
                    <w:tcW w:w="567" w:type="dxa"/>
                    <w:tcBorders>
                      <w:left w:val="single" w:sz="4" w:space="0" w:color="auto"/>
                      <w:right w:val="single" w:sz="4" w:space="0" w:color="auto"/>
                    </w:tcBorders>
                  </w:tcPr>
                  <w:p w14:paraId="0F6F18D5" w14:textId="77777777" w:rsidR="00830E72" w:rsidRDefault="00830E72">
                    <w:pPr>
                      <w:jc w:val="right"/>
                      <w:rPr>
                        <w:sz w:val="18"/>
                        <w:szCs w:val="18"/>
                      </w:rPr>
                    </w:pPr>
                  </w:p>
                </w:tc>
                <w:tc>
                  <w:tcPr>
                    <w:tcW w:w="567" w:type="dxa"/>
                    <w:tcBorders>
                      <w:left w:val="single" w:sz="4" w:space="0" w:color="auto"/>
                      <w:right w:val="single" w:sz="4" w:space="0" w:color="auto"/>
                    </w:tcBorders>
                  </w:tcPr>
                  <w:p w14:paraId="34184E64" w14:textId="77777777" w:rsidR="00830E72" w:rsidRDefault="00830E72">
                    <w:pPr>
                      <w:jc w:val="right"/>
                      <w:rPr>
                        <w:sz w:val="18"/>
                        <w:szCs w:val="18"/>
                      </w:rPr>
                    </w:pPr>
                  </w:p>
                </w:tc>
                <w:tc>
                  <w:tcPr>
                    <w:tcW w:w="396" w:type="dxa"/>
                    <w:tcBorders>
                      <w:left w:val="single" w:sz="4" w:space="0" w:color="auto"/>
                      <w:right w:val="single" w:sz="4" w:space="0" w:color="auto"/>
                    </w:tcBorders>
                  </w:tcPr>
                  <w:p w14:paraId="23840FD9" w14:textId="77777777" w:rsidR="00830E72" w:rsidRDefault="00830E72">
                    <w:pPr>
                      <w:jc w:val="right"/>
                      <w:rPr>
                        <w:sz w:val="18"/>
                        <w:szCs w:val="18"/>
                      </w:rPr>
                    </w:pPr>
                  </w:p>
                </w:tc>
                <w:tc>
                  <w:tcPr>
                    <w:tcW w:w="1560" w:type="dxa"/>
                    <w:tcBorders>
                      <w:left w:val="single" w:sz="4" w:space="0" w:color="auto"/>
                    </w:tcBorders>
                  </w:tcPr>
                  <w:p w14:paraId="1C60B02E" w14:textId="77777777" w:rsidR="00830E72" w:rsidRDefault="00830E72">
                    <w:pPr>
                      <w:jc w:val="right"/>
                      <w:rPr>
                        <w:sz w:val="18"/>
                        <w:szCs w:val="18"/>
                      </w:rPr>
                    </w:pPr>
                  </w:p>
                </w:tc>
                <w:tc>
                  <w:tcPr>
                    <w:tcW w:w="595" w:type="dxa"/>
                  </w:tcPr>
                  <w:p w14:paraId="44539EF7" w14:textId="77777777" w:rsidR="00830E72" w:rsidRDefault="00830E72">
                    <w:pPr>
                      <w:jc w:val="right"/>
                      <w:rPr>
                        <w:sz w:val="18"/>
                        <w:szCs w:val="18"/>
                      </w:rPr>
                    </w:pPr>
                  </w:p>
                </w:tc>
                <w:tc>
                  <w:tcPr>
                    <w:tcW w:w="851" w:type="dxa"/>
                  </w:tcPr>
                  <w:p w14:paraId="570643CB" w14:textId="77777777" w:rsidR="00830E72" w:rsidRDefault="00830E72">
                    <w:pPr>
                      <w:jc w:val="right"/>
                      <w:rPr>
                        <w:sz w:val="18"/>
                        <w:szCs w:val="18"/>
                      </w:rPr>
                    </w:pPr>
                  </w:p>
                </w:tc>
                <w:tc>
                  <w:tcPr>
                    <w:tcW w:w="1417" w:type="dxa"/>
                  </w:tcPr>
                  <w:p w14:paraId="2663A953" w14:textId="77777777" w:rsidR="00830E72" w:rsidRDefault="00830E72">
                    <w:pPr>
                      <w:jc w:val="right"/>
                      <w:rPr>
                        <w:sz w:val="18"/>
                        <w:szCs w:val="18"/>
                      </w:rPr>
                    </w:pPr>
                  </w:p>
                </w:tc>
                <w:tc>
                  <w:tcPr>
                    <w:tcW w:w="1560" w:type="dxa"/>
                  </w:tcPr>
                  <w:p w14:paraId="5863A22D" w14:textId="77777777" w:rsidR="00830E72" w:rsidRDefault="00830E72">
                    <w:pPr>
                      <w:jc w:val="right"/>
                      <w:rPr>
                        <w:sz w:val="18"/>
                        <w:szCs w:val="18"/>
                      </w:rPr>
                    </w:pPr>
                  </w:p>
                </w:tc>
                <w:tc>
                  <w:tcPr>
                    <w:tcW w:w="1701" w:type="dxa"/>
                  </w:tcPr>
                  <w:p w14:paraId="01518E10" w14:textId="77777777" w:rsidR="00830E72" w:rsidRDefault="00830E72">
                    <w:pPr>
                      <w:jc w:val="right"/>
                      <w:rPr>
                        <w:sz w:val="18"/>
                        <w:szCs w:val="18"/>
                      </w:rPr>
                    </w:pPr>
                  </w:p>
                </w:tc>
                <w:tc>
                  <w:tcPr>
                    <w:tcW w:w="1684" w:type="dxa"/>
                  </w:tcPr>
                  <w:p w14:paraId="30C3BD00" w14:textId="77777777" w:rsidR="00830E72" w:rsidRDefault="00830E72">
                    <w:pPr>
                      <w:jc w:val="right"/>
                      <w:rPr>
                        <w:sz w:val="18"/>
                        <w:szCs w:val="18"/>
                      </w:rPr>
                    </w:pPr>
                  </w:p>
                </w:tc>
              </w:tr>
              <w:tr w:rsidR="00830E72" w14:paraId="2AC7D7FB" w14:textId="77777777" w:rsidTr="00D44830">
                <w:trPr>
                  <w:trHeight w:val="20"/>
                </w:trPr>
                <w:sdt>
                  <w:sdtPr>
                    <w:tag w:val="_PLD_3bfc3b7951f4488f95a7180f02c989cf"/>
                    <w:id w:val="-407223559"/>
                    <w:lock w:val="sdtLocked"/>
                  </w:sdtPr>
                  <w:sdtEndPr/>
                  <w:sdtContent>
                    <w:tc>
                      <w:tcPr>
                        <w:tcW w:w="1503" w:type="dxa"/>
                      </w:tcPr>
                      <w:p w14:paraId="266E8D78" w14:textId="77777777" w:rsidR="00830E72" w:rsidRDefault="008344D8">
                        <w:pPr>
                          <w:ind w:firstLineChars="200" w:firstLine="420"/>
                          <w:rPr>
                            <w:sz w:val="18"/>
                            <w:szCs w:val="18"/>
                          </w:rPr>
                        </w:pPr>
                        <w:r>
                          <w:rPr>
                            <w:sz w:val="18"/>
                            <w:szCs w:val="18"/>
                          </w:rPr>
                          <w:t>前期差错更正</w:t>
                        </w:r>
                      </w:p>
                    </w:tc>
                  </w:sdtContent>
                </w:sdt>
                <w:tc>
                  <w:tcPr>
                    <w:tcW w:w="1559" w:type="dxa"/>
                    <w:tcBorders>
                      <w:right w:val="single" w:sz="4" w:space="0" w:color="auto"/>
                    </w:tcBorders>
                  </w:tcPr>
                  <w:p w14:paraId="7A360942" w14:textId="77777777" w:rsidR="00830E72" w:rsidRDefault="00830E72">
                    <w:pPr>
                      <w:jc w:val="right"/>
                      <w:rPr>
                        <w:sz w:val="18"/>
                        <w:szCs w:val="18"/>
                      </w:rPr>
                    </w:pPr>
                  </w:p>
                </w:tc>
                <w:tc>
                  <w:tcPr>
                    <w:tcW w:w="567" w:type="dxa"/>
                    <w:tcBorders>
                      <w:left w:val="single" w:sz="4" w:space="0" w:color="auto"/>
                      <w:right w:val="single" w:sz="4" w:space="0" w:color="auto"/>
                    </w:tcBorders>
                  </w:tcPr>
                  <w:p w14:paraId="060E32EC" w14:textId="77777777" w:rsidR="00830E72" w:rsidRDefault="00830E72">
                    <w:pPr>
                      <w:jc w:val="right"/>
                      <w:rPr>
                        <w:sz w:val="18"/>
                        <w:szCs w:val="18"/>
                      </w:rPr>
                    </w:pPr>
                  </w:p>
                </w:tc>
                <w:tc>
                  <w:tcPr>
                    <w:tcW w:w="567" w:type="dxa"/>
                    <w:tcBorders>
                      <w:left w:val="single" w:sz="4" w:space="0" w:color="auto"/>
                      <w:right w:val="single" w:sz="4" w:space="0" w:color="auto"/>
                    </w:tcBorders>
                  </w:tcPr>
                  <w:p w14:paraId="69C44AA5" w14:textId="77777777" w:rsidR="00830E72" w:rsidRDefault="00830E72">
                    <w:pPr>
                      <w:jc w:val="right"/>
                      <w:rPr>
                        <w:sz w:val="18"/>
                        <w:szCs w:val="18"/>
                      </w:rPr>
                    </w:pPr>
                  </w:p>
                </w:tc>
                <w:tc>
                  <w:tcPr>
                    <w:tcW w:w="396" w:type="dxa"/>
                    <w:tcBorders>
                      <w:left w:val="single" w:sz="4" w:space="0" w:color="auto"/>
                      <w:right w:val="single" w:sz="4" w:space="0" w:color="auto"/>
                    </w:tcBorders>
                  </w:tcPr>
                  <w:p w14:paraId="2A707DA6" w14:textId="77777777" w:rsidR="00830E72" w:rsidRDefault="00830E72">
                    <w:pPr>
                      <w:jc w:val="right"/>
                      <w:rPr>
                        <w:sz w:val="18"/>
                        <w:szCs w:val="18"/>
                      </w:rPr>
                    </w:pPr>
                  </w:p>
                </w:tc>
                <w:tc>
                  <w:tcPr>
                    <w:tcW w:w="1560" w:type="dxa"/>
                    <w:tcBorders>
                      <w:left w:val="single" w:sz="4" w:space="0" w:color="auto"/>
                    </w:tcBorders>
                  </w:tcPr>
                  <w:p w14:paraId="38911DC0" w14:textId="77777777" w:rsidR="00830E72" w:rsidRDefault="00830E72">
                    <w:pPr>
                      <w:jc w:val="right"/>
                      <w:rPr>
                        <w:sz w:val="18"/>
                        <w:szCs w:val="18"/>
                      </w:rPr>
                    </w:pPr>
                  </w:p>
                </w:tc>
                <w:tc>
                  <w:tcPr>
                    <w:tcW w:w="595" w:type="dxa"/>
                  </w:tcPr>
                  <w:p w14:paraId="322F1D6D" w14:textId="77777777" w:rsidR="00830E72" w:rsidRDefault="00830E72">
                    <w:pPr>
                      <w:jc w:val="right"/>
                      <w:rPr>
                        <w:sz w:val="18"/>
                        <w:szCs w:val="18"/>
                      </w:rPr>
                    </w:pPr>
                  </w:p>
                </w:tc>
                <w:tc>
                  <w:tcPr>
                    <w:tcW w:w="851" w:type="dxa"/>
                  </w:tcPr>
                  <w:p w14:paraId="5488ADCC" w14:textId="77777777" w:rsidR="00830E72" w:rsidRDefault="00830E72">
                    <w:pPr>
                      <w:jc w:val="right"/>
                      <w:rPr>
                        <w:sz w:val="18"/>
                        <w:szCs w:val="18"/>
                      </w:rPr>
                    </w:pPr>
                  </w:p>
                </w:tc>
                <w:tc>
                  <w:tcPr>
                    <w:tcW w:w="1417" w:type="dxa"/>
                  </w:tcPr>
                  <w:p w14:paraId="1A8044BA" w14:textId="77777777" w:rsidR="00830E72" w:rsidRDefault="00830E72">
                    <w:pPr>
                      <w:jc w:val="right"/>
                      <w:rPr>
                        <w:sz w:val="18"/>
                        <w:szCs w:val="18"/>
                      </w:rPr>
                    </w:pPr>
                  </w:p>
                </w:tc>
                <w:tc>
                  <w:tcPr>
                    <w:tcW w:w="1560" w:type="dxa"/>
                  </w:tcPr>
                  <w:p w14:paraId="45D95056" w14:textId="77777777" w:rsidR="00830E72" w:rsidRDefault="00830E72">
                    <w:pPr>
                      <w:jc w:val="right"/>
                      <w:rPr>
                        <w:sz w:val="18"/>
                        <w:szCs w:val="18"/>
                      </w:rPr>
                    </w:pPr>
                  </w:p>
                </w:tc>
                <w:tc>
                  <w:tcPr>
                    <w:tcW w:w="1701" w:type="dxa"/>
                  </w:tcPr>
                  <w:p w14:paraId="3CEBD8FF" w14:textId="77777777" w:rsidR="00830E72" w:rsidRDefault="00830E72">
                    <w:pPr>
                      <w:jc w:val="right"/>
                      <w:rPr>
                        <w:sz w:val="18"/>
                        <w:szCs w:val="18"/>
                      </w:rPr>
                    </w:pPr>
                  </w:p>
                </w:tc>
                <w:tc>
                  <w:tcPr>
                    <w:tcW w:w="1684" w:type="dxa"/>
                  </w:tcPr>
                  <w:p w14:paraId="3EF07BBD" w14:textId="77777777" w:rsidR="00830E72" w:rsidRDefault="00830E72">
                    <w:pPr>
                      <w:jc w:val="right"/>
                      <w:rPr>
                        <w:sz w:val="18"/>
                        <w:szCs w:val="18"/>
                      </w:rPr>
                    </w:pPr>
                  </w:p>
                </w:tc>
              </w:tr>
              <w:tr w:rsidR="00830E72" w14:paraId="7CC11511" w14:textId="77777777" w:rsidTr="00D44830">
                <w:trPr>
                  <w:trHeight w:val="20"/>
                </w:trPr>
                <w:sdt>
                  <w:sdtPr>
                    <w:tag w:val="_PLD_dc9b9aaf7e384b1eae7dcabb517c2b1e"/>
                    <w:id w:val="197903861"/>
                    <w:lock w:val="sdtLocked"/>
                  </w:sdtPr>
                  <w:sdtEndPr/>
                  <w:sdtContent>
                    <w:tc>
                      <w:tcPr>
                        <w:tcW w:w="1503" w:type="dxa"/>
                      </w:tcPr>
                      <w:p w14:paraId="4FB57540" w14:textId="77777777" w:rsidR="00830E72" w:rsidRDefault="008344D8">
                        <w:pPr>
                          <w:ind w:firstLineChars="200" w:firstLine="420"/>
                          <w:rPr>
                            <w:sz w:val="18"/>
                            <w:szCs w:val="18"/>
                          </w:rPr>
                        </w:pPr>
                        <w:r>
                          <w:rPr>
                            <w:rFonts w:hint="eastAsia"/>
                            <w:sz w:val="18"/>
                            <w:szCs w:val="18"/>
                          </w:rPr>
                          <w:t>其他</w:t>
                        </w:r>
                      </w:p>
                    </w:tc>
                  </w:sdtContent>
                </w:sdt>
                <w:tc>
                  <w:tcPr>
                    <w:tcW w:w="1559" w:type="dxa"/>
                    <w:tcBorders>
                      <w:right w:val="single" w:sz="4" w:space="0" w:color="auto"/>
                    </w:tcBorders>
                  </w:tcPr>
                  <w:p w14:paraId="7F5FF382" w14:textId="77777777" w:rsidR="00830E72" w:rsidRDefault="00830E72">
                    <w:pPr>
                      <w:jc w:val="right"/>
                      <w:rPr>
                        <w:sz w:val="18"/>
                        <w:szCs w:val="18"/>
                      </w:rPr>
                    </w:pPr>
                  </w:p>
                </w:tc>
                <w:tc>
                  <w:tcPr>
                    <w:tcW w:w="567" w:type="dxa"/>
                    <w:tcBorders>
                      <w:left w:val="single" w:sz="4" w:space="0" w:color="auto"/>
                      <w:right w:val="single" w:sz="4" w:space="0" w:color="auto"/>
                    </w:tcBorders>
                  </w:tcPr>
                  <w:p w14:paraId="1F0DCB93" w14:textId="77777777" w:rsidR="00830E72" w:rsidRDefault="00830E72">
                    <w:pPr>
                      <w:jc w:val="right"/>
                      <w:rPr>
                        <w:sz w:val="18"/>
                        <w:szCs w:val="18"/>
                      </w:rPr>
                    </w:pPr>
                  </w:p>
                </w:tc>
                <w:tc>
                  <w:tcPr>
                    <w:tcW w:w="567" w:type="dxa"/>
                    <w:tcBorders>
                      <w:left w:val="single" w:sz="4" w:space="0" w:color="auto"/>
                      <w:right w:val="single" w:sz="4" w:space="0" w:color="auto"/>
                    </w:tcBorders>
                  </w:tcPr>
                  <w:p w14:paraId="6F4777ED" w14:textId="77777777" w:rsidR="00830E72" w:rsidRDefault="00830E72">
                    <w:pPr>
                      <w:jc w:val="right"/>
                      <w:rPr>
                        <w:sz w:val="18"/>
                        <w:szCs w:val="18"/>
                      </w:rPr>
                    </w:pPr>
                  </w:p>
                </w:tc>
                <w:tc>
                  <w:tcPr>
                    <w:tcW w:w="396" w:type="dxa"/>
                    <w:tcBorders>
                      <w:left w:val="single" w:sz="4" w:space="0" w:color="auto"/>
                      <w:right w:val="single" w:sz="4" w:space="0" w:color="auto"/>
                    </w:tcBorders>
                  </w:tcPr>
                  <w:p w14:paraId="23D0C1C6" w14:textId="77777777" w:rsidR="00830E72" w:rsidRDefault="00830E72">
                    <w:pPr>
                      <w:jc w:val="right"/>
                      <w:rPr>
                        <w:sz w:val="18"/>
                        <w:szCs w:val="18"/>
                      </w:rPr>
                    </w:pPr>
                  </w:p>
                </w:tc>
                <w:tc>
                  <w:tcPr>
                    <w:tcW w:w="1560" w:type="dxa"/>
                    <w:tcBorders>
                      <w:left w:val="single" w:sz="4" w:space="0" w:color="auto"/>
                    </w:tcBorders>
                  </w:tcPr>
                  <w:p w14:paraId="1AA69A61" w14:textId="77777777" w:rsidR="00830E72" w:rsidRDefault="00830E72">
                    <w:pPr>
                      <w:jc w:val="right"/>
                      <w:rPr>
                        <w:sz w:val="18"/>
                        <w:szCs w:val="18"/>
                      </w:rPr>
                    </w:pPr>
                  </w:p>
                </w:tc>
                <w:tc>
                  <w:tcPr>
                    <w:tcW w:w="595" w:type="dxa"/>
                  </w:tcPr>
                  <w:p w14:paraId="047D3FBA" w14:textId="77777777" w:rsidR="00830E72" w:rsidRDefault="00830E72">
                    <w:pPr>
                      <w:jc w:val="right"/>
                      <w:rPr>
                        <w:sz w:val="18"/>
                        <w:szCs w:val="18"/>
                      </w:rPr>
                    </w:pPr>
                  </w:p>
                </w:tc>
                <w:tc>
                  <w:tcPr>
                    <w:tcW w:w="851" w:type="dxa"/>
                  </w:tcPr>
                  <w:p w14:paraId="540276CB" w14:textId="77777777" w:rsidR="00830E72" w:rsidRDefault="00830E72">
                    <w:pPr>
                      <w:jc w:val="right"/>
                      <w:rPr>
                        <w:sz w:val="18"/>
                        <w:szCs w:val="18"/>
                      </w:rPr>
                    </w:pPr>
                  </w:p>
                </w:tc>
                <w:tc>
                  <w:tcPr>
                    <w:tcW w:w="1417" w:type="dxa"/>
                  </w:tcPr>
                  <w:p w14:paraId="7D943ABC" w14:textId="77777777" w:rsidR="00830E72" w:rsidRDefault="00830E72">
                    <w:pPr>
                      <w:jc w:val="right"/>
                      <w:rPr>
                        <w:sz w:val="18"/>
                        <w:szCs w:val="18"/>
                      </w:rPr>
                    </w:pPr>
                  </w:p>
                </w:tc>
                <w:tc>
                  <w:tcPr>
                    <w:tcW w:w="1560" w:type="dxa"/>
                  </w:tcPr>
                  <w:p w14:paraId="3A9E3B34" w14:textId="77777777" w:rsidR="00830E72" w:rsidRDefault="00830E72">
                    <w:pPr>
                      <w:jc w:val="right"/>
                      <w:rPr>
                        <w:sz w:val="18"/>
                        <w:szCs w:val="18"/>
                      </w:rPr>
                    </w:pPr>
                  </w:p>
                </w:tc>
                <w:tc>
                  <w:tcPr>
                    <w:tcW w:w="1701" w:type="dxa"/>
                  </w:tcPr>
                  <w:p w14:paraId="63520BEF" w14:textId="77777777" w:rsidR="00830E72" w:rsidRDefault="00830E72">
                    <w:pPr>
                      <w:jc w:val="right"/>
                      <w:rPr>
                        <w:sz w:val="18"/>
                        <w:szCs w:val="18"/>
                      </w:rPr>
                    </w:pPr>
                  </w:p>
                </w:tc>
                <w:tc>
                  <w:tcPr>
                    <w:tcW w:w="1684" w:type="dxa"/>
                  </w:tcPr>
                  <w:p w14:paraId="5DA0CC0E" w14:textId="77777777" w:rsidR="00830E72" w:rsidRDefault="00830E72">
                    <w:pPr>
                      <w:jc w:val="right"/>
                      <w:rPr>
                        <w:sz w:val="18"/>
                        <w:szCs w:val="18"/>
                      </w:rPr>
                    </w:pPr>
                  </w:p>
                </w:tc>
              </w:tr>
              <w:tr w:rsidR="00830E72" w14:paraId="78D34526" w14:textId="77777777" w:rsidTr="00D44830">
                <w:trPr>
                  <w:trHeight w:val="20"/>
                </w:trPr>
                <w:sdt>
                  <w:sdtPr>
                    <w:tag w:val="_PLD_345919472b384d0eb13471ef5f2f5e92"/>
                    <w:id w:val="-819032949"/>
                    <w:lock w:val="sdtLocked"/>
                  </w:sdtPr>
                  <w:sdtEndPr/>
                  <w:sdtContent>
                    <w:tc>
                      <w:tcPr>
                        <w:tcW w:w="1503" w:type="dxa"/>
                      </w:tcPr>
                      <w:p w14:paraId="1652212B" w14:textId="77777777" w:rsidR="00830E72" w:rsidRDefault="008344D8">
                        <w:pPr>
                          <w:rPr>
                            <w:sz w:val="18"/>
                            <w:szCs w:val="18"/>
                          </w:rPr>
                        </w:pPr>
                        <w:r>
                          <w:rPr>
                            <w:sz w:val="18"/>
                            <w:szCs w:val="18"/>
                          </w:rPr>
                          <w:t>二、本年</w:t>
                        </w:r>
                        <w:r>
                          <w:rPr>
                            <w:rFonts w:hint="eastAsia"/>
                            <w:sz w:val="18"/>
                            <w:szCs w:val="18"/>
                          </w:rPr>
                          <w:t>期</w:t>
                        </w:r>
                        <w:r>
                          <w:rPr>
                            <w:sz w:val="18"/>
                            <w:szCs w:val="18"/>
                          </w:rPr>
                          <w:t>初余额</w:t>
                        </w:r>
                      </w:p>
                    </w:tc>
                  </w:sdtContent>
                </w:sdt>
                <w:tc>
                  <w:tcPr>
                    <w:tcW w:w="1559" w:type="dxa"/>
                    <w:tcBorders>
                      <w:right w:val="single" w:sz="4" w:space="0" w:color="auto"/>
                    </w:tcBorders>
                  </w:tcPr>
                  <w:p w14:paraId="67CF28FD" w14:textId="77777777" w:rsidR="00830E72" w:rsidRDefault="008344D8">
                    <w:pPr>
                      <w:jc w:val="right"/>
                      <w:rPr>
                        <w:sz w:val="18"/>
                        <w:szCs w:val="18"/>
                      </w:rPr>
                    </w:pPr>
                    <w:r>
                      <w:rPr>
                        <w:sz w:val="18"/>
                        <w:szCs w:val="18"/>
                      </w:rPr>
                      <w:t>499,000,000.00</w:t>
                    </w:r>
                  </w:p>
                </w:tc>
                <w:tc>
                  <w:tcPr>
                    <w:tcW w:w="567" w:type="dxa"/>
                    <w:tcBorders>
                      <w:left w:val="single" w:sz="4" w:space="0" w:color="auto"/>
                      <w:right w:val="single" w:sz="4" w:space="0" w:color="auto"/>
                    </w:tcBorders>
                  </w:tcPr>
                  <w:p w14:paraId="11645EDC" w14:textId="77777777" w:rsidR="00830E72" w:rsidRDefault="00830E72">
                    <w:pPr>
                      <w:jc w:val="right"/>
                      <w:rPr>
                        <w:sz w:val="18"/>
                        <w:szCs w:val="18"/>
                      </w:rPr>
                    </w:pPr>
                  </w:p>
                </w:tc>
                <w:tc>
                  <w:tcPr>
                    <w:tcW w:w="567" w:type="dxa"/>
                    <w:tcBorders>
                      <w:left w:val="single" w:sz="4" w:space="0" w:color="auto"/>
                      <w:right w:val="single" w:sz="4" w:space="0" w:color="auto"/>
                    </w:tcBorders>
                  </w:tcPr>
                  <w:p w14:paraId="5297D571" w14:textId="77777777" w:rsidR="00830E72" w:rsidRDefault="00830E72">
                    <w:pPr>
                      <w:jc w:val="right"/>
                      <w:rPr>
                        <w:sz w:val="18"/>
                        <w:szCs w:val="18"/>
                      </w:rPr>
                    </w:pPr>
                  </w:p>
                </w:tc>
                <w:tc>
                  <w:tcPr>
                    <w:tcW w:w="396" w:type="dxa"/>
                    <w:tcBorders>
                      <w:left w:val="single" w:sz="4" w:space="0" w:color="auto"/>
                      <w:right w:val="single" w:sz="4" w:space="0" w:color="auto"/>
                    </w:tcBorders>
                  </w:tcPr>
                  <w:p w14:paraId="25E440BF" w14:textId="77777777" w:rsidR="00830E72" w:rsidRDefault="00830E72">
                    <w:pPr>
                      <w:jc w:val="right"/>
                      <w:rPr>
                        <w:sz w:val="18"/>
                        <w:szCs w:val="18"/>
                      </w:rPr>
                    </w:pPr>
                  </w:p>
                </w:tc>
                <w:tc>
                  <w:tcPr>
                    <w:tcW w:w="1560" w:type="dxa"/>
                    <w:tcBorders>
                      <w:left w:val="single" w:sz="4" w:space="0" w:color="auto"/>
                    </w:tcBorders>
                  </w:tcPr>
                  <w:p w14:paraId="40949A0E" w14:textId="77777777" w:rsidR="00830E72" w:rsidRDefault="008344D8">
                    <w:pPr>
                      <w:jc w:val="right"/>
                      <w:rPr>
                        <w:sz w:val="18"/>
                        <w:szCs w:val="18"/>
                      </w:rPr>
                    </w:pPr>
                    <w:r>
                      <w:rPr>
                        <w:sz w:val="18"/>
                        <w:szCs w:val="18"/>
                      </w:rPr>
                      <w:t>209,265,618.44</w:t>
                    </w:r>
                  </w:p>
                </w:tc>
                <w:tc>
                  <w:tcPr>
                    <w:tcW w:w="595" w:type="dxa"/>
                  </w:tcPr>
                  <w:p w14:paraId="1FE6ED8B" w14:textId="77777777" w:rsidR="00830E72" w:rsidRDefault="00830E72">
                    <w:pPr>
                      <w:jc w:val="right"/>
                      <w:rPr>
                        <w:sz w:val="18"/>
                        <w:szCs w:val="18"/>
                      </w:rPr>
                    </w:pPr>
                  </w:p>
                </w:tc>
                <w:tc>
                  <w:tcPr>
                    <w:tcW w:w="851" w:type="dxa"/>
                  </w:tcPr>
                  <w:p w14:paraId="7933BAE5" w14:textId="77777777" w:rsidR="00830E72" w:rsidRDefault="00830E72">
                    <w:pPr>
                      <w:jc w:val="right"/>
                      <w:rPr>
                        <w:sz w:val="18"/>
                        <w:szCs w:val="18"/>
                      </w:rPr>
                    </w:pPr>
                  </w:p>
                </w:tc>
                <w:tc>
                  <w:tcPr>
                    <w:tcW w:w="1417" w:type="dxa"/>
                  </w:tcPr>
                  <w:p w14:paraId="5095D562" w14:textId="77777777" w:rsidR="00830E72" w:rsidRDefault="008344D8">
                    <w:pPr>
                      <w:jc w:val="right"/>
                      <w:rPr>
                        <w:sz w:val="18"/>
                        <w:szCs w:val="18"/>
                      </w:rPr>
                    </w:pPr>
                    <w:r>
                      <w:rPr>
                        <w:sz w:val="18"/>
                        <w:szCs w:val="18"/>
                      </w:rPr>
                      <w:t>15,436,784.81</w:t>
                    </w:r>
                  </w:p>
                </w:tc>
                <w:tc>
                  <w:tcPr>
                    <w:tcW w:w="1560" w:type="dxa"/>
                  </w:tcPr>
                  <w:p w14:paraId="1F27E38D" w14:textId="77777777" w:rsidR="00830E72" w:rsidRDefault="008344D8">
                    <w:pPr>
                      <w:jc w:val="right"/>
                      <w:rPr>
                        <w:sz w:val="18"/>
                        <w:szCs w:val="18"/>
                      </w:rPr>
                    </w:pPr>
                    <w:r>
                      <w:rPr>
                        <w:sz w:val="18"/>
                        <w:szCs w:val="18"/>
                      </w:rPr>
                      <w:t>44,344,922.59</w:t>
                    </w:r>
                  </w:p>
                </w:tc>
                <w:tc>
                  <w:tcPr>
                    <w:tcW w:w="1701" w:type="dxa"/>
                  </w:tcPr>
                  <w:p w14:paraId="58514E9F" w14:textId="77777777" w:rsidR="00830E72" w:rsidRDefault="008344D8">
                    <w:pPr>
                      <w:jc w:val="right"/>
                      <w:rPr>
                        <w:sz w:val="18"/>
                        <w:szCs w:val="18"/>
                      </w:rPr>
                    </w:pPr>
                    <w:r>
                      <w:rPr>
                        <w:sz w:val="18"/>
                        <w:szCs w:val="18"/>
                      </w:rPr>
                      <w:t>317,553,749.61</w:t>
                    </w:r>
                  </w:p>
                </w:tc>
                <w:tc>
                  <w:tcPr>
                    <w:tcW w:w="1684" w:type="dxa"/>
                  </w:tcPr>
                  <w:p w14:paraId="4241FEA8" w14:textId="77777777" w:rsidR="00830E72" w:rsidRDefault="008344D8">
                    <w:pPr>
                      <w:jc w:val="right"/>
                      <w:rPr>
                        <w:sz w:val="18"/>
                        <w:szCs w:val="18"/>
                      </w:rPr>
                    </w:pPr>
                    <w:r>
                      <w:rPr>
                        <w:sz w:val="18"/>
                        <w:szCs w:val="18"/>
                      </w:rPr>
                      <w:t>1,085,601,075.45</w:t>
                    </w:r>
                  </w:p>
                </w:tc>
              </w:tr>
              <w:tr w:rsidR="00830E72" w14:paraId="2073C1C1" w14:textId="77777777" w:rsidTr="00D44830">
                <w:trPr>
                  <w:trHeight w:val="20"/>
                </w:trPr>
                <w:sdt>
                  <w:sdtPr>
                    <w:tag w:val="_PLD_4eea4cc259884a6ab5f2fe018aec3d4e"/>
                    <w:id w:val="-55703841"/>
                    <w:lock w:val="sdtLocked"/>
                  </w:sdtPr>
                  <w:sdtEndPr/>
                  <w:sdtContent>
                    <w:tc>
                      <w:tcPr>
                        <w:tcW w:w="1503" w:type="dxa"/>
                      </w:tcPr>
                      <w:p w14:paraId="5C10C601" w14:textId="77777777" w:rsidR="00830E72" w:rsidRDefault="008344D8">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559" w:type="dxa"/>
                    <w:tcBorders>
                      <w:right w:val="single" w:sz="4" w:space="0" w:color="auto"/>
                    </w:tcBorders>
                  </w:tcPr>
                  <w:p w14:paraId="0A88F04E" w14:textId="77777777" w:rsidR="00830E72" w:rsidRDefault="008344D8">
                    <w:pPr>
                      <w:jc w:val="right"/>
                      <w:rPr>
                        <w:sz w:val="18"/>
                        <w:szCs w:val="18"/>
                      </w:rPr>
                    </w:pPr>
                    <w:r>
                      <w:rPr>
                        <w:sz w:val="18"/>
                        <w:szCs w:val="18"/>
                      </w:rPr>
                      <w:t>119,924,235.00</w:t>
                    </w:r>
                  </w:p>
                </w:tc>
                <w:tc>
                  <w:tcPr>
                    <w:tcW w:w="567" w:type="dxa"/>
                    <w:tcBorders>
                      <w:left w:val="single" w:sz="4" w:space="0" w:color="auto"/>
                      <w:right w:val="single" w:sz="4" w:space="0" w:color="auto"/>
                    </w:tcBorders>
                  </w:tcPr>
                  <w:p w14:paraId="42778EF1" w14:textId="77777777" w:rsidR="00830E72" w:rsidRDefault="00830E72">
                    <w:pPr>
                      <w:jc w:val="right"/>
                      <w:rPr>
                        <w:sz w:val="18"/>
                        <w:szCs w:val="18"/>
                      </w:rPr>
                    </w:pPr>
                  </w:p>
                </w:tc>
                <w:tc>
                  <w:tcPr>
                    <w:tcW w:w="567" w:type="dxa"/>
                    <w:tcBorders>
                      <w:left w:val="single" w:sz="4" w:space="0" w:color="auto"/>
                      <w:right w:val="single" w:sz="4" w:space="0" w:color="auto"/>
                    </w:tcBorders>
                  </w:tcPr>
                  <w:p w14:paraId="7FB38CA3" w14:textId="77777777" w:rsidR="00830E72" w:rsidRDefault="00830E72">
                    <w:pPr>
                      <w:jc w:val="right"/>
                      <w:rPr>
                        <w:sz w:val="18"/>
                        <w:szCs w:val="18"/>
                      </w:rPr>
                    </w:pPr>
                  </w:p>
                </w:tc>
                <w:tc>
                  <w:tcPr>
                    <w:tcW w:w="396" w:type="dxa"/>
                    <w:tcBorders>
                      <w:left w:val="single" w:sz="4" w:space="0" w:color="auto"/>
                    </w:tcBorders>
                  </w:tcPr>
                  <w:p w14:paraId="2627484C" w14:textId="77777777" w:rsidR="00830E72" w:rsidRDefault="00830E72">
                    <w:pPr>
                      <w:jc w:val="right"/>
                      <w:rPr>
                        <w:sz w:val="18"/>
                        <w:szCs w:val="18"/>
                      </w:rPr>
                    </w:pPr>
                  </w:p>
                </w:tc>
                <w:tc>
                  <w:tcPr>
                    <w:tcW w:w="1560" w:type="dxa"/>
                  </w:tcPr>
                  <w:p w14:paraId="4C0D417B" w14:textId="77777777" w:rsidR="00830E72" w:rsidRDefault="008344D8">
                    <w:pPr>
                      <w:jc w:val="right"/>
                      <w:rPr>
                        <w:sz w:val="18"/>
                        <w:szCs w:val="18"/>
                      </w:rPr>
                    </w:pPr>
                    <w:r>
                      <w:rPr>
                        <w:sz w:val="18"/>
                        <w:szCs w:val="18"/>
                      </w:rPr>
                      <w:t>739,288,730.37</w:t>
                    </w:r>
                  </w:p>
                </w:tc>
                <w:tc>
                  <w:tcPr>
                    <w:tcW w:w="595" w:type="dxa"/>
                  </w:tcPr>
                  <w:p w14:paraId="3395FC87" w14:textId="77777777" w:rsidR="00830E72" w:rsidRDefault="00830E72">
                    <w:pPr>
                      <w:jc w:val="right"/>
                      <w:rPr>
                        <w:sz w:val="18"/>
                        <w:szCs w:val="18"/>
                      </w:rPr>
                    </w:pPr>
                  </w:p>
                </w:tc>
                <w:tc>
                  <w:tcPr>
                    <w:tcW w:w="851" w:type="dxa"/>
                  </w:tcPr>
                  <w:p w14:paraId="1C058FA7" w14:textId="77777777" w:rsidR="00830E72" w:rsidRDefault="00830E72">
                    <w:pPr>
                      <w:jc w:val="right"/>
                      <w:rPr>
                        <w:sz w:val="18"/>
                        <w:szCs w:val="18"/>
                      </w:rPr>
                    </w:pPr>
                  </w:p>
                </w:tc>
                <w:tc>
                  <w:tcPr>
                    <w:tcW w:w="1417" w:type="dxa"/>
                  </w:tcPr>
                  <w:p w14:paraId="1C64AD85" w14:textId="77777777" w:rsidR="00830E72" w:rsidRDefault="008344D8">
                    <w:pPr>
                      <w:jc w:val="right"/>
                      <w:rPr>
                        <w:sz w:val="18"/>
                        <w:szCs w:val="18"/>
                      </w:rPr>
                    </w:pPr>
                    <w:r>
                      <w:rPr>
                        <w:sz w:val="18"/>
                        <w:szCs w:val="18"/>
                      </w:rPr>
                      <w:t>471,363.19</w:t>
                    </w:r>
                  </w:p>
                </w:tc>
                <w:tc>
                  <w:tcPr>
                    <w:tcW w:w="1560" w:type="dxa"/>
                  </w:tcPr>
                  <w:p w14:paraId="5D619577" w14:textId="77777777" w:rsidR="00830E72" w:rsidRDefault="00830E72">
                    <w:pPr>
                      <w:jc w:val="right"/>
                      <w:rPr>
                        <w:sz w:val="18"/>
                        <w:szCs w:val="18"/>
                      </w:rPr>
                    </w:pPr>
                  </w:p>
                </w:tc>
                <w:tc>
                  <w:tcPr>
                    <w:tcW w:w="1701" w:type="dxa"/>
                  </w:tcPr>
                  <w:p w14:paraId="03AFE162" w14:textId="77777777" w:rsidR="00830E72" w:rsidRDefault="008344D8">
                    <w:pPr>
                      <w:jc w:val="right"/>
                      <w:rPr>
                        <w:sz w:val="18"/>
                        <w:szCs w:val="18"/>
                      </w:rPr>
                    </w:pPr>
                    <w:r>
                      <w:rPr>
                        <w:sz w:val="18"/>
                        <w:szCs w:val="18"/>
                      </w:rPr>
                      <w:t>11,658,496.27</w:t>
                    </w:r>
                  </w:p>
                </w:tc>
                <w:tc>
                  <w:tcPr>
                    <w:tcW w:w="1684" w:type="dxa"/>
                  </w:tcPr>
                  <w:p w14:paraId="0D661657" w14:textId="77777777" w:rsidR="00830E72" w:rsidRDefault="008344D8">
                    <w:pPr>
                      <w:jc w:val="right"/>
                      <w:rPr>
                        <w:sz w:val="18"/>
                        <w:szCs w:val="18"/>
                      </w:rPr>
                    </w:pPr>
                    <w:r>
                      <w:rPr>
                        <w:sz w:val="18"/>
                        <w:szCs w:val="18"/>
                      </w:rPr>
                      <w:t>871,342,824.83</w:t>
                    </w:r>
                  </w:p>
                </w:tc>
              </w:tr>
              <w:tr w:rsidR="00830E72" w14:paraId="71636C11" w14:textId="77777777" w:rsidTr="00D44830">
                <w:trPr>
                  <w:trHeight w:val="20"/>
                </w:trPr>
                <w:sdt>
                  <w:sdtPr>
                    <w:tag w:val="_PLD_c2eb317db9474ea9b9513a40ba81d9f7"/>
                    <w:id w:val="-749114939"/>
                    <w:lock w:val="sdtLocked"/>
                  </w:sdtPr>
                  <w:sdtEndPr/>
                  <w:sdtContent>
                    <w:tc>
                      <w:tcPr>
                        <w:tcW w:w="1503" w:type="dxa"/>
                      </w:tcPr>
                      <w:p w14:paraId="13DCBACB" w14:textId="77777777" w:rsidR="00830E72" w:rsidRDefault="008344D8">
                        <w:pPr>
                          <w:rPr>
                            <w:sz w:val="18"/>
                            <w:szCs w:val="18"/>
                          </w:rPr>
                        </w:pPr>
                        <w:r>
                          <w:rPr>
                            <w:rFonts w:hint="eastAsia"/>
                            <w:sz w:val="18"/>
                            <w:szCs w:val="18"/>
                          </w:rPr>
                          <w:t>（一）综合收益总额</w:t>
                        </w:r>
                      </w:p>
                    </w:tc>
                  </w:sdtContent>
                </w:sdt>
                <w:tc>
                  <w:tcPr>
                    <w:tcW w:w="1559" w:type="dxa"/>
                    <w:tcBorders>
                      <w:right w:val="single" w:sz="4" w:space="0" w:color="auto"/>
                    </w:tcBorders>
                  </w:tcPr>
                  <w:p w14:paraId="15F6C1A2" w14:textId="77777777" w:rsidR="00830E72" w:rsidRDefault="00830E72">
                    <w:pPr>
                      <w:jc w:val="right"/>
                      <w:rPr>
                        <w:sz w:val="18"/>
                        <w:szCs w:val="18"/>
                      </w:rPr>
                    </w:pPr>
                  </w:p>
                </w:tc>
                <w:tc>
                  <w:tcPr>
                    <w:tcW w:w="567" w:type="dxa"/>
                    <w:tcBorders>
                      <w:left w:val="single" w:sz="4" w:space="0" w:color="auto"/>
                      <w:right w:val="single" w:sz="4" w:space="0" w:color="auto"/>
                    </w:tcBorders>
                  </w:tcPr>
                  <w:p w14:paraId="366F2D0F" w14:textId="77777777" w:rsidR="00830E72" w:rsidRDefault="00830E72">
                    <w:pPr>
                      <w:jc w:val="right"/>
                      <w:rPr>
                        <w:sz w:val="18"/>
                        <w:szCs w:val="18"/>
                      </w:rPr>
                    </w:pPr>
                  </w:p>
                </w:tc>
                <w:tc>
                  <w:tcPr>
                    <w:tcW w:w="567" w:type="dxa"/>
                    <w:tcBorders>
                      <w:left w:val="single" w:sz="4" w:space="0" w:color="auto"/>
                      <w:right w:val="single" w:sz="4" w:space="0" w:color="auto"/>
                    </w:tcBorders>
                  </w:tcPr>
                  <w:p w14:paraId="62205DAE" w14:textId="77777777" w:rsidR="00830E72" w:rsidRDefault="00830E72">
                    <w:pPr>
                      <w:jc w:val="right"/>
                      <w:rPr>
                        <w:sz w:val="18"/>
                        <w:szCs w:val="18"/>
                      </w:rPr>
                    </w:pPr>
                  </w:p>
                </w:tc>
                <w:tc>
                  <w:tcPr>
                    <w:tcW w:w="396" w:type="dxa"/>
                    <w:tcBorders>
                      <w:left w:val="single" w:sz="4" w:space="0" w:color="auto"/>
                    </w:tcBorders>
                  </w:tcPr>
                  <w:p w14:paraId="0EB6D61F" w14:textId="77777777" w:rsidR="00830E72" w:rsidRDefault="00830E72">
                    <w:pPr>
                      <w:jc w:val="right"/>
                      <w:rPr>
                        <w:sz w:val="18"/>
                        <w:szCs w:val="18"/>
                      </w:rPr>
                    </w:pPr>
                  </w:p>
                </w:tc>
                <w:tc>
                  <w:tcPr>
                    <w:tcW w:w="1560" w:type="dxa"/>
                  </w:tcPr>
                  <w:p w14:paraId="17412B0C" w14:textId="77777777" w:rsidR="00830E72" w:rsidRDefault="00830E72">
                    <w:pPr>
                      <w:jc w:val="right"/>
                      <w:rPr>
                        <w:sz w:val="18"/>
                        <w:szCs w:val="18"/>
                      </w:rPr>
                    </w:pPr>
                  </w:p>
                </w:tc>
                <w:tc>
                  <w:tcPr>
                    <w:tcW w:w="595" w:type="dxa"/>
                  </w:tcPr>
                  <w:p w14:paraId="3A1D1F49" w14:textId="77777777" w:rsidR="00830E72" w:rsidRDefault="00830E72">
                    <w:pPr>
                      <w:jc w:val="right"/>
                      <w:rPr>
                        <w:sz w:val="18"/>
                        <w:szCs w:val="18"/>
                      </w:rPr>
                    </w:pPr>
                  </w:p>
                </w:tc>
                <w:tc>
                  <w:tcPr>
                    <w:tcW w:w="851" w:type="dxa"/>
                  </w:tcPr>
                  <w:p w14:paraId="0A4608A4" w14:textId="77777777" w:rsidR="00830E72" w:rsidRDefault="00830E72">
                    <w:pPr>
                      <w:jc w:val="right"/>
                      <w:rPr>
                        <w:sz w:val="18"/>
                        <w:szCs w:val="18"/>
                      </w:rPr>
                    </w:pPr>
                  </w:p>
                </w:tc>
                <w:tc>
                  <w:tcPr>
                    <w:tcW w:w="1417" w:type="dxa"/>
                  </w:tcPr>
                  <w:p w14:paraId="3BC63C3E" w14:textId="77777777" w:rsidR="00830E72" w:rsidRDefault="00830E72">
                    <w:pPr>
                      <w:jc w:val="right"/>
                      <w:rPr>
                        <w:sz w:val="18"/>
                        <w:szCs w:val="18"/>
                      </w:rPr>
                    </w:pPr>
                  </w:p>
                </w:tc>
                <w:tc>
                  <w:tcPr>
                    <w:tcW w:w="1560" w:type="dxa"/>
                  </w:tcPr>
                  <w:p w14:paraId="3F01E6FF" w14:textId="77777777" w:rsidR="00830E72" w:rsidRDefault="00830E72">
                    <w:pPr>
                      <w:jc w:val="right"/>
                      <w:rPr>
                        <w:sz w:val="18"/>
                        <w:szCs w:val="18"/>
                      </w:rPr>
                    </w:pPr>
                  </w:p>
                </w:tc>
                <w:tc>
                  <w:tcPr>
                    <w:tcW w:w="1701" w:type="dxa"/>
                  </w:tcPr>
                  <w:p w14:paraId="4707A19F" w14:textId="77777777" w:rsidR="00830E72" w:rsidRDefault="008344D8">
                    <w:pPr>
                      <w:jc w:val="right"/>
                      <w:rPr>
                        <w:sz w:val="18"/>
                        <w:szCs w:val="18"/>
                      </w:rPr>
                    </w:pPr>
                    <w:r>
                      <w:rPr>
                        <w:sz w:val="18"/>
                        <w:szCs w:val="18"/>
                      </w:rPr>
                      <w:t>41,598,496.27</w:t>
                    </w:r>
                  </w:p>
                </w:tc>
                <w:tc>
                  <w:tcPr>
                    <w:tcW w:w="1684" w:type="dxa"/>
                  </w:tcPr>
                  <w:p w14:paraId="0AD03A90" w14:textId="77777777" w:rsidR="00830E72" w:rsidRDefault="008344D8">
                    <w:pPr>
                      <w:jc w:val="right"/>
                      <w:rPr>
                        <w:sz w:val="18"/>
                        <w:szCs w:val="18"/>
                      </w:rPr>
                    </w:pPr>
                    <w:r>
                      <w:rPr>
                        <w:sz w:val="18"/>
                        <w:szCs w:val="18"/>
                      </w:rPr>
                      <w:t>41,598,496.27</w:t>
                    </w:r>
                  </w:p>
                </w:tc>
              </w:tr>
              <w:tr w:rsidR="00830E72" w14:paraId="0F461581" w14:textId="77777777" w:rsidTr="00D44830">
                <w:trPr>
                  <w:trHeight w:val="20"/>
                </w:trPr>
                <w:sdt>
                  <w:sdtPr>
                    <w:tag w:val="_PLD_2c2c42255e12419d81111ac5d28c5859"/>
                    <w:id w:val="-1706709945"/>
                    <w:lock w:val="sdtLocked"/>
                  </w:sdtPr>
                  <w:sdtEndPr/>
                  <w:sdtContent>
                    <w:tc>
                      <w:tcPr>
                        <w:tcW w:w="1503" w:type="dxa"/>
                      </w:tcPr>
                      <w:p w14:paraId="0E35CC81" w14:textId="77777777" w:rsidR="00830E72" w:rsidRDefault="008344D8">
                        <w:pPr>
                          <w:rPr>
                            <w:sz w:val="18"/>
                            <w:szCs w:val="18"/>
                          </w:rPr>
                        </w:pPr>
                        <w:r>
                          <w:rPr>
                            <w:sz w:val="18"/>
                            <w:szCs w:val="18"/>
                          </w:rPr>
                          <w:t>（</w:t>
                        </w:r>
                        <w:r>
                          <w:rPr>
                            <w:rFonts w:hint="eastAsia"/>
                            <w:sz w:val="18"/>
                            <w:szCs w:val="18"/>
                          </w:rPr>
                          <w:t>二</w:t>
                        </w:r>
                        <w:r>
                          <w:rPr>
                            <w:sz w:val="18"/>
                            <w:szCs w:val="18"/>
                          </w:rPr>
                          <w:t>）所有者投入和减少资本</w:t>
                        </w:r>
                      </w:p>
                    </w:tc>
                  </w:sdtContent>
                </w:sdt>
                <w:tc>
                  <w:tcPr>
                    <w:tcW w:w="1559" w:type="dxa"/>
                    <w:tcBorders>
                      <w:right w:val="single" w:sz="4" w:space="0" w:color="auto"/>
                    </w:tcBorders>
                  </w:tcPr>
                  <w:p w14:paraId="40F31BF3" w14:textId="77777777" w:rsidR="00830E72" w:rsidRDefault="008344D8">
                    <w:pPr>
                      <w:jc w:val="right"/>
                      <w:rPr>
                        <w:sz w:val="18"/>
                        <w:szCs w:val="18"/>
                      </w:rPr>
                    </w:pPr>
                    <w:r>
                      <w:rPr>
                        <w:sz w:val="18"/>
                        <w:szCs w:val="18"/>
                      </w:rPr>
                      <w:t>119,924,235.00</w:t>
                    </w:r>
                  </w:p>
                </w:tc>
                <w:tc>
                  <w:tcPr>
                    <w:tcW w:w="567" w:type="dxa"/>
                    <w:tcBorders>
                      <w:left w:val="single" w:sz="4" w:space="0" w:color="auto"/>
                      <w:right w:val="single" w:sz="4" w:space="0" w:color="auto"/>
                    </w:tcBorders>
                  </w:tcPr>
                  <w:p w14:paraId="4983FDC3" w14:textId="77777777" w:rsidR="00830E72" w:rsidRDefault="00830E72">
                    <w:pPr>
                      <w:jc w:val="right"/>
                      <w:rPr>
                        <w:sz w:val="18"/>
                        <w:szCs w:val="18"/>
                      </w:rPr>
                    </w:pPr>
                  </w:p>
                </w:tc>
                <w:tc>
                  <w:tcPr>
                    <w:tcW w:w="567" w:type="dxa"/>
                    <w:tcBorders>
                      <w:left w:val="single" w:sz="4" w:space="0" w:color="auto"/>
                      <w:right w:val="single" w:sz="4" w:space="0" w:color="auto"/>
                    </w:tcBorders>
                  </w:tcPr>
                  <w:p w14:paraId="67AAFC6D" w14:textId="77777777" w:rsidR="00830E72" w:rsidRDefault="00830E72">
                    <w:pPr>
                      <w:jc w:val="right"/>
                      <w:rPr>
                        <w:sz w:val="18"/>
                        <w:szCs w:val="18"/>
                      </w:rPr>
                    </w:pPr>
                  </w:p>
                </w:tc>
                <w:tc>
                  <w:tcPr>
                    <w:tcW w:w="396" w:type="dxa"/>
                    <w:tcBorders>
                      <w:left w:val="single" w:sz="4" w:space="0" w:color="auto"/>
                    </w:tcBorders>
                  </w:tcPr>
                  <w:p w14:paraId="25A2D297" w14:textId="77777777" w:rsidR="00830E72" w:rsidRDefault="00830E72">
                    <w:pPr>
                      <w:jc w:val="right"/>
                      <w:rPr>
                        <w:sz w:val="18"/>
                        <w:szCs w:val="18"/>
                      </w:rPr>
                    </w:pPr>
                  </w:p>
                </w:tc>
                <w:tc>
                  <w:tcPr>
                    <w:tcW w:w="1560" w:type="dxa"/>
                  </w:tcPr>
                  <w:p w14:paraId="7275C165" w14:textId="77777777" w:rsidR="00830E72" w:rsidRDefault="008344D8">
                    <w:pPr>
                      <w:jc w:val="right"/>
                      <w:rPr>
                        <w:sz w:val="18"/>
                        <w:szCs w:val="18"/>
                      </w:rPr>
                    </w:pPr>
                    <w:r>
                      <w:rPr>
                        <w:sz w:val="18"/>
                        <w:szCs w:val="18"/>
                      </w:rPr>
                      <w:t>739,288,730.37</w:t>
                    </w:r>
                  </w:p>
                </w:tc>
                <w:tc>
                  <w:tcPr>
                    <w:tcW w:w="595" w:type="dxa"/>
                  </w:tcPr>
                  <w:p w14:paraId="2A893807" w14:textId="77777777" w:rsidR="00830E72" w:rsidRDefault="00830E72">
                    <w:pPr>
                      <w:jc w:val="right"/>
                      <w:rPr>
                        <w:sz w:val="18"/>
                        <w:szCs w:val="18"/>
                      </w:rPr>
                    </w:pPr>
                  </w:p>
                </w:tc>
                <w:tc>
                  <w:tcPr>
                    <w:tcW w:w="851" w:type="dxa"/>
                  </w:tcPr>
                  <w:p w14:paraId="6D373397" w14:textId="77777777" w:rsidR="00830E72" w:rsidRDefault="00830E72">
                    <w:pPr>
                      <w:jc w:val="right"/>
                      <w:rPr>
                        <w:sz w:val="18"/>
                        <w:szCs w:val="18"/>
                      </w:rPr>
                    </w:pPr>
                  </w:p>
                </w:tc>
                <w:tc>
                  <w:tcPr>
                    <w:tcW w:w="1417" w:type="dxa"/>
                  </w:tcPr>
                  <w:p w14:paraId="79C319E5" w14:textId="77777777" w:rsidR="00830E72" w:rsidRDefault="00830E72">
                    <w:pPr>
                      <w:jc w:val="right"/>
                      <w:rPr>
                        <w:sz w:val="18"/>
                        <w:szCs w:val="18"/>
                      </w:rPr>
                    </w:pPr>
                  </w:p>
                </w:tc>
                <w:tc>
                  <w:tcPr>
                    <w:tcW w:w="1560" w:type="dxa"/>
                  </w:tcPr>
                  <w:p w14:paraId="4CC551B7" w14:textId="77777777" w:rsidR="00830E72" w:rsidRDefault="00830E72">
                    <w:pPr>
                      <w:jc w:val="right"/>
                      <w:rPr>
                        <w:sz w:val="18"/>
                        <w:szCs w:val="18"/>
                      </w:rPr>
                    </w:pPr>
                  </w:p>
                </w:tc>
                <w:tc>
                  <w:tcPr>
                    <w:tcW w:w="1701" w:type="dxa"/>
                  </w:tcPr>
                  <w:p w14:paraId="48DCA622" w14:textId="77777777" w:rsidR="00830E72" w:rsidRDefault="00830E72">
                    <w:pPr>
                      <w:jc w:val="right"/>
                      <w:rPr>
                        <w:sz w:val="18"/>
                        <w:szCs w:val="18"/>
                      </w:rPr>
                    </w:pPr>
                  </w:p>
                </w:tc>
                <w:tc>
                  <w:tcPr>
                    <w:tcW w:w="1684" w:type="dxa"/>
                  </w:tcPr>
                  <w:p w14:paraId="53DE3939" w14:textId="77777777" w:rsidR="00830E72" w:rsidRDefault="008344D8">
                    <w:pPr>
                      <w:jc w:val="right"/>
                      <w:rPr>
                        <w:sz w:val="18"/>
                        <w:szCs w:val="18"/>
                      </w:rPr>
                    </w:pPr>
                    <w:r>
                      <w:rPr>
                        <w:sz w:val="18"/>
                        <w:szCs w:val="18"/>
                      </w:rPr>
                      <w:t>859,212,965.37</w:t>
                    </w:r>
                  </w:p>
                </w:tc>
              </w:tr>
              <w:tr w:rsidR="00830E72" w14:paraId="0F2E01BE" w14:textId="77777777" w:rsidTr="00D44830">
                <w:trPr>
                  <w:trHeight w:val="20"/>
                </w:trPr>
                <w:sdt>
                  <w:sdtPr>
                    <w:tag w:val="_PLD_ced9c335ab0c4ec8b683bd42730e309b"/>
                    <w:id w:val="-2067336954"/>
                    <w:lock w:val="sdtLocked"/>
                  </w:sdtPr>
                  <w:sdtEndPr/>
                  <w:sdtContent>
                    <w:tc>
                      <w:tcPr>
                        <w:tcW w:w="1503" w:type="dxa"/>
                      </w:tcPr>
                      <w:p w14:paraId="0EB3A885" w14:textId="77777777" w:rsidR="00830E72" w:rsidRDefault="008344D8">
                        <w:pPr>
                          <w:rPr>
                            <w:sz w:val="18"/>
                            <w:szCs w:val="18"/>
                          </w:rPr>
                        </w:pPr>
                        <w:r>
                          <w:rPr>
                            <w:rFonts w:hint="eastAsia"/>
                            <w:sz w:val="18"/>
                            <w:szCs w:val="18"/>
                          </w:rPr>
                          <w:t>1．所有者投入的普通股</w:t>
                        </w:r>
                      </w:p>
                    </w:tc>
                  </w:sdtContent>
                </w:sdt>
                <w:tc>
                  <w:tcPr>
                    <w:tcW w:w="1559" w:type="dxa"/>
                    <w:tcBorders>
                      <w:right w:val="single" w:sz="4" w:space="0" w:color="auto"/>
                    </w:tcBorders>
                  </w:tcPr>
                  <w:p w14:paraId="1D54A1B4" w14:textId="77777777" w:rsidR="00830E72" w:rsidRDefault="008344D8">
                    <w:pPr>
                      <w:jc w:val="right"/>
                      <w:rPr>
                        <w:sz w:val="18"/>
                        <w:szCs w:val="18"/>
                      </w:rPr>
                    </w:pPr>
                    <w:r>
                      <w:rPr>
                        <w:sz w:val="18"/>
                        <w:szCs w:val="18"/>
                      </w:rPr>
                      <w:t>119,924,235.00</w:t>
                    </w:r>
                  </w:p>
                </w:tc>
                <w:tc>
                  <w:tcPr>
                    <w:tcW w:w="567" w:type="dxa"/>
                    <w:tcBorders>
                      <w:left w:val="single" w:sz="4" w:space="0" w:color="auto"/>
                      <w:right w:val="single" w:sz="4" w:space="0" w:color="auto"/>
                    </w:tcBorders>
                  </w:tcPr>
                  <w:p w14:paraId="52CC3062" w14:textId="77777777" w:rsidR="00830E72" w:rsidRDefault="00830E72">
                    <w:pPr>
                      <w:jc w:val="right"/>
                      <w:rPr>
                        <w:sz w:val="18"/>
                        <w:szCs w:val="18"/>
                      </w:rPr>
                    </w:pPr>
                  </w:p>
                </w:tc>
                <w:tc>
                  <w:tcPr>
                    <w:tcW w:w="567" w:type="dxa"/>
                    <w:tcBorders>
                      <w:left w:val="single" w:sz="4" w:space="0" w:color="auto"/>
                      <w:right w:val="single" w:sz="4" w:space="0" w:color="auto"/>
                    </w:tcBorders>
                  </w:tcPr>
                  <w:p w14:paraId="7E691011" w14:textId="77777777" w:rsidR="00830E72" w:rsidRDefault="00830E72">
                    <w:pPr>
                      <w:jc w:val="right"/>
                      <w:rPr>
                        <w:sz w:val="18"/>
                        <w:szCs w:val="18"/>
                      </w:rPr>
                    </w:pPr>
                  </w:p>
                </w:tc>
                <w:tc>
                  <w:tcPr>
                    <w:tcW w:w="396" w:type="dxa"/>
                    <w:tcBorders>
                      <w:left w:val="single" w:sz="4" w:space="0" w:color="auto"/>
                    </w:tcBorders>
                  </w:tcPr>
                  <w:p w14:paraId="1F9A4EAB" w14:textId="77777777" w:rsidR="00830E72" w:rsidRDefault="00830E72">
                    <w:pPr>
                      <w:jc w:val="right"/>
                      <w:rPr>
                        <w:sz w:val="18"/>
                        <w:szCs w:val="18"/>
                      </w:rPr>
                    </w:pPr>
                  </w:p>
                </w:tc>
                <w:tc>
                  <w:tcPr>
                    <w:tcW w:w="1560" w:type="dxa"/>
                  </w:tcPr>
                  <w:p w14:paraId="7DC8BE93" w14:textId="77777777" w:rsidR="00830E72" w:rsidRDefault="008344D8">
                    <w:pPr>
                      <w:jc w:val="right"/>
                      <w:rPr>
                        <w:sz w:val="18"/>
                        <w:szCs w:val="18"/>
                      </w:rPr>
                    </w:pPr>
                    <w:r>
                      <w:rPr>
                        <w:sz w:val="18"/>
                        <w:szCs w:val="18"/>
                      </w:rPr>
                      <w:t>739,288,730.37</w:t>
                    </w:r>
                  </w:p>
                </w:tc>
                <w:tc>
                  <w:tcPr>
                    <w:tcW w:w="595" w:type="dxa"/>
                  </w:tcPr>
                  <w:p w14:paraId="1944000C" w14:textId="77777777" w:rsidR="00830E72" w:rsidRDefault="00830E72">
                    <w:pPr>
                      <w:jc w:val="right"/>
                      <w:rPr>
                        <w:sz w:val="18"/>
                        <w:szCs w:val="18"/>
                      </w:rPr>
                    </w:pPr>
                  </w:p>
                </w:tc>
                <w:tc>
                  <w:tcPr>
                    <w:tcW w:w="851" w:type="dxa"/>
                  </w:tcPr>
                  <w:p w14:paraId="60C27C89" w14:textId="77777777" w:rsidR="00830E72" w:rsidRDefault="00830E72">
                    <w:pPr>
                      <w:jc w:val="right"/>
                      <w:rPr>
                        <w:sz w:val="18"/>
                        <w:szCs w:val="18"/>
                      </w:rPr>
                    </w:pPr>
                  </w:p>
                </w:tc>
                <w:tc>
                  <w:tcPr>
                    <w:tcW w:w="1417" w:type="dxa"/>
                  </w:tcPr>
                  <w:p w14:paraId="20308C1B" w14:textId="77777777" w:rsidR="00830E72" w:rsidRDefault="00830E72">
                    <w:pPr>
                      <w:jc w:val="right"/>
                      <w:rPr>
                        <w:sz w:val="18"/>
                        <w:szCs w:val="18"/>
                      </w:rPr>
                    </w:pPr>
                  </w:p>
                </w:tc>
                <w:tc>
                  <w:tcPr>
                    <w:tcW w:w="1560" w:type="dxa"/>
                  </w:tcPr>
                  <w:p w14:paraId="017BB6B6" w14:textId="77777777" w:rsidR="00830E72" w:rsidRDefault="00830E72">
                    <w:pPr>
                      <w:jc w:val="right"/>
                      <w:rPr>
                        <w:sz w:val="18"/>
                        <w:szCs w:val="18"/>
                      </w:rPr>
                    </w:pPr>
                  </w:p>
                </w:tc>
                <w:tc>
                  <w:tcPr>
                    <w:tcW w:w="1701" w:type="dxa"/>
                  </w:tcPr>
                  <w:p w14:paraId="021D21DD" w14:textId="77777777" w:rsidR="00830E72" w:rsidRDefault="00830E72">
                    <w:pPr>
                      <w:jc w:val="right"/>
                      <w:rPr>
                        <w:sz w:val="18"/>
                        <w:szCs w:val="18"/>
                      </w:rPr>
                    </w:pPr>
                  </w:p>
                </w:tc>
                <w:tc>
                  <w:tcPr>
                    <w:tcW w:w="1684" w:type="dxa"/>
                  </w:tcPr>
                  <w:p w14:paraId="32A8C22D" w14:textId="77777777" w:rsidR="00830E72" w:rsidRDefault="008344D8">
                    <w:pPr>
                      <w:jc w:val="right"/>
                      <w:rPr>
                        <w:sz w:val="18"/>
                        <w:szCs w:val="18"/>
                      </w:rPr>
                    </w:pPr>
                    <w:r>
                      <w:rPr>
                        <w:sz w:val="18"/>
                        <w:szCs w:val="18"/>
                      </w:rPr>
                      <w:t>859,212,965.37</w:t>
                    </w:r>
                  </w:p>
                </w:tc>
              </w:tr>
              <w:tr w:rsidR="00830E72" w14:paraId="0E49D699" w14:textId="77777777" w:rsidTr="00D44830">
                <w:trPr>
                  <w:trHeight w:val="20"/>
                </w:trPr>
                <w:sdt>
                  <w:sdtPr>
                    <w:tag w:val="_PLD_5db7714c048b45cb8fc2f783898126a2"/>
                    <w:id w:val="1235127675"/>
                    <w:lock w:val="sdtLocked"/>
                  </w:sdtPr>
                  <w:sdtEndPr/>
                  <w:sdtContent>
                    <w:tc>
                      <w:tcPr>
                        <w:tcW w:w="1503" w:type="dxa"/>
                      </w:tcPr>
                      <w:p w14:paraId="7305827E" w14:textId="77777777" w:rsidR="00830E72" w:rsidRDefault="008344D8">
                        <w:pPr>
                          <w:rPr>
                            <w:sz w:val="18"/>
                            <w:szCs w:val="18"/>
                          </w:rPr>
                        </w:pPr>
                        <w:r>
                          <w:rPr>
                            <w:rFonts w:hint="eastAsia"/>
                            <w:sz w:val="18"/>
                            <w:szCs w:val="18"/>
                          </w:rPr>
                          <w:t>2．其他权益工具持有者投入资本</w:t>
                        </w:r>
                      </w:p>
                    </w:tc>
                  </w:sdtContent>
                </w:sdt>
                <w:tc>
                  <w:tcPr>
                    <w:tcW w:w="1559" w:type="dxa"/>
                    <w:tcBorders>
                      <w:right w:val="single" w:sz="4" w:space="0" w:color="auto"/>
                    </w:tcBorders>
                  </w:tcPr>
                  <w:p w14:paraId="356C0144" w14:textId="77777777" w:rsidR="00830E72" w:rsidRDefault="00830E72">
                    <w:pPr>
                      <w:jc w:val="right"/>
                      <w:rPr>
                        <w:sz w:val="18"/>
                        <w:szCs w:val="18"/>
                      </w:rPr>
                    </w:pPr>
                  </w:p>
                </w:tc>
                <w:tc>
                  <w:tcPr>
                    <w:tcW w:w="567" w:type="dxa"/>
                    <w:tcBorders>
                      <w:left w:val="single" w:sz="4" w:space="0" w:color="auto"/>
                      <w:right w:val="single" w:sz="4" w:space="0" w:color="auto"/>
                    </w:tcBorders>
                  </w:tcPr>
                  <w:p w14:paraId="0B7955B6" w14:textId="77777777" w:rsidR="00830E72" w:rsidRDefault="00830E72">
                    <w:pPr>
                      <w:jc w:val="right"/>
                      <w:rPr>
                        <w:sz w:val="18"/>
                        <w:szCs w:val="18"/>
                      </w:rPr>
                    </w:pPr>
                  </w:p>
                </w:tc>
                <w:tc>
                  <w:tcPr>
                    <w:tcW w:w="567" w:type="dxa"/>
                    <w:tcBorders>
                      <w:left w:val="single" w:sz="4" w:space="0" w:color="auto"/>
                      <w:right w:val="single" w:sz="4" w:space="0" w:color="auto"/>
                    </w:tcBorders>
                  </w:tcPr>
                  <w:p w14:paraId="48D9EFF3" w14:textId="77777777" w:rsidR="00830E72" w:rsidRDefault="00830E72">
                    <w:pPr>
                      <w:jc w:val="right"/>
                      <w:rPr>
                        <w:sz w:val="18"/>
                        <w:szCs w:val="18"/>
                      </w:rPr>
                    </w:pPr>
                  </w:p>
                </w:tc>
                <w:tc>
                  <w:tcPr>
                    <w:tcW w:w="396" w:type="dxa"/>
                    <w:tcBorders>
                      <w:left w:val="single" w:sz="4" w:space="0" w:color="auto"/>
                    </w:tcBorders>
                  </w:tcPr>
                  <w:p w14:paraId="6BD70608" w14:textId="77777777" w:rsidR="00830E72" w:rsidRDefault="00830E72">
                    <w:pPr>
                      <w:jc w:val="right"/>
                      <w:rPr>
                        <w:sz w:val="18"/>
                        <w:szCs w:val="18"/>
                      </w:rPr>
                    </w:pPr>
                  </w:p>
                </w:tc>
                <w:tc>
                  <w:tcPr>
                    <w:tcW w:w="1560" w:type="dxa"/>
                  </w:tcPr>
                  <w:p w14:paraId="330F490F" w14:textId="77777777" w:rsidR="00830E72" w:rsidRDefault="00830E72">
                    <w:pPr>
                      <w:jc w:val="right"/>
                      <w:rPr>
                        <w:sz w:val="18"/>
                        <w:szCs w:val="18"/>
                      </w:rPr>
                    </w:pPr>
                  </w:p>
                </w:tc>
                <w:tc>
                  <w:tcPr>
                    <w:tcW w:w="595" w:type="dxa"/>
                  </w:tcPr>
                  <w:p w14:paraId="6C728A81" w14:textId="77777777" w:rsidR="00830E72" w:rsidRDefault="00830E72">
                    <w:pPr>
                      <w:jc w:val="right"/>
                      <w:rPr>
                        <w:sz w:val="18"/>
                        <w:szCs w:val="18"/>
                      </w:rPr>
                    </w:pPr>
                  </w:p>
                </w:tc>
                <w:tc>
                  <w:tcPr>
                    <w:tcW w:w="851" w:type="dxa"/>
                  </w:tcPr>
                  <w:p w14:paraId="013870B3" w14:textId="77777777" w:rsidR="00830E72" w:rsidRDefault="00830E72">
                    <w:pPr>
                      <w:jc w:val="right"/>
                      <w:rPr>
                        <w:sz w:val="18"/>
                        <w:szCs w:val="18"/>
                      </w:rPr>
                    </w:pPr>
                  </w:p>
                </w:tc>
                <w:tc>
                  <w:tcPr>
                    <w:tcW w:w="1417" w:type="dxa"/>
                  </w:tcPr>
                  <w:p w14:paraId="6D4843FD" w14:textId="77777777" w:rsidR="00830E72" w:rsidRDefault="00830E72">
                    <w:pPr>
                      <w:jc w:val="right"/>
                      <w:rPr>
                        <w:sz w:val="18"/>
                        <w:szCs w:val="18"/>
                      </w:rPr>
                    </w:pPr>
                  </w:p>
                </w:tc>
                <w:tc>
                  <w:tcPr>
                    <w:tcW w:w="1560" w:type="dxa"/>
                  </w:tcPr>
                  <w:p w14:paraId="08652D43" w14:textId="77777777" w:rsidR="00830E72" w:rsidRDefault="00830E72">
                    <w:pPr>
                      <w:jc w:val="right"/>
                      <w:rPr>
                        <w:sz w:val="18"/>
                        <w:szCs w:val="18"/>
                      </w:rPr>
                    </w:pPr>
                  </w:p>
                </w:tc>
                <w:tc>
                  <w:tcPr>
                    <w:tcW w:w="1701" w:type="dxa"/>
                  </w:tcPr>
                  <w:p w14:paraId="2C861505" w14:textId="77777777" w:rsidR="00830E72" w:rsidRDefault="00830E72">
                    <w:pPr>
                      <w:jc w:val="right"/>
                      <w:rPr>
                        <w:sz w:val="18"/>
                        <w:szCs w:val="18"/>
                      </w:rPr>
                    </w:pPr>
                  </w:p>
                </w:tc>
                <w:tc>
                  <w:tcPr>
                    <w:tcW w:w="1684" w:type="dxa"/>
                  </w:tcPr>
                  <w:p w14:paraId="2EE124B4" w14:textId="77777777" w:rsidR="00830E72" w:rsidRDefault="00830E72">
                    <w:pPr>
                      <w:jc w:val="right"/>
                      <w:rPr>
                        <w:sz w:val="18"/>
                        <w:szCs w:val="18"/>
                      </w:rPr>
                    </w:pPr>
                  </w:p>
                </w:tc>
              </w:tr>
              <w:tr w:rsidR="00830E72" w14:paraId="4B669DEB" w14:textId="77777777" w:rsidTr="00D44830">
                <w:trPr>
                  <w:trHeight w:val="20"/>
                </w:trPr>
                <w:sdt>
                  <w:sdtPr>
                    <w:tag w:val="_PLD_0c8627dcaed14beabce3c3a65384cf01"/>
                    <w:id w:val="1780981918"/>
                    <w:lock w:val="sdtLocked"/>
                  </w:sdtPr>
                  <w:sdtEndPr/>
                  <w:sdtContent>
                    <w:tc>
                      <w:tcPr>
                        <w:tcW w:w="1503" w:type="dxa"/>
                      </w:tcPr>
                      <w:p w14:paraId="41BA70D1" w14:textId="77777777" w:rsidR="00830E72" w:rsidRDefault="008344D8">
                        <w:pPr>
                          <w:rPr>
                            <w:sz w:val="18"/>
                            <w:szCs w:val="18"/>
                          </w:rPr>
                        </w:pPr>
                        <w:r>
                          <w:rPr>
                            <w:rFonts w:hint="eastAsia"/>
                            <w:sz w:val="18"/>
                            <w:szCs w:val="18"/>
                          </w:rPr>
                          <w:t>3</w:t>
                        </w:r>
                        <w:r>
                          <w:rPr>
                            <w:sz w:val="18"/>
                            <w:szCs w:val="18"/>
                          </w:rPr>
                          <w:t>．股份支付计入所有者权益的金额</w:t>
                        </w:r>
                      </w:p>
                    </w:tc>
                  </w:sdtContent>
                </w:sdt>
                <w:tc>
                  <w:tcPr>
                    <w:tcW w:w="1559" w:type="dxa"/>
                    <w:tcBorders>
                      <w:right w:val="single" w:sz="4" w:space="0" w:color="auto"/>
                    </w:tcBorders>
                  </w:tcPr>
                  <w:p w14:paraId="2886D579" w14:textId="77777777" w:rsidR="00830E72" w:rsidRDefault="00830E72">
                    <w:pPr>
                      <w:jc w:val="right"/>
                      <w:rPr>
                        <w:sz w:val="18"/>
                        <w:szCs w:val="18"/>
                      </w:rPr>
                    </w:pPr>
                  </w:p>
                </w:tc>
                <w:tc>
                  <w:tcPr>
                    <w:tcW w:w="567" w:type="dxa"/>
                    <w:tcBorders>
                      <w:left w:val="single" w:sz="4" w:space="0" w:color="auto"/>
                      <w:right w:val="single" w:sz="4" w:space="0" w:color="auto"/>
                    </w:tcBorders>
                  </w:tcPr>
                  <w:p w14:paraId="57B84ABD" w14:textId="77777777" w:rsidR="00830E72" w:rsidRDefault="00830E72">
                    <w:pPr>
                      <w:jc w:val="right"/>
                      <w:rPr>
                        <w:sz w:val="18"/>
                        <w:szCs w:val="18"/>
                      </w:rPr>
                    </w:pPr>
                  </w:p>
                </w:tc>
                <w:tc>
                  <w:tcPr>
                    <w:tcW w:w="567" w:type="dxa"/>
                    <w:tcBorders>
                      <w:left w:val="single" w:sz="4" w:space="0" w:color="auto"/>
                      <w:right w:val="single" w:sz="4" w:space="0" w:color="auto"/>
                    </w:tcBorders>
                  </w:tcPr>
                  <w:p w14:paraId="54180EF3" w14:textId="77777777" w:rsidR="00830E72" w:rsidRDefault="00830E72">
                    <w:pPr>
                      <w:jc w:val="right"/>
                      <w:rPr>
                        <w:sz w:val="18"/>
                        <w:szCs w:val="18"/>
                      </w:rPr>
                    </w:pPr>
                  </w:p>
                </w:tc>
                <w:tc>
                  <w:tcPr>
                    <w:tcW w:w="396" w:type="dxa"/>
                    <w:tcBorders>
                      <w:left w:val="single" w:sz="4" w:space="0" w:color="auto"/>
                    </w:tcBorders>
                  </w:tcPr>
                  <w:p w14:paraId="3A025566" w14:textId="77777777" w:rsidR="00830E72" w:rsidRDefault="00830E72">
                    <w:pPr>
                      <w:jc w:val="right"/>
                      <w:rPr>
                        <w:sz w:val="18"/>
                        <w:szCs w:val="18"/>
                      </w:rPr>
                    </w:pPr>
                  </w:p>
                </w:tc>
                <w:tc>
                  <w:tcPr>
                    <w:tcW w:w="1560" w:type="dxa"/>
                  </w:tcPr>
                  <w:p w14:paraId="0692EAB9" w14:textId="77777777" w:rsidR="00830E72" w:rsidRDefault="00830E72">
                    <w:pPr>
                      <w:jc w:val="right"/>
                      <w:rPr>
                        <w:sz w:val="18"/>
                        <w:szCs w:val="18"/>
                      </w:rPr>
                    </w:pPr>
                  </w:p>
                </w:tc>
                <w:tc>
                  <w:tcPr>
                    <w:tcW w:w="595" w:type="dxa"/>
                  </w:tcPr>
                  <w:p w14:paraId="4D436551" w14:textId="77777777" w:rsidR="00830E72" w:rsidRDefault="00830E72">
                    <w:pPr>
                      <w:jc w:val="right"/>
                      <w:rPr>
                        <w:sz w:val="18"/>
                        <w:szCs w:val="18"/>
                      </w:rPr>
                    </w:pPr>
                  </w:p>
                </w:tc>
                <w:tc>
                  <w:tcPr>
                    <w:tcW w:w="851" w:type="dxa"/>
                  </w:tcPr>
                  <w:p w14:paraId="2D92B16A" w14:textId="77777777" w:rsidR="00830E72" w:rsidRDefault="00830E72">
                    <w:pPr>
                      <w:jc w:val="right"/>
                      <w:rPr>
                        <w:sz w:val="18"/>
                        <w:szCs w:val="18"/>
                      </w:rPr>
                    </w:pPr>
                  </w:p>
                </w:tc>
                <w:tc>
                  <w:tcPr>
                    <w:tcW w:w="1417" w:type="dxa"/>
                  </w:tcPr>
                  <w:p w14:paraId="6FACF2F1" w14:textId="77777777" w:rsidR="00830E72" w:rsidRDefault="00830E72">
                    <w:pPr>
                      <w:jc w:val="right"/>
                      <w:rPr>
                        <w:sz w:val="18"/>
                        <w:szCs w:val="18"/>
                      </w:rPr>
                    </w:pPr>
                  </w:p>
                </w:tc>
                <w:tc>
                  <w:tcPr>
                    <w:tcW w:w="1560" w:type="dxa"/>
                  </w:tcPr>
                  <w:p w14:paraId="58F0F3AC" w14:textId="77777777" w:rsidR="00830E72" w:rsidRDefault="00830E72">
                    <w:pPr>
                      <w:jc w:val="right"/>
                      <w:rPr>
                        <w:sz w:val="18"/>
                        <w:szCs w:val="18"/>
                      </w:rPr>
                    </w:pPr>
                  </w:p>
                </w:tc>
                <w:tc>
                  <w:tcPr>
                    <w:tcW w:w="1701" w:type="dxa"/>
                  </w:tcPr>
                  <w:p w14:paraId="2EC0EB85" w14:textId="77777777" w:rsidR="00830E72" w:rsidRDefault="00830E72">
                    <w:pPr>
                      <w:jc w:val="right"/>
                      <w:rPr>
                        <w:sz w:val="18"/>
                        <w:szCs w:val="18"/>
                      </w:rPr>
                    </w:pPr>
                  </w:p>
                </w:tc>
                <w:tc>
                  <w:tcPr>
                    <w:tcW w:w="1684" w:type="dxa"/>
                  </w:tcPr>
                  <w:p w14:paraId="3A182595" w14:textId="77777777" w:rsidR="00830E72" w:rsidRDefault="00830E72">
                    <w:pPr>
                      <w:jc w:val="right"/>
                      <w:rPr>
                        <w:sz w:val="18"/>
                        <w:szCs w:val="18"/>
                      </w:rPr>
                    </w:pPr>
                  </w:p>
                </w:tc>
              </w:tr>
              <w:tr w:rsidR="00830E72" w14:paraId="7EE78B86" w14:textId="77777777" w:rsidTr="00D44830">
                <w:trPr>
                  <w:trHeight w:val="20"/>
                </w:trPr>
                <w:sdt>
                  <w:sdtPr>
                    <w:tag w:val="_PLD_4815225e85794febad32622528b72229"/>
                    <w:id w:val="-985085362"/>
                    <w:lock w:val="sdtLocked"/>
                  </w:sdtPr>
                  <w:sdtEndPr/>
                  <w:sdtContent>
                    <w:tc>
                      <w:tcPr>
                        <w:tcW w:w="1503" w:type="dxa"/>
                      </w:tcPr>
                      <w:p w14:paraId="3AC52394" w14:textId="77777777" w:rsidR="00830E72" w:rsidRDefault="008344D8">
                        <w:pPr>
                          <w:rPr>
                            <w:sz w:val="18"/>
                            <w:szCs w:val="18"/>
                          </w:rPr>
                        </w:pPr>
                        <w:r>
                          <w:rPr>
                            <w:rFonts w:hint="eastAsia"/>
                            <w:sz w:val="18"/>
                            <w:szCs w:val="18"/>
                          </w:rPr>
                          <w:t>4</w:t>
                        </w:r>
                        <w:r>
                          <w:rPr>
                            <w:sz w:val="18"/>
                            <w:szCs w:val="18"/>
                          </w:rPr>
                          <w:t>．其他</w:t>
                        </w:r>
                      </w:p>
                    </w:tc>
                  </w:sdtContent>
                </w:sdt>
                <w:tc>
                  <w:tcPr>
                    <w:tcW w:w="1559" w:type="dxa"/>
                    <w:tcBorders>
                      <w:right w:val="single" w:sz="4" w:space="0" w:color="auto"/>
                    </w:tcBorders>
                  </w:tcPr>
                  <w:p w14:paraId="37F2AB20" w14:textId="77777777" w:rsidR="00830E72" w:rsidRDefault="00830E72">
                    <w:pPr>
                      <w:jc w:val="right"/>
                      <w:rPr>
                        <w:sz w:val="18"/>
                        <w:szCs w:val="18"/>
                      </w:rPr>
                    </w:pPr>
                  </w:p>
                </w:tc>
                <w:tc>
                  <w:tcPr>
                    <w:tcW w:w="567" w:type="dxa"/>
                    <w:tcBorders>
                      <w:left w:val="single" w:sz="4" w:space="0" w:color="auto"/>
                      <w:right w:val="single" w:sz="4" w:space="0" w:color="auto"/>
                    </w:tcBorders>
                  </w:tcPr>
                  <w:p w14:paraId="739BB39A" w14:textId="77777777" w:rsidR="00830E72" w:rsidRDefault="00830E72">
                    <w:pPr>
                      <w:jc w:val="right"/>
                      <w:rPr>
                        <w:sz w:val="18"/>
                        <w:szCs w:val="18"/>
                      </w:rPr>
                    </w:pPr>
                  </w:p>
                </w:tc>
                <w:tc>
                  <w:tcPr>
                    <w:tcW w:w="567" w:type="dxa"/>
                    <w:tcBorders>
                      <w:left w:val="single" w:sz="4" w:space="0" w:color="auto"/>
                      <w:right w:val="single" w:sz="4" w:space="0" w:color="auto"/>
                    </w:tcBorders>
                  </w:tcPr>
                  <w:p w14:paraId="37461800" w14:textId="77777777" w:rsidR="00830E72" w:rsidRDefault="00830E72">
                    <w:pPr>
                      <w:jc w:val="right"/>
                      <w:rPr>
                        <w:sz w:val="18"/>
                        <w:szCs w:val="18"/>
                      </w:rPr>
                    </w:pPr>
                  </w:p>
                </w:tc>
                <w:tc>
                  <w:tcPr>
                    <w:tcW w:w="396" w:type="dxa"/>
                    <w:tcBorders>
                      <w:left w:val="single" w:sz="4" w:space="0" w:color="auto"/>
                    </w:tcBorders>
                  </w:tcPr>
                  <w:p w14:paraId="171397FC" w14:textId="77777777" w:rsidR="00830E72" w:rsidRDefault="00830E72">
                    <w:pPr>
                      <w:jc w:val="right"/>
                      <w:rPr>
                        <w:sz w:val="18"/>
                        <w:szCs w:val="18"/>
                      </w:rPr>
                    </w:pPr>
                  </w:p>
                </w:tc>
                <w:tc>
                  <w:tcPr>
                    <w:tcW w:w="1560" w:type="dxa"/>
                  </w:tcPr>
                  <w:p w14:paraId="65BA6C2C" w14:textId="77777777" w:rsidR="00830E72" w:rsidRDefault="00830E72">
                    <w:pPr>
                      <w:jc w:val="right"/>
                      <w:rPr>
                        <w:sz w:val="18"/>
                        <w:szCs w:val="18"/>
                      </w:rPr>
                    </w:pPr>
                  </w:p>
                </w:tc>
                <w:tc>
                  <w:tcPr>
                    <w:tcW w:w="595" w:type="dxa"/>
                  </w:tcPr>
                  <w:p w14:paraId="3BD4B4B8" w14:textId="77777777" w:rsidR="00830E72" w:rsidRDefault="00830E72">
                    <w:pPr>
                      <w:jc w:val="right"/>
                      <w:rPr>
                        <w:sz w:val="18"/>
                        <w:szCs w:val="18"/>
                      </w:rPr>
                    </w:pPr>
                  </w:p>
                </w:tc>
                <w:tc>
                  <w:tcPr>
                    <w:tcW w:w="851" w:type="dxa"/>
                  </w:tcPr>
                  <w:p w14:paraId="6A25BD6D" w14:textId="77777777" w:rsidR="00830E72" w:rsidRDefault="00830E72">
                    <w:pPr>
                      <w:jc w:val="right"/>
                      <w:rPr>
                        <w:sz w:val="18"/>
                        <w:szCs w:val="18"/>
                      </w:rPr>
                    </w:pPr>
                  </w:p>
                </w:tc>
                <w:tc>
                  <w:tcPr>
                    <w:tcW w:w="1417" w:type="dxa"/>
                  </w:tcPr>
                  <w:p w14:paraId="44E0DC7C" w14:textId="77777777" w:rsidR="00830E72" w:rsidRDefault="00830E72">
                    <w:pPr>
                      <w:jc w:val="right"/>
                      <w:rPr>
                        <w:sz w:val="18"/>
                        <w:szCs w:val="18"/>
                      </w:rPr>
                    </w:pPr>
                  </w:p>
                </w:tc>
                <w:tc>
                  <w:tcPr>
                    <w:tcW w:w="1560" w:type="dxa"/>
                  </w:tcPr>
                  <w:p w14:paraId="01774B61" w14:textId="77777777" w:rsidR="00830E72" w:rsidRDefault="00830E72">
                    <w:pPr>
                      <w:jc w:val="right"/>
                      <w:rPr>
                        <w:sz w:val="18"/>
                        <w:szCs w:val="18"/>
                      </w:rPr>
                    </w:pPr>
                  </w:p>
                </w:tc>
                <w:tc>
                  <w:tcPr>
                    <w:tcW w:w="1701" w:type="dxa"/>
                  </w:tcPr>
                  <w:p w14:paraId="589382E8" w14:textId="77777777" w:rsidR="00830E72" w:rsidRDefault="00830E72">
                    <w:pPr>
                      <w:jc w:val="right"/>
                      <w:rPr>
                        <w:sz w:val="18"/>
                        <w:szCs w:val="18"/>
                      </w:rPr>
                    </w:pPr>
                  </w:p>
                </w:tc>
                <w:tc>
                  <w:tcPr>
                    <w:tcW w:w="1684" w:type="dxa"/>
                  </w:tcPr>
                  <w:p w14:paraId="2E11E0BD" w14:textId="77777777" w:rsidR="00830E72" w:rsidRDefault="00830E72">
                    <w:pPr>
                      <w:jc w:val="right"/>
                      <w:rPr>
                        <w:sz w:val="18"/>
                        <w:szCs w:val="18"/>
                      </w:rPr>
                    </w:pPr>
                  </w:p>
                </w:tc>
              </w:tr>
              <w:tr w:rsidR="00830E72" w14:paraId="58830A23" w14:textId="77777777" w:rsidTr="00D44830">
                <w:trPr>
                  <w:trHeight w:val="20"/>
                </w:trPr>
                <w:sdt>
                  <w:sdtPr>
                    <w:tag w:val="_PLD_1277678c10f343d5a55853e3552c21df"/>
                    <w:id w:val="2112150907"/>
                    <w:lock w:val="sdtLocked"/>
                  </w:sdtPr>
                  <w:sdtEndPr/>
                  <w:sdtContent>
                    <w:tc>
                      <w:tcPr>
                        <w:tcW w:w="1503" w:type="dxa"/>
                      </w:tcPr>
                      <w:p w14:paraId="13E07DDB" w14:textId="77777777" w:rsidR="00830E72" w:rsidRDefault="008344D8">
                        <w:pPr>
                          <w:rPr>
                            <w:sz w:val="18"/>
                            <w:szCs w:val="18"/>
                          </w:rPr>
                        </w:pPr>
                        <w:r>
                          <w:rPr>
                            <w:sz w:val="18"/>
                            <w:szCs w:val="18"/>
                          </w:rPr>
                          <w:t>（</w:t>
                        </w:r>
                        <w:r>
                          <w:rPr>
                            <w:rFonts w:hint="eastAsia"/>
                            <w:sz w:val="18"/>
                            <w:szCs w:val="18"/>
                          </w:rPr>
                          <w:t>三</w:t>
                        </w:r>
                        <w:r>
                          <w:rPr>
                            <w:sz w:val="18"/>
                            <w:szCs w:val="18"/>
                          </w:rPr>
                          <w:t>）利润分配</w:t>
                        </w:r>
                      </w:p>
                    </w:tc>
                  </w:sdtContent>
                </w:sdt>
                <w:tc>
                  <w:tcPr>
                    <w:tcW w:w="1559" w:type="dxa"/>
                    <w:tcBorders>
                      <w:right w:val="single" w:sz="4" w:space="0" w:color="auto"/>
                    </w:tcBorders>
                  </w:tcPr>
                  <w:p w14:paraId="2648FCDF" w14:textId="77777777" w:rsidR="00830E72" w:rsidRDefault="00830E72">
                    <w:pPr>
                      <w:jc w:val="right"/>
                      <w:rPr>
                        <w:sz w:val="18"/>
                        <w:szCs w:val="18"/>
                      </w:rPr>
                    </w:pPr>
                  </w:p>
                </w:tc>
                <w:tc>
                  <w:tcPr>
                    <w:tcW w:w="567" w:type="dxa"/>
                    <w:tcBorders>
                      <w:left w:val="single" w:sz="4" w:space="0" w:color="auto"/>
                      <w:right w:val="single" w:sz="4" w:space="0" w:color="auto"/>
                    </w:tcBorders>
                  </w:tcPr>
                  <w:p w14:paraId="5919C755" w14:textId="77777777" w:rsidR="00830E72" w:rsidRDefault="00830E72">
                    <w:pPr>
                      <w:jc w:val="right"/>
                      <w:rPr>
                        <w:sz w:val="18"/>
                        <w:szCs w:val="18"/>
                      </w:rPr>
                    </w:pPr>
                  </w:p>
                </w:tc>
                <w:tc>
                  <w:tcPr>
                    <w:tcW w:w="567" w:type="dxa"/>
                    <w:tcBorders>
                      <w:left w:val="single" w:sz="4" w:space="0" w:color="auto"/>
                      <w:right w:val="single" w:sz="4" w:space="0" w:color="auto"/>
                    </w:tcBorders>
                  </w:tcPr>
                  <w:p w14:paraId="4D00FD4B" w14:textId="77777777" w:rsidR="00830E72" w:rsidRDefault="00830E72">
                    <w:pPr>
                      <w:jc w:val="right"/>
                      <w:rPr>
                        <w:sz w:val="18"/>
                        <w:szCs w:val="18"/>
                      </w:rPr>
                    </w:pPr>
                  </w:p>
                </w:tc>
                <w:tc>
                  <w:tcPr>
                    <w:tcW w:w="396" w:type="dxa"/>
                    <w:tcBorders>
                      <w:left w:val="single" w:sz="4" w:space="0" w:color="auto"/>
                    </w:tcBorders>
                  </w:tcPr>
                  <w:p w14:paraId="3A01F1ED" w14:textId="77777777" w:rsidR="00830E72" w:rsidRDefault="00830E72">
                    <w:pPr>
                      <w:jc w:val="right"/>
                      <w:rPr>
                        <w:sz w:val="18"/>
                        <w:szCs w:val="18"/>
                      </w:rPr>
                    </w:pPr>
                  </w:p>
                </w:tc>
                <w:tc>
                  <w:tcPr>
                    <w:tcW w:w="1560" w:type="dxa"/>
                  </w:tcPr>
                  <w:p w14:paraId="77AAD61B" w14:textId="77777777" w:rsidR="00830E72" w:rsidRDefault="00830E72">
                    <w:pPr>
                      <w:jc w:val="right"/>
                      <w:rPr>
                        <w:sz w:val="18"/>
                        <w:szCs w:val="18"/>
                      </w:rPr>
                    </w:pPr>
                  </w:p>
                </w:tc>
                <w:tc>
                  <w:tcPr>
                    <w:tcW w:w="595" w:type="dxa"/>
                  </w:tcPr>
                  <w:p w14:paraId="6FE4AECF" w14:textId="77777777" w:rsidR="00830E72" w:rsidRDefault="00830E72">
                    <w:pPr>
                      <w:jc w:val="right"/>
                      <w:rPr>
                        <w:sz w:val="18"/>
                        <w:szCs w:val="18"/>
                      </w:rPr>
                    </w:pPr>
                  </w:p>
                </w:tc>
                <w:tc>
                  <w:tcPr>
                    <w:tcW w:w="851" w:type="dxa"/>
                  </w:tcPr>
                  <w:p w14:paraId="331335B5" w14:textId="77777777" w:rsidR="00830E72" w:rsidRDefault="00830E72">
                    <w:pPr>
                      <w:jc w:val="right"/>
                      <w:rPr>
                        <w:sz w:val="18"/>
                        <w:szCs w:val="18"/>
                      </w:rPr>
                    </w:pPr>
                  </w:p>
                </w:tc>
                <w:tc>
                  <w:tcPr>
                    <w:tcW w:w="1417" w:type="dxa"/>
                  </w:tcPr>
                  <w:p w14:paraId="030039FF" w14:textId="77777777" w:rsidR="00830E72" w:rsidRDefault="00830E72">
                    <w:pPr>
                      <w:jc w:val="right"/>
                      <w:rPr>
                        <w:sz w:val="18"/>
                        <w:szCs w:val="18"/>
                      </w:rPr>
                    </w:pPr>
                  </w:p>
                </w:tc>
                <w:tc>
                  <w:tcPr>
                    <w:tcW w:w="1560" w:type="dxa"/>
                  </w:tcPr>
                  <w:p w14:paraId="3ABDABED" w14:textId="77777777" w:rsidR="00830E72" w:rsidRDefault="00830E72">
                    <w:pPr>
                      <w:jc w:val="right"/>
                      <w:rPr>
                        <w:sz w:val="18"/>
                        <w:szCs w:val="18"/>
                      </w:rPr>
                    </w:pPr>
                  </w:p>
                </w:tc>
                <w:tc>
                  <w:tcPr>
                    <w:tcW w:w="1701" w:type="dxa"/>
                  </w:tcPr>
                  <w:p w14:paraId="19797719" w14:textId="77777777" w:rsidR="00830E72" w:rsidRDefault="008344D8">
                    <w:pPr>
                      <w:jc w:val="right"/>
                      <w:rPr>
                        <w:sz w:val="18"/>
                        <w:szCs w:val="18"/>
                      </w:rPr>
                    </w:pPr>
                    <w:r>
                      <w:rPr>
                        <w:sz w:val="18"/>
                        <w:szCs w:val="18"/>
                      </w:rPr>
                      <w:t>-29,940,000.00</w:t>
                    </w:r>
                  </w:p>
                </w:tc>
                <w:tc>
                  <w:tcPr>
                    <w:tcW w:w="1684" w:type="dxa"/>
                  </w:tcPr>
                  <w:p w14:paraId="63DAB5F3" w14:textId="77777777" w:rsidR="00830E72" w:rsidRDefault="008344D8">
                    <w:pPr>
                      <w:jc w:val="right"/>
                      <w:rPr>
                        <w:sz w:val="18"/>
                        <w:szCs w:val="18"/>
                      </w:rPr>
                    </w:pPr>
                    <w:r>
                      <w:rPr>
                        <w:sz w:val="18"/>
                        <w:szCs w:val="18"/>
                      </w:rPr>
                      <w:t>-29,940,000.00</w:t>
                    </w:r>
                  </w:p>
                </w:tc>
              </w:tr>
              <w:tr w:rsidR="00830E72" w14:paraId="16DED617" w14:textId="77777777" w:rsidTr="00D44830">
                <w:trPr>
                  <w:trHeight w:val="20"/>
                </w:trPr>
                <w:sdt>
                  <w:sdtPr>
                    <w:tag w:val="_PLD_6be0f6b7609247d98f239c435a57bdf2"/>
                    <w:id w:val="1459676797"/>
                    <w:lock w:val="sdtLocked"/>
                  </w:sdtPr>
                  <w:sdtEndPr/>
                  <w:sdtContent>
                    <w:tc>
                      <w:tcPr>
                        <w:tcW w:w="1503" w:type="dxa"/>
                      </w:tcPr>
                      <w:p w14:paraId="3628B8E8" w14:textId="77777777" w:rsidR="00830E72" w:rsidRDefault="008344D8">
                        <w:pPr>
                          <w:rPr>
                            <w:sz w:val="18"/>
                            <w:szCs w:val="18"/>
                          </w:rPr>
                        </w:pPr>
                        <w:r>
                          <w:rPr>
                            <w:sz w:val="18"/>
                            <w:szCs w:val="18"/>
                          </w:rPr>
                          <w:t>1．提取盈余公积</w:t>
                        </w:r>
                      </w:p>
                    </w:tc>
                  </w:sdtContent>
                </w:sdt>
                <w:tc>
                  <w:tcPr>
                    <w:tcW w:w="1559" w:type="dxa"/>
                    <w:tcBorders>
                      <w:right w:val="single" w:sz="4" w:space="0" w:color="auto"/>
                    </w:tcBorders>
                  </w:tcPr>
                  <w:p w14:paraId="534A6E1A" w14:textId="77777777" w:rsidR="00830E72" w:rsidRDefault="00830E72">
                    <w:pPr>
                      <w:jc w:val="right"/>
                      <w:rPr>
                        <w:sz w:val="18"/>
                        <w:szCs w:val="18"/>
                      </w:rPr>
                    </w:pPr>
                  </w:p>
                </w:tc>
                <w:tc>
                  <w:tcPr>
                    <w:tcW w:w="567" w:type="dxa"/>
                    <w:tcBorders>
                      <w:left w:val="single" w:sz="4" w:space="0" w:color="auto"/>
                      <w:right w:val="single" w:sz="4" w:space="0" w:color="auto"/>
                    </w:tcBorders>
                  </w:tcPr>
                  <w:p w14:paraId="696EC2C5" w14:textId="77777777" w:rsidR="00830E72" w:rsidRDefault="00830E72">
                    <w:pPr>
                      <w:jc w:val="right"/>
                      <w:rPr>
                        <w:sz w:val="18"/>
                        <w:szCs w:val="18"/>
                      </w:rPr>
                    </w:pPr>
                  </w:p>
                </w:tc>
                <w:tc>
                  <w:tcPr>
                    <w:tcW w:w="567" w:type="dxa"/>
                    <w:tcBorders>
                      <w:left w:val="single" w:sz="4" w:space="0" w:color="auto"/>
                      <w:right w:val="single" w:sz="4" w:space="0" w:color="auto"/>
                    </w:tcBorders>
                  </w:tcPr>
                  <w:p w14:paraId="5932EBE9" w14:textId="77777777" w:rsidR="00830E72" w:rsidRDefault="00830E72">
                    <w:pPr>
                      <w:jc w:val="right"/>
                      <w:rPr>
                        <w:sz w:val="18"/>
                        <w:szCs w:val="18"/>
                      </w:rPr>
                    </w:pPr>
                  </w:p>
                </w:tc>
                <w:tc>
                  <w:tcPr>
                    <w:tcW w:w="396" w:type="dxa"/>
                    <w:tcBorders>
                      <w:left w:val="single" w:sz="4" w:space="0" w:color="auto"/>
                    </w:tcBorders>
                  </w:tcPr>
                  <w:p w14:paraId="11913C83" w14:textId="77777777" w:rsidR="00830E72" w:rsidRDefault="00830E72">
                    <w:pPr>
                      <w:jc w:val="right"/>
                      <w:rPr>
                        <w:sz w:val="18"/>
                        <w:szCs w:val="18"/>
                      </w:rPr>
                    </w:pPr>
                  </w:p>
                </w:tc>
                <w:tc>
                  <w:tcPr>
                    <w:tcW w:w="1560" w:type="dxa"/>
                  </w:tcPr>
                  <w:p w14:paraId="0BCB3287" w14:textId="77777777" w:rsidR="00830E72" w:rsidRDefault="00830E72">
                    <w:pPr>
                      <w:jc w:val="right"/>
                      <w:rPr>
                        <w:sz w:val="18"/>
                        <w:szCs w:val="18"/>
                      </w:rPr>
                    </w:pPr>
                  </w:p>
                </w:tc>
                <w:tc>
                  <w:tcPr>
                    <w:tcW w:w="595" w:type="dxa"/>
                  </w:tcPr>
                  <w:p w14:paraId="0D5E1CB8" w14:textId="77777777" w:rsidR="00830E72" w:rsidRDefault="00830E72">
                    <w:pPr>
                      <w:jc w:val="right"/>
                      <w:rPr>
                        <w:sz w:val="18"/>
                        <w:szCs w:val="18"/>
                      </w:rPr>
                    </w:pPr>
                  </w:p>
                </w:tc>
                <w:tc>
                  <w:tcPr>
                    <w:tcW w:w="851" w:type="dxa"/>
                  </w:tcPr>
                  <w:p w14:paraId="6E8070BE" w14:textId="77777777" w:rsidR="00830E72" w:rsidRDefault="00830E72">
                    <w:pPr>
                      <w:jc w:val="right"/>
                      <w:rPr>
                        <w:sz w:val="18"/>
                        <w:szCs w:val="18"/>
                      </w:rPr>
                    </w:pPr>
                  </w:p>
                </w:tc>
                <w:tc>
                  <w:tcPr>
                    <w:tcW w:w="1417" w:type="dxa"/>
                  </w:tcPr>
                  <w:p w14:paraId="5072282D" w14:textId="77777777" w:rsidR="00830E72" w:rsidRDefault="00830E72">
                    <w:pPr>
                      <w:jc w:val="right"/>
                      <w:rPr>
                        <w:sz w:val="18"/>
                        <w:szCs w:val="18"/>
                      </w:rPr>
                    </w:pPr>
                  </w:p>
                </w:tc>
                <w:tc>
                  <w:tcPr>
                    <w:tcW w:w="1560" w:type="dxa"/>
                  </w:tcPr>
                  <w:p w14:paraId="467C29A1" w14:textId="77777777" w:rsidR="00830E72" w:rsidRDefault="00830E72">
                    <w:pPr>
                      <w:jc w:val="right"/>
                      <w:rPr>
                        <w:sz w:val="18"/>
                        <w:szCs w:val="18"/>
                      </w:rPr>
                    </w:pPr>
                  </w:p>
                </w:tc>
                <w:tc>
                  <w:tcPr>
                    <w:tcW w:w="1701" w:type="dxa"/>
                  </w:tcPr>
                  <w:p w14:paraId="2455D2D1" w14:textId="77777777" w:rsidR="00830E72" w:rsidRDefault="00830E72">
                    <w:pPr>
                      <w:jc w:val="right"/>
                      <w:rPr>
                        <w:sz w:val="18"/>
                        <w:szCs w:val="18"/>
                      </w:rPr>
                    </w:pPr>
                  </w:p>
                </w:tc>
                <w:tc>
                  <w:tcPr>
                    <w:tcW w:w="1684" w:type="dxa"/>
                  </w:tcPr>
                  <w:p w14:paraId="0B8560CA" w14:textId="77777777" w:rsidR="00830E72" w:rsidRDefault="00830E72">
                    <w:pPr>
                      <w:jc w:val="right"/>
                      <w:rPr>
                        <w:sz w:val="18"/>
                        <w:szCs w:val="18"/>
                      </w:rPr>
                    </w:pPr>
                  </w:p>
                </w:tc>
              </w:tr>
              <w:tr w:rsidR="00830E72" w14:paraId="773D30AA" w14:textId="77777777" w:rsidTr="00D44830">
                <w:trPr>
                  <w:trHeight w:val="20"/>
                </w:trPr>
                <w:sdt>
                  <w:sdtPr>
                    <w:tag w:val="_PLD_b4a66855afc2407cbaf93baeafe0ad7f"/>
                    <w:id w:val="-1251037490"/>
                    <w:lock w:val="sdtLocked"/>
                  </w:sdtPr>
                  <w:sdtEndPr/>
                  <w:sdtContent>
                    <w:tc>
                      <w:tcPr>
                        <w:tcW w:w="1503" w:type="dxa"/>
                      </w:tcPr>
                      <w:p w14:paraId="7DC7E660" w14:textId="77777777" w:rsidR="00830E72" w:rsidRDefault="008344D8">
                        <w:pPr>
                          <w:rPr>
                            <w:sz w:val="18"/>
                            <w:szCs w:val="18"/>
                          </w:rPr>
                        </w:pPr>
                        <w:r>
                          <w:rPr>
                            <w:rFonts w:hint="eastAsia"/>
                            <w:sz w:val="18"/>
                            <w:szCs w:val="18"/>
                          </w:rPr>
                          <w:t>2</w:t>
                        </w:r>
                        <w:r>
                          <w:rPr>
                            <w:sz w:val="18"/>
                            <w:szCs w:val="18"/>
                          </w:rPr>
                          <w:t>．对所有者（或股东）的分配</w:t>
                        </w:r>
                      </w:p>
                    </w:tc>
                  </w:sdtContent>
                </w:sdt>
                <w:tc>
                  <w:tcPr>
                    <w:tcW w:w="1559" w:type="dxa"/>
                    <w:tcBorders>
                      <w:right w:val="single" w:sz="4" w:space="0" w:color="auto"/>
                    </w:tcBorders>
                  </w:tcPr>
                  <w:p w14:paraId="78DDEFA7" w14:textId="77777777" w:rsidR="00830E72" w:rsidRDefault="00830E72">
                    <w:pPr>
                      <w:jc w:val="right"/>
                      <w:rPr>
                        <w:sz w:val="18"/>
                        <w:szCs w:val="18"/>
                      </w:rPr>
                    </w:pPr>
                  </w:p>
                </w:tc>
                <w:tc>
                  <w:tcPr>
                    <w:tcW w:w="567" w:type="dxa"/>
                    <w:tcBorders>
                      <w:left w:val="single" w:sz="4" w:space="0" w:color="auto"/>
                      <w:right w:val="single" w:sz="4" w:space="0" w:color="auto"/>
                    </w:tcBorders>
                  </w:tcPr>
                  <w:p w14:paraId="753FC064" w14:textId="77777777" w:rsidR="00830E72" w:rsidRDefault="00830E72">
                    <w:pPr>
                      <w:jc w:val="right"/>
                      <w:rPr>
                        <w:sz w:val="18"/>
                        <w:szCs w:val="18"/>
                      </w:rPr>
                    </w:pPr>
                  </w:p>
                </w:tc>
                <w:tc>
                  <w:tcPr>
                    <w:tcW w:w="567" w:type="dxa"/>
                    <w:tcBorders>
                      <w:left w:val="single" w:sz="4" w:space="0" w:color="auto"/>
                      <w:right w:val="single" w:sz="4" w:space="0" w:color="auto"/>
                    </w:tcBorders>
                  </w:tcPr>
                  <w:p w14:paraId="29C4BDBB" w14:textId="77777777" w:rsidR="00830E72" w:rsidRDefault="00830E72">
                    <w:pPr>
                      <w:jc w:val="right"/>
                      <w:rPr>
                        <w:sz w:val="18"/>
                        <w:szCs w:val="18"/>
                      </w:rPr>
                    </w:pPr>
                  </w:p>
                </w:tc>
                <w:tc>
                  <w:tcPr>
                    <w:tcW w:w="396" w:type="dxa"/>
                    <w:tcBorders>
                      <w:left w:val="single" w:sz="4" w:space="0" w:color="auto"/>
                    </w:tcBorders>
                  </w:tcPr>
                  <w:p w14:paraId="7BAF7D15" w14:textId="77777777" w:rsidR="00830E72" w:rsidRDefault="00830E72">
                    <w:pPr>
                      <w:jc w:val="right"/>
                      <w:rPr>
                        <w:sz w:val="18"/>
                        <w:szCs w:val="18"/>
                      </w:rPr>
                    </w:pPr>
                  </w:p>
                </w:tc>
                <w:tc>
                  <w:tcPr>
                    <w:tcW w:w="1560" w:type="dxa"/>
                  </w:tcPr>
                  <w:p w14:paraId="165E79C7" w14:textId="77777777" w:rsidR="00830E72" w:rsidRDefault="00830E72">
                    <w:pPr>
                      <w:jc w:val="right"/>
                      <w:rPr>
                        <w:sz w:val="18"/>
                        <w:szCs w:val="18"/>
                      </w:rPr>
                    </w:pPr>
                  </w:p>
                </w:tc>
                <w:tc>
                  <w:tcPr>
                    <w:tcW w:w="595" w:type="dxa"/>
                  </w:tcPr>
                  <w:p w14:paraId="4172978B" w14:textId="77777777" w:rsidR="00830E72" w:rsidRDefault="00830E72">
                    <w:pPr>
                      <w:jc w:val="right"/>
                      <w:rPr>
                        <w:sz w:val="18"/>
                        <w:szCs w:val="18"/>
                      </w:rPr>
                    </w:pPr>
                  </w:p>
                </w:tc>
                <w:tc>
                  <w:tcPr>
                    <w:tcW w:w="851" w:type="dxa"/>
                  </w:tcPr>
                  <w:p w14:paraId="642C7793" w14:textId="77777777" w:rsidR="00830E72" w:rsidRDefault="00830E72">
                    <w:pPr>
                      <w:jc w:val="right"/>
                      <w:rPr>
                        <w:sz w:val="18"/>
                        <w:szCs w:val="18"/>
                      </w:rPr>
                    </w:pPr>
                  </w:p>
                </w:tc>
                <w:tc>
                  <w:tcPr>
                    <w:tcW w:w="1417" w:type="dxa"/>
                  </w:tcPr>
                  <w:p w14:paraId="18F43891" w14:textId="77777777" w:rsidR="00830E72" w:rsidRDefault="00830E72">
                    <w:pPr>
                      <w:jc w:val="right"/>
                      <w:rPr>
                        <w:sz w:val="18"/>
                        <w:szCs w:val="18"/>
                      </w:rPr>
                    </w:pPr>
                  </w:p>
                </w:tc>
                <w:tc>
                  <w:tcPr>
                    <w:tcW w:w="1560" w:type="dxa"/>
                  </w:tcPr>
                  <w:p w14:paraId="6C2AD74F" w14:textId="77777777" w:rsidR="00830E72" w:rsidRDefault="00830E72">
                    <w:pPr>
                      <w:jc w:val="right"/>
                      <w:rPr>
                        <w:sz w:val="18"/>
                        <w:szCs w:val="18"/>
                      </w:rPr>
                    </w:pPr>
                  </w:p>
                </w:tc>
                <w:tc>
                  <w:tcPr>
                    <w:tcW w:w="1701" w:type="dxa"/>
                  </w:tcPr>
                  <w:p w14:paraId="4292DA39" w14:textId="77777777" w:rsidR="00830E72" w:rsidRDefault="008344D8">
                    <w:pPr>
                      <w:jc w:val="right"/>
                      <w:rPr>
                        <w:sz w:val="18"/>
                        <w:szCs w:val="18"/>
                      </w:rPr>
                    </w:pPr>
                    <w:r>
                      <w:rPr>
                        <w:sz w:val="18"/>
                        <w:szCs w:val="18"/>
                      </w:rPr>
                      <w:t>-29,940,000.00</w:t>
                    </w:r>
                  </w:p>
                </w:tc>
                <w:tc>
                  <w:tcPr>
                    <w:tcW w:w="1684" w:type="dxa"/>
                  </w:tcPr>
                  <w:p w14:paraId="16CAA589" w14:textId="77777777" w:rsidR="00830E72" w:rsidRDefault="008344D8">
                    <w:pPr>
                      <w:jc w:val="right"/>
                      <w:rPr>
                        <w:sz w:val="18"/>
                        <w:szCs w:val="18"/>
                      </w:rPr>
                    </w:pPr>
                    <w:r>
                      <w:rPr>
                        <w:sz w:val="18"/>
                        <w:szCs w:val="18"/>
                      </w:rPr>
                      <w:t>-29,940,000.00</w:t>
                    </w:r>
                  </w:p>
                </w:tc>
              </w:tr>
              <w:tr w:rsidR="00830E72" w14:paraId="0D394056" w14:textId="77777777" w:rsidTr="00D44830">
                <w:trPr>
                  <w:trHeight w:val="20"/>
                </w:trPr>
                <w:sdt>
                  <w:sdtPr>
                    <w:tag w:val="_PLD_f35184bd1aa14b32a781b0ed9b526ffe"/>
                    <w:id w:val="-1200317697"/>
                    <w:lock w:val="sdtLocked"/>
                  </w:sdtPr>
                  <w:sdtEndPr/>
                  <w:sdtContent>
                    <w:tc>
                      <w:tcPr>
                        <w:tcW w:w="1503" w:type="dxa"/>
                      </w:tcPr>
                      <w:p w14:paraId="0180D6EF" w14:textId="77777777" w:rsidR="00830E72" w:rsidRDefault="008344D8">
                        <w:pPr>
                          <w:rPr>
                            <w:sz w:val="18"/>
                            <w:szCs w:val="18"/>
                          </w:rPr>
                        </w:pPr>
                        <w:r>
                          <w:rPr>
                            <w:rFonts w:hint="eastAsia"/>
                            <w:sz w:val="18"/>
                            <w:szCs w:val="18"/>
                          </w:rPr>
                          <w:t>3</w:t>
                        </w:r>
                        <w:r>
                          <w:rPr>
                            <w:sz w:val="18"/>
                            <w:szCs w:val="18"/>
                          </w:rPr>
                          <w:t>．其他</w:t>
                        </w:r>
                      </w:p>
                    </w:tc>
                  </w:sdtContent>
                </w:sdt>
                <w:tc>
                  <w:tcPr>
                    <w:tcW w:w="1559" w:type="dxa"/>
                    <w:tcBorders>
                      <w:right w:val="single" w:sz="4" w:space="0" w:color="auto"/>
                    </w:tcBorders>
                  </w:tcPr>
                  <w:p w14:paraId="46C234F6" w14:textId="77777777" w:rsidR="00830E72" w:rsidRDefault="00830E72">
                    <w:pPr>
                      <w:jc w:val="right"/>
                      <w:rPr>
                        <w:sz w:val="18"/>
                        <w:szCs w:val="18"/>
                      </w:rPr>
                    </w:pPr>
                  </w:p>
                </w:tc>
                <w:tc>
                  <w:tcPr>
                    <w:tcW w:w="567" w:type="dxa"/>
                    <w:tcBorders>
                      <w:left w:val="single" w:sz="4" w:space="0" w:color="auto"/>
                      <w:right w:val="single" w:sz="4" w:space="0" w:color="auto"/>
                    </w:tcBorders>
                  </w:tcPr>
                  <w:p w14:paraId="2376ACAB" w14:textId="77777777" w:rsidR="00830E72" w:rsidRDefault="00830E72">
                    <w:pPr>
                      <w:jc w:val="right"/>
                      <w:rPr>
                        <w:sz w:val="18"/>
                        <w:szCs w:val="18"/>
                      </w:rPr>
                    </w:pPr>
                  </w:p>
                </w:tc>
                <w:tc>
                  <w:tcPr>
                    <w:tcW w:w="567" w:type="dxa"/>
                    <w:tcBorders>
                      <w:left w:val="single" w:sz="4" w:space="0" w:color="auto"/>
                      <w:right w:val="single" w:sz="4" w:space="0" w:color="auto"/>
                    </w:tcBorders>
                  </w:tcPr>
                  <w:p w14:paraId="1ACADF42" w14:textId="77777777" w:rsidR="00830E72" w:rsidRDefault="00830E72">
                    <w:pPr>
                      <w:jc w:val="right"/>
                      <w:rPr>
                        <w:sz w:val="18"/>
                        <w:szCs w:val="18"/>
                      </w:rPr>
                    </w:pPr>
                  </w:p>
                </w:tc>
                <w:tc>
                  <w:tcPr>
                    <w:tcW w:w="396" w:type="dxa"/>
                    <w:tcBorders>
                      <w:left w:val="single" w:sz="4" w:space="0" w:color="auto"/>
                    </w:tcBorders>
                  </w:tcPr>
                  <w:p w14:paraId="73E3B739" w14:textId="77777777" w:rsidR="00830E72" w:rsidRDefault="00830E72">
                    <w:pPr>
                      <w:jc w:val="right"/>
                      <w:rPr>
                        <w:sz w:val="18"/>
                        <w:szCs w:val="18"/>
                      </w:rPr>
                    </w:pPr>
                  </w:p>
                </w:tc>
                <w:tc>
                  <w:tcPr>
                    <w:tcW w:w="1560" w:type="dxa"/>
                  </w:tcPr>
                  <w:p w14:paraId="01F8F428" w14:textId="77777777" w:rsidR="00830E72" w:rsidRDefault="00830E72">
                    <w:pPr>
                      <w:jc w:val="right"/>
                      <w:rPr>
                        <w:sz w:val="18"/>
                        <w:szCs w:val="18"/>
                      </w:rPr>
                    </w:pPr>
                  </w:p>
                </w:tc>
                <w:tc>
                  <w:tcPr>
                    <w:tcW w:w="595" w:type="dxa"/>
                  </w:tcPr>
                  <w:p w14:paraId="46BB4C1E" w14:textId="77777777" w:rsidR="00830E72" w:rsidRDefault="00830E72">
                    <w:pPr>
                      <w:jc w:val="right"/>
                      <w:rPr>
                        <w:sz w:val="18"/>
                        <w:szCs w:val="18"/>
                      </w:rPr>
                    </w:pPr>
                  </w:p>
                </w:tc>
                <w:tc>
                  <w:tcPr>
                    <w:tcW w:w="851" w:type="dxa"/>
                  </w:tcPr>
                  <w:p w14:paraId="1A63ED79" w14:textId="77777777" w:rsidR="00830E72" w:rsidRDefault="00830E72">
                    <w:pPr>
                      <w:jc w:val="right"/>
                      <w:rPr>
                        <w:sz w:val="18"/>
                        <w:szCs w:val="18"/>
                      </w:rPr>
                    </w:pPr>
                  </w:p>
                </w:tc>
                <w:tc>
                  <w:tcPr>
                    <w:tcW w:w="1417" w:type="dxa"/>
                  </w:tcPr>
                  <w:p w14:paraId="069A0BE2" w14:textId="77777777" w:rsidR="00830E72" w:rsidRDefault="00830E72">
                    <w:pPr>
                      <w:jc w:val="right"/>
                      <w:rPr>
                        <w:sz w:val="18"/>
                        <w:szCs w:val="18"/>
                      </w:rPr>
                    </w:pPr>
                  </w:p>
                </w:tc>
                <w:tc>
                  <w:tcPr>
                    <w:tcW w:w="1560" w:type="dxa"/>
                  </w:tcPr>
                  <w:p w14:paraId="5EC6972B" w14:textId="77777777" w:rsidR="00830E72" w:rsidRDefault="00830E72">
                    <w:pPr>
                      <w:jc w:val="right"/>
                      <w:rPr>
                        <w:sz w:val="18"/>
                        <w:szCs w:val="18"/>
                      </w:rPr>
                    </w:pPr>
                  </w:p>
                </w:tc>
                <w:tc>
                  <w:tcPr>
                    <w:tcW w:w="1701" w:type="dxa"/>
                  </w:tcPr>
                  <w:p w14:paraId="03A24410" w14:textId="77777777" w:rsidR="00830E72" w:rsidRDefault="00830E72">
                    <w:pPr>
                      <w:jc w:val="right"/>
                      <w:rPr>
                        <w:sz w:val="18"/>
                        <w:szCs w:val="18"/>
                      </w:rPr>
                    </w:pPr>
                  </w:p>
                </w:tc>
                <w:tc>
                  <w:tcPr>
                    <w:tcW w:w="1684" w:type="dxa"/>
                  </w:tcPr>
                  <w:p w14:paraId="0319BB76" w14:textId="77777777" w:rsidR="00830E72" w:rsidRDefault="00830E72">
                    <w:pPr>
                      <w:jc w:val="right"/>
                      <w:rPr>
                        <w:sz w:val="18"/>
                        <w:szCs w:val="18"/>
                      </w:rPr>
                    </w:pPr>
                  </w:p>
                </w:tc>
              </w:tr>
              <w:tr w:rsidR="00830E72" w14:paraId="7E4A1A83" w14:textId="77777777" w:rsidTr="00D44830">
                <w:trPr>
                  <w:trHeight w:val="20"/>
                </w:trPr>
                <w:sdt>
                  <w:sdtPr>
                    <w:tag w:val="_PLD_377c539e51b74e8689b49d91a30d6a9f"/>
                    <w:id w:val="-379629693"/>
                    <w:lock w:val="sdtLocked"/>
                  </w:sdtPr>
                  <w:sdtEndPr/>
                  <w:sdtContent>
                    <w:tc>
                      <w:tcPr>
                        <w:tcW w:w="1503" w:type="dxa"/>
                      </w:tcPr>
                      <w:p w14:paraId="6865EBFF" w14:textId="77777777" w:rsidR="00830E72" w:rsidRDefault="008344D8">
                        <w:pPr>
                          <w:rPr>
                            <w:sz w:val="18"/>
                            <w:szCs w:val="18"/>
                          </w:rPr>
                        </w:pPr>
                        <w:r>
                          <w:rPr>
                            <w:sz w:val="18"/>
                            <w:szCs w:val="18"/>
                          </w:rPr>
                          <w:t>（</w:t>
                        </w:r>
                        <w:r>
                          <w:rPr>
                            <w:rFonts w:hint="eastAsia"/>
                            <w:sz w:val="18"/>
                            <w:szCs w:val="18"/>
                          </w:rPr>
                          <w:t>四</w:t>
                        </w:r>
                        <w:r>
                          <w:rPr>
                            <w:sz w:val="18"/>
                            <w:szCs w:val="18"/>
                          </w:rPr>
                          <w:t>）所有者权益内部结转</w:t>
                        </w:r>
                      </w:p>
                    </w:tc>
                  </w:sdtContent>
                </w:sdt>
                <w:tc>
                  <w:tcPr>
                    <w:tcW w:w="1559" w:type="dxa"/>
                    <w:tcBorders>
                      <w:right w:val="single" w:sz="4" w:space="0" w:color="auto"/>
                    </w:tcBorders>
                  </w:tcPr>
                  <w:p w14:paraId="291B94C8" w14:textId="77777777" w:rsidR="00830E72" w:rsidRDefault="00830E72">
                    <w:pPr>
                      <w:jc w:val="right"/>
                      <w:rPr>
                        <w:sz w:val="18"/>
                        <w:szCs w:val="18"/>
                      </w:rPr>
                    </w:pPr>
                  </w:p>
                </w:tc>
                <w:tc>
                  <w:tcPr>
                    <w:tcW w:w="567" w:type="dxa"/>
                    <w:tcBorders>
                      <w:left w:val="single" w:sz="4" w:space="0" w:color="auto"/>
                      <w:right w:val="single" w:sz="4" w:space="0" w:color="auto"/>
                    </w:tcBorders>
                  </w:tcPr>
                  <w:p w14:paraId="22279094" w14:textId="77777777" w:rsidR="00830E72" w:rsidRDefault="00830E72">
                    <w:pPr>
                      <w:jc w:val="right"/>
                      <w:rPr>
                        <w:sz w:val="18"/>
                        <w:szCs w:val="18"/>
                      </w:rPr>
                    </w:pPr>
                  </w:p>
                </w:tc>
                <w:tc>
                  <w:tcPr>
                    <w:tcW w:w="567" w:type="dxa"/>
                    <w:tcBorders>
                      <w:left w:val="single" w:sz="4" w:space="0" w:color="auto"/>
                      <w:right w:val="single" w:sz="4" w:space="0" w:color="auto"/>
                    </w:tcBorders>
                  </w:tcPr>
                  <w:p w14:paraId="62E24206" w14:textId="77777777" w:rsidR="00830E72" w:rsidRDefault="00830E72">
                    <w:pPr>
                      <w:jc w:val="right"/>
                      <w:rPr>
                        <w:sz w:val="18"/>
                        <w:szCs w:val="18"/>
                      </w:rPr>
                    </w:pPr>
                  </w:p>
                </w:tc>
                <w:tc>
                  <w:tcPr>
                    <w:tcW w:w="396" w:type="dxa"/>
                    <w:tcBorders>
                      <w:left w:val="single" w:sz="4" w:space="0" w:color="auto"/>
                    </w:tcBorders>
                  </w:tcPr>
                  <w:p w14:paraId="1D0BCC3B" w14:textId="77777777" w:rsidR="00830E72" w:rsidRDefault="00830E72">
                    <w:pPr>
                      <w:jc w:val="right"/>
                      <w:rPr>
                        <w:sz w:val="18"/>
                        <w:szCs w:val="18"/>
                      </w:rPr>
                    </w:pPr>
                  </w:p>
                </w:tc>
                <w:tc>
                  <w:tcPr>
                    <w:tcW w:w="1560" w:type="dxa"/>
                  </w:tcPr>
                  <w:p w14:paraId="68A6A40F" w14:textId="77777777" w:rsidR="00830E72" w:rsidRDefault="00830E72">
                    <w:pPr>
                      <w:jc w:val="right"/>
                      <w:rPr>
                        <w:sz w:val="18"/>
                        <w:szCs w:val="18"/>
                      </w:rPr>
                    </w:pPr>
                  </w:p>
                </w:tc>
                <w:tc>
                  <w:tcPr>
                    <w:tcW w:w="595" w:type="dxa"/>
                  </w:tcPr>
                  <w:p w14:paraId="5BF0CF3B" w14:textId="77777777" w:rsidR="00830E72" w:rsidRDefault="00830E72">
                    <w:pPr>
                      <w:jc w:val="right"/>
                      <w:rPr>
                        <w:sz w:val="18"/>
                        <w:szCs w:val="18"/>
                      </w:rPr>
                    </w:pPr>
                  </w:p>
                </w:tc>
                <w:tc>
                  <w:tcPr>
                    <w:tcW w:w="851" w:type="dxa"/>
                  </w:tcPr>
                  <w:p w14:paraId="404AE6F8" w14:textId="77777777" w:rsidR="00830E72" w:rsidRDefault="00830E72">
                    <w:pPr>
                      <w:jc w:val="right"/>
                      <w:rPr>
                        <w:sz w:val="18"/>
                        <w:szCs w:val="18"/>
                      </w:rPr>
                    </w:pPr>
                  </w:p>
                </w:tc>
                <w:tc>
                  <w:tcPr>
                    <w:tcW w:w="1417" w:type="dxa"/>
                  </w:tcPr>
                  <w:p w14:paraId="148B9E73" w14:textId="77777777" w:rsidR="00830E72" w:rsidRDefault="00830E72">
                    <w:pPr>
                      <w:jc w:val="right"/>
                      <w:rPr>
                        <w:sz w:val="18"/>
                        <w:szCs w:val="18"/>
                      </w:rPr>
                    </w:pPr>
                  </w:p>
                </w:tc>
                <w:tc>
                  <w:tcPr>
                    <w:tcW w:w="1560" w:type="dxa"/>
                  </w:tcPr>
                  <w:p w14:paraId="4B4A59E6" w14:textId="77777777" w:rsidR="00830E72" w:rsidRDefault="00830E72">
                    <w:pPr>
                      <w:jc w:val="right"/>
                      <w:rPr>
                        <w:sz w:val="18"/>
                        <w:szCs w:val="18"/>
                      </w:rPr>
                    </w:pPr>
                  </w:p>
                </w:tc>
                <w:tc>
                  <w:tcPr>
                    <w:tcW w:w="1701" w:type="dxa"/>
                  </w:tcPr>
                  <w:p w14:paraId="7E67A843" w14:textId="77777777" w:rsidR="00830E72" w:rsidRDefault="00830E72">
                    <w:pPr>
                      <w:jc w:val="right"/>
                      <w:rPr>
                        <w:sz w:val="18"/>
                        <w:szCs w:val="18"/>
                      </w:rPr>
                    </w:pPr>
                  </w:p>
                </w:tc>
                <w:tc>
                  <w:tcPr>
                    <w:tcW w:w="1684" w:type="dxa"/>
                  </w:tcPr>
                  <w:p w14:paraId="69AF1F21" w14:textId="77777777" w:rsidR="00830E72" w:rsidRDefault="00830E72">
                    <w:pPr>
                      <w:jc w:val="right"/>
                      <w:rPr>
                        <w:sz w:val="18"/>
                        <w:szCs w:val="18"/>
                      </w:rPr>
                    </w:pPr>
                  </w:p>
                </w:tc>
              </w:tr>
              <w:tr w:rsidR="00830E72" w14:paraId="62CD0353" w14:textId="77777777" w:rsidTr="00D44830">
                <w:trPr>
                  <w:trHeight w:val="20"/>
                </w:trPr>
                <w:sdt>
                  <w:sdtPr>
                    <w:tag w:val="_PLD_9d82304ad85542d89ad56bdebdedd7c5"/>
                    <w:id w:val="1538012952"/>
                    <w:lock w:val="sdtLocked"/>
                  </w:sdtPr>
                  <w:sdtEndPr/>
                  <w:sdtContent>
                    <w:tc>
                      <w:tcPr>
                        <w:tcW w:w="1503" w:type="dxa"/>
                      </w:tcPr>
                      <w:p w14:paraId="7BE81882" w14:textId="77777777" w:rsidR="00830E72" w:rsidRDefault="008344D8">
                        <w:pPr>
                          <w:rPr>
                            <w:sz w:val="18"/>
                            <w:szCs w:val="18"/>
                          </w:rPr>
                        </w:pPr>
                        <w:r>
                          <w:rPr>
                            <w:sz w:val="18"/>
                            <w:szCs w:val="18"/>
                          </w:rPr>
                          <w:t>1．资本公积转增资本（或股本）</w:t>
                        </w:r>
                      </w:p>
                    </w:tc>
                  </w:sdtContent>
                </w:sdt>
                <w:tc>
                  <w:tcPr>
                    <w:tcW w:w="1559" w:type="dxa"/>
                    <w:tcBorders>
                      <w:right w:val="single" w:sz="4" w:space="0" w:color="auto"/>
                    </w:tcBorders>
                  </w:tcPr>
                  <w:p w14:paraId="12013C6C" w14:textId="77777777" w:rsidR="00830E72" w:rsidRDefault="00830E72">
                    <w:pPr>
                      <w:jc w:val="right"/>
                      <w:rPr>
                        <w:sz w:val="18"/>
                        <w:szCs w:val="18"/>
                      </w:rPr>
                    </w:pPr>
                  </w:p>
                </w:tc>
                <w:tc>
                  <w:tcPr>
                    <w:tcW w:w="567" w:type="dxa"/>
                    <w:tcBorders>
                      <w:left w:val="single" w:sz="4" w:space="0" w:color="auto"/>
                      <w:right w:val="single" w:sz="4" w:space="0" w:color="auto"/>
                    </w:tcBorders>
                  </w:tcPr>
                  <w:p w14:paraId="5477C530" w14:textId="77777777" w:rsidR="00830E72" w:rsidRDefault="00830E72">
                    <w:pPr>
                      <w:jc w:val="right"/>
                      <w:rPr>
                        <w:sz w:val="18"/>
                        <w:szCs w:val="18"/>
                      </w:rPr>
                    </w:pPr>
                  </w:p>
                </w:tc>
                <w:tc>
                  <w:tcPr>
                    <w:tcW w:w="567" w:type="dxa"/>
                    <w:tcBorders>
                      <w:left w:val="single" w:sz="4" w:space="0" w:color="auto"/>
                      <w:right w:val="single" w:sz="4" w:space="0" w:color="auto"/>
                    </w:tcBorders>
                  </w:tcPr>
                  <w:p w14:paraId="11D4A6FF" w14:textId="77777777" w:rsidR="00830E72" w:rsidRDefault="00830E72">
                    <w:pPr>
                      <w:jc w:val="right"/>
                      <w:rPr>
                        <w:sz w:val="18"/>
                        <w:szCs w:val="18"/>
                      </w:rPr>
                    </w:pPr>
                  </w:p>
                </w:tc>
                <w:tc>
                  <w:tcPr>
                    <w:tcW w:w="396" w:type="dxa"/>
                    <w:tcBorders>
                      <w:left w:val="single" w:sz="4" w:space="0" w:color="auto"/>
                    </w:tcBorders>
                  </w:tcPr>
                  <w:p w14:paraId="26172EF9" w14:textId="77777777" w:rsidR="00830E72" w:rsidRDefault="00830E72">
                    <w:pPr>
                      <w:jc w:val="right"/>
                      <w:rPr>
                        <w:sz w:val="18"/>
                        <w:szCs w:val="18"/>
                      </w:rPr>
                    </w:pPr>
                  </w:p>
                </w:tc>
                <w:tc>
                  <w:tcPr>
                    <w:tcW w:w="1560" w:type="dxa"/>
                  </w:tcPr>
                  <w:p w14:paraId="6271D1FC" w14:textId="77777777" w:rsidR="00830E72" w:rsidRDefault="00830E72">
                    <w:pPr>
                      <w:jc w:val="right"/>
                      <w:rPr>
                        <w:sz w:val="18"/>
                        <w:szCs w:val="18"/>
                      </w:rPr>
                    </w:pPr>
                  </w:p>
                </w:tc>
                <w:tc>
                  <w:tcPr>
                    <w:tcW w:w="595" w:type="dxa"/>
                  </w:tcPr>
                  <w:p w14:paraId="43918DFC" w14:textId="77777777" w:rsidR="00830E72" w:rsidRDefault="00830E72">
                    <w:pPr>
                      <w:jc w:val="right"/>
                      <w:rPr>
                        <w:sz w:val="18"/>
                        <w:szCs w:val="18"/>
                      </w:rPr>
                    </w:pPr>
                  </w:p>
                </w:tc>
                <w:tc>
                  <w:tcPr>
                    <w:tcW w:w="851" w:type="dxa"/>
                  </w:tcPr>
                  <w:p w14:paraId="4200C36E" w14:textId="77777777" w:rsidR="00830E72" w:rsidRDefault="00830E72">
                    <w:pPr>
                      <w:jc w:val="right"/>
                      <w:rPr>
                        <w:sz w:val="18"/>
                        <w:szCs w:val="18"/>
                      </w:rPr>
                    </w:pPr>
                  </w:p>
                </w:tc>
                <w:tc>
                  <w:tcPr>
                    <w:tcW w:w="1417" w:type="dxa"/>
                  </w:tcPr>
                  <w:p w14:paraId="3256265B" w14:textId="77777777" w:rsidR="00830E72" w:rsidRDefault="00830E72">
                    <w:pPr>
                      <w:jc w:val="right"/>
                      <w:rPr>
                        <w:sz w:val="18"/>
                        <w:szCs w:val="18"/>
                      </w:rPr>
                    </w:pPr>
                  </w:p>
                </w:tc>
                <w:tc>
                  <w:tcPr>
                    <w:tcW w:w="1560" w:type="dxa"/>
                  </w:tcPr>
                  <w:p w14:paraId="2E0A5145" w14:textId="77777777" w:rsidR="00830E72" w:rsidRDefault="00830E72">
                    <w:pPr>
                      <w:jc w:val="right"/>
                      <w:rPr>
                        <w:sz w:val="18"/>
                        <w:szCs w:val="18"/>
                      </w:rPr>
                    </w:pPr>
                  </w:p>
                </w:tc>
                <w:tc>
                  <w:tcPr>
                    <w:tcW w:w="1701" w:type="dxa"/>
                  </w:tcPr>
                  <w:p w14:paraId="5CDC803B" w14:textId="77777777" w:rsidR="00830E72" w:rsidRDefault="00830E72">
                    <w:pPr>
                      <w:jc w:val="right"/>
                      <w:rPr>
                        <w:sz w:val="18"/>
                        <w:szCs w:val="18"/>
                      </w:rPr>
                    </w:pPr>
                  </w:p>
                </w:tc>
                <w:tc>
                  <w:tcPr>
                    <w:tcW w:w="1684" w:type="dxa"/>
                  </w:tcPr>
                  <w:p w14:paraId="1230522B" w14:textId="77777777" w:rsidR="00830E72" w:rsidRDefault="00830E72">
                    <w:pPr>
                      <w:jc w:val="right"/>
                      <w:rPr>
                        <w:sz w:val="18"/>
                        <w:szCs w:val="18"/>
                      </w:rPr>
                    </w:pPr>
                  </w:p>
                </w:tc>
              </w:tr>
              <w:tr w:rsidR="00830E72" w14:paraId="0D42CBAB" w14:textId="77777777" w:rsidTr="00D44830">
                <w:trPr>
                  <w:trHeight w:val="20"/>
                </w:trPr>
                <w:sdt>
                  <w:sdtPr>
                    <w:tag w:val="_PLD_ba5c81951f1c4ff0a188b55532ed96a5"/>
                    <w:id w:val="-22860041"/>
                    <w:lock w:val="sdtLocked"/>
                  </w:sdtPr>
                  <w:sdtEndPr/>
                  <w:sdtContent>
                    <w:tc>
                      <w:tcPr>
                        <w:tcW w:w="1503" w:type="dxa"/>
                      </w:tcPr>
                      <w:p w14:paraId="6E0580D5" w14:textId="77777777" w:rsidR="00830E72" w:rsidRDefault="008344D8">
                        <w:pPr>
                          <w:rPr>
                            <w:sz w:val="18"/>
                            <w:szCs w:val="18"/>
                          </w:rPr>
                        </w:pPr>
                        <w:r>
                          <w:rPr>
                            <w:sz w:val="18"/>
                            <w:szCs w:val="18"/>
                          </w:rPr>
                          <w:t>2．盈余公积转增资本（或股本）</w:t>
                        </w:r>
                      </w:p>
                    </w:tc>
                  </w:sdtContent>
                </w:sdt>
                <w:tc>
                  <w:tcPr>
                    <w:tcW w:w="1559" w:type="dxa"/>
                    <w:tcBorders>
                      <w:right w:val="single" w:sz="4" w:space="0" w:color="auto"/>
                    </w:tcBorders>
                  </w:tcPr>
                  <w:p w14:paraId="642C6AFB" w14:textId="77777777" w:rsidR="00830E72" w:rsidRDefault="00830E72">
                    <w:pPr>
                      <w:jc w:val="right"/>
                      <w:rPr>
                        <w:sz w:val="18"/>
                        <w:szCs w:val="18"/>
                      </w:rPr>
                    </w:pPr>
                  </w:p>
                </w:tc>
                <w:tc>
                  <w:tcPr>
                    <w:tcW w:w="567" w:type="dxa"/>
                    <w:tcBorders>
                      <w:left w:val="single" w:sz="4" w:space="0" w:color="auto"/>
                      <w:right w:val="single" w:sz="4" w:space="0" w:color="auto"/>
                    </w:tcBorders>
                  </w:tcPr>
                  <w:p w14:paraId="171105EA" w14:textId="77777777" w:rsidR="00830E72" w:rsidRDefault="00830E72">
                    <w:pPr>
                      <w:jc w:val="right"/>
                      <w:rPr>
                        <w:sz w:val="18"/>
                        <w:szCs w:val="18"/>
                      </w:rPr>
                    </w:pPr>
                  </w:p>
                </w:tc>
                <w:tc>
                  <w:tcPr>
                    <w:tcW w:w="567" w:type="dxa"/>
                    <w:tcBorders>
                      <w:left w:val="single" w:sz="4" w:space="0" w:color="auto"/>
                      <w:right w:val="single" w:sz="4" w:space="0" w:color="auto"/>
                    </w:tcBorders>
                  </w:tcPr>
                  <w:p w14:paraId="031C969D" w14:textId="77777777" w:rsidR="00830E72" w:rsidRDefault="00830E72">
                    <w:pPr>
                      <w:jc w:val="right"/>
                      <w:rPr>
                        <w:sz w:val="18"/>
                        <w:szCs w:val="18"/>
                      </w:rPr>
                    </w:pPr>
                  </w:p>
                </w:tc>
                <w:tc>
                  <w:tcPr>
                    <w:tcW w:w="396" w:type="dxa"/>
                    <w:tcBorders>
                      <w:left w:val="single" w:sz="4" w:space="0" w:color="auto"/>
                    </w:tcBorders>
                  </w:tcPr>
                  <w:p w14:paraId="7ACAA5C7" w14:textId="77777777" w:rsidR="00830E72" w:rsidRDefault="00830E72">
                    <w:pPr>
                      <w:jc w:val="right"/>
                      <w:rPr>
                        <w:sz w:val="18"/>
                        <w:szCs w:val="18"/>
                      </w:rPr>
                    </w:pPr>
                  </w:p>
                </w:tc>
                <w:tc>
                  <w:tcPr>
                    <w:tcW w:w="1560" w:type="dxa"/>
                  </w:tcPr>
                  <w:p w14:paraId="4B46AB98" w14:textId="77777777" w:rsidR="00830E72" w:rsidRDefault="00830E72">
                    <w:pPr>
                      <w:jc w:val="right"/>
                      <w:rPr>
                        <w:sz w:val="18"/>
                        <w:szCs w:val="18"/>
                      </w:rPr>
                    </w:pPr>
                  </w:p>
                </w:tc>
                <w:tc>
                  <w:tcPr>
                    <w:tcW w:w="595" w:type="dxa"/>
                  </w:tcPr>
                  <w:p w14:paraId="7131D124" w14:textId="77777777" w:rsidR="00830E72" w:rsidRDefault="00830E72">
                    <w:pPr>
                      <w:jc w:val="right"/>
                      <w:rPr>
                        <w:sz w:val="18"/>
                        <w:szCs w:val="18"/>
                      </w:rPr>
                    </w:pPr>
                  </w:p>
                </w:tc>
                <w:tc>
                  <w:tcPr>
                    <w:tcW w:w="851" w:type="dxa"/>
                  </w:tcPr>
                  <w:p w14:paraId="1F3133A3" w14:textId="77777777" w:rsidR="00830E72" w:rsidRDefault="00830E72">
                    <w:pPr>
                      <w:jc w:val="right"/>
                      <w:rPr>
                        <w:sz w:val="18"/>
                        <w:szCs w:val="18"/>
                      </w:rPr>
                    </w:pPr>
                  </w:p>
                </w:tc>
                <w:tc>
                  <w:tcPr>
                    <w:tcW w:w="1417" w:type="dxa"/>
                  </w:tcPr>
                  <w:p w14:paraId="3D96BADF" w14:textId="77777777" w:rsidR="00830E72" w:rsidRDefault="00830E72">
                    <w:pPr>
                      <w:jc w:val="right"/>
                      <w:rPr>
                        <w:sz w:val="18"/>
                        <w:szCs w:val="18"/>
                      </w:rPr>
                    </w:pPr>
                  </w:p>
                </w:tc>
                <w:tc>
                  <w:tcPr>
                    <w:tcW w:w="1560" w:type="dxa"/>
                  </w:tcPr>
                  <w:p w14:paraId="5A8BE1DD" w14:textId="77777777" w:rsidR="00830E72" w:rsidRDefault="00830E72">
                    <w:pPr>
                      <w:jc w:val="right"/>
                      <w:rPr>
                        <w:sz w:val="18"/>
                        <w:szCs w:val="18"/>
                      </w:rPr>
                    </w:pPr>
                  </w:p>
                </w:tc>
                <w:tc>
                  <w:tcPr>
                    <w:tcW w:w="1701" w:type="dxa"/>
                  </w:tcPr>
                  <w:p w14:paraId="4364C7DB" w14:textId="77777777" w:rsidR="00830E72" w:rsidRDefault="00830E72">
                    <w:pPr>
                      <w:jc w:val="right"/>
                      <w:rPr>
                        <w:sz w:val="18"/>
                        <w:szCs w:val="18"/>
                      </w:rPr>
                    </w:pPr>
                  </w:p>
                </w:tc>
                <w:tc>
                  <w:tcPr>
                    <w:tcW w:w="1684" w:type="dxa"/>
                  </w:tcPr>
                  <w:p w14:paraId="0C53FDF8" w14:textId="77777777" w:rsidR="00830E72" w:rsidRDefault="00830E72">
                    <w:pPr>
                      <w:jc w:val="right"/>
                      <w:rPr>
                        <w:sz w:val="18"/>
                        <w:szCs w:val="18"/>
                      </w:rPr>
                    </w:pPr>
                  </w:p>
                </w:tc>
              </w:tr>
              <w:tr w:rsidR="00830E72" w14:paraId="60D626D1" w14:textId="77777777" w:rsidTr="00D44830">
                <w:trPr>
                  <w:trHeight w:val="20"/>
                </w:trPr>
                <w:sdt>
                  <w:sdtPr>
                    <w:tag w:val="_PLD_81b068c4cdf2482a9438450e52e9b3b4"/>
                    <w:id w:val="2075080214"/>
                    <w:lock w:val="sdtLocked"/>
                  </w:sdtPr>
                  <w:sdtEndPr/>
                  <w:sdtContent>
                    <w:tc>
                      <w:tcPr>
                        <w:tcW w:w="1503" w:type="dxa"/>
                      </w:tcPr>
                      <w:p w14:paraId="568C17EA" w14:textId="77777777" w:rsidR="00830E72" w:rsidRDefault="008344D8">
                        <w:pPr>
                          <w:rPr>
                            <w:sz w:val="18"/>
                            <w:szCs w:val="18"/>
                          </w:rPr>
                        </w:pPr>
                        <w:r>
                          <w:rPr>
                            <w:sz w:val="18"/>
                            <w:szCs w:val="18"/>
                          </w:rPr>
                          <w:t>3．盈余公积弥补亏损</w:t>
                        </w:r>
                      </w:p>
                    </w:tc>
                  </w:sdtContent>
                </w:sdt>
                <w:tc>
                  <w:tcPr>
                    <w:tcW w:w="1559" w:type="dxa"/>
                    <w:tcBorders>
                      <w:right w:val="single" w:sz="4" w:space="0" w:color="auto"/>
                    </w:tcBorders>
                  </w:tcPr>
                  <w:p w14:paraId="577E6012" w14:textId="77777777" w:rsidR="00830E72" w:rsidRDefault="00830E72">
                    <w:pPr>
                      <w:jc w:val="right"/>
                      <w:rPr>
                        <w:sz w:val="18"/>
                        <w:szCs w:val="18"/>
                      </w:rPr>
                    </w:pPr>
                  </w:p>
                </w:tc>
                <w:tc>
                  <w:tcPr>
                    <w:tcW w:w="567" w:type="dxa"/>
                    <w:tcBorders>
                      <w:left w:val="single" w:sz="4" w:space="0" w:color="auto"/>
                      <w:right w:val="single" w:sz="4" w:space="0" w:color="auto"/>
                    </w:tcBorders>
                  </w:tcPr>
                  <w:p w14:paraId="26387A3E" w14:textId="77777777" w:rsidR="00830E72" w:rsidRDefault="00830E72">
                    <w:pPr>
                      <w:jc w:val="right"/>
                      <w:rPr>
                        <w:sz w:val="18"/>
                        <w:szCs w:val="18"/>
                      </w:rPr>
                    </w:pPr>
                  </w:p>
                </w:tc>
                <w:tc>
                  <w:tcPr>
                    <w:tcW w:w="567" w:type="dxa"/>
                    <w:tcBorders>
                      <w:left w:val="single" w:sz="4" w:space="0" w:color="auto"/>
                      <w:right w:val="single" w:sz="4" w:space="0" w:color="auto"/>
                    </w:tcBorders>
                  </w:tcPr>
                  <w:p w14:paraId="5FB65EFC" w14:textId="77777777" w:rsidR="00830E72" w:rsidRDefault="00830E72">
                    <w:pPr>
                      <w:jc w:val="right"/>
                      <w:rPr>
                        <w:sz w:val="18"/>
                        <w:szCs w:val="18"/>
                      </w:rPr>
                    </w:pPr>
                  </w:p>
                </w:tc>
                <w:tc>
                  <w:tcPr>
                    <w:tcW w:w="396" w:type="dxa"/>
                    <w:tcBorders>
                      <w:left w:val="single" w:sz="4" w:space="0" w:color="auto"/>
                    </w:tcBorders>
                  </w:tcPr>
                  <w:p w14:paraId="7266C7CE" w14:textId="77777777" w:rsidR="00830E72" w:rsidRDefault="00830E72">
                    <w:pPr>
                      <w:jc w:val="right"/>
                      <w:rPr>
                        <w:sz w:val="18"/>
                        <w:szCs w:val="18"/>
                      </w:rPr>
                    </w:pPr>
                  </w:p>
                </w:tc>
                <w:tc>
                  <w:tcPr>
                    <w:tcW w:w="1560" w:type="dxa"/>
                  </w:tcPr>
                  <w:p w14:paraId="6C0C1701" w14:textId="77777777" w:rsidR="00830E72" w:rsidRDefault="00830E72">
                    <w:pPr>
                      <w:jc w:val="right"/>
                      <w:rPr>
                        <w:sz w:val="18"/>
                        <w:szCs w:val="18"/>
                      </w:rPr>
                    </w:pPr>
                  </w:p>
                </w:tc>
                <w:tc>
                  <w:tcPr>
                    <w:tcW w:w="595" w:type="dxa"/>
                  </w:tcPr>
                  <w:p w14:paraId="26DB743B" w14:textId="77777777" w:rsidR="00830E72" w:rsidRDefault="00830E72">
                    <w:pPr>
                      <w:jc w:val="right"/>
                      <w:rPr>
                        <w:sz w:val="18"/>
                        <w:szCs w:val="18"/>
                      </w:rPr>
                    </w:pPr>
                  </w:p>
                </w:tc>
                <w:tc>
                  <w:tcPr>
                    <w:tcW w:w="851" w:type="dxa"/>
                  </w:tcPr>
                  <w:p w14:paraId="4C06C071" w14:textId="77777777" w:rsidR="00830E72" w:rsidRDefault="00830E72">
                    <w:pPr>
                      <w:jc w:val="right"/>
                      <w:rPr>
                        <w:sz w:val="18"/>
                        <w:szCs w:val="18"/>
                      </w:rPr>
                    </w:pPr>
                  </w:p>
                </w:tc>
                <w:tc>
                  <w:tcPr>
                    <w:tcW w:w="1417" w:type="dxa"/>
                  </w:tcPr>
                  <w:p w14:paraId="3A11940E" w14:textId="77777777" w:rsidR="00830E72" w:rsidRDefault="00830E72">
                    <w:pPr>
                      <w:jc w:val="right"/>
                      <w:rPr>
                        <w:sz w:val="18"/>
                        <w:szCs w:val="18"/>
                      </w:rPr>
                    </w:pPr>
                  </w:p>
                </w:tc>
                <w:tc>
                  <w:tcPr>
                    <w:tcW w:w="1560" w:type="dxa"/>
                  </w:tcPr>
                  <w:p w14:paraId="4F69B13B" w14:textId="77777777" w:rsidR="00830E72" w:rsidRDefault="00830E72">
                    <w:pPr>
                      <w:jc w:val="right"/>
                      <w:rPr>
                        <w:sz w:val="18"/>
                        <w:szCs w:val="18"/>
                      </w:rPr>
                    </w:pPr>
                  </w:p>
                </w:tc>
                <w:tc>
                  <w:tcPr>
                    <w:tcW w:w="1701" w:type="dxa"/>
                  </w:tcPr>
                  <w:p w14:paraId="24C0FD9A" w14:textId="77777777" w:rsidR="00830E72" w:rsidRDefault="00830E72">
                    <w:pPr>
                      <w:jc w:val="right"/>
                      <w:rPr>
                        <w:sz w:val="18"/>
                        <w:szCs w:val="18"/>
                      </w:rPr>
                    </w:pPr>
                  </w:p>
                </w:tc>
                <w:tc>
                  <w:tcPr>
                    <w:tcW w:w="1684" w:type="dxa"/>
                  </w:tcPr>
                  <w:p w14:paraId="1ACDB645" w14:textId="77777777" w:rsidR="00830E72" w:rsidRDefault="00830E72">
                    <w:pPr>
                      <w:jc w:val="right"/>
                      <w:rPr>
                        <w:sz w:val="18"/>
                        <w:szCs w:val="18"/>
                      </w:rPr>
                    </w:pPr>
                  </w:p>
                </w:tc>
              </w:tr>
              <w:tr w:rsidR="00830E72" w14:paraId="58D766A7" w14:textId="77777777" w:rsidTr="00D44830">
                <w:trPr>
                  <w:trHeight w:val="20"/>
                </w:trPr>
                <w:tc>
                  <w:tcPr>
                    <w:tcW w:w="1503" w:type="dxa"/>
                  </w:tcPr>
                  <w:sdt>
                    <w:sdtPr>
                      <w:rPr>
                        <w:sz w:val="18"/>
                        <w:szCs w:val="18"/>
                      </w:rPr>
                      <w:tag w:val="_PLD_0e7647effaeb42219d706b118465bdec"/>
                      <w:id w:val="352307545"/>
                      <w:lock w:val="sdtLocked"/>
                    </w:sdtPr>
                    <w:sdtEndPr/>
                    <w:sdtContent>
                      <w:p w14:paraId="129C1125" w14:textId="77777777" w:rsidR="00830E72" w:rsidRDefault="008344D8">
                        <w:r>
                          <w:rPr>
                            <w:sz w:val="18"/>
                            <w:szCs w:val="18"/>
                          </w:rPr>
                          <w:t>4．设定受益计划变动额结转留存收益</w:t>
                        </w:r>
                      </w:p>
                    </w:sdtContent>
                  </w:sdt>
                </w:tc>
                <w:tc>
                  <w:tcPr>
                    <w:tcW w:w="1559" w:type="dxa"/>
                    <w:tcBorders>
                      <w:right w:val="single" w:sz="4" w:space="0" w:color="auto"/>
                    </w:tcBorders>
                  </w:tcPr>
                  <w:p w14:paraId="084A7D87" w14:textId="77777777" w:rsidR="00830E72" w:rsidRDefault="00830E72">
                    <w:pPr>
                      <w:jc w:val="right"/>
                      <w:rPr>
                        <w:sz w:val="18"/>
                        <w:szCs w:val="18"/>
                      </w:rPr>
                    </w:pPr>
                  </w:p>
                </w:tc>
                <w:tc>
                  <w:tcPr>
                    <w:tcW w:w="567" w:type="dxa"/>
                    <w:tcBorders>
                      <w:left w:val="single" w:sz="4" w:space="0" w:color="auto"/>
                      <w:right w:val="single" w:sz="4" w:space="0" w:color="auto"/>
                    </w:tcBorders>
                  </w:tcPr>
                  <w:p w14:paraId="2CBE69A7" w14:textId="77777777" w:rsidR="00830E72" w:rsidRDefault="00830E72">
                    <w:pPr>
                      <w:jc w:val="right"/>
                      <w:rPr>
                        <w:sz w:val="18"/>
                        <w:szCs w:val="18"/>
                      </w:rPr>
                    </w:pPr>
                  </w:p>
                </w:tc>
                <w:tc>
                  <w:tcPr>
                    <w:tcW w:w="567" w:type="dxa"/>
                    <w:tcBorders>
                      <w:left w:val="single" w:sz="4" w:space="0" w:color="auto"/>
                      <w:right w:val="single" w:sz="4" w:space="0" w:color="auto"/>
                    </w:tcBorders>
                  </w:tcPr>
                  <w:p w14:paraId="1FE7FBB2" w14:textId="77777777" w:rsidR="00830E72" w:rsidRDefault="00830E72">
                    <w:pPr>
                      <w:jc w:val="right"/>
                      <w:rPr>
                        <w:sz w:val="18"/>
                        <w:szCs w:val="18"/>
                      </w:rPr>
                    </w:pPr>
                  </w:p>
                </w:tc>
                <w:tc>
                  <w:tcPr>
                    <w:tcW w:w="396" w:type="dxa"/>
                    <w:tcBorders>
                      <w:left w:val="single" w:sz="4" w:space="0" w:color="auto"/>
                    </w:tcBorders>
                  </w:tcPr>
                  <w:p w14:paraId="21AF8ED8" w14:textId="77777777" w:rsidR="00830E72" w:rsidRDefault="00830E72">
                    <w:pPr>
                      <w:jc w:val="right"/>
                      <w:rPr>
                        <w:sz w:val="18"/>
                        <w:szCs w:val="18"/>
                      </w:rPr>
                    </w:pPr>
                  </w:p>
                </w:tc>
                <w:tc>
                  <w:tcPr>
                    <w:tcW w:w="1560" w:type="dxa"/>
                  </w:tcPr>
                  <w:p w14:paraId="6707AA44" w14:textId="77777777" w:rsidR="00830E72" w:rsidRDefault="00830E72">
                    <w:pPr>
                      <w:jc w:val="right"/>
                      <w:rPr>
                        <w:sz w:val="18"/>
                        <w:szCs w:val="18"/>
                      </w:rPr>
                    </w:pPr>
                  </w:p>
                </w:tc>
                <w:tc>
                  <w:tcPr>
                    <w:tcW w:w="595" w:type="dxa"/>
                  </w:tcPr>
                  <w:p w14:paraId="2C1BDC94" w14:textId="77777777" w:rsidR="00830E72" w:rsidRDefault="00830E72">
                    <w:pPr>
                      <w:jc w:val="right"/>
                      <w:rPr>
                        <w:sz w:val="18"/>
                        <w:szCs w:val="18"/>
                      </w:rPr>
                    </w:pPr>
                  </w:p>
                </w:tc>
                <w:tc>
                  <w:tcPr>
                    <w:tcW w:w="851" w:type="dxa"/>
                  </w:tcPr>
                  <w:p w14:paraId="43E9E67E" w14:textId="77777777" w:rsidR="00830E72" w:rsidRDefault="00830E72">
                    <w:pPr>
                      <w:jc w:val="right"/>
                      <w:rPr>
                        <w:sz w:val="18"/>
                        <w:szCs w:val="18"/>
                      </w:rPr>
                    </w:pPr>
                  </w:p>
                </w:tc>
                <w:tc>
                  <w:tcPr>
                    <w:tcW w:w="1417" w:type="dxa"/>
                  </w:tcPr>
                  <w:p w14:paraId="7F3C499C" w14:textId="77777777" w:rsidR="00830E72" w:rsidRDefault="00830E72">
                    <w:pPr>
                      <w:jc w:val="right"/>
                      <w:rPr>
                        <w:sz w:val="18"/>
                        <w:szCs w:val="18"/>
                      </w:rPr>
                    </w:pPr>
                  </w:p>
                </w:tc>
                <w:tc>
                  <w:tcPr>
                    <w:tcW w:w="1560" w:type="dxa"/>
                  </w:tcPr>
                  <w:p w14:paraId="46E0DDB5" w14:textId="77777777" w:rsidR="00830E72" w:rsidRDefault="00830E72">
                    <w:pPr>
                      <w:jc w:val="right"/>
                      <w:rPr>
                        <w:sz w:val="18"/>
                        <w:szCs w:val="18"/>
                      </w:rPr>
                    </w:pPr>
                  </w:p>
                </w:tc>
                <w:tc>
                  <w:tcPr>
                    <w:tcW w:w="1701" w:type="dxa"/>
                  </w:tcPr>
                  <w:p w14:paraId="3BA6424B" w14:textId="77777777" w:rsidR="00830E72" w:rsidRDefault="00830E72">
                    <w:pPr>
                      <w:jc w:val="right"/>
                      <w:rPr>
                        <w:sz w:val="18"/>
                        <w:szCs w:val="18"/>
                      </w:rPr>
                    </w:pPr>
                  </w:p>
                </w:tc>
                <w:tc>
                  <w:tcPr>
                    <w:tcW w:w="1684" w:type="dxa"/>
                  </w:tcPr>
                  <w:p w14:paraId="744A1368" w14:textId="77777777" w:rsidR="00830E72" w:rsidRDefault="00830E72">
                    <w:pPr>
                      <w:jc w:val="right"/>
                      <w:rPr>
                        <w:sz w:val="18"/>
                        <w:szCs w:val="18"/>
                      </w:rPr>
                    </w:pPr>
                  </w:p>
                </w:tc>
              </w:tr>
              <w:tr w:rsidR="00830E72" w14:paraId="01E7AA6E" w14:textId="77777777" w:rsidTr="00D44830">
                <w:trPr>
                  <w:trHeight w:val="20"/>
                </w:trPr>
                <w:tc>
                  <w:tcPr>
                    <w:tcW w:w="1503" w:type="dxa"/>
                  </w:tcPr>
                  <w:sdt>
                    <w:sdtPr>
                      <w:rPr>
                        <w:sz w:val="18"/>
                        <w:szCs w:val="18"/>
                      </w:rPr>
                      <w:tag w:val="_PLD_1c8ba4a0bb224c1d891e628390545199"/>
                      <w:id w:val="14350053"/>
                      <w:lock w:val="sdtLocked"/>
                    </w:sdtPr>
                    <w:sdtEndPr/>
                    <w:sdtContent>
                      <w:p w14:paraId="5A8A07D5" w14:textId="77777777" w:rsidR="00830E72" w:rsidRDefault="008344D8">
                        <w:pPr>
                          <w:rPr>
                            <w:sz w:val="18"/>
                            <w:szCs w:val="18"/>
                          </w:rPr>
                        </w:pPr>
                        <w:r>
                          <w:rPr>
                            <w:sz w:val="18"/>
                            <w:szCs w:val="18"/>
                          </w:rPr>
                          <w:t>5．其他综合收益结转留存收益</w:t>
                        </w:r>
                      </w:p>
                    </w:sdtContent>
                  </w:sdt>
                </w:tc>
                <w:tc>
                  <w:tcPr>
                    <w:tcW w:w="1559" w:type="dxa"/>
                    <w:tcBorders>
                      <w:right w:val="single" w:sz="4" w:space="0" w:color="auto"/>
                    </w:tcBorders>
                  </w:tcPr>
                  <w:p w14:paraId="7C5B572F" w14:textId="77777777" w:rsidR="00830E72" w:rsidRDefault="00830E72">
                    <w:pPr>
                      <w:jc w:val="right"/>
                      <w:rPr>
                        <w:sz w:val="18"/>
                        <w:szCs w:val="18"/>
                      </w:rPr>
                    </w:pPr>
                  </w:p>
                </w:tc>
                <w:tc>
                  <w:tcPr>
                    <w:tcW w:w="567" w:type="dxa"/>
                    <w:tcBorders>
                      <w:left w:val="single" w:sz="4" w:space="0" w:color="auto"/>
                      <w:right w:val="single" w:sz="4" w:space="0" w:color="auto"/>
                    </w:tcBorders>
                  </w:tcPr>
                  <w:p w14:paraId="572C99FD" w14:textId="77777777" w:rsidR="00830E72" w:rsidRDefault="00830E72">
                    <w:pPr>
                      <w:jc w:val="right"/>
                      <w:rPr>
                        <w:sz w:val="18"/>
                        <w:szCs w:val="18"/>
                      </w:rPr>
                    </w:pPr>
                  </w:p>
                </w:tc>
                <w:tc>
                  <w:tcPr>
                    <w:tcW w:w="567" w:type="dxa"/>
                    <w:tcBorders>
                      <w:left w:val="single" w:sz="4" w:space="0" w:color="auto"/>
                      <w:right w:val="single" w:sz="4" w:space="0" w:color="auto"/>
                    </w:tcBorders>
                  </w:tcPr>
                  <w:p w14:paraId="651C58BF" w14:textId="77777777" w:rsidR="00830E72" w:rsidRDefault="00830E72">
                    <w:pPr>
                      <w:jc w:val="right"/>
                      <w:rPr>
                        <w:sz w:val="18"/>
                        <w:szCs w:val="18"/>
                      </w:rPr>
                    </w:pPr>
                  </w:p>
                </w:tc>
                <w:tc>
                  <w:tcPr>
                    <w:tcW w:w="396" w:type="dxa"/>
                    <w:tcBorders>
                      <w:left w:val="single" w:sz="4" w:space="0" w:color="auto"/>
                    </w:tcBorders>
                  </w:tcPr>
                  <w:p w14:paraId="0B858F6D" w14:textId="77777777" w:rsidR="00830E72" w:rsidRDefault="00830E72">
                    <w:pPr>
                      <w:jc w:val="right"/>
                      <w:rPr>
                        <w:sz w:val="18"/>
                        <w:szCs w:val="18"/>
                      </w:rPr>
                    </w:pPr>
                  </w:p>
                </w:tc>
                <w:tc>
                  <w:tcPr>
                    <w:tcW w:w="1560" w:type="dxa"/>
                  </w:tcPr>
                  <w:p w14:paraId="1DDBFBA0" w14:textId="77777777" w:rsidR="00830E72" w:rsidRDefault="00830E72">
                    <w:pPr>
                      <w:jc w:val="right"/>
                      <w:rPr>
                        <w:sz w:val="18"/>
                        <w:szCs w:val="18"/>
                      </w:rPr>
                    </w:pPr>
                  </w:p>
                </w:tc>
                <w:tc>
                  <w:tcPr>
                    <w:tcW w:w="595" w:type="dxa"/>
                  </w:tcPr>
                  <w:p w14:paraId="1B50F75A" w14:textId="77777777" w:rsidR="00830E72" w:rsidRDefault="00830E72">
                    <w:pPr>
                      <w:jc w:val="right"/>
                      <w:rPr>
                        <w:sz w:val="18"/>
                        <w:szCs w:val="18"/>
                      </w:rPr>
                    </w:pPr>
                  </w:p>
                </w:tc>
                <w:tc>
                  <w:tcPr>
                    <w:tcW w:w="851" w:type="dxa"/>
                  </w:tcPr>
                  <w:p w14:paraId="0C2E0374" w14:textId="77777777" w:rsidR="00830E72" w:rsidRDefault="00830E72">
                    <w:pPr>
                      <w:jc w:val="right"/>
                      <w:rPr>
                        <w:sz w:val="18"/>
                        <w:szCs w:val="18"/>
                      </w:rPr>
                    </w:pPr>
                  </w:p>
                </w:tc>
                <w:tc>
                  <w:tcPr>
                    <w:tcW w:w="1417" w:type="dxa"/>
                  </w:tcPr>
                  <w:p w14:paraId="5C471EC1" w14:textId="77777777" w:rsidR="00830E72" w:rsidRDefault="00830E72">
                    <w:pPr>
                      <w:jc w:val="right"/>
                      <w:rPr>
                        <w:sz w:val="18"/>
                        <w:szCs w:val="18"/>
                      </w:rPr>
                    </w:pPr>
                  </w:p>
                </w:tc>
                <w:tc>
                  <w:tcPr>
                    <w:tcW w:w="1560" w:type="dxa"/>
                  </w:tcPr>
                  <w:p w14:paraId="2F73B2FF" w14:textId="77777777" w:rsidR="00830E72" w:rsidRDefault="00830E72">
                    <w:pPr>
                      <w:jc w:val="right"/>
                      <w:rPr>
                        <w:sz w:val="18"/>
                        <w:szCs w:val="18"/>
                      </w:rPr>
                    </w:pPr>
                  </w:p>
                </w:tc>
                <w:tc>
                  <w:tcPr>
                    <w:tcW w:w="1701" w:type="dxa"/>
                  </w:tcPr>
                  <w:p w14:paraId="04A6B529" w14:textId="77777777" w:rsidR="00830E72" w:rsidRDefault="00830E72">
                    <w:pPr>
                      <w:jc w:val="right"/>
                      <w:rPr>
                        <w:sz w:val="18"/>
                        <w:szCs w:val="18"/>
                      </w:rPr>
                    </w:pPr>
                  </w:p>
                </w:tc>
                <w:tc>
                  <w:tcPr>
                    <w:tcW w:w="1684" w:type="dxa"/>
                  </w:tcPr>
                  <w:p w14:paraId="0A80952E" w14:textId="77777777" w:rsidR="00830E72" w:rsidRDefault="00830E72">
                    <w:pPr>
                      <w:jc w:val="right"/>
                      <w:rPr>
                        <w:sz w:val="18"/>
                        <w:szCs w:val="18"/>
                      </w:rPr>
                    </w:pPr>
                  </w:p>
                </w:tc>
              </w:tr>
              <w:tr w:rsidR="00830E72" w14:paraId="0363AD53" w14:textId="77777777" w:rsidTr="00D44830">
                <w:trPr>
                  <w:trHeight w:val="20"/>
                </w:trPr>
                <w:tc>
                  <w:tcPr>
                    <w:tcW w:w="1503" w:type="dxa"/>
                  </w:tcPr>
                  <w:sdt>
                    <w:sdtPr>
                      <w:rPr>
                        <w:sz w:val="18"/>
                        <w:szCs w:val="18"/>
                      </w:rPr>
                      <w:tag w:val="_PLD_69d4adb536bf498a8a9d97dda9d31e75"/>
                      <w:id w:val="-914004605"/>
                      <w:lock w:val="sdtLocked"/>
                    </w:sdtPr>
                    <w:sdtEndPr/>
                    <w:sdtContent>
                      <w:p w14:paraId="2F81F196" w14:textId="77777777" w:rsidR="00830E72" w:rsidRDefault="008344D8">
                        <w:r>
                          <w:rPr>
                            <w:sz w:val="18"/>
                            <w:szCs w:val="18"/>
                          </w:rPr>
                          <w:t>6．其他</w:t>
                        </w:r>
                      </w:p>
                    </w:sdtContent>
                  </w:sdt>
                </w:tc>
                <w:tc>
                  <w:tcPr>
                    <w:tcW w:w="1559" w:type="dxa"/>
                    <w:tcBorders>
                      <w:right w:val="single" w:sz="4" w:space="0" w:color="auto"/>
                    </w:tcBorders>
                  </w:tcPr>
                  <w:p w14:paraId="271DE71B" w14:textId="77777777" w:rsidR="00830E72" w:rsidRDefault="00830E72">
                    <w:pPr>
                      <w:jc w:val="right"/>
                      <w:rPr>
                        <w:sz w:val="18"/>
                        <w:szCs w:val="18"/>
                      </w:rPr>
                    </w:pPr>
                  </w:p>
                </w:tc>
                <w:tc>
                  <w:tcPr>
                    <w:tcW w:w="567" w:type="dxa"/>
                    <w:tcBorders>
                      <w:left w:val="single" w:sz="4" w:space="0" w:color="auto"/>
                      <w:right w:val="single" w:sz="4" w:space="0" w:color="auto"/>
                    </w:tcBorders>
                  </w:tcPr>
                  <w:p w14:paraId="4137B899" w14:textId="77777777" w:rsidR="00830E72" w:rsidRDefault="00830E72">
                    <w:pPr>
                      <w:jc w:val="right"/>
                      <w:rPr>
                        <w:sz w:val="18"/>
                        <w:szCs w:val="18"/>
                      </w:rPr>
                    </w:pPr>
                  </w:p>
                </w:tc>
                <w:tc>
                  <w:tcPr>
                    <w:tcW w:w="567" w:type="dxa"/>
                    <w:tcBorders>
                      <w:left w:val="single" w:sz="4" w:space="0" w:color="auto"/>
                      <w:right w:val="single" w:sz="4" w:space="0" w:color="auto"/>
                    </w:tcBorders>
                  </w:tcPr>
                  <w:p w14:paraId="11B18B7E" w14:textId="77777777" w:rsidR="00830E72" w:rsidRDefault="00830E72">
                    <w:pPr>
                      <w:jc w:val="right"/>
                      <w:rPr>
                        <w:sz w:val="18"/>
                        <w:szCs w:val="18"/>
                      </w:rPr>
                    </w:pPr>
                  </w:p>
                </w:tc>
                <w:tc>
                  <w:tcPr>
                    <w:tcW w:w="396" w:type="dxa"/>
                    <w:tcBorders>
                      <w:left w:val="single" w:sz="4" w:space="0" w:color="auto"/>
                    </w:tcBorders>
                  </w:tcPr>
                  <w:p w14:paraId="6341264E" w14:textId="77777777" w:rsidR="00830E72" w:rsidRDefault="00830E72">
                    <w:pPr>
                      <w:jc w:val="right"/>
                      <w:rPr>
                        <w:sz w:val="18"/>
                        <w:szCs w:val="18"/>
                      </w:rPr>
                    </w:pPr>
                  </w:p>
                </w:tc>
                <w:tc>
                  <w:tcPr>
                    <w:tcW w:w="1560" w:type="dxa"/>
                  </w:tcPr>
                  <w:p w14:paraId="55676DC1" w14:textId="77777777" w:rsidR="00830E72" w:rsidRDefault="00830E72">
                    <w:pPr>
                      <w:jc w:val="right"/>
                      <w:rPr>
                        <w:sz w:val="18"/>
                        <w:szCs w:val="18"/>
                      </w:rPr>
                    </w:pPr>
                  </w:p>
                </w:tc>
                <w:tc>
                  <w:tcPr>
                    <w:tcW w:w="595" w:type="dxa"/>
                  </w:tcPr>
                  <w:p w14:paraId="7BEA62C5" w14:textId="77777777" w:rsidR="00830E72" w:rsidRDefault="00830E72">
                    <w:pPr>
                      <w:jc w:val="right"/>
                      <w:rPr>
                        <w:sz w:val="18"/>
                        <w:szCs w:val="18"/>
                      </w:rPr>
                    </w:pPr>
                  </w:p>
                </w:tc>
                <w:tc>
                  <w:tcPr>
                    <w:tcW w:w="851" w:type="dxa"/>
                  </w:tcPr>
                  <w:p w14:paraId="69DC21B7" w14:textId="77777777" w:rsidR="00830E72" w:rsidRDefault="00830E72">
                    <w:pPr>
                      <w:jc w:val="right"/>
                      <w:rPr>
                        <w:sz w:val="18"/>
                        <w:szCs w:val="18"/>
                      </w:rPr>
                    </w:pPr>
                  </w:p>
                </w:tc>
                <w:tc>
                  <w:tcPr>
                    <w:tcW w:w="1417" w:type="dxa"/>
                  </w:tcPr>
                  <w:p w14:paraId="3D0656F4" w14:textId="77777777" w:rsidR="00830E72" w:rsidRDefault="00830E72">
                    <w:pPr>
                      <w:jc w:val="right"/>
                      <w:rPr>
                        <w:sz w:val="18"/>
                        <w:szCs w:val="18"/>
                      </w:rPr>
                    </w:pPr>
                  </w:p>
                </w:tc>
                <w:tc>
                  <w:tcPr>
                    <w:tcW w:w="1560" w:type="dxa"/>
                  </w:tcPr>
                  <w:p w14:paraId="37429094" w14:textId="77777777" w:rsidR="00830E72" w:rsidRDefault="00830E72">
                    <w:pPr>
                      <w:jc w:val="right"/>
                      <w:rPr>
                        <w:sz w:val="18"/>
                        <w:szCs w:val="18"/>
                      </w:rPr>
                    </w:pPr>
                  </w:p>
                </w:tc>
                <w:tc>
                  <w:tcPr>
                    <w:tcW w:w="1701" w:type="dxa"/>
                  </w:tcPr>
                  <w:p w14:paraId="0FB1519D" w14:textId="77777777" w:rsidR="00830E72" w:rsidRDefault="00830E72">
                    <w:pPr>
                      <w:jc w:val="right"/>
                      <w:rPr>
                        <w:sz w:val="18"/>
                        <w:szCs w:val="18"/>
                      </w:rPr>
                    </w:pPr>
                  </w:p>
                </w:tc>
                <w:tc>
                  <w:tcPr>
                    <w:tcW w:w="1684" w:type="dxa"/>
                  </w:tcPr>
                  <w:p w14:paraId="2094B154" w14:textId="77777777" w:rsidR="00830E72" w:rsidRDefault="00830E72">
                    <w:pPr>
                      <w:jc w:val="right"/>
                      <w:rPr>
                        <w:sz w:val="18"/>
                        <w:szCs w:val="18"/>
                      </w:rPr>
                    </w:pPr>
                  </w:p>
                </w:tc>
              </w:tr>
              <w:tr w:rsidR="00830E72" w14:paraId="13D24299" w14:textId="77777777" w:rsidTr="00D44830">
                <w:trPr>
                  <w:trHeight w:val="20"/>
                </w:trPr>
                <w:sdt>
                  <w:sdtPr>
                    <w:tag w:val="_PLD_2ae06251c01740e284196240776af550"/>
                    <w:id w:val="-925722226"/>
                    <w:lock w:val="sdtLocked"/>
                  </w:sdtPr>
                  <w:sdtEndPr/>
                  <w:sdtContent>
                    <w:tc>
                      <w:tcPr>
                        <w:tcW w:w="1503" w:type="dxa"/>
                        <w:vAlign w:val="center"/>
                      </w:tcPr>
                      <w:p w14:paraId="21FCF969" w14:textId="77777777" w:rsidR="00830E72" w:rsidRDefault="008344D8">
                        <w:pPr>
                          <w:rPr>
                            <w:sz w:val="18"/>
                            <w:szCs w:val="18"/>
                          </w:rPr>
                        </w:pPr>
                        <w:r>
                          <w:rPr>
                            <w:rFonts w:hint="eastAsia"/>
                            <w:sz w:val="18"/>
                            <w:szCs w:val="18"/>
                          </w:rPr>
                          <w:t>（五）专项储备</w:t>
                        </w:r>
                      </w:p>
                    </w:tc>
                  </w:sdtContent>
                </w:sdt>
                <w:tc>
                  <w:tcPr>
                    <w:tcW w:w="1559" w:type="dxa"/>
                    <w:tcBorders>
                      <w:right w:val="single" w:sz="4" w:space="0" w:color="auto"/>
                    </w:tcBorders>
                  </w:tcPr>
                  <w:p w14:paraId="00F8E3BA" w14:textId="77777777" w:rsidR="00830E72" w:rsidRDefault="00830E72">
                    <w:pPr>
                      <w:jc w:val="right"/>
                      <w:rPr>
                        <w:sz w:val="18"/>
                        <w:szCs w:val="18"/>
                      </w:rPr>
                    </w:pPr>
                  </w:p>
                </w:tc>
                <w:tc>
                  <w:tcPr>
                    <w:tcW w:w="567" w:type="dxa"/>
                    <w:tcBorders>
                      <w:left w:val="single" w:sz="4" w:space="0" w:color="auto"/>
                      <w:right w:val="single" w:sz="4" w:space="0" w:color="auto"/>
                    </w:tcBorders>
                  </w:tcPr>
                  <w:p w14:paraId="6744FAFC" w14:textId="77777777" w:rsidR="00830E72" w:rsidRDefault="00830E72">
                    <w:pPr>
                      <w:jc w:val="right"/>
                      <w:rPr>
                        <w:sz w:val="18"/>
                        <w:szCs w:val="18"/>
                      </w:rPr>
                    </w:pPr>
                  </w:p>
                </w:tc>
                <w:tc>
                  <w:tcPr>
                    <w:tcW w:w="567" w:type="dxa"/>
                    <w:tcBorders>
                      <w:left w:val="single" w:sz="4" w:space="0" w:color="auto"/>
                      <w:right w:val="single" w:sz="4" w:space="0" w:color="auto"/>
                    </w:tcBorders>
                  </w:tcPr>
                  <w:p w14:paraId="5C5D7A07" w14:textId="77777777" w:rsidR="00830E72" w:rsidRDefault="00830E72">
                    <w:pPr>
                      <w:jc w:val="right"/>
                      <w:rPr>
                        <w:sz w:val="18"/>
                        <w:szCs w:val="18"/>
                      </w:rPr>
                    </w:pPr>
                  </w:p>
                </w:tc>
                <w:tc>
                  <w:tcPr>
                    <w:tcW w:w="396" w:type="dxa"/>
                    <w:tcBorders>
                      <w:left w:val="single" w:sz="4" w:space="0" w:color="auto"/>
                    </w:tcBorders>
                  </w:tcPr>
                  <w:p w14:paraId="091F33BD" w14:textId="77777777" w:rsidR="00830E72" w:rsidRDefault="00830E72">
                    <w:pPr>
                      <w:jc w:val="right"/>
                      <w:rPr>
                        <w:sz w:val="18"/>
                        <w:szCs w:val="18"/>
                      </w:rPr>
                    </w:pPr>
                  </w:p>
                </w:tc>
                <w:tc>
                  <w:tcPr>
                    <w:tcW w:w="1560" w:type="dxa"/>
                  </w:tcPr>
                  <w:p w14:paraId="0D10A14C" w14:textId="77777777" w:rsidR="00830E72" w:rsidRDefault="00830E72">
                    <w:pPr>
                      <w:jc w:val="right"/>
                      <w:rPr>
                        <w:sz w:val="18"/>
                        <w:szCs w:val="18"/>
                      </w:rPr>
                    </w:pPr>
                  </w:p>
                </w:tc>
                <w:tc>
                  <w:tcPr>
                    <w:tcW w:w="595" w:type="dxa"/>
                  </w:tcPr>
                  <w:p w14:paraId="52088699" w14:textId="77777777" w:rsidR="00830E72" w:rsidRDefault="00830E72">
                    <w:pPr>
                      <w:jc w:val="right"/>
                      <w:rPr>
                        <w:sz w:val="18"/>
                        <w:szCs w:val="18"/>
                      </w:rPr>
                    </w:pPr>
                  </w:p>
                </w:tc>
                <w:tc>
                  <w:tcPr>
                    <w:tcW w:w="851" w:type="dxa"/>
                  </w:tcPr>
                  <w:p w14:paraId="2C2078F2" w14:textId="77777777" w:rsidR="00830E72" w:rsidRDefault="00830E72">
                    <w:pPr>
                      <w:jc w:val="right"/>
                      <w:rPr>
                        <w:sz w:val="18"/>
                        <w:szCs w:val="18"/>
                      </w:rPr>
                    </w:pPr>
                  </w:p>
                </w:tc>
                <w:tc>
                  <w:tcPr>
                    <w:tcW w:w="1417" w:type="dxa"/>
                  </w:tcPr>
                  <w:p w14:paraId="74CC9BD3" w14:textId="77777777" w:rsidR="00830E72" w:rsidRDefault="008344D8">
                    <w:pPr>
                      <w:jc w:val="right"/>
                      <w:rPr>
                        <w:sz w:val="18"/>
                        <w:szCs w:val="18"/>
                      </w:rPr>
                    </w:pPr>
                    <w:r>
                      <w:rPr>
                        <w:sz w:val="18"/>
                        <w:szCs w:val="18"/>
                      </w:rPr>
                      <w:t>471,363.19</w:t>
                    </w:r>
                  </w:p>
                </w:tc>
                <w:tc>
                  <w:tcPr>
                    <w:tcW w:w="1560" w:type="dxa"/>
                  </w:tcPr>
                  <w:p w14:paraId="6882EB88" w14:textId="77777777" w:rsidR="00830E72" w:rsidRDefault="00830E72">
                    <w:pPr>
                      <w:jc w:val="right"/>
                      <w:rPr>
                        <w:sz w:val="18"/>
                        <w:szCs w:val="18"/>
                      </w:rPr>
                    </w:pPr>
                  </w:p>
                </w:tc>
                <w:tc>
                  <w:tcPr>
                    <w:tcW w:w="1701" w:type="dxa"/>
                  </w:tcPr>
                  <w:p w14:paraId="0192A03E" w14:textId="77777777" w:rsidR="00830E72" w:rsidRDefault="00830E72">
                    <w:pPr>
                      <w:jc w:val="right"/>
                      <w:rPr>
                        <w:sz w:val="18"/>
                        <w:szCs w:val="18"/>
                      </w:rPr>
                    </w:pPr>
                  </w:p>
                </w:tc>
                <w:tc>
                  <w:tcPr>
                    <w:tcW w:w="1684" w:type="dxa"/>
                  </w:tcPr>
                  <w:p w14:paraId="711A2A36" w14:textId="77777777" w:rsidR="00830E72" w:rsidRDefault="008344D8">
                    <w:pPr>
                      <w:jc w:val="right"/>
                      <w:rPr>
                        <w:sz w:val="18"/>
                        <w:szCs w:val="18"/>
                      </w:rPr>
                    </w:pPr>
                    <w:r>
                      <w:rPr>
                        <w:sz w:val="18"/>
                        <w:szCs w:val="18"/>
                      </w:rPr>
                      <w:t>471,363.19</w:t>
                    </w:r>
                  </w:p>
                </w:tc>
              </w:tr>
              <w:tr w:rsidR="00830E72" w14:paraId="3B8B50B0" w14:textId="77777777" w:rsidTr="00D44830">
                <w:trPr>
                  <w:trHeight w:val="20"/>
                </w:trPr>
                <w:sdt>
                  <w:sdtPr>
                    <w:tag w:val="_PLD_6c9c274129814a4ea45296335d45791b"/>
                    <w:id w:val="173845278"/>
                    <w:lock w:val="sdtLocked"/>
                  </w:sdtPr>
                  <w:sdtEndPr/>
                  <w:sdtContent>
                    <w:tc>
                      <w:tcPr>
                        <w:tcW w:w="1503" w:type="dxa"/>
                        <w:vAlign w:val="center"/>
                      </w:tcPr>
                      <w:p w14:paraId="045192AB" w14:textId="77777777" w:rsidR="00830E72" w:rsidRDefault="008344D8">
                        <w:pPr>
                          <w:rPr>
                            <w:sz w:val="18"/>
                            <w:szCs w:val="18"/>
                          </w:rPr>
                        </w:pPr>
                        <w:r>
                          <w:rPr>
                            <w:rFonts w:hint="eastAsia"/>
                            <w:sz w:val="18"/>
                            <w:szCs w:val="18"/>
                          </w:rPr>
                          <w:t>1．本期提取</w:t>
                        </w:r>
                      </w:p>
                    </w:tc>
                  </w:sdtContent>
                </w:sdt>
                <w:tc>
                  <w:tcPr>
                    <w:tcW w:w="1559" w:type="dxa"/>
                    <w:tcBorders>
                      <w:right w:val="single" w:sz="4" w:space="0" w:color="auto"/>
                    </w:tcBorders>
                  </w:tcPr>
                  <w:p w14:paraId="48746E9B" w14:textId="77777777" w:rsidR="00830E72" w:rsidRDefault="00830E72">
                    <w:pPr>
                      <w:jc w:val="right"/>
                      <w:rPr>
                        <w:sz w:val="18"/>
                        <w:szCs w:val="18"/>
                      </w:rPr>
                    </w:pPr>
                  </w:p>
                </w:tc>
                <w:tc>
                  <w:tcPr>
                    <w:tcW w:w="567" w:type="dxa"/>
                    <w:tcBorders>
                      <w:left w:val="single" w:sz="4" w:space="0" w:color="auto"/>
                      <w:right w:val="single" w:sz="4" w:space="0" w:color="auto"/>
                    </w:tcBorders>
                  </w:tcPr>
                  <w:p w14:paraId="35C40AE6" w14:textId="77777777" w:rsidR="00830E72" w:rsidRDefault="00830E72">
                    <w:pPr>
                      <w:jc w:val="right"/>
                      <w:rPr>
                        <w:sz w:val="18"/>
                        <w:szCs w:val="18"/>
                      </w:rPr>
                    </w:pPr>
                  </w:p>
                </w:tc>
                <w:tc>
                  <w:tcPr>
                    <w:tcW w:w="567" w:type="dxa"/>
                    <w:tcBorders>
                      <w:left w:val="single" w:sz="4" w:space="0" w:color="auto"/>
                      <w:right w:val="single" w:sz="4" w:space="0" w:color="auto"/>
                    </w:tcBorders>
                  </w:tcPr>
                  <w:p w14:paraId="3CE2E42F" w14:textId="77777777" w:rsidR="00830E72" w:rsidRDefault="00830E72">
                    <w:pPr>
                      <w:jc w:val="right"/>
                      <w:rPr>
                        <w:sz w:val="18"/>
                        <w:szCs w:val="18"/>
                      </w:rPr>
                    </w:pPr>
                  </w:p>
                </w:tc>
                <w:tc>
                  <w:tcPr>
                    <w:tcW w:w="396" w:type="dxa"/>
                    <w:tcBorders>
                      <w:left w:val="single" w:sz="4" w:space="0" w:color="auto"/>
                    </w:tcBorders>
                  </w:tcPr>
                  <w:p w14:paraId="6758B59D" w14:textId="77777777" w:rsidR="00830E72" w:rsidRDefault="00830E72">
                    <w:pPr>
                      <w:jc w:val="right"/>
                      <w:rPr>
                        <w:sz w:val="18"/>
                        <w:szCs w:val="18"/>
                      </w:rPr>
                    </w:pPr>
                  </w:p>
                </w:tc>
                <w:tc>
                  <w:tcPr>
                    <w:tcW w:w="1560" w:type="dxa"/>
                  </w:tcPr>
                  <w:p w14:paraId="513C405F" w14:textId="77777777" w:rsidR="00830E72" w:rsidRDefault="00830E72">
                    <w:pPr>
                      <w:jc w:val="right"/>
                      <w:rPr>
                        <w:sz w:val="18"/>
                        <w:szCs w:val="18"/>
                      </w:rPr>
                    </w:pPr>
                  </w:p>
                </w:tc>
                <w:tc>
                  <w:tcPr>
                    <w:tcW w:w="595" w:type="dxa"/>
                  </w:tcPr>
                  <w:p w14:paraId="0F7E4B6A" w14:textId="77777777" w:rsidR="00830E72" w:rsidRDefault="00830E72">
                    <w:pPr>
                      <w:jc w:val="right"/>
                      <w:rPr>
                        <w:sz w:val="18"/>
                        <w:szCs w:val="18"/>
                      </w:rPr>
                    </w:pPr>
                  </w:p>
                </w:tc>
                <w:tc>
                  <w:tcPr>
                    <w:tcW w:w="851" w:type="dxa"/>
                  </w:tcPr>
                  <w:p w14:paraId="7B1FDF3F" w14:textId="77777777" w:rsidR="00830E72" w:rsidRDefault="00830E72">
                    <w:pPr>
                      <w:jc w:val="right"/>
                      <w:rPr>
                        <w:sz w:val="18"/>
                        <w:szCs w:val="18"/>
                      </w:rPr>
                    </w:pPr>
                  </w:p>
                </w:tc>
                <w:tc>
                  <w:tcPr>
                    <w:tcW w:w="1417" w:type="dxa"/>
                  </w:tcPr>
                  <w:p w14:paraId="10C46781" w14:textId="77777777" w:rsidR="00830E72" w:rsidRDefault="008344D8">
                    <w:pPr>
                      <w:jc w:val="right"/>
                      <w:rPr>
                        <w:sz w:val="18"/>
                        <w:szCs w:val="18"/>
                      </w:rPr>
                    </w:pPr>
                    <w:r>
                      <w:rPr>
                        <w:sz w:val="18"/>
                        <w:szCs w:val="18"/>
                      </w:rPr>
                      <w:t>28,407,888.61</w:t>
                    </w:r>
                  </w:p>
                </w:tc>
                <w:tc>
                  <w:tcPr>
                    <w:tcW w:w="1560" w:type="dxa"/>
                  </w:tcPr>
                  <w:p w14:paraId="59C37DD4" w14:textId="77777777" w:rsidR="00830E72" w:rsidRDefault="00830E72">
                    <w:pPr>
                      <w:jc w:val="right"/>
                      <w:rPr>
                        <w:sz w:val="18"/>
                        <w:szCs w:val="18"/>
                      </w:rPr>
                    </w:pPr>
                  </w:p>
                </w:tc>
                <w:tc>
                  <w:tcPr>
                    <w:tcW w:w="1701" w:type="dxa"/>
                  </w:tcPr>
                  <w:p w14:paraId="3BBF102C" w14:textId="77777777" w:rsidR="00830E72" w:rsidRDefault="00830E72">
                    <w:pPr>
                      <w:jc w:val="right"/>
                      <w:rPr>
                        <w:sz w:val="18"/>
                        <w:szCs w:val="18"/>
                      </w:rPr>
                    </w:pPr>
                  </w:p>
                </w:tc>
                <w:tc>
                  <w:tcPr>
                    <w:tcW w:w="1684" w:type="dxa"/>
                  </w:tcPr>
                  <w:p w14:paraId="2BDC3FE0" w14:textId="77777777" w:rsidR="00830E72" w:rsidRDefault="008344D8">
                    <w:pPr>
                      <w:jc w:val="right"/>
                      <w:rPr>
                        <w:sz w:val="18"/>
                        <w:szCs w:val="18"/>
                      </w:rPr>
                    </w:pPr>
                    <w:r>
                      <w:rPr>
                        <w:sz w:val="18"/>
                        <w:szCs w:val="18"/>
                      </w:rPr>
                      <w:t>28,407,888.61</w:t>
                    </w:r>
                  </w:p>
                </w:tc>
              </w:tr>
              <w:tr w:rsidR="00830E72" w14:paraId="27EF168D" w14:textId="77777777" w:rsidTr="00D44830">
                <w:trPr>
                  <w:trHeight w:val="20"/>
                </w:trPr>
                <w:sdt>
                  <w:sdtPr>
                    <w:tag w:val="_PLD_14398e4dd6ed4c74869a974323e2137e"/>
                    <w:id w:val="1041090876"/>
                    <w:lock w:val="sdtLocked"/>
                  </w:sdtPr>
                  <w:sdtEndPr/>
                  <w:sdtContent>
                    <w:tc>
                      <w:tcPr>
                        <w:tcW w:w="1503" w:type="dxa"/>
                        <w:vAlign w:val="center"/>
                      </w:tcPr>
                      <w:p w14:paraId="6AA34162" w14:textId="77777777" w:rsidR="00830E72" w:rsidRDefault="008344D8">
                        <w:pPr>
                          <w:rPr>
                            <w:sz w:val="18"/>
                            <w:szCs w:val="18"/>
                          </w:rPr>
                        </w:pPr>
                        <w:r>
                          <w:rPr>
                            <w:rFonts w:hint="eastAsia"/>
                            <w:sz w:val="18"/>
                            <w:szCs w:val="18"/>
                          </w:rPr>
                          <w:t>2．本期使用</w:t>
                        </w:r>
                      </w:p>
                    </w:tc>
                  </w:sdtContent>
                </w:sdt>
                <w:tc>
                  <w:tcPr>
                    <w:tcW w:w="1559" w:type="dxa"/>
                    <w:tcBorders>
                      <w:right w:val="single" w:sz="4" w:space="0" w:color="auto"/>
                    </w:tcBorders>
                  </w:tcPr>
                  <w:p w14:paraId="14103774" w14:textId="77777777" w:rsidR="00830E72" w:rsidRDefault="00830E72">
                    <w:pPr>
                      <w:jc w:val="right"/>
                      <w:rPr>
                        <w:sz w:val="18"/>
                        <w:szCs w:val="18"/>
                      </w:rPr>
                    </w:pPr>
                  </w:p>
                </w:tc>
                <w:tc>
                  <w:tcPr>
                    <w:tcW w:w="567" w:type="dxa"/>
                    <w:tcBorders>
                      <w:left w:val="single" w:sz="4" w:space="0" w:color="auto"/>
                      <w:right w:val="single" w:sz="4" w:space="0" w:color="auto"/>
                    </w:tcBorders>
                  </w:tcPr>
                  <w:p w14:paraId="4D2C115D" w14:textId="77777777" w:rsidR="00830E72" w:rsidRDefault="00830E72">
                    <w:pPr>
                      <w:jc w:val="right"/>
                      <w:rPr>
                        <w:sz w:val="18"/>
                        <w:szCs w:val="18"/>
                      </w:rPr>
                    </w:pPr>
                  </w:p>
                </w:tc>
                <w:tc>
                  <w:tcPr>
                    <w:tcW w:w="567" w:type="dxa"/>
                    <w:tcBorders>
                      <w:left w:val="single" w:sz="4" w:space="0" w:color="auto"/>
                      <w:right w:val="single" w:sz="4" w:space="0" w:color="auto"/>
                    </w:tcBorders>
                  </w:tcPr>
                  <w:p w14:paraId="2EA30DC7" w14:textId="77777777" w:rsidR="00830E72" w:rsidRDefault="00830E72">
                    <w:pPr>
                      <w:jc w:val="right"/>
                      <w:rPr>
                        <w:sz w:val="18"/>
                        <w:szCs w:val="18"/>
                      </w:rPr>
                    </w:pPr>
                  </w:p>
                </w:tc>
                <w:tc>
                  <w:tcPr>
                    <w:tcW w:w="396" w:type="dxa"/>
                    <w:tcBorders>
                      <w:left w:val="single" w:sz="4" w:space="0" w:color="auto"/>
                    </w:tcBorders>
                  </w:tcPr>
                  <w:p w14:paraId="405461D6" w14:textId="77777777" w:rsidR="00830E72" w:rsidRDefault="00830E72">
                    <w:pPr>
                      <w:jc w:val="right"/>
                      <w:rPr>
                        <w:sz w:val="18"/>
                        <w:szCs w:val="18"/>
                      </w:rPr>
                    </w:pPr>
                  </w:p>
                </w:tc>
                <w:tc>
                  <w:tcPr>
                    <w:tcW w:w="1560" w:type="dxa"/>
                  </w:tcPr>
                  <w:p w14:paraId="003A20B8" w14:textId="77777777" w:rsidR="00830E72" w:rsidRDefault="00830E72">
                    <w:pPr>
                      <w:jc w:val="right"/>
                      <w:rPr>
                        <w:sz w:val="18"/>
                        <w:szCs w:val="18"/>
                      </w:rPr>
                    </w:pPr>
                  </w:p>
                </w:tc>
                <w:tc>
                  <w:tcPr>
                    <w:tcW w:w="595" w:type="dxa"/>
                  </w:tcPr>
                  <w:p w14:paraId="5105DB61" w14:textId="77777777" w:rsidR="00830E72" w:rsidRDefault="00830E72">
                    <w:pPr>
                      <w:jc w:val="right"/>
                      <w:rPr>
                        <w:sz w:val="18"/>
                        <w:szCs w:val="18"/>
                      </w:rPr>
                    </w:pPr>
                  </w:p>
                </w:tc>
                <w:tc>
                  <w:tcPr>
                    <w:tcW w:w="851" w:type="dxa"/>
                  </w:tcPr>
                  <w:p w14:paraId="68BDFC57" w14:textId="77777777" w:rsidR="00830E72" w:rsidRDefault="00830E72">
                    <w:pPr>
                      <w:jc w:val="right"/>
                      <w:rPr>
                        <w:sz w:val="18"/>
                        <w:szCs w:val="18"/>
                      </w:rPr>
                    </w:pPr>
                  </w:p>
                </w:tc>
                <w:tc>
                  <w:tcPr>
                    <w:tcW w:w="1417" w:type="dxa"/>
                  </w:tcPr>
                  <w:p w14:paraId="5B86979B" w14:textId="77777777" w:rsidR="00830E72" w:rsidRDefault="008344D8">
                    <w:pPr>
                      <w:jc w:val="right"/>
                      <w:rPr>
                        <w:sz w:val="18"/>
                        <w:szCs w:val="18"/>
                      </w:rPr>
                    </w:pPr>
                    <w:r>
                      <w:rPr>
                        <w:sz w:val="18"/>
                        <w:szCs w:val="18"/>
                      </w:rPr>
                      <w:t>27,936,525.42</w:t>
                    </w:r>
                  </w:p>
                </w:tc>
                <w:tc>
                  <w:tcPr>
                    <w:tcW w:w="1560" w:type="dxa"/>
                  </w:tcPr>
                  <w:p w14:paraId="5572F4C4" w14:textId="77777777" w:rsidR="00830E72" w:rsidRDefault="00830E72">
                    <w:pPr>
                      <w:jc w:val="right"/>
                      <w:rPr>
                        <w:sz w:val="18"/>
                        <w:szCs w:val="18"/>
                      </w:rPr>
                    </w:pPr>
                  </w:p>
                </w:tc>
                <w:tc>
                  <w:tcPr>
                    <w:tcW w:w="1701" w:type="dxa"/>
                  </w:tcPr>
                  <w:p w14:paraId="3624ECC7" w14:textId="77777777" w:rsidR="00830E72" w:rsidRDefault="00830E72">
                    <w:pPr>
                      <w:jc w:val="right"/>
                      <w:rPr>
                        <w:sz w:val="18"/>
                        <w:szCs w:val="18"/>
                      </w:rPr>
                    </w:pPr>
                  </w:p>
                </w:tc>
                <w:tc>
                  <w:tcPr>
                    <w:tcW w:w="1684" w:type="dxa"/>
                  </w:tcPr>
                  <w:p w14:paraId="419C6582" w14:textId="77777777" w:rsidR="00830E72" w:rsidRDefault="008344D8">
                    <w:pPr>
                      <w:jc w:val="right"/>
                      <w:rPr>
                        <w:sz w:val="18"/>
                        <w:szCs w:val="18"/>
                      </w:rPr>
                    </w:pPr>
                    <w:r>
                      <w:rPr>
                        <w:sz w:val="18"/>
                        <w:szCs w:val="18"/>
                      </w:rPr>
                      <w:t>27,936,525.42</w:t>
                    </w:r>
                  </w:p>
                </w:tc>
              </w:tr>
              <w:tr w:rsidR="00830E72" w14:paraId="59E54C78" w14:textId="77777777" w:rsidTr="00D44830">
                <w:trPr>
                  <w:trHeight w:val="20"/>
                </w:trPr>
                <w:sdt>
                  <w:sdtPr>
                    <w:tag w:val="_PLD_224fa1ebe84a4d40b88b89a97997e311"/>
                    <w:id w:val="-1529947860"/>
                    <w:lock w:val="sdtLocked"/>
                  </w:sdtPr>
                  <w:sdtEndPr/>
                  <w:sdtContent>
                    <w:tc>
                      <w:tcPr>
                        <w:tcW w:w="1503" w:type="dxa"/>
                      </w:tcPr>
                      <w:p w14:paraId="1A40EF66" w14:textId="77777777" w:rsidR="00830E72" w:rsidRDefault="008344D8">
                        <w:pPr>
                          <w:rPr>
                            <w:sz w:val="18"/>
                            <w:szCs w:val="18"/>
                          </w:rPr>
                        </w:pPr>
                        <w:r>
                          <w:rPr>
                            <w:rFonts w:hint="eastAsia"/>
                            <w:sz w:val="18"/>
                            <w:szCs w:val="18"/>
                          </w:rPr>
                          <w:t>（六）其他</w:t>
                        </w:r>
                      </w:p>
                    </w:tc>
                  </w:sdtContent>
                </w:sdt>
                <w:tc>
                  <w:tcPr>
                    <w:tcW w:w="1559" w:type="dxa"/>
                    <w:tcBorders>
                      <w:right w:val="single" w:sz="4" w:space="0" w:color="auto"/>
                    </w:tcBorders>
                  </w:tcPr>
                  <w:p w14:paraId="482CDD2B" w14:textId="77777777" w:rsidR="00830E72" w:rsidRDefault="00830E72">
                    <w:pPr>
                      <w:jc w:val="right"/>
                      <w:rPr>
                        <w:sz w:val="18"/>
                        <w:szCs w:val="18"/>
                      </w:rPr>
                    </w:pPr>
                  </w:p>
                </w:tc>
                <w:tc>
                  <w:tcPr>
                    <w:tcW w:w="567" w:type="dxa"/>
                    <w:tcBorders>
                      <w:left w:val="single" w:sz="4" w:space="0" w:color="auto"/>
                      <w:right w:val="single" w:sz="4" w:space="0" w:color="auto"/>
                    </w:tcBorders>
                  </w:tcPr>
                  <w:p w14:paraId="7C2D8E8A" w14:textId="77777777" w:rsidR="00830E72" w:rsidRDefault="00830E72">
                    <w:pPr>
                      <w:jc w:val="right"/>
                      <w:rPr>
                        <w:sz w:val="18"/>
                        <w:szCs w:val="18"/>
                      </w:rPr>
                    </w:pPr>
                  </w:p>
                </w:tc>
                <w:tc>
                  <w:tcPr>
                    <w:tcW w:w="567" w:type="dxa"/>
                    <w:tcBorders>
                      <w:left w:val="single" w:sz="4" w:space="0" w:color="auto"/>
                      <w:right w:val="single" w:sz="4" w:space="0" w:color="auto"/>
                    </w:tcBorders>
                  </w:tcPr>
                  <w:p w14:paraId="7AC22EC1" w14:textId="77777777" w:rsidR="00830E72" w:rsidRDefault="00830E72">
                    <w:pPr>
                      <w:jc w:val="right"/>
                      <w:rPr>
                        <w:sz w:val="18"/>
                        <w:szCs w:val="18"/>
                      </w:rPr>
                    </w:pPr>
                  </w:p>
                </w:tc>
                <w:tc>
                  <w:tcPr>
                    <w:tcW w:w="396" w:type="dxa"/>
                    <w:tcBorders>
                      <w:left w:val="single" w:sz="4" w:space="0" w:color="auto"/>
                    </w:tcBorders>
                  </w:tcPr>
                  <w:p w14:paraId="06888E3D" w14:textId="77777777" w:rsidR="00830E72" w:rsidRDefault="00830E72">
                    <w:pPr>
                      <w:jc w:val="right"/>
                      <w:rPr>
                        <w:sz w:val="18"/>
                        <w:szCs w:val="18"/>
                      </w:rPr>
                    </w:pPr>
                  </w:p>
                </w:tc>
                <w:tc>
                  <w:tcPr>
                    <w:tcW w:w="1560" w:type="dxa"/>
                  </w:tcPr>
                  <w:p w14:paraId="3FC571D5" w14:textId="77777777" w:rsidR="00830E72" w:rsidRDefault="00830E72">
                    <w:pPr>
                      <w:jc w:val="right"/>
                      <w:rPr>
                        <w:sz w:val="18"/>
                        <w:szCs w:val="18"/>
                      </w:rPr>
                    </w:pPr>
                  </w:p>
                </w:tc>
                <w:tc>
                  <w:tcPr>
                    <w:tcW w:w="595" w:type="dxa"/>
                  </w:tcPr>
                  <w:p w14:paraId="14ACD0A6" w14:textId="77777777" w:rsidR="00830E72" w:rsidRDefault="00830E72">
                    <w:pPr>
                      <w:jc w:val="right"/>
                      <w:rPr>
                        <w:sz w:val="18"/>
                        <w:szCs w:val="18"/>
                      </w:rPr>
                    </w:pPr>
                  </w:p>
                </w:tc>
                <w:tc>
                  <w:tcPr>
                    <w:tcW w:w="851" w:type="dxa"/>
                  </w:tcPr>
                  <w:p w14:paraId="44CD22BB" w14:textId="77777777" w:rsidR="00830E72" w:rsidRDefault="00830E72">
                    <w:pPr>
                      <w:jc w:val="right"/>
                      <w:rPr>
                        <w:sz w:val="18"/>
                        <w:szCs w:val="18"/>
                      </w:rPr>
                    </w:pPr>
                  </w:p>
                </w:tc>
                <w:tc>
                  <w:tcPr>
                    <w:tcW w:w="1417" w:type="dxa"/>
                  </w:tcPr>
                  <w:p w14:paraId="0CBA4324" w14:textId="77777777" w:rsidR="00830E72" w:rsidRDefault="00830E72">
                    <w:pPr>
                      <w:jc w:val="right"/>
                      <w:rPr>
                        <w:sz w:val="18"/>
                        <w:szCs w:val="18"/>
                      </w:rPr>
                    </w:pPr>
                  </w:p>
                </w:tc>
                <w:tc>
                  <w:tcPr>
                    <w:tcW w:w="1560" w:type="dxa"/>
                  </w:tcPr>
                  <w:p w14:paraId="60AE826F" w14:textId="77777777" w:rsidR="00830E72" w:rsidRDefault="00830E72">
                    <w:pPr>
                      <w:jc w:val="right"/>
                      <w:rPr>
                        <w:sz w:val="18"/>
                        <w:szCs w:val="18"/>
                      </w:rPr>
                    </w:pPr>
                  </w:p>
                </w:tc>
                <w:tc>
                  <w:tcPr>
                    <w:tcW w:w="1701" w:type="dxa"/>
                  </w:tcPr>
                  <w:p w14:paraId="21CECBAB" w14:textId="77777777" w:rsidR="00830E72" w:rsidRDefault="00830E72">
                    <w:pPr>
                      <w:jc w:val="right"/>
                      <w:rPr>
                        <w:sz w:val="18"/>
                        <w:szCs w:val="18"/>
                      </w:rPr>
                    </w:pPr>
                  </w:p>
                </w:tc>
                <w:tc>
                  <w:tcPr>
                    <w:tcW w:w="1684" w:type="dxa"/>
                  </w:tcPr>
                  <w:p w14:paraId="156835D1" w14:textId="77777777" w:rsidR="00830E72" w:rsidRDefault="00830E72">
                    <w:pPr>
                      <w:jc w:val="right"/>
                      <w:rPr>
                        <w:sz w:val="18"/>
                        <w:szCs w:val="18"/>
                      </w:rPr>
                    </w:pPr>
                  </w:p>
                </w:tc>
              </w:tr>
              <w:tr w:rsidR="00830E72" w14:paraId="449F295D" w14:textId="77777777" w:rsidTr="00D44830">
                <w:trPr>
                  <w:trHeight w:val="20"/>
                </w:trPr>
                <w:sdt>
                  <w:sdtPr>
                    <w:tag w:val="_PLD_fe962ef732004aec94edafee7e0bef94"/>
                    <w:id w:val="1169759266"/>
                    <w:lock w:val="sdtLocked"/>
                  </w:sdtPr>
                  <w:sdtEndPr/>
                  <w:sdtContent>
                    <w:tc>
                      <w:tcPr>
                        <w:tcW w:w="1503" w:type="dxa"/>
                      </w:tcPr>
                      <w:p w14:paraId="4CB3849D" w14:textId="77777777" w:rsidR="00830E72" w:rsidRDefault="008344D8">
                        <w:pPr>
                          <w:rPr>
                            <w:sz w:val="18"/>
                            <w:szCs w:val="18"/>
                          </w:rPr>
                        </w:pPr>
                        <w:r>
                          <w:rPr>
                            <w:sz w:val="18"/>
                            <w:szCs w:val="18"/>
                          </w:rPr>
                          <w:t>四、本期期末余额</w:t>
                        </w:r>
                      </w:p>
                    </w:tc>
                  </w:sdtContent>
                </w:sdt>
                <w:tc>
                  <w:tcPr>
                    <w:tcW w:w="1559" w:type="dxa"/>
                    <w:tcBorders>
                      <w:right w:val="single" w:sz="4" w:space="0" w:color="auto"/>
                    </w:tcBorders>
                  </w:tcPr>
                  <w:p w14:paraId="1DF35FE4" w14:textId="77777777" w:rsidR="00830E72" w:rsidRDefault="008344D8">
                    <w:pPr>
                      <w:jc w:val="right"/>
                      <w:rPr>
                        <w:sz w:val="18"/>
                        <w:szCs w:val="18"/>
                      </w:rPr>
                    </w:pPr>
                    <w:r>
                      <w:rPr>
                        <w:sz w:val="18"/>
                        <w:szCs w:val="18"/>
                      </w:rPr>
                      <w:t>618,924,235.00</w:t>
                    </w:r>
                  </w:p>
                </w:tc>
                <w:tc>
                  <w:tcPr>
                    <w:tcW w:w="567" w:type="dxa"/>
                    <w:tcBorders>
                      <w:left w:val="single" w:sz="4" w:space="0" w:color="auto"/>
                      <w:right w:val="single" w:sz="4" w:space="0" w:color="auto"/>
                    </w:tcBorders>
                  </w:tcPr>
                  <w:p w14:paraId="1CB2740A" w14:textId="77777777" w:rsidR="00830E72" w:rsidRDefault="00830E72">
                    <w:pPr>
                      <w:jc w:val="right"/>
                      <w:rPr>
                        <w:sz w:val="18"/>
                        <w:szCs w:val="18"/>
                      </w:rPr>
                    </w:pPr>
                  </w:p>
                </w:tc>
                <w:tc>
                  <w:tcPr>
                    <w:tcW w:w="567" w:type="dxa"/>
                    <w:tcBorders>
                      <w:left w:val="single" w:sz="4" w:space="0" w:color="auto"/>
                      <w:right w:val="single" w:sz="4" w:space="0" w:color="auto"/>
                    </w:tcBorders>
                  </w:tcPr>
                  <w:p w14:paraId="051A5EAE" w14:textId="77777777" w:rsidR="00830E72" w:rsidRDefault="00830E72">
                    <w:pPr>
                      <w:jc w:val="right"/>
                      <w:rPr>
                        <w:sz w:val="18"/>
                        <w:szCs w:val="18"/>
                      </w:rPr>
                    </w:pPr>
                  </w:p>
                </w:tc>
                <w:tc>
                  <w:tcPr>
                    <w:tcW w:w="396" w:type="dxa"/>
                    <w:tcBorders>
                      <w:left w:val="single" w:sz="4" w:space="0" w:color="auto"/>
                    </w:tcBorders>
                  </w:tcPr>
                  <w:p w14:paraId="5FAEF1C8" w14:textId="77777777" w:rsidR="00830E72" w:rsidRDefault="00830E72">
                    <w:pPr>
                      <w:jc w:val="right"/>
                      <w:rPr>
                        <w:sz w:val="18"/>
                        <w:szCs w:val="18"/>
                      </w:rPr>
                    </w:pPr>
                  </w:p>
                </w:tc>
                <w:tc>
                  <w:tcPr>
                    <w:tcW w:w="1560" w:type="dxa"/>
                  </w:tcPr>
                  <w:p w14:paraId="557E64D0" w14:textId="77777777" w:rsidR="00830E72" w:rsidRDefault="008344D8">
                    <w:pPr>
                      <w:jc w:val="right"/>
                      <w:rPr>
                        <w:sz w:val="18"/>
                        <w:szCs w:val="18"/>
                      </w:rPr>
                    </w:pPr>
                    <w:r>
                      <w:rPr>
                        <w:sz w:val="18"/>
                        <w:szCs w:val="18"/>
                      </w:rPr>
                      <w:t>948,554,348.81</w:t>
                    </w:r>
                  </w:p>
                </w:tc>
                <w:tc>
                  <w:tcPr>
                    <w:tcW w:w="595" w:type="dxa"/>
                  </w:tcPr>
                  <w:p w14:paraId="6CEE73A0" w14:textId="77777777" w:rsidR="00830E72" w:rsidRDefault="00830E72">
                    <w:pPr>
                      <w:jc w:val="right"/>
                      <w:rPr>
                        <w:sz w:val="18"/>
                        <w:szCs w:val="18"/>
                      </w:rPr>
                    </w:pPr>
                  </w:p>
                </w:tc>
                <w:tc>
                  <w:tcPr>
                    <w:tcW w:w="851" w:type="dxa"/>
                  </w:tcPr>
                  <w:p w14:paraId="12D6A8D4" w14:textId="77777777" w:rsidR="00830E72" w:rsidRDefault="00830E72">
                    <w:pPr>
                      <w:jc w:val="right"/>
                      <w:rPr>
                        <w:sz w:val="18"/>
                        <w:szCs w:val="18"/>
                      </w:rPr>
                    </w:pPr>
                  </w:p>
                </w:tc>
                <w:tc>
                  <w:tcPr>
                    <w:tcW w:w="1417" w:type="dxa"/>
                  </w:tcPr>
                  <w:p w14:paraId="50178F7A" w14:textId="77777777" w:rsidR="00830E72" w:rsidRDefault="008344D8">
                    <w:pPr>
                      <w:jc w:val="right"/>
                      <w:rPr>
                        <w:sz w:val="18"/>
                        <w:szCs w:val="18"/>
                      </w:rPr>
                    </w:pPr>
                    <w:r>
                      <w:rPr>
                        <w:sz w:val="18"/>
                        <w:szCs w:val="18"/>
                      </w:rPr>
                      <w:t>15,908,148.00</w:t>
                    </w:r>
                  </w:p>
                </w:tc>
                <w:tc>
                  <w:tcPr>
                    <w:tcW w:w="1560" w:type="dxa"/>
                  </w:tcPr>
                  <w:p w14:paraId="32E81995" w14:textId="77777777" w:rsidR="00830E72" w:rsidRDefault="008344D8">
                    <w:pPr>
                      <w:jc w:val="right"/>
                      <w:rPr>
                        <w:sz w:val="18"/>
                        <w:szCs w:val="18"/>
                      </w:rPr>
                    </w:pPr>
                    <w:r>
                      <w:rPr>
                        <w:sz w:val="18"/>
                        <w:szCs w:val="18"/>
                      </w:rPr>
                      <w:t>44,344,922.59</w:t>
                    </w:r>
                  </w:p>
                </w:tc>
                <w:tc>
                  <w:tcPr>
                    <w:tcW w:w="1701" w:type="dxa"/>
                  </w:tcPr>
                  <w:p w14:paraId="0D2A2FF1" w14:textId="77777777" w:rsidR="00830E72" w:rsidRDefault="008344D8">
                    <w:pPr>
                      <w:jc w:val="right"/>
                      <w:rPr>
                        <w:sz w:val="18"/>
                        <w:szCs w:val="18"/>
                      </w:rPr>
                    </w:pPr>
                    <w:r>
                      <w:rPr>
                        <w:sz w:val="18"/>
                        <w:szCs w:val="18"/>
                      </w:rPr>
                      <w:t>329,212,245.88</w:t>
                    </w:r>
                  </w:p>
                </w:tc>
                <w:tc>
                  <w:tcPr>
                    <w:tcW w:w="1684" w:type="dxa"/>
                  </w:tcPr>
                  <w:p w14:paraId="267DD69E" w14:textId="77777777" w:rsidR="00830E72" w:rsidRDefault="008344D8">
                    <w:pPr>
                      <w:jc w:val="right"/>
                      <w:rPr>
                        <w:sz w:val="18"/>
                        <w:szCs w:val="18"/>
                      </w:rPr>
                    </w:pPr>
                    <w:r>
                      <w:rPr>
                        <w:sz w:val="18"/>
                        <w:szCs w:val="18"/>
                      </w:rPr>
                      <w:t>1,956,943,900.28</w:t>
                    </w:r>
                  </w:p>
                </w:tc>
              </w:tr>
            </w:tbl>
            <w:p w14:paraId="2902B6F1" w14:textId="77777777" w:rsidR="00830E72" w:rsidRDefault="00830E72"/>
            <w:p w14:paraId="68311371" w14:textId="77777777" w:rsidR="00830E72" w:rsidRDefault="00830E72">
              <w:pPr>
                <w:rPr>
                  <w:szCs w:val="21"/>
                </w:rPr>
              </w:pPr>
            </w:p>
            <w:tbl>
              <w:tblPr>
                <w:tblStyle w:val="g1"/>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444"/>
                <w:gridCol w:w="1559"/>
                <w:gridCol w:w="567"/>
                <w:gridCol w:w="567"/>
                <w:gridCol w:w="425"/>
                <w:gridCol w:w="1559"/>
                <w:gridCol w:w="567"/>
                <w:gridCol w:w="709"/>
                <w:gridCol w:w="1559"/>
                <w:gridCol w:w="1418"/>
                <w:gridCol w:w="1843"/>
                <w:gridCol w:w="1687"/>
              </w:tblGrid>
              <w:tr w:rsidR="00830E72" w14:paraId="3384A148" w14:textId="77777777">
                <w:trPr>
                  <w:trHeight w:val="20"/>
                </w:trPr>
                <w:tc>
                  <w:tcPr>
                    <w:tcW w:w="1444" w:type="dxa"/>
                    <w:vMerge w:val="restart"/>
                    <w:vAlign w:val="center"/>
                  </w:tcPr>
                  <w:sdt>
                    <w:sdtPr>
                      <w:rPr>
                        <w:rFonts w:hint="eastAsia"/>
                        <w:sz w:val="18"/>
                        <w:szCs w:val="18"/>
                      </w:rPr>
                      <w:tag w:val="_PLD_312727f4b56147c2b646c0fb68a4b58b"/>
                      <w:id w:val="-2147412578"/>
                      <w:lock w:val="sdtLocked"/>
                    </w:sdtPr>
                    <w:sdtEndPr/>
                    <w:sdtContent>
                      <w:p w14:paraId="3DC3B25D" w14:textId="77777777" w:rsidR="00830E72" w:rsidRDefault="008344D8">
                        <w:pPr>
                          <w:adjustRightInd w:val="0"/>
                          <w:snapToGrid w:val="0"/>
                          <w:jc w:val="center"/>
                          <w:rPr>
                            <w:sz w:val="18"/>
                            <w:szCs w:val="18"/>
                          </w:rPr>
                        </w:pPr>
                        <w:r>
                          <w:rPr>
                            <w:rFonts w:hint="eastAsia"/>
                            <w:sz w:val="18"/>
                            <w:szCs w:val="18"/>
                          </w:rPr>
                          <w:t>项目</w:t>
                        </w:r>
                      </w:p>
                    </w:sdtContent>
                  </w:sdt>
                </w:tc>
                <w:tc>
                  <w:tcPr>
                    <w:tcW w:w="12460" w:type="dxa"/>
                    <w:gridSpan w:val="11"/>
                  </w:tcPr>
                  <w:p w14:paraId="179E6B3C" w14:textId="77777777" w:rsidR="00830E72" w:rsidRDefault="008344D8">
                    <w:pPr>
                      <w:adjustRightInd w:val="0"/>
                      <w:snapToGrid w:val="0"/>
                      <w:jc w:val="center"/>
                      <w:rPr>
                        <w:sz w:val="18"/>
                      </w:rPr>
                    </w:pPr>
                    <w:r>
                      <w:rPr>
                        <w:rFonts w:hint="eastAsia"/>
                        <w:sz w:val="18"/>
                      </w:rPr>
                      <w:t xml:space="preserve"> </w:t>
                    </w:r>
                    <w:sdt>
                      <w:sdtPr>
                        <w:rPr>
                          <w:rFonts w:hint="eastAsia"/>
                          <w:sz w:val="18"/>
                        </w:rPr>
                        <w:tag w:val="_PLD_35246b22171846ac8ef46c5dfa1d1663"/>
                        <w:id w:val="79489084"/>
                        <w:lock w:val="sdtLocked"/>
                      </w:sdtPr>
                      <w:sdtEndPr/>
                      <w:sdtContent>
                        <w:r>
                          <w:rPr>
                            <w:rFonts w:hint="eastAsia"/>
                            <w:sz w:val="18"/>
                          </w:rPr>
                          <w:t>2020年半年度</w:t>
                        </w:r>
                      </w:sdtContent>
                    </w:sdt>
                  </w:p>
                </w:tc>
              </w:tr>
              <w:tr w:rsidR="00830E72" w14:paraId="16E59141" w14:textId="77777777">
                <w:trPr>
                  <w:trHeight w:val="315"/>
                </w:trPr>
                <w:tc>
                  <w:tcPr>
                    <w:tcW w:w="1444" w:type="dxa"/>
                    <w:vMerge/>
                  </w:tcPr>
                  <w:p w14:paraId="022C21C0" w14:textId="77777777" w:rsidR="00830E72" w:rsidRDefault="00830E72">
                    <w:pPr>
                      <w:adjustRightInd w:val="0"/>
                      <w:snapToGrid w:val="0"/>
                      <w:rPr>
                        <w:sz w:val="18"/>
                        <w:szCs w:val="18"/>
                      </w:rPr>
                    </w:pPr>
                  </w:p>
                </w:tc>
                <w:sdt>
                  <w:sdtPr>
                    <w:tag w:val="_PLD_5da9900c5a9e46a085487ea972f44796"/>
                    <w:id w:val="-32427385"/>
                    <w:lock w:val="sdtLocked"/>
                  </w:sdtPr>
                  <w:sdtEndPr/>
                  <w:sdtContent>
                    <w:tc>
                      <w:tcPr>
                        <w:tcW w:w="1559" w:type="dxa"/>
                        <w:vMerge w:val="restart"/>
                        <w:tcBorders>
                          <w:right w:val="single" w:sz="4" w:space="0" w:color="auto"/>
                        </w:tcBorders>
                        <w:vAlign w:val="center"/>
                      </w:tcPr>
                      <w:p w14:paraId="72176703" w14:textId="77777777" w:rsidR="00830E72" w:rsidRDefault="008344D8">
                        <w:pPr>
                          <w:adjustRightInd w:val="0"/>
                          <w:snapToGrid w:val="0"/>
                          <w:jc w:val="center"/>
                          <w:rPr>
                            <w:sz w:val="18"/>
                            <w:szCs w:val="18"/>
                          </w:rPr>
                        </w:pPr>
                        <w:r>
                          <w:rPr>
                            <w:rFonts w:hint="eastAsia"/>
                            <w:sz w:val="18"/>
                            <w:szCs w:val="18"/>
                          </w:rPr>
                          <w:t>实收资本</w:t>
                        </w:r>
                        <w:r>
                          <w:rPr>
                            <w:sz w:val="18"/>
                            <w:szCs w:val="18"/>
                          </w:rPr>
                          <w:t xml:space="preserve"> (或股本)</w:t>
                        </w:r>
                      </w:p>
                    </w:tc>
                  </w:sdtContent>
                </w:sdt>
                <w:sdt>
                  <w:sdtPr>
                    <w:tag w:val="_PLD_fc0bce3be00144ff950606755a048a76"/>
                    <w:id w:val="964318934"/>
                    <w:lock w:val="sdtLocked"/>
                  </w:sdtPr>
                  <w:sdtEndPr/>
                  <w:sdtContent>
                    <w:tc>
                      <w:tcPr>
                        <w:tcW w:w="1559" w:type="dxa"/>
                        <w:gridSpan w:val="3"/>
                        <w:tcBorders>
                          <w:left w:val="single" w:sz="4" w:space="0" w:color="auto"/>
                          <w:bottom w:val="single" w:sz="4" w:space="0" w:color="auto"/>
                        </w:tcBorders>
                        <w:vAlign w:val="center"/>
                      </w:tcPr>
                      <w:p w14:paraId="06D7DB00" w14:textId="77777777" w:rsidR="00830E72" w:rsidRDefault="008344D8">
                        <w:pPr>
                          <w:adjustRightInd w:val="0"/>
                          <w:snapToGrid w:val="0"/>
                          <w:jc w:val="center"/>
                          <w:rPr>
                            <w:sz w:val="18"/>
                            <w:szCs w:val="18"/>
                          </w:rPr>
                        </w:pPr>
                        <w:r>
                          <w:rPr>
                            <w:rFonts w:hint="eastAsia"/>
                            <w:sz w:val="18"/>
                            <w:szCs w:val="18"/>
                          </w:rPr>
                          <w:t>其他权益工具</w:t>
                        </w:r>
                      </w:p>
                    </w:tc>
                  </w:sdtContent>
                </w:sdt>
                <w:sdt>
                  <w:sdtPr>
                    <w:tag w:val="_PLD_b31d07f97db344b1b180738b22a76467"/>
                    <w:id w:val="-64261818"/>
                    <w:lock w:val="sdtLocked"/>
                  </w:sdtPr>
                  <w:sdtEndPr/>
                  <w:sdtContent>
                    <w:tc>
                      <w:tcPr>
                        <w:tcW w:w="1559" w:type="dxa"/>
                        <w:vAlign w:val="center"/>
                      </w:tcPr>
                      <w:p w14:paraId="21F9519D" w14:textId="77777777" w:rsidR="00830E72" w:rsidRDefault="008344D8">
                        <w:pPr>
                          <w:adjustRightInd w:val="0"/>
                          <w:snapToGrid w:val="0"/>
                          <w:jc w:val="center"/>
                          <w:rPr>
                            <w:sz w:val="18"/>
                            <w:szCs w:val="18"/>
                          </w:rPr>
                        </w:pPr>
                        <w:r>
                          <w:rPr>
                            <w:sz w:val="18"/>
                            <w:szCs w:val="18"/>
                          </w:rPr>
                          <w:t>资本公积</w:t>
                        </w:r>
                      </w:p>
                    </w:tc>
                  </w:sdtContent>
                </w:sdt>
                <w:sdt>
                  <w:sdtPr>
                    <w:tag w:val="_PLD_244676dcaf4245bd9119f474a4e885f9"/>
                    <w:id w:val="1249776050"/>
                    <w:lock w:val="sdtLocked"/>
                  </w:sdtPr>
                  <w:sdtEndPr/>
                  <w:sdtContent>
                    <w:tc>
                      <w:tcPr>
                        <w:tcW w:w="567" w:type="dxa"/>
                        <w:vMerge w:val="restart"/>
                        <w:vAlign w:val="center"/>
                      </w:tcPr>
                      <w:p w14:paraId="74BCB9DE" w14:textId="77777777" w:rsidR="00830E72" w:rsidRDefault="008344D8">
                        <w:pPr>
                          <w:adjustRightInd w:val="0"/>
                          <w:snapToGrid w:val="0"/>
                          <w:jc w:val="center"/>
                          <w:rPr>
                            <w:sz w:val="18"/>
                            <w:szCs w:val="18"/>
                          </w:rPr>
                        </w:pPr>
                        <w:r>
                          <w:rPr>
                            <w:sz w:val="18"/>
                            <w:szCs w:val="18"/>
                          </w:rPr>
                          <w:t>减：库存股</w:t>
                        </w:r>
                      </w:p>
                    </w:tc>
                  </w:sdtContent>
                </w:sdt>
                <w:sdt>
                  <w:sdtPr>
                    <w:tag w:val="_PLD_01eab1b775574165b2820a19e72d2ad0"/>
                    <w:id w:val="-1370371380"/>
                    <w:lock w:val="sdtLocked"/>
                  </w:sdtPr>
                  <w:sdtEndPr/>
                  <w:sdtContent>
                    <w:tc>
                      <w:tcPr>
                        <w:tcW w:w="709" w:type="dxa"/>
                        <w:vMerge w:val="restart"/>
                        <w:vAlign w:val="center"/>
                      </w:tcPr>
                      <w:p w14:paraId="07335E95" w14:textId="77777777" w:rsidR="00830E72" w:rsidRDefault="008344D8">
                        <w:pPr>
                          <w:jc w:val="center"/>
                          <w:rPr>
                            <w:sz w:val="18"/>
                            <w:szCs w:val="18"/>
                          </w:rPr>
                        </w:pPr>
                        <w:r>
                          <w:rPr>
                            <w:rFonts w:hint="eastAsia"/>
                            <w:sz w:val="18"/>
                            <w:szCs w:val="18"/>
                          </w:rPr>
                          <w:t>其他综合收益</w:t>
                        </w:r>
                      </w:p>
                    </w:tc>
                  </w:sdtContent>
                </w:sdt>
                <w:sdt>
                  <w:sdtPr>
                    <w:tag w:val="_PLD_13f17e2c8a7a404da876af1bac2ae6d1"/>
                    <w:id w:val="-930504038"/>
                    <w:lock w:val="sdtLocked"/>
                  </w:sdtPr>
                  <w:sdtEndPr/>
                  <w:sdtContent>
                    <w:tc>
                      <w:tcPr>
                        <w:tcW w:w="1559" w:type="dxa"/>
                        <w:vMerge w:val="restart"/>
                        <w:vAlign w:val="center"/>
                      </w:tcPr>
                      <w:p w14:paraId="58C02104" w14:textId="77777777" w:rsidR="00830E72" w:rsidRDefault="008344D8">
                        <w:pPr>
                          <w:adjustRightInd w:val="0"/>
                          <w:snapToGrid w:val="0"/>
                          <w:jc w:val="center"/>
                          <w:rPr>
                            <w:sz w:val="18"/>
                            <w:szCs w:val="18"/>
                          </w:rPr>
                        </w:pPr>
                        <w:r>
                          <w:rPr>
                            <w:rFonts w:hint="eastAsia"/>
                            <w:sz w:val="18"/>
                            <w:szCs w:val="18"/>
                          </w:rPr>
                          <w:t>专项储备</w:t>
                        </w:r>
                      </w:p>
                    </w:tc>
                  </w:sdtContent>
                </w:sdt>
                <w:sdt>
                  <w:sdtPr>
                    <w:tag w:val="_PLD_9578f3812cf04a34965a5bdc9ee82115"/>
                    <w:id w:val="-3831475"/>
                    <w:lock w:val="sdtLocked"/>
                  </w:sdtPr>
                  <w:sdtEndPr/>
                  <w:sdtContent>
                    <w:tc>
                      <w:tcPr>
                        <w:tcW w:w="1418" w:type="dxa"/>
                        <w:vMerge w:val="restart"/>
                        <w:vAlign w:val="center"/>
                      </w:tcPr>
                      <w:p w14:paraId="5DBF7AB5" w14:textId="77777777" w:rsidR="00830E72" w:rsidRDefault="008344D8">
                        <w:pPr>
                          <w:adjustRightInd w:val="0"/>
                          <w:snapToGrid w:val="0"/>
                          <w:jc w:val="center"/>
                          <w:rPr>
                            <w:sz w:val="18"/>
                            <w:szCs w:val="18"/>
                          </w:rPr>
                        </w:pPr>
                        <w:r>
                          <w:rPr>
                            <w:sz w:val="18"/>
                            <w:szCs w:val="18"/>
                          </w:rPr>
                          <w:t>盈余公积</w:t>
                        </w:r>
                      </w:p>
                    </w:tc>
                  </w:sdtContent>
                </w:sdt>
                <w:sdt>
                  <w:sdtPr>
                    <w:tag w:val="_PLD_5d835cd98ccc4304aec553a0b6a56628"/>
                    <w:id w:val="-430055026"/>
                    <w:lock w:val="sdtLocked"/>
                  </w:sdtPr>
                  <w:sdtEndPr/>
                  <w:sdtContent>
                    <w:tc>
                      <w:tcPr>
                        <w:tcW w:w="1843" w:type="dxa"/>
                        <w:vMerge w:val="restart"/>
                        <w:vAlign w:val="center"/>
                      </w:tcPr>
                      <w:p w14:paraId="15D34CF2" w14:textId="77777777" w:rsidR="00830E72" w:rsidRDefault="008344D8">
                        <w:pPr>
                          <w:adjustRightInd w:val="0"/>
                          <w:snapToGrid w:val="0"/>
                          <w:jc w:val="center"/>
                          <w:rPr>
                            <w:sz w:val="18"/>
                            <w:szCs w:val="18"/>
                          </w:rPr>
                        </w:pPr>
                        <w:r>
                          <w:rPr>
                            <w:sz w:val="18"/>
                            <w:szCs w:val="18"/>
                          </w:rPr>
                          <w:t>未分配利润</w:t>
                        </w:r>
                      </w:p>
                    </w:tc>
                  </w:sdtContent>
                </w:sdt>
                <w:sdt>
                  <w:sdtPr>
                    <w:tag w:val="_PLD_1cbb8af374a54430ad1f29ed83c69cd0"/>
                    <w:id w:val="604306688"/>
                    <w:lock w:val="sdtLocked"/>
                  </w:sdtPr>
                  <w:sdtEndPr/>
                  <w:sdtContent>
                    <w:tc>
                      <w:tcPr>
                        <w:tcW w:w="1687" w:type="dxa"/>
                        <w:vMerge w:val="restart"/>
                        <w:vAlign w:val="center"/>
                      </w:tcPr>
                      <w:p w14:paraId="663B9590" w14:textId="77777777" w:rsidR="00830E72" w:rsidRDefault="008344D8">
                        <w:pPr>
                          <w:adjustRightInd w:val="0"/>
                          <w:snapToGrid w:val="0"/>
                          <w:jc w:val="center"/>
                          <w:rPr>
                            <w:sz w:val="18"/>
                            <w:szCs w:val="18"/>
                          </w:rPr>
                        </w:pPr>
                        <w:r>
                          <w:rPr>
                            <w:sz w:val="18"/>
                            <w:szCs w:val="18"/>
                          </w:rPr>
                          <w:t>所有者权益合计</w:t>
                        </w:r>
                      </w:p>
                    </w:tc>
                  </w:sdtContent>
                </w:sdt>
              </w:tr>
              <w:tr w:rsidR="00830E72" w14:paraId="4E78F6C8" w14:textId="77777777">
                <w:trPr>
                  <w:trHeight w:val="294"/>
                </w:trPr>
                <w:tc>
                  <w:tcPr>
                    <w:tcW w:w="1444" w:type="dxa"/>
                    <w:vMerge/>
                  </w:tcPr>
                  <w:p w14:paraId="00021939" w14:textId="77777777" w:rsidR="00830E72" w:rsidRDefault="00830E72">
                    <w:pPr>
                      <w:adjustRightInd w:val="0"/>
                      <w:snapToGrid w:val="0"/>
                      <w:rPr>
                        <w:sz w:val="18"/>
                        <w:szCs w:val="18"/>
                      </w:rPr>
                    </w:pPr>
                  </w:p>
                </w:tc>
                <w:tc>
                  <w:tcPr>
                    <w:tcW w:w="1559" w:type="dxa"/>
                    <w:vMerge/>
                    <w:tcBorders>
                      <w:right w:val="single" w:sz="4" w:space="0" w:color="auto"/>
                    </w:tcBorders>
                  </w:tcPr>
                  <w:p w14:paraId="6B8E526E" w14:textId="77777777" w:rsidR="00830E72" w:rsidRDefault="00830E72">
                    <w:pPr>
                      <w:adjustRightInd w:val="0"/>
                      <w:snapToGrid w:val="0"/>
                      <w:jc w:val="center"/>
                      <w:rPr>
                        <w:sz w:val="18"/>
                        <w:szCs w:val="18"/>
                      </w:rPr>
                    </w:pPr>
                  </w:p>
                </w:tc>
                <w:sdt>
                  <w:sdtPr>
                    <w:tag w:val="_PLD_dcc9ba0f815c4a99a7c4c9fe219d232e"/>
                    <w:id w:val="356236477"/>
                    <w:lock w:val="sdtLocked"/>
                  </w:sdtPr>
                  <w:sdtEndPr/>
                  <w:sdtContent>
                    <w:tc>
                      <w:tcPr>
                        <w:tcW w:w="567" w:type="dxa"/>
                        <w:tcBorders>
                          <w:top w:val="single" w:sz="4" w:space="0" w:color="auto"/>
                          <w:left w:val="single" w:sz="4" w:space="0" w:color="auto"/>
                          <w:right w:val="single" w:sz="4" w:space="0" w:color="auto"/>
                        </w:tcBorders>
                        <w:vAlign w:val="center"/>
                      </w:tcPr>
                      <w:p w14:paraId="4DFD450A" w14:textId="77777777" w:rsidR="00830E72" w:rsidRDefault="008344D8">
                        <w:pPr>
                          <w:adjustRightInd w:val="0"/>
                          <w:snapToGrid w:val="0"/>
                          <w:jc w:val="center"/>
                          <w:rPr>
                            <w:sz w:val="18"/>
                            <w:szCs w:val="18"/>
                          </w:rPr>
                        </w:pPr>
                        <w:r>
                          <w:rPr>
                            <w:rFonts w:hint="eastAsia"/>
                            <w:sz w:val="18"/>
                            <w:szCs w:val="18"/>
                          </w:rPr>
                          <w:t>优先股</w:t>
                        </w:r>
                      </w:p>
                    </w:tc>
                  </w:sdtContent>
                </w:sdt>
                <w:sdt>
                  <w:sdtPr>
                    <w:tag w:val="_PLD_42f56a6e995041a8b03e0979c7b2350c"/>
                    <w:id w:val="1188958402"/>
                    <w:lock w:val="sdtLocked"/>
                  </w:sdtPr>
                  <w:sdtEndPr/>
                  <w:sdtContent>
                    <w:tc>
                      <w:tcPr>
                        <w:tcW w:w="567" w:type="dxa"/>
                        <w:tcBorders>
                          <w:top w:val="single" w:sz="4" w:space="0" w:color="auto"/>
                          <w:left w:val="single" w:sz="4" w:space="0" w:color="auto"/>
                          <w:right w:val="single" w:sz="4" w:space="0" w:color="auto"/>
                        </w:tcBorders>
                        <w:vAlign w:val="center"/>
                      </w:tcPr>
                      <w:p w14:paraId="084E7ACF" w14:textId="77777777" w:rsidR="00830E72" w:rsidRDefault="008344D8">
                        <w:pPr>
                          <w:adjustRightInd w:val="0"/>
                          <w:snapToGrid w:val="0"/>
                          <w:jc w:val="center"/>
                          <w:rPr>
                            <w:sz w:val="18"/>
                            <w:szCs w:val="18"/>
                          </w:rPr>
                        </w:pPr>
                        <w:r>
                          <w:rPr>
                            <w:rFonts w:hint="eastAsia"/>
                            <w:sz w:val="18"/>
                            <w:szCs w:val="18"/>
                          </w:rPr>
                          <w:t>永续债</w:t>
                        </w:r>
                      </w:p>
                    </w:tc>
                  </w:sdtContent>
                </w:sdt>
                <w:sdt>
                  <w:sdtPr>
                    <w:tag w:val="_PLD_30aa853463c54004a69a2235554ee8fd"/>
                    <w:id w:val="-594939916"/>
                    <w:lock w:val="sdtLocked"/>
                  </w:sdtPr>
                  <w:sdtEndPr/>
                  <w:sdtContent>
                    <w:tc>
                      <w:tcPr>
                        <w:tcW w:w="425" w:type="dxa"/>
                        <w:tcBorders>
                          <w:top w:val="single" w:sz="4" w:space="0" w:color="auto"/>
                          <w:left w:val="single" w:sz="4" w:space="0" w:color="auto"/>
                        </w:tcBorders>
                        <w:vAlign w:val="center"/>
                      </w:tcPr>
                      <w:p w14:paraId="45CA1970" w14:textId="77777777" w:rsidR="00830E72" w:rsidRDefault="008344D8">
                        <w:pPr>
                          <w:adjustRightInd w:val="0"/>
                          <w:snapToGrid w:val="0"/>
                          <w:jc w:val="center"/>
                          <w:rPr>
                            <w:sz w:val="18"/>
                            <w:szCs w:val="18"/>
                          </w:rPr>
                        </w:pPr>
                        <w:r>
                          <w:rPr>
                            <w:rFonts w:hint="eastAsia"/>
                            <w:sz w:val="18"/>
                            <w:szCs w:val="18"/>
                          </w:rPr>
                          <w:t>其他</w:t>
                        </w:r>
                      </w:p>
                    </w:tc>
                  </w:sdtContent>
                </w:sdt>
                <w:tc>
                  <w:tcPr>
                    <w:tcW w:w="1559" w:type="dxa"/>
                  </w:tcPr>
                  <w:p w14:paraId="753EA70A" w14:textId="77777777" w:rsidR="00830E72" w:rsidRDefault="00830E72">
                    <w:pPr>
                      <w:adjustRightInd w:val="0"/>
                      <w:snapToGrid w:val="0"/>
                      <w:jc w:val="center"/>
                      <w:rPr>
                        <w:sz w:val="18"/>
                        <w:szCs w:val="18"/>
                      </w:rPr>
                    </w:pPr>
                  </w:p>
                </w:tc>
                <w:tc>
                  <w:tcPr>
                    <w:tcW w:w="567" w:type="dxa"/>
                    <w:vMerge/>
                  </w:tcPr>
                  <w:p w14:paraId="7F9B242A" w14:textId="77777777" w:rsidR="00830E72" w:rsidRDefault="00830E72">
                    <w:pPr>
                      <w:adjustRightInd w:val="0"/>
                      <w:snapToGrid w:val="0"/>
                      <w:jc w:val="center"/>
                      <w:rPr>
                        <w:sz w:val="18"/>
                        <w:szCs w:val="18"/>
                      </w:rPr>
                    </w:pPr>
                  </w:p>
                </w:tc>
                <w:tc>
                  <w:tcPr>
                    <w:tcW w:w="709" w:type="dxa"/>
                    <w:vMerge/>
                  </w:tcPr>
                  <w:p w14:paraId="7DC75112" w14:textId="77777777" w:rsidR="00830E72" w:rsidRDefault="00830E72">
                    <w:pPr>
                      <w:jc w:val="center"/>
                      <w:rPr>
                        <w:sz w:val="18"/>
                        <w:szCs w:val="18"/>
                      </w:rPr>
                    </w:pPr>
                  </w:p>
                </w:tc>
                <w:tc>
                  <w:tcPr>
                    <w:tcW w:w="1559" w:type="dxa"/>
                    <w:vMerge/>
                  </w:tcPr>
                  <w:p w14:paraId="627E1C71" w14:textId="77777777" w:rsidR="00830E72" w:rsidRDefault="00830E72">
                    <w:pPr>
                      <w:adjustRightInd w:val="0"/>
                      <w:snapToGrid w:val="0"/>
                      <w:jc w:val="center"/>
                      <w:rPr>
                        <w:sz w:val="18"/>
                        <w:szCs w:val="18"/>
                      </w:rPr>
                    </w:pPr>
                  </w:p>
                </w:tc>
                <w:tc>
                  <w:tcPr>
                    <w:tcW w:w="1418" w:type="dxa"/>
                    <w:vMerge/>
                  </w:tcPr>
                  <w:p w14:paraId="1B161377" w14:textId="77777777" w:rsidR="00830E72" w:rsidRDefault="00830E72">
                    <w:pPr>
                      <w:adjustRightInd w:val="0"/>
                      <w:snapToGrid w:val="0"/>
                      <w:jc w:val="center"/>
                      <w:rPr>
                        <w:sz w:val="18"/>
                        <w:szCs w:val="18"/>
                      </w:rPr>
                    </w:pPr>
                  </w:p>
                </w:tc>
                <w:tc>
                  <w:tcPr>
                    <w:tcW w:w="1843" w:type="dxa"/>
                    <w:vMerge/>
                  </w:tcPr>
                  <w:p w14:paraId="38F56BBC" w14:textId="77777777" w:rsidR="00830E72" w:rsidRDefault="00830E72">
                    <w:pPr>
                      <w:adjustRightInd w:val="0"/>
                      <w:snapToGrid w:val="0"/>
                      <w:jc w:val="center"/>
                      <w:rPr>
                        <w:sz w:val="18"/>
                        <w:szCs w:val="18"/>
                      </w:rPr>
                    </w:pPr>
                  </w:p>
                </w:tc>
                <w:tc>
                  <w:tcPr>
                    <w:tcW w:w="1687" w:type="dxa"/>
                    <w:vMerge/>
                  </w:tcPr>
                  <w:p w14:paraId="3A32EB48" w14:textId="77777777" w:rsidR="00830E72" w:rsidRDefault="00830E72">
                    <w:pPr>
                      <w:adjustRightInd w:val="0"/>
                      <w:snapToGrid w:val="0"/>
                      <w:jc w:val="center"/>
                      <w:rPr>
                        <w:sz w:val="18"/>
                        <w:szCs w:val="18"/>
                      </w:rPr>
                    </w:pPr>
                  </w:p>
                </w:tc>
              </w:tr>
              <w:tr w:rsidR="00830E72" w14:paraId="531059F3" w14:textId="77777777">
                <w:trPr>
                  <w:trHeight w:val="20"/>
                </w:trPr>
                <w:sdt>
                  <w:sdtPr>
                    <w:tag w:val="_PLD_b00b327c7ecc4ad1bfafd8f9c1a6ce86"/>
                    <w:id w:val="-1679486942"/>
                    <w:lock w:val="sdtLocked"/>
                  </w:sdtPr>
                  <w:sdtEndPr/>
                  <w:sdtContent>
                    <w:tc>
                      <w:tcPr>
                        <w:tcW w:w="1444" w:type="dxa"/>
                      </w:tcPr>
                      <w:p w14:paraId="11A03764" w14:textId="77777777" w:rsidR="00830E72" w:rsidRDefault="008344D8">
                        <w:pPr>
                          <w:rPr>
                            <w:sz w:val="18"/>
                            <w:szCs w:val="18"/>
                          </w:rPr>
                        </w:pPr>
                        <w:r>
                          <w:rPr>
                            <w:sz w:val="18"/>
                            <w:szCs w:val="18"/>
                          </w:rPr>
                          <w:t>一、上年</w:t>
                        </w:r>
                        <w:r>
                          <w:rPr>
                            <w:rFonts w:hint="eastAsia"/>
                            <w:sz w:val="18"/>
                            <w:szCs w:val="18"/>
                          </w:rPr>
                          <w:t>期</w:t>
                        </w:r>
                        <w:r>
                          <w:rPr>
                            <w:sz w:val="18"/>
                            <w:szCs w:val="18"/>
                          </w:rPr>
                          <w:t>末余额</w:t>
                        </w:r>
                      </w:p>
                    </w:tc>
                  </w:sdtContent>
                </w:sdt>
                <w:tc>
                  <w:tcPr>
                    <w:tcW w:w="1559" w:type="dxa"/>
                    <w:tcBorders>
                      <w:right w:val="single" w:sz="4" w:space="0" w:color="auto"/>
                    </w:tcBorders>
                  </w:tcPr>
                  <w:p w14:paraId="4A79BDE9" w14:textId="77777777" w:rsidR="00830E72" w:rsidRDefault="008344D8">
                    <w:pPr>
                      <w:jc w:val="right"/>
                      <w:rPr>
                        <w:sz w:val="18"/>
                        <w:szCs w:val="18"/>
                      </w:rPr>
                    </w:pPr>
                    <w:r>
                      <w:rPr>
                        <w:sz w:val="18"/>
                        <w:szCs w:val="18"/>
                      </w:rPr>
                      <w:t>499,000,000.00</w:t>
                    </w:r>
                  </w:p>
                </w:tc>
                <w:tc>
                  <w:tcPr>
                    <w:tcW w:w="567" w:type="dxa"/>
                    <w:tcBorders>
                      <w:left w:val="single" w:sz="4" w:space="0" w:color="auto"/>
                      <w:right w:val="single" w:sz="4" w:space="0" w:color="auto"/>
                    </w:tcBorders>
                  </w:tcPr>
                  <w:p w14:paraId="3B777188" w14:textId="77777777" w:rsidR="00830E72" w:rsidRDefault="00830E72">
                    <w:pPr>
                      <w:jc w:val="right"/>
                      <w:rPr>
                        <w:sz w:val="18"/>
                        <w:szCs w:val="18"/>
                      </w:rPr>
                    </w:pPr>
                  </w:p>
                </w:tc>
                <w:tc>
                  <w:tcPr>
                    <w:tcW w:w="567" w:type="dxa"/>
                    <w:tcBorders>
                      <w:left w:val="single" w:sz="4" w:space="0" w:color="auto"/>
                      <w:right w:val="single" w:sz="4" w:space="0" w:color="auto"/>
                    </w:tcBorders>
                  </w:tcPr>
                  <w:p w14:paraId="704B38BC" w14:textId="77777777" w:rsidR="00830E72" w:rsidRDefault="00830E72">
                    <w:pPr>
                      <w:jc w:val="right"/>
                      <w:rPr>
                        <w:sz w:val="18"/>
                        <w:szCs w:val="18"/>
                      </w:rPr>
                    </w:pPr>
                  </w:p>
                </w:tc>
                <w:tc>
                  <w:tcPr>
                    <w:tcW w:w="425" w:type="dxa"/>
                    <w:tcBorders>
                      <w:left w:val="single" w:sz="4" w:space="0" w:color="auto"/>
                      <w:right w:val="single" w:sz="4" w:space="0" w:color="auto"/>
                    </w:tcBorders>
                  </w:tcPr>
                  <w:p w14:paraId="10CC6555" w14:textId="77777777" w:rsidR="00830E72" w:rsidRDefault="00830E72">
                    <w:pPr>
                      <w:jc w:val="right"/>
                      <w:rPr>
                        <w:sz w:val="18"/>
                        <w:szCs w:val="18"/>
                      </w:rPr>
                    </w:pPr>
                  </w:p>
                </w:tc>
                <w:tc>
                  <w:tcPr>
                    <w:tcW w:w="1559" w:type="dxa"/>
                    <w:tcBorders>
                      <w:left w:val="single" w:sz="4" w:space="0" w:color="auto"/>
                    </w:tcBorders>
                  </w:tcPr>
                  <w:p w14:paraId="0C582A0D" w14:textId="77777777" w:rsidR="00830E72" w:rsidRDefault="008344D8">
                    <w:pPr>
                      <w:jc w:val="right"/>
                      <w:rPr>
                        <w:sz w:val="18"/>
                        <w:szCs w:val="18"/>
                      </w:rPr>
                    </w:pPr>
                    <w:r>
                      <w:rPr>
                        <w:sz w:val="18"/>
                        <w:szCs w:val="18"/>
                      </w:rPr>
                      <w:t>209,265,618.44</w:t>
                    </w:r>
                  </w:p>
                </w:tc>
                <w:tc>
                  <w:tcPr>
                    <w:tcW w:w="567" w:type="dxa"/>
                  </w:tcPr>
                  <w:p w14:paraId="2D51E2BB" w14:textId="77777777" w:rsidR="00830E72" w:rsidRDefault="00830E72">
                    <w:pPr>
                      <w:jc w:val="right"/>
                      <w:rPr>
                        <w:sz w:val="18"/>
                        <w:szCs w:val="18"/>
                      </w:rPr>
                    </w:pPr>
                  </w:p>
                </w:tc>
                <w:tc>
                  <w:tcPr>
                    <w:tcW w:w="709" w:type="dxa"/>
                  </w:tcPr>
                  <w:p w14:paraId="3973E7A4" w14:textId="77777777" w:rsidR="00830E72" w:rsidRDefault="00830E72">
                    <w:pPr>
                      <w:jc w:val="right"/>
                      <w:rPr>
                        <w:sz w:val="18"/>
                        <w:szCs w:val="18"/>
                      </w:rPr>
                    </w:pPr>
                  </w:p>
                </w:tc>
                <w:tc>
                  <w:tcPr>
                    <w:tcW w:w="1559" w:type="dxa"/>
                  </w:tcPr>
                  <w:p w14:paraId="2E8A51E6" w14:textId="77777777" w:rsidR="00830E72" w:rsidRDefault="008344D8">
                    <w:pPr>
                      <w:jc w:val="right"/>
                      <w:rPr>
                        <w:sz w:val="18"/>
                        <w:szCs w:val="18"/>
                      </w:rPr>
                    </w:pPr>
                    <w:r>
                      <w:rPr>
                        <w:sz w:val="18"/>
                        <w:szCs w:val="18"/>
                      </w:rPr>
                      <w:t>16,037,293.36</w:t>
                    </w:r>
                  </w:p>
                </w:tc>
                <w:tc>
                  <w:tcPr>
                    <w:tcW w:w="1418" w:type="dxa"/>
                  </w:tcPr>
                  <w:p w14:paraId="0B74BDCC" w14:textId="77777777" w:rsidR="00830E72" w:rsidRDefault="008344D8">
                    <w:pPr>
                      <w:jc w:val="right"/>
                      <w:rPr>
                        <w:sz w:val="18"/>
                        <w:szCs w:val="18"/>
                      </w:rPr>
                    </w:pPr>
                    <w:r>
                      <w:rPr>
                        <w:sz w:val="18"/>
                        <w:szCs w:val="18"/>
                      </w:rPr>
                      <w:t>35,835,569.39</w:t>
                    </w:r>
                  </w:p>
                </w:tc>
                <w:tc>
                  <w:tcPr>
                    <w:tcW w:w="1843" w:type="dxa"/>
                  </w:tcPr>
                  <w:p w14:paraId="18A1FB67" w14:textId="77777777" w:rsidR="00830E72" w:rsidRDefault="008344D8">
                    <w:pPr>
                      <w:jc w:val="right"/>
                      <w:rPr>
                        <w:sz w:val="18"/>
                        <w:szCs w:val="18"/>
                      </w:rPr>
                    </w:pPr>
                    <w:r>
                      <w:rPr>
                        <w:sz w:val="18"/>
                        <w:szCs w:val="18"/>
                      </w:rPr>
                      <w:t>290,869,570.75</w:t>
                    </w:r>
                  </w:p>
                </w:tc>
                <w:tc>
                  <w:tcPr>
                    <w:tcW w:w="1687" w:type="dxa"/>
                  </w:tcPr>
                  <w:p w14:paraId="19364C0D" w14:textId="77777777" w:rsidR="00830E72" w:rsidRDefault="008344D8">
                    <w:pPr>
                      <w:jc w:val="right"/>
                      <w:rPr>
                        <w:sz w:val="18"/>
                        <w:szCs w:val="18"/>
                      </w:rPr>
                    </w:pPr>
                    <w:r>
                      <w:rPr>
                        <w:sz w:val="18"/>
                        <w:szCs w:val="18"/>
                      </w:rPr>
                      <w:t>1,051,008,051.94</w:t>
                    </w:r>
                  </w:p>
                </w:tc>
              </w:tr>
              <w:tr w:rsidR="00830E72" w14:paraId="7E5C0545" w14:textId="77777777">
                <w:trPr>
                  <w:trHeight w:val="20"/>
                </w:trPr>
                <w:sdt>
                  <w:sdtPr>
                    <w:tag w:val="_PLD_87ad1d45ba9b40488fdf5165b8168def"/>
                    <w:id w:val="1828625264"/>
                    <w:lock w:val="sdtLocked"/>
                  </w:sdtPr>
                  <w:sdtEndPr/>
                  <w:sdtContent>
                    <w:tc>
                      <w:tcPr>
                        <w:tcW w:w="1444" w:type="dxa"/>
                      </w:tcPr>
                      <w:p w14:paraId="3557A734" w14:textId="77777777" w:rsidR="00830E72" w:rsidRDefault="008344D8">
                        <w:pPr>
                          <w:rPr>
                            <w:sz w:val="18"/>
                            <w:szCs w:val="18"/>
                          </w:rPr>
                        </w:pPr>
                        <w:r>
                          <w:rPr>
                            <w:sz w:val="18"/>
                            <w:szCs w:val="18"/>
                          </w:rPr>
                          <w:t>加：会计政策变更</w:t>
                        </w:r>
                      </w:p>
                    </w:tc>
                  </w:sdtContent>
                </w:sdt>
                <w:tc>
                  <w:tcPr>
                    <w:tcW w:w="1559" w:type="dxa"/>
                    <w:tcBorders>
                      <w:right w:val="single" w:sz="4" w:space="0" w:color="auto"/>
                    </w:tcBorders>
                  </w:tcPr>
                  <w:p w14:paraId="7EB64D41" w14:textId="77777777" w:rsidR="00830E72" w:rsidRDefault="00830E72">
                    <w:pPr>
                      <w:jc w:val="right"/>
                      <w:rPr>
                        <w:sz w:val="18"/>
                        <w:szCs w:val="18"/>
                      </w:rPr>
                    </w:pPr>
                  </w:p>
                </w:tc>
                <w:tc>
                  <w:tcPr>
                    <w:tcW w:w="567" w:type="dxa"/>
                    <w:tcBorders>
                      <w:left w:val="single" w:sz="4" w:space="0" w:color="auto"/>
                      <w:right w:val="single" w:sz="4" w:space="0" w:color="auto"/>
                    </w:tcBorders>
                  </w:tcPr>
                  <w:p w14:paraId="32BEAEE0" w14:textId="77777777" w:rsidR="00830E72" w:rsidRDefault="00830E72">
                    <w:pPr>
                      <w:jc w:val="right"/>
                      <w:rPr>
                        <w:sz w:val="18"/>
                        <w:szCs w:val="18"/>
                      </w:rPr>
                    </w:pPr>
                  </w:p>
                </w:tc>
                <w:tc>
                  <w:tcPr>
                    <w:tcW w:w="567" w:type="dxa"/>
                    <w:tcBorders>
                      <w:left w:val="single" w:sz="4" w:space="0" w:color="auto"/>
                      <w:right w:val="single" w:sz="4" w:space="0" w:color="auto"/>
                    </w:tcBorders>
                  </w:tcPr>
                  <w:p w14:paraId="58478F61" w14:textId="77777777" w:rsidR="00830E72" w:rsidRDefault="00830E72">
                    <w:pPr>
                      <w:jc w:val="right"/>
                      <w:rPr>
                        <w:sz w:val="18"/>
                        <w:szCs w:val="18"/>
                      </w:rPr>
                    </w:pPr>
                  </w:p>
                </w:tc>
                <w:tc>
                  <w:tcPr>
                    <w:tcW w:w="425" w:type="dxa"/>
                    <w:tcBorders>
                      <w:left w:val="single" w:sz="4" w:space="0" w:color="auto"/>
                      <w:right w:val="single" w:sz="4" w:space="0" w:color="auto"/>
                    </w:tcBorders>
                  </w:tcPr>
                  <w:p w14:paraId="4C546B6E" w14:textId="77777777" w:rsidR="00830E72" w:rsidRDefault="00830E72">
                    <w:pPr>
                      <w:jc w:val="right"/>
                      <w:rPr>
                        <w:sz w:val="18"/>
                        <w:szCs w:val="18"/>
                      </w:rPr>
                    </w:pPr>
                  </w:p>
                </w:tc>
                <w:tc>
                  <w:tcPr>
                    <w:tcW w:w="1559" w:type="dxa"/>
                    <w:tcBorders>
                      <w:left w:val="single" w:sz="4" w:space="0" w:color="auto"/>
                    </w:tcBorders>
                  </w:tcPr>
                  <w:p w14:paraId="5DAA4A14" w14:textId="77777777" w:rsidR="00830E72" w:rsidRDefault="00830E72">
                    <w:pPr>
                      <w:jc w:val="right"/>
                      <w:rPr>
                        <w:sz w:val="18"/>
                        <w:szCs w:val="18"/>
                      </w:rPr>
                    </w:pPr>
                  </w:p>
                </w:tc>
                <w:tc>
                  <w:tcPr>
                    <w:tcW w:w="567" w:type="dxa"/>
                  </w:tcPr>
                  <w:p w14:paraId="68E8C96A" w14:textId="77777777" w:rsidR="00830E72" w:rsidRDefault="00830E72">
                    <w:pPr>
                      <w:jc w:val="right"/>
                      <w:rPr>
                        <w:sz w:val="18"/>
                        <w:szCs w:val="18"/>
                      </w:rPr>
                    </w:pPr>
                  </w:p>
                </w:tc>
                <w:tc>
                  <w:tcPr>
                    <w:tcW w:w="709" w:type="dxa"/>
                  </w:tcPr>
                  <w:p w14:paraId="4583D3C7" w14:textId="77777777" w:rsidR="00830E72" w:rsidRDefault="00830E72">
                    <w:pPr>
                      <w:jc w:val="right"/>
                      <w:rPr>
                        <w:sz w:val="18"/>
                        <w:szCs w:val="18"/>
                      </w:rPr>
                    </w:pPr>
                  </w:p>
                </w:tc>
                <w:tc>
                  <w:tcPr>
                    <w:tcW w:w="1559" w:type="dxa"/>
                  </w:tcPr>
                  <w:p w14:paraId="6D606530" w14:textId="77777777" w:rsidR="00830E72" w:rsidRDefault="00830E72">
                    <w:pPr>
                      <w:jc w:val="right"/>
                      <w:rPr>
                        <w:sz w:val="18"/>
                        <w:szCs w:val="18"/>
                      </w:rPr>
                    </w:pPr>
                  </w:p>
                </w:tc>
                <w:tc>
                  <w:tcPr>
                    <w:tcW w:w="1418" w:type="dxa"/>
                  </w:tcPr>
                  <w:p w14:paraId="2616D1DC" w14:textId="5427CA3F" w:rsidR="00830E72" w:rsidRDefault="000B67FF">
                    <w:pPr>
                      <w:jc w:val="right"/>
                      <w:rPr>
                        <w:sz w:val="18"/>
                        <w:szCs w:val="18"/>
                      </w:rPr>
                    </w:pPr>
                    <w:r>
                      <w:rPr>
                        <w:sz w:val="18"/>
                        <w:szCs w:val="18"/>
                      </w:rPr>
                      <w:t>-277,918.78</w:t>
                    </w:r>
                  </w:p>
                </w:tc>
                <w:tc>
                  <w:tcPr>
                    <w:tcW w:w="1843" w:type="dxa"/>
                  </w:tcPr>
                  <w:p w14:paraId="547D9C4B" w14:textId="69218A93" w:rsidR="00830E72" w:rsidRDefault="000B67FF">
                    <w:pPr>
                      <w:jc w:val="right"/>
                      <w:rPr>
                        <w:sz w:val="18"/>
                        <w:szCs w:val="18"/>
                      </w:rPr>
                    </w:pPr>
                    <w:r>
                      <w:rPr>
                        <w:sz w:val="18"/>
                        <w:szCs w:val="18"/>
                      </w:rPr>
                      <w:t>-2,501,269.00</w:t>
                    </w:r>
                  </w:p>
                </w:tc>
                <w:tc>
                  <w:tcPr>
                    <w:tcW w:w="1687" w:type="dxa"/>
                  </w:tcPr>
                  <w:p w14:paraId="71E1CC00" w14:textId="77777777" w:rsidR="00830E72" w:rsidRDefault="008344D8">
                    <w:pPr>
                      <w:jc w:val="right"/>
                      <w:rPr>
                        <w:sz w:val="18"/>
                        <w:szCs w:val="18"/>
                      </w:rPr>
                    </w:pPr>
                    <w:r>
                      <w:rPr>
                        <w:sz w:val="18"/>
                        <w:szCs w:val="18"/>
                      </w:rPr>
                      <w:t>-2,779,187.78</w:t>
                    </w:r>
                  </w:p>
                </w:tc>
              </w:tr>
              <w:tr w:rsidR="00830E72" w14:paraId="3A1FAB0A" w14:textId="77777777">
                <w:trPr>
                  <w:trHeight w:val="20"/>
                </w:trPr>
                <w:sdt>
                  <w:sdtPr>
                    <w:tag w:val="_PLD_494f8b7216f946d9a09f6954da6ee226"/>
                    <w:id w:val="935020455"/>
                    <w:lock w:val="sdtLocked"/>
                  </w:sdtPr>
                  <w:sdtEndPr/>
                  <w:sdtContent>
                    <w:tc>
                      <w:tcPr>
                        <w:tcW w:w="1444" w:type="dxa"/>
                      </w:tcPr>
                      <w:p w14:paraId="2B433036" w14:textId="77777777" w:rsidR="00830E72" w:rsidRDefault="008344D8">
                        <w:pPr>
                          <w:ind w:firstLineChars="200" w:firstLine="420"/>
                          <w:rPr>
                            <w:sz w:val="18"/>
                            <w:szCs w:val="18"/>
                          </w:rPr>
                        </w:pPr>
                        <w:r>
                          <w:rPr>
                            <w:sz w:val="18"/>
                            <w:szCs w:val="18"/>
                          </w:rPr>
                          <w:t>前期差错更正</w:t>
                        </w:r>
                      </w:p>
                    </w:tc>
                  </w:sdtContent>
                </w:sdt>
                <w:tc>
                  <w:tcPr>
                    <w:tcW w:w="1559" w:type="dxa"/>
                    <w:tcBorders>
                      <w:right w:val="single" w:sz="4" w:space="0" w:color="auto"/>
                    </w:tcBorders>
                  </w:tcPr>
                  <w:p w14:paraId="4B9D631B" w14:textId="77777777" w:rsidR="00830E72" w:rsidRDefault="00830E72">
                    <w:pPr>
                      <w:jc w:val="right"/>
                      <w:rPr>
                        <w:sz w:val="18"/>
                        <w:szCs w:val="18"/>
                      </w:rPr>
                    </w:pPr>
                  </w:p>
                </w:tc>
                <w:tc>
                  <w:tcPr>
                    <w:tcW w:w="567" w:type="dxa"/>
                    <w:tcBorders>
                      <w:left w:val="single" w:sz="4" w:space="0" w:color="auto"/>
                      <w:right w:val="single" w:sz="4" w:space="0" w:color="auto"/>
                    </w:tcBorders>
                  </w:tcPr>
                  <w:p w14:paraId="6FEFD454" w14:textId="77777777" w:rsidR="00830E72" w:rsidRDefault="00830E72">
                    <w:pPr>
                      <w:jc w:val="right"/>
                      <w:rPr>
                        <w:sz w:val="18"/>
                        <w:szCs w:val="18"/>
                      </w:rPr>
                    </w:pPr>
                  </w:p>
                </w:tc>
                <w:tc>
                  <w:tcPr>
                    <w:tcW w:w="567" w:type="dxa"/>
                    <w:tcBorders>
                      <w:left w:val="single" w:sz="4" w:space="0" w:color="auto"/>
                      <w:right w:val="single" w:sz="4" w:space="0" w:color="auto"/>
                    </w:tcBorders>
                  </w:tcPr>
                  <w:p w14:paraId="5EB18C55" w14:textId="77777777" w:rsidR="00830E72" w:rsidRDefault="00830E72">
                    <w:pPr>
                      <w:jc w:val="right"/>
                      <w:rPr>
                        <w:sz w:val="18"/>
                        <w:szCs w:val="18"/>
                      </w:rPr>
                    </w:pPr>
                  </w:p>
                </w:tc>
                <w:tc>
                  <w:tcPr>
                    <w:tcW w:w="425" w:type="dxa"/>
                    <w:tcBorders>
                      <w:left w:val="single" w:sz="4" w:space="0" w:color="auto"/>
                      <w:right w:val="single" w:sz="4" w:space="0" w:color="auto"/>
                    </w:tcBorders>
                  </w:tcPr>
                  <w:p w14:paraId="5C616F6B" w14:textId="77777777" w:rsidR="00830E72" w:rsidRDefault="00830E72">
                    <w:pPr>
                      <w:jc w:val="right"/>
                      <w:rPr>
                        <w:sz w:val="18"/>
                        <w:szCs w:val="18"/>
                      </w:rPr>
                    </w:pPr>
                  </w:p>
                </w:tc>
                <w:tc>
                  <w:tcPr>
                    <w:tcW w:w="1559" w:type="dxa"/>
                    <w:tcBorders>
                      <w:left w:val="single" w:sz="4" w:space="0" w:color="auto"/>
                    </w:tcBorders>
                  </w:tcPr>
                  <w:p w14:paraId="20FC5435" w14:textId="77777777" w:rsidR="00830E72" w:rsidRDefault="00830E72">
                    <w:pPr>
                      <w:jc w:val="right"/>
                      <w:rPr>
                        <w:sz w:val="18"/>
                        <w:szCs w:val="18"/>
                      </w:rPr>
                    </w:pPr>
                  </w:p>
                </w:tc>
                <w:tc>
                  <w:tcPr>
                    <w:tcW w:w="567" w:type="dxa"/>
                  </w:tcPr>
                  <w:p w14:paraId="0B374428" w14:textId="77777777" w:rsidR="00830E72" w:rsidRDefault="00830E72">
                    <w:pPr>
                      <w:jc w:val="right"/>
                      <w:rPr>
                        <w:sz w:val="18"/>
                        <w:szCs w:val="18"/>
                      </w:rPr>
                    </w:pPr>
                  </w:p>
                </w:tc>
                <w:tc>
                  <w:tcPr>
                    <w:tcW w:w="709" w:type="dxa"/>
                  </w:tcPr>
                  <w:p w14:paraId="623E7045" w14:textId="77777777" w:rsidR="00830E72" w:rsidRDefault="00830E72">
                    <w:pPr>
                      <w:jc w:val="right"/>
                      <w:rPr>
                        <w:sz w:val="18"/>
                        <w:szCs w:val="18"/>
                      </w:rPr>
                    </w:pPr>
                  </w:p>
                </w:tc>
                <w:tc>
                  <w:tcPr>
                    <w:tcW w:w="1559" w:type="dxa"/>
                  </w:tcPr>
                  <w:p w14:paraId="1065FAAF" w14:textId="77777777" w:rsidR="00830E72" w:rsidRDefault="00830E72">
                    <w:pPr>
                      <w:jc w:val="right"/>
                      <w:rPr>
                        <w:sz w:val="18"/>
                        <w:szCs w:val="18"/>
                      </w:rPr>
                    </w:pPr>
                  </w:p>
                </w:tc>
                <w:tc>
                  <w:tcPr>
                    <w:tcW w:w="1418" w:type="dxa"/>
                  </w:tcPr>
                  <w:p w14:paraId="334EC977" w14:textId="77777777" w:rsidR="00830E72" w:rsidRDefault="00830E72">
                    <w:pPr>
                      <w:jc w:val="right"/>
                      <w:rPr>
                        <w:sz w:val="18"/>
                        <w:szCs w:val="18"/>
                      </w:rPr>
                    </w:pPr>
                  </w:p>
                </w:tc>
                <w:tc>
                  <w:tcPr>
                    <w:tcW w:w="1843" w:type="dxa"/>
                  </w:tcPr>
                  <w:p w14:paraId="7093B56A" w14:textId="77777777" w:rsidR="00830E72" w:rsidRDefault="00830E72">
                    <w:pPr>
                      <w:jc w:val="right"/>
                      <w:rPr>
                        <w:sz w:val="18"/>
                        <w:szCs w:val="18"/>
                      </w:rPr>
                    </w:pPr>
                  </w:p>
                </w:tc>
                <w:tc>
                  <w:tcPr>
                    <w:tcW w:w="1687" w:type="dxa"/>
                  </w:tcPr>
                  <w:p w14:paraId="6DA3A5E1" w14:textId="77777777" w:rsidR="00830E72" w:rsidRDefault="00830E72">
                    <w:pPr>
                      <w:jc w:val="right"/>
                      <w:rPr>
                        <w:sz w:val="18"/>
                        <w:szCs w:val="18"/>
                      </w:rPr>
                    </w:pPr>
                  </w:p>
                </w:tc>
              </w:tr>
              <w:tr w:rsidR="00830E72" w14:paraId="47602D22" w14:textId="77777777">
                <w:trPr>
                  <w:trHeight w:val="20"/>
                </w:trPr>
                <w:sdt>
                  <w:sdtPr>
                    <w:tag w:val="_PLD_cdd9f72b38894c3eb70b005a61432c29"/>
                    <w:id w:val="-320579050"/>
                    <w:lock w:val="sdtLocked"/>
                  </w:sdtPr>
                  <w:sdtEndPr/>
                  <w:sdtContent>
                    <w:tc>
                      <w:tcPr>
                        <w:tcW w:w="1444" w:type="dxa"/>
                      </w:tcPr>
                      <w:p w14:paraId="6BF173AD" w14:textId="77777777" w:rsidR="00830E72" w:rsidRDefault="008344D8">
                        <w:pPr>
                          <w:ind w:firstLineChars="200" w:firstLine="420"/>
                          <w:rPr>
                            <w:sz w:val="18"/>
                            <w:szCs w:val="18"/>
                          </w:rPr>
                        </w:pPr>
                        <w:r>
                          <w:rPr>
                            <w:rFonts w:hint="eastAsia"/>
                            <w:sz w:val="18"/>
                            <w:szCs w:val="18"/>
                          </w:rPr>
                          <w:t>其他</w:t>
                        </w:r>
                      </w:p>
                    </w:tc>
                  </w:sdtContent>
                </w:sdt>
                <w:tc>
                  <w:tcPr>
                    <w:tcW w:w="1559" w:type="dxa"/>
                    <w:tcBorders>
                      <w:right w:val="single" w:sz="4" w:space="0" w:color="auto"/>
                    </w:tcBorders>
                  </w:tcPr>
                  <w:p w14:paraId="28EF93E8" w14:textId="77777777" w:rsidR="00830E72" w:rsidRDefault="00830E72">
                    <w:pPr>
                      <w:jc w:val="right"/>
                      <w:rPr>
                        <w:sz w:val="18"/>
                        <w:szCs w:val="18"/>
                      </w:rPr>
                    </w:pPr>
                  </w:p>
                </w:tc>
                <w:tc>
                  <w:tcPr>
                    <w:tcW w:w="567" w:type="dxa"/>
                    <w:tcBorders>
                      <w:left w:val="single" w:sz="4" w:space="0" w:color="auto"/>
                      <w:right w:val="single" w:sz="4" w:space="0" w:color="auto"/>
                    </w:tcBorders>
                  </w:tcPr>
                  <w:p w14:paraId="0A0A0007" w14:textId="77777777" w:rsidR="00830E72" w:rsidRDefault="00830E72">
                    <w:pPr>
                      <w:jc w:val="right"/>
                      <w:rPr>
                        <w:sz w:val="18"/>
                        <w:szCs w:val="18"/>
                      </w:rPr>
                    </w:pPr>
                  </w:p>
                </w:tc>
                <w:tc>
                  <w:tcPr>
                    <w:tcW w:w="567" w:type="dxa"/>
                    <w:tcBorders>
                      <w:left w:val="single" w:sz="4" w:space="0" w:color="auto"/>
                      <w:right w:val="single" w:sz="4" w:space="0" w:color="auto"/>
                    </w:tcBorders>
                  </w:tcPr>
                  <w:p w14:paraId="3CAFD0BA" w14:textId="77777777" w:rsidR="00830E72" w:rsidRDefault="00830E72">
                    <w:pPr>
                      <w:jc w:val="right"/>
                      <w:rPr>
                        <w:sz w:val="18"/>
                        <w:szCs w:val="18"/>
                      </w:rPr>
                    </w:pPr>
                  </w:p>
                </w:tc>
                <w:tc>
                  <w:tcPr>
                    <w:tcW w:w="425" w:type="dxa"/>
                    <w:tcBorders>
                      <w:left w:val="single" w:sz="4" w:space="0" w:color="auto"/>
                      <w:right w:val="single" w:sz="4" w:space="0" w:color="auto"/>
                    </w:tcBorders>
                  </w:tcPr>
                  <w:p w14:paraId="3FE754A6" w14:textId="77777777" w:rsidR="00830E72" w:rsidRDefault="00830E72">
                    <w:pPr>
                      <w:jc w:val="right"/>
                      <w:rPr>
                        <w:sz w:val="18"/>
                        <w:szCs w:val="18"/>
                      </w:rPr>
                    </w:pPr>
                  </w:p>
                </w:tc>
                <w:tc>
                  <w:tcPr>
                    <w:tcW w:w="1559" w:type="dxa"/>
                    <w:tcBorders>
                      <w:left w:val="single" w:sz="4" w:space="0" w:color="auto"/>
                    </w:tcBorders>
                  </w:tcPr>
                  <w:p w14:paraId="28A73F6B" w14:textId="77777777" w:rsidR="00830E72" w:rsidRDefault="00830E72">
                    <w:pPr>
                      <w:jc w:val="right"/>
                      <w:rPr>
                        <w:sz w:val="18"/>
                        <w:szCs w:val="18"/>
                      </w:rPr>
                    </w:pPr>
                  </w:p>
                </w:tc>
                <w:tc>
                  <w:tcPr>
                    <w:tcW w:w="567" w:type="dxa"/>
                  </w:tcPr>
                  <w:p w14:paraId="3338C0EA" w14:textId="77777777" w:rsidR="00830E72" w:rsidRDefault="00830E72">
                    <w:pPr>
                      <w:jc w:val="right"/>
                      <w:rPr>
                        <w:sz w:val="18"/>
                        <w:szCs w:val="18"/>
                      </w:rPr>
                    </w:pPr>
                  </w:p>
                </w:tc>
                <w:tc>
                  <w:tcPr>
                    <w:tcW w:w="709" w:type="dxa"/>
                  </w:tcPr>
                  <w:p w14:paraId="234DB111" w14:textId="77777777" w:rsidR="00830E72" w:rsidRDefault="00830E72">
                    <w:pPr>
                      <w:jc w:val="right"/>
                      <w:rPr>
                        <w:sz w:val="18"/>
                        <w:szCs w:val="18"/>
                      </w:rPr>
                    </w:pPr>
                  </w:p>
                </w:tc>
                <w:tc>
                  <w:tcPr>
                    <w:tcW w:w="1559" w:type="dxa"/>
                  </w:tcPr>
                  <w:p w14:paraId="768EADC4" w14:textId="77777777" w:rsidR="00830E72" w:rsidRDefault="00830E72">
                    <w:pPr>
                      <w:jc w:val="right"/>
                      <w:rPr>
                        <w:sz w:val="18"/>
                        <w:szCs w:val="18"/>
                      </w:rPr>
                    </w:pPr>
                  </w:p>
                </w:tc>
                <w:tc>
                  <w:tcPr>
                    <w:tcW w:w="1418" w:type="dxa"/>
                  </w:tcPr>
                  <w:p w14:paraId="5AAD3B2D" w14:textId="77777777" w:rsidR="00830E72" w:rsidRDefault="00830E72">
                    <w:pPr>
                      <w:jc w:val="right"/>
                      <w:rPr>
                        <w:sz w:val="18"/>
                        <w:szCs w:val="18"/>
                      </w:rPr>
                    </w:pPr>
                  </w:p>
                </w:tc>
                <w:tc>
                  <w:tcPr>
                    <w:tcW w:w="1843" w:type="dxa"/>
                  </w:tcPr>
                  <w:p w14:paraId="42C41AAB" w14:textId="77777777" w:rsidR="00830E72" w:rsidRDefault="00830E72">
                    <w:pPr>
                      <w:jc w:val="right"/>
                      <w:rPr>
                        <w:sz w:val="18"/>
                        <w:szCs w:val="18"/>
                      </w:rPr>
                    </w:pPr>
                  </w:p>
                </w:tc>
                <w:tc>
                  <w:tcPr>
                    <w:tcW w:w="1687" w:type="dxa"/>
                  </w:tcPr>
                  <w:p w14:paraId="783FEC7B" w14:textId="77777777" w:rsidR="00830E72" w:rsidRDefault="00830E72">
                    <w:pPr>
                      <w:jc w:val="right"/>
                      <w:rPr>
                        <w:sz w:val="18"/>
                        <w:szCs w:val="18"/>
                      </w:rPr>
                    </w:pPr>
                  </w:p>
                </w:tc>
              </w:tr>
              <w:tr w:rsidR="00830E72" w14:paraId="34C3C2EA" w14:textId="77777777">
                <w:trPr>
                  <w:trHeight w:val="20"/>
                </w:trPr>
                <w:sdt>
                  <w:sdtPr>
                    <w:tag w:val="_PLD_8593e1735c664981bacefcb1a0cab245"/>
                    <w:id w:val="1495524866"/>
                    <w:lock w:val="sdtLocked"/>
                  </w:sdtPr>
                  <w:sdtEndPr/>
                  <w:sdtContent>
                    <w:tc>
                      <w:tcPr>
                        <w:tcW w:w="1444" w:type="dxa"/>
                      </w:tcPr>
                      <w:p w14:paraId="4FB05455" w14:textId="77777777" w:rsidR="00830E72" w:rsidRDefault="008344D8">
                        <w:pPr>
                          <w:rPr>
                            <w:sz w:val="18"/>
                            <w:szCs w:val="18"/>
                          </w:rPr>
                        </w:pPr>
                        <w:r>
                          <w:rPr>
                            <w:sz w:val="18"/>
                            <w:szCs w:val="18"/>
                          </w:rPr>
                          <w:t>二、本年</w:t>
                        </w:r>
                        <w:r>
                          <w:rPr>
                            <w:rFonts w:hint="eastAsia"/>
                            <w:sz w:val="18"/>
                            <w:szCs w:val="18"/>
                          </w:rPr>
                          <w:t>期</w:t>
                        </w:r>
                        <w:r>
                          <w:rPr>
                            <w:sz w:val="18"/>
                            <w:szCs w:val="18"/>
                          </w:rPr>
                          <w:t>初余额</w:t>
                        </w:r>
                      </w:p>
                    </w:tc>
                  </w:sdtContent>
                </w:sdt>
                <w:tc>
                  <w:tcPr>
                    <w:tcW w:w="1559" w:type="dxa"/>
                    <w:tcBorders>
                      <w:right w:val="single" w:sz="4" w:space="0" w:color="auto"/>
                    </w:tcBorders>
                  </w:tcPr>
                  <w:p w14:paraId="3AA018B2" w14:textId="77777777" w:rsidR="00830E72" w:rsidRDefault="008344D8">
                    <w:pPr>
                      <w:jc w:val="right"/>
                      <w:rPr>
                        <w:sz w:val="18"/>
                        <w:szCs w:val="18"/>
                      </w:rPr>
                    </w:pPr>
                    <w:r>
                      <w:rPr>
                        <w:sz w:val="18"/>
                        <w:szCs w:val="18"/>
                      </w:rPr>
                      <w:t>499,000,000.00</w:t>
                    </w:r>
                  </w:p>
                </w:tc>
                <w:tc>
                  <w:tcPr>
                    <w:tcW w:w="567" w:type="dxa"/>
                    <w:tcBorders>
                      <w:left w:val="single" w:sz="4" w:space="0" w:color="auto"/>
                      <w:right w:val="single" w:sz="4" w:space="0" w:color="auto"/>
                    </w:tcBorders>
                  </w:tcPr>
                  <w:p w14:paraId="2AE03A02" w14:textId="77777777" w:rsidR="00830E72" w:rsidRDefault="00830E72">
                    <w:pPr>
                      <w:jc w:val="right"/>
                      <w:rPr>
                        <w:sz w:val="18"/>
                        <w:szCs w:val="18"/>
                      </w:rPr>
                    </w:pPr>
                  </w:p>
                </w:tc>
                <w:tc>
                  <w:tcPr>
                    <w:tcW w:w="567" w:type="dxa"/>
                    <w:tcBorders>
                      <w:left w:val="single" w:sz="4" w:space="0" w:color="auto"/>
                      <w:right w:val="single" w:sz="4" w:space="0" w:color="auto"/>
                    </w:tcBorders>
                  </w:tcPr>
                  <w:p w14:paraId="771E344B" w14:textId="77777777" w:rsidR="00830E72" w:rsidRDefault="00830E72">
                    <w:pPr>
                      <w:jc w:val="right"/>
                      <w:rPr>
                        <w:sz w:val="18"/>
                        <w:szCs w:val="18"/>
                      </w:rPr>
                    </w:pPr>
                  </w:p>
                </w:tc>
                <w:tc>
                  <w:tcPr>
                    <w:tcW w:w="425" w:type="dxa"/>
                    <w:tcBorders>
                      <w:left w:val="single" w:sz="4" w:space="0" w:color="auto"/>
                      <w:right w:val="single" w:sz="4" w:space="0" w:color="auto"/>
                    </w:tcBorders>
                  </w:tcPr>
                  <w:p w14:paraId="5CC90BB8" w14:textId="77777777" w:rsidR="00830E72" w:rsidRDefault="00830E72">
                    <w:pPr>
                      <w:jc w:val="right"/>
                      <w:rPr>
                        <w:sz w:val="18"/>
                        <w:szCs w:val="18"/>
                      </w:rPr>
                    </w:pPr>
                  </w:p>
                </w:tc>
                <w:tc>
                  <w:tcPr>
                    <w:tcW w:w="1559" w:type="dxa"/>
                    <w:tcBorders>
                      <w:left w:val="single" w:sz="4" w:space="0" w:color="auto"/>
                    </w:tcBorders>
                  </w:tcPr>
                  <w:p w14:paraId="27D37008" w14:textId="77777777" w:rsidR="00830E72" w:rsidRDefault="008344D8">
                    <w:pPr>
                      <w:jc w:val="right"/>
                      <w:rPr>
                        <w:sz w:val="18"/>
                        <w:szCs w:val="18"/>
                      </w:rPr>
                    </w:pPr>
                    <w:r>
                      <w:rPr>
                        <w:sz w:val="18"/>
                        <w:szCs w:val="18"/>
                      </w:rPr>
                      <w:t>209,265,618.44</w:t>
                    </w:r>
                  </w:p>
                </w:tc>
                <w:tc>
                  <w:tcPr>
                    <w:tcW w:w="567" w:type="dxa"/>
                  </w:tcPr>
                  <w:p w14:paraId="757DA2BE" w14:textId="77777777" w:rsidR="00830E72" w:rsidRDefault="00830E72">
                    <w:pPr>
                      <w:jc w:val="right"/>
                      <w:rPr>
                        <w:sz w:val="18"/>
                        <w:szCs w:val="18"/>
                      </w:rPr>
                    </w:pPr>
                  </w:p>
                </w:tc>
                <w:tc>
                  <w:tcPr>
                    <w:tcW w:w="709" w:type="dxa"/>
                  </w:tcPr>
                  <w:p w14:paraId="6FD949EF" w14:textId="77777777" w:rsidR="00830E72" w:rsidRDefault="00830E72">
                    <w:pPr>
                      <w:jc w:val="right"/>
                      <w:rPr>
                        <w:sz w:val="18"/>
                        <w:szCs w:val="18"/>
                      </w:rPr>
                    </w:pPr>
                  </w:p>
                </w:tc>
                <w:tc>
                  <w:tcPr>
                    <w:tcW w:w="1559" w:type="dxa"/>
                  </w:tcPr>
                  <w:p w14:paraId="7DF639DA" w14:textId="77777777" w:rsidR="00830E72" w:rsidRDefault="008344D8">
                    <w:pPr>
                      <w:jc w:val="right"/>
                      <w:rPr>
                        <w:sz w:val="18"/>
                        <w:szCs w:val="18"/>
                      </w:rPr>
                    </w:pPr>
                    <w:r>
                      <w:rPr>
                        <w:sz w:val="18"/>
                        <w:szCs w:val="18"/>
                      </w:rPr>
                      <w:t>16,037,293.36</w:t>
                    </w:r>
                  </w:p>
                </w:tc>
                <w:tc>
                  <w:tcPr>
                    <w:tcW w:w="1418" w:type="dxa"/>
                  </w:tcPr>
                  <w:p w14:paraId="6A164CEA" w14:textId="320A5B0E" w:rsidR="00830E72" w:rsidRDefault="000B67FF">
                    <w:pPr>
                      <w:jc w:val="right"/>
                      <w:rPr>
                        <w:sz w:val="18"/>
                        <w:szCs w:val="18"/>
                      </w:rPr>
                    </w:pPr>
                    <w:r>
                      <w:rPr>
                        <w:sz w:val="18"/>
                        <w:szCs w:val="18"/>
                      </w:rPr>
                      <w:t>35,557,650.61</w:t>
                    </w:r>
                  </w:p>
                </w:tc>
                <w:tc>
                  <w:tcPr>
                    <w:tcW w:w="1843" w:type="dxa"/>
                  </w:tcPr>
                  <w:p w14:paraId="74919C6C" w14:textId="47C42669" w:rsidR="00830E72" w:rsidRDefault="000B67FF">
                    <w:pPr>
                      <w:jc w:val="right"/>
                      <w:rPr>
                        <w:sz w:val="18"/>
                        <w:szCs w:val="18"/>
                      </w:rPr>
                    </w:pPr>
                    <w:r>
                      <w:rPr>
                        <w:sz w:val="18"/>
                        <w:szCs w:val="18"/>
                      </w:rPr>
                      <w:t>288,368,301.75</w:t>
                    </w:r>
                  </w:p>
                </w:tc>
                <w:tc>
                  <w:tcPr>
                    <w:tcW w:w="1687" w:type="dxa"/>
                  </w:tcPr>
                  <w:p w14:paraId="112ADF43" w14:textId="77777777" w:rsidR="00830E72" w:rsidRDefault="008344D8">
                    <w:pPr>
                      <w:jc w:val="right"/>
                      <w:rPr>
                        <w:sz w:val="18"/>
                        <w:szCs w:val="18"/>
                      </w:rPr>
                    </w:pPr>
                    <w:r>
                      <w:rPr>
                        <w:sz w:val="18"/>
                        <w:szCs w:val="18"/>
                      </w:rPr>
                      <w:t>1,048,228,864.16</w:t>
                    </w:r>
                  </w:p>
                </w:tc>
              </w:tr>
              <w:tr w:rsidR="00830E72" w14:paraId="5E7FF4E1" w14:textId="77777777">
                <w:trPr>
                  <w:trHeight w:val="20"/>
                </w:trPr>
                <w:sdt>
                  <w:sdtPr>
                    <w:tag w:val="_PLD_9ce2d31f4fd34371930cec7fd79a4318"/>
                    <w:id w:val="-1123606074"/>
                    <w:lock w:val="sdtLocked"/>
                  </w:sdtPr>
                  <w:sdtEndPr/>
                  <w:sdtContent>
                    <w:tc>
                      <w:tcPr>
                        <w:tcW w:w="1444" w:type="dxa"/>
                      </w:tcPr>
                      <w:p w14:paraId="55195FFA" w14:textId="77777777" w:rsidR="00830E72" w:rsidRDefault="008344D8">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559" w:type="dxa"/>
                    <w:tcBorders>
                      <w:right w:val="single" w:sz="4" w:space="0" w:color="auto"/>
                    </w:tcBorders>
                  </w:tcPr>
                  <w:p w14:paraId="4983D2E9" w14:textId="77777777" w:rsidR="00830E72" w:rsidRDefault="00830E72">
                    <w:pPr>
                      <w:jc w:val="right"/>
                      <w:rPr>
                        <w:sz w:val="18"/>
                        <w:szCs w:val="18"/>
                      </w:rPr>
                    </w:pPr>
                  </w:p>
                </w:tc>
                <w:tc>
                  <w:tcPr>
                    <w:tcW w:w="567" w:type="dxa"/>
                    <w:tcBorders>
                      <w:left w:val="single" w:sz="4" w:space="0" w:color="auto"/>
                      <w:right w:val="single" w:sz="4" w:space="0" w:color="auto"/>
                    </w:tcBorders>
                  </w:tcPr>
                  <w:p w14:paraId="613F0D5C" w14:textId="77777777" w:rsidR="00830E72" w:rsidRDefault="00830E72">
                    <w:pPr>
                      <w:jc w:val="right"/>
                      <w:rPr>
                        <w:sz w:val="18"/>
                        <w:szCs w:val="18"/>
                      </w:rPr>
                    </w:pPr>
                  </w:p>
                </w:tc>
                <w:tc>
                  <w:tcPr>
                    <w:tcW w:w="567" w:type="dxa"/>
                    <w:tcBorders>
                      <w:left w:val="single" w:sz="4" w:space="0" w:color="auto"/>
                      <w:right w:val="single" w:sz="4" w:space="0" w:color="auto"/>
                    </w:tcBorders>
                  </w:tcPr>
                  <w:p w14:paraId="4AF05EA9" w14:textId="77777777" w:rsidR="00830E72" w:rsidRDefault="00830E72">
                    <w:pPr>
                      <w:jc w:val="right"/>
                      <w:rPr>
                        <w:sz w:val="18"/>
                        <w:szCs w:val="18"/>
                      </w:rPr>
                    </w:pPr>
                  </w:p>
                </w:tc>
                <w:tc>
                  <w:tcPr>
                    <w:tcW w:w="425" w:type="dxa"/>
                    <w:tcBorders>
                      <w:left w:val="single" w:sz="4" w:space="0" w:color="auto"/>
                    </w:tcBorders>
                  </w:tcPr>
                  <w:p w14:paraId="026C43E1" w14:textId="77777777" w:rsidR="00830E72" w:rsidRDefault="00830E72">
                    <w:pPr>
                      <w:jc w:val="right"/>
                      <w:rPr>
                        <w:sz w:val="18"/>
                        <w:szCs w:val="18"/>
                      </w:rPr>
                    </w:pPr>
                  </w:p>
                </w:tc>
                <w:tc>
                  <w:tcPr>
                    <w:tcW w:w="1559" w:type="dxa"/>
                  </w:tcPr>
                  <w:p w14:paraId="0E74B0FC" w14:textId="77777777" w:rsidR="00830E72" w:rsidRDefault="00830E72">
                    <w:pPr>
                      <w:jc w:val="right"/>
                      <w:rPr>
                        <w:sz w:val="18"/>
                        <w:szCs w:val="18"/>
                      </w:rPr>
                    </w:pPr>
                  </w:p>
                </w:tc>
                <w:tc>
                  <w:tcPr>
                    <w:tcW w:w="567" w:type="dxa"/>
                  </w:tcPr>
                  <w:p w14:paraId="2DB66767" w14:textId="77777777" w:rsidR="00830E72" w:rsidRDefault="00830E72">
                    <w:pPr>
                      <w:jc w:val="right"/>
                      <w:rPr>
                        <w:sz w:val="18"/>
                        <w:szCs w:val="18"/>
                      </w:rPr>
                    </w:pPr>
                  </w:p>
                </w:tc>
                <w:tc>
                  <w:tcPr>
                    <w:tcW w:w="709" w:type="dxa"/>
                  </w:tcPr>
                  <w:p w14:paraId="49A99935" w14:textId="77777777" w:rsidR="00830E72" w:rsidRDefault="00830E72">
                    <w:pPr>
                      <w:jc w:val="right"/>
                      <w:rPr>
                        <w:sz w:val="18"/>
                        <w:szCs w:val="18"/>
                      </w:rPr>
                    </w:pPr>
                  </w:p>
                </w:tc>
                <w:tc>
                  <w:tcPr>
                    <w:tcW w:w="1559" w:type="dxa"/>
                  </w:tcPr>
                  <w:p w14:paraId="0A676857" w14:textId="77777777" w:rsidR="00830E72" w:rsidRDefault="008344D8">
                    <w:pPr>
                      <w:jc w:val="right"/>
                      <w:rPr>
                        <w:sz w:val="18"/>
                        <w:szCs w:val="18"/>
                      </w:rPr>
                    </w:pPr>
                    <w:r>
                      <w:rPr>
                        <w:sz w:val="18"/>
                        <w:szCs w:val="18"/>
                      </w:rPr>
                      <w:t>2,641,876.41</w:t>
                    </w:r>
                  </w:p>
                </w:tc>
                <w:tc>
                  <w:tcPr>
                    <w:tcW w:w="1418" w:type="dxa"/>
                  </w:tcPr>
                  <w:p w14:paraId="3C1A7C2A" w14:textId="77777777" w:rsidR="00830E72" w:rsidRDefault="00830E72">
                    <w:pPr>
                      <w:jc w:val="right"/>
                      <w:rPr>
                        <w:sz w:val="18"/>
                        <w:szCs w:val="18"/>
                      </w:rPr>
                    </w:pPr>
                  </w:p>
                </w:tc>
                <w:tc>
                  <w:tcPr>
                    <w:tcW w:w="1843" w:type="dxa"/>
                  </w:tcPr>
                  <w:p w14:paraId="5F1A37B0" w14:textId="77777777" w:rsidR="00830E72" w:rsidRDefault="008344D8">
                    <w:pPr>
                      <w:jc w:val="right"/>
                      <w:rPr>
                        <w:sz w:val="18"/>
                        <w:szCs w:val="18"/>
                      </w:rPr>
                    </w:pPr>
                    <w:r>
                      <w:rPr>
                        <w:sz w:val="18"/>
                        <w:szCs w:val="18"/>
                      </w:rPr>
                      <w:t>-14,788,176.58</w:t>
                    </w:r>
                  </w:p>
                </w:tc>
                <w:tc>
                  <w:tcPr>
                    <w:tcW w:w="1687" w:type="dxa"/>
                  </w:tcPr>
                  <w:p w14:paraId="0BD75260" w14:textId="77777777" w:rsidR="00830E72" w:rsidRDefault="008344D8">
                    <w:pPr>
                      <w:jc w:val="right"/>
                      <w:rPr>
                        <w:sz w:val="18"/>
                        <w:szCs w:val="18"/>
                      </w:rPr>
                    </w:pPr>
                    <w:r>
                      <w:rPr>
                        <w:sz w:val="18"/>
                        <w:szCs w:val="18"/>
                      </w:rPr>
                      <w:t>-12,146,300.17</w:t>
                    </w:r>
                  </w:p>
                </w:tc>
              </w:tr>
              <w:tr w:rsidR="00830E72" w14:paraId="30F45FEB" w14:textId="77777777">
                <w:trPr>
                  <w:trHeight w:val="20"/>
                </w:trPr>
                <w:sdt>
                  <w:sdtPr>
                    <w:tag w:val="_PLD_8e61c9577cd8495fb0815773685b00bb"/>
                    <w:id w:val="1462301792"/>
                    <w:lock w:val="sdtLocked"/>
                  </w:sdtPr>
                  <w:sdtEndPr/>
                  <w:sdtContent>
                    <w:tc>
                      <w:tcPr>
                        <w:tcW w:w="1444" w:type="dxa"/>
                      </w:tcPr>
                      <w:p w14:paraId="6DE24AEE" w14:textId="77777777" w:rsidR="00830E72" w:rsidRDefault="008344D8">
                        <w:pPr>
                          <w:rPr>
                            <w:sz w:val="18"/>
                            <w:szCs w:val="18"/>
                          </w:rPr>
                        </w:pPr>
                        <w:r>
                          <w:rPr>
                            <w:rFonts w:hint="eastAsia"/>
                            <w:sz w:val="18"/>
                            <w:szCs w:val="18"/>
                          </w:rPr>
                          <w:t>（一）综合收益总额</w:t>
                        </w:r>
                      </w:p>
                    </w:tc>
                  </w:sdtContent>
                </w:sdt>
                <w:tc>
                  <w:tcPr>
                    <w:tcW w:w="1559" w:type="dxa"/>
                    <w:tcBorders>
                      <w:right w:val="single" w:sz="4" w:space="0" w:color="auto"/>
                    </w:tcBorders>
                  </w:tcPr>
                  <w:p w14:paraId="1D617B95" w14:textId="77777777" w:rsidR="00830E72" w:rsidRDefault="00830E72">
                    <w:pPr>
                      <w:jc w:val="right"/>
                      <w:rPr>
                        <w:sz w:val="18"/>
                        <w:szCs w:val="18"/>
                      </w:rPr>
                    </w:pPr>
                  </w:p>
                </w:tc>
                <w:tc>
                  <w:tcPr>
                    <w:tcW w:w="567" w:type="dxa"/>
                    <w:tcBorders>
                      <w:left w:val="single" w:sz="4" w:space="0" w:color="auto"/>
                      <w:right w:val="single" w:sz="4" w:space="0" w:color="auto"/>
                    </w:tcBorders>
                  </w:tcPr>
                  <w:p w14:paraId="3FCEC4FE" w14:textId="77777777" w:rsidR="00830E72" w:rsidRDefault="00830E72">
                    <w:pPr>
                      <w:jc w:val="right"/>
                      <w:rPr>
                        <w:sz w:val="18"/>
                        <w:szCs w:val="18"/>
                      </w:rPr>
                    </w:pPr>
                  </w:p>
                </w:tc>
                <w:tc>
                  <w:tcPr>
                    <w:tcW w:w="567" w:type="dxa"/>
                    <w:tcBorders>
                      <w:left w:val="single" w:sz="4" w:space="0" w:color="auto"/>
                      <w:right w:val="single" w:sz="4" w:space="0" w:color="auto"/>
                    </w:tcBorders>
                  </w:tcPr>
                  <w:p w14:paraId="7A681126" w14:textId="77777777" w:rsidR="00830E72" w:rsidRDefault="00830E72">
                    <w:pPr>
                      <w:jc w:val="right"/>
                      <w:rPr>
                        <w:sz w:val="18"/>
                        <w:szCs w:val="18"/>
                      </w:rPr>
                    </w:pPr>
                  </w:p>
                </w:tc>
                <w:tc>
                  <w:tcPr>
                    <w:tcW w:w="425" w:type="dxa"/>
                    <w:tcBorders>
                      <w:left w:val="single" w:sz="4" w:space="0" w:color="auto"/>
                    </w:tcBorders>
                  </w:tcPr>
                  <w:p w14:paraId="0566C696" w14:textId="77777777" w:rsidR="00830E72" w:rsidRDefault="00830E72">
                    <w:pPr>
                      <w:jc w:val="right"/>
                      <w:rPr>
                        <w:sz w:val="18"/>
                        <w:szCs w:val="18"/>
                      </w:rPr>
                    </w:pPr>
                  </w:p>
                </w:tc>
                <w:tc>
                  <w:tcPr>
                    <w:tcW w:w="1559" w:type="dxa"/>
                  </w:tcPr>
                  <w:p w14:paraId="52DD0BA2" w14:textId="77777777" w:rsidR="00830E72" w:rsidRDefault="00830E72">
                    <w:pPr>
                      <w:jc w:val="right"/>
                      <w:rPr>
                        <w:sz w:val="18"/>
                        <w:szCs w:val="18"/>
                      </w:rPr>
                    </w:pPr>
                  </w:p>
                </w:tc>
                <w:tc>
                  <w:tcPr>
                    <w:tcW w:w="567" w:type="dxa"/>
                  </w:tcPr>
                  <w:p w14:paraId="051426F6" w14:textId="77777777" w:rsidR="00830E72" w:rsidRDefault="00830E72">
                    <w:pPr>
                      <w:jc w:val="right"/>
                      <w:rPr>
                        <w:sz w:val="18"/>
                        <w:szCs w:val="18"/>
                      </w:rPr>
                    </w:pPr>
                  </w:p>
                </w:tc>
                <w:tc>
                  <w:tcPr>
                    <w:tcW w:w="709" w:type="dxa"/>
                  </w:tcPr>
                  <w:p w14:paraId="71276E6D" w14:textId="77777777" w:rsidR="00830E72" w:rsidRDefault="00830E72">
                    <w:pPr>
                      <w:jc w:val="right"/>
                      <w:rPr>
                        <w:sz w:val="18"/>
                        <w:szCs w:val="18"/>
                      </w:rPr>
                    </w:pPr>
                  </w:p>
                </w:tc>
                <w:tc>
                  <w:tcPr>
                    <w:tcW w:w="1559" w:type="dxa"/>
                  </w:tcPr>
                  <w:p w14:paraId="10C43B3E" w14:textId="77777777" w:rsidR="00830E72" w:rsidRDefault="00830E72">
                    <w:pPr>
                      <w:jc w:val="right"/>
                      <w:rPr>
                        <w:sz w:val="18"/>
                        <w:szCs w:val="18"/>
                      </w:rPr>
                    </w:pPr>
                  </w:p>
                </w:tc>
                <w:tc>
                  <w:tcPr>
                    <w:tcW w:w="1418" w:type="dxa"/>
                  </w:tcPr>
                  <w:p w14:paraId="532185E0" w14:textId="77777777" w:rsidR="00830E72" w:rsidRDefault="00830E72">
                    <w:pPr>
                      <w:jc w:val="right"/>
                      <w:rPr>
                        <w:sz w:val="18"/>
                        <w:szCs w:val="18"/>
                      </w:rPr>
                    </w:pPr>
                  </w:p>
                </w:tc>
                <w:tc>
                  <w:tcPr>
                    <w:tcW w:w="1843" w:type="dxa"/>
                  </w:tcPr>
                  <w:p w14:paraId="4819BFBC" w14:textId="77777777" w:rsidR="00830E72" w:rsidRDefault="008344D8">
                    <w:pPr>
                      <w:jc w:val="right"/>
                      <w:rPr>
                        <w:sz w:val="18"/>
                        <w:szCs w:val="18"/>
                      </w:rPr>
                    </w:pPr>
                    <w:r>
                      <w:rPr>
                        <w:sz w:val="18"/>
                        <w:szCs w:val="18"/>
                      </w:rPr>
                      <w:t>35,111,823.42</w:t>
                    </w:r>
                  </w:p>
                </w:tc>
                <w:tc>
                  <w:tcPr>
                    <w:tcW w:w="1687" w:type="dxa"/>
                  </w:tcPr>
                  <w:p w14:paraId="1EDD7594" w14:textId="77777777" w:rsidR="00830E72" w:rsidRDefault="008344D8">
                    <w:pPr>
                      <w:jc w:val="right"/>
                      <w:rPr>
                        <w:sz w:val="18"/>
                        <w:szCs w:val="18"/>
                      </w:rPr>
                    </w:pPr>
                    <w:r>
                      <w:rPr>
                        <w:sz w:val="18"/>
                        <w:szCs w:val="18"/>
                      </w:rPr>
                      <w:t>35,111,823.42</w:t>
                    </w:r>
                  </w:p>
                </w:tc>
              </w:tr>
              <w:tr w:rsidR="00830E72" w14:paraId="5B465417" w14:textId="77777777">
                <w:trPr>
                  <w:trHeight w:val="20"/>
                </w:trPr>
                <w:sdt>
                  <w:sdtPr>
                    <w:tag w:val="_PLD_e11fbdac72bf4f84a5635701204e5724"/>
                    <w:id w:val="1859842691"/>
                    <w:lock w:val="sdtLocked"/>
                  </w:sdtPr>
                  <w:sdtEndPr/>
                  <w:sdtContent>
                    <w:tc>
                      <w:tcPr>
                        <w:tcW w:w="1444" w:type="dxa"/>
                      </w:tcPr>
                      <w:p w14:paraId="2A109A35" w14:textId="77777777" w:rsidR="00830E72" w:rsidRDefault="008344D8">
                        <w:pPr>
                          <w:rPr>
                            <w:sz w:val="18"/>
                            <w:szCs w:val="18"/>
                          </w:rPr>
                        </w:pPr>
                        <w:r>
                          <w:rPr>
                            <w:sz w:val="18"/>
                            <w:szCs w:val="18"/>
                          </w:rPr>
                          <w:t>（</w:t>
                        </w:r>
                        <w:r>
                          <w:rPr>
                            <w:rFonts w:hint="eastAsia"/>
                            <w:sz w:val="18"/>
                            <w:szCs w:val="18"/>
                          </w:rPr>
                          <w:t>二</w:t>
                        </w:r>
                        <w:r>
                          <w:rPr>
                            <w:sz w:val="18"/>
                            <w:szCs w:val="18"/>
                          </w:rPr>
                          <w:t>）所有者投入和减少资本</w:t>
                        </w:r>
                      </w:p>
                    </w:tc>
                  </w:sdtContent>
                </w:sdt>
                <w:tc>
                  <w:tcPr>
                    <w:tcW w:w="1559" w:type="dxa"/>
                    <w:tcBorders>
                      <w:right w:val="single" w:sz="4" w:space="0" w:color="auto"/>
                    </w:tcBorders>
                  </w:tcPr>
                  <w:p w14:paraId="59F8A2F1" w14:textId="77777777" w:rsidR="00830E72" w:rsidRDefault="00830E72">
                    <w:pPr>
                      <w:jc w:val="right"/>
                      <w:rPr>
                        <w:sz w:val="18"/>
                        <w:szCs w:val="18"/>
                      </w:rPr>
                    </w:pPr>
                  </w:p>
                </w:tc>
                <w:tc>
                  <w:tcPr>
                    <w:tcW w:w="567" w:type="dxa"/>
                    <w:tcBorders>
                      <w:left w:val="single" w:sz="4" w:space="0" w:color="auto"/>
                      <w:right w:val="single" w:sz="4" w:space="0" w:color="auto"/>
                    </w:tcBorders>
                  </w:tcPr>
                  <w:p w14:paraId="328FE087" w14:textId="77777777" w:rsidR="00830E72" w:rsidRDefault="00830E72">
                    <w:pPr>
                      <w:jc w:val="right"/>
                      <w:rPr>
                        <w:sz w:val="18"/>
                        <w:szCs w:val="18"/>
                      </w:rPr>
                    </w:pPr>
                  </w:p>
                </w:tc>
                <w:tc>
                  <w:tcPr>
                    <w:tcW w:w="567" w:type="dxa"/>
                    <w:tcBorders>
                      <w:left w:val="single" w:sz="4" w:space="0" w:color="auto"/>
                      <w:right w:val="single" w:sz="4" w:space="0" w:color="auto"/>
                    </w:tcBorders>
                  </w:tcPr>
                  <w:p w14:paraId="54A560E0" w14:textId="77777777" w:rsidR="00830E72" w:rsidRDefault="00830E72">
                    <w:pPr>
                      <w:jc w:val="right"/>
                      <w:rPr>
                        <w:sz w:val="18"/>
                        <w:szCs w:val="18"/>
                      </w:rPr>
                    </w:pPr>
                  </w:p>
                </w:tc>
                <w:tc>
                  <w:tcPr>
                    <w:tcW w:w="425" w:type="dxa"/>
                    <w:tcBorders>
                      <w:left w:val="single" w:sz="4" w:space="0" w:color="auto"/>
                    </w:tcBorders>
                  </w:tcPr>
                  <w:p w14:paraId="6782564D" w14:textId="77777777" w:rsidR="00830E72" w:rsidRDefault="00830E72">
                    <w:pPr>
                      <w:jc w:val="right"/>
                      <w:rPr>
                        <w:sz w:val="18"/>
                        <w:szCs w:val="18"/>
                      </w:rPr>
                    </w:pPr>
                  </w:p>
                </w:tc>
                <w:tc>
                  <w:tcPr>
                    <w:tcW w:w="1559" w:type="dxa"/>
                  </w:tcPr>
                  <w:p w14:paraId="0E35BB84" w14:textId="77777777" w:rsidR="00830E72" w:rsidRDefault="00830E72">
                    <w:pPr>
                      <w:jc w:val="right"/>
                      <w:rPr>
                        <w:sz w:val="18"/>
                        <w:szCs w:val="18"/>
                      </w:rPr>
                    </w:pPr>
                  </w:p>
                </w:tc>
                <w:tc>
                  <w:tcPr>
                    <w:tcW w:w="567" w:type="dxa"/>
                  </w:tcPr>
                  <w:p w14:paraId="3E676DE0" w14:textId="77777777" w:rsidR="00830E72" w:rsidRDefault="00830E72">
                    <w:pPr>
                      <w:jc w:val="right"/>
                      <w:rPr>
                        <w:sz w:val="18"/>
                        <w:szCs w:val="18"/>
                      </w:rPr>
                    </w:pPr>
                  </w:p>
                </w:tc>
                <w:tc>
                  <w:tcPr>
                    <w:tcW w:w="709" w:type="dxa"/>
                  </w:tcPr>
                  <w:p w14:paraId="20EF09B0" w14:textId="77777777" w:rsidR="00830E72" w:rsidRDefault="00830E72">
                    <w:pPr>
                      <w:jc w:val="right"/>
                      <w:rPr>
                        <w:sz w:val="18"/>
                        <w:szCs w:val="18"/>
                      </w:rPr>
                    </w:pPr>
                  </w:p>
                </w:tc>
                <w:tc>
                  <w:tcPr>
                    <w:tcW w:w="1559" w:type="dxa"/>
                  </w:tcPr>
                  <w:p w14:paraId="0D535A37" w14:textId="77777777" w:rsidR="00830E72" w:rsidRDefault="00830E72">
                    <w:pPr>
                      <w:jc w:val="right"/>
                      <w:rPr>
                        <w:sz w:val="18"/>
                        <w:szCs w:val="18"/>
                      </w:rPr>
                    </w:pPr>
                  </w:p>
                </w:tc>
                <w:tc>
                  <w:tcPr>
                    <w:tcW w:w="1418" w:type="dxa"/>
                  </w:tcPr>
                  <w:p w14:paraId="51B8A913" w14:textId="77777777" w:rsidR="00830E72" w:rsidRDefault="00830E72">
                    <w:pPr>
                      <w:jc w:val="right"/>
                      <w:rPr>
                        <w:sz w:val="18"/>
                        <w:szCs w:val="18"/>
                      </w:rPr>
                    </w:pPr>
                  </w:p>
                </w:tc>
                <w:tc>
                  <w:tcPr>
                    <w:tcW w:w="1843" w:type="dxa"/>
                  </w:tcPr>
                  <w:p w14:paraId="343B277A" w14:textId="77777777" w:rsidR="00830E72" w:rsidRDefault="00830E72">
                    <w:pPr>
                      <w:jc w:val="right"/>
                      <w:rPr>
                        <w:sz w:val="18"/>
                        <w:szCs w:val="18"/>
                      </w:rPr>
                    </w:pPr>
                  </w:p>
                </w:tc>
                <w:tc>
                  <w:tcPr>
                    <w:tcW w:w="1687" w:type="dxa"/>
                  </w:tcPr>
                  <w:p w14:paraId="5C664A89" w14:textId="77777777" w:rsidR="00830E72" w:rsidRDefault="00830E72">
                    <w:pPr>
                      <w:jc w:val="right"/>
                      <w:rPr>
                        <w:sz w:val="18"/>
                        <w:szCs w:val="18"/>
                      </w:rPr>
                    </w:pPr>
                  </w:p>
                </w:tc>
              </w:tr>
              <w:tr w:rsidR="00830E72" w14:paraId="097356A9" w14:textId="77777777">
                <w:trPr>
                  <w:trHeight w:val="20"/>
                </w:trPr>
                <w:sdt>
                  <w:sdtPr>
                    <w:tag w:val="_PLD_7b195f652f0542a9b8fb6e62990feb42"/>
                    <w:id w:val="1922678799"/>
                    <w:lock w:val="sdtLocked"/>
                  </w:sdtPr>
                  <w:sdtEndPr/>
                  <w:sdtContent>
                    <w:tc>
                      <w:tcPr>
                        <w:tcW w:w="1444" w:type="dxa"/>
                      </w:tcPr>
                      <w:p w14:paraId="3414ECE5" w14:textId="77777777" w:rsidR="00830E72" w:rsidRDefault="008344D8">
                        <w:pPr>
                          <w:rPr>
                            <w:sz w:val="18"/>
                            <w:szCs w:val="18"/>
                          </w:rPr>
                        </w:pPr>
                        <w:r>
                          <w:rPr>
                            <w:rFonts w:hint="eastAsia"/>
                            <w:sz w:val="18"/>
                            <w:szCs w:val="18"/>
                          </w:rPr>
                          <w:t>1．所有者投入的普通股</w:t>
                        </w:r>
                      </w:p>
                    </w:tc>
                  </w:sdtContent>
                </w:sdt>
                <w:tc>
                  <w:tcPr>
                    <w:tcW w:w="1559" w:type="dxa"/>
                    <w:tcBorders>
                      <w:right w:val="single" w:sz="4" w:space="0" w:color="auto"/>
                    </w:tcBorders>
                  </w:tcPr>
                  <w:p w14:paraId="21D0CE4E" w14:textId="77777777" w:rsidR="00830E72" w:rsidRDefault="00830E72">
                    <w:pPr>
                      <w:jc w:val="right"/>
                      <w:rPr>
                        <w:sz w:val="18"/>
                        <w:szCs w:val="18"/>
                      </w:rPr>
                    </w:pPr>
                  </w:p>
                </w:tc>
                <w:tc>
                  <w:tcPr>
                    <w:tcW w:w="567" w:type="dxa"/>
                    <w:tcBorders>
                      <w:left w:val="single" w:sz="4" w:space="0" w:color="auto"/>
                      <w:right w:val="single" w:sz="4" w:space="0" w:color="auto"/>
                    </w:tcBorders>
                  </w:tcPr>
                  <w:p w14:paraId="62875A41" w14:textId="77777777" w:rsidR="00830E72" w:rsidRDefault="00830E72">
                    <w:pPr>
                      <w:jc w:val="right"/>
                      <w:rPr>
                        <w:sz w:val="18"/>
                        <w:szCs w:val="18"/>
                      </w:rPr>
                    </w:pPr>
                  </w:p>
                </w:tc>
                <w:tc>
                  <w:tcPr>
                    <w:tcW w:w="567" w:type="dxa"/>
                    <w:tcBorders>
                      <w:left w:val="single" w:sz="4" w:space="0" w:color="auto"/>
                      <w:right w:val="single" w:sz="4" w:space="0" w:color="auto"/>
                    </w:tcBorders>
                  </w:tcPr>
                  <w:p w14:paraId="7D9E5A3C" w14:textId="77777777" w:rsidR="00830E72" w:rsidRDefault="00830E72">
                    <w:pPr>
                      <w:jc w:val="right"/>
                      <w:rPr>
                        <w:sz w:val="18"/>
                        <w:szCs w:val="18"/>
                      </w:rPr>
                    </w:pPr>
                  </w:p>
                </w:tc>
                <w:tc>
                  <w:tcPr>
                    <w:tcW w:w="425" w:type="dxa"/>
                    <w:tcBorders>
                      <w:left w:val="single" w:sz="4" w:space="0" w:color="auto"/>
                    </w:tcBorders>
                  </w:tcPr>
                  <w:p w14:paraId="3EF89BD8" w14:textId="77777777" w:rsidR="00830E72" w:rsidRDefault="00830E72">
                    <w:pPr>
                      <w:jc w:val="right"/>
                      <w:rPr>
                        <w:sz w:val="18"/>
                        <w:szCs w:val="18"/>
                      </w:rPr>
                    </w:pPr>
                  </w:p>
                </w:tc>
                <w:tc>
                  <w:tcPr>
                    <w:tcW w:w="1559" w:type="dxa"/>
                  </w:tcPr>
                  <w:p w14:paraId="627F849C" w14:textId="77777777" w:rsidR="00830E72" w:rsidRDefault="00830E72">
                    <w:pPr>
                      <w:jc w:val="right"/>
                      <w:rPr>
                        <w:sz w:val="18"/>
                        <w:szCs w:val="18"/>
                      </w:rPr>
                    </w:pPr>
                  </w:p>
                </w:tc>
                <w:tc>
                  <w:tcPr>
                    <w:tcW w:w="567" w:type="dxa"/>
                  </w:tcPr>
                  <w:p w14:paraId="510F3807" w14:textId="77777777" w:rsidR="00830E72" w:rsidRDefault="00830E72">
                    <w:pPr>
                      <w:jc w:val="right"/>
                      <w:rPr>
                        <w:sz w:val="18"/>
                        <w:szCs w:val="18"/>
                      </w:rPr>
                    </w:pPr>
                  </w:p>
                </w:tc>
                <w:tc>
                  <w:tcPr>
                    <w:tcW w:w="709" w:type="dxa"/>
                  </w:tcPr>
                  <w:p w14:paraId="4FE538D6" w14:textId="77777777" w:rsidR="00830E72" w:rsidRDefault="00830E72">
                    <w:pPr>
                      <w:jc w:val="right"/>
                      <w:rPr>
                        <w:sz w:val="18"/>
                        <w:szCs w:val="18"/>
                      </w:rPr>
                    </w:pPr>
                  </w:p>
                </w:tc>
                <w:tc>
                  <w:tcPr>
                    <w:tcW w:w="1559" w:type="dxa"/>
                  </w:tcPr>
                  <w:p w14:paraId="27C250D8" w14:textId="77777777" w:rsidR="00830E72" w:rsidRDefault="00830E72">
                    <w:pPr>
                      <w:jc w:val="right"/>
                      <w:rPr>
                        <w:sz w:val="18"/>
                        <w:szCs w:val="18"/>
                      </w:rPr>
                    </w:pPr>
                  </w:p>
                </w:tc>
                <w:tc>
                  <w:tcPr>
                    <w:tcW w:w="1418" w:type="dxa"/>
                  </w:tcPr>
                  <w:p w14:paraId="64A445E8" w14:textId="77777777" w:rsidR="00830E72" w:rsidRDefault="00830E72">
                    <w:pPr>
                      <w:jc w:val="right"/>
                      <w:rPr>
                        <w:sz w:val="18"/>
                        <w:szCs w:val="18"/>
                      </w:rPr>
                    </w:pPr>
                  </w:p>
                </w:tc>
                <w:tc>
                  <w:tcPr>
                    <w:tcW w:w="1843" w:type="dxa"/>
                  </w:tcPr>
                  <w:p w14:paraId="0D1AD483" w14:textId="77777777" w:rsidR="00830E72" w:rsidRDefault="00830E72">
                    <w:pPr>
                      <w:jc w:val="right"/>
                      <w:rPr>
                        <w:sz w:val="18"/>
                        <w:szCs w:val="18"/>
                      </w:rPr>
                    </w:pPr>
                  </w:p>
                </w:tc>
                <w:tc>
                  <w:tcPr>
                    <w:tcW w:w="1687" w:type="dxa"/>
                  </w:tcPr>
                  <w:p w14:paraId="59576966" w14:textId="77777777" w:rsidR="00830E72" w:rsidRDefault="00830E72">
                    <w:pPr>
                      <w:jc w:val="right"/>
                      <w:rPr>
                        <w:sz w:val="18"/>
                        <w:szCs w:val="18"/>
                      </w:rPr>
                    </w:pPr>
                  </w:p>
                </w:tc>
              </w:tr>
              <w:tr w:rsidR="00830E72" w14:paraId="68B79558" w14:textId="77777777">
                <w:trPr>
                  <w:trHeight w:val="20"/>
                </w:trPr>
                <w:sdt>
                  <w:sdtPr>
                    <w:tag w:val="_PLD_4873337789fc42b5ae8485de96f3dad3"/>
                    <w:id w:val="-2047364330"/>
                    <w:lock w:val="sdtLocked"/>
                  </w:sdtPr>
                  <w:sdtEndPr/>
                  <w:sdtContent>
                    <w:tc>
                      <w:tcPr>
                        <w:tcW w:w="1444" w:type="dxa"/>
                      </w:tcPr>
                      <w:p w14:paraId="28D03463" w14:textId="77777777" w:rsidR="00830E72" w:rsidRDefault="008344D8">
                        <w:pPr>
                          <w:rPr>
                            <w:sz w:val="18"/>
                            <w:szCs w:val="18"/>
                          </w:rPr>
                        </w:pPr>
                        <w:r>
                          <w:rPr>
                            <w:rFonts w:hint="eastAsia"/>
                            <w:sz w:val="18"/>
                            <w:szCs w:val="18"/>
                          </w:rPr>
                          <w:t>2．其他权益工具持有者投入资本</w:t>
                        </w:r>
                      </w:p>
                    </w:tc>
                  </w:sdtContent>
                </w:sdt>
                <w:tc>
                  <w:tcPr>
                    <w:tcW w:w="1559" w:type="dxa"/>
                    <w:tcBorders>
                      <w:right w:val="single" w:sz="4" w:space="0" w:color="auto"/>
                    </w:tcBorders>
                  </w:tcPr>
                  <w:p w14:paraId="56768D22" w14:textId="77777777" w:rsidR="00830E72" w:rsidRDefault="00830E72">
                    <w:pPr>
                      <w:jc w:val="right"/>
                      <w:rPr>
                        <w:sz w:val="18"/>
                        <w:szCs w:val="18"/>
                      </w:rPr>
                    </w:pPr>
                  </w:p>
                </w:tc>
                <w:tc>
                  <w:tcPr>
                    <w:tcW w:w="567" w:type="dxa"/>
                    <w:tcBorders>
                      <w:left w:val="single" w:sz="4" w:space="0" w:color="auto"/>
                      <w:right w:val="single" w:sz="4" w:space="0" w:color="auto"/>
                    </w:tcBorders>
                  </w:tcPr>
                  <w:p w14:paraId="1D114305" w14:textId="77777777" w:rsidR="00830E72" w:rsidRDefault="00830E72">
                    <w:pPr>
                      <w:jc w:val="right"/>
                      <w:rPr>
                        <w:sz w:val="18"/>
                        <w:szCs w:val="18"/>
                      </w:rPr>
                    </w:pPr>
                  </w:p>
                </w:tc>
                <w:tc>
                  <w:tcPr>
                    <w:tcW w:w="567" w:type="dxa"/>
                    <w:tcBorders>
                      <w:left w:val="single" w:sz="4" w:space="0" w:color="auto"/>
                      <w:right w:val="single" w:sz="4" w:space="0" w:color="auto"/>
                    </w:tcBorders>
                  </w:tcPr>
                  <w:p w14:paraId="3A44DF59" w14:textId="77777777" w:rsidR="00830E72" w:rsidRDefault="00830E72">
                    <w:pPr>
                      <w:jc w:val="right"/>
                      <w:rPr>
                        <w:sz w:val="18"/>
                        <w:szCs w:val="18"/>
                      </w:rPr>
                    </w:pPr>
                  </w:p>
                </w:tc>
                <w:tc>
                  <w:tcPr>
                    <w:tcW w:w="425" w:type="dxa"/>
                    <w:tcBorders>
                      <w:left w:val="single" w:sz="4" w:space="0" w:color="auto"/>
                    </w:tcBorders>
                  </w:tcPr>
                  <w:p w14:paraId="7F392C93" w14:textId="77777777" w:rsidR="00830E72" w:rsidRDefault="00830E72">
                    <w:pPr>
                      <w:jc w:val="right"/>
                      <w:rPr>
                        <w:sz w:val="18"/>
                        <w:szCs w:val="18"/>
                      </w:rPr>
                    </w:pPr>
                  </w:p>
                </w:tc>
                <w:tc>
                  <w:tcPr>
                    <w:tcW w:w="1559" w:type="dxa"/>
                  </w:tcPr>
                  <w:p w14:paraId="4F6FFC09" w14:textId="77777777" w:rsidR="00830E72" w:rsidRDefault="00830E72">
                    <w:pPr>
                      <w:jc w:val="right"/>
                      <w:rPr>
                        <w:sz w:val="18"/>
                        <w:szCs w:val="18"/>
                      </w:rPr>
                    </w:pPr>
                  </w:p>
                </w:tc>
                <w:tc>
                  <w:tcPr>
                    <w:tcW w:w="567" w:type="dxa"/>
                  </w:tcPr>
                  <w:p w14:paraId="1624D032" w14:textId="77777777" w:rsidR="00830E72" w:rsidRDefault="00830E72">
                    <w:pPr>
                      <w:jc w:val="right"/>
                      <w:rPr>
                        <w:sz w:val="18"/>
                        <w:szCs w:val="18"/>
                      </w:rPr>
                    </w:pPr>
                  </w:p>
                </w:tc>
                <w:tc>
                  <w:tcPr>
                    <w:tcW w:w="709" w:type="dxa"/>
                  </w:tcPr>
                  <w:p w14:paraId="1D53C95C" w14:textId="77777777" w:rsidR="00830E72" w:rsidRDefault="00830E72">
                    <w:pPr>
                      <w:jc w:val="right"/>
                      <w:rPr>
                        <w:sz w:val="18"/>
                        <w:szCs w:val="18"/>
                      </w:rPr>
                    </w:pPr>
                  </w:p>
                </w:tc>
                <w:tc>
                  <w:tcPr>
                    <w:tcW w:w="1559" w:type="dxa"/>
                  </w:tcPr>
                  <w:p w14:paraId="326094EE" w14:textId="77777777" w:rsidR="00830E72" w:rsidRDefault="00830E72">
                    <w:pPr>
                      <w:jc w:val="right"/>
                      <w:rPr>
                        <w:sz w:val="18"/>
                        <w:szCs w:val="18"/>
                      </w:rPr>
                    </w:pPr>
                  </w:p>
                </w:tc>
                <w:tc>
                  <w:tcPr>
                    <w:tcW w:w="1418" w:type="dxa"/>
                  </w:tcPr>
                  <w:p w14:paraId="3E3E4561" w14:textId="77777777" w:rsidR="00830E72" w:rsidRDefault="00830E72">
                    <w:pPr>
                      <w:jc w:val="right"/>
                      <w:rPr>
                        <w:sz w:val="18"/>
                        <w:szCs w:val="18"/>
                      </w:rPr>
                    </w:pPr>
                  </w:p>
                </w:tc>
                <w:tc>
                  <w:tcPr>
                    <w:tcW w:w="1843" w:type="dxa"/>
                  </w:tcPr>
                  <w:p w14:paraId="75F868AF" w14:textId="77777777" w:rsidR="00830E72" w:rsidRDefault="00830E72">
                    <w:pPr>
                      <w:jc w:val="right"/>
                      <w:rPr>
                        <w:sz w:val="18"/>
                        <w:szCs w:val="18"/>
                      </w:rPr>
                    </w:pPr>
                  </w:p>
                </w:tc>
                <w:tc>
                  <w:tcPr>
                    <w:tcW w:w="1687" w:type="dxa"/>
                  </w:tcPr>
                  <w:p w14:paraId="55D50898" w14:textId="77777777" w:rsidR="00830E72" w:rsidRDefault="00830E72">
                    <w:pPr>
                      <w:jc w:val="right"/>
                      <w:rPr>
                        <w:sz w:val="18"/>
                        <w:szCs w:val="18"/>
                      </w:rPr>
                    </w:pPr>
                  </w:p>
                </w:tc>
              </w:tr>
              <w:tr w:rsidR="00830E72" w14:paraId="00E387B6" w14:textId="77777777">
                <w:trPr>
                  <w:trHeight w:val="20"/>
                </w:trPr>
                <w:sdt>
                  <w:sdtPr>
                    <w:tag w:val="_PLD_83c73c5580c0412189f697f05780f9af"/>
                    <w:id w:val="-10765141"/>
                    <w:lock w:val="sdtLocked"/>
                  </w:sdtPr>
                  <w:sdtEndPr/>
                  <w:sdtContent>
                    <w:tc>
                      <w:tcPr>
                        <w:tcW w:w="1444" w:type="dxa"/>
                      </w:tcPr>
                      <w:p w14:paraId="65E940E9" w14:textId="77777777" w:rsidR="00830E72" w:rsidRDefault="008344D8">
                        <w:pPr>
                          <w:rPr>
                            <w:sz w:val="18"/>
                            <w:szCs w:val="18"/>
                          </w:rPr>
                        </w:pPr>
                        <w:r>
                          <w:rPr>
                            <w:rFonts w:hint="eastAsia"/>
                            <w:sz w:val="18"/>
                            <w:szCs w:val="18"/>
                          </w:rPr>
                          <w:t>3</w:t>
                        </w:r>
                        <w:r>
                          <w:rPr>
                            <w:sz w:val="18"/>
                            <w:szCs w:val="18"/>
                          </w:rPr>
                          <w:t>．股份支付计入所有者权益的金额</w:t>
                        </w:r>
                      </w:p>
                    </w:tc>
                  </w:sdtContent>
                </w:sdt>
                <w:tc>
                  <w:tcPr>
                    <w:tcW w:w="1559" w:type="dxa"/>
                    <w:tcBorders>
                      <w:right w:val="single" w:sz="4" w:space="0" w:color="auto"/>
                    </w:tcBorders>
                  </w:tcPr>
                  <w:p w14:paraId="406C12B8" w14:textId="77777777" w:rsidR="00830E72" w:rsidRDefault="00830E72">
                    <w:pPr>
                      <w:jc w:val="right"/>
                      <w:rPr>
                        <w:sz w:val="18"/>
                        <w:szCs w:val="18"/>
                      </w:rPr>
                    </w:pPr>
                  </w:p>
                </w:tc>
                <w:tc>
                  <w:tcPr>
                    <w:tcW w:w="567" w:type="dxa"/>
                    <w:tcBorders>
                      <w:left w:val="single" w:sz="4" w:space="0" w:color="auto"/>
                      <w:right w:val="single" w:sz="4" w:space="0" w:color="auto"/>
                    </w:tcBorders>
                  </w:tcPr>
                  <w:p w14:paraId="0D170226" w14:textId="77777777" w:rsidR="00830E72" w:rsidRDefault="00830E72">
                    <w:pPr>
                      <w:jc w:val="right"/>
                      <w:rPr>
                        <w:sz w:val="18"/>
                        <w:szCs w:val="18"/>
                      </w:rPr>
                    </w:pPr>
                  </w:p>
                </w:tc>
                <w:tc>
                  <w:tcPr>
                    <w:tcW w:w="567" w:type="dxa"/>
                    <w:tcBorders>
                      <w:left w:val="single" w:sz="4" w:space="0" w:color="auto"/>
                      <w:right w:val="single" w:sz="4" w:space="0" w:color="auto"/>
                    </w:tcBorders>
                  </w:tcPr>
                  <w:p w14:paraId="46BA3576" w14:textId="77777777" w:rsidR="00830E72" w:rsidRDefault="00830E72">
                    <w:pPr>
                      <w:jc w:val="right"/>
                      <w:rPr>
                        <w:sz w:val="18"/>
                        <w:szCs w:val="18"/>
                      </w:rPr>
                    </w:pPr>
                  </w:p>
                </w:tc>
                <w:tc>
                  <w:tcPr>
                    <w:tcW w:w="425" w:type="dxa"/>
                    <w:tcBorders>
                      <w:left w:val="single" w:sz="4" w:space="0" w:color="auto"/>
                    </w:tcBorders>
                  </w:tcPr>
                  <w:p w14:paraId="70A1B88C" w14:textId="77777777" w:rsidR="00830E72" w:rsidRDefault="00830E72">
                    <w:pPr>
                      <w:jc w:val="right"/>
                      <w:rPr>
                        <w:sz w:val="18"/>
                        <w:szCs w:val="18"/>
                      </w:rPr>
                    </w:pPr>
                  </w:p>
                </w:tc>
                <w:tc>
                  <w:tcPr>
                    <w:tcW w:w="1559" w:type="dxa"/>
                  </w:tcPr>
                  <w:p w14:paraId="0731B40C" w14:textId="77777777" w:rsidR="00830E72" w:rsidRDefault="00830E72">
                    <w:pPr>
                      <w:jc w:val="right"/>
                      <w:rPr>
                        <w:sz w:val="18"/>
                        <w:szCs w:val="18"/>
                      </w:rPr>
                    </w:pPr>
                  </w:p>
                </w:tc>
                <w:tc>
                  <w:tcPr>
                    <w:tcW w:w="567" w:type="dxa"/>
                  </w:tcPr>
                  <w:p w14:paraId="18D4D41A" w14:textId="77777777" w:rsidR="00830E72" w:rsidRDefault="00830E72">
                    <w:pPr>
                      <w:jc w:val="right"/>
                      <w:rPr>
                        <w:sz w:val="18"/>
                        <w:szCs w:val="18"/>
                      </w:rPr>
                    </w:pPr>
                  </w:p>
                </w:tc>
                <w:tc>
                  <w:tcPr>
                    <w:tcW w:w="709" w:type="dxa"/>
                  </w:tcPr>
                  <w:p w14:paraId="37D9B593" w14:textId="77777777" w:rsidR="00830E72" w:rsidRDefault="00830E72">
                    <w:pPr>
                      <w:jc w:val="right"/>
                      <w:rPr>
                        <w:sz w:val="18"/>
                        <w:szCs w:val="18"/>
                      </w:rPr>
                    </w:pPr>
                  </w:p>
                </w:tc>
                <w:tc>
                  <w:tcPr>
                    <w:tcW w:w="1559" w:type="dxa"/>
                  </w:tcPr>
                  <w:p w14:paraId="361790DC" w14:textId="77777777" w:rsidR="00830E72" w:rsidRDefault="00830E72">
                    <w:pPr>
                      <w:jc w:val="right"/>
                      <w:rPr>
                        <w:sz w:val="18"/>
                        <w:szCs w:val="18"/>
                      </w:rPr>
                    </w:pPr>
                  </w:p>
                </w:tc>
                <w:tc>
                  <w:tcPr>
                    <w:tcW w:w="1418" w:type="dxa"/>
                  </w:tcPr>
                  <w:p w14:paraId="411D1433" w14:textId="77777777" w:rsidR="00830E72" w:rsidRDefault="00830E72">
                    <w:pPr>
                      <w:jc w:val="right"/>
                      <w:rPr>
                        <w:sz w:val="18"/>
                        <w:szCs w:val="18"/>
                      </w:rPr>
                    </w:pPr>
                  </w:p>
                </w:tc>
                <w:tc>
                  <w:tcPr>
                    <w:tcW w:w="1843" w:type="dxa"/>
                  </w:tcPr>
                  <w:p w14:paraId="139CBEEC" w14:textId="77777777" w:rsidR="00830E72" w:rsidRDefault="00830E72">
                    <w:pPr>
                      <w:jc w:val="right"/>
                      <w:rPr>
                        <w:sz w:val="18"/>
                        <w:szCs w:val="18"/>
                      </w:rPr>
                    </w:pPr>
                  </w:p>
                </w:tc>
                <w:tc>
                  <w:tcPr>
                    <w:tcW w:w="1687" w:type="dxa"/>
                  </w:tcPr>
                  <w:p w14:paraId="7F5527C4" w14:textId="77777777" w:rsidR="00830E72" w:rsidRDefault="00830E72">
                    <w:pPr>
                      <w:jc w:val="right"/>
                      <w:rPr>
                        <w:sz w:val="18"/>
                        <w:szCs w:val="18"/>
                      </w:rPr>
                    </w:pPr>
                  </w:p>
                </w:tc>
              </w:tr>
              <w:tr w:rsidR="00830E72" w14:paraId="02CFB316" w14:textId="77777777">
                <w:trPr>
                  <w:trHeight w:val="20"/>
                </w:trPr>
                <w:sdt>
                  <w:sdtPr>
                    <w:tag w:val="_PLD_b328cbc349734354ae3aacf675414174"/>
                    <w:id w:val="-1590068209"/>
                    <w:lock w:val="sdtLocked"/>
                  </w:sdtPr>
                  <w:sdtEndPr/>
                  <w:sdtContent>
                    <w:tc>
                      <w:tcPr>
                        <w:tcW w:w="1444" w:type="dxa"/>
                      </w:tcPr>
                      <w:p w14:paraId="33DA0E2F" w14:textId="77777777" w:rsidR="00830E72" w:rsidRDefault="008344D8">
                        <w:pPr>
                          <w:rPr>
                            <w:sz w:val="18"/>
                            <w:szCs w:val="18"/>
                          </w:rPr>
                        </w:pPr>
                        <w:r>
                          <w:rPr>
                            <w:rFonts w:hint="eastAsia"/>
                            <w:sz w:val="18"/>
                            <w:szCs w:val="18"/>
                          </w:rPr>
                          <w:t>4</w:t>
                        </w:r>
                        <w:r>
                          <w:rPr>
                            <w:sz w:val="18"/>
                            <w:szCs w:val="18"/>
                          </w:rPr>
                          <w:t>．其他</w:t>
                        </w:r>
                      </w:p>
                    </w:tc>
                  </w:sdtContent>
                </w:sdt>
                <w:tc>
                  <w:tcPr>
                    <w:tcW w:w="1559" w:type="dxa"/>
                    <w:tcBorders>
                      <w:right w:val="single" w:sz="4" w:space="0" w:color="auto"/>
                    </w:tcBorders>
                  </w:tcPr>
                  <w:p w14:paraId="4F5EFC56" w14:textId="77777777" w:rsidR="00830E72" w:rsidRDefault="00830E72">
                    <w:pPr>
                      <w:jc w:val="right"/>
                      <w:rPr>
                        <w:sz w:val="18"/>
                        <w:szCs w:val="18"/>
                      </w:rPr>
                    </w:pPr>
                  </w:p>
                </w:tc>
                <w:tc>
                  <w:tcPr>
                    <w:tcW w:w="567" w:type="dxa"/>
                    <w:tcBorders>
                      <w:left w:val="single" w:sz="4" w:space="0" w:color="auto"/>
                      <w:right w:val="single" w:sz="4" w:space="0" w:color="auto"/>
                    </w:tcBorders>
                  </w:tcPr>
                  <w:p w14:paraId="0A035DBA" w14:textId="77777777" w:rsidR="00830E72" w:rsidRDefault="00830E72">
                    <w:pPr>
                      <w:jc w:val="right"/>
                      <w:rPr>
                        <w:sz w:val="18"/>
                        <w:szCs w:val="18"/>
                      </w:rPr>
                    </w:pPr>
                  </w:p>
                </w:tc>
                <w:tc>
                  <w:tcPr>
                    <w:tcW w:w="567" w:type="dxa"/>
                    <w:tcBorders>
                      <w:left w:val="single" w:sz="4" w:space="0" w:color="auto"/>
                      <w:right w:val="single" w:sz="4" w:space="0" w:color="auto"/>
                    </w:tcBorders>
                  </w:tcPr>
                  <w:p w14:paraId="3E2F68B6" w14:textId="77777777" w:rsidR="00830E72" w:rsidRDefault="00830E72">
                    <w:pPr>
                      <w:jc w:val="right"/>
                      <w:rPr>
                        <w:sz w:val="18"/>
                        <w:szCs w:val="18"/>
                      </w:rPr>
                    </w:pPr>
                  </w:p>
                </w:tc>
                <w:tc>
                  <w:tcPr>
                    <w:tcW w:w="425" w:type="dxa"/>
                    <w:tcBorders>
                      <w:left w:val="single" w:sz="4" w:space="0" w:color="auto"/>
                    </w:tcBorders>
                  </w:tcPr>
                  <w:p w14:paraId="3BD0D42D" w14:textId="77777777" w:rsidR="00830E72" w:rsidRDefault="00830E72">
                    <w:pPr>
                      <w:jc w:val="right"/>
                      <w:rPr>
                        <w:sz w:val="18"/>
                        <w:szCs w:val="18"/>
                      </w:rPr>
                    </w:pPr>
                  </w:p>
                </w:tc>
                <w:tc>
                  <w:tcPr>
                    <w:tcW w:w="1559" w:type="dxa"/>
                  </w:tcPr>
                  <w:p w14:paraId="556895D1" w14:textId="77777777" w:rsidR="00830E72" w:rsidRDefault="00830E72">
                    <w:pPr>
                      <w:jc w:val="right"/>
                      <w:rPr>
                        <w:sz w:val="18"/>
                        <w:szCs w:val="18"/>
                      </w:rPr>
                    </w:pPr>
                  </w:p>
                </w:tc>
                <w:tc>
                  <w:tcPr>
                    <w:tcW w:w="567" w:type="dxa"/>
                  </w:tcPr>
                  <w:p w14:paraId="28485A1B" w14:textId="77777777" w:rsidR="00830E72" w:rsidRDefault="00830E72">
                    <w:pPr>
                      <w:jc w:val="right"/>
                      <w:rPr>
                        <w:sz w:val="18"/>
                        <w:szCs w:val="18"/>
                      </w:rPr>
                    </w:pPr>
                  </w:p>
                </w:tc>
                <w:tc>
                  <w:tcPr>
                    <w:tcW w:w="709" w:type="dxa"/>
                  </w:tcPr>
                  <w:p w14:paraId="7AB575DA" w14:textId="77777777" w:rsidR="00830E72" w:rsidRDefault="00830E72">
                    <w:pPr>
                      <w:jc w:val="right"/>
                      <w:rPr>
                        <w:sz w:val="18"/>
                        <w:szCs w:val="18"/>
                      </w:rPr>
                    </w:pPr>
                  </w:p>
                </w:tc>
                <w:tc>
                  <w:tcPr>
                    <w:tcW w:w="1559" w:type="dxa"/>
                  </w:tcPr>
                  <w:p w14:paraId="1E77274E" w14:textId="77777777" w:rsidR="00830E72" w:rsidRDefault="00830E72">
                    <w:pPr>
                      <w:jc w:val="right"/>
                      <w:rPr>
                        <w:sz w:val="18"/>
                        <w:szCs w:val="18"/>
                      </w:rPr>
                    </w:pPr>
                  </w:p>
                </w:tc>
                <w:tc>
                  <w:tcPr>
                    <w:tcW w:w="1418" w:type="dxa"/>
                  </w:tcPr>
                  <w:p w14:paraId="5C2B9F98" w14:textId="77777777" w:rsidR="00830E72" w:rsidRDefault="00830E72">
                    <w:pPr>
                      <w:jc w:val="right"/>
                      <w:rPr>
                        <w:sz w:val="18"/>
                        <w:szCs w:val="18"/>
                      </w:rPr>
                    </w:pPr>
                  </w:p>
                </w:tc>
                <w:tc>
                  <w:tcPr>
                    <w:tcW w:w="1843" w:type="dxa"/>
                  </w:tcPr>
                  <w:p w14:paraId="10967645" w14:textId="77777777" w:rsidR="00830E72" w:rsidRDefault="00830E72">
                    <w:pPr>
                      <w:jc w:val="right"/>
                      <w:rPr>
                        <w:sz w:val="18"/>
                        <w:szCs w:val="18"/>
                      </w:rPr>
                    </w:pPr>
                  </w:p>
                </w:tc>
                <w:tc>
                  <w:tcPr>
                    <w:tcW w:w="1687" w:type="dxa"/>
                  </w:tcPr>
                  <w:p w14:paraId="7743E5B1" w14:textId="77777777" w:rsidR="00830E72" w:rsidRDefault="00830E72">
                    <w:pPr>
                      <w:jc w:val="right"/>
                      <w:rPr>
                        <w:sz w:val="18"/>
                        <w:szCs w:val="18"/>
                      </w:rPr>
                    </w:pPr>
                  </w:p>
                </w:tc>
              </w:tr>
              <w:tr w:rsidR="00830E72" w14:paraId="335D190E" w14:textId="77777777">
                <w:trPr>
                  <w:trHeight w:val="20"/>
                </w:trPr>
                <w:sdt>
                  <w:sdtPr>
                    <w:tag w:val="_PLD_9773183e97be44a1a360188937e7fe10"/>
                    <w:id w:val="795876871"/>
                    <w:lock w:val="sdtLocked"/>
                  </w:sdtPr>
                  <w:sdtEndPr/>
                  <w:sdtContent>
                    <w:tc>
                      <w:tcPr>
                        <w:tcW w:w="1444" w:type="dxa"/>
                      </w:tcPr>
                      <w:p w14:paraId="7516092A" w14:textId="77777777" w:rsidR="00830E72" w:rsidRDefault="008344D8">
                        <w:pPr>
                          <w:rPr>
                            <w:sz w:val="18"/>
                            <w:szCs w:val="18"/>
                          </w:rPr>
                        </w:pPr>
                        <w:r>
                          <w:rPr>
                            <w:sz w:val="18"/>
                            <w:szCs w:val="18"/>
                          </w:rPr>
                          <w:t>（</w:t>
                        </w:r>
                        <w:r>
                          <w:rPr>
                            <w:rFonts w:hint="eastAsia"/>
                            <w:sz w:val="18"/>
                            <w:szCs w:val="18"/>
                          </w:rPr>
                          <w:t>三</w:t>
                        </w:r>
                        <w:r>
                          <w:rPr>
                            <w:sz w:val="18"/>
                            <w:szCs w:val="18"/>
                          </w:rPr>
                          <w:t>）利润分配</w:t>
                        </w:r>
                      </w:p>
                    </w:tc>
                  </w:sdtContent>
                </w:sdt>
                <w:tc>
                  <w:tcPr>
                    <w:tcW w:w="1559" w:type="dxa"/>
                    <w:tcBorders>
                      <w:right w:val="single" w:sz="4" w:space="0" w:color="auto"/>
                    </w:tcBorders>
                  </w:tcPr>
                  <w:p w14:paraId="696A769C" w14:textId="77777777" w:rsidR="00830E72" w:rsidRDefault="00830E72">
                    <w:pPr>
                      <w:jc w:val="right"/>
                      <w:rPr>
                        <w:sz w:val="18"/>
                        <w:szCs w:val="18"/>
                      </w:rPr>
                    </w:pPr>
                  </w:p>
                </w:tc>
                <w:tc>
                  <w:tcPr>
                    <w:tcW w:w="567" w:type="dxa"/>
                    <w:tcBorders>
                      <w:left w:val="single" w:sz="4" w:space="0" w:color="auto"/>
                      <w:right w:val="single" w:sz="4" w:space="0" w:color="auto"/>
                    </w:tcBorders>
                  </w:tcPr>
                  <w:p w14:paraId="3455343C" w14:textId="77777777" w:rsidR="00830E72" w:rsidRDefault="00830E72">
                    <w:pPr>
                      <w:jc w:val="right"/>
                      <w:rPr>
                        <w:sz w:val="18"/>
                        <w:szCs w:val="18"/>
                      </w:rPr>
                    </w:pPr>
                  </w:p>
                </w:tc>
                <w:tc>
                  <w:tcPr>
                    <w:tcW w:w="567" w:type="dxa"/>
                    <w:tcBorders>
                      <w:left w:val="single" w:sz="4" w:space="0" w:color="auto"/>
                      <w:right w:val="single" w:sz="4" w:space="0" w:color="auto"/>
                    </w:tcBorders>
                  </w:tcPr>
                  <w:p w14:paraId="43C1BB69" w14:textId="77777777" w:rsidR="00830E72" w:rsidRDefault="00830E72">
                    <w:pPr>
                      <w:jc w:val="right"/>
                      <w:rPr>
                        <w:sz w:val="18"/>
                        <w:szCs w:val="18"/>
                      </w:rPr>
                    </w:pPr>
                  </w:p>
                </w:tc>
                <w:tc>
                  <w:tcPr>
                    <w:tcW w:w="425" w:type="dxa"/>
                    <w:tcBorders>
                      <w:left w:val="single" w:sz="4" w:space="0" w:color="auto"/>
                    </w:tcBorders>
                  </w:tcPr>
                  <w:p w14:paraId="7A3F8E45" w14:textId="77777777" w:rsidR="00830E72" w:rsidRDefault="00830E72">
                    <w:pPr>
                      <w:jc w:val="right"/>
                      <w:rPr>
                        <w:sz w:val="18"/>
                        <w:szCs w:val="18"/>
                      </w:rPr>
                    </w:pPr>
                  </w:p>
                </w:tc>
                <w:tc>
                  <w:tcPr>
                    <w:tcW w:w="1559" w:type="dxa"/>
                  </w:tcPr>
                  <w:p w14:paraId="7341F92E" w14:textId="77777777" w:rsidR="00830E72" w:rsidRDefault="00830E72">
                    <w:pPr>
                      <w:jc w:val="right"/>
                      <w:rPr>
                        <w:sz w:val="18"/>
                        <w:szCs w:val="18"/>
                      </w:rPr>
                    </w:pPr>
                  </w:p>
                </w:tc>
                <w:tc>
                  <w:tcPr>
                    <w:tcW w:w="567" w:type="dxa"/>
                  </w:tcPr>
                  <w:p w14:paraId="45014D53" w14:textId="77777777" w:rsidR="00830E72" w:rsidRDefault="00830E72">
                    <w:pPr>
                      <w:jc w:val="right"/>
                      <w:rPr>
                        <w:sz w:val="18"/>
                        <w:szCs w:val="18"/>
                      </w:rPr>
                    </w:pPr>
                  </w:p>
                </w:tc>
                <w:tc>
                  <w:tcPr>
                    <w:tcW w:w="709" w:type="dxa"/>
                  </w:tcPr>
                  <w:p w14:paraId="5E004D7B" w14:textId="77777777" w:rsidR="00830E72" w:rsidRDefault="00830E72">
                    <w:pPr>
                      <w:jc w:val="right"/>
                      <w:rPr>
                        <w:sz w:val="18"/>
                        <w:szCs w:val="18"/>
                      </w:rPr>
                    </w:pPr>
                  </w:p>
                </w:tc>
                <w:tc>
                  <w:tcPr>
                    <w:tcW w:w="1559" w:type="dxa"/>
                  </w:tcPr>
                  <w:p w14:paraId="4CA949D7" w14:textId="77777777" w:rsidR="00830E72" w:rsidRDefault="00830E72">
                    <w:pPr>
                      <w:jc w:val="right"/>
                      <w:rPr>
                        <w:sz w:val="18"/>
                        <w:szCs w:val="18"/>
                      </w:rPr>
                    </w:pPr>
                  </w:p>
                </w:tc>
                <w:tc>
                  <w:tcPr>
                    <w:tcW w:w="1418" w:type="dxa"/>
                  </w:tcPr>
                  <w:p w14:paraId="15829500" w14:textId="77777777" w:rsidR="00830E72" w:rsidRDefault="00830E72">
                    <w:pPr>
                      <w:jc w:val="right"/>
                      <w:rPr>
                        <w:sz w:val="18"/>
                        <w:szCs w:val="18"/>
                      </w:rPr>
                    </w:pPr>
                  </w:p>
                </w:tc>
                <w:tc>
                  <w:tcPr>
                    <w:tcW w:w="1843" w:type="dxa"/>
                  </w:tcPr>
                  <w:p w14:paraId="4D9AD6F3" w14:textId="77777777" w:rsidR="00830E72" w:rsidRDefault="008344D8">
                    <w:pPr>
                      <w:jc w:val="right"/>
                      <w:rPr>
                        <w:sz w:val="18"/>
                        <w:szCs w:val="18"/>
                      </w:rPr>
                    </w:pPr>
                    <w:r>
                      <w:rPr>
                        <w:sz w:val="18"/>
                        <w:szCs w:val="18"/>
                      </w:rPr>
                      <w:t>-49,900,000.00</w:t>
                    </w:r>
                  </w:p>
                </w:tc>
                <w:tc>
                  <w:tcPr>
                    <w:tcW w:w="1687" w:type="dxa"/>
                  </w:tcPr>
                  <w:p w14:paraId="4834F9B9" w14:textId="77777777" w:rsidR="00830E72" w:rsidRDefault="008344D8">
                    <w:pPr>
                      <w:jc w:val="right"/>
                      <w:rPr>
                        <w:sz w:val="18"/>
                        <w:szCs w:val="18"/>
                      </w:rPr>
                    </w:pPr>
                    <w:r>
                      <w:rPr>
                        <w:sz w:val="18"/>
                        <w:szCs w:val="18"/>
                      </w:rPr>
                      <w:t>-49,900,000.00</w:t>
                    </w:r>
                  </w:p>
                </w:tc>
              </w:tr>
              <w:tr w:rsidR="00830E72" w14:paraId="2DD1E762" w14:textId="77777777">
                <w:trPr>
                  <w:trHeight w:val="20"/>
                </w:trPr>
                <w:sdt>
                  <w:sdtPr>
                    <w:tag w:val="_PLD_49d633deae854098a44173514bb3a7b3"/>
                    <w:id w:val="1173769810"/>
                    <w:lock w:val="sdtLocked"/>
                  </w:sdtPr>
                  <w:sdtEndPr/>
                  <w:sdtContent>
                    <w:tc>
                      <w:tcPr>
                        <w:tcW w:w="1444" w:type="dxa"/>
                      </w:tcPr>
                      <w:p w14:paraId="159708AD" w14:textId="77777777" w:rsidR="00830E72" w:rsidRDefault="008344D8">
                        <w:pPr>
                          <w:rPr>
                            <w:sz w:val="18"/>
                            <w:szCs w:val="18"/>
                          </w:rPr>
                        </w:pPr>
                        <w:r>
                          <w:rPr>
                            <w:sz w:val="18"/>
                            <w:szCs w:val="18"/>
                          </w:rPr>
                          <w:t>1．提取盈余公积</w:t>
                        </w:r>
                      </w:p>
                    </w:tc>
                  </w:sdtContent>
                </w:sdt>
                <w:tc>
                  <w:tcPr>
                    <w:tcW w:w="1559" w:type="dxa"/>
                    <w:tcBorders>
                      <w:right w:val="single" w:sz="4" w:space="0" w:color="auto"/>
                    </w:tcBorders>
                  </w:tcPr>
                  <w:p w14:paraId="5E349F7A" w14:textId="77777777" w:rsidR="00830E72" w:rsidRDefault="00830E72">
                    <w:pPr>
                      <w:jc w:val="right"/>
                      <w:rPr>
                        <w:sz w:val="18"/>
                        <w:szCs w:val="18"/>
                      </w:rPr>
                    </w:pPr>
                  </w:p>
                </w:tc>
                <w:tc>
                  <w:tcPr>
                    <w:tcW w:w="567" w:type="dxa"/>
                    <w:tcBorders>
                      <w:left w:val="single" w:sz="4" w:space="0" w:color="auto"/>
                      <w:right w:val="single" w:sz="4" w:space="0" w:color="auto"/>
                    </w:tcBorders>
                  </w:tcPr>
                  <w:p w14:paraId="23D6E1DD" w14:textId="77777777" w:rsidR="00830E72" w:rsidRDefault="00830E72">
                    <w:pPr>
                      <w:jc w:val="right"/>
                      <w:rPr>
                        <w:sz w:val="18"/>
                        <w:szCs w:val="18"/>
                      </w:rPr>
                    </w:pPr>
                  </w:p>
                </w:tc>
                <w:tc>
                  <w:tcPr>
                    <w:tcW w:w="567" w:type="dxa"/>
                    <w:tcBorders>
                      <w:left w:val="single" w:sz="4" w:space="0" w:color="auto"/>
                      <w:right w:val="single" w:sz="4" w:space="0" w:color="auto"/>
                    </w:tcBorders>
                  </w:tcPr>
                  <w:p w14:paraId="05A3AD43" w14:textId="77777777" w:rsidR="00830E72" w:rsidRDefault="00830E72">
                    <w:pPr>
                      <w:jc w:val="right"/>
                      <w:rPr>
                        <w:sz w:val="18"/>
                        <w:szCs w:val="18"/>
                      </w:rPr>
                    </w:pPr>
                  </w:p>
                </w:tc>
                <w:tc>
                  <w:tcPr>
                    <w:tcW w:w="425" w:type="dxa"/>
                    <w:tcBorders>
                      <w:left w:val="single" w:sz="4" w:space="0" w:color="auto"/>
                    </w:tcBorders>
                  </w:tcPr>
                  <w:p w14:paraId="733A8BE0" w14:textId="77777777" w:rsidR="00830E72" w:rsidRDefault="00830E72">
                    <w:pPr>
                      <w:jc w:val="right"/>
                      <w:rPr>
                        <w:sz w:val="18"/>
                        <w:szCs w:val="18"/>
                      </w:rPr>
                    </w:pPr>
                  </w:p>
                </w:tc>
                <w:tc>
                  <w:tcPr>
                    <w:tcW w:w="1559" w:type="dxa"/>
                  </w:tcPr>
                  <w:p w14:paraId="2814F47B" w14:textId="77777777" w:rsidR="00830E72" w:rsidRDefault="00830E72">
                    <w:pPr>
                      <w:jc w:val="right"/>
                      <w:rPr>
                        <w:sz w:val="18"/>
                        <w:szCs w:val="18"/>
                      </w:rPr>
                    </w:pPr>
                  </w:p>
                </w:tc>
                <w:tc>
                  <w:tcPr>
                    <w:tcW w:w="567" w:type="dxa"/>
                  </w:tcPr>
                  <w:p w14:paraId="46F3DFEF" w14:textId="77777777" w:rsidR="00830E72" w:rsidRDefault="00830E72">
                    <w:pPr>
                      <w:jc w:val="right"/>
                      <w:rPr>
                        <w:sz w:val="18"/>
                        <w:szCs w:val="18"/>
                      </w:rPr>
                    </w:pPr>
                  </w:p>
                </w:tc>
                <w:tc>
                  <w:tcPr>
                    <w:tcW w:w="709" w:type="dxa"/>
                  </w:tcPr>
                  <w:p w14:paraId="14E2B815" w14:textId="77777777" w:rsidR="00830E72" w:rsidRDefault="00830E72">
                    <w:pPr>
                      <w:jc w:val="right"/>
                      <w:rPr>
                        <w:sz w:val="18"/>
                        <w:szCs w:val="18"/>
                      </w:rPr>
                    </w:pPr>
                  </w:p>
                </w:tc>
                <w:tc>
                  <w:tcPr>
                    <w:tcW w:w="1559" w:type="dxa"/>
                  </w:tcPr>
                  <w:p w14:paraId="58BCB274" w14:textId="77777777" w:rsidR="00830E72" w:rsidRDefault="00830E72">
                    <w:pPr>
                      <w:jc w:val="right"/>
                      <w:rPr>
                        <w:sz w:val="18"/>
                        <w:szCs w:val="18"/>
                      </w:rPr>
                    </w:pPr>
                  </w:p>
                </w:tc>
                <w:tc>
                  <w:tcPr>
                    <w:tcW w:w="1418" w:type="dxa"/>
                  </w:tcPr>
                  <w:p w14:paraId="5A16E827" w14:textId="77777777" w:rsidR="00830E72" w:rsidRDefault="00830E72">
                    <w:pPr>
                      <w:jc w:val="right"/>
                      <w:rPr>
                        <w:sz w:val="18"/>
                        <w:szCs w:val="18"/>
                      </w:rPr>
                    </w:pPr>
                  </w:p>
                </w:tc>
                <w:tc>
                  <w:tcPr>
                    <w:tcW w:w="1843" w:type="dxa"/>
                  </w:tcPr>
                  <w:p w14:paraId="3BD4FC1B" w14:textId="77777777" w:rsidR="00830E72" w:rsidRDefault="00830E72">
                    <w:pPr>
                      <w:jc w:val="right"/>
                      <w:rPr>
                        <w:sz w:val="18"/>
                        <w:szCs w:val="18"/>
                      </w:rPr>
                    </w:pPr>
                  </w:p>
                </w:tc>
                <w:tc>
                  <w:tcPr>
                    <w:tcW w:w="1687" w:type="dxa"/>
                  </w:tcPr>
                  <w:p w14:paraId="74D86CC6" w14:textId="77777777" w:rsidR="00830E72" w:rsidRDefault="00830E72">
                    <w:pPr>
                      <w:jc w:val="right"/>
                      <w:rPr>
                        <w:sz w:val="18"/>
                        <w:szCs w:val="18"/>
                      </w:rPr>
                    </w:pPr>
                  </w:p>
                </w:tc>
              </w:tr>
              <w:tr w:rsidR="00830E72" w14:paraId="1F11CBD2" w14:textId="77777777">
                <w:trPr>
                  <w:trHeight w:val="20"/>
                </w:trPr>
                <w:sdt>
                  <w:sdtPr>
                    <w:tag w:val="_PLD_97bd41fffab4497fb1be0b345aef17bd"/>
                    <w:id w:val="-303246246"/>
                    <w:lock w:val="sdtLocked"/>
                  </w:sdtPr>
                  <w:sdtEndPr/>
                  <w:sdtContent>
                    <w:tc>
                      <w:tcPr>
                        <w:tcW w:w="1444" w:type="dxa"/>
                      </w:tcPr>
                      <w:p w14:paraId="68A67364" w14:textId="77777777" w:rsidR="00830E72" w:rsidRDefault="008344D8">
                        <w:pPr>
                          <w:rPr>
                            <w:sz w:val="18"/>
                            <w:szCs w:val="18"/>
                          </w:rPr>
                        </w:pPr>
                        <w:r>
                          <w:rPr>
                            <w:rFonts w:hint="eastAsia"/>
                            <w:sz w:val="18"/>
                            <w:szCs w:val="18"/>
                          </w:rPr>
                          <w:t>2</w:t>
                        </w:r>
                        <w:r>
                          <w:rPr>
                            <w:sz w:val="18"/>
                            <w:szCs w:val="18"/>
                          </w:rPr>
                          <w:t>．对所有者（或股东）的分配</w:t>
                        </w:r>
                      </w:p>
                    </w:tc>
                  </w:sdtContent>
                </w:sdt>
                <w:tc>
                  <w:tcPr>
                    <w:tcW w:w="1559" w:type="dxa"/>
                    <w:tcBorders>
                      <w:right w:val="single" w:sz="4" w:space="0" w:color="auto"/>
                    </w:tcBorders>
                  </w:tcPr>
                  <w:p w14:paraId="54A5A688" w14:textId="77777777" w:rsidR="00830E72" w:rsidRDefault="00830E72">
                    <w:pPr>
                      <w:jc w:val="right"/>
                      <w:rPr>
                        <w:sz w:val="18"/>
                        <w:szCs w:val="18"/>
                      </w:rPr>
                    </w:pPr>
                  </w:p>
                </w:tc>
                <w:tc>
                  <w:tcPr>
                    <w:tcW w:w="567" w:type="dxa"/>
                    <w:tcBorders>
                      <w:left w:val="single" w:sz="4" w:space="0" w:color="auto"/>
                      <w:right w:val="single" w:sz="4" w:space="0" w:color="auto"/>
                    </w:tcBorders>
                  </w:tcPr>
                  <w:p w14:paraId="71F29C20" w14:textId="77777777" w:rsidR="00830E72" w:rsidRDefault="00830E72">
                    <w:pPr>
                      <w:jc w:val="right"/>
                      <w:rPr>
                        <w:sz w:val="18"/>
                        <w:szCs w:val="18"/>
                      </w:rPr>
                    </w:pPr>
                  </w:p>
                </w:tc>
                <w:tc>
                  <w:tcPr>
                    <w:tcW w:w="567" w:type="dxa"/>
                    <w:tcBorders>
                      <w:left w:val="single" w:sz="4" w:space="0" w:color="auto"/>
                      <w:right w:val="single" w:sz="4" w:space="0" w:color="auto"/>
                    </w:tcBorders>
                  </w:tcPr>
                  <w:p w14:paraId="035C66F9" w14:textId="77777777" w:rsidR="00830E72" w:rsidRDefault="00830E72">
                    <w:pPr>
                      <w:jc w:val="right"/>
                      <w:rPr>
                        <w:sz w:val="18"/>
                        <w:szCs w:val="18"/>
                      </w:rPr>
                    </w:pPr>
                  </w:p>
                </w:tc>
                <w:tc>
                  <w:tcPr>
                    <w:tcW w:w="425" w:type="dxa"/>
                    <w:tcBorders>
                      <w:left w:val="single" w:sz="4" w:space="0" w:color="auto"/>
                    </w:tcBorders>
                  </w:tcPr>
                  <w:p w14:paraId="0AE70EF0" w14:textId="77777777" w:rsidR="00830E72" w:rsidRDefault="00830E72">
                    <w:pPr>
                      <w:jc w:val="right"/>
                      <w:rPr>
                        <w:sz w:val="18"/>
                        <w:szCs w:val="18"/>
                      </w:rPr>
                    </w:pPr>
                  </w:p>
                </w:tc>
                <w:tc>
                  <w:tcPr>
                    <w:tcW w:w="1559" w:type="dxa"/>
                  </w:tcPr>
                  <w:p w14:paraId="5D34D4AB" w14:textId="77777777" w:rsidR="00830E72" w:rsidRDefault="00830E72">
                    <w:pPr>
                      <w:jc w:val="right"/>
                      <w:rPr>
                        <w:sz w:val="18"/>
                        <w:szCs w:val="18"/>
                      </w:rPr>
                    </w:pPr>
                  </w:p>
                </w:tc>
                <w:tc>
                  <w:tcPr>
                    <w:tcW w:w="567" w:type="dxa"/>
                  </w:tcPr>
                  <w:p w14:paraId="4ECF88E6" w14:textId="77777777" w:rsidR="00830E72" w:rsidRDefault="00830E72">
                    <w:pPr>
                      <w:jc w:val="right"/>
                      <w:rPr>
                        <w:sz w:val="18"/>
                        <w:szCs w:val="18"/>
                      </w:rPr>
                    </w:pPr>
                  </w:p>
                </w:tc>
                <w:tc>
                  <w:tcPr>
                    <w:tcW w:w="709" w:type="dxa"/>
                  </w:tcPr>
                  <w:p w14:paraId="0AC3C529" w14:textId="77777777" w:rsidR="00830E72" w:rsidRDefault="00830E72">
                    <w:pPr>
                      <w:jc w:val="right"/>
                      <w:rPr>
                        <w:sz w:val="18"/>
                        <w:szCs w:val="18"/>
                      </w:rPr>
                    </w:pPr>
                  </w:p>
                </w:tc>
                <w:tc>
                  <w:tcPr>
                    <w:tcW w:w="1559" w:type="dxa"/>
                  </w:tcPr>
                  <w:p w14:paraId="136F7510" w14:textId="77777777" w:rsidR="00830E72" w:rsidRDefault="00830E72">
                    <w:pPr>
                      <w:jc w:val="right"/>
                      <w:rPr>
                        <w:sz w:val="18"/>
                        <w:szCs w:val="18"/>
                      </w:rPr>
                    </w:pPr>
                  </w:p>
                </w:tc>
                <w:tc>
                  <w:tcPr>
                    <w:tcW w:w="1418" w:type="dxa"/>
                  </w:tcPr>
                  <w:p w14:paraId="35EA9F02" w14:textId="77777777" w:rsidR="00830E72" w:rsidRDefault="00830E72">
                    <w:pPr>
                      <w:jc w:val="right"/>
                      <w:rPr>
                        <w:sz w:val="18"/>
                        <w:szCs w:val="18"/>
                      </w:rPr>
                    </w:pPr>
                  </w:p>
                </w:tc>
                <w:tc>
                  <w:tcPr>
                    <w:tcW w:w="1843" w:type="dxa"/>
                  </w:tcPr>
                  <w:p w14:paraId="04E2F269" w14:textId="77777777" w:rsidR="00830E72" w:rsidRDefault="008344D8">
                    <w:pPr>
                      <w:jc w:val="right"/>
                      <w:rPr>
                        <w:sz w:val="18"/>
                        <w:szCs w:val="18"/>
                      </w:rPr>
                    </w:pPr>
                    <w:r>
                      <w:rPr>
                        <w:sz w:val="18"/>
                        <w:szCs w:val="18"/>
                      </w:rPr>
                      <w:t>-49,900,000.00</w:t>
                    </w:r>
                  </w:p>
                </w:tc>
                <w:tc>
                  <w:tcPr>
                    <w:tcW w:w="1687" w:type="dxa"/>
                  </w:tcPr>
                  <w:p w14:paraId="117A6217" w14:textId="77777777" w:rsidR="00830E72" w:rsidRDefault="008344D8">
                    <w:pPr>
                      <w:jc w:val="right"/>
                      <w:rPr>
                        <w:sz w:val="18"/>
                        <w:szCs w:val="18"/>
                      </w:rPr>
                    </w:pPr>
                    <w:r>
                      <w:rPr>
                        <w:sz w:val="18"/>
                        <w:szCs w:val="18"/>
                      </w:rPr>
                      <w:t>-49,900,000.00</w:t>
                    </w:r>
                  </w:p>
                </w:tc>
              </w:tr>
              <w:tr w:rsidR="00830E72" w14:paraId="573F5273" w14:textId="77777777">
                <w:trPr>
                  <w:trHeight w:val="20"/>
                </w:trPr>
                <w:sdt>
                  <w:sdtPr>
                    <w:tag w:val="_PLD_a5c6789730e84b389ee95f39091419a8"/>
                    <w:id w:val="2126735170"/>
                    <w:lock w:val="sdtLocked"/>
                  </w:sdtPr>
                  <w:sdtEndPr/>
                  <w:sdtContent>
                    <w:tc>
                      <w:tcPr>
                        <w:tcW w:w="1444" w:type="dxa"/>
                      </w:tcPr>
                      <w:p w14:paraId="08C50B5D" w14:textId="77777777" w:rsidR="00830E72" w:rsidRDefault="008344D8">
                        <w:pPr>
                          <w:rPr>
                            <w:sz w:val="18"/>
                            <w:szCs w:val="18"/>
                          </w:rPr>
                        </w:pPr>
                        <w:r>
                          <w:rPr>
                            <w:rFonts w:hint="eastAsia"/>
                            <w:sz w:val="18"/>
                            <w:szCs w:val="18"/>
                          </w:rPr>
                          <w:t>3</w:t>
                        </w:r>
                        <w:r>
                          <w:rPr>
                            <w:sz w:val="18"/>
                            <w:szCs w:val="18"/>
                          </w:rPr>
                          <w:t>．其他</w:t>
                        </w:r>
                      </w:p>
                    </w:tc>
                  </w:sdtContent>
                </w:sdt>
                <w:tc>
                  <w:tcPr>
                    <w:tcW w:w="1559" w:type="dxa"/>
                    <w:tcBorders>
                      <w:right w:val="single" w:sz="4" w:space="0" w:color="auto"/>
                    </w:tcBorders>
                  </w:tcPr>
                  <w:p w14:paraId="0A519A9F" w14:textId="77777777" w:rsidR="00830E72" w:rsidRDefault="00830E72">
                    <w:pPr>
                      <w:jc w:val="right"/>
                      <w:rPr>
                        <w:sz w:val="18"/>
                        <w:szCs w:val="18"/>
                      </w:rPr>
                    </w:pPr>
                  </w:p>
                </w:tc>
                <w:tc>
                  <w:tcPr>
                    <w:tcW w:w="567" w:type="dxa"/>
                    <w:tcBorders>
                      <w:left w:val="single" w:sz="4" w:space="0" w:color="auto"/>
                      <w:right w:val="single" w:sz="4" w:space="0" w:color="auto"/>
                    </w:tcBorders>
                  </w:tcPr>
                  <w:p w14:paraId="77A58333" w14:textId="77777777" w:rsidR="00830E72" w:rsidRDefault="00830E72">
                    <w:pPr>
                      <w:jc w:val="right"/>
                      <w:rPr>
                        <w:sz w:val="18"/>
                        <w:szCs w:val="18"/>
                      </w:rPr>
                    </w:pPr>
                  </w:p>
                </w:tc>
                <w:tc>
                  <w:tcPr>
                    <w:tcW w:w="567" w:type="dxa"/>
                    <w:tcBorders>
                      <w:left w:val="single" w:sz="4" w:space="0" w:color="auto"/>
                      <w:right w:val="single" w:sz="4" w:space="0" w:color="auto"/>
                    </w:tcBorders>
                  </w:tcPr>
                  <w:p w14:paraId="23A739A2" w14:textId="77777777" w:rsidR="00830E72" w:rsidRDefault="00830E72">
                    <w:pPr>
                      <w:jc w:val="right"/>
                      <w:rPr>
                        <w:sz w:val="18"/>
                        <w:szCs w:val="18"/>
                      </w:rPr>
                    </w:pPr>
                  </w:p>
                </w:tc>
                <w:tc>
                  <w:tcPr>
                    <w:tcW w:w="425" w:type="dxa"/>
                    <w:tcBorders>
                      <w:left w:val="single" w:sz="4" w:space="0" w:color="auto"/>
                    </w:tcBorders>
                  </w:tcPr>
                  <w:p w14:paraId="615ACA4D" w14:textId="77777777" w:rsidR="00830E72" w:rsidRDefault="00830E72">
                    <w:pPr>
                      <w:jc w:val="right"/>
                      <w:rPr>
                        <w:sz w:val="18"/>
                        <w:szCs w:val="18"/>
                      </w:rPr>
                    </w:pPr>
                  </w:p>
                </w:tc>
                <w:tc>
                  <w:tcPr>
                    <w:tcW w:w="1559" w:type="dxa"/>
                  </w:tcPr>
                  <w:p w14:paraId="730FCCA1" w14:textId="77777777" w:rsidR="00830E72" w:rsidRDefault="00830E72">
                    <w:pPr>
                      <w:jc w:val="right"/>
                      <w:rPr>
                        <w:sz w:val="18"/>
                        <w:szCs w:val="18"/>
                      </w:rPr>
                    </w:pPr>
                  </w:p>
                </w:tc>
                <w:tc>
                  <w:tcPr>
                    <w:tcW w:w="567" w:type="dxa"/>
                  </w:tcPr>
                  <w:p w14:paraId="402A2277" w14:textId="77777777" w:rsidR="00830E72" w:rsidRDefault="00830E72">
                    <w:pPr>
                      <w:jc w:val="right"/>
                      <w:rPr>
                        <w:sz w:val="18"/>
                        <w:szCs w:val="18"/>
                      </w:rPr>
                    </w:pPr>
                  </w:p>
                </w:tc>
                <w:tc>
                  <w:tcPr>
                    <w:tcW w:w="709" w:type="dxa"/>
                  </w:tcPr>
                  <w:p w14:paraId="2B791150" w14:textId="77777777" w:rsidR="00830E72" w:rsidRDefault="00830E72">
                    <w:pPr>
                      <w:jc w:val="right"/>
                      <w:rPr>
                        <w:sz w:val="18"/>
                        <w:szCs w:val="18"/>
                      </w:rPr>
                    </w:pPr>
                  </w:p>
                </w:tc>
                <w:tc>
                  <w:tcPr>
                    <w:tcW w:w="1559" w:type="dxa"/>
                  </w:tcPr>
                  <w:p w14:paraId="5E99FAFC" w14:textId="77777777" w:rsidR="00830E72" w:rsidRDefault="00830E72">
                    <w:pPr>
                      <w:jc w:val="right"/>
                      <w:rPr>
                        <w:sz w:val="18"/>
                        <w:szCs w:val="18"/>
                      </w:rPr>
                    </w:pPr>
                  </w:p>
                </w:tc>
                <w:tc>
                  <w:tcPr>
                    <w:tcW w:w="1418" w:type="dxa"/>
                  </w:tcPr>
                  <w:p w14:paraId="543E75FB" w14:textId="77777777" w:rsidR="00830E72" w:rsidRDefault="00830E72">
                    <w:pPr>
                      <w:jc w:val="right"/>
                      <w:rPr>
                        <w:sz w:val="18"/>
                        <w:szCs w:val="18"/>
                      </w:rPr>
                    </w:pPr>
                  </w:p>
                </w:tc>
                <w:tc>
                  <w:tcPr>
                    <w:tcW w:w="1843" w:type="dxa"/>
                  </w:tcPr>
                  <w:p w14:paraId="7B40EF41" w14:textId="77777777" w:rsidR="00830E72" w:rsidRDefault="00830E72">
                    <w:pPr>
                      <w:jc w:val="right"/>
                      <w:rPr>
                        <w:sz w:val="18"/>
                        <w:szCs w:val="18"/>
                      </w:rPr>
                    </w:pPr>
                  </w:p>
                </w:tc>
                <w:tc>
                  <w:tcPr>
                    <w:tcW w:w="1687" w:type="dxa"/>
                  </w:tcPr>
                  <w:p w14:paraId="05277EFD" w14:textId="77777777" w:rsidR="00830E72" w:rsidRDefault="00830E72">
                    <w:pPr>
                      <w:jc w:val="right"/>
                      <w:rPr>
                        <w:sz w:val="18"/>
                        <w:szCs w:val="18"/>
                      </w:rPr>
                    </w:pPr>
                  </w:p>
                </w:tc>
              </w:tr>
              <w:tr w:rsidR="00830E72" w14:paraId="7B00D9D0" w14:textId="77777777">
                <w:trPr>
                  <w:trHeight w:val="20"/>
                </w:trPr>
                <w:sdt>
                  <w:sdtPr>
                    <w:tag w:val="_PLD_9c529a92f12642ed93c3ac5d7c5ef52b"/>
                    <w:id w:val="-1800756104"/>
                    <w:lock w:val="sdtLocked"/>
                  </w:sdtPr>
                  <w:sdtEndPr/>
                  <w:sdtContent>
                    <w:tc>
                      <w:tcPr>
                        <w:tcW w:w="1444" w:type="dxa"/>
                      </w:tcPr>
                      <w:p w14:paraId="334AFBDE" w14:textId="77777777" w:rsidR="00830E72" w:rsidRDefault="008344D8">
                        <w:pPr>
                          <w:rPr>
                            <w:sz w:val="18"/>
                            <w:szCs w:val="18"/>
                          </w:rPr>
                        </w:pPr>
                        <w:r>
                          <w:rPr>
                            <w:sz w:val="18"/>
                            <w:szCs w:val="18"/>
                          </w:rPr>
                          <w:t>（</w:t>
                        </w:r>
                        <w:r>
                          <w:rPr>
                            <w:rFonts w:hint="eastAsia"/>
                            <w:sz w:val="18"/>
                            <w:szCs w:val="18"/>
                          </w:rPr>
                          <w:t>四</w:t>
                        </w:r>
                        <w:r>
                          <w:rPr>
                            <w:sz w:val="18"/>
                            <w:szCs w:val="18"/>
                          </w:rPr>
                          <w:t>）所有者权益内部结转</w:t>
                        </w:r>
                      </w:p>
                    </w:tc>
                  </w:sdtContent>
                </w:sdt>
                <w:tc>
                  <w:tcPr>
                    <w:tcW w:w="1559" w:type="dxa"/>
                    <w:tcBorders>
                      <w:right w:val="single" w:sz="4" w:space="0" w:color="auto"/>
                    </w:tcBorders>
                  </w:tcPr>
                  <w:p w14:paraId="5EAD3150" w14:textId="77777777" w:rsidR="00830E72" w:rsidRDefault="00830E72">
                    <w:pPr>
                      <w:jc w:val="right"/>
                      <w:rPr>
                        <w:sz w:val="18"/>
                        <w:szCs w:val="18"/>
                      </w:rPr>
                    </w:pPr>
                  </w:p>
                </w:tc>
                <w:tc>
                  <w:tcPr>
                    <w:tcW w:w="567" w:type="dxa"/>
                    <w:tcBorders>
                      <w:left w:val="single" w:sz="4" w:space="0" w:color="auto"/>
                      <w:right w:val="single" w:sz="4" w:space="0" w:color="auto"/>
                    </w:tcBorders>
                  </w:tcPr>
                  <w:p w14:paraId="3549B6B6" w14:textId="77777777" w:rsidR="00830E72" w:rsidRDefault="00830E72">
                    <w:pPr>
                      <w:jc w:val="right"/>
                      <w:rPr>
                        <w:sz w:val="18"/>
                        <w:szCs w:val="18"/>
                      </w:rPr>
                    </w:pPr>
                  </w:p>
                </w:tc>
                <w:tc>
                  <w:tcPr>
                    <w:tcW w:w="567" w:type="dxa"/>
                    <w:tcBorders>
                      <w:left w:val="single" w:sz="4" w:space="0" w:color="auto"/>
                      <w:right w:val="single" w:sz="4" w:space="0" w:color="auto"/>
                    </w:tcBorders>
                  </w:tcPr>
                  <w:p w14:paraId="67F32620" w14:textId="77777777" w:rsidR="00830E72" w:rsidRDefault="00830E72">
                    <w:pPr>
                      <w:jc w:val="right"/>
                      <w:rPr>
                        <w:sz w:val="18"/>
                        <w:szCs w:val="18"/>
                      </w:rPr>
                    </w:pPr>
                  </w:p>
                </w:tc>
                <w:tc>
                  <w:tcPr>
                    <w:tcW w:w="425" w:type="dxa"/>
                    <w:tcBorders>
                      <w:left w:val="single" w:sz="4" w:space="0" w:color="auto"/>
                    </w:tcBorders>
                  </w:tcPr>
                  <w:p w14:paraId="760A9ACC" w14:textId="77777777" w:rsidR="00830E72" w:rsidRDefault="00830E72">
                    <w:pPr>
                      <w:jc w:val="right"/>
                      <w:rPr>
                        <w:sz w:val="18"/>
                        <w:szCs w:val="18"/>
                      </w:rPr>
                    </w:pPr>
                  </w:p>
                </w:tc>
                <w:tc>
                  <w:tcPr>
                    <w:tcW w:w="1559" w:type="dxa"/>
                  </w:tcPr>
                  <w:p w14:paraId="0FE18A02" w14:textId="77777777" w:rsidR="00830E72" w:rsidRDefault="00830E72">
                    <w:pPr>
                      <w:jc w:val="right"/>
                      <w:rPr>
                        <w:sz w:val="18"/>
                        <w:szCs w:val="18"/>
                      </w:rPr>
                    </w:pPr>
                  </w:p>
                </w:tc>
                <w:tc>
                  <w:tcPr>
                    <w:tcW w:w="567" w:type="dxa"/>
                  </w:tcPr>
                  <w:p w14:paraId="5A7838FB" w14:textId="77777777" w:rsidR="00830E72" w:rsidRDefault="00830E72">
                    <w:pPr>
                      <w:jc w:val="right"/>
                      <w:rPr>
                        <w:sz w:val="18"/>
                        <w:szCs w:val="18"/>
                      </w:rPr>
                    </w:pPr>
                  </w:p>
                </w:tc>
                <w:tc>
                  <w:tcPr>
                    <w:tcW w:w="709" w:type="dxa"/>
                  </w:tcPr>
                  <w:p w14:paraId="512ECF3F" w14:textId="77777777" w:rsidR="00830E72" w:rsidRDefault="00830E72">
                    <w:pPr>
                      <w:jc w:val="right"/>
                      <w:rPr>
                        <w:sz w:val="18"/>
                        <w:szCs w:val="18"/>
                      </w:rPr>
                    </w:pPr>
                  </w:p>
                </w:tc>
                <w:tc>
                  <w:tcPr>
                    <w:tcW w:w="1559" w:type="dxa"/>
                  </w:tcPr>
                  <w:p w14:paraId="0BD18A78" w14:textId="77777777" w:rsidR="00830E72" w:rsidRDefault="00830E72">
                    <w:pPr>
                      <w:jc w:val="right"/>
                      <w:rPr>
                        <w:sz w:val="18"/>
                        <w:szCs w:val="18"/>
                      </w:rPr>
                    </w:pPr>
                  </w:p>
                </w:tc>
                <w:tc>
                  <w:tcPr>
                    <w:tcW w:w="1418" w:type="dxa"/>
                  </w:tcPr>
                  <w:p w14:paraId="00B9C443" w14:textId="77777777" w:rsidR="00830E72" w:rsidRDefault="00830E72">
                    <w:pPr>
                      <w:jc w:val="right"/>
                      <w:rPr>
                        <w:sz w:val="18"/>
                        <w:szCs w:val="18"/>
                      </w:rPr>
                    </w:pPr>
                  </w:p>
                </w:tc>
                <w:tc>
                  <w:tcPr>
                    <w:tcW w:w="1843" w:type="dxa"/>
                  </w:tcPr>
                  <w:p w14:paraId="71AAE753" w14:textId="77777777" w:rsidR="00830E72" w:rsidRDefault="00830E72">
                    <w:pPr>
                      <w:jc w:val="right"/>
                      <w:rPr>
                        <w:sz w:val="18"/>
                        <w:szCs w:val="18"/>
                      </w:rPr>
                    </w:pPr>
                  </w:p>
                </w:tc>
                <w:tc>
                  <w:tcPr>
                    <w:tcW w:w="1687" w:type="dxa"/>
                  </w:tcPr>
                  <w:p w14:paraId="447942B4" w14:textId="77777777" w:rsidR="00830E72" w:rsidRDefault="00830E72">
                    <w:pPr>
                      <w:jc w:val="right"/>
                      <w:rPr>
                        <w:sz w:val="18"/>
                        <w:szCs w:val="18"/>
                      </w:rPr>
                    </w:pPr>
                  </w:p>
                </w:tc>
              </w:tr>
              <w:tr w:rsidR="00830E72" w14:paraId="36E4DC68" w14:textId="77777777">
                <w:trPr>
                  <w:trHeight w:val="20"/>
                </w:trPr>
                <w:sdt>
                  <w:sdtPr>
                    <w:tag w:val="_PLD_084a56709ef243f89e8f0aead886c10d"/>
                    <w:id w:val="1594278575"/>
                    <w:lock w:val="sdtLocked"/>
                  </w:sdtPr>
                  <w:sdtEndPr/>
                  <w:sdtContent>
                    <w:tc>
                      <w:tcPr>
                        <w:tcW w:w="1444" w:type="dxa"/>
                      </w:tcPr>
                      <w:p w14:paraId="6AB10C60" w14:textId="77777777" w:rsidR="00830E72" w:rsidRDefault="008344D8">
                        <w:pPr>
                          <w:rPr>
                            <w:sz w:val="18"/>
                            <w:szCs w:val="18"/>
                          </w:rPr>
                        </w:pPr>
                        <w:r>
                          <w:rPr>
                            <w:sz w:val="18"/>
                            <w:szCs w:val="18"/>
                          </w:rPr>
                          <w:t>1．资本公积转增资本（或股本）</w:t>
                        </w:r>
                      </w:p>
                    </w:tc>
                  </w:sdtContent>
                </w:sdt>
                <w:tc>
                  <w:tcPr>
                    <w:tcW w:w="1559" w:type="dxa"/>
                    <w:tcBorders>
                      <w:right w:val="single" w:sz="4" w:space="0" w:color="auto"/>
                    </w:tcBorders>
                  </w:tcPr>
                  <w:p w14:paraId="2534BCFB" w14:textId="77777777" w:rsidR="00830E72" w:rsidRDefault="00830E72">
                    <w:pPr>
                      <w:jc w:val="right"/>
                      <w:rPr>
                        <w:sz w:val="18"/>
                        <w:szCs w:val="18"/>
                      </w:rPr>
                    </w:pPr>
                  </w:p>
                </w:tc>
                <w:tc>
                  <w:tcPr>
                    <w:tcW w:w="567" w:type="dxa"/>
                    <w:tcBorders>
                      <w:left w:val="single" w:sz="4" w:space="0" w:color="auto"/>
                      <w:right w:val="single" w:sz="4" w:space="0" w:color="auto"/>
                    </w:tcBorders>
                  </w:tcPr>
                  <w:p w14:paraId="7342B78E" w14:textId="77777777" w:rsidR="00830E72" w:rsidRDefault="00830E72">
                    <w:pPr>
                      <w:jc w:val="right"/>
                      <w:rPr>
                        <w:sz w:val="18"/>
                        <w:szCs w:val="18"/>
                      </w:rPr>
                    </w:pPr>
                  </w:p>
                </w:tc>
                <w:tc>
                  <w:tcPr>
                    <w:tcW w:w="567" w:type="dxa"/>
                    <w:tcBorders>
                      <w:left w:val="single" w:sz="4" w:space="0" w:color="auto"/>
                      <w:right w:val="single" w:sz="4" w:space="0" w:color="auto"/>
                    </w:tcBorders>
                  </w:tcPr>
                  <w:p w14:paraId="6188C2A3" w14:textId="77777777" w:rsidR="00830E72" w:rsidRDefault="00830E72">
                    <w:pPr>
                      <w:jc w:val="right"/>
                      <w:rPr>
                        <w:sz w:val="18"/>
                        <w:szCs w:val="18"/>
                      </w:rPr>
                    </w:pPr>
                  </w:p>
                </w:tc>
                <w:tc>
                  <w:tcPr>
                    <w:tcW w:w="425" w:type="dxa"/>
                    <w:tcBorders>
                      <w:left w:val="single" w:sz="4" w:space="0" w:color="auto"/>
                    </w:tcBorders>
                  </w:tcPr>
                  <w:p w14:paraId="569FD163" w14:textId="77777777" w:rsidR="00830E72" w:rsidRDefault="00830E72">
                    <w:pPr>
                      <w:jc w:val="right"/>
                      <w:rPr>
                        <w:sz w:val="18"/>
                        <w:szCs w:val="18"/>
                      </w:rPr>
                    </w:pPr>
                  </w:p>
                </w:tc>
                <w:tc>
                  <w:tcPr>
                    <w:tcW w:w="1559" w:type="dxa"/>
                  </w:tcPr>
                  <w:p w14:paraId="4C30AB90" w14:textId="77777777" w:rsidR="00830E72" w:rsidRDefault="00830E72">
                    <w:pPr>
                      <w:jc w:val="right"/>
                      <w:rPr>
                        <w:sz w:val="18"/>
                        <w:szCs w:val="18"/>
                      </w:rPr>
                    </w:pPr>
                  </w:p>
                </w:tc>
                <w:tc>
                  <w:tcPr>
                    <w:tcW w:w="567" w:type="dxa"/>
                  </w:tcPr>
                  <w:p w14:paraId="0232A309" w14:textId="77777777" w:rsidR="00830E72" w:rsidRDefault="00830E72">
                    <w:pPr>
                      <w:jc w:val="right"/>
                      <w:rPr>
                        <w:sz w:val="18"/>
                        <w:szCs w:val="18"/>
                      </w:rPr>
                    </w:pPr>
                  </w:p>
                </w:tc>
                <w:tc>
                  <w:tcPr>
                    <w:tcW w:w="709" w:type="dxa"/>
                  </w:tcPr>
                  <w:p w14:paraId="6BA53D13" w14:textId="77777777" w:rsidR="00830E72" w:rsidRDefault="00830E72">
                    <w:pPr>
                      <w:jc w:val="right"/>
                      <w:rPr>
                        <w:sz w:val="18"/>
                        <w:szCs w:val="18"/>
                      </w:rPr>
                    </w:pPr>
                  </w:p>
                </w:tc>
                <w:tc>
                  <w:tcPr>
                    <w:tcW w:w="1559" w:type="dxa"/>
                  </w:tcPr>
                  <w:p w14:paraId="3D24F392" w14:textId="77777777" w:rsidR="00830E72" w:rsidRDefault="00830E72">
                    <w:pPr>
                      <w:jc w:val="right"/>
                      <w:rPr>
                        <w:sz w:val="18"/>
                        <w:szCs w:val="18"/>
                      </w:rPr>
                    </w:pPr>
                  </w:p>
                </w:tc>
                <w:tc>
                  <w:tcPr>
                    <w:tcW w:w="1418" w:type="dxa"/>
                  </w:tcPr>
                  <w:p w14:paraId="4DA10792" w14:textId="77777777" w:rsidR="00830E72" w:rsidRDefault="00830E72">
                    <w:pPr>
                      <w:jc w:val="right"/>
                      <w:rPr>
                        <w:sz w:val="18"/>
                        <w:szCs w:val="18"/>
                      </w:rPr>
                    </w:pPr>
                  </w:p>
                </w:tc>
                <w:tc>
                  <w:tcPr>
                    <w:tcW w:w="1843" w:type="dxa"/>
                  </w:tcPr>
                  <w:p w14:paraId="35AC5C95" w14:textId="77777777" w:rsidR="00830E72" w:rsidRDefault="00830E72">
                    <w:pPr>
                      <w:jc w:val="right"/>
                      <w:rPr>
                        <w:sz w:val="18"/>
                        <w:szCs w:val="18"/>
                      </w:rPr>
                    </w:pPr>
                  </w:p>
                </w:tc>
                <w:tc>
                  <w:tcPr>
                    <w:tcW w:w="1687" w:type="dxa"/>
                  </w:tcPr>
                  <w:p w14:paraId="3068933A" w14:textId="77777777" w:rsidR="00830E72" w:rsidRDefault="00830E72">
                    <w:pPr>
                      <w:jc w:val="right"/>
                      <w:rPr>
                        <w:sz w:val="18"/>
                        <w:szCs w:val="18"/>
                      </w:rPr>
                    </w:pPr>
                  </w:p>
                </w:tc>
              </w:tr>
              <w:tr w:rsidR="00830E72" w14:paraId="7C5E9A90" w14:textId="77777777">
                <w:trPr>
                  <w:trHeight w:val="20"/>
                </w:trPr>
                <w:sdt>
                  <w:sdtPr>
                    <w:tag w:val="_PLD_22df50d156334ad9a740cc6d62e17f0b"/>
                    <w:id w:val="1987125432"/>
                    <w:lock w:val="sdtLocked"/>
                  </w:sdtPr>
                  <w:sdtEndPr/>
                  <w:sdtContent>
                    <w:tc>
                      <w:tcPr>
                        <w:tcW w:w="1444" w:type="dxa"/>
                      </w:tcPr>
                      <w:p w14:paraId="04E84E70" w14:textId="77777777" w:rsidR="00830E72" w:rsidRDefault="008344D8">
                        <w:pPr>
                          <w:rPr>
                            <w:sz w:val="18"/>
                            <w:szCs w:val="18"/>
                          </w:rPr>
                        </w:pPr>
                        <w:r>
                          <w:rPr>
                            <w:sz w:val="18"/>
                            <w:szCs w:val="18"/>
                          </w:rPr>
                          <w:t>2．盈余公积转增资本（或股本）</w:t>
                        </w:r>
                      </w:p>
                    </w:tc>
                  </w:sdtContent>
                </w:sdt>
                <w:tc>
                  <w:tcPr>
                    <w:tcW w:w="1559" w:type="dxa"/>
                    <w:tcBorders>
                      <w:right w:val="single" w:sz="4" w:space="0" w:color="auto"/>
                    </w:tcBorders>
                  </w:tcPr>
                  <w:p w14:paraId="5F15CB31" w14:textId="77777777" w:rsidR="00830E72" w:rsidRDefault="00830E72">
                    <w:pPr>
                      <w:jc w:val="right"/>
                      <w:rPr>
                        <w:sz w:val="18"/>
                        <w:szCs w:val="18"/>
                      </w:rPr>
                    </w:pPr>
                  </w:p>
                </w:tc>
                <w:tc>
                  <w:tcPr>
                    <w:tcW w:w="567" w:type="dxa"/>
                    <w:tcBorders>
                      <w:left w:val="single" w:sz="4" w:space="0" w:color="auto"/>
                      <w:right w:val="single" w:sz="4" w:space="0" w:color="auto"/>
                    </w:tcBorders>
                  </w:tcPr>
                  <w:p w14:paraId="622112F5" w14:textId="77777777" w:rsidR="00830E72" w:rsidRDefault="00830E72">
                    <w:pPr>
                      <w:jc w:val="right"/>
                      <w:rPr>
                        <w:sz w:val="18"/>
                        <w:szCs w:val="18"/>
                      </w:rPr>
                    </w:pPr>
                  </w:p>
                </w:tc>
                <w:tc>
                  <w:tcPr>
                    <w:tcW w:w="567" w:type="dxa"/>
                    <w:tcBorders>
                      <w:left w:val="single" w:sz="4" w:space="0" w:color="auto"/>
                      <w:right w:val="single" w:sz="4" w:space="0" w:color="auto"/>
                    </w:tcBorders>
                  </w:tcPr>
                  <w:p w14:paraId="29E11A05" w14:textId="77777777" w:rsidR="00830E72" w:rsidRDefault="00830E72">
                    <w:pPr>
                      <w:jc w:val="right"/>
                      <w:rPr>
                        <w:sz w:val="18"/>
                        <w:szCs w:val="18"/>
                      </w:rPr>
                    </w:pPr>
                  </w:p>
                </w:tc>
                <w:tc>
                  <w:tcPr>
                    <w:tcW w:w="425" w:type="dxa"/>
                    <w:tcBorders>
                      <w:left w:val="single" w:sz="4" w:space="0" w:color="auto"/>
                    </w:tcBorders>
                  </w:tcPr>
                  <w:p w14:paraId="3BB00390" w14:textId="77777777" w:rsidR="00830E72" w:rsidRDefault="00830E72">
                    <w:pPr>
                      <w:jc w:val="right"/>
                      <w:rPr>
                        <w:sz w:val="18"/>
                        <w:szCs w:val="18"/>
                      </w:rPr>
                    </w:pPr>
                  </w:p>
                </w:tc>
                <w:tc>
                  <w:tcPr>
                    <w:tcW w:w="1559" w:type="dxa"/>
                  </w:tcPr>
                  <w:p w14:paraId="6A858BAB" w14:textId="77777777" w:rsidR="00830E72" w:rsidRDefault="00830E72">
                    <w:pPr>
                      <w:jc w:val="right"/>
                      <w:rPr>
                        <w:sz w:val="18"/>
                        <w:szCs w:val="18"/>
                      </w:rPr>
                    </w:pPr>
                  </w:p>
                </w:tc>
                <w:tc>
                  <w:tcPr>
                    <w:tcW w:w="567" w:type="dxa"/>
                  </w:tcPr>
                  <w:p w14:paraId="204C0F97" w14:textId="77777777" w:rsidR="00830E72" w:rsidRDefault="00830E72">
                    <w:pPr>
                      <w:jc w:val="right"/>
                      <w:rPr>
                        <w:sz w:val="18"/>
                        <w:szCs w:val="18"/>
                      </w:rPr>
                    </w:pPr>
                  </w:p>
                </w:tc>
                <w:tc>
                  <w:tcPr>
                    <w:tcW w:w="709" w:type="dxa"/>
                  </w:tcPr>
                  <w:p w14:paraId="20FEDFFC" w14:textId="77777777" w:rsidR="00830E72" w:rsidRDefault="00830E72">
                    <w:pPr>
                      <w:jc w:val="right"/>
                      <w:rPr>
                        <w:sz w:val="18"/>
                        <w:szCs w:val="18"/>
                      </w:rPr>
                    </w:pPr>
                  </w:p>
                </w:tc>
                <w:tc>
                  <w:tcPr>
                    <w:tcW w:w="1559" w:type="dxa"/>
                  </w:tcPr>
                  <w:p w14:paraId="6CE38F00" w14:textId="77777777" w:rsidR="00830E72" w:rsidRDefault="00830E72">
                    <w:pPr>
                      <w:jc w:val="right"/>
                      <w:rPr>
                        <w:sz w:val="18"/>
                        <w:szCs w:val="18"/>
                      </w:rPr>
                    </w:pPr>
                  </w:p>
                </w:tc>
                <w:tc>
                  <w:tcPr>
                    <w:tcW w:w="1418" w:type="dxa"/>
                  </w:tcPr>
                  <w:p w14:paraId="70F1E5A3" w14:textId="77777777" w:rsidR="00830E72" w:rsidRDefault="00830E72">
                    <w:pPr>
                      <w:jc w:val="right"/>
                      <w:rPr>
                        <w:sz w:val="18"/>
                        <w:szCs w:val="18"/>
                      </w:rPr>
                    </w:pPr>
                  </w:p>
                </w:tc>
                <w:tc>
                  <w:tcPr>
                    <w:tcW w:w="1843" w:type="dxa"/>
                  </w:tcPr>
                  <w:p w14:paraId="0B039B20" w14:textId="77777777" w:rsidR="00830E72" w:rsidRDefault="00830E72">
                    <w:pPr>
                      <w:jc w:val="right"/>
                      <w:rPr>
                        <w:sz w:val="18"/>
                        <w:szCs w:val="18"/>
                      </w:rPr>
                    </w:pPr>
                  </w:p>
                </w:tc>
                <w:tc>
                  <w:tcPr>
                    <w:tcW w:w="1687" w:type="dxa"/>
                  </w:tcPr>
                  <w:p w14:paraId="2462C64F" w14:textId="77777777" w:rsidR="00830E72" w:rsidRDefault="00830E72">
                    <w:pPr>
                      <w:jc w:val="right"/>
                      <w:rPr>
                        <w:sz w:val="18"/>
                        <w:szCs w:val="18"/>
                      </w:rPr>
                    </w:pPr>
                  </w:p>
                </w:tc>
              </w:tr>
              <w:tr w:rsidR="00830E72" w14:paraId="5B7AE7A0" w14:textId="77777777">
                <w:trPr>
                  <w:trHeight w:val="20"/>
                </w:trPr>
                <w:sdt>
                  <w:sdtPr>
                    <w:tag w:val="_PLD_4846580862224d1a9e17a9af1fe14d07"/>
                    <w:id w:val="1190490065"/>
                    <w:lock w:val="sdtLocked"/>
                  </w:sdtPr>
                  <w:sdtEndPr/>
                  <w:sdtContent>
                    <w:tc>
                      <w:tcPr>
                        <w:tcW w:w="1444" w:type="dxa"/>
                      </w:tcPr>
                      <w:p w14:paraId="545C8CA8" w14:textId="77777777" w:rsidR="00830E72" w:rsidRDefault="008344D8">
                        <w:pPr>
                          <w:rPr>
                            <w:sz w:val="18"/>
                            <w:szCs w:val="18"/>
                          </w:rPr>
                        </w:pPr>
                        <w:r>
                          <w:rPr>
                            <w:sz w:val="18"/>
                            <w:szCs w:val="18"/>
                          </w:rPr>
                          <w:t>3．盈余公积弥补亏损</w:t>
                        </w:r>
                      </w:p>
                    </w:tc>
                  </w:sdtContent>
                </w:sdt>
                <w:tc>
                  <w:tcPr>
                    <w:tcW w:w="1559" w:type="dxa"/>
                    <w:tcBorders>
                      <w:right w:val="single" w:sz="4" w:space="0" w:color="auto"/>
                    </w:tcBorders>
                  </w:tcPr>
                  <w:p w14:paraId="7D8CFD17" w14:textId="77777777" w:rsidR="00830E72" w:rsidRDefault="00830E72">
                    <w:pPr>
                      <w:jc w:val="right"/>
                      <w:rPr>
                        <w:sz w:val="18"/>
                        <w:szCs w:val="18"/>
                      </w:rPr>
                    </w:pPr>
                  </w:p>
                </w:tc>
                <w:tc>
                  <w:tcPr>
                    <w:tcW w:w="567" w:type="dxa"/>
                    <w:tcBorders>
                      <w:left w:val="single" w:sz="4" w:space="0" w:color="auto"/>
                      <w:right w:val="single" w:sz="4" w:space="0" w:color="auto"/>
                    </w:tcBorders>
                  </w:tcPr>
                  <w:p w14:paraId="24D6696C" w14:textId="77777777" w:rsidR="00830E72" w:rsidRDefault="00830E72">
                    <w:pPr>
                      <w:jc w:val="right"/>
                      <w:rPr>
                        <w:sz w:val="18"/>
                        <w:szCs w:val="18"/>
                      </w:rPr>
                    </w:pPr>
                  </w:p>
                </w:tc>
                <w:tc>
                  <w:tcPr>
                    <w:tcW w:w="567" w:type="dxa"/>
                    <w:tcBorders>
                      <w:left w:val="single" w:sz="4" w:space="0" w:color="auto"/>
                      <w:right w:val="single" w:sz="4" w:space="0" w:color="auto"/>
                    </w:tcBorders>
                  </w:tcPr>
                  <w:p w14:paraId="509716B2" w14:textId="77777777" w:rsidR="00830E72" w:rsidRDefault="00830E72">
                    <w:pPr>
                      <w:jc w:val="right"/>
                      <w:rPr>
                        <w:sz w:val="18"/>
                        <w:szCs w:val="18"/>
                      </w:rPr>
                    </w:pPr>
                  </w:p>
                </w:tc>
                <w:tc>
                  <w:tcPr>
                    <w:tcW w:w="425" w:type="dxa"/>
                    <w:tcBorders>
                      <w:left w:val="single" w:sz="4" w:space="0" w:color="auto"/>
                    </w:tcBorders>
                  </w:tcPr>
                  <w:p w14:paraId="4F4E88EC" w14:textId="77777777" w:rsidR="00830E72" w:rsidRDefault="00830E72">
                    <w:pPr>
                      <w:jc w:val="right"/>
                      <w:rPr>
                        <w:sz w:val="18"/>
                        <w:szCs w:val="18"/>
                      </w:rPr>
                    </w:pPr>
                  </w:p>
                </w:tc>
                <w:tc>
                  <w:tcPr>
                    <w:tcW w:w="1559" w:type="dxa"/>
                  </w:tcPr>
                  <w:p w14:paraId="12E7B2E8" w14:textId="77777777" w:rsidR="00830E72" w:rsidRDefault="00830E72">
                    <w:pPr>
                      <w:jc w:val="right"/>
                      <w:rPr>
                        <w:sz w:val="18"/>
                        <w:szCs w:val="18"/>
                      </w:rPr>
                    </w:pPr>
                  </w:p>
                </w:tc>
                <w:tc>
                  <w:tcPr>
                    <w:tcW w:w="567" w:type="dxa"/>
                  </w:tcPr>
                  <w:p w14:paraId="5DC73AB5" w14:textId="77777777" w:rsidR="00830E72" w:rsidRDefault="00830E72">
                    <w:pPr>
                      <w:jc w:val="right"/>
                      <w:rPr>
                        <w:sz w:val="18"/>
                        <w:szCs w:val="18"/>
                      </w:rPr>
                    </w:pPr>
                  </w:p>
                </w:tc>
                <w:tc>
                  <w:tcPr>
                    <w:tcW w:w="709" w:type="dxa"/>
                  </w:tcPr>
                  <w:p w14:paraId="3F241615" w14:textId="77777777" w:rsidR="00830E72" w:rsidRDefault="00830E72">
                    <w:pPr>
                      <w:jc w:val="right"/>
                      <w:rPr>
                        <w:sz w:val="18"/>
                        <w:szCs w:val="18"/>
                      </w:rPr>
                    </w:pPr>
                  </w:p>
                </w:tc>
                <w:tc>
                  <w:tcPr>
                    <w:tcW w:w="1559" w:type="dxa"/>
                  </w:tcPr>
                  <w:p w14:paraId="667005C8" w14:textId="77777777" w:rsidR="00830E72" w:rsidRDefault="00830E72">
                    <w:pPr>
                      <w:jc w:val="right"/>
                      <w:rPr>
                        <w:sz w:val="18"/>
                        <w:szCs w:val="18"/>
                      </w:rPr>
                    </w:pPr>
                  </w:p>
                </w:tc>
                <w:tc>
                  <w:tcPr>
                    <w:tcW w:w="1418" w:type="dxa"/>
                  </w:tcPr>
                  <w:p w14:paraId="729AC7E8" w14:textId="77777777" w:rsidR="00830E72" w:rsidRDefault="00830E72">
                    <w:pPr>
                      <w:jc w:val="right"/>
                      <w:rPr>
                        <w:sz w:val="18"/>
                        <w:szCs w:val="18"/>
                      </w:rPr>
                    </w:pPr>
                  </w:p>
                </w:tc>
                <w:tc>
                  <w:tcPr>
                    <w:tcW w:w="1843" w:type="dxa"/>
                  </w:tcPr>
                  <w:p w14:paraId="36F411F5" w14:textId="77777777" w:rsidR="00830E72" w:rsidRDefault="00830E72">
                    <w:pPr>
                      <w:jc w:val="right"/>
                      <w:rPr>
                        <w:sz w:val="18"/>
                        <w:szCs w:val="18"/>
                      </w:rPr>
                    </w:pPr>
                  </w:p>
                </w:tc>
                <w:tc>
                  <w:tcPr>
                    <w:tcW w:w="1687" w:type="dxa"/>
                  </w:tcPr>
                  <w:p w14:paraId="4C61B573" w14:textId="77777777" w:rsidR="00830E72" w:rsidRDefault="00830E72">
                    <w:pPr>
                      <w:jc w:val="right"/>
                      <w:rPr>
                        <w:sz w:val="18"/>
                        <w:szCs w:val="18"/>
                      </w:rPr>
                    </w:pPr>
                  </w:p>
                </w:tc>
              </w:tr>
              <w:tr w:rsidR="00830E72" w14:paraId="6011DB2A" w14:textId="77777777">
                <w:trPr>
                  <w:trHeight w:val="20"/>
                </w:trPr>
                <w:tc>
                  <w:tcPr>
                    <w:tcW w:w="1444" w:type="dxa"/>
                  </w:tcPr>
                  <w:sdt>
                    <w:sdtPr>
                      <w:rPr>
                        <w:sz w:val="18"/>
                        <w:szCs w:val="18"/>
                      </w:rPr>
                      <w:tag w:val="_PLD_a2566358e2dc4d0b9e534ee13a2b1a26"/>
                      <w:id w:val="-1290434658"/>
                      <w:lock w:val="sdtLocked"/>
                    </w:sdtPr>
                    <w:sdtEndPr/>
                    <w:sdtContent>
                      <w:p w14:paraId="1514BFB7" w14:textId="77777777" w:rsidR="00830E72" w:rsidRDefault="008344D8">
                        <w:r>
                          <w:rPr>
                            <w:sz w:val="18"/>
                            <w:szCs w:val="18"/>
                          </w:rPr>
                          <w:t>4．设定受益计划变动额结转留存收益</w:t>
                        </w:r>
                      </w:p>
                    </w:sdtContent>
                  </w:sdt>
                </w:tc>
                <w:tc>
                  <w:tcPr>
                    <w:tcW w:w="1559" w:type="dxa"/>
                    <w:tcBorders>
                      <w:right w:val="single" w:sz="4" w:space="0" w:color="auto"/>
                    </w:tcBorders>
                  </w:tcPr>
                  <w:p w14:paraId="580B9A1C" w14:textId="77777777" w:rsidR="00830E72" w:rsidRDefault="00830E72">
                    <w:pPr>
                      <w:jc w:val="right"/>
                      <w:rPr>
                        <w:sz w:val="18"/>
                        <w:szCs w:val="18"/>
                      </w:rPr>
                    </w:pPr>
                  </w:p>
                </w:tc>
                <w:tc>
                  <w:tcPr>
                    <w:tcW w:w="567" w:type="dxa"/>
                    <w:tcBorders>
                      <w:left w:val="single" w:sz="4" w:space="0" w:color="auto"/>
                      <w:right w:val="single" w:sz="4" w:space="0" w:color="auto"/>
                    </w:tcBorders>
                  </w:tcPr>
                  <w:p w14:paraId="5023FAB7" w14:textId="77777777" w:rsidR="00830E72" w:rsidRDefault="00830E72">
                    <w:pPr>
                      <w:jc w:val="right"/>
                      <w:rPr>
                        <w:sz w:val="18"/>
                        <w:szCs w:val="18"/>
                      </w:rPr>
                    </w:pPr>
                  </w:p>
                </w:tc>
                <w:tc>
                  <w:tcPr>
                    <w:tcW w:w="567" w:type="dxa"/>
                    <w:tcBorders>
                      <w:left w:val="single" w:sz="4" w:space="0" w:color="auto"/>
                      <w:right w:val="single" w:sz="4" w:space="0" w:color="auto"/>
                    </w:tcBorders>
                  </w:tcPr>
                  <w:p w14:paraId="0F561075" w14:textId="77777777" w:rsidR="00830E72" w:rsidRDefault="00830E72">
                    <w:pPr>
                      <w:jc w:val="right"/>
                      <w:rPr>
                        <w:sz w:val="18"/>
                        <w:szCs w:val="18"/>
                      </w:rPr>
                    </w:pPr>
                  </w:p>
                </w:tc>
                <w:tc>
                  <w:tcPr>
                    <w:tcW w:w="425" w:type="dxa"/>
                    <w:tcBorders>
                      <w:left w:val="single" w:sz="4" w:space="0" w:color="auto"/>
                    </w:tcBorders>
                  </w:tcPr>
                  <w:p w14:paraId="73C2010A" w14:textId="77777777" w:rsidR="00830E72" w:rsidRDefault="00830E72">
                    <w:pPr>
                      <w:jc w:val="right"/>
                      <w:rPr>
                        <w:sz w:val="18"/>
                        <w:szCs w:val="18"/>
                      </w:rPr>
                    </w:pPr>
                  </w:p>
                </w:tc>
                <w:tc>
                  <w:tcPr>
                    <w:tcW w:w="1559" w:type="dxa"/>
                  </w:tcPr>
                  <w:p w14:paraId="74AEC0BC" w14:textId="77777777" w:rsidR="00830E72" w:rsidRDefault="00830E72">
                    <w:pPr>
                      <w:jc w:val="right"/>
                      <w:rPr>
                        <w:sz w:val="18"/>
                        <w:szCs w:val="18"/>
                      </w:rPr>
                    </w:pPr>
                  </w:p>
                </w:tc>
                <w:tc>
                  <w:tcPr>
                    <w:tcW w:w="567" w:type="dxa"/>
                  </w:tcPr>
                  <w:p w14:paraId="6F24DFE9" w14:textId="77777777" w:rsidR="00830E72" w:rsidRDefault="00830E72">
                    <w:pPr>
                      <w:jc w:val="right"/>
                      <w:rPr>
                        <w:sz w:val="18"/>
                        <w:szCs w:val="18"/>
                      </w:rPr>
                    </w:pPr>
                  </w:p>
                </w:tc>
                <w:tc>
                  <w:tcPr>
                    <w:tcW w:w="709" w:type="dxa"/>
                  </w:tcPr>
                  <w:p w14:paraId="74AED1F8" w14:textId="77777777" w:rsidR="00830E72" w:rsidRDefault="00830E72">
                    <w:pPr>
                      <w:jc w:val="right"/>
                      <w:rPr>
                        <w:sz w:val="18"/>
                        <w:szCs w:val="18"/>
                      </w:rPr>
                    </w:pPr>
                  </w:p>
                </w:tc>
                <w:tc>
                  <w:tcPr>
                    <w:tcW w:w="1559" w:type="dxa"/>
                  </w:tcPr>
                  <w:p w14:paraId="71BA1FAF" w14:textId="77777777" w:rsidR="00830E72" w:rsidRDefault="00830E72">
                    <w:pPr>
                      <w:jc w:val="right"/>
                      <w:rPr>
                        <w:sz w:val="18"/>
                        <w:szCs w:val="18"/>
                      </w:rPr>
                    </w:pPr>
                  </w:p>
                </w:tc>
                <w:tc>
                  <w:tcPr>
                    <w:tcW w:w="1418" w:type="dxa"/>
                  </w:tcPr>
                  <w:p w14:paraId="0C5E81E0" w14:textId="77777777" w:rsidR="00830E72" w:rsidRDefault="00830E72">
                    <w:pPr>
                      <w:jc w:val="right"/>
                      <w:rPr>
                        <w:sz w:val="18"/>
                        <w:szCs w:val="18"/>
                      </w:rPr>
                    </w:pPr>
                  </w:p>
                </w:tc>
                <w:tc>
                  <w:tcPr>
                    <w:tcW w:w="1843" w:type="dxa"/>
                  </w:tcPr>
                  <w:p w14:paraId="20A9273F" w14:textId="77777777" w:rsidR="00830E72" w:rsidRDefault="00830E72">
                    <w:pPr>
                      <w:jc w:val="right"/>
                      <w:rPr>
                        <w:sz w:val="18"/>
                        <w:szCs w:val="18"/>
                      </w:rPr>
                    </w:pPr>
                  </w:p>
                </w:tc>
                <w:tc>
                  <w:tcPr>
                    <w:tcW w:w="1687" w:type="dxa"/>
                  </w:tcPr>
                  <w:p w14:paraId="1453708F" w14:textId="77777777" w:rsidR="00830E72" w:rsidRDefault="00830E72">
                    <w:pPr>
                      <w:jc w:val="right"/>
                      <w:rPr>
                        <w:sz w:val="18"/>
                        <w:szCs w:val="18"/>
                      </w:rPr>
                    </w:pPr>
                  </w:p>
                </w:tc>
              </w:tr>
              <w:tr w:rsidR="00830E72" w14:paraId="64D5F4E0" w14:textId="77777777">
                <w:trPr>
                  <w:trHeight w:val="20"/>
                </w:trPr>
                <w:tc>
                  <w:tcPr>
                    <w:tcW w:w="1444" w:type="dxa"/>
                  </w:tcPr>
                  <w:sdt>
                    <w:sdtPr>
                      <w:rPr>
                        <w:sz w:val="18"/>
                        <w:szCs w:val="18"/>
                      </w:rPr>
                      <w:tag w:val="_PLD_659907ea90ce4ac18323403c6e02efd1"/>
                      <w:id w:val="1565219964"/>
                      <w:lock w:val="sdtLocked"/>
                    </w:sdtPr>
                    <w:sdtEndPr/>
                    <w:sdtContent>
                      <w:p w14:paraId="2811C375" w14:textId="77777777" w:rsidR="00830E72" w:rsidRDefault="008344D8">
                        <w:pPr>
                          <w:rPr>
                            <w:sz w:val="18"/>
                            <w:szCs w:val="18"/>
                          </w:rPr>
                        </w:pPr>
                        <w:r>
                          <w:rPr>
                            <w:sz w:val="18"/>
                            <w:szCs w:val="18"/>
                          </w:rPr>
                          <w:t>5．其他综合收益结转留存收益</w:t>
                        </w:r>
                      </w:p>
                    </w:sdtContent>
                  </w:sdt>
                </w:tc>
                <w:tc>
                  <w:tcPr>
                    <w:tcW w:w="1559" w:type="dxa"/>
                    <w:tcBorders>
                      <w:right w:val="single" w:sz="4" w:space="0" w:color="auto"/>
                    </w:tcBorders>
                  </w:tcPr>
                  <w:p w14:paraId="4C843A3E" w14:textId="77777777" w:rsidR="00830E72" w:rsidRDefault="00830E72">
                    <w:pPr>
                      <w:jc w:val="right"/>
                      <w:rPr>
                        <w:sz w:val="18"/>
                        <w:szCs w:val="18"/>
                      </w:rPr>
                    </w:pPr>
                  </w:p>
                </w:tc>
                <w:tc>
                  <w:tcPr>
                    <w:tcW w:w="567" w:type="dxa"/>
                    <w:tcBorders>
                      <w:left w:val="single" w:sz="4" w:space="0" w:color="auto"/>
                      <w:right w:val="single" w:sz="4" w:space="0" w:color="auto"/>
                    </w:tcBorders>
                  </w:tcPr>
                  <w:p w14:paraId="07BB3518" w14:textId="77777777" w:rsidR="00830E72" w:rsidRDefault="00830E72">
                    <w:pPr>
                      <w:jc w:val="right"/>
                      <w:rPr>
                        <w:sz w:val="18"/>
                        <w:szCs w:val="18"/>
                      </w:rPr>
                    </w:pPr>
                  </w:p>
                </w:tc>
                <w:tc>
                  <w:tcPr>
                    <w:tcW w:w="567" w:type="dxa"/>
                    <w:tcBorders>
                      <w:left w:val="single" w:sz="4" w:space="0" w:color="auto"/>
                      <w:right w:val="single" w:sz="4" w:space="0" w:color="auto"/>
                    </w:tcBorders>
                  </w:tcPr>
                  <w:p w14:paraId="33F081A8" w14:textId="77777777" w:rsidR="00830E72" w:rsidRDefault="00830E72">
                    <w:pPr>
                      <w:jc w:val="right"/>
                      <w:rPr>
                        <w:sz w:val="18"/>
                        <w:szCs w:val="18"/>
                      </w:rPr>
                    </w:pPr>
                  </w:p>
                </w:tc>
                <w:tc>
                  <w:tcPr>
                    <w:tcW w:w="425" w:type="dxa"/>
                    <w:tcBorders>
                      <w:left w:val="single" w:sz="4" w:space="0" w:color="auto"/>
                    </w:tcBorders>
                  </w:tcPr>
                  <w:p w14:paraId="2CAADCC1" w14:textId="77777777" w:rsidR="00830E72" w:rsidRDefault="00830E72">
                    <w:pPr>
                      <w:jc w:val="right"/>
                      <w:rPr>
                        <w:sz w:val="18"/>
                        <w:szCs w:val="18"/>
                      </w:rPr>
                    </w:pPr>
                  </w:p>
                </w:tc>
                <w:tc>
                  <w:tcPr>
                    <w:tcW w:w="1559" w:type="dxa"/>
                  </w:tcPr>
                  <w:p w14:paraId="31E39FF8" w14:textId="77777777" w:rsidR="00830E72" w:rsidRDefault="00830E72">
                    <w:pPr>
                      <w:jc w:val="right"/>
                      <w:rPr>
                        <w:sz w:val="18"/>
                        <w:szCs w:val="18"/>
                      </w:rPr>
                    </w:pPr>
                  </w:p>
                </w:tc>
                <w:tc>
                  <w:tcPr>
                    <w:tcW w:w="567" w:type="dxa"/>
                  </w:tcPr>
                  <w:p w14:paraId="047CCE5B" w14:textId="77777777" w:rsidR="00830E72" w:rsidRDefault="00830E72">
                    <w:pPr>
                      <w:jc w:val="right"/>
                      <w:rPr>
                        <w:sz w:val="18"/>
                        <w:szCs w:val="18"/>
                      </w:rPr>
                    </w:pPr>
                  </w:p>
                </w:tc>
                <w:tc>
                  <w:tcPr>
                    <w:tcW w:w="709" w:type="dxa"/>
                  </w:tcPr>
                  <w:p w14:paraId="430523B1" w14:textId="77777777" w:rsidR="00830E72" w:rsidRDefault="00830E72">
                    <w:pPr>
                      <w:jc w:val="right"/>
                      <w:rPr>
                        <w:sz w:val="18"/>
                        <w:szCs w:val="18"/>
                      </w:rPr>
                    </w:pPr>
                  </w:p>
                </w:tc>
                <w:tc>
                  <w:tcPr>
                    <w:tcW w:w="1559" w:type="dxa"/>
                  </w:tcPr>
                  <w:p w14:paraId="373724B4" w14:textId="77777777" w:rsidR="00830E72" w:rsidRDefault="00830E72">
                    <w:pPr>
                      <w:jc w:val="right"/>
                      <w:rPr>
                        <w:sz w:val="18"/>
                        <w:szCs w:val="18"/>
                      </w:rPr>
                    </w:pPr>
                  </w:p>
                </w:tc>
                <w:tc>
                  <w:tcPr>
                    <w:tcW w:w="1418" w:type="dxa"/>
                  </w:tcPr>
                  <w:p w14:paraId="5987DA57" w14:textId="77777777" w:rsidR="00830E72" w:rsidRDefault="00830E72">
                    <w:pPr>
                      <w:jc w:val="right"/>
                      <w:rPr>
                        <w:sz w:val="18"/>
                        <w:szCs w:val="18"/>
                      </w:rPr>
                    </w:pPr>
                  </w:p>
                </w:tc>
                <w:tc>
                  <w:tcPr>
                    <w:tcW w:w="1843" w:type="dxa"/>
                  </w:tcPr>
                  <w:p w14:paraId="4BD02A59" w14:textId="77777777" w:rsidR="00830E72" w:rsidRDefault="00830E72">
                    <w:pPr>
                      <w:jc w:val="right"/>
                      <w:rPr>
                        <w:sz w:val="18"/>
                        <w:szCs w:val="18"/>
                      </w:rPr>
                    </w:pPr>
                  </w:p>
                </w:tc>
                <w:tc>
                  <w:tcPr>
                    <w:tcW w:w="1687" w:type="dxa"/>
                  </w:tcPr>
                  <w:p w14:paraId="0BF58402" w14:textId="77777777" w:rsidR="00830E72" w:rsidRDefault="00830E72">
                    <w:pPr>
                      <w:jc w:val="right"/>
                      <w:rPr>
                        <w:sz w:val="18"/>
                        <w:szCs w:val="18"/>
                      </w:rPr>
                    </w:pPr>
                  </w:p>
                </w:tc>
              </w:tr>
              <w:tr w:rsidR="00830E72" w14:paraId="1E327D28" w14:textId="77777777">
                <w:trPr>
                  <w:trHeight w:val="20"/>
                </w:trPr>
                <w:tc>
                  <w:tcPr>
                    <w:tcW w:w="1444" w:type="dxa"/>
                  </w:tcPr>
                  <w:sdt>
                    <w:sdtPr>
                      <w:rPr>
                        <w:sz w:val="18"/>
                        <w:szCs w:val="18"/>
                      </w:rPr>
                      <w:tag w:val="_PLD_811577c623d04471a27af10d35119258"/>
                      <w:id w:val="1238288926"/>
                      <w:lock w:val="sdtLocked"/>
                    </w:sdtPr>
                    <w:sdtEndPr/>
                    <w:sdtContent>
                      <w:p w14:paraId="7F201F65" w14:textId="77777777" w:rsidR="00830E72" w:rsidRDefault="008344D8">
                        <w:r>
                          <w:rPr>
                            <w:sz w:val="18"/>
                            <w:szCs w:val="18"/>
                          </w:rPr>
                          <w:t>6．其他</w:t>
                        </w:r>
                      </w:p>
                    </w:sdtContent>
                  </w:sdt>
                </w:tc>
                <w:tc>
                  <w:tcPr>
                    <w:tcW w:w="1559" w:type="dxa"/>
                    <w:tcBorders>
                      <w:right w:val="single" w:sz="4" w:space="0" w:color="auto"/>
                    </w:tcBorders>
                  </w:tcPr>
                  <w:p w14:paraId="0E6166B9" w14:textId="77777777" w:rsidR="00830E72" w:rsidRDefault="00830E72">
                    <w:pPr>
                      <w:jc w:val="right"/>
                      <w:rPr>
                        <w:sz w:val="18"/>
                        <w:szCs w:val="18"/>
                      </w:rPr>
                    </w:pPr>
                  </w:p>
                </w:tc>
                <w:tc>
                  <w:tcPr>
                    <w:tcW w:w="567" w:type="dxa"/>
                    <w:tcBorders>
                      <w:left w:val="single" w:sz="4" w:space="0" w:color="auto"/>
                      <w:right w:val="single" w:sz="4" w:space="0" w:color="auto"/>
                    </w:tcBorders>
                  </w:tcPr>
                  <w:p w14:paraId="49AE7297" w14:textId="77777777" w:rsidR="00830E72" w:rsidRDefault="00830E72">
                    <w:pPr>
                      <w:jc w:val="right"/>
                      <w:rPr>
                        <w:sz w:val="18"/>
                        <w:szCs w:val="18"/>
                      </w:rPr>
                    </w:pPr>
                  </w:p>
                </w:tc>
                <w:tc>
                  <w:tcPr>
                    <w:tcW w:w="567" w:type="dxa"/>
                    <w:tcBorders>
                      <w:left w:val="single" w:sz="4" w:space="0" w:color="auto"/>
                      <w:right w:val="single" w:sz="4" w:space="0" w:color="auto"/>
                    </w:tcBorders>
                  </w:tcPr>
                  <w:p w14:paraId="446EEB37" w14:textId="77777777" w:rsidR="00830E72" w:rsidRDefault="00830E72">
                    <w:pPr>
                      <w:jc w:val="right"/>
                      <w:rPr>
                        <w:sz w:val="18"/>
                        <w:szCs w:val="18"/>
                      </w:rPr>
                    </w:pPr>
                  </w:p>
                </w:tc>
                <w:tc>
                  <w:tcPr>
                    <w:tcW w:w="425" w:type="dxa"/>
                    <w:tcBorders>
                      <w:left w:val="single" w:sz="4" w:space="0" w:color="auto"/>
                    </w:tcBorders>
                  </w:tcPr>
                  <w:p w14:paraId="6E426715" w14:textId="77777777" w:rsidR="00830E72" w:rsidRDefault="00830E72">
                    <w:pPr>
                      <w:jc w:val="right"/>
                      <w:rPr>
                        <w:sz w:val="18"/>
                        <w:szCs w:val="18"/>
                      </w:rPr>
                    </w:pPr>
                  </w:p>
                </w:tc>
                <w:tc>
                  <w:tcPr>
                    <w:tcW w:w="1559" w:type="dxa"/>
                  </w:tcPr>
                  <w:p w14:paraId="04798320" w14:textId="77777777" w:rsidR="00830E72" w:rsidRDefault="00830E72">
                    <w:pPr>
                      <w:jc w:val="right"/>
                      <w:rPr>
                        <w:sz w:val="18"/>
                        <w:szCs w:val="18"/>
                      </w:rPr>
                    </w:pPr>
                  </w:p>
                </w:tc>
                <w:tc>
                  <w:tcPr>
                    <w:tcW w:w="567" w:type="dxa"/>
                  </w:tcPr>
                  <w:p w14:paraId="44A804B8" w14:textId="77777777" w:rsidR="00830E72" w:rsidRDefault="00830E72">
                    <w:pPr>
                      <w:jc w:val="right"/>
                      <w:rPr>
                        <w:sz w:val="18"/>
                        <w:szCs w:val="18"/>
                      </w:rPr>
                    </w:pPr>
                  </w:p>
                </w:tc>
                <w:tc>
                  <w:tcPr>
                    <w:tcW w:w="709" w:type="dxa"/>
                  </w:tcPr>
                  <w:p w14:paraId="7CC9D31E" w14:textId="77777777" w:rsidR="00830E72" w:rsidRDefault="00830E72">
                    <w:pPr>
                      <w:jc w:val="right"/>
                      <w:rPr>
                        <w:sz w:val="18"/>
                        <w:szCs w:val="18"/>
                      </w:rPr>
                    </w:pPr>
                  </w:p>
                </w:tc>
                <w:tc>
                  <w:tcPr>
                    <w:tcW w:w="1559" w:type="dxa"/>
                  </w:tcPr>
                  <w:p w14:paraId="65B522A7" w14:textId="77777777" w:rsidR="00830E72" w:rsidRDefault="00830E72">
                    <w:pPr>
                      <w:jc w:val="right"/>
                      <w:rPr>
                        <w:sz w:val="18"/>
                        <w:szCs w:val="18"/>
                      </w:rPr>
                    </w:pPr>
                  </w:p>
                </w:tc>
                <w:tc>
                  <w:tcPr>
                    <w:tcW w:w="1418" w:type="dxa"/>
                  </w:tcPr>
                  <w:p w14:paraId="70FF4B23" w14:textId="77777777" w:rsidR="00830E72" w:rsidRDefault="00830E72">
                    <w:pPr>
                      <w:jc w:val="right"/>
                      <w:rPr>
                        <w:sz w:val="18"/>
                        <w:szCs w:val="18"/>
                      </w:rPr>
                    </w:pPr>
                  </w:p>
                </w:tc>
                <w:tc>
                  <w:tcPr>
                    <w:tcW w:w="1843" w:type="dxa"/>
                  </w:tcPr>
                  <w:p w14:paraId="0CF28231" w14:textId="77777777" w:rsidR="00830E72" w:rsidRDefault="00830E72">
                    <w:pPr>
                      <w:jc w:val="right"/>
                      <w:rPr>
                        <w:sz w:val="18"/>
                        <w:szCs w:val="18"/>
                      </w:rPr>
                    </w:pPr>
                  </w:p>
                </w:tc>
                <w:tc>
                  <w:tcPr>
                    <w:tcW w:w="1687" w:type="dxa"/>
                  </w:tcPr>
                  <w:p w14:paraId="4E794AAC" w14:textId="77777777" w:rsidR="00830E72" w:rsidRDefault="00830E72">
                    <w:pPr>
                      <w:jc w:val="right"/>
                      <w:rPr>
                        <w:sz w:val="18"/>
                        <w:szCs w:val="18"/>
                      </w:rPr>
                    </w:pPr>
                  </w:p>
                </w:tc>
              </w:tr>
              <w:tr w:rsidR="00830E72" w14:paraId="0DD21541" w14:textId="77777777">
                <w:trPr>
                  <w:trHeight w:val="20"/>
                </w:trPr>
                <w:sdt>
                  <w:sdtPr>
                    <w:tag w:val="_PLD_2a0b15de13474fe285b68b48e29b688f"/>
                    <w:id w:val="-2087833738"/>
                    <w:lock w:val="sdtLocked"/>
                  </w:sdtPr>
                  <w:sdtEndPr/>
                  <w:sdtContent>
                    <w:tc>
                      <w:tcPr>
                        <w:tcW w:w="1444" w:type="dxa"/>
                        <w:vAlign w:val="center"/>
                      </w:tcPr>
                      <w:p w14:paraId="11F824C0" w14:textId="77777777" w:rsidR="00830E72" w:rsidRDefault="008344D8">
                        <w:pPr>
                          <w:rPr>
                            <w:sz w:val="18"/>
                            <w:szCs w:val="18"/>
                          </w:rPr>
                        </w:pPr>
                        <w:r>
                          <w:rPr>
                            <w:rFonts w:hint="eastAsia"/>
                            <w:sz w:val="18"/>
                            <w:szCs w:val="18"/>
                          </w:rPr>
                          <w:t>（五）专项储备</w:t>
                        </w:r>
                      </w:p>
                    </w:tc>
                  </w:sdtContent>
                </w:sdt>
                <w:tc>
                  <w:tcPr>
                    <w:tcW w:w="1559" w:type="dxa"/>
                    <w:tcBorders>
                      <w:right w:val="single" w:sz="4" w:space="0" w:color="auto"/>
                    </w:tcBorders>
                  </w:tcPr>
                  <w:p w14:paraId="77A69C95" w14:textId="77777777" w:rsidR="00830E72" w:rsidRDefault="00830E72">
                    <w:pPr>
                      <w:jc w:val="right"/>
                      <w:rPr>
                        <w:sz w:val="18"/>
                        <w:szCs w:val="18"/>
                      </w:rPr>
                    </w:pPr>
                  </w:p>
                </w:tc>
                <w:tc>
                  <w:tcPr>
                    <w:tcW w:w="567" w:type="dxa"/>
                    <w:tcBorders>
                      <w:left w:val="single" w:sz="4" w:space="0" w:color="auto"/>
                      <w:right w:val="single" w:sz="4" w:space="0" w:color="auto"/>
                    </w:tcBorders>
                  </w:tcPr>
                  <w:p w14:paraId="4DD2013B" w14:textId="77777777" w:rsidR="00830E72" w:rsidRDefault="00830E72">
                    <w:pPr>
                      <w:jc w:val="right"/>
                      <w:rPr>
                        <w:sz w:val="18"/>
                        <w:szCs w:val="18"/>
                      </w:rPr>
                    </w:pPr>
                  </w:p>
                </w:tc>
                <w:tc>
                  <w:tcPr>
                    <w:tcW w:w="567" w:type="dxa"/>
                    <w:tcBorders>
                      <w:left w:val="single" w:sz="4" w:space="0" w:color="auto"/>
                      <w:right w:val="single" w:sz="4" w:space="0" w:color="auto"/>
                    </w:tcBorders>
                  </w:tcPr>
                  <w:p w14:paraId="0C860D14" w14:textId="77777777" w:rsidR="00830E72" w:rsidRDefault="00830E72">
                    <w:pPr>
                      <w:jc w:val="right"/>
                      <w:rPr>
                        <w:sz w:val="18"/>
                        <w:szCs w:val="18"/>
                      </w:rPr>
                    </w:pPr>
                  </w:p>
                </w:tc>
                <w:tc>
                  <w:tcPr>
                    <w:tcW w:w="425" w:type="dxa"/>
                    <w:tcBorders>
                      <w:left w:val="single" w:sz="4" w:space="0" w:color="auto"/>
                    </w:tcBorders>
                  </w:tcPr>
                  <w:p w14:paraId="0DB0672D" w14:textId="77777777" w:rsidR="00830E72" w:rsidRDefault="00830E72">
                    <w:pPr>
                      <w:jc w:val="right"/>
                      <w:rPr>
                        <w:sz w:val="18"/>
                        <w:szCs w:val="18"/>
                      </w:rPr>
                    </w:pPr>
                  </w:p>
                </w:tc>
                <w:tc>
                  <w:tcPr>
                    <w:tcW w:w="1559" w:type="dxa"/>
                  </w:tcPr>
                  <w:p w14:paraId="4372D196" w14:textId="77777777" w:rsidR="00830E72" w:rsidRDefault="00830E72">
                    <w:pPr>
                      <w:jc w:val="right"/>
                      <w:rPr>
                        <w:sz w:val="18"/>
                        <w:szCs w:val="18"/>
                      </w:rPr>
                    </w:pPr>
                  </w:p>
                </w:tc>
                <w:tc>
                  <w:tcPr>
                    <w:tcW w:w="567" w:type="dxa"/>
                  </w:tcPr>
                  <w:p w14:paraId="26DF2FBA" w14:textId="77777777" w:rsidR="00830E72" w:rsidRDefault="00830E72">
                    <w:pPr>
                      <w:jc w:val="right"/>
                      <w:rPr>
                        <w:sz w:val="18"/>
                        <w:szCs w:val="18"/>
                      </w:rPr>
                    </w:pPr>
                  </w:p>
                </w:tc>
                <w:tc>
                  <w:tcPr>
                    <w:tcW w:w="709" w:type="dxa"/>
                  </w:tcPr>
                  <w:p w14:paraId="5B36A9F1" w14:textId="77777777" w:rsidR="00830E72" w:rsidRDefault="00830E72">
                    <w:pPr>
                      <w:jc w:val="right"/>
                      <w:rPr>
                        <w:sz w:val="18"/>
                        <w:szCs w:val="18"/>
                      </w:rPr>
                    </w:pPr>
                  </w:p>
                </w:tc>
                <w:tc>
                  <w:tcPr>
                    <w:tcW w:w="1559" w:type="dxa"/>
                  </w:tcPr>
                  <w:p w14:paraId="5B22654E" w14:textId="77777777" w:rsidR="00830E72" w:rsidRDefault="008344D8">
                    <w:pPr>
                      <w:jc w:val="right"/>
                      <w:rPr>
                        <w:sz w:val="18"/>
                        <w:szCs w:val="18"/>
                      </w:rPr>
                    </w:pPr>
                    <w:r>
                      <w:rPr>
                        <w:sz w:val="18"/>
                        <w:szCs w:val="18"/>
                      </w:rPr>
                      <w:t>2,641,876.41</w:t>
                    </w:r>
                  </w:p>
                </w:tc>
                <w:tc>
                  <w:tcPr>
                    <w:tcW w:w="1418" w:type="dxa"/>
                  </w:tcPr>
                  <w:p w14:paraId="51954A9C" w14:textId="77777777" w:rsidR="00830E72" w:rsidRDefault="00830E72">
                    <w:pPr>
                      <w:jc w:val="right"/>
                      <w:rPr>
                        <w:sz w:val="18"/>
                        <w:szCs w:val="18"/>
                      </w:rPr>
                    </w:pPr>
                  </w:p>
                </w:tc>
                <w:tc>
                  <w:tcPr>
                    <w:tcW w:w="1843" w:type="dxa"/>
                  </w:tcPr>
                  <w:p w14:paraId="675C2460" w14:textId="77777777" w:rsidR="00830E72" w:rsidRDefault="00830E72">
                    <w:pPr>
                      <w:jc w:val="right"/>
                      <w:rPr>
                        <w:sz w:val="18"/>
                        <w:szCs w:val="18"/>
                      </w:rPr>
                    </w:pPr>
                  </w:p>
                </w:tc>
                <w:tc>
                  <w:tcPr>
                    <w:tcW w:w="1687" w:type="dxa"/>
                  </w:tcPr>
                  <w:p w14:paraId="54EC71AE" w14:textId="77777777" w:rsidR="00830E72" w:rsidRDefault="008344D8">
                    <w:pPr>
                      <w:jc w:val="right"/>
                      <w:rPr>
                        <w:sz w:val="18"/>
                        <w:szCs w:val="18"/>
                      </w:rPr>
                    </w:pPr>
                    <w:r>
                      <w:rPr>
                        <w:sz w:val="18"/>
                        <w:szCs w:val="18"/>
                      </w:rPr>
                      <w:t>2,641,876.41</w:t>
                    </w:r>
                  </w:p>
                </w:tc>
              </w:tr>
              <w:tr w:rsidR="00830E72" w14:paraId="4B557324" w14:textId="77777777">
                <w:trPr>
                  <w:trHeight w:val="20"/>
                </w:trPr>
                <w:sdt>
                  <w:sdtPr>
                    <w:tag w:val="_PLD_8be2fdb078fc42cdaebf61e81ed6d67b"/>
                    <w:id w:val="-1144958390"/>
                    <w:lock w:val="sdtLocked"/>
                  </w:sdtPr>
                  <w:sdtEndPr/>
                  <w:sdtContent>
                    <w:tc>
                      <w:tcPr>
                        <w:tcW w:w="1444" w:type="dxa"/>
                        <w:vAlign w:val="center"/>
                      </w:tcPr>
                      <w:p w14:paraId="4F860773" w14:textId="77777777" w:rsidR="00830E72" w:rsidRDefault="008344D8">
                        <w:pPr>
                          <w:rPr>
                            <w:sz w:val="18"/>
                            <w:szCs w:val="18"/>
                          </w:rPr>
                        </w:pPr>
                        <w:r>
                          <w:rPr>
                            <w:rFonts w:hint="eastAsia"/>
                            <w:sz w:val="18"/>
                            <w:szCs w:val="18"/>
                          </w:rPr>
                          <w:t>1．本期提取</w:t>
                        </w:r>
                      </w:p>
                    </w:tc>
                  </w:sdtContent>
                </w:sdt>
                <w:tc>
                  <w:tcPr>
                    <w:tcW w:w="1559" w:type="dxa"/>
                    <w:tcBorders>
                      <w:right w:val="single" w:sz="4" w:space="0" w:color="auto"/>
                    </w:tcBorders>
                  </w:tcPr>
                  <w:p w14:paraId="63D8A064" w14:textId="77777777" w:rsidR="00830E72" w:rsidRDefault="00830E72">
                    <w:pPr>
                      <w:jc w:val="right"/>
                      <w:rPr>
                        <w:sz w:val="18"/>
                        <w:szCs w:val="18"/>
                      </w:rPr>
                    </w:pPr>
                  </w:p>
                </w:tc>
                <w:tc>
                  <w:tcPr>
                    <w:tcW w:w="567" w:type="dxa"/>
                    <w:tcBorders>
                      <w:left w:val="single" w:sz="4" w:space="0" w:color="auto"/>
                      <w:right w:val="single" w:sz="4" w:space="0" w:color="auto"/>
                    </w:tcBorders>
                  </w:tcPr>
                  <w:p w14:paraId="088DFF76" w14:textId="77777777" w:rsidR="00830E72" w:rsidRDefault="00830E72">
                    <w:pPr>
                      <w:jc w:val="right"/>
                      <w:rPr>
                        <w:sz w:val="18"/>
                        <w:szCs w:val="18"/>
                      </w:rPr>
                    </w:pPr>
                  </w:p>
                </w:tc>
                <w:tc>
                  <w:tcPr>
                    <w:tcW w:w="567" w:type="dxa"/>
                    <w:tcBorders>
                      <w:left w:val="single" w:sz="4" w:space="0" w:color="auto"/>
                      <w:right w:val="single" w:sz="4" w:space="0" w:color="auto"/>
                    </w:tcBorders>
                  </w:tcPr>
                  <w:p w14:paraId="4A8E1142" w14:textId="77777777" w:rsidR="00830E72" w:rsidRDefault="00830E72">
                    <w:pPr>
                      <w:jc w:val="right"/>
                      <w:rPr>
                        <w:sz w:val="18"/>
                        <w:szCs w:val="18"/>
                      </w:rPr>
                    </w:pPr>
                  </w:p>
                </w:tc>
                <w:tc>
                  <w:tcPr>
                    <w:tcW w:w="425" w:type="dxa"/>
                    <w:tcBorders>
                      <w:left w:val="single" w:sz="4" w:space="0" w:color="auto"/>
                    </w:tcBorders>
                  </w:tcPr>
                  <w:p w14:paraId="4738DE14" w14:textId="77777777" w:rsidR="00830E72" w:rsidRDefault="00830E72">
                    <w:pPr>
                      <w:jc w:val="right"/>
                      <w:rPr>
                        <w:sz w:val="18"/>
                        <w:szCs w:val="18"/>
                      </w:rPr>
                    </w:pPr>
                  </w:p>
                </w:tc>
                <w:tc>
                  <w:tcPr>
                    <w:tcW w:w="1559" w:type="dxa"/>
                  </w:tcPr>
                  <w:p w14:paraId="6BAC7B95" w14:textId="77777777" w:rsidR="00830E72" w:rsidRDefault="00830E72">
                    <w:pPr>
                      <w:jc w:val="right"/>
                      <w:rPr>
                        <w:sz w:val="18"/>
                        <w:szCs w:val="18"/>
                      </w:rPr>
                    </w:pPr>
                  </w:p>
                </w:tc>
                <w:tc>
                  <w:tcPr>
                    <w:tcW w:w="567" w:type="dxa"/>
                  </w:tcPr>
                  <w:p w14:paraId="530DE68F" w14:textId="77777777" w:rsidR="00830E72" w:rsidRDefault="00830E72">
                    <w:pPr>
                      <w:jc w:val="right"/>
                      <w:rPr>
                        <w:sz w:val="18"/>
                        <w:szCs w:val="18"/>
                      </w:rPr>
                    </w:pPr>
                  </w:p>
                </w:tc>
                <w:tc>
                  <w:tcPr>
                    <w:tcW w:w="709" w:type="dxa"/>
                  </w:tcPr>
                  <w:p w14:paraId="5752D749" w14:textId="77777777" w:rsidR="00830E72" w:rsidRDefault="00830E72">
                    <w:pPr>
                      <w:jc w:val="right"/>
                      <w:rPr>
                        <w:sz w:val="18"/>
                        <w:szCs w:val="18"/>
                      </w:rPr>
                    </w:pPr>
                  </w:p>
                </w:tc>
                <w:tc>
                  <w:tcPr>
                    <w:tcW w:w="1559" w:type="dxa"/>
                  </w:tcPr>
                  <w:p w14:paraId="2019F578" w14:textId="77777777" w:rsidR="00830E72" w:rsidRDefault="008344D8">
                    <w:pPr>
                      <w:jc w:val="right"/>
                      <w:rPr>
                        <w:sz w:val="18"/>
                        <w:szCs w:val="18"/>
                      </w:rPr>
                    </w:pPr>
                    <w:r>
                      <w:rPr>
                        <w:sz w:val="18"/>
                        <w:szCs w:val="18"/>
                      </w:rPr>
                      <w:t>18,110,402.16</w:t>
                    </w:r>
                  </w:p>
                </w:tc>
                <w:tc>
                  <w:tcPr>
                    <w:tcW w:w="1418" w:type="dxa"/>
                  </w:tcPr>
                  <w:p w14:paraId="1EEAD04A" w14:textId="77777777" w:rsidR="00830E72" w:rsidRDefault="00830E72">
                    <w:pPr>
                      <w:jc w:val="right"/>
                      <w:rPr>
                        <w:sz w:val="18"/>
                        <w:szCs w:val="18"/>
                      </w:rPr>
                    </w:pPr>
                  </w:p>
                </w:tc>
                <w:tc>
                  <w:tcPr>
                    <w:tcW w:w="1843" w:type="dxa"/>
                  </w:tcPr>
                  <w:p w14:paraId="31457C9A" w14:textId="77777777" w:rsidR="00830E72" w:rsidRDefault="00830E72">
                    <w:pPr>
                      <w:jc w:val="right"/>
                      <w:rPr>
                        <w:sz w:val="18"/>
                        <w:szCs w:val="18"/>
                      </w:rPr>
                    </w:pPr>
                  </w:p>
                </w:tc>
                <w:tc>
                  <w:tcPr>
                    <w:tcW w:w="1687" w:type="dxa"/>
                  </w:tcPr>
                  <w:p w14:paraId="51C9F1FE" w14:textId="77777777" w:rsidR="00830E72" w:rsidRDefault="008344D8">
                    <w:pPr>
                      <w:jc w:val="right"/>
                      <w:rPr>
                        <w:sz w:val="18"/>
                        <w:szCs w:val="18"/>
                      </w:rPr>
                    </w:pPr>
                    <w:r>
                      <w:rPr>
                        <w:sz w:val="18"/>
                        <w:szCs w:val="18"/>
                      </w:rPr>
                      <w:t>18,110,402.16</w:t>
                    </w:r>
                  </w:p>
                </w:tc>
              </w:tr>
              <w:tr w:rsidR="00830E72" w14:paraId="5B95A6CB" w14:textId="77777777">
                <w:trPr>
                  <w:trHeight w:val="20"/>
                </w:trPr>
                <w:sdt>
                  <w:sdtPr>
                    <w:tag w:val="_PLD_12344832238e442d9f64388fa2af60f1"/>
                    <w:id w:val="-670959612"/>
                    <w:lock w:val="sdtLocked"/>
                  </w:sdtPr>
                  <w:sdtEndPr/>
                  <w:sdtContent>
                    <w:tc>
                      <w:tcPr>
                        <w:tcW w:w="1444" w:type="dxa"/>
                        <w:vAlign w:val="center"/>
                      </w:tcPr>
                      <w:p w14:paraId="282F0C10" w14:textId="77777777" w:rsidR="00830E72" w:rsidRDefault="008344D8">
                        <w:pPr>
                          <w:rPr>
                            <w:sz w:val="18"/>
                            <w:szCs w:val="18"/>
                          </w:rPr>
                        </w:pPr>
                        <w:r>
                          <w:rPr>
                            <w:rFonts w:hint="eastAsia"/>
                            <w:sz w:val="18"/>
                            <w:szCs w:val="18"/>
                          </w:rPr>
                          <w:t>2．本期使用</w:t>
                        </w:r>
                      </w:p>
                    </w:tc>
                  </w:sdtContent>
                </w:sdt>
                <w:tc>
                  <w:tcPr>
                    <w:tcW w:w="1559" w:type="dxa"/>
                    <w:tcBorders>
                      <w:right w:val="single" w:sz="4" w:space="0" w:color="auto"/>
                    </w:tcBorders>
                  </w:tcPr>
                  <w:p w14:paraId="2FEE8F71" w14:textId="77777777" w:rsidR="00830E72" w:rsidRDefault="00830E72">
                    <w:pPr>
                      <w:jc w:val="right"/>
                      <w:rPr>
                        <w:sz w:val="18"/>
                        <w:szCs w:val="18"/>
                      </w:rPr>
                    </w:pPr>
                  </w:p>
                </w:tc>
                <w:tc>
                  <w:tcPr>
                    <w:tcW w:w="567" w:type="dxa"/>
                    <w:tcBorders>
                      <w:left w:val="single" w:sz="4" w:space="0" w:color="auto"/>
                      <w:right w:val="single" w:sz="4" w:space="0" w:color="auto"/>
                    </w:tcBorders>
                  </w:tcPr>
                  <w:p w14:paraId="6E019C6B" w14:textId="77777777" w:rsidR="00830E72" w:rsidRDefault="00830E72">
                    <w:pPr>
                      <w:jc w:val="right"/>
                      <w:rPr>
                        <w:sz w:val="18"/>
                        <w:szCs w:val="18"/>
                      </w:rPr>
                    </w:pPr>
                  </w:p>
                </w:tc>
                <w:tc>
                  <w:tcPr>
                    <w:tcW w:w="567" w:type="dxa"/>
                    <w:tcBorders>
                      <w:left w:val="single" w:sz="4" w:space="0" w:color="auto"/>
                      <w:right w:val="single" w:sz="4" w:space="0" w:color="auto"/>
                    </w:tcBorders>
                  </w:tcPr>
                  <w:p w14:paraId="4EDAA1D1" w14:textId="77777777" w:rsidR="00830E72" w:rsidRDefault="00830E72">
                    <w:pPr>
                      <w:jc w:val="right"/>
                      <w:rPr>
                        <w:sz w:val="18"/>
                        <w:szCs w:val="18"/>
                      </w:rPr>
                    </w:pPr>
                  </w:p>
                </w:tc>
                <w:tc>
                  <w:tcPr>
                    <w:tcW w:w="425" w:type="dxa"/>
                    <w:tcBorders>
                      <w:left w:val="single" w:sz="4" w:space="0" w:color="auto"/>
                    </w:tcBorders>
                  </w:tcPr>
                  <w:p w14:paraId="347EACF6" w14:textId="77777777" w:rsidR="00830E72" w:rsidRDefault="00830E72">
                    <w:pPr>
                      <w:jc w:val="right"/>
                      <w:rPr>
                        <w:sz w:val="18"/>
                        <w:szCs w:val="18"/>
                      </w:rPr>
                    </w:pPr>
                  </w:p>
                </w:tc>
                <w:tc>
                  <w:tcPr>
                    <w:tcW w:w="1559" w:type="dxa"/>
                  </w:tcPr>
                  <w:p w14:paraId="7ABE31A1" w14:textId="77777777" w:rsidR="00830E72" w:rsidRDefault="00830E72">
                    <w:pPr>
                      <w:jc w:val="right"/>
                      <w:rPr>
                        <w:sz w:val="18"/>
                        <w:szCs w:val="18"/>
                      </w:rPr>
                    </w:pPr>
                  </w:p>
                </w:tc>
                <w:tc>
                  <w:tcPr>
                    <w:tcW w:w="567" w:type="dxa"/>
                  </w:tcPr>
                  <w:p w14:paraId="6D82ECA4" w14:textId="77777777" w:rsidR="00830E72" w:rsidRDefault="00830E72">
                    <w:pPr>
                      <w:jc w:val="right"/>
                      <w:rPr>
                        <w:sz w:val="18"/>
                        <w:szCs w:val="18"/>
                      </w:rPr>
                    </w:pPr>
                  </w:p>
                </w:tc>
                <w:tc>
                  <w:tcPr>
                    <w:tcW w:w="709" w:type="dxa"/>
                  </w:tcPr>
                  <w:p w14:paraId="52BD32DB" w14:textId="77777777" w:rsidR="00830E72" w:rsidRDefault="00830E72">
                    <w:pPr>
                      <w:jc w:val="right"/>
                      <w:rPr>
                        <w:sz w:val="18"/>
                        <w:szCs w:val="18"/>
                      </w:rPr>
                    </w:pPr>
                  </w:p>
                </w:tc>
                <w:tc>
                  <w:tcPr>
                    <w:tcW w:w="1559" w:type="dxa"/>
                  </w:tcPr>
                  <w:p w14:paraId="3F54EF53" w14:textId="77777777" w:rsidR="00830E72" w:rsidRDefault="008344D8">
                    <w:pPr>
                      <w:jc w:val="center"/>
                      <w:rPr>
                        <w:sz w:val="18"/>
                        <w:szCs w:val="18"/>
                      </w:rPr>
                    </w:pPr>
                    <w:r>
                      <w:rPr>
                        <w:sz w:val="18"/>
                        <w:szCs w:val="18"/>
                      </w:rPr>
                      <w:t>15,468,525.75</w:t>
                    </w:r>
                  </w:p>
                </w:tc>
                <w:tc>
                  <w:tcPr>
                    <w:tcW w:w="1418" w:type="dxa"/>
                  </w:tcPr>
                  <w:p w14:paraId="386E0EFB" w14:textId="77777777" w:rsidR="00830E72" w:rsidRDefault="00830E72">
                    <w:pPr>
                      <w:jc w:val="right"/>
                      <w:rPr>
                        <w:sz w:val="18"/>
                        <w:szCs w:val="18"/>
                      </w:rPr>
                    </w:pPr>
                  </w:p>
                </w:tc>
                <w:tc>
                  <w:tcPr>
                    <w:tcW w:w="1843" w:type="dxa"/>
                  </w:tcPr>
                  <w:p w14:paraId="71418620" w14:textId="77777777" w:rsidR="00830E72" w:rsidRDefault="00830E72">
                    <w:pPr>
                      <w:jc w:val="right"/>
                      <w:rPr>
                        <w:sz w:val="18"/>
                        <w:szCs w:val="18"/>
                      </w:rPr>
                    </w:pPr>
                  </w:p>
                </w:tc>
                <w:tc>
                  <w:tcPr>
                    <w:tcW w:w="1687" w:type="dxa"/>
                  </w:tcPr>
                  <w:p w14:paraId="79C37CBF" w14:textId="77777777" w:rsidR="00830E72" w:rsidRDefault="008344D8">
                    <w:pPr>
                      <w:jc w:val="right"/>
                      <w:rPr>
                        <w:sz w:val="18"/>
                        <w:szCs w:val="18"/>
                      </w:rPr>
                    </w:pPr>
                    <w:r>
                      <w:rPr>
                        <w:sz w:val="18"/>
                        <w:szCs w:val="18"/>
                      </w:rPr>
                      <w:t>15,468,525.75</w:t>
                    </w:r>
                  </w:p>
                </w:tc>
              </w:tr>
              <w:tr w:rsidR="00830E72" w14:paraId="2EF86B71" w14:textId="77777777">
                <w:trPr>
                  <w:trHeight w:val="20"/>
                </w:trPr>
                <w:sdt>
                  <w:sdtPr>
                    <w:tag w:val="_PLD_adc6cb0ad3a14129b7edac5f396c8fd5"/>
                    <w:id w:val="1732501222"/>
                    <w:lock w:val="sdtLocked"/>
                  </w:sdtPr>
                  <w:sdtEndPr/>
                  <w:sdtContent>
                    <w:tc>
                      <w:tcPr>
                        <w:tcW w:w="1444" w:type="dxa"/>
                      </w:tcPr>
                      <w:p w14:paraId="172C99E2" w14:textId="77777777" w:rsidR="00830E72" w:rsidRDefault="008344D8">
                        <w:pPr>
                          <w:rPr>
                            <w:sz w:val="18"/>
                            <w:szCs w:val="18"/>
                          </w:rPr>
                        </w:pPr>
                        <w:r>
                          <w:rPr>
                            <w:rFonts w:hint="eastAsia"/>
                            <w:sz w:val="18"/>
                            <w:szCs w:val="18"/>
                          </w:rPr>
                          <w:t>（六）其他</w:t>
                        </w:r>
                      </w:p>
                    </w:tc>
                  </w:sdtContent>
                </w:sdt>
                <w:tc>
                  <w:tcPr>
                    <w:tcW w:w="1559" w:type="dxa"/>
                    <w:tcBorders>
                      <w:right w:val="single" w:sz="4" w:space="0" w:color="auto"/>
                    </w:tcBorders>
                  </w:tcPr>
                  <w:p w14:paraId="2518284D" w14:textId="77777777" w:rsidR="00830E72" w:rsidRDefault="00830E72">
                    <w:pPr>
                      <w:jc w:val="right"/>
                      <w:rPr>
                        <w:sz w:val="18"/>
                        <w:szCs w:val="18"/>
                      </w:rPr>
                    </w:pPr>
                  </w:p>
                </w:tc>
                <w:tc>
                  <w:tcPr>
                    <w:tcW w:w="567" w:type="dxa"/>
                    <w:tcBorders>
                      <w:left w:val="single" w:sz="4" w:space="0" w:color="auto"/>
                      <w:right w:val="single" w:sz="4" w:space="0" w:color="auto"/>
                    </w:tcBorders>
                  </w:tcPr>
                  <w:p w14:paraId="2ACEEA77" w14:textId="77777777" w:rsidR="00830E72" w:rsidRDefault="00830E72">
                    <w:pPr>
                      <w:jc w:val="right"/>
                      <w:rPr>
                        <w:sz w:val="18"/>
                        <w:szCs w:val="18"/>
                      </w:rPr>
                    </w:pPr>
                  </w:p>
                </w:tc>
                <w:tc>
                  <w:tcPr>
                    <w:tcW w:w="567" w:type="dxa"/>
                    <w:tcBorders>
                      <w:left w:val="single" w:sz="4" w:space="0" w:color="auto"/>
                      <w:right w:val="single" w:sz="4" w:space="0" w:color="auto"/>
                    </w:tcBorders>
                  </w:tcPr>
                  <w:p w14:paraId="5F059E90" w14:textId="77777777" w:rsidR="00830E72" w:rsidRDefault="00830E72">
                    <w:pPr>
                      <w:jc w:val="right"/>
                      <w:rPr>
                        <w:sz w:val="18"/>
                        <w:szCs w:val="18"/>
                      </w:rPr>
                    </w:pPr>
                  </w:p>
                </w:tc>
                <w:tc>
                  <w:tcPr>
                    <w:tcW w:w="425" w:type="dxa"/>
                    <w:tcBorders>
                      <w:left w:val="single" w:sz="4" w:space="0" w:color="auto"/>
                    </w:tcBorders>
                  </w:tcPr>
                  <w:p w14:paraId="75A0D127" w14:textId="77777777" w:rsidR="00830E72" w:rsidRDefault="00830E72">
                    <w:pPr>
                      <w:jc w:val="right"/>
                      <w:rPr>
                        <w:sz w:val="18"/>
                        <w:szCs w:val="18"/>
                      </w:rPr>
                    </w:pPr>
                  </w:p>
                </w:tc>
                <w:tc>
                  <w:tcPr>
                    <w:tcW w:w="1559" w:type="dxa"/>
                  </w:tcPr>
                  <w:p w14:paraId="3584B304" w14:textId="77777777" w:rsidR="00830E72" w:rsidRDefault="00830E72">
                    <w:pPr>
                      <w:jc w:val="right"/>
                      <w:rPr>
                        <w:sz w:val="18"/>
                        <w:szCs w:val="18"/>
                      </w:rPr>
                    </w:pPr>
                  </w:p>
                </w:tc>
                <w:tc>
                  <w:tcPr>
                    <w:tcW w:w="567" w:type="dxa"/>
                  </w:tcPr>
                  <w:p w14:paraId="3ED45F05" w14:textId="77777777" w:rsidR="00830E72" w:rsidRDefault="00830E72">
                    <w:pPr>
                      <w:jc w:val="right"/>
                      <w:rPr>
                        <w:sz w:val="18"/>
                        <w:szCs w:val="18"/>
                      </w:rPr>
                    </w:pPr>
                  </w:p>
                </w:tc>
                <w:tc>
                  <w:tcPr>
                    <w:tcW w:w="709" w:type="dxa"/>
                  </w:tcPr>
                  <w:p w14:paraId="744E0FFD" w14:textId="77777777" w:rsidR="00830E72" w:rsidRDefault="00830E72">
                    <w:pPr>
                      <w:jc w:val="right"/>
                      <w:rPr>
                        <w:sz w:val="18"/>
                        <w:szCs w:val="18"/>
                      </w:rPr>
                    </w:pPr>
                  </w:p>
                </w:tc>
                <w:tc>
                  <w:tcPr>
                    <w:tcW w:w="1559" w:type="dxa"/>
                  </w:tcPr>
                  <w:p w14:paraId="71C8608E" w14:textId="77777777" w:rsidR="00830E72" w:rsidRDefault="00830E72">
                    <w:pPr>
                      <w:jc w:val="right"/>
                      <w:rPr>
                        <w:sz w:val="18"/>
                        <w:szCs w:val="18"/>
                      </w:rPr>
                    </w:pPr>
                  </w:p>
                </w:tc>
                <w:tc>
                  <w:tcPr>
                    <w:tcW w:w="1418" w:type="dxa"/>
                  </w:tcPr>
                  <w:p w14:paraId="2F2D2D56" w14:textId="77777777" w:rsidR="00830E72" w:rsidRDefault="00830E72">
                    <w:pPr>
                      <w:jc w:val="right"/>
                      <w:rPr>
                        <w:sz w:val="18"/>
                        <w:szCs w:val="18"/>
                      </w:rPr>
                    </w:pPr>
                  </w:p>
                </w:tc>
                <w:tc>
                  <w:tcPr>
                    <w:tcW w:w="1843" w:type="dxa"/>
                  </w:tcPr>
                  <w:p w14:paraId="7330F88F" w14:textId="77777777" w:rsidR="00830E72" w:rsidRDefault="00830E72">
                    <w:pPr>
                      <w:jc w:val="right"/>
                      <w:rPr>
                        <w:sz w:val="18"/>
                        <w:szCs w:val="18"/>
                      </w:rPr>
                    </w:pPr>
                  </w:p>
                </w:tc>
                <w:tc>
                  <w:tcPr>
                    <w:tcW w:w="1687" w:type="dxa"/>
                  </w:tcPr>
                  <w:p w14:paraId="38BC6842" w14:textId="77777777" w:rsidR="00830E72" w:rsidRDefault="00830E72">
                    <w:pPr>
                      <w:jc w:val="right"/>
                      <w:rPr>
                        <w:sz w:val="18"/>
                        <w:szCs w:val="18"/>
                      </w:rPr>
                    </w:pPr>
                  </w:p>
                </w:tc>
              </w:tr>
              <w:tr w:rsidR="00830E72" w14:paraId="1AF76AD0" w14:textId="77777777">
                <w:trPr>
                  <w:trHeight w:val="20"/>
                </w:trPr>
                <w:sdt>
                  <w:sdtPr>
                    <w:tag w:val="_PLD_0009c8b4e5ca4d7083f8b2619f6a4584"/>
                    <w:id w:val="834651481"/>
                    <w:lock w:val="sdtLocked"/>
                  </w:sdtPr>
                  <w:sdtEndPr/>
                  <w:sdtContent>
                    <w:tc>
                      <w:tcPr>
                        <w:tcW w:w="1444" w:type="dxa"/>
                      </w:tcPr>
                      <w:p w14:paraId="0B3EA220" w14:textId="77777777" w:rsidR="00830E72" w:rsidRDefault="008344D8">
                        <w:pPr>
                          <w:rPr>
                            <w:sz w:val="18"/>
                            <w:szCs w:val="18"/>
                          </w:rPr>
                        </w:pPr>
                        <w:r>
                          <w:rPr>
                            <w:sz w:val="18"/>
                            <w:szCs w:val="18"/>
                          </w:rPr>
                          <w:t>四、本期期末余额</w:t>
                        </w:r>
                      </w:p>
                    </w:tc>
                  </w:sdtContent>
                </w:sdt>
                <w:tc>
                  <w:tcPr>
                    <w:tcW w:w="1559" w:type="dxa"/>
                    <w:tcBorders>
                      <w:right w:val="single" w:sz="4" w:space="0" w:color="auto"/>
                    </w:tcBorders>
                  </w:tcPr>
                  <w:p w14:paraId="7CDE5174" w14:textId="77777777" w:rsidR="00830E72" w:rsidRDefault="008344D8">
                    <w:pPr>
                      <w:jc w:val="right"/>
                      <w:rPr>
                        <w:sz w:val="18"/>
                        <w:szCs w:val="18"/>
                      </w:rPr>
                    </w:pPr>
                    <w:r>
                      <w:rPr>
                        <w:sz w:val="18"/>
                        <w:szCs w:val="18"/>
                      </w:rPr>
                      <w:t>499,000,000.00</w:t>
                    </w:r>
                  </w:p>
                </w:tc>
                <w:tc>
                  <w:tcPr>
                    <w:tcW w:w="567" w:type="dxa"/>
                    <w:tcBorders>
                      <w:left w:val="single" w:sz="4" w:space="0" w:color="auto"/>
                      <w:right w:val="single" w:sz="4" w:space="0" w:color="auto"/>
                    </w:tcBorders>
                  </w:tcPr>
                  <w:p w14:paraId="77E7D94E" w14:textId="77777777" w:rsidR="00830E72" w:rsidRDefault="00830E72">
                    <w:pPr>
                      <w:jc w:val="right"/>
                      <w:rPr>
                        <w:sz w:val="18"/>
                        <w:szCs w:val="18"/>
                      </w:rPr>
                    </w:pPr>
                  </w:p>
                </w:tc>
                <w:tc>
                  <w:tcPr>
                    <w:tcW w:w="567" w:type="dxa"/>
                    <w:tcBorders>
                      <w:left w:val="single" w:sz="4" w:space="0" w:color="auto"/>
                      <w:right w:val="single" w:sz="4" w:space="0" w:color="auto"/>
                    </w:tcBorders>
                  </w:tcPr>
                  <w:p w14:paraId="14888371" w14:textId="77777777" w:rsidR="00830E72" w:rsidRDefault="00830E72">
                    <w:pPr>
                      <w:jc w:val="right"/>
                      <w:rPr>
                        <w:sz w:val="18"/>
                        <w:szCs w:val="18"/>
                      </w:rPr>
                    </w:pPr>
                  </w:p>
                </w:tc>
                <w:tc>
                  <w:tcPr>
                    <w:tcW w:w="425" w:type="dxa"/>
                    <w:tcBorders>
                      <w:left w:val="single" w:sz="4" w:space="0" w:color="auto"/>
                    </w:tcBorders>
                  </w:tcPr>
                  <w:p w14:paraId="54275480" w14:textId="77777777" w:rsidR="00830E72" w:rsidRDefault="00830E72">
                    <w:pPr>
                      <w:jc w:val="right"/>
                      <w:rPr>
                        <w:sz w:val="18"/>
                        <w:szCs w:val="18"/>
                      </w:rPr>
                    </w:pPr>
                  </w:p>
                </w:tc>
                <w:tc>
                  <w:tcPr>
                    <w:tcW w:w="1559" w:type="dxa"/>
                  </w:tcPr>
                  <w:p w14:paraId="03E19329" w14:textId="77777777" w:rsidR="00830E72" w:rsidRDefault="008344D8">
                    <w:pPr>
                      <w:jc w:val="right"/>
                      <w:rPr>
                        <w:sz w:val="18"/>
                        <w:szCs w:val="18"/>
                      </w:rPr>
                    </w:pPr>
                    <w:r>
                      <w:rPr>
                        <w:sz w:val="18"/>
                        <w:szCs w:val="18"/>
                      </w:rPr>
                      <w:t>209,265,618.44</w:t>
                    </w:r>
                  </w:p>
                </w:tc>
                <w:tc>
                  <w:tcPr>
                    <w:tcW w:w="567" w:type="dxa"/>
                  </w:tcPr>
                  <w:p w14:paraId="7FD74B81" w14:textId="77777777" w:rsidR="00830E72" w:rsidRDefault="00830E72">
                    <w:pPr>
                      <w:jc w:val="right"/>
                      <w:rPr>
                        <w:sz w:val="18"/>
                        <w:szCs w:val="18"/>
                      </w:rPr>
                    </w:pPr>
                  </w:p>
                </w:tc>
                <w:tc>
                  <w:tcPr>
                    <w:tcW w:w="709" w:type="dxa"/>
                  </w:tcPr>
                  <w:p w14:paraId="01789C3D" w14:textId="77777777" w:rsidR="00830E72" w:rsidRDefault="00830E72">
                    <w:pPr>
                      <w:jc w:val="right"/>
                      <w:rPr>
                        <w:sz w:val="18"/>
                        <w:szCs w:val="18"/>
                      </w:rPr>
                    </w:pPr>
                  </w:p>
                </w:tc>
                <w:tc>
                  <w:tcPr>
                    <w:tcW w:w="1559" w:type="dxa"/>
                  </w:tcPr>
                  <w:p w14:paraId="0B0E73C1" w14:textId="77777777" w:rsidR="00830E72" w:rsidRDefault="008344D8">
                    <w:pPr>
                      <w:jc w:val="right"/>
                      <w:rPr>
                        <w:sz w:val="18"/>
                        <w:szCs w:val="18"/>
                      </w:rPr>
                    </w:pPr>
                    <w:r>
                      <w:rPr>
                        <w:sz w:val="18"/>
                        <w:szCs w:val="18"/>
                      </w:rPr>
                      <w:t>18,679,169.77</w:t>
                    </w:r>
                  </w:p>
                  <w:p w14:paraId="447B714E" w14:textId="77777777" w:rsidR="00830E72" w:rsidRDefault="008344D8">
                    <w:pPr>
                      <w:tabs>
                        <w:tab w:val="left" w:pos="543"/>
                      </w:tabs>
                      <w:rPr>
                        <w:sz w:val="18"/>
                        <w:szCs w:val="18"/>
                      </w:rPr>
                    </w:pPr>
                    <w:r>
                      <w:rPr>
                        <w:sz w:val="18"/>
                        <w:szCs w:val="18"/>
                      </w:rPr>
                      <w:tab/>
                    </w:r>
                  </w:p>
                </w:tc>
                <w:tc>
                  <w:tcPr>
                    <w:tcW w:w="1418" w:type="dxa"/>
                  </w:tcPr>
                  <w:p w14:paraId="4EB69989" w14:textId="195388C2" w:rsidR="00830E72" w:rsidRDefault="000B67FF">
                    <w:pPr>
                      <w:jc w:val="right"/>
                      <w:rPr>
                        <w:sz w:val="18"/>
                        <w:szCs w:val="18"/>
                      </w:rPr>
                    </w:pPr>
                    <w:r>
                      <w:rPr>
                        <w:sz w:val="18"/>
                        <w:szCs w:val="18"/>
                      </w:rPr>
                      <w:t>35,557,650.61</w:t>
                    </w:r>
                  </w:p>
                </w:tc>
                <w:tc>
                  <w:tcPr>
                    <w:tcW w:w="1843" w:type="dxa"/>
                  </w:tcPr>
                  <w:p w14:paraId="4E2CF6FC" w14:textId="1520EEF5" w:rsidR="00830E72" w:rsidRDefault="000B67FF">
                    <w:pPr>
                      <w:jc w:val="right"/>
                      <w:rPr>
                        <w:sz w:val="18"/>
                        <w:szCs w:val="18"/>
                      </w:rPr>
                    </w:pPr>
                    <w:r>
                      <w:rPr>
                        <w:sz w:val="18"/>
                        <w:szCs w:val="18"/>
                      </w:rPr>
                      <w:t>273,580,125.17</w:t>
                    </w:r>
                  </w:p>
                </w:tc>
                <w:tc>
                  <w:tcPr>
                    <w:tcW w:w="1687" w:type="dxa"/>
                  </w:tcPr>
                  <w:p w14:paraId="2E0BEFB3" w14:textId="77777777" w:rsidR="00830E72" w:rsidRDefault="008344D8">
                    <w:pPr>
                      <w:jc w:val="right"/>
                      <w:rPr>
                        <w:sz w:val="18"/>
                        <w:szCs w:val="18"/>
                      </w:rPr>
                    </w:pPr>
                    <w:r>
                      <w:rPr>
                        <w:sz w:val="18"/>
                        <w:szCs w:val="18"/>
                      </w:rPr>
                      <w:t>1,036,082,563.99</w:t>
                    </w:r>
                  </w:p>
                </w:tc>
              </w:tr>
            </w:tbl>
            <w:p w14:paraId="20C97DAA" w14:textId="77777777" w:rsidR="00830E72" w:rsidRDefault="00830E72"/>
            <w:p w14:paraId="6CE69CE6" w14:textId="77777777" w:rsidR="00830E72" w:rsidRDefault="00830E72"/>
            <w:p w14:paraId="661E21F5" w14:textId="77777777" w:rsidR="00830E72" w:rsidRDefault="008344D8">
              <w:pPr>
                <w:snapToGrid w:val="0"/>
                <w:spacing w:line="240" w:lineRule="atLeast"/>
                <w:rPr>
                  <w:b/>
                  <w:bCs/>
                  <w:color w:val="FF0000"/>
                  <w:szCs w:val="21"/>
                </w:rPr>
              </w:pPr>
              <w:r>
                <w:rPr>
                  <w:szCs w:val="21"/>
                </w:rPr>
                <w:t>公司负责人</w:t>
              </w:r>
              <w:r>
                <w:rPr>
                  <w:rFonts w:hint="eastAsia"/>
                  <w:szCs w:val="21"/>
                </w:rPr>
                <w:t>：</w:t>
              </w:r>
              <w:sdt>
                <w:sdtPr>
                  <w:rPr>
                    <w:rFonts w:hint="eastAsia"/>
                    <w:szCs w:val="21"/>
                  </w:rPr>
                  <w:alias w:val="公司负责人"/>
                  <w:tag w:val="_GBC_6042a2c12168484781348969a4da3e4c"/>
                  <w:id w:val="1382295496"/>
                  <w:lock w:val="sdtLocked"/>
                  <w:placeholder>
                    <w:docPart w:val="GBC22222222222222222222222222222"/>
                  </w:placeholder>
                  <w:text/>
                </w:sdtPr>
                <w:sdtEndPr/>
                <w:sdtContent>
                  <w:r>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867258171"/>
                  <w:lock w:val="sdtLocked"/>
                  <w:placeholder>
                    <w:docPart w:val="GBC22222222222222222222222222222"/>
                  </w:placeholder>
                  <w:text/>
                </w:sdtPr>
                <w:sdtEndPr/>
                <w:sdtContent>
                  <w:r>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794723540"/>
                  <w:lock w:val="sdtLocked"/>
                  <w:placeholder>
                    <w:docPart w:val="GBC22222222222222222222222222222"/>
                  </w:placeholder>
                  <w:text/>
                </w:sdtPr>
                <w:sdtEndPr/>
                <w:sdtContent>
                  <w:r>
                    <w:rPr>
                      <w:rFonts w:hint="eastAsia"/>
                      <w:szCs w:val="21"/>
                    </w:rPr>
                    <w:t>王国鑫</w:t>
                  </w:r>
                </w:sdtContent>
              </w:sdt>
            </w:p>
          </w:sdtContent>
        </w:sdt>
        <w:p w14:paraId="2D099E54" w14:textId="77777777" w:rsidR="00830E72" w:rsidRDefault="00D44830">
          <w:pPr>
            <w:rPr>
              <w:color w:val="FF0000"/>
            </w:rPr>
          </w:pPr>
        </w:p>
      </w:sdtContent>
    </w:sdt>
    <w:bookmarkEnd w:id="70"/>
    <w:p w14:paraId="650BCCB0" w14:textId="77777777" w:rsidR="00830E72" w:rsidRDefault="00830E72">
      <w:pPr>
        <w:snapToGrid w:val="0"/>
        <w:spacing w:line="240" w:lineRule="atLeast"/>
        <w:rPr>
          <w:szCs w:val="21"/>
        </w:rPr>
        <w:sectPr w:rsidR="00830E72">
          <w:pgSz w:w="16838" w:h="11906" w:orient="landscape"/>
          <w:pgMar w:top="1797" w:right="1525" w:bottom="1276" w:left="1440" w:header="851" w:footer="992" w:gutter="0"/>
          <w:cols w:space="425"/>
          <w:docGrid w:linePitch="312"/>
        </w:sectPr>
      </w:pPr>
    </w:p>
    <w:sdt>
      <w:sdtPr>
        <w:rPr>
          <w:rFonts w:ascii="宋体" w:hAnsi="宋体" w:cs="宋体"/>
          <w:b w:val="0"/>
          <w:bCs w:val="0"/>
          <w:kern w:val="0"/>
          <w:szCs w:val="24"/>
        </w:rPr>
        <w:alias w:val="模块:公司基本情况"/>
        <w:tag w:val="_GBC_c49d72d4b04e4ead97addb731e9b6458"/>
        <w:id w:val="-774404089"/>
        <w:lock w:val="sdtLocked"/>
        <w:placeholder>
          <w:docPart w:val="GBC22222222222222222222222222222"/>
        </w:placeholder>
      </w:sdtPr>
      <w:sdtEndPr>
        <w:rPr>
          <w:rFonts w:cs="Times New Roman" w:hint="eastAsia"/>
          <w:kern w:val="2"/>
        </w:rPr>
      </w:sdtEndPr>
      <w:sdtContent>
        <w:p w14:paraId="10B8636B" w14:textId="77777777" w:rsidR="00830E72" w:rsidRDefault="008344D8">
          <w:pPr>
            <w:pStyle w:val="2CharCharChar"/>
            <w:numPr>
              <w:ilvl w:val="0"/>
              <w:numId w:val="32"/>
            </w:numPr>
            <w:ind w:left="420" w:hanging="420"/>
            <w:rPr>
              <w:rFonts w:ascii="宋体" w:hAnsi="宋体"/>
            </w:rPr>
          </w:pPr>
          <w:r>
            <w:rPr>
              <w:rFonts w:ascii="宋体" w:hAnsi="宋体"/>
            </w:rPr>
            <w:t>公司基本情况</w:t>
          </w:r>
        </w:p>
        <w:p w14:paraId="0CCAAD6E" w14:textId="77777777" w:rsidR="00830E72" w:rsidRDefault="008344D8">
          <w:pPr>
            <w:pStyle w:val="Style99"/>
            <w:numPr>
              <w:ilvl w:val="0"/>
              <w:numId w:val="33"/>
            </w:numPr>
            <w:rPr>
              <w:rFonts w:ascii="宋体" w:hAnsi="宋体"/>
            </w:rPr>
          </w:pPr>
          <w:r>
            <w:rPr>
              <w:rFonts w:ascii="宋体" w:hAnsi="宋体" w:hint="eastAsia"/>
            </w:rPr>
            <w:t>公司概况</w:t>
          </w:r>
        </w:p>
        <w:sdt>
          <w:sdtPr>
            <w:alias w:val="是否适用：公司概况[双击切换]"/>
            <w:tag w:val="_GBC_2e5fe5b3ed964f468989da49e4242039"/>
            <w:id w:val="838358914"/>
            <w:lock w:val="sdtLocked"/>
            <w:placeholder>
              <w:docPart w:val="GBC22222222222222222222222222222"/>
            </w:placeholder>
          </w:sdtPr>
          <w:sdtEndPr/>
          <w:sdtContent>
            <w:p w14:paraId="566C1938"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公司概况"/>
            <w:tag w:val="_GBC_dfec127af3a7441dade8cb0f67119e66"/>
            <w:id w:val="-30189399"/>
            <w:lock w:val="sdtLocked"/>
            <w:placeholder>
              <w:docPart w:val="GBC22222222222222222222222222222"/>
            </w:placeholder>
          </w:sdtPr>
          <w:sdtEndPr/>
          <w:sdtContent>
            <w:p w14:paraId="0C106565" w14:textId="77777777" w:rsidR="00830E72" w:rsidRDefault="008344D8">
              <w:pPr>
                <w:ind w:firstLineChars="200" w:firstLine="420"/>
                <w:rPr>
                  <w:szCs w:val="21"/>
                </w:rPr>
              </w:pPr>
              <w:r>
                <w:rPr>
                  <w:rFonts w:hint="eastAsia"/>
                  <w:szCs w:val="21"/>
                </w:rPr>
                <w:t>安徽省交通建设股份有限公司是由安徽省交通建设有限责任公司整体变更设立的股份公司，安徽省交通建设有限责任公司（以下简称“交建有限”）系由安徽省公路工程总公司于</w:t>
              </w:r>
              <w:r>
                <w:rPr>
                  <w:szCs w:val="21"/>
                </w:rPr>
                <w:t>2004年4月经安徽省省属企业国有资产管理办公室批复（皖资函【2003】65号）改制成立，注册资本为6,486.07万元。</w:t>
              </w:r>
            </w:p>
            <w:p w14:paraId="6C0E8451" w14:textId="77777777" w:rsidR="00830E72" w:rsidRDefault="008344D8">
              <w:pPr>
                <w:ind w:firstLineChars="200" w:firstLine="420"/>
                <w:rPr>
                  <w:szCs w:val="21"/>
                </w:rPr>
              </w:pPr>
              <w:r>
                <w:rPr>
                  <w:szCs w:val="21"/>
                </w:rPr>
                <w:t>2016年11月14日，交通有限全体股东审议通过《关于安徽省交通建设有限责任公司整体变更为股份有限公司的议案》，决定以2016年9月30日经审计扣除专项储备后的净资产整体变更为股份有限公司，变更后公司股本为44,910.00万元，整体变更后的注册资本业经华普天健会计师事务所（特殊普通合伙）审验，并于2016年11月29日出具了会验字【2016】5108号《验资报告》；同时公司名称变更为安徽省交通建设股份有限公司。</w:t>
              </w:r>
            </w:p>
            <w:p w14:paraId="03F71336" w14:textId="77777777" w:rsidR="00830E72" w:rsidRDefault="008344D8">
              <w:pPr>
                <w:ind w:firstLineChars="200" w:firstLine="420"/>
                <w:rPr>
                  <w:szCs w:val="21"/>
                </w:rPr>
              </w:pPr>
              <w:r>
                <w:rPr>
                  <w:szCs w:val="21"/>
                </w:rPr>
                <w:t>2019年10月，经中国证券监督管理委员会《关于核准安徽省交通建设股份有限公司首次公开发行股票的批复》（证监许可[2019]1555号）文件核准，同意交建股份向社会公众公开发行股票人民币普通股4,990万股，并于2019年10月21日在上海证券交易所上市。本次公开发行股票后，公司股本总数由44,910万股增加至49,900万股，公司注册资本由人民币44,910万元变更为人民币49,900万元。容诚会计师事务所（特殊普通合伙）于2019年10月16日对公司本次公开发行新股的资金到位情况进行了审验，并出具了会验</w:t>
              </w:r>
              <w:r>
                <w:rPr>
                  <w:rFonts w:hint="eastAsia"/>
                  <w:szCs w:val="21"/>
                </w:rPr>
                <w:t>字</w:t>
              </w:r>
              <w:r>
                <w:rPr>
                  <w:szCs w:val="21"/>
                </w:rPr>
                <w:t>[2019]7676号《验资报告》。</w:t>
              </w:r>
            </w:p>
            <w:p w14:paraId="38A8B4CB" w14:textId="77777777" w:rsidR="00830E72" w:rsidRDefault="008344D8">
              <w:pPr>
                <w:ind w:firstLineChars="200" w:firstLine="420"/>
                <w:rPr>
                  <w:szCs w:val="21"/>
                </w:rPr>
              </w:pPr>
              <w:r>
                <w:rPr>
                  <w:rFonts w:hint="eastAsia"/>
                  <w:szCs w:val="21"/>
                </w:rPr>
                <w:t>经中国证券监督管理委员会《关于核准安徽省交通建设股份有限公司非公开发行股票的批复》（证监许可〔</w:t>
              </w:r>
              <w:r>
                <w:rPr>
                  <w:szCs w:val="21"/>
                </w:rPr>
                <w:t>2021〕18号）核准，公司非公开发行股票数量119,924,235股，发行后公司总股本为618,924,235股。本次发行新增股份已于2021年7月5日在中国证券登记结算有限责任公司上海分公司办理完毕登记托管相关事宜。</w:t>
              </w:r>
            </w:p>
            <w:p w14:paraId="3B2C8FBC" w14:textId="77777777" w:rsidR="00830E72" w:rsidRDefault="008344D8">
              <w:pPr>
                <w:ind w:firstLineChars="200" w:firstLine="420"/>
                <w:rPr>
                  <w:szCs w:val="21"/>
                </w:rPr>
              </w:pPr>
              <w:r>
                <w:rPr>
                  <w:rFonts w:hint="eastAsia"/>
                  <w:szCs w:val="21"/>
                </w:rPr>
                <w:t>法定代表人：吴小辉</w:t>
              </w:r>
              <w:r>
                <w:rPr>
                  <w:szCs w:val="21"/>
                </w:rPr>
                <w:tab/>
              </w:r>
            </w:p>
            <w:p w14:paraId="3792FDC8" w14:textId="77777777" w:rsidR="00830E72" w:rsidRDefault="008344D8">
              <w:pPr>
                <w:ind w:firstLineChars="200" w:firstLine="420"/>
                <w:rPr>
                  <w:szCs w:val="21"/>
                </w:rPr>
              </w:pPr>
              <w:r>
                <w:rPr>
                  <w:rFonts w:hint="eastAsia"/>
                  <w:szCs w:val="21"/>
                </w:rPr>
                <w:t>注册资本：</w:t>
              </w:r>
              <w:r>
                <w:rPr>
                  <w:szCs w:val="21"/>
                </w:rPr>
                <w:t>618,924,235.00元</w:t>
              </w:r>
            </w:p>
            <w:p w14:paraId="1D1EBD5F" w14:textId="77777777" w:rsidR="00830E72" w:rsidRDefault="008344D8">
              <w:pPr>
                <w:ind w:firstLineChars="200" w:firstLine="420"/>
                <w:rPr>
                  <w:szCs w:val="21"/>
                </w:rPr>
              </w:pPr>
              <w:r>
                <w:rPr>
                  <w:rFonts w:hint="eastAsia"/>
                  <w:szCs w:val="21"/>
                </w:rPr>
                <w:t>注册地址：安徽省合肥市庐阳区濉溪路</w:t>
              </w:r>
              <w:r>
                <w:rPr>
                  <w:szCs w:val="21"/>
                </w:rPr>
                <w:t>310号</w:t>
              </w:r>
            </w:p>
            <w:p w14:paraId="3F53A593" w14:textId="77777777" w:rsidR="00830E72" w:rsidRDefault="008344D8">
              <w:pPr>
                <w:ind w:firstLineChars="200" w:firstLine="420"/>
                <w:rPr>
                  <w:szCs w:val="21"/>
                </w:rPr>
              </w:pPr>
              <w:r>
                <w:rPr>
                  <w:rFonts w:hint="eastAsia"/>
                  <w:szCs w:val="21"/>
                </w:rPr>
                <w:t>经营范围：公路、桥梁工程施工</w:t>
              </w:r>
              <w:r>
                <w:rPr>
                  <w:szCs w:val="21"/>
                </w:rPr>
                <w:t>,公路养护工程、机场设施施工,道路、桥梁护栏安装,市政公用工程、水利水电工程、隧道工程、港口与航道工程,生态环境治理,工程机械、房屋租赁。（以上依法须经批准的项目经相关部门批准之后方可开展经营活动）。</w:t>
              </w:r>
            </w:p>
          </w:sdtContent>
        </w:sdt>
        <w:p w14:paraId="0703DDDC" w14:textId="77777777" w:rsidR="00830E72" w:rsidRDefault="00830E72">
          <w:pPr>
            <w:rPr>
              <w:szCs w:val="21"/>
            </w:rPr>
          </w:pPr>
        </w:p>
        <w:p w14:paraId="3A62F227" w14:textId="77777777" w:rsidR="00830E72" w:rsidRDefault="008344D8">
          <w:pPr>
            <w:pStyle w:val="Style99"/>
            <w:numPr>
              <w:ilvl w:val="0"/>
              <w:numId w:val="33"/>
            </w:numPr>
            <w:rPr>
              <w:rFonts w:ascii="宋体" w:hAnsi="宋体"/>
              <w:szCs w:val="21"/>
            </w:rPr>
          </w:pPr>
          <w:r>
            <w:rPr>
              <w:rFonts w:ascii="宋体" w:hAnsi="宋体" w:hint="eastAsia"/>
              <w:szCs w:val="21"/>
            </w:rPr>
            <w:t>合并财务</w:t>
          </w:r>
          <w:r>
            <w:rPr>
              <w:rFonts w:ascii="宋体" w:hAnsi="宋体" w:hint="eastAsia"/>
            </w:rPr>
            <w:t>报表</w:t>
          </w:r>
          <w:r>
            <w:rPr>
              <w:rFonts w:ascii="宋体" w:hAnsi="宋体" w:hint="eastAsia"/>
              <w:szCs w:val="21"/>
            </w:rPr>
            <w:t>范围</w:t>
          </w:r>
        </w:p>
        <w:sdt>
          <w:sdtPr>
            <w:alias w:val="是否适用：合并财务报表范围[双击切换]"/>
            <w:tag w:val="_GBC_ea2f3ec3b347465c8c563d4599124150"/>
            <w:id w:val="-1828981419"/>
            <w:lock w:val="sdtLocked"/>
            <w:placeholder>
              <w:docPart w:val="GBC22222222222222222222222222222"/>
            </w:placeholder>
          </w:sdtPr>
          <w:sdtEndPr/>
          <w:sdtContent>
            <w:p w14:paraId="00F0829C"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本年度合并财务报表范围"/>
            <w:tag w:val="_GBC_696c121eead146fba6371fa5b371b2fc"/>
            <w:id w:val="1043944468"/>
            <w:lock w:val="sdtLocked"/>
            <w:placeholder>
              <w:docPart w:val="GBC22222222222222222222222222222"/>
            </w:placeholder>
          </w:sdtPr>
          <w:sdtEndPr/>
          <w:sdtContent>
            <w:p w14:paraId="25CF563E" w14:textId="77777777" w:rsidR="00830E72" w:rsidRDefault="00830E72">
              <w:pPr>
                <w:rPr>
                  <w:szCs w:val="21"/>
                </w:rPr>
              </w:pPr>
            </w:p>
            <w:tbl>
              <w:tblPr>
                <w:tblStyle w:val="g2"/>
                <w:tblW w:w="0" w:type="auto"/>
                <w:tblLook w:val="04A0" w:firstRow="1" w:lastRow="0" w:firstColumn="1" w:lastColumn="0" w:noHBand="0" w:noVBand="1"/>
              </w:tblPr>
              <w:tblGrid>
                <w:gridCol w:w="959"/>
                <w:gridCol w:w="3827"/>
                <w:gridCol w:w="1559"/>
                <w:gridCol w:w="1560"/>
                <w:gridCol w:w="1144"/>
              </w:tblGrid>
              <w:tr w:rsidR="00830E72" w14:paraId="24E58735" w14:textId="77777777">
                <w:tc>
                  <w:tcPr>
                    <w:tcW w:w="959" w:type="dxa"/>
                    <w:vMerge w:val="restart"/>
                    <w:vAlign w:val="center"/>
                  </w:tcPr>
                  <w:p w14:paraId="1E2C4B83" w14:textId="77777777" w:rsidR="00830E72" w:rsidRDefault="008344D8">
                    <w:pPr>
                      <w:jc w:val="center"/>
                      <w:rPr>
                        <w:szCs w:val="21"/>
                      </w:rPr>
                    </w:pPr>
                    <w:r>
                      <w:rPr>
                        <w:rFonts w:hint="eastAsia"/>
                        <w:szCs w:val="21"/>
                      </w:rPr>
                      <w:t>序号</w:t>
                    </w:r>
                  </w:p>
                </w:tc>
                <w:tc>
                  <w:tcPr>
                    <w:tcW w:w="3827" w:type="dxa"/>
                    <w:vMerge w:val="restart"/>
                    <w:vAlign w:val="center"/>
                  </w:tcPr>
                  <w:p w14:paraId="2459AE68" w14:textId="77777777" w:rsidR="00830E72" w:rsidRDefault="008344D8">
                    <w:pPr>
                      <w:jc w:val="center"/>
                      <w:rPr>
                        <w:szCs w:val="21"/>
                      </w:rPr>
                    </w:pPr>
                    <w:r>
                      <w:rPr>
                        <w:rFonts w:hint="eastAsia"/>
                        <w:szCs w:val="21"/>
                      </w:rPr>
                      <w:t>子公司全称</w:t>
                    </w:r>
                  </w:p>
                </w:tc>
                <w:tc>
                  <w:tcPr>
                    <w:tcW w:w="1559" w:type="dxa"/>
                    <w:vMerge w:val="restart"/>
                    <w:vAlign w:val="center"/>
                  </w:tcPr>
                  <w:p w14:paraId="1F848464" w14:textId="77777777" w:rsidR="00830E72" w:rsidRDefault="008344D8">
                    <w:pPr>
                      <w:jc w:val="center"/>
                      <w:rPr>
                        <w:szCs w:val="21"/>
                      </w:rPr>
                    </w:pPr>
                    <w:r>
                      <w:rPr>
                        <w:rFonts w:hint="eastAsia"/>
                        <w:szCs w:val="21"/>
                      </w:rPr>
                      <w:t>子公司简称</w:t>
                    </w:r>
                  </w:p>
                </w:tc>
                <w:tc>
                  <w:tcPr>
                    <w:tcW w:w="2704" w:type="dxa"/>
                    <w:gridSpan w:val="2"/>
                  </w:tcPr>
                  <w:p w14:paraId="39D7BFCA" w14:textId="77777777" w:rsidR="00830E72" w:rsidRDefault="008344D8">
                    <w:pPr>
                      <w:jc w:val="center"/>
                      <w:rPr>
                        <w:szCs w:val="21"/>
                      </w:rPr>
                    </w:pPr>
                    <w:r>
                      <w:rPr>
                        <w:rFonts w:hint="eastAsia"/>
                        <w:szCs w:val="21"/>
                      </w:rPr>
                      <w:t>持股比例%</w:t>
                    </w:r>
                  </w:p>
                </w:tc>
              </w:tr>
              <w:tr w:rsidR="00830E72" w14:paraId="2858D8A2" w14:textId="77777777">
                <w:tc>
                  <w:tcPr>
                    <w:tcW w:w="959" w:type="dxa"/>
                    <w:vMerge/>
                  </w:tcPr>
                  <w:p w14:paraId="1480BDBF" w14:textId="77777777" w:rsidR="00830E72" w:rsidRDefault="00830E72">
                    <w:pPr>
                      <w:jc w:val="center"/>
                      <w:rPr>
                        <w:szCs w:val="21"/>
                      </w:rPr>
                    </w:pPr>
                  </w:p>
                </w:tc>
                <w:tc>
                  <w:tcPr>
                    <w:tcW w:w="3827" w:type="dxa"/>
                    <w:vMerge/>
                  </w:tcPr>
                  <w:p w14:paraId="29FBF26C" w14:textId="77777777" w:rsidR="00830E72" w:rsidRDefault="00830E72">
                    <w:pPr>
                      <w:jc w:val="center"/>
                      <w:rPr>
                        <w:szCs w:val="21"/>
                      </w:rPr>
                    </w:pPr>
                  </w:p>
                </w:tc>
                <w:tc>
                  <w:tcPr>
                    <w:tcW w:w="1559" w:type="dxa"/>
                    <w:vMerge/>
                  </w:tcPr>
                  <w:p w14:paraId="418FEF41" w14:textId="77777777" w:rsidR="00830E72" w:rsidRDefault="00830E72">
                    <w:pPr>
                      <w:jc w:val="center"/>
                      <w:rPr>
                        <w:szCs w:val="21"/>
                      </w:rPr>
                    </w:pPr>
                  </w:p>
                </w:tc>
                <w:tc>
                  <w:tcPr>
                    <w:tcW w:w="1560" w:type="dxa"/>
                  </w:tcPr>
                  <w:p w14:paraId="49DA582B" w14:textId="77777777" w:rsidR="00830E72" w:rsidRDefault="008344D8">
                    <w:pPr>
                      <w:jc w:val="center"/>
                      <w:rPr>
                        <w:szCs w:val="21"/>
                      </w:rPr>
                    </w:pPr>
                    <w:r>
                      <w:rPr>
                        <w:rFonts w:hint="eastAsia"/>
                        <w:szCs w:val="21"/>
                      </w:rPr>
                      <w:t>直接</w:t>
                    </w:r>
                  </w:p>
                </w:tc>
                <w:tc>
                  <w:tcPr>
                    <w:tcW w:w="1144" w:type="dxa"/>
                  </w:tcPr>
                  <w:p w14:paraId="5875555E" w14:textId="77777777" w:rsidR="00830E72" w:rsidRDefault="008344D8">
                    <w:pPr>
                      <w:jc w:val="center"/>
                      <w:rPr>
                        <w:szCs w:val="21"/>
                      </w:rPr>
                    </w:pPr>
                    <w:r>
                      <w:rPr>
                        <w:rFonts w:hint="eastAsia"/>
                        <w:szCs w:val="21"/>
                      </w:rPr>
                      <w:t>间接</w:t>
                    </w:r>
                  </w:p>
                </w:tc>
              </w:tr>
              <w:tr w:rsidR="00830E72" w14:paraId="0354A0A8" w14:textId="77777777">
                <w:tc>
                  <w:tcPr>
                    <w:tcW w:w="959" w:type="dxa"/>
                  </w:tcPr>
                  <w:p w14:paraId="737B7E63" w14:textId="77777777" w:rsidR="00830E72" w:rsidRDefault="008344D8">
                    <w:pPr>
                      <w:jc w:val="center"/>
                      <w:rPr>
                        <w:szCs w:val="21"/>
                      </w:rPr>
                    </w:pPr>
                    <w:r>
                      <w:rPr>
                        <w:rFonts w:hint="eastAsia"/>
                        <w:szCs w:val="21"/>
                      </w:rPr>
                      <w:t>1</w:t>
                    </w:r>
                  </w:p>
                </w:tc>
                <w:tc>
                  <w:tcPr>
                    <w:tcW w:w="3827" w:type="dxa"/>
                  </w:tcPr>
                  <w:p w14:paraId="63AC9D5D" w14:textId="77777777" w:rsidR="00830E72" w:rsidRDefault="008344D8">
                    <w:pPr>
                      <w:jc w:val="center"/>
                      <w:rPr>
                        <w:szCs w:val="21"/>
                      </w:rPr>
                    </w:pPr>
                    <w:r>
                      <w:rPr>
                        <w:rFonts w:hint="eastAsia"/>
                        <w:szCs w:val="21"/>
                      </w:rPr>
                      <w:t>安徽交建兴源路面有限公司</w:t>
                    </w:r>
                  </w:p>
                </w:tc>
                <w:tc>
                  <w:tcPr>
                    <w:tcW w:w="1559" w:type="dxa"/>
                  </w:tcPr>
                  <w:p w14:paraId="701DED4C" w14:textId="77777777" w:rsidR="00830E72" w:rsidRDefault="008344D8">
                    <w:pPr>
                      <w:jc w:val="center"/>
                      <w:rPr>
                        <w:szCs w:val="21"/>
                      </w:rPr>
                    </w:pPr>
                    <w:r>
                      <w:rPr>
                        <w:rFonts w:hint="eastAsia"/>
                        <w:szCs w:val="21"/>
                      </w:rPr>
                      <w:t>兴源路面</w:t>
                    </w:r>
                  </w:p>
                </w:tc>
                <w:tc>
                  <w:tcPr>
                    <w:tcW w:w="1560" w:type="dxa"/>
                  </w:tcPr>
                  <w:p w14:paraId="472567C2" w14:textId="77777777" w:rsidR="00830E72" w:rsidRDefault="008344D8">
                    <w:pPr>
                      <w:jc w:val="center"/>
                      <w:rPr>
                        <w:szCs w:val="21"/>
                      </w:rPr>
                    </w:pPr>
                    <w:r>
                      <w:rPr>
                        <w:rFonts w:hint="eastAsia"/>
                        <w:szCs w:val="21"/>
                      </w:rPr>
                      <w:t>100</w:t>
                    </w:r>
                  </w:p>
                </w:tc>
                <w:tc>
                  <w:tcPr>
                    <w:tcW w:w="1144" w:type="dxa"/>
                  </w:tcPr>
                  <w:p w14:paraId="010A4DBB" w14:textId="77777777" w:rsidR="00830E72" w:rsidRDefault="00830E72">
                    <w:pPr>
                      <w:jc w:val="center"/>
                      <w:rPr>
                        <w:szCs w:val="21"/>
                      </w:rPr>
                    </w:pPr>
                  </w:p>
                </w:tc>
              </w:tr>
              <w:tr w:rsidR="00830E72" w14:paraId="00FADCC3" w14:textId="77777777">
                <w:tc>
                  <w:tcPr>
                    <w:tcW w:w="959" w:type="dxa"/>
                  </w:tcPr>
                  <w:p w14:paraId="60A3F677" w14:textId="77777777" w:rsidR="00830E72" w:rsidRDefault="008344D8">
                    <w:pPr>
                      <w:jc w:val="center"/>
                      <w:rPr>
                        <w:szCs w:val="21"/>
                      </w:rPr>
                    </w:pPr>
                    <w:r>
                      <w:rPr>
                        <w:rFonts w:hint="eastAsia"/>
                        <w:szCs w:val="21"/>
                      </w:rPr>
                      <w:t>2</w:t>
                    </w:r>
                  </w:p>
                </w:tc>
                <w:tc>
                  <w:tcPr>
                    <w:tcW w:w="3827" w:type="dxa"/>
                  </w:tcPr>
                  <w:p w14:paraId="0D3329BB" w14:textId="77777777" w:rsidR="00830E72" w:rsidRDefault="008344D8">
                    <w:pPr>
                      <w:jc w:val="center"/>
                      <w:rPr>
                        <w:szCs w:val="21"/>
                      </w:rPr>
                    </w:pPr>
                    <w:r>
                      <w:rPr>
                        <w:rFonts w:hint="eastAsia"/>
                        <w:szCs w:val="21"/>
                      </w:rPr>
                      <w:t>安徽省路通公路工程检测有限公司</w:t>
                    </w:r>
                  </w:p>
                </w:tc>
                <w:tc>
                  <w:tcPr>
                    <w:tcW w:w="1559" w:type="dxa"/>
                  </w:tcPr>
                  <w:p w14:paraId="7ED4A4C6" w14:textId="77777777" w:rsidR="00830E72" w:rsidRDefault="008344D8">
                    <w:pPr>
                      <w:jc w:val="center"/>
                      <w:rPr>
                        <w:szCs w:val="21"/>
                      </w:rPr>
                    </w:pPr>
                    <w:r>
                      <w:rPr>
                        <w:rFonts w:hint="eastAsia"/>
                        <w:szCs w:val="21"/>
                      </w:rPr>
                      <w:t>路通检测</w:t>
                    </w:r>
                  </w:p>
                </w:tc>
                <w:tc>
                  <w:tcPr>
                    <w:tcW w:w="1560" w:type="dxa"/>
                  </w:tcPr>
                  <w:p w14:paraId="3EC248D3" w14:textId="77777777" w:rsidR="00830E72" w:rsidRDefault="008344D8">
                    <w:pPr>
                      <w:jc w:val="center"/>
                      <w:rPr>
                        <w:szCs w:val="21"/>
                      </w:rPr>
                    </w:pPr>
                    <w:r>
                      <w:rPr>
                        <w:rFonts w:hint="eastAsia"/>
                        <w:szCs w:val="21"/>
                      </w:rPr>
                      <w:t>100</w:t>
                    </w:r>
                  </w:p>
                </w:tc>
                <w:tc>
                  <w:tcPr>
                    <w:tcW w:w="1144" w:type="dxa"/>
                  </w:tcPr>
                  <w:p w14:paraId="3E709B19" w14:textId="77777777" w:rsidR="00830E72" w:rsidRDefault="00830E72">
                    <w:pPr>
                      <w:jc w:val="center"/>
                      <w:rPr>
                        <w:szCs w:val="21"/>
                      </w:rPr>
                    </w:pPr>
                  </w:p>
                </w:tc>
              </w:tr>
              <w:tr w:rsidR="00830E72" w14:paraId="7CB0E358" w14:textId="77777777">
                <w:tc>
                  <w:tcPr>
                    <w:tcW w:w="959" w:type="dxa"/>
                  </w:tcPr>
                  <w:p w14:paraId="32F3CDAD" w14:textId="77777777" w:rsidR="00830E72" w:rsidRDefault="008344D8">
                    <w:pPr>
                      <w:jc w:val="center"/>
                      <w:rPr>
                        <w:szCs w:val="21"/>
                      </w:rPr>
                    </w:pPr>
                    <w:r>
                      <w:rPr>
                        <w:rFonts w:hint="eastAsia"/>
                        <w:szCs w:val="21"/>
                      </w:rPr>
                      <w:t>3</w:t>
                    </w:r>
                  </w:p>
                </w:tc>
                <w:tc>
                  <w:tcPr>
                    <w:tcW w:w="3827" w:type="dxa"/>
                  </w:tcPr>
                  <w:p w14:paraId="4E263F76" w14:textId="77777777" w:rsidR="00830E72" w:rsidRDefault="008344D8">
                    <w:pPr>
                      <w:jc w:val="center"/>
                      <w:rPr>
                        <w:szCs w:val="21"/>
                      </w:rPr>
                    </w:pPr>
                    <w:r>
                      <w:rPr>
                        <w:rFonts w:hint="eastAsia"/>
                        <w:szCs w:val="21"/>
                      </w:rPr>
                      <w:t>浙江交通勘察设计有限公司</w:t>
                    </w:r>
                  </w:p>
                </w:tc>
                <w:tc>
                  <w:tcPr>
                    <w:tcW w:w="1559" w:type="dxa"/>
                  </w:tcPr>
                  <w:p w14:paraId="2C5D8080" w14:textId="77777777" w:rsidR="00830E72" w:rsidRDefault="008344D8">
                    <w:pPr>
                      <w:jc w:val="center"/>
                      <w:rPr>
                        <w:szCs w:val="21"/>
                      </w:rPr>
                    </w:pPr>
                    <w:r>
                      <w:rPr>
                        <w:rFonts w:hint="eastAsia"/>
                        <w:szCs w:val="21"/>
                      </w:rPr>
                      <w:t>浙勘院</w:t>
                    </w:r>
                  </w:p>
                </w:tc>
                <w:tc>
                  <w:tcPr>
                    <w:tcW w:w="1560" w:type="dxa"/>
                  </w:tcPr>
                  <w:p w14:paraId="1A177C94" w14:textId="77777777" w:rsidR="00830E72" w:rsidRDefault="008344D8">
                    <w:pPr>
                      <w:jc w:val="center"/>
                      <w:rPr>
                        <w:szCs w:val="21"/>
                      </w:rPr>
                    </w:pPr>
                    <w:r>
                      <w:rPr>
                        <w:rFonts w:hint="eastAsia"/>
                        <w:szCs w:val="21"/>
                      </w:rPr>
                      <w:t>55</w:t>
                    </w:r>
                  </w:p>
                </w:tc>
                <w:tc>
                  <w:tcPr>
                    <w:tcW w:w="1144" w:type="dxa"/>
                  </w:tcPr>
                  <w:p w14:paraId="1212F796" w14:textId="77777777" w:rsidR="00830E72" w:rsidRDefault="00830E72">
                    <w:pPr>
                      <w:jc w:val="center"/>
                      <w:rPr>
                        <w:szCs w:val="21"/>
                      </w:rPr>
                    </w:pPr>
                  </w:p>
                </w:tc>
              </w:tr>
              <w:tr w:rsidR="00830E72" w14:paraId="36C7D440" w14:textId="77777777">
                <w:tc>
                  <w:tcPr>
                    <w:tcW w:w="959" w:type="dxa"/>
                  </w:tcPr>
                  <w:p w14:paraId="290EAD77" w14:textId="77777777" w:rsidR="00830E72" w:rsidRDefault="008344D8">
                    <w:pPr>
                      <w:jc w:val="center"/>
                      <w:rPr>
                        <w:szCs w:val="21"/>
                      </w:rPr>
                    </w:pPr>
                    <w:r>
                      <w:rPr>
                        <w:rFonts w:hint="eastAsia"/>
                        <w:szCs w:val="21"/>
                      </w:rPr>
                      <w:t>4</w:t>
                    </w:r>
                  </w:p>
                </w:tc>
                <w:tc>
                  <w:tcPr>
                    <w:tcW w:w="3827" w:type="dxa"/>
                  </w:tcPr>
                  <w:p w14:paraId="332189DE" w14:textId="77777777" w:rsidR="00830E72" w:rsidRDefault="008344D8">
                    <w:pPr>
                      <w:jc w:val="center"/>
                      <w:rPr>
                        <w:szCs w:val="21"/>
                      </w:rPr>
                    </w:pPr>
                    <w:r>
                      <w:rPr>
                        <w:rFonts w:hint="eastAsia"/>
                        <w:szCs w:val="21"/>
                      </w:rPr>
                      <w:t>亳州市祥居建设工程有限公司</w:t>
                    </w:r>
                  </w:p>
                </w:tc>
                <w:tc>
                  <w:tcPr>
                    <w:tcW w:w="1559" w:type="dxa"/>
                  </w:tcPr>
                  <w:p w14:paraId="28B2E91C" w14:textId="77777777" w:rsidR="00830E72" w:rsidRDefault="008344D8">
                    <w:pPr>
                      <w:jc w:val="center"/>
                      <w:rPr>
                        <w:szCs w:val="21"/>
                      </w:rPr>
                    </w:pPr>
                    <w:r>
                      <w:rPr>
                        <w:rFonts w:hint="eastAsia"/>
                        <w:szCs w:val="21"/>
                      </w:rPr>
                      <w:t>亳州祥居</w:t>
                    </w:r>
                  </w:p>
                </w:tc>
                <w:tc>
                  <w:tcPr>
                    <w:tcW w:w="1560" w:type="dxa"/>
                  </w:tcPr>
                  <w:p w14:paraId="72A59A61" w14:textId="77777777" w:rsidR="00830E72" w:rsidRDefault="008344D8">
                    <w:pPr>
                      <w:jc w:val="center"/>
                      <w:rPr>
                        <w:szCs w:val="21"/>
                      </w:rPr>
                    </w:pPr>
                    <w:r>
                      <w:rPr>
                        <w:rFonts w:hint="eastAsia"/>
                        <w:szCs w:val="21"/>
                      </w:rPr>
                      <w:t>79</w:t>
                    </w:r>
                  </w:p>
                </w:tc>
                <w:tc>
                  <w:tcPr>
                    <w:tcW w:w="1144" w:type="dxa"/>
                  </w:tcPr>
                  <w:p w14:paraId="562078D1" w14:textId="77777777" w:rsidR="00830E72" w:rsidRDefault="00830E72">
                    <w:pPr>
                      <w:jc w:val="center"/>
                      <w:rPr>
                        <w:szCs w:val="21"/>
                      </w:rPr>
                    </w:pPr>
                  </w:p>
                </w:tc>
              </w:tr>
              <w:tr w:rsidR="00830E72" w14:paraId="7F0D885D" w14:textId="77777777">
                <w:tc>
                  <w:tcPr>
                    <w:tcW w:w="959" w:type="dxa"/>
                  </w:tcPr>
                  <w:p w14:paraId="2B266B6D" w14:textId="77777777" w:rsidR="00830E72" w:rsidRDefault="008344D8">
                    <w:pPr>
                      <w:jc w:val="center"/>
                      <w:rPr>
                        <w:szCs w:val="21"/>
                      </w:rPr>
                    </w:pPr>
                    <w:r>
                      <w:rPr>
                        <w:rFonts w:hint="eastAsia"/>
                        <w:szCs w:val="21"/>
                      </w:rPr>
                      <w:t>5</w:t>
                    </w:r>
                  </w:p>
                </w:tc>
                <w:tc>
                  <w:tcPr>
                    <w:tcW w:w="3827" w:type="dxa"/>
                  </w:tcPr>
                  <w:p w14:paraId="7BF3F5B5" w14:textId="77777777" w:rsidR="00830E72" w:rsidRDefault="008344D8">
                    <w:pPr>
                      <w:jc w:val="center"/>
                      <w:rPr>
                        <w:szCs w:val="21"/>
                      </w:rPr>
                    </w:pPr>
                    <w:r>
                      <w:rPr>
                        <w:rFonts w:hint="eastAsia"/>
                        <w:szCs w:val="21"/>
                      </w:rPr>
                      <w:t>宿松县振兴基础设施管理有限责任公司</w:t>
                    </w:r>
                  </w:p>
                </w:tc>
                <w:tc>
                  <w:tcPr>
                    <w:tcW w:w="1559" w:type="dxa"/>
                  </w:tcPr>
                  <w:p w14:paraId="59261B09" w14:textId="77777777" w:rsidR="00830E72" w:rsidRDefault="008344D8">
                    <w:pPr>
                      <w:jc w:val="center"/>
                      <w:rPr>
                        <w:szCs w:val="21"/>
                      </w:rPr>
                    </w:pPr>
                    <w:r>
                      <w:rPr>
                        <w:rFonts w:hint="eastAsia"/>
                        <w:szCs w:val="21"/>
                      </w:rPr>
                      <w:t>宿松振兴</w:t>
                    </w:r>
                  </w:p>
                </w:tc>
                <w:tc>
                  <w:tcPr>
                    <w:tcW w:w="1560" w:type="dxa"/>
                  </w:tcPr>
                  <w:p w14:paraId="25E812E5" w14:textId="77777777" w:rsidR="00830E72" w:rsidRDefault="008344D8">
                    <w:pPr>
                      <w:jc w:val="center"/>
                      <w:rPr>
                        <w:szCs w:val="21"/>
                      </w:rPr>
                    </w:pPr>
                    <w:r>
                      <w:rPr>
                        <w:rFonts w:hint="eastAsia"/>
                        <w:szCs w:val="21"/>
                      </w:rPr>
                      <w:t>90</w:t>
                    </w:r>
                  </w:p>
                </w:tc>
                <w:tc>
                  <w:tcPr>
                    <w:tcW w:w="1144" w:type="dxa"/>
                  </w:tcPr>
                  <w:p w14:paraId="5329A0E0" w14:textId="77777777" w:rsidR="00830E72" w:rsidRDefault="00830E72">
                    <w:pPr>
                      <w:jc w:val="center"/>
                      <w:rPr>
                        <w:szCs w:val="21"/>
                      </w:rPr>
                    </w:pPr>
                  </w:p>
                </w:tc>
              </w:tr>
              <w:tr w:rsidR="00830E72" w14:paraId="77C0CABF" w14:textId="77777777">
                <w:tc>
                  <w:tcPr>
                    <w:tcW w:w="959" w:type="dxa"/>
                  </w:tcPr>
                  <w:p w14:paraId="45355391" w14:textId="77777777" w:rsidR="00830E72" w:rsidRDefault="008344D8">
                    <w:pPr>
                      <w:jc w:val="center"/>
                      <w:rPr>
                        <w:szCs w:val="21"/>
                      </w:rPr>
                    </w:pPr>
                    <w:r>
                      <w:rPr>
                        <w:rFonts w:hint="eastAsia"/>
                        <w:szCs w:val="21"/>
                      </w:rPr>
                      <w:t>6</w:t>
                    </w:r>
                  </w:p>
                </w:tc>
                <w:tc>
                  <w:tcPr>
                    <w:tcW w:w="3827" w:type="dxa"/>
                  </w:tcPr>
                  <w:p w14:paraId="29D3BE37" w14:textId="77777777" w:rsidR="00830E72" w:rsidRDefault="008344D8">
                    <w:pPr>
                      <w:jc w:val="center"/>
                      <w:rPr>
                        <w:szCs w:val="21"/>
                      </w:rPr>
                    </w:pPr>
                    <w:r>
                      <w:rPr>
                        <w:rFonts w:hint="eastAsia"/>
                        <w:szCs w:val="21"/>
                      </w:rPr>
                      <w:t>明光市路安公路工程建设有限责任公司</w:t>
                    </w:r>
                  </w:p>
                </w:tc>
                <w:tc>
                  <w:tcPr>
                    <w:tcW w:w="1559" w:type="dxa"/>
                  </w:tcPr>
                  <w:p w14:paraId="3B3503F8" w14:textId="77777777" w:rsidR="00830E72" w:rsidRDefault="008344D8">
                    <w:pPr>
                      <w:jc w:val="center"/>
                      <w:rPr>
                        <w:szCs w:val="21"/>
                      </w:rPr>
                    </w:pPr>
                    <w:r>
                      <w:rPr>
                        <w:rFonts w:hint="eastAsia"/>
                        <w:szCs w:val="21"/>
                      </w:rPr>
                      <w:t>明光路安</w:t>
                    </w:r>
                  </w:p>
                </w:tc>
                <w:tc>
                  <w:tcPr>
                    <w:tcW w:w="1560" w:type="dxa"/>
                  </w:tcPr>
                  <w:p w14:paraId="7BE61F93" w14:textId="77777777" w:rsidR="00830E72" w:rsidRDefault="008344D8">
                    <w:pPr>
                      <w:jc w:val="center"/>
                      <w:rPr>
                        <w:szCs w:val="21"/>
                      </w:rPr>
                    </w:pPr>
                    <w:r>
                      <w:rPr>
                        <w:rFonts w:hint="eastAsia"/>
                        <w:szCs w:val="21"/>
                      </w:rPr>
                      <w:t>100</w:t>
                    </w:r>
                  </w:p>
                </w:tc>
                <w:tc>
                  <w:tcPr>
                    <w:tcW w:w="1144" w:type="dxa"/>
                  </w:tcPr>
                  <w:p w14:paraId="46564C7A" w14:textId="77777777" w:rsidR="00830E72" w:rsidRDefault="00830E72">
                    <w:pPr>
                      <w:jc w:val="center"/>
                      <w:rPr>
                        <w:szCs w:val="21"/>
                      </w:rPr>
                    </w:pPr>
                  </w:p>
                </w:tc>
              </w:tr>
              <w:tr w:rsidR="00830E72" w14:paraId="4253B2F0" w14:textId="77777777">
                <w:tc>
                  <w:tcPr>
                    <w:tcW w:w="959" w:type="dxa"/>
                  </w:tcPr>
                  <w:p w14:paraId="3A2EE6D7" w14:textId="77777777" w:rsidR="00830E72" w:rsidRDefault="008344D8">
                    <w:pPr>
                      <w:jc w:val="center"/>
                      <w:rPr>
                        <w:szCs w:val="21"/>
                      </w:rPr>
                    </w:pPr>
                    <w:r>
                      <w:rPr>
                        <w:rFonts w:hint="eastAsia"/>
                        <w:szCs w:val="21"/>
                      </w:rPr>
                      <w:t>7</w:t>
                    </w:r>
                  </w:p>
                </w:tc>
                <w:tc>
                  <w:tcPr>
                    <w:tcW w:w="3827" w:type="dxa"/>
                  </w:tcPr>
                  <w:p w14:paraId="345A9DD9" w14:textId="77777777" w:rsidR="00830E72" w:rsidRDefault="008344D8">
                    <w:pPr>
                      <w:jc w:val="center"/>
                      <w:rPr>
                        <w:szCs w:val="21"/>
                      </w:rPr>
                    </w:pPr>
                    <w:r>
                      <w:rPr>
                        <w:rFonts w:hint="eastAsia"/>
                        <w:szCs w:val="21"/>
                      </w:rPr>
                      <w:t>六安熠辉交通建设有限公司</w:t>
                    </w:r>
                  </w:p>
                </w:tc>
                <w:tc>
                  <w:tcPr>
                    <w:tcW w:w="1559" w:type="dxa"/>
                  </w:tcPr>
                  <w:p w14:paraId="13665C36" w14:textId="77777777" w:rsidR="00830E72" w:rsidRDefault="008344D8">
                    <w:pPr>
                      <w:jc w:val="center"/>
                      <w:rPr>
                        <w:szCs w:val="21"/>
                      </w:rPr>
                    </w:pPr>
                    <w:r>
                      <w:rPr>
                        <w:rFonts w:hint="eastAsia"/>
                        <w:szCs w:val="21"/>
                      </w:rPr>
                      <w:t>六安熠辉</w:t>
                    </w:r>
                  </w:p>
                </w:tc>
                <w:tc>
                  <w:tcPr>
                    <w:tcW w:w="1560" w:type="dxa"/>
                  </w:tcPr>
                  <w:p w14:paraId="58EC36F1" w14:textId="77777777" w:rsidR="00830E72" w:rsidRDefault="008344D8">
                    <w:pPr>
                      <w:jc w:val="center"/>
                      <w:rPr>
                        <w:szCs w:val="21"/>
                      </w:rPr>
                    </w:pPr>
                    <w:r>
                      <w:rPr>
                        <w:rFonts w:hint="eastAsia"/>
                        <w:szCs w:val="21"/>
                      </w:rPr>
                      <w:t>100</w:t>
                    </w:r>
                  </w:p>
                </w:tc>
                <w:tc>
                  <w:tcPr>
                    <w:tcW w:w="1144" w:type="dxa"/>
                  </w:tcPr>
                  <w:p w14:paraId="7904A5A5" w14:textId="77777777" w:rsidR="00830E72" w:rsidRDefault="00830E72">
                    <w:pPr>
                      <w:jc w:val="center"/>
                      <w:rPr>
                        <w:szCs w:val="21"/>
                      </w:rPr>
                    </w:pPr>
                  </w:p>
                </w:tc>
              </w:tr>
              <w:tr w:rsidR="00830E72" w14:paraId="501A21D4" w14:textId="77777777">
                <w:tc>
                  <w:tcPr>
                    <w:tcW w:w="959" w:type="dxa"/>
                  </w:tcPr>
                  <w:p w14:paraId="20046EBE" w14:textId="77777777" w:rsidR="00830E72" w:rsidRDefault="008344D8">
                    <w:pPr>
                      <w:jc w:val="center"/>
                      <w:rPr>
                        <w:szCs w:val="21"/>
                      </w:rPr>
                    </w:pPr>
                    <w:r>
                      <w:rPr>
                        <w:rFonts w:hint="eastAsia"/>
                        <w:szCs w:val="21"/>
                      </w:rPr>
                      <w:t>8</w:t>
                    </w:r>
                  </w:p>
                </w:tc>
                <w:tc>
                  <w:tcPr>
                    <w:tcW w:w="3827" w:type="dxa"/>
                  </w:tcPr>
                  <w:p w14:paraId="6519226C" w14:textId="77777777" w:rsidR="00830E72" w:rsidRDefault="008344D8">
                    <w:pPr>
                      <w:jc w:val="center"/>
                      <w:rPr>
                        <w:szCs w:val="21"/>
                      </w:rPr>
                    </w:pPr>
                    <w:r>
                      <w:rPr>
                        <w:rFonts w:hint="eastAsia"/>
                        <w:szCs w:val="21"/>
                      </w:rPr>
                      <w:t>界首市齐美项目管理有限公司</w:t>
                    </w:r>
                  </w:p>
                </w:tc>
                <w:tc>
                  <w:tcPr>
                    <w:tcW w:w="1559" w:type="dxa"/>
                  </w:tcPr>
                  <w:p w14:paraId="104A7A4E" w14:textId="77777777" w:rsidR="00830E72" w:rsidRDefault="008344D8">
                    <w:pPr>
                      <w:jc w:val="center"/>
                      <w:rPr>
                        <w:szCs w:val="21"/>
                      </w:rPr>
                    </w:pPr>
                    <w:r>
                      <w:rPr>
                        <w:rFonts w:hint="eastAsia"/>
                        <w:szCs w:val="21"/>
                      </w:rPr>
                      <w:t>界首齐美</w:t>
                    </w:r>
                  </w:p>
                </w:tc>
                <w:tc>
                  <w:tcPr>
                    <w:tcW w:w="1560" w:type="dxa"/>
                  </w:tcPr>
                  <w:p w14:paraId="1442B97C" w14:textId="77777777" w:rsidR="00830E72" w:rsidRDefault="008344D8">
                    <w:pPr>
                      <w:jc w:val="center"/>
                      <w:rPr>
                        <w:szCs w:val="21"/>
                      </w:rPr>
                    </w:pPr>
                    <w:r>
                      <w:rPr>
                        <w:rFonts w:hint="eastAsia"/>
                        <w:szCs w:val="21"/>
                      </w:rPr>
                      <w:t>89</w:t>
                    </w:r>
                  </w:p>
                </w:tc>
                <w:tc>
                  <w:tcPr>
                    <w:tcW w:w="1144" w:type="dxa"/>
                  </w:tcPr>
                  <w:p w14:paraId="5ED297E5" w14:textId="77777777" w:rsidR="00830E72" w:rsidRDefault="00830E72">
                    <w:pPr>
                      <w:jc w:val="center"/>
                      <w:rPr>
                        <w:szCs w:val="21"/>
                      </w:rPr>
                    </w:pPr>
                  </w:p>
                </w:tc>
              </w:tr>
            </w:tbl>
            <w:p w14:paraId="1590A29A" w14:textId="77777777" w:rsidR="00830E72" w:rsidRDefault="00D44830">
              <w:pPr>
                <w:rPr>
                  <w:szCs w:val="21"/>
                </w:rPr>
              </w:pPr>
            </w:p>
          </w:sdtContent>
        </w:sdt>
      </w:sdtContent>
    </w:sdt>
    <w:p w14:paraId="68BAA697" w14:textId="77777777" w:rsidR="00830E72" w:rsidRDefault="008344D8">
      <w:pPr>
        <w:pStyle w:val="2CharCharChar"/>
        <w:numPr>
          <w:ilvl w:val="0"/>
          <w:numId w:val="32"/>
        </w:numPr>
        <w:ind w:left="422" w:hanging="422"/>
        <w:rPr>
          <w:rFonts w:ascii="宋体" w:hAnsi="宋体"/>
        </w:rPr>
      </w:pPr>
      <w:r>
        <w:rPr>
          <w:rFonts w:ascii="宋体" w:hAnsi="宋体" w:hint="eastAsia"/>
        </w:rPr>
        <w:t>财务报表的编制基础</w:t>
      </w:r>
    </w:p>
    <w:sdt>
      <w:sdtPr>
        <w:rPr>
          <w:rFonts w:ascii="宋体" w:hAnsi="宋体" w:cs="宋体"/>
          <w:b w:val="0"/>
          <w:bCs w:val="0"/>
          <w:kern w:val="0"/>
          <w:szCs w:val="22"/>
        </w:rPr>
        <w:alias w:val="模块:财务报表的编制基础"/>
        <w:tag w:val="_GBC_6d12949d3695402592266a78137dcfb5"/>
        <w:id w:val="310219656"/>
        <w:lock w:val="sdtLocked"/>
        <w:placeholder>
          <w:docPart w:val="GBC22222222222222222222222222222"/>
        </w:placeholder>
      </w:sdtPr>
      <w:sdtEndPr>
        <w:rPr>
          <w:rFonts w:cs="Times New Roman" w:hint="eastAsia"/>
          <w:kern w:val="2"/>
          <w:szCs w:val="21"/>
        </w:rPr>
      </w:sdtEndPr>
      <w:sdtContent>
        <w:p w14:paraId="5B95D4FB" w14:textId="77777777" w:rsidR="00830E72" w:rsidRDefault="008344D8">
          <w:pPr>
            <w:pStyle w:val="Style99"/>
            <w:numPr>
              <w:ilvl w:val="0"/>
              <w:numId w:val="34"/>
            </w:numPr>
            <w:rPr>
              <w:rFonts w:ascii="宋体" w:hAnsi="宋体"/>
            </w:rPr>
          </w:pPr>
          <w:r>
            <w:rPr>
              <w:rFonts w:ascii="宋体" w:hAnsi="宋体"/>
            </w:rPr>
            <w:t>编制基础</w:t>
          </w:r>
        </w:p>
        <w:sdt>
          <w:sdtPr>
            <w:rPr>
              <w:rFonts w:hint="eastAsia"/>
              <w:szCs w:val="21"/>
            </w:rPr>
            <w:alias w:val="财务报表的编制基础"/>
            <w:tag w:val="_GBC_1dc2375ed7ab49628f5badf2d5006405"/>
            <w:id w:val="773524116"/>
            <w:lock w:val="sdtLocked"/>
            <w:placeholder>
              <w:docPart w:val="GBC22222222222222222222222222222"/>
            </w:placeholder>
          </w:sdtPr>
          <w:sdtEndPr/>
          <w:sdtContent>
            <w:p w14:paraId="1E189121" w14:textId="77777777" w:rsidR="00830E72" w:rsidRDefault="008344D8">
              <w:pPr>
                <w:ind w:firstLineChars="200" w:firstLine="420"/>
                <w:rPr>
                  <w:szCs w:val="21"/>
                </w:rPr>
              </w:pPr>
              <w:r>
                <w:rPr>
                  <w:szCs w:val="21"/>
                </w:rPr>
                <w:t>本公司财务报表以持续经营为编制基础</w:t>
              </w:r>
              <w:r>
                <w:rPr>
                  <w:rFonts w:hint="eastAsia"/>
                  <w:szCs w:val="21"/>
                </w:rPr>
                <w:t>，根据实际发生的交易和事项，按照企业会计准则及其应用指南和准则解释的规定进行确认和计量，在此基础上编制财务报表。此外，本公司还按照</w:t>
              </w:r>
              <w:r>
                <w:rPr>
                  <w:rFonts w:hint="eastAsia"/>
                  <w:szCs w:val="21"/>
                </w:rPr>
                <w:lastRenderedPageBreak/>
                <w:t>中国证监会《公开发行证券的公司信息披露编报规则第</w:t>
              </w:r>
              <w:r>
                <w:rPr>
                  <w:szCs w:val="21"/>
                </w:rPr>
                <w:t>15号——财务报告的一般规定》（2014年修订）披露有关财务信息。</w:t>
              </w:r>
            </w:p>
          </w:sdtContent>
        </w:sdt>
      </w:sdtContent>
    </w:sdt>
    <w:p w14:paraId="2F8460B4" w14:textId="77777777" w:rsidR="00830E72" w:rsidRDefault="00830E72">
      <w:pPr>
        <w:rPr>
          <w:szCs w:val="21"/>
        </w:rPr>
      </w:pPr>
    </w:p>
    <w:sdt>
      <w:sdtPr>
        <w:rPr>
          <w:rFonts w:ascii="宋体" w:hAnsi="宋体" w:cs="宋体" w:hint="eastAsia"/>
          <w:b w:val="0"/>
          <w:bCs w:val="0"/>
          <w:kern w:val="0"/>
          <w:szCs w:val="22"/>
        </w:rPr>
        <w:alias w:val="模块:持续经营"/>
        <w:tag w:val="_GBC_69ae6baeacb44e8fa17b0b984abbf6ab"/>
        <w:id w:val="1621023993"/>
        <w:lock w:val="sdtLocked"/>
        <w:placeholder>
          <w:docPart w:val="GBC22222222222222222222222222222"/>
        </w:placeholder>
      </w:sdtPr>
      <w:sdtEndPr>
        <w:rPr>
          <w:rFonts w:cs="Times New Roman"/>
          <w:kern w:val="2"/>
          <w:szCs w:val="21"/>
        </w:rPr>
      </w:sdtEndPr>
      <w:sdtContent>
        <w:p w14:paraId="047E9856" w14:textId="77777777" w:rsidR="00830E72" w:rsidRDefault="008344D8">
          <w:pPr>
            <w:pStyle w:val="Style99"/>
            <w:numPr>
              <w:ilvl w:val="0"/>
              <w:numId w:val="34"/>
            </w:numPr>
            <w:rPr>
              <w:rFonts w:ascii="宋体" w:hAnsi="宋体"/>
            </w:rPr>
          </w:pPr>
          <w:r>
            <w:rPr>
              <w:rFonts w:ascii="宋体" w:hAnsi="宋体" w:hint="eastAsia"/>
            </w:rPr>
            <w:t>持续经营</w:t>
          </w:r>
        </w:p>
        <w:sdt>
          <w:sdtPr>
            <w:alias w:val="是否适用：持续经营[双击切换]"/>
            <w:tag w:val="_GBC_7a7bd82392314f508ef1adfe80947192"/>
            <w:id w:val="1752464203"/>
            <w:lock w:val="sdtContentLocked"/>
            <w:placeholder>
              <w:docPart w:val="GBC22222222222222222222222222222"/>
            </w:placeholder>
          </w:sdtPr>
          <w:sdtEndPr/>
          <w:sdtContent>
            <w:p w14:paraId="07A6BE8A"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持续经营"/>
            <w:tag w:val="_GBC_dc876c24006b428987a041949eb554f3"/>
            <w:id w:val="-1313409986"/>
            <w:lock w:val="sdtLocked"/>
            <w:placeholder>
              <w:docPart w:val="GBC22222222222222222222222222222"/>
            </w:placeholder>
          </w:sdtPr>
          <w:sdtEndPr/>
          <w:sdtContent>
            <w:p w14:paraId="22E85674" w14:textId="77777777" w:rsidR="00830E72" w:rsidRDefault="008344D8">
              <w:pPr>
                <w:ind w:firstLineChars="200" w:firstLine="420"/>
                <w:rPr>
                  <w:szCs w:val="21"/>
                </w:rPr>
              </w:pPr>
              <w:r>
                <w:rPr>
                  <w:rFonts w:hint="eastAsia"/>
                  <w:szCs w:val="21"/>
                </w:rPr>
                <w:t>本公司对自报告期末起</w:t>
              </w:r>
              <w:r>
                <w:rPr>
                  <w:szCs w:val="21"/>
                </w:rPr>
                <w:t>12个月的持续经营能力进行了评估，未发现影响本公司持续经营能力的事项，本公司以持续经营为基础编制财务报表是合理的。</w:t>
              </w:r>
            </w:p>
          </w:sdtContent>
        </w:sdt>
      </w:sdtContent>
    </w:sdt>
    <w:p w14:paraId="46495AF6" w14:textId="77777777" w:rsidR="00830E72" w:rsidRDefault="00830E72">
      <w:pPr>
        <w:rPr>
          <w:szCs w:val="21"/>
        </w:rPr>
      </w:pPr>
    </w:p>
    <w:p w14:paraId="07335966" w14:textId="77777777" w:rsidR="00830E72" w:rsidRDefault="008344D8">
      <w:pPr>
        <w:pStyle w:val="2CharCharChar"/>
        <w:numPr>
          <w:ilvl w:val="0"/>
          <w:numId w:val="32"/>
        </w:numPr>
        <w:ind w:left="422" w:hanging="422"/>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404946478"/>
        <w:lock w:val="sdtLocked"/>
        <w:placeholder>
          <w:docPart w:val="GBC22222222222222222222222222222"/>
        </w:placeholder>
      </w:sdtPr>
      <w:sdtEndPr/>
      <w:sdtContent>
        <w:p w14:paraId="57F96336" w14:textId="77777777" w:rsidR="00830E72" w:rsidRDefault="008344D8">
          <w:r>
            <w:rPr>
              <w:rFonts w:hint="eastAsia"/>
            </w:rPr>
            <w:t>具体会计政策和会计估计提示：</w:t>
          </w:r>
        </w:p>
        <w:sdt>
          <w:sdtPr>
            <w:alias w:val="是否适用：具体会计政策和会计估计提示[双击切换]"/>
            <w:tag w:val="_GBC_77c62823e3884e1fbfb236cea1f9f425"/>
            <w:id w:val="-1557457229"/>
            <w:lock w:val="sdtContentLocked"/>
            <w:placeholder>
              <w:docPart w:val="GBC22222222222222222222222222222"/>
            </w:placeholder>
          </w:sdtPr>
          <w:sdtEndPr/>
          <w:sdtContent>
            <w:p w14:paraId="1560018F"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具体会计政策和会计估计提示"/>
            <w:tag w:val="_GBC_caddaeaf0d1a454ab0bede37f0db7782"/>
            <w:id w:val="-468512159"/>
            <w:lock w:val="sdtLocked"/>
            <w:placeholder>
              <w:docPart w:val="GBC22222222222222222222222222222"/>
            </w:placeholder>
          </w:sdtPr>
          <w:sdtEndPr/>
          <w:sdtContent>
            <w:p w14:paraId="1F2896DB" w14:textId="77777777" w:rsidR="00830E72" w:rsidRDefault="008344D8">
              <w:pPr>
                <w:ind w:firstLineChars="200" w:firstLine="420"/>
              </w:pPr>
              <w:r>
                <w:rPr>
                  <w:rFonts w:hint="eastAsia"/>
                </w:rPr>
                <w:t>本公司下列重要会计政策、会计估计根据企业会计准则制定。未提及的业务按企业会计准则中相关会计政策执行。</w:t>
              </w:r>
            </w:p>
          </w:sdtContent>
        </w:sdt>
      </w:sdtContent>
    </w:sdt>
    <w:p w14:paraId="7330031B" w14:textId="77777777" w:rsidR="00830E72" w:rsidRDefault="00830E72"/>
    <w:sdt>
      <w:sdtPr>
        <w:rPr>
          <w:rFonts w:ascii="宋体" w:hAnsi="宋体" w:cs="宋体"/>
          <w:b w:val="0"/>
          <w:bCs w:val="0"/>
          <w:kern w:val="0"/>
          <w:szCs w:val="22"/>
        </w:rPr>
        <w:alias w:val="模块:遵循企业会计准则的声明"/>
        <w:tag w:val="_GBC_a0afbb5b3a444bce84ee78a2a282cb28"/>
        <w:id w:val="-174577975"/>
        <w:lock w:val="sdtLocked"/>
        <w:placeholder>
          <w:docPart w:val="GBC22222222222222222222222222222"/>
        </w:placeholder>
      </w:sdtPr>
      <w:sdtEndPr>
        <w:rPr>
          <w:rFonts w:cs="Times New Roman" w:hint="eastAsia"/>
          <w:kern w:val="2"/>
          <w:szCs w:val="21"/>
        </w:rPr>
      </w:sdtEndPr>
      <w:sdtContent>
        <w:p w14:paraId="13F421D1" w14:textId="77777777" w:rsidR="00830E72" w:rsidRDefault="008344D8">
          <w:pPr>
            <w:pStyle w:val="Style99"/>
            <w:numPr>
              <w:ilvl w:val="0"/>
              <w:numId w:val="35"/>
            </w:numPr>
            <w:rPr>
              <w:rFonts w:ascii="宋体" w:hAnsi="宋体"/>
            </w:rPr>
          </w:pPr>
          <w:r>
            <w:rPr>
              <w:rFonts w:ascii="宋体" w:hAnsi="宋体"/>
            </w:rPr>
            <w:t>遵循企业会计准则的声明</w:t>
          </w:r>
        </w:p>
        <w:sdt>
          <w:sdtPr>
            <w:rPr>
              <w:rFonts w:hint="eastAsia"/>
              <w:szCs w:val="21"/>
            </w:rPr>
            <w:alias w:val="会计准则和会计制度"/>
            <w:tag w:val="_GBC_a350b889163a4ef3bb500c021e6a6b47"/>
            <w:id w:val="-2074882969"/>
            <w:lock w:val="sdtLocked"/>
            <w:placeholder>
              <w:docPart w:val="GBC22222222222222222222222222222"/>
            </w:placeholder>
          </w:sdtPr>
          <w:sdtEndPr/>
          <w:sdtContent>
            <w:p w14:paraId="17C1FDE9" w14:textId="77777777" w:rsidR="00830E72" w:rsidRDefault="008344D8">
              <w:pPr>
                <w:ind w:firstLineChars="200" w:firstLine="420"/>
                <w:rPr>
                  <w:szCs w:val="21"/>
                </w:rPr>
              </w:pPr>
              <w:r>
                <w:rPr>
                  <w:szCs w:val="21"/>
                </w:rPr>
                <w:t>本公司所编制的财务报表符合企业会计准则的要求，真实、完整地反映了公司的财务状况、经营成果、股东权益变动和现金流量等有关信息。</w:t>
              </w:r>
            </w:p>
          </w:sdtContent>
        </w:sdt>
      </w:sdtContent>
    </w:sdt>
    <w:p w14:paraId="083682DA" w14:textId="77777777" w:rsidR="00830E72" w:rsidRDefault="00830E72">
      <w:pPr>
        <w:rPr>
          <w:szCs w:val="21"/>
        </w:rPr>
      </w:pPr>
    </w:p>
    <w:sdt>
      <w:sdtPr>
        <w:rPr>
          <w:rFonts w:ascii="宋体" w:hAnsi="宋体" w:cs="宋体"/>
          <w:b w:val="0"/>
          <w:bCs w:val="0"/>
          <w:kern w:val="0"/>
          <w:szCs w:val="24"/>
        </w:rPr>
        <w:alias w:val="模块:会计期间"/>
        <w:tag w:val="_GBC_2d7f332501c8461ea731797db5588ee5"/>
        <w:id w:val="157202678"/>
        <w:lock w:val="sdtLocked"/>
        <w:placeholder>
          <w:docPart w:val="GBC22222222222222222222222222222"/>
        </w:placeholder>
      </w:sdtPr>
      <w:sdtEndPr>
        <w:rPr>
          <w:rFonts w:hint="eastAsia"/>
          <w:szCs w:val="21"/>
        </w:rPr>
      </w:sdtEndPr>
      <w:sdtContent>
        <w:p w14:paraId="2E46A94E" w14:textId="77777777" w:rsidR="00830E72" w:rsidRDefault="008344D8">
          <w:pPr>
            <w:pStyle w:val="Style99"/>
            <w:numPr>
              <w:ilvl w:val="0"/>
              <w:numId w:val="35"/>
            </w:numPr>
            <w:rPr>
              <w:rFonts w:ascii="宋体" w:hAnsi="宋体"/>
            </w:rPr>
          </w:pPr>
          <w:r>
            <w:rPr>
              <w:rFonts w:ascii="宋体" w:hAnsi="宋体"/>
            </w:rPr>
            <w:t>会计期间</w:t>
          </w:r>
        </w:p>
        <w:sdt>
          <w:sdtPr>
            <w:rPr>
              <w:rFonts w:hint="eastAsia"/>
              <w:szCs w:val="21"/>
            </w:rPr>
            <w:alias w:val="会计年度"/>
            <w:tag w:val="_GBC_fc896fba50b143f8a06984831f5d5600"/>
            <w:id w:val="-1910916154"/>
            <w:lock w:val="sdtLocked"/>
            <w:placeholder>
              <w:docPart w:val="GBC22222222222222222222222222222"/>
            </w:placeholder>
          </w:sdtPr>
          <w:sdtEndPr/>
          <w:sdtContent>
            <w:p w14:paraId="67D9F372" w14:textId="77777777" w:rsidR="00830E72" w:rsidRDefault="008344D8">
              <w:pPr>
                <w:rPr>
                  <w:szCs w:val="21"/>
                </w:rPr>
              </w:pPr>
              <w:r>
                <w:rPr>
                  <w:szCs w:val="21"/>
                </w:rPr>
                <w:t>本公司会计年度自公历1月1日起至12月31日止。</w:t>
              </w:r>
            </w:p>
          </w:sdtContent>
        </w:sdt>
      </w:sdtContent>
    </w:sdt>
    <w:p w14:paraId="2F5D3BA6" w14:textId="77777777" w:rsidR="00830E72" w:rsidRDefault="00830E72">
      <w:pPr>
        <w:rPr>
          <w:szCs w:val="21"/>
        </w:rPr>
      </w:pPr>
    </w:p>
    <w:sdt>
      <w:sdtPr>
        <w:rPr>
          <w:rFonts w:ascii="宋体" w:hAnsi="宋体" w:cs="宋体" w:hint="eastAsia"/>
          <w:b w:val="0"/>
          <w:bCs w:val="0"/>
          <w:kern w:val="0"/>
          <w:szCs w:val="22"/>
        </w:rPr>
        <w:alias w:val="模块:营业周期"/>
        <w:tag w:val="_GBC_b045784ca7904d52a060134ffec0d88c"/>
        <w:id w:val="-314874136"/>
        <w:lock w:val="sdtLocked"/>
        <w:placeholder>
          <w:docPart w:val="GBC22222222222222222222222222222"/>
        </w:placeholder>
      </w:sdtPr>
      <w:sdtEndPr>
        <w:rPr>
          <w:rFonts w:cs="Times New Roman"/>
          <w:kern w:val="2"/>
          <w:szCs w:val="21"/>
        </w:rPr>
      </w:sdtEndPr>
      <w:sdtContent>
        <w:p w14:paraId="26C623FA" w14:textId="77777777" w:rsidR="00830E72" w:rsidRDefault="008344D8">
          <w:pPr>
            <w:pStyle w:val="Style99"/>
            <w:numPr>
              <w:ilvl w:val="0"/>
              <w:numId w:val="35"/>
            </w:numPr>
            <w:rPr>
              <w:rFonts w:ascii="宋体" w:hAnsi="宋体"/>
            </w:rPr>
          </w:pPr>
          <w:r>
            <w:rPr>
              <w:rFonts w:ascii="宋体" w:hAnsi="宋体" w:hint="eastAsia"/>
            </w:rPr>
            <w:t>营业周期</w:t>
          </w:r>
        </w:p>
        <w:sdt>
          <w:sdtPr>
            <w:alias w:val="是否适用：营业周期[双击切换]"/>
            <w:tag w:val="_GBC_1668f7f497234cf886206b57711c4c87"/>
            <w:id w:val="-157075992"/>
            <w:lock w:val="sdtContentLocked"/>
            <w:placeholder>
              <w:docPart w:val="GBC22222222222222222222222222222"/>
            </w:placeholder>
          </w:sdtPr>
          <w:sdtEndPr/>
          <w:sdtContent>
            <w:p w14:paraId="1A5EEB0A"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营业周期"/>
            <w:tag w:val="_GBC_e145e43187d9463889884f48e9e0b234"/>
            <w:id w:val="-1737705708"/>
            <w:lock w:val="sdtLocked"/>
            <w:placeholder>
              <w:docPart w:val="GBC22222222222222222222222222222"/>
            </w:placeholder>
          </w:sdtPr>
          <w:sdtEndPr/>
          <w:sdtContent>
            <w:p w14:paraId="466BA178" w14:textId="77777777" w:rsidR="00830E72" w:rsidRDefault="008344D8">
              <w:pPr>
                <w:rPr>
                  <w:szCs w:val="21"/>
                </w:rPr>
              </w:pPr>
              <w:r>
                <w:rPr>
                  <w:rFonts w:hint="eastAsia"/>
                  <w:szCs w:val="21"/>
                </w:rPr>
                <w:t>本公司正常营业周期为一年。</w:t>
              </w:r>
            </w:p>
          </w:sdtContent>
        </w:sdt>
      </w:sdtContent>
    </w:sdt>
    <w:p w14:paraId="2A1E5355" w14:textId="77777777" w:rsidR="00830E72" w:rsidRDefault="00830E72">
      <w:pPr>
        <w:rPr>
          <w:szCs w:val="21"/>
        </w:rPr>
      </w:pPr>
    </w:p>
    <w:sdt>
      <w:sdtPr>
        <w:rPr>
          <w:rFonts w:ascii="宋体" w:hAnsi="宋体" w:cs="宋体"/>
          <w:b w:val="0"/>
          <w:bCs w:val="0"/>
          <w:kern w:val="0"/>
          <w:szCs w:val="22"/>
        </w:rPr>
        <w:alias w:val="模块:记账本位币"/>
        <w:tag w:val="_GBC_13b1061968754e20bebf2099281ed54f"/>
        <w:id w:val="-1459870217"/>
        <w:lock w:val="sdtLocked"/>
        <w:placeholder>
          <w:docPart w:val="GBC22222222222222222222222222222"/>
        </w:placeholder>
      </w:sdtPr>
      <w:sdtEndPr>
        <w:rPr>
          <w:rFonts w:cs="Times New Roman" w:hint="eastAsia"/>
          <w:kern w:val="2"/>
          <w:szCs w:val="21"/>
        </w:rPr>
      </w:sdtEndPr>
      <w:sdtContent>
        <w:p w14:paraId="686FBC71" w14:textId="77777777" w:rsidR="00830E72" w:rsidRDefault="008344D8">
          <w:pPr>
            <w:pStyle w:val="Style99"/>
            <w:numPr>
              <w:ilvl w:val="0"/>
              <w:numId w:val="35"/>
            </w:numPr>
            <w:rPr>
              <w:rFonts w:ascii="宋体" w:hAnsi="宋体"/>
            </w:rPr>
          </w:pPr>
          <w:r>
            <w:rPr>
              <w:rFonts w:ascii="宋体" w:hAnsi="宋体"/>
            </w:rPr>
            <w:t>记账本位币</w:t>
          </w:r>
        </w:p>
        <w:sdt>
          <w:sdtPr>
            <w:rPr>
              <w:rFonts w:hint="eastAsia"/>
              <w:szCs w:val="21"/>
            </w:rPr>
            <w:alias w:val="记账本位币"/>
            <w:tag w:val="_GBC_3749a2357eba44e8b968cb41cda75ff1"/>
            <w:id w:val="-730468996"/>
            <w:lock w:val="sdtLocked"/>
            <w:placeholder>
              <w:docPart w:val="GBC22222222222222222222222222222"/>
            </w:placeholder>
          </w:sdtPr>
          <w:sdtEndPr/>
          <w:sdtContent>
            <w:p w14:paraId="219D2FB7" w14:textId="77777777" w:rsidR="00830E72" w:rsidRDefault="008344D8">
              <w:pPr>
                <w:rPr>
                  <w:szCs w:val="21"/>
                </w:rPr>
              </w:pPr>
              <w:r>
                <w:rPr>
                  <w:szCs w:val="21"/>
                </w:rPr>
                <w:t>本公司的记账本位币为人民币。</w:t>
              </w:r>
            </w:p>
          </w:sdtContent>
        </w:sdt>
        <w:p w14:paraId="263C5234" w14:textId="77777777" w:rsidR="00830E72" w:rsidRDefault="00D44830">
          <w:pPr>
            <w:rPr>
              <w:szCs w:val="21"/>
            </w:rPr>
          </w:pPr>
        </w:p>
      </w:sdtContent>
    </w:sdt>
    <w:sdt>
      <w:sdtPr>
        <w:rPr>
          <w:rFonts w:ascii="宋体" w:hAnsi="宋体" w:cs="宋体"/>
          <w:b w:val="0"/>
          <w:bCs w:val="0"/>
          <w:kern w:val="0"/>
          <w:szCs w:val="22"/>
        </w:rPr>
        <w:alias w:val="模块:同一控制下和非同一控制下企业合并的会计处理方法"/>
        <w:tag w:val="_GBC_f44e1e76b2a3457ea36bc088adcbb4c3"/>
        <w:id w:val="166904572"/>
        <w:lock w:val="sdtLocked"/>
        <w:placeholder>
          <w:docPart w:val="GBC22222222222222222222222222222"/>
        </w:placeholder>
      </w:sdtPr>
      <w:sdtEndPr>
        <w:rPr>
          <w:rFonts w:cs="Times New Roman" w:hint="eastAsia"/>
          <w:kern w:val="2"/>
          <w:szCs w:val="21"/>
        </w:rPr>
      </w:sdtEndPr>
      <w:sdtContent>
        <w:p w14:paraId="732A5CBE" w14:textId="77777777" w:rsidR="00830E72" w:rsidRDefault="008344D8">
          <w:pPr>
            <w:pStyle w:val="Style99"/>
            <w:numPr>
              <w:ilvl w:val="0"/>
              <w:numId w:val="35"/>
            </w:numPr>
            <w:rPr>
              <w:rFonts w:ascii="宋体" w:hAnsi="宋体"/>
            </w:rPr>
          </w:pPr>
          <w:r>
            <w:rPr>
              <w:rFonts w:ascii="宋体" w:hAnsi="宋体"/>
            </w:rPr>
            <w:t>同一控制下和非同一控制下企业合并的会计处理方法</w:t>
          </w:r>
        </w:p>
        <w:sdt>
          <w:sdtPr>
            <w:rPr>
              <w:rFonts w:hint="eastAsia"/>
              <w:szCs w:val="21"/>
            </w:rPr>
            <w:alias w:val="是否适用：同一控制下和非同一控制下企业合并的会计处理方法[双击切换]"/>
            <w:tag w:val="_GBC_15953b39483a4ce1a5c96869e4a0ae9c"/>
            <w:id w:val="887383553"/>
            <w:lock w:val="sdtContentLocked"/>
            <w:placeholder>
              <w:docPart w:val="GBC22222222222222222222222222222"/>
            </w:placeholder>
          </w:sdtPr>
          <w:sdtEndPr/>
          <w:sdtContent>
            <w:p w14:paraId="3B34ECA5"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74969722"/>
            <w:lock w:val="sdtLocked"/>
            <w:placeholder>
              <w:docPart w:val="GBC22222222222222222222222222222"/>
            </w:placeholder>
          </w:sdtPr>
          <w:sdtEndPr/>
          <w:sdtContent>
            <w:p w14:paraId="78674716" w14:textId="77777777" w:rsidR="00830E72" w:rsidRDefault="008344D8">
              <w:pPr>
                <w:ind w:firstLineChars="200" w:firstLine="420"/>
                <w:rPr>
                  <w:szCs w:val="21"/>
                </w:rPr>
              </w:pPr>
              <w:r>
                <w:rPr>
                  <w:rFonts w:hint="eastAsia"/>
                  <w:szCs w:val="21"/>
                </w:rPr>
                <w:t>（</w:t>
              </w:r>
              <w:r>
                <w:rPr>
                  <w:szCs w:val="21"/>
                </w:rPr>
                <w:t>1）同一控制下的企业合并</w:t>
              </w:r>
            </w:p>
            <w:p w14:paraId="2D1F0C55" w14:textId="77777777" w:rsidR="00830E72" w:rsidRDefault="008344D8">
              <w:pPr>
                <w:ind w:firstLineChars="200" w:firstLine="420"/>
                <w:rPr>
                  <w:szCs w:val="21"/>
                </w:rPr>
              </w:pPr>
              <w:r>
                <w:rPr>
                  <w:rFonts w:hint="eastAsia"/>
                  <w:szCs w:val="21"/>
                </w:rPr>
                <w:t>本公司在企业合并中取得的资产和负债，在合并日按取得被合并方在最终控制方合并财务报表中的账面价值计量。其中，对于被合并方与本公司在企业合并前采用的会计政策不同的，基于重要性原则统一会计政策，即按照本公司的会计政策对被合并方资产、负债的账面价值进行调整。</w:t>
              </w:r>
            </w:p>
            <w:p w14:paraId="1B28DDBE" w14:textId="77777777" w:rsidR="00830E72" w:rsidRDefault="008344D8">
              <w:pPr>
                <w:ind w:firstLineChars="200" w:firstLine="420"/>
                <w:rPr>
                  <w:szCs w:val="21"/>
                </w:rPr>
              </w:pPr>
              <w:r>
                <w:rPr>
                  <w:rFonts w:hint="eastAsia"/>
                  <w:szCs w:val="21"/>
                </w:rPr>
                <w:t>本公司在企业合并中取得的净资产账面价值与所支付对价的账面价值之间存在差额的，首先调整资本公积（资本溢价或股本溢价），资本公积（资本溢价或股本溢价）的余额不足冲减的，依次冲减盈余公积和未分配利润。</w:t>
              </w:r>
            </w:p>
            <w:p w14:paraId="09CF72BB" w14:textId="3620A49B" w:rsidR="00830E72" w:rsidRDefault="008344D8" w:rsidP="00574FCA">
              <w:pPr>
                <w:pStyle w:val="a9"/>
              </w:pPr>
              <w:r>
                <w:rPr>
                  <w:rFonts w:hint="eastAsia"/>
                </w:rPr>
                <w:t>通过分步交易实现同一控制下企业合并的会计处理方法见</w:t>
              </w:r>
              <w:r w:rsidR="00574FCA" w:rsidRPr="00C42F7B">
                <w:rPr>
                  <w:rFonts w:hint="eastAsia"/>
                </w:rPr>
                <w:t>“</w:t>
              </w:r>
              <w:r w:rsidR="00574FCA">
                <w:rPr>
                  <w:rFonts w:hint="eastAsia"/>
                </w:rPr>
                <w:t>第十</w:t>
              </w:r>
              <w:r w:rsidR="00574FCA" w:rsidRPr="00C42F7B">
                <w:rPr>
                  <w:rFonts w:hint="eastAsia"/>
                </w:rPr>
                <w:t>节财务报</w:t>
              </w:r>
              <w:r w:rsidR="00574FCA" w:rsidRPr="00553E76">
                <w:rPr>
                  <w:rFonts w:hint="eastAsia"/>
                </w:rPr>
                <w:t>告</w:t>
              </w:r>
              <w:r w:rsidR="00574FCA">
                <w:rPr>
                  <w:rFonts w:hint="eastAsia"/>
                </w:rPr>
                <w:t>”之“</w:t>
              </w:r>
              <w:r w:rsidR="00574FCA" w:rsidRPr="00553E76">
                <w:rPr>
                  <w:rFonts w:hint="eastAsia"/>
                </w:rPr>
                <w:t>五、重要会计政策及会计估计</w:t>
              </w:r>
              <w:r w:rsidR="00574FCA">
                <w:rPr>
                  <w:rFonts w:hint="eastAsia"/>
                </w:rPr>
                <w:t>”之</w:t>
              </w:r>
              <w:r w:rsidR="00574FCA" w:rsidRPr="00553E76">
                <w:t xml:space="preserve"> </w:t>
              </w:r>
              <w:r w:rsidR="00574FCA">
                <w:rPr>
                  <w:rFonts w:hint="eastAsia"/>
                </w:rPr>
                <w:t>“</w:t>
              </w:r>
              <w:r w:rsidR="00574FCA" w:rsidRPr="00553E76">
                <w:t>6</w:t>
              </w:r>
              <w:r w:rsidR="00574FCA" w:rsidRPr="00553E76">
                <w:t>、合并财务报表的编制方法（</w:t>
              </w:r>
              <w:r w:rsidR="00574FCA" w:rsidRPr="00553E76">
                <w:t>6</w:t>
              </w:r>
              <w:r w:rsidR="00574FCA" w:rsidRPr="00553E76">
                <w:t>）</w:t>
              </w:r>
              <w:r w:rsidR="00574FCA" w:rsidRPr="00553E76">
                <w:t>”</w:t>
              </w:r>
              <w:r>
                <w:t>。</w:t>
              </w:r>
            </w:p>
            <w:p w14:paraId="767125F4" w14:textId="77777777" w:rsidR="00830E72" w:rsidRDefault="008344D8">
              <w:pPr>
                <w:ind w:firstLineChars="200" w:firstLine="420"/>
                <w:rPr>
                  <w:szCs w:val="21"/>
                </w:rPr>
              </w:pPr>
              <w:r>
                <w:rPr>
                  <w:rFonts w:hint="eastAsia"/>
                  <w:szCs w:val="21"/>
                </w:rPr>
                <w:t>（</w:t>
              </w:r>
              <w:r>
                <w:rPr>
                  <w:szCs w:val="21"/>
                </w:rPr>
                <w:t>2）非同一控制下的企业合并</w:t>
              </w:r>
            </w:p>
            <w:p w14:paraId="6DCA006B" w14:textId="77777777" w:rsidR="00830E72" w:rsidRDefault="008344D8">
              <w:pPr>
                <w:ind w:firstLineChars="200" w:firstLine="420"/>
                <w:rPr>
                  <w:szCs w:val="21"/>
                </w:rPr>
              </w:pPr>
              <w:r>
                <w:rPr>
                  <w:rFonts w:hint="eastAsia"/>
                  <w:szCs w:val="21"/>
                </w:rPr>
                <w:t>本公司在企业合并中取得的被购买方各项可辨认资产和负债，在购买日按其公允价值计量。其中，对于被购买方与本公司在企业合并前采用的会计政策不同的，基于重要性原则统一会计政策，即按照本公司的会计政策对被购买方资产、负债的账面价值进行调整。本公司在购买日的合并成本大于企业合并中取得的被购买方可辨认资产、负债公允价值的差额，确认为商誉；如果合并成本小于企业合并中取得的被购买方可辨认资产、负债公允价值的差额，首先对合并成本以及在企业合并中取得的被购买方可辨认资产、负债的公允价值进行复核，经复核后合并成本仍小于取得的被购买方可辨认资产、负债公允价值的，其差额确认为合并当期损益。</w:t>
              </w:r>
            </w:p>
            <w:p w14:paraId="797EEF98" w14:textId="7024C2F5" w:rsidR="00830E72" w:rsidRDefault="008344D8">
              <w:pPr>
                <w:ind w:firstLineChars="200" w:firstLine="420"/>
                <w:rPr>
                  <w:szCs w:val="21"/>
                </w:rPr>
              </w:pPr>
              <w:r>
                <w:rPr>
                  <w:rFonts w:hint="eastAsia"/>
                  <w:szCs w:val="21"/>
                </w:rPr>
                <w:lastRenderedPageBreak/>
                <w:t>通过分步交易实现非同一控制下企业合并的会计处理方法见</w:t>
              </w:r>
              <w:r w:rsidR="008220C9" w:rsidRPr="00C42F7B">
                <w:rPr>
                  <w:rFonts w:hint="eastAsia"/>
                </w:rPr>
                <w:t>“</w:t>
              </w:r>
              <w:r w:rsidR="008220C9">
                <w:rPr>
                  <w:rFonts w:hint="eastAsia"/>
                </w:rPr>
                <w:t>第十</w:t>
              </w:r>
              <w:r w:rsidR="008220C9" w:rsidRPr="00C42F7B">
                <w:rPr>
                  <w:rFonts w:hint="eastAsia"/>
                </w:rPr>
                <w:t>节财务报</w:t>
              </w:r>
              <w:r w:rsidR="008220C9" w:rsidRPr="00553E76">
                <w:rPr>
                  <w:rFonts w:hint="eastAsia"/>
                </w:rPr>
                <w:t>告</w:t>
              </w:r>
              <w:r w:rsidR="008220C9">
                <w:rPr>
                  <w:rFonts w:hint="eastAsia"/>
                </w:rPr>
                <w:t>”之“</w:t>
              </w:r>
              <w:r w:rsidR="008220C9" w:rsidRPr="00553E76">
                <w:rPr>
                  <w:rFonts w:hint="eastAsia"/>
                </w:rPr>
                <w:t>五、重要会计政策及会计估计</w:t>
              </w:r>
              <w:r w:rsidR="008220C9">
                <w:rPr>
                  <w:rFonts w:hint="eastAsia"/>
                </w:rPr>
                <w:t>”之</w:t>
              </w:r>
              <w:r w:rsidR="008220C9" w:rsidRPr="00553E76">
                <w:t xml:space="preserve"> </w:t>
              </w:r>
              <w:r w:rsidR="008220C9">
                <w:rPr>
                  <w:rFonts w:hint="eastAsia"/>
                </w:rPr>
                <w:t>“</w:t>
              </w:r>
              <w:r w:rsidR="008220C9" w:rsidRPr="00553E76">
                <w:t>6、合并财务报表的编制方法（6）”</w:t>
              </w:r>
              <w:r>
                <w:rPr>
                  <w:szCs w:val="21"/>
                </w:rPr>
                <w:t>。</w:t>
              </w:r>
            </w:p>
            <w:p w14:paraId="15BA9B9F" w14:textId="77777777" w:rsidR="00830E72" w:rsidRDefault="008344D8">
              <w:pPr>
                <w:ind w:firstLineChars="200" w:firstLine="420"/>
                <w:rPr>
                  <w:szCs w:val="21"/>
                </w:rPr>
              </w:pPr>
              <w:r>
                <w:rPr>
                  <w:rFonts w:hint="eastAsia"/>
                  <w:szCs w:val="21"/>
                </w:rPr>
                <w:t>（</w:t>
              </w:r>
              <w:r>
                <w:rPr>
                  <w:szCs w:val="21"/>
                </w:rPr>
                <w:t>3）企业合并中有关交易费用的处理</w:t>
              </w:r>
            </w:p>
            <w:p w14:paraId="32F0F0EA" w14:textId="77777777" w:rsidR="00830E72" w:rsidRDefault="008344D8">
              <w:pPr>
                <w:ind w:firstLineChars="200" w:firstLine="420"/>
                <w:rPr>
                  <w:szCs w:val="21"/>
                </w:rPr>
              </w:pPr>
              <w:r>
                <w:rPr>
                  <w:rFonts w:hint="eastAsia"/>
                  <w:szCs w:val="21"/>
                </w:rPr>
                <w:t>为进行企业合并发生的审计、法律服务、评估咨询等中介费用以及其他相关管理费用，于发生时计入当期损益。作为合并对价发行的权益性证券或债务性证券的交易费用，计入权益性证券或债务性证券的初始确认金额。</w:t>
              </w:r>
            </w:p>
            <w:p w14:paraId="605705CA" w14:textId="77777777" w:rsidR="00830E72" w:rsidRDefault="00D44830">
              <w:pPr>
                <w:rPr>
                  <w:szCs w:val="21"/>
                </w:rPr>
              </w:pPr>
            </w:p>
          </w:sdtContent>
        </w:sdt>
      </w:sdtContent>
    </w:sdt>
    <w:sdt>
      <w:sdtPr>
        <w:rPr>
          <w:rFonts w:ascii="宋体" w:hAnsi="宋体" w:cs="宋体"/>
          <w:b w:val="0"/>
          <w:bCs w:val="0"/>
          <w:kern w:val="0"/>
          <w:szCs w:val="24"/>
        </w:rPr>
        <w:alias w:val="模块:合并财务报表的编制方法"/>
        <w:tag w:val="_GBC_c23be25e527044f689b710dabd312b04"/>
        <w:id w:val="1650627947"/>
        <w:lock w:val="sdtLocked"/>
        <w:placeholder>
          <w:docPart w:val="GBC22222222222222222222222222222"/>
        </w:placeholder>
      </w:sdtPr>
      <w:sdtEndPr>
        <w:rPr>
          <w:rFonts w:hint="eastAsia"/>
          <w:szCs w:val="21"/>
        </w:rPr>
      </w:sdtEndPr>
      <w:sdtContent>
        <w:p w14:paraId="05860CD9" w14:textId="77777777" w:rsidR="00830E72" w:rsidRDefault="008344D8">
          <w:pPr>
            <w:pStyle w:val="Style99"/>
            <w:numPr>
              <w:ilvl w:val="0"/>
              <w:numId w:val="35"/>
            </w:numPr>
            <w:rPr>
              <w:rFonts w:ascii="宋体" w:hAnsi="宋体"/>
            </w:rPr>
          </w:pPr>
          <w:r>
            <w:rPr>
              <w:rFonts w:ascii="宋体" w:hAnsi="宋体"/>
            </w:rPr>
            <w:t>合并财务报表的编制方法</w:t>
          </w:r>
        </w:p>
        <w:sdt>
          <w:sdtPr>
            <w:rPr>
              <w:rFonts w:hint="eastAsia"/>
              <w:szCs w:val="21"/>
            </w:rPr>
            <w:alias w:val="是否适用：合并财务报表的编制方法[双击切换]"/>
            <w:tag w:val="_GBC_dad2e053cc8c4461a681b3e4926c48a6"/>
            <w:id w:val="-77989026"/>
            <w:lock w:val="sdtContentLocked"/>
            <w:placeholder>
              <w:docPart w:val="GBC22222222222222222222222222222"/>
            </w:placeholder>
          </w:sdtPr>
          <w:sdtEndPr/>
          <w:sdtContent>
            <w:p w14:paraId="02A79AFB"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1188373097"/>
            <w:lock w:val="sdtLocked"/>
            <w:placeholder>
              <w:docPart w:val="GBC22222222222222222222222222222"/>
            </w:placeholder>
          </w:sdtPr>
          <w:sdtEndPr/>
          <w:sdtContent>
            <w:p w14:paraId="72F140DC" w14:textId="77777777" w:rsidR="00830E72" w:rsidRDefault="008344D8">
              <w:pPr>
                <w:ind w:firstLineChars="200" w:firstLine="420"/>
                <w:rPr>
                  <w:szCs w:val="21"/>
                </w:rPr>
              </w:pPr>
              <w:r>
                <w:rPr>
                  <w:rFonts w:hint="eastAsia"/>
                  <w:szCs w:val="21"/>
                </w:rPr>
                <w:t>（</w:t>
              </w:r>
              <w:r>
                <w:rPr>
                  <w:szCs w:val="21"/>
                </w:rPr>
                <w:t>1）合并范围的确定</w:t>
              </w:r>
            </w:p>
            <w:p w14:paraId="2C52222D" w14:textId="77777777" w:rsidR="00830E72" w:rsidRDefault="008344D8">
              <w:pPr>
                <w:ind w:firstLineChars="200" w:firstLine="420"/>
                <w:rPr>
                  <w:szCs w:val="21"/>
                </w:rPr>
              </w:pPr>
              <w:r>
                <w:rPr>
                  <w:rFonts w:hint="eastAsia"/>
                  <w:szCs w:val="21"/>
                </w:rPr>
                <w:t>合并财务报表的合并范围以控制为基础予以确定</w:t>
              </w:r>
              <w:r>
                <w:rPr>
                  <w:szCs w:val="21"/>
                </w:rPr>
                <w:t>, 不仅包括根据表决权（或类似表决权）本</w:t>
              </w:r>
              <w:r>
                <w:rPr>
                  <w:rFonts w:hint="eastAsia"/>
                  <w:szCs w:val="21"/>
                </w:rPr>
                <w:t>身或者结合其他安排确定的子公司，也包括基于一项或多项合同安排决定的结构化主体。</w:t>
              </w:r>
            </w:p>
            <w:p w14:paraId="65F5D244" w14:textId="77777777" w:rsidR="00830E72" w:rsidRDefault="008344D8">
              <w:pPr>
                <w:ind w:firstLineChars="200" w:firstLine="420"/>
                <w:rPr>
                  <w:szCs w:val="21"/>
                </w:rPr>
              </w:pPr>
              <w:r>
                <w:rPr>
                  <w:rFonts w:hint="eastAsia"/>
                  <w:szCs w:val="21"/>
                </w:rPr>
                <w:t>控制是指本公司拥有对被投资方的权力，通过参与被投资方的相关活动而享有可变回报，并且有能力运用对被投资方的权力影响其回报金额。子公司是指被本公司控制的主体（含企业、被投资单位中可分割的部分，以及企业所控制的结构化主体等），结构化主体是指在确定其控制方时没有将表决权或类似权利作为决定性因素而设计的主体（注：有时也称为特殊目的主体）。</w:t>
              </w:r>
            </w:p>
            <w:p w14:paraId="22906434" w14:textId="77777777" w:rsidR="00830E72" w:rsidRDefault="008344D8">
              <w:pPr>
                <w:ind w:firstLineChars="200" w:firstLine="420"/>
                <w:rPr>
                  <w:szCs w:val="21"/>
                </w:rPr>
              </w:pPr>
              <w:r>
                <w:rPr>
                  <w:rFonts w:hint="eastAsia"/>
                  <w:szCs w:val="21"/>
                </w:rPr>
                <w:t>（</w:t>
              </w:r>
              <w:r>
                <w:rPr>
                  <w:szCs w:val="21"/>
                </w:rPr>
                <w:t>2）关于母公司是投资性主体的特殊规定</w:t>
              </w:r>
            </w:p>
            <w:p w14:paraId="1860EF24" w14:textId="77777777" w:rsidR="00830E72" w:rsidRDefault="008344D8">
              <w:pPr>
                <w:ind w:firstLineChars="200" w:firstLine="420"/>
                <w:rPr>
                  <w:szCs w:val="21"/>
                </w:rPr>
              </w:pPr>
              <w:r>
                <w:rPr>
                  <w:rFonts w:hint="eastAsia"/>
                  <w:szCs w:val="21"/>
                </w:rPr>
                <w:t>如果母公司是投资性主体，则只将那些为投资性主体的投资活动提供相关服务的子公司纳入合并范围，其他子公司不予以合并，对不纳入合并范围的子公司的股权投资方确认为以公允价值计量且其变动计入当期损益的金融资产。</w:t>
              </w:r>
            </w:p>
            <w:p w14:paraId="59C30028" w14:textId="77777777" w:rsidR="00830E72" w:rsidRDefault="008344D8">
              <w:pPr>
                <w:ind w:firstLineChars="200" w:firstLine="420"/>
                <w:rPr>
                  <w:szCs w:val="21"/>
                </w:rPr>
              </w:pPr>
              <w:r>
                <w:rPr>
                  <w:rFonts w:hint="eastAsia"/>
                  <w:szCs w:val="21"/>
                </w:rPr>
                <w:t>当母公司同时满足下列条件时，该母公司属于投资性主体：</w:t>
              </w:r>
            </w:p>
            <w:p w14:paraId="28E9F4B2" w14:textId="77777777" w:rsidR="00830E72" w:rsidRDefault="008344D8">
              <w:pPr>
                <w:ind w:firstLineChars="200" w:firstLine="420"/>
                <w:rPr>
                  <w:szCs w:val="21"/>
                </w:rPr>
              </w:pPr>
              <w:r>
                <w:rPr>
                  <w:rFonts w:hint="eastAsia"/>
                  <w:szCs w:val="21"/>
                </w:rPr>
                <w:t>①该公司是以向投资方提供投资管理服务为目的，从一个或多个投资者处获取资金。</w:t>
              </w:r>
            </w:p>
            <w:p w14:paraId="325D154D" w14:textId="77777777" w:rsidR="00830E72" w:rsidRDefault="008344D8">
              <w:pPr>
                <w:ind w:firstLineChars="200" w:firstLine="420"/>
                <w:rPr>
                  <w:szCs w:val="21"/>
                </w:rPr>
              </w:pPr>
              <w:r>
                <w:rPr>
                  <w:rFonts w:hint="eastAsia"/>
                  <w:szCs w:val="21"/>
                </w:rPr>
                <w:t>②该公司的唯一经营目的，是通过资本增值、投资收益或两者兼有而让投资者获得回报。</w:t>
              </w:r>
            </w:p>
            <w:p w14:paraId="3806ED23" w14:textId="77777777" w:rsidR="00830E72" w:rsidRDefault="008344D8">
              <w:pPr>
                <w:ind w:firstLineChars="200" w:firstLine="420"/>
                <w:rPr>
                  <w:szCs w:val="21"/>
                </w:rPr>
              </w:pPr>
              <w:r>
                <w:rPr>
                  <w:rFonts w:hint="eastAsia"/>
                  <w:szCs w:val="21"/>
                </w:rPr>
                <w:t>③该公司按照公允价值对几乎所有投资的业绩进行考量和评价。</w:t>
              </w:r>
            </w:p>
            <w:p w14:paraId="7CC41A19" w14:textId="77777777" w:rsidR="00830E72" w:rsidRDefault="008344D8">
              <w:pPr>
                <w:ind w:firstLineChars="200" w:firstLine="420"/>
                <w:rPr>
                  <w:szCs w:val="21"/>
                </w:rPr>
              </w:pPr>
              <w:r>
                <w:rPr>
                  <w:rFonts w:hint="eastAsia"/>
                  <w:szCs w:val="21"/>
                </w:rPr>
                <w:t>当母公司由非投资性主体转变为投资性主体时，除仅将为其投资活动提供相关服务的子公司纳入合并财务报表范围编制合并财务报表外，企业自转变日起对其他子公司不再予以合并，并参照部分处置子公司股权但未丧失控制权的原则处理。</w:t>
              </w:r>
            </w:p>
            <w:p w14:paraId="0A2A2EBE" w14:textId="77777777" w:rsidR="00830E72" w:rsidRDefault="008344D8">
              <w:pPr>
                <w:ind w:firstLineChars="200" w:firstLine="420"/>
                <w:rPr>
                  <w:szCs w:val="21"/>
                </w:rPr>
              </w:pPr>
              <w:r>
                <w:rPr>
                  <w:rFonts w:hint="eastAsia"/>
                  <w:szCs w:val="21"/>
                </w:rPr>
                <w:t>当母公司由投资性主体转变为非投资性主体时，应将原未纳入合并财务报表范围的子公司于转变日纳入合并财务报表范围，原未纳入合并财务报表范围的子公司在转变日的公允价值视同为购买的交易对价，按照非同一控制下企业合并的会计处理方法进行处理。</w:t>
              </w:r>
            </w:p>
            <w:p w14:paraId="0F4FD3AB" w14:textId="77777777" w:rsidR="00830E72" w:rsidRDefault="008344D8">
              <w:pPr>
                <w:ind w:firstLineChars="200" w:firstLine="420"/>
                <w:rPr>
                  <w:szCs w:val="21"/>
                </w:rPr>
              </w:pPr>
              <w:r>
                <w:rPr>
                  <w:rFonts w:hint="eastAsia"/>
                  <w:szCs w:val="21"/>
                </w:rPr>
                <w:t>（</w:t>
              </w:r>
              <w:r>
                <w:rPr>
                  <w:szCs w:val="21"/>
                </w:rPr>
                <w:t>3）合并财务报表的编制方法</w:t>
              </w:r>
            </w:p>
            <w:p w14:paraId="0477F3C8" w14:textId="77777777" w:rsidR="00830E72" w:rsidRDefault="008344D8">
              <w:pPr>
                <w:ind w:firstLineChars="200" w:firstLine="420"/>
                <w:rPr>
                  <w:szCs w:val="21"/>
                </w:rPr>
              </w:pPr>
              <w:r>
                <w:rPr>
                  <w:rFonts w:hint="eastAsia"/>
                  <w:szCs w:val="21"/>
                </w:rPr>
                <w:t>本公司以自身和子公司的财务报表为基础，根据其他有关资料，编制合并财务报表。</w:t>
              </w:r>
            </w:p>
            <w:p w14:paraId="08CFFD07" w14:textId="77777777" w:rsidR="00830E72" w:rsidRDefault="008344D8">
              <w:pPr>
                <w:ind w:firstLineChars="200" w:firstLine="420"/>
                <w:rPr>
                  <w:szCs w:val="21"/>
                </w:rPr>
              </w:pPr>
              <w:r>
                <w:rPr>
                  <w:rFonts w:hint="eastAsia"/>
                  <w:szCs w:val="21"/>
                </w:rPr>
                <w:t>本公司编制合并财务报表，将整个企业集团视为一个会计主体，依据相关企业会计准则的确认、计量和列报要求，按照统一的会计政策和会计期间，反映企业集团整体财务状况、经营成果和现金流量。</w:t>
              </w:r>
            </w:p>
            <w:p w14:paraId="2E2A9FF4" w14:textId="77777777" w:rsidR="00830E72" w:rsidRDefault="008344D8">
              <w:pPr>
                <w:ind w:firstLineChars="200" w:firstLine="420"/>
                <w:rPr>
                  <w:szCs w:val="21"/>
                </w:rPr>
              </w:pPr>
              <w:r>
                <w:rPr>
                  <w:rFonts w:hint="eastAsia"/>
                  <w:szCs w:val="21"/>
                </w:rPr>
                <w:t>①合并母公司与子公司的资产、负债、所有者权益、收入、费用和现金流等项目。</w:t>
              </w:r>
            </w:p>
            <w:p w14:paraId="34472623" w14:textId="77777777" w:rsidR="00830E72" w:rsidRDefault="008344D8">
              <w:pPr>
                <w:ind w:firstLineChars="200" w:firstLine="420"/>
                <w:rPr>
                  <w:szCs w:val="21"/>
                </w:rPr>
              </w:pPr>
              <w:r>
                <w:rPr>
                  <w:rFonts w:hint="eastAsia"/>
                  <w:szCs w:val="21"/>
                </w:rPr>
                <w:t>②抵销母公司对子公司的长期股权投资与母公司在子公司所有者权益中所享有的份额。</w:t>
              </w:r>
            </w:p>
            <w:p w14:paraId="288EE608" w14:textId="77777777" w:rsidR="00830E72" w:rsidRDefault="008344D8">
              <w:pPr>
                <w:ind w:firstLineChars="200" w:firstLine="420"/>
                <w:rPr>
                  <w:szCs w:val="21"/>
                </w:rPr>
              </w:pPr>
              <w:r>
                <w:rPr>
                  <w:rFonts w:hint="eastAsia"/>
                  <w:szCs w:val="21"/>
                </w:rPr>
                <w:t>③抵销母公司与子公司、子公司相互之间发生的内部交易的影响。内部交易表明相关资产发生减值损失的，应当全额确认该部分损失。</w:t>
              </w:r>
            </w:p>
            <w:p w14:paraId="0D1B882B" w14:textId="77777777" w:rsidR="00830E72" w:rsidRDefault="008344D8">
              <w:pPr>
                <w:ind w:firstLineChars="200" w:firstLine="420"/>
                <w:rPr>
                  <w:szCs w:val="21"/>
                </w:rPr>
              </w:pPr>
              <w:r>
                <w:rPr>
                  <w:rFonts w:hint="eastAsia"/>
                  <w:szCs w:val="21"/>
                </w:rPr>
                <w:t>④站在企业集团角度对特殊交易事项予以调整。</w:t>
              </w:r>
            </w:p>
            <w:p w14:paraId="74438321" w14:textId="77777777" w:rsidR="00830E72" w:rsidRDefault="008344D8">
              <w:pPr>
                <w:ind w:firstLineChars="200" w:firstLine="420"/>
                <w:rPr>
                  <w:szCs w:val="21"/>
                </w:rPr>
              </w:pPr>
              <w:r>
                <w:rPr>
                  <w:rFonts w:hint="eastAsia"/>
                  <w:szCs w:val="21"/>
                </w:rPr>
                <w:t>（</w:t>
              </w:r>
              <w:r>
                <w:rPr>
                  <w:szCs w:val="21"/>
                </w:rPr>
                <w:t>4）报告期内增减子公司的处理</w:t>
              </w:r>
            </w:p>
            <w:p w14:paraId="5D0A7AF4" w14:textId="77777777" w:rsidR="00830E72" w:rsidRDefault="008344D8">
              <w:pPr>
                <w:ind w:firstLineChars="200" w:firstLine="420"/>
                <w:rPr>
                  <w:szCs w:val="21"/>
                </w:rPr>
              </w:pPr>
              <w:r>
                <w:rPr>
                  <w:rFonts w:hint="eastAsia"/>
                  <w:szCs w:val="21"/>
                </w:rPr>
                <w:t>①增加子公司或业务</w:t>
              </w:r>
            </w:p>
            <w:p w14:paraId="761BC71E" w14:textId="77777777" w:rsidR="00830E72" w:rsidRDefault="008344D8">
              <w:pPr>
                <w:ind w:firstLineChars="200" w:firstLine="420"/>
                <w:rPr>
                  <w:szCs w:val="21"/>
                </w:rPr>
              </w:pPr>
              <w:r>
                <w:rPr>
                  <w:szCs w:val="21"/>
                </w:rPr>
                <w:t>A.同一控制下企业合并增加的子公司或业务</w:t>
              </w:r>
            </w:p>
            <w:p w14:paraId="22B2B9FE" w14:textId="77777777" w:rsidR="00830E72" w:rsidRDefault="008344D8">
              <w:pPr>
                <w:ind w:firstLineChars="200" w:firstLine="420"/>
                <w:rPr>
                  <w:szCs w:val="21"/>
                </w:rPr>
              </w:pPr>
              <w:r>
                <w:rPr>
                  <w:rFonts w:hint="eastAsia"/>
                  <w:szCs w:val="21"/>
                </w:rPr>
                <w:t>（</w:t>
              </w:r>
              <w:r>
                <w:rPr>
                  <w:szCs w:val="21"/>
                </w:rPr>
                <w:t>a）编制合并资产负债表时，调整合并资产负债表的期初数，同时对比较报表的相关项目进</w:t>
              </w:r>
              <w:r>
                <w:rPr>
                  <w:rFonts w:hint="eastAsia"/>
                  <w:szCs w:val="21"/>
                </w:rPr>
                <w:t>行调整，视同合并后的报告主体自最终控制方开始控制时点起一直存在。</w:t>
              </w:r>
            </w:p>
            <w:p w14:paraId="3D9614EC" w14:textId="77777777" w:rsidR="00830E72" w:rsidRDefault="008344D8">
              <w:pPr>
                <w:ind w:firstLineChars="200" w:firstLine="420"/>
                <w:rPr>
                  <w:szCs w:val="21"/>
                </w:rPr>
              </w:pPr>
              <w:r>
                <w:rPr>
                  <w:rFonts w:hint="eastAsia"/>
                  <w:szCs w:val="21"/>
                </w:rPr>
                <w:t>（</w:t>
              </w:r>
              <w:r>
                <w:rPr>
                  <w:szCs w:val="21"/>
                </w:rPr>
                <w:t>b）编制合并利润表时，将该子公司以及业务合并当期期初至报告期末的收入、费用、利润</w:t>
              </w:r>
              <w:r>
                <w:rPr>
                  <w:rFonts w:hint="eastAsia"/>
                  <w:szCs w:val="21"/>
                </w:rPr>
                <w:t>纳入合并利润表，同时对比较报表的相关项目进行调整，视同合并后的报告主体自最终控制方开始控制时点起一直存在。</w:t>
              </w:r>
            </w:p>
            <w:p w14:paraId="41AD7ECC" w14:textId="77777777" w:rsidR="00830E72" w:rsidRDefault="008344D8">
              <w:pPr>
                <w:ind w:firstLineChars="200" w:firstLine="420"/>
                <w:rPr>
                  <w:szCs w:val="21"/>
                </w:rPr>
              </w:pPr>
              <w:r>
                <w:rPr>
                  <w:rFonts w:hint="eastAsia"/>
                  <w:szCs w:val="21"/>
                </w:rPr>
                <w:lastRenderedPageBreak/>
                <w:t>（</w:t>
              </w:r>
              <w:r>
                <w:rPr>
                  <w:szCs w:val="21"/>
                </w:rPr>
                <w:t>c）编制合并现金流量表时，将该子公司以及业务合并当期期初至报告期末的现金流量纳入</w:t>
              </w:r>
              <w:r>
                <w:rPr>
                  <w:rFonts w:hint="eastAsia"/>
                  <w:szCs w:val="21"/>
                </w:rPr>
                <w:t>合并现金流量表，同时对比较报表的相关项目进行调整，视同合并后的报告主体自最终控制方开始控制时点起一直存在。</w:t>
              </w:r>
            </w:p>
            <w:p w14:paraId="37E62284" w14:textId="77777777" w:rsidR="00830E72" w:rsidRDefault="008344D8">
              <w:pPr>
                <w:ind w:firstLineChars="200" w:firstLine="420"/>
                <w:rPr>
                  <w:szCs w:val="21"/>
                </w:rPr>
              </w:pPr>
              <w:r>
                <w:rPr>
                  <w:szCs w:val="21"/>
                </w:rPr>
                <w:t>B.非同一控制下企业合并增加的子公司或业务</w:t>
              </w:r>
            </w:p>
            <w:p w14:paraId="12C6E398" w14:textId="77777777" w:rsidR="00830E72" w:rsidRDefault="008344D8">
              <w:pPr>
                <w:ind w:firstLineChars="200" w:firstLine="420"/>
                <w:rPr>
                  <w:szCs w:val="21"/>
                </w:rPr>
              </w:pPr>
              <w:r>
                <w:rPr>
                  <w:rFonts w:hint="eastAsia"/>
                  <w:szCs w:val="21"/>
                </w:rPr>
                <w:t>（</w:t>
              </w:r>
              <w:r>
                <w:rPr>
                  <w:szCs w:val="21"/>
                </w:rPr>
                <w:t>a）编制合并资产负债表时，不调整合并资产负债表的期初数。</w:t>
              </w:r>
            </w:p>
            <w:p w14:paraId="7315F630" w14:textId="77777777" w:rsidR="00830E72" w:rsidRDefault="008344D8">
              <w:pPr>
                <w:ind w:firstLineChars="200" w:firstLine="420"/>
                <w:rPr>
                  <w:szCs w:val="21"/>
                </w:rPr>
              </w:pPr>
              <w:r>
                <w:rPr>
                  <w:rFonts w:hint="eastAsia"/>
                  <w:szCs w:val="21"/>
                </w:rPr>
                <w:t>（</w:t>
              </w:r>
              <w:r>
                <w:rPr>
                  <w:szCs w:val="21"/>
                </w:rPr>
                <w:t>b）编制合并利润表时，将该子公司以及业务购买日至报告期末的收入、费用、利润纳入合</w:t>
              </w:r>
              <w:r>
                <w:rPr>
                  <w:rFonts w:hint="eastAsia"/>
                  <w:szCs w:val="21"/>
                </w:rPr>
                <w:t>并利润表。</w:t>
              </w:r>
            </w:p>
            <w:p w14:paraId="2C928394" w14:textId="77777777" w:rsidR="00830E72" w:rsidRDefault="008344D8">
              <w:pPr>
                <w:ind w:firstLineChars="200" w:firstLine="420"/>
                <w:rPr>
                  <w:szCs w:val="21"/>
                </w:rPr>
              </w:pPr>
              <w:r>
                <w:rPr>
                  <w:rFonts w:hint="eastAsia"/>
                  <w:szCs w:val="21"/>
                </w:rPr>
                <w:t>（</w:t>
              </w:r>
              <w:r>
                <w:rPr>
                  <w:szCs w:val="21"/>
                </w:rPr>
                <w:t>c）编制合并现金流量表时，将该子公司购买日至报告期末的现金流量纳入合并现金流量表。</w:t>
              </w:r>
            </w:p>
            <w:p w14:paraId="0BCE8D3A" w14:textId="77777777" w:rsidR="00830E72" w:rsidRDefault="008344D8">
              <w:pPr>
                <w:ind w:firstLineChars="200" w:firstLine="420"/>
                <w:rPr>
                  <w:szCs w:val="21"/>
                </w:rPr>
              </w:pPr>
              <w:r>
                <w:rPr>
                  <w:rFonts w:hint="eastAsia"/>
                  <w:szCs w:val="21"/>
                </w:rPr>
                <w:t>②处置子公司或业务</w:t>
              </w:r>
            </w:p>
            <w:p w14:paraId="0E0C8FFD" w14:textId="77777777" w:rsidR="00830E72" w:rsidRDefault="008344D8">
              <w:pPr>
                <w:ind w:firstLineChars="200" w:firstLine="420"/>
                <w:rPr>
                  <w:szCs w:val="21"/>
                </w:rPr>
              </w:pPr>
              <w:r>
                <w:rPr>
                  <w:szCs w:val="21"/>
                </w:rPr>
                <w:t>A.编制合并资产负债表时，不调整合并资产负债表的期初数。</w:t>
              </w:r>
            </w:p>
            <w:p w14:paraId="12FC8CF1" w14:textId="77777777" w:rsidR="00830E72" w:rsidRDefault="008344D8">
              <w:pPr>
                <w:ind w:firstLineChars="200" w:firstLine="420"/>
                <w:rPr>
                  <w:szCs w:val="21"/>
                </w:rPr>
              </w:pPr>
              <w:r>
                <w:rPr>
                  <w:szCs w:val="21"/>
                </w:rPr>
                <w:t>B.编制合并利润表时，将该子公司以及业务期初至处置日的收入、费用、利润纳入合并利润</w:t>
              </w:r>
            </w:p>
            <w:p w14:paraId="7DB7BD95" w14:textId="77777777" w:rsidR="00830E72" w:rsidRDefault="008344D8">
              <w:pPr>
                <w:ind w:firstLineChars="200" w:firstLine="420"/>
                <w:rPr>
                  <w:szCs w:val="21"/>
                </w:rPr>
              </w:pPr>
              <w:r>
                <w:rPr>
                  <w:rFonts w:hint="eastAsia"/>
                  <w:szCs w:val="21"/>
                </w:rPr>
                <w:t>表。</w:t>
              </w:r>
            </w:p>
            <w:p w14:paraId="0CF0FAA3" w14:textId="77777777" w:rsidR="00830E72" w:rsidRDefault="008344D8">
              <w:pPr>
                <w:ind w:firstLineChars="200" w:firstLine="420"/>
                <w:rPr>
                  <w:szCs w:val="21"/>
                </w:rPr>
              </w:pPr>
              <w:r>
                <w:rPr>
                  <w:szCs w:val="21"/>
                </w:rPr>
                <w:t>C.编制合并现金流量表时将该子公司以及业务期初至处置日的现金流量纳入合并现金流量表。</w:t>
              </w:r>
            </w:p>
            <w:p w14:paraId="13CBFC49" w14:textId="77777777" w:rsidR="00830E72" w:rsidRDefault="008344D8">
              <w:pPr>
                <w:ind w:firstLineChars="200" w:firstLine="420"/>
                <w:rPr>
                  <w:szCs w:val="21"/>
                </w:rPr>
              </w:pPr>
              <w:r>
                <w:rPr>
                  <w:rFonts w:hint="eastAsia"/>
                  <w:szCs w:val="21"/>
                </w:rPr>
                <w:t>（</w:t>
              </w:r>
              <w:r>
                <w:rPr>
                  <w:szCs w:val="21"/>
                </w:rPr>
                <w:t>5）合并抵销中的特殊考虑</w:t>
              </w:r>
            </w:p>
            <w:p w14:paraId="139A316C" w14:textId="77777777" w:rsidR="00830E72" w:rsidRDefault="008344D8">
              <w:pPr>
                <w:ind w:firstLineChars="200" w:firstLine="420"/>
                <w:rPr>
                  <w:szCs w:val="21"/>
                </w:rPr>
              </w:pPr>
              <w:r>
                <w:rPr>
                  <w:rFonts w:hint="eastAsia"/>
                  <w:szCs w:val="21"/>
                </w:rPr>
                <w:t>①子公司持有本公司的长期股权投资，应当视为本公司的库存股，作为所有者权益的减项，在合并资产负债表中所有者权益项目下以“减：库存股”项目列示。</w:t>
              </w:r>
            </w:p>
            <w:p w14:paraId="1D66B8DB" w14:textId="77777777" w:rsidR="00830E72" w:rsidRDefault="008344D8">
              <w:pPr>
                <w:ind w:firstLineChars="200" w:firstLine="420"/>
                <w:rPr>
                  <w:szCs w:val="21"/>
                </w:rPr>
              </w:pPr>
              <w:r>
                <w:rPr>
                  <w:rFonts w:hint="eastAsia"/>
                  <w:szCs w:val="21"/>
                </w:rPr>
                <w:t>子公司相互之间持有的长期股权投资，比照本公司对子公司的股权投资的抵销方法，将长期股权投资与其对应的子公司所有者权益中所享有的份额相互抵销。</w:t>
              </w:r>
            </w:p>
            <w:p w14:paraId="08CE5B04" w14:textId="77777777" w:rsidR="00830E72" w:rsidRDefault="008344D8">
              <w:pPr>
                <w:ind w:firstLineChars="200" w:firstLine="420"/>
                <w:rPr>
                  <w:szCs w:val="21"/>
                </w:rPr>
              </w:pPr>
              <w:r>
                <w:rPr>
                  <w:rFonts w:hint="eastAsia"/>
                  <w:szCs w:val="21"/>
                </w:rPr>
                <w:t>②“专项储备”和“一般风险准备”项目由于既不属于实收资本（或股本）、资本公积，也与留存收益、未分配利润不同，在长期股权投资与子公司所有者权益相互抵销后，按归属于母公司所有者的份额予以恢复。</w:t>
              </w:r>
            </w:p>
            <w:p w14:paraId="6F86576E" w14:textId="77777777" w:rsidR="00830E72" w:rsidRDefault="008344D8">
              <w:pPr>
                <w:ind w:firstLineChars="200" w:firstLine="420"/>
                <w:rPr>
                  <w:szCs w:val="21"/>
                </w:rPr>
              </w:pPr>
              <w:r>
                <w:rPr>
                  <w:rFonts w:hint="eastAsia"/>
                  <w:szCs w:val="21"/>
                </w:rPr>
                <w:t>③因抵销未实现内部销售损益导致合并资产负债表中资产、负债的账面价值与其在所属纳税主体的计税基础之间产生暂时性差异的，在合并资产负债表中确认递延所得税资产或递延所得税负债，同时调整合并利润表中的所得税费用，但与直接计入所有者权益的交易或事项及企业合并相关的递延所得税除外。</w:t>
              </w:r>
            </w:p>
            <w:p w14:paraId="0FD512E5" w14:textId="77777777" w:rsidR="00830E72" w:rsidRDefault="008344D8">
              <w:pPr>
                <w:ind w:firstLineChars="200" w:firstLine="420"/>
                <w:rPr>
                  <w:szCs w:val="21"/>
                </w:rPr>
              </w:pPr>
              <w:r>
                <w:rPr>
                  <w:rFonts w:hint="eastAsia"/>
                  <w:szCs w:val="21"/>
                </w:rPr>
                <w:t>④本公司向子公司出售资产所发生的未实现内部交易损益，应当全额抵销“归属于母公司所有者的净利润”。子公司向本公司出售资产所发生的未实现内部交易损益，应当按照本公司对该子公司的分配比例在“归属于母公司所有者的净利润”和“少数股东损益”之间分配抵销。子公司之间出售资产所发生的未实现内部交易损益，应当按照本公司对出售方子公司的分配比例在“归属于母公司所有者的净利润”和“少数股东损益”之间分配抵销。</w:t>
              </w:r>
            </w:p>
            <w:p w14:paraId="7C429F73" w14:textId="77777777" w:rsidR="00830E72" w:rsidRDefault="008344D8">
              <w:pPr>
                <w:ind w:firstLineChars="200" w:firstLine="420"/>
                <w:rPr>
                  <w:szCs w:val="21"/>
                </w:rPr>
              </w:pPr>
              <w:r>
                <w:rPr>
                  <w:rFonts w:hint="eastAsia"/>
                  <w:szCs w:val="21"/>
                </w:rPr>
                <w:t>⑤子公司少数股东分担的当期亏损超过了少数股东在该子公司期初所有者权益中所享有的份额的，其余额仍应当冲减少数股东权益。</w:t>
              </w:r>
            </w:p>
            <w:p w14:paraId="22EBEAD3" w14:textId="77777777" w:rsidR="00830E72" w:rsidRDefault="008344D8">
              <w:pPr>
                <w:ind w:firstLineChars="200" w:firstLine="420"/>
                <w:rPr>
                  <w:szCs w:val="21"/>
                </w:rPr>
              </w:pPr>
              <w:r>
                <w:rPr>
                  <w:rFonts w:hint="eastAsia"/>
                  <w:szCs w:val="21"/>
                </w:rPr>
                <w:t>（</w:t>
              </w:r>
              <w:r>
                <w:rPr>
                  <w:szCs w:val="21"/>
                </w:rPr>
                <w:t>6）特殊交易的会计处理</w:t>
              </w:r>
            </w:p>
            <w:p w14:paraId="4F9C77CB" w14:textId="77777777" w:rsidR="00830E72" w:rsidRDefault="008344D8">
              <w:pPr>
                <w:ind w:firstLineChars="200" w:firstLine="420"/>
                <w:rPr>
                  <w:szCs w:val="21"/>
                </w:rPr>
              </w:pPr>
              <w:r>
                <w:rPr>
                  <w:rFonts w:hint="eastAsia"/>
                  <w:szCs w:val="21"/>
                </w:rPr>
                <w:t>①购买少数股东股权</w:t>
              </w:r>
            </w:p>
            <w:p w14:paraId="40AC8A1A" w14:textId="77777777" w:rsidR="00830E72" w:rsidRDefault="008344D8">
              <w:pPr>
                <w:ind w:firstLineChars="200" w:firstLine="420"/>
                <w:rPr>
                  <w:szCs w:val="21"/>
                </w:rPr>
              </w:pPr>
              <w:r>
                <w:rPr>
                  <w:rFonts w:hint="eastAsia"/>
                  <w:szCs w:val="21"/>
                </w:rPr>
                <w:t>本公司购买子公司少数股东拥有的子公司股权，在个别财务报表中，购买少数股权新取得的长期股权投资的投资成本按照所支付对价的公允价值计量。在合并财务报表中，因购买少数股权新取得的长期股权投资与按照新增持股比例计算应享有子公司自购买日或合并日开始持续计算的净资产份额之间的差额，应当调整资本公积（资本溢价或股本溢价），资本公积不足冲减的，依次冲减盈余公积和未分配利润。</w:t>
              </w:r>
            </w:p>
            <w:p w14:paraId="363ADBBE" w14:textId="77777777" w:rsidR="00830E72" w:rsidRDefault="008344D8">
              <w:pPr>
                <w:ind w:firstLineChars="200" w:firstLine="420"/>
                <w:rPr>
                  <w:szCs w:val="21"/>
                </w:rPr>
              </w:pPr>
              <w:r>
                <w:rPr>
                  <w:rFonts w:hint="eastAsia"/>
                  <w:szCs w:val="21"/>
                </w:rPr>
                <w:t>②通过多次交易分步取得子公司控制权的</w:t>
              </w:r>
            </w:p>
            <w:p w14:paraId="0B0CC8C4" w14:textId="77777777" w:rsidR="00830E72" w:rsidRDefault="008344D8">
              <w:pPr>
                <w:ind w:firstLineChars="200" w:firstLine="420"/>
                <w:rPr>
                  <w:szCs w:val="21"/>
                </w:rPr>
              </w:pPr>
              <w:r>
                <w:rPr>
                  <w:szCs w:val="21"/>
                </w:rPr>
                <w:t>A.通过多次交易分步实现同一控制下企业合并</w:t>
              </w:r>
            </w:p>
            <w:p w14:paraId="047EB849" w14:textId="77777777" w:rsidR="00830E72" w:rsidRDefault="008344D8">
              <w:pPr>
                <w:ind w:firstLineChars="200" w:firstLine="420"/>
                <w:rPr>
                  <w:szCs w:val="21"/>
                </w:rPr>
              </w:pPr>
              <w:r>
                <w:rPr>
                  <w:rFonts w:hint="eastAsia"/>
                  <w:szCs w:val="21"/>
                </w:rPr>
                <w:t>在合并日，本公司在个别财务报表中，根据合并后应享有的子公司净资产在最终控制方合并财务报表中的账面价值的份额，确定长期股权投资的初始投资成本；初始投资成本与达到合并前的长期股权投资账面价值加上合并日取得进一步股份新支付对价的账面价值之和的差额，调整资本公积（资本溢价或股本溢价），资本公积（资本溢价或股本溢价）不足冲减的，依次冲减盈余公积和未分配利润。</w:t>
              </w:r>
            </w:p>
            <w:p w14:paraId="0C707B06" w14:textId="77777777" w:rsidR="00830E72" w:rsidRDefault="008344D8">
              <w:pPr>
                <w:ind w:firstLineChars="200" w:firstLine="420"/>
                <w:rPr>
                  <w:szCs w:val="21"/>
                </w:rPr>
              </w:pPr>
              <w:r>
                <w:rPr>
                  <w:rFonts w:hint="eastAsia"/>
                  <w:szCs w:val="21"/>
                </w:rPr>
                <w:t>在合并财务报表中，合并方在合并中取得的被合并方的资产、负债，除因会计政策不同而进行的调整以外，按合并日在最终控制方合并财务报表中的账面价值计量；合并前持有投资的账面价值加上合并日新支付对价的账面价值之和，与合并中取得的净资产账面价值的差额，调整资本公积（股本溢价</w:t>
              </w:r>
              <w:r>
                <w:rPr>
                  <w:szCs w:val="21"/>
                </w:rPr>
                <w:t>/资本溢价），资本公积不足冲减的，调整留存收益。</w:t>
              </w:r>
            </w:p>
            <w:p w14:paraId="522C58FD" w14:textId="77777777" w:rsidR="00830E72" w:rsidRDefault="008344D8">
              <w:pPr>
                <w:ind w:firstLineChars="200" w:firstLine="420"/>
                <w:rPr>
                  <w:szCs w:val="21"/>
                </w:rPr>
              </w:pPr>
              <w:r>
                <w:rPr>
                  <w:rFonts w:hint="eastAsia"/>
                  <w:szCs w:val="21"/>
                </w:rPr>
                <w:lastRenderedPageBreak/>
                <w:t>合并方在取得被合并方控制权之前持有的股权投资且按权益法核算的，在取得原股权之日与合并方和被合并方同处于同一方最终控制之日孰晚日起至合并日之间已确认有关损益、其他综合收益以及其他所有者权益变动，应分别冲减比较报表期间的期初留存收益。</w:t>
              </w:r>
            </w:p>
            <w:p w14:paraId="0A5ECA83" w14:textId="77777777" w:rsidR="00830E72" w:rsidRDefault="008344D8">
              <w:pPr>
                <w:ind w:firstLineChars="200" w:firstLine="420"/>
                <w:rPr>
                  <w:szCs w:val="21"/>
                </w:rPr>
              </w:pPr>
              <w:r>
                <w:rPr>
                  <w:szCs w:val="21"/>
                </w:rPr>
                <w:t>B.通过多次交易分步实现非同一控制下企业合并</w:t>
              </w:r>
            </w:p>
            <w:p w14:paraId="718BCCF1" w14:textId="77777777" w:rsidR="00830E72" w:rsidRDefault="008344D8">
              <w:pPr>
                <w:ind w:firstLineChars="200" w:firstLine="420"/>
                <w:rPr>
                  <w:szCs w:val="21"/>
                </w:rPr>
              </w:pPr>
              <w:r>
                <w:rPr>
                  <w:rFonts w:hint="eastAsia"/>
                  <w:szCs w:val="21"/>
                </w:rPr>
                <w:t>在合并日，在个别财务报表中，按照原持有的长期股权投资的账面价值加上合并日新增投资成本之和，作为合并日长期股权投资的初始投资成本。</w:t>
              </w:r>
            </w:p>
            <w:p w14:paraId="1B423316" w14:textId="77777777" w:rsidR="00830E72" w:rsidRDefault="008344D8">
              <w:pPr>
                <w:ind w:firstLineChars="200" w:firstLine="420"/>
                <w:rPr>
                  <w:szCs w:val="21"/>
                </w:rPr>
              </w:pPr>
              <w:r>
                <w:rPr>
                  <w:rFonts w:hint="eastAsia"/>
                  <w:szCs w:val="21"/>
                </w:rPr>
                <w:t>在合并财务报表中，对于购买日之前持有的被购买方的股权，按照该股权在购买日的公允价值进行重新计量，公允价值与其账面价值的差额计入当期投资收益；购买日之前持有的被购买方的股权涉及权益法核算下的其他综合收益等的，与其相关的其他综合收益等转为购买日所属当期收益，但由于被合并方重新计量设定受益计划净资产或净负债变动而产生的其他综合收益除外。</w:t>
              </w:r>
            </w:p>
            <w:p w14:paraId="55AE9E72" w14:textId="77777777" w:rsidR="00830E72" w:rsidRDefault="008344D8">
              <w:pPr>
                <w:ind w:firstLineChars="200" w:firstLine="420"/>
                <w:rPr>
                  <w:szCs w:val="21"/>
                </w:rPr>
              </w:pPr>
              <w:r>
                <w:rPr>
                  <w:rFonts w:hint="eastAsia"/>
                  <w:szCs w:val="21"/>
                </w:rPr>
                <w:t>本公司在附注中披露其在购买日之前持有的被购买方的股权在购买日的公允价值、按照公允价值重新计量产生的相关利得或损失的金额。</w:t>
              </w:r>
            </w:p>
            <w:p w14:paraId="270151E2" w14:textId="77777777" w:rsidR="00830E72" w:rsidRDefault="008344D8">
              <w:pPr>
                <w:ind w:firstLineChars="200" w:firstLine="420"/>
                <w:rPr>
                  <w:szCs w:val="21"/>
                </w:rPr>
              </w:pPr>
              <w:r>
                <w:rPr>
                  <w:rFonts w:hint="eastAsia"/>
                  <w:szCs w:val="21"/>
                </w:rPr>
                <w:t>③本公司处置对子公司长期股权投资但未丧失控制权</w:t>
              </w:r>
            </w:p>
            <w:p w14:paraId="78AF161A" w14:textId="77777777" w:rsidR="00830E72" w:rsidRDefault="008344D8">
              <w:pPr>
                <w:ind w:firstLineChars="200" w:firstLine="420"/>
                <w:rPr>
                  <w:szCs w:val="21"/>
                </w:rPr>
              </w:pPr>
              <w:r>
                <w:rPr>
                  <w:rFonts w:hint="eastAsia"/>
                  <w:szCs w:val="21"/>
                </w:rPr>
                <w:t>母公司在不丧失控制权的情况下部分处置对子公司的长期股权投资，在合并财务报表中，处置价款与处置长期股权投资相对应享有子公司自购买日或合并日开始持续计算的净资产份额之间的差额，调整资本公积（资本溢价或股本溢价），资本公积不足冲减的，调整留存收益。</w:t>
              </w:r>
            </w:p>
            <w:p w14:paraId="6FEFDCD4" w14:textId="77777777" w:rsidR="00830E72" w:rsidRDefault="008344D8">
              <w:pPr>
                <w:ind w:firstLineChars="200" w:firstLine="420"/>
                <w:rPr>
                  <w:szCs w:val="21"/>
                </w:rPr>
              </w:pPr>
              <w:r>
                <w:rPr>
                  <w:rFonts w:hint="eastAsia"/>
                  <w:szCs w:val="21"/>
                </w:rPr>
                <w:t>④本公司处置对子公司长期股权投资且丧失控制权</w:t>
              </w:r>
            </w:p>
            <w:p w14:paraId="5FF794BE" w14:textId="77777777" w:rsidR="00830E72" w:rsidRDefault="008344D8">
              <w:pPr>
                <w:ind w:firstLineChars="200" w:firstLine="420"/>
                <w:rPr>
                  <w:szCs w:val="21"/>
                </w:rPr>
              </w:pPr>
              <w:r>
                <w:rPr>
                  <w:szCs w:val="21"/>
                </w:rPr>
                <w:t>A.一次交易处置</w:t>
              </w:r>
            </w:p>
            <w:p w14:paraId="3812343C" w14:textId="77777777" w:rsidR="00830E72" w:rsidRDefault="008344D8">
              <w:pPr>
                <w:ind w:firstLineChars="200" w:firstLine="420"/>
                <w:rPr>
                  <w:szCs w:val="21"/>
                </w:rPr>
              </w:pPr>
              <w:r>
                <w:rPr>
                  <w:rFonts w:hint="eastAsia"/>
                  <w:szCs w:val="21"/>
                </w:rPr>
                <w:t>本公司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收益。</w:t>
              </w:r>
            </w:p>
            <w:p w14:paraId="2D6ABB43" w14:textId="77777777" w:rsidR="00830E72" w:rsidRDefault="008344D8">
              <w:pPr>
                <w:ind w:firstLineChars="200" w:firstLine="420"/>
                <w:rPr>
                  <w:szCs w:val="21"/>
                </w:rPr>
              </w:pPr>
              <w:r>
                <w:rPr>
                  <w:rFonts w:hint="eastAsia"/>
                  <w:szCs w:val="21"/>
                </w:rPr>
                <w:t>与原子公司的股权投资相关的其他综合收益、其他所有者权益变动，在丧失控制权时转入当期损益，由于被投资方重新计量设定受益计划净负债或净资产变动而产生的其他综合收益除外。</w:t>
              </w:r>
            </w:p>
            <w:p w14:paraId="729ECE88" w14:textId="77777777" w:rsidR="00830E72" w:rsidRDefault="008344D8">
              <w:pPr>
                <w:ind w:firstLineChars="200" w:firstLine="420"/>
                <w:rPr>
                  <w:szCs w:val="21"/>
                </w:rPr>
              </w:pPr>
              <w:r>
                <w:rPr>
                  <w:szCs w:val="21"/>
                </w:rPr>
                <w:t>B.多次交易分步处置</w:t>
              </w:r>
            </w:p>
            <w:p w14:paraId="51662566" w14:textId="77777777" w:rsidR="00830E72" w:rsidRDefault="008344D8">
              <w:pPr>
                <w:ind w:firstLineChars="200" w:firstLine="420"/>
                <w:rPr>
                  <w:szCs w:val="21"/>
                </w:rPr>
              </w:pPr>
              <w:r>
                <w:rPr>
                  <w:rFonts w:hint="eastAsia"/>
                  <w:szCs w:val="21"/>
                </w:rPr>
                <w:t>在合并财务报表中，应首先判断分步交易是否属于“一揽子交易”。</w:t>
              </w:r>
            </w:p>
            <w:p w14:paraId="56B5ACC5" w14:textId="77777777" w:rsidR="00830E72" w:rsidRDefault="008344D8">
              <w:pPr>
                <w:ind w:firstLineChars="200" w:firstLine="420"/>
                <w:rPr>
                  <w:szCs w:val="21"/>
                </w:rPr>
              </w:pPr>
              <w:r>
                <w:rPr>
                  <w:rFonts w:hint="eastAsia"/>
                  <w:szCs w:val="21"/>
                </w:rPr>
                <w:t>如果分步交易不属于“一揽子交易”的，在个别财务报表中，对丧失子公司控制权之前的各项交易，结转每一次处置股权相对应的长期股权投资的账面价值，所得价款与处置长期股权投资账面价值之间的差额计入当期投资收益；在合并财务报表中，应按照“母公司处置对子公司长期股权投资但未丧失控制权”的有关规定处理。</w:t>
              </w:r>
            </w:p>
            <w:p w14:paraId="12B1DEEE" w14:textId="77777777" w:rsidR="00830E72" w:rsidRDefault="008344D8">
              <w:pPr>
                <w:ind w:firstLineChars="200" w:firstLine="420"/>
                <w:rPr>
                  <w:szCs w:val="21"/>
                </w:rPr>
              </w:pPr>
              <w:r>
                <w:rPr>
                  <w:rFonts w:hint="eastAsia"/>
                  <w:szCs w:val="21"/>
                </w:rPr>
                <w:t>如果分步交易属于“一揽子交易”的，应当将各项交易作为一项处置子公司并丧失控制权的交易进行会计处理；在个别财务报表中，在丧失控制权之前的每一次处置价款与所处置的股权对应的长期股权投资账面价值之间的差额，先确认为其他综合收益，到丧失控制权时再一并转入丧失控制权的当期损益；在合并财务报表中，对于丧失控制权之前的每一次交易，处置价款与处置投资对应的享有该子公司净资产份额的差额应当确认为其他综合收益，在丧失控制权时一并转入丧失控制权当期的损益。</w:t>
              </w:r>
            </w:p>
            <w:p w14:paraId="4CC21060" w14:textId="77777777" w:rsidR="00830E72" w:rsidRDefault="008344D8">
              <w:pPr>
                <w:ind w:firstLineChars="200" w:firstLine="420"/>
                <w:rPr>
                  <w:szCs w:val="21"/>
                </w:rPr>
              </w:pPr>
              <w:r>
                <w:rPr>
                  <w:rFonts w:hint="eastAsia"/>
                  <w:szCs w:val="21"/>
                </w:rPr>
                <w:t>各项交易的条款、条件以及经济影响符合下列一种或多种情况的，通常将多次交易作为“一揽子交易”进行会计处理：</w:t>
              </w:r>
            </w:p>
            <w:p w14:paraId="4BFB0A64" w14:textId="77777777" w:rsidR="00830E72" w:rsidRDefault="008344D8">
              <w:pPr>
                <w:ind w:firstLineChars="200" w:firstLine="420"/>
                <w:rPr>
                  <w:szCs w:val="21"/>
                </w:rPr>
              </w:pPr>
              <w:r>
                <w:rPr>
                  <w:rFonts w:hint="eastAsia"/>
                  <w:szCs w:val="21"/>
                </w:rPr>
                <w:t>（</w:t>
              </w:r>
              <w:r>
                <w:rPr>
                  <w:szCs w:val="21"/>
                </w:rPr>
                <w:t>a）这些交易是同时或者在考虑了彼此影响的情况下订立的。</w:t>
              </w:r>
            </w:p>
            <w:p w14:paraId="78CA7E29" w14:textId="77777777" w:rsidR="00830E72" w:rsidRDefault="008344D8">
              <w:pPr>
                <w:ind w:firstLineChars="200" w:firstLine="420"/>
                <w:rPr>
                  <w:szCs w:val="21"/>
                </w:rPr>
              </w:pPr>
              <w:r>
                <w:rPr>
                  <w:rFonts w:hint="eastAsia"/>
                  <w:szCs w:val="21"/>
                </w:rPr>
                <w:t>（</w:t>
              </w:r>
              <w:r>
                <w:rPr>
                  <w:szCs w:val="21"/>
                </w:rPr>
                <w:t>b）这些交易整体才能达成一项完整的商业结果。</w:t>
              </w:r>
            </w:p>
            <w:p w14:paraId="0B56D0F3" w14:textId="77777777" w:rsidR="00830E72" w:rsidRDefault="008344D8">
              <w:pPr>
                <w:ind w:firstLineChars="200" w:firstLine="420"/>
                <w:rPr>
                  <w:szCs w:val="21"/>
                </w:rPr>
              </w:pPr>
              <w:r>
                <w:rPr>
                  <w:rFonts w:hint="eastAsia"/>
                  <w:szCs w:val="21"/>
                </w:rPr>
                <w:t>（</w:t>
              </w:r>
              <w:r>
                <w:rPr>
                  <w:szCs w:val="21"/>
                </w:rPr>
                <w:t>c）一项交易的发生取决于其他至少一项交易的发生。</w:t>
              </w:r>
            </w:p>
            <w:p w14:paraId="1C9ABD0A" w14:textId="77777777" w:rsidR="00830E72" w:rsidRDefault="008344D8">
              <w:pPr>
                <w:ind w:firstLineChars="200" w:firstLine="420"/>
                <w:rPr>
                  <w:szCs w:val="21"/>
                </w:rPr>
              </w:pPr>
              <w:r>
                <w:rPr>
                  <w:rFonts w:hint="eastAsia"/>
                  <w:szCs w:val="21"/>
                </w:rPr>
                <w:t>（</w:t>
              </w:r>
              <w:r>
                <w:rPr>
                  <w:szCs w:val="21"/>
                </w:rPr>
                <w:t>d）一项交易单独考虑时是不经济的，但是和其他交易一并考虑时是经济的。</w:t>
              </w:r>
            </w:p>
            <w:p w14:paraId="7752FC66" w14:textId="77777777" w:rsidR="00830E72" w:rsidRDefault="008344D8">
              <w:pPr>
                <w:ind w:firstLineChars="200" w:firstLine="420"/>
                <w:rPr>
                  <w:szCs w:val="21"/>
                </w:rPr>
              </w:pPr>
              <w:r>
                <w:rPr>
                  <w:rFonts w:hint="eastAsia"/>
                  <w:szCs w:val="21"/>
                </w:rPr>
                <w:t>⑤因子公司的少数股东增资而稀释母公司拥有的股权比例</w:t>
              </w:r>
            </w:p>
            <w:p w14:paraId="45A9D81B" w14:textId="77777777" w:rsidR="00830E72" w:rsidRDefault="008344D8">
              <w:pPr>
                <w:ind w:firstLineChars="200" w:firstLine="420"/>
                <w:rPr>
                  <w:szCs w:val="21"/>
                </w:rPr>
              </w:pPr>
              <w:r>
                <w:rPr>
                  <w:rFonts w:hint="eastAsia"/>
                  <w:szCs w:val="21"/>
                </w:rPr>
                <w:t>子公司的其他股东（少数股东）对子公司进行增资，由此稀释了母公司对子公司的股权比例。在合并财务报表中，按照增资前的母公司股权比例计算其在增资前子公司账面净资产中的份额，该份额与增资后按照母公司持股比例计算的在增资后子公司账面净资产份额之间的差额调整资本公积（资本溢价或股本溢价），资本公积（资本溢价或股本溢价）不足冲减的，调整留存收益。</w:t>
              </w:r>
            </w:p>
          </w:sdtContent>
        </w:sdt>
      </w:sdtContent>
    </w:sdt>
    <w:p w14:paraId="1FD451D0" w14:textId="77777777" w:rsidR="00830E72" w:rsidRDefault="00830E72">
      <w:pPr>
        <w:ind w:firstLineChars="200" w:firstLine="420"/>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870529312"/>
        <w:lock w:val="sdtLocked"/>
        <w:placeholder>
          <w:docPart w:val="GBC22222222222222222222222222222"/>
        </w:placeholder>
      </w:sdtPr>
      <w:sdtEndPr>
        <w:rPr>
          <w:b/>
          <w:bCs/>
        </w:rPr>
      </w:sdtEndPr>
      <w:sdtContent>
        <w:p w14:paraId="2F534F69" w14:textId="77777777" w:rsidR="00830E72" w:rsidRDefault="008344D8">
          <w:pPr>
            <w:pStyle w:val="Style99"/>
            <w:numPr>
              <w:ilvl w:val="0"/>
              <w:numId w:val="35"/>
            </w:numPr>
            <w:rPr>
              <w:rFonts w:ascii="宋体" w:hAnsi="宋体"/>
              <w:szCs w:val="21"/>
            </w:rPr>
          </w:pPr>
          <w:r>
            <w:rPr>
              <w:rFonts w:ascii="宋体" w:hAnsi="宋体" w:hint="eastAsia"/>
              <w:szCs w:val="21"/>
            </w:rPr>
            <w:t>合营安排</w:t>
          </w:r>
          <w:r>
            <w:rPr>
              <w:rFonts w:ascii="宋体" w:hAnsi="宋体" w:hint="eastAsia"/>
            </w:rPr>
            <w:t>分类</w:t>
          </w:r>
          <w:r>
            <w:rPr>
              <w:rFonts w:ascii="宋体" w:hAnsi="宋体" w:hint="eastAsia"/>
              <w:szCs w:val="21"/>
            </w:rPr>
            <w:t>及共同经营会计处理方法</w:t>
          </w:r>
        </w:p>
        <w:sdt>
          <w:sdtPr>
            <w:rPr>
              <w:rFonts w:hint="eastAsia"/>
            </w:rPr>
            <w:alias w:val="是否适用：合营安排分类及共同经营会计处理方法[双击切换]"/>
            <w:tag w:val="_GBC_f94c8519453541fe9de852d3064d61d5"/>
            <w:id w:val="-1212040209"/>
            <w:lock w:val="sdtContentLocked"/>
            <w:placeholder>
              <w:docPart w:val="GBC22222222222222222222222222222"/>
            </w:placeholder>
          </w:sdtPr>
          <w:sdtEndPr/>
          <w:sdtContent>
            <w:p w14:paraId="2A1A477D"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合营安排分类及共同经营会计处理方法"/>
            <w:tag w:val="_GBC_cf67ede4230c4056b34792c6a0db55e2"/>
            <w:id w:val="1736204771"/>
            <w:lock w:val="sdtLocked"/>
            <w:placeholder>
              <w:docPart w:val="GBC22222222222222222222222222222"/>
            </w:placeholder>
          </w:sdtPr>
          <w:sdtEndPr/>
          <w:sdtContent>
            <w:p w14:paraId="4D353FCE" w14:textId="77777777" w:rsidR="00830E72" w:rsidRDefault="008344D8">
              <w:pPr>
                <w:ind w:firstLineChars="200" w:firstLine="420"/>
              </w:pPr>
              <w:r>
                <w:rPr>
                  <w:rFonts w:hint="eastAsia"/>
                </w:rPr>
                <w:t>合营安排，是指一项由两个或两个以上的参与方共同控制的安排。本公司合营安排分为共同经营和合营企业。</w:t>
              </w:r>
            </w:p>
            <w:p w14:paraId="0EDDA0EC" w14:textId="77777777" w:rsidR="00830E72" w:rsidRDefault="008344D8">
              <w:pPr>
                <w:ind w:firstLineChars="200" w:firstLine="420"/>
              </w:pPr>
              <w:r>
                <w:rPr>
                  <w:rFonts w:hint="eastAsia"/>
                </w:rPr>
                <w:t>（</w:t>
              </w:r>
              <w:r>
                <w:t>1）共同经营</w:t>
              </w:r>
            </w:p>
            <w:p w14:paraId="67734477" w14:textId="77777777" w:rsidR="00830E72" w:rsidRDefault="008344D8">
              <w:pPr>
                <w:ind w:firstLineChars="200" w:firstLine="420"/>
              </w:pPr>
              <w:r>
                <w:rPr>
                  <w:rFonts w:hint="eastAsia"/>
                </w:rPr>
                <w:t>共同经营是指本公司享有该安排相关资产且承担该安排相关负债的合营安排。</w:t>
              </w:r>
            </w:p>
            <w:p w14:paraId="4C16750D" w14:textId="77777777" w:rsidR="00830E72" w:rsidRDefault="008344D8">
              <w:pPr>
                <w:ind w:firstLineChars="200" w:firstLine="420"/>
              </w:pPr>
              <w:r>
                <w:rPr>
                  <w:rFonts w:hint="eastAsia"/>
                </w:rPr>
                <w:t>本公司确认其与共同经营中利益份额相关的下列项目，并按照相关企业会计准则的规定进行</w:t>
              </w:r>
            </w:p>
            <w:p w14:paraId="14955C2D" w14:textId="77777777" w:rsidR="00830E72" w:rsidRDefault="008344D8">
              <w:pPr>
                <w:ind w:firstLineChars="200" w:firstLine="420"/>
              </w:pPr>
              <w:r>
                <w:rPr>
                  <w:rFonts w:hint="eastAsia"/>
                </w:rPr>
                <w:t>会计处理：</w:t>
              </w:r>
            </w:p>
            <w:p w14:paraId="40FDE5C4" w14:textId="77777777" w:rsidR="00830E72" w:rsidRDefault="008344D8">
              <w:pPr>
                <w:ind w:firstLineChars="200" w:firstLine="420"/>
              </w:pPr>
              <w:r>
                <w:rPr>
                  <w:rFonts w:hint="eastAsia"/>
                </w:rPr>
                <w:t>①确认单独所持有的资产，以及按其份额确认共同持有的资产；</w:t>
              </w:r>
            </w:p>
            <w:p w14:paraId="67646B9D" w14:textId="77777777" w:rsidR="00830E72" w:rsidRDefault="008344D8">
              <w:pPr>
                <w:ind w:firstLineChars="200" w:firstLine="420"/>
              </w:pPr>
              <w:r>
                <w:rPr>
                  <w:rFonts w:hint="eastAsia"/>
                </w:rPr>
                <w:t>②确认单独所承担的负债，以及按其份额确认共同承担的负债；</w:t>
              </w:r>
            </w:p>
            <w:p w14:paraId="128156F5" w14:textId="77777777" w:rsidR="00830E72" w:rsidRDefault="008344D8">
              <w:pPr>
                <w:ind w:firstLineChars="200" w:firstLine="420"/>
              </w:pPr>
              <w:r>
                <w:rPr>
                  <w:rFonts w:hint="eastAsia"/>
                </w:rPr>
                <w:t>③确认出售其享有的共同经营产出份额所产生的收入；</w:t>
              </w:r>
            </w:p>
            <w:p w14:paraId="06F19E38" w14:textId="77777777" w:rsidR="00830E72" w:rsidRDefault="008344D8">
              <w:pPr>
                <w:ind w:firstLineChars="200" w:firstLine="420"/>
              </w:pPr>
              <w:r>
                <w:rPr>
                  <w:rFonts w:hint="eastAsia"/>
                </w:rPr>
                <w:t>④按其份额确认共同经营因出售产出所产生的收入；</w:t>
              </w:r>
            </w:p>
            <w:p w14:paraId="7E4F7A12" w14:textId="77777777" w:rsidR="00830E72" w:rsidRDefault="008344D8">
              <w:pPr>
                <w:ind w:firstLineChars="200" w:firstLine="420"/>
              </w:pPr>
              <w:r>
                <w:rPr>
                  <w:rFonts w:hint="eastAsia"/>
                </w:rPr>
                <w:t>⑤确认单独所发生的费用，以及按其份额确认共同经营发生的费用。</w:t>
              </w:r>
            </w:p>
            <w:p w14:paraId="4A0AF96D" w14:textId="77777777" w:rsidR="00830E72" w:rsidRDefault="008344D8">
              <w:pPr>
                <w:ind w:firstLineChars="200" w:firstLine="420"/>
              </w:pPr>
              <w:r>
                <w:rPr>
                  <w:rFonts w:hint="eastAsia"/>
                </w:rPr>
                <w:t>（</w:t>
              </w:r>
              <w:r>
                <w:t>2）合营企业</w:t>
              </w:r>
            </w:p>
            <w:p w14:paraId="220FB23A" w14:textId="77777777" w:rsidR="00830E72" w:rsidRDefault="008344D8">
              <w:pPr>
                <w:ind w:firstLineChars="200" w:firstLine="420"/>
              </w:pPr>
              <w:r>
                <w:rPr>
                  <w:rFonts w:hint="eastAsia"/>
                </w:rPr>
                <w:t>合营企业是指本公司仅对该安排的净资产享有权利的合营安排。</w:t>
              </w:r>
            </w:p>
            <w:p w14:paraId="4F351690" w14:textId="77777777" w:rsidR="00830E72" w:rsidRDefault="008344D8">
              <w:pPr>
                <w:ind w:firstLineChars="200" w:firstLine="420"/>
                <w:rPr>
                  <w:b/>
                  <w:bCs/>
                  <w:szCs w:val="21"/>
                </w:rPr>
              </w:pPr>
              <w:r>
                <w:rPr>
                  <w:rFonts w:hint="eastAsia"/>
                </w:rPr>
                <w:t>本公司按照长期股权投资有关权益法核算的规定对合营企业的投资进行会计处理。</w:t>
              </w:r>
            </w:p>
          </w:sdtContent>
        </w:sdt>
      </w:sdtContent>
    </w:sdt>
    <w:p w14:paraId="42AF74B2" w14:textId="77777777" w:rsidR="00830E72" w:rsidRDefault="00830E72">
      <w:pPr>
        <w:rPr>
          <w:szCs w:val="21"/>
        </w:rPr>
      </w:pPr>
    </w:p>
    <w:sdt>
      <w:sdtPr>
        <w:rPr>
          <w:rFonts w:ascii="宋体" w:hAnsi="宋体" w:cs="宋体"/>
          <w:b w:val="0"/>
          <w:bCs w:val="0"/>
          <w:kern w:val="0"/>
          <w:szCs w:val="24"/>
        </w:rPr>
        <w:alias w:val="模块:现金及现金等价物的确定标准"/>
        <w:tag w:val="_GBC_9f2dfe6521c4434b9ad3e7bb1a8a52b7"/>
        <w:id w:val="-1177419250"/>
        <w:lock w:val="sdtLocked"/>
        <w:placeholder>
          <w:docPart w:val="GBC22222222222222222222222222222"/>
        </w:placeholder>
      </w:sdtPr>
      <w:sdtEndPr>
        <w:rPr>
          <w:rFonts w:hint="eastAsia"/>
          <w:szCs w:val="21"/>
        </w:rPr>
      </w:sdtEndPr>
      <w:sdtContent>
        <w:p w14:paraId="601C9718" w14:textId="77777777" w:rsidR="00830E72" w:rsidRDefault="008344D8">
          <w:pPr>
            <w:pStyle w:val="Style99"/>
            <w:numPr>
              <w:ilvl w:val="0"/>
              <w:numId w:val="35"/>
            </w:numPr>
            <w:rPr>
              <w:rFonts w:ascii="宋体" w:hAnsi="宋体"/>
            </w:rPr>
          </w:pPr>
          <w:r>
            <w:rPr>
              <w:rFonts w:ascii="宋体" w:hAnsi="宋体"/>
            </w:rPr>
            <w:t>现金及现金等价物的确定标准</w:t>
          </w:r>
        </w:p>
        <w:sdt>
          <w:sdtPr>
            <w:rPr>
              <w:rFonts w:hint="eastAsia"/>
              <w:szCs w:val="21"/>
            </w:rPr>
            <w:alias w:val="现金及现金等价物的确定标准"/>
            <w:tag w:val="_GBC_54f6bc3e44e840bc85cb3872600823b5"/>
            <w:id w:val="-1715350499"/>
            <w:lock w:val="sdtLocked"/>
            <w:placeholder>
              <w:docPart w:val="GBC22222222222222222222222222222"/>
            </w:placeholder>
          </w:sdtPr>
          <w:sdtEndPr/>
          <w:sdtContent>
            <w:p w14:paraId="43DD6A08" w14:textId="77777777" w:rsidR="00830E72" w:rsidRDefault="008344D8">
              <w:pPr>
                <w:ind w:firstLineChars="200" w:firstLine="420"/>
                <w:rPr>
                  <w:szCs w:val="21"/>
                </w:rPr>
              </w:pPr>
              <w:r>
                <w:rPr>
                  <w:szCs w:val="21"/>
                </w:rPr>
                <w:t>现金等价物是指企业持有的期限短（一般指从购买日起三个月内到期）、流动性强、易于转换为已知金额现金、价值变动风险很小的投资。</w:t>
              </w:r>
            </w:p>
          </w:sdtContent>
        </w:sdt>
      </w:sdtContent>
    </w:sdt>
    <w:p w14:paraId="2039877B" w14:textId="77777777" w:rsidR="00830E72" w:rsidRDefault="00830E72">
      <w:pPr>
        <w:rPr>
          <w:szCs w:val="21"/>
        </w:rPr>
      </w:pPr>
    </w:p>
    <w:sdt>
      <w:sdtPr>
        <w:rPr>
          <w:rFonts w:ascii="宋体" w:hAnsi="宋体" w:cs="宋体"/>
          <w:b w:val="0"/>
          <w:bCs w:val="0"/>
          <w:kern w:val="0"/>
          <w:szCs w:val="22"/>
        </w:rPr>
        <w:alias w:val="模块:外币业务和外币报表折算"/>
        <w:tag w:val="_GBC_cff1e1487c3242a8a1be0ce9c2b7a554"/>
        <w:id w:val="1240517813"/>
        <w:lock w:val="sdtLocked"/>
        <w:placeholder>
          <w:docPart w:val="GBC22222222222222222222222222222"/>
        </w:placeholder>
      </w:sdtPr>
      <w:sdtEndPr>
        <w:rPr>
          <w:rFonts w:cs="Times New Roman" w:hint="eastAsia"/>
          <w:kern w:val="2"/>
          <w:szCs w:val="21"/>
        </w:rPr>
      </w:sdtEndPr>
      <w:sdtContent>
        <w:p w14:paraId="5A0F339A" w14:textId="77777777" w:rsidR="00830E72" w:rsidRDefault="008344D8">
          <w:pPr>
            <w:pStyle w:val="Style99"/>
            <w:numPr>
              <w:ilvl w:val="0"/>
              <w:numId w:val="35"/>
            </w:numPr>
            <w:rPr>
              <w:rFonts w:ascii="宋体" w:hAnsi="宋体"/>
            </w:rPr>
          </w:pPr>
          <w:r>
            <w:rPr>
              <w:rFonts w:ascii="宋体" w:hAnsi="宋体"/>
            </w:rPr>
            <w:t>外币业务和外币报表折算</w:t>
          </w:r>
        </w:p>
        <w:sdt>
          <w:sdtPr>
            <w:rPr>
              <w:rFonts w:hint="eastAsia"/>
              <w:szCs w:val="21"/>
            </w:rPr>
            <w:alias w:val="是否适用：外币业务和外币报表折算[双击切换]"/>
            <w:tag w:val="_GBC_cd1fc5c05f5e49ed9ea2fffe41d0d113"/>
            <w:id w:val="551822260"/>
            <w:lock w:val="sdtContentLocked"/>
            <w:placeholder>
              <w:docPart w:val="GBC22222222222222222222222222222"/>
            </w:placeholder>
          </w:sdtPr>
          <w:sdtEndPr/>
          <w:sdtContent>
            <w:p w14:paraId="143B8473"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1158381858"/>
            <w:lock w:val="sdtLocked"/>
            <w:placeholder>
              <w:docPart w:val="GBC22222222222222222222222222222"/>
            </w:placeholder>
          </w:sdtPr>
          <w:sdtEndPr/>
          <w:sdtContent>
            <w:p w14:paraId="4A54D9A9" w14:textId="77777777" w:rsidR="00830E72" w:rsidRDefault="008344D8">
              <w:pPr>
                <w:ind w:firstLineChars="200" w:firstLine="420"/>
                <w:rPr>
                  <w:szCs w:val="21"/>
                </w:rPr>
              </w:pPr>
              <w:r>
                <w:rPr>
                  <w:rFonts w:hint="eastAsia"/>
                  <w:szCs w:val="21"/>
                </w:rPr>
                <w:t>（</w:t>
              </w:r>
              <w:r>
                <w:rPr>
                  <w:szCs w:val="21"/>
                </w:rPr>
                <w:t>1）外币交易时折算汇率的确定方法</w:t>
              </w:r>
            </w:p>
            <w:p w14:paraId="342F16D7" w14:textId="77777777" w:rsidR="00830E72" w:rsidRDefault="008344D8">
              <w:pPr>
                <w:ind w:firstLineChars="200" w:firstLine="420"/>
                <w:rPr>
                  <w:szCs w:val="21"/>
                </w:rPr>
              </w:pPr>
              <w:r>
                <w:rPr>
                  <w:rFonts w:hint="eastAsia"/>
                  <w:szCs w:val="21"/>
                </w:rPr>
                <w:t>本公司外币交易初始确认时采用交易发生日的即期汇率或采用按照系统合理的方法确定的、与交易发生日即期汇率近似的汇率（以下简称即期汇率的近似汇率）折算为记账本位币。</w:t>
              </w:r>
            </w:p>
            <w:p w14:paraId="0D8C05E8" w14:textId="77777777" w:rsidR="00830E72" w:rsidRDefault="008344D8">
              <w:pPr>
                <w:ind w:firstLineChars="200" w:firstLine="420"/>
                <w:rPr>
                  <w:szCs w:val="21"/>
                </w:rPr>
              </w:pPr>
              <w:r>
                <w:rPr>
                  <w:rFonts w:hint="eastAsia"/>
                  <w:szCs w:val="21"/>
                </w:rPr>
                <w:t>（</w:t>
              </w:r>
              <w:r>
                <w:rPr>
                  <w:szCs w:val="21"/>
                </w:rPr>
                <w:t>2）资产负债表日外币货币性项目的折算方法</w:t>
              </w:r>
            </w:p>
            <w:p w14:paraId="4FCB59EA" w14:textId="77777777" w:rsidR="00830E72" w:rsidRDefault="008344D8">
              <w:pPr>
                <w:ind w:firstLineChars="200" w:firstLine="420"/>
                <w:rPr>
                  <w:szCs w:val="21"/>
                </w:rPr>
              </w:pPr>
              <w:r>
                <w:rPr>
                  <w:rFonts w:hint="eastAsia"/>
                  <w:szCs w:val="21"/>
                </w:rPr>
                <w:t>在资产负债表日，对于外币货币性项目，采用资产负债表日的即期汇率折算。因资产负债表日即期汇率与初始确认时或前一资产负债表日即期汇率不同而产生的汇兑差额，计入当期损益。对以历史成本计量的外币非货币性项目，仍采用交易发生日的即期汇率折算；对以公允价值计量的外币非货币性项目，采用公允价值确定日的即期汇率折算，折算后的记账本位币金额与原记账本位币金额的差额，计入当期损益。</w:t>
              </w:r>
            </w:p>
            <w:p w14:paraId="47454E88" w14:textId="77777777" w:rsidR="00830E72" w:rsidRDefault="008344D8">
              <w:pPr>
                <w:ind w:firstLineChars="200" w:firstLine="420"/>
                <w:rPr>
                  <w:szCs w:val="21"/>
                </w:rPr>
              </w:pPr>
              <w:r>
                <w:rPr>
                  <w:rFonts w:hint="eastAsia"/>
                  <w:szCs w:val="21"/>
                </w:rPr>
                <w:t>（</w:t>
              </w:r>
              <w:r>
                <w:rPr>
                  <w:szCs w:val="21"/>
                </w:rPr>
                <w:t>3）外币报表折算方法</w:t>
              </w:r>
            </w:p>
            <w:p w14:paraId="48E2A028" w14:textId="77777777" w:rsidR="00830E72" w:rsidRDefault="008344D8">
              <w:pPr>
                <w:ind w:firstLineChars="200" w:firstLine="420"/>
                <w:rPr>
                  <w:szCs w:val="21"/>
                </w:rPr>
              </w:pPr>
              <w:r>
                <w:rPr>
                  <w:rFonts w:hint="eastAsia"/>
                  <w:szCs w:val="21"/>
                </w:rPr>
                <w:t>对企业境外经营财务报表进行折算前先调整境外经营的会计期间和会计政策，使之与企业会计期间和会计政策相一致，再根据调整后会计政策及会计期间编制相应货币（记账本位币以外的货币）的财务报表，再按照以下方法对境外经营财务报表进行折算：</w:t>
              </w:r>
            </w:p>
            <w:p w14:paraId="3926F5D3" w14:textId="77777777" w:rsidR="00830E72" w:rsidRDefault="008344D8">
              <w:pPr>
                <w:ind w:firstLineChars="200" w:firstLine="420"/>
                <w:rPr>
                  <w:szCs w:val="21"/>
                </w:rPr>
              </w:pPr>
              <w:r>
                <w:rPr>
                  <w:rFonts w:hint="eastAsia"/>
                  <w:szCs w:val="21"/>
                </w:rPr>
                <w:t>①资产负债表中的资产和负债项目，采用资产负债表日的即期汇率折算，所有者权益项目除“未分配利润”项目外，其他项目采用发生时的即期汇率折算。</w:t>
              </w:r>
            </w:p>
            <w:p w14:paraId="26B16A95" w14:textId="77777777" w:rsidR="00830E72" w:rsidRDefault="008344D8">
              <w:pPr>
                <w:ind w:firstLineChars="200" w:firstLine="420"/>
                <w:rPr>
                  <w:szCs w:val="21"/>
                </w:rPr>
              </w:pPr>
              <w:r>
                <w:rPr>
                  <w:rFonts w:hint="eastAsia"/>
                  <w:szCs w:val="21"/>
                </w:rPr>
                <w:t>②利润表中的收入和费用项目，采用交易发生日的即期汇率或即期汇率的近似汇率折算。</w:t>
              </w:r>
            </w:p>
            <w:p w14:paraId="7F52A22D" w14:textId="77777777" w:rsidR="00830E72" w:rsidRDefault="008344D8">
              <w:pPr>
                <w:ind w:firstLineChars="200" w:firstLine="420"/>
                <w:rPr>
                  <w:szCs w:val="21"/>
                </w:rPr>
              </w:pPr>
              <w:r>
                <w:rPr>
                  <w:rFonts w:hint="eastAsia"/>
                  <w:szCs w:val="21"/>
                </w:rPr>
                <w:t>③外币现金流量以及境外子公司的现金流量，采用现金流量发生日的即期汇率或即期汇率的近似汇率折算。汇率变动对现金的影响额应当作为调节项目，在现金流量表中单独列报。</w:t>
              </w:r>
            </w:p>
            <w:p w14:paraId="2024A690" w14:textId="77777777" w:rsidR="00830E72" w:rsidRDefault="008344D8">
              <w:pPr>
                <w:ind w:firstLineChars="200" w:firstLine="420"/>
                <w:rPr>
                  <w:szCs w:val="21"/>
                </w:rPr>
              </w:pPr>
              <w:r>
                <w:rPr>
                  <w:rFonts w:hint="eastAsia"/>
                  <w:szCs w:val="21"/>
                </w:rPr>
                <w:t>④产生的外币财务报表折算差额，在编制合并财务报表时，在合并资产负债表中所有者权益项目下单独列示“其他综合收益”。</w:t>
              </w:r>
            </w:p>
            <w:p w14:paraId="3916B2DC" w14:textId="77777777" w:rsidR="00830E72" w:rsidRDefault="008344D8">
              <w:pPr>
                <w:ind w:firstLineChars="200" w:firstLine="420"/>
                <w:rPr>
                  <w:szCs w:val="21"/>
                </w:rPr>
              </w:pPr>
              <w:r>
                <w:rPr>
                  <w:rFonts w:hint="eastAsia"/>
                  <w:szCs w:val="21"/>
                </w:rPr>
                <w:t>处置境外经营并丧失控制权时，将资产负债表中所有者权益项目下列示的、与该境外经营相</w:t>
              </w:r>
            </w:p>
            <w:p w14:paraId="36D885E1" w14:textId="77777777" w:rsidR="00830E72" w:rsidRDefault="008344D8">
              <w:pPr>
                <w:ind w:firstLineChars="200" w:firstLine="420"/>
                <w:rPr>
                  <w:szCs w:val="21"/>
                </w:rPr>
              </w:pPr>
              <w:r>
                <w:rPr>
                  <w:rFonts w:hint="eastAsia"/>
                  <w:szCs w:val="21"/>
                </w:rPr>
                <w:t>关的外币报表折算差额，全部或按处置该境外经营的比例转入处置当期损益。</w:t>
              </w:r>
            </w:p>
          </w:sdtContent>
        </w:sdt>
        <w:p w14:paraId="2B94C80E" w14:textId="77777777" w:rsidR="00830E72" w:rsidRDefault="00D44830">
          <w:pPr>
            <w:rPr>
              <w:szCs w:val="21"/>
            </w:rPr>
          </w:pPr>
        </w:p>
      </w:sdtContent>
    </w:sdt>
    <w:sdt>
      <w:sdtPr>
        <w:rPr>
          <w:rFonts w:ascii="宋体" w:hAnsi="宋体" w:cs="宋体"/>
          <w:b w:val="0"/>
          <w:bCs w:val="0"/>
          <w:kern w:val="0"/>
          <w:szCs w:val="24"/>
        </w:rPr>
        <w:alias w:val="模块:金融工具"/>
        <w:tag w:val="_GBC_4b3a058b038b41689d379e6a2726a904"/>
        <w:id w:val="2112244184"/>
        <w:lock w:val="sdtLocked"/>
        <w:placeholder>
          <w:docPart w:val="GBC22222222222222222222222222222"/>
        </w:placeholder>
      </w:sdtPr>
      <w:sdtEndPr>
        <w:rPr>
          <w:rFonts w:hint="eastAsia"/>
          <w:szCs w:val="21"/>
        </w:rPr>
      </w:sdtEndPr>
      <w:sdtContent>
        <w:p w14:paraId="05CB8739" w14:textId="77777777" w:rsidR="00830E72" w:rsidRDefault="008344D8">
          <w:pPr>
            <w:pStyle w:val="Style99"/>
            <w:numPr>
              <w:ilvl w:val="0"/>
              <w:numId w:val="35"/>
            </w:numPr>
            <w:rPr>
              <w:rFonts w:ascii="宋体" w:hAnsi="宋体"/>
            </w:rPr>
          </w:pPr>
          <w:r>
            <w:rPr>
              <w:rFonts w:ascii="宋体" w:hAnsi="宋体"/>
            </w:rPr>
            <w:t>金融工具</w:t>
          </w:r>
        </w:p>
        <w:sdt>
          <w:sdtPr>
            <w:rPr>
              <w:rFonts w:hint="eastAsia"/>
              <w:szCs w:val="21"/>
            </w:rPr>
            <w:alias w:val="是否适用：金融工具_重要会计政策和估计[双击切换]"/>
            <w:tag w:val="_GBC_285bdf73a629411f9c5d05731712b876"/>
            <w:id w:val="-1543744985"/>
            <w:lock w:val="sdtContentLocked"/>
            <w:placeholder>
              <w:docPart w:val="GBC22222222222222222222222222222"/>
            </w:placeholder>
          </w:sdtPr>
          <w:sdtEndPr/>
          <w:sdtContent>
            <w:p w14:paraId="6C0F49C8"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830608635"/>
            <w:lock w:val="sdtLocked"/>
            <w:placeholder>
              <w:docPart w:val="GBC22222222222222222222222222222"/>
            </w:placeholder>
          </w:sdtPr>
          <w:sdtEndPr/>
          <w:sdtContent>
            <w:p w14:paraId="218E60B7" w14:textId="77777777" w:rsidR="00830E72" w:rsidRDefault="008344D8">
              <w:pPr>
                <w:ind w:firstLineChars="200" w:firstLine="420"/>
                <w:rPr>
                  <w:szCs w:val="21"/>
                </w:rPr>
              </w:pPr>
              <w:r>
                <w:rPr>
                  <w:rFonts w:hint="eastAsia"/>
                  <w:szCs w:val="21"/>
                </w:rPr>
                <w:t>金融工具，是指形成一方的金融资产并形成其他方的金融负债或权益工具的合同。</w:t>
              </w:r>
            </w:p>
            <w:p w14:paraId="6E21050D" w14:textId="77777777" w:rsidR="00830E72" w:rsidRDefault="008344D8">
              <w:pPr>
                <w:ind w:firstLineChars="200" w:firstLine="420"/>
                <w:rPr>
                  <w:szCs w:val="21"/>
                </w:rPr>
              </w:pPr>
              <w:r>
                <w:rPr>
                  <w:rFonts w:hint="eastAsia"/>
                  <w:szCs w:val="21"/>
                </w:rPr>
                <w:t>（</w:t>
              </w:r>
              <w:r>
                <w:rPr>
                  <w:szCs w:val="21"/>
                </w:rPr>
                <w:t>1）金融工具的确认和终止确认</w:t>
              </w:r>
            </w:p>
            <w:p w14:paraId="03CBA2E3" w14:textId="77777777" w:rsidR="00830E72" w:rsidRDefault="008344D8">
              <w:pPr>
                <w:ind w:firstLineChars="200" w:firstLine="420"/>
                <w:rPr>
                  <w:szCs w:val="21"/>
                </w:rPr>
              </w:pPr>
              <w:r>
                <w:rPr>
                  <w:rFonts w:hint="eastAsia"/>
                  <w:szCs w:val="21"/>
                </w:rPr>
                <w:t>当本公司成为金融工具合同的一方时，确认相关的金融资产或金融负债。</w:t>
              </w:r>
            </w:p>
            <w:p w14:paraId="363485F4" w14:textId="77777777" w:rsidR="00830E72" w:rsidRDefault="008344D8">
              <w:pPr>
                <w:ind w:firstLineChars="200" w:firstLine="420"/>
                <w:rPr>
                  <w:szCs w:val="21"/>
                </w:rPr>
              </w:pPr>
              <w:r>
                <w:rPr>
                  <w:rFonts w:hint="eastAsia"/>
                  <w:szCs w:val="21"/>
                </w:rPr>
                <w:lastRenderedPageBreak/>
                <w:t>金融资产满足下列条件之一的，终止确认：</w:t>
              </w:r>
            </w:p>
            <w:p w14:paraId="1803B0EB" w14:textId="77777777" w:rsidR="00830E72" w:rsidRDefault="008344D8">
              <w:pPr>
                <w:ind w:firstLineChars="200" w:firstLine="420"/>
                <w:rPr>
                  <w:szCs w:val="21"/>
                </w:rPr>
              </w:pPr>
              <w:r>
                <w:rPr>
                  <w:rFonts w:hint="eastAsia"/>
                  <w:szCs w:val="21"/>
                </w:rPr>
                <w:t>①收取该金融资产现金流量的合同权利终止；</w:t>
              </w:r>
            </w:p>
            <w:p w14:paraId="60A6E197" w14:textId="77777777" w:rsidR="00830E72" w:rsidRDefault="008344D8">
              <w:pPr>
                <w:ind w:firstLineChars="200" w:firstLine="420"/>
                <w:rPr>
                  <w:szCs w:val="21"/>
                </w:rPr>
              </w:pPr>
              <w:r>
                <w:rPr>
                  <w:rFonts w:hint="eastAsia"/>
                  <w:szCs w:val="21"/>
                </w:rPr>
                <w:t>②该金融资产已转移，且符合下述金融资产转移的终止确认条件。</w:t>
              </w:r>
            </w:p>
            <w:p w14:paraId="7D293CDC" w14:textId="77777777" w:rsidR="00830E72" w:rsidRDefault="008344D8">
              <w:pPr>
                <w:ind w:firstLineChars="200" w:firstLine="420"/>
                <w:rPr>
                  <w:szCs w:val="21"/>
                </w:rPr>
              </w:pPr>
              <w:r>
                <w:rPr>
                  <w:rFonts w:hint="eastAsia"/>
                  <w:szCs w:val="21"/>
                </w:rPr>
                <w:t>金融负债（或其一部分）的现时义务已经解除的，终止确认该金融负债（或该部分金融负债）。本公司（借入方）与借出方之间签订协议，以承担新金融负债方式替换原金融负债，且新金融负债与原金融负债的合同条款实质上不同的，终止确认原金融负债，并同时确认新金融负债。本公司对原金融负债（或其一部分）的合同条款作出实质性修改的，应当终止原金融负债，同时按照修改后的条款确认一项新的金融负债。</w:t>
              </w:r>
            </w:p>
            <w:p w14:paraId="3210D06A" w14:textId="77777777" w:rsidR="00830E72" w:rsidRDefault="008344D8">
              <w:pPr>
                <w:ind w:firstLineChars="200" w:firstLine="420"/>
                <w:rPr>
                  <w:szCs w:val="21"/>
                </w:rPr>
              </w:pPr>
              <w:r>
                <w:rPr>
                  <w:rFonts w:hint="eastAsia"/>
                  <w:szCs w:val="21"/>
                </w:rPr>
                <w:t>以常规方式买卖金融资产，按交易日进行会计确认和终止确认。常规方式买卖金融资产，是指按照合同条款规定，在法规或市场惯例所确定的时间安排来交付金融资产。交易日，是指本公司承诺买入或卖出金融资产的日期。</w:t>
              </w:r>
            </w:p>
            <w:p w14:paraId="4A183C29" w14:textId="77777777" w:rsidR="00830E72" w:rsidRDefault="008344D8">
              <w:pPr>
                <w:ind w:firstLineChars="200" w:firstLine="420"/>
                <w:rPr>
                  <w:szCs w:val="21"/>
                </w:rPr>
              </w:pPr>
              <w:r>
                <w:rPr>
                  <w:rFonts w:hint="eastAsia"/>
                  <w:szCs w:val="21"/>
                </w:rPr>
                <w:t>（</w:t>
              </w:r>
              <w:r>
                <w:rPr>
                  <w:szCs w:val="21"/>
                </w:rPr>
                <w:t>2）金融资产的分类与计量</w:t>
              </w:r>
            </w:p>
            <w:p w14:paraId="1EC8DFF1" w14:textId="77777777" w:rsidR="00830E72" w:rsidRDefault="008344D8">
              <w:pPr>
                <w:ind w:firstLineChars="200" w:firstLine="420"/>
                <w:rPr>
                  <w:szCs w:val="21"/>
                </w:rPr>
              </w:pPr>
              <w:r>
                <w:rPr>
                  <w:rFonts w:hint="eastAsia"/>
                  <w:szCs w:val="21"/>
                </w:rPr>
                <w:t>本公司在初始确认时根据管理金融资产的业务模式和金融资产的合同现金流量特征，将金融资产分类为：以摊余成本计量的金融资产、以公允价值计量且其变动计入当期损益的金融资产、以公允价值计量且其变动计入其他综合收益的金融资产。除非本公司改变管理金融资产的业务模式，在此情形下，所有受影响的相关金融资产在业务模式发生变更后的首个报告期间的第一天进行重分类，否则金融资产在初始确认后不得进行重分类。</w:t>
              </w:r>
            </w:p>
            <w:p w14:paraId="1B43DB5F" w14:textId="77777777" w:rsidR="00830E72" w:rsidRDefault="008344D8">
              <w:pPr>
                <w:ind w:firstLineChars="200" w:firstLine="420"/>
                <w:rPr>
                  <w:szCs w:val="21"/>
                </w:rPr>
              </w:pPr>
              <w:r>
                <w:rPr>
                  <w:rFonts w:hint="eastAsia"/>
                  <w:szCs w:val="21"/>
                </w:rPr>
                <w:t>金融资产在初始确认时以公允价值计量。对于以公允价值计量且其变动计入当期损益的金融资产，相关交易费用直接计入当期损益，其他类别的金融资产相关交易费用计入其初始确认金额。因销售商品或提供劳务而产生的、未包含或不考虑重大融资成分的应收票据及应收账款，本公司则按照收入准则定义的交易价格进行初始计量。</w:t>
              </w:r>
            </w:p>
            <w:p w14:paraId="1543958B" w14:textId="77777777" w:rsidR="00830E72" w:rsidRDefault="008344D8">
              <w:pPr>
                <w:ind w:firstLineChars="200" w:firstLine="420"/>
                <w:rPr>
                  <w:szCs w:val="21"/>
                </w:rPr>
              </w:pPr>
              <w:r>
                <w:rPr>
                  <w:rFonts w:hint="eastAsia"/>
                  <w:szCs w:val="21"/>
                </w:rPr>
                <w:t>金融资产的后续计量取决于其分类：</w:t>
              </w:r>
            </w:p>
            <w:p w14:paraId="5CCCBAA7" w14:textId="77777777" w:rsidR="00830E72" w:rsidRDefault="008344D8">
              <w:pPr>
                <w:ind w:firstLineChars="200" w:firstLine="420"/>
                <w:rPr>
                  <w:szCs w:val="21"/>
                </w:rPr>
              </w:pPr>
              <w:r>
                <w:rPr>
                  <w:rFonts w:hint="eastAsia"/>
                  <w:szCs w:val="21"/>
                </w:rPr>
                <w:t>①以摊余成本计量的金融资产</w:t>
              </w:r>
            </w:p>
            <w:p w14:paraId="35218B9C" w14:textId="77777777" w:rsidR="00830E72" w:rsidRDefault="008344D8">
              <w:pPr>
                <w:ind w:firstLineChars="200" w:firstLine="420"/>
                <w:rPr>
                  <w:szCs w:val="21"/>
                </w:rPr>
              </w:pPr>
              <w:r>
                <w:rPr>
                  <w:rFonts w:hint="eastAsia"/>
                  <w:szCs w:val="21"/>
                </w:rPr>
                <w:t>金融资产同时符合下列条件的，分类为以摊余成本计量的金融资产：本公司管理该金融资产的业务模式是以收取合同现金流量为目标；该金融资产的合同条款规定，在特定日期产生的现金流量，仅为对本金和以未偿付本金金额为基础的利息的支付。对于此类金融资产，采用实际利率法，按照摊余成本进行后续计量，其终止确认、按实际利率法摊销或减值产生的利得或损失，均计入当期损益。</w:t>
              </w:r>
            </w:p>
            <w:p w14:paraId="62F5AB93" w14:textId="77777777" w:rsidR="00830E72" w:rsidRDefault="008344D8">
              <w:pPr>
                <w:ind w:firstLineChars="200" w:firstLine="420"/>
                <w:rPr>
                  <w:szCs w:val="21"/>
                </w:rPr>
              </w:pPr>
              <w:r>
                <w:rPr>
                  <w:rFonts w:hint="eastAsia"/>
                  <w:szCs w:val="21"/>
                </w:rPr>
                <w:t>②以公允价值计量且其变动计入其他综合收益的金融资产</w:t>
              </w:r>
            </w:p>
            <w:p w14:paraId="05C40052" w14:textId="77777777" w:rsidR="00830E72" w:rsidRDefault="008344D8">
              <w:pPr>
                <w:ind w:firstLineChars="200" w:firstLine="420"/>
                <w:rPr>
                  <w:szCs w:val="21"/>
                </w:rPr>
              </w:pPr>
              <w:r>
                <w:rPr>
                  <w:rFonts w:hint="eastAsia"/>
                  <w:szCs w:val="21"/>
                </w:rPr>
                <w:t>金融资产同时符合下列条件的，分类为以公允价值计量且其变动计入其他综合收益的金融资产：本公司管理该金融资产的业务模式是既以收取合同现金流量为目标又以出售金融资产为目标；该金融资产的合同条款规定，在特定日期产生的现金流量，仅为对本金和以未偿付本金金额为基础的利息的支付。对于此类金融资产，采用公允价值进行后续计量。除减值损失或利得及汇兑损益确认为当期损益外，此类金融资产的公允价值变动作为其他综合收益确认，直到该金融资产终止确认时，其累计利得或损失转入当期损益。但是采用实际利率法计算的该金融资产的相关利息收入计入当期损益。</w:t>
              </w:r>
            </w:p>
            <w:p w14:paraId="4B4CFC11" w14:textId="77777777" w:rsidR="00830E72" w:rsidRDefault="008344D8">
              <w:pPr>
                <w:ind w:firstLineChars="200" w:firstLine="420"/>
                <w:rPr>
                  <w:szCs w:val="21"/>
                </w:rPr>
              </w:pPr>
              <w:r>
                <w:rPr>
                  <w:rFonts w:hint="eastAsia"/>
                  <w:szCs w:val="21"/>
                </w:rPr>
                <w:t>本公司不可撤销地选择将部分非交易性权益工具投资指定为以公允价值计量且其变动计入其他综合收益的金融资产，仅将相关股利收入计入当期损益，公允价值变动作为其他综合收益确认，直到该金融资产终止确认时，其累计利得或损失转入留存收益。</w:t>
              </w:r>
            </w:p>
            <w:p w14:paraId="636EED71" w14:textId="77777777" w:rsidR="00830E72" w:rsidRDefault="008344D8">
              <w:pPr>
                <w:ind w:firstLineChars="200" w:firstLine="420"/>
                <w:rPr>
                  <w:szCs w:val="21"/>
                </w:rPr>
              </w:pPr>
              <w:r>
                <w:rPr>
                  <w:rFonts w:hint="eastAsia"/>
                  <w:szCs w:val="21"/>
                </w:rPr>
                <w:t>③以公允价值计量且其变动计入当期损益的金融资产</w:t>
              </w:r>
            </w:p>
            <w:p w14:paraId="3197FD04" w14:textId="77777777" w:rsidR="00830E72" w:rsidRDefault="008344D8">
              <w:pPr>
                <w:ind w:firstLineChars="200" w:firstLine="420"/>
                <w:rPr>
                  <w:szCs w:val="21"/>
                </w:rPr>
              </w:pPr>
              <w:r>
                <w:rPr>
                  <w:rFonts w:hint="eastAsia"/>
                  <w:szCs w:val="21"/>
                </w:rPr>
                <w:t>上述以摊余成本计量的金融资产和以公允价值计量且其变动计入其他综合收益的金融资产之外的金融资产，分类为以公允价值计量且其变动计入当期损益的金融资产。对于此类金融资产，采用公允价值进行后续计量，所有公允价值变动计入当期损益。</w:t>
              </w:r>
            </w:p>
            <w:p w14:paraId="2ED24AAF" w14:textId="77777777" w:rsidR="00830E72" w:rsidRDefault="008344D8">
              <w:pPr>
                <w:ind w:firstLineChars="200" w:firstLine="420"/>
                <w:rPr>
                  <w:szCs w:val="21"/>
                </w:rPr>
              </w:pPr>
              <w:r>
                <w:rPr>
                  <w:rFonts w:hint="eastAsia"/>
                  <w:szCs w:val="21"/>
                </w:rPr>
                <w:t>（</w:t>
              </w:r>
              <w:r>
                <w:rPr>
                  <w:szCs w:val="21"/>
                </w:rPr>
                <w:t>3）金融负债的分类与计量</w:t>
              </w:r>
            </w:p>
            <w:p w14:paraId="5487F94F" w14:textId="77777777" w:rsidR="00830E72" w:rsidRDefault="008344D8">
              <w:pPr>
                <w:ind w:firstLineChars="200" w:firstLine="420"/>
                <w:rPr>
                  <w:szCs w:val="21"/>
                </w:rPr>
              </w:pPr>
              <w:r>
                <w:rPr>
                  <w:rFonts w:hint="eastAsia"/>
                  <w:szCs w:val="21"/>
                </w:rPr>
                <w:t>本公司将金融负债分类为以公允价值计量且其变动计入当期损益的金融负债、低于市场利率贷款的财务担保合同负债及以摊余成本计量的金融负债。</w:t>
              </w:r>
            </w:p>
            <w:p w14:paraId="7F742E73" w14:textId="77777777" w:rsidR="00830E72" w:rsidRDefault="008344D8">
              <w:pPr>
                <w:ind w:firstLineChars="200" w:firstLine="420"/>
                <w:rPr>
                  <w:szCs w:val="21"/>
                </w:rPr>
              </w:pPr>
              <w:r>
                <w:rPr>
                  <w:rFonts w:hint="eastAsia"/>
                  <w:szCs w:val="21"/>
                </w:rPr>
                <w:t>金融负债的后续计量取决于其分类：</w:t>
              </w:r>
            </w:p>
            <w:p w14:paraId="2727016B" w14:textId="77777777" w:rsidR="00830E72" w:rsidRDefault="008344D8">
              <w:pPr>
                <w:ind w:firstLineChars="200" w:firstLine="420"/>
                <w:rPr>
                  <w:szCs w:val="21"/>
                </w:rPr>
              </w:pPr>
              <w:r>
                <w:rPr>
                  <w:rFonts w:hint="eastAsia"/>
                  <w:szCs w:val="21"/>
                </w:rPr>
                <w:t>①以公允价值计量且其变动计入当期损益的金融负债</w:t>
              </w:r>
            </w:p>
            <w:p w14:paraId="1E6E214B" w14:textId="77777777" w:rsidR="00830E72" w:rsidRDefault="008344D8">
              <w:pPr>
                <w:ind w:firstLineChars="200" w:firstLine="420"/>
                <w:rPr>
                  <w:szCs w:val="21"/>
                </w:rPr>
              </w:pPr>
              <w:r>
                <w:rPr>
                  <w:rFonts w:hint="eastAsia"/>
                  <w:szCs w:val="21"/>
                </w:rPr>
                <w:t>该类金融负债包括交易性金融负债（含属于金融负债的衍生工具）和指定为以公允价值计量且其变动计入当期损益的金融负债。初始确认后，对于该类金融负债以公允价值进行后续计量，</w:t>
              </w:r>
              <w:r>
                <w:rPr>
                  <w:rFonts w:hint="eastAsia"/>
                  <w:szCs w:val="21"/>
                </w:rPr>
                <w:lastRenderedPageBreak/>
                <w:t>除与套期会计有关外，产生的利得或损失（包括利息费用）计入当期损益。但本公司对指定为以公允价值计量且其变动计入当期损益的金融负债，由其自身信用风险变动引起的该金融负债公允价值的变动金额计入其他综合收益，当该金融负债终止确认时，之前计入其他综合收益的累计利得和损失应当从其他综合收益中转出，计入留存收益。</w:t>
              </w:r>
            </w:p>
            <w:p w14:paraId="01FFEF4D" w14:textId="77777777" w:rsidR="00830E72" w:rsidRDefault="008344D8">
              <w:pPr>
                <w:ind w:firstLineChars="200" w:firstLine="420"/>
                <w:rPr>
                  <w:szCs w:val="21"/>
                </w:rPr>
              </w:pPr>
              <w:r>
                <w:rPr>
                  <w:rFonts w:hint="eastAsia"/>
                  <w:szCs w:val="21"/>
                </w:rPr>
                <w:t>②财务担保合同负债</w:t>
              </w:r>
            </w:p>
            <w:p w14:paraId="528C012A" w14:textId="77777777" w:rsidR="00830E72" w:rsidRDefault="008344D8">
              <w:pPr>
                <w:ind w:firstLineChars="200" w:firstLine="420"/>
                <w:rPr>
                  <w:szCs w:val="21"/>
                </w:rPr>
              </w:pPr>
              <w:r>
                <w:rPr>
                  <w:rFonts w:hint="eastAsia"/>
                  <w:szCs w:val="21"/>
                </w:rPr>
                <w:t>财务担保合同指，当特定债务人到期不能按照最初或修改后的债务工具条款偿付债务时，要求本公司向蒙受损失的合同持有人赔付特定金额的合同。财务担保合同负债以按照依据金融工具的减值原则所确定的损失准备金额以及初始确认金额扣除按收入确认原则确定的累计摊销额后的余额孰高进行后续计量。</w:t>
              </w:r>
            </w:p>
            <w:p w14:paraId="601577D5" w14:textId="77777777" w:rsidR="00830E72" w:rsidRDefault="008344D8">
              <w:pPr>
                <w:ind w:firstLineChars="200" w:firstLine="420"/>
                <w:rPr>
                  <w:szCs w:val="21"/>
                </w:rPr>
              </w:pPr>
              <w:r>
                <w:rPr>
                  <w:rFonts w:hint="eastAsia"/>
                  <w:szCs w:val="21"/>
                </w:rPr>
                <w:t>③以摊余成本计量的金融负债</w:t>
              </w:r>
            </w:p>
            <w:p w14:paraId="32A3137A" w14:textId="77777777" w:rsidR="00830E72" w:rsidRDefault="008344D8">
              <w:pPr>
                <w:ind w:firstLineChars="200" w:firstLine="420"/>
                <w:rPr>
                  <w:szCs w:val="21"/>
                </w:rPr>
              </w:pPr>
              <w:r>
                <w:rPr>
                  <w:rFonts w:hint="eastAsia"/>
                  <w:szCs w:val="21"/>
                </w:rPr>
                <w:t>初始确认后，对其他金融负债采用实际利率法以摊余成本计量。</w:t>
              </w:r>
            </w:p>
            <w:p w14:paraId="352EF4C8" w14:textId="77777777" w:rsidR="00830E72" w:rsidRDefault="008344D8">
              <w:pPr>
                <w:ind w:firstLineChars="200" w:firstLine="420"/>
                <w:rPr>
                  <w:szCs w:val="21"/>
                </w:rPr>
              </w:pPr>
              <w:r>
                <w:rPr>
                  <w:rFonts w:hint="eastAsia"/>
                  <w:szCs w:val="21"/>
                </w:rPr>
                <w:t>除特殊情况外，金融负债与权益工具按照下列原则进行区分：</w:t>
              </w:r>
            </w:p>
            <w:p w14:paraId="65715EBE" w14:textId="77777777" w:rsidR="00830E72" w:rsidRDefault="008344D8">
              <w:pPr>
                <w:ind w:firstLineChars="200" w:firstLine="420"/>
                <w:rPr>
                  <w:szCs w:val="21"/>
                </w:rPr>
              </w:pPr>
              <w:r>
                <w:rPr>
                  <w:rFonts w:hint="eastAsia"/>
                  <w:szCs w:val="21"/>
                </w:rPr>
                <w:t>①如果本公司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w:t>
              </w:r>
            </w:p>
            <w:p w14:paraId="494C80CE" w14:textId="77777777" w:rsidR="00830E72" w:rsidRDefault="008344D8">
              <w:pPr>
                <w:ind w:firstLineChars="200" w:firstLine="420"/>
                <w:rPr>
                  <w:szCs w:val="21"/>
                </w:rPr>
              </w:pPr>
              <w:r>
                <w:rPr>
                  <w:rFonts w:hint="eastAsia"/>
                  <w:szCs w:val="21"/>
                </w:rPr>
                <w:t>②如果一项金融工具须用或可用本公司自身权益工具进行结算，需要考虑用于结算该工具的本公司自身权益工具，是作为现金或其他金融资产的替代品，还是为了使该工具持有方享有在发行方扣除所有负债后的资产中的剩余权益。如果是前者，该工具是发行方的金融负债；如果是后者，该工具是发行方的权益工具。在某些情况下，一项金融工具合同规定本公司须用或可用自身权益工具结算该金融工具，其中合同权利或合同义务的金额等于可获取或需交付的自身权益工具的数量乘以其结算时的公允价值，则无论该合同权利或合同义务的金额是固定的，还是完全或部分地基于除本公司自身权益工具的市场价格以外变量（例如利率、某种商品的价格或某项金融工具的价格）的变动而变动，该合同分类为金融负债。</w:t>
              </w:r>
            </w:p>
            <w:p w14:paraId="16F63A40" w14:textId="77777777" w:rsidR="00830E72" w:rsidRDefault="008344D8">
              <w:pPr>
                <w:ind w:firstLineChars="200" w:firstLine="420"/>
                <w:rPr>
                  <w:szCs w:val="21"/>
                </w:rPr>
              </w:pPr>
              <w:r>
                <w:rPr>
                  <w:rFonts w:hint="eastAsia"/>
                  <w:szCs w:val="21"/>
                </w:rPr>
                <w:t>（</w:t>
              </w:r>
              <w:r>
                <w:rPr>
                  <w:szCs w:val="21"/>
                </w:rPr>
                <w:t>4）衍生金融工具及嵌入衍生工具</w:t>
              </w:r>
            </w:p>
            <w:p w14:paraId="7F2573CD" w14:textId="77777777" w:rsidR="00830E72" w:rsidRDefault="008344D8">
              <w:pPr>
                <w:ind w:firstLineChars="200" w:firstLine="420"/>
                <w:rPr>
                  <w:szCs w:val="21"/>
                </w:rPr>
              </w:pPr>
              <w:r>
                <w:rPr>
                  <w:rFonts w:hint="eastAsia"/>
                  <w:szCs w:val="21"/>
                </w:rPr>
                <w:t>衍生金融工具初始以衍生交易合同签订当日的公允价值进行计量，并以其公允价值进行后续计量。公允价值为正数的衍生金融工具确认为一项资产，公允价值为负数的确认为一项负债。</w:t>
              </w:r>
            </w:p>
            <w:p w14:paraId="5AD87569" w14:textId="77777777" w:rsidR="00830E72" w:rsidRDefault="008344D8">
              <w:pPr>
                <w:ind w:firstLineChars="200" w:firstLine="420"/>
                <w:rPr>
                  <w:szCs w:val="21"/>
                </w:rPr>
              </w:pPr>
              <w:r>
                <w:rPr>
                  <w:rFonts w:hint="eastAsia"/>
                  <w:szCs w:val="21"/>
                </w:rPr>
                <w:t>除现金流量套期中属于套期有效的部分计入其他综合收益并于被套期项目影响损益时转出计入当期损益之外，衍生工具公允价值变动而产生的利得或损失，直接计入当期损益。</w:t>
              </w:r>
            </w:p>
            <w:p w14:paraId="3D1D1363" w14:textId="77777777" w:rsidR="00830E72" w:rsidRDefault="008344D8">
              <w:pPr>
                <w:ind w:firstLineChars="200" w:firstLine="420"/>
                <w:rPr>
                  <w:szCs w:val="21"/>
                </w:rPr>
              </w:pPr>
              <w:r>
                <w:rPr>
                  <w:rFonts w:hint="eastAsia"/>
                  <w:szCs w:val="21"/>
                </w:rPr>
                <w:t>对包含嵌入衍生工具的混合工具，如主合同为金融资产的，混合工具作为一个整体适用金融资产分类的相关规定。如主合同并非金融资产，且该混合工具不是以公允价值计量且其变动计入当期损益进行会计处理，嵌入衍生工具与该主合同在经济特征及风险方面不存在紧密关系，且与嵌入衍生工具条件相同、单独存在的工具符合衍生工具定义的，嵌入衍生工具从混合工具中分拆，作为单独的衍生金融工具处理。如果该嵌入衍生工具在取得日或后续资产负债表日的公允价值无法单独计量，则将混合工具整体指定为以公允价值计量且其变动计入当期损益的金融资产或金融负债。</w:t>
              </w:r>
            </w:p>
            <w:p w14:paraId="1F7D996E" w14:textId="77777777" w:rsidR="00830E72" w:rsidRDefault="008344D8">
              <w:pPr>
                <w:ind w:firstLineChars="200" w:firstLine="420"/>
                <w:rPr>
                  <w:szCs w:val="21"/>
                </w:rPr>
              </w:pPr>
              <w:r>
                <w:rPr>
                  <w:rFonts w:hint="eastAsia"/>
                  <w:szCs w:val="21"/>
                </w:rPr>
                <w:t>（</w:t>
              </w:r>
              <w:r>
                <w:rPr>
                  <w:szCs w:val="21"/>
                </w:rPr>
                <w:t>5）金融工具减值</w:t>
              </w:r>
            </w:p>
            <w:p w14:paraId="3073C9FC" w14:textId="77777777" w:rsidR="00830E72" w:rsidRDefault="008344D8">
              <w:pPr>
                <w:ind w:firstLineChars="200" w:firstLine="420"/>
                <w:rPr>
                  <w:szCs w:val="21"/>
                </w:rPr>
              </w:pPr>
              <w:r>
                <w:rPr>
                  <w:rFonts w:hint="eastAsia"/>
                  <w:szCs w:val="21"/>
                </w:rPr>
                <w:t>本公司对于以摊余成本计量的金融资产、以公允价值计量且其变动计入其他综合收益的债权投资、合同资产、租赁应收款及财务担保合同等，以预期信用损失为基础确认损失准备。</w:t>
              </w:r>
            </w:p>
            <w:p w14:paraId="651884CA" w14:textId="77777777" w:rsidR="00830E72" w:rsidRDefault="008344D8">
              <w:pPr>
                <w:ind w:firstLineChars="200" w:firstLine="420"/>
                <w:rPr>
                  <w:szCs w:val="21"/>
                </w:rPr>
              </w:pPr>
              <w:r>
                <w:rPr>
                  <w:rFonts w:hint="eastAsia"/>
                  <w:szCs w:val="21"/>
                </w:rPr>
                <w:t>①预期信用损失的计量</w:t>
              </w:r>
            </w:p>
            <w:p w14:paraId="78AB14B8" w14:textId="77777777" w:rsidR="00830E72" w:rsidRDefault="008344D8">
              <w:pPr>
                <w:ind w:firstLineChars="200" w:firstLine="420"/>
                <w:rPr>
                  <w:szCs w:val="21"/>
                </w:rPr>
              </w:pPr>
              <w:r>
                <w:rPr>
                  <w:rFonts w:hint="eastAsia"/>
                  <w:szCs w:val="21"/>
                </w:rPr>
                <w:t>预期信用损失，是指以发生违约的风险为权重的金融工具信用损失的加权平均值。信用损失，是指本公司按照原实际利率折现的、根据合同应收的所有合同现金流量与预期收取的所有现金流量之间的差额，即全部现金短缺的现值。其中，对于本公司购买或源生的已发生信用减值的金融资产，应按照该金融资产经信用调整的实际利率折现。</w:t>
              </w:r>
            </w:p>
            <w:p w14:paraId="5646C0CB" w14:textId="77777777" w:rsidR="00830E72" w:rsidRDefault="008344D8">
              <w:pPr>
                <w:ind w:firstLineChars="200" w:firstLine="420"/>
                <w:rPr>
                  <w:szCs w:val="21"/>
                </w:rPr>
              </w:pPr>
              <w:r>
                <w:rPr>
                  <w:rFonts w:hint="eastAsia"/>
                  <w:szCs w:val="21"/>
                </w:rPr>
                <w:t>整个存续期预期信用损失，是指因金融工具整个预计存续期内所有可能发生的违约事件而导致的预期信用损失。</w:t>
              </w:r>
            </w:p>
            <w:p w14:paraId="735EFF97" w14:textId="77777777" w:rsidR="00830E72" w:rsidRDefault="008344D8">
              <w:pPr>
                <w:ind w:firstLineChars="200" w:firstLine="420"/>
                <w:rPr>
                  <w:szCs w:val="21"/>
                </w:rPr>
              </w:pPr>
              <w:r>
                <w:rPr>
                  <w:rFonts w:hint="eastAsia"/>
                  <w:szCs w:val="21"/>
                </w:rPr>
                <w:t>未来</w:t>
              </w:r>
              <w:r>
                <w:rPr>
                  <w:szCs w:val="21"/>
                </w:rPr>
                <w:t xml:space="preserve"> 12 个月内预期信用损失，是指因资产负债表日后 12 个月内（若金融工具的预计存续期</w:t>
              </w:r>
              <w:r>
                <w:rPr>
                  <w:rFonts w:hint="eastAsia"/>
                  <w:szCs w:val="21"/>
                </w:rPr>
                <w:t>少于</w:t>
              </w:r>
              <w:r>
                <w:rPr>
                  <w:szCs w:val="21"/>
                </w:rPr>
                <w:t xml:space="preserve"> 12 个月，则为预计存续期）可能发生的金融工具违约事件而导致的预期信用损失，是整个</w:t>
              </w:r>
              <w:r>
                <w:rPr>
                  <w:rFonts w:hint="eastAsia"/>
                  <w:szCs w:val="21"/>
                </w:rPr>
                <w:t>存续期预期信用损失的一部分。</w:t>
              </w:r>
            </w:p>
            <w:p w14:paraId="1E802783" w14:textId="77777777" w:rsidR="00830E72" w:rsidRDefault="008344D8">
              <w:pPr>
                <w:ind w:firstLineChars="200" w:firstLine="420"/>
                <w:rPr>
                  <w:szCs w:val="21"/>
                </w:rPr>
              </w:pPr>
              <w:r>
                <w:rPr>
                  <w:rFonts w:hint="eastAsia"/>
                  <w:szCs w:val="21"/>
                </w:rPr>
                <w:t>于每个资产负债表日，本公司对于处于不同阶段的金融工具的预期信用损失分别进行计量。金融工具自初始确认后信用风险未显著增加的，处于第一阶段，本公司按照未来</w:t>
              </w:r>
              <w:r>
                <w:rPr>
                  <w:szCs w:val="21"/>
                </w:rPr>
                <w:t xml:space="preserve"> 12 个月内的预</w:t>
              </w:r>
              <w:r>
                <w:rPr>
                  <w:rFonts w:hint="eastAsia"/>
                  <w:szCs w:val="21"/>
                </w:rPr>
                <w:lastRenderedPageBreak/>
                <w:t>期信用损失计量损失准备；金融工具自初始确认后信用风险已显著增加但尚未发生信用减值的，处于第二阶段，本公司按照该工具整个存续期的预期信用损失计量损失准备；金融工具自初始确认后已经发生信用减值的，处于第三阶段，本公司按照该工具整个存续期的预期信用损失计量损失准备。</w:t>
              </w:r>
            </w:p>
            <w:p w14:paraId="3578968C" w14:textId="77777777" w:rsidR="00830E72" w:rsidRDefault="008344D8">
              <w:pPr>
                <w:ind w:firstLineChars="200" w:firstLine="420"/>
                <w:rPr>
                  <w:szCs w:val="21"/>
                </w:rPr>
              </w:pPr>
              <w:r>
                <w:rPr>
                  <w:rFonts w:hint="eastAsia"/>
                  <w:szCs w:val="21"/>
                </w:rPr>
                <w:t>对于在资产负债表日具有较低信用风险的金融工具，本公司假设其信用风险自初始确认后并未显著增加，按照未来</w:t>
              </w:r>
              <w:r>
                <w:rPr>
                  <w:szCs w:val="21"/>
                </w:rPr>
                <w:t xml:space="preserve"> 12 个月内的预期信用损失计量损失准备。</w:t>
              </w:r>
              <w:r>
                <w:rPr>
                  <w:rFonts w:hint="eastAsia"/>
                  <w:szCs w:val="21"/>
                </w:rPr>
                <w:t>本公司对于处于第一阶段和第二阶段、以及较低信用风险的金融工具，按照其未扣除减值准备的账面余额和实际利率计算利息收入。对于处于第三阶段的金融工具，按照其账面余额减已计提减值准备后的摊余成本和实际利率计算利息收入。</w:t>
              </w:r>
            </w:p>
            <w:p w14:paraId="6E34370C" w14:textId="77777777" w:rsidR="00830E72" w:rsidRDefault="008344D8">
              <w:pPr>
                <w:ind w:firstLineChars="200" w:firstLine="420"/>
                <w:rPr>
                  <w:szCs w:val="21"/>
                </w:rPr>
              </w:pPr>
              <w:r>
                <w:rPr>
                  <w:rFonts w:hint="eastAsia"/>
                  <w:szCs w:val="21"/>
                </w:rPr>
                <w:t>对于应收票据、应收账款、应收款项融资及合同资产，无论是否存在重大融资成分，本公司均按照整个存续期的预期信用损失计量损失准备。</w:t>
              </w:r>
            </w:p>
            <w:p w14:paraId="6430BE6B" w14:textId="77777777" w:rsidR="00830E72" w:rsidRDefault="008344D8">
              <w:pPr>
                <w:ind w:firstLineChars="200" w:firstLine="420"/>
                <w:rPr>
                  <w:szCs w:val="21"/>
                </w:rPr>
              </w:pPr>
              <w:r>
                <w:rPr>
                  <w:szCs w:val="21"/>
                </w:rPr>
                <w:t>A 应收款项/合同资产</w:t>
              </w:r>
            </w:p>
            <w:p w14:paraId="3D0600D6" w14:textId="77777777" w:rsidR="00830E72" w:rsidRDefault="008344D8">
              <w:pPr>
                <w:ind w:firstLineChars="200" w:firstLine="420"/>
                <w:rPr>
                  <w:szCs w:val="21"/>
                </w:rPr>
              </w:pPr>
              <w:r>
                <w:rPr>
                  <w:rFonts w:hint="eastAsia"/>
                  <w:szCs w:val="21"/>
                </w:rPr>
                <w:t>对于存在客观证据表明存在减值，以及其他适用于单项评估的应收票据、应收账款，其他应收款、应收款项融资、合同资产及长期应收款等单独进行减值测试，确认预期信用损失，计提单项减值准备。对于不存在减值客观证据的应收票据、应收账款、其他应收款、应收款项融资、合同资产及长期应收款或当单项金融资产无法以合理成本评估预期信用损失的信息时，本公司依据信用风险特征将应收票据、应收账款、其他应收款、应收款项融资、合同资产及长期应收款等划分为若干组合，在组合基础上计算预期信用损失，确定组合的依据如下：</w:t>
              </w:r>
            </w:p>
            <w:p w14:paraId="2A5AF626" w14:textId="77777777" w:rsidR="00830E72" w:rsidRDefault="008344D8">
              <w:pPr>
                <w:ind w:firstLineChars="200" w:firstLine="420"/>
                <w:rPr>
                  <w:szCs w:val="21"/>
                </w:rPr>
              </w:pPr>
              <w:r>
                <w:rPr>
                  <w:rFonts w:hint="eastAsia"/>
                  <w:szCs w:val="21"/>
                </w:rPr>
                <w:t>应收票据确定组合的依据如下：</w:t>
              </w:r>
            </w:p>
            <w:p w14:paraId="7EA1D290" w14:textId="77777777" w:rsidR="00830E72" w:rsidRDefault="008344D8">
              <w:pPr>
                <w:ind w:firstLineChars="200" w:firstLine="420"/>
                <w:rPr>
                  <w:szCs w:val="21"/>
                </w:rPr>
              </w:pPr>
              <w:r>
                <w:rPr>
                  <w:rFonts w:hint="eastAsia"/>
                  <w:szCs w:val="21"/>
                </w:rPr>
                <w:t>应收票据组合</w:t>
              </w:r>
              <w:r>
                <w:rPr>
                  <w:szCs w:val="21"/>
                </w:rPr>
                <w:t xml:space="preserve"> 1 商业承兑汇票</w:t>
              </w:r>
            </w:p>
            <w:p w14:paraId="2117D873" w14:textId="77777777" w:rsidR="00830E72" w:rsidRDefault="008344D8">
              <w:pPr>
                <w:ind w:firstLineChars="200" w:firstLine="420"/>
                <w:rPr>
                  <w:szCs w:val="21"/>
                </w:rPr>
              </w:pPr>
              <w:r>
                <w:rPr>
                  <w:rFonts w:hint="eastAsia"/>
                  <w:szCs w:val="21"/>
                </w:rPr>
                <w:t>应收票据组合</w:t>
              </w:r>
              <w:r>
                <w:rPr>
                  <w:szCs w:val="21"/>
                </w:rPr>
                <w:t xml:space="preserve"> 2 银行承兑汇票</w:t>
              </w:r>
            </w:p>
            <w:p w14:paraId="2AD76A40" w14:textId="77777777" w:rsidR="00830E72" w:rsidRDefault="008344D8">
              <w:pPr>
                <w:ind w:firstLineChars="200" w:firstLine="420"/>
                <w:rPr>
                  <w:szCs w:val="21"/>
                </w:rPr>
              </w:pPr>
              <w:r>
                <w:rPr>
                  <w:rFonts w:hint="eastAsia"/>
                  <w:szCs w:val="21"/>
                </w:rPr>
                <w:t>对于划分为组合的应收票据，本公司参考历史信用损失经验，结合当前状况以及对未来经济状况的预测，通过违约风险敞口和整个存续期预期信用损失率，计算预期信用损失。</w:t>
              </w:r>
            </w:p>
            <w:p w14:paraId="2513F51D" w14:textId="77777777" w:rsidR="00830E72" w:rsidRDefault="008344D8">
              <w:pPr>
                <w:ind w:firstLineChars="200" w:firstLine="420"/>
                <w:rPr>
                  <w:szCs w:val="21"/>
                </w:rPr>
              </w:pPr>
              <w:r>
                <w:rPr>
                  <w:rFonts w:hint="eastAsia"/>
                  <w:szCs w:val="21"/>
                </w:rPr>
                <w:t>应收账款确定组合的依据如下：</w:t>
              </w:r>
            </w:p>
            <w:p w14:paraId="09AF278A" w14:textId="77777777" w:rsidR="00830E72" w:rsidRDefault="008344D8">
              <w:pPr>
                <w:ind w:firstLineChars="200" w:firstLine="420"/>
                <w:rPr>
                  <w:szCs w:val="21"/>
                </w:rPr>
              </w:pPr>
              <w:r>
                <w:rPr>
                  <w:rFonts w:hint="eastAsia"/>
                  <w:szCs w:val="21"/>
                </w:rPr>
                <w:t>应收账款组合</w:t>
              </w:r>
              <w:r>
                <w:rPr>
                  <w:szCs w:val="21"/>
                </w:rPr>
                <w:t xml:space="preserve"> 1 应收合并范围内关联方</w:t>
              </w:r>
            </w:p>
            <w:p w14:paraId="1F8C8FFC" w14:textId="77777777" w:rsidR="00830E72" w:rsidRDefault="008344D8">
              <w:pPr>
                <w:ind w:firstLineChars="200" w:firstLine="420"/>
                <w:rPr>
                  <w:szCs w:val="21"/>
                </w:rPr>
              </w:pPr>
              <w:r>
                <w:rPr>
                  <w:rFonts w:hint="eastAsia"/>
                  <w:szCs w:val="21"/>
                </w:rPr>
                <w:t>应收账款组合</w:t>
              </w:r>
              <w:r>
                <w:rPr>
                  <w:szCs w:val="21"/>
                </w:rPr>
                <w:t xml:space="preserve"> 2 应收外部客户</w:t>
              </w:r>
            </w:p>
            <w:p w14:paraId="6E7C6886" w14:textId="77777777" w:rsidR="00830E72" w:rsidRDefault="008344D8">
              <w:pPr>
                <w:ind w:firstLineChars="200" w:firstLine="420"/>
                <w:rPr>
                  <w:szCs w:val="21"/>
                </w:rPr>
              </w:pPr>
              <w:r>
                <w:rPr>
                  <w:rFonts w:hint="eastAsia"/>
                  <w:szCs w:val="21"/>
                </w:rPr>
                <w:t>对于划分为组合的应收账款，本公司参考历史信用损失经验，结合当前状况以及对未来经济状况的预测，编制应收账款账龄与整个存续期预期信用损失率对照表，计算预期信用损失。</w:t>
              </w:r>
            </w:p>
            <w:p w14:paraId="35C2BC70" w14:textId="77777777" w:rsidR="00830E72" w:rsidRDefault="008344D8">
              <w:pPr>
                <w:ind w:firstLineChars="200" w:firstLine="420"/>
                <w:rPr>
                  <w:szCs w:val="21"/>
                </w:rPr>
              </w:pPr>
              <w:r>
                <w:rPr>
                  <w:rFonts w:hint="eastAsia"/>
                  <w:szCs w:val="21"/>
                </w:rPr>
                <w:t>其他应收款确定组合的依据如下：</w:t>
              </w:r>
            </w:p>
            <w:p w14:paraId="0AC3F3ED" w14:textId="77777777" w:rsidR="00830E72" w:rsidRDefault="008344D8">
              <w:pPr>
                <w:ind w:firstLineChars="200" w:firstLine="420"/>
                <w:rPr>
                  <w:szCs w:val="21"/>
                </w:rPr>
              </w:pPr>
              <w:r>
                <w:rPr>
                  <w:rFonts w:hint="eastAsia"/>
                  <w:szCs w:val="21"/>
                </w:rPr>
                <w:t>其他应收款组合</w:t>
              </w:r>
              <w:r>
                <w:rPr>
                  <w:szCs w:val="21"/>
                </w:rPr>
                <w:t xml:space="preserve"> 1 应收利息</w:t>
              </w:r>
            </w:p>
            <w:p w14:paraId="1A717968" w14:textId="77777777" w:rsidR="00830E72" w:rsidRDefault="008344D8">
              <w:pPr>
                <w:ind w:firstLineChars="200" w:firstLine="420"/>
                <w:rPr>
                  <w:szCs w:val="21"/>
                </w:rPr>
              </w:pPr>
              <w:r>
                <w:rPr>
                  <w:rFonts w:hint="eastAsia"/>
                  <w:szCs w:val="21"/>
                </w:rPr>
                <w:t>其他应收款组合</w:t>
              </w:r>
              <w:r>
                <w:rPr>
                  <w:szCs w:val="21"/>
                </w:rPr>
                <w:t xml:space="preserve"> 2 应收股利</w:t>
              </w:r>
            </w:p>
            <w:p w14:paraId="0E4B4800" w14:textId="77777777" w:rsidR="00830E72" w:rsidRDefault="008344D8">
              <w:pPr>
                <w:ind w:firstLineChars="200" w:firstLine="420"/>
                <w:rPr>
                  <w:szCs w:val="21"/>
                </w:rPr>
              </w:pPr>
              <w:r>
                <w:rPr>
                  <w:rFonts w:hint="eastAsia"/>
                  <w:szCs w:val="21"/>
                </w:rPr>
                <w:t>其他应收款组合</w:t>
              </w:r>
              <w:r>
                <w:rPr>
                  <w:szCs w:val="21"/>
                </w:rPr>
                <w:t xml:space="preserve"> 3 应收合并范围内关联方</w:t>
              </w:r>
            </w:p>
            <w:p w14:paraId="7915EAD5" w14:textId="77777777" w:rsidR="00830E72" w:rsidRDefault="008344D8">
              <w:pPr>
                <w:ind w:firstLineChars="200" w:firstLine="420"/>
                <w:rPr>
                  <w:szCs w:val="21"/>
                </w:rPr>
              </w:pPr>
              <w:r>
                <w:rPr>
                  <w:rFonts w:hint="eastAsia"/>
                  <w:szCs w:val="21"/>
                </w:rPr>
                <w:t>其他应收款组合</w:t>
              </w:r>
              <w:r>
                <w:rPr>
                  <w:szCs w:val="21"/>
                </w:rPr>
                <w:t xml:space="preserve"> 4 应收保证金</w:t>
              </w:r>
            </w:p>
            <w:p w14:paraId="58DEEE7B" w14:textId="77777777" w:rsidR="00830E72" w:rsidRDefault="008344D8">
              <w:pPr>
                <w:ind w:firstLineChars="200" w:firstLine="420"/>
                <w:rPr>
                  <w:szCs w:val="21"/>
                </w:rPr>
              </w:pPr>
              <w:r>
                <w:rPr>
                  <w:rFonts w:hint="eastAsia"/>
                  <w:szCs w:val="21"/>
                </w:rPr>
                <w:t>其他应收款组合</w:t>
              </w:r>
              <w:r>
                <w:rPr>
                  <w:szCs w:val="21"/>
                </w:rPr>
                <w:t xml:space="preserve"> 5 应收其他款项</w:t>
              </w:r>
            </w:p>
            <w:p w14:paraId="7B6FBD52" w14:textId="77777777" w:rsidR="00830E72" w:rsidRDefault="008344D8">
              <w:pPr>
                <w:ind w:firstLineChars="200" w:firstLine="420"/>
                <w:rPr>
                  <w:szCs w:val="21"/>
                </w:rPr>
              </w:pPr>
              <w:r>
                <w:rPr>
                  <w:rFonts w:hint="eastAsia"/>
                  <w:szCs w:val="21"/>
                </w:rPr>
                <w:t>对于划分为组合的其他应收款，本公司参考历史信用损失经验，结合当前状况以及对未来经济状况的预测，通过违约风险敞口和未来</w:t>
              </w:r>
              <w:r>
                <w:rPr>
                  <w:szCs w:val="21"/>
                </w:rPr>
                <w:t xml:space="preserve"> 12 个月内或整个存续期预期信用损失率，计算预期信</w:t>
              </w:r>
              <w:r>
                <w:rPr>
                  <w:rFonts w:hint="eastAsia"/>
                  <w:szCs w:val="21"/>
                </w:rPr>
                <w:t>用损失。</w:t>
              </w:r>
            </w:p>
            <w:p w14:paraId="08BEEE6D" w14:textId="77777777" w:rsidR="00830E72" w:rsidRDefault="008344D8">
              <w:pPr>
                <w:ind w:firstLineChars="200" w:firstLine="420"/>
                <w:rPr>
                  <w:szCs w:val="21"/>
                </w:rPr>
              </w:pPr>
              <w:r>
                <w:rPr>
                  <w:rFonts w:hint="eastAsia"/>
                  <w:szCs w:val="21"/>
                </w:rPr>
                <w:t>合同资产确定组合的依据如下：</w:t>
              </w:r>
            </w:p>
            <w:p w14:paraId="1FCD73FC" w14:textId="77777777" w:rsidR="00830E72" w:rsidRDefault="008344D8">
              <w:pPr>
                <w:ind w:firstLineChars="200" w:firstLine="420"/>
                <w:rPr>
                  <w:szCs w:val="21"/>
                </w:rPr>
              </w:pPr>
              <w:r>
                <w:rPr>
                  <w:rFonts w:hint="eastAsia"/>
                  <w:szCs w:val="21"/>
                </w:rPr>
                <w:t>合同资产组合</w:t>
              </w:r>
              <w:r>
                <w:rPr>
                  <w:szCs w:val="21"/>
                </w:rPr>
                <w:t xml:space="preserve"> 1 已完工未结算资产</w:t>
              </w:r>
            </w:p>
            <w:p w14:paraId="27E760B7" w14:textId="77777777" w:rsidR="00830E72" w:rsidRDefault="008344D8">
              <w:pPr>
                <w:ind w:firstLineChars="200" w:firstLine="420"/>
                <w:rPr>
                  <w:szCs w:val="21"/>
                </w:rPr>
              </w:pPr>
              <w:r>
                <w:rPr>
                  <w:rFonts w:hint="eastAsia"/>
                  <w:szCs w:val="21"/>
                </w:rPr>
                <w:t>合同资产组合</w:t>
              </w:r>
              <w:r>
                <w:rPr>
                  <w:szCs w:val="21"/>
                </w:rPr>
                <w:t xml:space="preserve"> 2 未到期质保金</w:t>
              </w:r>
            </w:p>
            <w:p w14:paraId="727621F9" w14:textId="77777777" w:rsidR="00830E72" w:rsidRDefault="008344D8">
              <w:pPr>
                <w:ind w:firstLineChars="200" w:firstLine="420"/>
                <w:rPr>
                  <w:szCs w:val="21"/>
                </w:rPr>
              </w:pPr>
              <w:r>
                <w:rPr>
                  <w:rFonts w:hint="eastAsia"/>
                  <w:szCs w:val="21"/>
                </w:rPr>
                <w:t>合同资产组合</w:t>
              </w:r>
              <w:r>
                <w:rPr>
                  <w:szCs w:val="21"/>
                </w:rPr>
                <w:t xml:space="preserve"> 3 处于建设期的金融资产模式的 PPP 项目</w:t>
              </w:r>
            </w:p>
            <w:p w14:paraId="390230F6" w14:textId="77777777" w:rsidR="00830E72" w:rsidRDefault="008344D8">
              <w:pPr>
                <w:ind w:firstLineChars="200" w:firstLine="420"/>
                <w:rPr>
                  <w:szCs w:val="21"/>
                </w:rPr>
              </w:pPr>
              <w:r>
                <w:rPr>
                  <w:rFonts w:hint="eastAsia"/>
                  <w:szCs w:val="21"/>
                </w:rPr>
                <w:t>对于划分为组合的合同资产，本公司参考历史损失经验，结合当前状况以及对未来经济状况的预测，通过违约风险敞口与整个存续期预期损失率，计算预期损失。</w:t>
              </w:r>
            </w:p>
            <w:p w14:paraId="241D2F9A" w14:textId="77777777" w:rsidR="00830E72" w:rsidRDefault="008344D8">
              <w:pPr>
                <w:ind w:firstLineChars="200" w:firstLine="420"/>
                <w:rPr>
                  <w:szCs w:val="21"/>
                </w:rPr>
              </w:pPr>
              <w:r>
                <w:rPr>
                  <w:rFonts w:hint="eastAsia"/>
                  <w:szCs w:val="21"/>
                </w:rPr>
                <w:t>长期应收款确定组合的依据如下：</w:t>
              </w:r>
            </w:p>
            <w:p w14:paraId="0EB7DF72" w14:textId="77777777" w:rsidR="00830E72" w:rsidRDefault="008344D8">
              <w:pPr>
                <w:ind w:firstLineChars="200" w:firstLine="420"/>
                <w:rPr>
                  <w:szCs w:val="21"/>
                </w:rPr>
              </w:pPr>
              <w:r>
                <w:rPr>
                  <w:rFonts w:hint="eastAsia"/>
                  <w:szCs w:val="21"/>
                </w:rPr>
                <w:t>长期应收款组合</w:t>
              </w:r>
              <w:r>
                <w:rPr>
                  <w:szCs w:val="21"/>
                </w:rPr>
                <w:t xml:space="preserve"> 1 应收 BT（PPP）项目工程款</w:t>
              </w:r>
            </w:p>
            <w:p w14:paraId="3F03CA3E" w14:textId="77777777" w:rsidR="00830E72" w:rsidRDefault="008344D8">
              <w:pPr>
                <w:ind w:firstLineChars="200" w:firstLine="420"/>
                <w:rPr>
                  <w:szCs w:val="21"/>
                </w:rPr>
              </w:pPr>
              <w:r>
                <w:rPr>
                  <w:rFonts w:hint="eastAsia"/>
                  <w:szCs w:val="21"/>
                </w:rPr>
                <w:t>长期应收款组合</w:t>
              </w:r>
              <w:r>
                <w:rPr>
                  <w:szCs w:val="21"/>
                </w:rPr>
                <w:t xml:space="preserve"> 2 应收其他款项</w:t>
              </w:r>
            </w:p>
            <w:p w14:paraId="0F727E59" w14:textId="77777777" w:rsidR="00830E72" w:rsidRDefault="008344D8">
              <w:pPr>
                <w:ind w:firstLineChars="200" w:firstLine="420"/>
                <w:rPr>
                  <w:szCs w:val="21"/>
                </w:rPr>
              </w:pPr>
              <w:r>
                <w:rPr>
                  <w:rFonts w:hint="eastAsia"/>
                  <w:szCs w:val="21"/>
                </w:rPr>
                <w:t>对于划分为组合</w:t>
              </w:r>
              <w:r>
                <w:rPr>
                  <w:szCs w:val="21"/>
                </w:rPr>
                <w:t xml:space="preserve"> 1 的长期应收款，本公司参考历史信用损失经验，结合当前状况以及对未来</w:t>
              </w:r>
              <w:r>
                <w:rPr>
                  <w:rFonts w:hint="eastAsia"/>
                  <w:szCs w:val="21"/>
                </w:rPr>
                <w:t>经济状况的预测，通过违约风险敞口和整个存续期预期信用损失率，计算预期信用损失。</w:t>
              </w:r>
            </w:p>
            <w:p w14:paraId="3665DD4C" w14:textId="77777777" w:rsidR="00830E72" w:rsidRDefault="008344D8">
              <w:pPr>
                <w:ind w:firstLineChars="200" w:firstLine="420"/>
                <w:rPr>
                  <w:szCs w:val="21"/>
                </w:rPr>
              </w:pPr>
              <w:r>
                <w:rPr>
                  <w:rFonts w:hint="eastAsia"/>
                  <w:szCs w:val="21"/>
                </w:rPr>
                <w:t>对于划分为组合</w:t>
              </w:r>
              <w:r>
                <w:rPr>
                  <w:szCs w:val="21"/>
                </w:rPr>
                <w:t xml:space="preserve"> 2 的长期应收款，本公司参考历史信用损失经验，结合当前状况以及对未来</w:t>
              </w:r>
              <w:r>
                <w:rPr>
                  <w:rFonts w:hint="eastAsia"/>
                  <w:szCs w:val="21"/>
                </w:rPr>
                <w:t>经济状况的预测，通过违约风险敞口和未来</w:t>
              </w:r>
              <w:r>
                <w:rPr>
                  <w:szCs w:val="21"/>
                </w:rPr>
                <w:t xml:space="preserve"> 12 个月内或整个存续期预期信用损失率，计算预期</w:t>
              </w:r>
            </w:p>
            <w:p w14:paraId="7CE77297" w14:textId="77777777" w:rsidR="00830E72" w:rsidRDefault="008344D8">
              <w:pPr>
                <w:ind w:firstLineChars="200" w:firstLine="420"/>
                <w:rPr>
                  <w:szCs w:val="21"/>
                </w:rPr>
              </w:pPr>
              <w:r>
                <w:rPr>
                  <w:rFonts w:hint="eastAsia"/>
                  <w:szCs w:val="21"/>
                </w:rPr>
                <w:lastRenderedPageBreak/>
                <w:t>信用损失。</w:t>
              </w:r>
            </w:p>
            <w:p w14:paraId="5623FDB8" w14:textId="77777777" w:rsidR="00830E72" w:rsidRDefault="008344D8">
              <w:pPr>
                <w:ind w:firstLineChars="200" w:firstLine="420"/>
                <w:rPr>
                  <w:szCs w:val="21"/>
                </w:rPr>
              </w:pPr>
              <w:r>
                <w:rPr>
                  <w:szCs w:val="21"/>
                </w:rPr>
                <w:t>B 债权投资、其他债权投资</w:t>
              </w:r>
            </w:p>
            <w:p w14:paraId="3DC96737" w14:textId="77777777" w:rsidR="00830E72" w:rsidRDefault="008344D8">
              <w:pPr>
                <w:ind w:firstLineChars="200" w:firstLine="420"/>
                <w:rPr>
                  <w:szCs w:val="21"/>
                </w:rPr>
              </w:pPr>
              <w:r>
                <w:rPr>
                  <w:rFonts w:hint="eastAsia"/>
                  <w:szCs w:val="21"/>
                </w:rPr>
                <w:t>对于债权投资和其他债权投资，本公司按照投资的性质，根据交易对手和风险敞口的各种类型，通过违约风险敞口和未来</w:t>
              </w:r>
              <w:r>
                <w:rPr>
                  <w:szCs w:val="21"/>
                </w:rPr>
                <w:t xml:space="preserve"> 12 个月内或整个存续期预期信用损失率，计算预期信用损失。</w:t>
              </w:r>
            </w:p>
            <w:p w14:paraId="72898DFB" w14:textId="77777777" w:rsidR="00830E72" w:rsidRDefault="008344D8">
              <w:pPr>
                <w:ind w:firstLineChars="200" w:firstLine="420"/>
                <w:rPr>
                  <w:szCs w:val="21"/>
                </w:rPr>
              </w:pPr>
              <w:r>
                <w:rPr>
                  <w:rFonts w:hint="eastAsia"/>
                  <w:szCs w:val="21"/>
                </w:rPr>
                <w:t>②具有较低的信用风险</w:t>
              </w:r>
            </w:p>
            <w:p w14:paraId="2218D0B2" w14:textId="77777777" w:rsidR="00830E72" w:rsidRDefault="008344D8">
              <w:pPr>
                <w:ind w:firstLineChars="200" w:firstLine="420"/>
                <w:rPr>
                  <w:szCs w:val="21"/>
                </w:rPr>
              </w:pPr>
              <w:r>
                <w:rPr>
                  <w:rFonts w:hint="eastAsia"/>
                  <w:szCs w:val="21"/>
                </w:rPr>
                <w:t>如果金融工具的违约风险较低，借款人在短期内履行其合同现金流量义务的能力很强，并且即便较长时期内经济形势和经营环境存在不利变化但未必一定降低借款人履行其合同现金流量义务的能力，该金融工具被视为具有较低的信用风险。</w:t>
              </w:r>
            </w:p>
            <w:p w14:paraId="2D0AEF8B" w14:textId="77777777" w:rsidR="00830E72" w:rsidRDefault="008344D8">
              <w:pPr>
                <w:ind w:firstLineChars="200" w:firstLine="420"/>
                <w:rPr>
                  <w:szCs w:val="21"/>
                </w:rPr>
              </w:pPr>
              <w:r>
                <w:rPr>
                  <w:rFonts w:hint="eastAsia"/>
                  <w:szCs w:val="21"/>
                </w:rPr>
                <w:t>③信用风险显著增加</w:t>
              </w:r>
            </w:p>
            <w:p w14:paraId="179467CA" w14:textId="77777777" w:rsidR="00830E72" w:rsidRDefault="008344D8">
              <w:pPr>
                <w:ind w:firstLineChars="200" w:firstLine="420"/>
                <w:rPr>
                  <w:szCs w:val="21"/>
                </w:rPr>
              </w:pPr>
              <w:r>
                <w:rPr>
                  <w:rFonts w:hint="eastAsia"/>
                  <w:szCs w:val="21"/>
                </w:rPr>
                <w:t>本公司通过比较金融工具在资产负债表日所确定的预计存续期内的违约概率与在初始确认时所确定的预计存续期内的违约概率，以确定金融工具预计存续期内发生违约概率的相对变化，以评估金融工具的信用风险自初始确认后是否已显著增加。</w:t>
              </w:r>
            </w:p>
            <w:p w14:paraId="335E5E04" w14:textId="77777777" w:rsidR="00830E72" w:rsidRDefault="008344D8">
              <w:pPr>
                <w:ind w:firstLineChars="200" w:firstLine="420"/>
                <w:rPr>
                  <w:szCs w:val="21"/>
                </w:rPr>
              </w:pPr>
              <w:r>
                <w:rPr>
                  <w:rFonts w:hint="eastAsia"/>
                  <w:szCs w:val="21"/>
                </w:rPr>
                <w:t>在确定信用风险自初始确认后是否显著增加时，本公司考虑无须付出不必要的额外成本或努力即可获得的合理且有依据的信息，包括前瞻性信息。本公司考虑的信息包括：</w:t>
              </w:r>
            </w:p>
            <w:p w14:paraId="46498AAE" w14:textId="77777777" w:rsidR="00830E72" w:rsidRDefault="008344D8">
              <w:pPr>
                <w:ind w:firstLineChars="200" w:firstLine="420"/>
                <w:rPr>
                  <w:szCs w:val="21"/>
                </w:rPr>
              </w:pPr>
              <w:r>
                <w:rPr>
                  <w:szCs w:val="21"/>
                </w:rPr>
                <w:t>A. 信用风险变化所导致的内部价格指标是否发生显著变化；</w:t>
              </w:r>
            </w:p>
            <w:p w14:paraId="0E5A1D24" w14:textId="77777777" w:rsidR="00830E72" w:rsidRDefault="008344D8">
              <w:pPr>
                <w:ind w:firstLineChars="200" w:firstLine="420"/>
                <w:rPr>
                  <w:szCs w:val="21"/>
                </w:rPr>
              </w:pPr>
              <w:r>
                <w:rPr>
                  <w:szCs w:val="21"/>
                </w:rPr>
                <w:t>B. 预期将导致债务人履行其偿债义务的能力是否发生显著变化的业务、财务或经济状况的</w:t>
              </w:r>
              <w:r>
                <w:rPr>
                  <w:rFonts w:hint="eastAsia"/>
                  <w:szCs w:val="21"/>
                </w:rPr>
                <w:t>不利变化；</w:t>
              </w:r>
            </w:p>
            <w:p w14:paraId="321C9F15" w14:textId="77777777" w:rsidR="00830E72" w:rsidRDefault="008344D8">
              <w:pPr>
                <w:ind w:firstLineChars="200" w:firstLine="420"/>
                <w:rPr>
                  <w:szCs w:val="21"/>
                </w:rPr>
              </w:pPr>
              <w:r>
                <w:rPr>
                  <w:szCs w:val="21"/>
                </w:rPr>
                <w:t>C. 债务人经营成果实际或预期是否发生显著变化；债务人所处的监管、经济或技术环境是</w:t>
              </w:r>
              <w:r>
                <w:rPr>
                  <w:rFonts w:hint="eastAsia"/>
                  <w:szCs w:val="21"/>
                </w:rPr>
                <w:t>否发生显著不利变化；</w:t>
              </w:r>
            </w:p>
            <w:p w14:paraId="0F0FBA87" w14:textId="77777777" w:rsidR="00830E72" w:rsidRDefault="008344D8">
              <w:pPr>
                <w:ind w:firstLineChars="200" w:firstLine="420"/>
                <w:rPr>
                  <w:szCs w:val="21"/>
                </w:rPr>
              </w:pPr>
              <w:r>
                <w:rPr>
                  <w:szCs w:val="21"/>
                </w:rPr>
                <w:t>D. 作为债务抵押的担保物价值或第三方提供的担保或信用增级质量是否发生显著变化。这</w:t>
              </w:r>
              <w:r>
                <w:rPr>
                  <w:rFonts w:hint="eastAsia"/>
                  <w:szCs w:val="21"/>
                </w:rPr>
                <w:t>些变化预期将降低债务人按合同规定期限还款的经济动机或者影响违约概率；</w:t>
              </w:r>
            </w:p>
            <w:p w14:paraId="697394F9" w14:textId="77777777" w:rsidR="00830E72" w:rsidRDefault="008344D8">
              <w:pPr>
                <w:ind w:firstLineChars="200" w:firstLine="420"/>
                <w:rPr>
                  <w:szCs w:val="21"/>
                </w:rPr>
              </w:pPr>
              <w:r>
                <w:rPr>
                  <w:szCs w:val="21"/>
                </w:rPr>
                <w:t>E. 预期将降低债务人按合同约定期限还款的经济动机是否发生显著变化；</w:t>
              </w:r>
            </w:p>
            <w:p w14:paraId="1226FCAF" w14:textId="77777777" w:rsidR="00830E72" w:rsidRDefault="008344D8">
              <w:pPr>
                <w:ind w:firstLineChars="200" w:firstLine="420"/>
                <w:rPr>
                  <w:szCs w:val="21"/>
                </w:rPr>
              </w:pPr>
              <w:r>
                <w:rPr>
                  <w:szCs w:val="21"/>
                </w:rPr>
                <w:t>F. 借款合同的预期变更，包括预计违反合同的行为是否可能导致的合同义务的免除或修</w:t>
              </w:r>
              <w:r>
                <w:rPr>
                  <w:rFonts w:hint="eastAsia"/>
                  <w:szCs w:val="21"/>
                </w:rPr>
                <w:t>订、给予免息期、利率跳升、要求追加抵押品或担保或者对金融工具的合同框架做出其他变更；</w:t>
              </w:r>
            </w:p>
            <w:p w14:paraId="7CB89273" w14:textId="77777777" w:rsidR="00830E72" w:rsidRDefault="008344D8">
              <w:pPr>
                <w:ind w:firstLineChars="200" w:firstLine="420"/>
                <w:rPr>
                  <w:szCs w:val="21"/>
                </w:rPr>
              </w:pPr>
              <w:r>
                <w:rPr>
                  <w:szCs w:val="21"/>
                </w:rPr>
                <w:t>G. 债务人预期表现和还款行为是否发生显著变化；</w:t>
              </w:r>
            </w:p>
            <w:p w14:paraId="4FD72D8D" w14:textId="77777777" w:rsidR="00830E72" w:rsidRDefault="008344D8">
              <w:pPr>
                <w:ind w:firstLineChars="200" w:firstLine="420"/>
                <w:rPr>
                  <w:szCs w:val="21"/>
                </w:rPr>
              </w:pPr>
              <w:r>
                <w:rPr>
                  <w:szCs w:val="21"/>
                </w:rPr>
                <w:t>H. 合同付款是否发生逾期超过（含）30 日。</w:t>
              </w:r>
            </w:p>
            <w:p w14:paraId="0CFB6A18" w14:textId="77777777" w:rsidR="00830E72" w:rsidRDefault="008344D8">
              <w:pPr>
                <w:ind w:firstLineChars="200" w:firstLine="420"/>
                <w:rPr>
                  <w:szCs w:val="21"/>
                </w:rPr>
              </w:pPr>
              <w:r>
                <w:rPr>
                  <w:rFonts w:hint="eastAsia"/>
                  <w:szCs w:val="21"/>
                </w:rPr>
                <w:t>根据金融工具的性质，本公司以单项金融工具或金融工具组合为基础评估信用风险是否显著增加。以金融工具组合为基础进行评估时，本公司可基于共同信用风险特征对金融工具进行分类，例如逾期信息和信用风险评级。</w:t>
              </w:r>
            </w:p>
            <w:p w14:paraId="2421D577" w14:textId="77777777" w:rsidR="00830E72" w:rsidRDefault="008344D8">
              <w:pPr>
                <w:ind w:firstLineChars="200" w:firstLine="420"/>
                <w:rPr>
                  <w:szCs w:val="21"/>
                </w:rPr>
              </w:pPr>
              <w:r>
                <w:rPr>
                  <w:rFonts w:hint="eastAsia"/>
                  <w:szCs w:val="21"/>
                </w:rPr>
                <w:t>通常情况下，如果逾期超过</w:t>
              </w:r>
              <w:r>
                <w:rPr>
                  <w:szCs w:val="21"/>
                </w:rPr>
                <w:t xml:space="preserve"> 30 日，本公司确定金融工具的信用风险已经显著增加。除非本</w:t>
              </w:r>
              <w:r>
                <w:rPr>
                  <w:rFonts w:hint="eastAsia"/>
                  <w:szCs w:val="21"/>
                </w:rPr>
                <w:t>公司无需付出过多成本或努力即可获得合理且有依据的信息，证明虽然超过合同约定的付款期限</w:t>
              </w:r>
              <w:r>
                <w:rPr>
                  <w:szCs w:val="21"/>
                </w:rPr>
                <w:t>30 天，但信用风险自初始确认以来并未显著增加。</w:t>
              </w:r>
            </w:p>
            <w:p w14:paraId="4106F94B" w14:textId="77777777" w:rsidR="00830E72" w:rsidRDefault="008344D8">
              <w:pPr>
                <w:ind w:firstLineChars="200" w:firstLine="420"/>
                <w:rPr>
                  <w:szCs w:val="21"/>
                </w:rPr>
              </w:pPr>
              <w:r>
                <w:rPr>
                  <w:rFonts w:hint="eastAsia"/>
                  <w:szCs w:val="21"/>
                </w:rPr>
                <w:t>④已发生信用减值的金融资产</w:t>
              </w:r>
            </w:p>
            <w:p w14:paraId="43967B87" w14:textId="77777777" w:rsidR="00830E72" w:rsidRDefault="008344D8">
              <w:pPr>
                <w:ind w:firstLineChars="200" w:firstLine="420"/>
                <w:rPr>
                  <w:szCs w:val="21"/>
                </w:rPr>
              </w:pPr>
              <w:r>
                <w:rPr>
                  <w:rFonts w:hint="eastAsia"/>
                  <w:szCs w:val="21"/>
                </w:rPr>
                <w:t>本公司在资产负债表日评估以摊余成本计量的金融资产和以公允价值计量且其变动计入其他综合收益的债权投资是否已发生信用减值。当对金融资产预期未来现金流量具有不利影响的一项或多项事件发生时，该金融资产成为已发生信用减值的金融资产。金融资产已发生信用减值的证据包括下列可观察信息：</w:t>
              </w:r>
            </w:p>
            <w:p w14:paraId="7F0DB63E" w14:textId="77777777" w:rsidR="00830E72" w:rsidRDefault="008344D8">
              <w:pPr>
                <w:ind w:firstLineChars="200" w:firstLine="420"/>
                <w:rPr>
                  <w:szCs w:val="21"/>
                </w:rPr>
              </w:pPr>
              <w:r>
                <w:rPr>
                  <w:rFonts w:hint="eastAsia"/>
                  <w:szCs w:val="21"/>
                </w:rPr>
                <w:t>发行方或债务人发生重大财务困难；债务人违反合同，如偿付利息或本金违约或逾期等；债权人出于与债务人财务困难有关的经济或合同考虑，给予债务人在任何其他情况下都不会做出的让步；债务人很可能破产或进行其他财务重组；发行方或债务人财务困难导致该金融资产的活跃市场消失；以大幅折扣购买或源生一项金融资产，该折扣反映了发生信用损失的事实。</w:t>
              </w:r>
            </w:p>
            <w:p w14:paraId="4C155E4F" w14:textId="77777777" w:rsidR="00830E72" w:rsidRDefault="008344D8">
              <w:pPr>
                <w:ind w:firstLineChars="200" w:firstLine="420"/>
                <w:rPr>
                  <w:szCs w:val="21"/>
                </w:rPr>
              </w:pPr>
              <w:r>
                <w:rPr>
                  <w:rFonts w:hint="eastAsia"/>
                  <w:szCs w:val="21"/>
                </w:rPr>
                <w:t>⑤预期信用损失准备的列报</w:t>
              </w:r>
            </w:p>
            <w:p w14:paraId="6ACFEB37" w14:textId="77777777" w:rsidR="00830E72" w:rsidRDefault="008344D8">
              <w:pPr>
                <w:ind w:firstLineChars="200" w:firstLine="420"/>
                <w:rPr>
                  <w:szCs w:val="21"/>
                </w:rPr>
              </w:pPr>
              <w:r>
                <w:rPr>
                  <w:rFonts w:hint="eastAsia"/>
                  <w:szCs w:val="21"/>
                </w:rPr>
                <w:t>为反映金融工具的信用风险自初始确认后的变化，本公司在每个资产负债表日重新计量预期信用损失，由此形成的损失准备的增加或转回金额，应当作为减值损失或利得计入当期损益。对于以摊余成本计量的金融资产，损失准备抵减该金融资产在资产负债表中列示的账面价值；对于以公允价值计量且其变动计入其他综合收益的债权投资，本公司在其他综合收益中确认其损失准备，不抵减该金融资产的账面价值。</w:t>
              </w:r>
            </w:p>
            <w:p w14:paraId="457F9A1C" w14:textId="77777777" w:rsidR="00830E72" w:rsidRDefault="008344D8">
              <w:pPr>
                <w:ind w:firstLineChars="200" w:firstLine="420"/>
                <w:rPr>
                  <w:szCs w:val="21"/>
                </w:rPr>
              </w:pPr>
              <w:r>
                <w:rPr>
                  <w:rFonts w:hint="eastAsia"/>
                  <w:szCs w:val="21"/>
                </w:rPr>
                <w:t>⑥核销</w:t>
              </w:r>
            </w:p>
            <w:p w14:paraId="4B480B33" w14:textId="77777777" w:rsidR="00830E72" w:rsidRDefault="008344D8">
              <w:pPr>
                <w:ind w:firstLineChars="200" w:firstLine="420"/>
                <w:rPr>
                  <w:szCs w:val="21"/>
                </w:rPr>
              </w:pPr>
              <w:r>
                <w:rPr>
                  <w:rFonts w:hint="eastAsia"/>
                  <w:szCs w:val="21"/>
                </w:rPr>
                <w:t>如果本公司不再合理预期金融资产合同现金流量能够全部或部分收回，则直接减记该金融资产的账面余额。这种减记构成相关金融资产的终止确认。这种情况通常发生在本公司确定债务人</w:t>
              </w:r>
              <w:r>
                <w:rPr>
                  <w:rFonts w:hint="eastAsia"/>
                  <w:szCs w:val="21"/>
                </w:rPr>
                <w:lastRenderedPageBreak/>
                <w:t>没有资产或收入来源可产生足够的现金流量以偿还将被减记的金额。已减记的金融资产以后又收回的，作为减值损失的转回计入收回当期的损益。</w:t>
              </w:r>
            </w:p>
            <w:p w14:paraId="25E27401" w14:textId="77777777" w:rsidR="00830E72" w:rsidRDefault="008344D8">
              <w:pPr>
                <w:ind w:firstLineChars="200" w:firstLine="420"/>
                <w:rPr>
                  <w:szCs w:val="21"/>
                </w:rPr>
              </w:pPr>
              <w:r>
                <w:rPr>
                  <w:rFonts w:hint="eastAsia"/>
                  <w:szCs w:val="21"/>
                </w:rPr>
                <w:t>（</w:t>
              </w:r>
              <w:r>
                <w:rPr>
                  <w:szCs w:val="21"/>
                </w:rPr>
                <w:t>6）金融资产转移</w:t>
              </w:r>
            </w:p>
            <w:p w14:paraId="7B8900FC" w14:textId="77777777" w:rsidR="00830E72" w:rsidRDefault="008344D8">
              <w:pPr>
                <w:ind w:firstLineChars="200" w:firstLine="420"/>
                <w:rPr>
                  <w:szCs w:val="21"/>
                </w:rPr>
              </w:pPr>
              <w:r>
                <w:rPr>
                  <w:rFonts w:hint="eastAsia"/>
                  <w:szCs w:val="21"/>
                </w:rPr>
                <w:t>金融资产转移是指下列两种情形：</w:t>
              </w:r>
            </w:p>
            <w:p w14:paraId="51F7AD58" w14:textId="77777777" w:rsidR="00830E72" w:rsidRDefault="008344D8">
              <w:pPr>
                <w:ind w:firstLineChars="200" w:firstLine="420"/>
                <w:rPr>
                  <w:szCs w:val="21"/>
                </w:rPr>
              </w:pPr>
              <w:r>
                <w:rPr>
                  <w:szCs w:val="21"/>
                </w:rPr>
                <w:t>A.将收取金融资产现金流量的合同权利转移给另一方；</w:t>
              </w:r>
            </w:p>
            <w:p w14:paraId="25C1F518" w14:textId="77777777" w:rsidR="00830E72" w:rsidRDefault="008344D8">
              <w:pPr>
                <w:ind w:firstLineChars="200" w:firstLine="420"/>
                <w:rPr>
                  <w:szCs w:val="21"/>
                </w:rPr>
              </w:pPr>
              <w:r>
                <w:rPr>
                  <w:szCs w:val="21"/>
                </w:rPr>
                <w:t>B.将金融资产整体或部分转移给另一方，但保留收取金融资产现金流量的合同权利，并承担</w:t>
              </w:r>
              <w:r>
                <w:rPr>
                  <w:rFonts w:hint="eastAsia"/>
                  <w:szCs w:val="21"/>
                </w:rPr>
                <w:t>将收取的现金流量支付给一个或多个收款方的合同义务。</w:t>
              </w:r>
            </w:p>
            <w:p w14:paraId="1CE45151" w14:textId="77777777" w:rsidR="00830E72" w:rsidRDefault="008344D8">
              <w:pPr>
                <w:ind w:firstLineChars="200" w:firstLine="420"/>
                <w:rPr>
                  <w:szCs w:val="21"/>
                </w:rPr>
              </w:pPr>
              <w:r>
                <w:rPr>
                  <w:rFonts w:hint="eastAsia"/>
                  <w:szCs w:val="21"/>
                </w:rPr>
                <w:t>①终止确认所转移的金融资产</w:t>
              </w:r>
            </w:p>
            <w:p w14:paraId="7E1061B8" w14:textId="77777777" w:rsidR="00830E72" w:rsidRDefault="008344D8">
              <w:pPr>
                <w:ind w:firstLineChars="200" w:firstLine="420"/>
                <w:rPr>
                  <w:szCs w:val="21"/>
                </w:rPr>
              </w:pPr>
              <w:r>
                <w:rPr>
                  <w:rFonts w:hint="eastAsia"/>
                  <w:szCs w:val="21"/>
                </w:rPr>
                <w:t>已将金融资产所有权上几乎所有的风险和报酬转移给转入方的，或既没有转移也没有保留金融资产所有权上几乎所有的风险和报酬的，但放弃了对该金融资产控制的，终止确认该金融资产。</w:t>
              </w:r>
            </w:p>
            <w:p w14:paraId="5581D31E" w14:textId="77777777" w:rsidR="00830E72" w:rsidRDefault="008344D8">
              <w:pPr>
                <w:ind w:firstLineChars="200" w:firstLine="420"/>
                <w:rPr>
                  <w:szCs w:val="21"/>
                </w:rPr>
              </w:pPr>
              <w:r>
                <w:rPr>
                  <w:rFonts w:hint="eastAsia"/>
                  <w:szCs w:val="21"/>
                </w:rPr>
                <w:t>在判断是否已放弃对所转移金融资产的控制时，根据转入方出售该金融资产的实际能力。转入方能够单方面将转移的金融资产整体出售给不相关的第三方，且没有额外条件对此项出售加以限制的，则公司已放弃对该金融资产的控制。</w:t>
              </w:r>
            </w:p>
            <w:p w14:paraId="708D08BA" w14:textId="77777777" w:rsidR="00830E72" w:rsidRDefault="008344D8">
              <w:pPr>
                <w:ind w:firstLineChars="200" w:firstLine="420"/>
                <w:rPr>
                  <w:szCs w:val="21"/>
                </w:rPr>
              </w:pPr>
              <w:r>
                <w:rPr>
                  <w:rFonts w:hint="eastAsia"/>
                  <w:szCs w:val="21"/>
                </w:rPr>
                <w:t>本公司在判断金融资产转移是否满足金融资产终止确认条件时，注重金融资产转移的实质。</w:t>
              </w:r>
            </w:p>
            <w:p w14:paraId="6D94B7CF" w14:textId="77777777" w:rsidR="00830E72" w:rsidRDefault="008344D8">
              <w:pPr>
                <w:ind w:firstLineChars="200" w:firstLine="420"/>
                <w:rPr>
                  <w:szCs w:val="21"/>
                </w:rPr>
              </w:pPr>
              <w:r>
                <w:rPr>
                  <w:rFonts w:hint="eastAsia"/>
                  <w:szCs w:val="21"/>
                </w:rPr>
                <w:t>金融资产整体转移满足终止确认条件的，将下列两项金额的差额计入当期损益：</w:t>
              </w:r>
            </w:p>
            <w:p w14:paraId="7D5C844B" w14:textId="77777777" w:rsidR="00830E72" w:rsidRDefault="008344D8">
              <w:pPr>
                <w:ind w:firstLineChars="200" w:firstLine="420"/>
                <w:rPr>
                  <w:szCs w:val="21"/>
                </w:rPr>
              </w:pPr>
              <w:r>
                <w:rPr>
                  <w:szCs w:val="21"/>
                </w:rPr>
                <w:t>A.所转移金融资产的账面价值；</w:t>
              </w:r>
            </w:p>
            <w:p w14:paraId="614C3A70" w14:textId="77777777" w:rsidR="00830E72" w:rsidRDefault="008344D8">
              <w:pPr>
                <w:ind w:firstLineChars="200" w:firstLine="420"/>
                <w:rPr>
                  <w:szCs w:val="21"/>
                </w:rPr>
              </w:pPr>
              <w:r>
                <w:rPr>
                  <w:szCs w:val="21"/>
                </w:rPr>
                <w:t>B.因转移而收到的对价，与原直接计入其他综合收益的公允价值变动累计额中对于终止确认</w:t>
              </w:r>
              <w:r>
                <w:rPr>
                  <w:rFonts w:hint="eastAsia"/>
                  <w:szCs w:val="21"/>
                </w:rPr>
                <w:t>部分的金额（涉及转移的金融资产为根据《企业会计准则第</w:t>
              </w:r>
              <w:r>
                <w:rPr>
                  <w:szCs w:val="21"/>
                </w:rPr>
                <w:t xml:space="preserve"> 22 号-金融工具确认和计量》第十八</w:t>
              </w:r>
              <w:r>
                <w:rPr>
                  <w:rFonts w:hint="eastAsia"/>
                  <w:szCs w:val="21"/>
                </w:rPr>
                <w:t>条分类为以公允价值计量且其变动计入其他综合收益的金融资产的情形）之和。</w:t>
              </w:r>
            </w:p>
            <w:p w14:paraId="446ACB01" w14:textId="77777777" w:rsidR="00830E72" w:rsidRDefault="008344D8">
              <w:pPr>
                <w:ind w:firstLineChars="200" w:firstLine="420"/>
                <w:rPr>
                  <w:szCs w:val="21"/>
                </w:rPr>
              </w:pPr>
              <w:r>
                <w:rPr>
                  <w:rFonts w:hint="eastAsia"/>
                  <w:szCs w:val="21"/>
                </w:rPr>
                <w:t>金融资产部分转移满足终止确认条件的，将所转移金融资产整体的账面价值，在终止确认部分和未终止确认部分（在此种情况下，所保留的服务资产视同继续确认金融资产的一部分）之间，按照转移日各自的相对公允价值进行分摊，并将下列两项金额的差额计入当期损益：</w:t>
              </w:r>
            </w:p>
            <w:p w14:paraId="4FFAC9EB" w14:textId="77777777" w:rsidR="00830E72" w:rsidRDefault="008344D8">
              <w:pPr>
                <w:ind w:firstLineChars="200" w:firstLine="420"/>
                <w:rPr>
                  <w:szCs w:val="21"/>
                </w:rPr>
              </w:pPr>
              <w:r>
                <w:rPr>
                  <w:szCs w:val="21"/>
                </w:rPr>
                <w:t>A.终止确认部分在终止确认日的账面价值；</w:t>
              </w:r>
            </w:p>
            <w:p w14:paraId="63210D11" w14:textId="77777777" w:rsidR="00830E72" w:rsidRDefault="008344D8">
              <w:pPr>
                <w:ind w:firstLineChars="200" w:firstLine="420"/>
                <w:rPr>
                  <w:szCs w:val="21"/>
                </w:rPr>
              </w:pPr>
              <w:r>
                <w:rPr>
                  <w:szCs w:val="21"/>
                </w:rPr>
                <w:t>B.终止确认部分的对价，与原计入其他综合收益的公允价值变动累计额中对应终止确认部分</w:t>
              </w:r>
              <w:r>
                <w:rPr>
                  <w:rFonts w:hint="eastAsia"/>
                  <w:szCs w:val="21"/>
                </w:rPr>
                <w:t>的金额（涉及转移的金融资产为根据《企业会计准则第</w:t>
              </w:r>
              <w:r>
                <w:rPr>
                  <w:szCs w:val="21"/>
                </w:rPr>
                <w:t xml:space="preserve"> 22 号-金融工具确认和计量》第十八条分</w:t>
              </w:r>
              <w:r>
                <w:rPr>
                  <w:rFonts w:hint="eastAsia"/>
                  <w:szCs w:val="21"/>
                </w:rPr>
                <w:t>类为以公允价值计量且其变动计入其他综合收益的金融资产的情形）之和。</w:t>
              </w:r>
            </w:p>
            <w:p w14:paraId="05FF3712" w14:textId="77777777" w:rsidR="00830E72" w:rsidRDefault="008344D8">
              <w:pPr>
                <w:ind w:firstLineChars="200" w:firstLine="420"/>
                <w:rPr>
                  <w:szCs w:val="21"/>
                </w:rPr>
              </w:pPr>
              <w:r>
                <w:rPr>
                  <w:rFonts w:hint="eastAsia"/>
                  <w:szCs w:val="21"/>
                </w:rPr>
                <w:t>②继续涉入所转移的金融资产</w:t>
              </w:r>
            </w:p>
            <w:p w14:paraId="2AF0649D" w14:textId="77777777" w:rsidR="00830E72" w:rsidRDefault="008344D8">
              <w:pPr>
                <w:ind w:firstLineChars="200" w:firstLine="420"/>
                <w:rPr>
                  <w:szCs w:val="21"/>
                </w:rPr>
              </w:pPr>
              <w:r>
                <w:rPr>
                  <w:rFonts w:hint="eastAsia"/>
                  <w:szCs w:val="21"/>
                </w:rPr>
                <w:t>既没有转移也没有保留金融资产所有权上几乎所有的风险和报酬的，且未放弃对该金融资产控制的，应当按照其继续涉入所转移金融资产的程度确认有关金融资产，并相应确认有关负债。继续涉入所转移金融资产的程度，是指企业承担的被转移金融资产价值变动风险或报酬的程度。</w:t>
              </w:r>
            </w:p>
            <w:p w14:paraId="6350A1EA" w14:textId="77777777" w:rsidR="00830E72" w:rsidRDefault="008344D8">
              <w:pPr>
                <w:ind w:firstLineChars="200" w:firstLine="420"/>
                <w:rPr>
                  <w:szCs w:val="21"/>
                </w:rPr>
              </w:pPr>
              <w:r>
                <w:rPr>
                  <w:rFonts w:hint="eastAsia"/>
                  <w:szCs w:val="21"/>
                </w:rPr>
                <w:t>③继续确认所转移的金融资产</w:t>
              </w:r>
            </w:p>
            <w:p w14:paraId="276087C5" w14:textId="77777777" w:rsidR="00830E72" w:rsidRDefault="008344D8">
              <w:pPr>
                <w:ind w:firstLineChars="200" w:firstLine="420"/>
                <w:rPr>
                  <w:szCs w:val="21"/>
                </w:rPr>
              </w:pPr>
              <w:r>
                <w:rPr>
                  <w:rFonts w:hint="eastAsia"/>
                  <w:szCs w:val="21"/>
                </w:rPr>
                <w:t>仍保留与所转移金融资产所有权上几乎所有的风险和报酬的，应当继续确认所转移金融资产整体，并将收到的对价确认为一项金融负债。</w:t>
              </w:r>
            </w:p>
            <w:p w14:paraId="3D454A69" w14:textId="77777777" w:rsidR="00830E72" w:rsidRDefault="008344D8">
              <w:pPr>
                <w:ind w:firstLineChars="200" w:firstLine="420"/>
                <w:rPr>
                  <w:szCs w:val="21"/>
                </w:rPr>
              </w:pPr>
              <w:r>
                <w:rPr>
                  <w:rFonts w:hint="eastAsia"/>
                  <w:szCs w:val="21"/>
                </w:rPr>
                <w:t>该金融资产与确认的相关金融负债不得相互抵销。在随后的会计期间，企业应当继续确认该金融资产产生的收入（或利得）和该金融负债产生的费用（或损失）。</w:t>
              </w:r>
            </w:p>
            <w:p w14:paraId="264480AD" w14:textId="77777777" w:rsidR="00830E72" w:rsidRDefault="008344D8">
              <w:pPr>
                <w:ind w:firstLineChars="200" w:firstLine="420"/>
                <w:rPr>
                  <w:szCs w:val="21"/>
                </w:rPr>
              </w:pPr>
              <w:r>
                <w:rPr>
                  <w:rFonts w:hint="eastAsia"/>
                  <w:szCs w:val="21"/>
                </w:rPr>
                <w:t>（</w:t>
              </w:r>
              <w:r>
                <w:rPr>
                  <w:szCs w:val="21"/>
                </w:rPr>
                <w:t>7）金融资产和金融负债的抵销</w:t>
              </w:r>
            </w:p>
            <w:p w14:paraId="2D094138" w14:textId="77777777" w:rsidR="00830E72" w:rsidRDefault="008344D8">
              <w:pPr>
                <w:ind w:firstLineChars="200" w:firstLine="420"/>
                <w:rPr>
                  <w:szCs w:val="21"/>
                </w:rPr>
              </w:pPr>
              <w:r>
                <w:rPr>
                  <w:rFonts w:hint="eastAsia"/>
                  <w:szCs w:val="21"/>
                </w:rPr>
                <w:t>金融资产和金融负债应当在资产负债表内分别列示，不得相互抵销。但同时满足下列条件的，以相互抵销后的净额在资产负债表内列示：</w:t>
              </w:r>
            </w:p>
            <w:p w14:paraId="5717C90D" w14:textId="77777777" w:rsidR="00830E72" w:rsidRDefault="008344D8">
              <w:pPr>
                <w:ind w:firstLineChars="200" w:firstLine="420"/>
                <w:rPr>
                  <w:szCs w:val="21"/>
                </w:rPr>
              </w:pPr>
              <w:r>
                <w:rPr>
                  <w:rFonts w:hint="eastAsia"/>
                  <w:szCs w:val="21"/>
                </w:rPr>
                <w:t>本公司具有抵销已确认金额的法定权利，且该种法定权利是当前可执行的；</w:t>
              </w:r>
            </w:p>
            <w:p w14:paraId="4688CB0B" w14:textId="77777777" w:rsidR="00830E72" w:rsidRDefault="008344D8">
              <w:pPr>
                <w:ind w:firstLineChars="200" w:firstLine="420"/>
                <w:rPr>
                  <w:szCs w:val="21"/>
                </w:rPr>
              </w:pPr>
              <w:r>
                <w:rPr>
                  <w:rFonts w:hint="eastAsia"/>
                  <w:szCs w:val="21"/>
                </w:rPr>
                <w:t>本公司计划以净额结算，或同时变现该金融资产和清偿该金融负债。</w:t>
              </w:r>
            </w:p>
            <w:p w14:paraId="08E23E3D" w14:textId="77777777" w:rsidR="00830E72" w:rsidRDefault="008344D8">
              <w:pPr>
                <w:ind w:firstLineChars="200" w:firstLine="420"/>
                <w:rPr>
                  <w:szCs w:val="21"/>
                </w:rPr>
              </w:pPr>
              <w:r>
                <w:rPr>
                  <w:rFonts w:hint="eastAsia"/>
                  <w:szCs w:val="21"/>
                </w:rPr>
                <w:t>不满足终止确认条件的金融资产转移，转出方不得将已转移的金融资产和相关负债进行抵销。</w:t>
              </w:r>
            </w:p>
            <w:p w14:paraId="6A7A6A72" w14:textId="77777777" w:rsidR="00830E72" w:rsidRDefault="008344D8">
              <w:pPr>
                <w:ind w:firstLineChars="200" w:firstLine="420"/>
                <w:rPr>
                  <w:szCs w:val="21"/>
                </w:rPr>
              </w:pPr>
              <w:r>
                <w:rPr>
                  <w:rFonts w:hint="eastAsia"/>
                  <w:szCs w:val="21"/>
                </w:rPr>
                <w:t>（</w:t>
              </w:r>
              <w:r>
                <w:rPr>
                  <w:szCs w:val="21"/>
                </w:rPr>
                <w:t>8）金融工具公允价值的确定方法</w:t>
              </w:r>
            </w:p>
            <w:p w14:paraId="755291C5" w14:textId="77777777" w:rsidR="00830E72" w:rsidRDefault="008344D8">
              <w:pPr>
                <w:ind w:firstLineChars="200" w:firstLine="420"/>
                <w:rPr>
                  <w:szCs w:val="21"/>
                </w:rPr>
              </w:pPr>
              <w:r>
                <w:rPr>
                  <w:rFonts w:hint="eastAsia"/>
                  <w:szCs w:val="21"/>
                </w:rPr>
                <w:t>公允价值是指市场参与者在计量日发生的有序交易中，出售一项资产所能收到或者转移一项负债所需支付的价格。</w:t>
              </w:r>
            </w:p>
            <w:p w14:paraId="7BAF2428" w14:textId="77777777" w:rsidR="00830E72" w:rsidRDefault="008344D8">
              <w:pPr>
                <w:ind w:firstLineChars="200" w:firstLine="420"/>
                <w:rPr>
                  <w:szCs w:val="21"/>
                </w:rPr>
              </w:pPr>
              <w:r>
                <w:rPr>
                  <w:rFonts w:hint="eastAsia"/>
                  <w:szCs w:val="21"/>
                </w:rPr>
                <w:t>本公司以主要市场的价格计量相关资产或负债的公允价值，不存在主要市场的，本公司以最有利市场的价格计量相关资产或负债的公允价值。本公司采用市场参与者在对该资产或负债定价时为实现其经济利益最大化所使用的假设。</w:t>
              </w:r>
            </w:p>
            <w:p w14:paraId="090AFA76" w14:textId="77777777" w:rsidR="00830E72" w:rsidRDefault="008344D8">
              <w:pPr>
                <w:ind w:firstLineChars="200" w:firstLine="420"/>
                <w:rPr>
                  <w:szCs w:val="21"/>
                </w:rPr>
              </w:pPr>
              <w:r>
                <w:rPr>
                  <w:rFonts w:hint="eastAsia"/>
                  <w:szCs w:val="21"/>
                </w:rPr>
                <w:t>主要市场，是指相关资产或负债交易量最大和交易活跃程度最高的市场；最有利市场，是指在考虑交易费用和运输费用后，能够以最高金额出售相关资产或者以最低金额转移相关负债的市场。</w:t>
              </w:r>
            </w:p>
            <w:p w14:paraId="053731F3" w14:textId="77777777" w:rsidR="00830E72" w:rsidRDefault="008344D8">
              <w:pPr>
                <w:ind w:firstLineChars="200" w:firstLine="420"/>
                <w:rPr>
                  <w:szCs w:val="21"/>
                </w:rPr>
              </w:pPr>
              <w:r>
                <w:rPr>
                  <w:rFonts w:hint="eastAsia"/>
                  <w:szCs w:val="21"/>
                </w:rPr>
                <w:lastRenderedPageBreak/>
                <w:t>存在活跃市场的金融资产或金融负债，本公司采用活跃市场中的报价确定其公允价值。金融工具不存在活跃市场的，本公司采用估值技术确定其公允价值。</w:t>
              </w:r>
            </w:p>
            <w:p w14:paraId="3183E9C8" w14:textId="77777777" w:rsidR="00830E72" w:rsidRDefault="008344D8">
              <w:pPr>
                <w:ind w:firstLineChars="200" w:firstLine="420"/>
                <w:rPr>
                  <w:szCs w:val="21"/>
                </w:rPr>
              </w:pPr>
              <w:r>
                <w:rPr>
                  <w:rFonts w:hint="eastAsia"/>
                  <w:szCs w:val="21"/>
                </w:rPr>
                <w:t>以公允价值计量非金融资产的，考虑市场参与者将该资产用于最佳用途产生经济利益的能力，或者将该资产出售给能够用于最佳用途的其他市场参与者产生经济利益的能力。</w:t>
              </w:r>
            </w:p>
            <w:p w14:paraId="2CAC6178" w14:textId="77777777" w:rsidR="00830E72" w:rsidRDefault="008344D8">
              <w:pPr>
                <w:ind w:firstLineChars="200" w:firstLine="420"/>
                <w:rPr>
                  <w:szCs w:val="21"/>
                </w:rPr>
              </w:pPr>
              <w:r>
                <w:rPr>
                  <w:rFonts w:hint="eastAsia"/>
                  <w:szCs w:val="21"/>
                </w:rPr>
                <w:t>①估值技术</w:t>
              </w:r>
            </w:p>
            <w:p w14:paraId="6C23FAD4" w14:textId="77777777" w:rsidR="00830E72" w:rsidRDefault="008344D8">
              <w:pPr>
                <w:ind w:firstLineChars="200" w:firstLine="420"/>
                <w:rPr>
                  <w:szCs w:val="21"/>
                </w:rPr>
              </w:pPr>
              <w:r>
                <w:rPr>
                  <w:rFonts w:hint="eastAsia"/>
                  <w:szCs w:val="21"/>
                </w:rPr>
                <w:t>本公司采用在当期情况下适用并且有足够可利用数据和其他信息支持的估值技术，使用的估值技术主要包括市场法、收益法和成本法。本公司使用与其中一种或多种估值技术相一致的方法计量公允价值，使用多种估值技术计量公允价值的，考虑各估值结果的合理性，选取在当期情况下最能代表公允价值的金额作为公允价值。</w:t>
              </w:r>
            </w:p>
            <w:p w14:paraId="3B5A86BC" w14:textId="77777777" w:rsidR="00830E72" w:rsidRDefault="008344D8">
              <w:pPr>
                <w:ind w:firstLineChars="200" w:firstLine="420"/>
                <w:rPr>
                  <w:szCs w:val="21"/>
                </w:rPr>
              </w:pPr>
              <w:r>
                <w:rPr>
                  <w:rFonts w:hint="eastAsia"/>
                  <w:szCs w:val="21"/>
                </w:rPr>
                <w:t>本公司在估值技术的应用中，优先使用相关可观察输入值，只有在相关可观察输入值无法取得或取得不切实可行的情况下，才使用不可观察输入值。可观察输入值，是指能够从市场数据中取得的输入值。该输入值反映了市场参与者在对相关资产或负债定价时所使用的假设。不可观察输入值，是指不能从市场数据中取得的输入值。该输入值根据可获得的市场参与者在对相关资产或负债定价时所使用假设的最佳信息取得。</w:t>
              </w:r>
            </w:p>
            <w:p w14:paraId="1AEFAD8B" w14:textId="77777777" w:rsidR="00830E72" w:rsidRDefault="008344D8">
              <w:pPr>
                <w:ind w:firstLineChars="200" w:firstLine="420"/>
                <w:rPr>
                  <w:szCs w:val="21"/>
                </w:rPr>
              </w:pPr>
              <w:r>
                <w:rPr>
                  <w:rFonts w:hint="eastAsia"/>
                  <w:szCs w:val="21"/>
                </w:rPr>
                <w:t>②公允价值层次</w:t>
              </w:r>
            </w:p>
            <w:p w14:paraId="77E17FC4" w14:textId="77777777" w:rsidR="00830E72" w:rsidRDefault="008344D8">
              <w:pPr>
                <w:ind w:firstLineChars="200" w:firstLine="420"/>
                <w:rPr>
                  <w:szCs w:val="21"/>
                </w:rPr>
              </w:pPr>
              <w:r>
                <w:rPr>
                  <w:rFonts w:hint="eastAsia"/>
                  <w:szCs w:val="21"/>
                </w:rPr>
                <w:t>本公司将公允价值计量所使用的输入值划分为三个层次，并首先使用第一层次输入值，其次使用第二层次输入值，最后使用第三层次输入值。第一层次输入值是在计量日能够取得的相同资产或负债在活跃市场上未经调整的报价。第二层次输入值是除第一层次输入值外相关资产或负债直接或间接可观察的输入值。第三层次输入值是相关资产或负债的不可观察输入值。</w:t>
              </w:r>
            </w:p>
          </w:sdtContent>
        </w:sdt>
      </w:sdtContent>
    </w:sdt>
    <w:p w14:paraId="20EF6CFA" w14:textId="77777777" w:rsidR="00830E72" w:rsidRDefault="00830E72">
      <w:pPr>
        <w:ind w:firstLineChars="200" w:firstLine="420"/>
        <w:rPr>
          <w:szCs w:val="21"/>
        </w:rPr>
      </w:pPr>
    </w:p>
    <w:sdt>
      <w:sdtPr>
        <w:rPr>
          <w:rFonts w:ascii="宋体" w:hAnsi="宋体" w:cs="宋体" w:hint="eastAsia"/>
          <w:b w:val="0"/>
          <w:bCs w:val="0"/>
          <w:kern w:val="0"/>
          <w:szCs w:val="21"/>
        </w:rPr>
        <w:alias w:val="模块:应收票据应收票据的预期信用损失的确定方法及会计处理方法"/>
        <w:tag w:val="_SEC_fe6dfe1a730f4d3183b25ca057cb8f6a"/>
        <w:id w:val="-845475212"/>
        <w:lock w:val="sdtLocked"/>
        <w:placeholder>
          <w:docPart w:val="GBC22222222222222222222222222222"/>
        </w:placeholder>
      </w:sdtPr>
      <w:sdtEndPr>
        <w:rPr>
          <w:rFonts w:hint="default"/>
        </w:rPr>
      </w:sdtEndPr>
      <w:sdtContent>
        <w:p w14:paraId="1C348685" w14:textId="77777777" w:rsidR="00830E72" w:rsidRDefault="008344D8">
          <w:pPr>
            <w:pStyle w:val="Style99"/>
            <w:numPr>
              <w:ilvl w:val="0"/>
              <w:numId w:val="35"/>
            </w:numPr>
            <w:rPr>
              <w:rFonts w:ascii="宋体" w:hAnsi="宋体"/>
              <w:szCs w:val="21"/>
            </w:rPr>
          </w:pPr>
          <w:r>
            <w:rPr>
              <w:rFonts w:ascii="宋体" w:hAnsi="宋体" w:hint="eastAsia"/>
              <w:szCs w:val="21"/>
            </w:rPr>
            <w:t>应收票据</w:t>
          </w:r>
        </w:p>
        <w:p w14:paraId="26194BAC" w14:textId="77777777" w:rsidR="00830E72" w:rsidRDefault="008344D8">
          <w:pPr>
            <w:pStyle w:val="Style100"/>
            <w:rPr>
              <w:rFonts w:ascii="宋体" w:hAnsi="宋体"/>
            </w:rPr>
          </w:pPr>
          <w:r>
            <w:rPr>
              <w:rFonts w:ascii="宋体" w:hAnsi="宋体" w:hint="eastAsia"/>
            </w:rPr>
            <w:t>应收票据的预期信用损失的确定方法及会计处理方法</w:t>
          </w:r>
        </w:p>
        <w:sdt>
          <w:sdtPr>
            <w:rPr>
              <w:szCs w:val="21"/>
            </w:rPr>
            <w:alias w:val="是否适用：应收票据的预期信用损失的确定方法及会计处理方法[双击切换]"/>
            <w:tag w:val="_GBC_ba8bc88e72f44e2da5528a3b21ae6dd5"/>
            <w:id w:val="1802493499"/>
            <w:lock w:val="sdtContentLocked"/>
            <w:placeholder>
              <w:docPart w:val="GBC22222222222222222222222222222"/>
            </w:placeholder>
          </w:sdtPr>
          <w:sdtEndPr/>
          <w:sdtContent>
            <w:p w14:paraId="3378D788"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票据的预期信用损失的确定方法及会计处理方法"/>
            <w:tag w:val="_GBC_f420e4838a724012bb788c3daa8cb419"/>
            <w:id w:val="710462993"/>
            <w:lock w:val="sdtLocked"/>
            <w:placeholder>
              <w:docPart w:val="GBC22222222222222222222222222222"/>
            </w:placeholder>
          </w:sdtPr>
          <w:sdtEndPr/>
          <w:sdtContent>
            <w:p w14:paraId="3DF15246" w14:textId="7F8B9DB0" w:rsidR="00830E72" w:rsidRDefault="008344D8">
              <w:pPr>
                <w:rPr>
                  <w:szCs w:val="21"/>
                </w:rPr>
              </w:pPr>
              <w:r>
                <w:rPr>
                  <w:rFonts w:hint="eastAsia"/>
                  <w:szCs w:val="21"/>
                </w:rPr>
                <w:t>详见“第十节财务报告”之“五、重要会计政策及会计估计”之“</w:t>
              </w:r>
              <w:r>
                <w:rPr>
                  <w:szCs w:val="21"/>
                </w:rPr>
                <w:t>10、金融工具”</w:t>
              </w:r>
            </w:p>
          </w:sdtContent>
        </w:sdt>
      </w:sdtContent>
    </w:sdt>
    <w:p w14:paraId="6DEE2769" w14:textId="77777777" w:rsidR="00830E72" w:rsidRDefault="00830E72">
      <w:pPr>
        <w:rPr>
          <w:szCs w:val="21"/>
        </w:rPr>
      </w:pPr>
    </w:p>
    <w:sdt>
      <w:sdtPr>
        <w:rPr>
          <w:rFonts w:ascii="宋体" w:hAnsi="宋体" w:cs="宋体" w:hint="eastAsia"/>
          <w:b w:val="0"/>
          <w:bCs w:val="0"/>
          <w:kern w:val="0"/>
          <w:szCs w:val="21"/>
        </w:rPr>
        <w:alias w:val="模块:应收账款应收账款的预期信用损失的确定方法及会计处理方法"/>
        <w:tag w:val="_SEC_6a9a70c8b5914d5d85ea9b8f86eb6ec8"/>
        <w:id w:val="407509602"/>
        <w:lock w:val="sdtLocked"/>
        <w:placeholder>
          <w:docPart w:val="GBC22222222222222222222222222222"/>
        </w:placeholder>
      </w:sdtPr>
      <w:sdtEndPr>
        <w:rPr>
          <w:rFonts w:hint="default"/>
        </w:rPr>
      </w:sdtEndPr>
      <w:sdtContent>
        <w:p w14:paraId="646ADB22" w14:textId="77777777" w:rsidR="00830E72" w:rsidRDefault="008344D8">
          <w:pPr>
            <w:pStyle w:val="Style99"/>
            <w:numPr>
              <w:ilvl w:val="0"/>
              <w:numId w:val="35"/>
            </w:numPr>
            <w:rPr>
              <w:rFonts w:ascii="宋体" w:hAnsi="宋体"/>
              <w:szCs w:val="21"/>
            </w:rPr>
          </w:pPr>
          <w:r>
            <w:rPr>
              <w:rFonts w:ascii="宋体" w:hAnsi="宋体" w:hint="eastAsia"/>
              <w:szCs w:val="21"/>
            </w:rPr>
            <w:t>应收账款</w:t>
          </w:r>
        </w:p>
        <w:p w14:paraId="72658815" w14:textId="77777777" w:rsidR="00830E72" w:rsidRDefault="008344D8">
          <w:pPr>
            <w:pStyle w:val="Style100"/>
            <w:rPr>
              <w:rFonts w:ascii="宋体" w:hAnsi="宋体"/>
              <w:szCs w:val="21"/>
            </w:rPr>
          </w:pPr>
          <w:r>
            <w:rPr>
              <w:rFonts w:ascii="宋体" w:hAnsi="宋体" w:hint="eastAsia"/>
              <w:szCs w:val="21"/>
            </w:rPr>
            <w:t>应收账款的预期信用损失的确定方法及会计处理方法</w:t>
          </w:r>
        </w:p>
        <w:sdt>
          <w:sdtPr>
            <w:rPr>
              <w:szCs w:val="21"/>
            </w:rPr>
            <w:alias w:val="是否适用：应收账款的预期信用损失的确定方法及会计处理方法[双击切换]"/>
            <w:tag w:val="_GBC_85321f727b7446de9dc351948c740baa"/>
            <w:id w:val="289490943"/>
            <w:lock w:val="sdtContentLocked"/>
            <w:placeholder>
              <w:docPart w:val="GBC22222222222222222222222222222"/>
            </w:placeholder>
          </w:sdtPr>
          <w:sdtEndPr/>
          <w:sdtContent>
            <w:p w14:paraId="3C227A93"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36dd56898f2645fc967bf4d53ee8ecdb"/>
            <w:id w:val="-2001257906"/>
            <w:lock w:val="sdtLocked"/>
            <w:placeholder>
              <w:docPart w:val="GBC22222222222222222222222222222"/>
            </w:placeholder>
          </w:sdtPr>
          <w:sdtEndPr/>
          <w:sdtContent>
            <w:p w14:paraId="11C53771" w14:textId="28CBB6FC" w:rsidR="00830E72" w:rsidRDefault="008344D8">
              <w:pPr>
                <w:rPr>
                  <w:szCs w:val="21"/>
                </w:rPr>
              </w:pPr>
              <w:r>
                <w:rPr>
                  <w:rFonts w:hint="eastAsia"/>
                  <w:szCs w:val="21"/>
                </w:rPr>
                <w:t>详见“第十节财务报告”之“五、重要会计政策及会计估计”之“</w:t>
              </w:r>
              <w:r>
                <w:rPr>
                  <w:szCs w:val="21"/>
                </w:rPr>
                <w:t>10、金融工具”</w:t>
              </w:r>
            </w:p>
          </w:sdtContent>
        </w:sdt>
      </w:sdtContent>
    </w:sdt>
    <w:p w14:paraId="55EC9BF4" w14:textId="77777777" w:rsidR="00830E72" w:rsidRDefault="00830E72">
      <w:pPr>
        <w:rPr>
          <w:szCs w:val="21"/>
        </w:rPr>
      </w:pPr>
    </w:p>
    <w:sdt>
      <w:sdtPr>
        <w:rPr>
          <w:rFonts w:ascii="宋体" w:hAnsi="宋体" w:cs="宋体" w:hint="eastAsia"/>
          <w:b w:val="0"/>
          <w:bCs w:val="0"/>
          <w:kern w:val="0"/>
          <w:szCs w:val="24"/>
        </w:rPr>
        <w:alias w:val="模块:应收款项融资"/>
        <w:tag w:val="_SEC_6779da9334294ce2a6d1ffc1b4a6e588"/>
        <w:id w:val="-687217685"/>
        <w:lock w:val="sdtLocked"/>
        <w:placeholder>
          <w:docPart w:val="GBC22222222222222222222222222222"/>
        </w:placeholder>
      </w:sdtPr>
      <w:sdtEndPr>
        <w:rPr>
          <w:rFonts w:hint="default"/>
        </w:rPr>
      </w:sdtEndPr>
      <w:sdtContent>
        <w:p w14:paraId="7127B86E" w14:textId="77777777" w:rsidR="00830E72" w:rsidRDefault="008344D8">
          <w:pPr>
            <w:pStyle w:val="Style99"/>
            <w:numPr>
              <w:ilvl w:val="0"/>
              <w:numId w:val="35"/>
            </w:numPr>
            <w:rPr>
              <w:rFonts w:ascii="宋体" w:hAnsi="宋体"/>
            </w:rPr>
          </w:pPr>
          <w:r>
            <w:rPr>
              <w:rFonts w:ascii="宋体" w:hAnsi="宋体" w:hint="eastAsia"/>
            </w:rPr>
            <w:t>应收款项融资</w:t>
          </w:r>
        </w:p>
        <w:bookmarkStart w:id="71" w:name="_Hlk11675626" w:displacedByCustomXml="next"/>
        <w:sdt>
          <w:sdtPr>
            <w:alias w:val="是否适用：应收款项融资_重要会计政策和估计[双击切换]"/>
            <w:tag w:val="_GBC_02210df6587d4e47b6149386c3665a46"/>
            <w:id w:val="809751528"/>
            <w:lock w:val="sdtContentLocked"/>
            <w:placeholder>
              <w:docPart w:val="GBC22222222222222222222222222222"/>
            </w:placeholder>
          </w:sdtPr>
          <w:sdtEndPr/>
          <w:sdtContent>
            <w:p w14:paraId="1BDB372B"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71"/>
    <w:p w14:paraId="43E032FB" w14:textId="77777777" w:rsidR="00830E72" w:rsidRDefault="00830E72"/>
    <w:bookmarkStart w:id="72" w:name="_Hlk10465124" w:displacedByCustomXml="next"/>
    <w:sdt>
      <w:sdtPr>
        <w:rPr>
          <w:rFonts w:ascii="宋体" w:hAnsi="宋体" w:cs="宋体" w:hint="eastAsia"/>
          <w:b w:val="0"/>
          <w:bCs w:val="0"/>
          <w:kern w:val="0"/>
          <w:szCs w:val="24"/>
        </w:rPr>
        <w:alias w:val="模块:其他应收款"/>
        <w:tag w:val="_SEC_225822c587b74cc6b807038a0533c4e3"/>
        <w:id w:val="-1656294640"/>
        <w:lock w:val="sdtLocked"/>
        <w:placeholder>
          <w:docPart w:val="GBC22222222222222222222222222222"/>
        </w:placeholder>
      </w:sdtPr>
      <w:sdtEndPr/>
      <w:sdtContent>
        <w:p w14:paraId="0B10902B" w14:textId="77777777" w:rsidR="00830E72" w:rsidRDefault="008344D8">
          <w:pPr>
            <w:pStyle w:val="Style99"/>
            <w:numPr>
              <w:ilvl w:val="0"/>
              <w:numId w:val="35"/>
            </w:numPr>
            <w:rPr>
              <w:rFonts w:ascii="宋体" w:hAnsi="宋体"/>
            </w:rPr>
          </w:pPr>
          <w:r>
            <w:rPr>
              <w:rFonts w:ascii="宋体" w:hAnsi="宋体" w:hint="eastAsia"/>
            </w:rPr>
            <w:t>其他应收款</w:t>
          </w:r>
        </w:p>
        <w:p w14:paraId="157771F4" w14:textId="77777777" w:rsidR="00830E72" w:rsidRDefault="008344D8">
          <w:pPr>
            <w:pStyle w:val="Style100"/>
            <w:rPr>
              <w:rFonts w:ascii="宋体" w:hAnsi="宋体"/>
            </w:rPr>
          </w:pPr>
          <w:r>
            <w:rPr>
              <w:rFonts w:ascii="宋体" w:hAnsi="宋体" w:hint="eastAsia"/>
            </w:rPr>
            <w:t>其他应收款</w:t>
          </w:r>
          <w:r>
            <w:rPr>
              <w:rFonts w:ascii="宋体" w:hAnsi="宋体"/>
            </w:rP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1ba082baa43e450992b52fcf687a8134"/>
            <w:id w:val="-505899175"/>
            <w:lock w:val="sdtContentLocked"/>
            <w:placeholder>
              <w:docPart w:val="GBC22222222222222222222222222222"/>
            </w:placeholder>
          </w:sdtPr>
          <w:sdtEndPr/>
          <w:sdtContent>
            <w:p w14:paraId="225B5730"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52C9319" w14:textId="358D089D" w:rsidR="00830E72" w:rsidRDefault="00D44830">
          <w:pPr>
            <w:rPr>
              <w:szCs w:val="21"/>
            </w:rPr>
          </w:pPr>
          <w:sdt>
            <w:sdtPr>
              <w:rPr>
                <w:szCs w:val="21"/>
              </w:rPr>
              <w:alias w:val="其他应收款预期信用损失的确定方法及会计处理方法"/>
              <w:tag w:val="_GBC_7e531bd2a2f947b3a00ec81ad0969c5e"/>
              <w:id w:val="-430661370"/>
              <w:lock w:val="sdtLocked"/>
              <w:placeholder>
                <w:docPart w:val="GBC22222222222222222222222222222"/>
              </w:placeholder>
            </w:sdtPr>
            <w:sdtEndPr/>
            <w:sdtContent>
              <w:r w:rsidR="008344D8">
                <w:rPr>
                  <w:rFonts w:hint="eastAsia"/>
                  <w:szCs w:val="21"/>
                </w:rPr>
                <w:t>详见“第十节财务报告”之“五、重要会计政策及会计估计”之“</w:t>
              </w:r>
              <w:r w:rsidR="008344D8">
                <w:rPr>
                  <w:szCs w:val="21"/>
                </w:rPr>
                <w:t>10、金融工具”</w:t>
              </w:r>
            </w:sdtContent>
          </w:sdt>
        </w:p>
        <w:p w14:paraId="3A13E493" w14:textId="77777777" w:rsidR="00830E72" w:rsidRDefault="00D44830"/>
      </w:sdtContent>
    </w:sdt>
    <w:bookmarkEnd w:id="72" w:displacedByCustomXml="next"/>
    <w:sdt>
      <w:sdtPr>
        <w:rPr>
          <w:rFonts w:ascii="宋体" w:hAnsi="宋体" w:cstheme="minorBidi"/>
          <w:b w:val="0"/>
          <w:bCs w:val="0"/>
          <w:kern w:val="0"/>
          <w:szCs w:val="22"/>
        </w:rPr>
        <w:alias w:val="模块:存货"/>
        <w:tag w:val="_GBC_b0f90fdf6c7749dbb9bd3cde55d5c0c3"/>
        <w:id w:val="-756286852"/>
        <w:lock w:val="sdtLocked"/>
        <w:placeholder>
          <w:docPart w:val="GBC22222222222222222222222222222"/>
        </w:placeholder>
      </w:sdtPr>
      <w:sdtEndPr>
        <w:rPr>
          <w:rFonts w:cs="Times New Roman"/>
          <w:szCs w:val="21"/>
        </w:rPr>
      </w:sdtEndPr>
      <w:sdtContent>
        <w:p w14:paraId="2834A19D" w14:textId="77777777" w:rsidR="00830E72" w:rsidRDefault="008344D8">
          <w:pPr>
            <w:pStyle w:val="Style99"/>
            <w:numPr>
              <w:ilvl w:val="0"/>
              <w:numId w:val="35"/>
            </w:numPr>
            <w:rPr>
              <w:rFonts w:ascii="宋体" w:hAnsi="宋体"/>
            </w:rPr>
          </w:pPr>
          <w:r>
            <w:rPr>
              <w:rFonts w:ascii="宋体" w:hAnsi="宋体"/>
            </w:rPr>
            <w:t>存货</w:t>
          </w:r>
        </w:p>
        <w:sdt>
          <w:sdtPr>
            <w:alias w:val="是否适用：存货_重要会计政策和估计[双击切换]"/>
            <w:tag w:val="_GBC_5c493df9664440ecbc3f3fa5d917221a"/>
            <w:id w:val="1316993490"/>
            <w:lock w:val="sdtContentLocked"/>
            <w:placeholder>
              <w:docPart w:val="GBC22222222222222222222222222222"/>
            </w:placeholder>
          </w:sdtPr>
          <w:sdtEndPr/>
          <w:sdtContent>
            <w:p w14:paraId="0628BF15"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存货的核算方法"/>
            <w:tag w:val="_GBC_553fb8cba06d4979b05ae3dabe788fa6"/>
            <w:id w:val="788867846"/>
            <w:lock w:val="sdtLocked"/>
            <w:placeholder>
              <w:docPart w:val="GBC22222222222222222222222222222"/>
            </w:placeholder>
          </w:sdtPr>
          <w:sdtEndPr/>
          <w:sdtContent>
            <w:p w14:paraId="64374133" w14:textId="77777777" w:rsidR="00830E72" w:rsidRDefault="008344D8">
              <w:pPr>
                <w:ind w:firstLineChars="200" w:firstLine="420"/>
                <w:rPr>
                  <w:szCs w:val="21"/>
                </w:rPr>
              </w:pPr>
              <w:r>
                <w:rPr>
                  <w:rFonts w:hint="eastAsia"/>
                  <w:szCs w:val="21"/>
                </w:rPr>
                <w:t>自</w:t>
              </w:r>
              <w:r>
                <w:rPr>
                  <w:szCs w:val="21"/>
                </w:rPr>
                <w:t xml:space="preserve"> 2020 年 1 月 1 日起适用</w:t>
              </w:r>
            </w:p>
            <w:p w14:paraId="36CD20B0" w14:textId="77777777" w:rsidR="00830E72" w:rsidRDefault="008344D8">
              <w:pPr>
                <w:ind w:firstLineChars="200" w:firstLine="420"/>
                <w:rPr>
                  <w:szCs w:val="21"/>
                </w:rPr>
              </w:pPr>
              <w:r>
                <w:rPr>
                  <w:rFonts w:hint="eastAsia"/>
                  <w:szCs w:val="21"/>
                </w:rPr>
                <w:t>（</w:t>
              </w:r>
              <w:r>
                <w:rPr>
                  <w:szCs w:val="21"/>
                </w:rPr>
                <w:t>1）存货的分类</w:t>
              </w:r>
            </w:p>
            <w:p w14:paraId="766BCDA3" w14:textId="77777777" w:rsidR="00830E72" w:rsidRDefault="008344D8">
              <w:pPr>
                <w:ind w:firstLineChars="200" w:firstLine="420"/>
                <w:rPr>
                  <w:szCs w:val="21"/>
                </w:rPr>
              </w:pPr>
              <w:r>
                <w:rPr>
                  <w:rFonts w:hint="eastAsia"/>
                  <w:szCs w:val="21"/>
                </w:rPr>
                <w:t>存货是指本公司在日常活动中持有以备出售的产成品或商品、处在生产过程中的在产品、在生产过程或提供劳务过程中耗用的材料和物料等，包括原材料、在产品、半成品、产成品、库存商品、周转材料等。</w:t>
              </w:r>
            </w:p>
            <w:p w14:paraId="20BCCDEB" w14:textId="77777777" w:rsidR="00830E72" w:rsidRDefault="008344D8">
              <w:pPr>
                <w:ind w:firstLineChars="200" w:firstLine="420"/>
                <w:rPr>
                  <w:szCs w:val="21"/>
                </w:rPr>
              </w:pPr>
              <w:r>
                <w:rPr>
                  <w:rFonts w:hint="eastAsia"/>
                  <w:szCs w:val="21"/>
                </w:rPr>
                <w:t>（</w:t>
              </w:r>
              <w:r>
                <w:rPr>
                  <w:szCs w:val="21"/>
                </w:rPr>
                <w:t>2）发出存货的计价方法</w:t>
              </w:r>
            </w:p>
            <w:p w14:paraId="063472D6" w14:textId="77777777" w:rsidR="00830E72" w:rsidRDefault="008344D8">
              <w:pPr>
                <w:ind w:firstLineChars="200" w:firstLine="420"/>
                <w:rPr>
                  <w:szCs w:val="21"/>
                </w:rPr>
              </w:pPr>
              <w:r>
                <w:rPr>
                  <w:rFonts w:hint="eastAsia"/>
                  <w:szCs w:val="21"/>
                </w:rPr>
                <w:t>本公司存货发出时采用加权平均法计价。</w:t>
              </w:r>
            </w:p>
            <w:p w14:paraId="252633A4" w14:textId="77777777" w:rsidR="00830E72" w:rsidRDefault="008344D8">
              <w:pPr>
                <w:ind w:firstLineChars="200" w:firstLine="420"/>
                <w:rPr>
                  <w:szCs w:val="21"/>
                </w:rPr>
              </w:pPr>
              <w:r>
                <w:rPr>
                  <w:rFonts w:hint="eastAsia"/>
                  <w:szCs w:val="21"/>
                </w:rPr>
                <w:t>（</w:t>
              </w:r>
              <w:r>
                <w:rPr>
                  <w:szCs w:val="21"/>
                </w:rPr>
                <w:t>3）存货的盘存制度</w:t>
              </w:r>
            </w:p>
            <w:p w14:paraId="4597E163" w14:textId="77777777" w:rsidR="00830E72" w:rsidRDefault="008344D8">
              <w:pPr>
                <w:ind w:firstLineChars="200" w:firstLine="420"/>
                <w:rPr>
                  <w:szCs w:val="21"/>
                </w:rPr>
              </w:pPr>
              <w:r>
                <w:rPr>
                  <w:rFonts w:hint="eastAsia"/>
                  <w:szCs w:val="21"/>
                </w:rPr>
                <w:lastRenderedPageBreak/>
                <w:t>本公司存货采用永续盘存制，每年至少盘点一次，盘盈及盘亏金额计入当年度损益。</w:t>
              </w:r>
            </w:p>
            <w:p w14:paraId="6EAE5F64" w14:textId="77777777" w:rsidR="00830E72" w:rsidRDefault="008344D8">
              <w:pPr>
                <w:ind w:firstLineChars="200" w:firstLine="420"/>
                <w:rPr>
                  <w:szCs w:val="21"/>
                </w:rPr>
              </w:pPr>
              <w:r>
                <w:rPr>
                  <w:rFonts w:hint="eastAsia"/>
                  <w:szCs w:val="21"/>
                </w:rPr>
                <w:t>（</w:t>
              </w:r>
              <w:r>
                <w:rPr>
                  <w:szCs w:val="21"/>
                </w:rPr>
                <w:t>4）存货跌价准备的计提方法</w:t>
              </w:r>
            </w:p>
            <w:p w14:paraId="328E63A9" w14:textId="77777777" w:rsidR="00830E72" w:rsidRDefault="008344D8">
              <w:pPr>
                <w:ind w:firstLineChars="200" w:firstLine="420"/>
                <w:rPr>
                  <w:szCs w:val="21"/>
                </w:rPr>
              </w:pPr>
              <w:r>
                <w:rPr>
                  <w:rFonts w:hint="eastAsia"/>
                  <w:szCs w:val="21"/>
                </w:rPr>
                <w:t>资产负债表日按成本与可变现净值孰低计量，存货成本高于其可变现净值的，计提存货跌价准备，计入当期损益。</w:t>
              </w:r>
            </w:p>
            <w:p w14:paraId="1B920644" w14:textId="77777777" w:rsidR="00830E72" w:rsidRDefault="008344D8">
              <w:pPr>
                <w:ind w:firstLineChars="200" w:firstLine="420"/>
                <w:rPr>
                  <w:szCs w:val="21"/>
                </w:rPr>
              </w:pPr>
              <w:r>
                <w:rPr>
                  <w:rFonts w:hint="eastAsia"/>
                  <w:szCs w:val="21"/>
                </w:rPr>
                <w:t>在确定存货的可变现净值时，以取得的可靠证据为基础，并且考虑持有存货的目的、资产负</w:t>
              </w:r>
            </w:p>
            <w:p w14:paraId="4C071733" w14:textId="77777777" w:rsidR="00830E72" w:rsidRDefault="008344D8">
              <w:pPr>
                <w:ind w:firstLineChars="200" w:firstLine="420"/>
                <w:rPr>
                  <w:szCs w:val="21"/>
                </w:rPr>
              </w:pPr>
              <w:r>
                <w:rPr>
                  <w:rFonts w:hint="eastAsia"/>
                  <w:szCs w:val="21"/>
                </w:rPr>
                <w:t>债表日后事项的影响等因素。</w:t>
              </w:r>
            </w:p>
            <w:p w14:paraId="4711D7B8" w14:textId="77777777" w:rsidR="00830E72" w:rsidRDefault="008344D8">
              <w:pPr>
                <w:ind w:firstLineChars="200" w:firstLine="420"/>
                <w:rPr>
                  <w:szCs w:val="21"/>
                </w:rPr>
              </w:pPr>
              <w:r>
                <w:rPr>
                  <w:rFonts w:hint="eastAsia"/>
                  <w:szCs w:val="21"/>
                </w:rPr>
                <w:t>①产成品、商品和用于出售的材料等直接用于出售的存货，在正常生产经营过程中，以该存货的估计售价减去估计的销售费用和相关税费后的金额确定其可变现净值。为执行销售合同或者劳务合同而持有的存货，以合同价格作为其可变现净值的计量基础；如果持有存货的数量多于销售合同订购数量，超出部分的存货可变现净值以一般销售价格为计量基础。用于出售的材料等，以市场价格作为其可变现净值的计量基础。</w:t>
              </w:r>
            </w:p>
            <w:p w14:paraId="128D7FAB" w14:textId="77777777" w:rsidR="00830E72" w:rsidRDefault="008344D8">
              <w:pPr>
                <w:ind w:firstLineChars="200" w:firstLine="420"/>
                <w:rPr>
                  <w:szCs w:val="21"/>
                </w:rPr>
              </w:pPr>
              <w:r>
                <w:rPr>
                  <w:rFonts w:hint="eastAsia"/>
                  <w:szCs w:val="21"/>
                </w:rPr>
                <w:t>②需要经过加工的材料存货，在正常生产经营过程中，以所生产的产成品的估计售价减去至完工时估计将要发生的成本、估计的销售费用和相关税费后的金额确定其可变现净值。如果用其生产的产成品的可变现净值高于成本，则该材料按成本计量；如果材料价格的下降表明产成品的可变现净值低于成本，则该材料按可变现净值计量，按其差额计提存货跌价准备。</w:t>
              </w:r>
            </w:p>
            <w:p w14:paraId="59678415" w14:textId="77777777" w:rsidR="00830E72" w:rsidRDefault="008344D8">
              <w:pPr>
                <w:ind w:firstLineChars="200" w:firstLine="420"/>
                <w:rPr>
                  <w:szCs w:val="21"/>
                </w:rPr>
              </w:pPr>
              <w:r>
                <w:rPr>
                  <w:rFonts w:hint="eastAsia"/>
                  <w:szCs w:val="21"/>
                </w:rPr>
                <w:t>③存货跌价准备一般按单个存货项目计提；对于数量繁多、单价较低的存货，按存货类别计提。</w:t>
              </w:r>
            </w:p>
            <w:p w14:paraId="734305F9" w14:textId="77777777" w:rsidR="00830E72" w:rsidRDefault="008344D8">
              <w:pPr>
                <w:ind w:firstLineChars="200" w:firstLine="420"/>
                <w:rPr>
                  <w:szCs w:val="21"/>
                </w:rPr>
              </w:pPr>
              <w:r>
                <w:rPr>
                  <w:rFonts w:hint="eastAsia"/>
                  <w:szCs w:val="21"/>
                </w:rPr>
                <w:t>④资产负债表日如果以前减记存货价值的影响因素已经消失，则减记的金额予以恢复，并在原已计提的存货跌价准备的金额内转回，转回的金额计入当期损益。</w:t>
              </w:r>
            </w:p>
            <w:p w14:paraId="6D491452" w14:textId="77777777" w:rsidR="00830E72" w:rsidRDefault="008344D8">
              <w:pPr>
                <w:ind w:firstLineChars="200" w:firstLine="420"/>
                <w:rPr>
                  <w:szCs w:val="21"/>
                </w:rPr>
              </w:pPr>
              <w:r>
                <w:rPr>
                  <w:rFonts w:hint="eastAsia"/>
                  <w:szCs w:val="21"/>
                </w:rPr>
                <w:t>（</w:t>
              </w:r>
              <w:r>
                <w:rPr>
                  <w:szCs w:val="21"/>
                </w:rPr>
                <w:t>5）周转材料的摊销方法</w:t>
              </w:r>
            </w:p>
            <w:p w14:paraId="279D792A" w14:textId="77777777" w:rsidR="00830E72" w:rsidRDefault="008344D8">
              <w:pPr>
                <w:ind w:firstLineChars="200" w:firstLine="420"/>
                <w:rPr>
                  <w:szCs w:val="21"/>
                </w:rPr>
              </w:pPr>
              <w:r>
                <w:rPr>
                  <w:rFonts w:hint="eastAsia"/>
                  <w:szCs w:val="21"/>
                </w:rPr>
                <w:t>①低值易耗品摊销方法：在领用时采用一次转销法。</w:t>
              </w:r>
            </w:p>
            <w:p w14:paraId="5F3DFEF9" w14:textId="77777777" w:rsidR="00830E72" w:rsidRDefault="008344D8">
              <w:pPr>
                <w:ind w:firstLineChars="200" w:firstLine="420"/>
                <w:rPr>
                  <w:szCs w:val="21"/>
                </w:rPr>
              </w:pPr>
              <w:r>
                <w:rPr>
                  <w:rFonts w:hint="eastAsia"/>
                  <w:szCs w:val="21"/>
                </w:rPr>
                <w:t>②包装物的摊销方法：在领用时采用一次转销法。</w:t>
              </w:r>
            </w:p>
            <w:p w14:paraId="686B7191" w14:textId="77777777" w:rsidR="00830E72" w:rsidRDefault="008344D8">
              <w:pPr>
                <w:ind w:firstLineChars="200" w:firstLine="420"/>
                <w:rPr>
                  <w:szCs w:val="21"/>
                </w:rPr>
              </w:pPr>
              <w:r>
                <w:rPr>
                  <w:rFonts w:hint="eastAsia"/>
                  <w:szCs w:val="21"/>
                </w:rPr>
                <w:t>以下存货会计政策适用于</w:t>
              </w:r>
              <w:r>
                <w:rPr>
                  <w:szCs w:val="21"/>
                </w:rPr>
                <w:t xml:space="preserve"> 2019 年度及以前：</w:t>
              </w:r>
            </w:p>
            <w:p w14:paraId="7CF0C314" w14:textId="77777777" w:rsidR="00830E72" w:rsidRDefault="008344D8">
              <w:pPr>
                <w:ind w:firstLineChars="200" w:firstLine="420"/>
                <w:rPr>
                  <w:szCs w:val="21"/>
                </w:rPr>
              </w:pPr>
              <w:r>
                <w:rPr>
                  <w:rFonts w:hint="eastAsia"/>
                  <w:szCs w:val="21"/>
                </w:rPr>
                <w:t>（</w:t>
              </w:r>
              <w:r>
                <w:rPr>
                  <w:szCs w:val="21"/>
                </w:rPr>
                <w:t>1）存货的分类</w:t>
              </w:r>
            </w:p>
            <w:p w14:paraId="3B78DCB0" w14:textId="77777777" w:rsidR="00830E72" w:rsidRDefault="008344D8">
              <w:pPr>
                <w:ind w:firstLineChars="200" w:firstLine="420"/>
                <w:rPr>
                  <w:szCs w:val="21"/>
                </w:rPr>
              </w:pPr>
              <w:r>
                <w:rPr>
                  <w:rFonts w:hint="eastAsia"/>
                  <w:szCs w:val="21"/>
                </w:rPr>
                <w:t>存货是指本公司在日常活动中持有以备出售的产成品或商品、在生产过程或提供劳务过程中耗用的材料和物料等，包括原材料、周转材料、建造合同形成的已完工未结算资产、开发成本、开发产品等。</w:t>
              </w:r>
            </w:p>
            <w:p w14:paraId="26B720AF" w14:textId="77777777" w:rsidR="00830E72" w:rsidRDefault="008344D8">
              <w:pPr>
                <w:ind w:firstLineChars="200" w:firstLine="420"/>
                <w:rPr>
                  <w:szCs w:val="21"/>
                </w:rPr>
              </w:pPr>
              <w:r>
                <w:rPr>
                  <w:rFonts w:hint="eastAsia"/>
                  <w:szCs w:val="21"/>
                </w:rPr>
                <w:t>（</w:t>
              </w:r>
              <w:r>
                <w:rPr>
                  <w:szCs w:val="21"/>
                </w:rPr>
                <w:t>2）发出存货的计价方法</w:t>
              </w:r>
            </w:p>
            <w:p w14:paraId="5A6D9DC2" w14:textId="77777777" w:rsidR="00830E72" w:rsidRDefault="008344D8">
              <w:pPr>
                <w:ind w:firstLineChars="200" w:firstLine="420"/>
                <w:rPr>
                  <w:szCs w:val="21"/>
                </w:rPr>
              </w:pPr>
              <w:r>
                <w:rPr>
                  <w:rFonts w:hint="eastAsia"/>
                  <w:szCs w:val="21"/>
                </w:rPr>
                <w:t>本公司材料和物料等发出时采用加权平均法计价，房地产开发存货发出时采用个别认定法。</w:t>
              </w:r>
            </w:p>
            <w:p w14:paraId="3A4A008E" w14:textId="77777777" w:rsidR="00830E72" w:rsidRDefault="008344D8">
              <w:pPr>
                <w:ind w:firstLineChars="200" w:firstLine="420"/>
                <w:rPr>
                  <w:szCs w:val="21"/>
                </w:rPr>
              </w:pPr>
              <w:r>
                <w:rPr>
                  <w:rFonts w:hint="eastAsia"/>
                  <w:szCs w:val="21"/>
                </w:rPr>
                <w:t>（</w:t>
              </w:r>
              <w:r>
                <w:rPr>
                  <w:szCs w:val="21"/>
                </w:rPr>
                <w:t>3）存货的盘存制度</w:t>
              </w:r>
            </w:p>
            <w:p w14:paraId="440422B3" w14:textId="77777777" w:rsidR="00830E72" w:rsidRDefault="008344D8">
              <w:pPr>
                <w:ind w:firstLineChars="200" w:firstLine="420"/>
                <w:rPr>
                  <w:szCs w:val="21"/>
                </w:rPr>
              </w:pPr>
              <w:r>
                <w:rPr>
                  <w:rFonts w:hint="eastAsia"/>
                  <w:szCs w:val="21"/>
                </w:rPr>
                <w:t>本公司存货采用永续盘存制，每年至少盘点一次，盘盈及盘亏金额计入当年度损益。</w:t>
              </w:r>
            </w:p>
            <w:p w14:paraId="6DB40212" w14:textId="77777777" w:rsidR="00830E72" w:rsidRDefault="008344D8">
              <w:pPr>
                <w:ind w:firstLineChars="200" w:firstLine="420"/>
                <w:rPr>
                  <w:szCs w:val="21"/>
                </w:rPr>
              </w:pPr>
              <w:r>
                <w:rPr>
                  <w:rFonts w:hint="eastAsia"/>
                  <w:szCs w:val="21"/>
                </w:rPr>
                <w:t>（</w:t>
              </w:r>
              <w:r>
                <w:rPr>
                  <w:szCs w:val="21"/>
                </w:rPr>
                <w:t>4）建造合同形成的已完工未结算资产</w:t>
              </w:r>
            </w:p>
            <w:p w14:paraId="2DC04C99" w14:textId="77777777" w:rsidR="00830E72" w:rsidRDefault="008344D8">
              <w:pPr>
                <w:ind w:firstLineChars="200" w:firstLine="420"/>
                <w:rPr>
                  <w:szCs w:val="21"/>
                </w:rPr>
              </w:pPr>
              <w:r>
                <w:rPr>
                  <w:rFonts w:hint="eastAsia"/>
                  <w:szCs w:val="21"/>
                </w:rPr>
                <w:t>建造合同按实际成本计量，包括从合同签订开始至合同完成止所发生的、与执行合同有关的直接费用和间接费用。在建合同累计已发生的成本和累计已确认的毛利（亏损）与已结算的价款在资产负债表中以抵销后的净额列示。在建合同累计已发生的成本和累计已确认的毛利（亏损）之和超过已结算价款的部分在存货中列示为“建造合同形成的已完工未结算资产”；在建合同已结算的价款超过累计已发生的成本与累计已确认的毛利（亏损）之和的部分在预收款项中列示为“建造合同形成的已结算尚未完工款”。</w:t>
              </w:r>
            </w:p>
            <w:p w14:paraId="45475E53" w14:textId="77777777" w:rsidR="00830E72" w:rsidRDefault="008344D8">
              <w:pPr>
                <w:ind w:firstLineChars="200" w:firstLine="420"/>
                <w:rPr>
                  <w:szCs w:val="21"/>
                </w:rPr>
              </w:pPr>
              <w:r>
                <w:rPr>
                  <w:rFonts w:hint="eastAsia"/>
                  <w:szCs w:val="21"/>
                </w:rPr>
                <w:t>为订立合同而发生的差旅费、投标费等，能够单独区分和可靠计量且合同很可能订立的，在取得合同时计入合同成本；未满足上述条件的，则计入当期损益。</w:t>
              </w:r>
            </w:p>
            <w:p w14:paraId="5DFA80B3" w14:textId="77777777" w:rsidR="00830E72" w:rsidRDefault="008344D8">
              <w:pPr>
                <w:ind w:firstLineChars="200" w:firstLine="420"/>
                <w:rPr>
                  <w:szCs w:val="21"/>
                </w:rPr>
              </w:pPr>
              <w:r>
                <w:rPr>
                  <w:rFonts w:hint="eastAsia"/>
                  <w:szCs w:val="21"/>
                </w:rPr>
                <w:t>（</w:t>
              </w:r>
              <w:r>
                <w:rPr>
                  <w:szCs w:val="21"/>
                </w:rPr>
                <w:t>4）存货跌价准备的计提方法</w:t>
              </w:r>
            </w:p>
            <w:p w14:paraId="6E28381A" w14:textId="77777777" w:rsidR="00830E72" w:rsidRDefault="008344D8">
              <w:pPr>
                <w:ind w:firstLineChars="200" w:firstLine="420"/>
                <w:rPr>
                  <w:szCs w:val="21"/>
                </w:rPr>
              </w:pPr>
              <w:r>
                <w:rPr>
                  <w:rFonts w:hint="eastAsia"/>
                  <w:szCs w:val="21"/>
                </w:rPr>
                <w:t>资产负债表日按成本与可变现净值孰低计量，存货成本高于其可变现净值的，计提存货跌价准备，计入当期损益。</w:t>
              </w:r>
            </w:p>
            <w:p w14:paraId="17FD3EED" w14:textId="77777777" w:rsidR="00830E72" w:rsidRDefault="008344D8">
              <w:pPr>
                <w:ind w:firstLineChars="200" w:firstLine="420"/>
                <w:rPr>
                  <w:szCs w:val="21"/>
                </w:rPr>
              </w:pPr>
              <w:r>
                <w:rPr>
                  <w:rFonts w:hint="eastAsia"/>
                  <w:szCs w:val="21"/>
                </w:rPr>
                <w:t>在确定存货的可变现净值时，以取得的可靠证据为基础，并且考虑持有存货的目的、资产负债表日后事项的影响等因素。</w:t>
              </w:r>
            </w:p>
            <w:p w14:paraId="6963B8C7" w14:textId="77777777" w:rsidR="00830E72" w:rsidRDefault="008344D8">
              <w:pPr>
                <w:ind w:firstLineChars="200" w:firstLine="420"/>
                <w:rPr>
                  <w:szCs w:val="21"/>
                </w:rPr>
              </w:pPr>
              <w:r>
                <w:rPr>
                  <w:rFonts w:hint="eastAsia"/>
                  <w:szCs w:val="21"/>
                </w:rPr>
                <w:t>①产成品、商品和用于出售的材料等直接用于出售的存货，在正常生产经营过程中，以该存货的估计售价减去估计的销售费用和相关税费后的金额确定其可变现净值。为执行销售合同或者劳务合同而持有的存货，以合同价格作为其可变现净值的计量基础；如果持有存货的数量多于销售合同订购数量，超出部分的存货可变现净值以一般销售价格为计量基础。用于出售的材料等，以市场价格作为其可变现净值的计量基础。</w:t>
              </w:r>
            </w:p>
            <w:p w14:paraId="31B48A5A" w14:textId="77777777" w:rsidR="00830E72" w:rsidRDefault="008344D8">
              <w:pPr>
                <w:ind w:firstLineChars="200" w:firstLine="420"/>
                <w:rPr>
                  <w:szCs w:val="21"/>
                </w:rPr>
              </w:pPr>
              <w:r>
                <w:rPr>
                  <w:rFonts w:hint="eastAsia"/>
                  <w:szCs w:val="21"/>
                </w:rPr>
                <w:lastRenderedPageBreak/>
                <w:t>②需要经过加工的材料存货，在正常生产经营过程中，以所生产的产成品的估计售价减去至完工时估计将要发生的成本、估计的销售费用和相关税费后的金额确定其可变现净值。如果用其生产的产成品的可变现净值高于成本，则该材料按成本计量；如果材料价格的下降表明产成品的可变现净值低于成本，则该材料按可变现净值计量，按其差额计提存货跌价准备。</w:t>
              </w:r>
            </w:p>
            <w:p w14:paraId="762C7349" w14:textId="77777777" w:rsidR="00830E72" w:rsidRDefault="008344D8">
              <w:pPr>
                <w:ind w:firstLineChars="200" w:firstLine="420"/>
                <w:rPr>
                  <w:szCs w:val="21"/>
                </w:rPr>
              </w:pPr>
              <w:r>
                <w:rPr>
                  <w:rFonts w:hint="eastAsia"/>
                  <w:szCs w:val="21"/>
                </w:rPr>
                <w:t>③执行建造合同过程中，如果合同预计总成本将超过合同预计总收入，则计提合同预计损失准备，计入当期费用。</w:t>
              </w:r>
            </w:p>
            <w:p w14:paraId="224FBA7F" w14:textId="77777777" w:rsidR="00830E72" w:rsidRDefault="008344D8">
              <w:pPr>
                <w:ind w:firstLineChars="200" w:firstLine="420"/>
                <w:rPr>
                  <w:szCs w:val="21"/>
                </w:rPr>
              </w:pPr>
              <w:r>
                <w:rPr>
                  <w:rFonts w:hint="eastAsia"/>
                  <w:szCs w:val="21"/>
                </w:rPr>
                <w:t>④存货跌价准备一般按单个存货项目计提；对于数量繁多、单价较低的存货，按存货类别计提。</w:t>
              </w:r>
            </w:p>
            <w:p w14:paraId="67B26117" w14:textId="77777777" w:rsidR="00830E72" w:rsidRDefault="008344D8">
              <w:pPr>
                <w:ind w:firstLineChars="200" w:firstLine="420"/>
                <w:rPr>
                  <w:szCs w:val="21"/>
                </w:rPr>
              </w:pPr>
              <w:r>
                <w:rPr>
                  <w:rFonts w:hint="eastAsia"/>
                  <w:szCs w:val="21"/>
                </w:rPr>
                <w:t>⑤资产负债表日如果以前减记存货价值的影响因素已经消失，则减记的金额予以恢复，并在原已计提的存货跌价准备的金额内转回，转回的金额计入当期损益。</w:t>
              </w:r>
            </w:p>
            <w:p w14:paraId="4143B015" w14:textId="77777777" w:rsidR="00830E72" w:rsidRDefault="008344D8">
              <w:pPr>
                <w:ind w:firstLineChars="200" w:firstLine="420"/>
                <w:rPr>
                  <w:szCs w:val="21"/>
                </w:rPr>
              </w:pPr>
              <w:r>
                <w:rPr>
                  <w:rFonts w:hint="eastAsia"/>
                  <w:szCs w:val="21"/>
                </w:rPr>
                <w:t>（</w:t>
              </w:r>
              <w:r>
                <w:rPr>
                  <w:szCs w:val="21"/>
                </w:rPr>
                <w:t>5）周转材料的摊销方法</w:t>
              </w:r>
            </w:p>
            <w:p w14:paraId="5CC6F1B7" w14:textId="77777777" w:rsidR="00830E72" w:rsidRDefault="008344D8">
              <w:pPr>
                <w:ind w:firstLineChars="200" w:firstLine="420"/>
                <w:rPr>
                  <w:szCs w:val="21"/>
                </w:rPr>
              </w:pPr>
              <w:r>
                <w:rPr>
                  <w:rFonts w:hint="eastAsia"/>
                  <w:szCs w:val="21"/>
                </w:rPr>
                <w:t>①低值易耗品摊销方法：在领用时采用一次转销法。</w:t>
              </w:r>
            </w:p>
            <w:p w14:paraId="5733DC62" w14:textId="77777777" w:rsidR="00830E72" w:rsidRDefault="008344D8">
              <w:pPr>
                <w:ind w:firstLineChars="200" w:firstLine="420"/>
                <w:rPr>
                  <w:rFonts w:cs="Times New Roman"/>
                  <w:szCs w:val="21"/>
                </w:rPr>
              </w:pPr>
              <w:r>
                <w:rPr>
                  <w:rFonts w:hint="eastAsia"/>
                  <w:szCs w:val="21"/>
                </w:rPr>
                <w:t>②包装物的摊销方法：在领用时采用一次转销法。</w:t>
              </w:r>
            </w:p>
          </w:sdtContent>
        </w:sdt>
      </w:sdtContent>
    </w:sdt>
    <w:p w14:paraId="7B9A92CF" w14:textId="77777777" w:rsidR="00830E72" w:rsidRDefault="00830E72">
      <w:pPr>
        <w:rPr>
          <w:rFonts w:cs="Times New Roman"/>
          <w:szCs w:val="21"/>
        </w:rPr>
      </w:pPr>
    </w:p>
    <w:bookmarkStart w:id="73" w:name="_Hlk10465202" w:displacedByCustomXml="next"/>
    <w:sdt>
      <w:sdtPr>
        <w:rPr>
          <w:rFonts w:ascii="宋体" w:hAnsi="宋体" w:cs="宋体" w:hint="eastAsia"/>
          <w:b w:val="0"/>
          <w:bCs w:val="0"/>
          <w:kern w:val="0"/>
          <w:szCs w:val="21"/>
        </w:rPr>
        <w:alias w:val="模块:合同资产"/>
        <w:tag w:val="_SEC_c8278ca8e95a4a1fb97258ed9c2842ff"/>
        <w:id w:val="423845749"/>
        <w:lock w:val="sdtLocked"/>
        <w:placeholder>
          <w:docPart w:val="GBC22222222222222222222222222222"/>
        </w:placeholder>
      </w:sdtPr>
      <w:sdtEndPr>
        <w:rPr>
          <w:rFonts w:hint="default"/>
        </w:rPr>
      </w:sdtEndPr>
      <w:sdtContent>
        <w:p w14:paraId="73FF0F06" w14:textId="77777777" w:rsidR="00830E72" w:rsidRDefault="008344D8">
          <w:pPr>
            <w:pStyle w:val="Style99"/>
            <w:numPr>
              <w:ilvl w:val="0"/>
              <w:numId w:val="35"/>
            </w:numPr>
            <w:rPr>
              <w:rFonts w:ascii="宋体" w:hAnsi="宋体"/>
              <w:szCs w:val="21"/>
            </w:rPr>
          </w:pPr>
          <w:r>
            <w:rPr>
              <w:rFonts w:ascii="宋体" w:hAnsi="宋体" w:hint="eastAsia"/>
              <w:szCs w:val="21"/>
            </w:rPr>
            <w:t>合同资产</w:t>
          </w:r>
        </w:p>
        <w:p w14:paraId="1AF054E4" w14:textId="77777777" w:rsidR="00830E72" w:rsidRDefault="008344D8">
          <w:pPr>
            <w:pStyle w:val="Style100"/>
            <w:numPr>
              <w:ilvl w:val="0"/>
              <w:numId w:val="36"/>
            </w:numPr>
            <w:rPr>
              <w:rFonts w:ascii="宋体" w:hAnsi="宋体"/>
              <w:szCs w:val="21"/>
            </w:rPr>
          </w:pPr>
          <w:r>
            <w:rPr>
              <w:rFonts w:ascii="宋体" w:hAnsi="宋体" w:hint="eastAsia"/>
              <w:szCs w:val="21"/>
            </w:rPr>
            <w:t>合同资产的确认方法及标准</w:t>
          </w:r>
        </w:p>
        <w:sdt>
          <w:sdtPr>
            <w:rPr>
              <w:szCs w:val="21"/>
            </w:rPr>
            <w:alias w:val="是否适用：合同资产的确定方法、摊销方法和减值测试方法[双击切换]"/>
            <w:tag w:val="_GBC_9daae386f9a94543beb70aace93dc36d"/>
            <w:id w:val="1537548988"/>
            <w:lock w:val="sdtContentLocked"/>
            <w:placeholder>
              <w:docPart w:val="GBC22222222222222222222222222222"/>
            </w:placeholder>
          </w:sdtPr>
          <w:sdtEndPr/>
          <w:sdtContent>
            <w:p w14:paraId="10F55E1C"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的确定方法、摊销方法和减值测试方法"/>
            <w:tag w:val="_GBC_509139300ad14da0961ff5023dc7e8f7"/>
            <w:id w:val="1696348766"/>
            <w:lock w:val="sdtLocked"/>
            <w:placeholder>
              <w:docPart w:val="GBC22222222222222222222222222222"/>
            </w:placeholder>
          </w:sdtPr>
          <w:sdtEndPr/>
          <w:sdtContent>
            <w:p w14:paraId="30282340" w14:textId="77777777" w:rsidR="00830E72" w:rsidRDefault="008344D8">
              <w:pPr>
                <w:ind w:firstLineChars="200" w:firstLine="420"/>
                <w:rPr>
                  <w:szCs w:val="21"/>
                </w:rPr>
              </w:pPr>
              <w:r>
                <w:rPr>
                  <w:rFonts w:hint="eastAsia"/>
                  <w:szCs w:val="21"/>
                </w:rPr>
                <w:t>自</w:t>
              </w:r>
              <w:r>
                <w:rPr>
                  <w:szCs w:val="21"/>
                </w:rPr>
                <w:t xml:space="preserve"> 2020 年 1 月 1 日起适用</w:t>
              </w:r>
            </w:p>
            <w:p w14:paraId="0EDD283E" w14:textId="77777777" w:rsidR="00830E72" w:rsidRDefault="008344D8">
              <w:pPr>
                <w:ind w:firstLineChars="200" w:firstLine="420"/>
                <w:rPr>
                  <w:szCs w:val="21"/>
                </w:rPr>
              </w:pPr>
              <w:r>
                <w:rPr>
                  <w:rFonts w:hint="eastAsia"/>
                  <w:szCs w:val="21"/>
                </w:rPr>
                <w:t>本公司根据履行履约义务与客户付款之间的关系在资产负债表中列示合同资产或合同负债。本公司已向客户转让商品或提供服务而有权收取的对价（且该权利取决于时间流逝之外的其他因素）列示为合同资产。本公司已收或应收客户对价而应向客户转让商品或提供服务的义务列示为合同负债。</w:t>
              </w:r>
            </w:p>
          </w:sdtContent>
        </w:sdt>
        <w:p w14:paraId="555D8BC5" w14:textId="77777777" w:rsidR="00830E72" w:rsidRDefault="00D44830">
          <w:pPr>
            <w:rPr>
              <w:rFonts w:cs="Times New Roman"/>
              <w:szCs w:val="21"/>
            </w:rPr>
          </w:pPr>
        </w:p>
      </w:sdtContent>
    </w:sdt>
    <w:bookmarkEnd w:id="73" w:displacedByCustomXml="next"/>
    <w:bookmarkStart w:id="74" w:name="_Hlk10465245" w:displacedByCustomXml="next"/>
    <w:bookmarkStart w:id="75" w:name="_Hlk10465255" w:displacedByCustomXml="next"/>
    <w:sdt>
      <w:sdtPr>
        <w:rPr>
          <w:rFonts w:ascii="宋体" w:hAnsi="宋体" w:cs="宋体" w:hint="eastAsia"/>
          <w:b w:val="0"/>
          <w:bCs w:val="0"/>
          <w:kern w:val="0"/>
          <w:szCs w:val="21"/>
        </w:rPr>
        <w:alias w:val="模块:合同资产预期信用损失的确定方法及会计处理方法"/>
        <w:tag w:val="_SEC_c2bb2c97fdb4423db069686155694c4c"/>
        <w:id w:val="1654324455"/>
        <w:lock w:val="sdtLocked"/>
        <w:placeholder>
          <w:docPart w:val="GBC22222222222222222222222222222"/>
        </w:placeholder>
      </w:sdtPr>
      <w:sdtEndPr>
        <w:rPr>
          <w:rFonts w:hint="default"/>
        </w:rPr>
      </w:sdtEndPr>
      <w:sdtContent>
        <w:p w14:paraId="00C7D5B8" w14:textId="77777777" w:rsidR="00830E72" w:rsidRDefault="008344D8">
          <w:pPr>
            <w:pStyle w:val="Style100"/>
            <w:numPr>
              <w:ilvl w:val="0"/>
              <w:numId w:val="36"/>
            </w:numPr>
            <w:rPr>
              <w:rFonts w:ascii="宋体" w:hAnsi="宋体"/>
              <w:szCs w:val="21"/>
            </w:rPr>
          </w:pPr>
          <w:r>
            <w:rPr>
              <w:rFonts w:ascii="宋体" w:hAnsi="宋体" w:hint="eastAsia"/>
              <w:szCs w:val="21"/>
            </w:rPr>
            <w:t>合同资产预期信用损失的确定方法及会计处理方法</w:t>
          </w:r>
          <w:bookmarkEnd w:id="74"/>
        </w:p>
        <w:sdt>
          <w:sdtPr>
            <w:rPr>
              <w:szCs w:val="21"/>
            </w:rPr>
            <w:alias w:val="是否适用：合同资产预期信用损失的确定方法及会计处理方法[双击切换]"/>
            <w:tag w:val="_GBC_c1227cf6e2f0432a85c32b611a40fa7f"/>
            <w:id w:val="-541525169"/>
            <w:lock w:val="sdtContentLocked"/>
            <w:placeholder>
              <w:docPart w:val="GBC22222222222222222222222222222"/>
            </w:placeholder>
          </w:sdtPr>
          <w:sdtEndPr/>
          <w:sdtContent>
            <w:p w14:paraId="0D5E9C75"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预期信用损失的确定方法及会计处理方法"/>
            <w:tag w:val="_GBC_ec035a84f2ae41b08fe408f3623243ab"/>
            <w:id w:val="-6599002"/>
            <w:lock w:val="sdtLocked"/>
            <w:placeholder>
              <w:docPart w:val="GBC22222222222222222222222222222"/>
            </w:placeholder>
          </w:sdtPr>
          <w:sdtEndPr/>
          <w:sdtContent>
            <w:p w14:paraId="01A4F938" w14:textId="77C3DBBB" w:rsidR="00830E72" w:rsidRDefault="008344D8">
              <w:pPr>
                <w:ind w:firstLineChars="200" w:firstLine="420"/>
                <w:rPr>
                  <w:szCs w:val="21"/>
                </w:rPr>
              </w:pPr>
              <w:r>
                <w:rPr>
                  <w:rFonts w:hint="eastAsia"/>
                  <w:szCs w:val="21"/>
                </w:rPr>
                <w:t>本公司对合同资产的预期信用损失的确定方法及会计处理方法详见“第十节财务报告”之“五、重要会计政策及会计估计”之“</w:t>
              </w:r>
              <w:r>
                <w:rPr>
                  <w:szCs w:val="21"/>
                </w:rPr>
                <w:t>10、金融工具”。</w:t>
              </w:r>
            </w:p>
            <w:p w14:paraId="30F9879D" w14:textId="77777777" w:rsidR="00830E72" w:rsidRDefault="008344D8">
              <w:pPr>
                <w:ind w:firstLineChars="200" w:firstLine="420"/>
                <w:rPr>
                  <w:szCs w:val="21"/>
                </w:rPr>
              </w:pPr>
              <w:r>
                <w:rPr>
                  <w:rFonts w:hint="eastAsia"/>
                  <w:szCs w:val="21"/>
                </w:rPr>
                <w:t>合同资产和合同负债在资产负债表中单独列示。同一合同下的合同资产和合同负债以净额列示，净额为借方余额的，根据其流动性在“合同资产”或“其他非流动资产”项目中列示；净额为贷方余额的，根据其流动性在“合同负债”或“其他非流动负债”项目中列示。不同合同下的合同资产和合同负债不能相互抵销。</w:t>
              </w:r>
            </w:p>
          </w:sdtContent>
        </w:sdt>
        <w:p w14:paraId="6FD45EF3" w14:textId="77777777" w:rsidR="00830E72" w:rsidRDefault="00D44830">
          <w:pPr>
            <w:rPr>
              <w:rFonts w:cs="Times New Roman"/>
              <w:szCs w:val="21"/>
            </w:rPr>
          </w:pPr>
        </w:p>
      </w:sdtContent>
    </w:sdt>
    <w:bookmarkEnd w:id="75" w:displacedByCustomXml="next"/>
    <w:bookmarkStart w:id="76" w:name="_Hlk10465310" w:displacedByCustomXml="next"/>
    <w:sdt>
      <w:sdtPr>
        <w:rPr>
          <w:rFonts w:ascii="宋体" w:hAnsi="宋体" w:cs="宋体" w:hint="eastAsia"/>
          <w:b w:val="0"/>
          <w:bCs w:val="0"/>
          <w:kern w:val="0"/>
          <w:szCs w:val="21"/>
        </w:rPr>
        <w:alias w:val="模块:划分为持有待售资产"/>
        <w:tag w:val="_GBC_a1a86a762feb43c3bed478ce8a19ae7c"/>
        <w:id w:val="-817959719"/>
        <w:lock w:val="sdtLocked"/>
        <w:placeholder>
          <w:docPart w:val="GBC22222222222222222222222222222"/>
        </w:placeholder>
      </w:sdtPr>
      <w:sdtEndPr/>
      <w:sdtContent>
        <w:p w14:paraId="414B73DB" w14:textId="77777777" w:rsidR="00830E72" w:rsidRDefault="008344D8">
          <w:pPr>
            <w:pStyle w:val="Style99"/>
            <w:numPr>
              <w:ilvl w:val="0"/>
              <w:numId w:val="35"/>
            </w:numPr>
            <w:rPr>
              <w:rFonts w:ascii="宋体" w:hAnsi="宋体"/>
              <w:szCs w:val="21"/>
            </w:rPr>
          </w:pPr>
          <w:r>
            <w:rPr>
              <w:rFonts w:ascii="宋体" w:hAnsi="宋体" w:hint="eastAsia"/>
            </w:rPr>
            <w:t>持有</w:t>
          </w:r>
          <w:r>
            <w:rPr>
              <w:rFonts w:ascii="宋体" w:hAnsi="宋体" w:hint="eastAsia"/>
              <w:szCs w:val="21"/>
            </w:rPr>
            <w:t>待售资产</w:t>
          </w:r>
        </w:p>
        <w:sdt>
          <w:sdtPr>
            <w:rPr>
              <w:rFonts w:hint="eastAsia"/>
              <w:szCs w:val="21"/>
            </w:rPr>
            <w:alias w:val="是否适用：划分为持有待售资产_重要会计政策和估计[双击切换]"/>
            <w:tag w:val="_GBC_7d21fae1fb15414bac10a5567ebb7aca"/>
            <w:id w:val="-234855082"/>
            <w:lock w:val="sdtContentLocked"/>
            <w:placeholder>
              <w:docPart w:val="GBC22222222222222222222222222222"/>
            </w:placeholder>
          </w:sdtPr>
          <w:sdtEndPr/>
          <w:sdtContent>
            <w:p w14:paraId="06A881D6"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1561048885"/>
            <w:lock w:val="sdtLocked"/>
            <w:placeholder>
              <w:docPart w:val="GBC22222222222222222222222222222"/>
            </w:placeholder>
          </w:sdtPr>
          <w:sdtEndPr/>
          <w:sdtContent>
            <w:p w14:paraId="0989AA17" w14:textId="77777777" w:rsidR="00830E72" w:rsidRDefault="008344D8">
              <w:pPr>
                <w:ind w:firstLineChars="200" w:firstLine="420"/>
                <w:rPr>
                  <w:szCs w:val="21"/>
                </w:rPr>
              </w:pPr>
              <w:r>
                <w:rPr>
                  <w:rFonts w:hint="eastAsia"/>
                  <w:szCs w:val="21"/>
                </w:rPr>
                <w:t>（</w:t>
              </w:r>
              <w:r>
                <w:rPr>
                  <w:szCs w:val="21"/>
                </w:rPr>
                <w:t>1）持有待售的非流动资产或处置组的分类</w:t>
              </w:r>
            </w:p>
            <w:p w14:paraId="014EE271" w14:textId="77777777" w:rsidR="00830E72" w:rsidRDefault="008344D8">
              <w:pPr>
                <w:ind w:firstLineChars="200" w:firstLine="420"/>
                <w:rPr>
                  <w:szCs w:val="21"/>
                </w:rPr>
              </w:pPr>
              <w:r>
                <w:rPr>
                  <w:rFonts w:hint="eastAsia"/>
                  <w:szCs w:val="21"/>
                </w:rPr>
                <w:t>本公司将同时满足下列条件的非流动资产或处置组划分为持有待售类别：</w:t>
              </w:r>
            </w:p>
            <w:p w14:paraId="4A51B15D" w14:textId="77777777" w:rsidR="00830E72" w:rsidRDefault="008344D8">
              <w:pPr>
                <w:ind w:firstLineChars="200" w:firstLine="420"/>
                <w:rPr>
                  <w:szCs w:val="21"/>
                </w:rPr>
              </w:pPr>
              <w:r>
                <w:rPr>
                  <w:rFonts w:hint="eastAsia"/>
                  <w:szCs w:val="21"/>
                </w:rPr>
                <w:t>①根据类似交易中出售此类资产或处置组的惯例，在当前状况下即可立即出售；</w:t>
              </w:r>
            </w:p>
            <w:p w14:paraId="3B0E0BFC" w14:textId="77777777" w:rsidR="00830E72" w:rsidRDefault="008344D8">
              <w:pPr>
                <w:ind w:firstLineChars="200" w:firstLine="420"/>
                <w:rPr>
                  <w:szCs w:val="21"/>
                </w:rPr>
              </w:pPr>
              <w:r>
                <w:rPr>
                  <w:rFonts w:hint="eastAsia"/>
                  <w:szCs w:val="21"/>
                </w:rPr>
                <w:t>②出售极可能发生，即本公司已经就一项出售计划作出决议且获得确定的购买承诺，预计出售将在一年内完成。有关规定要求本公司相关权力机构或者监管部门批准后方可出售的，已经获得批准。</w:t>
              </w:r>
            </w:p>
            <w:p w14:paraId="24EEA7A1" w14:textId="77777777" w:rsidR="00830E72" w:rsidRDefault="008344D8">
              <w:pPr>
                <w:ind w:firstLineChars="200" w:firstLine="420"/>
                <w:rPr>
                  <w:szCs w:val="21"/>
                </w:rPr>
              </w:pPr>
              <w:r>
                <w:rPr>
                  <w:rFonts w:hint="eastAsia"/>
                  <w:szCs w:val="21"/>
                </w:rPr>
                <w:t>本公司专为转售而取得的非流动资产或处置组，在取得日满足“预计出售将在一年内完成”的规定条件，且短期（通常为</w:t>
              </w:r>
              <w:r>
                <w:rPr>
                  <w:szCs w:val="21"/>
                </w:rPr>
                <w:t xml:space="preserve"> 3 个月）内很可能满足持有待售类别的其他划分条件的，本公司在</w:t>
              </w:r>
              <w:r>
                <w:rPr>
                  <w:rFonts w:hint="eastAsia"/>
                  <w:szCs w:val="21"/>
                </w:rPr>
                <w:t>取得日将其划分为持有待售类别。</w:t>
              </w:r>
            </w:p>
            <w:p w14:paraId="72A1803C" w14:textId="77777777" w:rsidR="00830E72" w:rsidRDefault="008344D8">
              <w:pPr>
                <w:ind w:firstLineChars="200" w:firstLine="420"/>
                <w:rPr>
                  <w:szCs w:val="21"/>
                </w:rPr>
              </w:pPr>
              <w:r>
                <w:rPr>
                  <w:rFonts w:hint="eastAsia"/>
                  <w:szCs w:val="21"/>
                </w:rPr>
                <w:t>本公司因出售对子公司的投资等原因导致其丧失对子公司控制权的，无论出售后本公司是否保留部分权益性投资，在拟出售的对子公司投资满足持有待售类别划分条件时，在母公司个别财务报表中将对子公司投资整体划分为持有待售类别，在合并财务报表中将子公司所有资产和负债划分为持有待售类别。</w:t>
              </w:r>
            </w:p>
            <w:p w14:paraId="38C17934" w14:textId="77777777" w:rsidR="00830E72" w:rsidRDefault="008344D8">
              <w:pPr>
                <w:ind w:firstLineChars="200" w:firstLine="420"/>
                <w:rPr>
                  <w:szCs w:val="21"/>
                </w:rPr>
              </w:pPr>
              <w:r>
                <w:rPr>
                  <w:rFonts w:hint="eastAsia"/>
                  <w:szCs w:val="21"/>
                </w:rPr>
                <w:t>（</w:t>
              </w:r>
              <w:r>
                <w:rPr>
                  <w:szCs w:val="21"/>
                </w:rPr>
                <w:t>2）持有待售的非流动资产或处置组的计量</w:t>
              </w:r>
            </w:p>
            <w:p w14:paraId="7153A005" w14:textId="77777777" w:rsidR="00830E72" w:rsidRDefault="008344D8">
              <w:pPr>
                <w:ind w:firstLineChars="200" w:firstLine="420"/>
                <w:rPr>
                  <w:szCs w:val="21"/>
                </w:rPr>
              </w:pPr>
              <w:r>
                <w:rPr>
                  <w:rFonts w:hint="eastAsia"/>
                  <w:szCs w:val="21"/>
                </w:rPr>
                <w:lastRenderedPageBreak/>
                <w:t>采用公允价值模式进行后续计量的投资性房地产、采用公允价值减去出售费用后的净额计量的生物资产、职工薪酬形成的资产、递延所得税资产、由金融工具相关会计准则规范的金融资产及由保险合同相关会计准则规范的保险合同所产生的权利的计量分别适用于其他相关会计准则。</w:t>
              </w:r>
            </w:p>
            <w:p w14:paraId="302EE1BE" w14:textId="77777777" w:rsidR="00830E72" w:rsidRDefault="008344D8">
              <w:pPr>
                <w:ind w:firstLineChars="200" w:firstLine="420"/>
                <w:rPr>
                  <w:szCs w:val="21"/>
                </w:rPr>
              </w:pPr>
              <w:r>
                <w:rPr>
                  <w:rFonts w:hint="eastAsia"/>
                  <w:szCs w:val="21"/>
                </w:rPr>
                <w:t>初始计量或在资产负债表日重新计量持有待售的非流动资产或处置组时，其账面价值高于公允价值减去出售费用后的净额的，将账面价值减记至公允价值减去出售费用后的净额，减记的金额确认为资产减值损失，计入当期损益，同时计提持有待售资产减值准备。后续资产负债表日持有待售的非流动资产或处置组公允价值减去出售费用后的净额增加的，以前减记的金额予以恢复，并在划分为持有待售类别后确认的资产减值损失金额内转回，转回金额计入当期损益。已抵减的商誉账面价值不得转回。</w:t>
              </w:r>
            </w:p>
            <w:p w14:paraId="11970EAB" w14:textId="77777777" w:rsidR="00830E72" w:rsidRDefault="008344D8">
              <w:pPr>
                <w:ind w:firstLineChars="200" w:firstLine="420"/>
                <w:rPr>
                  <w:szCs w:val="21"/>
                </w:rPr>
              </w:pPr>
              <w:r>
                <w:rPr>
                  <w:rFonts w:hint="eastAsia"/>
                  <w:szCs w:val="21"/>
                </w:rPr>
                <w:t>非流动资产或处置组因不再满足持有待售类别的划分条件而不再继续划分为持有待售类别或非流动资产从持有待售的处置组中移除时，按照以下两者孰低计量：</w:t>
              </w:r>
            </w:p>
            <w:p w14:paraId="6B1A6506" w14:textId="77777777" w:rsidR="00830E72" w:rsidRDefault="008344D8">
              <w:pPr>
                <w:ind w:firstLineChars="200" w:firstLine="420"/>
                <w:rPr>
                  <w:szCs w:val="21"/>
                </w:rPr>
              </w:pPr>
              <w:r>
                <w:rPr>
                  <w:rFonts w:hint="eastAsia"/>
                  <w:szCs w:val="21"/>
                </w:rPr>
                <w:t>①划分为持有待售类别前的账面价值，按照假定不划分为持有待售类别情况下本应确认的折旧、摊销或减值等进行调整后的金额；</w:t>
              </w:r>
            </w:p>
            <w:p w14:paraId="6EA28C24" w14:textId="77777777" w:rsidR="00830E72" w:rsidRDefault="008344D8">
              <w:pPr>
                <w:ind w:firstLineChars="200" w:firstLine="420"/>
                <w:rPr>
                  <w:szCs w:val="21"/>
                </w:rPr>
              </w:pPr>
              <w:r>
                <w:rPr>
                  <w:rFonts w:hint="eastAsia"/>
                  <w:szCs w:val="21"/>
                </w:rPr>
                <w:t>②可收回金额。</w:t>
              </w:r>
            </w:p>
            <w:p w14:paraId="6CE72FBF" w14:textId="77777777" w:rsidR="00830E72" w:rsidRDefault="008344D8">
              <w:pPr>
                <w:ind w:firstLineChars="200" w:firstLine="420"/>
                <w:rPr>
                  <w:szCs w:val="21"/>
                </w:rPr>
              </w:pPr>
              <w:r>
                <w:rPr>
                  <w:rFonts w:hint="eastAsia"/>
                  <w:szCs w:val="21"/>
                </w:rPr>
                <w:t>（</w:t>
              </w:r>
              <w:r>
                <w:rPr>
                  <w:szCs w:val="21"/>
                </w:rPr>
                <w:t>3）列报</w:t>
              </w:r>
            </w:p>
            <w:p w14:paraId="7C1F9729" w14:textId="77777777" w:rsidR="00830E72" w:rsidRDefault="008344D8">
              <w:pPr>
                <w:ind w:firstLineChars="200" w:firstLine="420"/>
                <w:rPr>
                  <w:szCs w:val="21"/>
                </w:rPr>
              </w:pPr>
              <w:r>
                <w:rPr>
                  <w:rFonts w:hint="eastAsia"/>
                  <w:szCs w:val="21"/>
                </w:rPr>
                <w:t>本公司在资产负债表中区别于其他资产单独列示持有待售的非流动资产或持有待售的处置组中的资产，区别于其他负债单独列示持有待售的处置组中的负债。持有待售的非流动资产或持有待售的处置组中的资产与持有待售的处置组中的负债不予相互抵销，分别作为流动资产和流动负债列示。</w:t>
              </w:r>
            </w:p>
          </w:sdtContent>
        </w:sdt>
      </w:sdtContent>
    </w:sdt>
    <w:p w14:paraId="62F70BEF" w14:textId="77777777" w:rsidR="00830E72" w:rsidRDefault="00830E72">
      <w:pPr>
        <w:rPr>
          <w:szCs w:val="21"/>
        </w:rPr>
      </w:pPr>
    </w:p>
    <w:sdt>
      <w:sdtPr>
        <w:rPr>
          <w:rFonts w:ascii="宋体" w:hAnsi="宋体" w:cs="宋体" w:hint="eastAsia"/>
          <w:b w:val="0"/>
          <w:bCs w:val="0"/>
          <w:kern w:val="0"/>
          <w:szCs w:val="21"/>
        </w:rPr>
        <w:alias w:val="模块:债权投资"/>
        <w:tag w:val="_SEC_64972cc74e5349aa855fec98c6609582"/>
        <w:id w:val="-1145663972"/>
        <w:lock w:val="sdtLocked"/>
        <w:placeholder>
          <w:docPart w:val="GBC22222222222222222222222222222"/>
        </w:placeholder>
      </w:sdtPr>
      <w:sdtEndPr>
        <w:rPr>
          <w:rFonts w:hint="default"/>
        </w:rPr>
      </w:sdtEndPr>
      <w:sdtContent>
        <w:p w14:paraId="3A91BC65" w14:textId="77777777" w:rsidR="00830E72" w:rsidRDefault="008344D8">
          <w:pPr>
            <w:pStyle w:val="Style99"/>
            <w:numPr>
              <w:ilvl w:val="0"/>
              <w:numId w:val="35"/>
            </w:numPr>
            <w:rPr>
              <w:rFonts w:ascii="宋体" w:hAnsi="宋体"/>
              <w:szCs w:val="21"/>
            </w:rPr>
          </w:pPr>
          <w:r>
            <w:rPr>
              <w:rFonts w:ascii="宋体" w:hAnsi="宋体" w:hint="eastAsia"/>
              <w:szCs w:val="21"/>
            </w:rPr>
            <w:t>债权投资</w:t>
          </w:r>
        </w:p>
        <w:p w14:paraId="03F5501A" w14:textId="77777777" w:rsidR="00830E72" w:rsidRDefault="008344D8">
          <w:pPr>
            <w:pStyle w:val="Style100"/>
            <w:rPr>
              <w:rFonts w:ascii="宋体" w:hAnsi="宋体"/>
            </w:rPr>
          </w:pPr>
          <w:r>
            <w:rPr>
              <w:rFonts w:ascii="宋体" w:hAnsi="宋体" w:hint="eastAsia"/>
            </w:rPr>
            <w:t>债权投资预期信用损失的确定方法及会计处理方法</w:t>
          </w:r>
        </w:p>
        <w:sdt>
          <w:sdtPr>
            <w:rPr>
              <w:szCs w:val="21"/>
            </w:rPr>
            <w:alias w:val="是否适用：债权投资预期信用损失的确定方法及会计处理方法[双击切换]"/>
            <w:tag w:val="_GBC_acf0a46e8a8248e9a7f548194ba5ca2d"/>
            <w:id w:val="1739509667"/>
            <w:lock w:val="sdtContentLocked"/>
            <w:placeholder>
              <w:docPart w:val="GBC22222222222222222222222222222"/>
            </w:placeholder>
          </w:sdtPr>
          <w:sdtEndPr/>
          <w:sdtContent>
            <w:p w14:paraId="750EAE03"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F36AE9D" w14:textId="77777777" w:rsidR="00830E72" w:rsidRDefault="00D44830">
          <w:pPr>
            <w:rPr>
              <w:rFonts w:cs="Times New Roman"/>
              <w:szCs w:val="21"/>
            </w:rPr>
          </w:pPr>
        </w:p>
      </w:sdtContent>
    </w:sdt>
    <w:bookmarkEnd w:id="76" w:displacedByCustomXml="next"/>
    <w:bookmarkStart w:id="77" w:name="_Hlk10465347" w:displacedByCustomXml="next"/>
    <w:sdt>
      <w:sdtPr>
        <w:rPr>
          <w:rFonts w:ascii="宋体" w:hAnsi="宋体" w:cs="宋体" w:hint="eastAsia"/>
          <w:b w:val="0"/>
          <w:bCs w:val="0"/>
          <w:kern w:val="0"/>
          <w:szCs w:val="21"/>
        </w:rPr>
        <w:alias w:val="模块:其他债权投资"/>
        <w:tag w:val="_SEC_41586dd479b54f07aeed675230b384c8"/>
        <w:id w:val="1777588946"/>
        <w:lock w:val="sdtLocked"/>
        <w:placeholder>
          <w:docPart w:val="GBC22222222222222222222222222222"/>
        </w:placeholder>
      </w:sdtPr>
      <w:sdtEndPr>
        <w:rPr>
          <w:rFonts w:hint="default"/>
        </w:rPr>
      </w:sdtEndPr>
      <w:sdtContent>
        <w:p w14:paraId="7FD58AE2" w14:textId="77777777" w:rsidR="00830E72" w:rsidRDefault="008344D8">
          <w:pPr>
            <w:pStyle w:val="Style99"/>
            <w:numPr>
              <w:ilvl w:val="0"/>
              <w:numId w:val="35"/>
            </w:numPr>
            <w:rPr>
              <w:rFonts w:ascii="宋体" w:hAnsi="宋体"/>
              <w:szCs w:val="21"/>
            </w:rPr>
          </w:pPr>
          <w:r>
            <w:rPr>
              <w:rFonts w:ascii="宋体" w:hAnsi="宋体" w:hint="eastAsia"/>
              <w:szCs w:val="21"/>
            </w:rPr>
            <w:t>其他债权投资</w:t>
          </w:r>
        </w:p>
        <w:p w14:paraId="3E3DF5BD" w14:textId="77777777" w:rsidR="00830E72" w:rsidRDefault="008344D8">
          <w:pPr>
            <w:pStyle w:val="Style100"/>
            <w:rPr>
              <w:rFonts w:ascii="宋体" w:hAnsi="宋体"/>
            </w:rPr>
          </w:pPr>
          <w:r>
            <w:rPr>
              <w:rFonts w:ascii="宋体" w:hAnsi="宋体" w:hint="eastAsia"/>
            </w:rPr>
            <w:t>其他债权投资</w:t>
          </w:r>
          <w:r>
            <w:rPr>
              <w:rFonts w:ascii="宋体" w:hAnsi="宋体"/>
            </w:rP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c8b7f631f3734e4e873d374c0e3e2936"/>
            <w:id w:val="-2097698179"/>
            <w:lock w:val="sdtContentLocked"/>
            <w:placeholder>
              <w:docPart w:val="GBC22222222222222222222222222222"/>
            </w:placeholder>
          </w:sdtPr>
          <w:sdtEndPr/>
          <w:sdtContent>
            <w:p w14:paraId="6A093464" w14:textId="77777777" w:rsidR="00830E72" w:rsidRDefault="008344D8">
              <w:pPr>
                <w:rPr>
                  <w:rFonts w:cs="Times New Roman"/>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E2BCD45" w14:textId="77777777" w:rsidR="00830E72" w:rsidRDefault="00D44830">
          <w:pPr>
            <w:rPr>
              <w:rFonts w:cs="Times New Roman"/>
              <w:szCs w:val="21"/>
            </w:rPr>
          </w:pPr>
        </w:p>
      </w:sdtContent>
    </w:sdt>
    <w:bookmarkEnd w:id="77" w:displacedByCustomXml="next"/>
    <w:bookmarkStart w:id="78" w:name="_Hlk10465393" w:displacedByCustomXml="next"/>
    <w:sdt>
      <w:sdtPr>
        <w:rPr>
          <w:rFonts w:ascii="宋体" w:hAnsi="宋体" w:cs="宋体" w:hint="eastAsia"/>
          <w:b w:val="0"/>
          <w:bCs w:val="0"/>
          <w:kern w:val="0"/>
          <w:szCs w:val="21"/>
        </w:rPr>
        <w:alias w:val="模块:长期应收款"/>
        <w:tag w:val="_SEC_ef0b5e87e2254c638e2a6672bcd1eac8"/>
        <w:id w:val="-228537731"/>
        <w:lock w:val="sdtLocked"/>
        <w:placeholder>
          <w:docPart w:val="GBC22222222222222222222222222222"/>
        </w:placeholder>
      </w:sdtPr>
      <w:sdtEndPr/>
      <w:sdtContent>
        <w:p w14:paraId="716ED450" w14:textId="77777777" w:rsidR="00830E72" w:rsidRDefault="008344D8">
          <w:pPr>
            <w:pStyle w:val="Style99"/>
            <w:numPr>
              <w:ilvl w:val="0"/>
              <w:numId w:val="35"/>
            </w:numPr>
            <w:rPr>
              <w:rFonts w:ascii="宋体" w:hAnsi="宋体"/>
              <w:szCs w:val="21"/>
            </w:rPr>
          </w:pPr>
          <w:r>
            <w:rPr>
              <w:rFonts w:ascii="宋体" w:hAnsi="宋体" w:hint="eastAsia"/>
              <w:szCs w:val="21"/>
            </w:rPr>
            <w:t>长期应收款</w:t>
          </w:r>
        </w:p>
        <w:p w14:paraId="43D3F1D4" w14:textId="77777777" w:rsidR="00830E72" w:rsidRDefault="008344D8">
          <w:pPr>
            <w:pStyle w:val="Style100"/>
            <w:rPr>
              <w:rFonts w:ascii="宋体" w:hAnsi="宋体"/>
            </w:rPr>
          </w:pPr>
          <w:r>
            <w:rPr>
              <w:rFonts w:ascii="宋体" w:hAnsi="宋体" w:hint="eastAsia"/>
            </w:rPr>
            <w:t>长期应收款</w:t>
          </w:r>
          <w:r>
            <w:rPr>
              <w:rFonts w:ascii="宋体" w:hAnsi="宋体"/>
            </w:rPr>
            <w:t>预期信用损失的确定方法</w:t>
          </w:r>
          <w:r>
            <w:rPr>
              <w:rFonts w:ascii="宋体" w:hAnsi="宋体" w:cs="Calibri"/>
              <w:szCs w:val="21"/>
            </w:rPr>
            <w:t>及会计处理方法</w:t>
          </w:r>
        </w:p>
        <w:sdt>
          <w:sdtPr>
            <w:alias w:val="是否适用：长期应收款预期信用损失的确定方法及会计处理方法[双击切换]"/>
            <w:tag w:val="_GBC_9cf76ec2aae6484cbb983cf468a375bc"/>
            <w:id w:val="-1932658227"/>
            <w:lock w:val="sdtContentLocked"/>
            <w:placeholder>
              <w:docPart w:val="GBC22222222222222222222222222222"/>
            </w:placeholder>
          </w:sdtPr>
          <w:sdtEndPr/>
          <w:sdtContent>
            <w:p w14:paraId="34F13A18"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54E69A9" w14:textId="599E3ABA" w:rsidR="00830E72" w:rsidRDefault="00D44830">
          <w:sdt>
            <w:sdtPr>
              <w:alias w:val="长期应收款预期信用损失的确定方法及会计处理方法"/>
              <w:tag w:val="_GBC_9325ee65dfbd4ae48e56465d290e3a50"/>
              <w:id w:val="-2138019444"/>
              <w:lock w:val="sdtLocked"/>
              <w:placeholder>
                <w:docPart w:val="GBC22222222222222222222222222222"/>
              </w:placeholder>
            </w:sdtPr>
            <w:sdtEndPr/>
            <w:sdtContent>
              <w:r w:rsidR="008344D8">
                <w:rPr>
                  <w:rFonts w:hint="eastAsia"/>
                </w:rPr>
                <w:t>详见“第</w:t>
              </w:r>
              <w:r w:rsidR="008344D8">
                <w:rPr>
                  <w:rFonts w:hint="eastAsia"/>
                  <w:szCs w:val="21"/>
                </w:rPr>
                <w:t>十</w:t>
              </w:r>
              <w:r w:rsidR="008344D8">
                <w:rPr>
                  <w:rFonts w:hint="eastAsia"/>
                </w:rPr>
                <w:t>节财务报告”之“五、重要会计政策及会计估计”之“</w:t>
              </w:r>
              <w:r w:rsidR="008344D8">
                <w:t>10、金融工具”</w:t>
              </w:r>
            </w:sdtContent>
          </w:sdt>
        </w:p>
        <w:p w14:paraId="4C38420C" w14:textId="77777777" w:rsidR="00830E72" w:rsidRDefault="00D44830">
          <w:pPr>
            <w:rPr>
              <w:rFonts w:cs="Times New Roman"/>
              <w:szCs w:val="21"/>
            </w:rPr>
          </w:pPr>
        </w:p>
      </w:sdtContent>
    </w:sdt>
    <w:bookmarkEnd w:id="78" w:displacedByCustomXml="next"/>
    <w:sdt>
      <w:sdtPr>
        <w:rPr>
          <w:rFonts w:ascii="宋体" w:hAnsi="宋体" w:cstheme="minorBidi"/>
          <w:b w:val="0"/>
          <w:bCs w:val="0"/>
          <w:kern w:val="0"/>
          <w:szCs w:val="22"/>
        </w:rPr>
        <w:alias w:val="模块:长期股权投资"/>
        <w:tag w:val="_GBC_d82c12cf13554acd90dfb7880244798c"/>
        <w:id w:val="1734655592"/>
        <w:lock w:val="sdtLocked"/>
        <w:placeholder>
          <w:docPart w:val="GBC22222222222222222222222222222"/>
        </w:placeholder>
      </w:sdtPr>
      <w:sdtEndPr>
        <w:rPr>
          <w:rFonts w:cs="Times New Roman"/>
          <w:szCs w:val="21"/>
        </w:rPr>
      </w:sdtEndPr>
      <w:sdtContent>
        <w:p w14:paraId="254AB568" w14:textId="77777777" w:rsidR="00830E72" w:rsidRDefault="008344D8">
          <w:pPr>
            <w:pStyle w:val="Style99"/>
            <w:numPr>
              <w:ilvl w:val="0"/>
              <w:numId w:val="35"/>
            </w:numPr>
            <w:rPr>
              <w:rFonts w:ascii="宋体" w:hAnsi="宋体"/>
            </w:rPr>
          </w:pPr>
          <w:r>
            <w:rPr>
              <w:rFonts w:ascii="宋体" w:hAnsi="宋体"/>
            </w:rPr>
            <w:t>长期股权投资</w:t>
          </w:r>
        </w:p>
        <w:sdt>
          <w:sdtPr>
            <w:alias w:val="是否适用：长期股权投资_重要会计政策和估计[双击切换]"/>
            <w:tag w:val="_GBC_a2b657853ac547afaaad118dec96d0e1"/>
            <w:id w:val="-1164781201"/>
            <w:lock w:val="sdtContentLocked"/>
            <w:placeholder>
              <w:docPart w:val="GBC22222222222222222222222222222"/>
            </w:placeholder>
          </w:sdtPr>
          <w:sdtEndPr/>
          <w:sdtContent>
            <w:p w14:paraId="3E1E119A"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长期股权投资的核算方法"/>
            <w:tag w:val="_GBC_3e77074cd50946b1bccdff9bc1c9556f"/>
            <w:id w:val="2017885671"/>
            <w:lock w:val="sdtLocked"/>
            <w:placeholder>
              <w:docPart w:val="GBC22222222222222222222222222222"/>
            </w:placeholder>
          </w:sdtPr>
          <w:sdtEndPr/>
          <w:sdtContent>
            <w:p w14:paraId="22960AFA" w14:textId="77777777" w:rsidR="00830E72" w:rsidRDefault="008344D8">
              <w:pPr>
                <w:ind w:firstLineChars="200" w:firstLine="420"/>
                <w:rPr>
                  <w:szCs w:val="21"/>
                </w:rPr>
              </w:pPr>
              <w:r>
                <w:rPr>
                  <w:rFonts w:hint="eastAsia"/>
                  <w:szCs w:val="21"/>
                </w:rPr>
                <w:t>本公司长期股权投资包括对被投资单位实施控制、重大影响的权益性投资，以及对合营企业</w:t>
              </w:r>
            </w:p>
            <w:p w14:paraId="712FDDFA" w14:textId="77777777" w:rsidR="00830E72" w:rsidRDefault="008344D8">
              <w:pPr>
                <w:rPr>
                  <w:szCs w:val="21"/>
                </w:rPr>
              </w:pPr>
              <w:r>
                <w:rPr>
                  <w:rFonts w:hint="eastAsia"/>
                  <w:szCs w:val="21"/>
                </w:rPr>
                <w:t>的权益性投资。本公司能够对被投资单位施加重大影响的，为本公司的联营企业。</w:t>
              </w:r>
            </w:p>
            <w:p w14:paraId="5463B2C2" w14:textId="77777777" w:rsidR="00830E72" w:rsidRDefault="008344D8">
              <w:pPr>
                <w:ind w:firstLineChars="200" w:firstLine="420"/>
                <w:rPr>
                  <w:szCs w:val="21"/>
                </w:rPr>
              </w:pPr>
              <w:r>
                <w:rPr>
                  <w:rFonts w:hint="eastAsia"/>
                  <w:szCs w:val="21"/>
                </w:rPr>
                <w:t>（</w:t>
              </w:r>
              <w:r>
                <w:rPr>
                  <w:szCs w:val="21"/>
                </w:rPr>
                <w:t>1）确定对被投资单位具有共同控制、重大影响的依据</w:t>
              </w:r>
            </w:p>
            <w:p w14:paraId="0FCDAEE5" w14:textId="77777777" w:rsidR="00830E72" w:rsidRDefault="008344D8">
              <w:pPr>
                <w:ind w:firstLineChars="200" w:firstLine="420"/>
                <w:rPr>
                  <w:szCs w:val="21"/>
                </w:rPr>
              </w:pPr>
              <w:r>
                <w:rPr>
                  <w:rFonts w:hint="eastAsia"/>
                  <w:szCs w:val="21"/>
                </w:rPr>
                <w:t>共同控制，是指按照相关约定对某项安排所共有的控制，并且该安排的相关活动必须经过分享控制权的参与方一致同意后才能决策。在判断是否存在共同控制时，首先判断所有参与方或参</w:t>
              </w:r>
            </w:p>
            <w:p w14:paraId="60BB48AD" w14:textId="77777777" w:rsidR="00830E72" w:rsidRDefault="008344D8">
              <w:pPr>
                <w:rPr>
                  <w:szCs w:val="21"/>
                </w:rPr>
              </w:pPr>
              <w:r>
                <w:rPr>
                  <w:rFonts w:hint="eastAsia"/>
                  <w:szCs w:val="21"/>
                </w:rPr>
                <w:t>与方组合是否集体控制该安排，如果所有参与方或一组参与方必须一致行动才能决定某项安排的</w:t>
              </w:r>
            </w:p>
            <w:p w14:paraId="0BE00B9D" w14:textId="77777777" w:rsidR="00830E72" w:rsidRDefault="008344D8">
              <w:pPr>
                <w:rPr>
                  <w:szCs w:val="21"/>
                </w:rPr>
              </w:pPr>
              <w:r>
                <w:rPr>
                  <w:rFonts w:hint="eastAsia"/>
                  <w:szCs w:val="21"/>
                </w:rPr>
                <w:t>相关活动，则认为所有参与方或一组参与方集体控制该安排。其次再判断该安排相关活动的决策</w:t>
              </w:r>
            </w:p>
            <w:p w14:paraId="2D2A35B1" w14:textId="77777777" w:rsidR="00830E72" w:rsidRDefault="008344D8">
              <w:pPr>
                <w:rPr>
                  <w:szCs w:val="21"/>
                </w:rPr>
              </w:pPr>
              <w:r>
                <w:rPr>
                  <w:rFonts w:hint="eastAsia"/>
                  <w:szCs w:val="21"/>
                </w:rPr>
                <w:t>是否必须经过这些集体控制该安排的参与方一致同意。如果存在两个或两个以上的参与方组合能</w:t>
              </w:r>
            </w:p>
            <w:p w14:paraId="475A8EDB" w14:textId="77777777" w:rsidR="00830E72" w:rsidRDefault="008344D8">
              <w:pPr>
                <w:rPr>
                  <w:szCs w:val="21"/>
                </w:rPr>
              </w:pPr>
              <w:r>
                <w:rPr>
                  <w:rFonts w:hint="eastAsia"/>
                  <w:szCs w:val="21"/>
                </w:rPr>
                <w:t>够集体控制某项安排的，不构成共同控制。判断是否存在共同控制时，不考虑享有的保护性权利。</w:t>
              </w:r>
            </w:p>
            <w:p w14:paraId="7827534D" w14:textId="77777777" w:rsidR="00830E72" w:rsidRDefault="008344D8">
              <w:pPr>
                <w:ind w:firstLineChars="200" w:firstLine="420"/>
                <w:rPr>
                  <w:szCs w:val="21"/>
                </w:rPr>
              </w:pPr>
              <w:r>
                <w:rPr>
                  <w:rFonts w:hint="eastAsia"/>
                  <w:szCs w:val="21"/>
                </w:rPr>
                <w:t>重大影响，是指投资方对被投资单位的财务和经营政策有参与决策的权力，但并不能够控制或者与其他方一起共同控制这些政策的制定。在确定能否对被投资单位施加重大影响时，考虑投资方直接或间接持有被投资单位的表决权股份以及投资方及其他方持有的当期可执行潜在表决权在假定转换为对被投资方单位的股权后产生的影响，包括被投资单位发行的当期可转换的认股权</w:t>
              </w:r>
              <w:r>
                <w:rPr>
                  <w:rFonts w:hint="eastAsia"/>
                  <w:szCs w:val="21"/>
                </w:rPr>
                <w:lastRenderedPageBreak/>
                <w:t>证、股份期权及可转换公司债券等的影响。当本公司直接或通过子公司间接拥有被投资单位</w:t>
              </w:r>
              <w:r>
                <w:rPr>
                  <w:szCs w:val="21"/>
                </w:rPr>
                <w:t xml:space="preserve"> 20%（含 20%）以上但低于 50%的表决权股</w:t>
              </w:r>
              <w:r>
                <w:rPr>
                  <w:rFonts w:hint="eastAsia"/>
                  <w:szCs w:val="21"/>
                </w:rPr>
                <w:t>份时，一般认为对被投资单位具有重大影响，除非有明确证据表明该种情况下不能参与被投资单位的生产经营决策，不形成重大影响。</w:t>
              </w:r>
            </w:p>
            <w:p w14:paraId="17B3B8D2" w14:textId="77777777" w:rsidR="00830E72" w:rsidRDefault="008344D8">
              <w:pPr>
                <w:ind w:firstLineChars="200" w:firstLine="420"/>
                <w:rPr>
                  <w:szCs w:val="21"/>
                </w:rPr>
              </w:pPr>
              <w:r>
                <w:rPr>
                  <w:rFonts w:hint="eastAsia"/>
                  <w:szCs w:val="21"/>
                </w:rPr>
                <w:t>（</w:t>
              </w:r>
              <w:r>
                <w:rPr>
                  <w:szCs w:val="21"/>
                </w:rPr>
                <w:t>2）初始投资成本确定</w:t>
              </w:r>
            </w:p>
            <w:p w14:paraId="64C60FE7" w14:textId="77777777" w:rsidR="00830E72" w:rsidRDefault="008344D8">
              <w:pPr>
                <w:ind w:firstLineChars="200" w:firstLine="420"/>
                <w:rPr>
                  <w:szCs w:val="21"/>
                </w:rPr>
              </w:pPr>
              <w:r>
                <w:rPr>
                  <w:rFonts w:hint="eastAsia"/>
                  <w:szCs w:val="21"/>
                </w:rPr>
                <w:t>①</w:t>
              </w:r>
              <w:r>
                <w:rPr>
                  <w:szCs w:val="21"/>
                </w:rPr>
                <w:t xml:space="preserve"> 企业合并形成的长期股权投资，按照下列规定确定其投资成本：</w:t>
              </w:r>
            </w:p>
            <w:p w14:paraId="1D5CF2ED" w14:textId="77777777" w:rsidR="00830E72" w:rsidRDefault="008344D8">
              <w:pPr>
                <w:ind w:firstLineChars="200" w:firstLine="420"/>
                <w:rPr>
                  <w:szCs w:val="21"/>
                </w:rPr>
              </w:pPr>
              <w:r>
                <w:rPr>
                  <w:szCs w:val="21"/>
                </w:rPr>
                <w:t>A. 同一控制下的企业合并，合并方以支付现金、转让非现金资产或承担债务方式作为合并</w:t>
              </w:r>
              <w:r>
                <w:rPr>
                  <w:rFonts w:hint="eastAsia"/>
                  <w:szCs w:val="21"/>
                </w:rPr>
                <w:t>对价的，在合并日按照被合并方所有者权益在最终控制方合并财务报表中的账面价值的份额作为长期股权投资的初始投资成本。长期股权投资初始投资成本与支付的现金、转让的非现金资产以及所承担债务账面价值之间的差额，调整资本公积；资本公积不足冲减的，调整留存收益；</w:t>
              </w:r>
            </w:p>
            <w:p w14:paraId="11E0380E" w14:textId="77777777" w:rsidR="00830E72" w:rsidRDefault="008344D8">
              <w:pPr>
                <w:ind w:firstLineChars="200" w:firstLine="420"/>
                <w:rPr>
                  <w:szCs w:val="21"/>
                </w:rPr>
              </w:pPr>
              <w:r>
                <w:rPr>
                  <w:szCs w:val="21"/>
                </w:rPr>
                <w:t>B. 同一控制下的企业合并，合并方以发行权益性证券作为合并对价的，在合并日按照被合</w:t>
              </w:r>
              <w:r>
                <w:rPr>
                  <w:rFonts w:hint="eastAsia"/>
                  <w:szCs w:val="21"/>
                </w:rPr>
                <w:t>并方所有者权益在最终控制方合并财务报表中的账面价值的份额作为长期股权投资的初始投资成本。按照发行股份的面值总额作为股本，长期股权投资初始投资成本与所发行股份面值总额之间的差额，调整资本公积；资本公积不足冲减的，调整留存收益；</w:t>
              </w:r>
            </w:p>
            <w:p w14:paraId="61D32F46" w14:textId="77777777" w:rsidR="00830E72" w:rsidRDefault="008344D8">
              <w:pPr>
                <w:ind w:firstLineChars="200" w:firstLine="420"/>
                <w:rPr>
                  <w:szCs w:val="21"/>
                </w:rPr>
              </w:pPr>
              <w:r>
                <w:rPr>
                  <w:szCs w:val="21"/>
                </w:rPr>
                <w:t>C. 非同一控制下的企业合并，以购买日为取得对被购买方的控制权而付出的资产、发生或</w:t>
              </w:r>
              <w:r>
                <w:rPr>
                  <w:rFonts w:hint="eastAsia"/>
                  <w:szCs w:val="21"/>
                </w:rPr>
                <w:t>承担的负债以及发行的权益性证券的公允价值确定为合并成本作为长期股权投资的初始投资成本。合并方为企业合并发生的审计、法律服务、评估咨询等中介费用以及其他相关管理费用，于发生时计入当期损益。</w:t>
              </w:r>
            </w:p>
            <w:p w14:paraId="7DC9877D" w14:textId="77777777" w:rsidR="00830E72" w:rsidRDefault="008344D8">
              <w:pPr>
                <w:ind w:firstLineChars="200" w:firstLine="420"/>
                <w:rPr>
                  <w:szCs w:val="21"/>
                </w:rPr>
              </w:pPr>
              <w:r>
                <w:rPr>
                  <w:rFonts w:hint="eastAsia"/>
                  <w:szCs w:val="21"/>
                </w:rPr>
                <w:t>②</w:t>
              </w:r>
              <w:r>
                <w:rPr>
                  <w:szCs w:val="21"/>
                </w:rPr>
                <w:t xml:space="preserve"> 除企业合并形成的长期股权投资以外，其他方式取得的长期股权投资，按照下列规定确</w:t>
              </w:r>
              <w:r>
                <w:rPr>
                  <w:rFonts w:hint="eastAsia"/>
                  <w:szCs w:val="21"/>
                </w:rPr>
                <w:t>定其投资成本：</w:t>
              </w:r>
            </w:p>
            <w:p w14:paraId="375FB84D" w14:textId="77777777" w:rsidR="00830E72" w:rsidRDefault="008344D8">
              <w:pPr>
                <w:ind w:firstLineChars="200" w:firstLine="420"/>
                <w:rPr>
                  <w:szCs w:val="21"/>
                </w:rPr>
              </w:pPr>
              <w:r>
                <w:rPr>
                  <w:szCs w:val="21"/>
                </w:rPr>
                <w:t>A. 以支付现金取得的长期股权投资，按照实际支付的购买价款作为投资成本。初始投资成</w:t>
              </w:r>
              <w:r>
                <w:rPr>
                  <w:rFonts w:hint="eastAsia"/>
                  <w:szCs w:val="21"/>
                </w:rPr>
                <w:t>本包括与取得长期股权投资直接相关的费用、税金及其他必要支出；</w:t>
              </w:r>
            </w:p>
            <w:p w14:paraId="6E2E3F68" w14:textId="77777777" w:rsidR="00830E72" w:rsidRDefault="008344D8">
              <w:pPr>
                <w:ind w:firstLineChars="200" w:firstLine="420"/>
                <w:rPr>
                  <w:szCs w:val="21"/>
                </w:rPr>
              </w:pPr>
              <w:r>
                <w:rPr>
                  <w:szCs w:val="21"/>
                </w:rPr>
                <w:t>B. 以发行权益性证券取得的长期股权投资，按照发行权益性证券的公允价值作为初始投资</w:t>
              </w:r>
              <w:r>
                <w:rPr>
                  <w:rFonts w:hint="eastAsia"/>
                  <w:szCs w:val="21"/>
                </w:rPr>
                <w:t>成本；</w:t>
              </w:r>
            </w:p>
            <w:p w14:paraId="7F436606" w14:textId="77777777" w:rsidR="00830E72" w:rsidRDefault="008344D8">
              <w:pPr>
                <w:ind w:firstLineChars="200" w:firstLine="420"/>
                <w:rPr>
                  <w:szCs w:val="21"/>
                </w:rPr>
              </w:pPr>
              <w:r>
                <w:rPr>
                  <w:szCs w:val="21"/>
                </w:rPr>
                <w:t>C. 通过非货币性资产交换取得的长期股权投资，如果该项交换具有商业实质且换入资产或</w:t>
              </w:r>
              <w:r>
                <w:rPr>
                  <w:rFonts w:hint="eastAsia"/>
                  <w:szCs w:val="21"/>
                </w:rPr>
                <w:t>换出资产的公允价值能可靠计量，则以换出资产的公允价值和相关税费作为初始投资成本，换出资产的公允价值与账面价值之间的差额计入当期损益；若非货币资产交换不同时具备上述两个条件，则按换出资产的账面价值和相关税费作为初始投资成本。</w:t>
              </w:r>
            </w:p>
            <w:p w14:paraId="57ADEE16" w14:textId="77777777" w:rsidR="00830E72" w:rsidRDefault="008344D8">
              <w:pPr>
                <w:ind w:firstLineChars="200" w:firstLine="420"/>
                <w:rPr>
                  <w:szCs w:val="21"/>
                </w:rPr>
              </w:pPr>
              <w:r>
                <w:rPr>
                  <w:szCs w:val="21"/>
                </w:rPr>
                <w:t>D. 通过债务重组取得的长期股权投资，以所放弃债权的公允价值和可直接归属于该资产的</w:t>
              </w:r>
              <w:r>
                <w:rPr>
                  <w:rFonts w:hint="eastAsia"/>
                  <w:szCs w:val="21"/>
                </w:rPr>
                <w:t>税金等其他成本确定其入账价值，并将所放弃债权的公允价值与账面价值之间的差额，计入当期损益。</w:t>
              </w:r>
            </w:p>
            <w:p w14:paraId="4693B036" w14:textId="77777777" w:rsidR="00830E72" w:rsidRDefault="008344D8">
              <w:pPr>
                <w:ind w:firstLineChars="200" w:firstLine="420"/>
                <w:rPr>
                  <w:szCs w:val="21"/>
                </w:rPr>
              </w:pPr>
              <w:r>
                <w:rPr>
                  <w:rFonts w:hint="eastAsia"/>
                  <w:szCs w:val="21"/>
                </w:rPr>
                <w:t>（</w:t>
              </w:r>
              <w:r>
                <w:rPr>
                  <w:szCs w:val="21"/>
                </w:rPr>
                <w:t>3）后续计量及损益确认方法</w:t>
              </w:r>
            </w:p>
            <w:p w14:paraId="2ADBE8E0" w14:textId="77777777" w:rsidR="00830E72" w:rsidRDefault="008344D8">
              <w:pPr>
                <w:ind w:firstLineChars="200" w:firstLine="420"/>
                <w:rPr>
                  <w:szCs w:val="21"/>
                </w:rPr>
              </w:pPr>
              <w:r>
                <w:rPr>
                  <w:rFonts w:hint="eastAsia"/>
                  <w:szCs w:val="21"/>
                </w:rPr>
                <w:t>本公司能够对被投资单位实施控制的长期股权投资采用成本法核算；对联营企业和合营企业的长期股权投资采用权益法核算。</w:t>
              </w:r>
            </w:p>
            <w:p w14:paraId="5181AA5F" w14:textId="77777777" w:rsidR="00830E72" w:rsidRDefault="008344D8">
              <w:pPr>
                <w:ind w:firstLineChars="200" w:firstLine="420"/>
                <w:rPr>
                  <w:szCs w:val="21"/>
                </w:rPr>
              </w:pPr>
              <w:r>
                <w:rPr>
                  <w:rFonts w:hint="eastAsia"/>
                  <w:szCs w:val="21"/>
                </w:rPr>
                <w:t>①成本法</w:t>
              </w:r>
            </w:p>
            <w:p w14:paraId="7671E5E9" w14:textId="77777777" w:rsidR="00830E72" w:rsidRDefault="008344D8">
              <w:pPr>
                <w:ind w:firstLineChars="200" w:firstLine="420"/>
                <w:rPr>
                  <w:szCs w:val="21"/>
                </w:rPr>
              </w:pPr>
              <w:r>
                <w:rPr>
                  <w:rFonts w:hint="eastAsia"/>
                  <w:szCs w:val="21"/>
                </w:rPr>
                <w:t>采用成本法核算的长期股权投资，追加或收回投资时调整长期股权投资的成本；被投资单位宣告分派的现金股利或利润，确认为当期投资收益。</w:t>
              </w:r>
            </w:p>
            <w:p w14:paraId="0A8E0EF6" w14:textId="77777777" w:rsidR="00830E72" w:rsidRDefault="008344D8">
              <w:pPr>
                <w:ind w:firstLineChars="200" w:firstLine="420"/>
                <w:rPr>
                  <w:szCs w:val="21"/>
                </w:rPr>
              </w:pPr>
              <w:r>
                <w:rPr>
                  <w:rFonts w:hint="eastAsia"/>
                  <w:szCs w:val="21"/>
                </w:rPr>
                <w:t>②权益法</w:t>
              </w:r>
            </w:p>
            <w:p w14:paraId="06E0BBD4" w14:textId="77777777" w:rsidR="00830E72" w:rsidRDefault="008344D8">
              <w:pPr>
                <w:ind w:firstLineChars="200" w:firstLine="420"/>
                <w:rPr>
                  <w:szCs w:val="21"/>
                </w:rPr>
              </w:pPr>
              <w:r>
                <w:rPr>
                  <w:rFonts w:hint="eastAsia"/>
                  <w:szCs w:val="21"/>
                </w:rPr>
                <w:t>按照权益法核算的长期股权投资，一般会计处理为：本公司长期股权投资的投资成本大于投资时应享有被投资单位可辨认净资产公允价值份额的，不调整长期股权投资的初始投资成本；长期股权投资的初始投资成本小于投资时应享有被投资单位可辨认净资产公允价值份额的，其差额计入当期损益，同时调整长期股权投资的成本。本公司按照应享有或应分担的被投资单位实现的净损益和其他综合收益的份额，分别确认投资收益和其他综合收益，同时调整长期股权投资的账面价值；本公司按照被投资单位宣告分派的利润或现金股利计算应享有的部分，相应减少长期股权投资的账面价值；被投资单位除净损益、其他综合收益和利润分配以外所有者权益的其他变动，调整长期股权投资的账面价值并计入所有者权益。在确认应享有被投资单位净损益的份额时，以取得投资时被投资单位可辨认净资产的公允价值为基础，对被投资单位的净利润进行调整后确认。被投资单位采用的会计政策及会计期间与本公司不一致的，应按照本公司的会计政策及会计期间对被投资单位的财务报表进行调整，并据以确认投资收益和其他综合收益等。本公司与联营企业及合营企业之间发生的未实现内部交易损益按照享有的比例计算归属于本公司的部分予以抵销，在此基础上确认投资损益。本公司与被投资单位发生的未实现内部交易损失属于资产减值损失的，</w:t>
              </w:r>
              <w:r>
                <w:rPr>
                  <w:rFonts w:hint="eastAsia"/>
                  <w:szCs w:val="21"/>
                </w:rPr>
                <w:lastRenderedPageBreak/>
                <w:t>应全额确认。因追加投资等原因能够对被投资单位施加重大影响或实施共同控制但不构成控制的，按照原持有的股权投资的公允价值加上新增投资成本之和，作为改按权益法核算的初始投资成本。原持有的股权投资分类为可供出售金融资产的，其公允价值与账面价值之间的差额，以及原计入其他综合收益的累计公允价值变动应当转入改按权益法核算的当期损益。因处置部分股权投资等原因丧失了对被投资单位的共同控制或重大影响的，处置后的剩余股权改按公允价值计量，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w:t>
              </w:r>
            </w:p>
            <w:p w14:paraId="769259ED" w14:textId="77777777" w:rsidR="00830E72" w:rsidRDefault="008344D8">
              <w:pPr>
                <w:ind w:firstLineChars="200" w:firstLine="420"/>
                <w:rPr>
                  <w:szCs w:val="21"/>
                </w:rPr>
              </w:pPr>
              <w:r>
                <w:rPr>
                  <w:rFonts w:hint="eastAsia"/>
                  <w:szCs w:val="21"/>
                </w:rPr>
                <w:t>（</w:t>
              </w:r>
              <w:r>
                <w:rPr>
                  <w:szCs w:val="21"/>
                </w:rPr>
                <w:t>4）持有待售的权益性投资</w:t>
              </w:r>
            </w:p>
            <w:p w14:paraId="6790D5DA" w14:textId="77777777" w:rsidR="00830E72" w:rsidRDefault="008344D8">
              <w:pPr>
                <w:ind w:firstLineChars="200" w:firstLine="420"/>
                <w:rPr>
                  <w:szCs w:val="21"/>
                </w:rPr>
              </w:pPr>
              <w:r>
                <w:rPr>
                  <w:rFonts w:hint="eastAsia"/>
                  <w:szCs w:val="21"/>
                </w:rPr>
                <w:t>对联营企业或合营企业的权益性投资全部或部分分类为持有待售资产的，相关会计处理见详见“本节五、重要会计政策及会计估计</w:t>
              </w:r>
              <w:r>
                <w:rPr>
                  <w:szCs w:val="21"/>
                </w:rPr>
                <w:t xml:space="preserve"> 17”</w:t>
              </w:r>
              <w:r>
                <w:rPr>
                  <w:rFonts w:hint="eastAsia"/>
                  <w:szCs w:val="21"/>
                </w:rPr>
                <w:t>。对于未划分为持有待售资产的剩余权益性投资，采用权益法进行会计处理。已划分为持有待售的对联营企业或合营企业的权益性投资，不再符合持有待售资产分类条件的，从被分类为持有待售资产之日起采用权益法进行追溯调整。分类为持有待售期间的财务报表做相应调整。</w:t>
              </w:r>
            </w:p>
          </w:sdtContent>
        </w:sdt>
      </w:sdtContent>
    </w:sdt>
    <w:p w14:paraId="3A68F6AB" w14:textId="77777777" w:rsidR="00830E72" w:rsidRDefault="00830E72">
      <w:pPr>
        <w:rPr>
          <w:szCs w:val="21"/>
        </w:rPr>
      </w:pPr>
    </w:p>
    <w:p w14:paraId="67CBDC3B" w14:textId="77777777" w:rsidR="00830E72" w:rsidRDefault="008344D8">
      <w:pPr>
        <w:pStyle w:val="Style99"/>
        <w:numPr>
          <w:ilvl w:val="0"/>
          <w:numId w:val="35"/>
        </w:numPr>
        <w:rPr>
          <w:rFonts w:ascii="宋体" w:hAnsi="宋体"/>
        </w:rPr>
      </w:pPr>
      <w:r>
        <w:rPr>
          <w:rFonts w:ascii="宋体" w:hAnsi="宋体"/>
        </w:rPr>
        <w:t>投资性房地产</w:t>
      </w:r>
    </w:p>
    <w:sdt>
      <w:sdtPr>
        <w:rPr>
          <w:rFonts w:ascii="宋体" w:hAnsi="宋体" w:cs="宋体" w:hint="eastAsia"/>
          <w:b w:val="0"/>
          <w:bCs w:val="0"/>
          <w:kern w:val="0"/>
          <w:szCs w:val="24"/>
        </w:rPr>
        <w:alias w:val="选项模块:成本计量模式"/>
        <w:tag w:val="_GBC_20b1c487c1e348188269523d7d980194"/>
        <w:id w:val="-1161309349"/>
        <w:lock w:val="sdtLocked"/>
        <w:placeholder>
          <w:docPart w:val="GBC22222222222222222222222222222"/>
        </w:placeholder>
      </w:sdtPr>
      <w:sdtEndPr>
        <w:rPr>
          <w:szCs w:val="21"/>
        </w:rPr>
      </w:sdtEndPr>
      <w:sdtContent>
        <w:p w14:paraId="12CCA2AC" w14:textId="77777777" w:rsidR="00830E72" w:rsidRDefault="008344D8">
          <w:pPr>
            <w:pStyle w:val="Style100"/>
            <w:numPr>
              <w:ilvl w:val="0"/>
              <w:numId w:val="37"/>
            </w:numPr>
            <w:rPr>
              <w:rFonts w:ascii="宋体" w:hAnsi="宋体"/>
            </w:rPr>
          </w:pPr>
          <w:r>
            <w:rPr>
              <w:rFonts w:ascii="宋体" w:hAnsi="宋体" w:cs="宋体" w:hint="eastAsia"/>
              <w:bCs w:val="0"/>
              <w:kern w:val="0"/>
              <w:szCs w:val="24"/>
            </w:rPr>
            <w:t>如果</w:t>
          </w:r>
          <w:r>
            <w:rPr>
              <w:rFonts w:ascii="宋体" w:hAnsi="宋体" w:hint="eastAsia"/>
            </w:rPr>
            <w:t>采用成本计量模式的</w:t>
          </w:r>
        </w:p>
        <w:p w14:paraId="4F894ECA" w14:textId="77777777" w:rsidR="00830E72" w:rsidRDefault="008344D8">
          <w:pPr>
            <w:pStyle w:val="Style120"/>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546113319"/>
            <w:lock w:val="sdtLocked"/>
            <w:placeholder>
              <w:docPart w:val="GBC22222222222222222222222222222"/>
            </w:placeholder>
          </w:sdtPr>
          <w:sdtEndPr/>
          <w:sdtContent>
            <w:p w14:paraId="61A07EF6" w14:textId="77777777" w:rsidR="00830E72" w:rsidRDefault="008344D8">
              <w:pPr>
                <w:rPr>
                  <w:szCs w:val="21"/>
                </w:rPr>
              </w:pPr>
              <w:r>
                <w:rPr>
                  <w:rFonts w:hint="eastAsia"/>
                  <w:szCs w:val="21"/>
                </w:rPr>
                <w:t>（</w:t>
              </w:r>
              <w:r>
                <w:rPr>
                  <w:szCs w:val="21"/>
                </w:rPr>
                <w:t>1）投资性房地产的分类</w:t>
              </w:r>
            </w:p>
            <w:p w14:paraId="65338C91" w14:textId="77777777" w:rsidR="00830E72" w:rsidRDefault="008344D8">
              <w:pPr>
                <w:rPr>
                  <w:szCs w:val="21"/>
                </w:rPr>
              </w:pPr>
              <w:r>
                <w:rPr>
                  <w:rFonts w:hint="eastAsia"/>
                  <w:szCs w:val="21"/>
                </w:rPr>
                <w:t>投资性房产是指为赚取租金或资本增值，或两者兼有而持有的房地产。主要包括：</w:t>
              </w:r>
            </w:p>
            <w:p w14:paraId="05A4716B" w14:textId="77777777" w:rsidR="00830E72" w:rsidRDefault="008344D8">
              <w:pPr>
                <w:rPr>
                  <w:szCs w:val="21"/>
                </w:rPr>
              </w:pPr>
              <w:r>
                <w:rPr>
                  <w:rFonts w:hint="eastAsia"/>
                  <w:szCs w:val="21"/>
                </w:rPr>
                <w:t>①已出租的土地使用权。</w:t>
              </w:r>
            </w:p>
            <w:p w14:paraId="109FC814" w14:textId="77777777" w:rsidR="00830E72" w:rsidRDefault="008344D8">
              <w:pPr>
                <w:rPr>
                  <w:szCs w:val="21"/>
                </w:rPr>
              </w:pPr>
              <w:r>
                <w:rPr>
                  <w:rFonts w:hint="eastAsia"/>
                  <w:szCs w:val="21"/>
                </w:rPr>
                <w:t>②持有并准备增值后转让的土地使用权。</w:t>
              </w:r>
            </w:p>
            <w:p w14:paraId="5CCB4F33" w14:textId="77777777" w:rsidR="00830E72" w:rsidRDefault="008344D8">
              <w:pPr>
                <w:rPr>
                  <w:szCs w:val="21"/>
                </w:rPr>
              </w:pPr>
              <w:r>
                <w:rPr>
                  <w:rFonts w:hint="eastAsia"/>
                  <w:szCs w:val="21"/>
                </w:rPr>
                <w:t>③已出租的建筑物。</w:t>
              </w:r>
            </w:p>
            <w:p w14:paraId="7EAA509C" w14:textId="77777777" w:rsidR="00830E72" w:rsidRDefault="008344D8">
              <w:pPr>
                <w:rPr>
                  <w:szCs w:val="21"/>
                </w:rPr>
              </w:pPr>
              <w:r>
                <w:rPr>
                  <w:rFonts w:hint="eastAsia"/>
                  <w:szCs w:val="21"/>
                </w:rPr>
                <w:t>（</w:t>
              </w:r>
              <w:r>
                <w:rPr>
                  <w:szCs w:val="21"/>
                </w:rPr>
                <w:t>2）投资性房地产的计量模式</w:t>
              </w:r>
            </w:p>
            <w:p w14:paraId="66E35EE4" w14:textId="77777777" w:rsidR="00830E72" w:rsidRDefault="008344D8">
              <w:pPr>
                <w:rPr>
                  <w:szCs w:val="21"/>
                </w:rPr>
              </w:pPr>
              <w:r>
                <w:rPr>
                  <w:rFonts w:hint="eastAsia"/>
                  <w:szCs w:val="21"/>
                </w:rPr>
                <w:t>本公司采用成本模式对投资性房地产进行后续计量，计提资产减值方法见“本节五、重要会计</w:t>
              </w:r>
            </w:p>
            <w:p w14:paraId="3BBC3229" w14:textId="77777777" w:rsidR="00830E72" w:rsidRDefault="008344D8">
              <w:pPr>
                <w:rPr>
                  <w:szCs w:val="21"/>
                </w:rPr>
              </w:pPr>
              <w:r>
                <w:rPr>
                  <w:rFonts w:hint="eastAsia"/>
                  <w:szCs w:val="21"/>
                </w:rPr>
                <w:t>政策及会计估计</w:t>
              </w:r>
              <w:r>
                <w:rPr>
                  <w:szCs w:val="21"/>
                </w:rPr>
                <w:t xml:space="preserve"> 30”。</w:t>
              </w:r>
            </w:p>
            <w:p w14:paraId="3DDD26DC" w14:textId="77777777" w:rsidR="00830E72" w:rsidRDefault="008344D8">
              <w:pPr>
                <w:rPr>
                  <w:szCs w:val="21"/>
                </w:rPr>
              </w:pPr>
              <w:r>
                <w:rPr>
                  <w:rFonts w:hint="eastAsia"/>
                  <w:szCs w:val="21"/>
                </w:rPr>
                <w:t>本公司对投资性房地产成本减累计减值及净残值后按直线法计算折旧或摊销，投资性房地产</w:t>
              </w:r>
            </w:p>
            <w:p w14:paraId="6828A933" w14:textId="77777777" w:rsidR="00830E72" w:rsidRDefault="008344D8">
              <w:pPr>
                <w:rPr>
                  <w:szCs w:val="21"/>
                </w:rPr>
              </w:pPr>
              <w:r>
                <w:rPr>
                  <w:rFonts w:hint="eastAsia"/>
                  <w:szCs w:val="21"/>
                </w:rPr>
                <w:t>的类别、估计的经济使用年限和预计的净残值率分别确定折旧年限和年折旧率如下：</w:t>
              </w:r>
            </w:p>
            <w:tbl>
              <w:tblPr>
                <w:tblStyle w:val="g2"/>
                <w:tblW w:w="0" w:type="auto"/>
                <w:tblLook w:val="04A0" w:firstRow="1" w:lastRow="0" w:firstColumn="1" w:lastColumn="0" w:noHBand="0" w:noVBand="1"/>
              </w:tblPr>
              <w:tblGrid>
                <w:gridCol w:w="2262"/>
                <w:gridCol w:w="2262"/>
                <w:gridCol w:w="2262"/>
                <w:gridCol w:w="2263"/>
              </w:tblGrid>
              <w:tr w:rsidR="00830E72" w14:paraId="4A7068A2" w14:textId="77777777">
                <w:tc>
                  <w:tcPr>
                    <w:tcW w:w="2262" w:type="dxa"/>
                  </w:tcPr>
                  <w:p w14:paraId="7AEFFD37" w14:textId="77777777" w:rsidR="00830E72" w:rsidRDefault="008344D8">
                    <w:pPr>
                      <w:jc w:val="center"/>
                      <w:rPr>
                        <w:szCs w:val="21"/>
                      </w:rPr>
                    </w:pPr>
                    <w:r>
                      <w:rPr>
                        <w:rFonts w:hint="eastAsia"/>
                        <w:szCs w:val="21"/>
                      </w:rPr>
                      <w:t>类别</w:t>
                    </w:r>
                  </w:p>
                </w:tc>
                <w:tc>
                  <w:tcPr>
                    <w:tcW w:w="2262" w:type="dxa"/>
                  </w:tcPr>
                  <w:p w14:paraId="63D21233" w14:textId="77777777" w:rsidR="00830E72" w:rsidRDefault="008344D8">
                    <w:pPr>
                      <w:jc w:val="center"/>
                      <w:rPr>
                        <w:szCs w:val="21"/>
                      </w:rPr>
                    </w:pPr>
                    <w:r>
                      <w:rPr>
                        <w:rFonts w:hint="eastAsia"/>
                        <w:szCs w:val="21"/>
                      </w:rPr>
                      <w:t>折旧年限（年）</w:t>
                    </w:r>
                  </w:p>
                </w:tc>
                <w:tc>
                  <w:tcPr>
                    <w:tcW w:w="2262" w:type="dxa"/>
                  </w:tcPr>
                  <w:p w14:paraId="0D112C09" w14:textId="77777777" w:rsidR="00830E72" w:rsidRDefault="008344D8">
                    <w:pPr>
                      <w:jc w:val="center"/>
                      <w:rPr>
                        <w:szCs w:val="21"/>
                      </w:rPr>
                    </w:pPr>
                    <w:r>
                      <w:rPr>
                        <w:rFonts w:hint="eastAsia"/>
                        <w:szCs w:val="21"/>
                      </w:rPr>
                      <w:t>残值率（%）</w:t>
                    </w:r>
                  </w:p>
                </w:tc>
                <w:tc>
                  <w:tcPr>
                    <w:tcW w:w="2263" w:type="dxa"/>
                  </w:tcPr>
                  <w:p w14:paraId="66D31242" w14:textId="77777777" w:rsidR="00830E72" w:rsidRDefault="008344D8">
                    <w:pPr>
                      <w:jc w:val="center"/>
                      <w:rPr>
                        <w:szCs w:val="21"/>
                      </w:rPr>
                    </w:pPr>
                    <w:r>
                      <w:rPr>
                        <w:rFonts w:hint="eastAsia"/>
                        <w:szCs w:val="21"/>
                      </w:rPr>
                      <w:t>年折旧率（%）</w:t>
                    </w:r>
                  </w:p>
                </w:tc>
              </w:tr>
              <w:tr w:rsidR="00830E72" w14:paraId="7C106683" w14:textId="77777777">
                <w:tc>
                  <w:tcPr>
                    <w:tcW w:w="2262" w:type="dxa"/>
                  </w:tcPr>
                  <w:p w14:paraId="556AF5F4" w14:textId="77777777" w:rsidR="00830E72" w:rsidRDefault="008344D8">
                    <w:pPr>
                      <w:jc w:val="center"/>
                      <w:rPr>
                        <w:szCs w:val="21"/>
                      </w:rPr>
                    </w:pPr>
                    <w:r>
                      <w:rPr>
                        <w:rFonts w:hint="eastAsia"/>
                        <w:szCs w:val="21"/>
                      </w:rPr>
                      <w:t>房屋、建筑物</w:t>
                    </w:r>
                  </w:p>
                </w:tc>
                <w:tc>
                  <w:tcPr>
                    <w:tcW w:w="2262" w:type="dxa"/>
                  </w:tcPr>
                  <w:p w14:paraId="036A6916" w14:textId="77777777" w:rsidR="00830E72" w:rsidRDefault="008344D8">
                    <w:pPr>
                      <w:jc w:val="center"/>
                      <w:rPr>
                        <w:szCs w:val="21"/>
                      </w:rPr>
                    </w:pPr>
                    <w:r>
                      <w:rPr>
                        <w:rFonts w:hint="eastAsia"/>
                        <w:szCs w:val="21"/>
                      </w:rPr>
                      <w:t>10-30</w:t>
                    </w:r>
                  </w:p>
                </w:tc>
                <w:tc>
                  <w:tcPr>
                    <w:tcW w:w="2262" w:type="dxa"/>
                  </w:tcPr>
                  <w:p w14:paraId="244E237F" w14:textId="77777777" w:rsidR="00830E72" w:rsidRDefault="008344D8">
                    <w:pPr>
                      <w:jc w:val="center"/>
                      <w:rPr>
                        <w:szCs w:val="21"/>
                      </w:rPr>
                    </w:pPr>
                    <w:r>
                      <w:rPr>
                        <w:rFonts w:hint="eastAsia"/>
                        <w:szCs w:val="21"/>
                      </w:rPr>
                      <w:t>5</w:t>
                    </w:r>
                  </w:p>
                </w:tc>
                <w:tc>
                  <w:tcPr>
                    <w:tcW w:w="2263" w:type="dxa"/>
                  </w:tcPr>
                  <w:p w14:paraId="64B482F2" w14:textId="77777777" w:rsidR="00830E72" w:rsidRDefault="008344D8">
                    <w:pPr>
                      <w:jc w:val="center"/>
                      <w:rPr>
                        <w:szCs w:val="21"/>
                      </w:rPr>
                    </w:pPr>
                    <w:r>
                      <w:rPr>
                        <w:rFonts w:hint="eastAsia"/>
                        <w:szCs w:val="21"/>
                      </w:rPr>
                      <w:t>9.50-3.17</w:t>
                    </w:r>
                  </w:p>
                </w:tc>
              </w:tr>
              <w:tr w:rsidR="00830E72" w14:paraId="191ABB88" w14:textId="77777777">
                <w:tc>
                  <w:tcPr>
                    <w:tcW w:w="2262" w:type="dxa"/>
                  </w:tcPr>
                  <w:p w14:paraId="1C399F4F" w14:textId="77777777" w:rsidR="00830E72" w:rsidRDefault="008344D8">
                    <w:pPr>
                      <w:jc w:val="center"/>
                      <w:rPr>
                        <w:szCs w:val="21"/>
                      </w:rPr>
                    </w:pPr>
                    <w:r>
                      <w:rPr>
                        <w:rFonts w:hint="eastAsia"/>
                        <w:szCs w:val="21"/>
                      </w:rPr>
                      <w:t>土地使用权</w:t>
                    </w:r>
                  </w:p>
                </w:tc>
                <w:tc>
                  <w:tcPr>
                    <w:tcW w:w="2262" w:type="dxa"/>
                  </w:tcPr>
                  <w:p w14:paraId="69A16CF1" w14:textId="77777777" w:rsidR="00830E72" w:rsidRDefault="008344D8">
                    <w:pPr>
                      <w:jc w:val="center"/>
                      <w:rPr>
                        <w:szCs w:val="21"/>
                      </w:rPr>
                    </w:pPr>
                    <w:r>
                      <w:rPr>
                        <w:rFonts w:hint="eastAsia"/>
                        <w:szCs w:val="21"/>
                      </w:rPr>
                      <w:t>50</w:t>
                    </w:r>
                  </w:p>
                </w:tc>
                <w:tc>
                  <w:tcPr>
                    <w:tcW w:w="2262" w:type="dxa"/>
                  </w:tcPr>
                  <w:p w14:paraId="70DD522F" w14:textId="77777777" w:rsidR="00830E72" w:rsidRDefault="008344D8">
                    <w:pPr>
                      <w:jc w:val="center"/>
                      <w:rPr>
                        <w:szCs w:val="21"/>
                      </w:rPr>
                    </w:pPr>
                    <w:r>
                      <w:rPr>
                        <w:rFonts w:hint="eastAsia"/>
                        <w:szCs w:val="21"/>
                      </w:rPr>
                      <w:t>-</w:t>
                    </w:r>
                  </w:p>
                </w:tc>
                <w:tc>
                  <w:tcPr>
                    <w:tcW w:w="2263" w:type="dxa"/>
                  </w:tcPr>
                  <w:p w14:paraId="75A6BFD8" w14:textId="77777777" w:rsidR="00830E72" w:rsidRDefault="008344D8">
                    <w:pPr>
                      <w:jc w:val="center"/>
                      <w:rPr>
                        <w:szCs w:val="21"/>
                      </w:rPr>
                    </w:pPr>
                    <w:r>
                      <w:rPr>
                        <w:rFonts w:hint="eastAsia"/>
                        <w:szCs w:val="21"/>
                      </w:rPr>
                      <w:t>2.00</w:t>
                    </w:r>
                  </w:p>
                </w:tc>
              </w:tr>
            </w:tbl>
            <w:p w14:paraId="3198FFD6" w14:textId="77777777" w:rsidR="00830E72" w:rsidRDefault="00D44830">
              <w:pPr>
                <w:rPr>
                  <w:szCs w:val="21"/>
                </w:rPr>
              </w:pPr>
            </w:p>
          </w:sdtContent>
        </w:sdt>
      </w:sdtContent>
    </w:sdt>
    <w:p w14:paraId="559B8DC2" w14:textId="77777777" w:rsidR="00830E72" w:rsidRDefault="008344D8">
      <w:pPr>
        <w:pStyle w:val="Style99"/>
        <w:numPr>
          <w:ilvl w:val="0"/>
          <w:numId w:val="35"/>
        </w:numPr>
        <w:rPr>
          <w:rFonts w:ascii="宋体" w:hAnsi="宋体"/>
        </w:rPr>
      </w:pPr>
      <w:r>
        <w:rPr>
          <w:rFonts w:ascii="宋体" w:hAnsi="宋体"/>
        </w:rPr>
        <w:t>固定资产</w:t>
      </w:r>
    </w:p>
    <w:sdt>
      <w:sdtPr>
        <w:rPr>
          <w:rFonts w:ascii="宋体" w:hAnsi="宋体" w:cs="宋体"/>
          <w:b w:val="0"/>
          <w:bCs w:val="0"/>
          <w:kern w:val="0"/>
          <w:szCs w:val="24"/>
        </w:rPr>
        <w:alias w:val="模块:固定资产确认条件"/>
        <w:tag w:val="_GBC_662771796da549e1b2a02fb7d497f077"/>
        <w:id w:val="-736855044"/>
        <w:lock w:val="sdtLocked"/>
        <w:placeholder>
          <w:docPart w:val="GBC22222222222222222222222222222"/>
        </w:placeholder>
      </w:sdtPr>
      <w:sdtEndPr/>
      <w:sdtContent>
        <w:p w14:paraId="4B9A1D39" w14:textId="77777777" w:rsidR="00830E72" w:rsidRDefault="008344D8">
          <w:pPr>
            <w:pStyle w:val="Style100"/>
            <w:numPr>
              <w:ilvl w:val="0"/>
              <w:numId w:val="38"/>
            </w:numPr>
            <w:rPr>
              <w:rFonts w:ascii="宋体" w:hAnsi="宋体"/>
            </w:rPr>
          </w:pPr>
          <w:r>
            <w:rPr>
              <w:rFonts w:ascii="宋体" w:hAnsi="宋体" w:hint="eastAsia"/>
            </w:rPr>
            <w:t>确认条件</w:t>
          </w:r>
        </w:p>
        <w:sdt>
          <w:sdtPr>
            <w:alias w:val="是否适用：固定资产确认条件[双击切换]"/>
            <w:tag w:val="_GBC_45cce032cd1f43bfad18a80dd94e9cc4"/>
            <w:id w:val="-1311715585"/>
            <w:lock w:val="sdtContentLocked"/>
            <w:placeholder>
              <w:docPart w:val="GBC22222222222222222222222222222"/>
            </w:placeholder>
          </w:sdtPr>
          <w:sdtEndPr/>
          <w:sdtContent>
            <w:p w14:paraId="725FF410"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bCs/>
              <w:szCs w:val="21"/>
            </w:rPr>
            <w:alias w:val="固定资产确认条件"/>
            <w:tag w:val="_GBC_3044d53470b143fa9477fa34b85d4ec5"/>
            <w:id w:val="249931699"/>
            <w:lock w:val="sdtLocked"/>
            <w:placeholder>
              <w:docPart w:val="GBC22222222222222222222222222222"/>
            </w:placeholder>
          </w:sdtPr>
          <w:sdtEndPr>
            <w:rPr>
              <w:b/>
            </w:rPr>
          </w:sdtEndPr>
          <w:sdtContent>
            <w:p w14:paraId="6622FA47" w14:textId="77777777" w:rsidR="00830E72" w:rsidRDefault="008344D8">
              <w:pPr>
                <w:ind w:firstLineChars="200" w:firstLine="420"/>
                <w:rPr>
                  <w:bCs/>
                  <w:szCs w:val="21"/>
                </w:rPr>
              </w:pPr>
              <w:r>
                <w:rPr>
                  <w:rFonts w:hint="eastAsia"/>
                  <w:bCs/>
                  <w:szCs w:val="21"/>
                </w:rPr>
                <w:t>固定资产是指为生产商品、提供劳务、出租或经营管理而持有的使用寿命超过一年的单位价值较高的有形资产。</w:t>
              </w:r>
            </w:p>
            <w:p w14:paraId="66E8685B" w14:textId="77777777" w:rsidR="00830E72" w:rsidRDefault="008344D8">
              <w:pPr>
                <w:ind w:firstLineChars="200" w:firstLine="420"/>
                <w:rPr>
                  <w:bCs/>
                  <w:szCs w:val="21"/>
                </w:rPr>
              </w:pPr>
              <w:r>
                <w:rPr>
                  <w:rFonts w:hint="eastAsia"/>
                  <w:bCs/>
                  <w:szCs w:val="21"/>
                </w:rPr>
                <w:t>固定资产在同时满足下列条件时，按取得时的实际成本予以确认：</w:t>
              </w:r>
            </w:p>
            <w:p w14:paraId="7CF860D8" w14:textId="77777777" w:rsidR="00830E72" w:rsidRDefault="008344D8">
              <w:pPr>
                <w:ind w:firstLineChars="200" w:firstLine="420"/>
                <w:rPr>
                  <w:bCs/>
                  <w:szCs w:val="21"/>
                </w:rPr>
              </w:pPr>
              <w:r>
                <w:rPr>
                  <w:rFonts w:hint="eastAsia"/>
                  <w:bCs/>
                  <w:szCs w:val="21"/>
                </w:rPr>
                <w:t>①与该固定资产有关的经济利益很可能流入企业。</w:t>
              </w:r>
            </w:p>
            <w:p w14:paraId="5FA82CFD" w14:textId="77777777" w:rsidR="00830E72" w:rsidRDefault="008344D8">
              <w:pPr>
                <w:ind w:firstLineChars="200" w:firstLine="420"/>
                <w:rPr>
                  <w:bCs/>
                  <w:szCs w:val="21"/>
                </w:rPr>
              </w:pPr>
              <w:r>
                <w:rPr>
                  <w:rFonts w:hint="eastAsia"/>
                  <w:bCs/>
                  <w:szCs w:val="21"/>
                </w:rPr>
                <w:t>②该固定资产的成本能够可靠地计量。</w:t>
              </w:r>
            </w:p>
            <w:p w14:paraId="51D2BCC0" w14:textId="77777777" w:rsidR="00830E72" w:rsidRDefault="008344D8">
              <w:pPr>
                <w:ind w:firstLineChars="200" w:firstLine="420"/>
                <w:rPr>
                  <w:bCs/>
                  <w:szCs w:val="21"/>
                </w:rPr>
              </w:pPr>
              <w:r>
                <w:rPr>
                  <w:rFonts w:hint="eastAsia"/>
                  <w:bCs/>
                  <w:szCs w:val="21"/>
                </w:rPr>
                <w:t>固定资产发生的后续支出，符合固定资产确认条件的计入固定资产成本；不符合固定资产确认条件的在发生时计入当期损益。</w:t>
              </w:r>
            </w:p>
          </w:sdtContent>
        </w:sdt>
      </w:sdtContent>
    </w:sdt>
    <w:p w14:paraId="1C9FFF99" w14:textId="77777777" w:rsidR="00830E72" w:rsidRDefault="00830E72">
      <w:pPr>
        <w:rPr>
          <w:szCs w:val="21"/>
        </w:rPr>
      </w:pPr>
    </w:p>
    <w:sdt>
      <w:sdtPr>
        <w:rPr>
          <w:rFonts w:ascii="宋体" w:hAnsi="宋体" w:cstheme="minorBidi"/>
          <w:b w:val="0"/>
          <w:bCs w:val="0"/>
          <w:kern w:val="0"/>
          <w:szCs w:val="22"/>
        </w:rPr>
        <w:alias w:val="模块:固定资产折旧方法"/>
        <w:tag w:val="_GBC_7c749a57d4094b3386978c34c3487e2a"/>
        <w:id w:val="719093668"/>
        <w:lock w:val="sdtLocked"/>
        <w:placeholder>
          <w:docPart w:val="GBC22222222222222222222222222222"/>
        </w:placeholder>
      </w:sdtPr>
      <w:sdtEndPr>
        <w:rPr>
          <w:rFonts w:cs="宋体"/>
          <w:szCs w:val="24"/>
        </w:rPr>
      </w:sdtEndPr>
      <w:sdtContent>
        <w:p w14:paraId="411D4EFF" w14:textId="77777777" w:rsidR="00830E72" w:rsidRDefault="008344D8">
          <w:pPr>
            <w:pStyle w:val="Style100"/>
            <w:numPr>
              <w:ilvl w:val="0"/>
              <w:numId w:val="38"/>
            </w:numPr>
            <w:rPr>
              <w:rFonts w:ascii="宋体" w:hAnsi="宋体"/>
            </w:rPr>
          </w:pPr>
          <w:r>
            <w:rPr>
              <w:rFonts w:ascii="宋体" w:hAnsi="宋体"/>
            </w:rPr>
            <w:t>折旧方法</w:t>
          </w:r>
        </w:p>
        <w:sdt>
          <w:sdtPr>
            <w:alias w:val="是否适用：固定资产折旧方法[双击切换]"/>
            <w:tag w:val="_GBC_c221ef38ff6a4242aab725946697311c"/>
            <w:id w:val="259809305"/>
            <w:lock w:val="sdtContentLocked"/>
            <w:placeholder>
              <w:docPart w:val="GBC22222222222222222222222222222"/>
            </w:placeholder>
          </w:sdtPr>
          <w:sdtEndPr/>
          <w:sdtContent>
            <w:p w14:paraId="1C6C723E"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1663"/>
            <w:gridCol w:w="1833"/>
            <w:gridCol w:w="1833"/>
            <w:gridCol w:w="1833"/>
          </w:tblGrid>
          <w:tr w:rsidR="00830E72" w14:paraId="76C8027B" w14:textId="77777777">
            <w:sdt>
              <w:sdtPr>
                <w:tag w:val="_PLD_d39db65ac15c4d7583d7fe75cb893517"/>
                <w:id w:val="1058288956"/>
                <w:lock w:val="sdtLocked"/>
              </w:sdtPr>
              <w:sdtEndPr/>
              <w:sdtContent>
                <w:tc>
                  <w:tcPr>
                    <w:tcW w:w="1042" w:type="pct"/>
                    <w:vAlign w:val="center"/>
                  </w:tcPr>
                  <w:p w14:paraId="076773B1" w14:textId="77777777" w:rsidR="00830E72" w:rsidRDefault="008344D8">
                    <w:pPr>
                      <w:jc w:val="center"/>
                      <w:rPr>
                        <w:szCs w:val="21"/>
                      </w:rPr>
                    </w:pPr>
                    <w:r>
                      <w:rPr>
                        <w:szCs w:val="21"/>
                      </w:rPr>
                      <w:t>类别</w:t>
                    </w:r>
                  </w:p>
                </w:tc>
              </w:sdtContent>
            </w:sdt>
            <w:sdt>
              <w:sdtPr>
                <w:tag w:val="_PLD_1b5147121b9948e5a115c7a4d6c95995"/>
                <w:id w:val="-2016138498"/>
                <w:lock w:val="sdtLocked"/>
              </w:sdtPr>
              <w:sdtEndPr/>
              <w:sdtContent>
                <w:tc>
                  <w:tcPr>
                    <w:tcW w:w="919" w:type="pct"/>
                    <w:vAlign w:val="center"/>
                  </w:tcPr>
                  <w:p w14:paraId="26CE0580" w14:textId="77777777" w:rsidR="00830E72" w:rsidRDefault="008344D8">
                    <w:pPr>
                      <w:jc w:val="center"/>
                      <w:rPr>
                        <w:szCs w:val="21"/>
                      </w:rPr>
                    </w:pPr>
                    <w:r>
                      <w:rPr>
                        <w:rFonts w:hint="eastAsia"/>
                        <w:szCs w:val="21"/>
                      </w:rPr>
                      <w:t>折旧方法</w:t>
                    </w:r>
                  </w:p>
                </w:tc>
              </w:sdtContent>
            </w:sdt>
            <w:sdt>
              <w:sdtPr>
                <w:tag w:val="_PLD_65441224aa3f4fd3be4ca0650b16b1aa"/>
                <w:id w:val="-277182118"/>
                <w:lock w:val="sdtLocked"/>
              </w:sdtPr>
              <w:sdtEndPr/>
              <w:sdtContent>
                <w:tc>
                  <w:tcPr>
                    <w:tcW w:w="1013" w:type="pct"/>
                    <w:vAlign w:val="center"/>
                  </w:tcPr>
                  <w:p w14:paraId="48B5BBD1" w14:textId="77777777" w:rsidR="00830E72" w:rsidRDefault="008344D8">
                    <w:pPr>
                      <w:jc w:val="center"/>
                      <w:rPr>
                        <w:szCs w:val="21"/>
                      </w:rPr>
                    </w:pPr>
                    <w:r>
                      <w:rPr>
                        <w:szCs w:val="21"/>
                      </w:rPr>
                      <w:t>折旧年限（年）</w:t>
                    </w:r>
                  </w:p>
                </w:tc>
              </w:sdtContent>
            </w:sdt>
            <w:sdt>
              <w:sdtPr>
                <w:tag w:val="_PLD_1c82a37539a842289bf80f2937f33bee"/>
                <w:id w:val="-1946065239"/>
                <w:lock w:val="sdtLocked"/>
              </w:sdtPr>
              <w:sdtEndPr/>
              <w:sdtContent>
                <w:tc>
                  <w:tcPr>
                    <w:tcW w:w="1013" w:type="pct"/>
                    <w:vAlign w:val="center"/>
                  </w:tcPr>
                  <w:p w14:paraId="7EF3233A" w14:textId="77777777" w:rsidR="00830E72" w:rsidRDefault="008344D8">
                    <w:pPr>
                      <w:jc w:val="center"/>
                      <w:rPr>
                        <w:szCs w:val="21"/>
                      </w:rPr>
                    </w:pPr>
                    <w:r>
                      <w:rPr>
                        <w:szCs w:val="21"/>
                      </w:rPr>
                      <w:t>残值率</w:t>
                    </w:r>
                  </w:p>
                </w:tc>
              </w:sdtContent>
            </w:sdt>
            <w:sdt>
              <w:sdtPr>
                <w:tag w:val="_PLD_a67e8338c181496fa22b9944b63ec82c"/>
                <w:id w:val="-958418100"/>
                <w:lock w:val="sdtLocked"/>
              </w:sdtPr>
              <w:sdtEndPr/>
              <w:sdtContent>
                <w:tc>
                  <w:tcPr>
                    <w:tcW w:w="1013" w:type="pct"/>
                    <w:vAlign w:val="center"/>
                  </w:tcPr>
                  <w:p w14:paraId="509B7443" w14:textId="77777777" w:rsidR="00830E72" w:rsidRDefault="008344D8">
                    <w:pPr>
                      <w:jc w:val="center"/>
                      <w:rPr>
                        <w:szCs w:val="21"/>
                      </w:rPr>
                    </w:pPr>
                    <w:r>
                      <w:rPr>
                        <w:szCs w:val="21"/>
                      </w:rPr>
                      <w:t>年折旧率</w:t>
                    </w:r>
                  </w:p>
                </w:tc>
              </w:sdtContent>
            </w:sdt>
          </w:tr>
          <w:sdt>
            <w:sdtPr>
              <w:rPr>
                <w:szCs w:val="21"/>
              </w:rPr>
              <w:alias w:val="其他固定资产计价、折旧、减值方法"/>
              <w:tag w:val="_GBC_f1ad6125c5d74d2a98f593d2ba574474"/>
              <w:id w:val="-1619984544"/>
              <w:lock w:val="sdtLocked"/>
            </w:sdtPr>
            <w:sdtEndPr/>
            <w:sdtContent>
              <w:tr w:rsidR="00830E72" w14:paraId="3A4C27F1" w14:textId="77777777">
                <w:tc>
                  <w:tcPr>
                    <w:tcW w:w="1042" w:type="pct"/>
                  </w:tcPr>
                  <w:p w14:paraId="72142835" w14:textId="77777777" w:rsidR="00830E72" w:rsidRDefault="008344D8">
                    <w:pPr>
                      <w:rPr>
                        <w:szCs w:val="21"/>
                      </w:rPr>
                    </w:pPr>
                    <w:r>
                      <w:rPr>
                        <w:rFonts w:hint="eastAsia"/>
                        <w:szCs w:val="21"/>
                      </w:rPr>
                      <w:t>房屋及建筑物</w:t>
                    </w:r>
                  </w:p>
                </w:tc>
                <w:tc>
                  <w:tcPr>
                    <w:tcW w:w="919" w:type="pct"/>
                  </w:tcPr>
                  <w:p w14:paraId="0A577F74" w14:textId="77777777" w:rsidR="00830E72" w:rsidRDefault="008344D8">
                    <w:pPr>
                      <w:jc w:val="center"/>
                      <w:rPr>
                        <w:szCs w:val="21"/>
                      </w:rPr>
                    </w:pPr>
                    <w:r>
                      <w:rPr>
                        <w:rFonts w:hint="eastAsia"/>
                        <w:szCs w:val="21"/>
                      </w:rPr>
                      <w:t>年限平均法</w:t>
                    </w:r>
                  </w:p>
                </w:tc>
                <w:tc>
                  <w:tcPr>
                    <w:tcW w:w="1013" w:type="pct"/>
                  </w:tcPr>
                  <w:p w14:paraId="59C144E7" w14:textId="77777777" w:rsidR="00830E72" w:rsidRDefault="008344D8">
                    <w:pPr>
                      <w:jc w:val="center"/>
                      <w:rPr>
                        <w:szCs w:val="21"/>
                      </w:rPr>
                    </w:pPr>
                    <w:r>
                      <w:rPr>
                        <w:rFonts w:hint="eastAsia"/>
                        <w:szCs w:val="21"/>
                      </w:rPr>
                      <w:t>10-30</w:t>
                    </w:r>
                  </w:p>
                </w:tc>
                <w:tc>
                  <w:tcPr>
                    <w:tcW w:w="1013" w:type="pct"/>
                  </w:tcPr>
                  <w:p w14:paraId="667D41DC" w14:textId="77777777" w:rsidR="00830E72" w:rsidRDefault="008344D8">
                    <w:pPr>
                      <w:jc w:val="center"/>
                      <w:rPr>
                        <w:szCs w:val="21"/>
                      </w:rPr>
                    </w:pPr>
                    <w:r>
                      <w:rPr>
                        <w:rFonts w:hint="eastAsia"/>
                        <w:szCs w:val="21"/>
                      </w:rPr>
                      <w:t>5%</w:t>
                    </w:r>
                  </w:p>
                </w:tc>
                <w:tc>
                  <w:tcPr>
                    <w:tcW w:w="1013" w:type="pct"/>
                  </w:tcPr>
                  <w:p w14:paraId="6E547CFF" w14:textId="77777777" w:rsidR="00830E72" w:rsidRDefault="008344D8">
                    <w:pPr>
                      <w:jc w:val="center"/>
                      <w:rPr>
                        <w:szCs w:val="21"/>
                      </w:rPr>
                    </w:pPr>
                    <w:r>
                      <w:rPr>
                        <w:rFonts w:hint="eastAsia"/>
                        <w:szCs w:val="21"/>
                      </w:rPr>
                      <w:t>9.50%-3.17%</w:t>
                    </w:r>
                  </w:p>
                </w:tc>
              </w:tr>
            </w:sdtContent>
          </w:sdt>
          <w:sdt>
            <w:sdtPr>
              <w:rPr>
                <w:szCs w:val="21"/>
              </w:rPr>
              <w:alias w:val="其他固定资产计价、折旧、减值方法"/>
              <w:tag w:val="_GBC_f1ad6125c5d74d2a98f593d2ba574474"/>
              <w:id w:val="-56932553"/>
              <w:lock w:val="sdtLocked"/>
            </w:sdtPr>
            <w:sdtEndPr/>
            <w:sdtContent>
              <w:tr w:rsidR="00830E72" w14:paraId="472DC7CB" w14:textId="77777777">
                <w:tc>
                  <w:tcPr>
                    <w:tcW w:w="1042" w:type="pct"/>
                  </w:tcPr>
                  <w:p w14:paraId="16A51235" w14:textId="77777777" w:rsidR="00830E72" w:rsidRDefault="008344D8">
                    <w:pPr>
                      <w:rPr>
                        <w:szCs w:val="21"/>
                      </w:rPr>
                    </w:pPr>
                    <w:r>
                      <w:rPr>
                        <w:rFonts w:hint="eastAsia"/>
                        <w:szCs w:val="21"/>
                      </w:rPr>
                      <w:t>机械设备</w:t>
                    </w:r>
                  </w:p>
                </w:tc>
                <w:tc>
                  <w:tcPr>
                    <w:tcW w:w="919" w:type="pct"/>
                  </w:tcPr>
                  <w:p w14:paraId="55B843EF" w14:textId="77777777" w:rsidR="00830E72" w:rsidRDefault="008344D8">
                    <w:pPr>
                      <w:jc w:val="center"/>
                      <w:rPr>
                        <w:szCs w:val="21"/>
                      </w:rPr>
                    </w:pPr>
                    <w:r>
                      <w:rPr>
                        <w:rFonts w:hint="eastAsia"/>
                        <w:szCs w:val="21"/>
                      </w:rPr>
                      <w:t>年限平均法</w:t>
                    </w:r>
                  </w:p>
                </w:tc>
                <w:tc>
                  <w:tcPr>
                    <w:tcW w:w="1013" w:type="pct"/>
                  </w:tcPr>
                  <w:p w14:paraId="19130902" w14:textId="77777777" w:rsidR="00830E72" w:rsidRDefault="008344D8">
                    <w:pPr>
                      <w:jc w:val="center"/>
                      <w:rPr>
                        <w:szCs w:val="21"/>
                      </w:rPr>
                    </w:pPr>
                    <w:r>
                      <w:rPr>
                        <w:rFonts w:hint="eastAsia"/>
                        <w:szCs w:val="21"/>
                      </w:rPr>
                      <w:t>5-10</w:t>
                    </w:r>
                  </w:p>
                </w:tc>
                <w:tc>
                  <w:tcPr>
                    <w:tcW w:w="1013" w:type="pct"/>
                  </w:tcPr>
                  <w:p w14:paraId="0A4D5BC2" w14:textId="77777777" w:rsidR="00830E72" w:rsidRDefault="008344D8">
                    <w:pPr>
                      <w:jc w:val="center"/>
                      <w:rPr>
                        <w:szCs w:val="21"/>
                      </w:rPr>
                    </w:pPr>
                    <w:r>
                      <w:rPr>
                        <w:rFonts w:hint="eastAsia"/>
                        <w:szCs w:val="21"/>
                      </w:rPr>
                      <w:t>3%</w:t>
                    </w:r>
                  </w:p>
                </w:tc>
                <w:tc>
                  <w:tcPr>
                    <w:tcW w:w="1013" w:type="pct"/>
                  </w:tcPr>
                  <w:p w14:paraId="54C5E6A2" w14:textId="77777777" w:rsidR="00830E72" w:rsidRDefault="008344D8">
                    <w:pPr>
                      <w:jc w:val="center"/>
                      <w:rPr>
                        <w:szCs w:val="21"/>
                      </w:rPr>
                    </w:pPr>
                    <w:r>
                      <w:rPr>
                        <w:rFonts w:hint="eastAsia"/>
                        <w:szCs w:val="21"/>
                      </w:rPr>
                      <w:t>19.40%-9.70%</w:t>
                    </w:r>
                  </w:p>
                </w:tc>
              </w:tr>
            </w:sdtContent>
          </w:sdt>
          <w:sdt>
            <w:sdtPr>
              <w:rPr>
                <w:szCs w:val="21"/>
              </w:rPr>
              <w:alias w:val="其他固定资产计价、折旧、减值方法"/>
              <w:tag w:val="_GBC_f1ad6125c5d74d2a98f593d2ba574474"/>
              <w:id w:val="733438872"/>
              <w:lock w:val="sdtLocked"/>
            </w:sdtPr>
            <w:sdtEndPr/>
            <w:sdtContent>
              <w:tr w:rsidR="00830E72" w14:paraId="1B557248" w14:textId="77777777">
                <w:tc>
                  <w:tcPr>
                    <w:tcW w:w="1042" w:type="pct"/>
                  </w:tcPr>
                  <w:p w14:paraId="425682A6" w14:textId="77777777" w:rsidR="00830E72" w:rsidRDefault="008344D8">
                    <w:pPr>
                      <w:rPr>
                        <w:szCs w:val="21"/>
                      </w:rPr>
                    </w:pPr>
                    <w:r>
                      <w:rPr>
                        <w:rFonts w:hint="eastAsia"/>
                        <w:szCs w:val="21"/>
                      </w:rPr>
                      <w:t>运输设备</w:t>
                    </w:r>
                  </w:p>
                </w:tc>
                <w:tc>
                  <w:tcPr>
                    <w:tcW w:w="919" w:type="pct"/>
                  </w:tcPr>
                  <w:p w14:paraId="0BDEF439" w14:textId="77777777" w:rsidR="00830E72" w:rsidRDefault="008344D8">
                    <w:pPr>
                      <w:jc w:val="center"/>
                      <w:rPr>
                        <w:szCs w:val="21"/>
                      </w:rPr>
                    </w:pPr>
                    <w:r>
                      <w:rPr>
                        <w:rFonts w:hint="eastAsia"/>
                        <w:szCs w:val="21"/>
                      </w:rPr>
                      <w:t>年限平均法</w:t>
                    </w:r>
                  </w:p>
                </w:tc>
                <w:tc>
                  <w:tcPr>
                    <w:tcW w:w="1013" w:type="pct"/>
                  </w:tcPr>
                  <w:p w14:paraId="034BE0FD" w14:textId="77777777" w:rsidR="00830E72" w:rsidRDefault="008344D8">
                    <w:pPr>
                      <w:jc w:val="center"/>
                      <w:rPr>
                        <w:szCs w:val="21"/>
                      </w:rPr>
                    </w:pPr>
                    <w:r>
                      <w:rPr>
                        <w:rFonts w:hint="eastAsia"/>
                        <w:szCs w:val="21"/>
                      </w:rPr>
                      <w:t>5-10</w:t>
                    </w:r>
                  </w:p>
                </w:tc>
                <w:tc>
                  <w:tcPr>
                    <w:tcW w:w="1013" w:type="pct"/>
                  </w:tcPr>
                  <w:p w14:paraId="1102F8D2" w14:textId="77777777" w:rsidR="00830E72" w:rsidRDefault="008344D8">
                    <w:pPr>
                      <w:jc w:val="center"/>
                      <w:rPr>
                        <w:szCs w:val="21"/>
                      </w:rPr>
                    </w:pPr>
                    <w:r>
                      <w:rPr>
                        <w:rFonts w:hint="eastAsia"/>
                        <w:szCs w:val="21"/>
                      </w:rPr>
                      <w:t>3%</w:t>
                    </w:r>
                  </w:p>
                </w:tc>
                <w:tc>
                  <w:tcPr>
                    <w:tcW w:w="1013" w:type="pct"/>
                  </w:tcPr>
                  <w:p w14:paraId="3A103887" w14:textId="77777777" w:rsidR="00830E72" w:rsidRDefault="008344D8">
                    <w:pPr>
                      <w:jc w:val="center"/>
                      <w:rPr>
                        <w:szCs w:val="21"/>
                      </w:rPr>
                    </w:pPr>
                    <w:r>
                      <w:rPr>
                        <w:rFonts w:hint="eastAsia"/>
                        <w:szCs w:val="21"/>
                      </w:rPr>
                      <w:t>19.40%-9.70%</w:t>
                    </w:r>
                  </w:p>
                </w:tc>
              </w:tr>
            </w:sdtContent>
          </w:sdt>
          <w:sdt>
            <w:sdtPr>
              <w:rPr>
                <w:szCs w:val="21"/>
              </w:rPr>
              <w:alias w:val="其他固定资产计价、折旧、减值方法"/>
              <w:tag w:val="_GBC_f1ad6125c5d74d2a98f593d2ba574474"/>
              <w:id w:val="986672938"/>
              <w:lock w:val="sdtLocked"/>
            </w:sdtPr>
            <w:sdtEndPr/>
            <w:sdtContent>
              <w:tr w:rsidR="00830E72" w14:paraId="06E25571" w14:textId="77777777">
                <w:tc>
                  <w:tcPr>
                    <w:tcW w:w="1042" w:type="pct"/>
                  </w:tcPr>
                  <w:p w14:paraId="380DE276" w14:textId="77777777" w:rsidR="00830E72" w:rsidRDefault="008344D8">
                    <w:pPr>
                      <w:rPr>
                        <w:szCs w:val="21"/>
                      </w:rPr>
                    </w:pPr>
                    <w:r>
                      <w:rPr>
                        <w:rFonts w:hint="eastAsia"/>
                        <w:szCs w:val="21"/>
                      </w:rPr>
                      <w:t>电子设备及其他</w:t>
                    </w:r>
                  </w:p>
                </w:tc>
                <w:tc>
                  <w:tcPr>
                    <w:tcW w:w="919" w:type="pct"/>
                  </w:tcPr>
                  <w:p w14:paraId="07B5AC73" w14:textId="77777777" w:rsidR="00830E72" w:rsidRDefault="008344D8">
                    <w:pPr>
                      <w:jc w:val="center"/>
                      <w:rPr>
                        <w:szCs w:val="21"/>
                      </w:rPr>
                    </w:pPr>
                    <w:r>
                      <w:rPr>
                        <w:rFonts w:hint="eastAsia"/>
                        <w:szCs w:val="21"/>
                      </w:rPr>
                      <w:t>年限平均法</w:t>
                    </w:r>
                  </w:p>
                </w:tc>
                <w:tc>
                  <w:tcPr>
                    <w:tcW w:w="1013" w:type="pct"/>
                  </w:tcPr>
                  <w:p w14:paraId="5FA57A9D" w14:textId="77777777" w:rsidR="00830E72" w:rsidRDefault="008344D8">
                    <w:pPr>
                      <w:jc w:val="center"/>
                      <w:rPr>
                        <w:szCs w:val="21"/>
                      </w:rPr>
                    </w:pPr>
                    <w:r>
                      <w:rPr>
                        <w:rFonts w:hint="eastAsia"/>
                        <w:szCs w:val="21"/>
                      </w:rPr>
                      <w:t>3-10</w:t>
                    </w:r>
                  </w:p>
                </w:tc>
                <w:tc>
                  <w:tcPr>
                    <w:tcW w:w="1013" w:type="pct"/>
                  </w:tcPr>
                  <w:p w14:paraId="6A5DB3C5" w14:textId="77777777" w:rsidR="00830E72" w:rsidRDefault="008344D8">
                    <w:pPr>
                      <w:jc w:val="center"/>
                      <w:rPr>
                        <w:szCs w:val="21"/>
                      </w:rPr>
                    </w:pPr>
                    <w:r>
                      <w:rPr>
                        <w:rFonts w:hint="eastAsia"/>
                        <w:szCs w:val="21"/>
                      </w:rPr>
                      <w:t>3%</w:t>
                    </w:r>
                  </w:p>
                </w:tc>
                <w:tc>
                  <w:tcPr>
                    <w:tcW w:w="1013" w:type="pct"/>
                  </w:tcPr>
                  <w:p w14:paraId="27C68B7F" w14:textId="77777777" w:rsidR="00830E72" w:rsidRDefault="008344D8">
                    <w:pPr>
                      <w:jc w:val="center"/>
                      <w:rPr>
                        <w:szCs w:val="21"/>
                      </w:rPr>
                    </w:pPr>
                    <w:r>
                      <w:rPr>
                        <w:rFonts w:hint="eastAsia"/>
                        <w:szCs w:val="21"/>
                      </w:rPr>
                      <w:t>32.33%-9.70%</w:t>
                    </w:r>
                  </w:p>
                </w:tc>
              </w:tr>
            </w:sdtContent>
          </w:sdt>
        </w:tbl>
        <w:p w14:paraId="33F47C69" w14:textId="77777777" w:rsidR="00830E72" w:rsidRDefault="00D44830"/>
      </w:sdtContent>
    </w:sdt>
    <w:sdt>
      <w:sdtPr>
        <w:rPr>
          <w:rFonts w:ascii="宋体" w:hAnsi="宋体" w:cs="宋体"/>
          <w:b w:val="0"/>
          <w:bCs w:val="0"/>
          <w:kern w:val="0"/>
          <w:szCs w:val="22"/>
        </w:rPr>
        <w:alias w:val="模块:固定资产计价和折旧方法及减值准备的计提方法"/>
        <w:tag w:val="_GBC_a1560089c32f441f92e145c3cdc25289"/>
        <w:id w:val="1738900749"/>
        <w:lock w:val="sdtLocked"/>
        <w:placeholder>
          <w:docPart w:val="GBC22222222222222222222222222222"/>
        </w:placeholder>
      </w:sdtPr>
      <w:sdtEndPr>
        <w:rPr>
          <w:rFonts w:cs="Times New Roman" w:hint="eastAsia"/>
          <w:kern w:val="2"/>
          <w:szCs w:val="24"/>
        </w:rPr>
      </w:sdtEndPr>
      <w:sdtContent>
        <w:p w14:paraId="45559000" w14:textId="77777777" w:rsidR="00830E72" w:rsidRDefault="008344D8">
          <w:pPr>
            <w:pStyle w:val="Style100"/>
            <w:numPr>
              <w:ilvl w:val="0"/>
              <w:numId w:val="38"/>
            </w:numPr>
            <w:rPr>
              <w:rFonts w:ascii="宋体" w:hAnsi="宋体"/>
              <w:szCs w:val="21"/>
            </w:rPr>
          </w:pPr>
          <w:r>
            <w:rPr>
              <w:rFonts w:ascii="宋体" w:hAnsi="宋体" w:hint="eastAsia"/>
              <w:szCs w:val="21"/>
            </w:rPr>
            <w:t>融资租入固定资产的认定依据、计价和折旧方法</w:t>
          </w:r>
        </w:p>
        <w:sdt>
          <w:sdtPr>
            <w:alias w:val="是否适用：融资租入固定资产的认定依据、计价和折旧方法[双击切换]"/>
            <w:tag w:val="_GBC_16fcfe6546324a2bb6bf5a46c9363b25"/>
            <w:id w:val="-1499344265"/>
            <w:lock w:val="sdtContentLocked"/>
            <w:placeholder>
              <w:docPart w:val="GBC22222222222222222222222222222"/>
            </w:placeholder>
          </w:sdtPr>
          <w:sdtEndPr/>
          <w:sdtContent>
            <w:p w14:paraId="7E823141"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固定资产计价和折旧方法及减值准备的计提方法"/>
            <w:tag w:val="_GBC_42d68e0aaa744ab7aaa46e6c7964e66f"/>
            <w:id w:val="-2023616957"/>
            <w:lock w:val="sdtLocked"/>
            <w:placeholder>
              <w:docPart w:val="GBC22222222222222222222222222222"/>
            </w:placeholder>
          </w:sdtPr>
          <w:sdtEndPr/>
          <w:sdtContent>
            <w:p w14:paraId="63A881F9" w14:textId="77777777" w:rsidR="00830E72" w:rsidRDefault="008344D8">
              <w:pPr>
                <w:ind w:firstLineChars="200" w:firstLine="420"/>
                <w:rPr>
                  <w:szCs w:val="21"/>
                </w:rPr>
              </w:pPr>
              <w:r>
                <w:rPr>
                  <w:rFonts w:hint="eastAsia"/>
                  <w:szCs w:val="21"/>
                </w:rPr>
                <w:t>本公司在租入的固定资产实质上转移了与资产有关的全部风险和报酬时确认该项固定资产的租赁为融资租赁。融资租赁取得的固定资产的成本，按租赁开始日租赁资产公允价值与最低租赁付款额现值两者中较低者确定。融资租入的固定资产采用与自有固定资产相一致的折旧政策计提租赁资产折旧。能够合理确定租赁期届满时将会取得租赁资产所有权的，在租赁资产使用年限内计提折旧；无法合理确定租赁期届满时能够取得租赁资产所有权的，在租赁期与租赁资产使用寿命两者中较短的期间内计提折旧。</w:t>
              </w:r>
            </w:p>
          </w:sdtContent>
        </w:sdt>
      </w:sdtContent>
    </w:sdt>
    <w:p w14:paraId="528F14EF" w14:textId="77777777" w:rsidR="00830E72" w:rsidRDefault="00830E72">
      <w:pPr>
        <w:rPr>
          <w:szCs w:val="21"/>
        </w:rPr>
      </w:pPr>
    </w:p>
    <w:sdt>
      <w:sdtPr>
        <w:rPr>
          <w:rFonts w:ascii="宋体" w:hAnsi="宋体" w:cs="宋体"/>
          <w:b w:val="0"/>
          <w:bCs w:val="0"/>
          <w:kern w:val="0"/>
          <w:szCs w:val="24"/>
        </w:rPr>
        <w:alias w:val="模块:在建工程会计处理方法"/>
        <w:tag w:val="_GBC_3eb5f960df3e47f0a4bf3af0bc67ca96"/>
        <w:id w:val="-975287159"/>
        <w:lock w:val="sdtLocked"/>
        <w:placeholder>
          <w:docPart w:val="GBC22222222222222222222222222222"/>
        </w:placeholder>
      </w:sdtPr>
      <w:sdtEndPr>
        <w:rPr>
          <w:rFonts w:hint="eastAsia"/>
          <w:szCs w:val="21"/>
        </w:rPr>
      </w:sdtEndPr>
      <w:sdtContent>
        <w:p w14:paraId="5622E8BE" w14:textId="77777777" w:rsidR="00830E72" w:rsidRDefault="008344D8">
          <w:pPr>
            <w:pStyle w:val="Style99"/>
            <w:numPr>
              <w:ilvl w:val="0"/>
              <w:numId w:val="35"/>
            </w:numPr>
            <w:rPr>
              <w:rFonts w:ascii="宋体" w:hAnsi="宋体"/>
            </w:rPr>
          </w:pPr>
          <w:r>
            <w:rPr>
              <w:rFonts w:ascii="宋体" w:hAnsi="宋体"/>
            </w:rPr>
            <w:t>在建工程</w:t>
          </w:r>
        </w:p>
        <w:p w14:paraId="1447ABA6" w14:textId="77777777" w:rsidR="00830E72" w:rsidRDefault="00D44830">
          <w:pPr>
            <w:rPr>
              <w:szCs w:val="21"/>
            </w:rPr>
          </w:pPr>
          <w:sdt>
            <w:sdtPr>
              <w:rPr>
                <w:rFonts w:hint="eastAsia"/>
                <w:szCs w:val="21"/>
              </w:rPr>
              <w:alias w:val="是否适用：在建工程_重要会计政策和估计[双击切换]"/>
              <w:tag w:val="_GBC_d9803b41f65e4a7fbebb412a259d9bf9"/>
              <w:id w:val="1187257229"/>
              <w:lock w:val="sdtContentLocked"/>
              <w:placeholder>
                <w:docPart w:val="GBC22222222222222222222222222222"/>
              </w:placeholder>
            </w:sdtPr>
            <w:sdtEndPr/>
            <w:sdtContent>
              <w:r w:rsidR="008344D8">
                <w:rPr>
                  <w:szCs w:val="21"/>
                </w:rPr>
                <w:fldChar w:fldCharType="begin"/>
              </w:r>
              <w:r w:rsidR="008344D8">
                <w:rPr>
                  <w:szCs w:val="21"/>
                </w:rPr>
                <w:instrText xml:space="preserve"> MACROBUTTON  SnrToggleCheckbox √适用 </w:instrText>
              </w:r>
              <w:r w:rsidR="008344D8">
                <w:rPr>
                  <w:szCs w:val="21"/>
                </w:rPr>
                <w:fldChar w:fldCharType="end"/>
              </w:r>
              <w:r w:rsidR="008344D8">
                <w:rPr>
                  <w:szCs w:val="21"/>
                </w:rPr>
                <w:fldChar w:fldCharType="begin"/>
              </w:r>
              <w:r w:rsidR="008344D8">
                <w:rPr>
                  <w:szCs w:val="21"/>
                </w:rPr>
                <w:instrText xml:space="preserve"> MACROBUTTON  SnrToggleCheckbox □不适用 </w:instrText>
              </w:r>
              <w:r w:rsidR="008344D8">
                <w:rPr>
                  <w:szCs w:val="21"/>
                </w:rPr>
                <w:fldChar w:fldCharType="end"/>
              </w:r>
            </w:sdtContent>
          </w:sdt>
        </w:p>
        <w:sdt>
          <w:sdtPr>
            <w:rPr>
              <w:rFonts w:hint="eastAsia"/>
              <w:szCs w:val="21"/>
            </w:rPr>
            <w:alias w:val="在建工程核算方法"/>
            <w:tag w:val="_GBC_ed79f983df814c58add61776fe84c76e"/>
            <w:id w:val="768357133"/>
            <w:lock w:val="sdtLocked"/>
            <w:placeholder>
              <w:docPart w:val="GBC22222222222222222222222222222"/>
            </w:placeholder>
          </w:sdtPr>
          <w:sdtEndPr/>
          <w:sdtContent>
            <w:p w14:paraId="1C90C4FE" w14:textId="77777777" w:rsidR="00830E72" w:rsidRDefault="008344D8">
              <w:pPr>
                <w:ind w:firstLineChars="200" w:firstLine="420"/>
                <w:rPr>
                  <w:szCs w:val="21"/>
                </w:rPr>
              </w:pPr>
              <w:r>
                <w:rPr>
                  <w:rFonts w:hint="eastAsia"/>
                  <w:szCs w:val="21"/>
                </w:rPr>
                <w:t>（</w:t>
              </w:r>
              <w:r>
                <w:rPr>
                  <w:szCs w:val="21"/>
                </w:rPr>
                <w:t>1）在建工程以立项项目分类核算。</w:t>
              </w:r>
            </w:p>
            <w:p w14:paraId="78E1F4E6" w14:textId="77777777" w:rsidR="00830E72" w:rsidRDefault="008344D8">
              <w:pPr>
                <w:ind w:firstLineChars="200" w:firstLine="420"/>
                <w:rPr>
                  <w:szCs w:val="21"/>
                </w:rPr>
              </w:pPr>
              <w:r>
                <w:rPr>
                  <w:rFonts w:hint="eastAsia"/>
                  <w:szCs w:val="21"/>
                </w:rPr>
                <w:t>（</w:t>
              </w:r>
              <w:r>
                <w:rPr>
                  <w:szCs w:val="21"/>
                </w:rPr>
                <w:t>2）在建工程结转为固定资产的标准和时点</w:t>
              </w:r>
            </w:p>
            <w:p w14:paraId="0F7D1757" w14:textId="77777777" w:rsidR="00830E72" w:rsidRDefault="008344D8">
              <w:pPr>
                <w:ind w:firstLineChars="200" w:firstLine="420"/>
                <w:rPr>
                  <w:szCs w:val="21"/>
                </w:rPr>
              </w:pPr>
              <w:r>
                <w:rPr>
                  <w:rFonts w:hint="eastAsia"/>
                  <w:szCs w:val="21"/>
                </w:rPr>
                <w:t>在建工程项目按建造该项资产达到预定可使用状态前所发生的全部支出，作为固定资产的入账价值。包括建筑费用、机器设备原价、其他为使在建工程达到预定可使用状态所发生的必要支出以及在资产达到预定可使用状态之前为该项目专门借款所发生的借款费用及占用的一般借款发生的借款费用。本公司在工程安装或建设完成达到预定可使用状态时将在建工程转入固定资产。所建造的已达到预定可使用状态、但尚未办理竣工决算的固定资产，自达到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sdtContent>
        </w:sdt>
        <w:p w14:paraId="4CF51AC7" w14:textId="77777777" w:rsidR="00830E72" w:rsidRDefault="00D44830">
          <w:pPr>
            <w:rPr>
              <w:szCs w:val="21"/>
            </w:rPr>
          </w:pPr>
        </w:p>
      </w:sdtContent>
    </w:sdt>
    <w:sdt>
      <w:sdtPr>
        <w:rPr>
          <w:rFonts w:ascii="宋体" w:hAnsi="宋体" w:cs="宋体"/>
          <w:b w:val="0"/>
          <w:bCs w:val="0"/>
          <w:kern w:val="0"/>
          <w:szCs w:val="22"/>
        </w:rPr>
        <w:alias w:val="模块:借款费用会计处理方法"/>
        <w:tag w:val="_GBC_e3e4d07ea08d4589a9293563ea655b42"/>
        <w:id w:val="-1064568013"/>
        <w:lock w:val="sdtLocked"/>
        <w:placeholder>
          <w:docPart w:val="GBC22222222222222222222222222222"/>
        </w:placeholder>
      </w:sdtPr>
      <w:sdtEndPr>
        <w:rPr>
          <w:rFonts w:cs="Times New Roman" w:hint="eastAsia"/>
          <w:kern w:val="2"/>
          <w:szCs w:val="21"/>
        </w:rPr>
      </w:sdtEndPr>
      <w:sdtContent>
        <w:p w14:paraId="72112AA4" w14:textId="77777777" w:rsidR="00830E72" w:rsidRDefault="008344D8">
          <w:pPr>
            <w:pStyle w:val="Style99"/>
            <w:numPr>
              <w:ilvl w:val="0"/>
              <w:numId w:val="35"/>
            </w:numPr>
            <w:rPr>
              <w:rFonts w:ascii="宋体" w:hAnsi="宋体"/>
            </w:rPr>
          </w:pPr>
          <w:r>
            <w:rPr>
              <w:rFonts w:ascii="宋体" w:hAnsi="宋体"/>
            </w:rPr>
            <w:t>借款费用</w:t>
          </w:r>
        </w:p>
        <w:sdt>
          <w:sdtPr>
            <w:rPr>
              <w:rFonts w:hint="eastAsia"/>
              <w:szCs w:val="21"/>
            </w:rPr>
            <w:alias w:val="是否适用：借款费用_重要会计政策和估计[双击切换]"/>
            <w:tag w:val="_GBC_3f3db73e5cb247009b3840143b5e6627"/>
            <w:id w:val="-1344774453"/>
            <w:lock w:val="sdtContentLocked"/>
            <w:placeholder>
              <w:docPart w:val="GBC22222222222222222222222222222"/>
            </w:placeholder>
          </w:sdtPr>
          <w:sdtEndPr/>
          <w:sdtContent>
            <w:p w14:paraId="179DDA6E"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1377591246"/>
            <w:lock w:val="sdtLocked"/>
            <w:placeholder>
              <w:docPart w:val="GBC22222222222222222222222222222"/>
            </w:placeholder>
          </w:sdtPr>
          <w:sdtEndPr/>
          <w:sdtContent>
            <w:p w14:paraId="1DD16363" w14:textId="77777777" w:rsidR="00830E72" w:rsidRDefault="008344D8">
              <w:pPr>
                <w:ind w:firstLineChars="200" w:firstLine="420"/>
                <w:rPr>
                  <w:szCs w:val="21"/>
                </w:rPr>
              </w:pPr>
              <w:r>
                <w:rPr>
                  <w:rFonts w:hint="eastAsia"/>
                  <w:szCs w:val="21"/>
                </w:rPr>
                <w:t>（</w:t>
              </w:r>
              <w:r>
                <w:rPr>
                  <w:szCs w:val="21"/>
                </w:rPr>
                <w:t>1）借款费用资本化的确认原则和资本化期间</w:t>
              </w:r>
            </w:p>
            <w:p w14:paraId="04DE9400" w14:textId="77777777" w:rsidR="00830E72" w:rsidRDefault="008344D8">
              <w:pPr>
                <w:ind w:firstLineChars="200" w:firstLine="420"/>
                <w:rPr>
                  <w:szCs w:val="21"/>
                </w:rPr>
              </w:pPr>
              <w:r>
                <w:rPr>
                  <w:rFonts w:hint="eastAsia"/>
                  <w:szCs w:val="21"/>
                </w:rPr>
                <w:t>本公司发生的可直接归属于符合资本化条件的资产的购建或生产的借款费用在同时满足下列条件时予以资本化计入相关资产成本：</w:t>
              </w:r>
            </w:p>
            <w:p w14:paraId="69E07EF7" w14:textId="77777777" w:rsidR="00830E72" w:rsidRDefault="008344D8">
              <w:pPr>
                <w:ind w:firstLineChars="200" w:firstLine="420"/>
                <w:rPr>
                  <w:szCs w:val="21"/>
                </w:rPr>
              </w:pPr>
              <w:r>
                <w:rPr>
                  <w:rFonts w:hint="eastAsia"/>
                  <w:szCs w:val="21"/>
                </w:rPr>
                <w:t>①资产支出已经发生；</w:t>
              </w:r>
            </w:p>
            <w:p w14:paraId="6473C80F" w14:textId="77777777" w:rsidR="00830E72" w:rsidRDefault="008344D8">
              <w:pPr>
                <w:ind w:firstLineChars="200" w:firstLine="420"/>
                <w:rPr>
                  <w:szCs w:val="21"/>
                </w:rPr>
              </w:pPr>
              <w:r>
                <w:rPr>
                  <w:rFonts w:hint="eastAsia"/>
                  <w:szCs w:val="21"/>
                </w:rPr>
                <w:t>②借款费用已经发生；</w:t>
              </w:r>
            </w:p>
            <w:p w14:paraId="48CECABB" w14:textId="77777777" w:rsidR="00830E72" w:rsidRDefault="008344D8">
              <w:pPr>
                <w:ind w:firstLineChars="200" w:firstLine="420"/>
                <w:rPr>
                  <w:szCs w:val="21"/>
                </w:rPr>
              </w:pPr>
              <w:r>
                <w:rPr>
                  <w:rFonts w:hint="eastAsia"/>
                  <w:szCs w:val="21"/>
                </w:rPr>
                <w:t>③为使资产达到预定可使用状态所必要的购建或者生产活动已经开始。</w:t>
              </w:r>
            </w:p>
            <w:p w14:paraId="40443543" w14:textId="77777777" w:rsidR="00830E72" w:rsidRDefault="008344D8">
              <w:pPr>
                <w:ind w:firstLineChars="200" w:firstLine="420"/>
                <w:rPr>
                  <w:szCs w:val="21"/>
                </w:rPr>
              </w:pPr>
              <w:r>
                <w:rPr>
                  <w:rFonts w:hint="eastAsia"/>
                  <w:szCs w:val="21"/>
                </w:rPr>
                <w:t>其他的借款利息、折价或溢价和汇兑差额，计入发生当期的损益。</w:t>
              </w:r>
            </w:p>
            <w:p w14:paraId="13BC1034" w14:textId="77777777" w:rsidR="00830E72" w:rsidRDefault="008344D8">
              <w:pPr>
                <w:ind w:firstLineChars="200" w:firstLine="420"/>
                <w:rPr>
                  <w:szCs w:val="21"/>
                </w:rPr>
              </w:pPr>
              <w:r>
                <w:rPr>
                  <w:rFonts w:hint="eastAsia"/>
                  <w:szCs w:val="21"/>
                </w:rPr>
                <w:t>符合资本化条件的资产在购建或者生产过程中发生非正常中断，且中断时间连续超过</w:t>
              </w:r>
              <w:r>
                <w:rPr>
                  <w:szCs w:val="21"/>
                </w:rPr>
                <w:t xml:space="preserve"> 3 个月</w:t>
              </w:r>
              <w:r>
                <w:rPr>
                  <w:rFonts w:hint="eastAsia"/>
                  <w:szCs w:val="21"/>
                </w:rPr>
                <w:t>的，暂停借款费用的资本化。</w:t>
              </w:r>
            </w:p>
            <w:p w14:paraId="30C64B98" w14:textId="77777777" w:rsidR="00830E72" w:rsidRDefault="008344D8">
              <w:pPr>
                <w:ind w:firstLineChars="200" w:firstLine="420"/>
                <w:rPr>
                  <w:szCs w:val="21"/>
                </w:rPr>
              </w:pPr>
              <w:r>
                <w:rPr>
                  <w:rFonts w:hint="eastAsia"/>
                  <w:szCs w:val="21"/>
                </w:rPr>
                <w:t>当购建或者生产符合资本化条件的资产达到预定可使用或者可销售状态时，停止其借款费用的资本化；以后发生的借款费用于发生当期确认为费用。</w:t>
              </w:r>
            </w:p>
            <w:p w14:paraId="424EE29B" w14:textId="77777777" w:rsidR="00830E72" w:rsidRDefault="008344D8">
              <w:pPr>
                <w:ind w:firstLineChars="200" w:firstLine="420"/>
                <w:rPr>
                  <w:szCs w:val="21"/>
                </w:rPr>
              </w:pPr>
              <w:r>
                <w:rPr>
                  <w:rFonts w:hint="eastAsia"/>
                  <w:szCs w:val="21"/>
                </w:rPr>
                <w:t>（</w:t>
              </w:r>
              <w:r>
                <w:rPr>
                  <w:szCs w:val="21"/>
                </w:rPr>
                <w:t>2）借款费用资本化率以及资本化金额的计算方法</w:t>
              </w:r>
            </w:p>
            <w:p w14:paraId="67582CB9" w14:textId="77777777" w:rsidR="00830E72" w:rsidRDefault="008344D8">
              <w:pPr>
                <w:ind w:firstLineChars="200" w:firstLine="420"/>
                <w:rPr>
                  <w:szCs w:val="21"/>
                </w:rPr>
              </w:pPr>
              <w:r>
                <w:rPr>
                  <w:rFonts w:hint="eastAsia"/>
                  <w:szCs w:val="21"/>
                </w:rPr>
                <w:t>为购建或者生产符合资本化条件的资产而借入专门借款的，以专门借款当期实际发生的利息费用，减去将尚未动用的借款资金存入银行取得的利息收入或者进行暂时性投资取得的投资收益后的金额，确定为专门借款利息费用的资本化金额。</w:t>
              </w:r>
            </w:p>
            <w:p w14:paraId="3CB89BEF" w14:textId="77777777" w:rsidR="00830E72" w:rsidRDefault="008344D8">
              <w:pPr>
                <w:ind w:firstLineChars="200" w:firstLine="420"/>
                <w:rPr>
                  <w:szCs w:val="21"/>
                </w:rPr>
              </w:pPr>
              <w:r>
                <w:rPr>
                  <w:rFonts w:hint="eastAsia"/>
                  <w:szCs w:val="21"/>
                </w:rPr>
                <w:t>购建或者生产符合资本化条件的资产占用了一般借款的，一般借款应予资本化的利息金额按累计资产支出超过专门借款部分的资产支出加权平均数乘以所占用一般借款的资本化率，计算确定一般借款应予资本化的利息金额。资本化率根据一般借款加权平均利率计算确定。</w:t>
              </w:r>
            </w:p>
          </w:sdtContent>
        </w:sdt>
        <w:p w14:paraId="1142FACA" w14:textId="77777777" w:rsidR="00830E72" w:rsidRDefault="00D44830">
          <w:pPr>
            <w:rPr>
              <w:szCs w:val="21"/>
            </w:rPr>
          </w:pPr>
        </w:p>
      </w:sdtContent>
    </w:sdt>
    <w:sdt>
      <w:sdtPr>
        <w:rPr>
          <w:rFonts w:ascii="宋体" w:hAnsi="宋体" w:cs="宋体"/>
          <w:b w:val="0"/>
          <w:bCs w:val="0"/>
          <w:kern w:val="0"/>
          <w:szCs w:val="22"/>
        </w:rPr>
        <w:alias w:val="模块:生物资产会计处理方法"/>
        <w:tag w:val="_GBC_0b83f813710f436286429917c8c39567"/>
        <w:id w:val="-1278487135"/>
        <w:lock w:val="sdtLocked"/>
        <w:placeholder>
          <w:docPart w:val="GBC22222222222222222222222222222"/>
        </w:placeholder>
      </w:sdtPr>
      <w:sdtEndPr>
        <w:rPr>
          <w:rFonts w:cs="Times New Roman" w:hint="eastAsia"/>
          <w:kern w:val="2"/>
          <w:szCs w:val="21"/>
        </w:rPr>
      </w:sdtEndPr>
      <w:sdtContent>
        <w:p w14:paraId="519BDE7D" w14:textId="77777777" w:rsidR="00830E72" w:rsidRDefault="008344D8">
          <w:pPr>
            <w:pStyle w:val="Style99"/>
            <w:numPr>
              <w:ilvl w:val="0"/>
              <w:numId w:val="35"/>
            </w:numPr>
            <w:rPr>
              <w:rFonts w:ascii="宋体" w:hAnsi="宋体"/>
            </w:rPr>
          </w:pPr>
          <w:r>
            <w:rPr>
              <w:rFonts w:ascii="宋体" w:hAnsi="宋体"/>
            </w:rPr>
            <w:t>生物资产</w:t>
          </w:r>
        </w:p>
        <w:sdt>
          <w:sdtPr>
            <w:rPr>
              <w:rFonts w:hint="eastAsia"/>
              <w:szCs w:val="21"/>
            </w:rPr>
            <w:alias w:val="是否适用：生物资产_重要会计政策和估计[双击切换]"/>
            <w:tag w:val="_GBC_3c525bb9dd0340978b83e74317a40315"/>
            <w:id w:val="1735278725"/>
            <w:lock w:val="sdtContentLocked"/>
            <w:placeholder>
              <w:docPart w:val="GBC22222222222222222222222222222"/>
            </w:placeholder>
          </w:sdtPr>
          <w:sdtEndPr/>
          <w:sdtContent>
            <w:p w14:paraId="63B349B5"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01F9EF6" w14:textId="77777777" w:rsidR="00830E72" w:rsidRDefault="00D44830">
          <w:pPr>
            <w:rPr>
              <w:szCs w:val="21"/>
            </w:rPr>
          </w:pPr>
        </w:p>
      </w:sdtContent>
    </w:sdt>
    <w:sdt>
      <w:sdtPr>
        <w:rPr>
          <w:rFonts w:ascii="宋体" w:hAnsi="宋体" w:cs="宋体"/>
          <w:b w:val="0"/>
          <w:bCs w:val="0"/>
          <w:kern w:val="0"/>
          <w:szCs w:val="22"/>
        </w:rPr>
        <w:alias w:val="模块:油气资产会计处理方法"/>
        <w:tag w:val="_GBC_ed738d1d51d04aad8efd3fb3e88bf021"/>
        <w:id w:val="1844516515"/>
        <w:lock w:val="sdtLocked"/>
        <w:placeholder>
          <w:docPart w:val="GBC22222222222222222222222222222"/>
        </w:placeholder>
      </w:sdtPr>
      <w:sdtEndPr>
        <w:rPr>
          <w:rFonts w:cs="Times New Roman" w:hint="eastAsia"/>
          <w:kern w:val="2"/>
          <w:szCs w:val="21"/>
        </w:rPr>
      </w:sdtEndPr>
      <w:sdtContent>
        <w:p w14:paraId="08222707" w14:textId="77777777" w:rsidR="00830E72" w:rsidRDefault="008344D8">
          <w:pPr>
            <w:pStyle w:val="Style99"/>
            <w:numPr>
              <w:ilvl w:val="0"/>
              <w:numId w:val="35"/>
            </w:numPr>
            <w:rPr>
              <w:rFonts w:ascii="宋体" w:hAnsi="宋体"/>
            </w:rPr>
          </w:pPr>
          <w:r>
            <w:rPr>
              <w:rFonts w:ascii="宋体" w:hAnsi="宋体"/>
            </w:rPr>
            <w:t>油气资产</w:t>
          </w:r>
        </w:p>
        <w:sdt>
          <w:sdtPr>
            <w:rPr>
              <w:rFonts w:hint="eastAsia"/>
              <w:szCs w:val="21"/>
            </w:rPr>
            <w:alias w:val="是否适用：油气资产_重要会计政策和估计[双击切换]"/>
            <w:tag w:val="_GBC_60d99a70431c4b868b6e953077cbfe88"/>
            <w:id w:val="487063921"/>
            <w:lock w:val="sdtContentLocked"/>
            <w:placeholder>
              <w:docPart w:val="GBC22222222222222222222222222222"/>
            </w:placeholder>
          </w:sdtPr>
          <w:sdtEndPr/>
          <w:sdtContent>
            <w:p w14:paraId="213FDB23"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9C68BE8" w14:textId="77777777" w:rsidR="00830E72" w:rsidRDefault="00D44830">
          <w:pPr>
            <w:rPr>
              <w:rFonts w:cs="Times New Roman"/>
              <w:kern w:val="2"/>
              <w:szCs w:val="21"/>
            </w:rPr>
          </w:pPr>
        </w:p>
      </w:sdtContent>
    </w:sdt>
    <w:sdt>
      <w:sdtPr>
        <w:rPr>
          <w:rFonts w:ascii="宋体" w:hAnsi="宋体" w:cs="宋体" w:hint="eastAsia"/>
          <w:b w:val="0"/>
          <w:bCs w:val="0"/>
          <w:kern w:val="0"/>
          <w:szCs w:val="21"/>
        </w:rPr>
        <w:alias w:val="模块:使用权资产"/>
        <w:tag w:val="_SEC_90a021f24056469493c41c33bb5760c5"/>
        <w:id w:val="-2036564297"/>
        <w:lock w:val="sdtLocked"/>
        <w:placeholder>
          <w:docPart w:val="GBC22222222222222222222222222222"/>
        </w:placeholder>
      </w:sdtPr>
      <w:sdtEndPr>
        <w:rPr>
          <w:rFonts w:hint="default"/>
        </w:rPr>
      </w:sdtEndPr>
      <w:sdtContent>
        <w:p w14:paraId="40F213FB" w14:textId="77777777" w:rsidR="00830E72" w:rsidRDefault="008344D8">
          <w:pPr>
            <w:pStyle w:val="Style99"/>
            <w:numPr>
              <w:ilvl w:val="0"/>
              <w:numId w:val="35"/>
            </w:numPr>
            <w:rPr>
              <w:rFonts w:ascii="宋体" w:hAnsi="宋体"/>
              <w:szCs w:val="21"/>
            </w:rPr>
          </w:pPr>
          <w:r>
            <w:rPr>
              <w:rFonts w:ascii="宋体" w:hAnsi="宋体" w:hint="eastAsia"/>
              <w:szCs w:val="21"/>
            </w:rPr>
            <w:t>使用权资产</w:t>
          </w:r>
        </w:p>
        <w:bookmarkStart w:id="79" w:name="_Hlk11675892" w:displacedByCustomXml="next"/>
        <w:sdt>
          <w:sdtPr>
            <w:rPr>
              <w:szCs w:val="21"/>
            </w:rPr>
            <w:alias w:val="是否适用：使用权资产_重要会计政策和估计[双击切换]"/>
            <w:tag w:val="_GBC_bbd2545b6bca43cea34e43a28caeae1a"/>
            <w:id w:val="-1392105251"/>
            <w:lock w:val="sdtContentLocked"/>
            <w:placeholder>
              <w:docPart w:val="GBC22222222222222222222222222222"/>
            </w:placeholder>
          </w:sdtPr>
          <w:sdtEndPr/>
          <w:sdtContent>
            <w:p w14:paraId="21F54FB7"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使用权资产的核算方法"/>
            <w:tag w:val="_GBC_3bb46fd024784bf2b06e4f7d7b903751"/>
            <w:id w:val="150337021"/>
            <w:lock w:val="sdtLocked"/>
          </w:sdtPr>
          <w:sdtEndPr/>
          <w:sdtContent>
            <w:p w14:paraId="5AFFD68D" w14:textId="77777777" w:rsidR="00830E72" w:rsidRDefault="008344D8">
              <w:pPr>
                <w:ind w:firstLineChars="200" w:firstLine="420"/>
                <w:rPr>
                  <w:szCs w:val="21"/>
                </w:rPr>
              </w:pPr>
              <w:r>
                <w:rPr>
                  <w:rFonts w:hint="eastAsia"/>
                  <w:szCs w:val="21"/>
                </w:rPr>
                <w:t>（</w:t>
              </w:r>
              <w:r>
                <w:rPr>
                  <w:szCs w:val="21"/>
                </w:rPr>
                <w:t>1）使用权资产确认条件</w:t>
              </w:r>
            </w:p>
            <w:p w14:paraId="23D6CC78" w14:textId="77777777" w:rsidR="00830E72" w:rsidRDefault="008344D8">
              <w:pPr>
                <w:ind w:firstLineChars="200" w:firstLine="420"/>
                <w:rPr>
                  <w:szCs w:val="21"/>
                </w:rPr>
              </w:pPr>
              <w:r>
                <w:rPr>
                  <w:rFonts w:hint="eastAsia"/>
                  <w:szCs w:val="21"/>
                </w:rPr>
                <w:t>本公司使用权资产是指本公司作为承租人可在租赁期内使用租赁资产的权利。</w:t>
              </w:r>
            </w:p>
            <w:p w14:paraId="026EEAFE" w14:textId="77777777" w:rsidR="00830E72" w:rsidRDefault="008344D8">
              <w:pPr>
                <w:ind w:firstLineChars="200" w:firstLine="420"/>
                <w:rPr>
                  <w:szCs w:val="21"/>
                </w:rPr>
              </w:pPr>
              <w:r>
                <w:rPr>
                  <w:rFonts w:hint="eastAsia"/>
                  <w:szCs w:val="21"/>
                </w:rPr>
                <w:t>在租赁期开始日，使用权资产按照成本进行初始计量。该成本包括：租赁负债的初始计量金额；在租赁期开始日或之前支付的租赁付款额，存在租赁激励的，扣除已享受的租赁激励相关金额；本公司作为承租人发生的初始直接费用</w:t>
              </w:r>
            </w:p>
            <w:p w14:paraId="7439CC1D" w14:textId="77777777" w:rsidR="00830E72" w:rsidRDefault="008344D8">
              <w:pPr>
                <w:ind w:firstLineChars="200" w:firstLine="420"/>
                <w:rPr>
                  <w:szCs w:val="21"/>
                </w:rPr>
              </w:pPr>
              <w:r>
                <w:rPr>
                  <w:rFonts w:hint="eastAsia"/>
                  <w:szCs w:val="21"/>
                </w:rPr>
                <w:t>（</w:t>
              </w:r>
              <w:r>
                <w:rPr>
                  <w:szCs w:val="21"/>
                </w:rPr>
                <w:t>2）使用权资产的折旧方法</w:t>
              </w:r>
            </w:p>
            <w:p w14:paraId="68587D6E" w14:textId="77777777" w:rsidR="00830E72" w:rsidRDefault="008344D8">
              <w:pPr>
                <w:ind w:firstLineChars="200" w:firstLine="420"/>
                <w:rPr>
                  <w:szCs w:val="21"/>
                </w:rPr>
              </w:pPr>
              <w:r>
                <w:rPr>
                  <w:rFonts w:hint="eastAsia"/>
                  <w:szCs w:val="21"/>
                </w:rPr>
                <w:t>本公司采用直线法计提折旧。本公司作为承租人能够合理确定租赁期届满时取得租赁资产所有权的，在租赁资产剩余使用寿命内计提折旧。无法合理确定租赁期届满时能够取得租赁资产所有权的，在租赁期与租赁资产剩余使用寿命两者孰短的期间内计提折旧。</w:t>
              </w:r>
            </w:p>
            <w:p w14:paraId="25D0D056" w14:textId="77777777" w:rsidR="00830E72" w:rsidRDefault="008344D8">
              <w:pPr>
                <w:ind w:firstLineChars="200" w:firstLine="420"/>
                <w:rPr>
                  <w:szCs w:val="21"/>
                </w:rPr>
              </w:pPr>
              <w:r>
                <w:rPr>
                  <w:rFonts w:hint="eastAsia"/>
                  <w:szCs w:val="21"/>
                </w:rPr>
                <w:t>（</w:t>
              </w:r>
              <w:r>
                <w:rPr>
                  <w:szCs w:val="21"/>
                </w:rPr>
                <w:t>3）使用权资产的减值测试方法、减值准备计提方法见</w:t>
              </w:r>
              <w:r>
                <w:rPr>
                  <w:rFonts w:hint="eastAsia"/>
                  <w:szCs w:val="21"/>
                </w:rPr>
                <w:t>“本节五、重要会计政策及会计估计</w:t>
              </w:r>
              <w:r>
                <w:rPr>
                  <w:szCs w:val="21"/>
                </w:rPr>
                <w:t xml:space="preserve"> </w:t>
              </w:r>
              <w:r>
                <w:rPr>
                  <w:rFonts w:hint="eastAsia"/>
                  <w:szCs w:val="21"/>
                </w:rPr>
                <w:t>30</w:t>
              </w:r>
              <w:r>
                <w:rPr>
                  <w:szCs w:val="21"/>
                </w:rPr>
                <w:t>”</w:t>
              </w:r>
            </w:p>
          </w:sdtContent>
        </w:sdt>
        <w:p w14:paraId="56D531E2" w14:textId="77777777" w:rsidR="00830E72" w:rsidRDefault="00D44830">
          <w:pPr>
            <w:rPr>
              <w:szCs w:val="21"/>
            </w:rPr>
          </w:pPr>
        </w:p>
      </w:sdtContent>
    </w:sdt>
    <w:bookmarkEnd w:id="79" w:displacedByCustomXml="next"/>
    <w:sdt>
      <w:sdtPr>
        <w:rPr>
          <w:rFonts w:ascii="宋体" w:hAnsi="宋体" w:cs="宋体"/>
          <w:b w:val="0"/>
          <w:bCs w:val="0"/>
          <w:kern w:val="0"/>
          <w:szCs w:val="22"/>
        </w:rPr>
        <w:alias w:val="模块:无形资产会计处理方法"/>
        <w:tag w:val="_GBC_0a8b293ff9e94173b2e385f4ef2a8c89"/>
        <w:id w:val="-101641711"/>
        <w:lock w:val="sdtLocked"/>
        <w:placeholder>
          <w:docPart w:val="GBC22222222222222222222222222222"/>
        </w:placeholder>
      </w:sdtPr>
      <w:sdtEndPr>
        <w:rPr>
          <w:rFonts w:cs="Times New Roman" w:hint="eastAsia"/>
          <w:kern w:val="2"/>
          <w:szCs w:val="21"/>
        </w:rPr>
      </w:sdtEndPr>
      <w:sdtContent>
        <w:p w14:paraId="4BE77F3F" w14:textId="77777777" w:rsidR="00830E72" w:rsidRDefault="008344D8">
          <w:pPr>
            <w:pStyle w:val="Style99"/>
            <w:numPr>
              <w:ilvl w:val="0"/>
              <w:numId w:val="35"/>
            </w:numPr>
            <w:rPr>
              <w:rFonts w:ascii="宋体" w:hAnsi="宋体"/>
            </w:rPr>
          </w:pPr>
          <w:r>
            <w:rPr>
              <w:rFonts w:ascii="宋体" w:hAnsi="宋体"/>
            </w:rPr>
            <w:t>无形资产</w:t>
          </w:r>
        </w:p>
        <w:p w14:paraId="0B096D0E" w14:textId="77777777" w:rsidR="00830E72" w:rsidRDefault="008344D8">
          <w:pPr>
            <w:pStyle w:val="Style100"/>
            <w:numPr>
              <w:ilvl w:val="3"/>
              <w:numId w:val="39"/>
            </w:numPr>
            <w:tabs>
              <w:tab w:val="left" w:pos="448"/>
            </w:tabs>
            <w:rPr>
              <w:rFonts w:ascii="宋体" w:hAnsi="宋体"/>
            </w:rPr>
          </w:pPr>
          <w:r>
            <w:rPr>
              <w:rFonts w:ascii="宋体" w:hAnsi="宋体" w:hint="eastAsia"/>
            </w:rPr>
            <w:t>计价方法、使用寿命、减值测试</w:t>
          </w:r>
        </w:p>
        <w:sdt>
          <w:sdtPr>
            <w:rPr>
              <w:rFonts w:hint="eastAsia"/>
              <w:szCs w:val="21"/>
            </w:rPr>
            <w:alias w:val="是否适用：无形资产计价方法、使用寿命、减值测试[双击切换]"/>
            <w:tag w:val="_GBC_a82698fb1ffd4e75b46a9c35938b4cf4"/>
            <w:id w:val="-1324810125"/>
            <w:lock w:val="sdtContentLocked"/>
            <w:placeholder>
              <w:docPart w:val="GBC22222222222222222222222222222"/>
            </w:placeholder>
          </w:sdtPr>
          <w:sdtEndPr/>
          <w:sdtContent>
            <w:p w14:paraId="03A96B69"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无形资产计价方法、使用寿命、减值测试"/>
            <w:tag w:val="_GBC_a9e64b18f452482eb6674ec605618dcc"/>
            <w:id w:val="-320583982"/>
            <w:lock w:val="sdtLocked"/>
            <w:placeholder>
              <w:docPart w:val="GBC22222222222222222222222222222"/>
            </w:placeholder>
          </w:sdtPr>
          <w:sdtEndPr/>
          <w:sdtContent>
            <w:p w14:paraId="158A4CE6" w14:textId="77777777" w:rsidR="00830E72" w:rsidRDefault="008344D8">
              <w:pPr>
                <w:ind w:firstLineChars="200" w:firstLine="420"/>
                <w:rPr>
                  <w:szCs w:val="21"/>
                </w:rPr>
              </w:pPr>
              <w:r>
                <w:rPr>
                  <w:rFonts w:hint="eastAsia"/>
                  <w:szCs w:val="21"/>
                </w:rPr>
                <w:t>（</w:t>
              </w:r>
              <w:r>
                <w:rPr>
                  <w:szCs w:val="21"/>
                </w:rPr>
                <w:t>1）无形资产的计价方法</w:t>
              </w:r>
            </w:p>
            <w:p w14:paraId="75B4DE68" w14:textId="77777777" w:rsidR="00830E72" w:rsidRDefault="008344D8">
              <w:pPr>
                <w:ind w:firstLineChars="200" w:firstLine="420"/>
                <w:rPr>
                  <w:szCs w:val="21"/>
                </w:rPr>
              </w:pPr>
              <w:r>
                <w:rPr>
                  <w:rFonts w:hint="eastAsia"/>
                  <w:szCs w:val="21"/>
                </w:rPr>
                <w:t>按取得时的实际成本入账。</w:t>
              </w:r>
            </w:p>
            <w:p w14:paraId="36C5273B" w14:textId="77777777" w:rsidR="00830E72" w:rsidRDefault="008344D8">
              <w:pPr>
                <w:ind w:firstLineChars="200" w:firstLine="420"/>
                <w:rPr>
                  <w:szCs w:val="21"/>
                </w:rPr>
              </w:pPr>
              <w:r>
                <w:rPr>
                  <w:rFonts w:hint="eastAsia"/>
                  <w:szCs w:val="21"/>
                </w:rPr>
                <w:t>（</w:t>
              </w:r>
              <w:r>
                <w:rPr>
                  <w:szCs w:val="21"/>
                </w:rPr>
                <w:t>2）无形资产使用寿命及摊销</w:t>
              </w:r>
            </w:p>
            <w:p w14:paraId="447EC831" w14:textId="77777777" w:rsidR="00830E72" w:rsidRDefault="008344D8">
              <w:pPr>
                <w:ind w:firstLineChars="200" w:firstLine="420"/>
                <w:rPr>
                  <w:szCs w:val="21"/>
                </w:rPr>
              </w:pPr>
              <w:r>
                <w:rPr>
                  <w:rFonts w:hint="eastAsia"/>
                  <w:szCs w:val="21"/>
                </w:rPr>
                <w:t>①</w:t>
              </w:r>
              <w:r>
                <w:rPr>
                  <w:szCs w:val="21"/>
                </w:rPr>
                <w:t xml:space="preserve"> 用寿命有限的无形资产的使用寿命估计情况：</w:t>
              </w:r>
            </w:p>
            <w:tbl>
              <w:tblPr>
                <w:tblStyle w:val="g2"/>
                <w:tblW w:w="0" w:type="auto"/>
                <w:tblLook w:val="04A0" w:firstRow="1" w:lastRow="0" w:firstColumn="1" w:lastColumn="0" w:noHBand="0" w:noVBand="1"/>
              </w:tblPr>
              <w:tblGrid>
                <w:gridCol w:w="2122"/>
                <w:gridCol w:w="1842"/>
                <w:gridCol w:w="4859"/>
              </w:tblGrid>
              <w:tr w:rsidR="00830E72" w14:paraId="61E4D6F4" w14:textId="77777777">
                <w:tc>
                  <w:tcPr>
                    <w:tcW w:w="2122" w:type="dxa"/>
                  </w:tcPr>
                  <w:p w14:paraId="4ED2DDC3" w14:textId="77777777" w:rsidR="00830E72" w:rsidRDefault="008344D8">
                    <w:pPr>
                      <w:jc w:val="center"/>
                      <w:rPr>
                        <w:szCs w:val="21"/>
                      </w:rPr>
                    </w:pPr>
                    <w:r>
                      <w:rPr>
                        <w:rFonts w:hint="eastAsia"/>
                        <w:szCs w:val="21"/>
                      </w:rPr>
                      <w:t>项目</w:t>
                    </w:r>
                  </w:p>
                </w:tc>
                <w:tc>
                  <w:tcPr>
                    <w:tcW w:w="1842" w:type="dxa"/>
                  </w:tcPr>
                  <w:p w14:paraId="0A925324" w14:textId="77777777" w:rsidR="00830E72" w:rsidRDefault="008344D8">
                    <w:pPr>
                      <w:jc w:val="center"/>
                      <w:rPr>
                        <w:szCs w:val="21"/>
                      </w:rPr>
                    </w:pPr>
                    <w:r>
                      <w:rPr>
                        <w:rFonts w:hint="eastAsia"/>
                        <w:szCs w:val="21"/>
                      </w:rPr>
                      <w:t>预计使用寿命</w:t>
                    </w:r>
                  </w:p>
                </w:tc>
                <w:tc>
                  <w:tcPr>
                    <w:tcW w:w="4859" w:type="dxa"/>
                  </w:tcPr>
                  <w:p w14:paraId="2A8C42A1" w14:textId="77777777" w:rsidR="00830E72" w:rsidRDefault="008344D8">
                    <w:pPr>
                      <w:jc w:val="center"/>
                      <w:rPr>
                        <w:szCs w:val="21"/>
                      </w:rPr>
                    </w:pPr>
                    <w:r>
                      <w:rPr>
                        <w:rFonts w:hint="eastAsia"/>
                        <w:szCs w:val="21"/>
                      </w:rPr>
                      <w:t>依据</w:t>
                    </w:r>
                  </w:p>
                </w:tc>
              </w:tr>
              <w:tr w:rsidR="00830E72" w14:paraId="18C3CAA2" w14:textId="77777777">
                <w:tc>
                  <w:tcPr>
                    <w:tcW w:w="2122" w:type="dxa"/>
                  </w:tcPr>
                  <w:p w14:paraId="23173EE3" w14:textId="77777777" w:rsidR="00830E72" w:rsidRDefault="008344D8">
                    <w:pPr>
                      <w:jc w:val="center"/>
                      <w:rPr>
                        <w:szCs w:val="21"/>
                      </w:rPr>
                    </w:pPr>
                    <w:r>
                      <w:rPr>
                        <w:rFonts w:hint="eastAsia"/>
                        <w:szCs w:val="21"/>
                      </w:rPr>
                      <w:t>土地使用权</w:t>
                    </w:r>
                  </w:p>
                </w:tc>
                <w:tc>
                  <w:tcPr>
                    <w:tcW w:w="1842" w:type="dxa"/>
                  </w:tcPr>
                  <w:p w14:paraId="4DD441B0" w14:textId="77777777" w:rsidR="00830E72" w:rsidRDefault="008344D8">
                    <w:pPr>
                      <w:jc w:val="center"/>
                      <w:rPr>
                        <w:szCs w:val="21"/>
                      </w:rPr>
                    </w:pPr>
                    <w:r>
                      <w:rPr>
                        <w:rFonts w:hint="eastAsia"/>
                        <w:szCs w:val="21"/>
                      </w:rPr>
                      <w:t>50年</w:t>
                    </w:r>
                  </w:p>
                </w:tc>
                <w:tc>
                  <w:tcPr>
                    <w:tcW w:w="4859" w:type="dxa"/>
                  </w:tcPr>
                  <w:p w14:paraId="62E8D1C1" w14:textId="77777777" w:rsidR="00830E72" w:rsidRDefault="008344D8">
                    <w:pPr>
                      <w:jc w:val="center"/>
                      <w:rPr>
                        <w:szCs w:val="21"/>
                      </w:rPr>
                    </w:pPr>
                    <w:r>
                      <w:rPr>
                        <w:rFonts w:hint="eastAsia"/>
                        <w:szCs w:val="21"/>
                      </w:rPr>
                      <w:t>法定使用权</w:t>
                    </w:r>
                  </w:p>
                </w:tc>
              </w:tr>
              <w:tr w:rsidR="00830E72" w14:paraId="7C236C80" w14:textId="77777777">
                <w:tc>
                  <w:tcPr>
                    <w:tcW w:w="2122" w:type="dxa"/>
                  </w:tcPr>
                  <w:p w14:paraId="2A416372" w14:textId="77777777" w:rsidR="00830E72" w:rsidRDefault="008344D8">
                    <w:pPr>
                      <w:jc w:val="center"/>
                      <w:rPr>
                        <w:szCs w:val="21"/>
                      </w:rPr>
                    </w:pPr>
                    <w:r>
                      <w:rPr>
                        <w:rFonts w:hint="eastAsia"/>
                        <w:szCs w:val="21"/>
                      </w:rPr>
                      <w:t>计算机软件</w:t>
                    </w:r>
                  </w:p>
                </w:tc>
                <w:tc>
                  <w:tcPr>
                    <w:tcW w:w="1842" w:type="dxa"/>
                  </w:tcPr>
                  <w:p w14:paraId="2990E7E7" w14:textId="77777777" w:rsidR="00830E72" w:rsidRDefault="008344D8">
                    <w:pPr>
                      <w:jc w:val="center"/>
                      <w:rPr>
                        <w:szCs w:val="21"/>
                      </w:rPr>
                    </w:pPr>
                    <w:r>
                      <w:rPr>
                        <w:rFonts w:hint="eastAsia"/>
                        <w:szCs w:val="21"/>
                      </w:rPr>
                      <w:t>5年</w:t>
                    </w:r>
                  </w:p>
                </w:tc>
                <w:tc>
                  <w:tcPr>
                    <w:tcW w:w="4859" w:type="dxa"/>
                  </w:tcPr>
                  <w:p w14:paraId="371D5A71" w14:textId="77777777" w:rsidR="00830E72" w:rsidRDefault="008344D8">
                    <w:pPr>
                      <w:rPr>
                        <w:szCs w:val="21"/>
                      </w:rPr>
                    </w:pPr>
                    <w:r>
                      <w:rPr>
                        <w:rFonts w:hint="eastAsia"/>
                        <w:szCs w:val="21"/>
                      </w:rPr>
                      <w:t>参考能为公司带来经济利益的期限确定使用寿命</w:t>
                    </w:r>
                  </w:p>
                </w:tc>
              </w:tr>
            </w:tbl>
            <w:p w14:paraId="76066754" w14:textId="77777777" w:rsidR="00830E72" w:rsidRDefault="008344D8">
              <w:pPr>
                <w:ind w:firstLineChars="200" w:firstLine="420"/>
                <w:rPr>
                  <w:szCs w:val="21"/>
                </w:rPr>
              </w:pPr>
              <w:r>
                <w:rPr>
                  <w:rFonts w:hint="eastAsia"/>
                  <w:szCs w:val="21"/>
                </w:rPr>
                <w:t>每年年度终了，公司对使用寿命有限的无形资产的使用寿命及摊销方法进行复核。经复核，</w:t>
              </w:r>
            </w:p>
            <w:p w14:paraId="6EB6F308" w14:textId="77777777" w:rsidR="00830E72" w:rsidRDefault="008344D8">
              <w:pPr>
                <w:ind w:firstLineChars="200" w:firstLine="420"/>
                <w:rPr>
                  <w:szCs w:val="21"/>
                </w:rPr>
              </w:pPr>
              <w:r>
                <w:rPr>
                  <w:rFonts w:hint="eastAsia"/>
                  <w:szCs w:val="21"/>
                </w:rPr>
                <w:t>本期末无形资产的使用寿命及摊销方法与以前估计未有不同。</w:t>
              </w:r>
            </w:p>
            <w:p w14:paraId="7B965AEF" w14:textId="77777777" w:rsidR="00830E72" w:rsidRDefault="008344D8">
              <w:pPr>
                <w:ind w:firstLineChars="200" w:firstLine="420"/>
                <w:rPr>
                  <w:szCs w:val="21"/>
                </w:rPr>
              </w:pPr>
              <w:r>
                <w:rPr>
                  <w:rFonts w:hint="eastAsia"/>
                  <w:szCs w:val="21"/>
                </w:rPr>
                <w:t>②无法预见无形资产为企业带来经济利益期限的，视为使用寿命不确定的无形资产。对于使用寿命不确定的无形资产，公司在每年年度终了对使用寿命不确定的无形资产的使用寿命进行复核，如果重新复核后仍为不确定的，于资产负债表日进行减值测试。</w:t>
              </w:r>
            </w:p>
            <w:p w14:paraId="522B8BB8" w14:textId="77777777" w:rsidR="00830E72" w:rsidRDefault="008344D8">
              <w:pPr>
                <w:ind w:firstLineChars="200" w:firstLine="420"/>
                <w:rPr>
                  <w:szCs w:val="21"/>
                </w:rPr>
              </w:pPr>
              <w:r>
                <w:rPr>
                  <w:rFonts w:hint="eastAsia"/>
                  <w:szCs w:val="21"/>
                </w:rPr>
                <w:t>③无形资产的摊销</w:t>
              </w:r>
            </w:p>
            <w:p w14:paraId="6B9BE649" w14:textId="77777777" w:rsidR="00830E72" w:rsidRDefault="008344D8">
              <w:pPr>
                <w:ind w:firstLineChars="200" w:firstLine="420"/>
                <w:rPr>
                  <w:szCs w:val="21"/>
                </w:rPr>
              </w:pPr>
              <w:r>
                <w:rPr>
                  <w:rFonts w:hint="eastAsia"/>
                  <w:szCs w:val="21"/>
                </w:rPr>
                <w:t>对于使用寿命有限的无形资产，本公司在取得时确定其使用寿命，在使用寿命内采用直线法系统合理摊销，摊销金额按受益项目计入当期损益。具体应摊销金额为其成本扣除预计残值后的金额。已计提减值准备的无形资产，还应扣除已计提的无形资产减值准备累计金额。使用寿命有限的无形资产，其残值视为零，但下列情况除外：有第三方承诺在无形资产使用寿命结束时购买该无形资产或可以根据活跃市场得到预计残值信息，并且该市场在无形资产使用寿命结束时很可能存在。</w:t>
              </w:r>
            </w:p>
            <w:p w14:paraId="56DE738E" w14:textId="77777777" w:rsidR="00830E72" w:rsidRDefault="008344D8">
              <w:pPr>
                <w:ind w:firstLineChars="200" w:firstLine="420"/>
                <w:rPr>
                  <w:szCs w:val="21"/>
                </w:rPr>
              </w:pPr>
              <w:r>
                <w:rPr>
                  <w:rFonts w:hint="eastAsia"/>
                  <w:szCs w:val="21"/>
                </w:rPr>
                <w:t>对使用寿命不确定的无形资产，不予摊销。每年年度终了对使用寿命不确定的无形资产的使用寿命进行复核，如果有证据表明无形资产的使用寿命是有限的，估计其使用寿命并在预计使用年限内系统合理摊销。</w:t>
              </w:r>
            </w:p>
            <w:p w14:paraId="2F04044D" w14:textId="77777777" w:rsidR="00830E72" w:rsidRDefault="008344D8">
              <w:pPr>
                <w:ind w:firstLineChars="200" w:firstLine="420"/>
                <w:rPr>
                  <w:szCs w:val="21"/>
                </w:rPr>
              </w:pPr>
              <w:r>
                <w:rPr>
                  <w:rFonts w:hint="eastAsia"/>
                  <w:szCs w:val="21"/>
                </w:rPr>
                <w:t>（</w:t>
              </w:r>
              <w:r>
                <w:rPr>
                  <w:szCs w:val="21"/>
                </w:rPr>
                <w:t>3）划分内部研究开发项目的研究阶段和开发阶段具体标准</w:t>
              </w:r>
            </w:p>
            <w:p w14:paraId="4825BF29" w14:textId="77777777" w:rsidR="00830E72" w:rsidRDefault="008344D8">
              <w:pPr>
                <w:ind w:firstLineChars="200" w:firstLine="420"/>
                <w:rPr>
                  <w:szCs w:val="21"/>
                </w:rPr>
              </w:pPr>
              <w:r>
                <w:rPr>
                  <w:rFonts w:hint="eastAsia"/>
                  <w:szCs w:val="21"/>
                </w:rPr>
                <w:t>①本公司将为进一步开发活动进行的资料及相关方面的准备活动作为研究阶段，无形资产研究阶段的支出在发生时计入当期损益。</w:t>
              </w:r>
            </w:p>
            <w:p w14:paraId="6B2362C8" w14:textId="77777777" w:rsidR="00830E72" w:rsidRDefault="008344D8">
              <w:pPr>
                <w:ind w:firstLineChars="200" w:firstLine="420"/>
                <w:rPr>
                  <w:szCs w:val="21"/>
                </w:rPr>
              </w:pPr>
              <w:r>
                <w:rPr>
                  <w:rFonts w:hint="eastAsia"/>
                  <w:szCs w:val="21"/>
                </w:rPr>
                <w:t>②在本公司已完成研究阶段的工作后再进行的开发活动作为开发阶段。</w:t>
              </w:r>
            </w:p>
            <w:p w14:paraId="47917928" w14:textId="77777777" w:rsidR="00830E72" w:rsidRDefault="008344D8">
              <w:pPr>
                <w:ind w:firstLineChars="200" w:firstLine="420"/>
                <w:rPr>
                  <w:szCs w:val="21"/>
                </w:rPr>
              </w:pPr>
              <w:r>
                <w:rPr>
                  <w:rFonts w:hint="eastAsia"/>
                  <w:szCs w:val="21"/>
                </w:rPr>
                <w:t>（</w:t>
              </w:r>
              <w:r>
                <w:rPr>
                  <w:szCs w:val="21"/>
                </w:rPr>
                <w:t>4）开发阶段支出资本化的具体条件</w:t>
              </w:r>
            </w:p>
            <w:p w14:paraId="32E1DFF4" w14:textId="77777777" w:rsidR="00830E72" w:rsidRDefault="008344D8">
              <w:pPr>
                <w:ind w:firstLineChars="200" w:firstLine="420"/>
                <w:rPr>
                  <w:szCs w:val="21"/>
                </w:rPr>
              </w:pPr>
              <w:r>
                <w:rPr>
                  <w:rFonts w:hint="eastAsia"/>
                  <w:szCs w:val="21"/>
                </w:rPr>
                <w:t>开发阶段的支出同时满足下列条件时，才能确认为无形资产：</w:t>
              </w:r>
            </w:p>
            <w:p w14:paraId="1E59671D" w14:textId="77777777" w:rsidR="00830E72" w:rsidRDefault="008344D8">
              <w:pPr>
                <w:ind w:firstLineChars="200" w:firstLine="420"/>
                <w:rPr>
                  <w:szCs w:val="21"/>
                </w:rPr>
              </w:pPr>
              <w:r>
                <w:rPr>
                  <w:szCs w:val="21"/>
                </w:rPr>
                <w:t>A.完成该无形资产以使其能够使用或出售在技术上具有可行性；</w:t>
              </w:r>
            </w:p>
            <w:p w14:paraId="66D58459" w14:textId="77777777" w:rsidR="00830E72" w:rsidRDefault="008344D8">
              <w:pPr>
                <w:ind w:firstLineChars="200" w:firstLine="420"/>
                <w:rPr>
                  <w:szCs w:val="21"/>
                </w:rPr>
              </w:pPr>
              <w:r>
                <w:rPr>
                  <w:szCs w:val="21"/>
                </w:rPr>
                <w:lastRenderedPageBreak/>
                <w:t>B.具有完成该无形资产并使用或出售的意图；</w:t>
              </w:r>
            </w:p>
            <w:p w14:paraId="284328BE" w14:textId="77777777" w:rsidR="00830E72" w:rsidRDefault="008344D8">
              <w:pPr>
                <w:ind w:firstLineChars="200" w:firstLine="420"/>
                <w:rPr>
                  <w:szCs w:val="21"/>
                </w:rPr>
              </w:pPr>
              <w:r>
                <w:rPr>
                  <w:szCs w:val="21"/>
                </w:rPr>
                <w:t>C.无形资产产生经济利益的方式，包括能够证明运用该无形资产生产的产品存在市场或无形</w:t>
              </w:r>
              <w:r>
                <w:rPr>
                  <w:rFonts w:hint="eastAsia"/>
                  <w:szCs w:val="21"/>
                </w:rPr>
                <w:t>资产自身存在市场，无形资产将在内部使用的，能够证明其有用性；</w:t>
              </w:r>
            </w:p>
            <w:p w14:paraId="337ED5C5" w14:textId="77777777" w:rsidR="00830E72" w:rsidRDefault="008344D8">
              <w:pPr>
                <w:ind w:firstLineChars="200" w:firstLine="420"/>
                <w:rPr>
                  <w:szCs w:val="21"/>
                </w:rPr>
              </w:pPr>
              <w:r>
                <w:rPr>
                  <w:szCs w:val="21"/>
                </w:rPr>
                <w:t>D.有足够的技术、财务资源和其他资源支持，以完成该无形资产的开发，并有能力使用或出</w:t>
              </w:r>
              <w:r>
                <w:rPr>
                  <w:rFonts w:hint="eastAsia"/>
                  <w:szCs w:val="21"/>
                </w:rPr>
                <w:t>售该无形资产；</w:t>
              </w:r>
            </w:p>
            <w:p w14:paraId="23DBAAC1" w14:textId="77777777" w:rsidR="00830E72" w:rsidRDefault="008344D8">
              <w:pPr>
                <w:ind w:firstLineChars="200" w:firstLine="420"/>
                <w:rPr>
                  <w:szCs w:val="21"/>
                </w:rPr>
              </w:pPr>
              <w:r>
                <w:rPr>
                  <w:szCs w:val="21"/>
                </w:rPr>
                <w:t>E.归属于该无形资产开发阶段的支出能够可靠地计量。</w:t>
              </w:r>
            </w:p>
          </w:sdtContent>
        </w:sdt>
        <w:p w14:paraId="3D326CD4" w14:textId="77777777" w:rsidR="00830E72" w:rsidRDefault="00830E72">
          <w:pPr>
            <w:rPr>
              <w:szCs w:val="21"/>
            </w:rPr>
          </w:pPr>
        </w:p>
        <w:p w14:paraId="5285DC21" w14:textId="77777777" w:rsidR="00830E72" w:rsidRDefault="008344D8">
          <w:pPr>
            <w:pStyle w:val="Style100"/>
            <w:numPr>
              <w:ilvl w:val="3"/>
              <w:numId w:val="39"/>
            </w:numPr>
            <w:tabs>
              <w:tab w:val="left" w:pos="448"/>
            </w:tabs>
            <w:rPr>
              <w:rFonts w:ascii="宋体" w:hAnsi="宋体"/>
            </w:rPr>
          </w:pPr>
          <w:r>
            <w:rPr>
              <w:rFonts w:ascii="宋体" w:hAnsi="宋体" w:hint="eastAsia"/>
            </w:rPr>
            <w:t>内部研究开发支出会计政策</w:t>
          </w:r>
        </w:p>
        <w:sdt>
          <w:sdtPr>
            <w:rPr>
              <w:rFonts w:hint="eastAsia"/>
              <w:szCs w:val="21"/>
            </w:rPr>
            <w:alias w:val="是否适用：无形资产内部研究开发支出会计政策[双击切换]"/>
            <w:tag w:val="_GBC_c3cef4c9f19749b8a53b7f49d3b7bac3"/>
            <w:id w:val="-88463953"/>
            <w:lock w:val="sdtContentLocked"/>
            <w:placeholder>
              <w:docPart w:val="GBC22222222222222222222222222222"/>
            </w:placeholder>
          </w:sdtPr>
          <w:sdtEndPr/>
          <w:sdtContent>
            <w:p w14:paraId="745AB307"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69319F7" w14:textId="77777777" w:rsidR="00830E72" w:rsidRDefault="00830E72">
      <w:pPr>
        <w:rPr>
          <w:szCs w:val="21"/>
        </w:rPr>
      </w:pPr>
    </w:p>
    <w:bookmarkStart w:id="80" w:name="_Hlk44405424" w:displacedByCustomXml="next"/>
    <w:sdt>
      <w:sdtPr>
        <w:rPr>
          <w:rFonts w:ascii="宋体" w:hAnsi="宋体" w:cs="宋体" w:hint="eastAsia"/>
          <w:b w:val="0"/>
          <w:bCs w:val="0"/>
          <w:kern w:val="0"/>
          <w:szCs w:val="21"/>
        </w:rPr>
        <w:alias w:val="模块:长期资产减值"/>
        <w:tag w:val="_SEC_c11b0580b6b040ca9dbb882b383dfc03"/>
        <w:id w:val="1578166903"/>
        <w:lock w:val="sdtLocked"/>
        <w:placeholder>
          <w:docPart w:val="GBC22222222222222222222222222222"/>
        </w:placeholder>
      </w:sdtPr>
      <w:sdtEndPr/>
      <w:sdtContent>
        <w:p w14:paraId="6457ED79" w14:textId="77777777" w:rsidR="00830E72" w:rsidRDefault="008344D8">
          <w:pPr>
            <w:pStyle w:val="Style99"/>
            <w:numPr>
              <w:ilvl w:val="0"/>
              <w:numId w:val="35"/>
            </w:numPr>
            <w:rPr>
              <w:rFonts w:ascii="宋体" w:hAnsi="宋体"/>
              <w:szCs w:val="21"/>
            </w:rPr>
          </w:pPr>
          <w:r>
            <w:rPr>
              <w:rFonts w:ascii="宋体" w:hAnsi="宋体" w:hint="eastAsia"/>
              <w:szCs w:val="21"/>
            </w:rPr>
            <w:t>长期资产减值</w:t>
          </w:r>
        </w:p>
        <w:sdt>
          <w:sdtPr>
            <w:rPr>
              <w:rFonts w:hint="eastAsia"/>
              <w:szCs w:val="21"/>
            </w:rPr>
            <w:alias w:val="是否适用：长期资产减值_重要会计政策和估计[双击切换]"/>
            <w:tag w:val="_GBC_d0feb744f96144ffa5335cd194c6cdf9"/>
            <w:id w:val="2026362836"/>
            <w:lock w:val="sdtContentLocked"/>
            <w:placeholder>
              <w:docPart w:val="GBC22222222222222222222222222222"/>
            </w:placeholder>
          </w:sdtPr>
          <w:sdtEndPr/>
          <w:sdtContent>
            <w:p w14:paraId="1C3E2582"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e8cb396d7101453b9e9cd1bc11b8633e"/>
            <w:id w:val="-260220227"/>
            <w:lock w:val="sdtLocked"/>
            <w:placeholder>
              <w:docPart w:val="GBC22222222222222222222222222222"/>
            </w:placeholder>
          </w:sdtPr>
          <w:sdtEndPr/>
          <w:sdtContent>
            <w:p w14:paraId="1731AAF2" w14:textId="77777777" w:rsidR="00830E72" w:rsidRDefault="008344D8">
              <w:pPr>
                <w:ind w:firstLineChars="200" w:firstLine="420"/>
                <w:rPr>
                  <w:szCs w:val="21"/>
                </w:rPr>
              </w:pPr>
              <w:r>
                <w:rPr>
                  <w:rFonts w:hint="eastAsia"/>
                  <w:szCs w:val="21"/>
                </w:rPr>
                <w:t>（</w:t>
              </w:r>
              <w:r>
                <w:rPr>
                  <w:szCs w:val="21"/>
                </w:rPr>
                <w:t>1）长期股权投资减值测试方法及会计处理方法</w:t>
              </w:r>
            </w:p>
            <w:p w14:paraId="6777BAA9" w14:textId="77777777" w:rsidR="00830E72" w:rsidRDefault="008344D8">
              <w:pPr>
                <w:ind w:firstLineChars="200" w:firstLine="420"/>
                <w:rPr>
                  <w:szCs w:val="21"/>
                </w:rPr>
              </w:pPr>
              <w:r>
                <w:rPr>
                  <w:rFonts w:hint="eastAsia"/>
                  <w:szCs w:val="21"/>
                </w:rPr>
                <w:t>本公司在资产负债表日对长期股权投资进行逐项检查，根据被投资单位经营政策、法律环境、市场需求、行业及盈利能力等的各种变化判断长期股权投资是否存在减值迹象。当长期股权投资可收回金额低于账面价值时，将可收回金额低于长期股权投资账面价值的差额作为长期股权投资减值准备予以计提。资产减值损失一经确认，在以后会计期间不再转回。</w:t>
              </w:r>
            </w:p>
            <w:p w14:paraId="7740E0CC" w14:textId="77777777" w:rsidR="00830E72" w:rsidRDefault="008344D8">
              <w:pPr>
                <w:ind w:firstLineChars="200" w:firstLine="420"/>
                <w:rPr>
                  <w:szCs w:val="21"/>
                </w:rPr>
              </w:pPr>
              <w:r>
                <w:rPr>
                  <w:rFonts w:hint="eastAsia"/>
                  <w:szCs w:val="21"/>
                </w:rPr>
                <w:t>（</w:t>
              </w:r>
              <w:r>
                <w:rPr>
                  <w:szCs w:val="21"/>
                </w:rPr>
                <w:t>2）投资性房地产减值测试方法及会计处理方法</w:t>
              </w:r>
            </w:p>
            <w:p w14:paraId="0EFCF889" w14:textId="77777777" w:rsidR="00830E72" w:rsidRDefault="008344D8">
              <w:pPr>
                <w:ind w:firstLineChars="200" w:firstLine="420"/>
                <w:rPr>
                  <w:szCs w:val="21"/>
                </w:rPr>
              </w:pPr>
              <w:r>
                <w:rPr>
                  <w:rFonts w:hint="eastAsia"/>
                  <w:szCs w:val="21"/>
                </w:rPr>
                <w:t>资产负债表日按投资性房产的成本与可收回金额孰低计价，可收回金额低于成本的，按两者的差额计提减值准备。如果已经计提减值准备的投资性房地产的价值又得以恢复，前期已计提的减值准备不得转回。</w:t>
              </w:r>
            </w:p>
            <w:p w14:paraId="19D74E27" w14:textId="77777777" w:rsidR="00830E72" w:rsidRDefault="008344D8">
              <w:pPr>
                <w:ind w:firstLineChars="200" w:firstLine="420"/>
                <w:rPr>
                  <w:szCs w:val="21"/>
                </w:rPr>
              </w:pPr>
              <w:r>
                <w:rPr>
                  <w:rFonts w:hint="eastAsia"/>
                  <w:szCs w:val="21"/>
                </w:rPr>
                <w:t>（</w:t>
              </w:r>
              <w:r>
                <w:rPr>
                  <w:szCs w:val="21"/>
                </w:rPr>
                <w:t>3）固定资产的减值测试方法及会计处理方法</w:t>
              </w:r>
            </w:p>
            <w:p w14:paraId="73DDF25A" w14:textId="77777777" w:rsidR="00830E72" w:rsidRDefault="008344D8">
              <w:pPr>
                <w:ind w:firstLineChars="200" w:firstLine="420"/>
                <w:rPr>
                  <w:szCs w:val="21"/>
                </w:rPr>
              </w:pPr>
              <w:r>
                <w:rPr>
                  <w:rFonts w:hint="eastAsia"/>
                  <w:szCs w:val="21"/>
                </w:rPr>
                <w:t>本公司在资产负债表日对各项固定资产进行判断，当存在减值迹象，估计可收回金额低于其账面价值时，账面价值减记至可收回金额，减记的金额确认为资产减值损失，计入当期损益，同时计提相应的资产减值准备。资产减值损失一经确认，在以后会计期间不再转回。当存在下列迹象的，按固定资产单项项目全额计提减值准备：</w:t>
              </w:r>
            </w:p>
            <w:p w14:paraId="24A74BC7" w14:textId="77777777" w:rsidR="00830E72" w:rsidRDefault="008344D8">
              <w:pPr>
                <w:ind w:firstLineChars="200" w:firstLine="420"/>
                <w:rPr>
                  <w:szCs w:val="21"/>
                </w:rPr>
              </w:pPr>
              <w:r>
                <w:rPr>
                  <w:rFonts w:hint="eastAsia"/>
                  <w:szCs w:val="21"/>
                </w:rPr>
                <w:t>①长期闲置不用，在可预见的未来不会再使用，且已无转让价值的固定资产；</w:t>
              </w:r>
            </w:p>
            <w:p w14:paraId="4112C61E" w14:textId="77777777" w:rsidR="00830E72" w:rsidRDefault="008344D8">
              <w:pPr>
                <w:ind w:firstLineChars="200" w:firstLine="420"/>
                <w:rPr>
                  <w:szCs w:val="21"/>
                </w:rPr>
              </w:pPr>
              <w:r>
                <w:rPr>
                  <w:rFonts w:hint="eastAsia"/>
                  <w:szCs w:val="21"/>
                </w:rPr>
                <w:t>②由于技术进步等原因，已不可使用的固定资产；</w:t>
              </w:r>
            </w:p>
            <w:p w14:paraId="084748EA" w14:textId="77777777" w:rsidR="00830E72" w:rsidRDefault="008344D8">
              <w:pPr>
                <w:ind w:firstLineChars="200" w:firstLine="420"/>
                <w:rPr>
                  <w:szCs w:val="21"/>
                </w:rPr>
              </w:pPr>
              <w:r>
                <w:rPr>
                  <w:rFonts w:hint="eastAsia"/>
                  <w:szCs w:val="21"/>
                </w:rPr>
                <w:t>③虽然固定资产尚可使用，但使用后产生大量不合格品的固定资产；</w:t>
              </w:r>
            </w:p>
            <w:p w14:paraId="31C4EE95" w14:textId="77777777" w:rsidR="00830E72" w:rsidRDefault="008344D8">
              <w:pPr>
                <w:ind w:firstLineChars="200" w:firstLine="420"/>
                <w:rPr>
                  <w:szCs w:val="21"/>
                </w:rPr>
              </w:pPr>
              <w:r>
                <w:rPr>
                  <w:rFonts w:hint="eastAsia"/>
                  <w:szCs w:val="21"/>
                </w:rPr>
                <w:t>④已遭毁损，以至于不再具有使用价值和转让价值的固定资产；</w:t>
              </w:r>
            </w:p>
            <w:p w14:paraId="6B019F18" w14:textId="77777777" w:rsidR="00830E72" w:rsidRDefault="008344D8">
              <w:pPr>
                <w:ind w:firstLineChars="200" w:firstLine="420"/>
                <w:rPr>
                  <w:szCs w:val="21"/>
                </w:rPr>
              </w:pPr>
              <w:r>
                <w:rPr>
                  <w:rFonts w:hint="eastAsia"/>
                  <w:szCs w:val="21"/>
                </w:rPr>
                <w:t>⑤其他实质上已经不能再给公司带来经济利益的固定资产。</w:t>
              </w:r>
            </w:p>
            <w:p w14:paraId="38415B2C" w14:textId="77777777" w:rsidR="00830E72" w:rsidRDefault="008344D8">
              <w:pPr>
                <w:ind w:firstLineChars="200" w:firstLine="420"/>
                <w:rPr>
                  <w:szCs w:val="21"/>
                </w:rPr>
              </w:pPr>
              <w:r>
                <w:rPr>
                  <w:rFonts w:hint="eastAsia"/>
                  <w:szCs w:val="21"/>
                </w:rPr>
                <w:t>（</w:t>
              </w:r>
              <w:r>
                <w:rPr>
                  <w:szCs w:val="21"/>
                </w:rPr>
                <w:t>4）在建工程减值测试方法及会计处理方法</w:t>
              </w:r>
            </w:p>
            <w:p w14:paraId="3E537FC6" w14:textId="77777777" w:rsidR="00830E72" w:rsidRDefault="008344D8">
              <w:pPr>
                <w:ind w:firstLineChars="200" w:firstLine="420"/>
                <w:rPr>
                  <w:szCs w:val="21"/>
                </w:rPr>
              </w:pPr>
              <w:r>
                <w:rPr>
                  <w:rFonts w:hint="eastAsia"/>
                  <w:szCs w:val="21"/>
                </w:rPr>
                <w:t>本公司于资产负债表日对在建工程进行全面检查，如果有证据表明在建工程已经发生了减值，估计可收回金额低于其账面价值时，账面价值减记至可收回金额，减记的金额确认为资产减值损失，计入当期损益，同时计提相应的资产减值准备。资产减值损失一经确认，在以后会计期间不再转回。存在下列一项或若干项情况的，对在建工程进行减值测试：</w:t>
              </w:r>
            </w:p>
            <w:p w14:paraId="2459B223" w14:textId="77777777" w:rsidR="00830E72" w:rsidRDefault="008344D8">
              <w:pPr>
                <w:ind w:firstLineChars="200" w:firstLine="420"/>
                <w:rPr>
                  <w:szCs w:val="21"/>
                </w:rPr>
              </w:pPr>
              <w:r>
                <w:rPr>
                  <w:rFonts w:hint="eastAsia"/>
                  <w:szCs w:val="21"/>
                </w:rPr>
                <w:t>①长期停建并且预计在未来</w:t>
              </w:r>
              <w:r>
                <w:rPr>
                  <w:szCs w:val="21"/>
                </w:rPr>
                <w:t xml:space="preserve"> 3 年内不会重新开工的在建工程；</w:t>
              </w:r>
            </w:p>
            <w:p w14:paraId="2013AF13" w14:textId="77777777" w:rsidR="00830E72" w:rsidRDefault="008344D8">
              <w:pPr>
                <w:ind w:firstLineChars="200" w:firstLine="420"/>
                <w:rPr>
                  <w:szCs w:val="21"/>
                </w:rPr>
              </w:pPr>
              <w:r>
                <w:rPr>
                  <w:rFonts w:hint="eastAsia"/>
                  <w:szCs w:val="21"/>
                </w:rPr>
                <w:t>②所建项目无论在性能上，还是在技术上已经落后，并且给企业带来的经济利益具有很大的不确定性；</w:t>
              </w:r>
            </w:p>
            <w:p w14:paraId="2E3034E2" w14:textId="77777777" w:rsidR="00830E72" w:rsidRDefault="008344D8">
              <w:pPr>
                <w:ind w:firstLineChars="200" w:firstLine="420"/>
                <w:rPr>
                  <w:szCs w:val="21"/>
                </w:rPr>
              </w:pPr>
              <w:r>
                <w:rPr>
                  <w:rFonts w:hint="eastAsia"/>
                  <w:szCs w:val="21"/>
                </w:rPr>
                <w:t>③其他足以证明在建工程已经发生减值的情形。</w:t>
              </w:r>
            </w:p>
            <w:p w14:paraId="0A6998CC" w14:textId="77777777" w:rsidR="00830E72" w:rsidRDefault="008344D8">
              <w:pPr>
                <w:ind w:firstLineChars="200" w:firstLine="420"/>
                <w:rPr>
                  <w:szCs w:val="21"/>
                </w:rPr>
              </w:pPr>
              <w:r>
                <w:rPr>
                  <w:rFonts w:hint="eastAsia"/>
                  <w:szCs w:val="21"/>
                </w:rPr>
                <w:t>（</w:t>
              </w:r>
              <w:r>
                <w:rPr>
                  <w:szCs w:val="21"/>
                </w:rPr>
                <w:t>5）无形资产减值测试方法及会计处理方法</w:t>
              </w:r>
            </w:p>
            <w:p w14:paraId="101783A8" w14:textId="77777777" w:rsidR="00830E72" w:rsidRDefault="008344D8">
              <w:pPr>
                <w:ind w:firstLineChars="200" w:firstLine="420"/>
                <w:rPr>
                  <w:szCs w:val="21"/>
                </w:rPr>
              </w:pPr>
              <w:r>
                <w:rPr>
                  <w:rFonts w:hint="eastAsia"/>
                  <w:szCs w:val="21"/>
                </w:rPr>
                <w:t>当无形资产的可收回金额低于其账面价值时，将资产的账面价值减记至可收回金额，减记的金额确认为资产减值损失，计入当期损益，同时计提相应的无形资产减值准备。无形资产减值损失一经确认，在以后会计期间不再转回。存在下列一项或多项以下情况的，对无形资产进行减值测试：</w:t>
              </w:r>
            </w:p>
            <w:p w14:paraId="71228AB0" w14:textId="77777777" w:rsidR="00830E72" w:rsidRDefault="008344D8">
              <w:pPr>
                <w:ind w:firstLineChars="200" w:firstLine="420"/>
                <w:rPr>
                  <w:szCs w:val="21"/>
                </w:rPr>
              </w:pPr>
              <w:r>
                <w:rPr>
                  <w:rFonts w:hint="eastAsia"/>
                  <w:szCs w:val="21"/>
                </w:rPr>
                <w:t>①该无形资产已被其他新技术等所替代，使其为企业创造经济利益的能力受到重大不利影响；</w:t>
              </w:r>
            </w:p>
            <w:p w14:paraId="552F66CA" w14:textId="77777777" w:rsidR="00830E72" w:rsidRDefault="008344D8">
              <w:pPr>
                <w:ind w:firstLineChars="200" w:firstLine="420"/>
                <w:rPr>
                  <w:szCs w:val="21"/>
                </w:rPr>
              </w:pPr>
              <w:r>
                <w:rPr>
                  <w:rFonts w:hint="eastAsia"/>
                  <w:szCs w:val="21"/>
                </w:rPr>
                <w:t>②该无形资产的市价在当期大幅下跌，并在剩余年限内可能不会回升；</w:t>
              </w:r>
            </w:p>
            <w:p w14:paraId="1687401B" w14:textId="77777777" w:rsidR="00830E72" w:rsidRDefault="008344D8">
              <w:pPr>
                <w:ind w:firstLineChars="200" w:firstLine="420"/>
                <w:rPr>
                  <w:szCs w:val="21"/>
                </w:rPr>
              </w:pPr>
              <w:r>
                <w:rPr>
                  <w:rFonts w:hint="eastAsia"/>
                  <w:szCs w:val="21"/>
                </w:rPr>
                <w:t>③其他足以表明该无形资产的账面价值已超过可收回金额的情况。</w:t>
              </w:r>
            </w:p>
            <w:p w14:paraId="5DB314CA" w14:textId="77777777" w:rsidR="00830E72" w:rsidRDefault="008344D8">
              <w:pPr>
                <w:ind w:firstLineChars="200" w:firstLine="420"/>
                <w:rPr>
                  <w:szCs w:val="21"/>
                </w:rPr>
              </w:pPr>
              <w:r>
                <w:rPr>
                  <w:rFonts w:hint="eastAsia"/>
                  <w:szCs w:val="21"/>
                </w:rPr>
                <w:t>（</w:t>
              </w:r>
              <w:r>
                <w:rPr>
                  <w:szCs w:val="21"/>
                </w:rPr>
                <w:t>6）商誉减值测试</w:t>
              </w:r>
            </w:p>
            <w:p w14:paraId="3A316013" w14:textId="77777777" w:rsidR="00830E72" w:rsidRDefault="008344D8">
              <w:pPr>
                <w:ind w:firstLineChars="200" w:firstLine="420"/>
                <w:rPr>
                  <w:szCs w:val="21"/>
                </w:rPr>
              </w:pPr>
              <w:r>
                <w:rPr>
                  <w:rFonts w:hint="eastAsia"/>
                  <w:szCs w:val="21"/>
                </w:rPr>
                <w:lastRenderedPageBreak/>
                <w:t>企业合并形成的商誉，至少在每年年度终了进行减值测试。本公司在对包含商誉的相关资产组或者资产组组合进行减值测试时，如与商誉相关的资产组或者资产组组合存在减值迹象的，按以下步骤处理：</w:t>
              </w:r>
            </w:p>
            <w:p w14:paraId="133F98D0" w14:textId="77777777" w:rsidR="00830E72" w:rsidRDefault="008344D8">
              <w:pPr>
                <w:ind w:firstLineChars="200" w:firstLine="420"/>
                <w:rPr>
                  <w:szCs w:val="21"/>
                </w:rPr>
              </w:pPr>
              <w:r>
                <w:rPr>
                  <w:rFonts w:hint="eastAsia"/>
                  <w:szCs w:val="21"/>
                </w:rPr>
                <w:t>首先对不包含商誉的资产组或者资产组组合进行减值测试，计算可收回金额，并与相关资产账面价值比较，确认相应的减值损失；然后再对包含商誉的资产组或者资产组这组合进行减值测试，比较这些相关资产组或者资产组组合的账面价值（包括所分摊的商誉的账面价值部分）与其可收回金额，如相关资产组或者资产组组合的可收回金额低于其账面价值的，就其差额确认减值损失。减值损失金额首先抵减分摊至资产组或者资产组组合中商誉的账面价值；再根据资产组或者资产组组合中除商誉之外的其他各项资产的账面价值所占比重，按比例抵减其他各项资产的账面价值。</w:t>
              </w:r>
            </w:p>
          </w:sdtContent>
        </w:sdt>
      </w:sdtContent>
    </w:sdt>
    <w:bookmarkEnd w:id="80"/>
    <w:p w14:paraId="09D62A39" w14:textId="77777777" w:rsidR="00830E72" w:rsidRDefault="00830E72">
      <w:pPr>
        <w:rPr>
          <w:szCs w:val="21"/>
        </w:rPr>
      </w:pPr>
    </w:p>
    <w:bookmarkStart w:id="81" w:name="_Hlk44405475" w:displacedByCustomXml="next"/>
    <w:sdt>
      <w:sdtPr>
        <w:rPr>
          <w:rFonts w:ascii="宋体" w:hAnsi="宋体" w:cs="宋体" w:hint="eastAsia"/>
          <w:b w:val="0"/>
          <w:bCs w:val="0"/>
          <w:kern w:val="0"/>
          <w:szCs w:val="21"/>
        </w:rPr>
        <w:alias w:val="模块:长期待摊费用"/>
        <w:tag w:val="_SEC_716e5dd4aef549d9b8815a4e1474e63d"/>
        <w:id w:val="-2115509940"/>
        <w:lock w:val="sdtLocked"/>
        <w:placeholder>
          <w:docPart w:val="GBC22222222222222222222222222222"/>
        </w:placeholder>
      </w:sdtPr>
      <w:sdtEndPr/>
      <w:sdtContent>
        <w:p w14:paraId="781E8B32" w14:textId="77777777" w:rsidR="00830E72" w:rsidRDefault="008344D8">
          <w:pPr>
            <w:pStyle w:val="Style99"/>
            <w:numPr>
              <w:ilvl w:val="0"/>
              <w:numId w:val="35"/>
            </w:numPr>
            <w:rPr>
              <w:rFonts w:ascii="宋体" w:hAnsi="宋体"/>
            </w:rPr>
          </w:pPr>
          <w:r>
            <w:rPr>
              <w:rFonts w:ascii="宋体" w:hAnsi="宋体"/>
            </w:rPr>
            <w:t>长期待摊费用</w:t>
          </w:r>
        </w:p>
        <w:sdt>
          <w:sdtPr>
            <w:rPr>
              <w:rFonts w:hint="eastAsia"/>
              <w:szCs w:val="21"/>
            </w:rPr>
            <w:alias w:val="是否适用：长期待摊费用_重要会计政策和估计[双击切换]"/>
            <w:tag w:val="_GBC_75739ccc62204f0490525060b33e330f"/>
            <w:id w:val="-1502727043"/>
            <w:lock w:val="sdtContentLocked"/>
            <w:placeholder>
              <w:docPart w:val="GBC22222222222222222222222222222"/>
            </w:placeholder>
          </w:sdtPr>
          <w:sdtEndPr/>
          <w:sdtContent>
            <w:p w14:paraId="46CEE9BC"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e4e695ce4aea4c878acb6f8ad7190139"/>
            <w:id w:val="1740824020"/>
            <w:lock w:val="sdtLocked"/>
            <w:placeholder>
              <w:docPart w:val="GBC22222222222222222222222222222"/>
            </w:placeholder>
          </w:sdtPr>
          <w:sdtEndPr/>
          <w:sdtContent>
            <w:p w14:paraId="0AE9B2C8" w14:textId="77777777" w:rsidR="00830E72" w:rsidRDefault="008344D8">
              <w:pPr>
                <w:ind w:firstLineChars="200" w:firstLine="420"/>
                <w:rPr>
                  <w:szCs w:val="21"/>
                </w:rPr>
              </w:pPr>
              <w:r>
                <w:rPr>
                  <w:rFonts w:hint="eastAsia"/>
                  <w:szCs w:val="21"/>
                </w:rPr>
                <w:t>长期待摊费用核算本公司已经发生但应由本期和以后各期负担的分摊期限在一年以上的各项费用。本公司长期待摊费用在受益期内平均摊销。</w:t>
              </w:r>
            </w:p>
          </w:sdtContent>
        </w:sdt>
        <w:p w14:paraId="427C6232" w14:textId="77777777" w:rsidR="00830E72" w:rsidRDefault="00D44830">
          <w:pPr>
            <w:rPr>
              <w:szCs w:val="21"/>
            </w:rPr>
          </w:pPr>
        </w:p>
      </w:sdtContent>
    </w:sdt>
    <w:bookmarkEnd w:id="81" w:displacedByCustomXml="next"/>
    <w:bookmarkStart w:id="82" w:name="_Hlk10465482" w:displacedByCustomXml="next"/>
    <w:sdt>
      <w:sdtPr>
        <w:rPr>
          <w:rFonts w:ascii="宋体" w:hAnsi="宋体" w:cs="宋体" w:hint="eastAsia"/>
          <w:b w:val="0"/>
          <w:bCs w:val="0"/>
          <w:kern w:val="0"/>
          <w:szCs w:val="21"/>
        </w:rPr>
        <w:alias w:val="模块:合同负债"/>
        <w:tag w:val="_SEC_2988762bdf3a48178e0180a615cb7705"/>
        <w:id w:val="448751951"/>
        <w:lock w:val="sdtLocked"/>
        <w:placeholder>
          <w:docPart w:val="GBC22222222222222222222222222222"/>
        </w:placeholder>
      </w:sdtPr>
      <w:sdtEndPr>
        <w:rPr>
          <w:szCs w:val="24"/>
        </w:rPr>
      </w:sdtEndPr>
      <w:sdtContent>
        <w:p w14:paraId="38CFF334" w14:textId="77777777" w:rsidR="00830E72" w:rsidRDefault="008344D8">
          <w:pPr>
            <w:pStyle w:val="Style99"/>
            <w:numPr>
              <w:ilvl w:val="0"/>
              <w:numId w:val="35"/>
            </w:numPr>
            <w:rPr>
              <w:rFonts w:ascii="宋体" w:hAnsi="宋体"/>
              <w:szCs w:val="21"/>
            </w:rPr>
          </w:pPr>
          <w:r>
            <w:rPr>
              <w:rFonts w:ascii="宋体" w:hAnsi="宋体" w:hint="eastAsia"/>
              <w:szCs w:val="21"/>
            </w:rPr>
            <w:t>合同负债</w:t>
          </w:r>
        </w:p>
        <w:p w14:paraId="1CB1DFF8" w14:textId="77777777" w:rsidR="00830E72" w:rsidRDefault="008344D8">
          <w:pPr>
            <w:pStyle w:val="Style100"/>
            <w:rPr>
              <w:rFonts w:ascii="宋体" w:hAnsi="宋体"/>
            </w:rPr>
          </w:pPr>
          <w:r>
            <w:rPr>
              <w:rFonts w:ascii="宋体" w:hAnsi="宋体" w:hint="eastAsia"/>
            </w:rPr>
            <w:t>合同负债的确认方法</w:t>
          </w:r>
        </w:p>
        <w:sdt>
          <w:sdtPr>
            <w:rPr>
              <w:szCs w:val="21"/>
            </w:rPr>
            <w:alias w:val="是否适用：合同负债的确定方法、摊销方法和减值测试方法[双击切换]"/>
            <w:tag w:val="_GBC_f210968f2ea04a338a3253827b172c25"/>
            <w:id w:val="-1865125190"/>
            <w:lock w:val="sdtContentLocked"/>
            <w:placeholder>
              <w:docPart w:val="GBC22222222222222222222222222222"/>
            </w:placeholder>
          </w:sdtPr>
          <w:sdtEndPr/>
          <w:sdtContent>
            <w:p w14:paraId="6EE9EAE8"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负债的确定方法、摊销方法和减值测试方法"/>
            <w:tag w:val="_GBC_adbfb902bae348178906cb42c1932267"/>
            <w:id w:val="1372494326"/>
            <w:lock w:val="sdtLocked"/>
            <w:placeholder>
              <w:docPart w:val="GBC22222222222222222222222222222"/>
            </w:placeholder>
          </w:sdtPr>
          <w:sdtEndPr/>
          <w:sdtContent>
            <w:p w14:paraId="1EE5C0DE" w14:textId="77777777" w:rsidR="00830E72" w:rsidRDefault="008344D8">
              <w:pPr>
                <w:ind w:firstLineChars="200" w:firstLine="420"/>
                <w:rPr>
                  <w:szCs w:val="21"/>
                </w:rPr>
              </w:pPr>
              <w:r>
                <w:rPr>
                  <w:rFonts w:hint="eastAsia"/>
                  <w:szCs w:val="21"/>
                </w:rPr>
                <w:t>自</w:t>
              </w:r>
              <w:r>
                <w:rPr>
                  <w:szCs w:val="21"/>
                </w:rPr>
                <w:t xml:space="preserve"> 2020 年 1 月 1 日起适用</w:t>
              </w:r>
            </w:p>
            <w:p w14:paraId="6F24BE6A" w14:textId="77777777" w:rsidR="00830E72" w:rsidRDefault="008344D8">
              <w:pPr>
                <w:ind w:firstLineChars="200" w:firstLine="420"/>
                <w:jc w:val="both"/>
                <w:rPr>
                  <w:szCs w:val="21"/>
                </w:rPr>
              </w:pPr>
              <w:r>
                <w:rPr>
                  <w:rFonts w:hint="eastAsia"/>
                  <w:szCs w:val="21"/>
                </w:rPr>
                <w:t>本公司根据履行履约义务与客户付款之间的关系在资产负债表中列示合同资产或合同负债。本公司已向客户转让商品或提供服务而有权收取的对价（且该权利取决于时间流逝之外的其他因素）列示为合同资产。本公司已收或应收客户对价而应向客户转让商品或提供服务的义务列示为合同负债。</w:t>
              </w:r>
            </w:p>
            <w:p w14:paraId="6FA9EA6E" w14:textId="77777777" w:rsidR="00830E72" w:rsidRDefault="008344D8">
              <w:pPr>
                <w:ind w:firstLineChars="200" w:firstLine="420"/>
                <w:jc w:val="both"/>
                <w:rPr>
                  <w:szCs w:val="21"/>
                </w:rPr>
              </w:pPr>
              <w:r>
                <w:rPr>
                  <w:rFonts w:hint="eastAsia"/>
                  <w:szCs w:val="21"/>
                </w:rPr>
                <w:t>本公司对合同资产的预期信用损失的确定方法及会计处理方法详见详见本节五、重要会计政策及会计估计</w:t>
              </w:r>
              <w:r>
                <w:rPr>
                  <w:szCs w:val="21"/>
                </w:rPr>
                <w:t>16。</w:t>
              </w:r>
              <w:r>
                <w:rPr>
                  <w:rFonts w:hint="eastAsia"/>
                  <w:szCs w:val="21"/>
                </w:rPr>
                <w:t>合同资产和合同负债在资产负债表中单独列示。同一合同下的合同资产和合同负债以净额列示，净额为借方余额的，根据其流动性在“合同资产”或“其他非流动资产”项目中列示；净额为贷方余额的，根据其流动性在“合同负债”或“其他非流动负债”项目中列示。不同合同下的合同资产和合同负债不能相互抵销。</w:t>
              </w:r>
            </w:p>
          </w:sdtContent>
        </w:sdt>
        <w:p w14:paraId="64937CF6" w14:textId="77777777" w:rsidR="00830E72" w:rsidRDefault="00D44830"/>
      </w:sdtContent>
    </w:sdt>
    <w:bookmarkEnd w:id="82" w:displacedByCustomXml="next"/>
    <w:sdt>
      <w:sdtPr>
        <w:rPr>
          <w:rFonts w:ascii="宋体" w:hAnsi="宋体" w:cstheme="minorBidi" w:hint="eastAsia"/>
          <w:b w:val="0"/>
          <w:bCs w:val="0"/>
          <w:kern w:val="0"/>
          <w:szCs w:val="22"/>
        </w:rPr>
        <w:alias w:val="模块:职工薪酬"/>
        <w:tag w:val="_GBC_8ec8855eb4d5447ab785e4bd4b0b73aa"/>
        <w:id w:val="-1589918605"/>
        <w:lock w:val="sdtLocked"/>
        <w:placeholder>
          <w:docPart w:val="GBC22222222222222222222222222222"/>
        </w:placeholder>
      </w:sdtPr>
      <w:sdtEndPr>
        <w:rPr>
          <w:rFonts w:cs="Times New Roman"/>
          <w:szCs w:val="21"/>
        </w:rPr>
      </w:sdtEndPr>
      <w:sdtContent>
        <w:p w14:paraId="092DE514" w14:textId="77777777" w:rsidR="00830E72" w:rsidRDefault="008344D8">
          <w:pPr>
            <w:pStyle w:val="Style99"/>
            <w:numPr>
              <w:ilvl w:val="0"/>
              <w:numId w:val="35"/>
            </w:numPr>
            <w:rPr>
              <w:rFonts w:ascii="宋体" w:hAnsi="宋体"/>
            </w:rPr>
          </w:pPr>
          <w:r>
            <w:rPr>
              <w:rFonts w:ascii="宋体" w:hAnsi="宋体" w:hint="eastAsia"/>
            </w:rPr>
            <w:t>职工薪酬</w:t>
          </w:r>
        </w:p>
        <w:p w14:paraId="40B9DF79" w14:textId="77777777" w:rsidR="00830E72" w:rsidRDefault="008344D8">
          <w:pPr>
            <w:pStyle w:val="Style100"/>
            <w:numPr>
              <w:ilvl w:val="0"/>
              <w:numId w:val="40"/>
            </w:numPr>
            <w:rPr>
              <w:rFonts w:ascii="宋体" w:hAnsi="宋体"/>
            </w:rPr>
          </w:pPr>
          <w:r>
            <w:rPr>
              <w:rFonts w:ascii="宋体" w:hAnsi="宋体" w:hint="eastAsia"/>
            </w:rPr>
            <w:t>短期薪酬的会计处理方法</w:t>
          </w:r>
        </w:p>
        <w:sdt>
          <w:sdtPr>
            <w:alias w:val="是否适用：短期薪酬的会计处理方法[双击切换]"/>
            <w:tag w:val="_GBC_eefed2a465e349b6a35598930bd9541d"/>
            <w:id w:val="1667829242"/>
            <w:lock w:val="sdtContentLocked"/>
            <w:placeholder>
              <w:docPart w:val="GBC22222222222222222222222222222"/>
            </w:placeholder>
          </w:sdtPr>
          <w:sdtEndPr/>
          <w:sdtContent>
            <w:p w14:paraId="35BEE911"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短期薪酬的会计处理方法"/>
            <w:tag w:val="_GBC_8fdf44b194ac45fb945d36b9896df796"/>
            <w:id w:val="18203046"/>
            <w:lock w:val="sdtLocked"/>
            <w:placeholder>
              <w:docPart w:val="GBC22222222222222222222222222222"/>
            </w:placeholder>
          </w:sdtPr>
          <w:sdtEndPr/>
          <w:sdtContent>
            <w:p w14:paraId="78000F48" w14:textId="77777777" w:rsidR="00830E72" w:rsidRDefault="008344D8">
              <w:pPr>
                <w:ind w:firstLineChars="200" w:firstLine="420"/>
                <w:rPr>
                  <w:szCs w:val="21"/>
                </w:rPr>
              </w:pPr>
              <w:r>
                <w:rPr>
                  <w:rFonts w:hint="eastAsia"/>
                  <w:szCs w:val="21"/>
                </w:rPr>
                <w:t>职工薪酬，是指本公司为获得职工提供的服务或解除劳动关系而给予的各种形式的报酬或补偿。职工薪酬包括短期薪酬、离职后福利、辞退福利和其他长期职工福利。本公司提供给职工配偶、子女、受赡养人、已故员工遗属及其他受益人等的福利，也属于职工薪酬。根据流动性，职工薪酬分别列示于资产负债表的“应付职工薪酬”项目和“长期应付职工薪酬”项目。</w:t>
              </w:r>
            </w:p>
            <w:p w14:paraId="355742C1" w14:textId="77777777" w:rsidR="00830E72" w:rsidRDefault="008344D8">
              <w:pPr>
                <w:ind w:firstLineChars="200" w:firstLine="420"/>
                <w:rPr>
                  <w:szCs w:val="21"/>
                </w:rPr>
              </w:pPr>
              <w:r>
                <w:rPr>
                  <w:rFonts w:hint="eastAsia"/>
                  <w:szCs w:val="21"/>
                </w:rPr>
                <w:t>短期薪酬的会计处理方法</w:t>
              </w:r>
            </w:p>
            <w:p w14:paraId="6FA8BADB" w14:textId="77777777" w:rsidR="00830E72" w:rsidRDefault="008344D8">
              <w:pPr>
                <w:ind w:firstLineChars="200" w:firstLine="420"/>
                <w:rPr>
                  <w:szCs w:val="21"/>
                </w:rPr>
              </w:pPr>
              <w:r>
                <w:rPr>
                  <w:rFonts w:hint="eastAsia"/>
                  <w:szCs w:val="21"/>
                </w:rPr>
                <w:t>①职工基本薪酬（工资、奖金、津贴、补贴）</w:t>
              </w:r>
            </w:p>
            <w:p w14:paraId="37154E1C" w14:textId="77777777" w:rsidR="00830E72" w:rsidRDefault="008344D8">
              <w:pPr>
                <w:ind w:firstLineChars="200" w:firstLine="420"/>
                <w:rPr>
                  <w:szCs w:val="21"/>
                </w:rPr>
              </w:pPr>
              <w:r>
                <w:rPr>
                  <w:rFonts w:hint="eastAsia"/>
                  <w:szCs w:val="21"/>
                </w:rPr>
                <w:t>本公司在职工为其提供服务的会计期间，将实际发生的短期薪酬确认为负债，并计入当期损益，其他会计准则要求或允许计入资产成本的除外。</w:t>
              </w:r>
            </w:p>
            <w:p w14:paraId="47624709" w14:textId="77777777" w:rsidR="00830E72" w:rsidRDefault="008344D8">
              <w:pPr>
                <w:ind w:firstLineChars="200" w:firstLine="420"/>
                <w:rPr>
                  <w:szCs w:val="21"/>
                </w:rPr>
              </w:pPr>
              <w:r>
                <w:rPr>
                  <w:rFonts w:hint="eastAsia"/>
                  <w:szCs w:val="21"/>
                </w:rPr>
                <w:t>②职工福利费</w:t>
              </w:r>
            </w:p>
            <w:p w14:paraId="204C0D52" w14:textId="77777777" w:rsidR="00830E72" w:rsidRDefault="008344D8">
              <w:pPr>
                <w:ind w:firstLineChars="200" w:firstLine="420"/>
                <w:rPr>
                  <w:szCs w:val="21"/>
                </w:rPr>
              </w:pPr>
              <w:r>
                <w:rPr>
                  <w:rFonts w:hint="eastAsia"/>
                  <w:szCs w:val="21"/>
                </w:rPr>
                <w:t>本公司发生的职工福利费，在实际发生时根据实际发生额计入当期损益或相关资产成本。职工福利费为非货币性福利的，按照公允价值计量。</w:t>
              </w:r>
            </w:p>
            <w:p w14:paraId="20A7CF98" w14:textId="77777777" w:rsidR="00830E72" w:rsidRDefault="008344D8">
              <w:pPr>
                <w:ind w:firstLineChars="200" w:firstLine="420"/>
                <w:rPr>
                  <w:szCs w:val="21"/>
                </w:rPr>
              </w:pPr>
              <w:r>
                <w:rPr>
                  <w:rFonts w:hint="eastAsia"/>
                  <w:szCs w:val="21"/>
                </w:rPr>
                <w:t>③医疗保险费、工伤保险费、生育保险费等社会保险费和住房公积金，以及工会经费和职工教育经费</w:t>
              </w:r>
            </w:p>
            <w:p w14:paraId="60D3B4A9" w14:textId="77777777" w:rsidR="00830E72" w:rsidRDefault="008344D8">
              <w:pPr>
                <w:ind w:firstLineChars="200" w:firstLine="420"/>
                <w:rPr>
                  <w:szCs w:val="21"/>
                </w:rPr>
              </w:pPr>
              <w:r>
                <w:rPr>
                  <w:rFonts w:hint="eastAsia"/>
                  <w:szCs w:val="21"/>
                </w:rPr>
                <w:t>本公司为职工缴纳的医疗保险费、工伤保险费、生育保险费等社会保险费和住房公积金，以及按规定提取的工会经费和职工教育经费，在职工为其提供服务的会计期间，根据规定的计提基础和计提比例计算确定相应的职工薪酬金额，并确认相应负债，计入当期损益或相关资产成本。</w:t>
              </w:r>
            </w:p>
            <w:p w14:paraId="34C6AB4F" w14:textId="77777777" w:rsidR="00830E72" w:rsidRDefault="008344D8">
              <w:pPr>
                <w:ind w:firstLineChars="200" w:firstLine="420"/>
                <w:rPr>
                  <w:szCs w:val="21"/>
                </w:rPr>
              </w:pPr>
              <w:r>
                <w:rPr>
                  <w:rFonts w:hint="eastAsia"/>
                  <w:szCs w:val="21"/>
                </w:rPr>
                <w:lastRenderedPageBreak/>
                <w:t>④短期带薪缺勤</w:t>
              </w:r>
            </w:p>
            <w:p w14:paraId="44A6CF77" w14:textId="77777777" w:rsidR="00830E72" w:rsidRDefault="008344D8">
              <w:pPr>
                <w:ind w:firstLineChars="200" w:firstLine="420"/>
                <w:rPr>
                  <w:szCs w:val="21"/>
                </w:rPr>
              </w:pPr>
              <w:r>
                <w:rPr>
                  <w:rFonts w:hint="eastAsia"/>
                  <w:szCs w:val="21"/>
                </w:rPr>
                <w:t>本公司在职工提供服务从而增加了其未来享有的带薪缺勤权利时，确认与累积带薪缺勤相关的职工薪酬，并以累积未行使权利而增加的预期支付金额计量。本公司在职工实际发生缺勤的会计期间确认与非累积带薪缺勤相关的职工薪酬。</w:t>
              </w:r>
            </w:p>
            <w:p w14:paraId="4E71D2EF" w14:textId="77777777" w:rsidR="00830E72" w:rsidRDefault="008344D8">
              <w:pPr>
                <w:ind w:firstLineChars="200" w:firstLine="420"/>
                <w:rPr>
                  <w:szCs w:val="21"/>
                </w:rPr>
              </w:pPr>
              <w:r>
                <w:rPr>
                  <w:rFonts w:hint="eastAsia"/>
                  <w:szCs w:val="21"/>
                </w:rPr>
                <w:t>⑤短期利润分享计划</w:t>
              </w:r>
            </w:p>
            <w:p w14:paraId="7FB5F855" w14:textId="77777777" w:rsidR="00830E72" w:rsidRDefault="008344D8">
              <w:pPr>
                <w:ind w:firstLineChars="200" w:firstLine="420"/>
                <w:rPr>
                  <w:szCs w:val="21"/>
                </w:rPr>
              </w:pPr>
              <w:r>
                <w:rPr>
                  <w:rFonts w:hint="eastAsia"/>
                  <w:szCs w:val="21"/>
                </w:rPr>
                <w:t>利润分享计划同时满足下列条件的，本公司确认相关的应付职工薪酬：</w:t>
              </w:r>
            </w:p>
            <w:p w14:paraId="0304C919" w14:textId="77777777" w:rsidR="00830E72" w:rsidRDefault="008344D8">
              <w:pPr>
                <w:ind w:firstLineChars="200" w:firstLine="420"/>
                <w:rPr>
                  <w:szCs w:val="21"/>
                </w:rPr>
              </w:pPr>
              <w:r>
                <w:rPr>
                  <w:szCs w:val="21"/>
                </w:rPr>
                <w:t>A.企业因过去事项导致现在具有支付职工薪酬的法定义务或推定义务；</w:t>
              </w:r>
            </w:p>
            <w:p w14:paraId="69A36D11" w14:textId="77777777" w:rsidR="00830E72" w:rsidRDefault="008344D8">
              <w:pPr>
                <w:ind w:firstLineChars="200" w:firstLine="420"/>
                <w:rPr>
                  <w:szCs w:val="21"/>
                </w:rPr>
              </w:pPr>
              <w:r>
                <w:rPr>
                  <w:szCs w:val="21"/>
                </w:rPr>
                <w:t>B.因利润分享计划所产生的应付职工薪酬义务金额能够可靠估计。</w:t>
              </w:r>
            </w:p>
          </w:sdtContent>
        </w:sdt>
        <w:p w14:paraId="3D9C0CBB" w14:textId="77777777" w:rsidR="00830E72" w:rsidRDefault="00830E72">
          <w:pPr>
            <w:rPr>
              <w:szCs w:val="21"/>
            </w:rPr>
          </w:pPr>
        </w:p>
        <w:p w14:paraId="26A12D77" w14:textId="77777777" w:rsidR="00830E72" w:rsidRDefault="008344D8">
          <w:pPr>
            <w:pStyle w:val="Style100"/>
            <w:numPr>
              <w:ilvl w:val="0"/>
              <w:numId w:val="40"/>
            </w:numPr>
            <w:rPr>
              <w:rFonts w:ascii="宋体" w:hAnsi="宋体"/>
            </w:rPr>
          </w:pPr>
          <w:r>
            <w:rPr>
              <w:rFonts w:ascii="宋体" w:hAnsi="宋体" w:hint="eastAsia"/>
            </w:rPr>
            <w:t>离职后福利的会计处理方法</w:t>
          </w:r>
        </w:p>
        <w:sdt>
          <w:sdtPr>
            <w:rPr>
              <w:rFonts w:hint="eastAsia"/>
              <w:szCs w:val="21"/>
            </w:rPr>
            <w:alias w:val="是否适用：离职后福利的会计处理方法[双击切换]"/>
            <w:tag w:val="_GBC_35bbae299fda438d9e595058bbecbcdc"/>
            <w:id w:val="1364945831"/>
            <w:lock w:val="sdtContentLocked"/>
            <w:placeholder>
              <w:docPart w:val="GBC22222222222222222222222222222"/>
            </w:placeholder>
          </w:sdtPr>
          <w:sdtEndPr/>
          <w:sdtContent>
            <w:p w14:paraId="1059E54E"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728917251"/>
            <w:lock w:val="sdtLocked"/>
            <w:placeholder>
              <w:docPart w:val="GBC22222222222222222222222222222"/>
            </w:placeholder>
          </w:sdtPr>
          <w:sdtEndPr/>
          <w:sdtContent>
            <w:p w14:paraId="63BEA837" w14:textId="77777777" w:rsidR="00830E72" w:rsidRDefault="008344D8">
              <w:pPr>
                <w:ind w:firstLineChars="200" w:firstLine="420"/>
                <w:rPr>
                  <w:szCs w:val="21"/>
                </w:rPr>
              </w:pPr>
              <w:r>
                <w:rPr>
                  <w:rFonts w:hint="eastAsia"/>
                  <w:szCs w:val="21"/>
                </w:rPr>
                <w:t>①设定提存计划</w:t>
              </w:r>
            </w:p>
            <w:p w14:paraId="24483FBE" w14:textId="77777777" w:rsidR="00830E72" w:rsidRDefault="008344D8">
              <w:pPr>
                <w:ind w:firstLineChars="200" w:firstLine="420"/>
                <w:rPr>
                  <w:szCs w:val="21"/>
                </w:rPr>
              </w:pPr>
              <w:r>
                <w:rPr>
                  <w:rFonts w:hint="eastAsia"/>
                  <w:szCs w:val="21"/>
                </w:rPr>
                <w:t>本公司在职工为其提供服务的会计期间，将根据设定提存计划计算的应缴存金额确认为负债，并计入当期损益或相关资产成本。</w:t>
              </w:r>
            </w:p>
            <w:p w14:paraId="02C215DF" w14:textId="77777777" w:rsidR="00830E72" w:rsidRDefault="008344D8">
              <w:pPr>
                <w:ind w:firstLineChars="200" w:firstLine="420"/>
                <w:rPr>
                  <w:szCs w:val="21"/>
                </w:rPr>
              </w:pPr>
              <w:r>
                <w:rPr>
                  <w:rFonts w:hint="eastAsia"/>
                  <w:szCs w:val="21"/>
                </w:rPr>
                <w:t>根据设定提存计划，预期不会在职工提供相关服务的年度报告期结束后十二个月内支付全部应缴存金额的，本公司参照相应的折现率（根据资产负债表日与设定提存计划义务期限和币种相匹配的国债或活跃市场上的高质量公司债券的市场收益率确定），将全部应缴存金额以折现后的金额计量应付职工薪酬。</w:t>
              </w:r>
            </w:p>
            <w:p w14:paraId="6ACDC82D" w14:textId="77777777" w:rsidR="00830E72" w:rsidRDefault="008344D8">
              <w:pPr>
                <w:ind w:firstLineChars="200" w:firstLine="420"/>
                <w:rPr>
                  <w:szCs w:val="21"/>
                </w:rPr>
              </w:pPr>
              <w:r>
                <w:rPr>
                  <w:rFonts w:hint="eastAsia"/>
                  <w:szCs w:val="21"/>
                </w:rPr>
                <w:t>②设定受益计划</w:t>
              </w:r>
            </w:p>
            <w:p w14:paraId="73856114" w14:textId="77777777" w:rsidR="00830E72" w:rsidRDefault="008344D8">
              <w:pPr>
                <w:ind w:firstLineChars="200" w:firstLine="420"/>
                <w:rPr>
                  <w:szCs w:val="21"/>
                </w:rPr>
              </w:pPr>
              <w:r>
                <w:rPr>
                  <w:szCs w:val="21"/>
                </w:rPr>
                <w:t>A．确定设定受益计划义务的现值和当期服务成本</w:t>
              </w:r>
            </w:p>
            <w:p w14:paraId="5EEA4169" w14:textId="77777777" w:rsidR="00830E72" w:rsidRDefault="008344D8">
              <w:pPr>
                <w:ind w:firstLineChars="200" w:firstLine="420"/>
                <w:rPr>
                  <w:szCs w:val="21"/>
                </w:rPr>
              </w:pPr>
              <w:r>
                <w:rPr>
                  <w:rFonts w:hint="eastAsia"/>
                  <w:szCs w:val="21"/>
                </w:rPr>
                <w:t>根据预期累计福利单位法，采用无偏且相互一致的精算假设对有关人口统计变量和财务变量等做出估计，计量设定受益计划所产生的义务，并确定相关义务的归属期间。本公司按照相应的折现率（根据资产负债表日与设定受益计划义务期限和币种相匹配的国债或活跃市场上的高质量公司债券的市场收益率确定）将设定受益计划所产生的义务予以折现，以确定设定受益计划义务的现值和当期服务成本。</w:t>
              </w:r>
            </w:p>
            <w:p w14:paraId="5BDC50CE" w14:textId="77777777" w:rsidR="00830E72" w:rsidRDefault="008344D8">
              <w:pPr>
                <w:ind w:firstLineChars="200" w:firstLine="420"/>
                <w:rPr>
                  <w:szCs w:val="21"/>
                </w:rPr>
              </w:pPr>
              <w:r>
                <w:rPr>
                  <w:szCs w:val="21"/>
                </w:rPr>
                <w:t>B.确认设定受益计划净负债或净资产</w:t>
              </w:r>
            </w:p>
            <w:p w14:paraId="2E14CBC0" w14:textId="77777777" w:rsidR="00830E72" w:rsidRDefault="008344D8">
              <w:pPr>
                <w:ind w:firstLineChars="200" w:firstLine="420"/>
                <w:rPr>
                  <w:szCs w:val="21"/>
                </w:rPr>
              </w:pPr>
              <w:r>
                <w:rPr>
                  <w:rFonts w:hint="eastAsia"/>
                  <w:szCs w:val="21"/>
                </w:rPr>
                <w:t>设定受益计划存在资产的，本公司将设定受益计划义务现值减去设定受益计划资产公允价值所形成的赤字或盈余确认为一项设定受益计划净负债或净资产。</w:t>
              </w:r>
            </w:p>
            <w:p w14:paraId="6ED94137" w14:textId="77777777" w:rsidR="00830E72" w:rsidRDefault="008344D8">
              <w:pPr>
                <w:ind w:firstLineChars="200" w:firstLine="420"/>
                <w:rPr>
                  <w:szCs w:val="21"/>
                </w:rPr>
              </w:pPr>
              <w:r>
                <w:rPr>
                  <w:rFonts w:hint="eastAsia"/>
                  <w:szCs w:val="21"/>
                </w:rPr>
                <w:t>设定受益计划存在盈余的，本公司以设定受益计划的盈余和资产上限两项的孰低者计量设定受益计划净资产。</w:t>
              </w:r>
            </w:p>
            <w:p w14:paraId="1FA7CB3A" w14:textId="77777777" w:rsidR="00830E72" w:rsidRDefault="008344D8">
              <w:pPr>
                <w:ind w:firstLineChars="200" w:firstLine="420"/>
                <w:rPr>
                  <w:szCs w:val="21"/>
                </w:rPr>
              </w:pPr>
              <w:r>
                <w:rPr>
                  <w:szCs w:val="21"/>
                </w:rPr>
                <w:t>C.确定应计入资产成本或当期损益的金额</w:t>
              </w:r>
            </w:p>
            <w:p w14:paraId="032C2772" w14:textId="77777777" w:rsidR="00830E72" w:rsidRDefault="008344D8">
              <w:pPr>
                <w:ind w:firstLineChars="200" w:firstLine="420"/>
                <w:rPr>
                  <w:szCs w:val="21"/>
                </w:rPr>
              </w:pPr>
              <w:r>
                <w:rPr>
                  <w:rFonts w:hint="eastAsia"/>
                  <w:szCs w:val="21"/>
                </w:rPr>
                <w:t>服务成本，包括当期服务成本、过去服务成本和结算利得或损失。其中，除了其他会计准则要求或允许计入资产成本的当期服务成本之外，其他服务成本均计入当期损益。</w:t>
              </w:r>
            </w:p>
            <w:p w14:paraId="4FF1FCCE" w14:textId="77777777" w:rsidR="00830E72" w:rsidRDefault="008344D8">
              <w:pPr>
                <w:ind w:firstLineChars="200" w:firstLine="420"/>
                <w:rPr>
                  <w:szCs w:val="21"/>
                </w:rPr>
              </w:pPr>
              <w:r>
                <w:rPr>
                  <w:rFonts w:hint="eastAsia"/>
                  <w:szCs w:val="21"/>
                </w:rPr>
                <w:t>设定受益计划净负债或净资产的利息净额，包括计划资产的利息收益、设定受益计划义务的利息费用以及资产上限影响的利息，均计入当期损益。</w:t>
              </w:r>
            </w:p>
            <w:p w14:paraId="117C541E" w14:textId="77777777" w:rsidR="00830E72" w:rsidRDefault="008344D8">
              <w:pPr>
                <w:ind w:firstLineChars="200" w:firstLine="420"/>
                <w:rPr>
                  <w:szCs w:val="21"/>
                </w:rPr>
              </w:pPr>
              <w:r>
                <w:rPr>
                  <w:szCs w:val="21"/>
                </w:rPr>
                <w:t>D.确定应计入其他综合收益的金额</w:t>
              </w:r>
            </w:p>
            <w:p w14:paraId="69B3AEE1" w14:textId="77777777" w:rsidR="00830E72" w:rsidRDefault="008344D8">
              <w:pPr>
                <w:ind w:firstLineChars="200" w:firstLine="420"/>
                <w:rPr>
                  <w:szCs w:val="21"/>
                </w:rPr>
              </w:pPr>
              <w:r>
                <w:rPr>
                  <w:rFonts w:hint="eastAsia"/>
                  <w:szCs w:val="21"/>
                </w:rPr>
                <w:t>重新计量设定受益计划净负债或净资产所产生的变动，包括：</w:t>
              </w:r>
            </w:p>
            <w:p w14:paraId="2D48DF7B" w14:textId="77777777" w:rsidR="00830E72" w:rsidRDefault="008344D8">
              <w:pPr>
                <w:ind w:firstLineChars="200" w:firstLine="420"/>
                <w:rPr>
                  <w:szCs w:val="21"/>
                </w:rPr>
              </w:pPr>
              <w:r>
                <w:rPr>
                  <w:rFonts w:hint="eastAsia"/>
                  <w:szCs w:val="21"/>
                </w:rPr>
                <w:t>（</w:t>
              </w:r>
              <w:r>
                <w:rPr>
                  <w:szCs w:val="21"/>
                </w:rPr>
                <w:t>a）精算利得或损失，即由于精算假设和经验调整导致之前所计量的设定受益计划义务现</w:t>
              </w:r>
              <w:r>
                <w:rPr>
                  <w:rFonts w:hint="eastAsia"/>
                  <w:szCs w:val="21"/>
                </w:rPr>
                <w:t>值的增加或减少；</w:t>
              </w:r>
            </w:p>
            <w:p w14:paraId="5FB2412E" w14:textId="77777777" w:rsidR="00830E72" w:rsidRDefault="008344D8">
              <w:pPr>
                <w:ind w:firstLineChars="200" w:firstLine="420"/>
                <w:rPr>
                  <w:szCs w:val="21"/>
                </w:rPr>
              </w:pPr>
              <w:r>
                <w:rPr>
                  <w:rFonts w:hint="eastAsia"/>
                  <w:szCs w:val="21"/>
                </w:rPr>
                <w:t>（</w:t>
              </w:r>
              <w:r>
                <w:rPr>
                  <w:szCs w:val="21"/>
                </w:rPr>
                <w:t>b）计划资产回报，扣除包括在设定受益计划净负债或净资产的利息净额中的金额;</w:t>
              </w:r>
            </w:p>
            <w:p w14:paraId="547B7733" w14:textId="77777777" w:rsidR="00830E72" w:rsidRDefault="008344D8">
              <w:pPr>
                <w:ind w:firstLineChars="200" w:firstLine="420"/>
                <w:rPr>
                  <w:szCs w:val="21"/>
                </w:rPr>
              </w:pPr>
              <w:r>
                <w:rPr>
                  <w:rFonts w:hint="eastAsia"/>
                  <w:szCs w:val="21"/>
                </w:rPr>
                <w:t>（</w:t>
              </w:r>
              <w:r>
                <w:rPr>
                  <w:szCs w:val="21"/>
                </w:rPr>
                <w:t>c）资产上限影响的变动，扣除包括在设定受益计划净负债或净资产的利息净额中的金</w:t>
              </w:r>
              <w:r>
                <w:rPr>
                  <w:rFonts w:hint="eastAsia"/>
                  <w:szCs w:val="21"/>
                </w:rPr>
                <w:t>额。</w:t>
              </w:r>
            </w:p>
            <w:p w14:paraId="1F98B22D" w14:textId="77777777" w:rsidR="00830E72" w:rsidRDefault="008344D8">
              <w:pPr>
                <w:ind w:firstLineChars="200" w:firstLine="420"/>
                <w:rPr>
                  <w:szCs w:val="21"/>
                </w:rPr>
              </w:pPr>
              <w:r>
                <w:rPr>
                  <w:rFonts w:hint="eastAsia"/>
                  <w:szCs w:val="21"/>
                </w:rPr>
                <w:t>上述重新计量设定受益计划净负债或净资产所产生的变动直接计入其他综合收益</w:t>
              </w:r>
              <w:r>
                <w:rPr>
                  <w:szCs w:val="21"/>
                </w:rPr>
                <w:t>, 并且在后</w:t>
              </w:r>
              <w:r>
                <w:rPr>
                  <w:rFonts w:hint="eastAsia"/>
                  <w:szCs w:val="21"/>
                </w:rPr>
                <w:t>续会计期间不允许转回至损益，但本公司可以在权益范围内转移这些在其他综合收益中确认的金额。</w:t>
              </w:r>
            </w:p>
          </w:sdtContent>
        </w:sdt>
        <w:p w14:paraId="3FF8293C" w14:textId="77777777" w:rsidR="00830E72" w:rsidRDefault="00830E72">
          <w:pPr>
            <w:ind w:firstLineChars="200" w:firstLine="420"/>
            <w:rPr>
              <w:szCs w:val="21"/>
            </w:rPr>
          </w:pPr>
        </w:p>
        <w:p w14:paraId="2E52C82D" w14:textId="77777777" w:rsidR="00830E72" w:rsidRDefault="008344D8">
          <w:pPr>
            <w:pStyle w:val="Style100"/>
            <w:numPr>
              <w:ilvl w:val="0"/>
              <w:numId w:val="40"/>
            </w:numPr>
            <w:rPr>
              <w:rFonts w:ascii="宋体" w:hAnsi="宋体"/>
            </w:rPr>
          </w:pPr>
          <w:r>
            <w:rPr>
              <w:rFonts w:ascii="宋体" w:hAnsi="宋体" w:hint="eastAsia"/>
            </w:rPr>
            <w:t>辞退福利的会计处理方法</w:t>
          </w:r>
        </w:p>
        <w:sdt>
          <w:sdtPr>
            <w:rPr>
              <w:rFonts w:hint="eastAsia"/>
              <w:szCs w:val="21"/>
            </w:rPr>
            <w:alias w:val="是否适用：辞退福利的会计处理方法[双击切换]"/>
            <w:tag w:val="_GBC_b6be1c30b6144d54b0e20b3cb9d3a691"/>
            <w:id w:val="-1904981663"/>
            <w:lock w:val="sdtContentLocked"/>
            <w:placeholder>
              <w:docPart w:val="GBC22222222222222222222222222222"/>
            </w:placeholder>
          </w:sdtPr>
          <w:sdtEndPr/>
          <w:sdtContent>
            <w:p w14:paraId="38D636F9"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832730420"/>
            <w:lock w:val="sdtLocked"/>
            <w:placeholder>
              <w:docPart w:val="GBC22222222222222222222222222222"/>
            </w:placeholder>
          </w:sdtPr>
          <w:sdtEndPr/>
          <w:sdtContent>
            <w:p w14:paraId="0D07B305" w14:textId="77777777" w:rsidR="00830E72" w:rsidRDefault="008344D8">
              <w:pPr>
                <w:ind w:firstLineChars="200" w:firstLine="420"/>
                <w:rPr>
                  <w:szCs w:val="21"/>
                </w:rPr>
              </w:pPr>
              <w:r>
                <w:rPr>
                  <w:rFonts w:hint="eastAsia"/>
                  <w:szCs w:val="21"/>
                </w:rPr>
                <w:t>本公司向职工提供辞退福利的，在下列两者孰早日确认辞退福利产生的职工薪酬负债，并计入当期损益：</w:t>
              </w:r>
            </w:p>
            <w:p w14:paraId="7B6B8202" w14:textId="77777777" w:rsidR="00830E72" w:rsidRDefault="008344D8">
              <w:pPr>
                <w:ind w:firstLineChars="200" w:firstLine="420"/>
                <w:rPr>
                  <w:szCs w:val="21"/>
                </w:rPr>
              </w:pPr>
              <w:r>
                <w:rPr>
                  <w:rFonts w:hint="eastAsia"/>
                  <w:szCs w:val="21"/>
                </w:rPr>
                <w:t>①企业不能单方面撤回因解除劳动关系计划或裁减建议所提供的辞退福利时；</w:t>
              </w:r>
            </w:p>
            <w:p w14:paraId="66677398" w14:textId="77777777" w:rsidR="00830E72" w:rsidRDefault="008344D8">
              <w:pPr>
                <w:ind w:firstLineChars="200" w:firstLine="420"/>
                <w:rPr>
                  <w:szCs w:val="21"/>
                </w:rPr>
              </w:pPr>
              <w:r>
                <w:rPr>
                  <w:rFonts w:hint="eastAsia"/>
                  <w:szCs w:val="21"/>
                </w:rPr>
                <w:lastRenderedPageBreak/>
                <w:t>②企业确认与涉及支付辞退福利的重组相关的成本或费用时。</w:t>
              </w:r>
            </w:p>
            <w:p w14:paraId="29CA8B93" w14:textId="77777777" w:rsidR="00830E72" w:rsidRDefault="008344D8">
              <w:pPr>
                <w:ind w:firstLineChars="200" w:firstLine="420"/>
                <w:rPr>
                  <w:szCs w:val="21"/>
                </w:rPr>
              </w:pPr>
              <w:r>
                <w:rPr>
                  <w:rFonts w:hint="eastAsia"/>
                  <w:szCs w:val="21"/>
                </w:rPr>
                <w:t>辞退福利预期在年度报告期结束后十二个月内不能完全支付的，参照相应的折现率（根据资产负债表日与设定受益计划义务期限和币种相匹配的国债或活跃市场上的高质量公司债券的市场收益率确定）将辞退福利金额予以折现，以折现后的金额计量应付职工薪酬。</w:t>
              </w:r>
            </w:p>
          </w:sdtContent>
        </w:sdt>
        <w:p w14:paraId="5A595BD2" w14:textId="77777777" w:rsidR="00830E72" w:rsidRDefault="00830E72">
          <w:pPr>
            <w:rPr>
              <w:szCs w:val="21"/>
            </w:rPr>
          </w:pPr>
        </w:p>
        <w:p w14:paraId="312463D4" w14:textId="77777777" w:rsidR="00830E72" w:rsidRDefault="008344D8">
          <w:pPr>
            <w:pStyle w:val="Style100"/>
            <w:numPr>
              <w:ilvl w:val="0"/>
              <w:numId w:val="40"/>
            </w:numPr>
            <w:rPr>
              <w:rFonts w:ascii="宋体" w:hAnsi="宋体"/>
            </w:rPr>
          </w:pPr>
          <w:r>
            <w:rPr>
              <w:rFonts w:ascii="宋体" w:hAnsi="宋体" w:hint="eastAsia"/>
            </w:rPr>
            <w:t>其他长期职工福利的会计处理方法</w:t>
          </w:r>
        </w:p>
        <w:sdt>
          <w:sdtPr>
            <w:rPr>
              <w:rFonts w:hint="eastAsia"/>
              <w:szCs w:val="21"/>
            </w:rPr>
            <w:alias w:val="是否适用：其他长期职工福利的会计处理方法[双击切换]"/>
            <w:tag w:val="_GBC_6650f3bc6a474b318e05b9d60314cb7f"/>
            <w:id w:val="1562907656"/>
            <w:lock w:val="sdtContentLocked"/>
            <w:placeholder>
              <w:docPart w:val="GBC22222222222222222222222222222"/>
            </w:placeholder>
          </w:sdtPr>
          <w:sdtEndPr/>
          <w:sdtContent>
            <w:p w14:paraId="5C167C01"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53243684"/>
            <w:lock w:val="sdtLocked"/>
            <w:placeholder>
              <w:docPart w:val="GBC22222222222222222222222222222"/>
            </w:placeholder>
          </w:sdtPr>
          <w:sdtEndPr/>
          <w:sdtContent>
            <w:p w14:paraId="65A010D9" w14:textId="77777777" w:rsidR="00830E72" w:rsidRDefault="008344D8">
              <w:pPr>
                <w:ind w:firstLineChars="200" w:firstLine="420"/>
                <w:rPr>
                  <w:szCs w:val="21"/>
                </w:rPr>
              </w:pPr>
              <w:r>
                <w:rPr>
                  <w:rFonts w:hint="eastAsia"/>
                  <w:szCs w:val="21"/>
                </w:rPr>
                <w:t>①符合设定提存计划条件的</w:t>
              </w:r>
            </w:p>
            <w:p w14:paraId="48B3308B" w14:textId="77777777" w:rsidR="00830E72" w:rsidRDefault="008344D8">
              <w:pPr>
                <w:ind w:firstLineChars="200" w:firstLine="420"/>
                <w:rPr>
                  <w:szCs w:val="21"/>
                </w:rPr>
              </w:pPr>
              <w:r>
                <w:rPr>
                  <w:rFonts w:hint="eastAsia"/>
                  <w:szCs w:val="21"/>
                </w:rPr>
                <w:t>本公司向职工提供的其他长期职工福利，符合设定提存计划条件的，将全部应缴存金额以折现后的金额计量应付职工薪酬。</w:t>
              </w:r>
            </w:p>
            <w:p w14:paraId="1D5A2AED" w14:textId="77777777" w:rsidR="00830E72" w:rsidRDefault="008344D8">
              <w:pPr>
                <w:ind w:firstLineChars="200" w:firstLine="420"/>
                <w:rPr>
                  <w:szCs w:val="21"/>
                </w:rPr>
              </w:pPr>
              <w:r>
                <w:rPr>
                  <w:rFonts w:hint="eastAsia"/>
                  <w:szCs w:val="21"/>
                </w:rPr>
                <w:t>②符合设定受益计划条件的</w:t>
              </w:r>
            </w:p>
            <w:p w14:paraId="272D8530" w14:textId="77777777" w:rsidR="00830E72" w:rsidRDefault="008344D8">
              <w:pPr>
                <w:ind w:firstLineChars="200" w:firstLine="420"/>
                <w:rPr>
                  <w:szCs w:val="21"/>
                </w:rPr>
              </w:pPr>
              <w:r>
                <w:rPr>
                  <w:rFonts w:hint="eastAsia"/>
                  <w:szCs w:val="21"/>
                </w:rPr>
                <w:t>在报告期末，本公司将其他长期职工福利产生的职工薪酬成本确认为下列组成部分：</w:t>
              </w:r>
            </w:p>
            <w:p w14:paraId="185B5A08" w14:textId="77777777" w:rsidR="00830E72" w:rsidRDefault="008344D8">
              <w:pPr>
                <w:ind w:firstLineChars="200" w:firstLine="420"/>
                <w:rPr>
                  <w:szCs w:val="21"/>
                </w:rPr>
              </w:pPr>
              <w:r>
                <w:rPr>
                  <w:szCs w:val="21"/>
                </w:rPr>
                <w:t>A.服务成本；</w:t>
              </w:r>
            </w:p>
            <w:p w14:paraId="0399A559" w14:textId="77777777" w:rsidR="00830E72" w:rsidRDefault="008344D8">
              <w:pPr>
                <w:ind w:firstLineChars="200" w:firstLine="420"/>
                <w:rPr>
                  <w:szCs w:val="21"/>
                </w:rPr>
              </w:pPr>
              <w:r>
                <w:rPr>
                  <w:szCs w:val="21"/>
                </w:rPr>
                <w:t>B.其他长期职工福利净负债或净资产的利息净额；</w:t>
              </w:r>
            </w:p>
            <w:p w14:paraId="386902E7" w14:textId="77777777" w:rsidR="00830E72" w:rsidRDefault="008344D8">
              <w:pPr>
                <w:ind w:firstLineChars="200" w:firstLine="420"/>
                <w:rPr>
                  <w:szCs w:val="21"/>
                </w:rPr>
              </w:pPr>
              <w:r>
                <w:rPr>
                  <w:szCs w:val="21"/>
                </w:rPr>
                <w:t>C.重新计量其他长期职工福利净负债或净资产所产生的变动。</w:t>
              </w:r>
            </w:p>
            <w:p w14:paraId="2FA11AE8" w14:textId="77777777" w:rsidR="00830E72" w:rsidRDefault="008344D8">
              <w:pPr>
                <w:ind w:firstLineChars="200" w:firstLine="420"/>
                <w:rPr>
                  <w:rFonts w:cs="Times New Roman"/>
                  <w:szCs w:val="21"/>
                </w:rPr>
              </w:pPr>
              <w:r>
                <w:rPr>
                  <w:rFonts w:hint="eastAsia"/>
                  <w:szCs w:val="21"/>
                </w:rPr>
                <w:t>为简化相关会计处理，上述项目的总净额计入当期损益或相关资产成本</w:t>
              </w:r>
            </w:p>
          </w:sdtContent>
        </w:sdt>
      </w:sdtContent>
    </w:sdt>
    <w:p w14:paraId="5291F898" w14:textId="77777777" w:rsidR="00830E72" w:rsidRDefault="00830E72">
      <w:pPr>
        <w:rPr>
          <w:szCs w:val="21"/>
        </w:rPr>
      </w:pPr>
    </w:p>
    <w:sdt>
      <w:sdtPr>
        <w:rPr>
          <w:rFonts w:ascii="宋体" w:hAnsi="宋体" w:cs="宋体" w:hint="eastAsia"/>
          <w:b w:val="0"/>
          <w:bCs w:val="0"/>
          <w:kern w:val="0"/>
          <w:szCs w:val="21"/>
        </w:rPr>
        <w:alias w:val="模块:租赁负债"/>
        <w:tag w:val="_SEC_d8e7208bcd04489eb6a8b588ac7c08d7"/>
        <w:id w:val="1821385707"/>
        <w:lock w:val="sdtLocked"/>
        <w:placeholder>
          <w:docPart w:val="GBC22222222222222222222222222222"/>
        </w:placeholder>
      </w:sdtPr>
      <w:sdtEndPr>
        <w:rPr>
          <w:szCs w:val="24"/>
        </w:rPr>
      </w:sdtEndPr>
      <w:sdtContent>
        <w:p w14:paraId="44FAAF8B" w14:textId="77777777" w:rsidR="00830E72" w:rsidRDefault="008344D8">
          <w:pPr>
            <w:pStyle w:val="Style99"/>
            <w:numPr>
              <w:ilvl w:val="0"/>
              <w:numId w:val="35"/>
            </w:numPr>
            <w:rPr>
              <w:rFonts w:ascii="宋体" w:hAnsi="宋体"/>
              <w:szCs w:val="21"/>
            </w:rPr>
          </w:pPr>
          <w:r>
            <w:rPr>
              <w:rFonts w:ascii="宋体" w:hAnsi="宋体" w:hint="eastAsia"/>
              <w:szCs w:val="21"/>
            </w:rPr>
            <w:t>租赁负债</w:t>
          </w:r>
        </w:p>
        <w:sdt>
          <w:sdtPr>
            <w:alias w:val="是否适用：租赁负债_重要会计政策和估计[双击切换]"/>
            <w:tag w:val="_GBC_34c8994db6c04aa0821b8100fc152679"/>
            <w:id w:val="-1715813548"/>
            <w:lock w:val="sdtLocked"/>
            <w:placeholder>
              <w:docPart w:val="GBC22222222222222222222222222222"/>
            </w:placeholder>
          </w:sdtPr>
          <w:sdtEndPr/>
          <w:sdtContent>
            <w:p w14:paraId="602D368B"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租赁负债的核算方法"/>
            <w:tag w:val="_GBC_f93840fd38604e669d3682eeebba46a7"/>
            <w:id w:val="1544784331"/>
            <w:lock w:val="sdtLocked"/>
          </w:sdtPr>
          <w:sdtEndPr/>
          <w:sdtContent>
            <w:p w14:paraId="4192648A" w14:textId="77777777" w:rsidR="00830E72" w:rsidRDefault="008344D8">
              <w:pPr>
                <w:rPr>
                  <w:szCs w:val="21"/>
                </w:rPr>
              </w:pPr>
              <w:r>
                <w:rPr>
                  <w:rFonts w:hint="eastAsia"/>
                  <w:szCs w:val="21"/>
                </w:rPr>
                <w:t>见“本节五、重要会计政策及会计估计</w:t>
              </w:r>
              <w:r>
                <w:rPr>
                  <w:szCs w:val="21"/>
                </w:rPr>
                <w:t xml:space="preserve"> </w:t>
              </w:r>
              <w:r>
                <w:rPr>
                  <w:rFonts w:hint="eastAsia"/>
                  <w:szCs w:val="21"/>
                </w:rPr>
                <w:t>42</w:t>
              </w:r>
              <w:r>
                <w:rPr>
                  <w:szCs w:val="21"/>
                </w:rPr>
                <w:t>”。</w:t>
              </w:r>
            </w:p>
          </w:sdtContent>
        </w:sdt>
        <w:p w14:paraId="2827C725" w14:textId="77777777" w:rsidR="00830E72" w:rsidRDefault="00D44830"/>
      </w:sdtContent>
    </w:sdt>
    <w:sdt>
      <w:sdtPr>
        <w:rPr>
          <w:rFonts w:ascii="宋体" w:hAnsi="宋体" w:cs="宋体"/>
          <w:b w:val="0"/>
          <w:bCs w:val="0"/>
          <w:kern w:val="0"/>
          <w:szCs w:val="24"/>
        </w:rPr>
        <w:alias w:val="模块:预计负债会计处理方法"/>
        <w:tag w:val="_GBC_b5b71a4d3cc1425c80f55e751e7e18c2"/>
        <w:id w:val="1755709661"/>
        <w:lock w:val="sdtLocked"/>
        <w:placeholder>
          <w:docPart w:val="GBC22222222222222222222222222222"/>
        </w:placeholder>
      </w:sdtPr>
      <w:sdtEndPr>
        <w:rPr>
          <w:rFonts w:hint="eastAsia"/>
          <w:szCs w:val="21"/>
        </w:rPr>
      </w:sdtEndPr>
      <w:sdtContent>
        <w:p w14:paraId="190F9516" w14:textId="77777777" w:rsidR="00830E72" w:rsidRDefault="008344D8">
          <w:pPr>
            <w:pStyle w:val="Style99"/>
            <w:numPr>
              <w:ilvl w:val="0"/>
              <w:numId w:val="35"/>
            </w:numPr>
            <w:rPr>
              <w:rFonts w:ascii="宋体" w:hAnsi="宋体"/>
            </w:rPr>
          </w:pPr>
          <w:r>
            <w:rPr>
              <w:rFonts w:ascii="宋体" w:hAnsi="宋体"/>
            </w:rPr>
            <w:t>预计负债</w:t>
          </w:r>
        </w:p>
        <w:sdt>
          <w:sdtPr>
            <w:rPr>
              <w:rFonts w:hint="eastAsia"/>
              <w:szCs w:val="21"/>
            </w:rPr>
            <w:alias w:val="是否适用：预计负债_重要会计政策和估计[双击切换]"/>
            <w:tag w:val="_GBC_60f7f598e5d5458986c0f06775dc38fd"/>
            <w:id w:val="-164396164"/>
            <w:lock w:val="sdtContentLocked"/>
            <w:placeholder>
              <w:docPart w:val="GBC22222222222222222222222222222"/>
            </w:placeholder>
          </w:sdtPr>
          <w:sdtEndPr/>
          <w:sdtContent>
            <w:p w14:paraId="05D71AC7"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767957405"/>
            <w:lock w:val="sdtLocked"/>
            <w:placeholder>
              <w:docPart w:val="GBC22222222222222222222222222222"/>
            </w:placeholder>
          </w:sdtPr>
          <w:sdtEndPr/>
          <w:sdtContent>
            <w:p w14:paraId="282AF719" w14:textId="77777777" w:rsidR="00830E72" w:rsidRDefault="008344D8">
              <w:pPr>
                <w:ind w:firstLineChars="200" w:firstLine="420"/>
                <w:rPr>
                  <w:szCs w:val="21"/>
                </w:rPr>
              </w:pPr>
              <w:r>
                <w:rPr>
                  <w:rFonts w:hint="eastAsia"/>
                  <w:szCs w:val="21"/>
                </w:rPr>
                <w:t>（</w:t>
              </w:r>
              <w:r>
                <w:rPr>
                  <w:szCs w:val="21"/>
                </w:rPr>
                <w:t>1）预计负债的确认标准</w:t>
              </w:r>
            </w:p>
            <w:p w14:paraId="13563368" w14:textId="77777777" w:rsidR="00830E72" w:rsidRDefault="008344D8">
              <w:pPr>
                <w:ind w:firstLineChars="200" w:firstLine="420"/>
                <w:rPr>
                  <w:szCs w:val="21"/>
                </w:rPr>
              </w:pPr>
              <w:r>
                <w:rPr>
                  <w:rFonts w:hint="eastAsia"/>
                  <w:szCs w:val="21"/>
                </w:rPr>
                <w:t>如果与或有事项相关的义务同时符合以下条件，本公司将其确认为预计负债：</w:t>
              </w:r>
            </w:p>
            <w:p w14:paraId="6CFECE88" w14:textId="77777777" w:rsidR="00830E72" w:rsidRDefault="008344D8">
              <w:pPr>
                <w:ind w:firstLineChars="200" w:firstLine="420"/>
                <w:rPr>
                  <w:szCs w:val="21"/>
                </w:rPr>
              </w:pPr>
              <w:r>
                <w:rPr>
                  <w:rFonts w:hint="eastAsia"/>
                  <w:szCs w:val="21"/>
                </w:rPr>
                <w:t>①该义务是本公司承担的现时义务；</w:t>
              </w:r>
            </w:p>
            <w:p w14:paraId="064628A0" w14:textId="77777777" w:rsidR="00830E72" w:rsidRDefault="008344D8">
              <w:pPr>
                <w:ind w:firstLineChars="200" w:firstLine="420"/>
                <w:rPr>
                  <w:szCs w:val="21"/>
                </w:rPr>
              </w:pPr>
              <w:r>
                <w:rPr>
                  <w:rFonts w:hint="eastAsia"/>
                  <w:szCs w:val="21"/>
                </w:rPr>
                <w:t>②该义务的履行很可能导致经济利益流出本公司；</w:t>
              </w:r>
            </w:p>
            <w:p w14:paraId="4C914749" w14:textId="77777777" w:rsidR="00830E72" w:rsidRDefault="008344D8">
              <w:pPr>
                <w:ind w:firstLineChars="200" w:firstLine="420"/>
                <w:rPr>
                  <w:szCs w:val="21"/>
                </w:rPr>
              </w:pPr>
              <w:r>
                <w:rPr>
                  <w:rFonts w:hint="eastAsia"/>
                  <w:szCs w:val="21"/>
                </w:rPr>
                <w:t>③该义务的金额能够可靠地计量。</w:t>
              </w:r>
            </w:p>
            <w:p w14:paraId="7C688818" w14:textId="77777777" w:rsidR="00830E72" w:rsidRDefault="008344D8">
              <w:pPr>
                <w:ind w:firstLineChars="200" w:firstLine="420"/>
                <w:rPr>
                  <w:szCs w:val="21"/>
                </w:rPr>
              </w:pPr>
              <w:r>
                <w:rPr>
                  <w:rFonts w:hint="eastAsia"/>
                  <w:szCs w:val="21"/>
                </w:rPr>
                <w:t>（</w:t>
              </w:r>
              <w:r>
                <w:rPr>
                  <w:szCs w:val="21"/>
                </w:rPr>
                <w:t>2）预计负债的计量方法</w:t>
              </w:r>
            </w:p>
            <w:p w14:paraId="5139F2FC" w14:textId="77777777" w:rsidR="00830E72" w:rsidRDefault="008344D8">
              <w:pPr>
                <w:ind w:firstLineChars="200" w:firstLine="420"/>
                <w:rPr>
                  <w:szCs w:val="21"/>
                </w:rPr>
              </w:pPr>
              <w:r>
                <w:rPr>
                  <w:rFonts w:hint="eastAsia"/>
                  <w:szCs w:val="21"/>
                </w:rPr>
                <w:t>预计负债按照履行相关现时义务所需支出的最佳估计数进行初始计量，并综合考虑与或事项有关的风险、不确定性和货币时间价值等因素。每个资产负债表日对预计负债的账面价值进行复核。有确凿证据表明该账面价值不能反映当前最佳估计数的，按照当前最佳估计数对该账面价值进行调整。</w:t>
              </w:r>
            </w:p>
          </w:sdtContent>
        </w:sdt>
      </w:sdtContent>
    </w:sdt>
    <w:p w14:paraId="372B8789" w14:textId="77777777" w:rsidR="00830E72" w:rsidRDefault="00830E72">
      <w:pPr>
        <w:rPr>
          <w:szCs w:val="21"/>
        </w:rPr>
      </w:pPr>
    </w:p>
    <w:sdt>
      <w:sdtPr>
        <w:rPr>
          <w:rFonts w:ascii="宋体" w:hAnsi="宋体" w:cstheme="minorBidi" w:hint="eastAsia"/>
          <w:b w:val="0"/>
          <w:bCs w:val="0"/>
          <w:kern w:val="0"/>
          <w:szCs w:val="22"/>
        </w:rPr>
        <w:alias w:val="模块:股份支付"/>
        <w:tag w:val="_GBC_5300d3ce4b5f4c1690fe13bde0a610e3"/>
        <w:id w:val="-1011065531"/>
        <w:lock w:val="sdtLocked"/>
        <w:placeholder>
          <w:docPart w:val="GBC22222222222222222222222222222"/>
        </w:placeholder>
      </w:sdtPr>
      <w:sdtEndPr>
        <w:rPr>
          <w:rFonts w:cs="Times New Roman"/>
          <w:szCs w:val="21"/>
        </w:rPr>
      </w:sdtEndPr>
      <w:sdtContent>
        <w:p w14:paraId="1BFB7261" w14:textId="77777777" w:rsidR="00830E72" w:rsidRDefault="008344D8">
          <w:pPr>
            <w:pStyle w:val="Style99"/>
            <w:numPr>
              <w:ilvl w:val="0"/>
              <w:numId w:val="35"/>
            </w:numPr>
            <w:rPr>
              <w:rFonts w:ascii="宋体" w:hAnsi="宋体"/>
            </w:rPr>
          </w:pPr>
          <w:r>
            <w:rPr>
              <w:rFonts w:ascii="宋体" w:hAnsi="宋体" w:hint="eastAsia"/>
            </w:rPr>
            <w:t>股份支付</w:t>
          </w:r>
        </w:p>
        <w:sdt>
          <w:sdtPr>
            <w:rPr>
              <w:rFonts w:hint="eastAsia"/>
              <w:szCs w:val="21"/>
            </w:rPr>
            <w:alias w:val="是否适用：股份支付_重要会计政策和估计[双击切换]"/>
            <w:tag w:val="_GBC_cfe00a6b35f24950855f2412f34bcf7a"/>
            <w:id w:val="1818378706"/>
            <w:lock w:val="sdtContentLocked"/>
            <w:placeholder>
              <w:docPart w:val="GBC22222222222222222222222222222"/>
            </w:placeholder>
          </w:sdtPr>
          <w:sdtEndPr/>
          <w:sdtContent>
            <w:p w14:paraId="185FC463"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388650165"/>
            <w:lock w:val="sdtLocked"/>
            <w:placeholder>
              <w:docPart w:val="GBC22222222222222222222222222222"/>
            </w:placeholder>
          </w:sdtPr>
          <w:sdtEndPr/>
          <w:sdtContent>
            <w:p w14:paraId="2CFDD8F1" w14:textId="77777777" w:rsidR="00830E72" w:rsidRDefault="008344D8">
              <w:pPr>
                <w:ind w:firstLineChars="200" w:firstLine="420"/>
                <w:rPr>
                  <w:szCs w:val="21"/>
                </w:rPr>
              </w:pPr>
              <w:r>
                <w:rPr>
                  <w:rFonts w:hint="eastAsia"/>
                  <w:szCs w:val="21"/>
                </w:rPr>
                <w:t>（</w:t>
              </w:r>
              <w:r>
                <w:rPr>
                  <w:szCs w:val="21"/>
                </w:rPr>
                <w:t>1）股份支付的种类</w:t>
              </w:r>
            </w:p>
            <w:p w14:paraId="21785A43" w14:textId="77777777" w:rsidR="00830E72" w:rsidRDefault="008344D8">
              <w:pPr>
                <w:ind w:firstLineChars="200" w:firstLine="420"/>
                <w:rPr>
                  <w:szCs w:val="21"/>
                </w:rPr>
              </w:pPr>
              <w:r>
                <w:rPr>
                  <w:rFonts w:hint="eastAsia"/>
                  <w:szCs w:val="21"/>
                </w:rPr>
                <w:t>本公司股份支付包括以现金结算的股份支付和以权益结算的股份支付。</w:t>
              </w:r>
            </w:p>
            <w:p w14:paraId="212B8579" w14:textId="77777777" w:rsidR="00830E72" w:rsidRDefault="008344D8">
              <w:pPr>
                <w:ind w:firstLineChars="200" w:firstLine="420"/>
                <w:rPr>
                  <w:szCs w:val="21"/>
                </w:rPr>
              </w:pPr>
              <w:r>
                <w:rPr>
                  <w:rFonts w:hint="eastAsia"/>
                  <w:szCs w:val="21"/>
                </w:rPr>
                <w:t>（</w:t>
              </w:r>
              <w:r>
                <w:rPr>
                  <w:szCs w:val="21"/>
                </w:rPr>
                <w:t>2）权益工具公允价值的确定方法</w:t>
              </w:r>
            </w:p>
            <w:p w14:paraId="1DAC313A" w14:textId="77777777" w:rsidR="00830E72" w:rsidRDefault="008344D8">
              <w:pPr>
                <w:ind w:firstLineChars="200" w:firstLine="420"/>
                <w:rPr>
                  <w:szCs w:val="21"/>
                </w:rPr>
              </w:pPr>
              <w:r>
                <w:rPr>
                  <w:rFonts w:hint="eastAsia"/>
                  <w:szCs w:val="21"/>
                </w:rPr>
                <w:t>①对于授予职工的股份，其公允价值按公司股份的市场价格计量，同时考虑授予股份所依据的条款和条件（不包括市场条件之外的可行权条件）进行调整。②对于授予职工的股票期权，在许多情况下难以获得其市场价格。如果不存在条款和条件相似的交易期权，公司选择适用的期权定价模型估计所授予的期权的公允价值。</w:t>
              </w:r>
            </w:p>
            <w:p w14:paraId="71E92F5F" w14:textId="77777777" w:rsidR="00830E72" w:rsidRDefault="008344D8">
              <w:pPr>
                <w:ind w:firstLineChars="200" w:firstLine="420"/>
                <w:rPr>
                  <w:szCs w:val="21"/>
                </w:rPr>
              </w:pPr>
              <w:r>
                <w:rPr>
                  <w:rFonts w:hint="eastAsia"/>
                  <w:szCs w:val="21"/>
                </w:rPr>
                <w:t>（</w:t>
              </w:r>
              <w:r>
                <w:rPr>
                  <w:szCs w:val="21"/>
                </w:rPr>
                <w:t>3）确认可行权权益工具最佳估计的依据</w:t>
              </w:r>
            </w:p>
            <w:p w14:paraId="19CB3D49" w14:textId="77777777" w:rsidR="00830E72" w:rsidRDefault="008344D8">
              <w:pPr>
                <w:ind w:firstLineChars="200" w:firstLine="420"/>
                <w:rPr>
                  <w:szCs w:val="21"/>
                </w:rPr>
              </w:pPr>
              <w:r>
                <w:rPr>
                  <w:rFonts w:hint="eastAsia"/>
                  <w:szCs w:val="21"/>
                </w:rPr>
                <w:t>在等待期内每个资产负债表日，公司根据最新取得的可行权职工人数变动等后续信息作出最佳估计，修正预计可行权的权益工具数量，以作出可行权权益工具的最佳估计。</w:t>
              </w:r>
            </w:p>
            <w:p w14:paraId="24FAD10B" w14:textId="77777777" w:rsidR="00830E72" w:rsidRDefault="008344D8">
              <w:pPr>
                <w:ind w:firstLineChars="200" w:firstLine="420"/>
                <w:rPr>
                  <w:szCs w:val="21"/>
                </w:rPr>
              </w:pPr>
              <w:r>
                <w:rPr>
                  <w:rFonts w:hint="eastAsia"/>
                  <w:szCs w:val="21"/>
                </w:rPr>
                <w:t>（</w:t>
              </w:r>
              <w:r>
                <w:rPr>
                  <w:szCs w:val="21"/>
                </w:rPr>
                <w:t>4）股份支付计划实施的会计处理</w:t>
              </w:r>
            </w:p>
            <w:p w14:paraId="45325D53" w14:textId="77777777" w:rsidR="00830E72" w:rsidRDefault="008344D8">
              <w:pPr>
                <w:ind w:firstLineChars="200" w:firstLine="420"/>
                <w:rPr>
                  <w:szCs w:val="21"/>
                </w:rPr>
              </w:pPr>
              <w:r>
                <w:rPr>
                  <w:rFonts w:hint="eastAsia"/>
                  <w:szCs w:val="21"/>
                </w:rPr>
                <w:t>以现金结算的股份支付</w:t>
              </w:r>
            </w:p>
            <w:p w14:paraId="38331A2F" w14:textId="77777777" w:rsidR="00830E72" w:rsidRDefault="008344D8">
              <w:pPr>
                <w:ind w:firstLineChars="200" w:firstLine="420"/>
                <w:rPr>
                  <w:szCs w:val="21"/>
                </w:rPr>
              </w:pPr>
              <w:r>
                <w:rPr>
                  <w:rFonts w:hint="eastAsia"/>
                  <w:szCs w:val="21"/>
                </w:rPr>
                <w:lastRenderedPageBreak/>
                <w:t>①授予后立即可行权的以现金结算的股份支付，在授予日以本公司承担负债的公允价值计入相关成本或费用，相应增加负债。并在结算前的每个资产负债表日和结算日对负债的公允价值重新计量，将其变动计入损益。</w:t>
              </w:r>
            </w:p>
            <w:p w14:paraId="1B805F88" w14:textId="77777777" w:rsidR="00830E72" w:rsidRDefault="008344D8">
              <w:pPr>
                <w:ind w:firstLineChars="200" w:firstLine="420"/>
                <w:rPr>
                  <w:szCs w:val="21"/>
                </w:rPr>
              </w:pPr>
              <w:r>
                <w:rPr>
                  <w:rFonts w:hint="eastAsia"/>
                  <w:szCs w:val="21"/>
                </w:rPr>
                <w:t>②完成等待期内的服务或达到规定业绩条件以后才可行权的以现金结算的股份支付，在等待期内的每个资产负债表日以对可行权情况的最佳估计为基础，按本公司承担负债的公允价值金额，将当期取得的服务计入成本或费用和相应的负债。</w:t>
              </w:r>
            </w:p>
            <w:p w14:paraId="26DDB1CF" w14:textId="77777777" w:rsidR="00830E72" w:rsidRDefault="008344D8">
              <w:pPr>
                <w:ind w:firstLineChars="200" w:firstLine="420"/>
                <w:rPr>
                  <w:szCs w:val="21"/>
                </w:rPr>
              </w:pPr>
              <w:r>
                <w:rPr>
                  <w:rFonts w:hint="eastAsia"/>
                  <w:szCs w:val="21"/>
                </w:rPr>
                <w:t>以权益结算的股份支付</w:t>
              </w:r>
            </w:p>
            <w:p w14:paraId="21FB1E07" w14:textId="77777777" w:rsidR="00830E72" w:rsidRDefault="008344D8">
              <w:pPr>
                <w:ind w:firstLineChars="200" w:firstLine="420"/>
                <w:rPr>
                  <w:szCs w:val="21"/>
                </w:rPr>
              </w:pPr>
              <w:r>
                <w:rPr>
                  <w:rFonts w:hint="eastAsia"/>
                  <w:szCs w:val="21"/>
                </w:rPr>
                <w:t>①授予后立即可行权的换取职工服务的以权益结算的股份支付，在授予日以权益工具的公允价值计入相关成本或费用，相应增加资本公积。</w:t>
              </w:r>
            </w:p>
            <w:p w14:paraId="39BBC57D" w14:textId="77777777" w:rsidR="00830E72" w:rsidRDefault="008344D8">
              <w:pPr>
                <w:ind w:firstLineChars="200" w:firstLine="420"/>
                <w:rPr>
                  <w:szCs w:val="21"/>
                </w:rPr>
              </w:pPr>
              <w:r>
                <w:rPr>
                  <w:rFonts w:hint="eastAsia"/>
                  <w:szCs w:val="21"/>
                </w:rPr>
                <w:t>②完成等待期内的服务或达到规定业绩条件以后才可行权换取职工服务的以权益结算的股份支付，在等待期内的每个资产负债表日，以对可行权权益工具数量的最佳估计为基础，按权益工具授予日的公允价值，将当期取得的服务计入成本或费用和资本公积。</w:t>
              </w:r>
            </w:p>
            <w:p w14:paraId="7394292B" w14:textId="77777777" w:rsidR="00830E72" w:rsidRDefault="008344D8">
              <w:pPr>
                <w:ind w:firstLineChars="200" w:firstLine="420"/>
                <w:rPr>
                  <w:szCs w:val="21"/>
                </w:rPr>
              </w:pPr>
              <w:r>
                <w:rPr>
                  <w:rFonts w:hint="eastAsia"/>
                  <w:szCs w:val="21"/>
                </w:rPr>
                <w:t>（</w:t>
              </w:r>
              <w:r>
                <w:rPr>
                  <w:szCs w:val="21"/>
                </w:rPr>
                <w:t>5）股份支付计划修改的会计处理</w:t>
              </w:r>
            </w:p>
            <w:p w14:paraId="15FC51E2" w14:textId="77777777" w:rsidR="00830E72" w:rsidRDefault="008344D8">
              <w:pPr>
                <w:ind w:firstLineChars="200" w:firstLine="420"/>
                <w:rPr>
                  <w:szCs w:val="21"/>
                </w:rPr>
              </w:pPr>
              <w:r>
                <w:rPr>
                  <w:rFonts w:hint="eastAsia"/>
                  <w:szCs w:val="21"/>
                </w:rPr>
                <w:t>本公司对股份支付计划进行修改时，若修改增加了所授予权益工具的公允价值，按照权益工具公允价值的增加相应地确认取得服务的增加；若修改增加了所授予权益工具的数量，则将增加的权益工具的公允价值相应地确认为取得服务的增加。权益工具公允价值的增加是指修改前后的权益工具在修改日的公允价值之间的差额。若修改减少了股份支付公允价值总额或采用了其他不利于职工的方式修改股份支付计划的条款和条件，则仍继续对取得的服务进行会计处理，视同该变更从未发生，除非本公司取消了部分或全部已授予的权益工具。</w:t>
              </w:r>
            </w:p>
            <w:p w14:paraId="0BDDF6F0" w14:textId="77777777" w:rsidR="00830E72" w:rsidRDefault="008344D8">
              <w:pPr>
                <w:ind w:firstLineChars="200" w:firstLine="420"/>
                <w:rPr>
                  <w:szCs w:val="21"/>
                </w:rPr>
              </w:pPr>
              <w:r>
                <w:rPr>
                  <w:rFonts w:hint="eastAsia"/>
                  <w:szCs w:val="21"/>
                </w:rPr>
                <w:t>（</w:t>
              </w:r>
              <w:r>
                <w:rPr>
                  <w:szCs w:val="21"/>
                </w:rPr>
                <w:t>6）股份支付计划终止的会计处理</w:t>
              </w:r>
            </w:p>
            <w:p w14:paraId="5D5712A1" w14:textId="77777777" w:rsidR="00830E72" w:rsidRDefault="008344D8">
              <w:pPr>
                <w:ind w:firstLineChars="200" w:firstLine="420"/>
                <w:rPr>
                  <w:szCs w:val="21"/>
                </w:rPr>
              </w:pPr>
              <w:r>
                <w:rPr>
                  <w:rFonts w:hint="eastAsia"/>
                  <w:szCs w:val="21"/>
                </w:rPr>
                <w:t>如果在等待期内取消了所授予的权益工具或结算了所授予的权益工具（因未满足可行权条件而被取消的除外），本公司：</w:t>
              </w:r>
            </w:p>
            <w:p w14:paraId="7072823A" w14:textId="77777777" w:rsidR="00830E72" w:rsidRDefault="008344D8">
              <w:pPr>
                <w:ind w:firstLineChars="200" w:firstLine="420"/>
                <w:rPr>
                  <w:szCs w:val="21"/>
                </w:rPr>
              </w:pPr>
              <w:r>
                <w:rPr>
                  <w:rFonts w:hint="eastAsia"/>
                  <w:szCs w:val="21"/>
                </w:rPr>
                <w:t>①将取消或结算作为加速可行权处理，立即确认原本应在剩余等待期内确认的金额；</w:t>
              </w:r>
            </w:p>
            <w:p w14:paraId="73FADFCE" w14:textId="77777777" w:rsidR="00830E72" w:rsidRDefault="008344D8">
              <w:pPr>
                <w:ind w:firstLineChars="200" w:firstLine="420"/>
                <w:rPr>
                  <w:szCs w:val="21"/>
                </w:rPr>
              </w:pPr>
              <w:r>
                <w:rPr>
                  <w:rFonts w:hint="eastAsia"/>
                  <w:szCs w:val="21"/>
                </w:rPr>
                <w:t>②在取消或结算时支付给职工的所有款项均作为权益的回购处理，回购支付的金额高于该权益工具在回购日公允价值的部分，计入当期费用。</w:t>
              </w:r>
            </w:p>
            <w:p w14:paraId="7A68E209" w14:textId="77777777" w:rsidR="00830E72" w:rsidRDefault="008344D8">
              <w:pPr>
                <w:ind w:firstLineChars="200" w:firstLine="420"/>
                <w:rPr>
                  <w:szCs w:val="21"/>
                </w:rPr>
              </w:pPr>
              <w:r>
                <w:rPr>
                  <w:rFonts w:hint="eastAsia"/>
                  <w:szCs w:val="21"/>
                </w:rPr>
                <w:t>本公司如果回购其职工已可行权的权益工具，冲减企业的所有者权益；回购支付的款项高于该权益工具在回购日公允价值的部分，计入当期损益。</w:t>
              </w:r>
            </w:p>
          </w:sdtContent>
        </w:sdt>
      </w:sdtContent>
    </w:sdt>
    <w:p w14:paraId="24B46B62" w14:textId="77777777" w:rsidR="00830E72" w:rsidRDefault="00830E72">
      <w:pPr>
        <w:rPr>
          <w:szCs w:val="21"/>
        </w:rPr>
      </w:pPr>
    </w:p>
    <w:sdt>
      <w:sdtPr>
        <w:rPr>
          <w:rFonts w:ascii="宋体" w:hAnsi="宋体" w:cstheme="minorBidi" w:hint="eastAsia"/>
          <w:b w:val="0"/>
          <w:bCs w:val="0"/>
          <w:kern w:val="0"/>
          <w:szCs w:val="22"/>
        </w:rPr>
        <w:alias w:val="模块:优先股、永续债"/>
        <w:tag w:val="_GBC_d3c9524999e647d78f354bb216cfb1aa"/>
        <w:id w:val="-93940224"/>
        <w:lock w:val="sdtLocked"/>
        <w:placeholder>
          <w:docPart w:val="GBC22222222222222222222222222222"/>
        </w:placeholder>
      </w:sdtPr>
      <w:sdtEndPr>
        <w:rPr>
          <w:rFonts w:cs="Times New Roman"/>
          <w:szCs w:val="21"/>
        </w:rPr>
      </w:sdtEndPr>
      <w:sdtContent>
        <w:p w14:paraId="388848AC" w14:textId="77777777" w:rsidR="00830E72" w:rsidRDefault="008344D8">
          <w:pPr>
            <w:pStyle w:val="Style99"/>
            <w:numPr>
              <w:ilvl w:val="0"/>
              <w:numId w:val="35"/>
            </w:numPr>
            <w:rPr>
              <w:rFonts w:ascii="宋体" w:hAnsi="宋体"/>
            </w:rPr>
          </w:pPr>
          <w:r>
            <w:rPr>
              <w:rFonts w:ascii="宋体" w:hAnsi="宋体" w:hint="eastAsia"/>
            </w:rPr>
            <w:t>优先股、永续债等其他金融工具</w:t>
          </w:r>
        </w:p>
        <w:sdt>
          <w:sdtPr>
            <w:rPr>
              <w:rFonts w:hint="eastAsia"/>
              <w:szCs w:val="21"/>
            </w:rPr>
            <w:alias w:val="是否适用：优先股、永续债等其他金融工具[双击切换]"/>
            <w:tag w:val="_GBC_34eb80e2168144958293aa1351780303"/>
            <w:id w:val="765045173"/>
            <w:lock w:val="sdtContentLocked"/>
            <w:placeholder>
              <w:docPart w:val="GBC22222222222222222222222222222"/>
            </w:placeholder>
          </w:sdtPr>
          <w:sdtEndPr/>
          <w:sdtContent>
            <w:p w14:paraId="5F58BF8E"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AB998F4" w14:textId="77777777" w:rsidR="00830E72" w:rsidRDefault="00830E72">
      <w:pPr>
        <w:rPr>
          <w:szCs w:val="21"/>
        </w:rPr>
      </w:pPr>
    </w:p>
    <w:bookmarkStart w:id="83" w:name="_Hlk10465559" w:displacedByCustomXml="next"/>
    <w:sdt>
      <w:sdtPr>
        <w:rPr>
          <w:rFonts w:ascii="宋体" w:hAnsi="宋体" w:cs="宋体"/>
          <w:b w:val="0"/>
          <w:bCs w:val="0"/>
          <w:kern w:val="0"/>
          <w:szCs w:val="22"/>
        </w:rPr>
        <w:alias w:val="模块:收入会计处理方法"/>
        <w:tag w:val="_GBC_19704df9fd714cad895419bf4903f70e"/>
        <w:id w:val="-1760743180"/>
        <w:lock w:val="sdtLocked"/>
        <w:placeholder>
          <w:docPart w:val="GBC22222222222222222222222222222"/>
        </w:placeholder>
      </w:sdtPr>
      <w:sdtEndPr>
        <w:rPr>
          <w:b/>
          <w:bCs/>
          <w:szCs w:val="21"/>
        </w:rPr>
      </w:sdtEndPr>
      <w:sdtContent>
        <w:p w14:paraId="6D2DB7D5" w14:textId="77777777" w:rsidR="00830E72" w:rsidRDefault="008344D8">
          <w:pPr>
            <w:pStyle w:val="Style99"/>
            <w:numPr>
              <w:ilvl w:val="0"/>
              <w:numId w:val="35"/>
            </w:numPr>
            <w:rPr>
              <w:rFonts w:ascii="宋体" w:hAnsi="宋体"/>
            </w:rPr>
          </w:pPr>
          <w:r>
            <w:rPr>
              <w:rFonts w:ascii="宋体" w:hAnsi="宋体"/>
            </w:rPr>
            <w:t>收入</w:t>
          </w:r>
        </w:p>
        <w:p w14:paraId="0DF25580" w14:textId="77777777" w:rsidR="00830E72" w:rsidRDefault="008344D8">
          <w:pPr>
            <w:pStyle w:val="Style100"/>
            <w:numPr>
              <w:ilvl w:val="3"/>
              <w:numId w:val="41"/>
            </w:numPr>
            <w:ind w:left="426" w:hanging="426"/>
            <w:rPr>
              <w:rFonts w:ascii="宋体" w:hAnsi="宋体"/>
              <w:szCs w:val="21"/>
            </w:rPr>
          </w:pPr>
          <w:r>
            <w:rPr>
              <w:rFonts w:ascii="宋体" w:hAnsi="宋体" w:hint="eastAsia"/>
              <w:szCs w:val="21"/>
            </w:rPr>
            <w:t>收入确认和计量所采用的会计政策</w:t>
          </w:r>
        </w:p>
        <w:sdt>
          <w:sdtPr>
            <w:rPr>
              <w:szCs w:val="21"/>
            </w:rPr>
            <w:alias w:val="是否适用：收入确认和计量所采用的会计政策[双击切换]"/>
            <w:tag w:val="_GBC_b6eb71cc057645f3b05fb68d8273c681"/>
            <w:id w:val="-784279017"/>
            <w:lock w:val="sdtContentLocked"/>
            <w:placeholder>
              <w:docPart w:val="GBC22222222222222222222222222222"/>
            </w:placeholder>
          </w:sdtPr>
          <w:sdtEndPr/>
          <w:sdtContent>
            <w:p w14:paraId="24C6D15D"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c9c2b3029c08405387c460d2d7eacc7d"/>
            <w:id w:val="395168303"/>
            <w:lock w:val="sdtLocked"/>
            <w:placeholder>
              <w:docPart w:val="GBC22222222222222222222222222222"/>
            </w:placeholder>
          </w:sdtPr>
          <w:sdtEndPr/>
          <w:sdtContent>
            <w:p w14:paraId="7A5AA9A9" w14:textId="77777777" w:rsidR="00830E72" w:rsidRDefault="008344D8">
              <w:pPr>
                <w:ind w:firstLineChars="200" w:firstLine="420"/>
                <w:rPr>
                  <w:szCs w:val="21"/>
                </w:rPr>
              </w:pPr>
              <w:r>
                <w:rPr>
                  <w:rFonts w:hint="eastAsia"/>
                  <w:szCs w:val="21"/>
                </w:rPr>
                <w:t>自</w:t>
              </w:r>
              <w:r>
                <w:rPr>
                  <w:szCs w:val="21"/>
                </w:rPr>
                <w:t xml:space="preserve"> 2020 年 1 月 1 日起适用</w:t>
              </w:r>
            </w:p>
            <w:p w14:paraId="032BA02D" w14:textId="77777777" w:rsidR="00830E72" w:rsidRDefault="008344D8">
              <w:pPr>
                <w:ind w:firstLineChars="200" w:firstLine="420"/>
                <w:rPr>
                  <w:szCs w:val="21"/>
                </w:rPr>
              </w:pPr>
              <w:r>
                <w:rPr>
                  <w:rFonts w:hint="eastAsia"/>
                  <w:szCs w:val="21"/>
                </w:rPr>
                <w:t>（</w:t>
              </w:r>
              <w:r>
                <w:rPr>
                  <w:szCs w:val="21"/>
                </w:rPr>
                <w:t>1）一般原则</w:t>
              </w:r>
            </w:p>
            <w:p w14:paraId="3BAC817D" w14:textId="77777777" w:rsidR="00830E72" w:rsidRDefault="008344D8">
              <w:pPr>
                <w:ind w:firstLineChars="200" w:firstLine="420"/>
                <w:rPr>
                  <w:szCs w:val="21"/>
                </w:rPr>
              </w:pPr>
              <w:r>
                <w:rPr>
                  <w:rFonts w:hint="eastAsia"/>
                  <w:szCs w:val="21"/>
                </w:rPr>
                <w:t>收入是本公司在日常活动中形成的、会导致股东权益增加且与股东投入资本无关的经济利益的总流入。</w:t>
              </w:r>
            </w:p>
            <w:p w14:paraId="63F07985" w14:textId="77777777" w:rsidR="00830E72" w:rsidRDefault="008344D8">
              <w:pPr>
                <w:ind w:firstLineChars="200" w:firstLine="420"/>
                <w:rPr>
                  <w:szCs w:val="21"/>
                </w:rPr>
              </w:pPr>
              <w:r>
                <w:rPr>
                  <w:rFonts w:hint="eastAsia"/>
                  <w:szCs w:val="21"/>
                </w:rPr>
                <w:t>本公司在履行了合同中的履约义务，即在客户取得相关商品控制权时确认收入。取得相关商品控制权，是指能够主导该商品的使用并从中获得几乎全部的经济利益。</w:t>
              </w:r>
            </w:p>
            <w:p w14:paraId="1B72BD62" w14:textId="77777777" w:rsidR="00830E72" w:rsidRDefault="008344D8">
              <w:pPr>
                <w:ind w:firstLineChars="200" w:firstLine="420"/>
                <w:rPr>
                  <w:szCs w:val="21"/>
                </w:rPr>
              </w:pPr>
              <w:r>
                <w:rPr>
                  <w:rFonts w:hint="eastAsia"/>
                  <w:szCs w:val="21"/>
                </w:rPr>
                <w:t>合同中包含两项或多项履约义务的，本公司在合同开始日，按照各单项履约义务所承诺商品或服务的单独售价的相对比例，将交易价格分摊至各单项履约义务，按照分摊至各单项履约义务的交易价格计量收入。</w:t>
              </w:r>
            </w:p>
            <w:p w14:paraId="1BD818D1" w14:textId="77777777" w:rsidR="00830E72" w:rsidRDefault="008344D8">
              <w:pPr>
                <w:ind w:firstLineChars="200" w:firstLine="420"/>
                <w:rPr>
                  <w:szCs w:val="21"/>
                </w:rPr>
              </w:pPr>
              <w:r>
                <w:rPr>
                  <w:rFonts w:hint="eastAsia"/>
                  <w:szCs w:val="21"/>
                </w:rPr>
                <w:t>交易价格是本公司因向客户转让商品或服务而预期有权收取的对价金额，不包括代第三方收取的款项。在确定合同交易价格时，如果存在可变对价，本公司按照期望值或最可能发生金额确定可变对价的最佳估计数，并以不超过在相关不确定性消除时累计已确认收入极可能不会发生重大转回的金额计入交易价格。合同中如果存在重大融资成分，本公司将根据客户在取得商品控制权时即以现金支付的应付金额确定交易价格，该交易价格与合同对价之间的差额，在合同期间内</w:t>
              </w:r>
              <w:r>
                <w:rPr>
                  <w:rFonts w:hint="eastAsia"/>
                  <w:szCs w:val="21"/>
                </w:rPr>
                <w:lastRenderedPageBreak/>
                <w:t>采用实际利率法摊销，对于控制权转移与客户支付价款间隔未超过一年的，本公司不考虑其中的融资成分。</w:t>
              </w:r>
            </w:p>
            <w:p w14:paraId="4C3CD6F4" w14:textId="77777777" w:rsidR="00830E72" w:rsidRDefault="008344D8">
              <w:pPr>
                <w:ind w:firstLineChars="200" w:firstLine="420"/>
                <w:rPr>
                  <w:szCs w:val="21"/>
                </w:rPr>
              </w:pPr>
              <w:r>
                <w:rPr>
                  <w:rFonts w:hint="eastAsia"/>
                  <w:szCs w:val="21"/>
                </w:rPr>
                <w:t>满足下列条件之一的，属于在某一时段内履行履约义务；否则，属于在某一时点履行履约义务：</w:t>
              </w:r>
            </w:p>
            <w:p w14:paraId="550F1DFD" w14:textId="77777777" w:rsidR="00830E72" w:rsidRDefault="008344D8">
              <w:pPr>
                <w:ind w:firstLineChars="200" w:firstLine="420"/>
                <w:rPr>
                  <w:szCs w:val="21"/>
                </w:rPr>
              </w:pPr>
              <w:r>
                <w:rPr>
                  <w:rFonts w:hint="eastAsia"/>
                  <w:szCs w:val="21"/>
                </w:rPr>
                <w:t>①客户在本公司履约的同时即取得并消耗本公司履约所带来的经济利益；</w:t>
              </w:r>
            </w:p>
            <w:p w14:paraId="3FFE5A76" w14:textId="77777777" w:rsidR="00830E72" w:rsidRDefault="008344D8">
              <w:pPr>
                <w:ind w:firstLineChars="200" w:firstLine="420"/>
                <w:rPr>
                  <w:szCs w:val="21"/>
                </w:rPr>
              </w:pPr>
              <w:r>
                <w:rPr>
                  <w:rFonts w:hint="eastAsia"/>
                  <w:szCs w:val="21"/>
                </w:rPr>
                <w:t>②客户能够控制本公司履约过程中在建的商品；</w:t>
              </w:r>
            </w:p>
            <w:p w14:paraId="1BE13BC2" w14:textId="77777777" w:rsidR="00830E72" w:rsidRDefault="008344D8">
              <w:pPr>
                <w:ind w:firstLineChars="200" w:firstLine="420"/>
                <w:rPr>
                  <w:szCs w:val="21"/>
                </w:rPr>
              </w:pPr>
              <w:r>
                <w:rPr>
                  <w:rFonts w:hint="eastAsia"/>
                  <w:szCs w:val="21"/>
                </w:rPr>
                <w:t>③本公司履约过程中所产出的商品具有不可替代用途，且本公司在整个合同期间内有权就累计至今已完成的履约部分收取款项。</w:t>
              </w:r>
            </w:p>
            <w:p w14:paraId="2ABE419E" w14:textId="77777777" w:rsidR="00830E72" w:rsidRDefault="008344D8">
              <w:pPr>
                <w:ind w:firstLineChars="200" w:firstLine="420"/>
                <w:rPr>
                  <w:szCs w:val="21"/>
                </w:rPr>
              </w:pPr>
              <w:r>
                <w:rPr>
                  <w:rFonts w:hint="eastAsia"/>
                  <w:szCs w:val="21"/>
                </w:rPr>
                <w:t>对于在某一时段内履行的履约义务，本公司在该段时间内按照履约进度确认收入，但是，履约进度不能合理确定的除外。本公司按照投入法（或产出法）确定提供服务的履约进度。当履约进度不能合理确定时，本公司已经发生的成本预计能够得到补偿的，按照已经发生的成本金额确认收入，直到履约进度能够合理确定为止。</w:t>
              </w:r>
            </w:p>
            <w:p w14:paraId="5FE81074" w14:textId="77777777" w:rsidR="00830E72" w:rsidRDefault="008344D8">
              <w:pPr>
                <w:ind w:firstLineChars="200" w:firstLine="420"/>
                <w:rPr>
                  <w:szCs w:val="21"/>
                </w:rPr>
              </w:pPr>
              <w:r>
                <w:rPr>
                  <w:rFonts w:hint="eastAsia"/>
                  <w:szCs w:val="21"/>
                </w:rPr>
                <w:t>对于在某一时点履行的履约义务，本公司在客户取得相关商品控制权时点确认收入。在判断客户是否已取得商品或服务控制权时，本公司会考虑下列迹象：</w:t>
              </w:r>
            </w:p>
            <w:p w14:paraId="64CC2BF9" w14:textId="77777777" w:rsidR="00830E72" w:rsidRDefault="008344D8">
              <w:pPr>
                <w:ind w:firstLineChars="200" w:firstLine="420"/>
                <w:rPr>
                  <w:szCs w:val="21"/>
                </w:rPr>
              </w:pPr>
              <w:r>
                <w:rPr>
                  <w:rFonts w:hint="eastAsia"/>
                  <w:szCs w:val="21"/>
                </w:rPr>
                <w:t>①本公司就该商品或服务享有现时收款权利，即客户就该商品负有现时付款义务；</w:t>
              </w:r>
            </w:p>
            <w:p w14:paraId="07BFD6A3" w14:textId="77777777" w:rsidR="00830E72" w:rsidRDefault="008344D8">
              <w:pPr>
                <w:ind w:firstLineChars="200" w:firstLine="420"/>
                <w:rPr>
                  <w:szCs w:val="21"/>
                </w:rPr>
              </w:pPr>
              <w:r>
                <w:rPr>
                  <w:rFonts w:hint="eastAsia"/>
                  <w:szCs w:val="21"/>
                </w:rPr>
                <w:t>②本公司已将该商品的法定所有权转移给客户，即客户已拥有了该商品的法定所有权；</w:t>
              </w:r>
            </w:p>
            <w:p w14:paraId="6599E342" w14:textId="77777777" w:rsidR="00830E72" w:rsidRDefault="008344D8">
              <w:pPr>
                <w:ind w:firstLineChars="200" w:firstLine="420"/>
                <w:rPr>
                  <w:szCs w:val="21"/>
                </w:rPr>
              </w:pPr>
              <w:r>
                <w:rPr>
                  <w:rFonts w:hint="eastAsia"/>
                  <w:szCs w:val="21"/>
                </w:rPr>
                <w:t>③本公司已将该商品的实物转移给客户，即客户已实物占有该商品；</w:t>
              </w:r>
            </w:p>
            <w:p w14:paraId="5BB05615" w14:textId="77777777" w:rsidR="00830E72" w:rsidRDefault="008344D8">
              <w:pPr>
                <w:ind w:firstLineChars="200" w:firstLine="420"/>
                <w:rPr>
                  <w:szCs w:val="21"/>
                </w:rPr>
              </w:pPr>
              <w:r>
                <w:rPr>
                  <w:rFonts w:hint="eastAsia"/>
                  <w:szCs w:val="21"/>
                </w:rPr>
                <w:t>④本公司已将该商品所有权上的主要风险和报酬转移给客户，即客户已取得该商品所有权上的主要风险和报酬；</w:t>
              </w:r>
            </w:p>
            <w:p w14:paraId="16E34E2E" w14:textId="77777777" w:rsidR="00830E72" w:rsidRDefault="008344D8">
              <w:pPr>
                <w:ind w:firstLineChars="200" w:firstLine="420"/>
                <w:rPr>
                  <w:szCs w:val="21"/>
                </w:rPr>
              </w:pPr>
              <w:r>
                <w:rPr>
                  <w:rFonts w:hint="eastAsia"/>
                  <w:szCs w:val="21"/>
                </w:rPr>
                <w:t>⑤客户已接受该商品。</w:t>
              </w:r>
            </w:p>
            <w:p w14:paraId="293AF96D" w14:textId="77777777" w:rsidR="00830E72" w:rsidRDefault="008344D8">
              <w:pPr>
                <w:ind w:firstLineChars="200" w:firstLine="420"/>
                <w:rPr>
                  <w:szCs w:val="21"/>
                </w:rPr>
              </w:pPr>
              <w:r>
                <w:rPr>
                  <w:rFonts w:hint="eastAsia"/>
                  <w:szCs w:val="21"/>
                </w:rPr>
                <w:t>销售退回条款</w:t>
              </w:r>
            </w:p>
            <w:p w14:paraId="567FA5B6" w14:textId="77777777" w:rsidR="00830E72" w:rsidRDefault="008344D8">
              <w:pPr>
                <w:ind w:firstLineChars="200" w:firstLine="420"/>
                <w:rPr>
                  <w:szCs w:val="21"/>
                </w:rPr>
              </w:pPr>
              <w:r>
                <w:rPr>
                  <w:rFonts w:hint="eastAsia"/>
                  <w:szCs w:val="21"/>
                </w:rPr>
                <w:t>对于附有销售退回条款的销售，公司在客户取得相关商品控制权时，按照因向客户转让商品而与其有权取得的对价金额确认收入，按照预期因销售退回将退还的金额确认为预计负债；同时，按照预期将退回商品转让时的账面价值，扣除收回该商品预计发生的成本（包括退回商品的价值减损）后的余额，确认为一项资产，即应收退货成本，按照所转让商品转让时的账面价值，扣除上述资产成本的净额结转成本。每一资产负债表日，公司重新估计未来销售退回情况，并对上述资产和负债进行重新计量。</w:t>
              </w:r>
            </w:p>
            <w:p w14:paraId="7A050C28" w14:textId="77777777" w:rsidR="00830E72" w:rsidRDefault="008344D8">
              <w:pPr>
                <w:ind w:firstLineChars="200" w:firstLine="420"/>
                <w:rPr>
                  <w:szCs w:val="21"/>
                </w:rPr>
              </w:pPr>
              <w:r>
                <w:rPr>
                  <w:rFonts w:hint="eastAsia"/>
                  <w:szCs w:val="21"/>
                </w:rPr>
                <w:t>质保义务</w:t>
              </w:r>
            </w:p>
            <w:p w14:paraId="2EB060F4" w14:textId="77777777" w:rsidR="00830E72" w:rsidRDefault="008344D8">
              <w:pPr>
                <w:ind w:firstLineChars="200" w:firstLine="420"/>
                <w:rPr>
                  <w:szCs w:val="21"/>
                </w:rPr>
              </w:pPr>
              <w:r>
                <w:rPr>
                  <w:rFonts w:hint="eastAsia"/>
                  <w:szCs w:val="21"/>
                </w:rPr>
                <w:t>根据合同约定、法律规定等，本公司为所销售的商品、所建造的工程等提供质量保证。对于为向客户保证所销售的商品符合既定标准的保证类质量保证，本公司按照《企业会计准则第</w:t>
              </w:r>
              <w:r>
                <w:rPr>
                  <w:szCs w:val="21"/>
                </w:rPr>
                <w:t xml:space="preserve"> 13</w:t>
              </w:r>
              <w:r>
                <w:rPr>
                  <w:rFonts w:hint="eastAsia"/>
                  <w:szCs w:val="21"/>
                </w:rPr>
                <w:t>号——或有事项》进行会计处理。对于为向客户保证所销售的商品符合既定标准之外提供了一项单独服务的服务类质量保证，本公司将其作为一项单项履约义务，按照提供商品和服务类质量保证的单独售价的相对比例，将部分交易价格分摊至服务类质量保证，并在客户取得服务控制权时确认收入。在评估质量保证是否在向客户保证所销售商品符合既定标准之外提供了一项单独服务时，本公司考虑该质量保证是否为法定要求、质量保证期限以及本公司承诺履行任务的性质等因素。</w:t>
              </w:r>
            </w:p>
            <w:p w14:paraId="3F844563" w14:textId="77777777" w:rsidR="00830E72" w:rsidRDefault="008344D8">
              <w:pPr>
                <w:ind w:firstLineChars="200" w:firstLine="420"/>
                <w:rPr>
                  <w:szCs w:val="21"/>
                </w:rPr>
              </w:pPr>
              <w:r>
                <w:rPr>
                  <w:rFonts w:hint="eastAsia"/>
                  <w:szCs w:val="21"/>
                </w:rPr>
                <w:t>主要责任人与代理人</w:t>
              </w:r>
            </w:p>
            <w:p w14:paraId="5066AB26" w14:textId="77777777" w:rsidR="00830E72" w:rsidRDefault="008344D8">
              <w:pPr>
                <w:ind w:firstLineChars="200" w:firstLine="420"/>
                <w:rPr>
                  <w:szCs w:val="21"/>
                </w:rPr>
              </w:pPr>
              <w:r>
                <w:rPr>
                  <w:rFonts w:hint="eastAsia"/>
                  <w:szCs w:val="21"/>
                </w:rPr>
                <w:t>对于本公司自第三方取得贸易类商品控制权后，再转让给客户，本公司有权自主决定所交易商品的价格，即本公司在向客户转让贸易类商品前能够控制该商品，因此本公司是主要责任人，按照已收或应收对价总额确认收入。否则，本公司为代理人，按照预期有权收取的佣金或手续费的金额确认收入，该金额应当按照已收或应收对价总额扣除应支付给其他相关方的价款后的净额，或者按照既定的佣金金额或比例等确定。</w:t>
              </w:r>
            </w:p>
            <w:p w14:paraId="0DC0B5E3" w14:textId="77777777" w:rsidR="00830E72" w:rsidRDefault="008344D8">
              <w:pPr>
                <w:ind w:firstLineChars="200" w:firstLine="420"/>
                <w:rPr>
                  <w:szCs w:val="21"/>
                </w:rPr>
              </w:pPr>
              <w:r>
                <w:rPr>
                  <w:rFonts w:hint="eastAsia"/>
                  <w:szCs w:val="21"/>
                </w:rPr>
                <w:t>应付客户对价</w:t>
              </w:r>
            </w:p>
            <w:p w14:paraId="350E7A37" w14:textId="77777777" w:rsidR="00830E72" w:rsidRDefault="008344D8">
              <w:pPr>
                <w:ind w:firstLineChars="200" w:firstLine="420"/>
                <w:rPr>
                  <w:szCs w:val="21"/>
                </w:rPr>
              </w:pPr>
              <w:r>
                <w:rPr>
                  <w:rFonts w:hint="eastAsia"/>
                  <w:szCs w:val="21"/>
                </w:rPr>
                <w:t>合同中存在应付客户对价的，除非该对价是为了向客户取得其他可明确区分商品或服务的，本公司将该应付对价冲减交易价格，并在确认相关收入与支付（或承诺支付）客户对价二者孰晚的时点冲减当期收入。</w:t>
              </w:r>
            </w:p>
            <w:p w14:paraId="07736507" w14:textId="77777777" w:rsidR="00830E72" w:rsidRDefault="008344D8">
              <w:pPr>
                <w:ind w:firstLineChars="200" w:firstLine="420"/>
                <w:rPr>
                  <w:szCs w:val="21"/>
                </w:rPr>
              </w:pPr>
              <w:r>
                <w:rPr>
                  <w:rFonts w:hint="eastAsia"/>
                  <w:szCs w:val="21"/>
                </w:rPr>
                <w:t>客户未行使的合同权利</w:t>
              </w:r>
            </w:p>
            <w:p w14:paraId="70F7773C" w14:textId="77777777" w:rsidR="00830E72" w:rsidRDefault="008344D8">
              <w:pPr>
                <w:ind w:firstLineChars="200" w:firstLine="420"/>
                <w:rPr>
                  <w:szCs w:val="21"/>
                </w:rPr>
              </w:pPr>
              <w:r>
                <w:rPr>
                  <w:rFonts w:hint="eastAsia"/>
                  <w:szCs w:val="21"/>
                </w:rPr>
                <w:t>本公司向客户预收销售商品或服务款项的，首先将该款项确认为负债，待履行了相关履约义务时再转为收入。当本公司预收款项无需退回，且客户可能会放弃其全部或部分合同权利时，本公司预期将有权获得与客户所放弃的合同权利相关的金额的，按照客户行使合同权利的模式按比</w:t>
              </w:r>
              <w:r>
                <w:rPr>
                  <w:rFonts w:hint="eastAsia"/>
                  <w:szCs w:val="21"/>
                </w:rPr>
                <w:lastRenderedPageBreak/>
                <w:t>例将上述金额确认为收入；否则，本公司只有在客户要求履行剩余履约义务的可能性极低时，才将上述负债的相关余额转为收入。</w:t>
              </w:r>
            </w:p>
            <w:p w14:paraId="60A633C1" w14:textId="77777777" w:rsidR="00830E72" w:rsidRDefault="008344D8">
              <w:pPr>
                <w:ind w:firstLineChars="200" w:firstLine="420"/>
                <w:rPr>
                  <w:szCs w:val="21"/>
                </w:rPr>
              </w:pPr>
              <w:r>
                <w:rPr>
                  <w:rFonts w:hint="eastAsia"/>
                  <w:szCs w:val="21"/>
                </w:rPr>
                <w:t>合同变更</w:t>
              </w:r>
            </w:p>
            <w:p w14:paraId="631C4FCC" w14:textId="77777777" w:rsidR="00830E72" w:rsidRDefault="008344D8">
              <w:pPr>
                <w:ind w:firstLineChars="200" w:firstLine="420"/>
                <w:rPr>
                  <w:szCs w:val="21"/>
                </w:rPr>
              </w:pPr>
              <w:r>
                <w:rPr>
                  <w:rFonts w:hint="eastAsia"/>
                  <w:szCs w:val="21"/>
                </w:rPr>
                <w:t>本公司与客户之间的建造合同发生合同变更时：</w:t>
              </w:r>
            </w:p>
            <w:p w14:paraId="502E3966" w14:textId="77777777" w:rsidR="00830E72" w:rsidRDefault="008344D8">
              <w:pPr>
                <w:ind w:firstLineChars="200" w:firstLine="420"/>
                <w:rPr>
                  <w:szCs w:val="21"/>
                </w:rPr>
              </w:pPr>
              <w:r>
                <w:rPr>
                  <w:rFonts w:hint="eastAsia"/>
                  <w:szCs w:val="21"/>
                </w:rPr>
                <w:t>①如果合同变更增加了可明确区分的建造服务及合同价款，且新增合同价款反映了新增建造服务单独售价的，本公司将该合同变更作为一份单独的合同进行会计处理；</w:t>
              </w:r>
            </w:p>
            <w:p w14:paraId="185CD44D" w14:textId="77777777" w:rsidR="00830E72" w:rsidRDefault="008344D8">
              <w:pPr>
                <w:ind w:firstLineChars="200" w:firstLine="420"/>
                <w:rPr>
                  <w:szCs w:val="21"/>
                </w:rPr>
              </w:pPr>
              <w:r>
                <w:rPr>
                  <w:rFonts w:hint="eastAsia"/>
                  <w:szCs w:val="21"/>
                </w:rPr>
                <w:t>②如果合同变更不属于上述第①种情形，且在合同变更日已转让的建造服务与未转让的建造服务之间可明确区分的，本公司将其视为原合同终止，同时，将原合同未履约部分与合同变更部分合并为新合同进行会计处理；</w:t>
              </w:r>
            </w:p>
            <w:p w14:paraId="3C494412" w14:textId="77777777" w:rsidR="00830E72" w:rsidRDefault="008344D8">
              <w:pPr>
                <w:ind w:firstLineChars="200" w:firstLine="420"/>
                <w:rPr>
                  <w:szCs w:val="21"/>
                </w:rPr>
              </w:pPr>
              <w:r>
                <w:rPr>
                  <w:rFonts w:hint="eastAsia"/>
                  <w:szCs w:val="21"/>
                </w:rPr>
                <w:t>③如果合同变更不属于上述第①种情形，且在合同变更日已转让的建造服务与未转让的建造服务之间不可明确区分，本公司将该合同变更部分作为原合同的组成部分进行会计处理，由此产生的对已确认收入的影响，在合同变更日调整当期收入。</w:t>
              </w:r>
            </w:p>
            <w:p w14:paraId="61C545EC" w14:textId="77777777" w:rsidR="00830E72" w:rsidRDefault="008344D8">
              <w:pPr>
                <w:ind w:firstLineChars="200" w:firstLine="420"/>
                <w:rPr>
                  <w:szCs w:val="21"/>
                </w:rPr>
              </w:pPr>
              <w:r>
                <w:rPr>
                  <w:rFonts w:hint="eastAsia"/>
                  <w:szCs w:val="21"/>
                </w:rPr>
                <w:t>（</w:t>
              </w:r>
              <w:r>
                <w:rPr>
                  <w:szCs w:val="21"/>
                </w:rPr>
                <w:t>2）具体方法</w:t>
              </w:r>
            </w:p>
            <w:p w14:paraId="68185156" w14:textId="77777777" w:rsidR="00830E72" w:rsidRDefault="008344D8">
              <w:pPr>
                <w:ind w:firstLineChars="200" w:firstLine="420"/>
                <w:rPr>
                  <w:szCs w:val="21"/>
                </w:rPr>
              </w:pPr>
              <w:r>
                <w:rPr>
                  <w:rFonts w:hint="eastAsia"/>
                  <w:szCs w:val="21"/>
                </w:rPr>
                <w:t>①商品销售合同</w:t>
              </w:r>
            </w:p>
            <w:p w14:paraId="07F551F2" w14:textId="77777777" w:rsidR="00830E72" w:rsidRDefault="008344D8">
              <w:pPr>
                <w:ind w:firstLineChars="200" w:firstLine="420"/>
                <w:rPr>
                  <w:szCs w:val="21"/>
                </w:rPr>
              </w:pPr>
              <w:r>
                <w:rPr>
                  <w:rFonts w:hint="eastAsia"/>
                  <w:szCs w:val="21"/>
                </w:rPr>
                <w:t>本公司与客户之间的销售商品合同包含转让商品的履约义务，属于在某一时点履行履约义务。</w:t>
              </w:r>
            </w:p>
            <w:p w14:paraId="6955747F" w14:textId="77777777" w:rsidR="00830E72" w:rsidRDefault="008344D8">
              <w:pPr>
                <w:ind w:firstLineChars="200" w:firstLine="420"/>
                <w:rPr>
                  <w:szCs w:val="21"/>
                </w:rPr>
              </w:pPr>
              <w:r>
                <w:rPr>
                  <w:rFonts w:hint="eastAsia"/>
                  <w:szCs w:val="21"/>
                </w:rPr>
                <w:t>销售产品收入确认需满足以下条件：本公司已根据合同约定将产品交付给客户且客户已接受该商品，已经收回货款或取得了收款凭证且相关的经济利益很可能流入，商品所有权上的主要风险和报酬已转移，商品的法定所有权已转移；</w:t>
              </w:r>
            </w:p>
            <w:p w14:paraId="0E632633" w14:textId="77777777" w:rsidR="00830E72" w:rsidRDefault="008344D8">
              <w:pPr>
                <w:ind w:firstLineChars="200" w:firstLine="420"/>
                <w:rPr>
                  <w:szCs w:val="21"/>
                </w:rPr>
              </w:pPr>
              <w:r>
                <w:rPr>
                  <w:rFonts w:hint="eastAsia"/>
                  <w:szCs w:val="21"/>
                </w:rPr>
                <w:t>②建造合同</w:t>
              </w:r>
            </w:p>
            <w:p w14:paraId="0CBD21E3" w14:textId="77777777" w:rsidR="00830E72" w:rsidRDefault="008344D8">
              <w:pPr>
                <w:ind w:firstLineChars="200" w:firstLine="420"/>
                <w:rPr>
                  <w:szCs w:val="21"/>
                </w:rPr>
              </w:pPr>
              <w:r>
                <w:rPr>
                  <w:rFonts w:hint="eastAsia"/>
                  <w:szCs w:val="21"/>
                </w:rPr>
                <w:t>本公司与客户之间的建造合同包含工程建设的履约义务，由于客户能够控制本公司履约过程中在建的商品，本公司将其作为在某一时段内履行的履约义务，按照履约进度确认收入，履约进度不能合理确定的除外。本公司按照投入法确定提供服务的履约进度。履约进度按已经完成的为履行合同实际发生的合同成本占合同预计总成本的比例确定。于资产负债表日，本公司对已完工或已完成劳务的进度进行重新估计，以使其能够反映履约情况的变化。</w:t>
              </w:r>
            </w:p>
            <w:p w14:paraId="4EC9AD26" w14:textId="77777777" w:rsidR="00830E72" w:rsidRDefault="008344D8">
              <w:pPr>
                <w:ind w:firstLineChars="200" w:firstLine="420"/>
                <w:rPr>
                  <w:szCs w:val="21"/>
                </w:rPr>
              </w:pPr>
              <w:r>
                <w:rPr>
                  <w:rFonts w:hint="eastAsia"/>
                  <w:szCs w:val="21"/>
                </w:rPr>
                <w:t>本公司根据累计已完成的合同成本占合同预计总成本的比例确定履约进度，具体方法如下：</w:t>
              </w:r>
            </w:p>
            <w:p w14:paraId="2A0460AD" w14:textId="77777777" w:rsidR="00830E72" w:rsidRDefault="008344D8">
              <w:pPr>
                <w:ind w:firstLineChars="200" w:firstLine="420"/>
                <w:rPr>
                  <w:szCs w:val="21"/>
                </w:rPr>
              </w:pPr>
              <w:r>
                <w:rPr>
                  <w:rFonts w:hint="eastAsia"/>
                  <w:szCs w:val="21"/>
                </w:rPr>
                <w:t>（</w:t>
              </w:r>
              <w:r>
                <w:rPr>
                  <w:szCs w:val="21"/>
                </w:rPr>
                <w:t>1）预计总成本</w:t>
              </w:r>
            </w:p>
            <w:p w14:paraId="04FD8679" w14:textId="77777777" w:rsidR="00830E72" w:rsidRDefault="008344D8">
              <w:pPr>
                <w:ind w:firstLineChars="200" w:firstLine="420"/>
                <w:rPr>
                  <w:szCs w:val="21"/>
                </w:rPr>
              </w:pPr>
              <w:r>
                <w:rPr>
                  <w:rFonts w:hint="eastAsia"/>
                  <w:szCs w:val="21"/>
                </w:rPr>
                <w:t>预计总成本是指公司为建造某项合同预计而发生的相关费用，包括从合同签订开始至合同完成止预计所发生的、与执行合同有关的直接费用和间接费用。</w:t>
              </w:r>
            </w:p>
            <w:p w14:paraId="0D1C7739" w14:textId="77777777" w:rsidR="00830E72" w:rsidRDefault="008344D8">
              <w:pPr>
                <w:ind w:firstLineChars="200" w:firstLine="420"/>
                <w:rPr>
                  <w:szCs w:val="21"/>
                </w:rPr>
              </w:pPr>
              <w:r>
                <w:rPr>
                  <w:szCs w:val="21"/>
                </w:rPr>
                <w:t>A.预计总成本的编制</w:t>
              </w:r>
            </w:p>
            <w:p w14:paraId="18168014" w14:textId="77777777" w:rsidR="00830E72" w:rsidRDefault="008344D8">
              <w:pPr>
                <w:ind w:firstLineChars="200" w:firstLine="420"/>
                <w:rPr>
                  <w:szCs w:val="21"/>
                </w:rPr>
              </w:pPr>
              <w:r>
                <w:rPr>
                  <w:rFonts w:hint="eastAsia"/>
                  <w:szCs w:val="21"/>
                </w:rPr>
                <w:t>与业主签订工程承包合同后，公司根据经业主确认的施工图纸及企业内部施工定额以及各项材料、人工、机械等市场单价，编制预计总成本。</w:t>
              </w:r>
            </w:p>
            <w:p w14:paraId="323C45D9" w14:textId="77777777" w:rsidR="00830E72" w:rsidRDefault="008344D8">
              <w:pPr>
                <w:ind w:firstLineChars="200" w:firstLine="420"/>
                <w:rPr>
                  <w:szCs w:val="21"/>
                </w:rPr>
              </w:pPr>
              <w:r>
                <w:rPr>
                  <w:szCs w:val="21"/>
                </w:rPr>
                <w:t>B.预计总成本的调整</w:t>
              </w:r>
            </w:p>
            <w:p w14:paraId="4D5073B7" w14:textId="77777777" w:rsidR="00830E72" w:rsidRDefault="008344D8">
              <w:pPr>
                <w:ind w:firstLineChars="200" w:firstLine="420"/>
                <w:rPr>
                  <w:szCs w:val="21"/>
                </w:rPr>
              </w:pPr>
              <w:r>
                <w:rPr>
                  <w:rFonts w:hint="eastAsia"/>
                  <w:szCs w:val="21"/>
                </w:rPr>
                <w:t>在工程实施过程中，如发生设计变更、施工方案变更、材料价格波动等情况时，公司经复核测算并履行相应批准程序后对预计总成本进行相应调整。</w:t>
              </w:r>
            </w:p>
            <w:p w14:paraId="2274242D" w14:textId="77777777" w:rsidR="00830E72" w:rsidRDefault="008344D8">
              <w:pPr>
                <w:ind w:firstLineChars="200" w:firstLine="420"/>
                <w:rPr>
                  <w:szCs w:val="21"/>
                </w:rPr>
              </w:pPr>
              <w:r>
                <w:rPr>
                  <w:szCs w:val="21"/>
                </w:rPr>
                <w:t>C.实际发生的合同成本</w:t>
              </w:r>
            </w:p>
            <w:p w14:paraId="5C9C8D04" w14:textId="77777777" w:rsidR="00830E72" w:rsidRDefault="008344D8">
              <w:pPr>
                <w:ind w:firstLineChars="200" w:firstLine="420"/>
                <w:rPr>
                  <w:szCs w:val="21"/>
                </w:rPr>
              </w:pPr>
              <w:r>
                <w:rPr>
                  <w:rFonts w:hint="eastAsia"/>
                  <w:szCs w:val="21"/>
                </w:rPr>
                <w:t>公司合同成本包括材料费、人工费、机械使用费、其他直接费用以及分配计入的施工间接费用，公司按照实际发生的成本类别计入合同成本相应明细科目。</w:t>
              </w:r>
            </w:p>
            <w:p w14:paraId="7CDAB4E8" w14:textId="77777777" w:rsidR="00830E72" w:rsidRDefault="008344D8">
              <w:pPr>
                <w:ind w:firstLineChars="200" w:firstLine="420"/>
                <w:rPr>
                  <w:szCs w:val="21"/>
                </w:rPr>
              </w:pPr>
              <w:r>
                <w:rPr>
                  <w:szCs w:val="21"/>
                </w:rPr>
                <w:t>D. 完工进度的确认</w:t>
              </w:r>
            </w:p>
            <w:p w14:paraId="6D5B1C0B" w14:textId="77777777" w:rsidR="00830E72" w:rsidRDefault="008344D8">
              <w:pPr>
                <w:ind w:firstLineChars="200" w:firstLine="420"/>
                <w:rPr>
                  <w:szCs w:val="21"/>
                </w:rPr>
              </w:pPr>
              <w:r>
                <w:rPr>
                  <w:rFonts w:hint="eastAsia"/>
                  <w:szCs w:val="21"/>
                </w:rPr>
                <w:t>完工进度＝实际发生的合同成本</w:t>
              </w:r>
              <w:r>
                <w:rPr>
                  <w:szCs w:val="21"/>
                </w:rPr>
                <w:t>/预计总成本</w:t>
              </w:r>
            </w:p>
            <w:p w14:paraId="5B4FC443" w14:textId="77777777" w:rsidR="00830E72" w:rsidRDefault="008344D8">
              <w:pPr>
                <w:ind w:firstLineChars="200" w:firstLine="420"/>
                <w:rPr>
                  <w:szCs w:val="21"/>
                </w:rPr>
              </w:pPr>
              <w:r>
                <w:rPr>
                  <w:rFonts w:hint="eastAsia"/>
                  <w:szCs w:val="21"/>
                </w:rPr>
                <w:t>（</w:t>
              </w:r>
              <w:r>
                <w:rPr>
                  <w:szCs w:val="21"/>
                </w:rPr>
                <w:t>2）合同收入、成本的确认方法</w:t>
              </w:r>
            </w:p>
            <w:p w14:paraId="1E291855" w14:textId="77777777" w:rsidR="00830E72" w:rsidRDefault="008344D8">
              <w:pPr>
                <w:ind w:firstLineChars="200" w:firstLine="420"/>
                <w:rPr>
                  <w:szCs w:val="21"/>
                </w:rPr>
              </w:pPr>
              <w:r>
                <w:rPr>
                  <w:rFonts w:hint="eastAsia"/>
                  <w:szCs w:val="21"/>
                </w:rPr>
                <w:t>当期确认的合同收入＝合同总收入×完工进度－以前会计期间累计已确认的收入。</w:t>
              </w:r>
            </w:p>
            <w:p w14:paraId="29972E20" w14:textId="77777777" w:rsidR="00830E72" w:rsidRDefault="008344D8">
              <w:pPr>
                <w:ind w:firstLineChars="200" w:firstLine="420"/>
                <w:rPr>
                  <w:szCs w:val="21"/>
                </w:rPr>
              </w:pPr>
              <w:r>
                <w:rPr>
                  <w:rFonts w:hint="eastAsia"/>
                  <w:szCs w:val="21"/>
                </w:rPr>
                <w:t>当期确认的合同成本＝预计总成本×完工进度－以前会计期间累计确认的合同成本。</w:t>
              </w:r>
            </w:p>
            <w:p w14:paraId="27D152C6" w14:textId="77777777" w:rsidR="00830E72" w:rsidRDefault="008344D8">
              <w:pPr>
                <w:ind w:firstLineChars="200" w:firstLine="420"/>
                <w:rPr>
                  <w:szCs w:val="21"/>
                </w:rPr>
              </w:pPr>
              <w:r>
                <w:rPr>
                  <w:rFonts w:hint="eastAsia"/>
                  <w:szCs w:val="21"/>
                </w:rPr>
                <w:t>（</w:t>
              </w:r>
              <w:r>
                <w:rPr>
                  <w:szCs w:val="21"/>
                </w:rPr>
                <w:t>3）预计损失的处理</w:t>
              </w:r>
            </w:p>
            <w:p w14:paraId="246144E8" w14:textId="77777777" w:rsidR="00830E72" w:rsidRDefault="008344D8">
              <w:pPr>
                <w:ind w:firstLineChars="200" w:firstLine="420"/>
                <w:rPr>
                  <w:szCs w:val="21"/>
                </w:rPr>
              </w:pPr>
              <w:r>
                <w:rPr>
                  <w:rFonts w:hint="eastAsia"/>
                  <w:szCs w:val="21"/>
                </w:rPr>
                <w:t>资产负债表日，合同预计总成本超过合同总收入的，将预计损失确认为当期费用。</w:t>
              </w:r>
            </w:p>
            <w:p w14:paraId="429D3CFE" w14:textId="77777777" w:rsidR="00830E72" w:rsidRDefault="008344D8">
              <w:pPr>
                <w:ind w:firstLineChars="200" w:firstLine="420"/>
                <w:rPr>
                  <w:szCs w:val="21"/>
                </w:rPr>
              </w:pPr>
              <w:r>
                <w:rPr>
                  <w:rFonts w:hint="eastAsia"/>
                  <w:szCs w:val="21"/>
                </w:rPr>
                <w:t xml:space="preserve">③ </w:t>
              </w:r>
              <w:r>
                <w:rPr>
                  <w:szCs w:val="21"/>
                </w:rPr>
                <w:t>BOT 合同</w:t>
              </w:r>
            </w:p>
            <w:p w14:paraId="2539A568" w14:textId="77777777" w:rsidR="00830E72" w:rsidRDefault="008344D8">
              <w:pPr>
                <w:ind w:firstLineChars="200" w:firstLine="420"/>
                <w:rPr>
                  <w:szCs w:val="21"/>
                </w:rPr>
              </w:pPr>
              <w:r>
                <w:rPr>
                  <w:rFonts w:hint="eastAsia"/>
                  <w:szCs w:val="21"/>
                </w:rPr>
                <w:t>建设、运营及移交合同项于建设阶段提供实际建造服务的，按照上述建造合同</w:t>
              </w:r>
              <w:r>
                <w:rPr>
                  <w:szCs w:val="21"/>
                </w:rPr>
                <w:t>所述的会</w:t>
              </w:r>
              <w:r>
                <w:rPr>
                  <w:rFonts w:hint="eastAsia"/>
                  <w:szCs w:val="21"/>
                </w:rPr>
                <w:t>计政策确认基础设施建设服务的收入和成本。基础设施建设服务收入按照收取或有权收取的对价计量，并在确认收入的同时，确认合同资产或无形资产，并对合同安排中的重大融资成分进行会计处理。</w:t>
              </w:r>
            </w:p>
            <w:p w14:paraId="2F8B450C" w14:textId="77777777" w:rsidR="00830E72" w:rsidRDefault="008344D8">
              <w:pPr>
                <w:ind w:firstLineChars="200" w:firstLine="420"/>
                <w:rPr>
                  <w:szCs w:val="21"/>
                </w:rPr>
              </w:pPr>
              <w:r>
                <w:rPr>
                  <w:rFonts w:hint="eastAsia"/>
                  <w:szCs w:val="21"/>
                </w:rPr>
                <w:t>合同规定基础设施建成后的一定期间内，本公司可以无条件地自合同授予方收取确定金额的货币资金或其他金融资产的，于项目建造完成时，将合同资产转入金融资产核算；</w:t>
              </w:r>
            </w:p>
            <w:p w14:paraId="0CE4B507" w14:textId="77777777" w:rsidR="00830E72" w:rsidRDefault="008344D8">
              <w:pPr>
                <w:ind w:firstLineChars="200" w:firstLine="420"/>
                <w:rPr>
                  <w:szCs w:val="21"/>
                </w:rPr>
              </w:pPr>
              <w:r>
                <w:rPr>
                  <w:rFonts w:hint="eastAsia"/>
                  <w:szCs w:val="21"/>
                </w:rPr>
                <w:lastRenderedPageBreak/>
                <w:t>合同规定本公司在有关基础设施建成后，从事经营的一定期间内有权利向获取服务的对象收取费用，但收费金额不确定的，该权利不构成一项无条件收取现金的权利，本公司在确认收入的同时确认无形资产。并在该项目竣工验收之日起至运营期及其延展期届满或特许经营权终止之日的期间采用年限平均法摊销。</w:t>
              </w:r>
            </w:p>
            <w:p w14:paraId="3D0194F3" w14:textId="77777777" w:rsidR="00830E72" w:rsidRDefault="008344D8">
              <w:pPr>
                <w:ind w:firstLineChars="200" w:firstLine="420"/>
                <w:rPr>
                  <w:szCs w:val="21"/>
                </w:rPr>
              </w:pPr>
              <w:r>
                <w:rPr>
                  <w:rFonts w:hint="eastAsia"/>
                  <w:szCs w:val="21"/>
                </w:rPr>
                <w:t>于运营阶段，当提供劳务时，确认相应的收入；发生的日常维护或修理费用，确认为当期费用。</w:t>
              </w:r>
            </w:p>
            <w:p w14:paraId="00BC0C17" w14:textId="77777777" w:rsidR="00830E72" w:rsidRDefault="008344D8">
              <w:pPr>
                <w:ind w:firstLineChars="200" w:firstLine="420"/>
                <w:rPr>
                  <w:szCs w:val="21"/>
                </w:rPr>
              </w:pPr>
              <w:r>
                <w:rPr>
                  <w:rFonts w:hint="eastAsia"/>
                  <w:szCs w:val="21"/>
                </w:rPr>
                <w:t>④</w:t>
              </w:r>
              <w:r>
                <w:rPr>
                  <w:szCs w:val="21"/>
                </w:rPr>
                <w:t>BT 合同</w:t>
              </w:r>
            </w:p>
            <w:p w14:paraId="492891B7" w14:textId="77777777" w:rsidR="00830E72" w:rsidRDefault="008344D8">
              <w:pPr>
                <w:ind w:firstLineChars="200" w:firstLine="420"/>
                <w:rPr>
                  <w:szCs w:val="21"/>
                </w:rPr>
              </w:pPr>
              <w:r>
                <w:rPr>
                  <w:rFonts w:hint="eastAsia"/>
                  <w:szCs w:val="21"/>
                </w:rPr>
                <w:t>对于本公司提供基础设施建设服务的，于建设阶段，按照</w:t>
              </w:r>
              <w:r>
                <w:rPr>
                  <w:rFonts w:hint="eastAsia"/>
                  <w:color w:val="000000" w:themeColor="text1"/>
                  <w:szCs w:val="21"/>
                </w:rPr>
                <w:t>上述建造合同</w:t>
              </w:r>
              <w:r>
                <w:rPr>
                  <w:szCs w:val="21"/>
                </w:rPr>
                <w:t>所述的会计政</w:t>
              </w:r>
              <w:r>
                <w:rPr>
                  <w:rFonts w:hint="eastAsia"/>
                  <w:szCs w:val="21"/>
                </w:rPr>
                <w:t>策确认相关基础设施建设服务收入和成本，基础设施建设服务收入按照收取或有权收取的对价计量，在确认收入的同时确认合同资产，并对合同安排中的重大融资成分进行会计处理。待拥有无条件收取对价权利时，转入“长期应收款”，待收到业主支付的款项后，进行冲减。</w:t>
              </w:r>
            </w:p>
            <w:p w14:paraId="346AFEA3" w14:textId="77777777" w:rsidR="00830E72" w:rsidRDefault="008344D8">
              <w:pPr>
                <w:ind w:firstLineChars="200" w:firstLine="420"/>
                <w:rPr>
                  <w:szCs w:val="21"/>
                </w:rPr>
              </w:pPr>
              <w:r>
                <w:rPr>
                  <w:rFonts w:hint="eastAsia"/>
                  <w:szCs w:val="21"/>
                </w:rPr>
                <w:t>⑤勘察设计服务合同</w:t>
              </w:r>
            </w:p>
            <w:p w14:paraId="07B77A67" w14:textId="77777777" w:rsidR="00830E72" w:rsidRDefault="008344D8">
              <w:pPr>
                <w:ind w:firstLineChars="200" w:firstLine="420"/>
                <w:rPr>
                  <w:szCs w:val="21"/>
                </w:rPr>
              </w:pPr>
              <w:r>
                <w:rPr>
                  <w:rFonts w:hint="eastAsia"/>
                  <w:szCs w:val="21"/>
                </w:rPr>
                <w:t>本公司与客户之间的勘察设计服务合同都是在一段时间内履行，履约过程中向客户提供的商品或服务都具有不可替代用途，且公司有权就已完工并经客户验收的部分收取款项，属于某一时段履行的履约义务，按照履约进度确认收入，履约进度不能合理确定的除外。公司勘察设计服务按照产出法确定提供服务的履约进度。</w:t>
              </w:r>
            </w:p>
            <w:p w14:paraId="24DF63F6" w14:textId="77777777" w:rsidR="00830E72" w:rsidRDefault="008344D8">
              <w:pPr>
                <w:ind w:firstLineChars="200" w:firstLine="420"/>
                <w:rPr>
                  <w:szCs w:val="21"/>
                </w:rPr>
              </w:pPr>
              <w:r>
                <w:rPr>
                  <w:rFonts w:hint="eastAsia"/>
                  <w:szCs w:val="21"/>
                </w:rPr>
                <w:t>⑥检测服务合同</w:t>
              </w:r>
            </w:p>
            <w:p w14:paraId="290AA418" w14:textId="77777777" w:rsidR="00830E72" w:rsidRDefault="008344D8">
              <w:pPr>
                <w:ind w:firstLineChars="200" w:firstLine="420"/>
                <w:rPr>
                  <w:szCs w:val="21"/>
                </w:rPr>
              </w:pPr>
              <w:r>
                <w:rPr>
                  <w:rFonts w:hint="eastAsia"/>
                  <w:szCs w:val="21"/>
                </w:rPr>
                <w:t>本公司检测业务的收入于将检测成果转移给客户时确认。基于检测项目提供服务时间和成果不同，在取得业主认定的计量单或业主签收正式检测报告时确认收入。</w:t>
              </w:r>
            </w:p>
            <w:p w14:paraId="1845EA63" w14:textId="77777777" w:rsidR="00830E72" w:rsidRDefault="008344D8">
              <w:pPr>
                <w:ind w:firstLineChars="200" w:firstLine="420"/>
                <w:rPr>
                  <w:szCs w:val="21"/>
                </w:rPr>
              </w:pPr>
              <w:r>
                <w:rPr>
                  <w:rFonts w:hint="eastAsia"/>
                  <w:szCs w:val="21"/>
                </w:rPr>
                <w:t>以下收入会计政策适用于</w:t>
              </w:r>
              <w:r>
                <w:rPr>
                  <w:szCs w:val="21"/>
                </w:rPr>
                <w:t xml:space="preserve"> 2019 年度及以前</w:t>
              </w:r>
            </w:p>
            <w:p w14:paraId="4D3D9E3F" w14:textId="77777777" w:rsidR="00830E72" w:rsidRDefault="008344D8">
              <w:pPr>
                <w:ind w:firstLineChars="200" w:firstLine="420"/>
                <w:rPr>
                  <w:szCs w:val="21"/>
                </w:rPr>
              </w:pPr>
              <w:r>
                <w:rPr>
                  <w:rFonts w:hint="eastAsia"/>
                  <w:szCs w:val="21"/>
                </w:rPr>
                <w:t>（</w:t>
              </w:r>
              <w:r>
                <w:rPr>
                  <w:szCs w:val="21"/>
                </w:rPr>
                <w:t>1）销售商品收入</w:t>
              </w:r>
            </w:p>
            <w:p w14:paraId="4FECBF43" w14:textId="77777777" w:rsidR="00830E72" w:rsidRDefault="008344D8">
              <w:pPr>
                <w:ind w:firstLineChars="200" w:firstLine="420"/>
                <w:rPr>
                  <w:szCs w:val="21"/>
                </w:rPr>
              </w:pPr>
              <w:r>
                <w:rPr>
                  <w:rFonts w:hint="eastAsia"/>
                  <w:szCs w:val="21"/>
                </w:rPr>
                <w:t>本公司已将商品所有权上的主要风险和报酬转移给购买方；本公司既没有保留与所有权相联系的继续管理权，也没有对已售出的商品实施有效控制；收入的金额能够可靠地计量；相关的经济利益很可能流入企业；相关的已发生或将发生的成本能够可靠地计量时，确认商品销售收入实现。</w:t>
              </w:r>
            </w:p>
            <w:p w14:paraId="48724827" w14:textId="77777777" w:rsidR="00830E72" w:rsidRDefault="008344D8">
              <w:pPr>
                <w:ind w:firstLineChars="200" w:firstLine="420"/>
                <w:rPr>
                  <w:szCs w:val="21"/>
                </w:rPr>
              </w:pPr>
              <w:r>
                <w:rPr>
                  <w:rFonts w:hint="eastAsia"/>
                  <w:szCs w:val="21"/>
                </w:rPr>
                <w:t>（</w:t>
              </w:r>
              <w:r>
                <w:rPr>
                  <w:szCs w:val="21"/>
                </w:rPr>
                <w:t>2）提供劳务收入</w:t>
              </w:r>
            </w:p>
            <w:p w14:paraId="6346DFB3" w14:textId="77777777" w:rsidR="00830E72" w:rsidRDefault="008344D8">
              <w:pPr>
                <w:ind w:firstLineChars="200" w:firstLine="420"/>
                <w:rPr>
                  <w:szCs w:val="21"/>
                </w:rPr>
              </w:pPr>
              <w:r>
                <w:rPr>
                  <w:rFonts w:hint="eastAsia"/>
                  <w:szCs w:val="21"/>
                </w:rPr>
                <w:t>在资产负债表日提供劳务交易的结果能够可靠估计的，采用完工百分比法确认提供劳务收入。提供劳务交易的完工进度，依据已完工作的测量确定。</w:t>
              </w:r>
            </w:p>
            <w:p w14:paraId="3100C692" w14:textId="77777777" w:rsidR="00830E72" w:rsidRDefault="008344D8">
              <w:pPr>
                <w:ind w:firstLineChars="200" w:firstLine="420"/>
                <w:rPr>
                  <w:szCs w:val="21"/>
                </w:rPr>
              </w:pPr>
              <w:r>
                <w:rPr>
                  <w:rFonts w:hint="eastAsia"/>
                  <w:szCs w:val="21"/>
                </w:rPr>
                <w:t>提供劳务交易的结果能够可靠估计是指同时满足：</w:t>
              </w:r>
              <w:r>
                <w:rPr>
                  <w:szCs w:val="21"/>
                </w:rPr>
                <w:t>A、收入的金额能够可靠地计量；B、相关</w:t>
              </w:r>
              <w:r>
                <w:rPr>
                  <w:rFonts w:hint="eastAsia"/>
                  <w:szCs w:val="21"/>
                </w:rPr>
                <w:t>的经济利益很可能流入企业；</w:t>
              </w:r>
              <w:r>
                <w:rPr>
                  <w:szCs w:val="21"/>
                </w:rPr>
                <w:t>C、交易的完工程度能够可靠地确定；D、交易中已发生和将发生的</w:t>
              </w:r>
              <w:r>
                <w:rPr>
                  <w:rFonts w:hint="eastAsia"/>
                  <w:szCs w:val="21"/>
                </w:rPr>
                <w:t>成本能够可靠地计量。</w:t>
              </w:r>
            </w:p>
            <w:p w14:paraId="05CEA223" w14:textId="77777777" w:rsidR="00830E72" w:rsidRDefault="008344D8">
              <w:pPr>
                <w:ind w:firstLineChars="200" w:firstLine="420"/>
                <w:rPr>
                  <w:szCs w:val="21"/>
                </w:rPr>
              </w:pPr>
              <w:r>
                <w:rPr>
                  <w:rFonts w:hint="eastAsia"/>
                  <w:szCs w:val="21"/>
                </w:rPr>
                <w:t>本公司按照已收或应收的合同或协议价款确定提供劳务收入总额，但已收或应收的合同或协议价款不公允的除外。资产负债表日按照提供劳务收入总额乘以完工进度扣除以前会计期间累计已确认提供劳务收入后的金额，确认当期提供劳务收入；同时，按照提供劳务估计总成本乘以完工进度扣除以前会计期间累计已确认劳务成本后的金额，结转当期劳务成本。</w:t>
              </w:r>
            </w:p>
            <w:p w14:paraId="632EDD0C" w14:textId="77777777" w:rsidR="00830E72" w:rsidRDefault="008344D8">
              <w:pPr>
                <w:ind w:firstLineChars="200" w:firstLine="420"/>
                <w:rPr>
                  <w:szCs w:val="21"/>
                </w:rPr>
              </w:pPr>
              <w:r>
                <w:rPr>
                  <w:rFonts w:hint="eastAsia"/>
                  <w:szCs w:val="21"/>
                </w:rPr>
                <w:t>在资产负债表日提供劳务交易结果不能够可靠估计的，分别下列情况处理：</w:t>
              </w:r>
            </w:p>
            <w:p w14:paraId="17E30861" w14:textId="77777777" w:rsidR="00830E72" w:rsidRDefault="008344D8">
              <w:pPr>
                <w:ind w:firstLineChars="200" w:firstLine="420"/>
                <w:rPr>
                  <w:szCs w:val="21"/>
                </w:rPr>
              </w:pPr>
              <w:r>
                <w:rPr>
                  <w:rFonts w:hint="eastAsia"/>
                  <w:szCs w:val="21"/>
                </w:rPr>
                <w:t>①</w:t>
              </w:r>
              <w:r>
                <w:rPr>
                  <w:szCs w:val="21"/>
                </w:rPr>
                <w:t xml:space="preserve"> 已经发生的劳务成本预计能够得到补偿的，按照已经发生的劳务成本金额确认</w:t>
              </w:r>
              <w:r>
                <w:rPr>
                  <w:rFonts w:hint="eastAsia"/>
                  <w:szCs w:val="21"/>
                </w:rPr>
                <w:t>提供劳务收入，并按相同金额结转劳务成本。</w:t>
              </w:r>
            </w:p>
            <w:p w14:paraId="7BC51DBE" w14:textId="77777777" w:rsidR="00830E72" w:rsidRDefault="008344D8">
              <w:pPr>
                <w:ind w:firstLineChars="200" w:firstLine="420"/>
                <w:rPr>
                  <w:szCs w:val="21"/>
                </w:rPr>
              </w:pPr>
              <w:r>
                <w:rPr>
                  <w:rFonts w:hint="eastAsia"/>
                  <w:szCs w:val="21"/>
                </w:rPr>
                <w:t>②</w:t>
              </w:r>
              <w:r>
                <w:rPr>
                  <w:szCs w:val="21"/>
                </w:rPr>
                <w:t xml:space="preserve"> 已经发生的劳务成本预计不能够得到补偿的，将已经发生的劳务成本计入当期损益，不</w:t>
              </w:r>
              <w:r>
                <w:rPr>
                  <w:rFonts w:hint="eastAsia"/>
                  <w:szCs w:val="21"/>
                </w:rPr>
                <w:t>确认提供劳务收入。</w:t>
              </w:r>
            </w:p>
            <w:p w14:paraId="5412FE2E" w14:textId="77777777" w:rsidR="00830E72" w:rsidRDefault="008344D8">
              <w:pPr>
                <w:ind w:firstLineChars="200" w:firstLine="420"/>
                <w:rPr>
                  <w:szCs w:val="21"/>
                </w:rPr>
              </w:pPr>
              <w:r>
                <w:rPr>
                  <w:rFonts w:hint="eastAsia"/>
                  <w:szCs w:val="21"/>
                </w:rPr>
                <w:t>（</w:t>
              </w:r>
              <w:r>
                <w:rPr>
                  <w:szCs w:val="21"/>
                </w:rPr>
                <w:t>3）提供劳务收入确认的具体原则</w:t>
              </w:r>
            </w:p>
            <w:p w14:paraId="77AE03CC" w14:textId="77777777" w:rsidR="00830E72" w:rsidRDefault="008344D8">
              <w:pPr>
                <w:ind w:firstLineChars="200" w:firstLine="420"/>
                <w:rPr>
                  <w:szCs w:val="21"/>
                </w:rPr>
              </w:pPr>
              <w:r>
                <w:rPr>
                  <w:rFonts w:hint="eastAsia"/>
                  <w:szCs w:val="21"/>
                </w:rPr>
                <w:t>①勘察设计、咨询</w:t>
              </w:r>
            </w:p>
            <w:p w14:paraId="69D4A82F" w14:textId="77777777" w:rsidR="00830E72" w:rsidRDefault="008344D8">
              <w:pPr>
                <w:ind w:firstLineChars="200" w:firstLine="420"/>
                <w:rPr>
                  <w:szCs w:val="21"/>
                </w:rPr>
              </w:pPr>
              <w:r>
                <w:rPr>
                  <w:rFonts w:hint="eastAsia"/>
                  <w:szCs w:val="21"/>
                </w:rPr>
                <w:t>在资产负债表日提供劳务交易的结果能够可靠估计的，公司按照合同约定实施设计工作，按照合同约定交付具体设计工作成果时，按照已完成工作量确认提供劳务收入，当期确认的收入＝合同金额×完工进度－以前会计期间累计已确认的收入。</w:t>
              </w:r>
            </w:p>
            <w:p w14:paraId="1E4515AD" w14:textId="77777777" w:rsidR="00830E72" w:rsidRDefault="008344D8">
              <w:pPr>
                <w:ind w:firstLineChars="200" w:firstLine="420"/>
                <w:rPr>
                  <w:szCs w:val="21"/>
                </w:rPr>
              </w:pPr>
              <w:r>
                <w:rPr>
                  <w:rFonts w:hint="eastAsia"/>
                  <w:szCs w:val="21"/>
                </w:rPr>
                <w:t>②检测服务</w:t>
              </w:r>
            </w:p>
            <w:p w14:paraId="5B5D5853" w14:textId="77777777" w:rsidR="00830E72" w:rsidRDefault="008344D8">
              <w:pPr>
                <w:ind w:firstLineChars="200" w:firstLine="420"/>
                <w:rPr>
                  <w:szCs w:val="21"/>
                </w:rPr>
              </w:pPr>
              <w:r>
                <w:rPr>
                  <w:rFonts w:hint="eastAsia"/>
                  <w:szCs w:val="21"/>
                </w:rPr>
                <w:t>根据检测项目提供服务时间和成果不同，在取得业主认定的计量单或业主签收正式检测报告时确认收入。</w:t>
              </w:r>
            </w:p>
            <w:p w14:paraId="2712571F" w14:textId="77777777" w:rsidR="00830E72" w:rsidRDefault="008344D8">
              <w:pPr>
                <w:ind w:firstLineChars="200" w:firstLine="420"/>
                <w:rPr>
                  <w:szCs w:val="21"/>
                </w:rPr>
              </w:pPr>
              <w:r>
                <w:rPr>
                  <w:rFonts w:hint="eastAsia"/>
                  <w:szCs w:val="21"/>
                </w:rPr>
                <w:t>（</w:t>
              </w:r>
              <w:r>
                <w:rPr>
                  <w:szCs w:val="21"/>
                </w:rPr>
                <w:t>4）让渡资产使用权收入</w:t>
              </w:r>
            </w:p>
            <w:p w14:paraId="05A51A7B" w14:textId="77777777" w:rsidR="00830E72" w:rsidRDefault="008344D8">
              <w:pPr>
                <w:ind w:firstLineChars="200" w:firstLine="420"/>
                <w:rPr>
                  <w:szCs w:val="21"/>
                </w:rPr>
              </w:pPr>
              <w:r>
                <w:rPr>
                  <w:rFonts w:hint="eastAsia"/>
                  <w:szCs w:val="21"/>
                </w:rPr>
                <w:lastRenderedPageBreak/>
                <w:t>与交易相关的经济利益很可能流入企业，收入的金额能够可靠地计量时，分别下列情况确定让渡资产使用权收入金额：</w:t>
              </w:r>
            </w:p>
            <w:p w14:paraId="29F58879" w14:textId="77777777" w:rsidR="00830E72" w:rsidRDefault="008344D8">
              <w:pPr>
                <w:ind w:firstLineChars="200" w:firstLine="420"/>
                <w:rPr>
                  <w:szCs w:val="21"/>
                </w:rPr>
              </w:pPr>
              <w:r>
                <w:rPr>
                  <w:rFonts w:hint="eastAsia"/>
                  <w:szCs w:val="21"/>
                </w:rPr>
                <w:t>①</w:t>
              </w:r>
              <w:r>
                <w:rPr>
                  <w:szCs w:val="21"/>
                </w:rPr>
                <w:t xml:space="preserve"> 利息收入金额，按照他人使用本企业货币资金的时间和实际利率计算确定。</w:t>
              </w:r>
            </w:p>
            <w:p w14:paraId="4B814EBE" w14:textId="77777777" w:rsidR="00830E72" w:rsidRDefault="008344D8">
              <w:pPr>
                <w:ind w:firstLineChars="200" w:firstLine="420"/>
                <w:rPr>
                  <w:szCs w:val="21"/>
                </w:rPr>
              </w:pPr>
              <w:r>
                <w:rPr>
                  <w:rFonts w:hint="eastAsia"/>
                  <w:szCs w:val="21"/>
                </w:rPr>
                <w:t>②</w:t>
              </w:r>
              <w:r>
                <w:rPr>
                  <w:szCs w:val="21"/>
                </w:rPr>
                <w:t xml:space="preserve"> 使用费收入金额，按照有关合同或协议约定的收费时间和方法计算确定</w:t>
              </w:r>
            </w:p>
            <w:p w14:paraId="3AB69F1F" w14:textId="77777777" w:rsidR="00830E72" w:rsidRDefault="008344D8">
              <w:pPr>
                <w:ind w:firstLineChars="200" w:firstLine="420"/>
                <w:rPr>
                  <w:szCs w:val="21"/>
                </w:rPr>
              </w:pPr>
              <w:r>
                <w:rPr>
                  <w:rFonts w:hint="eastAsia"/>
                  <w:szCs w:val="21"/>
                </w:rPr>
                <w:t>（</w:t>
              </w:r>
              <w:r>
                <w:rPr>
                  <w:szCs w:val="21"/>
                </w:rPr>
                <w:t>5）建造合同收入</w:t>
              </w:r>
            </w:p>
            <w:p w14:paraId="0B0348C6" w14:textId="77777777" w:rsidR="00830E72" w:rsidRDefault="008344D8">
              <w:pPr>
                <w:ind w:firstLineChars="200" w:firstLine="420"/>
                <w:rPr>
                  <w:szCs w:val="21"/>
                </w:rPr>
              </w:pPr>
              <w:r>
                <w:rPr>
                  <w:rFonts w:hint="eastAsia"/>
                  <w:szCs w:val="21"/>
                </w:rPr>
                <w:t>在建造合同的结果能够可靠估计的情况下，于资产负债表日根据完工百分比法确认合同收入和合同费用。完工百分比法根据合同完工进度确认收入与费用。合同完工进度按累计实际发生的合同成本占合同预计总成本的比例确定。</w:t>
              </w:r>
            </w:p>
            <w:p w14:paraId="180B859C" w14:textId="77777777" w:rsidR="00830E72" w:rsidRDefault="008344D8">
              <w:pPr>
                <w:ind w:firstLineChars="200" w:firstLine="420"/>
                <w:rPr>
                  <w:szCs w:val="21"/>
                </w:rPr>
              </w:pPr>
              <w:r>
                <w:rPr>
                  <w:rFonts w:hint="eastAsia"/>
                  <w:szCs w:val="21"/>
                </w:rPr>
                <w:t>如果建造合同的结果不能可靠地估计，但预计合同成本能够收回时，合同收入根据能够收回的实际合同成本予以确认，合同成本在其发生的当期确认为合同费用；预计合同成本不可能收回时，在发生时立即确认为合同费用，不确认合同收入。</w:t>
              </w:r>
            </w:p>
            <w:p w14:paraId="0D11758F" w14:textId="77777777" w:rsidR="00830E72" w:rsidRDefault="008344D8">
              <w:pPr>
                <w:ind w:firstLineChars="200" w:firstLine="420"/>
                <w:rPr>
                  <w:szCs w:val="21"/>
                </w:rPr>
              </w:pPr>
              <w:r>
                <w:rPr>
                  <w:rFonts w:hint="eastAsia"/>
                  <w:szCs w:val="21"/>
                </w:rPr>
                <w:t>如果预计合同总成本超过合同总收入的，则将预计损失确认为当期费用。</w:t>
              </w:r>
            </w:p>
            <w:p w14:paraId="71D7B827" w14:textId="77777777" w:rsidR="00830E72" w:rsidRDefault="008344D8">
              <w:pPr>
                <w:ind w:firstLineChars="200" w:firstLine="420"/>
                <w:rPr>
                  <w:szCs w:val="21"/>
                </w:rPr>
              </w:pPr>
              <w:r>
                <w:rPr>
                  <w:rFonts w:hint="eastAsia"/>
                  <w:szCs w:val="21"/>
                </w:rPr>
                <w:t>本公司根据累计已完成的合同成本占合同预计总成本的比例确定合同完工进度，具体方法如下：</w:t>
              </w:r>
            </w:p>
            <w:p w14:paraId="7BC09BC3" w14:textId="77777777" w:rsidR="00830E72" w:rsidRDefault="008344D8">
              <w:pPr>
                <w:ind w:firstLineChars="200" w:firstLine="420"/>
                <w:rPr>
                  <w:szCs w:val="21"/>
                </w:rPr>
              </w:pPr>
              <w:r>
                <w:rPr>
                  <w:rFonts w:hint="eastAsia"/>
                  <w:szCs w:val="21"/>
                </w:rPr>
                <w:t>①</w:t>
              </w:r>
              <w:r>
                <w:rPr>
                  <w:szCs w:val="21"/>
                </w:rPr>
                <w:t xml:space="preserve"> 预计总成本</w:t>
              </w:r>
            </w:p>
            <w:p w14:paraId="272481C0" w14:textId="77777777" w:rsidR="00830E72" w:rsidRDefault="008344D8">
              <w:pPr>
                <w:ind w:firstLineChars="200" w:firstLine="420"/>
                <w:rPr>
                  <w:szCs w:val="21"/>
                </w:rPr>
              </w:pPr>
              <w:r>
                <w:rPr>
                  <w:rFonts w:hint="eastAsia"/>
                  <w:szCs w:val="21"/>
                </w:rPr>
                <w:t>预计总成本是指公司为建造某项合同预计而发生的相关费用，包括从合同签订开始至合同完成止预计所发生的、与执行合同有关的直接费用和间接费用。</w:t>
              </w:r>
            </w:p>
            <w:p w14:paraId="3E926A9B" w14:textId="77777777" w:rsidR="00830E72" w:rsidRDefault="008344D8">
              <w:pPr>
                <w:ind w:firstLineChars="200" w:firstLine="420"/>
                <w:rPr>
                  <w:szCs w:val="21"/>
                </w:rPr>
              </w:pPr>
              <w:r>
                <w:rPr>
                  <w:szCs w:val="21"/>
                </w:rPr>
                <w:t>A.预计总成本的编制</w:t>
              </w:r>
            </w:p>
            <w:p w14:paraId="12109D92" w14:textId="77777777" w:rsidR="00830E72" w:rsidRDefault="008344D8">
              <w:pPr>
                <w:ind w:firstLineChars="200" w:firstLine="420"/>
                <w:rPr>
                  <w:szCs w:val="21"/>
                </w:rPr>
              </w:pPr>
              <w:r>
                <w:rPr>
                  <w:rFonts w:hint="eastAsia"/>
                  <w:szCs w:val="21"/>
                </w:rPr>
                <w:t>与业主签订工程承包合同后，公司根据经业主确认的施工图纸及企业内部施工定额以及各项材料、人工、机械等市场单价，编制预计总成本。</w:t>
              </w:r>
            </w:p>
            <w:p w14:paraId="227994AD" w14:textId="77777777" w:rsidR="00830E72" w:rsidRDefault="008344D8">
              <w:pPr>
                <w:ind w:firstLineChars="200" w:firstLine="420"/>
                <w:rPr>
                  <w:szCs w:val="21"/>
                </w:rPr>
              </w:pPr>
              <w:r>
                <w:rPr>
                  <w:szCs w:val="21"/>
                </w:rPr>
                <w:t>B.预计总成本的调整</w:t>
              </w:r>
            </w:p>
            <w:p w14:paraId="2D4971E3" w14:textId="77777777" w:rsidR="00830E72" w:rsidRDefault="008344D8">
              <w:pPr>
                <w:ind w:firstLineChars="200" w:firstLine="420"/>
                <w:rPr>
                  <w:szCs w:val="21"/>
                </w:rPr>
              </w:pPr>
              <w:r>
                <w:rPr>
                  <w:rFonts w:hint="eastAsia"/>
                  <w:szCs w:val="21"/>
                </w:rPr>
                <w:t>在工程实施过程中，如发生设计变更、施工方案变更、材料价格波动等情况时，公司经复核测算并履行相应批准程序后对预计总成本进行相应调整。</w:t>
              </w:r>
            </w:p>
            <w:p w14:paraId="75A2DE6A" w14:textId="77777777" w:rsidR="00830E72" w:rsidRDefault="008344D8">
              <w:pPr>
                <w:ind w:firstLineChars="200" w:firstLine="420"/>
                <w:rPr>
                  <w:szCs w:val="21"/>
                </w:rPr>
              </w:pPr>
              <w:r>
                <w:rPr>
                  <w:szCs w:val="21"/>
                </w:rPr>
                <w:t>C.实际发生的合同成本</w:t>
              </w:r>
            </w:p>
            <w:p w14:paraId="043B7741" w14:textId="77777777" w:rsidR="00830E72" w:rsidRDefault="008344D8">
              <w:pPr>
                <w:ind w:firstLineChars="200" w:firstLine="420"/>
                <w:rPr>
                  <w:szCs w:val="21"/>
                </w:rPr>
              </w:pPr>
              <w:r>
                <w:rPr>
                  <w:rFonts w:hint="eastAsia"/>
                  <w:szCs w:val="21"/>
                </w:rPr>
                <w:t>公司合同成本包括材料费、人工费、机械使用费、其他直接费用以及分配计入的施工间接费用，公司按照实际发生的成本类别计入合同成本相应明细科目。</w:t>
              </w:r>
            </w:p>
            <w:p w14:paraId="785ABE12" w14:textId="77777777" w:rsidR="00830E72" w:rsidRDefault="008344D8">
              <w:pPr>
                <w:ind w:firstLineChars="200" w:firstLine="420"/>
                <w:rPr>
                  <w:szCs w:val="21"/>
                </w:rPr>
              </w:pPr>
              <w:r>
                <w:rPr>
                  <w:szCs w:val="21"/>
                </w:rPr>
                <w:t>D.完工进度的确认</w:t>
              </w:r>
            </w:p>
            <w:p w14:paraId="4C3AA0FD" w14:textId="77777777" w:rsidR="00830E72" w:rsidRDefault="008344D8">
              <w:pPr>
                <w:ind w:firstLineChars="200" w:firstLine="420"/>
                <w:rPr>
                  <w:szCs w:val="21"/>
                </w:rPr>
              </w:pPr>
              <w:r>
                <w:rPr>
                  <w:rFonts w:hint="eastAsia"/>
                  <w:szCs w:val="21"/>
                </w:rPr>
                <w:t>完工进度＝实际发生的合同成本</w:t>
              </w:r>
              <w:r>
                <w:rPr>
                  <w:szCs w:val="21"/>
                </w:rPr>
                <w:t>/预计总成本</w:t>
              </w:r>
            </w:p>
            <w:p w14:paraId="003EEBD8" w14:textId="77777777" w:rsidR="00830E72" w:rsidRDefault="008344D8">
              <w:pPr>
                <w:ind w:firstLineChars="200" w:firstLine="420"/>
                <w:rPr>
                  <w:szCs w:val="21"/>
                </w:rPr>
              </w:pPr>
              <w:r>
                <w:rPr>
                  <w:rFonts w:hint="eastAsia"/>
                  <w:szCs w:val="21"/>
                </w:rPr>
                <w:t>②</w:t>
              </w:r>
              <w:r>
                <w:rPr>
                  <w:szCs w:val="21"/>
                </w:rPr>
                <w:t xml:space="preserve"> 合同收入、成本的确认方法</w:t>
              </w:r>
            </w:p>
            <w:p w14:paraId="08EA8075" w14:textId="77777777" w:rsidR="00830E72" w:rsidRDefault="008344D8">
              <w:pPr>
                <w:ind w:firstLineChars="200" w:firstLine="420"/>
                <w:rPr>
                  <w:szCs w:val="21"/>
                </w:rPr>
              </w:pPr>
              <w:r>
                <w:rPr>
                  <w:rFonts w:hint="eastAsia"/>
                  <w:szCs w:val="21"/>
                </w:rPr>
                <w:t>当期确认的合同收入＝合同总收入×完工进度－以前会计期间累计已确认的收入。</w:t>
              </w:r>
            </w:p>
            <w:p w14:paraId="274ECAD2" w14:textId="77777777" w:rsidR="00830E72" w:rsidRDefault="008344D8">
              <w:pPr>
                <w:ind w:firstLineChars="200" w:firstLine="420"/>
                <w:rPr>
                  <w:szCs w:val="21"/>
                </w:rPr>
              </w:pPr>
              <w:r>
                <w:rPr>
                  <w:rFonts w:hint="eastAsia"/>
                  <w:szCs w:val="21"/>
                </w:rPr>
                <w:t>当期确认的合同成本＝预计总成本×完工进度－以前会计期间累计确认的合同成本。</w:t>
              </w:r>
            </w:p>
            <w:p w14:paraId="14C792A1" w14:textId="77777777" w:rsidR="00830E72" w:rsidRDefault="008344D8">
              <w:pPr>
                <w:ind w:firstLineChars="200" w:firstLine="420"/>
                <w:rPr>
                  <w:szCs w:val="21"/>
                </w:rPr>
              </w:pPr>
              <w:r>
                <w:rPr>
                  <w:rFonts w:hint="eastAsia"/>
                  <w:szCs w:val="21"/>
                </w:rPr>
                <w:t>③</w:t>
              </w:r>
              <w:r>
                <w:rPr>
                  <w:szCs w:val="21"/>
                </w:rPr>
                <w:t xml:space="preserve"> 预计损失的处理</w:t>
              </w:r>
            </w:p>
            <w:p w14:paraId="4750E57F" w14:textId="77777777" w:rsidR="00830E72" w:rsidRDefault="008344D8">
              <w:pPr>
                <w:ind w:firstLineChars="200" w:firstLine="420"/>
                <w:rPr>
                  <w:szCs w:val="21"/>
                </w:rPr>
              </w:pPr>
              <w:r>
                <w:rPr>
                  <w:rFonts w:hint="eastAsia"/>
                  <w:szCs w:val="21"/>
                </w:rPr>
                <w:t>资产负债表日，合同预计总成本超过合同总收入的，将预计损失确认为当期费用。</w:t>
              </w:r>
            </w:p>
            <w:p w14:paraId="05810169" w14:textId="77777777" w:rsidR="00830E72" w:rsidRDefault="008344D8">
              <w:pPr>
                <w:ind w:firstLineChars="200" w:firstLine="420"/>
                <w:rPr>
                  <w:szCs w:val="21"/>
                </w:rPr>
              </w:pPr>
              <w:r>
                <w:rPr>
                  <w:rFonts w:hint="eastAsia"/>
                  <w:szCs w:val="21"/>
                </w:rPr>
                <w:t>（</w:t>
              </w:r>
              <w:r>
                <w:rPr>
                  <w:szCs w:val="21"/>
                </w:rPr>
                <w:t>6）BT 项目收入的确认</w:t>
              </w:r>
            </w:p>
            <w:p w14:paraId="411FC0DB" w14:textId="77777777" w:rsidR="00830E72" w:rsidRDefault="008344D8">
              <w:pPr>
                <w:ind w:firstLineChars="200" w:firstLine="420"/>
                <w:rPr>
                  <w:szCs w:val="21"/>
                </w:rPr>
              </w:pPr>
              <w:r>
                <w:rPr>
                  <w:rFonts w:hint="eastAsia"/>
                  <w:szCs w:val="21"/>
                </w:rPr>
                <w:t>①涉及的</w:t>
              </w:r>
              <w:r>
                <w:rPr>
                  <w:szCs w:val="21"/>
                </w:rPr>
                <w:t xml:space="preserve"> BT 业务同时满足以下条件：</w:t>
              </w:r>
            </w:p>
            <w:p w14:paraId="7A3675BC" w14:textId="77777777" w:rsidR="00830E72" w:rsidRDefault="008344D8">
              <w:pPr>
                <w:ind w:firstLineChars="200" w:firstLine="420"/>
                <w:rPr>
                  <w:szCs w:val="21"/>
                </w:rPr>
              </w:pPr>
              <w:r>
                <w:rPr>
                  <w:szCs w:val="21"/>
                </w:rPr>
                <w:t>A. 合同授予方为政府及其有关部门或政府授权进行招标的企业。</w:t>
              </w:r>
            </w:p>
            <w:p w14:paraId="164FA7E2" w14:textId="77777777" w:rsidR="00830E72" w:rsidRDefault="008344D8">
              <w:pPr>
                <w:ind w:firstLineChars="200" w:firstLine="420"/>
                <w:rPr>
                  <w:szCs w:val="21"/>
                </w:rPr>
              </w:pPr>
              <w:r>
                <w:rPr>
                  <w:szCs w:val="21"/>
                </w:rPr>
                <w:t>B. 合同投资方为按照有关程序取得合同的企业（以下简称合同投资方）。合同投资方按照</w:t>
              </w:r>
              <w:r>
                <w:rPr>
                  <w:rFonts w:hint="eastAsia"/>
                  <w:szCs w:val="21"/>
                </w:rPr>
                <w:t>规定设立项目公司（以下简称项目公司）进行项目建设和运营。</w:t>
              </w:r>
            </w:p>
            <w:p w14:paraId="08E842E0" w14:textId="77777777" w:rsidR="00830E72" w:rsidRDefault="008344D8">
              <w:pPr>
                <w:ind w:firstLineChars="200" w:firstLine="420"/>
                <w:rPr>
                  <w:szCs w:val="21"/>
                </w:rPr>
              </w:pPr>
              <w:r>
                <w:rPr>
                  <w:szCs w:val="21"/>
                </w:rPr>
                <w:t>C. 合同中对所建造公共基础设施的质量标准、工期、移交的对象、合同总价款及其分期偿</w:t>
              </w:r>
              <w:r>
                <w:rPr>
                  <w:rFonts w:hint="eastAsia"/>
                  <w:szCs w:val="21"/>
                </w:rPr>
                <w:t>还等作出约定，同时在合同期满，合同投资方负有将有关公共基础设施移交给合同授予方或其指定的单位，并对基础设施在移交时的性能、状态等作出明确规定。</w:t>
              </w:r>
            </w:p>
            <w:p w14:paraId="515A4093" w14:textId="77777777" w:rsidR="00830E72" w:rsidRDefault="008344D8">
              <w:pPr>
                <w:ind w:firstLineChars="200" w:firstLine="420"/>
                <w:rPr>
                  <w:szCs w:val="21"/>
                </w:rPr>
              </w:pPr>
              <w:r>
                <w:rPr>
                  <w:rFonts w:hint="eastAsia"/>
                  <w:szCs w:val="21"/>
                </w:rPr>
                <w:t>②与</w:t>
              </w:r>
              <w:r>
                <w:rPr>
                  <w:szCs w:val="21"/>
                </w:rPr>
                <w:t xml:space="preserve"> BT 业务相关收入的确认</w:t>
              </w:r>
            </w:p>
            <w:p w14:paraId="0E6C1FE5" w14:textId="77777777" w:rsidR="00830E72" w:rsidRDefault="008344D8">
              <w:pPr>
                <w:ind w:firstLineChars="200" w:firstLine="420"/>
                <w:rPr>
                  <w:szCs w:val="21"/>
                </w:rPr>
              </w:pPr>
              <w:r>
                <w:rPr>
                  <w:rFonts w:hint="eastAsia"/>
                  <w:szCs w:val="21"/>
                </w:rPr>
                <w:t>建造期间，项目公司对于所提供的建造服务按照《企业会计准则第</w:t>
              </w:r>
              <w:r>
                <w:rPr>
                  <w:szCs w:val="21"/>
                </w:rPr>
                <w:t xml:space="preserve"> 15 号——建造合同》确</w:t>
              </w:r>
              <w:r>
                <w:rPr>
                  <w:rFonts w:hint="eastAsia"/>
                  <w:szCs w:val="21"/>
                </w:rPr>
                <w:t>认相关的收入和费用。建造过程如发生借款利息，按照《企业会计准则第</w:t>
              </w:r>
              <w:r>
                <w:rPr>
                  <w:szCs w:val="21"/>
                </w:rPr>
                <w:t xml:space="preserve"> 17 号——借款费用》</w:t>
              </w:r>
              <w:r>
                <w:rPr>
                  <w:rFonts w:hint="eastAsia"/>
                  <w:szCs w:val="21"/>
                </w:rPr>
                <w:t>的规定处理。</w:t>
              </w:r>
            </w:p>
            <w:p w14:paraId="65105B85" w14:textId="77777777" w:rsidR="00830E72" w:rsidRDefault="008344D8">
              <w:pPr>
                <w:ind w:firstLineChars="200" w:firstLine="420"/>
                <w:rPr>
                  <w:szCs w:val="21"/>
                </w:rPr>
              </w:pPr>
              <w:r>
                <w:rPr>
                  <w:szCs w:val="21"/>
                </w:rPr>
                <w:t>A. 项目公司未提供实际建造服务，将基础设施建造发包给其他方的，不确认建造服务收</w:t>
              </w:r>
              <w:r>
                <w:rPr>
                  <w:rFonts w:hint="eastAsia"/>
                  <w:szCs w:val="21"/>
                </w:rPr>
                <w:t>入，按照建造过程中支付的工程价款等考虑合同规定确认为金融资产。</w:t>
              </w:r>
            </w:p>
            <w:p w14:paraId="3F93FA86" w14:textId="77777777" w:rsidR="00830E72" w:rsidRDefault="008344D8">
              <w:pPr>
                <w:ind w:firstLineChars="200" w:firstLine="420"/>
                <w:rPr>
                  <w:szCs w:val="21"/>
                </w:rPr>
              </w:pPr>
              <w:r>
                <w:rPr>
                  <w:szCs w:val="21"/>
                </w:rPr>
                <w:t>B. BT 业务所建造基础设施不作为项目公司的固定资产。</w:t>
              </w:r>
            </w:p>
            <w:p w14:paraId="2AFEAE2A" w14:textId="77777777" w:rsidR="00830E72" w:rsidRDefault="00D44830">
              <w:pPr>
                <w:ind w:firstLineChars="200" w:firstLine="420"/>
                <w:rPr>
                  <w:szCs w:val="21"/>
                </w:rPr>
              </w:pPr>
            </w:p>
          </w:sdtContent>
        </w:sdt>
        <w:p w14:paraId="076C3FAD" w14:textId="77777777" w:rsidR="00830E72" w:rsidRDefault="00D44830"/>
      </w:sdtContent>
    </w:sdt>
    <w:bookmarkEnd w:id="83" w:displacedByCustomXml="next"/>
    <w:bookmarkStart w:id="84" w:name="_Hlk10465594" w:displacedByCustomXml="next"/>
    <w:sdt>
      <w:sdtPr>
        <w:rPr>
          <w:rFonts w:ascii="宋体" w:hAnsi="宋体" w:cs="宋体" w:hint="eastAsia"/>
          <w:b w:val="0"/>
          <w:bCs w:val="0"/>
          <w:kern w:val="0"/>
          <w:szCs w:val="21"/>
        </w:rPr>
        <w:alias w:val="模块:同类业务采用不同经营模式导致收入确认会计政策存在差异的情况"/>
        <w:tag w:val="_SEC_d90e7184f27046ff9caab68c045539c7"/>
        <w:id w:val="691040227"/>
        <w:lock w:val="sdtLocked"/>
        <w:placeholder>
          <w:docPart w:val="GBC22222222222222222222222222222"/>
        </w:placeholder>
      </w:sdtPr>
      <w:sdtEndPr>
        <w:rPr>
          <w:rFonts w:hint="default"/>
        </w:rPr>
      </w:sdtEndPr>
      <w:sdtContent>
        <w:p w14:paraId="5ED38F16" w14:textId="77777777" w:rsidR="00830E72" w:rsidRDefault="008344D8">
          <w:pPr>
            <w:pStyle w:val="Style100"/>
            <w:numPr>
              <w:ilvl w:val="3"/>
              <w:numId w:val="41"/>
            </w:numPr>
            <w:ind w:left="426" w:hanging="426"/>
            <w:rPr>
              <w:rFonts w:ascii="宋体" w:hAnsi="宋体"/>
              <w:szCs w:val="21"/>
            </w:rPr>
          </w:pPr>
          <w:r>
            <w:rPr>
              <w:rFonts w:ascii="宋体" w:hAnsi="宋体" w:hint="eastAsia"/>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f4f4337356c44180a833322bec4248a8"/>
            <w:id w:val="1540781935"/>
            <w:lock w:val="sdtContentLocked"/>
            <w:placeholder>
              <w:docPart w:val="GBC22222222222222222222222222222"/>
            </w:placeholder>
          </w:sdtPr>
          <w:sdtEndPr/>
          <w:sdtContent>
            <w:p w14:paraId="75252484"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CF6E0E1" w14:textId="77777777" w:rsidR="00830E72" w:rsidRDefault="00D44830">
          <w:pPr>
            <w:rPr>
              <w:szCs w:val="21"/>
            </w:rPr>
          </w:pPr>
        </w:p>
      </w:sdtContent>
    </w:sdt>
    <w:bookmarkEnd w:id="84" w:displacedByCustomXml="next"/>
    <w:bookmarkStart w:id="85" w:name="_Hlk10465679" w:displacedByCustomXml="next"/>
    <w:sdt>
      <w:sdtPr>
        <w:rPr>
          <w:rFonts w:ascii="宋体" w:hAnsi="宋体" w:cs="宋体" w:hint="eastAsia"/>
          <w:b w:val="0"/>
          <w:bCs w:val="0"/>
          <w:kern w:val="0"/>
          <w:szCs w:val="21"/>
        </w:rPr>
        <w:alias w:val="模块:合同成本"/>
        <w:tag w:val="_SEC_1a8f2a657b9d471d80373f3b25cb1dfe"/>
        <w:id w:val="-1459017031"/>
        <w:lock w:val="sdtLocked"/>
        <w:placeholder>
          <w:docPart w:val="GBC22222222222222222222222222222"/>
        </w:placeholder>
      </w:sdtPr>
      <w:sdtEndPr>
        <w:rPr>
          <w:rFonts w:hint="default"/>
        </w:rPr>
      </w:sdtEndPr>
      <w:sdtContent>
        <w:p w14:paraId="161DD435" w14:textId="77777777" w:rsidR="00830E72" w:rsidRDefault="008344D8">
          <w:pPr>
            <w:pStyle w:val="Style99"/>
            <w:numPr>
              <w:ilvl w:val="0"/>
              <w:numId w:val="35"/>
            </w:numPr>
            <w:rPr>
              <w:rFonts w:ascii="宋体" w:hAnsi="宋体"/>
              <w:szCs w:val="21"/>
            </w:rPr>
          </w:pPr>
          <w:r>
            <w:rPr>
              <w:rFonts w:ascii="宋体" w:hAnsi="宋体" w:hint="eastAsia"/>
              <w:szCs w:val="21"/>
            </w:rPr>
            <w:t>合同成本</w:t>
          </w:r>
        </w:p>
        <w:sdt>
          <w:sdtPr>
            <w:alias w:val="是否适用：合同成本_重要会计政策和估计[双击切换]"/>
            <w:tag w:val="_GBC_d7752b20e4914f04bf87bad019929fe8"/>
            <w:id w:val="-1317342929"/>
            <w:lock w:val="sdtContentLocked"/>
            <w:placeholder>
              <w:docPart w:val="GBC22222222222222222222222222222"/>
            </w:placeholder>
          </w:sdtPr>
          <w:sdtEndPr/>
          <w:sdtContent>
            <w:p w14:paraId="1162BF23"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合同成本_重要会计政策和估计"/>
            <w:tag w:val="_GBC_6936a4a013d94bae8da35405dbef11fd"/>
            <w:id w:val="-430433382"/>
            <w:lock w:val="sdtLocked"/>
            <w:placeholder>
              <w:docPart w:val="GBC22222222222222222222222222222"/>
            </w:placeholder>
          </w:sdtPr>
          <w:sdtEndPr/>
          <w:sdtContent>
            <w:p w14:paraId="144B58F1" w14:textId="77777777" w:rsidR="00830E72" w:rsidRDefault="008344D8">
              <w:pPr>
                <w:ind w:firstLineChars="200" w:firstLine="420"/>
              </w:pPr>
              <w:r>
                <w:rPr>
                  <w:rFonts w:hint="eastAsia"/>
                </w:rPr>
                <w:t>自</w:t>
              </w:r>
              <w:r>
                <w:t xml:space="preserve"> 2020 年 1 月 1 日起适用</w:t>
              </w:r>
            </w:p>
            <w:p w14:paraId="299FC402" w14:textId="77777777" w:rsidR="00830E72" w:rsidRDefault="008344D8">
              <w:pPr>
                <w:ind w:firstLineChars="200" w:firstLine="420"/>
              </w:pPr>
              <w:r>
                <w:rPr>
                  <w:rFonts w:hint="eastAsia"/>
                </w:rPr>
                <w:t>合同成本分为合同履约成本与合同取得成本。</w:t>
              </w:r>
            </w:p>
            <w:p w14:paraId="712F4BE1" w14:textId="77777777" w:rsidR="00830E72" w:rsidRDefault="008344D8">
              <w:pPr>
                <w:ind w:firstLineChars="200" w:firstLine="420"/>
              </w:pPr>
              <w:r>
                <w:rPr>
                  <w:rFonts w:hint="eastAsia"/>
                </w:rPr>
                <w:t>本公司为履行合同而发生的成本，在同时满足下列条件时作为合同履约成本确认为一项资产：</w:t>
              </w:r>
            </w:p>
            <w:p w14:paraId="3E7ED7B2" w14:textId="77777777" w:rsidR="00830E72" w:rsidRDefault="008344D8">
              <w:pPr>
                <w:ind w:firstLineChars="200" w:firstLine="420"/>
              </w:pPr>
              <w:r>
                <w:rPr>
                  <w:rFonts w:hint="eastAsia"/>
                </w:rPr>
                <w:t>①该成本与一份当前或预期取得的合同直接相关，包括直接人工、直接材料、制造费用（或类似费用）、明确由客户承担的成本以及仅因该合同而发生的其他成本。</w:t>
              </w:r>
            </w:p>
            <w:p w14:paraId="2325A34E" w14:textId="77777777" w:rsidR="00830E72" w:rsidRDefault="008344D8">
              <w:pPr>
                <w:ind w:firstLineChars="200" w:firstLine="420"/>
              </w:pPr>
              <w:r>
                <w:rPr>
                  <w:rFonts w:hint="eastAsia"/>
                </w:rPr>
                <w:t>②该成本增加了本公司未来用于履行履约义务的资源。</w:t>
              </w:r>
            </w:p>
            <w:p w14:paraId="75F6A06E" w14:textId="77777777" w:rsidR="00830E72" w:rsidRDefault="008344D8">
              <w:pPr>
                <w:ind w:firstLineChars="200" w:firstLine="420"/>
              </w:pPr>
              <w:r>
                <w:rPr>
                  <w:rFonts w:hint="eastAsia"/>
                </w:rPr>
                <w:t>③该成本预期能够收回。</w:t>
              </w:r>
            </w:p>
            <w:p w14:paraId="1175858A" w14:textId="77777777" w:rsidR="00830E72" w:rsidRDefault="008344D8">
              <w:pPr>
                <w:ind w:firstLineChars="200" w:firstLine="420"/>
              </w:pPr>
              <w:r>
                <w:rPr>
                  <w:rFonts w:hint="eastAsia"/>
                </w:rPr>
                <w:t>本公司为取得合同发生的增量成本预期能够收回的，作为合同取得成本确认为一项资产。与合同成本有关的资产采用与该资产相关的商品或服务收入确认相同的基础进行摊销；但是对于合同取得成本摊销期限未超过一年的，本公司将其在发生时计入当期损益。</w:t>
              </w:r>
            </w:p>
            <w:p w14:paraId="6490B00F" w14:textId="77777777" w:rsidR="00830E72" w:rsidRDefault="008344D8">
              <w:pPr>
                <w:ind w:firstLineChars="200" w:firstLine="420"/>
              </w:pPr>
              <w:r>
                <w:rPr>
                  <w:rFonts w:hint="eastAsia"/>
                </w:rPr>
                <w:t>与合同成本有关的资产，其账面价值高于下列两项的差额的，本公司将对于超出部分计提减值准备，并确认为资产减值损失，并进一步考虑是否应计提亏损合同有关的预计负债：</w:t>
              </w:r>
            </w:p>
            <w:p w14:paraId="1DBF20BE" w14:textId="77777777" w:rsidR="00830E72" w:rsidRDefault="008344D8">
              <w:pPr>
                <w:ind w:firstLineChars="200" w:firstLine="420"/>
              </w:pPr>
              <w:r>
                <w:rPr>
                  <w:rFonts w:hint="eastAsia"/>
                </w:rPr>
                <w:t>①因转让与该资产相关的商品或服务预期能够取得的剩余对价；</w:t>
              </w:r>
            </w:p>
            <w:p w14:paraId="4857E513" w14:textId="77777777" w:rsidR="00830E72" w:rsidRDefault="008344D8">
              <w:pPr>
                <w:ind w:firstLineChars="200" w:firstLine="420"/>
              </w:pPr>
              <w:r>
                <w:rPr>
                  <w:rFonts w:hint="eastAsia"/>
                </w:rPr>
                <w:t>②为转让该相关商品或服务估计将要发生的成本。</w:t>
              </w:r>
            </w:p>
            <w:p w14:paraId="6EFBF1C0" w14:textId="77777777" w:rsidR="00830E72" w:rsidRDefault="008344D8">
              <w:pPr>
                <w:ind w:firstLineChars="200" w:firstLine="420"/>
              </w:pPr>
              <w:r>
                <w:rPr>
                  <w:rFonts w:hint="eastAsia"/>
                </w:rPr>
                <w:t>上述资产减值准备后续发生转回的，转回后的资产账面价值不超过假定不计提减值准备情况下该资产在转回日的账面价值。</w:t>
              </w:r>
            </w:p>
            <w:p w14:paraId="52764983" w14:textId="77777777" w:rsidR="00830E72" w:rsidRDefault="008344D8">
              <w:pPr>
                <w:ind w:firstLineChars="200" w:firstLine="420"/>
              </w:pPr>
              <w:r>
                <w:rPr>
                  <w:rFonts w:hint="eastAsia"/>
                </w:rPr>
                <w:t>确认为资产的合同履约成本，初始确认时摊销期限不超过一年或一个正常营业周期，在“存货”项目中列示，初始确认时摊销期限超过一年或一个正常营业周期，在“其他非流动资产”项目中列示。</w:t>
              </w:r>
            </w:p>
            <w:p w14:paraId="1EEEFCAF" w14:textId="77777777" w:rsidR="00830E72" w:rsidRDefault="008344D8">
              <w:pPr>
                <w:ind w:firstLineChars="200" w:firstLine="420"/>
              </w:pPr>
              <w:r>
                <w:rPr>
                  <w:rFonts w:hint="eastAsia"/>
                </w:rPr>
                <w:t>确认为资产的合同取得成本，初始确认时摊销期限不超过一年或一个正常营业周期，在“其他流动资产”项目中列示，初始确认时摊销期限超过一年或一个正常营业周期，在“其他非流动资产”项目中列示。</w:t>
              </w:r>
            </w:p>
          </w:sdtContent>
        </w:sdt>
        <w:p w14:paraId="51609419" w14:textId="77777777" w:rsidR="00830E72" w:rsidRDefault="00D44830">
          <w:pPr>
            <w:rPr>
              <w:szCs w:val="21"/>
            </w:rPr>
          </w:pPr>
        </w:p>
      </w:sdtContent>
    </w:sdt>
    <w:bookmarkEnd w:id="85" w:displacedByCustomXml="next"/>
    <w:bookmarkStart w:id="86" w:name="_Hlk10465775" w:displacedByCustomXml="next"/>
    <w:sdt>
      <w:sdtPr>
        <w:rPr>
          <w:rFonts w:ascii="宋体" w:hAnsi="宋体" w:cs="宋体"/>
          <w:b w:val="0"/>
          <w:bCs w:val="0"/>
          <w:kern w:val="0"/>
          <w:szCs w:val="24"/>
        </w:rPr>
        <w:alias w:val="模块:政府补助会计处理方法"/>
        <w:tag w:val="_GBC_b03bd816e50b42ae97b660897ca33234"/>
        <w:id w:val="1655947247"/>
        <w:lock w:val="sdtLocked"/>
        <w:placeholder>
          <w:docPart w:val="GBC22222222222222222222222222222"/>
        </w:placeholder>
      </w:sdtPr>
      <w:sdtEndPr>
        <w:rPr>
          <w:b/>
          <w:bCs/>
          <w:szCs w:val="21"/>
        </w:rPr>
      </w:sdtEndPr>
      <w:sdtContent>
        <w:p w14:paraId="011E6AB6" w14:textId="77777777" w:rsidR="00830E72" w:rsidRDefault="008344D8">
          <w:pPr>
            <w:pStyle w:val="Style99"/>
            <w:numPr>
              <w:ilvl w:val="0"/>
              <w:numId w:val="35"/>
            </w:numPr>
            <w:rPr>
              <w:rFonts w:ascii="宋体" w:hAnsi="宋体"/>
            </w:rPr>
          </w:pPr>
          <w:r>
            <w:rPr>
              <w:rFonts w:ascii="宋体" w:hAnsi="宋体"/>
            </w:rPr>
            <w:t>政府补助</w:t>
          </w:r>
        </w:p>
        <w:sdt>
          <w:sdtPr>
            <w:alias w:val="是否适用：政府补助_重要会计政策和估计[双击切换]"/>
            <w:tag w:val="_GBC_09d5ec3540ea4d9a8e10c93326c490a0"/>
            <w:id w:val="-216121038"/>
            <w:lock w:val="sdtContentLocked"/>
            <w:placeholder>
              <w:docPart w:val="GBC22222222222222222222222222222"/>
            </w:placeholder>
          </w:sdtPr>
          <w:sdtEndPr/>
          <w:sdtContent>
            <w:p w14:paraId="06F0839D"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政府补助_重要会计政策和估计"/>
            <w:tag w:val="_GBC_f313a7b8b81b4ed0845a3af1ac57e5e8"/>
            <w:id w:val="1591118722"/>
            <w:lock w:val="sdtLocked"/>
            <w:placeholder>
              <w:docPart w:val="GBC22222222222222222222222222222"/>
            </w:placeholder>
          </w:sdtPr>
          <w:sdtEndPr/>
          <w:sdtContent>
            <w:p w14:paraId="53F5DA0E" w14:textId="77777777" w:rsidR="00830E72" w:rsidRDefault="008344D8">
              <w:pPr>
                <w:ind w:firstLineChars="200" w:firstLine="420"/>
              </w:pPr>
              <w:r>
                <w:rPr>
                  <w:rFonts w:hint="eastAsia"/>
                </w:rPr>
                <w:t>（</w:t>
              </w:r>
              <w:r>
                <w:t>1）政府补助的确认</w:t>
              </w:r>
            </w:p>
            <w:p w14:paraId="19BB1D06" w14:textId="77777777" w:rsidR="00830E72" w:rsidRDefault="008344D8">
              <w:pPr>
                <w:ind w:firstLineChars="200" w:firstLine="420"/>
              </w:pPr>
              <w:r>
                <w:rPr>
                  <w:rFonts w:hint="eastAsia"/>
                </w:rPr>
                <w:t>政府补助同时满足下列条件的，才能予以确认：</w:t>
              </w:r>
            </w:p>
            <w:p w14:paraId="3A552760" w14:textId="77777777" w:rsidR="00830E72" w:rsidRDefault="008344D8">
              <w:pPr>
                <w:ind w:firstLineChars="200" w:firstLine="420"/>
              </w:pPr>
              <w:r>
                <w:rPr>
                  <w:rFonts w:hint="eastAsia"/>
                </w:rPr>
                <w:t>①本公司能够满足政府补助所附条件；</w:t>
              </w:r>
            </w:p>
            <w:p w14:paraId="6FD4708E" w14:textId="77777777" w:rsidR="00830E72" w:rsidRDefault="008344D8">
              <w:pPr>
                <w:ind w:firstLineChars="200" w:firstLine="420"/>
              </w:pPr>
              <w:r>
                <w:rPr>
                  <w:rFonts w:hint="eastAsia"/>
                </w:rPr>
                <w:t>②本公司能够收到政府补助。</w:t>
              </w:r>
            </w:p>
            <w:p w14:paraId="43EED9E4" w14:textId="77777777" w:rsidR="00830E72" w:rsidRDefault="008344D8">
              <w:pPr>
                <w:ind w:firstLineChars="200" w:firstLine="420"/>
              </w:pPr>
              <w:r>
                <w:rPr>
                  <w:rFonts w:hint="eastAsia"/>
                </w:rPr>
                <w:t>（</w:t>
              </w:r>
              <w:r>
                <w:t>2）政府补助的计量</w:t>
              </w:r>
            </w:p>
            <w:p w14:paraId="3D29E5A8" w14:textId="77777777" w:rsidR="00830E72" w:rsidRDefault="008344D8">
              <w:pPr>
                <w:ind w:firstLineChars="200" w:firstLine="420"/>
              </w:pPr>
              <w:r>
                <w:rPr>
                  <w:rFonts w:hint="eastAsia"/>
                </w:rPr>
                <w:t>政府补助为货币性资产的，按照收到或应收的金额计量。政府补助为非货币性资产的，按照公允价值计量；公允价值不能可靠取得的，按照名义金额</w:t>
              </w:r>
              <w:r>
                <w:t xml:space="preserve"> 1 元计量。</w:t>
              </w:r>
            </w:p>
            <w:p w14:paraId="0B5C321B" w14:textId="77777777" w:rsidR="00830E72" w:rsidRDefault="008344D8">
              <w:pPr>
                <w:ind w:firstLineChars="200" w:firstLine="420"/>
              </w:pPr>
              <w:r>
                <w:rPr>
                  <w:rFonts w:hint="eastAsia"/>
                </w:rPr>
                <w:t>（</w:t>
              </w:r>
              <w:r>
                <w:t>3）政府补助的会计处理</w:t>
              </w:r>
            </w:p>
            <w:p w14:paraId="6AFAE1A4" w14:textId="77777777" w:rsidR="00830E72" w:rsidRDefault="008344D8">
              <w:pPr>
                <w:ind w:firstLineChars="200" w:firstLine="420"/>
              </w:pPr>
              <w:r>
                <w:rPr>
                  <w:rFonts w:hint="eastAsia"/>
                </w:rPr>
                <w:t>①与资产相关的政府补助</w:t>
              </w:r>
            </w:p>
            <w:p w14:paraId="35AF3462" w14:textId="77777777" w:rsidR="00830E72" w:rsidRDefault="008344D8">
              <w:pPr>
                <w:ind w:firstLineChars="200" w:firstLine="420"/>
              </w:pPr>
              <w:r>
                <w:rPr>
                  <w:rFonts w:hint="eastAsia"/>
                </w:rPr>
                <w:t>公司取得的、用于购建或以其他方式形成长期资产的政府补助划分为与资产相关的政府补助。与资产相关的政府补助确认为递延收益，在相关资产使用期限内按照合理、系统的方法分期计入损益。按照名义金额计量的政府补助，直接计入当期损益。相关资产在使用寿命结束前被出售、转让、报废或发生毁损的，将尚未分配的相关递延收益余额转入资产处置当期的损益。</w:t>
              </w:r>
            </w:p>
            <w:p w14:paraId="1D796B58" w14:textId="77777777" w:rsidR="00830E72" w:rsidRDefault="008344D8">
              <w:pPr>
                <w:ind w:firstLineChars="200" w:firstLine="420"/>
              </w:pPr>
              <w:r>
                <w:rPr>
                  <w:rFonts w:hint="eastAsia"/>
                </w:rPr>
                <w:t>②与收益相关的政府补助</w:t>
              </w:r>
            </w:p>
            <w:p w14:paraId="5617DD58" w14:textId="77777777" w:rsidR="00830E72" w:rsidRDefault="008344D8">
              <w:pPr>
                <w:ind w:firstLineChars="200" w:firstLine="420"/>
              </w:pPr>
              <w:r>
                <w:rPr>
                  <w:rFonts w:hint="eastAsia"/>
                </w:rPr>
                <w:t>除与资产相关的政府补助之外的政府补助划分为与收益相关的政府补助。与收益相关的政府补助，分情况按照以下规定进行会计处理：</w:t>
              </w:r>
            </w:p>
            <w:p w14:paraId="6C9352A8" w14:textId="77777777" w:rsidR="00830E72" w:rsidRDefault="008344D8">
              <w:pPr>
                <w:ind w:firstLineChars="200" w:firstLine="420"/>
              </w:pPr>
              <w:r>
                <w:rPr>
                  <w:rFonts w:hint="eastAsia"/>
                </w:rPr>
                <w:t>用于补偿本公司以后期间的相关成本费用或损失的，确认为递延收益，并在确认相关成本费用或损失的期间，计入当期损益；</w:t>
              </w:r>
            </w:p>
            <w:p w14:paraId="6AD6E121" w14:textId="77777777" w:rsidR="00830E72" w:rsidRDefault="008344D8">
              <w:pPr>
                <w:ind w:firstLineChars="200" w:firstLine="420"/>
              </w:pPr>
              <w:r>
                <w:rPr>
                  <w:rFonts w:hint="eastAsia"/>
                </w:rPr>
                <w:t>用于补偿本公司已发生的相关成本费用或损失的，直接计入当期损益。</w:t>
              </w:r>
            </w:p>
            <w:p w14:paraId="5087909F" w14:textId="77777777" w:rsidR="00830E72" w:rsidRDefault="008344D8">
              <w:pPr>
                <w:ind w:firstLineChars="200" w:firstLine="420"/>
              </w:pPr>
              <w:r>
                <w:rPr>
                  <w:rFonts w:hint="eastAsia"/>
                </w:rPr>
                <w:lastRenderedPageBreak/>
                <w:t>对于同时包含与资产相关部分和与收益相关部分的政府补助，区分不同部分分别进行会计处理；难以区分的，整体归类为与收益相关的政府补助。</w:t>
              </w:r>
            </w:p>
            <w:p w14:paraId="7BC3F14F" w14:textId="77777777" w:rsidR="00830E72" w:rsidRDefault="008344D8">
              <w:pPr>
                <w:ind w:firstLineChars="200" w:firstLine="420"/>
              </w:pPr>
              <w:r>
                <w:rPr>
                  <w:rFonts w:hint="eastAsia"/>
                </w:rPr>
                <w:t>与本公司日常活动相关的政府补助，按照经济业务实质，计入其他收益。与本公司日常活动无关的政府补助，计入营业外收支。</w:t>
              </w:r>
            </w:p>
            <w:p w14:paraId="270D63D4" w14:textId="77777777" w:rsidR="00830E72" w:rsidRDefault="008344D8">
              <w:pPr>
                <w:ind w:firstLineChars="200" w:firstLine="420"/>
              </w:pPr>
              <w:r>
                <w:rPr>
                  <w:rFonts w:hint="eastAsia"/>
                </w:rPr>
                <w:t>③政策性优惠贷款贴息</w:t>
              </w:r>
            </w:p>
            <w:p w14:paraId="47BB86DE" w14:textId="77777777" w:rsidR="00830E72" w:rsidRDefault="008344D8">
              <w:pPr>
                <w:ind w:firstLineChars="200" w:firstLine="420"/>
              </w:pPr>
              <w:r>
                <w:rPr>
                  <w:rFonts w:hint="eastAsia"/>
                </w:rPr>
                <w:t>财政将贴息资金拨付给贷款银行，由贷款银行以政策性优惠利率向本公司提供贷款的，以实际收到的借款金额作为借款的入账价值，按照借款本金和该政策性优惠利率计算相关借款费用。</w:t>
              </w:r>
            </w:p>
            <w:p w14:paraId="0031DE1A" w14:textId="77777777" w:rsidR="00830E72" w:rsidRDefault="008344D8">
              <w:pPr>
                <w:ind w:firstLineChars="200" w:firstLine="420"/>
              </w:pPr>
              <w:r>
                <w:rPr>
                  <w:rFonts w:hint="eastAsia"/>
                </w:rPr>
                <w:t>财政将贴息资金直接拨付给本公司，本公司将对应的贴息冲减相关借款费用。</w:t>
              </w:r>
            </w:p>
            <w:p w14:paraId="14222AB2" w14:textId="77777777" w:rsidR="00830E72" w:rsidRDefault="008344D8">
              <w:pPr>
                <w:ind w:firstLineChars="200" w:firstLine="420"/>
              </w:pPr>
              <w:r>
                <w:rPr>
                  <w:rFonts w:hint="eastAsia"/>
                </w:rPr>
                <w:t>④政府补助退回</w:t>
              </w:r>
            </w:p>
            <w:p w14:paraId="7DCC9852" w14:textId="77777777" w:rsidR="00830E72" w:rsidRDefault="008344D8">
              <w:pPr>
                <w:ind w:firstLineChars="200" w:firstLine="420"/>
              </w:pPr>
              <w:r>
                <w:rPr>
                  <w:rFonts w:hint="eastAsia"/>
                </w:rPr>
                <w:t>已确认的政府补助需要返还时，初始确认时冲减相关资产账面价值的，调整资产账面价值；存在相关递延收益余额的，冲减相关递延收益账面余额，超出部分计入当期损益；属于其他情况的，直接计入当期损益。</w:t>
              </w:r>
            </w:p>
          </w:sdtContent>
        </w:sdt>
      </w:sdtContent>
    </w:sdt>
    <w:bookmarkEnd w:id="86"/>
    <w:p w14:paraId="2CFC9010" w14:textId="77777777" w:rsidR="00830E72" w:rsidRDefault="00830E72">
      <w:pPr>
        <w:rPr>
          <w:szCs w:val="21"/>
        </w:rPr>
      </w:pPr>
    </w:p>
    <w:sdt>
      <w:sdtPr>
        <w:rPr>
          <w:rFonts w:ascii="宋体" w:hAnsi="宋体" w:cs="宋体"/>
          <w:b w:val="0"/>
          <w:bCs w:val="0"/>
          <w:kern w:val="0"/>
          <w:szCs w:val="22"/>
        </w:rPr>
        <w:alias w:val="模块:递延所得税资产/递延所得税负债会计处理方法"/>
        <w:tag w:val="_GBC_01f1973e44f24cd99b90200f8205be13"/>
        <w:id w:val="-1418481264"/>
        <w:lock w:val="sdtLocked"/>
        <w:placeholder>
          <w:docPart w:val="GBC22222222222222222222222222222"/>
        </w:placeholder>
      </w:sdtPr>
      <w:sdtEndPr>
        <w:rPr>
          <w:rFonts w:cs="Times New Roman" w:hint="eastAsia"/>
          <w:kern w:val="2"/>
          <w:szCs w:val="21"/>
        </w:rPr>
      </w:sdtEndPr>
      <w:sdtContent>
        <w:p w14:paraId="702F6EAE" w14:textId="77777777" w:rsidR="00830E72" w:rsidRDefault="008344D8">
          <w:pPr>
            <w:pStyle w:val="Style99"/>
            <w:numPr>
              <w:ilvl w:val="0"/>
              <w:numId w:val="35"/>
            </w:numPr>
            <w:rPr>
              <w:rFonts w:ascii="宋体" w:hAnsi="宋体"/>
            </w:rPr>
          </w:pPr>
          <w:r>
            <w:rPr>
              <w:rFonts w:ascii="宋体" w:hAnsi="宋体"/>
            </w:rPr>
            <w:t>递延所得税资产/递延所得税负债</w:t>
          </w:r>
        </w:p>
        <w:sdt>
          <w:sdtPr>
            <w:rPr>
              <w:rFonts w:hint="eastAsia"/>
              <w:szCs w:val="21"/>
            </w:rPr>
            <w:alias w:val="是否适用：所得税的会计处理方法[双击切换]"/>
            <w:tag w:val="_GBC_3e4bb828d17944599248216201e65683"/>
            <w:id w:val="2048095985"/>
            <w:lock w:val="sdtContentLocked"/>
            <w:placeholder>
              <w:docPart w:val="GBC22222222222222222222222222222"/>
            </w:placeholder>
          </w:sdtPr>
          <w:sdtEndPr/>
          <w:sdtContent>
            <w:p w14:paraId="66B6043E"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93530731"/>
            <w:lock w:val="sdtLocked"/>
            <w:placeholder>
              <w:docPart w:val="GBC22222222222222222222222222222"/>
            </w:placeholder>
          </w:sdtPr>
          <w:sdtEndPr/>
          <w:sdtContent>
            <w:p w14:paraId="6FCDA240" w14:textId="77777777" w:rsidR="00830E72" w:rsidRDefault="008344D8">
              <w:pPr>
                <w:ind w:firstLineChars="200" w:firstLine="420"/>
                <w:rPr>
                  <w:szCs w:val="21"/>
                </w:rPr>
              </w:pPr>
              <w:r>
                <w:rPr>
                  <w:rFonts w:hint="eastAsia"/>
                  <w:szCs w:val="21"/>
                </w:rPr>
                <w:t>本公司通常根据资产与负债在资产负债表日的账面价值与计税基础之间的暂时性差异，采用资产负债表债务法将应纳税暂时性差异或可抵扣暂时性差异对所得税的影响额确认和计量为递延所得税负债或递延所得税资产。本公司不对递延所得税资产和递延所得税负债进行折现。</w:t>
              </w:r>
            </w:p>
            <w:p w14:paraId="3ED66863" w14:textId="77777777" w:rsidR="00830E72" w:rsidRDefault="008344D8">
              <w:pPr>
                <w:ind w:firstLineChars="200" w:firstLine="420"/>
                <w:rPr>
                  <w:szCs w:val="21"/>
                </w:rPr>
              </w:pPr>
              <w:r>
                <w:rPr>
                  <w:rFonts w:hint="eastAsia"/>
                  <w:szCs w:val="21"/>
                </w:rPr>
                <w:t>（</w:t>
              </w:r>
              <w:r>
                <w:rPr>
                  <w:szCs w:val="21"/>
                </w:rPr>
                <w:t>1）递延所得税资产的确认</w:t>
              </w:r>
            </w:p>
            <w:p w14:paraId="426F709C" w14:textId="77777777" w:rsidR="00830E72" w:rsidRDefault="008344D8">
              <w:pPr>
                <w:ind w:firstLineChars="200" w:firstLine="420"/>
                <w:rPr>
                  <w:szCs w:val="21"/>
                </w:rPr>
              </w:pPr>
              <w:r>
                <w:rPr>
                  <w:rFonts w:hint="eastAsia"/>
                  <w:szCs w:val="21"/>
                </w:rPr>
                <w:t>对于可抵扣暂时性差异、能够结转以后年度的可抵扣亏损和税款抵减，其对所得税的影响额按预计转回期间的所得税税率计算，并将该影响额确认为递延所得税资产，但是以本公司很可能取得用来抵扣可抵扣暂时性差异、可抵扣亏损和税款抵减的未来应纳税所得额为限。</w:t>
              </w:r>
            </w:p>
            <w:p w14:paraId="483FF7EC" w14:textId="77777777" w:rsidR="00830E72" w:rsidRDefault="008344D8">
              <w:pPr>
                <w:ind w:firstLineChars="200" w:firstLine="420"/>
                <w:rPr>
                  <w:szCs w:val="21"/>
                </w:rPr>
              </w:pPr>
              <w:r>
                <w:rPr>
                  <w:rFonts w:hint="eastAsia"/>
                  <w:szCs w:val="21"/>
                </w:rPr>
                <w:t>同时具有下列特征的交易或事项中因资产或负债的初始确认所产生的可抵扣暂时性差异对所得税的影响额不确认为递延所得税资产：</w:t>
              </w:r>
            </w:p>
            <w:p w14:paraId="5916FE1C" w14:textId="77777777" w:rsidR="00830E72" w:rsidRDefault="008344D8">
              <w:pPr>
                <w:ind w:firstLineChars="200" w:firstLine="420"/>
                <w:rPr>
                  <w:szCs w:val="21"/>
                </w:rPr>
              </w:pPr>
              <w:r>
                <w:rPr>
                  <w:szCs w:val="21"/>
                </w:rPr>
                <w:t>A. 该项交易不是企业合并；</w:t>
              </w:r>
            </w:p>
            <w:p w14:paraId="621F6F28" w14:textId="77777777" w:rsidR="00830E72" w:rsidRDefault="008344D8">
              <w:pPr>
                <w:ind w:firstLineChars="200" w:firstLine="420"/>
                <w:rPr>
                  <w:szCs w:val="21"/>
                </w:rPr>
              </w:pPr>
              <w:r>
                <w:rPr>
                  <w:szCs w:val="21"/>
                </w:rPr>
                <w:t>B. 交易发生时既不影响会计利润也不影响应纳税所得额（或可抵扣亏损）。</w:t>
              </w:r>
            </w:p>
            <w:p w14:paraId="6AF83C74" w14:textId="77777777" w:rsidR="00830E72" w:rsidRDefault="008344D8">
              <w:pPr>
                <w:ind w:firstLineChars="200" w:firstLine="420"/>
                <w:rPr>
                  <w:szCs w:val="21"/>
                </w:rPr>
              </w:pPr>
              <w:r>
                <w:rPr>
                  <w:rFonts w:hint="eastAsia"/>
                  <w:szCs w:val="21"/>
                </w:rPr>
                <w:t>本公司对与子公司、联营公司及合营企业投资相关的可抵扣暂时性差异，同时满足下列两项条件的，其对所得税的影响额（才能）确认为递延所得税资产：</w:t>
              </w:r>
            </w:p>
            <w:p w14:paraId="50340FB2" w14:textId="77777777" w:rsidR="00830E72" w:rsidRDefault="008344D8">
              <w:pPr>
                <w:ind w:firstLineChars="200" w:firstLine="420"/>
                <w:rPr>
                  <w:szCs w:val="21"/>
                </w:rPr>
              </w:pPr>
              <w:r>
                <w:rPr>
                  <w:szCs w:val="21"/>
                </w:rPr>
                <w:t>A. 暂时性差异在可预见的未来很可能转回；</w:t>
              </w:r>
            </w:p>
            <w:p w14:paraId="784B0CAE" w14:textId="77777777" w:rsidR="00830E72" w:rsidRDefault="008344D8">
              <w:pPr>
                <w:ind w:firstLineChars="200" w:firstLine="420"/>
                <w:rPr>
                  <w:szCs w:val="21"/>
                </w:rPr>
              </w:pPr>
              <w:r>
                <w:rPr>
                  <w:szCs w:val="21"/>
                </w:rPr>
                <w:t>B. 未来很可能获得用来抵扣可抵扣暂时性差异的应纳税所得额；</w:t>
              </w:r>
            </w:p>
            <w:p w14:paraId="72327A6D" w14:textId="77777777" w:rsidR="00830E72" w:rsidRDefault="008344D8">
              <w:pPr>
                <w:ind w:firstLineChars="200" w:firstLine="420"/>
                <w:rPr>
                  <w:szCs w:val="21"/>
                </w:rPr>
              </w:pPr>
              <w:r>
                <w:rPr>
                  <w:rFonts w:hint="eastAsia"/>
                  <w:szCs w:val="21"/>
                </w:rPr>
                <w:t>资产负债表日，有确凿证据表明未来期间很可能获得足够的应纳税所得额用来抵扣可抵扣暂时性差异的，确认以前期间未确认的递延所得税资产。</w:t>
              </w:r>
            </w:p>
            <w:p w14:paraId="158F9452" w14:textId="77777777" w:rsidR="00830E72" w:rsidRDefault="008344D8">
              <w:pPr>
                <w:ind w:firstLineChars="200" w:firstLine="420"/>
                <w:rPr>
                  <w:szCs w:val="21"/>
                </w:rPr>
              </w:pPr>
              <w:r>
                <w:rPr>
                  <w:rFonts w:hint="eastAsia"/>
                  <w:szCs w:val="21"/>
                </w:rPr>
                <w:t>在资产负债表日，本公司对递延所得税资产的账面价值进行复核。如果未来期间很可能无法获得足够的应纳税所得额用以抵扣递延所得税资产的利益，减记递延所得税资产的账面价值。在很可能获得足够的应纳税所得额时，减记的金额予以转回。</w:t>
              </w:r>
            </w:p>
            <w:p w14:paraId="4039D6D8" w14:textId="77777777" w:rsidR="00830E72" w:rsidRDefault="008344D8">
              <w:pPr>
                <w:ind w:firstLineChars="200" w:firstLine="420"/>
                <w:rPr>
                  <w:szCs w:val="21"/>
                </w:rPr>
              </w:pPr>
              <w:r>
                <w:rPr>
                  <w:rFonts w:hint="eastAsia"/>
                  <w:szCs w:val="21"/>
                </w:rPr>
                <w:t>（</w:t>
              </w:r>
              <w:r>
                <w:rPr>
                  <w:szCs w:val="21"/>
                </w:rPr>
                <w:t>2）递延所得税负债的确认</w:t>
              </w:r>
            </w:p>
            <w:p w14:paraId="05F3FA22" w14:textId="77777777" w:rsidR="00830E72" w:rsidRDefault="008344D8">
              <w:pPr>
                <w:ind w:firstLineChars="200" w:firstLine="420"/>
                <w:rPr>
                  <w:szCs w:val="21"/>
                </w:rPr>
              </w:pPr>
              <w:r>
                <w:rPr>
                  <w:rFonts w:hint="eastAsia"/>
                  <w:szCs w:val="21"/>
                </w:rPr>
                <w:t>本公司所有应纳税暂时性差异均按预计转回期间的所得税税率计量对所得税的影响，并将该影响额确认为递延所得税负债，但下列情况的除外：</w:t>
              </w:r>
            </w:p>
            <w:p w14:paraId="7BCF9FC6" w14:textId="77777777" w:rsidR="00830E72" w:rsidRDefault="008344D8">
              <w:pPr>
                <w:ind w:firstLineChars="200" w:firstLine="420"/>
                <w:rPr>
                  <w:szCs w:val="21"/>
                </w:rPr>
              </w:pPr>
              <w:r>
                <w:rPr>
                  <w:rFonts w:hint="eastAsia"/>
                  <w:szCs w:val="21"/>
                </w:rPr>
                <w:t>①因下列交易或事项中产生的应纳税暂时性差异对所得税的影响不确认为递延所得税负债：</w:t>
              </w:r>
            </w:p>
            <w:p w14:paraId="67315C53" w14:textId="77777777" w:rsidR="00830E72" w:rsidRDefault="008344D8">
              <w:pPr>
                <w:ind w:firstLineChars="200" w:firstLine="420"/>
                <w:rPr>
                  <w:szCs w:val="21"/>
                </w:rPr>
              </w:pPr>
              <w:r>
                <w:rPr>
                  <w:szCs w:val="21"/>
                </w:rPr>
                <w:t>A.商誉的初始确认；</w:t>
              </w:r>
            </w:p>
            <w:p w14:paraId="6BAFBD7B" w14:textId="77777777" w:rsidR="00830E72" w:rsidRDefault="008344D8">
              <w:pPr>
                <w:ind w:firstLineChars="200" w:firstLine="420"/>
                <w:rPr>
                  <w:szCs w:val="21"/>
                </w:rPr>
              </w:pPr>
              <w:r>
                <w:rPr>
                  <w:szCs w:val="21"/>
                </w:rPr>
                <w:t>B.具有以下特征的交易中产生的资产或负债的初始确认：该交易不是企业合并，并且交易发</w:t>
              </w:r>
              <w:r>
                <w:rPr>
                  <w:rFonts w:hint="eastAsia"/>
                  <w:szCs w:val="21"/>
                </w:rPr>
                <w:t>生时既不影响会计利润也不影响应纳税所得额或可抵扣亏损。</w:t>
              </w:r>
            </w:p>
            <w:p w14:paraId="50051603" w14:textId="77777777" w:rsidR="00830E72" w:rsidRDefault="008344D8">
              <w:pPr>
                <w:ind w:firstLineChars="200" w:firstLine="420"/>
                <w:rPr>
                  <w:szCs w:val="21"/>
                </w:rPr>
              </w:pPr>
              <w:r>
                <w:rPr>
                  <w:rFonts w:hint="eastAsia"/>
                  <w:szCs w:val="21"/>
                </w:rPr>
                <w:t>②本公司对与子公司、合营企业及联营企业投资相关的应纳税暂时性差异，其对所得税的影响额一般确认为递延所得税负债，但同时满足以下两项条件的除外：</w:t>
              </w:r>
            </w:p>
            <w:p w14:paraId="6E2A5484" w14:textId="77777777" w:rsidR="00830E72" w:rsidRDefault="008344D8">
              <w:pPr>
                <w:ind w:firstLineChars="200" w:firstLine="420"/>
                <w:rPr>
                  <w:szCs w:val="21"/>
                </w:rPr>
              </w:pPr>
              <w:r>
                <w:rPr>
                  <w:szCs w:val="21"/>
                </w:rPr>
                <w:t>A.本公司能够控制暂时性差异转回的时间；</w:t>
              </w:r>
            </w:p>
            <w:p w14:paraId="68F94D94" w14:textId="77777777" w:rsidR="00830E72" w:rsidRDefault="008344D8">
              <w:pPr>
                <w:ind w:firstLineChars="200" w:firstLine="420"/>
                <w:rPr>
                  <w:szCs w:val="21"/>
                </w:rPr>
              </w:pPr>
              <w:r>
                <w:rPr>
                  <w:szCs w:val="21"/>
                </w:rPr>
                <w:t>B.该暂时性差异在可预见的未来很可能不会转回。</w:t>
              </w:r>
            </w:p>
            <w:p w14:paraId="3F2209E5" w14:textId="77777777" w:rsidR="00830E72" w:rsidRDefault="008344D8">
              <w:pPr>
                <w:ind w:firstLineChars="200" w:firstLine="420"/>
                <w:rPr>
                  <w:szCs w:val="21"/>
                </w:rPr>
              </w:pPr>
              <w:r>
                <w:rPr>
                  <w:rFonts w:hint="eastAsia"/>
                  <w:szCs w:val="21"/>
                </w:rPr>
                <w:t>（</w:t>
              </w:r>
              <w:r>
                <w:rPr>
                  <w:szCs w:val="21"/>
                </w:rPr>
                <w:t>3）特定交易或事项所涉及的递延所得税负债或资产的确认</w:t>
              </w:r>
            </w:p>
            <w:p w14:paraId="17E27BF2" w14:textId="77777777" w:rsidR="00830E72" w:rsidRDefault="008344D8">
              <w:pPr>
                <w:ind w:firstLineChars="200" w:firstLine="420"/>
                <w:rPr>
                  <w:szCs w:val="21"/>
                </w:rPr>
              </w:pPr>
              <w:r>
                <w:rPr>
                  <w:rFonts w:hint="eastAsia"/>
                  <w:szCs w:val="21"/>
                </w:rPr>
                <w:t>①与企业合并相关的递延所得税负债或资产</w:t>
              </w:r>
            </w:p>
            <w:p w14:paraId="66B9C003" w14:textId="77777777" w:rsidR="00830E72" w:rsidRDefault="008344D8">
              <w:pPr>
                <w:ind w:firstLineChars="200" w:firstLine="420"/>
                <w:rPr>
                  <w:szCs w:val="21"/>
                </w:rPr>
              </w:pPr>
              <w:r>
                <w:rPr>
                  <w:rFonts w:hint="eastAsia"/>
                  <w:szCs w:val="21"/>
                </w:rPr>
                <w:lastRenderedPageBreak/>
                <w:t>非同一控制下企业合并产生的应纳税暂时性差异或可抵扣暂时性差异，在确认递延所得税负债或递延所得税资产的同时，相关的递延所得税费用（或收益），通常调整企业合并中所确认的商誉。</w:t>
              </w:r>
            </w:p>
            <w:p w14:paraId="7F082FC4" w14:textId="77777777" w:rsidR="00830E72" w:rsidRDefault="008344D8">
              <w:pPr>
                <w:ind w:firstLineChars="200" w:firstLine="420"/>
                <w:rPr>
                  <w:szCs w:val="21"/>
                </w:rPr>
              </w:pPr>
              <w:r>
                <w:rPr>
                  <w:rFonts w:hint="eastAsia"/>
                  <w:szCs w:val="21"/>
                </w:rPr>
                <w:t>②直接计入所有者权益的项目</w:t>
              </w:r>
            </w:p>
            <w:p w14:paraId="781D7BFE" w14:textId="77777777" w:rsidR="00830E72" w:rsidRDefault="008344D8">
              <w:pPr>
                <w:ind w:firstLineChars="200" w:firstLine="420"/>
                <w:rPr>
                  <w:szCs w:val="21"/>
                </w:rPr>
              </w:pPr>
              <w:r>
                <w:rPr>
                  <w:rFonts w:hint="eastAsia"/>
                  <w:szCs w:val="21"/>
                </w:rPr>
                <w:t>与直接计入所有者权益的交易或者事项相关的当期所得税和递延所得税，计入所有者权益。</w:t>
              </w:r>
            </w:p>
            <w:p w14:paraId="1E2AC0FA" w14:textId="77777777" w:rsidR="00830E72" w:rsidRDefault="008344D8">
              <w:pPr>
                <w:ind w:firstLineChars="200" w:firstLine="420"/>
                <w:rPr>
                  <w:szCs w:val="21"/>
                </w:rPr>
              </w:pPr>
              <w:r>
                <w:rPr>
                  <w:rFonts w:hint="eastAsia"/>
                  <w:szCs w:val="21"/>
                </w:rPr>
                <w:t>暂时性差异对所得税的影响计入所有者权益的交易或事项包括：可供出售金融资产公允价值变动等形成的其他综合收益、会计政策变更采用追溯调整法或对前期（重要）会计差错更正差异追溯重述法调整期初留存收益、同时包含负债成份及权益成份的混合金融工具在初始确认时计入所有者权益等。</w:t>
              </w:r>
            </w:p>
            <w:p w14:paraId="6939FA7A" w14:textId="77777777" w:rsidR="00830E72" w:rsidRDefault="008344D8">
              <w:pPr>
                <w:ind w:firstLineChars="200" w:firstLine="420"/>
                <w:rPr>
                  <w:szCs w:val="21"/>
                </w:rPr>
              </w:pPr>
              <w:r>
                <w:rPr>
                  <w:rFonts w:hint="eastAsia"/>
                  <w:szCs w:val="21"/>
                </w:rPr>
                <w:t>③可弥补亏损和税款抵减</w:t>
              </w:r>
            </w:p>
            <w:p w14:paraId="704B1B58" w14:textId="77777777" w:rsidR="00830E72" w:rsidRDefault="008344D8">
              <w:pPr>
                <w:ind w:firstLineChars="200" w:firstLine="420"/>
                <w:rPr>
                  <w:szCs w:val="21"/>
                </w:rPr>
              </w:pPr>
              <w:r>
                <w:rPr>
                  <w:szCs w:val="21"/>
                </w:rPr>
                <w:t>A.本公司自身经营产生的可弥补亏损以及税款抵减</w:t>
              </w:r>
            </w:p>
            <w:p w14:paraId="0C64F6EF" w14:textId="77777777" w:rsidR="00830E72" w:rsidRDefault="008344D8">
              <w:pPr>
                <w:ind w:firstLineChars="200" w:firstLine="420"/>
                <w:rPr>
                  <w:szCs w:val="21"/>
                </w:rPr>
              </w:pPr>
              <w:r>
                <w:rPr>
                  <w:rFonts w:hint="eastAsia"/>
                  <w:szCs w:val="21"/>
                </w:rPr>
                <w:t>可抵扣亏损是指按照税法规定计算确定的准予用以后年度的应纳税所得额弥补的亏损。对于按照税法规定可以结转以后年度的未弥补亏损（可抵扣亏损）和税款抵减，视同可抵扣暂时性差异处理。在预计可利用可弥补亏损或税款抵减的未来期间内很可能取得足够的应纳税所得额时，以很可能取得的应纳税所得额为限，确认相应的递延所得税资产，同时减少当期利润表中的所得税费用。</w:t>
              </w:r>
            </w:p>
            <w:p w14:paraId="1861DAF6" w14:textId="77777777" w:rsidR="00830E72" w:rsidRDefault="008344D8">
              <w:pPr>
                <w:ind w:firstLineChars="200" w:firstLine="420"/>
                <w:rPr>
                  <w:szCs w:val="21"/>
                </w:rPr>
              </w:pPr>
              <w:r>
                <w:rPr>
                  <w:szCs w:val="21"/>
                </w:rPr>
                <w:t>B.因企业合并而形成的可弥补的被合并企业的未弥补亏损</w:t>
              </w:r>
            </w:p>
            <w:p w14:paraId="7D19C251" w14:textId="77777777" w:rsidR="00830E72" w:rsidRDefault="008344D8">
              <w:pPr>
                <w:ind w:firstLineChars="200" w:firstLine="420"/>
                <w:rPr>
                  <w:szCs w:val="21"/>
                </w:rPr>
              </w:pPr>
              <w:r>
                <w:rPr>
                  <w:rFonts w:hint="eastAsia"/>
                  <w:szCs w:val="21"/>
                </w:rPr>
                <w:t>在企业合并中，本公司取得被购买方的可抵扣暂时性差异，在购买日不符合递延所得税资产确认条件的，不予以确认。购买日后</w:t>
              </w:r>
              <w:r>
                <w:rPr>
                  <w:szCs w:val="21"/>
                </w:rPr>
                <w:t xml:space="preserve"> 12 个月内，如取得新的或进一步的信息表明购买日的相关</w:t>
              </w:r>
              <w:r>
                <w:rPr>
                  <w:rFonts w:hint="eastAsia"/>
                  <w:szCs w:val="21"/>
                </w:rPr>
                <w:t>情况已经存在，预期被购买方在购买日可抵扣暂时性差异带来的经济利益能够实现的，确认相关的递延所得税资产，同时减少商誉，商誉不足冲减的，差额部分确认为当期损益；除上述情况以外，确认与企业合并相关的递延所得税资产，计入当期损益。</w:t>
              </w:r>
            </w:p>
            <w:p w14:paraId="60408B0B" w14:textId="77777777" w:rsidR="00830E72" w:rsidRDefault="008344D8">
              <w:pPr>
                <w:ind w:firstLineChars="200" w:firstLine="420"/>
                <w:rPr>
                  <w:szCs w:val="21"/>
                </w:rPr>
              </w:pPr>
              <w:r>
                <w:rPr>
                  <w:rFonts w:hint="eastAsia"/>
                  <w:szCs w:val="21"/>
                </w:rPr>
                <w:t>④合并抵销形成的暂时性差异</w:t>
              </w:r>
            </w:p>
            <w:p w14:paraId="27231B4F" w14:textId="77777777" w:rsidR="00830E72" w:rsidRDefault="008344D8">
              <w:pPr>
                <w:ind w:firstLineChars="200" w:firstLine="420"/>
                <w:rPr>
                  <w:szCs w:val="21"/>
                </w:rPr>
              </w:pPr>
              <w:r>
                <w:rPr>
                  <w:rFonts w:hint="eastAsia"/>
                  <w:szCs w:val="21"/>
                </w:rPr>
                <w:t>本公司在编制合并财务报表时，因抵销未实现内部销售损益导致合并资产负债表中资产、负债的账面价值与其在所属纳税主体的计税基础之间产生暂时性差异的，在合并资产负债表中确认递延所得税资产或递延所得税负债，同时调整合并利润表中的所得税费用，但与直接计入所有者权益的交易或事项及企业合并相关的递延所得税除外。</w:t>
              </w:r>
            </w:p>
            <w:p w14:paraId="08DB7846" w14:textId="77777777" w:rsidR="00830E72" w:rsidRDefault="008344D8">
              <w:pPr>
                <w:ind w:firstLineChars="200" w:firstLine="420"/>
                <w:rPr>
                  <w:szCs w:val="21"/>
                </w:rPr>
              </w:pPr>
              <w:r>
                <w:rPr>
                  <w:rFonts w:hint="eastAsia"/>
                  <w:szCs w:val="21"/>
                </w:rPr>
                <w:t>⑤以权益结算的股份支付</w:t>
              </w:r>
            </w:p>
            <w:p w14:paraId="66A1CF59" w14:textId="77777777" w:rsidR="00830E72" w:rsidRDefault="008344D8">
              <w:pPr>
                <w:ind w:firstLineChars="200" w:firstLine="420"/>
                <w:rPr>
                  <w:szCs w:val="21"/>
                </w:rPr>
              </w:pPr>
              <w:r>
                <w:rPr>
                  <w:rFonts w:hint="eastAsia"/>
                  <w:szCs w:val="21"/>
                </w:rPr>
                <w:t>如果税法规定与股份支付相关的支出允许税前扣除，在按照会计准则规定确认成本费用的期间内，本公司根据会计期末取得信息估计可税前扣除的金额计算确定其计税基础及由此产生的暂时性差异，符合确认条件的情况下确认相关的递延所得税。其中预计未来期间可税前扣除的金额超过按照会计准则规定确认的与股份支付相关的成本费用，超过部分的所得税影响应直接计入所有者权益。</w:t>
              </w:r>
            </w:p>
          </w:sdtContent>
        </w:sdt>
      </w:sdtContent>
    </w:sdt>
    <w:p w14:paraId="689C72D4" w14:textId="77777777" w:rsidR="00830E72" w:rsidRDefault="00830E72">
      <w:pPr>
        <w:rPr>
          <w:szCs w:val="21"/>
        </w:rPr>
      </w:pPr>
    </w:p>
    <w:sdt>
      <w:sdtPr>
        <w:rPr>
          <w:rFonts w:ascii="宋体" w:hAnsi="宋体" w:cs="宋体"/>
          <w:b w:val="0"/>
          <w:bCs w:val="0"/>
          <w:kern w:val="0"/>
          <w:szCs w:val="24"/>
        </w:rPr>
        <w:alias w:val="模块:经营租赁、融资租赁会计处理方法"/>
        <w:tag w:val="_GBC_f9ff4c1b9d1748b8854889b1fd9b076c"/>
        <w:id w:val="196437824"/>
        <w:lock w:val="sdtLocked"/>
        <w:placeholder>
          <w:docPart w:val="GBC22222222222222222222222222222"/>
        </w:placeholder>
      </w:sdtPr>
      <w:sdtEndPr>
        <w:rPr>
          <w:rFonts w:hint="eastAsia"/>
          <w:szCs w:val="21"/>
        </w:rPr>
      </w:sdtEndPr>
      <w:sdtContent>
        <w:p w14:paraId="54EE25A0" w14:textId="77777777" w:rsidR="00830E72" w:rsidRDefault="008344D8">
          <w:pPr>
            <w:pStyle w:val="Style99"/>
            <w:numPr>
              <w:ilvl w:val="0"/>
              <w:numId w:val="35"/>
            </w:numPr>
            <w:rPr>
              <w:rFonts w:ascii="宋体" w:hAnsi="宋体"/>
            </w:rPr>
          </w:pPr>
          <w:r>
            <w:rPr>
              <w:rFonts w:ascii="宋体" w:hAnsi="宋体"/>
            </w:rPr>
            <w:t>租赁</w:t>
          </w:r>
        </w:p>
        <w:p w14:paraId="4F265992" w14:textId="77777777" w:rsidR="00830E72" w:rsidRDefault="008344D8">
          <w:pPr>
            <w:pStyle w:val="Style100"/>
            <w:numPr>
              <w:ilvl w:val="3"/>
              <w:numId w:val="42"/>
            </w:numPr>
            <w:ind w:left="426" w:hanging="426"/>
            <w:rPr>
              <w:rFonts w:ascii="宋体" w:hAnsi="宋体"/>
            </w:rPr>
          </w:pPr>
          <w:r>
            <w:rPr>
              <w:rFonts w:ascii="宋体" w:hAnsi="宋体" w:hint="eastAsia"/>
            </w:rPr>
            <w:t>经营租赁的会计处理方法</w:t>
          </w:r>
        </w:p>
        <w:sdt>
          <w:sdtPr>
            <w:alias w:val="是否适用：经营租赁的会计处理方法[双击切换]"/>
            <w:tag w:val="_GBC_e2074b0f384d4bba80c32083627e5bdd"/>
            <w:id w:val="1703824052"/>
            <w:lock w:val="sdtContentLocked"/>
            <w:placeholder>
              <w:docPart w:val="GBC22222222222222222222222222222"/>
            </w:placeholder>
          </w:sdtPr>
          <w:sdtEndPr/>
          <w:sdtContent>
            <w:p w14:paraId="0D4705D7"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经营租赁的会计处理方法"/>
            <w:tag w:val="_GBC_95879bb481f644fd959d3a5843c3b06a"/>
            <w:id w:val="-726523373"/>
            <w:lock w:val="sdtLocked"/>
            <w:placeholder>
              <w:docPart w:val="GBC22222222222222222222222222222"/>
            </w:placeholder>
          </w:sdtPr>
          <w:sdtEndPr/>
          <w:sdtContent>
            <w:p w14:paraId="78B7CDBD" w14:textId="77777777" w:rsidR="00830E72" w:rsidRDefault="008344D8">
              <w:pPr>
                <w:ind w:firstLineChars="200" w:firstLine="420"/>
                <w:rPr>
                  <w:szCs w:val="21"/>
                </w:rPr>
              </w:pPr>
              <w:r>
                <w:rPr>
                  <w:rFonts w:hint="eastAsia"/>
                  <w:szCs w:val="21"/>
                </w:rPr>
                <w:t>①本公司作为经营租赁承租人时，将经营租赁的租金支出，在租赁期内各个期间按照直线法或根据租赁资产的使用量计入当期损益。出租人提供免租期的，本公司将租金总额在不扣除免租期的整个租赁期内，按直线法或其他合理的方法进行分摊，免租期内确认租金费用及相应的负债。出租人承担了承租人某些费用的，本公司按该费用从租金费用总额中扣除后的租金费用余额在租赁期内进行分摊。</w:t>
              </w:r>
            </w:p>
            <w:p w14:paraId="3E5CB430" w14:textId="77777777" w:rsidR="00830E72" w:rsidRDefault="008344D8">
              <w:pPr>
                <w:ind w:firstLineChars="200" w:firstLine="420"/>
                <w:rPr>
                  <w:szCs w:val="21"/>
                </w:rPr>
              </w:pPr>
              <w:r>
                <w:rPr>
                  <w:rFonts w:hint="eastAsia"/>
                  <w:szCs w:val="21"/>
                </w:rPr>
                <w:t>初始直接费用，计入当期损益。如协议约定或有租金的在实际发生时计入当期损益。</w:t>
              </w:r>
            </w:p>
            <w:p w14:paraId="057957E7" w14:textId="77777777" w:rsidR="00830E72" w:rsidRDefault="008344D8">
              <w:pPr>
                <w:ind w:firstLineChars="200" w:firstLine="420"/>
                <w:rPr>
                  <w:szCs w:val="21"/>
                </w:rPr>
              </w:pPr>
              <w:r>
                <w:rPr>
                  <w:rFonts w:hint="eastAsia"/>
                  <w:szCs w:val="21"/>
                </w:rPr>
                <w:t>②本公司作为经营租赁出租人时，采用直线法将收到的租金在租赁期内确认为收益。出租人提供免租期的，出租人将租金总额在不扣除免租期的整个租赁期内，按直线法或其他合理的方法进行分配，免租期内出租人也确认租金收入。承担了承租人某些费用的，本公司按该费用自租金收入总额中扣除后的租金收入余额在租赁期内进行分配。</w:t>
              </w:r>
            </w:p>
            <w:p w14:paraId="1B2DF0D1" w14:textId="77777777" w:rsidR="00830E72" w:rsidRDefault="008344D8">
              <w:pPr>
                <w:ind w:firstLineChars="200" w:firstLine="420"/>
                <w:rPr>
                  <w:szCs w:val="21"/>
                </w:rPr>
              </w:pPr>
              <w:r>
                <w:rPr>
                  <w:rFonts w:hint="eastAsia"/>
                  <w:szCs w:val="21"/>
                </w:rPr>
                <w:t>初始直接费用，计入当期损益。金额较大的予以资本化，在整个经营租赁期内按照与确认租金收入相同的基础分期计入当期损益。如协议约定或有租金的在实际发生时计入当期收益。</w:t>
              </w:r>
            </w:p>
          </w:sdtContent>
        </w:sdt>
        <w:p w14:paraId="4C7C48BC" w14:textId="77777777" w:rsidR="00830E72" w:rsidRDefault="00830E72">
          <w:pPr>
            <w:rPr>
              <w:szCs w:val="21"/>
            </w:rPr>
          </w:pPr>
        </w:p>
        <w:p w14:paraId="56FF20B9" w14:textId="77777777" w:rsidR="00830E72" w:rsidRDefault="008344D8">
          <w:pPr>
            <w:pStyle w:val="Style100"/>
            <w:numPr>
              <w:ilvl w:val="3"/>
              <w:numId w:val="42"/>
            </w:numPr>
            <w:ind w:left="426" w:hanging="426"/>
            <w:rPr>
              <w:rFonts w:ascii="宋体" w:hAnsi="宋体"/>
            </w:rPr>
          </w:pPr>
          <w:r>
            <w:rPr>
              <w:rFonts w:ascii="宋体" w:hAnsi="宋体" w:hint="eastAsia"/>
            </w:rPr>
            <w:lastRenderedPageBreak/>
            <w:t>融资租赁的会计处理方法</w:t>
          </w:r>
        </w:p>
        <w:sdt>
          <w:sdtPr>
            <w:rPr>
              <w:rFonts w:hint="eastAsia"/>
              <w:szCs w:val="21"/>
            </w:rPr>
            <w:alias w:val="是否适用：融资租赁的会计处理方法[双击切换]"/>
            <w:tag w:val="_GBC_e6743f781bfc4763acf7f9821c740304"/>
            <w:id w:val="1509100917"/>
            <w:lock w:val="sdtContentLocked"/>
            <w:placeholder>
              <w:docPart w:val="GBC22222222222222222222222222222"/>
            </w:placeholder>
          </w:sdtPr>
          <w:sdtEndPr/>
          <w:sdtContent>
            <w:p w14:paraId="14973D8A"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1219280059"/>
            <w:lock w:val="sdtLocked"/>
            <w:placeholder>
              <w:docPart w:val="GBC22222222222222222222222222222"/>
            </w:placeholder>
          </w:sdtPr>
          <w:sdtEndPr/>
          <w:sdtContent>
            <w:p w14:paraId="092092EE" w14:textId="77777777" w:rsidR="00830E72" w:rsidRDefault="008344D8">
              <w:pPr>
                <w:ind w:firstLineChars="200" w:firstLine="420"/>
                <w:rPr>
                  <w:szCs w:val="21"/>
                </w:rPr>
              </w:pPr>
              <w:r>
                <w:rPr>
                  <w:rFonts w:hint="eastAsia"/>
                  <w:szCs w:val="21"/>
                </w:rPr>
                <w:t>①本公司作为融资租赁承租人时，在租赁期开始日，将租赁开始日租赁资产公允价值与最低租赁付款额现值两者中较低者作为租入资产的入账价值，将最低租赁付款额作为长期应付款的入账价值，其差额作为未确认融资费用。在租赁期内各个期间采用实际利率法进行分摊，确认为当期融资费用，计入财务费用。</w:t>
              </w:r>
            </w:p>
            <w:p w14:paraId="41B165FD" w14:textId="77777777" w:rsidR="00830E72" w:rsidRDefault="008344D8">
              <w:pPr>
                <w:ind w:firstLineChars="200" w:firstLine="420"/>
                <w:rPr>
                  <w:szCs w:val="21"/>
                </w:rPr>
              </w:pPr>
              <w:r>
                <w:rPr>
                  <w:rFonts w:hint="eastAsia"/>
                  <w:szCs w:val="21"/>
                </w:rPr>
                <w:t>发生的初始直接费用，计入租入资产价值。</w:t>
              </w:r>
            </w:p>
            <w:p w14:paraId="4DA27739" w14:textId="77777777" w:rsidR="00830E72" w:rsidRDefault="008344D8">
              <w:pPr>
                <w:ind w:firstLineChars="200" w:firstLine="420"/>
                <w:rPr>
                  <w:szCs w:val="21"/>
                </w:rPr>
              </w:pPr>
              <w:r>
                <w:rPr>
                  <w:rFonts w:hint="eastAsia"/>
                  <w:szCs w:val="21"/>
                </w:rPr>
                <w:t>在计提融资租赁资产折旧时，本公司采用与自有应折旧资产相一致的折旧政策，折旧期间以租赁合同而定。如果能够合理确定租赁期届满时本公司将会取得租赁资产所有权，以租赁期开始日租赁资产的寿命作为折旧期间；如果无法合理确定租赁期届满后本公司是否能够取得租赁资产的所有权，以租赁期与租赁资产寿命两者中较短者作为折旧期间。</w:t>
              </w:r>
            </w:p>
            <w:p w14:paraId="6CC49727" w14:textId="77777777" w:rsidR="00830E72" w:rsidRDefault="008344D8">
              <w:pPr>
                <w:ind w:firstLineChars="200" w:firstLine="420"/>
                <w:rPr>
                  <w:szCs w:val="21"/>
                </w:rPr>
              </w:pPr>
              <w:r>
                <w:rPr>
                  <w:rFonts w:hint="eastAsia"/>
                  <w:szCs w:val="21"/>
                </w:rPr>
                <w:t>②本公司作为融资租赁出租人时，于租赁期开始日将租赁开始日最低租赁应收款额与初始直接费用之和作为应收融资租赁款的入账价值，计入资产负债表的长期应收款，同时记录未担保余值；将最低租赁应收款额、初始直接费用及未担保余值之和与其现值之和的差额作为未实现融资收益，在租赁期内各个期间采用实际利率法确认为租赁收入。</w:t>
              </w:r>
            </w:p>
          </w:sdtContent>
        </w:sdt>
      </w:sdtContent>
    </w:sdt>
    <w:p w14:paraId="4CE79E04" w14:textId="77777777" w:rsidR="00830E72" w:rsidRDefault="00830E72">
      <w:pPr>
        <w:rPr>
          <w:szCs w:val="21"/>
        </w:rPr>
      </w:pPr>
    </w:p>
    <w:bookmarkStart w:id="87" w:name="_Hlk23952334" w:displacedByCustomXml="next"/>
    <w:bookmarkEnd w:id="87" w:displacedByCustomXml="next"/>
    <w:bookmarkStart w:id="88" w:name="_Hlk41484250" w:displacedByCustomXml="next"/>
    <w:sdt>
      <w:sdtPr>
        <w:rPr>
          <w:rFonts w:ascii="宋体" w:hAnsi="宋体" w:cs="宋体" w:hint="eastAsia"/>
          <w:b w:val="0"/>
          <w:bCs w:val="0"/>
          <w:kern w:val="0"/>
          <w:szCs w:val="24"/>
        </w:rPr>
        <w:alias w:val="模块:新租赁准则下租赁的确定方法及会计处理方法"/>
        <w:tag w:val="_SEC_8bc58354e42542c7bbad4c16498c3080"/>
        <w:id w:val="-1080134195"/>
        <w:lock w:val="sdtLocked"/>
        <w:placeholder>
          <w:docPart w:val="GBC22222222222222222222222222222"/>
        </w:placeholder>
      </w:sdtPr>
      <w:sdtEndPr>
        <w:rPr>
          <w:szCs w:val="21"/>
        </w:rPr>
      </w:sdtEndPr>
      <w:sdtContent>
        <w:p w14:paraId="6CA5DA30" w14:textId="77777777" w:rsidR="00830E72" w:rsidRDefault="008344D8">
          <w:pPr>
            <w:pStyle w:val="Style100"/>
            <w:numPr>
              <w:ilvl w:val="3"/>
              <w:numId w:val="42"/>
            </w:numPr>
            <w:ind w:left="426" w:hanging="426"/>
            <w:rPr>
              <w:rFonts w:ascii="宋体" w:hAnsi="宋体"/>
            </w:rPr>
          </w:pPr>
          <w:r>
            <w:rPr>
              <w:rFonts w:ascii="宋体" w:hAnsi="宋体" w:hint="eastAsia"/>
            </w:rPr>
            <w:t>新租赁准则下租赁的确定方法及会计处理方法</w:t>
          </w:r>
        </w:p>
        <w:sdt>
          <w:sdtPr>
            <w:rPr>
              <w:szCs w:val="21"/>
            </w:rPr>
            <w:alias w:val="是否适用：新租赁准则下租赁的确定方法及会计处理方法[双击切换]"/>
            <w:tag w:val="_GBC_9214d33ec34c41b68ccb23415b029371"/>
            <w:id w:val="935481978"/>
            <w:lock w:val="sdtContentLocked"/>
            <w:placeholder>
              <w:docPart w:val="GBC22222222222222222222222222222"/>
            </w:placeholder>
          </w:sdtPr>
          <w:sdtEndPr/>
          <w:sdtContent>
            <w:p w14:paraId="31B0625E"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新租赁准则下租赁的确定方法及会计处理方法的说明 "/>
            <w:tag w:val="_GBC_ccaa4235b3124a2f9a3b351187d42720"/>
            <w:id w:val="-817573742"/>
            <w:lock w:val="sdtLocked"/>
          </w:sdtPr>
          <w:sdtEndPr/>
          <w:sdtContent>
            <w:p w14:paraId="56BA7E99" w14:textId="77777777" w:rsidR="00830E72" w:rsidRDefault="008344D8">
              <w:pPr>
                <w:ind w:firstLineChars="200" w:firstLine="420"/>
                <w:rPr>
                  <w:szCs w:val="21"/>
                </w:rPr>
              </w:pPr>
              <w:r>
                <w:rPr>
                  <w:szCs w:val="21"/>
                </w:rPr>
                <w:t>2018 年，财政部颁布了修订的《企业会计准则第 21 号——租赁》（简称“新租赁准则”），</w:t>
              </w:r>
              <w:r>
                <w:rPr>
                  <w:rFonts w:hint="eastAsia"/>
                  <w:szCs w:val="21"/>
                </w:rPr>
                <w:t>新租赁准则采用与现行融资租赁会计处理类似的单一模型，要求承租人对除短期租赁和低价值资产租赁以外的所有租赁确认使用权资产和租赁负债，并分别确认折旧和利息费用。本公司自</w:t>
              </w:r>
              <w:r>
                <w:rPr>
                  <w:szCs w:val="21"/>
                </w:rPr>
                <w:t xml:space="preserve"> 2021</w:t>
              </w:r>
              <w:r>
                <w:rPr>
                  <w:rFonts w:hint="eastAsia"/>
                  <w:szCs w:val="21"/>
                </w:rPr>
                <w:t>年</w:t>
              </w:r>
              <w:r>
                <w:rPr>
                  <w:szCs w:val="21"/>
                </w:rPr>
                <w:t xml:space="preserve"> 1 月 1 日开始按照新修订的租赁准则进行会计处理</w:t>
              </w:r>
              <w:r>
                <w:rPr>
                  <w:rFonts w:hint="eastAsia"/>
                  <w:szCs w:val="21"/>
                </w:rPr>
                <w:t>。</w:t>
              </w:r>
            </w:p>
          </w:sdtContent>
        </w:sdt>
        <w:p w14:paraId="4B97943D" w14:textId="77777777" w:rsidR="00830E72" w:rsidRDefault="00D44830">
          <w:pPr>
            <w:rPr>
              <w:szCs w:val="21"/>
            </w:rPr>
          </w:pPr>
        </w:p>
      </w:sdtContent>
    </w:sdt>
    <w:bookmarkEnd w:id="88" w:displacedByCustomXml="next"/>
    <w:sdt>
      <w:sdtPr>
        <w:rPr>
          <w:rFonts w:ascii="宋体" w:hAnsi="宋体" w:cstheme="minorBidi" w:hint="eastAsia"/>
          <w:b w:val="0"/>
          <w:bCs w:val="0"/>
          <w:kern w:val="0"/>
          <w:szCs w:val="22"/>
        </w:rPr>
        <w:alias w:val="模块:其他重要的会计政策和会计估计"/>
        <w:tag w:val="_GBC_208440ea3a0f4676970b3672c3cdf96f"/>
        <w:id w:val="827479509"/>
        <w:lock w:val="sdtLocked"/>
        <w:placeholder>
          <w:docPart w:val="GBC22222222222222222222222222222"/>
        </w:placeholder>
      </w:sdtPr>
      <w:sdtEndPr>
        <w:rPr>
          <w:rFonts w:cs="Times New Roman"/>
          <w:szCs w:val="21"/>
        </w:rPr>
      </w:sdtEndPr>
      <w:sdtContent>
        <w:p w14:paraId="111ECE24" w14:textId="77777777" w:rsidR="00830E72" w:rsidRDefault="008344D8">
          <w:pPr>
            <w:pStyle w:val="Style99"/>
            <w:numPr>
              <w:ilvl w:val="0"/>
              <w:numId w:val="35"/>
            </w:numPr>
            <w:rPr>
              <w:rFonts w:ascii="宋体" w:hAnsi="宋体"/>
            </w:rPr>
          </w:pPr>
          <w:r>
            <w:rPr>
              <w:rFonts w:ascii="宋体" w:hAnsi="宋体" w:hint="eastAsia"/>
            </w:rPr>
            <w:t>其他重要的会计政策和会计估计</w:t>
          </w:r>
        </w:p>
        <w:sdt>
          <w:sdtPr>
            <w:alias w:val="是否适用：其他重要的会计政策和会计估计[双击切换]"/>
            <w:tag w:val="_GBC_b4281f4538de4623a036697d3903e1f8"/>
            <w:id w:val="-2117824366"/>
            <w:lock w:val="sdtContentLocked"/>
            <w:placeholder>
              <w:docPart w:val="GBC22222222222222222222222222222"/>
            </w:placeholder>
          </w:sdtPr>
          <w:sdtEndPr/>
          <w:sdtContent>
            <w:p w14:paraId="65D6F6B8"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其他主要会计政策会计估计和会计报表的编制方法"/>
            <w:tag w:val="_GBC_5cf318d9d3d148c4af010cce77bc955d"/>
            <w:id w:val="936481058"/>
            <w:lock w:val="sdtLocked"/>
            <w:placeholder>
              <w:docPart w:val="GBC22222222222222222222222222222"/>
            </w:placeholder>
          </w:sdtPr>
          <w:sdtEndPr/>
          <w:sdtContent>
            <w:p w14:paraId="02C3E12A" w14:textId="77777777" w:rsidR="00830E72" w:rsidRDefault="008344D8">
              <w:pPr>
                <w:ind w:firstLineChars="200" w:firstLine="420"/>
                <w:rPr>
                  <w:szCs w:val="21"/>
                </w:rPr>
              </w:pPr>
              <w:r>
                <w:rPr>
                  <w:rFonts w:hint="eastAsia"/>
                  <w:szCs w:val="21"/>
                </w:rPr>
                <w:t>安全生产费用</w:t>
              </w:r>
            </w:p>
            <w:p w14:paraId="2FA1C673" w14:textId="77777777" w:rsidR="00830E72" w:rsidRDefault="008344D8">
              <w:pPr>
                <w:ind w:firstLineChars="200" w:firstLine="420"/>
                <w:rPr>
                  <w:szCs w:val="21"/>
                </w:rPr>
              </w:pPr>
              <w:r>
                <w:rPr>
                  <w:rFonts w:hint="eastAsia"/>
                  <w:szCs w:val="21"/>
                </w:rPr>
                <w:t>本公司根据财政部、国家安全生产监督管理总局《关于印发</w:t>
              </w:r>
              <w:r>
                <w:rPr>
                  <w:szCs w:val="21"/>
                </w:rPr>
                <w:t>&lt;企业安全生产费用提取和使用</w:t>
              </w:r>
              <w:r>
                <w:rPr>
                  <w:rFonts w:hint="eastAsia"/>
                  <w:szCs w:val="21"/>
                </w:rPr>
                <w:t>管理办法</w:t>
              </w:r>
              <w:r>
                <w:rPr>
                  <w:szCs w:val="21"/>
                </w:rPr>
                <w:t>&gt;的通知》（财企[2012]16 号）及《企业安全生产费用提取和使用管理办法》的规定计</w:t>
              </w:r>
              <w:r>
                <w:rPr>
                  <w:rFonts w:hint="eastAsia"/>
                  <w:szCs w:val="21"/>
                </w:rPr>
                <w:t>提安全生产费用。</w:t>
              </w:r>
            </w:p>
            <w:p w14:paraId="6C46FA7A" w14:textId="77777777" w:rsidR="00830E72" w:rsidRDefault="008344D8">
              <w:pPr>
                <w:ind w:firstLineChars="200" w:firstLine="420"/>
                <w:rPr>
                  <w:szCs w:val="21"/>
                </w:rPr>
              </w:pPr>
              <w:r>
                <w:rPr>
                  <w:rFonts w:hint="eastAsia"/>
                  <w:szCs w:val="21"/>
                </w:rPr>
                <w:t>安全生产费用及维简费于提取时计入相关产品的成本或当期损益，同时计入“专项储备”科目。提取的安全生产费及维简费按规定范围使用时，属于费用性支出的，直接冲减专项储备；形成固定资产的，先通过“在建工程”科目归集所发生的支出，待安全项目完工达到预定可使用状态时确认为固定资产；同时，按照形成固定资产的成本冲减专项储备，并确认相同金额的累计折旧。该固定资产在以后期间不再计提折旧。</w:t>
              </w:r>
            </w:p>
          </w:sdtContent>
        </w:sdt>
      </w:sdtContent>
    </w:sdt>
    <w:p w14:paraId="7A03FCD9" w14:textId="77777777" w:rsidR="00830E72" w:rsidRDefault="00830E72">
      <w:pPr>
        <w:rPr>
          <w:szCs w:val="21"/>
        </w:rPr>
      </w:pPr>
    </w:p>
    <w:p w14:paraId="06080BA5" w14:textId="77777777" w:rsidR="00830E72" w:rsidRDefault="008344D8">
      <w:pPr>
        <w:pStyle w:val="Style99"/>
        <w:numPr>
          <w:ilvl w:val="0"/>
          <w:numId w:val="35"/>
        </w:numPr>
        <w:rPr>
          <w:rFonts w:ascii="宋体" w:hAnsi="宋体"/>
        </w:rPr>
      </w:pPr>
      <w:r>
        <w:rPr>
          <w:rFonts w:ascii="宋体" w:hAnsi="宋体" w:hint="eastAsia"/>
        </w:rPr>
        <w:t>重要</w:t>
      </w:r>
      <w:r>
        <w:rPr>
          <w:rFonts w:ascii="宋体" w:hAnsi="宋体"/>
        </w:rPr>
        <w:t>会计政策</w:t>
      </w:r>
      <w:r>
        <w:rPr>
          <w:rFonts w:ascii="宋体" w:hAnsi="宋体" w:hint="eastAsia"/>
        </w:rPr>
        <w:t>和</w:t>
      </w:r>
      <w:r>
        <w:rPr>
          <w:rFonts w:ascii="宋体" w:hAnsi="宋体"/>
        </w:rPr>
        <w:t>会计估计的变更</w:t>
      </w:r>
    </w:p>
    <w:p w14:paraId="7DB36153" w14:textId="77777777" w:rsidR="00830E72" w:rsidRDefault="008344D8">
      <w:pPr>
        <w:pStyle w:val="Style100"/>
        <w:numPr>
          <w:ilvl w:val="3"/>
          <w:numId w:val="43"/>
        </w:numPr>
        <w:ind w:left="426" w:hanging="426"/>
        <w:rPr>
          <w:rFonts w:ascii="宋体" w:hAnsi="宋体"/>
        </w:rPr>
      </w:pPr>
      <w:r>
        <w:rPr>
          <w:rFonts w:ascii="宋体" w:hAnsi="宋体" w:hint="eastAsia"/>
        </w:rPr>
        <w:t>重要</w:t>
      </w:r>
      <w:r>
        <w:rPr>
          <w:rFonts w:ascii="宋体" w:hAnsi="宋体"/>
        </w:rPr>
        <w:t>会计政策变更</w:t>
      </w:r>
    </w:p>
    <w:sdt>
      <w:sdtPr>
        <w:rPr>
          <w:rFonts w:cs="Times New Roman"/>
          <w:kern w:val="2"/>
          <w:szCs w:val="21"/>
        </w:rPr>
        <w:alias w:val="是否适用：重要会计政策变更[双击切换]"/>
        <w:tag w:val="_GBC_f1ebc580f60c4d30a80747190ffbec4f"/>
        <w:id w:val="-1165544441"/>
        <w:lock w:val="sdtContentLocked"/>
        <w:placeholder>
          <w:docPart w:val="GBC22222222222222222222222222222"/>
        </w:placeholder>
      </w:sdtPr>
      <w:sdtEndPr/>
      <w:sdtContent>
        <w:p w14:paraId="65A9A9AE"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theme="minorBidi" w:hint="eastAsia"/>
          <w:kern w:val="2"/>
          <w:szCs w:val="21"/>
        </w:rPr>
        <w:alias w:val="模块:会计政策变更"/>
        <w:tag w:val="_GBC_0e06dc657bb8435eb065c6bd60685496"/>
        <w:id w:val="1313133812"/>
        <w:lock w:val="sdtLocked"/>
        <w:placeholder>
          <w:docPart w:val="GBC22222222222222222222222222222"/>
        </w:placeholder>
      </w:sdtPr>
      <w:sdtEndPr>
        <w:rPr>
          <w:rFonts w:cs="Times New Roman"/>
        </w:rPr>
      </w:sdtEndPr>
      <w:sdtContent>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8"/>
            <w:gridCol w:w="2279"/>
          </w:tblGrid>
          <w:tr w:rsidR="00830E72" w14:paraId="0749DA65" w14:textId="77777777">
            <w:sdt>
              <w:sdtPr>
                <w:rPr>
                  <w:rFonts w:cstheme="minorBidi" w:hint="eastAsia"/>
                  <w:kern w:val="2"/>
                  <w:szCs w:val="21"/>
                </w:rPr>
                <w:tag w:val="_PLD_daa059e86d644c38a64c2363d44d41a6"/>
                <w:id w:val="358470120"/>
                <w:lock w:val="sdtLocked"/>
              </w:sdtPr>
              <w:sdtEndPr>
                <w:rPr>
                  <w:rFonts w:cs="宋体" w:hint="default"/>
                  <w:kern w:val="0"/>
                  <w:szCs w:val="24"/>
                </w:rPr>
              </w:sdtEndPr>
              <w:sdtContent>
                <w:tc>
                  <w:tcPr>
                    <w:tcW w:w="2018" w:type="pct"/>
                    <w:vAlign w:val="center"/>
                  </w:tcPr>
                  <w:p w14:paraId="38DF7438" w14:textId="77777777" w:rsidR="00830E72" w:rsidRDefault="008344D8">
                    <w:pPr>
                      <w:jc w:val="center"/>
                      <w:rPr>
                        <w:szCs w:val="21"/>
                      </w:rPr>
                    </w:pPr>
                    <w:r>
                      <w:rPr>
                        <w:rFonts w:hint="eastAsia"/>
                        <w:szCs w:val="21"/>
                      </w:rPr>
                      <w:t>会计政策变更的内容和原因</w:t>
                    </w:r>
                  </w:p>
                </w:tc>
              </w:sdtContent>
            </w:sdt>
            <w:sdt>
              <w:sdtPr>
                <w:tag w:val="_PLD_1a94328f786e442083b01d246c327f25"/>
                <w:id w:val="-2133089910"/>
                <w:lock w:val="sdtLocked"/>
              </w:sdtPr>
              <w:sdtEndPr/>
              <w:sdtContent>
                <w:tc>
                  <w:tcPr>
                    <w:tcW w:w="1723" w:type="pct"/>
                    <w:vAlign w:val="center"/>
                  </w:tcPr>
                  <w:p w14:paraId="6F7A536B" w14:textId="77777777" w:rsidR="00830E72" w:rsidRDefault="008344D8">
                    <w:pPr>
                      <w:jc w:val="center"/>
                      <w:rPr>
                        <w:szCs w:val="21"/>
                      </w:rPr>
                    </w:pPr>
                    <w:r>
                      <w:rPr>
                        <w:szCs w:val="21"/>
                      </w:rPr>
                      <w:t>审批程序</w:t>
                    </w:r>
                  </w:p>
                </w:tc>
              </w:sdtContent>
            </w:sdt>
            <w:sdt>
              <w:sdtPr>
                <w:tag w:val="_PLD_de432e748e8c4df0b4c141bfafe34ee9"/>
                <w:id w:val="1226260355"/>
                <w:lock w:val="sdtLocked"/>
              </w:sdtPr>
              <w:sdtEndPr/>
              <w:sdtContent>
                <w:tc>
                  <w:tcPr>
                    <w:tcW w:w="1259" w:type="pct"/>
                    <w:vAlign w:val="center"/>
                  </w:tcPr>
                  <w:p w14:paraId="42DF3039" w14:textId="77777777" w:rsidR="00830E72" w:rsidRDefault="008344D8">
                    <w:pPr>
                      <w:jc w:val="center"/>
                      <w:rPr>
                        <w:szCs w:val="21"/>
                      </w:rPr>
                    </w:pPr>
                    <w:r>
                      <w:rPr>
                        <w:rFonts w:hint="eastAsia"/>
                        <w:szCs w:val="21"/>
                      </w:rPr>
                      <w:t>备注</w:t>
                    </w:r>
                    <w:r>
                      <w:rPr>
                        <w:szCs w:val="21"/>
                      </w:rPr>
                      <w:t>(受重要影响的报表项目名称和金额)</w:t>
                    </w:r>
                  </w:p>
                </w:tc>
              </w:sdtContent>
            </w:sdt>
          </w:tr>
          <w:sdt>
            <w:sdtPr>
              <w:rPr>
                <w:rFonts w:cstheme="minorBidi" w:hint="eastAsia"/>
                <w:kern w:val="2"/>
                <w:szCs w:val="21"/>
              </w:rPr>
              <w:alias w:val="会计政策的变更"/>
              <w:tag w:val="_GBC_3ee3045c350e4d52ab819ea497aaf2f3"/>
              <w:id w:val="1481113221"/>
              <w:placeholder>
                <w:docPart w:val="GBC11111111111111111111111111111"/>
              </w:placeholder>
            </w:sdtPr>
            <w:sdtEndPr/>
            <w:sdtContent>
              <w:tr w:rsidR="00830E72" w14:paraId="44A0C7ED" w14:textId="77777777">
                <w:tc>
                  <w:tcPr>
                    <w:tcW w:w="2018" w:type="pct"/>
                    <w:vAlign w:val="center"/>
                  </w:tcPr>
                  <w:p w14:paraId="374C0672" w14:textId="77777777" w:rsidR="00830E72" w:rsidRDefault="008344D8">
                    <w:r>
                      <w:rPr>
                        <w:rFonts w:hint="eastAsia"/>
                      </w:rPr>
                      <w:t>财政部于</w:t>
                    </w:r>
                    <w:r>
                      <w:t xml:space="preserve"> 2018 年 12 月颁布了《企业会</w:t>
                    </w:r>
                    <w:r>
                      <w:rPr>
                        <w:rFonts w:hint="eastAsia"/>
                      </w:rPr>
                      <w:t>计准则第</w:t>
                    </w:r>
                    <w:r>
                      <w:t xml:space="preserve"> 21 号——租赁（修订）》（以下</w:t>
                    </w:r>
                    <w:r>
                      <w:rPr>
                        <w:rFonts w:hint="eastAsia"/>
                      </w:rPr>
                      <w:t>简称“新租赁准则”）</w:t>
                    </w:r>
                  </w:p>
                </w:tc>
                <w:tc>
                  <w:tcPr>
                    <w:tcW w:w="1723" w:type="pct"/>
                    <w:vAlign w:val="center"/>
                  </w:tcPr>
                  <w:p w14:paraId="7AA00E44" w14:textId="77777777" w:rsidR="00830E72" w:rsidRDefault="008344D8">
                    <w:pPr>
                      <w:rPr>
                        <w:szCs w:val="21"/>
                      </w:rPr>
                    </w:pPr>
                    <w:r>
                      <w:rPr>
                        <w:szCs w:val="21"/>
                      </w:rPr>
                      <w:t>2021年内4月16日召开第二届董事会第十三次会议审议通过</w:t>
                    </w:r>
                  </w:p>
                </w:tc>
                <w:tc>
                  <w:tcPr>
                    <w:tcW w:w="1259" w:type="pct"/>
                    <w:vAlign w:val="center"/>
                  </w:tcPr>
                  <w:p w14:paraId="69503226" w14:textId="77777777" w:rsidR="00830E72" w:rsidRDefault="008344D8">
                    <w:pPr>
                      <w:jc w:val="center"/>
                      <w:rPr>
                        <w:szCs w:val="21"/>
                      </w:rPr>
                    </w:pPr>
                    <w:r>
                      <w:rPr>
                        <w:rFonts w:hint="eastAsia"/>
                        <w:szCs w:val="21"/>
                      </w:rPr>
                      <w:t>见“其他说明”</w:t>
                    </w:r>
                    <w:r>
                      <w:rPr>
                        <w:rFonts w:cstheme="minorBidi" w:hint="eastAsia"/>
                        <w:kern w:val="2"/>
                        <w:szCs w:val="21"/>
                      </w:rPr>
                      <w:t xml:space="preserve"> </w:t>
                    </w:r>
                  </w:p>
                </w:tc>
              </w:tr>
            </w:sdtContent>
          </w:sdt>
        </w:tbl>
        <w:p w14:paraId="6722AD0E" w14:textId="77777777" w:rsidR="00830E72" w:rsidRDefault="008344D8">
          <w:pPr>
            <w:rPr>
              <w:szCs w:val="21"/>
            </w:rPr>
          </w:pPr>
          <w:r>
            <w:rPr>
              <w:rFonts w:hint="eastAsia"/>
              <w:szCs w:val="21"/>
            </w:rPr>
            <w:t>其他说明：</w:t>
          </w:r>
        </w:p>
        <w:sdt>
          <w:sdtPr>
            <w:rPr>
              <w:szCs w:val="21"/>
            </w:rPr>
            <w:alias w:val="会计政策的变更的其他说明"/>
            <w:tag w:val="_GBC_93e2fc5a38cb45958eae783eee8d98c3"/>
            <w:id w:val="-1400591737"/>
            <w:lock w:val="sdtLocked"/>
            <w:placeholder>
              <w:docPart w:val="GBC22222222222222222222222222222"/>
            </w:placeholder>
          </w:sdtPr>
          <w:sdtEndPr/>
          <w:sdtContent>
            <w:p w14:paraId="3855E9BF" w14:textId="77777777" w:rsidR="00830E72" w:rsidRDefault="008344D8">
              <w:pPr>
                <w:ind w:firstLineChars="200" w:firstLine="420"/>
                <w:rPr>
                  <w:szCs w:val="21"/>
                </w:rPr>
              </w:pPr>
              <w:r>
                <w:rPr>
                  <w:rFonts w:hint="eastAsia"/>
                  <w:szCs w:val="21"/>
                </w:rPr>
                <w:t>财政部于</w:t>
              </w:r>
              <w:r>
                <w:rPr>
                  <w:szCs w:val="21"/>
                </w:rPr>
                <w:t>2018年颁布了《企业会计准则第21号——租赁（修订）》，要求其他执行企业会计准则编制财务报表的企业，自2021年1月1日起施行。本公司自2021年1月1日起执行新租赁准则，对会计政策相关内容进行了调整。变更后的会计政策详见“第十节财务报告”之“五、重要会计政策及会计估计”之“28、使用权资产和42、租赁”。</w:t>
              </w:r>
            </w:p>
          </w:sdtContent>
        </w:sdt>
      </w:sdtContent>
    </w:sdt>
    <w:p w14:paraId="52F5214C" w14:textId="77777777" w:rsidR="00830E72" w:rsidRDefault="00830E72">
      <w:pPr>
        <w:rPr>
          <w:szCs w:val="21"/>
        </w:rPr>
      </w:pPr>
    </w:p>
    <w:p w14:paraId="210B4371" w14:textId="77777777" w:rsidR="00830E72" w:rsidRDefault="008344D8">
      <w:pPr>
        <w:pStyle w:val="Style100"/>
        <w:numPr>
          <w:ilvl w:val="3"/>
          <w:numId w:val="43"/>
        </w:numPr>
        <w:ind w:left="426" w:hanging="426"/>
        <w:rPr>
          <w:rFonts w:ascii="宋体" w:hAnsi="宋体"/>
        </w:rPr>
      </w:pPr>
      <w:r>
        <w:rPr>
          <w:rFonts w:ascii="宋体" w:hAnsi="宋体" w:hint="eastAsia"/>
        </w:rPr>
        <w:lastRenderedPageBreak/>
        <w:t>重要</w:t>
      </w:r>
      <w:r>
        <w:rPr>
          <w:rFonts w:ascii="宋体" w:hAnsi="宋体"/>
        </w:rPr>
        <w:t>会计估计变更</w:t>
      </w:r>
    </w:p>
    <w:sdt>
      <w:sdtPr>
        <w:alias w:val="是否适用：重要会计估计变更[双击切换]"/>
        <w:tag w:val="_GBC_902f08bd36774074945386d2d1f9b67d"/>
        <w:id w:val="-279489477"/>
        <w:lock w:val="sdtContentLocked"/>
        <w:placeholder>
          <w:docPart w:val="GBC22222222222222222222222222222"/>
        </w:placeholder>
      </w:sdtPr>
      <w:sdtEndPr/>
      <w:sdtContent>
        <w:p w14:paraId="48270FEE"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D9AFB0C" w14:textId="77777777" w:rsidR="00830E72" w:rsidRDefault="00830E72">
      <w:pPr>
        <w:rPr>
          <w:szCs w:val="21"/>
        </w:rPr>
      </w:pPr>
    </w:p>
    <w:bookmarkStart w:id="89" w:name="_Hlk10465969" w:displacedByCustomXml="next"/>
    <w:sdt>
      <w:sdtPr>
        <w:rPr>
          <w:rFonts w:ascii="宋体" w:hAnsi="宋体" w:cs="宋体" w:hint="eastAsia"/>
          <w:b w:val="0"/>
          <w:bCs w:val="0"/>
          <w:kern w:val="0"/>
          <w:szCs w:val="21"/>
        </w:rPr>
        <w:alias w:val="选项模块:首次执行新金融工具准则、新收入准则、新租赁准则调整首次执行当..."/>
        <w:tag w:val="_SEC_e1c98e5fd61d48c4bc25ea1a7cf45164"/>
        <w:id w:val="-1852559621"/>
        <w:lock w:val="sdtLocked"/>
        <w:placeholder>
          <w:docPart w:val="GBC22222222222222222222222222222"/>
        </w:placeholder>
      </w:sdtPr>
      <w:sdtEndPr>
        <w:rPr>
          <w:rFonts w:hint="default"/>
        </w:rPr>
      </w:sdtEndPr>
      <w:sdtContent>
        <w:p w14:paraId="5D9DD02D" w14:textId="77777777" w:rsidR="00830E72" w:rsidRDefault="008344D8">
          <w:pPr>
            <w:pStyle w:val="Style100"/>
            <w:numPr>
              <w:ilvl w:val="3"/>
              <w:numId w:val="43"/>
            </w:numPr>
            <w:ind w:left="426" w:hanging="426"/>
            <w:rPr>
              <w:rFonts w:ascii="宋体" w:hAnsi="宋体"/>
              <w:szCs w:val="21"/>
            </w:rPr>
          </w:pPr>
          <w:r>
            <w:rPr>
              <w:rFonts w:ascii="宋体" w:hAnsi="宋体" w:hint="eastAsia"/>
              <w:szCs w:val="21"/>
            </w:rPr>
            <w:t>2021年</w:t>
          </w:r>
          <w:r>
            <w:rPr>
              <w:rFonts w:ascii="宋体" w:hAnsi="宋体" w:hint="eastAsia"/>
            </w:rPr>
            <w:t>起首次执行新租赁准则调整首次执行当年年初财务报表相关情</w:t>
          </w:r>
          <w:r>
            <w:rPr>
              <w:rFonts w:ascii="宋体" w:hAnsi="宋体"/>
            </w:rPr>
            <w:t>况</w:t>
          </w:r>
        </w:p>
        <w:sdt>
          <w:sdtPr>
            <w:rPr>
              <w:rFonts w:hint="eastAsia"/>
            </w:rPr>
            <w:alias w:val="是否适用：首次执行新金融工具准则或新收入准则调整首次执行当年年初财务报表相关项目情况[双击切换]"/>
            <w:tag w:val="_GBC_5ea888705f7c4c0f98e8769d2197c0de"/>
            <w:id w:val="1766960816"/>
            <w:lock w:val="sdtContentLocked"/>
            <w:placeholder>
              <w:docPart w:val="GBC22222222222222222222222222222"/>
            </w:placeholder>
          </w:sdtPr>
          <w:sdtEndPr/>
          <w:sdtContent>
            <w:p w14:paraId="0A483FDE"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tag w:val="_SEC_41a4f1020a3c418c935a7cb510dee401"/>
            <w:id w:val="-1953245692"/>
            <w:lock w:val="sdtLocked"/>
            <w:placeholder>
              <w:docPart w:val="GBC22222222222222222222222222222"/>
            </w:placeholder>
          </w:sdtPr>
          <w:sdtEndPr>
            <w:rPr>
              <w:rFonts w:hint="default"/>
              <w:b/>
              <w:bCs/>
              <w:color w:val="008000"/>
              <w:szCs w:val="21"/>
              <w:u w:val="single"/>
            </w:rPr>
          </w:sdtEndPr>
          <w:sdtContent>
            <w:p w14:paraId="10C6E23F" w14:textId="77777777" w:rsidR="00830E72" w:rsidRDefault="008344D8">
              <w:pPr>
                <w:jc w:val="center"/>
              </w:pPr>
              <w:r>
                <w:rPr>
                  <w:rFonts w:hint="eastAsia"/>
                </w:rPr>
                <w:t>合并资产负债表</w:t>
              </w:r>
            </w:p>
            <w:p w14:paraId="38E24003" w14:textId="77777777" w:rsidR="00830E72" w:rsidRDefault="008344D8">
              <w:pPr>
                <w:jc w:val="right"/>
                <w:rPr>
                  <w:szCs w:val="21"/>
                </w:rPr>
              </w:pPr>
              <w:r>
                <w:rPr>
                  <w:szCs w:val="21"/>
                </w:rPr>
                <w:t>单位：</w:t>
              </w:r>
              <w:sdt>
                <w:sdtPr>
                  <w:rPr>
                    <w:szCs w:val="21"/>
                  </w:rPr>
                  <w:alias w:val="单位：合并资产负债表"/>
                  <w:tag w:val="_GBC_d28e3b675fc048afb747681dc6d939c2"/>
                  <w:id w:val="-73697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合并资产负债表"/>
                  <w:tag w:val="_GBC_e3316f7d89b24ba1bb4a783fd180bf77"/>
                  <w:id w:val="5625302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1"/>
                <w:tblW w:w="4994"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54"/>
                <w:gridCol w:w="2012"/>
                <w:gridCol w:w="1896"/>
                <w:gridCol w:w="2076"/>
              </w:tblGrid>
              <w:tr w:rsidR="00830E72" w14:paraId="659BBD0B" w14:textId="77777777">
                <w:sdt>
                  <w:sdtPr>
                    <w:rPr>
                      <w:b/>
                    </w:rPr>
                    <w:tag w:val="_PLD_f722f6dfc20745adb2d46c44c80bfac1"/>
                    <w:id w:val="1393224839"/>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5ABE849C" w14:textId="77777777" w:rsidR="00830E72" w:rsidRDefault="008344D8">
                        <w:pPr>
                          <w:jc w:val="center"/>
                          <w:rPr>
                            <w:b/>
                            <w:szCs w:val="21"/>
                          </w:rPr>
                        </w:pPr>
                        <w:r>
                          <w:rPr>
                            <w:b/>
                            <w:szCs w:val="21"/>
                          </w:rPr>
                          <w:t>项目</w:t>
                        </w:r>
                      </w:p>
                    </w:tc>
                  </w:sdtContent>
                </w:sdt>
                <w:sdt>
                  <w:sdtPr>
                    <w:rPr>
                      <w:b/>
                    </w:rPr>
                    <w:tag w:val="_PLD_f4bb71216cbe4aa2b7c307a16214d769"/>
                    <w:id w:val="1078023093"/>
                    <w:lock w:val="sdtLocked"/>
                  </w:sdtPr>
                  <w:sdtEndPr/>
                  <w:sdtContent>
                    <w:tc>
                      <w:tcPr>
                        <w:tcW w:w="1131" w:type="pct"/>
                        <w:tcBorders>
                          <w:top w:val="outset" w:sz="4" w:space="0" w:color="auto"/>
                          <w:left w:val="outset" w:sz="4" w:space="0" w:color="auto"/>
                          <w:bottom w:val="outset" w:sz="4" w:space="0" w:color="auto"/>
                          <w:right w:val="outset" w:sz="4" w:space="0" w:color="auto"/>
                        </w:tcBorders>
                        <w:vAlign w:val="center"/>
                      </w:tcPr>
                      <w:p w14:paraId="59F2467D" w14:textId="77777777" w:rsidR="00830E72" w:rsidRDefault="008344D8">
                        <w:pPr>
                          <w:jc w:val="center"/>
                          <w:rPr>
                            <w:b/>
                            <w:szCs w:val="21"/>
                          </w:rPr>
                        </w:pPr>
                        <w:r>
                          <w:rPr>
                            <w:rFonts w:hint="eastAsia"/>
                            <w:b/>
                          </w:rPr>
                          <w:t>2020年12月31日</w:t>
                        </w:r>
                      </w:p>
                    </w:tc>
                  </w:sdtContent>
                </w:sdt>
                <w:sdt>
                  <w:sdtPr>
                    <w:rPr>
                      <w:b/>
                    </w:rPr>
                    <w:tag w:val="_PLD_117c3036ee174d36950551d0e65ed7fe"/>
                    <w:id w:val="1950356866"/>
                    <w:lock w:val="sdtLocked"/>
                  </w:sdtPr>
                  <w:sdtEndPr/>
                  <w:sdtContent>
                    <w:tc>
                      <w:tcPr>
                        <w:tcW w:w="996" w:type="pct"/>
                        <w:tcBorders>
                          <w:top w:val="outset" w:sz="4" w:space="0" w:color="auto"/>
                          <w:left w:val="outset" w:sz="4" w:space="0" w:color="auto"/>
                          <w:bottom w:val="outset" w:sz="4" w:space="0" w:color="auto"/>
                          <w:right w:val="outset" w:sz="4" w:space="0" w:color="auto"/>
                        </w:tcBorders>
                        <w:vAlign w:val="center"/>
                      </w:tcPr>
                      <w:p w14:paraId="3E86FFE1" w14:textId="77777777" w:rsidR="00830E72" w:rsidRDefault="008344D8">
                        <w:pPr>
                          <w:jc w:val="center"/>
                          <w:rPr>
                            <w:b/>
                            <w:szCs w:val="21"/>
                          </w:rPr>
                        </w:pPr>
                        <w:r>
                          <w:rPr>
                            <w:rFonts w:hint="eastAsia"/>
                            <w:b/>
                          </w:rPr>
                          <w:t>2021年1月1日</w:t>
                        </w:r>
                      </w:p>
                    </w:tc>
                  </w:sdtContent>
                </w:sdt>
                <w:sdt>
                  <w:sdtPr>
                    <w:tag w:val="_PLD_81596488beb14108bcc1a644f7064c86"/>
                    <w:id w:val="2030837026"/>
                    <w:lock w:val="sdtLocked"/>
                  </w:sdtPr>
                  <w:sdtEndPr/>
                  <w:sdtContent>
                    <w:tc>
                      <w:tcPr>
                        <w:tcW w:w="1166" w:type="pct"/>
                        <w:tcBorders>
                          <w:top w:val="outset" w:sz="4" w:space="0" w:color="auto"/>
                          <w:left w:val="outset" w:sz="4" w:space="0" w:color="auto"/>
                          <w:bottom w:val="outset" w:sz="4" w:space="0" w:color="auto"/>
                          <w:right w:val="outset" w:sz="4" w:space="0" w:color="auto"/>
                        </w:tcBorders>
                        <w:vAlign w:val="center"/>
                      </w:tcPr>
                      <w:p w14:paraId="5C1325BD" w14:textId="77777777" w:rsidR="00830E72" w:rsidRDefault="008344D8">
                        <w:pPr>
                          <w:jc w:val="center"/>
                          <w:rPr>
                            <w:b/>
                          </w:rPr>
                        </w:pPr>
                        <w:r>
                          <w:rPr>
                            <w:rFonts w:hint="eastAsia"/>
                            <w:b/>
                          </w:rPr>
                          <w:t>调整数</w:t>
                        </w:r>
                      </w:p>
                    </w:tc>
                  </w:sdtContent>
                </w:sdt>
              </w:tr>
              <w:tr w:rsidR="00830E72" w14:paraId="5342CC1E" w14:textId="77777777">
                <w:sdt>
                  <w:sdtPr>
                    <w:tag w:val="_PLD_56fc53346a344cb18c42cf14da6a0ab8"/>
                    <w:id w:val="498310116"/>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22B032BA" w14:textId="77777777" w:rsidR="00830E72" w:rsidRDefault="008344D8">
                        <w:pPr>
                          <w:rPr>
                            <w:b/>
                          </w:rPr>
                        </w:pPr>
                        <w:r>
                          <w:rPr>
                            <w:rFonts w:hint="eastAsia"/>
                            <w:b/>
                          </w:rPr>
                          <w:t>流动</w:t>
                        </w:r>
                        <w:r>
                          <w:rPr>
                            <w:b/>
                          </w:rPr>
                          <w:t>资产：</w:t>
                        </w:r>
                      </w:p>
                    </w:tc>
                  </w:sdtContent>
                </w:sdt>
                <w:tc>
                  <w:tcPr>
                    <w:tcW w:w="1131" w:type="pct"/>
                    <w:tcBorders>
                      <w:top w:val="outset" w:sz="4" w:space="0" w:color="auto"/>
                      <w:left w:val="outset" w:sz="4" w:space="0" w:color="auto"/>
                      <w:bottom w:val="outset" w:sz="4" w:space="0" w:color="auto"/>
                      <w:right w:val="outset" w:sz="4" w:space="0" w:color="auto"/>
                    </w:tcBorders>
                    <w:vAlign w:val="center"/>
                  </w:tcPr>
                  <w:p w14:paraId="5C96DA57" w14:textId="77777777" w:rsidR="00830E72" w:rsidRDefault="00830E72">
                    <w:pPr>
                      <w:jc w:val="center"/>
                      <w:rPr>
                        <w:b/>
                      </w:rPr>
                    </w:pPr>
                  </w:p>
                </w:tc>
                <w:tc>
                  <w:tcPr>
                    <w:tcW w:w="996" w:type="pct"/>
                    <w:tcBorders>
                      <w:top w:val="outset" w:sz="4" w:space="0" w:color="auto"/>
                      <w:left w:val="outset" w:sz="4" w:space="0" w:color="auto"/>
                      <w:bottom w:val="outset" w:sz="4" w:space="0" w:color="auto"/>
                      <w:right w:val="outset" w:sz="4" w:space="0" w:color="auto"/>
                    </w:tcBorders>
                    <w:vAlign w:val="center"/>
                  </w:tcPr>
                  <w:p w14:paraId="22433478" w14:textId="77777777" w:rsidR="00830E72" w:rsidRDefault="00830E72">
                    <w:pPr>
                      <w:jc w:val="center"/>
                      <w:rPr>
                        <w:b/>
                      </w:rPr>
                    </w:pPr>
                  </w:p>
                </w:tc>
                <w:tc>
                  <w:tcPr>
                    <w:tcW w:w="1166" w:type="pct"/>
                    <w:tcBorders>
                      <w:top w:val="outset" w:sz="4" w:space="0" w:color="auto"/>
                      <w:left w:val="outset" w:sz="4" w:space="0" w:color="auto"/>
                      <w:bottom w:val="outset" w:sz="4" w:space="0" w:color="auto"/>
                      <w:right w:val="outset" w:sz="4" w:space="0" w:color="auto"/>
                    </w:tcBorders>
                  </w:tcPr>
                  <w:p w14:paraId="0740928C" w14:textId="77777777" w:rsidR="00830E72" w:rsidRDefault="00830E72">
                    <w:pPr>
                      <w:jc w:val="center"/>
                      <w:rPr>
                        <w:b/>
                      </w:rPr>
                    </w:pPr>
                  </w:p>
                </w:tc>
              </w:tr>
              <w:tr w:rsidR="00830E72" w14:paraId="3B68C3FF" w14:textId="77777777">
                <w:sdt>
                  <w:sdtPr>
                    <w:tag w:val="_PLD_4275c997fab34b31bdc237110f7ac4b5"/>
                    <w:id w:val="-860363743"/>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449D6AC6" w14:textId="77777777" w:rsidR="00830E72" w:rsidRDefault="008344D8">
                        <w:pPr>
                          <w:ind w:firstLineChars="100" w:firstLine="210"/>
                          <w:rPr>
                            <w:szCs w:val="21"/>
                          </w:rPr>
                        </w:pPr>
                        <w:r>
                          <w:rPr>
                            <w:rFonts w:hint="eastAsia"/>
                            <w:szCs w:val="21"/>
                          </w:rPr>
                          <w:t>货币资金</w:t>
                        </w:r>
                      </w:p>
                    </w:tc>
                  </w:sdtContent>
                </w:sdt>
                <w:tc>
                  <w:tcPr>
                    <w:tcW w:w="1131" w:type="pct"/>
                    <w:tcBorders>
                      <w:top w:val="outset" w:sz="4" w:space="0" w:color="auto"/>
                      <w:left w:val="outset" w:sz="4" w:space="0" w:color="auto"/>
                      <w:bottom w:val="outset" w:sz="4" w:space="0" w:color="auto"/>
                      <w:right w:val="outset" w:sz="4" w:space="0" w:color="auto"/>
                    </w:tcBorders>
                  </w:tcPr>
                  <w:p w14:paraId="6615F988" w14:textId="77777777" w:rsidR="00830E72" w:rsidRDefault="008344D8">
                    <w:pPr>
                      <w:jc w:val="right"/>
                      <w:rPr>
                        <w:szCs w:val="21"/>
                      </w:rPr>
                    </w:pPr>
                    <w:r>
                      <w:rPr>
                        <w:szCs w:val="21"/>
                      </w:rPr>
                      <w:t>799,237,358.79</w:t>
                    </w:r>
                  </w:p>
                </w:tc>
                <w:tc>
                  <w:tcPr>
                    <w:tcW w:w="996" w:type="pct"/>
                    <w:tcBorders>
                      <w:top w:val="outset" w:sz="4" w:space="0" w:color="auto"/>
                      <w:left w:val="outset" w:sz="4" w:space="0" w:color="auto"/>
                      <w:bottom w:val="outset" w:sz="4" w:space="0" w:color="auto"/>
                      <w:right w:val="outset" w:sz="4" w:space="0" w:color="auto"/>
                    </w:tcBorders>
                  </w:tcPr>
                  <w:p w14:paraId="7412BACF" w14:textId="77777777" w:rsidR="00830E72" w:rsidRDefault="008344D8">
                    <w:pPr>
                      <w:jc w:val="right"/>
                      <w:rPr>
                        <w:szCs w:val="21"/>
                      </w:rPr>
                    </w:pPr>
                    <w:r>
                      <w:t>799,237,358.79</w:t>
                    </w:r>
                  </w:p>
                </w:tc>
                <w:tc>
                  <w:tcPr>
                    <w:tcW w:w="1166" w:type="pct"/>
                    <w:tcBorders>
                      <w:top w:val="outset" w:sz="4" w:space="0" w:color="auto"/>
                      <w:left w:val="outset" w:sz="4" w:space="0" w:color="auto"/>
                      <w:bottom w:val="outset" w:sz="4" w:space="0" w:color="auto"/>
                      <w:right w:val="outset" w:sz="4" w:space="0" w:color="auto"/>
                    </w:tcBorders>
                  </w:tcPr>
                  <w:p w14:paraId="0D958054" w14:textId="77777777" w:rsidR="00830E72" w:rsidRDefault="00830E72">
                    <w:pPr>
                      <w:jc w:val="right"/>
                      <w:rPr>
                        <w:szCs w:val="21"/>
                      </w:rPr>
                    </w:pPr>
                  </w:p>
                </w:tc>
              </w:tr>
              <w:tr w:rsidR="00830E72" w14:paraId="7A6494A2" w14:textId="77777777">
                <w:sdt>
                  <w:sdtPr>
                    <w:tag w:val="_PLD_cfb3ce8aaf844f20bade494f8de16d9c"/>
                    <w:id w:val="552278907"/>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3D33F14B" w14:textId="77777777" w:rsidR="00830E72" w:rsidRDefault="008344D8">
                        <w:pPr>
                          <w:ind w:firstLineChars="100" w:firstLine="210"/>
                          <w:rPr>
                            <w:szCs w:val="21"/>
                          </w:rPr>
                        </w:pPr>
                        <w:r>
                          <w:rPr>
                            <w:rFonts w:hint="eastAsia"/>
                            <w:szCs w:val="21"/>
                          </w:rPr>
                          <w:t>结算备付金</w:t>
                        </w:r>
                      </w:p>
                    </w:tc>
                  </w:sdtContent>
                </w:sdt>
                <w:tc>
                  <w:tcPr>
                    <w:tcW w:w="1131" w:type="pct"/>
                    <w:tcBorders>
                      <w:top w:val="outset" w:sz="4" w:space="0" w:color="auto"/>
                      <w:left w:val="outset" w:sz="4" w:space="0" w:color="auto"/>
                      <w:bottom w:val="outset" w:sz="4" w:space="0" w:color="auto"/>
                      <w:right w:val="outset" w:sz="4" w:space="0" w:color="auto"/>
                    </w:tcBorders>
                  </w:tcPr>
                  <w:p w14:paraId="0CBC940E"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39888D57"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6A31B8C" w14:textId="77777777" w:rsidR="00830E72" w:rsidRDefault="00830E72">
                    <w:pPr>
                      <w:jc w:val="right"/>
                      <w:rPr>
                        <w:szCs w:val="21"/>
                      </w:rPr>
                    </w:pPr>
                  </w:p>
                </w:tc>
              </w:tr>
              <w:tr w:rsidR="00830E72" w14:paraId="64B1279E" w14:textId="77777777">
                <w:sdt>
                  <w:sdtPr>
                    <w:tag w:val="_PLD_73f305bc0dad42a48574344b88169c52"/>
                    <w:id w:val="1473331099"/>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7FA715B1" w14:textId="77777777" w:rsidR="00830E72" w:rsidRDefault="008344D8">
                        <w:pPr>
                          <w:ind w:firstLineChars="100" w:firstLine="210"/>
                          <w:rPr>
                            <w:szCs w:val="21"/>
                          </w:rPr>
                        </w:pPr>
                        <w:r>
                          <w:rPr>
                            <w:rFonts w:hint="eastAsia"/>
                            <w:szCs w:val="21"/>
                          </w:rPr>
                          <w:t>拆出资金</w:t>
                        </w:r>
                      </w:p>
                    </w:tc>
                  </w:sdtContent>
                </w:sdt>
                <w:tc>
                  <w:tcPr>
                    <w:tcW w:w="1131" w:type="pct"/>
                    <w:tcBorders>
                      <w:top w:val="outset" w:sz="4" w:space="0" w:color="auto"/>
                      <w:left w:val="outset" w:sz="4" w:space="0" w:color="auto"/>
                      <w:bottom w:val="outset" w:sz="4" w:space="0" w:color="auto"/>
                      <w:right w:val="outset" w:sz="4" w:space="0" w:color="auto"/>
                    </w:tcBorders>
                  </w:tcPr>
                  <w:p w14:paraId="47F81778"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13A92D4A"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5C3B296D" w14:textId="77777777" w:rsidR="00830E72" w:rsidRDefault="00830E72">
                    <w:pPr>
                      <w:jc w:val="right"/>
                      <w:rPr>
                        <w:szCs w:val="21"/>
                      </w:rPr>
                    </w:pPr>
                  </w:p>
                </w:tc>
              </w:tr>
              <w:tr w:rsidR="00830E72" w14:paraId="48F772A2" w14:textId="77777777">
                <w:tc>
                  <w:tcPr>
                    <w:tcW w:w="170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9406744239a488ea72665c240337f9e"/>
                      <w:id w:val="-1154299421"/>
                      <w:lock w:val="sdtLocked"/>
                    </w:sdtPr>
                    <w:sdtEndPr/>
                    <w:sdtContent>
                      <w:p w14:paraId="7B49BD40" w14:textId="77777777" w:rsidR="00830E72" w:rsidRDefault="008344D8">
                        <w:pPr>
                          <w:ind w:firstLineChars="100" w:firstLine="210"/>
                        </w:pPr>
                        <w:r>
                          <w:rPr>
                            <w:rFonts w:hint="eastAsia"/>
                          </w:rPr>
                          <w:t>交易性金融资产</w:t>
                        </w:r>
                      </w:p>
                    </w:sdtContent>
                  </w:sdt>
                </w:tc>
                <w:tc>
                  <w:tcPr>
                    <w:tcW w:w="1131" w:type="pct"/>
                    <w:tcBorders>
                      <w:top w:val="outset" w:sz="4" w:space="0" w:color="auto"/>
                      <w:left w:val="outset" w:sz="4" w:space="0" w:color="auto"/>
                      <w:bottom w:val="outset" w:sz="4" w:space="0" w:color="auto"/>
                      <w:right w:val="outset" w:sz="4" w:space="0" w:color="auto"/>
                    </w:tcBorders>
                  </w:tcPr>
                  <w:p w14:paraId="56EE2CD2" w14:textId="77777777" w:rsidR="00830E72" w:rsidRDefault="008344D8">
                    <w:pPr>
                      <w:jc w:val="right"/>
                      <w:rPr>
                        <w:szCs w:val="21"/>
                      </w:rPr>
                    </w:pPr>
                    <w:r>
                      <w:rPr>
                        <w:szCs w:val="21"/>
                      </w:rPr>
                      <w:t>30,616,759.03</w:t>
                    </w:r>
                  </w:p>
                </w:tc>
                <w:tc>
                  <w:tcPr>
                    <w:tcW w:w="996" w:type="pct"/>
                    <w:tcBorders>
                      <w:top w:val="outset" w:sz="4" w:space="0" w:color="auto"/>
                      <w:left w:val="outset" w:sz="4" w:space="0" w:color="auto"/>
                      <w:bottom w:val="outset" w:sz="4" w:space="0" w:color="auto"/>
                      <w:right w:val="outset" w:sz="4" w:space="0" w:color="auto"/>
                    </w:tcBorders>
                  </w:tcPr>
                  <w:p w14:paraId="0A3A55C6" w14:textId="77777777" w:rsidR="00830E72" w:rsidRDefault="008344D8">
                    <w:pPr>
                      <w:jc w:val="right"/>
                      <w:rPr>
                        <w:szCs w:val="21"/>
                      </w:rPr>
                    </w:pPr>
                    <w:r>
                      <w:t>30,616,759.03</w:t>
                    </w:r>
                  </w:p>
                </w:tc>
                <w:tc>
                  <w:tcPr>
                    <w:tcW w:w="1166" w:type="pct"/>
                    <w:tcBorders>
                      <w:top w:val="outset" w:sz="4" w:space="0" w:color="auto"/>
                      <w:left w:val="outset" w:sz="4" w:space="0" w:color="auto"/>
                      <w:bottom w:val="outset" w:sz="4" w:space="0" w:color="auto"/>
                      <w:right w:val="outset" w:sz="4" w:space="0" w:color="auto"/>
                    </w:tcBorders>
                  </w:tcPr>
                  <w:p w14:paraId="7AF94C77" w14:textId="77777777" w:rsidR="00830E72" w:rsidRDefault="00830E72">
                    <w:pPr>
                      <w:jc w:val="right"/>
                      <w:rPr>
                        <w:szCs w:val="21"/>
                      </w:rPr>
                    </w:pPr>
                  </w:p>
                </w:tc>
              </w:tr>
              <w:tr w:rsidR="00830E72" w14:paraId="77349046" w14:textId="77777777">
                <w:sdt>
                  <w:sdtPr>
                    <w:tag w:val="_PLD_f2ca4ecabe52459c89f3b3b833b28992"/>
                    <w:id w:val="1151797226"/>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57F57F00" w14:textId="77777777" w:rsidR="00830E72" w:rsidRDefault="008344D8">
                        <w:pPr>
                          <w:ind w:firstLineChars="100" w:firstLine="210"/>
                          <w:rPr>
                            <w:szCs w:val="21"/>
                          </w:rPr>
                        </w:pPr>
                        <w:r>
                          <w:rPr>
                            <w:rFonts w:hint="eastAsia"/>
                            <w:szCs w:val="21"/>
                          </w:rPr>
                          <w:t>衍生金融资产</w:t>
                        </w:r>
                      </w:p>
                    </w:tc>
                  </w:sdtContent>
                </w:sdt>
                <w:tc>
                  <w:tcPr>
                    <w:tcW w:w="1131" w:type="pct"/>
                    <w:tcBorders>
                      <w:top w:val="outset" w:sz="4" w:space="0" w:color="auto"/>
                      <w:left w:val="outset" w:sz="4" w:space="0" w:color="auto"/>
                      <w:bottom w:val="outset" w:sz="4" w:space="0" w:color="auto"/>
                      <w:right w:val="outset" w:sz="4" w:space="0" w:color="auto"/>
                    </w:tcBorders>
                  </w:tcPr>
                  <w:p w14:paraId="00160E27"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92997E7"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BB5596C" w14:textId="77777777" w:rsidR="00830E72" w:rsidRDefault="00830E72">
                    <w:pPr>
                      <w:jc w:val="right"/>
                      <w:rPr>
                        <w:szCs w:val="21"/>
                      </w:rPr>
                    </w:pPr>
                  </w:p>
                </w:tc>
              </w:tr>
              <w:tr w:rsidR="00830E72" w14:paraId="7767437A" w14:textId="77777777">
                <w:sdt>
                  <w:sdtPr>
                    <w:tag w:val="_PLD_404cf6ab6df04bccadc6e50b430c5ad1"/>
                    <w:id w:val="1902711086"/>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368FBA00" w14:textId="77777777" w:rsidR="00830E72" w:rsidRDefault="008344D8">
                        <w:pPr>
                          <w:ind w:firstLineChars="100" w:firstLine="210"/>
                          <w:rPr>
                            <w:szCs w:val="21"/>
                          </w:rPr>
                        </w:pPr>
                        <w:r>
                          <w:rPr>
                            <w:rFonts w:hint="eastAsia"/>
                            <w:szCs w:val="21"/>
                          </w:rPr>
                          <w:t>应收票据</w:t>
                        </w:r>
                      </w:p>
                    </w:tc>
                  </w:sdtContent>
                </w:sdt>
                <w:tc>
                  <w:tcPr>
                    <w:tcW w:w="1131" w:type="pct"/>
                    <w:tcBorders>
                      <w:top w:val="outset" w:sz="4" w:space="0" w:color="auto"/>
                      <w:left w:val="outset" w:sz="4" w:space="0" w:color="auto"/>
                      <w:bottom w:val="outset" w:sz="4" w:space="0" w:color="auto"/>
                      <w:right w:val="outset" w:sz="4" w:space="0" w:color="auto"/>
                    </w:tcBorders>
                  </w:tcPr>
                  <w:p w14:paraId="42DF737B" w14:textId="77777777" w:rsidR="00830E72" w:rsidRDefault="008344D8">
                    <w:pPr>
                      <w:jc w:val="right"/>
                      <w:rPr>
                        <w:szCs w:val="21"/>
                      </w:rPr>
                    </w:pPr>
                    <w:r>
                      <w:rPr>
                        <w:szCs w:val="21"/>
                      </w:rPr>
                      <w:t>38,680.00</w:t>
                    </w:r>
                  </w:p>
                </w:tc>
                <w:tc>
                  <w:tcPr>
                    <w:tcW w:w="996" w:type="pct"/>
                    <w:tcBorders>
                      <w:top w:val="outset" w:sz="4" w:space="0" w:color="auto"/>
                      <w:left w:val="outset" w:sz="4" w:space="0" w:color="auto"/>
                      <w:bottom w:val="outset" w:sz="4" w:space="0" w:color="auto"/>
                      <w:right w:val="outset" w:sz="4" w:space="0" w:color="auto"/>
                    </w:tcBorders>
                  </w:tcPr>
                  <w:p w14:paraId="115E1B97" w14:textId="77777777" w:rsidR="00830E72" w:rsidRDefault="008344D8">
                    <w:pPr>
                      <w:jc w:val="right"/>
                      <w:rPr>
                        <w:szCs w:val="21"/>
                      </w:rPr>
                    </w:pPr>
                    <w:r>
                      <w:t>38,680.00</w:t>
                    </w:r>
                  </w:p>
                </w:tc>
                <w:tc>
                  <w:tcPr>
                    <w:tcW w:w="1166" w:type="pct"/>
                    <w:tcBorders>
                      <w:top w:val="outset" w:sz="4" w:space="0" w:color="auto"/>
                      <w:left w:val="outset" w:sz="4" w:space="0" w:color="auto"/>
                      <w:bottom w:val="outset" w:sz="4" w:space="0" w:color="auto"/>
                      <w:right w:val="outset" w:sz="4" w:space="0" w:color="auto"/>
                    </w:tcBorders>
                  </w:tcPr>
                  <w:p w14:paraId="62552487" w14:textId="77777777" w:rsidR="00830E72" w:rsidRDefault="00830E72">
                    <w:pPr>
                      <w:jc w:val="right"/>
                      <w:rPr>
                        <w:szCs w:val="21"/>
                      </w:rPr>
                    </w:pPr>
                  </w:p>
                </w:tc>
              </w:tr>
              <w:tr w:rsidR="00830E72" w14:paraId="3E99DE39" w14:textId="77777777">
                <w:sdt>
                  <w:sdtPr>
                    <w:tag w:val="_PLD_60c7fd7f05404a5aa4d1bd82df1525bf"/>
                    <w:id w:val="-1618755163"/>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4F94A9DD" w14:textId="77777777" w:rsidR="00830E72" w:rsidRDefault="008344D8">
                        <w:pPr>
                          <w:ind w:firstLineChars="100" w:firstLine="210"/>
                          <w:rPr>
                            <w:szCs w:val="21"/>
                          </w:rPr>
                        </w:pPr>
                        <w:r>
                          <w:rPr>
                            <w:rFonts w:hint="eastAsia"/>
                            <w:szCs w:val="21"/>
                          </w:rPr>
                          <w:t>应收账款</w:t>
                        </w:r>
                      </w:p>
                    </w:tc>
                  </w:sdtContent>
                </w:sdt>
                <w:tc>
                  <w:tcPr>
                    <w:tcW w:w="1131" w:type="pct"/>
                    <w:tcBorders>
                      <w:top w:val="outset" w:sz="4" w:space="0" w:color="auto"/>
                      <w:left w:val="outset" w:sz="4" w:space="0" w:color="auto"/>
                      <w:bottom w:val="outset" w:sz="4" w:space="0" w:color="auto"/>
                      <w:right w:val="outset" w:sz="4" w:space="0" w:color="auto"/>
                    </w:tcBorders>
                  </w:tcPr>
                  <w:p w14:paraId="15455795" w14:textId="77777777" w:rsidR="00830E72" w:rsidRDefault="008344D8">
                    <w:pPr>
                      <w:jc w:val="right"/>
                      <w:rPr>
                        <w:szCs w:val="21"/>
                      </w:rPr>
                    </w:pPr>
                    <w:r>
                      <w:rPr>
                        <w:szCs w:val="21"/>
                      </w:rPr>
                      <w:t>2,048,728,886.76</w:t>
                    </w:r>
                  </w:p>
                </w:tc>
                <w:tc>
                  <w:tcPr>
                    <w:tcW w:w="996" w:type="pct"/>
                    <w:tcBorders>
                      <w:top w:val="outset" w:sz="4" w:space="0" w:color="auto"/>
                      <w:left w:val="outset" w:sz="4" w:space="0" w:color="auto"/>
                      <w:bottom w:val="outset" w:sz="4" w:space="0" w:color="auto"/>
                      <w:right w:val="outset" w:sz="4" w:space="0" w:color="auto"/>
                    </w:tcBorders>
                  </w:tcPr>
                  <w:p w14:paraId="203DAFDF" w14:textId="77777777" w:rsidR="00830E72" w:rsidRDefault="008344D8">
                    <w:pPr>
                      <w:jc w:val="right"/>
                      <w:rPr>
                        <w:szCs w:val="21"/>
                      </w:rPr>
                    </w:pPr>
                    <w:r>
                      <w:t>2,048,728,886.76</w:t>
                    </w:r>
                  </w:p>
                </w:tc>
                <w:tc>
                  <w:tcPr>
                    <w:tcW w:w="1166" w:type="pct"/>
                    <w:tcBorders>
                      <w:top w:val="outset" w:sz="4" w:space="0" w:color="auto"/>
                      <w:left w:val="outset" w:sz="4" w:space="0" w:color="auto"/>
                      <w:bottom w:val="outset" w:sz="4" w:space="0" w:color="auto"/>
                      <w:right w:val="outset" w:sz="4" w:space="0" w:color="auto"/>
                    </w:tcBorders>
                  </w:tcPr>
                  <w:p w14:paraId="7990AF16" w14:textId="77777777" w:rsidR="00830E72" w:rsidRDefault="00830E72">
                    <w:pPr>
                      <w:jc w:val="right"/>
                      <w:rPr>
                        <w:szCs w:val="21"/>
                      </w:rPr>
                    </w:pPr>
                  </w:p>
                </w:tc>
              </w:tr>
              <w:tr w:rsidR="00830E72" w14:paraId="17C7771F" w14:textId="77777777">
                <w:tc>
                  <w:tcPr>
                    <w:tcW w:w="170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fda8af118d94152a3fe4a70f28db8ca"/>
                      <w:id w:val="-618607077"/>
                      <w:lock w:val="sdtLocked"/>
                    </w:sdtPr>
                    <w:sdtEndPr/>
                    <w:sdtContent>
                      <w:p w14:paraId="2FEEF4AB" w14:textId="77777777" w:rsidR="00830E72" w:rsidRDefault="008344D8">
                        <w:pPr>
                          <w:ind w:firstLineChars="100" w:firstLine="210"/>
                        </w:pPr>
                        <w:r>
                          <w:rPr>
                            <w:rFonts w:hint="eastAsia"/>
                          </w:rPr>
                          <w:t>应收款项融资</w:t>
                        </w:r>
                      </w:p>
                    </w:sdtContent>
                  </w:sdt>
                </w:tc>
                <w:tc>
                  <w:tcPr>
                    <w:tcW w:w="1131" w:type="pct"/>
                    <w:tcBorders>
                      <w:top w:val="outset" w:sz="4" w:space="0" w:color="auto"/>
                      <w:left w:val="outset" w:sz="4" w:space="0" w:color="auto"/>
                      <w:bottom w:val="outset" w:sz="4" w:space="0" w:color="auto"/>
                      <w:right w:val="outset" w:sz="4" w:space="0" w:color="auto"/>
                    </w:tcBorders>
                  </w:tcPr>
                  <w:p w14:paraId="7D2D144A"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57068B9"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46E5535" w14:textId="77777777" w:rsidR="00830E72" w:rsidRDefault="00830E72">
                    <w:pPr>
                      <w:jc w:val="right"/>
                      <w:rPr>
                        <w:szCs w:val="21"/>
                      </w:rPr>
                    </w:pPr>
                  </w:p>
                </w:tc>
              </w:tr>
              <w:tr w:rsidR="00830E72" w14:paraId="217D205F" w14:textId="77777777">
                <w:sdt>
                  <w:sdtPr>
                    <w:tag w:val="_PLD_932119a1f2724f0296ba583a176a5b7f"/>
                    <w:id w:val="-588304810"/>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5A31A1D3" w14:textId="77777777" w:rsidR="00830E72" w:rsidRDefault="008344D8">
                        <w:pPr>
                          <w:ind w:firstLineChars="100" w:firstLine="210"/>
                          <w:rPr>
                            <w:szCs w:val="21"/>
                          </w:rPr>
                        </w:pPr>
                        <w:r>
                          <w:rPr>
                            <w:rFonts w:hint="eastAsia"/>
                            <w:szCs w:val="21"/>
                          </w:rPr>
                          <w:t>预付款项</w:t>
                        </w:r>
                      </w:p>
                    </w:tc>
                  </w:sdtContent>
                </w:sdt>
                <w:tc>
                  <w:tcPr>
                    <w:tcW w:w="1131" w:type="pct"/>
                    <w:tcBorders>
                      <w:top w:val="outset" w:sz="4" w:space="0" w:color="auto"/>
                      <w:left w:val="outset" w:sz="4" w:space="0" w:color="auto"/>
                      <w:bottom w:val="outset" w:sz="4" w:space="0" w:color="auto"/>
                      <w:right w:val="outset" w:sz="4" w:space="0" w:color="auto"/>
                    </w:tcBorders>
                  </w:tcPr>
                  <w:p w14:paraId="3D19F305" w14:textId="77777777" w:rsidR="00830E72" w:rsidRDefault="008344D8">
                    <w:pPr>
                      <w:jc w:val="right"/>
                      <w:rPr>
                        <w:szCs w:val="21"/>
                      </w:rPr>
                    </w:pPr>
                    <w:r>
                      <w:rPr>
                        <w:szCs w:val="21"/>
                      </w:rPr>
                      <w:t>10,463,839.46</w:t>
                    </w:r>
                  </w:p>
                </w:tc>
                <w:tc>
                  <w:tcPr>
                    <w:tcW w:w="996" w:type="pct"/>
                    <w:tcBorders>
                      <w:top w:val="outset" w:sz="4" w:space="0" w:color="auto"/>
                      <w:left w:val="outset" w:sz="4" w:space="0" w:color="auto"/>
                      <w:bottom w:val="outset" w:sz="4" w:space="0" w:color="auto"/>
                      <w:right w:val="outset" w:sz="4" w:space="0" w:color="auto"/>
                    </w:tcBorders>
                  </w:tcPr>
                  <w:p w14:paraId="278CD8B7" w14:textId="77777777" w:rsidR="00830E72" w:rsidRDefault="008344D8">
                    <w:pPr>
                      <w:jc w:val="right"/>
                      <w:rPr>
                        <w:szCs w:val="21"/>
                      </w:rPr>
                    </w:pPr>
                    <w:r>
                      <w:rPr>
                        <w:szCs w:val="21"/>
                      </w:rPr>
                      <w:t>10,463,839.46</w:t>
                    </w:r>
                  </w:p>
                </w:tc>
                <w:tc>
                  <w:tcPr>
                    <w:tcW w:w="1166" w:type="pct"/>
                    <w:tcBorders>
                      <w:top w:val="outset" w:sz="4" w:space="0" w:color="auto"/>
                      <w:left w:val="outset" w:sz="4" w:space="0" w:color="auto"/>
                      <w:bottom w:val="outset" w:sz="4" w:space="0" w:color="auto"/>
                      <w:right w:val="outset" w:sz="4" w:space="0" w:color="auto"/>
                    </w:tcBorders>
                  </w:tcPr>
                  <w:p w14:paraId="6162AC69" w14:textId="77777777" w:rsidR="00830E72" w:rsidRDefault="00830E72">
                    <w:pPr>
                      <w:jc w:val="right"/>
                      <w:rPr>
                        <w:szCs w:val="21"/>
                      </w:rPr>
                    </w:pPr>
                  </w:p>
                </w:tc>
              </w:tr>
              <w:tr w:rsidR="00830E72" w14:paraId="3954F058" w14:textId="77777777">
                <w:sdt>
                  <w:sdtPr>
                    <w:tag w:val="_PLD_9890145bbb06470fbff7552efd27f5cb"/>
                    <w:id w:val="-1325504202"/>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584FA963" w14:textId="77777777" w:rsidR="00830E72" w:rsidRDefault="008344D8">
                        <w:pPr>
                          <w:ind w:firstLineChars="100" w:firstLine="210"/>
                          <w:rPr>
                            <w:szCs w:val="21"/>
                          </w:rPr>
                        </w:pPr>
                        <w:r>
                          <w:rPr>
                            <w:rFonts w:hint="eastAsia"/>
                            <w:szCs w:val="21"/>
                          </w:rPr>
                          <w:t>应收保费</w:t>
                        </w:r>
                      </w:p>
                    </w:tc>
                  </w:sdtContent>
                </w:sdt>
                <w:tc>
                  <w:tcPr>
                    <w:tcW w:w="1131" w:type="pct"/>
                    <w:tcBorders>
                      <w:top w:val="outset" w:sz="4" w:space="0" w:color="auto"/>
                      <w:left w:val="outset" w:sz="4" w:space="0" w:color="auto"/>
                      <w:bottom w:val="outset" w:sz="4" w:space="0" w:color="auto"/>
                      <w:right w:val="outset" w:sz="4" w:space="0" w:color="auto"/>
                    </w:tcBorders>
                  </w:tcPr>
                  <w:p w14:paraId="032222BF"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F9B9C74"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1FCDE849" w14:textId="77777777" w:rsidR="00830E72" w:rsidRDefault="00830E72">
                    <w:pPr>
                      <w:jc w:val="right"/>
                      <w:rPr>
                        <w:szCs w:val="21"/>
                      </w:rPr>
                    </w:pPr>
                  </w:p>
                </w:tc>
              </w:tr>
              <w:tr w:rsidR="00830E72" w14:paraId="5BC6DCA7" w14:textId="77777777">
                <w:sdt>
                  <w:sdtPr>
                    <w:tag w:val="_PLD_adbed6db890948269b00aa5269ca43ef"/>
                    <w:id w:val="161442085"/>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0A951FD0" w14:textId="77777777" w:rsidR="00830E72" w:rsidRDefault="008344D8">
                        <w:pPr>
                          <w:ind w:firstLineChars="100" w:firstLine="210"/>
                          <w:rPr>
                            <w:szCs w:val="21"/>
                          </w:rPr>
                        </w:pPr>
                        <w:r>
                          <w:rPr>
                            <w:rFonts w:hint="eastAsia"/>
                            <w:szCs w:val="21"/>
                          </w:rPr>
                          <w:t>应收分保账款</w:t>
                        </w:r>
                      </w:p>
                    </w:tc>
                  </w:sdtContent>
                </w:sdt>
                <w:tc>
                  <w:tcPr>
                    <w:tcW w:w="1131" w:type="pct"/>
                    <w:tcBorders>
                      <w:top w:val="outset" w:sz="4" w:space="0" w:color="auto"/>
                      <w:left w:val="outset" w:sz="4" w:space="0" w:color="auto"/>
                      <w:bottom w:val="outset" w:sz="4" w:space="0" w:color="auto"/>
                      <w:right w:val="outset" w:sz="4" w:space="0" w:color="auto"/>
                    </w:tcBorders>
                  </w:tcPr>
                  <w:p w14:paraId="15F218C0"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3AC3B58"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16D5E4A" w14:textId="77777777" w:rsidR="00830E72" w:rsidRDefault="00830E72">
                    <w:pPr>
                      <w:jc w:val="right"/>
                      <w:rPr>
                        <w:szCs w:val="21"/>
                      </w:rPr>
                    </w:pPr>
                  </w:p>
                </w:tc>
              </w:tr>
              <w:tr w:rsidR="00830E72" w14:paraId="2D67A6B3" w14:textId="77777777">
                <w:sdt>
                  <w:sdtPr>
                    <w:tag w:val="_PLD_8d39fe01970f447399435e529e8f3c76"/>
                    <w:id w:val="1721621339"/>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770BCD1B" w14:textId="77777777" w:rsidR="00830E72" w:rsidRDefault="008344D8">
                        <w:pPr>
                          <w:ind w:firstLineChars="100" w:firstLine="210"/>
                          <w:rPr>
                            <w:szCs w:val="21"/>
                          </w:rPr>
                        </w:pPr>
                        <w:r>
                          <w:rPr>
                            <w:rFonts w:hint="eastAsia"/>
                            <w:szCs w:val="21"/>
                          </w:rPr>
                          <w:t>应收分保合同准备金</w:t>
                        </w:r>
                      </w:p>
                    </w:tc>
                  </w:sdtContent>
                </w:sdt>
                <w:tc>
                  <w:tcPr>
                    <w:tcW w:w="1131" w:type="pct"/>
                    <w:tcBorders>
                      <w:top w:val="outset" w:sz="4" w:space="0" w:color="auto"/>
                      <w:left w:val="outset" w:sz="4" w:space="0" w:color="auto"/>
                      <w:bottom w:val="outset" w:sz="4" w:space="0" w:color="auto"/>
                      <w:right w:val="outset" w:sz="4" w:space="0" w:color="auto"/>
                    </w:tcBorders>
                  </w:tcPr>
                  <w:p w14:paraId="1AC87355"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16FD345C"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ACE74E8" w14:textId="77777777" w:rsidR="00830E72" w:rsidRDefault="00830E72">
                    <w:pPr>
                      <w:jc w:val="right"/>
                      <w:rPr>
                        <w:szCs w:val="21"/>
                      </w:rPr>
                    </w:pPr>
                  </w:p>
                </w:tc>
              </w:tr>
              <w:tr w:rsidR="00830E72" w14:paraId="551E31D6" w14:textId="77777777">
                <w:sdt>
                  <w:sdtPr>
                    <w:tag w:val="_PLD_1c11d90f36904ee99e2d2614e1985d9f"/>
                    <w:id w:val="-197085208"/>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7C72E043" w14:textId="77777777" w:rsidR="00830E72" w:rsidRDefault="008344D8">
                        <w:pPr>
                          <w:ind w:firstLineChars="100" w:firstLine="210"/>
                          <w:rPr>
                            <w:szCs w:val="21"/>
                          </w:rPr>
                        </w:pPr>
                        <w:r>
                          <w:rPr>
                            <w:rFonts w:hint="eastAsia"/>
                            <w:szCs w:val="21"/>
                          </w:rPr>
                          <w:t>其他应收款</w:t>
                        </w:r>
                      </w:p>
                    </w:tc>
                  </w:sdtContent>
                </w:sdt>
                <w:tc>
                  <w:tcPr>
                    <w:tcW w:w="1131" w:type="pct"/>
                    <w:tcBorders>
                      <w:top w:val="outset" w:sz="4" w:space="0" w:color="auto"/>
                      <w:left w:val="outset" w:sz="4" w:space="0" w:color="auto"/>
                      <w:bottom w:val="outset" w:sz="4" w:space="0" w:color="auto"/>
                      <w:right w:val="outset" w:sz="4" w:space="0" w:color="auto"/>
                    </w:tcBorders>
                  </w:tcPr>
                  <w:p w14:paraId="5E12763B" w14:textId="77777777" w:rsidR="00830E72" w:rsidRDefault="008344D8">
                    <w:pPr>
                      <w:jc w:val="right"/>
                      <w:rPr>
                        <w:szCs w:val="21"/>
                      </w:rPr>
                    </w:pPr>
                    <w:r>
                      <w:rPr>
                        <w:szCs w:val="21"/>
                      </w:rPr>
                      <w:t>173,904,054.74</w:t>
                    </w:r>
                  </w:p>
                </w:tc>
                <w:tc>
                  <w:tcPr>
                    <w:tcW w:w="996" w:type="pct"/>
                    <w:tcBorders>
                      <w:top w:val="outset" w:sz="4" w:space="0" w:color="auto"/>
                      <w:left w:val="outset" w:sz="4" w:space="0" w:color="auto"/>
                      <w:bottom w:val="outset" w:sz="4" w:space="0" w:color="auto"/>
                      <w:right w:val="outset" w:sz="4" w:space="0" w:color="auto"/>
                    </w:tcBorders>
                  </w:tcPr>
                  <w:p w14:paraId="054E9412" w14:textId="77777777" w:rsidR="00830E72" w:rsidRDefault="008344D8">
                    <w:pPr>
                      <w:jc w:val="right"/>
                      <w:rPr>
                        <w:szCs w:val="21"/>
                      </w:rPr>
                    </w:pPr>
                    <w:r>
                      <w:t>173,904,054.74</w:t>
                    </w:r>
                  </w:p>
                </w:tc>
                <w:tc>
                  <w:tcPr>
                    <w:tcW w:w="1166" w:type="pct"/>
                    <w:tcBorders>
                      <w:top w:val="outset" w:sz="4" w:space="0" w:color="auto"/>
                      <w:left w:val="outset" w:sz="4" w:space="0" w:color="auto"/>
                      <w:bottom w:val="outset" w:sz="4" w:space="0" w:color="auto"/>
                      <w:right w:val="outset" w:sz="4" w:space="0" w:color="auto"/>
                    </w:tcBorders>
                  </w:tcPr>
                  <w:p w14:paraId="329339D3" w14:textId="77777777" w:rsidR="00830E72" w:rsidRDefault="00830E72">
                    <w:pPr>
                      <w:jc w:val="right"/>
                      <w:rPr>
                        <w:szCs w:val="21"/>
                      </w:rPr>
                    </w:pPr>
                  </w:p>
                </w:tc>
              </w:tr>
              <w:tr w:rsidR="00830E72" w14:paraId="27F63B86" w14:textId="77777777">
                <w:sdt>
                  <w:sdtPr>
                    <w:tag w:val="_PLD_b725da7877314ffbb440022473aa4771"/>
                    <w:id w:val="1330795672"/>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026AC4F3" w14:textId="77777777" w:rsidR="00830E72" w:rsidRDefault="008344D8">
                        <w:pPr>
                          <w:ind w:firstLineChars="100" w:firstLine="210"/>
                          <w:rPr>
                            <w:szCs w:val="21"/>
                          </w:rPr>
                        </w:pPr>
                        <w:r>
                          <w:rPr>
                            <w:rFonts w:hint="eastAsia"/>
                          </w:rPr>
                          <w:t>其中：</w:t>
                        </w:r>
                        <w:r>
                          <w:rPr>
                            <w:rFonts w:hint="eastAsia"/>
                            <w:szCs w:val="21"/>
                          </w:rPr>
                          <w:t>应收利息</w:t>
                        </w:r>
                      </w:p>
                    </w:tc>
                  </w:sdtContent>
                </w:sdt>
                <w:tc>
                  <w:tcPr>
                    <w:tcW w:w="1131" w:type="pct"/>
                    <w:tcBorders>
                      <w:top w:val="outset" w:sz="4" w:space="0" w:color="auto"/>
                      <w:left w:val="outset" w:sz="4" w:space="0" w:color="auto"/>
                      <w:bottom w:val="outset" w:sz="4" w:space="0" w:color="auto"/>
                      <w:right w:val="outset" w:sz="4" w:space="0" w:color="auto"/>
                    </w:tcBorders>
                  </w:tcPr>
                  <w:p w14:paraId="55124876"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3972BAD3"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17606F9" w14:textId="77777777" w:rsidR="00830E72" w:rsidRDefault="00830E72">
                    <w:pPr>
                      <w:jc w:val="right"/>
                      <w:rPr>
                        <w:szCs w:val="21"/>
                      </w:rPr>
                    </w:pPr>
                  </w:p>
                </w:tc>
              </w:tr>
              <w:tr w:rsidR="00830E72" w14:paraId="35C93E87" w14:textId="77777777">
                <w:sdt>
                  <w:sdtPr>
                    <w:tag w:val="_PLD_c5bd1b6582fc46a4af5fd9ca75d2de9e"/>
                    <w:id w:val="1903325515"/>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2C565EF2" w14:textId="77777777" w:rsidR="00830E72" w:rsidRDefault="008344D8">
                        <w:pPr>
                          <w:ind w:firstLineChars="400" w:firstLine="840"/>
                          <w:rPr>
                            <w:szCs w:val="21"/>
                          </w:rPr>
                        </w:pPr>
                        <w:r>
                          <w:rPr>
                            <w:rFonts w:hint="eastAsia"/>
                            <w:szCs w:val="21"/>
                          </w:rPr>
                          <w:t>应收股利</w:t>
                        </w:r>
                      </w:p>
                    </w:tc>
                  </w:sdtContent>
                </w:sdt>
                <w:tc>
                  <w:tcPr>
                    <w:tcW w:w="1131" w:type="pct"/>
                    <w:tcBorders>
                      <w:top w:val="outset" w:sz="4" w:space="0" w:color="auto"/>
                      <w:left w:val="outset" w:sz="4" w:space="0" w:color="auto"/>
                      <w:bottom w:val="outset" w:sz="4" w:space="0" w:color="auto"/>
                      <w:right w:val="outset" w:sz="4" w:space="0" w:color="auto"/>
                    </w:tcBorders>
                  </w:tcPr>
                  <w:p w14:paraId="08853209"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78DD435E"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5B6E6944" w14:textId="77777777" w:rsidR="00830E72" w:rsidRDefault="00830E72">
                    <w:pPr>
                      <w:jc w:val="right"/>
                      <w:rPr>
                        <w:szCs w:val="21"/>
                      </w:rPr>
                    </w:pPr>
                  </w:p>
                </w:tc>
              </w:tr>
              <w:tr w:rsidR="00830E72" w14:paraId="12E551FB" w14:textId="77777777">
                <w:sdt>
                  <w:sdtPr>
                    <w:tag w:val="_PLD_bd9b6785a63f4b75a55acaea5b3931e8"/>
                    <w:id w:val="-1384477281"/>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04709F4F" w14:textId="77777777" w:rsidR="00830E72" w:rsidRDefault="008344D8">
                        <w:pPr>
                          <w:ind w:firstLineChars="100" w:firstLine="210"/>
                          <w:rPr>
                            <w:szCs w:val="21"/>
                          </w:rPr>
                        </w:pPr>
                        <w:r>
                          <w:rPr>
                            <w:rFonts w:hint="eastAsia"/>
                            <w:szCs w:val="21"/>
                          </w:rPr>
                          <w:t>买入返售金融资产</w:t>
                        </w:r>
                      </w:p>
                    </w:tc>
                  </w:sdtContent>
                </w:sdt>
                <w:tc>
                  <w:tcPr>
                    <w:tcW w:w="1131" w:type="pct"/>
                    <w:tcBorders>
                      <w:top w:val="outset" w:sz="4" w:space="0" w:color="auto"/>
                      <w:left w:val="outset" w:sz="4" w:space="0" w:color="auto"/>
                      <w:bottom w:val="outset" w:sz="4" w:space="0" w:color="auto"/>
                      <w:right w:val="outset" w:sz="4" w:space="0" w:color="auto"/>
                    </w:tcBorders>
                  </w:tcPr>
                  <w:p w14:paraId="6F9C3A24"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76F69DE"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683D4DFA" w14:textId="77777777" w:rsidR="00830E72" w:rsidRDefault="00830E72">
                    <w:pPr>
                      <w:jc w:val="right"/>
                      <w:rPr>
                        <w:szCs w:val="21"/>
                      </w:rPr>
                    </w:pPr>
                  </w:p>
                </w:tc>
              </w:tr>
              <w:tr w:rsidR="00830E72" w14:paraId="1F60615D" w14:textId="77777777">
                <w:sdt>
                  <w:sdtPr>
                    <w:tag w:val="_PLD_1b93e8fafaee4160b39625362d84eff2"/>
                    <w:id w:val="230511249"/>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0286BBB7" w14:textId="77777777" w:rsidR="00830E72" w:rsidRDefault="008344D8">
                        <w:pPr>
                          <w:ind w:firstLineChars="100" w:firstLine="210"/>
                          <w:rPr>
                            <w:szCs w:val="21"/>
                          </w:rPr>
                        </w:pPr>
                        <w:r>
                          <w:rPr>
                            <w:rFonts w:hint="eastAsia"/>
                            <w:szCs w:val="21"/>
                          </w:rPr>
                          <w:t>存货</w:t>
                        </w:r>
                      </w:p>
                    </w:tc>
                  </w:sdtContent>
                </w:sdt>
                <w:tc>
                  <w:tcPr>
                    <w:tcW w:w="1131" w:type="pct"/>
                    <w:tcBorders>
                      <w:top w:val="outset" w:sz="4" w:space="0" w:color="auto"/>
                      <w:left w:val="outset" w:sz="4" w:space="0" w:color="auto"/>
                      <w:bottom w:val="outset" w:sz="4" w:space="0" w:color="auto"/>
                      <w:right w:val="outset" w:sz="4" w:space="0" w:color="auto"/>
                    </w:tcBorders>
                  </w:tcPr>
                  <w:p w14:paraId="05DC116F" w14:textId="77777777" w:rsidR="00830E72" w:rsidRDefault="008344D8">
                    <w:pPr>
                      <w:jc w:val="right"/>
                      <w:rPr>
                        <w:szCs w:val="21"/>
                      </w:rPr>
                    </w:pPr>
                    <w:r>
                      <w:rPr>
                        <w:szCs w:val="21"/>
                      </w:rPr>
                      <w:t>26,375,000.46</w:t>
                    </w:r>
                  </w:p>
                </w:tc>
                <w:tc>
                  <w:tcPr>
                    <w:tcW w:w="996" w:type="pct"/>
                    <w:tcBorders>
                      <w:top w:val="outset" w:sz="4" w:space="0" w:color="auto"/>
                      <w:left w:val="outset" w:sz="4" w:space="0" w:color="auto"/>
                      <w:bottom w:val="outset" w:sz="4" w:space="0" w:color="auto"/>
                      <w:right w:val="outset" w:sz="4" w:space="0" w:color="auto"/>
                    </w:tcBorders>
                  </w:tcPr>
                  <w:p w14:paraId="66957A69" w14:textId="77777777" w:rsidR="00830E72" w:rsidRDefault="008344D8">
                    <w:pPr>
                      <w:jc w:val="right"/>
                      <w:rPr>
                        <w:szCs w:val="21"/>
                      </w:rPr>
                    </w:pPr>
                    <w:r>
                      <w:t>26,375,000.46</w:t>
                    </w:r>
                  </w:p>
                </w:tc>
                <w:tc>
                  <w:tcPr>
                    <w:tcW w:w="1166" w:type="pct"/>
                    <w:tcBorders>
                      <w:top w:val="outset" w:sz="4" w:space="0" w:color="auto"/>
                      <w:left w:val="outset" w:sz="4" w:space="0" w:color="auto"/>
                      <w:bottom w:val="outset" w:sz="4" w:space="0" w:color="auto"/>
                      <w:right w:val="outset" w:sz="4" w:space="0" w:color="auto"/>
                    </w:tcBorders>
                  </w:tcPr>
                  <w:p w14:paraId="0F85E9A0" w14:textId="77777777" w:rsidR="00830E72" w:rsidRDefault="00830E72">
                    <w:pPr>
                      <w:jc w:val="right"/>
                      <w:rPr>
                        <w:szCs w:val="21"/>
                      </w:rPr>
                    </w:pPr>
                  </w:p>
                </w:tc>
              </w:tr>
              <w:tr w:rsidR="00830E72" w14:paraId="1B8F0225" w14:textId="77777777">
                <w:tc>
                  <w:tcPr>
                    <w:tcW w:w="170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d2ee0df5ae54e54a7746259b5f3c9e7"/>
                      <w:id w:val="564153043"/>
                      <w:lock w:val="sdtLocked"/>
                    </w:sdtPr>
                    <w:sdtEndPr/>
                    <w:sdtContent>
                      <w:p w14:paraId="4F83F624" w14:textId="77777777" w:rsidR="00830E72" w:rsidRDefault="008344D8">
                        <w:pPr>
                          <w:ind w:firstLineChars="100" w:firstLine="210"/>
                        </w:pPr>
                        <w:r>
                          <w:rPr>
                            <w:rFonts w:hint="eastAsia"/>
                          </w:rPr>
                          <w:t>合同资产</w:t>
                        </w:r>
                      </w:p>
                    </w:sdtContent>
                  </w:sdt>
                </w:tc>
                <w:tc>
                  <w:tcPr>
                    <w:tcW w:w="1131" w:type="pct"/>
                    <w:tcBorders>
                      <w:top w:val="outset" w:sz="4" w:space="0" w:color="auto"/>
                      <w:left w:val="outset" w:sz="4" w:space="0" w:color="auto"/>
                      <w:bottom w:val="outset" w:sz="4" w:space="0" w:color="auto"/>
                      <w:right w:val="outset" w:sz="4" w:space="0" w:color="auto"/>
                    </w:tcBorders>
                  </w:tcPr>
                  <w:p w14:paraId="14869640" w14:textId="77777777" w:rsidR="00830E72" w:rsidRDefault="008344D8">
                    <w:pPr>
                      <w:jc w:val="right"/>
                      <w:rPr>
                        <w:szCs w:val="21"/>
                      </w:rPr>
                    </w:pPr>
                    <w:r>
                      <w:rPr>
                        <w:szCs w:val="21"/>
                      </w:rPr>
                      <w:t>702,386,607.61</w:t>
                    </w:r>
                  </w:p>
                </w:tc>
                <w:tc>
                  <w:tcPr>
                    <w:tcW w:w="996" w:type="pct"/>
                    <w:tcBorders>
                      <w:top w:val="outset" w:sz="4" w:space="0" w:color="auto"/>
                      <w:left w:val="outset" w:sz="4" w:space="0" w:color="auto"/>
                      <w:bottom w:val="outset" w:sz="4" w:space="0" w:color="auto"/>
                      <w:right w:val="outset" w:sz="4" w:space="0" w:color="auto"/>
                    </w:tcBorders>
                  </w:tcPr>
                  <w:p w14:paraId="0A3EE08E" w14:textId="77777777" w:rsidR="00830E72" w:rsidRDefault="008344D8">
                    <w:pPr>
                      <w:jc w:val="right"/>
                      <w:rPr>
                        <w:szCs w:val="21"/>
                      </w:rPr>
                    </w:pPr>
                    <w:r>
                      <w:t>702,386,607.61</w:t>
                    </w:r>
                  </w:p>
                </w:tc>
                <w:tc>
                  <w:tcPr>
                    <w:tcW w:w="1166" w:type="pct"/>
                    <w:tcBorders>
                      <w:top w:val="outset" w:sz="4" w:space="0" w:color="auto"/>
                      <w:left w:val="outset" w:sz="4" w:space="0" w:color="auto"/>
                      <w:bottom w:val="outset" w:sz="4" w:space="0" w:color="auto"/>
                      <w:right w:val="outset" w:sz="4" w:space="0" w:color="auto"/>
                    </w:tcBorders>
                  </w:tcPr>
                  <w:p w14:paraId="2939701E" w14:textId="77777777" w:rsidR="00830E72" w:rsidRDefault="00830E72">
                    <w:pPr>
                      <w:jc w:val="right"/>
                      <w:rPr>
                        <w:szCs w:val="21"/>
                      </w:rPr>
                    </w:pPr>
                  </w:p>
                </w:tc>
              </w:tr>
              <w:tr w:rsidR="00830E72" w14:paraId="7580D835" w14:textId="77777777">
                <w:sdt>
                  <w:sdtPr>
                    <w:tag w:val="_PLD_8a57b7a7a7634e5a9125443734f3650f"/>
                    <w:id w:val="1494526995"/>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585217B6" w14:textId="77777777" w:rsidR="00830E72" w:rsidRDefault="008344D8">
                        <w:pPr>
                          <w:ind w:firstLineChars="100" w:firstLine="210"/>
                          <w:rPr>
                            <w:szCs w:val="21"/>
                          </w:rPr>
                        </w:pPr>
                        <w:r>
                          <w:rPr>
                            <w:rFonts w:hint="eastAsia"/>
                            <w:szCs w:val="21"/>
                          </w:rPr>
                          <w:t>持有待售资产</w:t>
                        </w:r>
                      </w:p>
                    </w:tc>
                  </w:sdtContent>
                </w:sdt>
                <w:tc>
                  <w:tcPr>
                    <w:tcW w:w="1131" w:type="pct"/>
                    <w:tcBorders>
                      <w:top w:val="outset" w:sz="4" w:space="0" w:color="auto"/>
                      <w:left w:val="outset" w:sz="4" w:space="0" w:color="auto"/>
                      <w:bottom w:val="outset" w:sz="4" w:space="0" w:color="auto"/>
                      <w:right w:val="outset" w:sz="4" w:space="0" w:color="auto"/>
                    </w:tcBorders>
                  </w:tcPr>
                  <w:p w14:paraId="60648BE3"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C577D74"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13747388" w14:textId="77777777" w:rsidR="00830E72" w:rsidRDefault="00830E72">
                    <w:pPr>
                      <w:jc w:val="right"/>
                      <w:rPr>
                        <w:szCs w:val="21"/>
                      </w:rPr>
                    </w:pPr>
                  </w:p>
                </w:tc>
              </w:tr>
              <w:tr w:rsidR="00830E72" w14:paraId="32BD68E9" w14:textId="77777777">
                <w:sdt>
                  <w:sdtPr>
                    <w:tag w:val="_PLD_d43a546c640541ada3d4b1513dd8e53e"/>
                    <w:id w:val="-1436519098"/>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6AF3651C" w14:textId="77777777" w:rsidR="00830E72" w:rsidRDefault="008344D8">
                        <w:pPr>
                          <w:ind w:firstLineChars="100" w:firstLine="210"/>
                          <w:rPr>
                            <w:szCs w:val="21"/>
                          </w:rPr>
                        </w:pPr>
                        <w:r>
                          <w:rPr>
                            <w:rFonts w:hint="eastAsia"/>
                            <w:szCs w:val="21"/>
                          </w:rPr>
                          <w:t>一年内到期的非流动资产</w:t>
                        </w:r>
                      </w:p>
                    </w:tc>
                  </w:sdtContent>
                </w:sdt>
                <w:tc>
                  <w:tcPr>
                    <w:tcW w:w="1131" w:type="pct"/>
                    <w:tcBorders>
                      <w:top w:val="outset" w:sz="4" w:space="0" w:color="auto"/>
                      <w:left w:val="outset" w:sz="4" w:space="0" w:color="auto"/>
                      <w:bottom w:val="outset" w:sz="4" w:space="0" w:color="auto"/>
                      <w:right w:val="outset" w:sz="4" w:space="0" w:color="auto"/>
                    </w:tcBorders>
                  </w:tcPr>
                  <w:p w14:paraId="167AC6C1" w14:textId="77777777" w:rsidR="00830E72" w:rsidRDefault="008344D8">
                    <w:pPr>
                      <w:jc w:val="right"/>
                      <w:rPr>
                        <w:szCs w:val="21"/>
                      </w:rPr>
                    </w:pPr>
                    <w:r>
                      <w:rPr>
                        <w:szCs w:val="21"/>
                      </w:rPr>
                      <w:t>83,251,919.30</w:t>
                    </w:r>
                  </w:p>
                </w:tc>
                <w:tc>
                  <w:tcPr>
                    <w:tcW w:w="996" w:type="pct"/>
                    <w:tcBorders>
                      <w:top w:val="outset" w:sz="4" w:space="0" w:color="auto"/>
                      <w:left w:val="outset" w:sz="4" w:space="0" w:color="auto"/>
                      <w:bottom w:val="outset" w:sz="4" w:space="0" w:color="auto"/>
                      <w:right w:val="outset" w:sz="4" w:space="0" w:color="auto"/>
                    </w:tcBorders>
                  </w:tcPr>
                  <w:p w14:paraId="7F279D05" w14:textId="77777777" w:rsidR="00830E72" w:rsidRDefault="008344D8">
                    <w:pPr>
                      <w:jc w:val="right"/>
                      <w:rPr>
                        <w:szCs w:val="21"/>
                      </w:rPr>
                    </w:pPr>
                    <w:r>
                      <w:t>83,251,919.30</w:t>
                    </w:r>
                  </w:p>
                </w:tc>
                <w:tc>
                  <w:tcPr>
                    <w:tcW w:w="1166" w:type="pct"/>
                    <w:tcBorders>
                      <w:top w:val="outset" w:sz="4" w:space="0" w:color="auto"/>
                      <w:left w:val="outset" w:sz="4" w:space="0" w:color="auto"/>
                      <w:bottom w:val="outset" w:sz="4" w:space="0" w:color="auto"/>
                      <w:right w:val="outset" w:sz="4" w:space="0" w:color="auto"/>
                    </w:tcBorders>
                  </w:tcPr>
                  <w:p w14:paraId="2DBFD0E3" w14:textId="77777777" w:rsidR="00830E72" w:rsidRDefault="00830E72">
                    <w:pPr>
                      <w:jc w:val="right"/>
                      <w:rPr>
                        <w:szCs w:val="21"/>
                      </w:rPr>
                    </w:pPr>
                  </w:p>
                </w:tc>
              </w:tr>
              <w:tr w:rsidR="00830E72" w14:paraId="5DFD8A06" w14:textId="77777777">
                <w:sdt>
                  <w:sdtPr>
                    <w:tag w:val="_PLD_c639adcbe40b4a05b0dabb81fab2af29"/>
                    <w:id w:val="1530223951"/>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276E8152" w14:textId="77777777" w:rsidR="00830E72" w:rsidRDefault="008344D8">
                        <w:pPr>
                          <w:ind w:firstLineChars="100" w:firstLine="210"/>
                          <w:rPr>
                            <w:szCs w:val="21"/>
                          </w:rPr>
                        </w:pPr>
                        <w:r>
                          <w:rPr>
                            <w:rFonts w:hint="eastAsia"/>
                            <w:szCs w:val="21"/>
                          </w:rPr>
                          <w:t>其他流动资产</w:t>
                        </w:r>
                      </w:p>
                    </w:tc>
                  </w:sdtContent>
                </w:sdt>
                <w:tc>
                  <w:tcPr>
                    <w:tcW w:w="1131" w:type="pct"/>
                    <w:tcBorders>
                      <w:top w:val="outset" w:sz="4" w:space="0" w:color="auto"/>
                      <w:left w:val="outset" w:sz="4" w:space="0" w:color="auto"/>
                      <w:bottom w:val="outset" w:sz="4" w:space="0" w:color="auto"/>
                      <w:right w:val="outset" w:sz="4" w:space="0" w:color="auto"/>
                    </w:tcBorders>
                  </w:tcPr>
                  <w:p w14:paraId="5563F5FD" w14:textId="77777777" w:rsidR="00830E72" w:rsidRDefault="008344D8">
                    <w:pPr>
                      <w:jc w:val="right"/>
                      <w:rPr>
                        <w:szCs w:val="21"/>
                      </w:rPr>
                    </w:pPr>
                    <w:r>
                      <w:rPr>
                        <w:szCs w:val="21"/>
                      </w:rPr>
                      <w:t>78,577,663.96</w:t>
                    </w:r>
                  </w:p>
                </w:tc>
                <w:tc>
                  <w:tcPr>
                    <w:tcW w:w="996" w:type="pct"/>
                    <w:tcBorders>
                      <w:top w:val="outset" w:sz="4" w:space="0" w:color="auto"/>
                      <w:left w:val="outset" w:sz="4" w:space="0" w:color="auto"/>
                      <w:bottom w:val="outset" w:sz="4" w:space="0" w:color="auto"/>
                      <w:right w:val="outset" w:sz="4" w:space="0" w:color="auto"/>
                    </w:tcBorders>
                  </w:tcPr>
                  <w:p w14:paraId="76E0C485" w14:textId="77777777" w:rsidR="00830E72" w:rsidRDefault="008344D8">
                    <w:pPr>
                      <w:jc w:val="right"/>
                      <w:rPr>
                        <w:szCs w:val="21"/>
                      </w:rPr>
                    </w:pPr>
                    <w:r>
                      <w:t>78,577,663.96</w:t>
                    </w:r>
                  </w:p>
                </w:tc>
                <w:tc>
                  <w:tcPr>
                    <w:tcW w:w="1166" w:type="pct"/>
                    <w:tcBorders>
                      <w:top w:val="outset" w:sz="4" w:space="0" w:color="auto"/>
                      <w:left w:val="outset" w:sz="4" w:space="0" w:color="auto"/>
                      <w:bottom w:val="outset" w:sz="4" w:space="0" w:color="auto"/>
                      <w:right w:val="outset" w:sz="4" w:space="0" w:color="auto"/>
                    </w:tcBorders>
                  </w:tcPr>
                  <w:p w14:paraId="27E02BD0" w14:textId="77777777" w:rsidR="00830E72" w:rsidRDefault="00830E72">
                    <w:pPr>
                      <w:jc w:val="right"/>
                      <w:rPr>
                        <w:szCs w:val="21"/>
                      </w:rPr>
                    </w:pPr>
                  </w:p>
                </w:tc>
              </w:tr>
              <w:tr w:rsidR="00830E72" w14:paraId="7E4ECD4A" w14:textId="77777777">
                <w:sdt>
                  <w:sdtPr>
                    <w:tag w:val="_PLD_e3f264539b5943aeb4e53e3500a11c95"/>
                    <w:id w:val="284160713"/>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62A5029C" w14:textId="77777777" w:rsidR="00830E72" w:rsidRDefault="008344D8">
                        <w:pPr>
                          <w:ind w:firstLineChars="200" w:firstLine="420"/>
                          <w:rPr>
                            <w:szCs w:val="21"/>
                          </w:rPr>
                        </w:pPr>
                        <w:r>
                          <w:rPr>
                            <w:rFonts w:hint="eastAsia"/>
                            <w:szCs w:val="21"/>
                          </w:rPr>
                          <w:t>流动资产合计</w:t>
                        </w:r>
                      </w:p>
                    </w:tc>
                  </w:sdtContent>
                </w:sdt>
                <w:tc>
                  <w:tcPr>
                    <w:tcW w:w="1131" w:type="pct"/>
                    <w:tcBorders>
                      <w:top w:val="outset" w:sz="4" w:space="0" w:color="auto"/>
                      <w:left w:val="outset" w:sz="4" w:space="0" w:color="auto"/>
                      <w:bottom w:val="outset" w:sz="4" w:space="0" w:color="auto"/>
                      <w:right w:val="outset" w:sz="4" w:space="0" w:color="auto"/>
                    </w:tcBorders>
                  </w:tcPr>
                  <w:p w14:paraId="6F62133B" w14:textId="77777777" w:rsidR="00830E72" w:rsidRDefault="008344D8">
                    <w:pPr>
                      <w:jc w:val="right"/>
                      <w:rPr>
                        <w:szCs w:val="21"/>
                      </w:rPr>
                    </w:pPr>
                    <w:r>
                      <w:rPr>
                        <w:szCs w:val="21"/>
                      </w:rPr>
                      <w:t>3,953,580,770.11</w:t>
                    </w:r>
                  </w:p>
                </w:tc>
                <w:tc>
                  <w:tcPr>
                    <w:tcW w:w="996" w:type="pct"/>
                    <w:tcBorders>
                      <w:top w:val="outset" w:sz="4" w:space="0" w:color="auto"/>
                      <w:left w:val="outset" w:sz="4" w:space="0" w:color="auto"/>
                      <w:bottom w:val="outset" w:sz="4" w:space="0" w:color="auto"/>
                      <w:right w:val="outset" w:sz="4" w:space="0" w:color="auto"/>
                    </w:tcBorders>
                  </w:tcPr>
                  <w:p w14:paraId="2088A23E" w14:textId="77777777" w:rsidR="00830E72" w:rsidRDefault="008344D8">
                    <w:pPr>
                      <w:jc w:val="right"/>
                      <w:rPr>
                        <w:szCs w:val="21"/>
                      </w:rPr>
                    </w:pPr>
                    <w:r>
                      <w:t>3,953,580,770.11</w:t>
                    </w:r>
                  </w:p>
                </w:tc>
                <w:tc>
                  <w:tcPr>
                    <w:tcW w:w="1166" w:type="pct"/>
                    <w:tcBorders>
                      <w:top w:val="outset" w:sz="4" w:space="0" w:color="auto"/>
                      <w:left w:val="outset" w:sz="4" w:space="0" w:color="auto"/>
                      <w:bottom w:val="outset" w:sz="4" w:space="0" w:color="auto"/>
                      <w:right w:val="outset" w:sz="4" w:space="0" w:color="auto"/>
                    </w:tcBorders>
                  </w:tcPr>
                  <w:p w14:paraId="34C4D5E7" w14:textId="77777777" w:rsidR="00830E72" w:rsidRDefault="00830E72">
                    <w:pPr>
                      <w:jc w:val="right"/>
                      <w:rPr>
                        <w:szCs w:val="21"/>
                      </w:rPr>
                    </w:pPr>
                  </w:p>
                </w:tc>
              </w:tr>
              <w:tr w:rsidR="00830E72" w14:paraId="526CADFF" w14:textId="77777777">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caf9cfa49da24a91b1a36ce2bbed2585"/>
                      <w:id w:val="1715470581"/>
                      <w:lock w:val="sdtLocked"/>
                    </w:sdtPr>
                    <w:sdtEndPr/>
                    <w:sdtContent>
                      <w:p w14:paraId="30268FF0" w14:textId="77777777" w:rsidR="00830E72" w:rsidRDefault="008344D8">
                        <w:pPr>
                          <w:rPr>
                            <w:szCs w:val="21"/>
                          </w:rPr>
                        </w:pPr>
                        <w:r>
                          <w:rPr>
                            <w:rFonts w:hint="eastAsia"/>
                            <w:b/>
                          </w:rPr>
                          <w:t>非流动资产：</w:t>
                        </w:r>
                      </w:p>
                    </w:sdtContent>
                  </w:sdt>
                </w:tc>
              </w:tr>
              <w:tr w:rsidR="00830E72" w14:paraId="6A53BCFD" w14:textId="77777777">
                <w:sdt>
                  <w:sdtPr>
                    <w:tag w:val="_PLD_385c89a19e074f6b802c0fb55810b9de"/>
                    <w:id w:val="-1927035634"/>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2E5BF83D" w14:textId="77777777" w:rsidR="00830E72" w:rsidRDefault="008344D8">
                        <w:pPr>
                          <w:ind w:firstLineChars="100" w:firstLine="210"/>
                          <w:rPr>
                            <w:szCs w:val="21"/>
                          </w:rPr>
                        </w:pPr>
                        <w:r>
                          <w:rPr>
                            <w:rFonts w:hint="eastAsia"/>
                            <w:szCs w:val="21"/>
                          </w:rPr>
                          <w:t>发放贷款和垫款</w:t>
                        </w:r>
                      </w:p>
                    </w:tc>
                  </w:sdtContent>
                </w:sdt>
                <w:tc>
                  <w:tcPr>
                    <w:tcW w:w="1131" w:type="pct"/>
                    <w:tcBorders>
                      <w:top w:val="outset" w:sz="4" w:space="0" w:color="auto"/>
                      <w:left w:val="outset" w:sz="4" w:space="0" w:color="auto"/>
                      <w:bottom w:val="outset" w:sz="4" w:space="0" w:color="auto"/>
                      <w:right w:val="outset" w:sz="4" w:space="0" w:color="auto"/>
                    </w:tcBorders>
                  </w:tcPr>
                  <w:p w14:paraId="194F0585"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7936C21"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DA7D2EE" w14:textId="77777777" w:rsidR="00830E72" w:rsidRDefault="00830E72">
                    <w:pPr>
                      <w:jc w:val="right"/>
                      <w:rPr>
                        <w:szCs w:val="21"/>
                      </w:rPr>
                    </w:pPr>
                  </w:p>
                </w:tc>
              </w:tr>
              <w:tr w:rsidR="00830E72" w14:paraId="49821EE7" w14:textId="77777777">
                <w:tc>
                  <w:tcPr>
                    <w:tcW w:w="170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902c7da17da47d69102fd6a56432b9c"/>
                      <w:id w:val="-136570827"/>
                      <w:lock w:val="sdtLocked"/>
                    </w:sdtPr>
                    <w:sdtEndPr/>
                    <w:sdtContent>
                      <w:p w14:paraId="29862F85" w14:textId="77777777" w:rsidR="00830E72" w:rsidRDefault="008344D8">
                        <w:pPr>
                          <w:ind w:firstLineChars="100" w:firstLine="210"/>
                        </w:pPr>
                        <w:r>
                          <w:rPr>
                            <w:rFonts w:hint="eastAsia"/>
                          </w:rPr>
                          <w:t>债权投资</w:t>
                        </w:r>
                      </w:p>
                    </w:sdtContent>
                  </w:sdt>
                </w:tc>
                <w:tc>
                  <w:tcPr>
                    <w:tcW w:w="1131" w:type="pct"/>
                    <w:tcBorders>
                      <w:top w:val="outset" w:sz="4" w:space="0" w:color="auto"/>
                      <w:left w:val="outset" w:sz="4" w:space="0" w:color="auto"/>
                      <w:bottom w:val="outset" w:sz="4" w:space="0" w:color="auto"/>
                      <w:right w:val="outset" w:sz="4" w:space="0" w:color="auto"/>
                    </w:tcBorders>
                  </w:tcPr>
                  <w:p w14:paraId="1BD9D397"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E970C45"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53BE6052" w14:textId="77777777" w:rsidR="00830E72" w:rsidRDefault="00830E72">
                    <w:pPr>
                      <w:jc w:val="right"/>
                      <w:rPr>
                        <w:szCs w:val="21"/>
                      </w:rPr>
                    </w:pPr>
                  </w:p>
                </w:tc>
              </w:tr>
              <w:tr w:rsidR="00830E72" w14:paraId="2F38AF00" w14:textId="77777777">
                <w:tc>
                  <w:tcPr>
                    <w:tcW w:w="170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b45365dadf84c00bea18ec23cf0f117"/>
                      <w:id w:val="-1259978883"/>
                      <w:lock w:val="sdtLocked"/>
                    </w:sdtPr>
                    <w:sdtEndPr/>
                    <w:sdtContent>
                      <w:p w14:paraId="1FE85A16" w14:textId="77777777" w:rsidR="00830E72" w:rsidRDefault="008344D8">
                        <w:pPr>
                          <w:ind w:firstLineChars="100" w:firstLine="210"/>
                        </w:pPr>
                        <w:r>
                          <w:rPr>
                            <w:rFonts w:hint="eastAsia"/>
                          </w:rPr>
                          <w:t>其他债权投资</w:t>
                        </w:r>
                      </w:p>
                    </w:sdtContent>
                  </w:sdt>
                </w:tc>
                <w:tc>
                  <w:tcPr>
                    <w:tcW w:w="1131" w:type="pct"/>
                    <w:tcBorders>
                      <w:top w:val="outset" w:sz="4" w:space="0" w:color="auto"/>
                      <w:left w:val="outset" w:sz="4" w:space="0" w:color="auto"/>
                      <w:bottom w:val="outset" w:sz="4" w:space="0" w:color="auto"/>
                      <w:right w:val="outset" w:sz="4" w:space="0" w:color="auto"/>
                    </w:tcBorders>
                  </w:tcPr>
                  <w:p w14:paraId="2FD4D37D"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12C21F8E"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C414674" w14:textId="77777777" w:rsidR="00830E72" w:rsidRDefault="00830E72">
                    <w:pPr>
                      <w:jc w:val="right"/>
                      <w:rPr>
                        <w:szCs w:val="21"/>
                      </w:rPr>
                    </w:pPr>
                  </w:p>
                </w:tc>
              </w:tr>
              <w:tr w:rsidR="00830E72" w14:paraId="6803291B" w14:textId="77777777">
                <w:sdt>
                  <w:sdtPr>
                    <w:tag w:val="_PLD_27a33778347f497ca160519a6e6b8c7c"/>
                    <w:id w:val="43951998"/>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2C9E6B31" w14:textId="77777777" w:rsidR="00830E72" w:rsidRDefault="008344D8">
                        <w:pPr>
                          <w:ind w:firstLineChars="100" w:firstLine="210"/>
                          <w:rPr>
                            <w:szCs w:val="21"/>
                          </w:rPr>
                        </w:pPr>
                        <w:r>
                          <w:rPr>
                            <w:rFonts w:hint="eastAsia"/>
                            <w:szCs w:val="21"/>
                          </w:rPr>
                          <w:t>长期应收款</w:t>
                        </w:r>
                      </w:p>
                    </w:tc>
                  </w:sdtContent>
                </w:sdt>
                <w:tc>
                  <w:tcPr>
                    <w:tcW w:w="1131" w:type="pct"/>
                    <w:tcBorders>
                      <w:top w:val="outset" w:sz="4" w:space="0" w:color="auto"/>
                      <w:left w:val="outset" w:sz="4" w:space="0" w:color="auto"/>
                      <w:bottom w:val="outset" w:sz="4" w:space="0" w:color="auto"/>
                      <w:right w:val="outset" w:sz="4" w:space="0" w:color="auto"/>
                    </w:tcBorders>
                  </w:tcPr>
                  <w:p w14:paraId="5483089F" w14:textId="77777777" w:rsidR="00830E72" w:rsidRDefault="008344D8">
                    <w:pPr>
                      <w:jc w:val="right"/>
                      <w:rPr>
                        <w:szCs w:val="21"/>
                      </w:rPr>
                    </w:pPr>
                    <w:r>
                      <w:rPr>
                        <w:szCs w:val="21"/>
                      </w:rPr>
                      <w:t>802,954,150.86</w:t>
                    </w:r>
                  </w:p>
                </w:tc>
                <w:tc>
                  <w:tcPr>
                    <w:tcW w:w="996" w:type="pct"/>
                    <w:tcBorders>
                      <w:top w:val="outset" w:sz="4" w:space="0" w:color="auto"/>
                      <w:left w:val="outset" w:sz="4" w:space="0" w:color="auto"/>
                      <w:bottom w:val="outset" w:sz="4" w:space="0" w:color="auto"/>
                      <w:right w:val="outset" w:sz="4" w:space="0" w:color="auto"/>
                    </w:tcBorders>
                  </w:tcPr>
                  <w:p w14:paraId="41EEA317" w14:textId="77777777" w:rsidR="00830E72" w:rsidRDefault="008344D8">
                    <w:pPr>
                      <w:jc w:val="right"/>
                      <w:rPr>
                        <w:szCs w:val="21"/>
                      </w:rPr>
                    </w:pPr>
                    <w:r>
                      <w:t>802,954,150.86</w:t>
                    </w:r>
                  </w:p>
                </w:tc>
                <w:tc>
                  <w:tcPr>
                    <w:tcW w:w="1166" w:type="pct"/>
                    <w:tcBorders>
                      <w:top w:val="outset" w:sz="4" w:space="0" w:color="auto"/>
                      <w:left w:val="outset" w:sz="4" w:space="0" w:color="auto"/>
                      <w:bottom w:val="outset" w:sz="4" w:space="0" w:color="auto"/>
                      <w:right w:val="outset" w:sz="4" w:space="0" w:color="auto"/>
                    </w:tcBorders>
                  </w:tcPr>
                  <w:p w14:paraId="7AF36F56" w14:textId="77777777" w:rsidR="00830E72" w:rsidRDefault="00830E72">
                    <w:pPr>
                      <w:jc w:val="right"/>
                      <w:rPr>
                        <w:szCs w:val="21"/>
                      </w:rPr>
                    </w:pPr>
                  </w:p>
                </w:tc>
              </w:tr>
              <w:tr w:rsidR="00830E72" w14:paraId="27536691" w14:textId="77777777">
                <w:sdt>
                  <w:sdtPr>
                    <w:tag w:val="_PLD_2c2f80b155914d9cbb35f3ee70f3962e"/>
                    <w:id w:val="1238369356"/>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5C4CDC2E" w14:textId="77777777" w:rsidR="00830E72" w:rsidRDefault="008344D8">
                        <w:pPr>
                          <w:ind w:firstLineChars="100" w:firstLine="210"/>
                          <w:rPr>
                            <w:szCs w:val="21"/>
                          </w:rPr>
                        </w:pPr>
                        <w:r>
                          <w:rPr>
                            <w:rFonts w:hint="eastAsia"/>
                            <w:szCs w:val="21"/>
                          </w:rPr>
                          <w:t>长期股权投资</w:t>
                        </w:r>
                      </w:p>
                    </w:tc>
                  </w:sdtContent>
                </w:sdt>
                <w:tc>
                  <w:tcPr>
                    <w:tcW w:w="1131" w:type="pct"/>
                    <w:tcBorders>
                      <w:top w:val="outset" w:sz="4" w:space="0" w:color="auto"/>
                      <w:left w:val="outset" w:sz="4" w:space="0" w:color="auto"/>
                      <w:bottom w:val="outset" w:sz="4" w:space="0" w:color="auto"/>
                      <w:right w:val="outset" w:sz="4" w:space="0" w:color="auto"/>
                    </w:tcBorders>
                  </w:tcPr>
                  <w:p w14:paraId="0BA7B5B8"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3BF301A0"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4923049" w14:textId="77777777" w:rsidR="00830E72" w:rsidRDefault="00830E72">
                    <w:pPr>
                      <w:jc w:val="right"/>
                      <w:rPr>
                        <w:szCs w:val="21"/>
                      </w:rPr>
                    </w:pPr>
                  </w:p>
                </w:tc>
              </w:tr>
              <w:tr w:rsidR="00830E72" w14:paraId="4D1B9658" w14:textId="77777777">
                <w:tc>
                  <w:tcPr>
                    <w:tcW w:w="170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236fe62569441f3928324583015cc4a"/>
                      <w:id w:val="-277180807"/>
                      <w:lock w:val="sdtLocked"/>
                    </w:sdtPr>
                    <w:sdtEndPr/>
                    <w:sdtContent>
                      <w:p w14:paraId="4592A0DE" w14:textId="77777777" w:rsidR="00830E72" w:rsidRDefault="008344D8">
                        <w:pPr>
                          <w:ind w:firstLineChars="100" w:firstLine="210"/>
                        </w:pPr>
                        <w:r>
                          <w:rPr>
                            <w:rFonts w:hint="eastAsia"/>
                          </w:rPr>
                          <w:t>其他权益工具投资</w:t>
                        </w:r>
                      </w:p>
                    </w:sdtContent>
                  </w:sdt>
                </w:tc>
                <w:tc>
                  <w:tcPr>
                    <w:tcW w:w="1131" w:type="pct"/>
                    <w:tcBorders>
                      <w:top w:val="outset" w:sz="4" w:space="0" w:color="auto"/>
                      <w:left w:val="outset" w:sz="4" w:space="0" w:color="auto"/>
                      <w:bottom w:val="outset" w:sz="4" w:space="0" w:color="auto"/>
                      <w:right w:val="outset" w:sz="4" w:space="0" w:color="auto"/>
                    </w:tcBorders>
                  </w:tcPr>
                  <w:p w14:paraId="25323679"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126080EC"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1B3EA3B8" w14:textId="77777777" w:rsidR="00830E72" w:rsidRDefault="00830E72">
                    <w:pPr>
                      <w:jc w:val="right"/>
                      <w:rPr>
                        <w:szCs w:val="21"/>
                      </w:rPr>
                    </w:pPr>
                  </w:p>
                </w:tc>
              </w:tr>
              <w:tr w:rsidR="00830E72" w14:paraId="64FE7CAB" w14:textId="77777777">
                <w:tc>
                  <w:tcPr>
                    <w:tcW w:w="170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c34d68c92104ce0a76208c820a73f6e"/>
                      <w:id w:val="-1007828424"/>
                      <w:lock w:val="sdtLocked"/>
                    </w:sdtPr>
                    <w:sdtEndPr/>
                    <w:sdtContent>
                      <w:p w14:paraId="36639944" w14:textId="77777777" w:rsidR="00830E72" w:rsidRDefault="008344D8">
                        <w:pPr>
                          <w:ind w:firstLineChars="100" w:firstLine="210"/>
                        </w:pPr>
                        <w:r>
                          <w:rPr>
                            <w:rFonts w:hint="eastAsia"/>
                          </w:rPr>
                          <w:t>其他非流动金融资产</w:t>
                        </w:r>
                      </w:p>
                    </w:sdtContent>
                  </w:sdt>
                </w:tc>
                <w:tc>
                  <w:tcPr>
                    <w:tcW w:w="1131" w:type="pct"/>
                    <w:tcBorders>
                      <w:top w:val="outset" w:sz="4" w:space="0" w:color="auto"/>
                      <w:left w:val="outset" w:sz="4" w:space="0" w:color="auto"/>
                      <w:bottom w:val="outset" w:sz="4" w:space="0" w:color="auto"/>
                      <w:right w:val="outset" w:sz="4" w:space="0" w:color="auto"/>
                    </w:tcBorders>
                  </w:tcPr>
                  <w:p w14:paraId="25FBA3BD" w14:textId="77777777" w:rsidR="00830E72" w:rsidRDefault="008344D8">
                    <w:pPr>
                      <w:jc w:val="right"/>
                      <w:rPr>
                        <w:szCs w:val="21"/>
                      </w:rPr>
                    </w:pPr>
                    <w:r>
                      <w:rPr>
                        <w:szCs w:val="21"/>
                      </w:rPr>
                      <w:t>75,453,157.25</w:t>
                    </w:r>
                  </w:p>
                </w:tc>
                <w:tc>
                  <w:tcPr>
                    <w:tcW w:w="996" w:type="pct"/>
                    <w:tcBorders>
                      <w:top w:val="outset" w:sz="4" w:space="0" w:color="auto"/>
                      <w:left w:val="outset" w:sz="4" w:space="0" w:color="auto"/>
                      <w:bottom w:val="outset" w:sz="4" w:space="0" w:color="auto"/>
                      <w:right w:val="outset" w:sz="4" w:space="0" w:color="auto"/>
                    </w:tcBorders>
                  </w:tcPr>
                  <w:p w14:paraId="41C561ED" w14:textId="77777777" w:rsidR="00830E72" w:rsidRDefault="008344D8">
                    <w:pPr>
                      <w:jc w:val="right"/>
                      <w:rPr>
                        <w:szCs w:val="21"/>
                      </w:rPr>
                    </w:pPr>
                    <w:r>
                      <w:t>75,453,157.25</w:t>
                    </w:r>
                  </w:p>
                </w:tc>
                <w:tc>
                  <w:tcPr>
                    <w:tcW w:w="1166" w:type="pct"/>
                    <w:tcBorders>
                      <w:top w:val="outset" w:sz="4" w:space="0" w:color="auto"/>
                      <w:left w:val="outset" w:sz="4" w:space="0" w:color="auto"/>
                      <w:bottom w:val="outset" w:sz="4" w:space="0" w:color="auto"/>
                      <w:right w:val="outset" w:sz="4" w:space="0" w:color="auto"/>
                    </w:tcBorders>
                  </w:tcPr>
                  <w:p w14:paraId="4C4A99E3" w14:textId="77777777" w:rsidR="00830E72" w:rsidRDefault="00830E72">
                    <w:pPr>
                      <w:jc w:val="right"/>
                      <w:rPr>
                        <w:szCs w:val="21"/>
                      </w:rPr>
                    </w:pPr>
                  </w:p>
                </w:tc>
              </w:tr>
              <w:tr w:rsidR="00830E72" w14:paraId="408CA785" w14:textId="77777777">
                <w:sdt>
                  <w:sdtPr>
                    <w:tag w:val="_PLD_20779687e71044edbf48bf6d72fd659d"/>
                    <w:id w:val="-1160298074"/>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120198D8" w14:textId="77777777" w:rsidR="00830E72" w:rsidRDefault="008344D8">
                        <w:pPr>
                          <w:ind w:firstLineChars="100" w:firstLine="210"/>
                          <w:rPr>
                            <w:szCs w:val="21"/>
                          </w:rPr>
                        </w:pPr>
                        <w:r>
                          <w:rPr>
                            <w:rFonts w:hint="eastAsia"/>
                            <w:szCs w:val="21"/>
                          </w:rPr>
                          <w:t>投资性房地产</w:t>
                        </w:r>
                      </w:p>
                    </w:tc>
                  </w:sdtContent>
                </w:sdt>
                <w:tc>
                  <w:tcPr>
                    <w:tcW w:w="1131" w:type="pct"/>
                    <w:tcBorders>
                      <w:top w:val="outset" w:sz="4" w:space="0" w:color="auto"/>
                      <w:left w:val="outset" w:sz="4" w:space="0" w:color="auto"/>
                      <w:bottom w:val="outset" w:sz="4" w:space="0" w:color="auto"/>
                      <w:right w:val="outset" w:sz="4" w:space="0" w:color="auto"/>
                    </w:tcBorders>
                  </w:tcPr>
                  <w:p w14:paraId="62515F72" w14:textId="77777777" w:rsidR="00830E72" w:rsidRDefault="008344D8">
                    <w:pPr>
                      <w:jc w:val="right"/>
                      <w:rPr>
                        <w:szCs w:val="21"/>
                      </w:rPr>
                    </w:pPr>
                    <w:r>
                      <w:rPr>
                        <w:szCs w:val="21"/>
                      </w:rPr>
                      <w:t>97,634,438.66</w:t>
                    </w:r>
                  </w:p>
                </w:tc>
                <w:tc>
                  <w:tcPr>
                    <w:tcW w:w="996" w:type="pct"/>
                    <w:tcBorders>
                      <w:top w:val="outset" w:sz="4" w:space="0" w:color="auto"/>
                      <w:left w:val="outset" w:sz="4" w:space="0" w:color="auto"/>
                      <w:bottom w:val="outset" w:sz="4" w:space="0" w:color="auto"/>
                      <w:right w:val="outset" w:sz="4" w:space="0" w:color="auto"/>
                    </w:tcBorders>
                  </w:tcPr>
                  <w:p w14:paraId="66C79578" w14:textId="77777777" w:rsidR="00830E72" w:rsidRDefault="008344D8">
                    <w:pPr>
                      <w:jc w:val="right"/>
                      <w:rPr>
                        <w:szCs w:val="21"/>
                      </w:rPr>
                    </w:pPr>
                    <w:r>
                      <w:t>97,634,438.66</w:t>
                    </w:r>
                  </w:p>
                </w:tc>
                <w:tc>
                  <w:tcPr>
                    <w:tcW w:w="1166" w:type="pct"/>
                    <w:tcBorders>
                      <w:top w:val="outset" w:sz="4" w:space="0" w:color="auto"/>
                      <w:left w:val="outset" w:sz="4" w:space="0" w:color="auto"/>
                      <w:bottom w:val="outset" w:sz="4" w:space="0" w:color="auto"/>
                      <w:right w:val="outset" w:sz="4" w:space="0" w:color="auto"/>
                    </w:tcBorders>
                  </w:tcPr>
                  <w:p w14:paraId="11BDFC81" w14:textId="77777777" w:rsidR="00830E72" w:rsidRDefault="00830E72">
                    <w:pPr>
                      <w:jc w:val="right"/>
                      <w:rPr>
                        <w:szCs w:val="21"/>
                      </w:rPr>
                    </w:pPr>
                  </w:p>
                </w:tc>
              </w:tr>
              <w:tr w:rsidR="00830E72" w14:paraId="1B1F5F5C" w14:textId="77777777">
                <w:sdt>
                  <w:sdtPr>
                    <w:tag w:val="_PLD_b4d3d3f9c80a46518df6b927f85638a8"/>
                    <w:id w:val="435029064"/>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6F037E2B" w14:textId="77777777" w:rsidR="00830E72" w:rsidRDefault="008344D8">
                        <w:pPr>
                          <w:ind w:firstLineChars="100" w:firstLine="210"/>
                          <w:rPr>
                            <w:szCs w:val="21"/>
                          </w:rPr>
                        </w:pPr>
                        <w:r>
                          <w:rPr>
                            <w:rFonts w:hint="eastAsia"/>
                            <w:szCs w:val="21"/>
                          </w:rPr>
                          <w:t>固定资产</w:t>
                        </w:r>
                      </w:p>
                    </w:tc>
                  </w:sdtContent>
                </w:sdt>
                <w:tc>
                  <w:tcPr>
                    <w:tcW w:w="1131" w:type="pct"/>
                    <w:tcBorders>
                      <w:top w:val="outset" w:sz="4" w:space="0" w:color="auto"/>
                      <w:left w:val="outset" w:sz="4" w:space="0" w:color="auto"/>
                      <w:bottom w:val="outset" w:sz="4" w:space="0" w:color="auto"/>
                      <w:right w:val="outset" w:sz="4" w:space="0" w:color="auto"/>
                    </w:tcBorders>
                  </w:tcPr>
                  <w:p w14:paraId="740C2430" w14:textId="77777777" w:rsidR="00830E72" w:rsidRDefault="008344D8">
                    <w:pPr>
                      <w:jc w:val="right"/>
                      <w:rPr>
                        <w:szCs w:val="21"/>
                      </w:rPr>
                    </w:pPr>
                    <w:r>
                      <w:rPr>
                        <w:szCs w:val="21"/>
                      </w:rPr>
                      <w:t>41,020,039.76</w:t>
                    </w:r>
                  </w:p>
                </w:tc>
                <w:tc>
                  <w:tcPr>
                    <w:tcW w:w="996" w:type="pct"/>
                    <w:tcBorders>
                      <w:top w:val="outset" w:sz="4" w:space="0" w:color="auto"/>
                      <w:left w:val="outset" w:sz="4" w:space="0" w:color="auto"/>
                      <w:bottom w:val="outset" w:sz="4" w:space="0" w:color="auto"/>
                      <w:right w:val="outset" w:sz="4" w:space="0" w:color="auto"/>
                    </w:tcBorders>
                  </w:tcPr>
                  <w:p w14:paraId="10D54D49" w14:textId="77777777" w:rsidR="00830E72" w:rsidRDefault="008344D8">
                    <w:pPr>
                      <w:jc w:val="right"/>
                      <w:rPr>
                        <w:szCs w:val="21"/>
                      </w:rPr>
                    </w:pPr>
                    <w:r>
                      <w:t>41,020,039.76</w:t>
                    </w:r>
                  </w:p>
                </w:tc>
                <w:tc>
                  <w:tcPr>
                    <w:tcW w:w="1166" w:type="pct"/>
                    <w:tcBorders>
                      <w:top w:val="outset" w:sz="4" w:space="0" w:color="auto"/>
                      <w:left w:val="outset" w:sz="4" w:space="0" w:color="auto"/>
                      <w:bottom w:val="outset" w:sz="4" w:space="0" w:color="auto"/>
                      <w:right w:val="outset" w:sz="4" w:space="0" w:color="auto"/>
                    </w:tcBorders>
                  </w:tcPr>
                  <w:p w14:paraId="6202A922" w14:textId="77777777" w:rsidR="00830E72" w:rsidRDefault="00830E72">
                    <w:pPr>
                      <w:jc w:val="right"/>
                      <w:rPr>
                        <w:szCs w:val="21"/>
                      </w:rPr>
                    </w:pPr>
                  </w:p>
                </w:tc>
              </w:tr>
              <w:tr w:rsidR="00830E72" w14:paraId="0540262D" w14:textId="77777777">
                <w:sdt>
                  <w:sdtPr>
                    <w:tag w:val="_PLD_0b3a7e34c3ee4ba5a49df4a07c4c3528"/>
                    <w:id w:val="1789619466"/>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1D9A1661" w14:textId="77777777" w:rsidR="00830E72" w:rsidRDefault="008344D8">
                        <w:pPr>
                          <w:ind w:firstLineChars="100" w:firstLine="210"/>
                          <w:rPr>
                            <w:szCs w:val="21"/>
                          </w:rPr>
                        </w:pPr>
                        <w:r>
                          <w:rPr>
                            <w:rFonts w:hint="eastAsia"/>
                            <w:szCs w:val="21"/>
                          </w:rPr>
                          <w:t>在建工程</w:t>
                        </w:r>
                      </w:p>
                    </w:tc>
                  </w:sdtContent>
                </w:sdt>
                <w:tc>
                  <w:tcPr>
                    <w:tcW w:w="1131" w:type="pct"/>
                    <w:tcBorders>
                      <w:top w:val="outset" w:sz="4" w:space="0" w:color="auto"/>
                      <w:left w:val="outset" w:sz="4" w:space="0" w:color="auto"/>
                      <w:bottom w:val="outset" w:sz="4" w:space="0" w:color="auto"/>
                      <w:right w:val="outset" w:sz="4" w:space="0" w:color="auto"/>
                    </w:tcBorders>
                  </w:tcPr>
                  <w:p w14:paraId="3B59456E"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AC95DA8"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A1AE7EC" w14:textId="77777777" w:rsidR="00830E72" w:rsidRDefault="00830E72">
                    <w:pPr>
                      <w:jc w:val="right"/>
                      <w:rPr>
                        <w:szCs w:val="21"/>
                      </w:rPr>
                    </w:pPr>
                  </w:p>
                </w:tc>
              </w:tr>
              <w:tr w:rsidR="00830E72" w14:paraId="3936769B" w14:textId="77777777">
                <w:sdt>
                  <w:sdtPr>
                    <w:tag w:val="_PLD_10586227ba0045bda765cf5dffd72833"/>
                    <w:id w:val="415216435"/>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09052CDF" w14:textId="77777777" w:rsidR="00830E72" w:rsidRDefault="008344D8">
                        <w:pPr>
                          <w:ind w:firstLineChars="100" w:firstLine="210"/>
                          <w:rPr>
                            <w:szCs w:val="21"/>
                          </w:rPr>
                        </w:pPr>
                        <w:r>
                          <w:rPr>
                            <w:rFonts w:hint="eastAsia"/>
                            <w:szCs w:val="21"/>
                          </w:rPr>
                          <w:t>生产性生物资产</w:t>
                        </w:r>
                      </w:p>
                    </w:tc>
                  </w:sdtContent>
                </w:sdt>
                <w:tc>
                  <w:tcPr>
                    <w:tcW w:w="1131" w:type="pct"/>
                    <w:tcBorders>
                      <w:top w:val="outset" w:sz="4" w:space="0" w:color="auto"/>
                      <w:left w:val="outset" w:sz="4" w:space="0" w:color="auto"/>
                      <w:bottom w:val="outset" w:sz="4" w:space="0" w:color="auto"/>
                      <w:right w:val="outset" w:sz="4" w:space="0" w:color="auto"/>
                    </w:tcBorders>
                  </w:tcPr>
                  <w:p w14:paraId="2697140C"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CE8CA35"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59A20F6C" w14:textId="77777777" w:rsidR="00830E72" w:rsidRDefault="00830E72">
                    <w:pPr>
                      <w:jc w:val="right"/>
                      <w:rPr>
                        <w:szCs w:val="21"/>
                      </w:rPr>
                    </w:pPr>
                  </w:p>
                </w:tc>
              </w:tr>
              <w:tr w:rsidR="00830E72" w14:paraId="5AAE924B" w14:textId="77777777">
                <w:sdt>
                  <w:sdtPr>
                    <w:tag w:val="_PLD_30a8780f1a6a40ed8bd7c72fd4e95a58"/>
                    <w:id w:val="1731419895"/>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7970E003" w14:textId="77777777" w:rsidR="00830E72" w:rsidRDefault="008344D8">
                        <w:pPr>
                          <w:ind w:firstLineChars="100" w:firstLine="210"/>
                          <w:rPr>
                            <w:szCs w:val="21"/>
                          </w:rPr>
                        </w:pPr>
                        <w:r>
                          <w:rPr>
                            <w:rFonts w:hint="eastAsia"/>
                            <w:szCs w:val="21"/>
                          </w:rPr>
                          <w:t>油气资产</w:t>
                        </w:r>
                      </w:p>
                    </w:tc>
                  </w:sdtContent>
                </w:sdt>
                <w:tc>
                  <w:tcPr>
                    <w:tcW w:w="1131" w:type="pct"/>
                    <w:tcBorders>
                      <w:top w:val="outset" w:sz="4" w:space="0" w:color="auto"/>
                      <w:left w:val="outset" w:sz="4" w:space="0" w:color="auto"/>
                      <w:bottom w:val="outset" w:sz="4" w:space="0" w:color="auto"/>
                      <w:right w:val="outset" w:sz="4" w:space="0" w:color="auto"/>
                    </w:tcBorders>
                  </w:tcPr>
                  <w:p w14:paraId="7A4ECCC5"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3C12A12B"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1BDD559" w14:textId="77777777" w:rsidR="00830E72" w:rsidRDefault="00830E72">
                    <w:pPr>
                      <w:jc w:val="right"/>
                      <w:rPr>
                        <w:szCs w:val="21"/>
                      </w:rPr>
                    </w:pPr>
                  </w:p>
                </w:tc>
              </w:tr>
              <w:tr w:rsidR="00830E72" w14:paraId="197A9657" w14:textId="77777777">
                <w:tc>
                  <w:tcPr>
                    <w:tcW w:w="170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8155493935647008a2703b03dfc7652"/>
                      <w:id w:val="-2015761454"/>
                      <w:lock w:val="sdtLocked"/>
                    </w:sdtPr>
                    <w:sdtEndPr/>
                    <w:sdtContent>
                      <w:p w14:paraId="762F34B7" w14:textId="77777777" w:rsidR="00830E72" w:rsidRDefault="008344D8">
                        <w:pPr>
                          <w:ind w:firstLineChars="100" w:firstLine="210"/>
                        </w:pPr>
                        <w:r>
                          <w:rPr>
                            <w:rFonts w:hint="eastAsia"/>
                          </w:rPr>
                          <w:t>使用权资产</w:t>
                        </w:r>
                      </w:p>
                    </w:sdtContent>
                  </w:sdt>
                </w:tc>
                <w:tc>
                  <w:tcPr>
                    <w:tcW w:w="1131" w:type="pct"/>
                    <w:tcBorders>
                      <w:top w:val="outset" w:sz="4" w:space="0" w:color="auto"/>
                      <w:left w:val="outset" w:sz="4" w:space="0" w:color="auto"/>
                      <w:bottom w:val="outset" w:sz="4" w:space="0" w:color="auto"/>
                      <w:right w:val="outset" w:sz="4" w:space="0" w:color="auto"/>
                    </w:tcBorders>
                  </w:tcPr>
                  <w:p w14:paraId="0C0638C9"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5BD2480" w14:textId="77777777" w:rsidR="00830E72" w:rsidRDefault="008344D8">
                    <w:pPr>
                      <w:jc w:val="right"/>
                      <w:rPr>
                        <w:szCs w:val="21"/>
                      </w:rPr>
                    </w:pPr>
                    <w:r>
                      <w:rPr>
                        <w:szCs w:val="21"/>
                      </w:rPr>
                      <w:t>5,350,113.01</w:t>
                    </w:r>
                  </w:p>
                </w:tc>
                <w:tc>
                  <w:tcPr>
                    <w:tcW w:w="1166" w:type="pct"/>
                    <w:tcBorders>
                      <w:top w:val="outset" w:sz="4" w:space="0" w:color="auto"/>
                      <w:left w:val="outset" w:sz="4" w:space="0" w:color="auto"/>
                      <w:bottom w:val="outset" w:sz="4" w:space="0" w:color="auto"/>
                      <w:right w:val="outset" w:sz="4" w:space="0" w:color="auto"/>
                    </w:tcBorders>
                  </w:tcPr>
                  <w:p w14:paraId="242E2628" w14:textId="77777777" w:rsidR="00830E72" w:rsidRDefault="008344D8">
                    <w:pPr>
                      <w:jc w:val="right"/>
                      <w:rPr>
                        <w:szCs w:val="21"/>
                      </w:rPr>
                    </w:pPr>
                    <w:r>
                      <w:rPr>
                        <w:szCs w:val="21"/>
                      </w:rPr>
                      <w:t>5,350,113.01</w:t>
                    </w:r>
                  </w:p>
                </w:tc>
              </w:tr>
              <w:tr w:rsidR="00830E72" w14:paraId="342BD10D" w14:textId="77777777">
                <w:sdt>
                  <w:sdtPr>
                    <w:tag w:val="_PLD_e197206e3cda421f90e7c968c373824e"/>
                    <w:id w:val="-1635317143"/>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0EE637DD" w14:textId="77777777" w:rsidR="00830E72" w:rsidRDefault="008344D8">
                        <w:pPr>
                          <w:ind w:firstLineChars="100" w:firstLine="210"/>
                          <w:rPr>
                            <w:szCs w:val="21"/>
                          </w:rPr>
                        </w:pPr>
                        <w:r>
                          <w:rPr>
                            <w:rFonts w:hint="eastAsia"/>
                            <w:szCs w:val="21"/>
                          </w:rPr>
                          <w:t>无形资产</w:t>
                        </w:r>
                      </w:p>
                    </w:tc>
                  </w:sdtContent>
                </w:sdt>
                <w:tc>
                  <w:tcPr>
                    <w:tcW w:w="1131" w:type="pct"/>
                    <w:tcBorders>
                      <w:top w:val="outset" w:sz="4" w:space="0" w:color="auto"/>
                      <w:left w:val="outset" w:sz="4" w:space="0" w:color="auto"/>
                      <w:bottom w:val="outset" w:sz="4" w:space="0" w:color="auto"/>
                      <w:right w:val="outset" w:sz="4" w:space="0" w:color="auto"/>
                    </w:tcBorders>
                  </w:tcPr>
                  <w:p w14:paraId="30F9CBDD" w14:textId="77777777" w:rsidR="00830E72" w:rsidRDefault="008344D8">
                    <w:pPr>
                      <w:jc w:val="right"/>
                      <w:rPr>
                        <w:szCs w:val="21"/>
                      </w:rPr>
                    </w:pPr>
                    <w:r>
                      <w:rPr>
                        <w:szCs w:val="21"/>
                      </w:rPr>
                      <w:t>1,506,179.30</w:t>
                    </w:r>
                  </w:p>
                </w:tc>
                <w:tc>
                  <w:tcPr>
                    <w:tcW w:w="996" w:type="pct"/>
                    <w:tcBorders>
                      <w:top w:val="outset" w:sz="4" w:space="0" w:color="auto"/>
                      <w:left w:val="outset" w:sz="4" w:space="0" w:color="auto"/>
                      <w:bottom w:val="outset" w:sz="4" w:space="0" w:color="auto"/>
                      <w:right w:val="outset" w:sz="4" w:space="0" w:color="auto"/>
                    </w:tcBorders>
                  </w:tcPr>
                  <w:p w14:paraId="7A0EA80F" w14:textId="77777777" w:rsidR="00830E72" w:rsidRDefault="008344D8">
                    <w:pPr>
                      <w:jc w:val="right"/>
                      <w:rPr>
                        <w:szCs w:val="21"/>
                      </w:rPr>
                    </w:pPr>
                    <w:r>
                      <w:t>1,506,179.30</w:t>
                    </w:r>
                  </w:p>
                </w:tc>
                <w:tc>
                  <w:tcPr>
                    <w:tcW w:w="1166" w:type="pct"/>
                    <w:tcBorders>
                      <w:top w:val="outset" w:sz="4" w:space="0" w:color="auto"/>
                      <w:left w:val="outset" w:sz="4" w:space="0" w:color="auto"/>
                      <w:bottom w:val="outset" w:sz="4" w:space="0" w:color="auto"/>
                      <w:right w:val="outset" w:sz="4" w:space="0" w:color="auto"/>
                    </w:tcBorders>
                  </w:tcPr>
                  <w:p w14:paraId="1F52524B" w14:textId="77777777" w:rsidR="00830E72" w:rsidRDefault="00830E72">
                    <w:pPr>
                      <w:jc w:val="right"/>
                      <w:rPr>
                        <w:szCs w:val="21"/>
                      </w:rPr>
                    </w:pPr>
                  </w:p>
                </w:tc>
              </w:tr>
              <w:tr w:rsidR="00830E72" w14:paraId="70BF9077" w14:textId="77777777">
                <w:sdt>
                  <w:sdtPr>
                    <w:tag w:val="_PLD_9507736e67ff483cad3c4777f5e536b4"/>
                    <w:id w:val="1851995915"/>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0FFFB658" w14:textId="77777777" w:rsidR="00830E72" w:rsidRDefault="008344D8">
                        <w:pPr>
                          <w:ind w:firstLineChars="100" w:firstLine="210"/>
                          <w:rPr>
                            <w:szCs w:val="21"/>
                          </w:rPr>
                        </w:pPr>
                        <w:r>
                          <w:rPr>
                            <w:rFonts w:hint="eastAsia"/>
                            <w:szCs w:val="21"/>
                          </w:rPr>
                          <w:t>开发支出</w:t>
                        </w:r>
                      </w:p>
                    </w:tc>
                  </w:sdtContent>
                </w:sdt>
                <w:tc>
                  <w:tcPr>
                    <w:tcW w:w="1131" w:type="pct"/>
                    <w:tcBorders>
                      <w:top w:val="outset" w:sz="4" w:space="0" w:color="auto"/>
                      <w:left w:val="outset" w:sz="4" w:space="0" w:color="auto"/>
                      <w:bottom w:val="outset" w:sz="4" w:space="0" w:color="auto"/>
                      <w:right w:val="outset" w:sz="4" w:space="0" w:color="auto"/>
                    </w:tcBorders>
                  </w:tcPr>
                  <w:p w14:paraId="6003008B"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E38C5A3"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1302E2B2" w14:textId="77777777" w:rsidR="00830E72" w:rsidRDefault="00830E72">
                    <w:pPr>
                      <w:jc w:val="right"/>
                      <w:rPr>
                        <w:szCs w:val="21"/>
                      </w:rPr>
                    </w:pPr>
                  </w:p>
                </w:tc>
              </w:tr>
              <w:tr w:rsidR="00830E72" w14:paraId="4DE542A8" w14:textId="77777777">
                <w:sdt>
                  <w:sdtPr>
                    <w:tag w:val="_PLD_6db764bcb49749d8ae12e0b82de90e57"/>
                    <w:id w:val="-1390031896"/>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00162237" w14:textId="77777777" w:rsidR="00830E72" w:rsidRDefault="008344D8">
                        <w:pPr>
                          <w:ind w:firstLineChars="100" w:firstLine="210"/>
                          <w:rPr>
                            <w:szCs w:val="21"/>
                          </w:rPr>
                        </w:pPr>
                        <w:r>
                          <w:rPr>
                            <w:rFonts w:hint="eastAsia"/>
                            <w:szCs w:val="21"/>
                          </w:rPr>
                          <w:t>商誉</w:t>
                        </w:r>
                      </w:p>
                    </w:tc>
                  </w:sdtContent>
                </w:sdt>
                <w:tc>
                  <w:tcPr>
                    <w:tcW w:w="1131" w:type="pct"/>
                    <w:tcBorders>
                      <w:top w:val="outset" w:sz="4" w:space="0" w:color="auto"/>
                      <w:left w:val="outset" w:sz="4" w:space="0" w:color="auto"/>
                      <w:bottom w:val="outset" w:sz="4" w:space="0" w:color="auto"/>
                      <w:right w:val="outset" w:sz="4" w:space="0" w:color="auto"/>
                    </w:tcBorders>
                  </w:tcPr>
                  <w:p w14:paraId="6C2B4A8E"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3D81ABA"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48643D7" w14:textId="77777777" w:rsidR="00830E72" w:rsidRDefault="00830E72">
                    <w:pPr>
                      <w:jc w:val="right"/>
                      <w:rPr>
                        <w:szCs w:val="21"/>
                      </w:rPr>
                    </w:pPr>
                  </w:p>
                </w:tc>
              </w:tr>
              <w:tr w:rsidR="00830E72" w14:paraId="12B91BA3" w14:textId="77777777">
                <w:sdt>
                  <w:sdtPr>
                    <w:tag w:val="_PLD_ee338cdcd96a4fe9aa3a900a05d86d62"/>
                    <w:id w:val="1375277256"/>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6F3AFFAB" w14:textId="77777777" w:rsidR="00830E72" w:rsidRDefault="008344D8">
                        <w:pPr>
                          <w:ind w:firstLineChars="100" w:firstLine="210"/>
                          <w:rPr>
                            <w:szCs w:val="21"/>
                          </w:rPr>
                        </w:pPr>
                        <w:r>
                          <w:rPr>
                            <w:rFonts w:hint="eastAsia"/>
                            <w:szCs w:val="21"/>
                          </w:rPr>
                          <w:t>长期待摊费用</w:t>
                        </w:r>
                      </w:p>
                    </w:tc>
                  </w:sdtContent>
                </w:sdt>
                <w:tc>
                  <w:tcPr>
                    <w:tcW w:w="1131" w:type="pct"/>
                    <w:tcBorders>
                      <w:top w:val="outset" w:sz="4" w:space="0" w:color="auto"/>
                      <w:left w:val="outset" w:sz="4" w:space="0" w:color="auto"/>
                      <w:bottom w:val="outset" w:sz="4" w:space="0" w:color="auto"/>
                      <w:right w:val="outset" w:sz="4" w:space="0" w:color="auto"/>
                    </w:tcBorders>
                  </w:tcPr>
                  <w:p w14:paraId="456F3EC1" w14:textId="77777777" w:rsidR="00830E72" w:rsidRDefault="008344D8">
                    <w:pPr>
                      <w:jc w:val="right"/>
                      <w:rPr>
                        <w:szCs w:val="21"/>
                      </w:rPr>
                    </w:pPr>
                    <w:r>
                      <w:t>554,183.94</w:t>
                    </w:r>
                  </w:p>
                </w:tc>
                <w:tc>
                  <w:tcPr>
                    <w:tcW w:w="996" w:type="pct"/>
                    <w:tcBorders>
                      <w:top w:val="outset" w:sz="4" w:space="0" w:color="auto"/>
                      <w:left w:val="outset" w:sz="4" w:space="0" w:color="auto"/>
                      <w:bottom w:val="outset" w:sz="4" w:space="0" w:color="auto"/>
                      <w:right w:val="outset" w:sz="4" w:space="0" w:color="auto"/>
                    </w:tcBorders>
                  </w:tcPr>
                  <w:p w14:paraId="57C740DD" w14:textId="77777777" w:rsidR="00830E72" w:rsidRDefault="008344D8">
                    <w:pPr>
                      <w:jc w:val="right"/>
                      <w:rPr>
                        <w:szCs w:val="21"/>
                      </w:rPr>
                    </w:pPr>
                    <w:r>
                      <w:t>554,183.94</w:t>
                    </w:r>
                  </w:p>
                </w:tc>
                <w:tc>
                  <w:tcPr>
                    <w:tcW w:w="1166" w:type="pct"/>
                    <w:tcBorders>
                      <w:top w:val="outset" w:sz="4" w:space="0" w:color="auto"/>
                      <w:left w:val="outset" w:sz="4" w:space="0" w:color="auto"/>
                      <w:bottom w:val="outset" w:sz="4" w:space="0" w:color="auto"/>
                      <w:right w:val="outset" w:sz="4" w:space="0" w:color="auto"/>
                    </w:tcBorders>
                  </w:tcPr>
                  <w:p w14:paraId="12103475" w14:textId="77777777" w:rsidR="00830E72" w:rsidRDefault="00830E72">
                    <w:pPr>
                      <w:jc w:val="right"/>
                      <w:rPr>
                        <w:szCs w:val="21"/>
                      </w:rPr>
                    </w:pPr>
                  </w:p>
                </w:tc>
              </w:tr>
              <w:tr w:rsidR="00830E72" w14:paraId="36AF7B8B" w14:textId="77777777">
                <w:sdt>
                  <w:sdtPr>
                    <w:tag w:val="_PLD_ff748a0e2f2a4598b0245a7b2a5f8cb9"/>
                    <w:id w:val="383298622"/>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6265F95B" w14:textId="77777777" w:rsidR="00830E72" w:rsidRDefault="008344D8">
                        <w:pPr>
                          <w:ind w:firstLineChars="100" w:firstLine="210"/>
                          <w:rPr>
                            <w:szCs w:val="21"/>
                          </w:rPr>
                        </w:pPr>
                        <w:r>
                          <w:rPr>
                            <w:rFonts w:hint="eastAsia"/>
                            <w:szCs w:val="21"/>
                          </w:rPr>
                          <w:t>递延所得税资产</w:t>
                        </w:r>
                      </w:p>
                    </w:tc>
                  </w:sdtContent>
                </w:sdt>
                <w:tc>
                  <w:tcPr>
                    <w:tcW w:w="1131" w:type="pct"/>
                    <w:tcBorders>
                      <w:top w:val="outset" w:sz="4" w:space="0" w:color="auto"/>
                      <w:left w:val="outset" w:sz="4" w:space="0" w:color="auto"/>
                      <w:bottom w:val="outset" w:sz="4" w:space="0" w:color="auto"/>
                      <w:right w:val="outset" w:sz="4" w:space="0" w:color="auto"/>
                    </w:tcBorders>
                  </w:tcPr>
                  <w:p w14:paraId="7D1BFA49" w14:textId="77777777" w:rsidR="00830E72" w:rsidRDefault="008344D8">
                    <w:pPr>
                      <w:jc w:val="right"/>
                      <w:rPr>
                        <w:szCs w:val="21"/>
                      </w:rPr>
                    </w:pPr>
                    <w:r>
                      <w:t>54,901,283.06</w:t>
                    </w:r>
                  </w:p>
                </w:tc>
                <w:tc>
                  <w:tcPr>
                    <w:tcW w:w="996" w:type="pct"/>
                    <w:tcBorders>
                      <w:top w:val="outset" w:sz="4" w:space="0" w:color="auto"/>
                      <w:left w:val="outset" w:sz="4" w:space="0" w:color="auto"/>
                      <w:bottom w:val="outset" w:sz="4" w:space="0" w:color="auto"/>
                      <w:right w:val="outset" w:sz="4" w:space="0" w:color="auto"/>
                    </w:tcBorders>
                  </w:tcPr>
                  <w:p w14:paraId="355DC7BE" w14:textId="77777777" w:rsidR="00830E72" w:rsidRDefault="008344D8">
                    <w:pPr>
                      <w:jc w:val="right"/>
                      <w:rPr>
                        <w:szCs w:val="21"/>
                      </w:rPr>
                    </w:pPr>
                    <w:r>
                      <w:t>54,901,283.06</w:t>
                    </w:r>
                  </w:p>
                </w:tc>
                <w:tc>
                  <w:tcPr>
                    <w:tcW w:w="1166" w:type="pct"/>
                    <w:tcBorders>
                      <w:top w:val="outset" w:sz="4" w:space="0" w:color="auto"/>
                      <w:left w:val="outset" w:sz="4" w:space="0" w:color="auto"/>
                      <w:bottom w:val="outset" w:sz="4" w:space="0" w:color="auto"/>
                      <w:right w:val="outset" w:sz="4" w:space="0" w:color="auto"/>
                    </w:tcBorders>
                  </w:tcPr>
                  <w:p w14:paraId="69C49C5D" w14:textId="77777777" w:rsidR="00830E72" w:rsidRDefault="00830E72">
                    <w:pPr>
                      <w:jc w:val="right"/>
                      <w:rPr>
                        <w:szCs w:val="21"/>
                      </w:rPr>
                    </w:pPr>
                  </w:p>
                </w:tc>
              </w:tr>
              <w:tr w:rsidR="00830E72" w14:paraId="427BFFE3" w14:textId="77777777">
                <w:sdt>
                  <w:sdtPr>
                    <w:tag w:val="_PLD_58edba0eddc644959242154db461c42a"/>
                    <w:id w:val="85199142"/>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05236296" w14:textId="77777777" w:rsidR="00830E72" w:rsidRDefault="008344D8">
                        <w:pPr>
                          <w:ind w:firstLineChars="100" w:firstLine="210"/>
                          <w:rPr>
                            <w:szCs w:val="21"/>
                          </w:rPr>
                        </w:pPr>
                        <w:r>
                          <w:rPr>
                            <w:rFonts w:hint="eastAsia"/>
                            <w:szCs w:val="21"/>
                          </w:rPr>
                          <w:t>其他非流动资产</w:t>
                        </w:r>
                      </w:p>
                    </w:tc>
                  </w:sdtContent>
                </w:sdt>
                <w:tc>
                  <w:tcPr>
                    <w:tcW w:w="1131" w:type="pct"/>
                    <w:tcBorders>
                      <w:top w:val="outset" w:sz="4" w:space="0" w:color="auto"/>
                      <w:left w:val="outset" w:sz="4" w:space="0" w:color="auto"/>
                      <w:bottom w:val="outset" w:sz="4" w:space="0" w:color="auto"/>
                      <w:right w:val="outset" w:sz="4" w:space="0" w:color="auto"/>
                    </w:tcBorders>
                  </w:tcPr>
                  <w:p w14:paraId="3989B4DD" w14:textId="77777777" w:rsidR="00830E72" w:rsidRDefault="008344D8">
                    <w:pPr>
                      <w:jc w:val="right"/>
                      <w:rPr>
                        <w:szCs w:val="21"/>
                      </w:rPr>
                    </w:pPr>
                    <w:r>
                      <w:t>448,092,594.21</w:t>
                    </w:r>
                  </w:p>
                </w:tc>
                <w:tc>
                  <w:tcPr>
                    <w:tcW w:w="996" w:type="pct"/>
                    <w:tcBorders>
                      <w:top w:val="outset" w:sz="4" w:space="0" w:color="auto"/>
                      <w:left w:val="outset" w:sz="4" w:space="0" w:color="auto"/>
                      <w:bottom w:val="outset" w:sz="4" w:space="0" w:color="auto"/>
                      <w:right w:val="outset" w:sz="4" w:space="0" w:color="auto"/>
                    </w:tcBorders>
                  </w:tcPr>
                  <w:p w14:paraId="72EC47BE" w14:textId="77777777" w:rsidR="00830E72" w:rsidRDefault="008344D8">
                    <w:pPr>
                      <w:jc w:val="right"/>
                      <w:rPr>
                        <w:szCs w:val="21"/>
                      </w:rPr>
                    </w:pPr>
                    <w:r>
                      <w:t>448,092,594.21</w:t>
                    </w:r>
                  </w:p>
                </w:tc>
                <w:tc>
                  <w:tcPr>
                    <w:tcW w:w="1166" w:type="pct"/>
                    <w:tcBorders>
                      <w:top w:val="outset" w:sz="4" w:space="0" w:color="auto"/>
                      <w:left w:val="outset" w:sz="4" w:space="0" w:color="auto"/>
                      <w:bottom w:val="outset" w:sz="4" w:space="0" w:color="auto"/>
                      <w:right w:val="outset" w:sz="4" w:space="0" w:color="auto"/>
                    </w:tcBorders>
                  </w:tcPr>
                  <w:p w14:paraId="6D892C79" w14:textId="77777777" w:rsidR="00830E72" w:rsidRDefault="00830E72">
                    <w:pPr>
                      <w:jc w:val="right"/>
                      <w:rPr>
                        <w:szCs w:val="21"/>
                      </w:rPr>
                    </w:pPr>
                  </w:p>
                </w:tc>
              </w:tr>
              <w:tr w:rsidR="00830E72" w14:paraId="3E8A1E00" w14:textId="77777777">
                <w:sdt>
                  <w:sdtPr>
                    <w:tag w:val="_PLD_a381a26adc92401cacf197178c3d49bb"/>
                    <w:id w:val="763578459"/>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2A1490E4" w14:textId="77777777" w:rsidR="00830E72" w:rsidRDefault="008344D8">
                        <w:pPr>
                          <w:ind w:firstLineChars="200" w:firstLine="420"/>
                          <w:rPr>
                            <w:szCs w:val="21"/>
                          </w:rPr>
                        </w:pPr>
                        <w:r>
                          <w:rPr>
                            <w:rFonts w:hint="eastAsia"/>
                            <w:szCs w:val="21"/>
                          </w:rPr>
                          <w:t>非流动资产合计</w:t>
                        </w:r>
                      </w:p>
                    </w:tc>
                  </w:sdtContent>
                </w:sdt>
                <w:tc>
                  <w:tcPr>
                    <w:tcW w:w="1131" w:type="pct"/>
                    <w:tcBorders>
                      <w:top w:val="outset" w:sz="4" w:space="0" w:color="auto"/>
                      <w:left w:val="outset" w:sz="4" w:space="0" w:color="auto"/>
                      <w:bottom w:val="outset" w:sz="4" w:space="0" w:color="auto"/>
                      <w:right w:val="outset" w:sz="4" w:space="0" w:color="auto"/>
                    </w:tcBorders>
                  </w:tcPr>
                  <w:p w14:paraId="7207441B" w14:textId="77777777" w:rsidR="00830E72" w:rsidRDefault="008344D8">
                    <w:pPr>
                      <w:jc w:val="right"/>
                      <w:rPr>
                        <w:szCs w:val="21"/>
                      </w:rPr>
                    </w:pPr>
                    <w:r>
                      <w:t>1,522,116,027.04</w:t>
                    </w:r>
                  </w:p>
                </w:tc>
                <w:tc>
                  <w:tcPr>
                    <w:tcW w:w="996" w:type="pct"/>
                    <w:tcBorders>
                      <w:top w:val="outset" w:sz="4" w:space="0" w:color="auto"/>
                      <w:left w:val="outset" w:sz="4" w:space="0" w:color="auto"/>
                      <w:bottom w:val="outset" w:sz="4" w:space="0" w:color="auto"/>
                      <w:right w:val="outset" w:sz="4" w:space="0" w:color="auto"/>
                    </w:tcBorders>
                  </w:tcPr>
                  <w:p w14:paraId="1BCCB260" w14:textId="77777777" w:rsidR="00830E72" w:rsidRDefault="008344D8">
                    <w:pPr>
                      <w:jc w:val="right"/>
                      <w:rPr>
                        <w:szCs w:val="21"/>
                      </w:rPr>
                    </w:pPr>
                    <w:r>
                      <w:t>1,527,466,140.05</w:t>
                    </w:r>
                  </w:p>
                </w:tc>
                <w:tc>
                  <w:tcPr>
                    <w:tcW w:w="1166" w:type="pct"/>
                    <w:tcBorders>
                      <w:top w:val="outset" w:sz="4" w:space="0" w:color="auto"/>
                      <w:left w:val="outset" w:sz="4" w:space="0" w:color="auto"/>
                      <w:bottom w:val="outset" w:sz="4" w:space="0" w:color="auto"/>
                      <w:right w:val="outset" w:sz="4" w:space="0" w:color="auto"/>
                    </w:tcBorders>
                  </w:tcPr>
                  <w:p w14:paraId="16E3DC60" w14:textId="77777777" w:rsidR="00830E72" w:rsidRDefault="008344D8">
                    <w:pPr>
                      <w:jc w:val="right"/>
                      <w:rPr>
                        <w:szCs w:val="21"/>
                      </w:rPr>
                    </w:pPr>
                    <w:r>
                      <w:t>5,350,113.01</w:t>
                    </w:r>
                  </w:p>
                </w:tc>
              </w:tr>
              <w:tr w:rsidR="00830E72" w14:paraId="6B6CAACD" w14:textId="77777777">
                <w:sdt>
                  <w:sdtPr>
                    <w:tag w:val="_PLD_fe9d973bac6b4be6b5d2293c60039e19"/>
                    <w:id w:val="455528238"/>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53ADB8A5" w14:textId="77777777" w:rsidR="00830E72" w:rsidRDefault="008344D8">
                        <w:pPr>
                          <w:ind w:firstLineChars="300" w:firstLine="630"/>
                          <w:rPr>
                            <w:szCs w:val="21"/>
                          </w:rPr>
                        </w:pPr>
                        <w:r>
                          <w:rPr>
                            <w:rFonts w:hint="eastAsia"/>
                            <w:szCs w:val="21"/>
                          </w:rPr>
                          <w:t>资产总计</w:t>
                        </w:r>
                      </w:p>
                    </w:tc>
                  </w:sdtContent>
                </w:sdt>
                <w:tc>
                  <w:tcPr>
                    <w:tcW w:w="1131" w:type="pct"/>
                    <w:tcBorders>
                      <w:top w:val="outset" w:sz="4" w:space="0" w:color="auto"/>
                      <w:left w:val="outset" w:sz="4" w:space="0" w:color="auto"/>
                      <w:bottom w:val="outset" w:sz="4" w:space="0" w:color="auto"/>
                      <w:right w:val="outset" w:sz="4" w:space="0" w:color="auto"/>
                    </w:tcBorders>
                  </w:tcPr>
                  <w:p w14:paraId="4A917931" w14:textId="77777777" w:rsidR="00830E72" w:rsidRDefault="008344D8">
                    <w:pPr>
                      <w:jc w:val="right"/>
                      <w:rPr>
                        <w:szCs w:val="21"/>
                      </w:rPr>
                    </w:pPr>
                    <w:r>
                      <w:t>5,475,696,797.15</w:t>
                    </w:r>
                  </w:p>
                </w:tc>
                <w:tc>
                  <w:tcPr>
                    <w:tcW w:w="996" w:type="pct"/>
                    <w:tcBorders>
                      <w:top w:val="outset" w:sz="4" w:space="0" w:color="auto"/>
                      <w:left w:val="outset" w:sz="4" w:space="0" w:color="auto"/>
                      <w:bottom w:val="outset" w:sz="4" w:space="0" w:color="auto"/>
                      <w:right w:val="outset" w:sz="4" w:space="0" w:color="auto"/>
                    </w:tcBorders>
                  </w:tcPr>
                  <w:p w14:paraId="49E3322E" w14:textId="77777777" w:rsidR="00830E72" w:rsidRDefault="008344D8">
                    <w:pPr>
                      <w:jc w:val="right"/>
                      <w:rPr>
                        <w:szCs w:val="21"/>
                      </w:rPr>
                    </w:pPr>
                    <w:r>
                      <w:t>5,481,046,910.16</w:t>
                    </w:r>
                  </w:p>
                </w:tc>
                <w:tc>
                  <w:tcPr>
                    <w:tcW w:w="1166" w:type="pct"/>
                    <w:tcBorders>
                      <w:top w:val="outset" w:sz="4" w:space="0" w:color="auto"/>
                      <w:left w:val="outset" w:sz="4" w:space="0" w:color="auto"/>
                      <w:bottom w:val="outset" w:sz="4" w:space="0" w:color="auto"/>
                      <w:right w:val="outset" w:sz="4" w:space="0" w:color="auto"/>
                    </w:tcBorders>
                  </w:tcPr>
                  <w:p w14:paraId="2C08DF56" w14:textId="77777777" w:rsidR="00830E72" w:rsidRDefault="008344D8">
                    <w:pPr>
                      <w:jc w:val="right"/>
                      <w:rPr>
                        <w:szCs w:val="21"/>
                      </w:rPr>
                    </w:pPr>
                    <w:r>
                      <w:t>5,350,113.01</w:t>
                    </w:r>
                  </w:p>
                </w:tc>
              </w:tr>
              <w:tr w:rsidR="00830E72" w14:paraId="5A946590" w14:textId="77777777">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82c67f0356e4caa843229106fd31aac"/>
                      <w:id w:val="3875954"/>
                      <w:lock w:val="sdtLocked"/>
                    </w:sdtPr>
                    <w:sdtEndPr/>
                    <w:sdtContent>
                      <w:p w14:paraId="42E15C08" w14:textId="77777777" w:rsidR="00830E72" w:rsidRDefault="008344D8">
                        <w:pPr>
                          <w:rPr>
                            <w:szCs w:val="21"/>
                          </w:rPr>
                        </w:pPr>
                        <w:r>
                          <w:rPr>
                            <w:rFonts w:hint="eastAsia"/>
                            <w:b/>
                          </w:rPr>
                          <w:t>流动负债：</w:t>
                        </w:r>
                      </w:p>
                    </w:sdtContent>
                  </w:sdt>
                </w:tc>
              </w:tr>
              <w:tr w:rsidR="00830E72" w14:paraId="6C0B19C7" w14:textId="77777777">
                <w:sdt>
                  <w:sdtPr>
                    <w:tag w:val="_PLD_0efba9adef604cadac8599fe5a7c8c43"/>
                    <w:id w:val="-1665310393"/>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0A092A2B" w14:textId="77777777" w:rsidR="00830E72" w:rsidRDefault="008344D8">
                        <w:pPr>
                          <w:ind w:firstLineChars="100" w:firstLine="210"/>
                          <w:rPr>
                            <w:szCs w:val="21"/>
                          </w:rPr>
                        </w:pPr>
                        <w:r>
                          <w:rPr>
                            <w:rFonts w:hint="eastAsia"/>
                            <w:szCs w:val="21"/>
                          </w:rPr>
                          <w:t>短期借款</w:t>
                        </w:r>
                      </w:p>
                    </w:tc>
                  </w:sdtContent>
                </w:sdt>
                <w:tc>
                  <w:tcPr>
                    <w:tcW w:w="1131" w:type="pct"/>
                    <w:tcBorders>
                      <w:top w:val="outset" w:sz="4" w:space="0" w:color="auto"/>
                      <w:left w:val="outset" w:sz="4" w:space="0" w:color="auto"/>
                      <w:bottom w:val="outset" w:sz="4" w:space="0" w:color="auto"/>
                      <w:right w:val="outset" w:sz="4" w:space="0" w:color="auto"/>
                    </w:tcBorders>
                  </w:tcPr>
                  <w:p w14:paraId="1CA379D5" w14:textId="77777777" w:rsidR="00830E72" w:rsidRDefault="008344D8">
                    <w:pPr>
                      <w:jc w:val="right"/>
                      <w:rPr>
                        <w:szCs w:val="21"/>
                      </w:rPr>
                    </w:pPr>
                    <w:r>
                      <w:t>274,501,944.67</w:t>
                    </w:r>
                  </w:p>
                </w:tc>
                <w:tc>
                  <w:tcPr>
                    <w:tcW w:w="996" w:type="pct"/>
                    <w:tcBorders>
                      <w:top w:val="outset" w:sz="4" w:space="0" w:color="auto"/>
                      <w:left w:val="outset" w:sz="4" w:space="0" w:color="auto"/>
                      <w:bottom w:val="outset" w:sz="4" w:space="0" w:color="auto"/>
                      <w:right w:val="outset" w:sz="4" w:space="0" w:color="auto"/>
                    </w:tcBorders>
                  </w:tcPr>
                  <w:p w14:paraId="46859B6C" w14:textId="77777777" w:rsidR="00830E72" w:rsidRDefault="008344D8">
                    <w:pPr>
                      <w:jc w:val="right"/>
                      <w:rPr>
                        <w:szCs w:val="21"/>
                      </w:rPr>
                    </w:pPr>
                    <w:r>
                      <w:t>274,501,944.67</w:t>
                    </w:r>
                  </w:p>
                </w:tc>
                <w:tc>
                  <w:tcPr>
                    <w:tcW w:w="1166" w:type="pct"/>
                    <w:tcBorders>
                      <w:top w:val="outset" w:sz="4" w:space="0" w:color="auto"/>
                      <w:left w:val="outset" w:sz="4" w:space="0" w:color="auto"/>
                      <w:bottom w:val="outset" w:sz="4" w:space="0" w:color="auto"/>
                      <w:right w:val="outset" w:sz="4" w:space="0" w:color="auto"/>
                    </w:tcBorders>
                  </w:tcPr>
                  <w:p w14:paraId="0EA85D2C" w14:textId="77777777" w:rsidR="00830E72" w:rsidRDefault="00830E72">
                    <w:pPr>
                      <w:jc w:val="right"/>
                      <w:rPr>
                        <w:szCs w:val="21"/>
                      </w:rPr>
                    </w:pPr>
                  </w:p>
                </w:tc>
              </w:tr>
              <w:tr w:rsidR="00830E72" w14:paraId="7E3A94D5" w14:textId="77777777">
                <w:sdt>
                  <w:sdtPr>
                    <w:tag w:val="_PLD_372c190edf714f90bd9700557e8da87c"/>
                    <w:id w:val="-1717885717"/>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00E8DB5C" w14:textId="77777777" w:rsidR="00830E72" w:rsidRDefault="008344D8">
                        <w:pPr>
                          <w:ind w:firstLineChars="100" w:firstLine="210"/>
                          <w:rPr>
                            <w:szCs w:val="21"/>
                          </w:rPr>
                        </w:pPr>
                        <w:r>
                          <w:rPr>
                            <w:rFonts w:hint="eastAsia"/>
                            <w:szCs w:val="21"/>
                          </w:rPr>
                          <w:t>向中央银行借款</w:t>
                        </w:r>
                      </w:p>
                    </w:tc>
                  </w:sdtContent>
                </w:sdt>
                <w:tc>
                  <w:tcPr>
                    <w:tcW w:w="1131" w:type="pct"/>
                    <w:tcBorders>
                      <w:top w:val="outset" w:sz="4" w:space="0" w:color="auto"/>
                      <w:left w:val="outset" w:sz="4" w:space="0" w:color="auto"/>
                      <w:bottom w:val="outset" w:sz="4" w:space="0" w:color="auto"/>
                      <w:right w:val="outset" w:sz="4" w:space="0" w:color="auto"/>
                    </w:tcBorders>
                  </w:tcPr>
                  <w:p w14:paraId="003419D7"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9CFF02C"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693DAD9F" w14:textId="77777777" w:rsidR="00830E72" w:rsidRDefault="00830E72">
                    <w:pPr>
                      <w:jc w:val="right"/>
                      <w:rPr>
                        <w:szCs w:val="21"/>
                      </w:rPr>
                    </w:pPr>
                  </w:p>
                </w:tc>
              </w:tr>
              <w:tr w:rsidR="00830E72" w14:paraId="06FB118B" w14:textId="77777777">
                <w:sdt>
                  <w:sdtPr>
                    <w:tag w:val="_PLD_61ae2c221b6e47ecbeeeeba07bff4d7f"/>
                    <w:id w:val="924691002"/>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286CBB0C" w14:textId="77777777" w:rsidR="00830E72" w:rsidRDefault="008344D8">
                        <w:pPr>
                          <w:ind w:firstLineChars="100" w:firstLine="210"/>
                          <w:rPr>
                            <w:szCs w:val="21"/>
                          </w:rPr>
                        </w:pPr>
                        <w:r>
                          <w:rPr>
                            <w:rFonts w:hint="eastAsia"/>
                            <w:szCs w:val="21"/>
                          </w:rPr>
                          <w:t>拆入资金</w:t>
                        </w:r>
                      </w:p>
                    </w:tc>
                  </w:sdtContent>
                </w:sdt>
                <w:tc>
                  <w:tcPr>
                    <w:tcW w:w="1131" w:type="pct"/>
                    <w:tcBorders>
                      <w:top w:val="outset" w:sz="4" w:space="0" w:color="auto"/>
                      <w:left w:val="outset" w:sz="4" w:space="0" w:color="auto"/>
                      <w:bottom w:val="outset" w:sz="4" w:space="0" w:color="auto"/>
                      <w:right w:val="outset" w:sz="4" w:space="0" w:color="auto"/>
                    </w:tcBorders>
                  </w:tcPr>
                  <w:p w14:paraId="6E508503"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20BB323"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5E400AF" w14:textId="77777777" w:rsidR="00830E72" w:rsidRDefault="00830E72">
                    <w:pPr>
                      <w:jc w:val="right"/>
                      <w:rPr>
                        <w:szCs w:val="21"/>
                      </w:rPr>
                    </w:pPr>
                  </w:p>
                </w:tc>
              </w:tr>
              <w:tr w:rsidR="00830E72" w14:paraId="40211D59" w14:textId="77777777">
                <w:tc>
                  <w:tcPr>
                    <w:tcW w:w="170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398b5d39b54be687530653a38c8f3f"/>
                      <w:id w:val="-362520340"/>
                      <w:lock w:val="sdtLocked"/>
                    </w:sdtPr>
                    <w:sdtEndPr/>
                    <w:sdtContent>
                      <w:p w14:paraId="68DCBE69" w14:textId="77777777" w:rsidR="00830E72" w:rsidRDefault="008344D8">
                        <w:pPr>
                          <w:ind w:firstLineChars="100" w:firstLine="210"/>
                        </w:pPr>
                        <w:r>
                          <w:rPr>
                            <w:rFonts w:hint="eastAsia"/>
                          </w:rPr>
                          <w:t>交易性金融负债</w:t>
                        </w:r>
                      </w:p>
                    </w:sdtContent>
                  </w:sdt>
                </w:tc>
                <w:tc>
                  <w:tcPr>
                    <w:tcW w:w="1131" w:type="pct"/>
                    <w:tcBorders>
                      <w:top w:val="outset" w:sz="4" w:space="0" w:color="auto"/>
                      <w:left w:val="outset" w:sz="4" w:space="0" w:color="auto"/>
                      <w:bottom w:val="outset" w:sz="4" w:space="0" w:color="auto"/>
                      <w:right w:val="outset" w:sz="4" w:space="0" w:color="auto"/>
                    </w:tcBorders>
                  </w:tcPr>
                  <w:p w14:paraId="7781B5D5"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629979A"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4A9C616" w14:textId="77777777" w:rsidR="00830E72" w:rsidRDefault="00830E72">
                    <w:pPr>
                      <w:jc w:val="right"/>
                      <w:rPr>
                        <w:szCs w:val="21"/>
                      </w:rPr>
                    </w:pPr>
                  </w:p>
                </w:tc>
              </w:tr>
              <w:tr w:rsidR="00830E72" w14:paraId="010CEE51" w14:textId="77777777">
                <w:sdt>
                  <w:sdtPr>
                    <w:tag w:val="_PLD_6ce332098ad34f168a7fed2abb15b157"/>
                    <w:id w:val="-841237870"/>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516FB3A0" w14:textId="77777777" w:rsidR="00830E72" w:rsidRDefault="008344D8">
                        <w:pPr>
                          <w:ind w:firstLineChars="100" w:firstLine="210"/>
                          <w:rPr>
                            <w:szCs w:val="21"/>
                          </w:rPr>
                        </w:pPr>
                        <w:r>
                          <w:rPr>
                            <w:rFonts w:hint="eastAsia"/>
                            <w:szCs w:val="21"/>
                          </w:rPr>
                          <w:t>衍生金融负债</w:t>
                        </w:r>
                      </w:p>
                    </w:tc>
                  </w:sdtContent>
                </w:sdt>
                <w:tc>
                  <w:tcPr>
                    <w:tcW w:w="1131" w:type="pct"/>
                    <w:tcBorders>
                      <w:top w:val="outset" w:sz="4" w:space="0" w:color="auto"/>
                      <w:left w:val="outset" w:sz="4" w:space="0" w:color="auto"/>
                      <w:bottom w:val="outset" w:sz="4" w:space="0" w:color="auto"/>
                      <w:right w:val="outset" w:sz="4" w:space="0" w:color="auto"/>
                    </w:tcBorders>
                  </w:tcPr>
                  <w:p w14:paraId="454AE83A"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5BBD082"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13B0A74" w14:textId="77777777" w:rsidR="00830E72" w:rsidRDefault="00830E72">
                    <w:pPr>
                      <w:jc w:val="right"/>
                      <w:rPr>
                        <w:szCs w:val="21"/>
                      </w:rPr>
                    </w:pPr>
                  </w:p>
                </w:tc>
              </w:tr>
              <w:tr w:rsidR="00830E72" w14:paraId="7AAEE49E" w14:textId="77777777">
                <w:tc>
                  <w:tcPr>
                    <w:tcW w:w="170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cd44978a5d84ceaa422cb600962bad4"/>
                      <w:id w:val="-1780175005"/>
                      <w:lock w:val="sdtLocked"/>
                    </w:sdtPr>
                    <w:sdtEndPr/>
                    <w:sdtContent>
                      <w:p w14:paraId="681F5BBC" w14:textId="77777777" w:rsidR="00830E72" w:rsidRDefault="008344D8">
                        <w:pPr>
                          <w:ind w:firstLineChars="100" w:firstLine="210"/>
                        </w:pPr>
                        <w:r>
                          <w:rPr>
                            <w:rFonts w:hint="eastAsia"/>
                          </w:rPr>
                          <w:t>应付票据</w:t>
                        </w:r>
                      </w:p>
                    </w:sdtContent>
                  </w:sdt>
                </w:tc>
                <w:tc>
                  <w:tcPr>
                    <w:tcW w:w="1131" w:type="pct"/>
                    <w:tcBorders>
                      <w:top w:val="outset" w:sz="4" w:space="0" w:color="auto"/>
                      <w:left w:val="outset" w:sz="4" w:space="0" w:color="auto"/>
                      <w:bottom w:val="outset" w:sz="4" w:space="0" w:color="auto"/>
                      <w:right w:val="outset" w:sz="4" w:space="0" w:color="auto"/>
                    </w:tcBorders>
                  </w:tcPr>
                  <w:p w14:paraId="160F31FD" w14:textId="77777777" w:rsidR="00830E72" w:rsidRDefault="008344D8">
                    <w:pPr>
                      <w:jc w:val="right"/>
                      <w:rPr>
                        <w:szCs w:val="21"/>
                      </w:rPr>
                    </w:pPr>
                    <w:r>
                      <w:t>195,061,404.69</w:t>
                    </w:r>
                  </w:p>
                </w:tc>
                <w:tc>
                  <w:tcPr>
                    <w:tcW w:w="996" w:type="pct"/>
                    <w:tcBorders>
                      <w:top w:val="outset" w:sz="4" w:space="0" w:color="auto"/>
                      <w:left w:val="outset" w:sz="4" w:space="0" w:color="auto"/>
                      <w:bottom w:val="outset" w:sz="4" w:space="0" w:color="auto"/>
                      <w:right w:val="outset" w:sz="4" w:space="0" w:color="auto"/>
                    </w:tcBorders>
                  </w:tcPr>
                  <w:p w14:paraId="5FFD6B0F" w14:textId="77777777" w:rsidR="00830E72" w:rsidRDefault="008344D8">
                    <w:pPr>
                      <w:jc w:val="right"/>
                      <w:rPr>
                        <w:szCs w:val="21"/>
                      </w:rPr>
                    </w:pPr>
                    <w:r>
                      <w:t>195,061,404.69</w:t>
                    </w:r>
                  </w:p>
                </w:tc>
                <w:tc>
                  <w:tcPr>
                    <w:tcW w:w="1166" w:type="pct"/>
                    <w:tcBorders>
                      <w:top w:val="outset" w:sz="4" w:space="0" w:color="auto"/>
                      <w:left w:val="outset" w:sz="4" w:space="0" w:color="auto"/>
                      <w:bottom w:val="outset" w:sz="4" w:space="0" w:color="auto"/>
                      <w:right w:val="outset" w:sz="4" w:space="0" w:color="auto"/>
                    </w:tcBorders>
                  </w:tcPr>
                  <w:p w14:paraId="1801087A" w14:textId="77777777" w:rsidR="00830E72" w:rsidRDefault="00830E72">
                    <w:pPr>
                      <w:jc w:val="right"/>
                      <w:rPr>
                        <w:szCs w:val="21"/>
                      </w:rPr>
                    </w:pPr>
                  </w:p>
                </w:tc>
              </w:tr>
              <w:tr w:rsidR="00830E72" w14:paraId="20E7D90A" w14:textId="77777777">
                <w:tc>
                  <w:tcPr>
                    <w:tcW w:w="170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fa39fd4bb1d4ff29a7f4c24bbfc9eec"/>
                      <w:id w:val="61080975"/>
                      <w:lock w:val="sdtLocked"/>
                    </w:sdtPr>
                    <w:sdtEndPr/>
                    <w:sdtContent>
                      <w:p w14:paraId="2285795C" w14:textId="77777777" w:rsidR="00830E72" w:rsidRDefault="008344D8">
                        <w:pPr>
                          <w:ind w:firstLineChars="100" w:firstLine="210"/>
                        </w:pPr>
                        <w:r>
                          <w:rPr>
                            <w:rFonts w:hint="eastAsia"/>
                          </w:rPr>
                          <w:t>应付账款</w:t>
                        </w:r>
                      </w:p>
                    </w:sdtContent>
                  </w:sdt>
                </w:tc>
                <w:tc>
                  <w:tcPr>
                    <w:tcW w:w="1131" w:type="pct"/>
                    <w:tcBorders>
                      <w:top w:val="outset" w:sz="4" w:space="0" w:color="auto"/>
                      <w:left w:val="outset" w:sz="4" w:space="0" w:color="auto"/>
                      <w:bottom w:val="outset" w:sz="4" w:space="0" w:color="auto"/>
                      <w:right w:val="outset" w:sz="4" w:space="0" w:color="auto"/>
                    </w:tcBorders>
                  </w:tcPr>
                  <w:p w14:paraId="758D90EA" w14:textId="77777777" w:rsidR="00830E72" w:rsidRDefault="008344D8">
                    <w:pPr>
                      <w:jc w:val="right"/>
                      <w:rPr>
                        <w:szCs w:val="21"/>
                      </w:rPr>
                    </w:pPr>
                    <w:r>
                      <w:t>2,536,809,448.24</w:t>
                    </w:r>
                  </w:p>
                </w:tc>
                <w:tc>
                  <w:tcPr>
                    <w:tcW w:w="996" w:type="pct"/>
                    <w:tcBorders>
                      <w:top w:val="outset" w:sz="4" w:space="0" w:color="auto"/>
                      <w:left w:val="outset" w:sz="4" w:space="0" w:color="auto"/>
                      <w:bottom w:val="outset" w:sz="4" w:space="0" w:color="auto"/>
                      <w:right w:val="outset" w:sz="4" w:space="0" w:color="auto"/>
                    </w:tcBorders>
                  </w:tcPr>
                  <w:p w14:paraId="52FD60AF" w14:textId="77777777" w:rsidR="00830E72" w:rsidRDefault="008344D8">
                    <w:pPr>
                      <w:jc w:val="right"/>
                      <w:rPr>
                        <w:szCs w:val="21"/>
                      </w:rPr>
                    </w:pPr>
                    <w:r>
                      <w:t>2,536,809,448.24</w:t>
                    </w:r>
                  </w:p>
                </w:tc>
                <w:tc>
                  <w:tcPr>
                    <w:tcW w:w="1166" w:type="pct"/>
                    <w:tcBorders>
                      <w:top w:val="outset" w:sz="4" w:space="0" w:color="auto"/>
                      <w:left w:val="outset" w:sz="4" w:space="0" w:color="auto"/>
                      <w:bottom w:val="outset" w:sz="4" w:space="0" w:color="auto"/>
                      <w:right w:val="outset" w:sz="4" w:space="0" w:color="auto"/>
                    </w:tcBorders>
                  </w:tcPr>
                  <w:p w14:paraId="5D730731" w14:textId="77777777" w:rsidR="00830E72" w:rsidRDefault="00830E72">
                    <w:pPr>
                      <w:jc w:val="right"/>
                      <w:rPr>
                        <w:szCs w:val="21"/>
                      </w:rPr>
                    </w:pPr>
                  </w:p>
                </w:tc>
              </w:tr>
              <w:tr w:rsidR="00830E72" w14:paraId="0D4DF63F" w14:textId="77777777">
                <w:sdt>
                  <w:sdtPr>
                    <w:tag w:val="_PLD_f40c73421eb94e3bb75da0dba5756c7b"/>
                    <w:id w:val="-383176279"/>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797E203B" w14:textId="77777777" w:rsidR="00830E72" w:rsidRDefault="008344D8">
                        <w:pPr>
                          <w:ind w:firstLineChars="100" w:firstLine="210"/>
                          <w:rPr>
                            <w:szCs w:val="21"/>
                          </w:rPr>
                        </w:pPr>
                        <w:r>
                          <w:rPr>
                            <w:rFonts w:hint="eastAsia"/>
                            <w:szCs w:val="21"/>
                          </w:rPr>
                          <w:t>预收款项</w:t>
                        </w:r>
                      </w:p>
                    </w:tc>
                  </w:sdtContent>
                </w:sdt>
                <w:tc>
                  <w:tcPr>
                    <w:tcW w:w="1131" w:type="pct"/>
                    <w:tcBorders>
                      <w:top w:val="outset" w:sz="4" w:space="0" w:color="auto"/>
                      <w:left w:val="outset" w:sz="4" w:space="0" w:color="auto"/>
                      <w:bottom w:val="outset" w:sz="4" w:space="0" w:color="auto"/>
                      <w:right w:val="outset" w:sz="4" w:space="0" w:color="auto"/>
                    </w:tcBorders>
                  </w:tcPr>
                  <w:p w14:paraId="76A78233"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133AC7A8"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510A2583" w14:textId="77777777" w:rsidR="00830E72" w:rsidRDefault="00830E72">
                    <w:pPr>
                      <w:jc w:val="right"/>
                      <w:rPr>
                        <w:szCs w:val="21"/>
                      </w:rPr>
                    </w:pPr>
                  </w:p>
                </w:tc>
              </w:tr>
              <w:tr w:rsidR="00830E72" w14:paraId="18AB53E2" w14:textId="77777777">
                <w:tc>
                  <w:tcPr>
                    <w:tcW w:w="170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962ca996b5d4bcca79fbcae92731704"/>
                      <w:id w:val="130834022"/>
                      <w:lock w:val="sdtLocked"/>
                    </w:sdtPr>
                    <w:sdtEndPr/>
                    <w:sdtContent>
                      <w:p w14:paraId="02EC98B2" w14:textId="77777777" w:rsidR="00830E72" w:rsidRDefault="008344D8">
                        <w:pPr>
                          <w:ind w:firstLineChars="100" w:firstLine="210"/>
                        </w:pPr>
                        <w:r>
                          <w:rPr>
                            <w:rFonts w:hint="eastAsia"/>
                          </w:rPr>
                          <w:t>合同负债</w:t>
                        </w:r>
                      </w:p>
                    </w:sdtContent>
                  </w:sdt>
                </w:tc>
                <w:tc>
                  <w:tcPr>
                    <w:tcW w:w="1131" w:type="pct"/>
                    <w:tcBorders>
                      <w:top w:val="outset" w:sz="4" w:space="0" w:color="auto"/>
                      <w:left w:val="outset" w:sz="4" w:space="0" w:color="auto"/>
                      <w:bottom w:val="outset" w:sz="4" w:space="0" w:color="auto"/>
                      <w:right w:val="outset" w:sz="4" w:space="0" w:color="auto"/>
                    </w:tcBorders>
                  </w:tcPr>
                  <w:p w14:paraId="49AA94EB" w14:textId="77777777" w:rsidR="00830E72" w:rsidRDefault="008344D8">
                    <w:pPr>
                      <w:jc w:val="right"/>
                      <w:rPr>
                        <w:szCs w:val="21"/>
                      </w:rPr>
                    </w:pPr>
                    <w:r>
                      <w:t>44,265,830.92</w:t>
                    </w:r>
                  </w:p>
                </w:tc>
                <w:tc>
                  <w:tcPr>
                    <w:tcW w:w="996" w:type="pct"/>
                    <w:tcBorders>
                      <w:top w:val="outset" w:sz="4" w:space="0" w:color="auto"/>
                      <w:left w:val="outset" w:sz="4" w:space="0" w:color="auto"/>
                      <w:bottom w:val="outset" w:sz="4" w:space="0" w:color="auto"/>
                      <w:right w:val="outset" w:sz="4" w:space="0" w:color="auto"/>
                    </w:tcBorders>
                  </w:tcPr>
                  <w:p w14:paraId="301FD451" w14:textId="77777777" w:rsidR="00830E72" w:rsidRDefault="008344D8">
                    <w:pPr>
                      <w:jc w:val="right"/>
                      <w:rPr>
                        <w:szCs w:val="21"/>
                      </w:rPr>
                    </w:pPr>
                    <w:r>
                      <w:t>44,265,830.92</w:t>
                    </w:r>
                  </w:p>
                </w:tc>
                <w:tc>
                  <w:tcPr>
                    <w:tcW w:w="1166" w:type="pct"/>
                    <w:tcBorders>
                      <w:top w:val="outset" w:sz="4" w:space="0" w:color="auto"/>
                      <w:left w:val="outset" w:sz="4" w:space="0" w:color="auto"/>
                      <w:bottom w:val="outset" w:sz="4" w:space="0" w:color="auto"/>
                      <w:right w:val="outset" w:sz="4" w:space="0" w:color="auto"/>
                    </w:tcBorders>
                  </w:tcPr>
                  <w:p w14:paraId="5020E2D8" w14:textId="77777777" w:rsidR="00830E72" w:rsidRDefault="00830E72">
                    <w:pPr>
                      <w:jc w:val="right"/>
                      <w:rPr>
                        <w:szCs w:val="21"/>
                      </w:rPr>
                    </w:pPr>
                  </w:p>
                </w:tc>
              </w:tr>
              <w:tr w:rsidR="00830E72" w14:paraId="520B7D1B" w14:textId="77777777">
                <w:sdt>
                  <w:sdtPr>
                    <w:tag w:val="_PLD_e022b367ef5841dba277837ed003eacd"/>
                    <w:id w:val="-1585146639"/>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7FBDCFA7" w14:textId="77777777" w:rsidR="00830E72" w:rsidRDefault="008344D8">
                        <w:pPr>
                          <w:ind w:firstLineChars="100" w:firstLine="210"/>
                          <w:rPr>
                            <w:szCs w:val="21"/>
                          </w:rPr>
                        </w:pPr>
                        <w:r>
                          <w:rPr>
                            <w:rFonts w:hint="eastAsia"/>
                            <w:szCs w:val="21"/>
                          </w:rPr>
                          <w:t>卖出回购金融资产款</w:t>
                        </w:r>
                      </w:p>
                    </w:tc>
                  </w:sdtContent>
                </w:sdt>
                <w:tc>
                  <w:tcPr>
                    <w:tcW w:w="1131" w:type="pct"/>
                    <w:tcBorders>
                      <w:top w:val="outset" w:sz="4" w:space="0" w:color="auto"/>
                      <w:left w:val="outset" w:sz="4" w:space="0" w:color="auto"/>
                      <w:bottom w:val="outset" w:sz="4" w:space="0" w:color="auto"/>
                      <w:right w:val="outset" w:sz="4" w:space="0" w:color="auto"/>
                    </w:tcBorders>
                  </w:tcPr>
                  <w:p w14:paraId="2FD42F9B"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7A33238C"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16E7B4B0" w14:textId="77777777" w:rsidR="00830E72" w:rsidRDefault="00830E72">
                    <w:pPr>
                      <w:jc w:val="right"/>
                      <w:rPr>
                        <w:szCs w:val="21"/>
                      </w:rPr>
                    </w:pPr>
                  </w:p>
                </w:tc>
              </w:tr>
              <w:tr w:rsidR="00830E72" w14:paraId="50133707" w14:textId="77777777">
                <w:tc>
                  <w:tcPr>
                    <w:tcW w:w="1707"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74d4dc9a763540cf9519a67b2a7b02ae"/>
                      <w:id w:val="-487790970"/>
                      <w:lock w:val="sdtLocked"/>
                    </w:sdtPr>
                    <w:sdtEndPr/>
                    <w:sdtContent>
                      <w:p w14:paraId="1DCB655A" w14:textId="77777777" w:rsidR="00830E72" w:rsidRDefault="008344D8">
                        <w:pPr>
                          <w:ind w:firstLineChars="100" w:firstLine="210"/>
                        </w:pPr>
                        <w:r>
                          <w:rPr>
                            <w:rFonts w:hint="eastAsia"/>
                            <w:szCs w:val="21"/>
                          </w:rPr>
                          <w:t>吸收存款及同业存放</w:t>
                        </w:r>
                      </w:p>
                    </w:sdtContent>
                  </w:sdt>
                </w:tc>
                <w:tc>
                  <w:tcPr>
                    <w:tcW w:w="1131" w:type="pct"/>
                    <w:tcBorders>
                      <w:top w:val="outset" w:sz="4" w:space="0" w:color="auto"/>
                      <w:left w:val="outset" w:sz="4" w:space="0" w:color="auto"/>
                      <w:bottom w:val="outset" w:sz="4" w:space="0" w:color="auto"/>
                      <w:right w:val="outset" w:sz="4" w:space="0" w:color="auto"/>
                    </w:tcBorders>
                  </w:tcPr>
                  <w:p w14:paraId="1EFC00CB"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4B73015"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2BC6248" w14:textId="77777777" w:rsidR="00830E72" w:rsidRDefault="00830E72">
                    <w:pPr>
                      <w:jc w:val="right"/>
                      <w:rPr>
                        <w:szCs w:val="21"/>
                      </w:rPr>
                    </w:pPr>
                  </w:p>
                </w:tc>
              </w:tr>
              <w:tr w:rsidR="00830E72" w14:paraId="35DF4FC8" w14:textId="77777777">
                <w:sdt>
                  <w:sdtPr>
                    <w:tag w:val="_PLD_3c7f7227298a479f925e3109384a9004"/>
                    <w:id w:val="1016194214"/>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0C32DD57" w14:textId="77777777" w:rsidR="00830E72" w:rsidRDefault="008344D8">
                        <w:pPr>
                          <w:ind w:firstLineChars="100" w:firstLine="210"/>
                          <w:rPr>
                            <w:szCs w:val="21"/>
                          </w:rPr>
                        </w:pPr>
                        <w:r>
                          <w:rPr>
                            <w:rFonts w:hint="eastAsia"/>
                            <w:szCs w:val="21"/>
                          </w:rPr>
                          <w:t>代理买卖证券款</w:t>
                        </w:r>
                      </w:p>
                    </w:tc>
                  </w:sdtContent>
                </w:sdt>
                <w:tc>
                  <w:tcPr>
                    <w:tcW w:w="1131" w:type="pct"/>
                    <w:tcBorders>
                      <w:top w:val="outset" w:sz="4" w:space="0" w:color="auto"/>
                      <w:left w:val="outset" w:sz="4" w:space="0" w:color="auto"/>
                      <w:bottom w:val="outset" w:sz="4" w:space="0" w:color="auto"/>
                      <w:right w:val="outset" w:sz="4" w:space="0" w:color="auto"/>
                    </w:tcBorders>
                  </w:tcPr>
                  <w:p w14:paraId="16620543"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97086B9"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CED4790" w14:textId="77777777" w:rsidR="00830E72" w:rsidRDefault="00830E72">
                    <w:pPr>
                      <w:jc w:val="right"/>
                      <w:rPr>
                        <w:szCs w:val="21"/>
                      </w:rPr>
                    </w:pPr>
                  </w:p>
                </w:tc>
              </w:tr>
              <w:tr w:rsidR="00830E72" w14:paraId="59C52718" w14:textId="77777777">
                <w:sdt>
                  <w:sdtPr>
                    <w:tag w:val="_PLD_c753a74c55b14657b44ff96fd1a588c5"/>
                    <w:id w:val="57064115"/>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530477DC" w14:textId="77777777" w:rsidR="00830E72" w:rsidRDefault="008344D8">
                        <w:pPr>
                          <w:ind w:firstLineChars="100" w:firstLine="210"/>
                          <w:rPr>
                            <w:szCs w:val="21"/>
                          </w:rPr>
                        </w:pPr>
                        <w:r>
                          <w:rPr>
                            <w:rFonts w:hint="eastAsia"/>
                            <w:szCs w:val="21"/>
                          </w:rPr>
                          <w:t>代理承销证券款</w:t>
                        </w:r>
                      </w:p>
                    </w:tc>
                  </w:sdtContent>
                </w:sdt>
                <w:tc>
                  <w:tcPr>
                    <w:tcW w:w="1131" w:type="pct"/>
                    <w:tcBorders>
                      <w:top w:val="outset" w:sz="4" w:space="0" w:color="auto"/>
                      <w:left w:val="outset" w:sz="4" w:space="0" w:color="auto"/>
                      <w:bottom w:val="outset" w:sz="4" w:space="0" w:color="auto"/>
                      <w:right w:val="outset" w:sz="4" w:space="0" w:color="auto"/>
                    </w:tcBorders>
                  </w:tcPr>
                  <w:p w14:paraId="6D770258"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9A1D87E"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0FB0A41" w14:textId="77777777" w:rsidR="00830E72" w:rsidRDefault="00830E72">
                    <w:pPr>
                      <w:jc w:val="right"/>
                      <w:rPr>
                        <w:szCs w:val="21"/>
                      </w:rPr>
                    </w:pPr>
                  </w:p>
                </w:tc>
              </w:tr>
              <w:tr w:rsidR="00830E72" w14:paraId="061D4D52" w14:textId="77777777">
                <w:sdt>
                  <w:sdtPr>
                    <w:tag w:val="_PLD_645872124b78478895ac8ca50bf1fb8a"/>
                    <w:id w:val="332266078"/>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7B79A87E" w14:textId="77777777" w:rsidR="00830E72" w:rsidRDefault="008344D8">
                        <w:pPr>
                          <w:ind w:firstLineChars="100" w:firstLine="210"/>
                          <w:rPr>
                            <w:szCs w:val="21"/>
                          </w:rPr>
                        </w:pPr>
                        <w:r>
                          <w:rPr>
                            <w:rFonts w:hint="eastAsia"/>
                            <w:szCs w:val="21"/>
                          </w:rPr>
                          <w:t>应付职工薪酬</w:t>
                        </w:r>
                      </w:p>
                    </w:tc>
                  </w:sdtContent>
                </w:sdt>
                <w:tc>
                  <w:tcPr>
                    <w:tcW w:w="1131" w:type="pct"/>
                    <w:tcBorders>
                      <w:top w:val="outset" w:sz="4" w:space="0" w:color="auto"/>
                      <w:left w:val="outset" w:sz="4" w:space="0" w:color="auto"/>
                      <w:bottom w:val="outset" w:sz="4" w:space="0" w:color="auto"/>
                      <w:right w:val="outset" w:sz="4" w:space="0" w:color="auto"/>
                    </w:tcBorders>
                  </w:tcPr>
                  <w:p w14:paraId="0541F5BE" w14:textId="77777777" w:rsidR="00830E72" w:rsidRDefault="008344D8">
                    <w:pPr>
                      <w:jc w:val="right"/>
                      <w:rPr>
                        <w:szCs w:val="21"/>
                      </w:rPr>
                    </w:pPr>
                    <w:r>
                      <w:t>29,196,308.98</w:t>
                    </w:r>
                  </w:p>
                </w:tc>
                <w:tc>
                  <w:tcPr>
                    <w:tcW w:w="996" w:type="pct"/>
                    <w:tcBorders>
                      <w:top w:val="outset" w:sz="4" w:space="0" w:color="auto"/>
                      <w:left w:val="outset" w:sz="4" w:space="0" w:color="auto"/>
                      <w:bottom w:val="outset" w:sz="4" w:space="0" w:color="auto"/>
                      <w:right w:val="outset" w:sz="4" w:space="0" w:color="auto"/>
                    </w:tcBorders>
                  </w:tcPr>
                  <w:p w14:paraId="4E7D3930" w14:textId="77777777" w:rsidR="00830E72" w:rsidRDefault="008344D8">
                    <w:pPr>
                      <w:jc w:val="right"/>
                      <w:rPr>
                        <w:szCs w:val="21"/>
                      </w:rPr>
                    </w:pPr>
                    <w:r>
                      <w:t>29,196,308.98</w:t>
                    </w:r>
                  </w:p>
                </w:tc>
                <w:tc>
                  <w:tcPr>
                    <w:tcW w:w="1166" w:type="pct"/>
                    <w:tcBorders>
                      <w:top w:val="outset" w:sz="4" w:space="0" w:color="auto"/>
                      <w:left w:val="outset" w:sz="4" w:space="0" w:color="auto"/>
                      <w:bottom w:val="outset" w:sz="4" w:space="0" w:color="auto"/>
                      <w:right w:val="outset" w:sz="4" w:space="0" w:color="auto"/>
                    </w:tcBorders>
                  </w:tcPr>
                  <w:p w14:paraId="3507C4FF" w14:textId="77777777" w:rsidR="00830E72" w:rsidRDefault="00830E72">
                    <w:pPr>
                      <w:jc w:val="right"/>
                      <w:rPr>
                        <w:szCs w:val="21"/>
                      </w:rPr>
                    </w:pPr>
                  </w:p>
                </w:tc>
              </w:tr>
              <w:tr w:rsidR="00830E72" w14:paraId="68CCC8FC" w14:textId="77777777">
                <w:sdt>
                  <w:sdtPr>
                    <w:tag w:val="_PLD_d3c044defc17425daa2954955510acc7"/>
                    <w:id w:val="-2054378164"/>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2D2BFEBC" w14:textId="77777777" w:rsidR="00830E72" w:rsidRDefault="008344D8">
                        <w:pPr>
                          <w:ind w:firstLineChars="100" w:firstLine="210"/>
                          <w:rPr>
                            <w:szCs w:val="21"/>
                          </w:rPr>
                        </w:pPr>
                        <w:r>
                          <w:rPr>
                            <w:rFonts w:hint="eastAsia"/>
                            <w:szCs w:val="21"/>
                          </w:rPr>
                          <w:t>应交税费</w:t>
                        </w:r>
                      </w:p>
                    </w:tc>
                  </w:sdtContent>
                </w:sdt>
                <w:tc>
                  <w:tcPr>
                    <w:tcW w:w="1131" w:type="pct"/>
                    <w:tcBorders>
                      <w:top w:val="outset" w:sz="4" w:space="0" w:color="auto"/>
                      <w:left w:val="outset" w:sz="4" w:space="0" w:color="auto"/>
                      <w:bottom w:val="outset" w:sz="4" w:space="0" w:color="auto"/>
                      <w:right w:val="outset" w:sz="4" w:space="0" w:color="auto"/>
                    </w:tcBorders>
                  </w:tcPr>
                  <w:p w14:paraId="0BD831C4" w14:textId="77777777" w:rsidR="00830E72" w:rsidRDefault="008344D8">
                    <w:pPr>
                      <w:jc w:val="right"/>
                      <w:rPr>
                        <w:szCs w:val="21"/>
                      </w:rPr>
                    </w:pPr>
                    <w:r>
                      <w:t>29,842,852.51</w:t>
                    </w:r>
                  </w:p>
                </w:tc>
                <w:tc>
                  <w:tcPr>
                    <w:tcW w:w="996" w:type="pct"/>
                    <w:tcBorders>
                      <w:top w:val="outset" w:sz="4" w:space="0" w:color="auto"/>
                      <w:left w:val="outset" w:sz="4" w:space="0" w:color="auto"/>
                      <w:bottom w:val="outset" w:sz="4" w:space="0" w:color="auto"/>
                      <w:right w:val="outset" w:sz="4" w:space="0" w:color="auto"/>
                    </w:tcBorders>
                  </w:tcPr>
                  <w:p w14:paraId="7FF9D9E8" w14:textId="77777777" w:rsidR="00830E72" w:rsidRDefault="008344D8">
                    <w:pPr>
                      <w:jc w:val="right"/>
                      <w:rPr>
                        <w:szCs w:val="21"/>
                      </w:rPr>
                    </w:pPr>
                    <w:r>
                      <w:t>29,842,852.51</w:t>
                    </w:r>
                  </w:p>
                </w:tc>
                <w:tc>
                  <w:tcPr>
                    <w:tcW w:w="1166" w:type="pct"/>
                    <w:tcBorders>
                      <w:top w:val="outset" w:sz="4" w:space="0" w:color="auto"/>
                      <w:left w:val="outset" w:sz="4" w:space="0" w:color="auto"/>
                      <w:bottom w:val="outset" w:sz="4" w:space="0" w:color="auto"/>
                      <w:right w:val="outset" w:sz="4" w:space="0" w:color="auto"/>
                    </w:tcBorders>
                  </w:tcPr>
                  <w:p w14:paraId="2F2991D8" w14:textId="77777777" w:rsidR="00830E72" w:rsidRDefault="00830E72">
                    <w:pPr>
                      <w:jc w:val="right"/>
                      <w:rPr>
                        <w:szCs w:val="21"/>
                      </w:rPr>
                    </w:pPr>
                  </w:p>
                </w:tc>
              </w:tr>
              <w:tr w:rsidR="00830E72" w14:paraId="5F257881" w14:textId="77777777">
                <w:sdt>
                  <w:sdtPr>
                    <w:tag w:val="_PLD_2463a98e91ab4940a86070ef84c09928"/>
                    <w:id w:val="-271702056"/>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13474A42" w14:textId="77777777" w:rsidR="00830E72" w:rsidRDefault="008344D8">
                        <w:pPr>
                          <w:ind w:firstLineChars="100" w:firstLine="210"/>
                          <w:rPr>
                            <w:szCs w:val="21"/>
                          </w:rPr>
                        </w:pPr>
                        <w:r>
                          <w:rPr>
                            <w:rFonts w:hint="eastAsia"/>
                            <w:szCs w:val="21"/>
                          </w:rPr>
                          <w:t>其他应付款</w:t>
                        </w:r>
                      </w:p>
                    </w:tc>
                  </w:sdtContent>
                </w:sdt>
                <w:tc>
                  <w:tcPr>
                    <w:tcW w:w="1131" w:type="pct"/>
                    <w:tcBorders>
                      <w:top w:val="outset" w:sz="4" w:space="0" w:color="auto"/>
                      <w:left w:val="outset" w:sz="4" w:space="0" w:color="auto"/>
                      <w:bottom w:val="outset" w:sz="4" w:space="0" w:color="auto"/>
                      <w:right w:val="outset" w:sz="4" w:space="0" w:color="auto"/>
                    </w:tcBorders>
                  </w:tcPr>
                  <w:p w14:paraId="30F8903B" w14:textId="77777777" w:rsidR="00830E72" w:rsidRDefault="008344D8">
                    <w:pPr>
                      <w:jc w:val="right"/>
                      <w:rPr>
                        <w:szCs w:val="21"/>
                      </w:rPr>
                    </w:pPr>
                    <w:r>
                      <w:t>121,586,460.61</w:t>
                    </w:r>
                  </w:p>
                </w:tc>
                <w:tc>
                  <w:tcPr>
                    <w:tcW w:w="996" w:type="pct"/>
                    <w:tcBorders>
                      <w:top w:val="outset" w:sz="4" w:space="0" w:color="auto"/>
                      <w:left w:val="outset" w:sz="4" w:space="0" w:color="auto"/>
                      <w:bottom w:val="outset" w:sz="4" w:space="0" w:color="auto"/>
                      <w:right w:val="outset" w:sz="4" w:space="0" w:color="auto"/>
                    </w:tcBorders>
                  </w:tcPr>
                  <w:p w14:paraId="4AC2017F" w14:textId="77777777" w:rsidR="00830E72" w:rsidRDefault="008344D8">
                    <w:pPr>
                      <w:jc w:val="right"/>
                      <w:rPr>
                        <w:szCs w:val="21"/>
                      </w:rPr>
                    </w:pPr>
                    <w:r>
                      <w:t>121,586,460.61</w:t>
                    </w:r>
                  </w:p>
                </w:tc>
                <w:tc>
                  <w:tcPr>
                    <w:tcW w:w="1166" w:type="pct"/>
                    <w:tcBorders>
                      <w:top w:val="outset" w:sz="4" w:space="0" w:color="auto"/>
                      <w:left w:val="outset" w:sz="4" w:space="0" w:color="auto"/>
                      <w:bottom w:val="outset" w:sz="4" w:space="0" w:color="auto"/>
                      <w:right w:val="outset" w:sz="4" w:space="0" w:color="auto"/>
                    </w:tcBorders>
                  </w:tcPr>
                  <w:p w14:paraId="0FC04BB8" w14:textId="77777777" w:rsidR="00830E72" w:rsidRDefault="00830E72">
                    <w:pPr>
                      <w:jc w:val="right"/>
                      <w:rPr>
                        <w:szCs w:val="21"/>
                      </w:rPr>
                    </w:pPr>
                  </w:p>
                </w:tc>
              </w:tr>
              <w:tr w:rsidR="00830E72" w14:paraId="146DE8EC" w14:textId="77777777">
                <w:sdt>
                  <w:sdtPr>
                    <w:tag w:val="_PLD_1e3b5010b1644b86a63caa38200d9fc7"/>
                    <w:id w:val="-1134405850"/>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3B8CE294" w14:textId="77777777" w:rsidR="00830E72" w:rsidRDefault="008344D8">
                        <w:pPr>
                          <w:ind w:firstLineChars="100" w:firstLine="210"/>
                          <w:rPr>
                            <w:szCs w:val="21"/>
                          </w:rPr>
                        </w:pPr>
                        <w:r>
                          <w:rPr>
                            <w:rFonts w:hint="eastAsia"/>
                          </w:rPr>
                          <w:t>其中：</w:t>
                        </w:r>
                        <w:r>
                          <w:rPr>
                            <w:rFonts w:hint="eastAsia"/>
                            <w:szCs w:val="21"/>
                          </w:rPr>
                          <w:t>应付利息</w:t>
                        </w:r>
                      </w:p>
                    </w:tc>
                  </w:sdtContent>
                </w:sdt>
                <w:tc>
                  <w:tcPr>
                    <w:tcW w:w="1131" w:type="pct"/>
                    <w:tcBorders>
                      <w:top w:val="outset" w:sz="4" w:space="0" w:color="auto"/>
                      <w:left w:val="outset" w:sz="4" w:space="0" w:color="auto"/>
                      <w:bottom w:val="outset" w:sz="4" w:space="0" w:color="auto"/>
                      <w:right w:val="outset" w:sz="4" w:space="0" w:color="auto"/>
                    </w:tcBorders>
                  </w:tcPr>
                  <w:p w14:paraId="26DD08F5"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8AD5388"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C6A488B" w14:textId="77777777" w:rsidR="00830E72" w:rsidRDefault="00830E72">
                    <w:pPr>
                      <w:jc w:val="right"/>
                      <w:rPr>
                        <w:szCs w:val="21"/>
                      </w:rPr>
                    </w:pPr>
                  </w:p>
                </w:tc>
              </w:tr>
              <w:tr w:rsidR="00830E72" w14:paraId="1E9832CA" w14:textId="77777777">
                <w:sdt>
                  <w:sdtPr>
                    <w:tag w:val="_PLD_bb0dd0f249ab4ec4b35a1769f3ab804c"/>
                    <w:id w:val="1220872949"/>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578D52EA" w14:textId="77777777" w:rsidR="00830E72" w:rsidRDefault="008344D8">
                        <w:pPr>
                          <w:ind w:firstLineChars="400" w:firstLine="840"/>
                          <w:rPr>
                            <w:szCs w:val="21"/>
                          </w:rPr>
                        </w:pPr>
                        <w:r>
                          <w:rPr>
                            <w:rFonts w:hint="eastAsia"/>
                            <w:szCs w:val="21"/>
                          </w:rPr>
                          <w:t>应付股利</w:t>
                        </w:r>
                      </w:p>
                    </w:tc>
                  </w:sdtContent>
                </w:sdt>
                <w:tc>
                  <w:tcPr>
                    <w:tcW w:w="1131" w:type="pct"/>
                    <w:tcBorders>
                      <w:top w:val="outset" w:sz="4" w:space="0" w:color="auto"/>
                      <w:left w:val="outset" w:sz="4" w:space="0" w:color="auto"/>
                      <w:bottom w:val="outset" w:sz="4" w:space="0" w:color="auto"/>
                      <w:right w:val="outset" w:sz="4" w:space="0" w:color="auto"/>
                    </w:tcBorders>
                  </w:tcPr>
                  <w:p w14:paraId="63B2C927"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CDBB775"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419D89F" w14:textId="77777777" w:rsidR="00830E72" w:rsidRDefault="00830E72">
                    <w:pPr>
                      <w:jc w:val="right"/>
                      <w:rPr>
                        <w:szCs w:val="21"/>
                      </w:rPr>
                    </w:pPr>
                  </w:p>
                </w:tc>
              </w:tr>
              <w:tr w:rsidR="00830E72" w14:paraId="616EB37A" w14:textId="77777777">
                <w:sdt>
                  <w:sdtPr>
                    <w:tag w:val="_PLD_69732c7544d04b9b9f9cd67ef9c67522"/>
                    <w:id w:val="942645701"/>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4FE13FEE" w14:textId="77777777" w:rsidR="00830E72" w:rsidRDefault="008344D8">
                        <w:pPr>
                          <w:ind w:firstLineChars="100" w:firstLine="210"/>
                          <w:rPr>
                            <w:szCs w:val="21"/>
                          </w:rPr>
                        </w:pPr>
                        <w:r>
                          <w:rPr>
                            <w:rFonts w:hint="eastAsia"/>
                            <w:szCs w:val="21"/>
                          </w:rPr>
                          <w:t>应付手续费及佣金</w:t>
                        </w:r>
                      </w:p>
                    </w:tc>
                  </w:sdtContent>
                </w:sdt>
                <w:tc>
                  <w:tcPr>
                    <w:tcW w:w="1131" w:type="pct"/>
                    <w:tcBorders>
                      <w:top w:val="outset" w:sz="4" w:space="0" w:color="auto"/>
                      <w:left w:val="outset" w:sz="4" w:space="0" w:color="auto"/>
                      <w:bottom w:val="outset" w:sz="4" w:space="0" w:color="auto"/>
                      <w:right w:val="outset" w:sz="4" w:space="0" w:color="auto"/>
                    </w:tcBorders>
                  </w:tcPr>
                  <w:p w14:paraId="0F5E716B"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3531D530"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53CC5892" w14:textId="77777777" w:rsidR="00830E72" w:rsidRDefault="00830E72">
                    <w:pPr>
                      <w:jc w:val="right"/>
                      <w:rPr>
                        <w:szCs w:val="21"/>
                      </w:rPr>
                    </w:pPr>
                  </w:p>
                </w:tc>
              </w:tr>
              <w:tr w:rsidR="00830E72" w14:paraId="439B4C73" w14:textId="77777777">
                <w:sdt>
                  <w:sdtPr>
                    <w:tag w:val="_PLD_722fcf0c82c847e58fe7dabb21c96fbe"/>
                    <w:id w:val="2116784153"/>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6EE8325F" w14:textId="77777777" w:rsidR="00830E72" w:rsidRDefault="008344D8">
                        <w:pPr>
                          <w:ind w:firstLineChars="100" w:firstLine="210"/>
                          <w:rPr>
                            <w:szCs w:val="21"/>
                          </w:rPr>
                        </w:pPr>
                        <w:r>
                          <w:rPr>
                            <w:rFonts w:hint="eastAsia"/>
                            <w:szCs w:val="21"/>
                          </w:rPr>
                          <w:t>应付分保账款</w:t>
                        </w:r>
                      </w:p>
                    </w:tc>
                  </w:sdtContent>
                </w:sdt>
                <w:tc>
                  <w:tcPr>
                    <w:tcW w:w="1131" w:type="pct"/>
                    <w:tcBorders>
                      <w:top w:val="outset" w:sz="4" w:space="0" w:color="auto"/>
                      <w:left w:val="outset" w:sz="4" w:space="0" w:color="auto"/>
                      <w:bottom w:val="outset" w:sz="4" w:space="0" w:color="auto"/>
                      <w:right w:val="outset" w:sz="4" w:space="0" w:color="auto"/>
                    </w:tcBorders>
                  </w:tcPr>
                  <w:p w14:paraId="5CE16BA8"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EEC03B1"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F567A36" w14:textId="77777777" w:rsidR="00830E72" w:rsidRDefault="00830E72">
                    <w:pPr>
                      <w:jc w:val="right"/>
                      <w:rPr>
                        <w:szCs w:val="21"/>
                      </w:rPr>
                    </w:pPr>
                  </w:p>
                </w:tc>
              </w:tr>
              <w:tr w:rsidR="00830E72" w14:paraId="7818B117" w14:textId="77777777">
                <w:sdt>
                  <w:sdtPr>
                    <w:tag w:val="_PLD_3425e5f47d8444608e19b97651415166"/>
                    <w:id w:val="107636363"/>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37D0A1A8" w14:textId="77777777" w:rsidR="00830E72" w:rsidRDefault="008344D8">
                        <w:pPr>
                          <w:ind w:firstLineChars="100" w:firstLine="210"/>
                          <w:rPr>
                            <w:szCs w:val="21"/>
                          </w:rPr>
                        </w:pPr>
                        <w:r>
                          <w:rPr>
                            <w:rFonts w:hint="eastAsia"/>
                            <w:szCs w:val="21"/>
                          </w:rPr>
                          <w:t>持有待售负债</w:t>
                        </w:r>
                      </w:p>
                    </w:tc>
                  </w:sdtContent>
                </w:sdt>
                <w:tc>
                  <w:tcPr>
                    <w:tcW w:w="1131" w:type="pct"/>
                    <w:tcBorders>
                      <w:top w:val="outset" w:sz="4" w:space="0" w:color="auto"/>
                      <w:left w:val="outset" w:sz="4" w:space="0" w:color="auto"/>
                      <w:bottom w:val="outset" w:sz="4" w:space="0" w:color="auto"/>
                      <w:right w:val="outset" w:sz="4" w:space="0" w:color="auto"/>
                    </w:tcBorders>
                  </w:tcPr>
                  <w:p w14:paraId="59D6879E"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161D8D38"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6BF6880" w14:textId="77777777" w:rsidR="00830E72" w:rsidRDefault="00830E72">
                    <w:pPr>
                      <w:jc w:val="right"/>
                      <w:rPr>
                        <w:szCs w:val="21"/>
                      </w:rPr>
                    </w:pPr>
                  </w:p>
                </w:tc>
              </w:tr>
              <w:tr w:rsidR="00830E72" w14:paraId="0C300DD8" w14:textId="77777777">
                <w:sdt>
                  <w:sdtPr>
                    <w:tag w:val="_PLD_184262582d204a07b7c7b039008d30a1"/>
                    <w:id w:val="-29264764"/>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664EC134" w14:textId="77777777" w:rsidR="00830E72" w:rsidRDefault="008344D8">
                        <w:pPr>
                          <w:ind w:firstLineChars="100" w:firstLine="210"/>
                          <w:rPr>
                            <w:szCs w:val="21"/>
                          </w:rPr>
                        </w:pPr>
                        <w:r>
                          <w:rPr>
                            <w:rFonts w:hint="eastAsia"/>
                            <w:szCs w:val="21"/>
                          </w:rPr>
                          <w:t>一年内到期的非流动负债</w:t>
                        </w:r>
                      </w:p>
                    </w:tc>
                  </w:sdtContent>
                </w:sdt>
                <w:tc>
                  <w:tcPr>
                    <w:tcW w:w="1131" w:type="pct"/>
                    <w:tcBorders>
                      <w:top w:val="outset" w:sz="4" w:space="0" w:color="auto"/>
                      <w:left w:val="outset" w:sz="4" w:space="0" w:color="auto"/>
                      <w:bottom w:val="outset" w:sz="4" w:space="0" w:color="auto"/>
                      <w:right w:val="outset" w:sz="4" w:space="0" w:color="auto"/>
                    </w:tcBorders>
                  </w:tcPr>
                  <w:p w14:paraId="7656DFD9" w14:textId="77777777" w:rsidR="00830E72" w:rsidRDefault="008344D8">
                    <w:pPr>
                      <w:jc w:val="right"/>
                      <w:rPr>
                        <w:szCs w:val="21"/>
                      </w:rPr>
                    </w:pPr>
                    <w:r>
                      <w:t>54,265,043.89</w:t>
                    </w:r>
                  </w:p>
                </w:tc>
                <w:tc>
                  <w:tcPr>
                    <w:tcW w:w="996" w:type="pct"/>
                    <w:tcBorders>
                      <w:top w:val="outset" w:sz="4" w:space="0" w:color="auto"/>
                      <w:left w:val="outset" w:sz="4" w:space="0" w:color="auto"/>
                      <w:bottom w:val="outset" w:sz="4" w:space="0" w:color="auto"/>
                      <w:right w:val="outset" w:sz="4" w:space="0" w:color="auto"/>
                    </w:tcBorders>
                  </w:tcPr>
                  <w:p w14:paraId="7DD6809D" w14:textId="77777777" w:rsidR="00830E72" w:rsidRDefault="008344D8">
                    <w:pPr>
                      <w:jc w:val="right"/>
                      <w:rPr>
                        <w:szCs w:val="21"/>
                      </w:rPr>
                    </w:pPr>
                    <w:r>
                      <w:t>54,265,043.89</w:t>
                    </w:r>
                  </w:p>
                </w:tc>
                <w:tc>
                  <w:tcPr>
                    <w:tcW w:w="1166" w:type="pct"/>
                    <w:tcBorders>
                      <w:top w:val="outset" w:sz="4" w:space="0" w:color="auto"/>
                      <w:left w:val="outset" w:sz="4" w:space="0" w:color="auto"/>
                      <w:bottom w:val="outset" w:sz="4" w:space="0" w:color="auto"/>
                      <w:right w:val="outset" w:sz="4" w:space="0" w:color="auto"/>
                    </w:tcBorders>
                  </w:tcPr>
                  <w:p w14:paraId="2910FFBF" w14:textId="77777777" w:rsidR="00830E72" w:rsidRDefault="00830E72">
                    <w:pPr>
                      <w:jc w:val="right"/>
                      <w:rPr>
                        <w:szCs w:val="21"/>
                      </w:rPr>
                    </w:pPr>
                  </w:p>
                </w:tc>
              </w:tr>
              <w:tr w:rsidR="00830E72" w14:paraId="175A80AB" w14:textId="77777777">
                <w:sdt>
                  <w:sdtPr>
                    <w:tag w:val="_PLD_af93e4b207a64595bfc64c7f72b1187a"/>
                    <w:id w:val="-808865774"/>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2A8FC793" w14:textId="77777777" w:rsidR="00830E72" w:rsidRDefault="008344D8">
                        <w:pPr>
                          <w:ind w:firstLineChars="100" w:firstLine="210"/>
                          <w:rPr>
                            <w:szCs w:val="21"/>
                          </w:rPr>
                        </w:pPr>
                        <w:r>
                          <w:rPr>
                            <w:rFonts w:hint="eastAsia"/>
                            <w:szCs w:val="21"/>
                          </w:rPr>
                          <w:t>其他流动负债</w:t>
                        </w:r>
                      </w:p>
                    </w:tc>
                  </w:sdtContent>
                </w:sdt>
                <w:tc>
                  <w:tcPr>
                    <w:tcW w:w="1131" w:type="pct"/>
                    <w:tcBorders>
                      <w:top w:val="outset" w:sz="4" w:space="0" w:color="auto"/>
                      <w:left w:val="outset" w:sz="4" w:space="0" w:color="auto"/>
                      <w:bottom w:val="outset" w:sz="4" w:space="0" w:color="auto"/>
                      <w:right w:val="outset" w:sz="4" w:space="0" w:color="auto"/>
                    </w:tcBorders>
                  </w:tcPr>
                  <w:p w14:paraId="68E81D67" w14:textId="77777777" w:rsidR="00830E72" w:rsidRDefault="008344D8">
                    <w:pPr>
                      <w:jc w:val="right"/>
                      <w:rPr>
                        <w:szCs w:val="21"/>
                      </w:rPr>
                    </w:pPr>
                    <w:r>
                      <w:t>167,183,284.13</w:t>
                    </w:r>
                  </w:p>
                </w:tc>
                <w:tc>
                  <w:tcPr>
                    <w:tcW w:w="996" w:type="pct"/>
                    <w:tcBorders>
                      <w:top w:val="outset" w:sz="4" w:space="0" w:color="auto"/>
                      <w:left w:val="outset" w:sz="4" w:space="0" w:color="auto"/>
                      <w:bottom w:val="outset" w:sz="4" w:space="0" w:color="auto"/>
                      <w:right w:val="outset" w:sz="4" w:space="0" w:color="auto"/>
                    </w:tcBorders>
                  </w:tcPr>
                  <w:p w14:paraId="2BBCF1CE" w14:textId="77777777" w:rsidR="00830E72" w:rsidRDefault="008344D8">
                    <w:pPr>
                      <w:jc w:val="right"/>
                      <w:rPr>
                        <w:szCs w:val="21"/>
                      </w:rPr>
                    </w:pPr>
                    <w:r>
                      <w:t>167,183,284.13</w:t>
                    </w:r>
                  </w:p>
                </w:tc>
                <w:tc>
                  <w:tcPr>
                    <w:tcW w:w="1166" w:type="pct"/>
                    <w:tcBorders>
                      <w:top w:val="outset" w:sz="4" w:space="0" w:color="auto"/>
                      <w:left w:val="outset" w:sz="4" w:space="0" w:color="auto"/>
                      <w:bottom w:val="outset" w:sz="4" w:space="0" w:color="auto"/>
                      <w:right w:val="outset" w:sz="4" w:space="0" w:color="auto"/>
                    </w:tcBorders>
                  </w:tcPr>
                  <w:p w14:paraId="0A952935" w14:textId="77777777" w:rsidR="00830E72" w:rsidRDefault="00830E72">
                    <w:pPr>
                      <w:jc w:val="right"/>
                      <w:rPr>
                        <w:szCs w:val="21"/>
                      </w:rPr>
                    </w:pPr>
                  </w:p>
                </w:tc>
              </w:tr>
              <w:tr w:rsidR="00830E72" w14:paraId="59172B72" w14:textId="77777777">
                <w:sdt>
                  <w:sdtPr>
                    <w:tag w:val="_PLD_9a3d3ca1f3174615bf9ff36a589d6783"/>
                    <w:id w:val="-64263436"/>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0606CC42" w14:textId="77777777" w:rsidR="00830E72" w:rsidRDefault="008344D8">
                        <w:pPr>
                          <w:ind w:firstLineChars="200" w:firstLine="420"/>
                          <w:rPr>
                            <w:szCs w:val="21"/>
                          </w:rPr>
                        </w:pPr>
                        <w:r>
                          <w:rPr>
                            <w:rFonts w:hint="eastAsia"/>
                            <w:szCs w:val="21"/>
                          </w:rPr>
                          <w:t>流动负债合计</w:t>
                        </w:r>
                      </w:p>
                    </w:tc>
                  </w:sdtContent>
                </w:sdt>
                <w:tc>
                  <w:tcPr>
                    <w:tcW w:w="1131" w:type="pct"/>
                    <w:tcBorders>
                      <w:top w:val="outset" w:sz="4" w:space="0" w:color="auto"/>
                      <w:left w:val="outset" w:sz="4" w:space="0" w:color="auto"/>
                      <w:bottom w:val="outset" w:sz="4" w:space="0" w:color="auto"/>
                      <w:right w:val="outset" w:sz="4" w:space="0" w:color="auto"/>
                    </w:tcBorders>
                  </w:tcPr>
                  <w:p w14:paraId="4DD6B2ED" w14:textId="77777777" w:rsidR="00830E72" w:rsidRDefault="008344D8">
                    <w:pPr>
                      <w:jc w:val="right"/>
                      <w:rPr>
                        <w:szCs w:val="21"/>
                      </w:rPr>
                    </w:pPr>
                    <w:r>
                      <w:t>3,452,712,578.64</w:t>
                    </w:r>
                  </w:p>
                </w:tc>
                <w:tc>
                  <w:tcPr>
                    <w:tcW w:w="996" w:type="pct"/>
                    <w:tcBorders>
                      <w:top w:val="outset" w:sz="4" w:space="0" w:color="auto"/>
                      <w:left w:val="outset" w:sz="4" w:space="0" w:color="auto"/>
                      <w:bottom w:val="outset" w:sz="4" w:space="0" w:color="auto"/>
                      <w:right w:val="outset" w:sz="4" w:space="0" w:color="auto"/>
                    </w:tcBorders>
                  </w:tcPr>
                  <w:p w14:paraId="409B1BB8" w14:textId="77777777" w:rsidR="00830E72" w:rsidRDefault="008344D8">
                    <w:pPr>
                      <w:jc w:val="right"/>
                      <w:rPr>
                        <w:szCs w:val="21"/>
                      </w:rPr>
                    </w:pPr>
                    <w:r>
                      <w:t>3,452,712,578.64</w:t>
                    </w:r>
                  </w:p>
                </w:tc>
                <w:tc>
                  <w:tcPr>
                    <w:tcW w:w="1166" w:type="pct"/>
                    <w:tcBorders>
                      <w:top w:val="outset" w:sz="4" w:space="0" w:color="auto"/>
                      <w:left w:val="outset" w:sz="4" w:space="0" w:color="auto"/>
                      <w:bottom w:val="outset" w:sz="4" w:space="0" w:color="auto"/>
                      <w:right w:val="outset" w:sz="4" w:space="0" w:color="auto"/>
                    </w:tcBorders>
                  </w:tcPr>
                  <w:p w14:paraId="198331B8" w14:textId="77777777" w:rsidR="00830E72" w:rsidRDefault="00830E72">
                    <w:pPr>
                      <w:jc w:val="right"/>
                      <w:rPr>
                        <w:szCs w:val="21"/>
                      </w:rPr>
                    </w:pPr>
                  </w:p>
                </w:tc>
              </w:tr>
              <w:tr w:rsidR="00830E72" w14:paraId="0AF5730E" w14:textId="77777777">
                <w:sdt>
                  <w:sdtPr>
                    <w:tag w:val="_PLD_a08e21293f134b168255e7186cb648ba"/>
                    <w:id w:val="154563882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8EA98D1" w14:textId="77777777" w:rsidR="00830E72" w:rsidRDefault="008344D8">
                        <w:pPr>
                          <w:rPr>
                            <w:color w:val="008000"/>
                            <w:szCs w:val="21"/>
                          </w:rPr>
                        </w:pPr>
                        <w:r>
                          <w:rPr>
                            <w:rFonts w:hint="eastAsia"/>
                            <w:b/>
                            <w:bCs/>
                            <w:szCs w:val="21"/>
                          </w:rPr>
                          <w:t>非流动负债：</w:t>
                        </w:r>
                      </w:p>
                    </w:tc>
                  </w:sdtContent>
                </w:sdt>
              </w:tr>
              <w:tr w:rsidR="00830E72" w14:paraId="7C82925E" w14:textId="77777777">
                <w:sdt>
                  <w:sdtPr>
                    <w:tag w:val="_PLD_4b1c734d983f434b821c521fc2870fe8"/>
                    <w:id w:val="975650533"/>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054B8D7F" w14:textId="77777777" w:rsidR="00830E72" w:rsidRDefault="008344D8">
                        <w:pPr>
                          <w:ind w:firstLineChars="100" w:firstLine="210"/>
                          <w:rPr>
                            <w:szCs w:val="21"/>
                          </w:rPr>
                        </w:pPr>
                        <w:r>
                          <w:rPr>
                            <w:rFonts w:hint="eastAsia"/>
                            <w:szCs w:val="21"/>
                          </w:rPr>
                          <w:t>保险合同准备金</w:t>
                        </w:r>
                      </w:p>
                    </w:tc>
                  </w:sdtContent>
                </w:sdt>
                <w:tc>
                  <w:tcPr>
                    <w:tcW w:w="1131" w:type="pct"/>
                    <w:tcBorders>
                      <w:top w:val="outset" w:sz="4" w:space="0" w:color="auto"/>
                      <w:left w:val="outset" w:sz="4" w:space="0" w:color="auto"/>
                      <w:bottom w:val="outset" w:sz="4" w:space="0" w:color="auto"/>
                      <w:right w:val="outset" w:sz="4" w:space="0" w:color="auto"/>
                    </w:tcBorders>
                  </w:tcPr>
                  <w:p w14:paraId="3E7FF776"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E4537CB"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507A3CFD" w14:textId="77777777" w:rsidR="00830E72" w:rsidRDefault="00830E72">
                    <w:pPr>
                      <w:jc w:val="right"/>
                      <w:rPr>
                        <w:szCs w:val="21"/>
                      </w:rPr>
                    </w:pPr>
                  </w:p>
                </w:tc>
              </w:tr>
              <w:tr w:rsidR="00830E72" w14:paraId="61937FAE" w14:textId="77777777">
                <w:sdt>
                  <w:sdtPr>
                    <w:tag w:val="_PLD_1d1cee5b720049af960e79c80ab30479"/>
                    <w:id w:val="-90470968"/>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383625E5" w14:textId="77777777" w:rsidR="00830E72" w:rsidRDefault="008344D8">
                        <w:pPr>
                          <w:ind w:firstLineChars="100" w:firstLine="210"/>
                          <w:rPr>
                            <w:szCs w:val="21"/>
                          </w:rPr>
                        </w:pPr>
                        <w:r>
                          <w:rPr>
                            <w:rFonts w:hint="eastAsia"/>
                            <w:szCs w:val="21"/>
                          </w:rPr>
                          <w:t>长期借款</w:t>
                        </w:r>
                      </w:p>
                    </w:tc>
                  </w:sdtContent>
                </w:sdt>
                <w:tc>
                  <w:tcPr>
                    <w:tcW w:w="1131" w:type="pct"/>
                    <w:tcBorders>
                      <w:top w:val="outset" w:sz="4" w:space="0" w:color="auto"/>
                      <w:left w:val="outset" w:sz="4" w:space="0" w:color="auto"/>
                      <w:bottom w:val="outset" w:sz="4" w:space="0" w:color="auto"/>
                      <w:right w:val="outset" w:sz="4" w:space="0" w:color="auto"/>
                    </w:tcBorders>
                  </w:tcPr>
                  <w:p w14:paraId="1058A4E0" w14:textId="77777777" w:rsidR="00830E72" w:rsidRDefault="008344D8">
                    <w:pPr>
                      <w:jc w:val="right"/>
                      <w:rPr>
                        <w:szCs w:val="21"/>
                      </w:rPr>
                    </w:pPr>
                    <w:r>
                      <w:t>747,391,300.00</w:t>
                    </w:r>
                  </w:p>
                </w:tc>
                <w:tc>
                  <w:tcPr>
                    <w:tcW w:w="996" w:type="pct"/>
                    <w:tcBorders>
                      <w:top w:val="outset" w:sz="4" w:space="0" w:color="auto"/>
                      <w:left w:val="outset" w:sz="4" w:space="0" w:color="auto"/>
                      <w:bottom w:val="outset" w:sz="4" w:space="0" w:color="auto"/>
                      <w:right w:val="outset" w:sz="4" w:space="0" w:color="auto"/>
                    </w:tcBorders>
                  </w:tcPr>
                  <w:p w14:paraId="33B9E152" w14:textId="77777777" w:rsidR="00830E72" w:rsidRDefault="008344D8">
                    <w:pPr>
                      <w:jc w:val="right"/>
                      <w:rPr>
                        <w:szCs w:val="21"/>
                      </w:rPr>
                    </w:pPr>
                    <w:r>
                      <w:t>747,391,300.00</w:t>
                    </w:r>
                  </w:p>
                </w:tc>
                <w:tc>
                  <w:tcPr>
                    <w:tcW w:w="1166" w:type="pct"/>
                    <w:tcBorders>
                      <w:top w:val="outset" w:sz="4" w:space="0" w:color="auto"/>
                      <w:left w:val="outset" w:sz="4" w:space="0" w:color="auto"/>
                      <w:bottom w:val="outset" w:sz="4" w:space="0" w:color="auto"/>
                      <w:right w:val="outset" w:sz="4" w:space="0" w:color="auto"/>
                    </w:tcBorders>
                  </w:tcPr>
                  <w:p w14:paraId="7D05C640" w14:textId="77777777" w:rsidR="00830E72" w:rsidRDefault="00830E72">
                    <w:pPr>
                      <w:jc w:val="right"/>
                      <w:rPr>
                        <w:szCs w:val="21"/>
                      </w:rPr>
                    </w:pPr>
                  </w:p>
                </w:tc>
              </w:tr>
              <w:tr w:rsidR="00830E72" w14:paraId="54D4141E" w14:textId="77777777">
                <w:sdt>
                  <w:sdtPr>
                    <w:tag w:val="_PLD_023f317ab6034563a761b5d2ed98eeae"/>
                    <w:id w:val="1179005993"/>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72962EEB" w14:textId="77777777" w:rsidR="00830E72" w:rsidRDefault="008344D8">
                        <w:pPr>
                          <w:ind w:firstLineChars="100" w:firstLine="210"/>
                          <w:rPr>
                            <w:szCs w:val="21"/>
                          </w:rPr>
                        </w:pPr>
                        <w:r>
                          <w:rPr>
                            <w:rFonts w:hint="eastAsia"/>
                            <w:szCs w:val="21"/>
                          </w:rPr>
                          <w:t>应付债券</w:t>
                        </w:r>
                      </w:p>
                    </w:tc>
                  </w:sdtContent>
                </w:sdt>
                <w:tc>
                  <w:tcPr>
                    <w:tcW w:w="1131" w:type="pct"/>
                    <w:tcBorders>
                      <w:top w:val="outset" w:sz="4" w:space="0" w:color="auto"/>
                      <w:left w:val="outset" w:sz="4" w:space="0" w:color="auto"/>
                      <w:bottom w:val="outset" w:sz="4" w:space="0" w:color="auto"/>
                      <w:right w:val="outset" w:sz="4" w:space="0" w:color="auto"/>
                    </w:tcBorders>
                  </w:tcPr>
                  <w:p w14:paraId="0692DF1E"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B862B2F"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5338722" w14:textId="77777777" w:rsidR="00830E72" w:rsidRDefault="00830E72">
                    <w:pPr>
                      <w:jc w:val="right"/>
                      <w:rPr>
                        <w:szCs w:val="21"/>
                      </w:rPr>
                    </w:pPr>
                  </w:p>
                </w:tc>
              </w:tr>
              <w:tr w:rsidR="00830E72" w14:paraId="2CB82842" w14:textId="77777777">
                <w:sdt>
                  <w:sdtPr>
                    <w:tag w:val="_PLD_3b3edb5f36134af39020a332792fb060"/>
                    <w:id w:val="1614554562"/>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6714AAF9" w14:textId="77777777" w:rsidR="00830E72" w:rsidRDefault="008344D8">
                        <w:pPr>
                          <w:ind w:firstLineChars="100" w:firstLine="210"/>
                          <w:rPr>
                            <w:szCs w:val="21"/>
                          </w:rPr>
                        </w:pPr>
                        <w:r>
                          <w:rPr>
                            <w:rFonts w:hint="eastAsia"/>
                            <w:szCs w:val="21"/>
                          </w:rPr>
                          <w:t>其中：优先股</w:t>
                        </w:r>
                      </w:p>
                    </w:tc>
                  </w:sdtContent>
                </w:sdt>
                <w:tc>
                  <w:tcPr>
                    <w:tcW w:w="1131" w:type="pct"/>
                    <w:tcBorders>
                      <w:top w:val="outset" w:sz="4" w:space="0" w:color="auto"/>
                      <w:left w:val="outset" w:sz="4" w:space="0" w:color="auto"/>
                      <w:bottom w:val="outset" w:sz="4" w:space="0" w:color="auto"/>
                      <w:right w:val="outset" w:sz="4" w:space="0" w:color="auto"/>
                    </w:tcBorders>
                  </w:tcPr>
                  <w:p w14:paraId="1EEFF7C3"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7700BD7E"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27279D0" w14:textId="77777777" w:rsidR="00830E72" w:rsidRDefault="00830E72">
                    <w:pPr>
                      <w:jc w:val="right"/>
                      <w:rPr>
                        <w:szCs w:val="21"/>
                      </w:rPr>
                    </w:pPr>
                  </w:p>
                </w:tc>
              </w:tr>
              <w:tr w:rsidR="00830E72" w14:paraId="53AD3478" w14:textId="77777777">
                <w:sdt>
                  <w:sdtPr>
                    <w:tag w:val="_PLD_d9d94d502e044d5c83dc48388d17f72c"/>
                    <w:id w:val="1879427745"/>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2FED4405" w14:textId="77777777" w:rsidR="00830E72" w:rsidRDefault="008344D8">
                        <w:pPr>
                          <w:ind w:leftChars="300" w:left="630" w:firstLineChars="100" w:firstLine="210"/>
                          <w:rPr>
                            <w:szCs w:val="21"/>
                          </w:rPr>
                        </w:pPr>
                        <w:r>
                          <w:rPr>
                            <w:rFonts w:hint="eastAsia"/>
                            <w:szCs w:val="21"/>
                          </w:rPr>
                          <w:t>永续债</w:t>
                        </w:r>
                      </w:p>
                    </w:tc>
                  </w:sdtContent>
                </w:sdt>
                <w:tc>
                  <w:tcPr>
                    <w:tcW w:w="1131" w:type="pct"/>
                    <w:tcBorders>
                      <w:top w:val="outset" w:sz="4" w:space="0" w:color="auto"/>
                      <w:left w:val="outset" w:sz="4" w:space="0" w:color="auto"/>
                      <w:bottom w:val="outset" w:sz="4" w:space="0" w:color="auto"/>
                      <w:right w:val="outset" w:sz="4" w:space="0" w:color="auto"/>
                    </w:tcBorders>
                  </w:tcPr>
                  <w:p w14:paraId="3C5737B4"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7900BD98"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C765BD1" w14:textId="77777777" w:rsidR="00830E72" w:rsidRDefault="00830E72">
                    <w:pPr>
                      <w:jc w:val="right"/>
                      <w:rPr>
                        <w:szCs w:val="21"/>
                      </w:rPr>
                    </w:pPr>
                  </w:p>
                </w:tc>
              </w:tr>
              <w:tr w:rsidR="00830E72" w14:paraId="7F8D5850" w14:textId="77777777">
                <w:tc>
                  <w:tcPr>
                    <w:tcW w:w="170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3d73c87b7e3475991fcc1cef4eb2477"/>
                      <w:id w:val="-1793819839"/>
                      <w:lock w:val="sdtLocked"/>
                    </w:sdtPr>
                    <w:sdtEndPr/>
                    <w:sdtContent>
                      <w:p w14:paraId="36C2CDBD" w14:textId="77777777" w:rsidR="00830E72" w:rsidRDefault="008344D8">
                        <w:pPr>
                          <w:ind w:firstLineChars="100" w:firstLine="210"/>
                        </w:pPr>
                        <w:r>
                          <w:rPr>
                            <w:rFonts w:hint="eastAsia"/>
                          </w:rPr>
                          <w:t>租赁负债</w:t>
                        </w:r>
                      </w:p>
                    </w:sdtContent>
                  </w:sdt>
                </w:tc>
                <w:tc>
                  <w:tcPr>
                    <w:tcW w:w="1131" w:type="pct"/>
                    <w:tcBorders>
                      <w:top w:val="outset" w:sz="4" w:space="0" w:color="auto"/>
                      <w:left w:val="outset" w:sz="4" w:space="0" w:color="auto"/>
                      <w:bottom w:val="outset" w:sz="4" w:space="0" w:color="auto"/>
                      <w:right w:val="outset" w:sz="4" w:space="0" w:color="auto"/>
                    </w:tcBorders>
                  </w:tcPr>
                  <w:p w14:paraId="6A5BA5F2"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8FA3065" w14:textId="77777777" w:rsidR="00830E72" w:rsidRDefault="008344D8">
                    <w:pPr>
                      <w:jc w:val="right"/>
                      <w:rPr>
                        <w:szCs w:val="21"/>
                      </w:rPr>
                    </w:pPr>
                    <w:r>
                      <w:t>5,350,113.01</w:t>
                    </w:r>
                  </w:p>
                </w:tc>
                <w:tc>
                  <w:tcPr>
                    <w:tcW w:w="1166" w:type="pct"/>
                    <w:tcBorders>
                      <w:top w:val="outset" w:sz="4" w:space="0" w:color="auto"/>
                      <w:left w:val="outset" w:sz="4" w:space="0" w:color="auto"/>
                      <w:bottom w:val="outset" w:sz="4" w:space="0" w:color="auto"/>
                      <w:right w:val="outset" w:sz="4" w:space="0" w:color="auto"/>
                    </w:tcBorders>
                  </w:tcPr>
                  <w:p w14:paraId="111F79B9" w14:textId="77777777" w:rsidR="00830E72" w:rsidRDefault="008344D8">
                    <w:pPr>
                      <w:jc w:val="right"/>
                      <w:rPr>
                        <w:szCs w:val="21"/>
                      </w:rPr>
                    </w:pPr>
                    <w:r>
                      <w:t>5,350,113.01</w:t>
                    </w:r>
                  </w:p>
                </w:tc>
              </w:tr>
              <w:tr w:rsidR="00830E72" w14:paraId="3291F6CE" w14:textId="77777777">
                <w:sdt>
                  <w:sdtPr>
                    <w:tag w:val="_PLD_543dfbcc13f7467bbe938ed47fd08f27"/>
                    <w:id w:val="2131277380"/>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6C81F869" w14:textId="77777777" w:rsidR="00830E72" w:rsidRDefault="008344D8">
                        <w:pPr>
                          <w:ind w:firstLineChars="100" w:firstLine="210"/>
                          <w:rPr>
                            <w:szCs w:val="21"/>
                          </w:rPr>
                        </w:pPr>
                        <w:r>
                          <w:rPr>
                            <w:rFonts w:hint="eastAsia"/>
                            <w:szCs w:val="21"/>
                          </w:rPr>
                          <w:t>长期应付款</w:t>
                        </w:r>
                      </w:p>
                    </w:tc>
                  </w:sdtContent>
                </w:sdt>
                <w:tc>
                  <w:tcPr>
                    <w:tcW w:w="1131" w:type="pct"/>
                    <w:tcBorders>
                      <w:top w:val="outset" w:sz="4" w:space="0" w:color="auto"/>
                      <w:left w:val="outset" w:sz="4" w:space="0" w:color="auto"/>
                      <w:bottom w:val="outset" w:sz="4" w:space="0" w:color="auto"/>
                      <w:right w:val="outset" w:sz="4" w:space="0" w:color="auto"/>
                    </w:tcBorders>
                  </w:tcPr>
                  <w:p w14:paraId="5123BE04"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33D929E"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C2E9835" w14:textId="77777777" w:rsidR="00830E72" w:rsidRDefault="00830E72">
                    <w:pPr>
                      <w:jc w:val="right"/>
                      <w:rPr>
                        <w:szCs w:val="21"/>
                      </w:rPr>
                    </w:pPr>
                  </w:p>
                </w:tc>
              </w:tr>
              <w:tr w:rsidR="00830E72" w14:paraId="399B95A5" w14:textId="77777777">
                <w:sdt>
                  <w:sdtPr>
                    <w:tag w:val="_PLD_247910bb42db46d9bbfa7a6ba34ed159"/>
                    <w:id w:val="-694774760"/>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24B6169A" w14:textId="77777777" w:rsidR="00830E72" w:rsidRDefault="008344D8">
                        <w:pPr>
                          <w:ind w:firstLineChars="100" w:firstLine="210"/>
                          <w:rPr>
                            <w:szCs w:val="21"/>
                          </w:rPr>
                        </w:pPr>
                        <w:r>
                          <w:rPr>
                            <w:rFonts w:hint="eastAsia"/>
                            <w:szCs w:val="21"/>
                          </w:rPr>
                          <w:t>长期应付职工薪酬</w:t>
                        </w:r>
                      </w:p>
                    </w:tc>
                  </w:sdtContent>
                </w:sdt>
                <w:tc>
                  <w:tcPr>
                    <w:tcW w:w="1131" w:type="pct"/>
                    <w:tcBorders>
                      <w:top w:val="outset" w:sz="4" w:space="0" w:color="auto"/>
                      <w:left w:val="outset" w:sz="4" w:space="0" w:color="auto"/>
                      <w:bottom w:val="outset" w:sz="4" w:space="0" w:color="auto"/>
                      <w:right w:val="outset" w:sz="4" w:space="0" w:color="auto"/>
                    </w:tcBorders>
                  </w:tcPr>
                  <w:p w14:paraId="788DDCA5"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7556A9D0"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18BD84C7" w14:textId="77777777" w:rsidR="00830E72" w:rsidRDefault="00830E72">
                    <w:pPr>
                      <w:jc w:val="right"/>
                      <w:rPr>
                        <w:szCs w:val="21"/>
                      </w:rPr>
                    </w:pPr>
                  </w:p>
                </w:tc>
              </w:tr>
              <w:tr w:rsidR="00830E72" w14:paraId="5D379594" w14:textId="77777777">
                <w:sdt>
                  <w:sdtPr>
                    <w:tag w:val="_PLD_4b983db901be4c5b82741ed5d0c63202"/>
                    <w:id w:val="-325280625"/>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20C89C22" w14:textId="77777777" w:rsidR="00830E72" w:rsidRDefault="008344D8">
                        <w:pPr>
                          <w:ind w:firstLineChars="100" w:firstLine="210"/>
                          <w:rPr>
                            <w:szCs w:val="21"/>
                          </w:rPr>
                        </w:pPr>
                        <w:r>
                          <w:rPr>
                            <w:rFonts w:hint="eastAsia"/>
                            <w:szCs w:val="21"/>
                          </w:rPr>
                          <w:t>预计负债</w:t>
                        </w:r>
                      </w:p>
                    </w:tc>
                  </w:sdtContent>
                </w:sdt>
                <w:tc>
                  <w:tcPr>
                    <w:tcW w:w="1131" w:type="pct"/>
                    <w:tcBorders>
                      <w:top w:val="outset" w:sz="4" w:space="0" w:color="auto"/>
                      <w:left w:val="outset" w:sz="4" w:space="0" w:color="auto"/>
                      <w:bottom w:val="outset" w:sz="4" w:space="0" w:color="auto"/>
                      <w:right w:val="outset" w:sz="4" w:space="0" w:color="auto"/>
                    </w:tcBorders>
                  </w:tcPr>
                  <w:p w14:paraId="4B1A78E0" w14:textId="77777777" w:rsidR="00830E72" w:rsidRDefault="008344D8">
                    <w:pPr>
                      <w:jc w:val="right"/>
                      <w:rPr>
                        <w:szCs w:val="21"/>
                      </w:rPr>
                    </w:pPr>
                    <w:r>
                      <w:t>4,855,107.55</w:t>
                    </w:r>
                  </w:p>
                </w:tc>
                <w:tc>
                  <w:tcPr>
                    <w:tcW w:w="996" w:type="pct"/>
                    <w:tcBorders>
                      <w:top w:val="outset" w:sz="4" w:space="0" w:color="auto"/>
                      <w:left w:val="outset" w:sz="4" w:space="0" w:color="auto"/>
                      <w:bottom w:val="outset" w:sz="4" w:space="0" w:color="auto"/>
                      <w:right w:val="outset" w:sz="4" w:space="0" w:color="auto"/>
                    </w:tcBorders>
                  </w:tcPr>
                  <w:p w14:paraId="519C0FE0" w14:textId="77777777" w:rsidR="00830E72" w:rsidRDefault="008344D8">
                    <w:pPr>
                      <w:jc w:val="right"/>
                      <w:rPr>
                        <w:szCs w:val="21"/>
                      </w:rPr>
                    </w:pPr>
                    <w:r>
                      <w:t>4,855,107.55</w:t>
                    </w:r>
                  </w:p>
                </w:tc>
                <w:tc>
                  <w:tcPr>
                    <w:tcW w:w="1166" w:type="pct"/>
                    <w:tcBorders>
                      <w:top w:val="outset" w:sz="4" w:space="0" w:color="auto"/>
                      <w:left w:val="outset" w:sz="4" w:space="0" w:color="auto"/>
                      <w:bottom w:val="outset" w:sz="4" w:space="0" w:color="auto"/>
                      <w:right w:val="outset" w:sz="4" w:space="0" w:color="auto"/>
                    </w:tcBorders>
                  </w:tcPr>
                  <w:p w14:paraId="6B19F0CB" w14:textId="77777777" w:rsidR="00830E72" w:rsidRDefault="00830E72">
                    <w:pPr>
                      <w:jc w:val="right"/>
                      <w:rPr>
                        <w:szCs w:val="21"/>
                      </w:rPr>
                    </w:pPr>
                  </w:p>
                </w:tc>
              </w:tr>
              <w:tr w:rsidR="00830E72" w14:paraId="35D540A9" w14:textId="77777777">
                <w:sdt>
                  <w:sdtPr>
                    <w:tag w:val="_PLD_3166959a76864d06b969fe5246da4a21"/>
                    <w:id w:val="-843931962"/>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38723618" w14:textId="77777777" w:rsidR="00830E72" w:rsidRDefault="008344D8">
                        <w:pPr>
                          <w:ind w:firstLineChars="100" w:firstLine="210"/>
                          <w:rPr>
                            <w:szCs w:val="21"/>
                          </w:rPr>
                        </w:pPr>
                        <w:r>
                          <w:rPr>
                            <w:rFonts w:hint="eastAsia"/>
                            <w:szCs w:val="21"/>
                          </w:rPr>
                          <w:t>递延收益</w:t>
                        </w:r>
                      </w:p>
                    </w:tc>
                  </w:sdtContent>
                </w:sdt>
                <w:tc>
                  <w:tcPr>
                    <w:tcW w:w="1131" w:type="pct"/>
                    <w:tcBorders>
                      <w:top w:val="outset" w:sz="4" w:space="0" w:color="auto"/>
                      <w:left w:val="outset" w:sz="4" w:space="0" w:color="auto"/>
                      <w:bottom w:val="outset" w:sz="4" w:space="0" w:color="auto"/>
                      <w:right w:val="outset" w:sz="4" w:space="0" w:color="auto"/>
                    </w:tcBorders>
                  </w:tcPr>
                  <w:p w14:paraId="1091FCB4"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B9851E4"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D8A8320" w14:textId="77777777" w:rsidR="00830E72" w:rsidRDefault="00830E72">
                    <w:pPr>
                      <w:jc w:val="right"/>
                      <w:rPr>
                        <w:szCs w:val="21"/>
                      </w:rPr>
                    </w:pPr>
                  </w:p>
                </w:tc>
              </w:tr>
              <w:tr w:rsidR="00830E72" w14:paraId="726CF5EE" w14:textId="77777777">
                <w:sdt>
                  <w:sdtPr>
                    <w:tag w:val="_PLD_60af60b77da940acae56c08bb05a1240"/>
                    <w:id w:val="-1288497021"/>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511E6BA9" w14:textId="77777777" w:rsidR="00830E72" w:rsidRDefault="008344D8">
                        <w:pPr>
                          <w:ind w:firstLineChars="100" w:firstLine="210"/>
                          <w:rPr>
                            <w:szCs w:val="21"/>
                          </w:rPr>
                        </w:pPr>
                        <w:r>
                          <w:rPr>
                            <w:rFonts w:hint="eastAsia"/>
                            <w:szCs w:val="21"/>
                          </w:rPr>
                          <w:t>递延所得税负债</w:t>
                        </w:r>
                      </w:p>
                    </w:tc>
                  </w:sdtContent>
                </w:sdt>
                <w:tc>
                  <w:tcPr>
                    <w:tcW w:w="1131" w:type="pct"/>
                    <w:tcBorders>
                      <w:top w:val="outset" w:sz="4" w:space="0" w:color="auto"/>
                      <w:left w:val="outset" w:sz="4" w:space="0" w:color="auto"/>
                      <w:bottom w:val="outset" w:sz="4" w:space="0" w:color="auto"/>
                      <w:right w:val="outset" w:sz="4" w:space="0" w:color="auto"/>
                    </w:tcBorders>
                  </w:tcPr>
                  <w:p w14:paraId="17150B30" w14:textId="77777777" w:rsidR="00830E72" w:rsidRDefault="008344D8">
                    <w:pPr>
                      <w:jc w:val="right"/>
                      <w:rPr>
                        <w:szCs w:val="21"/>
                      </w:rPr>
                    </w:pPr>
                    <w:r>
                      <w:t>7,934,122.63</w:t>
                    </w:r>
                  </w:p>
                </w:tc>
                <w:tc>
                  <w:tcPr>
                    <w:tcW w:w="996" w:type="pct"/>
                    <w:tcBorders>
                      <w:top w:val="outset" w:sz="4" w:space="0" w:color="auto"/>
                      <w:left w:val="outset" w:sz="4" w:space="0" w:color="auto"/>
                      <w:bottom w:val="outset" w:sz="4" w:space="0" w:color="auto"/>
                      <w:right w:val="outset" w:sz="4" w:space="0" w:color="auto"/>
                    </w:tcBorders>
                  </w:tcPr>
                  <w:p w14:paraId="1D5AED48" w14:textId="77777777" w:rsidR="00830E72" w:rsidRDefault="008344D8">
                    <w:pPr>
                      <w:jc w:val="right"/>
                      <w:rPr>
                        <w:szCs w:val="21"/>
                      </w:rPr>
                    </w:pPr>
                    <w:r>
                      <w:t>7,934,122.63</w:t>
                    </w:r>
                  </w:p>
                </w:tc>
                <w:tc>
                  <w:tcPr>
                    <w:tcW w:w="1166" w:type="pct"/>
                    <w:tcBorders>
                      <w:top w:val="outset" w:sz="4" w:space="0" w:color="auto"/>
                      <w:left w:val="outset" w:sz="4" w:space="0" w:color="auto"/>
                      <w:bottom w:val="outset" w:sz="4" w:space="0" w:color="auto"/>
                      <w:right w:val="outset" w:sz="4" w:space="0" w:color="auto"/>
                    </w:tcBorders>
                  </w:tcPr>
                  <w:p w14:paraId="444DA984" w14:textId="77777777" w:rsidR="00830E72" w:rsidRDefault="00830E72">
                    <w:pPr>
                      <w:jc w:val="right"/>
                      <w:rPr>
                        <w:szCs w:val="21"/>
                      </w:rPr>
                    </w:pPr>
                  </w:p>
                </w:tc>
              </w:tr>
              <w:tr w:rsidR="00830E72" w14:paraId="67ADD544" w14:textId="77777777">
                <w:sdt>
                  <w:sdtPr>
                    <w:tag w:val="_PLD_ab4f0b1cb85d41959d54d3d841246bca"/>
                    <w:id w:val="1293474988"/>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5923A884" w14:textId="77777777" w:rsidR="00830E72" w:rsidRDefault="008344D8">
                        <w:pPr>
                          <w:ind w:firstLineChars="100" w:firstLine="210"/>
                          <w:rPr>
                            <w:szCs w:val="21"/>
                          </w:rPr>
                        </w:pPr>
                        <w:r>
                          <w:rPr>
                            <w:rFonts w:hint="eastAsia"/>
                            <w:szCs w:val="21"/>
                          </w:rPr>
                          <w:t>其他非流动负债</w:t>
                        </w:r>
                      </w:p>
                    </w:tc>
                  </w:sdtContent>
                </w:sdt>
                <w:tc>
                  <w:tcPr>
                    <w:tcW w:w="1131" w:type="pct"/>
                    <w:tcBorders>
                      <w:top w:val="outset" w:sz="4" w:space="0" w:color="auto"/>
                      <w:left w:val="outset" w:sz="4" w:space="0" w:color="auto"/>
                      <w:bottom w:val="outset" w:sz="4" w:space="0" w:color="auto"/>
                      <w:right w:val="outset" w:sz="4" w:space="0" w:color="auto"/>
                    </w:tcBorders>
                  </w:tcPr>
                  <w:p w14:paraId="4804AFF0" w14:textId="77777777" w:rsidR="00830E72" w:rsidRDefault="008344D8">
                    <w:pPr>
                      <w:jc w:val="right"/>
                      <w:rPr>
                        <w:szCs w:val="21"/>
                      </w:rPr>
                    </w:pPr>
                    <w:r>
                      <w:t>73,596,316.49</w:t>
                    </w:r>
                  </w:p>
                </w:tc>
                <w:tc>
                  <w:tcPr>
                    <w:tcW w:w="996" w:type="pct"/>
                    <w:tcBorders>
                      <w:top w:val="outset" w:sz="4" w:space="0" w:color="auto"/>
                      <w:left w:val="outset" w:sz="4" w:space="0" w:color="auto"/>
                      <w:bottom w:val="outset" w:sz="4" w:space="0" w:color="auto"/>
                      <w:right w:val="outset" w:sz="4" w:space="0" w:color="auto"/>
                    </w:tcBorders>
                  </w:tcPr>
                  <w:p w14:paraId="76DE57CF" w14:textId="77777777" w:rsidR="00830E72" w:rsidRDefault="008344D8">
                    <w:pPr>
                      <w:jc w:val="right"/>
                      <w:rPr>
                        <w:szCs w:val="21"/>
                      </w:rPr>
                    </w:pPr>
                    <w:r>
                      <w:t>73,596,316.49</w:t>
                    </w:r>
                  </w:p>
                </w:tc>
                <w:tc>
                  <w:tcPr>
                    <w:tcW w:w="1166" w:type="pct"/>
                    <w:tcBorders>
                      <w:top w:val="outset" w:sz="4" w:space="0" w:color="auto"/>
                      <w:left w:val="outset" w:sz="4" w:space="0" w:color="auto"/>
                      <w:bottom w:val="outset" w:sz="4" w:space="0" w:color="auto"/>
                      <w:right w:val="outset" w:sz="4" w:space="0" w:color="auto"/>
                    </w:tcBorders>
                  </w:tcPr>
                  <w:p w14:paraId="4ADBA74B" w14:textId="77777777" w:rsidR="00830E72" w:rsidRDefault="00830E72">
                    <w:pPr>
                      <w:jc w:val="right"/>
                      <w:rPr>
                        <w:szCs w:val="21"/>
                      </w:rPr>
                    </w:pPr>
                  </w:p>
                </w:tc>
              </w:tr>
              <w:tr w:rsidR="00830E72" w14:paraId="5AF7B36B" w14:textId="77777777">
                <w:sdt>
                  <w:sdtPr>
                    <w:tag w:val="_PLD_70c7b2aa7d7a4f77a7e65d8722de302c"/>
                    <w:id w:val="1040476042"/>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12DB768F" w14:textId="77777777" w:rsidR="00830E72" w:rsidRDefault="008344D8">
                        <w:pPr>
                          <w:ind w:firstLineChars="200" w:firstLine="420"/>
                          <w:rPr>
                            <w:szCs w:val="21"/>
                          </w:rPr>
                        </w:pPr>
                        <w:r>
                          <w:rPr>
                            <w:rFonts w:hint="eastAsia"/>
                            <w:szCs w:val="21"/>
                          </w:rPr>
                          <w:t>非流动负债合计</w:t>
                        </w:r>
                      </w:p>
                    </w:tc>
                  </w:sdtContent>
                </w:sdt>
                <w:tc>
                  <w:tcPr>
                    <w:tcW w:w="1131" w:type="pct"/>
                    <w:tcBorders>
                      <w:top w:val="outset" w:sz="4" w:space="0" w:color="auto"/>
                      <w:left w:val="outset" w:sz="4" w:space="0" w:color="auto"/>
                      <w:bottom w:val="outset" w:sz="4" w:space="0" w:color="auto"/>
                      <w:right w:val="outset" w:sz="4" w:space="0" w:color="auto"/>
                    </w:tcBorders>
                  </w:tcPr>
                  <w:p w14:paraId="08601229" w14:textId="77777777" w:rsidR="00830E72" w:rsidRDefault="008344D8">
                    <w:pPr>
                      <w:jc w:val="right"/>
                      <w:rPr>
                        <w:szCs w:val="21"/>
                      </w:rPr>
                    </w:pPr>
                    <w:r>
                      <w:t>833,776,846.67</w:t>
                    </w:r>
                  </w:p>
                </w:tc>
                <w:tc>
                  <w:tcPr>
                    <w:tcW w:w="996" w:type="pct"/>
                    <w:tcBorders>
                      <w:top w:val="outset" w:sz="4" w:space="0" w:color="auto"/>
                      <w:left w:val="outset" w:sz="4" w:space="0" w:color="auto"/>
                      <w:bottom w:val="outset" w:sz="4" w:space="0" w:color="auto"/>
                      <w:right w:val="outset" w:sz="4" w:space="0" w:color="auto"/>
                    </w:tcBorders>
                  </w:tcPr>
                  <w:p w14:paraId="68A569F0" w14:textId="77777777" w:rsidR="00830E72" w:rsidRDefault="008344D8">
                    <w:pPr>
                      <w:jc w:val="right"/>
                      <w:rPr>
                        <w:szCs w:val="21"/>
                      </w:rPr>
                    </w:pPr>
                    <w:r>
                      <w:t>839,126,959.68</w:t>
                    </w:r>
                  </w:p>
                </w:tc>
                <w:tc>
                  <w:tcPr>
                    <w:tcW w:w="1166" w:type="pct"/>
                    <w:tcBorders>
                      <w:top w:val="outset" w:sz="4" w:space="0" w:color="auto"/>
                      <w:left w:val="outset" w:sz="4" w:space="0" w:color="auto"/>
                      <w:bottom w:val="outset" w:sz="4" w:space="0" w:color="auto"/>
                      <w:right w:val="outset" w:sz="4" w:space="0" w:color="auto"/>
                    </w:tcBorders>
                  </w:tcPr>
                  <w:p w14:paraId="2CDDFB20" w14:textId="77777777" w:rsidR="00830E72" w:rsidRDefault="008344D8">
                    <w:pPr>
                      <w:jc w:val="right"/>
                      <w:rPr>
                        <w:szCs w:val="21"/>
                      </w:rPr>
                    </w:pPr>
                    <w:r>
                      <w:t>5,350,113.01</w:t>
                    </w:r>
                  </w:p>
                </w:tc>
              </w:tr>
              <w:tr w:rsidR="00830E72" w14:paraId="7C8BC96E" w14:textId="77777777">
                <w:sdt>
                  <w:sdtPr>
                    <w:tag w:val="_PLD_b5b63f46391c494fa54363a343e3a61a"/>
                    <w:id w:val="402420708"/>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6BAB03EF" w14:textId="77777777" w:rsidR="00830E72" w:rsidRDefault="008344D8">
                        <w:pPr>
                          <w:ind w:firstLineChars="300" w:firstLine="630"/>
                          <w:rPr>
                            <w:szCs w:val="21"/>
                          </w:rPr>
                        </w:pPr>
                        <w:r>
                          <w:rPr>
                            <w:rFonts w:hint="eastAsia"/>
                            <w:szCs w:val="21"/>
                          </w:rPr>
                          <w:t>负债合计</w:t>
                        </w:r>
                      </w:p>
                    </w:tc>
                  </w:sdtContent>
                </w:sdt>
                <w:tc>
                  <w:tcPr>
                    <w:tcW w:w="1131" w:type="pct"/>
                    <w:tcBorders>
                      <w:top w:val="outset" w:sz="4" w:space="0" w:color="auto"/>
                      <w:left w:val="outset" w:sz="4" w:space="0" w:color="auto"/>
                      <w:bottom w:val="outset" w:sz="4" w:space="0" w:color="auto"/>
                      <w:right w:val="outset" w:sz="4" w:space="0" w:color="auto"/>
                    </w:tcBorders>
                  </w:tcPr>
                  <w:p w14:paraId="1AC2CF87" w14:textId="77777777" w:rsidR="00830E72" w:rsidRDefault="008344D8">
                    <w:pPr>
                      <w:jc w:val="right"/>
                      <w:rPr>
                        <w:szCs w:val="21"/>
                      </w:rPr>
                    </w:pPr>
                    <w:r>
                      <w:t>4,286,489,425.31</w:t>
                    </w:r>
                  </w:p>
                </w:tc>
                <w:tc>
                  <w:tcPr>
                    <w:tcW w:w="996" w:type="pct"/>
                    <w:tcBorders>
                      <w:top w:val="outset" w:sz="4" w:space="0" w:color="auto"/>
                      <w:left w:val="outset" w:sz="4" w:space="0" w:color="auto"/>
                      <w:bottom w:val="outset" w:sz="4" w:space="0" w:color="auto"/>
                      <w:right w:val="outset" w:sz="4" w:space="0" w:color="auto"/>
                    </w:tcBorders>
                  </w:tcPr>
                  <w:p w14:paraId="3EA03081" w14:textId="77777777" w:rsidR="00830E72" w:rsidRDefault="008344D8">
                    <w:pPr>
                      <w:jc w:val="right"/>
                      <w:rPr>
                        <w:szCs w:val="21"/>
                      </w:rPr>
                    </w:pPr>
                    <w:r>
                      <w:t>4,291,839,538.32</w:t>
                    </w:r>
                  </w:p>
                </w:tc>
                <w:tc>
                  <w:tcPr>
                    <w:tcW w:w="1166" w:type="pct"/>
                    <w:tcBorders>
                      <w:top w:val="outset" w:sz="4" w:space="0" w:color="auto"/>
                      <w:left w:val="outset" w:sz="4" w:space="0" w:color="auto"/>
                      <w:bottom w:val="outset" w:sz="4" w:space="0" w:color="auto"/>
                      <w:right w:val="outset" w:sz="4" w:space="0" w:color="auto"/>
                    </w:tcBorders>
                  </w:tcPr>
                  <w:p w14:paraId="2271A320" w14:textId="77777777" w:rsidR="00830E72" w:rsidRDefault="008344D8">
                    <w:pPr>
                      <w:jc w:val="right"/>
                      <w:rPr>
                        <w:szCs w:val="21"/>
                      </w:rPr>
                    </w:pPr>
                    <w:r>
                      <w:t>5,350,113.01</w:t>
                    </w:r>
                  </w:p>
                </w:tc>
              </w:tr>
              <w:tr w:rsidR="00830E72" w14:paraId="47547114" w14:textId="77777777">
                <w:sdt>
                  <w:sdtPr>
                    <w:tag w:val="_PLD_e8b17808d1b64bcb8659e50a22f17c53"/>
                    <w:id w:val="185029161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9BB73C1" w14:textId="77777777" w:rsidR="00830E72" w:rsidRDefault="008344D8">
                        <w:pPr>
                          <w:rPr>
                            <w:szCs w:val="21"/>
                          </w:rPr>
                        </w:pPr>
                        <w:r>
                          <w:rPr>
                            <w:rFonts w:hint="eastAsia"/>
                            <w:b/>
                            <w:bCs/>
                            <w:szCs w:val="21"/>
                          </w:rPr>
                          <w:t>所有者权益（或股东权益）：</w:t>
                        </w:r>
                      </w:p>
                    </w:tc>
                  </w:sdtContent>
                </w:sdt>
              </w:tr>
              <w:tr w:rsidR="00830E72" w14:paraId="0B6469B4" w14:textId="77777777">
                <w:sdt>
                  <w:sdtPr>
                    <w:tag w:val="_PLD_9010fa9626ed4c1786f7a701883f8faf"/>
                    <w:id w:val="834108759"/>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0D82EE6D" w14:textId="77777777" w:rsidR="00830E72" w:rsidRDefault="008344D8">
                        <w:pPr>
                          <w:ind w:firstLineChars="100" w:firstLine="210"/>
                          <w:rPr>
                            <w:szCs w:val="21"/>
                          </w:rPr>
                        </w:pPr>
                        <w:r>
                          <w:rPr>
                            <w:rFonts w:hint="eastAsia"/>
                            <w:szCs w:val="21"/>
                          </w:rPr>
                          <w:t>实收资本（或股本）</w:t>
                        </w:r>
                      </w:p>
                    </w:tc>
                  </w:sdtContent>
                </w:sdt>
                <w:tc>
                  <w:tcPr>
                    <w:tcW w:w="1131" w:type="pct"/>
                    <w:tcBorders>
                      <w:top w:val="outset" w:sz="4" w:space="0" w:color="auto"/>
                      <w:left w:val="outset" w:sz="4" w:space="0" w:color="auto"/>
                      <w:bottom w:val="outset" w:sz="4" w:space="0" w:color="auto"/>
                      <w:right w:val="outset" w:sz="4" w:space="0" w:color="auto"/>
                    </w:tcBorders>
                  </w:tcPr>
                  <w:p w14:paraId="73017D1F" w14:textId="77777777" w:rsidR="00830E72" w:rsidRDefault="008344D8">
                    <w:pPr>
                      <w:jc w:val="right"/>
                      <w:rPr>
                        <w:szCs w:val="21"/>
                      </w:rPr>
                    </w:pPr>
                    <w:r>
                      <w:t>499,000,000.00</w:t>
                    </w:r>
                  </w:p>
                </w:tc>
                <w:tc>
                  <w:tcPr>
                    <w:tcW w:w="996" w:type="pct"/>
                    <w:tcBorders>
                      <w:top w:val="outset" w:sz="4" w:space="0" w:color="auto"/>
                      <w:left w:val="outset" w:sz="4" w:space="0" w:color="auto"/>
                      <w:bottom w:val="outset" w:sz="4" w:space="0" w:color="auto"/>
                      <w:right w:val="outset" w:sz="4" w:space="0" w:color="auto"/>
                    </w:tcBorders>
                  </w:tcPr>
                  <w:p w14:paraId="1B2A10F0" w14:textId="77777777" w:rsidR="00830E72" w:rsidRDefault="008344D8">
                    <w:pPr>
                      <w:jc w:val="right"/>
                      <w:rPr>
                        <w:szCs w:val="21"/>
                      </w:rPr>
                    </w:pPr>
                    <w:r>
                      <w:t>499,000,000.00</w:t>
                    </w:r>
                  </w:p>
                </w:tc>
                <w:tc>
                  <w:tcPr>
                    <w:tcW w:w="1166" w:type="pct"/>
                    <w:tcBorders>
                      <w:top w:val="outset" w:sz="4" w:space="0" w:color="auto"/>
                      <w:left w:val="outset" w:sz="4" w:space="0" w:color="auto"/>
                      <w:bottom w:val="outset" w:sz="4" w:space="0" w:color="auto"/>
                      <w:right w:val="outset" w:sz="4" w:space="0" w:color="auto"/>
                    </w:tcBorders>
                  </w:tcPr>
                  <w:p w14:paraId="37D898A3" w14:textId="77777777" w:rsidR="00830E72" w:rsidRDefault="00830E72">
                    <w:pPr>
                      <w:jc w:val="right"/>
                      <w:rPr>
                        <w:szCs w:val="21"/>
                      </w:rPr>
                    </w:pPr>
                  </w:p>
                </w:tc>
              </w:tr>
              <w:tr w:rsidR="00830E72" w14:paraId="065F60A2" w14:textId="77777777">
                <w:sdt>
                  <w:sdtPr>
                    <w:tag w:val="_PLD_01098027632846aa9c0c57ce79714549"/>
                    <w:id w:val="-1506359333"/>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2637D29E" w14:textId="77777777" w:rsidR="00830E72" w:rsidRDefault="008344D8">
                        <w:pPr>
                          <w:ind w:firstLineChars="100" w:firstLine="210"/>
                          <w:rPr>
                            <w:szCs w:val="21"/>
                          </w:rPr>
                        </w:pPr>
                        <w:r>
                          <w:rPr>
                            <w:rFonts w:hint="eastAsia"/>
                            <w:szCs w:val="21"/>
                          </w:rPr>
                          <w:t>其他权益工具</w:t>
                        </w:r>
                      </w:p>
                    </w:tc>
                  </w:sdtContent>
                </w:sdt>
                <w:tc>
                  <w:tcPr>
                    <w:tcW w:w="1131" w:type="pct"/>
                    <w:tcBorders>
                      <w:top w:val="outset" w:sz="4" w:space="0" w:color="auto"/>
                      <w:left w:val="outset" w:sz="4" w:space="0" w:color="auto"/>
                      <w:bottom w:val="outset" w:sz="4" w:space="0" w:color="auto"/>
                      <w:right w:val="outset" w:sz="4" w:space="0" w:color="auto"/>
                    </w:tcBorders>
                  </w:tcPr>
                  <w:p w14:paraId="4697C207"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6FB5D16"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42EE6F7" w14:textId="77777777" w:rsidR="00830E72" w:rsidRDefault="00830E72">
                    <w:pPr>
                      <w:jc w:val="right"/>
                      <w:rPr>
                        <w:szCs w:val="21"/>
                      </w:rPr>
                    </w:pPr>
                  </w:p>
                </w:tc>
              </w:tr>
              <w:tr w:rsidR="00830E72" w14:paraId="3B9BA655" w14:textId="77777777">
                <w:sdt>
                  <w:sdtPr>
                    <w:tag w:val="_PLD_576e62fa6e5a4609989bccbe014f951c"/>
                    <w:id w:val="1648930793"/>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140AE498" w14:textId="77777777" w:rsidR="00830E72" w:rsidRDefault="008344D8">
                        <w:pPr>
                          <w:ind w:firstLineChars="100" w:firstLine="210"/>
                          <w:rPr>
                            <w:szCs w:val="21"/>
                          </w:rPr>
                        </w:pPr>
                        <w:r>
                          <w:rPr>
                            <w:rFonts w:hint="eastAsia"/>
                            <w:szCs w:val="21"/>
                          </w:rPr>
                          <w:t>其中：优先股</w:t>
                        </w:r>
                      </w:p>
                    </w:tc>
                  </w:sdtContent>
                </w:sdt>
                <w:tc>
                  <w:tcPr>
                    <w:tcW w:w="1131" w:type="pct"/>
                    <w:tcBorders>
                      <w:top w:val="outset" w:sz="4" w:space="0" w:color="auto"/>
                      <w:left w:val="outset" w:sz="4" w:space="0" w:color="auto"/>
                      <w:bottom w:val="outset" w:sz="4" w:space="0" w:color="auto"/>
                      <w:right w:val="outset" w:sz="4" w:space="0" w:color="auto"/>
                    </w:tcBorders>
                  </w:tcPr>
                  <w:p w14:paraId="00F06879"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1E4A7DA"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5C080B05" w14:textId="77777777" w:rsidR="00830E72" w:rsidRDefault="00830E72">
                    <w:pPr>
                      <w:jc w:val="right"/>
                      <w:rPr>
                        <w:szCs w:val="21"/>
                      </w:rPr>
                    </w:pPr>
                  </w:p>
                </w:tc>
              </w:tr>
              <w:tr w:rsidR="00830E72" w14:paraId="5449EF47" w14:textId="77777777">
                <w:sdt>
                  <w:sdtPr>
                    <w:tag w:val="_PLD_d231468da9dc4ca99a885c73ca1d80e6"/>
                    <w:id w:val="-1388718009"/>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5D48CF10" w14:textId="77777777" w:rsidR="00830E72" w:rsidRDefault="008344D8">
                        <w:pPr>
                          <w:ind w:leftChars="300" w:left="630" w:firstLineChars="100" w:firstLine="210"/>
                          <w:rPr>
                            <w:szCs w:val="21"/>
                          </w:rPr>
                        </w:pPr>
                        <w:r>
                          <w:rPr>
                            <w:rFonts w:hint="eastAsia"/>
                            <w:szCs w:val="21"/>
                          </w:rPr>
                          <w:t>永续债</w:t>
                        </w:r>
                      </w:p>
                    </w:tc>
                  </w:sdtContent>
                </w:sdt>
                <w:tc>
                  <w:tcPr>
                    <w:tcW w:w="1131" w:type="pct"/>
                    <w:tcBorders>
                      <w:top w:val="outset" w:sz="4" w:space="0" w:color="auto"/>
                      <w:left w:val="outset" w:sz="4" w:space="0" w:color="auto"/>
                      <w:bottom w:val="outset" w:sz="4" w:space="0" w:color="auto"/>
                      <w:right w:val="outset" w:sz="4" w:space="0" w:color="auto"/>
                    </w:tcBorders>
                  </w:tcPr>
                  <w:p w14:paraId="4D3C7DE4"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4B66EF1"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5CAE899" w14:textId="77777777" w:rsidR="00830E72" w:rsidRDefault="00830E72">
                    <w:pPr>
                      <w:jc w:val="right"/>
                      <w:rPr>
                        <w:szCs w:val="21"/>
                      </w:rPr>
                    </w:pPr>
                  </w:p>
                </w:tc>
              </w:tr>
              <w:tr w:rsidR="00830E72" w14:paraId="5D498421" w14:textId="77777777">
                <w:sdt>
                  <w:sdtPr>
                    <w:tag w:val="_PLD_67b70496c75d40f19a3cf648170a89dc"/>
                    <w:id w:val="-978686638"/>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336D4B63" w14:textId="77777777" w:rsidR="00830E72" w:rsidRDefault="008344D8">
                        <w:pPr>
                          <w:ind w:firstLineChars="100" w:firstLine="210"/>
                          <w:rPr>
                            <w:szCs w:val="21"/>
                          </w:rPr>
                        </w:pPr>
                        <w:r>
                          <w:rPr>
                            <w:rFonts w:hint="eastAsia"/>
                            <w:szCs w:val="21"/>
                          </w:rPr>
                          <w:t>资本公积</w:t>
                        </w:r>
                      </w:p>
                    </w:tc>
                  </w:sdtContent>
                </w:sdt>
                <w:tc>
                  <w:tcPr>
                    <w:tcW w:w="1131" w:type="pct"/>
                    <w:tcBorders>
                      <w:top w:val="outset" w:sz="4" w:space="0" w:color="auto"/>
                      <w:left w:val="outset" w:sz="4" w:space="0" w:color="auto"/>
                      <w:bottom w:val="outset" w:sz="4" w:space="0" w:color="auto"/>
                      <w:right w:val="outset" w:sz="4" w:space="0" w:color="auto"/>
                    </w:tcBorders>
                  </w:tcPr>
                  <w:p w14:paraId="02F1F195" w14:textId="77777777" w:rsidR="00830E72" w:rsidRDefault="008344D8">
                    <w:pPr>
                      <w:jc w:val="right"/>
                      <w:rPr>
                        <w:szCs w:val="21"/>
                      </w:rPr>
                    </w:pPr>
                    <w:r>
                      <w:t>212,034,615.01</w:t>
                    </w:r>
                  </w:p>
                </w:tc>
                <w:tc>
                  <w:tcPr>
                    <w:tcW w:w="996" w:type="pct"/>
                    <w:tcBorders>
                      <w:top w:val="outset" w:sz="4" w:space="0" w:color="auto"/>
                      <w:left w:val="outset" w:sz="4" w:space="0" w:color="auto"/>
                      <w:bottom w:val="outset" w:sz="4" w:space="0" w:color="auto"/>
                      <w:right w:val="outset" w:sz="4" w:space="0" w:color="auto"/>
                    </w:tcBorders>
                  </w:tcPr>
                  <w:p w14:paraId="16CD81BA" w14:textId="77777777" w:rsidR="00830E72" w:rsidRDefault="008344D8">
                    <w:pPr>
                      <w:jc w:val="right"/>
                      <w:rPr>
                        <w:szCs w:val="21"/>
                      </w:rPr>
                    </w:pPr>
                    <w:r>
                      <w:t>212,034,615.01</w:t>
                    </w:r>
                  </w:p>
                </w:tc>
                <w:tc>
                  <w:tcPr>
                    <w:tcW w:w="1166" w:type="pct"/>
                    <w:tcBorders>
                      <w:top w:val="outset" w:sz="4" w:space="0" w:color="auto"/>
                      <w:left w:val="outset" w:sz="4" w:space="0" w:color="auto"/>
                      <w:bottom w:val="outset" w:sz="4" w:space="0" w:color="auto"/>
                      <w:right w:val="outset" w:sz="4" w:space="0" w:color="auto"/>
                    </w:tcBorders>
                  </w:tcPr>
                  <w:p w14:paraId="64F67092" w14:textId="77777777" w:rsidR="00830E72" w:rsidRDefault="00830E72">
                    <w:pPr>
                      <w:jc w:val="right"/>
                      <w:rPr>
                        <w:szCs w:val="21"/>
                      </w:rPr>
                    </w:pPr>
                  </w:p>
                </w:tc>
              </w:tr>
              <w:tr w:rsidR="00830E72" w14:paraId="395D36C7" w14:textId="77777777">
                <w:sdt>
                  <w:sdtPr>
                    <w:tag w:val="_PLD_0ecc8c5ac5f64e66aae115c103be5d27"/>
                    <w:id w:val="2065836650"/>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685EBFD3" w14:textId="77777777" w:rsidR="00830E72" w:rsidRDefault="008344D8">
                        <w:pPr>
                          <w:ind w:firstLineChars="100" w:firstLine="210"/>
                          <w:rPr>
                            <w:szCs w:val="21"/>
                          </w:rPr>
                        </w:pPr>
                        <w:r>
                          <w:rPr>
                            <w:rFonts w:hint="eastAsia"/>
                            <w:szCs w:val="21"/>
                          </w:rPr>
                          <w:t>减：库存股</w:t>
                        </w:r>
                      </w:p>
                    </w:tc>
                  </w:sdtContent>
                </w:sdt>
                <w:tc>
                  <w:tcPr>
                    <w:tcW w:w="1131" w:type="pct"/>
                    <w:tcBorders>
                      <w:top w:val="outset" w:sz="4" w:space="0" w:color="auto"/>
                      <w:left w:val="outset" w:sz="4" w:space="0" w:color="auto"/>
                      <w:bottom w:val="outset" w:sz="4" w:space="0" w:color="auto"/>
                      <w:right w:val="outset" w:sz="4" w:space="0" w:color="auto"/>
                    </w:tcBorders>
                  </w:tcPr>
                  <w:p w14:paraId="15F1F9B1"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7F04AE53"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1A09ABD" w14:textId="77777777" w:rsidR="00830E72" w:rsidRDefault="00830E72">
                    <w:pPr>
                      <w:jc w:val="right"/>
                      <w:rPr>
                        <w:szCs w:val="21"/>
                      </w:rPr>
                    </w:pPr>
                  </w:p>
                </w:tc>
              </w:tr>
              <w:tr w:rsidR="00830E72" w14:paraId="3E079682" w14:textId="77777777">
                <w:sdt>
                  <w:sdtPr>
                    <w:tag w:val="_PLD_f8576e43e2ba482da272b161656c0523"/>
                    <w:id w:val="22987591"/>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480B3C58" w14:textId="77777777" w:rsidR="00830E72" w:rsidRDefault="008344D8">
                        <w:pPr>
                          <w:ind w:firstLineChars="100" w:firstLine="210"/>
                          <w:rPr>
                            <w:szCs w:val="21"/>
                          </w:rPr>
                        </w:pPr>
                        <w:r>
                          <w:rPr>
                            <w:rFonts w:hint="eastAsia"/>
                            <w:szCs w:val="21"/>
                          </w:rPr>
                          <w:t>其他综合收益</w:t>
                        </w:r>
                      </w:p>
                    </w:tc>
                  </w:sdtContent>
                </w:sdt>
                <w:tc>
                  <w:tcPr>
                    <w:tcW w:w="1131" w:type="pct"/>
                    <w:tcBorders>
                      <w:top w:val="outset" w:sz="4" w:space="0" w:color="auto"/>
                      <w:left w:val="outset" w:sz="4" w:space="0" w:color="auto"/>
                      <w:bottom w:val="outset" w:sz="4" w:space="0" w:color="auto"/>
                      <w:right w:val="outset" w:sz="4" w:space="0" w:color="auto"/>
                    </w:tcBorders>
                  </w:tcPr>
                  <w:p w14:paraId="7216E3D1"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732EBFAF"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637C9907" w14:textId="77777777" w:rsidR="00830E72" w:rsidRDefault="00830E72">
                    <w:pPr>
                      <w:jc w:val="right"/>
                      <w:rPr>
                        <w:szCs w:val="21"/>
                      </w:rPr>
                    </w:pPr>
                  </w:p>
                </w:tc>
              </w:tr>
              <w:tr w:rsidR="00830E72" w14:paraId="6821829A" w14:textId="77777777">
                <w:sdt>
                  <w:sdtPr>
                    <w:tag w:val="_PLD_4012b20126624690826c37f7fe5375f3"/>
                    <w:id w:val="-559787030"/>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4425C175" w14:textId="77777777" w:rsidR="00830E72" w:rsidRDefault="008344D8">
                        <w:pPr>
                          <w:ind w:firstLineChars="100" w:firstLine="210"/>
                          <w:rPr>
                            <w:szCs w:val="21"/>
                          </w:rPr>
                        </w:pPr>
                        <w:r>
                          <w:rPr>
                            <w:rFonts w:hint="eastAsia"/>
                            <w:szCs w:val="21"/>
                          </w:rPr>
                          <w:t>专项储备</w:t>
                        </w:r>
                      </w:p>
                    </w:tc>
                  </w:sdtContent>
                </w:sdt>
                <w:tc>
                  <w:tcPr>
                    <w:tcW w:w="1131" w:type="pct"/>
                    <w:tcBorders>
                      <w:top w:val="outset" w:sz="4" w:space="0" w:color="auto"/>
                      <w:left w:val="outset" w:sz="4" w:space="0" w:color="auto"/>
                      <w:bottom w:val="outset" w:sz="4" w:space="0" w:color="auto"/>
                      <w:right w:val="outset" w:sz="4" w:space="0" w:color="auto"/>
                    </w:tcBorders>
                  </w:tcPr>
                  <w:p w14:paraId="777B833C" w14:textId="77777777" w:rsidR="00830E72" w:rsidRDefault="008344D8">
                    <w:pPr>
                      <w:jc w:val="right"/>
                      <w:rPr>
                        <w:szCs w:val="21"/>
                      </w:rPr>
                    </w:pPr>
                    <w:r>
                      <w:t>15,436,784.81</w:t>
                    </w:r>
                  </w:p>
                </w:tc>
                <w:tc>
                  <w:tcPr>
                    <w:tcW w:w="996" w:type="pct"/>
                    <w:tcBorders>
                      <w:top w:val="outset" w:sz="4" w:space="0" w:color="auto"/>
                      <w:left w:val="outset" w:sz="4" w:space="0" w:color="auto"/>
                      <w:bottom w:val="outset" w:sz="4" w:space="0" w:color="auto"/>
                      <w:right w:val="outset" w:sz="4" w:space="0" w:color="auto"/>
                    </w:tcBorders>
                  </w:tcPr>
                  <w:p w14:paraId="58669DEA" w14:textId="77777777" w:rsidR="00830E72" w:rsidRDefault="008344D8">
                    <w:pPr>
                      <w:jc w:val="right"/>
                      <w:rPr>
                        <w:szCs w:val="21"/>
                      </w:rPr>
                    </w:pPr>
                    <w:r>
                      <w:t>15,436,784.81</w:t>
                    </w:r>
                  </w:p>
                </w:tc>
                <w:tc>
                  <w:tcPr>
                    <w:tcW w:w="1166" w:type="pct"/>
                    <w:tcBorders>
                      <w:top w:val="outset" w:sz="4" w:space="0" w:color="auto"/>
                      <w:left w:val="outset" w:sz="4" w:space="0" w:color="auto"/>
                      <w:bottom w:val="outset" w:sz="4" w:space="0" w:color="auto"/>
                      <w:right w:val="outset" w:sz="4" w:space="0" w:color="auto"/>
                    </w:tcBorders>
                  </w:tcPr>
                  <w:p w14:paraId="73C5036E" w14:textId="77777777" w:rsidR="00830E72" w:rsidRDefault="00830E72">
                    <w:pPr>
                      <w:jc w:val="right"/>
                      <w:rPr>
                        <w:szCs w:val="21"/>
                      </w:rPr>
                    </w:pPr>
                  </w:p>
                </w:tc>
              </w:tr>
              <w:tr w:rsidR="00830E72" w14:paraId="2A09F74E" w14:textId="77777777">
                <w:sdt>
                  <w:sdtPr>
                    <w:tag w:val="_PLD_f00af6e50b2746e6a098293b64c1d537"/>
                    <w:id w:val="1413973858"/>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689C40A9" w14:textId="77777777" w:rsidR="00830E72" w:rsidRDefault="008344D8">
                        <w:pPr>
                          <w:ind w:firstLineChars="100" w:firstLine="210"/>
                          <w:rPr>
                            <w:szCs w:val="21"/>
                          </w:rPr>
                        </w:pPr>
                        <w:r>
                          <w:rPr>
                            <w:rFonts w:hint="eastAsia"/>
                            <w:szCs w:val="21"/>
                          </w:rPr>
                          <w:t>盈余公积</w:t>
                        </w:r>
                      </w:p>
                    </w:tc>
                  </w:sdtContent>
                </w:sdt>
                <w:tc>
                  <w:tcPr>
                    <w:tcW w:w="1131" w:type="pct"/>
                    <w:tcBorders>
                      <w:top w:val="outset" w:sz="4" w:space="0" w:color="auto"/>
                      <w:left w:val="outset" w:sz="4" w:space="0" w:color="auto"/>
                      <w:bottom w:val="outset" w:sz="4" w:space="0" w:color="auto"/>
                      <w:right w:val="outset" w:sz="4" w:space="0" w:color="auto"/>
                    </w:tcBorders>
                  </w:tcPr>
                  <w:p w14:paraId="4D6970C1" w14:textId="77777777" w:rsidR="00830E72" w:rsidRDefault="008344D8">
                    <w:pPr>
                      <w:jc w:val="right"/>
                      <w:rPr>
                        <w:szCs w:val="21"/>
                      </w:rPr>
                    </w:pPr>
                    <w:r>
                      <w:t>44,344,922.59</w:t>
                    </w:r>
                  </w:p>
                </w:tc>
                <w:tc>
                  <w:tcPr>
                    <w:tcW w:w="996" w:type="pct"/>
                    <w:tcBorders>
                      <w:top w:val="outset" w:sz="4" w:space="0" w:color="auto"/>
                      <w:left w:val="outset" w:sz="4" w:space="0" w:color="auto"/>
                      <w:bottom w:val="outset" w:sz="4" w:space="0" w:color="auto"/>
                      <w:right w:val="outset" w:sz="4" w:space="0" w:color="auto"/>
                    </w:tcBorders>
                  </w:tcPr>
                  <w:p w14:paraId="61178264" w14:textId="77777777" w:rsidR="00830E72" w:rsidRDefault="008344D8">
                    <w:pPr>
                      <w:jc w:val="right"/>
                      <w:rPr>
                        <w:szCs w:val="21"/>
                      </w:rPr>
                    </w:pPr>
                    <w:r>
                      <w:t>44,344,922.59</w:t>
                    </w:r>
                  </w:p>
                </w:tc>
                <w:tc>
                  <w:tcPr>
                    <w:tcW w:w="1166" w:type="pct"/>
                    <w:tcBorders>
                      <w:top w:val="outset" w:sz="4" w:space="0" w:color="auto"/>
                      <w:left w:val="outset" w:sz="4" w:space="0" w:color="auto"/>
                      <w:bottom w:val="outset" w:sz="4" w:space="0" w:color="auto"/>
                      <w:right w:val="outset" w:sz="4" w:space="0" w:color="auto"/>
                    </w:tcBorders>
                  </w:tcPr>
                  <w:p w14:paraId="5DF20DD8" w14:textId="77777777" w:rsidR="00830E72" w:rsidRDefault="00830E72">
                    <w:pPr>
                      <w:jc w:val="right"/>
                      <w:rPr>
                        <w:szCs w:val="21"/>
                      </w:rPr>
                    </w:pPr>
                  </w:p>
                </w:tc>
              </w:tr>
              <w:tr w:rsidR="00830E72" w14:paraId="486D47A8" w14:textId="77777777">
                <w:sdt>
                  <w:sdtPr>
                    <w:tag w:val="_PLD_2675126dfcc04ee595fa740c9e46f1b6"/>
                    <w:id w:val="961162902"/>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5B612B06" w14:textId="77777777" w:rsidR="00830E72" w:rsidRDefault="008344D8">
                        <w:pPr>
                          <w:ind w:firstLineChars="100" w:firstLine="210"/>
                          <w:rPr>
                            <w:szCs w:val="21"/>
                          </w:rPr>
                        </w:pPr>
                        <w:r>
                          <w:rPr>
                            <w:rFonts w:hint="eastAsia"/>
                            <w:szCs w:val="21"/>
                          </w:rPr>
                          <w:t>一般风险准备</w:t>
                        </w:r>
                      </w:p>
                    </w:tc>
                  </w:sdtContent>
                </w:sdt>
                <w:tc>
                  <w:tcPr>
                    <w:tcW w:w="1131" w:type="pct"/>
                    <w:tcBorders>
                      <w:top w:val="outset" w:sz="4" w:space="0" w:color="auto"/>
                      <w:left w:val="outset" w:sz="4" w:space="0" w:color="auto"/>
                      <w:bottom w:val="outset" w:sz="4" w:space="0" w:color="auto"/>
                      <w:right w:val="outset" w:sz="4" w:space="0" w:color="auto"/>
                    </w:tcBorders>
                  </w:tcPr>
                  <w:p w14:paraId="39BC6E28" w14:textId="77777777" w:rsidR="00830E72" w:rsidRDefault="00830E72">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CDABA5E" w14:textId="77777777" w:rsidR="00830E72" w:rsidRDefault="00830E72">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E2C66B7" w14:textId="77777777" w:rsidR="00830E72" w:rsidRDefault="00830E72">
                    <w:pPr>
                      <w:jc w:val="right"/>
                      <w:rPr>
                        <w:szCs w:val="21"/>
                      </w:rPr>
                    </w:pPr>
                  </w:p>
                </w:tc>
              </w:tr>
              <w:tr w:rsidR="00830E72" w14:paraId="0AB911BC" w14:textId="77777777">
                <w:sdt>
                  <w:sdtPr>
                    <w:tag w:val="_PLD_69e49e8e03b24f49a4f7055dd6cfe7af"/>
                    <w:id w:val="-563563290"/>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2362D552" w14:textId="77777777" w:rsidR="00830E72" w:rsidRDefault="008344D8">
                        <w:pPr>
                          <w:ind w:firstLineChars="100" w:firstLine="210"/>
                          <w:rPr>
                            <w:szCs w:val="21"/>
                          </w:rPr>
                        </w:pPr>
                        <w:r>
                          <w:rPr>
                            <w:rFonts w:hint="eastAsia"/>
                            <w:szCs w:val="21"/>
                          </w:rPr>
                          <w:t>未分配利润</w:t>
                        </w:r>
                      </w:p>
                    </w:tc>
                  </w:sdtContent>
                </w:sdt>
                <w:tc>
                  <w:tcPr>
                    <w:tcW w:w="1131" w:type="pct"/>
                    <w:tcBorders>
                      <w:top w:val="outset" w:sz="4" w:space="0" w:color="auto"/>
                      <w:left w:val="outset" w:sz="4" w:space="0" w:color="auto"/>
                      <w:bottom w:val="outset" w:sz="4" w:space="0" w:color="auto"/>
                      <w:right w:val="outset" w:sz="4" w:space="0" w:color="auto"/>
                    </w:tcBorders>
                  </w:tcPr>
                  <w:p w14:paraId="219E63BD" w14:textId="77777777" w:rsidR="00830E72" w:rsidRDefault="008344D8">
                    <w:pPr>
                      <w:jc w:val="right"/>
                      <w:rPr>
                        <w:szCs w:val="21"/>
                      </w:rPr>
                    </w:pPr>
                    <w:r>
                      <w:t>358,296,774.06</w:t>
                    </w:r>
                  </w:p>
                </w:tc>
                <w:tc>
                  <w:tcPr>
                    <w:tcW w:w="996" w:type="pct"/>
                    <w:tcBorders>
                      <w:top w:val="outset" w:sz="4" w:space="0" w:color="auto"/>
                      <w:left w:val="outset" w:sz="4" w:space="0" w:color="auto"/>
                      <w:bottom w:val="outset" w:sz="4" w:space="0" w:color="auto"/>
                      <w:right w:val="outset" w:sz="4" w:space="0" w:color="auto"/>
                    </w:tcBorders>
                  </w:tcPr>
                  <w:p w14:paraId="5464FEEF" w14:textId="77777777" w:rsidR="00830E72" w:rsidRDefault="008344D8">
                    <w:pPr>
                      <w:jc w:val="right"/>
                      <w:rPr>
                        <w:szCs w:val="21"/>
                      </w:rPr>
                    </w:pPr>
                    <w:r>
                      <w:t>358,296,774.06</w:t>
                    </w:r>
                  </w:p>
                </w:tc>
                <w:tc>
                  <w:tcPr>
                    <w:tcW w:w="1166" w:type="pct"/>
                    <w:tcBorders>
                      <w:top w:val="outset" w:sz="4" w:space="0" w:color="auto"/>
                      <w:left w:val="outset" w:sz="4" w:space="0" w:color="auto"/>
                      <w:bottom w:val="outset" w:sz="4" w:space="0" w:color="auto"/>
                      <w:right w:val="outset" w:sz="4" w:space="0" w:color="auto"/>
                    </w:tcBorders>
                  </w:tcPr>
                  <w:p w14:paraId="4194F648" w14:textId="77777777" w:rsidR="00830E72" w:rsidRDefault="00830E72">
                    <w:pPr>
                      <w:jc w:val="right"/>
                      <w:rPr>
                        <w:szCs w:val="21"/>
                      </w:rPr>
                    </w:pPr>
                  </w:p>
                </w:tc>
              </w:tr>
              <w:tr w:rsidR="00830E72" w14:paraId="14955E53" w14:textId="77777777">
                <w:sdt>
                  <w:sdtPr>
                    <w:tag w:val="_PLD_51025073495f439fbd66352253d45d1a"/>
                    <w:id w:val="266505622"/>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78EA0A26" w14:textId="77777777" w:rsidR="00830E72" w:rsidRDefault="008344D8">
                        <w:pPr>
                          <w:ind w:firstLineChars="100" w:firstLine="210"/>
                          <w:rPr>
                            <w:szCs w:val="21"/>
                          </w:rPr>
                        </w:pPr>
                        <w:r>
                          <w:rPr>
                            <w:rFonts w:hint="eastAsia"/>
                            <w:szCs w:val="21"/>
                          </w:rPr>
                          <w:t>归属于母公司所有者权益（或股东权益）合计</w:t>
                        </w:r>
                      </w:p>
                    </w:tc>
                  </w:sdtContent>
                </w:sdt>
                <w:tc>
                  <w:tcPr>
                    <w:tcW w:w="1131" w:type="pct"/>
                    <w:tcBorders>
                      <w:top w:val="outset" w:sz="4" w:space="0" w:color="auto"/>
                      <w:left w:val="outset" w:sz="4" w:space="0" w:color="auto"/>
                      <w:bottom w:val="outset" w:sz="4" w:space="0" w:color="auto"/>
                      <w:right w:val="outset" w:sz="4" w:space="0" w:color="auto"/>
                    </w:tcBorders>
                  </w:tcPr>
                  <w:p w14:paraId="45943E21" w14:textId="77777777" w:rsidR="00830E72" w:rsidRDefault="008344D8">
                    <w:pPr>
                      <w:jc w:val="right"/>
                      <w:rPr>
                        <w:szCs w:val="21"/>
                      </w:rPr>
                    </w:pPr>
                    <w:r>
                      <w:t>1,129,113,096.47</w:t>
                    </w:r>
                  </w:p>
                </w:tc>
                <w:tc>
                  <w:tcPr>
                    <w:tcW w:w="996" w:type="pct"/>
                    <w:tcBorders>
                      <w:top w:val="outset" w:sz="4" w:space="0" w:color="auto"/>
                      <w:left w:val="outset" w:sz="4" w:space="0" w:color="auto"/>
                      <w:bottom w:val="outset" w:sz="4" w:space="0" w:color="auto"/>
                      <w:right w:val="outset" w:sz="4" w:space="0" w:color="auto"/>
                    </w:tcBorders>
                  </w:tcPr>
                  <w:p w14:paraId="6320483C" w14:textId="77777777" w:rsidR="00830E72" w:rsidRDefault="008344D8">
                    <w:pPr>
                      <w:jc w:val="right"/>
                      <w:rPr>
                        <w:szCs w:val="21"/>
                      </w:rPr>
                    </w:pPr>
                    <w:r>
                      <w:t>1,129,113,096.47</w:t>
                    </w:r>
                  </w:p>
                </w:tc>
                <w:tc>
                  <w:tcPr>
                    <w:tcW w:w="1166" w:type="pct"/>
                    <w:tcBorders>
                      <w:top w:val="outset" w:sz="4" w:space="0" w:color="auto"/>
                      <w:left w:val="outset" w:sz="4" w:space="0" w:color="auto"/>
                      <w:bottom w:val="outset" w:sz="4" w:space="0" w:color="auto"/>
                      <w:right w:val="outset" w:sz="4" w:space="0" w:color="auto"/>
                    </w:tcBorders>
                  </w:tcPr>
                  <w:p w14:paraId="6880143D" w14:textId="77777777" w:rsidR="00830E72" w:rsidRDefault="00830E72">
                    <w:pPr>
                      <w:jc w:val="right"/>
                      <w:rPr>
                        <w:szCs w:val="21"/>
                      </w:rPr>
                    </w:pPr>
                  </w:p>
                </w:tc>
              </w:tr>
              <w:tr w:rsidR="00830E72" w14:paraId="4B00D9A4" w14:textId="77777777">
                <w:sdt>
                  <w:sdtPr>
                    <w:tag w:val="_PLD_9e2a49afb3b740edb7325551ffea197e"/>
                    <w:id w:val="-201320274"/>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41505AC9" w14:textId="77777777" w:rsidR="00830E72" w:rsidRDefault="008344D8">
                        <w:pPr>
                          <w:ind w:firstLineChars="100" w:firstLine="210"/>
                          <w:rPr>
                            <w:szCs w:val="21"/>
                          </w:rPr>
                        </w:pPr>
                        <w:r>
                          <w:rPr>
                            <w:rFonts w:hint="eastAsia"/>
                            <w:szCs w:val="21"/>
                          </w:rPr>
                          <w:t>少数股东权益</w:t>
                        </w:r>
                      </w:p>
                    </w:tc>
                  </w:sdtContent>
                </w:sdt>
                <w:tc>
                  <w:tcPr>
                    <w:tcW w:w="1131" w:type="pct"/>
                    <w:tcBorders>
                      <w:top w:val="outset" w:sz="4" w:space="0" w:color="auto"/>
                      <w:left w:val="outset" w:sz="4" w:space="0" w:color="auto"/>
                      <w:bottom w:val="outset" w:sz="4" w:space="0" w:color="auto"/>
                      <w:right w:val="outset" w:sz="4" w:space="0" w:color="auto"/>
                    </w:tcBorders>
                  </w:tcPr>
                  <w:p w14:paraId="42B7B98B" w14:textId="77777777" w:rsidR="00830E72" w:rsidRDefault="008344D8">
                    <w:pPr>
                      <w:jc w:val="right"/>
                      <w:rPr>
                        <w:szCs w:val="21"/>
                      </w:rPr>
                    </w:pPr>
                    <w:r>
                      <w:t>60,094,275.37</w:t>
                    </w:r>
                  </w:p>
                </w:tc>
                <w:tc>
                  <w:tcPr>
                    <w:tcW w:w="996" w:type="pct"/>
                    <w:tcBorders>
                      <w:top w:val="outset" w:sz="4" w:space="0" w:color="auto"/>
                      <w:left w:val="outset" w:sz="4" w:space="0" w:color="auto"/>
                      <w:bottom w:val="outset" w:sz="4" w:space="0" w:color="auto"/>
                      <w:right w:val="outset" w:sz="4" w:space="0" w:color="auto"/>
                    </w:tcBorders>
                  </w:tcPr>
                  <w:p w14:paraId="1D55F240" w14:textId="77777777" w:rsidR="00830E72" w:rsidRDefault="008344D8">
                    <w:pPr>
                      <w:jc w:val="right"/>
                      <w:rPr>
                        <w:szCs w:val="21"/>
                      </w:rPr>
                    </w:pPr>
                    <w:r>
                      <w:t>60,094,275.37</w:t>
                    </w:r>
                  </w:p>
                </w:tc>
                <w:tc>
                  <w:tcPr>
                    <w:tcW w:w="1166" w:type="pct"/>
                    <w:tcBorders>
                      <w:top w:val="outset" w:sz="4" w:space="0" w:color="auto"/>
                      <w:left w:val="outset" w:sz="4" w:space="0" w:color="auto"/>
                      <w:bottom w:val="outset" w:sz="4" w:space="0" w:color="auto"/>
                      <w:right w:val="outset" w:sz="4" w:space="0" w:color="auto"/>
                    </w:tcBorders>
                  </w:tcPr>
                  <w:p w14:paraId="053B322F" w14:textId="77777777" w:rsidR="00830E72" w:rsidRDefault="00830E72">
                    <w:pPr>
                      <w:jc w:val="right"/>
                      <w:rPr>
                        <w:szCs w:val="21"/>
                      </w:rPr>
                    </w:pPr>
                  </w:p>
                </w:tc>
              </w:tr>
              <w:tr w:rsidR="00830E72" w14:paraId="69E27CCF" w14:textId="77777777">
                <w:sdt>
                  <w:sdtPr>
                    <w:tag w:val="_PLD_c8a5be1c81bf40a0b01cb817c0b0e1b9"/>
                    <w:id w:val="48806935"/>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7AAA34A1" w14:textId="77777777" w:rsidR="00830E72" w:rsidRDefault="008344D8">
                        <w:pPr>
                          <w:ind w:firstLineChars="200" w:firstLine="420"/>
                          <w:rPr>
                            <w:szCs w:val="21"/>
                          </w:rPr>
                        </w:pPr>
                        <w:r>
                          <w:rPr>
                            <w:rFonts w:hint="eastAsia"/>
                            <w:szCs w:val="21"/>
                          </w:rPr>
                          <w:t>所有者权益（或股东权益）合计</w:t>
                        </w:r>
                      </w:p>
                    </w:tc>
                  </w:sdtContent>
                </w:sdt>
                <w:tc>
                  <w:tcPr>
                    <w:tcW w:w="1131" w:type="pct"/>
                    <w:tcBorders>
                      <w:top w:val="outset" w:sz="4" w:space="0" w:color="auto"/>
                      <w:left w:val="outset" w:sz="4" w:space="0" w:color="auto"/>
                      <w:bottom w:val="outset" w:sz="4" w:space="0" w:color="auto"/>
                      <w:right w:val="outset" w:sz="4" w:space="0" w:color="auto"/>
                    </w:tcBorders>
                  </w:tcPr>
                  <w:p w14:paraId="6EB1EC56" w14:textId="77777777" w:rsidR="00830E72" w:rsidRDefault="008344D8">
                    <w:pPr>
                      <w:jc w:val="right"/>
                      <w:rPr>
                        <w:szCs w:val="21"/>
                      </w:rPr>
                    </w:pPr>
                    <w:r>
                      <w:t>1,189,207,371.84</w:t>
                    </w:r>
                  </w:p>
                </w:tc>
                <w:tc>
                  <w:tcPr>
                    <w:tcW w:w="996" w:type="pct"/>
                    <w:tcBorders>
                      <w:top w:val="outset" w:sz="4" w:space="0" w:color="auto"/>
                      <w:left w:val="outset" w:sz="4" w:space="0" w:color="auto"/>
                      <w:bottom w:val="outset" w:sz="4" w:space="0" w:color="auto"/>
                      <w:right w:val="outset" w:sz="4" w:space="0" w:color="auto"/>
                    </w:tcBorders>
                  </w:tcPr>
                  <w:p w14:paraId="3AC49627" w14:textId="77777777" w:rsidR="00830E72" w:rsidRDefault="008344D8">
                    <w:pPr>
                      <w:jc w:val="right"/>
                      <w:rPr>
                        <w:szCs w:val="21"/>
                      </w:rPr>
                    </w:pPr>
                    <w:r>
                      <w:t>1,189,207,371.84</w:t>
                    </w:r>
                  </w:p>
                </w:tc>
                <w:tc>
                  <w:tcPr>
                    <w:tcW w:w="1166" w:type="pct"/>
                    <w:tcBorders>
                      <w:top w:val="outset" w:sz="4" w:space="0" w:color="auto"/>
                      <w:left w:val="outset" w:sz="4" w:space="0" w:color="auto"/>
                      <w:bottom w:val="outset" w:sz="4" w:space="0" w:color="auto"/>
                      <w:right w:val="outset" w:sz="4" w:space="0" w:color="auto"/>
                    </w:tcBorders>
                  </w:tcPr>
                  <w:p w14:paraId="22C13A33" w14:textId="77777777" w:rsidR="00830E72" w:rsidRDefault="00830E72">
                    <w:pPr>
                      <w:jc w:val="right"/>
                      <w:rPr>
                        <w:szCs w:val="21"/>
                      </w:rPr>
                    </w:pPr>
                  </w:p>
                </w:tc>
              </w:tr>
              <w:tr w:rsidR="00830E72" w14:paraId="73C26D98" w14:textId="77777777">
                <w:sdt>
                  <w:sdtPr>
                    <w:tag w:val="_PLD_bd6eda07bb8b42c19118fdb7c86bb62b"/>
                    <w:id w:val="-1032264885"/>
                    <w:lock w:val="sdtLocked"/>
                  </w:sdtPr>
                  <w:sdtEndPr/>
                  <w:sdtContent>
                    <w:tc>
                      <w:tcPr>
                        <w:tcW w:w="1707" w:type="pct"/>
                        <w:tcBorders>
                          <w:top w:val="outset" w:sz="4" w:space="0" w:color="auto"/>
                          <w:left w:val="outset" w:sz="4" w:space="0" w:color="auto"/>
                          <w:bottom w:val="outset" w:sz="4" w:space="0" w:color="auto"/>
                          <w:right w:val="outset" w:sz="4" w:space="0" w:color="auto"/>
                        </w:tcBorders>
                        <w:vAlign w:val="center"/>
                      </w:tcPr>
                      <w:p w14:paraId="30DAF993" w14:textId="77777777" w:rsidR="00830E72" w:rsidRDefault="008344D8">
                        <w:pPr>
                          <w:ind w:firstLineChars="300" w:firstLine="630"/>
                          <w:rPr>
                            <w:szCs w:val="21"/>
                          </w:rPr>
                        </w:pPr>
                        <w:r>
                          <w:rPr>
                            <w:rFonts w:hint="eastAsia"/>
                            <w:szCs w:val="21"/>
                          </w:rPr>
                          <w:t>负债和所有者权益（或股东权益）总计</w:t>
                        </w:r>
                      </w:p>
                    </w:tc>
                  </w:sdtContent>
                </w:sdt>
                <w:tc>
                  <w:tcPr>
                    <w:tcW w:w="1131" w:type="pct"/>
                    <w:tcBorders>
                      <w:top w:val="outset" w:sz="4" w:space="0" w:color="auto"/>
                      <w:left w:val="outset" w:sz="4" w:space="0" w:color="auto"/>
                      <w:bottom w:val="outset" w:sz="4" w:space="0" w:color="auto"/>
                      <w:right w:val="outset" w:sz="4" w:space="0" w:color="auto"/>
                    </w:tcBorders>
                  </w:tcPr>
                  <w:p w14:paraId="5BA55737" w14:textId="77777777" w:rsidR="00830E72" w:rsidRDefault="008344D8">
                    <w:pPr>
                      <w:jc w:val="right"/>
                      <w:rPr>
                        <w:szCs w:val="21"/>
                      </w:rPr>
                    </w:pPr>
                    <w:r>
                      <w:t>5,475,696,797.15</w:t>
                    </w:r>
                  </w:p>
                </w:tc>
                <w:tc>
                  <w:tcPr>
                    <w:tcW w:w="996" w:type="pct"/>
                    <w:tcBorders>
                      <w:top w:val="outset" w:sz="4" w:space="0" w:color="auto"/>
                      <w:left w:val="outset" w:sz="4" w:space="0" w:color="auto"/>
                      <w:bottom w:val="outset" w:sz="4" w:space="0" w:color="auto"/>
                      <w:right w:val="outset" w:sz="4" w:space="0" w:color="auto"/>
                    </w:tcBorders>
                  </w:tcPr>
                  <w:p w14:paraId="710FB883" w14:textId="77777777" w:rsidR="00830E72" w:rsidRDefault="008344D8">
                    <w:pPr>
                      <w:jc w:val="right"/>
                      <w:rPr>
                        <w:szCs w:val="21"/>
                      </w:rPr>
                    </w:pPr>
                    <w:r>
                      <w:t>5,481,046,910.16</w:t>
                    </w:r>
                  </w:p>
                </w:tc>
                <w:tc>
                  <w:tcPr>
                    <w:tcW w:w="1166" w:type="pct"/>
                    <w:tcBorders>
                      <w:top w:val="outset" w:sz="4" w:space="0" w:color="auto"/>
                      <w:left w:val="outset" w:sz="4" w:space="0" w:color="auto"/>
                      <w:bottom w:val="outset" w:sz="4" w:space="0" w:color="auto"/>
                      <w:right w:val="outset" w:sz="4" w:space="0" w:color="auto"/>
                    </w:tcBorders>
                  </w:tcPr>
                  <w:p w14:paraId="03266A23" w14:textId="77777777" w:rsidR="00830E72" w:rsidRDefault="008344D8">
                    <w:pPr>
                      <w:jc w:val="right"/>
                      <w:rPr>
                        <w:szCs w:val="21"/>
                      </w:rPr>
                    </w:pPr>
                    <w:r>
                      <w:t>5,350,113.01</w:t>
                    </w:r>
                  </w:p>
                </w:tc>
              </w:tr>
            </w:tbl>
            <w:p w14:paraId="04F358DC" w14:textId="77777777" w:rsidR="00830E72" w:rsidRDefault="00830E72"/>
            <w:p w14:paraId="06A4A50D" w14:textId="77777777" w:rsidR="00830E72" w:rsidRDefault="008344D8">
              <w:pPr>
                <w:rPr>
                  <w:szCs w:val="21"/>
                </w:rPr>
              </w:pPr>
              <w:r>
                <w:rPr>
                  <w:rFonts w:hint="eastAsia"/>
                  <w:szCs w:val="21"/>
                </w:rPr>
                <w:t>各项目调整情况的说明：</w:t>
              </w:r>
            </w:p>
            <w:sdt>
              <w:sdtPr>
                <w:alias w:val="是否适用：资产负债表各项目调整情况的说明[双击切换]"/>
                <w:tag w:val="_GBC_78cdedcde0e54953bd93f6d9bfb220a2"/>
                <w:id w:val="784307188"/>
                <w:lock w:val="sdtContentLocked"/>
                <w:placeholder>
                  <w:docPart w:val="GBC22222222222222222222222222222"/>
                </w:placeholder>
              </w:sdtPr>
              <w:sdtEndPr/>
              <w:sdtContent>
                <w:p w14:paraId="755C8EE1"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资产负债表各项目调整情况的说明"/>
                <w:tag w:val="_GBC_75838eb883a94dccb56b0a9e60c0074d"/>
                <w:id w:val="-1606423323"/>
                <w:lock w:val="sdtLocked"/>
                <w:placeholder>
                  <w:docPart w:val="GBC22222222222222222222222222222"/>
                </w:placeholder>
              </w:sdtPr>
              <w:sdtEndPr/>
              <w:sdtContent>
                <w:p w14:paraId="7AE23F8D" w14:textId="77777777" w:rsidR="00830E72" w:rsidRDefault="008344D8">
                  <w:pPr>
                    <w:ind w:firstLineChars="200" w:firstLine="420"/>
                    <w:jc w:val="both"/>
                  </w:pPr>
                  <w:r>
                    <w:t>2018 年，财政部颁布了修订的《企业会计准则第 21 号——租赁》（简称“新租赁准则”），</w:t>
                  </w:r>
                  <w:r>
                    <w:rPr>
                      <w:rFonts w:hint="eastAsia"/>
                    </w:rPr>
                    <w:t>新租赁准则采用与现行融资租赁会计处理类似的单一模型，要求承租人对除短期租赁和低价值资产租赁以外的所有租赁确认使用权资产和租赁负债，并分别确认折旧和利息费用。本公司自</w:t>
                  </w:r>
                  <w:r>
                    <w:t xml:space="preserve"> 2021</w:t>
                  </w:r>
                  <w:r>
                    <w:rPr>
                      <w:rFonts w:hint="eastAsia"/>
                    </w:rPr>
                    <w:t>年</w:t>
                  </w:r>
                  <w:r>
                    <w:t xml:space="preserve"> 1 月 1 日开始按照新修订的租赁准则进行会计处理</w:t>
                  </w:r>
                </w:p>
              </w:sdtContent>
            </w:sdt>
          </w:sdtContent>
        </w:sdt>
        <w:p w14:paraId="54AD0121" w14:textId="77777777" w:rsidR="00830E72" w:rsidRDefault="00830E72"/>
        <w:sdt>
          <w:sdtPr>
            <w:rPr>
              <w:rFonts w:hint="eastAsia"/>
            </w:rPr>
            <w:tag w:val="_SEC_42ac31f2b4fa4fd6a9f6f2a4dec4d231"/>
            <w:id w:val="-231935967"/>
            <w:lock w:val="sdtLocked"/>
            <w:placeholder>
              <w:docPart w:val="GBC22222222222222222222222222222"/>
            </w:placeholder>
          </w:sdtPr>
          <w:sdtEndPr>
            <w:rPr>
              <w:szCs w:val="21"/>
            </w:rPr>
          </w:sdtEndPr>
          <w:sdtContent>
            <w:p w14:paraId="0C11210A" w14:textId="77777777" w:rsidR="00830E72" w:rsidRDefault="008344D8">
              <w:pPr>
                <w:jc w:val="center"/>
              </w:pPr>
              <w:r>
                <w:rPr>
                  <w:rFonts w:hint="eastAsia"/>
                </w:rPr>
                <w:t>母公司</w:t>
              </w:r>
              <w:r>
                <w:t>资产负债表</w:t>
              </w:r>
            </w:p>
            <w:p w14:paraId="082D2C24" w14:textId="77777777" w:rsidR="00830E72" w:rsidRDefault="008344D8">
              <w:pPr>
                <w:jc w:val="right"/>
                <w:rPr>
                  <w:szCs w:val="21"/>
                </w:rPr>
              </w:pPr>
              <w:r>
                <w:rPr>
                  <w:rFonts w:hint="eastAsia"/>
                  <w:szCs w:val="21"/>
                </w:rPr>
                <w:t xml:space="preserve"> </w:t>
              </w:r>
              <w:r>
                <w:rPr>
                  <w:szCs w:val="21"/>
                </w:rPr>
                <w:t xml:space="preserve">      单位：</w:t>
              </w:r>
              <w:sdt>
                <w:sdtPr>
                  <w:rPr>
                    <w:szCs w:val="21"/>
                  </w:rPr>
                  <w:alias w:val="单位：母公司资产负债表"/>
                  <w:tag w:val="_GBC_12bdcba29eb54af2b8443a5d65e13487"/>
                  <w:id w:val="-8118724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母公司资产负债表"/>
                  <w:tag w:val="_GBC_5ae5b2f3e4c64e05b223351f52f762b8"/>
                  <w:id w:val="-19803059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68"/>
                <w:gridCol w:w="1967"/>
                <w:gridCol w:w="1896"/>
                <w:gridCol w:w="2118"/>
              </w:tblGrid>
              <w:tr w:rsidR="00830E72" w14:paraId="706234E2" w14:textId="77777777">
                <w:trPr>
                  <w:cantSplit/>
                </w:trPr>
                <w:sdt>
                  <w:sdtPr>
                    <w:tag w:val="_PLD_1862792538844cfebbd7412e518cc3a1"/>
                    <w:id w:val="10045838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8031AB3" w14:textId="77777777" w:rsidR="00830E72" w:rsidRDefault="008344D8">
                        <w:pPr>
                          <w:jc w:val="center"/>
                          <w:rPr>
                            <w:b/>
                            <w:szCs w:val="21"/>
                          </w:rPr>
                        </w:pPr>
                        <w:r>
                          <w:rPr>
                            <w:b/>
                            <w:szCs w:val="21"/>
                          </w:rPr>
                          <w:t>项目</w:t>
                        </w:r>
                      </w:p>
                    </w:tc>
                  </w:sdtContent>
                </w:sdt>
                <w:sdt>
                  <w:sdtPr>
                    <w:tag w:val="_PLD_490733515ea04b4585d8f94ac2bde396"/>
                    <w:id w:val="-1994872119"/>
                    <w:lock w:val="sdtLocked"/>
                  </w:sdtPr>
                  <w:sdtEndPr/>
                  <w:sdtContent>
                    <w:tc>
                      <w:tcPr>
                        <w:tcW w:w="1097" w:type="pct"/>
                        <w:tcBorders>
                          <w:top w:val="outset" w:sz="4" w:space="0" w:color="auto"/>
                          <w:left w:val="outset" w:sz="4" w:space="0" w:color="auto"/>
                          <w:bottom w:val="outset" w:sz="4" w:space="0" w:color="auto"/>
                          <w:right w:val="outset" w:sz="4" w:space="0" w:color="auto"/>
                        </w:tcBorders>
                        <w:vAlign w:val="center"/>
                      </w:tcPr>
                      <w:p w14:paraId="3A2412A7" w14:textId="77777777" w:rsidR="00830E72" w:rsidRDefault="008344D8">
                        <w:pPr>
                          <w:jc w:val="center"/>
                          <w:rPr>
                            <w:b/>
                            <w:szCs w:val="21"/>
                          </w:rPr>
                        </w:pPr>
                        <w:r>
                          <w:rPr>
                            <w:rFonts w:hint="eastAsia"/>
                            <w:b/>
                            <w:szCs w:val="21"/>
                          </w:rPr>
                          <w:t>2020年12月31日</w:t>
                        </w:r>
                      </w:p>
                    </w:tc>
                  </w:sdtContent>
                </w:sdt>
                <w:sdt>
                  <w:sdtPr>
                    <w:tag w:val="_PLD_e87e7f82c0ce4a00b4c3c32f679e366a"/>
                    <w:id w:val="1628973867"/>
                    <w:lock w:val="sdtLocked"/>
                  </w:sdtPr>
                  <w:sdtEndPr/>
                  <w:sdtContent>
                    <w:tc>
                      <w:tcPr>
                        <w:tcW w:w="1018" w:type="pct"/>
                        <w:tcBorders>
                          <w:top w:val="outset" w:sz="4" w:space="0" w:color="auto"/>
                          <w:left w:val="outset" w:sz="4" w:space="0" w:color="auto"/>
                          <w:bottom w:val="outset" w:sz="4" w:space="0" w:color="auto"/>
                          <w:right w:val="outset" w:sz="4" w:space="0" w:color="auto"/>
                        </w:tcBorders>
                        <w:vAlign w:val="center"/>
                      </w:tcPr>
                      <w:p w14:paraId="14EC7167" w14:textId="77777777" w:rsidR="00830E72" w:rsidRDefault="008344D8">
                        <w:pPr>
                          <w:jc w:val="center"/>
                          <w:rPr>
                            <w:b/>
                            <w:szCs w:val="21"/>
                          </w:rPr>
                        </w:pPr>
                        <w:r>
                          <w:rPr>
                            <w:rFonts w:hint="eastAsia"/>
                            <w:b/>
                            <w:szCs w:val="21"/>
                          </w:rPr>
                          <w:t>2021年1月1日</w:t>
                        </w:r>
                      </w:p>
                    </w:tc>
                  </w:sdtContent>
                </w:sdt>
                <w:sdt>
                  <w:sdtPr>
                    <w:tag w:val="_PLD_183442aef00f452987866abd92d323be"/>
                    <w:id w:val="-622458299"/>
                    <w:lock w:val="sdtLocked"/>
                  </w:sdtPr>
                  <w:sdtEndPr/>
                  <w:sdtContent>
                    <w:tc>
                      <w:tcPr>
                        <w:tcW w:w="1180" w:type="pct"/>
                        <w:tcBorders>
                          <w:top w:val="outset" w:sz="4" w:space="0" w:color="auto"/>
                          <w:left w:val="outset" w:sz="4" w:space="0" w:color="auto"/>
                          <w:bottom w:val="outset" w:sz="4" w:space="0" w:color="auto"/>
                          <w:right w:val="outset" w:sz="4" w:space="0" w:color="auto"/>
                        </w:tcBorders>
                        <w:vAlign w:val="center"/>
                      </w:tcPr>
                      <w:p w14:paraId="4DC74300" w14:textId="77777777" w:rsidR="00830E72" w:rsidRDefault="008344D8">
                        <w:pPr>
                          <w:jc w:val="center"/>
                          <w:rPr>
                            <w:b/>
                          </w:rPr>
                        </w:pPr>
                        <w:r>
                          <w:rPr>
                            <w:rFonts w:hint="eastAsia"/>
                            <w:b/>
                          </w:rPr>
                          <w:t>调整数</w:t>
                        </w:r>
                      </w:p>
                    </w:tc>
                  </w:sdtContent>
                </w:sdt>
              </w:tr>
              <w:tr w:rsidR="00830E72" w14:paraId="773EF6C6" w14:textId="77777777">
                <w:sdt>
                  <w:sdtPr>
                    <w:tag w:val="_PLD_d3873035b3234fe09b962abf0385995a"/>
                    <w:id w:val="154579970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293B2CC" w14:textId="77777777" w:rsidR="00830E72" w:rsidRDefault="008344D8">
                        <w:pPr>
                          <w:rPr>
                            <w:szCs w:val="21"/>
                          </w:rPr>
                        </w:pPr>
                        <w:r>
                          <w:rPr>
                            <w:rFonts w:hint="eastAsia"/>
                            <w:b/>
                            <w:bCs/>
                            <w:szCs w:val="21"/>
                          </w:rPr>
                          <w:t>流动资产：</w:t>
                        </w:r>
                      </w:p>
                    </w:tc>
                  </w:sdtContent>
                </w:sdt>
              </w:tr>
              <w:tr w:rsidR="00830E72" w14:paraId="06AF8059" w14:textId="77777777">
                <w:sdt>
                  <w:sdtPr>
                    <w:tag w:val="_PLD_74d515e6d6184499b93a2f64ac76312a"/>
                    <w:id w:val="41822009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58E12C0" w14:textId="77777777" w:rsidR="00830E72" w:rsidRDefault="008344D8">
                        <w:pPr>
                          <w:ind w:firstLineChars="100" w:firstLine="210"/>
                          <w:rPr>
                            <w:szCs w:val="21"/>
                          </w:rPr>
                        </w:pPr>
                        <w:r>
                          <w:rPr>
                            <w:rFonts w:hint="eastAsia"/>
                            <w:szCs w:val="21"/>
                          </w:rPr>
                          <w:t>货币资金</w:t>
                        </w:r>
                      </w:p>
                    </w:tc>
                  </w:sdtContent>
                </w:sdt>
                <w:tc>
                  <w:tcPr>
                    <w:tcW w:w="1097" w:type="pct"/>
                    <w:tcBorders>
                      <w:top w:val="outset" w:sz="4" w:space="0" w:color="auto"/>
                      <w:left w:val="outset" w:sz="4" w:space="0" w:color="auto"/>
                      <w:bottom w:val="outset" w:sz="4" w:space="0" w:color="auto"/>
                      <w:right w:val="outset" w:sz="4" w:space="0" w:color="auto"/>
                    </w:tcBorders>
                  </w:tcPr>
                  <w:p w14:paraId="7672343A" w14:textId="77777777" w:rsidR="00830E72" w:rsidRDefault="008344D8">
                    <w:pPr>
                      <w:jc w:val="right"/>
                      <w:rPr>
                        <w:szCs w:val="21"/>
                      </w:rPr>
                    </w:pPr>
                    <w:r>
                      <w:t>759,005,773.52</w:t>
                    </w:r>
                  </w:p>
                </w:tc>
                <w:tc>
                  <w:tcPr>
                    <w:tcW w:w="1018" w:type="pct"/>
                    <w:tcBorders>
                      <w:top w:val="outset" w:sz="4" w:space="0" w:color="auto"/>
                      <w:left w:val="outset" w:sz="4" w:space="0" w:color="auto"/>
                      <w:bottom w:val="outset" w:sz="4" w:space="0" w:color="auto"/>
                      <w:right w:val="outset" w:sz="4" w:space="0" w:color="auto"/>
                    </w:tcBorders>
                  </w:tcPr>
                  <w:p w14:paraId="164A852A" w14:textId="77777777" w:rsidR="00830E72" w:rsidRDefault="008344D8">
                    <w:pPr>
                      <w:jc w:val="right"/>
                      <w:rPr>
                        <w:szCs w:val="21"/>
                      </w:rPr>
                    </w:pPr>
                    <w:r>
                      <w:t>759,005,773.52</w:t>
                    </w:r>
                  </w:p>
                </w:tc>
                <w:tc>
                  <w:tcPr>
                    <w:tcW w:w="1180" w:type="pct"/>
                    <w:tcBorders>
                      <w:top w:val="outset" w:sz="4" w:space="0" w:color="auto"/>
                      <w:left w:val="outset" w:sz="4" w:space="0" w:color="auto"/>
                      <w:bottom w:val="outset" w:sz="4" w:space="0" w:color="auto"/>
                      <w:right w:val="outset" w:sz="4" w:space="0" w:color="auto"/>
                    </w:tcBorders>
                  </w:tcPr>
                  <w:p w14:paraId="43E36BE8" w14:textId="77777777" w:rsidR="00830E72" w:rsidRDefault="00830E72">
                    <w:pPr>
                      <w:jc w:val="right"/>
                      <w:rPr>
                        <w:szCs w:val="21"/>
                      </w:rPr>
                    </w:pPr>
                  </w:p>
                </w:tc>
              </w:tr>
              <w:tr w:rsidR="00830E72" w14:paraId="00F4CBAF" w14:textId="7777777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bce670f2a4240eeaa8e481be0a277f1"/>
                      <w:id w:val="-1039814305"/>
                      <w:lock w:val="sdtLocked"/>
                    </w:sdtPr>
                    <w:sdtEndPr/>
                    <w:sdtContent>
                      <w:p w14:paraId="15DB7A60" w14:textId="77777777" w:rsidR="00830E72" w:rsidRDefault="008344D8">
                        <w:pPr>
                          <w:ind w:firstLineChars="100" w:firstLine="210"/>
                        </w:pPr>
                        <w:r>
                          <w:rPr>
                            <w:rFonts w:hint="eastAsia"/>
                          </w:rPr>
                          <w:t>交易性金融资产</w:t>
                        </w:r>
                      </w:p>
                    </w:sdtContent>
                  </w:sdt>
                </w:tc>
                <w:tc>
                  <w:tcPr>
                    <w:tcW w:w="1097" w:type="pct"/>
                    <w:tcBorders>
                      <w:top w:val="outset" w:sz="4" w:space="0" w:color="auto"/>
                      <w:left w:val="outset" w:sz="4" w:space="0" w:color="auto"/>
                      <w:bottom w:val="outset" w:sz="4" w:space="0" w:color="auto"/>
                      <w:right w:val="outset" w:sz="4" w:space="0" w:color="auto"/>
                    </w:tcBorders>
                  </w:tcPr>
                  <w:p w14:paraId="1FF27684"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33B95DED"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69551ADF" w14:textId="77777777" w:rsidR="00830E72" w:rsidRDefault="00830E72">
                    <w:pPr>
                      <w:jc w:val="right"/>
                      <w:rPr>
                        <w:szCs w:val="21"/>
                      </w:rPr>
                    </w:pPr>
                  </w:p>
                </w:tc>
              </w:tr>
              <w:tr w:rsidR="00830E72" w14:paraId="1F7F4617" w14:textId="77777777">
                <w:sdt>
                  <w:sdtPr>
                    <w:tag w:val="_PLD_ae75f8d2f5c14936a6818948d6cc2951"/>
                    <w:id w:val="-34031382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A36B6EA" w14:textId="77777777" w:rsidR="00830E72" w:rsidRDefault="008344D8">
                        <w:pPr>
                          <w:ind w:firstLineChars="100" w:firstLine="210"/>
                          <w:rPr>
                            <w:szCs w:val="21"/>
                          </w:rPr>
                        </w:pPr>
                        <w:r>
                          <w:rPr>
                            <w:rFonts w:hint="eastAsia"/>
                            <w:szCs w:val="21"/>
                          </w:rPr>
                          <w:t>衍生金融资产</w:t>
                        </w:r>
                      </w:p>
                    </w:tc>
                  </w:sdtContent>
                </w:sdt>
                <w:tc>
                  <w:tcPr>
                    <w:tcW w:w="1097" w:type="pct"/>
                    <w:tcBorders>
                      <w:top w:val="outset" w:sz="4" w:space="0" w:color="auto"/>
                      <w:left w:val="outset" w:sz="4" w:space="0" w:color="auto"/>
                      <w:bottom w:val="outset" w:sz="4" w:space="0" w:color="auto"/>
                      <w:right w:val="outset" w:sz="4" w:space="0" w:color="auto"/>
                    </w:tcBorders>
                  </w:tcPr>
                  <w:p w14:paraId="30140DA5"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0C5C41B2"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4A50F978" w14:textId="77777777" w:rsidR="00830E72" w:rsidRDefault="00830E72">
                    <w:pPr>
                      <w:jc w:val="right"/>
                      <w:rPr>
                        <w:szCs w:val="21"/>
                      </w:rPr>
                    </w:pPr>
                  </w:p>
                </w:tc>
              </w:tr>
              <w:tr w:rsidR="00830E72" w14:paraId="4E6AA315" w14:textId="77777777">
                <w:sdt>
                  <w:sdtPr>
                    <w:tag w:val="_PLD_d38796d2735e412fbb2b548202f4f87a"/>
                    <w:id w:val="-177392039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0B09D7F" w14:textId="77777777" w:rsidR="00830E72" w:rsidRDefault="008344D8">
                        <w:pPr>
                          <w:ind w:firstLineChars="100" w:firstLine="210"/>
                          <w:rPr>
                            <w:szCs w:val="21"/>
                          </w:rPr>
                        </w:pPr>
                        <w:r>
                          <w:rPr>
                            <w:rFonts w:hint="eastAsia"/>
                            <w:szCs w:val="21"/>
                          </w:rPr>
                          <w:t>应收票据</w:t>
                        </w:r>
                      </w:p>
                    </w:tc>
                  </w:sdtContent>
                </w:sdt>
                <w:tc>
                  <w:tcPr>
                    <w:tcW w:w="1097" w:type="pct"/>
                    <w:tcBorders>
                      <w:top w:val="outset" w:sz="4" w:space="0" w:color="auto"/>
                      <w:left w:val="outset" w:sz="4" w:space="0" w:color="auto"/>
                      <w:bottom w:val="outset" w:sz="4" w:space="0" w:color="auto"/>
                      <w:right w:val="outset" w:sz="4" w:space="0" w:color="auto"/>
                    </w:tcBorders>
                  </w:tcPr>
                  <w:p w14:paraId="4296F35E"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34033C15"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7B24D0C9" w14:textId="77777777" w:rsidR="00830E72" w:rsidRDefault="00830E72">
                    <w:pPr>
                      <w:jc w:val="right"/>
                      <w:rPr>
                        <w:szCs w:val="21"/>
                      </w:rPr>
                    </w:pPr>
                  </w:p>
                </w:tc>
              </w:tr>
              <w:tr w:rsidR="00830E72" w14:paraId="1676894D" w14:textId="77777777">
                <w:sdt>
                  <w:sdtPr>
                    <w:tag w:val="_PLD_330335623c744c63b1ff8fbca1c82725"/>
                    <w:id w:val="-178687484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BFF4467" w14:textId="77777777" w:rsidR="00830E72" w:rsidRDefault="008344D8">
                        <w:pPr>
                          <w:ind w:firstLineChars="100" w:firstLine="210"/>
                          <w:rPr>
                            <w:szCs w:val="21"/>
                          </w:rPr>
                        </w:pPr>
                        <w:r>
                          <w:rPr>
                            <w:rFonts w:hint="eastAsia"/>
                            <w:szCs w:val="21"/>
                          </w:rPr>
                          <w:t>应收账款</w:t>
                        </w:r>
                      </w:p>
                    </w:tc>
                  </w:sdtContent>
                </w:sdt>
                <w:tc>
                  <w:tcPr>
                    <w:tcW w:w="1097" w:type="pct"/>
                    <w:tcBorders>
                      <w:top w:val="outset" w:sz="4" w:space="0" w:color="auto"/>
                      <w:left w:val="outset" w:sz="4" w:space="0" w:color="auto"/>
                      <w:bottom w:val="outset" w:sz="4" w:space="0" w:color="auto"/>
                      <w:right w:val="outset" w:sz="4" w:space="0" w:color="auto"/>
                    </w:tcBorders>
                  </w:tcPr>
                  <w:p w14:paraId="3AF01336" w14:textId="77777777" w:rsidR="00830E72" w:rsidRDefault="008344D8">
                    <w:pPr>
                      <w:jc w:val="right"/>
                      <w:rPr>
                        <w:szCs w:val="21"/>
                      </w:rPr>
                    </w:pPr>
                    <w:r>
                      <w:t>2,114,132,107.83</w:t>
                    </w:r>
                  </w:p>
                </w:tc>
                <w:tc>
                  <w:tcPr>
                    <w:tcW w:w="1018" w:type="pct"/>
                    <w:tcBorders>
                      <w:top w:val="outset" w:sz="4" w:space="0" w:color="auto"/>
                      <w:left w:val="outset" w:sz="4" w:space="0" w:color="auto"/>
                      <w:bottom w:val="outset" w:sz="4" w:space="0" w:color="auto"/>
                      <w:right w:val="outset" w:sz="4" w:space="0" w:color="auto"/>
                    </w:tcBorders>
                  </w:tcPr>
                  <w:p w14:paraId="271DD8C2" w14:textId="77777777" w:rsidR="00830E72" w:rsidRDefault="008344D8">
                    <w:pPr>
                      <w:jc w:val="right"/>
                      <w:rPr>
                        <w:szCs w:val="21"/>
                      </w:rPr>
                    </w:pPr>
                    <w:r>
                      <w:t>2,114,132,107.83</w:t>
                    </w:r>
                  </w:p>
                </w:tc>
                <w:tc>
                  <w:tcPr>
                    <w:tcW w:w="1180" w:type="pct"/>
                    <w:tcBorders>
                      <w:top w:val="outset" w:sz="4" w:space="0" w:color="auto"/>
                      <w:left w:val="outset" w:sz="4" w:space="0" w:color="auto"/>
                      <w:bottom w:val="outset" w:sz="4" w:space="0" w:color="auto"/>
                      <w:right w:val="outset" w:sz="4" w:space="0" w:color="auto"/>
                    </w:tcBorders>
                  </w:tcPr>
                  <w:p w14:paraId="3F1151A9" w14:textId="77777777" w:rsidR="00830E72" w:rsidRDefault="00830E72">
                    <w:pPr>
                      <w:jc w:val="right"/>
                      <w:rPr>
                        <w:szCs w:val="21"/>
                      </w:rPr>
                    </w:pPr>
                  </w:p>
                </w:tc>
              </w:tr>
              <w:tr w:rsidR="00830E72" w14:paraId="68F37D83" w14:textId="7777777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9488865268f46f29f059c2d0282e38e"/>
                      <w:id w:val="-1354873042"/>
                      <w:lock w:val="sdtLocked"/>
                    </w:sdtPr>
                    <w:sdtEndPr/>
                    <w:sdtContent>
                      <w:p w14:paraId="5C7E1EB2" w14:textId="77777777" w:rsidR="00830E72" w:rsidRDefault="008344D8">
                        <w:pPr>
                          <w:ind w:firstLineChars="100" w:firstLine="210"/>
                        </w:pPr>
                        <w:r>
                          <w:rPr>
                            <w:rFonts w:hint="eastAsia"/>
                          </w:rPr>
                          <w:t>应收款项融资</w:t>
                        </w:r>
                      </w:p>
                    </w:sdtContent>
                  </w:sdt>
                </w:tc>
                <w:tc>
                  <w:tcPr>
                    <w:tcW w:w="1097" w:type="pct"/>
                    <w:tcBorders>
                      <w:top w:val="outset" w:sz="4" w:space="0" w:color="auto"/>
                      <w:left w:val="outset" w:sz="4" w:space="0" w:color="auto"/>
                      <w:bottom w:val="outset" w:sz="4" w:space="0" w:color="auto"/>
                      <w:right w:val="outset" w:sz="4" w:space="0" w:color="auto"/>
                    </w:tcBorders>
                  </w:tcPr>
                  <w:p w14:paraId="6D6C76B1"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751250F2"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5AB83C70" w14:textId="77777777" w:rsidR="00830E72" w:rsidRDefault="00830E72">
                    <w:pPr>
                      <w:jc w:val="right"/>
                      <w:rPr>
                        <w:szCs w:val="21"/>
                      </w:rPr>
                    </w:pPr>
                  </w:p>
                </w:tc>
              </w:tr>
              <w:tr w:rsidR="00830E72" w14:paraId="428AB146" w14:textId="77777777">
                <w:sdt>
                  <w:sdtPr>
                    <w:tag w:val="_PLD_075402e44a9d4fec8c80849345f9a7ff"/>
                    <w:id w:val="-165390465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022E8D9" w14:textId="77777777" w:rsidR="00830E72" w:rsidRDefault="008344D8">
                        <w:pPr>
                          <w:ind w:firstLineChars="100" w:firstLine="210"/>
                          <w:rPr>
                            <w:szCs w:val="21"/>
                          </w:rPr>
                        </w:pPr>
                        <w:r>
                          <w:rPr>
                            <w:rFonts w:hint="eastAsia"/>
                            <w:szCs w:val="21"/>
                          </w:rPr>
                          <w:t>预付款项</w:t>
                        </w:r>
                      </w:p>
                    </w:tc>
                  </w:sdtContent>
                </w:sdt>
                <w:tc>
                  <w:tcPr>
                    <w:tcW w:w="1097" w:type="pct"/>
                    <w:tcBorders>
                      <w:top w:val="outset" w:sz="4" w:space="0" w:color="auto"/>
                      <w:left w:val="outset" w:sz="4" w:space="0" w:color="auto"/>
                      <w:bottom w:val="outset" w:sz="4" w:space="0" w:color="auto"/>
                      <w:right w:val="outset" w:sz="4" w:space="0" w:color="auto"/>
                    </w:tcBorders>
                  </w:tcPr>
                  <w:p w14:paraId="364BBA01" w14:textId="77777777" w:rsidR="00830E72" w:rsidRDefault="008344D8">
                    <w:pPr>
                      <w:jc w:val="right"/>
                      <w:rPr>
                        <w:szCs w:val="21"/>
                      </w:rPr>
                    </w:pPr>
                    <w:r>
                      <w:t>8,405,637.69</w:t>
                    </w:r>
                  </w:p>
                </w:tc>
                <w:tc>
                  <w:tcPr>
                    <w:tcW w:w="1018" w:type="pct"/>
                    <w:tcBorders>
                      <w:top w:val="outset" w:sz="4" w:space="0" w:color="auto"/>
                      <w:left w:val="outset" w:sz="4" w:space="0" w:color="auto"/>
                      <w:bottom w:val="outset" w:sz="4" w:space="0" w:color="auto"/>
                      <w:right w:val="outset" w:sz="4" w:space="0" w:color="auto"/>
                    </w:tcBorders>
                  </w:tcPr>
                  <w:p w14:paraId="122B84CB" w14:textId="77777777" w:rsidR="00830E72" w:rsidRDefault="008344D8">
                    <w:pPr>
                      <w:jc w:val="right"/>
                      <w:rPr>
                        <w:szCs w:val="21"/>
                      </w:rPr>
                    </w:pPr>
                    <w:r>
                      <w:t>8,405,637.69</w:t>
                    </w:r>
                  </w:p>
                </w:tc>
                <w:tc>
                  <w:tcPr>
                    <w:tcW w:w="1180" w:type="pct"/>
                    <w:tcBorders>
                      <w:top w:val="outset" w:sz="4" w:space="0" w:color="auto"/>
                      <w:left w:val="outset" w:sz="4" w:space="0" w:color="auto"/>
                      <w:bottom w:val="outset" w:sz="4" w:space="0" w:color="auto"/>
                      <w:right w:val="outset" w:sz="4" w:space="0" w:color="auto"/>
                    </w:tcBorders>
                  </w:tcPr>
                  <w:p w14:paraId="2A921DB7" w14:textId="77777777" w:rsidR="00830E72" w:rsidRDefault="00830E72">
                    <w:pPr>
                      <w:jc w:val="right"/>
                      <w:rPr>
                        <w:szCs w:val="21"/>
                      </w:rPr>
                    </w:pPr>
                  </w:p>
                </w:tc>
              </w:tr>
              <w:tr w:rsidR="00830E72" w14:paraId="3BAB4E70" w14:textId="77777777">
                <w:sdt>
                  <w:sdtPr>
                    <w:tag w:val="_PLD_c2d0a7a6a8e64d7e876eef520833ed71"/>
                    <w:id w:val="-23547047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DBFA252" w14:textId="77777777" w:rsidR="00830E72" w:rsidRDefault="008344D8">
                        <w:pPr>
                          <w:ind w:firstLineChars="100" w:firstLine="210"/>
                          <w:rPr>
                            <w:szCs w:val="21"/>
                          </w:rPr>
                        </w:pPr>
                        <w:r>
                          <w:rPr>
                            <w:rFonts w:hint="eastAsia"/>
                            <w:szCs w:val="21"/>
                          </w:rPr>
                          <w:t>其他应收款</w:t>
                        </w:r>
                      </w:p>
                    </w:tc>
                  </w:sdtContent>
                </w:sdt>
                <w:tc>
                  <w:tcPr>
                    <w:tcW w:w="1097" w:type="pct"/>
                    <w:tcBorders>
                      <w:top w:val="outset" w:sz="4" w:space="0" w:color="auto"/>
                      <w:left w:val="outset" w:sz="4" w:space="0" w:color="auto"/>
                      <w:bottom w:val="outset" w:sz="4" w:space="0" w:color="auto"/>
                      <w:right w:val="outset" w:sz="4" w:space="0" w:color="auto"/>
                    </w:tcBorders>
                  </w:tcPr>
                  <w:p w14:paraId="1BC3001A" w14:textId="77777777" w:rsidR="00830E72" w:rsidRDefault="008344D8">
                    <w:pPr>
                      <w:jc w:val="right"/>
                      <w:rPr>
                        <w:szCs w:val="21"/>
                      </w:rPr>
                    </w:pPr>
                    <w:r>
                      <w:t>246,365,846.15</w:t>
                    </w:r>
                  </w:p>
                </w:tc>
                <w:tc>
                  <w:tcPr>
                    <w:tcW w:w="1018" w:type="pct"/>
                    <w:tcBorders>
                      <w:top w:val="outset" w:sz="4" w:space="0" w:color="auto"/>
                      <w:left w:val="outset" w:sz="4" w:space="0" w:color="auto"/>
                      <w:bottom w:val="outset" w:sz="4" w:space="0" w:color="auto"/>
                      <w:right w:val="outset" w:sz="4" w:space="0" w:color="auto"/>
                    </w:tcBorders>
                  </w:tcPr>
                  <w:p w14:paraId="22E7B6E5" w14:textId="77777777" w:rsidR="00830E72" w:rsidRDefault="008344D8">
                    <w:pPr>
                      <w:jc w:val="right"/>
                      <w:rPr>
                        <w:szCs w:val="21"/>
                      </w:rPr>
                    </w:pPr>
                    <w:r>
                      <w:t>246,365,846.15</w:t>
                    </w:r>
                  </w:p>
                </w:tc>
                <w:tc>
                  <w:tcPr>
                    <w:tcW w:w="1180" w:type="pct"/>
                    <w:tcBorders>
                      <w:top w:val="outset" w:sz="4" w:space="0" w:color="auto"/>
                      <w:left w:val="outset" w:sz="4" w:space="0" w:color="auto"/>
                      <w:bottom w:val="outset" w:sz="4" w:space="0" w:color="auto"/>
                      <w:right w:val="outset" w:sz="4" w:space="0" w:color="auto"/>
                    </w:tcBorders>
                  </w:tcPr>
                  <w:p w14:paraId="2E6033AD" w14:textId="77777777" w:rsidR="00830E72" w:rsidRDefault="00830E72">
                    <w:pPr>
                      <w:jc w:val="right"/>
                      <w:rPr>
                        <w:szCs w:val="21"/>
                      </w:rPr>
                    </w:pPr>
                  </w:p>
                </w:tc>
              </w:tr>
              <w:tr w:rsidR="00830E72" w14:paraId="399EBE02" w14:textId="77777777">
                <w:sdt>
                  <w:sdtPr>
                    <w:tag w:val="_PLD_f4aedbe1c37746bd94298a5fa1ce694d"/>
                    <w:id w:val="138127847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5ECE951" w14:textId="77777777" w:rsidR="00830E72" w:rsidRDefault="008344D8">
                        <w:pPr>
                          <w:ind w:firstLineChars="100" w:firstLine="210"/>
                          <w:rPr>
                            <w:szCs w:val="21"/>
                          </w:rPr>
                        </w:pPr>
                        <w:r>
                          <w:rPr>
                            <w:rFonts w:hint="eastAsia"/>
                          </w:rPr>
                          <w:t>其中：</w:t>
                        </w:r>
                        <w:r>
                          <w:rPr>
                            <w:rFonts w:hint="eastAsia"/>
                            <w:szCs w:val="21"/>
                          </w:rPr>
                          <w:t>应收利息</w:t>
                        </w:r>
                      </w:p>
                    </w:tc>
                  </w:sdtContent>
                </w:sdt>
                <w:tc>
                  <w:tcPr>
                    <w:tcW w:w="1097" w:type="pct"/>
                    <w:tcBorders>
                      <w:top w:val="outset" w:sz="4" w:space="0" w:color="auto"/>
                      <w:left w:val="outset" w:sz="4" w:space="0" w:color="auto"/>
                      <w:bottom w:val="outset" w:sz="4" w:space="0" w:color="auto"/>
                      <w:right w:val="outset" w:sz="4" w:space="0" w:color="auto"/>
                    </w:tcBorders>
                  </w:tcPr>
                  <w:p w14:paraId="5CBF9EF7"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3E426211"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13B8F514" w14:textId="77777777" w:rsidR="00830E72" w:rsidRDefault="00830E72">
                    <w:pPr>
                      <w:jc w:val="right"/>
                      <w:rPr>
                        <w:szCs w:val="21"/>
                      </w:rPr>
                    </w:pPr>
                  </w:p>
                </w:tc>
              </w:tr>
              <w:tr w:rsidR="00830E72" w14:paraId="6925B215" w14:textId="77777777">
                <w:sdt>
                  <w:sdtPr>
                    <w:tag w:val="_PLD_52de14b1293c4f25af2be3d116cf9e85"/>
                    <w:id w:val="43248509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9EC1FFB" w14:textId="77777777" w:rsidR="00830E72" w:rsidRDefault="008344D8">
                        <w:pPr>
                          <w:ind w:firstLineChars="400" w:firstLine="840"/>
                          <w:rPr>
                            <w:szCs w:val="21"/>
                          </w:rPr>
                        </w:pPr>
                        <w:r>
                          <w:rPr>
                            <w:rFonts w:hint="eastAsia"/>
                            <w:szCs w:val="21"/>
                          </w:rPr>
                          <w:t>应收股利</w:t>
                        </w:r>
                      </w:p>
                    </w:tc>
                  </w:sdtContent>
                </w:sdt>
                <w:tc>
                  <w:tcPr>
                    <w:tcW w:w="1097" w:type="pct"/>
                    <w:tcBorders>
                      <w:top w:val="outset" w:sz="4" w:space="0" w:color="auto"/>
                      <w:left w:val="outset" w:sz="4" w:space="0" w:color="auto"/>
                      <w:bottom w:val="outset" w:sz="4" w:space="0" w:color="auto"/>
                      <w:right w:val="outset" w:sz="4" w:space="0" w:color="auto"/>
                    </w:tcBorders>
                  </w:tcPr>
                  <w:p w14:paraId="12939E14"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44241A17"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3809C05E" w14:textId="77777777" w:rsidR="00830E72" w:rsidRDefault="00830E72">
                    <w:pPr>
                      <w:jc w:val="right"/>
                      <w:rPr>
                        <w:szCs w:val="21"/>
                      </w:rPr>
                    </w:pPr>
                  </w:p>
                </w:tc>
              </w:tr>
              <w:tr w:rsidR="00830E72" w14:paraId="28A2FF9C" w14:textId="77777777">
                <w:sdt>
                  <w:sdtPr>
                    <w:tag w:val="_PLD_c7b0b124530948fbb30e06a409fd5565"/>
                    <w:id w:val="1351076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62DCAF5" w14:textId="77777777" w:rsidR="00830E72" w:rsidRDefault="008344D8">
                        <w:pPr>
                          <w:ind w:firstLineChars="100" w:firstLine="210"/>
                          <w:rPr>
                            <w:szCs w:val="21"/>
                          </w:rPr>
                        </w:pPr>
                        <w:r>
                          <w:rPr>
                            <w:rFonts w:hint="eastAsia"/>
                            <w:szCs w:val="21"/>
                          </w:rPr>
                          <w:t>存货</w:t>
                        </w:r>
                      </w:p>
                    </w:tc>
                  </w:sdtContent>
                </w:sdt>
                <w:tc>
                  <w:tcPr>
                    <w:tcW w:w="1097" w:type="pct"/>
                    <w:tcBorders>
                      <w:top w:val="outset" w:sz="4" w:space="0" w:color="auto"/>
                      <w:left w:val="outset" w:sz="4" w:space="0" w:color="auto"/>
                      <w:bottom w:val="outset" w:sz="4" w:space="0" w:color="auto"/>
                      <w:right w:val="outset" w:sz="4" w:space="0" w:color="auto"/>
                    </w:tcBorders>
                  </w:tcPr>
                  <w:p w14:paraId="05D01876" w14:textId="77777777" w:rsidR="00830E72" w:rsidRDefault="008344D8">
                    <w:pPr>
                      <w:jc w:val="right"/>
                      <w:rPr>
                        <w:szCs w:val="21"/>
                      </w:rPr>
                    </w:pPr>
                    <w:r>
                      <w:t>26,375,000.46</w:t>
                    </w:r>
                  </w:p>
                </w:tc>
                <w:tc>
                  <w:tcPr>
                    <w:tcW w:w="1018" w:type="pct"/>
                    <w:tcBorders>
                      <w:top w:val="outset" w:sz="4" w:space="0" w:color="auto"/>
                      <w:left w:val="outset" w:sz="4" w:space="0" w:color="auto"/>
                      <w:bottom w:val="outset" w:sz="4" w:space="0" w:color="auto"/>
                      <w:right w:val="outset" w:sz="4" w:space="0" w:color="auto"/>
                    </w:tcBorders>
                  </w:tcPr>
                  <w:p w14:paraId="1B471939" w14:textId="77777777" w:rsidR="00830E72" w:rsidRDefault="008344D8">
                    <w:pPr>
                      <w:jc w:val="right"/>
                      <w:rPr>
                        <w:szCs w:val="21"/>
                      </w:rPr>
                    </w:pPr>
                    <w:r>
                      <w:t>26,375,000.46</w:t>
                    </w:r>
                  </w:p>
                </w:tc>
                <w:tc>
                  <w:tcPr>
                    <w:tcW w:w="1180" w:type="pct"/>
                    <w:tcBorders>
                      <w:top w:val="outset" w:sz="4" w:space="0" w:color="auto"/>
                      <w:left w:val="outset" w:sz="4" w:space="0" w:color="auto"/>
                      <w:bottom w:val="outset" w:sz="4" w:space="0" w:color="auto"/>
                      <w:right w:val="outset" w:sz="4" w:space="0" w:color="auto"/>
                    </w:tcBorders>
                  </w:tcPr>
                  <w:p w14:paraId="119F5595" w14:textId="77777777" w:rsidR="00830E72" w:rsidRDefault="00830E72">
                    <w:pPr>
                      <w:jc w:val="right"/>
                      <w:rPr>
                        <w:szCs w:val="21"/>
                      </w:rPr>
                    </w:pPr>
                  </w:p>
                </w:tc>
              </w:tr>
              <w:tr w:rsidR="00830E72" w14:paraId="65FB5CC7" w14:textId="7777777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161e7eb66949c8ae57a598e14e7c20"/>
                      <w:id w:val="931866383"/>
                      <w:lock w:val="sdtLocked"/>
                    </w:sdtPr>
                    <w:sdtEndPr/>
                    <w:sdtContent>
                      <w:p w14:paraId="1034CC48" w14:textId="77777777" w:rsidR="00830E72" w:rsidRDefault="008344D8">
                        <w:pPr>
                          <w:ind w:firstLineChars="100" w:firstLine="210"/>
                        </w:pPr>
                        <w:r>
                          <w:rPr>
                            <w:rFonts w:hint="eastAsia"/>
                          </w:rPr>
                          <w:t>合同资产</w:t>
                        </w:r>
                      </w:p>
                    </w:sdtContent>
                  </w:sdt>
                </w:tc>
                <w:tc>
                  <w:tcPr>
                    <w:tcW w:w="1097" w:type="pct"/>
                    <w:tcBorders>
                      <w:top w:val="outset" w:sz="4" w:space="0" w:color="auto"/>
                      <w:left w:val="outset" w:sz="4" w:space="0" w:color="auto"/>
                      <w:bottom w:val="outset" w:sz="4" w:space="0" w:color="auto"/>
                      <w:right w:val="outset" w:sz="4" w:space="0" w:color="auto"/>
                    </w:tcBorders>
                  </w:tcPr>
                  <w:p w14:paraId="548D9A01" w14:textId="77777777" w:rsidR="00830E72" w:rsidRDefault="008344D8">
                    <w:pPr>
                      <w:jc w:val="right"/>
                      <w:rPr>
                        <w:szCs w:val="21"/>
                      </w:rPr>
                    </w:pPr>
                    <w:r>
                      <w:t>702,386,607.61</w:t>
                    </w:r>
                  </w:p>
                </w:tc>
                <w:tc>
                  <w:tcPr>
                    <w:tcW w:w="1018" w:type="pct"/>
                    <w:tcBorders>
                      <w:top w:val="outset" w:sz="4" w:space="0" w:color="auto"/>
                      <w:left w:val="outset" w:sz="4" w:space="0" w:color="auto"/>
                      <w:bottom w:val="outset" w:sz="4" w:space="0" w:color="auto"/>
                      <w:right w:val="outset" w:sz="4" w:space="0" w:color="auto"/>
                    </w:tcBorders>
                  </w:tcPr>
                  <w:p w14:paraId="575A0CE0" w14:textId="77777777" w:rsidR="00830E72" w:rsidRDefault="008344D8">
                    <w:pPr>
                      <w:jc w:val="right"/>
                      <w:rPr>
                        <w:szCs w:val="21"/>
                      </w:rPr>
                    </w:pPr>
                    <w:r>
                      <w:t>702,386,607.61</w:t>
                    </w:r>
                  </w:p>
                </w:tc>
                <w:tc>
                  <w:tcPr>
                    <w:tcW w:w="1180" w:type="pct"/>
                    <w:tcBorders>
                      <w:top w:val="outset" w:sz="4" w:space="0" w:color="auto"/>
                      <w:left w:val="outset" w:sz="4" w:space="0" w:color="auto"/>
                      <w:bottom w:val="outset" w:sz="4" w:space="0" w:color="auto"/>
                      <w:right w:val="outset" w:sz="4" w:space="0" w:color="auto"/>
                    </w:tcBorders>
                  </w:tcPr>
                  <w:p w14:paraId="34ACD886" w14:textId="77777777" w:rsidR="00830E72" w:rsidRDefault="00830E72">
                    <w:pPr>
                      <w:jc w:val="right"/>
                      <w:rPr>
                        <w:szCs w:val="21"/>
                      </w:rPr>
                    </w:pPr>
                  </w:p>
                </w:tc>
              </w:tr>
              <w:tr w:rsidR="00830E72" w14:paraId="0421FA31" w14:textId="77777777">
                <w:sdt>
                  <w:sdtPr>
                    <w:tag w:val="_PLD_425e5328b0a240e59b878c6d6e9636a3"/>
                    <w:id w:val="-83515200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7231ECC" w14:textId="77777777" w:rsidR="00830E72" w:rsidRDefault="008344D8">
                        <w:pPr>
                          <w:ind w:firstLineChars="100" w:firstLine="210"/>
                          <w:rPr>
                            <w:szCs w:val="21"/>
                          </w:rPr>
                        </w:pPr>
                        <w:r>
                          <w:rPr>
                            <w:rFonts w:hint="eastAsia"/>
                            <w:szCs w:val="21"/>
                          </w:rPr>
                          <w:t>持有待售资产</w:t>
                        </w:r>
                      </w:p>
                    </w:tc>
                  </w:sdtContent>
                </w:sdt>
                <w:tc>
                  <w:tcPr>
                    <w:tcW w:w="1097" w:type="pct"/>
                    <w:tcBorders>
                      <w:top w:val="outset" w:sz="4" w:space="0" w:color="auto"/>
                      <w:left w:val="outset" w:sz="4" w:space="0" w:color="auto"/>
                      <w:bottom w:val="outset" w:sz="4" w:space="0" w:color="auto"/>
                      <w:right w:val="outset" w:sz="4" w:space="0" w:color="auto"/>
                    </w:tcBorders>
                  </w:tcPr>
                  <w:p w14:paraId="19617684"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4B0C69EA"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3648062F" w14:textId="77777777" w:rsidR="00830E72" w:rsidRDefault="00830E72">
                    <w:pPr>
                      <w:jc w:val="right"/>
                      <w:rPr>
                        <w:szCs w:val="21"/>
                      </w:rPr>
                    </w:pPr>
                  </w:p>
                </w:tc>
              </w:tr>
              <w:tr w:rsidR="00830E72" w14:paraId="28051084" w14:textId="77777777">
                <w:sdt>
                  <w:sdtPr>
                    <w:tag w:val="_PLD_632efccee98548b68b34b43db7e78ee1"/>
                    <w:id w:val="-65838965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687D75C" w14:textId="77777777" w:rsidR="00830E72" w:rsidRDefault="008344D8">
                        <w:pPr>
                          <w:ind w:firstLineChars="100" w:firstLine="210"/>
                          <w:rPr>
                            <w:szCs w:val="21"/>
                          </w:rPr>
                        </w:pPr>
                        <w:r>
                          <w:rPr>
                            <w:rFonts w:hint="eastAsia"/>
                            <w:szCs w:val="21"/>
                          </w:rPr>
                          <w:t>一年内到期的非流动资产</w:t>
                        </w:r>
                      </w:p>
                    </w:tc>
                  </w:sdtContent>
                </w:sdt>
                <w:tc>
                  <w:tcPr>
                    <w:tcW w:w="1097" w:type="pct"/>
                    <w:tcBorders>
                      <w:top w:val="outset" w:sz="4" w:space="0" w:color="auto"/>
                      <w:left w:val="outset" w:sz="4" w:space="0" w:color="auto"/>
                      <w:bottom w:val="outset" w:sz="4" w:space="0" w:color="auto"/>
                      <w:right w:val="outset" w:sz="4" w:space="0" w:color="auto"/>
                    </w:tcBorders>
                  </w:tcPr>
                  <w:p w14:paraId="445DA8AE" w14:textId="77777777" w:rsidR="00830E72" w:rsidRDefault="008344D8">
                    <w:pPr>
                      <w:jc w:val="right"/>
                      <w:rPr>
                        <w:szCs w:val="21"/>
                      </w:rPr>
                    </w:pPr>
                    <w:r>
                      <w:t>17,558,672.16</w:t>
                    </w:r>
                  </w:p>
                </w:tc>
                <w:tc>
                  <w:tcPr>
                    <w:tcW w:w="1018" w:type="pct"/>
                    <w:tcBorders>
                      <w:top w:val="outset" w:sz="4" w:space="0" w:color="auto"/>
                      <w:left w:val="outset" w:sz="4" w:space="0" w:color="auto"/>
                      <w:bottom w:val="outset" w:sz="4" w:space="0" w:color="auto"/>
                      <w:right w:val="outset" w:sz="4" w:space="0" w:color="auto"/>
                    </w:tcBorders>
                  </w:tcPr>
                  <w:p w14:paraId="581D0742" w14:textId="77777777" w:rsidR="00830E72" w:rsidRDefault="008344D8">
                    <w:pPr>
                      <w:jc w:val="right"/>
                      <w:rPr>
                        <w:szCs w:val="21"/>
                      </w:rPr>
                    </w:pPr>
                    <w:r>
                      <w:t>17,558,672.16</w:t>
                    </w:r>
                  </w:p>
                </w:tc>
                <w:tc>
                  <w:tcPr>
                    <w:tcW w:w="1180" w:type="pct"/>
                    <w:tcBorders>
                      <w:top w:val="outset" w:sz="4" w:space="0" w:color="auto"/>
                      <w:left w:val="outset" w:sz="4" w:space="0" w:color="auto"/>
                      <w:bottom w:val="outset" w:sz="4" w:space="0" w:color="auto"/>
                      <w:right w:val="outset" w:sz="4" w:space="0" w:color="auto"/>
                    </w:tcBorders>
                  </w:tcPr>
                  <w:p w14:paraId="6CAC45F7" w14:textId="77777777" w:rsidR="00830E72" w:rsidRDefault="00830E72">
                    <w:pPr>
                      <w:jc w:val="right"/>
                      <w:rPr>
                        <w:szCs w:val="21"/>
                      </w:rPr>
                    </w:pPr>
                  </w:p>
                </w:tc>
              </w:tr>
              <w:tr w:rsidR="00830E72" w14:paraId="5F506EC9" w14:textId="77777777">
                <w:sdt>
                  <w:sdtPr>
                    <w:tag w:val="_PLD_1f0292fdc6a84de4bb5b1513e1206a77"/>
                    <w:id w:val="124222028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5574E20" w14:textId="77777777" w:rsidR="00830E72" w:rsidRDefault="008344D8">
                        <w:pPr>
                          <w:ind w:firstLineChars="100" w:firstLine="210"/>
                          <w:rPr>
                            <w:szCs w:val="21"/>
                          </w:rPr>
                        </w:pPr>
                        <w:r>
                          <w:rPr>
                            <w:rFonts w:hint="eastAsia"/>
                            <w:szCs w:val="21"/>
                          </w:rPr>
                          <w:t>其他流动资产</w:t>
                        </w:r>
                      </w:p>
                    </w:tc>
                  </w:sdtContent>
                </w:sdt>
                <w:tc>
                  <w:tcPr>
                    <w:tcW w:w="1097" w:type="pct"/>
                    <w:tcBorders>
                      <w:top w:val="outset" w:sz="4" w:space="0" w:color="auto"/>
                      <w:left w:val="outset" w:sz="4" w:space="0" w:color="auto"/>
                      <w:bottom w:val="outset" w:sz="4" w:space="0" w:color="auto"/>
                      <w:right w:val="outset" w:sz="4" w:space="0" w:color="auto"/>
                    </w:tcBorders>
                  </w:tcPr>
                  <w:p w14:paraId="615D07FA" w14:textId="77777777" w:rsidR="00830E72" w:rsidRDefault="008344D8">
                    <w:pPr>
                      <w:jc w:val="right"/>
                      <w:rPr>
                        <w:szCs w:val="21"/>
                      </w:rPr>
                    </w:pPr>
                    <w:r>
                      <w:t>25,175,885.68</w:t>
                    </w:r>
                  </w:p>
                </w:tc>
                <w:tc>
                  <w:tcPr>
                    <w:tcW w:w="1018" w:type="pct"/>
                    <w:tcBorders>
                      <w:top w:val="outset" w:sz="4" w:space="0" w:color="auto"/>
                      <w:left w:val="outset" w:sz="4" w:space="0" w:color="auto"/>
                      <w:bottom w:val="outset" w:sz="4" w:space="0" w:color="auto"/>
                      <w:right w:val="outset" w:sz="4" w:space="0" w:color="auto"/>
                    </w:tcBorders>
                  </w:tcPr>
                  <w:p w14:paraId="4907E04E" w14:textId="77777777" w:rsidR="00830E72" w:rsidRDefault="008344D8">
                    <w:pPr>
                      <w:jc w:val="right"/>
                      <w:rPr>
                        <w:szCs w:val="21"/>
                      </w:rPr>
                    </w:pPr>
                    <w:r>
                      <w:t>25,175,885.68</w:t>
                    </w:r>
                  </w:p>
                </w:tc>
                <w:tc>
                  <w:tcPr>
                    <w:tcW w:w="1180" w:type="pct"/>
                    <w:tcBorders>
                      <w:top w:val="outset" w:sz="4" w:space="0" w:color="auto"/>
                      <w:left w:val="outset" w:sz="4" w:space="0" w:color="auto"/>
                      <w:bottom w:val="outset" w:sz="4" w:space="0" w:color="auto"/>
                      <w:right w:val="outset" w:sz="4" w:space="0" w:color="auto"/>
                    </w:tcBorders>
                  </w:tcPr>
                  <w:p w14:paraId="4E34EC0C" w14:textId="77777777" w:rsidR="00830E72" w:rsidRDefault="00830E72">
                    <w:pPr>
                      <w:jc w:val="right"/>
                      <w:rPr>
                        <w:szCs w:val="21"/>
                      </w:rPr>
                    </w:pPr>
                  </w:p>
                </w:tc>
              </w:tr>
              <w:tr w:rsidR="00830E72" w14:paraId="57AA3A93" w14:textId="77777777">
                <w:sdt>
                  <w:sdtPr>
                    <w:tag w:val="_PLD_18bb3148590e45af9975783b03139934"/>
                    <w:id w:val="-194638096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BB6FA79" w14:textId="77777777" w:rsidR="00830E72" w:rsidRDefault="008344D8">
                        <w:pPr>
                          <w:ind w:firstLineChars="200" w:firstLine="420"/>
                          <w:rPr>
                            <w:szCs w:val="21"/>
                          </w:rPr>
                        </w:pPr>
                        <w:r>
                          <w:rPr>
                            <w:rFonts w:hint="eastAsia"/>
                            <w:szCs w:val="21"/>
                          </w:rPr>
                          <w:t>流动资产合计</w:t>
                        </w:r>
                      </w:p>
                    </w:tc>
                  </w:sdtContent>
                </w:sdt>
                <w:tc>
                  <w:tcPr>
                    <w:tcW w:w="1097" w:type="pct"/>
                    <w:tcBorders>
                      <w:top w:val="outset" w:sz="4" w:space="0" w:color="auto"/>
                      <w:left w:val="outset" w:sz="4" w:space="0" w:color="auto"/>
                      <w:bottom w:val="outset" w:sz="4" w:space="0" w:color="auto"/>
                      <w:right w:val="outset" w:sz="4" w:space="0" w:color="auto"/>
                    </w:tcBorders>
                  </w:tcPr>
                  <w:p w14:paraId="25B3CB8D" w14:textId="77777777" w:rsidR="00830E72" w:rsidRDefault="008344D8">
                    <w:pPr>
                      <w:jc w:val="right"/>
                      <w:rPr>
                        <w:szCs w:val="21"/>
                      </w:rPr>
                    </w:pPr>
                    <w:r>
                      <w:t>3,899,405,531.10</w:t>
                    </w:r>
                  </w:p>
                </w:tc>
                <w:tc>
                  <w:tcPr>
                    <w:tcW w:w="1018" w:type="pct"/>
                    <w:tcBorders>
                      <w:top w:val="outset" w:sz="4" w:space="0" w:color="auto"/>
                      <w:left w:val="outset" w:sz="4" w:space="0" w:color="auto"/>
                      <w:bottom w:val="outset" w:sz="4" w:space="0" w:color="auto"/>
                      <w:right w:val="outset" w:sz="4" w:space="0" w:color="auto"/>
                    </w:tcBorders>
                  </w:tcPr>
                  <w:p w14:paraId="7D94A0A8" w14:textId="77777777" w:rsidR="00830E72" w:rsidRDefault="008344D8">
                    <w:pPr>
                      <w:jc w:val="right"/>
                      <w:rPr>
                        <w:szCs w:val="21"/>
                      </w:rPr>
                    </w:pPr>
                    <w:r>
                      <w:t>3,899,405,531.10</w:t>
                    </w:r>
                  </w:p>
                </w:tc>
                <w:tc>
                  <w:tcPr>
                    <w:tcW w:w="1180" w:type="pct"/>
                    <w:tcBorders>
                      <w:top w:val="outset" w:sz="4" w:space="0" w:color="auto"/>
                      <w:left w:val="outset" w:sz="4" w:space="0" w:color="auto"/>
                      <w:bottom w:val="outset" w:sz="4" w:space="0" w:color="auto"/>
                      <w:right w:val="outset" w:sz="4" w:space="0" w:color="auto"/>
                    </w:tcBorders>
                  </w:tcPr>
                  <w:p w14:paraId="49E45553" w14:textId="77777777" w:rsidR="00830E72" w:rsidRDefault="00830E72">
                    <w:pPr>
                      <w:jc w:val="right"/>
                      <w:rPr>
                        <w:szCs w:val="21"/>
                      </w:rPr>
                    </w:pPr>
                  </w:p>
                </w:tc>
              </w:tr>
              <w:tr w:rsidR="00830E72" w14:paraId="6EE5DD8F" w14:textId="77777777">
                <w:sdt>
                  <w:sdtPr>
                    <w:tag w:val="_PLD_32045b1e965f45488a253d2d0cb1dd0d"/>
                    <w:id w:val="-39667188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896090C" w14:textId="77777777" w:rsidR="00830E72" w:rsidRDefault="008344D8">
                        <w:pPr>
                          <w:rPr>
                            <w:color w:val="008000"/>
                            <w:szCs w:val="21"/>
                          </w:rPr>
                        </w:pPr>
                        <w:r>
                          <w:rPr>
                            <w:rFonts w:hint="eastAsia"/>
                            <w:b/>
                            <w:bCs/>
                            <w:szCs w:val="21"/>
                          </w:rPr>
                          <w:t>非流动资产：</w:t>
                        </w:r>
                      </w:p>
                    </w:tc>
                  </w:sdtContent>
                </w:sdt>
              </w:tr>
              <w:tr w:rsidR="00830E72" w14:paraId="37E69640" w14:textId="7777777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bd781a1b9664fec8afde1775d5cd963"/>
                      <w:id w:val="-1856567660"/>
                      <w:lock w:val="sdtLocked"/>
                    </w:sdtPr>
                    <w:sdtEndPr/>
                    <w:sdtContent>
                      <w:p w14:paraId="0371ACBE" w14:textId="77777777" w:rsidR="00830E72" w:rsidRDefault="008344D8">
                        <w:pPr>
                          <w:ind w:firstLineChars="100" w:firstLine="210"/>
                        </w:pPr>
                        <w:r>
                          <w:rPr>
                            <w:rFonts w:hint="eastAsia"/>
                          </w:rPr>
                          <w:t>债权投资</w:t>
                        </w:r>
                      </w:p>
                    </w:sdtContent>
                  </w:sdt>
                </w:tc>
                <w:tc>
                  <w:tcPr>
                    <w:tcW w:w="1097" w:type="pct"/>
                    <w:tcBorders>
                      <w:top w:val="outset" w:sz="4" w:space="0" w:color="auto"/>
                      <w:left w:val="outset" w:sz="4" w:space="0" w:color="auto"/>
                      <w:bottom w:val="outset" w:sz="4" w:space="0" w:color="auto"/>
                      <w:right w:val="outset" w:sz="4" w:space="0" w:color="auto"/>
                    </w:tcBorders>
                  </w:tcPr>
                  <w:p w14:paraId="3AFC96D1"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0732A6B2"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3D31BB2E" w14:textId="77777777" w:rsidR="00830E72" w:rsidRDefault="00830E72">
                    <w:pPr>
                      <w:jc w:val="right"/>
                      <w:rPr>
                        <w:szCs w:val="21"/>
                      </w:rPr>
                    </w:pPr>
                  </w:p>
                </w:tc>
              </w:tr>
              <w:tr w:rsidR="00830E72" w14:paraId="53F8E4A3" w14:textId="7777777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2f6e093da4342b6984f0c97e8feb021"/>
                      <w:id w:val="-1125615379"/>
                      <w:lock w:val="sdtLocked"/>
                    </w:sdtPr>
                    <w:sdtEndPr/>
                    <w:sdtContent>
                      <w:p w14:paraId="241ED41E" w14:textId="77777777" w:rsidR="00830E72" w:rsidRDefault="008344D8">
                        <w:pPr>
                          <w:ind w:firstLineChars="100" w:firstLine="210"/>
                        </w:pPr>
                        <w:r>
                          <w:rPr>
                            <w:rFonts w:hint="eastAsia"/>
                          </w:rPr>
                          <w:t>其他债权投资</w:t>
                        </w:r>
                      </w:p>
                    </w:sdtContent>
                  </w:sdt>
                </w:tc>
                <w:tc>
                  <w:tcPr>
                    <w:tcW w:w="1097" w:type="pct"/>
                    <w:tcBorders>
                      <w:top w:val="outset" w:sz="4" w:space="0" w:color="auto"/>
                      <w:left w:val="outset" w:sz="4" w:space="0" w:color="auto"/>
                      <w:bottom w:val="outset" w:sz="4" w:space="0" w:color="auto"/>
                      <w:right w:val="outset" w:sz="4" w:space="0" w:color="auto"/>
                    </w:tcBorders>
                  </w:tcPr>
                  <w:p w14:paraId="4DBC4596"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4AC6584B"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3636160E" w14:textId="77777777" w:rsidR="00830E72" w:rsidRDefault="00830E72">
                    <w:pPr>
                      <w:jc w:val="right"/>
                      <w:rPr>
                        <w:szCs w:val="21"/>
                      </w:rPr>
                    </w:pPr>
                  </w:p>
                </w:tc>
              </w:tr>
              <w:tr w:rsidR="00830E72" w14:paraId="78542FC1" w14:textId="77777777">
                <w:sdt>
                  <w:sdtPr>
                    <w:tag w:val="_PLD_b5e78a65ad3e4a80bf6991e93db7bf56"/>
                    <w:id w:val="108673219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E681AFB" w14:textId="77777777" w:rsidR="00830E72" w:rsidRDefault="008344D8">
                        <w:pPr>
                          <w:ind w:firstLineChars="100" w:firstLine="210"/>
                          <w:rPr>
                            <w:szCs w:val="21"/>
                          </w:rPr>
                        </w:pPr>
                        <w:r>
                          <w:rPr>
                            <w:rFonts w:hint="eastAsia"/>
                            <w:szCs w:val="21"/>
                          </w:rPr>
                          <w:t>长期应收款</w:t>
                        </w:r>
                      </w:p>
                    </w:tc>
                  </w:sdtContent>
                </w:sdt>
                <w:tc>
                  <w:tcPr>
                    <w:tcW w:w="1097" w:type="pct"/>
                    <w:tcBorders>
                      <w:top w:val="outset" w:sz="4" w:space="0" w:color="auto"/>
                      <w:left w:val="outset" w:sz="4" w:space="0" w:color="auto"/>
                      <w:bottom w:val="outset" w:sz="4" w:space="0" w:color="auto"/>
                      <w:right w:val="outset" w:sz="4" w:space="0" w:color="auto"/>
                    </w:tcBorders>
                  </w:tcPr>
                  <w:p w14:paraId="4ADFD9E3" w14:textId="77777777" w:rsidR="00830E72" w:rsidRDefault="008344D8">
                    <w:pPr>
                      <w:jc w:val="right"/>
                      <w:rPr>
                        <w:szCs w:val="21"/>
                      </w:rPr>
                    </w:pPr>
                    <w:r>
                      <w:t>50,087,856.34</w:t>
                    </w:r>
                  </w:p>
                </w:tc>
                <w:tc>
                  <w:tcPr>
                    <w:tcW w:w="1018" w:type="pct"/>
                    <w:tcBorders>
                      <w:top w:val="outset" w:sz="4" w:space="0" w:color="auto"/>
                      <w:left w:val="outset" w:sz="4" w:space="0" w:color="auto"/>
                      <w:bottom w:val="outset" w:sz="4" w:space="0" w:color="auto"/>
                      <w:right w:val="outset" w:sz="4" w:space="0" w:color="auto"/>
                    </w:tcBorders>
                  </w:tcPr>
                  <w:p w14:paraId="08B6B6FB" w14:textId="77777777" w:rsidR="00830E72" w:rsidRDefault="008344D8">
                    <w:pPr>
                      <w:jc w:val="right"/>
                      <w:rPr>
                        <w:szCs w:val="21"/>
                      </w:rPr>
                    </w:pPr>
                    <w:r>
                      <w:t>50,087,856.34</w:t>
                    </w:r>
                  </w:p>
                </w:tc>
                <w:tc>
                  <w:tcPr>
                    <w:tcW w:w="1180" w:type="pct"/>
                    <w:tcBorders>
                      <w:top w:val="outset" w:sz="4" w:space="0" w:color="auto"/>
                      <w:left w:val="outset" w:sz="4" w:space="0" w:color="auto"/>
                      <w:bottom w:val="outset" w:sz="4" w:space="0" w:color="auto"/>
                      <w:right w:val="outset" w:sz="4" w:space="0" w:color="auto"/>
                    </w:tcBorders>
                  </w:tcPr>
                  <w:p w14:paraId="649662AB" w14:textId="77777777" w:rsidR="00830E72" w:rsidRDefault="00830E72">
                    <w:pPr>
                      <w:jc w:val="right"/>
                      <w:rPr>
                        <w:szCs w:val="21"/>
                      </w:rPr>
                    </w:pPr>
                  </w:p>
                </w:tc>
              </w:tr>
              <w:tr w:rsidR="00830E72" w14:paraId="788E5E3C" w14:textId="77777777">
                <w:sdt>
                  <w:sdtPr>
                    <w:tag w:val="_PLD_977fb30cb6c9428e94fad6ae22cf3201"/>
                    <w:id w:val="74515265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0B9060F" w14:textId="77777777" w:rsidR="00830E72" w:rsidRDefault="008344D8">
                        <w:pPr>
                          <w:ind w:firstLineChars="100" w:firstLine="210"/>
                          <w:rPr>
                            <w:szCs w:val="21"/>
                          </w:rPr>
                        </w:pPr>
                        <w:r>
                          <w:rPr>
                            <w:rFonts w:hint="eastAsia"/>
                            <w:szCs w:val="21"/>
                          </w:rPr>
                          <w:t>长期股权投资</w:t>
                        </w:r>
                      </w:p>
                    </w:tc>
                  </w:sdtContent>
                </w:sdt>
                <w:tc>
                  <w:tcPr>
                    <w:tcW w:w="1097" w:type="pct"/>
                    <w:tcBorders>
                      <w:top w:val="outset" w:sz="4" w:space="0" w:color="auto"/>
                      <w:left w:val="outset" w:sz="4" w:space="0" w:color="auto"/>
                      <w:bottom w:val="outset" w:sz="4" w:space="0" w:color="auto"/>
                      <w:right w:val="outset" w:sz="4" w:space="0" w:color="auto"/>
                    </w:tcBorders>
                  </w:tcPr>
                  <w:p w14:paraId="652A4C88" w14:textId="77777777" w:rsidR="00830E72" w:rsidRDefault="008344D8">
                    <w:pPr>
                      <w:jc w:val="right"/>
                      <w:rPr>
                        <w:szCs w:val="21"/>
                      </w:rPr>
                    </w:pPr>
                    <w:r>
                      <w:t>249,348,399.17</w:t>
                    </w:r>
                  </w:p>
                </w:tc>
                <w:tc>
                  <w:tcPr>
                    <w:tcW w:w="1018" w:type="pct"/>
                    <w:tcBorders>
                      <w:top w:val="outset" w:sz="4" w:space="0" w:color="auto"/>
                      <w:left w:val="outset" w:sz="4" w:space="0" w:color="auto"/>
                      <w:bottom w:val="outset" w:sz="4" w:space="0" w:color="auto"/>
                      <w:right w:val="outset" w:sz="4" w:space="0" w:color="auto"/>
                    </w:tcBorders>
                  </w:tcPr>
                  <w:p w14:paraId="22C6EA81" w14:textId="77777777" w:rsidR="00830E72" w:rsidRDefault="008344D8">
                    <w:pPr>
                      <w:jc w:val="right"/>
                      <w:rPr>
                        <w:szCs w:val="21"/>
                      </w:rPr>
                    </w:pPr>
                    <w:r>
                      <w:t>249,348,399.17</w:t>
                    </w:r>
                  </w:p>
                </w:tc>
                <w:tc>
                  <w:tcPr>
                    <w:tcW w:w="1180" w:type="pct"/>
                    <w:tcBorders>
                      <w:top w:val="outset" w:sz="4" w:space="0" w:color="auto"/>
                      <w:left w:val="outset" w:sz="4" w:space="0" w:color="auto"/>
                      <w:bottom w:val="outset" w:sz="4" w:space="0" w:color="auto"/>
                      <w:right w:val="outset" w:sz="4" w:space="0" w:color="auto"/>
                    </w:tcBorders>
                  </w:tcPr>
                  <w:p w14:paraId="441F1C52" w14:textId="77777777" w:rsidR="00830E72" w:rsidRDefault="00830E72">
                    <w:pPr>
                      <w:jc w:val="right"/>
                      <w:rPr>
                        <w:szCs w:val="21"/>
                      </w:rPr>
                    </w:pPr>
                  </w:p>
                </w:tc>
              </w:tr>
              <w:tr w:rsidR="00830E72" w14:paraId="25353004" w14:textId="7777777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fa4799edfb2488aa60a2aa44ca44c75"/>
                      <w:id w:val="-1103572135"/>
                      <w:lock w:val="sdtLocked"/>
                    </w:sdtPr>
                    <w:sdtEndPr/>
                    <w:sdtContent>
                      <w:p w14:paraId="08C22BF2" w14:textId="77777777" w:rsidR="00830E72" w:rsidRDefault="008344D8">
                        <w:pPr>
                          <w:ind w:firstLineChars="100" w:firstLine="210"/>
                        </w:pPr>
                        <w:r>
                          <w:rPr>
                            <w:rFonts w:hint="eastAsia"/>
                          </w:rPr>
                          <w:t>其他权益工具投资</w:t>
                        </w:r>
                      </w:p>
                    </w:sdtContent>
                  </w:sdt>
                </w:tc>
                <w:tc>
                  <w:tcPr>
                    <w:tcW w:w="1097" w:type="pct"/>
                    <w:tcBorders>
                      <w:top w:val="outset" w:sz="4" w:space="0" w:color="auto"/>
                      <w:left w:val="outset" w:sz="4" w:space="0" w:color="auto"/>
                      <w:bottom w:val="outset" w:sz="4" w:space="0" w:color="auto"/>
                      <w:right w:val="outset" w:sz="4" w:space="0" w:color="auto"/>
                    </w:tcBorders>
                  </w:tcPr>
                  <w:p w14:paraId="1C1C980A"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10018928"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25F78EFC" w14:textId="77777777" w:rsidR="00830E72" w:rsidRDefault="00830E72">
                    <w:pPr>
                      <w:jc w:val="right"/>
                      <w:rPr>
                        <w:szCs w:val="21"/>
                      </w:rPr>
                    </w:pPr>
                  </w:p>
                </w:tc>
              </w:tr>
              <w:tr w:rsidR="00830E72" w14:paraId="37A978DE" w14:textId="7777777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61844f1a7304fd6b2a6710353978835"/>
                      <w:id w:val="179169608"/>
                      <w:lock w:val="sdtLocked"/>
                    </w:sdtPr>
                    <w:sdtEndPr/>
                    <w:sdtContent>
                      <w:p w14:paraId="047FD476" w14:textId="77777777" w:rsidR="00830E72" w:rsidRDefault="008344D8">
                        <w:pPr>
                          <w:ind w:firstLineChars="100" w:firstLine="210"/>
                        </w:pPr>
                        <w:r>
                          <w:rPr>
                            <w:rFonts w:hint="eastAsia"/>
                          </w:rPr>
                          <w:t>其他非流动金融资产</w:t>
                        </w:r>
                      </w:p>
                    </w:sdtContent>
                  </w:sdt>
                </w:tc>
                <w:tc>
                  <w:tcPr>
                    <w:tcW w:w="1097" w:type="pct"/>
                    <w:tcBorders>
                      <w:top w:val="outset" w:sz="4" w:space="0" w:color="auto"/>
                      <w:left w:val="outset" w:sz="4" w:space="0" w:color="auto"/>
                      <w:bottom w:val="outset" w:sz="4" w:space="0" w:color="auto"/>
                      <w:right w:val="outset" w:sz="4" w:space="0" w:color="auto"/>
                    </w:tcBorders>
                  </w:tcPr>
                  <w:p w14:paraId="37065F86" w14:textId="77777777" w:rsidR="00830E72" w:rsidRDefault="008344D8">
                    <w:pPr>
                      <w:jc w:val="right"/>
                      <w:rPr>
                        <w:szCs w:val="21"/>
                      </w:rPr>
                    </w:pPr>
                    <w:r>
                      <w:t>75,453,157.25</w:t>
                    </w:r>
                  </w:p>
                </w:tc>
                <w:tc>
                  <w:tcPr>
                    <w:tcW w:w="1018" w:type="pct"/>
                    <w:tcBorders>
                      <w:top w:val="outset" w:sz="4" w:space="0" w:color="auto"/>
                      <w:left w:val="outset" w:sz="4" w:space="0" w:color="auto"/>
                      <w:bottom w:val="outset" w:sz="4" w:space="0" w:color="auto"/>
                      <w:right w:val="outset" w:sz="4" w:space="0" w:color="auto"/>
                    </w:tcBorders>
                  </w:tcPr>
                  <w:p w14:paraId="0A8B7B6A" w14:textId="77777777" w:rsidR="00830E72" w:rsidRDefault="008344D8">
                    <w:pPr>
                      <w:jc w:val="right"/>
                      <w:rPr>
                        <w:szCs w:val="21"/>
                      </w:rPr>
                    </w:pPr>
                    <w:r>
                      <w:t>75,453,157.25</w:t>
                    </w:r>
                  </w:p>
                </w:tc>
                <w:tc>
                  <w:tcPr>
                    <w:tcW w:w="1180" w:type="pct"/>
                    <w:tcBorders>
                      <w:top w:val="outset" w:sz="4" w:space="0" w:color="auto"/>
                      <w:left w:val="outset" w:sz="4" w:space="0" w:color="auto"/>
                      <w:bottom w:val="outset" w:sz="4" w:space="0" w:color="auto"/>
                      <w:right w:val="outset" w:sz="4" w:space="0" w:color="auto"/>
                    </w:tcBorders>
                  </w:tcPr>
                  <w:p w14:paraId="240A3BEB" w14:textId="77777777" w:rsidR="00830E72" w:rsidRDefault="00830E72">
                    <w:pPr>
                      <w:jc w:val="right"/>
                      <w:rPr>
                        <w:szCs w:val="21"/>
                      </w:rPr>
                    </w:pPr>
                  </w:p>
                </w:tc>
              </w:tr>
              <w:tr w:rsidR="00830E72" w14:paraId="71441C0E" w14:textId="77777777">
                <w:sdt>
                  <w:sdtPr>
                    <w:tag w:val="_PLD_923eb7718b5b46499e26c674a192c4ff"/>
                    <w:id w:val="40196107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B8EB5F6" w14:textId="77777777" w:rsidR="00830E72" w:rsidRDefault="008344D8">
                        <w:pPr>
                          <w:ind w:firstLineChars="100" w:firstLine="210"/>
                          <w:rPr>
                            <w:szCs w:val="21"/>
                          </w:rPr>
                        </w:pPr>
                        <w:r>
                          <w:rPr>
                            <w:rFonts w:hint="eastAsia"/>
                            <w:szCs w:val="21"/>
                          </w:rPr>
                          <w:t>投资性房地产</w:t>
                        </w:r>
                      </w:p>
                    </w:tc>
                  </w:sdtContent>
                </w:sdt>
                <w:tc>
                  <w:tcPr>
                    <w:tcW w:w="1097" w:type="pct"/>
                    <w:tcBorders>
                      <w:top w:val="outset" w:sz="4" w:space="0" w:color="auto"/>
                      <w:left w:val="outset" w:sz="4" w:space="0" w:color="auto"/>
                      <w:bottom w:val="outset" w:sz="4" w:space="0" w:color="auto"/>
                      <w:right w:val="outset" w:sz="4" w:space="0" w:color="auto"/>
                    </w:tcBorders>
                  </w:tcPr>
                  <w:p w14:paraId="2CE78BFD" w14:textId="77777777" w:rsidR="00830E72" w:rsidRDefault="008344D8">
                    <w:pPr>
                      <w:jc w:val="right"/>
                      <w:rPr>
                        <w:szCs w:val="21"/>
                      </w:rPr>
                    </w:pPr>
                    <w:r>
                      <w:t>97,634,438.66</w:t>
                    </w:r>
                  </w:p>
                </w:tc>
                <w:tc>
                  <w:tcPr>
                    <w:tcW w:w="1018" w:type="pct"/>
                    <w:tcBorders>
                      <w:top w:val="outset" w:sz="4" w:space="0" w:color="auto"/>
                      <w:left w:val="outset" w:sz="4" w:space="0" w:color="auto"/>
                      <w:bottom w:val="outset" w:sz="4" w:space="0" w:color="auto"/>
                      <w:right w:val="outset" w:sz="4" w:space="0" w:color="auto"/>
                    </w:tcBorders>
                  </w:tcPr>
                  <w:p w14:paraId="49F238DC" w14:textId="77777777" w:rsidR="00830E72" w:rsidRDefault="008344D8">
                    <w:pPr>
                      <w:jc w:val="right"/>
                      <w:rPr>
                        <w:szCs w:val="21"/>
                      </w:rPr>
                    </w:pPr>
                    <w:r>
                      <w:t>97,634,438.66</w:t>
                    </w:r>
                  </w:p>
                </w:tc>
                <w:tc>
                  <w:tcPr>
                    <w:tcW w:w="1180" w:type="pct"/>
                    <w:tcBorders>
                      <w:top w:val="outset" w:sz="4" w:space="0" w:color="auto"/>
                      <w:left w:val="outset" w:sz="4" w:space="0" w:color="auto"/>
                      <w:bottom w:val="outset" w:sz="4" w:space="0" w:color="auto"/>
                      <w:right w:val="outset" w:sz="4" w:space="0" w:color="auto"/>
                    </w:tcBorders>
                  </w:tcPr>
                  <w:p w14:paraId="6C7C227E" w14:textId="77777777" w:rsidR="00830E72" w:rsidRDefault="00830E72">
                    <w:pPr>
                      <w:jc w:val="right"/>
                      <w:rPr>
                        <w:szCs w:val="21"/>
                      </w:rPr>
                    </w:pPr>
                  </w:p>
                </w:tc>
              </w:tr>
              <w:tr w:rsidR="00830E72" w14:paraId="2340E4F4" w14:textId="77777777">
                <w:sdt>
                  <w:sdtPr>
                    <w:tag w:val="_PLD_f782e0f6f8eb4d55b6200e2b80225924"/>
                    <w:id w:val="211084208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CF52EA9" w14:textId="77777777" w:rsidR="00830E72" w:rsidRDefault="008344D8">
                        <w:pPr>
                          <w:ind w:firstLineChars="100" w:firstLine="210"/>
                          <w:rPr>
                            <w:szCs w:val="21"/>
                          </w:rPr>
                        </w:pPr>
                        <w:r>
                          <w:rPr>
                            <w:rFonts w:hint="eastAsia"/>
                            <w:szCs w:val="21"/>
                          </w:rPr>
                          <w:t>固定资产</w:t>
                        </w:r>
                      </w:p>
                    </w:tc>
                  </w:sdtContent>
                </w:sdt>
                <w:tc>
                  <w:tcPr>
                    <w:tcW w:w="1097" w:type="pct"/>
                    <w:tcBorders>
                      <w:top w:val="outset" w:sz="4" w:space="0" w:color="auto"/>
                      <w:left w:val="outset" w:sz="4" w:space="0" w:color="auto"/>
                      <w:bottom w:val="outset" w:sz="4" w:space="0" w:color="auto"/>
                      <w:right w:val="outset" w:sz="4" w:space="0" w:color="auto"/>
                    </w:tcBorders>
                  </w:tcPr>
                  <w:p w14:paraId="450BE0B0" w14:textId="77777777" w:rsidR="00830E72" w:rsidRDefault="008344D8">
                    <w:pPr>
                      <w:jc w:val="right"/>
                      <w:rPr>
                        <w:szCs w:val="21"/>
                      </w:rPr>
                    </w:pPr>
                    <w:r>
                      <w:t>33,994,656.25</w:t>
                    </w:r>
                  </w:p>
                </w:tc>
                <w:tc>
                  <w:tcPr>
                    <w:tcW w:w="1018" w:type="pct"/>
                    <w:tcBorders>
                      <w:top w:val="outset" w:sz="4" w:space="0" w:color="auto"/>
                      <w:left w:val="outset" w:sz="4" w:space="0" w:color="auto"/>
                      <w:bottom w:val="outset" w:sz="4" w:space="0" w:color="auto"/>
                      <w:right w:val="outset" w:sz="4" w:space="0" w:color="auto"/>
                    </w:tcBorders>
                  </w:tcPr>
                  <w:p w14:paraId="73B78ADD" w14:textId="77777777" w:rsidR="00830E72" w:rsidRDefault="008344D8">
                    <w:pPr>
                      <w:jc w:val="right"/>
                      <w:rPr>
                        <w:szCs w:val="21"/>
                      </w:rPr>
                    </w:pPr>
                    <w:r>
                      <w:t>33,994,656.25</w:t>
                    </w:r>
                  </w:p>
                </w:tc>
                <w:tc>
                  <w:tcPr>
                    <w:tcW w:w="1180" w:type="pct"/>
                    <w:tcBorders>
                      <w:top w:val="outset" w:sz="4" w:space="0" w:color="auto"/>
                      <w:left w:val="outset" w:sz="4" w:space="0" w:color="auto"/>
                      <w:bottom w:val="outset" w:sz="4" w:space="0" w:color="auto"/>
                      <w:right w:val="outset" w:sz="4" w:space="0" w:color="auto"/>
                    </w:tcBorders>
                  </w:tcPr>
                  <w:p w14:paraId="635732B3" w14:textId="77777777" w:rsidR="00830E72" w:rsidRDefault="00830E72">
                    <w:pPr>
                      <w:jc w:val="right"/>
                      <w:rPr>
                        <w:szCs w:val="21"/>
                      </w:rPr>
                    </w:pPr>
                  </w:p>
                </w:tc>
              </w:tr>
              <w:tr w:rsidR="00830E72" w14:paraId="322B0AF1" w14:textId="77777777">
                <w:sdt>
                  <w:sdtPr>
                    <w:tag w:val="_PLD_9888fe85522948d98e1ac835c1f1dd6c"/>
                    <w:id w:val="-6826824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B9C3C03" w14:textId="77777777" w:rsidR="00830E72" w:rsidRDefault="008344D8">
                        <w:pPr>
                          <w:ind w:firstLineChars="100" w:firstLine="210"/>
                          <w:rPr>
                            <w:szCs w:val="21"/>
                          </w:rPr>
                        </w:pPr>
                        <w:r>
                          <w:rPr>
                            <w:rFonts w:hint="eastAsia"/>
                            <w:szCs w:val="21"/>
                          </w:rPr>
                          <w:t>在建工程</w:t>
                        </w:r>
                      </w:p>
                    </w:tc>
                  </w:sdtContent>
                </w:sdt>
                <w:tc>
                  <w:tcPr>
                    <w:tcW w:w="1097" w:type="pct"/>
                    <w:tcBorders>
                      <w:top w:val="outset" w:sz="4" w:space="0" w:color="auto"/>
                      <w:left w:val="outset" w:sz="4" w:space="0" w:color="auto"/>
                      <w:bottom w:val="outset" w:sz="4" w:space="0" w:color="auto"/>
                      <w:right w:val="outset" w:sz="4" w:space="0" w:color="auto"/>
                    </w:tcBorders>
                  </w:tcPr>
                  <w:p w14:paraId="03B6EAA1"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1B53C40F"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7795354F" w14:textId="77777777" w:rsidR="00830E72" w:rsidRDefault="00830E72">
                    <w:pPr>
                      <w:jc w:val="right"/>
                      <w:rPr>
                        <w:szCs w:val="21"/>
                      </w:rPr>
                    </w:pPr>
                  </w:p>
                </w:tc>
              </w:tr>
              <w:tr w:rsidR="00830E72" w14:paraId="7AF731C8" w14:textId="77777777">
                <w:sdt>
                  <w:sdtPr>
                    <w:tag w:val="_PLD_94a792f6bcab460c9b29439620066ee2"/>
                    <w:id w:val="-60843829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84F811D" w14:textId="77777777" w:rsidR="00830E72" w:rsidRDefault="008344D8">
                        <w:pPr>
                          <w:ind w:firstLineChars="100" w:firstLine="210"/>
                          <w:rPr>
                            <w:szCs w:val="21"/>
                          </w:rPr>
                        </w:pPr>
                        <w:r>
                          <w:rPr>
                            <w:rFonts w:hint="eastAsia"/>
                            <w:szCs w:val="21"/>
                          </w:rPr>
                          <w:t>生产性生物资产</w:t>
                        </w:r>
                      </w:p>
                    </w:tc>
                  </w:sdtContent>
                </w:sdt>
                <w:tc>
                  <w:tcPr>
                    <w:tcW w:w="1097" w:type="pct"/>
                    <w:tcBorders>
                      <w:top w:val="outset" w:sz="4" w:space="0" w:color="auto"/>
                      <w:left w:val="outset" w:sz="4" w:space="0" w:color="auto"/>
                      <w:bottom w:val="outset" w:sz="4" w:space="0" w:color="auto"/>
                      <w:right w:val="outset" w:sz="4" w:space="0" w:color="auto"/>
                    </w:tcBorders>
                  </w:tcPr>
                  <w:p w14:paraId="5D190CE6"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2510CBD1"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1067D8DC" w14:textId="77777777" w:rsidR="00830E72" w:rsidRDefault="00830E72">
                    <w:pPr>
                      <w:jc w:val="right"/>
                      <w:rPr>
                        <w:szCs w:val="21"/>
                      </w:rPr>
                    </w:pPr>
                  </w:p>
                </w:tc>
              </w:tr>
              <w:tr w:rsidR="00830E72" w14:paraId="690EBAA3" w14:textId="77777777">
                <w:sdt>
                  <w:sdtPr>
                    <w:tag w:val="_PLD_ac72a00d096e4d379112e9698d90becc"/>
                    <w:id w:val="-48131130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83DB8E5" w14:textId="77777777" w:rsidR="00830E72" w:rsidRDefault="008344D8">
                        <w:pPr>
                          <w:ind w:firstLineChars="100" w:firstLine="210"/>
                          <w:rPr>
                            <w:szCs w:val="21"/>
                          </w:rPr>
                        </w:pPr>
                        <w:r>
                          <w:rPr>
                            <w:rFonts w:hint="eastAsia"/>
                            <w:szCs w:val="21"/>
                          </w:rPr>
                          <w:t>油气资产</w:t>
                        </w:r>
                      </w:p>
                    </w:tc>
                  </w:sdtContent>
                </w:sdt>
                <w:tc>
                  <w:tcPr>
                    <w:tcW w:w="1097" w:type="pct"/>
                    <w:tcBorders>
                      <w:top w:val="outset" w:sz="4" w:space="0" w:color="auto"/>
                      <w:left w:val="outset" w:sz="4" w:space="0" w:color="auto"/>
                      <w:bottom w:val="outset" w:sz="4" w:space="0" w:color="auto"/>
                      <w:right w:val="outset" w:sz="4" w:space="0" w:color="auto"/>
                    </w:tcBorders>
                  </w:tcPr>
                  <w:p w14:paraId="72EB111D"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3EFC8357"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7847798B" w14:textId="77777777" w:rsidR="00830E72" w:rsidRDefault="00830E72">
                    <w:pPr>
                      <w:jc w:val="right"/>
                      <w:rPr>
                        <w:szCs w:val="21"/>
                      </w:rPr>
                    </w:pPr>
                  </w:p>
                </w:tc>
              </w:tr>
              <w:tr w:rsidR="00830E72" w14:paraId="185A1E0C" w14:textId="7777777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52b828b5bb84ee7a90fc8e5ec358171"/>
                      <w:id w:val="1579096537"/>
                      <w:lock w:val="sdtLocked"/>
                    </w:sdtPr>
                    <w:sdtEndPr/>
                    <w:sdtContent>
                      <w:p w14:paraId="751AE3D7" w14:textId="77777777" w:rsidR="00830E72" w:rsidRDefault="008344D8">
                        <w:pPr>
                          <w:ind w:firstLineChars="100" w:firstLine="210"/>
                        </w:pPr>
                        <w:r>
                          <w:rPr>
                            <w:rFonts w:hint="eastAsia"/>
                          </w:rPr>
                          <w:t>使用权资产</w:t>
                        </w:r>
                      </w:p>
                    </w:sdtContent>
                  </w:sdt>
                </w:tc>
                <w:tc>
                  <w:tcPr>
                    <w:tcW w:w="1097" w:type="pct"/>
                    <w:tcBorders>
                      <w:top w:val="outset" w:sz="4" w:space="0" w:color="auto"/>
                      <w:left w:val="outset" w:sz="4" w:space="0" w:color="auto"/>
                      <w:bottom w:val="outset" w:sz="4" w:space="0" w:color="auto"/>
                      <w:right w:val="outset" w:sz="4" w:space="0" w:color="auto"/>
                    </w:tcBorders>
                  </w:tcPr>
                  <w:p w14:paraId="23A3AD23"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5935DF45" w14:textId="77777777" w:rsidR="00830E72" w:rsidRDefault="008344D8">
                    <w:pPr>
                      <w:jc w:val="right"/>
                      <w:rPr>
                        <w:szCs w:val="21"/>
                      </w:rPr>
                    </w:pPr>
                    <w:r>
                      <w:t>4,604,543.66</w:t>
                    </w:r>
                  </w:p>
                </w:tc>
                <w:tc>
                  <w:tcPr>
                    <w:tcW w:w="1180" w:type="pct"/>
                    <w:tcBorders>
                      <w:top w:val="outset" w:sz="4" w:space="0" w:color="auto"/>
                      <w:left w:val="outset" w:sz="4" w:space="0" w:color="auto"/>
                      <w:bottom w:val="outset" w:sz="4" w:space="0" w:color="auto"/>
                      <w:right w:val="outset" w:sz="4" w:space="0" w:color="auto"/>
                    </w:tcBorders>
                  </w:tcPr>
                  <w:p w14:paraId="02C345D1" w14:textId="77777777" w:rsidR="00830E72" w:rsidRDefault="008344D8">
                    <w:pPr>
                      <w:jc w:val="right"/>
                      <w:rPr>
                        <w:szCs w:val="21"/>
                      </w:rPr>
                    </w:pPr>
                    <w:r>
                      <w:t>4,604,543.66</w:t>
                    </w:r>
                  </w:p>
                </w:tc>
              </w:tr>
              <w:tr w:rsidR="00830E72" w14:paraId="3F7B2D11" w14:textId="77777777">
                <w:sdt>
                  <w:sdtPr>
                    <w:tag w:val="_PLD_d3dfcf3e9c1e4ba1a222b98847f77185"/>
                    <w:id w:val="-203472442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43F71E6" w14:textId="77777777" w:rsidR="00830E72" w:rsidRDefault="008344D8">
                        <w:pPr>
                          <w:ind w:firstLineChars="100" w:firstLine="210"/>
                          <w:rPr>
                            <w:szCs w:val="21"/>
                          </w:rPr>
                        </w:pPr>
                        <w:r>
                          <w:rPr>
                            <w:rFonts w:hint="eastAsia"/>
                            <w:szCs w:val="21"/>
                          </w:rPr>
                          <w:t>无形资产</w:t>
                        </w:r>
                      </w:p>
                    </w:tc>
                  </w:sdtContent>
                </w:sdt>
                <w:tc>
                  <w:tcPr>
                    <w:tcW w:w="1097" w:type="pct"/>
                    <w:tcBorders>
                      <w:top w:val="outset" w:sz="4" w:space="0" w:color="auto"/>
                      <w:left w:val="outset" w:sz="4" w:space="0" w:color="auto"/>
                      <w:bottom w:val="outset" w:sz="4" w:space="0" w:color="auto"/>
                      <w:right w:val="outset" w:sz="4" w:space="0" w:color="auto"/>
                    </w:tcBorders>
                  </w:tcPr>
                  <w:p w14:paraId="21017699" w14:textId="77777777" w:rsidR="00830E72" w:rsidRDefault="008344D8">
                    <w:pPr>
                      <w:jc w:val="right"/>
                      <w:rPr>
                        <w:szCs w:val="21"/>
                      </w:rPr>
                    </w:pPr>
                    <w:r>
                      <w:t>1,230,706.61</w:t>
                    </w:r>
                  </w:p>
                </w:tc>
                <w:tc>
                  <w:tcPr>
                    <w:tcW w:w="1018" w:type="pct"/>
                    <w:tcBorders>
                      <w:top w:val="outset" w:sz="4" w:space="0" w:color="auto"/>
                      <w:left w:val="outset" w:sz="4" w:space="0" w:color="auto"/>
                      <w:bottom w:val="outset" w:sz="4" w:space="0" w:color="auto"/>
                      <w:right w:val="outset" w:sz="4" w:space="0" w:color="auto"/>
                    </w:tcBorders>
                  </w:tcPr>
                  <w:p w14:paraId="502F9097" w14:textId="77777777" w:rsidR="00830E72" w:rsidRDefault="008344D8">
                    <w:pPr>
                      <w:jc w:val="right"/>
                      <w:rPr>
                        <w:szCs w:val="21"/>
                      </w:rPr>
                    </w:pPr>
                    <w:r>
                      <w:t>1,230,706.61</w:t>
                    </w:r>
                  </w:p>
                </w:tc>
                <w:tc>
                  <w:tcPr>
                    <w:tcW w:w="1180" w:type="pct"/>
                    <w:tcBorders>
                      <w:top w:val="outset" w:sz="4" w:space="0" w:color="auto"/>
                      <w:left w:val="outset" w:sz="4" w:space="0" w:color="auto"/>
                      <w:bottom w:val="outset" w:sz="4" w:space="0" w:color="auto"/>
                      <w:right w:val="outset" w:sz="4" w:space="0" w:color="auto"/>
                    </w:tcBorders>
                  </w:tcPr>
                  <w:p w14:paraId="4BCAD5DC" w14:textId="77777777" w:rsidR="00830E72" w:rsidRDefault="00830E72">
                    <w:pPr>
                      <w:jc w:val="right"/>
                      <w:rPr>
                        <w:szCs w:val="21"/>
                      </w:rPr>
                    </w:pPr>
                  </w:p>
                </w:tc>
              </w:tr>
              <w:tr w:rsidR="00830E72" w14:paraId="0F25B489" w14:textId="77777777">
                <w:sdt>
                  <w:sdtPr>
                    <w:tag w:val="_PLD_d8aaf9fbcb124c8883d1d27dcea819e2"/>
                    <w:id w:val="-114989027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37CBE56" w14:textId="77777777" w:rsidR="00830E72" w:rsidRDefault="008344D8">
                        <w:pPr>
                          <w:ind w:firstLineChars="100" w:firstLine="210"/>
                          <w:rPr>
                            <w:szCs w:val="21"/>
                          </w:rPr>
                        </w:pPr>
                        <w:r>
                          <w:rPr>
                            <w:rFonts w:hint="eastAsia"/>
                            <w:szCs w:val="21"/>
                          </w:rPr>
                          <w:t>开发支出</w:t>
                        </w:r>
                      </w:p>
                    </w:tc>
                  </w:sdtContent>
                </w:sdt>
                <w:tc>
                  <w:tcPr>
                    <w:tcW w:w="1097" w:type="pct"/>
                    <w:tcBorders>
                      <w:top w:val="outset" w:sz="4" w:space="0" w:color="auto"/>
                      <w:left w:val="outset" w:sz="4" w:space="0" w:color="auto"/>
                      <w:bottom w:val="outset" w:sz="4" w:space="0" w:color="auto"/>
                      <w:right w:val="outset" w:sz="4" w:space="0" w:color="auto"/>
                    </w:tcBorders>
                  </w:tcPr>
                  <w:p w14:paraId="139EEF4B"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534EC213"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0F7824BA" w14:textId="77777777" w:rsidR="00830E72" w:rsidRDefault="00830E72">
                    <w:pPr>
                      <w:jc w:val="right"/>
                      <w:rPr>
                        <w:szCs w:val="21"/>
                      </w:rPr>
                    </w:pPr>
                  </w:p>
                </w:tc>
              </w:tr>
              <w:tr w:rsidR="00830E72" w14:paraId="07F37647" w14:textId="77777777">
                <w:sdt>
                  <w:sdtPr>
                    <w:tag w:val="_PLD_72f3e515cd2543c59ab69795181cf131"/>
                    <w:id w:val="-116824447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48BB1C1" w14:textId="77777777" w:rsidR="00830E72" w:rsidRDefault="008344D8">
                        <w:pPr>
                          <w:ind w:firstLineChars="100" w:firstLine="210"/>
                          <w:rPr>
                            <w:szCs w:val="21"/>
                          </w:rPr>
                        </w:pPr>
                        <w:r>
                          <w:rPr>
                            <w:rFonts w:hint="eastAsia"/>
                            <w:szCs w:val="21"/>
                          </w:rPr>
                          <w:t>商誉</w:t>
                        </w:r>
                      </w:p>
                    </w:tc>
                  </w:sdtContent>
                </w:sdt>
                <w:tc>
                  <w:tcPr>
                    <w:tcW w:w="1097" w:type="pct"/>
                    <w:tcBorders>
                      <w:top w:val="outset" w:sz="4" w:space="0" w:color="auto"/>
                      <w:left w:val="outset" w:sz="4" w:space="0" w:color="auto"/>
                      <w:bottom w:val="outset" w:sz="4" w:space="0" w:color="auto"/>
                      <w:right w:val="outset" w:sz="4" w:space="0" w:color="auto"/>
                    </w:tcBorders>
                  </w:tcPr>
                  <w:p w14:paraId="6E2F059D"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1CF74356"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54DEF1EA" w14:textId="77777777" w:rsidR="00830E72" w:rsidRDefault="00830E72">
                    <w:pPr>
                      <w:jc w:val="right"/>
                      <w:rPr>
                        <w:szCs w:val="21"/>
                      </w:rPr>
                    </w:pPr>
                  </w:p>
                </w:tc>
              </w:tr>
              <w:tr w:rsidR="00830E72" w14:paraId="23E2A7BD" w14:textId="77777777">
                <w:sdt>
                  <w:sdtPr>
                    <w:tag w:val="_PLD_8c2976ac40f54cd396b19fa300ed8008"/>
                    <w:id w:val="49893906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20D3439" w14:textId="77777777" w:rsidR="00830E72" w:rsidRDefault="008344D8">
                        <w:pPr>
                          <w:ind w:firstLineChars="100" w:firstLine="210"/>
                          <w:rPr>
                            <w:szCs w:val="21"/>
                          </w:rPr>
                        </w:pPr>
                        <w:r>
                          <w:rPr>
                            <w:rFonts w:hint="eastAsia"/>
                            <w:szCs w:val="21"/>
                          </w:rPr>
                          <w:t>长期待摊费用</w:t>
                        </w:r>
                      </w:p>
                    </w:tc>
                  </w:sdtContent>
                </w:sdt>
                <w:tc>
                  <w:tcPr>
                    <w:tcW w:w="1097" w:type="pct"/>
                    <w:tcBorders>
                      <w:top w:val="outset" w:sz="4" w:space="0" w:color="auto"/>
                      <w:left w:val="outset" w:sz="4" w:space="0" w:color="auto"/>
                      <w:bottom w:val="outset" w:sz="4" w:space="0" w:color="auto"/>
                      <w:right w:val="outset" w:sz="4" w:space="0" w:color="auto"/>
                    </w:tcBorders>
                  </w:tcPr>
                  <w:p w14:paraId="6F992B8C"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62288694"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47BFCB2F" w14:textId="77777777" w:rsidR="00830E72" w:rsidRDefault="00830E72">
                    <w:pPr>
                      <w:jc w:val="right"/>
                      <w:rPr>
                        <w:szCs w:val="21"/>
                      </w:rPr>
                    </w:pPr>
                  </w:p>
                </w:tc>
              </w:tr>
              <w:tr w:rsidR="00830E72" w14:paraId="45F8E0DE" w14:textId="77777777">
                <w:sdt>
                  <w:sdtPr>
                    <w:tag w:val="_PLD_53d257ee3505443db4987c29f2554910"/>
                    <w:id w:val="-26770160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949B315" w14:textId="77777777" w:rsidR="00830E72" w:rsidRDefault="008344D8">
                        <w:pPr>
                          <w:ind w:firstLineChars="100" w:firstLine="210"/>
                          <w:rPr>
                            <w:szCs w:val="21"/>
                          </w:rPr>
                        </w:pPr>
                        <w:r>
                          <w:rPr>
                            <w:rFonts w:hint="eastAsia"/>
                            <w:szCs w:val="21"/>
                          </w:rPr>
                          <w:t>递延所得税资产</w:t>
                        </w:r>
                      </w:p>
                    </w:tc>
                  </w:sdtContent>
                </w:sdt>
                <w:tc>
                  <w:tcPr>
                    <w:tcW w:w="1097" w:type="pct"/>
                    <w:tcBorders>
                      <w:top w:val="outset" w:sz="4" w:space="0" w:color="auto"/>
                      <w:left w:val="outset" w:sz="4" w:space="0" w:color="auto"/>
                      <w:bottom w:val="outset" w:sz="4" w:space="0" w:color="auto"/>
                      <w:right w:val="outset" w:sz="4" w:space="0" w:color="auto"/>
                    </w:tcBorders>
                  </w:tcPr>
                  <w:p w14:paraId="2B681A07" w14:textId="77777777" w:rsidR="00830E72" w:rsidRDefault="008344D8">
                    <w:pPr>
                      <w:jc w:val="right"/>
                      <w:rPr>
                        <w:szCs w:val="21"/>
                      </w:rPr>
                    </w:pPr>
                    <w:r>
                      <w:t>43,988,324.83</w:t>
                    </w:r>
                  </w:p>
                </w:tc>
                <w:tc>
                  <w:tcPr>
                    <w:tcW w:w="1018" w:type="pct"/>
                    <w:tcBorders>
                      <w:top w:val="outset" w:sz="4" w:space="0" w:color="auto"/>
                      <w:left w:val="outset" w:sz="4" w:space="0" w:color="auto"/>
                      <w:bottom w:val="outset" w:sz="4" w:space="0" w:color="auto"/>
                      <w:right w:val="outset" w:sz="4" w:space="0" w:color="auto"/>
                    </w:tcBorders>
                  </w:tcPr>
                  <w:p w14:paraId="53BB3983" w14:textId="77777777" w:rsidR="00830E72" w:rsidRDefault="008344D8">
                    <w:pPr>
                      <w:jc w:val="right"/>
                      <w:rPr>
                        <w:szCs w:val="21"/>
                      </w:rPr>
                    </w:pPr>
                    <w:r>
                      <w:t>43,988,324.83</w:t>
                    </w:r>
                  </w:p>
                </w:tc>
                <w:tc>
                  <w:tcPr>
                    <w:tcW w:w="1180" w:type="pct"/>
                    <w:tcBorders>
                      <w:top w:val="outset" w:sz="4" w:space="0" w:color="auto"/>
                      <w:left w:val="outset" w:sz="4" w:space="0" w:color="auto"/>
                      <w:bottom w:val="outset" w:sz="4" w:space="0" w:color="auto"/>
                      <w:right w:val="outset" w:sz="4" w:space="0" w:color="auto"/>
                    </w:tcBorders>
                  </w:tcPr>
                  <w:p w14:paraId="509A2E8E" w14:textId="77777777" w:rsidR="00830E72" w:rsidRDefault="00830E72">
                    <w:pPr>
                      <w:jc w:val="right"/>
                      <w:rPr>
                        <w:szCs w:val="21"/>
                      </w:rPr>
                    </w:pPr>
                  </w:p>
                </w:tc>
              </w:tr>
              <w:tr w:rsidR="00830E72" w14:paraId="0CA0C905" w14:textId="77777777">
                <w:sdt>
                  <w:sdtPr>
                    <w:tag w:val="_PLD_919069c92934428fbcfd69549ecd9bfe"/>
                    <w:id w:val="-26854592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7D771F9" w14:textId="77777777" w:rsidR="00830E72" w:rsidRDefault="008344D8">
                        <w:pPr>
                          <w:ind w:firstLineChars="100" w:firstLine="210"/>
                          <w:rPr>
                            <w:szCs w:val="21"/>
                          </w:rPr>
                        </w:pPr>
                        <w:r>
                          <w:rPr>
                            <w:rFonts w:hint="eastAsia"/>
                            <w:szCs w:val="21"/>
                          </w:rPr>
                          <w:t>其他非流动资产</w:t>
                        </w:r>
                      </w:p>
                    </w:tc>
                  </w:sdtContent>
                </w:sdt>
                <w:tc>
                  <w:tcPr>
                    <w:tcW w:w="1097" w:type="pct"/>
                    <w:tcBorders>
                      <w:top w:val="outset" w:sz="4" w:space="0" w:color="auto"/>
                      <w:left w:val="outset" w:sz="4" w:space="0" w:color="auto"/>
                      <w:bottom w:val="outset" w:sz="4" w:space="0" w:color="auto"/>
                      <w:right w:val="outset" w:sz="4" w:space="0" w:color="auto"/>
                    </w:tcBorders>
                  </w:tcPr>
                  <w:p w14:paraId="1F3C48AF" w14:textId="77777777" w:rsidR="00830E72" w:rsidRDefault="008344D8">
                    <w:pPr>
                      <w:jc w:val="right"/>
                      <w:rPr>
                        <w:szCs w:val="21"/>
                      </w:rPr>
                    </w:pPr>
                    <w:r>
                      <w:t>10,046,673.76</w:t>
                    </w:r>
                  </w:p>
                </w:tc>
                <w:tc>
                  <w:tcPr>
                    <w:tcW w:w="1018" w:type="pct"/>
                    <w:tcBorders>
                      <w:top w:val="outset" w:sz="4" w:space="0" w:color="auto"/>
                      <w:left w:val="outset" w:sz="4" w:space="0" w:color="auto"/>
                      <w:bottom w:val="outset" w:sz="4" w:space="0" w:color="auto"/>
                      <w:right w:val="outset" w:sz="4" w:space="0" w:color="auto"/>
                    </w:tcBorders>
                  </w:tcPr>
                  <w:p w14:paraId="66BD125A" w14:textId="77777777" w:rsidR="00830E72" w:rsidRDefault="008344D8">
                    <w:pPr>
                      <w:jc w:val="right"/>
                      <w:rPr>
                        <w:szCs w:val="21"/>
                      </w:rPr>
                    </w:pPr>
                    <w:r>
                      <w:t>10,046,673.76</w:t>
                    </w:r>
                  </w:p>
                </w:tc>
                <w:tc>
                  <w:tcPr>
                    <w:tcW w:w="1180" w:type="pct"/>
                    <w:tcBorders>
                      <w:top w:val="outset" w:sz="4" w:space="0" w:color="auto"/>
                      <w:left w:val="outset" w:sz="4" w:space="0" w:color="auto"/>
                      <w:bottom w:val="outset" w:sz="4" w:space="0" w:color="auto"/>
                      <w:right w:val="outset" w:sz="4" w:space="0" w:color="auto"/>
                    </w:tcBorders>
                  </w:tcPr>
                  <w:p w14:paraId="7E75EA0C" w14:textId="77777777" w:rsidR="00830E72" w:rsidRDefault="00830E72">
                    <w:pPr>
                      <w:jc w:val="right"/>
                      <w:rPr>
                        <w:szCs w:val="21"/>
                      </w:rPr>
                    </w:pPr>
                  </w:p>
                </w:tc>
              </w:tr>
              <w:tr w:rsidR="00830E72" w14:paraId="34DE709C" w14:textId="77777777">
                <w:sdt>
                  <w:sdtPr>
                    <w:tag w:val="_PLD_f24ecc71dadc469a9a36c98fcc2789eb"/>
                    <w:id w:val="27830906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F4C85A2" w14:textId="77777777" w:rsidR="00830E72" w:rsidRDefault="008344D8">
                        <w:pPr>
                          <w:ind w:firstLineChars="200" w:firstLine="420"/>
                          <w:rPr>
                            <w:szCs w:val="21"/>
                          </w:rPr>
                        </w:pPr>
                        <w:r>
                          <w:rPr>
                            <w:rFonts w:hint="eastAsia"/>
                            <w:szCs w:val="21"/>
                          </w:rPr>
                          <w:t>非流动资产合计</w:t>
                        </w:r>
                      </w:p>
                    </w:tc>
                  </w:sdtContent>
                </w:sdt>
                <w:tc>
                  <w:tcPr>
                    <w:tcW w:w="1097" w:type="pct"/>
                    <w:tcBorders>
                      <w:top w:val="outset" w:sz="4" w:space="0" w:color="auto"/>
                      <w:left w:val="outset" w:sz="4" w:space="0" w:color="auto"/>
                      <w:bottom w:val="outset" w:sz="4" w:space="0" w:color="auto"/>
                      <w:right w:val="outset" w:sz="4" w:space="0" w:color="auto"/>
                    </w:tcBorders>
                  </w:tcPr>
                  <w:p w14:paraId="05AF4FE7" w14:textId="77777777" w:rsidR="00830E72" w:rsidRDefault="008344D8">
                    <w:pPr>
                      <w:jc w:val="right"/>
                      <w:rPr>
                        <w:szCs w:val="21"/>
                      </w:rPr>
                    </w:pPr>
                    <w:r>
                      <w:t>561,784,212.87</w:t>
                    </w:r>
                  </w:p>
                </w:tc>
                <w:tc>
                  <w:tcPr>
                    <w:tcW w:w="1018" w:type="pct"/>
                    <w:tcBorders>
                      <w:top w:val="outset" w:sz="4" w:space="0" w:color="auto"/>
                      <w:left w:val="outset" w:sz="4" w:space="0" w:color="auto"/>
                      <w:bottom w:val="outset" w:sz="4" w:space="0" w:color="auto"/>
                      <w:right w:val="outset" w:sz="4" w:space="0" w:color="auto"/>
                    </w:tcBorders>
                  </w:tcPr>
                  <w:p w14:paraId="3198FF4D" w14:textId="77777777" w:rsidR="00830E72" w:rsidRDefault="008344D8">
                    <w:pPr>
                      <w:jc w:val="right"/>
                      <w:rPr>
                        <w:szCs w:val="21"/>
                      </w:rPr>
                    </w:pPr>
                    <w:r>
                      <w:t>566,388,756.53</w:t>
                    </w:r>
                  </w:p>
                </w:tc>
                <w:tc>
                  <w:tcPr>
                    <w:tcW w:w="1180" w:type="pct"/>
                    <w:tcBorders>
                      <w:top w:val="outset" w:sz="4" w:space="0" w:color="auto"/>
                      <w:left w:val="outset" w:sz="4" w:space="0" w:color="auto"/>
                      <w:bottom w:val="outset" w:sz="4" w:space="0" w:color="auto"/>
                      <w:right w:val="outset" w:sz="4" w:space="0" w:color="auto"/>
                    </w:tcBorders>
                  </w:tcPr>
                  <w:p w14:paraId="5586F128" w14:textId="77777777" w:rsidR="00830E72" w:rsidRDefault="008344D8">
                    <w:pPr>
                      <w:jc w:val="right"/>
                      <w:rPr>
                        <w:szCs w:val="21"/>
                      </w:rPr>
                    </w:pPr>
                    <w:r>
                      <w:t>4,604,543.66</w:t>
                    </w:r>
                  </w:p>
                </w:tc>
              </w:tr>
              <w:tr w:rsidR="00830E72" w14:paraId="132EC5EC" w14:textId="77777777">
                <w:sdt>
                  <w:sdtPr>
                    <w:tag w:val="_PLD_51977f8ffa3f40279adeb2efeb9bc455"/>
                    <w:id w:val="-89851894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492EBC9" w14:textId="77777777" w:rsidR="00830E72" w:rsidRDefault="008344D8">
                        <w:pPr>
                          <w:ind w:firstLineChars="300" w:firstLine="630"/>
                          <w:rPr>
                            <w:szCs w:val="21"/>
                          </w:rPr>
                        </w:pPr>
                        <w:r>
                          <w:rPr>
                            <w:rFonts w:hint="eastAsia"/>
                            <w:szCs w:val="21"/>
                          </w:rPr>
                          <w:t>资产总计</w:t>
                        </w:r>
                      </w:p>
                    </w:tc>
                  </w:sdtContent>
                </w:sdt>
                <w:tc>
                  <w:tcPr>
                    <w:tcW w:w="1097" w:type="pct"/>
                    <w:tcBorders>
                      <w:top w:val="outset" w:sz="4" w:space="0" w:color="auto"/>
                      <w:left w:val="outset" w:sz="4" w:space="0" w:color="auto"/>
                      <w:bottom w:val="outset" w:sz="4" w:space="0" w:color="auto"/>
                      <w:right w:val="outset" w:sz="4" w:space="0" w:color="auto"/>
                    </w:tcBorders>
                  </w:tcPr>
                  <w:p w14:paraId="236C5311" w14:textId="77777777" w:rsidR="00830E72" w:rsidRDefault="008344D8">
                    <w:pPr>
                      <w:jc w:val="right"/>
                      <w:rPr>
                        <w:szCs w:val="21"/>
                      </w:rPr>
                    </w:pPr>
                    <w:r>
                      <w:t>4,461,189,743.97</w:t>
                    </w:r>
                  </w:p>
                </w:tc>
                <w:tc>
                  <w:tcPr>
                    <w:tcW w:w="1018" w:type="pct"/>
                    <w:tcBorders>
                      <w:top w:val="outset" w:sz="4" w:space="0" w:color="auto"/>
                      <w:left w:val="outset" w:sz="4" w:space="0" w:color="auto"/>
                      <w:bottom w:val="outset" w:sz="4" w:space="0" w:color="auto"/>
                      <w:right w:val="outset" w:sz="4" w:space="0" w:color="auto"/>
                    </w:tcBorders>
                  </w:tcPr>
                  <w:p w14:paraId="0DBB6CE0" w14:textId="77777777" w:rsidR="00830E72" w:rsidRDefault="008344D8">
                    <w:pPr>
                      <w:jc w:val="right"/>
                      <w:rPr>
                        <w:szCs w:val="21"/>
                      </w:rPr>
                    </w:pPr>
                    <w:r>
                      <w:t>4,465,794,287.63</w:t>
                    </w:r>
                  </w:p>
                </w:tc>
                <w:tc>
                  <w:tcPr>
                    <w:tcW w:w="1180" w:type="pct"/>
                    <w:tcBorders>
                      <w:top w:val="outset" w:sz="4" w:space="0" w:color="auto"/>
                      <w:left w:val="outset" w:sz="4" w:space="0" w:color="auto"/>
                      <w:bottom w:val="outset" w:sz="4" w:space="0" w:color="auto"/>
                      <w:right w:val="outset" w:sz="4" w:space="0" w:color="auto"/>
                    </w:tcBorders>
                  </w:tcPr>
                  <w:p w14:paraId="6A4C7B9A" w14:textId="77777777" w:rsidR="00830E72" w:rsidRDefault="008344D8">
                    <w:pPr>
                      <w:jc w:val="right"/>
                      <w:rPr>
                        <w:szCs w:val="21"/>
                      </w:rPr>
                    </w:pPr>
                    <w:r>
                      <w:t>4,604,543.66</w:t>
                    </w:r>
                  </w:p>
                </w:tc>
              </w:tr>
              <w:tr w:rsidR="00830E72" w14:paraId="332621AA" w14:textId="77777777">
                <w:sdt>
                  <w:sdtPr>
                    <w:tag w:val="_PLD_db8d96c989354c3296a1eda26de6ec79"/>
                    <w:id w:val="-62468746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46BB5B2" w14:textId="77777777" w:rsidR="00830E72" w:rsidRDefault="008344D8">
                        <w:pPr>
                          <w:rPr>
                            <w:color w:val="008000"/>
                            <w:szCs w:val="21"/>
                          </w:rPr>
                        </w:pPr>
                        <w:r>
                          <w:rPr>
                            <w:rFonts w:hint="eastAsia"/>
                            <w:b/>
                            <w:bCs/>
                            <w:szCs w:val="21"/>
                          </w:rPr>
                          <w:t>流动负债：</w:t>
                        </w:r>
                      </w:p>
                    </w:tc>
                  </w:sdtContent>
                </w:sdt>
              </w:tr>
              <w:tr w:rsidR="00830E72" w14:paraId="5D42E7AD" w14:textId="77777777">
                <w:sdt>
                  <w:sdtPr>
                    <w:tag w:val="_PLD_3e2e2cae5fe54175954842f21e380792"/>
                    <w:id w:val="107438946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8E652D8" w14:textId="77777777" w:rsidR="00830E72" w:rsidRDefault="008344D8">
                        <w:pPr>
                          <w:ind w:firstLineChars="100" w:firstLine="210"/>
                          <w:rPr>
                            <w:szCs w:val="21"/>
                          </w:rPr>
                        </w:pPr>
                        <w:r>
                          <w:rPr>
                            <w:rFonts w:hint="eastAsia"/>
                            <w:szCs w:val="21"/>
                          </w:rPr>
                          <w:t>短期借款</w:t>
                        </w:r>
                      </w:p>
                    </w:tc>
                  </w:sdtContent>
                </w:sdt>
                <w:tc>
                  <w:tcPr>
                    <w:tcW w:w="1097" w:type="pct"/>
                    <w:tcBorders>
                      <w:top w:val="outset" w:sz="4" w:space="0" w:color="auto"/>
                      <w:left w:val="outset" w:sz="4" w:space="0" w:color="auto"/>
                      <w:bottom w:val="outset" w:sz="4" w:space="0" w:color="auto"/>
                      <w:right w:val="outset" w:sz="4" w:space="0" w:color="auto"/>
                    </w:tcBorders>
                  </w:tcPr>
                  <w:p w14:paraId="17050B60" w14:textId="77777777" w:rsidR="00830E72" w:rsidRDefault="008344D8">
                    <w:pPr>
                      <w:jc w:val="right"/>
                      <w:rPr>
                        <w:szCs w:val="21"/>
                      </w:rPr>
                    </w:pPr>
                    <w:r>
                      <w:t>261,501,944.67</w:t>
                    </w:r>
                  </w:p>
                </w:tc>
                <w:tc>
                  <w:tcPr>
                    <w:tcW w:w="1018" w:type="pct"/>
                    <w:tcBorders>
                      <w:top w:val="outset" w:sz="4" w:space="0" w:color="auto"/>
                      <w:left w:val="outset" w:sz="4" w:space="0" w:color="auto"/>
                      <w:bottom w:val="outset" w:sz="4" w:space="0" w:color="auto"/>
                      <w:right w:val="outset" w:sz="4" w:space="0" w:color="auto"/>
                    </w:tcBorders>
                  </w:tcPr>
                  <w:p w14:paraId="379232B9" w14:textId="77777777" w:rsidR="00830E72" w:rsidRDefault="008344D8">
                    <w:pPr>
                      <w:jc w:val="right"/>
                      <w:rPr>
                        <w:szCs w:val="21"/>
                      </w:rPr>
                    </w:pPr>
                    <w:r>
                      <w:t>261,501,944.67</w:t>
                    </w:r>
                  </w:p>
                </w:tc>
                <w:tc>
                  <w:tcPr>
                    <w:tcW w:w="1180" w:type="pct"/>
                    <w:tcBorders>
                      <w:top w:val="outset" w:sz="4" w:space="0" w:color="auto"/>
                      <w:left w:val="outset" w:sz="4" w:space="0" w:color="auto"/>
                      <w:bottom w:val="outset" w:sz="4" w:space="0" w:color="auto"/>
                      <w:right w:val="outset" w:sz="4" w:space="0" w:color="auto"/>
                    </w:tcBorders>
                  </w:tcPr>
                  <w:p w14:paraId="7EB0BCAB" w14:textId="77777777" w:rsidR="00830E72" w:rsidRDefault="00830E72">
                    <w:pPr>
                      <w:jc w:val="right"/>
                      <w:rPr>
                        <w:szCs w:val="21"/>
                      </w:rPr>
                    </w:pPr>
                  </w:p>
                </w:tc>
              </w:tr>
              <w:tr w:rsidR="00830E72" w14:paraId="0B245505" w14:textId="7777777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c94fe40b83d49bf83fb122751e1d1bb"/>
                      <w:id w:val="-857969516"/>
                      <w:lock w:val="sdtLocked"/>
                    </w:sdtPr>
                    <w:sdtEndPr/>
                    <w:sdtContent>
                      <w:p w14:paraId="6ABEC5EA" w14:textId="77777777" w:rsidR="00830E72" w:rsidRDefault="008344D8">
                        <w:pPr>
                          <w:ind w:firstLineChars="100" w:firstLine="210"/>
                        </w:pPr>
                        <w:r>
                          <w:rPr>
                            <w:rFonts w:hint="eastAsia"/>
                          </w:rPr>
                          <w:t>交易性金融负债</w:t>
                        </w:r>
                      </w:p>
                    </w:sdtContent>
                  </w:sdt>
                </w:tc>
                <w:tc>
                  <w:tcPr>
                    <w:tcW w:w="1097" w:type="pct"/>
                    <w:tcBorders>
                      <w:top w:val="outset" w:sz="4" w:space="0" w:color="auto"/>
                      <w:left w:val="outset" w:sz="4" w:space="0" w:color="auto"/>
                      <w:bottom w:val="outset" w:sz="4" w:space="0" w:color="auto"/>
                      <w:right w:val="outset" w:sz="4" w:space="0" w:color="auto"/>
                    </w:tcBorders>
                  </w:tcPr>
                  <w:p w14:paraId="33BB9BB1"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3F50AE8A"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1544CACA" w14:textId="77777777" w:rsidR="00830E72" w:rsidRDefault="00830E72">
                    <w:pPr>
                      <w:jc w:val="right"/>
                      <w:rPr>
                        <w:szCs w:val="21"/>
                      </w:rPr>
                    </w:pPr>
                  </w:p>
                </w:tc>
              </w:tr>
              <w:tr w:rsidR="00830E72" w14:paraId="6F1D3FF9" w14:textId="77777777">
                <w:sdt>
                  <w:sdtPr>
                    <w:tag w:val="_PLD_c66d4d28400f430283766247212b1db5"/>
                    <w:id w:val="20707426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BDE45AF" w14:textId="77777777" w:rsidR="00830E72" w:rsidRDefault="008344D8">
                        <w:pPr>
                          <w:ind w:firstLineChars="100" w:firstLine="210"/>
                          <w:rPr>
                            <w:szCs w:val="21"/>
                          </w:rPr>
                        </w:pPr>
                        <w:r>
                          <w:rPr>
                            <w:rFonts w:hint="eastAsia"/>
                            <w:szCs w:val="21"/>
                          </w:rPr>
                          <w:t>衍生金融负债</w:t>
                        </w:r>
                      </w:p>
                    </w:tc>
                  </w:sdtContent>
                </w:sdt>
                <w:tc>
                  <w:tcPr>
                    <w:tcW w:w="1097" w:type="pct"/>
                    <w:tcBorders>
                      <w:top w:val="outset" w:sz="4" w:space="0" w:color="auto"/>
                      <w:left w:val="outset" w:sz="4" w:space="0" w:color="auto"/>
                      <w:bottom w:val="outset" w:sz="4" w:space="0" w:color="auto"/>
                      <w:right w:val="outset" w:sz="4" w:space="0" w:color="auto"/>
                    </w:tcBorders>
                  </w:tcPr>
                  <w:p w14:paraId="69240C22"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26F27215"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3E0F6187" w14:textId="77777777" w:rsidR="00830E72" w:rsidRDefault="00830E72">
                    <w:pPr>
                      <w:jc w:val="right"/>
                      <w:rPr>
                        <w:szCs w:val="21"/>
                      </w:rPr>
                    </w:pPr>
                  </w:p>
                </w:tc>
              </w:tr>
              <w:tr w:rsidR="00830E72" w14:paraId="391294CC" w14:textId="77777777">
                <w:sdt>
                  <w:sdtPr>
                    <w:tag w:val="_PLD_6f67648c9cf84e82a7a20c798fe25ca4"/>
                    <w:id w:val="189878514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02C1BAE" w14:textId="77777777" w:rsidR="00830E72" w:rsidRDefault="008344D8">
                        <w:pPr>
                          <w:ind w:firstLineChars="100" w:firstLine="210"/>
                        </w:pPr>
                        <w:r>
                          <w:rPr>
                            <w:rFonts w:hint="eastAsia"/>
                          </w:rPr>
                          <w:t>应付票据</w:t>
                        </w:r>
                      </w:p>
                    </w:tc>
                  </w:sdtContent>
                </w:sdt>
                <w:tc>
                  <w:tcPr>
                    <w:tcW w:w="1097" w:type="pct"/>
                    <w:tcBorders>
                      <w:top w:val="outset" w:sz="4" w:space="0" w:color="auto"/>
                      <w:left w:val="outset" w:sz="4" w:space="0" w:color="auto"/>
                      <w:bottom w:val="outset" w:sz="4" w:space="0" w:color="auto"/>
                      <w:right w:val="outset" w:sz="4" w:space="0" w:color="auto"/>
                    </w:tcBorders>
                  </w:tcPr>
                  <w:p w14:paraId="472ED587" w14:textId="77777777" w:rsidR="00830E72" w:rsidRDefault="008344D8">
                    <w:pPr>
                      <w:jc w:val="right"/>
                      <w:rPr>
                        <w:szCs w:val="21"/>
                      </w:rPr>
                    </w:pPr>
                    <w:r>
                      <w:t>195,061,404.69</w:t>
                    </w:r>
                  </w:p>
                </w:tc>
                <w:tc>
                  <w:tcPr>
                    <w:tcW w:w="1018" w:type="pct"/>
                    <w:tcBorders>
                      <w:top w:val="outset" w:sz="4" w:space="0" w:color="auto"/>
                      <w:left w:val="outset" w:sz="4" w:space="0" w:color="auto"/>
                      <w:bottom w:val="outset" w:sz="4" w:space="0" w:color="auto"/>
                      <w:right w:val="outset" w:sz="4" w:space="0" w:color="auto"/>
                    </w:tcBorders>
                  </w:tcPr>
                  <w:p w14:paraId="6AC2646C" w14:textId="77777777" w:rsidR="00830E72" w:rsidRDefault="008344D8">
                    <w:pPr>
                      <w:jc w:val="right"/>
                      <w:rPr>
                        <w:szCs w:val="21"/>
                      </w:rPr>
                    </w:pPr>
                    <w:r>
                      <w:t>195,061,404.69</w:t>
                    </w:r>
                  </w:p>
                </w:tc>
                <w:tc>
                  <w:tcPr>
                    <w:tcW w:w="1180" w:type="pct"/>
                    <w:tcBorders>
                      <w:top w:val="outset" w:sz="4" w:space="0" w:color="auto"/>
                      <w:left w:val="outset" w:sz="4" w:space="0" w:color="auto"/>
                      <w:bottom w:val="outset" w:sz="4" w:space="0" w:color="auto"/>
                      <w:right w:val="outset" w:sz="4" w:space="0" w:color="auto"/>
                    </w:tcBorders>
                  </w:tcPr>
                  <w:p w14:paraId="3E936EE8" w14:textId="77777777" w:rsidR="00830E72" w:rsidRDefault="00830E72">
                    <w:pPr>
                      <w:jc w:val="right"/>
                      <w:rPr>
                        <w:szCs w:val="21"/>
                      </w:rPr>
                    </w:pPr>
                  </w:p>
                </w:tc>
              </w:tr>
              <w:tr w:rsidR="00830E72" w14:paraId="700033DC" w14:textId="77777777">
                <w:sdt>
                  <w:sdtPr>
                    <w:tag w:val="_PLD_120db261af8f49df8aaf60cf2fb46c78"/>
                    <w:id w:val="50100519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8E319C6" w14:textId="77777777" w:rsidR="00830E72" w:rsidRDefault="008344D8">
                        <w:pPr>
                          <w:ind w:firstLineChars="100" w:firstLine="210"/>
                        </w:pPr>
                        <w:r>
                          <w:rPr>
                            <w:rFonts w:hint="eastAsia"/>
                          </w:rPr>
                          <w:t>应付账款</w:t>
                        </w:r>
                      </w:p>
                    </w:tc>
                  </w:sdtContent>
                </w:sdt>
                <w:tc>
                  <w:tcPr>
                    <w:tcW w:w="1097" w:type="pct"/>
                    <w:tcBorders>
                      <w:top w:val="outset" w:sz="4" w:space="0" w:color="auto"/>
                      <w:left w:val="outset" w:sz="4" w:space="0" w:color="auto"/>
                      <w:bottom w:val="outset" w:sz="4" w:space="0" w:color="auto"/>
                      <w:right w:val="outset" w:sz="4" w:space="0" w:color="auto"/>
                    </w:tcBorders>
                  </w:tcPr>
                  <w:p w14:paraId="5B60753A" w14:textId="77777777" w:rsidR="00830E72" w:rsidRDefault="008344D8">
                    <w:pPr>
                      <w:jc w:val="right"/>
                      <w:rPr>
                        <w:szCs w:val="21"/>
                      </w:rPr>
                    </w:pPr>
                    <w:r>
                      <w:t>2,535,911,978.68</w:t>
                    </w:r>
                  </w:p>
                </w:tc>
                <w:tc>
                  <w:tcPr>
                    <w:tcW w:w="1018" w:type="pct"/>
                    <w:tcBorders>
                      <w:top w:val="outset" w:sz="4" w:space="0" w:color="auto"/>
                      <w:left w:val="outset" w:sz="4" w:space="0" w:color="auto"/>
                      <w:bottom w:val="outset" w:sz="4" w:space="0" w:color="auto"/>
                      <w:right w:val="outset" w:sz="4" w:space="0" w:color="auto"/>
                    </w:tcBorders>
                  </w:tcPr>
                  <w:p w14:paraId="1E7E2A08" w14:textId="77777777" w:rsidR="00830E72" w:rsidRDefault="008344D8">
                    <w:pPr>
                      <w:jc w:val="right"/>
                      <w:rPr>
                        <w:szCs w:val="21"/>
                      </w:rPr>
                    </w:pPr>
                    <w:r>
                      <w:t>2,535,911,978.68</w:t>
                    </w:r>
                  </w:p>
                </w:tc>
                <w:tc>
                  <w:tcPr>
                    <w:tcW w:w="1180" w:type="pct"/>
                    <w:tcBorders>
                      <w:top w:val="outset" w:sz="4" w:space="0" w:color="auto"/>
                      <w:left w:val="outset" w:sz="4" w:space="0" w:color="auto"/>
                      <w:bottom w:val="outset" w:sz="4" w:space="0" w:color="auto"/>
                      <w:right w:val="outset" w:sz="4" w:space="0" w:color="auto"/>
                    </w:tcBorders>
                  </w:tcPr>
                  <w:p w14:paraId="691F4753" w14:textId="77777777" w:rsidR="00830E72" w:rsidRDefault="00830E72">
                    <w:pPr>
                      <w:jc w:val="right"/>
                      <w:rPr>
                        <w:szCs w:val="21"/>
                      </w:rPr>
                    </w:pPr>
                  </w:p>
                </w:tc>
              </w:tr>
              <w:tr w:rsidR="00830E72" w14:paraId="6AAFF9C0" w14:textId="77777777">
                <w:sdt>
                  <w:sdtPr>
                    <w:tag w:val="_PLD_d034864597704b55a5f3f7f998469d5b"/>
                    <w:id w:val="85847559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2D270AA" w14:textId="77777777" w:rsidR="00830E72" w:rsidRDefault="008344D8">
                        <w:pPr>
                          <w:ind w:firstLineChars="100" w:firstLine="210"/>
                          <w:rPr>
                            <w:szCs w:val="21"/>
                          </w:rPr>
                        </w:pPr>
                        <w:r>
                          <w:rPr>
                            <w:rFonts w:hint="eastAsia"/>
                            <w:szCs w:val="21"/>
                          </w:rPr>
                          <w:t>预收款项</w:t>
                        </w:r>
                      </w:p>
                    </w:tc>
                  </w:sdtContent>
                </w:sdt>
                <w:tc>
                  <w:tcPr>
                    <w:tcW w:w="1097" w:type="pct"/>
                    <w:tcBorders>
                      <w:top w:val="outset" w:sz="4" w:space="0" w:color="auto"/>
                      <w:left w:val="outset" w:sz="4" w:space="0" w:color="auto"/>
                      <w:bottom w:val="outset" w:sz="4" w:space="0" w:color="auto"/>
                      <w:right w:val="outset" w:sz="4" w:space="0" w:color="auto"/>
                    </w:tcBorders>
                  </w:tcPr>
                  <w:p w14:paraId="6E38F967"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1AC4E7D8"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0EFF1407" w14:textId="77777777" w:rsidR="00830E72" w:rsidRDefault="00830E72">
                    <w:pPr>
                      <w:jc w:val="right"/>
                      <w:rPr>
                        <w:szCs w:val="21"/>
                      </w:rPr>
                    </w:pPr>
                  </w:p>
                </w:tc>
              </w:tr>
              <w:tr w:rsidR="00830E72" w14:paraId="26EF8B74" w14:textId="7777777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561f0d0a0a34a85828d80c58f692fff"/>
                      <w:id w:val="-1250271934"/>
                      <w:lock w:val="sdtLocked"/>
                    </w:sdtPr>
                    <w:sdtEndPr/>
                    <w:sdtContent>
                      <w:p w14:paraId="7C0D3734" w14:textId="77777777" w:rsidR="00830E72" w:rsidRDefault="008344D8">
                        <w:pPr>
                          <w:ind w:firstLineChars="100" w:firstLine="210"/>
                        </w:pPr>
                        <w:r>
                          <w:rPr>
                            <w:rFonts w:hint="eastAsia"/>
                          </w:rPr>
                          <w:t>合同负债</w:t>
                        </w:r>
                      </w:p>
                    </w:sdtContent>
                  </w:sdt>
                </w:tc>
                <w:tc>
                  <w:tcPr>
                    <w:tcW w:w="1097" w:type="pct"/>
                    <w:tcBorders>
                      <w:top w:val="outset" w:sz="4" w:space="0" w:color="auto"/>
                      <w:left w:val="outset" w:sz="4" w:space="0" w:color="auto"/>
                      <w:bottom w:val="outset" w:sz="4" w:space="0" w:color="auto"/>
                      <w:right w:val="outset" w:sz="4" w:space="0" w:color="auto"/>
                    </w:tcBorders>
                  </w:tcPr>
                  <w:p w14:paraId="220BBAC8" w14:textId="77777777" w:rsidR="00830E72" w:rsidRDefault="008344D8">
                    <w:pPr>
                      <w:jc w:val="right"/>
                      <w:rPr>
                        <w:szCs w:val="21"/>
                      </w:rPr>
                    </w:pPr>
                    <w:r>
                      <w:t>43,989,830.92</w:t>
                    </w:r>
                  </w:p>
                </w:tc>
                <w:tc>
                  <w:tcPr>
                    <w:tcW w:w="1018" w:type="pct"/>
                    <w:tcBorders>
                      <w:top w:val="outset" w:sz="4" w:space="0" w:color="auto"/>
                      <w:left w:val="outset" w:sz="4" w:space="0" w:color="auto"/>
                      <w:bottom w:val="outset" w:sz="4" w:space="0" w:color="auto"/>
                      <w:right w:val="outset" w:sz="4" w:space="0" w:color="auto"/>
                    </w:tcBorders>
                  </w:tcPr>
                  <w:p w14:paraId="37094BEB" w14:textId="77777777" w:rsidR="00830E72" w:rsidRDefault="008344D8">
                    <w:pPr>
                      <w:jc w:val="right"/>
                      <w:rPr>
                        <w:szCs w:val="21"/>
                      </w:rPr>
                    </w:pPr>
                    <w:r>
                      <w:t>43,989,830.92</w:t>
                    </w:r>
                  </w:p>
                </w:tc>
                <w:tc>
                  <w:tcPr>
                    <w:tcW w:w="1180" w:type="pct"/>
                    <w:tcBorders>
                      <w:top w:val="outset" w:sz="4" w:space="0" w:color="auto"/>
                      <w:left w:val="outset" w:sz="4" w:space="0" w:color="auto"/>
                      <w:bottom w:val="outset" w:sz="4" w:space="0" w:color="auto"/>
                      <w:right w:val="outset" w:sz="4" w:space="0" w:color="auto"/>
                    </w:tcBorders>
                  </w:tcPr>
                  <w:p w14:paraId="7AB25839" w14:textId="77777777" w:rsidR="00830E72" w:rsidRDefault="00830E72">
                    <w:pPr>
                      <w:jc w:val="right"/>
                      <w:rPr>
                        <w:szCs w:val="21"/>
                      </w:rPr>
                    </w:pPr>
                  </w:p>
                </w:tc>
              </w:tr>
              <w:tr w:rsidR="00830E72" w14:paraId="34C3E591" w14:textId="77777777">
                <w:sdt>
                  <w:sdtPr>
                    <w:tag w:val="_PLD_fe577d9706c54cc5a0e6f7a4f5604308"/>
                    <w:id w:val="-179613178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EC5A7A6" w14:textId="77777777" w:rsidR="00830E72" w:rsidRDefault="008344D8">
                        <w:pPr>
                          <w:ind w:firstLineChars="100" w:firstLine="210"/>
                          <w:rPr>
                            <w:szCs w:val="21"/>
                          </w:rPr>
                        </w:pPr>
                        <w:r>
                          <w:rPr>
                            <w:rFonts w:hint="eastAsia"/>
                            <w:szCs w:val="21"/>
                          </w:rPr>
                          <w:t>应付职工薪酬</w:t>
                        </w:r>
                      </w:p>
                    </w:tc>
                  </w:sdtContent>
                </w:sdt>
                <w:tc>
                  <w:tcPr>
                    <w:tcW w:w="1097" w:type="pct"/>
                    <w:tcBorders>
                      <w:top w:val="outset" w:sz="4" w:space="0" w:color="auto"/>
                      <w:left w:val="outset" w:sz="4" w:space="0" w:color="auto"/>
                      <w:bottom w:val="outset" w:sz="4" w:space="0" w:color="auto"/>
                      <w:right w:val="outset" w:sz="4" w:space="0" w:color="auto"/>
                    </w:tcBorders>
                  </w:tcPr>
                  <w:p w14:paraId="0FBD623A" w14:textId="77777777" w:rsidR="00830E72" w:rsidRDefault="008344D8">
                    <w:pPr>
                      <w:jc w:val="right"/>
                      <w:rPr>
                        <w:szCs w:val="21"/>
                      </w:rPr>
                    </w:pPr>
                    <w:r>
                      <w:t>23,520,091.86</w:t>
                    </w:r>
                  </w:p>
                </w:tc>
                <w:tc>
                  <w:tcPr>
                    <w:tcW w:w="1018" w:type="pct"/>
                    <w:tcBorders>
                      <w:top w:val="outset" w:sz="4" w:space="0" w:color="auto"/>
                      <w:left w:val="outset" w:sz="4" w:space="0" w:color="auto"/>
                      <w:bottom w:val="outset" w:sz="4" w:space="0" w:color="auto"/>
                      <w:right w:val="outset" w:sz="4" w:space="0" w:color="auto"/>
                    </w:tcBorders>
                  </w:tcPr>
                  <w:p w14:paraId="6F6DF328" w14:textId="77777777" w:rsidR="00830E72" w:rsidRDefault="008344D8">
                    <w:pPr>
                      <w:jc w:val="right"/>
                      <w:rPr>
                        <w:szCs w:val="21"/>
                      </w:rPr>
                    </w:pPr>
                    <w:r>
                      <w:t>23,520,091.86</w:t>
                    </w:r>
                  </w:p>
                </w:tc>
                <w:tc>
                  <w:tcPr>
                    <w:tcW w:w="1180" w:type="pct"/>
                    <w:tcBorders>
                      <w:top w:val="outset" w:sz="4" w:space="0" w:color="auto"/>
                      <w:left w:val="outset" w:sz="4" w:space="0" w:color="auto"/>
                      <w:bottom w:val="outset" w:sz="4" w:space="0" w:color="auto"/>
                      <w:right w:val="outset" w:sz="4" w:space="0" w:color="auto"/>
                    </w:tcBorders>
                  </w:tcPr>
                  <w:p w14:paraId="68162630" w14:textId="77777777" w:rsidR="00830E72" w:rsidRDefault="00830E72">
                    <w:pPr>
                      <w:jc w:val="right"/>
                      <w:rPr>
                        <w:szCs w:val="21"/>
                      </w:rPr>
                    </w:pPr>
                  </w:p>
                </w:tc>
              </w:tr>
              <w:tr w:rsidR="00830E72" w14:paraId="21011C65" w14:textId="77777777">
                <w:sdt>
                  <w:sdtPr>
                    <w:tag w:val="_PLD_51b9a6704bb24333afd79a9e810f3762"/>
                    <w:id w:val="-101307092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A4AB541" w14:textId="77777777" w:rsidR="00830E72" w:rsidRDefault="008344D8">
                        <w:pPr>
                          <w:ind w:firstLineChars="100" w:firstLine="210"/>
                          <w:rPr>
                            <w:szCs w:val="21"/>
                          </w:rPr>
                        </w:pPr>
                        <w:r>
                          <w:rPr>
                            <w:rFonts w:hint="eastAsia"/>
                            <w:szCs w:val="21"/>
                          </w:rPr>
                          <w:t>应交税费</w:t>
                        </w:r>
                      </w:p>
                    </w:tc>
                  </w:sdtContent>
                </w:sdt>
                <w:tc>
                  <w:tcPr>
                    <w:tcW w:w="1097" w:type="pct"/>
                    <w:tcBorders>
                      <w:top w:val="outset" w:sz="4" w:space="0" w:color="auto"/>
                      <w:left w:val="outset" w:sz="4" w:space="0" w:color="auto"/>
                      <w:bottom w:val="outset" w:sz="4" w:space="0" w:color="auto"/>
                      <w:right w:val="outset" w:sz="4" w:space="0" w:color="auto"/>
                    </w:tcBorders>
                  </w:tcPr>
                  <w:p w14:paraId="7F1866AF" w14:textId="77777777" w:rsidR="00830E72" w:rsidRDefault="008344D8">
                    <w:pPr>
                      <w:jc w:val="right"/>
                      <w:rPr>
                        <w:szCs w:val="21"/>
                      </w:rPr>
                    </w:pPr>
                    <w:r>
                      <w:t>21,611,578.67</w:t>
                    </w:r>
                  </w:p>
                </w:tc>
                <w:tc>
                  <w:tcPr>
                    <w:tcW w:w="1018" w:type="pct"/>
                    <w:tcBorders>
                      <w:top w:val="outset" w:sz="4" w:space="0" w:color="auto"/>
                      <w:left w:val="outset" w:sz="4" w:space="0" w:color="auto"/>
                      <w:bottom w:val="outset" w:sz="4" w:space="0" w:color="auto"/>
                      <w:right w:val="outset" w:sz="4" w:space="0" w:color="auto"/>
                    </w:tcBorders>
                  </w:tcPr>
                  <w:p w14:paraId="6628533D" w14:textId="77777777" w:rsidR="00830E72" w:rsidRDefault="008344D8">
                    <w:pPr>
                      <w:jc w:val="right"/>
                      <w:rPr>
                        <w:szCs w:val="21"/>
                      </w:rPr>
                    </w:pPr>
                    <w:r>
                      <w:t>21,611,578.67</w:t>
                    </w:r>
                  </w:p>
                </w:tc>
                <w:tc>
                  <w:tcPr>
                    <w:tcW w:w="1180" w:type="pct"/>
                    <w:tcBorders>
                      <w:top w:val="outset" w:sz="4" w:space="0" w:color="auto"/>
                      <w:left w:val="outset" w:sz="4" w:space="0" w:color="auto"/>
                      <w:bottom w:val="outset" w:sz="4" w:space="0" w:color="auto"/>
                      <w:right w:val="outset" w:sz="4" w:space="0" w:color="auto"/>
                    </w:tcBorders>
                  </w:tcPr>
                  <w:p w14:paraId="340E3B2E" w14:textId="77777777" w:rsidR="00830E72" w:rsidRDefault="00830E72">
                    <w:pPr>
                      <w:jc w:val="right"/>
                      <w:rPr>
                        <w:szCs w:val="21"/>
                      </w:rPr>
                    </w:pPr>
                  </w:p>
                </w:tc>
              </w:tr>
              <w:tr w:rsidR="00830E72" w14:paraId="4842D2F7" w14:textId="77777777">
                <w:sdt>
                  <w:sdtPr>
                    <w:tag w:val="_PLD_6c899088837047b59f06e1ea234d6e77"/>
                    <w:id w:val="-91439688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2AB0983" w14:textId="77777777" w:rsidR="00830E72" w:rsidRDefault="008344D8">
                        <w:pPr>
                          <w:ind w:firstLineChars="100" w:firstLine="210"/>
                          <w:rPr>
                            <w:szCs w:val="21"/>
                          </w:rPr>
                        </w:pPr>
                        <w:r>
                          <w:rPr>
                            <w:rFonts w:hint="eastAsia"/>
                            <w:szCs w:val="21"/>
                          </w:rPr>
                          <w:t>其他应付款</w:t>
                        </w:r>
                      </w:p>
                    </w:tc>
                  </w:sdtContent>
                </w:sdt>
                <w:tc>
                  <w:tcPr>
                    <w:tcW w:w="1097" w:type="pct"/>
                    <w:tcBorders>
                      <w:top w:val="outset" w:sz="4" w:space="0" w:color="auto"/>
                      <w:left w:val="outset" w:sz="4" w:space="0" w:color="auto"/>
                      <w:bottom w:val="outset" w:sz="4" w:space="0" w:color="auto"/>
                      <w:right w:val="outset" w:sz="4" w:space="0" w:color="auto"/>
                    </w:tcBorders>
                  </w:tcPr>
                  <w:p w14:paraId="3698B09F" w14:textId="77777777" w:rsidR="00830E72" w:rsidRDefault="008344D8">
                    <w:pPr>
                      <w:jc w:val="right"/>
                      <w:rPr>
                        <w:szCs w:val="21"/>
                      </w:rPr>
                    </w:pPr>
                    <w:r>
                      <w:t>118,251,334.15</w:t>
                    </w:r>
                  </w:p>
                </w:tc>
                <w:tc>
                  <w:tcPr>
                    <w:tcW w:w="1018" w:type="pct"/>
                    <w:tcBorders>
                      <w:top w:val="outset" w:sz="4" w:space="0" w:color="auto"/>
                      <w:left w:val="outset" w:sz="4" w:space="0" w:color="auto"/>
                      <w:bottom w:val="outset" w:sz="4" w:space="0" w:color="auto"/>
                      <w:right w:val="outset" w:sz="4" w:space="0" w:color="auto"/>
                    </w:tcBorders>
                  </w:tcPr>
                  <w:p w14:paraId="1ABC88EC" w14:textId="77777777" w:rsidR="00830E72" w:rsidRDefault="008344D8">
                    <w:pPr>
                      <w:jc w:val="right"/>
                      <w:rPr>
                        <w:szCs w:val="21"/>
                      </w:rPr>
                    </w:pPr>
                    <w:r>
                      <w:t>118,251,334.15</w:t>
                    </w:r>
                  </w:p>
                </w:tc>
                <w:tc>
                  <w:tcPr>
                    <w:tcW w:w="1180" w:type="pct"/>
                    <w:tcBorders>
                      <w:top w:val="outset" w:sz="4" w:space="0" w:color="auto"/>
                      <w:left w:val="outset" w:sz="4" w:space="0" w:color="auto"/>
                      <w:bottom w:val="outset" w:sz="4" w:space="0" w:color="auto"/>
                      <w:right w:val="outset" w:sz="4" w:space="0" w:color="auto"/>
                    </w:tcBorders>
                  </w:tcPr>
                  <w:p w14:paraId="4DDD9250" w14:textId="77777777" w:rsidR="00830E72" w:rsidRDefault="00830E72">
                    <w:pPr>
                      <w:jc w:val="right"/>
                      <w:rPr>
                        <w:szCs w:val="21"/>
                      </w:rPr>
                    </w:pPr>
                  </w:p>
                </w:tc>
              </w:tr>
              <w:tr w:rsidR="00830E72" w14:paraId="4A253243" w14:textId="77777777">
                <w:sdt>
                  <w:sdtPr>
                    <w:tag w:val="_PLD_32cf39725ac848019b8f693468e6c1df"/>
                    <w:id w:val="-92541261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6A427A5" w14:textId="77777777" w:rsidR="00830E72" w:rsidRDefault="008344D8">
                        <w:pPr>
                          <w:ind w:firstLineChars="100" w:firstLine="210"/>
                          <w:rPr>
                            <w:szCs w:val="21"/>
                          </w:rPr>
                        </w:pPr>
                        <w:r>
                          <w:rPr>
                            <w:rFonts w:hint="eastAsia"/>
                          </w:rPr>
                          <w:t>其中：</w:t>
                        </w:r>
                        <w:r>
                          <w:rPr>
                            <w:rFonts w:hint="eastAsia"/>
                            <w:szCs w:val="21"/>
                          </w:rPr>
                          <w:t>应付利息</w:t>
                        </w:r>
                      </w:p>
                    </w:tc>
                  </w:sdtContent>
                </w:sdt>
                <w:tc>
                  <w:tcPr>
                    <w:tcW w:w="1097" w:type="pct"/>
                    <w:tcBorders>
                      <w:top w:val="outset" w:sz="4" w:space="0" w:color="auto"/>
                      <w:left w:val="outset" w:sz="4" w:space="0" w:color="auto"/>
                      <w:bottom w:val="outset" w:sz="4" w:space="0" w:color="auto"/>
                      <w:right w:val="outset" w:sz="4" w:space="0" w:color="auto"/>
                    </w:tcBorders>
                  </w:tcPr>
                  <w:p w14:paraId="2291BD95"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4C22D266"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6EEE61A7" w14:textId="77777777" w:rsidR="00830E72" w:rsidRDefault="00830E72">
                    <w:pPr>
                      <w:jc w:val="right"/>
                      <w:rPr>
                        <w:szCs w:val="21"/>
                      </w:rPr>
                    </w:pPr>
                  </w:p>
                </w:tc>
              </w:tr>
              <w:tr w:rsidR="00830E72" w14:paraId="2A662371" w14:textId="77777777">
                <w:sdt>
                  <w:sdtPr>
                    <w:tag w:val="_PLD_d6b3a45e82e14416b52097ea23c99d71"/>
                    <w:id w:val="-148022092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0061214" w14:textId="77777777" w:rsidR="00830E72" w:rsidRDefault="008344D8">
                        <w:pPr>
                          <w:ind w:firstLineChars="400" w:firstLine="840"/>
                          <w:rPr>
                            <w:szCs w:val="21"/>
                          </w:rPr>
                        </w:pPr>
                        <w:r>
                          <w:rPr>
                            <w:rFonts w:hint="eastAsia"/>
                            <w:szCs w:val="21"/>
                          </w:rPr>
                          <w:t>应付股利</w:t>
                        </w:r>
                      </w:p>
                    </w:tc>
                  </w:sdtContent>
                </w:sdt>
                <w:tc>
                  <w:tcPr>
                    <w:tcW w:w="1097" w:type="pct"/>
                    <w:tcBorders>
                      <w:top w:val="outset" w:sz="4" w:space="0" w:color="auto"/>
                      <w:left w:val="outset" w:sz="4" w:space="0" w:color="auto"/>
                      <w:bottom w:val="outset" w:sz="4" w:space="0" w:color="auto"/>
                      <w:right w:val="outset" w:sz="4" w:space="0" w:color="auto"/>
                    </w:tcBorders>
                  </w:tcPr>
                  <w:p w14:paraId="53F045A8"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43AD274E"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64C9BD0A" w14:textId="77777777" w:rsidR="00830E72" w:rsidRDefault="00830E72">
                    <w:pPr>
                      <w:jc w:val="right"/>
                      <w:rPr>
                        <w:szCs w:val="21"/>
                      </w:rPr>
                    </w:pPr>
                  </w:p>
                </w:tc>
              </w:tr>
              <w:tr w:rsidR="00830E72" w14:paraId="5E9E19DB" w14:textId="77777777">
                <w:sdt>
                  <w:sdtPr>
                    <w:tag w:val="_PLD_096b25761952479bbcd407760f4ca6e6"/>
                    <w:id w:val="199559889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B6A74BA" w14:textId="77777777" w:rsidR="00830E72" w:rsidRDefault="008344D8">
                        <w:pPr>
                          <w:ind w:firstLineChars="100" w:firstLine="210"/>
                          <w:rPr>
                            <w:szCs w:val="21"/>
                          </w:rPr>
                        </w:pPr>
                        <w:r>
                          <w:rPr>
                            <w:rFonts w:hint="eastAsia"/>
                            <w:szCs w:val="21"/>
                          </w:rPr>
                          <w:t>持有待售负债</w:t>
                        </w:r>
                      </w:p>
                    </w:tc>
                  </w:sdtContent>
                </w:sdt>
                <w:tc>
                  <w:tcPr>
                    <w:tcW w:w="1097" w:type="pct"/>
                    <w:tcBorders>
                      <w:top w:val="outset" w:sz="4" w:space="0" w:color="auto"/>
                      <w:left w:val="outset" w:sz="4" w:space="0" w:color="auto"/>
                      <w:bottom w:val="outset" w:sz="4" w:space="0" w:color="auto"/>
                      <w:right w:val="outset" w:sz="4" w:space="0" w:color="auto"/>
                    </w:tcBorders>
                  </w:tcPr>
                  <w:p w14:paraId="2E0CD2C5"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3CFEA92E"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10AD2CD8" w14:textId="77777777" w:rsidR="00830E72" w:rsidRDefault="00830E72">
                    <w:pPr>
                      <w:jc w:val="right"/>
                      <w:rPr>
                        <w:szCs w:val="21"/>
                      </w:rPr>
                    </w:pPr>
                  </w:p>
                </w:tc>
              </w:tr>
              <w:tr w:rsidR="00830E72" w14:paraId="6BEF0409" w14:textId="77777777">
                <w:sdt>
                  <w:sdtPr>
                    <w:tag w:val="_PLD_57f107b54d7347ddb70cc3541d45fd9a"/>
                    <w:id w:val="-21951813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252DA05" w14:textId="77777777" w:rsidR="00830E72" w:rsidRDefault="008344D8">
                        <w:pPr>
                          <w:ind w:firstLineChars="100" w:firstLine="210"/>
                          <w:rPr>
                            <w:szCs w:val="21"/>
                          </w:rPr>
                        </w:pPr>
                        <w:r>
                          <w:rPr>
                            <w:rFonts w:hint="eastAsia"/>
                            <w:szCs w:val="21"/>
                          </w:rPr>
                          <w:t>一年内到期的非流动负债</w:t>
                        </w:r>
                      </w:p>
                    </w:tc>
                  </w:sdtContent>
                </w:sdt>
                <w:tc>
                  <w:tcPr>
                    <w:tcW w:w="1097" w:type="pct"/>
                    <w:tcBorders>
                      <w:top w:val="outset" w:sz="4" w:space="0" w:color="auto"/>
                      <w:left w:val="outset" w:sz="4" w:space="0" w:color="auto"/>
                      <w:bottom w:val="outset" w:sz="4" w:space="0" w:color="auto"/>
                      <w:right w:val="outset" w:sz="4" w:space="0" w:color="auto"/>
                    </w:tcBorders>
                  </w:tcPr>
                  <w:p w14:paraId="6F82EE7F"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0D046192"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7C1FD303" w14:textId="77777777" w:rsidR="00830E72" w:rsidRDefault="00830E72">
                    <w:pPr>
                      <w:jc w:val="right"/>
                      <w:rPr>
                        <w:szCs w:val="21"/>
                      </w:rPr>
                    </w:pPr>
                  </w:p>
                </w:tc>
              </w:tr>
              <w:tr w:rsidR="00830E72" w14:paraId="5CEAC03D" w14:textId="77777777">
                <w:sdt>
                  <w:sdtPr>
                    <w:tag w:val="_PLD_cfb10e5f20a24287a1f812e4f551eb22"/>
                    <w:id w:val="54133953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B7AC77A" w14:textId="77777777" w:rsidR="00830E72" w:rsidRDefault="008344D8">
                        <w:pPr>
                          <w:ind w:firstLineChars="100" w:firstLine="210"/>
                          <w:rPr>
                            <w:szCs w:val="21"/>
                          </w:rPr>
                        </w:pPr>
                        <w:r>
                          <w:rPr>
                            <w:rFonts w:hint="eastAsia"/>
                            <w:szCs w:val="21"/>
                          </w:rPr>
                          <w:t>其他流动负债</w:t>
                        </w:r>
                      </w:p>
                    </w:tc>
                  </w:sdtContent>
                </w:sdt>
                <w:tc>
                  <w:tcPr>
                    <w:tcW w:w="1097" w:type="pct"/>
                    <w:tcBorders>
                      <w:top w:val="outset" w:sz="4" w:space="0" w:color="auto"/>
                      <w:left w:val="outset" w:sz="4" w:space="0" w:color="auto"/>
                      <w:bottom w:val="outset" w:sz="4" w:space="0" w:color="auto"/>
                      <w:right w:val="outset" w:sz="4" w:space="0" w:color="auto"/>
                    </w:tcBorders>
                  </w:tcPr>
                  <w:p w14:paraId="4043770D" w14:textId="77777777" w:rsidR="00830E72" w:rsidRDefault="008344D8">
                    <w:pPr>
                      <w:jc w:val="right"/>
                      <w:rPr>
                        <w:szCs w:val="21"/>
                      </w:rPr>
                    </w:pPr>
                    <w:r>
                      <w:t>163,374,143.81</w:t>
                    </w:r>
                  </w:p>
                </w:tc>
                <w:tc>
                  <w:tcPr>
                    <w:tcW w:w="1018" w:type="pct"/>
                    <w:tcBorders>
                      <w:top w:val="outset" w:sz="4" w:space="0" w:color="auto"/>
                      <w:left w:val="outset" w:sz="4" w:space="0" w:color="auto"/>
                      <w:bottom w:val="outset" w:sz="4" w:space="0" w:color="auto"/>
                      <w:right w:val="outset" w:sz="4" w:space="0" w:color="auto"/>
                    </w:tcBorders>
                  </w:tcPr>
                  <w:p w14:paraId="773AFE7E" w14:textId="77777777" w:rsidR="00830E72" w:rsidRDefault="008344D8">
                    <w:pPr>
                      <w:jc w:val="right"/>
                      <w:rPr>
                        <w:szCs w:val="21"/>
                      </w:rPr>
                    </w:pPr>
                    <w:r>
                      <w:t>163,374,143.81</w:t>
                    </w:r>
                  </w:p>
                </w:tc>
                <w:tc>
                  <w:tcPr>
                    <w:tcW w:w="1180" w:type="pct"/>
                    <w:tcBorders>
                      <w:top w:val="outset" w:sz="4" w:space="0" w:color="auto"/>
                      <w:left w:val="outset" w:sz="4" w:space="0" w:color="auto"/>
                      <w:bottom w:val="outset" w:sz="4" w:space="0" w:color="auto"/>
                      <w:right w:val="outset" w:sz="4" w:space="0" w:color="auto"/>
                    </w:tcBorders>
                  </w:tcPr>
                  <w:p w14:paraId="2D4220A2" w14:textId="77777777" w:rsidR="00830E72" w:rsidRDefault="00830E72">
                    <w:pPr>
                      <w:jc w:val="right"/>
                      <w:rPr>
                        <w:szCs w:val="21"/>
                      </w:rPr>
                    </w:pPr>
                  </w:p>
                </w:tc>
              </w:tr>
              <w:tr w:rsidR="00830E72" w14:paraId="7F1AC36D" w14:textId="77777777">
                <w:sdt>
                  <w:sdtPr>
                    <w:tag w:val="_PLD_bf4cf672283f4e4d98b659444f70f237"/>
                    <w:id w:val="69434426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4DDD8C0" w14:textId="77777777" w:rsidR="00830E72" w:rsidRDefault="008344D8">
                        <w:pPr>
                          <w:ind w:firstLineChars="200" w:firstLine="420"/>
                          <w:rPr>
                            <w:szCs w:val="21"/>
                          </w:rPr>
                        </w:pPr>
                        <w:r>
                          <w:rPr>
                            <w:rFonts w:hint="eastAsia"/>
                            <w:szCs w:val="21"/>
                          </w:rPr>
                          <w:t>流动负债合计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3DD10981" w14:textId="77777777" w:rsidR="00830E72" w:rsidRDefault="008344D8">
                    <w:pPr>
                      <w:jc w:val="right"/>
                      <w:rPr>
                        <w:szCs w:val="21"/>
                      </w:rPr>
                    </w:pPr>
                    <w:r>
                      <w:t>3,363,222,307.45</w:t>
                    </w:r>
                  </w:p>
                </w:tc>
                <w:tc>
                  <w:tcPr>
                    <w:tcW w:w="1018" w:type="pct"/>
                    <w:tcBorders>
                      <w:top w:val="outset" w:sz="4" w:space="0" w:color="auto"/>
                      <w:left w:val="outset" w:sz="4" w:space="0" w:color="auto"/>
                      <w:bottom w:val="outset" w:sz="4" w:space="0" w:color="auto"/>
                      <w:right w:val="outset" w:sz="4" w:space="0" w:color="auto"/>
                    </w:tcBorders>
                  </w:tcPr>
                  <w:p w14:paraId="176665D8" w14:textId="77777777" w:rsidR="00830E72" w:rsidRDefault="008344D8">
                    <w:pPr>
                      <w:jc w:val="right"/>
                      <w:rPr>
                        <w:szCs w:val="21"/>
                      </w:rPr>
                    </w:pPr>
                    <w:r>
                      <w:t>3,363,222,307.45</w:t>
                    </w:r>
                  </w:p>
                </w:tc>
                <w:tc>
                  <w:tcPr>
                    <w:tcW w:w="1180" w:type="pct"/>
                    <w:tcBorders>
                      <w:top w:val="outset" w:sz="4" w:space="0" w:color="auto"/>
                      <w:left w:val="outset" w:sz="4" w:space="0" w:color="auto"/>
                      <w:bottom w:val="outset" w:sz="4" w:space="0" w:color="auto"/>
                      <w:right w:val="outset" w:sz="4" w:space="0" w:color="auto"/>
                    </w:tcBorders>
                    <w:vAlign w:val="center"/>
                  </w:tcPr>
                  <w:p w14:paraId="4E5DC9FD" w14:textId="77777777" w:rsidR="00830E72" w:rsidRDefault="00830E72">
                    <w:pPr>
                      <w:jc w:val="right"/>
                      <w:rPr>
                        <w:szCs w:val="21"/>
                      </w:rPr>
                    </w:pPr>
                  </w:p>
                </w:tc>
              </w:tr>
              <w:tr w:rsidR="00830E72" w14:paraId="59CA8D76" w14:textId="77777777">
                <w:sdt>
                  <w:sdtPr>
                    <w:tag w:val="_PLD_52a22ef7fccb4e379a79ea67a62aaba0"/>
                    <w:id w:val="67176322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0C8289B" w14:textId="77777777" w:rsidR="00830E72" w:rsidRDefault="008344D8">
                        <w:pPr>
                          <w:rPr>
                            <w:color w:val="008000"/>
                            <w:szCs w:val="21"/>
                          </w:rPr>
                        </w:pPr>
                        <w:r>
                          <w:rPr>
                            <w:rFonts w:hint="eastAsia"/>
                            <w:b/>
                            <w:bCs/>
                            <w:szCs w:val="21"/>
                          </w:rPr>
                          <w:t>非流动负债：</w:t>
                        </w:r>
                      </w:p>
                    </w:tc>
                  </w:sdtContent>
                </w:sdt>
              </w:tr>
              <w:tr w:rsidR="00830E72" w14:paraId="22233286" w14:textId="77777777">
                <w:sdt>
                  <w:sdtPr>
                    <w:tag w:val="_PLD_1b50d6aca4f848b0a201012e1a56c5df"/>
                    <w:id w:val="-65206456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AA1C8D3" w14:textId="77777777" w:rsidR="00830E72" w:rsidRDefault="008344D8">
                        <w:pPr>
                          <w:ind w:firstLineChars="100" w:firstLine="210"/>
                          <w:rPr>
                            <w:szCs w:val="21"/>
                          </w:rPr>
                        </w:pPr>
                        <w:r>
                          <w:rPr>
                            <w:rFonts w:hint="eastAsia"/>
                            <w:szCs w:val="21"/>
                          </w:rPr>
                          <w:t>长期借款</w:t>
                        </w:r>
                      </w:p>
                    </w:tc>
                  </w:sdtContent>
                </w:sdt>
                <w:tc>
                  <w:tcPr>
                    <w:tcW w:w="1097" w:type="pct"/>
                    <w:tcBorders>
                      <w:top w:val="outset" w:sz="4" w:space="0" w:color="auto"/>
                      <w:left w:val="outset" w:sz="4" w:space="0" w:color="auto"/>
                      <w:bottom w:val="outset" w:sz="4" w:space="0" w:color="auto"/>
                      <w:right w:val="outset" w:sz="4" w:space="0" w:color="auto"/>
                    </w:tcBorders>
                  </w:tcPr>
                  <w:p w14:paraId="3BA22224"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56049099"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082C2F67" w14:textId="77777777" w:rsidR="00830E72" w:rsidRDefault="00830E72">
                    <w:pPr>
                      <w:jc w:val="right"/>
                      <w:rPr>
                        <w:szCs w:val="21"/>
                      </w:rPr>
                    </w:pPr>
                  </w:p>
                </w:tc>
              </w:tr>
              <w:tr w:rsidR="00830E72" w14:paraId="60382316" w14:textId="77777777">
                <w:sdt>
                  <w:sdtPr>
                    <w:tag w:val="_PLD_f743fead7c3f4b6298b2ba6c4fa6f032"/>
                    <w:id w:val="83426212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B5609AF" w14:textId="77777777" w:rsidR="00830E72" w:rsidRDefault="008344D8">
                        <w:pPr>
                          <w:ind w:firstLineChars="100" w:firstLine="210"/>
                          <w:rPr>
                            <w:szCs w:val="21"/>
                          </w:rPr>
                        </w:pPr>
                        <w:r>
                          <w:rPr>
                            <w:rFonts w:hint="eastAsia"/>
                            <w:szCs w:val="21"/>
                          </w:rPr>
                          <w:t>应付债券</w:t>
                        </w:r>
                      </w:p>
                    </w:tc>
                  </w:sdtContent>
                </w:sdt>
                <w:tc>
                  <w:tcPr>
                    <w:tcW w:w="1097" w:type="pct"/>
                    <w:tcBorders>
                      <w:top w:val="outset" w:sz="4" w:space="0" w:color="auto"/>
                      <w:left w:val="outset" w:sz="4" w:space="0" w:color="auto"/>
                      <w:bottom w:val="outset" w:sz="4" w:space="0" w:color="auto"/>
                      <w:right w:val="outset" w:sz="4" w:space="0" w:color="auto"/>
                    </w:tcBorders>
                  </w:tcPr>
                  <w:p w14:paraId="6EBE5198"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164D17F4"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269C9620" w14:textId="77777777" w:rsidR="00830E72" w:rsidRDefault="00830E72">
                    <w:pPr>
                      <w:jc w:val="right"/>
                      <w:rPr>
                        <w:szCs w:val="21"/>
                      </w:rPr>
                    </w:pPr>
                  </w:p>
                </w:tc>
              </w:tr>
              <w:tr w:rsidR="00830E72" w14:paraId="1345BF84" w14:textId="77777777">
                <w:sdt>
                  <w:sdtPr>
                    <w:tag w:val="_PLD_b26c3fd416f248bd8f93f66fe4e65e3a"/>
                    <w:id w:val="164600823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4A6FE8C" w14:textId="77777777" w:rsidR="00830E72" w:rsidRDefault="008344D8">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14:paraId="75802EDA"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519253E9"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75A9EF14" w14:textId="77777777" w:rsidR="00830E72" w:rsidRDefault="00830E72">
                    <w:pPr>
                      <w:jc w:val="right"/>
                      <w:rPr>
                        <w:szCs w:val="21"/>
                      </w:rPr>
                    </w:pPr>
                  </w:p>
                </w:tc>
              </w:tr>
              <w:tr w:rsidR="00830E72" w14:paraId="5DDE5170" w14:textId="77777777">
                <w:sdt>
                  <w:sdtPr>
                    <w:tag w:val="_PLD_cfafb0006816456baad4e5eaa44f8e74"/>
                    <w:id w:val="-110571916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5D0D822" w14:textId="77777777" w:rsidR="00830E72" w:rsidRDefault="008344D8">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14:paraId="68007E7E"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7601A892"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38ACF275" w14:textId="77777777" w:rsidR="00830E72" w:rsidRDefault="00830E72">
                    <w:pPr>
                      <w:jc w:val="right"/>
                      <w:rPr>
                        <w:szCs w:val="21"/>
                      </w:rPr>
                    </w:pPr>
                  </w:p>
                </w:tc>
              </w:tr>
              <w:tr w:rsidR="00830E72" w14:paraId="7B33081C" w14:textId="7777777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7fbe27f38d04e5296f624963d65b0bd"/>
                      <w:id w:val="-1124845532"/>
                      <w:lock w:val="sdtLocked"/>
                    </w:sdtPr>
                    <w:sdtEndPr/>
                    <w:sdtContent>
                      <w:p w14:paraId="34E714D9" w14:textId="77777777" w:rsidR="00830E72" w:rsidRDefault="008344D8">
                        <w:pPr>
                          <w:ind w:firstLineChars="100" w:firstLine="210"/>
                        </w:pPr>
                        <w:r>
                          <w:rPr>
                            <w:rFonts w:hint="eastAsia"/>
                          </w:rPr>
                          <w:t>租赁负债</w:t>
                        </w:r>
                      </w:p>
                    </w:sdtContent>
                  </w:sdt>
                </w:tc>
                <w:tc>
                  <w:tcPr>
                    <w:tcW w:w="1097" w:type="pct"/>
                    <w:tcBorders>
                      <w:top w:val="outset" w:sz="4" w:space="0" w:color="auto"/>
                      <w:left w:val="outset" w:sz="4" w:space="0" w:color="auto"/>
                      <w:bottom w:val="outset" w:sz="4" w:space="0" w:color="auto"/>
                      <w:right w:val="outset" w:sz="4" w:space="0" w:color="auto"/>
                    </w:tcBorders>
                    <w:vAlign w:val="center"/>
                  </w:tcPr>
                  <w:p w14:paraId="20179689"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43F6C71B" w14:textId="77777777" w:rsidR="00830E72" w:rsidRDefault="008344D8">
                    <w:pPr>
                      <w:jc w:val="right"/>
                      <w:rPr>
                        <w:szCs w:val="21"/>
                      </w:rPr>
                    </w:pPr>
                    <w:r>
                      <w:t>4,604,543.66</w:t>
                    </w:r>
                  </w:p>
                </w:tc>
                <w:tc>
                  <w:tcPr>
                    <w:tcW w:w="1180" w:type="pct"/>
                    <w:tcBorders>
                      <w:top w:val="outset" w:sz="4" w:space="0" w:color="auto"/>
                      <w:left w:val="outset" w:sz="4" w:space="0" w:color="auto"/>
                      <w:bottom w:val="outset" w:sz="4" w:space="0" w:color="auto"/>
                      <w:right w:val="outset" w:sz="4" w:space="0" w:color="auto"/>
                    </w:tcBorders>
                    <w:vAlign w:val="center"/>
                  </w:tcPr>
                  <w:p w14:paraId="6D413FA1" w14:textId="77777777" w:rsidR="00830E72" w:rsidRDefault="008344D8">
                    <w:pPr>
                      <w:jc w:val="right"/>
                      <w:rPr>
                        <w:szCs w:val="21"/>
                      </w:rPr>
                    </w:pPr>
                    <w:r>
                      <w:t>4,604,543.66</w:t>
                    </w:r>
                  </w:p>
                </w:tc>
              </w:tr>
              <w:tr w:rsidR="00830E72" w14:paraId="0400302F" w14:textId="77777777">
                <w:sdt>
                  <w:sdtPr>
                    <w:tag w:val="_PLD_763b001745074e8f80d333aa33c77b1c"/>
                    <w:id w:val="-42041919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FCB077D" w14:textId="77777777" w:rsidR="00830E72" w:rsidRDefault="008344D8">
                        <w:pPr>
                          <w:ind w:firstLineChars="100" w:firstLine="210"/>
                          <w:rPr>
                            <w:szCs w:val="21"/>
                          </w:rPr>
                        </w:pPr>
                        <w:r>
                          <w:rPr>
                            <w:rFonts w:hint="eastAsia"/>
                            <w:szCs w:val="21"/>
                          </w:rPr>
                          <w:t>长期应付款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5AEB4736"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0F17C5C0"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1E0A1624" w14:textId="77777777" w:rsidR="00830E72" w:rsidRDefault="00830E72">
                    <w:pPr>
                      <w:jc w:val="right"/>
                      <w:rPr>
                        <w:szCs w:val="21"/>
                      </w:rPr>
                    </w:pPr>
                  </w:p>
                </w:tc>
              </w:tr>
              <w:tr w:rsidR="00830E72" w14:paraId="3D284036" w14:textId="77777777">
                <w:sdt>
                  <w:sdtPr>
                    <w:tag w:val="_PLD_54a1b08397c44641a82c6703cc59448a"/>
                    <w:id w:val="-39065014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6452B08" w14:textId="77777777" w:rsidR="00830E72" w:rsidRDefault="008344D8">
                        <w:pPr>
                          <w:ind w:firstLineChars="100" w:firstLine="210"/>
                          <w:rPr>
                            <w:szCs w:val="21"/>
                          </w:rPr>
                        </w:pPr>
                        <w:r>
                          <w:rPr>
                            <w:rFonts w:hint="eastAsia"/>
                            <w:szCs w:val="21"/>
                          </w:rPr>
                          <w:t>长期应付职工薪酬</w:t>
                        </w:r>
                      </w:p>
                    </w:tc>
                  </w:sdtContent>
                </w:sdt>
                <w:tc>
                  <w:tcPr>
                    <w:tcW w:w="1097" w:type="pct"/>
                    <w:tcBorders>
                      <w:top w:val="outset" w:sz="4" w:space="0" w:color="auto"/>
                      <w:left w:val="outset" w:sz="4" w:space="0" w:color="auto"/>
                      <w:bottom w:val="outset" w:sz="4" w:space="0" w:color="auto"/>
                      <w:right w:val="outset" w:sz="4" w:space="0" w:color="auto"/>
                    </w:tcBorders>
                  </w:tcPr>
                  <w:p w14:paraId="76908EF8"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22C9C1B9"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311992FA" w14:textId="77777777" w:rsidR="00830E72" w:rsidRDefault="00830E72">
                    <w:pPr>
                      <w:jc w:val="right"/>
                      <w:rPr>
                        <w:szCs w:val="21"/>
                      </w:rPr>
                    </w:pPr>
                  </w:p>
                </w:tc>
              </w:tr>
              <w:tr w:rsidR="00830E72" w14:paraId="5127BD7D" w14:textId="77777777">
                <w:sdt>
                  <w:sdtPr>
                    <w:tag w:val="_PLD_ef8f7fa162d14efa8d47e7f05d101e03"/>
                    <w:id w:val="2444284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C3424B8" w14:textId="77777777" w:rsidR="00830E72" w:rsidRDefault="008344D8">
                        <w:pPr>
                          <w:ind w:firstLineChars="100" w:firstLine="210"/>
                          <w:rPr>
                            <w:szCs w:val="21"/>
                          </w:rPr>
                        </w:pPr>
                        <w:r>
                          <w:rPr>
                            <w:rFonts w:hint="eastAsia"/>
                            <w:szCs w:val="21"/>
                          </w:rPr>
                          <w:t>预计负债</w:t>
                        </w:r>
                      </w:p>
                    </w:tc>
                  </w:sdtContent>
                </w:sdt>
                <w:tc>
                  <w:tcPr>
                    <w:tcW w:w="1097" w:type="pct"/>
                    <w:tcBorders>
                      <w:top w:val="outset" w:sz="4" w:space="0" w:color="auto"/>
                      <w:left w:val="outset" w:sz="4" w:space="0" w:color="auto"/>
                      <w:bottom w:val="outset" w:sz="4" w:space="0" w:color="auto"/>
                      <w:right w:val="outset" w:sz="4" w:space="0" w:color="auto"/>
                    </w:tcBorders>
                  </w:tcPr>
                  <w:p w14:paraId="07717D2A" w14:textId="77777777" w:rsidR="00830E72" w:rsidRDefault="008344D8">
                    <w:pPr>
                      <w:jc w:val="right"/>
                      <w:rPr>
                        <w:szCs w:val="21"/>
                      </w:rPr>
                    </w:pPr>
                    <w:r>
                      <w:t>4,855,107.55</w:t>
                    </w:r>
                  </w:p>
                </w:tc>
                <w:tc>
                  <w:tcPr>
                    <w:tcW w:w="1018" w:type="pct"/>
                    <w:tcBorders>
                      <w:top w:val="outset" w:sz="4" w:space="0" w:color="auto"/>
                      <w:left w:val="outset" w:sz="4" w:space="0" w:color="auto"/>
                      <w:bottom w:val="outset" w:sz="4" w:space="0" w:color="auto"/>
                      <w:right w:val="outset" w:sz="4" w:space="0" w:color="auto"/>
                    </w:tcBorders>
                  </w:tcPr>
                  <w:p w14:paraId="27DB7154" w14:textId="77777777" w:rsidR="00830E72" w:rsidRDefault="008344D8">
                    <w:pPr>
                      <w:jc w:val="right"/>
                      <w:rPr>
                        <w:szCs w:val="21"/>
                      </w:rPr>
                    </w:pPr>
                    <w:r>
                      <w:t>4,855,107.55</w:t>
                    </w:r>
                  </w:p>
                </w:tc>
                <w:tc>
                  <w:tcPr>
                    <w:tcW w:w="1180" w:type="pct"/>
                    <w:tcBorders>
                      <w:top w:val="outset" w:sz="4" w:space="0" w:color="auto"/>
                      <w:left w:val="outset" w:sz="4" w:space="0" w:color="auto"/>
                      <w:bottom w:val="outset" w:sz="4" w:space="0" w:color="auto"/>
                      <w:right w:val="outset" w:sz="4" w:space="0" w:color="auto"/>
                    </w:tcBorders>
                  </w:tcPr>
                  <w:p w14:paraId="2897586B" w14:textId="77777777" w:rsidR="00830E72" w:rsidRDefault="00830E72">
                    <w:pPr>
                      <w:jc w:val="right"/>
                      <w:rPr>
                        <w:szCs w:val="21"/>
                      </w:rPr>
                    </w:pPr>
                  </w:p>
                </w:tc>
              </w:tr>
              <w:tr w:rsidR="00830E72" w14:paraId="440F93E0" w14:textId="77777777">
                <w:sdt>
                  <w:sdtPr>
                    <w:tag w:val="_PLD_120d7a5cbf854260b2b6e8f758bd1a73"/>
                    <w:id w:val="-176891853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C9D3C39" w14:textId="77777777" w:rsidR="00830E72" w:rsidRDefault="008344D8">
                        <w:pPr>
                          <w:ind w:firstLineChars="100" w:firstLine="210"/>
                          <w:rPr>
                            <w:szCs w:val="21"/>
                          </w:rPr>
                        </w:pPr>
                        <w:r>
                          <w:rPr>
                            <w:rFonts w:hint="eastAsia"/>
                            <w:szCs w:val="21"/>
                          </w:rPr>
                          <w:t>递延收益</w:t>
                        </w:r>
                      </w:p>
                    </w:tc>
                  </w:sdtContent>
                </w:sdt>
                <w:tc>
                  <w:tcPr>
                    <w:tcW w:w="1097" w:type="pct"/>
                    <w:tcBorders>
                      <w:top w:val="outset" w:sz="4" w:space="0" w:color="auto"/>
                      <w:left w:val="outset" w:sz="4" w:space="0" w:color="auto"/>
                      <w:bottom w:val="outset" w:sz="4" w:space="0" w:color="auto"/>
                      <w:right w:val="outset" w:sz="4" w:space="0" w:color="auto"/>
                    </w:tcBorders>
                  </w:tcPr>
                  <w:p w14:paraId="371C526A"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54928226"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1397DD40" w14:textId="77777777" w:rsidR="00830E72" w:rsidRDefault="00830E72">
                    <w:pPr>
                      <w:jc w:val="right"/>
                      <w:rPr>
                        <w:szCs w:val="21"/>
                      </w:rPr>
                    </w:pPr>
                  </w:p>
                </w:tc>
              </w:tr>
              <w:tr w:rsidR="00830E72" w14:paraId="038295C2" w14:textId="77777777">
                <w:sdt>
                  <w:sdtPr>
                    <w:tag w:val="_PLD_d6cf4310ed7c45cbb6be75b34ac02fd6"/>
                    <w:id w:val="-103742612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4A8D7FC" w14:textId="77777777" w:rsidR="00830E72" w:rsidRDefault="008344D8">
                        <w:pPr>
                          <w:ind w:firstLineChars="100" w:firstLine="210"/>
                          <w:rPr>
                            <w:szCs w:val="21"/>
                          </w:rPr>
                        </w:pPr>
                        <w:r>
                          <w:rPr>
                            <w:rFonts w:hint="eastAsia"/>
                            <w:szCs w:val="21"/>
                          </w:rPr>
                          <w:t>递延所得税负债</w:t>
                        </w:r>
                      </w:p>
                    </w:tc>
                  </w:sdtContent>
                </w:sdt>
                <w:tc>
                  <w:tcPr>
                    <w:tcW w:w="1097" w:type="pct"/>
                    <w:tcBorders>
                      <w:top w:val="outset" w:sz="4" w:space="0" w:color="auto"/>
                      <w:left w:val="outset" w:sz="4" w:space="0" w:color="auto"/>
                      <w:bottom w:val="outset" w:sz="4" w:space="0" w:color="auto"/>
                      <w:right w:val="outset" w:sz="4" w:space="0" w:color="auto"/>
                    </w:tcBorders>
                  </w:tcPr>
                  <w:p w14:paraId="7C72AFB1" w14:textId="77777777" w:rsidR="00830E72" w:rsidRDefault="008344D8">
                    <w:pPr>
                      <w:jc w:val="right"/>
                      <w:rPr>
                        <w:szCs w:val="21"/>
                      </w:rPr>
                    </w:pPr>
                    <w:r>
                      <w:t>7,511,253.52</w:t>
                    </w:r>
                  </w:p>
                </w:tc>
                <w:tc>
                  <w:tcPr>
                    <w:tcW w:w="1018" w:type="pct"/>
                    <w:tcBorders>
                      <w:top w:val="outset" w:sz="4" w:space="0" w:color="auto"/>
                      <w:left w:val="outset" w:sz="4" w:space="0" w:color="auto"/>
                      <w:bottom w:val="outset" w:sz="4" w:space="0" w:color="auto"/>
                      <w:right w:val="outset" w:sz="4" w:space="0" w:color="auto"/>
                    </w:tcBorders>
                  </w:tcPr>
                  <w:p w14:paraId="56CB0EA3" w14:textId="77777777" w:rsidR="00830E72" w:rsidRDefault="008344D8">
                    <w:pPr>
                      <w:jc w:val="right"/>
                      <w:rPr>
                        <w:szCs w:val="21"/>
                      </w:rPr>
                    </w:pPr>
                    <w:r>
                      <w:t>7,511,253.52</w:t>
                    </w:r>
                  </w:p>
                </w:tc>
                <w:tc>
                  <w:tcPr>
                    <w:tcW w:w="1180" w:type="pct"/>
                    <w:tcBorders>
                      <w:top w:val="outset" w:sz="4" w:space="0" w:color="auto"/>
                      <w:left w:val="outset" w:sz="4" w:space="0" w:color="auto"/>
                      <w:bottom w:val="outset" w:sz="4" w:space="0" w:color="auto"/>
                      <w:right w:val="outset" w:sz="4" w:space="0" w:color="auto"/>
                    </w:tcBorders>
                  </w:tcPr>
                  <w:p w14:paraId="46FD6E70" w14:textId="77777777" w:rsidR="00830E72" w:rsidRDefault="00830E72">
                    <w:pPr>
                      <w:jc w:val="right"/>
                      <w:rPr>
                        <w:szCs w:val="21"/>
                      </w:rPr>
                    </w:pPr>
                  </w:p>
                </w:tc>
              </w:tr>
              <w:tr w:rsidR="00830E72" w14:paraId="0140ADF3" w14:textId="77777777">
                <w:sdt>
                  <w:sdtPr>
                    <w:tag w:val="_PLD_004e165cb9b945988d1ce02dce8c7a6e"/>
                    <w:id w:val="124675535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3B7E980" w14:textId="77777777" w:rsidR="00830E72" w:rsidRDefault="008344D8">
                        <w:pPr>
                          <w:ind w:firstLineChars="100" w:firstLine="210"/>
                          <w:rPr>
                            <w:szCs w:val="21"/>
                          </w:rPr>
                        </w:pPr>
                        <w:r>
                          <w:rPr>
                            <w:rFonts w:hint="eastAsia"/>
                            <w:szCs w:val="21"/>
                          </w:rPr>
                          <w:t>其他非流动负债</w:t>
                        </w:r>
                      </w:p>
                    </w:tc>
                  </w:sdtContent>
                </w:sdt>
                <w:tc>
                  <w:tcPr>
                    <w:tcW w:w="1097" w:type="pct"/>
                    <w:tcBorders>
                      <w:top w:val="outset" w:sz="4" w:space="0" w:color="auto"/>
                      <w:left w:val="outset" w:sz="4" w:space="0" w:color="auto"/>
                      <w:bottom w:val="outset" w:sz="4" w:space="0" w:color="auto"/>
                      <w:right w:val="outset" w:sz="4" w:space="0" w:color="auto"/>
                    </w:tcBorders>
                  </w:tcPr>
                  <w:p w14:paraId="0185ABEB"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002116BD"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10720544" w14:textId="77777777" w:rsidR="00830E72" w:rsidRDefault="00830E72">
                    <w:pPr>
                      <w:jc w:val="right"/>
                      <w:rPr>
                        <w:szCs w:val="21"/>
                      </w:rPr>
                    </w:pPr>
                  </w:p>
                </w:tc>
              </w:tr>
              <w:tr w:rsidR="00830E72" w14:paraId="3F8FDBB9" w14:textId="77777777">
                <w:sdt>
                  <w:sdtPr>
                    <w:tag w:val="_PLD_6b9286d59f434dc3883cb7d8d6f992fb"/>
                    <w:id w:val="105582215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95DFFBF" w14:textId="77777777" w:rsidR="00830E72" w:rsidRDefault="008344D8">
                        <w:pPr>
                          <w:ind w:firstLineChars="200" w:firstLine="420"/>
                          <w:rPr>
                            <w:szCs w:val="21"/>
                          </w:rPr>
                        </w:pPr>
                        <w:r>
                          <w:rPr>
                            <w:rFonts w:hint="eastAsia"/>
                            <w:szCs w:val="21"/>
                          </w:rPr>
                          <w:t>非流动负债合计</w:t>
                        </w:r>
                      </w:p>
                    </w:tc>
                  </w:sdtContent>
                </w:sdt>
                <w:tc>
                  <w:tcPr>
                    <w:tcW w:w="1097" w:type="pct"/>
                    <w:tcBorders>
                      <w:top w:val="outset" w:sz="4" w:space="0" w:color="auto"/>
                      <w:left w:val="outset" w:sz="4" w:space="0" w:color="auto"/>
                      <w:bottom w:val="outset" w:sz="4" w:space="0" w:color="auto"/>
                      <w:right w:val="outset" w:sz="4" w:space="0" w:color="auto"/>
                    </w:tcBorders>
                  </w:tcPr>
                  <w:p w14:paraId="16290C45" w14:textId="77777777" w:rsidR="00830E72" w:rsidRDefault="008344D8">
                    <w:pPr>
                      <w:jc w:val="right"/>
                      <w:rPr>
                        <w:szCs w:val="21"/>
                      </w:rPr>
                    </w:pPr>
                    <w:r>
                      <w:t>12,366,361.07</w:t>
                    </w:r>
                  </w:p>
                </w:tc>
                <w:tc>
                  <w:tcPr>
                    <w:tcW w:w="1018" w:type="pct"/>
                    <w:tcBorders>
                      <w:top w:val="outset" w:sz="4" w:space="0" w:color="auto"/>
                      <w:left w:val="outset" w:sz="4" w:space="0" w:color="auto"/>
                      <w:bottom w:val="outset" w:sz="4" w:space="0" w:color="auto"/>
                      <w:right w:val="outset" w:sz="4" w:space="0" w:color="auto"/>
                    </w:tcBorders>
                  </w:tcPr>
                  <w:p w14:paraId="3FC875CA" w14:textId="77777777" w:rsidR="00830E72" w:rsidRDefault="008344D8">
                    <w:pPr>
                      <w:jc w:val="right"/>
                      <w:rPr>
                        <w:szCs w:val="21"/>
                      </w:rPr>
                    </w:pPr>
                    <w:r>
                      <w:t>16,970,904.73</w:t>
                    </w:r>
                  </w:p>
                </w:tc>
                <w:tc>
                  <w:tcPr>
                    <w:tcW w:w="1180" w:type="pct"/>
                    <w:tcBorders>
                      <w:top w:val="outset" w:sz="4" w:space="0" w:color="auto"/>
                      <w:left w:val="outset" w:sz="4" w:space="0" w:color="auto"/>
                      <w:bottom w:val="outset" w:sz="4" w:space="0" w:color="auto"/>
                      <w:right w:val="outset" w:sz="4" w:space="0" w:color="auto"/>
                    </w:tcBorders>
                  </w:tcPr>
                  <w:p w14:paraId="085BA9DB" w14:textId="77777777" w:rsidR="00830E72" w:rsidRDefault="008344D8">
                    <w:pPr>
                      <w:jc w:val="right"/>
                      <w:rPr>
                        <w:szCs w:val="21"/>
                      </w:rPr>
                    </w:pPr>
                    <w:r>
                      <w:t>4,604,543.66</w:t>
                    </w:r>
                  </w:p>
                </w:tc>
              </w:tr>
              <w:tr w:rsidR="00830E72" w14:paraId="3C485BAC" w14:textId="77777777">
                <w:sdt>
                  <w:sdtPr>
                    <w:tag w:val="_PLD_9966b1afdeb54842a8fceb3cacd3ccf5"/>
                    <w:id w:val="144234598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CED25A5" w14:textId="77777777" w:rsidR="00830E72" w:rsidRDefault="008344D8">
                        <w:pPr>
                          <w:ind w:firstLineChars="300" w:firstLine="630"/>
                          <w:rPr>
                            <w:szCs w:val="21"/>
                          </w:rPr>
                        </w:pPr>
                        <w:r>
                          <w:rPr>
                            <w:rFonts w:hint="eastAsia"/>
                            <w:szCs w:val="21"/>
                          </w:rPr>
                          <w:t>负债合计</w:t>
                        </w:r>
                      </w:p>
                    </w:tc>
                  </w:sdtContent>
                </w:sdt>
                <w:tc>
                  <w:tcPr>
                    <w:tcW w:w="1097" w:type="pct"/>
                    <w:tcBorders>
                      <w:top w:val="outset" w:sz="4" w:space="0" w:color="auto"/>
                      <w:left w:val="outset" w:sz="4" w:space="0" w:color="auto"/>
                      <w:bottom w:val="outset" w:sz="4" w:space="0" w:color="auto"/>
                      <w:right w:val="outset" w:sz="4" w:space="0" w:color="auto"/>
                    </w:tcBorders>
                  </w:tcPr>
                  <w:p w14:paraId="00C9F1D4" w14:textId="77777777" w:rsidR="00830E72" w:rsidRDefault="008344D8">
                    <w:pPr>
                      <w:jc w:val="right"/>
                      <w:rPr>
                        <w:szCs w:val="21"/>
                      </w:rPr>
                    </w:pPr>
                    <w:r>
                      <w:t>3,375,588,668.52</w:t>
                    </w:r>
                  </w:p>
                </w:tc>
                <w:tc>
                  <w:tcPr>
                    <w:tcW w:w="1018" w:type="pct"/>
                    <w:tcBorders>
                      <w:top w:val="outset" w:sz="4" w:space="0" w:color="auto"/>
                      <w:left w:val="outset" w:sz="4" w:space="0" w:color="auto"/>
                      <w:bottom w:val="outset" w:sz="4" w:space="0" w:color="auto"/>
                      <w:right w:val="outset" w:sz="4" w:space="0" w:color="auto"/>
                    </w:tcBorders>
                  </w:tcPr>
                  <w:p w14:paraId="5E4EFF0C" w14:textId="77777777" w:rsidR="00830E72" w:rsidRDefault="008344D8">
                    <w:pPr>
                      <w:jc w:val="right"/>
                      <w:rPr>
                        <w:szCs w:val="21"/>
                      </w:rPr>
                    </w:pPr>
                    <w:r>
                      <w:t>3,380,193,212.18</w:t>
                    </w:r>
                  </w:p>
                </w:tc>
                <w:tc>
                  <w:tcPr>
                    <w:tcW w:w="1180" w:type="pct"/>
                    <w:tcBorders>
                      <w:top w:val="outset" w:sz="4" w:space="0" w:color="auto"/>
                      <w:left w:val="outset" w:sz="4" w:space="0" w:color="auto"/>
                      <w:bottom w:val="outset" w:sz="4" w:space="0" w:color="auto"/>
                      <w:right w:val="outset" w:sz="4" w:space="0" w:color="auto"/>
                    </w:tcBorders>
                  </w:tcPr>
                  <w:p w14:paraId="179B4F92" w14:textId="77777777" w:rsidR="00830E72" w:rsidRDefault="008344D8">
                    <w:pPr>
                      <w:jc w:val="right"/>
                      <w:rPr>
                        <w:szCs w:val="21"/>
                      </w:rPr>
                    </w:pPr>
                    <w:r>
                      <w:t>4,604,543.66</w:t>
                    </w:r>
                  </w:p>
                </w:tc>
              </w:tr>
              <w:tr w:rsidR="00830E72" w14:paraId="56DA6C1A" w14:textId="77777777">
                <w:sdt>
                  <w:sdtPr>
                    <w:tag w:val="_PLD_27af5114b1374bfaa5ee117b52b2dea6"/>
                    <w:id w:val="-43375098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EF1A1D6" w14:textId="77777777" w:rsidR="00830E72" w:rsidRDefault="008344D8">
                        <w:pPr>
                          <w:rPr>
                            <w:color w:val="008000"/>
                            <w:szCs w:val="21"/>
                          </w:rPr>
                        </w:pPr>
                        <w:r>
                          <w:rPr>
                            <w:rFonts w:hint="eastAsia"/>
                            <w:b/>
                            <w:bCs/>
                            <w:szCs w:val="21"/>
                          </w:rPr>
                          <w:t>所有者权益（或股东权益）：</w:t>
                        </w:r>
                      </w:p>
                    </w:tc>
                  </w:sdtContent>
                </w:sdt>
              </w:tr>
              <w:tr w:rsidR="00830E72" w14:paraId="5F6B5B7E" w14:textId="77777777">
                <w:sdt>
                  <w:sdtPr>
                    <w:tag w:val="_PLD_8d70171a419341f09876bd7007078e61"/>
                    <w:id w:val="-126653424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47207BA" w14:textId="77777777" w:rsidR="00830E72" w:rsidRDefault="008344D8">
                        <w:pPr>
                          <w:ind w:firstLineChars="100" w:firstLine="210"/>
                          <w:rPr>
                            <w:szCs w:val="21"/>
                          </w:rPr>
                        </w:pPr>
                        <w:r>
                          <w:rPr>
                            <w:rFonts w:hint="eastAsia"/>
                            <w:szCs w:val="21"/>
                          </w:rPr>
                          <w:t>实收资本（或股本）</w:t>
                        </w:r>
                      </w:p>
                    </w:tc>
                  </w:sdtContent>
                </w:sdt>
                <w:tc>
                  <w:tcPr>
                    <w:tcW w:w="1097" w:type="pct"/>
                    <w:tcBorders>
                      <w:top w:val="outset" w:sz="4" w:space="0" w:color="auto"/>
                      <w:left w:val="outset" w:sz="4" w:space="0" w:color="auto"/>
                      <w:bottom w:val="outset" w:sz="4" w:space="0" w:color="auto"/>
                      <w:right w:val="outset" w:sz="4" w:space="0" w:color="auto"/>
                    </w:tcBorders>
                  </w:tcPr>
                  <w:p w14:paraId="759F1BB8" w14:textId="77777777" w:rsidR="00830E72" w:rsidRDefault="008344D8">
                    <w:pPr>
                      <w:jc w:val="right"/>
                      <w:rPr>
                        <w:szCs w:val="21"/>
                      </w:rPr>
                    </w:pPr>
                    <w:r>
                      <w:t>499,000,000.00</w:t>
                    </w:r>
                  </w:p>
                </w:tc>
                <w:tc>
                  <w:tcPr>
                    <w:tcW w:w="1018" w:type="pct"/>
                    <w:tcBorders>
                      <w:top w:val="outset" w:sz="4" w:space="0" w:color="auto"/>
                      <w:left w:val="outset" w:sz="4" w:space="0" w:color="auto"/>
                      <w:bottom w:val="outset" w:sz="4" w:space="0" w:color="auto"/>
                      <w:right w:val="outset" w:sz="4" w:space="0" w:color="auto"/>
                    </w:tcBorders>
                  </w:tcPr>
                  <w:p w14:paraId="73F7680A" w14:textId="77777777" w:rsidR="00830E72" w:rsidRDefault="008344D8">
                    <w:pPr>
                      <w:jc w:val="right"/>
                      <w:rPr>
                        <w:szCs w:val="21"/>
                      </w:rPr>
                    </w:pPr>
                    <w:r>
                      <w:t>499,000,000.00</w:t>
                    </w:r>
                  </w:p>
                </w:tc>
                <w:tc>
                  <w:tcPr>
                    <w:tcW w:w="1180" w:type="pct"/>
                    <w:tcBorders>
                      <w:top w:val="outset" w:sz="4" w:space="0" w:color="auto"/>
                      <w:left w:val="outset" w:sz="4" w:space="0" w:color="auto"/>
                      <w:bottom w:val="outset" w:sz="4" w:space="0" w:color="auto"/>
                      <w:right w:val="outset" w:sz="4" w:space="0" w:color="auto"/>
                    </w:tcBorders>
                  </w:tcPr>
                  <w:p w14:paraId="755F2DC2" w14:textId="77777777" w:rsidR="00830E72" w:rsidRDefault="00830E72">
                    <w:pPr>
                      <w:jc w:val="right"/>
                      <w:rPr>
                        <w:szCs w:val="21"/>
                      </w:rPr>
                    </w:pPr>
                  </w:p>
                </w:tc>
              </w:tr>
              <w:tr w:rsidR="00830E72" w14:paraId="657ED0AB" w14:textId="77777777">
                <w:sdt>
                  <w:sdtPr>
                    <w:tag w:val="_PLD_6a2c5af5b63843e288dac2f4dfa16684"/>
                    <w:id w:val="-114682370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4A1DFE5" w14:textId="77777777" w:rsidR="00830E72" w:rsidRDefault="008344D8">
                        <w:pPr>
                          <w:ind w:firstLineChars="100" w:firstLine="210"/>
                          <w:rPr>
                            <w:szCs w:val="21"/>
                          </w:rPr>
                        </w:pPr>
                        <w:r>
                          <w:rPr>
                            <w:rFonts w:hint="eastAsia"/>
                            <w:szCs w:val="21"/>
                          </w:rPr>
                          <w:t>其他权益工具</w:t>
                        </w:r>
                      </w:p>
                    </w:tc>
                  </w:sdtContent>
                </w:sdt>
                <w:tc>
                  <w:tcPr>
                    <w:tcW w:w="1097" w:type="pct"/>
                    <w:tcBorders>
                      <w:top w:val="outset" w:sz="4" w:space="0" w:color="auto"/>
                      <w:left w:val="outset" w:sz="4" w:space="0" w:color="auto"/>
                      <w:bottom w:val="outset" w:sz="4" w:space="0" w:color="auto"/>
                      <w:right w:val="outset" w:sz="4" w:space="0" w:color="auto"/>
                    </w:tcBorders>
                  </w:tcPr>
                  <w:p w14:paraId="411715FB"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2DB30418"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47B0D241" w14:textId="77777777" w:rsidR="00830E72" w:rsidRDefault="00830E72">
                    <w:pPr>
                      <w:jc w:val="right"/>
                      <w:rPr>
                        <w:szCs w:val="21"/>
                      </w:rPr>
                    </w:pPr>
                  </w:p>
                </w:tc>
              </w:tr>
              <w:tr w:rsidR="00830E72" w14:paraId="58C1525A" w14:textId="77777777">
                <w:sdt>
                  <w:sdtPr>
                    <w:tag w:val="_PLD_00ac4295a6c1486798f20bf742b8834b"/>
                    <w:id w:val="-38564557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D180DC8" w14:textId="77777777" w:rsidR="00830E72" w:rsidRDefault="008344D8">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14:paraId="2ED58D72"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51A01572"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056397C0" w14:textId="77777777" w:rsidR="00830E72" w:rsidRDefault="00830E72">
                    <w:pPr>
                      <w:jc w:val="right"/>
                      <w:rPr>
                        <w:szCs w:val="21"/>
                      </w:rPr>
                    </w:pPr>
                  </w:p>
                </w:tc>
              </w:tr>
              <w:tr w:rsidR="00830E72" w14:paraId="69A3DDFB" w14:textId="77777777">
                <w:sdt>
                  <w:sdtPr>
                    <w:tag w:val="_PLD_c2fa35d8e1ac487a949a2fe2d62ba1c1"/>
                    <w:id w:val="-155429758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B8129FB" w14:textId="77777777" w:rsidR="00830E72" w:rsidRDefault="008344D8">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14:paraId="75342925"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6D1B5BA9"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4D985FE6" w14:textId="77777777" w:rsidR="00830E72" w:rsidRDefault="00830E72">
                    <w:pPr>
                      <w:jc w:val="right"/>
                      <w:rPr>
                        <w:szCs w:val="21"/>
                      </w:rPr>
                    </w:pPr>
                  </w:p>
                </w:tc>
              </w:tr>
              <w:tr w:rsidR="00830E72" w14:paraId="2EC93689" w14:textId="77777777">
                <w:sdt>
                  <w:sdtPr>
                    <w:tag w:val="_PLD_834b3ab77c824936875be7024902ea58"/>
                    <w:id w:val="-102763996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E87E7CF" w14:textId="77777777" w:rsidR="00830E72" w:rsidRDefault="008344D8">
                        <w:pPr>
                          <w:ind w:firstLineChars="100" w:firstLine="210"/>
                          <w:rPr>
                            <w:szCs w:val="21"/>
                          </w:rPr>
                        </w:pPr>
                        <w:r>
                          <w:rPr>
                            <w:rFonts w:hint="eastAsia"/>
                            <w:szCs w:val="21"/>
                          </w:rPr>
                          <w:t>资本公积</w:t>
                        </w:r>
                      </w:p>
                    </w:tc>
                  </w:sdtContent>
                </w:sdt>
                <w:tc>
                  <w:tcPr>
                    <w:tcW w:w="1097" w:type="pct"/>
                    <w:tcBorders>
                      <w:top w:val="outset" w:sz="4" w:space="0" w:color="auto"/>
                      <w:left w:val="outset" w:sz="4" w:space="0" w:color="auto"/>
                      <w:bottom w:val="outset" w:sz="4" w:space="0" w:color="auto"/>
                      <w:right w:val="outset" w:sz="4" w:space="0" w:color="auto"/>
                    </w:tcBorders>
                  </w:tcPr>
                  <w:p w14:paraId="4ED4D32E" w14:textId="77777777" w:rsidR="00830E72" w:rsidRDefault="008344D8">
                    <w:pPr>
                      <w:jc w:val="right"/>
                      <w:rPr>
                        <w:szCs w:val="21"/>
                      </w:rPr>
                    </w:pPr>
                    <w:r>
                      <w:t>209,265,618.44</w:t>
                    </w:r>
                  </w:p>
                </w:tc>
                <w:tc>
                  <w:tcPr>
                    <w:tcW w:w="1018" w:type="pct"/>
                    <w:tcBorders>
                      <w:top w:val="outset" w:sz="4" w:space="0" w:color="auto"/>
                      <w:left w:val="outset" w:sz="4" w:space="0" w:color="auto"/>
                      <w:bottom w:val="outset" w:sz="4" w:space="0" w:color="auto"/>
                      <w:right w:val="outset" w:sz="4" w:space="0" w:color="auto"/>
                    </w:tcBorders>
                  </w:tcPr>
                  <w:p w14:paraId="55B66387" w14:textId="77777777" w:rsidR="00830E72" w:rsidRDefault="008344D8">
                    <w:pPr>
                      <w:jc w:val="right"/>
                      <w:rPr>
                        <w:szCs w:val="21"/>
                      </w:rPr>
                    </w:pPr>
                    <w:r>
                      <w:t>209,265,618.44</w:t>
                    </w:r>
                  </w:p>
                </w:tc>
                <w:tc>
                  <w:tcPr>
                    <w:tcW w:w="1180" w:type="pct"/>
                    <w:tcBorders>
                      <w:top w:val="outset" w:sz="4" w:space="0" w:color="auto"/>
                      <w:left w:val="outset" w:sz="4" w:space="0" w:color="auto"/>
                      <w:bottom w:val="outset" w:sz="4" w:space="0" w:color="auto"/>
                      <w:right w:val="outset" w:sz="4" w:space="0" w:color="auto"/>
                    </w:tcBorders>
                  </w:tcPr>
                  <w:p w14:paraId="51150763" w14:textId="77777777" w:rsidR="00830E72" w:rsidRDefault="00830E72">
                    <w:pPr>
                      <w:jc w:val="right"/>
                      <w:rPr>
                        <w:szCs w:val="21"/>
                      </w:rPr>
                    </w:pPr>
                  </w:p>
                </w:tc>
              </w:tr>
              <w:tr w:rsidR="00830E72" w14:paraId="1C18A7EC" w14:textId="77777777">
                <w:sdt>
                  <w:sdtPr>
                    <w:tag w:val="_PLD_a70d9354e9a94ab690010aa4bf4fe9dc"/>
                    <w:id w:val="-14767412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83DE9E0" w14:textId="77777777" w:rsidR="00830E72" w:rsidRDefault="008344D8">
                        <w:pPr>
                          <w:ind w:firstLineChars="100" w:firstLine="210"/>
                          <w:rPr>
                            <w:szCs w:val="21"/>
                          </w:rPr>
                        </w:pPr>
                        <w:r>
                          <w:rPr>
                            <w:rFonts w:hint="eastAsia"/>
                            <w:szCs w:val="21"/>
                          </w:rPr>
                          <w:t>减：库存股</w:t>
                        </w:r>
                      </w:p>
                    </w:tc>
                  </w:sdtContent>
                </w:sdt>
                <w:tc>
                  <w:tcPr>
                    <w:tcW w:w="1097" w:type="pct"/>
                    <w:tcBorders>
                      <w:top w:val="outset" w:sz="4" w:space="0" w:color="auto"/>
                      <w:left w:val="outset" w:sz="4" w:space="0" w:color="auto"/>
                      <w:bottom w:val="outset" w:sz="4" w:space="0" w:color="auto"/>
                      <w:right w:val="outset" w:sz="4" w:space="0" w:color="auto"/>
                    </w:tcBorders>
                  </w:tcPr>
                  <w:p w14:paraId="7A423AD8"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59D87611"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60363EEB" w14:textId="77777777" w:rsidR="00830E72" w:rsidRDefault="00830E72">
                    <w:pPr>
                      <w:jc w:val="right"/>
                      <w:rPr>
                        <w:szCs w:val="21"/>
                      </w:rPr>
                    </w:pPr>
                  </w:p>
                </w:tc>
              </w:tr>
              <w:tr w:rsidR="00830E72" w14:paraId="7CF6C200" w14:textId="77777777">
                <w:sdt>
                  <w:sdtPr>
                    <w:tag w:val="_PLD_4e4dbb75dc1047fead1e2e3d2f27761e"/>
                    <w:id w:val="123689690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8EEC772" w14:textId="77777777" w:rsidR="00830E72" w:rsidRDefault="008344D8">
                        <w:pPr>
                          <w:ind w:firstLineChars="100" w:firstLine="210"/>
                          <w:rPr>
                            <w:szCs w:val="21"/>
                          </w:rPr>
                        </w:pPr>
                        <w:r>
                          <w:rPr>
                            <w:rFonts w:hint="eastAsia"/>
                            <w:szCs w:val="21"/>
                          </w:rPr>
                          <w:t>其他综合收益</w:t>
                        </w:r>
                      </w:p>
                    </w:tc>
                  </w:sdtContent>
                </w:sdt>
                <w:tc>
                  <w:tcPr>
                    <w:tcW w:w="1097" w:type="pct"/>
                    <w:tcBorders>
                      <w:top w:val="outset" w:sz="4" w:space="0" w:color="auto"/>
                      <w:left w:val="outset" w:sz="4" w:space="0" w:color="auto"/>
                      <w:bottom w:val="outset" w:sz="4" w:space="0" w:color="auto"/>
                      <w:right w:val="outset" w:sz="4" w:space="0" w:color="auto"/>
                    </w:tcBorders>
                  </w:tcPr>
                  <w:p w14:paraId="7B6661E3" w14:textId="77777777" w:rsidR="00830E72" w:rsidRDefault="00830E72">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21C63CE0" w14:textId="77777777" w:rsidR="00830E72" w:rsidRDefault="00830E72">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4D1A1725" w14:textId="77777777" w:rsidR="00830E72" w:rsidRDefault="00830E72">
                    <w:pPr>
                      <w:jc w:val="right"/>
                      <w:rPr>
                        <w:szCs w:val="21"/>
                      </w:rPr>
                    </w:pPr>
                  </w:p>
                </w:tc>
              </w:tr>
              <w:tr w:rsidR="00830E72" w14:paraId="406D2AB6" w14:textId="77777777">
                <w:sdt>
                  <w:sdtPr>
                    <w:tag w:val="_PLD_6c13a47d776445fc9274525173a52d60"/>
                    <w:id w:val="185631261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17D78DB" w14:textId="77777777" w:rsidR="00830E72" w:rsidRDefault="008344D8">
                        <w:pPr>
                          <w:ind w:firstLineChars="100" w:firstLine="210"/>
                          <w:rPr>
                            <w:szCs w:val="21"/>
                          </w:rPr>
                        </w:pPr>
                        <w:r>
                          <w:rPr>
                            <w:rFonts w:hint="eastAsia"/>
                            <w:szCs w:val="21"/>
                          </w:rPr>
                          <w:t>专项储备</w:t>
                        </w:r>
                      </w:p>
                    </w:tc>
                  </w:sdtContent>
                </w:sdt>
                <w:tc>
                  <w:tcPr>
                    <w:tcW w:w="1097" w:type="pct"/>
                    <w:tcBorders>
                      <w:top w:val="outset" w:sz="4" w:space="0" w:color="auto"/>
                      <w:left w:val="outset" w:sz="4" w:space="0" w:color="auto"/>
                      <w:bottom w:val="outset" w:sz="4" w:space="0" w:color="auto"/>
                      <w:right w:val="outset" w:sz="4" w:space="0" w:color="auto"/>
                    </w:tcBorders>
                  </w:tcPr>
                  <w:p w14:paraId="659230F7" w14:textId="77777777" w:rsidR="00830E72" w:rsidRDefault="008344D8">
                    <w:pPr>
                      <w:jc w:val="right"/>
                      <w:rPr>
                        <w:szCs w:val="21"/>
                      </w:rPr>
                    </w:pPr>
                    <w:r>
                      <w:t>15,436,784.81</w:t>
                    </w:r>
                  </w:p>
                </w:tc>
                <w:tc>
                  <w:tcPr>
                    <w:tcW w:w="1018" w:type="pct"/>
                    <w:tcBorders>
                      <w:top w:val="outset" w:sz="4" w:space="0" w:color="auto"/>
                      <w:left w:val="outset" w:sz="4" w:space="0" w:color="auto"/>
                      <w:bottom w:val="outset" w:sz="4" w:space="0" w:color="auto"/>
                      <w:right w:val="outset" w:sz="4" w:space="0" w:color="auto"/>
                    </w:tcBorders>
                  </w:tcPr>
                  <w:p w14:paraId="346D518B" w14:textId="77777777" w:rsidR="00830E72" w:rsidRDefault="008344D8">
                    <w:pPr>
                      <w:jc w:val="right"/>
                      <w:rPr>
                        <w:szCs w:val="21"/>
                      </w:rPr>
                    </w:pPr>
                    <w:r>
                      <w:t>15,436,784.81</w:t>
                    </w:r>
                  </w:p>
                </w:tc>
                <w:tc>
                  <w:tcPr>
                    <w:tcW w:w="1180" w:type="pct"/>
                    <w:tcBorders>
                      <w:top w:val="outset" w:sz="4" w:space="0" w:color="auto"/>
                      <w:left w:val="outset" w:sz="4" w:space="0" w:color="auto"/>
                      <w:bottom w:val="outset" w:sz="4" w:space="0" w:color="auto"/>
                      <w:right w:val="outset" w:sz="4" w:space="0" w:color="auto"/>
                    </w:tcBorders>
                  </w:tcPr>
                  <w:p w14:paraId="60DE04DB" w14:textId="77777777" w:rsidR="00830E72" w:rsidRDefault="00830E72">
                    <w:pPr>
                      <w:jc w:val="right"/>
                      <w:rPr>
                        <w:szCs w:val="21"/>
                      </w:rPr>
                    </w:pPr>
                  </w:p>
                </w:tc>
              </w:tr>
              <w:tr w:rsidR="00830E72" w14:paraId="17194541" w14:textId="77777777">
                <w:sdt>
                  <w:sdtPr>
                    <w:tag w:val="_PLD_dd11efa46b0146de89d9167f31cbb19b"/>
                    <w:id w:val="152575353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70C6A33" w14:textId="77777777" w:rsidR="00830E72" w:rsidRDefault="008344D8">
                        <w:pPr>
                          <w:ind w:firstLineChars="100" w:firstLine="210"/>
                          <w:rPr>
                            <w:szCs w:val="21"/>
                          </w:rPr>
                        </w:pPr>
                        <w:r>
                          <w:rPr>
                            <w:rFonts w:hint="eastAsia"/>
                            <w:szCs w:val="21"/>
                          </w:rPr>
                          <w:t>盈余公积</w:t>
                        </w:r>
                      </w:p>
                    </w:tc>
                  </w:sdtContent>
                </w:sdt>
                <w:tc>
                  <w:tcPr>
                    <w:tcW w:w="1097" w:type="pct"/>
                    <w:tcBorders>
                      <w:top w:val="outset" w:sz="4" w:space="0" w:color="auto"/>
                      <w:left w:val="outset" w:sz="4" w:space="0" w:color="auto"/>
                      <w:bottom w:val="outset" w:sz="4" w:space="0" w:color="auto"/>
                      <w:right w:val="outset" w:sz="4" w:space="0" w:color="auto"/>
                    </w:tcBorders>
                  </w:tcPr>
                  <w:p w14:paraId="7252F772" w14:textId="77777777" w:rsidR="00830E72" w:rsidRDefault="008344D8">
                    <w:pPr>
                      <w:jc w:val="right"/>
                      <w:rPr>
                        <w:szCs w:val="21"/>
                      </w:rPr>
                    </w:pPr>
                    <w:r>
                      <w:t>44,344,922.59</w:t>
                    </w:r>
                  </w:p>
                </w:tc>
                <w:tc>
                  <w:tcPr>
                    <w:tcW w:w="1018" w:type="pct"/>
                    <w:tcBorders>
                      <w:top w:val="outset" w:sz="4" w:space="0" w:color="auto"/>
                      <w:left w:val="outset" w:sz="4" w:space="0" w:color="auto"/>
                      <w:bottom w:val="outset" w:sz="4" w:space="0" w:color="auto"/>
                      <w:right w:val="outset" w:sz="4" w:space="0" w:color="auto"/>
                    </w:tcBorders>
                  </w:tcPr>
                  <w:p w14:paraId="73EBD735" w14:textId="77777777" w:rsidR="00830E72" w:rsidRDefault="008344D8">
                    <w:pPr>
                      <w:jc w:val="right"/>
                      <w:rPr>
                        <w:szCs w:val="21"/>
                      </w:rPr>
                    </w:pPr>
                    <w:r>
                      <w:t>44,344,922.59</w:t>
                    </w:r>
                  </w:p>
                </w:tc>
                <w:tc>
                  <w:tcPr>
                    <w:tcW w:w="1180" w:type="pct"/>
                    <w:tcBorders>
                      <w:top w:val="outset" w:sz="4" w:space="0" w:color="auto"/>
                      <w:left w:val="outset" w:sz="4" w:space="0" w:color="auto"/>
                      <w:bottom w:val="outset" w:sz="4" w:space="0" w:color="auto"/>
                      <w:right w:val="outset" w:sz="4" w:space="0" w:color="auto"/>
                    </w:tcBorders>
                  </w:tcPr>
                  <w:p w14:paraId="39AC03C4" w14:textId="77777777" w:rsidR="00830E72" w:rsidRDefault="00830E72">
                    <w:pPr>
                      <w:jc w:val="right"/>
                      <w:rPr>
                        <w:szCs w:val="21"/>
                      </w:rPr>
                    </w:pPr>
                  </w:p>
                </w:tc>
              </w:tr>
              <w:tr w:rsidR="00830E72" w14:paraId="4F8780A9" w14:textId="77777777">
                <w:sdt>
                  <w:sdtPr>
                    <w:tag w:val="_PLD_d86bc5971158404eb1d42b4de33e2728"/>
                    <w:id w:val="-186451069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F829A4B" w14:textId="77777777" w:rsidR="00830E72" w:rsidRDefault="008344D8">
                        <w:pPr>
                          <w:ind w:firstLineChars="100" w:firstLine="210"/>
                          <w:rPr>
                            <w:szCs w:val="21"/>
                          </w:rPr>
                        </w:pPr>
                        <w:r>
                          <w:rPr>
                            <w:rFonts w:hint="eastAsia"/>
                            <w:szCs w:val="21"/>
                          </w:rPr>
                          <w:t>未分配利润</w:t>
                        </w:r>
                      </w:p>
                    </w:tc>
                  </w:sdtContent>
                </w:sdt>
                <w:tc>
                  <w:tcPr>
                    <w:tcW w:w="1097" w:type="pct"/>
                    <w:tcBorders>
                      <w:top w:val="outset" w:sz="4" w:space="0" w:color="auto"/>
                      <w:left w:val="outset" w:sz="4" w:space="0" w:color="auto"/>
                      <w:bottom w:val="outset" w:sz="4" w:space="0" w:color="auto"/>
                      <w:right w:val="outset" w:sz="4" w:space="0" w:color="auto"/>
                    </w:tcBorders>
                  </w:tcPr>
                  <w:p w14:paraId="1065F442" w14:textId="77777777" w:rsidR="00830E72" w:rsidRDefault="008344D8">
                    <w:pPr>
                      <w:jc w:val="right"/>
                      <w:rPr>
                        <w:szCs w:val="21"/>
                      </w:rPr>
                    </w:pPr>
                    <w:r>
                      <w:t>317,553,749.61</w:t>
                    </w:r>
                  </w:p>
                </w:tc>
                <w:tc>
                  <w:tcPr>
                    <w:tcW w:w="1018" w:type="pct"/>
                    <w:tcBorders>
                      <w:top w:val="outset" w:sz="4" w:space="0" w:color="auto"/>
                      <w:left w:val="outset" w:sz="4" w:space="0" w:color="auto"/>
                      <w:bottom w:val="outset" w:sz="4" w:space="0" w:color="auto"/>
                      <w:right w:val="outset" w:sz="4" w:space="0" w:color="auto"/>
                    </w:tcBorders>
                  </w:tcPr>
                  <w:p w14:paraId="3258469E" w14:textId="77777777" w:rsidR="00830E72" w:rsidRDefault="008344D8">
                    <w:pPr>
                      <w:jc w:val="right"/>
                      <w:rPr>
                        <w:szCs w:val="21"/>
                      </w:rPr>
                    </w:pPr>
                    <w:r>
                      <w:t>317,553,749.61</w:t>
                    </w:r>
                  </w:p>
                </w:tc>
                <w:tc>
                  <w:tcPr>
                    <w:tcW w:w="1180" w:type="pct"/>
                    <w:tcBorders>
                      <w:top w:val="outset" w:sz="4" w:space="0" w:color="auto"/>
                      <w:left w:val="outset" w:sz="4" w:space="0" w:color="auto"/>
                      <w:bottom w:val="outset" w:sz="4" w:space="0" w:color="auto"/>
                      <w:right w:val="outset" w:sz="4" w:space="0" w:color="auto"/>
                    </w:tcBorders>
                  </w:tcPr>
                  <w:p w14:paraId="7F99EF8A" w14:textId="77777777" w:rsidR="00830E72" w:rsidRDefault="00830E72">
                    <w:pPr>
                      <w:jc w:val="right"/>
                      <w:rPr>
                        <w:szCs w:val="21"/>
                      </w:rPr>
                    </w:pPr>
                  </w:p>
                </w:tc>
              </w:tr>
              <w:tr w:rsidR="00830E72" w14:paraId="40E72E34" w14:textId="77777777">
                <w:sdt>
                  <w:sdtPr>
                    <w:tag w:val="_PLD_c20899a0afbc45fb9f96c375ae861870"/>
                    <w:id w:val="-46188183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C5FB33B" w14:textId="77777777" w:rsidR="00830E72" w:rsidRDefault="008344D8">
                        <w:pPr>
                          <w:ind w:firstLineChars="200" w:firstLine="420"/>
                          <w:rPr>
                            <w:szCs w:val="21"/>
                          </w:rPr>
                        </w:pPr>
                        <w:r>
                          <w:rPr>
                            <w:rFonts w:hint="eastAsia"/>
                            <w:szCs w:val="21"/>
                          </w:rPr>
                          <w:t>所有者权益（或股东权益）合计</w:t>
                        </w:r>
                      </w:p>
                    </w:tc>
                  </w:sdtContent>
                </w:sdt>
                <w:tc>
                  <w:tcPr>
                    <w:tcW w:w="1097" w:type="pct"/>
                    <w:tcBorders>
                      <w:top w:val="outset" w:sz="4" w:space="0" w:color="auto"/>
                      <w:left w:val="outset" w:sz="4" w:space="0" w:color="auto"/>
                      <w:bottom w:val="outset" w:sz="4" w:space="0" w:color="auto"/>
                      <w:right w:val="outset" w:sz="4" w:space="0" w:color="auto"/>
                    </w:tcBorders>
                  </w:tcPr>
                  <w:p w14:paraId="1E6B9E20" w14:textId="77777777" w:rsidR="00830E72" w:rsidRDefault="008344D8">
                    <w:pPr>
                      <w:jc w:val="right"/>
                      <w:rPr>
                        <w:szCs w:val="21"/>
                      </w:rPr>
                    </w:pPr>
                    <w:r>
                      <w:t>1,085,601,075.45</w:t>
                    </w:r>
                  </w:p>
                </w:tc>
                <w:tc>
                  <w:tcPr>
                    <w:tcW w:w="1018" w:type="pct"/>
                    <w:tcBorders>
                      <w:top w:val="outset" w:sz="4" w:space="0" w:color="auto"/>
                      <w:left w:val="outset" w:sz="4" w:space="0" w:color="auto"/>
                      <w:bottom w:val="outset" w:sz="4" w:space="0" w:color="auto"/>
                      <w:right w:val="outset" w:sz="4" w:space="0" w:color="auto"/>
                    </w:tcBorders>
                  </w:tcPr>
                  <w:p w14:paraId="219DF43D" w14:textId="77777777" w:rsidR="00830E72" w:rsidRDefault="008344D8">
                    <w:pPr>
                      <w:jc w:val="right"/>
                      <w:rPr>
                        <w:szCs w:val="21"/>
                      </w:rPr>
                    </w:pPr>
                    <w:r>
                      <w:t>1,085,601,075.45</w:t>
                    </w:r>
                  </w:p>
                </w:tc>
                <w:tc>
                  <w:tcPr>
                    <w:tcW w:w="1180" w:type="pct"/>
                    <w:tcBorders>
                      <w:top w:val="outset" w:sz="4" w:space="0" w:color="auto"/>
                      <w:left w:val="outset" w:sz="4" w:space="0" w:color="auto"/>
                      <w:bottom w:val="outset" w:sz="4" w:space="0" w:color="auto"/>
                      <w:right w:val="outset" w:sz="4" w:space="0" w:color="auto"/>
                    </w:tcBorders>
                  </w:tcPr>
                  <w:p w14:paraId="43AF8DFE" w14:textId="77777777" w:rsidR="00830E72" w:rsidRDefault="00830E72">
                    <w:pPr>
                      <w:jc w:val="right"/>
                      <w:rPr>
                        <w:szCs w:val="21"/>
                      </w:rPr>
                    </w:pPr>
                  </w:p>
                </w:tc>
              </w:tr>
              <w:tr w:rsidR="00830E72" w14:paraId="353EBAC5" w14:textId="77777777">
                <w:sdt>
                  <w:sdtPr>
                    <w:tag w:val="_PLD_db11ece6f92844b48c8e943a030153d9"/>
                    <w:id w:val="703795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FE44E10" w14:textId="77777777" w:rsidR="00830E72" w:rsidRDefault="008344D8">
                        <w:pPr>
                          <w:ind w:firstLineChars="300" w:firstLine="630"/>
                          <w:rPr>
                            <w:szCs w:val="21"/>
                          </w:rPr>
                        </w:pPr>
                        <w:r>
                          <w:rPr>
                            <w:rFonts w:hint="eastAsia"/>
                            <w:szCs w:val="21"/>
                          </w:rPr>
                          <w:t>负债和所有者权益（或股东权益）总计</w:t>
                        </w:r>
                      </w:p>
                    </w:tc>
                  </w:sdtContent>
                </w:sdt>
                <w:tc>
                  <w:tcPr>
                    <w:tcW w:w="1097" w:type="pct"/>
                    <w:tcBorders>
                      <w:top w:val="outset" w:sz="4" w:space="0" w:color="auto"/>
                      <w:left w:val="outset" w:sz="4" w:space="0" w:color="auto"/>
                      <w:bottom w:val="outset" w:sz="4" w:space="0" w:color="auto"/>
                      <w:right w:val="outset" w:sz="4" w:space="0" w:color="auto"/>
                    </w:tcBorders>
                  </w:tcPr>
                  <w:p w14:paraId="7493BF75" w14:textId="77777777" w:rsidR="00830E72" w:rsidRDefault="008344D8">
                    <w:pPr>
                      <w:jc w:val="right"/>
                      <w:rPr>
                        <w:szCs w:val="21"/>
                      </w:rPr>
                    </w:pPr>
                    <w:r>
                      <w:t>4,461,189,743.97</w:t>
                    </w:r>
                  </w:p>
                </w:tc>
                <w:tc>
                  <w:tcPr>
                    <w:tcW w:w="1018" w:type="pct"/>
                    <w:tcBorders>
                      <w:top w:val="outset" w:sz="4" w:space="0" w:color="auto"/>
                      <w:left w:val="outset" w:sz="4" w:space="0" w:color="auto"/>
                      <w:bottom w:val="outset" w:sz="4" w:space="0" w:color="auto"/>
                      <w:right w:val="outset" w:sz="4" w:space="0" w:color="auto"/>
                    </w:tcBorders>
                  </w:tcPr>
                  <w:p w14:paraId="6324F140" w14:textId="77777777" w:rsidR="00830E72" w:rsidRDefault="008344D8">
                    <w:pPr>
                      <w:jc w:val="right"/>
                      <w:rPr>
                        <w:szCs w:val="21"/>
                      </w:rPr>
                    </w:pPr>
                    <w:r>
                      <w:t>4,465,794,287.63</w:t>
                    </w:r>
                  </w:p>
                </w:tc>
                <w:tc>
                  <w:tcPr>
                    <w:tcW w:w="1180" w:type="pct"/>
                    <w:tcBorders>
                      <w:top w:val="outset" w:sz="4" w:space="0" w:color="auto"/>
                      <w:left w:val="outset" w:sz="4" w:space="0" w:color="auto"/>
                      <w:bottom w:val="outset" w:sz="4" w:space="0" w:color="auto"/>
                      <w:right w:val="outset" w:sz="4" w:space="0" w:color="auto"/>
                    </w:tcBorders>
                  </w:tcPr>
                  <w:p w14:paraId="1B4806EF" w14:textId="77777777" w:rsidR="00830E72" w:rsidRDefault="008344D8">
                    <w:pPr>
                      <w:jc w:val="right"/>
                      <w:rPr>
                        <w:szCs w:val="21"/>
                      </w:rPr>
                    </w:pPr>
                    <w:r>
                      <w:t>4,604,543.66</w:t>
                    </w:r>
                  </w:p>
                </w:tc>
              </w:tr>
            </w:tbl>
            <w:p w14:paraId="428FD708" w14:textId="77777777" w:rsidR="00830E72" w:rsidRDefault="00830E72"/>
            <w:p w14:paraId="233921FA" w14:textId="77777777" w:rsidR="00830E72" w:rsidRDefault="008344D8">
              <w:pPr>
                <w:rPr>
                  <w:szCs w:val="21"/>
                </w:rPr>
              </w:pPr>
              <w:r>
                <w:rPr>
                  <w:rFonts w:hint="eastAsia"/>
                  <w:szCs w:val="21"/>
                </w:rPr>
                <w:t>各项目调整情况的说明：</w:t>
              </w:r>
            </w:p>
            <w:sdt>
              <w:sdtPr>
                <w:alias w:val="是否适用：母公司资产负债表各项目调整情况的说明[双击切换]"/>
                <w:tag w:val="_GBC_4da43801742d47a3ad02db54d198c963"/>
                <w:id w:val="-225761110"/>
                <w:lock w:val="sdtContentLocked"/>
                <w:placeholder>
                  <w:docPart w:val="GBC22222222222222222222222222222"/>
                </w:placeholder>
              </w:sdtPr>
              <w:sdtEndPr/>
              <w:sdtContent>
                <w:p w14:paraId="61D94604"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母公司资产负债表各项目调整情况的说明"/>
                <w:tag w:val="_GBC_d0fbabdfa28a42cc85d9e88c82f80510"/>
                <w:id w:val="-1092774982"/>
                <w:lock w:val="sdtLocked"/>
                <w:placeholder>
                  <w:docPart w:val="GBC22222222222222222222222222222"/>
                </w:placeholder>
              </w:sdtPr>
              <w:sdtEndPr/>
              <w:sdtContent>
                <w:p w14:paraId="675FEB41" w14:textId="77777777" w:rsidR="00830E72" w:rsidRDefault="008344D8">
                  <w:pPr>
                    <w:ind w:firstLineChars="200" w:firstLine="420"/>
                    <w:jc w:val="both"/>
                  </w:pPr>
                  <w:r>
                    <w:t>2018 年，财政部颁布了修订的《企业会计准则第 21 号——租赁》（简称“新租赁准则”），</w:t>
                  </w:r>
                  <w:r>
                    <w:rPr>
                      <w:rFonts w:hint="eastAsia"/>
                    </w:rPr>
                    <w:t>新租赁准则采用与现行融资租赁会计处理类似的单一模型，要求承租人对除短期租赁和低价值资产租赁以外的所有租赁确认使用权资产和租赁负债，并分别确认折旧和利息费用。本公司自</w:t>
                  </w:r>
                  <w:r>
                    <w:t xml:space="preserve"> 2021</w:t>
                  </w:r>
                </w:p>
                <w:p w14:paraId="65D11AB7" w14:textId="77777777" w:rsidR="00830E72" w:rsidRDefault="008344D8">
                  <w:r>
                    <w:rPr>
                      <w:rFonts w:hint="eastAsia"/>
                    </w:rPr>
                    <w:t>年</w:t>
                  </w:r>
                  <w:r>
                    <w:t xml:space="preserve"> 1 月 1 日开始按照新修订的租赁准则进行会计处理</w:t>
                  </w:r>
                </w:p>
              </w:sdtContent>
            </w:sdt>
            <w:p w14:paraId="21FAD339" w14:textId="77777777" w:rsidR="00830E72" w:rsidRDefault="00D44830">
              <w:pPr>
                <w:rPr>
                  <w:szCs w:val="21"/>
                </w:rPr>
              </w:pPr>
            </w:p>
          </w:sdtContent>
        </w:sdt>
      </w:sdtContent>
    </w:sdt>
    <w:bookmarkEnd w:id="89" w:displacedByCustomXml="next"/>
    <w:bookmarkStart w:id="90" w:name="_Hlk10466171" w:displacedByCustomXml="next"/>
    <w:sdt>
      <w:sdtPr>
        <w:rPr>
          <w:rFonts w:ascii="宋体" w:hAnsi="宋体" w:cs="宋体" w:hint="eastAsia"/>
          <w:b w:val="0"/>
          <w:bCs w:val="0"/>
          <w:kern w:val="0"/>
          <w:szCs w:val="21"/>
        </w:rPr>
        <w:alias w:val="模块:首次执行新金融工具准则、新租赁准则追溯调整前期比较数据的说明"/>
        <w:tag w:val="_SEC_a98b82c2763d4798bed73cd0b4fbc809"/>
        <w:id w:val="-1201245229"/>
        <w:lock w:val="sdtLocked"/>
        <w:placeholder>
          <w:docPart w:val="GBC22222222222222222222222222222"/>
        </w:placeholder>
      </w:sdtPr>
      <w:sdtEndPr>
        <w:rPr>
          <w:rFonts w:hint="default"/>
        </w:rPr>
      </w:sdtEndPr>
      <w:sdtContent>
        <w:p w14:paraId="2E85E509" w14:textId="77777777" w:rsidR="00830E72" w:rsidRDefault="008344D8">
          <w:pPr>
            <w:pStyle w:val="Style100"/>
            <w:numPr>
              <w:ilvl w:val="3"/>
              <w:numId w:val="43"/>
            </w:numPr>
            <w:ind w:left="426" w:hanging="426"/>
            <w:rPr>
              <w:rFonts w:ascii="宋体" w:hAnsi="宋体"/>
              <w:szCs w:val="21"/>
            </w:rPr>
          </w:pPr>
          <w:r>
            <w:rPr>
              <w:rFonts w:ascii="宋体" w:hAnsi="宋体" w:hint="eastAsia"/>
              <w:szCs w:val="21"/>
            </w:rPr>
            <w:t>2021年</w:t>
          </w:r>
          <w:r>
            <w:rPr>
              <w:rFonts w:ascii="宋体" w:hAnsi="宋体" w:hint="eastAsia"/>
            </w:rPr>
            <w:t>起首次执行新租赁准则追溯调整前期比较数据的说</w:t>
          </w:r>
          <w:r>
            <w:rPr>
              <w:rFonts w:ascii="宋体" w:hAnsi="宋体"/>
            </w:rPr>
            <w:t>明</w:t>
          </w:r>
        </w:p>
        <w:sdt>
          <w:sdtPr>
            <w:rPr>
              <w:szCs w:val="21"/>
            </w:rPr>
            <w:alias w:val="是否适用：首次执行新会计准则调整前期比较数据的说明[双击切换]"/>
            <w:tag w:val="_GBC_ceaa7ba89e47473da347779a7dc5e772"/>
            <w:id w:val="731054126"/>
            <w:lock w:val="sdtContentLocked"/>
            <w:placeholder>
              <w:docPart w:val="GBC22222222222222222222222222222"/>
            </w:placeholder>
          </w:sdtPr>
          <w:sdtEndPr/>
          <w:sdtContent>
            <w:p w14:paraId="61B04E01"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3AD5DFF" w14:textId="77777777" w:rsidR="00830E72" w:rsidRDefault="00D44830">
          <w:pPr>
            <w:rPr>
              <w:szCs w:val="21"/>
            </w:rPr>
          </w:pPr>
        </w:p>
      </w:sdtContent>
    </w:sdt>
    <w:bookmarkEnd w:id="90" w:displacedByCustomXml="next"/>
    <w:sdt>
      <w:sdtPr>
        <w:rPr>
          <w:rFonts w:ascii="宋体" w:hAnsi="宋体" w:cstheme="minorBidi" w:hint="eastAsia"/>
          <w:b w:val="0"/>
          <w:bCs w:val="0"/>
          <w:kern w:val="0"/>
          <w:szCs w:val="22"/>
        </w:rPr>
        <w:alias w:val="模块:其他"/>
        <w:tag w:val="_GBC_f9189f2c315949f484bded540173f7a8"/>
        <w:id w:val="-216672233"/>
        <w:lock w:val="sdtLocked"/>
        <w:placeholder>
          <w:docPart w:val="GBC22222222222222222222222222222"/>
        </w:placeholder>
      </w:sdtPr>
      <w:sdtEndPr>
        <w:rPr>
          <w:rFonts w:cs="Times New Roman"/>
          <w:szCs w:val="21"/>
        </w:rPr>
      </w:sdtEndPr>
      <w:sdtContent>
        <w:p w14:paraId="6CFBCD1C" w14:textId="77777777" w:rsidR="00830E72" w:rsidRDefault="008344D8">
          <w:pPr>
            <w:pStyle w:val="Style99"/>
            <w:numPr>
              <w:ilvl w:val="0"/>
              <w:numId w:val="35"/>
            </w:numPr>
            <w:rPr>
              <w:rFonts w:ascii="宋体" w:hAnsi="宋体"/>
            </w:rPr>
          </w:pPr>
          <w:r>
            <w:rPr>
              <w:rFonts w:ascii="宋体" w:hAnsi="宋体" w:hint="eastAsia"/>
            </w:rPr>
            <w:t>其他</w:t>
          </w:r>
        </w:p>
        <w:sdt>
          <w:sdtPr>
            <w:rPr>
              <w:rFonts w:hint="eastAsia"/>
              <w:szCs w:val="21"/>
            </w:rPr>
            <w:alias w:val="是否适用：公司主要会计政策、会计估计和前期差错的其他说明[双击切换]"/>
            <w:tag w:val="_GBC_6deb29735f384e0d9a2b017d4265a493"/>
            <w:id w:val="1095135542"/>
            <w:lock w:val="sdtContentLocked"/>
            <w:placeholder>
              <w:docPart w:val="GBC22222222222222222222222222222"/>
            </w:placeholder>
          </w:sdtPr>
          <w:sdtEndPr/>
          <w:sdtContent>
            <w:p w14:paraId="12F8A456"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7C51FC7" w14:textId="77777777" w:rsidR="00830E72" w:rsidRDefault="00D44830">
          <w:pPr>
            <w:rPr>
              <w:szCs w:val="21"/>
            </w:rPr>
          </w:pPr>
        </w:p>
      </w:sdtContent>
    </w:sdt>
    <w:p w14:paraId="1060F967" w14:textId="77777777" w:rsidR="00830E72" w:rsidRDefault="008344D8">
      <w:pPr>
        <w:pStyle w:val="2CharCharChar"/>
        <w:numPr>
          <w:ilvl w:val="0"/>
          <w:numId w:val="32"/>
        </w:numPr>
        <w:ind w:left="422" w:hanging="422"/>
        <w:rPr>
          <w:rFonts w:ascii="宋体" w:hAnsi="宋体"/>
        </w:rPr>
      </w:pPr>
      <w:r>
        <w:rPr>
          <w:rFonts w:ascii="宋体" w:hAnsi="宋体" w:hint="eastAsia"/>
        </w:rPr>
        <w:t>税项</w:t>
      </w:r>
    </w:p>
    <w:sdt>
      <w:sdtPr>
        <w:rPr>
          <w:rFonts w:ascii="宋体" w:hAnsi="宋体" w:cs="宋体"/>
          <w:b w:val="0"/>
          <w:bCs w:val="0"/>
          <w:kern w:val="0"/>
          <w:szCs w:val="22"/>
        </w:rPr>
        <w:alias w:val="模块:主要税种及税率"/>
        <w:tag w:val="_GBC_21c965fa52af49a9865023fb4e05671a"/>
        <w:id w:val="1570927226"/>
        <w:lock w:val="sdtLocked"/>
        <w:placeholder>
          <w:docPart w:val="GBC22222222222222222222222222222"/>
        </w:placeholder>
      </w:sdtPr>
      <w:sdtEndPr>
        <w:rPr>
          <w:rFonts w:cs="Times New Roman"/>
          <w:kern w:val="2"/>
          <w:szCs w:val="21"/>
        </w:rPr>
      </w:sdtEndPr>
      <w:sdtContent>
        <w:p w14:paraId="734C8B4E" w14:textId="77777777" w:rsidR="00830E72" w:rsidRDefault="008344D8">
          <w:pPr>
            <w:pStyle w:val="Style99"/>
            <w:numPr>
              <w:ilvl w:val="0"/>
              <w:numId w:val="44"/>
            </w:numPr>
            <w:tabs>
              <w:tab w:val="left" w:pos="546"/>
            </w:tabs>
            <w:rPr>
              <w:rFonts w:ascii="宋体" w:hAnsi="宋体"/>
            </w:rPr>
          </w:pPr>
          <w:r>
            <w:rPr>
              <w:rFonts w:ascii="宋体" w:hAnsi="宋体"/>
            </w:rPr>
            <w:t>主要税种及税率</w:t>
          </w:r>
        </w:p>
        <w:p w14:paraId="5A891397" w14:textId="77777777" w:rsidR="00830E72" w:rsidRDefault="008344D8">
          <w:r>
            <w:rPr>
              <w:rFonts w:hint="eastAsia"/>
            </w:rPr>
            <w:t>主要税种及税率情况</w:t>
          </w:r>
        </w:p>
        <w:sdt>
          <w:sdtPr>
            <w:alias w:val="是否适用：主要税种及税率情况 [双击切换]"/>
            <w:tag w:val="_GBC_fd47fa4fd9aa499c8903795268a25582"/>
            <w:id w:val="-748418139"/>
            <w:lock w:val="sdtContentLocked"/>
            <w:placeholder>
              <w:docPart w:val="GBC22222222222222222222222222222"/>
            </w:placeholder>
          </w:sdtPr>
          <w:sdtEndPr/>
          <w:sdtContent>
            <w:p w14:paraId="57C16331"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cstheme="minorBidi"/>
              <w:kern w:val="2"/>
              <w:szCs w:val="21"/>
            </w:rPr>
            <w:tag w:val="_GBC_cd48dbef8f724802baa896e009e06b0d"/>
            <w:id w:val="-1184906181"/>
            <w:lock w:val="sdtLocked"/>
            <w:placeholder>
              <w:docPart w:val="GBC22222222222222222222222222222"/>
            </w:placeholder>
          </w:sdtPr>
          <w:sdtEndPr/>
          <w:sdtContent>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4798"/>
                <w:gridCol w:w="2512"/>
              </w:tblGrid>
              <w:tr w:rsidR="00830E72" w14:paraId="57548266" w14:textId="77777777">
                <w:sdt>
                  <w:sdtPr>
                    <w:rPr>
                      <w:rFonts w:cstheme="minorBidi"/>
                      <w:kern w:val="2"/>
                      <w:szCs w:val="21"/>
                    </w:rPr>
                    <w:tag w:val="_PLD_e7d49d0412b143bf84fec865b918065a"/>
                    <w:id w:val="829493666"/>
                    <w:lock w:val="sdtLocked"/>
                  </w:sdtPr>
                  <w:sdtEndPr>
                    <w:rPr>
                      <w:rFonts w:cs="宋体"/>
                      <w:kern w:val="0"/>
                      <w:szCs w:val="24"/>
                    </w:rPr>
                  </w:sdtEndPr>
                  <w:sdtContent>
                    <w:tc>
                      <w:tcPr>
                        <w:tcW w:w="961" w:type="pct"/>
                        <w:vAlign w:val="center"/>
                      </w:tcPr>
                      <w:p w14:paraId="310738C0" w14:textId="77777777" w:rsidR="00830E72" w:rsidRDefault="008344D8">
                        <w:pPr>
                          <w:jc w:val="center"/>
                          <w:rPr>
                            <w:szCs w:val="21"/>
                          </w:rPr>
                        </w:pPr>
                        <w:r>
                          <w:rPr>
                            <w:szCs w:val="21"/>
                          </w:rPr>
                          <w:t>税种</w:t>
                        </w:r>
                      </w:p>
                    </w:tc>
                  </w:sdtContent>
                </w:sdt>
                <w:sdt>
                  <w:sdtPr>
                    <w:tag w:val="_PLD_e42202809983483baa812ed26e1b27a2"/>
                    <w:id w:val="-1611503445"/>
                    <w:lock w:val="sdtLocked"/>
                  </w:sdtPr>
                  <w:sdtEndPr/>
                  <w:sdtContent>
                    <w:tc>
                      <w:tcPr>
                        <w:tcW w:w="2651" w:type="pct"/>
                        <w:vAlign w:val="center"/>
                      </w:tcPr>
                      <w:p w14:paraId="7D18F171" w14:textId="77777777" w:rsidR="00830E72" w:rsidRDefault="008344D8">
                        <w:pPr>
                          <w:jc w:val="center"/>
                          <w:rPr>
                            <w:szCs w:val="21"/>
                          </w:rPr>
                        </w:pPr>
                        <w:r>
                          <w:rPr>
                            <w:szCs w:val="21"/>
                          </w:rPr>
                          <w:t>计税依据</w:t>
                        </w:r>
                      </w:p>
                    </w:tc>
                  </w:sdtContent>
                </w:sdt>
                <w:sdt>
                  <w:sdtPr>
                    <w:tag w:val="_PLD_0cebc7a4c62844c6b35146cd64cd4277"/>
                    <w:id w:val="90212243"/>
                    <w:lock w:val="sdtLocked"/>
                  </w:sdtPr>
                  <w:sdtEndPr/>
                  <w:sdtContent>
                    <w:tc>
                      <w:tcPr>
                        <w:tcW w:w="1388" w:type="pct"/>
                        <w:vAlign w:val="center"/>
                      </w:tcPr>
                      <w:p w14:paraId="40F37822" w14:textId="77777777" w:rsidR="00830E72" w:rsidRDefault="008344D8">
                        <w:pPr>
                          <w:jc w:val="center"/>
                          <w:rPr>
                            <w:szCs w:val="21"/>
                          </w:rPr>
                        </w:pPr>
                        <w:r>
                          <w:rPr>
                            <w:szCs w:val="21"/>
                          </w:rPr>
                          <w:t>税率</w:t>
                        </w:r>
                      </w:p>
                    </w:tc>
                  </w:sdtContent>
                </w:sdt>
              </w:tr>
              <w:tr w:rsidR="00830E72" w14:paraId="353B5954" w14:textId="77777777">
                <w:sdt>
                  <w:sdtPr>
                    <w:tag w:val="_PLD_9ace953dc7aa4938aeb14fdc5cefe531"/>
                    <w:id w:val="477891320"/>
                    <w:lock w:val="sdtLocked"/>
                  </w:sdtPr>
                  <w:sdtEndPr/>
                  <w:sdtContent>
                    <w:tc>
                      <w:tcPr>
                        <w:tcW w:w="961" w:type="pct"/>
                      </w:tcPr>
                      <w:p w14:paraId="601B58EC" w14:textId="77777777" w:rsidR="00830E72" w:rsidRDefault="008344D8">
                        <w:pPr>
                          <w:rPr>
                            <w:szCs w:val="21"/>
                          </w:rPr>
                        </w:pPr>
                        <w:r>
                          <w:rPr>
                            <w:szCs w:val="21"/>
                          </w:rPr>
                          <w:t>增值税</w:t>
                        </w:r>
                      </w:p>
                    </w:tc>
                  </w:sdtContent>
                </w:sdt>
                <w:tc>
                  <w:tcPr>
                    <w:tcW w:w="2651" w:type="pct"/>
                  </w:tcPr>
                  <w:p w14:paraId="142F35B8" w14:textId="77777777" w:rsidR="00830E72" w:rsidRDefault="008344D8">
                    <w:pPr>
                      <w:rPr>
                        <w:szCs w:val="21"/>
                      </w:rPr>
                    </w:pPr>
                    <w:r>
                      <w:rPr>
                        <w:rFonts w:hint="eastAsia"/>
                        <w:szCs w:val="21"/>
                      </w:rPr>
                      <w:t>销售过程或提供应税服务过程中的增值税</w:t>
                    </w:r>
                  </w:p>
                </w:tc>
                <w:tc>
                  <w:tcPr>
                    <w:tcW w:w="1388" w:type="pct"/>
                  </w:tcPr>
                  <w:p w14:paraId="722CA177" w14:textId="77777777" w:rsidR="00830E72" w:rsidRDefault="008344D8">
                    <w:pPr>
                      <w:rPr>
                        <w:szCs w:val="21"/>
                      </w:rPr>
                    </w:pPr>
                    <w:r>
                      <w:rPr>
                        <w:rFonts w:hint="eastAsia"/>
                        <w:szCs w:val="21"/>
                      </w:rPr>
                      <w:t>13%、9%、6%、5%、3%</w:t>
                    </w:r>
                  </w:p>
                </w:tc>
              </w:tr>
              <w:tr w:rsidR="00830E72" w14:paraId="31173F81" w14:textId="77777777">
                <w:sdt>
                  <w:sdtPr>
                    <w:tag w:val="_PLD_a00c27a54584444dbd90124436528903"/>
                    <w:id w:val="-847256536"/>
                    <w:lock w:val="sdtLocked"/>
                  </w:sdtPr>
                  <w:sdtEndPr/>
                  <w:sdtContent>
                    <w:tc>
                      <w:tcPr>
                        <w:tcW w:w="961" w:type="pct"/>
                      </w:tcPr>
                      <w:p w14:paraId="51F3B257" w14:textId="77777777" w:rsidR="00830E72" w:rsidRDefault="008344D8">
                        <w:pPr>
                          <w:rPr>
                            <w:szCs w:val="21"/>
                          </w:rPr>
                        </w:pPr>
                        <w:r>
                          <w:rPr>
                            <w:szCs w:val="21"/>
                          </w:rPr>
                          <w:t>城市维护建设税</w:t>
                        </w:r>
                      </w:p>
                    </w:tc>
                  </w:sdtContent>
                </w:sdt>
                <w:tc>
                  <w:tcPr>
                    <w:tcW w:w="2651" w:type="pct"/>
                  </w:tcPr>
                  <w:p w14:paraId="0D0DA08E" w14:textId="77777777" w:rsidR="00830E72" w:rsidRDefault="008344D8">
                    <w:pPr>
                      <w:rPr>
                        <w:szCs w:val="21"/>
                      </w:rPr>
                    </w:pPr>
                    <w:r>
                      <w:rPr>
                        <w:rFonts w:hint="eastAsia"/>
                        <w:szCs w:val="21"/>
                      </w:rPr>
                      <w:t>流转税额</w:t>
                    </w:r>
                  </w:p>
                </w:tc>
                <w:tc>
                  <w:tcPr>
                    <w:tcW w:w="1388" w:type="pct"/>
                  </w:tcPr>
                  <w:p w14:paraId="5ED51F1B" w14:textId="77777777" w:rsidR="00830E72" w:rsidRDefault="008344D8">
                    <w:pPr>
                      <w:rPr>
                        <w:szCs w:val="21"/>
                      </w:rPr>
                    </w:pPr>
                    <w:r>
                      <w:rPr>
                        <w:rFonts w:hint="eastAsia"/>
                        <w:szCs w:val="21"/>
                      </w:rPr>
                      <w:t>7%、5%、1%</w:t>
                    </w:r>
                  </w:p>
                </w:tc>
              </w:tr>
              <w:tr w:rsidR="00830E72" w14:paraId="62F7DFD7" w14:textId="77777777">
                <w:sdt>
                  <w:sdtPr>
                    <w:tag w:val="_PLD_674fdae0a13a4ed2a46d30b411850225"/>
                    <w:id w:val="466097814"/>
                    <w:lock w:val="sdtLocked"/>
                  </w:sdtPr>
                  <w:sdtEndPr/>
                  <w:sdtContent>
                    <w:tc>
                      <w:tcPr>
                        <w:tcW w:w="961" w:type="pct"/>
                      </w:tcPr>
                      <w:p w14:paraId="63EBF288" w14:textId="77777777" w:rsidR="00830E72" w:rsidRDefault="008344D8">
                        <w:pPr>
                          <w:rPr>
                            <w:szCs w:val="21"/>
                          </w:rPr>
                        </w:pPr>
                        <w:r>
                          <w:rPr>
                            <w:szCs w:val="21"/>
                          </w:rPr>
                          <w:t>企业所得税</w:t>
                        </w:r>
                      </w:p>
                    </w:tc>
                  </w:sdtContent>
                </w:sdt>
                <w:tc>
                  <w:tcPr>
                    <w:tcW w:w="2651" w:type="pct"/>
                  </w:tcPr>
                  <w:p w14:paraId="6DC42DDC" w14:textId="77777777" w:rsidR="00830E72" w:rsidRDefault="008344D8">
                    <w:pPr>
                      <w:rPr>
                        <w:szCs w:val="21"/>
                      </w:rPr>
                    </w:pPr>
                    <w:r>
                      <w:rPr>
                        <w:rFonts w:hint="eastAsia"/>
                        <w:szCs w:val="21"/>
                      </w:rPr>
                      <w:t>应纳税所得额</w:t>
                    </w:r>
                  </w:p>
                </w:tc>
                <w:tc>
                  <w:tcPr>
                    <w:tcW w:w="1388" w:type="pct"/>
                  </w:tcPr>
                  <w:p w14:paraId="1A2044B0" w14:textId="77777777" w:rsidR="00830E72" w:rsidRDefault="008344D8">
                    <w:pPr>
                      <w:rPr>
                        <w:szCs w:val="21"/>
                      </w:rPr>
                    </w:pPr>
                    <w:r>
                      <w:rPr>
                        <w:rFonts w:hint="eastAsia"/>
                        <w:szCs w:val="21"/>
                      </w:rPr>
                      <w:t>25%</w:t>
                    </w:r>
                  </w:p>
                </w:tc>
              </w:tr>
              <w:sdt>
                <w:sdtPr>
                  <w:rPr>
                    <w:rFonts w:cstheme="minorBidi"/>
                    <w:kern w:val="2"/>
                    <w:szCs w:val="21"/>
                  </w:rPr>
                  <w:alias w:val="其他主要税种及税率"/>
                  <w:tag w:val="_GBC_b4f10406bc8741879c7bff390b72f9b9"/>
                  <w:id w:val="34021791"/>
                  <w:lock w:val="sdtLocked"/>
                  <w:placeholder>
                    <w:docPart w:val="GBC11111111111111111111111111111"/>
                  </w:placeholder>
                </w:sdtPr>
                <w:sdtEndPr/>
                <w:sdtContent>
                  <w:tr w:rsidR="00830E72" w14:paraId="20EC0488" w14:textId="77777777">
                    <w:tc>
                      <w:tcPr>
                        <w:tcW w:w="961" w:type="pct"/>
                      </w:tcPr>
                      <w:p w14:paraId="5A531505" w14:textId="77777777" w:rsidR="00830E72" w:rsidRDefault="008344D8">
                        <w:pPr>
                          <w:rPr>
                            <w:szCs w:val="21"/>
                          </w:rPr>
                        </w:pPr>
                        <w:r>
                          <w:rPr>
                            <w:rFonts w:cstheme="minorBidi" w:hint="eastAsia"/>
                            <w:kern w:val="2"/>
                            <w:szCs w:val="21"/>
                          </w:rPr>
                          <w:t>教育费附加</w:t>
                        </w:r>
                      </w:p>
                    </w:tc>
                    <w:tc>
                      <w:tcPr>
                        <w:tcW w:w="2651" w:type="pct"/>
                      </w:tcPr>
                      <w:p w14:paraId="405A3975" w14:textId="77777777" w:rsidR="00830E72" w:rsidRDefault="008344D8">
                        <w:pPr>
                          <w:rPr>
                            <w:szCs w:val="21"/>
                          </w:rPr>
                        </w:pPr>
                        <w:r>
                          <w:rPr>
                            <w:rFonts w:hint="eastAsia"/>
                            <w:szCs w:val="21"/>
                          </w:rPr>
                          <w:t>流转税额</w:t>
                        </w:r>
                      </w:p>
                    </w:tc>
                    <w:tc>
                      <w:tcPr>
                        <w:tcW w:w="1388" w:type="pct"/>
                      </w:tcPr>
                      <w:p w14:paraId="605B12C5" w14:textId="77777777" w:rsidR="00830E72" w:rsidRDefault="008344D8">
                        <w:pPr>
                          <w:rPr>
                            <w:szCs w:val="21"/>
                          </w:rPr>
                        </w:pPr>
                        <w:r>
                          <w:rPr>
                            <w:rFonts w:hint="eastAsia"/>
                            <w:szCs w:val="21"/>
                          </w:rPr>
                          <w:t>3%</w:t>
                        </w:r>
                      </w:p>
                    </w:tc>
                  </w:tr>
                </w:sdtContent>
              </w:sdt>
              <w:sdt>
                <w:sdtPr>
                  <w:rPr>
                    <w:rFonts w:cstheme="minorBidi"/>
                    <w:kern w:val="2"/>
                    <w:szCs w:val="21"/>
                  </w:rPr>
                  <w:alias w:val="其他主要税种及税率"/>
                  <w:tag w:val="_GBC_b4f10406bc8741879c7bff390b72f9b9"/>
                  <w:id w:val="328641555"/>
                  <w:lock w:val="sdtLocked"/>
                  <w:placeholder>
                    <w:docPart w:val="GBC11111111111111111111111111111"/>
                  </w:placeholder>
                </w:sdtPr>
                <w:sdtEndPr/>
                <w:sdtContent>
                  <w:tr w:rsidR="00830E72" w14:paraId="6C474054" w14:textId="77777777">
                    <w:tc>
                      <w:tcPr>
                        <w:tcW w:w="961" w:type="pct"/>
                      </w:tcPr>
                      <w:p w14:paraId="19769DA4" w14:textId="77777777" w:rsidR="00830E72" w:rsidRDefault="008344D8">
                        <w:pPr>
                          <w:rPr>
                            <w:szCs w:val="21"/>
                          </w:rPr>
                        </w:pPr>
                        <w:r>
                          <w:rPr>
                            <w:rFonts w:cstheme="minorBidi" w:hint="eastAsia"/>
                            <w:kern w:val="2"/>
                            <w:szCs w:val="21"/>
                          </w:rPr>
                          <w:t>地方教育费附加</w:t>
                        </w:r>
                      </w:p>
                    </w:tc>
                    <w:tc>
                      <w:tcPr>
                        <w:tcW w:w="2651" w:type="pct"/>
                      </w:tcPr>
                      <w:p w14:paraId="768A53F2" w14:textId="77777777" w:rsidR="00830E72" w:rsidRDefault="008344D8">
                        <w:pPr>
                          <w:rPr>
                            <w:szCs w:val="21"/>
                          </w:rPr>
                        </w:pPr>
                        <w:r>
                          <w:rPr>
                            <w:rFonts w:hint="eastAsia"/>
                            <w:szCs w:val="21"/>
                          </w:rPr>
                          <w:t>流转税额</w:t>
                        </w:r>
                      </w:p>
                    </w:tc>
                    <w:tc>
                      <w:tcPr>
                        <w:tcW w:w="1388" w:type="pct"/>
                      </w:tcPr>
                      <w:p w14:paraId="33C37409" w14:textId="77777777" w:rsidR="00830E72" w:rsidRDefault="008344D8">
                        <w:pPr>
                          <w:rPr>
                            <w:szCs w:val="21"/>
                          </w:rPr>
                        </w:pPr>
                        <w:r>
                          <w:rPr>
                            <w:rFonts w:hint="eastAsia"/>
                            <w:szCs w:val="21"/>
                          </w:rPr>
                          <w:t>2%</w:t>
                        </w:r>
                      </w:p>
                    </w:tc>
                  </w:tr>
                </w:sdtContent>
              </w:sdt>
            </w:tbl>
          </w:sdtContent>
        </w:sdt>
        <w:p w14:paraId="047BC62A" w14:textId="77777777" w:rsidR="00830E72" w:rsidRDefault="00830E72">
          <w:pPr>
            <w:rPr>
              <w:szCs w:val="21"/>
            </w:rPr>
          </w:pPr>
        </w:p>
        <w:p w14:paraId="1B6DDF40" w14:textId="77777777" w:rsidR="00830E72" w:rsidRDefault="008344D8">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848dc0d1182048ccb5485f3b0d7d1d70"/>
            <w:id w:val="1947736453"/>
            <w:lock w:val="sdtContentLocked"/>
            <w:placeholder>
              <w:docPart w:val="GBC22222222222222222222222222222"/>
            </w:placeholder>
          </w:sdtPr>
          <w:sdtEndPr/>
          <w:sdtContent>
            <w:p w14:paraId="611A513F"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税收优惠及批文"/>
        <w:tag w:val="_GBC_8efa381cc976417f9135f0c744d05452"/>
        <w:id w:val="756490151"/>
        <w:lock w:val="sdtLocked"/>
        <w:placeholder>
          <w:docPart w:val="GBC22222222222222222222222222222"/>
        </w:placeholder>
      </w:sdtPr>
      <w:sdtEndPr>
        <w:rPr>
          <w:rFonts w:cs="Times New Roman" w:hint="eastAsia"/>
          <w:kern w:val="2"/>
          <w:sz w:val="21"/>
          <w:szCs w:val="21"/>
        </w:rPr>
      </w:sdtEndPr>
      <w:sdtContent>
        <w:p w14:paraId="49ABC42A" w14:textId="77777777" w:rsidR="00830E72" w:rsidRDefault="008344D8">
          <w:pPr>
            <w:pStyle w:val="Style99"/>
            <w:numPr>
              <w:ilvl w:val="0"/>
              <w:numId w:val="44"/>
            </w:numPr>
            <w:tabs>
              <w:tab w:val="left" w:pos="546"/>
            </w:tabs>
            <w:rPr>
              <w:rFonts w:ascii="宋体" w:hAnsi="宋体"/>
            </w:rPr>
          </w:pPr>
          <w:r>
            <w:rPr>
              <w:rFonts w:ascii="宋体" w:hAnsi="宋体"/>
            </w:rPr>
            <w:t>税收优惠</w:t>
          </w:r>
        </w:p>
        <w:sdt>
          <w:sdtPr>
            <w:rPr>
              <w:rFonts w:hint="eastAsia"/>
              <w:szCs w:val="21"/>
            </w:rPr>
            <w:alias w:val="是否适用：税收优惠[双击切换]"/>
            <w:tag w:val="_GBC_f8eb23e7a2e74e448e4eb46519d87bd6"/>
            <w:id w:val="-2138478226"/>
            <w:lock w:val="sdtContentLocked"/>
            <w:placeholder>
              <w:docPart w:val="GBC22222222222222222222222222222"/>
            </w:placeholder>
          </w:sdtPr>
          <w:sdtEndPr/>
          <w:sdtContent>
            <w:p w14:paraId="5D9156C6"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449167869"/>
            <w:lock w:val="sdtLocked"/>
            <w:placeholder>
              <w:docPart w:val="GBC22222222222222222222222222222"/>
            </w:placeholder>
          </w:sdtPr>
          <w:sdtEndPr/>
          <w:sdtContent>
            <w:p w14:paraId="2BBAC9C4" w14:textId="77777777" w:rsidR="00830E72" w:rsidRDefault="008344D8">
              <w:pPr>
                <w:ind w:firstLineChars="200" w:firstLine="420"/>
                <w:jc w:val="both"/>
                <w:rPr>
                  <w:szCs w:val="21"/>
                </w:rPr>
              </w:pPr>
              <w:r>
                <w:rPr>
                  <w:rFonts w:hint="eastAsia"/>
                  <w:szCs w:val="21"/>
                </w:rPr>
                <w:t>根据财政部、税务总局、海关总署公告</w:t>
              </w:r>
              <w:r>
                <w:rPr>
                  <w:szCs w:val="21"/>
                </w:rPr>
                <w:t xml:space="preserve"> 2019 年第 39 号《关于深化增值税改革有关政策的公</w:t>
              </w:r>
              <w:r>
                <w:rPr>
                  <w:rFonts w:hint="eastAsia"/>
                  <w:szCs w:val="21"/>
                </w:rPr>
                <w:t>告》，自</w:t>
              </w:r>
              <w:r>
                <w:rPr>
                  <w:szCs w:val="21"/>
                </w:rPr>
                <w:t xml:space="preserve"> 2019 年 4 月 1 日至 2021 年 12 月 31 日，允许生产、生活性服务业纳税人按照当期可抵</w:t>
              </w:r>
              <w:r>
                <w:rPr>
                  <w:rFonts w:hint="eastAsia"/>
                  <w:szCs w:val="21"/>
                </w:rPr>
                <w:t>扣进项税额加计</w:t>
              </w:r>
              <w:r>
                <w:rPr>
                  <w:szCs w:val="21"/>
                </w:rPr>
                <w:t>10%，抵减应纳税额。本公司勘察设计及试验检测业务为上述文件规定的生产、</w:t>
              </w:r>
              <w:r>
                <w:rPr>
                  <w:rFonts w:hint="eastAsia"/>
                  <w:szCs w:val="21"/>
                </w:rPr>
                <w:t>生活性服务业，报告期内享受进项税加计扣除</w:t>
              </w:r>
              <w:r>
                <w:rPr>
                  <w:szCs w:val="21"/>
                </w:rPr>
                <w:t>10%的优惠政策。</w:t>
              </w:r>
            </w:p>
          </w:sdtContent>
        </w:sdt>
        <w:p w14:paraId="37DB23E5" w14:textId="77777777" w:rsidR="00830E72" w:rsidRDefault="00D44830">
          <w:pPr>
            <w:rPr>
              <w:szCs w:val="21"/>
            </w:rPr>
          </w:pPr>
        </w:p>
      </w:sdtContent>
    </w:sdt>
    <w:sdt>
      <w:sdtPr>
        <w:rPr>
          <w:rFonts w:ascii="宋体" w:hAnsi="宋体" w:cs="宋体"/>
          <w:b w:val="0"/>
          <w:bCs w:val="0"/>
          <w:kern w:val="0"/>
          <w:sz w:val="24"/>
          <w:szCs w:val="22"/>
        </w:rPr>
        <w:alias w:val="模块:其他说明"/>
        <w:tag w:val="_GBC_9fdef48633e142f68e18dc5da08c2deb"/>
        <w:id w:val="848768571"/>
        <w:lock w:val="sdtLocked"/>
        <w:placeholder>
          <w:docPart w:val="GBC22222222222222222222222222222"/>
        </w:placeholder>
      </w:sdtPr>
      <w:sdtEndPr>
        <w:rPr>
          <w:rFonts w:cs="Times New Roman" w:hint="eastAsia"/>
          <w:kern w:val="2"/>
          <w:sz w:val="21"/>
          <w:szCs w:val="21"/>
        </w:rPr>
      </w:sdtEndPr>
      <w:sdtContent>
        <w:p w14:paraId="6CFCCACD" w14:textId="77777777" w:rsidR="00830E72" w:rsidRDefault="008344D8">
          <w:pPr>
            <w:pStyle w:val="Style99"/>
            <w:numPr>
              <w:ilvl w:val="0"/>
              <w:numId w:val="44"/>
            </w:numPr>
            <w:tabs>
              <w:tab w:val="left" w:pos="546"/>
            </w:tabs>
            <w:rPr>
              <w:rFonts w:ascii="宋体" w:hAnsi="宋体"/>
            </w:rPr>
          </w:pPr>
          <w:r>
            <w:rPr>
              <w:rFonts w:ascii="宋体" w:hAnsi="宋体"/>
            </w:rPr>
            <w:t>其他</w:t>
          </w:r>
        </w:p>
        <w:sdt>
          <w:sdtPr>
            <w:rPr>
              <w:rFonts w:hint="eastAsia"/>
              <w:szCs w:val="21"/>
            </w:rPr>
            <w:alias w:val="是否适用：税项说明[双击切换]"/>
            <w:tag w:val="_GBC_566ef0a7141a4b2ca002ad8d0663c462"/>
            <w:id w:val="267507347"/>
            <w:lock w:val="sdtContentLocked"/>
            <w:placeholder>
              <w:docPart w:val="GBC22222222222222222222222222222"/>
            </w:placeholder>
          </w:sdtPr>
          <w:sdtEndPr/>
          <w:sdtContent>
            <w:p w14:paraId="38FD06AB"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DF5B30C" w14:textId="77777777" w:rsidR="00830E72" w:rsidRDefault="00830E72"/>
    <w:p w14:paraId="35E2C6E6" w14:textId="77777777" w:rsidR="00830E72" w:rsidRDefault="008344D8">
      <w:pPr>
        <w:pStyle w:val="2CharCharChar"/>
        <w:numPr>
          <w:ilvl w:val="0"/>
          <w:numId w:val="32"/>
        </w:numPr>
        <w:ind w:left="422" w:hanging="422"/>
        <w:rPr>
          <w:rFonts w:ascii="宋体" w:hAnsi="宋体"/>
        </w:rPr>
      </w:pPr>
      <w:r>
        <w:rPr>
          <w:rFonts w:ascii="宋体" w:hAnsi="宋体" w:hint="eastAsia"/>
        </w:rPr>
        <w:t>合并财务报表项目注释</w:t>
      </w:r>
    </w:p>
    <w:sdt>
      <w:sdtPr>
        <w:rPr>
          <w:rFonts w:ascii="宋体" w:hAnsi="宋体" w:cs="宋体" w:hint="eastAsia"/>
          <w:b w:val="0"/>
          <w:bCs w:val="0"/>
          <w:kern w:val="0"/>
          <w:szCs w:val="21"/>
        </w:rPr>
        <w:alias w:val="模块:货币资金"/>
        <w:tag w:val="_GBC_e001074b3db146e59ba240ad8dd14b68"/>
        <w:id w:val="1870032378"/>
        <w:lock w:val="sdtLocked"/>
        <w:placeholder>
          <w:docPart w:val="GBC22222222222222222222222222222"/>
        </w:placeholder>
      </w:sdtPr>
      <w:sdtEndPr/>
      <w:sdtContent>
        <w:p w14:paraId="57F542D7" w14:textId="77777777" w:rsidR="00830E72" w:rsidRDefault="008344D8">
          <w:pPr>
            <w:pStyle w:val="Style99"/>
            <w:numPr>
              <w:ilvl w:val="0"/>
              <w:numId w:val="45"/>
            </w:numPr>
            <w:rPr>
              <w:rFonts w:ascii="宋体" w:hAnsi="宋体"/>
            </w:rPr>
          </w:pPr>
          <w:r>
            <w:rPr>
              <w:rFonts w:ascii="宋体" w:hAnsi="宋体" w:hint="eastAsia"/>
            </w:rPr>
            <w:t>货币资金</w:t>
          </w:r>
        </w:p>
        <w:sdt>
          <w:sdtPr>
            <w:rPr>
              <w:rFonts w:hint="eastAsia"/>
              <w:szCs w:val="21"/>
            </w:rPr>
            <w:alias w:val="是否适用：货币资金[双击切换]"/>
            <w:tag w:val="_GBC_919482f2d209490ca80fb081aed88b28"/>
            <w:id w:val="1630047568"/>
            <w:lock w:val="sdtContentLocked"/>
            <w:placeholder>
              <w:docPart w:val="GBC22222222222222222222222222222"/>
            </w:placeholder>
          </w:sdtPr>
          <w:sdtEndPr/>
          <w:sdtContent>
            <w:p w14:paraId="77121169" w14:textId="77777777" w:rsidR="00830E72" w:rsidRDefault="008344D8">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B32EB26" w14:textId="77777777" w:rsidR="00830E72" w:rsidRDefault="008344D8">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1761917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18642519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22"/>
            <w:gridCol w:w="3298"/>
            <w:gridCol w:w="3323"/>
          </w:tblGrid>
          <w:tr w:rsidR="00830E72" w14:paraId="12C8206B" w14:textId="77777777">
            <w:trPr>
              <w:cantSplit/>
            </w:trPr>
            <w:sdt>
              <w:sdtPr>
                <w:tag w:val="_PLD_970744f8614f4547819947c8fa3cacc3"/>
                <w:id w:val="1330096685"/>
                <w:lock w:val="sdtLocked"/>
              </w:sdtPr>
              <w:sdtEndPr/>
              <w:sdtContent>
                <w:tc>
                  <w:tcPr>
                    <w:tcW w:w="1256" w:type="pct"/>
                    <w:shd w:val="clear" w:color="auto" w:fill="auto"/>
                    <w:vAlign w:val="center"/>
                  </w:tcPr>
                  <w:p w14:paraId="3B73C9FA" w14:textId="77777777" w:rsidR="00830E72" w:rsidRDefault="008344D8">
                    <w:pPr>
                      <w:autoSpaceDE w:val="0"/>
                      <w:autoSpaceDN w:val="0"/>
                      <w:adjustRightInd w:val="0"/>
                      <w:snapToGrid w:val="0"/>
                      <w:spacing w:line="240" w:lineRule="atLeast"/>
                      <w:jc w:val="center"/>
                      <w:rPr>
                        <w:szCs w:val="21"/>
                      </w:rPr>
                    </w:pPr>
                    <w:r>
                      <w:rPr>
                        <w:rFonts w:hint="eastAsia"/>
                        <w:szCs w:val="21"/>
                      </w:rPr>
                      <w:t>项目</w:t>
                    </w:r>
                  </w:p>
                </w:tc>
              </w:sdtContent>
            </w:sdt>
            <w:sdt>
              <w:sdtPr>
                <w:tag w:val="_PLD_e10eddc0fb0b4cf087ec6eb5089b437a"/>
                <w:id w:val="1387066013"/>
                <w:lock w:val="sdtLocked"/>
              </w:sdtPr>
              <w:sdtEndPr/>
              <w:sdtContent>
                <w:tc>
                  <w:tcPr>
                    <w:tcW w:w="1865" w:type="pct"/>
                    <w:shd w:val="clear" w:color="auto" w:fill="auto"/>
                    <w:vAlign w:val="center"/>
                  </w:tcPr>
                  <w:p w14:paraId="641845FF" w14:textId="77777777" w:rsidR="00830E72" w:rsidRDefault="008344D8">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0e23cd11eeb14296ba53098fcca37e68"/>
                <w:id w:val="-295064220"/>
                <w:lock w:val="sdtLocked"/>
              </w:sdtPr>
              <w:sdtEndPr/>
              <w:sdtContent>
                <w:tc>
                  <w:tcPr>
                    <w:tcW w:w="1879" w:type="pct"/>
                    <w:shd w:val="clear" w:color="auto" w:fill="auto"/>
                    <w:vAlign w:val="center"/>
                  </w:tcPr>
                  <w:p w14:paraId="12424119" w14:textId="77777777" w:rsidR="00830E72" w:rsidRDefault="008344D8">
                    <w:pPr>
                      <w:autoSpaceDE w:val="0"/>
                      <w:autoSpaceDN w:val="0"/>
                      <w:adjustRightInd w:val="0"/>
                      <w:snapToGrid w:val="0"/>
                      <w:spacing w:line="240" w:lineRule="atLeast"/>
                      <w:jc w:val="center"/>
                      <w:rPr>
                        <w:szCs w:val="21"/>
                      </w:rPr>
                    </w:pPr>
                    <w:r>
                      <w:rPr>
                        <w:rFonts w:hint="eastAsia"/>
                        <w:szCs w:val="21"/>
                      </w:rPr>
                      <w:t>期初余额</w:t>
                    </w:r>
                  </w:p>
                </w:tc>
              </w:sdtContent>
            </w:sdt>
          </w:tr>
          <w:tr w:rsidR="00830E72" w14:paraId="68A8D577" w14:textId="77777777">
            <w:trPr>
              <w:cantSplit/>
            </w:trPr>
            <w:sdt>
              <w:sdtPr>
                <w:tag w:val="_PLD_e371e767a9e24245856168b9f4428678"/>
                <w:id w:val="-1778942604"/>
                <w:lock w:val="sdtLocked"/>
              </w:sdtPr>
              <w:sdtEndPr/>
              <w:sdtContent>
                <w:tc>
                  <w:tcPr>
                    <w:tcW w:w="1256" w:type="pct"/>
                    <w:shd w:val="clear" w:color="auto" w:fill="auto"/>
                  </w:tcPr>
                  <w:p w14:paraId="22907586" w14:textId="77777777" w:rsidR="00830E72" w:rsidRDefault="008344D8">
                    <w:pPr>
                      <w:autoSpaceDE w:val="0"/>
                      <w:autoSpaceDN w:val="0"/>
                      <w:adjustRightInd w:val="0"/>
                      <w:snapToGrid w:val="0"/>
                      <w:spacing w:line="240" w:lineRule="atLeast"/>
                      <w:rPr>
                        <w:szCs w:val="21"/>
                      </w:rPr>
                    </w:pPr>
                    <w:r>
                      <w:rPr>
                        <w:rFonts w:hint="eastAsia"/>
                        <w:szCs w:val="21"/>
                      </w:rPr>
                      <w:t>库存现金</w:t>
                    </w:r>
                  </w:p>
                </w:tc>
              </w:sdtContent>
            </w:sdt>
            <w:tc>
              <w:tcPr>
                <w:tcW w:w="1865" w:type="pct"/>
                <w:shd w:val="clear" w:color="auto" w:fill="auto"/>
              </w:tcPr>
              <w:p w14:paraId="1AF9688E" w14:textId="77777777" w:rsidR="00830E72" w:rsidRDefault="008344D8">
                <w:pPr>
                  <w:autoSpaceDE w:val="0"/>
                  <w:autoSpaceDN w:val="0"/>
                  <w:adjustRightInd w:val="0"/>
                  <w:snapToGrid w:val="0"/>
                  <w:spacing w:line="240" w:lineRule="atLeast"/>
                  <w:jc w:val="right"/>
                  <w:rPr>
                    <w:szCs w:val="21"/>
                  </w:rPr>
                </w:pPr>
                <w:r>
                  <w:rPr>
                    <w:szCs w:val="21"/>
                  </w:rPr>
                  <w:t>143,746.31</w:t>
                </w:r>
              </w:p>
            </w:tc>
            <w:tc>
              <w:tcPr>
                <w:tcW w:w="1879" w:type="pct"/>
                <w:shd w:val="clear" w:color="auto" w:fill="auto"/>
              </w:tcPr>
              <w:p w14:paraId="6D2CBF03" w14:textId="77777777" w:rsidR="00830E72" w:rsidRDefault="008344D8">
                <w:pPr>
                  <w:autoSpaceDE w:val="0"/>
                  <w:autoSpaceDN w:val="0"/>
                  <w:adjustRightInd w:val="0"/>
                  <w:snapToGrid w:val="0"/>
                  <w:spacing w:line="240" w:lineRule="atLeast"/>
                  <w:jc w:val="right"/>
                  <w:rPr>
                    <w:szCs w:val="21"/>
                  </w:rPr>
                </w:pPr>
                <w:r>
                  <w:rPr>
                    <w:szCs w:val="21"/>
                  </w:rPr>
                  <w:t>101,687.80</w:t>
                </w:r>
              </w:p>
            </w:tc>
          </w:tr>
          <w:tr w:rsidR="00830E72" w14:paraId="2E5A2DDF" w14:textId="77777777">
            <w:trPr>
              <w:cantSplit/>
            </w:trPr>
            <w:sdt>
              <w:sdtPr>
                <w:tag w:val="_PLD_96be3b99d11b4eb5ac959cf1c015f1ae"/>
                <w:id w:val="-2051837784"/>
                <w:lock w:val="sdtLocked"/>
              </w:sdtPr>
              <w:sdtEndPr/>
              <w:sdtContent>
                <w:tc>
                  <w:tcPr>
                    <w:tcW w:w="1256" w:type="pct"/>
                    <w:shd w:val="clear" w:color="auto" w:fill="auto"/>
                  </w:tcPr>
                  <w:p w14:paraId="30122E58" w14:textId="77777777" w:rsidR="00830E72" w:rsidRDefault="008344D8">
                    <w:pPr>
                      <w:autoSpaceDE w:val="0"/>
                      <w:autoSpaceDN w:val="0"/>
                      <w:adjustRightInd w:val="0"/>
                      <w:snapToGrid w:val="0"/>
                      <w:spacing w:line="240" w:lineRule="atLeast"/>
                      <w:rPr>
                        <w:szCs w:val="21"/>
                      </w:rPr>
                    </w:pPr>
                    <w:r>
                      <w:rPr>
                        <w:rFonts w:hint="eastAsia"/>
                        <w:szCs w:val="21"/>
                      </w:rPr>
                      <w:t>银行存款</w:t>
                    </w:r>
                  </w:p>
                </w:tc>
              </w:sdtContent>
            </w:sdt>
            <w:tc>
              <w:tcPr>
                <w:tcW w:w="1865" w:type="pct"/>
                <w:shd w:val="clear" w:color="auto" w:fill="auto"/>
              </w:tcPr>
              <w:p w14:paraId="44889FF7" w14:textId="77777777" w:rsidR="00830E72" w:rsidRDefault="008344D8">
                <w:pPr>
                  <w:autoSpaceDE w:val="0"/>
                  <w:autoSpaceDN w:val="0"/>
                  <w:adjustRightInd w:val="0"/>
                  <w:snapToGrid w:val="0"/>
                  <w:spacing w:line="240" w:lineRule="atLeast"/>
                  <w:jc w:val="right"/>
                  <w:rPr>
                    <w:szCs w:val="21"/>
                  </w:rPr>
                </w:pPr>
                <w:r>
                  <w:rPr>
                    <w:szCs w:val="21"/>
                  </w:rPr>
                  <w:t>1,226,876,272.46</w:t>
                </w:r>
              </w:p>
            </w:tc>
            <w:tc>
              <w:tcPr>
                <w:tcW w:w="1879" w:type="pct"/>
                <w:shd w:val="clear" w:color="auto" w:fill="auto"/>
              </w:tcPr>
              <w:p w14:paraId="486D90D6" w14:textId="77777777" w:rsidR="00830E72" w:rsidRDefault="008344D8">
                <w:pPr>
                  <w:autoSpaceDE w:val="0"/>
                  <w:autoSpaceDN w:val="0"/>
                  <w:adjustRightInd w:val="0"/>
                  <w:snapToGrid w:val="0"/>
                  <w:spacing w:line="240" w:lineRule="atLeast"/>
                  <w:jc w:val="right"/>
                  <w:rPr>
                    <w:szCs w:val="21"/>
                  </w:rPr>
                </w:pPr>
                <w:r>
                  <w:rPr>
                    <w:szCs w:val="21"/>
                  </w:rPr>
                  <w:t>686,452,476.29</w:t>
                </w:r>
              </w:p>
            </w:tc>
          </w:tr>
          <w:tr w:rsidR="00830E72" w14:paraId="3E1DF1D1" w14:textId="77777777">
            <w:trPr>
              <w:cantSplit/>
            </w:trPr>
            <w:sdt>
              <w:sdtPr>
                <w:tag w:val="_PLD_58c172627e3243edb66fdbc1799a2f1e"/>
                <w:id w:val="-1698924345"/>
                <w:lock w:val="sdtLocked"/>
              </w:sdtPr>
              <w:sdtEndPr/>
              <w:sdtContent>
                <w:tc>
                  <w:tcPr>
                    <w:tcW w:w="1256" w:type="pct"/>
                    <w:shd w:val="clear" w:color="auto" w:fill="auto"/>
                  </w:tcPr>
                  <w:p w14:paraId="549E8C77" w14:textId="77777777" w:rsidR="00830E72" w:rsidRDefault="008344D8">
                    <w:pPr>
                      <w:autoSpaceDE w:val="0"/>
                      <w:autoSpaceDN w:val="0"/>
                      <w:adjustRightInd w:val="0"/>
                      <w:snapToGrid w:val="0"/>
                      <w:spacing w:line="240" w:lineRule="atLeast"/>
                      <w:rPr>
                        <w:szCs w:val="21"/>
                      </w:rPr>
                    </w:pPr>
                    <w:r>
                      <w:rPr>
                        <w:rFonts w:hint="eastAsia"/>
                        <w:szCs w:val="21"/>
                      </w:rPr>
                      <w:t>其他货币资金</w:t>
                    </w:r>
                  </w:p>
                </w:tc>
              </w:sdtContent>
            </w:sdt>
            <w:tc>
              <w:tcPr>
                <w:tcW w:w="1865" w:type="pct"/>
                <w:shd w:val="clear" w:color="auto" w:fill="auto"/>
              </w:tcPr>
              <w:p w14:paraId="617FA3DE" w14:textId="77777777" w:rsidR="00830E72" w:rsidRDefault="008344D8">
                <w:pPr>
                  <w:autoSpaceDE w:val="0"/>
                  <w:autoSpaceDN w:val="0"/>
                  <w:adjustRightInd w:val="0"/>
                  <w:snapToGrid w:val="0"/>
                  <w:spacing w:line="240" w:lineRule="atLeast"/>
                  <w:jc w:val="right"/>
                  <w:rPr>
                    <w:szCs w:val="21"/>
                  </w:rPr>
                </w:pPr>
                <w:r>
                  <w:rPr>
                    <w:szCs w:val="21"/>
                  </w:rPr>
                  <w:t>80,484,897.73</w:t>
                </w:r>
              </w:p>
            </w:tc>
            <w:tc>
              <w:tcPr>
                <w:tcW w:w="1879" w:type="pct"/>
                <w:shd w:val="clear" w:color="auto" w:fill="auto"/>
              </w:tcPr>
              <w:p w14:paraId="78BE7867" w14:textId="77777777" w:rsidR="00830E72" w:rsidRDefault="008344D8">
                <w:pPr>
                  <w:autoSpaceDE w:val="0"/>
                  <w:autoSpaceDN w:val="0"/>
                  <w:adjustRightInd w:val="0"/>
                  <w:snapToGrid w:val="0"/>
                  <w:spacing w:line="240" w:lineRule="atLeast"/>
                  <w:jc w:val="right"/>
                  <w:rPr>
                    <w:szCs w:val="21"/>
                  </w:rPr>
                </w:pPr>
                <w:r>
                  <w:rPr>
                    <w:szCs w:val="21"/>
                  </w:rPr>
                  <w:t>112,683,194.70</w:t>
                </w:r>
              </w:p>
            </w:tc>
          </w:tr>
          <w:tr w:rsidR="00830E72" w14:paraId="0E74B022" w14:textId="77777777">
            <w:trPr>
              <w:cantSplit/>
            </w:trPr>
            <w:sdt>
              <w:sdtPr>
                <w:tag w:val="_PLD_bfbd7d5ef1f8459e96b267d6ca7d50e2"/>
                <w:id w:val="1426003916"/>
                <w:lock w:val="sdtLocked"/>
              </w:sdtPr>
              <w:sdtEndPr/>
              <w:sdtContent>
                <w:tc>
                  <w:tcPr>
                    <w:tcW w:w="1256" w:type="pct"/>
                    <w:shd w:val="clear" w:color="auto" w:fill="auto"/>
                    <w:vAlign w:val="center"/>
                  </w:tcPr>
                  <w:p w14:paraId="1DD2B612" w14:textId="77777777" w:rsidR="00830E72" w:rsidRDefault="008344D8">
                    <w:pPr>
                      <w:autoSpaceDE w:val="0"/>
                      <w:autoSpaceDN w:val="0"/>
                      <w:adjustRightInd w:val="0"/>
                      <w:snapToGrid w:val="0"/>
                      <w:spacing w:line="240" w:lineRule="atLeast"/>
                      <w:rPr>
                        <w:szCs w:val="21"/>
                      </w:rPr>
                    </w:pPr>
                    <w:r>
                      <w:rPr>
                        <w:rFonts w:hint="eastAsia"/>
                        <w:szCs w:val="21"/>
                      </w:rPr>
                      <w:t>合计</w:t>
                    </w:r>
                  </w:p>
                </w:tc>
              </w:sdtContent>
            </w:sdt>
            <w:tc>
              <w:tcPr>
                <w:tcW w:w="1865" w:type="pct"/>
                <w:shd w:val="clear" w:color="auto" w:fill="auto"/>
              </w:tcPr>
              <w:p w14:paraId="379F8D88" w14:textId="77777777" w:rsidR="00830E72" w:rsidRDefault="008344D8">
                <w:pPr>
                  <w:autoSpaceDE w:val="0"/>
                  <w:autoSpaceDN w:val="0"/>
                  <w:adjustRightInd w:val="0"/>
                  <w:snapToGrid w:val="0"/>
                  <w:spacing w:line="240" w:lineRule="atLeast"/>
                  <w:jc w:val="right"/>
                  <w:rPr>
                    <w:szCs w:val="21"/>
                  </w:rPr>
                </w:pPr>
                <w:r>
                  <w:rPr>
                    <w:szCs w:val="21"/>
                  </w:rPr>
                  <w:t>1,307,504,916.50</w:t>
                </w:r>
              </w:p>
            </w:tc>
            <w:tc>
              <w:tcPr>
                <w:tcW w:w="1879" w:type="pct"/>
                <w:shd w:val="clear" w:color="auto" w:fill="auto"/>
              </w:tcPr>
              <w:p w14:paraId="7F056EB2" w14:textId="77777777" w:rsidR="00830E72" w:rsidRDefault="008344D8">
                <w:pPr>
                  <w:autoSpaceDE w:val="0"/>
                  <w:autoSpaceDN w:val="0"/>
                  <w:adjustRightInd w:val="0"/>
                  <w:snapToGrid w:val="0"/>
                  <w:spacing w:line="240" w:lineRule="atLeast"/>
                  <w:jc w:val="right"/>
                  <w:rPr>
                    <w:szCs w:val="21"/>
                  </w:rPr>
                </w:pPr>
                <w:r>
                  <w:rPr>
                    <w:szCs w:val="21"/>
                  </w:rPr>
                  <w:t>799,237,358.79</w:t>
                </w:r>
              </w:p>
            </w:tc>
          </w:tr>
        </w:tbl>
        <w:p w14:paraId="068A06F9" w14:textId="77777777" w:rsidR="00830E72" w:rsidRDefault="008344D8">
          <w:pPr>
            <w:rPr>
              <w:szCs w:val="21"/>
            </w:rPr>
          </w:pPr>
          <w:r>
            <w:rPr>
              <w:rFonts w:hint="eastAsia"/>
              <w:szCs w:val="21"/>
            </w:rPr>
            <w:t>其他说明：</w:t>
          </w:r>
        </w:p>
        <w:p w14:paraId="783A2B43" w14:textId="77777777" w:rsidR="00830E72" w:rsidRDefault="00D44830">
          <w:pPr>
            <w:ind w:firstLineChars="200" w:firstLine="420"/>
            <w:jc w:val="both"/>
            <w:rPr>
              <w:szCs w:val="21"/>
            </w:rPr>
          </w:pPr>
          <w:sdt>
            <w:sdtPr>
              <w:rPr>
                <w:szCs w:val="21"/>
              </w:rPr>
              <w:alias w:val="货币资金的说明"/>
              <w:tag w:val="_GBC_672a863055084dfabbc1ba40f04a68b4"/>
              <w:id w:val="860393304"/>
              <w:lock w:val="sdtLocked"/>
              <w:placeholder>
                <w:docPart w:val="GBC22222222222222222222222222222"/>
              </w:placeholder>
            </w:sdtPr>
            <w:sdtEndPr/>
            <w:sdtContent>
              <w:r w:rsidR="008344D8">
                <w:rPr>
                  <w:szCs w:val="21"/>
                </w:rPr>
                <w:t>2021年6月30日银行存款中4,944,819.28元系诉讼法院冻结资金；其他货币资金余额系票据保证金32,183,177.32元、保函保证金33,354,292.41元、信用证保证金13,600,000.00元及农业复垦保证金1,347,428.00元。除此之外，2021年6月30日货币资金中无其他因抵押、质押或冻结等对使用有限制、有潜在回收风险的款项。</w:t>
              </w:r>
            </w:sdtContent>
          </w:sdt>
        </w:p>
      </w:sdtContent>
    </w:sdt>
    <w:p w14:paraId="6A9A9B01" w14:textId="77777777" w:rsidR="00830E72" w:rsidRDefault="00830E72">
      <w:pPr>
        <w:snapToGrid w:val="0"/>
        <w:spacing w:line="240" w:lineRule="atLeast"/>
        <w:ind w:left="1470" w:rightChars="12" w:right="25" w:hangingChars="700" w:hanging="1470"/>
        <w:rPr>
          <w:szCs w:val="21"/>
        </w:rPr>
      </w:pPr>
    </w:p>
    <w:bookmarkStart w:id="91" w:name="_Hlk10466498" w:displacedByCustomXml="next"/>
    <w:sdt>
      <w:sdtPr>
        <w:rPr>
          <w:rFonts w:ascii="宋体" w:hAnsi="宋体" w:cs="宋体" w:hint="eastAsia"/>
          <w:b w:val="0"/>
          <w:bCs w:val="0"/>
          <w:kern w:val="0"/>
          <w:szCs w:val="21"/>
        </w:rPr>
        <w:alias w:val="模块:交易性金融资产"/>
        <w:tag w:val="_SEC_01904024df9944b092034293cedff1b0"/>
        <w:id w:val="373421810"/>
        <w:lock w:val="sdtLocked"/>
        <w:placeholder>
          <w:docPart w:val="GBC22222222222222222222222222222"/>
        </w:placeholder>
      </w:sdtPr>
      <w:sdtEndPr>
        <w:rPr>
          <w:szCs w:val="24"/>
        </w:rPr>
      </w:sdtEndPr>
      <w:sdtContent>
        <w:p w14:paraId="48396455" w14:textId="77777777" w:rsidR="00830E72" w:rsidRDefault="008344D8">
          <w:pPr>
            <w:pStyle w:val="Style99"/>
            <w:numPr>
              <w:ilvl w:val="0"/>
              <w:numId w:val="45"/>
            </w:numPr>
            <w:rPr>
              <w:rFonts w:ascii="宋体" w:hAnsi="宋体"/>
              <w:szCs w:val="21"/>
            </w:rPr>
          </w:pPr>
          <w:r>
            <w:rPr>
              <w:rFonts w:ascii="宋体" w:hAnsi="宋体" w:hint="eastAsia"/>
              <w:szCs w:val="21"/>
            </w:rPr>
            <w:t>交易性金融资产</w:t>
          </w:r>
        </w:p>
        <w:sdt>
          <w:sdtPr>
            <w:alias w:val="是否适用：交易性金融资产[双击切换]"/>
            <w:tag w:val="_GBC_11d582474c724741b6bb067e7b29fffd"/>
            <w:id w:val="1166291351"/>
            <w:lock w:val="sdtContentLocked"/>
            <w:placeholder>
              <w:docPart w:val="GBC22222222222222222222222222222"/>
            </w:placeholder>
          </w:sdtPr>
          <w:sdtEndPr/>
          <w:sdtContent>
            <w:p w14:paraId="5CCAEB17"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FA9C5DE" w14:textId="77777777" w:rsidR="00830E72" w:rsidRDefault="008344D8">
          <w:pPr>
            <w:ind w:left="420" w:right="44"/>
            <w:jc w:val="right"/>
          </w:pPr>
          <w:r>
            <w:rPr>
              <w:rFonts w:hint="eastAsia"/>
            </w:rPr>
            <w:t xml:space="preserve">  </w:t>
          </w:r>
          <w:r>
            <w:t xml:space="preserve">  </w:t>
          </w:r>
          <w:r>
            <w:rPr>
              <w:rFonts w:hint="eastAsia"/>
            </w:rPr>
            <w:t>单位：</w:t>
          </w:r>
          <w:sdt>
            <w:sdtPr>
              <w:rPr>
                <w:rFonts w:hint="eastAsia"/>
              </w:rPr>
              <w:alias w:val="单位：财务附注：交易性金融资产"/>
              <w:tag w:val="_GBC_b2d7dc3f69444771a448a311594f8279"/>
              <w:id w:val="1602045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交易性金融资产"/>
              <w:tag w:val="_GBC_88b9006e3e174b8c8076810e5fb1dcc8"/>
              <w:id w:val="-15489802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984"/>
            <w:gridCol w:w="2137"/>
          </w:tblGrid>
          <w:tr w:rsidR="00830E72" w14:paraId="513283A9" w14:textId="77777777" w:rsidTr="002F3349">
            <w:sdt>
              <w:sdtPr>
                <w:tag w:val="_PLD_180b3e7393aa4b579f23eb84c4a7f3d2"/>
                <w:id w:val="-1824258336"/>
                <w:lock w:val="sdtLocked"/>
              </w:sdtPr>
              <w:sdtEndPr/>
              <w:sdtContent>
                <w:tc>
                  <w:tcPr>
                    <w:tcW w:w="2723" w:type="pct"/>
                    <w:shd w:val="clear" w:color="auto" w:fill="auto"/>
                    <w:vAlign w:val="center"/>
                  </w:tcPr>
                  <w:p w14:paraId="5F18C0CB" w14:textId="77777777" w:rsidR="00830E72" w:rsidRDefault="008344D8">
                    <w:pPr>
                      <w:jc w:val="center"/>
                      <w:rPr>
                        <w:szCs w:val="21"/>
                      </w:rPr>
                    </w:pPr>
                    <w:r>
                      <w:rPr>
                        <w:rFonts w:hint="eastAsia"/>
                        <w:szCs w:val="21"/>
                      </w:rPr>
                      <w:t>项目</w:t>
                    </w:r>
                  </w:p>
                </w:tc>
              </w:sdtContent>
            </w:sdt>
            <w:sdt>
              <w:sdtPr>
                <w:tag w:val="_PLD_3c39d37503a349249c106423bdc13d7f"/>
                <w:id w:val="-623852254"/>
                <w:lock w:val="sdtLocked"/>
              </w:sdtPr>
              <w:sdtEndPr/>
              <w:sdtContent>
                <w:tc>
                  <w:tcPr>
                    <w:tcW w:w="1096" w:type="pct"/>
                    <w:shd w:val="clear" w:color="auto" w:fill="auto"/>
                    <w:vAlign w:val="center"/>
                  </w:tcPr>
                  <w:p w14:paraId="53A9225B" w14:textId="77777777" w:rsidR="00830E72" w:rsidRDefault="008344D8">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d428152cd6a04122a794515fe299ca7f"/>
                <w:id w:val="-956332162"/>
                <w:lock w:val="sdtLocked"/>
              </w:sdtPr>
              <w:sdtEndPr/>
              <w:sdtContent>
                <w:tc>
                  <w:tcPr>
                    <w:tcW w:w="1181" w:type="pct"/>
                    <w:shd w:val="clear" w:color="auto" w:fill="auto"/>
                    <w:vAlign w:val="center"/>
                  </w:tcPr>
                  <w:p w14:paraId="1A97EB81" w14:textId="77777777" w:rsidR="00830E72" w:rsidRDefault="008344D8">
                    <w:pPr>
                      <w:autoSpaceDE w:val="0"/>
                      <w:autoSpaceDN w:val="0"/>
                      <w:adjustRightInd w:val="0"/>
                      <w:snapToGrid w:val="0"/>
                      <w:spacing w:line="240" w:lineRule="atLeast"/>
                      <w:jc w:val="center"/>
                      <w:rPr>
                        <w:szCs w:val="21"/>
                      </w:rPr>
                    </w:pPr>
                    <w:r>
                      <w:rPr>
                        <w:rFonts w:hint="eastAsia"/>
                        <w:szCs w:val="21"/>
                      </w:rPr>
                      <w:t>期初余额</w:t>
                    </w:r>
                  </w:p>
                </w:tc>
              </w:sdtContent>
            </w:sdt>
          </w:tr>
          <w:tr w:rsidR="00830E72" w14:paraId="39ECAF5B" w14:textId="77777777" w:rsidTr="002F3349">
            <w:sdt>
              <w:sdtPr>
                <w:tag w:val="_PLD_43a852b8fe8245cfab7ad57443d101bd"/>
                <w:id w:val="174849123"/>
                <w:lock w:val="sdtLocked"/>
              </w:sdtPr>
              <w:sdtEndPr/>
              <w:sdtContent>
                <w:tc>
                  <w:tcPr>
                    <w:tcW w:w="2723" w:type="pct"/>
                    <w:shd w:val="clear" w:color="auto" w:fill="auto"/>
                  </w:tcPr>
                  <w:p w14:paraId="19F1D565" w14:textId="77777777" w:rsidR="00830E72" w:rsidRDefault="008344D8">
                    <w:pPr>
                      <w:autoSpaceDE w:val="0"/>
                      <w:autoSpaceDN w:val="0"/>
                      <w:adjustRightInd w:val="0"/>
                      <w:rPr>
                        <w:szCs w:val="21"/>
                      </w:rPr>
                    </w:pPr>
                    <w:r>
                      <w:rPr>
                        <w:rFonts w:hint="eastAsia"/>
                        <w:szCs w:val="21"/>
                      </w:rPr>
                      <w:t>以公允价值计量且其变动计入当期损益的金融资产</w:t>
                    </w:r>
                  </w:p>
                </w:tc>
              </w:sdtContent>
            </w:sdt>
            <w:tc>
              <w:tcPr>
                <w:tcW w:w="1096" w:type="pct"/>
                <w:shd w:val="clear" w:color="auto" w:fill="auto"/>
              </w:tcPr>
              <w:p w14:paraId="6D9445DA" w14:textId="77777777" w:rsidR="00830E72" w:rsidRDefault="008344D8">
                <w:pPr>
                  <w:jc w:val="right"/>
                  <w:rPr>
                    <w:szCs w:val="21"/>
                  </w:rPr>
                </w:pPr>
                <w:r>
                  <w:rPr>
                    <w:szCs w:val="21"/>
                  </w:rPr>
                  <w:t>28,809,590.66</w:t>
                </w:r>
              </w:p>
            </w:tc>
            <w:tc>
              <w:tcPr>
                <w:tcW w:w="1181" w:type="pct"/>
                <w:shd w:val="clear" w:color="auto" w:fill="auto"/>
              </w:tcPr>
              <w:p w14:paraId="6C48A4F1" w14:textId="77777777" w:rsidR="00830E72" w:rsidRDefault="008344D8">
                <w:pPr>
                  <w:jc w:val="right"/>
                  <w:rPr>
                    <w:szCs w:val="21"/>
                  </w:rPr>
                </w:pPr>
                <w:r>
                  <w:rPr>
                    <w:szCs w:val="21"/>
                  </w:rPr>
                  <w:t>30,616,759.03</w:t>
                </w:r>
              </w:p>
            </w:tc>
          </w:tr>
          <w:tr w:rsidR="00830E72" w14:paraId="2B1C3DC8" w14:textId="77777777">
            <w:sdt>
              <w:sdtPr>
                <w:tag w:val="_PLD_3c173ac5b41e4bf58ef2c9e0d063380f"/>
                <w:id w:val="-422182810"/>
                <w:lock w:val="sdtLocked"/>
              </w:sdtPr>
              <w:sdtEndPr/>
              <w:sdtContent>
                <w:tc>
                  <w:tcPr>
                    <w:tcW w:w="5000" w:type="pct"/>
                    <w:gridSpan w:val="3"/>
                    <w:shd w:val="clear" w:color="auto" w:fill="auto"/>
                  </w:tcPr>
                  <w:p w14:paraId="48100F00" w14:textId="77777777" w:rsidR="00830E72" w:rsidRDefault="008344D8">
                    <w:pPr>
                      <w:rPr>
                        <w:szCs w:val="21"/>
                      </w:rPr>
                    </w:pPr>
                    <w:r>
                      <w:rPr>
                        <w:rFonts w:hint="eastAsia"/>
                        <w:szCs w:val="21"/>
                      </w:rPr>
                      <w:t>其中：</w:t>
                    </w:r>
                    <w:r>
                      <w:t xml:space="preserve"> </w:t>
                    </w:r>
                  </w:p>
                </w:tc>
              </w:sdtContent>
            </w:sdt>
          </w:tr>
          <w:sdt>
            <w:sdtPr>
              <w:rPr>
                <w:szCs w:val="21"/>
              </w:rPr>
              <w:alias w:val="交易性金融资产中以公允价值计量且其变动计入当期损益的金融资产明细"/>
              <w:tag w:val="_TUP_341bdf9f88e5440c90904d1eb6d01724"/>
              <w:id w:val="1326627335"/>
              <w:lock w:val="sdtLocked"/>
              <w:placeholder>
                <w:docPart w:val="GBC11111111111111111111111111111"/>
              </w:placeholder>
            </w:sdtPr>
            <w:sdtEndPr/>
            <w:sdtContent>
              <w:tr w:rsidR="00830E72" w14:paraId="2F70720F" w14:textId="77777777" w:rsidTr="002F3349">
                <w:tc>
                  <w:tcPr>
                    <w:tcW w:w="2723" w:type="pct"/>
                    <w:shd w:val="clear" w:color="auto" w:fill="auto"/>
                  </w:tcPr>
                  <w:p w14:paraId="757ADFC5" w14:textId="77777777" w:rsidR="00830E72" w:rsidRDefault="008344D8">
                    <w:pPr>
                      <w:autoSpaceDE w:val="0"/>
                      <w:autoSpaceDN w:val="0"/>
                      <w:adjustRightInd w:val="0"/>
                      <w:ind w:firstLineChars="270" w:firstLine="567"/>
                      <w:rPr>
                        <w:szCs w:val="21"/>
                      </w:rPr>
                    </w:pPr>
                    <w:r>
                      <w:rPr>
                        <w:rFonts w:hint="eastAsia"/>
                        <w:szCs w:val="21"/>
                      </w:rPr>
                      <w:t>理财产品</w:t>
                    </w:r>
                  </w:p>
                </w:tc>
                <w:tc>
                  <w:tcPr>
                    <w:tcW w:w="1096" w:type="pct"/>
                    <w:shd w:val="clear" w:color="auto" w:fill="auto"/>
                  </w:tcPr>
                  <w:p w14:paraId="05E778AA" w14:textId="77777777" w:rsidR="00830E72" w:rsidRDefault="008344D8">
                    <w:pPr>
                      <w:jc w:val="right"/>
                      <w:rPr>
                        <w:szCs w:val="21"/>
                      </w:rPr>
                    </w:pPr>
                    <w:r>
                      <w:rPr>
                        <w:szCs w:val="21"/>
                      </w:rPr>
                      <w:t>28,809,590.66</w:t>
                    </w:r>
                  </w:p>
                </w:tc>
                <w:tc>
                  <w:tcPr>
                    <w:tcW w:w="1181" w:type="pct"/>
                    <w:shd w:val="clear" w:color="auto" w:fill="auto"/>
                  </w:tcPr>
                  <w:p w14:paraId="1C0CBB0C" w14:textId="77777777" w:rsidR="00830E72" w:rsidRDefault="008344D8">
                    <w:pPr>
                      <w:jc w:val="right"/>
                      <w:rPr>
                        <w:szCs w:val="21"/>
                      </w:rPr>
                    </w:pPr>
                    <w:r>
                      <w:rPr>
                        <w:szCs w:val="21"/>
                      </w:rPr>
                      <w:t>30,616,759.03</w:t>
                    </w:r>
                  </w:p>
                </w:tc>
              </w:tr>
            </w:sdtContent>
          </w:sdt>
          <w:tr w:rsidR="00830E72" w14:paraId="64BA9607" w14:textId="77777777" w:rsidTr="002F3349">
            <w:sdt>
              <w:sdtPr>
                <w:tag w:val="_PLD_b70930027e2847d98ef556a409fe079a"/>
                <w:id w:val="-1187898560"/>
                <w:lock w:val="sdtLocked"/>
              </w:sdtPr>
              <w:sdtEndPr/>
              <w:sdtContent>
                <w:tc>
                  <w:tcPr>
                    <w:tcW w:w="2723" w:type="pct"/>
                    <w:shd w:val="clear" w:color="auto" w:fill="auto"/>
                    <w:vAlign w:val="center"/>
                  </w:tcPr>
                  <w:p w14:paraId="404BAADB" w14:textId="77777777" w:rsidR="00830E72" w:rsidRDefault="008344D8">
                    <w:pPr>
                      <w:jc w:val="center"/>
                      <w:rPr>
                        <w:szCs w:val="21"/>
                      </w:rPr>
                    </w:pPr>
                    <w:r>
                      <w:rPr>
                        <w:rFonts w:hint="eastAsia"/>
                        <w:szCs w:val="21"/>
                      </w:rPr>
                      <w:t>合计</w:t>
                    </w:r>
                  </w:p>
                </w:tc>
              </w:sdtContent>
            </w:sdt>
            <w:tc>
              <w:tcPr>
                <w:tcW w:w="1096" w:type="pct"/>
                <w:shd w:val="clear" w:color="auto" w:fill="auto"/>
              </w:tcPr>
              <w:p w14:paraId="31E679B0" w14:textId="77777777" w:rsidR="00830E72" w:rsidRDefault="008344D8">
                <w:pPr>
                  <w:jc w:val="right"/>
                  <w:rPr>
                    <w:szCs w:val="21"/>
                  </w:rPr>
                </w:pPr>
                <w:r>
                  <w:rPr>
                    <w:szCs w:val="21"/>
                  </w:rPr>
                  <w:t>28,809,590.66</w:t>
                </w:r>
              </w:p>
            </w:tc>
            <w:tc>
              <w:tcPr>
                <w:tcW w:w="1181" w:type="pct"/>
                <w:shd w:val="clear" w:color="auto" w:fill="auto"/>
              </w:tcPr>
              <w:p w14:paraId="71D71E84" w14:textId="77777777" w:rsidR="00830E72" w:rsidRDefault="008344D8">
                <w:pPr>
                  <w:jc w:val="right"/>
                  <w:rPr>
                    <w:szCs w:val="21"/>
                  </w:rPr>
                </w:pPr>
                <w:r>
                  <w:rPr>
                    <w:szCs w:val="21"/>
                  </w:rPr>
                  <w:t>30,616,759.03</w:t>
                </w:r>
              </w:p>
            </w:tc>
          </w:tr>
        </w:tbl>
        <w:p w14:paraId="651A6FEB" w14:textId="77777777" w:rsidR="00830E72" w:rsidRDefault="008344D8">
          <w:r>
            <w:rPr>
              <w:rFonts w:hint="eastAsia"/>
            </w:rPr>
            <w:t>其他</w:t>
          </w:r>
          <w:r>
            <w:t>说明</w:t>
          </w:r>
          <w:r>
            <w:rPr>
              <w:rFonts w:hint="eastAsia"/>
            </w:rPr>
            <w:t>：</w:t>
          </w:r>
        </w:p>
        <w:sdt>
          <w:sdtPr>
            <w:alias w:val="是否适用：交易性金融资产的说明[双击切换]"/>
            <w:tag w:val="_GBC_b60651a640d94b5c8581bfe4f49d2891"/>
            <w:id w:val="-176659316"/>
            <w:lock w:val="sdtLocked"/>
            <w:placeholder>
              <w:docPart w:val="GBC22222222222222222222222222222"/>
            </w:placeholder>
          </w:sdtPr>
          <w:sdtEndPr/>
          <w:sdtContent>
            <w:p w14:paraId="4244815B"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91" w:displacedByCustomXml="next"/>
    <w:sdt>
      <w:sdtPr>
        <w:rPr>
          <w:rFonts w:ascii="宋体" w:hAnsi="宋体" w:cs="宋体" w:hint="eastAsia"/>
          <w:b w:val="0"/>
          <w:bCs w:val="0"/>
          <w:kern w:val="0"/>
          <w:szCs w:val="21"/>
        </w:rPr>
        <w:alias w:val="模块:衍生金融资产"/>
        <w:tag w:val="_GBC_bc314407a9a14c2f8b2b5368638e0a51"/>
        <w:id w:val="554668056"/>
        <w:lock w:val="sdtLocked"/>
        <w:placeholder>
          <w:docPart w:val="GBC22222222222222222222222222222"/>
        </w:placeholder>
      </w:sdtPr>
      <w:sdtEndPr/>
      <w:sdtContent>
        <w:p w14:paraId="59236AFB" w14:textId="77777777" w:rsidR="00830E72" w:rsidRDefault="008344D8">
          <w:pPr>
            <w:pStyle w:val="Style99"/>
            <w:numPr>
              <w:ilvl w:val="0"/>
              <w:numId w:val="45"/>
            </w:numPr>
            <w:rPr>
              <w:rFonts w:ascii="宋体" w:hAnsi="宋体"/>
              <w:szCs w:val="21"/>
            </w:rPr>
          </w:pPr>
          <w:r>
            <w:rPr>
              <w:rFonts w:ascii="宋体" w:hAnsi="宋体" w:hint="eastAsia"/>
              <w:szCs w:val="21"/>
            </w:rPr>
            <w:t>衍生金融资产</w:t>
          </w:r>
        </w:p>
        <w:sdt>
          <w:sdtPr>
            <w:alias w:val="是否适用：衍生金融资产[双击切换]"/>
            <w:tag w:val="_GBC_7f1559f8ac9a442b81c5479563d9e8bb"/>
            <w:id w:val="-1779866408"/>
            <w:lock w:val="sdtContentLocked"/>
            <w:placeholder>
              <w:docPart w:val="GBC22222222222222222222222222222"/>
            </w:placeholder>
          </w:sdtPr>
          <w:sdtEndPr/>
          <w:sdtContent>
            <w:p w14:paraId="3ECC00BE"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3453F88" w14:textId="77777777" w:rsidR="00830E72" w:rsidRDefault="008344D8">
      <w:pPr>
        <w:pStyle w:val="Style99"/>
        <w:numPr>
          <w:ilvl w:val="0"/>
          <w:numId w:val="45"/>
        </w:numPr>
        <w:rPr>
          <w:rFonts w:ascii="宋体" w:hAnsi="宋体"/>
        </w:rPr>
      </w:pPr>
      <w:r>
        <w:rPr>
          <w:rFonts w:ascii="宋体" w:hAnsi="宋体" w:hint="eastAsia"/>
        </w:rPr>
        <w:t>应收票据</w:t>
      </w:r>
    </w:p>
    <w:sdt>
      <w:sdtPr>
        <w:rPr>
          <w:rFonts w:ascii="宋体" w:hAnsi="宋体" w:cs="宋体" w:hint="eastAsia"/>
          <w:b w:val="0"/>
          <w:bCs w:val="0"/>
          <w:kern w:val="0"/>
          <w:szCs w:val="22"/>
        </w:rPr>
        <w:alias w:val="模块:应收票据分类"/>
        <w:tag w:val="_GBC_c1ce1fc5bd0f42bca82cd02f3a6b623f"/>
        <w:id w:val="50668599"/>
        <w:lock w:val="sdtLocked"/>
        <w:placeholder>
          <w:docPart w:val="GBC22222222222222222222222222222"/>
        </w:placeholder>
      </w:sdtPr>
      <w:sdtEndPr>
        <w:rPr>
          <w:rFonts w:cs="Times New Roman"/>
          <w:color w:val="008000"/>
          <w:kern w:val="2"/>
          <w:szCs w:val="24"/>
        </w:rPr>
      </w:sdtEndPr>
      <w:sdtContent>
        <w:p w14:paraId="02A31B54" w14:textId="77777777" w:rsidR="00830E72" w:rsidRDefault="008344D8">
          <w:pPr>
            <w:pStyle w:val="Style100"/>
            <w:numPr>
              <w:ilvl w:val="3"/>
              <w:numId w:val="46"/>
            </w:numPr>
            <w:rPr>
              <w:rFonts w:ascii="宋体" w:hAnsi="宋体"/>
            </w:rPr>
          </w:pPr>
          <w:r>
            <w:rPr>
              <w:rFonts w:ascii="宋体" w:hAnsi="宋体" w:hint="eastAsia"/>
            </w:rPr>
            <w:t>应收票据分类列示</w:t>
          </w:r>
        </w:p>
        <w:p w14:paraId="465C0D9A" w14:textId="77777777" w:rsidR="00830E72" w:rsidRDefault="00D44830">
          <w:sdt>
            <w:sdtPr>
              <w:alias w:val="是否适用：应收票据分类列示[双击切换]"/>
              <w:tag w:val="_GBC_3c32a2809ab3476a93b88a8155fb0be8"/>
              <w:id w:val="1330187220"/>
              <w:lock w:val="sdtLocked"/>
              <w:placeholder>
                <w:docPart w:val="GBC22222222222222222222222222222"/>
              </w:placeholder>
            </w:sdtPr>
            <w:sdtEndPr/>
            <w:sdtContent>
              <w:r w:rsidR="008344D8">
                <w:fldChar w:fldCharType="begin"/>
              </w:r>
              <w:r w:rsidR="008344D8">
                <w:instrText xml:space="preserve"> MACROBUTTON  SnrToggleCheckbox √适用 </w:instrText>
              </w:r>
              <w:r w:rsidR="008344D8">
                <w:fldChar w:fldCharType="end"/>
              </w:r>
              <w:r w:rsidR="008344D8">
                <w:fldChar w:fldCharType="begin"/>
              </w:r>
              <w:r w:rsidR="008344D8">
                <w:instrText xml:space="preserve"> MACROBUTTON  SnrToggleCheckbox □不适用 </w:instrText>
              </w:r>
              <w:r w:rsidR="008344D8">
                <w:fldChar w:fldCharType="end"/>
              </w:r>
            </w:sdtContent>
          </w:sdt>
        </w:p>
        <w:p w14:paraId="5482AD9B" w14:textId="77777777" w:rsidR="00830E72" w:rsidRDefault="008344D8">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21d6ba5a9ccb41d7aee707ba343741db"/>
              <w:id w:val="805443934"/>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8bc82a26735413f8516c3d080579822"/>
              <w:id w:val="193153821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63"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965"/>
            <w:gridCol w:w="3146"/>
            <w:gridCol w:w="2894"/>
          </w:tblGrid>
          <w:tr w:rsidR="00830E72" w14:paraId="156A14A0" w14:textId="77777777">
            <w:trPr>
              <w:cantSplit/>
            </w:trPr>
            <w:sdt>
              <w:sdtPr>
                <w:tag w:val="_PLD_a48e9b652e5b48b08b05dc5f5dba5744"/>
                <w:id w:val="-1031404921"/>
                <w:lock w:val="sdtLocked"/>
              </w:sdtPr>
              <w:sdtEndPr/>
              <w:sdtContent>
                <w:tc>
                  <w:tcPr>
                    <w:tcW w:w="1646" w:type="pct"/>
                    <w:vAlign w:val="center"/>
                  </w:tcPr>
                  <w:p w14:paraId="344AE9ED" w14:textId="77777777" w:rsidR="00830E72" w:rsidRDefault="008344D8">
                    <w:pPr>
                      <w:autoSpaceDE w:val="0"/>
                      <w:autoSpaceDN w:val="0"/>
                      <w:adjustRightInd w:val="0"/>
                      <w:snapToGrid w:val="0"/>
                      <w:spacing w:line="240" w:lineRule="atLeast"/>
                      <w:jc w:val="center"/>
                      <w:rPr>
                        <w:szCs w:val="21"/>
                      </w:rPr>
                    </w:pPr>
                    <w:r>
                      <w:rPr>
                        <w:rFonts w:hint="eastAsia"/>
                        <w:szCs w:val="21"/>
                      </w:rPr>
                      <w:t>项目</w:t>
                    </w:r>
                  </w:p>
                </w:tc>
              </w:sdtContent>
            </w:sdt>
            <w:sdt>
              <w:sdtPr>
                <w:tag w:val="_PLD_c6664062fcf84681af8b24fee4722ae5"/>
                <w:id w:val="1312287308"/>
                <w:lock w:val="sdtLocked"/>
              </w:sdtPr>
              <w:sdtEndPr/>
              <w:sdtContent>
                <w:tc>
                  <w:tcPr>
                    <w:tcW w:w="1747" w:type="pct"/>
                    <w:vAlign w:val="center"/>
                  </w:tcPr>
                  <w:p w14:paraId="38FD020A" w14:textId="77777777" w:rsidR="00830E72" w:rsidRDefault="008344D8">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d93c99ec70e48ac985c37b2b3046178"/>
                <w:id w:val="-1013066046"/>
                <w:lock w:val="sdtLocked"/>
              </w:sdtPr>
              <w:sdtEndPr/>
              <w:sdtContent>
                <w:tc>
                  <w:tcPr>
                    <w:tcW w:w="1607" w:type="pct"/>
                    <w:vAlign w:val="center"/>
                  </w:tcPr>
                  <w:p w14:paraId="5D440469" w14:textId="77777777" w:rsidR="00830E72" w:rsidRDefault="008344D8">
                    <w:pPr>
                      <w:autoSpaceDE w:val="0"/>
                      <w:autoSpaceDN w:val="0"/>
                      <w:adjustRightInd w:val="0"/>
                      <w:snapToGrid w:val="0"/>
                      <w:spacing w:line="240" w:lineRule="atLeast"/>
                      <w:jc w:val="center"/>
                      <w:rPr>
                        <w:szCs w:val="21"/>
                      </w:rPr>
                    </w:pPr>
                    <w:r>
                      <w:rPr>
                        <w:rFonts w:hint="eastAsia"/>
                        <w:szCs w:val="21"/>
                      </w:rPr>
                      <w:t>期初余额</w:t>
                    </w:r>
                  </w:p>
                </w:tc>
              </w:sdtContent>
            </w:sdt>
          </w:tr>
          <w:tr w:rsidR="00830E72" w14:paraId="50A24FFB" w14:textId="77777777">
            <w:trPr>
              <w:cantSplit/>
            </w:trPr>
            <w:sdt>
              <w:sdtPr>
                <w:tag w:val="_PLD_eccbe8be962b4f1497dbb55db8b28215"/>
                <w:id w:val="1115253805"/>
                <w:lock w:val="sdtLocked"/>
              </w:sdtPr>
              <w:sdtEndPr/>
              <w:sdtContent>
                <w:tc>
                  <w:tcPr>
                    <w:tcW w:w="1646" w:type="pct"/>
                  </w:tcPr>
                  <w:p w14:paraId="21A607DB" w14:textId="77777777" w:rsidR="00830E72" w:rsidRDefault="008344D8">
                    <w:pPr>
                      <w:autoSpaceDE w:val="0"/>
                      <w:autoSpaceDN w:val="0"/>
                      <w:adjustRightInd w:val="0"/>
                      <w:snapToGrid w:val="0"/>
                      <w:spacing w:line="240" w:lineRule="atLeast"/>
                      <w:rPr>
                        <w:szCs w:val="21"/>
                      </w:rPr>
                    </w:pPr>
                    <w:r>
                      <w:rPr>
                        <w:rFonts w:hint="eastAsia"/>
                        <w:szCs w:val="21"/>
                      </w:rPr>
                      <w:t>银行承兑票据</w:t>
                    </w:r>
                  </w:p>
                </w:tc>
              </w:sdtContent>
            </w:sdt>
            <w:tc>
              <w:tcPr>
                <w:tcW w:w="1747" w:type="pct"/>
              </w:tcPr>
              <w:p w14:paraId="79882C34" w14:textId="77777777" w:rsidR="00830E72" w:rsidRDefault="008344D8">
                <w:pPr>
                  <w:ind w:right="13"/>
                  <w:jc w:val="right"/>
                  <w:rPr>
                    <w:szCs w:val="21"/>
                  </w:rPr>
                </w:pPr>
                <w:r>
                  <w:t>0.00</w:t>
                </w:r>
              </w:p>
            </w:tc>
            <w:tc>
              <w:tcPr>
                <w:tcW w:w="1607" w:type="pct"/>
              </w:tcPr>
              <w:p w14:paraId="7814CA50" w14:textId="77777777" w:rsidR="00830E72" w:rsidRDefault="008344D8">
                <w:pPr>
                  <w:ind w:right="13"/>
                  <w:jc w:val="right"/>
                  <w:rPr>
                    <w:szCs w:val="21"/>
                  </w:rPr>
                </w:pPr>
                <w:r>
                  <w:t>38,680.00</w:t>
                </w:r>
              </w:p>
            </w:tc>
          </w:tr>
          <w:tr w:rsidR="00830E72" w14:paraId="6EDEE1E1" w14:textId="77777777">
            <w:trPr>
              <w:cantSplit/>
            </w:trPr>
            <w:sdt>
              <w:sdtPr>
                <w:tag w:val="_PLD_27fe84ac868644fa846c5f158e59921c"/>
                <w:id w:val="1595275140"/>
                <w:lock w:val="sdtLocked"/>
              </w:sdtPr>
              <w:sdtEndPr/>
              <w:sdtContent>
                <w:tc>
                  <w:tcPr>
                    <w:tcW w:w="1646" w:type="pct"/>
                    <w:vAlign w:val="center"/>
                  </w:tcPr>
                  <w:p w14:paraId="7DE31FD4" w14:textId="77777777" w:rsidR="00830E72" w:rsidRDefault="008344D8">
                    <w:pPr>
                      <w:autoSpaceDE w:val="0"/>
                      <w:autoSpaceDN w:val="0"/>
                      <w:adjustRightInd w:val="0"/>
                      <w:snapToGrid w:val="0"/>
                      <w:spacing w:line="240" w:lineRule="atLeast"/>
                      <w:jc w:val="center"/>
                      <w:rPr>
                        <w:szCs w:val="21"/>
                      </w:rPr>
                    </w:pPr>
                    <w:r>
                      <w:rPr>
                        <w:rFonts w:hint="eastAsia"/>
                        <w:szCs w:val="21"/>
                      </w:rPr>
                      <w:t>合计</w:t>
                    </w:r>
                  </w:p>
                </w:tc>
              </w:sdtContent>
            </w:sdt>
            <w:tc>
              <w:tcPr>
                <w:tcW w:w="1747" w:type="pct"/>
              </w:tcPr>
              <w:p w14:paraId="0D490B71" w14:textId="77777777" w:rsidR="00830E72" w:rsidRDefault="008344D8">
                <w:pPr>
                  <w:jc w:val="right"/>
                  <w:rPr>
                    <w:szCs w:val="21"/>
                  </w:rPr>
                </w:pPr>
                <w:r>
                  <w:t>0.00</w:t>
                </w:r>
              </w:p>
            </w:tc>
            <w:tc>
              <w:tcPr>
                <w:tcW w:w="1607" w:type="pct"/>
              </w:tcPr>
              <w:p w14:paraId="4648B89B" w14:textId="77777777" w:rsidR="00830E72" w:rsidRDefault="008344D8">
                <w:pPr>
                  <w:autoSpaceDE w:val="0"/>
                  <w:autoSpaceDN w:val="0"/>
                  <w:adjustRightInd w:val="0"/>
                  <w:jc w:val="right"/>
                  <w:rPr>
                    <w:szCs w:val="21"/>
                  </w:rPr>
                </w:pPr>
                <w:r>
                  <w:t>38,680.00</w:t>
                </w:r>
              </w:p>
            </w:tc>
          </w:tr>
        </w:tbl>
        <w:p w14:paraId="778C7131" w14:textId="77777777" w:rsidR="00830E72" w:rsidRDefault="00D44830">
          <w:pPr>
            <w:rPr>
              <w:szCs w:val="21"/>
            </w:rPr>
          </w:pPr>
        </w:p>
      </w:sdtContent>
    </w:sdt>
    <w:sdt>
      <w:sdtPr>
        <w:rPr>
          <w:rFonts w:ascii="宋体" w:hAnsi="宋体" w:cs="宋体" w:hint="eastAsia"/>
          <w:b w:val="0"/>
          <w:bCs w:val="0"/>
          <w:kern w:val="0"/>
          <w:szCs w:val="22"/>
        </w:rPr>
        <w:alias w:val="模块:期末公司已质押的应收票据情况"/>
        <w:tag w:val="_GBC_8fdb3f7098324d0d8b9f6e395abf9009"/>
        <w:id w:val="11497931"/>
        <w:lock w:val="sdtLocked"/>
        <w:placeholder>
          <w:docPart w:val="GBC22222222222222222222222222222"/>
        </w:placeholder>
      </w:sdtPr>
      <w:sdtEndPr>
        <w:rPr>
          <w:rFonts w:cs="Times New Roman"/>
          <w:kern w:val="2"/>
          <w:szCs w:val="24"/>
        </w:rPr>
      </w:sdtEndPr>
      <w:sdtContent>
        <w:p w14:paraId="61DF59C3" w14:textId="77777777" w:rsidR="00830E72" w:rsidRDefault="008344D8">
          <w:pPr>
            <w:pStyle w:val="Style100"/>
            <w:numPr>
              <w:ilvl w:val="3"/>
              <w:numId w:val="46"/>
            </w:numPr>
            <w:rPr>
              <w:rFonts w:ascii="宋体" w:hAnsi="宋体"/>
            </w:rPr>
          </w:pPr>
          <w:r>
            <w:rPr>
              <w:rFonts w:ascii="宋体" w:hAnsi="宋体"/>
            </w:rPr>
            <w:t>期末公司已</w:t>
          </w:r>
          <w:r>
            <w:rPr>
              <w:rFonts w:ascii="宋体" w:hAnsi="宋体" w:hint="eastAsia"/>
            </w:rPr>
            <w:t>质押</w:t>
          </w:r>
          <w:r>
            <w:rPr>
              <w:rFonts w:ascii="宋体" w:hAnsi="宋体"/>
            </w:rPr>
            <w:t>的应收票据</w:t>
          </w:r>
        </w:p>
        <w:sdt>
          <w:sdtPr>
            <w:alias w:val="是否适用：期末公司已质押的应收票据[双击切换]"/>
            <w:tag w:val="_GBC_3440ef2908e64e51a440106bfa389257"/>
            <w:id w:val="1856076944"/>
            <w:lock w:val="sdtContentLocked"/>
            <w:placeholder>
              <w:docPart w:val="GBC22222222222222222222222222222"/>
            </w:placeholder>
          </w:sdtPr>
          <w:sdtEndPr/>
          <w:sdtContent>
            <w:p w14:paraId="50837C82"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2"/>
        </w:rPr>
        <w:alias w:val="模块:因出票人无力履约而将票据转为应收账款的票据，以及期末已背书未到期票据"/>
        <w:tag w:val="_GBC_d0a9833415574c7baa9ef176fea05ecf"/>
        <w:id w:val="-574126101"/>
        <w:lock w:val="sdtLocked"/>
        <w:placeholder>
          <w:docPart w:val="GBC22222222222222222222222222222"/>
        </w:placeholder>
      </w:sdtPr>
      <w:sdtEndPr>
        <w:rPr>
          <w:rFonts w:cs="Times New Roman"/>
          <w:kern w:val="2"/>
          <w:szCs w:val="24"/>
        </w:rPr>
      </w:sdtEndPr>
      <w:sdtContent>
        <w:p w14:paraId="5F4C6BEE" w14:textId="77777777" w:rsidR="00830E72" w:rsidRDefault="008344D8">
          <w:pPr>
            <w:pStyle w:val="Style100"/>
            <w:numPr>
              <w:ilvl w:val="3"/>
              <w:numId w:val="46"/>
            </w:numPr>
            <w:jc w:val="left"/>
            <w:rPr>
              <w:rFonts w:ascii="宋体" w:hAnsi="宋体"/>
            </w:rPr>
          </w:pPr>
          <w:r>
            <w:rPr>
              <w:rFonts w:ascii="宋体" w:hAnsi="宋体" w:hint="eastAsia"/>
            </w:rPr>
            <w:t>期末公司已背书或贴现且在资产负债表日尚未到期的应收票据</w:t>
          </w:r>
        </w:p>
        <w:sdt>
          <w:sdtPr>
            <w:alias w:val="是否适用：期末公司已背书或贴现且在资产负债表日尚未到期的应收票据[双击切换]"/>
            <w:tag w:val="_GBC_d04f4c30d18f498d986ce6c934ec761c"/>
            <w:id w:val="873659049"/>
            <w:lock w:val="sdtContentLocked"/>
            <w:placeholder>
              <w:docPart w:val="GBC22222222222222222222222222222"/>
            </w:placeholder>
          </w:sdtPr>
          <w:sdtEndPr/>
          <w:sdtContent>
            <w:p w14:paraId="11D56819" w14:textId="77777777" w:rsidR="00830E72" w:rsidRDefault="008344D8">
              <w:pPr>
                <w:rPr>
                  <w:rFonts w:cs="Times New Roman"/>
                  <w:kern w:val="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期末公司因出票人无力履约而将其转为应收账款的票据"/>
        <w:tag w:val="_GBC_83d7650885dc43898bcaaa7b53608492"/>
        <w:id w:val="285930569"/>
        <w:lock w:val="sdtLocked"/>
        <w:placeholder>
          <w:docPart w:val="GBC22222222222222222222222222222"/>
        </w:placeholder>
      </w:sdtPr>
      <w:sdtEndPr/>
      <w:sdtContent>
        <w:p w14:paraId="43074A5E" w14:textId="77777777" w:rsidR="00830E72" w:rsidRDefault="008344D8">
          <w:pPr>
            <w:pStyle w:val="Style100"/>
            <w:numPr>
              <w:ilvl w:val="3"/>
              <w:numId w:val="46"/>
            </w:numPr>
            <w:jc w:val="left"/>
            <w:rPr>
              <w:rFonts w:ascii="宋体" w:hAnsi="宋体"/>
            </w:rPr>
          </w:pPr>
          <w:r>
            <w:rPr>
              <w:rFonts w:ascii="宋体" w:hAnsi="宋体" w:hint="eastAsia"/>
            </w:rPr>
            <w:t>期末公司因出票人未履约而将其转应收账款的票据</w:t>
          </w:r>
        </w:p>
        <w:sdt>
          <w:sdtPr>
            <w:alias w:val="是否适用：期末公司因出票人未履约而将其转应收账款的票据[双击切换]"/>
            <w:tag w:val="_GBC_11366a7f124045f8a578f129009f9b83"/>
            <w:id w:val="-153618101"/>
            <w:lock w:val="sdtContentLocked"/>
            <w:placeholder>
              <w:docPart w:val="GBC22222222222222222222222222222"/>
            </w:placeholder>
          </w:sdtPr>
          <w:sdtEndPr/>
          <w:sdtContent>
            <w:p w14:paraId="09BCD656"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C776115" w14:textId="77777777" w:rsidR="00830E72" w:rsidRDefault="008344D8">
      <w:pPr>
        <w:pStyle w:val="Style100"/>
        <w:numPr>
          <w:ilvl w:val="3"/>
          <w:numId w:val="46"/>
        </w:numPr>
        <w:jc w:val="left"/>
        <w:rPr>
          <w:rFonts w:ascii="宋体" w:hAnsi="宋体"/>
        </w:rPr>
      </w:pPr>
      <w:bookmarkStart w:id="92" w:name="_Hlk10466572"/>
      <w:r>
        <w:rPr>
          <w:rFonts w:ascii="宋体" w:hAnsi="宋体" w:hint="eastAsia"/>
        </w:rPr>
        <w:t>按坏账计提方法分类披露</w:t>
      </w:r>
    </w:p>
    <w:sdt>
      <w:sdtPr>
        <w:alias w:val="是否适用：应收票据按坏账计提方法分类披露[双击切换]"/>
        <w:tag w:val="_GBC_064ae6cf552d47d6abf4ad2b5c55d254"/>
        <w:id w:val="258962072"/>
        <w:lock w:val="sdtContentLocked"/>
        <w:placeholder>
          <w:docPart w:val="GBC22222222222222222222222222222"/>
        </w:placeholder>
      </w:sdtPr>
      <w:sdtEndPr/>
      <w:sdtContent>
        <w:p w14:paraId="7AD4332C"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92" w:displacedByCustomXml="next"/>
    <w:bookmarkStart w:id="93" w:name="_Hlk10466806" w:displacedByCustomXml="next"/>
    <w:sdt>
      <w:sdtPr>
        <w:rPr>
          <w:rFonts w:ascii="宋体" w:hAnsi="宋体" w:cs="宋体" w:hint="eastAsia"/>
          <w:b w:val="0"/>
          <w:bCs w:val="0"/>
          <w:kern w:val="0"/>
          <w:szCs w:val="24"/>
        </w:rPr>
        <w:alias w:val="模块:坏账准备的情况"/>
        <w:tag w:val="_SEC_2937dc20348046e2a68416bd27ff1b82"/>
        <w:id w:val="749086027"/>
        <w:lock w:val="sdtLocked"/>
        <w:placeholder>
          <w:docPart w:val="GBC22222222222222222222222222222"/>
        </w:placeholder>
      </w:sdtPr>
      <w:sdtEndPr>
        <w:rPr>
          <w:rFonts w:hint="default"/>
        </w:rPr>
      </w:sdtEndPr>
      <w:sdtContent>
        <w:p w14:paraId="39BC294D" w14:textId="77777777" w:rsidR="00830E72" w:rsidRDefault="008344D8">
          <w:pPr>
            <w:pStyle w:val="Style100"/>
            <w:numPr>
              <w:ilvl w:val="3"/>
              <w:numId w:val="46"/>
            </w:numPr>
            <w:jc w:val="left"/>
            <w:rPr>
              <w:rFonts w:ascii="宋体" w:hAnsi="宋体"/>
            </w:rPr>
          </w:pPr>
          <w:r>
            <w:rPr>
              <w:rFonts w:ascii="宋体" w:hAnsi="宋体" w:hint="eastAsia"/>
            </w:rPr>
            <w:t>坏账准备的情况</w:t>
          </w:r>
        </w:p>
        <w:sdt>
          <w:sdtPr>
            <w:alias w:val="是否适用：应收票据坏账准备情况[双击切换]"/>
            <w:tag w:val="_GBC_065ad100e7534037877c628171a7ddc1"/>
            <w:id w:val="1461000252"/>
            <w:lock w:val="sdtContentLocked"/>
            <w:placeholder>
              <w:docPart w:val="GBC22222222222222222222222222222"/>
            </w:placeholder>
          </w:sdtPr>
          <w:sdtEndPr/>
          <w:sdtContent>
            <w:p w14:paraId="028954CE" w14:textId="77777777" w:rsidR="00830E72" w:rsidRDefault="008344D8">
              <w:pPr>
                <w:rPr>
                  <w:rFonts w:cstheme="minorBidi"/>
                  <w:b/>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93" w:displacedByCustomXml="next"/>
    <w:bookmarkStart w:id="94" w:name="_Hlk10466841" w:displacedByCustomXml="next"/>
    <w:bookmarkStart w:id="95" w:name="_Hlk10466853" w:displacedByCustomXml="next"/>
    <w:sdt>
      <w:sdtPr>
        <w:rPr>
          <w:rFonts w:ascii="宋体" w:hAnsi="宋体" w:cs="宋体" w:hint="eastAsia"/>
          <w:b w:val="0"/>
          <w:bCs w:val="0"/>
          <w:kern w:val="0"/>
          <w:szCs w:val="24"/>
        </w:rPr>
        <w:alias w:val="模块:本期实际核销的应收票据情况"/>
        <w:tag w:val="_SEC_d1d07f77bea54442a58602a5a3e94f42"/>
        <w:id w:val="-1008059117"/>
        <w:lock w:val="sdtLocked"/>
        <w:placeholder>
          <w:docPart w:val="GBC22222222222222222222222222222"/>
        </w:placeholder>
      </w:sdtPr>
      <w:sdtEndPr>
        <w:rPr>
          <w:rFonts w:hint="default"/>
        </w:rPr>
      </w:sdtEndPr>
      <w:sdtContent>
        <w:p w14:paraId="6987108A" w14:textId="77777777" w:rsidR="00830E72" w:rsidRDefault="008344D8">
          <w:pPr>
            <w:pStyle w:val="Style100"/>
            <w:numPr>
              <w:ilvl w:val="3"/>
              <w:numId w:val="46"/>
            </w:numPr>
            <w:jc w:val="left"/>
            <w:rPr>
              <w:rFonts w:ascii="宋体" w:hAnsi="宋体"/>
            </w:rPr>
          </w:pPr>
          <w:r>
            <w:rPr>
              <w:rFonts w:ascii="宋体" w:hAnsi="宋体" w:hint="eastAsia"/>
            </w:rPr>
            <w:t>本期实际核销的应收票据情况</w:t>
          </w:r>
          <w:bookmarkEnd w:id="94"/>
        </w:p>
        <w:sdt>
          <w:sdtPr>
            <w:alias w:val="是否适用：实际核销的应收票据[双击切换]"/>
            <w:tag w:val="_GBC_d0dcbb36ec68469bb29eac25b4a7af19"/>
            <w:id w:val="516513945"/>
            <w:lock w:val="sdtContentLocked"/>
            <w:placeholder>
              <w:docPart w:val="GBC22222222222222222222222222222"/>
            </w:placeholder>
          </w:sdtPr>
          <w:sdtEndPr/>
          <w:sdtContent>
            <w:p w14:paraId="7D9276B1" w14:textId="77777777" w:rsidR="00830E72" w:rsidRDefault="008344D8">
              <w:pPr>
                <w:rPr>
                  <w:rFonts w:cstheme="minorBidi"/>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95" w:displacedByCustomXml="next"/>
    <w:sdt>
      <w:sdtPr>
        <w:rPr>
          <w:rFonts w:cstheme="minorBidi" w:hint="eastAsia"/>
          <w:b/>
          <w:bCs/>
          <w:szCs w:val="22"/>
        </w:rPr>
        <w:alias w:val="模块:应收票据其他说明"/>
        <w:tag w:val="_GBC_c7095bafbab543a9bb9dcc587154df29"/>
        <w:id w:val="1574708181"/>
        <w:lock w:val="sdtLocked"/>
        <w:placeholder>
          <w:docPart w:val="GBC22222222222222222222222222222"/>
        </w:placeholder>
      </w:sdtPr>
      <w:sdtEndPr>
        <w:rPr>
          <w:rFonts w:cs="Times New Roman" w:hint="default"/>
          <w:b w:val="0"/>
          <w:bCs w:val="0"/>
          <w:szCs w:val="24"/>
        </w:rPr>
      </w:sdtEndPr>
      <w:sdtContent>
        <w:p w14:paraId="76E05F1B" w14:textId="77777777" w:rsidR="00830E72" w:rsidRDefault="008344D8">
          <w:r>
            <w:rPr>
              <w:rFonts w:hint="eastAsia"/>
            </w:rPr>
            <w:t>其他说明：</w:t>
          </w:r>
        </w:p>
        <w:sdt>
          <w:sdtPr>
            <w:alias w:val="是否适用：应收票据的说明[双击切换]"/>
            <w:tag w:val="_GBC_704e24e70b65463883e10335ce93a1ac"/>
            <w:id w:val="180251219"/>
            <w:lock w:val="sdtContentLocked"/>
            <w:placeholder>
              <w:docPart w:val="GBC22222222222222222222222222222"/>
            </w:placeholder>
          </w:sdtPr>
          <w:sdtEndPr/>
          <w:sdtContent>
            <w:p w14:paraId="18AD83ED"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3AACAFA" w14:textId="77777777" w:rsidR="00830E72" w:rsidRDefault="008344D8">
      <w:pPr>
        <w:pStyle w:val="Style99"/>
        <w:numPr>
          <w:ilvl w:val="0"/>
          <w:numId w:val="45"/>
        </w:numPr>
        <w:rPr>
          <w:rFonts w:ascii="宋体" w:hAnsi="宋体"/>
        </w:rPr>
      </w:pPr>
      <w:r>
        <w:rPr>
          <w:rFonts w:ascii="宋体" w:hAnsi="宋体" w:hint="eastAsia"/>
        </w:rPr>
        <w:t>应收账款</w:t>
      </w:r>
    </w:p>
    <w:bookmarkStart w:id="96" w:name="_Hlk10467031" w:displacedByCustomXml="next"/>
    <w:sdt>
      <w:sdtPr>
        <w:rPr>
          <w:rFonts w:ascii="宋体" w:hAnsi="宋体" w:cs="宋体" w:hint="eastAsia"/>
          <w:b w:val="0"/>
          <w:bCs w:val="0"/>
          <w:kern w:val="0"/>
          <w:szCs w:val="24"/>
        </w:rPr>
        <w:alias w:val="模块:按账龄披露"/>
        <w:tag w:val="_SEC_18739d0c0efc4fe7a575a32263e5b38b"/>
        <w:id w:val="1123189714"/>
        <w:lock w:val="sdtLocked"/>
        <w:placeholder>
          <w:docPart w:val="GBC22222222222222222222222222222"/>
        </w:placeholder>
      </w:sdtPr>
      <w:sdtEndPr>
        <w:rPr>
          <w:rFonts w:hint="default"/>
        </w:rPr>
      </w:sdtEndPr>
      <w:sdtContent>
        <w:p w14:paraId="5A39B548" w14:textId="77777777" w:rsidR="00830E72" w:rsidRDefault="008344D8">
          <w:pPr>
            <w:pStyle w:val="Style100"/>
            <w:numPr>
              <w:ilvl w:val="3"/>
              <w:numId w:val="47"/>
            </w:numPr>
            <w:tabs>
              <w:tab w:val="left" w:pos="574"/>
            </w:tabs>
            <w:rPr>
              <w:rFonts w:ascii="宋体" w:hAnsi="宋体"/>
            </w:rPr>
          </w:pPr>
          <w:r>
            <w:rPr>
              <w:rFonts w:ascii="宋体" w:hAnsi="宋体" w:hint="eastAsia"/>
            </w:rPr>
            <w:t>按账龄披露</w:t>
          </w:r>
        </w:p>
        <w:sdt>
          <w:sdtPr>
            <w:rPr>
              <w:rFonts w:hint="eastAsia"/>
              <w:szCs w:val="21"/>
            </w:rPr>
            <w:alias w:val="是否适用：组合中，按账龄分析法计提坏账准备的应收账款[双击切换]"/>
            <w:tag w:val="_GBC_adacd9d7302a46dbb6fb745ac9a87bfe"/>
            <w:id w:val="-1065102172"/>
            <w:lock w:val="sdtContentLocked"/>
            <w:placeholder>
              <w:docPart w:val="GBC22222222222222222222222222222"/>
            </w:placeholder>
          </w:sdtPr>
          <w:sdtEndPr/>
          <w:sdtContent>
            <w:p w14:paraId="72EC6A8A" w14:textId="77777777" w:rsidR="00830E72" w:rsidRDefault="008344D8">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2C012BC" w14:textId="77777777" w:rsidR="00830E72" w:rsidRDefault="008344D8">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a1aaa8cef4304dbdb3226b0c37d7eaa2"/>
              <w:id w:val="-776712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23501c118c5d42ce875910cc5f1c5fe3"/>
              <w:id w:val="-20731921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4330"/>
            <w:gridCol w:w="4565"/>
          </w:tblGrid>
          <w:tr w:rsidR="00830E72" w14:paraId="01D67D10" w14:textId="77777777">
            <w:trPr>
              <w:cantSplit/>
            </w:trPr>
            <w:sdt>
              <w:sdtPr>
                <w:tag w:val="_PLD_cc8a2439cf1a40049647e9f82183f02a"/>
                <w:id w:val="-1836456078"/>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14:paraId="4D9BB7FF" w14:textId="77777777" w:rsidR="00830E72" w:rsidRDefault="008344D8">
                    <w:pPr>
                      <w:jc w:val="center"/>
                      <w:rPr>
                        <w:szCs w:val="21"/>
                      </w:rPr>
                    </w:pPr>
                    <w:r>
                      <w:rPr>
                        <w:rFonts w:hint="eastAsia"/>
                        <w:szCs w:val="21"/>
                      </w:rPr>
                      <w:t>账龄</w:t>
                    </w:r>
                  </w:p>
                </w:tc>
              </w:sdtContent>
            </w:sdt>
            <w:sdt>
              <w:sdtPr>
                <w:tag w:val="_PLD_39df8c40c3b34bb795f3dd83e556c1cb"/>
                <w:id w:val="-1615211209"/>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14:paraId="69EE9BA8" w14:textId="77777777" w:rsidR="00830E72" w:rsidRDefault="008344D8">
                    <w:pPr>
                      <w:jc w:val="center"/>
                      <w:rPr>
                        <w:szCs w:val="21"/>
                      </w:rPr>
                    </w:pPr>
                    <w:r>
                      <w:rPr>
                        <w:rFonts w:hint="eastAsia"/>
                        <w:szCs w:val="21"/>
                      </w:rPr>
                      <w:t>期末账面余额</w:t>
                    </w:r>
                  </w:p>
                </w:tc>
              </w:sdtContent>
            </w:sdt>
          </w:tr>
          <w:tr w:rsidR="00830E72" w14:paraId="3ABEF0C9" w14:textId="77777777">
            <w:trPr>
              <w:cantSplit/>
            </w:trPr>
            <w:sdt>
              <w:sdtPr>
                <w:tag w:val="_PLD_217c8960e1b142368dda5c59f7dd6b68"/>
                <w:id w:val="-1142802409"/>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1C887A0C" w14:textId="77777777" w:rsidR="00830E72" w:rsidRDefault="008344D8">
                    <w:pPr>
                      <w:rPr>
                        <w:color w:val="FF0000"/>
                        <w:szCs w:val="21"/>
                      </w:rPr>
                    </w:pPr>
                    <w:r>
                      <w:rPr>
                        <w:rFonts w:hint="eastAsia"/>
                        <w:szCs w:val="21"/>
                      </w:rPr>
                      <w:t>1年以内</w:t>
                    </w:r>
                  </w:p>
                </w:tc>
              </w:sdtContent>
            </w:sdt>
          </w:tr>
          <w:tr w:rsidR="00830E72" w14:paraId="7E479909" w14:textId="77777777">
            <w:trPr>
              <w:cantSplit/>
            </w:trPr>
            <w:sdt>
              <w:sdtPr>
                <w:tag w:val="_PLD_e1f60905870b4ec086c3a5755a91109d"/>
                <w:id w:val="-448013001"/>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4A281201" w14:textId="77777777" w:rsidR="00830E72" w:rsidRDefault="008344D8">
                    <w:pPr>
                      <w:rPr>
                        <w:szCs w:val="21"/>
                      </w:rPr>
                    </w:pPr>
                    <w:r>
                      <w:rPr>
                        <w:rFonts w:hint="eastAsia"/>
                        <w:szCs w:val="21"/>
                      </w:rPr>
                      <w:t>其中：1年以内分项</w:t>
                    </w:r>
                  </w:p>
                </w:tc>
              </w:sdtContent>
            </w:sdt>
          </w:tr>
          <w:tr w:rsidR="00830E72" w14:paraId="176D96C4" w14:textId="77777777">
            <w:trPr>
              <w:cantSplit/>
            </w:trPr>
            <w:sdt>
              <w:sdtPr>
                <w:tag w:val="_PLD_c7d182c9cd3f494a90cf99c5a58ab86e"/>
                <w:id w:val="206757860"/>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1BC6E4F5" w14:textId="77777777" w:rsidR="00830E72" w:rsidRDefault="008344D8">
                    <w:pPr>
                      <w:rPr>
                        <w:szCs w:val="21"/>
                      </w:rPr>
                    </w:pPr>
                    <w:r>
                      <w:rPr>
                        <w:rFonts w:hint="eastAsia"/>
                        <w:szCs w:val="21"/>
                      </w:rPr>
                      <w:t>1年以内小计</w:t>
                    </w:r>
                  </w:p>
                </w:tc>
              </w:sdtContent>
            </w:sdt>
            <w:tc>
              <w:tcPr>
                <w:tcW w:w="2566" w:type="pct"/>
                <w:tcBorders>
                  <w:top w:val="single" w:sz="4" w:space="0" w:color="auto"/>
                  <w:left w:val="single" w:sz="4" w:space="0" w:color="auto"/>
                  <w:bottom w:val="single" w:sz="4" w:space="0" w:color="auto"/>
                  <w:right w:val="single" w:sz="4" w:space="0" w:color="auto"/>
                </w:tcBorders>
              </w:tcPr>
              <w:p w14:paraId="384A5A0E" w14:textId="77777777" w:rsidR="00830E72" w:rsidRDefault="008344D8">
                <w:pPr>
                  <w:jc w:val="right"/>
                  <w:rPr>
                    <w:szCs w:val="21"/>
                  </w:rPr>
                </w:pPr>
                <w:r>
                  <w:rPr>
                    <w:szCs w:val="21"/>
                  </w:rPr>
                  <w:t>1,432,295,360.68</w:t>
                </w:r>
              </w:p>
            </w:tc>
          </w:tr>
          <w:tr w:rsidR="00830E72" w14:paraId="102A65E9" w14:textId="77777777">
            <w:trPr>
              <w:cantSplit/>
            </w:trPr>
            <w:sdt>
              <w:sdtPr>
                <w:tag w:val="_PLD_ddd035f081424c508ec3702ea96caece"/>
                <w:id w:val="400333171"/>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623DA236" w14:textId="77777777" w:rsidR="00830E72" w:rsidRDefault="008344D8">
                    <w:pPr>
                      <w:rPr>
                        <w:szCs w:val="21"/>
                      </w:rPr>
                    </w:pPr>
                    <w:r>
                      <w:rPr>
                        <w:rFonts w:hint="eastAsia"/>
                        <w:szCs w:val="21"/>
                      </w:rPr>
                      <w:t>1至2年</w:t>
                    </w:r>
                  </w:p>
                </w:tc>
              </w:sdtContent>
            </w:sdt>
            <w:tc>
              <w:tcPr>
                <w:tcW w:w="2566" w:type="pct"/>
                <w:tcBorders>
                  <w:top w:val="single" w:sz="4" w:space="0" w:color="auto"/>
                  <w:left w:val="single" w:sz="4" w:space="0" w:color="auto"/>
                  <w:bottom w:val="single" w:sz="4" w:space="0" w:color="auto"/>
                  <w:right w:val="single" w:sz="4" w:space="0" w:color="auto"/>
                </w:tcBorders>
              </w:tcPr>
              <w:p w14:paraId="7184D69E" w14:textId="77777777" w:rsidR="00830E72" w:rsidRDefault="008344D8">
                <w:pPr>
                  <w:jc w:val="right"/>
                  <w:rPr>
                    <w:szCs w:val="21"/>
                  </w:rPr>
                </w:pPr>
                <w:r>
                  <w:rPr>
                    <w:szCs w:val="21"/>
                  </w:rPr>
                  <w:t>349,404,148.40</w:t>
                </w:r>
              </w:p>
            </w:tc>
          </w:tr>
          <w:tr w:rsidR="00830E72" w14:paraId="269E4017" w14:textId="77777777">
            <w:trPr>
              <w:cantSplit/>
            </w:trPr>
            <w:sdt>
              <w:sdtPr>
                <w:tag w:val="_PLD_173769cdf4af409b9ed3b84a39f352b3"/>
                <w:id w:val="-499036051"/>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45944E85" w14:textId="77777777" w:rsidR="00830E72" w:rsidRDefault="008344D8">
                    <w:pPr>
                      <w:rPr>
                        <w:szCs w:val="21"/>
                      </w:rPr>
                    </w:pPr>
                    <w:r>
                      <w:rPr>
                        <w:rFonts w:hint="eastAsia"/>
                        <w:szCs w:val="21"/>
                      </w:rPr>
                      <w:t>2至3年</w:t>
                    </w:r>
                  </w:p>
                </w:tc>
              </w:sdtContent>
            </w:sdt>
            <w:tc>
              <w:tcPr>
                <w:tcW w:w="2566" w:type="pct"/>
                <w:tcBorders>
                  <w:top w:val="single" w:sz="4" w:space="0" w:color="auto"/>
                  <w:left w:val="single" w:sz="4" w:space="0" w:color="auto"/>
                  <w:bottom w:val="single" w:sz="4" w:space="0" w:color="auto"/>
                  <w:right w:val="single" w:sz="4" w:space="0" w:color="auto"/>
                </w:tcBorders>
              </w:tcPr>
              <w:p w14:paraId="65952AF7" w14:textId="77777777" w:rsidR="00830E72" w:rsidRDefault="008344D8">
                <w:pPr>
                  <w:jc w:val="right"/>
                  <w:rPr>
                    <w:szCs w:val="21"/>
                  </w:rPr>
                </w:pPr>
                <w:r>
                  <w:rPr>
                    <w:szCs w:val="21"/>
                  </w:rPr>
                  <w:t>185,107,418.56</w:t>
                </w:r>
              </w:p>
            </w:tc>
          </w:tr>
          <w:tr w:rsidR="00830E72" w14:paraId="14A3E175" w14:textId="77777777">
            <w:trPr>
              <w:cantSplit/>
            </w:trPr>
            <w:sdt>
              <w:sdtPr>
                <w:tag w:val="_PLD_7ddcfca835a84663bade28a69e162ec0"/>
                <w:id w:val="-163086692"/>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200D7D96" w14:textId="77777777" w:rsidR="00830E72" w:rsidRDefault="008344D8">
                    <w:pPr>
                      <w:rPr>
                        <w:szCs w:val="21"/>
                      </w:rPr>
                    </w:pPr>
                    <w:r>
                      <w:rPr>
                        <w:rFonts w:hint="eastAsia"/>
                        <w:szCs w:val="21"/>
                      </w:rPr>
                      <w:t>3年以上</w:t>
                    </w:r>
                  </w:p>
                </w:tc>
              </w:sdtContent>
            </w:sdt>
            <w:tc>
              <w:tcPr>
                <w:tcW w:w="2566" w:type="pct"/>
                <w:tcBorders>
                  <w:top w:val="single" w:sz="4" w:space="0" w:color="auto"/>
                  <w:left w:val="single" w:sz="4" w:space="0" w:color="auto"/>
                  <w:bottom w:val="single" w:sz="4" w:space="0" w:color="auto"/>
                  <w:right w:val="single" w:sz="4" w:space="0" w:color="auto"/>
                </w:tcBorders>
              </w:tcPr>
              <w:p w14:paraId="4097A50E" w14:textId="77777777" w:rsidR="00830E72" w:rsidRDefault="00830E72">
                <w:pPr>
                  <w:jc w:val="right"/>
                  <w:rPr>
                    <w:szCs w:val="21"/>
                  </w:rPr>
                </w:pPr>
              </w:p>
            </w:tc>
          </w:tr>
          <w:tr w:rsidR="00830E72" w14:paraId="52F28089" w14:textId="77777777">
            <w:trPr>
              <w:cantSplit/>
            </w:trPr>
            <w:sdt>
              <w:sdtPr>
                <w:tag w:val="_PLD_fd1f00d60b69467bbd45960ac76b73ab"/>
                <w:id w:val="-1276252152"/>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6E0CF109" w14:textId="77777777" w:rsidR="00830E72" w:rsidRDefault="008344D8">
                    <w:pPr>
                      <w:rPr>
                        <w:szCs w:val="21"/>
                      </w:rPr>
                    </w:pPr>
                    <w:r>
                      <w:rPr>
                        <w:rFonts w:hint="eastAsia"/>
                        <w:szCs w:val="21"/>
                      </w:rPr>
                      <w:t>3至4年</w:t>
                    </w:r>
                  </w:p>
                </w:tc>
              </w:sdtContent>
            </w:sdt>
            <w:tc>
              <w:tcPr>
                <w:tcW w:w="2566" w:type="pct"/>
                <w:tcBorders>
                  <w:top w:val="single" w:sz="4" w:space="0" w:color="auto"/>
                  <w:left w:val="single" w:sz="4" w:space="0" w:color="auto"/>
                  <w:bottom w:val="single" w:sz="4" w:space="0" w:color="auto"/>
                  <w:right w:val="single" w:sz="4" w:space="0" w:color="auto"/>
                </w:tcBorders>
              </w:tcPr>
              <w:p w14:paraId="0187D491" w14:textId="77777777" w:rsidR="00830E72" w:rsidRDefault="008344D8">
                <w:pPr>
                  <w:jc w:val="right"/>
                  <w:rPr>
                    <w:szCs w:val="21"/>
                  </w:rPr>
                </w:pPr>
                <w:r>
                  <w:rPr>
                    <w:szCs w:val="21"/>
                  </w:rPr>
                  <w:t>193,758,405.40</w:t>
                </w:r>
              </w:p>
            </w:tc>
          </w:tr>
          <w:tr w:rsidR="00830E72" w14:paraId="4330E182" w14:textId="77777777">
            <w:trPr>
              <w:cantSplit/>
            </w:trPr>
            <w:sdt>
              <w:sdtPr>
                <w:tag w:val="_PLD_8db7bbb254fd40b486e26e8b3e40a316"/>
                <w:id w:val="688340796"/>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3C39FB03" w14:textId="77777777" w:rsidR="00830E72" w:rsidRDefault="008344D8">
                    <w:pPr>
                      <w:rPr>
                        <w:szCs w:val="21"/>
                      </w:rPr>
                    </w:pPr>
                    <w:r>
                      <w:rPr>
                        <w:rFonts w:hint="eastAsia"/>
                        <w:szCs w:val="21"/>
                      </w:rPr>
                      <w:t>4至5年</w:t>
                    </w:r>
                  </w:p>
                </w:tc>
              </w:sdtContent>
            </w:sdt>
            <w:tc>
              <w:tcPr>
                <w:tcW w:w="2566" w:type="pct"/>
                <w:tcBorders>
                  <w:top w:val="single" w:sz="4" w:space="0" w:color="auto"/>
                  <w:left w:val="single" w:sz="4" w:space="0" w:color="auto"/>
                  <w:bottom w:val="single" w:sz="4" w:space="0" w:color="auto"/>
                  <w:right w:val="single" w:sz="4" w:space="0" w:color="auto"/>
                </w:tcBorders>
              </w:tcPr>
              <w:p w14:paraId="175F6EF8" w14:textId="77777777" w:rsidR="00830E72" w:rsidRDefault="008344D8">
                <w:pPr>
                  <w:jc w:val="right"/>
                  <w:rPr>
                    <w:szCs w:val="21"/>
                  </w:rPr>
                </w:pPr>
                <w:r>
                  <w:rPr>
                    <w:szCs w:val="21"/>
                  </w:rPr>
                  <w:t>53,939,338.67</w:t>
                </w:r>
              </w:p>
            </w:tc>
          </w:tr>
          <w:tr w:rsidR="00830E72" w14:paraId="6A33B32A" w14:textId="77777777">
            <w:trPr>
              <w:cantSplit/>
            </w:trPr>
            <w:sdt>
              <w:sdtPr>
                <w:tag w:val="_PLD_e4213ce4e1fb477baea80cfbb361b8a7"/>
                <w:id w:val="392245978"/>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454801A8" w14:textId="77777777" w:rsidR="00830E72" w:rsidRDefault="008344D8">
                    <w:pPr>
                      <w:rPr>
                        <w:szCs w:val="21"/>
                      </w:rPr>
                    </w:pPr>
                    <w:r>
                      <w:rPr>
                        <w:rFonts w:hint="eastAsia"/>
                        <w:szCs w:val="21"/>
                      </w:rPr>
                      <w:t>5年以上</w:t>
                    </w:r>
                  </w:p>
                </w:tc>
              </w:sdtContent>
            </w:sdt>
            <w:tc>
              <w:tcPr>
                <w:tcW w:w="2566" w:type="pct"/>
                <w:tcBorders>
                  <w:top w:val="single" w:sz="4" w:space="0" w:color="auto"/>
                  <w:left w:val="single" w:sz="4" w:space="0" w:color="auto"/>
                  <w:bottom w:val="single" w:sz="4" w:space="0" w:color="auto"/>
                  <w:right w:val="single" w:sz="4" w:space="0" w:color="auto"/>
                </w:tcBorders>
              </w:tcPr>
              <w:p w14:paraId="7674642B" w14:textId="77777777" w:rsidR="00830E72" w:rsidRDefault="008344D8">
                <w:pPr>
                  <w:jc w:val="right"/>
                  <w:rPr>
                    <w:szCs w:val="21"/>
                  </w:rPr>
                </w:pPr>
                <w:r>
                  <w:rPr>
                    <w:szCs w:val="21"/>
                  </w:rPr>
                  <w:t>21,140,313.54</w:t>
                </w:r>
              </w:p>
            </w:tc>
          </w:tr>
          <w:tr w:rsidR="00830E72" w14:paraId="73F8C203" w14:textId="77777777">
            <w:trPr>
              <w:cantSplit/>
            </w:trPr>
            <w:sdt>
              <w:sdtPr>
                <w:tag w:val="_PLD_a92bd573499a45f88eb09857cbe19e80"/>
                <w:id w:val="-1235391974"/>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14:paraId="5C6D41AD" w14:textId="77777777" w:rsidR="00830E72" w:rsidRDefault="008344D8">
                    <w:pPr>
                      <w:jc w:val="center"/>
                      <w:rPr>
                        <w:szCs w:val="21"/>
                      </w:rPr>
                    </w:pPr>
                    <w:r>
                      <w:rPr>
                        <w:rFonts w:hint="eastAsia"/>
                        <w:szCs w:val="21"/>
                      </w:rPr>
                      <w:t>合计</w:t>
                    </w:r>
                  </w:p>
                </w:tc>
              </w:sdtContent>
            </w:sdt>
            <w:tc>
              <w:tcPr>
                <w:tcW w:w="2566" w:type="pct"/>
                <w:tcBorders>
                  <w:top w:val="single" w:sz="4" w:space="0" w:color="auto"/>
                  <w:left w:val="single" w:sz="4" w:space="0" w:color="auto"/>
                  <w:bottom w:val="single" w:sz="4" w:space="0" w:color="auto"/>
                  <w:right w:val="single" w:sz="4" w:space="0" w:color="auto"/>
                </w:tcBorders>
              </w:tcPr>
              <w:p w14:paraId="667D6782" w14:textId="77777777" w:rsidR="00830E72" w:rsidRDefault="008344D8">
                <w:pPr>
                  <w:jc w:val="right"/>
                  <w:rPr>
                    <w:szCs w:val="21"/>
                  </w:rPr>
                </w:pPr>
                <w:r>
                  <w:rPr>
                    <w:szCs w:val="21"/>
                  </w:rPr>
                  <w:t>2,235,644,985.25</w:t>
                </w:r>
              </w:p>
            </w:tc>
          </w:tr>
        </w:tbl>
        <w:p w14:paraId="2937DA7D" w14:textId="77777777" w:rsidR="00830E72" w:rsidRDefault="00D44830">
          <w:pPr>
            <w:sectPr w:rsidR="00830E72">
              <w:pgSz w:w="11906" w:h="16838"/>
              <w:pgMar w:top="1525" w:right="1276" w:bottom="1440" w:left="1797" w:header="856" w:footer="992" w:gutter="0"/>
              <w:cols w:space="425"/>
              <w:docGrid w:linePitch="312"/>
            </w:sectPr>
          </w:pPr>
        </w:p>
      </w:sdtContent>
    </w:sdt>
    <w:p w14:paraId="5EC5A861" w14:textId="77777777" w:rsidR="00830E72" w:rsidRDefault="008344D8">
      <w:pPr>
        <w:pStyle w:val="Style100"/>
        <w:numPr>
          <w:ilvl w:val="3"/>
          <w:numId w:val="47"/>
        </w:numPr>
        <w:tabs>
          <w:tab w:val="left" w:pos="574"/>
        </w:tabs>
        <w:rPr>
          <w:rFonts w:ascii="宋体" w:hAnsi="宋体"/>
        </w:rPr>
      </w:pPr>
      <w:bookmarkStart w:id="97" w:name="_Hlk10467162"/>
      <w:bookmarkEnd w:id="96"/>
      <w:r>
        <w:rPr>
          <w:rFonts w:ascii="宋体" w:hAnsi="宋体" w:cstheme="minorBidi" w:hint="eastAsia"/>
          <w:bCs w:val="0"/>
          <w:kern w:val="0"/>
          <w:szCs w:val="22"/>
        </w:rPr>
        <w:lastRenderedPageBreak/>
        <w:t>按坏账计提方法分类披露</w:t>
      </w:r>
    </w:p>
    <w:sdt>
      <w:sdtPr>
        <w:alias w:val="是否适用：应收账款分类披露[双击切换]"/>
        <w:tag w:val="_GBC_fc55e6778e08412caa3e7b9e7a1a0f85"/>
        <w:id w:val="2112464389"/>
        <w:lock w:val="sdtContentLocked"/>
        <w:placeholder>
          <w:docPart w:val="GBC22222222222222222222222222222"/>
        </w:placeholder>
      </w:sdtPr>
      <w:sdtEndPr/>
      <w:sdtContent>
        <w:p w14:paraId="5FD96934"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kern w:val="0"/>
          <w:szCs w:val="21"/>
        </w:rPr>
        <w:alias w:val="模块:(2). 按坏账计提方法分类披露"/>
        <w:tag w:val="_SEC_0398db7d3d0941d99bcd41800ef0e448"/>
        <w:id w:val="2074158743"/>
        <w:lock w:val="sdtLocked"/>
        <w:placeholder>
          <w:docPart w:val="GBC22222222222222222222222222222"/>
        </w:placeholder>
      </w:sdtPr>
      <w:sdtEndPr>
        <w:rPr>
          <w:szCs w:val="24"/>
        </w:rPr>
      </w:sdtEndPr>
      <w:sdtContent>
        <w:p w14:paraId="32A5D32C" w14:textId="77777777" w:rsidR="00830E72" w:rsidRDefault="008344D8">
          <w:pPr>
            <w:pStyle w:val="Style118"/>
            <w:autoSpaceDE w:val="0"/>
            <w:autoSpaceDN w:val="0"/>
            <w:adjustRightInd w:val="0"/>
            <w:ind w:left="425" w:right="10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应收账款按种类披露"/>
              <w:tag w:val="_GBC_13874a7a2d5642bc9d06df2e53ad133f"/>
              <w:id w:val="556674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应收账款按种类披露"/>
              <w:tag w:val="_GBC_a7c9ba83409d4f5ebb3a7b0903842485"/>
              <w:id w:val="-15277025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556"/>
            <w:gridCol w:w="1751"/>
            <w:gridCol w:w="549"/>
            <w:gridCol w:w="1541"/>
            <w:gridCol w:w="574"/>
            <w:gridCol w:w="1750"/>
            <w:gridCol w:w="1750"/>
            <w:gridCol w:w="577"/>
            <w:gridCol w:w="1541"/>
            <w:gridCol w:w="599"/>
            <w:gridCol w:w="1747"/>
          </w:tblGrid>
          <w:tr w:rsidR="00830E72" w14:paraId="0DE23E03" w14:textId="77777777">
            <w:trPr>
              <w:cantSplit/>
              <w:trHeight w:val="259"/>
            </w:trPr>
            <w:sdt>
              <w:sdtPr>
                <w:tag w:val="_PLD_a2143754c0e847e9a8bbb40d4548066c"/>
                <w:id w:val="1299952898"/>
                <w:lock w:val="sdtLocked"/>
              </w:sdtPr>
              <w:sdtEndPr/>
              <w:sdtContent>
                <w:tc>
                  <w:tcPr>
                    <w:tcW w:w="558" w:type="pct"/>
                    <w:vMerge w:val="restart"/>
                    <w:tcBorders>
                      <w:top w:val="single" w:sz="4" w:space="0" w:color="auto"/>
                      <w:left w:val="single" w:sz="4" w:space="0" w:color="auto"/>
                      <w:right w:val="single" w:sz="4" w:space="0" w:color="auto"/>
                    </w:tcBorders>
                    <w:vAlign w:val="center"/>
                  </w:tcPr>
                  <w:p w14:paraId="1EA30C50" w14:textId="77777777" w:rsidR="00830E72" w:rsidRDefault="008344D8">
                    <w:pPr>
                      <w:jc w:val="center"/>
                      <w:rPr>
                        <w:szCs w:val="21"/>
                      </w:rPr>
                    </w:pPr>
                    <w:r>
                      <w:rPr>
                        <w:rFonts w:hint="eastAsia"/>
                        <w:szCs w:val="21"/>
                      </w:rPr>
                      <w:t>类别</w:t>
                    </w:r>
                  </w:p>
                </w:tc>
              </w:sdtContent>
            </w:sdt>
            <w:sdt>
              <w:sdtPr>
                <w:tag w:val="_PLD_25d42b68a0be4b6c9079bb6f0b9688f1"/>
                <w:id w:val="-265616291"/>
                <w:lock w:val="sdtLocked"/>
              </w:sdtPr>
              <w:sdtEndPr/>
              <w:sdtContent>
                <w:tc>
                  <w:tcPr>
                    <w:tcW w:w="2212" w:type="pct"/>
                    <w:gridSpan w:val="5"/>
                    <w:tcBorders>
                      <w:top w:val="single" w:sz="4" w:space="0" w:color="auto"/>
                      <w:left w:val="single" w:sz="4" w:space="0" w:color="auto"/>
                      <w:right w:val="single" w:sz="4" w:space="0" w:color="auto"/>
                    </w:tcBorders>
                    <w:vAlign w:val="center"/>
                  </w:tcPr>
                  <w:p w14:paraId="701C1DEB" w14:textId="77777777" w:rsidR="00830E72" w:rsidRDefault="008344D8">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ebf4817a5864c42bb0897c8ddd0cd9c"/>
                <w:id w:val="1606381988"/>
                <w:lock w:val="sdtLocked"/>
              </w:sdtPr>
              <w:sdtEndPr/>
              <w:sdtContent>
                <w:tc>
                  <w:tcPr>
                    <w:tcW w:w="2230" w:type="pct"/>
                    <w:gridSpan w:val="5"/>
                    <w:tcBorders>
                      <w:top w:val="single" w:sz="4" w:space="0" w:color="auto"/>
                      <w:left w:val="single" w:sz="4" w:space="0" w:color="auto"/>
                      <w:right w:val="single" w:sz="4" w:space="0" w:color="auto"/>
                    </w:tcBorders>
                    <w:vAlign w:val="center"/>
                  </w:tcPr>
                  <w:p w14:paraId="01B4BDCE" w14:textId="77777777" w:rsidR="00830E72" w:rsidRDefault="008344D8">
                    <w:pPr>
                      <w:autoSpaceDE w:val="0"/>
                      <w:autoSpaceDN w:val="0"/>
                      <w:adjustRightInd w:val="0"/>
                      <w:snapToGrid w:val="0"/>
                      <w:spacing w:line="240" w:lineRule="atLeast"/>
                      <w:jc w:val="center"/>
                      <w:rPr>
                        <w:szCs w:val="21"/>
                      </w:rPr>
                    </w:pPr>
                    <w:r>
                      <w:rPr>
                        <w:rFonts w:hint="eastAsia"/>
                        <w:szCs w:val="21"/>
                      </w:rPr>
                      <w:t>期初余额</w:t>
                    </w:r>
                  </w:p>
                </w:tc>
              </w:sdtContent>
            </w:sdt>
          </w:tr>
          <w:tr w:rsidR="00830E72" w14:paraId="7FA7439E" w14:textId="77777777" w:rsidTr="002F3349">
            <w:trPr>
              <w:cantSplit/>
              <w:trHeight w:val="227"/>
            </w:trPr>
            <w:tc>
              <w:tcPr>
                <w:tcW w:w="558" w:type="pct"/>
                <w:vMerge/>
                <w:tcBorders>
                  <w:left w:val="single" w:sz="4" w:space="0" w:color="auto"/>
                  <w:right w:val="single" w:sz="4" w:space="0" w:color="auto"/>
                </w:tcBorders>
                <w:vAlign w:val="center"/>
              </w:tcPr>
              <w:p w14:paraId="3B71B915" w14:textId="77777777" w:rsidR="00830E72" w:rsidRDefault="00830E72">
                <w:pPr>
                  <w:rPr>
                    <w:szCs w:val="21"/>
                  </w:rPr>
                </w:pPr>
              </w:p>
            </w:tc>
            <w:sdt>
              <w:sdtPr>
                <w:tag w:val="_PLD_fd64cffe158d4ef48a5ff569de778464"/>
                <w:id w:val="23132231"/>
                <w:lock w:val="sdtLocked"/>
              </w:sdtPr>
              <w:sdtEndPr/>
              <w:sdtContent>
                <w:tc>
                  <w:tcPr>
                    <w:tcW w:w="825" w:type="pct"/>
                    <w:gridSpan w:val="2"/>
                    <w:tcBorders>
                      <w:top w:val="single" w:sz="4" w:space="0" w:color="auto"/>
                      <w:left w:val="single" w:sz="4" w:space="0" w:color="auto"/>
                      <w:bottom w:val="single" w:sz="4" w:space="0" w:color="auto"/>
                      <w:right w:val="single" w:sz="4" w:space="0" w:color="auto"/>
                    </w:tcBorders>
                    <w:vAlign w:val="center"/>
                  </w:tcPr>
                  <w:p w14:paraId="14D629C2" w14:textId="77777777" w:rsidR="00830E72" w:rsidRDefault="008344D8">
                    <w:pPr>
                      <w:jc w:val="center"/>
                      <w:rPr>
                        <w:szCs w:val="21"/>
                      </w:rPr>
                    </w:pPr>
                    <w:r>
                      <w:rPr>
                        <w:rFonts w:hint="eastAsia"/>
                        <w:szCs w:val="21"/>
                      </w:rPr>
                      <w:t>账面余额</w:t>
                    </w:r>
                  </w:p>
                </w:tc>
              </w:sdtContent>
            </w:sdt>
            <w:sdt>
              <w:sdtPr>
                <w:tag w:val="_PLD_f0f4adcb95c44cfa884ef7d853d6b134"/>
                <w:id w:val="-1964947475"/>
                <w:lock w:val="sdtLocked"/>
              </w:sdtPr>
              <w:sdtEndPr/>
              <w:sdtContent>
                <w:tc>
                  <w:tcPr>
                    <w:tcW w:w="759" w:type="pct"/>
                    <w:gridSpan w:val="2"/>
                    <w:tcBorders>
                      <w:top w:val="single" w:sz="4" w:space="0" w:color="auto"/>
                      <w:left w:val="single" w:sz="4" w:space="0" w:color="auto"/>
                      <w:bottom w:val="single" w:sz="4" w:space="0" w:color="auto"/>
                      <w:right w:val="single" w:sz="4" w:space="0" w:color="auto"/>
                    </w:tcBorders>
                    <w:vAlign w:val="center"/>
                  </w:tcPr>
                  <w:p w14:paraId="770CA3C2" w14:textId="77777777" w:rsidR="00830E72" w:rsidRDefault="008344D8">
                    <w:pPr>
                      <w:jc w:val="center"/>
                      <w:rPr>
                        <w:szCs w:val="21"/>
                      </w:rPr>
                    </w:pPr>
                    <w:r>
                      <w:rPr>
                        <w:rFonts w:hint="eastAsia"/>
                        <w:szCs w:val="21"/>
                      </w:rPr>
                      <w:t>坏账准备</w:t>
                    </w:r>
                  </w:p>
                </w:tc>
              </w:sdtContent>
            </w:sdt>
            <w:sdt>
              <w:sdtPr>
                <w:tag w:val="_PLD_4c122527ed0743b8905d9f19514f4328"/>
                <w:id w:val="-458645248"/>
                <w:lock w:val="sdtLocked"/>
              </w:sdtPr>
              <w:sdtEndPr/>
              <w:sdtContent>
                <w:tc>
                  <w:tcPr>
                    <w:tcW w:w="628" w:type="pct"/>
                    <w:vMerge w:val="restart"/>
                    <w:tcBorders>
                      <w:top w:val="single" w:sz="4" w:space="0" w:color="auto"/>
                      <w:left w:val="single" w:sz="4" w:space="0" w:color="auto"/>
                      <w:right w:val="single" w:sz="4" w:space="0" w:color="auto"/>
                    </w:tcBorders>
                    <w:vAlign w:val="center"/>
                  </w:tcPr>
                  <w:p w14:paraId="3AF330BA" w14:textId="77777777" w:rsidR="00830E72" w:rsidRDefault="008344D8">
                    <w:pPr>
                      <w:jc w:val="center"/>
                      <w:rPr>
                        <w:szCs w:val="21"/>
                      </w:rPr>
                    </w:pPr>
                    <w:r>
                      <w:rPr>
                        <w:rFonts w:hint="eastAsia"/>
                        <w:szCs w:val="21"/>
                      </w:rPr>
                      <w:t>账面</w:t>
                    </w:r>
                  </w:p>
                  <w:p w14:paraId="1EA1351A" w14:textId="77777777" w:rsidR="00830E72" w:rsidRDefault="008344D8">
                    <w:pPr>
                      <w:jc w:val="center"/>
                      <w:rPr>
                        <w:szCs w:val="21"/>
                      </w:rPr>
                    </w:pPr>
                    <w:r>
                      <w:rPr>
                        <w:rFonts w:hint="eastAsia"/>
                        <w:szCs w:val="21"/>
                      </w:rPr>
                      <w:t>价值</w:t>
                    </w:r>
                  </w:p>
                </w:tc>
              </w:sdtContent>
            </w:sdt>
            <w:sdt>
              <w:sdtPr>
                <w:tag w:val="_PLD_fa758d9eb4ae426faef8e328262241b4"/>
                <w:id w:val="783313998"/>
                <w:lock w:val="sdtLocked"/>
              </w:sdtPr>
              <w:sdtEndPr/>
              <w:sdtContent>
                <w:tc>
                  <w:tcPr>
                    <w:tcW w:w="835" w:type="pct"/>
                    <w:gridSpan w:val="2"/>
                    <w:tcBorders>
                      <w:top w:val="single" w:sz="4" w:space="0" w:color="auto"/>
                      <w:left w:val="single" w:sz="4" w:space="0" w:color="auto"/>
                      <w:right w:val="single" w:sz="4" w:space="0" w:color="auto"/>
                    </w:tcBorders>
                    <w:vAlign w:val="center"/>
                  </w:tcPr>
                  <w:p w14:paraId="297EDEA5" w14:textId="77777777" w:rsidR="00830E72" w:rsidRDefault="008344D8">
                    <w:pPr>
                      <w:jc w:val="center"/>
                      <w:rPr>
                        <w:szCs w:val="21"/>
                      </w:rPr>
                    </w:pPr>
                    <w:r>
                      <w:rPr>
                        <w:rFonts w:hint="eastAsia"/>
                        <w:szCs w:val="21"/>
                      </w:rPr>
                      <w:t>账面余额</w:t>
                    </w:r>
                  </w:p>
                </w:tc>
              </w:sdtContent>
            </w:sdt>
            <w:sdt>
              <w:sdtPr>
                <w:tag w:val="_PLD_58080bac137d4831ab65bc2f8ca82429"/>
                <w:id w:val="1581248611"/>
                <w:lock w:val="sdtLocked"/>
              </w:sdtPr>
              <w:sdtEndPr/>
              <w:sdtContent>
                <w:tc>
                  <w:tcPr>
                    <w:tcW w:w="768" w:type="pct"/>
                    <w:gridSpan w:val="2"/>
                    <w:tcBorders>
                      <w:top w:val="single" w:sz="4" w:space="0" w:color="auto"/>
                      <w:left w:val="single" w:sz="4" w:space="0" w:color="auto"/>
                      <w:right w:val="single" w:sz="4" w:space="0" w:color="auto"/>
                    </w:tcBorders>
                    <w:vAlign w:val="center"/>
                  </w:tcPr>
                  <w:p w14:paraId="03301C43" w14:textId="77777777" w:rsidR="00830E72" w:rsidRDefault="008344D8">
                    <w:pPr>
                      <w:jc w:val="center"/>
                      <w:rPr>
                        <w:szCs w:val="21"/>
                      </w:rPr>
                    </w:pPr>
                    <w:r>
                      <w:rPr>
                        <w:rFonts w:hint="eastAsia"/>
                        <w:szCs w:val="21"/>
                      </w:rPr>
                      <w:t>坏账准备</w:t>
                    </w:r>
                  </w:p>
                </w:tc>
              </w:sdtContent>
            </w:sdt>
            <w:sdt>
              <w:sdtPr>
                <w:tag w:val="_PLD_c015e43e7b384b6ab9bf259155579fa4"/>
                <w:id w:val="1492289427"/>
                <w:lock w:val="sdtLocked"/>
              </w:sdtPr>
              <w:sdtEndPr/>
              <w:sdtContent>
                <w:tc>
                  <w:tcPr>
                    <w:tcW w:w="627" w:type="pct"/>
                    <w:vMerge w:val="restart"/>
                    <w:tcBorders>
                      <w:top w:val="single" w:sz="4" w:space="0" w:color="auto"/>
                      <w:left w:val="single" w:sz="4" w:space="0" w:color="auto"/>
                      <w:right w:val="single" w:sz="4" w:space="0" w:color="auto"/>
                    </w:tcBorders>
                    <w:vAlign w:val="center"/>
                  </w:tcPr>
                  <w:p w14:paraId="67B8F248" w14:textId="77777777" w:rsidR="00830E72" w:rsidRDefault="008344D8">
                    <w:pPr>
                      <w:jc w:val="center"/>
                      <w:rPr>
                        <w:szCs w:val="21"/>
                      </w:rPr>
                    </w:pPr>
                    <w:r>
                      <w:rPr>
                        <w:rFonts w:hint="eastAsia"/>
                        <w:szCs w:val="21"/>
                      </w:rPr>
                      <w:t>账面</w:t>
                    </w:r>
                  </w:p>
                  <w:p w14:paraId="3D3399FD" w14:textId="77777777" w:rsidR="00830E72" w:rsidRDefault="008344D8">
                    <w:pPr>
                      <w:jc w:val="center"/>
                      <w:rPr>
                        <w:szCs w:val="21"/>
                      </w:rPr>
                    </w:pPr>
                    <w:r>
                      <w:rPr>
                        <w:rFonts w:hint="eastAsia"/>
                        <w:szCs w:val="21"/>
                      </w:rPr>
                      <w:t>价值</w:t>
                    </w:r>
                  </w:p>
                </w:tc>
              </w:sdtContent>
            </w:sdt>
          </w:tr>
          <w:tr w:rsidR="00830E72" w14:paraId="1D2095BB" w14:textId="77777777" w:rsidTr="002F3349">
            <w:trPr>
              <w:cantSplit/>
              <w:trHeight w:val="375"/>
            </w:trPr>
            <w:tc>
              <w:tcPr>
                <w:tcW w:w="558" w:type="pct"/>
                <w:vMerge/>
                <w:tcBorders>
                  <w:left w:val="single" w:sz="4" w:space="0" w:color="auto"/>
                  <w:bottom w:val="single" w:sz="4" w:space="0" w:color="auto"/>
                  <w:right w:val="single" w:sz="4" w:space="0" w:color="auto"/>
                </w:tcBorders>
                <w:vAlign w:val="center"/>
              </w:tcPr>
              <w:p w14:paraId="4ED9F3E4" w14:textId="77777777" w:rsidR="00830E72" w:rsidRDefault="00830E72">
                <w:pPr>
                  <w:rPr>
                    <w:szCs w:val="21"/>
                  </w:rPr>
                </w:pPr>
              </w:p>
            </w:tc>
            <w:sdt>
              <w:sdtPr>
                <w:tag w:val="_PLD_2a622138bde346ccae812608989b472d"/>
                <w:id w:val="-359048128"/>
                <w:lock w:val="sdtLocked"/>
              </w:sdtPr>
              <w:sdtEndPr/>
              <w:sdtContent>
                <w:tc>
                  <w:tcPr>
                    <w:tcW w:w="628" w:type="pct"/>
                    <w:tcBorders>
                      <w:left w:val="single" w:sz="4" w:space="0" w:color="auto"/>
                      <w:bottom w:val="single" w:sz="4" w:space="0" w:color="auto"/>
                      <w:right w:val="single" w:sz="4" w:space="0" w:color="auto"/>
                    </w:tcBorders>
                    <w:vAlign w:val="center"/>
                  </w:tcPr>
                  <w:p w14:paraId="1A6E5676" w14:textId="77777777" w:rsidR="00830E72" w:rsidRDefault="008344D8">
                    <w:pPr>
                      <w:jc w:val="center"/>
                      <w:rPr>
                        <w:szCs w:val="21"/>
                      </w:rPr>
                    </w:pPr>
                    <w:r>
                      <w:rPr>
                        <w:rFonts w:hint="eastAsia"/>
                        <w:szCs w:val="21"/>
                      </w:rPr>
                      <w:t>金额</w:t>
                    </w:r>
                  </w:p>
                </w:tc>
              </w:sdtContent>
            </w:sdt>
            <w:sdt>
              <w:sdtPr>
                <w:tag w:val="_PLD_abd0e3a320c240aeb85b1414af26aa00"/>
                <w:id w:val="1537847458"/>
                <w:lock w:val="sdtLocked"/>
              </w:sdtPr>
              <w:sdtEndPr/>
              <w:sdtContent>
                <w:tc>
                  <w:tcPr>
                    <w:tcW w:w="197" w:type="pct"/>
                    <w:tcBorders>
                      <w:left w:val="single" w:sz="4" w:space="0" w:color="auto"/>
                      <w:bottom w:val="single" w:sz="4" w:space="0" w:color="auto"/>
                      <w:right w:val="single" w:sz="4" w:space="0" w:color="auto"/>
                    </w:tcBorders>
                    <w:vAlign w:val="center"/>
                  </w:tcPr>
                  <w:p w14:paraId="15F79E2C" w14:textId="77777777" w:rsidR="00830E72" w:rsidRDefault="008344D8">
                    <w:pPr>
                      <w:jc w:val="center"/>
                      <w:rPr>
                        <w:szCs w:val="21"/>
                      </w:rPr>
                    </w:pPr>
                    <w:r>
                      <w:rPr>
                        <w:rFonts w:hint="eastAsia"/>
                        <w:szCs w:val="21"/>
                      </w:rPr>
                      <w:t>比例</w:t>
                    </w:r>
                    <w:r>
                      <w:rPr>
                        <w:szCs w:val="21"/>
                      </w:rPr>
                      <w:t>(%)</w:t>
                    </w:r>
                  </w:p>
                </w:tc>
              </w:sdtContent>
            </w:sdt>
            <w:sdt>
              <w:sdtPr>
                <w:tag w:val="_PLD_d60468b4e5934fb9af3ebf3b3ca06a6b"/>
                <w:id w:val="143018843"/>
                <w:lock w:val="sdtLocked"/>
              </w:sdtPr>
              <w:sdtEndPr/>
              <w:sdtContent>
                <w:tc>
                  <w:tcPr>
                    <w:tcW w:w="553" w:type="pct"/>
                    <w:tcBorders>
                      <w:left w:val="single" w:sz="4" w:space="0" w:color="auto"/>
                      <w:bottom w:val="single" w:sz="4" w:space="0" w:color="auto"/>
                      <w:right w:val="single" w:sz="4" w:space="0" w:color="auto"/>
                    </w:tcBorders>
                    <w:vAlign w:val="center"/>
                  </w:tcPr>
                  <w:p w14:paraId="577BC564" w14:textId="77777777" w:rsidR="00830E72" w:rsidRDefault="008344D8">
                    <w:pPr>
                      <w:jc w:val="center"/>
                      <w:rPr>
                        <w:szCs w:val="21"/>
                      </w:rPr>
                    </w:pPr>
                    <w:r>
                      <w:rPr>
                        <w:rFonts w:hint="eastAsia"/>
                        <w:szCs w:val="21"/>
                      </w:rPr>
                      <w:t>金额</w:t>
                    </w:r>
                  </w:p>
                </w:tc>
              </w:sdtContent>
            </w:sdt>
            <w:sdt>
              <w:sdtPr>
                <w:tag w:val="_PLD_743ca215156149608b4d9149bc142cc3"/>
                <w:id w:val="1989822441"/>
                <w:lock w:val="sdtLocked"/>
              </w:sdtPr>
              <w:sdtEndPr/>
              <w:sdtContent>
                <w:tc>
                  <w:tcPr>
                    <w:tcW w:w="206" w:type="pct"/>
                    <w:tcBorders>
                      <w:left w:val="single" w:sz="4" w:space="0" w:color="auto"/>
                      <w:bottom w:val="single" w:sz="4" w:space="0" w:color="auto"/>
                      <w:right w:val="single" w:sz="4" w:space="0" w:color="auto"/>
                    </w:tcBorders>
                    <w:vAlign w:val="center"/>
                  </w:tcPr>
                  <w:p w14:paraId="42506B23" w14:textId="77777777" w:rsidR="00830E72" w:rsidRDefault="008344D8">
                    <w:pPr>
                      <w:jc w:val="center"/>
                      <w:rPr>
                        <w:szCs w:val="21"/>
                      </w:rPr>
                    </w:pPr>
                    <w:r>
                      <w:rPr>
                        <w:rFonts w:hint="eastAsia"/>
                        <w:szCs w:val="21"/>
                      </w:rPr>
                      <w:t>计提比例</w:t>
                    </w:r>
                    <w:r>
                      <w:rPr>
                        <w:szCs w:val="21"/>
                      </w:rPr>
                      <w:t>(%)</w:t>
                    </w:r>
                  </w:p>
                </w:tc>
              </w:sdtContent>
            </w:sdt>
            <w:tc>
              <w:tcPr>
                <w:tcW w:w="628" w:type="pct"/>
                <w:vMerge/>
                <w:tcBorders>
                  <w:left w:val="single" w:sz="4" w:space="0" w:color="auto"/>
                  <w:bottom w:val="single" w:sz="4" w:space="0" w:color="auto"/>
                  <w:right w:val="single" w:sz="4" w:space="0" w:color="auto"/>
                </w:tcBorders>
                <w:vAlign w:val="center"/>
              </w:tcPr>
              <w:p w14:paraId="222B0771" w14:textId="77777777" w:rsidR="00830E72" w:rsidRDefault="00830E72">
                <w:pPr>
                  <w:jc w:val="center"/>
                  <w:rPr>
                    <w:szCs w:val="21"/>
                  </w:rPr>
                </w:pPr>
              </w:p>
            </w:tc>
            <w:sdt>
              <w:sdtPr>
                <w:tag w:val="_PLD_88061469e7574f3d93ff9dc8f7c03e2d"/>
                <w:id w:val="247090778"/>
                <w:lock w:val="sdtLocked"/>
              </w:sdtPr>
              <w:sdtEndPr/>
              <w:sdtContent>
                <w:tc>
                  <w:tcPr>
                    <w:tcW w:w="628" w:type="pct"/>
                    <w:tcBorders>
                      <w:left w:val="single" w:sz="4" w:space="0" w:color="auto"/>
                      <w:bottom w:val="single" w:sz="4" w:space="0" w:color="auto"/>
                      <w:right w:val="single" w:sz="4" w:space="0" w:color="auto"/>
                    </w:tcBorders>
                    <w:vAlign w:val="center"/>
                  </w:tcPr>
                  <w:p w14:paraId="67C938D7" w14:textId="77777777" w:rsidR="00830E72" w:rsidRDefault="008344D8">
                    <w:pPr>
                      <w:jc w:val="center"/>
                      <w:rPr>
                        <w:szCs w:val="21"/>
                      </w:rPr>
                    </w:pPr>
                    <w:r>
                      <w:rPr>
                        <w:rFonts w:hint="eastAsia"/>
                        <w:szCs w:val="21"/>
                      </w:rPr>
                      <w:t>金额</w:t>
                    </w:r>
                  </w:p>
                </w:tc>
              </w:sdtContent>
            </w:sdt>
            <w:sdt>
              <w:sdtPr>
                <w:tag w:val="_PLD_c2b4bd19b5284f3481bdd6a3becafce0"/>
                <w:id w:val="-873007145"/>
                <w:lock w:val="sdtLocked"/>
              </w:sdtPr>
              <w:sdtEndPr/>
              <w:sdtContent>
                <w:tc>
                  <w:tcPr>
                    <w:tcW w:w="207" w:type="pct"/>
                    <w:tcBorders>
                      <w:left w:val="single" w:sz="4" w:space="0" w:color="auto"/>
                      <w:bottom w:val="single" w:sz="4" w:space="0" w:color="auto"/>
                      <w:right w:val="single" w:sz="4" w:space="0" w:color="auto"/>
                    </w:tcBorders>
                    <w:vAlign w:val="center"/>
                  </w:tcPr>
                  <w:p w14:paraId="2D967230" w14:textId="77777777" w:rsidR="00830E72" w:rsidRDefault="008344D8">
                    <w:pPr>
                      <w:jc w:val="center"/>
                      <w:rPr>
                        <w:szCs w:val="21"/>
                      </w:rPr>
                    </w:pPr>
                    <w:r>
                      <w:rPr>
                        <w:rFonts w:hint="eastAsia"/>
                        <w:szCs w:val="21"/>
                      </w:rPr>
                      <w:t>比例</w:t>
                    </w:r>
                    <w:r>
                      <w:rPr>
                        <w:szCs w:val="21"/>
                      </w:rPr>
                      <w:t>(%)</w:t>
                    </w:r>
                  </w:p>
                </w:tc>
              </w:sdtContent>
            </w:sdt>
            <w:sdt>
              <w:sdtPr>
                <w:tag w:val="_PLD_c6874c65e4ac43019002d5903e4b46d6"/>
                <w:id w:val="183403622"/>
                <w:lock w:val="sdtLocked"/>
              </w:sdtPr>
              <w:sdtEndPr/>
              <w:sdtContent>
                <w:tc>
                  <w:tcPr>
                    <w:tcW w:w="553" w:type="pct"/>
                    <w:tcBorders>
                      <w:left w:val="single" w:sz="4" w:space="0" w:color="auto"/>
                      <w:bottom w:val="single" w:sz="4" w:space="0" w:color="auto"/>
                      <w:right w:val="single" w:sz="4" w:space="0" w:color="auto"/>
                    </w:tcBorders>
                    <w:vAlign w:val="center"/>
                  </w:tcPr>
                  <w:p w14:paraId="7FA76C5B" w14:textId="77777777" w:rsidR="00830E72" w:rsidRDefault="008344D8">
                    <w:pPr>
                      <w:jc w:val="center"/>
                      <w:rPr>
                        <w:szCs w:val="21"/>
                      </w:rPr>
                    </w:pPr>
                    <w:r>
                      <w:rPr>
                        <w:rFonts w:hint="eastAsia"/>
                        <w:szCs w:val="21"/>
                      </w:rPr>
                      <w:t>金额</w:t>
                    </w:r>
                  </w:p>
                </w:tc>
              </w:sdtContent>
            </w:sdt>
            <w:sdt>
              <w:sdtPr>
                <w:tag w:val="_PLD_0596fb5f4bb147b48d9ab2f32535e71f"/>
                <w:id w:val="1205611045"/>
                <w:lock w:val="sdtLocked"/>
              </w:sdtPr>
              <w:sdtEndPr/>
              <w:sdtContent>
                <w:tc>
                  <w:tcPr>
                    <w:tcW w:w="215" w:type="pct"/>
                    <w:tcBorders>
                      <w:left w:val="single" w:sz="4" w:space="0" w:color="auto"/>
                      <w:bottom w:val="single" w:sz="4" w:space="0" w:color="auto"/>
                      <w:right w:val="single" w:sz="4" w:space="0" w:color="auto"/>
                    </w:tcBorders>
                    <w:vAlign w:val="center"/>
                  </w:tcPr>
                  <w:p w14:paraId="54F4E5DB" w14:textId="77777777" w:rsidR="00830E72" w:rsidRDefault="008344D8">
                    <w:pPr>
                      <w:jc w:val="center"/>
                      <w:rPr>
                        <w:szCs w:val="21"/>
                      </w:rPr>
                    </w:pPr>
                    <w:r>
                      <w:rPr>
                        <w:rFonts w:hint="eastAsia"/>
                        <w:szCs w:val="21"/>
                      </w:rPr>
                      <w:t>计提比例</w:t>
                    </w:r>
                    <w:r>
                      <w:rPr>
                        <w:szCs w:val="21"/>
                      </w:rPr>
                      <w:t>(%)</w:t>
                    </w:r>
                  </w:p>
                </w:tc>
              </w:sdtContent>
            </w:sdt>
            <w:tc>
              <w:tcPr>
                <w:tcW w:w="627" w:type="pct"/>
                <w:vMerge/>
                <w:tcBorders>
                  <w:left w:val="single" w:sz="4" w:space="0" w:color="auto"/>
                  <w:bottom w:val="single" w:sz="4" w:space="0" w:color="auto"/>
                  <w:right w:val="single" w:sz="4" w:space="0" w:color="auto"/>
                </w:tcBorders>
              </w:tcPr>
              <w:p w14:paraId="5222D3B5" w14:textId="77777777" w:rsidR="00830E72" w:rsidRDefault="00830E72">
                <w:pPr>
                  <w:jc w:val="center"/>
                  <w:rPr>
                    <w:szCs w:val="21"/>
                  </w:rPr>
                </w:pPr>
              </w:p>
            </w:tc>
          </w:tr>
          <w:tr w:rsidR="00830E72" w14:paraId="60E0CEE7" w14:textId="77777777" w:rsidTr="002F3349">
            <w:trPr>
              <w:cantSplit/>
            </w:trPr>
            <w:sdt>
              <w:sdtPr>
                <w:tag w:val="_PLD_6413454a316c4103ae8bebbae0f082c2"/>
                <w:id w:val="2025969109"/>
                <w:lock w:val="sdtLocked"/>
              </w:sdtPr>
              <w:sdtEndPr/>
              <w:sdtContent>
                <w:tc>
                  <w:tcPr>
                    <w:tcW w:w="558" w:type="pct"/>
                    <w:tcBorders>
                      <w:top w:val="single" w:sz="4" w:space="0" w:color="auto"/>
                      <w:left w:val="single" w:sz="4" w:space="0" w:color="auto"/>
                      <w:bottom w:val="single" w:sz="4" w:space="0" w:color="auto"/>
                      <w:right w:val="single" w:sz="4" w:space="0" w:color="auto"/>
                    </w:tcBorders>
                  </w:tcPr>
                  <w:p w14:paraId="061CEBA6" w14:textId="77777777" w:rsidR="00830E72" w:rsidRDefault="008344D8">
                    <w:pPr>
                      <w:rPr>
                        <w:szCs w:val="21"/>
                      </w:rPr>
                    </w:pPr>
                    <w:r>
                      <w:rPr>
                        <w:rFonts w:hint="eastAsia"/>
                        <w:szCs w:val="21"/>
                      </w:rPr>
                      <w:t>按单项计提坏账准备</w:t>
                    </w:r>
                  </w:p>
                </w:tc>
              </w:sdtContent>
            </w:sdt>
            <w:tc>
              <w:tcPr>
                <w:tcW w:w="628" w:type="pct"/>
                <w:tcBorders>
                  <w:top w:val="single" w:sz="4" w:space="0" w:color="auto"/>
                  <w:left w:val="single" w:sz="4" w:space="0" w:color="auto"/>
                  <w:bottom w:val="single" w:sz="4" w:space="0" w:color="auto"/>
                  <w:right w:val="single" w:sz="4" w:space="0" w:color="auto"/>
                </w:tcBorders>
              </w:tcPr>
              <w:p w14:paraId="1E88E213" w14:textId="77777777" w:rsidR="00830E72" w:rsidRDefault="00830E72">
                <w:pPr>
                  <w:jc w:val="right"/>
                  <w:rPr>
                    <w:szCs w:val="21"/>
                  </w:rPr>
                </w:pPr>
              </w:p>
            </w:tc>
            <w:tc>
              <w:tcPr>
                <w:tcW w:w="197" w:type="pct"/>
                <w:tcBorders>
                  <w:top w:val="single" w:sz="4" w:space="0" w:color="auto"/>
                  <w:left w:val="single" w:sz="4" w:space="0" w:color="auto"/>
                  <w:bottom w:val="single" w:sz="4" w:space="0" w:color="auto"/>
                  <w:right w:val="single" w:sz="4" w:space="0" w:color="auto"/>
                </w:tcBorders>
              </w:tcPr>
              <w:p w14:paraId="0455B12C" w14:textId="77777777" w:rsidR="00830E72" w:rsidRDefault="00830E72">
                <w:pPr>
                  <w:jc w:val="right"/>
                  <w:rPr>
                    <w:szCs w:val="21"/>
                  </w:rPr>
                </w:pPr>
              </w:p>
            </w:tc>
            <w:tc>
              <w:tcPr>
                <w:tcW w:w="553" w:type="pct"/>
                <w:tcBorders>
                  <w:top w:val="single" w:sz="4" w:space="0" w:color="auto"/>
                  <w:left w:val="single" w:sz="4" w:space="0" w:color="auto"/>
                  <w:bottom w:val="single" w:sz="4" w:space="0" w:color="auto"/>
                  <w:right w:val="single" w:sz="4" w:space="0" w:color="auto"/>
                </w:tcBorders>
              </w:tcPr>
              <w:p w14:paraId="667A9649" w14:textId="77777777" w:rsidR="00830E72" w:rsidRDefault="00830E72">
                <w:pPr>
                  <w:jc w:val="right"/>
                  <w:rPr>
                    <w:szCs w:val="21"/>
                  </w:rPr>
                </w:pPr>
              </w:p>
            </w:tc>
            <w:tc>
              <w:tcPr>
                <w:tcW w:w="206" w:type="pct"/>
                <w:tcBorders>
                  <w:top w:val="single" w:sz="4" w:space="0" w:color="auto"/>
                  <w:left w:val="single" w:sz="4" w:space="0" w:color="auto"/>
                  <w:bottom w:val="single" w:sz="4" w:space="0" w:color="auto"/>
                  <w:right w:val="single" w:sz="4" w:space="0" w:color="auto"/>
                </w:tcBorders>
              </w:tcPr>
              <w:p w14:paraId="07E45C4B" w14:textId="77777777" w:rsidR="00830E72" w:rsidRDefault="00830E72">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5EB560B1" w14:textId="77777777" w:rsidR="00830E72" w:rsidRDefault="00830E72">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6F4B5006" w14:textId="77777777" w:rsidR="00830E72" w:rsidRDefault="00830E72">
                <w:pPr>
                  <w:jc w:val="right"/>
                  <w:rPr>
                    <w:szCs w:val="21"/>
                  </w:rPr>
                </w:pPr>
              </w:p>
            </w:tc>
            <w:tc>
              <w:tcPr>
                <w:tcW w:w="207" w:type="pct"/>
                <w:tcBorders>
                  <w:top w:val="single" w:sz="4" w:space="0" w:color="auto"/>
                  <w:left w:val="single" w:sz="4" w:space="0" w:color="auto"/>
                  <w:bottom w:val="single" w:sz="4" w:space="0" w:color="auto"/>
                  <w:right w:val="single" w:sz="4" w:space="0" w:color="auto"/>
                </w:tcBorders>
              </w:tcPr>
              <w:p w14:paraId="3749DB55" w14:textId="77777777" w:rsidR="00830E72" w:rsidRDefault="00830E72">
                <w:pPr>
                  <w:jc w:val="right"/>
                  <w:rPr>
                    <w:szCs w:val="21"/>
                  </w:rPr>
                </w:pPr>
              </w:p>
            </w:tc>
            <w:tc>
              <w:tcPr>
                <w:tcW w:w="553" w:type="pct"/>
                <w:tcBorders>
                  <w:top w:val="single" w:sz="4" w:space="0" w:color="auto"/>
                  <w:left w:val="single" w:sz="4" w:space="0" w:color="auto"/>
                  <w:bottom w:val="single" w:sz="4" w:space="0" w:color="auto"/>
                  <w:right w:val="single" w:sz="4" w:space="0" w:color="auto"/>
                </w:tcBorders>
              </w:tcPr>
              <w:p w14:paraId="27702E1D" w14:textId="77777777" w:rsidR="00830E72" w:rsidRDefault="00830E72">
                <w:pPr>
                  <w:jc w:val="right"/>
                  <w:rPr>
                    <w:szCs w:val="21"/>
                  </w:rPr>
                </w:pPr>
              </w:p>
            </w:tc>
            <w:tc>
              <w:tcPr>
                <w:tcW w:w="215" w:type="pct"/>
                <w:tcBorders>
                  <w:top w:val="single" w:sz="4" w:space="0" w:color="auto"/>
                  <w:left w:val="single" w:sz="4" w:space="0" w:color="auto"/>
                  <w:bottom w:val="single" w:sz="4" w:space="0" w:color="auto"/>
                  <w:right w:val="single" w:sz="4" w:space="0" w:color="auto"/>
                </w:tcBorders>
              </w:tcPr>
              <w:p w14:paraId="15A5C709" w14:textId="77777777" w:rsidR="00830E72" w:rsidRDefault="00830E72">
                <w:pPr>
                  <w:jc w:val="right"/>
                  <w:rPr>
                    <w:szCs w:val="21"/>
                  </w:rPr>
                </w:pPr>
              </w:p>
            </w:tc>
            <w:tc>
              <w:tcPr>
                <w:tcW w:w="627" w:type="pct"/>
                <w:tcBorders>
                  <w:top w:val="single" w:sz="4" w:space="0" w:color="auto"/>
                  <w:left w:val="single" w:sz="4" w:space="0" w:color="auto"/>
                  <w:bottom w:val="single" w:sz="4" w:space="0" w:color="auto"/>
                  <w:right w:val="single" w:sz="4" w:space="0" w:color="auto"/>
                </w:tcBorders>
              </w:tcPr>
              <w:p w14:paraId="13D1561A" w14:textId="77777777" w:rsidR="00830E72" w:rsidRDefault="00830E72">
                <w:pPr>
                  <w:jc w:val="right"/>
                  <w:rPr>
                    <w:szCs w:val="21"/>
                  </w:rPr>
                </w:pPr>
              </w:p>
            </w:tc>
          </w:tr>
          <w:tr w:rsidR="00830E72" w14:paraId="43AF45DF" w14:textId="77777777">
            <w:trPr>
              <w:cantSplit/>
            </w:trPr>
            <w:sdt>
              <w:sdtPr>
                <w:tag w:val="_PLD_a3793487a0154f9a85b0e94e01b6ddbe"/>
                <w:id w:val="460394230"/>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2B6E5B3F" w14:textId="77777777" w:rsidR="00830E72" w:rsidRDefault="008344D8">
                    <w:pPr>
                      <w:rPr>
                        <w:szCs w:val="21"/>
                      </w:rPr>
                    </w:pPr>
                    <w:r>
                      <w:rPr>
                        <w:rFonts w:hint="eastAsia"/>
                        <w:szCs w:val="21"/>
                      </w:rPr>
                      <w:t>其中：</w:t>
                    </w:r>
                  </w:p>
                </w:tc>
              </w:sdtContent>
            </w:sdt>
          </w:tr>
          <w:tr w:rsidR="00830E72" w14:paraId="0A64C9AF" w14:textId="77777777" w:rsidTr="002F3349">
            <w:trPr>
              <w:cantSplit/>
            </w:trPr>
            <w:sdt>
              <w:sdtPr>
                <w:tag w:val="_PLD_f288fc933fe84e6088cca1ff51abf9b8"/>
                <w:id w:val="-1734232129"/>
                <w:lock w:val="sdtLocked"/>
              </w:sdtPr>
              <w:sdtEndPr/>
              <w:sdtContent>
                <w:tc>
                  <w:tcPr>
                    <w:tcW w:w="558" w:type="pct"/>
                    <w:tcBorders>
                      <w:top w:val="single" w:sz="4" w:space="0" w:color="auto"/>
                      <w:left w:val="single" w:sz="4" w:space="0" w:color="auto"/>
                      <w:bottom w:val="single" w:sz="4" w:space="0" w:color="auto"/>
                      <w:right w:val="single" w:sz="4" w:space="0" w:color="auto"/>
                    </w:tcBorders>
                  </w:tcPr>
                  <w:p w14:paraId="36184884" w14:textId="77777777" w:rsidR="00830E72" w:rsidRDefault="008344D8">
                    <w:pPr>
                      <w:rPr>
                        <w:szCs w:val="21"/>
                      </w:rPr>
                    </w:pPr>
                    <w:r>
                      <w:rPr>
                        <w:rFonts w:hint="eastAsia"/>
                        <w:szCs w:val="21"/>
                      </w:rPr>
                      <w:t>按组合计提坏账准备</w:t>
                    </w:r>
                  </w:p>
                </w:tc>
              </w:sdtContent>
            </w:sdt>
            <w:tc>
              <w:tcPr>
                <w:tcW w:w="628" w:type="pct"/>
                <w:tcBorders>
                  <w:top w:val="single" w:sz="4" w:space="0" w:color="auto"/>
                  <w:left w:val="single" w:sz="4" w:space="0" w:color="auto"/>
                  <w:bottom w:val="single" w:sz="4" w:space="0" w:color="auto"/>
                  <w:right w:val="single" w:sz="4" w:space="0" w:color="auto"/>
                </w:tcBorders>
              </w:tcPr>
              <w:p w14:paraId="5CA2B4E3" w14:textId="77777777" w:rsidR="00830E72" w:rsidRDefault="008344D8">
                <w:pPr>
                  <w:jc w:val="right"/>
                  <w:rPr>
                    <w:szCs w:val="21"/>
                  </w:rPr>
                </w:pPr>
                <w:r>
                  <w:t>2,235,644,985.25</w:t>
                </w:r>
              </w:p>
            </w:tc>
            <w:tc>
              <w:tcPr>
                <w:tcW w:w="197" w:type="pct"/>
                <w:tcBorders>
                  <w:top w:val="single" w:sz="4" w:space="0" w:color="auto"/>
                  <w:left w:val="single" w:sz="4" w:space="0" w:color="auto"/>
                  <w:bottom w:val="single" w:sz="4" w:space="0" w:color="auto"/>
                  <w:right w:val="single" w:sz="4" w:space="0" w:color="auto"/>
                </w:tcBorders>
              </w:tcPr>
              <w:p w14:paraId="6902467F" w14:textId="77777777" w:rsidR="00830E72" w:rsidRDefault="008344D8">
                <w:pPr>
                  <w:jc w:val="right"/>
                  <w:rPr>
                    <w:szCs w:val="21"/>
                  </w:rPr>
                </w:pPr>
                <w:r>
                  <w:t>100</w:t>
                </w:r>
              </w:p>
            </w:tc>
            <w:tc>
              <w:tcPr>
                <w:tcW w:w="553" w:type="pct"/>
                <w:tcBorders>
                  <w:top w:val="single" w:sz="4" w:space="0" w:color="auto"/>
                  <w:left w:val="single" w:sz="4" w:space="0" w:color="auto"/>
                  <w:bottom w:val="single" w:sz="4" w:space="0" w:color="auto"/>
                  <w:right w:val="single" w:sz="4" w:space="0" w:color="auto"/>
                </w:tcBorders>
              </w:tcPr>
              <w:p w14:paraId="175774C5" w14:textId="77777777" w:rsidR="00830E72" w:rsidRDefault="008344D8">
                <w:pPr>
                  <w:jc w:val="right"/>
                  <w:rPr>
                    <w:szCs w:val="21"/>
                  </w:rPr>
                </w:pPr>
                <w:r>
                  <w:t>165,560,209.34</w:t>
                </w:r>
              </w:p>
            </w:tc>
            <w:tc>
              <w:tcPr>
                <w:tcW w:w="206" w:type="pct"/>
                <w:tcBorders>
                  <w:top w:val="single" w:sz="4" w:space="0" w:color="auto"/>
                  <w:left w:val="single" w:sz="4" w:space="0" w:color="auto"/>
                  <w:bottom w:val="single" w:sz="4" w:space="0" w:color="auto"/>
                  <w:right w:val="single" w:sz="4" w:space="0" w:color="auto"/>
                </w:tcBorders>
              </w:tcPr>
              <w:p w14:paraId="11275BFF" w14:textId="77777777" w:rsidR="00830E72" w:rsidRDefault="008344D8">
                <w:pPr>
                  <w:jc w:val="right"/>
                  <w:rPr>
                    <w:szCs w:val="21"/>
                  </w:rPr>
                </w:pPr>
                <w:r>
                  <w:t>7.41</w:t>
                </w:r>
              </w:p>
            </w:tc>
            <w:tc>
              <w:tcPr>
                <w:tcW w:w="628" w:type="pct"/>
                <w:tcBorders>
                  <w:top w:val="single" w:sz="4" w:space="0" w:color="auto"/>
                  <w:left w:val="single" w:sz="4" w:space="0" w:color="auto"/>
                  <w:bottom w:val="single" w:sz="4" w:space="0" w:color="auto"/>
                  <w:right w:val="single" w:sz="4" w:space="0" w:color="auto"/>
                </w:tcBorders>
              </w:tcPr>
              <w:p w14:paraId="2E01027B" w14:textId="77777777" w:rsidR="00830E72" w:rsidRDefault="008344D8">
                <w:pPr>
                  <w:jc w:val="right"/>
                  <w:rPr>
                    <w:szCs w:val="21"/>
                  </w:rPr>
                </w:pPr>
                <w:r>
                  <w:t>2,070,084,775.91</w:t>
                </w:r>
              </w:p>
            </w:tc>
            <w:tc>
              <w:tcPr>
                <w:tcW w:w="628" w:type="pct"/>
                <w:tcBorders>
                  <w:top w:val="single" w:sz="4" w:space="0" w:color="auto"/>
                  <w:left w:val="single" w:sz="4" w:space="0" w:color="auto"/>
                  <w:bottom w:val="single" w:sz="4" w:space="0" w:color="auto"/>
                  <w:right w:val="single" w:sz="4" w:space="0" w:color="auto"/>
                </w:tcBorders>
              </w:tcPr>
              <w:p w14:paraId="77C8EF0A" w14:textId="77777777" w:rsidR="00830E72" w:rsidRDefault="008344D8">
                <w:pPr>
                  <w:jc w:val="right"/>
                  <w:rPr>
                    <w:szCs w:val="21"/>
                  </w:rPr>
                </w:pPr>
                <w:r>
                  <w:rPr>
                    <w:szCs w:val="21"/>
                  </w:rPr>
                  <w:t>2,217,970,792.49</w:t>
                </w:r>
              </w:p>
            </w:tc>
            <w:tc>
              <w:tcPr>
                <w:tcW w:w="207" w:type="pct"/>
                <w:tcBorders>
                  <w:top w:val="single" w:sz="4" w:space="0" w:color="auto"/>
                  <w:left w:val="single" w:sz="4" w:space="0" w:color="auto"/>
                  <w:bottom w:val="single" w:sz="4" w:space="0" w:color="auto"/>
                  <w:right w:val="single" w:sz="4" w:space="0" w:color="auto"/>
                </w:tcBorders>
              </w:tcPr>
              <w:p w14:paraId="728741F9" w14:textId="77777777" w:rsidR="00830E72" w:rsidRDefault="008344D8">
                <w:pPr>
                  <w:jc w:val="right"/>
                  <w:rPr>
                    <w:szCs w:val="21"/>
                  </w:rPr>
                </w:pPr>
                <w:r>
                  <w:rPr>
                    <w:rFonts w:hint="eastAsia"/>
                    <w:szCs w:val="21"/>
                  </w:rPr>
                  <w:t>100</w:t>
                </w:r>
              </w:p>
            </w:tc>
            <w:tc>
              <w:tcPr>
                <w:tcW w:w="553" w:type="pct"/>
                <w:tcBorders>
                  <w:top w:val="single" w:sz="4" w:space="0" w:color="auto"/>
                  <w:left w:val="single" w:sz="4" w:space="0" w:color="auto"/>
                  <w:bottom w:val="single" w:sz="4" w:space="0" w:color="auto"/>
                  <w:right w:val="single" w:sz="4" w:space="0" w:color="auto"/>
                </w:tcBorders>
              </w:tcPr>
              <w:p w14:paraId="49FAEAA9" w14:textId="77777777" w:rsidR="00830E72" w:rsidRDefault="008344D8">
                <w:pPr>
                  <w:jc w:val="right"/>
                  <w:rPr>
                    <w:szCs w:val="21"/>
                  </w:rPr>
                </w:pPr>
                <w:r>
                  <w:rPr>
                    <w:szCs w:val="21"/>
                  </w:rPr>
                  <w:t>169,241,905.73</w:t>
                </w:r>
              </w:p>
            </w:tc>
            <w:tc>
              <w:tcPr>
                <w:tcW w:w="215" w:type="pct"/>
                <w:tcBorders>
                  <w:top w:val="single" w:sz="4" w:space="0" w:color="auto"/>
                  <w:left w:val="single" w:sz="4" w:space="0" w:color="auto"/>
                  <w:bottom w:val="single" w:sz="4" w:space="0" w:color="auto"/>
                  <w:right w:val="single" w:sz="4" w:space="0" w:color="auto"/>
                </w:tcBorders>
              </w:tcPr>
              <w:p w14:paraId="3A094351" w14:textId="77777777" w:rsidR="00830E72" w:rsidRDefault="008344D8">
                <w:pPr>
                  <w:jc w:val="right"/>
                  <w:rPr>
                    <w:szCs w:val="21"/>
                  </w:rPr>
                </w:pPr>
                <w:r>
                  <w:rPr>
                    <w:rFonts w:hint="eastAsia"/>
                    <w:szCs w:val="21"/>
                  </w:rPr>
                  <w:t>7.63</w:t>
                </w:r>
              </w:p>
            </w:tc>
            <w:tc>
              <w:tcPr>
                <w:tcW w:w="627" w:type="pct"/>
                <w:tcBorders>
                  <w:top w:val="single" w:sz="4" w:space="0" w:color="auto"/>
                  <w:left w:val="single" w:sz="4" w:space="0" w:color="auto"/>
                  <w:bottom w:val="single" w:sz="4" w:space="0" w:color="auto"/>
                  <w:right w:val="single" w:sz="4" w:space="0" w:color="auto"/>
                </w:tcBorders>
              </w:tcPr>
              <w:p w14:paraId="10683FD0" w14:textId="77777777" w:rsidR="00830E72" w:rsidRDefault="008344D8">
                <w:pPr>
                  <w:jc w:val="right"/>
                  <w:rPr>
                    <w:szCs w:val="21"/>
                  </w:rPr>
                </w:pPr>
                <w:r>
                  <w:rPr>
                    <w:szCs w:val="21"/>
                  </w:rPr>
                  <w:t>2,048,728,886.76</w:t>
                </w:r>
              </w:p>
            </w:tc>
          </w:tr>
          <w:tr w:rsidR="00830E72" w14:paraId="49B67993" w14:textId="77777777">
            <w:trPr>
              <w:cantSplit/>
            </w:trPr>
            <w:sdt>
              <w:sdtPr>
                <w:tag w:val="_PLD_55a01fc28b044e40bd4e4399252665c0"/>
                <w:id w:val="1398013408"/>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5799FE1D" w14:textId="77777777" w:rsidR="00830E72" w:rsidRDefault="008344D8">
                    <w:pPr>
                      <w:rPr>
                        <w:szCs w:val="21"/>
                      </w:rPr>
                    </w:pPr>
                    <w:r>
                      <w:rPr>
                        <w:rFonts w:hint="eastAsia"/>
                        <w:szCs w:val="21"/>
                      </w:rPr>
                      <w:t>其中：</w:t>
                    </w:r>
                  </w:p>
                </w:tc>
              </w:sdtContent>
            </w:sdt>
          </w:tr>
          <w:sdt>
            <w:sdtPr>
              <w:rPr>
                <w:szCs w:val="21"/>
              </w:rPr>
              <w:alias w:val="按组合计提坏账准备的应收账款明细"/>
              <w:tag w:val="_TUP_01960bfe94fc450d9a465ddf3f2cfd76"/>
              <w:id w:val="1073631270"/>
            </w:sdtPr>
            <w:sdtEndPr/>
            <w:sdtContent>
              <w:tr w:rsidR="00830E72" w14:paraId="45BA8B36" w14:textId="77777777" w:rsidTr="002F3349">
                <w:trPr>
                  <w:cantSplit/>
                </w:trPr>
                <w:sdt>
                  <w:sdtPr>
                    <w:rPr>
                      <w:szCs w:val="21"/>
                    </w:rPr>
                    <w:alias w:val="按组合计提坏账准备的应收账款明细-组合名称"/>
                    <w:tag w:val="_GBC_c5f1817705f34c9782f585b3ed10e2db"/>
                    <w:id w:val="-1917396505"/>
                    <w:lock w:val="sdtLocked"/>
                  </w:sdtPr>
                  <w:sdtEndPr/>
                  <w:sdtContent>
                    <w:tc>
                      <w:tcPr>
                        <w:tcW w:w="558" w:type="pct"/>
                        <w:tcBorders>
                          <w:top w:val="single" w:sz="4" w:space="0" w:color="auto"/>
                          <w:left w:val="single" w:sz="4" w:space="0" w:color="auto"/>
                          <w:bottom w:val="single" w:sz="4" w:space="0" w:color="auto"/>
                          <w:right w:val="single" w:sz="4" w:space="0" w:color="auto"/>
                        </w:tcBorders>
                      </w:tcPr>
                      <w:p w14:paraId="7862CA79" w14:textId="77777777" w:rsidR="00830E72" w:rsidRDefault="008344D8">
                        <w:pPr>
                          <w:rPr>
                            <w:color w:val="808080"/>
                            <w:szCs w:val="21"/>
                          </w:rPr>
                        </w:pPr>
                        <w:r>
                          <w:rPr>
                            <w:rFonts w:hint="eastAsia"/>
                            <w:szCs w:val="21"/>
                          </w:rPr>
                          <w:t>应收外部客户</w:t>
                        </w:r>
                      </w:p>
                    </w:tc>
                  </w:sdtContent>
                </w:sdt>
                <w:tc>
                  <w:tcPr>
                    <w:tcW w:w="628" w:type="pct"/>
                    <w:tcBorders>
                      <w:top w:val="single" w:sz="4" w:space="0" w:color="auto"/>
                      <w:left w:val="single" w:sz="4" w:space="0" w:color="auto"/>
                      <w:bottom w:val="single" w:sz="4" w:space="0" w:color="auto"/>
                      <w:right w:val="single" w:sz="4" w:space="0" w:color="auto"/>
                    </w:tcBorders>
                  </w:tcPr>
                  <w:p w14:paraId="00FE8E81" w14:textId="77777777" w:rsidR="00830E72" w:rsidRDefault="008344D8">
                    <w:pPr>
                      <w:jc w:val="right"/>
                      <w:rPr>
                        <w:szCs w:val="21"/>
                      </w:rPr>
                    </w:pPr>
                    <w:r>
                      <w:rPr>
                        <w:szCs w:val="21"/>
                      </w:rPr>
                      <w:t>2,235,644,985.25</w:t>
                    </w:r>
                  </w:p>
                </w:tc>
                <w:tc>
                  <w:tcPr>
                    <w:tcW w:w="197" w:type="pct"/>
                    <w:tcBorders>
                      <w:top w:val="single" w:sz="4" w:space="0" w:color="auto"/>
                      <w:left w:val="single" w:sz="4" w:space="0" w:color="auto"/>
                      <w:bottom w:val="single" w:sz="4" w:space="0" w:color="auto"/>
                      <w:right w:val="single" w:sz="4" w:space="0" w:color="auto"/>
                    </w:tcBorders>
                  </w:tcPr>
                  <w:p w14:paraId="40AD98CB" w14:textId="77777777" w:rsidR="00830E72" w:rsidRDefault="008344D8">
                    <w:pPr>
                      <w:jc w:val="right"/>
                      <w:rPr>
                        <w:szCs w:val="21"/>
                      </w:rPr>
                    </w:pPr>
                    <w:r>
                      <w:rPr>
                        <w:rFonts w:hint="eastAsia"/>
                        <w:szCs w:val="21"/>
                      </w:rPr>
                      <w:t>100</w:t>
                    </w:r>
                  </w:p>
                </w:tc>
                <w:tc>
                  <w:tcPr>
                    <w:tcW w:w="553" w:type="pct"/>
                    <w:tcBorders>
                      <w:top w:val="single" w:sz="4" w:space="0" w:color="auto"/>
                      <w:left w:val="single" w:sz="4" w:space="0" w:color="auto"/>
                      <w:bottom w:val="single" w:sz="4" w:space="0" w:color="auto"/>
                      <w:right w:val="single" w:sz="4" w:space="0" w:color="auto"/>
                    </w:tcBorders>
                  </w:tcPr>
                  <w:p w14:paraId="5ECB8AD9" w14:textId="77777777" w:rsidR="00830E72" w:rsidRDefault="008344D8">
                    <w:pPr>
                      <w:jc w:val="right"/>
                      <w:rPr>
                        <w:szCs w:val="21"/>
                      </w:rPr>
                    </w:pPr>
                    <w:r>
                      <w:rPr>
                        <w:szCs w:val="21"/>
                      </w:rPr>
                      <w:t>165,560,209.34</w:t>
                    </w:r>
                  </w:p>
                </w:tc>
                <w:tc>
                  <w:tcPr>
                    <w:tcW w:w="206" w:type="pct"/>
                    <w:tcBorders>
                      <w:top w:val="single" w:sz="4" w:space="0" w:color="auto"/>
                      <w:left w:val="single" w:sz="4" w:space="0" w:color="auto"/>
                      <w:bottom w:val="single" w:sz="4" w:space="0" w:color="auto"/>
                      <w:right w:val="single" w:sz="4" w:space="0" w:color="auto"/>
                    </w:tcBorders>
                  </w:tcPr>
                  <w:p w14:paraId="419A89BD" w14:textId="77777777" w:rsidR="00830E72" w:rsidRDefault="008344D8">
                    <w:pPr>
                      <w:jc w:val="right"/>
                      <w:rPr>
                        <w:szCs w:val="21"/>
                      </w:rPr>
                    </w:pPr>
                    <w:r>
                      <w:rPr>
                        <w:szCs w:val="21"/>
                      </w:rPr>
                      <w:t>7.41</w:t>
                    </w:r>
                  </w:p>
                </w:tc>
                <w:tc>
                  <w:tcPr>
                    <w:tcW w:w="628" w:type="pct"/>
                    <w:tcBorders>
                      <w:top w:val="single" w:sz="4" w:space="0" w:color="auto"/>
                      <w:left w:val="single" w:sz="4" w:space="0" w:color="auto"/>
                      <w:bottom w:val="single" w:sz="4" w:space="0" w:color="auto"/>
                      <w:right w:val="single" w:sz="4" w:space="0" w:color="auto"/>
                    </w:tcBorders>
                  </w:tcPr>
                  <w:p w14:paraId="60A2E882" w14:textId="77777777" w:rsidR="00830E72" w:rsidRDefault="008344D8">
                    <w:pPr>
                      <w:jc w:val="right"/>
                      <w:rPr>
                        <w:szCs w:val="21"/>
                      </w:rPr>
                    </w:pPr>
                    <w:r>
                      <w:rPr>
                        <w:szCs w:val="21"/>
                      </w:rPr>
                      <w:t>2,070,084,775.91</w:t>
                    </w:r>
                  </w:p>
                </w:tc>
                <w:tc>
                  <w:tcPr>
                    <w:tcW w:w="628" w:type="pct"/>
                    <w:tcBorders>
                      <w:top w:val="single" w:sz="4" w:space="0" w:color="auto"/>
                      <w:left w:val="single" w:sz="4" w:space="0" w:color="auto"/>
                      <w:bottom w:val="single" w:sz="4" w:space="0" w:color="auto"/>
                      <w:right w:val="single" w:sz="4" w:space="0" w:color="auto"/>
                    </w:tcBorders>
                  </w:tcPr>
                  <w:p w14:paraId="64BE9CB0" w14:textId="77777777" w:rsidR="00830E72" w:rsidRDefault="008344D8">
                    <w:pPr>
                      <w:jc w:val="right"/>
                      <w:rPr>
                        <w:szCs w:val="21"/>
                      </w:rPr>
                    </w:pPr>
                    <w:r>
                      <w:rPr>
                        <w:szCs w:val="21"/>
                      </w:rPr>
                      <w:t>2,217,970,792.49</w:t>
                    </w:r>
                  </w:p>
                </w:tc>
                <w:tc>
                  <w:tcPr>
                    <w:tcW w:w="207" w:type="pct"/>
                    <w:tcBorders>
                      <w:top w:val="single" w:sz="4" w:space="0" w:color="auto"/>
                      <w:left w:val="single" w:sz="4" w:space="0" w:color="auto"/>
                      <w:bottom w:val="single" w:sz="4" w:space="0" w:color="auto"/>
                      <w:right w:val="single" w:sz="4" w:space="0" w:color="auto"/>
                    </w:tcBorders>
                  </w:tcPr>
                  <w:p w14:paraId="7F8E077E" w14:textId="77777777" w:rsidR="00830E72" w:rsidRDefault="008344D8">
                    <w:pPr>
                      <w:jc w:val="right"/>
                      <w:rPr>
                        <w:szCs w:val="21"/>
                      </w:rPr>
                    </w:pPr>
                    <w:r>
                      <w:rPr>
                        <w:rFonts w:hint="eastAsia"/>
                        <w:szCs w:val="21"/>
                      </w:rPr>
                      <w:t>100</w:t>
                    </w:r>
                  </w:p>
                </w:tc>
                <w:tc>
                  <w:tcPr>
                    <w:tcW w:w="553" w:type="pct"/>
                    <w:tcBorders>
                      <w:top w:val="single" w:sz="4" w:space="0" w:color="auto"/>
                      <w:left w:val="single" w:sz="4" w:space="0" w:color="auto"/>
                      <w:bottom w:val="single" w:sz="4" w:space="0" w:color="auto"/>
                      <w:right w:val="single" w:sz="4" w:space="0" w:color="auto"/>
                    </w:tcBorders>
                  </w:tcPr>
                  <w:p w14:paraId="06C25AC6" w14:textId="77777777" w:rsidR="00830E72" w:rsidRDefault="008344D8">
                    <w:pPr>
                      <w:jc w:val="right"/>
                      <w:rPr>
                        <w:szCs w:val="21"/>
                      </w:rPr>
                    </w:pPr>
                    <w:r>
                      <w:rPr>
                        <w:szCs w:val="21"/>
                      </w:rPr>
                      <w:t>169,241,905.73</w:t>
                    </w:r>
                  </w:p>
                </w:tc>
                <w:tc>
                  <w:tcPr>
                    <w:tcW w:w="215" w:type="pct"/>
                    <w:tcBorders>
                      <w:top w:val="single" w:sz="4" w:space="0" w:color="auto"/>
                      <w:left w:val="single" w:sz="4" w:space="0" w:color="auto"/>
                      <w:bottom w:val="single" w:sz="4" w:space="0" w:color="auto"/>
                      <w:right w:val="single" w:sz="4" w:space="0" w:color="auto"/>
                    </w:tcBorders>
                  </w:tcPr>
                  <w:p w14:paraId="692103EB" w14:textId="77777777" w:rsidR="00830E72" w:rsidRDefault="008344D8">
                    <w:pPr>
                      <w:jc w:val="right"/>
                      <w:rPr>
                        <w:szCs w:val="21"/>
                      </w:rPr>
                    </w:pPr>
                    <w:r>
                      <w:rPr>
                        <w:rFonts w:hint="eastAsia"/>
                        <w:szCs w:val="21"/>
                      </w:rPr>
                      <w:t>7.63</w:t>
                    </w:r>
                  </w:p>
                </w:tc>
                <w:tc>
                  <w:tcPr>
                    <w:tcW w:w="627" w:type="pct"/>
                    <w:tcBorders>
                      <w:top w:val="single" w:sz="4" w:space="0" w:color="auto"/>
                      <w:left w:val="single" w:sz="4" w:space="0" w:color="auto"/>
                      <w:bottom w:val="single" w:sz="4" w:space="0" w:color="auto"/>
                      <w:right w:val="single" w:sz="4" w:space="0" w:color="auto"/>
                    </w:tcBorders>
                  </w:tcPr>
                  <w:p w14:paraId="32A02BBC" w14:textId="77777777" w:rsidR="00830E72" w:rsidRDefault="008344D8">
                    <w:pPr>
                      <w:jc w:val="right"/>
                      <w:rPr>
                        <w:szCs w:val="21"/>
                      </w:rPr>
                    </w:pPr>
                    <w:r>
                      <w:rPr>
                        <w:szCs w:val="21"/>
                      </w:rPr>
                      <w:t>2,048,728,886.76</w:t>
                    </w:r>
                  </w:p>
                </w:tc>
              </w:tr>
            </w:sdtContent>
          </w:sdt>
          <w:tr w:rsidR="00830E72" w14:paraId="0070F98B" w14:textId="77777777" w:rsidTr="002F3349">
            <w:trPr>
              <w:cantSplit/>
            </w:trPr>
            <w:sdt>
              <w:sdtPr>
                <w:tag w:val="_PLD_435141e2dc244009953ee87401ee0c5d"/>
                <w:id w:val="-1388724952"/>
                <w:lock w:val="sdtLocked"/>
              </w:sdtPr>
              <w:sdtEndPr/>
              <w:sdtContent>
                <w:tc>
                  <w:tcPr>
                    <w:tcW w:w="558" w:type="pct"/>
                    <w:tcBorders>
                      <w:top w:val="single" w:sz="4" w:space="0" w:color="auto"/>
                      <w:left w:val="single" w:sz="4" w:space="0" w:color="auto"/>
                      <w:bottom w:val="single" w:sz="4" w:space="0" w:color="auto"/>
                      <w:right w:val="single" w:sz="4" w:space="0" w:color="auto"/>
                    </w:tcBorders>
                    <w:vAlign w:val="center"/>
                  </w:tcPr>
                  <w:p w14:paraId="35B58509" w14:textId="77777777" w:rsidR="00830E72" w:rsidRDefault="008344D8">
                    <w:pPr>
                      <w:autoSpaceDE w:val="0"/>
                      <w:autoSpaceDN w:val="0"/>
                      <w:adjustRightInd w:val="0"/>
                      <w:jc w:val="center"/>
                      <w:rPr>
                        <w:szCs w:val="21"/>
                      </w:rPr>
                    </w:pPr>
                    <w:r>
                      <w:rPr>
                        <w:rFonts w:hint="eastAsia"/>
                        <w:szCs w:val="21"/>
                      </w:rPr>
                      <w:t>合计</w:t>
                    </w:r>
                  </w:p>
                </w:tc>
              </w:sdtContent>
            </w:sdt>
            <w:tc>
              <w:tcPr>
                <w:tcW w:w="628" w:type="pct"/>
                <w:tcBorders>
                  <w:top w:val="single" w:sz="4" w:space="0" w:color="auto"/>
                  <w:left w:val="single" w:sz="4" w:space="0" w:color="auto"/>
                  <w:bottom w:val="single" w:sz="4" w:space="0" w:color="auto"/>
                  <w:right w:val="single" w:sz="4" w:space="0" w:color="auto"/>
                </w:tcBorders>
              </w:tcPr>
              <w:p w14:paraId="0FBD6AF0" w14:textId="77777777" w:rsidR="00830E72" w:rsidRDefault="008344D8">
                <w:pPr>
                  <w:jc w:val="right"/>
                  <w:rPr>
                    <w:szCs w:val="21"/>
                  </w:rPr>
                </w:pPr>
                <w:r>
                  <w:rPr>
                    <w:szCs w:val="21"/>
                  </w:rPr>
                  <w:t>2,235,644,985.25</w:t>
                </w:r>
              </w:p>
            </w:tc>
            <w:tc>
              <w:tcPr>
                <w:tcW w:w="197" w:type="pct"/>
                <w:tcBorders>
                  <w:top w:val="single" w:sz="4" w:space="0" w:color="auto"/>
                  <w:left w:val="single" w:sz="4" w:space="0" w:color="auto"/>
                  <w:bottom w:val="single" w:sz="4" w:space="0" w:color="auto"/>
                  <w:right w:val="single" w:sz="4" w:space="0" w:color="auto"/>
                </w:tcBorders>
              </w:tcPr>
              <w:p w14:paraId="70BC234B" w14:textId="77777777" w:rsidR="00830E72" w:rsidRDefault="008344D8">
                <w:pPr>
                  <w:jc w:val="center"/>
                  <w:rPr>
                    <w:szCs w:val="21"/>
                  </w:rPr>
                </w:pPr>
                <w:r>
                  <w:rPr>
                    <w:rFonts w:hint="eastAsia"/>
                    <w:szCs w:val="21"/>
                  </w:rPr>
                  <w:t>/</w:t>
                </w:r>
              </w:p>
            </w:tc>
            <w:tc>
              <w:tcPr>
                <w:tcW w:w="553" w:type="pct"/>
                <w:tcBorders>
                  <w:top w:val="single" w:sz="4" w:space="0" w:color="auto"/>
                  <w:left w:val="single" w:sz="4" w:space="0" w:color="auto"/>
                  <w:bottom w:val="single" w:sz="4" w:space="0" w:color="auto"/>
                  <w:right w:val="single" w:sz="4" w:space="0" w:color="auto"/>
                </w:tcBorders>
              </w:tcPr>
              <w:p w14:paraId="7CA2F798" w14:textId="77777777" w:rsidR="00830E72" w:rsidRDefault="008344D8">
                <w:pPr>
                  <w:jc w:val="right"/>
                  <w:rPr>
                    <w:szCs w:val="21"/>
                  </w:rPr>
                </w:pPr>
                <w:r>
                  <w:rPr>
                    <w:szCs w:val="21"/>
                  </w:rPr>
                  <w:t>165,560,209.34</w:t>
                </w:r>
              </w:p>
            </w:tc>
            <w:tc>
              <w:tcPr>
                <w:tcW w:w="206" w:type="pct"/>
                <w:tcBorders>
                  <w:top w:val="single" w:sz="4" w:space="0" w:color="auto"/>
                  <w:left w:val="single" w:sz="4" w:space="0" w:color="auto"/>
                  <w:bottom w:val="single" w:sz="4" w:space="0" w:color="auto"/>
                  <w:right w:val="single" w:sz="4" w:space="0" w:color="auto"/>
                </w:tcBorders>
              </w:tcPr>
              <w:p w14:paraId="13016C18" w14:textId="77777777" w:rsidR="00830E72" w:rsidRDefault="008344D8">
                <w:pPr>
                  <w:jc w:val="center"/>
                  <w:rPr>
                    <w:szCs w:val="21"/>
                  </w:rPr>
                </w:pPr>
                <w:r>
                  <w:rPr>
                    <w:rFonts w:hint="eastAsia"/>
                    <w:szCs w:val="21"/>
                  </w:rPr>
                  <w:t>/</w:t>
                </w:r>
              </w:p>
            </w:tc>
            <w:tc>
              <w:tcPr>
                <w:tcW w:w="628" w:type="pct"/>
                <w:tcBorders>
                  <w:top w:val="single" w:sz="4" w:space="0" w:color="auto"/>
                  <w:left w:val="single" w:sz="4" w:space="0" w:color="auto"/>
                  <w:bottom w:val="single" w:sz="4" w:space="0" w:color="auto"/>
                  <w:right w:val="single" w:sz="4" w:space="0" w:color="auto"/>
                </w:tcBorders>
              </w:tcPr>
              <w:p w14:paraId="389CA185" w14:textId="77777777" w:rsidR="00830E72" w:rsidRDefault="008344D8">
                <w:pPr>
                  <w:jc w:val="right"/>
                  <w:rPr>
                    <w:szCs w:val="21"/>
                  </w:rPr>
                </w:pPr>
                <w:r>
                  <w:rPr>
                    <w:szCs w:val="21"/>
                  </w:rPr>
                  <w:t>2,070,084,775.91</w:t>
                </w:r>
              </w:p>
            </w:tc>
            <w:tc>
              <w:tcPr>
                <w:tcW w:w="628" w:type="pct"/>
                <w:tcBorders>
                  <w:top w:val="single" w:sz="4" w:space="0" w:color="auto"/>
                  <w:left w:val="single" w:sz="4" w:space="0" w:color="auto"/>
                  <w:bottom w:val="single" w:sz="4" w:space="0" w:color="auto"/>
                  <w:right w:val="single" w:sz="4" w:space="0" w:color="auto"/>
                </w:tcBorders>
              </w:tcPr>
              <w:p w14:paraId="6BED4C1F" w14:textId="77777777" w:rsidR="00830E72" w:rsidRDefault="008344D8">
                <w:pPr>
                  <w:jc w:val="right"/>
                  <w:rPr>
                    <w:szCs w:val="21"/>
                  </w:rPr>
                </w:pPr>
                <w:r>
                  <w:rPr>
                    <w:szCs w:val="21"/>
                  </w:rPr>
                  <w:t>2,217,970,792.49</w:t>
                </w:r>
              </w:p>
            </w:tc>
            <w:tc>
              <w:tcPr>
                <w:tcW w:w="207" w:type="pct"/>
                <w:tcBorders>
                  <w:top w:val="single" w:sz="4" w:space="0" w:color="auto"/>
                  <w:left w:val="single" w:sz="4" w:space="0" w:color="auto"/>
                  <w:bottom w:val="single" w:sz="4" w:space="0" w:color="auto"/>
                  <w:right w:val="single" w:sz="4" w:space="0" w:color="auto"/>
                </w:tcBorders>
              </w:tcPr>
              <w:p w14:paraId="098E352E" w14:textId="77777777" w:rsidR="00830E72" w:rsidRDefault="008344D8">
                <w:pPr>
                  <w:jc w:val="center"/>
                  <w:rPr>
                    <w:szCs w:val="21"/>
                  </w:rPr>
                </w:pPr>
                <w:r>
                  <w:rPr>
                    <w:rFonts w:hint="eastAsia"/>
                    <w:szCs w:val="21"/>
                  </w:rPr>
                  <w:t>/</w:t>
                </w:r>
              </w:p>
            </w:tc>
            <w:tc>
              <w:tcPr>
                <w:tcW w:w="553" w:type="pct"/>
                <w:tcBorders>
                  <w:top w:val="single" w:sz="4" w:space="0" w:color="auto"/>
                  <w:left w:val="single" w:sz="4" w:space="0" w:color="auto"/>
                  <w:bottom w:val="single" w:sz="4" w:space="0" w:color="auto"/>
                  <w:right w:val="single" w:sz="4" w:space="0" w:color="auto"/>
                </w:tcBorders>
              </w:tcPr>
              <w:p w14:paraId="2F9AD930" w14:textId="77777777" w:rsidR="00830E72" w:rsidRDefault="008344D8">
                <w:pPr>
                  <w:jc w:val="right"/>
                  <w:rPr>
                    <w:szCs w:val="21"/>
                  </w:rPr>
                </w:pPr>
                <w:r>
                  <w:rPr>
                    <w:szCs w:val="21"/>
                  </w:rPr>
                  <w:t>169,241,905.73</w:t>
                </w:r>
              </w:p>
            </w:tc>
            <w:tc>
              <w:tcPr>
                <w:tcW w:w="215" w:type="pct"/>
                <w:tcBorders>
                  <w:top w:val="single" w:sz="4" w:space="0" w:color="auto"/>
                  <w:left w:val="single" w:sz="4" w:space="0" w:color="auto"/>
                  <w:bottom w:val="single" w:sz="4" w:space="0" w:color="auto"/>
                  <w:right w:val="single" w:sz="4" w:space="0" w:color="auto"/>
                </w:tcBorders>
              </w:tcPr>
              <w:p w14:paraId="628AD81C" w14:textId="77777777" w:rsidR="00830E72" w:rsidRDefault="008344D8">
                <w:pPr>
                  <w:jc w:val="center"/>
                  <w:rPr>
                    <w:szCs w:val="21"/>
                  </w:rPr>
                </w:pPr>
                <w:r>
                  <w:rPr>
                    <w:rFonts w:hint="eastAsia"/>
                    <w:szCs w:val="21"/>
                  </w:rPr>
                  <w:t>/</w:t>
                </w:r>
              </w:p>
            </w:tc>
            <w:tc>
              <w:tcPr>
                <w:tcW w:w="627" w:type="pct"/>
                <w:tcBorders>
                  <w:top w:val="single" w:sz="4" w:space="0" w:color="auto"/>
                  <w:left w:val="single" w:sz="4" w:space="0" w:color="auto"/>
                  <w:bottom w:val="single" w:sz="4" w:space="0" w:color="auto"/>
                  <w:right w:val="single" w:sz="4" w:space="0" w:color="auto"/>
                </w:tcBorders>
              </w:tcPr>
              <w:p w14:paraId="03918391" w14:textId="77777777" w:rsidR="00830E72" w:rsidRDefault="008344D8">
                <w:r>
                  <w:rPr>
                    <w:szCs w:val="21"/>
                  </w:rPr>
                  <w:t>2,048,728,886.76</w:t>
                </w:r>
              </w:p>
            </w:tc>
          </w:tr>
        </w:tbl>
        <w:p w14:paraId="0921EEE4" w14:textId="77777777" w:rsidR="00830E72" w:rsidRDefault="00D44830"/>
      </w:sdtContent>
    </w:sdt>
    <w:bookmarkEnd w:id="97"/>
    <w:p w14:paraId="75D64671" w14:textId="77777777" w:rsidR="00830E72" w:rsidRDefault="00830E72">
      <w:pPr>
        <w:autoSpaceDE w:val="0"/>
        <w:autoSpaceDN w:val="0"/>
        <w:adjustRightInd w:val="0"/>
        <w:ind w:right="105"/>
        <w:rPr>
          <w:szCs w:val="21"/>
        </w:rPr>
        <w:sectPr w:rsidR="00830E72">
          <w:pgSz w:w="16838" w:h="11906" w:orient="landscape"/>
          <w:pgMar w:top="1276" w:right="1440" w:bottom="1797" w:left="1525" w:header="856" w:footer="992" w:gutter="0"/>
          <w:cols w:space="425"/>
          <w:docGrid w:linePitch="312"/>
        </w:sectPr>
      </w:pPr>
    </w:p>
    <w:p w14:paraId="3859496F" w14:textId="77777777" w:rsidR="00830E72" w:rsidRDefault="00830E72">
      <w:pPr>
        <w:autoSpaceDE w:val="0"/>
        <w:autoSpaceDN w:val="0"/>
        <w:adjustRightInd w:val="0"/>
        <w:ind w:right="105"/>
        <w:rPr>
          <w:szCs w:val="21"/>
        </w:rPr>
      </w:pPr>
    </w:p>
    <w:bookmarkStart w:id="98" w:name="_Hlk10467187" w:displacedByCustomXml="next"/>
    <w:bookmarkStart w:id="99" w:name="_Hlk10467200" w:displacedByCustomXml="next"/>
    <w:sdt>
      <w:sdtPr>
        <w:rPr>
          <w:rFonts w:hint="eastAsia"/>
          <w:szCs w:val="21"/>
        </w:rPr>
        <w:alias w:val="模块:按单项计提坏账准备："/>
        <w:tag w:val="_SEC_498beef22f03474fa398c526ee8a934d"/>
        <w:id w:val="246089283"/>
        <w:lock w:val="sdtLocked"/>
        <w:placeholder>
          <w:docPart w:val="GBC22222222222222222222222222222"/>
        </w:placeholder>
      </w:sdtPr>
      <w:sdtEndPr>
        <w:rPr>
          <w:rFonts w:hint="default"/>
          <w:szCs w:val="24"/>
        </w:rPr>
      </w:sdtEndPr>
      <w:sdtContent>
        <w:p w14:paraId="54630A9A" w14:textId="77777777" w:rsidR="00830E72" w:rsidRDefault="008344D8">
          <w:pPr>
            <w:rPr>
              <w:szCs w:val="21"/>
            </w:rPr>
          </w:pPr>
          <w:r>
            <w:rPr>
              <w:rFonts w:hint="eastAsia"/>
              <w:szCs w:val="21"/>
            </w:rPr>
            <w:t>按单项计提坏账准备：</w:t>
          </w:r>
          <w:bookmarkEnd w:id="98"/>
        </w:p>
        <w:sdt>
          <w:sdtPr>
            <w:rPr>
              <w:rFonts w:hint="eastAsia"/>
            </w:rPr>
            <w:alias w:val="是否适用：按单项计提坏账准备的应收账款详细情况[双击切换]"/>
            <w:tag w:val="_GBC_e07c01cfb2fe4b05a2bb603b7f914946"/>
            <w:id w:val="-1298829769"/>
            <w:lock w:val="sdtContentLocked"/>
            <w:placeholder>
              <w:docPart w:val="GBC22222222222222222222222222222"/>
            </w:placeholder>
          </w:sdtPr>
          <w:sdtEndPr/>
          <w:sdtContent>
            <w:p w14:paraId="769AA9A2"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66A9713" w14:textId="77777777" w:rsidR="00830E72" w:rsidRDefault="008344D8">
      <w:bookmarkStart w:id="100" w:name="_Hlk10467225"/>
      <w:bookmarkEnd w:id="99"/>
      <w:r>
        <w:rPr>
          <w:rFonts w:hint="eastAsia"/>
        </w:rPr>
        <w:t>按组合计提坏账准备：</w:t>
      </w:r>
    </w:p>
    <w:sdt>
      <w:sdtPr>
        <w:rPr>
          <w:rFonts w:hint="eastAsia"/>
        </w:rPr>
        <w:alias w:val="是否适用：按组合计提坏账准备的应收账款详细情况[双击切换]"/>
        <w:tag w:val="_GBC_47a07baa9a4f4c5ea6de193ae7b87e74"/>
        <w:id w:val="-1787430145"/>
        <w:lock w:val="sdtContentLocked"/>
        <w:placeholder>
          <w:docPart w:val="GBC22222222222222222222222222222"/>
        </w:placeholder>
      </w:sdtPr>
      <w:sdtEndPr/>
      <w:sdtContent>
        <w:p w14:paraId="62328B0B"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101" w:name="_Hlk533607573" w:displacedByCustomXml="next"/>
    <w:sdt>
      <w:sdtPr>
        <w:rPr>
          <w:rFonts w:hint="eastAsia"/>
          <w:szCs w:val="21"/>
        </w:rPr>
        <w:alias w:val="模块:组合计提项目"/>
        <w:tag w:val="_SEC_f085826b570e4937b558307522853cff"/>
        <w:id w:val="484056590"/>
        <w:lock w:val="sdtLocked"/>
        <w:placeholder>
          <w:docPart w:val="GBC22222222222222222222222222222"/>
        </w:placeholder>
      </w:sdtPr>
      <w:sdtEndPr>
        <w:rPr>
          <w:rFonts w:hint="default"/>
        </w:rPr>
      </w:sdtEndPr>
      <w:sdtContent>
        <w:p w14:paraId="480D085A" w14:textId="77777777" w:rsidR="00830E72" w:rsidRDefault="008344D8">
          <w:pPr>
            <w:rPr>
              <w:szCs w:val="21"/>
            </w:rPr>
          </w:pPr>
          <w:r>
            <w:rPr>
              <w:rFonts w:hint="eastAsia"/>
              <w:szCs w:val="21"/>
            </w:rPr>
            <w:t>组合计提项目：</w:t>
          </w:r>
          <w:sdt>
            <w:sdtPr>
              <w:rPr>
                <w:rFonts w:hint="eastAsia"/>
                <w:szCs w:val="21"/>
              </w:rPr>
              <w:alias w:val="按组合计提坏账准备的应收账款明细-组合名称"/>
              <w:tag w:val="_GBC_fec033684b6e412cabcd0e0ea1c6cb96"/>
              <w:id w:val="841199054"/>
              <w:lock w:val="sdtLocked"/>
              <w:placeholder>
                <w:docPart w:val="GBC22222222222222222222222222222"/>
              </w:placeholder>
              <w:comboBox>
                <w:listItem w:displayText="应收外部客户" w:value="应收外部客户"/>
              </w:comboBox>
            </w:sdtPr>
            <w:sdtEndPr/>
            <w:sdtContent>
              <w:r>
                <w:rPr>
                  <w:rFonts w:hint="eastAsia"/>
                  <w:szCs w:val="21"/>
                </w:rPr>
                <w:t>应收外部客户</w:t>
              </w:r>
            </w:sdtContent>
          </w:sdt>
        </w:p>
        <w:p w14:paraId="370638FE" w14:textId="77777777" w:rsidR="00830E72" w:rsidRDefault="008344D8">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ccac8c131a6748e699800a5f25e5efcf"/>
              <w:id w:val="14809617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f0296899749441bf8c33f5882df60a71"/>
              <w:id w:val="-18395357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309"/>
            <w:gridCol w:w="2351"/>
            <w:gridCol w:w="2293"/>
          </w:tblGrid>
          <w:tr w:rsidR="00830E72" w14:paraId="4D034D45" w14:textId="77777777">
            <w:sdt>
              <w:sdtPr>
                <w:tag w:val="_PLD_331ca2a43a5247699c45fd6309aee7fd"/>
                <w:id w:val="-514307973"/>
                <w:lock w:val="sdtLocked"/>
              </w:sdtPr>
              <w:sdtEndPr/>
              <w:sdtContent>
                <w:tc>
                  <w:tcPr>
                    <w:tcW w:w="1158" w:type="pct"/>
                    <w:vMerge w:val="restart"/>
                    <w:vAlign w:val="center"/>
                  </w:tcPr>
                  <w:p w14:paraId="04C52904" w14:textId="77777777" w:rsidR="00830E72" w:rsidRDefault="008344D8">
                    <w:pPr>
                      <w:jc w:val="center"/>
                      <w:rPr>
                        <w:szCs w:val="21"/>
                      </w:rPr>
                    </w:pPr>
                    <w:r>
                      <w:rPr>
                        <w:rFonts w:hint="eastAsia"/>
                        <w:szCs w:val="21"/>
                      </w:rPr>
                      <w:t>名称</w:t>
                    </w:r>
                  </w:p>
                </w:tc>
              </w:sdtContent>
            </w:sdt>
            <w:sdt>
              <w:sdtPr>
                <w:tag w:val="_PLD_271f4f470bff48e385b1a5d9080fde35"/>
                <w:id w:val="134066188"/>
                <w:lock w:val="sdtLocked"/>
              </w:sdtPr>
              <w:sdtEndPr/>
              <w:sdtContent>
                <w:tc>
                  <w:tcPr>
                    <w:tcW w:w="3842" w:type="pct"/>
                    <w:gridSpan w:val="3"/>
                    <w:vAlign w:val="center"/>
                  </w:tcPr>
                  <w:p w14:paraId="1AC32F89" w14:textId="77777777" w:rsidR="00830E72" w:rsidRDefault="008344D8">
                    <w:pPr>
                      <w:jc w:val="center"/>
                      <w:rPr>
                        <w:szCs w:val="21"/>
                      </w:rPr>
                    </w:pPr>
                    <w:r>
                      <w:rPr>
                        <w:rFonts w:hint="eastAsia"/>
                        <w:szCs w:val="21"/>
                      </w:rPr>
                      <w:t>期末余额</w:t>
                    </w:r>
                  </w:p>
                </w:tc>
              </w:sdtContent>
            </w:sdt>
          </w:tr>
          <w:tr w:rsidR="00830E72" w14:paraId="1782438C" w14:textId="77777777">
            <w:tc>
              <w:tcPr>
                <w:tcW w:w="1158" w:type="pct"/>
                <w:vMerge/>
              </w:tcPr>
              <w:p w14:paraId="12B83A3E" w14:textId="77777777" w:rsidR="00830E72" w:rsidRDefault="00830E72">
                <w:pPr>
                  <w:jc w:val="center"/>
                  <w:rPr>
                    <w:szCs w:val="21"/>
                  </w:rPr>
                </w:pPr>
              </w:p>
            </w:tc>
            <w:sdt>
              <w:sdtPr>
                <w:tag w:val="_PLD_e1c956de9b3b4544a5d0584eaaf6aea2"/>
                <w:id w:val="2014877124"/>
                <w:lock w:val="sdtLocked"/>
              </w:sdtPr>
              <w:sdtEndPr/>
              <w:sdtContent>
                <w:tc>
                  <w:tcPr>
                    <w:tcW w:w="1276" w:type="pct"/>
                    <w:vAlign w:val="center"/>
                  </w:tcPr>
                  <w:p w14:paraId="409F1EC3" w14:textId="77777777" w:rsidR="00830E72" w:rsidRDefault="008344D8">
                    <w:pPr>
                      <w:jc w:val="center"/>
                      <w:rPr>
                        <w:szCs w:val="21"/>
                      </w:rPr>
                    </w:pPr>
                    <w:r>
                      <w:rPr>
                        <w:rFonts w:hint="eastAsia"/>
                        <w:szCs w:val="21"/>
                      </w:rPr>
                      <w:t>应收账款</w:t>
                    </w:r>
                  </w:p>
                </w:tc>
              </w:sdtContent>
            </w:sdt>
            <w:sdt>
              <w:sdtPr>
                <w:tag w:val="_PLD_0098acb8b7f640f29f65a14017e23f02"/>
                <w:id w:val="1802732809"/>
                <w:lock w:val="sdtLocked"/>
              </w:sdtPr>
              <w:sdtEndPr/>
              <w:sdtContent>
                <w:tc>
                  <w:tcPr>
                    <w:tcW w:w="1299" w:type="pct"/>
                    <w:vAlign w:val="center"/>
                  </w:tcPr>
                  <w:p w14:paraId="336BE832" w14:textId="77777777" w:rsidR="00830E72" w:rsidRDefault="008344D8">
                    <w:pPr>
                      <w:jc w:val="center"/>
                      <w:rPr>
                        <w:szCs w:val="21"/>
                      </w:rPr>
                    </w:pPr>
                    <w:r>
                      <w:rPr>
                        <w:rFonts w:hint="eastAsia"/>
                        <w:szCs w:val="21"/>
                      </w:rPr>
                      <w:t>坏账准备</w:t>
                    </w:r>
                  </w:p>
                </w:tc>
              </w:sdtContent>
            </w:sdt>
            <w:sdt>
              <w:sdtPr>
                <w:tag w:val="_PLD_290bbc3bde3c43c487996752ceb95160"/>
                <w:id w:val="-934512702"/>
                <w:lock w:val="sdtLocked"/>
              </w:sdtPr>
              <w:sdtEndPr/>
              <w:sdtContent>
                <w:tc>
                  <w:tcPr>
                    <w:tcW w:w="1267" w:type="pct"/>
                    <w:vAlign w:val="center"/>
                  </w:tcPr>
                  <w:p w14:paraId="4DB79955" w14:textId="77777777" w:rsidR="00830E72" w:rsidRDefault="008344D8">
                    <w:pPr>
                      <w:jc w:val="center"/>
                      <w:rPr>
                        <w:szCs w:val="21"/>
                      </w:rPr>
                    </w:pPr>
                    <w:r>
                      <w:rPr>
                        <w:szCs w:val="21"/>
                      </w:rPr>
                      <w:t>计提比例</w:t>
                    </w:r>
                    <w:r>
                      <w:rPr>
                        <w:rFonts w:hint="eastAsia"/>
                        <w:szCs w:val="21"/>
                      </w:rPr>
                      <w:t>（%）</w:t>
                    </w:r>
                  </w:p>
                </w:tc>
              </w:sdtContent>
            </w:sdt>
          </w:tr>
          <w:sdt>
            <w:sdtPr>
              <w:rPr>
                <w:szCs w:val="21"/>
              </w:rPr>
              <w:alias w:val="按组合计提坏账准备的应收账款详细名称明细"/>
              <w:tag w:val="_TUP_787dccbb6b7545edb25916e256cf8697"/>
              <w:id w:val="195740581"/>
              <w:placeholder>
                <w:docPart w:val="GBC11111111111111111111111111111"/>
              </w:placeholder>
            </w:sdtPr>
            <w:sdtEndPr/>
            <w:sdtContent>
              <w:tr w:rsidR="00830E72" w14:paraId="0557147E" w14:textId="77777777">
                <w:tc>
                  <w:tcPr>
                    <w:tcW w:w="1158" w:type="pct"/>
                  </w:tcPr>
                  <w:p w14:paraId="7B661A63" w14:textId="77777777" w:rsidR="00830E72" w:rsidRDefault="008344D8">
                    <w:pPr>
                      <w:rPr>
                        <w:szCs w:val="21"/>
                      </w:rPr>
                    </w:pPr>
                    <w:r>
                      <w:rPr>
                        <w:rFonts w:hint="eastAsia"/>
                        <w:szCs w:val="21"/>
                      </w:rPr>
                      <w:t>应收外部客户</w:t>
                    </w:r>
                  </w:p>
                </w:tc>
                <w:tc>
                  <w:tcPr>
                    <w:tcW w:w="1276" w:type="pct"/>
                  </w:tcPr>
                  <w:p w14:paraId="170F4194" w14:textId="77777777" w:rsidR="00830E72" w:rsidRDefault="008344D8">
                    <w:pPr>
                      <w:jc w:val="right"/>
                      <w:rPr>
                        <w:szCs w:val="21"/>
                      </w:rPr>
                    </w:pPr>
                    <w:r>
                      <w:rPr>
                        <w:szCs w:val="21"/>
                      </w:rPr>
                      <w:t>2,235,644,985.25</w:t>
                    </w:r>
                  </w:p>
                </w:tc>
                <w:tc>
                  <w:tcPr>
                    <w:tcW w:w="1299" w:type="pct"/>
                  </w:tcPr>
                  <w:p w14:paraId="3F5376C0" w14:textId="77777777" w:rsidR="00830E72" w:rsidRDefault="008344D8">
                    <w:pPr>
                      <w:jc w:val="right"/>
                      <w:rPr>
                        <w:szCs w:val="21"/>
                      </w:rPr>
                    </w:pPr>
                    <w:r>
                      <w:rPr>
                        <w:szCs w:val="21"/>
                      </w:rPr>
                      <w:t>165,560,209.34</w:t>
                    </w:r>
                  </w:p>
                </w:tc>
                <w:tc>
                  <w:tcPr>
                    <w:tcW w:w="1267" w:type="pct"/>
                  </w:tcPr>
                  <w:p w14:paraId="7FFF6F20" w14:textId="77777777" w:rsidR="00830E72" w:rsidRDefault="008344D8">
                    <w:pPr>
                      <w:jc w:val="right"/>
                      <w:rPr>
                        <w:szCs w:val="21"/>
                      </w:rPr>
                    </w:pPr>
                    <w:r>
                      <w:rPr>
                        <w:rFonts w:hint="eastAsia"/>
                        <w:szCs w:val="21"/>
                      </w:rPr>
                      <w:t>7.41</w:t>
                    </w:r>
                  </w:p>
                </w:tc>
              </w:tr>
            </w:sdtContent>
          </w:sdt>
          <w:tr w:rsidR="00830E72" w14:paraId="4C445594" w14:textId="77777777">
            <w:sdt>
              <w:sdtPr>
                <w:tag w:val="_PLD_9a3bf225ae544565ad2cb49381fcaca1"/>
                <w:id w:val="1148246763"/>
                <w:lock w:val="sdtLocked"/>
              </w:sdtPr>
              <w:sdtEndPr/>
              <w:sdtContent>
                <w:tc>
                  <w:tcPr>
                    <w:tcW w:w="1158" w:type="pct"/>
                    <w:vAlign w:val="center"/>
                  </w:tcPr>
                  <w:p w14:paraId="5DBC040A" w14:textId="77777777" w:rsidR="00830E72" w:rsidRDefault="008344D8">
                    <w:pPr>
                      <w:jc w:val="center"/>
                      <w:rPr>
                        <w:szCs w:val="21"/>
                      </w:rPr>
                    </w:pPr>
                    <w:r>
                      <w:rPr>
                        <w:rFonts w:hint="eastAsia"/>
                        <w:szCs w:val="21"/>
                      </w:rPr>
                      <w:t>合计</w:t>
                    </w:r>
                  </w:p>
                </w:tc>
              </w:sdtContent>
            </w:sdt>
            <w:tc>
              <w:tcPr>
                <w:tcW w:w="1276" w:type="pct"/>
              </w:tcPr>
              <w:p w14:paraId="10F3E5B7" w14:textId="77777777" w:rsidR="00830E72" w:rsidRDefault="008344D8">
                <w:pPr>
                  <w:jc w:val="right"/>
                  <w:rPr>
                    <w:szCs w:val="21"/>
                  </w:rPr>
                </w:pPr>
                <w:r>
                  <w:rPr>
                    <w:szCs w:val="21"/>
                  </w:rPr>
                  <w:t>2,235,644,985.25</w:t>
                </w:r>
              </w:p>
            </w:tc>
            <w:tc>
              <w:tcPr>
                <w:tcW w:w="1299" w:type="pct"/>
              </w:tcPr>
              <w:p w14:paraId="77C052D4" w14:textId="77777777" w:rsidR="00830E72" w:rsidRDefault="008344D8">
                <w:pPr>
                  <w:jc w:val="right"/>
                  <w:rPr>
                    <w:szCs w:val="21"/>
                  </w:rPr>
                </w:pPr>
                <w:r>
                  <w:rPr>
                    <w:szCs w:val="21"/>
                  </w:rPr>
                  <w:t>165,560,209.34</w:t>
                </w:r>
              </w:p>
            </w:tc>
            <w:tc>
              <w:tcPr>
                <w:tcW w:w="1267" w:type="pct"/>
              </w:tcPr>
              <w:p w14:paraId="28367572" w14:textId="77777777" w:rsidR="00830E72" w:rsidRDefault="008344D8">
                <w:pPr>
                  <w:jc w:val="right"/>
                  <w:rPr>
                    <w:szCs w:val="21"/>
                  </w:rPr>
                </w:pPr>
                <w:r>
                  <w:rPr>
                    <w:rFonts w:hint="eastAsia"/>
                    <w:szCs w:val="21"/>
                  </w:rPr>
                  <w:t>7.41</w:t>
                </w:r>
              </w:p>
            </w:tc>
          </w:tr>
        </w:tbl>
        <w:p w14:paraId="7493ED52" w14:textId="77777777" w:rsidR="00830E72" w:rsidRDefault="008344D8">
          <w:pPr>
            <w:rPr>
              <w:szCs w:val="21"/>
            </w:rPr>
          </w:pPr>
          <w:r>
            <w:rPr>
              <w:rFonts w:hint="eastAsia"/>
              <w:szCs w:val="21"/>
            </w:rPr>
            <w:t>按组合计提坏账的确认标准及说明：</w:t>
          </w:r>
        </w:p>
        <w:sdt>
          <w:sdtPr>
            <w:rPr>
              <w:szCs w:val="21"/>
            </w:rPr>
            <w:alias w:val="是否适用：按组合计提坏账准备的应收账款确认标准[双击切换]"/>
            <w:tag w:val="_GBC_8361cfeb973b4073b7fdbd49a393b38c"/>
            <w:id w:val="-817578926"/>
            <w:lock w:val="sdtContentLocked"/>
            <w:placeholder>
              <w:docPart w:val="GBC22222222222222222222222222222"/>
            </w:placeholder>
          </w:sdtPr>
          <w:sdtEndPr/>
          <w:sdtContent>
            <w:p w14:paraId="6A046BD5"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组合计提坏账准备的应收账款确认标准"/>
            <w:tag w:val="_GBC_0fdd528f57da417a993d3f091b676d12"/>
            <w:id w:val="-259518277"/>
            <w:lock w:val="sdtLocked"/>
            <w:placeholder>
              <w:docPart w:val="GBC22222222222222222222222222222"/>
            </w:placeholder>
          </w:sdtPr>
          <w:sdtEndPr/>
          <w:sdtContent>
            <w:p w14:paraId="46A9ACC2" w14:textId="30905E68" w:rsidR="00830E72" w:rsidRDefault="002F3349">
              <w:pPr>
                <w:rPr>
                  <w:szCs w:val="21"/>
                </w:rPr>
              </w:pPr>
              <w:r>
                <w:rPr>
                  <w:rFonts w:hint="eastAsia"/>
                  <w:szCs w:val="21"/>
                </w:rPr>
                <w:t>单位：元</w:t>
              </w:r>
            </w:p>
            <w:tbl>
              <w:tblPr>
                <w:tblStyle w:val="g2"/>
                <w:tblW w:w="0" w:type="auto"/>
                <w:tblLook w:val="04A0" w:firstRow="1" w:lastRow="0" w:firstColumn="1" w:lastColumn="0" w:noHBand="0" w:noVBand="1"/>
              </w:tblPr>
              <w:tblGrid>
                <w:gridCol w:w="2262"/>
                <w:gridCol w:w="2262"/>
                <w:gridCol w:w="2262"/>
                <w:gridCol w:w="2263"/>
              </w:tblGrid>
              <w:tr w:rsidR="00830E72" w14:paraId="31ECE7E3" w14:textId="77777777">
                <w:tc>
                  <w:tcPr>
                    <w:tcW w:w="2262" w:type="dxa"/>
                  </w:tcPr>
                  <w:p w14:paraId="76557B45" w14:textId="77777777" w:rsidR="00830E72" w:rsidRDefault="008344D8">
                    <w:pPr>
                      <w:jc w:val="center"/>
                      <w:rPr>
                        <w:szCs w:val="21"/>
                      </w:rPr>
                    </w:pPr>
                    <w:r>
                      <w:rPr>
                        <w:rFonts w:hint="eastAsia"/>
                        <w:szCs w:val="21"/>
                      </w:rPr>
                      <w:t>账龄</w:t>
                    </w:r>
                  </w:p>
                </w:tc>
                <w:tc>
                  <w:tcPr>
                    <w:tcW w:w="6787" w:type="dxa"/>
                    <w:gridSpan w:val="3"/>
                  </w:tcPr>
                  <w:p w14:paraId="4866FC61" w14:textId="77777777" w:rsidR="00830E72" w:rsidRDefault="008344D8">
                    <w:pPr>
                      <w:jc w:val="center"/>
                      <w:rPr>
                        <w:szCs w:val="21"/>
                      </w:rPr>
                    </w:pPr>
                    <w:r>
                      <w:rPr>
                        <w:rFonts w:hint="eastAsia"/>
                        <w:szCs w:val="21"/>
                      </w:rPr>
                      <w:t>2021-6-30</w:t>
                    </w:r>
                  </w:p>
                </w:tc>
              </w:tr>
              <w:tr w:rsidR="00830E72" w14:paraId="0286E382" w14:textId="77777777">
                <w:tc>
                  <w:tcPr>
                    <w:tcW w:w="2262" w:type="dxa"/>
                  </w:tcPr>
                  <w:p w14:paraId="6888B05A" w14:textId="77777777" w:rsidR="00830E72" w:rsidRDefault="00830E72">
                    <w:pPr>
                      <w:rPr>
                        <w:szCs w:val="21"/>
                      </w:rPr>
                    </w:pPr>
                  </w:p>
                </w:tc>
                <w:tc>
                  <w:tcPr>
                    <w:tcW w:w="2262" w:type="dxa"/>
                  </w:tcPr>
                  <w:p w14:paraId="5EE25212" w14:textId="77777777" w:rsidR="00830E72" w:rsidRDefault="008344D8">
                    <w:pPr>
                      <w:jc w:val="center"/>
                      <w:rPr>
                        <w:szCs w:val="21"/>
                      </w:rPr>
                    </w:pPr>
                    <w:r>
                      <w:rPr>
                        <w:rFonts w:hint="eastAsia"/>
                        <w:szCs w:val="21"/>
                      </w:rPr>
                      <w:t>账面余额</w:t>
                    </w:r>
                  </w:p>
                </w:tc>
                <w:tc>
                  <w:tcPr>
                    <w:tcW w:w="2262" w:type="dxa"/>
                  </w:tcPr>
                  <w:p w14:paraId="2B737387" w14:textId="77777777" w:rsidR="00830E72" w:rsidRDefault="008344D8">
                    <w:pPr>
                      <w:jc w:val="center"/>
                      <w:rPr>
                        <w:szCs w:val="21"/>
                      </w:rPr>
                    </w:pPr>
                    <w:r>
                      <w:rPr>
                        <w:rFonts w:hint="eastAsia"/>
                        <w:szCs w:val="21"/>
                      </w:rPr>
                      <w:t>坏账准备</w:t>
                    </w:r>
                  </w:p>
                </w:tc>
                <w:tc>
                  <w:tcPr>
                    <w:tcW w:w="2263" w:type="dxa"/>
                  </w:tcPr>
                  <w:p w14:paraId="0723C69B" w14:textId="77777777" w:rsidR="00830E72" w:rsidRDefault="008344D8">
                    <w:pPr>
                      <w:jc w:val="center"/>
                      <w:rPr>
                        <w:szCs w:val="21"/>
                      </w:rPr>
                    </w:pPr>
                    <w:r>
                      <w:rPr>
                        <w:rFonts w:hint="eastAsia"/>
                        <w:szCs w:val="21"/>
                      </w:rPr>
                      <w:t>计提比例（%）</w:t>
                    </w:r>
                  </w:p>
                </w:tc>
              </w:tr>
              <w:tr w:rsidR="00830E72" w14:paraId="7B0880A1" w14:textId="77777777">
                <w:tc>
                  <w:tcPr>
                    <w:tcW w:w="2262" w:type="dxa"/>
                  </w:tcPr>
                  <w:p w14:paraId="0BD29260" w14:textId="77777777" w:rsidR="00830E72" w:rsidRDefault="008344D8">
                    <w:pPr>
                      <w:rPr>
                        <w:szCs w:val="21"/>
                      </w:rPr>
                    </w:pPr>
                    <w:r>
                      <w:rPr>
                        <w:rFonts w:hint="eastAsia"/>
                        <w:szCs w:val="21"/>
                      </w:rPr>
                      <w:t>1年以内</w:t>
                    </w:r>
                  </w:p>
                </w:tc>
                <w:tc>
                  <w:tcPr>
                    <w:tcW w:w="2262" w:type="dxa"/>
                  </w:tcPr>
                  <w:p w14:paraId="28461D6F" w14:textId="77777777" w:rsidR="00830E72" w:rsidRDefault="008344D8">
                    <w:pPr>
                      <w:jc w:val="right"/>
                      <w:rPr>
                        <w:szCs w:val="21"/>
                      </w:rPr>
                    </w:pPr>
                    <w:r>
                      <w:rPr>
                        <w:szCs w:val="21"/>
                      </w:rPr>
                      <w:t>1,432,295,360.68</w:t>
                    </w:r>
                  </w:p>
                </w:tc>
                <w:tc>
                  <w:tcPr>
                    <w:tcW w:w="2262" w:type="dxa"/>
                  </w:tcPr>
                  <w:p w14:paraId="24E3EA68" w14:textId="77777777" w:rsidR="00830E72" w:rsidRDefault="008344D8">
                    <w:pPr>
                      <w:jc w:val="right"/>
                      <w:rPr>
                        <w:szCs w:val="21"/>
                      </w:rPr>
                    </w:pPr>
                    <w:r>
                      <w:rPr>
                        <w:szCs w:val="21"/>
                      </w:rPr>
                      <w:t>33,802,170.53</w:t>
                    </w:r>
                  </w:p>
                </w:tc>
                <w:tc>
                  <w:tcPr>
                    <w:tcW w:w="2263" w:type="dxa"/>
                  </w:tcPr>
                  <w:p w14:paraId="56A46020" w14:textId="77777777" w:rsidR="00830E72" w:rsidRDefault="008344D8">
                    <w:pPr>
                      <w:jc w:val="right"/>
                      <w:rPr>
                        <w:szCs w:val="21"/>
                      </w:rPr>
                    </w:pPr>
                    <w:r>
                      <w:rPr>
                        <w:rFonts w:hint="eastAsia"/>
                        <w:szCs w:val="21"/>
                      </w:rPr>
                      <w:t>2.36</w:t>
                    </w:r>
                  </w:p>
                </w:tc>
              </w:tr>
              <w:tr w:rsidR="00830E72" w14:paraId="39B17864" w14:textId="77777777">
                <w:tc>
                  <w:tcPr>
                    <w:tcW w:w="2262" w:type="dxa"/>
                  </w:tcPr>
                  <w:p w14:paraId="103B9049" w14:textId="77777777" w:rsidR="00830E72" w:rsidRDefault="008344D8" w:rsidP="002578F8">
                    <w:pPr>
                      <w:jc w:val="left"/>
                      <w:rPr>
                        <w:szCs w:val="21"/>
                      </w:rPr>
                    </w:pPr>
                    <w:r>
                      <w:t>1至2年</w:t>
                    </w:r>
                  </w:p>
                </w:tc>
                <w:tc>
                  <w:tcPr>
                    <w:tcW w:w="2262" w:type="dxa"/>
                  </w:tcPr>
                  <w:p w14:paraId="581AF44B" w14:textId="77777777" w:rsidR="00830E72" w:rsidRDefault="008344D8">
                    <w:pPr>
                      <w:jc w:val="right"/>
                      <w:rPr>
                        <w:szCs w:val="21"/>
                      </w:rPr>
                    </w:pPr>
                    <w:r>
                      <w:rPr>
                        <w:szCs w:val="21"/>
                      </w:rPr>
                      <w:t>349,404,148.40</w:t>
                    </w:r>
                  </w:p>
                </w:tc>
                <w:tc>
                  <w:tcPr>
                    <w:tcW w:w="2262" w:type="dxa"/>
                  </w:tcPr>
                  <w:p w14:paraId="1D1ACECB" w14:textId="77777777" w:rsidR="00830E72" w:rsidRDefault="008344D8">
                    <w:pPr>
                      <w:jc w:val="right"/>
                      <w:rPr>
                        <w:szCs w:val="21"/>
                      </w:rPr>
                    </w:pPr>
                    <w:r>
                      <w:rPr>
                        <w:szCs w:val="21"/>
                      </w:rPr>
                      <w:t>22,466,686.74</w:t>
                    </w:r>
                  </w:p>
                </w:tc>
                <w:tc>
                  <w:tcPr>
                    <w:tcW w:w="2263" w:type="dxa"/>
                  </w:tcPr>
                  <w:p w14:paraId="287C0AA7" w14:textId="77777777" w:rsidR="00830E72" w:rsidRDefault="008344D8">
                    <w:pPr>
                      <w:jc w:val="right"/>
                      <w:rPr>
                        <w:szCs w:val="21"/>
                      </w:rPr>
                    </w:pPr>
                    <w:r>
                      <w:rPr>
                        <w:color w:val="000000"/>
                        <w:szCs w:val="21"/>
                      </w:rPr>
                      <w:t>6.43</w:t>
                    </w:r>
                  </w:p>
                </w:tc>
              </w:tr>
              <w:tr w:rsidR="00830E72" w14:paraId="2AFAD6DC" w14:textId="77777777">
                <w:tc>
                  <w:tcPr>
                    <w:tcW w:w="2262" w:type="dxa"/>
                  </w:tcPr>
                  <w:p w14:paraId="6864785B" w14:textId="77777777" w:rsidR="00830E72" w:rsidRDefault="008344D8">
                    <w:pPr>
                      <w:rPr>
                        <w:szCs w:val="21"/>
                      </w:rPr>
                    </w:pPr>
                    <w:r>
                      <w:t>2至3年</w:t>
                    </w:r>
                  </w:p>
                </w:tc>
                <w:tc>
                  <w:tcPr>
                    <w:tcW w:w="2262" w:type="dxa"/>
                  </w:tcPr>
                  <w:p w14:paraId="716A27B4" w14:textId="77777777" w:rsidR="00830E72" w:rsidRDefault="008344D8">
                    <w:pPr>
                      <w:jc w:val="right"/>
                      <w:rPr>
                        <w:szCs w:val="21"/>
                      </w:rPr>
                    </w:pPr>
                    <w:r>
                      <w:rPr>
                        <w:szCs w:val="21"/>
                      </w:rPr>
                      <w:t>185,107,418.56</w:t>
                    </w:r>
                  </w:p>
                </w:tc>
                <w:tc>
                  <w:tcPr>
                    <w:tcW w:w="2262" w:type="dxa"/>
                  </w:tcPr>
                  <w:p w14:paraId="10820CC5" w14:textId="77777777" w:rsidR="00830E72" w:rsidRDefault="008344D8">
                    <w:pPr>
                      <w:jc w:val="right"/>
                      <w:rPr>
                        <w:szCs w:val="21"/>
                      </w:rPr>
                    </w:pPr>
                    <w:r>
                      <w:rPr>
                        <w:szCs w:val="21"/>
                      </w:rPr>
                      <w:t>21,731,610.94</w:t>
                    </w:r>
                  </w:p>
                </w:tc>
                <w:tc>
                  <w:tcPr>
                    <w:tcW w:w="2263" w:type="dxa"/>
                  </w:tcPr>
                  <w:p w14:paraId="68309617" w14:textId="77777777" w:rsidR="00830E72" w:rsidRDefault="008344D8">
                    <w:pPr>
                      <w:jc w:val="right"/>
                      <w:rPr>
                        <w:szCs w:val="21"/>
                      </w:rPr>
                    </w:pPr>
                    <w:r>
                      <w:rPr>
                        <w:szCs w:val="21"/>
                      </w:rPr>
                      <w:t>11.74</w:t>
                    </w:r>
                  </w:p>
                </w:tc>
              </w:tr>
              <w:tr w:rsidR="00830E72" w14:paraId="1C10DC44" w14:textId="77777777">
                <w:tc>
                  <w:tcPr>
                    <w:tcW w:w="2262" w:type="dxa"/>
                  </w:tcPr>
                  <w:p w14:paraId="74117BFA" w14:textId="77777777" w:rsidR="00830E72" w:rsidRDefault="008344D8">
                    <w:pPr>
                      <w:rPr>
                        <w:szCs w:val="21"/>
                      </w:rPr>
                    </w:pPr>
                    <w:r>
                      <w:t>3至4年</w:t>
                    </w:r>
                  </w:p>
                </w:tc>
                <w:tc>
                  <w:tcPr>
                    <w:tcW w:w="2262" w:type="dxa"/>
                  </w:tcPr>
                  <w:p w14:paraId="5DCE1FA7" w14:textId="77777777" w:rsidR="00830E72" w:rsidRDefault="008344D8">
                    <w:pPr>
                      <w:jc w:val="right"/>
                      <w:rPr>
                        <w:szCs w:val="21"/>
                      </w:rPr>
                    </w:pPr>
                    <w:r>
                      <w:rPr>
                        <w:szCs w:val="21"/>
                      </w:rPr>
                      <w:t>193,758,405.40</w:t>
                    </w:r>
                  </w:p>
                </w:tc>
                <w:tc>
                  <w:tcPr>
                    <w:tcW w:w="2262" w:type="dxa"/>
                  </w:tcPr>
                  <w:p w14:paraId="47A130FE" w14:textId="77777777" w:rsidR="00830E72" w:rsidRDefault="008344D8">
                    <w:pPr>
                      <w:jc w:val="right"/>
                      <w:rPr>
                        <w:szCs w:val="21"/>
                      </w:rPr>
                    </w:pPr>
                    <w:r>
                      <w:rPr>
                        <w:szCs w:val="21"/>
                      </w:rPr>
                      <w:t>43,149,996.89</w:t>
                    </w:r>
                  </w:p>
                </w:tc>
                <w:tc>
                  <w:tcPr>
                    <w:tcW w:w="2263" w:type="dxa"/>
                  </w:tcPr>
                  <w:p w14:paraId="0DE16CA0" w14:textId="77777777" w:rsidR="00830E72" w:rsidRDefault="008344D8">
                    <w:pPr>
                      <w:jc w:val="right"/>
                      <w:rPr>
                        <w:szCs w:val="21"/>
                      </w:rPr>
                    </w:pPr>
                    <w:r>
                      <w:rPr>
                        <w:szCs w:val="21"/>
                      </w:rPr>
                      <w:t>22.27</w:t>
                    </w:r>
                  </w:p>
                </w:tc>
              </w:tr>
              <w:tr w:rsidR="00830E72" w14:paraId="4E288AF8" w14:textId="77777777">
                <w:tc>
                  <w:tcPr>
                    <w:tcW w:w="2262" w:type="dxa"/>
                  </w:tcPr>
                  <w:p w14:paraId="4DDEE1A3" w14:textId="77777777" w:rsidR="00830E72" w:rsidRDefault="008344D8" w:rsidP="002578F8">
                    <w:pPr>
                      <w:jc w:val="left"/>
                      <w:rPr>
                        <w:szCs w:val="21"/>
                      </w:rPr>
                    </w:pPr>
                    <w:r>
                      <w:t>4至5年</w:t>
                    </w:r>
                  </w:p>
                </w:tc>
                <w:tc>
                  <w:tcPr>
                    <w:tcW w:w="2262" w:type="dxa"/>
                  </w:tcPr>
                  <w:p w14:paraId="7A83083F" w14:textId="77777777" w:rsidR="00830E72" w:rsidRDefault="008344D8">
                    <w:pPr>
                      <w:jc w:val="right"/>
                      <w:rPr>
                        <w:szCs w:val="21"/>
                      </w:rPr>
                    </w:pPr>
                    <w:r>
                      <w:rPr>
                        <w:szCs w:val="21"/>
                      </w:rPr>
                      <w:t>53,939,338.67</w:t>
                    </w:r>
                  </w:p>
                </w:tc>
                <w:tc>
                  <w:tcPr>
                    <w:tcW w:w="2262" w:type="dxa"/>
                  </w:tcPr>
                  <w:p w14:paraId="0FE05785" w14:textId="77777777" w:rsidR="00830E72" w:rsidRDefault="008344D8">
                    <w:pPr>
                      <w:jc w:val="right"/>
                      <w:rPr>
                        <w:szCs w:val="21"/>
                      </w:rPr>
                    </w:pPr>
                    <w:r>
                      <w:rPr>
                        <w:szCs w:val="21"/>
                      </w:rPr>
                      <w:t>23,269,430.71</w:t>
                    </w:r>
                  </w:p>
                </w:tc>
                <w:tc>
                  <w:tcPr>
                    <w:tcW w:w="2263" w:type="dxa"/>
                  </w:tcPr>
                  <w:p w14:paraId="2C8A3BE5" w14:textId="77777777" w:rsidR="00830E72" w:rsidRDefault="008344D8">
                    <w:pPr>
                      <w:jc w:val="right"/>
                      <w:rPr>
                        <w:szCs w:val="21"/>
                      </w:rPr>
                    </w:pPr>
                    <w:r>
                      <w:rPr>
                        <w:szCs w:val="21"/>
                      </w:rPr>
                      <w:t>43.14</w:t>
                    </w:r>
                  </w:p>
                </w:tc>
              </w:tr>
              <w:tr w:rsidR="00830E72" w14:paraId="6B35E637" w14:textId="77777777">
                <w:tc>
                  <w:tcPr>
                    <w:tcW w:w="2262" w:type="dxa"/>
                  </w:tcPr>
                  <w:p w14:paraId="04683094" w14:textId="77777777" w:rsidR="00830E72" w:rsidRDefault="008344D8">
                    <w:pPr>
                      <w:rPr>
                        <w:szCs w:val="21"/>
                      </w:rPr>
                    </w:pPr>
                    <w:r>
                      <w:t>5年以上</w:t>
                    </w:r>
                  </w:p>
                </w:tc>
                <w:tc>
                  <w:tcPr>
                    <w:tcW w:w="2262" w:type="dxa"/>
                  </w:tcPr>
                  <w:p w14:paraId="2C1C4122" w14:textId="77777777" w:rsidR="00830E72" w:rsidRDefault="008344D8">
                    <w:pPr>
                      <w:jc w:val="right"/>
                      <w:rPr>
                        <w:szCs w:val="21"/>
                      </w:rPr>
                    </w:pPr>
                    <w:r>
                      <w:rPr>
                        <w:szCs w:val="21"/>
                      </w:rPr>
                      <w:t>21,140,313.54</w:t>
                    </w:r>
                  </w:p>
                </w:tc>
                <w:tc>
                  <w:tcPr>
                    <w:tcW w:w="2262" w:type="dxa"/>
                  </w:tcPr>
                  <w:p w14:paraId="52FB8500" w14:textId="77777777" w:rsidR="00830E72" w:rsidRDefault="008344D8">
                    <w:pPr>
                      <w:jc w:val="right"/>
                      <w:rPr>
                        <w:szCs w:val="21"/>
                      </w:rPr>
                    </w:pPr>
                    <w:r>
                      <w:rPr>
                        <w:szCs w:val="21"/>
                      </w:rPr>
                      <w:t>21,140,313.54</w:t>
                    </w:r>
                  </w:p>
                </w:tc>
                <w:tc>
                  <w:tcPr>
                    <w:tcW w:w="2263" w:type="dxa"/>
                  </w:tcPr>
                  <w:p w14:paraId="162A2E10" w14:textId="77777777" w:rsidR="00830E72" w:rsidRDefault="008344D8">
                    <w:pPr>
                      <w:jc w:val="right"/>
                      <w:rPr>
                        <w:szCs w:val="21"/>
                      </w:rPr>
                    </w:pPr>
                    <w:r>
                      <w:rPr>
                        <w:szCs w:val="21"/>
                      </w:rPr>
                      <w:t>100.00</w:t>
                    </w:r>
                  </w:p>
                </w:tc>
              </w:tr>
              <w:tr w:rsidR="00830E72" w14:paraId="5AEF2DE2" w14:textId="77777777">
                <w:tc>
                  <w:tcPr>
                    <w:tcW w:w="2262" w:type="dxa"/>
                  </w:tcPr>
                  <w:p w14:paraId="0DCDB3FC" w14:textId="77777777" w:rsidR="00830E72" w:rsidRDefault="008344D8">
                    <w:r>
                      <w:rPr>
                        <w:rFonts w:hint="eastAsia"/>
                      </w:rPr>
                      <w:t>合计</w:t>
                    </w:r>
                  </w:p>
                </w:tc>
                <w:tc>
                  <w:tcPr>
                    <w:tcW w:w="2262" w:type="dxa"/>
                  </w:tcPr>
                  <w:p w14:paraId="277E8285" w14:textId="77777777" w:rsidR="00830E72" w:rsidRDefault="008344D8">
                    <w:pPr>
                      <w:jc w:val="right"/>
                      <w:rPr>
                        <w:szCs w:val="21"/>
                      </w:rPr>
                    </w:pPr>
                    <w:r>
                      <w:rPr>
                        <w:szCs w:val="21"/>
                      </w:rPr>
                      <w:t>2,235,644,985.25</w:t>
                    </w:r>
                  </w:p>
                </w:tc>
                <w:tc>
                  <w:tcPr>
                    <w:tcW w:w="2262" w:type="dxa"/>
                  </w:tcPr>
                  <w:p w14:paraId="3B61F618" w14:textId="77777777" w:rsidR="00830E72" w:rsidRDefault="008344D8">
                    <w:pPr>
                      <w:jc w:val="right"/>
                      <w:rPr>
                        <w:szCs w:val="21"/>
                      </w:rPr>
                    </w:pPr>
                    <w:r>
                      <w:rPr>
                        <w:szCs w:val="21"/>
                      </w:rPr>
                      <w:t>165,560,209.34</w:t>
                    </w:r>
                  </w:p>
                </w:tc>
                <w:tc>
                  <w:tcPr>
                    <w:tcW w:w="2263" w:type="dxa"/>
                  </w:tcPr>
                  <w:p w14:paraId="382ABF06" w14:textId="77777777" w:rsidR="00830E72" w:rsidRDefault="008344D8">
                    <w:pPr>
                      <w:jc w:val="right"/>
                      <w:rPr>
                        <w:szCs w:val="21"/>
                      </w:rPr>
                    </w:pPr>
                    <w:r>
                      <w:rPr>
                        <w:szCs w:val="21"/>
                      </w:rPr>
                      <w:t>7.41</w:t>
                    </w:r>
                  </w:p>
                </w:tc>
              </w:tr>
            </w:tbl>
            <w:p w14:paraId="24C015BD" w14:textId="77777777" w:rsidR="00830E72" w:rsidRDefault="00D44830">
              <w:pPr>
                <w:rPr>
                  <w:szCs w:val="21"/>
                </w:rPr>
              </w:pPr>
            </w:p>
          </w:sdtContent>
        </w:sdt>
      </w:sdtContent>
    </w:sdt>
    <w:bookmarkEnd w:id="100" w:displacedByCustomXml="next"/>
    <w:bookmarkEnd w:id="101" w:displacedByCustomXml="next"/>
    <w:bookmarkStart w:id="102" w:name="_Hlk10467269" w:displacedByCustomXml="next"/>
    <w:bookmarkStart w:id="103" w:name="_Hlk10467279" w:displacedByCustomXml="next"/>
    <w:sdt>
      <w:sdtPr>
        <w:rPr>
          <w:rFonts w:hint="eastAsia"/>
        </w:rPr>
        <w:alias w:val="模块:如按预期信用损失一般模型计提坏账准备，请参照其他应收款披露："/>
        <w:tag w:val="_SEC_a585c426a16c4a73a2145ded2280b59a"/>
        <w:id w:val="909424067"/>
        <w:lock w:val="sdtLocked"/>
        <w:placeholder>
          <w:docPart w:val="GBC22222222222222222222222222222"/>
        </w:placeholder>
      </w:sdtPr>
      <w:sdtEndPr>
        <w:rPr>
          <w:rFonts w:hint="default"/>
        </w:rPr>
      </w:sdtEndPr>
      <w:sdtContent>
        <w:p w14:paraId="780EB6F1" w14:textId="77777777" w:rsidR="00830E72" w:rsidRDefault="008344D8">
          <w:r>
            <w:rPr>
              <w:rFonts w:hint="eastAsia"/>
            </w:rPr>
            <w:t>如按预期信用损失一般模型计提坏账准备，请参照其他应收款披露：</w:t>
          </w:r>
          <w:bookmarkEnd w:id="102"/>
        </w:p>
        <w:sdt>
          <w:sdtPr>
            <w:alias w:val="是否适用：应收账款按一般预计信用损失模型计提坏账[双击切换]"/>
            <w:tag w:val="_GBC_dbecd76100814214abd6f7c10d1dd2fa"/>
            <w:id w:val="1477952542"/>
            <w:lock w:val="sdtContentLocked"/>
            <w:placeholder>
              <w:docPart w:val="GBC22222222222222222222222222222"/>
            </w:placeholder>
          </w:sdtPr>
          <w:sdtEndPr/>
          <w:sdtContent>
            <w:p w14:paraId="678D4019"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0E0E55C" w14:textId="77777777" w:rsidR="00830E72" w:rsidRDefault="00D44830"/>
      </w:sdtContent>
    </w:sdt>
    <w:bookmarkEnd w:id="103" w:displacedByCustomXml="next"/>
    <w:bookmarkStart w:id="104" w:name="_Hlk10467433" w:displacedByCustomXml="next"/>
    <w:sdt>
      <w:sdtPr>
        <w:rPr>
          <w:rFonts w:ascii="宋体" w:hAnsi="宋体" w:cs="宋体" w:hint="eastAsia"/>
          <w:b w:val="0"/>
          <w:bCs w:val="0"/>
          <w:kern w:val="0"/>
          <w:szCs w:val="21"/>
        </w:rPr>
        <w:alias w:val="模块:坏账准备的情况"/>
        <w:tag w:val="_SEC_585de72ff9a04d78b96f9dd88a2090f9"/>
        <w:id w:val="1307502880"/>
        <w:lock w:val="sdtLocked"/>
        <w:placeholder>
          <w:docPart w:val="GBC22222222222222222222222222222"/>
        </w:placeholder>
      </w:sdtPr>
      <w:sdtEndPr>
        <w:rPr>
          <w:rFonts w:hint="default"/>
          <w:szCs w:val="24"/>
        </w:rPr>
      </w:sdtEndPr>
      <w:sdtContent>
        <w:p w14:paraId="3ECBD1F0" w14:textId="77777777" w:rsidR="00830E72" w:rsidRDefault="008344D8">
          <w:pPr>
            <w:pStyle w:val="Style100"/>
            <w:numPr>
              <w:ilvl w:val="3"/>
              <w:numId w:val="47"/>
            </w:numPr>
            <w:tabs>
              <w:tab w:val="left" w:pos="574"/>
            </w:tabs>
            <w:rPr>
              <w:rFonts w:ascii="宋体" w:hAnsi="宋体"/>
              <w:szCs w:val="21"/>
            </w:rPr>
          </w:pPr>
          <w:r>
            <w:rPr>
              <w:rFonts w:ascii="宋体" w:hAnsi="宋体" w:hint="eastAsia"/>
              <w:szCs w:val="21"/>
            </w:rPr>
            <w:t>坏账准备的情况</w:t>
          </w:r>
        </w:p>
        <w:sdt>
          <w:sdtPr>
            <w:alias w:val="是否适用：应收账款坏账准备[双击切换]"/>
            <w:tag w:val="_GBC_fb482eb90dbc45c4a6420c45e8a46012"/>
            <w:id w:val="574782462"/>
            <w:lock w:val="sdtContentLocked"/>
            <w:placeholder>
              <w:docPart w:val="GBC22222222222222222222222222222"/>
            </w:placeholder>
          </w:sdtPr>
          <w:sdtEndPr/>
          <w:sdtContent>
            <w:p w14:paraId="2C41C406"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209D9DE" w14:textId="77777777" w:rsidR="00830E72" w:rsidRDefault="008344D8">
          <w:pPr>
            <w:pStyle w:val="Style118"/>
            <w:snapToGrid w:val="0"/>
            <w:spacing w:line="240" w:lineRule="atLeast"/>
            <w:ind w:left="42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应收账款坏账准备"/>
              <w:tag w:val="_GBC_f681542ff42f497c9ed44328f301413f"/>
              <w:id w:val="-3525661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应收账款坏账准备"/>
              <w:tag w:val="_GBC_79f82daaad1749fbb117cea0941b8667"/>
              <w:id w:val="1700762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34"/>
            <w:gridCol w:w="1696"/>
            <w:gridCol w:w="1590"/>
            <w:gridCol w:w="1486"/>
            <w:gridCol w:w="912"/>
            <w:gridCol w:w="745"/>
            <w:gridCol w:w="1696"/>
          </w:tblGrid>
          <w:tr w:rsidR="00830E72" w14:paraId="1E560D62" w14:textId="77777777">
            <w:sdt>
              <w:sdtPr>
                <w:tag w:val="_PLD_82b0419f5c784cbe8b363ff715cfd4eb"/>
                <w:id w:val="57837200"/>
                <w:lock w:val="sdtLocked"/>
              </w:sdtPr>
              <w:sdtEndPr/>
              <w:sdtContent>
                <w:tc>
                  <w:tcPr>
                    <w:tcW w:w="560" w:type="pct"/>
                    <w:vMerge w:val="restart"/>
                    <w:shd w:val="clear" w:color="auto" w:fill="FFFFFF"/>
                    <w:vAlign w:val="center"/>
                  </w:tcPr>
                  <w:p w14:paraId="7EF8029F" w14:textId="77777777" w:rsidR="00830E72" w:rsidRDefault="008344D8">
                    <w:pPr>
                      <w:widowControl w:val="0"/>
                      <w:jc w:val="center"/>
                    </w:pPr>
                    <w:r>
                      <w:t>类别</w:t>
                    </w:r>
                  </w:p>
                </w:tc>
              </w:sdtContent>
            </w:sdt>
            <w:sdt>
              <w:sdtPr>
                <w:tag w:val="_PLD_6cba2c33cb334541980e3e13a6ee357d"/>
                <w:id w:val="-1848168086"/>
                <w:lock w:val="sdtLocked"/>
              </w:sdtPr>
              <w:sdtEndPr/>
              <w:sdtContent>
                <w:tc>
                  <w:tcPr>
                    <w:tcW w:w="964" w:type="pct"/>
                    <w:vMerge w:val="restart"/>
                    <w:shd w:val="clear" w:color="auto" w:fill="FFFFFF"/>
                    <w:vAlign w:val="center"/>
                  </w:tcPr>
                  <w:p w14:paraId="0B897A09" w14:textId="77777777" w:rsidR="00830E72" w:rsidRDefault="008344D8">
                    <w:pPr>
                      <w:widowControl w:val="0"/>
                      <w:jc w:val="center"/>
                    </w:pPr>
                    <w:r>
                      <w:t>期初余额</w:t>
                    </w:r>
                  </w:p>
                </w:tc>
              </w:sdtContent>
            </w:sdt>
            <w:sdt>
              <w:sdtPr>
                <w:tag w:val="_PLD_ec3d2e2cde2a4ba29c966861f9ca39c7"/>
                <w:id w:val="-179514118"/>
                <w:lock w:val="sdtLocked"/>
              </w:sdtPr>
              <w:sdtEndPr/>
              <w:sdtContent>
                <w:tc>
                  <w:tcPr>
                    <w:tcW w:w="2515" w:type="pct"/>
                    <w:gridSpan w:val="4"/>
                    <w:shd w:val="clear" w:color="auto" w:fill="FFFFFF"/>
                    <w:vAlign w:val="center"/>
                  </w:tcPr>
                  <w:p w14:paraId="341B70E1" w14:textId="77777777" w:rsidR="00830E72" w:rsidRDefault="008344D8">
                    <w:pPr>
                      <w:widowControl w:val="0"/>
                      <w:jc w:val="center"/>
                    </w:pPr>
                    <w:r>
                      <w:rPr>
                        <w:rFonts w:hint="eastAsia"/>
                      </w:rPr>
                      <w:t>本期变动</w:t>
                    </w:r>
                    <w:r>
                      <w:t>金额</w:t>
                    </w:r>
                  </w:p>
                </w:tc>
              </w:sdtContent>
            </w:sdt>
            <w:sdt>
              <w:sdtPr>
                <w:tag w:val="_PLD_9c167d6d72f94e22aecc39ba0e735a78"/>
                <w:id w:val="-2099772614"/>
                <w:lock w:val="sdtLocked"/>
              </w:sdtPr>
              <w:sdtEndPr/>
              <w:sdtContent>
                <w:tc>
                  <w:tcPr>
                    <w:tcW w:w="961" w:type="pct"/>
                    <w:vMerge w:val="restart"/>
                    <w:shd w:val="clear" w:color="auto" w:fill="FFFFFF"/>
                    <w:vAlign w:val="center"/>
                  </w:tcPr>
                  <w:p w14:paraId="1BC637C4" w14:textId="77777777" w:rsidR="00830E72" w:rsidRDefault="008344D8">
                    <w:pPr>
                      <w:widowControl w:val="0"/>
                      <w:jc w:val="center"/>
                    </w:pPr>
                    <w:r>
                      <w:t>期末余额</w:t>
                    </w:r>
                  </w:p>
                </w:tc>
              </w:sdtContent>
            </w:sdt>
          </w:tr>
          <w:tr w:rsidR="00830E72" w14:paraId="0FC17789" w14:textId="77777777">
            <w:tc>
              <w:tcPr>
                <w:tcW w:w="560" w:type="pct"/>
                <w:vMerge/>
                <w:shd w:val="clear" w:color="auto" w:fill="FFFFFF"/>
                <w:vAlign w:val="center"/>
              </w:tcPr>
              <w:p w14:paraId="664C1E66" w14:textId="77777777" w:rsidR="00830E72" w:rsidRDefault="00830E72">
                <w:pPr>
                  <w:widowControl w:val="0"/>
                  <w:jc w:val="center"/>
                </w:pPr>
              </w:p>
            </w:tc>
            <w:tc>
              <w:tcPr>
                <w:tcW w:w="964" w:type="pct"/>
                <w:vMerge/>
                <w:shd w:val="clear" w:color="auto" w:fill="FFFFFF"/>
                <w:vAlign w:val="center"/>
              </w:tcPr>
              <w:p w14:paraId="113718EE" w14:textId="77777777" w:rsidR="00830E72" w:rsidRDefault="00830E72">
                <w:pPr>
                  <w:widowControl w:val="0"/>
                  <w:jc w:val="center"/>
                </w:pPr>
              </w:p>
            </w:tc>
            <w:sdt>
              <w:sdtPr>
                <w:tag w:val="_PLD_6cba23a5661e46c88bed469159b39a72"/>
                <w:id w:val="1555514019"/>
                <w:lock w:val="sdtLocked"/>
              </w:sdtPr>
              <w:sdtEndPr/>
              <w:sdtContent>
                <w:tc>
                  <w:tcPr>
                    <w:tcW w:w="935" w:type="pct"/>
                    <w:shd w:val="clear" w:color="auto" w:fill="FFFFFF"/>
                    <w:vAlign w:val="center"/>
                  </w:tcPr>
                  <w:p w14:paraId="09C42F31" w14:textId="77777777" w:rsidR="00830E72" w:rsidRDefault="008344D8">
                    <w:pPr>
                      <w:widowControl w:val="0"/>
                      <w:jc w:val="center"/>
                    </w:pPr>
                    <w:r>
                      <w:t>计提</w:t>
                    </w:r>
                  </w:p>
                </w:tc>
              </w:sdtContent>
            </w:sdt>
            <w:sdt>
              <w:sdtPr>
                <w:tag w:val="_PLD_eaa82901608843c6947a0e537e8e0700"/>
                <w:id w:val="-1811170737"/>
                <w:lock w:val="sdtLocked"/>
              </w:sdtPr>
              <w:sdtEndPr/>
              <w:sdtContent>
                <w:tc>
                  <w:tcPr>
                    <w:tcW w:w="576" w:type="pct"/>
                    <w:shd w:val="clear" w:color="auto" w:fill="FFFFFF"/>
                    <w:vAlign w:val="center"/>
                  </w:tcPr>
                  <w:p w14:paraId="46531E47" w14:textId="77777777" w:rsidR="00830E72" w:rsidRDefault="008344D8">
                    <w:pPr>
                      <w:widowControl w:val="0"/>
                      <w:jc w:val="center"/>
                    </w:pPr>
                    <w:r>
                      <w:rPr>
                        <w:rFonts w:hint="eastAsia"/>
                      </w:rPr>
                      <w:t>收回或转回</w:t>
                    </w:r>
                  </w:p>
                </w:tc>
              </w:sdtContent>
            </w:sdt>
            <w:tc>
              <w:tcPr>
                <w:tcW w:w="548" w:type="pct"/>
                <w:shd w:val="clear" w:color="auto" w:fill="FFFFFF"/>
                <w:vAlign w:val="center"/>
              </w:tcPr>
              <w:sdt>
                <w:sdtPr>
                  <w:rPr>
                    <w:rFonts w:hint="eastAsia"/>
                  </w:rPr>
                  <w:tag w:val="_PLD_4232da6e7f4d498bb5fd03aa253dd7d4"/>
                  <w:id w:val="-313105192"/>
                  <w:lock w:val="sdtLocked"/>
                </w:sdtPr>
                <w:sdtEndPr/>
                <w:sdtContent>
                  <w:p w14:paraId="7DBD5B76" w14:textId="77777777" w:rsidR="00830E72" w:rsidRDefault="008344D8">
                    <w:pPr>
                      <w:widowControl w:val="0"/>
                      <w:jc w:val="center"/>
                    </w:pPr>
                    <w:r>
                      <w:rPr>
                        <w:rFonts w:hint="eastAsia"/>
                      </w:rPr>
                      <w:t>转销或核销</w:t>
                    </w:r>
                  </w:p>
                </w:sdtContent>
              </w:sdt>
            </w:tc>
            <w:tc>
              <w:tcPr>
                <w:tcW w:w="456" w:type="pct"/>
                <w:shd w:val="clear" w:color="auto" w:fill="FFFFFF"/>
                <w:vAlign w:val="center"/>
              </w:tcPr>
              <w:sdt>
                <w:sdtPr>
                  <w:rPr>
                    <w:rFonts w:hint="eastAsia"/>
                  </w:rPr>
                  <w:tag w:val="_PLD_6a40df7ca60f4ded8af3453519948166"/>
                  <w:id w:val="323708509"/>
                  <w:lock w:val="sdtLocked"/>
                </w:sdtPr>
                <w:sdtEndPr/>
                <w:sdtContent>
                  <w:p w14:paraId="646ABD9E" w14:textId="77777777" w:rsidR="00830E72" w:rsidRDefault="008344D8">
                    <w:pPr>
                      <w:widowControl w:val="0"/>
                      <w:jc w:val="center"/>
                    </w:pPr>
                    <w:r>
                      <w:rPr>
                        <w:rFonts w:hint="eastAsia"/>
                      </w:rPr>
                      <w:t>其他变动</w:t>
                    </w:r>
                  </w:p>
                </w:sdtContent>
              </w:sdt>
            </w:tc>
            <w:tc>
              <w:tcPr>
                <w:tcW w:w="961" w:type="pct"/>
                <w:vMerge/>
                <w:shd w:val="clear" w:color="auto" w:fill="FFFFFF"/>
                <w:vAlign w:val="center"/>
              </w:tcPr>
              <w:p w14:paraId="6DF94B0F" w14:textId="77777777" w:rsidR="00830E72" w:rsidRDefault="00830E72">
                <w:pPr>
                  <w:widowControl w:val="0"/>
                  <w:jc w:val="right"/>
                </w:pPr>
              </w:p>
            </w:tc>
          </w:tr>
          <w:sdt>
            <w:sdtPr>
              <w:alias w:val="应收账款坏账准备明细"/>
              <w:tag w:val="_TUP_04277916d7e64096951ac7654a59b39a"/>
              <w:id w:val="-128634340"/>
              <w:placeholder>
                <w:docPart w:val="679A48F2730948F59DD990AD2D30EDB7"/>
              </w:placeholder>
            </w:sdtPr>
            <w:sdtEndPr/>
            <w:sdtContent>
              <w:tr w:rsidR="000A568D" w14:paraId="502E0CA8" w14:textId="77777777">
                <w:tc>
                  <w:tcPr>
                    <w:tcW w:w="560" w:type="pct"/>
                    <w:shd w:val="clear" w:color="auto" w:fill="auto"/>
                    <w:vAlign w:val="center"/>
                  </w:tcPr>
                  <w:p w14:paraId="0C138AA1" w14:textId="77777777" w:rsidR="000A568D" w:rsidRDefault="000A568D" w:rsidP="000A568D">
                    <w:pPr>
                      <w:widowControl w:val="0"/>
                    </w:pPr>
                    <w:r>
                      <w:rPr>
                        <w:rFonts w:hint="eastAsia"/>
                      </w:rPr>
                      <w:t>按组合计提坏账准备</w:t>
                    </w:r>
                  </w:p>
                </w:tc>
                <w:tc>
                  <w:tcPr>
                    <w:tcW w:w="964" w:type="pct"/>
                    <w:shd w:val="clear" w:color="auto" w:fill="auto"/>
                    <w:vAlign w:val="center"/>
                  </w:tcPr>
                  <w:p w14:paraId="64B9FD61" w14:textId="77777777" w:rsidR="000A568D" w:rsidRDefault="000A568D" w:rsidP="000A568D">
                    <w:pPr>
                      <w:widowControl w:val="0"/>
                      <w:jc w:val="right"/>
                    </w:pPr>
                    <w:r>
                      <w:t>169,241,905.73</w:t>
                    </w:r>
                  </w:p>
                </w:tc>
                <w:tc>
                  <w:tcPr>
                    <w:tcW w:w="935" w:type="pct"/>
                    <w:shd w:val="clear" w:color="auto" w:fill="auto"/>
                    <w:vAlign w:val="center"/>
                  </w:tcPr>
                  <w:p w14:paraId="4E3A6999" w14:textId="4F9848F1" w:rsidR="000A568D" w:rsidRDefault="000A568D" w:rsidP="000A568D">
                    <w:pPr>
                      <w:widowControl w:val="0"/>
                      <w:jc w:val="right"/>
                    </w:pPr>
                  </w:p>
                </w:tc>
                <w:tc>
                  <w:tcPr>
                    <w:tcW w:w="576" w:type="pct"/>
                    <w:shd w:val="clear" w:color="auto" w:fill="auto"/>
                    <w:vAlign w:val="center"/>
                  </w:tcPr>
                  <w:p w14:paraId="31F1F9FC" w14:textId="14A30AD4" w:rsidR="000A568D" w:rsidRDefault="000A568D" w:rsidP="000A568D">
                    <w:pPr>
                      <w:widowControl w:val="0"/>
                      <w:jc w:val="right"/>
                    </w:pPr>
                    <w:r>
                      <w:t>3,681,696.39</w:t>
                    </w:r>
                  </w:p>
                </w:tc>
                <w:tc>
                  <w:tcPr>
                    <w:tcW w:w="548" w:type="pct"/>
                    <w:vAlign w:val="center"/>
                  </w:tcPr>
                  <w:p w14:paraId="2B100580" w14:textId="77777777" w:rsidR="000A568D" w:rsidRDefault="000A568D" w:rsidP="000A568D">
                    <w:pPr>
                      <w:widowControl w:val="0"/>
                      <w:jc w:val="right"/>
                    </w:pPr>
                  </w:p>
                </w:tc>
                <w:tc>
                  <w:tcPr>
                    <w:tcW w:w="456" w:type="pct"/>
                    <w:vAlign w:val="center"/>
                  </w:tcPr>
                  <w:p w14:paraId="20AFC7E2" w14:textId="77777777" w:rsidR="000A568D" w:rsidRDefault="000A568D" w:rsidP="000A568D">
                    <w:pPr>
                      <w:widowControl w:val="0"/>
                      <w:jc w:val="right"/>
                    </w:pPr>
                  </w:p>
                </w:tc>
                <w:tc>
                  <w:tcPr>
                    <w:tcW w:w="961" w:type="pct"/>
                    <w:shd w:val="clear" w:color="auto" w:fill="auto"/>
                    <w:vAlign w:val="center"/>
                  </w:tcPr>
                  <w:p w14:paraId="1293EE6A" w14:textId="77777777" w:rsidR="000A568D" w:rsidRDefault="000A568D" w:rsidP="000A568D">
                    <w:pPr>
                      <w:widowControl w:val="0"/>
                      <w:jc w:val="right"/>
                    </w:pPr>
                    <w:r>
                      <w:t>165,560,209.34</w:t>
                    </w:r>
                  </w:p>
                </w:tc>
              </w:tr>
            </w:sdtContent>
          </w:sdt>
          <w:tr w:rsidR="000A568D" w14:paraId="2D436BFB" w14:textId="77777777">
            <w:sdt>
              <w:sdtPr>
                <w:tag w:val="_PLD_8c958a5c94c1486e8139bef49c636c6d"/>
                <w:id w:val="379679585"/>
                <w:lock w:val="sdtLocked"/>
              </w:sdtPr>
              <w:sdtEndPr/>
              <w:sdtContent>
                <w:tc>
                  <w:tcPr>
                    <w:tcW w:w="560" w:type="pct"/>
                    <w:shd w:val="clear" w:color="auto" w:fill="auto"/>
                    <w:vAlign w:val="center"/>
                  </w:tcPr>
                  <w:p w14:paraId="11A8730F" w14:textId="77777777" w:rsidR="000A568D" w:rsidRDefault="000A568D" w:rsidP="000A568D">
                    <w:pPr>
                      <w:widowControl w:val="0"/>
                      <w:jc w:val="center"/>
                    </w:pPr>
                    <w:r>
                      <w:rPr>
                        <w:rFonts w:hint="eastAsia"/>
                      </w:rPr>
                      <w:t>合计</w:t>
                    </w:r>
                  </w:p>
                </w:tc>
              </w:sdtContent>
            </w:sdt>
            <w:tc>
              <w:tcPr>
                <w:tcW w:w="964" w:type="pct"/>
                <w:shd w:val="clear" w:color="auto" w:fill="auto"/>
                <w:vAlign w:val="center"/>
              </w:tcPr>
              <w:p w14:paraId="0652BAC1" w14:textId="77777777" w:rsidR="000A568D" w:rsidRDefault="000A568D" w:rsidP="000A568D">
                <w:pPr>
                  <w:widowControl w:val="0"/>
                  <w:jc w:val="right"/>
                </w:pPr>
                <w:r>
                  <w:rPr>
                    <w:szCs w:val="21"/>
                  </w:rPr>
                  <w:t>169,241,905.73</w:t>
                </w:r>
              </w:p>
            </w:tc>
            <w:tc>
              <w:tcPr>
                <w:tcW w:w="935" w:type="pct"/>
                <w:shd w:val="clear" w:color="auto" w:fill="auto"/>
                <w:vAlign w:val="center"/>
              </w:tcPr>
              <w:p w14:paraId="2ED32959" w14:textId="20331D72" w:rsidR="000A568D" w:rsidRDefault="000A568D" w:rsidP="000A568D">
                <w:pPr>
                  <w:widowControl w:val="0"/>
                  <w:jc w:val="right"/>
                </w:pPr>
              </w:p>
            </w:tc>
            <w:tc>
              <w:tcPr>
                <w:tcW w:w="576" w:type="pct"/>
                <w:shd w:val="clear" w:color="auto" w:fill="auto"/>
                <w:vAlign w:val="center"/>
              </w:tcPr>
              <w:p w14:paraId="75E60DC0" w14:textId="4DE3297A" w:rsidR="000A568D" w:rsidRDefault="000A568D" w:rsidP="000A568D">
                <w:pPr>
                  <w:widowControl w:val="0"/>
                  <w:jc w:val="right"/>
                </w:pPr>
                <w:r>
                  <w:t>3,681,696.39</w:t>
                </w:r>
              </w:p>
            </w:tc>
            <w:tc>
              <w:tcPr>
                <w:tcW w:w="548" w:type="pct"/>
                <w:vAlign w:val="center"/>
              </w:tcPr>
              <w:p w14:paraId="15AA7776" w14:textId="77777777" w:rsidR="000A568D" w:rsidRDefault="000A568D" w:rsidP="000A568D">
                <w:pPr>
                  <w:widowControl w:val="0"/>
                  <w:jc w:val="right"/>
                </w:pPr>
              </w:p>
            </w:tc>
            <w:tc>
              <w:tcPr>
                <w:tcW w:w="456" w:type="pct"/>
                <w:vAlign w:val="center"/>
              </w:tcPr>
              <w:p w14:paraId="47B5B552" w14:textId="77777777" w:rsidR="000A568D" w:rsidRDefault="000A568D" w:rsidP="000A568D">
                <w:pPr>
                  <w:widowControl w:val="0"/>
                  <w:jc w:val="right"/>
                </w:pPr>
              </w:p>
            </w:tc>
            <w:tc>
              <w:tcPr>
                <w:tcW w:w="961" w:type="pct"/>
                <w:shd w:val="clear" w:color="auto" w:fill="auto"/>
                <w:vAlign w:val="center"/>
              </w:tcPr>
              <w:p w14:paraId="20F9E142" w14:textId="77777777" w:rsidR="000A568D" w:rsidRDefault="000A568D" w:rsidP="000A568D">
                <w:pPr>
                  <w:widowControl w:val="0"/>
                  <w:jc w:val="right"/>
                </w:pPr>
                <w:r>
                  <w:t>165,560,209.34</w:t>
                </w:r>
              </w:p>
            </w:tc>
          </w:tr>
        </w:tbl>
        <w:p w14:paraId="0E924F35" w14:textId="77777777" w:rsidR="00830E72" w:rsidRDefault="008344D8">
          <w:r>
            <w:rPr>
              <w:rFonts w:hint="eastAsia"/>
            </w:rPr>
            <w:t>其中本期坏账准备收回或转回金额重要的：</w:t>
          </w:r>
        </w:p>
        <w:sdt>
          <w:sdtPr>
            <w:alias w:val="是否适用：其中本期坏账准备收回或转回金额重要的[双击切换]"/>
            <w:tag w:val="_GBC_362288b01950422da8198293b517eeb5"/>
            <w:id w:val="1351219945"/>
            <w:lock w:val="sdtContentLocked"/>
            <w:placeholder>
              <w:docPart w:val="GBC22222222222222222222222222222"/>
            </w:placeholder>
          </w:sdtPr>
          <w:sdtEndPr/>
          <w:sdtContent>
            <w:p w14:paraId="1DF5619F"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04" w:displacedByCustomXml="next"/>
    <w:sdt>
      <w:sdtPr>
        <w:rPr>
          <w:rFonts w:ascii="宋体" w:hAnsi="宋体" w:cs="宋体" w:hint="eastAsia"/>
          <w:b w:val="0"/>
          <w:bCs w:val="0"/>
          <w:kern w:val="0"/>
          <w:szCs w:val="24"/>
        </w:rPr>
        <w:alias w:val="模块:本报告期实际核销的应收账款情况"/>
        <w:tag w:val="_GBC_af8ceb97930d4d7391d4823a068c824b"/>
        <w:id w:val="-1394347323"/>
        <w:lock w:val="sdtLocked"/>
        <w:placeholder>
          <w:docPart w:val="GBC22222222222222222222222222222"/>
        </w:placeholder>
      </w:sdtPr>
      <w:sdtEndPr>
        <w:rPr>
          <w:rFonts w:hint="default"/>
        </w:rPr>
      </w:sdtEndPr>
      <w:sdtContent>
        <w:p w14:paraId="69AEE188" w14:textId="77777777" w:rsidR="00830E72" w:rsidRDefault="008344D8">
          <w:pPr>
            <w:pStyle w:val="Style100"/>
            <w:numPr>
              <w:ilvl w:val="3"/>
              <w:numId w:val="47"/>
            </w:numPr>
            <w:tabs>
              <w:tab w:val="left" w:pos="574"/>
            </w:tabs>
            <w:rPr>
              <w:rFonts w:ascii="宋体" w:hAnsi="宋体"/>
            </w:rPr>
          </w:pPr>
          <w:r>
            <w:rPr>
              <w:rFonts w:ascii="宋体" w:hAnsi="宋体"/>
            </w:rPr>
            <w:t>本期实际核销的应收</w:t>
          </w:r>
          <w:r>
            <w:rPr>
              <w:rFonts w:ascii="宋体" w:hAnsi="宋体" w:hint="eastAsia"/>
            </w:rPr>
            <w:t>账款</w:t>
          </w:r>
          <w:r>
            <w:rPr>
              <w:rFonts w:ascii="宋体" w:hAnsi="宋体"/>
            </w:rPr>
            <w:t>情况</w:t>
          </w:r>
        </w:p>
        <w:sdt>
          <w:sdtPr>
            <w:alias w:val="是否适用：本期实际核销的应收账款情况[双击切换]"/>
            <w:tag w:val="_GBC_240341a3455747bb87ecabf420d94ec5"/>
            <w:id w:val="-671019182"/>
            <w:lock w:val="sdtContentLocked"/>
            <w:placeholder>
              <w:docPart w:val="GBC22222222222222222222222222222"/>
            </w:placeholder>
          </w:sdtPr>
          <w:sdtEndPr/>
          <w:sdtContent>
            <w:p w14:paraId="750F1743"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按欠款方归集的期末余额前五名的应收账款情况："/>
        <w:tag w:val="_GBC_e8adf46f2d204834ad681ac980eff4f7"/>
        <w:id w:val="-347640773"/>
        <w:lock w:val="sdtLocked"/>
        <w:placeholder>
          <w:docPart w:val="GBC22222222222222222222222222222"/>
        </w:placeholder>
      </w:sdtPr>
      <w:sdtEndPr/>
      <w:sdtContent>
        <w:p w14:paraId="5EFC6504" w14:textId="77777777" w:rsidR="00830E72" w:rsidRDefault="008344D8">
          <w:pPr>
            <w:pStyle w:val="Style100"/>
            <w:numPr>
              <w:ilvl w:val="3"/>
              <w:numId w:val="47"/>
            </w:numPr>
            <w:tabs>
              <w:tab w:val="left" w:pos="574"/>
            </w:tabs>
            <w:rPr>
              <w:rFonts w:ascii="宋体" w:hAnsi="宋体"/>
            </w:rPr>
          </w:pPr>
          <w:r>
            <w:rPr>
              <w:rFonts w:ascii="宋体" w:hAnsi="宋体" w:hint="eastAsia"/>
            </w:rPr>
            <w:t>按欠款方归集的期末余额前五名的应收账款情况</w:t>
          </w:r>
        </w:p>
        <w:sdt>
          <w:sdtPr>
            <w:rPr>
              <w:rFonts w:hint="eastAsia"/>
              <w:szCs w:val="21"/>
            </w:rPr>
            <w:alias w:val="是否适用：按欠款方归集的期末余额前五名的应收账款情况[双击切换]"/>
            <w:tag w:val="_GBC_26f285dee1444697be56ea61bc5c0578"/>
            <w:id w:val="-1796590678"/>
            <w:lock w:val="sdtContentLocked"/>
            <w:placeholder>
              <w:docPart w:val="GBC22222222222222222222222222222"/>
            </w:placeholder>
          </w:sdtPr>
          <w:sdtEndPr/>
          <w:sdtContent>
            <w:p w14:paraId="13BC3814" w14:textId="77777777" w:rsidR="00830E72" w:rsidRDefault="008344D8">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064b41eb9e58440dace7a84b96b840f2"/>
            <w:id w:val="-470829405"/>
            <w:lock w:val="sdtLocked"/>
            <w:placeholder>
              <w:docPart w:val="GBC22222222222222222222222222222"/>
            </w:placeholder>
          </w:sdtPr>
          <w:sdtEndPr/>
          <w:sdtContent>
            <w:p w14:paraId="36C000C7" w14:textId="6EBA5A4D" w:rsidR="00830E72" w:rsidRDefault="002F3349">
              <w:pPr>
                <w:snapToGrid w:val="0"/>
                <w:spacing w:line="240" w:lineRule="atLeast"/>
                <w:rPr>
                  <w:szCs w:val="21"/>
                </w:rPr>
              </w:pPr>
              <w:r>
                <w:rPr>
                  <w:rFonts w:hint="eastAsia"/>
                  <w:szCs w:val="21"/>
                </w:rPr>
                <w:t>单位：元</w:t>
              </w:r>
            </w:p>
            <w:tbl>
              <w:tblPr>
                <w:tblStyle w:val="g2"/>
                <w:tblW w:w="0" w:type="auto"/>
                <w:tblLook w:val="04A0" w:firstRow="1" w:lastRow="0" w:firstColumn="1" w:lastColumn="0" w:noHBand="0" w:noVBand="1"/>
              </w:tblPr>
              <w:tblGrid>
                <w:gridCol w:w="3369"/>
                <w:gridCol w:w="1842"/>
                <w:gridCol w:w="1985"/>
                <w:gridCol w:w="1853"/>
              </w:tblGrid>
              <w:tr w:rsidR="00830E72" w14:paraId="030CAC80" w14:textId="77777777" w:rsidTr="0011042C">
                <w:tc>
                  <w:tcPr>
                    <w:tcW w:w="3369" w:type="dxa"/>
                  </w:tcPr>
                  <w:p w14:paraId="7EEA9DE4" w14:textId="77777777" w:rsidR="00830E72" w:rsidRDefault="008344D8">
                    <w:pPr>
                      <w:snapToGrid w:val="0"/>
                      <w:spacing w:line="240" w:lineRule="atLeast"/>
                      <w:jc w:val="center"/>
                      <w:rPr>
                        <w:szCs w:val="21"/>
                      </w:rPr>
                    </w:pPr>
                    <w:r>
                      <w:rPr>
                        <w:rFonts w:hint="eastAsia"/>
                        <w:szCs w:val="21"/>
                      </w:rPr>
                      <w:t>单位名称</w:t>
                    </w:r>
                  </w:p>
                </w:tc>
                <w:tc>
                  <w:tcPr>
                    <w:tcW w:w="1842" w:type="dxa"/>
                  </w:tcPr>
                  <w:p w14:paraId="09B83E99" w14:textId="77777777" w:rsidR="00830E72" w:rsidRDefault="008344D8">
                    <w:pPr>
                      <w:snapToGrid w:val="0"/>
                      <w:spacing w:line="240" w:lineRule="atLeast"/>
                      <w:jc w:val="center"/>
                      <w:rPr>
                        <w:szCs w:val="21"/>
                      </w:rPr>
                    </w:pPr>
                    <w:r>
                      <w:rPr>
                        <w:rFonts w:hint="eastAsia"/>
                        <w:szCs w:val="21"/>
                      </w:rPr>
                      <w:t>余额</w:t>
                    </w:r>
                  </w:p>
                </w:tc>
                <w:tc>
                  <w:tcPr>
                    <w:tcW w:w="1985" w:type="dxa"/>
                  </w:tcPr>
                  <w:p w14:paraId="7C463657" w14:textId="77777777" w:rsidR="00830E72" w:rsidRDefault="008344D8">
                    <w:pPr>
                      <w:snapToGrid w:val="0"/>
                      <w:spacing w:line="240" w:lineRule="atLeast"/>
                      <w:jc w:val="center"/>
                      <w:rPr>
                        <w:szCs w:val="21"/>
                      </w:rPr>
                    </w:pPr>
                    <w:r>
                      <w:rPr>
                        <w:rFonts w:hint="eastAsia"/>
                        <w:szCs w:val="21"/>
                      </w:rPr>
                      <w:t>占应收账款余额的比例（%）</w:t>
                    </w:r>
                  </w:p>
                </w:tc>
                <w:tc>
                  <w:tcPr>
                    <w:tcW w:w="1853" w:type="dxa"/>
                  </w:tcPr>
                  <w:p w14:paraId="2C9FA1BD" w14:textId="77777777" w:rsidR="00830E72" w:rsidRDefault="008344D8">
                    <w:pPr>
                      <w:snapToGrid w:val="0"/>
                      <w:spacing w:line="240" w:lineRule="atLeast"/>
                      <w:jc w:val="center"/>
                      <w:rPr>
                        <w:szCs w:val="21"/>
                      </w:rPr>
                    </w:pPr>
                    <w:r>
                      <w:rPr>
                        <w:rFonts w:hint="eastAsia"/>
                        <w:szCs w:val="21"/>
                      </w:rPr>
                      <w:t>坏账准备余额</w:t>
                    </w:r>
                  </w:p>
                </w:tc>
              </w:tr>
              <w:tr w:rsidR="00830E72" w14:paraId="3FFA5133" w14:textId="77777777" w:rsidTr="0011042C">
                <w:tc>
                  <w:tcPr>
                    <w:tcW w:w="3369" w:type="dxa"/>
                  </w:tcPr>
                  <w:p w14:paraId="18426000" w14:textId="77777777" w:rsidR="00830E72" w:rsidRDefault="008344D8">
                    <w:pPr>
                      <w:snapToGrid w:val="0"/>
                      <w:spacing w:line="240" w:lineRule="atLeast"/>
                      <w:jc w:val="left"/>
                      <w:rPr>
                        <w:szCs w:val="21"/>
                      </w:rPr>
                    </w:pPr>
                    <w:r>
                      <w:rPr>
                        <w:rFonts w:hint="eastAsia"/>
                        <w:szCs w:val="21"/>
                      </w:rPr>
                      <w:t>合肥经济技术开发区重点工程建设管理中心</w:t>
                    </w:r>
                  </w:p>
                </w:tc>
                <w:tc>
                  <w:tcPr>
                    <w:tcW w:w="1842" w:type="dxa"/>
                    <w:vAlign w:val="center"/>
                  </w:tcPr>
                  <w:p w14:paraId="4569AE01" w14:textId="77777777" w:rsidR="00830E72" w:rsidRDefault="008344D8">
                    <w:pPr>
                      <w:snapToGrid w:val="0"/>
                      <w:spacing w:line="240" w:lineRule="atLeast"/>
                      <w:jc w:val="center"/>
                      <w:rPr>
                        <w:szCs w:val="21"/>
                      </w:rPr>
                    </w:pPr>
                    <w:r>
                      <w:rPr>
                        <w:szCs w:val="21"/>
                      </w:rPr>
                      <w:t>258,827,387.91</w:t>
                    </w:r>
                  </w:p>
                </w:tc>
                <w:tc>
                  <w:tcPr>
                    <w:tcW w:w="1985" w:type="dxa"/>
                    <w:vAlign w:val="center"/>
                  </w:tcPr>
                  <w:p w14:paraId="02452A38" w14:textId="77777777" w:rsidR="00830E72" w:rsidRDefault="008344D8">
                    <w:pPr>
                      <w:snapToGrid w:val="0"/>
                      <w:spacing w:line="240" w:lineRule="atLeast"/>
                      <w:jc w:val="center"/>
                      <w:rPr>
                        <w:szCs w:val="21"/>
                      </w:rPr>
                    </w:pPr>
                    <w:r>
                      <w:rPr>
                        <w:szCs w:val="21"/>
                      </w:rPr>
                      <w:t>11.58</w:t>
                    </w:r>
                  </w:p>
                </w:tc>
                <w:tc>
                  <w:tcPr>
                    <w:tcW w:w="1853" w:type="dxa"/>
                    <w:vAlign w:val="center"/>
                  </w:tcPr>
                  <w:p w14:paraId="32714F41" w14:textId="77777777" w:rsidR="00830E72" w:rsidRDefault="008344D8">
                    <w:pPr>
                      <w:snapToGrid w:val="0"/>
                      <w:spacing w:line="240" w:lineRule="atLeast"/>
                      <w:jc w:val="center"/>
                      <w:rPr>
                        <w:szCs w:val="21"/>
                      </w:rPr>
                    </w:pPr>
                    <w:r>
                      <w:rPr>
                        <w:szCs w:val="21"/>
                      </w:rPr>
                      <w:t>8,441,214.49</w:t>
                    </w:r>
                  </w:p>
                </w:tc>
              </w:tr>
              <w:tr w:rsidR="00830E72" w14:paraId="5E2B6A36" w14:textId="77777777" w:rsidTr="0011042C">
                <w:tc>
                  <w:tcPr>
                    <w:tcW w:w="3369" w:type="dxa"/>
                  </w:tcPr>
                  <w:p w14:paraId="0109E12E" w14:textId="77777777" w:rsidR="00830E72" w:rsidRDefault="008344D8">
                    <w:pPr>
                      <w:snapToGrid w:val="0"/>
                      <w:spacing w:line="240" w:lineRule="atLeast"/>
                      <w:jc w:val="left"/>
                      <w:rPr>
                        <w:szCs w:val="21"/>
                      </w:rPr>
                    </w:pPr>
                    <w:r>
                      <w:rPr>
                        <w:rFonts w:hint="eastAsia"/>
                        <w:szCs w:val="21"/>
                      </w:rPr>
                      <w:lastRenderedPageBreak/>
                      <w:t>合肥市重点工程建设管理局</w:t>
                    </w:r>
                  </w:p>
                </w:tc>
                <w:tc>
                  <w:tcPr>
                    <w:tcW w:w="1842" w:type="dxa"/>
                    <w:vAlign w:val="center"/>
                  </w:tcPr>
                  <w:p w14:paraId="73105868" w14:textId="77777777" w:rsidR="00830E72" w:rsidRDefault="008344D8">
                    <w:pPr>
                      <w:snapToGrid w:val="0"/>
                      <w:spacing w:line="240" w:lineRule="atLeast"/>
                      <w:jc w:val="center"/>
                      <w:rPr>
                        <w:szCs w:val="21"/>
                      </w:rPr>
                    </w:pPr>
                    <w:r>
                      <w:rPr>
                        <w:szCs w:val="21"/>
                      </w:rPr>
                      <w:t>234,780,158.09</w:t>
                    </w:r>
                  </w:p>
                </w:tc>
                <w:tc>
                  <w:tcPr>
                    <w:tcW w:w="1985" w:type="dxa"/>
                    <w:vAlign w:val="center"/>
                  </w:tcPr>
                  <w:p w14:paraId="551C7E8C" w14:textId="77777777" w:rsidR="00830E72" w:rsidRDefault="008344D8">
                    <w:pPr>
                      <w:snapToGrid w:val="0"/>
                      <w:spacing w:line="240" w:lineRule="atLeast"/>
                      <w:jc w:val="center"/>
                      <w:rPr>
                        <w:szCs w:val="21"/>
                      </w:rPr>
                    </w:pPr>
                    <w:r>
                      <w:rPr>
                        <w:szCs w:val="21"/>
                      </w:rPr>
                      <w:t>10.50</w:t>
                    </w:r>
                  </w:p>
                </w:tc>
                <w:tc>
                  <w:tcPr>
                    <w:tcW w:w="1853" w:type="dxa"/>
                    <w:vAlign w:val="center"/>
                  </w:tcPr>
                  <w:p w14:paraId="412FB479" w14:textId="77777777" w:rsidR="00830E72" w:rsidRDefault="008344D8">
                    <w:pPr>
                      <w:snapToGrid w:val="0"/>
                      <w:spacing w:line="240" w:lineRule="atLeast"/>
                      <w:jc w:val="center"/>
                      <w:rPr>
                        <w:szCs w:val="21"/>
                      </w:rPr>
                    </w:pPr>
                    <w:r>
                      <w:rPr>
                        <w:szCs w:val="21"/>
                      </w:rPr>
                      <w:t>14,589,495.57</w:t>
                    </w:r>
                  </w:p>
                </w:tc>
              </w:tr>
              <w:tr w:rsidR="00830E72" w14:paraId="1E0BC8DD" w14:textId="77777777" w:rsidTr="0011042C">
                <w:tc>
                  <w:tcPr>
                    <w:tcW w:w="3369" w:type="dxa"/>
                  </w:tcPr>
                  <w:p w14:paraId="429674CE" w14:textId="77777777" w:rsidR="00830E72" w:rsidRDefault="008344D8">
                    <w:pPr>
                      <w:snapToGrid w:val="0"/>
                      <w:spacing w:line="240" w:lineRule="atLeast"/>
                      <w:jc w:val="left"/>
                      <w:rPr>
                        <w:szCs w:val="21"/>
                      </w:rPr>
                    </w:pPr>
                    <w:r>
                      <w:rPr>
                        <w:rFonts w:hint="eastAsia"/>
                        <w:szCs w:val="21"/>
                      </w:rPr>
                      <w:t>阜阳市颍州区城市建设投资有限责任公司</w:t>
                    </w:r>
                  </w:p>
                </w:tc>
                <w:tc>
                  <w:tcPr>
                    <w:tcW w:w="1842" w:type="dxa"/>
                    <w:vAlign w:val="center"/>
                  </w:tcPr>
                  <w:p w14:paraId="210BDEDA" w14:textId="77777777" w:rsidR="00830E72" w:rsidRDefault="008344D8">
                    <w:pPr>
                      <w:snapToGrid w:val="0"/>
                      <w:spacing w:line="240" w:lineRule="atLeast"/>
                      <w:jc w:val="center"/>
                      <w:rPr>
                        <w:szCs w:val="21"/>
                      </w:rPr>
                    </w:pPr>
                    <w:r>
                      <w:rPr>
                        <w:szCs w:val="21"/>
                      </w:rPr>
                      <w:t>163,655,761.83</w:t>
                    </w:r>
                  </w:p>
                </w:tc>
                <w:tc>
                  <w:tcPr>
                    <w:tcW w:w="1985" w:type="dxa"/>
                    <w:vAlign w:val="center"/>
                  </w:tcPr>
                  <w:p w14:paraId="5F7106C4" w14:textId="77777777" w:rsidR="00830E72" w:rsidRDefault="008344D8">
                    <w:pPr>
                      <w:snapToGrid w:val="0"/>
                      <w:spacing w:line="240" w:lineRule="atLeast"/>
                      <w:jc w:val="center"/>
                      <w:rPr>
                        <w:szCs w:val="21"/>
                      </w:rPr>
                    </w:pPr>
                    <w:r>
                      <w:rPr>
                        <w:szCs w:val="21"/>
                      </w:rPr>
                      <w:t>7.32</w:t>
                    </w:r>
                  </w:p>
                </w:tc>
                <w:tc>
                  <w:tcPr>
                    <w:tcW w:w="1853" w:type="dxa"/>
                    <w:vAlign w:val="center"/>
                  </w:tcPr>
                  <w:p w14:paraId="0E1D888A" w14:textId="77777777" w:rsidR="00830E72" w:rsidRDefault="008344D8">
                    <w:pPr>
                      <w:snapToGrid w:val="0"/>
                      <w:spacing w:line="240" w:lineRule="atLeast"/>
                      <w:jc w:val="center"/>
                      <w:rPr>
                        <w:szCs w:val="21"/>
                      </w:rPr>
                    </w:pPr>
                    <w:r>
                      <w:rPr>
                        <w:szCs w:val="21"/>
                      </w:rPr>
                      <w:t>32,702,929.48</w:t>
                    </w:r>
                  </w:p>
                </w:tc>
              </w:tr>
              <w:tr w:rsidR="00830E72" w14:paraId="265D8D70" w14:textId="77777777" w:rsidTr="0011042C">
                <w:tc>
                  <w:tcPr>
                    <w:tcW w:w="3369" w:type="dxa"/>
                  </w:tcPr>
                  <w:p w14:paraId="452578A3" w14:textId="77777777" w:rsidR="00830E72" w:rsidRDefault="008344D8">
                    <w:pPr>
                      <w:snapToGrid w:val="0"/>
                      <w:spacing w:line="240" w:lineRule="atLeast"/>
                      <w:jc w:val="left"/>
                      <w:rPr>
                        <w:szCs w:val="21"/>
                      </w:rPr>
                    </w:pPr>
                    <w:r>
                      <w:rPr>
                        <w:rFonts w:hint="eastAsia"/>
                        <w:szCs w:val="21"/>
                      </w:rPr>
                      <w:t>海口海中城建项目管理公司</w:t>
                    </w:r>
                  </w:p>
                </w:tc>
                <w:tc>
                  <w:tcPr>
                    <w:tcW w:w="1842" w:type="dxa"/>
                    <w:vAlign w:val="center"/>
                  </w:tcPr>
                  <w:p w14:paraId="4991E174" w14:textId="77777777" w:rsidR="00830E72" w:rsidRDefault="008344D8">
                    <w:pPr>
                      <w:snapToGrid w:val="0"/>
                      <w:spacing w:line="240" w:lineRule="atLeast"/>
                      <w:jc w:val="center"/>
                      <w:rPr>
                        <w:szCs w:val="21"/>
                      </w:rPr>
                    </w:pPr>
                    <w:r>
                      <w:rPr>
                        <w:szCs w:val="21"/>
                      </w:rPr>
                      <w:t>118,621,387.53</w:t>
                    </w:r>
                  </w:p>
                </w:tc>
                <w:tc>
                  <w:tcPr>
                    <w:tcW w:w="1985" w:type="dxa"/>
                    <w:vAlign w:val="center"/>
                  </w:tcPr>
                  <w:p w14:paraId="7C82E99E" w14:textId="77777777" w:rsidR="00830E72" w:rsidRDefault="008344D8">
                    <w:pPr>
                      <w:snapToGrid w:val="0"/>
                      <w:spacing w:line="240" w:lineRule="atLeast"/>
                      <w:jc w:val="center"/>
                      <w:rPr>
                        <w:szCs w:val="21"/>
                      </w:rPr>
                    </w:pPr>
                    <w:r>
                      <w:rPr>
                        <w:szCs w:val="21"/>
                      </w:rPr>
                      <w:t>5.31</w:t>
                    </w:r>
                  </w:p>
                </w:tc>
                <w:tc>
                  <w:tcPr>
                    <w:tcW w:w="1853" w:type="dxa"/>
                    <w:vAlign w:val="center"/>
                  </w:tcPr>
                  <w:p w14:paraId="4549415E" w14:textId="77777777" w:rsidR="00830E72" w:rsidRDefault="008344D8">
                    <w:pPr>
                      <w:snapToGrid w:val="0"/>
                      <w:spacing w:line="240" w:lineRule="atLeast"/>
                      <w:jc w:val="center"/>
                      <w:rPr>
                        <w:szCs w:val="21"/>
                      </w:rPr>
                    </w:pPr>
                    <w:r>
                      <w:rPr>
                        <w:szCs w:val="21"/>
                      </w:rPr>
                      <w:t>10,056,067.45</w:t>
                    </w:r>
                  </w:p>
                </w:tc>
              </w:tr>
              <w:tr w:rsidR="00830E72" w14:paraId="4723428E" w14:textId="77777777" w:rsidTr="0011042C">
                <w:tc>
                  <w:tcPr>
                    <w:tcW w:w="3369" w:type="dxa"/>
                  </w:tcPr>
                  <w:p w14:paraId="6E07D6CE" w14:textId="77777777" w:rsidR="00830E72" w:rsidRDefault="008344D8">
                    <w:pPr>
                      <w:snapToGrid w:val="0"/>
                      <w:spacing w:line="240" w:lineRule="atLeast"/>
                      <w:jc w:val="left"/>
                      <w:rPr>
                        <w:szCs w:val="21"/>
                      </w:rPr>
                    </w:pPr>
                    <w:r>
                      <w:rPr>
                        <w:rFonts w:hint="eastAsia"/>
                        <w:szCs w:val="21"/>
                      </w:rPr>
                      <w:t>海南桂林洋热带农业公园有限公司</w:t>
                    </w:r>
                  </w:p>
                </w:tc>
                <w:tc>
                  <w:tcPr>
                    <w:tcW w:w="1842" w:type="dxa"/>
                    <w:vAlign w:val="center"/>
                  </w:tcPr>
                  <w:p w14:paraId="3DC883DD" w14:textId="77777777" w:rsidR="00830E72" w:rsidRDefault="008344D8">
                    <w:pPr>
                      <w:snapToGrid w:val="0"/>
                      <w:spacing w:line="240" w:lineRule="atLeast"/>
                      <w:jc w:val="center"/>
                      <w:rPr>
                        <w:szCs w:val="21"/>
                      </w:rPr>
                    </w:pPr>
                    <w:r>
                      <w:rPr>
                        <w:szCs w:val="21"/>
                      </w:rPr>
                      <w:t>93,511,529.55</w:t>
                    </w:r>
                  </w:p>
                </w:tc>
                <w:tc>
                  <w:tcPr>
                    <w:tcW w:w="1985" w:type="dxa"/>
                    <w:vAlign w:val="center"/>
                  </w:tcPr>
                  <w:p w14:paraId="507785D5" w14:textId="77777777" w:rsidR="00830E72" w:rsidRDefault="008344D8">
                    <w:pPr>
                      <w:snapToGrid w:val="0"/>
                      <w:spacing w:line="240" w:lineRule="atLeast"/>
                      <w:jc w:val="center"/>
                      <w:rPr>
                        <w:szCs w:val="21"/>
                      </w:rPr>
                    </w:pPr>
                    <w:r>
                      <w:rPr>
                        <w:szCs w:val="21"/>
                      </w:rPr>
                      <w:t>4.18</w:t>
                    </w:r>
                  </w:p>
                </w:tc>
                <w:tc>
                  <w:tcPr>
                    <w:tcW w:w="1853" w:type="dxa"/>
                    <w:vAlign w:val="center"/>
                  </w:tcPr>
                  <w:p w14:paraId="14562056" w14:textId="77777777" w:rsidR="00830E72" w:rsidRDefault="008344D8">
                    <w:pPr>
                      <w:snapToGrid w:val="0"/>
                      <w:spacing w:line="240" w:lineRule="atLeast"/>
                      <w:jc w:val="center"/>
                      <w:rPr>
                        <w:szCs w:val="21"/>
                      </w:rPr>
                    </w:pPr>
                    <w:r>
                      <w:rPr>
                        <w:szCs w:val="21"/>
                      </w:rPr>
                      <w:t>14,848,264.69</w:t>
                    </w:r>
                  </w:p>
                </w:tc>
              </w:tr>
              <w:tr w:rsidR="00830E72" w14:paraId="2D5208A4" w14:textId="77777777" w:rsidTr="0011042C">
                <w:tc>
                  <w:tcPr>
                    <w:tcW w:w="3369" w:type="dxa"/>
                  </w:tcPr>
                  <w:p w14:paraId="2EBD2E15" w14:textId="77777777" w:rsidR="00830E72" w:rsidRDefault="008344D8">
                    <w:pPr>
                      <w:snapToGrid w:val="0"/>
                      <w:spacing w:line="240" w:lineRule="atLeast"/>
                      <w:jc w:val="center"/>
                      <w:rPr>
                        <w:szCs w:val="21"/>
                      </w:rPr>
                    </w:pPr>
                    <w:r>
                      <w:rPr>
                        <w:rFonts w:hint="eastAsia"/>
                        <w:szCs w:val="21"/>
                      </w:rPr>
                      <w:t>合计</w:t>
                    </w:r>
                  </w:p>
                </w:tc>
                <w:tc>
                  <w:tcPr>
                    <w:tcW w:w="1842" w:type="dxa"/>
                    <w:vAlign w:val="center"/>
                  </w:tcPr>
                  <w:p w14:paraId="2A9DB612" w14:textId="77777777" w:rsidR="00830E72" w:rsidRDefault="008344D8">
                    <w:pPr>
                      <w:snapToGrid w:val="0"/>
                      <w:spacing w:line="240" w:lineRule="atLeast"/>
                      <w:jc w:val="center"/>
                      <w:rPr>
                        <w:szCs w:val="21"/>
                      </w:rPr>
                    </w:pPr>
                    <w:r>
                      <w:rPr>
                        <w:szCs w:val="21"/>
                      </w:rPr>
                      <w:t>869,396,224.91</w:t>
                    </w:r>
                  </w:p>
                </w:tc>
                <w:tc>
                  <w:tcPr>
                    <w:tcW w:w="1985" w:type="dxa"/>
                    <w:vAlign w:val="center"/>
                  </w:tcPr>
                  <w:p w14:paraId="7F5E8D3A" w14:textId="77777777" w:rsidR="00830E72" w:rsidRDefault="008344D8">
                    <w:pPr>
                      <w:snapToGrid w:val="0"/>
                      <w:spacing w:line="240" w:lineRule="atLeast"/>
                      <w:jc w:val="center"/>
                      <w:rPr>
                        <w:szCs w:val="21"/>
                      </w:rPr>
                    </w:pPr>
                    <w:r>
                      <w:rPr>
                        <w:rFonts w:hint="eastAsia"/>
                        <w:szCs w:val="21"/>
                      </w:rPr>
                      <w:t>38.89</w:t>
                    </w:r>
                  </w:p>
                </w:tc>
                <w:tc>
                  <w:tcPr>
                    <w:tcW w:w="1853" w:type="dxa"/>
                    <w:vAlign w:val="center"/>
                  </w:tcPr>
                  <w:p w14:paraId="695CEF37" w14:textId="5F9E8F57" w:rsidR="00830E72" w:rsidRDefault="008344D8">
                    <w:pPr>
                      <w:snapToGrid w:val="0"/>
                      <w:spacing w:line="240" w:lineRule="atLeast"/>
                      <w:jc w:val="center"/>
                      <w:rPr>
                        <w:szCs w:val="21"/>
                      </w:rPr>
                    </w:pPr>
                    <w:r>
                      <w:rPr>
                        <w:szCs w:val="21"/>
                      </w:rPr>
                      <w:t>80,637,971.6</w:t>
                    </w:r>
                    <w:r w:rsidR="009F1EAA">
                      <w:rPr>
                        <w:szCs w:val="21"/>
                      </w:rPr>
                      <w:t>8</w:t>
                    </w:r>
                  </w:p>
                </w:tc>
              </w:tr>
            </w:tbl>
            <w:p w14:paraId="3F22587D" w14:textId="77777777" w:rsidR="00830E72" w:rsidRDefault="00D44830">
              <w:pPr>
                <w:snapToGrid w:val="0"/>
                <w:spacing w:line="240" w:lineRule="atLeast"/>
                <w:rPr>
                  <w:szCs w:val="21"/>
                </w:rPr>
              </w:pPr>
            </w:p>
          </w:sdtContent>
        </w:sdt>
      </w:sdtContent>
    </w:sdt>
    <w:sdt>
      <w:sdtPr>
        <w:rPr>
          <w:rFonts w:ascii="宋体" w:hAnsi="宋体" w:cs="宋体" w:hint="eastAsia"/>
          <w:b w:val="0"/>
          <w:bCs w:val="0"/>
          <w:kern w:val="0"/>
          <w:szCs w:val="24"/>
        </w:rPr>
        <w:alias w:val="模块:因金融资产转移而终止确认的应收账款"/>
        <w:tag w:val="_GBC_79d1ccfd87f84b4ab10a992730026aa0"/>
        <w:id w:val="899947584"/>
        <w:lock w:val="sdtLocked"/>
        <w:placeholder>
          <w:docPart w:val="GBC22222222222222222222222222222"/>
        </w:placeholder>
      </w:sdtPr>
      <w:sdtEndPr/>
      <w:sdtContent>
        <w:p w14:paraId="23A9963E" w14:textId="77777777" w:rsidR="00830E72" w:rsidRDefault="008344D8">
          <w:pPr>
            <w:pStyle w:val="Style100"/>
            <w:numPr>
              <w:ilvl w:val="3"/>
              <w:numId w:val="47"/>
            </w:numPr>
            <w:tabs>
              <w:tab w:val="left" w:pos="574"/>
            </w:tabs>
            <w:rPr>
              <w:rFonts w:ascii="宋体" w:hAnsi="宋体"/>
              <w:kern w:val="0"/>
            </w:rPr>
          </w:pPr>
          <w:r>
            <w:rPr>
              <w:rFonts w:ascii="宋体" w:hAnsi="宋体" w:hint="eastAsia"/>
              <w:kern w:val="0"/>
            </w:rPr>
            <w:t>因</w:t>
          </w:r>
          <w:r>
            <w:rPr>
              <w:rFonts w:ascii="宋体" w:hAnsi="宋体" w:hint="eastAsia"/>
            </w:rPr>
            <w:t>金融资产</w:t>
          </w:r>
          <w:r>
            <w:rPr>
              <w:rFonts w:ascii="宋体" w:hAnsi="宋体" w:hint="eastAsia"/>
              <w:kern w:val="0"/>
            </w:rPr>
            <w:t>转移而终止确认的应收账款</w:t>
          </w:r>
        </w:p>
        <w:sdt>
          <w:sdtPr>
            <w:rPr>
              <w:rFonts w:hint="eastAsia"/>
              <w:szCs w:val="21"/>
            </w:rPr>
            <w:alias w:val="是否适用：因金融资产转移而终止确认的应收账款[双击切换]"/>
            <w:tag w:val="_GBC_49c226ad97e8410fb7b074c9336b510a"/>
            <w:id w:val="-1498261502"/>
            <w:lock w:val="sdtContentLocked"/>
            <w:placeholder>
              <w:docPart w:val="GBC22222222222222222222222222222"/>
            </w:placeholder>
          </w:sdtPr>
          <w:sdtEndPr/>
          <w:sdtContent>
            <w:p w14:paraId="3BF59267" w14:textId="77777777" w:rsidR="00830E72" w:rsidRDefault="008344D8">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转移应收账款且继续涉入的，分项列示继续涉入形成的资产、负债的金额"/>
        <w:tag w:val="_GBC_d3d5d3b413a24c269f804c6a3e3f1c06"/>
        <w:id w:val="1421299683"/>
        <w:lock w:val="sdtLocked"/>
        <w:placeholder>
          <w:docPart w:val="GBC22222222222222222222222222222"/>
        </w:placeholder>
      </w:sdtPr>
      <w:sdtEndPr/>
      <w:sdtContent>
        <w:p w14:paraId="56FE5701" w14:textId="77777777" w:rsidR="00830E72" w:rsidRDefault="008344D8">
          <w:pPr>
            <w:pStyle w:val="Style100"/>
            <w:numPr>
              <w:ilvl w:val="3"/>
              <w:numId w:val="47"/>
            </w:numPr>
            <w:tabs>
              <w:tab w:val="left" w:pos="574"/>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p>
        <w:sdt>
          <w:sdtPr>
            <w:rPr>
              <w:rFonts w:hint="eastAsia"/>
            </w:rPr>
            <w:alias w:val="是否适用：转移应收账款且继续涉入形成的资产、负债金额[双击切换]"/>
            <w:tag w:val="_GBC_8916c4a80e024e80ab488fe678c14970"/>
            <w:id w:val="1338971702"/>
            <w:lock w:val="sdtContentLocked"/>
            <w:placeholder>
              <w:docPart w:val="GBC22222222222222222222222222222"/>
            </w:placeholder>
          </w:sdtPr>
          <w:sdtEndPr/>
          <w:sdtContent>
            <w:p w14:paraId="765C962E" w14:textId="77777777" w:rsidR="00830E72" w:rsidRDefault="008344D8">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应收账款其他说明"/>
        <w:tag w:val="_GBC_2f38c172c62a46cfa73776efdf952fad"/>
        <w:id w:val="-838009267"/>
        <w:lock w:val="sdtLocked"/>
        <w:placeholder>
          <w:docPart w:val="GBC22222222222222222222222222222"/>
        </w:placeholder>
      </w:sdtPr>
      <w:sdtEndPr>
        <w:rPr>
          <w:rFonts w:hint="default"/>
          <w:b w:val="0"/>
          <w:bCs w:val="0"/>
        </w:rPr>
      </w:sdtEndPr>
      <w:sdtContent>
        <w:p w14:paraId="58FA543A" w14:textId="77777777" w:rsidR="00830E72" w:rsidRDefault="008344D8">
          <w:pPr>
            <w:snapToGrid w:val="0"/>
            <w:spacing w:line="240" w:lineRule="atLeast"/>
          </w:pPr>
          <w:r>
            <w:rPr>
              <w:rFonts w:hint="eastAsia"/>
            </w:rPr>
            <w:t>其他</w:t>
          </w:r>
          <w:r>
            <w:t>说明：</w:t>
          </w:r>
        </w:p>
        <w:sdt>
          <w:sdtPr>
            <w:rPr>
              <w:rFonts w:hint="eastAsia"/>
            </w:rPr>
            <w:alias w:val="是否适用：应收账款其他说明[双击切换]"/>
            <w:tag w:val="_GBC_c06434ba43c5400a80d620a65b730fd9"/>
            <w:id w:val="1697961083"/>
            <w:lock w:val="sdtContentLocked"/>
            <w:placeholder>
              <w:docPart w:val="GBC22222222222222222222222222222"/>
            </w:placeholder>
          </w:sdtPr>
          <w:sdtEndPr/>
          <w:sdtContent>
            <w:p w14:paraId="167E161B" w14:textId="77777777" w:rsidR="00830E72" w:rsidRDefault="008344D8">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应收款项融资"/>
        <w:tag w:val="_SEC_99a20d0771254b5596c992bd0fe179a3"/>
        <w:id w:val="-1476293166"/>
        <w:lock w:val="sdtLocked"/>
        <w:placeholder>
          <w:docPart w:val="GBC22222222222222222222222222222"/>
        </w:placeholder>
      </w:sdtPr>
      <w:sdtEndPr/>
      <w:sdtContent>
        <w:p w14:paraId="7E22C5E6" w14:textId="77777777" w:rsidR="00830E72" w:rsidRDefault="008344D8">
          <w:pPr>
            <w:pStyle w:val="Style99"/>
            <w:numPr>
              <w:ilvl w:val="0"/>
              <w:numId w:val="45"/>
            </w:numPr>
            <w:rPr>
              <w:rFonts w:ascii="宋体" w:hAnsi="宋体"/>
              <w:szCs w:val="21"/>
            </w:rPr>
          </w:pPr>
          <w:r>
            <w:rPr>
              <w:rFonts w:ascii="宋体" w:hAnsi="宋体" w:hint="eastAsia"/>
              <w:szCs w:val="21"/>
            </w:rPr>
            <w:t>应收款项融资</w:t>
          </w:r>
        </w:p>
        <w:sdt>
          <w:sdtPr>
            <w:rPr>
              <w:szCs w:val="21"/>
            </w:rPr>
            <w:alias w:val="是否适用：应收款项融资[双击切换]"/>
            <w:tag w:val="_GBC_b66c8e5d6d6f4ccf9bd0ebfd1f5495e4"/>
            <w:id w:val="772133670"/>
            <w:lock w:val="sdtContentLocked"/>
            <w:placeholder>
              <w:docPart w:val="GBC22222222222222222222222222222"/>
            </w:placeholder>
          </w:sdtPr>
          <w:sdtEndPr/>
          <w:sdtContent>
            <w:p w14:paraId="170EFC52" w14:textId="77777777" w:rsidR="00830E72" w:rsidRDefault="008344D8">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4F2A1B1" w14:textId="77777777" w:rsidR="00830E72" w:rsidRDefault="008344D8">
      <w:pPr>
        <w:pStyle w:val="Style99"/>
        <w:numPr>
          <w:ilvl w:val="0"/>
          <w:numId w:val="45"/>
        </w:numPr>
        <w:rPr>
          <w:rFonts w:ascii="宋体" w:hAnsi="宋体"/>
        </w:rPr>
      </w:pPr>
      <w:r>
        <w:rPr>
          <w:rFonts w:ascii="宋体" w:hAnsi="宋体" w:hint="eastAsia"/>
        </w:rPr>
        <w:t>预付款项</w:t>
      </w:r>
    </w:p>
    <w:sdt>
      <w:sdtPr>
        <w:rPr>
          <w:rFonts w:ascii="宋体" w:hAnsi="宋体" w:cs="宋体" w:hint="eastAsia"/>
          <w:b w:val="0"/>
          <w:bCs w:val="0"/>
          <w:kern w:val="0"/>
          <w:szCs w:val="22"/>
        </w:rPr>
        <w:alias w:val="模块:预付款项按账龄列示"/>
        <w:tag w:val="_GBC_4c02994d3bd04bacba6592630552e576"/>
        <w:id w:val="-1805919962"/>
        <w:lock w:val="sdtLocked"/>
        <w:placeholder>
          <w:docPart w:val="GBC22222222222222222222222222222"/>
        </w:placeholder>
      </w:sdtPr>
      <w:sdtEndPr>
        <w:rPr>
          <w:rFonts w:hint="default"/>
          <w:szCs w:val="24"/>
        </w:rPr>
      </w:sdtEndPr>
      <w:sdtContent>
        <w:p w14:paraId="5B31DD37" w14:textId="77777777" w:rsidR="00830E72" w:rsidRDefault="008344D8">
          <w:pPr>
            <w:pStyle w:val="Style100"/>
            <w:numPr>
              <w:ilvl w:val="0"/>
              <w:numId w:val="48"/>
            </w:numPr>
            <w:tabs>
              <w:tab w:val="left" w:pos="616"/>
            </w:tabs>
            <w:rPr>
              <w:rFonts w:ascii="宋体" w:hAnsi="宋体"/>
            </w:rPr>
          </w:pPr>
          <w:r>
            <w:rPr>
              <w:rFonts w:ascii="宋体" w:hAnsi="宋体" w:hint="eastAsia"/>
            </w:rPr>
            <w:t>预付款项按账龄列示</w:t>
          </w:r>
        </w:p>
        <w:sdt>
          <w:sdtPr>
            <w:alias w:val="是否适用：预付款项按账龄列示[双击切换]"/>
            <w:tag w:val="_GBC_af3b3e24767e48f7a70a5cfa609407a2"/>
            <w:id w:val="120281440"/>
            <w:lock w:val="sdtContentLocked"/>
            <w:placeholder>
              <w:docPart w:val="GBC22222222222222222222222222222"/>
            </w:placeholder>
          </w:sdtPr>
          <w:sdtEndPr/>
          <w:sdtContent>
            <w:p w14:paraId="23005F9F"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0612C07" w14:textId="77777777" w:rsidR="00830E72" w:rsidRDefault="008344D8">
          <w:pPr>
            <w:jc w:val="right"/>
            <w:rPr>
              <w:b/>
              <w:szCs w:val="21"/>
            </w:rPr>
          </w:pPr>
          <w:r>
            <w:rPr>
              <w:rFonts w:hint="eastAsia"/>
              <w:szCs w:val="21"/>
            </w:rPr>
            <w:t>单位：</w:t>
          </w:r>
          <w:sdt>
            <w:sdtPr>
              <w:rPr>
                <w:rFonts w:hint="eastAsia"/>
                <w:szCs w:val="21"/>
              </w:rPr>
              <w:alias w:val="单位：财务附注：预付账款账龄"/>
              <w:tag w:val="_GBC_9eb28bbf7d374cdf965c7e133b610fb3"/>
              <w:id w:val="3749761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d491347f74764df5af3312ad7a0a92e5"/>
              <w:id w:val="-20563069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360"/>
            <w:gridCol w:w="1892"/>
            <w:gridCol w:w="1877"/>
            <w:gridCol w:w="1875"/>
            <w:gridCol w:w="1891"/>
          </w:tblGrid>
          <w:tr w:rsidR="00830E72" w14:paraId="2627A0EB" w14:textId="77777777">
            <w:trPr>
              <w:cantSplit/>
              <w:trHeight w:val="237"/>
            </w:trPr>
            <w:sdt>
              <w:sdtPr>
                <w:tag w:val="_PLD_159a64f22a4a4b1ab31846b4d6034c4c"/>
                <w:id w:val="1198118342"/>
                <w:lock w:val="sdtLocked"/>
              </w:sdtPr>
              <w:sdtEndPr/>
              <w:sdtContent>
                <w:tc>
                  <w:tcPr>
                    <w:tcW w:w="764" w:type="pct"/>
                    <w:vMerge w:val="restart"/>
                    <w:vAlign w:val="center"/>
                  </w:tcPr>
                  <w:p w14:paraId="0AE2FD82" w14:textId="77777777" w:rsidR="00830E72" w:rsidRDefault="008344D8">
                    <w:pPr>
                      <w:jc w:val="center"/>
                      <w:rPr>
                        <w:szCs w:val="21"/>
                      </w:rPr>
                    </w:pPr>
                    <w:r>
                      <w:rPr>
                        <w:rFonts w:hint="eastAsia"/>
                        <w:szCs w:val="21"/>
                      </w:rPr>
                      <w:t>账龄</w:t>
                    </w:r>
                  </w:p>
                </w:tc>
              </w:sdtContent>
            </w:sdt>
            <w:sdt>
              <w:sdtPr>
                <w:tag w:val="_PLD_6ca82cba92a649d08c6ceb86dd951ef3"/>
                <w:id w:val="-289748315"/>
                <w:lock w:val="sdtLocked"/>
              </w:sdtPr>
              <w:sdtEndPr/>
              <w:sdtContent>
                <w:tc>
                  <w:tcPr>
                    <w:tcW w:w="2118" w:type="pct"/>
                    <w:gridSpan w:val="2"/>
                    <w:vAlign w:val="center"/>
                  </w:tcPr>
                  <w:p w14:paraId="41242C75" w14:textId="77777777" w:rsidR="00830E72" w:rsidRDefault="008344D8">
                    <w:pPr>
                      <w:jc w:val="center"/>
                      <w:rPr>
                        <w:szCs w:val="21"/>
                      </w:rPr>
                    </w:pPr>
                    <w:r>
                      <w:rPr>
                        <w:rFonts w:hint="eastAsia"/>
                        <w:szCs w:val="21"/>
                      </w:rPr>
                      <w:t>期末余额</w:t>
                    </w:r>
                  </w:p>
                </w:tc>
              </w:sdtContent>
            </w:sdt>
            <w:sdt>
              <w:sdtPr>
                <w:tag w:val="_PLD_365dab2f8fd246d79543ed0d2e6dcab7"/>
                <w:id w:val="1438946808"/>
                <w:lock w:val="sdtLocked"/>
              </w:sdtPr>
              <w:sdtEndPr/>
              <w:sdtContent>
                <w:tc>
                  <w:tcPr>
                    <w:tcW w:w="2117" w:type="pct"/>
                    <w:gridSpan w:val="2"/>
                    <w:vAlign w:val="center"/>
                  </w:tcPr>
                  <w:p w14:paraId="23CA623E" w14:textId="77777777" w:rsidR="00830E72" w:rsidRDefault="008344D8">
                    <w:pPr>
                      <w:jc w:val="center"/>
                      <w:rPr>
                        <w:szCs w:val="21"/>
                      </w:rPr>
                    </w:pPr>
                    <w:r>
                      <w:rPr>
                        <w:rFonts w:hint="eastAsia"/>
                        <w:szCs w:val="21"/>
                      </w:rPr>
                      <w:t>期初余额</w:t>
                    </w:r>
                  </w:p>
                </w:tc>
              </w:sdtContent>
            </w:sdt>
          </w:tr>
          <w:tr w:rsidR="00830E72" w14:paraId="3FD632A0" w14:textId="77777777">
            <w:trPr>
              <w:cantSplit/>
            </w:trPr>
            <w:tc>
              <w:tcPr>
                <w:tcW w:w="764" w:type="pct"/>
                <w:vMerge/>
              </w:tcPr>
              <w:p w14:paraId="59551A48" w14:textId="77777777" w:rsidR="00830E72" w:rsidRDefault="00830E72">
                <w:pPr>
                  <w:rPr>
                    <w:szCs w:val="21"/>
                  </w:rPr>
                </w:pPr>
              </w:p>
            </w:tc>
            <w:sdt>
              <w:sdtPr>
                <w:tag w:val="_PLD_a9d7b721cfa446e9ae31149380da5970"/>
                <w:id w:val="-907529388"/>
                <w:lock w:val="sdtLocked"/>
              </w:sdtPr>
              <w:sdtEndPr/>
              <w:sdtContent>
                <w:tc>
                  <w:tcPr>
                    <w:tcW w:w="1063" w:type="pct"/>
                    <w:vAlign w:val="center"/>
                  </w:tcPr>
                  <w:p w14:paraId="30DE1DDD" w14:textId="77777777" w:rsidR="00830E72" w:rsidRDefault="008344D8">
                    <w:pPr>
                      <w:jc w:val="center"/>
                      <w:rPr>
                        <w:szCs w:val="21"/>
                      </w:rPr>
                    </w:pPr>
                    <w:r>
                      <w:rPr>
                        <w:rFonts w:hint="eastAsia"/>
                        <w:szCs w:val="21"/>
                      </w:rPr>
                      <w:t>金额</w:t>
                    </w:r>
                  </w:p>
                </w:tc>
              </w:sdtContent>
            </w:sdt>
            <w:sdt>
              <w:sdtPr>
                <w:tag w:val="_PLD_2d8b8f523dcd4c95815b7c8fd528129d"/>
                <w:id w:val="-2136244880"/>
                <w:lock w:val="sdtLocked"/>
              </w:sdtPr>
              <w:sdtEndPr/>
              <w:sdtContent>
                <w:tc>
                  <w:tcPr>
                    <w:tcW w:w="1055" w:type="pct"/>
                    <w:vAlign w:val="center"/>
                  </w:tcPr>
                  <w:p w14:paraId="542C7BBA" w14:textId="77777777" w:rsidR="00830E72" w:rsidRDefault="008344D8">
                    <w:pPr>
                      <w:jc w:val="center"/>
                      <w:rPr>
                        <w:szCs w:val="21"/>
                      </w:rPr>
                    </w:pPr>
                    <w:r>
                      <w:rPr>
                        <w:rFonts w:hint="eastAsia"/>
                        <w:szCs w:val="21"/>
                      </w:rPr>
                      <w:t>比例</w:t>
                    </w:r>
                    <w:r>
                      <w:rPr>
                        <w:szCs w:val="21"/>
                      </w:rPr>
                      <w:t>(%)</w:t>
                    </w:r>
                  </w:p>
                </w:tc>
              </w:sdtContent>
            </w:sdt>
            <w:sdt>
              <w:sdtPr>
                <w:tag w:val="_PLD_f01816a56b3f4ec1a7d603d3ac318eb1"/>
                <w:id w:val="-1855559996"/>
                <w:lock w:val="sdtLocked"/>
              </w:sdtPr>
              <w:sdtEndPr/>
              <w:sdtContent>
                <w:tc>
                  <w:tcPr>
                    <w:tcW w:w="1054" w:type="pct"/>
                    <w:vAlign w:val="center"/>
                  </w:tcPr>
                  <w:p w14:paraId="4993839C" w14:textId="77777777" w:rsidR="00830E72" w:rsidRDefault="008344D8">
                    <w:pPr>
                      <w:jc w:val="center"/>
                      <w:rPr>
                        <w:szCs w:val="21"/>
                      </w:rPr>
                    </w:pPr>
                    <w:r>
                      <w:rPr>
                        <w:rFonts w:hint="eastAsia"/>
                        <w:szCs w:val="21"/>
                      </w:rPr>
                      <w:t>金额</w:t>
                    </w:r>
                  </w:p>
                </w:tc>
              </w:sdtContent>
            </w:sdt>
            <w:sdt>
              <w:sdtPr>
                <w:tag w:val="_PLD_55adcab5f9be4d24b3d0faaf5403e89a"/>
                <w:id w:val="262111697"/>
                <w:lock w:val="sdtLocked"/>
              </w:sdtPr>
              <w:sdtEndPr/>
              <w:sdtContent>
                <w:tc>
                  <w:tcPr>
                    <w:tcW w:w="1063" w:type="pct"/>
                    <w:vAlign w:val="center"/>
                  </w:tcPr>
                  <w:p w14:paraId="3B2CC6DF" w14:textId="77777777" w:rsidR="00830E72" w:rsidRDefault="008344D8">
                    <w:pPr>
                      <w:jc w:val="center"/>
                      <w:rPr>
                        <w:szCs w:val="21"/>
                      </w:rPr>
                    </w:pPr>
                    <w:r>
                      <w:rPr>
                        <w:rFonts w:hint="eastAsia"/>
                        <w:szCs w:val="21"/>
                      </w:rPr>
                      <w:t>比例</w:t>
                    </w:r>
                    <w:r>
                      <w:rPr>
                        <w:szCs w:val="21"/>
                      </w:rPr>
                      <w:t>(%)</w:t>
                    </w:r>
                  </w:p>
                </w:tc>
              </w:sdtContent>
            </w:sdt>
          </w:tr>
          <w:tr w:rsidR="00830E72" w14:paraId="253A3C43" w14:textId="77777777">
            <w:trPr>
              <w:cantSplit/>
            </w:trPr>
            <w:sdt>
              <w:sdtPr>
                <w:tag w:val="_PLD_26543d5743964e32ae30d0d46bd6131c"/>
                <w:id w:val="1949736838"/>
                <w:lock w:val="sdtLocked"/>
              </w:sdtPr>
              <w:sdtEndPr/>
              <w:sdtContent>
                <w:tc>
                  <w:tcPr>
                    <w:tcW w:w="764" w:type="pct"/>
                  </w:tcPr>
                  <w:p w14:paraId="17610742" w14:textId="77777777" w:rsidR="00830E72" w:rsidRDefault="008344D8">
                    <w:pPr>
                      <w:rPr>
                        <w:szCs w:val="21"/>
                      </w:rPr>
                    </w:pPr>
                    <w:r>
                      <w:rPr>
                        <w:rFonts w:hint="eastAsia"/>
                        <w:szCs w:val="21"/>
                      </w:rPr>
                      <w:t>1年以内</w:t>
                    </w:r>
                  </w:p>
                </w:tc>
              </w:sdtContent>
            </w:sdt>
            <w:tc>
              <w:tcPr>
                <w:tcW w:w="1063" w:type="pct"/>
              </w:tcPr>
              <w:p w14:paraId="00602E5F" w14:textId="77777777" w:rsidR="00830E72" w:rsidRDefault="008344D8">
                <w:pPr>
                  <w:jc w:val="right"/>
                  <w:rPr>
                    <w:szCs w:val="21"/>
                  </w:rPr>
                </w:pPr>
                <w:r>
                  <w:rPr>
                    <w:szCs w:val="21"/>
                  </w:rPr>
                  <w:t>9,193,583.05</w:t>
                </w:r>
              </w:p>
            </w:tc>
            <w:tc>
              <w:tcPr>
                <w:tcW w:w="1055" w:type="pct"/>
              </w:tcPr>
              <w:p w14:paraId="04DF9941" w14:textId="77777777" w:rsidR="00830E72" w:rsidRDefault="008344D8">
                <w:pPr>
                  <w:jc w:val="right"/>
                  <w:rPr>
                    <w:szCs w:val="21"/>
                  </w:rPr>
                </w:pPr>
                <w:r>
                  <w:rPr>
                    <w:szCs w:val="21"/>
                  </w:rPr>
                  <w:t>95.47</w:t>
                </w:r>
              </w:p>
            </w:tc>
            <w:tc>
              <w:tcPr>
                <w:tcW w:w="1054" w:type="pct"/>
              </w:tcPr>
              <w:p w14:paraId="11070292" w14:textId="77777777" w:rsidR="00830E72" w:rsidRDefault="008344D8">
                <w:pPr>
                  <w:jc w:val="right"/>
                  <w:rPr>
                    <w:szCs w:val="21"/>
                  </w:rPr>
                </w:pPr>
                <w:r>
                  <w:rPr>
                    <w:szCs w:val="21"/>
                  </w:rPr>
                  <w:t>10,062,032.62</w:t>
                </w:r>
              </w:p>
            </w:tc>
            <w:tc>
              <w:tcPr>
                <w:tcW w:w="1063" w:type="pct"/>
              </w:tcPr>
              <w:p w14:paraId="54FA667A" w14:textId="77777777" w:rsidR="00830E72" w:rsidRDefault="008344D8">
                <w:pPr>
                  <w:jc w:val="right"/>
                  <w:rPr>
                    <w:szCs w:val="21"/>
                  </w:rPr>
                </w:pPr>
                <w:r>
                  <w:rPr>
                    <w:szCs w:val="21"/>
                  </w:rPr>
                  <w:t>96.16</w:t>
                </w:r>
              </w:p>
            </w:tc>
          </w:tr>
          <w:tr w:rsidR="00830E72" w14:paraId="10BA66A7" w14:textId="77777777">
            <w:trPr>
              <w:cantSplit/>
            </w:trPr>
            <w:sdt>
              <w:sdtPr>
                <w:tag w:val="_PLD_fa162d7579db4acd997484df51e51de6"/>
                <w:id w:val="-1705549119"/>
                <w:lock w:val="sdtLocked"/>
              </w:sdtPr>
              <w:sdtEndPr/>
              <w:sdtContent>
                <w:tc>
                  <w:tcPr>
                    <w:tcW w:w="764" w:type="pct"/>
                  </w:tcPr>
                  <w:p w14:paraId="4626A1B8" w14:textId="77777777" w:rsidR="00830E72" w:rsidRDefault="008344D8">
                    <w:pPr>
                      <w:rPr>
                        <w:szCs w:val="21"/>
                      </w:rPr>
                    </w:pPr>
                    <w:r>
                      <w:rPr>
                        <w:rFonts w:hint="eastAsia"/>
                        <w:szCs w:val="21"/>
                      </w:rPr>
                      <w:t>1至2年</w:t>
                    </w:r>
                  </w:p>
                </w:tc>
              </w:sdtContent>
            </w:sdt>
            <w:tc>
              <w:tcPr>
                <w:tcW w:w="1063" w:type="pct"/>
              </w:tcPr>
              <w:p w14:paraId="5316DF58" w14:textId="77777777" w:rsidR="00830E72" w:rsidRDefault="008344D8">
                <w:pPr>
                  <w:jc w:val="right"/>
                  <w:rPr>
                    <w:szCs w:val="21"/>
                  </w:rPr>
                </w:pPr>
                <w:r>
                  <w:rPr>
                    <w:szCs w:val="21"/>
                  </w:rPr>
                  <w:t>436,242.28</w:t>
                </w:r>
              </w:p>
            </w:tc>
            <w:tc>
              <w:tcPr>
                <w:tcW w:w="1055" w:type="pct"/>
              </w:tcPr>
              <w:p w14:paraId="2F830218" w14:textId="77777777" w:rsidR="00830E72" w:rsidRDefault="008344D8">
                <w:pPr>
                  <w:jc w:val="right"/>
                  <w:rPr>
                    <w:szCs w:val="21"/>
                  </w:rPr>
                </w:pPr>
                <w:r>
                  <w:rPr>
                    <w:szCs w:val="21"/>
                  </w:rPr>
                  <w:t>4.53</w:t>
                </w:r>
              </w:p>
            </w:tc>
            <w:tc>
              <w:tcPr>
                <w:tcW w:w="1054" w:type="pct"/>
              </w:tcPr>
              <w:p w14:paraId="4FF4255D" w14:textId="77777777" w:rsidR="00830E72" w:rsidRDefault="008344D8">
                <w:pPr>
                  <w:jc w:val="right"/>
                  <w:rPr>
                    <w:szCs w:val="21"/>
                  </w:rPr>
                </w:pPr>
                <w:r>
                  <w:rPr>
                    <w:szCs w:val="21"/>
                  </w:rPr>
                  <w:t>401,806.84</w:t>
                </w:r>
              </w:p>
            </w:tc>
            <w:tc>
              <w:tcPr>
                <w:tcW w:w="1063" w:type="pct"/>
              </w:tcPr>
              <w:p w14:paraId="644A4809" w14:textId="77777777" w:rsidR="00830E72" w:rsidRDefault="008344D8">
                <w:pPr>
                  <w:jc w:val="right"/>
                  <w:rPr>
                    <w:szCs w:val="21"/>
                  </w:rPr>
                </w:pPr>
                <w:r>
                  <w:rPr>
                    <w:szCs w:val="21"/>
                  </w:rPr>
                  <w:t>3.84</w:t>
                </w:r>
              </w:p>
            </w:tc>
          </w:tr>
          <w:tr w:rsidR="00830E72" w14:paraId="681445C4" w14:textId="77777777">
            <w:trPr>
              <w:cantSplit/>
            </w:trPr>
            <w:sdt>
              <w:sdtPr>
                <w:tag w:val="_PLD_43897a3965694d6691fcba6be58bfd88"/>
                <w:id w:val="-1616287383"/>
                <w:lock w:val="sdtLocked"/>
              </w:sdtPr>
              <w:sdtEndPr/>
              <w:sdtContent>
                <w:tc>
                  <w:tcPr>
                    <w:tcW w:w="764" w:type="pct"/>
                  </w:tcPr>
                  <w:p w14:paraId="5A00BEED" w14:textId="77777777" w:rsidR="00830E72" w:rsidRDefault="008344D8">
                    <w:pPr>
                      <w:rPr>
                        <w:szCs w:val="21"/>
                      </w:rPr>
                    </w:pPr>
                    <w:r>
                      <w:rPr>
                        <w:rFonts w:hint="eastAsia"/>
                        <w:szCs w:val="21"/>
                      </w:rPr>
                      <w:t>2至3年</w:t>
                    </w:r>
                  </w:p>
                </w:tc>
              </w:sdtContent>
            </w:sdt>
            <w:tc>
              <w:tcPr>
                <w:tcW w:w="1063" w:type="pct"/>
              </w:tcPr>
              <w:p w14:paraId="69A97505" w14:textId="77777777" w:rsidR="00830E72" w:rsidRDefault="00830E72">
                <w:pPr>
                  <w:jc w:val="right"/>
                  <w:rPr>
                    <w:szCs w:val="21"/>
                  </w:rPr>
                </w:pPr>
              </w:p>
            </w:tc>
            <w:tc>
              <w:tcPr>
                <w:tcW w:w="1055" w:type="pct"/>
              </w:tcPr>
              <w:p w14:paraId="24FB2260" w14:textId="77777777" w:rsidR="00830E72" w:rsidRDefault="00830E72">
                <w:pPr>
                  <w:jc w:val="right"/>
                  <w:rPr>
                    <w:szCs w:val="21"/>
                  </w:rPr>
                </w:pPr>
              </w:p>
            </w:tc>
            <w:tc>
              <w:tcPr>
                <w:tcW w:w="1054" w:type="pct"/>
              </w:tcPr>
              <w:p w14:paraId="51628362" w14:textId="77777777" w:rsidR="00830E72" w:rsidRDefault="00830E72">
                <w:pPr>
                  <w:jc w:val="right"/>
                  <w:rPr>
                    <w:szCs w:val="21"/>
                  </w:rPr>
                </w:pPr>
              </w:p>
            </w:tc>
            <w:tc>
              <w:tcPr>
                <w:tcW w:w="1063" w:type="pct"/>
              </w:tcPr>
              <w:p w14:paraId="4B571D85" w14:textId="77777777" w:rsidR="00830E72" w:rsidRDefault="00830E72">
                <w:pPr>
                  <w:jc w:val="right"/>
                  <w:rPr>
                    <w:szCs w:val="21"/>
                  </w:rPr>
                </w:pPr>
              </w:p>
            </w:tc>
          </w:tr>
          <w:tr w:rsidR="00830E72" w14:paraId="5081ADE0" w14:textId="77777777">
            <w:trPr>
              <w:cantSplit/>
            </w:trPr>
            <w:sdt>
              <w:sdtPr>
                <w:tag w:val="_PLD_bb596048f7e846139c705c6214cec5e4"/>
                <w:id w:val="-1700387258"/>
                <w:lock w:val="sdtLocked"/>
              </w:sdtPr>
              <w:sdtEndPr/>
              <w:sdtContent>
                <w:tc>
                  <w:tcPr>
                    <w:tcW w:w="764" w:type="pct"/>
                  </w:tcPr>
                  <w:p w14:paraId="6CC550DC" w14:textId="77777777" w:rsidR="00830E72" w:rsidRDefault="008344D8">
                    <w:pPr>
                      <w:rPr>
                        <w:szCs w:val="21"/>
                      </w:rPr>
                    </w:pPr>
                    <w:r>
                      <w:rPr>
                        <w:rFonts w:hint="eastAsia"/>
                        <w:szCs w:val="21"/>
                      </w:rPr>
                      <w:t>3年以上</w:t>
                    </w:r>
                  </w:p>
                </w:tc>
              </w:sdtContent>
            </w:sdt>
            <w:tc>
              <w:tcPr>
                <w:tcW w:w="1063" w:type="pct"/>
              </w:tcPr>
              <w:p w14:paraId="68BBEDE6" w14:textId="77777777" w:rsidR="00830E72" w:rsidRDefault="00830E72">
                <w:pPr>
                  <w:jc w:val="right"/>
                  <w:rPr>
                    <w:szCs w:val="21"/>
                  </w:rPr>
                </w:pPr>
              </w:p>
            </w:tc>
            <w:tc>
              <w:tcPr>
                <w:tcW w:w="1055" w:type="pct"/>
              </w:tcPr>
              <w:p w14:paraId="0CA272A4" w14:textId="77777777" w:rsidR="00830E72" w:rsidRDefault="00830E72">
                <w:pPr>
                  <w:jc w:val="right"/>
                  <w:rPr>
                    <w:szCs w:val="21"/>
                  </w:rPr>
                </w:pPr>
              </w:p>
            </w:tc>
            <w:tc>
              <w:tcPr>
                <w:tcW w:w="1054" w:type="pct"/>
              </w:tcPr>
              <w:p w14:paraId="4F14A823" w14:textId="77777777" w:rsidR="00830E72" w:rsidRDefault="00830E72">
                <w:pPr>
                  <w:jc w:val="right"/>
                  <w:rPr>
                    <w:szCs w:val="21"/>
                  </w:rPr>
                </w:pPr>
              </w:p>
            </w:tc>
            <w:tc>
              <w:tcPr>
                <w:tcW w:w="1063" w:type="pct"/>
              </w:tcPr>
              <w:p w14:paraId="66832725" w14:textId="77777777" w:rsidR="00830E72" w:rsidRDefault="00830E72">
                <w:pPr>
                  <w:jc w:val="right"/>
                  <w:rPr>
                    <w:szCs w:val="21"/>
                  </w:rPr>
                </w:pPr>
              </w:p>
            </w:tc>
          </w:tr>
          <w:tr w:rsidR="00830E72" w14:paraId="0C211C4A" w14:textId="77777777">
            <w:trPr>
              <w:cantSplit/>
            </w:trPr>
            <w:sdt>
              <w:sdtPr>
                <w:tag w:val="_PLD_773a38e1adc44faa97354ca876a6da1b"/>
                <w:id w:val="199374384"/>
                <w:lock w:val="sdtLocked"/>
              </w:sdtPr>
              <w:sdtEndPr/>
              <w:sdtContent>
                <w:tc>
                  <w:tcPr>
                    <w:tcW w:w="764" w:type="pct"/>
                  </w:tcPr>
                  <w:p w14:paraId="19F858BF" w14:textId="77777777" w:rsidR="00830E72" w:rsidRDefault="008344D8">
                    <w:pPr>
                      <w:jc w:val="center"/>
                      <w:rPr>
                        <w:szCs w:val="21"/>
                      </w:rPr>
                    </w:pPr>
                    <w:r>
                      <w:rPr>
                        <w:rFonts w:hint="eastAsia"/>
                        <w:szCs w:val="21"/>
                      </w:rPr>
                      <w:t>合计</w:t>
                    </w:r>
                  </w:p>
                </w:tc>
              </w:sdtContent>
            </w:sdt>
            <w:tc>
              <w:tcPr>
                <w:tcW w:w="1063" w:type="pct"/>
              </w:tcPr>
              <w:p w14:paraId="67716037" w14:textId="77777777" w:rsidR="00830E72" w:rsidRDefault="008344D8">
                <w:pPr>
                  <w:jc w:val="right"/>
                  <w:rPr>
                    <w:szCs w:val="21"/>
                  </w:rPr>
                </w:pPr>
                <w:r>
                  <w:rPr>
                    <w:szCs w:val="21"/>
                  </w:rPr>
                  <w:t>9,629,825.33</w:t>
                </w:r>
              </w:p>
            </w:tc>
            <w:tc>
              <w:tcPr>
                <w:tcW w:w="1055" w:type="pct"/>
              </w:tcPr>
              <w:p w14:paraId="03850D1A" w14:textId="77777777" w:rsidR="00830E72" w:rsidRDefault="008344D8">
                <w:pPr>
                  <w:jc w:val="right"/>
                  <w:rPr>
                    <w:szCs w:val="21"/>
                  </w:rPr>
                </w:pPr>
                <w:r>
                  <w:rPr>
                    <w:szCs w:val="21"/>
                  </w:rPr>
                  <w:t>100.00</w:t>
                </w:r>
              </w:p>
            </w:tc>
            <w:tc>
              <w:tcPr>
                <w:tcW w:w="1054" w:type="pct"/>
              </w:tcPr>
              <w:p w14:paraId="2254603C" w14:textId="77777777" w:rsidR="00830E72" w:rsidRDefault="008344D8">
                <w:pPr>
                  <w:jc w:val="right"/>
                  <w:rPr>
                    <w:szCs w:val="21"/>
                  </w:rPr>
                </w:pPr>
                <w:r>
                  <w:rPr>
                    <w:szCs w:val="21"/>
                  </w:rPr>
                  <w:t>10,463,839.46</w:t>
                </w:r>
              </w:p>
            </w:tc>
            <w:tc>
              <w:tcPr>
                <w:tcW w:w="1063" w:type="pct"/>
              </w:tcPr>
              <w:p w14:paraId="19FCA3B5" w14:textId="77777777" w:rsidR="00830E72" w:rsidRDefault="008344D8">
                <w:pPr>
                  <w:jc w:val="right"/>
                  <w:rPr>
                    <w:szCs w:val="21"/>
                  </w:rPr>
                </w:pPr>
                <w:r>
                  <w:rPr>
                    <w:szCs w:val="21"/>
                  </w:rPr>
                  <w:t>100.00</w:t>
                </w:r>
              </w:p>
            </w:tc>
          </w:tr>
        </w:tbl>
        <w:p w14:paraId="6D470BEF" w14:textId="77777777" w:rsidR="00830E72" w:rsidRDefault="008344D8">
          <w:pPr>
            <w:rPr>
              <w:szCs w:val="21"/>
            </w:rPr>
          </w:pPr>
          <w:r>
            <w:rPr>
              <w:rFonts w:hint="eastAsia"/>
              <w:szCs w:val="21"/>
            </w:rPr>
            <w:t>账龄超过1年且金额重要的预付款项未及时结算原因</w:t>
          </w:r>
          <w:r>
            <w:rPr>
              <w:szCs w:val="21"/>
            </w:rPr>
            <w:t>的说明：</w:t>
          </w:r>
        </w:p>
        <w:sdt>
          <w:sdtPr>
            <w:rPr>
              <w:szCs w:val="21"/>
            </w:rPr>
            <w:alias w:val="账龄超过1年且金额重要的预付款项未及时结算原因的说明"/>
            <w:tag w:val="_GBC_174a9654172e49e09cdbf18d854fdd51"/>
            <w:id w:val="-1123918923"/>
            <w:lock w:val="sdtLocked"/>
            <w:placeholder>
              <w:docPart w:val="GBC22222222222222222222222222222"/>
            </w:placeholder>
          </w:sdtPr>
          <w:sdtEndPr/>
          <w:sdtContent>
            <w:p w14:paraId="59A1D3D9" w14:textId="77777777" w:rsidR="00830E72" w:rsidRDefault="008344D8">
              <w:pPr>
                <w:snapToGrid w:val="0"/>
                <w:spacing w:line="240" w:lineRule="atLeast"/>
                <w:rPr>
                  <w:szCs w:val="21"/>
                </w:rPr>
              </w:pPr>
              <w:r>
                <w:rPr>
                  <w:rFonts w:hint="eastAsia"/>
                  <w:szCs w:val="21"/>
                </w:rPr>
                <w:t>无</w:t>
              </w:r>
            </w:p>
          </w:sdtContent>
        </w:sdt>
      </w:sdtContent>
    </w:sdt>
    <w:sdt>
      <w:sdtPr>
        <w:rPr>
          <w:rFonts w:ascii="宋体" w:hAnsi="宋体" w:cs="宋体" w:hint="eastAsia"/>
          <w:b w:val="0"/>
          <w:bCs w:val="0"/>
          <w:kern w:val="0"/>
          <w:szCs w:val="24"/>
        </w:rPr>
        <w:alias w:val="模块:预付款项金额前五名单位情况"/>
        <w:tag w:val="_GBC_2c5fba8651a04a6d88c0c9fc33310c57"/>
        <w:id w:val="884218806"/>
        <w:lock w:val="sdtLocked"/>
        <w:placeholder>
          <w:docPart w:val="GBC22222222222222222222222222222"/>
        </w:placeholder>
      </w:sdtPr>
      <w:sdtEndPr/>
      <w:sdtContent>
        <w:p w14:paraId="304907C5" w14:textId="77777777" w:rsidR="00830E72" w:rsidRDefault="008344D8">
          <w:pPr>
            <w:pStyle w:val="Style100"/>
            <w:numPr>
              <w:ilvl w:val="0"/>
              <w:numId w:val="48"/>
            </w:numPr>
            <w:tabs>
              <w:tab w:val="left" w:pos="616"/>
            </w:tabs>
            <w:snapToGrid w:val="0"/>
            <w:spacing w:line="240" w:lineRule="atLeast"/>
            <w:jc w:val="left"/>
            <w:rPr>
              <w:rFonts w:ascii="宋体" w:hAnsi="宋体"/>
              <w:szCs w:val="21"/>
            </w:rPr>
          </w:pPr>
          <w:r>
            <w:rPr>
              <w:rFonts w:ascii="宋体" w:hAnsi="宋体" w:hint="eastAsia"/>
            </w:rPr>
            <w:t>按预付对象归集的期末余额前五名的预付款情况</w:t>
          </w:r>
        </w:p>
        <w:sdt>
          <w:sdtPr>
            <w:rPr>
              <w:rFonts w:hint="eastAsia"/>
              <w:szCs w:val="21"/>
            </w:rPr>
            <w:alias w:val="是否适用：按预付对象归集的期末余额前五名的预付款情况[双击切换]"/>
            <w:tag w:val="_GBC_a1864f04af6d49bdb434d74a7f29f8c3"/>
            <w:id w:val="-469594306"/>
            <w:lock w:val="sdtContentLocked"/>
            <w:placeholder>
              <w:docPart w:val="GBC22222222222222222222222222222"/>
            </w:placeholder>
          </w:sdtPr>
          <w:sdtEndPr/>
          <w:sdtContent>
            <w:p w14:paraId="7CBBE588" w14:textId="77777777" w:rsidR="00830E72" w:rsidRDefault="008344D8">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e2f1aa285f174786838e4fcd54656fec"/>
            <w:id w:val="116270726"/>
            <w:lock w:val="sdtLocked"/>
            <w:placeholder>
              <w:docPart w:val="GBC22222222222222222222222222222"/>
            </w:placeholder>
          </w:sdtPr>
          <w:sdtEndPr/>
          <w:sdtContent>
            <w:p w14:paraId="4F6191DC" w14:textId="318C80FF" w:rsidR="00830E72" w:rsidRDefault="002F3349">
              <w:pPr>
                <w:snapToGrid w:val="0"/>
                <w:spacing w:line="240" w:lineRule="atLeast"/>
                <w:rPr>
                  <w:szCs w:val="21"/>
                </w:rPr>
              </w:pPr>
              <w:r>
                <w:rPr>
                  <w:rFonts w:hint="eastAsia"/>
                  <w:szCs w:val="21"/>
                </w:rPr>
                <w:t>单位：元</w:t>
              </w:r>
            </w:p>
            <w:tbl>
              <w:tblPr>
                <w:tblStyle w:val="g2"/>
                <w:tblW w:w="0" w:type="auto"/>
                <w:tblLook w:val="04A0" w:firstRow="1" w:lastRow="0" w:firstColumn="1" w:lastColumn="0" w:noHBand="0" w:noVBand="1"/>
              </w:tblPr>
              <w:tblGrid>
                <w:gridCol w:w="4219"/>
                <w:gridCol w:w="2693"/>
                <w:gridCol w:w="1911"/>
              </w:tblGrid>
              <w:tr w:rsidR="00830E72" w14:paraId="337DAA92" w14:textId="77777777">
                <w:tc>
                  <w:tcPr>
                    <w:tcW w:w="4219" w:type="dxa"/>
                    <w:vAlign w:val="center"/>
                  </w:tcPr>
                  <w:p w14:paraId="6D257DB6" w14:textId="77777777" w:rsidR="00830E72" w:rsidRDefault="008344D8">
                    <w:pPr>
                      <w:snapToGrid w:val="0"/>
                      <w:spacing w:line="240" w:lineRule="atLeast"/>
                      <w:rPr>
                        <w:szCs w:val="21"/>
                      </w:rPr>
                    </w:pPr>
                    <w:r>
                      <w:rPr>
                        <w:rFonts w:hint="eastAsia"/>
                        <w:szCs w:val="21"/>
                      </w:rPr>
                      <w:t>单位名称</w:t>
                    </w:r>
                  </w:p>
                </w:tc>
                <w:tc>
                  <w:tcPr>
                    <w:tcW w:w="2693" w:type="dxa"/>
                    <w:vAlign w:val="center"/>
                  </w:tcPr>
                  <w:p w14:paraId="52549252" w14:textId="77777777" w:rsidR="00830E72" w:rsidRDefault="008344D8">
                    <w:pPr>
                      <w:snapToGrid w:val="0"/>
                      <w:spacing w:line="240" w:lineRule="atLeast"/>
                      <w:rPr>
                        <w:szCs w:val="21"/>
                      </w:rPr>
                    </w:pPr>
                    <w:r>
                      <w:rPr>
                        <w:rFonts w:hint="eastAsia"/>
                        <w:szCs w:val="21"/>
                      </w:rPr>
                      <w:t>2021年6月30日余额</w:t>
                    </w:r>
                  </w:p>
                </w:tc>
                <w:tc>
                  <w:tcPr>
                    <w:tcW w:w="1911" w:type="dxa"/>
                    <w:vAlign w:val="center"/>
                  </w:tcPr>
                  <w:p w14:paraId="117E4083" w14:textId="77777777" w:rsidR="00830E72" w:rsidRDefault="008344D8">
                    <w:pPr>
                      <w:snapToGrid w:val="0"/>
                      <w:spacing w:line="240" w:lineRule="atLeast"/>
                      <w:rPr>
                        <w:szCs w:val="21"/>
                      </w:rPr>
                    </w:pPr>
                    <w:r>
                      <w:rPr>
                        <w:rFonts w:hint="eastAsia"/>
                        <w:szCs w:val="21"/>
                      </w:rPr>
                      <w:t>占预付账款余额合计数的比例（%）</w:t>
                    </w:r>
                  </w:p>
                </w:tc>
              </w:tr>
              <w:tr w:rsidR="00830E72" w14:paraId="61C64B7A" w14:textId="77777777">
                <w:tc>
                  <w:tcPr>
                    <w:tcW w:w="4219" w:type="dxa"/>
                    <w:vAlign w:val="center"/>
                  </w:tcPr>
                  <w:p w14:paraId="770579BA" w14:textId="77777777" w:rsidR="00830E72" w:rsidRDefault="008344D8">
                    <w:pPr>
                      <w:snapToGrid w:val="0"/>
                      <w:spacing w:line="240" w:lineRule="atLeast"/>
                      <w:rPr>
                        <w:szCs w:val="21"/>
                      </w:rPr>
                    </w:pPr>
                    <w:r>
                      <w:rPr>
                        <w:rFonts w:hint="eastAsia"/>
                        <w:szCs w:val="21"/>
                      </w:rPr>
                      <w:t>台州市黄岩朝利建材有限公司</w:t>
                    </w:r>
                  </w:p>
                </w:tc>
                <w:tc>
                  <w:tcPr>
                    <w:tcW w:w="2693" w:type="dxa"/>
                    <w:vAlign w:val="center"/>
                  </w:tcPr>
                  <w:p w14:paraId="281BDAD8" w14:textId="77777777" w:rsidR="00830E72" w:rsidRDefault="008344D8">
                    <w:pPr>
                      <w:snapToGrid w:val="0"/>
                      <w:spacing w:line="240" w:lineRule="atLeast"/>
                      <w:jc w:val="right"/>
                      <w:rPr>
                        <w:szCs w:val="21"/>
                      </w:rPr>
                    </w:pPr>
                    <w:r>
                      <w:rPr>
                        <w:szCs w:val="21"/>
                      </w:rPr>
                      <w:t>3,060,467.33</w:t>
                    </w:r>
                  </w:p>
                </w:tc>
                <w:tc>
                  <w:tcPr>
                    <w:tcW w:w="1911" w:type="dxa"/>
                    <w:vAlign w:val="center"/>
                  </w:tcPr>
                  <w:p w14:paraId="4FA75720" w14:textId="77777777" w:rsidR="00830E72" w:rsidRDefault="008344D8">
                    <w:pPr>
                      <w:snapToGrid w:val="0"/>
                      <w:spacing w:line="240" w:lineRule="atLeast"/>
                      <w:jc w:val="right"/>
                      <w:rPr>
                        <w:szCs w:val="21"/>
                      </w:rPr>
                    </w:pPr>
                    <w:r>
                      <w:rPr>
                        <w:rFonts w:hint="eastAsia"/>
                        <w:szCs w:val="21"/>
                      </w:rPr>
                      <w:t>31.78</w:t>
                    </w:r>
                  </w:p>
                </w:tc>
              </w:tr>
              <w:tr w:rsidR="00830E72" w14:paraId="77DA7C17" w14:textId="77777777">
                <w:tc>
                  <w:tcPr>
                    <w:tcW w:w="4219" w:type="dxa"/>
                    <w:vAlign w:val="center"/>
                  </w:tcPr>
                  <w:p w14:paraId="0F4A73E5" w14:textId="77777777" w:rsidR="00830E72" w:rsidRDefault="008344D8">
                    <w:pPr>
                      <w:snapToGrid w:val="0"/>
                      <w:spacing w:line="240" w:lineRule="atLeast"/>
                      <w:rPr>
                        <w:szCs w:val="21"/>
                      </w:rPr>
                    </w:pPr>
                    <w:r>
                      <w:rPr>
                        <w:rFonts w:hint="eastAsia"/>
                        <w:szCs w:val="21"/>
                      </w:rPr>
                      <w:t>蚌埠海螺水泥有限责任公司</w:t>
                    </w:r>
                  </w:p>
                </w:tc>
                <w:tc>
                  <w:tcPr>
                    <w:tcW w:w="2693" w:type="dxa"/>
                    <w:vAlign w:val="center"/>
                  </w:tcPr>
                  <w:p w14:paraId="364CD33C" w14:textId="77777777" w:rsidR="00830E72" w:rsidRDefault="008344D8">
                    <w:pPr>
                      <w:snapToGrid w:val="0"/>
                      <w:spacing w:line="240" w:lineRule="atLeast"/>
                      <w:jc w:val="right"/>
                      <w:rPr>
                        <w:szCs w:val="21"/>
                      </w:rPr>
                    </w:pPr>
                    <w:r>
                      <w:rPr>
                        <w:szCs w:val="21"/>
                      </w:rPr>
                      <w:t>1,684,478.88</w:t>
                    </w:r>
                  </w:p>
                </w:tc>
                <w:tc>
                  <w:tcPr>
                    <w:tcW w:w="1911" w:type="dxa"/>
                    <w:vAlign w:val="center"/>
                  </w:tcPr>
                  <w:p w14:paraId="3C5083BB" w14:textId="77777777" w:rsidR="00830E72" w:rsidRDefault="008344D8">
                    <w:pPr>
                      <w:snapToGrid w:val="0"/>
                      <w:spacing w:line="240" w:lineRule="atLeast"/>
                      <w:jc w:val="right"/>
                      <w:rPr>
                        <w:szCs w:val="21"/>
                      </w:rPr>
                    </w:pPr>
                    <w:r>
                      <w:rPr>
                        <w:rFonts w:hint="eastAsia"/>
                        <w:szCs w:val="21"/>
                      </w:rPr>
                      <w:t>17.49</w:t>
                    </w:r>
                  </w:p>
                </w:tc>
              </w:tr>
              <w:tr w:rsidR="00830E72" w14:paraId="701B156F" w14:textId="77777777">
                <w:tc>
                  <w:tcPr>
                    <w:tcW w:w="4219" w:type="dxa"/>
                    <w:vAlign w:val="center"/>
                  </w:tcPr>
                  <w:p w14:paraId="13D7726C" w14:textId="77777777" w:rsidR="00830E72" w:rsidRDefault="008344D8">
                    <w:pPr>
                      <w:tabs>
                        <w:tab w:val="left" w:pos="869"/>
                      </w:tabs>
                      <w:snapToGrid w:val="0"/>
                      <w:spacing w:line="240" w:lineRule="atLeast"/>
                      <w:rPr>
                        <w:szCs w:val="21"/>
                      </w:rPr>
                    </w:pPr>
                    <w:r>
                      <w:rPr>
                        <w:rFonts w:hint="eastAsia"/>
                        <w:szCs w:val="21"/>
                      </w:rPr>
                      <w:t>台州市远立钢铁有限公司</w:t>
                    </w:r>
                  </w:p>
                </w:tc>
                <w:tc>
                  <w:tcPr>
                    <w:tcW w:w="2693" w:type="dxa"/>
                    <w:vAlign w:val="center"/>
                  </w:tcPr>
                  <w:p w14:paraId="4B4D5AA5" w14:textId="77777777" w:rsidR="00830E72" w:rsidRDefault="008344D8">
                    <w:pPr>
                      <w:snapToGrid w:val="0"/>
                      <w:spacing w:line="240" w:lineRule="atLeast"/>
                      <w:jc w:val="right"/>
                      <w:rPr>
                        <w:szCs w:val="21"/>
                      </w:rPr>
                    </w:pPr>
                    <w:r>
                      <w:rPr>
                        <w:szCs w:val="21"/>
                      </w:rPr>
                      <w:t>447,104.83</w:t>
                    </w:r>
                  </w:p>
                </w:tc>
                <w:tc>
                  <w:tcPr>
                    <w:tcW w:w="1911" w:type="dxa"/>
                    <w:vAlign w:val="center"/>
                  </w:tcPr>
                  <w:p w14:paraId="719B5BBB" w14:textId="77777777" w:rsidR="00830E72" w:rsidRDefault="008344D8">
                    <w:pPr>
                      <w:snapToGrid w:val="0"/>
                      <w:spacing w:line="240" w:lineRule="atLeast"/>
                      <w:jc w:val="right"/>
                      <w:rPr>
                        <w:szCs w:val="21"/>
                      </w:rPr>
                    </w:pPr>
                    <w:r>
                      <w:rPr>
                        <w:rFonts w:hint="eastAsia"/>
                        <w:szCs w:val="21"/>
                      </w:rPr>
                      <w:t>4.64</w:t>
                    </w:r>
                  </w:p>
                </w:tc>
              </w:tr>
              <w:tr w:rsidR="00830E72" w14:paraId="15E7BCD8" w14:textId="77777777">
                <w:tc>
                  <w:tcPr>
                    <w:tcW w:w="4219" w:type="dxa"/>
                    <w:vAlign w:val="center"/>
                  </w:tcPr>
                  <w:p w14:paraId="5A1230F1" w14:textId="77777777" w:rsidR="00830E72" w:rsidRDefault="008344D8">
                    <w:pPr>
                      <w:snapToGrid w:val="0"/>
                      <w:spacing w:line="240" w:lineRule="atLeast"/>
                      <w:rPr>
                        <w:szCs w:val="21"/>
                      </w:rPr>
                    </w:pPr>
                    <w:r>
                      <w:rPr>
                        <w:rFonts w:hint="eastAsia"/>
                        <w:szCs w:val="21"/>
                      </w:rPr>
                      <w:t>国网安徽省电力有限公司合肥供电公司</w:t>
                    </w:r>
                  </w:p>
                </w:tc>
                <w:tc>
                  <w:tcPr>
                    <w:tcW w:w="2693" w:type="dxa"/>
                    <w:vAlign w:val="center"/>
                  </w:tcPr>
                  <w:p w14:paraId="06EC83DE" w14:textId="77777777" w:rsidR="00830E72" w:rsidRDefault="008344D8">
                    <w:pPr>
                      <w:snapToGrid w:val="0"/>
                      <w:spacing w:line="240" w:lineRule="atLeast"/>
                      <w:jc w:val="right"/>
                      <w:rPr>
                        <w:szCs w:val="21"/>
                      </w:rPr>
                    </w:pPr>
                    <w:r>
                      <w:rPr>
                        <w:szCs w:val="21"/>
                      </w:rPr>
                      <w:t>258,091.61</w:t>
                    </w:r>
                  </w:p>
                </w:tc>
                <w:tc>
                  <w:tcPr>
                    <w:tcW w:w="1911" w:type="dxa"/>
                    <w:vAlign w:val="center"/>
                  </w:tcPr>
                  <w:p w14:paraId="3A8B87DB" w14:textId="77777777" w:rsidR="00830E72" w:rsidRDefault="008344D8">
                    <w:pPr>
                      <w:snapToGrid w:val="0"/>
                      <w:spacing w:line="240" w:lineRule="atLeast"/>
                      <w:jc w:val="right"/>
                      <w:rPr>
                        <w:szCs w:val="21"/>
                      </w:rPr>
                    </w:pPr>
                    <w:r>
                      <w:rPr>
                        <w:rFonts w:hint="eastAsia"/>
                        <w:szCs w:val="21"/>
                      </w:rPr>
                      <w:t>2.68</w:t>
                    </w:r>
                  </w:p>
                </w:tc>
              </w:tr>
              <w:tr w:rsidR="00830E72" w14:paraId="06AE7B94" w14:textId="77777777">
                <w:tc>
                  <w:tcPr>
                    <w:tcW w:w="4219" w:type="dxa"/>
                    <w:vAlign w:val="center"/>
                  </w:tcPr>
                  <w:p w14:paraId="76446D9A" w14:textId="77777777" w:rsidR="00830E72" w:rsidRDefault="008344D8">
                    <w:pPr>
                      <w:snapToGrid w:val="0"/>
                      <w:spacing w:line="240" w:lineRule="atLeast"/>
                      <w:rPr>
                        <w:szCs w:val="21"/>
                      </w:rPr>
                    </w:pPr>
                    <w:r>
                      <w:rPr>
                        <w:rFonts w:hint="eastAsia"/>
                        <w:szCs w:val="21"/>
                      </w:rPr>
                      <w:t>国网浙江杭州市萧山区供电有限公司</w:t>
                    </w:r>
                  </w:p>
                </w:tc>
                <w:tc>
                  <w:tcPr>
                    <w:tcW w:w="2693" w:type="dxa"/>
                    <w:vAlign w:val="center"/>
                  </w:tcPr>
                  <w:p w14:paraId="3A2DA38F" w14:textId="77777777" w:rsidR="00830E72" w:rsidRDefault="008344D8">
                    <w:pPr>
                      <w:snapToGrid w:val="0"/>
                      <w:spacing w:line="240" w:lineRule="atLeast"/>
                      <w:jc w:val="right"/>
                      <w:rPr>
                        <w:szCs w:val="21"/>
                      </w:rPr>
                    </w:pPr>
                    <w:r>
                      <w:rPr>
                        <w:szCs w:val="21"/>
                      </w:rPr>
                      <w:t>200,441.23</w:t>
                    </w:r>
                  </w:p>
                </w:tc>
                <w:tc>
                  <w:tcPr>
                    <w:tcW w:w="1911" w:type="dxa"/>
                    <w:vAlign w:val="center"/>
                  </w:tcPr>
                  <w:p w14:paraId="03E86D1C" w14:textId="77777777" w:rsidR="00830E72" w:rsidRDefault="008344D8">
                    <w:pPr>
                      <w:snapToGrid w:val="0"/>
                      <w:spacing w:line="240" w:lineRule="atLeast"/>
                      <w:jc w:val="right"/>
                      <w:rPr>
                        <w:szCs w:val="21"/>
                      </w:rPr>
                    </w:pPr>
                    <w:r>
                      <w:rPr>
                        <w:rFonts w:hint="eastAsia"/>
                        <w:szCs w:val="21"/>
                      </w:rPr>
                      <w:t>2.08</w:t>
                    </w:r>
                  </w:p>
                </w:tc>
              </w:tr>
              <w:tr w:rsidR="00830E72" w14:paraId="71BC002A" w14:textId="77777777">
                <w:tc>
                  <w:tcPr>
                    <w:tcW w:w="4219" w:type="dxa"/>
                    <w:vAlign w:val="center"/>
                  </w:tcPr>
                  <w:p w14:paraId="6EC79D47" w14:textId="77777777" w:rsidR="00830E72" w:rsidRDefault="008344D8">
                    <w:pPr>
                      <w:snapToGrid w:val="0"/>
                      <w:spacing w:line="240" w:lineRule="atLeast"/>
                      <w:rPr>
                        <w:szCs w:val="21"/>
                      </w:rPr>
                    </w:pPr>
                    <w:r>
                      <w:rPr>
                        <w:rFonts w:hint="eastAsia"/>
                        <w:szCs w:val="21"/>
                      </w:rPr>
                      <w:t>合计</w:t>
                    </w:r>
                  </w:p>
                </w:tc>
                <w:tc>
                  <w:tcPr>
                    <w:tcW w:w="2693" w:type="dxa"/>
                    <w:vAlign w:val="center"/>
                  </w:tcPr>
                  <w:p w14:paraId="7AE995B0" w14:textId="77777777" w:rsidR="00830E72" w:rsidRDefault="008344D8">
                    <w:pPr>
                      <w:snapToGrid w:val="0"/>
                      <w:spacing w:line="240" w:lineRule="atLeast"/>
                      <w:jc w:val="right"/>
                      <w:rPr>
                        <w:szCs w:val="21"/>
                      </w:rPr>
                    </w:pPr>
                    <w:r>
                      <w:rPr>
                        <w:szCs w:val="21"/>
                      </w:rPr>
                      <w:t>5,650,583.88</w:t>
                    </w:r>
                  </w:p>
                </w:tc>
                <w:tc>
                  <w:tcPr>
                    <w:tcW w:w="1911" w:type="dxa"/>
                    <w:vAlign w:val="center"/>
                  </w:tcPr>
                  <w:p w14:paraId="6E208C87" w14:textId="77777777" w:rsidR="00830E72" w:rsidRDefault="008344D8">
                    <w:pPr>
                      <w:snapToGrid w:val="0"/>
                      <w:spacing w:line="240" w:lineRule="atLeast"/>
                      <w:jc w:val="right"/>
                      <w:rPr>
                        <w:szCs w:val="21"/>
                      </w:rPr>
                    </w:pPr>
                    <w:r>
                      <w:rPr>
                        <w:rFonts w:hint="eastAsia"/>
                        <w:szCs w:val="21"/>
                      </w:rPr>
                      <w:t>58.68</w:t>
                    </w:r>
                  </w:p>
                </w:tc>
              </w:tr>
            </w:tbl>
            <w:p w14:paraId="545F4577" w14:textId="77777777" w:rsidR="00830E72" w:rsidRDefault="00D44830">
              <w:pPr>
                <w:snapToGrid w:val="0"/>
                <w:spacing w:line="240" w:lineRule="atLeast"/>
                <w:rPr>
                  <w:szCs w:val="21"/>
                </w:rPr>
              </w:pPr>
            </w:p>
          </w:sdtContent>
        </w:sdt>
      </w:sdtContent>
    </w:sdt>
    <w:sdt>
      <w:sdtPr>
        <w:rPr>
          <w:rFonts w:hint="eastAsia"/>
          <w:b/>
          <w:bCs/>
        </w:rPr>
        <w:alias w:val="模块:预付款项的说明"/>
        <w:tag w:val="_GBC_ee9bedfa5e5340c9b02fb474f1a1fc26"/>
        <w:id w:val="492295537"/>
        <w:lock w:val="sdtLocked"/>
        <w:placeholder>
          <w:docPart w:val="GBC22222222222222222222222222222"/>
        </w:placeholder>
      </w:sdtPr>
      <w:sdtEndPr>
        <w:rPr>
          <w:rFonts w:hint="default"/>
          <w:b w:val="0"/>
          <w:bCs w:val="0"/>
        </w:rPr>
      </w:sdtEndPr>
      <w:sdtContent>
        <w:p w14:paraId="65F8C9F5" w14:textId="77777777" w:rsidR="00830E72" w:rsidRDefault="008344D8">
          <w:r>
            <w:rPr>
              <w:rFonts w:hint="eastAsia"/>
            </w:rPr>
            <w:t>其他说明</w:t>
          </w:r>
        </w:p>
        <w:sdt>
          <w:sdtPr>
            <w:alias w:val="是否适用：预付帐款的说明[双击切换]"/>
            <w:tag w:val="_GBC_c712ee6483d44c77b1f563e552689c6d"/>
            <w:id w:val="1217473091"/>
            <w:lock w:val="sdtContentLocked"/>
            <w:placeholder>
              <w:docPart w:val="GBC22222222222222222222222222222"/>
            </w:placeholder>
          </w:sdtPr>
          <w:sdtEndPr/>
          <w:sdtContent>
            <w:p w14:paraId="1468B325"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预付帐款的说明"/>
            <w:tag w:val="_GBC_9cd4dbf3da3b458c92ffc167d6c097d5"/>
            <w:id w:val="1789625716"/>
            <w:lock w:val="sdtLocked"/>
            <w:placeholder>
              <w:docPart w:val="GBC22222222222222222222222222222"/>
            </w:placeholder>
          </w:sdtPr>
          <w:sdtEndPr/>
          <w:sdtContent>
            <w:p w14:paraId="0FAD3E94" w14:textId="77777777" w:rsidR="00830E72" w:rsidRDefault="008344D8">
              <w:pPr>
                <w:ind w:firstLineChars="150" w:firstLine="315"/>
                <w:rPr>
                  <w:szCs w:val="21"/>
                </w:rPr>
              </w:pPr>
              <w:r>
                <w:rPr>
                  <w:rFonts w:hint="eastAsia"/>
                  <w:szCs w:val="21"/>
                </w:rPr>
                <w:t>预付账款</w:t>
              </w:r>
              <w:r>
                <w:rPr>
                  <w:szCs w:val="21"/>
                </w:rPr>
                <w:t>2021年6月30日余额较2020年12月31日减少7.97%，主要系预付材料采购款减少所致。</w:t>
              </w:r>
            </w:p>
          </w:sdtContent>
        </w:sdt>
      </w:sdtContent>
    </w:sdt>
    <w:p w14:paraId="044666B9" w14:textId="77777777" w:rsidR="00830E72" w:rsidRDefault="008344D8">
      <w:pPr>
        <w:pStyle w:val="Style99"/>
        <w:numPr>
          <w:ilvl w:val="0"/>
          <w:numId w:val="45"/>
        </w:numPr>
        <w:rPr>
          <w:rFonts w:ascii="宋体" w:hAnsi="宋体"/>
        </w:rPr>
      </w:pPr>
      <w:r>
        <w:rPr>
          <w:rFonts w:ascii="宋体" w:hAnsi="宋体" w:hint="eastAsia"/>
        </w:rPr>
        <w:t>其他应收款</w:t>
      </w:r>
    </w:p>
    <w:bookmarkStart w:id="105" w:name="_Hlk10467611" w:displacedByCustomXml="next"/>
    <w:sdt>
      <w:sdtPr>
        <w:rPr>
          <w:rFonts w:ascii="宋体" w:hAnsi="宋体" w:cs="宋体" w:hint="eastAsia"/>
          <w:b w:val="0"/>
          <w:bCs w:val="0"/>
          <w:kern w:val="0"/>
          <w:szCs w:val="24"/>
        </w:rPr>
        <w:alias w:val="模块:分类列示"/>
        <w:tag w:val="_SEC_440b8bdb86984dd89d750fdd7845fe71"/>
        <w:id w:val="1945260935"/>
        <w:lock w:val="sdtLocked"/>
        <w:placeholder>
          <w:docPart w:val="GBC22222222222222222222222222222"/>
        </w:placeholder>
      </w:sdtPr>
      <w:sdtEndPr>
        <w:rPr>
          <w:rFonts w:hint="default"/>
        </w:rPr>
      </w:sdtEndPr>
      <w:sdtContent>
        <w:p w14:paraId="1BDF681A" w14:textId="77777777" w:rsidR="00830E72" w:rsidRDefault="008344D8">
          <w:pPr>
            <w:pStyle w:val="Style100"/>
            <w:rPr>
              <w:rFonts w:ascii="宋体" w:hAnsi="宋体"/>
            </w:rPr>
          </w:pPr>
          <w:r>
            <w:rPr>
              <w:rFonts w:ascii="宋体" w:hAnsi="宋体" w:hint="eastAsia"/>
            </w:rPr>
            <w:t>项目列示</w:t>
          </w:r>
        </w:p>
        <w:sdt>
          <w:sdtPr>
            <w:alias w:val="是否适用：其他应收款分类列示[双击切换]"/>
            <w:tag w:val="_GBC_23e3e9ad53624abaaa00fc7f7c24842a"/>
            <w:id w:val="1006792459"/>
            <w:lock w:val="sdtContentLocked"/>
            <w:placeholder>
              <w:docPart w:val="GBC22222222222222222222222222222"/>
            </w:placeholder>
          </w:sdtPr>
          <w:sdtEndPr/>
          <w:sdtContent>
            <w:p w14:paraId="64A97D51"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5397E64" w14:textId="77777777" w:rsidR="00830E72" w:rsidRDefault="008344D8">
          <w:pPr>
            <w:jc w:val="right"/>
            <w:rPr>
              <w:szCs w:val="21"/>
            </w:rPr>
          </w:pPr>
          <w:r>
            <w:rPr>
              <w:rFonts w:hint="eastAsia"/>
              <w:szCs w:val="21"/>
            </w:rPr>
            <w:lastRenderedPageBreak/>
            <w:t>单位：</w:t>
          </w:r>
          <w:sdt>
            <w:sdtPr>
              <w:rPr>
                <w:rFonts w:hint="eastAsia"/>
                <w:szCs w:val="21"/>
              </w:rPr>
              <w:alias w:val="单位：其他应收款分类列示"/>
              <w:tag w:val="_GBC_b73f89c776a341249ed520fe726b4db9"/>
              <w:id w:val="-12599761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收款分类列示"/>
              <w:tag w:val="_GBC_a23554f2403346ea97b8fb1ef551ebe4"/>
              <w:id w:val="-11289302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98"/>
            <w:gridCol w:w="2939"/>
            <w:gridCol w:w="2922"/>
          </w:tblGrid>
          <w:tr w:rsidR="00830E72" w14:paraId="6D250D2D" w14:textId="77777777">
            <w:trPr>
              <w:cantSplit/>
            </w:trPr>
            <w:sdt>
              <w:sdtPr>
                <w:tag w:val="_PLD_3b049b9a7f344665a70a23c402afbda5"/>
                <w:id w:val="1616097311"/>
                <w:lock w:val="sdtLocked"/>
              </w:sdtPr>
              <w:sdtEndPr/>
              <w:sdtContent>
                <w:tc>
                  <w:tcPr>
                    <w:tcW w:w="1765" w:type="pct"/>
                    <w:vAlign w:val="center"/>
                  </w:tcPr>
                  <w:p w14:paraId="19B2A6BC" w14:textId="77777777" w:rsidR="00830E72" w:rsidRDefault="008344D8">
                    <w:pPr>
                      <w:jc w:val="center"/>
                      <w:rPr>
                        <w:szCs w:val="21"/>
                      </w:rPr>
                    </w:pPr>
                    <w:r>
                      <w:rPr>
                        <w:rFonts w:hint="eastAsia"/>
                        <w:szCs w:val="21"/>
                      </w:rPr>
                      <w:t>项目</w:t>
                    </w:r>
                  </w:p>
                </w:tc>
              </w:sdtContent>
            </w:sdt>
            <w:sdt>
              <w:sdtPr>
                <w:tag w:val="_PLD_550a4ba0fb444ea69297bd36780a7618"/>
                <w:id w:val="1793709371"/>
                <w:lock w:val="sdtLocked"/>
              </w:sdtPr>
              <w:sdtEndPr/>
              <w:sdtContent>
                <w:tc>
                  <w:tcPr>
                    <w:tcW w:w="1622" w:type="pct"/>
                    <w:vAlign w:val="center"/>
                  </w:tcPr>
                  <w:p w14:paraId="75B33D0E" w14:textId="77777777" w:rsidR="00830E72" w:rsidRDefault="008344D8">
                    <w:pPr>
                      <w:jc w:val="center"/>
                      <w:rPr>
                        <w:szCs w:val="21"/>
                      </w:rPr>
                    </w:pPr>
                    <w:r>
                      <w:rPr>
                        <w:rFonts w:hint="eastAsia"/>
                        <w:szCs w:val="21"/>
                      </w:rPr>
                      <w:t>期末余额</w:t>
                    </w:r>
                  </w:p>
                </w:tc>
              </w:sdtContent>
            </w:sdt>
            <w:sdt>
              <w:sdtPr>
                <w:tag w:val="_PLD_d58c3f70487c440b99a9f440a2d57d1e"/>
                <w:id w:val="-1215655826"/>
                <w:lock w:val="sdtLocked"/>
              </w:sdtPr>
              <w:sdtEndPr/>
              <w:sdtContent>
                <w:tc>
                  <w:tcPr>
                    <w:tcW w:w="1613" w:type="pct"/>
                    <w:vAlign w:val="center"/>
                  </w:tcPr>
                  <w:p w14:paraId="783A3C37" w14:textId="77777777" w:rsidR="00830E72" w:rsidRDefault="008344D8">
                    <w:pPr>
                      <w:jc w:val="center"/>
                      <w:rPr>
                        <w:szCs w:val="21"/>
                      </w:rPr>
                    </w:pPr>
                    <w:r>
                      <w:rPr>
                        <w:rFonts w:hint="eastAsia"/>
                        <w:szCs w:val="21"/>
                      </w:rPr>
                      <w:t>期初余额</w:t>
                    </w:r>
                  </w:p>
                </w:tc>
              </w:sdtContent>
            </w:sdt>
          </w:tr>
          <w:tr w:rsidR="00830E72" w14:paraId="62BEE8EC" w14:textId="77777777">
            <w:trPr>
              <w:cantSplit/>
            </w:trPr>
            <w:sdt>
              <w:sdtPr>
                <w:tag w:val="_PLD_fadacacf8b7d4e10a081b5eae54fea6b"/>
                <w:id w:val="1104231450"/>
                <w:lock w:val="sdtLocked"/>
              </w:sdtPr>
              <w:sdtEndPr/>
              <w:sdtContent>
                <w:tc>
                  <w:tcPr>
                    <w:tcW w:w="1765" w:type="pct"/>
                  </w:tcPr>
                  <w:p w14:paraId="417779A6" w14:textId="77777777" w:rsidR="00830E72" w:rsidRDefault="008344D8">
                    <w:pPr>
                      <w:ind w:right="5"/>
                      <w:rPr>
                        <w:szCs w:val="21"/>
                      </w:rPr>
                    </w:pPr>
                    <w:r>
                      <w:rPr>
                        <w:rFonts w:hint="eastAsia"/>
                        <w:szCs w:val="21"/>
                      </w:rPr>
                      <w:t>其他应收款</w:t>
                    </w:r>
                  </w:p>
                </w:tc>
              </w:sdtContent>
            </w:sdt>
            <w:tc>
              <w:tcPr>
                <w:tcW w:w="1622" w:type="pct"/>
              </w:tcPr>
              <w:p w14:paraId="1F82AA5A" w14:textId="77777777" w:rsidR="00830E72" w:rsidRDefault="008344D8">
                <w:pPr>
                  <w:ind w:right="5"/>
                  <w:jc w:val="right"/>
                  <w:rPr>
                    <w:szCs w:val="21"/>
                  </w:rPr>
                </w:pPr>
                <w:r>
                  <w:rPr>
                    <w:szCs w:val="21"/>
                  </w:rPr>
                  <w:t>257,904,283.58</w:t>
                </w:r>
              </w:p>
            </w:tc>
            <w:tc>
              <w:tcPr>
                <w:tcW w:w="1613" w:type="pct"/>
              </w:tcPr>
              <w:p w14:paraId="72CDF863" w14:textId="77777777" w:rsidR="00830E72" w:rsidRDefault="008344D8">
                <w:pPr>
                  <w:ind w:right="5"/>
                  <w:jc w:val="right"/>
                  <w:rPr>
                    <w:szCs w:val="21"/>
                  </w:rPr>
                </w:pPr>
                <w:r>
                  <w:rPr>
                    <w:szCs w:val="21"/>
                  </w:rPr>
                  <w:t>173,904,054.74</w:t>
                </w:r>
              </w:p>
            </w:tc>
          </w:tr>
          <w:tr w:rsidR="00830E72" w14:paraId="2639792E" w14:textId="77777777">
            <w:trPr>
              <w:cantSplit/>
            </w:trPr>
            <w:sdt>
              <w:sdtPr>
                <w:tag w:val="_PLD_7fcd8f78599a4d76a92c6bed7b01aa27"/>
                <w:id w:val="-368917985"/>
                <w:lock w:val="sdtLocked"/>
              </w:sdtPr>
              <w:sdtEndPr/>
              <w:sdtContent>
                <w:tc>
                  <w:tcPr>
                    <w:tcW w:w="1765" w:type="pct"/>
                  </w:tcPr>
                  <w:p w14:paraId="50FA826C" w14:textId="77777777" w:rsidR="00830E72" w:rsidRDefault="008344D8">
                    <w:pPr>
                      <w:autoSpaceDE w:val="0"/>
                      <w:autoSpaceDN w:val="0"/>
                      <w:adjustRightInd w:val="0"/>
                      <w:jc w:val="center"/>
                      <w:rPr>
                        <w:szCs w:val="21"/>
                      </w:rPr>
                    </w:pPr>
                    <w:r>
                      <w:rPr>
                        <w:rFonts w:hint="eastAsia"/>
                        <w:szCs w:val="21"/>
                      </w:rPr>
                      <w:t>合计</w:t>
                    </w:r>
                  </w:p>
                </w:tc>
              </w:sdtContent>
            </w:sdt>
            <w:tc>
              <w:tcPr>
                <w:tcW w:w="1622" w:type="pct"/>
              </w:tcPr>
              <w:p w14:paraId="356A3729" w14:textId="77777777" w:rsidR="00830E72" w:rsidRDefault="008344D8">
                <w:pPr>
                  <w:jc w:val="right"/>
                  <w:rPr>
                    <w:szCs w:val="21"/>
                  </w:rPr>
                </w:pPr>
                <w:r>
                  <w:rPr>
                    <w:szCs w:val="21"/>
                  </w:rPr>
                  <w:t>257,904,283.58</w:t>
                </w:r>
              </w:p>
            </w:tc>
            <w:tc>
              <w:tcPr>
                <w:tcW w:w="1613" w:type="pct"/>
              </w:tcPr>
              <w:p w14:paraId="46D2F623" w14:textId="77777777" w:rsidR="00830E72" w:rsidRDefault="008344D8">
                <w:pPr>
                  <w:jc w:val="right"/>
                  <w:rPr>
                    <w:szCs w:val="21"/>
                  </w:rPr>
                </w:pPr>
                <w:r>
                  <w:rPr>
                    <w:szCs w:val="21"/>
                  </w:rPr>
                  <w:t>173,904,054.74</w:t>
                </w:r>
              </w:p>
            </w:tc>
          </w:tr>
        </w:tbl>
        <w:p w14:paraId="05EA92BC" w14:textId="77777777" w:rsidR="00830E72" w:rsidRDefault="008344D8">
          <w:pPr>
            <w:rPr>
              <w:szCs w:val="21"/>
            </w:rPr>
          </w:pPr>
          <w:bookmarkStart w:id="106" w:name="_Hlk532906097"/>
          <w:r>
            <w:rPr>
              <w:rFonts w:hint="eastAsia"/>
              <w:szCs w:val="21"/>
            </w:rPr>
            <w:t>其他说明：</w:t>
          </w:r>
          <w:bookmarkEnd w:id="106"/>
        </w:p>
        <w:sdt>
          <w:sdtPr>
            <w:rPr>
              <w:szCs w:val="21"/>
            </w:rPr>
            <w:alias w:val="是否适用：其他应收款分类列示其他说明[双击切换]"/>
            <w:tag w:val="_GBC_73a4089b33094d13b0ea7c9bf8cfb58f"/>
            <w:id w:val="1440494000"/>
            <w:lock w:val="sdtContentLocked"/>
            <w:placeholder>
              <w:docPart w:val="GBC22222222222222222222222222222"/>
            </w:placeholder>
          </w:sdtPr>
          <w:sdtEndPr/>
          <w:sdtContent>
            <w:p w14:paraId="130BF28B"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05" w:displacedByCustomXml="next"/>
    <w:sdt>
      <w:sdtPr>
        <w:rPr>
          <w:rFonts w:ascii="宋体" w:hAnsi="宋体" w:cs="宋体" w:hint="eastAsia"/>
          <w:b w:val="0"/>
          <w:bCs w:val="0"/>
          <w:kern w:val="0"/>
          <w:szCs w:val="22"/>
        </w:rPr>
        <w:alias w:val="模块:应收利息"/>
        <w:tag w:val="_GBC_6620e2366b444b3fb9e784e1bb6a87fd"/>
        <w:id w:val="369430258"/>
        <w:lock w:val="sdtLocked"/>
        <w:placeholder>
          <w:docPart w:val="GBC22222222222222222222222222222"/>
        </w:placeholder>
      </w:sdtPr>
      <w:sdtEndPr>
        <w:rPr>
          <w:rFonts w:cs="Times New Roman"/>
          <w:kern w:val="2"/>
          <w:szCs w:val="24"/>
        </w:rPr>
      </w:sdtEndPr>
      <w:sdtContent>
        <w:p w14:paraId="4C647378" w14:textId="77777777" w:rsidR="00830E72" w:rsidRDefault="008344D8">
          <w:pPr>
            <w:pStyle w:val="Style100"/>
            <w:tabs>
              <w:tab w:val="left" w:pos="546"/>
            </w:tabs>
            <w:rPr>
              <w:rFonts w:ascii="宋体" w:hAnsi="宋体"/>
            </w:rPr>
          </w:pPr>
          <w:r>
            <w:rPr>
              <w:rFonts w:ascii="宋体" w:hAnsi="宋体" w:cs="宋体" w:hint="eastAsia"/>
              <w:bCs w:val="0"/>
              <w:kern w:val="0"/>
              <w:szCs w:val="22"/>
            </w:rPr>
            <w:t>应收利息</w:t>
          </w:r>
        </w:p>
        <w:p w14:paraId="44AEAC8B" w14:textId="77777777" w:rsidR="00830E72" w:rsidRDefault="008344D8">
          <w:pPr>
            <w:pStyle w:val="Style100"/>
            <w:numPr>
              <w:ilvl w:val="3"/>
              <w:numId w:val="49"/>
            </w:numPr>
            <w:tabs>
              <w:tab w:val="left" w:pos="546"/>
            </w:tabs>
            <w:rPr>
              <w:rFonts w:ascii="宋体" w:hAnsi="宋体"/>
            </w:rPr>
          </w:pPr>
          <w:r>
            <w:rPr>
              <w:rFonts w:ascii="宋体" w:hAnsi="宋体" w:hint="eastAsia"/>
            </w:rPr>
            <w:t>应收利息分类</w:t>
          </w:r>
        </w:p>
        <w:sdt>
          <w:sdtPr>
            <w:alias w:val="是否适用：应收利息分类[双击切换]"/>
            <w:tag w:val="_GBC_86f9e9a81d7d4e07ae6873a88ddf6cc7"/>
            <w:id w:val="-1936578692"/>
            <w:lock w:val="sdtContentLocked"/>
            <w:placeholder>
              <w:docPart w:val="GBC22222222222222222222222222222"/>
            </w:placeholder>
          </w:sdtPr>
          <w:sdtEndPr/>
          <w:sdtContent>
            <w:p w14:paraId="7C1E2430"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逾期利息"/>
        <w:tag w:val="_GBC_bcfcff19f55a43f988e9223dca0728dc"/>
        <w:id w:val="-1677495750"/>
        <w:lock w:val="sdtLocked"/>
        <w:placeholder>
          <w:docPart w:val="GBC22222222222222222222222222222"/>
        </w:placeholder>
      </w:sdtPr>
      <w:sdtEndPr/>
      <w:sdtContent>
        <w:p w14:paraId="2B5F4185" w14:textId="77777777" w:rsidR="00830E72" w:rsidRDefault="008344D8">
          <w:pPr>
            <w:pStyle w:val="Style100"/>
            <w:numPr>
              <w:ilvl w:val="3"/>
              <w:numId w:val="49"/>
            </w:numPr>
            <w:tabs>
              <w:tab w:val="left" w:pos="546"/>
            </w:tabs>
            <w:rPr>
              <w:rFonts w:ascii="宋体" w:hAnsi="宋体"/>
            </w:rPr>
          </w:pPr>
          <w:r>
            <w:rPr>
              <w:rFonts w:ascii="宋体" w:hAnsi="宋体" w:hint="eastAsia"/>
            </w:rPr>
            <w:t>重要逾期利息</w:t>
          </w:r>
        </w:p>
        <w:sdt>
          <w:sdtPr>
            <w:alias w:val="是否适用：重要逾期利息[双击切换]"/>
            <w:tag w:val="_GBC_4554f307ef2241a583829b74df8ef0c3"/>
            <w:id w:val="74557908"/>
            <w:lock w:val="sdtContentLocked"/>
            <w:placeholder>
              <w:docPart w:val="GBC22222222222222222222222222222"/>
            </w:placeholder>
          </w:sdtPr>
          <w:sdtEndPr/>
          <w:sdtContent>
            <w:p w14:paraId="00615D5E"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07" w:name="_Hlk10468247" w:displacedByCustomXml="next"/>
    <w:sdt>
      <w:sdtPr>
        <w:rPr>
          <w:rFonts w:ascii="宋体" w:hAnsi="宋体" w:cs="宋体" w:hint="eastAsia"/>
          <w:b w:val="0"/>
          <w:bCs w:val="0"/>
          <w:kern w:val="0"/>
          <w:szCs w:val="21"/>
        </w:rPr>
        <w:alias w:val="模块:坏账准备计提情况"/>
        <w:tag w:val="_SEC_61c56552057346dd98026d659f25d3ef"/>
        <w:id w:val="120041188"/>
        <w:lock w:val="sdtLocked"/>
        <w:placeholder>
          <w:docPart w:val="GBC22222222222222222222222222222"/>
        </w:placeholder>
      </w:sdtPr>
      <w:sdtEndPr/>
      <w:sdtContent>
        <w:p w14:paraId="32478EA7" w14:textId="77777777" w:rsidR="00830E72" w:rsidRDefault="008344D8">
          <w:pPr>
            <w:pStyle w:val="Style100"/>
            <w:numPr>
              <w:ilvl w:val="3"/>
              <w:numId w:val="49"/>
            </w:numPr>
            <w:tabs>
              <w:tab w:val="left" w:pos="546"/>
            </w:tabs>
            <w:rPr>
              <w:rFonts w:ascii="宋体" w:hAnsi="宋体"/>
              <w:szCs w:val="21"/>
            </w:rPr>
          </w:pPr>
          <w:r>
            <w:rPr>
              <w:rFonts w:ascii="宋体" w:hAnsi="宋体" w:hint="eastAsia"/>
              <w:szCs w:val="21"/>
            </w:rPr>
            <w:t>坏账准备计提情况</w:t>
          </w:r>
        </w:p>
        <w:sdt>
          <w:sdtPr>
            <w:rPr>
              <w:szCs w:val="21"/>
            </w:rPr>
            <w:alias w:val="是否适用：应收利息坏账准备调节表[双击切换]"/>
            <w:tag w:val="_GBC_2081adab30854417bcfae25caae8c9f9"/>
            <w:id w:val="1611160418"/>
            <w:lock w:val="sdtContentLocked"/>
            <w:placeholder>
              <w:docPart w:val="GBC22222222222222222222222222222"/>
            </w:placeholder>
          </w:sdtPr>
          <w:sdtEndPr/>
          <w:sdtContent>
            <w:p w14:paraId="7E387CA6"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07" w:displacedByCustomXml="next"/>
    <w:sdt>
      <w:sdtPr>
        <w:rPr>
          <w:rFonts w:hint="eastAsia"/>
          <w:b/>
          <w:bCs/>
        </w:rPr>
        <w:alias w:val="模块:应收利息的说明"/>
        <w:tag w:val="_GBC_0dc3bcd06a754f79952657ba82acdc9f"/>
        <w:id w:val="-190608776"/>
        <w:lock w:val="sdtLocked"/>
        <w:placeholder>
          <w:docPart w:val="GBC22222222222222222222222222222"/>
        </w:placeholder>
      </w:sdtPr>
      <w:sdtEndPr>
        <w:rPr>
          <w:rFonts w:hint="default"/>
          <w:b w:val="0"/>
          <w:bCs w:val="0"/>
          <w:szCs w:val="21"/>
        </w:rPr>
      </w:sdtEndPr>
      <w:sdtContent>
        <w:p w14:paraId="5812EEAE" w14:textId="77777777" w:rsidR="00830E72" w:rsidRDefault="008344D8">
          <w:r>
            <w:rPr>
              <w:rFonts w:hint="eastAsia"/>
            </w:rPr>
            <w:t>其他说明：</w:t>
          </w:r>
        </w:p>
        <w:sdt>
          <w:sdtPr>
            <w:alias w:val="是否适用：应收利息的说明[双击切换]"/>
            <w:tag w:val="_GBC_9fcbab94f58048baace4761ca17ae925"/>
            <w:id w:val="-103657088"/>
            <w:lock w:val="sdtContentLocked"/>
            <w:placeholder>
              <w:docPart w:val="GBC22222222222222222222222222222"/>
            </w:placeholder>
          </w:sdtPr>
          <w:sdtEndPr/>
          <w:sdtContent>
            <w:p w14:paraId="695B6525"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24437C5" w14:textId="77777777" w:rsidR="00830E72" w:rsidRDefault="008344D8">
      <w:pPr>
        <w:pStyle w:val="Style100"/>
        <w:rPr>
          <w:rFonts w:ascii="宋体" w:hAnsi="宋体"/>
        </w:rPr>
      </w:pPr>
      <w:r>
        <w:rPr>
          <w:rFonts w:ascii="宋体" w:hAnsi="宋体" w:hint="eastAsia"/>
        </w:rPr>
        <w:t>应收股利</w:t>
      </w:r>
    </w:p>
    <w:sdt>
      <w:sdtPr>
        <w:rPr>
          <w:rFonts w:ascii="宋体" w:hAnsi="宋体" w:cstheme="minorBidi" w:hint="eastAsia"/>
          <w:b w:val="0"/>
          <w:bCs w:val="0"/>
          <w:kern w:val="0"/>
          <w:szCs w:val="22"/>
        </w:rPr>
        <w:alias w:val="模块:应收股利"/>
        <w:tag w:val="_GBC_94a22362634d47499fd45a0a5577c49b"/>
        <w:id w:val="-1814474679"/>
        <w:lock w:val="sdtLocked"/>
        <w:placeholder>
          <w:docPart w:val="GBC22222222222222222222222222222"/>
        </w:placeholder>
      </w:sdtPr>
      <w:sdtEndPr>
        <w:rPr>
          <w:rFonts w:cs="Times New Roman"/>
          <w:szCs w:val="24"/>
        </w:rPr>
      </w:sdtEndPr>
      <w:sdtContent>
        <w:p w14:paraId="3E1C8005" w14:textId="77777777" w:rsidR="00830E72" w:rsidRDefault="008344D8">
          <w:pPr>
            <w:pStyle w:val="Style100"/>
            <w:numPr>
              <w:ilvl w:val="3"/>
              <w:numId w:val="50"/>
            </w:numPr>
            <w:tabs>
              <w:tab w:val="left" w:pos="560"/>
            </w:tabs>
            <w:rPr>
              <w:rFonts w:ascii="宋体" w:hAnsi="宋体"/>
            </w:rPr>
          </w:pPr>
          <w:r>
            <w:rPr>
              <w:rFonts w:ascii="宋体" w:hAnsi="宋体" w:hint="eastAsia"/>
            </w:rPr>
            <w:t>应收股利</w:t>
          </w:r>
        </w:p>
        <w:sdt>
          <w:sdtPr>
            <w:alias w:val="是否适用：应收股利[双击切换]"/>
            <w:tag w:val="_GBC_002b8ba295db406eb34a179aa27a4801"/>
            <w:id w:val="1286163333"/>
            <w:lock w:val="sdtContentLocked"/>
            <w:placeholder>
              <w:docPart w:val="GBC22222222222222222222222222222"/>
            </w:placeholder>
          </w:sdtPr>
          <w:sdtEndPr/>
          <w:sdtContent>
            <w:p w14:paraId="6668189B"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theme="minorBidi" w:hint="eastAsia"/>
          <w:b w:val="0"/>
          <w:bCs w:val="0"/>
          <w:kern w:val="0"/>
          <w:szCs w:val="22"/>
        </w:rPr>
        <w:alias w:val="模块:应收股利"/>
        <w:tag w:val="_GBC_aafe0f2583ac4a35a029d834ee52b5de"/>
        <w:id w:val="-2082213651"/>
        <w:lock w:val="sdtLocked"/>
        <w:placeholder>
          <w:docPart w:val="GBC22222222222222222222222222222"/>
        </w:placeholder>
      </w:sdtPr>
      <w:sdtEndPr>
        <w:rPr>
          <w:rFonts w:cs="Times New Roman"/>
          <w:szCs w:val="24"/>
        </w:rPr>
      </w:sdtEndPr>
      <w:sdtContent>
        <w:p w14:paraId="4284D584" w14:textId="77777777" w:rsidR="00830E72" w:rsidRDefault="008344D8">
          <w:pPr>
            <w:pStyle w:val="Style100"/>
            <w:numPr>
              <w:ilvl w:val="3"/>
              <w:numId w:val="50"/>
            </w:numPr>
            <w:tabs>
              <w:tab w:val="left" w:pos="560"/>
            </w:tabs>
            <w:rPr>
              <w:rFonts w:ascii="宋体" w:hAnsi="宋体"/>
            </w:rPr>
          </w:pPr>
          <w:r>
            <w:rPr>
              <w:rFonts w:ascii="宋体" w:hAnsi="宋体" w:hint="eastAsia"/>
            </w:rPr>
            <w:t>重要的账龄超过1年的应收股利</w:t>
          </w:r>
        </w:p>
        <w:p w14:paraId="7CFFEF4F" w14:textId="77777777" w:rsidR="00830E72" w:rsidRDefault="00D44830">
          <w:pPr>
            <w:rPr>
              <w:rFonts w:cs="Times New Roman"/>
            </w:rPr>
          </w:pPr>
          <w:sdt>
            <w:sdtPr>
              <w:rPr>
                <w:rFonts w:hint="eastAsia"/>
                <w:szCs w:val="21"/>
              </w:rPr>
              <w:alias w:val="是否适用：重要的账龄超过1年的应收股利[双击切换]"/>
              <w:tag w:val="_GBC_9aa7ef4a3c0c40638901a5b7f6224231"/>
              <w:id w:val="-593478153"/>
              <w:lock w:val="sdtContentLocked"/>
              <w:placeholder>
                <w:docPart w:val="GBC22222222222222222222222222222"/>
              </w:placeholder>
            </w:sdtPr>
            <w:sdtEndPr/>
            <w:sdtContent>
              <w:r w:rsidR="008344D8">
                <w:rPr>
                  <w:szCs w:val="21"/>
                </w:rPr>
                <w:fldChar w:fldCharType="begin"/>
              </w:r>
              <w:r w:rsidR="008344D8">
                <w:rPr>
                  <w:szCs w:val="21"/>
                </w:rPr>
                <w:instrText xml:space="preserve"> MACROBUTTON  SnrToggleCheckbox □适用 </w:instrText>
              </w:r>
              <w:r w:rsidR="008344D8">
                <w:rPr>
                  <w:szCs w:val="21"/>
                </w:rPr>
                <w:fldChar w:fldCharType="end"/>
              </w:r>
              <w:r w:rsidR="008344D8">
                <w:rPr>
                  <w:szCs w:val="21"/>
                </w:rPr>
                <w:fldChar w:fldCharType="begin"/>
              </w:r>
              <w:r w:rsidR="008344D8">
                <w:rPr>
                  <w:szCs w:val="21"/>
                </w:rPr>
                <w:instrText xml:space="preserve"> MACROBUTTON  SnrToggleCheckbox √不适用 </w:instrText>
              </w:r>
              <w:r w:rsidR="008344D8">
                <w:rPr>
                  <w:szCs w:val="21"/>
                </w:rPr>
                <w:fldChar w:fldCharType="end"/>
              </w:r>
            </w:sdtContent>
          </w:sdt>
        </w:p>
      </w:sdtContent>
    </w:sdt>
    <w:bookmarkStart w:id="108" w:name="_Hlk10468610" w:displacedByCustomXml="next"/>
    <w:sdt>
      <w:sdtPr>
        <w:rPr>
          <w:rFonts w:ascii="宋体" w:hAnsi="宋体" w:cs="宋体" w:hint="eastAsia"/>
          <w:b w:val="0"/>
          <w:bCs w:val="0"/>
          <w:kern w:val="0"/>
          <w:szCs w:val="24"/>
        </w:rPr>
        <w:alias w:val="模块:坏账准备计提情况"/>
        <w:tag w:val="_SEC_cce3905839dc4d6ea19cf81ee0af7e4b"/>
        <w:id w:val="16282395"/>
        <w:lock w:val="sdtLocked"/>
        <w:placeholder>
          <w:docPart w:val="GBC22222222222222222222222222222"/>
        </w:placeholder>
      </w:sdtPr>
      <w:sdtEndPr>
        <w:rPr>
          <w:rFonts w:hint="default"/>
        </w:rPr>
      </w:sdtEndPr>
      <w:sdtContent>
        <w:p w14:paraId="018C990C" w14:textId="77777777" w:rsidR="00830E72" w:rsidRDefault="008344D8">
          <w:pPr>
            <w:pStyle w:val="Style100"/>
            <w:numPr>
              <w:ilvl w:val="3"/>
              <w:numId w:val="50"/>
            </w:numPr>
            <w:tabs>
              <w:tab w:val="left" w:pos="560"/>
            </w:tabs>
            <w:rPr>
              <w:rFonts w:ascii="宋体" w:hAnsi="宋体"/>
            </w:rPr>
          </w:pPr>
          <w:r>
            <w:rPr>
              <w:rFonts w:ascii="宋体" w:hAnsi="宋体" w:hint="eastAsia"/>
            </w:rPr>
            <w:t>坏账准备计提情况</w:t>
          </w:r>
        </w:p>
        <w:sdt>
          <w:sdtPr>
            <w:alias w:val="是否适用：应收股利坏账准备调节表[双击切换]"/>
            <w:tag w:val="_GBC_5a51eb2bfb0643eb8b9c73cdd0dbec60"/>
            <w:id w:val="262577642"/>
            <w:lock w:val="sdtContentLocked"/>
            <w:placeholder>
              <w:docPart w:val="GBC22222222222222222222222222222"/>
            </w:placeholder>
          </w:sdtPr>
          <w:sdtEndPr/>
          <w:sdtContent>
            <w:p w14:paraId="09D811D7"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08" w:displacedByCustomXml="next"/>
    <w:sdt>
      <w:sdtPr>
        <w:rPr>
          <w:rFonts w:hint="eastAsia"/>
          <w:szCs w:val="21"/>
        </w:rPr>
        <w:alias w:val="模块:应收股利的说明"/>
        <w:tag w:val="_GBC_3543035ac1594f0aaa966ebb907a6f0d"/>
        <w:id w:val="-595556746"/>
        <w:lock w:val="sdtLocked"/>
        <w:placeholder>
          <w:docPart w:val="GBC22222222222222222222222222222"/>
        </w:placeholder>
      </w:sdtPr>
      <w:sdtEndPr>
        <w:rPr>
          <w:rFonts w:hint="default"/>
        </w:rPr>
      </w:sdtEndPr>
      <w:sdtContent>
        <w:p w14:paraId="41312C97" w14:textId="77777777" w:rsidR="00830E72" w:rsidRDefault="008344D8">
          <w:pPr>
            <w:rPr>
              <w:szCs w:val="21"/>
            </w:rPr>
          </w:pPr>
          <w:r>
            <w:rPr>
              <w:rFonts w:hint="eastAsia"/>
              <w:szCs w:val="21"/>
            </w:rPr>
            <w:t>其他说明：</w:t>
          </w:r>
        </w:p>
        <w:sdt>
          <w:sdtPr>
            <w:rPr>
              <w:szCs w:val="21"/>
            </w:rPr>
            <w:alias w:val="是否适用：应收股利的说明[双击切换]"/>
            <w:tag w:val="_GBC_108dd924d7ca4fa78961046db5cd354e"/>
            <w:id w:val="976040584"/>
            <w:lock w:val="sdtContentLocked"/>
            <w:placeholder>
              <w:docPart w:val="GBC22222222222222222222222222222"/>
            </w:placeholder>
          </w:sdtPr>
          <w:sdtEndPr/>
          <w:sdtContent>
            <w:p w14:paraId="168866C6"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9DB87DC" w14:textId="77777777" w:rsidR="00830E72" w:rsidRDefault="008344D8">
      <w:pPr>
        <w:pStyle w:val="Style100"/>
        <w:rPr>
          <w:rFonts w:ascii="宋体" w:hAnsi="宋体"/>
        </w:rPr>
      </w:pPr>
      <w:r>
        <w:rPr>
          <w:rFonts w:ascii="宋体" w:hAnsi="宋体" w:hint="eastAsia"/>
        </w:rPr>
        <w:t>其他应收款</w:t>
      </w:r>
    </w:p>
    <w:bookmarkStart w:id="109" w:name="_Hlk10469252" w:displacedByCustomXml="next"/>
    <w:sdt>
      <w:sdtPr>
        <w:rPr>
          <w:rFonts w:ascii="宋体" w:hAnsi="宋体" w:cs="宋体" w:hint="eastAsia"/>
          <w:b w:val="0"/>
          <w:bCs w:val="0"/>
          <w:kern w:val="0"/>
          <w:szCs w:val="21"/>
        </w:rPr>
        <w:alias w:val="模块:组合中，按账龄分析法计提坏账准备的其他应收账款："/>
        <w:tag w:val="_GBC_84907f0c47bb4c62b91a81382adfc126"/>
        <w:id w:val="1198505112"/>
        <w:lock w:val="sdtLocked"/>
        <w:placeholder>
          <w:docPart w:val="GBC22222222222222222222222222222"/>
        </w:placeholder>
      </w:sdtPr>
      <w:sdtEndPr>
        <w:rPr>
          <w:rFonts w:hint="default"/>
        </w:rPr>
      </w:sdtEndPr>
      <w:sdtContent>
        <w:p w14:paraId="45F7B2CD" w14:textId="77777777" w:rsidR="00830E72" w:rsidRDefault="008344D8">
          <w:pPr>
            <w:pStyle w:val="Style100"/>
            <w:numPr>
              <w:ilvl w:val="3"/>
              <w:numId w:val="50"/>
            </w:numPr>
            <w:tabs>
              <w:tab w:val="left" w:pos="560"/>
            </w:tabs>
            <w:rPr>
              <w:rFonts w:ascii="宋体" w:hAnsi="宋体"/>
              <w:szCs w:val="21"/>
            </w:rPr>
          </w:pPr>
          <w:r>
            <w:rPr>
              <w:rFonts w:ascii="宋体" w:hAnsi="宋体" w:hint="eastAsia"/>
              <w:szCs w:val="21"/>
            </w:rPr>
            <w:t>按账龄披露</w:t>
          </w:r>
        </w:p>
        <w:sdt>
          <w:sdtPr>
            <w:rPr>
              <w:rFonts w:hint="eastAsia"/>
              <w:szCs w:val="21"/>
            </w:rPr>
            <w:alias w:val="是否适用：组合中，按账龄分析法计提坏账准备的其他应收账款[双击切换]"/>
            <w:tag w:val="_GBC_14503383cb9a4c528e4dc8ae4e2b1c29"/>
            <w:id w:val="-2143799375"/>
            <w:lock w:val="sdtContentLocked"/>
            <w:placeholder>
              <w:docPart w:val="GBC22222222222222222222222222222"/>
            </w:placeholder>
          </w:sdtPr>
          <w:sdtEndPr/>
          <w:sdtContent>
            <w:p w14:paraId="4A933EEF" w14:textId="77777777" w:rsidR="00830E72" w:rsidRDefault="008344D8">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DE23636" w14:textId="77777777" w:rsidR="00830E72" w:rsidRDefault="008344D8">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764c0879eca4748ae4bb8a2ce276e17"/>
              <w:id w:val="6373032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58c31c61f2a5441db0ca086544f32ce2"/>
              <w:id w:val="-18685968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616"/>
            <w:gridCol w:w="4443"/>
          </w:tblGrid>
          <w:tr w:rsidR="00830E72" w14:paraId="59CA2DED" w14:textId="77777777">
            <w:trPr>
              <w:cantSplit/>
            </w:trPr>
            <w:sdt>
              <w:sdtPr>
                <w:tag w:val="_PLD_6b0994a4e2bf4d64b8bfa8195d1acb6c"/>
                <w:id w:val="-906606665"/>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14:paraId="3A4671DC" w14:textId="77777777" w:rsidR="00830E72" w:rsidRDefault="008344D8">
                    <w:pPr>
                      <w:jc w:val="center"/>
                      <w:rPr>
                        <w:szCs w:val="21"/>
                      </w:rPr>
                    </w:pPr>
                    <w:r>
                      <w:rPr>
                        <w:rFonts w:hint="eastAsia"/>
                        <w:szCs w:val="21"/>
                      </w:rPr>
                      <w:t>账龄</w:t>
                    </w:r>
                  </w:p>
                </w:tc>
              </w:sdtContent>
            </w:sdt>
            <w:sdt>
              <w:sdtPr>
                <w:tag w:val="_PLD_432b76b66b924b46b150a8c34f250ad2"/>
                <w:id w:val="-1664388778"/>
                <w:lock w:val="sdtLocked"/>
              </w:sdtPr>
              <w:sdtEndPr/>
              <w:sdtContent>
                <w:tc>
                  <w:tcPr>
                    <w:tcW w:w="2452" w:type="pct"/>
                    <w:tcBorders>
                      <w:top w:val="single" w:sz="4" w:space="0" w:color="auto"/>
                      <w:left w:val="single" w:sz="4" w:space="0" w:color="auto"/>
                      <w:bottom w:val="single" w:sz="4" w:space="0" w:color="auto"/>
                      <w:right w:val="single" w:sz="4" w:space="0" w:color="auto"/>
                    </w:tcBorders>
                    <w:vAlign w:val="center"/>
                  </w:tcPr>
                  <w:p w14:paraId="3B8AE043" w14:textId="77777777" w:rsidR="00830E72" w:rsidRDefault="008344D8">
                    <w:pPr>
                      <w:jc w:val="center"/>
                      <w:rPr>
                        <w:szCs w:val="21"/>
                      </w:rPr>
                    </w:pPr>
                    <w:r>
                      <w:rPr>
                        <w:rFonts w:hint="eastAsia"/>
                        <w:szCs w:val="21"/>
                      </w:rPr>
                      <w:t>期末账面余额</w:t>
                    </w:r>
                  </w:p>
                </w:tc>
              </w:sdtContent>
            </w:sdt>
          </w:tr>
          <w:tr w:rsidR="00830E72" w14:paraId="7E9B3176" w14:textId="77777777">
            <w:trPr>
              <w:cantSplit/>
            </w:trPr>
            <w:sdt>
              <w:sdtPr>
                <w:tag w:val="_PLD_1041b49a86da40c3a051ceae58ba8016"/>
                <w:id w:val="62610272"/>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3C50B0CB" w14:textId="77777777" w:rsidR="00830E72" w:rsidRDefault="008344D8">
                    <w:pPr>
                      <w:rPr>
                        <w:color w:val="FF0000"/>
                        <w:szCs w:val="21"/>
                      </w:rPr>
                    </w:pPr>
                    <w:r>
                      <w:rPr>
                        <w:rFonts w:hint="eastAsia"/>
                        <w:szCs w:val="21"/>
                      </w:rPr>
                      <w:t>1年以内</w:t>
                    </w:r>
                  </w:p>
                </w:tc>
              </w:sdtContent>
            </w:sdt>
          </w:tr>
          <w:tr w:rsidR="00830E72" w14:paraId="0C0A9DBD" w14:textId="77777777">
            <w:trPr>
              <w:cantSplit/>
            </w:trPr>
            <w:sdt>
              <w:sdtPr>
                <w:tag w:val="_PLD_a0ff2716a91b42a6ae2b722f67cab8d3"/>
                <w:id w:val="208844063"/>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22C57447" w14:textId="77777777" w:rsidR="00830E72" w:rsidRDefault="008344D8">
                    <w:pPr>
                      <w:rPr>
                        <w:szCs w:val="21"/>
                      </w:rPr>
                    </w:pPr>
                    <w:r>
                      <w:rPr>
                        <w:rFonts w:hint="eastAsia"/>
                        <w:szCs w:val="21"/>
                      </w:rPr>
                      <w:t>其中：1年以内分项</w:t>
                    </w:r>
                  </w:p>
                </w:tc>
              </w:sdtContent>
            </w:sdt>
          </w:tr>
          <w:tr w:rsidR="00830E72" w14:paraId="05AEA939" w14:textId="77777777">
            <w:trPr>
              <w:cantSplit/>
            </w:trPr>
            <w:sdt>
              <w:sdtPr>
                <w:tag w:val="_PLD_117c27ae49f24df483b32b6cd9c22857"/>
                <w:id w:val="-320970513"/>
                <w:lock w:val="sdtLocked"/>
              </w:sdtPr>
              <w:sdtEndPr/>
              <w:sdtContent>
                <w:tc>
                  <w:tcPr>
                    <w:tcW w:w="2548" w:type="pct"/>
                    <w:tcBorders>
                      <w:top w:val="single" w:sz="4" w:space="0" w:color="auto"/>
                      <w:left w:val="single" w:sz="4" w:space="0" w:color="auto"/>
                      <w:bottom w:val="single" w:sz="4" w:space="0" w:color="auto"/>
                      <w:right w:val="single" w:sz="4" w:space="0" w:color="auto"/>
                    </w:tcBorders>
                  </w:tcPr>
                  <w:p w14:paraId="0E521C40" w14:textId="77777777" w:rsidR="00830E72" w:rsidRDefault="008344D8">
                    <w:pPr>
                      <w:rPr>
                        <w:szCs w:val="21"/>
                      </w:rPr>
                    </w:pPr>
                    <w:r>
                      <w:rPr>
                        <w:rFonts w:hint="eastAsia"/>
                        <w:szCs w:val="21"/>
                      </w:rPr>
                      <w:t>1年以内小计</w:t>
                    </w:r>
                  </w:p>
                </w:tc>
              </w:sdtContent>
            </w:sdt>
            <w:tc>
              <w:tcPr>
                <w:tcW w:w="2452" w:type="pct"/>
                <w:tcBorders>
                  <w:top w:val="single" w:sz="4" w:space="0" w:color="auto"/>
                  <w:left w:val="single" w:sz="4" w:space="0" w:color="auto"/>
                  <w:bottom w:val="single" w:sz="4" w:space="0" w:color="auto"/>
                  <w:right w:val="single" w:sz="4" w:space="0" w:color="auto"/>
                </w:tcBorders>
              </w:tcPr>
              <w:p w14:paraId="7F128CC0" w14:textId="77777777" w:rsidR="00830E72" w:rsidRDefault="008344D8">
                <w:pPr>
                  <w:jc w:val="right"/>
                  <w:rPr>
                    <w:szCs w:val="21"/>
                  </w:rPr>
                </w:pPr>
                <w:r>
                  <w:rPr>
                    <w:szCs w:val="21"/>
                  </w:rPr>
                  <w:t>222,054,407.67</w:t>
                </w:r>
              </w:p>
            </w:tc>
          </w:tr>
          <w:tr w:rsidR="00830E72" w14:paraId="0D23690A" w14:textId="77777777">
            <w:trPr>
              <w:cantSplit/>
            </w:trPr>
            <w:sdt>
              <w:sdtPr>
                <w:tag w:val="_PLD_eec5fc3899b34bb8ac2c023bb178201d"/>
                <w:id w:val="-1362348882"/>
                <w:lock w:val="sdtLocked"/>
              </w:sdtPr>
              <w:sdtEndPr/>
              <w:sdtContent>
                <w:tc>
                  <w:tcPr>
                    <w:tcW w:w="2548" w:type="pct"/>
                    <w:tcBorders>
                      <w:top w:val="single" w:sz="4" w:space="0" w:color="auto"/>
                      <w:left w:val="single" w:sz="4" w:space="0" w:color="auto"/>
                      <w:bottom w:val="single" w:sz="4" w:space="0" w:color="auto"/>
                      <w:right w:val="single" w:sz="4" w:space="0" w:color="auto"/>
                    </w:tcBorders>
                  </w:tcPr>
                  <w:p w14:paraId="189EB2C5" w14:textId="77777777" w:rsidR="00830E72" w:rsidRDefault="008344D8">
                    <w:pPr>
                      <w:rPr>
                        <w:szCs w:val="21"/>
                      </w:rPr>
                    </w:pPr>
                    <w:r>
                      <w:rPr>
                        <w:rFonts w:hint="eastAsia"/>
                        <w:szCs w:val="21"/>
                      </w:rPr>
                      <w:t>1至2年</w:t>
                    </w:r>
                  </w:p>
                </w:tc>
              </w:sdtContent>
            </w:sdt>
            <w:tc>
              <w:tcPr>
                <w:tcW w:w="2452" w:type="pct"/>
                <w:tcBorders>
                  <w:top w:val="single" w:sz="4" w:space="0" w:color="auto"/>
                  <w:left w:val="single" w:sz="4" w:space="0" w:color="auto"/>
                  <w:bottom w:val="single" w:sz="4" w:space="0" w:color="auto"/>
                  <w:right w:val="single" w:sz="4" w:space="0" w:color="auto"/>
                </w:tcBorders>
              </w:tcPr>
              <w:p w14:paraId="1B3CF8D9" w14:textId="77777777" w:rsidR="00830E72" w:rsidRDefault="008344D8">
                <w:pPr>
                  <w:jc w:val="right"/>
                  <w:rPr>
                    <w:szCs w:val="21"/>
                  </w:rPr>
                </w:pPr>
                <w:r>
                  <w:rPr>
                    <w:szCs w:val="21"/>
                  </w:rPr>
                  <w:t>42,389,302.77</w:t>
                </w:r>
              </w:p>
            </w:tc>
          </w:tr>
          <w:tr w:rsidR="00830E72" w14:paraId="5417E80E" w14:textId="77777777">
            <w:trPr>
              <w:cantSplit/>
            </w:trPr>
            <w:sdt>
              <w:sdtPr>
                <w:tag w:val="_PLD_4147aa219b3044cb87cadcbf20a7f278"/>
                <w:id w:val="1876039510"/>
                <w:lock w:val="sdtLocked"/>
              </w:sdtPr>
              <w:sdtEndPr/>
              <w:sdtContent>
                <w:tc>
                  <w:tcPr>
                    <w:tcW w:w="2548" w:type="pct"/>
                    <w:tcBorders>
                      <w:top w:val="single" w:sz="4" w:space="0" w:color="auto"/>
                      <w:left w:val="single" w:sz="4" w:space="0" w:color="auto"/>
                      <w:bottom w:val="single" w:sz="4" w:space="0" w:color="auto"/>
                      <w:right w:val="single" w:sz="4" w:space="0" w:color="auto"/>
                    </w:tcBorders>
                  </w:tcPr>
                  <w:p w14:paraId="22814DB2" w14:textId="77777777" w:rsidR="00830E72" w:rsidRDefault="008344D8">
                    <w:pPr>
                      <w:rPr>
                        <w:szCs w:val="21"/>
                      </w:rPr>
                    </w:pPr>
                    <w:r>
                      <w:rPr>
                        <w:rFonts w:hint="eastAsia"/>
                        <w:szCs w:val="21"/>
                      </w:rPr>
                      <w:t>2至3年</w:t>
                    </w:r>
                  </w:p>
                </w:tc>
              </w:sdtContent>
            </w:sdt>
            <w:tc>
              <w:tcPr>
                <w:tcW w:w="2452" w:type="pct"/>
                <w:tcBorders>
                  <w:top w:val="single" w:sz="4" w:space="0" w:color="auto"/>
                  <w:left w:val="single" w:sz="4" w:space="0" w:color="auto"/>
                  <w:bottom w:val="single" w:sz="4" w:space="0" w:color="auto"/>
                  <w:right w:val="single" w:sz="4" w:space="0" w:color="auto"/>
                </w:tcBorders>
              </w:tcPr>
              <w:p w14:paraId="558E6DD2" w14:textId="77777777" w:rsidR="00830E72" w:rsidRDefault="008344D8">
                <w:pPr>
                  <w:jc w:val="right"/>
                  <w:rPr>
                    <w:szCs w:val="21"/>
                  </w:rPr>
                </w:pPr>
                <w:r>
                  <w:rPr>
                    <w:szCs w:val="21"/>
                  </w:rPr>
                  <w:t>1,914,572.97</w:t>
                </w:r>
              </w:p>
            </w:tc>
          </w:tr>
          <w:tr w:rsidR="00830E72" w14:paraId="7B50C2EE" w14:textId="77777777">
            <w:trPr>
              <w:cantSplit/>
            </w:trPr>
            <w:sdt>
              <w:sdtPr>
                <w:tag w:val="_PLD_fb935d76867c48c7bf55f3d52575dd91"/>
                <w:id w:val="-1583521513"/>
                <w:lock w:val="sdtLocked"/>
              </w:sdtPr>
              <w:sdtEndPr/>
              <w:sdtContent>
                <w:tc>
                  <w:tcPr>
                    <w:tcW w:w="2548" w:type="pct"/>
                    <w:tcBorders>
                      <w:top w:val="single" w:sz="4" w:space="0" w:color="auto"/>
                      <w:left w:val="single" w:sz="4" w:space="0" w:color="auto"/>
                      <w:bottom w:val="single" w:sz="4" w:space="0" w:color="auto"/>
                      <w:right w:val="single" w:sz="4" w:space="0" w:color="auto"/>
                    </w:tcBorders>
                  </w:tcPr>
                  <w:p w14:paraId="342E47F7" w14:textId="77777777" w:rsidR="00830E72" w:rsidRDefault="008344D8">
                    <w:pPr>
                      <w:rPr>
                        <w:szCs w:val="21"/>
                      </w:rPr>
                    </w:pPr>
                    <w:r>
                      <w:rPr>
                        <w:rFonts w:hint="eastAsia"/>
                        <w:szCs w:val="21"/>
                      </w:rPr>
                      <w:t>3年以上</w:t>
                    </w:r>
                  </w:p>
                </w:tc>
              </w:sdtContent>
            </w:sdt>
            <w:tc>
              <w:tcPr>
                <w:tcW w:w="2452" w:type="pct"/>
                <w:tcBorders>
                  <w:top w:val="single" w:sz="4" w:space="0" w:color="auto"/>
                  <w:left w:val="single" w:sz="4" w:space="0" w:color="auto"/>
                  <w:bottom w:val="single" w:sz="4" w:space="0" w:color="auto"/>
                  <w:right w:val="single" w:sz="4" w:space="0" w:color="auto"/>
                </w:tcBorders>
              </w:tcPr>
              <w:p w14:paraId="6E8B9144" w14:textId="77777777" w:rsidR="00830E72" w:rsidRDefault="00830E72">
                <w:pPr>
                  <w:jc w:val="right"/>
                  <w:rPr>
                    <w:szCs w:val="21"/>
                  </w:rPr>
                </w:pPr>
              </w:p>
            </w:tc>
          </w:tr>
          <w:tr w:rsidR="00830E72" w14:paraId="7D4F51E5" w14:textId="77777777">
            <w:trPr>
              <w:cantSplit/>
            </w:trPr>
            <w:sdt>
              <w:sdtPr>
                <w:tag w:val="_PLD_66cf044e27544e89bd84871740a65504"/>
                <w:id w:val="881918154"/>
                <w:lock w:val="sdtLocked"/>
              </w:sdtPr>
              <w:sdtEndPr/>
              <w:sdtContent>
                <w:tc>
                  <w:tcPr>
                    <w:tcW w:w="2548" w:type="pct"/>
                    <w:tcBorders>
                      <w:top w:val="single" w:sz="4" w:space="0" w:color="auto"/>
                      <w:left w:val="single" w:sz="4" w:space="0" w:color="auto"/>
                      <w:bottom w:val="single" w:sz="4" w:space="0" w:color="auto"/>
                      <w:right w:val="single" w:sz="4" w:space="0" w:color="auto"/>
                    </w:tcBorders>
                  </w:tcPr>
                  <w:p w14:paraId="64530D95" w14:textId="77777777" w:rsidR="00830E72" w:rsidRDefault="008344D8">
                    <w:pPr>
                      <w:rPr>
                        <w:szCs w:val="21"/>
                      </w:rPr>
                    </w:pPr>
                    <w:r>
                      <w:rPr>
                        <w:rFonts w:hint="eastAsia"/>
                        <w:szCs w:val="21"/>
                      </w:rPr>
                      <w:t>3至4年</w:t>
                    </w:r>
                  </w:p>
                </w:tc>
              </w:sdtContent>
            </w:sdt>
            <w:tc>
              <w:tcPr>
                <w:tcW w:w="2452" w:type="pct"/>
                <w:tcBorders>
                  <w:top w:val="single" w:sz="4" w:space="0" w:color="auto"/>
                  <w:left w:val="single" w:sz="4" w:space="0" w:color="auto"/>
                  <w:bottom w:val="single" w:sz="4" w:space="0" w:color="auto"/>
                  <w:right w:val="single" w:sz="4" w:space="0" w:color="auto"/>
                </w:tcBorders>
              </w:tcPr>
              <w:p w14:paraId="613D0756" w14:textId="77777777" w:rsidR="00830E72" w:rsidRDefault="008344D8">
                <w:pPr>
                  <w:jc w:val="right"/>
                  <w:rPr>
                    <w:szCs w:val="21"/>
                  </w:rPr>
                </w:pPr>
                <w:r>
                  <w:rPr>
                    <w:szCs w:val="21"/>
                  </w:rPr>
                  <w:t>902,118.22</w:t>
                </w:r>
              </w:p>
            </w:tc>
          </w:tr>
          <w:tr w:rsidR="00830E72" w14:paraId="4E68F671" w14:textId="77777777">
            <w:trPr>
              <w:cantSplit/>
            </w:trPr>
            <w:sdt>
              <w:sdtPr>
                <w:tag w:val="_PLD_9c7f07cb7cf1435b8f2137c3fdbbf981"/>
                <w:id w:val="855766247"/>
                <w:lock w:val="sdtLocked"/>
              </w:sdtPr>
              <w:sdtEndPr/>
              <w:sdtContent>
                <w:tc>
                  <w:tcPr>
                    <w:tcW w:w="2548" w:type="pct"/>
                    <w:tcBorders>
                      <w:top w:val="single" w:sz="4" w:space="0" w:color="auto"/>
                      <w:left w:val="single" w:sz="4" w:space="0" w:color="auto"/>
                      <w:bottom w:val="single" w:sz="4" w:space="0" w:color="auto"/>
                      <w:right w:val="single" w:sz="4" w:space="0" w:color="auto"/>
                    </w:tcBorders>
                  </w:tcPr>
                  <w:p w14:paraId="6705AE5B" w14:textId="77777777" w:rsidR="00830E72" w:rsidRDefault="008344D8">
                    <w:pPr>
                      <w:rPr>
                        <w:szCs w:val="21"/>
                      </w:rPr>
                    </w:pPr>
                    <w:r>
                      <w:rPr>
                        <w:rFonts w:hint="eastAsia"/>
                        <w:szCs w:val="21"/>
                      </w:rPr>
                      <w:t>4至5年</w:t>
                    </w:r>
                  </w:p>
                </w:tc>
              </w:sdtContent>
            </w:sdt>
            <w:tc>
              <w:tcPr>
                <w:tcW w:w="2452" w:type="pct"/>
                <w:tcBorders>
                  <w:top w:val="single" w:sz="4" w:space="0" w:color="auto"/>
                  <w:left w:val="single" w:sz="4" w:space="0" w:color="auto"/>
                  <w:bottom w:val="single" w:sz="4" w:space="0" w:color="auto"/>
                  <w:right w:val="single" w:sz="4" w:space="0" w:color="auto"/>
                </w:tcBorders>
              </w:tcPr>
              <w:p w14:paraId="5FFED61D" w14:textId="77777777" w:rsidR="00830E72" w:rsidRDefault="008344D8">
                <w:pPr>
                  <w:jc w:val="right"/>
                  <w:rPr>
                    <w:szCs w:val="21"/>
                  </w:rPr>
                </w:pPr>
                <w:r>
                  <w:rPr>
                    <w:szCs w:val="21"/>
                  </w:rPr>
                  <w:t>1,337,256.40</w:t>
                </w:r>
              </w:p>
            </w:tc>
          </w:tr>
          <w:tr w:rsidR="00830E72" w14:paraId="044A4DE7" w14:textId="77777777">
            <w:trPr>
              <w:cantSplit/>
            </w:trPr>
            <w:sdt>
              <w:sdtPr>
                <w:tag w:val="_PLD_aec7ac0213fc4614a98de6a3c736e280"/>
                <w:id w:val="1281683983"/>
                <w:lock w:val="sdtLocked"/>
              </w:sdtPr>
              <w:sdtEndPr/>
              <w:sdtContent>
                <w:tc>
                  <w:tcPr>
                    <w:tcW w:w="2548" w:type="pct"/>
                    <w:tcBorders>
                      <w:top w:val="single" w:sz="4" w:space="0" w:color="auto"/>
                      <w:left w:val="single" w:sz="4" w:space="0" w:color="auto"/>
                      <w:bottom w:val="single" w:sz="4" w:space="0" w:color="auto"/>
                      <w:right w:val="single" w:sz="4" w:space="0" w:color="auto"/>
                    </w:tcBorders>
                  </w:tcPr>
                  <w:p w14:paraId="2BC33A13" w14:textId="77777777" w:rsidR="00830E72" w:rsidRDefault="008344D8">
                    <w:pPr>
                      <w:rPr>
                        <w:szCs w:val="21"/>
                      </w:rPr>
                    </w:pPr>
                    <w:r>
                      <w:rPr>
                        <w:rFonts w:hint="eastAsia"/>
                        <w:szCs w:val="21"/>
                      </w:rPr>
                      <w:t>5年以上</w:t>
                    </w:r>
                  </w:p>
                </w:tc>
              </w:sdtContent>
            </w:sdt>
            <w:tc>
              <w:tcPr>
                <w:tcW w:w="2452" w:type="pct"/>
                <w:tcBorders>
                  <w:top w:val="single" w:sz="4" w:space="0" w:color="auto"/>
                  <w:left w:val="single" w:sz="4" w:space="0" w:color="auto"/>
                  <w:bottom w:val="single" w:sz="4" w:space="0" w:color="auto"/>
                  <w:right w:val="single" w:sz="4" w:space="0" w:color="auto"/>
                </w:tcBorders>
              </w:tcPr>
              <w:p w14:paraId="7B97A964" w14:textId="77777777" w:rsidR="00830E72" w:rsidRDefault="008344D8">
                <w:pPr>
                  <w:jc w:val="right"/>
                  <w:rPr>
                    <w:szCs w:val="21"/>
                  </w:rPr>
                </w:pPr>
                <w:r>
                  <w:rPr>
                    <w:szCs w:val="21"/>
                  </w:rPr>
                  <w:t>1,492,674.91</w:t>
                </w:r>
              </w:p>
            </w:tc>
          </w:tr>
          <w:tr w:rsidR="00830E72" w14:paraId="5917B805" w14:textId="77777777">
            <w:trPr>
              <w:cantSplit/>
            </w:trPr>
            <w:sdt>
              <w:sdtPr>
                <w:tag w:val="_PLD_f4ca1e5588694bda99031e0a5f40083e"/>
                <w:id w:val="-1941064417"/>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14:paraId="319B520A" w14:textId="77777777" w:rsidR="00830E72" w:rsidRDefault="008344D8">
                    <w:pPr>
                      <w:jc w:val="center"/>
                      <w:rPr>
                        <w:szCs w:val="21"/>
                      </w:rPr>
                    </w:pPr>
                    <w:r>
                      <w:rPr>
                        <w:rFonts w:hint="eastAsia"/>
                        <w:szCs w:val="21"/>
                      </w:rPr>
                      <w:t>合计</w:t>
                    </w:r>
                  </w:p>
                </w:tc>
              </w:sdtContent>
            </w:sdt>
            <w:tc>
              <w:tcPr>
                <w:tcW w:w="2452" w:type="pct"/>
                <w:tcBorders>
                  <w:top w:val="single" w:sz="4" w:space="0" w:color="auto"/>
                  <w:left w:val="single" w:sz="4" w:space="0" w:color="auto"/>
                  <w:bottom w:val="single" w:sz="4" w:space="0" w:color="auto"/>
                  <w:right w:val="single" w:sz="4" w:space="0" w:color="auto"/>
                </w:tcBorders>
              </w:tcPr>
              <w:p w14:paraId="2EA7092C" w14:textId="77777777" w:rsidR="00830E72" w:rsidRDefault="008344D8">
                <w:pPr>
                  <w:jc w:val="right"/>
                  <w:rPr>
                    <w:szCs w:val="21"/>
                  </w:rPr>
                </w:pPr>
                <w:r>
                  <w:rPr>
                    <w:szCs w:val="21"/>
                  </w:rPr>
                  <w:t>270,090,332.94</w:t>
                </w:r>
              </w:p>
            </w:tc>
          </w:tr>
        </w:tbl>
        <w:p w14:paraId="7DFB8C40" w14:textId="77777777" w:rsidR="00830E72" w:rsidRDefault="00D44830">
          <w:pPr>
            <w:rPr>
              <w:szCs w:val="21"/>
            </w:rPr>
          </w:pPr>
        </w:p>
      </w:sdtContent>
    </w:sdt>
    <w:bookmarkEnd w:id="109" w:displacedByCustomXml="next"/>
    <w:sdt>
      <w:sdtPr>
        <w:rPr>
          <w:rFonts w:ascii="宋体" w:hAnsi="宋体" w:cs="宋体" w:hint="eastAsia"/>
          <w:b w:val="0"/>
          <w:bCs w:val="0"/>
          <w:kern w:val="0"/>
          <w:szCs w:val="24"/>
        </w:rPr>
        <w:alias w:val="模块:其他应收款按款项性质分类情况"/>
        <w:tag w:val="_GBC_84d520d656b8446b87c909f5ff2b545d"/>
        <w:id w:val="554429184"/>
        <w:lock w:val="sdtLocked"/>
        <w:placeholder>
          <w:docPart w:val="GBC22222222222222222222222222222"/>
        </w:placeholder>
      </w:sdtPr>
      <w:sdtEndPr>
        <w:rPr>
          <w:rFonts w:hint="default"/>
        </w:rPr>
      </w:sdtEndPr>
      <w:sdtContent>
        <w:p w14:paraId="36407DCB" w14:textId="77777777" w:rsidR="00830E72" w:rsidRDefault="008344D8">
          <w:pPr>
            <w:pStyle w:val="Style100"/>
            <w:numPr>
              <w:ilvl w:val="3"/>
              <w:numId w:val="50"/>
            </w:numPr>
            <w:tabs>
              <w:tab w:val="left" w:pos="560"/>
            </w:tabs>
            <w:rPr>
              <w:rFonts w:ascii="宋体" w:hAnsi="宋体"/>
            </w:rPr>
          </w:pPr>
          <w:r>
            <w:rPr>
              <w:rFonts w:ascii="宋体" w:hAnsi="宋体" w:hint="eastAsia"/>
            </w:rPr>
            <w:t>按款项性质分类情况</w:t>
          </w:r>
        </w:p>
        <w:sdt>
          <w:sdtPr>
            <w:alias w:val="是否适用：其他应收款按款项性质分类情况[双击切换]"/>
            <w:tag w:val="_GBC_43f55a27297f4f93b1b4f668134ac6be"/>
            <w:id w:val="-844784959"/>
            <w:lock w:val="sdtContentLocked"/>
            <w:placeholder>
              <w:docPart w:val="GBC22222222222222222222222222222"/>
            </w:placeholder>
          </w:sdtPr>
          <w:sdtEndPr/>
          <w:sdtContent>
            <w:p w14:paraId="6326A90A"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D2FCBBC" w14:textId="77777777" w:rsidR="00830E72" w:rsidRDefault="008344D8">
          <w:pPr>
            <w:jc w:val="right"/>
          </w:pPr>
          <w:r>
            <w:rPr>
              <w:rFonts w:hint="eastAsia"/>
            </w:rPr>
            <w:t>单位：</w:t>
          </w:r>
          <w:sdt>
            <w:sdtPr>
              <w:rPr>
                <w:rFonts w:hint="eastAsia"/>
              </w:rPr>
              <w:alias w:val="单位：财务附注：其他应收款按款项性质分类情况"/>
              <w:tag w:val="_GBC_9a3af1171f5640cd83ea2c41e0145167"/>
              <w:id w:val="-20963128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其他应收款按款项性质分类情况"/>
              <w:tag w:val="_GBC_0d096e7260294092a6e9a8405d01bc70"/>
              <w:id w:val="-13235094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5"/>
            <w:gridCol w:w="2282"/>
            <w:gridCol w:w="2992"/>
          </w:tblGrid>
          <w:tr w:rsidR="00830E72" w14:paraId="62C666DE" w14:textId="77777777">
            <w:sdt>
              <w:sdtPr>
                <w:tag w:val="_PLD_1e66a0098cd34ad6a335156852121360"/>
                <w:id w:val="1981887228"/>
                <w:lock w:val="sdtLocked"/>
              </w:sdtPr>
              <w:sdtEndPr/>
              <w:sdtContent>
                <w:tc>
                  <w:tcPr>
                    <w:tcW w:w="2086" w:type="pct"/>
                    <w:shd w:val="clear" w:color="auto" w:fill="auto"/>
                    <w:vAlign w:val="center"/>
                  </w:tcPr>
                  <w:p w14:paraId="0DA7C2BE" w14:textId="77777777" w:rsidR="00830E72" w:rsidRDefault="008344D8">
                    <w:pPr>
                      <w:jc w:val="center"/>
                    </w:pPr>
                    <w:r>
                      <w:rPr>
                        <w:rFonts w:hint="eastAsia"/>
                      </w:rPr>
                      <w:t>款项性质</w:t>
                    </w:r>
                  </w:p>
                </w:tc>
              </w:sdtContent>
            </w:sdt>
            <w:sdt>
              <w:sdtPr>
                <w:tag w:val="_PLD_51fee06f6d3944a9bbc7bac249ed63b6"/>
                <w:id w:val="60920036"/>
                <w:lock w:val="sdtLocked"/>
              </w:sdtPr>
              <w:sdtEndPr/>
              <w:sdtContent>
                <w:tc>
                  <w:tcPr>
                    <w:tcW w:w="1261" w:type="pct"/>
                    <w:shd w:val="clear" w:color="auto" w:fill="auto"/>
                    <w:vAlign w:val="center"/>
                  </w:tcPr>
                  <w:p w14:paraId="77E6A586" w14:textId="77777777" w:rsidR="00830E72" w:rsidRDefault="008344D8">
                    <w:pPr>
                      <w:jc w:val="center"/>
                    </w:pPr>
                    <w:r>
                      <w:rPr>
                        <w:rFonts w:hint="eastAsia"/>
                      </w:rPr>
                      <w:t>期末账面余额</w:t>
                    </w:r>
                  </w:p>
                </w:tc>
              </w:sdtContent>
            </w:sdt>
            <w:sdt>
              <w:sdtPr>
                <w:tag w:val="_PLD_0297dadecff24ff8926a98d0267a917b"/>
                <w:id w:val="1289081320"/>
                <w:lock w:val="sdtLocked"/>
              </w:sdtPr>
              <w:sdtEndPr/>
              <w:sdtContent>
                <w:tc>
                  <w:tcPr>
                    <w:tcW w:w="1653" w:type="pct"/>
                    <w:shd w:val="clear" w:color="auto" w:fill="auto"/>
                    <w:vAlign w:val="center"/>
                  </w:tcPr>
                  <w:p w14:paraId="6668EFDA" w14:textId="77777777" w:rsidR="00830E72" w:rsidRDefault="008344D8">
                    <w:pPr>
                      <w:jc w:val="center"/>
                    </w:pPr>
                    <w:r>
                      <w:rPr>
                        <w:rFonts w:hint="eastAsia"/>
                      </w:rPr>
                      <w:t>期初账面余额</w:t>
                    </w:r>
                  </w:p>
                </w:tc>
              </w:sdtContent>
            </w:sdt>
          </w:tr>
          <w:sdt>
            <w:sdtPr>
              <w:rPr>
                <w:rFonts w:hint="eastAsia"/>
              </w:rPr>
              <w:alias w:val="其他应收款按款项性质分类情况明细"/>
              <w:tag w:val="_GBC_936b797bf5094f7da8db3da3acd1de8c"/>
              <w:id w:val="-686449785"/>
              <w:lock w:val="sdtLocked"/>
            </w:sdtPr>
            <w:sdtEndPr/>
            <w:sdtContent>
              <w:tr w:rsidR="00830E72" w14:paraId="0FB7400E" w14:textId="77777777">
                <w:tc>
                  <w:tcPr>
                    <w:tcW w:w="2086" w:type="pct"/>
                    <w:shd w:val="clear" w:color="auto" w:fill="auto"/>
                  </w:tcPr>
                  <w:p w14:paraId="70654955" w14:textId="77777777" w:rsidR="00830E72" w:rsidRDefault="008344D8">
                    <w:r>
                      <w:rPr>
                        <w:rFonts w:hint="eastAsia"/>
                      </w:rPr>
                      <w:t>投标、履约保证金及农民工保障金</w:t>
                    </w:r>
                  </w:p>
                </w:tc>
                <w:tc>
                  <w:tcPr>
                    <w:tcW w:w="1261" w:type="pct"/>
                    <w:shd w:val="clear" w:color="auto" w:fill="auto"/>
                  </w:tcPr>
                  <w:p w14:paraId="78BB374A" w14:textId="77777777" w:rsidR="00830E72" w:rsidRDefault="008344D8">
                    <w:pPr>
                      <w:jc w:val="right"/>
                    </w:pPr>
                    <w:r>
                      <w:t>178,205,906.31</w:t>
                    </w:r>
                  </w:p>
                </w:tc>
                <w:tc>
                  <w:tcPr>
                    <w:tcW w:w="1653" w:type="pct"/>
                    <w:shd w:val="clear" w:color="auto" w:fill="auto"/>
                  </w:tcPr>
                  <w:p w14:paraId="41450400" w14:textId="77777777" w:rsidR="00830E72" w:rsidRDefault="008344D8">
                    <w:pPr>
                      <w:jc w:val="right"/>
                    </w:pPr>
                    <w:r>
                      <w:t>104,606,941.91</w:t>
                    </w:r>
                  </w:p>
                </w:tc>
              </w:tr>
            </w:sdtContent>
          </w:sdt>
          <w:sdt>
            <w:sdtPr>
              <w:rPr>
                <w:rFonts w:hint="eastAsia"/>
              </w:rPr>
              <w:alias w:val="其他应收款按款项性质分类情况明细"/>
              <w:tag w:val="_GBC_936b797bf5094f7da8db3da3acd1de8c"/>
              <w:id w:val="-571198807"/>
              <w:lock w:val="sdtLocked"/>
            </w:sdtPr>
            <w:sdtEndPr/>
            <w:sdtContent>
              <w:tr w:rsidR="00830E72" w14:paraId="40119055" w14:textId="77777777">
                <w:tc>
                  <w:tcPr>
                    <w:tcW w:w="2086" w:type="pct"/>
                    <w:shd w:val="clear" w:color="auto" w:fill="auto"/>
                  </w:tcPr>
                  <w:p w14:paraId="04211A94" w14:textId="77777777" w:rsidR="00830E72" w:rsidRDefault="008344D8">
                    <w:pPr>
                      <w:rPr>
                        <w:b/>
                      </w:rPr>
                    </w:pPr>
                    <w:r>
                      <w:rPr>
                        <w:rFonts w:hint="eastAsia"/>
                      </w:rPr>
                      <w:t>其他保证金、押金</w:t>
                    </w:r>
                  </w:p>
                </w:tc>
                <w:tc>
                  <w:tcPr>
                    <w:tcW w:w="1261" w:type="pct"/>
                    <w:shd w:val="clear" w:color="auto" w:fill="auto"/>
                  </w:tcPr>
                  <w:p w14:paraId="050549CE" w14:textId="77777777" w:rsidR="00830E72" w:rsidRDefault="008344D8">
                    <w:pPr>
                      <w:jc w:val="right"/>
                    </w:pPr>
                    <w:r>
                      <w:t>3,857,508.24</w:t>
                    </w:r>
                  </w:p>
                </w:tc>
                <w:tc>
                  <w:tcPr>
                    <w:tcW w:w="1653" w:type="pct"/>
                    <w:shd w:val="clear" w:color="auto" w:fill="auto"/>
                  </w:tcPr>
                  <w:p w14:paraId="36ED137E" w14:textId="77777777" w:rsidR="00830E72" w:rsidRDefault="008344D8">
                    <w:pPr>
                      <w:jc w:val="right"/>
                    </w:pPr>
                    <w:r>
                      <w:t>7,780,343.40</w:t>
                    </w:r>
                  </w:p>
                </w:tc>
              </w:tr>
            </w:sdtContent>
          </w:sdt>
          <w:sdt>
            <w:sdtPr>
              <w:rPr>
                <w:rFonts w:hint="eastAsia"/>
              </w:rPr>
              <w:alias w:val="其他应收款按款项性质分类情况明细"/>
              <w:tag w:val="_GBC_936b797bf5094f7da8db3da3acd1de8c"/>
              <w:id w:val="-887794824"/>
              <w:lock w:val="sdtLocked"/>
            </w:sdtPr>
            <w:sdtEndPr/>
            <w:sdtContent>
              <w:tr w:rsidR="00830E72" w14:paraId="0FFCD5CA" w14:textId="77777777">
                <w:tc>
                  <w:tcPr>
                    <w:tcW w:w="2086" w:type="pct"/>
                    <w:shd w:val="clear" w:color="auto" w:fill="auto"/>
                  </w:tcPr>
                  <w:p w14:paraId="7CDAD242" w14:textId="77777777" w:rsidR="00830E72" w:rsidRDefault="008344D8">
                    <w:pPr>
                      <w:rPr>
                        <w:b/>
                      </w:rPr>
                    </w:pPr>
                    <w:r>
                      <w:rPr>
                        <w:rFonts w:hint="eastAsia"/>
                      </w:rPr>
                      <w:t>往来款及备用金</w:t>
                    </w:r>
                  </w:p>
                </w:tc>
                <w:tc>
                  <w:tcPr>
                    <w:tcW w:w="1261" w:type="pct"/>
                    <w:shd w:val="clear" w:color="auto" w:fill="auto"/>
                  </w:tcPr>
                  <w:p w14:paraId="71C135D2" w14:textId="77777777" w:rsidR="00830E72" w:rsidRDefault="008344D8">
                    <w:pPr>
                      <w:jc w:val="right"/>
                    </w:pPr>
                    <w:r>
                      <w:t>60,399,170.56</w:t>
                    </w:r>
                  </w:p>
                </w:tc>
                <w:tc>
                  <w:tcPr>
                    <w:tcW w:w="1653" w:type="pct"/>
                    <w:shd w:val="clear" w:color="auto" w:fill="auto"/>
                  </w:tcPr>
                  <w:p w14:paraId="1C3A9F45" w14:textId="77777777" w:rsidR="00830E72" w:rsidRDefault="008344D8">
                    <w:pPr>
                      <w:jc w:val="right"/>
                    </w:pPr>
                    <w:r>
                      <w:t>39,210,977.68</w:t>
                    </w:r>
                  </w:p>
                </w:tc>
              </w:tr>
            </w:sdtContent>
          </w:sdt>
          <w:sdt>
            <w:sdtPr>
              <w:rPr>
                <w:rFonts w:hint="eastAsia"/>
              </w:rPr>
              <w:alias w:val="其他应收款按款项性质分类情况明细"/>
              <w:tag w:val="_GBC_936b797bf5094f7da8db3da3acd1de8c"/>
              <w:id w:val="-1932579097"/>
              <w:lock w:val="sdtLocked"/>
            </w:sdtPr>
            <w:sdtEndPr/>
            <w:sdtContent>
              <w:tr w:rsidR="00830E72" w14:paraId="3C6A74B7" w14:textId="77777777">
                <w:tc>
                  <w:tcPr>
                    <w:tcW w:w="2086" w:type="pct"/>
                    <w:shd w:val="clear" w:color="auto" w:fill="auto"/>
                  </w:tcPr>
                  <w:p w14:paraId="71A250F0" w14:textId="77777777" w:rsidR="00830E72" w:rsidRDefault="008344D8">
                    <w:pPr>
                      <w:rPr>
                        <w:b/>
                      </w:rPr>
                    </w:pPr>
                    <w:r>
                      <w:rPr>
                        <w:rFonts w:hint="eastAsia"/>
                      </w:rPr>
                      <w:t>股权交易意向金</w:t>
                    </w:r>
                  </w:p>
                </w:tc>
                <w:tc>
                  <w:tcPr>
                    <w:tcW w:w="1261" w:type="pct"/>
                    <w:shd w:val="clear" w:color="auto" w:fill="auto"/>
                  </w:tcPr>
                  <w:p w14:paraId="7B080DFB" w14:textId="77777777" w:rsidR="00830E72" w:rsidRDefault="008344D8">
                    <w:pPr>
                      <w:jc w:val="right"/>
                    </w:pPr>
                    <w:r>
                      <w:t>20,000,000.00</w:t>
                    </w:r>
                  </w:p>
                </w:tc>
                <w:tc>
                  <w:tcPr>
                    <w:tcW w:w="1653" w:type="pct"/>
                    <w:shd w:val="clear" w:color="auto" w:fill="auto"/>
                  </w:tcPr>
                  <w:p w14:paraId="7F0D4DB1" w14:textId="77777777" w:rsidR="00830E72" w:rsidRDefault="008344D8">
                    <w:pPr>
                      <w:jc w:val="right"/>
                    </w:pPr>
                    <w:r>
                      <w:t>20,000,000.00</w:t>
                    </w:r>
                  </w:p>
                </w:tc>
              </w:tr>
            </w:sdtContent>
          </w:sdt>
          <w:sdt>
            <w:sdtPr>
              <w:rPr>
                <w:rFonts w:hint="eastAsia"/>
              </w:rPr>
              <w:alias w:val="其他应收款按款项性质分类情况明细"/>
              <w:tag w:val="_GBC_936b797bf5094f7da8db3da3acd1de8c"/>
              <w:id w:val="-650135184"/>
              <w:lock w:val="sdtLocked"/>
            </w:sdtPr>
            <w:sdtEndPr/>
            <w:sdtContent>
              <w:tr w:rsidR="00830E72" w14:paraId="5E067915" w14:textId="77777777">
                <w:tc>
                  <w:tcPr>
                    <w:tcW w:w="2086" w:type="pct"/>
                    <w:shd w:val="clear" w:color="auto" w:fill="auto"/>
                  </w:tcPr>
                  <w:p w14:paraId="5B0C5C3B" w14:textId="77777777" w:rsidR="00830E72" w:rsidRDefault="008344D8">
                    <w:pPr>
                      <w:rPr>
                        <w:b/>
                      </w:rPr>
                    </w:pPr>
                    <w:r>
                      <w:rPr>
                        <w:rFonts w:hint="eastAsia"/>
                      </w:rPr>
                      <w:t>其他</w:t>
                    </w:r>
                  </w:p>
                </w:tc>
                <w:tc>
                  <w:tcPr>
                    <w:tcW w:w="1261" w:type="pct"/>
                    <w:shd w:val="clear" w:color="auto" w:fill="auto"/>
                  </w:tcPr>
                  <w:p w14:paraId="043B35C7" w14:textId="77777777" w:rsidR="00830E72" w:rsidRDefault="008344D8">
                    <w:pPr>
                      <w:jc w:val="right"/>
                    </w:pPr>
                    <w:r>
                      <w:t>7,627,747.8</w:t>
                    </w:r>
                    <w:r>
                      <w:rPr>
                        <w:rFonts w:hint="eastAsia"/>
                      </w:rPr>
                      <w:t>3</w:t>
                    </w:r>
                  </w:p>
                </w:tc>
                <w:tc>
                  <w:tcPr>
                    <w:tcW w:w="1653" w:type="pct"/>
                    <w:shd w:val="clear" w:color="auto" w:fill="auto"/>
                  </w:tcPr>
                  <w:p w14:paraId="6E8ACDCF" w14:textId="77777777" w:rsidR="00830E72" w:rsidRDefault="008344D8">
                    <w:pPr>
                      <w:jc w:val="right"/>
                    </w:pPr>
                    <w:r>
                      <w:t>10,856,570.53</w:t>
                    </w:r>
                  </w:p>
                </w:tc>
              </w:tr>
            </w:sdtContent>
          </w:sdt>
          <w:tr w:rsidR="00830E72" w14:paraId="52413697" w14:textId="77777777">
            <w:sdt>
              <w:sdtPr>
                <w:tag w:val="_PLD_99d40156f33b4b6398b236a0f6461a23"/>
                <w:id w:val="-1048456551"/>
                <w:lock w:val="sdtLocked"/>
              </w:sdtPr>
              <w:sdtEndPr/>
              <w:sdtContent>
                <w:tc>
                  <w:tcPr>
                    <w:tcW w:w="2086" w:type="pct"/>
                    <w:shd w:val="clear" w:color="auto" w:fill="auto"/>
                  </w:tcPr>
                  <w:p w14:paraId="395FF046" w14:textId="77777777" w:rsidR="00830E72" w:rsidRDefault="008344D8">
                    <w:pPr>
                      <w:jc w:val="center"/>
                    </w:pPr>
                    <w:r>
                      <w:t>合计</w:t>
                    </w:r>
                  </w:p>
                </w:tc>
              </w:sdtContent>
            </w:sdt>
            <w:tc>
              <w:tcPr>
                <w:tcW w:w="1261" w:type="pct"/>
                <w:shd w:val="clear" w:color="auto" w:fill="auto"/>
              </w:tcPr>
              <w:p w14:paraId="30917882" w14:textId="77777777" w:rsidR="00830E72" w:rsidRDefault="008344D8">
                <w:pPr>
                  <w:jc w:val="right"/>
                </w:pPr>
                <w:r>
                  <w:t>270,090,332.94</w:t>
                </w:r>
              </w:p>
            </w:tc>
            <w:tc>
              <w:tcPr>
                <w:tcW w:w="1653" w:type="pct"/>
                <w:shd w:val="clear" w:color="auto" w:fill="auto"/>
              </w:tcPr>
              <w:p w14:paraId="57C8ED37" w14:textId="77777777" w:rsidR="00830E72" w:rsidRDefault="008344D8">
                <w:pPr>
                  <w:jc w:val="right"/>
                </w:pPr>
                <w:r>
                  <w:t>182,454,833.52</w:t>
                </w:r>
              </w:p>
            </w:tc>
          </w:tr>
        </w:tbl>
        <w:p w14:paraId="2AD81001" w14:textId="77777777" w:rsidR="00830E72" w:rsidRDefault="00D44830"/>
      </w:sdtContent>
    </w:sdt>
    <w:bookmarkStart w:id="110" w:name="_Hlk10469799" w:displacedByCustomXml="next"/>
    <w:sdt>
      <w:sdtPr>
        <w:rPr>
          <w:rFonts w:ascii="宋体" w:hAnsi="宋体" w:cs="宋体" w:hint="eastAsia"/>
          <w:b w:val="0"/>
          <w:bCs w:val="0"/>
          <w:kern w:val="0"/>
          <w:szCs w:val="24"/>
        </w:rPr>
        <w:alias w:val="模块:坏账准备计提情况"/>
        <w:tag w:val="_SEC_5ff83398df8949c88f89340b5b0e52f6"/>
        <w:id w:val="556050745"/>
        <w:lock w:val="sdtLocked"/>
        <w:placeholder>
          <w:docPart w:val="GBC22222222222222222222222222222"/>
        </w:placeholder>
      </w:sdtPr>
      <w:sdtEndPr>
        <w:rPr>
          <w:rFonts w:hint="default"/>
        </w:rPr>
      </w:sdtEndPr>
      <w:sdtContent>
        <w:p w14:paraId="3DEAC557" w14:textId="77777777" w:rsidR="00830E72" w:rsidRDefault="008344D8">
          <w:pPr>
            <w:pStyle w:val="Style100"/>
            <w:numPr>
              <w:ilvl w:val="3"/>
              <w:numId w:val="50"/>
            </w:numPr>
            <w:tabs>
              <w:tab w:val="left" w:pos="560"/>
            </w:tabs>
            <w:rPr>
              <w:rFonts w:ascii="宋体" w:hAnsi="宋体"/>
            </w:rPr>
          </w:pPr>
          <w:r>
            <w:rPr>
              <w:rFonts w:ascii="宋体" w:hAnsi="宋体" w:hint="eastAsia"/>
            </w:rPr>
            <w:t>坏账准备计提情况</w:t>
          </w:r>
        </w:p>
        <w:sdt>
          <w:sdtPr>
            <w:rPr>
              <w:szCs w:val="21"/>
            </w:rPr>
            <w:alias w:val="是否适用：其他应收款坏账准备调节表[双击切换]"/>
            <w:tag w:val="_GBC_29d0c5a1588a4f6589b1f8148c9ef180"/>
            <w:id w:val="1650402730"/>
            <w:lock w:val="sdtContentLocked"/>
            <w:placeholder>
              <w:docPart w:val="GBC22222222222222222222222222222"/>
            </w:placeholder>
          </w:sdtPr>
          <w:sdtEndPr/>
          <w:sdtContent>
            <w:p w14:paraId="72A15F50" w14:textId="77777777" w:rsidR="00830E72" w:rsidRDefault="008344D8">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3D26F8F" w14:textId="77777777" w:rsidR="00830E72" w:rsidRDefault="008344D8">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c65b82e3cfaf4fde8d75eac8c9a6e9f9"/>
              <w:id w:val="-18199557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收款坏账准备调节表"/>
              <w:tag w:val="_GBC_08cd78a434cc441cbfff10030c5a8719"/>
              <w:id w:val="21017576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582"/>
            <w:gridCol w:w="1842"/>
            <w:gridCol w:w="1853"/>
            <w:gridCol w:w="1699"/>
          </w:tblGrid>
          <w:tr w:rsidR="00830E72" w14:paraId="5FD96C71" w14:textId="77777777">
            <w:sdt>
              <w:sdtPr>
                <w:rPr>
                  <w:rFonts w:ascii="宋体" w:eastAsia="宋体" w:hAnsi="宋体"/>
                </w:rPr>
                <w:tag w:val="_PLD_0df16deeb9614db49d9aa88a31229d9a"/>
                <w:id w:val="-81372741"/>
                <w:lock w:val="sdtLocked"/>
              </w:sdtPr>
              <w:sdtEndPr/>
              <w:sdtContent>
                <w:tc>
                  <w:tcPr>
                    <w:tcW w:w="1145" w:type="pct"/>
                    <w:vMerge w:val="restart"/>
                    <w:vAlign w:val="center"/>
                  </w:tcPr>
                  <w:p w14:paraId="2B0E7F37" w14:textId="77777777" w:rsidR="00830E72" w:rsidRDefault="008344D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rPr>
                  <w:rFonts w:ascii="宋体" w:eastAsia="宋体" w:hAnsi="宋体"/>
                </w:rPr>
                <w:tag w:val="_PLD_f47baed0f5d14c0486b4530b2aa1cb4c"/>
                <w:id w:val="1924072264"/>
                <w:lock w:val="sdtLocked"/>
              </w:sdtPr>
              <w:sdtEndPr/>
              <w:sdtContent>
                <w:tc>
                  <w:tcPr>
                    <w:tcW w:w="874" w:type="pct"/>
                    <w:vAlign w:val="center"/>
                  </w:tcPr>
                  <w:p w14:paraId="663338A5" w14:textId="77777777" w:rsidR="00830E72" w:rsidRDefault="008344D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rPr>
                  <w:rFonts w:ascii="宋体" w:eastAsia="宋体" w:hAnsi="宋体"/>
                </w:rPr>
                <w:tag w:val="_PLD_a29dd4725bec4eb78b246b92252a24df"/>
                <w:id w:val="1548874109"/>
                <w:lock w:val="sdtLocked"/>
              </w:sdtPr>
              <w:sdtEndPr/>
              <w:sdtContent>
                <w:tc>
                  <w:tcPr>
                    <w:tcW w:w="1018" w:type="pct"/>
                    <w:vAlign w:val="center"/>
                  </w:tcPr>
                  <w:p w14:paraId="5610FFB6" w14:textId="77777777" w:rsidR="00830E72" w:rsidRDefault="008344D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rPr>
                  <w:rFonts w:ascii="宋体" w:eastAsia="宋体" w:hAnsi="宋体"/>
                </w:rPr>
                <w:tag w:val="_PLD_c495a5d3c56f4cb9a0bd5cc9cc9b5410"/>
                <w:id w:val="1393225602"/>
                <w:lock w:val="sdtLocked"/>
              </w:sdtPr>
              <w:sdtEndPr/>
              <w:sdtContent>
                <w:tc>
                  <w:tcPr>
                    <w:tcW w:w="1024" w:type="pct"/>
                    <w:vAlign w:val="center"/>
                  </w:tcPr>
                  <w:p w14:paraId="652EC6ED" w14:textId="77777777" w:rsidR="00830E72" w:rsidRDefault="008344D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rPr>
                  <w:rFonts w:ascii="宋体" w:eastAsia="宋体" w:hAnsi="宋体"/>
                </w:rPr>
                <w:tag w:val="_PLD_0dc8bab0b7424c1295b83fcc97ca7554"/>
                <w:id w:val="-747507479"/>
                <w:lock w:val="sdtLocked"/>
              </w:sdtPr>
              <w:sdtEndPr/>
              <w:sdtContent>
                <w:tc>
                  <w:tcPr>
                    <w:tcW w:w="940" w:type="pct"/>
                    <w:vMerge w:val="restart"/>
                    <w:vAlign w:val="center"/>
                  </w:tcPr>
                  <w:p w14:paraId="4E925BD2" w14:textId="77777777" w:rsidR="00830E72" w:rsidRDefault="008344D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830E72" w14:paraId="025AABCC" w14:textId="77777777">
            <w:tc>
              <w:tcPr>
                <w:tcW w:w="1145" w:type="pct"/>
                <w:vMerge/>
                <w:vAlign w:val="center"/>
              </w:tcPr>
              <w:p w14:paraId="33220D22" w14:textId="77777777" w:rsidR="00830E72" w:rsidRDefault="00830E72">
                <w:pPr>
                  <w:jc w:val="center"/>
                  <w:rPr>
                    <w:color w:val="008000"/>
                    <w:szCs w:val="21"/>
                  </w:rPr>
                </w:pPr>
              </w:p>
            </w:tc>
            <w:sdt>
              <w:sdtPr>
                <w:rPr>
                  <w:rFonts w:ascii="宋体" w:eastAsia="宋体" w:hAnsi="宋体"/>
                </w:rPr>
                <w:tag w:val="_PLD_08f8b6a1fd974f0d8ae0c04f27849740"/>
                <w:id w:val="1575541710"/>
                <w:lock w:val="sdtLocked"/>
              </w:sdtPr>
              <w:sdtEndPr/>
              <w:sdtContent>
                <w:tc>
                  <w:tcPr>
                    <w:tcW w:w="874" w:type="pct"/>
                    <w:vAlign w:val="center"/>
                  </w:tcPr>
                  <w:p w14:paraId="3C5EA246" w14:textId="77777777" w:rsidR="00830E72" w:rsidRDefault="008344D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rPr>
                  <w:rFonts w:ascii="宋体" w:eastAsia="宋体" w:hAnsi="宋体"/>
                </w:rPr>
                <w:tag w:val="_PLD_c85cfe8f6d6a4ab0af13d30e76cd7800"/>
                <w:id w:val="-1029724724"/>
                <w:lock w:val="sdtLocked"/>
              </w:sdtPr>
              <w:sdtEndPr/>
              <w:sdtContent>
                <w:tc>
                  <w:tcPr>
                    <w:tcW w:w="1018" w:type="pct"/>
                    <w:vAlign w:val="center"/>
                  </w:tcPr>
                  <w:p w14:paraId="158437DE" w14:textId="77777777" w:rsidR="00830E72" w:rsidRDefault="008344D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rPr>
                  <w:rFonts w:ascii="宋体" w:eastAsia="宋体" w:hAnsi="宋体"/>
                </w:rPr>
                <w:tag w:val="_PLD_2df6c7466f224906aa04a411975e6f79"/>
                <w:id w:val="-1377463928"/>
                <w:lock w:val="sdtLocked"/>
              </w:sdtPr>
              <w:sdtEndPr/>
              <w:sdtContent>
                <w:tc>
                  <w:tcPr>
                    <w:tcW w:w="1024" w:type="pct"/>
                    <w:vAlign w:val="center"/>
                  </w:tcPr>
                  <w:p w14:paraId="0C5FEA5C" w14:textId="77777777" w:rsidR="00830E72" w:rsidRDefault="008344D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0" w:type="pct"/>
                <w:vMerge/>
              </w:tcPr>
              <w:p w14:paraId="56AE936D" w14:textId="77777777" w:rsidR="00830E72" w:rsidRDefault="00830E72">
                <w:pPr>
                  <w:jc w:val="center"/>
                  <w:rPr>
                    <w:color w:val="008000"/>
                    <w:szCs w:val="21"/>
                  </w:rPr>
                </w:pPr>
              </w:p>
            </w:tc>
          </w:tr>
          <w:tr w:rsidR="00830E72" w14:paraId="670123A7" w14:textId="77777777">
            <w:sdt>
              <w:sdtPr>
                <w:rPr>
                  <w:rFonts w:ascii="宋体" w:eastAsia="宋体" w:hAnsi="宋体"/>
                </w:rPr>
                <w:tag w:val="_PLD_2d320061b2c04b43aa4ffcb4160cc3e9"/>
                <w:id w:val="753395385"/>
                <w:lock w:val="sdtLocked"/>
              </w:sdtPr>
              <w:sdtEndPr/>
              <w:sdtContent>
                <w:tc>
                  <w:tcPr>
                    <w:tcW w:w="1145" w:type="pct"/>
                    <w:vAlign w:val="center"/>
                  </w:tcPr>
                  <w:p w14:paraId="6B7D5380"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874" w:type="pct"/>
                <w:vAlign w:val="center"/>
              </w:tcPr>
              <w:p w14:paraId="41F93DA7" w14:textId="77777777" w:rsidR="00830E72" w:rsidRDefault="008344D8">
                <w:pPr>
                  <w:jc w:val="right"/>
                  <w:rPr>
                    <w:szCs w:val="21"/>
                  </w:rPr>
                </w:pPr>
                <w:r>
                  <w:rPr>
                    <w:szCs w:val="21"/>
                  </w:rPr>
                  <w:t>8,550,778.78</w:t>
                </w:r>
              </w:p>
            </w:tc>
            <w:tc>
              <w:tcPr>
                <w:tcW w:w="1018" w:type="pct"/>
                <w:vAlign w:val="center"/>
              </w:tcPr>
              <w:p w14:paraId="11BF0CA8" w14:textId="77777777" w:rsidR="00830E72" w:rsidRDefault="00830E72">
                <w:pPr>
                  <w:jc w:val="right"/>
                  <w:rPr>
                    <w:szCs w:val="21"/>
                  </w:rPr>
                </w:pPr>
              </w:p>
            </w:tc>
            <w:tc>
              <w:tcPr>
                <w:tcW w:w="1024" w:type="pct"/>
                <w:vAlign w:val="center"/>
              </w:tcPr>
              <w:p w14:paraId="69554C77" w14:textId="77777777" w:rsidR="00830E72" w:rsidRDefault="00830E72">
                <w:pPr>
                  <w:jc w:val="right"/>
                  <w:rPr>
                    <w:szCs w:val="21"/>
                  </w:rPr>
                </w:pPr>
              </w:p>
            </w:tc>
            <w:tc>
              <w:tcPr>
                <w:tcW w:w="940" w:type="pct"/>
                <w:vAlign w:val="center"/>
              </w:tcPr>
              <w:p w14:paraId="08635D5B" w14:textId="77777777" w:rsidR="00830E72" w:rsidRDefault="008344D8">
                <w:pPr>
                  <w:jc w:val="right"/>
                  <w:rPr>
                    <w:szCs w:val="21"/>
                  </w:rPr>
                </w:pPr>
                <w:r>
                  <w:rPr>
                    <w:szCs w:val="21"/>
                  </w:rPr>
                  <w:t>8,550,778.78</w:t>
                </w:r>
              </w:p>
            </w:tc>
          </w:tr>
          <w:tr w:rsidR="00830E72" w14:paraId="12771F03" w14:textId="77777777">
            <w:sdt>
              <w:sdtPr>
                <w:rPr>
                  <w:rFonts w:ascii="宋体" w:eastAsia="宋体" w:hAnsi="宋体"/>
                </w:rPr>
                <w:tag w:val="_PLD_87947ae743a54051a279d9db76e17d3e"/>
                <w:id w:val="-10617150"/>
                <w:lock w:val="sdtLocked"/>
              </w:sdtPr>
              <w:sdtEndPr/>
              <w:sdtContent>
                <w:tc>
                  <w:tcPr>
                    <w:tcW w:w="1145" w:type="pct"/>
                    <w:vAlign w:val="center"/>
                  </w:tcPr>
                  <w:p w14:paraId="31C1B554"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2021年1月1日余额在本期</w:t>
                    </w:r>
                  </w:p>
                </w:tc>
              </w:sdtContent>
            </w:sdt>
            <w:tc>
              <w:tcPr>
                <w:tcW w:w="874" w:type="pct"/>
                <w:vAlign w:val="center"/>
              </w:tcPr>
              <w:p w14:paraId="6F56346D" w14:textId="77777777" w:rsidR="00830E72" w:rsidRDefault="00830E72">
                <w:pPr>
                  <w:jc w:val="right"/>
                  <w:rPr>
                    <w:szCs w:val="21"/>
                  </w:rPr>
                </w:pPr>
              </w:p>
            </w:tc>
            <w:tc>
              <w:tcPr>
                <w:tcW w:w="1018" w:type="pct"/>
                <w:vAlign w:val="center"/>
              </w:tcPr>
              <w:p w14:paraId="59261C6D" w14:textId="77777777" w:rsidR="00830E72" w:rsidRDefault="00830E72">
                <w:pPr>
                  <w:jc w:val="right"/>
                  <w:rPr>
                    <w:szCs w:val="21"/>
                  </w:rPr>
                </w:pPr>
              </w:p>
            </w:tc>
            <w:tc>
              <w:tcPr>
                <w:tcW w:w="1024" w:type="pct"/>
                <w:vAlign w:val="center"/>
              </w:tcPr>
              <w:p w14:paraId="261D71EB" w14:textId="77777777" w:rsidR="00830E72" w:rsidRDefault="00830E72">
                <w:pPr>
                  <w:jc w:val="right"/>
                  <w:rPr>
                    <w:szCs w:val="21"/>
                  </w:rPr>
                </w:pPr>
              </w:p>
            </w:tc>
            <w:tc>
              <w:tcPr>
                <w:tcW w:w="940" w:type="pct"/>
                <w:vAlign w:val="center"/>
              </w:tcPr>
              <w:p w14:paraId="52A80290" w14:textId="77777777" w:rsidR="00830E72" w:rsidRDefault="00830E72">
                <w:pPr>
                  <w:jc w:val="right"/>
                  <w:rPr>
                    <w:szCs w:val="21"/>
                  </w:rPr>
                </w:pPr>
              </w:p>
            </w:tc>
          </w:tr>
          <w:tr w:rsidR="00830E72" w14:paraId="0407CB4F" w14:textId="77777777">
            <w:sdt>
              <w:sdtPr>
                <w:rPr>
                  <w:rFonts w:ascii="宋体" w:eastAsia="宋体" w:hAnsi="宋体"/>
                </w:rPr>
                <w:tag w:val="_PLD_038143b9e2e34542b73dcfc1430d95cc"/>
                <w:id w:val="170228438"/>
                <w:lock w:val="sdtLocked"/>
              </w:sdtPr>
              <w:sdtEndPr/>
              <w:sdtContent>
                <w:tc>
                  <w:tcPr>
                    <w:tcW w:w="1145" w:type="pct"/>
                    <w:vAlign w:val="center"/>
                  </w:tcPr>
                  <w:p w14:paraId="7EED819D"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74" w:type="pct"/>
                <w:vAlign w:val="center"/>
              </w:tcPr>
              <w:p w14:paraId="789267D5" w14:textId="77777777" w:rsidR="00830E72" w:rsidRDefault="00830E72">
                <w:pPr>
                  <w:jc w:val="right"/>
                  <w:rPr>
                    <w:szCs w:val="21"/>
                  </w:rPr>
                </w:pPr>
              </w:p>
            </w:tc>
            <w:tc>
              <w:tcPr>
                <w:tcW w:w="1018" w:type="pct"/>
                <w:vAlign w:val="center"/>
              </w:tcPr>
              <w:p w14:paraId="23A643B4" w14:textId="77777777" w:rsidR="00830E72" w:rsidRDefault="00830E72">
                <w:pPr>
                  <w:jc w:val="right"/>
                  <w:rPr>
                    <w:szCs w:val="21"/>
                  </w:rPr>
                </w:pPr>
              </w:p>
            </w:tc>
            <w:tc>
              <w:tcPr>
                <w:tcW w:w="1024" w:type="pct"/>
                <w:vAlign w:val="center"/>
              </w:tcPr>
              <w:p w14:paraId="3C800477" w14:textId="77777777" w:rsidR="00830E72" w:rsidRDefault="00830E72">
                <w:pPr>
                  <w:jc w:val="right"/>
                  <w:rPr>
                    <w:szCs w:val="21"/>
                  </w:rPr>
                </w:pPr>
              </w:p>
            </w:tc>
            <w:tc>
              <w:tcPr>
                <w:tcW w:w="940" w:type="pct"/>
                <w:vAlign w:val="center"/>
              </w:tcPr>
              <w:p w14:paraId="16382C4A" w14:textId="77777777" w:rsidR="00830E72" w:rsidRDefault="00830E72">
                <w:pPr>
                  <w:jc w:val="right"/>
                  <w:rPr>
                    <w:szCs w:val="21"/>
                  </w:rPr>
                </w:pPr>
              </w:p>
            </w:tc>
          </w:tr>
          <w:tr w:rsidR="00830E72" w14:paraId="57728534" w14:textId="77777777">
            <w:sdt>
              <w:sdtPr>
                <w:rPr>
                  <w:rFonts w:ascii="宋体" w:eastAsia="宋体" w:hAnsi="宋体"/>
                </w:rPr>
                <w:tag w:val="_PLD_a76d00fce3fe4d29be0ddd475d30b2c0"/>
                <w:id w:val="-1531099554"/>
                <w:lock w:val="sdtLocked"/>
              </w:sdtPr>
              <w:sdtEndPr/>
              <w:sdtContent>
                <w:tc>
                  <w:tcPr>
                    <w:tcW w:w="1145" w:type="pct"/>
                    <w:vAlign w:val="center"/>
                  </w:tcPr>
                  <w:p w14:paraId="3A0F408F"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74" w:type="pct"/>
                <w:vAlign w:val="center"/>
              </w:tcPr>
              <w:p w14:paraId="762C83E4" w14:textId="77777777" w:rsidR="00830E72" w:rsidRDefault="00830E72">
                <w:pPr>
                  <w:jc w:val="right"/>
                  <w:rPr>
                    <w:szCs w:val="21"/>
                  </w:rPr>
                </w:pPr>
              </w:p>
            </w:tc>
            <w:tc>
              <w:tcPr>
                <w:tcW w:w="1018" w:type="pct"/>
                <w:vAlign w:val="center"/>
              </w:tcPr>
              <w:p w14:paraId="24CCA8C8" w14:textId="77777777" w:rsidR="00830E72" w:rsidRDefault="00830E72">
                <w:pPr>
                  <w:jc w:val="right"/>
                  <w:rPr>
                    <w:szCs w:val="21"/>
                  </w:rPr>
                </w:pPr>
              </w:p>
            </w:tc>
            <w:tc>
              <w:tcPr>
                <w:tcW w:w="1024" w:type="pct"/>
                <w:vAlign w:val="center"/>
              </w:tcPr>
              <w:p w14:paraId="5A73CA4F" w14:textId="77777777" w:rsidR="00830E72" w:rsidRDefault="00830E72">
                <w:pPr>
                  <w:jc w:val="right"/>
                  <w:rPr>
                    <w:szCs w:val="21"/>
                  </w:rPr>
                </w:pPr>
              </w:p>
            </w:tc>
            <w:tc>
              <w:tcPr>
                <w:tcW w:w="940" w:type="pct"/>
                <w:vAlign w:val="center"/>
              </w:tcPr>
              <w:p w14:paraId="272527BF" w14:textId="77777777" w:rsidR="00830E72" w:rsidRDefault="00830E72">
                <w:pPr>
                  <w:jc w:val="right"/>
                  <w:rPr>
                    <w:szCs w:val="21"/>
                  </w:rPr>
                </w:pPr>
              </w:p>
            </w:tc>
          </w:tr>
          <w:tr w:rsidR="00830E72" w14:paraId="369445BF" w14:textId="77777777">
            <w:sdt>
              <w:sdtPr>
                <w:rPr>
                  <w:rFonts w:ascii="宋体" w:eastAsia="宋体" w:hAnsi="宋体"/>
                </w:rPr>
                <w:tag w:val="_PLD_7f587129b9194265b30ab5ac06c73ae1"/>
                <w:id w:val="619035871"/>
                <w:lock w:val="sdtLocked"/>
              </w:sdtPr>
              <w:sdtEndPr/>
              <w:sdtContent>
                <w:tc>
                  <w:tcPr>
                    <w:tcW w:w="1145" w:type="pct"/>
                    <w:vAlign w:val="center"/>
                  </w:tcPr>
                  <w:p w14:paraId="5F6D0C48"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74" w:type="pct"/>
                <w:vAlign w:val="center"/>
              </w:tcPr>
              <w:p w14:paraId="757D11AD" w14:textId="77777777" w:rsidR="00830E72" w:rsidRDefault="00830E72">
                <w:pPr>
                  <w:jc w:val="right"/>
                  <w:rPr>
                    <w:szCs w:val="21"/>
                  </w:rPr>
                </w:pPr>
              </w:p>
            </w:tc>
            <w:tc>
              <w:tcPr>
                <w:tcW w:w="1018" w:type="pct"/>
                <w:vAlign w:val="center"/>
              </w:tcPr>
              <w:p w14:paraId="5A1C0CC9" w14:textId="77777777" w:rsidR="00830E72" w:rsidRDefault="00830E72">
                <w:pPr>
                  <w:jc w:val="right"/>
                  <w:rPr>
                    <w:szCs w:val="21"/>
                  </w:rPr>
                </w:pPr>
              </w:p>
            </w:tc>
            <w:tc>
              <w:tcPr>
                <w:tcW w:w="1024" w:type="pct"/>
                <w:vAlign w:val="center"/>
              </w:tcPr>
              <w:p w14:paraId="01236D70" w14:textId="77777777" w:rsidR="00830E72" w:rsidRDefault="00830E72">
                <w:pPr>
                  <w:jc w:val="right"/>
                  <w:rPr>
                    <w:szCs w:val="21"/>
                  </w:rPr>
                </w:pPr>
              </w:p>
            </w:tc>
            <w:tc>
              <w:tcPr>
                <w:tcW w:w="940" w:type="pct"/>
                <w:vAlign w:val="center"/>
              </w:tcPr>
              <w:p w14:paraId="472A232D" w14:textId="77777777" w:rsidR="00830E72" w:rsidRDefault="00830E72">
                <w:pPr>
                  <w:jc w:val="right"/>
                  <w:rPr>
                    <w:szCs w:val="21"/>
                  </w:rPr>
                </w:pPr>
              </w:p>
            </w:tc>
          </w:tr>
          <w:tr w:rsidR="00830E72" w14:paraId="03C3970D" w14:textId="77777777">
            <w:sdt>
              <w:sdtPr>
                <w:rPr>
                  <w:rFonts w:ascii="宋体" w:eastAsia="宋体" w:hAnsi="宋体"/>
                </w:rPr>
                <w:tag w:val="_PLD_7b7c467e47354ee5a30772a2b1c39114"/>
                <w:id w:val="-244498964"/>
                <w:lock w:val="sdtLocked"/>
              </w:sdtPr>
              <w:sdtEndPr/>
              <w:sdtContent>
                <w:tc>
                  <w:tcPr>
                    <w:tcW w:w="1145" w:type="pct"/>
                    <w:vAlign w:val="center"/>
                  </w:tcPr>
                  <w:p w14:paraId="714491DE"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74" w:type="pct"/>
                <w:vAlign w:val="center"/>
              </w:tcPr>
              <w:p w14:paraId="6E9CD78C" w14:textId="77777777" w:rsidR="00830E72" w:rsidRDefault="00830E72">
                <w:pPr>
                  <w:jc w:val="right"/>
                  <w:rPr>
                    <w:szCs w:val="21"/>
                  </w:rPr>
                </w:pPr>
              </w:p>
            </w:tc>
            <w:tc>
              <w:tcPr>
                <w:tcW w:w="1018" w:type="pct"/>
                <w:vAlign w:val="center"/>
              </w:tcPr>
              <w:p w14:paraId="12061743" w14:textId="77777777" w:rsidR="00830E72" w:rsidRDefault="00830E72">
                <w:pPr>
                  <w:jc w:val="right"/>
                  <w:rPr>
                    <w:szCs w:val="21"/>
                  </w:rPr>
                </w:pPr>
              </w:p>
            </w:tc>
            <w:tc>
              <w:tcPr>
                <w:tcW w:w="1024" w:type="pct"/>
                <w:vAlign w:val="center"/>
              </w:tcPr>
              <w:p w14:paraId="0EB7337E" w14:textId="77777777" w:rsidR="00830E72" w:rsidRDefault="00830E72">
                <w:pPr>
                  <w:jc w:val="right"/>
                  <w:rPr>
                    <w:szCs w:val="21"/>
                  </w:rPr>
                </w:pPr>
              </w:p>
            </w:tc>
            <w:tc>
              <w:tcPr>
                <w:tcW w:w="940" w:type="pct"/>
                <w:vAlign w:val="center"/>
              </w:tcPr>
              <w:p w14:paraId="253F2D8F" w14:textId="77777777" w:rsidR="00830E72" w:rsidRDefault="00830E72">
                <w:pPr>
                  <w:jc w:val="right"/>
                  <w:rPr>
                    <w:szCs w:val="21"/>
                  </w:rPr>
                </w:pPr>
              </w:p>
            </w:tc>
          </w:tr>
          <w:tr w:rsidR="00830E72" w14:paraId="1C32C626" w14:textId="77777777">
            <w:sdt>
              <w:sdtPr>
                <w:rPr>
                  <w:rFonts w:ascii="宋体" w:eastAsia="宋体" w:hAnsi="宋体"/>
                </w:rPr>
                <w:tag w:val="_PLD_539b03f459c4452c8b986b7b696cbc3f"/>
                <w:id w:val="-1193456182"/>
                <w:lock w:val="sdtLocked"/>
              </w:sdtPr>
              <w:sdtEndPr/>
              <w:sdtContent>
                <w:tc>
                  <w:tcPr>
                    <w:tcW w:w="1145" w:type="pct"/>
                    <w:vAlign w:val="center"/>
                  </w:tcPr>
                  <w:p w14:paraId="018687DF"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74" w:type="pct"/>
                <w:vAlign w:val="center"/>
              </w:tcPr>
              <w:p w14:paraId="211727B1" w14:textId="77777777" w:rsidR="00830E72" w:rsidRDefault="008344D8">
                <w:pPr>
                  <w:jc w:val="right"/>
                  <w:rPr>
                    <w:szCs w:val="21"/>
                  </w:rPr>
                </w:pPr>
                <w:r>
                  <w:rPr>
                    <w:szCs w:val="21"/>
                  </w:rPr>
                  <w:t>3,635,270.58</w:t>
                </w:r>
              </w:p>
            </w:tc>
            <w:tc>
              <w:tcPr>
                <w:tcW w:w="1018" w:type="pct"/>
                <w:vAlign w:val="center"/>
              </w:tcPr>
              <w:p w14:paraId="105A7531" w14:textId="77777777" w:rsidR="00830E72" w:rsidRDefault="00830E72">
                <w:pPr>
                  <w:jc w:val="right"/>
                  <w:rPr>
                    <w:szCs w:val="21"/>
                  </w:rPr>
                </w:pPr>
              </w:p>
            </w:tc>
            <w:tc>
              <w:tcPr>
                <w:tcW w:w="1024" w:type="pct"/>
                <w:vAlign w:val="center"/>
              </w:tcPr>
              <w:p w14:paraId="794E8724" w14:textId="77777777" w:rsidR="00830E72" w:rsidRDefault="00830E72">
                <w:pPr>
                  <w:jc w:val="right"/>
                  <w:rPr>
                    <w:szCs w:val="21"/>
                  </w:rPr>
                </w:pPr>
              </w:p>
            </w:tc>
            <w:tc>
              <w:tcPr>
                <w:tcW w:w="940" w:type="pct"/>
                <w:vAlign w:val="center"/>
              </w:tcPr>
              <w:p w14:paraId="54A36A53" w14:textId="77777777" w:rsidR="00830E72" w:rsidRDefault="008344D8">
                <w:pPr>
                  <w:jc w:val="right"/>
                  <w:rPr>
                    <w:szCs w:val="21"/>
                  </w:rPr>
                </w:pPr>
                <w:r>
                  <w:rPr>
                    <w:szCs w:val="21"/>
                  </w:rPr>
                  <w:t>3,635,270.58</w:t>
                </w:r>
              </w:p>
            </w:tc>
          </w:tr>
          <w:tr w:rsidR="00830E72" w14:paraId="152AC801" w14:textId="77777777">
            <w:tc>
              <w:tcPr>
                <w:tcW w:w="1145" w:type="pct"/>
                <w:vAlign w:val="center"/>
              </w:tcPr>
              <w:sdt>
                <w:sdtPr>
                  <w:rPr>
                    <w:rFonts w:ascii="宋体" w:eastAsia="宋体" w:hAnsi="宋体" w:hint="eastAsia"/>
                    <w:sz w:val="21"/>
                    <w:szCs w:val="21"/>
                    <w:lang w:eastAsia="zh-CN"/>
                  </w:rPr>
                  <w:tag w:val="_PLD_ddcd4306bc5c4cc89da3fd6a733c0801"/>
                  <w:id w:val="1839426920"/>
                  <w:lock w:val="sdtLocked"/>
                </w:sdtPr>
                <w:sdtEndPr/>
                <w:sdtContent>
                  <w:p w14:paraId="62E86B08" w14:textId="77777777" w:rsidR="00830E72" w:rsidRDefault="008344D8">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本期转回</w:t>
                    </w:r>
                  </w:p>
                </w:sdtContent>
              </w:sdt>
            </w:tc>
            <w:tc>
              <w:tcPr>
                <w:tcW w:w="874" w:type="pct"/>
                <w:vAlign w:val="center"/>
              </w:tcPr>
              <w:p w14:paraId="095EF9D6" w14:textId="77777777" w:rsidR="00830E72" w:rsidRDefault="00830E72">
                <w:pPr>
                  <w:jc w:val="right"/>
                  <w:rPr>
                    <w:szCs w:val="21"/>
                  </w:rPr>
                </w:pPr>
              </w:p>
            </w:tc>
            <w:tc>
              <w:tcPr>
                <w:tcW w:w="1018" w:type="pct"/>
                <w:vAlign w:val="center"/>
              </w:tcPr>
              <w:p w14:paraId="1BA337BF" w14:textId="77777777" w:rsidR="00830E72" w:rsidRDefault="00830E72">
                <w:pPr>
                  <w:jc w:val="right"/>
                  <w:rPr>
                    <w:szCs w:val="21"/>
                  </w:rPr>
                </w:pPr>
              </w:p>
            </w:tc>
            <w:tc>
              <w:tcPr>
                <w:tcW w:w="1024" w:type="pct"/>
                <w:vAlign w:val="center"/>
              </w:tcPr>
              <w:p w14:paraId="5F9E6C48" w14:textId="77777777" w:rsidR="00830E72" w:rsidRDefault="00830E72">
                <w:pPr>
                  <w:jc w:val="right"/>
                  <w:rPr>
                    <w:szCs w:val="21"/>
                  </w:rPr>
                </w:pPr>
              </w:p>
            </w:tc>
            <w:tc>
              <w:tcPr>
                <w:tcW w:w="940" w:type="pct"/>
                <w:vAlign w:val="center"/>
              </w:tcPr>
              <w:p w14:paraId="5BACF473" w14:textId="77777777" w:rsidR="00830E72" w:rsidRDefault="00830E72">
                <w:pPr>
                  <w:jc w:val="right"/>
                  <w:rPr>
                    <w:szCs w:val="21"/>
                  </w:rPr>
                </w:pPr>
              </w:p>
            </w:tc>
          </w:tr>
          <w:tr w:rsidR="00830E72" w14:paraId="1A788634" w14:textId="77777777">
            <w:sdt>
              <w:sdtPr>
                <w:rPr>
                  <w:rFonts w:ascii="宋体" w:eastAsia="宋体" w:hAnsi="宋体"/>
                </w:rPr>
                <w:tag w:val="_PLD_1c4657ced479496a86e3dc375f285889"/>
                <w:id w:val="1125893824"/>
                <w:lock w:val="sdtLocked"/>
              </w:sdtPr>
              <w:sdtEndPr/>
              <w:sdtContent>
                <w:tc>
                  <w:tcPr>
                    <w:tcW w:w="1145" w:type="pct"/>
                    <w:vAlign w:val="center"/>
                  </w:tcPr>
                  <w:p w14:paraId="25479B3E"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74" w:type="pct"/>
                <w:vAlign w:val="center"/>
              </w:tcPr>
              <w:p w14:paraId="471B5AF0" w14:textId="77777777" w:rsidR="00830E72" w:rsidRDefault="00830E72">
                <w:pPr>
                  <w:jc w:val="right"/>
                  <w:rPr>
                    <w:szCs w:val="21"/>
                  </w:rPr>
                </w:pPr>
              </w:p>
            </w:tc>
            <w:tc>
              <w:tcPr>
                <w:tcW w:w="1018" w:type="pct"/>
                <w:vAlign w:val="center"/>
              </w:tcPr>
              <w:p w14:paraId="7F7C729D" w14:textId="77777777" w:rsidR="00830E72" w:rsidRDefault="00830E72">
                <w:pPr>
                  <w:jc w:val="right"/>
                  <w:rPr>
                    <w:szCs w:val="21"/>
                  </w:rPr>
                </w:pPr>
              </w:p>
            </w:tc>
            <w:tc>
              <w:tcPr>
                <w:tcW w:w="1024" w:type="pct"/>
                <w:vAlign w:val="center"/>
              </w:tcPr>
              <w:p w14:paraId="6445F189" w14:textId="77777777" w:rsidR="00830E72" w:rsidRDefault="00830E72">
                <w:pPr>
                  <w:jc w:val="right"/>
                  <w:rPr>
                    <w:szCs w:val="21"/>
                  </w:rPr>
                </w:pPr>
              </w:p>
            </w:tc>
            <w:tc>
              <w:tcPr>
                <w:tcW w:w="940" w:type="pct"/>
                <w:vAlign w:val="center"/>
              </w:tcPr>
              <w:p w14:paraId="6A500263" w14:textId="77777777" w:rsidR="00830E72" w:rsidRDefault="00830E72">
                <w:pPr>
                  <w:jc w:val="right"/>
                  <w:rPr>
                    <w:szCs w:val="21"/>
                  </w:rPr>
                </w:pPr>
              </w:p>
            </w:tc>
          </w:tr>
          <w:tr w:rsidR="00830E72" w14:paraId="6F4B37F9" w14:textId="77777777">
            <w:tc>
              <w:tcPr>
                <w:tcW w:w="1145" w:type="pct"/>
                <w:vAlign w:val="center"/>
              </w:tcPr>
              <w:sdt>
                <w:sdtPr>
                  <w:rPr>
                    <w:rFonts w:ascii="宋体" w:eastAsia="宋体" w:hAnsi="宋体" w:hint="eastAsia"/>
                    <w:sz w:val="21"/>
                    <w:szCs w:val="21"/>
                    <w:lang w:eastAsia="zh-CN"/>
                  </w:rPr>
                  <w:tag w:val="_PLD_8a1f66e013df42ccbcaccfe3645b25ea"/>
                  <w:id w:val="-127710638"/>
                  <w:lock w:val="sdtLocked"/>
                </w:sdtPr>
                <w:sdtEndPr/>
                <w:sdtContent>
                  <w:p w14:paraId="1CC1447F" w14:textId="77777777" w:rsidR="00830E72" w:rsidRDefault="008344D8">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本期核销</w:t>
                    </w:r>
                  </w:p>
                </w:sdtContent>
              </w:sdt>
            </w:tc>
            <w:tc>
              <w:tcPr>
                <w:tcW w:w="874" w:type="pct"/>
                <w:vAlign w:val="center"/>
              </w:tcPr>
              <w:p w14:paraId="3D6D7A2E" w14:textId="77777777" w:rsidR="00830E72" w:rsidRDefault="00830E72">
                <w:pPr>
                  <w:jc w:val="right"/>
                  <w:rPr>
                    <w:szCs w:val="21"/>
                  </w:rPr>
                </w:pPr>
              </w:p>
            </w:tc>
            <w:tc>
              <w:tcPr>
                <w:tcW w:w="1018" w:type="pct"/>
                <w:vAlign w:val="center"/>
              </w:tcPr>
              <w:p w14:paraId="2BF4F979" w14:textId="77777777" w:rsidR="00830E72" w:rsidRDefault="00830E72">
                <w:pPr>
                  <w:jc w:val="right"/>
                  <w:rPr>
                    <w:szCs w:val="21"/>
                  </w:rPr>
                </w:pPr>
              </w:p>
            </w:tc>
            <w:tc>
              <w:tcPr>
                <w:tcW w:w="1024" w:type="pct"/>
                <w:vAlign w:val="center"/>
              </w:tcPr>
              <w:p w14:paraId="70136AB9" w14:textId="77777777" w:rsidR="00830E72" w:rsidRDefault="00830E72">
                <w:pPr>
                  <w:jc w:val="right"/>
                  <w:rPr>
                    <w:szCs w:val="21"/>
                  </w:rPr>
                </w:pPr>
              </w:p>
            </w:tc>
            <w:tc>
              <w:tcPr>
                <w:tcW w:w="940" w:type="pct"/>
                <w:vAlign w:val="center"/>
              </w:tcPr>
              <w:p w14:paraId="33F23E42" w14:textId="77777777" w:rsidR="00830E72" w:rsidRDefault="00830E72">
                <w:pPr>
                  <w:jc w:val="right"/>
                  <w:rPr>
                    <w:szCs w:val="21"/>
                  </w:rPr>
                </w:pPr>
              </w:p>
            </w:tc>
          </w:tr>
          <w:tr w:rsidR="00830E72" w14:paraId="020FBF20" w14:textId="77777777">
            <w:sdt>
              <w:sdtPr>
                <w:rPr>
                  <w:rFonts w:ascii="宋体" w:eastAsia="宋体" w:hAnsi="宋体"/>
                </w:rPr>
                <w:tag w:val="_PLD_80203c10cb0c468dbd7a48669ddd0f63"/>
                <w:id w:val="1851218935"/>
                <w:lock w:val="sdtLocked"/>
              </w:sdtPr>
              <w:sdtEndPr/>
              <w:sdtContent>
                <w:tc>
                  <w:tcPr>
                    <w:tcW w:w="1145" w:type="pct"/>
                    <w:vAlign w:val="center"/>
                  </w:tcPr>
                  <w:p w14:paraId="33AF4F08"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74" w:type="pct"/>
                <w:vAlign w:val="center"/>
              </w:tcPr>
              <w:p w14:paraId="6777BE3F" w14:textId="77777777" w:rsidR="00830E72" w:rsidRDefault="00830E72">
                <w:pPr>
                  <w:jc w:val="right"/>
                  <w:rPr>
                    <w:szCs w:val="21"/>
                  </w:rPr>
                </w:pPr>
              </w:p>
            </w:tc>
            <w:tc>
              <w:tcPr>
                <w:tcW w:w="1018" w:type="pct"/>
                <w:vAlign w:val="center"/>
              </w:tcPr>
              <w:p w14:paraId="77CA56A4" w14:textId="77777777" w:rsidR="00830E72" w:rsidRDefault="00830E72">
                <w:pPr>
                  <w:jc w:val="right"/>
                  <w:rPr>
                    <w:szCs w:val="21"/>
                  </w:rPr>
                </w:pPr>
              </w:p>
            </w:tc>
            <w:tc>
              <w:tcPr>
                <w:tcW w:w="1024" w:type="pct"/>
                <w:vAlign w:val="center"/>
              </w:tcPr>
              <w:p w14:paraId="286AD707" w14:textId="77777777" w:rsidR="00830E72" w:rsidRDefault="00830E72">
                <w:pPr>
                  <w:jc w:val="right"/>
                  <w:rPr>
                    <w:szCs w:val="21"/>
                  </w:rPr>
                </w:pPr>
              </w:p>
            </w:tc>
            <w:tc>
              <w:tcPr>
                <w:tcW w:w="940" w:type="pct"/>
                <w:vAlign w:val="center"/>
              </w:tcPr>
              <w:p w14:paraId="25C7EE5A" w14:textId="77777777" w:rsidR="00830E72" w:rsidRDefault="00830E72">
                <w:pPr>
                  <w:jc w:val="right"/>
                  <w:rPr>
                    <w:szCs w:val="21"/>
                  </w:rPr>
                </w:pPr>
              </w:p>
            </w:tc>
          </w:tr>
          <w:tr w:rsidR="00830E72" w14:paraId="09BF041A" w14:textId="77777777">
            <w:sdt>
              <w:sdtPr>
                <w:rPr>
                  <w:rFonts w:ascii="宋体" w:eastAsia="宋体" w:hAnsi="宋体"/>
                </w:rPr>
                <w:tag w:val="_PLD_bb669c94f1734a70be90735195c143c3"/>
                <w:id w:val="548572338"/>
                <w:lock w:val="sdtLocked"/>
              </w:sdtPr>
              <w:sdtEndPr/>
              <w:sdtContent>
                <w:tc>
                  <w:tcPr>
                    <w:tcW w:w="1145" w:type="pct"/>
                    <w:vAlign w:val="center"/>
                  </w:tcPr>
                  <w:p w14:paraId="3123EC98" w14:textId="77777777" w:rsidR="00830E72" w:rsidRDefault="008344D8">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2021年6月30日</w:t>
                    </w:r>
                    <w:r>
                      <w:rPr>
                        <w:rFonts w:ascii="宋体" w:eastAsia="宋体" w:hAnsi="宋体" w:cs="宋体" w:hint="eastAsia"/>
                        <w:sz w:val="21"/>
                        <w:szCs w:val="21"/>
                        <w:lang w:eastAsia="zh-CN"/>
                      </w:rPr>
                      <w:t>余额</w:t>
                    </w:r>
                  </w:p>
                </w:tc>
              </w:sdtContent>
            </w:sdt>
            <w:tc>
              <w:tcPr>
                <w:tcW w:w="874" w:type="pct"/>
                <w:vAlign w:val="center"/>
              </w:tcPr>
              <w:p w14:paraId="4A383F03" w14:textId="77777777" w:rsidR="00830E72" w:rsidRDefault="008344D8">
                <w:pPr>
                  <w:jc w:val="right"/>
                  <w:rPr>
                    <w:szCs w:val="21"/>
                  </w:rPr>
                </w:pPr>
                <w:r>
                  <w:rPr>
                    <w:szCs w:val="21"/>
                  </w:rPr>
                  <w:t>12,186,049.36</w:t>
                </w:r>
              </w:p>
            </w:tc>
            <w:tc>
              <w:tcPr>
                <w:tcW w:w="1018" w:type="pct"/>
                <w:vAlign w:val="center"/>
              </w:tcPr>
              <w:p w14:paraId="6AD644FB" w14:textId="77777777" w:rsidR="00830E72" w:rsidRDefault="00830E72">
                <w:pPr>
                  <w:jc w:val="right"/>
                  <w:rPr>
                    <w:szCs w:val="21"/>
                  </w:rPr>
                </w:pPr>
              </w:p>
            </w:tc>
            <w:tc>
              <w:tcPr>
                <w:tcW w:w="1024" w:type="pct"/>
                <w:vAlign w:val="center"/>
              </w:tcPr>
              <w:p w14:paraId="39214ACB" w14:textId="77777777" w:rsidR="00830E72" w:rsidRDefault="00830E72">
                <w:pPr>
                  <w:jc w:val="right"/>
                  <w:rPr>
                    <w:szCs w:val="21"/>
                  </w:rPr>
                </w:pPr>
              </w:p>
            </w:tc>
            <w:tc>
              <w:tcPr>
                <w:tcW w:w="940" w:type="pct"/>
                <w:vAlign w:val="center"/>
              </w:tcPr>
              <w:p w14:paraId="4D3F2018" w14:textId="77777777" w:rsidR="00830E72" w:rsidRDefault="008344D8">
                <w:pPr>
                  <w:jc w:val="right"/>
                  <w:rPr>
                    <w:szCs w:val="21"/>
                  </w:rPr>
                </w:pPr>
                <w:r>
                  <w:rPr>
                    <w:szCs w:val="21"/>
                  </w:rPr>
                  <w:t>12,186,049.36</w:t>
                </w:r>
              </w:p>
            </w:tc>
          </w:tr>
        </w:tbl>
        <w:p w14:paraId="000D0296" w14:textId="77777777" w:rsidR="00830E72" w:rsidRDefault="008344D8">
          <w:pPr>
            <w:pStyle w:val="Style144"/>
            <w:rPr>
              <w:rFonts w:ascii="宋体" w:hAnsi="宋体"/>
            </w:rPr>
          </w:pPr>
          <w:r>
            <w:rPr>
              <w:rFonts w:ascii="宋体" w:hAnsi="宋体" w:hint="eastAsia"/>
            </w:rPr>
            <w:t>对本期发生损失准备变动的其他应收款账面余额显著变动的情况说明：</w:t>
          </w:r>
        </w:p>
        <w:sdt>
          <w:sdtPr>
            <w:alias w:val="是否适用：其他应收款本期发生损失准备变动且账面余额显著变动的情况说明[双击切换]"/>
            <w:tag w:val="_GBC_32e9d68fc5194869baa30fe15720ff13"/>
            <w:id w:val="1004948465"/>
            <w:lock w:val="sdtContentLocked"/>
            <w:placeholder>
              <w:docPart w:val="GBC22222222222222222222222222222"/>
            </w:placeholder>
          </w:sdtPr>
          <w:sdtEndPr/>
          <w:sdtContent>
            <w:p w14:paraId="0E28DD4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0BCD943" w14:textId="77777777" w:rsidR="00830E72" w:rsidRDefault="008344D8">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dde26fcf385445edb7b0e96dab2a2b3e"/>
            <w:id w:val="349918213"/>
            <w:lock w:val="sdtContentLocked"/>
            <w:placeholder>
              <w:docPart w:val="GBC22222222222222222222222222222"/>
            </w:placeholder>
          </w:sdtPr>
          <w:sdtEndPr/>
          <w:sdtContent>
            <w:p w14:paraId="77E7ADE1"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E0696DD" w14:textId="77777777" w:rsidR="00830E72" w:rsidRDefault="00D44830"/>
      </w:sdtContent>
    </w:sdt>
    <w:bookmarkEnd w:id="110" w:displacedByCustomXml="next"/>
    <w:bookmarkStart w:id="111" w:name="_Hlk10469877" w:displacedByCustomXml="next"/>
    <w:sdt>
      <w:sdtPr>
        <w:rPr>
          <w:rFonts w:ascii="宋体" w:hAnsi="宋体" w:cs="宋体" w:hint="eastAsia"/>
          <w:b w:val="0"/>
          <w:bCs w:val="0"/>
          <w:kern w:val="0"/>
          <w:szCs w:val="24"/>
        </w:rPr>
        <w:alias w:val="模块:坏账准备的情况"/>
        <w:tag w:val="_SEC_93dacca8700c43aaba11477ef4689aa6"/>
        <w:id w:val="836803978"/>
        <w:lock w:val="sdtLocked"/>
        <w:placeholder>
          <w:docPart w:val="GBC22222222222222222222222222222"/>
        </w:placeholder>
      </w:sdtPr>
      <w:sdtEndPr/>
      <w:sdtContent>
        <w:p w14:paraId="2DD65528" w14:textId="77777777" w:rsidR="00830E72" w:rsidRDefault="008344D8">
          <w:pPr>
            <w:pStyle w:val="Style100"/>
            <w:numPr>
              <w:ilvl w:val="3"/>
              <w:numId w:val="50"/>
            </w:numPr>
            <w:tabs>
              <w:tab w:val="left" w:pos="560"/>
            </w:tabs>
            <w:rPr>
              <w:rFonts w:ascii="宋体" w:hAnsi="宋体"/>
            </w:rPr>
          </w:pPr>
          <w:r>
            <w:rPr>
              <w:rFonts w:ascii="宋体" w:hAnsi="宋体" w:hint="eastAsia"/>
            </w:rPr>
            <w:t>坏账准备的情况</w:t>
          </w:r>
        </w:p>
        <w:sdt>
          <w:sdtPr>
            <w:alias w:val="是否适用：其他应收款坏账准备[双击切换]"/>
            <w:tag w:val="_GBC_b3f4f88802a54b1da539ba2563000c5c"/>
            <w:id w:val="-1188450439"/>
            <w:lock w:val="sdtContentLocked"/>
            <w:placeholder>
              <w:docPart w:val="GBC22222222222222222222222222222"/>
            </w:placeholder>
          </w:sdtPr>
          <w:sdtEndPr/>
          <w:sdtContent>
            <w:p w14:paraId="128DB434"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146EC1B" w14:textId="77777777" w:rsidR="00830E72" w:rsidRDefault="008344D8">
          <w:pPr>
            <w:pStyle w:val="Style118"/>
            <w:snapToGrid w:val="0"/>
            <w:spacing w:line="240" w:lineRule="atLeast"/>
            <w:ind w:left="42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其他应收款坏账准备"/>
              <w:tag w:val="_GBC_1cb0ccc9627340bb9775e68ec1d11af7"/>
              <w:id w:val="-3207299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其他应收款坏账准备"/>
              <w:tag w:val="_GBC_14d59c8ccaef434da24604201125f1f0"/>
              <w:id w:val="414958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27"/>
            <w:gridCol w:w="1526"/>
            <w:gridCol w:w="1801"/>
            <w:gridCol w:w="1020"/>
            <w:gridCol w:w="1016"/>
            <w:gridCol w:w="737"/>
            <w:gridCol w:w="1632"/>
          </w:tblGrid>
          <w:tr w:rsidR="00830E72" w14:paraId="6650F1C1" w14:textId="77777777">
            <w:sdt>
              <w:sdtPr>
                <w:tag w:val="_PLD_31bfbbc8809c484e8788c004875b73f7"/>
                <w:id w:val="-458416389"/>
                <w:lock w:val="sdtLocked"/>
              </w:sdtPr>
              <w:sdtEndPr/>
              <w:sdtContent>
                <w:tc>
                  <w:tcPr>
                    <w:tcW w:w="732" w:type="pct"/>
                    <w:vMerge w:val="restart"/>
                    <w:shd w:val="clear" w:color="auto" w:fill="FFFFFF"/>
                    <w:vAlign w:val="center"/>
                  </w:tcPr>
                  <w:p w14:paraId="78DCB101" w14:textId="77777777" w:rsidR="00830E72" w:rsidRDefault="008344D8">
                    <w:pPr>
                      <w:widowControl w:val="0"/>
                      <w:jc w:val="center"/>
                    </w:pPr>
                    <w:r>
                      <w:t>类别</w:t>
                    </w:r>
                  </w:p>
                </w:tc>
              </w:sdtContent>
            </w:sdt>
            <w:sdt>
              <w:sdtPr>
                <w:tag w:val="_PLD_8a84de1ffd5c434f9fdf644972838511"/>
                <w:id w:val="1598286477"/>
                <w:lock w:val="sdtLocked"/>
              </w:sdtPr>
              <w:sdtEndPr/>
              <w:sdtContent>
                <w:tc>
                  <w:tcPr>
                    <w:tcW w:w="842" w:type="pct"/>
                    <w:vMerge w:val="restart"/>
                    <w:shd w:val="clear" w:color="auto" w:fill="FFFFFF"/>
                    <w:vAlign w:val="center"/>
                  </w:tcPr>
                  <w:p w14:paraId="457F7477" w14:textId="77777777" w:rsidR="00830E72" w:rsidRDefault="008344D8">
                    <w:pPr>
                      <w:widowControl w:val="0"/>
                      <w:jc w:val="center"/>
                    </w:pPr>
                    <w:r>
                      <w:t>期初余额</w:t>
                    </w:r>
                  </w:p>
                </w:tc>
              </w:sdtContent>
            </w:sdt>
            <w:sdt>
              <w:sdtPr>
                <w:tag w:val="_PLD_98e8a6b913f14f6ca45be028ca7fe9b3"/>
                <w:id w:val="885757820"/>
                <w:lock w:val="sdtLocked"/>
              </w:sdtPr>
              <w:sdtEndPr/>
              <w:sdtContent>
                <w:tc>
                  <w:tcPr>
                    <w:tcW w:w="2525" w:type="pct"/>
                    <w:gridSpan w:val="4"/>
                    <w:shd w:val="clear" w:color="auto" w:fill="FFFFFF"/>
                    <w:vAlign w:val="center"/>
                  </w:tcPr>
                  <w:p w14:paraId="45A3D1DF" w14:textId="77777777" w:rsidR="00830E72" w:rsidRDefault="008344D8">
                    <w:pPr>
                      <w:widowControl w:val="0"/>
                      <w:jc w:val="center"/>
                    </w:pPr>
                    <w:r>
                      <w:rPr>
                        <w:rFonts w:hint="eastAsia"/>
                      </w:rPr>
                      <w:t>本期变动</w:t>
                    </w:r>
                    <w:r>
                      <w:t>金额</w:t>
                    </w:r>
                  </w:p>
                </w:tc>
              </w:sdtContent>
            </w:sdt>
            <w:sdt>
              <w:sdtPr>
                <w:tag w:val="_PLD_79cbcdb53d6946aa8890a6614ae8fa7c"/>
                <w:id w:val="606243083"/>
                <w:lock w:val="sdtLocked"/>
              </w:sdtPr>
              <w:sdtEndPr/>
              <w:sdtContent>
                <w:tc>
                  <w:tcPr>
                    <w:tcW w:w="902" w:type="pct"/>
                    <w:vMerge w:val="restart"/>
                    <w:shd w:val="clear" w:color="auto" w:fill="FFFFFF"/>
                    <w:vAlign w:val="center"/>
                  </w:tcPr>
                  <w:p w14:paraId="38B72D48" w14:textId="77777777" w:rsidR="00830E72" w:rsidRDefault="008344D8">
                    <w:pPr>
                      <w:widowControl w:val="0"/>
                      <w:jc w:val="center"/>
                    </w:pPr>
                    <w:r>
                      <w:t>期末余额</w:t>
                    </w:r>
                  </w:p>
                </w:tc>
              </w:sdtContent>
            </w:sdt>
          </w:tr>
          <w:tr w:rsidR="00830E72" w14:paraId="2BA96346" w14:textId="77777777">
            <w:tc>
              <w:tcPr>
                <w:tcW w:w="732" w:type="pct"/>
                <w:vMerge/>
                <w:shd w:val="clear" w:color="auto" w:fill="FFFFFF"/>
              </w:tcPr>
              <w:p w14:paraId="4A5767B5" w14:textId="77777777" w:rsidR="00830E72" w:rsidRDefault="00830E72">
                <w:pPr>
                  <w:widowControl w:val="0"/>
                  <w:jc w:val="center"/>
                </w:pPr>
              </w:p>
            </w:tc>
            <w:tc>
              <w:tcPr>
                <w:tcW w:w="842" w:type="pct"/>
                <w:vMerge/>
                <w:shd w:val="clear" w:color="auto" w:fill="FFFFFF"/>
              </w:tcPr>
              <w:p w14:paraId="1632687E" w14:textId="77777777" w:rsidR="00830E72" w:rsidRDefault="00830E72">
                <w:pPr>
                  <w:widowControl w:val="0"/>
                  <w:jc w:val="center"/>
                </w:pPr>
              </w:p>
            </w:tc>
            <w:sdt>
              <w:sdtPr>
                <w:tag w:val="_PLD_e690235010e24ffc8796adbde1bb559c"/>
                <w:id w:val="1605227821"/>
                <w:lock w:val="sdtLocked"/>
              </w:sdtPr>
              <w:sdtEndPr/>
              <w:sdtContent>
                <w:tc>
                  <w:tcPr>
                    <w:tcW w:w="994" w:type="pct"/>
                    <w:shd w:val="clear" w:color="auto" w:fill="FFFFFF"/>
                    <w:vAlign w:val="center"/>
                  </w:tcPr>
                  <w:p w14:paraId="26DF662B" w14:textId="77777777" w:rsidR="00830E72" w:rsidRDefault="008344D8">
                    <w:pPr>
                      <w:widowControl w:val="0"/>
                      <w:jc w:val="center"/>
                    </w:pPr>
                    <w:r>
                      <w:t>计提</w:t>
                    </w:r>
                  </w:p>
                </w:tc>
              </w:sdtContent>
            </w:sdt>
            <w:sdt>
              <w:sdtPr>
                <w:tag w:val="_PLD_d059ae406aed4a3a8f46c2d712ef508e"/>
                <w:id w:val="-1184357405"/>
                <w:lock w:val="sdtLocked"/>
              </w:sdtPr>
              <w:sdtEndPr/>
              <w:sdtContent>
                <w:tc>
                  <w:tcPr>
                    <w:tcW w:w="563" w:type="pct"/>
                    <w:shd w:val="clear" w:color="auto" w:fill="FFFFFF"/>
                    <w:vAlign w:val="center"/>
                  </w:tcPr>
                  <w:p w14:paraId="635F4288" w14:textId="77777777" w:rsidR="00830E72" w:rsidRDefault="008344D8">
                    <w:pPr>
                      <w:widowControl w:val="0"/>
                      <w:jc w:val="center"/>
                    </w:pPr>
                    <w:r>
                      <w:rPr>
                        <w:rFonts w:hint="eastAsia"/>
                      </w:rPr>
                      <w:t>收回或转回</w:t>
                    </w:r>
                  </w:p>
                </w:tc>
              </w:sdtContent>
            </w:sdt>
            <w:sdt>
              <w:sdtPr>
                <w:tag w:val="_PLD_da780fd6da3646febcd85bf9dbd8b64e"/>
                <w:id w:val="893932689"/>
                <w:lock w:val="sdtLocked"/>
              </w:sdtPr>
              <w:sdtEndPr/>
              <w:sdtContent>
                <w:tc>
                  <w:tcPr>
                    <w:tcW w:w="561" w:type="pct"/>
                    <w:shd w:val="clear" w:color="auto" w:fill="FFFFFF"/>
                    <w:vAlign w:val="center"/>
                  </w:tcPr>
                  <w:p w14:paraId="58883D1D" w14:textId="77777777" w:rsidR="00830E72" w:rsidRDefault="008344D8">
                    <w:pPr>
                      <w:widowControl w:val="0"/>
                      <w:jc w:val="center"/>
                    </w:pPr>
                    <w:r>
                      <w:rPr>
                        <w:rFonts w:hint="eastAsia"/>
                      </w:rPr>
                      <w:t>转销或核销</w:t>
                    </w:r>
                  </w:p>
                </w:tc>
              </w:sdtContent>
            </w:sdt>
            <w:tc>
              <w:tcPr>
                <w:tcW w:w="407" w:type="pct"/>
                <w:shd w:val="clear" w:color="auto" w:fill="FFFFFF"/>
                <w:vAlign w:val="center"/>
              </w:tcPr>
              <w:sdt>
                <w:sdtPr>
                  <w:rPr>
                    <w:rFonts w:hint="eastAsia"/>
                  </w:rPr>
                  <w:tag w:val="_PLD_d6a9b9888c1a49429189a2a72159c309"/>
                  <w:id w:val="2073609327"/>
                  <w:lock w:val="sdtLocked"/>
                </w:sdtPr>
                <w:sdtEndPr/>
                <w:sdtContent>
                  <w:p w14:paraId="7D9D55FA" w14:textId="77777777" w:rsidR="00830E72" w:rsidRDefault="008344D8">
                    <w:pPr>
                      <w:widowControl w:val="0"/>
                      <w:jc w:val="right"/>
                    </w:pPr>
                    <w:r>
                      <w:rPr>
                        <w:rFonts w:hint="eastAsia"/>
                      </w:rPr>
                      <w:t>其他变动</w:t>
                    </w:r>
                  </w:p>
                </w:sdtContent>
              </w:sdt>
            </w:tc>
            <w:tc>
              <w:tcPr>
                <w:tcW w:w="902" w:type="pct"/>
                <w:vMerge/>
                <w:shd w:val="clear" w:color="auto" w:fill="FFFFFF"/>
              </w:tcPr>
              <w:p w14:paraId="17F84CDC" w14:textId="77777777" w:rsidR="00830E72" w:rsidRDefault="00830E72">
                <w:pPr>
                  <w:widowControl w:val="0"/>
                  <w:jc w:val="right"/>
                </w:pPr>
              </w:p>
            </w:tc>
          </w:tr>
          <w:sdt>
            <w:sdtPr>
              <w:alias w:val="其他应收款坏账准备明细"/>
              <w:tag w:val="_TUP_7a0cb2b2adeb4af281afaba9c5959134"/>
              <w:id w:val="-248199359"/>
              <w:placeholder>
                <w:docPart w:val="GBC11111111111111111111111111111"/>
              </w:placeholder>
            </w:sdtPr>
            <w:sdtEndPr/>
            <w:sdtContent>
              <w:tr w:rsidR="00830E72" w14:paraId="4B32A85D" w14:textId="77777777">
                <w:tc>
                  <w:tcPr>
                    <w:tcW w:w="732" w:type="pct"/>
                    <w:shd w:val="clear" w:color="auto" w:fill="auto"/>
                    <w:vAlign w:val="center"/>
                  </w:tcPr>
                  <w:p w14:paraId="1C52359F" w14:textId="77777777" w:rsidR="00830E72" w:rsidRDefault="008344D8">
                    <w:pPr>
                      <w:widowControl w:val="0"/>
                    </w:pPr>
                    <w:r>
                      <w:rPr>
                        <w:rFonts w:hint="eastAsia"/>
                      </w:rPr>
                      <w:t>按组合计提坏账准备</w:t>
                    </w:r>
                  </w:p>
                </w:tc>
                <w:tc>
                  <w:tcPr>
                    <w:tcW w:w="842" w:type="pct"/>
                    <w:shd w:val="clear" w:color="auto" w:fill="auto"/>
                    <w:vAlign w:val="center"/>
                  </w:tcPr>
                  <w:p w14:paraId="18DFC94A" w14:textId="77777777" w:rsidR="00830E72" w:rsidRDefault="008344D8">
                    <w:pPr>
                      <w:widowControl w:val="0"/>
                      <w:jc w:val="right"/>
                    </w:pPr>
                    <w:r>
                      <w:t>8,550,778.78</w:t>
                    </w:r>
                  </w:p>
                </w:tc>
                <w:tc>
                  <w:tcPr>
                    <w:tcW w:w="994" w:type="pct"/>
                    <w:shd w:val="clear" w:color="auto" w:fill="auto"/>
                    <w:vAlign w:val="center"/>
                  </w:tcPr>
                  <w:p w14:paraId="5C39DC05" w14:textId="77777777" w:rsidR="00830E72" w:rsidRDefault="008344D8">
                    <w:pPr>
                      <w:widowControl w:val="0"/>
                      <w:jc w:val="right"/>
                    </w:pPr>
                    <w:r>
                      <w:t>3,635,270.58</w:t>
                    </w:r>
                  </w:p>
                </w:tc>
                <w:tc>
                  <w:tcPr>
                    <w:tcW w:w="563" w:type="pct"/>
                    <w:shd w:val="clear" w:color="auto" w:fill="auto"/>
                    <w:vAlign w:val="center"/>
                  </w:tcPr>
                  <w:p w14:paraId="32BA983D" w14:textId="77777777" w:rsidR="00830E72" w:rsidRDefault="00830E72">
                    <w:pPr>
                      <w:widowControl w:val="0"/>
                      <w:jc w:val="right"/>
                    </w:pPr>
                  </w:p>
                </w:tc>
                <w:tc>
                  <w:tcPr>
                    <w:tcW w:w="561" w:type="pct"/>
                    <w:vAlign w:val="center"/>
                  </w:tcPr>
                  <w:p w14:paraId="3B6F2FA2" w14:textId="77777777" w:rsidR="00830E72" w:rsidRDefault="00830E72">
                    <w:pPr>
                      <w:widowControl w:val="0"/>
                      <w:jc w:val="right"/>
                    </w:pPr>
                  </w:p>
                </w:tc>
                <w:tc>
                  <w:tcPr>
                    <w:tcW w:w="407" w:type="pct"/>
                    <w:vAlign w:val="center"/>
                  </w:tcPr>
                  <w:p w14:paraId="33831AAA" w14:textId="77777777" w:rsidR="00830E72" w:rsidRDefault="00830E72">
                    <w:pPr>
                      <w:widowControl w:val="0"/>
                      <w:jc w:val="right"/>
                    </w:pPr>
                  </w:p>
                </w:tc>
                <w:tc>
                  <w:tcPr>
                    <w:tcW w:w="902" w:type="pct"/>
                    <w:shd w:val="clear" w:color="auto" w:fill="auto"/>
                    <w:vAlign w:val="center"/>
                  </w:tcPr>
                  <w:p w14:paraId="47A2CA2B" w14:textId="77777777" w:rsidR="00830E72" w:rsidRDefault="008344D8">
                    <w:pPr>
                      <w:widowControl w:val="0"/>
                      <w:jc w:val="right"/>
                    </w:pPr>
                    <w:r>
                      <w:t>12,186,049.36</w:t>
                    </w:r>
                  </w:p>
                </w:tc>
              </w:tr>
            </w:sdtContent>
          </w:sdt>
          <w:tr w:rsidR="00830E72" w14:paraId="6304A44A" w14:textId="77777777">
            <w:sdt>
              <w:sdtPr>
                <w:tag w:val="_PLD_338c13f365964c67a7e58b3e079f4171"/>
                <w:id w:val="363027247"/>
                <w:lock w:val="sdtLocked"/>
              </w:sdtPr>
              <w:sdtEndPr/>
              <w:sdtContent>
                <w:tc>
                  <w:tcPr>
                    <w:tcW w:w="732" w:type="pct"/>
                    <w:shd w:val="clear" w:color="auto" w:fill="auto"/>
                    <w:vAlign w:val="center"/>
                  </w:tcPr>
                  <w:p w14:paraId="7171E255" w14:textId="77777777" w:rsidR="00830E72" w:rsidRDefault="008344D8">
                    <w:pPr>
                      <w:widowControl w:val="0"/>
                      <w:jc w:val="center"/>
                    </w:pPr>
                    <w:r>
                      <w:rPr>
                        <w:rFonts w:hint="eastAsia"/>
                      </w:rPr>
                      <w:t>合计</w:t>
                    </w:r>
                  </w:p>
                </w:tc>
              </w:sdtContent>
            </w:sdt>
            <w:tc>
              <w:tcPr>
                <w:tcW w:w="842" w:type="pct"/>
                <w:shd w:val="clear" w:color="auto" w:fill="auto"/>
                <w:vAlign w:val="center"/>
              </w:tcPr>
              <w:p w14:paraId="3904BBF5" w14:textId="77777777" w:rsidR="00830E72" w:rsidRDefault="008344D8">
                <w:pPr>
                  <w:widowControl w:val="0"/>
                  <w:jc w:val="right"/>
                </w:pPr>
                <w:r>
                  <w:t>8,550,778.78</w:t>
                </w:r>
              </w:p>
            </w:tc>
            <w:tc>
              <w:tcPr>
                <w:tcW w:w="994" w:type="pct"/>
                <w:shd w:val="clear" w:color="auto" w:fill="auto"/>
                <w:vAlign w:val="center"/>
              </w:tcPr>
              <w:p w14:paraId="05AB8132" w14:textId="77777777" w:rsidR="00830E72" w:rsidRDefault="008344D8">
                <w:pPr>
                  <w:widowControl w:val="0"/>
                  <w:jc w:val="right"/>
                </w:pPr>
                <w:r>
                  <w:t>3,635,270.58</w:t>
                </w:r>
              </w:p>
            </w:tc>
            <w:tc>
              <w:tcPr>
                <w:tcW w:w="563" w:type="pct"/>
                <w:shd w:val="clear" w:color="auto" w:fill="auto"/>
                <w:vAlign w:val="center"/>
              </w:tcPr>
              <w:p w14:paraId="1F8810D1" w14:textId="77777777" w:rsidR="00830E72" w:rsidRDefault="00830E72">
                <w:pPr>
                  <w:widowControl w:val="0"/>
                  <w:jc w:val="right"/>
                </w:pPr>
              </w:p>
            </w:tc>
            <w:tc>
              <w:tcPr>
                <w:tcW w:w="561" w:type="pct"/>
                <w:vAlign w:val="center"/>
              </w:tcPr>
              <w:p w14:paraId="41F9D780" w14:textId="77777777" w:rsidR="00830E72" w:rsidRDefault="00830E72">
                <w:pPr>
                  <w:widowControl w:val="0"/>
                  <w:jc w:val="right"/>
                </w:pPr>
              </w:p>
            </w:tc>
            <w:tc>
              <w:tcPr>
                <w:tcW w:w="407" w:type="pct"/>
                <w:vAlign w:val="center"/>
              </w:tcPr>
              <w:p w14:paraId="28CD1E78" w14:textId="77777777" w:rsidR="00830E72" w:rsidRDefault="00830E72">
                <w:pPr>
                  <w:widowControl w:val="0"/>
                  <w:jc w:val="right"/>
                </w:pPr>
              </w:p>
            </w:tc>
            <w:tc>
              <w:tcPr>
                <w:tcW w:w="902" w:type="pct"/>
                <w:shd w:val="clear" w:color="auto" w:fill="auto"/>
                <w:vAlign w:val="center"/>
              </w:tcPr>
              <w:p w14:paraId="6016BAAF" w14:textId="77777777" w:rsidR="00830E72" w:rsidRDefault="008344D8">
                <w:pPr>
                  <w:widowControl w:val="0"/>
                  <w:jc w:val="right"/>
                </w:pPr>
                <w:r>
                  <w:t>12,186,049.36</w:t>
                </w:r>
              </w:p>
            </w:tc>
          </w:tr>
        </w:tbl>
        <w:p w14:paraId="441F871F" w14:textId="77777777" w:rsidR="00830E72" w:rsidRDefault="008344D8">
          <w:r>
            <w:rPr>
              <w:rFonts w:hint="eastAsia"/>
            </w:rPr>
            <w:t>其中本期坏账准备转回或收回金额重要的：</w:t>
          </w:r>
        </w:p>
        <w:sdt>
          <w:sdtPr>
            <w:alias w:val="是否适用：其中本期其他应收账款坏账准备收回或转回金额重要的[双击切换]"/>
            <w:tag w:val="_GBC_766264a4e81b4ae6885d7f965ebbcd08"/>
            <w:id w:val="-853724901"/>
            <w:lock w:val="sdtContentLocked"/>
            <w:placeholder>
              <w:docPart w:val="GBC22222222222222222222222222222"/>
            </w:placeholder>
          </w:sdtPr>
          <w:sdtEndPr/>
          <w:sdtContent>
            <w:p w14:paraId="088F7ABF" w14:textId="77777777" w:rsidR="00830E72" w:rsidRDefault="008344D8">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11" w:displacedByCustomXml="next"/>
    <w:sdt>
      <w:sdtPr>
        <w:rPr>
          <w:rFonts w:ascii="宋体" w:hAnsi="宋体" w:cs="宋体" w:hint="eastAsia"/>
          <w:b w:val="0"/>
          <w:bCs w:val="0"/>
          <w:kern w:val="0"/>
          <w:szCs w:val="24"/>
        </w:rPr>
        <w:alias w:val="模块:本报告期实际核销的其他应收款情况"/>
        <w:tag w:val="_GBC_ca12851378c64f09a5335b8a527df46f"/>
        <w:id w:val="407589302"/>
        <w:lock w:val="sdtLocked"/>
        <w:placeholder>
          <w:docPart w:val="GBC22222222222222222222222222222"/>
        </w:placeholder>
      </w:sdtPr>
      <w:sdtEndPr/>
      <w:sdtContent>
        <w:p w14:paraId="036493A2" w14:textId="77777777" w:rsidR="00830E72" w:rsidRDefault="008344D8">
          <w:pPr>
            <w:pStyle w:val="Style100"/>
            <w:numPr>
              <w:ilvl w:val="3"/>
              <w:numId w:val="50"/>
            </w:numPr>
            <w:tabs>
              <w:tab w:val="left" w:pos="560"/>
            </w:tabs>
            <w:rPr>
              <w:rFonts w:ascii="宋体" w:hAnsi="宋体"/>
            </w:rPr>
          </w:pPr>
          <w:r>
            <w:rPr>
              <w:rFonts w:ascii="宋体" w:hAnsi="宋体" w:hint="eastAsia"/>
            </w:rPr>
            <w:t>本期实际核销的其他应收款情况</w:t>
          </w:r>
        </w:p>
        <w:sdt>
          <w:sdtPr>
            <w:alias w:val="是否适用：本期实际核销的其他应收款情况[双击切换]"/>
            <w:tag w:val="_GBC_99c0ad513e2447ba8b2267c169be5583"/>
            <w:id w:val="-111444758"/>
            <w:lock w:val="sdtContentLocked"/>
            <w:placeholder>
              <w:docPart w:val="GBC22222222222222222222222222222"/>
            </w:placeholder>
          </w:sdtPr>
          <w:sdtEndPr/>
          <w:sdtContent>
            <w:p w14:paraId="448061B4"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C31048B" w14:textId="77777777" w:rsidR="00830E72" w:rsidRDefault="00D44830"/>
      </w:sdtContent>
    </w:sdt>
    <w:sdt>
      <w:sdtPr>
        <w:rPr>
          <w:rFonts w:ascii="宋体" w:hAnsi="宋体" w:cs="宋体" w:hint="eastAsia"/>
          <w:b w:val="0"/>
          <w:bCs w:val="0"/>
          <w:kern w:val="0"/>
          <w:szCs w:val="24"/>
        </w:rPr>
        <w:alias w:val="模块:按欠款方归集的期末余额其中前五名的其他应收款单位情况"/>
        <w:tag w:val="_GBC_a83a3fc7866445d68738701d3998ac0b"/>
        <w:id w:val="-189611406"/>
        <w:lock w:val="sdtLocked"/>
        <w:placeholder>
          <w:docPart w:val="GBC22222222222222222222222222222"/>
        </w:placeholder>
      </w:sdtPr>
      <w:sdtEndPr>
        <w:rPr>
          <w:rFonts w:hint="default"/>
        </w:rPr>
      </w:sdtEndPr>
      <w:sdtContent>
        <w:p w14:paraId="4F880D48" w14:textId="77777777" w:rsidR="00830E72" w:rsidRDefault="008344D8">
          <w:pPr>
            <w:pStyle w:val="Style100"/>
            <w:numPr>
              <w:ilvl w:val="3"/>
              <w:numId w:val="50"/>
            </w:numPr>
            <w:tabs>
              <w:tab w:val="left" w:pos="560"/>
            </w:tabs>
            <w:rPr>
              <w:rFonts w:ascii="宋体" w:hAnsi="宋体"/>
            </w:rPr>
          </w:pPr>
          <w:r>
            <w:rPr>
              <w:rFonts w:ascii="宋体" w:hAnsi="宋体" w:hint="eastAsia"/>
            </w:rPr>
            <w:t>按欠款方归集的期末余额前五名的其他应收款情况</w:t>
          </w:r>
        </w:p>
        <w:sdt>
          <w:sdtPr>
            <w:alias w:val="是否适用：按欠款方归集的期末余额前五名的其他应收款情况[双击切换]"/>
            <w:tag w:val="_GBC_1ad831584f90441b93cce7d9b7baa3c9"/>
            <w:id w:val="-1884324827"/>
            <w:lock w:val="sdtContentLocked"/>
            <w:placeholder>
              <w:docPart w:val="GBC22222222222222222222222222222"/>
            </w:placeholder>
          </w:sdtPr>
          <w:sdtEndPr/>
          <w:sdtContent>
            <w:p w14:paraId="31725341"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9F0C520" w14:textId="77777777" w:rsidR="00830E72" w:rsidRDefault="008344D8">
          <w:pPr>
            <w:jc w:val="right"/>
          </w:pPr>
          <w:r>
            <w:rPr>
              <w:rFonts w:hint="eastAsia"/>
            </w:rPr>
            <w:t>单位：</w:t>
          </w:r>
          <w:sdt>
            <w:sdtPr>
              <w:rPr>
                <w:rFonts w:hint="eastAsia"/>
              </w:rPr>
              <w:alias w:val="单位财务附注：其他应收账款前五名欠款情况"/>
              <w:tag w:val="_GBC_1f85b3036b0644cbaf6c33311b7f159d"/>
              <w:id w:val="-4818553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其他应收账款前五名欠款情况"/>
              <w:tag w:val="_GBC_bc5cf48306144a92af62fef51b293c5a"/>
              <w:id w:val="-5074534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299"/>
            <w:gridCol w:w="1276"/>
            <w:gridCol w:w="1701"/>
            <w:gridCol w:w="1009"/>
            <w:gridCol w:w="1142"/>
            <w:gridCol w:w="1468"/>
          </w:tblGrid>
          <w:tr w:rsidR="00830E72" w14:paraId="1A90D546" w14:textId="77777777">
            <w:trPr>
              <w:cantSplit/>
            </w:trPr>
            <w:sdt>
              <w:sdtPr>
                <w:tag w:val="_PLD_6d371f7abd044db6abe05c7f74810d89"/>
                <w:id w:val="1815679740"/>
                <w:lock w:val="sdtLocked"/>
              </w:sdtPr>
              <w:sdtEndPr/>
              <w:sdtContent>
                <w:tc>
                  <w:tcPr>
                    <w:tcW w:w="1292" w:type="pct"/>
                    <w:vAlign w:val="center"/>
                  </w:tcPr>
                  <w:p w14:paraId="74C70E4D" w14:textId="77777777" w:rsidR="00830E72" w:rsidRDefault="008344D8">
                    <w:pPr>
                      <w:ind w:right="105"/>
                      <w:jc w:val="center"/>
                      <w:rPr>
                        <w:szCs w:val="21"/>
                      </w:rPr>
                    </w:pPr>
                    <w:r>
                      <w:rPr>
                        <w:rFonts w:hint="eastAsia"/>
                        <w:szCs w:val="21"/>
                      </w:rPr>
                      <w:t>单位名称</w:t>
                    </w:r>
                  </w:p>
                </w:tc>
              </w:sdtContent>
            </w:sdt>
            <w:sdt>
              <w:sdtPr>
                <w:tag w:val="_PLD_538171446ab849ca976672ecf5055c60"/>
                <w:id w:val="-1563551469"/>
                <w:lock w:val="sdtLocked"/>
              </w:sdtPr>
              <w:sdtEndPr/>
              <w:sdtContent>
                <w:tc>
                  <w:tcPr>
                    <w:tcW w:w="717" w:type="pct"/>
                    <w:vAlign w:val="center"/>
                  </w:tcPr>
                  <w:p w14:paraId="137C8A39" w14:textId="77777777" w:rsidR="00830E72" w:rsidRDefault="008344D8">
                    <w:pPr>
                      <w:ind w:right="73"/>
                      <w:jc w:val="center"/>
                      <w:rPr>
                        <w:szCs w:val="21"/>
                      </w:rPr>
                    </w:pPr>
                    <w:r>
                      <w:rPr>
                        <w:rFonts w:hint="eastAsia"/>
                        <w:szCs w:val="21"/>
                      </w:rPr>
                      <w:t>款项的性质</w:t>
                    </w:r>
                  </w:p>
                </w:tc>
              </w:sdtContent>
            </w:sdt>
            <w:sdt>
              <w:sdtPr>
                <w:tag w:val="_PLD_9561b3d624ee40c28568fb322a981ebc"/>
                <w:id w:val="1113321931"/>
                <w:lock w:val="sdtLocked"/>
              </w:sdtPr>
              <w:sdtEndPr/>
              <w:sdtContent>
                <w:tc>
                  <w:tcPr>
                    <w:tcW w:w="956" w:type="pct"/>
                    <w:vAlign w:val="center"/>
                  </w:tcPr>
                  <w:p w14:paraId="2BCF7610" w14:textId="77777777" w:rsidR="00830E72" w:rsidRDefault="008344D8">
                    <w:pPr>
                      <w:ind w:right="73"/>
                      <w:jc w:val="center"/>
                      <w:rPr>
                        <w:szCs w:val="21"/>
                      </w:rPr>
                    </w:pPr>
                    <w:r>
                      <w:rPr>
                        <w:rFonts w:hint="eastAsia"/>
                        <w:szCs w:val="21"/>
                      </w:rPr>
                      <w:t>期末余额</w:t>
                    </w:r>
                  </w:p>
                </w:tc>
              </w:sdtContent>
            </w:sdt>
            <w:sdt>
              <w:sdtPr>
                <w:tag w:val="_PLD_a97392b37d5d4c709a23cfdece48161b"/>
                <w:id w:val="1663665772"/>
                <w:lock w:val="sdtLocked"/>
              </w:sdtPr>
              <w:sdtEndPr/>
              <w:sdtContent>
                <w:tc>
                  <w:tcPr>
                    <w:tcW w:w="567" w:type="pct"/>
                    <w:vAlign w:val="center"/>
                  </w:tcPr>
                  <w:p w14:paraId="50F116FB" w14:textId="77777777" w:rsidR="00830E72" w:rsidRDefault="008344D8">
                    <w:pPr>
                      <w:ind w:right="73"/>
                      <w:jc w:val="center"/>
                      <w:rPr>
                        <w:szCs w:val="21"/>
                      </w:rPr>
                    </w:pPr>
                    <w:r>
                      <w:rPr>
                        <w:rFonts w:hint="eastAsia"/>
                        <w:szCs w:val="21"/>
                      </w:rPr>
                      <w:t>账龄</w:t>
                    </w:r>
                  </w:p>
                </w:tc>
              </w:sdtContent>
            </w:sdt>
            <w:sdt>
              <w:sdtPr>
                <w:tag w:val="_PLD_e2774c827e314521821234a0e399c2c1"/>
                <w:id w:val="1185707867"/>
                <w:lock w:val="sdtLocked"/>
              </w:sdtPr>
              <w:sdtEndPr/>
              <w:sdtContent>
                <w:tc>
                  <w:tcPr>
                    <w:tcW w:w="642" w:type="pct"/>
                    <w:vAlign w:val="center"/>
                  </w:tcPr>
                  <w:p w14:paraId="4C0B8CD9" w14:textId="77777777" w:rsidR="00830E72" w:rsidRDefault="008344D8">
                    <w:pPr>
                      <w:jc w:val="center"/>
                      <w:rPr>
                        <w:szCs w:val="21"/>
                      </w:rPr>
                    </w:pPr>
                    <w:r>
                      <w:rPr>
                        <w:rFonts w:hint="eastAsia"/>
                        <w:szCs w:val="21"/>
                      </w:rPr>
                      <w:t>占其他应收款期末余额合计数的比例(</w:t>
                    </w:r>
                    <w:r>
                      <w:rPr>
                        <w:szCs w:val="21"/>
                      </w:rPr>
                      <w:t>%)</w:t>
                    </w:r>
                  </w:p>
                </w:tc>
              </w:sdtContent>
            </w:sdt>
            <w:sdt>
              <w:sdtPr>
                <w:tag w:val="_PLD_ac7ac1a39d1a46eb9269fc6979d54f6f"/>
                <w:id w:val="898566471"/>
                <w:lock w:val="sdtLocked"/>
              </w:sdtPr>
              <w:sdtEndPr/>
              <w:sdtContent>
                <w:tc>
                  <w:tcPr>
                    <w:tcW w:w="825" w:type="pct"/>
                    <w:vAlign w:val="center"/>
                  </w:tcPr>
                  <w:p w14:paraId="72274FB9" w14:textId="77777777" w:rsidR="00830E72" w:rsidRDefault="008344D8">
                    <w:pPr>
                      <w:jc w:val="center"/>
                      <w:rPr>
                        <w:szCs w:val="21"/>
                      </w:rPr>
                    </w:pPr>
                    <w:r>
                      <w:rPr>
                        <w:rFonts w:hint="eastAsia"/>
                        <w:szCs w:val="21"/>
                      </w:rPr>
                      <w:t>坏账准备</w:t>
                    </w:r>
                  </w:p>
                  <w:p w14:paraId="692A65D0" w14:textId="77777777" w:rsidR="00830E72" w:rsidRDefault="008344D8">
                    <w:pPr>
                      <w:jc w:val="center"/>
                      <w:rPr>
                        <w:szCs w:val="21"/>
                      </w:rPr>
                    </w:pPr>
                    <w:r>
                      <w:rPr>
                        <w:rFonts w:hint="eastAsia"/>
                        <w:szCs w:val="21"/>
                      </w:rPr>
                      <w:t>期末余额</w:t>
                    </w:r>
                  </w:p>
                </w:tc>
              </w:sdtContent>
            </w:sdt>
          </w:tr>
          <w:sdt>
            <w:sdtPr>
              <w:rPr>
                <w:rFonts w:asciiTheme="minorHAnsi" w:eastAsiaTheme="minorEastAsia" w:hAnsiTheme="minorHAnsi" w:cstheme="minorBidi" w:hint="eastAsia"/>
                <w:kern w:val="2"/>
                <w:szCs w:val="21"/>
              </w:rPr>
              <w:alias w:val="其他应收款欠款户"/>
              <w:tag w:val="_GBC_a3b4ad6ea89146a79c37c3807ef7a6fd"/>
              <w:id w:val="573697907"/>
            </w:sdtPr>
            <w:sdtEndPr>
              <w:rPr>
                <w:rFonts w:hint="default"/>
              </w:rPr>
            </w:sdtEndPr>
            <w:sdtContent>
              <w:tr w:rsidR="00830E72" w14:paraId="2FD3392D" w14:textId="77777777">
                <w:trPr>
                  <w:cantSplit/>
                </w:trPr>
                <w:tc>
                  <w:tcPr>
                    <w:tcW w:w="1292" w:type="pct"/>
                    <w:vAlign w:val="center"/>
                  </w:tcPr>
                  <w:p w14:paraId="4152A9CF" w14:textId="77777777" w:rsidR="00830E72" w:rsidRDefault="008344D8">
                    <w:pPr>
                      <w:ind w:right="105"/>
                      <w:rPr>
                        <w:szCs w:val="21"/>
                      </w:rPr>
                    </w:pPr>
                    <w:r>
                      <w:rPr>
                        <w:rFonts w:hint="eastAsia"/>
                        <w:szCs w:val="21"/>
                      </w:rPr>
                      <w:t>六安市金安区公共资源交易中心</w:t>
                    </w:r>
                  </w:p>
                </w:tc>
                <w:tc>
                  <w:tcPr>
                    <w:tcW w:w="717" w:type="pct"/>
                    <w:vAlign w:val="center"/>
                  </w:tcPr>
                  <w:p w14:paraId="1B4939B3" w14:textId="77777777" w:rsidR="00830E72" w:rsidRDefault="008344D8">
                    <w:pPr>
                      <w:ind w:right="73"/>
                      <w:rPr>
                        <w:szCs w:val="21"/>
                      </w:rPr>
                    </w:pPr>
                    <w:r>
                      <w:rPr>
                        <w:rFonts w:hint="eastAsia"/>
                        <w:szCs w:val="21"/>
                      </w:rPr>
                      <w:t>投标保证金</w:t>
                    </w:r>
                  </w:p>
                </w:tc>
                <w:tc>
                  <w:tcPr>
                    <w:tcW w:w="956" w:type="pct"/>
                    <w:vAlign w:val="center"/>
                  </w:tcPr>
                  <w:p w14:paraId="63375726" w14:textId="77777777" w:rsidR="00830E72" w:rsidRDefault="008344D8">
                    <w:pPr>
                      <w:ind w:right="73"/>
                      <w:jc w:val="right"/>
                      <w:rPr>
                        <w:szCs w:val="21"/>
                      </w:rPr>
                    </w:pPr>
                    <w:r>
                      <w:rPr>
                        <w:szCs w:val="21"/>
                      </w:rPr>
                      <w:t>50,000,000.00</w:t>
                    </w:r>
                  </w:p>
                </w:tc>
                <w:tc>
                  <w:tcPr>
                    <w:tcW w:w="567" w:type="pct"/>
                    <w:vAlign w:val="center"/>
                  </w:tcPr>
                  <w:p w14:paraId="5D1745D0" w14:textId="77777777" w:rsidR="00830E72" w:rsidRDefault="008344D8">
                    <w:pPr>
                      <w:ind w:right="73"/>
                      <w:jc w:val="right"/>
                      <w:rPr>
                        <w:szCs w:val="21"/>
                      </w:rPr>
                    </w:pPr>
                    <w:r>
                      <w:rPr>
                        <w:szCs w:val="21"/>
                      </w:rPr>
                      <w:t>1年以内</w:t>
                    </w:r>
                  </w:p>
                </w:tc>
                <w:tc>
                  <w:tcPr>
                    <w:tcW w:w="642" w:type="pct"/>
                    <w:vAlign w:val="center"/>
                  </w:tcPr>
                  <w:p w14:paraId="60DE23D0" w14:textId="77777777" w:rsidR="00830E72" w:rsidRDefault="008344D8">
                    <w:pPr>
                      <w:jc w:val="right"/>
                      <w:rPr>
                        <w:szCs w:val="21"/>
                      </w:rPr>
                    </w:pPr>
                    <w:r>
                      <w:rPr>
                        <w:szCs w:val="21"/>
                      </w:rPr>
                      <w:t>18.51</w:t>
                    </w:r>
                  </w:p>
                </w:tc>
                <w:tc>
                  <w:tcPr>
                    <w:tcW w:w="825" w:type="pct"/>
                    <w:vAlign w:val="center"/>
                  </w:tcPr>
                  <w:p w14:paraId="4510C7F1" w14:textId="77777777" w:rsidR="00830E72" w:rsidRDefault="008344D8">
                    <w:pPr>
                      <w:jc w:val="right"/>
                      <w:rPr>
                        <w:szCs w:val="21"/>
                      </w:rPr>
                    </w:pPr>
                    <w:r>
                      <w:rPr>
                        <w:szCs w:val="21"/>
                      </w:rPr>
                      <w:t>1,500,000.00</w:t>
                    </w:r>
                  </w:p>
                </w:tc>
              </w:tr>
            </w:sdtContent>
          </w:sdt>
          <w:sdt>
            <w:sdtPr>
              <w:rPr>
                <w:rFonts w:asciiTheme="minorHAnsi" w:eastAsiaTheme="minorEastAsia" w:hAnsiTheme="minorHAnsi" w:cstheme="minorBidi" w:hint="eastAsia"/>
                <w:kern w:val="2"/>
                <w:szCs w:val="21"/>
              </w:rPr>
              <w:alias w:val="其他应收款欠款户"/>
              <w:tag w:val="_GBC_a3b4ad6ea89146a79c37c3807ef7a6fd"/>
              <w:id w:val="2054037161"/>
            </w:sdtPr>
            <w:sdtEndPr>
              <w:rPr>
                <w:rFonts w:hint="default"/>
              </w:rPr>
            </w:sdtEndPr>
            <w:sdtContent>
              <w:tr w:rsidR="00830E72" w14:paraId="1D396612" w14:textId="77777777">
                <w:trPr>
                  <w:cantSplit/>
                </w:trPr>
                <w:tc>
                  <w:tcPr>
                    <w:tcW w:w="1292" w:type="pct"/>
                    <w:vAlign w:val="center"/>
                  </w:tcPr>
                  <w:p w14:paraId="554537E8" w14:textId="77777777" w:rsidR="00830E72" w:rsidRDefault="008344D8">
                    <w:pPr>
                      <w:ind w:right="105"/>
                      <w:rPr>
                        <w:szCs w:val="21"/>
                      </w:rPr>
                    </w:pPr>
                    <w:r>
                      <w:rPr>
                        <w:rFonts w:hint="eastAsia"/>
                        <w:szCs w:val="21"/>
                      </w:rPr>
                      <w:t>广西德合泰和投资有限公司融安县分公司</w:t>
                    </w:r>
                  </w:p>
                </w:tc>
                <w:tc>
                  <w:tcPr>
                    <w:tcW w:w="717" w:type="pct"/>
                    <w:vAlign w:val="center"/>
                  </w:tcPr>
                  <w:p w14:paraId="5B7EA0D6" w14:textId="77777777" w:rsidR="00830E72" w:rsidRDefault="008344D8">
                    <w:pPr>
                      <w:ind w:right="73"/>
                      <w:rPr>
                        <w:szCs w:val="21"/>
                      </w:rPr>
                    </w:pPr>
                    <w:r>
                      <w:rPr>
                        <w:rFonts w:hint="eastAsia"/>
                        <w:szCs w:val="21"/>
                      </w:rPr>
                      <w:t>履约保证金</w:t>
                    </w:r>
                  </w:p>
                </w:tc>
                <w:tc>
                  <w:tcPr>
                    <w:tcW w:w="956" w:type="pct"/>
                    <w:vAlign w:val="center"/>
                  </w:tcPr>
                  <w:p w14:paraId="23ED1E9D" w14:textId="77777777" w:rsidR="00830E72" w:rsidRDefault="008344D8">
                    <w:pPr>
                      <w:ind w:right="73"/>
                      <w:jc w:val="right"/>
                      <w:rPr>
                        <w:szCs w:val="21"/>
                      </w:rPr>
                    </w:pPr>
                    <w:r>
                      <w:rPr>
                        <w:szCs w:val="21"/>
                      </w:rPr>
                      <w:t>30,000,000.00</w:t>
                    </w:r>
                  </w:p>
                </w:tc>
                <w:tc>
                  <w:tcPr>
                    <w:tcW w:w="567" w:type="pct"/>
                    <w:vAlign w:val="center"/>
                  </w:tcPr>
                  <w:p w14:paraId="5ABC43F3" w14:textId="77777777" w:rsidR="00830E72" w:rsidRDefault="008344D8">
                    <w:pPr>
                      <w:ind w:right="73"/>
                      <w:jc w:val="right"/>
                      <w:rPr>
                        <w:szCs w:val="21"/>
                      </w:rPr>
                    </w:pPr>
                    <w:r>
                      <w:rPr>
                        <w:szCs w:val="21"/>
                      </w:rPr>
                      <w:t>1年以内</w:t>
                    </w:r>
                  </w:p>
                </w:tc>
                <w:tc>
                  <w:tcPr>
                    <w:tcW w:w="642" w:type="pct"/>
                    <w:vAlign w:val="center"/>
                  </w:tcPr>
                  <w:p w14:paraId="0387B618" w14:textId="77777777" w:rsidR="00830E72" w:rsidRDefault="008344D8">
                    <w:pPr>
                      <w:jc w:val="right"/>
                      <w:rPr>
                        <w:szCs w:val="21"/>
                      </w:rPr>
                    </w:pPr>
                    <w:r>
                      <w:rPr>
                        <w:rFonts w:hint="eastAsia"/>
                        <w:szCs w:val="21"/>
                      </w:rPr>
                      <w:t>11.11</w:t>
                    </w:r>
                  </w:p>
                </w:tc>
                <w:tc>
                  <w:tcPr>
                    <w:tcW w:w="825" w:type="pct"/>
                    <w:vAlign w:val="center"/>
                  </w:tcPr>
                  <w:p w14:paraId="08617104" w14:textId="77777777" w:rsidR="00830E72" w:rsidRDefault="008344D8">
                    <w:pPr>
                      <w:jc w:val="right"/>
                      <w:rPr>
                        <w:szCs w:val="21"/>
                      </w:rPr>
                    </w:pPr>
                    <w:r>
                      <w:rPr>
                        <w:szCs w:val="21"/>
                      </w:rPr>
                      <w:t>900,000.00</w:t>
                    </w:r>
                  </w:p>
                </w:tc>
              </w:tr>
            </w:sdtContent>
          </w:sdt>
          <w:sdt>
            <w:sdtPr>
              <w:rPr>
                <w:rFonts w:asciiTheme="minorHAnsi" w:eastAsiaTheme="minorEastAsia" w:hAnsiTheme="minorHAnsi" w:cstheme="minorBidi" w:hint="eastAsia"/>
                <w:kern w:val="2"/>
                <w:szCs w:val="21"/>
              </w:rPr>
              <w:alias w:val="其他应收款欠款户"/>
              <w:tag w:val="_GBC_a3b4ad6ea89146a79c37c3807ef7a6fd"/>
              <w:id w:val="-1710492464"/>
            </w:sdtPr>
            <w:sdtEndPr>
              <w:rPr>
                <w:rFonts w:hint="default"/>
              </w:rPr>
            </w:sdtEndPr>
            <w:sdtContent>
              <w:tr w:rsidR="00830E72" w14:paraId="07506D7A" w14:textId="77777777">
                <w:trPr>
                  <w:cantSplit/>
                </w:trPr>
                <w:tc>
                  <w:tcPr>
                    <w:tcW w:w="1292" w:type="pct"/>
                    <w:vAlign w:val="center"/>
                  </w:tcPr>
                  <w:p w14:paraId="3E0D7C2F" w14:textId="77777777" w:rsidR="00830E72" w:rsidRDefault="008344D8">
                    <w:pPr>
                      <w:ind w:right="105"/>
                      <w:rPr>
                        <w:szCs w:val="21"/>
                      </w:rPr>
                    </w:pPr>
                    <w:r>
                      <w:rPr>
                        <w:rFonts w:hint="eastAsia"/>
                        <w:szCs w:val="21"/>
                      </w:rPr>
                      <w:t>泰富建设工程有限公司</w:t>
                    </w:r>
                  </w:p>
                </w:tc>
                <w:tc>
                  <w:tcPr>
                    <w:tcW w:w="717" w:type="pct"/>
                    <w:vAlign w:val="center"/>
                  </w:tcPr>
                  <w:p w14:paraId="2661E108" w14:textId="77777777" w:rsidR="00830E72" w:rsidRDefault="008344D8">
                    <w:pPr>
                      <w:ind w:right="73"/>
                      <w:rPr>
                        <w:szCs w:val="21"/>
                      </w:rPr>
                    </w:pPr>
                    <w:r>
                      <w:rPr>
                        <w:rFonts w:hint="eastAsia"/>
                        <w:szCs w:val="21"/>
                      </w:rPr>
                      <w:t>履约保证金</w:t>
                    </w:r>
                  </w:p>
                </w:tc>
                <w:tc>
                  <w:tcPr>
                    <w:tcW w:w="956" w:type="pct"/>
                    <w:vAlign w:val="center"/>
                  </w:tcPr>
                  <w:p w14:paraId="1402AE1A" w14:textId="77777777" w:rsidR="00830E72" w:rsidRDefault="008344D8">
                    <w:pPr>
                      <w:ind w:right="73"/>
                      <w:jc w:val="right"/>
                      <w:rPr>
                        <w:szCs w:val="21"/>
                      </w:rPr>
                    </w:pPr>
                    <w:r>
                      <w:rPr>
                        <w:szCs w:val="21"/>
                      </w:rPr>
                      <w:t>29,200,000.00</w:t>
                    </w:r>
                  </w:p>
                </w:tc>
                <w:tc>
                  <w:tcPr>
                    <w:tcW w:w="567" w:type="pct"/>
                    <w:vAlign w:val="center"/>
                  </w:tcPr>
                  <w:p w14:paraId="45DDC5C8" w14:textId="77777777" w:rsidR="00830E72" w:rsidRDefault="008344D8">
                    <w:pPr>
                      <w:ind w:right="73"/>
                      <w:jc w:val="right"/>
                      <w:rPr>
                        <w:szCs w:val="21"/>
                      </w:rPr>
                    </w:pPr>
                    <w:r>
                      <w:rPr>
                        <w:szCs w:val="21"/>
                      </w:rPr>
                      <w:t>2-4年</w:t>
                    </w:r>
                  </w:p>
                </w:tc>
                <w:tc>
                  <w:tcPr>
                    <w:tcW w:w="642" w:type="pct"/>
                    <w:vAlign w:val="center"/>
                  </w:tcPr>
                  <w:p w14:paraId="67F9552F" w14:textId="77777777" w:rsidR="00830E72" w:rsidRDefault="008344D8">
                    <w:pPr>
                      <w:jc w:val="right"/>
                      <w:rPr>
                        <w:szCs w:val="21"/>
                      </w:rPr>
                    </w:pPr>
                    <w:r>
                      <w:rPr>
                        <w:szCs w:val="21"/>
                      </w:rPr>
                      <w:t>10.81</w:t>
                    </w:r>
                  </w:p>
                </w:tc>
                <w:tc>
                  <w:tcPr>
                    <w:tcW w:w="825" w:type="pct"/>
                    <w:vAlign w:val="center"/>
                  </w:tcPr>
                  <w:p w14:paraId="6345C982" w14:textId="77777777" w:rsidR="00830E72" w:rsidRDefault="008344D8">
                    <w:pPr>
                      <w:jc w:val="right"/>
                      <w:rPr>
                        <w:szCs w:val="21"/>
                      </w:rPr>
                    </w:pPr>
                    <w:r>
                      <w:rPr>
                        <w:szCs w:val="21"/>
                      </w:rPr>
                      <w:t>876,000.00</w:t>
                    </w:r>
                  </w:p>
                </w:tc>
              </w:tr>
            </w:sdtContent>
          </w:sdt>
          <w:sdt>
            <w:sdtPr>
              <w:rPr>
                <w:rFonts w:asciiTheme="minorHAnsi" w:eastAsiaTheme="minorEastAsia" w:hAnsiTheme="minorHAnsi" w:cstheme="minorBidi" w:hint="eastAsia"/>
                <w:kern w:val="2"/>
                <w:szCs w:val="21"/>
              </w:rPr>
              <w:alias w:val="其他应收款欠款户"/>
              <w:tag w:val="_GBC_a3b4ad6ea89146a79c37c3807ef7a6fd"/>
              <w:id w:val="862779621"/>
            </w:sdtPr>
            <w:sdtEndPr>
              <w:rPr>
                <w:rFonts w:hint="default"/>
              </w:rPr>
            </w:sdtEndPr>
            <w:sdtContent>
              <w:tr w:rsidR="00830E72" w14:paraId="74FB1329" w14:textId="77777777">
                <w:trPr>
                  <w:cantSplit/>
                </w:trPr>
                <w:tc>
                  <w:tcPr>
                    <w:tcW w:w="1292" w:type="pct"/>
                    <w:vAlign w:val="center"/>
                  </w:tcPr>
                  <w:p w14:paraId="33848E5A" w14:textId="77777777" w:rsidR="00830E72" w:rsidRDefault="008344D8">
                    <w:pPr>
                      <w:ind w:right="105"/>
                      <w:rPr>
                        <w:szCs w:val="21"/>
                      </w:rPr>
                    </w:pPr>
                    <w:r>
                      <w:t>杭州市市政工程集团有限公司</w:t>
                    </w:r>
                  </w:p>
                </w:tc>
                <w:tc>
                  <w:tcPr>
                    <w:tcW w:w="717" w:type="pct"/>
                    <w:vAlign w:val="center"/>
                  </w:tcPr>
                  <w:p w14:paraId="7F55F2E6" w14:textId="77777777" w:rsidR="00830E72" w:rsidRDefault="008344D8">
                    <w:pPr>
                      <w:ind w:right="73"/>
                      <w:rPr>
                        <w:szCs w:val="21"/>
                      </w:rPr>
                    </w:pPr>
                    <w:r>
                      <w:t>股权意向金</w:t>
                    </w:r>
                  </w:p>
                </w:tc>
                <w:tc>
                  <w:tcPr>
                    <w:tcW w:w="956" w:type="pct"/>
                    <w:vAlign w:val="center"/>
                  </w:tcPr>
                  <w:p w14:paraId="1F546A73" w14:textId="77777777" w:rsidR="00830E72" w:rsidRDefault="008344D8">
                    <w:pPr>
                      <w:ind w:right="73"/>
                      <w:jc w:val="right"/>
                      <w:rPr>
                        <w:szCs w:val="21"/>
                      </w:rPr>
                    </w:pPr>
                    <w:r>
                      <w:t>20,000,000.00</w:t>
                    </w:r>
                  </w:p>
                </w:tc>
                <w:tc>
                  <w:tcPr>
                    <w:tcW w:w="567" w:type="pct"/>
                    <w:vAlign w:val="center"/>
                  </w:tcPr>
                  <w:p w14:paraId="0484923A" w14:textId="77777777" w:rsidR="00830E72" w:rsidRDefault="008344D8">
                    <w:pPr>
                      <w:ind w:right="73"/>
                      <w:jc w:val="right"/>
                      <w:rPr>
                        <w:szCs w:val="21"/>
                      </w:rPr>
                    </w:pPr>
                    <w:r>
                      <w:t>1年以内</w:t>
                    </w:r>
                  </w:p>
                </w:tc>
                <w:tc>
                  <w:tcPr>
                    <w:tcW w:w="642" w:type="pct"/>
                    <w:vAlign w:val="center"/>
                  </w:tcPr>
                  <w:p w14:paraId="6CEA6361" w14:textId="77777777" w:rsidR="00830E72" w:rsidRDefault="008344D8">
                    <w:pPr>
                      <w:jc w:val="right"/>
                      <w:rPr>
                        <w:szCs w:val="21"/>
                      </w:rPr>
                    </w:pPr>
                    <w:r>
                      <w:t>7.40</w:t>
                    </w:r>
                  </w:p>
                </w:tc>
                <w:tc>
                  <w:tcPr>
                    <w:tcW w:w="825" w:type="pct"/>
                    <w:vAlign w:val="center"/>
                  </w:tcPr>
                  <w:p w14:paraId="76F375CC" w14:textId="77777777" w:rsidR="00830E72" w:rsidRDefault="008344D8">
                    <w:pPr>
                      <w:jc w:val="right"/>
                      <w:rPr>
                        <w:szCs w:val="21"/>
                      </w:rPr>
                    </w:pPr>
                    <w:r>
                      <w:t>600,000.00</w:t>
                    </w:r>
                  </w:p>
                </w:tc>
              </w:tr>
            </w:sdtContent>
          </w:sdt>
          <w:sdt>
            <w:sdtPr>
              <w:rPr>
                <w:rFonts w:asciiTheme="minorHAnsi" w:eastAsiaTheme="minorEastAsia" w:hAnsiTheme="minorHAnsi" w:cstheme="minorBidi" w:hint="eastAsia"/>
                <w:kern w:val="2"/>
                <w:szCs w:val="21"/>
              </w:rPr>
              <w:alias w:val="其他应收款欠款户"/>
              <w:tag w:val="_GBC_a3b4ad6ea89146a79c37c3807ef7a6fd"/>
              <w:id w:val="-338079466"/>
            </w:sdtPr>
            <w:sdtEndPr>
              <w:rPr>
                <w:rFonts w:hint="default"/>
              </w:rPr>
            </w:sdtEndPr>
            <w:sdtContent>
              <w:tr w:rsidR="00830E72" w14:paraId="12DA1C43" w14:textId="77777777">
                <w:trPr>
                  <w:cantSplit/>
                </w:trPr>
                <w:tc>
                  <w:tcPr>
                    <w:tcW w:w="1292" w:type="pct"/>
                    <w:vAlign w:val="center"/>
                  </w:tcPr>
                  <w:p w14:paraId="5F1AF611" w14:textId="77777777" w:rsidR="00830E72" w:rsidRDefault="008344D8">
                    <w:pPr>
                      <w:ind w:right="105"/>
                      <w:rPr>
                        <w:szCs w:val="21"/>
                      </w:rPr>
                    </w:pPr>
                    <w:r>
                      <w:rPr>
                        <w:rFonts w:hint="eastAsia"/>
                        <w:szCs w:val="21"/>
                      </w:rPr>
                      <w:t>河北建设集团股份有限公司南京分公司</w:t>
                    </w:r>
                  </w:p>
                </w:tc>
                <w:tc>
                  <w:tcPr>
                    <w:tcW w:w="717" w:type="pct"/>
                    <w:vAlign w:val="center"/>
                  </w:tcPr>
                  <w:p w14:paraId="285ED2DA" w14:textId="77777777" w:rsidR="00830E72" w:rsidRDefault="008344D8">
                    <w:pPr>
                      <w:ind w:right="73"/>
                      <w:rPr>
                        <w:szCs w:val="21"/>
                      </w:rPr>
                    </w:pPr>
                    <w:r>
                      <w:rPr>
                        <w:rFonts w:hint="eastAsia"/>
                        <w:szCs w:val="21"/>
                      </w:rPr>
                      <w:t>往来款</w:t>
                    </w:r>
                  </w:p>
                </w:tc>
                <w:tc>
                  <w:tcPr>
                    <w:tcW w:w="956" w:type="pct"/>
                    <w:vAlign w:val="center"/>
                  </w:tcPr>
                  <w:p w14:paraId="58CBC584" w14:textId="77777777" w:rsidR="00830E72" w:rsidRDefault="008344D8">
                    <w:pPr>
                      <w:ind w:right="73"/>
                      <w:jc w:val="right"/>
                      <w:rPr>
                        <w:szCs w:val="21"/>
                      </w:rPr>
                    </w:pPr>
                    <w:r>
                      <w:rPr>
                        <w:szCs w:val="21"/>
                      </w:rPr>
                      <w:t>16,780,000.00</w:t>
                    </w:r>
                  </w:p>
                </w:tc>
                <w:tc>
                  <w:tcPr>
                    <w:tcW w:w="567" w:type="pct"/>
                    <w:vAlign w:val="center"/>
                  </w:tcPr>
                  <w:p w14:paraId="1C654E5E" w14:textId="77777777" w:rsidR="00830E72" w:rsidRDefault="008344D8">
                    <w:pPr>
                      <w:ind w:right="73"/>
                      <w:jc w:val="right"/>
                      <w:rPr>
                        <w:szCs w:val="21"/>
                      </w:rPr>
                    </w:pPr>
                    <w:r>
                      <w:rPr>
                        <w:szCs w:val="21"/>
                      </w:rPr>
                      <w:t>2年以内</w:t>
                    </w:r>
                  </w:p>
                </w:tc>
                <w:tc>
                  <w:tcPr>
                    <w:tcW w:w="642" w:type="pct"/>
                    <w:vAlign w:val="center"/>
                  </w:tcPr>
                  <w:p w14:paraId="757C37D3" w14:textId="77777777" w:rsidR="00830E72" w:rsidRDefault="008344D8">
                    <w:pPr>
                      <w:jc w:val="right"/>
                      <w:rPr>
                        <w:szCs w:val="21"/>
                      </w:rPr>
                    </w:pPr>
                    <w:r>
                      <w:rPr>
                        <w:rFonts w:hint="eastAsia"/>
                        <w:szCs w:val="21"/>
                      </w:rPr>
                      <w:t>6.21</w:t>
                    </w:r>
                  </w:p>
                </w:tc>
                <w:tc>
                  <w:tcPr>
                    <w:tcW w:w="825" w:type="pct"/>
                    <w:vAlign w:val="center"/>
                  </w:tcPr>
                  <w:p w14:paraId="39768506" w14:textId="77777777" w:rsidR="00830E72" w:rsidRDefault="008344D8">
                    <w:pPr>
                      <w:jc w:val="right"/>
                      <w:rPr>
                        <w:szCs w:val="21"/>
                      </w:rPr>
                    </w:pPr>
                    <w:r>
                      <w:rPr>
                        <w:szCs w:val="21"/>
                      </w:rPr>
                      <w:t>503,400.00</w:t>
                    </w:r>
                  </w:p>
                </w:tc>
              </w:tr>
            </w:sdtContent>
          </w:sdt>
          <w:tr w:rsidR="00830E72" w14:paraId="7BC37047" w14:textId="77777777">
            <w:trPr>
              <w:cantSplit/>
            </w:trPr>
            <w:sdt>
              <w:sdtPr>
                <w:tag w:val="_PLD_f229cb1d3424499a96c618f3911226c3"/>
                <w:id w:val="514573854"/>
                <w:lock w:val="sdtLocked"/>
              </w:sdtPr>
              <w:sdtEndPr/>
              <w:sdtContent>
                <w:tc>
                  <w:tcPr>
                    <w:tcW w:w="1292" w:type="pct"/>
                    <w:vAlign w:val="center"/>
                  </w:tcPr>
                  <w:p w14:paraId="547AEB17" w14:textId="77777777" w:rsidR="00830E72" w:rsidRDefault="008344D8">
                    <w:pPr>
                      <w:ind w:right="105"/>
                      <w:jc w:val="center"/>
                      <w:rPr>
                        <w:szCs w:val="21"/>
                      </w:rPr>
                    </w:pPr>
                    <w:r>
                      <w:rPr>
                        <w:rFonts w:hint="eastAsia"/>
                        <w:szCs w:val="21"/>
                      </w:rPr>
                      <w:t>合计</w:t>
                    </w:r>
                  </w:p>
                </w:tc>
              </w:sdtContent>
            </w:sdt>
            <w:tc>
              <w:tcPr>
                <w:tcW w:w="717" w:type="pct"/>
                <w:vAlign w:val="center"/>
              </w:tcPr>
              <w:p w14:paraId="0A99A667" w14:textId="77777777" w:rsidR="00830E72" w:rsidRDefault="008344D8">
                <w:pPr>
                  <w:ind w:right="73"/>
                  <w:jc w:val="center"/>
                  <w:rPr>
                    <w:szCs w:val="21"/>
                  </w:rPr>
                </w:pPr>
                <w:r>
                  <w:rPr>
                    <w:szCs w:val="21"/>
                  </w:rPr>
                  <w:t>/</w:t>
                </w:r>
              </w:p>
            </w:tc>
            <w:tc>
              <w:tcPr>
                <w:tcW w:w="956" w:type="pct"/>
                <w:vAlign w:val="center"/>
              </w:tcPr>
              <w:p w14:paraId="4391771D" w14:textId="77777777" w:rsidR="00830E72" w:rsidRDefault="008344D8">
                <w:pPr>
                  <w:ind w:right="73"/>
                  <w:jc w:val="right"/>
                  <w:rPr>
                    <w:szCs w:val="21"/>
                  </w:rPr>
                </w:pPr>
                <w:r>
                  <w:rPr>
                    <w:szCs w:val="21"/>
                  </w:rPr>
                  <w:t>145,980,000.00</w:t>
                </w:r>
              </w:p>
            </w:tc>
            <w:tc>
              <w:tcPr>
                <w:tcW w:w="567" w:type="pct"/>
                <w:vAlign w:val="center"/>
              </w:tcPr>
              <w:p w14:paraId="3E936821" w14:textId="77777777" w:rsidR="00830E72" w:rsidRDefault="008344D8">
                <w:pPr>
                  <w:ind w:right="73"/>
                  <w:jc w:val="right"/>
                  <w:rPr>
                    <w:szCs w:val="21"/>
                  </w:rPr>
                </w:pPr>
                <w:r>
                  <w:rPr>
                    <w:szCs w:val="21"/>
                  </w:rPr>
                  <w:t>/</w:t>
                </w:r>
              </w:p>
            </w:tc>
            <w:tc>
              <w:tcPr>
                <w:tcW w:w="642" w:type="pct"/>
                <w:vAlign w:val="center"/>
              </w:tcPr>
              <w:p w14:paraId="380E969A" w14:textId="77777777" w:rsidR="00830E72" w:rsidRDefault="008344D8">
                <w:pPr>
                  <w:jc w:val="right"/>
                  <w:rPr>
                    <w:szCs w:val="21"/>
                  </w:rPr>
                </w:pPr>
                <w:r>
                  <w:rPr>
                    <w:rFonts w:hint="eastAsia"/>
                    <w:szCs w:val="21"/>
                  </w:rPr>
                  <w:t>54.04</w:t>
                </w:r>
              </w:p>
            </w:tc>
            <w:tc>
              <w:tcPr>
                <w:tcW w:w="825" w:type="pct"/>
                <w:vAlign w:val="center"/>
              </w:tcPr>
              <w:p w14:paraId="22B458E8" w14:textId="77777777" w:rsidR="00830E72" w:rsidRDefault="008344D8">
                <w:pPr>
                  <w:jc w:val="right"/>
                  <w:rPr>
                    <w:szCs w:val="21"/>
                  </w:rPr>
                </w:pPr>
                <w:r>
                  <w:rPr>
                    <w:szCs w:val="21"/>
                  </w:rPr>
                  <w:t>4,379,400.00</w:t>
                </w:r>
              </w:p>
            </w:tc>
          </w:tr>
        </w:tbl>
        <w:p w14:paraId="13B7563F" w14:textId="77777777" w:rsidR="00830E72" w:rsidRDefault="00D44830">
          <w:pPr>
            <w:snapToGrid w:val="0"/>
            <w:spacing w:line="240" w:lineRule="atLeast"/>
          </w:pPr>
        </w:p>
      </w:sdtContent>
    </w:sdt>
    <w:sdt>
      <w:sdtPr>
        <w:rPr>
          <w:rFonts w:ascii="宋体" w:hAnsi="宋体" w:cs="宋体" w:hint="eastAsia"/>
          <w:b w:val="0"/>
          <w:bCs w:val="0"/>
          <w:kern w:val="0"/>
          <w:szCs w:val="24"/>
        </w:rPr>
        <w:alias w:val="模块:按应收金额确认的政府补助"/>
        <w:tag w:val="_GBC_0b136aef44064ce4880a47aef5cda04d"/>
        <w:id w:val="-1851091893"/>
        <w:lock w:val="sdtLocked"/>
        <w:placeholder>
          <w:docPart w:val="GBC22222222222222222222222222222"/>
        </w:placeholder>
      </w:sdtPr>
      <w:sdtEndPr/>
      <w:sdtContent>
        <w:p w14:paraId="7B746B80" w14:textId="77777777" w:rsidR="00830E72" w:rsidRDefault="008344D8">
          <w:pPr>
            <w:pStyle w:val="Style100"/>
            <w:numPr>
              <w:ilvl w:val="3"/>
              <w:numId w:val="50"/>
            </w:numPr>
            <w:tabs>
              <w:tab w:val="left" w:pos="560"/>
            </w:tabs>
            <w:rPr>
              <w:rFonts w:ascii="宋体" w:hAnsi="宋体"/>
            </w:rPr>
          </w:pPr>
          <w:r>
            <w:rPr>
              <w:rFonts w:ascii="宋体" w:hAnsi="宋体" w:hint="eastAsia"/>
            </w:rPr>
            <w:t>涉及政府补助的应收款项</w:t>
          </w:r>
        </w:p>
        <w:sdt>
          <w:sdtPr>
            <w:alias w:val="是否适用：涉及政府补助的应收款项[双击切换]"/>
            <w:tag w:val="_GBC_bfa30ddd81f643f9b7a3d1064d505e6a"/>
            <w:id w:val="869272940"/>
            <w:lock w:val="sdtContentLocked"/>
            <w:placeholder>
              <w:docPart w:val="GBC22222222222222222222222222222"/>
            </w:placeholder>
          </w:sdtPr>
          <w:sdtEndPr/>
          <w:sdtContent>
            <w:p w14:paraId="3C4D0BAE"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因金融资产转移而终止确认的其他应收款"/>
        <w:tag w:val="_GBC_73268e67b3d94deab59672a03d2cbd2a"/>
        <w:id w:val="1076177575"/>
        <w:lock w:val="sdtLocked"/>
        <w:placeholder>
          <w:docPart w:val="GBC22222222222222222222222222222"/>
        </w:placeholder>
      </w:sdtPr>
      <w:sdtEndPr/>
      <w:sdtContent>
        <w:p w14:paraId="72C5E78D" w14:textId="77777777" w:rsidR="00830E72" w:rsidRDefault="008344D8">
          <w:pPr>
            <w:pStyle w:val="Style100"/>
            <w:numPr>
              <w:ilvl w:val="3"/>
              <w:numId w:val="50"/>
            </w:numPr>
            <w:tabs>
              <w:tab w:val="left" w:pos="560"/>
            </w:tabs>
            <w:rPr>
              <w:rFonts w:ascii="宋体" w:hAnsi="宋体"/>
              <w:kern w:val="0"/>
            </w:rPr>
          </w:pPr>
          <w:r>
            <w:rPr>
              <w:rFonts w:ascii="宋体" w:hAnsi="宋体" w:hint="eastAsia"/>
              <w:kern w:val="0"/>
            </w:rPr>
            <w:t>因金融资产</w:t>
          </w:r>
          <w:r>
            <w:rPr>
              <w:rFonts w:ascii="宋体" w:hAnsi="宋体" w:hint="eastAsia"/>
            </w:rPr>
            <w:t>转移</w:t>
          </w:r>
          <w:r>
            <w:rPr>
              <w:rFonts w:ascii="宋体" w:hAnsi="宋体" w:hint="eastAsia"/>
              <w:kern w:val="0"/>
            </w:rPr>
            <w:t>而终止确认的其他应收款</w:t>
          </w:r>
        </w:p>
        <w:sdt>
          <w:sdtPr>
            <w:rPr>
              <w:rFonts w:hint="eastAsia"/>
              <w:szCs w:val="21"/>
            </w:rPr>
            <w:alias w:val="是否适用：因金融资产转移而终止确认的其他应收款[双击切换]"/>
            <w:tag w:val="_GBC_0451c8b8783146d3a8ab851341e7f35b"/>
            <w:id w:val="469789781"/>
            <w:lock w:val="sdtContentLocked"/>
            <w:placeholder>
              <w:docPart w:val="GBC22222222222222222222222222222"/>
            </w:placeholder>
          </w:sdtPr>
          <w:sdtEndPr/>
          <w:sdtContent>
            <w:p w14:paraId="2D510828" w14:textId="77777777" w:rsidR="00830E72" w:rsidRDefault="008344D8">
              <w:pPr>
                <w:ind w:right="57"/>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转移其他应收款且继续涉入形成的资产、负债金额的说明"/>
        <w:tag w:val="_GBC_05496beed0c54ab3b5c0e91297ee374e"/>
        <w:id w:val="1453524977"/>
        <w:lock w:val="sdtLocked"/>
        <w:placeholder>
          <w:docPart w:val="GBC22222222222222222222222222222"/>
        </w:placeholder>
      </w:sdtPr>
      <w:sdtEndPr/>
      <w:sdtContent>
        <w:p w14:paraId="18B2AACB" w14:textId="77777777" w:rsidR="00830E72" w:rsidRDefault="008344D8">
          <w:pPr>
            <w:pStyle w:val="Style100"/>
            <w:numPr>
              <w:ilvl w:val="3"/>
              <w:numId w:val="50"/>
            </w:numPr>
            <w:tabs>
              <w:tab w:val="left" w:pos="560"/>
            </w:tabs>
            <w:rPr>
              <w:rFonts w:ascii="宋体" w:hAnsi="宋体"/>
              <w:kern w:val="0"/>
            </w:rPr>
          </w:pPr>
          <w:r>
            <w:rPr>
              <w:rFonts w:ascii="宋体" w:hAnsi="宋体" w:hint="eastAsia"/>
              <w:kern w:val="0"/>
            </w:rPr>
            <w:t>转移其他应收款且继续涉入形成的资产、负债的金额</w:t>
          </w:r>
        </w:p>
        <w:sdt>
          <w:sdtPr>
            <w:rPr>
              <w:rFonts w:hint="eastAsia"/>
              <w:szCs w:val="21"/>
            </w:rPr>
            <w:alias w:val="是否适用：转移其他应收款且继续涉入形成的资产、负债的金额[双击切换]"/>
            <w:tag w:val="_GBC_e74d63017ee7420b83e7544117beeac6"/>
            <w:id w:val="-156539099"/>
            <w:lock w:val="sdtContentLocked"/>
            <w:placeholder>
              <w:docPart w:val="GBC22222222222222222222222222222"/>
            </w:placeholder>
          </w:sdtPr>
          <w:sdtEndPr/>
          <w:sdtContent>
            <w:p w14:paraId="194EF36F"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b/>
          <w:bCs/>
        </w:rPr>
        <w:alias w:val="模块:其他应收款其他说明"/>
        <w:tag w:val="_GBC_de4246046d754793a6a2db96dd5bb245"/>
        <w:id w:val="1678769757"/>
        <w:lock w:val="sdtLocked"/>
        <w:placeholder>
          <w:docPart w:val="GBC22222222222222222222222222222"/>
        </w:placeholder>
      </w:sdtPr>
      <w:sdtEndPr>
        <w:rPr>
          <w:b w:val="0"/>
          <w:bCs w:val="0"/>
        </w:rPr>
      </w:sdtEndPr>
      <w:sdtContent>
        <w:p w14:paraId="04DD99F5" w14:textId="77777777" w:rsidR="00830E72" w:rsidRDefault="008344D8">
          <w:r>
            <w:rPr>
              <w:rFonts w:hint="eastAsia"/>
            </w:rPr>
            <w:t>其他</w:t>
          </w:r>
          <w:r>
            <w:t>说明：</w:t>
          </w:r>
        </w:p>
        <w:sdt>
          <w:sdtPr>
            <w:alias w:val="是否适用：其他应收款的其他说明[双击切换]"/>
            <w:tag w:val="_GBC_55d570440c184744bd13a4938ba488d1"/>
            <w:id w:val="-1263302058"/>
            <w:lock w:val="sdtContentLocked"/>
            <w:placeholder>
              <w:docPart w:val="GBC22222222222222222222222222222"/>
            </w:placeholder>
          </w:sdtPr>
          <w:sdtEndPr/>
          <w:sdtContent>
            <w:p w14:paraId="4467FB0F"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4174AFC" w14:textId="77777777" w:rsidR="00830E72" w:rsidRDefault="008344D8">
      <w:pPr>
        <w:pStyle w:val="Style99"/>
        <w:numPr>
          <w:ilvl w:val="0"/>
          <w:numId w:val="45"/>
        </w:numPr>
        <w:rPr>
          <w:rFonts w:ascii="宋体" w:hAnsi="宋体"/>
        </w:rPr>
      </w:pPr>
      <w:r>
        <w:rPr>
          <w:rFonts w:ascii="宋体" w:hAnsi="宋体" w:hint="eastAsia"/>
        </w:rPr>
        <w:t>存货</w:t>
      </w:r>
    </w:p>
    <w:bookmarkStart w:id="112" w:name="_Hlk10470159" w:displacedByCustomXml="next"/>
    <w:sdt>
      <w:sdtPr>
        <w:rPr>
          <w:rFonts w:ascii="宋体" w:hAnsi="宋体" w:cs="宋体" w:hint="eastAsia"/>
          <w:b w:val="0"/>
          <w:bCs w:val="0"/>
          <w:kern w:val="0"/>
          <w:szCs w:val="22"/>
        </w:rPr>
        <w:alias w:val="模块:存货分类 "/>
        <w:tag w:val="_GBC_1953ea50f68542df9fa36d84b994cf17"/>
        <w:id w:val="-743256766"/>
        <w:lock w:val="sdtLocked"/>
        <w:placeholder>
          <w:docPart w:val="GBC22222222222222222222222222222"/>
        </w:placeholder>
      </w:sdtPr>
      <w:sdtEndPr>
        <w:rPr>
          <w:szCs w:val="21"/>
        </w:rPr>
      </w:sdtEndPr>
      <w:sdtContent>
        <w:p w14:paraId="6CA48BE6" w14:textId="77777777" w:rsidR="00830E72" w:rsidRDefault="008344D8">
          <w:pPr>
            <w:pStyle w:val="Style100"/>
            <w:numPr>
              <w:ilvl w:val="0"/>
              <w:numId w:val="51"/>
            </w:numPr>
            <w:tabs>
              <w:tab w:val="left" w:pos="630"/>
            </w:tabs>
            <w:rPr>
              <w:rFonts w:ascii="宋体" w:hAnsi="宋体"/>
            </w:rPr>
          </w:pPr>
          <w:r>
            <w:rPr>
              <w:rFonts w:ascii="宋体" w:hAnsi="宋体" w:hint="eastAsia"/>
            </w:rPr>
            <w:t>存货分类</w:t>
          </w:r>
        </w:p>
        <w:sdt>
          <w:sdtPr>
            <w:alias w:val="是否适用：存货分类[双击切换]"/>
            <w:tag w:val="_GBC_06c46a03a226418fb8e5e84326c47750"/>
            <w:id w:val="1169837593"/>
            <w:lock w:val="sdtContentLocked"/>
            <w:placeholder>
              <w:docPart w:val="GBC22222222222222222222222222222"/>
            </w:placeholder>
          </w:sdtPr>
          <w:sdtEndPr/>
          <w:sdtContent>
            <w:p w14:paraId="7F97D509"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ED4BC6B" w14:textId="77777777" w:rsidR="00830E72" w:rsidRDefault="008344D8">
          <w:pPr>
            <w:jc w:val="right"/>
            <w:rPr>
              <w:szCs w:val="21"/>
            </w:rPr>
          </w:pPr>
          <w:r>
            <w:rPr>
              <w:rFonts w:hint="eastAsia"/>
              <w:szCs w:val="21"/>
            </w:rPr>
            <w:t>单位：</w:t>
          </w:r>
          <w:sdt>
            <w:sdtPr>
              <w:rPr>
                <w:rFonts w:hint="eastAsia"/>
                <w:szCs w:val="21"/>
              </w:rPr>
              <w:alias w:val="单位：财务附注：存货分类"/>
              <w:tag w:val="_GBC_cc6e1ec3be0141cbb25cf999a897b29b"/>
              <w:id w:val="-19390537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85b2ad6790d4fa2ace1d773934cd4b3"/>
              <w:id w:val="18896818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079"/>
            <w:gridCol w:w="1444"/>
            <w:gridCol w:w="1023"/>
            <w:gridCol w:w="1445"/>
            <w:gridCol w:w="1445"/>
            <w:gridCol w:w="1018"/>
            <w:gridCol w:w="1441"/>
          </w:tblGrid>
          <w:tr w:rsidR="00830E72" w14:paraId="448FD42C" w14:textId="77777777">
            <w:trPr>
              <w:cantSplit/>
            </w:trPr>
            <w:sdt>
              <w:sdtPr>
                <w:tag w:val="_PLD_48d855cd658044389f8d1cbe0016be78"/>
                <w:id w:val="-1313800610"/>
                <w:lock w:val="sdtLocked"/>
              </w:sdtPr>
              <w:sdtEndPr/>
              <w:sdtContent>
                <w:tc>
                  <w:tcPr>
                    <w:tcW w:w="607" w:type="pct"/>
                    <w:vMerge w:val="restart"/>
                    <w:vAlign w:val="center"/>
                  </w:tcPr>
                  <w:p w14:paraId="424D4257" w14:textId="77777777" w:rsidR="00830E72" w:rsidRDefault="008344D8">
                    <w:pPr>
                      <w:jc w:val="center"/>
                      <w:rPr>
                        <w:szCs w:val="21"/>
                      </w:rPr>
                    </w:pPr>
                    <w:r>
                      <w:rPr>
                        <w:rFonts w:hint="eastAsia"/>
                        <w:szCs w:val="21"/>
                      </w:rPr>
                      <w:t>项目</w:t>
                    </w:r>
                  </w:p>
                </w:tc>
              </w:sdtContent>
            </w:sdt>
            <w:sdt>
              <w:sdtPr>
                <w:tag w:val="_PLD_586606f595aa4fff8214f9b6209260b6"/>
                <w:id w:val="99623192"/>
                <w:lock w:val="sdtLocked"/>
              </w:sdtPr>
              <w:sdtEndPr/>
              <w:sdtContent>
                <w:tc>
                  <w:tcPr>
                    <w:tcW w:w="2199" w:type="pct"/>
                    <w:gridSpan w:val="3"/>
                    <w:vAlign w:val="center"/>
                  </w:tcPr>
                  <w:p w14:paraId="28F6EBFB" w14:textId="77777777" w:rsidR="00830E72" w:rsidRDefault="008344D8">
                    <w:pPr>
                      <w:jc w:val="center"/>
                      <w:rPr>
                        <w:szCs w:val="21"/>
                      </w:rPr>
                    </w:pPr>
                    <w:r>
                      <w:rPr>
                        <w:rFonts w:hint="eastAsia"/>
                        <w:szCs w:val="21"/>
                      </w:rPr>
                      <w:t>期末余额</w:t>
                    </w:r>
                  </w:p>
                </w:tc>
              </w:sdtContent>
            </w:sdt>
            <w:sdt>
              <w:sdtPr>
                <w:tag w:val="_PLD_a1bbc97888494137a790328386c2b9d8"/>
                <w:id w:val="1860782634"/>
                <w:lock w:val="sdtLocked"/>
              </w:sdtPr>
              <w:sdtEndPr/>
              <w:sdtContent>
                <w:tc>
                  <w:tcPr>
                    <w:tcW w:w="2194" w:type="pct"/>
                    <w:gridSpan w:val="3"/>
                    <w:vAlign w:val="center"/>
                  </w:tcPr>
                  <w:p w14:paraId="23C7D700" w14:textId="77777777" w:rsidR="00830E72" w:rsidRDefault="008344D8">
                    <w:pPr>
                      <w:jc w:val="center"/>
                      <w:rPr>
                        <w:szCs w:val="21"/>
                      </w:rPr>
                    </w:pPr>
                    <w:r>
                      <w:rPr>
                        <w:rFonts w:hint="eastAsia"/>
                        <w:szCs w:val="21"/>
                      </w:rPr>
                      <w:t>期初余额</w:t>
                    </w:r>
                  </w:p>
                </w:tc>
              </w:sdtContent>
            </w:sdt>
          </w:tr>
          <w:tr w:rsidR="00830E72" w14:paraId="2134F60A" w14:textId="77777777">
            <w:trPr>
              <w:cantSplit/>
            </w:trPr>
            <w:tc>
              <w:tcPr>
                <w:tcW w:w="607" w:type="pct"/>
                <w:vMerge/>
              </w:tcPr>
              <w:p w14:paraId="5CCB6629" w14:textId="77777777" w:rsidR="00830E72" w:rsidRDefault="00830E72">
                <w:pPr>
                  <w:ind w:right="5"/>
                  <w:jc w:val="center"/>
                  <w:rPr>
                    <w:szCs w:val="21"/>
                  </w:rPr>
                </w:pPr>
              </w:p>
            </w:tc>
            <w:sdt>
              <w:sdtPr>
                <w:tag w:val="_PLD_60368d835c2843d99b5061f4c84f8d8e"/>
                <w:id w:val="-1726059329"/>
                <w:lock w:val="sdtLocked"/>
              </w:sdtPr>
              <w:sdtEndPr/>
              <w:sdtContent>
                <w:tc>
                  <w:tcPr>
                    <w:tcW w:w="812" w:type="pct"/>
                    <w:vAlign w:val="center"/>
                  </w:tcPr>
                  <w:p w14:paraId="021B2C5B" w14:textId="77777777" w:rsidR="00830E72" w:rsidRDefault="008344D8">
                    <w:pPr>
                      <w:ind w:right="5"/>
                      <w:jc w:val="center"/>
                      <w:rPr>
                        <w:szCs w:val="21"/>
                      </w:rPr>
                    </w:pPr>
                    <w:r>
                      <w:rPr>
                        <w:rFonts w:hint="eastAsia"/>
                        <w:szCs w:val="21"/>
                      </w:rPr>
                      <w:t>账面余额</w:t>
                    </w:r>
                  </w:p>
                </w:tc>
              </w:sdtContent>
            </w:sdt>
            <w:tc>
              <w:tcPr>
                <w:tcW w:w="575" w:type="pct"/>
                <w:vAlign w:val="center"/>
              </w:tcPr>
              <w:p w14:paraId="67816364" w14:textId="77777777" w:rsidR="00830E72" w:rsidRDefault="00D44830">
                <w:pPr>
                  <w:ind w:right="5"/>
                  <w:jc w:val="center"/>
                  <w:rPr>
                    <w:szCs w:val="21"/>
                  </w:rPr>
                </w:pPr>
                <w:sdt>
                  <w:sdtPr>
                    <w:tag w:val="_PLD_b5c53ce2a5004db988af9e72594f6b6a"/>
                    <w:id w:val="1693726278"/>
                    <w:lock w:val="sdtLocked"/>
                  </w:sdtPr>
                  <w:sdtEndPr/>
                  <w:sdtContent>
                    <w:r w:rsidR="008344D8">
                      <w:rPr>
                        <w:rFonts w:hint="eastAsia"/>
                      </w:rPr>
                      <w:t>存货跌价准备</w:t>
                    </w:r>
                    <w:r w:rsidR="008344D8">
                      <w:t>/</w:t>
                    </w:r>
                    <w:r w:rsidR="008344D8">
                      <w:rPr>
                        <w:szCs w:val="21"/>
                      </w:rPr>
                      <w:t>合同履约成本减值准备</w:t>
                    </w:r>
                  </w:sdtContent>
                </w:sdt>
              </w:p>
            </w:tc>
            <w:sdt>
              <w:sdtPr>
                <w:tag w:val="_PLD_f2691cf723784fbcbc9a900f61c6e250"/>
                <w:id w:val="-584077783"/>
                <w:lock w:val="sdtLocked"/>
              </w:sdtPr>
              <w:sdtEndPr/>
              <w:sdtContent>
                <w:tc>
                  <w:tcPr>
                    <w:tcW w:w="812" w:type="pct"/>
                    <w:vAlign w:val="center"/>
                  </w:tcPr>
                  <w:p w14:paraId="69CEE658" w14:textId="77777777" w:rsidR="00830E72" w:rsidRDefault="008344D8">
                    <w:pPr>
                      <w:ind w:right="5"/>
                      <w:jc w:val="center"/>
                      <w:rPr>
                        <w:szCs w:val="21"/>
                      </w:rPr>
                    </w:pPr>
                    <w:r>
                      <w:rPr>
                        <w:rFonts w:hint="eastAsia"/>
                        <w:szCs w:val="21"/>
                      </w:rPr>
                      <w:t>账面价值</w:t>
                    </w:r>
                  </w:p>
                </w:tc>
              </w:sdtContent>
            </w:sdt>
            <w:sdt>
              <w:sdtPr>
                <w:tag w:val="_PLD_df34ec94af0b441bab962cb42fe65b1a"/>
                <w:id w:val="506879431"/>
                <w:lock w:val="sdtLocked"/>
              </w:sdtPr>
              <w:sdtEndPr/>
              <w:sdtContent>
                <w:tc>
                  <w:tcPr>
                    <w:tcW w:w="812" w:type="pct"/>
                    <w:vAlign w:val="center"/>
                  </w:tcPr>
                  <w:p w14:paraId="4167A7D8" w14:textId="77777777" w:rsidR="00830E72" w:rsidRDefault="008344D8">
                    <w:pPr>
                      <w:ind w:right="5"/>
                      <w:jc w:val="center"/>
                      <w:rPr>
                        <w:szCs w:val="21"/>
                      </w:rPr>
                    </w:pPr>
                    <w:r>
                      <w:rPr>
                        <w:rFonts w:hint="eastAsia"/>
                        <w:szCs w:val="21"/>
                      </w:rPr>
                      <w:t>账面余额</w:t>
                    </w:r>
                  </w:p>
                </w:tc>
              </w:sdtContent>
            </w:sdt>
            <w:tc>
              <w:tcPr>
                <w:tcW w:w="572" w:type="pct"/>
                <w:vAlign w:val="center"/>
              </w:tcPr>
              <w:p w14:paraId="409ED632" w14:textId="77777777" w:rsidR="00830E72" w:rsidRDefault="00D44830">
                <w:pPr>
                  <w:ind w:right="5"/>
                  <w:jc w:val="center"/>
                  <w:rPr>
                    <w:szCs w:val="21"/>
                  </w:rPr>
                </w:pPr>
                <w:sdt>
                  <w:sdtPr>
                    <w:tag w:val="_PLD_7a42c47b54924b47b9e161d8fd9fb840"/>
                    <w:id w:val="-307324732"/>
                    <w:lock w:val="sdtLocked"/>
                  </w:sdtPr>
                  <w:sdtEndPr/>
                  <w:sdtContent>
                    <w:r w:rsidR="008344D8">
                      <w:rPr>
                        <w:rFonts w:hint="eastAsia"/>
                      </w:rPr>
                      <w:t>存货跌价准备</w:t>
                    </w:r>
                    <w:r w:rsidR="008344D8">
                      <w:t>/</w:t>
                    </w:r>
                    <w:r w:rsidR="008344D8">
                      <w:rPr>
                        <w:szCs w:val="21"/>
                      </w:rPr>
                      <w:t>合同履约成本减值准备</w:t>
                    </w:r>
                  </w:sdtContent>
                </w:sdt>
              </w:p>
            </w:tc>
            <w:sdt>
              <w:sdtPr>
                <w:tag w:val="_PLD_0db3a7f82db34583bb111dc2a8e88f8c"/>
                <w:id w:val="337664407"/>
                <w:lock w:val="sdtLocked"/>
              </w:sdtPr>
              <w:sdtEndPr/>
              <w:sdtContent>
                <w:tc>
                  <w:tcPr>
                    <w:tcW w:w="810" w:type="pct"/>
                    <w:vAlign w:val="center"/>
                  </w:tcPr>
                  <w:p w14:paraId="288C1601" w14:textId="77777777" w:rsidR="00830E72" w:rsidRDefault="008344D8">
                    <w:pPr>
                      <w:ind w:right="5"/>
                      <w:jc w:val="center"/>
                      <w:rPr>
                        <w:szCs w:val="21"/>
                      </w:rPr>
                    </w:pPr>
                    <w:r>
                      <w:rPr>
                        <w:rFonts w:hint="eastAsia"/>
                        <w:szCs w:val="21"/>
                      </w:rPr>
                      <w:t>账面价值</w:t>
                    </w:r>
                  </w:p>
                </w:tc>
              </w:sdtContent>
            </w:sdt>
          </w:tr>
          <w:tr w:rsidR="00830E72" w14:paraId="483FB576" w14:textId="77777777">
            <w:trPr>
              <w:cantSplit/>
            </w:trPr>
            <w:sdt>
              <w:sdtPr>
                <w:tag w:val="_PLD_fca11404c29f48d0b5900b11850092d7"/>
                <w:id w:val="434723018"/>
                <w:lock w:val="sdtLocked"/>
              </w:sdtPr>
              <w:sdtEndPr/>
              <w:sdtContent>
                <w:tc>
                  <w:tcPr>
                    <w:tcW w:w="607" w:type="pct"/>
                  </w:tcPr>
                  <w:p w14:paraId="07CF90AA" w14:textId="77777777" w:rsidR="00830E72" w:rsidRDefault="008344D8">
                    <w:pPr>
                      <w:ind w:right="5"/>
                      <w:rPr>
                        <w:szCs w:val="21"/>
                      </w:rPr>
                    </w:pPr>
                    <w:r>
                      <w:rPr>
                        <w:rFonts w:hint="eastAsia"/>
                        <w:szCs w:val="21"/>
                      </w:rPr>
                      <w:t>原材料</w:t>
                    </w:r>
                  </w:p>
                </w:tc>
              </w:sdtContent>
            </w:sdt>
            <w:tc>
              <w:tcPr>
                <w:tcW w:w="812" w:type="pct"/>
              </w:tcPr>
              <w:p w14:paraId="40ED719F" w14:textId="77777777" w:rsidR="00830E72" w:rsidRDefault="008344D8">
                <w:pPr>
                  <w:ind w:right="5"/>
                  <w:jc w:val="right"/>
                  <w:rPr>
                    <w:szCs w:val="21"/>
                  </w:rPr>
                </w:pPr>
                <w:r>
                  <w:rPr>
                    <w:szCs w:val="21"/>
                  </w:rPr>
                  <w:t>37,026,836.76</w:t>
                </w:r>
              </w:p>
            </w:tc>
            <w:tc>
              <w:tcPr>
                <w:tcW w:w="575" w:type="pct"/>
              </w:tcPr>
              <w:p w14:paraId="702CAC83" w14:textId="77777777" w:rsidR="00830E72" w:rsidRDefault="00830E72">
                <w:pPr>
                  <w:ind w:right="5"/>
                  <w:jc w:val="right"/>
                  <w:rPr>
                    <w:szCs w:val="21"/>
                  </w:rPr>
                </w:pPr>
              </w:p>
            </w:tc>
            <w:tc>
              <w:tcPr>
                <w:tcW w:w="812" w:type="pct"/>
              </w:tcPr>
              <w:p w14:paraId="7CE30FED" w14:textId="77777777" w:rsidR="00830E72" w:rsidRDefault="008344D8">
                <w:pPr>
                  <w:ind w:right="5"/>
                  <w:jc w:val="right"/>
                  <w:rPr>
                    <w:szCs w:val="21"/>
                  </w:rPr>
                </w:pPr>
                <w:r>
                  <w:rPr>
                    <w:szCs w:val="21"/>
                  </w:rPr>
                  <w:t>37,026,836.76</w:t>
                </w:r>
              </w:p>
            </w:tc>
            <w:tc>
              <w:tcPr>
                <w:tcW w:w="812" w:type="pct"/>
              </w:tcPr>
              <w:p w14:paraId="2DE6FE7F" w14:textId="77777777" w:rsidR="00830E72" w:rsidRDefault="008344D8">
                <w:pPr>
                  <w:ind w:right="5"/>
                  <w:jc w:val="right"/>
                  <w:rPr>
                    <w:szCs w:val="21"/>
                  </w:rPr>
                </w:pPr>
                <w:r>
                  <w:rPr>
                    <w:szCs w:val="21"/>
                  </w:rPr>
                  <w:t>26,375,000.46</w:t>
                </w:r>
              </w:p>
            </w:tc>
            <w:tc>
              <w:tcPr>
                <w:tcW w:w="572" w:type="pct"/>
              </w:tcPr>
              <w:p w14:paraId="11BE0A4F" w14:textId="77777777" w:rsidR="00830E72" w:rsidRDefault="00830E72">
                <w:pPr>
                  <w:ind w:right="5"/>
                  <w:jc w:val="right"/>
                  <w:rPr>
                    <w:szCs w:val="21"/>
                  </w:rPr>
                </w:pPr>
              </w:p>
            </w:tc>
            <w:tc>
              <w:tcPr>
                <w:tcW w:w="810" w:type="pct"/>
              </w:tcPr>
              <w:p w14:paraId="429E26B5" w14:textId="77777777" w:rsidR="00830E72" w:rsidRDefault="008344D8">
                <w:pPr>
                  <w:ind w:right="5"/>
                  <w:jc w:val="right"/>
                  <w:rPr>
                    <w:szCs w:val="21"/>
                  </w:rPr>
                </w:pPr>
                <w:r>
                  <w:rPr>
                    <w:szCs w:val="21"/>
                  </w:rPr>
                  <w:t>26,375,000.46</w:t>
                </w:r>
              </w:p>
            </w:tc>
          </w:tr>
          <w:tr w:rsidR="00830E72" w14:paraId="744E1C27" w14:textId="77777777">
            <w:trPr>
              <w:cantSplit/>
            </w:trPr>
            <w:sdt>
              <w:sdtPr>
                <w:tag w:val="_PLD_c7f765ab16d04ed0965df8d114b73cb6"/>
                <w:id w:val="-924421131"/>
                <w:lock w:val="sdtLocked"/>
              </w:sdtPr>
              <w:sdtEndPr/>
              <w:sdtContent>
                <w:tc>
                  <w:tcPr>
                    <w:tcW w:w="607" w:type="pct"/>
                  </w:tcPr>
                  <w:p w14:paraId="4F214330" w14:textId="77777777" w:rsidR="00830E72" w:rsidRDefault="008344D8">
                    <w:pPr>
                      <w:ind w:right="5"/>
                      <w:jc w:val="center"/>
                      <w:rPr>
                        <w:szCs w:val="21"/>
                      </w:rPr>
                    </w:pPr>
                    <w:r>
                      <w:rPr>
                        <w:rFonts w:hint="eastAsia"/>
                        <w:szCs w:val="21"/>
                      </w:rPr>
                      <w:t>合计</w:t>
                    </w:r>
                  </w:p>
                </w:tc>
              </w:sdtContent>
            </w:sdt>
            <w:tc>
              <w:tcPr>
                <w:tcW w:w="812" w:type="pct"/>
              </w:tcPr>
              <w:p w14:paraId="4A1B61AD" w14:textId="77777777" w:rsidR="00830E72" w:rsidRDefault="008344D8">
                <w:pPr>
                  <w:ind w:right="5"/>
                  <w:jc w:val="right"/>
                  <w:rPr>
                    <w:szCs w:val="21"/>
                  </w:rPr>
                </w:pPr>
                <w:r>
                  <w:rPr>
                    <w:szCs w:val="21"/>
                  </w:rPr>
                  <w:t>37,026,836.76</w:t>
                </w:r>
              </w:p>
            </w:tc>
            <w:tc>
              <w:tcPr>
                <w:tcW w:w="575" w:type="pct"/>
              </w:tcPr>
              <w:p w14:paraId="177F1081" w14:textId="77777777" w:rsidR="00830E72" w:rsidRDefault="00830E72">
                <w:pPr>
                  <w:ind w:right="5"/>
                  <w:jc w:val="right"/>
                  <w:rPr>
                    <w:szCs w:val="21"/>
                  </w:rPr>
                </w:pPr>
              </w:p>
            </w:tc>
            <w:tc>
              <w:tcPr>
                <w:tcW w:w="812" w:type="pct"/>
              </w:tcPr>
              <w:p w14:paraId="00A8D280" w14:textId="77777777" w:rsidR="00830E72" w:rsidRDefault="008344D8">
                <w:pPr>
                  <w:ind w:right="5"/>
                  <w:jc w:val="right"/>
                  <w:rPr>
                    <w:szCs w:val="21"/>
                  </w:rPr>
                </w:pPr>
                <w:r>
                  <w:rPr>
                    <w:szCs w:val="21"/>
                  </w:rPr>
                  <w:t>37,026,836.76</w:t>
                </w:r>
              </w:p>
            </w:tc>
            <w:tc>
              <w:tcPr>
                <w:tcW w:w="812" w:type="pct"/>
              </w:tcPr>
              <w:p w14:paraId="67A01D5D" w14:textId="77777777" w:rsidR="00830E72" w:rsidRDefault="008344D8">
                <w:pPr>
                  <w:ind w:right="5"/>
                  <w:jc w:val="right"/>
                  <w:rPr>
                    <w:szCs w:val="21"/>
                  </w:rPr>
                </w:pPr>
                <w:r>
                  <w:rPr>
                    <w:szCs w:val="21"/>
                  </w:rPr>
                  <w:t>26,375,000.46</w:t>
                </w:r>
              </w:p>
            </w:tc>
            <w:tc>
              <w:tcPr>
                <w:tcW w:w="572" w:type="pct"/>
              </w:tcPr>
              <w:p w14:paraId="049360B7" w14:textId="77777777" w:rsidR="00830E72" w:rsidRDefault="00830E72">
                <w:pPr>
                  <w:ind w:right="5"/>
                  <w:jc w:val="right"/>
                  <w:rPr>
                    <w:szCs w:val="21"/>
                  </w:rPr>
                </w:pPr>
              </w:p>
            </w:tc>
            <w:tc>
              <w:tcPr>
                <w:tcW w:w="810" w:type="pct"/>
              </w:tcPr>
              <w:p w14:paraId="24F208F3" w14:textId="77777777" w:rsidR="00830E72" w:rsidRDefault="008344D8">
                <w:pPr>
                  <w:ind w:right="5"/>
                  <w:jc w:val="right"/>
                  <w:rPr>
                    <w:szCs w:val="21"/>
                  </w:rPr>
                </w:pPr>
                <w:r>
                  <w:rPr>
                    <w:szCs w:val="21"/>
                  </w:rPr>
                  <w:t>26,375,000.46</w:t>
                </w:r>
              </w:p>
            </w:tc>
          </w:tr>
        </w:tbl>
        <w:p w14:paraId="739B081D" w14:textId="77777777" w:rsidR="00830E72" w:rsidRDefault="00D44830">
          <w:pPr>
            <w:rPr>
              <w:szCs w:val="21"/>
            </w:rPr>
          </w:pPr>
        </w:p>
      </w:sdtContent>
    </w:sdt>
    <w:bookmarkEnd w:id="112" w:displacedByCustomXml="next"/>
    <w:bookmarkStart w:id="113" w:name="_Hlk10470459" w:displacedByCustomXml="next"/>
    <w:sdt>
      <w:sdtPr>
        <w:rPr>
          <w:rFonts w:ascii="宋体" w:hAnsi="宋体" w:cs="宋体" w:hint="eastAsia"/>
          <w:b w:val="0"/>
          <w:bCs w:val="0"/>
          <w:kern w:val="0"/>
          <w:szCs w:val="24"/>
        </w:rPr>
        <w:alias w:val="模块:存货跌价准备"/>
        <w:tag w:val="_GBC_d00b46c41ac84794bd1f7b10e97923a0"/>
        <w:id w:val="-1216356328"/>
        <w:lock w:val="sdtLocked"/>
        <w:placeholder>
          <w:docPart w:val="GBC22222222222222222222222222222"/>
        </w:placeholder>
      </w:sdtPr>
      <w:sdtEndPr/>
      <w:sdtContent>
        <w:p w14:paraId="1D933BCB" w14:textId="77777777" w:rsidR="00830E72" w:rsidRDefault="008344D8">
          <w:pPr>
            <w:pStyle w:val="Style100"/>
            <w:numPr>
              <w:ilvl w:val="0"/>
              <w:numId w:val="51"/>
            </w:numPr>
            <w:tabs>
              <w:tab w:val="left" w:pos="630"/>
            </w:tabs>
            <w:rPr>
              <w:rFonts w:ascii="宋体" w:hAnsi="宋体"/>
            </w:rPr>
          </w:pPr>
          <w:r>
            <w:rPr>
              <w:rFonts w:ascii="宋体" w:hAnsi="宋体" w:hint="eastAsia"/>
            </w:rPr>
            <w:t>存货跌价准备及合同履约成本减值准备</w:t>
          </w:r>
        </w:p>
        <w:sdt>
          <w:sdtPr>
            <w:alias w:val="是否适用：存货跌价准备[双击切换]"/>
            <w:tag w:val="_GBC_b9bd4a0fa089468ebded8bb61a86fbae"/>
            <w:id w:val="2951018"/>
            <w:lock w:val="sdtContentLocked"/>
            <w:placeholder>
              <w:docPart w:val="GBC22222222222222222222222222222"/>
            </w:placeholder>
          </w:sdtPr>
          <w:sdtEndPr/>
          <w:sdtContent>
            <w:p w14:paraId="3469ACF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13" w:displacedByCustomXml="next"/>
    <w:sdt>
      <w:sdtPr>
        <w:rPr>
          <w:rFonts w:ascii="宋体" w:hAnsi="宋体" w:cs="宋体" w:hint="eastAsia"/>
          <w:b w:val="0"/>
          <w:bCs w:val="0"/>
          <w:kern w:val="0"/>
          <w:szCs w:val="24"/>
        </w:rPr>
        <w:alias w:val="模块:存货期末余额含有借款费用资本化金额的说明："/>
        <w:tag w:val="_GBC_dc559aaf0bf0428386e2f7f2cdeb43ec"/>
        <w:id w:val="2028593997"/>
        <w:lock w:val="sdtLocked"/>
        <w:placeholder>
          <w:docPart w:val="GBC22222222222222222222222222222"/>
        </w:placeholder>
      </w:sdtPr>
      <w:sdtEndPr/>
      <w:sdtContent>
        <w:p w14:paraId="551C7D5B" w14:textId="77777777" w:rsidR="00830E72" w:rsidRDefault="008344D8">
          <w:pPr>
            <w:pStyle w:val="Style100"/>
            <w:numPr>
              <w:ilvl w:val="0"/>
              <w:numId w:val="51"/>
            </w:numPr>
            <w:tabs>
              <w:tab w:val="left" w:pos="630"/>
            </w:tabs>
            <w:rPr>
              <w:rFonts w:ascii="宋体" w:hAnsi="宋体"/>
            </w:rPr>
          </w:pPr>
          <w:r>
            <w:rPr>
              <w:rFonts w:ascii="宋体" w:hAnsi="宋体" w:hint="eastAsia"/>
            </w:rPr>
            <w:t>存货期末余额含有借款费用资本化金额的说明</w:t>
          </w:r>
        </w:p>
        <w:sdt>
          <w:sdtPr>
            <w:rPr>
              <w:rFonts w:hint="eastAsia"/>
            </w:rPr>
            <w:alias w:val="是否适用：存货期末余额含有借款费用资本化金额的说明[双击切换]"/>
            <w:tag w:val="_GBC_c4216db560c643b38b29d44401d464c9"/>
            <w:id w:val="-1857723694"/>
            <w:lock w:val="sdtContentLocked"/>
            <w:placeholder>
              <w:docPart w:val="GBC22222222222222222222222222222"/>
            </w:placeholder>
          </w:sdtPr>
          <w:sdtEndPr/>
          <w:sdtContent>
            <w:p w14:paraId="4101E3CD"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14" w:name="_Hlk10470641" w:displacedByCustomXml="next"/>
    <w:sdt>
      <w:sdtPr>
        <w:rPr>
          <w:rFonts w:ascii="宋体" w:hAnsi="宋体" w:cs="宋体" w:hint="eastAsia"/>
          <w:b w:val="0"/>
          <w:bCs w:val="0"/>
          <w:kern w:val="0"/>
          <w:szCs w:val="24"/>
        </w:rPr>
        <w:alias w:val="模块:合同履约成本本期摊销金额的说明"/>
        <w:tag w:val="_SEC_8c46917973d94083a642ad0ca746d3cd"/>
        <w:id w:val="1844351447"/>
        <w:lock w:val="sdtLocked"/>
        <w:placeholder>
          <w:docPart w:val="GBC22222222222222222222222222222"/>
        </w:placeholder>
      </w:sdtPr>
      <w:sdtEndPr>
        <w:rPr>
          <w:rFonts w:hint="default"/>
        </w:rPr>
      </w:sdtEndPr>
      <w:sdtContent>
        <w:p w14:paraId="008CFDDA" w14:textId="77777777" w:rsidR="00830E72" w:rsidRDefault="008344D8">
          <w:pPr>
            <w:pStyle w:val="Style100"/>
            <w:numPr>
              <w:ilvl w:val="0"/>
              <w:numId w:val="51"/>
            </w:numPr>
            <w:tabs>
              <w:tab w:val="left" w:pos="630"/>
            </w:tabs>
            <w:rPr>
              <w:rFonts w:ascii="宋体" w:hAnsi="宋体"/>
            </w:rPr>
          </w:pPr>
          <w:r>
            <w:rPr>
              <w:rFonts w:ascii="宋体" w:hAnsi="宋体" w:hint="eastAsia"/>
            </w:rPr>
            <w:t>合同履约成本本期摊销金额的说明</w:t>
          </w:r>
        </w:p>
        <w:sdt>
          <w:sdtPr>
            <w:alias w:val="是否适用：合同履约成本本期摊销金额的说明[双击切换]"/>
            <w:tag w:val="_GBC_cd3513a7790e48d4a2a156e8ad6a629a"/>
            <w:id w:val="80727967"/>
            <w:lock w:val="sdtContentLocked"/>
            <w:placeholder>
              <w:docPart w:val="GBC22222222222222222222222222222"/>
            </w:placeholder>
          </w:sdtPr>
          <w:sdtEndPr/>
          <w:sdtContent>
            <w:p w14:paraId="3BF34786"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14" w:displacedByCustomXml="next"/>
    <w:sdt>
      <w:sdtPr>
        <w:rPr>
          <w:rFonts w:hint="eastAsia"/>
          <w:szCs w:val="21"/>
        </w:rPr>
        <w:alias w:val="模块:存货的其他说明"/>
        <w:tag w:val="_SEC_96c2195df56b4f3eb6049f39e6923486"/>
        <w:id w:val="-112366711"/>
        <w:lock w:val="sdtLocked"/>
        <w:placeholder>
          <w:docPart w:val="GBC22222222222222222222222222222"/>
        </w:placeholder>
      </w:sdtPr>
      <w:sdtEndPr>
        <w:rPr>
          <w:rFonts w:hint="default"/>
          <w:szCs w:val="24"/>
        </w:rPr>
      </w:sdtEndPr>
      <w:sdtContent>
        <w:p w14:paraId="7F0BA36A" w14:textId="77777777" w:rsidR="00830E72" w:rsidRDefault="008344D8">
          <w:pPr>
            <w:rPr>
              <w:szCs w:val="21"/>
            </w:rPr>
          </w:pPr>
          <w:r>
            <w:rPr>
              <w:rFonts w:hint="eastAsia"/>
              <w:szCs w:val="21"/>
            </w:rPr>
            <w:t>其他说明：</w:t>
          </w:r>
        </w:p>
        <w:sdt>
          <w:sdtPr>
            <w:rPr>
              <w:szCs w:val="21"/>
            </w:rPr>
            <w:alias w:val="是否适用：存货的其他说明[双击切换]"/>
            <w:tag w:val="_GBC_bd31680428a448ecb64fdd4cbab90a42"/>
            <w:id w:val="-172486890"/>
            <w:lock w:val="sdtContentLocked"/>
            <w:placeholder>
              <w:docPart w:val="GBC22222222222222222222222222222"/>
            </w:placeholder>
          </w:sdtPr>
          <w:sdtEndPr/>
          <w:sdtContent>
            <w:p w14:paraId="7C89069A" w14:textId="77777777" w:rsidR="00830E72" w:rsidRDefault="008344D8">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FCF2DC5" w14:textId="77777777" w:rsidR="00830E72" w:rsidRDefault="00830E72">
      <w:pPr>
        <w:sectPr w:rsidR="00830E72">
          <w:pgSz w:w="11906" w:h="16838"/>
          <w:pgMar w:top="1440" w:right="1797" w:bottom="1525" w:left="1276" w:header="856" w:footer="992" w:gutter="0"/>
          <w:cols w:space="425"/>
          <w:docGrid w:linePitch="312"/>
        </w:sectPr>
      </w:pPr>
    </w:p>
    <w:p w14:paraId="3A1BA0BB" w14:textId="77777777" w:rsidR="00830E72" w:rsidRDefault="00830E72"/>
    <w:bookmarkStart w:id="115" w:name="_Hlk10470760" w:displacedByCustomXml="next"/>
    <w:sdt>
      <w:sdtPr>
        <w:rPr>
          <w:rFonts w:ascii="宋体" w:hAnsi="宋体" w:cs="宋体" w:hint="eastAsia"/>
          <w:b w:val="0"/>
          <w:bCs w:val="0"/>
          <w:kern w:val="0"/>
          <w:szCs w:val="24"/>
        </w:rPr>
        <w:alias w:val="模块:合同资产"/>
        <w:tag w:val="_SEC_9eb3b6c88c0a41f7a3f6a2f43946f06c"/>
        <w:id w:val="1638133627"/>
        <w:placeholder>
          <w:docPart w:val="GBC22222222222222222222222222222"/>
        </w:placeholder>
      </w:sdtPr>
      <w:sdtEndPr>
        <w:rPr>
          <w:rFonts w:ascii="Calibri" w:hAnsi="Calibri" w:cs="Times New Roman"/>
          <w:b/>
          <w:bCs/>
          <w:kern w:val="2"/>
          <w:szCs w:val="32"/>
        </w:rPr>
      </w:sdtEndPr>
      <w:sdtContent>
        <w:p w14:paraId="50F1E852" w14:textId="77777777" w:rsidR="00830E72" w:rsidRDefault="008344D8">
          <w:pPr>
            <w:pStyle w:val="3"/>
            <w:numPr>
              <w:ilvl w:val="0"/>
              <w:numId w:val="45"/>
            </w:numPr>
            <w:tabs>
              <w:tab w:val="left" w:pos="504"/>
            </w:tabs>
            <w:rPr>
              <w:rFonts w:ascii="宋体" w:hAnsi="宋体"/>
            </w:rPr>
          </w:pPr>
          <w:r>
            <w:rPr>
              <w:rFonts w:ascii="宋体" w:hAnsi="宋体" w:hint="eastAsia"/>
            </w:rPr>
            <w:t>合同资产</w:t>
          </w:r>
        </w:p>
        <w:p w14:paraId="6B6A6914" w14:textId="77777777" w:rsidR="00830E72" w:rsidRDefault="008344D8">
          <w:pPr>
            <w:pStyle w:val="4"/>
            <w:numPr>
              <w:ilvl w:val="3"/>
              <w:numId w:val="52"/>
            </w:numPr>
            <w:ind w:left="426" w:hanging="426"/>
            <w:rPr>
              <w:rFonts w:ascii="宋体" w:hAnsi="宋体"/>
            </w:rPr>
          </w:pPr>
          <w:r>
            <w:rPr>
              <w:rFonts w:ascii="宋体" w:hAnsi="宋体" w:hint="eastAsia"/>
            </w:rPr>
            <w:t>合同资产情况</w:t>
          </w:r>
        </w:p>
        <w:sdt>
          <w:sdtPr>
            <w:alias w:val="是否适用：合同资产情况[双击切换]"/>
            <w:tag w:val="_GBC_d77156d135184e21a21238cac863494c"/>
            <w:id w:val="1281530460"/>
            <w:lock w:val="sdtContentLocked"/>
          </w:sdtPr>
          <w:sdtEndPr/>
          <w:sdtContent>
            <w:p w14:paraId="6C4E158E" w14:textId="77777777" w:rsidR="00830E72" w:rsidRDefault="008344D8">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14:paraId="0A9DDB01" w14:textId="77777777" w:rsidR="00830E72" w:rsidRDefault="008344D8">
          <w:pPr>
            <w:ind w:left="360"/>
            <w:jc w:val="right"/>
          </w:pPr>
          <w:r>
            <w:rPr>
              <w:rFonts w:hint="eastAsia"/>
            </w:rPr>
            <w:t>单位：</w:t>
          </w:r>
          <w:sdt>
            <w:sdtPr>
              <w:rPr>
                <w:rFonts w:hint="eastAsia"/>
              </w:rPr>
              <w:alias w:val="单位：合同资产情况"/>
              <w:tag w:val="_GBC_ae95a10d4d37477595fca3e1b67967c8"/>
              <w:id w:val="187519375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合同资产情况"/>
              <w:tag w:val="_GBC_9ad5c0ca85dc4cdba1c71ffd880f6171"/>
              <w:id w:val="171931814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356"/>
            <w:gridCol w:w="1867"/>
            <w:gridCol w:w="1956"/>
            <w:gridCol w:w="1956"/>
            <w:gridCol w:w="1926"/>
            <w:gridCol w:w="1940"/>
            <w:gridCol w:w="1934"/>
          </w:tblGrid>
          <w:tr w:rsidR="00830E72" w14:paraId="01DA25EC" w14:textId="77777777">
            <w:trPr>
              <w:cantSplit/>
            </w:trPr>
            <w:sdt>
              <w:sdtPr>
                <w:tag w:val="_PLD_698ecdbdbc3c49ab9876e78d87fab014"/>
                <w:id w:val="1972326984"/>
                <w:lock w:val="sdtLocked"/>
              </w:sdtPr>
              <w:sdtEndPr/>
              <w:sdtContent>
                <w:tc>
                  <w:tcPr>
                    <w:tcW w:w="845" w:type="pct"/>
                    <w:vMerge w:val="restart"/>
                    <w:vAlign w:val="center"/>
                  </w:tcPr>
                  <w:p w14:paraId="64E776EC" w14:textId="77777777" w:rsidR="00830E72" w:rsidRDefault="008344D8">
                    <w:pPr>
                      <w:jc w:val="center"/>
                      <w:rPr>
                        <w:szCs w:val="21"/>
                      </w:rPr>
                    </w:pPr>
                    <w:r>
                      <w:rPr>
                        <w:rFonts w:hint="eastAsia"/>
                        <w:szCs w:val="21"/>
                      </w:rPr>
                      <w:t>项目</w:t>
                    </w:r>
                  </w:p>
                </w:tc>
              </w:sdtContent>
            </w:sdt>
            <w:sdt>
              <w:sdtPr>
                <w:tag w:val="_PLD_93e08670e7824605b175142b67b4620d"/>
                <w:id w:val="-162864536"/>
                <w:lock w:val="sdtLocked"/>
              </w:sdtPr>
              <w:sdtEndPr/>
              <w:sdtContent>
                <w:tc>
                  <w:tcPr>
                    <w:tcW w:w="2074" w:type="pct"/>
                    <w:gridSpan w:val="3"/>
                    <w:vAlign w:val="center"/>
                  </w:tcPr>
                  <w:p w14:paraId="1ECA3977" w14:textId="77777777" w:rsidR="00830E72" w:rsidRDefault="008344D8">
                    <w:pPr>
                      <w:autoSpaceDE w:val="0"/>
                      <w:autoSpaceDN w:val="0"/>
                      <w:adjustRightInd w:val="0"/>
                      <w:snapToGrid w:val="0"/>
                      <w:spacing w:line="240" w:lineRule="atLeast"/>
                      <w:ind w:leftChars="171" w:left="359"/>
                      <w:jc w:val="center"/>
                      <w:rPr>
                        <w:szCs w:val="21"/>
                      </w:rPr>
                    </w:pPr>
                    <w:r>
                      <w:rPr>
                        <w:rFonts w:hint="eastAsia"/>
                        <w:szCs w:val="21"/>
                      </w:rPr>
                      <w:t>期末余额</w:t>
                    </w:r>
                  </w:p>
                </w:tc>
              </w:sdtContent>
            </w:sdt>
            <w:sdt>
              <w:sdtPr>
                <w:tag w:val="_PLD_6d2d3313cee04f6dbf64e6ebda20a177"/>
                <w:id w:val="245931609"/>
                <w:lock w:val="sdtLocked"/>
              </w:sdtPr>
              <w:sdtEndPr/>
              <w:sdtContent>
                <w:tc>
                  <w:tcPr>
                    <w:tcW w:w="2081" w:type="pct"/>
                    <w:gridSpan w:val="3"/>
                    <w:vAlign w:val="center"/>
                  </w:tcPr>
                  <w:p w14:paraId="4F0B5C20" w14:textId="77777777" w:rsidR="00830E72" w:rsidRDefault="008344D8">
                    <w:pPr>
                      <w:autoSpaceDE w:val="0"/>
                      <w:autoSpaceDN w:val="0"/>
                      <w:adjustRightInd w:val="0"/>
                      <w:snapToGrid w:val="0"/>
                      <w:spacing w:line="240" w:lineRule="atLeast"/>
                      <w:ind w:leftChars="171" w:left="359"/>
                      <w:jc w:val="center"/>
                      <w:rPr>
                        <w:szCs w:val="21"/>
                      </w:rPr>
                    </w:pPr>
                    <w:r>
                      <w:rPr>
                        <w:rFonts w:hint="eastAsia"/>
                        <w:szCs w:val="21"/>
                      </w:rPr>
                      <w:t>期初余额</w:t>
                    </w:r>
                  </w:p>
                </w:tc>
              </w:sdtContent>
            </w:sdt>
          </w:tr>
          <w:tr w:rsidR="00830E72" w14:paraId="5FFE7359" w14:textId="77777777">
            <w:trPr>
              <w:cantSplit/>
            </w:trPr>
            <w:tc>
              <w:tcPr>
                <w:tcW w:w="845" w:type="pct"/>
                <w:vMerge/>
              </w:tcPr>
              <w:p w14:paraId="28ED9099" w14:textId="77777777" w:rsidR="00830E72" w:rsidRDefault="00830E72">
                <w:pPr>
                  <w:ind w:right="5"/>
                  <w:jc w:val="center"/>
                  <w:rPr>
                    <w:szCs w:val="21"/>
                  </w:rPr>
                </w:pPr>
              </w:p>
            </w:tc>
            <w:sdt>
              <w:sdtPr>
                <w:tag w:val="_PLD_4ba78f03bce84447ab0eb03bd654beec"/>
                <w:id w:val="810298281"/>
                <w:lock w:val="sdtLocked"/>
              </w:sdtPr>
              <w:sdtEndPr/>
              <w:sdtContent>
                <w:tc>
                  <w:tcPr>
                    <w:tcW w:w="670" w:type="pct"/>
                    <w:vAlign w:val="center"/>
                  </w:tcPr>
                  <w:p w14:paraId="3CD10A76" w14:textId="77777777" w:rsidR="00830E72" w:rsidRDefault="008344D8">
                    <w:pPr>
                      <w:ind w:right="5"/>
                      <w:jc w:val="center"/>
                      <w:rPr>
                        <w:szCs w:val="21"/>
                      </w:rPr>
                    </w:pPr>
                    <w:r>
                      <w:rPr>
                        <w:rFonts w:hint="eastAsia"/>
                        <w:szCs w:val="21"/>
                      </w:rPr>
                      <w:t>账面余额</w:t>
                    </w:r>
                  </w:p>
                </w:tc>
              </w:sdtContent>
            </w:sdt>
            <w:sdt>
              <w:sdtPr>
                <w:tag w:val="_PLD_480e356787b640d5a3d68d85462a53f5"/>
                <w:id w:val="911431321"/>
                <w:lock w:val="sdtLocked"/>
              </w:sdtPr>
              <w:sdtEndPr/>
              <w:sdtContent>
                <w:tc>
                  <w:tcPr>
                    <w:tcW w:w="702" w:type="pct"/>
                    <w:vAlign w:val="center"/>
                  </w:tcPr>
                  <w:p w14:paraId="3A8B2949" w14:textId="77777777" w:rsidR="00830E72" w:rsidRDefault="008344D8">
                    <w:pPr>
                      <w:ind w:right="5"/>
                      <w:jc w:val="center"/>
                      <w:rPr>
                        <w:szCs w:val="21"/>
                      </w:rPr>
                    </w:pPr>
                    <w:r>
                      <w:rPr>
                        <w:rFonts w:hint="eastAsia"/>
                        <w:szCs w:val="21"/>
                      </w:rPr>
                      <w:t>减值准备</w:t>
                    </w:r>
                  </w:p>
                </w:tc>
              </w:sdtContent>
            </w:sdt>
            <w:sdt>
              <w:sdtPr>
                <w:tag w:val="_PLD_0b755ec608f14ee8adbc9ef8eaed6809"/>
                <w:id w:val="-1930878114"/>
                <w:lock w:val="sdtLocked"/>
              </w:sdtPr>
              <w:sdtEndPr/>
              <w:sdtContent>
                <w:tc>
                  <w:tcPr>
                    <w:tcW w:w="702" w:type="pct"/>
                    <w:vAlign w:val="center"/>
                  </w:tcPr>
                  <w:p w14:paraId="07BB95E3" w14:textId="77777777" w:rsidR="00830E72" w:rsidRDefault="008344D8">
                    <w:pPr>
                      <w:ind w:right="5"/>
                      <w:jc w:val="center"/>
                      <w:rPr>
                        <w:szCs w:val="21"/>
                      </w:rPr>
                    </w:pPr>
                    <w:r>
                      <w:rPr>
                        <w:rFonts w:hint="eastAsia"/>
                        <w:szCs w:val="21"/>
                      </w:rPr>
                      <w:t>账面价值</w:t>
                    </w:r>
                  </w:p>
                </w:tc>
              </w:sdtContent>
            </w:sdt>
            <w:sdt>
              <w:sdtPr>
                <w:tag w:val="_PLD_4016b640b4a44e87984d3ef911c92d35"/>
                <w:id w:val="616956315"/>
                <w:lock w:val="sdtLocked"/>
              </w:sdtPr>
              <w:sdtEndPr/>
              <w:sdtContent>
                <w:tc>
                  <w:tcPr>
                    <w:tcW w:w="691" w:type="pct"/>
                    <w:vAlign w:val="center"/>
                  </w:tcPr>
                  <w:p w14:paraId="4271DA11" w14:textId="77777777" w:rsidR="00830E72" w:rsidRDefault="008344D8">
                    <w:pPr>
                      <w:ind w:right="5"/>
                      <w:jc w:val="center"/>
                      <w:rPr>
                        <w:szCs w:val="21"/>
                      </w:rPr>
                    </w:pPr>
                    <w:r>
                      <w:rPr>
                        <w:rFonts w:hint="eastAsia"/>
                        <w:szCs w:val="21"/>
                      </w:rPr>
                      <w:t>账面余额</w:t>
                    </w:r>
                  </w:p>
                </w:tc>
              </w:sdtContent>
            </w:sdt>
            <w:sdt>
              <w:sdtPr>
                <w:tag w:val="_PLD_6186b1493bd84df6a9ea9798c63928ef"/>
                <w:id w:val="-228928509"/>
                <w:lock w:val="sdtLocked"/>
              </w:sdtPr>
              <w:sdtEndPr/>
              <w:sdtContent>
                <w:tc>
                  <w:tcPr>
                    <w:tcW w:w="696" w:type="pct"/>
                    <w:vAlign w:val="center"/>
                  </w:tcPr>
                  <w:p w14:paraId="24C78549" w14:textId="77777777" w:rsidR="00830E72" w:rsidRDefault="008344D8">
                    <w:pPr>
                      <w:ind w:right="5"/>
                      <w:jc w:val="center"/>
                      <w:rPr>
                        <w:szCs w:val="21"/>
                      </w:rPr>
                    </w:pPr>
                    <w:r>
                      <w:rPr>
                        <w:rFonts w:hint="eastAsia"/>
                        <w:szCs w:val="21"/>
                      </w:rPr>
                      <w:t>减值准备</w:t>
                    </w:r>
                  </w:p>
                </w:tc>
              </w:sdtContent>
            </w:sdt>
            <w:sdt>
              <w:sdtPr>
                <w:tag w:val="_PLD_b2a17afa2830418baf67c06b4b9af324"/>
                <w:id w:val="-582448432"/>
                <w:lock w:val="sdtLocked"/>
              </w:sdtPr>
              <w:sdtEndPr/>
              <w:sdtContent>
                <w:tc>
                  <w:tcPr>
                    <w:tcW w:w="694" w:type="pct"/>
                    <w:vAlign w:val="center"/>
                  </w:tcPr>
                  <w:p w14:paraId="15510376" w14:textId="77777777" w:rsidR="00830E72" w:rsidRDefault="008344D8">
                    <w:pPr>
                      <w:ind w:right="5"/>
                      <w:jc w:val="center"/>
                      <w:rPr>
                        <w:szCs w:val="21"/>
                      </w:rPr>
                    </w:pPr>
                    <w:r>
                      <w:rPr>
                        <w:rFonts w:hint="eastAsia"/>
                        <w:szCs w:val="21"/>
                      </w:rPr>
                      <w:t>账面价值</w:t>
                    </w:r>
                  </w:p>
                </w:tc>
              </w:sdtContent>
            </w:sdt>
          </w:tr>
          <w:sdt>
            <w:sdtPr>
              <w:rPr>
                <w:szCs w:val="21"/>
              </w:rPr>
              <w:alias w:val="合同资产情况明细"/>
              <w:tag w:val="_TUP_8abc62664d0844998470a01940c375aa"/>
              <w:id w:val="-1733310120"/>
              <w:lock w:val="sdtLocked"/>
            </w:sdtPr>
            <w:sdtEndPr/>
            <w:sdtContent>
              <w:tr w:rsidR="00830E72" w14:paraId="3E0784F2" w14:textId="77777777">
                <w:trPr>
                  <w:cantSplit/>
                </w:trPr>
                <w:tc>
                  <w:tcPr>
                    <w:tcW w:w="845" w:type="pct"/>
                  </w:tcPr>
                  <w:p w14:paraId="3F9C00FD" w14:textId="77777777" w:rsidR="00830E72" w:rsidRDefault="008344D8">
                    <w:pPr>
                      <w:autoSpaceDE w:val="0"/>
                      <w:autoSpaceDN w:val="0"/>
                      <w:adjustRightInd w:val="0"/>
                      <w:rPr>
                        <w:szCs w:val="21"/>
                      </w:rPr>
                    </w:pPr>
                    <w:r>
                      <w:rPr>
                        <w:rFonts w:hint="eastAsia"/>
                      </w:rPr>
                      <w:t>已完工未结算资产</w:t>
                    </w:r>
                  </w:p>
                </w:tc>
                <w:tc>
                  <w:tcPr>
                    <w:tcW w:w="670" w:type="pct"/>
                  </w:tcPr>
                  <w:p w14:paraId="5EDEB3B7" w14:textId="77777777" w:rsidR="00830E72" w:rsidRDefault="008344D8">
                    <w:pPr>
                      <w:jc w:val="right"/>
                      <w:rPr>
                        <w:szCs w:val="21"/>
                      </w:rPr>
                    </w:pPr>
                    <w:r>
                      <w:rPr>
                        <w:rFonts w:hint="eastAsia"/>
                      </w:rPr>
                      <w:t>964,258,014.02</w:t>
                    </w:r>
                  </w:p>
                </w:tc>
                <w:tc>
                  <w:tcPr>
                    <w:tcW w:w="702" w:type="pct"/>
                  </w:tcPr>
                  <w:p w14:paraId="20A14A1A" w14:textId="77777777" w:rsidR="00830E72" w:rsidRDefault="008344D8">
                    <w:pPr>
                      <w:jc w:val="right"/>
                      <w:rPr>
                        <w:szCs w:val="21"/>
                      </w:rPr>
                    </w:pPr>
                    <w:r>
                      <w:rPr>
                        <w:rFonts w:hint="eastAsia"/>
                      </w:rPr>
                      <w:t>4,821,290.07</w:t>
                    </w:r>
                  </w:p>
                </w:tc>
                <w:tc>
                  <w:tcPr>
                    <w:tcW w:w="702" w:type="pct"/>
                  </w:tcPr>
                  <w:p w14:paraId="66A47A05" w14:textId="77777777" w:rsidR="00830E72" w:rsidRDefault="008344D8">
                    <w:pPr>
                      <w:jc w:val="right"/>
                      <w:rPr>
                        <w:szCs w:val="21"/>
                      </w:rPr>
                    </w:pPr>
                    <w:r>
                      <w:rPr>
                        <w:rFonts w:hint="eastAsia"/>
                      </w:rPr>
                      <w:t>959,436,723.95</w:t>
                    </w:r>
                  </w:p>
                </w:tc>
                <w:tc>
                  <w:tcPr>
                    <w:tcW w:w="691" w:type="pct"/>
                  </w:tcPr>
                  <w:p w14:paraId="4EEA02F5" w14:textId="77777777" w:rsidR="00830E72" w:rsidRDefault="008344D8">
                    <w:pPr>
                      <w:ind w:right="5"/>
                      <w:jc w:val="right"/>
                      <w:rPr>
                        <w:szCs w:val="21"/>
                      </w:rPr>
                    </w:pPr>
                    <w:r>
                      <w:rPr>
                        <w:rFonts w:hint="eastAsia"/>
                      </w:rPr>
                      <w:t>687,624,544.38</w:t>
                    </w:r>
                  </w:p>
                </w:tc>
                <w:tc>
                  <w:tcPr>
                    <w:tcW w:w="696" w:type="pct"/>
                  </w:tcPr>
                  <w:p w14:paraId="0280557D" w14:textId="77777777" w:rsidR="00830E72" w:rsidRDefault="008344D8">
                    <w:pPr>
                      <w:ind w:right="5"/>
                      <w:jc w:val="right"/>
                      <w:rPr>
                        <w:szCs w:val="21"/>
                      </w:rPr>
                    </w:pPr>
                    <w:r>
                      <w:rPr>
                        <w:rFonts w:hint="eastAsia"/>
                      </w:rPr>
                      <w:t>3,438,122.73</w:t>
                    </w:r>
                  </w:p>
                </w:tc>
                <w:tc>
                  <w:tcPr>
                    <w:tcW w:w="694" w:type="pct"/>
                  </w:tcPr>
                  <w:p w14:paraId="105C3FC8" w14:textId="77777777" w:rsidR="00830E72" w:rsidRDefault="008344D8">
                    <w:pPr>
                      <w:ind w:right="5"/>
                      <w:jc w:val="right"/>
                      <w:rPr>
                        <w:szCs w:val="21"/>
                      </w:rPr>
                    </w:pPr>
                    <w:r>
                      <w:rPr>
                        <w:rFonts w:hint="eastAsia"/>
                      </w:rPr>
                      <w:t>684,186,421.65</w:t>
                    </w:r>
                  </w:p>
                </w:tc>
              </w:tr>
            </w:sdtContent>
          </w:sdt>
          <w:sdt>
            <w:sdtPr>
              <w:rPr>
                <w:szCs w:val="21"/>
              </w:rPr>
              <w:alias w:val="合同资产情况明细"/>
              <w:tag w:val="_TUP_8abc62664d0844998470a01940c375aa"/>
              <w:id w:val="-1413620317"/>
              <w:lock w:val="sdtLocked"/>
            </w:sdtPr>
            <w:sdtEndPr/>
            <w:sdtContent>
              <w:tr w:rsidR="00830E72" w14:paraId="77C91354" w14:textId="77777777">
                <w:trPr>
                  <w:cantSplit/>
                </w:trPr>
                <w:tc>
                  <w:tcPr>
                    <w:tcW w:w="845" w:type="pct"/>
                  </w:tcPr>
                  <w:p w14:paraId="4184059D" w14:textId="77777777" w:rsidR="00830E72" w:rsidRDefault="008344D8">
                    <w:pPr>
                      <w:autoSpaceDE w:val="0"/>
                      <w:autoSpaceDN w:val="0"/>
                      <w:adjustRightInd w:val="0"/>
                      <w:rPr>
                        <w:szCs w:val="21"/>
                      </w:rPr>
                    </w:pPr>
                    <w:r>
                      <w:rPr>
                        <w:rFonts w:hint="eastAsia"/>
                      </w:rPr>
                      <w:t>未到期的质保金</w:t>
                    </w:r>
                  </w:p>
                </w:tc>
                <w:tc>
                  <w:tcPr>
                    <w:tcW w:w="670" w:type="pct"/>
                  </w:tcPr>
                  <w:p w14:paraId="00D83FBD" w14:textId="77777777" w:rsidR="00830E72" w:rsidRDefault="008344D8">
                    <w:pPr>
                      <w:jc w:val="right"/>
                      <w:rPr>
                        <w:szCs w:val="21"/>
                      </w:rPr>
                    </w:pPr>
                    <w:r>
                      <w:rPr>
                        <w:rFonts w:hint="eastAsia"/>
                      </w:rPr>
                      <w:t>39,714,755.54</w:t>
                    </w:r>
                  </w:p>
                </w:tc>
                <w:tc>
                  <w:tcPr>
                    <w:tcW w:w="702" w:type="pct"/>
                  </w:tcPr>
                  <w:p w14:paraId="0311F820" w14:textId="77777777" w:rsidR="00830E72" w:rsidRDefault="008344D8">
                    <w:pPr>
                      <w:jc w:val="right"/>
                      <w:rPr>
                        <w:szCs w:val="21"/>
                      </w:rPr>
                    </w:pPr>
                    <w:r>
                      <w:rPr>
                        <w:rFonts w:hint="eastAsia"/>
                      </w:rPr>
                      <w:t>2,296,481.07</w:t>
                    </w:r>
                  </w:p>
                </w:tc>
                <w:tc>
                  <w:tcPr>
                    <w:tcW w:w="702" w:type="pct"/>
                  </w:tcPr>
                  <w:p w14:paraId="63689B85" w14:textId="77777777" w:rsidR="00830E72" w:rsidRDefault="008344D8">
                    <w:pPr>
                      <w:jc w:val="right"/>
                      <w:rPr>
                        <w:szCs w:val="21"/>
                      </w:rPr>
                    </w:pPr>
                    <w:r>
                      <w:rPr>
                        <w:rFonts w:hint="eastAsia"/>
                      </w:rPr>
                      <w:t>37,418,274.47</w:t>
                    </w:r>
                  </w:p>
                </w:tc>
                <w:tc>
                  <w:tcPr>
                    <w:tcW w:w="691" w:type="pct"/>
                  </w:tcPr>
                  <w:p w14:paraId="3F2335FD" w14:textId="77777777" w:rsidR="00830E72" w:rsidRDefault="008344D8">
                    <w:pPr>
                      <w:ind w:right="5"/>
                      <w:jc w:val="right"/>
                      <w:rPr>
                        <w:szCs w:val="21"/>
                      </w:rPr>
                    </w:pPr>
                    <w:r>
                      <w:rPr>
                        <w:rFonts w:hint="eastAsia"/>
                      </w:rPr>
                      <w:t>22,709,190.16</w:t>
                    </w:r>
                  </w:p>
                </w:tc>
                <w:tc>
                  <w:tcPr>
                    <w:tcW w:w="696" w:type="pct"/>
                  </w:tcPr>
                  <w:p w14:paraId="44DAEF05" w14:textId="77777777" w:rsidR="00830E72" w:rsidRDefault="008344D8">
                    <w:pPr>
                      <w:ind w:right="5"/>
                      <w:jc w:val="right"/>
                      <w:rPr>
                        <w:szCs w:val="21"/>
                      </w:rPr>
                    </w:pPr>
                    <w:r>
                      <w:rPr>
                        <w:rFonts w:hint="eastAsia"/>
                      </w:rPr>
                      <w:t>4,509,004.20</w:t>
                    </w:r>
                  </w:p>
                </w:tc>
                <w:tc>
                  <w:tcPr>
                    <w:tcW w:w="694" w:type="pct"/>
                  </w:tcPr>
                  <w:p w14:paraId="1E1070EE" w14:textId="77777777" w:rsidR="00830E72" w:rsidRDefault="008344D8">
                    <w:pPr>
                      <w:ind w:right="5"/>
                      <w:jc w:val="right"/>
                      <w:rPr>
                        <w:szCs w:val="21"/>
                      </w:rPr>
                    </w:pPr>
                    <w:r>
                      <w:rPr>
                        <w:rFonts w:hint="eastAsia"/>
                      </w:rPr>
                      <w:t>18,200,185.96</w:t>
                    </w:r>
                  </w:p>
                </w:tc>
              </w:tr>
            </w:sdtContent>
          </w:sdt>
          <w:tr w:rsidR="00830E72" w14:paraId="6F004463" w14:textId="77777777">
            <w:trPr>
              <w:cantSplit/>
            </w:trPr>
            <w:sdt>
              <w:sdtPr>
                <w:tag w:val="_PLD_baafd76ab8ac4e758fa5ce7949fcef74"/>
                <w:id w:val="-1742468684"/>
                <w:lock w:val="sdtLocked"/>
              </w:sdtPr>
              <w:sdtEndPr/>
              <w:sdtContent>
                <w:tc>
                  <w:tcPr>
                    <w:tcW w:w="845" w:type="pct"/>
                  </w:tcPr>
                  <w:p w14:paraId="77F7788B" w14:textId="77777777" w:rsidR="00830E72" w:rsidRDefault="008344D8">
                    <w:pPr>
                      <w:ind w:right="5"/>
                      <w:jc w:val="center"/>
                      <w:rPr>
                        <w:szCs w:val="21"/>
                      </w:rPr>
                    </w:pPr>
                    <w:r>
                      <w:rPr>
                        <w:rFonts w:hint="eastAsia"/>
                        <w:szCs w:val="21"/>
                      </w:rPr>
                      <w:t>合计</w:t>
                    </w:r>
                  </w:p>
                </w:tc>
              </w:sdtContent>
            </w:sdt>
            <w:tc>
              <w:tcPr>
                <w:tcW w:w="670" w:type="pct"/>
              </w:tcPr>
              <w:p w14:paraId="6BD87696" w14:textId="77777777" w:rsidR="00830E72" w:rsidRDefault="008344D8">
                <w:pPr>
                  <w:ind w:right="5"/>
                  <w:jc w:val="right"/>
                  <w:rPr>
                    <w:szCs w:val="21"/>
                  </w:rPr>
                </w:pPr>
                <w:r>
                  <w:rPr>
                    <w:rFonts w:hint="eastAsia"/>
                  </w:rPr>
                  <w:t>1,003,972,769.56</w:t>
                </w:r>
              </w:p>
            </w:tc>
            <w:tc>
              <w:tcPr>
                <w:tcW w:w="702" w:type="pct"/>
              </w:tcPr>
              <w:p w14:paraId="6A4A4FB3" w14:textId="77777777" w:rsidR="00830E72" w:rsidRDefault="008344D8">
                <w:pPr>
                  <w:ind w:right="5"/>
                  <w:jc w:val="right"/>
                  <w:rPr>
                    <w:szCs w:val="21"/>
                  </w:rPr>
                </w:pPr>
                <w:r>
                  <w:rPr>
                    <w:rFonts w:hint="eastAsia"/>
                  </w:rPr>
                  <w:t>7,117,771.14</w:t>
                </w:r>
              </w:p>
            </w:tc>
            <w:tc>
              <w:tcPr>
                <w:tcW w:w="702" w:type="pct"/>
              </w:tcPr>
              <w:p w14:paraId="3FE085EE" w14:textId="77777777" w:rsidR="00830E72" w:rsidRDefault="008344D8">
                <w:pPr>
                  <w:ind w:right="5"/>
                  <w:jc w:val="right"/>
                  <w:rPr>
                    <w:szCs w:val="21"/>
                  </w:rPr>
                </w:pPr>
                <w:r>
                  <w:rPr>
                    <w:rFonts w:hint="eastAsia"/>
                  </w:rPr>
                  <w:t>996,854,998.42</w:t>
                </w:r>
              </w:p>
            </w:tc>
            <w:tc>
              <w:tcPr>
                <w:tcW w:w="691" w:type="pct"/>
              </w:tcPr>
              <w:p w14:paraId="237ED7A0" w14:textId="77777777" w:rsidR="00830E72" w:rsidRDefault="008344D8">
                <w:pPr>
                  <w:ind w:right="5"/>
                  <w:jc w:val="right"/>
                  <w:rPr>
                    <w:szCs w:val="21"/>
                  </w:rPr>
                </w:pPr>
                <w:r>
                  <w:rPr>
                    <w:rFonts w:hint="eastAsia"/>
                  </w:rPr>
                  <w:t>710,333,734.54</w:t>
                </w:r>
              </w:p>
            </w:tc>
            <w:tc>
              <w:tcPr>
                <w:tcW w:w="696" w:type="pct"/>
              </w:tcPr>
              <w:p w14:paraId="5422D8A2" w14:textId="77777777" w:rsidR="00830E72" w:rsidRDefault="008344D8">
                <w:pPr>
                  <w:ind w:right="5"/>
                  <w:jc w:val="right"/>
                  <w:rPr>
                    <w:szCs w:val="21"/>
                  </w:rPr>
                </w:pPr>
                <w:r>
                  <w:rPr>
                    <w:rFonts w:hint="eastAsia"/>
                  </w:rPr>
                  <w:t>7,947,126.93</w:t>
                </w:r>
              </w:p>
            </w:tc>
            <w:tc>
              <w:tcPr>
                <w:tcW w:w="694" w:type="pct"/>
              </w:tcPr>
              <w:p w14:paraId="57DDB1F1" w14:textId="77777777" w:rsidR="00830E72" w:rsidRDefault="008344D8">
                <w:pPr>
                  <w:ind w:right="5"/>
                  <w:jc w:val="right"/>
                  <w:rPr>
                    <w:szCs w:val="21"/>
                  </w:rPr>
                </w:pPr>
                <w:r>
                  <w:rPr>
                    <w:rFonts w:hint="eastAsia"/>
                  </w:rPr>
                  <w:t>702,386,607.61</w:t>
                </w:r>
              </w:p>
            </w:tc>
          </w:tr>
        </w:tbl>
        <w:p w14:paraId="784C81FF" w14:textId="77777777" w:rsidR="00830E72" w:rsidRDefault="00830E72"/>
        <w:p w14:paraId="2A24138A" w14:textId="77777777" w:rsidR="00830E72" w:rsidRDefault="00D44830" w:rsidP="002F3349">
          <w:pPr>
            <w:pStyle w:val="Style99"/>
            <w:tabs>
              <w:tab w:val="left" w:pos="504"/>
            </w:tabs>
            <w:spacing w:before="0" w:after="0"/>
            <w:outlineLvl w:val="9"/>
          </w:pPr>
        </w:p>
      </w:sdtContent>
    </w:sdt>
    <w:bookmarkEnd w:id="115" w:displacedByCustomXml="next"/>
    <w:bookmarkStart w:id="116" w:name="_Hlk10470932" w:displacedByCustomXml="next"/>
    <w:bookmarkStart w:id="117" w:name="_Hlk10470942" w:displacedByCustomXml="next"/>
    <w:sdt>
      <w:sdtPr>
        <w:rPr>
          <w:rFonts w:ascii="宋体" w:hAnsi="宋体" w:cs="宋体" w:hint="eastAsia"/>
          <w:b w:val="0"/>
          <w:bCs w:val="0"/>
          <w:kern w:val="0"/>
          <w:szCs w:val="24"/>
        </w:rPr>
        <w:alias w:val="模块:报告期内账面价值发生重大变动的金额和原因"/>
        <w:tag w:val="_SEC_e8c350da8e69479e93eb03226371923c"/>
        <w:id w:val="1612862787"/>
        <w:lock w:val="sdtLocked"/>
        <w:placeholder>
          <w:docPart w:val="GBC22222222222222222222222222222"/>
        </w:placeholder>
      </w:sdtPr>
      <w:sdtEndPr>
        <w:rPr>
          <w:rFonts w:hint="default"/>
        </w:rPr>
      </w:sdtEndPr>
      <w:sdtContent>
        <w:p w14:paraId="450E715F" w14:textId="77777777" w:rsidR="00830E72" w:rsidRDefault="008344D8">
          <w:pPr>
            <w:pStyle w:val="Style100"/>
            <w:numPr>
              <w:ilvl w:val="3"/>
              <w:numId w:val="52"/>
            </w:numPr>
            <w:ind w:left="426" w:hanging="426"/>
            <w:rPr>
              <w:rFonts w:ascii="宋体" w:hAnsi="宋体"/>
            </w:rPr>
          </w:pPr>
          <w:r>
            <w:rPr>
              <w:rFonts w:ascii="宋体" w:hAnsi="宋体" w:hint="eastAsia"/>
            </w:rPr>
            <w:t>报告期内账面价值发生重大变动的金额和原因</w:t>
          </w:r>
          <w:bookmarkEnd w:id="116"/>
        </w:p>
        <w:sdt>
          <w:sdtPr>
            <w:rPr>
              <w:szCs w:val="21"/>
            </w:rPr>
            <w:alias w:val="是否适用：合同资产账面价值发生重大变动[双击切换]"/>
            <w:tag w:val="_GBC_4cdeacc1c4f24682b8d7fe35b510e9c1"/>
            <w:id w:val="-109134723"/>
            <w:lock w:val="sdtContentLocked"/>
            <w:placeholder>
              <w:docPart w:val="GBC22222222222222222222222222222"/>
            </w:placeholder>
          </w:sdtPr>
          <w:sdtEndPr/>
          <w:sdtContent>
            <w:p w14:paraId="562013FD" w14:textId="77777777" w:rsidR="00830E72" w:rsidRDefault="008344D8">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17" w:displacedByCustomXml="next"/>
    <w:bookmarkStart w:id="118" w:name="_Hlk10470956" w:displacedByCustomXml="next"/>
    <w:bookmarkStart w:id="119" w:name="_Hlk10470966" w:displacedByCustomXml="next"/>
    <w:sdt>
      <w:sdtPr>
        <w:rPr>
          <w:rFonts w:ascii="宋体" w:hAnsi="宋体" w:cs="宋体" w:hint="eastAsia"/>
          <w:b w:val="0"/>
          <w:bCs w:val="0"/>
          <w:kern w:val="0"/>
          <w:szCs w:val="21"/>
        </w:rPr>
        <w:alias w:val="模块:本期合同资产计提减值准备情况"/>
        <w:tag w:val="_SEC_bf3d6e0971b243878381353846199645"/>
        <w:id w:val="-836226746"/>
        <w:lock w:val="sdtLocked"/>
        <w:placeholder>
          <w:docPart w:val="GBC22222222222222222222222222222"/>
        </w:placeholder>
      </w:sdtPr>
      <w:sdtEndPr>
        <w:rPr>
          <w:rFonts w:hint="default"/>
          <w:szCs w:val="24"/>
        </w:rPr>
      </w:sdtEndPr>
      <w:sdtContent>
        <w:p w14:paraId="27ABBFE1" w14:textId="77777777" w:rsidR="00830E72" w:rsidRDefault="008344D8">
          <w:pPr>
            <w:pStyle w:val="Style100"/>
            <w:numPr>
              <w:ilvl w:val="3"/>
              <w:numId w:val="52"/>
            </w:numPr>
            <w:ind w:left="426" w:hanging="426"/>
            <w:rPr>
              <w:rFonts w:ascii="宋体" w:hAnsi="宋体"/>
              <w:szCs w:val="21"/>
            </w:rPr>
          </w:pPr>
          <w:r>
            <w:rPr>
              <w:rFonts w:ascii="宋体" w:hAnsi="宋体" w:hint="eastAsia"/>
              <w:szCs w:val="21"/>
            </w:rPr>
            <w:t>本期合同资产计提减值准备情况</w:t>
          </w:r>
          <w:bookmarkEnd w:id="118"/>
        </w:p>
        <w:sdt>
          <w:sdtPr>
            <w:rPr>
              <w:szCs w:val="21"/>
            </w:rPr>
            <w:alias w:val="是否适用：合同资产减值准备[双击切换]"/>
            <w:tag w:val="_GBC_47f239b7a5d442b0a0a358017de09567"/>
            <w:id w:val="-298002923"/>
            <w:lock w:val="sdtContentLocked"/>
            <w:placeholder>
              <w:docPart w:val="GBC22222222222222222222222222222"/>
            </w:placeholder>
          </w:sdtPr>
          <w:sdtEndPr/>
          <w:sdtContent>
            <w:p w14:paraId="02ECF4F5" w14:textId="77777777" w:rsidR="00830E72" w:rsidRDefault="008344D8">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77E02CA" w14:textId="77777777" w:rsidR="00830E72" w:rsidRDefault="008344D8">
          <w:pPr>
            <w:autoSpaceDE w:val="0"/>
            <w:autoSpaceDN w:val="0"/>
            <w:adjustRightInd w:val="0"/>
            <w:ind w:rightChars="50" w:right="105"/>
            <w:jc w:val="right"/>
            <w:rPr>
              <w:szCs w:val="21"/>
            </w:rPr>
          </w:pPr>
          <w:r>
            <w:rPr>
              <w:rFonts w:hint="eastAsia"/>
              <w:szCs w:val="21"/>
            </w:rPr>
            <w:t>单位：</w:t>
          </w:r>
          <w:sdt>
            <w:sdtPr>
              <w:rPr>
                <w:rFonts w:hint="eastAsia"/>
                <w:szCs w:val="21"/>
              </w:rPr>
              <w:alias w:val="单位：合同资产减值准备"/>
              <w:tag w:val="_GBC_cb0a5fd213594e6085dcf2c758153bde"/>
              <w:id w:val="-1860709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合同资产减值准备"/>
              <w:tag w:val="_GBC_72bcdf5dde024866bb55295ec36c16b7"/>
              <w:id w:val="-9849998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9"/>
            <w:gridCol w:w="2646"/>
            <w:gridCol w:w="2587"/>
            <w:gridCol w:w="2604"/>
            <w:gridCol w:w="2733"/>
          </w:tblGrid>
          <w:tr w:rsidR="00830E72" w14:paraId="1F0A9072" w14:textId="77777777" w:rsidTr="0011042C">
            <w:sdt>
              <w:sdtPr>
                <w:tag w:val="_PLD_ed703552e81a409b97024b7e4168cd95"/>
                <w:id w:val="-1545672243"/>
                <w:lock w:val="sdtLocked"/>
              </w:sdtPr>
              <w:sdtEndPr/>
              <w:sdtContent>
                <w:tc>
                  <w:tcPr>
                    <w:tcW w:w="1249" w:type="pct"/>
                    <w:shd w:val="clear" w:color="auto" w:fill="auto"/>
                    <w:vAlign w:val="center"/>
                  </w:tcPr>
                  <w:p w14:paraId="183DEA89" w14:textId="77777777" w:rsidR="00830E72" w:rsidRDefault="008344D8">
                    <w:pPr>
                      <w:jc w:val="center"/>
                      <w:rPr>
                        <w:szCs w:val="21"/>
                      </w:rPr>
                    </w:pPr>
                    <w:r>
                      <w:rPr>
                        <w:rFonts w:hint="eastAsia"/>
                        <w:szCs w:val="21"/>
                      </w:rPr>
                      <w:t>项目</w:t>
                    </w:r>
                  </w:p>
                </w:tc>
              </w:sdtContent>
            </w:sdt>
            <w:sdt>
              <w:sdtPr>
                <w:tag w:val="_PLD_12846361f4fc4229a079e531ce33c7bd"/>
                <w:id w:val="1093439753"/>
                <w:lock w:val="sdtLocked"/>
              </w:sdtPr>
              <w:sdtEndPr/>
              <w:sdtContent>
                <w:tc>
                  <w:tcPr>
                    <w:tcW w:w="939" w:type="pct"/>
                    <w:shd w:val="clear" w:color="auto" w:fill="auto"/>
                    <w:vAlign w:val="center"/>
                  </w:tcPr>
                  <w:p w14:paraId="1A5B4A83" w14:textId="77777777" w:rsidR="00830E72" w:rsidRDefault="008344D8">
                    <w:pPr>
                      <w:jc w:val="center"/>
                      <w:rPr>
                        <w:szCs w:val="21"/>
                      </w:rPr>
                    </w:pPr>
                    <w:r>
                      <w:rPr>
                        <w:rFonts w:hint="eastAsia"/>
                        <w:szCs w:val="21"/>
                      </w:rPr>
                      <w:t>本期计提</w:t>
                    </w:r>
                  </w:p>
                </w:tc>
              </w:sdtContent>
            </w:sdt>
            <w:sdt>
              <w:sdtPr>
                <w:tag w:val="_PLD_ec2082583d0a475c869e5f5a70898003"/>
                <w:id w:val="1379826447"/>
                <w:lock w:val="sdtLocked"/>
              </w:sdtPr>
              <w:sdtEndPr/>
              <w:sdtContent>
                <w:tc>
                  <w:tcPr>
                    <w:tcW w:w="918" w:type="pct"/>
                    <w:shd w:val="clear" w:color="auto" w:fill="auto"/>
                  </w:tcPr>
                  <w:p w14:paraId="3B4634AB" w14:textId="77777777" w:rsidR="00830E72" w:rsidRDefault="008344D8">
                    <w:pPr>
                      <w:jc w:val="center"/>
                      <w:rPr>
                        <w:szCs w:val="21"/>
                      </w:rPr>
                    </w:pPr>
                    <w:r>
                      <w:rPr>
                        <w:rFonts w:hint="eastAsia"/>
                        <w:szCs w:val="21"/>
                      </w:rPr>
                      <w:t>本期转回</w:t>
                    </w:r>
                  </w:p>
                </w:tc>
              </w:sdtContent>
            </w:sdt>
            <w:sdt>
              <w:sdtPr>
                <w:tag w:val="_PLD_e4a95a433a3045abb3f0ca11d787adda"/>
                <w:id w:val="1444268951"/>
                <w:lock w:val="sdtLocked"/>
              </w:sdtPr>
              <w:sdtEndPr/>
              <w:sdtContent>
                <w:tc>
                  <w:tcPr>
                    <w:tcW w:w="924" w:type="pct"/>
                    <w:shd w:val="clear" w:color="auto" w:fill="auto"/>
                  </w:tcPr>
                  <w:p w14:paraId="0F5F5CFD" w14:textId="77777777" w:rsidR="00830E72" w:rsidRDefault="008344D8">
                    <w:pPr>
                      <w:jc w:val="center"/>
                      <w:rPr>
                        <w:szCs w:val="21"/>
                      </w:rPr>
                    </w:pPr>
                    <w:r>
                      <w:rPr>
                        <w:rFonts w:hint="eastAsia"/>
                        <w:szCs w:val="21"/>
                      </w:rPr>
                      <w:t>本期转销/核销</w:t>
                    </w:r>
                  </w:p>
                </w:tc>
              </w:sdtContent>
            </w:sdt>
            <w:sdt>
              <w:sdtPr>
                <w:tag w:val="_PLD_6dd3b321b7f345639798fc3eaf268492"/>
                <w:id w:val="1707061334"/>
                <w:lock w:val="sdtLocked"/>
              </w:sdtPr>
              <w:sdtEndPr/>
              <w:sdtContent>
                <w:tc>
                  <w:tcPr>
                    <w:tcW w:w="970" w:type="pct"/>
                    <w:shd w:val="clear" w:color="auto" w:fill="auto"/>
                    <w:vAlign w:val="center"/>
                  </w:tcPr>
                  <w:p w14:paraId="587F19B8" w14:textId="77777777" w:rsidR="00830E72" w:rsidRDefault="008344D8">
                    <w:pPr>
                      <w:jc w:val="center"/>
                      <w:rPr>
                        <w:szCs w:val="21"/>
                      </w:rPr>
                    </w:pPr>
                    <w:r>
                      <w:rPr>
                        <w:rFonts w:hint="eastAsia"/>
                        <w:szCs w:val="21"/>
                      </w:rPr>
                      <w:t>原因</w:t>
                    </w:r>
                  </w:p>
                </w:tc>
              </w:sdtContent>
            </w:sdt>
          </w:tr>
          <w:sdt>
            <w:sdtPr>
              <w:alias w:val="合同资产减值准备明细"/>
              <w:tag w:val="_TUP_faa2ef98c3d24377a44ef4f5c90c8f56"/>
              <w:id w:val="-654366420"/>
              <w:placeholder>
                <w:docPart w:val="8F02F315891A4EFF9C9AC627C9BCE525"/>
              </w:placeholder>
            </w:sdtPr>
            <w:sdtEndPr/>
            <w:sdtContent>
              <w:tr w:rsidR="0011042C" w14:paraId="3CF9CB0F" w14:textId="77777777" w:rsidTr="0011042C">
                <w:trPr>
                  <w:trHeight w:val="80"/>
                </w:trPr>
                <w:tc>
                  <w:tcPr>
                    <w:tcW w:w="1249" w:type="pct"/>
                    <w:shd w:val="clear" w:color="auto" w:fill="auto"/>
                  </w:tcPr>
                  <w:p w14:paraId="73542EC4" w14:textId="77777777" w:rsidR="0011042C" w:rsidRDefault="0011042C" w:rsidP="0011042C">
                    <w:r>
                      <w:rPr>
                        <w:rFonts w:hint="eastAsia"/>
                      </w:rPr>
                      <w:t>按组合计提减值准备</w:t>
                    </w:r>
                  </w:p>
                </w:tc>
                <w:tc>
                  <w:tcPr>
                    <w:tcW w:w="939" w:type="pct"/>
                    <w:shd w:val="clear" w:color="auto" w:fill="auto"/>
                  </w:tcPr>
                  <w:p w14:paraId="7F930EBC" w14:textId="56B26F7B" w:rsidR="0011042C" w:rsidRDefault="0011042C" w:rsidP="0011042C">
                    <w:pPr>
                      <w:jc w:val="right"/>
                    </w:pPr>
                  </w:p>
                </w:tc>
                <w:tc>
                  <w:tcPr>
                    <w:tcW w:w="918" w:type="pct"/>
                    <w:shd w:val="clear" w:color="auto" w:fill="auto"/>
                    <w:vAlign w:val="center"/>
                  </w:tcPr>
                  <w:p w14:paraId="47A9341D" w14:textId="270777DB" w:rsidR="0011042C" w:rsidRDefault="0011042C" w:rsidP="0011042C">
                    <w:pPr>
                      <w:jc w:val="right"/>
                    </w:pPr>
                    <w:r>
                      <w:t>829,355.80</w:t>
                    </w:r>
                  </w:p>
                </w:tc>
                <w:tc>
                  <w:tcPr>
                    <w:tcW w:w="924" w:type="pct"/>
                    <w:shd w:val="clear" w:color="auto" w:fill="auto"/>
                  </w:tcPr>
                  <w:p w14:paraId="41411314" w14:textId="77777777" w:rsidR="0011042C" w:rsidRDefault="0011042C" w:rsidP="0011042C">
                    <w:pPr>
                      <w:jc w:val="right"/>
                    </w:pPr>
                  </w:p>
                </w:tc>
                <w:tc>
                  <w:tcPr>
                    <w:tcW w:w="970" w:type="pct"/>
                    <w:shd w:val="clear" w:color="auto" w:fill="auto"/>
                  </w:tcPr>
                  <w:p w14:paraId="7885B83C" w14:textId="77777777" w:rsidR="0011042C" w:rsidRDefault="0011042C" w:rsidP="0011042C"/>
                </w:tc>
              </w:tr>
            </w:sdtContent>
          </w:sdt>
          <w:tr w:rsidR="0011042C" w14:paraId="50F0047E" w14:textId="77777777" w:rsidTr="0011042C">
            <w:sdt>
              <w:sdtPr>
                <w:tag w:val="_PLD_6ae9e9d3205844dc97746ca84ec6bb42"/>
                <w:id w:val="1205908774"/>
                <w:lock w:val="sdtLocked"/>
              </w:sdtPr>
              <w:sdtEndPr/>
              <w:sdtContent>
                <w:tc>
                  <w:tcPr>
                    <w:tcW w:w="1249" w:type="pct"/>
                    <w:shd w:val="clear" w:color="auto" w:fill="auto"/>
                    <w:vAlign w:val="center"/>
                  </w:tcPr>
                  <w:p w14:paraId="55EFE2A1" w14:textId="77777777" w:rsidR="0011042C" w:rsidRDefault="0011042C" w:rsidP="0011042C">
                    <w:pPr>
                      <w:snapToGrid w:val="0"/>
                      <w:ind w:leftChars="-51" w:left="-107"/>
                      <w:jc w:val="center"/>
                      <w:rPr>
                        <w:szCs w:val="21"/>
                      </w:rPr>
                    </w:pPr>
                    <w:r>
                      <w:rPr>
                        <w:rFonts w:hint="eastAsia"/>
                        <w:szCs w:val="21"/>
                      </w:rPr>
                      <w:t>合计</w:t>
                    </w:r>
                  </w:p>
                </w:tc>
              </w:sdtContent>
            </w:sdt>
            <w:tc>
              <w:tcPr>
                <w:tcW w:w="939" w:type="pct"/>
                <w:shd w:val="clear" w:color="auto" w:fill="auto"/>
              </w:tcPr>
              <w:p w14:paraId="6ED60EB5" w14:textId="166BA14C" w:rsidR="0011042C" w:rsidRDefault="0011042C" w:rsidP="0011042C">
                <w:pPr>
                  <w:jc w:val="right"/>
                </w:pPr>
              </w:p>
            </w:tc>
            <w:tc>
              <w:tcPr>
                <w:tcW w:w="918" w:type="pct"/>
                <w:shd w:val="clear" w:color="auto" w:fill="auto"/>
                <w:vAlign w:val="center"/>
              </w:tcPr>
              <w:p w14:paraId="24FF15E4" w14:textId="648DE44C" w:rsidR="0011042C" w:rsidRDefault="0011042C" w:rsidP="0011042C">
                <w:pPr>
                  <w:jc w:val="right"/>
                </w:pPr>
                <w:r>
                  <w:t>829,355.80</w:t>
                </w:r>
              </w:p>
            </w:tc>
            <w:tc>
              <w:tcPr>
                <w:tcW w:w="924" w:type="pct"/>
                <w:shd w:val="clear" w:color="auto" w:fill="auto"/>
              </w:tcPr>
              <w:p w14:paraId="68F7811A" w14:textId="77777777" w:rsidR="0011042C" w:rsidRDefault="0011042C" w:rsidP="0011042C">
                <w:pPr>
                  <w:jc w:val="right"/>
                </w:pPr>
              </w:p>
            </w:tc>
            <w:tc>
              <w:tcPr>
                <w:tcW w:w="970" w:type="pct"/>
                <w:shd w:val="clear" w:color="auto" w:fill="auto"/>
              </w:tcPr>
              <w:p w14:paraId="7A20A1E7" w14:textId="77777777" w:rsidR="0011042C" w:rsidRDefault="0011042C" w:rsidP="0011042C">
                <w:pPr>
                  <w:snapToGrid w:val="0"/>
                  <w:jc w:val="center"/>
                  <w:rPr>
                    <w:szCs w:val="21"/>
                  </w:rPr>
                </w:pPr>
                <w:r>
                  <w:rPr>
                    <w:rFonts w:hint="eastAsia"/>
                    <w:szCs w:val="21"/>
                  </w:rPr>
                  <w:t>/</w:t>
                </w:r>
              </w:p>
            </w:tc>
          </w:tr>
        </w:tbl>
        <w:p w14:paraId="22E92D11" w14:textId="77777777" w:rsidR="00830E72" w:rsidRDefault="008344D8">
          <w:pPr>
            <w:autoSpaceDE w:val="0"/>
            <w:autoSpaceDN w:val="0"/>
            <w:adjustRightInd w:val="0"/>
            <w:ind w:rightChars="50" w:right="105"/>
            <w:rPr>
              <w:szCs w:val="21"/>
            </w:rPr>
          </w:pPr>
          <w:r>
            <w:rPr>
              <w:rFonts w:hint="eastAsia"/>
              <w:szCs w:val="21"/>
            </w:rPr>
            <w:t>如按预期信用损失一般模型计提坏账准备，请参照其他应收款披露：</w:t>
          </w:r>
        </w:p>
        <w:p w14:paraId="6672B01A" w14:textId="77777777" w:rsidR="00830E72" w:rsidRDefault="00D44830">
          <w:pPr>
            <w:autoSpaceDE w:val="0"/>
            <w:autoSpaceDN w:val="0"/>
            <w:adjustRightInd w:val="0"/>
            <w:ind w:rightChars="50" w:right="105"/>
            <w:rPr>
              <w:szCs w:val="21"/>
            </w:rPr>
          </w:pPr>
          <w:sdt>
            <w:sdtPr>
              <w:rPr>
                <w:szCs w:val="21"/>
              </w:rPr>
              <w:alias w:val="是否适用：合同资产按一般预计信用损失模型计提坏账[双击切换]"/>
              <w:tag w:val="_GBC_8fdd7a56e6f14d8d81f89e702e67dcdf"/>
              <w:id w:val="-2207626"/>
              <w:lock w:val="sdtContentLocked"/>
              <w:placeholder>
                <w:docPart w:val="GBC22222222222222222222222222222"/>
              </w:placeholder>
            </w:sdtPr>
            <w:sdtEndPr/>
            <w:sdtContent>
              <w:r w:rsidR="008344D8">
                <w:rPr>
                  <w:szCs w:val="21"/>
                </w:rPr>
                <w:fldChar w:fldCharType="begin"/>
              </w:r>
              <w:r w:rsidR="008344D8">
                <w:rPr>
                  <w:szCs w:val="21"/>
                </w:rPr>
                <w:instrText xml:space="preserve"> MACROBUTTON  SnrToggleCheckbox □适用 </w:instrText>
              </w:r>
              <w:r w:rsidR="008344D8">
                <w:rPr>
                  <w:szCs w:val="21"/>
                </w:rPr>
                <w:fldChar w:fldCharType="end"/>
              </w:r>
              <w:r w:rsidR="008344D8">
                <w:rPr>
                  <w:szCs w:val="21"/>
                </w:rPr>
                <w:fldChar w:fldCharType="begin"/>
              </w:r>
              <w:r w:rsidR="008344D8">
                <w:rPr>
                  <w:szCs w:val="21"/>
                </w:rPr>
                <w:instrText xml:space="preserve"> MACROBUTTON  SnrToggleCheckbox √不适用 </w:instrText>
              </w:r>
              <w:r w:rsidR="008344D8">
                <w:rPr>
                  <w:szCs w:val="21"/>
                </w:rPr>
                <w:fldChar w:fldCharType="end"/>
              </w:r>
            </w:sdtContent>
          </w:sdt>
        </w:p>
      </w:sdtContent>
    </w:sdt>
    <w:bookmarkEnd w:id="119" w:displacedByCustomXml="next"/>
    <w:bookmarkStart w:id="120" w:name="_Hlk10471002" w:displacedByCustomXml="next"/>
    <w:bookmarkStart w:id="121" w:name="_Hlk10471011" w:displacedByCustomXml="next"/>
    <w:sdt>
      <w:sdtPr>
        <w:rPr>
          <w:rFonts w:hint="eastAsia"/>
          <w:szCs w:val="21"/>
        </w:rPr>
        <w:alias w:val="模块:其他说明："/>
        <w:tag w:val="_SEC_5b10981ad765434eb8d30a4d75bff071"/>
        <w:id w:val="-856189001"/>
        <w:lock w:val="sdtLocked"/>
        <w:placeholder>
          <w:docPart w:val="GBC22222222222222222222222222222"/>
        </w:placeholder>
      </w:sdtPr>
      <w:sdtEndPr>
        <w:rPr>
          <w:rFonts w:hint="default"/>
          <w:szCs w:val="24"/>
        </w:rPr>
      </w:sdtEndPr>
      <w:sdtContent>
        <w:p w14:paraId="58DAC7DC" w14:textId="77777777" w:rsidR="00830E72" w:rsidRDefault="008344D8">
          <w:pPr>
            <w:rPr>
              <w:szCs w:val="21"/>
            </w:rPr>
          </w:pPr>
          <w:r>
            <w:rPr>
              <w:rFonts w:hint="eastAsia"/>
              <w:szCs w:val="21"/>
            </w:rPr>
            <w:t>其他说明：</w:t>
          </w:r>
          <w:bookmarkEnd w:id="120"/>
        </w:p>
        <w:sdt>
          <w:sdtPr>
            <w:rPr>
              <w:szCs w:val="21"/>
            </w:rPr>
            <w:alias w:val="是否适用：合同资产其他说明[双击切换]"/>
            <w:tag w:val="_GBC_06cd3c0f93454d76bd0c7e20322e8a49"/>
            <w:id w:val="1193740125"/>
            <w:lock w:val="sdtContentLocked"/>
            <w:placeholder>
              <w:docPart w:val="GBC22222222222222222222222222222"/>
            </w:placeholder>
          </w:sdtPr>
          <w:sdtEndPr/>
          <w:sdtContent>
            <w:p w14:paraId="5C322AC5" w14:textId="77777777" w:rsidR="00830E72" w:rsidRDefault="008344D8">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21" w:displacedByCustomXml="next"/>
    <w:sdt>
      <w:sdtPr>
        <w:rPr>
          <w:rFonts w:ascii="宋体" w:hAnsi="宋体" w:cs="宋体" w:hint="eastAsia"/>
          <w:b w:val="0"/>
          <w:bCs w:val="0"/>
          <w:kern w:val="0"/>
          <w:szCs w:val="24"/>
        </w:rPr>
        <w:alias w:val="模块:划分为持有待售的资产"/>
        <w:tag w:val="_GBC_b8017c342539428893a6ec198dd061b3"/>
        <w:id w:val="-1224296855"/>
        <w:lock w:val="sdtLocked"/>
        <w:placeholder>
          <w:docPart w:val="GBC22222222222222222222222222222"/>
        </w:placeholder>
      </w:sdtPr>
      <w:sdtEndPr>
        <w:rPr>
          <w:rFonts w:hint="default"/>
          <w:szCs w:val="21"/>
        </w:rPr>
      </w:sdtEndPr>
      <w:sdtContent>
        <w:p w14:paraId="0B9FBE55" w14:textId="77777777" w:rsidR="00830E72" w:rsidRDefault="008344D8">
          <w:pPr>
            <w:pStyle w:val="Style99"/>
            <w:numPr>
              <w:ilvl w:val="0"/>
              <w:numId w:val="45"/>
            </w:numPr>
            <w:tabs>
              <w:tab w:val="left" w:pos="504"/>
            </w:tabs>
            <w:rPr>
              <w:rFonts w:ascii="宋体" w:hAnsi="宋体"/>
            </w:rPr>
          </w:pPr>
          <w:r>
            <w:rPr>
              <w:rFonts w:ascii="宋体" w:hAnsi="宋体" w:hint="eastAsia"/>
            </w:rPr>
            <w:t>持有待售资产</w:t>
          </w:r>
        </w:p>
        <w:sdt>
          <w:sdtPr>
            <w:alias w:val="是否适用：划分为持有待售的资产[双击切换]"/>
            <w:tag w:val="_GBC_a6517e0f93e04b1caa2e45201c8133b1"/>
            <w:id w:val="1383515827"/>
            <w:lock w:val="sdtContentLocked"/>
            <w:placeholder>
              <w:docPart w:val="GBC22222222222222222222222222222"/>
            </w:placeholder>
          </w:sdtPr>
          <w:sdtEndPr/>
          <w:sdtContent>
            <w:p w14:paraId="0A557289"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22" w:name="_Hlk10471081" w:displacedByCustomXml="next"/>
    <w:sdt>
      <w:sdtPr>
        <w:rPr>
          <w:rFonts w:ascii="宋体" w:hAnsi="宋体" w:cs="宋体" w:hint="eastAsia"/>
          <w:b w:val="0"/>
          <w:bCs w:val="0"/>
          <w:kern w:val="0"/>
          <w:szCs w:val="24"/>
        </w:rPr>
        <w:alias w:val="模块:一年内到期的非流动资产"/>
        <w:tag w:val="_GBC_73afc3711ce24918b57d8c069abaf5c5"/>
        <w:id w:val="1245152253"/>
        <w:lock w:val="sdtLocked"/>
        <w:placeholder>
          <w:docPart w:val="GBC22222222222222222222222222222"/>
        </w:placeholder>
      </w:sdtPr>
      <w:sdtEndPr/>
      <w:sdtContent>
        <w:p w14:paraId="0B17B954" w14:textId="77777777" w:rsidR="00830E72" w:rsidRDefault="008344D8">
          <w:pPr>
            <w:pStyle w:val="Style99"/>
            <w:numPr>
              <w:ilvl w:val="0"/>
              <w:numId w:val="45"/>
            </w:numPr>
            <w:tabs>
              <w:tab w:val="left" w:pos="504"/>
            </w:tabs>
            <w:rPr>
              <w:rFonts w:ascii="宋体" w:hAnsi="宋体"/>
            </w:rPr>
          </w:pPr>
          <w:r>
            <w:rPr>
              <w:rFonts w:ascii="宋体" w:hAnsi="宋体" w:hint="eastAsia"/>
            </w:rPr>
            <w:t>一年内到期的非流动资产</w:t>
          </w:r>
        </w:p>
        <w:sdt>
          <w:sdtPr>
            <w:alias w:val="是否适用：一年内到期的非流动资产[双击切换]"/>
            <w:tag w:val="_GBC_3c3df002388d4bbe8dd8d4df7fe26ebc"/>
            <w:id w:val="875129288"/>
            <w:lock w:val="sdtContentLocked"/>
            <w:placeholder>
              <w:docPart w:val="GBC22222222222222222222222222222"/>
            </w:placeholder>
          </w:sdtPr>
          <w:sdtEndPr/>
          <w:sdtContent>
            <w:p w14:paraId="282D90E7"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71CA909" w14:textId="77777777" w:rsidR="00830E72" w:rsidRDefault="008344D8">
          <w:pPr>
            <w:ind w:right="210"/>
            <w:jc w:val="right"/>
          </w:pPr>
          <w:r>
            <w:rPr>
              <w:rFonts w:hint="eastAsia"/>
            </w:rPr>
            <w:t>单位：</w:t>
          </w:r>
          <w:sdt>
            <w:sdtPr>
              <w:rPr>
                <w:rFonts w:hint="eastAsia"/>
              </w:rPr>
              <w:alias w:val="单位：财务附注：一年内到期的非流动资产"/>
              <w:tag w:val="_GBC_14922dae03f44c28ac9ffa1215012f9c"/>
              <w:id w:val="16297495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一年内到期的非流动资产"/>
              <w:tag w:val="_GBC_82f0c618fc25413492c788e363214691"/>
              <w:id w:val="-12683830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8"/>
            <w:gridCol w:w="4512"/>
            <w:gridCol w:w="4459"/>
          </w:tblGrid>
          <w:tr w:rsidR="00830E72" w14:paraId="5ED984CA" w14:textId="77777777">
            <w:sdt>
              <w:sdtPr>
                <w:tag w:val="_PLD_3dd3ecdefaa34ef4b20ed16dfc08362c"/>
                <w:id w:val="386693082"/>
                <w:lock w:val="sdtLocked"/>
              </w:sdtPr>
              <w:sdtEndPr/>
              <w:sdtContent>
                <w:tc>
                  <w:tcPr>
                    <w:tcW w:w="1816" w:type="pct"/>
                    <w:shd w:val="clear" w:color="auto" w:fill="auto"/>
                    <w:vAlign w:val="center"/>
                  </w:tcPr>
                  <w:p w14:paraId="218DA42D" w14:textId="77777777" w:rsidR="00830E72" w:rsidRDefault="008344D8">
                    <w:pPr>
                      <w:jc w:val="center"/>
                      <w:rPr>
                        <w:szCs w:val="21"/>
                      </w:rPr>
                    </w:pPr>
                    <w:r>
                      <w:rPr>
                        <w:rFonts w:hint="eastAsia"/>
                        <w:szCs w:val="21"/>
                      </w:rPr>
                      <w:t>项目</w:t>
                    </w:r>
                  </w:p>
                </w:tc>
              </w:sdtContent>
            </w:sdt>
            <w:sdt>
              <w:sdtPr>
                <w:tag w:val="_PLD_480b5377d1d84a9c8b0deaaf24f342ff"/>
                <w:id w:val="-1824809386"/>
                <w:lock w:val="sdtLocked"/>
              </w:sdtPr>
              <w:sdtEndPr/>
              <w:sdtContent>
                <w:tc>
                  <w:tcPr>
                    <w:tcW w:w="1601" w:type="pct"/>
                    <w:shd w:val="clear" w:color="auto" w:fill="auto"/>
                    <w:vAlign w:val="center"/>
                  </w:tcPr>
                  <w:p w14:paraId="51E00705" w14:textId="77777777" w:rsidR="00830E72" w:rsidRDefault="008344D8">
                    <w:pPr>
                      <w:jc w:val="center"/>
                      <w:rPr>
                        <w:szCs w:val="21"/>
                      </w:rPr>
                    </w:pPr>
                    <w:r>
                      <w:rPr>
                        <w:rFonts w:hint="eastAsia"/>
                        <w:szCs w:val="21"/>
                      </w:rPr>
                      <w:t>期末余额</w:t>
                    </w:r>
                  </w:p>
                </w:tc>
              </w:sdtContent>
            </w:sdt>
            <w:sdt>
              <w:sdtPr>
                <w:tag w:val="_PLD_a67b2de4a1a3451da84cbef4312398ed"/>
                <w:id w:val="-571657044"/>
                <w:lock w:val="sdtLocked"/>
              </w:sdtPr>
              <w:sdtEndPr/>
              <w:sdtContent>
                <w:tc>
                  <w:tcPr>
                    <w:tcW w:w="1582" w:type="pct"/>
                    <w:shd w:val="clear" w:color="auto" w:fill="auto"/>
                    <w:vAlign w:val="center"/>
                  </w:tcPr>
                  <w:p w14:paraId="1A7A3F42" w14:textId="77777777" w:rsidR="00830E72" w:rsidRDefault="008344D8">
                    <w:pPr>
                      <w:jc w:val="center"/>
                      <w:rPr>
                        <w:szCs w:val="21"/>
                      </w:rPr>
                    </w:pPr>
                    <w:r>
                      <w:rPr>
                        <w:rFonts w:hint="eastAsia"/>
                        <w:szCs w:val="21"/>
                      </w:rPr>
                      <w:t>期初余额</w:t>
                    </w:r>
                  </w:p>
                </w:tc>
              </w:sdtContent>
            </w:sdt>
          </w:tr>
          <w:sdt>
            <w:sdtPr>
              <w:rPr>
                <w:rFonts w:hint="eastAsia"/>
                <w:szCs w:val="21"/>
              </w:rPr>
              <w:alias w:val="一年内到期的非流动资产明细"/>
              <w:tag w:val="_GBC_28cb8da7835241e682eaaa567efa24ff"/>
              <w:id w:val="-428115613"/>
              <w:placeholder>
                <w:docPart w:val="GBC11111111111111111111111111111"/>
              </w:placeholder>
            </w:sdtPr>
            <w:sdtEndPr/>
            <w:sdtContent>
              <w:tr w:rsidR="00830E72" w14:paraId="0B5A0C7A" w14:textId="77777777">
                <w:tc>
                  <w:tcPr>
                    <w:tcW w:w="1816" w:type="pct"/>
                    <w:shd w:val="clear" w:color="auto" w:fill="auto"/>
                  </w:tcPr>
                  <w:p w14:paraId="59C833F7" w14:textId="77777777" w:rsidR="00830E72" w:rsidRDefault="008344D8">
                    <w:pPr>
                      <w:snapToGrid w:val="0"/>
                      <w:ind w:leftChars="-51" w:left="-107"/>
                      <w:rPr>
                        <w:szCs w:val="21"/>
                      </w:rPr>
                    </w:pPr>
                    <w:r>
                      <w:rPr>
                        <w:rFonts w:hint="eastAsia"/>
                        <w:szCs w:val="21"/>
                      </w:rPr>
                      <w:t>一年内到期的长期应收款</w:t>
                    </w:r>
                  </w:p>
                </w:tc>
                <w:tc>
                  <w:tcPr>
                    <w:tcW w:w="1601" w:type="pct"/>
                    <w:shd w:val="clear" w:color="auto" w:fill="auto"/>
                  </w:tcPr>
                  <w:p w14:paraId="707E6ADC" w14:textId="77777777" w:rsidR="00830E72" w:rsidRDefault="008344D8">
                    <w:pPr>
                      <w:snapToGrid w:val="0"/>
                      <w:jc w:val="right"/>
                      <w:rPr>
                        <w:szCs w:val="21"/>
                      </w:rPr>
                    </w:pPr>
                    <w:r>
                      <w:rPr>
                        <w:szCs w:val="21"/>
                      </w:rPr>
                      <w:t>48,541,978.43</w:t>
                    </w:r>
                  </w:p>
                </w:tc>
                <w:tc>
                  <w:tcPr>
                    <w:tcW w:w="1582" w:type="pct"/>
                    <w:shd w:val="clear" w:color="auto" w:fill="auto"/>
                  </w:tcPr>
                  <w:p w14:paraId="3CD67BD9" w14:textId="77777777" w:rsidR="00830E72" w:rsidRDefault="008344D8">
                    <w:pPr>
                      <w:snapToGrid w:val="0"/>
                      <w:jc w:val="right"/>
                      <w:rPr>
                        <w:szCs w:val="21"/>
                      </w:rPr>
                    </w:pPr>
                    <w:r>
                      <w:rPr>
                        <w:szCs w:val="21"/>
                      </w:rPr>
                      <w:t>83,251,919.30</w:t>
                    </w:r>
                  </w:p>
                </w:tc>
              </w:tr>
            </w:sdtContent>
          </w:sdt>
          <w:tr w:rsidR="00830E72" w14:paraId="61CC3637" w14:textId="77777777">
            <w:sdt>
              <w:sdtPr>
                <w:tag w:val="_PLD_487fc28d4c564bc397743399f82b936a"/>
                <w:id w:val="-1065713760"/>
                <w:lock w:val="sdtLocked"/>
              </w:sdtPr>
              <w:sdtEndPr/>
              <w:sdtContent>
                <w:tc>
                  <w:tcPr>
                    <w:tcW w:w="1816" w:type="pct"/>
                    <w:shd w:val="clear" w:color="auto" w:fill="auto"/>
                    <w:vAlign w:val="bottom"/>
                  </w:tcPr>
                  <w:p w14:paraId="189D533A" w14:textId="77777777" w:rsidR="00830E72" w:rsidRDefault="008344D8">
                    <w:pPr>
                      <w:snapToGrid w:val="0"/>
                      <w:ind w:leftChars="-51" w:left="-107"/>
                      <w:jc w:val="center"/>
                      <w:rPr>
                        <w:szCs w:val="21"/>
                      </w:rPr>
                    </w:pPr>
                    <w:r>
                      <w:rPr>
                        <w:rFonts w:hint="eastAsia"/>
                        <w:szCs w:val="21"/>
                      </w:rPr>
                      <w:t>合计</w:t>
                    </w:r>
                  </w:p>
                </w:tc>
              </w:sdtContent>
            </w:sdt>
            <w:tc>
              <w:tcPr>
                <w:tcW w:w="1601" w:type="pct"/>
                <w:shd w:val="clear" w:color="auto" w:fill="auto"/>
              </w:tcPr>
              <w:p w14:paraId="668EA6AB" w14:textId="77777777" w:rsidR="00830E72" w:rsidRDefault="008344D8">
                <w:pPr>
                  <w:snapToGrid w:val="0"/>
                  <w:jc w:val="right"/>
                  <w:rPr>
                    <w:szCs w:val="21"/>
                  </w:rPr>
                </w:pPr>
                <w:r>
                  <w:rPr>
                    <w:szCs w:val="21"/>
                  </w:rPr>
                  <w:t>48,541,978.43</w:t>
                </w:r>
              </w:p>
            </w:tc>
            <w:tc>
              <w:tcPr>
                <w:tcW w:w="1582" w:type="pct"/>
                <w:shd w:val="clear" w:color="auto" w:fill="auto"/>
              </w:tcPr>
              <w:p w14:paraId="099CDCB8" w14:textId="77777777" w:rsidR="00830E72" w:rsidRDefault="008344D8">
                <w:pPr>
                  <w:snapToGrid w:val="0"/>
                  <w:jc w:val="right"/>
                  <w:rPr>
                    <w:szCs w:val="21"/>
                  </w:rPr>
                </w:pPr>
                <w:r>
                  <w:rPr>
                    <w:szCs w:val="21"/>
                  </w:rPr>
                  <w:t>83,251,919.30</w:t>
                </w:r>
              </w:p>
            </w:tc>
          </w:tr>
        </w:tbl>
        <w:p w14:paraId="7248BEBC" w14:textId="77777777" w:rsidR="00830E72" w:rsidRDefault="008344D8">
          <w:pPr>
            <w:ind w:right="210"/>
          </w:pPr>
          <w:r>
            <w:rPr>
              <w:rFonts w:hint="eastAsia"/>
            </w:rPr>
            <w:t>期末重要的债权投资和其他债权投资：</w:t>
          </w:r>
        </w:p>
        <w:sdt>
          <w:sdtPr>
            <w:alias w:val="是否适用：一年内到期的非流动资产中重要的债权投资[双击切换]"/>
            <w:tag w:val="_GBC_48bf54d20bb74c9aaa661a2407efce08"/>
            <w:id w:val="-949931093"/>
            <w:lock w:val="sdtContentLocked"/>
            <w:placeholder>
              <w:docPart w:val="GBC22222222222222222222222222222"/>
            </w:placeholder>
          </w:sdtPr>
          <w:sdtEndPr/>
          <w:sdtContent>
            <w:p w14:paraId="6BCA1B92" w14:textId="77777777" w:rsidR="00830E72" w:rsidRDefault="008344D8">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22" w:displacedByCustomXml="next"/>
    <w:bookmarkStart w:id="123" w:name="_Hlk10471163" w:displacedByCustomXml="next"/>
    <w:sdt>
      <w:sdtPr>
        <w:rPr>
          <w:rFonts w:ascii="宋体" w:hAnsi="宋体" w:cs="宋体" w:hint="eastAsia"/>
          <w:b w:val="0"/>
          <w:bCs w:val="0"/>
          <w:kern w:val="0"/>
          <w:szCs w:val="24"/>
        </w:rPr>
        <w:alias w:val="模块:其他流动资产"/>
        <w:tag w:val="_GBC_e29fd29bee934fc3ab8325cf3625b905"/>
        <w:id w:val="895557797"/>
        <w:lock w:val="sdtLocked"/>
        <w:placeholder>
          <w:docPart w:val="GBC22222222222222222222222222222"/>
        </w:placeholder>
      </w:sdtPr>
      <w:sdtEndPr/>
      <w:sdtContent>
        <w:p w14:paraId="439091D2" w14:textId="77777777" w:rsidR="00830E72" w:rsidRDefault="008344D8">
          <w:pPr>
            <w:pStyle w:val="Style99"/>
            <w:numPr>
              <w:ilvl w:val="0"/>
              <w:numId w:val="45"/>
            </w:numPr>
            <w:tabs>
              <w:tab w:val="left" w:pos="504"/>
            </w:tabs>
            <w:rPr>
              <w:rFonts w:ascii="宋体" w:hAnsi="宋体"/>
            </w:rPr>
          </w:pPr>
          <w:r>
            <w:rPr>
              <w:rFonts w:ascii="宋体" w:hAnsi="宋体" w:hint="eastAsia"/>
            </w:rPr>
            <w:t>其他流动资产</w:t>
          </w:r>
        </w:p>
        <w:sdt>
          <w:sdtPr>
            <w:alias w:val="是否适用：其他流动资产[双击切换]"/>
            <w:tag w:val="_GBC_7733d50365e24328b41020152f88028d"/>
            <w:id w:val="1862320101"/>
            <w:lock w:val="sdtContentLocked"/>
            <w:placeholder>
              <w:docPart w:val="GBC22222222222222222222222222222"/>
            </w:placeholder>
          </w:sdtPr>
          <w:sdtEndPr/>
          <w:sdtContent>
            <w:p w14:paraId="1C3700C7"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525A3D2" w14:textId="77777777" w:rsidR="00830E72" w:rsidRDefault="008344D8">
          <w:pPr>
            <w:jc w:val="right"/>
          </w:pPr>
          <w:r>
            <w:rPr>
              <w:rFonts w:hint="eastAsia"/>
            </w:rPr>
            <w:t>单位：</w:t>
          </w:r>
          <w:sdt>
            <w:sdtPr>
              <w:rPr>
                <w:rFonts w:hint="eastAsia"/>
              </w:rPr>
              <w:alias w:val="单位：其他流动资产"/>
              <w:tag w:val="_GBC_d0c62fc75d164678ad203d9ddb106538"/>
              <w:id w:val="7057563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其他流动资产"/>
              <w:tag w:val="_GBC_9196143d56d24a9ea7f7e31ce8a09024"/>
              <w:id w:val="17507711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7"/>
            <w:gridCol w:w="4542"/>
            <w:gridCol w:w="4430"/>
          </w:tblGrid>
          <w:tr w:rsidR="00830E72" w14:paraId="61DA2292" w14:textId="77777777">
            <w:sdt>
              <w:sdtPr>
                <w:tag w:val="_PLD_15bbfc7d41df4300abcae2e424cc6572"/>
                <w:id w:val="-797457535"/>
                <w:lock w:val="sdtLocked"/>
              </w:sdtPr>
              <w:sdtEndPr/>
              <w:sdtContent>
                <w:tc>
                  <w:tcPr>
                    <w:tcW w:w="1816" w:type="pct"/>
                    <w:shd w:val="clear" w:color="auto" w:fill="auto"/>
                    <w:vAlign w:val="center"/>
                  </w:tcPr>
                  <w:p w14:paraId="100A5462" w14:textId="77777777" w:rsidR="00830E72" w:rsidRDefault="008344D8">
                    <w:pPr>
                      <w:jc w:val="center"/>
                      <w:rPr>
                        <w:szCs w:val="21"/>
                      </w:rPr>
                    </w:pPr>
                    <w:r>
                      <w:rPr>
                        <w:rFonts w:hint="eastAsia"/>
                        <w:szCs w:val="21"/>
                      </w:rPr>
                      <w:t>项目</w:t>
                    </w:r>
                  </w:p>
                </w:tc>
              </w:sdtContent>
            </w:sdt>
            <w:sdt>
              <w:sdtPr>
                <w:tag w:val="_PLD_d2a222194eae4e958db2401139170ea2"/>
                <w:id w:val="-1349868446"/>
                <w:lock w:val="sdtLocked"/>
              </w:sdtPr>
              <w:sdtEndPr/>
              <w:sdtContent>
                <w:tc>
                  <w:tcPr>
                    <w:tcW w:w="1612" w:type="pct"/>
                    <w:shd w:val="clear" w:color="auto" w:fill="auto"/>
                    <w:vAlign w:val="center"/>
                  </w:tcPr>
                  <w:p w14:paraId="7753E3B4" w14:textId="77777777" w:rsidR="00830E72" w:rsidRDefault="008344D8">
                    <w:pPr>
                      <w:jc w:val="center"/>
                      <w:rPr>
                        <w:szCs w:val="21"/>
                      </w:rPr>
                    </w:pPr>
                    <w:r>
                      <w:rPr>
                        <w:rFonts w:hint="eastAsia"/>
                        <w:szCs w:val="21"/>
                      </w:rPr>
                      <w:t>期末余额</w:t>
                    </w:r>
                  </w:p>
                </w:tc>
              </w:sdtContent>
            </w:sdt>
            <w:sdt>
              <w:sdtPr>
                <w:tag w:val="_PLD_0f3815799e9d4216b9506517d8e9b90c"/>
                <w:id w:val="746379816"/>
                <w:lock w:val="sdtLocked"/>
              </w:sdtPr>
              <w:sdtEndPr/>
              <w:sdtContent>
                <w:tc>
                  <w:tcPr>
                    <w:tcW w:w="1572" w:type="pct"/>
                    <w:shd w:val="clear" w:color="auto" w:fill="auto"/>
                    <w:vAlign w:val="center"/>
                  </w:tcPr>
                  <w:p w14:paraId="685361C1" w14:textId="77777777" w:rsidR="00830E72" w:rsidRDefault="008344D8">
                    <w:pPr>
                      <w:jc w:val="center"/>
                      <w:rPr>
                        <w:szCs w:val="21"/>
                      </w:rPr>
                    </w:pPr>
                    <w:r>
                      <w:rPr>
                        <w:rFonts w:hint="eastAsia"/>
                        <w:szCs w:val="21"/>
                      </w:rPr>
                      <w:t>期初余额</w:t>
                    </w:r>
                  </w:p>
                </w:tc>
              </w:sdtContent>
            </w:sdt>
          </w:tr>
          <w:sdt>
            <w:sdtPr>
              <w:rPr>
                <w:rFonts w:hint="eastAsia"/>
                <w:szCs w:val="21"/>
              </w:rPr>
              <w:alias w:val="其他流动资产明细"/>
              <w:tag w:val="_TUP_0bae324e6bd3444492796087e454ca12"/>
              <w:id w:val="-678883883"/>
              <w:lock w:val="sdtLocked"/>
            </w:sdtPr>
            <w:sdtEndPr/>
            <w:sdtContent>
              <w:tr w:rsidR="00830E72" w14:paraId="6023E99E" w14:textId="77777777">
                <w:tc>
                  <w:tcPr>
                    <w:tcW w:w="1816" w:type="pct"/>
                    <w:shd w:val="clear" w:color="auto" w:fill="auto"/>
                  </w:tcPr>
                  <w:p w14:paraId="086D25BE" w14:textId="77777777" w:rsidR="00830E72" w:rsidRDefault="008344D8">
                    <w:pPr>
                      <w:snapToGrid w:val="0"/>
                      <w:ind w:leftChars="-51" w:left="-107"/>
                      <w:rPr>
                        <w:szCs w:val="21"/>
                      </w:rPr>
                    </w:pPr>
                    <w:r>
                      <w:rPr>
                        <w:rFonts w:hint="eastAsia"/>
                        <w:szCs w:val="21"/>
                      </w:rPr>
                      <w:t>待抵扣进项税</w:t>
                    </w:r>
                  </w:p>
                </w:tc>
                <w:tc>
                  <w:tcPr>
                    <w:tcW w:w="1612" w:type="pct"/>
                    <w:shd w:val="clear" w:color="auto" w:fill="auto"/>
                  </w:tcPr>
                  <w:p w14:paraId="5E4D904F" w14:textId="77777777" w:rsidR="00830E72" w:rsidRDefault="008344D8">
                    <w:pPr>
                      <w:snapToGrid w:val="0"/>
                      <w:jc w:val="right"/>
                      <w:rPr>
                        <w:szCs w:val="21"/>
                      </w:rPr>
                    </w:pPr>
                    <w:r>
                      <w:rPr>
                        <w:szCs w:val="21"/>
                      </w:rPr>
                      <w:t>54,709,728.87</w:t>
                    </w:r>
                  </w:p>
                </w:tc>
                <w:tc>
                  <w:tcPr>
                    <w:tcW w:w="1572" w:type="pct"/>
                    <w:shd w:val="clear" w:color="auto" w:fill="auto"/>
                  </w:tcPr>
                  <w:p w14:paraId="60A61FEE" w14:textId="77777777" w:rsidR="00830E72" w:rsidRDefault="008344D8">
                    <w:pPr>
                      <w:snapToGrid w:val="0"/>
                      <w:jc w:val="right"/>
                      <w:rPr>
                        <w:szCs w:val="21"/>
                      </w:rPr>
                    </w:pPr>
                    <w:r>
                      <w:rPr>
                        <w:szCs w:val="21"/>
                      </w:rPr>
                      <w:t>55,126,028.67</w:t>
                    </w:r>
                  </w:p>
                </w:tc>
              </w:tr>
            </w:sdtContent>
          </w:sdt>
          <w:sdt>
            <w:sdtPr>
              <w:rPr>
                <w:rFonts w:hint="eastAsia"/>
                <w:szCs w:val="21"/>
              </w:rPr>
              <w:alias w:val="其他流动资产明细"/>
              <w:tag w:val="_TUP_0bae324e6bd3444492796087e454ca12"/>
              <w:id w:val="1134603438"/>
              <w:lock w:val="sdtLocked"/>
            </w:sdtPr>
            <w:sdtEndPr/>
            <w:sdtContent>
              <w:tr w:rsidR="00830E72" w14:paraId="269B4E90" w14:textId="77777777">
                <w:tc>
                  <w:tcPr>
                    <w:tcW w:w="1816" w:type="pct"/>
                    <w:shd w:val="clear" w:color="auto" w:fill="auto"/>
                  </w:tcPr>
                  <w:p w14:paraId="5CC62B69" w14:textId="77777777" w:rsidR="00830E72" w:rsidRDefault="008344D8">
                    <w:pPr>
                      <w:snapToGrid w:val="0"/>
                      <w:ind w:leftChars="-51" w:left="-107"/>
                      <w:rPr>
                        <w:szCs w:val="21"/>
                      </w:rPr>
                    </w:pPr>
                    <w:r>
                      <w:rPr>
                        <w:rFonts w:hint="eastAsia"/>
                        <w:szCs w:val="21"/>
                      </w:rPr>
                      <w:t>预交税费</w:t>
                    </w:r>
                  </w:p>
                </w:tc>
                <w:tc>
                  <w:tcPr>
                    <w:tcW w:w="1612" w:type="pct"/>
                    <w:shd w:val="clear" w:color="auto" w:fill="auto"/>
                  </w:tcPr>
                  <w:p w14:paraId="397C5341" w14:textId="77777777" w:rsidR="00830E72" w:rsidRDefault="008344D8">
                    <w:pPr>
                      <w:snapToGrid w:val="0"/>
                      <w:jc w:val="right"/>
                      <w:rPr>
                        <w:szCs w:val="21"/>
                      </w:rPr>
                    </w:pPr>
                    <w:r>
                      <w:rPr>
                        <w:szCs w:val="21"/>
                      </w:rPr>
                      <w:t>14,337,750.56</w:t>
                    </w:r>
                  </w:p>
                </w:tc>
                <w:tc>
                  <w:tcPr>
                    <w:tcW w:w="1572" w:type="pct"/>
                    <w:shd w:val="clear" w:color="auto" w:fill="auto"/>
                  </w:tcPr>
                  <w:p w14:paraId="7192C4F8" w14:textId="77777777" w:rsidR="00830E72" w:rsidRDefault="008344D8">
                    <w:pPr>
                      <w:snapToGrid w:val="0"/>
                      <w:jc w:val="right"/>
                      <w:rPr>
                        <w:szCs w:val="21"/>
                      </w:rPr>
                    </w:pPr>
                    <w:r>
                      <w:rPr>
                        <w:szCs w:val="21"/>
                      </w:rPr>
                      <w:t>23,151,676.83</w:t>
                    </w:r>
                  </w:p>
                </w:tc>
              </w:tr>
            </w:sdtContent>
          </w:sdt>
          <w:sdt>
            <w:sdtPr>
              <w:rPr>
                <w:rFonts w:hint="eastAsia"/>
                <w:szCs w:val="21"/>
              </w:rPr>
              <w:alias w:val="其他流动资产明细"/>
              <w:tag w:val="_TUP_0bae324e6bd3444492796087e454ca12"/>
              <w:id w:val="1061904914"/>
              <w:lock w:val="sdtLocked"/>
            </w:sdtPr>
            <w:sdtEndPr/>
            <w:sdtContent>
              <w:tr w:rsidR="00830E72" w14:paraId="4AF88375" w14:textId="77777777">
                <w:tc>
                  <w:tcPr>
                    <w:tcW w:w="1816" w:type="pct"/>
                    <w:shd w:val="clear" w:color="auto" w:fill="auto"/>
                  </w:tcPr>
                  <w:p w14:paraId="2F21B684" w14:textId="77777777" w:rsidR="00830E72" w:rsidRDefault="008344D8">
                    <w:pPr>
                      <w:snapToGrid w:val="0"/>
                      <w:ind w:leftChars="-51" w:left="-107"/>
                      <w:rPr>
                        <w:szCs w:val="21"/>
                      </w:rPr>
                    </w:pPr>
                    <w:r>
                      <w:rPr>
                        <w:rFonts w:hint="eastAsia"/>
                        <w:szCs w:val="21"/>
                      </w:rPr>
                      <w:t>预付租金</w:t>
                    </w:r>
                  </w:p>
                </w:tc>
                <w:tc>
                  <w:tcPr>
                    <w:tcW w:w="1612" w:type="pct"/>
                    <w:shd w:val="clear" w:color="auto" w:fill="auto"/>
                  </w:tcPr>
                  <w:p w14:paraId="3B63B561" w14:textId="77777777" w:rsidR="00830E72" w:rsidRDefault="00830E72">
                    <w:pPr>
                      <w:snapToGrid w:val="0"/>
                      <w:jc w:val="right"/>
                      <w:rPr>
                        <w:szCs w:val="21"/>
                      </w:rPr>
                    </w:pPr>
                  </w:p>
                </w:tc>
                <w:tc>
                  <w:tcPr>
                    <w:tcW w:w="1572" w:type="pct"/>
                    <w:shd w:val="clear" w:color="auto" w:fill="auto"/>
                  </w:tcPr>
                  <w:p w14:paraId="7B321264" w14:textId="77777777" w:rsidR="00830E72" w:rsidRDefault="008344D8">
                    <w:pPr>
                      <w:snapToGrid w:val="0"/>
                      <w:jc w:val="right"/>
                      <w:rPr>
                        <w:szCs w:val="21"/>
                      </w:rPr>
                    </w:pPr>
                    <w:r>
                      <w:rPr>
                        <w:szCs w:val="21"/>
                      </w:rPr>
                      <w:t>299,958.46</w:t>
                    </w:r>
                  </w:p>
                </w:tc>
              </w:tr>
            </w:sdtContent>
          </w:sdt>
          <w:tr w:rsidR="00830E72" w14:paraId="1F30FE02" w14:textId="77777777">
            <w:sdt>
              <w:sdtPr>
                <w:tag w:val="_PLD_b6c346d1d68d4f27847794dad182ef24"/>
                <w:id w:val="2095202303"/>
                <w:lock w:val="sdtLocked"/>
              </w:sdtPr>
              <w:sdtEndPr/>
              <w:sdtContent>
                <w:tc>
                  <w:tcPr>
                    <w:tcW w:w="1816" w:type="pct"/>
                    <w:shd w:val="clear" w:color="auto" w:fill="auto"/>
                    <w:vAlign w:val="center"/>
                  </w:tcPr>
                  <w:p w14:paraId="3AD80688" w14:textId="77777777" w:rsidR="00830E72" w:rsidRDefault="008344D8">
                    <w:pPr>
                      <w:snapToGrid w:val="0"/>
                      <w:ind w:leftChars="-51" w:left="-107"/>
                      <w:jc w:val="center"/>
                      <w:rPr>
                        <w:szCs w:val="21"/>
                      </w:rPr>
                    </w:pPr>
                    <w:r>
                      <w:rPr>
                        <w:rFonts w:hint="eastAsia"/>
                        <w:szCs w:val="21"/>
                      </w:rPr>
                      <w:t>合计</w:t>
                    </w:r>
                  </w:p>
                </w:tc>
              </w:sdtContent>
            </w:sdt>
            <w:tc>
              <w:tcPr>
                <w:tcW w:w="1612" w:type="pct"/>
                <w:shd w:val="clear" w:color="auto" w:fill="auto"/>
              </w:tcPr>
              <w:p w14:paraId="0C7F5FE2" w14:textId="77777777" w:rsidR="00830E72" w:rsidRDefault="008344D8">
                <w:pPr>
                  <w:snapToGrid w:val="0"/>
                  <w:jc w:val="right"/>
                  <w:rPr>
                    <w:szCs w:val="21"/>
                  </w:rPr>
                </w:pPr>
                <w:r>
                  <w:rPr>
                    <w:szCs w:val="21"/>
                  </w:rPr>
                  <w:t>69,047,479.43</w:t>
                </w:r>
              </w:p>
            </w:tc>
            <w:tc>
              <w:tcPr>
                <w:tcW w:w="1572" w:type="pct"/>
                <w:shd w:val="clear" w:color="auto" w:fill="auto"/>
              </w:tcPr>
              <w:p w14:paraId="0D8E17BA" w14:textId="77777777" w:rsidR="00830E72" w:rsidRDefault="008344D8">
                <w:pPr>
                  <w:snapToGrid w:val="0"/>
                  <w:jc w:val="right"/>
                  <w:rPr>
                    <w:szCs w:val="21"/>
                  </w:rPr>
                </w:pPr>
                <w:r>
                  <w:rPr>
                    <w:szCs w:val="21"/>
                  </w:rPr>
                  <w:t>78,577,663.96</w:t>
                </w:r>
              </w:p>
            </w:tc>
          </w:tr>
        </w:tbl>
        <w:p w14:paraId="358D587C" w14:textId="77777777" w:rsidR="00830E72" w:rsidRDefault="00D44830"/>
      </w:sdtContent>
    </w:sdt>
    <w:bookmarkEnd w:id="123" w:displacedByCustomXml="next"/>
    <w:bookmarkStart w:id="124" w:name="_Hlk10471390" w:displacedByCustomXml="next"/>
    <w:sdt>
      <w:sdtPr>
        <w:rPr>
          <w:rFonts w:ascii="宋体" w:hAnsi="宋体" w:cs="宋体" w:hint="eastAsia"/>
          <w:b w:val="0"/>
          <w:bCs w:val="0"/>
          <w:kern w:val="0"/>
          <w:szCs w:val="24"/>
        </w:rPr>
        <w:alias w:val="模块:债权投资债权投资情况"/>
        <w:tag w:val="_SEC_949cb4eb7a744418a5a5c6266b7029c9"/>
        <w:id w:val="1200737450"/>
        <w:lock w:val="sdtLocked"/>
        <w:placeholder>
          <w:docPart w:val="GBC22222222222222222222222222222"/>
        </w:placeholder>
      </w:sdtPr>
      <w:sdtEndPr>
        <w:rPr>
          <w:rFonts w:hint="default"/>
        </w:rPr>
      </w:sdtEndPr>
      <w:sdtContent>
        <w:p w14:paraId="0A886B03" w14:textId="77777777" w:rsidR="00830E72" w:rsidRDefault="008344D8">
          <w:pPr>
            <w:pStyle w:val="Style99"/>
            <w:numPr>
              <w:ilvl w:val="0"/>
              <w:numId w:val="45"/>
            </w:numPr>
            <w:tabs>
              <w:tab w:val="left" w:pos="504"/>
            </w:tabs>
            <w:spacing w:after="120"/>
            <w:rPr>
              <w:rFonts w:ascii="宋体" w:hAnsi="宋体"/>
            </w:rPr>
          </w:pPr>
          <w:r>
            <w:rPr>
              <w:rFonts w:ascii="宋体" w:hAnsi="宋体" w:hint="eastAsia"/>
            </w:rPr>
            <w:t>债权投资</w:t>
          </w:r>
        </w:p>
        <w:p w14:paraId="2E7DFD06" w14:textId="77777777" w:rsidR="00830E72" w:rsidRDefault="008344D8">
          <w:pPr>
            <w:pStyle w:val="Style100"/>
            <w:numPr>
              <w:ilvl w:val="3"/>
              <w:numId w:val="53"/>
            </w:numPr>
            <w:ind w:left="426" w:hanging="426"/>
            <w:rPr>
              <w:rFonts w:ascii="宋体" w:hAnsi="宋体"/>
            </w:rPr>
          </w:pPr>
          <w:r>
            <w:rPr>
              <w:rFonts w:ascii="宋体" w:hAnsi="宋体" w:hint="eastAsia"/>
            </w:rPr>
            <w:t>债权投资情况</w:t>
          </w:r>
        </w:p>
        <w:sdt>
          <w:sdtPr>
            <w:alias w:val="是否适用：以摊余成本计量的长期债权投资[双击切换]"/>
            <w:tag w:val="_GBC_22cb0188d98c4d37a97e0c6a9e34e10d"/>
            <w:id w:val="856539524"/>
            <w:lock w:val="sdtContentLocked"/>
            <w:placeholder>
              <w:docPart w:val="GBC22222222222222222222222222222"/>
            </w:placeholder>
          </w:sdtPr>
          <w:sdtEndPr/>
          <w:sdtContent>
            <w:p w14:paraId="3260AC18"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24" w:displacedByCustomXml="next"/>
    <w:bookmarkStart w:id="125" w:name="_Hlk10471440" w:displacedByCustomXml="next"/>
    <w:bookmarkStart w:id="126" w:name="_Hlk10471450" w:displacedByCustomXml="next"/>
    <w:sdt>
      <w:sdtPr>
        <w:rPr>
          <w:rFonts w:ascii="宋体" w:hAnsi="宋体" w:cs="宋体" w:hint="eastAsia"/>
          <w:b w:val="0"/>
          <w:bCs w:val="0"/>
          <w:kern w:val="0"/>
          <w:szCs w:val="24"/>
        </w:rPr>
        <w:alias w:val="模块:期末重要的债权投资"/>
        <w:tag w:val="_SEC_b1d789cc522341caa1c75b1a7b84351c"/>
        <w:id w:val="-1495180614"/>
        <w:lock w:val="sdtLocked"/>
        <w:placeholder>
          <w:docPart w:val="GBC22222222222222222222222222222"/>
        </w:placeholder>
      </w:sdtPr>
      <w:sdtEndPr>
        <w:rPr>
          <w:rFonts w:hint="default"/>
        </w:rPr>
      </w:sdtEndPr>
      <w:sdtContent>
        <w:p w14:paraId="41B6D130" w14:textId="77777777" w:rsidR="00830E72" w:rsidRDefault="008344D8">
          <w:pPr>
            <w:pStyle w:val="Style100"/>
            <w:numPr>
              <w:ilvl w:val="3"/>
              <w:numId w:val="53"/>
            </w:numPr>
            <w:spacing w:after="120"/>
            <w:ind w:left="425" w:hanging="425"/>
            <w:rPr>
              <w:rFonts w:ascii="宋体" w:hAnsi="宋体"/>
            </w:rPr>
          </w:pPr>
          <w:r>
            <w:rPr>
              <w:rFonts w:ascii="宋体" w:hAnsi="宋体" w:hint="eastAsia"/>
            </w:rPr>
            <w:t>期末重要的债权投资</w:t>
          </w:r>
          <w:bookmarkEnd w:id="125"/>
        </w:p>
        <w:sdt>
          <w:sdtPr>
            <w:alias w:val="是否适用：重要的债权投资[双击切换]"/>
            <w:tag w:val="_GBC_0ff84ccc1d234704b93c4e33c0d575ce"/>
            <w:id w:val="1313216429"/>
            <w:lock w:val="sdtContentLocked"/>
            <w:placeholder>
              <w:docPart w:val="GBC22222222222222222222222222222"/>
            </w:placeholder>
          </w:sdtPr>
          <w:sdtEndPr/>
          <w:sdtContent>
            <w:p w14:paraId="1D83E85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26" w:displacedByCustomXml="next"/>
    <w:bookmarkStart w:id="127" w:name="_Hlk10471472" w:displacedByCustomXml="next"/>
    <w:bookmarkEnd w:id="127" w:displacedByCustomXml="next"/>
    <w:bookmarkStart w:id="128" w:name="_Hlk10471485" w:displacedByCustomXml="next"/>
    <w:sdt>
      <w:sdtPr>
        <w:rPr>
          <w:rFonts w:ascii="宋体" w:hAnsi="宋体" w:cs="宋体" w:hint="eastAsia"/>
          <w:b w:val="0"/>
          <w:bCs w:val="0"/>
          <w:kern w:val="0"/>
          <w:szCs w:val="24"/>
        </w:rPr>
        <w:alias w:val="模块:减值准备计提情况"/>
        <w:tag w:val="_SEC_bff86b17d4774a4a9f8a3329635b5429"/>
        <w:id w:val="1541397529"/>
        <w:lock w:val="sdtLocked"/>
        <w:placeholder>
          <w:docPart w:val="GBC22222222222222222222222222222"/>
        </w:placeholder>
      </w:sdtPr>
      <w:sdtEndPr>
        <w:rPr>
          <w:rFonts w:hint="default"/>
        </w:rPr>
      </w:sdtEndPr>
      <w:sdtContent>
        <w:p w14:paraId="68744902" w14:textId="77777777" w:rsidR="00830E72" w:rsidRDefault="008344D8">
          <w:pPr>
            <w:pStyle w:val="4"/>
            <w:numPr>
              <w:ilvl w:val="3"/>
              <w:numId w:val="53"/>
            </w:numPr>
            <w:ind w:left="426" w:hanging="426"/>
            <w:rPr>
              <w:rFonts w:ascii="宋体" w:hAnsi="宋体"/>
            </w:rPr>
          </w:pPr>
          <w:r>
            <w:rPr>
              <w:rFonts w:ascii="宋体" w:hAnsi="宋体" w:cs="宋体" w:hint="eastAsia"/>
              <w:bCs w:val="0"/>
              <w:kern w:val="0"/>
              <w:szCs w:val="24"/>
            </w:rPr>
            <w:t>减值准备计提情况</w:t>
          </w:r>
        </w:p>
        <w:sdt>
          <w:sdtPr>
            <w:alias w:val="是否适用：债权投资减值准备调节表[双击切换]"/>
            <w:tag w:val="_GBC_415a5cd43ad14136b13ac09b150da06f"/>
            <w:id w:val="1895469357"/>
            <w:lock w:val="sdtLocked"/>
          </w:sdtPr>
          <w:sdtEndPr/>
          <w:sdtContent>
            <w:p w14:paraId="5021CCE8" w14:textId="77777777" w:rsidR="00830E72" w:rsidRDefault="008344D8">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14:paraId="3BBED1CC" w14:textId="77777777" w:rsidR="00830E72" w:rsidRDefault="00D44830"/>
      </w:sdtContent>
    </w:sdt>
    <w:bookmarkEnd w:id="128" w:displacedByCustomXml="next"/>
    <w:bookmarkStart w:id="129" w:name="_Hlk10471652" w:displacedByCustomXml="next"/>
    <w:sdt>
      <w:sdtPr>
        <w:rPr>
          <w:rFonts w:ascii="宋体" w:hAnsi="宋体" w:cs="宋体" w:hint="eastAsia"/>
          <w:b w:val="0"/>
          <w:bCs w:val="0"/>
          <w:kern w:val="0"/>
          <w:szCs w:val="21"/>
        </w:rPr>
        <w:alias w:val="模块:其他债权投资"/>
        <w:tag w:val="_SEC_1af1e8e9eab94f10811b4e7aa91aa24d"/>
        <w:id w:val="-1054386790"/>
        <w:lock w:val="sdtLocked"/>
        <w:placeholder>
          <w:docPart w:val="GBC22222222222222222222222222222"/>
        </w:placeholder>
      </w:sdtPr>
      <w:sdtEndPr>
        <w:rPr>
          <w:szCs w:val="24"/>
        </w:rPr>
      </w:sdtEndPr>
      <w:sdtContent>
        <w:p w14:paraId="22836012"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其他债权投资</w:t>
          </w:r>
        </w:p>
        <w:p w14:paraId="250947AA" w14:textId="77777777" w:rsidR="00830E72" w:rsidRDefault="008344D8">
          <w:pPr>
            <w:pStyle w:val="Style100"/>
            <w:numPr>
              <w:ilvl w:val="3"/>
              <w:numId w:val="54"/>
            </w:numPr>
            <w:ind w:left="426" w:hanging="426"/>
            <w:rPr>
              <w:rFonts w:ascii="宋体" w:hAnsi="宋体"/>
            </w:rPr>
          </w:pPr>
          <w:r>
            <w:rPr>
              <w:rFonts w:ascii="宋体" w:hAnsi="宋体" w:hint="eastAsia"/>
            </w:rPr>
            <w:t>其他债权投资情况</w:t>
          </w:r>
        </w:p>
        <w:sdt>
          <w:sdtPr>
            <w:alias w:val="是否适用：其他债权投资情况[双击切换]"/>
            <w:tag w:val="_GBC_a2d99fd3a665497694c6ad6801c54a4f"/>
            <w:id w:val="-524088046"/>
            <w:lock w:val="sdtContentLocked"/>
            <w:placeholder>
              <w:docPart w:val="GBC22222222222222222222222222222"/>
            </w:placeholder>
          </w:sdtPr>
          <w:sdtEndPr/>
          <w:sdtContent>
            <w:p w14:paraId="700F1647" w14:textId="77777777" w:rsidR="00830E72" w:rsidRDefault="008344D8">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29" w:displacedByCustomXml="next"/>
    <w:bookmarkStart w:id="130" w:name="_Hlk10471670" w:displacedByCustomXml="next"/>
    <w:bookmarkStart w:id="131" w:name="_Hlk10471680" w:displacedByCustomXml="next"/>
    <w:sdt>
      <w:sdtPr>
        <w:rPr>
          <w:rFonts w:ascii="宋体" w:hAnsi="宋体" w:cs="宋体" w:hint="eastAsia"/>
          <w:b w:val="0"/>
          <w:bCs w:val="0"/>
          <w:kern w:val="0"/>
          <w:szCs w:val="24"/>
        </w:rPr>
        <w:alias w:val="模块:期末重要的其他债权投资"/>
        <w:tag w:val="_SEC_052112d020944ec8b923dd106b2a0cbf"/>
        <w:id w:val="928711038"/>
        <w:lock w:val="sdtLocked"/>
        <w:placeholder>
          <w:docPart w:val="GBC22222222222222222222222222222"/>
        </w:placeholder>
      </w:sdtPr>
      <w:sdtEndPr>
        <w:rPr>
          <w:rFonts w:hint="default"/>
          <w:szCs w:val="21"/>
        </w:rPr>
      </w:sdtEndPr>
      <w:sdtContent>
        <w:p w14:paraId="0DD6939D" w14:textId="77777777" w:rsidR="00830E72" w:rsidRDefault="008344D8">
          <w:pPr>
            <w:pStyle w:val="Style100"/>
            <w:numPr>
              <w:ilvl w:val="3"/>
              <w:numId w:val="54"/>
            </w:numPr>
            <w:ind w:left="426" w:hanging="426"/>
            <w:rPr>
              <w:rFonts w:ascii="宋体" w:hAnsi="宋体"/>
            </w:rPr>
          </w:pPr>
          <w:r>
            <w:rPr>
              <w:rFonts w:ascii="宋体" w:hAnsi="宋体" w:hint="eastAsia"/>
            </w:rPr>
            <w:t>期末重要的其他债权投资</w:t>
          </w:r>
          <w:bookmarkEnd w:id="130"/>
        </w:p>
        <w:sdt>
          <w:sdtPr>
            <w:alias w:val="是否适用：重要的其他债权投资[双击切换]"/>
            <w:tag w:val="_GBC_e8808db892544b1ead740cddc4156455"/>
            <w:id w:val="-1991082656"/>
            <w:lock w:val="sdtContentLocked"/>
            <w:placeholder>
              <w:docPart w:val="GBC22222222222222222222222222222"/>
            </w:placeholder>
          </w:sdtPr>
          <w:sdtEndPr/>
          <w:sdtContent>
            <w:p w14:paraId="7BE99E36" w14:textId="77777777" w:rsidR="00830E72" w:rsidRDefault="008344D8">
              <w:pPr>
                <w:ind w:right="210"/>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31" w:displacedByCustomXml="next"/>
    <w:bookmarkStart w:id="132" w:name="_Hlk10471703" w:displacedByCustomXml="next"/>
    <w:bookmarkStart w:id="133" w:name="_Hlk533848073" w:displacedByCustomXml="next"/>
    <w:bookmarkStart w:id="134" w:name="_Hlk10471716" w:displacedByCustomXml="next"/>
    <w:sdt>
      <w:sdtPr>
        <w:rPr>
          <w:rFonts w:ascii="宋体" w:hAnsi="宋体" w:cs="宋体" w:hint="eastAsia"/>
          <w:b w:val="0"/>
          <w:bCs w:val="0"/>
          <w:kern w:val="0"/>
          <w:szCs w:val="24"/>
        </w:rPr>
        <w:alias w:val="模块:减值准备计提情况"/>
        <w:tag w:val="_SEC_a18c2d8250c64daf904816a57fe286bd"/>
        <w:id w:val="1123819340"/>
        <w:lock w:val="sdtLocked"/>
        <w:placeholder>
          <w:docPart w:val="GBC22222222222222222222222222222"/>
        </w:placeholder>
      </w:sdtPr>
      <w:sdtEndPr>
        <w:rPr>
          <w:rFonts w:hint="default"/>
          <w:szCs w:val="21"/>
        </w:rPr>
      </w:sdtEndPr>
      <w:sdtContent>
        <w:p w14:paraId="4C6775F4" w14:textId="77777777" w:rsidR="00830E72" w:rsidRDefault="008344D8">
          <w:pPr>
            <w:pStyle w:val="Style100"/>
            <w:numPr>
              <w:ilvl w:val="3"/>
              <w:numId w:val="54"/>
            </w:numPr>
            <w:ind w:left="426" w:hanging="426"/>
            <w:rPr>
              <w:rFonts w:ascii="宋体" w:hAnsi="宋体"/>
            </w:rPr>
          </w:pPr>
          <w:r>
            <w:rPr>
              <w:rFonts w:ascii="宋体" w:hAnsi="宋体" w:cs="宋体" w:hint="eastAsia"/>
              <w:bCs w:val="0"/>
              <w:kern w:val="0"/>
              <w:szCs w:val="24"/>
            </w:rPr>
            <w:t>减值准备计提情况</w:t>
          </w:r>
          <w:bookmarkEnd w:id="132"/>
        </w:p>
        <w:sdt>
          <w:sdtPr>
            <w:alias w:val="是否适用：其他债权投资减值准备调节表[双击切换]"/>
            <w:tag w:val="_GBC_038e4a0a4815442e91a9309c128001c1"/>
            <w:id w:val="-2054602703"/>
            <w:lock w:val="sdtContentLocked"/>
            <w:placeholder>
              <w:docPart w:val="GBC22222222222222222222222222222"/>
            </w:placeholder>
          </w:sdtPr>
          <w:sdtEndPr/>
          <w:sdtContent>
            <w:p w14:paraId="3824E0B1"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33" w:displacedByCustomXml="next"/>
    <w:bookmarkEnd w:id="134" w:displacedByCustomXml="next"/>
    <w:bookmarkStart w:id="135" w:name="_Hlk533848097" w:displacedByCustomXml="next"/>
    <w:bookmarkStart w:id="136" w:name="_Hlk10471761" w:displacedByCustomXml="next"/>
    <w:sdt>
      <w:sdtPr>
        <w:rPr>
          <w:rFonts w:hint="eastAsia"/>
        </w:rPr>
        <w:alias w:val="模块:其他说明："/>
        <w:tag w:val="_SEC_a6d7d62dd24747a08e0a132cf37e100c"/>
        <w:id w:val="1263344668"/>
        <w:lock w:val="sdtLocked"/>
        <w:placeholder>
          <w:docPart w:val="GBC22222222222222222222222222222"/>
        </w:placeholder>
      </w:sdtPr>
      <w:sdtEndPr>
        <w:rPr>
          <w:rFonts w:hint="default"/>
          <w:szCs w:val="21"/>
        </w:rPr>
      </w:sdtEndPr>
      <w:sdtContent>
        <w:p w14:paraId="79CCB1FA" w14:textId="77777777" w:rsidR="00830E72" w:rsidRDefault="008344D8">
          <w:r>
            <w:rPr>
              <w:rFonts w:hint="eastAsia"/>
            </w:rPr>
            <w:t>其他说明：</w:t>
          </w:r>
          <w:bookmarkEnd w:id="135"/>
        </w:p>
        <w:sdt>
          <w:sdtPr>
            <w:alias w:val="是否适用：其他债权投资其他说明[双击切换]"/>
            <w:tag w:val="_GBC_e37f3e78626b4cd0ad52d68ae2fcdecb"/>
            <w:id w:val="-199636517"/>
            <w:lock w:val="sdtContentLocked"/>
            <w:placeholder>
              <w:docPart w:val="GBC22222222222222222222222222222"/>
            </w:placeholder>
          </w:sdtPr>
          <w:sdtEndPr/>
          <w:sdtContent>
            <w:p w14:paraId="3CD4AF31"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36"/>
    <w:p w14:paraId="4651CFE1" w14:textId="77777777" w:rsidR="00830E72" w:rsidRDefault="008344D8">
      <w:pPr>
        <w:pStyle w:val="Style99"/>
        <w:numPr>
          <w:ilvl w:val="0"/>
          <w:numId w:val="45"/>
        </w:numPr>
        <w:tabs>
          <w:tab w:val="left" w:pos="504"/>
        </w:tabs>
        <w:spacing w:before="240"/>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GBC_2642a454002a499399e1b643b91ef1ad"/>
        <w:id w:val="-641426296"/>
        <w:lock w:val="sdtLocked"/>
        <w:placeholder>
          <w:docPart w:val="GBC22222222222222222222222222222"/>
        </w:placeholder>
      </w:sdtPr>
      <w:sdtEndPr>
        <w:rPr>
          <w:rFonts w:hint="default"/>
          <w:color w:val="FF0000"/>
          <w:szCs w:val="21"/>
        </w:rPr>
      </w:sdtEndPr>
      <w:sdtContent>
        <w:p w14:paraId="4BA0C5DA" w14:textId="77777777" w:rsidR="00830E72" w:rsidRDefault="008344D8">
          <w:pPr>
            <w:pStyle w:val="Style100"/>
            <w:numPr>
              <w:ilvl w:val="0"/>
              <w:numId w:val="55"/>
            </w:numPr>
            <w:rPr>
              <w:rFonts w:ascii="宋体" w:hAnsi="宋体"/>
            </w:rPr>
          </w:pPr>
          <w:r>
            <w:rPr>
              <w:rFonts w:ascii="宋体" w:hAnsi="宋体" w:hint="eastAsia"/>
            </w:rPr>
            <w:t>长期应收款情况</w:t>
          </w:r>
        </w:p>
        <w:sdt>
          <w:sdtPr>
            <w:alias w:val="是否适用：长期应收款情况[双击切换]"/>
            <w:tag w:val="_GBC_03ba5a75d6d541f4a60fba2b18c9d548"/>
            <w:id w:val="-1103341165"/>
            <w:lock w:val="sdtContentLocked"/>
            <w:placeholder>
              <w:docPart w:val="GBC22222222222222222222222222222"/>
            </w:placeholder>
          </w:sdtPr>
          <w:sdtEndPr/>
          <w:sdtContent>
            <w:p w14:paraId="71D3113C"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9493138" w14:textId="77777777" w:rsidR="00830E72" w:rsidRDefault="008344D8">
          <w:pPr>
            <w:jc w:val="right"/>
            <w:rPr>
              <w:szCs w:val="21"/>
            </w:rPr>
          </w:pPr>
          <w:r>
            <w:rPr>
              <w:rFonts w:hint="eastAsia"/>
              <w:szCs w:val="21"/>
            </w:rPr>
            <w:t>单位：</w:t>
          </w:r>
          <w:sdt>
            <w:sdtPr>
              <w:rPr>
                <w:rFonts w:hint="eastAsia"/>
                <w:szCs w:val="21"/>
              </w:rPr>
              <w:alias w:val="单位：财务附注：长期应收款"/>
              <w:tag w:val="_GBC_95baf3ea634a4a60970b09906c240d55"/>
              <w:id w:val="2399138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应收款"/>
              <w:tag w:val="_GBC_fe21d7e81e5548d09e30637bd81155e1"/>
              <w:id w:val="18869170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1770"/>
            <w:gridCol w:w="1499"/>
            <w:gridCol w:w="1770"/>
            <w:gridCol w:w="1558"/>
            <w:gridCol w:w="1437"/>
            <w:gridCol w:w="1558"/>
            <w:gridCol w:w="1347"/>
          </w:tblGrid>
          <w:tr w:rsidR="00830E72" w14:paraId="321623FA" w14:textId="77777777">
            <w:sdt>
              <w:sdtPr>
                <w:tag w:val="_PLD_8e80648375054a09a15bfc6f9a7fb093"/>
                <w:id w:val="2089876148"/>
                <w:lock w:val="sdtLocked"/>
              </w:sdtPr>
              <w:sdtEndPr/>
              <w:sdtContent>
                <w:tc>
                  <w:tcPr>
                    <w:tcW w:w="1118" w:type="pct"/>
                    <w:vMerge w:val="restart"/>
                    <w:tcBorders>
                      <w:top w:val="single" w:sz="4" w:space="0" w:color="auto"/>
                      <w:left w:val="single" w:sz="4" w:space="0" w:color="auto"/>
                      <w:right w:val="single" w:sz="4" w:space="0" w:color="auto"/>
                    </w:tcBorders>
                    <w:shd w:val="clear" w:color="auto" w:fill="auto"/>
                    <w:vAlign w:val="center"/>
                  </w:tcPr>
                  <w:p w14:paraId="17F20617" w14:textId="77777777" w:rsidR="00830E72" w:rsidRDefault="008344D8">
                    <w:pPr>
                      <w:jc w:val="center"/>
                      <w:rPr>
                        <w:szCs w:val="21"/>
                      </w:rPr>
                    </w:pPr>
                    <w:r>
                      <w:rPr>
                        <w:rFonts w:hint="eastAsia"/>
                        <w:szCs w:val="21"/>
                      </w:rPr>
                      <w:t>项目</w:t>
                    </w:r>
                  </w:p>
                </w:tc>
              </w:sdtContent>
            </w:sdt>
            <w:sdt>
              <w:sdtPr>
                <w:tag w:val="_PLD_e9a93d1c2d6847be992e152b686ed22d"/>
                <w:id w:val="1738900659"/>
                <w:lock w:val="sdtLocked"/>
              </w:sdtPr>
              <w:sdtEndPr/>
              <w:sdtContent>
                <w:tc>
                  <w:tcPr>
                    <w:tcW w:w="17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E0648A" w14:textId="77777777" w:rsidR="00830E72" w:rsidRDefault="008344D8">
                    <w:pPr>
                      <w:jc w:val="center"/>
                      <w:rPr>
                        <w:szCs w:val="21"/>
                      </w:rPr>
                    </w:pPr>
                    <w:r>
                      <w:rPr>
                        <w:rFonts w:hint="eastAsia"/>
                        <w:szCs w:val="21"/>
                      </w:rPr>
                      <w:t>期末余额</w:t>
                    </w:r>
                  </w:p>
                </w:tc>
              </w:sdtContent>
            </w:sdt>
            <w:sdt>
              <w:sdtPr>
                <w:tag w:val="_PLD_f41f953b597d46848a98bb222c5ebb8e"/>
                <w:id w:val="1266414037"/>
                <w:lock w:val="sdtLocked"/>
              </w:sdtPr>
              <w:sdtEndPr/>
              <w:sdtContent>
                <w:tc>
                  <w:tcPr>
                    <w:tcW w:w="161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7DE736" w14:textId="77777777" w:rsidR="00830E72" w:rsidRDefault="008344D8">
                    <w:pPr>
                      <w:jc w:val="center"/>
                      <w:rPr>
                        <w:szCs w:val="21"/>
                      </w:rPr>
                    </w:pPr>
                    <w:r>
                      <w:rPr>
                        <w:rFonts w:hint="eastAsia"/>
                        <w:szCs w:val="21"/>
                      </w:rPr>
                      <w:t>期初余额</w:t>
                    </w:r>
                  </w:p>
                </w:tc>
              </w:sdtContent>
            </w:sdt>
            <w:sdt>
              <w:sdtPr>
                <w:tag w:val="_PLD_e23d00708e6c434eac89cf07e5b896e2"/>
                <w:id w:val="-1353029330"/>
                <w:lock w:val="sdtLocked"/>
              </w:sdtPr>
              <w:sdtEndPr/>
              <w:sdtContent>
                <w:tc>
                  <w:tcPr>
                    <w:tcW w:w="478" w:type="pct"/>
                    <w:vMerge w:val="restart"/>
                    <w:tcBorders>
                      <w:top w:val="single" w:sz="4" w:space="0" w:color="auto"/>
                      <w:left w:val="single" w:sz="4" w:space="0" w:color="auto"/>
                      <w:right w:val="single" w:sz="4" w:space="0" w:color="auto"/>
                    </w:tcBorders>
                    <w:shd w:val="clear" w:color="auto" w:fill="auto"/>
                    <w:vAlign w:val="center"/>
                  </w:tcPr>
                  <w:p w14:paraId="721BDDBA" w14:textId="77777777" w:rsidR="00830E72" w:rsidRDefault="008344D8">
                    <w:pPr>
                      <w:jc w:val="center"/>
                      <w:rPr>
                        <w:szCs w:val="21"/>
                      </w:rPr>
                    </w:pPr>
                    <w:r>
                      <w:rPr>
                        <w:rFonts w:hint="eastAsia"/>
                        <w:szCs w:val="21"/>
                      </w:rPr>
                      <w:t>折现率区间</w:t>
                    </w:r>
                  </w:p>
                </w:tc>
              </w:sdtContent>
            </w:sdt>
          </w:tr>
          <w:tr w:rsidR="00830E72" w14:paraId="341E6882"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18" w:type="pct"/>
                <w:vMerge/>
                <w:tcBorders>
                  <w:left w:val="single" w:sz="4" w:space="0" w:color="auto"/>
                  <w:bottom w:val="single" w:sz="6" w:space="0" w:color="auto"/>
                  <w:right w:val="single" w:sz="4" w:space="0" w:color="auto"/>
                </w:tcBorders>
                <w:shd w:val="clear" w:color="auto" w:fill="auto"/>
                <w:vAlign w:val="center"/>
              </w:tcPr>
              <w:p w14:paraId="166F0DF5" w14:textId="77777777" w:rsidR="00830E72" w:rsidRDefault="00830E72">
                <w:pPr>
                  <w:jc w:val="center"/>
                  <w:rPr>
                    <w:szCs w:val="21"/>
                  </w:rPr>
                </w:pPr>
              </w:p>
            </w:tc>
            <w:sdt>
              <w:sdtPr>
                <w:tag w:val="_PLD_93de35b749ff4ac9a6b3c5ec236ed585"/>
                <w:id w:val="-1259521508"/>
                <w:lock w:val="sdtLocked"/>
              </w:sdtPr>
              <w:sdtEndPr/>
              <w:sdtContent>
                <w:tc>
                  <w:tcPr>
                    <w:tcW w:w="628" w:type="pct"/>
                    <w:tcBorders>
                      <w:left w:val="single" w:sz="4" w:space="0" w:color="auto"/>
                      <w:bottom w:val="single" w:sz="6" w:space="0" w:color="auto"/>
                    </w:tcBorders>
                    <w:shd w:val="clear" w:color="auto" w:fill="auto"/>
                    <w:vAlign w:val="center"/>
                  </w:tcPr>
                  <w:p w14:paraId="3D772534" w14:textId="77777777" w:rsidR="00830E72" w:rsidRDefault="008344D8">
                    <w:pPr>
                      <w:jc w:val="center"/>
                      <w:rPr>
                        <w:szCs w:val="21"/>
                      </w:rPr>
                    </w:pPr>
                    <w:r>
                      <w:rPr>
                        <w:rFonts w:hint="eastAsia"/>
                        <w:szCs w:val="21"/>
                      </w:rPr>
                      <w:t>账面余额</w:t>
                    </w:r>
                  </w:p>
                </w:tc>
              </w:sdtContent>
            </w:sdt>
            <w:sdt>
              <w:sdtPr>
                <w:tag w:val="_PLD_eccd0387c0f24fa5a972b6cd6e1d4d30"/>
                <w:id w:val="-2077269632"/>
                <w:lock w:val="sdtLocked"/>
              </w:sdtPr>
              <w:sdtEndPr/>
              <w:sdtContent>
                <w:tc>
                  <w:tcPr>
                    <w:tcW w:w="532" w:type="pct"/>
                    <w:tcBorders>
                      <w:bottom w:val="single" w:sz="6" w:space="0" w:color="auto"/>
                    </w:tcBorders>
                    <w:shd w:val="clear" w:color="auto" w:fill="auto"/>
                    <w:vAlign w:val="center"/>
                  </w:tcPr>
                  <w:p w14:paraId="1EDB1462" w14:textId="77777777" w:rsidR="00830E72" w:rsidRDefault="008344D8">
                    <w:pPr>
                      <w:jc w:val="center"/>
                      <w:rPr>
                        <w:szCs w:val="21"/>
                      </w:rPr>
                    </w:pPr>
                    <w:r>
                      <w:rPr>
                        <w:rFonts w:hint="eastAsia"/>
                        <w:szCs w:val="21"/>
                      </w:rPr>
                      <w:t>坏账准备</w:t>
                    </w:r>
                  </w:p>
                </w:tc>
              </w:sdtContent>
            </w:sdt>
            <w:sdt>
              <w:sdtPr>
                <w:tag w:val="_PLD_9016cddeb6f34d55a584d277237a8ac1"/>
                <w:id w:val="1491141495"/>
                <w:lock w:val="sdtLocked"/>
              </w:sdtPr>
              <w:sdtEndPr/>
              <w:sdtContent>
                <w:tc>
                  <w:tcPr>
                    <w:tcW w:w="628" w:type="pct"/>
                    <w:tcBorders>
                      <w:bottom w:val="single" w:sz="6" w:space="0" w:color="auto"/>
                    </w:tcBorders>
                    <w:shd w:val="clear" w:color="auto" w:fill="auto"/>
                    <w:vAlign w:val="center"/>
                  </w:tcPr>
                  <w:p w14:paraId="55A9BAEF" w14:textId="77777777" w:rsidR="00830E72" w:rsidRDefault="008344D8">
                    <w:pPr>
                      <w:jc w:val="center"/>
                      <w:rPr>
                        <w:szCs w:val="21"/>
                      </w:rPr>
                    </w:pPr>
                    <w:r>
                      <w:rPr>
                        <w:rFonts w:hint="eastAsia"/>
                        <w:szCs w:val="21"/>
                      </w:rPr>
                      <w:t>账面价值</w:t>
                    </w:r>
                  </w:p>
                </w:tc>
              </w:sdtContent>
            </w:sdt>
            <w:sdt>
              <w:sdtPr>
                <w:tag w:val="_PLD_db7d979714524efcab7433361aaac461"/>
                <w:id w:val="-617297576"/>
                <w:lock w:val="sdtLocked"/>
              </w:sdtPr>
              <w:sdtEndPr/>
              <w:sdtContent>
                <w:tc>
                  <w:tcPr>
                    <w:tcW w:w="553" w:type="pct"/>
                    <w:tcBorders>
                      <w:bottom w:val="single" w:sz="6" w:space="0" w:color="auto"/>
                    </w:tcBorders>
                    <w:shd w:val="clear" w:color="auto" w:fill="auto"/>
                    <w:vAlign w:val="center"/>
                  </w:tcPr>
                  <w:p w14:paraId="6B7539AA" w14:textId="77777777" w:rsidR="00830E72" w:rsidRDefault="008344D8">
                    <w:pPr>
                      <w:jc w:val="center"/>
                      <w:rPr>
                        <w:szCs w:val="21"/>
                      </w:rPr>
                    </w:pPr>
                    <w:r>
                      <w:rPr>
                        <w:rFonts w:hint="eastAsia"/>
                        <w:szCs w:val="21"/>
                      </w:rPr>
                      <w:t>账面余额</w:t>
                    </w:r>
                  </w:p>
                </w:tc>
              </w:sdtContent>
            </w:sdt>
            <w:sdt>
              <w:sdtPr>
                <w:tag w:val="_PLD_395cf962072c462fb83f42db9e225402"/>
                <w:id w:val="-798688043"/>
                <w:lock w:val="sdtLocked"/>
              </w:sdtPr>
              <w:sdtEndPr/>
              <w:sdtContent>
                <w:tc>
                  <w:tcPr>
                    <w:tcW w:w="510" w:type="pct"/>
                    <w:tcBorders>
                      <w:bottom w:val="single" w:sz="6" w:space="0" w:color="auto"/>
                    </w:tcBorders>
                    <w:shd w:val="clear" w:color="auto" w:fill="auto"/>
                    <w:vAlign w:val="center"/>
                  </w:tcPr>
                  <w:p w14:paraId="0B321C9B" w14:textId="77777777" w:rsidR="00830E72" w:rsidRDefault="008344D8">
                    <w:pPr>
                      <w:jc w:val="center"/>
                      <w:rPr>
                        <w:szCs w:val="21"/>
                      </w:rPr>
                    </w:pPr>
                    <w:r>
                      <w:rPr>
                        <w:rFonts w:hint="eastAsia"/>
                        <w:szCs w:val="21"/>
                      </w:rPr>
                      <w:t>坏账准备</w:t>
                    </w:r>
                  </w:p>
                </w:tc>
              </w:sdtContent>
            </w:sdt>
            <w:sdt>
              <w:sdtPr>
                <w:tag w:val="_PLD_505b96d943e341af8e22763be8ab91c7"/>
                <w:id w:val="1804424015"/>
                <w:lock w:val="sdtLocked"/>
              </w:sdtPr>
              <w:sdtEndPr/>
              <w:sdtContent>
                <w:tc>
                  <w:tcPr>
                    <w:tcW w:w="553" w:type="pct"/>
                    <w:tcBorders>
                      <w:bottom w:val="single" w:sz="6" w:space="0" w:color="auto"/>
                      <w:right w:val="single" w:sz="4" w:space="0" w:color="auto"/>
                    </w:tcBorders>
                    <w:shd w:val="clear" w:color="auto" w:fill="auto"/>
                    <w:vAlign w:val="center"/>
                  </w:tcPr>
                  <w:p w14:paraId="1C8024E0" w14:textId="77777777" w:rsidR="00830E72" w:rsidRDefault="008344D8">
                    <w:pPr>
                      <w:jc w:val="center"/>
                      <w:rPr>
                        <w:szCs w:val="21"/>
                      </w:rPr>
                    </w:pPr>
                    <w:r>
                      <w:rPr>
                        <w:rFonts w:hint="eastAsia"/>
                        <w:szCs w:val="21"/>
                      </w:rPr>
                      <w:t>账面价值</w:t>
                    </w:r>
                  </w:p>
                </w:tc>
              </w:sdtContent>
            </w:sdt>
            <w:tc>
              <w:tcPr>
                <w:tcW w:w="478" w:type="pct"/>
                <w:vMerge/>
                <w:tcBorders>
                  <w:left w:val="single" w:sz="4" w:space="0" w:color="auto"/>
                  <w:bottom w:val="single" w:sz="6" w:space="0" w:color="auto"/>
                  <w:right w:val="single" w:sz="4" w:space="0" w:color="auto"/>
                </w:tcBorders>
                <w:shd w:val="clear" w:color="auto" w:fill="auto"/>
              </w:tcPr>
              <w:p w14:paraId="7B13728C" w14:textId="77777777" w:rsidR="00830E72" w:rsidRDefault="00830E72">
                <w:pPr>
                  <w:jc w:val="center"/>
                  <w:rPr>
                    <w:szCs w:val="21"/>
                  </w:rPr>
                </w:pPr>
              </w:p>
            </w:tc>
          </w:tr>
          <w:tr w:rsidR="00830E72" w14:paraId="6A82D127"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47e3b848af3a4fd8a34593f844419d02"/>
                <w:id w:val="-578751314"/>
                <w:lock w:val="sdtLocked"/>
              </w:sdtPr>
              <w:sdtEndPr/>
              <w:sdtContent>
                <w:tc>
                  <w:tcPr>
                    <w:tcW w:w="1118" w:type="pct"/>
                    <w:tcBorders>
                      <w:bottom w:val="single" w:sz="6" w:space="0" w:color="auto"/>
                    </w:tcBorders>
                    <w:shd w:val="clear" w:color="auto" w:fill="auto"/>
                  </w:tcPr>
                  <w:p w14:paraId="0D9C229D" w14:textId="77777777" w:rsidR="00830E72" w:rsidRDefault="008344D8">
                    <w:pPr>
                      <w:rPr>
                        <w:szCs w:val="21"/>
                      </w:rPr>
                    </w:pPr>
                    <w:r>
                      <w:rPr>
                        <w:rFonts w:hint="eastAsia"/>
                        <w:szCs w:val="21"/>
                      </w:rPr>
                      <w:t>分期收款提供劳务</w:t>
                    </w:r>
                  </w:p>
                </w:tc>
              </w:sdtContent>
            </w:sdt>
            <w:tc>
              <w:tcPr>
                <w:tcW w:w="628" w:type="pct"/>
                <w:shd w:val="clear" w:color="auto" w:fill="auto"/>
              </w:tcPr>
              <w:p w14:paraId="39E89D47" w14:textId="77777777" w:rsidR="00830E72" w:rsidRDefault="008344D8">
                <w:pPr>
                  <w:jc w:val="right"/>
                  <w:rPr>
                    <w:szCs w:val="21"/>
                  </w:rPr>
                </w:pPr>
                <w:r>
                  <w:rPr>
                    <w:szCs w:val="21"/>
                  </w:rPr>
                  <w:t>1,188,622,502.17</w:t>
                </w:r>
              </w:p>
            </w:tc>
            <w:tc>
              <w:tcPr>
                <w:tcW w:w="532" w:type="pct"/>
                <w:shd w:val="clear" w:color="auto" w:fill="auto"/>
              </w:tcPr>
              <w:p w14:paraId="2BE68822" w14:textId="77777777" w:rsidR="00830E72" w:rsidRDefault="008344D8">
                <w:pPr>
                  <w:jc w:val="right"/>
                  <w:rPr>
                    <w:szCs w:val="21"/>
                  </w:rPr>
                </w:pPr>
                <w:r>
                  <w:rPr>
                    <w:szCs w:val="21"/>
                  </w:rPr>
                  <w:t>8,278,564.51</w:t>
                </w:r>
              </w:p>
            </w:tc>
            <w:tc>
              <w:tcPr>
                <w:tcW w:w="628" w:type="pct"/>
                <w:shd w:val="clear" w:color="auto" w:fill="auto"/>
              </w:tcPr>
              <w:p w14:paraId="460143F0" w14:textId="77777777" w:rsidR="00830E72" w:rsidRDefault="008344D8">
                <w:pPr>
                  <w:jc w:val="right"/>
                  <w:rPr>
                    <w:szCs w:val="21"/>
                  </w:rPr>
                </w:pPr>
                <w:r>
                  <w:rPr>
                    <w:szCs w:val="21"/>
                  </w:rPr>
                  <w:t>1,180,343,937.66</w:t>
                </w:r>
              </w:p>
            </w:tc>
            <w:tc>
              <w:tcPr>
                <w:tcW w:w="553" w:type="pct"/>
                <w:shd w:val="clear" w:color="auto" w:fill="auto"/>
              </w:tcPr>
              <w:p w14:paraId="399821E2" w14:textId="77777777" w:rsidR="00830E72" w:rsidRDefault="008344D8">
                <w:pPr>
                  <w:jc w:val="right"/>
                  <w:rPr>
                    <w:szCs w:val="21"/>
                  </w:rPr>
                </w:pPr>
                <w:r>
                  <w:rPr>
                    <w:szCs w:val="21"/>
                  </w:rPr>
                  <w:t>809,488,768.98</w:t>
                </w:r>
              </w:p>
            </w:tc>
            <w:tc>
              <w:tcPr>
                <w:tcW w:w="510" w:type="pct"/>
                <w:shd w:val="clear" w:color="auto" w:fill="auto"/>
              </w:tcPr>
              <w:p w14:paraId="1C58B0D2" w14:textId="77777777" w:rsidR="00830E72" w:rsidRDefault="008344D8">
                <w:pPr>
                  <w:jc w:val="right"/>
                  <w:rPr>
                    <w:szCs w:val="21"/>
                  </w:rPr>
                </w:pPr>
                <w:r>
                  <w:rPr>
                    <w:szCs w:val="21"/>
                  </w:rPr>
                  <w:t>6,534,618.12</w:t>
                </w:r>
              </w:p>
            </w:tc>
            <w:tc>
              <w:tcPr>
                <w:tcW w:w="553" w:type="pct"/>
                <w:tcBorders>
                  <w:right w:val="single" w:sz="4" w:space="0" w:color="auto"/>
                </w:tcBorders>
                <w:shd w:val="clear" w:color="auto" w:fill="auto"/>
              </w:tcPr>
              <w:p w14:paraId="11843A57" w14:textId="77777777" w:rsidR="00830E72" w:rsidRDefault="008344D8">
                <w:pPr>
                  <w:jc w:val="right"/>
                  <w:rPr>
                    <w:szCs w:val="21"/>
                  </w:rPr>
                </w:pPr>
                <w:r>
                  <w:rPr>
                    <w:szCs w:val="21"/>
                  </w:rPr>
                  <w:t>802,954,150.86</w:t>
                </w:r>
              </w:p>
            </w:tc>
            <w:tc>
              <w:tcPr>
                <w:tcW w:w="478" w:type="pct"/>
                <w:tcBorders>
                  <w:left w:val="single" w:sz="4" w:space="0" w:color="auto"/>
                </w:tcBorders>
                <w:shd w:val="clear" w:color="auto" w:fill="auto"/>
              </w:tcPr>
              <w:p w14:paraId="18BECB1D" w14:textId="77777777" w:rsidR="00830E72" w:rsidRDefault="008344D8">
                <w:pPr>
                  <w:rPr>
                    <w:szCs w:val="21"/>
                  </w:rPr>
                </w:pPr>
                <w:r>
                  <w:rPr>
                    <w:szCs w:val="21"/>
                  </w:rPr>
                  <w:t>4.75%~6.15%</w:t>
                </w:r>
              </w:p>
            </w:tc>
          </w:tr>
          <w:tr w:rsidR="00830E72" w14:paraId="6994262A"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8bf46c35ccf64076b70a8027cfc753dc"/>
                <w:id w:val="1922139966"/>
                <w:lock w:val="sdtLocked"/>
              </w:sdtPr>
              <w:sdtEndPr/>
              <w:sdtContent>
                <w:tc>
                  <w:tcPr>
                    <w:tcW w:w="1118" w:type="pct"/>
                    <w:shd w:val="clear" w:color="auto" w:fill="auto"/>
                    <w:vAlign w:val="center"/>
                  </w:tcPr>
                  <w:p w14:paraId="379EB928" w14:textId="77777777" w:rsidR="00830E72" w:rsidRDefault="008344D8">
                    <w:pPr>
                      <w:jc w:val="center"/>
                      <w:rPr>
                        <w:szCs w:val="21"/>
                      </w:rPr>
                    </w:pPr>
                    <w:r>
                      <w:rPr>
                        <w:rFonts w:hint="eastAsia"/>
                        <w:szCs w:val="21"/>
                      </w:rPr>
                      <w:t>合计</w:t>
                    </w:r>
                  </w:p>
                </w:tc>
              </w:sdtContent>
            </w:sdt>
            <w:tc>
              <w:tcPr>
                <w:tcW w:w="628" w:type="pct"/>
                <w:shd w:val="clear" w:color="auto" w:fill="auto"/>
              </w:tcPr>
              <w:p w14:paraId="5F321443" w14:textId="77777777" w:rsidR="00830E72" w:rsidRDefault="008344D8">
                <w:pPr>
                  <w:jc w:val="right"/>
                  <w:rPr>
                    <w:szCs w:val="21"/>
                  </w:rPr>
                </w:pPr>
                <w:r>
                  <w:rPr>
                    <w:szCs w:val="21"/>
                  </w:rPr>
                  <w:t>1,188,622,502.17</w:t>
                </w:r>
              </w:p>
            </w:tc>
            <w:tc>
              <w:tcPr>
                <w:tcW w:w="532" w:type="pct"/>
                <w:shd w:val="clear" w:color="auto" w:fill="auto"/>
              </w:tcPr>
              <w:p w14:paraId="1F403B4A" w14:textId="77777777" w:rsidR="00830E72" w:rsidRDefault="008344D8">
                <w:pPr>
                  <w:jc w:val="right"/>
                  <w:rPr>
                    <w:szCs w:val="21"/>
                  </w:rPr>
                </w:pPr>
                <w:r>
                  <w:rPr>
                    <w:szCs w:val="21"/>
                  </w:rPr>
                  <w:t>8,278,564.51</w:t>
                </w:r>
              </w:p>
            </w:tc>
            <w:tc>
              <w:tcPr>
                <w:tcW w:w="628" w:type="pct"/>
                <w:shd w:val="clear" w:color="auto" w:fill="auto"/>
              </w:tcPr>
              <w:p w14:paraId="7E2F3D67" w14:textId="77777777" w:rsidR="00830E72" w:rsidRDefault="008344D8">
                <w:pPr>
                  <w:jc w:val="right"/>
                  <w:rPr>
                    <w:szCs w:val="21"/>
                  </w:rPr>
                </w:pPr>
                <w:r>
                  <w:rPr>
                    <w:szCs w:val="21"/>
                  </w:rPr>
                  <w:t>1,180,343,937.66</w:t>
                </w:r>
              </w:p>
            </w:tc>
            <w:tc>
              <w:tcPr>
                <w:tcW w:w="553" w:type="pct"/>
                <w:shd w:val="clear" w:color="auto" w:fill="auto"/>
              </w:tcPr>
              <w:p w14:paraId="7553891B" w14:textId="77777777" w:rsidR="00830E72" w:rsidRDefault="008344D8">
                <w:pPr>
                  <w:jc w:val="right"/>
                  <w:rPr>
                    <w:szCs w:val="21"/>
                  </w:rPr>
                </w:pPr>
                <w:r>
                  <w:rPr>
                    <w:szCs w:val="21"/>
                  </w:rPr>
                  <w:t>809,488,768.98</w:t>
                </w:r>
              </w:p>
            </w:tc>
            <w:tc>
              <w:tcPr>
                <w:tcW w:w="510" w:type="pct"/>
                <w:shd w:val="clear" w:color="auto" w:fill="auto"/>
              </w:tcPr>
              <w:p w14:paraId="20BFD835" w14:textId="77777777" w:rsidR="00830E72" w:rsidRDefault="008344D8">
                <w:pPr>
                  <w:jc w:val="right"/>
                  <w:rPr>
                    <w:szCs w:val="21"/>
                  </w:rPr>
                </w:pPr>
                <w:r>
                  <w:rPr>
                    <w:szCs w:val="21"/>
                  </w:rPr>
                  <w:t>6,534,618.12</w:t>
                </w:r>
              </w:p>
            </w:tc>
            <w:tc>
              <w:tcPr>
                <w:tcW w:w="553" w:type="pct"/>
                <w:tcBorders>
                  <w:right w:val="single" w:sz="4" w:space="0" w:color="auto"/>
                </w:tcBorders>
                <w:shd w:val="clear" w:color="auto" w:fill="auto"/>
              </w:tcPr>
              <w:p w14:paraId="7AD6256B" w14:textId="77777777" w:rsidR="00830E72" w:rsidRDefault="008344D8">
                <w:pPr>
                  <w:jc w:val="right"/>
                  <w:rPr>
                    <w:szCs w:val="21"/>
                  </w:rPr>
                </w:pPr>
                <w:r>
                  <w:rPr>
                    <w:szCs w:val="21"/>
                  </w:rPr>
                  <w:t>802,954,150.86</w:t>
                </w:r>
              </w:p>
            </w:tc>
            <w:tc>
              <w:tcPr>
                <w:tcW w:w="478" w:type="pct"/>
                <w:tcBorders>
                  <w:left w:val="single" w:sz="4" w:space="0" w:color="auto"/>
                </w:tcBorders>
                <w:shd w:val="clear" w:color="auto" w:fill="auto"/>
              </w:tcPr>
              <w:p w14:paraId="0466749C" w14:textId="77777777" w:rsidR="00830E72" w:rsidRDefault="008344D8">
                <w:pPr>
                  <w:jc w:val="center"/>
                  <w:rPr>
                    <w:szCs w:val="21"/>
                  </w:rPr>
                </w:pPr>
                <w:r>
                  <w:rPr>
                    <w:rFonts w:hint="eastAsia"/>
                    <w:szCs w:val="21"/>
                  </w:rPr>
                  <w:t>/</w:t>
                </w:r>
              </w:p>
            </w:tc>
          </w:tr>
        </w:tbl>
        <w:p w14:paraId="7388FA83" w14:textId="77777777" w:rsidR="00830E72" w:rsidRDefault="00830E72">
          <w:pPr>
            <w:rPr>
              <w:color w:val="FF0000"/>
              <w:szCs w:val="21"/>
            </w:rPr>
            <w:sectPr w:rsidR="00830E72">
              <w:pgSz w:w="16838" w:h="11906" w:orient="landscape"/>
              <w:pgMar w:top="1276" w:right="1440" w:bottom="1797" w:left="1525" w:header="856" w:footer="992" w:gutter="0"/>
              <w:cols w:space="425"/>
              <w:docGrid w:linePitch="312"/>
            </w:sectPr>
          </w:pPr>
        </w:p>
        <w:p w14:paraId="68FF6AF3" w14:textId="77777777" w:rsidR="00830E72" w:rsidRDefault="00D44830">
          <w:pPr>
            <w:rPr>
              <w:color w:val="FF0000"/>
              <w:szCs w:val="21"/>
            </w:rPr>
          </w:pPr>
        </w:p>
      </w:sdtContent>
    </w:sdt>
    <w:bookmarkStart w:id="137" w:name="_Hlk10471933" w:displacedByCustomXml="next"/>
    <w:sdt>
      <w:sdtPr>
        <w:rPr>
          <w:rFonts w:ascii="宋体" w:hAnsi="宋体" w:cs="宋体" w:hint="eastAsia"/>
          <w:b w:val="0"/>
          <w:bCs w:val="0"/>
          <w:color w:val="FF0000"/>
          <w:kern w:val="0"/>
          <w:szCs w:val="21"/>
        </w:rPr>
        <w:alias w:val="模块:坏账准备计提情况"/>
        <w:tag w:val="_SEC_a0520f64d4bd49e5a3638a0386a233ee"/>
        <w:id w:val="-167092816"/>
        <w:lock w:val="sdtLocked"/>
        <w:placeholder>
          <w:docPart w:val="GBC22222222222222222222222222222"/>
        </w:placeholder>
      </w:sdtPr>
      <w:sdtEndPr>
        <w:rPr>
          <w:rFonts w:hint="default"/>
        </w:rPr>
      </w:sdtEndPr>
      <w:sdtContent>
        <w:p w14:paraId="29B6D3C1" w14:textId="77777777" w:rsidR="00830E72" w:rsidRDefault="008344D8">
          <w:pPr>
            <w:pStyle w:val="Style100"/>
            <w:numPr>
              <w:ilvl w:val="0"/>
              <w:numId w:val="55"/>
            </w:numPr>
            <w:rPr>
              <w:rFonts w:ascii="宋体" w:hAnsi="宋体"/>
              <w:szCs w:val="21"/>
            </w:rPr>
          </w:pPr>
          <w:r>
            <w:rPr>
              <w:rFonts w:ascii="宋体" w:hAnsi="宋体" w:hint="eastAsia"/>
              <w:szCs w:val="21"/>
            </w:rPr>
            <w:t>坏账准备计提情况</w:t>
          </w:r>
        </w:p>
        <w:sdt>
          <w:sdtPr>
            <w:alias w:val="是否适用：长期应收款坏账准备调节表[双击切换]"/>
            <w:tag w:val="_GBC_f7e4bed7dbb84fbcb52f2226cf465bb3"/>
            <w:id w:val="-1351862226"/>
            <w:lock w:val="sdtContentLocked"/>
            <w:placeholder>
              <w:docPart w:val="GBC22222222222222222222222222222"/>
            </w:placeholder>
          </w:sdtPr>
          <w:sdtEndPr/>
          <w:sdtContent>
            <w:p w14:paraId="65E66708"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30B8887" w14:textId="77777777" w:rsidR="00830E72" w:rsidRDefault="008344D8">
          <w:pPr>
            <w:autoSpaceDE w:val="0"/>
            <w:autoSpaceDN w:val="0"/>
            <w:adjustRightInd w:val="0"/>
            <w:ind w:rightChars="50" w:right="105"/>
            <w:jc w:val="right"/>
            <w:rPr>
              <w:szCs w:val="21"/>
            </w:rPr>
          </w:pPr>
          <w:r>
            <w:rPr>
              <w:rFonts w:hint="eastAsia"/>
              <w:szCs w:val="21"/>
            </w:rPr>
            <w:t>单位：</w:t>
          </w:r>
          <w:sdt>
            <w:sdtPr>
              <w:rPr>
                <w:rFonts w:hint="eastAsia"/>
                <w:szCs w:val="21"/>
              </w:rPr>
              <w:alias w:val="单位：长期应收款坏账准备调节表"/>
              <w:tag w:val="_GBC_2bbd87eab11a481f80927dfd7342e232"/>
              <w:id w:val="-7731670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长期应收款坏账准备调节表"/>
              <w:tag w:val="_GBC_a6d3fb90964748f494536b204e5bab68"/>
              <w:id w:val="13334908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1591"/>
            <w:gridCol w:w="1716"/>
            <w:gridCol w:w="1980"/>
            <w:gridCol w:w="1701"/>
          </w:tblGrid>
          <w:tr w:rsidR="00830E72" w14:paraId="38EC5CB3" w14:textId="77777777">
            <w:sdt>
              <w:sdtPr>
                <w:tag w:val="_PLD_294e5bbfd4534d8cbbae3a90b20c447c"/>
                <w:id w:val="-1162845167"/>
                <w:lock w:val="sdtLocked"/>
              </w:sdtPr>
              <w:sdtEndPr/>
              <w:sdtContent>
                <w:tc>
                  <w:tcPr>
                    <w:tcW w:w="1139" w:type="pct"/>
                    <w:vMerge w:val="restart"/>
                    <w:vAlign w:val="center"/>
                  </w:tcPr>
                  <w:p w14:paraId="7C818F16" w14:textId="77777777" w:rsidR="00830E72" w:rsidRDefault="008344D8">
                    <w:pPr>
                      <w:jc w:val="center"/>
                      <w:rPr>
                        <w:szCs w:val="21"/>
                      </w:rPr>
                    </w:pPr>
                    <w:r>
                      <w:rPr>
                        <w:rFonts w:hint="eastAsia"/>
                      </w:rPr>
                      <w:t>坏账</w:t>
                    </w:r>
                    <w:r>
                      <w:t>准备</w:t>
                    </w:r>
                  </w:p>
                </w:tc>
              </w:sdtContent>
            </w:sdt>
            <w:sdt>
              <w:sdtPr>
                <w:tag w:val="_PLD_ace79c3416eb44e7b3a74c621384a23c"/>
                <w:id w:val="886773156"/>
                <w:lock w:val="sdtLocked"/>
              </w:sdtPr>
              <w:sdtEndPr/>
              <w:sdtContent>
                <w:tc>
                  <w:tcPr>
                    <w:tcW w:w="879" w:type="pct"/>
                    <w:vAlign w:val="center"/>
                  </w:tcPr>
                  <w:p w14:paraId="115B3C5A" w14:textId="77777777" w:rsidR="00830E72" w:rsidRDefault="008344D8">
                    <w:pPr>
                      <w:jc w:val="center"/>
                      <w:rPr>
                        <w:szCs w:val="21"/>
                      </w:rPr>
                    </w:pPr>
                    <w:r>
                      <w:t>第一阶段</w:t>
                    </w:r>
                  </w:p>
                </w:tc>
              </w:sdtContent>
            </w:sdt>
            <w:sdt>
              <w:sdtPr>
                <w:tag w:val="_PLD_a72e5fdd446746579a277a4e75ad7bab"/>
                <w:id w:val="-464590417"/>
                <w:lock w:val="sdtLocked"/>
              </w:sdtPr>
              <w:sdtEndPr/>
              <w:sdtContent>
                <w:tc>
                  <w:tcPr>
                    <w:tcW w:w="948" w:type="pct"/>
                    <w:vAlign w:val="center"/>
                  </w:tcPr>
                  <w:p w14:paraId="7426F7D3" w14:textId="77777777" w:rsidR="00830E72" w:rsidRDefault="008344D8">
                    <w:pPr>
                      <w:jc w:val="center"/>
                      <w:rPr>
                        <w:szCs w:val="21"/>
                      </w:rPr>
                    </w:pPr>
                    <w:r>
                      <w:t>第二阶段</w:t>
                    </w:r>
                  </w:p>
                </w:tc>
              </w:sdtContent>
            </w:sdt>
            <w:sdt>
              <w:sdtPr>
                <w:tag w:val="_PLD_a754bd1abe98492398b5c00c97a6f42c"/>
                <w:id w:val="-392274189"/>
                <w:lock w:val="sdtLocked"/>
              </w:sdtPr>
              <w:sdtEndPr/>
              <w:sdtContent>
                <w:tc>
                  <w:tcPr>
                    <w:tcW w:w="1094" w:type="pct"/>
                    <w:vAlign w:val="center"/>
                  </w:tcPr>
                  <w:p w14:paraId="15FE3D29" w14:textId="77777777" w:rsidR="00830E72" w:rsidRDefault="008344D8">
                    <w:pPr>
                      <w:jc w:val="center"/>
                      <w:rPr>
                        <w:szCs w:val="21"/>
                      </w:rPr>
                    </w:pPr>
                    <w:r>
                      <w:t>第三阶段</w:t>
                    </w:r>
                  </w:p>
                </w:tc>
              </w:sdtContent>
            </w:sdt>
            <w:sdt>
              <w:sdtPr>
                <w:tag w:val="_PLD_23f4843cece44eacbfbcf493f51395f4"/>
                <w:id w:val="-369771713"/>
                <w:lock w:val="sdtLocked"/>
              </w:sdtPr>
              <w:sdtEndPr/>
              <w:sdtContent>
                <w:tc>
                  <w:tcPr>
                    <w:tcW w:w="940" w:type="pct"/>
                    <w:vMerge w:val="restart"/>
                    <w:vAlign w:val="center"/>
                  </w:tcPr>
                  <w:p w14:paraId="557D09C3" w14:textId="77777777" w:rsidR="00830E72" w:rsidRDefault="008344D8">
                    <w:pPr>
                      <w:jc w:val="center"/>
                      <w:rPr>
                        <w:szCs w:val="21"/>
                      </w:rPr>
                    </w:pPr>
                    <w:r>
                      <w:t>合计</w:t>
                    </w:r>
                  </w:p>
                </w:tc>
              </w:sdtContent>
            </w:sdt>
          </w:tr>
          <w:tr w:rsidR="00830E72" w14:paraId="2DF94296" w14:textId="77777777">
            <w:tc>
              <w:tcPr>
                <w:tcW w:w="1139" w:type="pct"/>
                <w:vMerge/>
                <w:vAlign w:val="center"/>
              </w:tcPr>
              <w:p w14:paraId="5EAD1737" w14:textId="77777777" w:rsidR="00830E72" w:rsidRDefault="00830E72">
                <w:pPr>
                  <w:pStyle w:val="TableParagraph"/>
                  <w:spacing w:after="0" w:line="240" w:lineRule="auto"/>
                  <w:jc w:val="both"/>
                  <w:rPr>
                    <w:rFonts w:ascii="宋体" w:eastAsia="宋体" w:hAnsi="宋体" w:cs="宋体"/>
                    <w:sz w:val="21"/>
                    <w:szCs w:val="21"/>
                    <w:lang w:eastAsia="zh-CN"/>
                  </w:rPr>
                </w:pPr>
              </w:p>
            </w:tc>
            <w:sdt>
              <w:sdtPr>
                <w:tag w:val="_PLD_0aa7c2cede1449e0abbc75ce6ccb5122"/>
                <w:id w:val="1671064875"/>
                <w:lock w:val="sdtLocked"/>
              </w:sdtPr>
              <w:sdtEndPr/>
              <w:sdtContent>
                <w:tc>
                  <w:tcPr>
                    <w:tcW w:w="879" w:type="pct"/>
                    <w:vAlign w:val="center"/>
                  </w:tcPr>
                  <w:p w14:paraId="3160912B" w14:textId="77777777" w:rsidR="00830E72" w:rsidRDefault="008344D8">
                    <w:pPr>
                      <w:jc w:val="center"/>
                      <w:rPr>
                        <w:szCs w:val="21"/>
                      </w:rPr>
                    </w:pPr>
                    <w:r>
                      <w:t>未来12个月预期信用损失</w:t>
                    </w:r>
                  </w:p>
                </w:tc>
              </w:sdtContent>
            </w:sdt>
            <w:sdt>
              <w:sdtPr>
                <w:tag w:val="_PLD_ac35bfd34bb64348af71d5e39e31efa9"/>
                <w:id w:val="-2126610514"/>
                <w:lock w:val="sdtLocked"/>
              </w:sdtPr>
              <w:sdtEndPr/>
              <w:sdtContent>
                <w:tc>
                  <w:tcPr>
                    <w:tcW w:w="948" w:type="pct"/>
                    <w:vAlign w:val="center"/>
                  </w:tcPr>
                  <w:p w14:paraId="60ADDF95" w14:textId="77777777" w:rsidR="00830E72" w:rsidRDefault="008344D8">
                    <w:pPr>
                      <w:jc w:val="center"/>
                      <w:rPr>
                        <w:szCs w:val="21"/>
                      </w:rPr>
                    </w:pPr>
                    <w:r>
                      <w:t>整个存续期预期信用损失(未发生信用减值)</w:t>
                    </w:r>
                  </w:p>
                </w:tc>
              </w:sdtContent>
            </w:sdt>
            <w:sdt>
              <w:sdtPr>
                <w:tag w:val="_PLD_a6de648cafb14afea0a52db889b45bef"/>
                <w:id w:val="397710667"/>
                <w:lock w:val="sdtLocked"/>
              </w:sdtPr>
              <w:sdtEndPr/>
              <w:sdtContent>
                <w:tc>
                  <w:tcPr>
                    <w:tcW w:w="1094" w:type="pct"/>
                    <w:vAlign w:val="center"/>
                  </w:tcPr>
                  <w:p w14:paraId="0967437B" w14:textId="77777777" w:rsidR="00830E72" w:rsidRDefault="008344D8">
                    <w:pPr>
                      <w:jc w:val="center"/>
                      <w:rPr>
                        <w:szCs w:val="21"/>
                      </w:rPr>
                    </w:pPr>
                    <w:r>
                      <w:t>整个存续期预期信用损失(已发生信用减值)</w:t>
                    </w:r>
                  </w:p>
                </w:tc>
              </w:sdtContent>
            </w:sdt>
            <w:tc>
              <w:tcPr>
                <w:tcW w:w="940" w:type="pct"/>
                <w:vMerge/>
              </w:tcPr>
              <w:p w14:paraId="59946BD2" w14:textId="77777777" w:rsidR="00830E72" w:rsidRDefault="00830E72">
                <w:pPr>
                  <w:jc w:val="center"/>
                  <w:rPr>
                    <w:szCs w:val="21"/>
                  </w:rPr>
                </w:pPr>
              </w:p>
            </w:tc>
          </w:tr>
          <w:tr w:rsidR="00830E72" w14:paraId="791B8874" w14:textId="77777777">
            <w:sdt>
              <w:sdtPr>
                <w:rPr>
                  <w:rFonts w:ascii="宋体" w:eastAsia="宋体" w:hAnsi="宋体"/>
                </w:rPr>
                <w:tag w:val="_PLD_b230a46cbf60446eb4dfe2c0b000d751"/>
                <w:id w:val="1645312382"/>
                <w:lock w:val="sdtLocked"/>
              </w:sdtPr>
              <w:sdtEndPr/>
              <w:sdtContent>
                <w:tc>
                  <w:tcPr>
                    <w:tcW w:w="1139" w:type="pct"/>
                    <w:vAlign w:val="center"/>
                  </w:tcPr>
                  <w:p w14:paraId="4E7C5287"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879" w:type="pct"/>
                <w:vAlign w:val="center"/>
              </w:tcPr>
              <w:p w14:paraId="1276DD50" w14:textId="7AABA5E9" w:rsidR="00830E72" w:rsidRDefault="008344D8">
                <w:pPr>
                  <w:jc w:val="right"/>
                  <w:rPr>
                    <w:szCs w:val="21"/>
                  </w:rPr>
                </w:pPr>
                <w:r>
                  <w:rPr>
                    <w:szCs w:val="21"/>
                  </w:rPr>
                  <w:t>6</w:t>
                </w:r>
                <w:r w:rsidR="0011042C">
                  <w:rPr>
                    <w:szCs w:val="21"/>
                  </w:rPr>
                  <w:t>,</w:t>
                </w:r>
                <w:r>
                  <w:rPr>
                    <w:szCs w:val="21"/>
                  </w:rPr>
                  <w:t>534,618.12</w:t>
                </w:r>
              </w:p>
            </w:tc>
            <w:tc>
              <w:tcPr>
                <w:tcW w:w="948" w:type="pct"/>
                <w:vAlign w:val="center"/>
              </w:tcPr>
              <w:p w14:paraId="7514F87D" w14:textId="77777777" w:rsidR="00830E72" w:rsidRDefault="00830E72">
                <w:pPr>
                  <w:jc w:val="right"/>
                  <w:rPr>
                    <w:szCs w:val="21"/>
                  </w:rPr>
                </w:pPr>
              </w:p>
            </w:tc>
            <w:tc>
              <w:tcPr>
                <w:tcW w:w="1094" w:type="pct"/>
                <w:vAlign w:val="center"/>
              </w:tcPr>
              <w:p w14:paraId="408DB69E" w14:textId="77777777" w:rsidR="00830E72" w:rsidRDefault="00830E72">
                <w:pPr>
                  <w:jc w:val="right"/>
                  <w:rPr>
                    <w:szCs w:val="21"/>
                  </w:rPr>
                </w:pPr>
              </w:p>
            </w:tc>
            <w:tc>
              <w:tcPr>
                <w:tcW w:w="940" w:type="pct"/>
                <w:vAlign w:val="center"/>
              </w:tcPr>
              <w:p w14:paraId="17A391C2" w14:textId="52B593E0" w:rsidR="00830E72" w:rsidRDefault="0011042C">
                <w:pPr>
                  <w:jc w:val="right"/>
                  <w:rPr>
                    <w:szCs w:val="21"/>
                  </w:rPr>
                </w:pPr>
                <w:r w:rsidRPr="0011042C">
                  <w:rPr>
                    <w:szCs w:val="21"/>
                  </w:rPr>
                  <w:t>6,534,618.12</w:t>
                </w:r>
              </w:p>
            </w:tc>
          </w:tr>
          <w:tr w:rsidR="00830E72" w14:paraId="788FC5C5" w14:textId="77777777">
            <w:sdt>
              <w:sdtPr>
                <w:rPr>
                  <w:rFonts w:ascii="宋体" w:eastAsia="宋体" w:hAnsi="宋体"/>
                </w:rPr>
                <w:tag w:val="_PLD_86816a49f2ae408db0fd9f47c37368c4"/>
                <w:id w:val="-1438512717"/>
                <w:lock w:val="sdtLocked"/>
              </w:sdtPr>
              <w:sdtEndPr/>
              <w:sdtContent>
                <w:tc>
                  <w:tcPr>
                    <w:tcW w:w="1139" w:type="pct"/>
                    <w:vAlign w:val="center"/>
                  </w:tcPr>
                  <w:p w14:paraId="304EC732"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2021年1月1日余额在本期</w:t>
                    </w:r>
                  </w:p>
                </w:tc>
              </w:sdtContent>
            </w:sdt>
            <w:tc>
              <w:tcPr>
                <w:tcW w:w="879" w:type="pct"/>
                <w:vAlign w:val="center"/>
              </w:tcPr>
              <w:p w14:paraId="593CA925" w14:textId="77777777" w:rsidR="00830E72" w:rsidRDefault="00830E72">
                <w:pPr>
                  <w:jc w:val="right"/>
                  <w:rPr>
                    <w:szCs w:val="21"/>
                  </w:rPr>
                </w:pPr>
              </w:p>
            </w:tc>
            <w:tc>
              <w:tcPr>
                <w:tcW w:w="948" w:type="pct"/>
                <w:vAlign w:val="center"/>
              </w:tcPr>
              <w:p w14:paraId="0731E46F" w14:textId="77777777" w:rsidR="00830E72" w:rsidRDefault="00830E72">
                <w:pPr>
                  <w:jc w:val="right"/>
                  <w:rPr>
                    <w:szCs w:val="21"/>
                  </w:rPr>
                </w:pPr>
              </w:p>
            </w:tc>
            <w:tc>
              <w:tcPr>
                <w:tcW w:w="1094" w:type="pct"/>
                <w:vAlign w:val="center"/>
              </w:tcPr>
              <w:p w14:paraId="201530B2" w14:textId="77777777" w:rsidR="00830E72" w:rsidRDefault="00830E72">
                <w:pPr>
                  <w:jc w:val="right"/>
                  <w:rPr>
                    <w:szCs w:val="21"/>
                  </w:rPr>
                </w:pPr>
              </w:p>
            </w:tc>
            <w:tc>
              <w:tcPr>
                <w:tcW w:w="940" w:type="pct"/>
                <w:vAlign w:val="center"/>
              </w:tcPr>
              <w:p w14:paraId="67F9E33F" w14:textId="77777777" w:rsidR="00830E72" w:rsidRDefault="00830E72">
                <w:pPr>
                  <w:jc w:val="right"/>
                  <w:rPr>
                    <w:szCs w:val="21"/>
                  </w:rPr>
                </w:pPr>
              </w:p>
            </w:tc>
          </w:tr>
          <w:tr w:rsidR="00830E72" w14:paraId="13469BC1" w14:textId="77777777">
            <w:sdt>
              <w:sdtPr>
                <w:rPr>
                  <w:rFonts w:ascii="宋体" w:eastAsia="宋体" w:hAnsi="宋体"/>
                </w:rPr>
                <w:tag w:val="_PLD_c91cfe6023c543b48f51dca663734154"/>
                <w:id w:val="-1149351773"/>
                <w:lock w:val="sdtLocked"/>
              </w:sdtPr>
              <w:sdtEndPr/>
              <w:sdtContent>
                <w:tc>
                  <w:tcPr>
                    <w:tcW w:w="1139" w:type="pct"/>
                    <w:vAlign w:val="center"/>
                  </w:tcPr>
                  <w:p w14:paraId="3EA30742"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79" w:type="pct"/>
                <w:vAlign w:val="center"/>
              </w:tcPr>
              <w:p w14:paraId="0F5A5003" w14:textId="77777777" w:rsidR="00830E72" w:rsidRDefault="00830E72">
                <w:pPr>
                  <w:jc w:val="right"/>
                  <w:rPr>
                    <w:szCs w:val="21"/>
                  </w:rPr>
                </w:pPr>
              </w:p>
            </w:tc>
            <w:tc>
              <w:tcPr>
                <w:tcW w:w="948" w:type="pct"/>
                <w:vAlign w:val="center"/>
              </w:tcPr>
              <w:p w14:paraId="16BC3F2F" w14:textId="77777777" w:rsidR="00830E72" w:rsidRDefault="00830E72">
                <w:pPr>
                  <w:jc w:val="right"/>
                  <w:rPr>
                    <w:szCs w:val="21"/>
                  </w:rPr>
                </w:pPr>
              </w:p>
            </w:tc>
            <w:tc>
              <w:tcPr>
                <w:tcW w:w="1094" w:type="pct"/>
                <w:vAlign w:val="center"/>
              </w:tcPr>
              <w:p w14:paraId="4ED0BB79" w14:textId="77777777" w:rsidR="00830E72" w:rsidRDefault="00830E72">
                <w:pPr>
                  <w:jc w:val="right"/>
                  <w:rPr>
                    <w:szCs w:val="21"/>
                  </w:rPr>
                </w:pPr>
              </w:p>
            </w:tc>
            <w:tc>
              <w:tcPr>
                <w:tcW w:w="940" w:type="pct"/>
                <w:vAlign w:val="center"/>
              </w:tcPr>
              <w:p w14:paraId="38B50326" w14:textId="77777777" w:rsidR="00830E72" w:rsidRDefault="00830E72">
                <w:pPr>
                  <w:jc w:val="right"/>
                  <w:rPr>
                    <w:szCs w:val="21"/>
                  </w:rPr>
                </w:pPr>
              </w:p>
            </w:tc>
          </w:tr>
          <w:tr w:rsidR="00830E72" w14:paraId="3222FA86" w14:textId="77777777">
            <w:sdt>
              <w:sdtPr>
                <w:rPr>
                  <w:rFonts w:ascii="宋体" w:eastAsia="宋体" w:hAnsi="宋体"/>
                </w:rPr>
                <w:tag w:val="_PLD_a950bce164c8477b8fb5a7d1dc4f7e59"/>
                <w:id w:val="-1094549154"/>
                <w:lock w:val="sdtLocked"/>
              </w:sdtPr>
              <w:sdtEndPr/>
              <w:sdtContent>
                <w:tc>
                  <w:tcPr>
                    <w:tcW w:w="1139" w:type="pct"/>
                    <w:vAlign w:val="center"/>
                  </w:tcPr>
                  <w:p w14:paraId="16D1F184"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79" w:type="pct"/>
                <w:vAlign w:val="center"/>
              </w:tcPr>
              <w:p w14:paraId="0F2B037D" w14:textId="77777777" w:rsidR="00830E72" w:rsidRDefault="00830E72">
                <w:pPr>
                  <w:jc w:val="right"/>
                  <w:rPr>
                    <w:szCs w:val="21"/>
                  </w:rPr>
                </w:pPr>
              </w:p>
            </w:tc>
            <w:tc>
              <w:tcPr>
                <w:tcW w:w="948" w:type="pct"/>
                <w:vAlign w:val="center"/>
              </w:tcPr>
              <w:p w14:paraId="00317E2C" w14:textId="77777777" w:rsidR="00830E72" w:rsidRDefault="00830E72">
                <w:pPr>
                  <w:jc w:val="right"/>
                  <w:rPr>
                    <w:szCs w:val="21"/>
                  </w:rPr>
                </w:pPr>
              </w:p>
            </w:tc>
            <w:tc>
              <w:tcPr>
                <w:tcW w:w="1094" w:type="pct"/>
                <w:vAlign w:val="center"/>
              </w:tcPr>
              <w:p w14:paraId="05C21476" w14:textId="77777777" w:rsidR="00830E72" w:rsidRDefault="00830E72">
                <w:pPr>
                  <w:jc w:val="right"/>
                  <w:rPr>
                    <w:szCs w:val="21"/>
                  </w:rPr>
                </w:pPr>
              </w:p>
            </w:tc>
            <w:tc>
              <w:tcPr>
                <w:tcW w:w="940" w:type="pct"/>
                <w:vAlign w:val="center"/>
              </w:tcPr>
              <w:p w14:paraId="0197A85F" w14:textId="77777777" w:rsidR="00830E72" w:rsidRDefault="00830E72">
                <w:pPr>
                  <w:jc w:val="right"/>
                  <w:rPr>
                    <w:szCs w:val="21"/>
                  </w:rPr>
                </w:pPr>
              </w:p>
            </w:tc>
          </w:tr>
          <w:tr w:rsidR="00830E72" w14:paraId="0A3147D8" w14:textId="77777777">
            <w:sdt>
              <w:sdtPr>
                <w:rPr>
                  <w:rFonts w:ascii="宋体" w:eastAsia="宋体" w:hAnsi="宋体"/>
                </w:rPr>
                <w:tag w:val="_PLD_80b01be34c3b4035a08d3423409c07d7"/>
                <w:id w:val="984050783"/>
                <w:lock w:val="sdtLocked"/>
              </w:sdtPr>
              <w:sdtEndPr/>
              <w:sdtContent>
                <w:tc>
                  <w:tcPr>
                    <w:tcW w:w="1139" w:type="pct"/>
                    <w:vAlign w:val="center"/>
                  </w:tcPr>
                  <w:p w14:paraId="02F1A837"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79" w:type="pct"/>
                <w:vAlign w:val="center"/>
              </w:tcPr>
              <w:p w14:paraId="0BCEF377" w14:textId="77777777" w:rsidR="00830E72" w:rsidRDefault="00830E72">
                <w:pPr>
                  <w:jc w:val="right"/>
                  <w:rPr>
                    <w:szCs w:val="21"/>
                  </w:rPr>
                </w:pPr>
              </w:p>
            </w:tc>
            <w:tc>
              <w:tcPr>
                <w:tcW w:w="948" w:type="pct"/>
                <w:vAlign w:val="center"/>
              </w:tcPr>
              <w:p w14:paraId="1D5ED987" w14:textId="77777777" w:rsidR="00830E72" w:rsidRDefault="00830E72">
                <w:pPr>
                  <w:jc w:val="right"/>
                  <w:rPr>
                    <w:szCs w:val="21"/>
                  </w:rPr>
                </w:pPr>
              </w:p>
            </w:tc>
            <w:tc>
              <w:tcPr>
                <w:tcW w:w="1094" w:type="pct"/>
                <w:vAlign w:val="center"/>
              </w:tcPr>
              <w:p w14:paraId="5ACBCA7A" w14:textId="77777777" w:rsidR="00830E72" w:rsidRDefault="00830E72">
                <w:pPr>
                  <w:jc w:val="right"/>
                  <w:rPr>
                    <w:szCs w:val="21"/>
                  </w:rPr>
                </w:pPr>
              </w:p>
            </w:tc>
            <w:tc>
              <w:tcPr>
                <w:tcW w:w="940" w:type="pct"/>
                <w:vAlign w:val="center"/>
              </w:tcPr>
              <w:p w14:paraId="57238EFC" w14:textId="77777777" w:rsidR="00830E72" w:rsidRDefault="00830E72">
                <w:pPr>
                  <w:jc w:val="right"/>
                  <w:rPr>
                    <w:szCs w:val="21"/>
                  </w:rPr>
                </w:pPr>
              </w:p>
            </w:tc>
          </w:tr>
          <w:tr w:rsidR="00830E72" w14:paraId="7BF16714" w14:textId="77777777">
            <w:sdt>
              <w:sdtPr>
                <w:rPr>
                  <w:rFonts w:ascii="宋体" w:eastAsia="宋体" w:hAnsi="宋体"/>
                </w:rPr>
                <w:tag w:val="_PLD_200efa744e044677bffdebede2418f76"/>
                <w:id w:val="651568794"/>
                <w:lock w:val="sdtLocked"/>
              </w:sdtPr>
              <w:sdtEndPr/>
              <w:sdtContent>
                <w:tc>
                  <w:tcPr>
                    <w:tcW w:w="1139" w:type="pct"/>
                    <w:vAlign w:val="center"/>
                  </w:tcPr>
                  <w:p w14:paraId="1F9DEB55"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79" w:type="pct"/>
                <w:vAlign w:val="center"/>
              </w:tcPr>
              <w:p w14:paraId="0859E8C2" w14:textId="77777777" w:rsidR="00830E72" w:rsidRDefault="00830E72">
                <w:pPr>
                  <w:jc w:val="right"/>
                  <w:rPr>
                    <w:szCs w:val="21"/>
                  </w:rPr>
                </w:pPr>
              </w:p>
            </w:tc>
            <w:tc>
              <w:tcPr>
                <w:tcW w:w="948" w:type="pct"/>
                <w:vAlign w:val="center"/>
              </w:tcPr>
              <w:p w14:paraId="7C431BE3" w14:textId="77777777" w:rsidR="00830E72" w:rsidRDefault="00830E72">
                <w:pPr>
                  <w:jc w:val="right"/>
                  <w:rPr>
                    <w:szCs w:val="21"/>
                  </w:rPr>
                </w:pPr>
              </w:p>
            </w:tc>
            <w:tc>
              <w:tcPr>
                <w:tcW w:w="1094" w:type="pct"/>
                <w:vAlign w:val="center"/>
              </w:tcPr>
              <w:p w14:paraId="3591C342" w14:textId="77777777" w:rsidR="00830E72" w:rsidRDefault="00830E72">
                <w:pPr>
                  <w:jc w:val="right"/>
                  <w:rPr>
                    <w:szCs w:val="21"/>
                  </w:rPr>
                </w:pPr>
              </w:p>
            </w:tc>
            <w:tc>
              <w:tcPr>
                <w:tcW w:w="940" w:type="pct"/>
                <w:vAlign w:val="center"/>
              </w:tcPr>
              <w:p w14:paraId="33FC951E" w14:textId="77777777" w:rsidR="00830E72" w:rsidRDefault="00830E72">
                <w:pPr>
                  <w:jc w:val="right"/>
                  <w:rPr>
                    <w:szCs w:val="21"/>
                  </w:rPr>
                </w:pPr>
              </w:p>
            </w:tc>
          </w:tr>
          <w:tr w:rsidR="00830E72" w14:paraId="2740BCD1" w14:textId="77777777">
            <w:sdt>
              <w:sdtPr>
                <w:rPr>
                  <w:rFonts w:ascii="宋体" w:eastAsia="宋体" w:hAnsi="宋体"/>
                </w:rPr>
                <w:tag w:val="_PLD_f2f4f1b9b1744ac0988cc3ac81ace38e"/>
                <w:id w:val="-1362440468"/>
                <w:lock w:val="sdtLocked"/>
              </w:sdtPr>
              <w:sdtEndPr/>
              <w:sdtContent>
                <w:tc>
                  <w:tcPr>
                    <w:tcW w:w="1139" w:type="pct"/>
                    <w:vAlign w:val="center"/>
                  </w:tcPr>
                  <w:p w14:paraId="770C5988"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79" w:type="pct"/>
                <w:vAlign w:val="center"/>
              </w:tcPr>
              <w:p w14:paraId="2FD3AC92" w14:textId="77777777" w:rsidR="00830E72" w:rsidRDefault="008344D8">
                <w:pPr>
                  <w:jc w:val="right"/>
                  <w:rPr>
                    <w:szCs w:val="21"/>
                  </w:rPr>
                </w:pPr>
                <w:r>
                  <w:rPr>
                    <w:szCs w:val="21"/>
                  </w:rPr>
                  <w:t>1,743,946.39</w:t>
                </w:r>
              </w:p>
            </w:tc>
            <w:tc>
              <w:tcPr>
                <w:tcW w:w="948" w:type="pct"/>
                <w:vAlign w:val="center"/>
              </w:tcPr>
              <w:p w14:paraId="669021BF" w14:textId="77777777" w:rsidR="00830E72" w:rsidRDefault="00830E72">
                <w:pPr>
                  <w:jc w:val="right"/>
                  <w:rPr>
                    <w:szCs w:val="21"/>
                  </w:rPr>
                </w:pPr>
              </w:p>
            </w:tc>
            <w:tc>
              <w:tcPr>
                <w:tcW w:w="1094" w:type="pct"/>
                <w:vAlign w:val="center"/>
              </w:tcPr>
              <w:p w14:paraId="426B8BE1" w14:textId="77777777" w:rsidR="00830E72" w:rsidRDefault="00830E72">
                <w:pPr>
                  <w:jc w:val="right"/>
                  <w:rPr>
                    <w:szCs w:val="21"/>
                  </w:rPr>
                </w:pPr>
              </w:p>
            </w:tc>
            <w:tc>
              <w:tcPr>
                <w:tcW w:w="940" w:type="pct"/>
                <w:vAlign w:val="center"/>
              </w:tcPr>
              <w:p w14:paraId="32E21B5E" w14:textId="77777777" w:rsidR="00830E72" w:rsidRDefault="008344D8">
                <w:pPr>
                  <w:jc w:val="right"/>
                  <w:rPr>
                    <w:szCs w:val="21"/>
                  </w:rPr>
                </w:pPr>
                <w:r>
                  <w:rPr>
                    <w:szCs w:val="21"/>
                  </w:rPr>
                  <w:t>1,743,946.39</w:t>
                </w:r>
              </w:p>
            </w:tc>
          </w:tr>
          <w:tr w:rsidR="00830E72" w14:paraId="006A7A7A" w14:textId="77777777">
            <w:tc>
              <w:tcPr>
                <w:tcW w:w="1139" w:type="pct"/>
                <w:vAlign w:val="center"/>
              </w:tcPr>
              <w:sdt>
                <w:sdtPr>
                  <w:rPr>
                    <w:rFonts w:ascii="宋体" w:eastAsia="宋体" w:hAnsi="宋体" w:hint="eastAsia"/>
                    <w:sz w:val="21"/>
                    <w:szCs w:val="21"/>
                    <w:lang w:eastAsia="zh-CN"/>
                  </w:rPr>
                  <w:tag w:val="_PLD_e2387077844b4460b8e43f4c1bfef43e"/>
                  <w:id w:val="-2112806420"/>
                  <w:lock w:val="sdtLocked"/>
                </w:sdtPr>
                <w:sdtEndPr/>
                <w:sdtContent>
                  <w:p w14:paraId="79986554" w14:textId="77777777" w:rsidR="00830E72" w:rsidRDefault="008344D8">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本期转回</w:t>
                    </w:r>
                  </w:p>
                </w:sdtContent>
              </w:sdt>
            </w:tc>
            <w:tc>
              <w:tcPr>
                <w:tcW w:w="879" w:type="pct"/>
                <w:vAlign w:val="center"/>
              </w:tcPr>
              <w:p w14:paraId="66744BB0" w14:textId="77777777" w:rsidR="00830E72" w:rsidRDefault="00830E72">
                <w:pPr>
                  <w:jc w:val="right"/>
                  <w:rPr>
                    <w:szCs w:val="21"/>
                  </w:rPr>
                </w:pPr>
              </w:p>
            </w:tc>
            <w:tc>
              <w:tcPr>
                <w:tcW w:w="948" w:type="pct"/>
                <w:vAlign w:val="center"/>
              </w:tcPr>
              <w:p w14:paraId="168888AA" w14:textId="77777777" w:rsidR="00830E72" w:rsidRDefault="00830E72">
                <w:pPr>
                  <w:jc w:val="right"/>
                  <w:rPr>
                    <w:szCs w:val="21"/>
                  </w:rPr>
                </w:pPr>
              </w:p>
            </w:tc>
            <w:tc>
              <w:tcPr>
                <w:tcW w:w="1094" w:type="pct"/>
                <w:vAlign w:val="center"/>
              </w:tcPr>
              <w:p w14:paraId="0EEFA08D" w14:textId="77777777" w:rsidR="00830E72" w:rsidRDefault="00830E72">
                <w:pPr>
                  <w:jc w:val="right"/>
                  <w:rPr>
                    <w:szCs w:val="21"/>
                  </w:rPr>
                </w:pPr>
              </w:p>
            </w:tc>
            <w:tc>
              <w:tcPr>
                <w:tcW w:w="940" w:type="pct"/>
                <w:vAlign w:val="center"/>
              </w:tcPr>
              <w:p w14:paraId="19EEFCF1" w14:textId="77777777" w:rsidR="00830E72" w:rsidRDefault="00830E72">
                <w:pPr>
                  <w:jc w:val="right"/>
                  <w:rPr>
                    <w:szCs w:val="21"/>
                  </w:rPr>
                </w:pPr>
              </w:p>
            </w:tc>
          </w:tr>
          <w:tr w:rsidR="00830E72" w14:paraId="378BF8B9" w14:textId="77777777">
            <w:sdt>
              <w:sdtPr>
                <w:rPr>
                  <w:rFonts w:ascii="宋体" w:eastAsia="宋体" w:hAnsi="宋体"/>
                </w:rPr>
                <w:tag w:val="_PLD_aa19890b26f443ed9e213e6f29b85d71"/>
                <w:id w:val="-131566626"/>
                <w:lock w:val="sdtLocked"/>
              </w:sdtPr>
              <w:sdtEndPr/>
              <w:sdtContent>
                <w:tc>
                  <w:tcPr>
                    <w:tcW w:w="1139" w:type="pct"/>
                    <w:vAlign w:val="center"/>
                  </w:tcPr>
                  <w:p w14:paraId="0FE95465"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79" w:type="pct"/>
                <w:vAlign w:val="center"/>
              </w:tcPr>
              <w:p w14:paraId="05575168" w14:textId="77777777" w:rsidR="00830E72" w:rsidRDefault="00830E72">
                <w:pPr>
                  <w:jc w:val="right"/>
                  <w:rPr>
                    <w:szCs w:val="21"/>
                  </w:rPr>
                </w:pPr>
              </w:p>
            </w:tc>
            <w:tc>
              <w:tcPr>
                <w:tcW w:w="948" w:type="pct"/>
                <w:vAlign w:val="center"/>
              </w:tcPr>
              <w:p w14:paraId="01DAAFEE" w14:textId="77777777" w:rsidR="00830E72" w:rsidRDefault="00830E72">
                <w:pPr>
                  <w:jc w:val="right"/>
                  <w:rPr>
                    <w:szCs w:val="21"/>
                  </w:rPr>
                </w:pPr>
              </w:p>
            </w:tc>
            <w:tc>
              <w:tcPr>
                <w:tcW w:w="1094" w:type="pct"/>
                <w:vAlign w:val="center"/>
              </w:tcPr>
              <w:p w14:paraId="3D9BEE94" w14:textId="77777777" w:rsidR="00830E72" w:rsidRDefault="00830E72">
                <w:pPr>
                  <w:jc w:val="right"/>
                  <w:rPr>
                    <w:szCs w:val="21"/>
                  </w:rPr>
                </w:pPr>
              </w:p>
            </w:tc>
            <w:tc>
              <w:tcPr>
                <w:tcW w:w="940" w:type="pct"/>
                <w:vAlign w:val="center"/>
              </w:tcPr>
              <w:p w14:paraId="221C6CF0" w14:textId="77777777" w:rsidR="00830E72" w:rsidRDefault="00830E72">
                <w:pPr>
                  <w:jc w:val="right"/>
                  <w:rPr>
                    <w:szCs w:val="21"/>
                  </w:rPr>
                </w:pPr>
              </w:p>
            </w:tc>
          </w:tr>
          <w:tr w:rsidR="00830E72" w14:paraId="5F07FDF6" w14:textId="77777777">
            <w:tc>
              <w:tcPr>
                <w:tcW w:w="1139" w:type="pct"/>
                <w:vAlign w:val="center"/>
              </w:tcPr>
              <w:sdt>
                <w:sdtPr>
                  <w:rPr>
                    <w:rFonts w:ascii="宋体" w:eastAsia="宋体" w:hAnsi="宋体" w:hint="eastAsia"/>
                    <w:sz w:val="21"/>
                    <w:szCs w:val="21"/>
                    <w:lang w:eastAsia="zh-CN"/>
                  </w:rPr>
                  <w:tag w:val="_PLD_4505add4f90d480c9e310bf0a1e87ff7"/>
                  <w:id w:val="-1151675910"/>
                  <w:lock w:val="sdtLocked"/>
                </w:sdtPr>
                <w:sdtEndPr/>
                <w:sdtContent>
                  <w:p w14:paraId="0FD19A44" w14:textId="77777777" w:rsidR="00830E72" w:rsidRDefault="008344D8">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本期核销</w:t>
                    </w:r>
                  </w:p>
                </w:sdtContent>
              </w:sdt>
            </w:tc>
            <w:tc>
              <w:tcPr>
                <w:tcW w:w="879" w:type="pct"/>
                <w:vAlign w:val="center"/>
              </w:tcPr>
              <w:p w14:paraId="7717D9FF" w14:textId="77777777" w:rsidR="00830E72" w:rsidRDefault="00830E72">
                <w:pPr>
                  <w:jc w:val="right"/>
                  <w:rPr>
                    <w:szCs w:val="21"/>
                  </w:rPr>
                </w:pPr>
              </w:p>
            </w:tc>
            <w:tc>
              <w:tcPr>
                <w:tcW w:w="948" w:type="pct"/>
                <w:vAlign w:val="center"/>
              </w:tcPr>
              <w:p w14:paraId="69130DC9" w14:textId="77777777" w:rsidR="00830E72" w:rsidRDefault="00830E72">
                <w:pPr>
                  <w:jc w:val="right"/>
                  <w:rPr>
                    <w:szCs w:val="21"/>
                  </w:rPr>
                </w:pPr>
              </w:p>
            </w:tc>
            <w:tc>
              <w:tcPr>
                <w:tcW w:w="1094" w:type="pct"/>
                <w:vAlign w:val="center"/>
              </w:tcPr>
              <w:p w14:paraId="1B04C57E" w14:textId="77777777" w:rsidR="00830E72" w:rsidRDefault="00830E72">
                <w:pPr>
                  <w:jc w:val="right"/>
                  <w:rPr>
                    <w:szCs w:val="21"/>
                  </w:rPr>
                </w:pPr>
              </w:p>
            </w:tc>
            <w:tc>
              <w:tcPr>
                <w:tcW w:w="940" w:type="pct"/>
                <w:vAlign w:val="center"/>
              </w:tcPr>
              <w:p w14:paraId="211934B6" w14:textId="77777777" w:rsidR="00830E72" w:rsidRDefault="00830E72">
                <w:pPr>
                  <w:jc w:val="right"/>
                  <w:rPr>
                    <w:szCs w:val="21"/>
                  </w:rPr>
                </w:pPr>
              </w:p>
            </w:tc>
          </w:tr>
          <w:tr w:rsidR="00830E72" w14:paraId="4A9F6ED1" w14:textId="77777777">
            <w:sdt>
              <w:sdtPr>
                <w:rPr>
                  <w:rFonts w:ascii="宋体" w:eastAsia="宋体" w:hAnsi="宋体"/>
                </w:rPr>
                <w:tag w:val="_PLD_93cb3f645f9f45558eed3ae8afc2f5e9"/>
                <w:id w:val="914444895"/>
                <w:lock w:val="sdtLocked"/>
              </w:sdtPr>
              <w:sdtEndPr/>
              <w:sdtContent>
                <w:tc>
                  <w:tcPr>
                    <w:tcW w:w="1139" w:type="pct"/>
                    <w:vAlign w:val="center"/>
                  </w:tcPr>
                  <w:p w14:paraId="50A6AA05"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79" w:type="pct"/>
                <w:vAlign w:val="center"/>
              </w:tcPr>
              <w:p w14:paraId="24D571FC" w14:textId="77777777" w:rsidR="00830E72" w:rsidRDefault="00830E72">
                <w:pPr>
                  <w:jc w:val="right"/>
                  <w:rPr>
                    <w:szCs w:val="21"/>
                  </w:rPr>
                </w:pPr>
              </w:p>
            </w:tc>
            <w:tc>
              <w:tcPr>
                <w:tcW w:w="948" w:type="pct"/>
                <w:vAlign w:val="center"/>
              </w:tcPr>
              <w:p w14:paraId="2B82A72A" w14:textId="77777777" w:rsidR="00830E72" w:rsidRDefault="00830E72">
                <w:pPr>
                  <w:jc w:val="right"/>
                  <w:rPr>
                    <w:szCs w:val="21"/>
                  </w:rPr>
                </w:pPr>
              </w:p>
            </w:tc>
            <w:tc>
              <w:tcPr>
                <w:tcW w:w="1094" w:type="pct"/>
                <w:vAlign w:val="center"/>
              </w:tcPr>
              <w:p w14:paraId="4E53CF32" w14:textId="77777777" w:rsidR="00830E72" w:rsidRDefault="00830E72">
                <w:pPr>
                  <w:jc w:val="right"/>
                  <w:rPr>
                    <w:szCs w:val="21"/>
                  </w:rPr>
                </w:pPr>
              </w:p>
            </w:tc>
            <w:tc>
              <w:tcPr>
                <w:tcW w:w="940" w:type="pct"/>
                <w:vAlign w:val="center"/>
              </w:tcPr>
              <w:p w14:paraId="0040A24F" w14:textId="77777777" w:rsidR="00830E72" w:rsidRDefault="00830E72">
                <w:pPr>
                  <w:jc w:val="right"/>
                  <w:rPr>
                    <w:szCs w:val="21"/>
                  </w:rPr>
                </w:pPr>
              </w:p>
            </w:tc>
          </w:tr>
          <w:tr w:rsidR="00830E72" w14:paraId="1C4D7D6C" w14:textId="77777777">
            <w:sdt>
              <w:sdtPr>
                <w:rPr>
                  <w:rFonts w:ascii="宋体" w:eastAsia="宋体" w:hAnsi="宋体"/>
                </w:rPr>
                <w:tag w:val="_PLD_6026bcc031c2492189bd9398709c587d"/>
                <w:id w:val="-1585067646"/>
                <w:lock w:val="sdtLocked"/>
              </w:sdtPr>
              <w:sdtEndPr/>
              <w:sdtContent>
                <w:tc>
                  <w:tcPr>
                    <w:tcW w:w="1139" w:type="pct"/>
                    <w:vAlign w:val="center"/>
                  </w:tcPr>
                  <w:p w14:paraId="616B11A8" w14:textId="77777777" w:rsidR="00830E72" w:rsidRDefault="008344D8">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2021年6月30日</w:t>
                    </w:r>
                    <w:r>
                      <w:rPr>
                        <w:rFonts w:ascii="宋体" w:eastAsia="宋体" w:hAnsi="宋体" w:cs="宋体" w:hint="eastAsia"/>
                        <w:sz w:val="21"/>
                        <w:szCs w:val="21"/>
                        <w:lang w:eastAsia="zh-CN"/>
                      </w:rPr>
                      <w:t>余额</w:t>
                    </w:r>
                  </w:p>
                </w:tc>
              </w:sdtContent>
            </w:sdt>
            <w:tc>
              <w:tcPr>
                <w:tcW w:w="879" w:type="pct"/>
                <w:vAlign w:val="center"/>
              </w:tcPr>
              <w:p w14:paraId="63913810" w14:textId="77777777" w:rsidR="00830E72" w:rsidRDefault="008344D8">
                <w:pPr>
                  <w:jc w:val="right"/>
                  <w:rPr>
                    <w:szCs w:val="21"/>
                  </w:rPr>
                </w:pPr>
                <w:r>
                  <w:rPr>
                    <w:szCs w:val="21"/>
                  </w:rPr>
                  <w:t>8,278,564.51</w:t>
                </w:r>
              </w:p>
            </w:tc>
            <w:tc>
              <w:tcPr>
                <w:tcW w:w="948" w:type="pct"/>
                <w:vAlign w:val="center"/>
              </w:tcPr>
              <w:p w14:paraId="5520BC71" w14:textId="77777777" w:rsidR="00830E72" w:rsidRDefault="00830E72">
                <w:pPr>
                  <w:jc w:val="right"/>
                  <w:rPr>
                    <w:szCs w:val="21"/>
                  </w:rPr>
                </w:pPr>
              </w:p>
            </w:tc>
            <w:tc>
              <w:tcPr>
                <w:tcW w:w="1094" w:type="pct"/>
                <w:vAlign w:val="center"/>
              </w:tcPr>
              <w:p w14:paraId="63EA13D7" w14:textId="77777777" w:rsidR="00830E72" w:rsidRDefault="00830E72">
                <w:pPr>
                  <w:jc w:val="right"/>
                  <w:rPr>
                    <w:szCs w:val="21"/>
                  </w:rPr>
                </w:pPr>
              </w:p>
            </w:tc>
            <w:tc>
              <w:tcPr>
                <w:tcW w:w="940" w:type="pct"/>
                <w:vAlign w:val="center"/>
              </w:tcPr>
              <w:p w14:paraId="26080250" w14:textId="77777777" w:rsidR="00830E72" w:rsidRDefault="008344D8">
                <w:pPr>
                  <w:jc w:val="right"/>
                  <w:rPr>
                    <w:szCs w:val="21"/>
                  </w:rPr>
                </w:pPr>
                <w:r>
                  <w:rPr>
                    <w:szCs w:val="21"/>
                  </w:rPr>
                  <w:t>8,278,564.51</w:t>
                </w:r>
              </w:p>
            </w:tc>
          </w:tr>
        </w:tbl>
        <w:p w14:paraId="63D16136" w14:textId="77777777" w:rsidR="00830E72" w:rsidRDefault="00830E72"/>
        <w:p w14:paraId="728B51AB" w14:textId="77777777" w:rsidR="00830E72" w:rsidRDefault="008344D8">
          <w:pPr>
            <w:pStyle w:val="Style144"/>
            <w:rPr>
              <w:rFonts w:ascii="宋体" w:hAnsi="宋体"/>
            </w:rPr>
          </w:pPr>
          <w:r>
            <w:rPr>
              <w:rFonts w:ascii="宋体" w:hAnsi="宋体" w:hint="eastAsia"/>
            </w:rPr>
            <w:t>对本期发生损失准备变动的长期应收款账面余额显著变动的情况说明：</w:t>
          </w:r>
        </w:p>
        <w:sdt>
          <w:sdtPr>
            <w:rPr>
              <w:szCs w:val="21"/>
            </w:rPr>
            <w:alias w:val="是否适用：长期应收款本期发生损失准备变动且账面余额显著变动的情况说明[双击切换]"/>
            <w:tag w:val="_GBC_105890c95e234852a3bb3a3f5acf6008"/>
            <w:id w:val="1060358990"/>
            <w:lock w:val="sdtContentLocked"/>
            <w:placeholder>
              <w:docPart w:val="GBC22222222222222222222222222222"/>
            </w:placeholder>
          </w:sdtPr>
          <w:sdtEndPr/>
          <w:sdtContent>
            <w:p w14:paraId="65C91364"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DF9D059" w14:textId="77777777" w:rsidR="00830E72" w:rsidRDefault="00830E72">
          <w:pPr>
            <w:rPr>
              <w:color w:val="FF0000"/>
              <w:szCs w:val="21"/>
            </w:rPr>
          </w:pPr>
        </w:p>
        <w:p w14:paraId="23BACB30" w14:textId="77777777" w:rsidR="00830E72" w:rsidRDefault="008344D8">
          <w:pPr>
            <w:pStyle w:val="Style144"/>
            <w:rPr>
              <w:rFonts w:ascii="宋体" w:hAnsi="宋体"/>
            </w:rPr>
          </w:pPr>
          <w:r>
            <w:rPr>
              <w:rFonts w:ascii="宋体" w:hAnsi="宋体"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9c13b337c4794abdbfceded7b319c34a"/>
            <w:id w:val="-1039973417"/>
            <w:lock w:val="sdtContentLocked"/>
            <w:placeholder>
              <w:docPart w:val="GBC22222222222222222222222222222"/>
            </w:placeholder>
          </w:sdtPr>
          <w:sdtEndPr/>
          <w:sdtContent>
            <w:p w14:paraId="5011B6CB"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29E7917" w14:textId="77777777" w:rsidR="00830E72" w:rsidRDefault="00D44830">
          <w:pPr>
            <w:rPr>
              <w:color w:val="FF0000"/>
              <w:szCs w:val="21"/>
            </w:rPr>
          </w:pPr>
        </w:p>
      </w:sdtContent>
    </w:sdt>
    <w:bookmarkEnd w:id="137" w:displacedByCustomXml="next"/>
    <w:sdt>
      <w:sdtPr>
        <w:rPr>
          <w:rFonts w:ascii="宋体" w:hAnsi="宋体" w:cs="宋体" w:hint="eastAsia"/>
          <w:b w:val="0"/>
          <w:bCs w:val="0"/>
          <w:kern w:val="0"/>
          <w:szCs w:val="21"/>
        </w:rPr>
        <w:alias w:val="模块:因金融资产转移而终止确认的长期应收款"/>
        <w:tag w:val="_GBC_928896eb74ab465199673a59201d4a8b"/>
        <w:id w:val="-60568656"/>
        <w:lock w:val="sdtLocked"/>
        <w:placeholder>
          <w:docPart w:val="GBC22222222222222222222222222222"/>
        </w:placeholder>
      </w:sdtPr>
      <w:sdtEndPr/>
      <w:sdtContent>
        <w:p w14:paraId="24983E0D" w14:textId="77777777" w:rsidR="00830E72" w:rsidRDefault="008344D8">
          <w:pPr>
            <w:pStyle w:val="Style100"/>
            <w:numPr>
              <w:ilvl w:val="0"/>
              <w:numId w:val="55"/>
            </w:numPr>
            <w:rPr>
              <w:rFonts w:ascii="宋体" w:hAnsi="宋体"/>
              <w:szCs w:val="21"/>
            </w:rPr>
          </w:pPr>
          <w:r>
            <w:rPr>
              <w:rFonts w:ascii="宋体" w:hAnsi="宋体" w:hint="eastAsia"/>
              <w:szCs w:val="21"/>
            </w:rPr>
            <w:t>因金融资产转移而</w:t>
          </w:r>
          <w:r>
            <w:rPr>
              <w:rFonts w:ascii="宋体" w:hAnsi="宋体" w:hint="eastAsia"/>
            </w:rPr>
            <w:t>终止</w:t>
          </w:r>
          <w:r>
            <w:rPr>
              <w:rFonts w:ascii="宋体" w:hAnsi="宋体" w:hint="eastAsia"/>
              <w:szCs w:val="21"/>
            </w:rPr>
            <w:t>确认的长期应收款</w:t>
          </w:r>
        </w:p>
        <w:sdt>
          <w:sdtPr>
            <w:rPr>
              <w:rFonts w:hint="eastAsia"/>
              <w:szCs w:val="21"/>
            </w:rPr>
            <w:alias w:val="是否适用：因金融资产转移而终止确认的长期应收款[双击切换]"/>
            <w:tag w:val="_GBC_f7aab2a321ef4781ad1595366bc02c5e"/>
            <w:id w:val="-2006737600"/>
            <w:lock w:val="sdtContentLocked"/>
            <w:placeholder>
              <w:docPart w:val="GBC22222222222222222222222222222"/>
            </w:placeholder>
          </w:sdtPr>
          <w:sdtEndPr/>
          <w:sdtContent>
            <w:p w14:paraId="7F913244"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04247BA" w14:textId="77777777" w:rsidR="00830E72" w:rsidRDefault="00830E72">
      <w:pPr>
        <w:rPr>
          <w:szCs w:val="21"/>
        </w:rPr>
      </w:pPr>
    </w:p>
    <w:sdt>
      <w:sdtPr>
        <w:rPr>
          <w:rFonts w:ascii="宋体" w:hAnsi="宋体" w:cs="宋体" w:hint="eastAsia"/>
          <w:b w:val="0"/>
          <w:bCs w:val="0"/>
          <w:kern w:val="0"/>
          <w:szCs w:val="24"/>
        </w:rPr>
        <w:alias w:val="模块:转移长期应收款且继续涉入形成的资产、负债金额"/>
        <w:tag w:val="_GBC_711f6e05c2eb42e595d774bdf837f823"/>
        <w:id w:val="-760453276"/>
        <w:lock w:val="sdtLocked"/>
        <w:placeholder>
          <w:docPart w:val="GBC22222222222222222222222222222"/>
        </w:placeholder>
      </w:sdtPr>
      <w:sdtEndPr/>
      <w:sdtContent>
        <w:p w14:paraId="09C66924" w14:textId="77777777" w:rsidR="00830E72" w:rsidRDefault="008344D8">
          <w:pPr>
            <w:pStyle w:val="Style100"/>
            <w:numPr>
              <w:ilvl w:val="0"/>
              <w:numId w:val="55"/>
            </w:numPr>
            <w:rPr>
              <w:rFonts w:ascii="宋体" w:hAnsi="宋体"/>
            </w:rPr>
          </w:pPr>
          <w:r>
            <w:rPr>
              <w:rFonts w:ascii="宋体" w:hAnsi="宋体" w:hint="eastAsia"/>
            </w:rPr>
            <w:t>转移长期应收款且继续涉入形成的资产、负债金额</w:t>
          </w:r>
        </w:p>
        <w:sdt>
          <w:sdtPr>
            <w:rPr>
              <w:rFonts w:hint="eastAsia"/>
            </w:rPr>
            <w:alias w:val="是否适用：转移长期应收款且继续涉入形成的资产、负债金额[双击切换]"/>
            <w:tag w:val="_GBC_202f97bd4328472388c45157689d09e0"/>
            <w:id w:val="-1847781257"/>
            <w:lock w:val="sdtContentLocked"/>
            <w:placeholder>
              <w:docPart w:val="GBC22222222222222222222222222222"/>
            </w:placeholder>
          </w:sdtPr>
          <w:sdtEndPr/>
          <w:sdtContent>
            <w:p w14:paraId="1BBC30E5"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DAC867E" w14:textId="77777777" w:rsidR="00830E72" w:rsidRDefault="00830E72">
      <w:pPr>
        <w:rPr>
          <w:szCs w:val="21"/>
        </w:rPr>
      </w:pPr>
    </w:p>
    <w:sdt>
      <w:sdtPr>
        <w:rPr>
          <w:rFonts w:hint="eastAsia"/>
          <w:szCs w:val="21"/>
        </w:rPr>
        <w:alias w:val="模块:长期应收款的其他说明"/>
        <w:tag w:val="_GBC_2a6246644ca84dfdb1b5ecc95ea5c0c2"/>
        <w:id w:val="-883940401"/>
        <w:lock w:val="sdtLocked"/>
        <w:placeholder>
          <w:docPart w:val="GBC22222222222222222222222222222"/>
        </w:placeholder>
      </w:sdtPr>
      <w:sdtEndPr/>
      <w:sdtContent>
        <w:p w14:paraId="7EB05B09" w14:textId="77777777" w:rsidR="00830E72" w:rsidRDefault="008344D8">
          <w:pPr>
            <w:rPr>
              <w:szCs w:val="21"/>
            </w:rPr>
          </w:pPr>
          <w:r>
            <w:rPr>
              <w:rFonts w:hint="eastAsia"/>
              <w:szCs w:val="21"/>
            </w:rPr>
            <w:t>其他说明：</w:t>
          </w:r>
        </w:p>
        <w:sdt>
          <w:sdtPr>
            <w:rPr>
              <w:rFonts w:hint="eastAsia"/>
              <w:szCs w:val="21"/>
            </w:rPr>
            <w:alias w:val="是否适用：长期应收款的其他说明[双击切换]"/>
            <w:tag w:val="_GBC_a368edfbd60c44cdaed5299529b44fa0"/>
            <w:id w:val="1907960121"/>
            <w:lock w:val="sdtContentLocked"/>
            <w:placeholder>
              <w:docPart w:val="GBC22222222222222222222222222222"/>
            </w:placeholder>
          </w:sdtPr>
          <w:sdtEndPr/>
          <w:sdtContent>
            <w:p w14:paraId="4EA166DC"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0F3EE73" w14:textId="77777777" w:rsidR="00830E72" w:rsidRDefault="00830E72">
      <w:pPr>
        <w:rPr>
          <w:szCs w:val="21"/>
        </w:rPr>
        <w:sectPr w:rsidR="00830E72">
          <w:pgSz w:w="11906" w:h="16838"/>
          <w:pgMar w:top="1525" w:right="1276" w:bottom="1440" w:left="1797" w:header="856" w:footer="992" w:gutter="0"/>
          <w:cols w:space="425"/>
          <w:docGrid w:linePitch="312"/>
        </w:sectPr>
      </w:pPr>
    </w:p>
    <w:p w14:paraId="490F742A" w14:textId="77777777" w:rsidR="00830E72" w:rsidRDefault="00830E72">
      <w:pPr>
        <w:rPr>
          <w:szCs w:val="21"/>
        </w:rPr>
      </w:pPr>
    </w:p>
    <w:p w14:paraId="70E8468C"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长期股权投资</w:t>
      </w:r>
    </w:p>
    <w:p w14:paraId="19E75A27" w14:textId="77777777" w:rsidR="00830E72" w:rsidRDefault="00D44830">
      <w:sdt>
        <w:sdtPr>
          <w:rPr>
            <w:rFonts w:hint="eastAsia"/>
          </w:rPr>
          <w:alias w:val="是否适用：长期股权投资[双击切换]"/>
          <w:tag w:val="_GBC_bafa2cb2262c4c4ebc4eed8f4e4a81c6"/>
          <w:id w:val="-1297520183"/>
          <w:lock w:val="sdtContentLocked"/>
          <w:placeholder>
            <w:docPart w:val="GBC22222222222222222222222222222"/>
          </w:placeholder>
        </w:sdtPr>
        <w:sdtEndPr/>
        <w:sdtContent>
          <w:r w:rsidR="008344D8">
            <w:fldChar w:fldCharType="begin"/>
          </w:r>
          <w:r w:rsidR="008344D8">
            <w:instrText xml:space="preserve"> MACROBUTTON  SnrToggleCheckbox √适用 </w:instrText>
          </w:r>
          <w:r w:rsidR="008344D8">
            <w:fldChar w:fldCharType="end"/>
          </w:r>
          <w:r w:rsidR="008344D8">
            <w:fldChar w:fldCharType="begin"/>
          </w:r>
          <w:r w:rsidR="008344D8">
            <w:instrText xml:space="preserve"> MACROBUTTON  SnrToggleCheckbox □不适用 </w:instrText>
          </w:r>
          <w:r w:rsidR="008344D8">
            <w:fldChar w:fldCharType="end"/>
          </w:r>
        </w:sdtContent>
      </w:sdt>
    </w:p>
    <w:sdt>
      <w:sdtPr>
        <w:rPr>
          <w:rFonts w:hint="eastAsia"/>
          <w:szCs w:val="21"/>
        </w:rPr>
        <w:alias w:val="模块:长期股权投资"/>
        <w:tag w:val="_GBC_e68906ccea2845f1856fe89f4de6c229"/>
        <w:id w:val="-1549603647"/>
        <w:lock w:val="sdtLocked"/>
        <w:placeholder>
          <w:docPart w:val="GBC22222222222222222222222222222"/>
        </w:placeholder>
      </w:sdtPr>
      <w:sdtEndPr/>
      <w:sdtContent>
        <w:p w14:paraId="5B7A5638" w14:textId="77777777" w:rsidR="00830E72" w:rsidRDefault="008344D8">
          <w:pPr>
            <w:jc w:val="right"/>
            <w:rPr>
              <w:szCs w:val="21"/>
            </w:rPr>
          </w:pPr>
          <w:r>
            <w:rPr>
              <w:rFonts w:hint="eastAsia"/>
              <w:szCs w:val="21"/>
            </w:rPr>
            <w:t>单位：</w:t>
          </w:r>
          <w:sdt>
            <w:sdtPr>
              <w:rPr>
                <w:rFonts w:hint="eastAsia"/>
                <w:szCs w:val="21"/>
              </w:rPr>
              <w:alias w:val="单位：财务附注：长期股权投资"/>
              <w:tag w:val="_GBC_63e30834d38e49658bec9056bc38e4e2"/>
              <w:id w:val="104503760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f72bca6b250e484887289a819bc62e7d"/>
              <w:id w:val="-78427802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5"/>
            <w:gridCol w:w="707"/>
            <w:gridCol w:w="710"/>
            <w:gridCol w:w="1133"/>
            <w:gridCol w:w="1136"/>
            <w:gridCol w:w="1133"/>
            <w:gridCol w:w="1133"/>
            <w:gridCol w:w="1136"/>
            <w:gridCol w:w="713"/>
            <w:gridCol w:w="1274"/>
            <w:gridCol w:w="1364"/>
          </w:tblGrid>
          <w:tr w:rsidR="00830E72" w14:paraId="70FEDBAD" w14:textId="77777777">
            <w:sdt>
              <w:sdtPr>
                <w:tag w:val="_PLD_f83b8af388eb4b51ac2d014806d1cf64"/>
                <w:id w:val="248935794"/>
                <w:lock w:val="sdtLocked"/>
              </w:sdtPr>
              <w:sdtEndPr/>
              <w:sdtContent>
                <w:tc>
                  <w:tcPr>
                    <w:tcW w:w="793" w:type="pct"/>
                    <w:vMerge w:val="restart"/>
                    <w:tcBorders>
                      <w:top w:val="single" w:sz="4" w:space="0" w:color="auto"/>
                      <w:left w:val="single" w:sz="4" w:space="0" w:color="auto"/>
                      <w:right w:val="single" w:sz="4" w:space="0" w:color="auto"/>
                    </w:tcBorders>
                    <w:shd w:val="clear" w:color="auto" w:fill="auto"/>
                    <w:vAlign w:val="center"/>
                  </w:tcPr>
                  <w:p w14:paraId="7F4A8A31" w14:textId="77777777" w:rsidR="00830E72" w:rsidRDefault="008344D8">
                    <w:pPr>
                      <w:jc w:val="center"/>
                      <w:rPr>
                        <w:szCs w:val="21"/>
                      </w:rPr>
                    </w:pPr>
                    <w:r>
                      <w:rPr>
                        <w:rFonts w:hint="eastAsia"/>
                        <w:szCs w:val="21"/>
                      </w:rPr>
                      <w:t>被投资单位</w:t>
                    </w:r>
                  </w:p>
                </w:tc>
              </w:sdtContent>
            </w:sdt>
            <w:sdt>
              <w:sdtPr>
                <w:tag w:val="_PLD_13e6a1fe1f124ad387aad52d77f70942"/>
                <w:id w:val="-1433162"/>
                <w:lock w:val="sdtLocked"/>
              </w:sdtPr>
              <w:sdtEndPr/>
              <w:sdtContent>
                <w:tc>
                  <w:tcPr>
                    <w:tcW w:w="502" w:type="pct"/>
                    <w:vMerge w:val="restart"/>
                    <w:tcBorders>
                      <w:top w:val="single" w:sz="4" w:space="0" w:color="auto"/>
                      <w:left w:val="single" w:sz="4" w:space="0" w:color="auto"/>
                      <w:right w:val="single" w:sz="4" w:space="0" w:color="auto"/>
                    </w:tcBorders>
                    <w:shd w:val="clear" w:color="auto" w:fill="auto"/>
                    <w:vAlign w:val="center"/>
                  </w:tcPr>
                  <w:p w14:paraId="69A4708F" w14:textId="77777777" w:rsidR="00830E72" w:rsidRDefault="008344D8">
                    <w:pPr>
                      <w:jc w:val="center"/>
                      <w:rPr>
                        <w:szCs w:val="21"/>
                      </w:rPr>
                    </w:pPr>
                    <w:r>
                      <w:rPr>
                        <w:rFonts w:hint="eastAsia"/>
                        <w:szCs w:val="21"/>
                      </w:rPr>
                      <w:t>期初</w:t>
                    </w:r>
                  </w:p>
                  <w:p w14:paraId="647F1A67" w14:textId="77777777" w:rsidR="00830E72" w:rsidRDefault="008344D8">
                    <w:pPr>
                      <w:jc w:val="center"/>
                      <w:rPr>
                        <w:szCs w:val="21"/>
                      </w:rPr>
                    </w:pPr>
                    <w:r>
                      <w:rPr>
                        <w:rFonts w:hint="eastAsia"/>
                        <w:szCs w:val="21"/>
                      </w:rPr>
                      <w:t>余额</w:t>
                    </w:r>
                  </w:p>
                </w:tc>
              </w:sdtContent>
            </w:sdt>
            <w:sdt>
              <w:sdtPr>
                <w:tag w:val="_PLD_26fdf8bbc93c4727b9e370d1fdd1f305"/>
                <w:id w:val="-2050359292"/>
                <w:lock w:val="sdtLocked"/>
              </w:sdtPr>
              <w:sdtEndPr/>
              <w:sdtContent>
                <w:tc>
                  <w:tcPr>
                    <w:tcW w:w="276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7B24D64E" w14:textId="77777777" w:rsidR="00830E72" w:rsidRDefault="008344D8">
                    <w:pPr>
                      <w:jc w:val="center"/>
                      <w:rPr>
                        <w:szCs w:val="21"/>
                      </w:rPr>
                    </w:pPr>
                    <w:r>
                      <w:rPr>
                        <w:rFonts w:hint="eastAsia"/>
                        <w:szCs w:val="21"/>
                      </w:rPr>
                      <w:t>本期增减变动</w:t>
                    </w:r>
                  </w:p>
                </w:tc>
              </w:sdtContent>
            </w:sdt>
            <w:sdt>
              <w:sdtPr>
                <w:tag w:val="_PLD_26f512d0941441d6b65bf5cb83112461"/>
                <w:id w:val="-713429514"/>
                <w:lock w:val="sdtLocked"/>
              </w:sdtPr>
              <w:sdtEndPr/>
              <w:sdtContent>
                <w:tc>
                  <w:tcPr>
                    <w:tcW w:w="452" w:type="pct"/>
                    <w:vMerge w:val="restart"/>
                    <w:tcBorders>
                      <w:top w:val="single" w:sz="4" w:space="0" w:color="auto"/>
                      <w:left w:val="single" w:sz="4" w:space="0" w:color="auto"/>
                      <w:right w:val="single" w:sz="4" w:space="0" w:color="auto"/>
                    </w:tcBorders>
                    <w:shd w:val="clear" w:color="auto" w:fill="auto"/>
                    <w:vAlign w:val="center"/>
                  </w:tcPr>
                  <w:p w14:paraId="4F3E55F6" w14:textId="77777777" w:rsidR="00830E72" w:rsidRDefault="008344D8">
                    <w:pPr>
                      <w:jc w:val="center"/>
                      <w:rPr>
                        <w:szCs w:val="21"/>
                      </w:rPr>
                    </w:pPr>
                    <w:r>
                      <w:rPr>
                        <w:rFonts w:hint="eastAsia"/>
                        <w:szCs w:val="21"/>
                      </w:rPr>
                      <w:t>期末</w:t>
                    </w:r>
                  </w:p>
                  <w:p w14:paraId="2574A04D" w14:textId="77777777" w:rsidR="00830E72" w:rsidRDefault="008344D8">
                    <w:pPr>
                      <w:jc w:val="center"/>
                      <w:rPr>
                        <w:szCs w:val="21"/>
                      </w:rPr>
                    </w:pPr>
                    <w:r>
                      <w:rPr>
                        <w:rFonts w:hint="eastAsia"/>
                        <w:szCs w:val="21"/>
                      </w:rPr>
                      <w:t>余额</w:t>
                    </w:r>
                  </w:p>
                </w:tc>
              </w:sdtContent>
            </w:sdt>
            <w:sdt>
              <w:sdtPr>
                <w:tag w:val="_PLD_0a22719961ad439599d68ae073360e65"/>
                <w:id w:val="1365631809"/>
                <w:lock w:val="sdtLocked"/>
              </w:sdtPr>
              <w:sdtEndPr/>
              <w:sdtContent>
                <w:tc>
                  <w:tcPr>
                    <w:tcW w:w="484" w:type="pct"/>
                    <w:vMerge w:val="restart"/>
                    <w:tcBorders>
                      <w:top w:val="single" w:sz="4" w:space="0" w:color="auto"/>
                      <w:left w:val="single" w:sz="4" w:space="0" w:color="auto"/>
                      <w:right w:val="single" w:sz="4" w:space="0" w:color="auto"/>
                    </w:tcBorders>
                    <w:shd w:val="clear" w:color="auto" w:fill="auto"/>
                    <w:vAlign w:val="center"/>
                  </w:tcPr>
                  <w:p w14:paraId="06366CF6" w14:textId="77777777" w:rsidR="00830E72" w:rsidRDefault="008344D8">
                    <w:pPr>
                      <w:jc w:val="center"/>
                      <w:rPr>
                        <w:szCs w:val="21"/>
                      </w:rPr>
                    </w:pPr>
                    <w:r>
                      <w:rPr>
                        <w:rFonts w:hint="eastAsia"/>
                        <w:szCs w:val="21"/>
                      </w:rPr>
                      <w:t>减值准备期末余额</w:t>
                    </w:r>
                  </w:p>
                </w:tc>
              </w:sdtContent>
            </w:sdt>
          </w:tr>
          <w:tr w:rsidR="00830E72" w14:paraId="52B0F97C" w14:textId="77777777">
            <w:tc>
              <w:tcPr>
                <w:tcW w:w="793" w:type="pct"/>
                <w:vMerge/>
                <w:tcBorders>
                  <w:left w:val="single" w:sz="4" w:space="0" w:color="auto"/>
                  <w:bottom w:val="single" w:sz="4" w:space="0" w:color="auto"/>
                  <w:right w:val="single" w:sz="4" w:space="0" w:color="auto"/>
                </w:tcBorders>
                <w:shd w:val="clear" w:color="auto" w:fill="auto"/>
              </w:tcPr>
              <w:p w14:paraId="7C3E7288" w14:textId="77777777" w:rsidR="00830E72" w:rsidRDefault="00830E72">
                <w:pPr>
                  <w:jc w:val="center"/>
                  <w:rPr>
                    <w:szCs w:val="21"/>
                  </w:rPr>
                </w:pPr>
              </w:p>
            </w:tc>
            <w:tc>
              <w:tcPr>
                <w:tcW w:w="502" w:type="pct"/>
                <w:vMerge/>
                <w:tcBorders>
                  <w:left w:val="single" w:sz="4" w:space="0" w:color="auto"/>
                  <w:bottom w:val="single" w:sz="4" w:space="0" w:color="auto"/>
                  <w:right w:val="single" w:sz="4" w:space="0" w:color="auto"/>
                </w:tcBorders>
                <w:shd w:val="clear" w:color="auto" w:fill="auto"/>
              </w:tcPr>
              <w:p w14:paraId="02BCC0D3" w14:textId="77777777" w:rsidR="00830E72" w:rsidRDefault="00830E72">
                <w:pPr>
                  <w:jc w:val="center"/>
                  <w:rPr>
                    <w:szCs w:val="21"/>
                  </w:rPr>
                </w:pPr>
              </w:p>
            </w:tc>
            <w:sdt>
              <w:sdtPr>
                <w:tag w:val="_PLD_51f40272a3ff4bacb9c71b19b5796e3e"/>
                <w:id w:val="-1656670703"/>
                <w:lock w:val="sdtLocked"/>
              </w:sdtPr>
              <w:sdtEndPr/>
              <w:sdtContent>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1E3E040B" w14:textId="77777777" w:rsidR="00830E72" w:rsidRDefault="008344D8">
                    <w:pPr>
                      <w:jc w:val="center"/>
                      <w:rPr>
                        <w:szCs w:val="21"/>
                      </w:rPr>
                    </w:pPr>
                    <w:r>
                      <w:rPr>
                        <w:rFonts w:hint="eastAsia"/>
                        <w:szCs w:val="21"/>
                      </w:rPr>
                      <w:t>追加投资</w:t>
                    </w:r>
                  </w:p>
                </w:tc>
              </w:sdtContent>
            </w:sdt>
            <w:sdt>
              <w:sdtPr>
                <w:tag w:val="_PLD_e5464032b3a04113a9cc54a32d8ba16e"/>
                <w:id w:val="-2055996408"/>
                <w:lock w:val="sdtLocked"/>
              </w:sdtPr>
              <w:sdtEndPr/>
              <w:sdtContent>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4C2DE5FA" w14:textId="77777777" w:rsidR="00830E72" w:rsidRDefault="008344D8">
                    <w:pPr>
                      <w:jc w:val="center"/>
                      <w:rPr>
                        <w:szCs w:val="21"/>
                      </w:rPr>
                    </w:pPr>
                    <w:r>
                      <w:rPr>
                        <w:rFonts w:hint="eastAsia"/>
                        <w:szCs w:val="21"/>
                      </w:rPr>
                      <w:t>减少投资</w:t>
                    </w:r>
                  </w:p>
                </w:tc>
              </w:sdtContent>
            </w:sdt>
            <w:sdt>
              <w:sdtPr>
                <w:tag w:val="_PLD_3e93bb423e264a59a4ee73dd513ac7a0"/>
                <w:id w:val="673385394"/>
                <w:lock w:val="sdtLocked"/>
              </w:sdtPr>
              <w:sdtEndPr/>
              <w:sdtContent>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7DC7958" w14:textId="77777777" w:rsidR="00830E72" w:rsidRDefault="008344D8">
                    <w:pPr>
                      <w:jc w:val="center"/>
                      <w:rPr>
                        <w:szCs w:val="21"/>
                      </w:rPr>
                    </w:pPr>
                    <w:r>
                      <w:rPr>
                        <w:rFonts w:hint="eastAsia"/>
                        <w:szCs w:val="21"/>
                      </w:rPr>
                      <w:t>权益法下确认的投资损益</w:t>
                    </w:r>
                  </w:p>
                </w:tc>
              </w:sdtContent>
            </w:sdt>
            <w:sdt>
              <w:sdtPr>
                <w:tag w:val="_PLD_6d1d63a827674a6d9b4fd3b0738ccb44"/>
                <w:id w:val="-22324750"/>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0027F06D" w14:textId="77777777" w:rsidR="00830E72" w:rsidRDefault="008344D8">
                    <w:pPr>
                      <w:jc w:val="center"/>
                      <w:rPr>
                        <w:szCs w:val="21"/>
                      </w:rPr>
                    </w:pPr>
                    <w:r>
                      <w:rPr>
                        <w:rFonts w:hint="eastAsia"/>
                        <w:szCs w:val="21"/>
                      </w:rPr>
                      <w:t>其他综合收益调整</w:t>
                    </w:r>
                  </w:p>
                </w:tc>
              </w:sdtContent>
            </w:sdt>
            <w:sdt>
              <w:sdtPr>
                <w:tag w:val="_PLD_2e31e12a1218445b9271cd0b2b46dfb3"/>
                <w:id w:val="-140113695"/>
                <w:lock w:val="sdtLocked"/>
              </w:sdtPr>
              <w:sdtEndPr/>
              <w:sdtContent>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73F35B4" w14:textId="77777777" w:rsidR="00830E72" w:rsidRDefault="008344D8">
                    <w:pPr>
                      <w:jc w:val="center"/>
                      <w:rPr>
                        <w:szCs w:val="21"/>
                      </w:rPr>
                    </w:pPr>
                    <w:r>
                      <w:rPr>
                        <w:rFonts w:hint="eastAsia"/>
                        <w:szCs w:val="21"/>
                      </w:rPr>
                      <w:t>其他权益变动</w:t>
                    </w:r>
                  </w:p>
                </w:tc>
              </w:sdtContent>
            </w:sdt>
            <w:sdt>
              <w:sdtPr>
                <w:tag w:val="_PLD_35f9510bcc234f63a5879448c48131ac"/>
                <w:id w:val="-432749588"/>
                <w:lock w:val="sdtLocked"/>
              </w:sdtPr>
              <w:sdtEndPr/>
              <w:sdtContent>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6EFC0565" w14:textId="77777777" w:rsidR="00830E72" w:rsidRDefault="008344D8">
                    <w:pPr>
                      <w:jc w:val="center"/>
                      <w:rPr>
                        <w:szCs w:val="21"/>
                      </w:rPr>
                    </w:pPr>
                    <w:r>
                      <w:rPr>
                        <w:rFonts w:hint="eastAsia"/>
                        <w:szCs w:val="21"/>
                      </w:rPr>
                      <w:t>宣告发放现金股利或利润</w:t>
                    </w:r>
                  </w:p>
                </w:tc>
              </w:sdtContent>
            </w:sdt>
            <w:sdt>
              <w:sdtPr>
                <w:tag w:val="_PLD_ad3c3bd2b468443aab93d8cfe4bded11"/>
                <w:id w:val="-1440754996"/>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5567D514" w14:textId="77777777" w:rsidR="00830E72" w:rsidRDefault="008344D8">
                    <w:pPr>
                      <w:jc w:val="center"/>
                      <w:rPr>
                        <w:szCs w:val="21"/>
                      </w:rPr>
                    </w:pPr>
                    <w:r>
                      <w:rPr>
                        <w:rFonts w:hint="eastAsia"/>
                        <w:szCs w:val="21"/>
                      </w:rPr>
                      <w:t>计提减值准备</w:t>
                    </w:r>
                  </w:p>
                </w:tc>
              </w:sdtContent>
            </w:sdt>
            <w:sdt>
              <w:sdtPr>
                <w:tag w:val="_PLD_1bf39451058c4b3c8ec7b49241e56e40"/>
                <w:id w:val="930782283"/>
                <w:lock w:val="sdtLocked"/>
              </w:sdtPr>
              <w:sdtEndPr/>
              <w:sdtContent>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B664725" w14:textId="77777777" w:rsidR="00830E72" w:rsidRDefault="008344D8">
                    <w:pPr>
                      <w:jc w:val="center"/>
                      <w:rPr>
                        <w:szCs w:val="21"/>
                      </w:rPr>
                    </w:pPr>
                    <w:r>
                      <w:rPr>
                        <w:rFonts w:hint="eastAsia"/>
                        <w:szCs w:val="21"/>
                      </w:rPr>
                      <w:t>其他</w:t>
                    </w:r>
                  </w:p>
                </w:tc>
              </w:sdtContent>
            </w:sdt>
            <w:tc>
              <w:tcPr>
                <w:tcW w:w="452" w:type="pct"/>
                <w:vMerge/>
                <w:tcBorders>
                  <w:left w:val="single" w:sz="4" w:space="0" w:color="auto"/>
                  <w:bottom w:val="single" w:sz="4" w:space="0" w:color="auto"/>
                  <w:right w:val="single" w:sz="4" w:space="0" w:color="auto"/>
                </w:tcBorders>
                <w:shd w:val="clear" w:color="auto" w:fill="auto"/>
                <w:vAlign w:val="center"/>
              </w:tcPr>
              <w:p w14:paraId="6DC418FA" w14:textId="77777777" w:rsidR="00830E72" w:rsidRDefault="00830E72">
                <w:pPr>
                  <w:jc w:val="center"/>
                  <w:rPr>
                    <w:szCs w:val="21"/>
                  </w:rPr>
                </w:pPr>
              </w:p>
            </w:tc>
            <w:tc>
              <w:tcPr>
                <w:tcW w:w="484" w:type="pct"/>
                <w:vMerge/>
                <w:tcBorders>
                  <w:left w:val="single" w:sz="4" w:space="0" w:color="auto"/>
                  <w:bottom w:val="single" w:sz="4" w:space="0" w:color="auto"/>
                  <w:right w:val="single" w:sz="4" w:space="0" w:color="auto"/>
                </w:tcBorders>
                <w:shd w:val="clear" w:color="auto" w:fill="auto"/>
                <w:vAlign w:val="center"/>
              </w:tcPr>
              <w:p w14:paraId="16FF140D" w14:textId="77777777" w:rsidR="00830E72" w:rsidRDefault="00830E72">
                <w:pPr>
                  <w:jc w:val="center"/>
                  <w:rPr>
                    <w:szCs w:val="21"/>
                  </w:rPr>
                </w:pPr>
              </w:p>
            </w:tc>
          </w:tr>
          <w:tr w:rsidR="00830E72" w14:paraId="38B691BC" w14:textId="77777777">
            <w:sdt>
              <w:sdtPr>
                <w:tag w:val="_PLD_a4cee4ce080742218169c5adba891f8b"/>
                <w:id w:val="1273369457"/>
                <w:lock w:val="sdtLocked"/>
              </w:sdtPr>
              <w:sdtEndPr/>
              <w:sdtContent>
                <w:tc>
                  <w:tcPr>
                    <w:tcW w:w="793" w:type="pct"/>
                    <w:tcBorders>
                      <w:top w:val="single" w:sz="4" w:space="0" w:color="auto"/>
                      <w:left w:val="single" w:sz="4" w:space="0" w:color="auto"/>
                      <w:bottom w:val="single" w:sz="4" w:space="0" w:color="auto"/>
                      <w:right w:val="single" w:sz="4" w:space="0" w:color="auto"/>
                    </w:tcBorders>
                    <w:shd w:val="clear" w:color="auto" w:fill="auto"/>
                  </w:tcPr>
                  <w:p w14:paraId="6A5FDDD0" w14:textId="77777777" w:rsidR="00830E72" w:rsidRDefault="008344D8">
                    <w:pPr>
                      <w:jc w:val="both"/>
                      <w:rPr>
                        <w:szCs w:val="21"/>
                      </w:rPr>
                    </w:pPr>
                    <w:r>
                      <w:rPr>
                        <w:rFonts w:hint="eastAsia"/>
                        <w:szCs w:val="21"/>
                      </w:rPr>
                      <w:t>一、合营企业</w:t>
                    </w:r>
                  </w:p>
                </w:tc>
              </w:sdtContent>
            </w:sdt>
            <w:tc>
              <w:tcPr>
                <w:tcW w:w="502" w:type="pct"/>
                <w:tcBorders>
                  <w:top w:val="single" w:sz="4" w:space="0" w:color="auto"/>
                  <w:left w:val="single" w:sz="4" w:space="0" w:color="auto"/>
                  <w:bottom w:val="single" w:sz="4" w:space="0" w:color="auto"/>
                  <w:right w:val="single" w:sz="4" w:space="0" w:color="auto"/>
                </w:tcBorders>
                <w:shd w:val="clear" w:color="auto" w:fill="auto"/>
              </w:tcPr>
              <w:p w14:paraId="7ACD779C" w14:textId="77777777" w:rsidR="00830E72" w:rsidRDefault="00830E72">
                <w:pPr>
                  <w:jc w:val="right"/>
                  <w:rPr>
                    <w:szCs w:val="21"/>
                  </w:rPr>
                </w:pPr>
              </w:p>
            </w:tc>
            <w:tc>
              <w:tcPr>
                <w:tcW w:w="251" w:type="pct"/>
                <w:tcBorders>
                  <w:top w:val="single" w:sz="4" w:space="0" w:color="auto"/>
                  <w:left w:val="single" w:sz="4" w:space="0" w:color="auto"/>
                  <w:bottom w:val="single" w:sz="4" w:space="0" w:color="auto"/>
                  <w:right w:val="single" w:sz="4" w:space="0" w:color="auto"/>
                </w:tcBorders>
                <w:shd w:val="clear" w:color="auto" w:fill="auto"/>
              </w:tcPr>
              <w:p w14:paraId="37728FF6" w14:textId="77777777" w:rsidR="00830E72" w:rsidRDefault="00830E72">
                <w:pPr>
                  <w:jc w:val="right"/>
                  <w:rPr>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4109A69C" w14:textId="77777777" w:rsidR="00830E72" w:rsidRDefault="00830E72">
                <w:pPr>
                  <w:jc w:val="right"/>
                  <w:rPr>
                    <w:szCs w:val="21"/>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2A498B23" w14:textId="77777777" w:rsidR="00830E72" w:rsidRDefault="00830E72">
                <w:pPr>
                  <w:jc w:val="right"/>
                  <w:rPr>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626B76BC" w14:textId="77777777" w:rsidR="00830E72" w:rsidRDefault="00830E72">
                <w:pPr>
                  <w:jc w:val="right"/>
                  <w:rPr>
                    <w:szCs w:val="21"/>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4FB6ECE7" w14:textId="77777777" w:rsidR="00830E72" w:rsidRDefault="00830E72">
                <w:pPr>
                  <w:jc w:val="right"/>
                  <w:rPr>
                    <w:szCs w:val="21"/>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37AB3542" w14:textId="77777777" w:rsidR="00830E72" w:rsidRDefault="00830E72">
                <w:pPr>
                  <w:jc w:val="right"/>
                  <w:rPr>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3E26E890" w14:textId="77777777" w:rsidR="00830E72" w:rsidRDefault="00830E72">
                <w:pPr>
                  <w:jc w:val="right"/>
                  <w:rPr>
                    <w:szCs w:val="21"/>
                  </w:rPr>
                </w:pPr>
              </w:p>
            </w:tc>
            <w:tc>
              <w:tcPr>
                <w:tcW w:w="253" w:type="pct"/>
                <w:tcBorders>
                  <w:top w:val="single" w:sz="4" w:space="0" w:color="auto"/>
                  <w:left w:val="single" w:sz="4" w:space="0" w:color="auto"/>
                  <w:bottom w:val="single" w:sz="4" w:space="0" w:color="auto"/>
                  <w:right w:val="single" w:sz="4" w:space="0" w:color="auto"/>
                </w:tcBorders>
                <w:shd w:val="clear" w:color="auto" w:fill="auto"/>
              </w:tcPr>
              <w:p w14:paraId="75B4B001" w14:textId="77777777" w:rsidR="00830E72" w:rsidRDefault="00830E72">
                <w:pPr>
                  <w:jc w:val="right"/>
                  <w:rPr>
                    <w:szCs w:val="21"/>
                  </w:rPr>
                </w:pPr>
              </w:p>
            </w:tc>
            <w:tc>
              <w:tcPr>
                <w:tcW w:w="452" w:type="pct"/>
                <w:tcBorders>
                  <w:top w:val="single" w:sz="4" w:space="0" w:color="auto"/>
                  <w:left w:val="single" w:sz="4" w:space="0" w:color="auto"/>
                  <w:bottom w:val="single" w:sz="4" w:space="0" w:color="auto"/>
                  <w:right w:val="single" w:sz="4" w:space="0" w:color="auto"/>
                </w:tcBorders>
                <w:shd w:val="clear" w:color="auto" w:fill="auto"/>
              </w:tcPr>
              <w:p w14:paraId="2FD11272" w14:textId="77777777" w:rsidR="00830E72" w:rsidRDefault="00830E72">
                <w:pPr>
                  <w:jc w:val="right"/>
                  <w:rPr>
                    <w:szCs w:val="21"/>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02BD7177" w14:textId="77777777" w:rsidR="00830E72" w:rsidRDefault="00830E72">
                <w:pPr>
                  <w:jc w:val="right"/>
                  <w:rPr>
                    <w:szCs w:val="21"/>
                  </w:rPr>
                </w:pPr>
              </w:p>
            </w:tc>
          </w:tr>
          <w:tr w:rsidR="00830E72" w14:paraId="1E36C244" w14:textId="77777777">
            <w:sdt>
              <w:sdtPr>
                <w:tag w:val="_PLD_0f6b1bcaf84d416293b3177ddad0e0e0"/>
                <w:id w:val="528376441"/>
                <w:lock w:val="sdtLocked"/>
              </w:sdtPr>
              <w:sdtEndPr/>
              <w:sdtContent>
                <w:tc>
                  <w:tcPr>
                    <w:tcW w:w="793" w:type="pct"/>
                    <w:tcBorders>
                      <w:top w:val="single" w:sz="4" w:space="0" w:color="auto"/>
                      <w:left w:val="single" w:sz="4" w:space="0" w:color="auto"/>
                      <w:bottom w:val="single" w:sz="4" w:space="0" w:color="auto"/>
                      <w:right w:val="single" w:sz="4" w:space="0" w:color="auto"/>
                    </w:tcBorders>
                    <w:shd w:val="clear" w:color="auto" w:fill="auto"/>
                  </w:tcPr>
                  <w:p w14:paraId="4F01B948" w14:textId="77777777" w:rsidR="00830E72" w:rsidRDefault="008344D8">
                    <w:pPr>
                      <w:jc w:val="both"/>
                      <w:rPr>
                        <w:szCs w:val="21"/>
                      </w:rPr>
                    </w:pPr>
                    <w:r>
                      <w:rPr>
                        <w:rFonts w:hint="eastAsia"/>
                        <w:szCs w:val="21"/>
                      </w:rPr>
                      <w:t>小计</w:t>
                    </w:r>
                  </w:p>
                </w:tc>
              </w:sdtContent>
            </w:sdt>
            <w:tc>
              <w:tcPr>
                <w:tcW w:w="502" w:type="pct"/>
                <w:tcBorders>
                  <w:top w:val="single" w:sz="4" w:space="0" w:color="auto"/>
                  <w:left w:val="single" w:sz="4" w:space="0" w:color="auto"/>
                  <w:bottom w:val="single" w:sz="4" w:space="0" w:color="auto"/>
                  <w:right w:val="single" w:sz="4" w:space="0" w:color="auto"/>
                </w:tcBorders>
                <w:shd w:val="clear" w:color="auto" w:fill="auto"/>
              </w:tcPr>
              <w:p w14:paraId="102DE3CA" w14:textId="77777777" w:rsidR="00830E72" w:rsidRDefault="00830E72">
                <w:pPr>
                  <w:jc w:val="right"/>
                  <w:rPr>
                    <w:szCs w:val="21"/>
                  </w:rPr>
                </w:pPr>
              </w:p>
            </w:tc>
            <w:tc>
              <w:tcPr>
                <w:tcW w:w="251" w:type="pct"/>
                <w:tcBorders>
                  <w:top w:val="single" w:sz="4" w:space="0" w:color="auto"/>
                  <w:left w:val="single" w:sz="4" w:space="0" w:color="auto"/>
                  <w:bottom w:val="single" w:sz="4" w:space="0" w:color="auto"/>
                  <w:right w:val="single" w:sz="4" w:space="0" w:color="auto"/>
                </w:tcBorders>
                <w:shd w:val="clear" w:color="auto" w:fill="auto"/>
              </w:tcPr>
              <w:p w14:paraId="4B886DAF" w14:textId="77777777" w:rsidR="00830E72" w:rsidRDefault="00830E72">
                <w:pPr>
                  <w:jc w:val="right"/>
                  <w:rPr>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4BE4C058" w14:textId="77777777" w:rsidR="00830E72" w:rsidRDefault="00830E72">
                <w:pPr>
                  <w:jc w:val="right"/>
                  <w:rPr>
                    <w:szCs w:val="21"/>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21B3CDC8" w14:textId="77777777" w:rsidR="00830E72" w:rsidRDefault="00830E72">
                <w:pPr>
                  <w:jc w:val="right"/>
                  <w:rPr>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09EA3505" w14:textId="77777777" w:rsidR="00830E72" w:rsidRDefault="00830E72">
                <w:pPr>
                  <w:jc w:val="right"/>
                  <w:rPr>
                    <w:szCs w:val="21"/>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7900BF9A" w14:textId="77777777" w:rsidR="00830E72" w:rsidRDefault="00830E72">
                <w:pPr>
                  <w:jc w:val="right"/>
                  <w:rPr>
                    <w:szCs w:val="21"/>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2CC37F64" w14:textId="77777777" w:rsidR="00830E72" w:rsidRDefault="00830E72">
                <w:pPr>
                  <w:jc w:val="right"/>
                  <w:rPr>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62FAF053" w14:textId="77777777" w:rsidR="00830E72" w:rsidRDefault="00830E72">
                <w:pPr>
                  <w:jc w:val="right"/>
                  <w:rPr>
                    <w:szCs w:val="21"/>
                  </w:rPr>
                </w:pPr>
              </w:p>
            </w:tc>
            <w:tc>
              <w:tcPr>
                <w:tcW w:w="253" w:type="pct"/>
                <w:tcBorders>
                  <w:top w:val="single" w:sz="4" w:space="0" w:color="auto"/>
                  <w:left w:val="single" w:sz="4" w:space="0" w:color="auto"/>
                  <w:bottom w:val="single" w:sz="4" w:space="0" w:color="auto"/>
                  <w:right w:val="single" w:sz="4" w:space="0" w:color="auto"/>
                </w:tcBorders>
                <w:shd w:val="clear" w:color="auto" w:fill="auto"/>
              </w:tcPr>
              <w:p w14:paraId="4FE2878E" w14:textId="77777777" w:rsidR="00830E72" w:rsidRDefault="00830E72">
                <w:pPr>
                  <w:jc w:val="right"/>
                  <w:rPr>
                    <w:szCs w:val="21"/>
                  </w:rPr>
                </w:pPr>
              </w:p>
            </w:tc>
            <w:tc>
              <w:tcPr>
                <w:tcW w:w="452" w:type="pct"/>
                <w:tcBorders>
                  <w:top w:val="single" w:sz="4" w:space="0" w:color="auto"/>
                  <w:left w:val="single" w:sz="4" w:space="0" w:color="auto"/>
                  <w:bottom w:val="single" w:sz="4" w:space="0" w:color="auto"/>
                  <w:right w:val="single" w:sz="4" w:space="0" w:color="auto"/>
                </w:tcBorders>
                <w:shd w:val="clear" w:color="auto" w:fill="auto"/>
              </w:tcPr>
              <w:p w14:paraId="40771F8A" w14:textId="77777777" w:rsidR="00830E72" w:rsidRDefault="00830E72">
                <w:pPr>
                  <w:jc w:val="right"/>
                  <w:rPr>
                    <w:szCs w:val="21"/>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3501B984" w14:textId="77777777" w:rsidR="00830E72" w:rsidRDefault="00830E72">
                <w:pPr>
                  <w:jc w:val="right"/>
                  <w:rPr>
                    <w:szCs w:val="21"/>
                  </w:rPr>
                </w:pPr>
              </w:p>
            </w:tc>
          </w:tr>
          <w:tr w:rsidR="00830E72" w14:paraId="495502EC" w14:textId="77777777">
            <w:sdt>
              <w:sdtPr>
                <w:tag w:val="_PLD_a1bc1a1af5744195bb75f57f610f28b4"/>
                <w:id w:val="115422998"/>
                <w:lock w:val="sdtLocked"/>
              </w:sdtPr>
              <w:sdtEndPr/>
              <w:sdtContent>
                <w:tc>
                  <w:tcPr>
                    <w:tcW w:w="793" w:type="pct"/>
                    <w:tcBorders>
                      <w:top w:val="single" w:sz="4" w:space="0" w:color="auto"/>
                      <w:left w:val="single" w:sz="4" w:space="0" w:color="auto"/>
                      <w:bottom w:val="single" w:sz="4" w:space="0" w:color="auto"/>
                      <w:right w:val="single" w:sz="4" w:space="0" w:color="auto"/>
                    </w:tcBorders>
                    <w:shd w:val="clear" w:color="auto" w:fill="auto"/>
                  </w:tcPr>
                  <w:p w14:paraId="35C75EDB" w14:textId="77777777" w:rsidR="00830E72" w:rsidRDefault="008344D8">
                    <w:pPr>
                      <w:jc w:val="both"/>
                      <w:rPr>
                        <w:szCs w:val="21"/>
                      </w:rPr>
                    </w:pPr>
                    <w:r>
                      <w:rPr>
                        <w:rFonts w:hint="eastAsia"/>
                        <w:szCs w:val="21"/>
                      </w:rPr>
                      <w:t>二、联营企业</w:t>
                    </w:r>
                  </w:p>
                </w:tc>
              </w:sdtContent>
            </w:sdt>
            <w:tc>
              <w:tcPr>
                <w:tcW w:w="502" w:type="pct"/>
                <w:tcBorders>
                  <w:top w:val="single" w:sz="4" w:space="0" w:color="auto"/>
                  <w:left w:val="single" w:sz="4" w:space="0" w:color="auto"/>
                  <w:bottom w:val="single" w:sz="4" w:space="0" w:color="auto"/>
                  <w:right w:val="single" w:sz="4" w:space="0" w:color="auto"/>
                </w:tcBorders>
                <w:shd w:val="clear" w:color="auto" w:fill="auto"/>
              </w:tcPr>
              <w:p w14:paraId="3C8EBB38" w14:textId="77777777" w:rsidR="00830E72" w:rsidRDefault="00830E72">
                <w:pPr>
                  <w:jc w:val="right"/>
                  <w:rPr>
                    <w:szCs w:val="21"/>
                  </w:rPr>
                </w:pPr>
              </w:p>
            </w:tc>
            <w:tc>
              <w:tcPr>
                <w:tcW w:w="251" w:type="pct"/>
                <w:tcBorders>
                  <w:top w:val="single" w:sz="4" w:space="0" w:color="auto"/>
                  <w:left w:val="single" w:sz="4" w:space="0" w:color="auto"/>
                  <w:bottom w:val="single" w:sz="4" w:space="0" w:color="auto"/>
                  <w:right w:val="single" w:sz="4" w:space="0" w:color="auto"/>
                </w:tcBorders>
                <w:shd w:val="clear" w:color="auto" w:fill="auto"/>
              </w:tcPr>
              <w:p w14:paraId="4AB12E02" w14:textId="77777777" w:rsidR="00830E72" w:rsidRDefault="00830E72">
                <w:pPr>
                  <w:jc w:val="right"/>
                  <w:rPr>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0A3ED454" w14:textId="77777777" w:rsidR="00830E72" w:rsidRDefault="00830E72">
                <w:pPr>
                  <w:jc w:val="right"/>
                  <w:rPr>
                    <w:szCs w:val="21"/>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27644693" w14:textId="77777777" w:rsidR="00830E72" w:rsidRDefault="00830E72">
                <w:pPr>
                  <w:jc w:val="right"/>
                  <w:rPr>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4CF447C0" w14:textId="77777777" w:rsidR="00830E72" w:rsidRDefault="00830E72">
                <w:pPr>
                  <w:jc w:val="right"/>
                  <w:rPr>
                    <w:szCs w:val="21"/>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52715C21" w14:textId="77777777" w:rsidR="00830E72" w:rsidRDefault="00830E72">
                <w:pPr>
                  <w:jc w:val="right"/>
                  <w:rPr>
                    <w:szCs w:val="21"/>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61E82D7C" w14:textId="77777777" w:rsidR="00830E72" w:rsidRDefault="00830E72">
                <w:pPr>
                  <w:jc w:val="right"/>
                  <w:rPr>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2325E389" w14:textId="77777777" w:rsidR="00830E72" w:rsidRDefault="00830E72">
                <w:pPr>
                  <w:jc w:val="right"/>
                  <w:rPr>
                    <w:szCs w:val="21"/>
                  </w:rPr>
                </w:pPr>
              </w:p>
            </w:tc>
            <w:tc>
              <w:tcPr>
                <w:tcW w:w="253" w:type="pct"/>
                <w:tcBorders>
                  <w:top w:val="single" w:sz="4" w:space="0" w:color="auto"/>
                  <w:left w:val="single" w:sz="4" w:space="0" w:color="auto"/>
                  <w:bottom w:val="single" w:sz="4" w:space="0" w:color="auto"/>
                  <w:right w:val="single" w:sz="4" w:space="0" w:color="auto"/>
                </w:tcBorders>
                <w:shd w:val="clear" w:color="auto" w:fill="auto"/>
              </w:tcPr>
              <w:p w14:paraId="7F96D169" w14:textId="77777777" w:rsidR="00830E72" w:rsidRDefault="00830E72">
                <w:pPr>
                  <w:jc w:val="right"/>
                  <w:rPr>
                    <w:szCs w:val="21"/>
                  </w:rPr>
                </w:pPr>
              </w:p>
            </w:tc>
            <w:tc>
              <w:tcPr>
                <w:tcW w:w="452" w:type="pct"/>
                <w:tcBorders>
                  <w:top w:val="single" w:sz="4" w:space="0" w:color="auto"/>
                  <w:left w:val="single" w:sz="4" w:space="0" w:color="auto"/>
                  <w:bottom w:val="single" w:sz="4" w:space="0" w:color="auto"/>
                  <w:right w:val="single" w:sz="4" w:space="0" w:color="auto"/>
                </w:tcBorders>
                <w:shd w:val="clear" w:color="auto" w:fill="auto"/>
              </w:tcPr>
              <w:p w14:paraId="57ECB6C2" w14:textId="77777777" w:rsidR="00830E72" w:rsidRDefault="00830E72">
                <w:pPr>
                  <w:jc w:val="right"/>
                  <w:rPr>
                    <w:szCs w:val="21"/>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2F2C1601" w14:textId="77777777" w:rsidR="00830E72" w:rsidRDefault="00830E72">
                <w:pPr>
                  <w:jc w:val="right"/>
                  <w:rPr>
                    <w:szCs w:val="21"/>
                  </w:rPr>
                </w:pPr>
              </w:p>
            </w:tc>
          </w:tr>
          <w:sdt>
            <w:sdtPr>
              <w:rPr>
                <w:rFonts w:hint="eastAsia"/>
                <w:szCs w:val="21"/>
              </w:rPr>
              <w:alias w:val="联营企业投资信息明细"/>
              <w:tag w:val="_GBC_49d1b98c49c34c26a2c4d55f0c1fdb21"/>
              <w:id w:val="525597837"/>
            </w:sdtPr>
            <w:sdtEndPr>
              <w:rPr>
                <w:rFonts w:hint="default"/>
              </w:rPr>
            </w:sdtEndPr>
            <w:sdtContent>
              <w:tr w:rsidR="00830E72" w14:paraId="5025C796" w14:textId="77777777">
                <w:tc>
                  <w:tcPr>
                    <w:tcW w:w="793" w:type="pct"/>
                    <w:tcBorders>
                      <w:top w:val="single" w:sz="4" w:space="0" w:color="auto"/>
                      <w:left w:val="single" w:sz="4" w:space="0" w:color="auto"/>
                      <w:bottom w:val="single" w:sz="4" w:space="0" w:color="auto"/>
                      <w:right w:val="single" w:sz="4" w:space="0" w:color="auto"/>
                    </w:tcBorders>
                    <w:shd w:val="clear" w:color="auto" w:fill="auto"/>
                  </w:tcPr>
                  <w:p w14:paraId="5D5DFA6A" w14:textId="77777777" w:rsidR="00830E72" w:rsidRDefault="008344D8">
                    <w:pPr>
                      <w:jc w:val="both"/>
                      <w:rPr>
                        <w:szCs w:val="21"/>
                      </w:rPr>
                    </w:pPr>
                    <w:r>
                      <w:rPr>
                        <w:rFonts w:hint="eastAsia"/>
                        <w:szCs w:val="21"/>
                      </w:rPr>
                      <w:t>浙江奔腾预应力工艺设备有限公司</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795C96D0" w14:textId="77777777" w:rsidR="00830E72" w:rsidRDefault="008344D8">
                    <w:pPr>
                      <w:jc w:val="right"/>
                      <w:rPr>
                        <w:szCs w:val="21"/>
                      </w:rPr>
                    </w:pPr>
                    <w:r>
                      <w:rPr>
                        <w:rFonts w:hint="eastAsia"/>
                        <w:szCs w:val="21"/>
                      </w:rPr>
                      <w:t>300,000.00</w:t>
                    </w:r>
                  </w:p>
                </w:tc>
                <w:tc>
                  <w:tcPr>
                    <w:tcW w:w="251" w:type="pct"/>
                    <w:tcBorders>
                      <w:top w:val="single" w:sz="4" w:space="0" w:color="auto"/>
                      <w:left w:val="single" w:sz="4" w:space="0" w:color="auto"/>
                      <w:bottom w:val="single" w:sz="4" w:space="0" w:color="auto"/>
                      <w:right w:val="single" w:sz="4" w:space="0" w:color="auto"/>
                    </w:tcBorders>
                    <w:shd w:val="clear" w:color="auto" w:fill="auto"/>
                  </w:tcPr>
                  <w:p w14:paraId="70128F63" w14:textId="77777777" w:rsidR="00830E72" w:rsidRDefault="00830E72">
                    <w:pPr>
                      <w:jc w:val="right"/>
                      <w:rPr>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1313C37A" w14:textId="77777777" w:rsidR="00830E72" w:rsidRDefault="00830E72">
                    <w:pPr>
                      <w:jc w:val="right"/>
                      <w:rPr>
                        <w:szCs w:val="21"/>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783ED232" w14:textId="77777777" w:rsidR="00830E72" w:rsidRDefault="00830E72">
                    <w:pPr>
                      <w:jc w:val="right"/>
                      <w:rPr>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1D12AED1" w14:textId="77777777" w:rsidR="00830E72" w:rsidRDefault="00830E72">
                    <w:pPr>
                      <w:jc w:val="right"/>
                      <w:rPr>
                        <w:szCs w:val="21"/>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70C95C11" w14:textId="77777777" w:rsidR="00830E72" w:rsidRDefault="00830E72">
                    <w:pPr>
                      <w:jc w:val="right"/>
                      <w:rPr>
                        <w:szCs w:val="21"/>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77DDF7B3" w14:textId="77777777" w:rsidR="00830E72" w:rsidRDefault="00830E72">
                    <w:pPr>
                      <w:jc w:val="right"/>
                      <w:rPr>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1974943A" w14:textId="77777777" w:rsidR="00830E72" w:rsidRDefault="00830E72">
                    <w:pPr>
                      <w:jc w:val="right"/>
                      <w:rPr>
                        <w:szCs w:val="21"/>
                      </w:rPr>
                    </w:pPr>
                  </w:p>
                </w:tc>
                <w:tc>
                  <w:tcPr>
                    <w:tcW w:w="253" w:type="pct"/>
                    <w:tcBorders>
                      <w:top w:val="single" w:sz="4" w:space="0" w:color="auto"/>
                      <w:left w:val="single" w:sz="4" w:space="0" w:color="auto"/>
                      <w:bottom w:val="single" w:sz="4" w:space="0" w:color="auto"/>
                      <w:right w:val="single" w:sz="4" w:space="0" w:color="auto"/>
                    </w:tcBorders>
                    <w:shd w:val="clear" w:color="auto" w:fill="auto"/>
                  </w:tcPr>
                  <w:p w14:paraId="286734D6" w14:textId="77777777" w:rsidR="00830E72" w:rsidRDefault="00830E72">
                    <w:pPr>
                      <w:jc w:val="right"/>
                      <w:rPr>
                        <w:szCs w:val="21"/>
                      </w:rPr>
                    </w:pPr>
                  </w:p>
                </w:tc>
                <w:tc>
                  <w:tcPr>
                    <w:tcW w:w="452" w:type="pct"/>
                    <w:tcBorders>
                      <w:top w:val="single" w:sz="4" w:space="0" w:color="auto"/>
                      <w:left w:val="single" w:sz="4" w:space="0" w:color="auto"/>
                      <w:bottom w:val="single" w:sz="4" w:space="0" w:color="auto"/>
                      <w:right w:val="single" w:sz="4" w:space="0" w:color="auto"/>
                    </w:tcBorders>
                    <w:shd w:val="clear" w:color="auto" w:fill="auto"/>
                  </w:tcPr>
                  <w:p w14:paraId="1A62BF53" w14:textId="77777777" w:rsidR="00830E72" w:rsidRDefault="008344D8">
                    <w:pPr>
                      <w:jc w:val="right"/>
                      <w:rPr>
                        <w:szCs w:val="21"/>
                      </w:rPr>
                    </w:pPr>
                    <w:r>
                      <w:rPr>
                        <w:rFonts w:hint="eastAsia"/>
                        <w:szCs w:val="21"/>
                      </w:rPr>
                      <w:t>300,000.00</w:t>
                    </w: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595294DD" w14:textId="77777777" w:rsidR="00830E72" w:rsidRDefault="008344D8">
                    <w:pPr>
                      <w:jc w:val="right"/>
                      <w:rPr>
                        <w:szCs w:val="21"/>
                      </w:rPr>
                    </w:pPr>
                    <w:r>
                      <w:rPr>
                        <w:rFonts w:hint="eastAsia"/>
                        <w:szCs w:val="21"/>
                      </w:rPr>
                      <w:t>300,000.00</w:t>
                    </w:r>
                  </w:p>
                </w:tc>
              </w:tr>
            </w:sdtContent>
          </w:sdt>
          <w:tr w:rsidR="00830E72" w14:paraId="68C80FEE" w14:textId="77777777">
            <w:sdt>
              <w:sdtPr>
                <w:tag w:val="_PLD_b7a0008e0bed45f5924ac82e7bbf0d7c"/>
                <w:id w:val="-1705011186"/>
                <w:lock w:val="sdtLocked"/>
              </w:sdtPr>
              <w:sdtEndPr/>
              <w:sdtContent>
                <w:tc>
                  <w:tcPr>
                    <w:tcW w:w="793" w:type="pct"/>
                    <w:tcBorders>
                      <w:top w:val="single" w:sz="4" w:space="0" w:color="auto"/>
                      <w:left w:val="single" w:sz="4" w:space="0" w:color="auto"/>
                      <w:bottom w:val="single" w:sz="4" w:space="0" w:color="auto"/>
                      <w:right w:val="single" w:sz="4" w:space="0" w:color="auto"/>
                    </w:tcBorders>
                    <w:shd w:val="clear" w:color="auto" w:fill="auto"/>
                  </w:tcPr>
                  <w:p w14:paraId="5466B582" w14:textId="77777777" w:rsidR="00830E72" w:rsidRDefault="008344D8">
                    <w:pPr>
                      <w:jc w:val="both"/>
                      <w:rPr>
                        <w:szCs w:val="21"/>
                      </w:rPr>
                    </w:pPr>
                    <w:r>
                      <w:rPr>
                        <w:rFonts w:hint="eastAsia"/>
                        <w:szCs w:val="21"/>
                      </w:rPr>
                      <w:t>小计</w:t>
                    </w:r>
                  </w:p>
                </w:tc>
              </w:sdtContent>
            </w:sdt>
            <w:tc>
              <w:tcPr>
                <w:tcW w:w="502" w:type="pct"/>
                <w:tcBorders>
                  <w:top w:val="single" w:sz="4" w:space="0" w:color="auto"/>
                  <w:left w:val="single" w:sz="4" w:space="0" w:color="auto"/>
                  <w:bottom w:val="single" w:sz="4" w:space="0" w:color="auto"/>
                  <w:right w:val="single" w:sz="4" w:space="0" w:color="auto"/>
                </w:tcBorders>
                <w:shd w:val="clear" w:color="auto" w:fill="auto"/>
              </w:tcPr>
              <w:p w14:paraId="034E2B46" w14:textId="77777777" w:rsidR="00830E72" w:rsidRDefault="008344D8">
                <w:pPr>
                  <w:jc w:val="right"/>
                  <w:rPr>
                    <w:szCs w:val="21"/>
                  </w:rPr>
                </w:pPr>
                <w:r>
                  <w:rPr>
                    <w:rFonts w:hint="eastAsia"/>
                    <w:szCs w:val="21"/>
                  </w:rPr>
                  <w:t>300,000.00</w:t>
                </w:r>
              </w:p>
            </w:tc>
            <w:tc>
              <w:tcPr>
                <w:tcW w:w="251" w:type="pct"/>
                <w:tcBorders>
                  <w:top w:val="single" w:sz="4" w:space="0" w:color="auto"/>
                  <w:left w:val="single" w:sz="4" w:space="0" w:color="auto"/>
                  <w:bottom w:val="single" w:sz="4" w:space="0" w:color="auto"/>
                  <w:right w:val="single" w:sz="4" w:space="0" w:color="auto"/>
                </w:tcBorders>
                <w:shd w:val="clear" w:color="auto" w:fill="auto"/>
              </w:tcPr>
              <w:p w14:paraId="68DED73F" w14:textId="77777777" w:rsidR="00830E72" w:rsidRDefault="00830E72">
                <w:pPr>
                  <w:jc w:val="right"/>
                  <w:rPr>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47F47C48" w14:textId="77777777" w:rsidR="00830E72" w:rsidRDefault="00830E72">
                <w:pPr>
                  <w:jc w:val="right"/>
                  <w:rPr>
                    <w:szCs w:val="21"/>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0950B252" w14:textId="77777777" w:rsidR="00830E72" w:rsidRDefault="00830E72">
                <w:pPr>
                  <w:jc w:val="right"/>
                  <w:rPr>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77D5B74C" w14:textId="77777777" w:rsidR="00830E72" w:rsidRDefault="00830E72">
                <w:pPr>
                  <w:jc w:val="right"/>
                  <w:rPr>
                    <w:szCs w:val="21"/>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5CE5D1B3" w14:textId="77777777" w:rsidR="00830E72" w:rsidRDefault="00830E72">
                <w:pPr>
                  <w:jc w:val="right"/>
                  <w:rPr>
                    <w:szCs w:val="21"/>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77AA99DD" w14:textId="77777777" w:rsidR="00830E72" w:rsidRDefault="00830E72">
                <w:pPr>
                  <w:jc w:val="right"/>
                  <w:rPr>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66DDAB51" w14:textId="77777777" w:rsidR="00830E72" w:rsidRDefault="00830E72">
                <w:pPr>
                  <w:jc w:val="right"/>
                  <w:rPr>
                    <w:szCs w:val="21"/>
                  </w:rPr>
                </w:pPr>
              </w:p>
            </w:tc>
            <w:tc>
              <w:tcPr>
                <w:tcW w:w="253" w:type="pct"/>
                <w:tcBorders>
                  <w:top w:val="single" w:sz="4" w:space="0" w:color="auto"/>
                  <w:left w:val="single" w:sz="4" w:space="0" w:color="auto"/>
                  <w:bottom w:val="single" w:sz="4" w:space="0" w:color="auto"/>
                  <w:right w:val="single" w:sz="4" w:space="0" w:color="auto"/>
                </w:tcBorders>
                <w:shd w:val="clear" w:color="auto" w:fill="auto"/>
              </w:tcPr>
              <w:p w14:paraId="61024254" w14:textId="77777777" w:rsidR="00830E72" w:rsidRDefault="00830E72">
                <w:pPr>
                  <w:jc w:val="right"/>
                  <w:rPr>
                    <w:szCs w:val="21"/>
                  </w:rPr>
                </w:pPr>
              </w:p>
            </w:tc>
            <w:tc>
              <w:tcPr>
                <w:tcW w:w="452" w:type="pct"/>
                <w:tcBorders>
                  <w:top w:val="single" w:sz="4" w:space="0" w:color="auto"/>
                  <w:left w:val="single" w:sz="4" w:space="0" w:color="auto"/>
                  <w:bottom w:val="single" w:sz="4" w:space="0" w:color="auto"/>
                  <w:right w:val="single" w:sz="4" w:space="0" w:color="auto"/>
                </w:tcBorders>
                <w:shd w:val="clear" w:color="auto" w:fill="auto"/>
              </w:tcPr>
              <w:p w14:paraId="2EB76CAE" w14:textId="77777777" w:rsidR="00830E72" w:rsidRDefault="008344D8">
                <w:pPr>
                  <w:jc w:val="right"/>
                  <w:rPr>
                    <w:szCs w:val="21"/>
                  </w:rPr>
                </w:pPr>
                <w:r>
                  <w:rPr>
                    <w:rFonts w:hint="eastAsia"/>
                    <w:szCs w:val="21"/>
                  </w:rPr>
                  <w:t>300,000.00</w:t>
                </w: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4DD112B9" w14:textId="77777777" w:rsidR="00830E72" w:rsidRDefault="008344D8">
                <w:pPr>
                  <w:jc w:val="right"/>
                  <w:rPr>
                    <w:szCs w:val="21"/>
                  </w:rPr>
                </w:pPr>
                <w:r>
                  <w:rPr>
                    <w:rFonts w:hint="eastAsia"/>
                    <w:szCs w:val="21"/>
                  </w:rPr>
                  <w:t>300,000.00</w:t>
                </w:r>
              </w:p>
            </w:tc>
          </w:tr>
          <w:tr w:rsidR="00830E72" w14:paraId="02CAFF1A" w14:textId="77777777">
            <w:sdt>
              <w:sdtPr>
                <w:tag w:val="_PLD_4650622d02e74721a67ca767c0e407f2"/>
                <w:id w:val="-1334214386"/>
                <w:lock w:val="sdtLocked"/>
              </w:sdtPr>
              <w:sdtEndPr/>
              <w:sdtContent>
                <w:tc>
                  <w:tcPr>
                    <w:tcW w:w="793" w:type="pct"/>
                    <w:tcBorders>
                      <w:top w:val="single" w:sz="4" w:space="0" w:color="auto"/>
                      <w:left w:val="single" w:sz="4" w:space="0" w:color="auto"/>
                      <w:bottom w:val="single" w:sz="4" w:space="0" w:color="auto"/>
                      <w:right w:val="single" w:sz="4" w:space="0" w:color="auto"/>
                    </w:tcBorders>
                    <w:shd w:val="clear" w:color="auto" w:fill="auto"/>
                    <w:vAlign w:val="center"/>
                  </w:tcPr>
                  <w:p w14:paraId="5E181DA9" w14:textId="77777777" w:rsidR="00830E72" w:rsidRDefault="008344D8">
                    <w:pPr>
                      <w:jc w:val="center"/>
                      <w:rPr>
                        <w:szCs w:val="21"/>
                      </w:rPr>
                    </w:pPr>
                    <w:r>
                      <w:rPr>
                        <w:rFonts w:hint="eastAsia"/>
                        <w:szCs w:val="21"/>
                      </w:rPr>
                      <w:t>合计</w:t>
                    </w:r>
                  </w:p>
                </w:tc>
              </w:sdtContent>
            </w:sdt>
            <w:tc>
              <w:tcPr>
                <w:tcW w:w="502" w:type="pct"/>
                <w:tcBorders>
                  <w:top w:val="single" w:sz="4" w:space="0" w:color="auto"/>
                  <w:left w:val="single" w:sz="4" w:space="0" w:color="auto"/>
                  <w:bottom w:val="single" w:sz="4" w:space="0" w:color="auto"/>
                  <w:right w:val="single" w:sz="4" w:space="0" w:color="auto"/>
                </w:tcBorders>
                <w:shd w:val="clear" w:color="auto" w:fill="auto"/>
              </w:tcPr>
              <w:p w14:paraId="5E36D46E" w14:textId="77777777" w:rsidR="00830E72" w:rsidRDefault="008344D8">
                <w:pPr>
                  <w:jc w:val="right"/>
                  <w:rPr>
                    <w:szCs w:val="21"/>
                  </w:rPr>
                </w:pPr>
                <w:r>
                  <w:rPr>
                    <w:rFonts w:hint="eastAsia"/>
                    <w:szCs w:val="21"/>
                  </w:rPr>
                  <w:t>300,000.00</w:t>
                </w:r>
              </w:p>
            </w:tc>
            <w:tc>
              <w:tcPr>
                <w:tcW w:w="251" w:type="pct"/>
                <w:tcBorders>
                  <w:top w:val="single" w:sz="4" w:space="0" w:color="auto"/>
                  <w:left w:val="single" w:sz="4" w:space="0" w:color="auto"/>
                  <w:bottom w:val="single" w:sz="4" w:space="0" w:color="auto"/>
                  <w:right w:val="single" w:sz="4" w:space="0" w:color="auto"/>
                </w:tcBorders>
                <w:shd w:val="clear" w:color="auto" w:fill="auto"/>
              </w:tcPr>
              <w:p w14:paraId="78805959" w14:textId="77777777" w:rsidR="00830E72" w:rsidRDefault="00830E72">
                <w:pPr>
                  <w:jc w:val="right"/>
                  <w:rPr>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6EF09FEB" w14:textId="77777777" w:rsidR="00830E72" w:rsidRDefault="00830E72">
                <w:pPr>
                  <w:jc w:val="right"/>
                  <w:rPr>
                    <w:szCs w:val="21"/>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2033EC7D" w14:textId="77777777" w:rsidR="00830E72" w:rsidRDefault="00830E72">
                <w:pPr>
                  <w:jc w:val="right"/>
                  <w:rPr>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03044377" w14:textId="77777777" w:rsidR="00830E72" w:rsidRDefault="00830E72">
                <w:pPr>
                  <w:jc w:val="right"/>
                  <w:rPr>
                    <w:szCs w:val="21"/>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559CEDB8" w14:textId="77777777" w:rsidR="00830E72" w:rsidRDefault="00830E72">
                <w:pPr>
                  <w:jc w:val="right"/>
                  <w:rPr>
                    <w:szCs w:val="21"/>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00587C40" w14:textId="77777777" w:rsidR="00830E72" w:rsidRDefault="00830E72">
                <w:pPr>
                  <w:jc w:val="right"/>
                  <w:rPr>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5DA3438B" w14:textId="77777777" w:rsidR="00830E72" w:rsidRDefault="00830E72">
                <w:pPr>
                  <w:jc w:val="right"/>
                  <w:rPr>
                    <w:szCs w:val="21"/>
                  </w:rPr>
                </w:pPr>
              </w:p>
            </w:tc>
            <w:tc>
              <w:tcPr>
                <w:tcW w:w="253" w:type="pct"/>
                <w:tcBorders>
                  <w:top w:val="single" w:sz="4" w:space="0" w:color="auto"/>
                  <w:left w:val="single" w:sz="4" w:space="0" w:color="auto"/>
                  <w:bottom w:val="single" w:sz="4" w:space="0" w:color="auto"/>
                  <w:right w:val="single" w:sz="4" w:space="0" w:color="auto"/>
                </w:tcBorders>
                <w:shd w:val="clear" w:color="auto" w:fill="auto"/>
              </w:tcPr>
              <w:p w14:paraId="5B63105A" w14:textId="77777777" w:rsidR="00830E72" w:rsidRDefault="00830E72">
                <w:pPr>
                  <w:jc w:val="right"/>
                  <w:rPr>
                    <w:szCs w:val="21"/>
                  </w:rPr>
                </w:pPr>
              </w:p>
            </w:tc>
            <w:tc>
              <w:tcPr>
                <w:tcW w:w="452" w:type="pct"/>
                <w:tcBorders>
                  <w:top w:val="single" w:sz="4" w:space="0" w:color="auto"/>
                  <w:left w:val="single" w:sz="4" w:space="0" w:color="auto"/>
                  <w:bottom w:val="single" w:sz="4" w:space="0" w:color="auto"/>
                  <w:right w:val="single" w:sz="4" w:space="0" w:color="auto"/>
                </w:tcBorders>
                <w:shd w:val="clear" w:color="auto" w:fill="auto"/>
              </w:tcPr>
              <w:p w14:paraId="0277214B" w14:textId="77777777" w:rsidR="00830E72" w:rsidRDefault="008344D8">
                <w:pPr>
                  <w:jc w:val="right"/>
                  <w:rPr>
                    <w:szCs w:val="21"/>
                  </w:rPr>
                </w:pPr>
                <w:r>
                  <w:rPr>
                    <w:rFonts w:hint="eastAsia"/>
                    <w:szCs w:val="21"/>
                  </w:rPr>
                  <w:t>300,000.00</w:t>
                </w: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2F44F07F" w14:textId="77777777" w:rsidR="00830E72" w:rsidRDefault="008344D8">
                <w:pPr>
                  <w:jc w:val="right"/>
                  <w:rPr>
                    <w:szCs w:val="21"/>
                  </w:rPr>
                </w:pPr>
                <w:r>
                  <w:rPr>
                    <w:rFonts w:hint="eastAsia"/>
                    <w:szCs w:val="21"/>
                  </w:rPr>
                  <w:t>300,000.00</w:t>
                </w:r>
              </w:p>
            </w:tc>
          </w:tr>
        </w:tbl>
        <w:p w14:paraId="40A92D16" w14:textId="77777777" w:rsidR="00830E72" w:rsidRDefault="00D44830">
          <w:pPr>
            <w:snapToGrid w:val="0"/>
            <w:spacing w:line="240" w:lineRule="atLeast"/>
            <w:rPr>
              <w:szCs w:val="21"/>
            </w:rPr>
            <w:sectPr w:rsidR="00830E72">
              <w:pgSz w:w="16838" w:h="11906" w:orient="landscape"/>
              <w:pgMar w:top="1276" w:right="1440" w:bottom="1797" w:left="1525" w:header="856" w:footer="992" w:gutter="0"/>
              <w:cols w:space="425"/>
              <w:docGrid w:linePitch="312"/>
            </w:sectPr>
          </w:pPr>
        </w:p>
      </w:sdtContent>
    </w:sdt>
    <w:bookmarkStart w:id="138" w:name="_Hlk10472053" w:displacedByCustomXml="next"/>
    <w:sdt>
      <w:sdtPr>
        <w:rPr>
          <w:rFonts w:ascii="宋体" w:hAnsi="宋体" w:cs="宋体" w:hint="eastAsia"/>
          <w:b w:val="0"/>
          <w:bCs w:val="0"/>
          <w:kern w:val="0"/>
          <w:szCs w:val="21"/>
        </w:rPr>
        <w:alias w:val="模块:其他权益工具投资"/>
        <w:tag w:val="_SEC_a252a6b12c694a478cd66b63ece88d66"/>
        <w:id w:val="232591681"/>
        <w:lock w:val="sdtLocked"/>
        <w:placeholder>
          <w:docPart w:val="GBC22222222222222222222222222222"/>
        </w:placeholder>
      </w:sdtPr>
      <w:sdtEndPr>
        <w:rPr>
          <w:szCs w:val="24"/>
        </w:rPr>
      </w:sdtEndPr>
      <w:sdtContent>
        <w:p w14:paraId="35337804" w14:textId="77777777" w:rsidR="00830E72" w:rsidRDefault="008344D8">
          <w:pPr>
            <w:pStyle w:val="3"/>
            <w:numPr>
              <w:ilvl w:val="0"/>
              <w:numId w:val="45"/>
            </w:numPr>
            <w:tabs>
              <w:tab w:val="left" w:pos="504"/>
            </w:tabs>
            <w:rPr>
              <w:rFonts w:ascii="宋体" w:hAnsi="宋体"/>
              <w:szCs w:val="21"/>
            </w:rPr>
          </w:pPr>
          <w:r>
            <w:rPr>
              <w:rFonts w:ascii="宋体" w:hAnsi="宋体" w:hint="eastAsia"/>
              <w:szCs w:val="21"/>
            </w:rPr>
            <w:t>其他权益工具投资</w:t>
          </w:r>
        </w:p>
        <w:p w14:paraId="129005D3" w14:textId="77777777" w:rsidR="00830E72" w:rsidRDefault="008344D8">
          <w:pPr>
            <w:pStyle w:val="4"/>
            <w:numPr>
              <w:ilvl w:val="3"/>
              <w:numId w:val="56"/>
            </w:numPr>
            <w:ind w:left="426" w:hanging="426"/>
            <w:rPr>
              <w:rFonts w:ascii="宋体" w:hAnsi="宋体"/>
            </w:rPr>
          </w:pPr>
          <w:r>
            <w:rPr>
              <w:rFonts w:ascii="宋体" w:hAnsi="宋体" w:hint="eastAsia"/>
            </w:rPr>
            <w:t>其他权益工具投资情况</w:t>
          </w:r>
        </w:p>
        <w:sdt>
          <w:sdtPr>
            <w:alias w:val="是否适用：其他权益工具投资情况[双击切换]"/>
            <w:tag w:val="_GBC_d175ecfe27dc4b7592725426a352847c"/>
            <w:id w:val="-1939905249"/>
            <w:lock w:val="sdtLocked"/>
          </w:sdtPr>
          <w:sdtEndPr/>
          <w:sdtContent>
            <w:p w14:paraId="3A3C375C" w14:textId="77777777" w:rsidR="00830E72" w:rsidRDefault="008344D8">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14:paraId="332497BE" w14:textId="77777777" w:rsidR="00830E72" w:rsidRDefault="00D44830"/>
      </w:sdtContent>
    </w:sdt>
    <w:bookmarkEnd w:id="138" w:displacedByCustomXml="next"/>
    <w:bookmarkStart w:id="139" w:name="_Hlk10472075" w:displacedByCustomXml="next"/>
    <w:bookmarkStart w:id="140" w:name="_Hlk10472085" w:displacedByCustomXml="next"/>
    <w:sdt>
      <w:sdtPr>
        <w:rPr>
          <w:rFonts w:ascii="宋体" w:hAnsi="宋体" w:cs="宋体" w:hint="eastAsia"/>
          <w:b w:val="0"/>
          <w:bCs w:val="0"/>
          <w:kern w:val="0"/>
          <w:szCs w:val="24"/>
        </w:rPr>
        <w:alias w:val="模块:非交易性权益工具投资的情况"/>
        <w:tag w:val="_SEC_cfe1ba6c98894c1f8f64c41c9a5b8180"/>
        <w:id w:val="-1991549345"/>
        <w:lock w:val="sdtLocked"/>
        <w:placeholder>
          <w:docPart w:val="GBC22222222222222222222222222222"/>
        </w:placeholder>
      </w:sdtPr>
      <w:sdtEndPr>
        <w:rPr>
          <w:rFonts w:hint="default"/>
          <w:szCs w:val="21"/>
        </w:rPr>
      </w:sdtEndPr>
      <w:sdtContent>
        <w:p w14:paraId="1DDE2D44" w14:textId="77777777" w:rsidR="00830E72" w:rsidRDefault="008344D8">
          <w:pPr>
            <w:pStyle w:val="Style100"/>
            <w:numPr>
              <w:ilvl w:val="3"/>
              <w:numId w:val="56"/>
            </w:numPr>
            <w:ind w:left="426" w:hanging="426"/>
            <w:rPr>
              <w:rFonts w:ascii="宋体" w:hAnsi="宋体"/>
            </w:rPr>
          </w:pPr>
          <w:r>
            <w:rPr>
              <w:rFonts w:ascii="宋体" w:hAnsi="宋体" w:hint="eastAsia"/>
            </w:rPr>
            <w:t>非交易性权益工具投资的情况</w:t>
          </w:r>
          <w:bookmarkEnd w:id="139"/>
        </w:p>
        <w:sdt>
          <w:sdtPr>
            <w:alias w:val="是否适用：非交易性权益工具投资情况[双击切换]"/>
            <w:tag w:val="_GBC_5bc286b941b942a6afabd12760854b2c"/>
            <w:id w:val="-159238565"/>
            <w:lock w:val="sdtContentLocked"/>
            <w:placeholder>
              <w:docPart w:val="GBC22222222222222222222222222222"/>
            </w:placeholder>
          </w:sdtPr>
          <w:sdtEndPr/>
          <w:sdtContent>
            <w:p w14:paraId="6F7B49FD"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40" w:displacedByCustomXml="next"/>
    <w:bookmarkStart w:id="141" w:name="_Hlk10472110" w:displacedByCustomXml="next"/>
    <w:bookmarkStart w:id="142" w:name="_Hlk10472118" w:displacedByCustomXml="next"/>
    <w:sdt>
      <w:sdtPr>
        <w:rPr>
          <w:rFonts w:hint="eastAsia"/>
        </w:rPr>
        <w:alias w:val="模块:其他说明："/>
        <w:tag w:val="_SEC_e3d4d5136ad847a0a66a1c4edca28c29"/>
        <w:id w:val="1012720851"/>
        <w:lock w:val="sdtLocked"/>
        <w:placeholder>
          <w:docPart w:val="GBC22222222222222222222222222222"/>
        </w:placeholder>
      </w:sdtPr>
      <w:sdtEndPr>
        <w:rPr>
          <w:rFonts w:hint="default"/>
          <w:szCs w:val="21"/>
        </w:rPr>
      </w:sdtEndPr>
      <w:sdtContent>
        <w:p w14:paraId="67D26944" w14:textId="77777777" w:rsidR="00830E72" w:rsidRDefault="008344D8">
          <w:r>
            <w:rPr>
              <w:rFonts w:hint="eastAsia"/>
            </w:rPr>
            <w:t>其他</w:t>
          </w:r>
          <w:r>
            <w:t>说明</w:t>
          </w:r>
          <w:r>
            <w:rPr>
              <w:rFonts w:hint="eastAsia"/>
            </w:rPr>
            <w:t>：</w:t>
          </w:r>
          <w:bookmarkEnd w:id="141"/>
        </w:p>
        <w:sdt>
          <w:sdtPr>
            <w:alias w:val="是否适用：其他权益工具投资其他说明[双击切换]"/>
            <w:tag w:val="_GBC_9bd79d8d324a4f4c984344781e18ee35"/>
            <w:id w:val="-114370738"/>
            <w:lock w:val="sdtContentLocked"/>
            <w:placeholder>
              <w:docPart w:val="GBC22222222222222222222222222222"/>
            </w:placeholder>
          </w:sdtPr>
          <w:sdtEndPr/>
          <w:sdtContent>
            <w:p w14:paraId="0E1D475F"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42"/>
    <w:p w14:paraId="1447D00C" w14:textId="77777777" w:rsidR="00830E72" w:rsidRDefault="00830E72">
      <w:pPr>
        <w:rPr>
          <w:szCs w:val="21"/>
        </w:rPr>
      </w:pPr>
    </w:p>
    <w:bookmarkStart w:id="143" w:name="_Hlk10472259" w:displacedByCustomXml="next"/>
    <w:sdt>
      <w:sdtPr>
        <w:rPr>
          <w:rFonts w:ascii="宋体" w:hAnsi="宋体" w:cs="宋体" w:hint="eastAsia"/>
          <w:b w:val="0"/>
          <w:bCs w:val="0"/>
          <w:kern w:val="0"/>
          <w:szCs w:val="21"/>
        </w:rPr>
        <w:alias w:val="模块:其他非流动金融资产"/>
        <w:tag w:val="_SEC_6895bb6903584ff780f3500311ed1560"/>
        <w:id w:val="-581142653"/>
        <w:lock w:val="sdtLocked"/>
        <w:placeholder>
          <w:docPart w:val="GBC22222222222222222222222222222"/>
        </w:placeholder>
      </w:sdtPr>
      <w:sdtEndPr>
        <w:rPr>
          <w:szCs w:val="24"/>
        </w:rPr>
      </w:sdtEndPr>
      <w:sdtContent>
        <w:p w14:paraId="2205093E"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其他非流动金融资产</w:t>
          </w:r>
        </w:p>
        <w:sdt>
          <w:sdtPr>
            <w:alias w:val="是否适用：其他非流动金融资产[双击切换]"/>
            <w:tag w:val="_GBC_39a16d6030db4b008bd8e70705c49dd5"/>
            <w:id w:val="2137990794"/>
            <w:lock w:val="sdtContentLocked"/>
            <w:placeholder>
              <w:docPart w:val="GBC22222222222222222222222222222"/>
            </w:placeholder>
          </w:sdtPr>
          <w:sdtEndPr/>
          <w:sdtContent>
            <w:p w14:paraId="364061CC"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EF49384" w14:textId="77777777" w:rsidR="00830E72" w:rsidRDefault="008344D8">
          <w:pPr>
            <w:pStyle w:val="Style118"/>
            <w:ind w:left="420" w:firstLineChars="0" w:firstLine="0"/>
            <w:jc w:val="right"/>
            <w:rPr>
              <w:rFonts w:ascii="宋体" w:hAnsi="宋体"/>
            </w:rPr>
          </w:pPr>
          <w:r>
            <w:rPr>
              <w:rFonts w:ascii="宋体" w:hAnsi="宋体" w:hint="eastAsia"/>
            </w:rPr>
            <w:t>单位：</w:t>
          </w:r>
          <w:sdt>
            <w:sdtPr>
              <w:rPr>
                <w:rFonts w:ascii="宋体" w:hAnsi="宋体" w:hint="eastAsia"/>
              </w:rPr>
              <w:alias w:val="单位：其他非流动金融资产"/>
              <w:tag w:val="_GBC_5b71e344ee4a4b75b4e1ad6a64a64951"/>
              <w:id w:val="11823193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rPr>
                <w:t>元</w:t>
              </w:r>
            </w:sdtContent>
          </w:sdt>
          <w:r>
            <w:rPr>
              <w:rFonts w:ascii="宋体" w:hAnsi="宋体" w:hint="eastAsia"/>
            </w:rPr>
            <w:t xml:space="preserve">  币种：</w:t>
          </w:r>
          <w:sdt>
            <w:sdtPr>
              <w:rPr>
                <w:rFonts w:ascii="宋体" w:hAnsi="宋体" w:hint="eastAsia"/>
              </w:rPr>
              <w:alias w:val="币种：其他非流动金融资产"/>
              <w:tag w:val="_GBC_328ac62ac4c04ba5a240d189e78801d2"/>
              <w:id w:val="-462241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650"/>
            <w:gridCol w:w="2688"/>
            <w:gridCol w:w="2711"/>
          </w:tblGrid>
          <w:tr w:rsidR="00830E72" w14:paraId="0E3B668E" w14:textId="77777777">
            <w:sdt>
              <w:sdtPr>
                <w:tag w:val="_PLD_368e897e0b6d4c33891110578462f85a"/>
                <w:id w:val="-433047219"/>
                <w:lock w:val="sdtLocked"/>
              </w:sdtPr>
              <w:sdtEndPr/>
              <w:sdtContent>
                <w:tc>
                  <w:tcPr>
                    <w:tcW w:w="2017" w:type="pct"/>
                    <w:shd w:val="clear" w:color="auto" w:fill="auto"/>
                    <w:vAlign w:val="center"/>
                  </w:tcPr>
                  <w:p w14:paraId="67CC28EF" w14:textId="77777777" w:rsidR="00830E72" w:rsidRDefault="008344D8">
                    <w:pPr>
                      <w:jc w:val="center"/>
                      <w:rPr>
                        <w:szCs w:val="21"/>
                      </w:rPr>
                    </w:pPr>
                    <w:r>
                      <w:rPr>
                        <w:rFonts w:hint="eastAsia"/>
                        <w:szCs w:val="21"/>
                      </w:rPr>
                      <w:t>项目</w:t>
                    </w:r>
                  </w:p>
                </w:tc>
              </w:sdtContent>
            </w:sdt>
            <w:sdt>
              <w:sdtPr>
                <w:tag w:val="_PLD_1b9292064fbf4f529dddfa8a709ecb23"/>
                <w:id w:val="1250850381"/>
                <w:lock w:val="sdtLocked"/>
              </w:sdtPr>
              <w:sdtEndPr/>
              <w:sdtContent>
                <w:tc>
                  <w:tcPr>
                    <w:tcW w:w="1485" w:type="pct"/>
                    <w:tcBorders>
                      <w:bottom w:val="single" w:sz="6" w:space="0" w:color="auto"/>
                    </w:tcBorders>
                    <w:shd w:val="clear" w:color="auto" w:fill="auto"/>
                    <w:vAlign w:val="center"/>
                  </w:tcPr>
                  <w:p w14:paraId="1E4B4DF1" w14:textId="77777777" w:rsidR="00830E72" w:rsidRDefault="008344D8">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eb417a8c21ba4afd967834600316003d"/>
                <w:id w:val="383001288"/>
                <w:lock w:val="sdtLocked"/>
              </w:sdtPr>
              <w:sdtEndPr/>
              <w:sdtContent>
                <w:tc>
                  <w:tcPr>
                    <w:tcW w:w="1498" w:type="pct"/>
                    <w:shd w:val="clear" w:color="auto" w:fill="auto"/>
                    <w:vAlign w:val="center"/>
                  </w:tcPr>
                  <w:p w14:paraId="49F9C65B" w14:textId="77777777" w:rsidR="00830E72" w:rsidRDefault="008344D8">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其他非流动金融资产明细"/>
              <w:tag w:val="_TUP_ba201d1821ad43148235a005a3d4c647"/>
              <w:id w:val="1588880879"/>
              <w:placeholder>
                <w:docPart w:val="GBC11111111111111111111111111111"/>
              </w:placeholder>
            </w:sdtPr>
            <w:sdtEndPr/>
            <w:sdtContent>
              <w:tr w:rsidR="00830E72" w14:paraId="06285313" w14:textId="77777777">
                <w:tc>
                  <w:tcPr>
                    <w:tcW w:w="2017" w:type="pct"/>
                    <w:shd w:val="clear" w:color="auto" w:fill="auto"/>
                    <w:vAlign w:val="center"/>
                  </w:tcPr>
                  <w:p w14:paraId="17DA12BB" w14:textId="77777777" w:rsidR="00830E72" w:rsidRDefault="008344D8">
                    <w:pPr>
                      <w:rPr>
                        <w:szCs w:val="21"/>
                      </w:rPr>
                    </w:pPr>
                    <w:r>
                      <w:rPr>
                        <w:rFonts w:hint="eastAsia"/>
                        <w:szCs w:val="21"/>
                      </w:rPr>
                      <w:t>权益工具投资</w:t>
                    </w:r>
                  </w:p>
                </w:tc>
                <w:tc>
                  <w:tcPr>
                    <w:tcW w:w="1485" w:type="pct"/>
                    <w:tcBorders>
                      <w:top w:val="single" w:sz="6" w:space="0" w:color="auto"/>
                      <w:bottom w:val="single" w:sz="6" w:space="0" w:color="auto"/>
                    </w:tcBorders>
                    <w:shd w:val="clear" w:color="auto" w:fill="auto"/>
                  </w:tcPr>
                  <w:p w14:paraId="240D4BCE" w14:textId="77777777" w:rsidR="00830E72" w:rsidRDefault="008344D8">
                    <w:pPr>
                      <w:jc w:val="center"/>
                      <w:rPr>
                        <w:szCs w:val="21"/>
                      </w:rPr>
                    </w:pPr>
                    <w:r>
                      <w:rPr>
                        <w:szCs w:val="21"/>
                      </w:rPr>
                      <w:t>75,453,157.25</w:t>
                    </w:r>
                  </w:p>
                </w:tc>
                <w:tc>
                  <w:tcPr>
                    <w:tcW w:w="1498" w:type="pct"/>
                    <w:shd w:val="clear" w:color="auto" w:fill="auto"/>
                  </w:tcPr>
                  <w:p w14:paraId="2D21D655" w14:textId="77777777" w:rsidR="00830E72" w:rsidRDefault="008344D8">
                    <w:pPr>
                      <w:jc w:val="center"/>
                      <w:rPr>
                        <w:szCs w:val="21"/>
                      </w:rPr>
                    </w:pPr>
                    <w:r>
                      <w:rPr>
                        <w:szCs w:val="21"/>
                      </w:rPr>
                      <w:t>75,453,157.25</w:t>
                    </w:r>
                  </w:p>
                </w:tc>
              </w:tr>
            </w:sdtContent>
          </w:sdt>
          <w:tr w:rsidR="00830E72" w14:paraId="0284FECE" w14:textId="77777777">
            <w:sdt>
              <w:sdtPr>
                <w:tag w:val="_PLD_fab894f676854d2a96dbf6e1d97540a1"/>
                <w:id w:val="946583511"/>
                <w:lock w:val="sdtLocked"/>
              </w:sdtPr>
              <w:sdtEndPr/>
              <w:sdtContent>
                <w:tc>
                  <w:tcPr>
                    <w:tcW w:w="2017" w:type="pct"/>
                    <w:shd w:val="clear" w:color="auto" w:fill="auto"/>
                    <w:vAlign w:val="center"/>
                  </w:tcPr>
                  <w:p w14:paraId="5407AB5C" w14:textId="77777777" w:rsidR="00830E72" w:rsidRDefault="008344D8">
                    <w:pPr>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tcPr>
              <w:p w14:paraId="4545CFBF" w14:textId="77777777" w:rsidR="00830E72" w:rsidRDefault="008344D8">
                <w:pPr>
                  <w:jc w:val="center"/>
                  <w:rPr>
                    <w:szCs w:val="21"/>
                  </w:rPr>
                </w:pPr>
                <w:r>
                  <w:rPr>
                    <w:szCs w:val="21"/>
                  </w:rPr>
                  <w:t>75,453,157.25</w:t>
                </w:r>
              </w:p>
            </w:tc>
            <w:tc>
              <w:tcPr>
                <w:tcW w:w="1498" w:type="pct"/>
                <w:shd w:val="clear" w:color="auto" w:fill="auto"/>
              </w:tcPr>
              <w:p w14:paraId="223FBEBC" w14:textId="77777777" w:rsidR="00830E72" w:rsidRDefault="008344D8">
                <w:pPr>
                  <w:jc w:val="center"/>
                  <w:rPr>
                    <w:szCs w:val="21"/>
                  </w:rPr>
                </w:pPr>
                <w:r>
                  <w:rPr>
                    <w:szCs w:val="21"/>
                  </w:rPr>
                  <w:t>75,453,157.25</w:t>
                </w:r>
              </w:p>
            </w:tc>
          </w:tr>
        </w:tbl>
        <w:p w14:paraId="432FC368" w14:textId="77777777" w:rsidR="00830E72" w:rsidRDefault="00D44830"/>
      </w:sdtContent>
    </w:sdt>
    <w:bookmarkEnd w:id="143"/>
    <w:p w14:paraId="1A684AD2"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投资性房地产</w:t>
      </w:r>
    </w:p>
    <w:p w14:paraId="2E0B2332" w14:textId="77777777" w:rsidR="00830E72" w:rsidRDefault="008344D8">
      <w:r>
        <w:t>投资性房地产</w:t>
      </w:r>
      <w:r>
        <w:rPr>
          <w:rFonts w:hint="eastAsia"/>
        </w:rPr>
        <w:t>计量模式</w:t>
      </w:r>
    </w:p>
    <w:sdt>
      <w:sdtPr>
        <w:rPr>
          <w:rFonts w:ascii="宋体" w:hAnsi="宋体" w:cs="宋体" w:hint="eastAsia"/>
          <w:b w:val="0"/>
          <w:bCs w:val="0"/>
          <w:kern w:val="0"/>
          <w:szCs w:val="21"/>
        </w:rPr>
        <w:alias w:val="选项模块:成本计量模式"/>
        <w:tag w:val="_GBC_f6dac261d9a74df7a48db85ed7768fd1"/>
        <w:id w:val="-577836478"/>
        <w:lock w:val="sdtLocked"/>
        <w:placeholder>
          <w:docPart w:val="GBC22222222222222222222222222222"/>
        </w:placeholder>
      </w:sdtPr>
      <w:sdtEndPr>
        <w:rPr>
          <w:rFonts w:cstheme="minorBidi"/>
          <w:kern w:val="2"/>
        </w:rPr>
      </w:sdtEndPr>
      <w:sdtContent>
        <w:p w14:paraId="7C5204E2" w14:textId="77777777" w:rsidR="00830E72" w:rsidRDefault="008344D8">
          <w:pPr>
            <w:pStyle w:val="Style100"/>
            <w:numPr>
              <w:ilvl w:val="0"/>
              <w:numId w:val="57"/>
            </w:numPr>
            <w:tabs>
              <w:tab w:val="left" w:pos="616"/>
            </w:tabs>
            <w:rPr>
              <w:rFonts w:ascii="宋体" w:hAnsi="宋体"/>
              <w:szCs w:val="21"/>
            </w:rPr>
          </w:pPr>
          <w:r>
            <w:rPr>
              <w:rFonts w:ascii="宋体" w:hAnsi="宋体" w:hint="eastAsia"/>
              <w:szCs w:val="21"/>
            </w:rPr>
            <w:t>采用成本计量模式的投资性房地产</w:t>
          </w:r>
        </w:p>
        <w:p w14:paraId="71925C7E" w14:textId="77777777" w:rsidR="00830E72" w:rsidRDefault="008344D8">
          <w:pPr>
            <w:jc w:val="right"/>
            <w:rPr>
              <w:szCs w:val="21"/>
            </w:rPr>
          </w:pPr>
          <w:r>
            <w:rPr>
              <w:rFonts w:hint="eastAsia"/>
              <w:szCs w:val="21"/>
            </w:rPr>
            <w:t>单位：</w:t>
          </w:r>
          <w:sdt>
            <w:sdtPr>
              <w:rPr>
                <w:rFonts w:hint="eastAsia"/>
                <w:szCs w:val="21"/>
              </w:rPr>
              <w:alias w:val="单位：财务附注：投资性房地产"/>
              <w:tag w:val="_GBC_3315dd1b9cb743c786e01b4b9e91b10d"/>
              <w:id w:val="19663057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424f36c4f1bf48ce8d47b51437412ff8"/>
              <w:id w:val="16860185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1686"/>
            <w:gridCol w:w="1492"/>
            <w:gridCol w:w="1466"/>
            <w:gridCol w:w="1686"/>
          </w:tblGrid>
          <w:tr w:rsidR="00830E72" w14:paraId="428FA125" w14:textId="77777777">
            <w:trPr>
              <w:trHeight w:val="272"/>
            </w:trPr>
            <w:sdt>
              <w:sdtPr>
                <w:tag w:val="_PLD_f82c9789feaf4b508c71ad4b5e91a0e5"/>
                <w:id w:val="1730115795"/>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vAlign w:val="center"/>
                  </w:tcPr>
                  <w:p w14:paraId="16F33A7F" w14:textId="77777777" w:rsidR="00830E72" w:rsidRDefault="008344D8">
                    <w:pPr>
                      <w:jc w:val="center"/>
                      <w:rPr>
                        <w:szCs w:val="21"/>
                      </w:rPr>
                    </w:pPr>
                    <w:r>
                      <w:rPr>
                        <w:rFonts w:hint="eastAsia"/>
                        <w:szCs w:val="21"/>
                      </w:rPr>
                      <w:t>项目</w:t>
                    </w:r>
                  </w:p>
                </w:tc>
              </w:sdtContent>
            </w:sdt>
            <w:sdt>
              <w:sdtPr>
                <w:tag w:val="_PLD_9acf20e2f08a4439b18de021843e599c"/>
                <w:id w:val="-1080447069"/>
                <w:lock w:val="sdtLocked"/>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0C17E332" w14:textId="77777777" w:rsidR="00830E72" w:rsidRDefault="008344D8">
                    <w:pPr>
                      <w:jc w:val="center"/>
                      <w:rPr>
                        <w:szCs w:val="21"/>
                      </w:rPr>
                    </w:pPr>
                    <w:r>
                      <w:rPr>
                        <w:rFonts w:hint="eastAsia"/>
                        <w:szCs w:val="21"/>
                      </w:rPr>
                      <w:t>房屋、建筑物</w:t>
                    </w:r>
                  </w:p>
                </w:tc>
              </w:sdtContent>
            </w:sdt>
            <w:sdt>
              <w:sdtPr>
                <w:tag w:val="_PLD_4f977bf68eee455fb4656653927db6b6"/>
                <w:id w:val="138076244"/>
                <w:lock w:val="sdtLocked"/>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0B73AC77" w14:textId="77777777" w:rsidR="00830E72" w:rsidRDefault="008344D8">
                    <w:pPr>
                      <w:jc w:val="center"/>
                      <w:rPr>
                        <w:szCs w:val="21"/>
                      </w:rPr>
                    </w:pPr>
                    <w:r>
                      <w:rPr>
                        <w:rFonts w:hint="eastAsia"/>
                        <w:szCs w:val="21"/>
                      </w:rPr>
                      <w:t>土地使用权</w:t>
                    </w:r>
                  </w:p>
                </w:tc>
              </w:sdtContent>
            </w:sdt>
            <w:sdt>
              <w:sdtPr>
                <w:tag w:val="_PLD_2cb3e53634aa4730a0686d5243244bc5"/>
                <w:id w:val="1578323829"/>
                <w:lock w:val="sdtLocked"/>
              </w:sdtPr>
              <w:sdtEndPr/>
              <w:sdtContent>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6FAC06A7" w14:textId="77777777" w:rsidR="00830E72" w:rsidRDefault="008344D8">
                    <w:pPr>
                      <w:jc w:val="center"/>
                      <w:rPr>
                        <w:szCs w:val="21"/>
                      </w:rPr>
                    </w:pPr>
                    <w:r>
                      <w:rPr>
                        <w:rFonts w:hint="eastAsia"/>
                        <w:szCs w:val="21"/>
                      </w:rPr>
                      <w:t>在建工程</w:t>
                    </w:r>
                  </w:p>
                </w:tc>
              </w:sdtContent>
            </w:sdt>
            <w:sdt>
              <w:sdtPr>
                <w:tag w:val="_PLD_51485c0f99734a81b5c4137837506697"/>
                <w:id w:val="-867916751"/>
                <w:lock w:val="sdtLocked"/>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35882210" w14:textId="77777777" w:rsidR="00830E72" w:rsidRDefault="008344D8">
                    <w:pPr>
                      <w:jc w:val="center"/>
                      <w:rPr>
                        <w:szCs w:val="21"/>
                      </w:rPr>
                    </w:pPr>
                    <w:r>
                      <w:rPr>
                        <w:rFonts w:hint="eastAsia"/>
                        <w:szCs w:val="21"/>
                      </w:rPr>
                      <w:t>合计</w:t>
                    </w:r>
                  </w:p>
                </w:tc>
              </w:sdtContent>
            </w:sdt>
          </w:tr>
          <w:tr w:rsidR="00830E72" w14:paraId="548EC900" w14:textId="77777777">
            <w:trPr>
              <w:trHeight w:val="272"/>
            </w:trPr>
            <w:sdt>
              <w:sdtPr>
                <w:tag w:val="_PLD_9e97c75701d54838ab5408284eada7b8"/>
                <w:id w:val="1829941064"/>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1B25E069" w14:textId="77777777" w:rsidR="00830E72" w:rsidRDefault="008344D8">
                    <w:pPr>
                      <w:rPr>
                        <w:szCs w:val="21"/>
                      </w:rPr>
                    </w:pPr>
                    <w:r>
                      <w:rPr>
                        <w:rFonts w:hint="eastAsia"/>
                        <w:szCs w:val="21"/>
                      </w:rPr>
                      <w:t>一、账面原值</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171ED910" w14:textId="77777777" w:rsidR="00830E72" w:rsidRDefault="00830E72">
                <w:pPr>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157A0824" w14:textId="77777777" w:rsidR="00830E72" w:rsidRDefault="00830E72">
                <w:pPr>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059711F1" w14:textId="77777777" w:rsidR="00830E72" w:rsidRDefault="00830E72">
                <w:pPr>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0F97FB42" w14:textId="77777777" w:rsidR="00830E72" w:rsidRDefault="00830E72">
                <w:pPr>
                  <w:rPr>
                    <w:szCs w:val="21"/>
                  </w:rPr>
                </w:pPr>
              </w:p>
            </w:tc>
          </w:tr>
          <w:tr w:rsidR="00830E72" w14:paraId="520B0EB2" w14:textId="77777777">
            <w:trPr>
              <w:trHeight w:val="273"/>
            </w:trPr>
            <w:sdt>
              <w:sdtPr>
                <w:tag w:val="_PLD_5b4a89b12d9f471d8810578431d22e03"/>
                <w:id w:val="329189140"/>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04C1DD6B" w14:textId="77777777" w:rsidR="00830E72" w:rsidRDefault="008344D8">
                    <w:pPr>
                      <w:ind w:firstLineChars="150" w:firstLine="315"/>
                      <w:rPr>
                        <w:szCs w:val="21"/>
                      </w:rPr>
                    </w:pPr>
                    <w:r>
                      <w:rPr>
                        <w:szCs w:val="21"/>
                      </w:rPr>
                      <w:t>1.</w:t>
                    </w:r>
                    <w:r>
                      <w:rPr>
                        <w:rFonts w:hint="eastAsia"/>
                        <w:szCs w:val="21"/>
                      </w:rPr>
                      <w:t>期初余额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1C58123D" w14:textId="77777777" w:rsidR="00830E72" w:rsidRDefault="008344D8">
                <w:pPr>
                  <w:jc w:val="right"/>
                  <w:rPr>
                    <w:szCs w:val="21"/>
                  </w:rPr>
                </w:pPr>
                <w:r>
                  <w:rPr>
                    <w:szCs w:val="21"/>
                  </w:rPr>
                  <w:t>113,321,351.61</w:t>
                </w: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79C062C2" w14:textId="77777777" w:rsidR="00830E72" w:rsidRDefault="00830E7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649999F2" w14:textId="77777777" w:rsidR="00830E72" w:rsidRDefault="00830E7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73B3C149" w14:textId="77777777" w:rsidR="00830E72" w:rsidRDefault="008344D8">
                <w:pPr>
                  <w:jc w:val="right"/>
                  <w:rPr>
                    <w:szCs w:val="21"/>
                  </w:rPr>
                </w:pPr>
                <w:r>
                  <w:rPr>
                    <w:szCs w:val="21"/>
                  </w:rPr>
                  <w:t>113,321,351.61</w:t>
                </w:r>
              </w:p>
            </w:tc>
          </w:tr>
          <w:tr w:rsidR="00830E72" w14:paraId="77387151" w14:textId="77777777">
            <w:trPr>
              <w:trHeight w:val="272"/>
            </w:trPr>
            <w:sdt>
              <w:sdtPr>
                <w:tag w:val="_PLD_4b461d2e946a4f55b157b16d91096c9e"/>
                <w:id w:val="1296187388"/>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0D3FA233" w14:textId="77777777" w:rsidR="00830E72" w:rsidRDefault="008344D8">
                    <w:pPr>
                      <w:ind w:firstLineChars="150" w:firstLine="315"/>
                      <w:rPr>
                        <w:szCs w:val="21"/>
                      </w:rPr>
                    </w:pPr>
                    <w:r>
                      <w:rPr>
                        <w:szCs w:val="21"/>
                      </w:rPr>
                      <w:t>2.</w:t>
                    </w:r>
                    <w:r>
                      <w:rPr>
                        <w:rFonts w:hint="eastAsia"/>
                        <w:szCs w:val="21"/>
                      </w:rPr>
                      <w:t>本期增加金额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5D3E48B4" w14:textId="77777777" w:rsidR="00830E72" w:rsidRDefault="00830E7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39781ADA" w14:textId="77777777" w:rsidR="00830E72" w:rsidRDefault="00830E7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4FAAE187" w14:textId="77777777" w:rsidR="00830E72" w:rsidRDefault="00830E7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699AEB0E" w14:textId="77777777" w:rsidR="00830E72" w:rsidRDefault="00830E72">
                <w:pPr>
                  <w:jc w:val="right"/>
                  <w:rPr>
                    <w:szCs w:val="21"/>
                  </w:rPr>
                </w:pPr>
              </w:p>
            </w:tc>
          </w:tr>
          <w:tr w:rsidR="00830E72" w14:paraId="789BF079" w14:textId="77777777">
            <w:trPr>
              <w:trHeight w:val="272"/>
            </w:trPr>
            <w:sdt>
              <w:sdtPr>
                <w:tag w:val="_PLD_a043ae3942c64b25b6085702110e1af0"/>
                <w:id w:val="873738537"/>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4B602C95" w14:textId="77777777" w:rsidR="00830E72" w:rsidRDefault="008344D8">
                    <w:pPr>
                      <w:ind w:firstLineChars="150" w:firstLine="315"/>
                      <w:rPr>
                        <w:szCs w:val="21"/>
                      </w:rPr>
                    </w:pPr>
                    <w:r>
                      <w:rPr>
                        <w:rFonts w:hint="eastAsia"/>
                        <w:szCs w:val="21"/>
                      </w:rPr>
                      <w:t>（1）外购</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439B2938" w14:textId="77777777" w:rsidR="00830E72" w:rsidRDefault="00830E7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3289220F" w14:textId="77777777" w:rsidR="00830E72" w:rsidRDefault="00830E7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51EC75AF" w14:textId="77777777" w:rsidR="00830E72" w:rsidRDefault="00830E7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776BAB6A" w14:textId="77777777" w:rsidR="00830E72" w:rsidRDefault="00830E72">
                <w:pPr>
                  <w:jc w:val="right"/>
                  <w:rPr>
                    <w:szCs w:val="21"/>
                  </w:rPr>
                </w:pPr>
              </w:p>
            </w:tc>
          </w:tr>
          <w:tr w:rsidR="00830E72" w14:paraId="5A6669B7" w14:textId="77777777">
            <w:trPr>
              <w:trHeight w:val="273"/>
            </w:trPr>
            <w:sdt>
              <w:sdtPr>
                <w:tag w:val="_PLD_c60cea41253c44ec816cd397a5c68415"/>
                <w:id w:val="-453871608"/>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1165529D" w14:textId="77777777" w:rsidR="00830E72" w:rsidRDefault="008344D8">
                    <w:pPr>
                      <w:ind w:firstLineChars="150" w:firstLine="315"/>
                      <w:rPr>
                        <w:szCs w:val="21"/>
                      </w:rPr>
                    </w:pPr>
                    <w:r>
                      <w:rPr>
                        <w:rFonts w:hint="eastAsia"/>
                        <w:szCs w:val="21"/>
                      </w:rPr>
                      <w:t>（2）存货\固定资产\在建工程转入</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771EFFDD" w14:textId="77777777" w:rsidR="00830E72" w:rsidRDefault="00830E7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7B4AAF47" w14:textId="77777777" w:rsidR="00830E72" w:rsidRDefault="00830E7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7B332981" w14:textId="77777777" w:rsidR="00830E72" w:rsidRDefault="00830E7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74CC3DA9" w14:textId="77777777" w:rsidR="00830E72" w:rsidRDefault="00830E72">
                <w:pPr>
                  <w:jc w:val="right"/>
                  <w:rPr>
                    <w:szCs w:val="21"/>
                  </w:rPr>
                </w:pPr>
              </w:p>
            </w:tc>
          </w:tr>
          <w:tr w:rsidR="00830E72" w14:paraId="0C879F2C" w14:textId="77777777">
            <w:trPr>
              <w:trHeight w:val="254"/>
            </w:trPr>
            <w:sdt>
              <w:sdtPr>
                <w:tag w:val="_PLD_07222e9e711d4c6a957de0f1259aae6a"/>
                <w:id w:val="510260261"/>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25F26BEC" w14:textId="77777777" w:rsidR="00830E72" w:rsidRDefault="008344D8">
                    <w:pPr>
                      <w:ind w:firstLineChars="150" w:firstLine="315"/>
                      <w:rPr>
                        <w:szCs w:val="21"/>
                      </w:rPr>
                    </w:pPr>
                    <w:r>
                      <w:rPr>
                        <w:rFonts w:hint="eastAsia"/>
                        <w:szCs w:val="21"/>
                      </w:rPr>
                      <w:t>（3）企业合并增加</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6022F96D" w14:textId="77777777" w:rsidR="00830E72" w:rsidRDefault="00830E7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38C7A962" w14:textId="77777777" w:rsidR="00830E72" w:rsidRDefault="00830E7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5EB9E5D3" w14:textId="77777777" w:rsidR="00830E72" w:rsidRDefault="00830E7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1CB2A599" w14:textId="77777777" w:rsidR="00830E72" w:rsidRDefault="00830E72">
                <w:pPr>
                  <w:jc w:val="right"/>
                  <w:rPr>
                    <w:szCs w:val="21"/>
                  </w:rPr>
                </w:pPr>
              </w:p>
            </w:tc>
          </w:tr>
          <w:tr w:rsidR="00830E72" w14:paraId="04B6D6BF" w14:textId="77777777">
            <w:trPr>
              <w:trHeight w:val="272"/>
            </w:trPr>
            <w:sdt>
              <w:sdtPr>
                <w:tag w:val="_PLD_d251894485574bc58cf98bb5aa71739f"/>
                <w:id w:val="662892731"/>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49F2247D" w14:textId="77777777" w:rsidR="00830E72" w:rsidRDefault="008344D8">
                    <w:pPr>
                      <w:ind w:firstLineChars="150" w:firstLine="315"/>
                      <w:rPr>
                        <w:szCs w:val="21"/>
                      </w:rPr>
                    </w:pPr>
                    <w:r>
                      <w:rPr>
                        <w:rFonts w:hint="eastAsia"/>
                        <w:szCs w:val="21"/>
                      </w:rPr>
                      <w:t>3.本期减少金额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696EB084" w14:textId="77777777" w:rsidR="00830E72" w:rsidRDefault="00830E7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5676A160" w14:textId="77777777" w:rsidR="00830E72" w:rsidRDefault="00830E7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2019CF85" w14:textId="77777777" w:rsidR="00830E72" w:rsidRDefault="00830E7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193AED85" w14:textId="77777777" w:rsidR="00830E72" w:rsidRDefault="00830E72">
                <w:pPr>
                  <w:jc w:val="right"/>
                  <w:rPr>
                    <w:szCs w:val="21"/>
                  </w:rPr>
                </w:pPr>
              </w:p>
            </w:tc>
          </w:tr>
          <w:tr w:rsidR="00830E72" w14:paraId="330519ED" w14:textId="77777777">
            <w:trPr>
              <w:trHeight w:val="273"/>
            </w:trPr>
            <w:sdt>
              <w:sdtPr>
                <w:tag w:val="_PLD_0eefb08fd627408ea9c71bd444eabbd3"/>
                <w:id w:val="1491681856"/>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7558FF2D" w14:textId="77777777" w:rsidR="00830E72" w:rsidRDefault="008344D8">
                    <w:pPr>
                      <w:ind w:firstLineChars="150" w:firstLine="315"/>
                      <w:rPr>
                        <w:szCs w:val="21"/>
                      </w:rPr>
                    </w:pPr>
                    <w:r>
                      <w:rPr>
                        <w:rFonts w:hint="eastAsia"/>
                        <w:szCs w:val="21"/>
                      </w:rPr>
                      <w:t>（1）处置</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72425E7A" w14:textId="77777777" w:rsidR="00830E72" w:rsidRDefault="00830E7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772F5558" w14:textId="77777777" w:rsidR="00830E72" w:rsidRDefault="00830E7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6DEA07E1" w14:textId="77777777" w:rsidR="00830E72" w:rsidRDefault="00830E7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463D26C4" w14:textId="77777777" w:rsidR="00830E72" w:rsidRDefault="00830E72">
                <w:pPr>
                  <w:jc w:val="right"/>
                  <w:rPr>
                    <w:szCs w:val="21"/>
                  </w:rPr>
                </w:pPr>
              </w:p>
            </w:tc>
          </w:tr>
          <w:tr w:rsidR="00830E72" w14:paraId="522DCF3E" w14:textId="77777777">
            <w:trPr>
              <w:trHeight w:val="272"/>
            </w:trPr>
            <w:sdt>
              <w:sdtPr>
                <w:tag w:val="_PLD_32f99bb5bcaf4f789e1c6ccb85c2a50f"/>
                <w:id w:val="780071911"/>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65C06213" w14:textId="77777777" w:rsidR="00830E72" w:rsidRDefault="008344D8">
                    <w:pPr>
                      <w:ind w:firstLineChars="150" w:firstLine="315"/>
                      <w:rPr>
                        <w:szCs w:val="21"/>
                      </w:rPr>
                    </w:pPr>
                    <w:r>
                      <w:rPr>
                        <w:rFonts w:hint="eastAsia"/>
                        <w:szCs w:val="21"/>
                      </w:rPr>
                      <w:t>（2）其他转出</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207F6FF6" w14:textId="77777777" w:rsidR="00830E72" w:rsidRDefault="00830E7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53F6E9E9" w14:textId="77777777" w:rsidR="00830E72" w:rsidRDefault="00830E7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42787CAA" w14:textId="77777777" w:rsidR="00830E72" w:rsidRDefault="00830E7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23536A9D" w14:textId="77777777" w:rsidR="00830E72" w:rsidRDefault="00830E72">
                <w:pPr>
                  <w:jc w:val="right"/>
                  <w:rPr>
                    <w:szCs w:val="21"/>
                  </w:rPr>
                </w:pPr>
              </w:p>
            </w:tc>
          </w:tr>
          <w:tr w:rsidR="00830E72" w14:paraId="61C787A7" w14:textId="77777777">
            <w:trPr>
              <w:trHeight w:val="272"/>
            </w:trPr>
            <w:sdt>
              <w:sdtPr>
                <w:tag w:val="_PLD_7daa9ce704e447019c8f969015d9d0e8"/>
                <w:id w:val="1679610228"/>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42745EEE" w14:textId="77777777" w:rsidR="00830E72" w:rsidRDefault="008344D8">
                    <w:pPr>
                      <w:ind w:firstLineChars="200" w:firstLine="420"/>
                      <w:rPr>
                        <w:szCs w:val="21"/>
                      </w:rPr>
                    </w:pPr>
                    <w:r>
                      <w:rPr>
                        <w:rFonts w:hint="eastAsia"/>
                        <w:szCs w:val="21"/>
                      </w:rPr>
                      <w:t>4.期末余额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056AAF66" w14:textId="77777777" w:rsidR="00830E72" w:rsidRDefault="008344D8">
                <w:pPr>
                  <w:jc w:val="right"/>
                  <w:rPr>
                    <w:szCs w:val="21"/>
                  </w:rPr>
                </w:pPr>
                <w:r>
                  <w:rPr>
                    <w:szCs w:val="21"/>
                  </w:rPr>
                  <w:t>113,321,351.61</w:t>
                </w: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68D794D9" w14:textId="77777777" w:rsidR="00830E72" w:rsidRDefault="00830E7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31763CE6" w14:textId="77777777" w:rsidR="00830E72" w:rsidRDefault="00830E7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200B04E5" w14:textId="77777777" w:rsidR="00830E72" w:rsidRDefault="008344D8">
                <w:pPr>
                  <w:jc w:val="right"/>
                  <w:rPr>
                    <w:szCs w:val="21"/>
                  </w:rPr>
                </w:pPr>
                <w:r>
                  <w:rPr>
                    <w:szCs w:val="21"/>
                  </w:rPr>
                  <w:t>113,321,351.61</w:t>
                </w:r>
              </w:p>
            </w:tc>
          </w:tr>
          <w:tr w:rsidR="00830E72" w14:paraId="6765DFD6" w14:textId="77777777">
            <w:trPr>
              <w:trHeight w:val="273"/>
            </w:trPr>
            <w:sdt>
              <w:sdtPr>
                <w:tag w:val="_PLD_2505d9f8bc20407e9f785ceb5e0a0801"/>
                <w:id w:val="1179475269"/>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3EABEFEE" w14:textId="77777777" w:rsidR="00830E72" w:rsidRDefault="008344D8">
                    <w:pPr>
                      <w:rPr>
                        <w:szCs w:val="21"/>
                      </w:rPr>
                    </w:pPr>
                    <w:r>
                      <w:rPr>
                        <w:rFonts w:hint="eastAsia"/>
                        <w:szCs w:val="21"/>
                      </w:rPr>
                      <w:t>二、累计折旧和累计摊销</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65204444" w14:textId="77777777" w:rsidR="00830E72" w:rsidRDefault="00830E72">
                <w:pPr>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21E7D77F" w14:textId="77777777" w:rsidR="00830E72" w:rsidRDefault="00830E72">
                <w:pPr>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5642E11A" w14:textId="77777777" w:rsidR="00830E72" w:rsidRDefault="00830E72">
                <w:pPr>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5EC2849A" w14:textId="77777777" w:rsidR="00830E72" w:rsidRDefault="00830E72">
                <w:pPr>
                  <w:rPr>
                    <w:szCs w:val="21"/>
                  </w:rPr>
                </w:pPr>
              </w:p>
            </w:tc>
          </w:tr>
          <w:tr w:rsidR="00830E72" w14:paraId="6217B4A3" w14:textId="77777777">
            <w:trPr>
              <w:trHeight w:val="272"/>
            </w:trPr>
            <w:sdt>
              <w:sdtPr>
                <w:tag w:val="_PLD_c947d0aa69174c1ba5672d010e59bdb7"/>
                <w:id w:val="-2071957104"/>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4A48F10E" w14:textId="77777777" w:rsidR="00830E72" w:rsidRDefault="008344D8">
                    <w:pPr>
                      <w:ind w:firstLineChars="200" w:firstLine="420"/>
                      <w:rPr>
                        <w:szCs w:val="21"/>
                      </w:rPr>
                    </w:pPr>
                    <w:r>
                      <w:rPr>
                        <w:szCs w:val="21"/>
                      </w:rPr>
                      <w:t>1.</w:t>
                    </w:r>
                    <w:r>
                      <w:rPr>
                        <w:rFonts w:hint="eastAsia"/>
                        <w:szCs w:val="21"/>
                      </w:rPr>
                      <w:t>期初余额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6B547788" w14:textId="77777777" w:rsidR="00830E72" w:rsidRDefault="008344D8">
                <w:pPr>
                  <w:jc w:val="right"/>
                  <w:rPr>
                    <w:szCs w:val="21"/>
                  </w:rPr>
                </w:pPr>
                <w:r>
                  <w:rPr>
                    <w:szCs w:val="21"/>
                  </w:rPr>
                  <w:t>15,686,912.95</w:t>
                </w: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227A8742" w14:textId="77777777" w:rsidR="00830E72" w:rsidRDefault="00830E7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51A3A35A" w14:textId="77777777" w:rsidR="00830E72" w:rsidRDefault="00830E7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0DBE8C44" w14:textId="77777777" w:rsidR="00830E72" w:rsidRDefault="008344D8">
                <w:pPr>
                  <w:jc w:val="right"/>
                  <w:rPr>
                    <w:szCs w:val="21"/>
                  </w:rPr>
                </w:pPr>
                <w:r>
                  <w:rPr>
                    <w:szCs w:val="21"/>
                  </w:rPr>
                  <w:t>15,686,912.95</w:t>
                </w:r>
              </w:p>
            </w:tc>
          </w:tr>
          <w:tr w:rsidR="00830E72" w14:paraId="01B494F5" w14:textId="77777777">
            <w:trPr>
              <w:trHeight w:val="272"/>
            </w:trPr>
            <w:sdt>
              <w:sdtPr>
                <w:tag w:val="_PLD_3e1bff0629db41feb43d6eec30972301"/>
                <w:id w:val="310368681"/>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4279CA4D" w14:textId="77777777" w:rsidR="00830E72" w:rsidRDefault="008344D8">
                    <w:pPr>
                      <w:ind w:firstLineChars="200" w:firstLine="420"/>
                      <w:rPr>
                        <w:szCs w:val="21"/>
                      </w:rPr>
                    </w:pPr>
                    <w:r>
                      <w:rPr>
                        <w:szCs w:val="21"/>
                      </w:rPr>
                      <w:t>2.</w:t>
                    </w:r>
                    <w:r>
                      <w:rPr>
                        <w:rFonts w:hint="eastAsia"/>
                        <w:szCs w:val="21"/>
                      </w:rPr>
                      <w:t>本期增加金额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5552B3D4" w14:textId="77777777" w:rsidR="00830E72" w:rsidRDefault="008344D8">
                <w:pPr>
                  <w:jc w:val="right"/>
                  <w:rPr>
                    <w:szCs w:val="21"/>
                  </w:rPr>
                </w:pPr>
                <w:r>
                  <w:rPr>
                    <w:szCs w:val="21"/>
                  </w:rPr>
                  <w:t>1,794,254.76</w:t>
                </w: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60C9AD45" w14:textId="77777777" w:rsidR="00830E72" w:rsidRDefault="00830E7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3409276E" w14:textId="77777777" w:rsidR="00830E72" w:rsidRDefault="00830E7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5E3A67FF" w14:textId="77777777" w:rsidR="00830E72" w:rsidRDefault="008344D8">
                <w:pPr>
                  <w:jc w:val="right"/>
                  <w:rPr>
                    <w:szCs w:val="21"/>
                  </w:rPr>
                </w:pPr>
                <w:r>
                  <w:rPr>
                    <w:szCs w:val="21"/>
                  </w:rPr>
                  <w:t>1,794,254.76</w:t>
                </w:r>
              </w:p>
            </w:tc>
          </w:tr>
          <w:tr w:rsidR="00830E72" w14:paraId="4B77A831" w14:textId="77777777">
            <w:trPr>
              <w:trHeight w:val="273"/>
            </w:trPr>
            <w:sdt>
              <w:sdtPr>
                <w:tag w:val="_PLD_aede9f39a8904986a0db75860e8da677"/>
                <w:id w:val="-850024838"/>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07C31D06" w14:textId="77777777" w:rsidR="00830E72" w:rsidRDefault="008344D8">
                    <w:pPr>
                      <w:ind w:firstLineChars="150" w:firstLine="315"/>
                      <w:rPr>
                        <w:szCs w:val="21"/>
                      </w:rPr>
                    </w:pPr>
                    <w:r>
                      <w:rPr>
                        <w:rFonts w:hint="eastAsia"/>
                        <w:szCs w:val="21"/>
                      </w:rPr>
                      <w:t>（1）计提或摊销</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633D347D" w14:textId="77777777" w:rsidR="00830E72" w:rsidRDefault="008344D8">
                <w:pPr>
                  <w:jc w:val="right"/>
                  <w:rPr>
                    <w:szCs w:val="21"/>
                  </w:rPr>
                </w:pPr>
                <w:r>
                  <w:rPr>
                    <w:szCs w:val="21"/>
                  </w:rPr>
                  <w:t>1,794,254.76</w:t>
                </w: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3E1390EB" w14:textId="77777777" w:rsidR="00830E72" w:rsidRDefault="00830E7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0FAB590C" w14:textId="77777777" w:rsidR="00830E72" w:rsidRDefault="00830E7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3B83D463" w14:textId="77777777" w:rsidR="00830E72" w:rsidRDefault="008344D8">
                <w:pPr>
                  <w:jc w:val="right"/>
                  <w:rPr>
                    <w:szCs w:val="21"/>
                  </w:rPr>
                </w:pPr>
                <w:r>
                  <w:rPr>
                    <w:szCs w:val="21"/>
                  </w:rPr>
                  <w:t>1,794,254.76</w:t>
                </w:r>
              </w:p>
            </w:tc>
          </w:tr>
          <w:tr w:rsidR="00830E72" w14:paraId="59109F6C" w14:textId="77777777">
            <w:trPr>
              <w:trHeight w:val="273"/>
            </w:trPr>
            <w:sdt>
              <w:sdtPr>
                <w:tag w:val="_PLD_1101e9ce292b422bacfd16e7ed3bed19"/>
                <w:id w:val="1401951778"/>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487C2B8E" w14:textId="77777777" w:rsidR="00830E72" w:rsidRDefault="008344D8">
                    <w:pPr>
                      <w:ind w:firstLineChars="200" w:firstLine="420"/>
                      <w:rPr>
                        <w:szCs w:val="21"/>
                      </w:rPr>
                    </w:pPr>
                    <w:r>
                      <w:rPr>
                        <w:rFonts w:hint="eastAsia"/>
                        <w:szCs w:val="21"/>
                      </w:rPr>
                      <w:t>3.本期减少金额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5E9FB290" w14:textId="77777777" w:rsidR="00830E72" w:rsidRDefault="00830E7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2F921F32" w14:textId="77777777" w:rsidR="00830E72" w:rsidRDefault="00830E7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13C395B0" w14:textId="77777777" w:rsidR="00830E72" w:rsidRDefault="00830E7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51523037" w14:textId="77777777" w:rsidR="00830E72" w:rsidRDefault="00830E72">
                <w:pPr>
                  <w:jc w:val="right"/>
                  <w:rPr>
                    <w:szCs w:val="21"/>
                  </w:rPr>
                </w:pPr>
              </w:p>
            </w:tc>
          </w:tr>
          <w:tr w:rsidR="00830E72" w14:paraId="276D5C69" w14:textId="77777777">
            <w:trPr>
              <w:trHeight w:val="272"/>
            </w:trPr>
            <w:sdt>
              <w:sdtPr>
                <w:tag w:val="_PLD_104e913c5a6149d1be9de77ecd782953"/>
                <w:id w:val="-982614910"/>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6DC0CC39" w14:textId="77777777" w:rsidR="00830E72" w:rsidRDefault="008344D8">
                    <w:pPr>
                      <w:ind w:firstLineChars="150" w:firstLine="315"/>
                      <w:rPr>
                        <w:szCs w:val="21"/>
                      </w:rPr>
                    </w:pPr>
                    <w:r>
                      <w:rPr>
                        <w:rFonts w:hint="eastAsia"/>
                        <w:szCs w:val="21"/>
                      </w:rPr>
                      <w:t>（1）处置</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18678651" w14:textId="77777777" w:rsidR="00830E72" w:rsidRDefault="00830E7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5698A292" w14:textId="77777777" w:rsidR="00830E72" w:rsidRDefault="00830E7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38A1B061" w14:textId="77777777" w:rsidR="00830E72" w:rsidRDefault="00830E7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2DF83DF3" w14:textId="77777777" w:rsidR="00830E72" w:rsidRDefault="00830E72">
                <w:pPr>
                  <w:jc w:val="right"/>
                  <w:rPr>
                    <w:szCs w:val="21"/>
                  </w:rPr>
                </w:pPr>
              </w:p>
            </w:tc>
          </w:tr>
          <w:tr w:rsidR="00830E72" w14:paraId="4FADADBB" w14:textId="77777777">
            <w:trPr>
              <w:trHeight w:val="272"/>
            </w:trPr>
            <w:sdt>
              <w:sdtPr>
                <w:tag w:val="_PLD_3151c528ede64899a4e7d1efd714409b"/>
                <w:id w:val="-861901237"/>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297EE669" w14:textId="77777777" w:rsidR="00830E72" w:rsidRDefault="008344D8">
                    <w:pPr>
                      <w:ind w:firstLineChars="150" w:firstLine="315"/>
                      <w:rPr>
                        <w:szCs w:val="21"/>
                      </w:rPr>
                    </w:pPr>
                    <w:r>
                      <w:rPr>
                        <w:rFonts w:hint="eastAsia"/>
                        <w:szCs w:val="21"/>
                      </w:rPr>
                      <w:t>（2）其他转出</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045A21D1" w14:textId="77777777" w:rsidR="00830E72" w:rsidRDefault="00830E7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10CFEFF9" w14:textId="77777777" w:rsidR="00830E72" w:rsidRDefault="00830E7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1435DAE8" w14:textId="77777777" w:rsidR="00830E72" w:rsidRDefault="00830E7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711BB9A4" w14:textId="77777777" w:rsidR="00830E72" w:rsidRDefault="00830E72">
                <w:pPr>
                  <w:jc w:val="right"/>
                  <w:rPr>
                    <w:szCs w:val="21"/>
                  </w:rPr>
                </w:pPr>
              </w:p>
            </w:tc>
          </w:tr>
          <w:tr w:rsidR="00830E72" w14:paraId="575FB1D4" w14:textId="77777777">
            <w:trPr>
              <w:trHeight w:val="273"/>
            </w:trPr>
            <w:sdt>
              <w:sdtPr>
                <w:tag w:val="_PLD_cca29cb0e3b6444ab5e6af06b9935847"/>
                <w:id w:val="-1809696636"/>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54EEC12A" w14:textId="77777777" w:rsidR="00830E72" w:rsidRDefault="008344D8">
                    <w:pPr>
                      <w:ind w:firstLineChars="200" w:firstLine="420"/>
                      <w:rPr>
                        <w:szCs w:val="21"/>
                      </w:rPr>
                    </w:pPr>
                    <w:r>
                      <w:rPr>
                        <w:rFonts w:hint="eastAsia"/>
                        <w:szCs w:val="21"/>
                      </w:rPr>
                      <w:t>4.期末余额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6675471D" w14:textId="77777777" w:rsidR="00830E72" w:rsidRDefault="008344D8">
                <w:pPr>
                  <w:jc w:val="right"/>
                  <w:rPr>
                    <w:szCs w:val="21"/>
                  </w:rPr>
                </w:pPr>
                <w:r>
                  <w:rPr>
                    <w:szCs w:val="21"/>
                  </w:rPr>
                  <w:t>17,481,167.71</w:t>
                </w: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3C362217" w14:textId="77777777" w:rsidR="00830E72" w:rsidRDefault="00830E7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03C69E2E" w14:textId="77777777" w:rsidR="00830E72" w:rsidRDefault="00830E7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75AF0BAC" w14:textId="77777777" w:rsidR="00830E72" w:rsidRDefault="008344D8">
                <w:pPr>
                  <w:jc w:val="right"/>
                  <w:rPr>
                    <w:szCs w:val="21"/>
                  </w:rPr>
                </w:pPr>
                <w:r>
                  <w:rPr>
                    <w:szCs w:val="21"/>
                  </w:rPr>
                  <w:t>17,481,167.71</w:t>
                </w:r>
              </w:p>
            </w:tc>
          </w:tr>
          <w:tr w:rsidR="00830E72" w14:paraId="0FD46B98" w14:textId="77777777">
            <w:trPr>
              <w:trHeight w:val="237"/>
            </w:trPr>
            <w:sdt>
              <w:sdtPr>
                <w:tag w:val="_PLD_4ff260cebdf0497dab373adc76b90366"/>
                <w:id w:val="-1178348308"/>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0D360509" w14:textId="77777777" w:rsidR="00830E72" w:rsidRDefault="008344D8">
                    <w:pPr>
                      <w:rPr>
                        <w:szCs w:val="21"/>
                      </w:rPr>
                    </w:pPr>
                    <w:r>
                      <w:rPr>
                        <w:rFonts w:hint="eastAsia"/>
                        <w:szCs w:val="21"/>
                      </w:rPr>
                      <w:t>三、减值准备</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6C6BD6C6" w14:textId="77777777" w:rsidR="00830E72" w:rsidRDefault="00830E72">
                <w:pPr>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001B6617" w14:textId="77777777" w:rsidR="00830E72" w:rsidRDefault="00830E72">
                <w:pPr>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36283315" w14:textId="77777777" w:rsidR="00830E72" w:rsidRDefault="00830E72">
                <w:pPr>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3F3C8559" w14:textId="77777777" w:rsidR="00830E72" w:rsidRDefault="00830E72">
                <w:pPr>
                  <w:rPr>
                    <w:szCs w:val="21"/>
                  </w:rPr>
                </w:pPr>
              </w:p>
            </w:tc>
          </w:tr>
          <w:tr w:rsidR="00830E72" w14:paraId="150E1902" w14:textId="77777777">
            <w:trPr>
              <w:trHeight w:val="272"/>
            </w:trPr>
            <w:sdt>
              <w:sdtPr>
                <w:tag w:val="_PLD_685647660ea448c692140eff28695e32"/>
                <w:id w:val="-657926614"/>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63306BE6" w14:textId="77777777" w:rsidR="00830E72" w:rsidRDefault="008344D8">
                    <w:pPr>
                      <w:ind w:firstLineChars="200" w:firstLine="420"/>
                      <w:rPr>
                        <w:szCs w:val="21"/>
                      </w:rPr>
                    </w:pPr>
                    <w:r>
                      <w:rPr>
                        <w:szCs w:val="21"/>
                      </w:rPr>
                      <w:t>1.</w:t>
                    </w:r>
                    <w:r>
                      <w:rPr>
                        <w:rFonts w:hint="eastAsia"/>
                        <w:szCs w:val="21"/>
                      </w:rPr>
                      <w:t>期初余额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53A853E9" w14:textId="77777777" w:rsidR="00830E72" w:rsidRDefault="00830E7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7BA7E70F" w14:textId="77777777" w:rsidR="00830E72" w:rsidRDefault="00830E7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73582D59" w14:textId="77777777" w:rsidR="00830E72" w:rsidRDefault="00830E7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18D095C3" w14:textId="77777777" w:rsidR="00830E72" w:rsidRDefault="00830E72">
                <w:pPr>
                  <w:jc w:val="right"/>
                  <w:rPr>
                    <w:szCs w:val="21"/>
                  </w:rPr>
                </w:pPr>
              </w:p>
            </w:tc>
          </w:tr>
          <w:tr w:rsidR="00830E72" w14:paraId="1CBE5455" w14:textId="77777777">
            <w:trPr>
              <w:trHeight w:val="273"/>
            </w:trPr>
            <w:sdt>
              <w:sdtPr>
                <w:tag w:val="_PLD_3dfd87bf97644313aa819527a1e9ca4f"/>
                <w:id w:val="-1344773305"/>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58E219EC" w14:textId="77777777" w:rsidR="00830E72" w:rsidRDefault="008344D8">
                    <w:pPr>
                      <w:ind w:firstLineChars="200" w:firstLine="420"/>
                      <w:rPr>
                        <w:szCs w:val="21"/>
                      </w:rPr>
                    </w:pPr>
                    <w:r>
                      <w:rPr>
                        <w:szCs w:val="21"/>
                      </w:rPr>
                      <w:t>2.</w:t>
                    </w:r>
                    <w:r>
                      <w:rPr>
                        <w:rFonts w:hint="eastAsia"/>
                        <w:szCs w:val="21"/>
                      </w:rPr>
                      <w:t>本期增加金额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75095569" w14:textId="77777777" w:rsidR="00830E72" w:rsidRDefault="00830E7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021EA5D1" w14:textId="77777777" w:rsidR="00830E72" w:rsidRDefault="00830E7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6CCC0263" w14:textId="77777777" w:rsidR="00830E72" w:rsidRDefault="00830E7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69848A66" w14:textId="77777777" w:rsidR="00830E72" w:rsidRDefault="00830E72">
                <w:pPr>
                  <w:jc w:val="right"/>
                  <w:rPr>
                    <w:szCs w:val="21"/>
                  </w:rPr>
                </w:pPr>
              </w:p>
            </w:tc>
          </w:tr>
          <w:tr w:rsidR="00830E72" w14:paraId="409A4636" w14:textId="77777777">
            <w:trPr>
              <w:trHeight w:val="272"/>
            </w:trPr>
            <w:sdt>
              <w:sdtPr>
                <w:tag w:val="_PLD_3cba015ee76d452abd05ff220b7d6963"/>
                <w:id w:val="-1897966206"/>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4CB5FC39" w14:textId="77777777" w:rsidR="00830E72" w:rsidRDefault="008344D8">
                    <w:pPr>
                      <w:ind w:firstLineChars="150" w:firstLine="315"/>
                      <w:rPr>
                        <w:szCs w:val="21"/>
                      </w:rPr>
                    </w:pPr>
                    <w:r>
                      <w:rPr>
                        <w:rFonts w:hint="eastAsia"/>
                        <w:szCs w:val="21"/>
                      </w:rPr>
                      <w:t>（1）计提</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7C99EB26" w14:textId="77777777" w:rsidR="00830E72" w:rsidRDefault="00830E7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37DF05D8" w14:textId="77777777" w:rsidR="00830E72" w:rsidRDefault="00830E7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01EFFED2" w14:textId="77777777" w:rsidR="00830E72" w:rsidRDefault="00830E7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6F0F7F79" w14:textId="77777777" w:rsidR="00830E72" w:rsidRDefault="00830E72">
                <w:pPr>
                  <w:jc w:val="right"/>
                  <w:rPr>
                    <w:szCs w:val="21"/>
                  </w:rPr>
                </w:pPr>
              </w:p>
            </w:tc>
          </w:tr>
          <w:tr w:rsidR="00830E72" w14:paraId="01C537D7" w14:textId="77777777">
            <w:trPr>
              <w:trHeight w:val="273"/>
            </w:trPr>
            <w:sdt>
              <w:sdtPr>
                <w:tag w:val="_PLD_3a80eedd98a0469eb67a1d60dbb03de7"/>
                <w:id w:val="1573930684"/>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79845CC1" w14:textId="77777777" w:rsidR="00830E72" w:rsidRDefault="008344D8">
                    <w:pPr>
                      <w:ind w:firstLineChars="200" w:firstLine="420"/>
                      <w:rPr>
                        <w:szCs w:val="21"/>
                      </w:rPr>
                    </w:pPr>
                    <w:r>
                      <w:rPr>
                        <w:rFonts w:hint="eastAsia"/>
                        <w:szCs w:val="21"/>
                      </w:rPr>
                      <w:t>3、本期减少金额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65E761D4" w14:textId="77777777" w:rsidR="00830E72" w:rsidRDefault="00830E7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78A0FCD2" w14:textId="77777777" w:rsidR="00830E72" w:rsidRDefault="00830E7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530FF954" w14:textId="77777777" w:rsidR="00830E72" w:rsidRDefault="00830E7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26DCDADE" w14:textId="77777777" w:rsidR="00830E72" w:rsidRDefault="00830E72">
                <w:pPr>
                  <w:jc w:val="right"/>
                  <w:rPr>
                    <w:szCs w:val="21"/>
                  </w:rPr>
                </w:pPr>
              </w:p>
            </w:tc>
          </w:tr>
          <w:tr w:rsidR="00830E72" w14:paraId="1AA8631C" w14:textId="77777777">
            <w:trPr>
              <w:trHeight w:val="273"/>
            </w:trPr>
            <w:sdt>
              <w:sdtPr>
                <w:tag w:val="_PLD_cd451bb1cac14e2893b15ec8172d1f0e"/>
                <w:id w:val="-2039650397"/>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05FBE7A2" w14:textId="77777777" w:rsidR="00830E72" w:rsidRDefault="008344D8">
                    <w:pPr>
                      <w:ind w:firstLineChars="200" w:firstLine="420"/>
                      <w:rPr>
                        <w:szCs w:val="21"/>
                      </w:rPr>
                    </w:pPr>
                    <w:r>
                      <w:rPr>
                        <w:rFonts w:hint="eastAsia"/>
                        <w:szCs w:val="21"/>
                      </w:rPr>
                      <w:t>（1）处置</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2BF1F1FE" w14:textId="77777777" w:rsidR="00830E72" w:rsidRDefault="00830E7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7BDD7A52" w14:textId="77777777" w:rsidR="00830E72" w:rsidRDefault="00830E7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7AAAA3AB" w14:textId="77777777" w:rsidR="00830E72" w:rsidRDefault="00830E7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7F55D3B9" w14:textId="77777777" w:rsidR="00830E72" w:rsidRDefault="00830E72">
                <w:pPr>
                  <w:jc w:val="right"/>
                  <w:rPr>
                    <w:szCs w:val="21"/>
                  </w:rPr>
                </w:pPr>
              </w:p>
            </w:tc>
          </w:tr>
          <w:tr w:rsidR="00830E72" w14:paraId="6E780AF7" w14:textId="77777777">
            <w:trPr>
              <w:trHeight w:val="273"/>
            </w:trPr>
            <w:sdt>
              <w:sdtPr>
                <w:tag w:val="_PLD_b27c5053f3ea4116bb7d4d920bae34be"/>
                <w:id w:val="1700816469"/>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48EEE93C" w14:textId="77777777" w:rsidR="00830E72" w:rsidRDefault="008344D8">
                    <w:pPr>
                      <w:ind w:firstLineChars="200" w:firstLine="420"/>
                      <w:rPr>
                        <w:szCs w:val="21"/>
                      </w:rPr>
                    </w:pPr>
                    <w:r>
                      <w:rPr>
                        <w:rFonts w:hint="eastAsia"/>
                        <w:szCs w:val="21"/>
                      </w:rPr>
                      <w:t>（2）其他转出</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10768841" w14:textId="77777777" w:rsidR="00830E72" w:rsidRDefault="00830E7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2E55D6D8" w14:textId="77777777" w:rsidR="00830E72" w:rsidRDefault="00830E7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2E1FDCE9" w14:textId="77777777" w:rsidR="00830E72" w:rsidRDefault="00830E7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176A9237" w14:textId="77777777" w:rsidR="00830E72" w:rsidRDefault="00830E72">
                <w:pPr>
                  <w:jc w:val="right"/>
                  <w:rPr>
                    <w:szCs w:val="21"/>
                  </w:rPr>
                </w:pPr>
              </w:p>
            </w:tc>
          </w:tr>
          <w:tr w:rsidR="00830E72" w14:paraId="5E0ADE04" w14:textId="77777777">
            <w:trPr>
              <w:trHeight w:val="272"/>
            </w:trPr>
            <w:sdt>
              <w:sdtPr>
                <w:tag w:val="_PLD_c25a5691f17f46c1b2ebb44b9889b35e"/>
                <w:id w:val="512030914"/>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0E498E69" w14:textId="77777777" w:rsidR="00830E72" w:rsidRDefault="008344D8">
                    <w:pPr>
                      <w:ind w:firstLineChars="200" w:firstLine="420"/>
                      <w:rPr>
                        <w:szCs w:val="21"/>
                      </w:rPr>
                    </w:pPr>
                    <w:r>
                      <w:rPr>
                        <w:rFonts w:hint="eastAsia"/>
                        <w:szCs w:val="21"/>
                      </w:rPr>
                      <w:t>4.期末余额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36E8FC2E" w14:textId="77777777" w:rsidR="00830E72" w:rsidRDefault="00830E7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231F46BB" w14:textId="77777777" w:rsidR="00830E72" w:rsidRDefault="00830E7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01E93B7F" w14:textId="77777777" w:rsidR="00830E72" w:rsidRDefault="00830E7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6B9C1628" w14:textId="77777777" w:rsidR="00830E72" w:rsidRDefault="00830E72">
                <w:pPr>
                  <w:jc w:val="right"/>
                  <w:rPr>
                    <w:szCs w:val="21"/>
                  </w:rPr>
                </w:pPr>
              </w:p>
            </w:tc>
          </w:tr>
          <w:tr w:rsidR="00830E72" w14:paraId="07975D73" w14:textId="77777777">
            <w:trPr>
              <w:trHeight w:val="273"/>
            </w:trPr>
            <w:sdt>
              <w:sdtPr>
                <w:tag w:val="_PLD_dd5ff8f664da49d38ce3a1157275c392"/>
                <w:id w:val="1887991779"/>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61F415FE" w14:textId="77777777" w:rsidR="00830E72" w:rsidRDefault="008344D8">
                    <w:pPr>
                      <w:rPr>
                        <w:szCs w:val="21"/>
                      </w:rPr>
                    </w:pPr>
                    <w:r>
                      <w:rPr>
                        <w:rFonts w:hint="eastAsia"/>
                        <w:szCs w:val="21"/>
                      </w:rPr>
                      <w:t>四、账面价值</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6BFCA99B" w14:textId="77777777" w:rsidR="00830E72" w:rsidRDefault="00830E72">
                <w:pPr>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57039492" w14:textId="77777777" w:rsidR="00830E72" w:rsidRDefault="00830E72">
                <w:pPr>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3F678938" w14:textId="77777777" w:rsidR="00830E72" w:rsidRDefault="00830E72">
                <w:pPr>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0207FD91" w14:textId="77777777" w:rsidR="00830E72" w:rsidRDefault="00830E72">
                <w:pPr>
                  <w:rPr>
                    <w:szCs w:val="21"/>
                  </w:rPr>
                </w:pPr>
              </w:p>
            </w:tc>
          </w:tr>
          <w:tr w:rsidR="00830E72" w14:paraId="2D971F13" w14:textId="77777777">
            <w:trPr>
              <w:trHeight w:val="272"/>
            </w:trPr>
            <w:sdt>
              <w:sdtPr>
                <w:tag w:val="_PLD_9e2ff7b138194a18892eb08dcc0b7923"/>
                <w:id w:val="764658608"/>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54E8B9FA" w14:textId="77777777" w:rsidR="00830E72" w:rsidRDefault="008344D8">
                    <w:pPr>
                      <w:ind w:firstLineChars="150" w:firstLine="315"/>
                      <w:rPr>
                        <w:szCs w:val="21"/>
                      </w:rPr>
                    </w:pPr>
                    <w:r>
                      <w:rPr>
                        <w:szCs w:val="21"/>
                      </w:rPr>
                      <w:t>1.</w:t>
                    </w:r>
                    <w:r>
                      <w:rPr>
                        <w:rFonts w:hint="eastAsia"/>
                        <w:szCs w:val="21"/>
                      </w:rPr>
                      <w:t>期末账面价值</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7F339B4D" w14:textId="77777777" w:rsidR="00830E72" w:rsidRDefault="008344D8">
                <w:pPr>
                  <w:jc w:val="right"/>
                  <w:rPr>
                    <w:szCs w:val="21"/>
                  </w:rPr>
                </w:pPr>
                <w:r>
                  <w:rPr>
                    <w:szCs w:val="21"/>
                  </w:rPr>
                  <w:t>95,840,183.90</w:t>
                </w: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79D9D4AD" w14:textId="77777777" w:rsidR="00830E72" w:rsidRDefault="00830E7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34C0ECDB" w14:textId="77777777" w:rsidR="00830E72" w:rsidRDefault="00830E7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684B58B6" w14:textId="77777777" w:rsidR="00830E72" w:rsidRDefault="008344D8">
                <w:pPr>
                  <w:jc w:val="right"/>
                  <w:rPr>
                    <w:szCs w:val="21"/>
                  </w:rPr>
                </w:pPr>
                <w:r>
                  <w:rPr>
                    <w:szCs w:val="21"/>
                  </w:rPr>
                  <w:t>95,840,183.90</w:t>
                </w:r>
              </w:p>
            </w:tc>
          </w:tr>
          <w:tr w:rsidR="00830E72" w14:paraId="3E07BDD8" w14:textId="77777777">
            <w:trPr>
              <w:trHeight w:val="290"/>
            </w:trPr>
            <w:sdt>
              <w:sdtPr>
                <w:tag w:val="_PLD_6e9e2eed2bfa45eb8258d1b408d860b3"/>
                <w:id w:val="953671560"/>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198FF764" w14:textId="77777777" w:rsidR="00830E72" w:rsidRDefault="008344D8">
                    <w:pPr>
                      <w:ind w:firstLineChars="150" w:firstLine="315"/>
                      <w:rPr>
                        <w:szCs w:val="21"/>
                      </w:rPr>
                    </w:pPr>
                    <w:r>
                      <w:rPr>
                        <w:szCs w:val="21"/>
                      </w:rPr>
                      <w:t>2.</w:t>
                    </w:r>
                    <w:r>
                      <w:rPr>
                        <w:rFonts w:hint="eastAsia"/>
                        <w:szCs w:val="21"/>
                      </w:rPr>
                      <w:t>期初账面价值</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431288DA" w14:textId="77777777" w:rsidR="00830E72" w:rsidRDefault="008344D8">
                <w:pPr>
                  <w:jc w:val="right"/>
                  <w:rPr>
                    <w:szCs w:val="21"/>
                  </w:rPr>
                </w:pPr>
                <w:r>
                  <w:rPr>
                    <w:szCs w:val="21"/>
                  </w:rPr>
                  <w:t>97,634,438.66</w:t>
                </w: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3918DEA6" w14:textId="77777777" w:rsidR="00830E72" w:rsidRDefault="00830E7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0A225CC7" w14:textId="77777777" w:rsidR="00830E72" w:rsidRDefault="00830E7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634DE2EE" w14:textId="77777777" w:rsidR="00830E72" w:rsidRDefault="008344D8">
                <w:pPr>
                  <w:jc w:val="right"/>
                  <w:rPr>
                    <w:szCs w:val="21"/>
                  </w:rPr>
                </w:pPr>
                <w:r>
                  <w:rPr>
                    <w:szCs w:val="21"/>
                  </w:rPr>
                  <w:t>97,634,438.66</w:t>
                </w:r>
              </w:p>
            </w:tc>
          </w:tr>
        </w:tbl>
        <w:p w14:paraId="4A0AEB33" w14:textId="77777777" w:rsidR="00830E72" w:rsidRDefault="00830E72"/>
        <w:p w14:paraId="1FEDD44D" w14:textId="77777777" w:rsidR="00830E72" w:rsidRDefault="008344D8">
          <w:pPr>
            <w:pStyle w:val="Style100"/>
            <w:numPr>
              <w:ilvl w:val="0"/>
              <w:numId w:val="57"/>
            </w:numPr>
            <w:tabs>
              <w:tab w:val="left" w:pos="616"/>
            </w:tabs>
            <w:rPr>
              <w:rFonts w:ascii="宋体" w:hAnsi="宋体"/>
              <w:szCs w:val="21"/>
            </w:rPr>
          </w:pPr>
          <w:r>
            <w:rPr>
              <w:rFonts w:ascii="宋体" w:hAnsi="宋体" w:hint="eastAsia"/>
              <w:szCs w:val="21"/>
            </w:rPr>
            <w:t>未办妥产权证书的投资性房地产情况：</w:t>
          </w:r>
        </w:p>
        <w:p w14:paraId="01F66079" w14:textId="77777777" w:rsidR="00830E72" w:rsidRDefault="00D44830">
          <w:pPr>
            <w:rPr>
              <w:szCs w:val="21"/>
            </w:rPr>
          </w:pPr>
          <w:sdt>
            <w:sdtPr>
              <w:alias w:val="是否适用：未办妥产权证书的投资性房地产情况[双击切换]"/>
              <w:tag w:val="_GBC_6ea8ec03c59f4a3585f376319ae453c5"/>
              <w:id w:val="1811132045"/>
              <w:lock w:val="sdtContentLocked"/>
              <w:placeholder>
                <w:docPart w:val="GBC22222222222222222222222222222"/>
              </w:placeholder>
            </w:sdtPr>
            <w:sdtEndPr/>
            <w:sdtContent>
              <w:r w:rsidR="008344D8">
                <w:fldChar w:fldCharType="begin"/>
              </w:r>
              <w:r w:rsidR="008344D8">
                <w:instrText xml:space="preserve"> MACROBUTTON  SnrToggleCheckbox □适用 </w:instrText>
              </w:r>
              <w:r w:rsidR="008344D8">
                <w:fldChar w:fldCharType="end"/>
              </w:r>
              <w:r w:rsidR="008344D8">
                <w:fldChar w:fldCharType="begin"/>
              </w:r>
              <w:r w:rsidR="008344D8">
                <w:instrText xml:space="preserve"> MACROBUTTON  SnrToggleCheckbox √不适用 </w:instrText>
              </w:r>
              <w:r w:rsidR="008344D8">
                <w:fldChar w:fldCharType="end"/>
              </w:r>
            </w:sdtContent>
          </w:sdt>
        </w:p>
        <w:p w14:paraId="63DFB4E8" w14:textId="77777777" w:rsidR="00830E72" w:rsidRDefault="008344D8">
          <w:pPr>
            <w:ind w:leftChars="-21" w:left="-2" w:hangingChars="20" w:hanging="42"/>
            <w:rPr>
              <w:szCs w:val="21"/>
            </w:rPr>
          </w:pPr>
          <w:r>
            <w:rPr>
              <w:rFonts w:hint="eastAsia"/>
              <w:szCs w:val="21"/>
            </w:rPr>
            <w:t>其他说明</w:t>
          </w:r>
        </w:p>
        <w:sdt>
          <w:sdtPr>
            <w:rPr>
              <w:szCs w:val="21"/>
            </w:rPr>
            <w:alias w:val="是否适用：投资性房地产的说明[双击切换]"/>
            <w:tag w:val="_GBC_7c82892b5f364028897e5707cfcc5e86"/>
            <w:id w:val="-1899735831"/>
            <w:lock w:val="sdtContentLocked"/>
            <w:placeholder>
              <w:docPart w:val="GBC22222222222222222222222222222"/>
            </w:placeholder>
          </w:sdtPr>
          <w:sdtEndPr/>
          <w:sdtContent>
            <w:p w14:paraId="182C15E8" w14:textId="77777777" w:rsidR="00830E72" w:rsidRDefault="008344D8">
              <w:pPr>
                <w:rPr>
                  <w:rFonts w:cstheme="minorBidi"/>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E5125CB" w14:textId="77777777" w:rsidR="00830E72" w:rsidRDefault="00D44830">
          <w:pPr>
            <w:rPr>
              <w:szCs w:val="21"/>
            </w:rPr>
          </w:pPr>
        </w:p>
      </w:sdtContent>
    </w:sdt>
    <w:p w14:paraId="3A23C5A5"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固定资产</w:t>
      </w:r>
    </w:p>
    <w:bookmarkStart w:id="144" w:name="_Hlk10472369" w:displacedByCustomXml="next"/>
    <w:sdt>
      <w:sdtPr>
        <w:rPr>
          <w:rFonts w:ascii="宋体" w:hAnsi="宋体" w:cs="宋体" w:hint="eastAsia"/>
          <w:b w:val="0"/>
          <w:bCs w:val="0"/>
          <w:kern w:val="0"/>
          <w:szCs w:val="24"/>
        </w:rPr>
        <w:alias w:val="模块:固定资产项目列示"/>
        <w:tag w:val="_SEC_d216074d2ae442239dbb6f5f9b7a5d89"/>
        <w:id w:val="-631791988"/>
        <w:lock w:val="sdtLocked"/>
        <w:placeholder>
          <w:docPart w:val="GBC22222222222222222222222222222"/>
        </w:placeholder>
      </w:sdtPr>
      <w:sdtEndPr>
        <w:rPr>
          <w:rFonts w:hint="default"/>
          <w:szCs w:val="21"/>
        </w:rPr>
      </w:sdtEndPr>
      <w:sdtContent>
        <w:p w14:paraId="0962302C" w14:textId="77777777" w:rsidR="00830E72" w:rsidRDefault="008344D8">
          <w:pPr>
            <w:pStyle w:val="Style100"/>
            <w:tabs>
              <w:tab w:val="left" w:pos="588"/>
            </w:tabs>
            <w:rPr>
              <w:rFonts w:ascii="宋体" w:hAnsi="宋体"/>
            </w:rPr>
          </w:pPr>
          <w:r>
            <w:rPr>
              <w:rFonts w:ascii="宋体" w:hAnsi="宋体" w:hint="eastAsia"/>
            </w:rPr>
            <w:t>项目列示</w:t>
          </w:r>
        </w:p>
        <w:sdt>
          <w:sdtPr>
            <w:alias w:val="是否适用：固定资产分类列示[双击切换]"/>
            <w:tag w:val="_GBC_73d82e583dcc4330bebfeb83abd5f5bb"/>
            <w:id w:val="-2146263761"/>
            <w:lock w:val="sdtContentLocked"/>
            <w:placeholder>
              <w:docPart w:val="GBC22222222222222222222222222222"/>
            </w:placeholder>
          </w:sdtPr>
          <w:sdtEndPr/>
          <w:sdtContent>
            <w:p w14:paraId="16DECAAC"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C11F548" w14:textId="77777777" w:rsidR="00830E72" w:rsidRDefault="008344D8">
          <w:pPr>
            <w:jc w:val="right"/>
            <w:rPr>
              <w:szCs w:val="21"/>
            </w:rPr>
          </w:pPr>
          <w:r>
            <w:rPr>
              <w:rFonts w:hint="eastAsia"/>
              <w:szCs w:val="21"/>
            </w:rPr>
            <w:t>单位：</w:t>
          </w:r>
          <w:sdt>
            <w:sdtPr>
              <w:rPr>
                <w:rFonts w:hint="eastAsia"/>
                <w:szCs w:val="21"/>
              </w:rPr>
              <w:alias w:val="单位：固定资产分类列示"/>
              <w:tag w:val="_GBC_1ddbfde119544f109a3b12a48ffde12d"/>
              <w:id w:val="-4074591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fcb83ec59024431d9f3167f55c1ae7c0"/>
              <w:id w:val="-6265435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3456"/>
            <w:gridCol w:w="2582"/>
          </w:tblGrid>
          <w:tr w:rsidR="00830E72" w14:paraId="64853767" w14:textId="77777777">
            <w:sdt>
              <w:sdtPr>
                <w:tag w:val="_PLD_8242dd3761084b5fa8943b910dbdbe45"/>
                <w:id w:val="1783380752"/>
                <w:lock w:val="sdtLocked"/>
              </w:sdtPr>
              <w:sdtEndPr/>
              <w:sdtContent>
                <w:tc>
                  <w:tcPr>
                    <w:tcW w:w="1828" w:type="pct"/>
                    <w:shd w:val="clear" w:color="auto" w:fill="auto"/>
                    <w:vAlign w:val="center"/>
                  </w:tcPr>
                  <w:p w14:paraId="57FBD253" w14:textId="77777777" w:rsidR="00830E72" w:rsidRDefault="008344D8">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666df388ce2f4405af4694ebf5c112ca"/>
                <w:id w:val="-439987934"/>
                <w:lock w:val="sdtLocked"/>
              </w:sdtPr>
              <w:sdtEndPr/>
              <w:sdtContent>
                <w:tc>
                  <w:tcPr>
                    <w:tcW w:w="1582" w:type="pct"/>
                    <w:shd w:val="clear" w:color="auto" w:fill="auto"/>
                    <w:vAlign w:val="center"/>
                  </w:tcPr>
                  <w:p w14:paraId="72C0AE10" w14:textId="77777777" w:rsidR="00830E72" w:rsidRDefault="008344D8">
                    <w:pPr>
                      <w:jc w:val="center"/>
                      <w:rPr>
                        <w:szCs w:val="21"/>
                      </w:rPr>
                    </w:pPr>
                    <w:r>
                      <w:rPr>
                        <w:rFonts w:hint="eastAsia"/>
                        <w:szCs w:val="21"/>
                      </w:rPr>
                      <w:t>期末余额</w:t>
                    </w:r>
                  </w:p>
                </w:tc>
              </w:sdtContent>
            </w:sdt>
            <w:sdt>
              <w:sdtPr>
                <w:tag w:val="_PLD_ca4fd9ec8b6a43259f78c36475f04e58"/>
                <w:id w:val="-1600780600"/>
                <w:lock w:val="sdtLocked"/>
              </w:sdtPr>
              <w:sdtEndPr/>
              <w:sdtContent>
                <w:tc>
                  <w:tcPr>
                    <w:tcW w:w="1590" w:type="pct"/>
                    <w:shd w:val="clear" w:color="auto" w:fill="auto"/>
                    <w:vAlign w:val="center"/>
                  </w:tcPr>
                  <w:p w14:paraId="64E29BF0" w14:textId="77777777" w:rsidR="00830E72" w:rsidRDefault="008344D8">
                    <w:pPr>
                      <w:jc w:val="center"/>
                      <w:rPr>
                        <w:szCs w:val="21"/>
                      </w:rPr>
                    </w:pPr>
                    <w:r>
                      <w:rPr>
                        <w:rFonts w:hint="eastAsia"/>
                        <w:szCs w:val="21"/>
                      </w:rPr>
                      <w:t>期初余额</w:t>
                    </w:r>
                  </w:p>
                </w:tc>
              </w:sdtContent>
            </w:sdt>
          </w:tr>
          <w:tr w:rsidR="00830E72" w14:paraId="014CC08B" w14:textId="77777777">
            <w:sdt>
              <w:sdtPr>
                <w:tag w:val="_PLD_722c53058dad410fa612baf9cbff9bc1"/>
                <w:id w:val="-1848472828"/>
                <w:lock w:val="sdtLocked"/>
              </w:sdtPr>
              <w:sdtEndPr/>
              <w:sdtContent>
                <w:tc>
                  <w:tcPr>
                    <w:tcW w:w="1828" w:type="pct"/>
                    <w:shd w:val="clear" w:color="auto" w:fill="auto"/>
                  </w:tcPr>
                  <w:p w14:paraId="65AB55DD" w14:textId="77777777" w:rsidR="00830E72" w:rsidRDefault="008344D8">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sdtContent>
            </w:sdt>
            <w:tc>
              <w:tcPr>
                <w:tcW w:w="1582" w:type="pct"/>
                <w:shd w:val="clear" w:color="auto" w:fill="auto"/>
              </w:tcPr>
              <w:p w14:paraId="7909EB41" w14:textId="77777777" w:rsidR="00830E72" w:rsidRDefault="008344D8">
                <w:pPr>
                  <w:tabs>
                    <w:tab w:val="left" w:pos="1875"/>
                    <w:tab w:val="right" w:pos="3690"/>
                    <w:tab w:val="right" w:pos="5130"/>
                    <w:tab w:val="right" w:pos="6030"/>
                    <w:tab w:val="right" w:pos="7650"/>
                    <w:tab w:val="right" w:pos="9270"/>
                  </w:tabs>
                  <w:adjustRightInd w:val="0"/>
                  <w:snapToGrid w:val="0"/>
                  <w:rPr>
                    <w:szCs w:val="21"/>
                  </w:rPr>
                </w:pPr>
                <w:r>
                  <w:rPr>
                    <w:szCs w:val="21"/>
                  </w:rPr>
                  <w:tab/>
                  <w:t>39,125,319.45</w:t>
                </w:r>
              </w:p>
            </w:tc>
            <w:tc>
              <w:tcPr>
                <w:tcW w:w="1590" w:type="pct"/>
                <w:shd w:val="clear" w:color="auto" w:fill="auto"/>
              </w:tcPr>
              <w:p w14:paraId="0C931301" w14:textId="77777777" w:rsidR="00830E72" w:rsidRDefault="008344D8">
                <w:pPr>
                  <w:tabs>
                    <w:tab w:val="right" w:pos="3690"/>
                    <w:tab w:val="right" w:pos="5130"/>
                    <w:tab w:val="right" w:pos="6030"/>
                    <w:tab w:val="right" w:pos="7650"/>
                    <w:tab w:val="right" w:pos="9270"/>
                  </w:tabs>
                  <w:adjustRightInd w:val="0"/>
                  <w:snapToGrid w:val="0"/>
                  <w:jc w:val="right"/>
                  <w:rPr>
                    <w:szCs w:val="21"/>
                  </w:rPr>
                </w:pPr>
                <w:r>
                  <w:rPr>
                    <w:szCs w:val="21"/>
                  </w:rPr>
                  <w:t>41,020,039.76</w:t>
                </w:r>
              </w:p>
            </w:tc>
          </w:tr>
          <w:tr w:rsidR="00830E72" w14:paraId="0A3B5EF3" w14:textId="77777777">
            <w:sdt>
              <w:sdtPr>
                <w:tag w:val="_PLD_c4125b2326324bf0b90cbe28b521a568"/>
                <w:id w:val="-2044278808"/>
                <w:lock w:val="sdtLocked"/>
              </w:sdtPr>
              <w:sdtEndPr/>
              <w:sdtContent>
                <w:tc>
                  <w:tcPr>
                    <w:tcW w:w="1828" w:type="pct"/>
                    <w:shd w:val="clear" w:color="auto" w:fill="auto"/>
                    <w:vAlign w:val="center"/>
                  </w:tcPr>
                  <w:p w14:paraId="3B33717A" w14:textId="77777777" w:rsidR="00830E72" w:rsidRDefault="008344D8">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tcPr>
              <w:p w14:paraId="3F951C0E" w14:textId="77777777" w:rsidR="00830E72" w:rsidRDefault="008344D8">
                <w:pPr>
                  <w:tabs>
                    <w:tab w:val="right" w:pos="3690"/>
                    <w:tab w:val="right" w:pos="5130"/>
                    <w:tab w:val="right" w:pos="6030"/>
                    <w:tab w:val="right" w:pos="7650"/>
                    <w:tab w:val="right" w:pos="9270"/>
                  </w:tabs>
                  <w:adjustRightInd w:val="0"/>
                  <w:snapToGrid w:val="0"/>
                  <w:jc w:val="right"/>
                  <w:rPr>
                    <w:szCs w:val="21"/>
                  </w:rPr>
                </w:pPr>
                <w:r>
                  <w:rPr>
                    <w:szCs w:val="21"/>
                  </w:rPr>
                  <w:t>39,125,319.45</w:t>
                </w:r>
              </w:p>
            </w:tc>
            <w:tc>
              <w:tcPr>
                <w:tcW w:w="1590" w:type="pct"/>
                <w:shd w:val="clear" w:color="auto" w:fill="auto"/>
              </w:tcPr>
              <w:p w14:paraId="56620A8B" w14:textId="77777777" w:rsidR="00830E72" w:rsidRDefault="008344D8">
                <w:pPr>
                  <w:tabs>
                    <w:tab w:val="right" w:pos="3690"/>
                    <w:tab w:val="right" w:pos="5130"/>
                    <w:tab w:val="right" w:pos="6030"/>
                    <w:tab w:val="right" w:pos="7650"/>
                    <w:tab w:val="right" w:pos="9270"/>
                  </w:tabs>
                  <w:adjustRightInd w:val="0"/>
                  <w:snapToGrid w:val="0"/>
                  <w:jc w:val="right"/>
                  <w:rPr>
                    <w:szCs w:val="21"/>
                  </w:rPr>
                </w:pPr>
                <w:r>
                  <w:rPr>
                    <w:szCs w:val="21"/>
                  </w:rPr>
                  <w:t>41,020,039.76</w:t>
                </w:r>
              </w:p>
            </w:tc>
          </w:tr>
        </w:tbl>
        <w:p w14:paraId="22B64BB3" w14:textId="77777777" w:rsidR="00830E72" w:rsidRDefault="00D44830">
          <w:pPr>
            <w:rPr>
              <w:szCs w:val="21"/>
            </w:rPr>
          </w:pPr>
        </w:p>
      </w:sdtContent>
    </w:sdt>
    <w:bookmarkEnd w:id="144"/>
    <w:p w14:paraId="4682C714" w14:textId="77777777" w:rsidR="00830E72" w:rsidRDefault="008344D8">
      <w:pPr>
        <w:pStyle w:val="Style100"/>
        <w:tabs>
          <w:tab w:val="left" w:pos="588"/>
        </w:tabs>
        <w:rPr>
          <w:rFonts w:ascii="宋体" w:hAnsi="宋体"/>
        </w:rPr>
      </w:pPr>
      <w:r>
        <w:rPr>
          <w:rFonts w:ascii="宋体" w:hAnsi="宋体" w:hint="eastAsia"/>
        </w:rPr>
        <w:t>固定资产</w:t>
      </w:r>
    </w:p>
    <w:sdt>
      <w:sdtPr>
        <w:rPr>
          <w:rFonts w:ascii="宋体" w:hAnsi="宋体" w:cs="宋体" w:hint="eastAsia"/>
          <w:b w:val="0"/>
          <w:bCs w:val="0"/>
          <w:kern w:val="0"/>
          <w:szCs w:val="21"/>
        </w:rPr>
        <w:alias w:val="模块:固定资产情况"/>
        <w:tag w:val="_GBC_6b764c2f9af049ba98fb55c66fe083a9"/>
        <w:id w:val="-1249414991"/>
        <w:lock w:val="sdtLocked"/>
        <w:placeholder>
          <w:docPart w:val="GBC22222222222222222222222222222"/>
        </w:placeholder>
      </w:sdtPr>
      <w:sdtEndPr>
        <w:rPr>
          <w:rFonts w:cstheme="minorBidi"/>
          <w:kern w:val="2"/>
        </w:rPr>
      </w:sdtEndPr>
      <w:sdtContent>
        <w:p w14:paraId="221C14D2" w14:textId="77777777" w:rsidR="00830E72" w:rsidRDefault="008344D8">
          <w:pPr>
            <w:pStyle w:val="Style100"/>
            <w:numPr>
              <w:ilvl w:val="0"/>
              <w:numId w:val="58"/>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dea1f620aab74d63b1372d831b5b450f"/>
            <w:id w:val="584498098"/>
            <w:lock w:val="sdtContentLocked"/>
            <w:placeholder>
              <w:docPart w:val="GBC22222222222222222222222222222"/>
            </w:placeholder>
          </w:sdtPr>
          <w:sdtEndPr/>
          <w:sdtContent>
            <w:p w14:paraId="2A578BDD"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B9D7360" w14:textId="77777777" w:rsidR="00830E72" w:rsidRDefault="008344D8">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563afa3e91c048118558af0713b1a1af"/>
              <w:id w:val="-14408349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c5ecae448dd948eca54add973afbe77b"/>
              <w:id w:val="-19260973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818"/>
            <w:gridCol w:w="1330"/>
            <w:gridCol w:w="1437"/>
            <w:gridCol w:w="1437"/>
            <w:gridCol w:w="1437"/>
            <w:gridCol w:w="1434"/>
          </w:tblGrid>
          <w:tr w:rsidR="00830E72" w14:paraId="1C8E0CE1" w14:textId="77777777" w:rsidTr="00EE452E">
            <w:sdt>
              <w:sdtPr>
                <w:tag w:val="_PLD_1741958de41447b7ac4cbd15ce893c6c"/>
                <w:id w:val="-95938639"/>
                <w:lock w:val="sdtLocked"/>
              </w:sdtPr>
              <w:sdtEndPr/>
              <w:sdtContent>
                <w:tc>
                  <w:tcPr>
                    <w:tcW w:w="1022" w:type="pct"/>
                    <w:shd w:val="clear" w:color="auto" w:fill="auto"/>
                    <w:vAlign w:val="center"/>
                  </w:tcPr>
                  <w:p w14:paraId="62601EC3" w14:textId="77777777" w:rsidR="00830E72" w:rsidRDefault="008344D8">
                    <w:pPr>
                      <w:jc w:val="center"/>
                    </w:pPr>
                    <w:r>
                      <w:rPr>
                        <w:rFonts w:hint="eastAsia"/>
                      </w:rPr>
                      <w:t>项目</w:t>
                    </w:r>
                  </w:p>
                </w:tc>
              </w:sdtContent>
            </w:sdt>
            <w:sdt>
              <w:sdtPr>
                <w:rPr>
                  <w:rFonts w:hint="eastAsia"/>
                </w:rPr>
                <w:alias w:val="固定资产情况明细-项目名称"/>
                <w:tag w:val="_GBC_936a8499167f477aab1a2942b2fdbdaf"/>
                <w:id w:val="-1603951618"/>
                <w:lock w:val="sdtLocked"/>
                <w:text/>
              </w:sdtPr>
              <w:sdtEndPr/>
              <w:sdtContent>
                <w:tc>
                  <w:tcPr>
                    <w:tcW w:w="748" w:type="pct"/>
                    <w:shd w:val="clear" w:color="auto" w:fill="auto"/>
                    <w:vAlign w:val="center"/>
                  </w:tcPr>
                  <w:p w14:paraId="1C890678" w14:textId="77777777" w:rsidR="00830E72" w:rsidRDefault="008344D8">
                    <w:pPr>
                      <w:jc w:val="center"/>
                    </w:pPr>
                    <w:r>
                      <w:rPr>
                        <w:rFonts w:hint="eastAsia"/>
                      </w:rPr>
                      <w:t>房屋及建筑物</w:t>
                    </w:r>
                  </w:p>
                </w:tc>
              </w:sdtContent>
            </w:sdt>
            <w:sdt>
              <w:sdtPr>
                <w:rPr>
                  <w:rFonts w:hint="eastAsia"/>
                </w:rPr>
                <w:alias w:val="固定资产情况明细-项目名称"/>
                <w:tag w:val="_GBC_936a8499167f477aab1a2942b2fdbdaf"/>
                <w:id w:val="-1541124579"/>
                <w:lock w:val="sdtLocked"/>
                <w:text/>
              </w:sdtPr>
              <w:sdtEndPr/>
              <w:sdtContent>
                <w:tc>
                  <w:tcPr>
                    <w:tcW w:w="808" w:type="pct"/>
                    <w:shd w:val="clear" w:color="auto" w:fill="auto"/>
                    <w:vAlign w:val="center"/>
                  </w:tcPr>
                  <w:p w14:paraId="4FC9E516" w14:textId="77777777" w:rsidR="00830E72" w:rsidRDefault="008344D8">
                    <w:pPr>
                      <w:jc w:val="center"/>
                    </w:pPr>
                    <w:r>
                      <w:rPr>
                        <w:rFonts w:hint="eastAsia"/>
                      </w:rPr>
                      <w:t>机器设备</w:t>
                    </w:r>
                  </w:p>
                </w:tc>
              </w:sdtContent>
            </w:sdt>
            <w:sdt>
              <w:sdtPr>
                <w:rPr>
                  <w:rFonts w:hint="eastAsia"/>
                </w:rPr>
                <w:alias w:val="固定资产情况明细-项目名称"/>
                <w:tag w:val="_GBC_936a8499167f477aab1a2942b2fdbdaf"/>
                <w:id w:val="-399291497"/>
                <w:lock w:val="sdtLocked"/>
                <w:text/>
              </w:sdtPr>
              <w:sdtEndPr/>
              <w:sdtContent>
                <w:tc>
                  <w:tcPr>
                    <w:tcW w:w="808" w:type="pct"/>
                    <w:shd w:val="clear" w:color="auto" w:fill="auto"/>
                    <w:vAlign w:val="center"/>
                  </w:tcPr>
                  <w:p w14:paraId="0F665F60" w14:textId="77777777" w:rsidR="00830E72" w:rsidRDefault="008344D8">
                    <w:pPr>
                      <w:jc w:val="center"/>
                    </w:pPr>
                    <w:r>
                      <w:rPr>
                        <w:rFonts w:hint="eastAsia"/>
                      </w:rPr>
                      <w:t>运输工具</w:t>
                    </w:r>
                  </w:p>
                </w:tc>
              </w:sdtContent>
            </w:sdt>
            <w:sdt>
              <w:sdtPr>
                <w:rPr>
                  <w:rFonts w:hint="eastAsia"/>
                </w:rPr>
                <w:alias w:val="固定资产情况明细-项目名称"/>
                <w:tag w:val="_GBC_936a8499167f477aab1a2942b2fdbdaf"/>
                <w:id w:val="-1674950863"/>
                <w:lock w:val="sdtLocked"/>
                <w:text/>
              </w:sdtPr>
              <w:sdtEndPr/>
              <w:sdtContent>
                <w:tc>
                  <w:tcPr>
                    <w:tcW w:w="808" w:type="pct"/>
                    <w:shd w:val="clear" w:color="auto" w:fill="auto"/>
                    <w:vAlign w:val="center"/>
                  </w:tcPr>
                  <w:p w14:paraId="6565AC4E" w14:textId="77777777" w:rsidR="00830E72" w:rsidRDefault="008344D8">
                    <w:pPr>
                      <w:jc w:val="center"/>
                    </w:pPr>
                    <w:r>
                      <w:rPr>
                        <w:rFonts w:hint="eastAsia"/>
                      </w:rPr>
                      <w:t>电子设备及其他</w:t>
                    </w:r>
                  </w:p>
                </w:tc>
              </w:sdtContent>
            </w:sdt>
            <w:sdt>
              <w:sdtPr>
                <w:tag w:val="_PLD_0b635f975b4949dbb798f88c3dcf1d8d"/>
                <w:id w:val="36019632"/>
                <w:lock w:val="sdtLocked"/>
              </w:sdtPr>
              <w:sdtEndPr/>
              <w:sdtContent>
                <w:tc>
                  <w:tcPr>
                    <w:tcW w:w="807" w:type="pct"/>
                    <w:shd w:val="clear" w:color="auto" w:fill="auto"/>
                    <w:vAlign w:val="center"/>
                  </w:tcPr>
                  <w:p w14:paraId="089022A7" w14:textId="77777777" w:rsidR="00830E72" w:rsidRDefault="008344D8">
                    <w:pPr>
                      <w:jc w:val="center"/>
                    </w:pPr>
                    <w:r>
                      <w:rPr>
                        <w:rFonts w:hint="eastAsia"/>
                      </w:rPr>
                      <w:t>合计</w:t>
                    </w:r>
                  </w:p>
                </w:tc>
              </w:sdtContent>
            </w:sdt>
          </w:tr>
          <w:tr w:rsidR="00830E72" w14:paraId="74EB8DAE" w14:textId="77777777" w:rsidTr="00EE452E">
            <w:sdt>
              <w:sdtPr>
                <w:tag w:val="_PLD_e1d4e79d72fd45cc925f8729ecef795c"/>
                <w:id w:val="2017268154"/>
                <w:lock w:val="sdtLocked"/>
              </w:sdtPr>
              <w:sdtEndPr/>
              <w:sdtContent>
                <w:tc>
                  <w:tcPr>
                    <w:tcW w:w="1022" w:type="pct"/>
                    <w:shd w:val="clear" w:color="auto" w:fill="auto"/>
                    <w:vAlign w:val="center"/>
                  </w:tcPr>
                  <w:p w14:paraId="1090CDA9" w14:textId="77777777" w:rsidR="00830E72" w:rsidRDefault="008344D8">
                    <w:r>
                      <w:rPr>
                        <w:rFonts w:hint="eastAsia"/>
                      </w:rPr>
                      <w:t>一、账面原值：</w:t>
                    </w:r>
                  </w:p>
                </w:tc>
              </w:sdtContent>
            </w:sdt>
            <w:tc>
              <w:tcPr>
                <w:tcW w:w="748" w:type="pct"/>
                <w:shd w:val="clear" w:color="auto" w:fill="auto"/>
                <w:vAlign w:val="center"/>
              </w:tcPr>
              <w:p w14:paraId="1E2E8F88" w14:textId="77777777" w:rsidR="00830E72" w:rsidRDefault="00830E72">
                <w:pPr>
                  <w:jc w:val="center"/>
                </w:pPr>
              </w:p>
            </w:tc>
            <w:tc>
              <w:tcPr>
                <w:tcW w:w="808" w:type="pct"/>
                <w:shd w:val="clear" w:color="auto" w:fill="auto"/>
                <w:vAlign w:val="center"/>
              </w:tcPr>
              <w:p w14:paraId="7B4524A7" w14:textId="77777777" w:rsidR="00830E72" w:rsidRDefault="00830E72">
                <w:pPr>
                  <w:jc w:val="center"/>
                </w:pPr>
              </w:p>
            </w:tc>
            <w:tc>
              <w:tcPr>
                <w:tcW w:w="808" w:type="pct"/>
                <w:shd w:val="clear" w:color="auto" w:fill="auto"/>
                <w:vAlign w:val="center"/>
              </w:tcPr>
              <w:p w14:paraId="269C091D" w14:textId="77777777" w:rsidR="00830E72" w:rsidRDefault="00830E72">
                <w:pPr>
                  <w:jc w:val="center"/>
                </w:pPr>
              </w:p>
            </w:tc>
            <w:tc>
              <w:tcPr>
                <w:tcW w:w="808" w:type="pct"/>
                <w:shd w:val="clear" w:color="auto" w:fill="auto"/>
                <w:vAlign w:val="center"/>
              </w:tcPr>
              <w:p w14:paraId="4B166D7C" w14:textId="77777777" w:rsidR="00830E72" w:rsidRDefault="00830E72">
                <w:pPr>
                  <w:jc w:val="center"/>
                </w:pPr>
              </w:p>
            </w:tc>
            <w:tc>
              <w:tcPr>
                <w:tcW w:w="807" w:type="pct"/>
                <w:shd w:val="clear" w:color="auto" w:fill="auto"/>
                <w:vAlign w:val="center"/>
              </w:tcPr>
              <w:p w14:paraId="3673009E" w14:textId="77777777" w:rsidR="00830E72" w:rsidRDefault="00830E72">
                <w:pPr>
                  <w:jc w:val="center"/>
                </w:pPr>
              </w:p>
            </w:tc>
          </w:tr>
          <w:tr w:rsidR="00830E72" w14:paraId="3AC22FCC" w14:textId="77777777" w:rsidTr="00EE452E">
            <w:sdt>
              <w:sdtPr>
                <w:tag w:val="_PLD_76089fd0a4a0479c8c1f36c514cb7ecd"/>
                <w:id w:val="-1812402583"/>
                <w:lock w:val="sdtLocked"/>
              </w:sdtPr>
              <w:sdtEndPr/>
              <w:sdtContent>
                <w:tc>
                  <w:tcPr>
                    <w:tcW w:w="1022" w:type="pct"/>
                    <w:shd w:val="clear" w:color="auto" w:fill="auto"/>
                    <w:vAlign w:val="center"/>
                  </w:tcPr>
                  <w:p w14:paraId="0BA735B7" w14:textId="77777777" w:rsidR="00830E72" w:rsidRDefault="008344D8">
                    <w:pPr>
                      <w:ind w:firstLineChars="200" w:firstLine="420"/>
                    </w:pPr>
                    <w:r>
                      <w:t>1.</w:t>
                    </w:r>
                    <w:r>
                      <w:rPr>
                        <w:rFonts w:hint="eastAsia"/>
                      </w:rPr>
                      <w:t>期初余额</w:t>
                    </w:r>
                  </w:p>
                </w:tc>
              </w:sdtContent>
            </w:sdt>
            <w:tc>
              <w:tcPr>
                <w:tcW w:w="748" w:type="pct"/>
                <w:shd w:val="clear" w:color="auto" w:fill="auto"/>
                <w:vAlign w:val="center"/>
              </w:tcPr>
              <w:p w14:paraId="28C4575E" w14:textId="77777777" w:rsidR="00830E72" w:rsidRDefault="008344D8">
                <w:pPr>
                  <w:jc w:val="right"/>
                </w:pPr>
                <w:r>
                  <w:t>9,083,638.67</w:t>
                </w:r>
              </w:p>
            </w:tc>
            <w:tc>
              <w:tcPr>
                <w:tcW w:w="808" w:type="pct"/>
                <w:shd w:val="clear" w:color="auto" w:fill="auto"/>
                <w:vAlign w:val="center"/>
              </w:tcPr>
              <w:p w14:paraId="0F58793C" w14:textId="77777777" w:rsidR="00830E72" w:rsidRDefault="008344D8">
                <w:pPr>
                  <w:jc w:val="right"/>
                </w:pPr>
                <w:r>
                  <w:t>31,755,547.90</w:t>
                </w:r>
              </w:p>
            </w:tc>
            <w:tc>
              <w:tcPr>
                <w:tcW w:w="808" w:type="pct"/>
                <w:shd w:val="clear" w:color="auto" w:fill="auto"/>
                <w:vAlign w:val="center"/>
              </w:tcPr>
              <w:p w14:paraId="502F9C3B" w14:textId="77777777" w:rsidR="00830E72" w:rsidRDefault="008344D8">
                <w:pPr>
                  <w:jc w:val="right"/>
                </w:pPr>
                <w:r>
                  <w:t>10,596,872.53</w:t>
                </w:r>
              </w:p>
            </w:tc>
            <w:tc>
              <w:tcPr>
                <w:tcW w:w="808" w:type="pct"/>
                <w:shd w:val="clear" w:color="auto" w:fill="auto"/>
                <w:vAlign w:val="center"/>
              </w:tcPr>
              <w:p w14:paraId="4D896E6E" w14:textId="77777777" w:rsidR="00830E72" w:rsidRDefault="008344D8">
                <w:pPr>
                  <w:jc w:val="right"/>
                </w:pPr>
                <w:r>
                  <w:t>18,457,451.30</w:t>
                </w:r>
              </w:p>
            </w:tc>
            <w:tc>
              <w:tcPr>
                <w:tcW w:w="807" w:type="pct"/>
                <w:shd w:val="clear" w:color="auto" w:fill="auto"/>
                <w:vAlign w:val="center"/>
              </w:tcPr>
              <w:p w14:paraId="2C5E5A7D" w14:textId="77777777" w:rsidR="00830E72" w:rsidRDefault="008344D8">
                <w:pPr>
                  <w:jc w:val="right"/>
                </w:pPr>
                <w:r>
                  <w:t>69,893,510.40</w:t>
                </w:r>
              </w:p>
            </w:tc>
          </w:tr>
          <w:tr w:rsidR="00830E72" w14:paraId="2B4512D2" w14:textId="77777777" w:rsidTr="00EE452E">
            <w:sdt>
              <w:sdtPr>
                <w:tag w:val="_PLD_ee436c0e086043f0a5f400c99fbf0df9"/>
                <w:id w:val="1574933760"/>
                <w:lock w:val="sdtLocked"/>
              </w:sdtPr>
              <w:sdtEndPr/>
              <w:sdtContent>
                <w:tc>
                  <w:tcPr>
                    <w:tcW w:w="1022" w:type="pct"/>
                    <w:shd w:val="clear" w:color="auto" w:fill="auto"/>
                    <w:vAlign w:val="center"/>
                  </w:tcPr>
                  <w:p w14:paraId="46B07C67" w14:textId="77777777" w:rsidR="00830E72" w:rsidRDefault="008344D8">
                    <w:pPr>
                      <w:ind w:firstLineChars="200" w:firstLine="420"/>
                    </w:pPr>
                    <w:r>
                      <w:t>2.</w:t>
                    </w:r>
                    <w:r>
                      <w:rPr>
                        <w:rFonts w:hint="eastAsia"/>
                      </w:rPr>
                      <w:t>本期增加金额</w:t>
                    </w:r>
                  </w:p>
                </w:tc>
              </w:sdtContent>
            </w:sdt>
            <w:tc>
              <w:tcPr>
                <w:tcW w:w="748" w:type="pct"/>
                <w:shd w:val="clear" w:color="auto" w:fill="auto"/>
                <w:vAlign w:val="center"/>
              </w:tcPr>
              <w:p w14:paraId="7BA14658" w14:textId="77777777" w:rsidR="00830E72" w:rsidRDefault="00830E72">
                <w:pPr>
                  <w:jc w:val="right"/>
                </w:pPr>
              </w:p>
            </w:tc>
            <w:tc>
              <w:tcPr>
                <w:tcW w:w="808" w:type="pct"/>
                <w:shd w:val="clear" w:color="auto" w:fill="auto"/>
                <w:vAlign w:val="center"/>
              </w:tcPr>
              <w:p w14:paraId="75149062" w14:textId="77777777" w:rsidR="00830E72" w:rsidRDefault="008344D8">
                <w:pPr>
                  <w:jc w:val="right"/>
                </w:pPr>
                <w:r>
                  <w:t>199,459.20</w:t>
                </w:r>
              </w:p>
            </w:tc>
            <w:tc>
              <w:tcPr>
                <w:tcW w:w="808" w:type="pct"/>
                <w:shd w:val="clear" w:color="auto" w:fill="auto"/>
                <w:vAlign w:val="center"/>
              </w:tcPr>
              <w:p w14:paraId="30F3E787" w14:textId="77777777" w:rsidR="00830E72" w:rsidRDefault="008344D8">
                <w:pPr>
                  <w:jc w:val="right"/>
                </w:pPr>
                <w:r>
                  <w:t>449,395.88</w:t>
                </w:r>
              </w:p>
            </w:tc>
            <w:tc>
              <w:tcPr>
                <w:tcW w:w="808" w:type="pct"/>
                <w:shd w:val="clear" w:color="auto" w:fill="auto"/>
                <w:vAlign w:val="center"/>
              </w:tcPr>
              <w:p w14:paraId="1805FD7D" w14:textId="77777777" w:rsidR="00830E72" w:rsidRDefault="008344D8">
                <w:pPr>
                  <w:jc w:val="right"/>
                </w:pPr>
                <w:r>
                  <w:t>1,391,630.16</w:t>
                </w:r>
              </w:p>
            </w:tc>
            <w:tc>
              <w:tcPr>
                <w:tcW w:w="807" w:type="pct"/>
                <w:shd w:val="clear" w:color="auto" w:fill="auto"/>
                <w:vAlign w:val="center"/>
              </w:tcPr>
              <w:p w14:paraId="38DA56EA" w14:textId="77777777" w:rsidR="00830E72" w:rsidRDefault="008344D8">
                <w:pPr>
                  <w:jc w:val="right"/>
                </w:pPr>
                <w:r>
                  <w:t>2,040,485.2</w:t>
                </w:r>
                <w:r>
                  <w:rPr>
                    <w:rFonts w:hint="eastAsia"/>
                  </w:rPr>
                  <w:t>4</w:t>
                </w:r>
              </w:p>
            </w:tc>
          </w:tr>
          <w:tr w:rsidR="00CB6099" w14:paraId="3E4F874C" w14:textId="77777777" w:rsidTr="00EE452E">
            <w:sdt>
              <w:sdtPr>
                <w:tag w:val="_PLD_52f208e0e9cd4154b48b25225e9d4e33"/>
                <w:id w:val="1504702372"/>
                <w:lock w:val="sdtLocked"/>
              </w:sdtPr>
              <w:sdtEndPr/>
              <w:sdtContent>
                <w:tc>
                  <w:tcPr>
                    <w:tcW w:w="1022" w:type="pct"/>
                    <w:shd w:val="clear" w:color="auto" w:fill="auto"/>
                    <w:vAlign w:val="center"/>
                  </w:tcPr>
                  <w:p w14:paraId="13EFC487" w14:textId="77777777" w:rsidR="00CB6099" w:rsidRDefault="00CB6099" w:rsidP="00CB6099">
                    <w:pPr>
                      <w:ind w:firstLineChars="300" w:firstLine="630"/>
                    </w:pPr>
                    <w:r>
                      <w:rPr>
                        <w:rFonts w:hint="eastAsia"/>
                      </w:rPr>
                      <w:t>（1）购置</w:t>
                    </w:r>
                  </w:p>
                </w:tc>
              </w:sdtContent>
            </w:sdt>
            <w:tc>
              <w:tcPr>
                <w:tcW w:w="748" w:type="pct"/>
                <w:shd w:val="clear" w:color="auto" w:fill="auto"/>
                <w:vAlign w:val="center"/>
              </w:tcPr>
              <w:p w14:paraId="70533865" w14:textId="77777777" w:rsidR="00CB6099" w:rsidRDefault="00CB6099" w:rsidP="00CB6099">
                <w:pPr>
                  <w:jc w:val="right"/>
                </w:pPr>
              </w:p>
            </w:tc>
            <w:tc>
              <w:tcPr>
                <w:tcW w:w="808" w:type="pct"/>
                <w:shd w:val="clear" w:color="auto" w:fill="auto"/>
                <w:vAlign w:val="center"/>
              </w:tcPr>
              <w:p w14:paraId="43A7743A" w14:textId="77777777" w:rsidR="00CB6099" w:rsidRDefault="00CB6099" w:rsidP="00CB6099">
                <w:pPr>
                  <w:jc w:val="right"/>
                </w:pPr>
                <w:r>
                  <w:t>199,459.20</w:t>
                </w:r>
              </w:p>
            </w:tc>
            <w:tc>
              <w:tcPr>
                <w:tcW w:w="808" w:type="pct"/>
                <w:shd w:val="clear" w:color="auto" w:fill="auto"/>
                <w:vAlign w:val="center"/>
              </w:tcPr>
              <w:p w14:paraId="0A22A087" w14:textId="77777777" w:rsidR="00CB6099" w:rsidRDefault="00CB6099" w:rsidP="00CB6099">
                <w:pPr>
                  <w:jc w:val="right"/>
                </w:pPr>
                <w:r>
                  <w:t>449,395.88</w:t>
                </w:r>
              </w:p>
            </w:tc>
            <w:tc>
              <w:tcPr>
                <w:tcW w:w="808" w:type="pct"/>
                <w:shd w:val="clear" w:color="auto" w:fill="auto"/>
                <w:vAlign w:val="center"/>
              </w:tcPr>
              <w:p w14:paraId="6D750B25" w14:textId="42E563EF" w:rsidR="00CB6099" w:rsidRDefault="00CB6099" w:rsidP="00CB6099">
                <w:pPr>
                  <w:jc w:val="right"/>
                </w:pPr>
                <w:r>
                  <w:t>1,391,630.16</w:t>
                </w:r>
              </w:p>
            </w:tc>
            <w:tc>
              <w:tcPr>
                <w:tcW w:w="807" w:type="pct"/>
                <w:shd w:val="clear" w:color="auto" w:fill="auto"/>
                <w:vAlign w:val="center"/>
              </w:tcPr>
              <w:p w14:paraId="3E397BCF" w14:textId="7537B06C" w:rsidR="00CB6099" w:rsidRDefault="00CB6099" w:rsidP="00CB6099">
                <w:pPr>
                  <w:jc w:val="right"/>
                </w:pPr>
                <w:r>
                  <w:t>2,040,485.24</w:t>
                </w:r>
              </w:p>
            </w:tc>
          </w:tr>
          <w:tr w:rsidR="00CB6099" w14:paraId="2ADCA5ED" w14:textId="77777777" w:rsidTr="00EE452E">
            <w:sdt>
              <w:sdtPr>
                <w:tag w:val="_PLD_dfb162daa7694866a1c4e80fabb81d52"/>
                <w:id w:val="-1238705772"/>
                <w:lock w:val="sdtLocked"/>
              </w:sdtPr>
              <w:sdtEndPr/>
              <w:sdtContent>
                <w:tc>
                  <w:tcPr>
                    <w:tcW w:w="1022" w:type="pct"/>
                    <w:shd w:val="clear" w:color="auto" w:fill="auto"/>
                    <w:vAlign w:val="center"/>
                  </w:tcPr>
                  <w:p w14:paraId="44BCBEE9" w14:textId="77777777" w:rsidR="00CB6099" w:rsidRDefault="00CB6099" w:rsidP="00CB6099">
                    <w:pPr>
                      <w:ind w:firstLineChars="250" w:firstLine="525"/>
                    </w:pPr>
                    <w:r>
                      <w:rPr>
                        <w:rFonts w:hint="eastAsia"/>
                      </w:rPr>
                      <w:t>3.本期减少金额</w:t>
                    </w:r>
                  </w:p>
                </w:tc>
              </w:sdtContent>
            </w:sdt>
            <w:tc>
              <w:tcPr>
                <w:tcW w:w="748" w:type="pct"/>
                <w:shd w:val="clear" w:color="auto" w:fill="auto"/>
                <w:vAlign w:val="center"/>
              </w:tcPr>
              <w:p w14:paraId="17F4BCC6" w14:textId="77777777" w:rsidR="00CB6099" w:rsidRDefault="00CB6099" w:rsidP="00CB6099">
                <w:pPr>
                  <w:jc w:val="right"/>
                </w:pPr>
              </w:p>
            </w:tc>
            <w:tc>
              <w:tcPr>
                <w:tcW w:w="808" w:type="pct"/>
                <w:shd w:val="clear" w:color="auto" w:fill="auto"/>
                <w:vAlign w:val="center"/>
              </w:tcPr>
              <w:p w14:paraId="22FAC063" w14:textId="77777777" w:rsidR="00CB6099" w:rsidRDefault="00CB6099" w:rsidP="00CB6099">
                <w:pPr>
                  <w:jc w:val="right"/>
                </w:pPr>
                <w:r>
                  <w:t>66,878.36</w:t>
                </w:r>
              </w:p>
            </w:tc>
            <w:tc>
              <w:tcPr>
                <w:tcW w:w="808" w:type="pct"/>
                <w:shd w:val="clear" w:color="auto" w:fill="auto"/>
                <w:vAlign w:val="center"/>
              </w:tcPr>
              <w:p w14:paraId="08B3623F" w14:textId="77777777" w:rsidR="00CB6099" w:rsidRDefault="00CB6099" w:rsidP="00CB6099">
                <w:pPr>
                  <w:jc w:val="right"/>
                </w:pPr>
                <w:r>
                  <w:t>1,147,216.24</w:t>
                </w:r>
              </w:p>
            </w:tc>
            <w:tc>
              <w:tcPr>
                <w:tcW w:w="808" w:type="pct"/>
                <w:shd w:val="clear" w:color="auto" w:fill="auto"/>
                <w:vAlign w:val="center"/>
              </w:tcPr>
              <w:p w14:paraId="64CCBAEA" w14:textId="77777777" w:rsidR="00CB6099" w:rsidRDefault="00CB6099" w:rsidP="00CB6099">
                <w:pPr>
                  <w:jc w:val="right"/>
                </w:pPr>
                <w:r>
                  <w:t>434,293.26</w:t>
                </w:r>
              </w:p>
            </w:tc>
            <w:tc>
              <w:tcPr>
                <w:tcW w:w="807" w:type="pct"/>
                <w:shd w:val="clear" w:color="auto" w:fill="auto"/>
                <w:vAlign w:val="center"/>
              </w:tcPr>
              <w:p w14:paraId="1D2B8D69" w14:textId="77777777" w:rsidR="00CB6099" w:rsidRDefault="00CB6099" w:rsidP="00CB6099">
                <w:pPr>
                  <w:jc w:val="right"/>
                </w:pPr>
                <w:r>
                  <w:t>1,648,387.86</w:t>
                </w:r>
              </w:p>
            </w:tc>
          </w:tr>
          <w:tr w:rsidR="00CB6099" w14:paraId="34FF9996" w14:textId="77777777" w:rsidTr="00EE452E">
            <w:sdt>
              <w:sdtPr>
                <w:tag w:val="_PLD_fee37578c2514ed28988969e830aeae7"/>
                <w:id w:val="147566346"/>
                <w:lock w:val="sdtLocked"/>
              </w:sdtPr>
              <w:sdtEndPr/>
              <w:sdtContent>
                <w:tc>
                  <w:tcPr>
                    <w:tcW w:w="1022" w:type="pct"/>
                    <w:shd w:val="clear" w:color="auto" w:fill="auto"/>
                    <w:vAlign w:val="center"/>
                  </w:tcPr>
                  <w:p w14:paraId="6DD63216" w14:textId="77777777" w:rsidR="00CB6099" w:rsidRDefault="00CB6099" w:rsidP="00CB6099">
                    <w:pPr>
                      <w:ind w:firstLineChars="300" w:firstLine="630"/>
                    </w:pPr>
                    <w:r>
                      <w:rPr>
                        <w:rFonts w:hint="eastAsia"/>
                      </w:rPr>
                      <w:t>（1）处置或报废</w:t>
                    </w:r>
                  </w:p>
                </w:tc>
              </w:sdtContent>
            </w:sdt>
            <w:tc>
              <w:tcPr>
                <w:tcW w:w="748" w:type="pct"/>
                <w:shd w:val="clear" w:color="auto" w:fill="auto"/>
                <w:vAlign w:val="center"/>
              </w:tcPr>
              <w:p w14:paraId="4D4C70A6" w14:textId="77777777" w:rsidR="00CB6099" w:rsidRDefault="00CB6099" w:rsidP="00CB6099">
                <w:pPr>
                  <w:jc w:val="right"/>
                </w:pPr>
              </w:p>
            </w:tc>
            <w:tc>
              <w:tcPr>
                <w:tcW w:w="808" w:type="pct"/>
                <w:shd w:val="clear" w:color="auto" w:fill="auto"/>
                <w:vAlign w:val="center"/>
              </w:tcPr>
              <w:p w14:paraId="088A777C" w14:textId="77777777" w:rsidR="00CB6099" w:rsidRDefault="00CB6099" w:rsidP="00CB6099">
                <w:pPr>
                  <w:jc w:val="right"/>
                </w:pPr>
                <w:r>
                  <w:t>66,878.36</w:t>
                </w:r>
              </w:p>
            </w:tc>
            <w:tc>
              <w:tcPr>
                <w:tcW w:w="808" w:type="pct"/>
                <w:shd w:val="clear" w:color="auto" w:fill="auto"/>
                <w:vAlign w:val="center"/>
              </w:tcPr>
              <w:p w14:paraId="43168818" w14:textId="77777777" w:rsidR="00CB6099" w:rsidRDefault="00CB6099" w:rsidP="00CB6099">
                <w:pPr>
                  <w:jc w:val="right"/>
                </w:pPr>
                <w:r>
                  <w:t>1,147,216.24</w:t>
                </w:r>
              </w:p>
            </w:tc>
            <w:tc>
              <w:tcPr>
                <w:tcW w:w="808" w:type="pct"/>
                <w:shd w:val="clear" w:color="auto" w:fill="auto"/>
                <w:vAlign w:val="center"/>
              </w:tcPr>
              <w:p w14:paraId="526FD576" w14:textId="77777777" w:rsidR="00CB6099" w:rsidRDefault="00CB6099" w:rsidP="00CB6099">
                <w:pPr>
                  <w:jc w:val="right"/>
                </w:pPr>
                <w:r>
                  <w:t>434,293.26</w:t>
                </w:r>
              </w:p>
            </w:tc>
            <w:tc>
              <w:tcPr>
                <w:tcW w:w="807" w:type="pct"/>
                <w:shd w:val="clear" w:color="auto" w:fill="auto"/>
                <w:vAlign w:val="center"/>
              </w:tcPr>
              <w:p w14:paraId="275CFA6B" w14:textId="77777777" w:rsidR="00CB6099" w:rsidRDefault="00CB6099" w:rsidP="00CB6099">
                <w:pPr>
                  <w:jc w:val="right"/>
                </w:pPr>
                <w:r>
                  <w:t>1,648,387.86</w:t>
                </w:r>
              </w:p>
            </w:tc>
          </w:tr>
          <w:tr w:rsidR="00CB6099" w14:paraId="66CA0E10" w14:textId="77777777" w:rsidTr="00EE452E">
            <w:sdt>
              <w:sdtPr>
                <w:tag w:val="_PLD_249206a916954d19ba9495bb5be5eb90"/>
                <w:id w:val="1536687115"/>
                <w:lock w:val="sdtLocked"/>
              </w:sdtPr>
              <w:sdtEndPr/>
              <w:sdtContent>
                <w:tc>
                  <w:tcPr>
                    <w:tcW w:w="1022" w:type="pct"/>
                    <w:shd w:val="clear" w:color="auto" w:fill="auto"/>
                    <w:vAlign w:val="center"/>
                  </w:tcPr>
                  <w:p w14:paraId="4CB3EA9B" w14:textId="77777777" w:rsidR="00CB6099" w:rsidRDefault="00CB6099" w:rsidP="00CB6099">
                    <w:pPr>
                      <w:ind w:firstLineChars="200" w:firstLine="420"/>
                    </w:pPr>
                    <w:r>
                      <w:rPr>
                        <w:rFonts w:hint="eastAsia"/>
                      </w:rPr>
                      <w:t>4.期末余额</w:t>
                    </w:r>
                  </w:p>
                </w:tc>
              </w:sdtContent>
            </w:sdt>
            <w:tc>
              <w:tcPr>
                <w:tcW w:w="748" w:type="pct"/>
                <w:shd w:val="clear" w:color="auto" w:fill="auto"/>
                <w:vAlign w:val="center"/>
              </w:tcPr>
              <w:p w14:paraId="2D3C115B" w14:textId="77777777" w:rsidR="00CB6099" w:rsidRDefault="00CB6099" w:rsidP="00CB6099">
                <w:pPr>
                  <w:jc w:val="right"/>
                </w:pPr>
                <w:r>
                  <w:t>9,083,638.67</w:t>
                </w:r>
              </w:p>
            </w:tc>
            <w:tc>
              <w:tcPr>
                <w:tcW w:w="808" w:type="pct"/>
                <w:shd w:val="clear" w:color="auto" w:fill="auto"/>
                <w:vAlign w:val="center"/>
              </w:tcPr>
              <w:p w14:paraId="747289C0" w14:textId="77777777" w:rsidR="00CB6099" w:rsidRDefault="00CB6099" w:rsidP="00CB6099">
                <w:pPr>
                  <w:jc w:val="right"/>
                </w:pPr>
                <w:r>
                  <w:t>31,888,128.74</w:t>
                </w:r>
              </w:p>
            </w:tc>
            <w:tc>
              <w:tcPr>
                <w:tcW w:w="808" w:type="pct"/>
                <w:shd w:val="clear" w:color="auto" w:fill="auto"/>
                <w:vAlign w:val="center"/>
              </w:tcPr>
              <w:p w14:paraId="691B85B5" w14:textId="77777777" w:rsidR="00CB6099" w:rsidRDefault="00CB6099" w:rsidP="00CB6099">
                <w:pPr>
                  <w:jc w:val="right"/>
                </w:pPr>
                <w:r>
                  <w:t>9,899,052.17</w:t>
                </w:r>
              </w:p>
            </w:tc>
            <w:tc>
              <w:tcPr>
                <w:tcW w:w="808" w:type="pct"/>
                <w:shd w:val="clear" w:color="auto" w:fill="auto"/>
                <w:vAlign w:val="center"/>
              </w:tcPr>
              <w:p w14:paraId="5FE54D70" w14:textId="77777777" w:rsidR="00CB6099" w:rsidRDefault="00CB6099" w:rsidP="00CB6099">
                <w:pPr>
                  <w:jc w:val="right"/>
                </w:pPr>
                <w:r>
                  <w:t xml:space="preserve">19,414,788.20 </w:t>
                </w:r>
              </w:p>
            </w:tc>
            <w:tc>
              <w:tcPr>
                <w:tcW w:w="807" w:type="pct"/>
                <w:shd w:val="clear" w:color="auto" w:fill="auto"/>
                <w:vAlign w:val="center"/>
              </w:tcPr>
              <w:p w14:paraId="7AD8B5F9" w14:textId="77777777" w:rsidR="00CB6099" w:rsidRDefault="00CB6099" w:rsidP="00CB6099">
                <w:pPr>
                  <w:jc w:val="right"/>
                </w:pPr>
                <w:r>
                  <w:t xml:space="preserve">70,285,607.78 </w:t>
                </w:r>
              </w:p>
            </w:tc>
          </w:tr>
          <w:tr w:rsidR="00CB6099" w14:paraId="010790E6" w14:textId="77777777" w:rsidTr="00EE452E">
            <w:sdt>
              <w:sdtPr>
                <w:tag w:val="_PLD_3b9a984e6e834331844252acd1c6a321"/>
                <w:id w:val="-2032178911"/>
                <w:lock w:val="sdtLocked"/>
              </w:sdtPr>
              <w:sdtEndPr/>
              <w:sdtContent>
                <w:tc>
                  <w:tcPr>
                    <w:tcW w:w="1022" w:type="pct"/>
                    <w:shd w:val="clear" w:color="auto" w:fill="auto"/>
                    <w:vAlign w:val="center"/>
                  </w:tcPr>
                  <w:p w14:paraId="708A5859" w14:textId="77777777" w:rsidR="00CB6099" w:rsidRDefault="00CB6099" w:rsidP="00CB6099">
                    <w:r>
                      <w:rPr>
                        <w:rFonts w:hint="eastAsia"/>
                      </w:rPr>
                      <w:t>二、累计折旧</w:t>
                    </w:r>
                  </w:p>
                </w:tc>
              </w:sdtContent>
            </w:sdt>
            <w:tc>
              <w:tcPr>
                <w:tcW w:w="748" w:type="pct"/>
                <w:shd w:val="clear" w:color="auto" w:fill="auto"/>
                <w:vAlign w:val="center"/>
              </w:tcPr>
              <w:p w14:paraId="066C34B0" w14:textId="77777777" w:rsidR="00CB6099" w:rsidRDefault="00CB6099" w:rsidP="00CB6099">
                <w:pPr>
                  <w:jc w:val="center"/>
                </w:pPr>
              </w:p>
            </w:tc>
            <w:tc>
              <w:tcPr>
                <w:tcW w:w="808" w:type="pct"/>
                <w:shd w:val="clear" w:color="auto" w:fill="auto"/>
                <w:vAlign w:val="center"/>
              </w:tcPr>
              <w:p w14:paraId="002DFC36" w14:textId="77777777" w:rsidR="00CB6099" w:rsidRDefault="00CB6099" w:rsidP="00CB6099">
                <w:pPr>
                  <w:jc w:val="center"/>
                </w:pPr>
              </w:p>
            </w:tc>
            <w:tc>
              <w:tcPr>
                <w:tcW w:w="808" w:type="pct"/>
                <w:shd w:val="clear" w:color="auto" w:fill="auto"/>
                <w:vAlign w:val="center"/>
              </w:tcPr>
              <w:p w14:paraId="7F3166E6" w14:textId="77777777" w:rsidR="00CB6099" w:rsidRDefault="00CB6099" w:rsidP="00CB6099">
                <w:pPr>
                  <w:jc w:val="center"/>
                </w:pPr>
              </w:p>
            </w:tc>
            <w:tc>
              <w:tcPr>
                <w:tcW w:w="808" w:type="pct"/>
                <w:shd w:val="clear" w:color="auto" w:fill="auto"/>
                <w:vAlign w:val="center"/>
              </w:tcPr>
              <w:p w14:paraId="25458A1B" w14:textId="77777777" w:rsidR="00CB6099" w:rsidRDefault="00CB6099" w:rsidP="00CB6099">
                <w:pPr>
                  <w:jc w:val="center"/>
                </w:pPr>
              </w:p>
            </w:tc>
            <w:tc>
              <w:tcPr>
                <w:tcW w:w="807" w:type="pct"/>
                <w:shd w:val="clear" w:color="auto" w:fill="auto"/>
                <w:vAlign w:val="center"/>
              </w:tcPr>
              <w:p w14:paraId="77CFFC1B" w14:textId="77777777" w:rsidR="00CB6099" w:rsidRDefault="00CB6099" w:rsidP="00CB6099">
                <w:pPr>
                  <w:jc w:val="center"/>
                </w:pPr>
              </w:p>
            </w:tc>
          </w:tr>
          <w:tr w:rsidR="00CB6099" w14:paraId="243EB234" w14:textId="77777777" w:rsidTr="00EE452E">
            <w:sdt>
              <w:sdtPr>
                <w:tag w:val="_PLD_f4ae2b083a314e62b85f562d3dbe5c24"/>
                <w:id w:val="1914127289"/>
                <w:lock w:val="sdtLocked"/>
              </w:sdtPr>
              <w:sdtEndPr/>
              <w:sdtContent>
                <w:tc>
                  <w:tcPr>
                    <w:tcW w:w="1022" w:type="pct"/>
                    <w:shd w:val="clear" w:color="auto" w:fill="auto"/>
                    <w:vAlign w:val="center"/>
                  </w:tcPr>
                  <w:p w14:paraId="1A4E690D" w14:textId="77777777" w:rsidR="00CB6099" w:rsidRDefault="00CB6099" w:rsidP="00CB6099">
                    <w:pPr>
                      <w:ind w:firstLineChars="200" w:firstLine="420"/>
                    </w:pPr>
                    <w:r>
                      <w:t>1.</w:t>
                    </w:r>
                    <w:r>
                      <w:rPr>
                        <w:rFonts w:hint="eastAsia"/>
                      </w:rPr>
                      <w:t>期初余额</w:t>
                    </w:r>
                  </w:p>
                </w:tc>
              </w:sdtContent>
            </w:sdt>
            <w:tc>
              <w:tcPr>
                <w:tcW w:w="748" w:type="pct"/>
                <w:shd w:val="clear" w:color="auto" w:fill="auto"/>
                <w:vAlign w:val="center"/>
              </w:tcPr>
              <w:p w14:paraId="4D20D29E" w14:textId="77777777" w:rsidR="00CB6099" w:rsidRDefault="00CB6099" w:rsidP="00CB6099">
                <w:pPr>
                  <w:jc w:val="right"/>
                </w:pPr>
                <w:r>
                  <w:t>316,267.25</w:t>
                </w:r>
              </w:p>
            </w:tc>
            <w:tc>
              <w:tcPr>
                <w:tcW w:w="808" w:type="pct"/>
                <w:shd w:val="clear" w:color="auto" w:fill="auto"/>
                <w:vAlign w:val="center"/>
              </w:tcPr>
              <w:p w14:paraId="7F3CD3E5" w14:textId="77777777" w:rsidR="00CB6099" w:rsidRDefault="00CB6099" w:rsidP="00CB6099">
                <w:pPr>
                  <w:jc w:val="right"/>
                </w:pPr>
                <w:r>
                  <w:t>9,243,163.41</w:t>
                </w:r>
              </w:p>
            </w:tc>
            <w:tc>
              <w:tcPr>
                <w:tcW w:w="808" w:type="pct"/>
                <w:shd w:val="clear" w:color="auto" w:fill="auto"/>
                <w:vAlign w:val="center"/>
              </w:tcPr>
              <w:p w14:paraId="5B99EE47" w14:textId="77777777" w:rsidR="00CB6099" w:rsidRDefault="00CB6099" w:rsidP="00CB6099">
                <w:pPr>
                  <w:jc w:val="right"/>
                </w:pPr>
                <w:r>
                  <w:t>7,739,164.34</w:t>
                </w:r>
              </w:p>
            </w:tc>
            <w:tc>
              <w:tcPr>
                <w:tcW w:w="808" w:type="pct"/>
                <w:shd w:val="clear" w:color="auto" w:fill="auto"/>
                <w:vAlign w:val="center"/>
              </w:tcPr>
              <w:p w14:paraId="3B56FDD3" w14:textId="77777777" w:rsidR="00CB6099" w:rsidRDefault="00CB6099" w:rsidP="00CB6099">
                <w:pPr>
                  <w:jc w:val="right"/>
                </w:pPr>
                <w:r>
                  <w:t>11,574,875.64</w:t>
                </w:r>
              </w:p>
            </w:tc>
            <w:tc>
              <w:tcPr>
                <w:tcW w:w="807" w:type="pct"/>
                <w:shd w:val="clear" w:color="auto" w:fill="auto"/>
                <w:vAlign w:val="center"/>
              </w:tcPr>
              <w:p w14:paraId="13544DF0" w14:textId="77777777" w:rsidR="00CB6099" w:rsidRDefault="00CB6099" w:rsidP="00CB6099">
                <w:pPr>
                  <w:jc w:val="right"/>
                </w:pPr>
                <w:r>
                  <w:t xml:space="preserve">28,873,470.64 </w:t>
                </w:r>
              </w:p>
            </w:tc>
          </w:tr>
          <w:tr w:rsidR="00CB6099" w14:paraId="18761B70" w14:textId="77777777" w:rsidTr="00EE452E">
            <w:sdt>
              <w:sdtPr>
                <w:tag w:val="_PLD_5f15b887e02c4ec6b52b0f15c4e97c9c"/>
                <w:id w:val="715933437"/>
                <w:lock w:val="sdtLocked"/>
              </w:sdtPr>
              <w:sdtEndPr/>
              <w:sdtContent>
                <w:tc>
                  <w:tcPr>
                    <w:tcW w:w="1022" w:type="pct"/>
                    <w:shd w:val="clear" w:color="auto" w:fill="auto"/>
                    <w:vAlign w:val="center"/>
                  </w:tcPr>
                  <w:p w14:paraId="14472958" w14:textId="77777777" w:rsidR="00CB6099" w:rsidRDefault="00CB6099" w:rsidP="00CB6099">
                    <w:pPr>
                      <w:ind w:firstLineChars="200" w:firstLine="420"/>
                    </w:pPr>
                    <w:r>
                      <w:t>2.</w:t>
                    </w:r>
                    <w:r>
                      <w:rPr>
                        <w:rFonts w:hint="eastAsia"/>
                      </w:rPr>
                      <w:t>本期增加金额</w:t>
                    </w:r>
                  </w:p>
                </w:tc>
              </w:sdtContent>
            </w:sdt>
            <w:tc>
              <w:tcPr>
                <w:tcW w:w="748" w:type="pct"/>
                <w:shd w:val="clear" w:color="auto" w:fill="auto"/>
                <w:vAlign w:val="center"/>
              </w:tcPr>
              <w:p w14:paraId="0909CE25" w14:textId="77777777" w:rsidR="00CB6099" w:rsidRDefault="00CB6099" w:rsidP="00CB6099">
                <w:pPr>
                  <w:jc w:val="right"/>
                </w:pPr>
                <w:r>
                  <w:t>144,604.26</w:t>
                </w:r>
              </w:p>
            </w:tc>
            <w:tc>
              <w:tcPr>
                <w:tcW w:w="808" w:type="pct"/>
                <w:shd w:val="clear" w:color="auto" w:fill="auto"/>
                <w:vAlign w:val="center"/>
              </w:tcPr>
              <w:p w14:paraId="58360542" w14:textId="77777777" w:rsidR="00CB6099" w:rsidRDefault="00CB6099" w:rsidP="00CB6099">
                <w:pPr>
                  <w:jc w:val="right"/>
                </w:pPr>
                <w:r>
                  <w:t>1,693,497.99</w:t>
                </w:r>
              </w:p>
            </w:tc>
            <w:tc>
              <w:tcPr>
                <w:tcW w:w="808" w:type="pct"/>
                <w:shd w:val="clear" w:color="auto" w:fill="auto"/>
                <w:vAlign w:val="center"/>
              </w:tcPr>
              <w:p w14:paraId="2B748813" w14:textId="77777777" w:rsidR="00CB6099" w:rsidRDefault="00CB6099" w:rsidP="00CB6099">
                <w:pPr>
                  <w:jc w:val="right"/>
                </w:pPr>
                <w:r>
                  <w:t>465,484.35</w:t>
                </w:r>
              </w:p>
            </w:tc>
            <w:tc>
              <w:tcPr>
                <w:tcW w:w="808" w:type="pct"/>
                <w:shd w:val="clear" w:color="auto" w:fill="auto"/>
                <w:vAlign w:val="center"/>
              </w:tcPr>
              <w:p w14:paraId="3095053D" w14:textId="77777777" w:rsidR="00CB6099" w:rsidRDefault="00CB6099" w:rsidP="00CB6099">
                <w:pPr>
                  <w:jc w:val="right"/>
                </w:pPr>
                <w:r>
                  <w:t>1,227,436.52</w:t>
                </w:r>
              </w:p>
            </w:tc>
            <w:tc>
              <w:tcPr>
                <w:tcW w:w="807" w:type="pct"/>
                <w:shd w:val="clear" w:color="auto" w:fill="auto"/>
                <w:vAlign w:val="center"/>
              </w:tcPr>
              <w:p w14:paraId="5FF6C1CF" w14:textId="77777777" w:rsidR="00CB6099" w:rsidRDefault="00CB6099" w:rsidP="00CB6099">
                <w:pPr>
                  <w:jc w:val="right"/>
                </w:pPr>
                <w:r>
                  <w:t>3,531,023.12</w:t>
                </w:r>
              </w:p>
            </w:tc>
          </w:tr>
          <w:tr w:rsidR="00CB6099" w14:paraId="3E0CF702" w14:textId="77777777" w:rsidTr="00EE452E">
            <w:sdt>
              <w:sdtPr>
                <w:tag w:val="_PLD_8957ada504474bfcb99282b7912be7e4"/>
                <w:id w:val="1888379825"/>
                <w:lock w:val="sdtLocked"/>
              </w:sdtPr>
              <w:sdtEndPr/>
              <w:sdtContent>
                <w:tc>
                  <w:tcPr>
                    <w:tcW w:w="1022" w:type="pct"/>
                    <w:shd w:val="clear" w:color="auto" w:fill="auto"/>
                    <w:vAlign w:val="center"/>
                  </w:tcPr>
                  <w:p w14:paraId="0607471F" w14:textId="77777777" w:rsidR="00CB6099" w:rsidRDefault="00CB6099" w:rsidP="00CB6099">
                    <w:pPr>
                      <w:ind w:firstLineChars="300" w:firstLine="630"/>
                    </w:pPr>
                    <w:r>
                      <w:rPr>
                        <w:rFonts w:hint="eastAsia"/>
                      </w:rPr>
                      <w:t>（1）计提</w:t>
                    </w:r>
                  </w:p>
                </w:tc>
              </w:sdtContent>
            </w:sdt>
            <w:tc>
              <w:tcPr>
                <w:tcW w:w="748" w:type="pct"/>
                <w:shd w:val="clear" w:color="auto" w:fill="auto"/>
                <w:vAlign w:val="center"/>
              </w:tcPr>
              <w:p w14:paraId="604022E9" w14:textId="77777777" w:rsidR="00CB6099" w:rsidRDefault="00CB6099" w:rsidP="00CB6099">
                <w:pPr>
                  <w:jc w:val="right"/>
                </w:pPr>
                <w:r>
                  <w:t>144,604.26</w:t>
                </w:r>
              </w:p>
            </w:tc>
            <w:tc>
              <w:tcPr>
                <w:tcW w:w="808" w:type="pct"/>
                <w:shd w:val="clear" w:color="auto" w:fill="auto"/>
                <w:vAlign w:val="center"/>
              </w:tcPr>
              <w:p w14:paraId="17883CC2" w14:textId="77777777" w:rsidR="00CB6099" w:rsidRDefault="00CB6099" w:rsidP="00CB6099">
                <w:pPr>
                  <w:jc w:val="right"/>
                </w:pPr>
                <w:r>
                  <w:t>1,693,497.99</w:t>
                </w:r>
              </w:p>
            </w:tc>
            <w:tc>
              <w:tcPr>
                <w:tcW w:w="808" w:type="pct"/>
                <w:shd w:val="clear" w:color="auto" w:fill="auto"/>
                <w:vAlign w:val="center"/>
              </w:tcPr>
              <w:p w14:paraId="608F9878" w14:textId="77777777" w:rsidR="00CB6099" w:rsidRDefault="00CB6099" w:rsidP="00CB6099">
                <w:pPr>
                  <w:jc w:val="right"/>
                </w:pPr>
                <w:r>
                  <w:t>465,484.35</w:t>
                </w:r>
              </w:p>
            </w:tc>
            <w:tc>
              <w:tcPr>
                <w:tcW w:w="808" w:type="pct"/>
                <w:shd w:val="clear" w:color="auto" w:fill="auto"/>
                <w:vAlign w:val="center"/>
              </w:tcPr>
              <w:p w14:paraId="7FD9240F" w14:textId="77777777" w:rsidR="00CB6099" w:rsidRDefault="00CB6099" w:rsidP="00CB6099">
                <w:pPr>
                  <w:jc w:val="right"/>
                </w:pPr>
                <w:r>
                  <w:t>1,227,436.52</w:t>
                </w:r>
              </w:p>
            </w:tc>
            <w:tc>
              <w:tcPr>
                <w:tcW w:w="807" w:type="pct"/>
                <w:shd w:val="clear" w:color="auto" w:fill="auto"/>
                <w:vAlign w:val="center"/>
              </w:tcPr>
              <w:p w14:paraId="484945F1" w14:textId="77777777" w:rsidR="00CB6099" w:rsidRDefault="00CB6099" w:rsidP="00CB6099">
                <w:pPr>
                  <w:jc w:val="right"/>
                </w:pPr>
                <w:r>
                  <w:t>3,531,023.12</w:t>
                </w:r>
              </w:p>
            </w:tc>
          </w:tr>
          <w:tr w:rsidR="00CB6099" w14:paraId="26640373" w14:textId="77777777" w:rsidTr="00EE452E">
            <w:sdt>
              <w:sdtPr>
                <w:tag w:val="_PLD_ec9558ad6e194439bc7519617b9fda17"/>
                <w:id w:val="-279261750"/>
                <w:lock w:val="sdtLocked"/>
              </w:sdtPr>
              <w:sdtEndPr/>
              <w:sdtContent>
                <w:tc>
                  <w:tcPr>
                    <w:tcW w:w="1022" w:type="pct"/>
                    <w:shd w:val="clear" w:color="auto" w:fill="auto"/>
                    <w:vAlign w:val="center"/>
                  </w:tcPr>
                  <w:p w14:paraId="126CD402" w14:textId="77777777" w:rsidR="00CB6099" w:rsidRDefault="00CB6099" w:rsidP="00CB6099">
                    <w:pPr>
                      <w:ind w:firstLineChars="200" w:firstLine="420"/>
                    </w:pPr>
                    <w:r>
                      <w:rPr>
                        <w:rFonts w:hint="eastAsia"/>
                      </w:rPr>
                      <w:t>3.本期减少金额</w:t>
                    </w:r>
                  </w:p>
                </w:tc>
              </w:sdtContent>
            </w:sdt>
            <w:tc>
              <w:tcPr>
                <w:tcW w:w="748" w:type="pct"/>
                <w:shd w:val="clear" w:color="auto" w:fill="auto"/>
                <w:vAlign w:val="center"/>
              </w:tcPr>
              <w:p w14:paraId="740E00C1" w14:textId="77777777" w:rsidR="00CB6099" w:rsidRDefault="00CB6099" w:rsidP="00CB6099">
                <w:pPr>
                  <w:jc w:val="right"/>
                </w:pPr>
              </w:p>
            </w:tc>
            <w:tc>
              <w:tcPr>
                <w:tcW w:w="808" w:type="pct"/>
                <w:shd w:val="clear" w:color="auto" w:fill="auto"/>
                <w:vAlign w:val="center"/>
              </w:tcPr>
              <w:p w14:paraId="583FD683" w14:textId="77777777" w:rsidR="00CB6099" w:rsidRDefault="00CB6099" w:rsidP="00CB6099">
                <w:pPr>
                  <w:jc w:val="right"/>
                </w:pPr>
                <w:r>
                  <w:t>25,325.22</w:t>
                </w:r>
              </w:p>
            </w:tc>
            <w:tc>
              <w:tcPr>
                <w:tcW w:w="808" w:type="pct"/>
                <w:shd w:val="clear" w:color="auto" w:fill="auto"/>
                <w:vAlign w:val="center"/>
              </w:tcPr>
              <w:p w14:paraId="241536BC" w14:textId="77777777" w:rsidR="00CB6099" w:rsidRDefault="00CB6099" w:rsidP="00CB6099">
                <w:pPr>
                  <w:jc w:val="right"/>
                </w:pPr>
                <w:r>
                  <w:t>953,711.57</w:t>
                </w:r>
              </w:p>
            </w:tc>
            <w:tc>
              <w:tcPr>
                <w:tcW w:w="808" w:type="pct"/>
                <w:shd w:val="clear" w:color="auto" w:fill="auto"/>
                <w:vAlign w:val="center"/>
              </w:tcPr>
              <w:p w14:paraId="5CE18749" w14:textId="77777777" w:rsidR="00CB6099" w:rsidRDefault="00CB6099" w:rsidP="00CB6099">
                <w:pPr>
                  <w:jc w:val="right"/>
                </w:pPr>
                <w:r>
                  <w:t>265,168.64</w:t>
                </w:r>
              </w:p>
            </w:tc>
            <w:tc>
              <w:tcPr>
                <w:tcW w:w="807" w:type="pct"/>
                <w:shd w:val="clear" w:color="auto" w:fill="auto"/>
                <w:vAlign w:val="center"/>
              </w:tcPr>
              <w:p w14:paraId="530FF62D" w14:textId="77777777" w:rsidR="00CB6099" w:rsidRDefault="00CB6099" w:rsidP="00CB6099">
                <w:pPr>
                  <w:jc w:val="right"/>
                </w:pPr>
                <w:r>
                  <w:t>1,244,205.43</w:t>
                </w:r>
              </w:p>
            </w:tc>
          </w:tr>
          <w:tr w:rsidR="00CB6099" w14:paraId="06F2BEBD" w14:textId="77777777" w:rsidTr="00EE452E">
            <w:sdt>
              <w:sdtPr>
                <w:tag w:val="_PLD_5ee3d83bd53d480fa0f8ca39eef2375d"/>
                <w:id w:val="1242065042"/>
                <w:lock w:val="sdtLocked"/>
              </w:sdtPr>
              <w:sdtEndPr/>
              <w:sdtContent>
                <w:tc>
                  <w:tcPr>
                    <w:tcW w:w="1022" w:type="pct"/>
                    <w:shd w:val="clear" w:color="auto" w:fill="auto"/>
                    <w:vAlign w:val="center"/>
                  </w:tcPr>
                  <w:p w14:paraId="65E52A37" w14:textId="77777777" w:rsidR="00CB6099" w:rsidRDefault="00CB6099" w:rsidP="00CB6099">
                    <w:pPr>
                      <w:ind w:firstLineChars="300" w:firstLine="630"/>
                    </w:pPr>
                    <w:r>
                      <w:rPr>
                        <w:rFonts w:hint="eastAsia"/>
                      </w:rPr>
                      <w:t>（1）处置或报废</w:t>
                    </w:r>
                  </w:p>
                </w:tc>
              </w:sdtContent>
            </w:sdt>
            <w:tc>
              <w:tcPr>
                <w:tcW w:w="748" w:type="pct"/>
                <w:shd w:val="clear" w:color="auto" w:fill="auto"/>
                <w:vAlign w:val="center"/>
              </w:tcPr>
              <w:p w14:paraId="23917F36" w14:textId="77777777" w:rsidR="00CB6099" w:rsidRDefault="00CB6099" w:rsidP="00CB6099">
                <w:pPr>
                  <w:jc w:val="right"/>
                </w:pPr>
              </w:p>
            </w:tc>
            <w:tc>
              <w:tcPr>
                <w:tcW w:w="808" w:type="pct"/>
                <w:shd w:val="clear" w:color="auto" w:fill="auto"/>
                <w:vAlign w:val="center"/>
              </w:tcPr>
              <w:p w14:paraId="1FC9FE6E" w14:textId="77777777" w:rsidR="00CB6099" w:rsidRDefault="00CB6099" w:rsidP="00CB6099">
                <w:pPr>
                  <w:jc w:val="right"/>
                </w:pPr>
                <w:r>
                  <w:t>25,325.22</w:t>
                </w:r>
              </w:p>
            </w:tc>
            <w:tc>
              <w:tcPr>
                <w:tcW w:w="808" w:type="pct"/>
                <w:shd w:val="clear" w:color="auto" w:fill="auto"/>
                <w:vAlign w:val="center"/>
              </w:tcPr>
              <w:p w14:paraId="23328433" w14:textId="77777777" w:rsidR="00CB6099" w:rsidRDefault="00CB6099" w:rsidP="00CB6099">
                <w:pPr>
                  <w:jc w:val="right"/>
                </w:pPr>
                <w:r>
                  <w:t>953,711.57</w:t>
                </w:r>
              </w:p>
            </w:tc>
            <w:tc>
              <w:tcPr>
                <w:tcW w:w="808" w:type="pct"/>
                <w:shd w:val="clear" w:color="auto" w:fill="auto"/>
                <w:vAlign w:val="center"/>
              </w:tcPr>
              <w:p w14:paraId="640661E1" w14:textId="77777777" w:rsidR="00CB6099" w:rsidRDefault="00CB6099" w:rsidP="00CB6099">
                <w:pPr>
                  <w:jc w:val="right"/>
                </w:pPr>
                <w:r>
                  <w:t>265,168.64</w:t>
                </w:r>
              </w:p>
            </w:tc>
            <w:tc>
              <w:tcPr>
                <w:tcW w:w="807" w:type="pct"/>
                <w:shd w:val="clear" w:color="auto" w:fill="auto"/>
                <w:vAlign w:val="center"/>
              </w:tcPr>
              <w:p w14:paraId="63E5EE45" w14:textId="77777777" w:rsidR="00CB6099" w:rsidRDefault="00CB6099" w:rsidP="00CB6099">
                <w:pPr>
                  <w:jc w:val="right"/>
                </w:pPr>
                <w:r>
                  <w:t>1,244,205.43</w:t>
                </w:r>
              </w:p>
            </w:tc>
          </w:tr>
          <w:tr w:rsidR="00CB6099" w14:paraId="2D6AE464" w14:textId="77777777" w:rsidTr="00EE452E">
            <w:sdt>
              <w:sdtPr>
                <w:tag w:val="_PLD_6eaa2035e58e4e21885400a2e0bb3a60"/>
                <w:id w:val="937019833"/>
                <w:lock w:val="sdtLocked"/>
              </w:sdtPr>
              <w:sdtEndPr/>
              <w:sdtContent>
                <w:tc>
                  <w:tcPr>
                    <w:tcW w:w="1022" w:type="pct"/>
                    <w:shd w:val="clear" w:color="auto" w:fill="auto"/>
                    <w:vAlign w:val="center"/>
                  </w:tcPr>
                  <w:p w14:paraId="298BFAD4" w14:textId="77777777" w:rsidR="00CB6099" w:rsidRDefault="00CB6099" w:rsidP="00CB6099">
                    <w:pPr>
                      <w:ind w:firstLineChars="200" w:firstLine="420"/>
                    </w:pPr>
                    <w:r>
                      <w:rPr>
                        <w:rFonts w:hint="eastAsia"/>
                      </w:rPr>
                      <w:t>4.期末余额</w:t>
                    </w:r>
                  </w:p>
                </w:tc>
              </w:sdtContent>
            </w:sdt>
            <w:tc>
              <w:tcPr>
                <w:tcW w:w="748" w:type="pct"/>
                <w:shd w:val="clear" w:color="auto" w:fill="auto"/>
                <w:vAlign w:val="center"/>
              </w:tcPr>
              <w:p w14:paraId="7A226A42" w14:textId="77777777" w:rsidR="00CB6099" w:rsidRDefault="00CB6099" w:rsidP="00CB6099">
                <w:pPr>
                  <w:jc w:val="right"/>
                </w:pPr>
                <w:r>
                  <w:t>460,871.51</w:t>
                </w:r>
              </w:p>
            </w:tc>
            <w:tc>
              <w:tcPr>
                <w:tcW w:w="808" w:type="pct"/>
                <w:shd w:val="clear" w:color="auto" w:fill="auto"/>
                <w:vAlign w:val="center"/>
              </w:tcPr>
              <w:p w14:paraId="15535E9D" w14:textId="77777777" w:rsidR="00CB6099" w:rsidRDefault="00CB6099" w:rsidP="00CB6099">
                <w:pPr>
                  <w:jc w:val="right"/>
                </w:pPr>
                <w:r>
                  <w:t>10,911,336.18</w:t>
                </w:r>
              </w:p>
            </w:tc>
            <w:tc>
              <w:tcPr>
                <w:tcW w:w="808" w:type="pct"/>
                <w:shd w:val="clear" w:color="auto" w:fill="auto"/>
                <w:vAlign w:val="center"/>
              </w:tcPr>
              <w:p w14:paraId="3A617198" w14:textId="77777777" w:rsidR="00CB6099" w:rsidRDefault="00CB6099" w:rsidP="00CB6099">
                <w:pPr>
                  <w:jc w:val="right"/>
                </w:pPr>
                <w:r>
                  <w:t>7,250,937.12</w:t>
                </w:r>
              </w:p>
            </w:tc>
            <w:tc>
              <w:tcPr>
                <w:tcW w:w="808" w:type="pct"/>
                <w:shd w:val="clear" w:color="auto" w:fill="auto"/>
                <w:vAlign w:val="center"/>
              </w:tcPr>
              <w:p w14:paraId="474FB5C6" w14:textId="77777777" w:rsidR="00CB6099" w:rsidRDefault="00CB6099" w:rsidP="00CB6099">
                <w:pPr>
                  <w:jc w:val="right"/>
                </w:pPr>
                <w:r>
                  <w:t>12,537,143.52</w:t>
                </w:r>
              </w:p>
            </w:tc>
            <w:tc>
              <w:tcPr>
                <w:tcW w:w="807" w:type="pct"/>
                <w:shd w:val="clear" w:color="auto" w:fill="auto"/>
                <w:vAlign w:val="center"/>
              </w:tcPr>
              <w:p w14:paraId="57FD59CD" w14:textId="77777777" w:rsidR="00CB6099" w:rsidRDefault="00CB6099" w:rsidP="00CB6099">
                <w:pPr>
                  <w:jc w:val="right"/>
                </w:pPr>
                <w:r>
                  <w:t xml:space="preserve">31,160,288.33 </w:t>
                </w:r>
              </w:p>
            </w:tc>
          </w:tr>
          <w:tr w:rsidR="00CB6099" w14:paraId="26F52DB5" w14:textId="77777777" w:rsidTr="00EE452E">
            <w:sdt>
              <w:sdtPr>
                <w:tag w:val="_PLD_662c84047b6d41648e46d047cc9b134a"/>
                <w:id w:val="-1534419563"/>
                <w:lock w:val="sdtLocked"/>
              </w:sdtPr>
              <w:sdtEndPr/>
              <w:sdtContent>
                <w:tc>
                  <w:tcPr>
                    <w:tcW w:w="1022" w:type="pct"/>
                    <w:shd w:val="clear" w:color="auto" w:fill="auto"/>
                    <w:vAlign w:val="center"/>
                  </w:tcPr>
                  <w:p w14:paraId="78C89EC6" w14:textId="77777777" w:rsidR="00CB6099" w:rsidRDefault="00CB6099" w:rsidP="00CB6099">
                    <w:r>
                      <w:rPr>
                        <w:rFonts w:hint="eastAsia"/>
                      </w:rPr>
                      <w:t>三、减值准备</w:t>
                    </w:r>
                  </w:p>
                </w:tc>
              </w:sdtContent>
            </w:sdt>
            <w:tc>
              <w:tcPr>
                <w:tcW w:w="748" w:type="pct"/>
                <w:shd w:val="clear" w:color="auto" w:fill="auto"/>
                <w:vAlign w:val="center"/>
              </w:tcPr>
              <w:p w14:paraId="438018F3" w14:textId="77777777" w:rsidR="00CB6099" w:rsidRDefault="00CB6099" w:rsidP="00CB6099">
                <w:pPr>
                  <w:jc w:val="center"/>
                </w:pPr>
              </w:p>
            </w:tc>
            <w:tc>
              <w:tcPr>
                <w:tcW w:w="808" w:type="pct"/>
                <w:shd w:val="clear" w:color="auto" w:fill="auto"/>
                <w:vAlign w:val="center"/>
              </w:tcPr>
              <w:p w14:paraId="244A0868" w14:textId="77777777" w:rsidR="00CB6099" w:rsidRDefault="00CB6099" w:rsidP="00CB6099">
                <w:pPr>
                  <w:jc w:val="center"/>
                </w:pPr>
              </w:p>
            </w:tc>
            <w:tc>
              <w:tcPr>
                <w:tcW w:w="808" w:type="pct"/>
                <w:shd w:val="clear" w:color="auto" w:fill="auto"/>
                <w:vAlign w:val="center"/>
              </w:tcPr>
              <w:p w14:paraId="4731475C" w14:textId="77777777" w:rsidR="00CB6099" w:rsidRDefault="00CB6099" w:rsidP="00CB6099">
                <w:pPr>
                  <w:jc w:val="center"/>
                </w:pPr>
              </w:p>
            </w:tc>
            <w:tc>
              <w:tcPr>
                <w:tcW w:w="808" w:type="pct"/>
                <w:shd w:val="clear" w:color="auto" w:fill="auto"/>
                <w:vAlign w:val="center"/>
              </w:tcPr>
              <w:p w14:paraId="488B7C7F" w14:textId="77777777" w:rsidR="00CB6099" w:rsidRDefault="00CB6099" w:rsidP="00CB6099">
                <w:pPr>
                  <w:jc w:val="center"/>
                </w:pPr>
              </w:p>
            </w:tc>
            <w:tc>
              <w:tcPr>
                <w:tcW w:w="807" w:type="pct"/>
                <w:shd w:val="clear" w:color="auto" w:fill="auto"/>
                <w:vAlign w:val="center"/>
              </w:tcPr>
              <w:p w14:paraId="2A33F971" w14:textId="77777777" w:rsidR="00CB6099" w:rsidRDefault="00CB6099" w:rsidP="00CB6099">
                <w:pPr>
                  <w:jc w:val="center"/>
                </w:pPr>
              </w:p>
            </w:tc>
          </w:tr>
          <w:tr w:rsidR="00CB6099" w14:paraId="5AEDB5B8" w14:textId="77777777" w:rsidTr="00EE452E">
            <w:sdt>
              <w:sdtPr>
                <w:tag w:val="_PLD_bea29c32f5204124a483fa6e274ca7df"/>
                <w:id w:val="-339937907"/>
                <w:lock w:val="sdtLocked"/>
              </w:sdtPr>
              <w:sdtEndPr/>
              <w:sdtContent>
                <w:tc>
                  <w:tcPr>
                    <w:tcW w:w="1022" w:type="pct"/>
                    <w:shd w:val="clear" w:color="auto" w:fill="auto"/>
                    <w:vAlign w:val="center"/>
                  </w:tcPr>
                  <w:p w14:paraId="26E74170" w14:textId="77777777" w:rsidR="00CB6099" w:rsidRDefault="00CB6099" w:rsidP="00CB6099">
                    <w:r>
                      <w:rPr>
                        <w:rFonts w:hint="eastAsia"/>
                      </w:rPr>
                      <w:t>四、账面价值</w:t>
                    </w:r>
                  </w:p>
                </w:tc>
              </w:sdtContent>
            </w:sdt>
            <w:tc>
              <w:tcPr>
                <w:tcW w:w="748" w:type="pct"/>
                <w:shd w:val="clear" w:color="auto" w:fill="auto"/>
                <w:vAlign w:val="center"/>
              </w:tcPr>
              <w:p w14:paraId="10C62082" w14:textId="77777777" w:rsidR="00CB6099" w:rsidRDefault="00CB6099" w:rsidP="00CB6099">
                <w:pPr>
                  <w:jc w:val="center"/>
                </w:pPr>
              </w:p>
            </w:tc>
            <w:tc>
              <w:tcPr>
                <w:tcW w:w="808" w:type="pct"/>
                <w:shd w:val="clear" w:color="auto" w:fill="auto"/>
                <w:vAlign w:val="center"/>
              </w:tcPr>
              <w:p w14:paraId="1BD9E542" w14:textId="77777777" w:rsidR="00CB6099" w:rsidRDefault="00CB6099" w:rsidP="00CB6099">
                <w:pPr>
                  <w:jc w:val="center"/>
                </w:pPr>
              </w:p>
            </w:tc>
            <w:tc>
              <w:tcPr>
                <w:tcW w:w="808" w:type="pct"/>
                <w:shd w:val="clear" w:color="auto" w:fill="auto"/>
                <w:vAlign w:val="center"/>
              </w:tcPr>
              <w:p w14:paraId="113CDA23" w14:textId="77777777" w:rsidR="00CB6099" w:rsidRDefault="00CB6099" w:rsidP="00CB6099">
                <w:pPr>
                  <w:jc w:val="center"/>
                </w:pPr>
              </w:p>
            </w:tc>
            <w:tc>
              <w:tcPr>
                <w:tcW w:w="808" w:type="pct"/>
                <w:shd w:val="clear" w:color="auto" w:fill="auto"/>
                <w:vAlign w:val="center"/>
              </w:tcPr>
              <w:p w14:paraId="66893D4A" w14:textId="77777777" w:rsidR="00CB6099" w:rsidRDefault="00CB6099" w:rsidP="00CB6099">
                <w:pPr>
                  <w:jc w:val="center"/>
                </w:pPr>
              </w:p>
            </w:tc>
            <w:tc>
              <w:tcPr>
                <w:tcW w:w="807" w:type="pct"/>
                <w:shd w:val="clear" w:color="auto" w:fill="auto"/>
                <w:vAlign w:val="center"/>
              </w:tcPr>
              <w:p w14:paraId="3A013226" w14:textId="77777777" w:rsidR="00CB6099" w:rsidRDefault="00CB6099" w:rsidP="00CB6099">
                <w:pPr>
                  <w:jc w:val="center"/>
                </w:pPr>
              </w:p>
            </w:tc>
          </w:tr>
          <w:tr w:rsidR="00CB6099" w14:paraId="424F5A9A" w14:textId="77777777" w:rsidTr="00EE452E">
            <w:sdt>
              <w:sdtPr>
                <w:tag w:val="_PLD_0cb15efd736e4fb48f835ee67e79495e"/>
                <w:id w:val="-378407979"/>
                <w:lock w:val="sdtLocked"/>
              </w:sdtPr>
              <w:sdtEndPr/>
              <w:sdtContent>
                <w:tc>
                  <w:tcPr>
                    <w:tcW w:w="1022" w:type="pct"/>
                    <w:shd w:val="clear" w:color="auto" w:fill="auto"/>
                    <w:vAlign w:val="center"/>
                  </w:tcPr>
                  <w:p w14:paraId="6C612C7B" w14:textId="77777777" w:rsidR="00CB6099" w:rsidRDefault="00CB6099" w:rsidP="00CB6099">
                    <w:pPr>
                      <w:ind w:firstLineChars="200" w:firstLine="420"/>
                    </w:pPr>
                    <w:r>
                      <w:rPr>
                        <w:rFonts w:hint="eastAsia"/>
                      </w:rPr>
                      <w:t>1.期末账面价值</w:t>
                    </w:r>
                  </w:p>
                </w:tc>
              </w:sdtContent>
            </w:sdt>
            <w:tc>
              <w:tcPr>
                <w:tcW w:w="748" w:type="pct"/>
                <w:shd w:val="clear" w:color="auto" w:fill="auto"/>
                <w:vAlign w:val="center"/>
              </w:tcPr>
              <w:p w14:paraId="66F46650" w14:textId="77777777" w:rsidR="00CB6099" w:rsidRDefault="00CB6099" w:rsidP="00CB6099">
                <w:pPr>
                  <w:jc w:val="right"/>
                </w:pPr>
                <w:r>
                  <w:t>8,622,767.16</w:t>
                </w:r>
              </w:p>
            </w:tc>
            <w:tc>
              <w:tcPr>
                <w:tcW w:w="808" w:type="pct"/>
                <w:shd w:val="clear" w:color="auto" w:fill="auto"/>
                <w:vAlign w:val="center"/>
              </w:tcPr>
              <w:p w14:paraId="4906002D" w14:textId="77777777" w:rsidR="00CB6099" w:rsidRDefault="00CB6099" w:rsidP="00CB6099">
                <w:pPr>
                  <w:jc w:val="right"/>
                </w:pPr>
                <w:r>
                  <w:t>20,976,792.56</w:t>
                </w:r>
              </w:p>
            </w:tc>
            <w:tc>
              <w:tcPr>
                <w:tcW w:w="808" w:type="pct"/>
                <w:shd w:val="clear" w:color="auto" w:fill="auto"/>
                <w:vAlign w:val="center"/>
              </w:tcPr>
              <w:p w14:paraId="06419485" w14:textId="77777777" w:rsidR="00CB6099" w:rsidRDefault="00CB6099" w:rsidP="00CB6099">
                <w:pPr>
                  <w:jc w:val="right"/>
                </w:pPr>
                <w:r>
                  <w:t>2,648,115.05</w:t>
                </w:r>
              </w:p>
            </w:tc>
            <w:tc>
              <w:tcPr>
                <w:tcW w:w="808" w:type="pct"/>
                <w:shd w:val="clear" w:color="auto" w:fill="auto"/>
                <w:vAlign w:val="center"/>
              </w:tcPr>
              <w:p w14:paraId="1CEB6173" w14:textId="77777777" w:rsidR="00CB6099" w:rsidRDefault="00CB6099" w:rsidP="00CB6099">
                <w:pPr>
                  <w:jc w:val="right"/>
                </w:pPr>
                <w:r>
                  <w:t>6,877,644.68</w:t>
                </w:r>
              </w:p>
            </w:tc>
            <w:tc>
              <w:tcPr>
                <w:tcW w:w="807" w:type="pct"/>
                <w:shd w:val="clear" w:color="auto" w:fill="auto"/>
                <w:vAlign w:val="center"/>
              </w:tcPr>
              <w:p w14:paraId="0D0635EC" w14:textId="77777777" w:rsidR="00CB6099" w:rsidRDefault="00CB6099" w:rsidP="00CB6099">
                <w:pPr>
                  <w:jc w:val="right"/>
                </w:pPr>
                <w:r>
                  <w:t xml:space="preserve">39,125,319.45 </w:t>
                </w:r>
              </w:p>
            </w:tc>
          </w:tr>
          <w:tr w:rsidR="00CB6099" w14:paraId="634D1497" w14:textId="77777777" w:rsidTr="00EE452E">
            <w:sdt>
              <w:sdtPr>
                <w:tag w:val="_PLD_0a70238af5ae41dda386e3180cb5ac13"/>
                <w:id w:val="-804467414"/>
                <w:lock w:val="sdtLocked"/>
              </w:sdtPr>
              <w:sdtEndPr/>
              <w:sdtContent>
                <w:tc>
                  <w:tcPr>
                    <w:tcW w:w="1022" w:type="pct"/>
                    <w:shd w:val="clear" w:color="auto" w:fill="auto"/>
                    <w:vAlign w:val="center"/>
                  </w:tcPr>
                  <w:p w14:paraId="7953A4CD" w14:textId="77777777" w:rsidR="00CB6099" w:rsidRDefault="00CB6099" w:rsidP="00CB6099">
                    <w:pPr>
                      <w:ind w:firstLineChars="200" w:firstLine="420"/>
                    </w:pPr>
                    <w:r>
                      <w:rPr>
                        <w:rFonts w:hint="eastAsia"/>
                      </w:rPr>
                      <w:t>2.期初账面价值</w:t>
                    </w:r>
                  </w:p>
                </w:tc>
              </w:sdtContent>
            </w:sdt>
            <w:tc>
              <w:tcPr>
                <w:tcW w:w="748" w:type="pct"/>
                <w:shd w:val="clear" w:color="auto" w:fill="auto"/>
                <w:vAlign w:val="center"/>
              </w:tcPr>
              <w:p w14:paraId="18E64B07" w14:textId="77777777" w:rsidR="00CB6099" w:rsidRDefault="00CB6099" w:rsidP="00CB6099">
                <w:pPr>
                  <w:jc w:val="right"/>
                </w:pPr>
                <w:r>
                  <w:t>8,767,371.42</w:t>
                </w:r>
              </w:p>
            </w:tc>
            <w:tc>
              <w:tcPr>
                <w:tcW w:w="808" w:type="pct"/>
                <w:shd w:val="clear" w:color="auto" w:fill="auto"/>
                <w:vAlign w:val="center"/>
              </w:tcPr>
              <w:p w14:paraId="55D91D70" w14:textId="77777777" w:rsidR="00CB6099" w:rsidRDefault="00CB6099" w:rsidP="00CB6099">
                <w:pPr>
                  <w:jc w:val="right"/>
                </w:pPr>
                <w:r>
                  <w:t>22,512,384.49</w:t>
                </w:r>
              </w:p>
            </w:tc>
            <w:tc>
              <w:tcPr>
                <w:tcW w:w="808" w:type="pct"/>
                <w:shd w:val="clear" w:color="auto" w:fill="auto"/>
                <w:vAlign w:val="center"/>
              </w:tcPr>
              <w:p w14:paraId="054B3FFC" w14:textId="77777777" w:rsidR="00CB6099" w:rsidRDefault="00CB6099" w:rsidP="00CB6099">
                <w:pPr>
                  <w:jc w:val="right"/>
                </w:pPr>
                <w:r>
                  <w:t>2,857,708.19</w:t>
                </w:r>
              </w:p>
            </w:tc>
            <w:tc>
              <w:tcPr>
                <w:tcW w:w="808" w:type="pct"/>
                <w:shd w:val="clear" w:color="auto" w:fill="auto"/>
                <w:vAlign w:val="center"/>
              </w:tcPr>
              <w:p w14:paraId="32E26869" w14:textId="77777777" w:rsidR="00CB6099" w:rsidRDefault="00CB6099" w:rsidP="00CB6099">
                <w:pPr>
                  <w:jc w:val="right"/>
                </w:pPr>
                <w:r>
                  <w:t>6,882,575.66</w:t>
                </w:r>
              </w:p>
            </w:tc>
            <w:tc>
              <w:tcPr>
                <w:tcW w:w="807" w:type="pct"/>
                <w:shd w:val="clear" w:color="auto" w:fill="auto"/>
                <w:vAlign w:val="center"/>
              </w:tcPr>
              <w:p w14:paraId="32CC5106" w14:textId="77777777" w:rsidR="00CB6099" w:rsidRDefault="00CB6099" w:rsidP="00CB6099">
                <w:pPr>
                  <w:jc w:val="right"/>
                </w:pPr>
                <w:r>
                  <w:t>41,020,039.76</w:t>
                </w:r>
              </w:p>
            </w:tc>
          </w:tr>
        </w:tbl>
        <w:p w14:paraId="1F1BD4A7" w14:textId="77777777" w:rsidR="00830E72" w:rsidRDefault="00D44830">
          <w:pPr>
            <w:rPr>
              <w:szCs w:val="21"/>
            </w:rPr>
          </w:pPr>
        </w:p>
      </w:sdtContent>
    </w:sdt>
    <w:sdt>
      <w:sdtPr>
        <w:rPr>
          <w:rFonts w:ascii="宋体" w:hAnsi="宋体" w:cs="宋体" w:hint="eastAsia"/>
          <w:b w:val="0"/>
          <w:bCs w:val="0"/>
          <w:kern w:val="0"/>
          <w:szCs w:val="21"/>
        </w:rPr>
        <w:alias w:val="模块:暂时闲置的固定资产情况"/>
        <w:tag w:val="_GBC_77e89169b7ab4fccae8cff3d8a125711"/>
        <w:id w:val="-572895627"/>
        <w:lock w:val="sdtLocked"/>
        <w:placeholder>
          <w:docPart w:val="GBC22222222222222222222222222222"/>
        </w:placeholder>
      </w:sdtPr>
      <w:sdtEndPr>
        <w:rPr>
          <w:rFonts w:cstheme="minorBidi" w:hint="default"/>
        </w:rPr>
      </w:sdtEndPr>
      <w:sdtContent>
        <w:p w14:paraId="09B9BE72" w14:textId="77777777" w:rsidR="00830E72" w:rsidRDefault="008344D8">
          <w:pPr>
            <w:pStyle w:val="Style100"/>
            <w:numPr>
              <w:ilvl w:val="0"/>
              <w:numId w:val="58"/>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p w14:paraId="35CBE299" w14:textId="77777777" w:rsidR="00830E72" w:rsidRDefault="00D44830">
          <w:pPr>
            <w:rPr>
              <w:szCs w:val="21"/>
            </w:rPr>
          </w:pPr>
          <w:sdt>
            <w:sdtPr>
              <w:alias w:val="是否适用：暂时闲置的固定资产情况[双击切换]"/>
              <w:tag w:val="_GBC_ca31f29118c7481f95f99a2655f8c1e1"/>
              <w:id w:val="-341249759"/>
              <w:lock w:val="sdtContentLocked"/>
              <w:placeholder>
                <w:docPart w:val="GBC22222222222222222222222222222"/>
              </w:placeholder>
            </w:sdtPr>
            <w:sdtEndPr/>
            <w:sdtContent>
              <w:r w:rsidR="008344D8">
                <w:fldChar w:fldCharType="begin"/>
              </w:r>
              <w:r w:rsidR="008344D8">
                <w:instrText xml:space="preserve"> MACROBUTTON  SnrToggleCheckbox □适用 </w:instrText>
              </w:r>
              <w:r w:rsidR="008344D8">
                <w:fldChar w:fldCharType="end"/>
              </w:r>
              <w:r w:rsidR="008344D8">
                <w:fldChar w:fldCharType="begin"/>
              </w:r>
              <w:r w:rsidR="008344D8">
                <w:instrText xml:space="preserve"> MACROBUTTON  SnrToggleCheckbox √不适用 </w:instrText>
              </w:r>
              <w:r w:rsidR="008344D8">
                <w:fldChar w:fldCharType="end"/>
              </w:r>
            </w:sdtContent>
          </w:sdt>
        </w:p>
      </w:sdtContent>
    </w:sdt>
    <w:sdt>
      <w:sdtPr>
        <w:rPr>
          <w:rFonts w:ascii="宋体" w:hAnsi="宋体" w:cs="宋体" w:hint="eastAsia"/>
          <w:b w:val="0"/>
          <w:bCs w:val="0"/>
          <w:kern w:val="0"/>
          <w:szCs w:val="21"/>
        </w:rPr>
        <w:alias w:val="模块:通过融资租赁租入的固定资产情况"/>
        <w:tag w:val="_GBC_f8dc7bf0df9345f6a1581560999dd4d8"/>
        <w:id w:val="-1478288095"/>
        <w:lock w:val="sdtLocked"/>
        <w:placeholder>
          <w:docPart w:val="GBC22222222222222222222222222222"/>
        </w:placeholder>
      </w:sdtPr>
      <w:sdtEndPr>
        <w:rPr>
          <w:rFonts w:cstheme="minorBidi" w:hint="default"/>
          <w:kern w:val="2"/>
        </w:rPr>
      </w:sdtEndPr>
      <w:sdtContent>
        <w:p w14:paraId="69C0D07C" w14:textId="77777777" w:rsidR="00830E72" w:rsidRDefault="008344D8">
          <w:pPr>
            <w:pStyle w:val="Style100"/>
            <w:numPr>
              <w:ilvl w:val="0"/>
              <w:numId w:val="58"/>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p w14:paraId="250B1B23" w14:textId="77777777" w:rsidR="00830E72" w:rsidRDefault="00D44830">
          <w:pPr>
            <w:rPr>
              <w:szCs w:val="21"/>
            </w:rPr>
          </w:pPr>
          <w:sdt>
            <w:sdtPr>
              <w:alias w:val="是否适用：通过融资租赁租入的固定资产情况[双击切换]"/>
              <w:tag w:val="_GBC_17a138c76e604d1b9b48d7c64e72801d"/>
              <w:id w:val="-1121535677"/>
              <w:lock w:val="sdtContentLocked"/>
              <w:placeholder>
                <w:docPart w:val="GBC22222222222222222222222222222"/>
              </w:placeholder>
            </w:sdtPr>
            <w:sdtEndPr/>
            <w:sdtContent>
              <w:r w:rsidR="008344D8">
                <w:fldChar w:fldCharType="begin"/>
              </w:r>
              <w:r w:rsidR="008344D8">
                <w:instrText xml:space="preserve"> MACROBUTTON  SnrToggleCheckbox □适用 </w:instrText>
              </w:r>
              <w:r w:rsidR="008344D8">
                <w:fldChar w:fldCharType="end"/>
              </w:r>
              <w:r w:rsidR="008344D8">
                <w:fldChar w:fldCharType="begin"/>
              </w:r>
              <w:r w:rsidR="008344D8">
                <w:instrText xml:space="preserve"> MACROBUTTON  SnrToggleCheckbox √不适用 </w:instrText>
              </w:r>
              <w:r w:rsidR="008344D8">
                <w:fldChar w:fldCharType="end"/>
              </w:r>
            </w:sdtContent>
          </w:sdt>
        </w:p>
      </w:sdtContent>
    </w:sdt>
    <w:sdt>
      <w:sdtPr>
        <w:rPr>
          <w:rFonts w:ascii="宋体" w:hAnsi="宋体" w:cs="宋体" w:hint="eastAsia"/>
          <w:b w:val="0"/>
          <w:bCs w:val="0"/>
          <w:kern w:val="0"/>
          <w:szCs w:val="21"/>
        </w:rPr>
        <w:alias w:val="模块:通过经营租赁租出的固定资产"/>
        <w:tag w:val="_GBC_06e38c241c8a43a99fdd68c92888bab1"/>
        <w:id w:val="-1413458905"/>
        <w:lock w:val="sdtLocked"/>
        <w:placeholder>
          <w:docPart w:val="GBC22222222222222222222222222222"/>
        </w:placeholder>
      </w:sdtPr>
      <w:sdtEndPr>
        <w:rPr>
          <w:rFonts w:hint="default"/>
          <w:color w:val="FF0000"/>
        </w:rPr>
      </w:sdtEndPr>
      <w:sdtContent>
        <w:p w14:paraId="361CCB62" w14:textId="77777777" w:rsidR="00830E72" w:rsidRDefault="008344D8">
          <w:pPr>
            <w:pStyle w:val="Style100"/>
            <w:numPr>
              <w:ilvl w:val="0"/>
              <w:numId w:val="58"/>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251e1c74f40b47869d759974b0f6a463"/>
            <w:id w:val="2081248428"/>
            <w:lock w:val="sdtContentLocked"/>
            <w:placeholder>
              <w:docPart w:val="GBC22222222222222222222222222222"/>
            </w:placeholder>
          </w:sdtPr>
          <w:sdtEndPr/>
          <w:sdtContent>
            <w:p w14:paraId="09B334E3" w14:textId="77777777" w:rsidR="00830E72" w:rsidRDefault="008344D8">
              <w:pPr>
                <w:rPr>
                  <w:color w:val="FF0000"/>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未办妥产权证书的固定资产情况"/>
        <w:tag w:val="_GBC_5b357259936442c38f67f17b533c7085"/>
        <w:id w:val="-72827433"/>
        <w:lock w:val="sdtLocked"/>
        <w:placeholder>
          <w:docPart w:val="GBC22222222222222222222222222222"/>
        </w:placeholder>
      </w:sdtPr>
      <w:sdtEndPr>
        <w:rPr>
          <w:rFonts w:cstheme="minorBidi" w:hint="default"/>
          <w:kern w:val="2"/>
        </w:rPr>
      </w:sdtEndPr>
      <w:sdtContent>
        <w:p w14:paraId="3B00AA7A" w14:textId="77777777" w:rsidR="00830E72" w:rsidRDefault="008344D8">
          <w:pPr>
            <w:pStyle w:val="Style100"/>
            <w:numPr>
              <w:ilvl w:val="0"/>
              <w:numId w:val="58"/>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p w14:paraId="2398E523" w14:textId="77777777" w:rsidR="00830E72" w:rsidRDefault="00D44830">
          <w:pPr>
            <w:rPr>
              <w:iCs/>
              <w:color w:val="FF0000"/>
              <w:szCs w:val="21"/>
              <w:shd w:val="clear" w:color="auto" w:fill="CCFFFF"/>
            </w:rPr>
          </w:pPr>
          <w:sdt>
            <w:sdtPr>
              <w:alias w:val="是否适用：未办妥产权证书的固定资产情况[双击切换]"/>
              <w:tag w:val="_GBC_a26aa363313e4c8fbedf9041cd41bfc9"/>
              <w:id w:val="-847015994"/>
              <w:lock w:val="sdtContentLocked"/>
              <w:placeholder>
                <w:docPart w:val="GBC22222222222222222222222222222"/>
              </w:placeholder>
            </w:sdtPr>
            <w:sdtEndPr/>
            <w:sdtContent>
              <w:r w:rsidR="008344D8">
                <w:fldChar w:fldCharType="begin"/>
              </w:r>
              <w:r w:rsidR="008344D8">
                <w:instrText xml:space="preserve"> MACROBUTTON  SnrToggleCheckbox □适用 </w:instrText>
              </w:r>
              <w:r w:rsidR="008344D8">
                <w:fldChar w:fldCharType="end"/>
              </w:r>
              <w:r w:rsidR="008344D8">
                <w:fldChar w:fldCharType="begin"/>
              </w:r>
              <w:r w:rsidR="008344D8">
                <w:instrText xml:space="preserve"> MACROBUTTON  SnrToggleCheckbox √不适用 </w:instrText>
              </w:r>
              <w:r w:rsidR="008344D8">
                <w:fldChar w:fldCharType="end"/>
              </w:r>
            </w:sdtContent>
          </w:sdt>
        </w:p>
      </w:sdtContent>
    </w:sdt>
    <w:sdt>
      <w:sdtPr>
        <w:rPr>
          <w:rFonts w:hint="eastAsia"/>
          <w:szCs w:val="21"/>
        </w:rPr>
        <w:alias w:val="模块:固定资产说明"/>
        <w:tag w:val="_GBC_c93a179f84504ae59ee71556bc9afb64"/>
        <w:id w:val="-75749549"/>
        <w:lock w:val="sdtLocked"/>
        <w:placeholder>
          <w:docPart w:val="GBC22222222222222222222222222222"/>
        </w:placeholder>
      </w:sdtPr>
      <w:sdtEndPr>
        <w:rPr>
          <w:rFonts w:hint="default"/>
        </w:rPr>
      </w:sdtEndPr>
      <w:sdtContent>
        <w:p w14:paraId="3B9B28E3" w14:textId="77777777" w:rsidR="00830E72" w:rsidRDefault="008344D8">
          <w:pPr>
            <w:rPr>
              <w:szCs w:val="21"/>
            </w:rPr>
          </w:pPr>
          <w:r>
            <w:rPr>
              <w:rFonts w:hint="eastAsia"/>
              <w:szCs w:val="21"/>
            </w:rPr>
            <w:t>其他说明：</w:t>
          </w:r>
        </w:p>
        <w:sdt>
          <w:sdtPr>
            <w:rPr>
              <w:szCs w:val="21"/>
            </w:rPr>
            <w:alias w:val="是否适用：固定资产的说明[双击切换]"/>
            <w:tag w:val="_GBC_e2fd7087594d4949ada40807334de5fb"/>
            <w:id w:val="1953276241"/>
            <w:lock w:val="sdtContentLocked"/>
            <w:placeholder>
              <w:docPart w:val="GBC22222222222222222222222222222"/>
            </w:placeholder>
          </w:sdtPr>
          <w:sdtEndPr/>
          <w:sdtContent>
            <w:p w14:paraId="4A7C56A5"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固定资产清理"/>
        <w:tag w:val="_GBC_0de4677cdcb54eaa8c2b2afa938f1054"/>
        <w:id w:val="-1220590032"/>
        <w:lock w:val="sdtLocked"/>
        <w:placeholder>
          <w:docPart w:val="GBC22222222222222222222222222222"/>
        </w:placeholder>
      </w:sdtPr>
      <w:sdtEndPr>
        <w:rPr>
          <w:szCs w:val="21"/>
        </w:rPr>
      </w:sdtEndPr>
      <w:sdtContent>
        <w:p w14:paraId="1F14CB0A" w14:textId="77777777" w:rsidR="00830E72" w:rsidRDefault="008344D8">
          <w:pPr>
            <w:pStyle w:val="Style100"/>
            <w:rPr>
              <w:rFonts w:ascii="宋体" w:hAnsi="宋体"/>
            </w:rPr>
          </w:pPr>
          <w:r>
            <w:rPr>
              <w:rFonts w:ascii="宋体" w:hAnsi="宋体" w:hint="eastAsia"/>
            </w:rPr>
            <w:t>固定资产清理</w:t>
          </w:r>
        </w:p>
        <w:sdt>
          <w:sdtPr>
            <w:alias w:val="是否适用：固定资产清理[双击切换]"/>
            <w:tag w:val="_GBC_d005d220fbda4cd2a58ced6d0d7a1404"/>
            <w:id w:val="1479571481"/>
            <w:lock w:val="sdtContentLocked"/>
            <w:placeholder>
              <w:docPart w:val="GBC22222222222222222222222222222"/>
            </w:placeholder>
          </w:sdtPr>
          <w:sdtEndPr/>
          <w:sdtContent>
            <w:p w14:paraId="7BBE02F7"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384B0BF"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在建工程</w:t>
      </w:r>
    </w:p>
    <w:bookmarkStart w:id="145" w:name="_Hlk10472757" w:displacedByCustomXml="next"/>
    <w:bookmarkEnd w:id="145" w:displacedByCustomXml="next"/>
    <w:bookmarkStart w:id="146" w:name="_Hlk10472837" w:displacedByCustomXml="next"/>
    <w:bookmarkStart w:id="147" w:name="_Hlk10472848" w:displacedByCustomXml="next"/>
    <w:sdt>
      <w:sdtPr>
        <w:rPr>
          <w:rFonts w:ascii="宋体" w:hAnsi="宋体" w:cs="宋体" w:hint="eastAsia"/>
          <w:b w:val="0"/>
          <w:bCs w:val="0"/>
          <w:kern w:val="0"/>
          <w:szCs w:val="24"/>
        </w:rPr>
        <w:alias w:val="模块:在建工程项目列示"/>
        <w:tag w:val="_SEC_5259769a5b954eaaa39f8ab4268be07c"/>
        <w:id w:val="-1107805519"/>
        <w:lock w:val="sdtLocked"/>
        <w:placeholder>
          <w:docPart w:val="GBC22222222222222222222222222222"/>
        </w:placeholder>
      </w:sdtPr>
      <w:sdtEndPr>
        <w:rPr>
          <w:rFonts w:hint="default"/>
          <w:szCs w:val="21"/>
        </w:rPr>
      </w:sdtEndPr>
      <w:sdtContent>
        <w:p w14:paraId="547D6255" w14:textId="77777777" w:rsidR="00830E72" w:rsidRDefault="008344D8">
          <w:pPr>
            <w:pStyle w:val="Style100"/>
            <w:rPr>
              <w:rFonts w:ascii="宋体" w:hAnsi="宋体"/>
            </w:rPr>
          </w:pPr>
          <w:r>
            <w:rPr>
              <w:rFonts w:ascii="宋体" w:hAnsi="宋体" w:hint="eastAsia"/>
            </w:rPr>
            <w:t>项目列示</w:t>
          </w:r>
        </w:p>
        <w:sdt>
          <w:sdtPr>
            <w:alias w:val="是否适用：在建工程分类列示[双击切换]"/>
            <w:tag w:val="_GBC_bcbd4315343844fc923825dd150041e5"/>
            <w:id w:val="782772833"/>
            <w:lock w:val="sdtLocked"/>
            <w:placeholder>
              <w:docPart w:val="GBC22222222222222222222222222222"/>
            </w:placeholder>
          </w:sdtPr>
          <w:sdtEndPr/>
          <w:sdtContent>
            <w:p w14:paraId="693233A3"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47"/>
    <w:bookmarkEnd w:id="146"/>
    <w:p w14:paraId="45F3EF79" w14:textId="77777777" w:rsidR="00830E72" w:rsidRDefault="00830E72"/>
    <w:p w14:paraId="3A36C714" w14:textId="77777777" w:rsidR="00830E72" w:rsidRDefault="008344D8">
      <w:pPr>
        <w:pStyle w:val="Style100"/>
        <w:rPr>
          <w:rFonts w:ascii="宋体" w:hAnsi="宋体"/>
        </w:rPr>
      </w:pPr>
      <w:r>
        <w:rPr>
          <w:rFonts w:ascii="宋体" w:hAnsi="宋体" w:hint="eastAsia"/>
        </w:rPr>
        <w:t>在建工程</w:t>
      </w:r>
    </w:p>
    <w:sdt>
      <w:sdtPr>
        <w:rPr>
          <w:rFonts w:ascii="宋体" w:hAnsi="宋体" w:cs="宋体" w:hint="eastAsia"/>
          <w:b w:val="0"/>
          <w:bCs w:val="0"/>
          <w:kern w:val="0"/>
          <w:szCs w:val="21"/>
        </w:rPr>
        <w:alias w:val="模块:在建工程情况"/>
        <w:tag w:val="_GBC_88cd7483eb15414d84d17f5cc1a4bf78"/>
        <w:id w:val="-1296443223"/>
        <w:lock w:val="sdtLocked"/>
        <w:placeholder>
          <w:docPart w:val="GBC22222222222222222222222222222"/>
        </w:placeholder>
      </w:sdtPr>
      <w:sdtEndPr>
        <w:rPr>
          <w:rFonts w:cstheme="minorBidi"/>
          <w:kern w:val="2"/>
        </w:rPr>
      </w:sdtEndPr>
      <w:sdtContent>
        <w:p w14:paraId="6280271A" w14:textId="77777777" w:rsidR="00830E72" w:rsidRDefault="008344D8">
          <w:pPr>
            <w:pStyle w:val="Style100"/>
            <w:numPr>
              <w:ilvl w:val="0"/>
              <w:numId w:val="59"/>
            </w:numPr>
            <w:tabs>
              <w:tab w:val="left" w:pos="588"/>
            </w:tabs>
            <w:rPr>
              <w:rFonts w:ascii="宋体" w:hAnsi="宋体"/>
              <w:szCs w:val="21"/>
            </w:rPr>
          </w:pPr>
          <w:r>
            <w:rPr>
              <w:rFonts w:ascii="宋体" w:hAnsi="宋体" w:hint="eastAsia"/>
              <w:szCs w:val="21"/>
            </w:rPr>
            <w:t>在建工程情况</w:t>
          </w:r>
        </w:p>
        <w:p w14:paraId="6968EC4E" w14:textId="77777777" w:rsidR="00830E72" w:rsidRDefault="00D44830">
          <w:pPr>
            <w:rPr>
              <w:szCs w:val="21"/>
            </w:rPr>
          </w:pPr>
          <w:sdt>
            <w:sdtPr>
              <w:alias w:val="是否适用：在建工程情况[双击切换]"/>
              <w:tag w:val="_GBC_d9828cc7ad534f26902e1979f9d67530"/>
              <w:id w:val="-883936146"/>
              <w:lock w:val="sdtContentLocked"/>
              <w:placeholder>
                <w:docPart w:val="GBC22222222222222222222222222222"/>
              </w:placeholder>
            </w:sdtPr>
            <w:sdtEndPr/>
            <w:sdtContent>
              <w:r w:rsidR="008344D8">
                <w:fldChar w:fldCharType="begin"/>
              </w:r>
              <w:r w:rsidR="008344D8">
                <w:instrText xml:space="preserve"> MACROBUTTON  SnrToggleCheckbox □适用 </w:instrText>
              </w:r>
              <w:r w:rsidR="008344D8">
                <w:fldChar w:fldCharType="end"/>
              </w:r>
              <w:r w:rsidR="008344D8">
                <w:fldChar w:fldCharType="begin"/>
              </w:r>
              <w:r w:rsidR="008344D8">
                <w:instrText xml:space="preserve"> MACROBUTTON  SnrToggleCheckbox √不适用 </w:instrText>
              </w:r>
              <w:r w:rsidR="008344D8">
                <w:fldChar w:fldCharType="end"/>
              </w:r>
            </w:sdtContent>
          </w:sdt>
        </w:p>
      </w:sdtContent>
    </w:sdt>
    <w:sdt>
      <w:sdtPr>
        <w:rPr>
          <w:rFonts w:ascii="宋体" w:hAnsi="宋体" w:cs="宋体" w:hint="eastAsia"/>
          <w:b w:val="0"/>
          <w:bCs w:val="0"/>
          <w:kern w:val="0"/>
          <w:szCs w:val="21"/>
        </w:rPr>
        <w:alias w:val="模块:重大在建工程项目变动情况"/>
        <w:tag w:val="_GBC_b1eb75f465d7494995f17407201cfca9"/>
        <w:id w:val="1929391313"/>
        <w:lock w:val="sdtLocked"/>
        <w:placeholder>
          <w:docPart w:val="GBC22222222222222222222222222222"/>
        </w:placeholder>
      </w:sdtPr>
      <w:sdtEndPr>
        <w:rPr>
          <w:rFonts w:cstheme="minorBidi" w:hint="default"/>
        </w:rPr>
      </w:sdtEndPr>
      <w:sdtContent>
        <w:p w14:paraId="793E60B2" w14:textId="77777777" w:rsidR="00830E72" w:rsidRDefault="008344D8">
          <w:pPr>
            <w:pStyle w:val="Style100"/>
            <w:numPr>
              <w:ilvl w:val="0"/>
              <w:numId w:val="59"/>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ec2dd768673145d4bb9d3c31a6fa701a"/>
            <w:id w:val="-241647147"/>
            <w:lock w:val="sdtContentLocked"/>
            <w:placeholder>
              <w:docPart w:val="GBC22222222222222222222222222222"/>
            </w:placeholder>
          </w:sdtPr>
          <w:sdtEndPr/>
          <w:sdtContent>
            <w:p w14:paraId="6910903C"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在建工程减值准备"/>
        <w:tag w:val="_GBC_467986eee7244ad69e86a4292f121eb6"/>
        <w:id w:val="1744834142"/>
        <w:lock w:val="sdtLocked"/>
        <w:placeholder>
          <w:docPart w:val="GBC22222222222222222222222222222"/>
        </w:placeholder>
      </w:sdtPr>
      <w:sdtEndPr>
        <w:rPr>
          <w:rFonts w:cstheme="minorBidi"/>
          <w:kern w:val="2"/>
          <w:szCs w:val="22"/>
        </w:rPr>
      </w:sdtEndPr>
      <w:sdtContent>
        <w:p w14:paraId="3B7A4C80" w14:textId="77777777" w:rsidR="00830E72" w:rsidRDefault="008344D8">
          <w:pPr>
            <w:pStyle w:val="Style100"/>
            <w:numPr>
              <w:ilvl w:val="0"/>
              <w:numId w:val="59"/>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b220fd94287f4b01997861dc2c72b0a6"/>
            <w:id w:val="-1167330522"/>
            <w:lock w:val="sdtContentLocked"/>
            <w:placeholder>
              <w:docPart w:val="GBC22222222222222222222222222222"/>
            </w:placeholder>
          </w:sdtPr>
          <w:sdtEndPr/>
          <w:sdtContent>
            <w:p w14:paraId="5DD5AA4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在建工程的说明"/>
        <w:tag w:val="_GBC_d5aec612c6334d1b8a827f3f39a2781d"/>
        <w:id w:val="-1446835966"/>
        <w:lock w:val="sdtLocked"/>
        <w:placeholder>
          <w:docPart w:val="GBC22222222222222222222222222222"/>
        </w:placeholder>
      </w:sdtPr>
      <w:sdtEndPr>
        <w:rPr>
          <w:rFonts w:hint="default"/>
        </w:rPr>
      </w:sdtEndPr>
      <w:sdtContent>
        <w:p w14:paraId="68F1850F" w14:textId="77777777" w:rsidR="00830E72" w:rsidRDefault="008344D8">
          <w:pPr>
            <w:rPr>
              <w:szCs w:val="21"/>
            </w:rPr>
          </w:pPr>
          <w:r>
            <w:rPr>
              <w:rFonts w:hint="eastAsia"/>
              <w:szCs w:val="21"/>
            </w:rPr>
            <w:t>其他说明</w:t>
          </w:r>
        </w:p>
        <w:sdt>
          <w:sdtPr>
            <w:rPr>
              <w:szCs w:val="21"/>
            </w:rPr>
            <w:alias w:val="是否适用：在建工程的说明[双击切换]"/>
            <w:tag w:val="_GBC_c0ffdfbb304348758da855627ba6d858"/>
            <w:id w:val="181026296"/>
            <w:lock w:val="sdtContentLocked"/>
            <w:placeholder>
              <w:docPart w:val="GBC22222222222222222222222222222"/>
            </w:placeholder>
          </w:sdtPr>
          <w:sdtEndPr/>
          <w:sdtContent>
            <w:p w14:paraId="148A7D8C"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FFF2952" w14:textId="77777777" w:rsidR="00830E72" w:rsidRDefault="00830E72">
      <w:pPr>
        <w:rPr>
          <w:szCs w:val="21"/>
        </w:rPr>
      </w:pPr>
    </w:p>
    <w:bookmarkStart w:id="148" w:name="_Hlk11683481" w:displacedByCustomXml="next"/>
    <w:sdt>
      <w:sdtPr>
        <w:rPr>
          <w:rFonts w:ascii="宋体" w:hAnsi="宋体" w:cstheme="minorBidi" w:hint="eastAsia"/>
          <w:b w:val="0"/>
          <w:bCs w:val="0"/>
          <w:kern w:val="0"/>
          <w:szCs w:val="24"/>
        </w:rPr>
        <w:alias w:val="模块:工程物资"/>
        <w:tag w:val="_GBC_12c2ea8f308b49c7b5e2baae867f1ec7"/>
        <w:id w:val="-1606483881"/>
        <w:lock w:val="sdtLocked"/>
        <w:placeholder>
          <w:docPart w:val="GBC22222222222222222222222222222"/>
        </w:placeholder>
      </w:sdtPr>
      <w:sdtEndPr>
        <w:rPr>
          <w:rFonts w:hint="default"/>
          <w:szCs w:val="21"/>
        </w:rPr>
      </w:sdtEndPr>
      <w:sdtContent>
        <w:p w14:paraId="1AE0F0E1" w14:textId="77777777" w:rsidR="00830E72" w:rsidRDefault="008344D8">
          <w:pPr>
            <w:pStyle w:val="Style100"/>
            <w:rPr>
              <w:rFonts w:ascii="宋体" w:hAnsi="宋体"/>
            </w:rPr>
          </w:pPr>
          <w:r>
            <w:rPr>
              <w:rFonts w:ascii="宋体" w:hAnsi="宋体" w:hint="eastAsia"/>
            </w:rPr>
            <w:t>工程物资</w:t>
          </w:r>
        </w:p>
        <w:sdt>
          <w:sdtPr>
            <w:alias w:val="是否适用：工程物资[双击切换]"/>
            <w:tag w:val="_GBC_0d711628566c4b08b883151766986b20"/>
            <w:id w:val="-17854994"/>
            <w:lock w:val="sdtContentLocked"/>
            <w:placeholder>
              <w:docPart w:val="GBC22222222222222222222222222222"/>
            </w:placeholder>
          </w:sdtPr>
          <w:sdtEndPr/>
          <w:sdtContent>
            <w:p w14:paraId="4285A328"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BD110F2" w14:textId="77777777" w:rsidR="00830E72" w:rsidRDefault="00D44830">
          <w:pPr>
            <w:rPr>
              <w:szCs w:val="21"/>
            </w:rPr>
          </w:pPr>
        </w:p>
      </w:sdtContent>
    </w:sdt>
    <w:bookmarkEnd w:id="148"/>
    <w:p w14:paraId="3E83DE78"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GBC_e4aea5da03534f61818766a33b5ada09"/>
        <w:id w:val="-56476931"/>
        <w:lock w:val="sdtLocked"/>
        <w:placeholder>
          <w:docPart w:val="GBC22222222222222222222222222222"/>
        </w:placeholder>
      </w:sdtPr>
      <w:sdtEndPr>
        <w:rPr>
          <w:rFonts w:hint="default"/>
          <w:kern w:val="2"/>
        </w:rPr>
      </w:sdtEndPr>
      <w:sdtContent>
        <w:p w14:paraId="63FA712A" w14:textId="77777777" w:rsidR="00830E72" w:rsidRDefault="008344D8">
          <w:pPr>
            <w:pStyle w:val="Style100"/>
            <w:numPr>
              <w:ilvl w:val="0"/>
              <w:numId w:val="60"/>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fca5101d9b46492484acd605f0ade969"/>
            <w:id w:val="992842150"/>
            <w:lock w:val="sdtContentLocked"/>
            <w:placeholder>
              <w:docPart w:val="GBC22222222222222222222222222222"/>
            </w:placeholder>
          </w:sdtPr>
          <w:sdtEndPr/>
          <w:sdtContent>
            <w:p w14:paraId="19D454B7" w14:textId="77777777" w:rsidR="00830E72" w:rsidRDefault="008344D8">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GBC_c6f2d306944241a8a32f51421c437b66"/>
        <w:id w:val="1598059900"/>
        <w:lock w:val="sdtLocked"/>
        <w:placeholder>
          <w:docPart w:val="GBC22222222222222222222222222222"/>
        </w:placeholder>
      </w:sdtPr>
      <w:sdtEndPr>
        <w:rPr>
          <w:kern w:val="2"/>
          <w:szCs w:val="22"/>
        </w:rPr>
      </w:sdtEndPr>
      <w:sdtContent>
        <w:p w14:paraId="01C2BF02" w14:textId="77777777" w:rsidR="00830E72" w:rsidRDefault="008344D8">
          <w:pPr>
            <w:pStyle w:val="Style100"/>
            <w:numPr>
              <w:ilvl w:val="0"/>
              <w:numId w:val="60"/>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3a67921e606f4abca6478a1ffb759394"/>
            <w:id w:val="905565010"/>
            <w:lock w:val="sdtContentLocked"/>
            <w:placeholder>
              <w:docPart w:val="GBC22222222222222222222222222222"/>
            </w:placeholder>
          </w:sdtPr>
          <w:sdtEndPr/>
          <w:sdtContent>
            <w:p w14:paraId="272670FE" w14:textId="77777777" w:rsidR="00830E72" w:rsidRDefault="008344D8">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GBC_2bc189a19173429a899369a340bb8483"/>
        <w:id w:val="-579832259"/>
        <w:lock w:val="sdtLocked"/>
        <w:placeholder>
          <w:docPart w:val="GBC22222222222222222222222222222"/>
        </w:placeholder>
      </w:sdtPr>
      <w:sdtEndPr>
        <w:rPr>
          <w:rFonts w:hint="default"/>
        </w:rPr>
      </w:sdtEndPr>
      <w:sdtContent>
        <w:p w14:paraId="08C97BC6" w14:textId="77777777" w:rsidR="00830E72" w:rsidRDefault="008344D8">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48247874e2c54937aabce9db1308bea7"/>
            <w:id w:val="906728533"/>
            <w:lock w:val="sdtContentLocked"/>
            <w:placeholder>
              <w:docPart w:val="GBC22222222222222222222222222222"/>
            </w:placeholder>
          </w:sdtPr>
          <w:sdtEndPr/>
          <w:sdtContent>
            <w:p w14:paraId="349E0797" w14:textId="77777777" w:rsidR="00830E72" w:rsidRDefault="008344D8">
              <w:pPr>
                <w:autoSpaceDE w:val="0"/>
                <w:autoSpaceDN w:val="0"/>
                <w:adjustRightInd w:val="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D95E939" w14:textId="77777777" w:rsidR="00830E72" w:rsidRDefault="00830E72">
      <w:pPr>
        <w:rPr>
          <w:szCs w:val="21"/>
        </w:rPr>
      </w:pPr>
    </w:p>
    <w:sdt>
      <w:sdtPr>
        <w:rPr>
          <w:rFonts w:ascii="宋体" w:hAnsi="宋体" w:cs="宋体" w:hint="eastAsia"/>
          <w:b w:val="0"/>
          <w:bCs w:val="0"/>
          <w:kern w:val="0"/>
          <w:szCs w:val="21"/>
        </w:rPr>
        <w:alias w:val="模块:油气资产"/>
        <w:tag w:val="_GBC_fe60430654f541aab1da59bd08202085"/>
        <w:id w:val="-904907446"/>
        <w:lock w:val="sdtLocked"/>
        <w:placeholder>
          <w:docPart w:val="GBC22222222222222222222222222222"/>
        </w:placeholder>
      </w:sdtPr>
      <w:sdtEndPr>
        <w:rPr>
          <w:rFonts w:cstheme="minorBidi" w:hint="default"/>
          <w:kern w:val="2"/>
        </w:rPr>
      </w:sdtEndPr>
      <w:sdtContent>
        <w:p w14:paraId="6B21007A"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油气资产</w:t>
          </w:r>
        </w:p>
        <w:sdt>
          <w:sdtPr>
            <w:alias w:val="是否适用：油气资产[双击切换]"/>
            <w:tag w:val="_GBC_7dce41817eb749dba0d132424020d250"/>
            <w:id w:val="1881121869"/>
            <w:lock w:val="sdtContentLocked"/>
            <w:placeholder>
              <w:docPart w:val="GBC22222222222222222222222222222"/>
            </w:placeholder>
          </w:sdtPr>
          <w:sdtEndPr/>
          <w:sdtContent>
            <w:p w14:paraId="6C1C412D"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2FD5B1A" w14:textId="77777777" w:rsidR="00830E72" w:rsidRDefault="00D44830">
          <w:pPr>
            <w:autoSpaceDE w:val="0"/>
            <w:autoSpaceDN w:val="0"/>
            <w:adjustRightInd w:val="0"/>
            <w:rPr>
              <w:szCs w:val="21"/>
            </w:rPr>
          </w:pPr>
        </w:p>
      </w:sdtContent>
    </w:sdt>
    <w:sdt>
      <w:sdtPr>
        <w:rPr>
          <w:rFonts w:ascii="宋体" w:hAnsi="宋体" w:cs="宋体" w:hint="eastAsia"/>
          <w:b w:val="0"/>
          <w:bCs w:val="0"/>
          <w:kern w:val="0"/>
          <w:szCs w:val="21"/>
        </w:rPr>
        <w:alias w:val="模块:使用权资产"/>
        <w:tag w:val="_SEC_42126bf96c7241e38ff33aae0d98dae2"/>
        <w:id w:val="-1917306609"/>
        <w:lock w:val="sdtLocked"/>
        <w:placeholder>
          <w:docPart w:val="GBC22222222222222222222222222222"/>
        </w:placeholder>
      </w:sdtPr>
      <w:sdtEndPr>
        <w:rPr>
          <w:szCs w:val="24"/>
        </w:rPr>
      </w:sdtEndPr>
      <w:sdtContent>
        <w:p w14:paraId="1C9CC2BF"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使用权资产</w:t>
          </w:r>
        </w:p>
        <w:bookmarkStart w:id="149" w:name="_Hlk11679747" w:displacedByCustomXml="next"/>
        <w:sdt>
          <w:sdtPr>
            <w:alias w:val="是否适用：使用权资产[双击切换]"/>
            <w:tag w:val="_GBC_3ac132175b304712af4889ae3914ef7d"/>
            <w:id w:val="-455253509"/>
            <w:lock w:val="sdtContentLocked"/>
            <w:placeholder>
              <w:docPart w:val="GBC22222222222222222222222222222"/>
            </w:placeholder>
          </w:sdtPr>
          <w:sdtEndPr/>
          <w:sdtContent>
            <w:p w14:paraId="44E7EC1C"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059B608" w14:textId="77777777" w:rsidR="00830E72" w:rsidRDefault="008344D8">
          <w:pPr>
            <w:autoSpaceDE w:val="0"/>
            <w:autoSpaceDN w:val="0"/>
            <w:adjustRightInd w:val="0"/>
            <w:jc w:val="right"/>
            <w:rPr>
              <w:szCs w:val="21"/>
            </w:rPr>
          </w:pPr>
          <w:r>
            <w:rPr>
              <w:rFonts w:hint="eastAsia"/>
              <w:szCs w:val="21"/>
            </w:rPr>
            <w:t>单位：</w:t>
          </w:r>
          <w:sdt>
            <w:sdtPr>
              <w:rPr>
                <w:rFonts w:hint="eastAsia"/>
                <w:szCs w:val="21"/>
              </w:rPr>
              <w:alias w:val="单位：使用权资产"/>
              <w:tag w:val="_GBC_126de13c7c92490d95bdebd7efe2d59b"/>
              <w:id w:val="-126784340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使用权资产"/>
              <w:tag w:val="_GBC_bb9e8b7096ab49fc95311a6c81431e95"/>
              <w:id w:val="-17844206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2722"/>
            <w:gridCol w:w="2928"/>
          </w:tblGrid>
          <w:tr w:rsidR="00830E72" w14:paraId="2C2FE597" w14:textId="77777777">
            <w:trPr>
              <w:trHeight w:val="284"/>
            </w:trPr>
            <w:sdt>
              <w:sdtPr>
                <w:tag w:val="_PLD_e7cc7a86c52f4dc596615cce534e6d6a"/>
                <w:id w:val="231894993"/>
                <w:lock w:val="sdtLocked"/>
              </w:sdtPr>
              <w:sdtEndPr/>
              <w:sdtContent>
                <w:tc>
                  <w:tcPr>
                    <w:tcW w:w="1878" w:type="pct"/>
                    <w:shd w:val="clear" w:color="auto" w:fill="auto"/>
                    <w:vAlign w:val="center"/>
                  </w:tcPr>
                  <w:p w14:paraId="5CA90BCC" w14:textId="77777777" w:rsidR="00830E72" w:rsidRDefault="008344D8">
                    <w:pPr>
                      <w:spacing w:line="240" w:lineRule="atLeast"/>
                      <w:jc w:val="center"/>
                      <w:rPr>
                        <w:szCs w:val="21"/>
                      </w:rPr>
                    </w:pPr>
                    <w:r>
                      <w:rPr>
                        <w:rFonts w:hint="eastAsia"/>
                        <w:szCs w:val="21"/>
                      </w:rPr>
                      <w:t>项目</w:t>
                    </w:r>
                  </w:p>
                </w:tc>
              </w:sdtContent>
            </w:sdt>
            <w:sdt>
              <w:sdtPr>
                <w:rPr>
                  <w:szCs w:val="21"/>
                </w:rPr>
                <w:alias w:val="使用权资产明细-项目"/>
                <w:tag w:val="_GBC_ea9ffc7b81304e04ad88fe7fcccf7ec1"/>
                <w:id w:val="1517962211"/>
                <w:lock w:val="sdtLocked"/>
              </w:sdtPr>
              <w:sdtEndPr/>
              <w:sdtContent>
                <w:tc>
                  <w:tcPr>
                    <w:tcW w:w="1504" w:type="pct"/>
                    <w:shd w:val="clear" w:color="auto" w:fill="auto"/>
                    <w:vAlign w:val="center"/>
                  </w:tcPr>
                  <w:p w14:paraId="5C368878" w14:textId="77777777" w:rsidR="00830E72" w:rsidRDefault="008344D8">
                    <w:pPr>
                      <w:spacing w:line="240" w:lineRule="atLeast"/>
                      <w:jc w:val="center"/>
                      <w:rPr>
                        <w:szCs w:val="21"/>
                      </w:rPr>
                    </w:pPr>
                    <w:r>
                      <w:rPr>
                        <w:rFonts w:hint="eastAsia"/>
                        <w:szCs w:val="21"/>
                      </w:rPr>
                      <w:t>房屋租赁</w:t>
                    </w:r>
                  </w:p>
                </w:tc>
              </w:sdtContent>
            </w:sdt>
            <w:sdt>
              <w:sdtPr>
                <w:tag w:val="_PLD_8404013d36434d0f94f9d2e0e06379db"/>
                <w:id w:val="437344813"/>
                <w:lock w:val="sdtLocked"/>
              </w:sdtPr>
              <w:sdtEndPr/>
              <w:sdtContent>
                <w:tc>
                  <w:tcPr>
                    <w:tcW w:w="1618" w:type="pct"/>
                    <w:shd w:val="clear" w:color="auto" w:fill="auto"/>
                    <w:vAlign w:val="center"/>
                  </w:tcPr>
                  <w:p w14:paraId="331E4AFF" w14:textId="77777777" w:rsidR="00830E72" w:rsidRDefault="008344D8">
                    <w:pPr>
                      <w:spacing w:line="240" w:lineRule="atLeast"/>
                      <w:jc w:val="center"/>
                      <w:rPr>
                        <w:szCs w:val="21"/>
                      </w:rPr>
                    </w:pPr>
                    <w:r>
                      <w:rPr>
                        <w:szCs w:val="21"/>
                      </w:rPr>
                      <w:t>合计</w:t>
                    </w:r>
                  </w:p>
                </w:tc>
              </w:sdtContent>
            </w:sdt>
          </w:tr>
          <w:tr w:rsidR="00830E72" w14:paraId="0637A6D6" w14:textId="77777777">
            <w:trPr>
              <w:trHeight w:val="284"/>
            </w:trPr>
            <w:sdt>
              <w:sdtPr>
                <w:tag w:val="_PLD_8a1172a4974b4db489d9ace1c9b06ff9"/>
                <w:id w:val="749702257"/>
                <w:lock w:val="sdtLocked"/>
              </w:sdtPr>
              <w:sdtEndPr/>
              <w:sdtContent>
                <w:tc>
                  <w:tcPr>
                    <w:tcW w:w="1878" w:type="pct"/>
                    <w:shd w:val="clear" w:color="auto" w:fill="auto"/>
                    <w:vAlign w:val="center"/>
                  </w:tcPr>
                  <w:p w14:paraId="44879A3C" w14:textId="77777777" w:rsidR="00830E72" w:rsidRDefault="008344D8">
                    <w:pPr>
                      <w:spacing w:line="240" w:lineRule="atLeast"/>
                      <w:rPr>
                        <w:szCs w:val="21"/>
                      </w:rPr>
                    </w:pPr>
                    <w:r>
                      <w:rPr>
                        <w:szCs w:val="21"/>
                      </w:rPr>
                      <w:t>一、</w:t>
                    </w:r>
                    <w:r>
                      <w:rPr>
                        <w:rFonts w:hint="eastAsia"/>
                        <w:szCs w:val="21"/>
                      </w:rPr>
                      <w:t>账面</w:t>
                    </w:r>
                    <w:r>
                      <w:rPr>
                        <w:szCs w:val="21"/>
                      </w:rPr>
                      <w:t>原</w:t>
                    </w:r>
                    <w:r>
                      <w:rPr>
                        <w:rFonts w:hint="eastAsia"/>
                        <w:szCs w:val="21"/>
                      </w:rPr>
                      <w:t>值</w:t>
                    </w:r>
                  </w:p>
                </w:tc>
              </w:sdtContent>
            </w:sdt>
            <w:tc>
              <w:tcPr>
                <w:tcW w:w="1504" w:type="pct"/>
                <w:shd w:val="clear" w:color="auto" w:fill="auto"/>
              </w:tcPr>
              <w:p w14:paraId="2134DB79" w14:textId="77777777" w:rsidR="00830E72" w:rsidRDefault="00830E72">
                <w:pPr>
                  <w:spacing w:line="240" w:lineRule="atLeast"/>
                  <w:ind w:firstLineChars="200" w:firstLine="420"/>
                  <w:jc w:val="right"/>
                  <w:rPr>
                    <w:szCs w:val="21"/>
                  </w:rPr>
                </w:pPr>
              </w:p>
            </w:tc>
            <w:tc>
              <w:tcPr>
                <w:tcW w:w="1618" w:type="pct"/>
                <w:shd w:val="clear" w:color="auto" w:fill="auto"/>
              </w:tcPr>
              <w:p w14:paraId="03D4651C" w14:textId="77777777" w:rsidR="00830E72" w:rsidRDefault="00830E72">
                <w:pPr>
                  <w:spacing w:line="240" w:lineRule="atLeast"/>
                  <w:jc w:val="right"/>
                  <w:rPr>
                    <w:szCs w:val="21"/>
                  </w:rPr>
                </w:pPr>
              </w:p>
            </w:tc>
          </w:tr>
          <w:tr w:rsidR="00830E72" w14:paraId="60C8CDEC" w14:textId="77777777">
            <w:trPr>
              <w:trHeight w:val="284"/>
            </w:trPr>
            <w:sdt>
              <w:sdtPr>
                <w:tag w:val="_PLD_1bcbd6f040864936993405929e8f3c87"/>
                <w:id w:val="1497457137"/>
                <w:lock w:val="sdtLocked"/>
              </w:sdtPr>
              <w:sdtEndPr/>
              <w:sdtContent>
                <w:tc>
                  <w:tcPr>
                    <w:tcW w:w="1878" w:type="pct"/>
                    <w:shd w:val="clear" w:color="auto" w:fill="auto"/>
                    <w:vAlign w:val="center"/>
                  </w:tcPr>
                  <w:p w14:paraId="2008140B" w14:textId="77777777" w:rsidR="00830E72" w:rsidRDefault="008344D8">
                    <w:pPr>
                      <w:spacing w:line="240" w:lineRule="atLeast"/>
                      <w:rPr>
                        <w:szCs w:val="21"/>
                      </w:rPr>
                    </w:pPr>
                    <w:r>
                      <w:rPr>
                        <w:szCs w:val="21"/>
                      </w:rPr>
                      <w:t xml:space="preserve">    1.</w:t>
                    </w:r>
                    <w:r>
                      <w:rPr>
                        <w:rFonts w:hint="eastAsia"/>
                        <w:szCs w:val="21"/>
                      </w:rPr>
                      <w:t>期</w:t>
                    </w:r>
                    <w:r>
                      <w:rPr>
                        <w:szCs w:val="21"/>
                      </w:rPr>
                      <w:t>初余额</w:t>
                    </w:r>
                  </w:p>
                </w:tc>
              </w:sdtContent>
            </w:sdt>
            <w:sdt>
              <w:sdtPr>
                <w:rPr>
                  <w:szCs w:val="21"/>
                </w:rPr>
                <w:alias w:val="使用权资产明细-账面原值"/>
                <w:tag w:val="_GBC_6079549d75e44c4794dbbc33e1c33ad8"/>
                <w:id w:val="6575468"/>
                <w:lock w:val="sdtLocked"/>
              </w:sdtPr>
              <w:sdtEndPr/>
              <w:sdtContent>
                <w:tc>
                  <w:tcPr>
                    <w:tcW w:w="1504" w:type="pct"/>
                    <w:shd w:val="clear" w:color="auto" w:fill="auto"/>
                  </w:tcPr>
                  <w:p w14:paraId="70F5BB97" w14:textId="77777777" w:rsidR="00830E72" w:rsidRDefault="008344D8">
                    <w:pPr>
                      <w:spacing w:line="240" w:lineRule="atLeast"/>
                      <w:ind w:firstLineChars="200" w:firstLine="420"/>
                      <w:jc w:val="right"/>
                      <w:rPr>
                        <w:szCs w:val="21"/>
                      </w:rPr>
                    </w:pPr>
                    <w:r>
                      <w:rPr>
                        <w:szCs w:val="21"/>
                      </w:rPr>
                      <w:t>5,350,113.01</w:t>
                    </w:r>
                  </w:p>
                </w:tc>
              </w:sdtContent>
            </w:sdt>
            <w:sdt>
              <w:sdtPr>
                <w:rPr>
                  <w:szCs w:val="21"/>
                </w:rPr>
                <w:alias w:val="使用权资产账面原值"/>
                <w:tag w:val="_GBC_1a35fa4b8971434894a45baaca257b56"/>
                <w:id w:val="-356588298"/>
                <w:lock w:val="sdtLocked"/>
              </w:sdtPr>
              <w:sdtEndPr/>
              <w:sdtContent>
                <w:tc>
                  <w:tcPr>
                    <w:tcW w:w="1618" w:type="pct"/>
                    <w:shd w:val="clear" w:color="auto" w:fill="auto"/>
                  </w:tcPr>
                  <w:p w14:paraId="1E2A88A4" w14:textId="77777777" w:rsidR="00830E72" w:rsidRDefault="008344D8">
                    <w:pPr>
                      <w:spacing w:line="240" w:lineRule="atLeast"/>
                      <w:jc w:val="right"/>
                      <w:rPr>
                        <w:szCs w:val="21"/>
                      </w:rPr>
                    </w:pPr>
                    <w:r>
                      <w:rPr>
                        <w:szCs w:val="21"/>
                      </w:rPr>
                      <w:t>5,350,113.01</w:t>
                    </w:r>
                  </w:p>
                </w:tc>
              </w:sdtContent>
            </w:sdt>
          </w:tr>
          <w:tr w:rsidR="00830E72" w14:paraId="46347727" w14:textId="77777777">
            <w:trPr>
              <w:trHeight w:val="284"/>
            </w:trPr>
            <w:sdt>
              <w:sdtPr>
                <w:tag w:val="_PLD_cb8705faa0dd4f71889eeb93b843f45e"/>
                <w:id w:val="1742369904"/>
                <w:lock w:val="sdtLocked"/>
              </w:sdtPr>
              <w:sdtEndPr/>
              <w:sdtContent>
                <w:tc>
                  <w:tcPr>
                    <w:tcW w:w="1878" w:type="pct"/>
                    <w:shd w:val="clear" w:color="auto" w:fill="auto"/>
                    <w:vAlign w:val="center"/>
                  </w:tcPr>
                  <w:p w14:paraId="1290C87B" w14:textId="77777777" w:rsidR="00830E72" w:rsidRDefault="008344D8">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账面原值增加"/>
                <w:tag w:val="_GBC_038693f88fd04c6e945c2a70721938c5"/>
                <w:id w:val="-532114526"/>
                <w:lock w:val="sdtLocked"/>
                <w:showingPlcHdr/>
              </w:sdtPr>
              <w:sdtEndPr/>
              <w:sdtContent>
                <w:tc>
                  <w:tcPr>
                    <w:tcW w:w="1504" w:type="pct"/>
                    <w:shd w:val="clear" w:color="auto" w:fill="auto"/>
                  </w:tcPr>
                  <w:p w14:paraId="5767BFD1" w14:textId="77777777" w:rsidR="00830E72" w:rsidRDefault="008344D8">
                    <w:pPr>
                      <w:spacing w:line="240" w:lineRule="atLeast"/>
                      <w:jc w:val="right"/>
                      <w:rPr>
                        <w:szCs w:val="21"/>
                      </w:rPr>
                    </w:pPr>
                    <w:r>
                      <w:rPr>
                        <w:rStyle w:val="Style141"/>
                        <w:rFonts w:hint="eastAsia"/>
                      </w:rPr>
                      <w:t xml:space="preserve">　</w:t>
                    </w:r>
                  </w:p>
                </w:tc>
              </w:sdtContent>
            </w:sdt>
            <w:sdt>
              <w:sdtPr>
                <w:rPr>
                  <w:szCs w:val="21"/>
                </w:rPr>
                <w:alias w:val="使用权资产账面原值增加"/>
                <w:tag w:val="_GBC_8000655ddf3b4066924ff13958ca8787"/>
                <w:id w:val="1607308207"/>
                <w:lock w:val="sdtLocked"/>
                <w:showingPlcHdr/>
              </w:sdtPr>
              <w:sdtEndPr/>
              <w:sdtContent>
                <w:tc>
                  <w:tcPr>
                    <w:tcW w:w="1618" w:type="pct"/>
                    <w:shd w:val="clear" w:color="auto" w:fill="auto"/>
                  </w:tcPr>
                  <w:p w14:paraId="4236AA6A" w14:textId="77777777" w:rsidR="00830E72" w:rsidRDefault="008344D8">
                    <w:pPr>
                      <w:spacing w:line="240" w:lineRule="atLeast"/>
                      <w:jc w:val="right"/>
                      <w:rPr>
                        <w:szCs w:val="21"/>
                      </w:rPr>
                    </w:pPr>
                    <w:r>
                      <w:rPr>
                        <w:rStyle w:val="Style141"/>
                        <w:rFonts w:hint="eastAsia"/>
                      </w:rPr>
                      <w:t xml:space="preserve">　</w:t>
                    </w:r>
                  </w:p>
                </w:tc>
              </w:sdtContent>
            </w:sdt>
          </w:tr>
          <w:tr w:rsidR="00830E72" w14:paraId="635480EF" w14:textId="77777777">
            <w:trPr>
              <w:trHeight w:val="284"/>
            </w:trPr>
            <w:sdt>
              <w:sdtPr>
                <w:tag w:val="_PLD_5a836262bcb54f0aa73023d39e87cb70"/>
                <w:id w:val="1423604938"/>
                <w:lock w:val="sdtLocked"/>
              </w:sdtPr>
              <w:sdtEndPr/>
              <w:sdtContent>
                <w:tc>
                  <w:tcPr>
                    <w:tcW w:w="1878" w:type="pct"/>
                    <w:shd w:val="clear" w:color="auto" w:fill="auto"/>
                    <w:vAlign w:val="center"/>
                  </w:tcPr>
                  <w:p w14:paraId="65CBFA6B" w14:textId="77777777" w:rsidR="00830E72" w:rsidRDefault="008344D8">
                    <w:pPr>
                      <w:spacing w:line="240" w:lineRule="atLeast"/>
                      <w:ind w:firstLineChars="200" w:firstLine="420"/>
                      <w:rPr>
                        <w:szCs w:val="21"/>
                      </w:rPr>
                    </w:pPr>
                    <w:r>
                      <w:rPr>
                        <w:szCs w:val="21"/>
                      </w:rPr>
                      <w:t>3.本期减少</w:t>
                    </w:r>
                    <w:r>
                      <w:rPr>
                        <w:rFonts w:hint="eastAsia"/>
                        <w:szCs w:val="21"/>
                      </w:rPr>
                      <w:t>金额</w:t>
                    </w:r>
                  </w:p>
                </w:tc>
              </w:sdtContent>
            </w:sdt>
            <w:sdt>
              <w:sdtPr>
                <w:rPr>
                  <w:szCs w:val="21"/>
                </w:rPr>
                <w:alias w:val="使用权资产明细-账面原值减少"/>
                <w:tag w:val="_GBC_ad311ac7cd944c41ab0869eebfbbc2a9"/>
                <w:id w:val="53904958"/>
                <w:lock w:val="sdtLocked"/>
                <w:showingPlcHdr/>
              </w:sdtPr>
              <w:sdtEndPr/>
              <w:sdtContent>
                <w:tc>
                  <w:tcPr>
                    <w:tcW w:w="1504" w:type="pct"/>
                    <w:shd w:val="clear" w:color="auto" w:fill="auto"/>
                  </w:tcPr>
                  <w:p w14:paraId="5D52C03F" w14:textId="77777777" w:rsidR="00830E72" w:rsidRDefault="008344D8">
                    <w:pPr>
                      <w:spacing w:line="240" w:lineRule="atLeast"/>
                      <w:jc w:val="right"/>
                      <w:rPr>
                        <w:szCs w:val="21"/>
                      </w:rPr>
                    </w:pPr>
                    <w:r>
                      <w:rPr>
                        <w:rStyle w:val="Style141"/>
                        <w:rFonts w:hint="eastAsia"/>
                      </w:rPr>
                      <w:t xml:space="preserve">　</w:t>
                    </w:r>
                  </w:p>
                </w:tc>
              </w:sdtContent>
            </w:sdt>
            <w:sdt>
              <w:sdtPr>
                <w:rPr>
                  <w:szCs w:val="21"/>
                </w:rPr>
                <w:alias w:val="使用权资产账面原值减少"/>
                <w:tag w:val="_GBC_0f36d990434d47bd9f1a709a0a597c10"/>
                <w:id w:val="988679269"/>
                <w:lock w:val="sdtLocked"/>
                <w:showingPlcHdr/>
              </w:sdtPr>
              <w:sdtEndPr/>
              <w:sdtContent>
                <w:tc>
                  <w:tcPr>
                    <w:tcW w:w="1618" w:type="pct"/>
                    <w:shd w:val="clear" w:color="auto" w:fill="auto"/>
                  </w:tcPr>
                  <w:p w14:paraId="4AA627DF" w14:textId="77777777" w:rsidR="00830E72" w:rsidRDefault="008344D8">
                    <w:pPr>
                      <w:spacing w:line="240" w:lineRule="atLeast"/>
                      <w:jc w:val="right"/>
                      <w:rPr>
                        <w:szCs w:val="21"/>
                      </w:rPr>
                    </w:pPr>
                    <w:r>
                      <w:rPr>
                        <w:rStyle w:val="Style141"/>
                        <w:rFonts w:hint="eastAsia"/>
                      </w:rPr>
                      <w:t xml:space="preserve">　</w:t>
                    </w:r>
                  </w:p>
                </w:tc>
              </w:sdtContent>
            </w:sdt>
          </w:tr>
          <w:tr w:rsidR="00830E72" w14:paraId="70C425CE" w14:textId="77777777">
            <w:trPr>
              <w:trHeight w:val="284"/>
            </w:trPr>
            <w:sdt>
              <w:sdtPr>
                <w:tag w:val="_PLD_d2ddd00acda84b158c10aa57a3b88766"/>
                <w:id w:val="873432457"/>
                <w:lock w:val="sdtLocked"/>
              </w:sdtPr>
              <w:sdtEndPr/>
              <w:sdtContent>
                <w:tc>
                  <w:tcPr>
                    <w:tcW w:w="1878" w:type="pct"/>
                    <w:shd w:val="clear" w:color="auto" w:fill="auto"/>
                    <w:vAlign w:val="center"/>
                  </w:tcPr>
                  <w:p w14:paraId="3BE33262" w14:textId="77777777" w:rsidR="00830E72" w:rsidRDefault="008344D8">
                    <w:pPr>
                      <w:spacing w:line="240" w:lineRule="atLeast"/>
                      <w:ind w:firstLineChars="200" w:firstLine="420"/>
                      <w:rPr>
                        <w:szCs w:val="21"/>
                      </w:rPr>
                    </w:pPr>
                    <w:r>
                      <w:rPr>
                        <w:szCs w:val="21"/>
                      </w:rPr>
                      <w:t>4.期末余额</w:t>
                    </w:r>
                  </w:p>
                </w:tc>
              </w:sdtContent>
            </w:sdt>
            <w:sdt>
              <w:sdtPr>
                <w:rPr>
                  <w:szCs w:val="21"/>
                </w:rPr>
                <w:alias w:val="使用权资产明细-账面原值"/>
                <w:tag w:val="_GBC_6a038554bb4d4aa789f64c8ccc710b07"/>
                <w:id w:val="-710493852"/>
                <w:lock w:val="sdtLocked"/>
              </w:sdtPr>
              <w:sdtEndPr/>
              <w:sdtContent>
                <w:tc>
                  <w:tcPr>
                    <w:tcW w:w="1504" w:type="pct"/>
                    <w:shd w:val="clear" w:color="auto" w:fill="auto"/>
                  </w:tcPr>
                  <w:p w14:paraId="1610A01D" w14:textId="77777777" w:rsidR="00830E72" w:rsidRDefault="008344D8">
                    <w:pPr>
                      <w:spacing w:line="240" w:lineRule="atLeast"/>
                      <w:jc w:val="right"/>
                      <w:rPr>
                        <w:szCs w:val="21"/>
                      </w:rPr>
                    </w:pPr>
                    <w:r>
                      <w:rPr>
                        <w:szCs w:val="21"/>
                      </w:rPr>
                      <w:t>5,350,113.01</w:t>
                    </w:r>
                  </w:p>
                </w:tc>
              </w:sdtContent>
            </w:sdt>
            <w:sdt>
              <w:sdtPr>
                <w:rPr>
                  <w:szCs w:val="21"/>
                </w:rPr>
                <w:alias w:val="使用权资产账面原值"/>
                <w:tag w:val="_GBC_007c0f31392649b696a0d5d1c1e6a108"/>
                <w:id w:val="1655414258"/>
                <w:lock w:val="sdtLocked"/>
              </w:sdtPr>
              <w:sdtEndPr/>
              <w:sdtContent>
                <w:tc>
                  <w:tcPr>
                    <w:tcW w:w="1618" w:type="pct"/>
                    <w:shd w:val="clear" w:color="auto" w:fill="auto"/>
                  </w:tcPr>
                  <w:p w14:paraId="16DB2917" w14:textId="77777777" w:rsidR="00830E72" w:rsidRDefault="008344D8">
                    <w:pPr>
                      <w:spacing w:line="240" w:lineRule="atLeast"/>
                      <w:jc w:val="right"/>
                      <w:rPr>
                        <w:szCs w:val="21"/>
                      </w:rPr>
                    </w:pPr>
                    <w:r>
                      <w:rPr>
                        <w:szCs w:val="21"/>
                      </w:rPr>
                      <w:t>5,350,113.01</w:t>
                    </w:r>
                  </w:p>
                </w:tc>
              </w:sdtContent>
            </w:sdt>
          </w:tr>
          <w:tr w:rsidR="00830E72" w14:paraId="7C988A5C" w14:textId="77777777">
            <w:trPr>
              <w:trHeight w:val="284"/>
            </w:trPr>
            <w:sdt>
              <w:sdtPr>
                <w:tag w:val="_PLD_c5fd254e7ed54ab8b2346f3d57a1cc54"/>
                <w:id w:val="731129146"/>
                <w:lock w:val="sdtLocked"/>
              </w:sdtPr>
              <w:sdtEndPr/>
              <w:sdtContent>
                <w:tc>
                  <w:tcPr>
                    <w:tcW w:w="1878" w:type="pct"/>
                    <w:shd w:val="clear" w:color="auto" w:fill="auto"/>
                    <w:vAlign w:val="center"/>
                  </w:tcPr>
                  <w:p w14:paraId="2FEB307F" w14:textId="77777777" w:rsidR="00830E72" w:rsidRDefault="008344D8">
                    <w:pPr>
                      <w:spacing w:line="240" w:lineRule="atLeast"/>
                      <w:rPr>
                        <w:szCs w:val="21"/>
                      </w:rPr>
                    </w:pPr>
                    <w:r>
                      <w:rPr>
                        <w:szCs w:val="21"/>
                      </w:rPr>
                      <w:t>二、累计折旧</w:t>
                    </w:r>
                  </w:p>
                </w:tc>
              </w:sdtContent>
            </w:sdt>
            <w:tc>
              <w:tcPr>
                <w:tcW w:w="1504" w:type="pct"/>
                <w:shd w:val="clear" w:color="auto" w:fill="auto"/>
              </w:tcPr>
              <w:p w14:paraId="6CB037E6" w14:textId="77777777" w:rsidR="00830E72" w:rsidRDefault="00830E72">
                <w:pPr>
                  <w:spacing w:line="240" w:lineRule="atLeast"/>
                  <w:jc w:val="right"/>
                  <w:rPr>
                    <w:szCs w:val="21"/>
                  </w:rPr>
                </w:pPr>
              </w:p>
            </w:tc>
            <w:tc>
              <w:tcPr>
                <w:tcW w:w="1618" w:type="pct"/>
                <w:shd w:val="clear" w:color="auto" w:fill="auto"/>
              </w:tcPr>
              <w:p w14:paraId="3F5D627F" w14:textId="77777777" w:rsidR="00830E72" w:rsidRDefault="00830E72">
                <w:pPr>
                  <w:spacing w:line="240" w:lineRule="atLeast"/>
                  <w:jc w:val="right"/>
                  <w:rPr>
                    <w:szCs w:val="21"/>
                  </w:rPr>
                </w:pPr>
              </w:p>
            </w:tc>
          </w:tr>
          <w:tr w:rsidR="00830E72" w14:paraId="74218D6E" w14:textId="77777777">
            <w:trPr>
              <w:trHeight w:val="284"/>
            </w:trPr>
            <w:sdt>
              <w:sdtPr>
                <w:tag w:val="_PLD_9d84a55f4f2440dda7ca9f05e3bee994"/>
                <w:id w:val="1396157300"/>
                <w:lock w:val="sdtLocked"/>
              </w:sdtPr>
              <w:sdtEndPr/>
              <w:sdtContent>
                <w:tc>
                  <w:tcPr>
                    <w:tcW w:w="1878" w:type="pct"/>
                    <w:shd w:val="clear" w:color="auto" w:fill="auto"/>
                    <w:vAlign w:val="center"/>
                  </w:tcPr>
                  <w:p w14:paraId="0300DEAA" w14:textId="77777777" w:rsidR="00830E72" w:rsidRDefault="008344D8">
                    <w:pPr>
                      <w:spacing w:line="240" w:lineRule="atLeast"/>
                      <w:ind w:firstLineChars="200" w:firstLine="420"/>
                      <w:rPr>
                        <w:szCs w:val="21"/>
                      </w:rPr>
                    </w:pPr>
                    <w:r>
                      <w:rPr>
                        <w:rFonts w:hint="eastAsia"/>
                        <w:szCs w:val="21"/>
                      </w:rPr>
                      <w:t>1.期</w:t>
                    </w:r>
                    <w:r>
                      <w:rPr>
                        <w:szCs w:val="21"/>
                      </w:rPr>
                      <w:t>初余额</w:t>
                    </w:r>
                  </w:p>
                </w:tc>
              </w:sdtContent>
            </w:sdt>
            <w:sdt>
              <w:sdtPr>
                <w:rPr>
                  <w:szCs w:val="21"/>
                </w:rPr>
                <w:alias w:val="使用权资产明细-累计折旧"/>
                <w:tag w:val="_GBC_5c668c183c4043a5aade63b6e2f10e53"/>
                <w:id w:val="288102547"/>
                <w:lock w:val="sdtLocked"/>
                <w:showingPlcHdr/>
              </w:sdtPr>
              <w:sdtEndPr/>
              <w:sdtContent>
                <w:tc>
                  <w:tcPr>
                    <w:tcW w:w="1504" w:type="pct"/>
                    <w:shd w:val="clear" w:color="auto" w:fill="auto"/>
                  </w:tcPr>
                  <w:p w14:paraId="536AE152" w14:textId="77777777" w:rsidR="00830E72" w:rsidRDefault="008344D8">
                    <w:pPr>
                      <w:spacing w:line="240" w:lineRule="atLeast"/>
                      <w:jc w:val="right"/>
                      <w:rPr>
                        <w:szCs w:val="21"/>
                      </w:rPr>
                    </w:pPr>
                    <w:r>
                      <w:rPr>
                        <w:rStyle w:val="Style141"/>
                        <w:rFonts w:hint="eastAsia"/>
                      </w:rPr>
                      <w:t xml:space="preserve">　</w:t>
                    </w:r>
                  </w:p>
                </w:tc>
              </w:sdtContent>
            </w:sdt>
            <w:sdt>
              <w:sdtPr>
                <w:rPr>
                  <w:szCs w:val="21"/>
                </w:rPr>
                <w:alias w:val="使用权资产累计折旧"/>
                <w:tag w:val="_GBC_5c5976dca1a94e139da6fac64c954c50"/>
                <w:id w:val="216788963"/>
                <w:lock w:val="sdtLocked"/>
                <w:showingPlcHdr/>
              </w:sdtPr>
              <w:sdtEndPr/>
              <w:sdtContent>
                <w:tc>
                  <w:tcPr>
                    <w:tcW w:w="1618" w:type="pct"/>
                    <w:shd w:val="clear" w:color="auto" w:fill="auto"/>
                  </w:tcPr>
                  <w:p w14:paraId="4652DE28" w14:textId="77777777" w:rsidR="00830E72" w:rsidRDefault="008344D8">
                    <w:pPr>
                      <w:spacing w:line="240" w:lineRule="atLeast"/>
                      <w:jc w:val="right"/>
                      <w:rPr>
                        <w:szCs w:val="21"/>
                      </w:rPr>
                    </w:pPr>
                    <w:r>
                      <w:rPr>
                        <w:rStyle w:val="Style141"/>
                        <w:rFonts w:hint="eastAsia"/>
                      </w:rPr>
                      <w:t xml:space="preserve">　</w:t>
                    </w:r>
                  </w:p>
                </w:tc>
              </w:sdtContent>
            </w:sdt>
          </w:tr>
          <w:tr w:rsidR="00830E72" w14:paraId="6F743676" w14:textId="77777777">
            <w:trPr>
              <w:trHeight w:val="284"/>
            </w:trPr>
            <w:sdt>
              <w:sdtPr>
                <w:tag w:val="_PLD_217b7f3bca984b1e9148b657f60c578a"/>
                <w:id w:val="-764917491"/>
                <w:lock w:val="sdtLocked"/>
              </w:sdtPr>
              <w:sdtEndPr/>
              <w:sdtContent>
                <w:tc>
                  <w:tcPr>
                    <w:tcW w:w="1878" w:type="pct"/>
                    <w:shd w:val="clear" w:color="auto" w:fill="auto"/>
                    <w:vAlign w:val="center"/>
                  </w:tcPr>
                  <w:p w14:paraId="463B9A30" w14:textId="77777777" w:rsidR="00830E72" w:rsidRDefault="008344D8">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累计折旧增加"/>
                <w:tag w:val="_GBC_30e838b31a2344d0acb83c67997b16d1"/>
                <w:id w:val="290945019"/>
                <w:lock w:val="sdtLocked"/>
              </w:sdtPr>
              <w:sdtEndPr/>
              <w:sdtContent>
                <w:tc>
                  <w:tcPr>
                    <w:tcW w:w="1504" w:type="pct"/>
                    <w:shd w:val="clear" w:color="auto" w:fill="auto"/>
                  </w:tcPr>
                  <w:p w14:paraId="77970C8F" w14:textId="77777777" w:rsidR="00830E72" w:rsidRDefault="008344D8">
                    <w:pPr>
                      <w:spacing w:line="240" w:lineRule="atLeast"/>
                      <w:jc w:val="right"/>
                      <w:rPr>
                        <w:szCs w:val="21"/>
                      </w:rPr>
                    </w:pPr>
                    <w:r>
                      <w:rPr>
                        <w:szCs w:val="21"/>
                      </w:rPr>
                      <w:t>1</w:t>
                    </w:r>
                    <w:r>
                      <w:rPr>
                        <w:rFonts w:hint="eastAsia"/>
                        <w:szCs w:val="21"/>
                      </w:rPr>
                      <w:t>,</w:t>
                    </w:r>
                    <w:r>
                      <w:rPr>
                        <w:szCs w:val="21"/>
                      </w:rPr>
                      <w:t>188</w:t>
                    </w:r>
                    <w:r>
                      <w:rPr>
                        <w:rFonts w:hint="eastAsia"/>
                        <w:szCs w:val="21"/>
                      </w:rPr>
                      <w:t>,</w:t>
                    </w:r>
                    <w:r>
                      <w:rPr>
                        <w:szCs w:val="21"/>
                      </w:rPr>
                      <w:t>343.87</w:t>
                    </w:r>
                  </w:p>
                </w:tc>
              </w:sdtContent>
            </w:sdt>
            <w:sdt>
              <w:sdtPr>
                <w:rPr>
                  <w:szCs w:val="21"/>
                </w:rPr>
                <w:alias w:val="使用权资产累计折旧增加"/>
                <w:tag w:val="_GBC_04fdf39eca0f40e2abbf616fa83850c0"/>
                <w:id w:val="-55322542"/>
                <w:lock w:val="sdtLocked"/>
              </w:sdtPr>
              <w:sdtEndPr/>
              <w:sdtContent>
                <w:tc>
                  <w:tcPr>
                    <w:tcW w:w="1618" w:type="pct"/>
                    <w:shd w:val="clear" w:color="auto" w:fill="auto"/>
                  </w:tcPr>
                  <w:p w14:paraId="78C9C414" w14:textId="77777777" w:rsidR="00830E72" w:rsidRDefault="008344D8">
                    <w:pPr>
                      <w:spacing w:line="240" w:lineRule="atLeast"/>
                      <w:jc w:val="right"/>
                      <w:rPr>
                        <w:szCs w:val="21"/>
                      </w:rPr>
                    </w:pPr>
                    <w:r>
                      <w:rPr>
                        <w:szCs w:val="21"/>
                      </w:rPr>
                      <w:t>1</w:t>
                    </w:r>
                    <w:r>
                      <w:rPr>
                        <w:rFonts w:hint="eastAsia"/>
                        <w:szCs w:val="21"/>
                      </w:rPr>
                      <w:t>,</w:t>
                    </w:r>
                    <w:r>
                      <w:rPr>
                        <w:szCs w:val="21"/>
                      </w:rPr>
                      <w:t>188</w:t>
                    </w:r>
                    <w:r>
                      <w:rPr>
                        <w:rFonts w:hint="eastAsia"/>
                        <w:szCs w:val="21"/>
                      </w:rPr>
                      <w:t>,</w:t>
                    </w:r>
                    <w:r>
                      <w:rPr>
                        <w:szCs w:val="21"/>
                      </w:rPr>
                      <w:t>343.87</w:t>
                    </w:r>
                  </w:p>
                </w:tc>
              </w:sdtContent>
            </w:sdt>
          </w:tr>
          <w:tr w:rsidR="00830E72" w14:paraId="449BFC85" w14:textId="77777777">
            <w:trPr>
              <w:trHeight w:val="284"/>
            </w:trPr>
            <w:sdt>
              <w:sdtPr>
                <w:tag w:val="_PLD_c5cff13f53f547b2b4c43791a1454f16"/>
                <w:id w:val="-1708172088"/>
                <w:lock w:val="sdtLocked"/>
              </w:sdtPr>
              <w:sdtEndPr/>
              <w:sdtContent>
                <w:tc>
                  <w:tcPr>
                    <w:tcW w:w="1878" w:type="pct"/>
                    <w:shd w:val="clear" w:color="auto" w:fill="auto"/>
                    <w:vAlign w:val="center"/>
                  </w:tcPr>
                  <w:p w14:paraId="585A4F2B" w14:textId="77777777" w:rsidR="00830E72" w:rsidRDefault="008344D8">
                    <w:pPr>
                      <w:spacing w:line="240" w:lineRule="atLeast"/>
                      <w:ind w:firstLineChars="300" w:firstLine="630"/>
                      <w:rPr>
                        <w:szCs w:val="21"/>
                      </w:rPr>
                    </w:pPr>
                    <w:r>
                      <w:rPr>
                        <w:szCs w:val="21"/>
                      </w:rPr>
                      <w:t>(1)计提</w:t>
                    </w:r>
                  </w:p>
                </w:tc>
              </w:sdtContent>
            </w:sdt>
            <w:sdt>
              <w:sdtPr>
                <w:rPr>
                  <w:szCs w:val="21"/>
                </w:rPr>
                <w:alias w:val="使用权资产明细-计提导致的累计折旧增加"/>
                <w:tag w:val="_GBC_eca0c64a8da54245b08a966a6139eee7"/>
                <w:id w:val="925847113"/>
                <w:lock w:val="sdtLocked"/>
                <w:showingPlcHdr/>
              </w:sdtPr>
              <w:sdtEndPr/>
              <w:sdtContent>
                <w:tc>
                  <w:tcPr>
                    <w:tcW w:w="1504" w:type="pct"/>
                    <w:shd w:val="clear" w:color="auto" w:fill="auto"/>
                  </w:tcPr>
                  <w:p w14:paraId="1B9BF9AB" w14:textId="77777777" w:rsidR="00830E72" w:rsidRDefault="008344D8">
                    <w:pPr>
                      <w:spacing w:line="240" w:lineRule="atLeast"/>
                      <w:jc w:val="right"/>
                      <w:rPr>
                        <w:szCs w:val="21"/>
                      </w:rPr>
                    </w:pPr>
                    <w:r>
                      <w:rPr>
                        <w:rStyle w:val="Style141"/>
                        <w:rFonts w:hint="eastAsia"/>
                      </w:rPr>
                      <w:t xml:space="preserve">　</w:t>
                    </w:r>
                  </w:p>
                </w:tc>
              </w:sdtContent>
            </w:sdt>
            <w:sdt>
              <w:sdtPr>
                <w:rPr>
                  <w:szCs w:val="21"/>
                </w:rPr>
                <w:alias w:val="使用权资产计提导致的累计折旧增加"/>
                <w:tag w:val="_GBC_99e847bff39043dfad6af7a482c70a79"/>
                <w:id w:val="-1271009613"/>
                <w:lock w:val="sdtLocked"/>
                <w:showingPlcHdr/>
              </w:sdtPr>
              <w:sdtEndPr/>
              <w:sdtContent>
                <w:tc>
                  <w:tcPr>
                    <w:tcW w:w="1618" w:type="pct"/>
                    <w:shd w:val="clear" w:color="auto" w:fill="auto"/>
                  </w:tcPr>
                  <w:p w14:paraId="49C5CED1" w14:textId="77777777" w:rsidR="00830E72" w:rsidRDefault="008344D8">
                    <w:pPr>
                      <w:spacing w:line="240" w:lineRule="atLeast"/>
                      <w:jc w:val="right"/>
                      <w:rPr>
                        <w:szCs w:val="21"/>
                      </w:rPr>
                    </w:pPr>
                    <w:r>
                      <w:rPr>
                        <w:rStyle w:val="Style141"/>
                        <w:rFonts w:hint="eastAsia"/>
                      </w:rPr>
                      <w:t xml:space="preserve">　</w:t>
                    </w:r>
                  </w:p>
                </w:tc>
              </w:sdtContent>
            </w:sdt>
          </w:tr>
          <w:tr w:rsidR="00830E72" w14:paraId="12ECB7E3" w14:textId="77777777">
            <w:trPr>
              <w:trHeight w:val="284"/>
            </w:trPr>
            <w:sdt>
              <w:sdtPr>
                <w:tag w:val="_PLD_74a88ffcb94e429ba842908a6c9f7dea"/>
                <w:id w:val="1124205829"/>
                <w:lock w:val="sdtLocked"/>
              </w:sdtPr>
              <w:sdtEndPr/>
              <w:sdtContent>
                <w:tc>
                  <w:tcPr>
                    <w:tcW w:w="1878" w:type="pct"/>
                    <w:shd w:val="clear" w:color="auto" w:fill="auto"/>
                    <w:vAlign w:val="center"/>
                  </w:tcPr>
                  <w:p w14:paraId="2F3356EE" w14:textId="77777777" w:rsidR="00830E72" w:rsidRDefault="008344D8">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sdtContent>
            </w:sdt>
            <w:sdt>
              <w:sdtPr>
                <w:rPr>
                  <w:szCs w:val="21"/>
                </w:rPr>
                <w:alias w:val="使用权资产明细-累计折旧减少"/>
                <w:tag w:val="_GBC_fb6b3d96d26e4d50a9282198926a5a46"/>
                <w:id w:val="115184736"/>
                <w:lock w:val="sdtLocked"/>
                <w:showingPlcHdr/>
              </w:sdtPr>
              <w:sdtEndPr/>
              <w:sdtContent>
                <w:tc>
                  <w:tcPr>
                    <w:tcW w:w="1504" w:type="pct"/>
                    <w:shd w:val="clear" w:color="auto" w:fill="auto"/>
                  </w:tcPr>
                  <w:p w14:paraId="5F9AAF6B" w14:textId="77777777" w:rsidR="00830E72" w:rsidRDefault="008344D8">
                    <w:pPr>
                      <w:spacing w:line="240" w:lineRule="atLeast"/>
                      <w:jc w:val="right"/>
                      <w:rPr>
                        <w:szCs w:val="21"/>
                      </w:rPr>
                    </w:pPr>
                    <w:r>
                      <w:rPr>
                        <w:rStyle w:val="Style141"/>
                        <w:rFonts w:hint="eastAsia"/>
                      </w:rPr>
                      <w:t xml:space="preserve">　</w:t>
                    </w:r>
                  </w:p>
                </w:tc>
              </w:sdtContent>
            </w:sdt>
            <w:sdt>
              <w:sdtPr>
                <w:rPr>
                  <w:szCs w:val="21"/>
                </w:rPr>
                <w:alias w:val="使用权资产累计折旧减少"/>
                <w:tag w:val="_GBC_182c07412ff64d06a77c86487db48ffa"/>
                <w:id w:val="-1400206032"/>
                <w:lock w:val="sdtLocked"/>
                <w:showingPlcHdr/>
              </w:sdtPr>
              <w:sdtEndPr/>
              <w:sdtContent>
                <w:tc>
                  <w:tcPr>
                    <w:tcW w:w="1618" w:type="pct"/>
                    <w:shd w:val="clear" w:color="auto" w:fill="auto"/>
                  </w:tcPr>
                  <w:p w14:paraId="4C48763C" w14:textId="77777777" w:rsidR="00830E72" w:rsidRDefault="008344D8">
                    <w:pPr>
                      <w:spacing w:line="240" w:lineRule="atLeast"/>
                      <w:jc w:val="right"/>
                      <w:rPr>
                        <w:szCs w:val="21"/>
                      </w:rPr>
                    </w:pPr>
                    <w:r>
                      <w:rPr>
                        <w:rStyle w:val="Style141"/>
                        <w:rFonts w:hint="eastAsia"/>
                      </w:rPr>
                      <w:t xml:space="preserve">　</w:t>
                    </w:r>
                  </w:p>
                </w:tc>
              </w:sdtContent>
            </w:sdt>
          </w:tr>
          <w:tr w:rsidR="00830E72" w14:paraId="65626AD7" w14:textId="77777777">
            <w:trPr>
              <w:trHeight w:val="284"/>
            </w:trPr>
            <w:sdt>
              <w:sdtPr>
                <w:tag w:val="_PLD_9d1f18a4d0d64b789c36d13861afaa48"/>
                <w:id w:val="-445621811"/>
                <w:lock w:val="sdtLocked"/>
              </w:sdtPr>
              <w:sdtEndPr/>
              <w:sdtContent>
                <w:tc>
                  <w:tcPr>
                    <w:tcW w:w="1878" w:type="pct"/>
                    <w:shd w:val="clear" w:color="auto" w:fill="auto"/>
                    <w:vAlign w:val="center"/>
                  </w:tcPr>
                  <w:p w14:paraId="1E573C02" w14:textId="77777777" w:rsidR="00830E72" w:rsidRDefault="008344D8">
                    <w:pPr>
                      <w:spacing w:line="240" w:lineRule="atLeast"/>
                      <w:ind w:firstLineChars="300" w:firstLine="630"/>
                      <w:rPr>
                        <w:szCs w:val="21"/>
                      </w:rPr>
                    </w:pPr>
                    <w:r>
                      <w:rPr>
                        <w:szCs w:val="21"/>
                      </w:rPr>
                      <w:t>(1)</w:t>
                    </w:r>
                    <w:r>
                      <w:rPr>
                        <w:rFonts w:hint="eastAsia"/>
                        <w:szCs w:val="21"/>
                      </w:rPr>
                      <w:t>处置</w:t>
                    </w:r>
                  </w:p>
                </w:tc>
              </w:sdtContent>
            </w:sdt>
            <w:sdt>
              <w:sdtPr>
                <w:rPr>
                  <w:szCs w:val="21"/>
                </w:rPr>
                <w:alias w:val="使用权资产明细-处置导致的累计折旧减少"/>
                <w:tag w:val="_GBC_0f8695aa2415494c89174c1fee60af1d"/>
                <w:id w:val="264665571"/>
                <w:lock w:val="sdtLocked"/>
                <w:showingPlcHdr/>
              </w:sdtPr>
              <w:sdtEndPr/>
              <w:sdtContent>
                <w:tc>
                  <w:tcPr>
                    <w:tcW w:w="1504" w:type="pct"/>
                    <w:shd w:val="clear" w:color="auto" w:fill="auto"/>
                  </w:tcPr>
                  <w:p w14:paraId="13A5E994" w14:textId="77777777" w:rsidR="00830E72" w:rsidRDefault="008344D8">
                    <w:pPr>
                      <w:spacing w:line="240" w:lineRule="atLeast"/>
                      <w:jc w:val="right"/>
                      <w:rPr>
                        <w:szCs w:val="21"/>
                      </w:rPr>
                    </w:pPr>
                    <w:r>
                      <w:rPr>
                        <w:rStyle w:val="Style141"/>
                        <w:rFonts w:hint="eastAsia"/>
                      </w:rPr>
                      <w:t xml:space="preserve">　</w:t>
                    </w:r>
                  </w:p>
                </w:tc>
              </w:sdtContent>
            </w:sdt>
            <w:sdt>
              <w:sdtPr>
                <w:rPr>
                  <w:szCs w:val="21"/>
                </w:rPr>
                <w:alias w:val="使用权资产处置导致的累计折旧减少"/>
                <w:tag w:val="_GBC_c527122e6a23425f84c18b75a8c11bdd"/>
                <w:id w:val="528687089"/>
                <w:lock w:val="sdtLocked"/>
                <w:showingPlcHdr/>
              </w:sdtPr>
              <w:sdtEndPr/>
              <w:sdtContent>
                <w:tc>
                  <w:tcPr>
                    <w:tcW w:w="1618" w:type="pct"/>
                    <w:shd w:val="clear" w:color="auto" w:fill="auto"/>
                  </w:tcPr>
                  <w:p w14:paraId="5EFE85DD" w14:textId="77777777" w:rsidR="00830E72" w:rsidRDefault="008344D8">
                    <w:pPr>
                      <w:spacing w:line="240" w:lineRule="atLeast"/>
                      <w:jc w:val="right"/>
                      <w:rPr>
                        <w:szCs w:val="21"/>
                      </w:rPr>
                    </w:pPr>
                    <w:r>
                      <w:rPr>
                        <w:rStyle w:val="Style141"/>
                        <w:rFonts w:hint="eastAsia"/>
                      </w:rPr>
                      <w:t xml:space="preserve">　</w:t>
                    </w:r>
                  </w:p>
                </w:tc>
              </w:sdtContent>
            </w:sdt>
          </w:tr>
          <w:tr w:rsidR="00830E72" w14:paraId="4BB875DF" w14:textId="77777777">
            <w:trPr>
              <w:trHeight w:val="284"/>
            </w:trPr>
            <w:sdt>
              <w:sdtPr>
                <w:tag w:val="_PLD_7acfb13844c6472295c20fd22554cb75"/>
                <w:id w:val="-118310424"/>
                <w:lock w:val="sdtLocked"/>
              </w:sdtPr>
              <w:sdtEndPr/>
              <w:sdtContent>
                <w:tc>
                  <w:tcPr>
                    <w:tcW w:w="1878" w:type="pct"/>
                    <w:shd w:val="clear" w:color="auto" w:fill="auto"/>
                    <w:vAlign w:val="center"/>
                  </w:tcPr>
                  <w:p w14:paraId="0BA9A81B" w14:textId="77777777" w:rsidR="00830E72" w:rsidRDefault="008344D8">
                    <w:pPr>
                      <w:spacing w:line="240" w:lineRule="atLeast"/>
                      <w:ind w:firstLineChars="200" w:firstLine="420"/>
                      <w:rPr>
                        <w:szCs w:val="21"/>
                      </w:rPr>
                    </w:pPr>
                    <w:r>
                      <w:rPr>
                        <w:rFonts w:hint="eastAsia"/>
                        <w:szCs w:val="21"/>
                      </w:rPr>
                      <w:t>4.</w:t>
                    </w:r>
                    <w:r>
                      <w:rPr>
                        <w:szCs w:val="21"/>
                      </w:rPr>
                      <w:t>期末余额</w:t>
                    </w:r>
                  </w:p>
                </w:tc>
              </w:sdtContent>
            </w:sdt>
            <w:sdt>
              <w:sdtPr>
                <w:rPr>
                  <w:szCs w:val="21"/>
                </w:rPr>
                <w:alias w:val="使用权资产明细-累计折旧"/>
                <w:tag w:val="_GBC_710540a263bf464f92e9c57efeb7876e"/>
                <w:id w:val="1794791703"/>
                <w:lock w:val="sdtLocked"/>
              </w:sdtPr>
              <w:sdtEndPr/>
              <w:sdtContent>
                <w:tc>
                  <w:tcPr>
                    <w:tcW w:w="1504" w:type="pct"/>
                    <w:shd w:val="clear" w:color="auto" w:fill="auto"/>
                  </w:tcPr>
                  <w:p w14:paraId="06A2B9CD" w14:textId="77777777" w:rsidR="00830E72" w:rsidRDefault="008344D8">
                    <w:pPr>
                      <w:spacing w:line="240" w:lineRule="atLeast"/>
                      <w:jc w:val="right"/>
                      <w:rPr>
                        <w:szCs w:val="21"/>
                      </w:rPr>
                    </w:pPr>
                    <w:r>
                      <w:rPr>
                        <w:szCs w:val="21"/>
                      </w:rPr>
                      <w:t>1,188,343.87</w:t>
                    </w:r>
                  </w:p>
                </w:tc>
              </w:sdtContent>
            </w:sdt>
            <w:sdt>
              <w:sdtPr>
                <w:rPr>
                  <w:szCs w:val="21"/>
                </w:rPr>
                <w:alias w:val="使用权资产累计折旧"/>
                <w:tag w:val="_GBC_99b7e0aec39c48708e812ece4f57f7df"/>
                <w:id w:val="-843313407"/>
                <w:lock w:val="sdtLocked"/>
              </w:sdtPr>
              <w:sdtEndPr/>
              <w:sdtContent>
                <w:tc>
                  <w:tcPr>
                    <w:tcW w:w="1618" w:type="pct"/>
                    <w:shd w:val="clear" w:color="auto" w:fill="auto"/>
                  </w:tcPr>
                  <w:p w14:paraId="2BBEA479" w14:textId="77777777" w:rsidR="00830E72" w:rsidRDefault="008344D8">
                    <w:pPr>
                      <w:spacing w:line="240" w:lineRule="atLeast"/>
                      <w:jc w:val="right"/>
                      <w:rPr>
                        <w:szCs w:val="21"/>
                      </w:rPr>
                    </w:pPr>
                    <w:r>
                      <w:rPr>
                        <w:szCs w:val="21"/>
                      </w:rPr>
                      <w:t>1</w:t>
                    </w:r>
                    <w:r>
                      <w:rPr>
                        <w:rFonts w:hint="eastAsia"/>
                        <w:szCs w:val="21"/>
                      </w:rPr>
                      <w:t>,</w:t>
                    </w:r>
                    <w:r>
                      <w:rPr>
                        <w:szCs w:val="21"/>
                      </w:rPr>
                      <w:t>188</w:t>
                    </w:r>
                    <w:r>
                      <w:rPr>
                        <w:rFonts w:hint="eastAsia"/>
                        <w:szCs w:val="21"/>
                      </w:rPr>
                      <w:t>,</w:t>
                    </w:r>
                    <w:r>
                      <w:rPr>
                        <w:szCs w:val="21"/>
                      </w:rPr>
                      <w:t>343.87</w:t>
                    </w:r>
                  </w:p>
                </w:tc>
              </w:sdtContent>
            </w:sdt>
          </w:tr>
          <w:tr w:rsidR="00830E72" w14:paraId="3DFC9271" w14:textId="77777777">
            <w:trPr>
              <w:trHeight w:val="284"/>
            </w:trPr>
            <w:sdt>
              <w:sdtPr>
                <w:tag w:val="_PLD_977579b288954e92aacbdc72b4e58579"/>
                <w:id w:val="-205098536"/>
                <w:lock w:val="sdtLocked"/>
              </w:sdtPr>
              <w:sdtEndPr/>
              <w:sdtContent>
                <w:tc>
                  <w:tcPr>
                    <w:tcW w:w="1878" w:type="pct"/>
                    <w:shd w:val="clear" w:color="auto" w:fill="auto"/>
                    <w:vAlign w:val="center"/>
                  </w:tcPr>
                  <w:p w14:paraId="7E8EC386" w14:textId="77777777" w:rsidR="00830E72" w:rsidRDefault="008344D8">
                    <w:pPr>
                      <w:spacing w:line="240" w:lineRule="atLeast"/>
                      <w:rPr>
                        <w:szCs w:val="21"/>
                      </w:rPr>
                    </w:pPr>
                    <w:r>
                      <w:rPr>
                        <w:szCs w:val="21"/>
                      </w:rPr>
                      <w:t>三、减值准备</w:t>
                    </w:r>
                  </w:p>
                </w:tc>
              </w:sdtContent>
            </w:sdt>
            <w:tc>
              <w:tcPr>
                <w:tcW w:w="1504" w:type="pct"/>
                <w:shd w:val="clear" w:color="auto" w:fill="auto"/>
              </w:tcPr>
              <w:p w14:paraId="45EFF1E0" w14:textId="77777777" w:rsidR="00830E72" w:rsidRDefault="00830E72">
                <w:pPr>
                  <w:spacing w:line="240" w:lineRule="atLeast"/>
                  <w:jc w:val="right"/>
                  <w:rPr>
                    <w:szCs w:val="21"/>
                  </w:rPr>
                </w:pPr>
              </w:p>
            </w:tc>
            <w:tc>
              <w:tcPr>
                <w:tcW w:w="1618" w:type="pct"/>
                <w:shd w:val="clear" w:color="auto" w:fill="auto"/>
              </w:tcPr>
              <w:p w14:paraId="211F0481" w14:textId="77777777" w:rsidR="00830E72" w:rsidRDefault="00830E72">
                <w:pPr>
                  <w:spacing w:line="240" w:lineRule="atLeast"/>
                  <w:jc w:val="right"/>
                  <w:rPr>
                    <w:szCs w:val="21"/>
                  </w:rPr>
                </w:pPr>
              </w:p>
            </w:tc>
          </w:tr>
          <w:tr w:rsidR="00830E72" w14:paraId="533500A7" w14:textId="77777777">
            <w:trPr>
              <w:trHeight w:val="284"/>
            </w:trPr>
            <w:sdt>
              <w:sdtPr>
                <w:tag w:val="_PLD_451a3431a02f424d82ced950a4aa62d1"/>
                <w:id w:val="-545761356"/>
                <w:lock w:val="sdtLocked"/>
              </w:sdtPr>
              <w:sdtEndPr/>
              <w:sdtContent>
                <w:tc>
                  <w:tcPr>
                    <w:tcW w:w="1878" w:type="pct"/>
                    <w:shd w:val="clear" w:color="auto" w:fill="auto"/>
                    <w:vAlign w:val="center"/>
                  </w:tcPr>
                  <w:p w14:paraId="1D8AE121" w14:textId="77777777" w:rsidR="00830E72" w:rsidRDefault="008344D8">
                    <w:pPr>
                      <w:spacing w:line="240" w:lineRule="atLeast"/>
                      <w:ind w:firstLineChars="200" w:firstLine="420"/>
                      <w:rPr>
                        <w:szCs w:val="21"/>
                      </w:rPr>
                    </w:pPr>
                    <w:r>
                      <w:rPr>
                        <w:rFonts w:hint="eastAsia"/>
                        <w:szCs w:val="21"/>
                      </w:rPr>
                      <w:t>1.期</w:t>
                    </w:r>
                    <w:r>
                      <w:rPr>
                        <w:szCs w:val="21"/>
                      </w:rPr>
                      <w:t>初余额</w:t>
                    </w:r>
                  </w:p>
                </w:tc>
              </w:sdtContent>
            </w:sdt>
            <w:sdt>
              <w:sdtPr>
                <w:rPr>
                  <w:szCs w:val="21"/>
                </w:rPr>
                <w:alias w:val="使用权资产明细-减值准备"/>
                <w:tag w:val="_GBC_27e6e6a665bc4f7cb75fdccfac703399"/>
                <w:id w:val="1166979684"/>
                <w:lock w:val="sdtLocked"/>
                <w:showingPlcHdr/>
              </w:sdtPr>
              <w:sdtEndPr/>
              <w:sdtContent>
                <w:tc>
                  <w:tcPr>
                    <w:tcW w:w="1504" w:type="pct"/>
                    <w:shd w:val="clear" w:color="auto" w:fill="auto"/>
                  </w:tcPr>
                  <w:p w14:paraId="73EB6DED" w14:textId="77777777" w:rsidR="00830E72" w:rsidRDefault="008344D8">
                    <w:pPr>
                      <w:spacing w:line="240" w:lineRule="atLeast"/>
                      <w:jc w:val="right"/>
                      <w:rPr>
                        <w:szCs w:val="21"/>
                      </w:rPr>
                    </w:pPr>
                    <w:r>
                      <w:rPr>
                        <w:rStyle w:val="Style141"/>
                        <w:rFonts w:hint="eastAsia"/>
                      </w:rPr>
                      <w:t xml:space="preserve">　</w:t>
                    </w:r>
                  </w:p>
                </w:tc>
              </w:sdtContent>
            </w:sdt>
            <w:sdt>
              <w:sdtPr>
                <w:rPr>
                  <w:szCs w:val="21"/>
                </w:rPr>
                <w:alias w:val="使用权资产减值准备"/>
                <w:tag w:val="_GBC_c069caa344d649e8bf37ff39e190f387"/>
                <w:id w:val="-1684743907"/>
                <w:lock w:val="sdtLocked"/>
                <w:showingPlcHdr/>
              </w:sdtPr>
              <w:sdtEndPr/>
              <w:sdtContent>
                <w:tc>
                  <w:tcPr>
                    <w:tcW w:w="1618" w:type="pct"/>
                    <w:shd w:val="clear" w:color="auto" w:fill="auto"/>
                  </w:tcPr>
                  <w:p w14:paraId="29E50D1E" w14:textId="77777777" w:rsidR="00830E72" w:rsidRDefault="008344D8">
                    <w:pPr>
                      <w:spacing w:line="240" w:lineRule="atLeast"/>
                      <w:jc w:val="right"/>
                      <w:rPr>
                        <w:szCs w:val="21"/>
                      </w:rPr>
                    </w:pPr>
                    <w:r>
                      <w:rPr>
                        <w:rStyle w:val="Style141"/>
                        <w:rFonts w:hint="eastAsia"/>
                      </w:rPr>
                      <w:t xml:space="preserve">　</w:t>
                    </w:r>
                  </w:p>
                </w:tc>
              </w:sdtContent>
            </w:sdt>
          </w:tr>
          <w:tr w:rsidR="00830E72" w14:paraId="4FAB04DE" w14:textId="77777777">
            <w:trPr>
              <w:trHeight w:val="284"/>
            </w:trPr>
            <w:sdt>
              <w:sdtPr>
                <w:tag w:val="_PLD_47a737a9b30f4d8da4048f1415893c19"/>
                <w:id w:val="1065221699"/>
                <w:lock w:val="sdtLocked"/>
              </w:sdtPr>
              <w:sdtEndPr/>
              <w:sdtContent>
                <w:tc>
                  <w:tcPr>
                    <w:tcW w:w="1878" w:type="pct"/>
                    <w:shd w:val="clear" w:color="auto" w:fill="auto"/>
                    <w:vAlign w:val="center"/>
                  </w:tcPr>
                  <w:p w14:paraId="3366EED2" w14:textId="77777777" w:rsidR="00830E72" w:rsidRDefault="008344D8">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减值准备增加"/>
                <w:tag w:val="_GBC_f1f8b2d4952a4850be8769576373251c"/>
                <w:id w:val="587894538"/>
                <w:lock w:val="sdtLocked"/>
                <w:showingPlcHdr/>
              </w:sdtPr>
              <w:sdtEndPr/>
              <w:sdtContent>
                <w:tc>
                  <w:tcPr>
                    <w:tcW w:w="1504" w:type="pct"/>
                    <w:shd w:val="clear" w:color="auto" w:fill="auto"/>
                  </w:tcPr>
                  <w:p w14:paraId="0EE4B433" w14:textId="77777777" w:rsidR="00830E72" w:rsidRDefault="008344D8">
                    <w:pPr>
                      <w:spacing w:line="240" w:lineRule="atLeast"/>
                      <w:jc w:val="right"/>
                      <w:rPr>
                        <w:szCs w:val="21"/>
                      </w:rPr>
                    </w:pPr>
                    <w:r>
                      <w:rPr>
                        <w:rStyle w:val="Style141"/>
                        <w:rFonts w:hint="eastAsia"/>
                      </w:rPr>
                      <w:t xml:space="preserve">　</w:t>
                    </w:r>
                  </w:p>
                </w:tc>
              </w:sdtContent>
            </w:sdt>
            <w:sdt>
              <w:sdtPr>
                <w:rPr>
                  <w:szCs w:val="21"/>
                </w:rPr>
                <w:alias w:val="使用权资产减值准备增加"/>
                <w:tag w:val="_GBC_cf1909d3485d4a3787a1dbcefa412814"/>
                <w:id w:val="-882945096"/>
                <w:lock w:val="sdtLocked"/>
                <w:showingPlcHdr/>
              </w:sdtPr>
              <w:sdtEndPr/>
              <w:sdtContent>
                <w:tc>
                  <w:tcPr>
                    <w:tcW w:w="1618" w:type="pct"/>
                    <w:shd w:val="clear" w:color="auto" w:fill="auto"/>
                  </w:tcPr>
                  <w:p w14:paraId="76E1CE0F" w14:textId="77777777" w:rsidR="00830E72" w:rsidRDefault="008344D8">
                    <w:pPr>
                      <w:spacing w:line="240" w:lineRule="atLeast"/>
                      <w:jc w:val="right"/>
                      <w:rPr>
                        <w:szCs w:val="21"/>
                      </w:rPr>
                    </w:pPr>
                    <w:r>
                      <w:rPr>
                        <w:rStyle w:val="Style141"/>
                        <w:rFonts w:hint="eastAsia"/>
                      </w:rPr>
                      <w:t xml:space="preserve">　</w:t>
                    </w:r>
                  </w:p>
                </w:tc>
              </w:sdtContent>
            </w:sdt>
          </w:tr>
          <w:tr w:rsidR="00830E72" w14:paraId="67ACCA53" w14:textId="77777777">
            <w:trPr>
              <w:trHeight w:val="284"/>
            </w:trPr>
            <w:sdt>
              <w:sdtPr>
                <w:tag w:val="_PLD_26be3676b9774a9b8396fa4fa9f17098"/>
                <w:id w:val="-483846722"/>
                <w:lock w:val="sdtLocked"/>
              </w:sdtPr>
              <w:sdtEndPr/>
              <w:sdtContent>
                <w:tc>
                  <w:tcPr>
                    <w:tcW w:w="1878" w:type="pct"/>
                    <w:shd w:val="clear" w:color="auto" w:fill="auto"/>
                    <w:vAlign w:val="center"/>
                  </w:tcPr>
                  <w:p w14:paraId="6EE69662" w14:textId="77777777" w:rsidR="00830E72" w:rsidRDefault="008344D8">
                    <w:pPr>
                      <w:spacing w:line="240" w:lineRule="atLeast"/>
                      <w:ind w:firstLineChars="300" w:firstLine="630"/>
                      <w:rPr>
                        <w:szCs w:val="21"/>
                      </w:rPr>
                    </w:pPr>
                    <w:r>
                      <w:rPr>
                        <w:szCs w:val="21"/>
                      </w:rPr>
                      <w:t>(1)计提</w:t>
                    </w:r>
                  </w:p>
                </w:tc>
              </w:sdtContent>
            </w:sdt>
            <w:sdt>
              <w:sdtPr>
                <w:rPr>
                  <w:szCs w:val="21"/>
                </w:rPr>
                <w:alias w:val="使用权资产明细-计提导致的减值准备增加"/>
                <w:tag w:val="_GBC_5d4a64a97dc94c19805438da8c6ab478"/>
                <w:id w:val="518585635"/>
                <w:lock w:val="sdtLocked"/>
                <w:showingPlcHdr/>
              </w:sdtPr>
              <w:sdtEndPr/>
              <w:sdtContent>
                <w:tc>
                  <w:tcPr>
                    <w:tcW w:w="1504" w:type="pct"/>
                    <w:shd w:val="clear" w:color="auto" w:fill="auto"/>
                  </w:tcPr>
                  <w:p w14:paraId="1F24105C" w14:textId="77777777" w:rsidR="00830E72" w:rsidRDefault="008344D8">
                    <w:pPr>
                      <w:spacing w:line="240" w:lineRule="atLeast"/>
                      <w:jc w:val="right"/>
                      <w:rPr>
                        <w:szCs w:val="21"/>
                      </w:rPr>
                    </w:pPr>
                    <w:r>
                      <w:rPr>
                        <w:rStyle w:val="Style141"/>
                        <w:rFonts w:hint="eastAsia"/>
                      </w:rPr>
                      <w:t xml:space="preserve">　</w:t>
                    </w:r>
                  </w:p>
                </w:tc>
              </w:sdtContent>
            </w:sdt>
            <w:sdt>
              <w:sdtPr>
                <w:rPr>
                  <w:szCs w:val="21"/>
                </w:rPr>
                <w:alias w:val="使用权资产计提导致的减值准备增加"/>
                <w:tag w:val="_GBC_283120a8dc6944b9a690320018e1c280"/>
                <w:id w:val="2016498655"/>
                <w:lock w:val="sdtLocked"/>
                <w:showingPlcHdr/>
              </w:sdtPr>
              <w:sdtEndPr/>
              <w:sdtContent>
                <w:tc>
                  <w:tcPr>
                    <w:tcW w:w="1618" w:type="pct"/>
                    <w:shd w:val="clear" w:color="auto" w:fill="auto"/>
                  </w:tcPr>
                  <w:p w14:paraId="45945C7C" w14:textId="77777777" w:rsidR="00830E72" w:rsidRDefault="008344D8">
                    <w:pPr>
                      <w:spacing w:line="240" w:lineRule="atLeast"/>
                      <w:jc w:val="right"/>
                      <w:rPr>
                        <w:szCs w:val="21"/>
                      </w:rPr>
                    </w:pPr>
                    <w:r>
                      <w:rPr>
                        <w:rStyle w:val="Style141"/>
                        <w:rFonts w:hint="eastAsia"/>
                      </w:rPr>
                      <w:t xml:space="preserve">　</w:t>
                    </w:r>
                  </w:p>
                </w:tc>
              </w:sdtContent>
            </w:sdt>
          </w:tr>
          <w:tr w:rsidR="00830E72" w14:paraId="2D8A6A7A" w14:textId="77777777">
            <w:trPr>
              <w:trHeight w:val="284"/>
            </w:trPr>
            <w:sdt>
              <w:sdtPr>
                <w:tag w:val="_PLD_fd8e2e2eb1c94e01bbb88fa8f1e8d273"/>
                <w:id w:val="1918671792"/>
                <w:lock w:val="sdtLocked"/>
              </w:sdtPr>
              <w:sdtEndPr/>
              <w:sdtContent>
                <w:tc>
                  <w:tcPr>
                    <w:tcW w:w="1878" w:type="pct"/>
                    <w:shd w:val="clear" w:color="auto" w:fill="auto"/>
                    <w:vAlign w:val="center"/>
                  </w:tcPr>
                  <w:p w14:paraId="6ADAC4B7" w14:textId="77777777" w:rsidR="00830E72" w:rsidRDefault="008344D8">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sdtContent>
            </w:sdt>
            <w:sdt>
              <w:sdtPr>
                <w:rPr>
                  <w:szCs w:val="21"/>
                </w:rPr>
                <w:alias w:val="使用权资产明细-减值准备减少"/>
                <w:tag w:val="_GBC_b575c68addb54ddb8041c85aa9e131d6"/>
                <w:id w:val="-746961281"/>
                <w:lock w:val="sdtLocked"/>
                <w:showingPlcHdr/>
              </w:sdtPr>
              <w:sdtEndPr/>
              <w:sdtContent>
                <w:tc>
                  <w:tcPr>
                    <w:tcW w:w="1504" w:type="pct"/>
                    <w:shd w:val="clear" w:color="auto" w:fill="auto"/>
                  </w:tcPr>
                  <w:p w14:paraId="65B99644" w14:textId="77777777" w:rsidR="00830E72" w:rsidRDefault="008344D8">
                    <w:pPr>
                      <w:spacing w:line="240" w:lineRule="atLeast"/>
                      <w:jc w:val="right"/>
                      <w:rPr>
                        <w:szCs w:val="21"/>
                      </w:rPr>
                    </w:pPr>
                    <w:r>
                      <w:rPr>
                        <w:rStyle w:val="Style141"/>
                        <w:rFonts w:hint="eastAsia"/>
                      </w:rPr>
                      <w:t xml:space="preserve">　</w:t>
                    </w:r>
                  </w:p>
                </w:tc>
              </w:sdtContent>
            </w:sdt>
            <w:sdt>
              <w:sdtPr>
                <w:rPr>
                  <w:szCs w:val="21"/>
                </w:rPr>
                <w:alias w:val="使用权资产减值准备减少"/>
                <w:tag w:val="_GBC_8508e68e7521428db971997c1ccf68f1"/>
                <w:id w:val="-1515995648"/>
                <w:lock w:val="sdtLocked"/>
                <w:showingPlcHdr/>
              </w:sdtPr>
              <w:sdtEndPr/>
              <w:sdtContent>
                <w:tc>
                  <w:tcPr>
                    <w:tcW w:w="1618" w:type="pct"/>
                    <w:shd w:val="clear" w:color="auto" w:fill="auto"/>
                  </w:tcPr>
                  <w:p w14:paraId="1BC69D3A" w14:textId="77777777" w:rsidR="00830E72" w:rsidRDefault="008344D8">
                    <w:pPr>
                      <w:spacing w:line="240" w:lineRule="atLeast"/>
                      <w:jc w:val="right"/>
                      <w:rPr>
                        <w:szCs w:val="21"/>
                      </w:rPr>
                    </w:pPr>
                    <w:r>
                      <w:rPr>
                        <w:rStyle w:val="Style141"/>
                        <w:rFonts w:hint="eastAsia"/>
                      </w:rPr>
                      <w:t xml:space="preserve">　</w:t>
                    </w:r>
                  </w:p>
                </w:tc>
              </w:sdtContent>
            </w:sdt>
          </w:tr>
          <w:tr w:rsidR="00830E72" w14:paraId="082893DF" w14:textId="77777777">
            <w:trPr>
              <w:trHeight w:val="284"/>
            </w:trPr>
            <w:sdt>
              <w:sdtPr>
                <w:tag w:val="_PLD_039436c52bad480cb82e28e945ac6011"/>
                <w:id w:val="1678760679"/>
                <w:lock w:val="sdtLocked"/>
              </w:sdtPr>
              <w:sdtEndPr/>
              <w:sdtContent>
                <w:tc>
                  <w:tcPr>
                    <w:tcW w:w="1878" w:type="pct"/>
                    <w:shd w:val="clear" w:color="auto" w:fill="auto"/>
                    <w:vAlign w:val="center"/>
                  </w:tcPr>
                  <w:p w14:paraId="32238AD6" w14:textId="77777777" w:rsidR="00830E72" w:rsidRDefault="008344D8">
                    <w:pPr>
                      <w:spacing w:line="240" w:lineRule="atLeast"/>
                      <w:ind w:firstLineChars="300" w:firstLine="630"/>
                      <w:rPr>
                        <w:szCs w:val="21"/>
                      </w:rPr>
                    </w:pPr>
                    <w:r>
                      <w:rPr>
                        <w:szCs w:val="21"/>
                      </w:rPr>
                      <w:t>(1)</w:t>
                    </w:r>
                    <w:r>
                      <w:rPr>
                        <w:rFonts w:hint="eastAsia"/>
                        <w:szCs w:val="21"/>
                      </w:rPr>
                      <w:t>处置</w:t>
                    </w:r>
                  </w:p>
                </w:tc>
              </w:sdtContent>
            </w:sdt>
            <w:sdt>
              <w:sdtPr>
                <w:rPr>
                  <w:szCs w:val="21"/>
                </w:rPr>
                <w:alias w:val="使用权资产明细-处置导致的减值准备减少"/>
                <w:tag w:val="_GBC_fc379f4f5e874264a0b7917e8e5f7b8f"/>
                <w:id w:val="-448014542"/>
                <w:lock w:val="sdtLocked"/>
                <w:showingPlcHdr/>
              </w:sdtPr>
              <w:sdtEndPr/>
              <w:sdtContent>
                <w:tc>
                  <w:tcPr>
                    <w:tcW w:w="1504" w:type="pct"/>
                    <w:shd w:val="clear" w:color="auto" w:fill="auto"/>
                  </w:tcPr>
                  <w:p w14:paraId="1891F648" w14:textId="77777777" w:rsidR="00830E72" w:rsidRDefault="008344D8">
                    <w:pPr>
                      <w:spacing w:line="240" w:lineRule="atLeast"/>
                      <w:jc w:val="right"/>
                      <w:rPr>
                        <w:szCs w:val="21"/>
                      </w:rPr>
                    </w:pPr>
                    <w:r>
                      <w:rPr>
                        <w:rStyle w:val="Style141"/>
                        <w:rFonts w:hint="eastAsia"/>
                      </w:rPr>
                      <w:t xml:space="preserve">　</w:t>
                    </w:r>
                  </w:p>
                </w:tc>
              </w:sdtContent>
            </w:sdt>
            <w:sdt>
              <w:sdtPr>
                <w:rPr>
                  <w:szCs w:val="21"/>
                </w:rPr>
                <w:alias w:val="使用权资产处置导致的减值准备减少"/>
                <w:tag w:val="_GBC_b12f4ebe26a3412bb18711415fec7659"/>
                <w:id w:val="579790025"/>
                <w:lock w:val="sdtLocked"/>
                <w:showingPlcHdr/>
              </w:sdtPr>
              <w:sdtEndPr/>
              <w:sdtContent>
                <w:tc>
                  <w:tcPr>
                    <w:tcW w:w="1618" w:type="pct"/>
                    <w:shd w:val="clear" w:color="auto" w:fill="auto"/>
                  </w:tcPr>
                  <w:p w14:paraId="32A1E706" w14:textId="77777777" w:rsidR="00830E72" w:rsidRDefault="008344D8">
                    <w:pPr>
                      <w:spacing w:line="240" w:lineRule="atLeast"/>
                      <w:jc w:val="right"/>
                      <w:rPr>
                        <w:szCs w:val="21"/>
                      </w:rPr>
                    </w:pPr>
                    <w:r>
                      <w:rPr>
                        <w:rStyle w:val="Style141"/>
                        <w:rFonts w:hint="eastAsia"/>
                      </w:rPr>
                      <w:t xml:space="preserve">　</w:t>
                    </w:r>
                  </w:p>
                </w:tc>
              </w:sdtContent>
            </w:sdt>
          </w:tr>
          <w:tr w:rsidR="00830E72" w14:paraId="0152FBC4" w14:textId="77777777">
            <w:trPr>
              <w:trHeight w:val="284"/>
            </w:trPr>
            <w:sdt>
              <w:sdtPr>
                <w:tag w:val="_PLD_3170291c2496403c8098c91bdd6cebcd"/>
                <w:id w:val="-1789577688"/>
                <w:lock w:val="sdtLocked"/>
              </w:sdtPr>
              <w:sdtEndPr/>
              <w:sdtContent>
                <w:tc>
                  <w:tcPr>
                    <w:tcW w:w="1878" w:type="pct"/>
                    <w:shd w:val="clear" w:color="auto" w:fill="auto"/>
                    <w:vAlign w:val="center"/>
                  </w:tcPr>
                  <w:p w14:paraId="17BD7874" w14:textId="77777777" w:rsidR="00830E72" w:rsidRDefault="008344D8">
                    <w:pPr>
                      <w:spacing w:line="240" w:lineRule="atLeast"/>
                      <w:ind w:firstLineChars="200" w:firstLine="420"/>
                      <w:rPr>
                        <w:szCs w:val="21"/>
                      </w:rPr>
                    </w:pPr>
                    <w:r>
                      <w:rPr>
                        <w:rFonts w:hint="eastAsia"/>
                        <w:szCs w:val="21"/>
                      </w:rPr>
                      <w:t>4.</w:t>
                    </w:r>
                    <w:r>
                      <w:rPr>
                        <w:szCs w:val="21"/>
                      </w:rPr>
                      <w:t>期末余额</w:t>
                    </w:r>
                  </w:p>
                </w:tc>
              </w:sdtContent>
            </w:sdt>
            <w:sdt>
              <w:sdtPr>
                <w:rPr>
                  <w:szCs w:val="21"/>
                </w:rPr>
                <w:alias w:val="使用权资产明细-减值准备"/>
                <w:tag w:val="_GBC_d0d02d2ebed7413da2c65b876a24d32c"/>
                <w:id w:val="585884862"/>
                <w:lock w:val="sdtLocked"/>
                <w:showingPlcHdr/>
              </w:sdtPr>
              <w:sdtEndPr/>
              <w:sdtContent>
                <w:tc>
                  <w:tcPr>
                    <w:tcW w:w="1504" w:type="pct"/>
                    <w:shd w:val="clear" w:color="auto" w:fill="auto"/>
                  </w:tcPr>
                  <w:p w14:paraId="5AC2B495" w14:textId="77777777" w:rsidR="00830E72" w:rsidRDefault="008344D8">
                    <w:pPr>
                      <w:spacing w:line="240" w:lineRule="atLeast"/>
                      <w:jc w:val="right"/>
                      <w:rPr>
                        <w:szCs w:val="21"/>
                      </w:rPr>
                    </w:pPr>
                    <w:r>
                      <w:rPr>
                        <w:rStyle w:val="Style141"/>
                        <w:rFonts w:hint="eastAsia"/>
                      </w:rPr>
                      <w:t xml:space="preserve">　</w:t>
                    </w:r>
                  </w:p>
                </w:tc>
              </w:sdtContent>
            </w:sdt>
            <w:sdt>
              <w:sdtPr>
                <w:rPr>
                  <w:szCs w:val="21"/>
                </w:rPr>
                <w:alias w:val="使用权资产减值准备"/>
                <w:tag w:val="_GBC_41ce3320f4f948c69e0325d66e1fc514"/>
                <w:id w:val="935174445"/>
                <w:lock w:val="sdtLocked"/>
                <w:showingPlcHdr/>
              </w:sdtPr>
              <w:sdtEndPr/>
              <w:sdtContent>
                <w:tc>
                  <w:tcPr>
                    <w:tcW w:w="1618" w:type="pct"/>
                    <w:shd w:val="clear" w:color="auto" w:fill="auto"/>
                  </w:tcPr>
                  <w:p w14:paraId="7A96AC0A" w14:textId="77777777" w:rsidR="00830E72" w:rsidRDefault="008344D8">
                    <w:pPr>
                      <w:spacing w:line="240" w:lineRule="atLeast"/>
                      <w:jc w:val="right"/>
                      <w:rPr>
                        <w:szCs w:val="21"/>
                      </w:rPr>
                    </w:pPr>
                    <w:r>
                      <w:rPr>
                        <w:rStyle w:val="Style141"/>
                        <w:rFonts w:hint="eastAsia"/>
                      </w:rPr>
                      <w:t xml:space="preserve">　</w:t>
                    </w:r>
                  </w:p>
                </w:tc>
              </w:sdtContent>
            </w:sdt>
          </w:tr>
          <w:tr w:rsidR="00830E72" w14:paraId="0FD697A9" w14:textId="77777777">
            <w:trPr>
              <w:trHeight w:val="284"/>
            </w:trPr>
            <w:sdt>
              <w:sdtPr>
                <w:tag w:val="_PLD_a609076f16da4fedb37d9fc1d72dfd8f"/>
                <w:id w:val="-547840164"/>
                <w:lock w:val="sdtLocked"/>
              </w:sdtPr>
              <w:sdtEndPr/>
              <w:sdtContent>
                <w:tc>
                  <w:tcPr>
                    <w:tcW w:w="1878" w:type="pct"/>
                    <w:shd w:val="clear" w:color="auto" w:fill="auto"/>
                    <w:vAlign w:val="center"/>
                  </w:tcPr>
                  <w:p w14:paraId="679132B1" w14:textId="77777777" w:rsidR="00830E72" w:rsidRDefault="008344D8">
                    <w:pPr>
                      <w:spacing w:line="240" w:lineRule="atLeast"/>
                      <w:rPr>
                        <w:szCs w:val="21"/>
                      </w:rPr>
                    </w:pPr>
                    <w:r>
                      <w:rPr>
                        <w:szCs w:val="21"/>
                      </w:rPr>
                      <w:t>四、账面价值</w:t>
                    </w:r>
                  </w:p>
                </w:tc>
              </w:sdtContent>
            </w:sdt>
            <w:tc>
              <w:tcPr>
                <w:tcW w:w="1504" w:type="pct"/>
                <w:shd w:val="clear" w:color="auto" w:fill="auto"/>
              </w:tcPr>
              <w:p w14:paraId="48529BC0" w14:textId="77777777" w:rsidR="00830E72" w:rsidRDefault="00830E72">
                <w:pPr>
                  <w:spacing w:line="240" w:lineRule="atLeast"/>
                  <w:jc w:val="right"/>
                  <w:rPr>
                    <w:szCs w:val="21"/>
                  </w:rPr>
                </w:pPr>
              </w:p>
            </w:tc>
            <w:tc>
              <w:tcPr>
                <w:tcW w:w="1618" w:type="pct"/>
                <w:shd w:val="clear" w:color="auto" w:fill="auto"/>
              </w:tcPr>
              <w:p w14:paraId="242DE5D3" w14:textId="77777777" w:rsidR="00830E72" w:rsidRDefault="00830E72">
                <w:pPr>
                  <w:spacing w:line="240" w:lineRule="atLeast"/>
                  <w:jc w:val="right"/>
                  <w:rPr>
                    <w:szCs w:val="21"/>
                  </w:rPr>
                </w:pPr>
              </w:p>
            </w:tc>
          </w:tr>
          <w:tr w:rsidR="00830E72" w14:paraId="01FE26C0" w14:textId="77777777">
            <w:trPr>
              <w:trHeight w:val="284"/>
            </w:trPr>
            <w:sdt>
              <w:sdtPr>
                <w:tag w:val="_PLD_4674f60ab7b34201a998a840d9d08d8a"/>
                <w:id w:val="-847643713"/>
                <w:lock w:val="sdtLocked"/>
              </w:sdtPr>
              <w:sdtEndPr/>
              <w:sdtContent>
                <w:tc>
                  <w:tcPr>
                    <w:tcW w:w="1878" w:type="pct"/>
                    <w:shd w:val="clear" w:color="auto" w:fill="auto"/>
                    <w:vAlign w:val="center"/>
                  </w:tcPr>
                  <w:p w14:paraId="3684F73A" w14:textId="77777777" w:rsidR="00830E72" w:rsidRDefault="008344D8">
                    <w:pPr>
                      <w:spacing w:line="240" w:lineRule="atLeast"/>
                      <w:rPr>
                        <w:szCs w:val="21"/>
                      </w:rPr>
                    </w:pPr>
                    <w:r>
                      <w:rPr>
                        <w:szCs w:val="21"/>
                      </w:rPr>
                      <w:t xml:space="preserve">    1.期末账面价值</w:t>
                    </w:r>
                  </w:p>
                </w:tc>
              </w:sdtContent>
            </w:sdt>
            <w:sdt>
              <w:sdtPr>
                <w:rPr>
                  <w:szCs w:val="21"/>
                </w:rPr>
                <w:alias w:val="使用权资产明细-账面价值"/>
                <w:tag w:val="_GBC_2bb664ccfd7e4285b84d8fb7955354cb"/>
                <w:id w:val="-1627929052"/>
                <w:lock w:val="sdtLocked"/>
              </w:sdtPr>
              <w:sdtEndPr/>
              <w:sdtContent>
                <w:tc>
                  <w:tcPr>
                    <w:tcW w:w="1504" w:type="pct"/>
                    <w:shd w:val="clear" w:color="auto" w:fill="auto"/>
                  </w:tcPr>
                  <w:p w14:paraId="260D34D4" w14:textId="77777777" w:rsidR="00830E72" w:rsidRDefault="008344D8">
                    <w:pPr>
                      <w:spacing w:line="240" w:lineRule="atLeast"/>
                      <w:jc w:val="right"/>
                      <w:rPr>
                        <w:szCs w:val="21"/>
                      </w:rPr>
                    </w:pPr>
                    <w:r>
                      <w:rPr>
                        <w:szCs w:val="21"/>
                      </w:rPr>
                      <w:t>4,161,769.14</w:t>
                    </w:r>
                  </w:p>
                </w:tc>
              </w:sdtContent>
            </w:sdt>
            <w:sdt>
              <w:sdtPr>
                <w:rPr>
                  <w:szCs w:val="21"/>
                </w:rPr>
                <w:alias w:val="使用权资产"/>
                <w:tag w:val="_GBC_edf5285955b448ed844183547d426f66"/>
                <w:id w:val="-738094278"/>
                <w:lock w:val="sdtLocked"/>
              </w:sdtPr>
              <w:sdtEndPr/>
              <w:sdtContent>
                <w:tc>
                  <w:tcPr>
                    <w:tcW w:w="1618" w:type="pct"/>
                    <w:shd w:val="clear" w:color="auto" w:fill="auto"/>
                  </w:tcPr>
                  <w:p w14:paraId="63B06ACD" w14:textId="77777777" w:rsidR="00830E72" w:rsidRDefault="008344D8">
                    <w:pPr>
                      <w:spacing w:line="240" w:lineRule="atLeast"/>
                      <w:jc w:val="right"/>
                      <w:rPr>
                        <w:szCs w:val="21"/>
                      </w:rPr>
                    </w:pPr>
                    <w:r>
                      <w:rPr>
                        <w:szCs w:val="21"/>
                      </w:rPr>
                      <w:t>4,161,769.14</w:t>
                    </w:r>
                  </w:p>
                </w:tc>
              </w:sdtContent>
            </w:sdt>
          </w:tr>
          <w:tr w:rsidR="00830E72" w14:paraId="0EF08115" w14:textId="77777777">
            <w:trPr>
              <w:trHeight w:val="284"/>
            </w:trPr>
            <w:sdt>
              <w:sdtPr>
                <w:tag w:val="_PLD_a7e06de99a79495a885da295fe9ce70c"/>
                <w:id w:val="-1671161184"/>
                <w:lock w:val="sdtLocked"/>
              </w:sdtPr>
              <w:sdtEndPr/>
              <w:sdtContent>
                <w:tc>
                  <w:tcPr>
                    <w:tcW w:w="1878" w:type="pct"/>
                    <w:shd w:val="clear" w:color="auto" w:fill="auto"/>
                    <w:vAlign w:val="center"/>
                  </w:tcPr>
                  <w:p w14:paraId="0E2132EC" w14:textId="77777777" w:rsidR="00830E72" w:rsidRDefault="008344D8">
                    <w:pPr>
                      <w:spacing w:line="240" w:lineRule="atLeast"/>
                      <w:rPr>
                        <w:szCs w:val="21"/>
                      </w:rPr>
                    </w:pPr>
                    <w:r>
                      <w:rPr>
                        <w:szCs w:val="21"/>
                      </w:rPr>
                      <w:t xml:space="preserve">    2.期初账面价值</w:t>
                    </w:r>
                  </w:p>
                </w:tc>
              </w:sdtContent>
            </w:sdt>
            <w:sdt>
              <w:sdtPr>
                <w:rPr>
                  <w:szCs w:val="21"/>
                </w:rPr>
                <w:alias w:val="使用权资产明细-账面价值"/>
                <w:tag w:val="_GBC_fb48ddba17ca41f48409ce6b3fc26277"/>
                <w:id w:val="640313626"/>
                <w:lock w:val="sdtLocked"/>
              </w:sdtPr>
              <w:sdtEndPr/>
              <w:sdtContent>
                <w:tc>
                  <w:tcPr>
                    <w:tcW w:w="1504" w:type="pct"/>
                    <w:shd w:val="clear" w:color="auto" w:fill="auto"/>
                  </w:tcPr>
                  <w:p w14:paraId="2AAB50CB" w14:textId="77777777" w:rsidR="00830E72" w:rsidRDefault="008344D8">
                    <w:pPr>
                      <w:spacing w:line="240" w:lineRule="atLeast"/>
                      <w:jc w:val="right"/>
                      <w:rPr>
                        <w:szCs w:val="21"/>
                      </w:rPr>
                    </w:pPr>
                    <w:r>
                      <w:rPr>
                        <w:szCs w:val="21"/>
                      </w:rPr>
                      <w:t>5,350,113.01</w:t>
                    </w:r>
                  </w:p>
                </w:tc>
              </w:sdtContent>
            </w:sdt>
            <w:sdt>
              <w:sdtPr>
                <w:rPr>
                  <w:szCs w:val="21"/>
                </w:rPr>
                <w:alias w:val="使用权资产"/>
                <w:tag w:val="_GBC_c5f95837b99940e9bff8f606a3972d0a"/>
                <w:id w:val="-161858430"/>
                <w:lock w:val="sdtLocked"/>
              </w:sdtPr>
              <w:sdtEndPr/>
              <w:sdtContent>
                <w:tc>
                  <w:tcPr>
                    <w:tcW w:w="1618" w:type="pct"/>
                    <w:shd w:val="clear" w:color="auto" w:fill="auto"/>
                  </w:tcPr>
                  <w:p w14:paraId="09474A0D" w14:textId="77777777" w:rsidR="00830E72" w:rsidRDefault="008344D8">
                    <w:pPr>
                      <w:spacing w:line="240" w:lineRule="atLeast"/>
                      <w:jc w:val="right"/>
                      <w:rPr>
                        <w:szCs w:val="21"/>
                      </w:rPr>
                    </w:pPr>
                    <w:r>
                      <w:rPr>
                        <w:szCs w:val="21"/>
                      </w:rPr>
                      <w:t>5,350,113.01</w:t>
                    </w:r>
                  </w:p>
                </w:tc>
              </w:sdtContent>
            </w:sdt>
          </w:tr>
        </w:tbl>
        <w:p w14:paraId="3B94CA7C" w14:textId="77777777" w:rsidR="00830E72" w:rsidRDefault="00D44830"/>
      </w:sdtContent>
    </w:sdt>
    <w:bookmarkEnd w:id="149"/>
    <w:p w14:paraId="5628D84E"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无形资产</w:t>
      </w:r>
    </w:p>
    <w:p w14:paraId="77FEF955" w14:textId="77777777" w:rsidR="00830E72" w:rsidRDefault="008344D8">
      <w:pPr>
        <w:pStyle w:val="Style100"/>
        <w:numPr>
          <w:ilvl w:val="0"/>
          <w:numId w:val="61"/>
        </w:numPr>
        <w:tabs>
          <w:tab w:val="left" w:pos="602"/>
        </w:tabs>
        <w:rPr>
          <w:rFonts w:ascii="宋体" w:hAnsi="宋体"/>
          <w:szCs w:val="21"/>
        </w:rPr>
      </w:pPr>
      <w:r>
        <w:rPr>
          <w:rFonts w:ascii="宋体" w:hAnsi="宋体" w:hint="eastAsia"/>
          <w:szCs w:val="21"/>
        </w:rPr>
        <w:t>无形资产情况</w:t>
      </w:r>
    </w:p>
    <w:p w14:paraId="0BB01949" w14:textId="77777777" w:rsidR="00830E72" w:rsidRDefault="00D44830">
      <w:sdt>
        <w:sdtPr>
          <w:rPr>
            <w:rFonts w:hint="eastAsia"/>
          </w:rPr>
          <w:alias w:val="是否适用：无形资产情况[双击切换]"/>
          <w:tag w:val="_GBC_0882d05501f84259b91efc5f2eae98cf"/>
          <w:id w:val="1453363611"/>
          <w:lock w:val="sdtContentLocked"/>
          <w:placeholder>
            <w:docPart w:val="GBC22222222222222222222222222222"/>
          </w:placeholder>
        </w:sdtPr>
        <w:sdtEndPr/>
        <w:sdtContent>
          <w:r w:rsidR="008344D8">
            <w:fldChar w:fldCharType="begin"/>
          </w:r>
          <w:r w:rsidR="008344D8">
            <w:instrText xml:space="preserve"> MACROBUTTON  SnrToggleCheckbox √适用 </w:instrText>
          </w:r>
          <w:r w:rsidR="008344D8">
            <w:fldChar w:fldCharType="end"/>
          </w:r>
          <w:r w:rsidR="008344D8">
            <w:fldChar w:fldCharType="begin"/>
          </w:r>
          <w:r w:rsidR="008344D8">
            <w:instrText xml:space="preserve"> MACROBUTTON  SnrToggleCheckbox □不适用 </w:instrText>
          </w:r>
          <w:r w:rsidR="008344D8">
            <w:fldChar w:fldCharType="end"/>
          </w:r>
        </w:sdtContent>
      </w:sdt>
    </w:p>
    <w:sdt>
      <w:sdtPr>
        <w:rPr>
          <w:rFonts w:hint="eastAsia"/>
          <w:b/>
          <w:bCs/>
          <w:szCs w:val="21"/>
        </w:rPr>
        <w:alias w:val="模块:无形资产情况"/>
        <w:tag w:val="_GBC_799ffdb131784d33a2db94a85018c927"/>
        <w:id w:val="289020405"/>
        <w:lock w:val="sdtLocked"/>
        <w:placeholder>
          <w:docPart w:val="GBC22222222222222222222222222222"/>
        </w:placeholder>
      </w:sdtPr>
      <w:sdtEndPr>
        <w:rPr>
          <w:rFonts w:hint="default"/>
          <w:b w:val="0"/>
          <w:bCs w:val="0"/>
        </w:rPr>
      </w:sdtEndPr>
      <w:sdtContent>
        <w:p w14:paraId="7DC6AC1B" w14:textId="77777777" w:rsidR="00830E72" w:rsidRDefault="008344D8">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e04514c8858e489490302ba7c2e1448a"/>
              <w:id w:val="11144829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5ac7324577934f838e3655199c980c1c"/>
              <w:id w:val="12433748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1311"/>
            <w:gridCol w:w="1028"/>
            <w:gridCol w:w="1303"/>
            <w:gridCol w:w="1513"/>
            <w:gridCol w:w="1573"/>
          </w:tblGrid>
          <w:tr w:rsidR="00830E72" w14:paraId="7718625C" w14:textId="77777777">
            <w:trPr>
              <w:trHeight w:val="284"/>
            </w:trPr>
            <w:sdt>
              <w:sdtPr>
                <w:tag w:val="_PLD_16e062da10ef4301a1526b8633f88a31"/>
                <w:id w:val="558762457"/>
                <w:lock w:val="sdtLocked"/>
              </w:sdtPr>
              <w:sdtEndPr/>
              <w:sdtContent>
                <w:tc>
                  <w:tcPr>
                    <w:tcW w:w="1282" w:type="pct"/>
                    <w:shd w:val="clear" w:color="auto" w:fill="auto"/>
                    <w:vAlign w:val="center"/>
                  </w:tcPr>
                  <w:p w14:paraId="49C5768D" w14:textId="77777777" w:rsidR="00830E72" w:rsidRDefault="008344D8">
                    <w:pPr>
                      <w:jc w:val="center"/>
                      <w:rPr>
                        <w:szCs w:val="21"/>
                      </w:rPr>
                    </w:pPr>
                    <w:r>
                      <w:rPr>
                        <w:rFonts w:hint="eastAsia"/>
                        <w:szCs w:val="21"/>
                      </w:rPr>
                      <w:t>项目</w:t>
                    </w:r>
                  </w:p>
                </w:tc>
              </w:sdtContent>
            </w:sdt>
            <w:sdt>
              <w:sdtPr>
                <w:tag w:val="_PLD_8b465b50cb10415c8931fdb66ee29ca3"/>
                <w:id w:val="1874573330"/>
                <w:lock w:val="sdtLocked"/>
              </w:sdtPr>
              <w:sdtEndPr/>
              <w:sdtContent>
                <w:tc>
                  <w:tcPr>
                    <w:tcW w:w="724" w:type="pct"/>
                    <w:shd w:val="clear" w:color="auto" w:fill="auto"/>
                    <w:vAlign w:val="center"/>
                  </w:tcPr>
                  <w:p w14:paraId="3761EB0C" w14:textId="77777777" w:rsidR="00830E72" w:rsidRDefault="008344D8">
                    <w:pPr>
                      <w:jc w:val="center"/>
                      <w:rPr>
                        <w:szCs w:val="21"/>
                      </w:rPr>
                    </w:pPr>
                    <w:r>
                      <w:rPr>
                        <w:rFonts w:hint="eastAsia"/>
                        <w:szCs w:val="21"/>
                      </w:rPr>
                      <w:t>土地使用权</w:t>
                    </w:r>
                  </w:p>
                </w:tc>
              </w:sdtContent>
            </w:sdt>
            <w:sdt>
              <w:sdtPr>
                <w:tag w:val="_PLD_55a0c34977f7438f8a4e60b2ec43e654"/>
                <w:id w:val="-505130822"/>
                <w:lock w:val="sdtLocked"/>
              </w:sdtPr>
              <w:sdtEndPr/>
              <w:sdtContent>
                <w:tc>
                  <w:tcPr>
                    <w:tcW w:w="568" w:type="pct"/>
                    <w:shd w:val="clear" w:color="auto" w:fill="auto"/>
                    <w:vAlign w:val="center"/>
                  </w:tcPr>
                  <w:p w14:paraId="4282ED72" w14:textId="77777777" w:rsidR="00830E72" w:rsidRDefault="008344D8">
                    <w:pPr>
                      <w:jc w:val="center"/>
                      <w:rPr>
                        <w:szCs w:val="21"/>
                      </w:rPr>
                    </w:pPr>
                    <w:r>
                      <w:rPr>
                        <w:rFonts w:hint="eastAsia"/>
                        <w:szCs w:val="21"/>
                      </w:rPr>
                      <w:t>专利权</w:t>
                    </w:r>
                  </w:p>
                </w:tc>
              </w:sdtContent>
            </w:sdt>
            <w:sdt>
              <w:sdtPr>
                <w:tag w:val="_PLD_624f8e9465f646f5a305cf5fc59a830c"/>
                <w:id w:val="-687204836"/>
                <w:lock w:val="sdtLocked"/>
              </w:sdtPr>
              <w:sdtEndPr/>
              <w:sdtContent>
                <w:tc>
                  <w:tcPr>
                    <w:tcW w:w="720" w:type="pct"/>
                    <w:shd w:val="clear" w:color="auto" w:fill="auto"/>
                    <w:vAlign w:val="center"/>
                  </w:tcPr>
                  <w:p w14:paraId="33DC1032" w14:textId="77777777" w:rsidR="00830E72" w:rsidRDefault="008344D8">
                    <w:pPr>
                      <w:jc w:val="center"/>
                      <w:rPr>
                        <w:szCs w:val="21"/>
                      </w:rPr>
                    </w:pPr>
                    <w:r>
                      <w:rPr>
                        <w:rFonts w:hint="eastAsia"/>
                        <w:szCs w:val="21"/>
                      </w:rPr>
                      <w:t>非专利技术</w:t>
                    </w:r>
                  </w:p>
                </w:tc>
              </w:sdtContent>
            </w:sdt>
            <w:sdt>
              <w:sdtPr>
                <w:rPr>
                  <w:szCs w:val="21"/>
                </w:rPr>
                <w:alias w:val="无形资产明细－项目"/>
                <w:tag w:val="_GBC_ee2531f58c0a420e83919cd1efe46139"/>
                <w:id w:val="-463351829"/>
                <w:lock w:val="sdtLocked"/>
              </w:sdtPr>
              <w:sdtEndPr>
                <w:rPr>
                  <w:rFonts w:hint="eastAsia"/>
                </w:rPr>
              </w:sdtEndPr>
              <w:sdtContent>
                <w:tc>
                  <w:tcPr>
                    <w:tcW w:w="836" w:type="pct"/>
                    <w:shd w:val="clear" w:color="auto" w:fill="auto"/>
                    <w:vAlign w:val="center"/>
                  </w:tcPr>
                  <w:p w14:paraId="1C662994" w14:textId="77777777" w:rsidR="00830E72" w:rsidRDefault="008344D8">
                    <w:pPr>
                      <w:jc w:val="center"/>
                      <w:rPr>
                        <w:szCs w:val="21"/>
                      </w:rPr>
                    </w:pPr>
                    <w:r>
                      <w:rPr>
                        <w:rFonts w:hint="eastAsia"/>
                        <w:szCs w:val="21"/>
                      </w:rPr>
                      <w:t>软件</w:t>
                    </w:r>
                  </w:p>
                </w:tc>
              </w:sdtContent>
            </w:sdt>
            <w:sdt>
              <w:sdtPr>
                <w:tag w:val="_PLD_57620ddc57e34012a99d49f2280a99e2"/>
                <w:id w:val="-432897358"/>
                <w:lock w:val="sdtLocked"/>
              </w:sdtPr>
              <w:sdtEndPr/>
              <w:sdtContent>
                <w:tc>
                  <w:tcPr>
                    <w:tcW w:w="869" w:type="pct"/>
                    <w:shd w:val="clear" w:color="auto" w:fill="auto"/>
                    <w:vAlign w:val="center"/>
                  </w:tcPr>
                  <w:p w14:paraId="1655DD52" w14:textId="77777777" w:rsidR="00830E72" w:rsidRDefault="008344D8">
                    <w:pPr>
                      <w:jc w:val="center"/>
                      <w:rPr>
                        <w:szCs w:val="21"/>
                      </w:rPr>
                    </w:pPr>
                    <w:r>
                      <w:rPr>
                        <w:szCs w:val="21"/>
                      </w:rPr>
                      <w:t>合计</w:t>
                    </w:r>
                  </w:p>
                </w:tc>
              </w:sdtContent>
            </w:sdt>
          </w:tr>
          <w:tr w:rsidR="00830E72" w14:paraId="659A5592" w14:textId="77777777">
            <w:trPr>
              <w:trHeight w:val="284"/>
            </w:trPr>
            <w:sdt>
              <w:sdtPr>
                <w:tag w:val="_PLD_97ce5956782c457c89e9607c943b01d4"/>
                <w:id w:val="-1719353471"/>
                <w:lock w:val="sdtLocked"/>
              </w:sdtPr>
              <w:sdtEndPr/>
              <w:sdtContent>
                <w:tc>
                  <w:tcPr>
                    <w:tcW w:w="1282" w:type="pct"/>
                    <w:shd w:val="clear" w:color="auto" w:fill="auto"/>
                    <w:vAlign w:val="center"/>
                  </w:tcPr>
                  <w:p w14:paraId="7D825FE0" w14:textId="77777777" w:rsidR="00830E72" w:rsidRDefault="008344D8">
                    <w:pPr>
                      <w:rPr>
                        <w:szCs w:val="21"/>
                      </w:rPr>
                    </w:pPr>
                    <w:r>
                      <w:rPr>
                        <w:szCs w:val="21"/>
                      </w:rPr>
                      <w:t>一、</w:t>
                    </w:r>
                    <w:r>
                      <w:rPr>
                        <w:rFonts w:hint="eastAsia"/>
                        <w:szCs w:val="21"/>
                      </w:rPr>
                      <w:t>账面原值</w:t>
                    </w:r>
                  </w:p>
                </w:tc>
              </w:sdtContent>
            </w:sdt>
            <w:tc>
              <w:tcPr>
                <w:tcW w:w="724" w:type="pct"/>
                <w:shd w:val="clear" w:color="auto" w:fill="auto"/>
              </w:tcPr>
              <w:p w14:paraId="0DA50957" w14:textId="77777777" w:rsidR="00830E72" w:rsidRDefault="00830E72">
                <w:pPr>
                  <w:rPr>
                    <w:szCs w:val="21"/>
                  </w:rPr>
                </w:pPr>
              </w:p>
            </w:tc>
            <w:tc>
              <w:tcPr>
                <w:tcW w:w="568" w:type="pct"/>
                <w:shd w:val="clear" w:color="auto" w:fill="auto"/>
              </w:tcPr>
              <w:p w14:paraId="0F6416EA" w14:textId="77777777" w:rsidR="00830E72" w:rsidRDefault="00830E72">
                <w:pPr>
                  <w:rPr>
                    <w:szCs w:val="21"/>
                  </w:rPr>
                </w:pPr>
              </w:p>
            </w:tc>
            <w:tc>
              <w:tcPr>
                <w:tcW w:w="720" w:type="pct"/>
                <w:shd w:val="clear" w:color="auto" w:fill="auto"/>
              </w:tcPr>
              <w:p w14:paraId="0DCFCD5A" w14:textId="77777777" w:rsidR="00830E72" w:rsidRDefault="00830E72">
                <w:pPr>
                  <w:rPr>
                    <w:szCs w:val="21"/>
                  </w:rPr>
                </w:pPr>
              </w:p>
            </w:tc>
            <w:tc>
              <w:tcPr>
                <w:tcW w:w="836" w:type="pct"/>
                <w:shd w:val="clear" w:color="auto" w:fill="auto"/>
              </w:tcPr>
              <w:p w14:paraId="7805ADF7" w14:textId="77777777" w:rsidR="00830E72" w:rsidRDefault="00830E72">
                <w:pPr>
                  <w:rPr>
                    <w:szCs w:val="21"/>
                  </w:rPr>
                </w:pPr>
              </w:p>
            </w:tc>
            <w:tc>
              <w:tcPr>
                <w:tcW w:w="869" w:type="pct"/>
                <w:shd w:val="clear" w:color="auto" w:fill="auto"/>
              </w:tcPr>
              <w:p w14:paraId="0CEFC662" w14:textId="77777777" w:rsidR="00830E72" w:rsidRDefault="00830E72">
                <w:pPr>
                  <w:rPr>
                    <w:szCs w:val="21"/>
                  </w:rPr>
                </w:pPr>
              </w:p>
            </w:tc>
          </w:tr>
          <w:tr w:rsidR="00830E72" w14:paraId="2AEB5ECE" w14:textId="77777777">
            <w:trPr>
              <w:trHeight w:val="284"/>
            </w:trPr>
            <w:sdt>
              <w:sdtPr>
                <w:tag w:val="_PLD_3ece69191bc64684a4f52dc219040125"/>
                <w:id w:val="2042786900"/>
                <w:lock w:val="sdtLocked"/>
              </w:sdtPr>
              <w:sdtEndPr/>
              <w:sdtContent>
                <w:tc>
                  <w:tcPr>
                    <w:tcW w:w="1282" w:type="pct"/>
                    <w:shd w:val="clear" w:color="auto" w:fill="auto"/>
                    <w:vAlign w:val="center"/>
                  </w:tcPr>
                  <w:p w14:paraId="6CD1B62D" w14:textId="77777777" w:rsidR="00830E72" w:rsidRDefault="008344D8">
                    <w:pPr>
                      <w:rPr>
                        <w:szCs w:val="21"/>
                      </w:rPr>
                    </w:pPr>
                    <w:r>
                      <w:rPr>
                        <w:szCs w:val="21"/>
                      </w:rPr>
                      <w:t xml:space="preserve">    1.</w:t>
                    </w:r>
                    <w:r>
                      <w:rPr>
                        <w:rFonts w:hint="eastAsia"/>
                        <w:szCs w:val="21"/>
                      </w:rPr>
                      <w:t>期</w:t>
                    </w:r>
                    <w:r>
                      <w:rPr>
                        <w:szCs w:val="21"/>
                      </w:rPr>
                      <w:t>初余额</w:t>
                    </w:r>
                  </w:p>
                </w:tc>
              </w:sdtContent>
            </w:sdt>
            <w:tc>
              <w:tcPr>
                <w:tcW w:w="724" w:type="pct"/>
                <w:shd w:val="clear" w:color="auto" w:fill="auto"/>
              </w:tcPr>
              <w:p w14:paraId="4446CB04" w14:textId="77777777" w:rsidR="00830E72" w:rsidRDefault="00830E72">
                <w:pPr>
                  <w:jc w:val="right"/>
                  <w:rPr>
                    <w:szCs w:val="21"/>
                  </w:rPr>
                </w:pPr>
              </w:p>
            </w:tc>
            <w:tc>
              <w:tcPr>
                <w:tcW w:w="568" w:type="pct"/>
                <w:shd w:val="clear" w:color="auto" w:fill="auto"/>
              </w:tcPr>
              <w:p w14:paraId="6AE73D3B" w14:textId="77777777" w:rsidR="00830E72" w:rsidRDefault="00830E72">
                <w:pPr>
                  <w:jc w:val="right"/>
                  <w:rPr>
                    <w:szCs w:val="21"/>
                  </w:rPr>
                </w:pPr>
              </w:p>
            </w:tc>
            <w:tc>
              <w:tcPr>
                <w:tcW w:w="720" w:type="pct"/>
                <w:shd w:val="clear" w:color="auto" w:fill="auto"/>
              </w:tcPr>
              <w:p w14:paraId="4424E609" w14:textId="77777777" w:rsidR="00830E72" w:rsidRDefault="00830E72">
                <w:pPr>
                  <w:jc w:val="right"/>
                  <w:rPr>
                    <w:szCs w:val="21"/>
                  </w:rPr>
                </w:pPr>
              </w:p>
            </w:tc>
            <w:tc>
              <w:tcPr>
                <w:tcW w:w="836" w:type="pct"/>
                <w:shd w:val="clear" w:color="auto" w:fill="auto"/>
              </w:tcPr>
              <w:p w14:paraId="5699CCCC" w14:textId="77777777" w:rsidR="00830E72" w:rsidRDefault="008344D8">
                <w:pPr>
                  <w:jc w:val="right"/>
                  <w:rPr>
                    <w:szCs w:val="21"/>
                  </w:rPr>
                </w:pPr>
                <w:r>
                  <w:rPr>
                    <w:szCs w:val="21"/>
                  </w:rPr>
                  <w:t>4,204,844.42</w:t>
                </w:r>
              </w:p>
            </w:tc>
            <w:tc>
              <w:tcPr>
                <w:tcW w:w="869" w:type="pct"/>
                <w:shd w:val="clear" w:color="auto" w:fill="auto"/>
              </w:tcPr>
              <w:p w14:paraId="65528CAB" w14:textId="77777777" w:rsidR="00830E72" w:rsidRDefault="008344D8">
                <w:pPr>
                  <w:jc w:val="right"/>
                  <w:rPr>
                    <w:szCs w:val="21"/>
                  </w:rPr>
                </w:pPr>
                <w:r>
                  <w:rPr>
                    <w:szCs w:val="21"/>
                  </w:rPr>
                  <w:t>4,204,844.42</w:t>
                </w:r>
              </w:p>
            </w:tc>
          </w:tr>
          <w:tr w:rsidR="00830E72" w14:paraId="67454366" w14:textId="77777777">
            <w:trPr>
              <w:trHeight w:val="284"/>
            </w:trPr>
            <w:sdt>
              <w:sdtPr>
                <w:tag w:val="_PLD_619b832ec5e340dc899fb93538a5459d"/>
                <w:id w:val="-676884436"/>
                <w:lock w:val="sdtLocked"/>
              </w:sdtPr>
              <w:sdtEndPr/>
              <w:sdtContent>
                <w:tc>
                  <w:tcPr>
                    <w:tcW w:w="1282" w:type="pct"/>
                    <w:shd w:val="clear" w:color="auto" w:fill="auto"/>
                    <w:vAlign w:val="center"/>
                  </w:tcPr>
                  <w:p w14:paraId="22A0C0C8" w14:textId="77777777" w:rsidR="00830E72" w:rsidRDefault="008344D8">
                    <w:pPr>
                      <w:ind w:firstLineChars="200" w:firstLine="420"/>
                      <w:rPr>
                        <w:szCs w:val="21"/>
                      </w:rPr>
                    </w:pPr>
                    <w:r>
                      <w:rPr>
                        <w:szCs w:val="21"/>
                      </w:rPr>
                      <w:t>2.本期增加</w:t>
                    </w:r>
                    <w:r>
                      <w:rPr>
                        <w:rFonts w:hint="eastAsia"/>
                        <w:szCs w:val="21"/>
                      </w:rPr>
                      <w:t>金额</w:t>
                    </w:r>
                  </w:p>
                </w:tc>
              </w:sdtContent>
            </w:sdt>
            <w:tc>
              <w:tcPr>
                <w:tcW w:w="724" w:type="pct"/>
                <w:shd w:val="clear" w:color="auto" w:fill="auto"/>
              </w:tcPr>
              <w:p w14:paraId="0C107820" w14:textId="77777777" w:rsidR="00830E72" w:rsidRDefault="00830E72">
                <w:pPr>
                  <w:jc w:val="right"/>
                  <w:rPr>
                    <w:szCs w:val="21"/>
                  </w:rPr>
                </w:pPr>
              </w:p>
            </w:tc>
            <w:tc>
              <w:tcPr>
                <w:tcW w:w="568" w:type="pct"/>
                <w:shd w:val="clear" w:color="auto" w:fill="auto"/>
              </w:tcPr>
              <w:p w14:paraId="6EDD1154" w14:textId="77777777" w:rsidR="00830E72" w:rsidRDefault="00830E72">
                <w:pPr>
                  <w:jc w:val="right"/>
                  <w:rPr>
                    <w:szCs w:val="21"/>
                  </w:rPr>
                </w:pPr>
              </w:p>
            </w:tc>
            <w:tc>
              <w:tcPr>
                <w:tcW w:w="720" w:type="pct"/>
                <w:shd w:val="clear" w:color="auto" w:fill="auto"/>
              </w:tcPr>
              <w:p w14:paraId="31EEBC14" w14:textId="77777777" w:rsidR="00830E72" w:rsidRDefault="00830E72">
                <w:pPr>
                  <w:jc w:val="right"/>
                  <w:rPr>
                    <w:szCs w:val="21"/>
                  </w:rPr>
                </w:pPr>
              </w:p>
            </w:tc>
            <w:tc>
              <w:tcPr>
                <w:tcW w:w="836" w:type="pct"/>
                <w:shd w:val="clear" w:color="auto" w:fill="auto"/>
              </w:tcPr>
              <w:p w14:paraId="2EB208C8" w14:textId="77777777" w:rsidR="00830E72" w:rsidRDefault="008344D8">
                <w:pPr>
                  <w:jc w:val="right"/>
                  <w:rPr>
                    <w:szCs w:val="21"/>
                  </w:rPr>
                </w:pPr>
                <w:r>
                  <w:rPr>
                    <w:szCs w:val="21"/>
                  </w:rPr>
                  <w:t>347,037.17</w:t>
                </w:r>
              </w:p>
            </w:tc>
            <w:tc>
              <w:tcPr>
                <w:tcW w:w="869" w:type="pct"/>
                <w:shd w:val="clear" w:color="auto" w:fill="auto"/>
              </w:tcPr>
              <w:p w14:paraId="7F07BF5D" w14:textId="77777777" w:rsidR="00830E72" w:rsidRDefault="008344D8">
                <w:pPr>
                  <w:jc w:val="right"/>
                  <w:rPr>
                    <w:szCs w:val="21"/>
                  </w:rPr>
                </w:pPr>
                <w:r>
                  <w:rPr>
                    <w:szCs w:val="21"/>
                  </w:rPr>
                  <w:t>347,037.17</w:t>
                </w:r>
              </w:p>
            </w:tc>
          </w:tr>
          <w:tr w:rsidR="00830E72" w14:paraId="39144F4F" w14:textId="77777777">
            <w:trPr>
              <w:trHeight w:val="284"/>
            </w:trPr>
            <w:sdt>
              <w:sdtPr>
                <w:tag w:val="_PLD_90ef4a07fa3c4f969161b700396d9ac5"/>
                <w:id w:val="812752047"/>
                <w:lock w:val="sdtLocked"/>
              </w:sdtPr>
              <w:sdtEndPr/>
              <w:sdtContent>
                <w:tc>
                  <w:tcPr>
                    <w:tcW w:w="1282" w:type="pct"/>
                    <w:shd w:val="clear" w:color="auto" w:fill="auto"/>
                    <w:vAlign w:val="center"/>
                  </w:tcPr>
                  <w:p w14:paraId="6737A08E" w14:textId="77777777" w:rsidR="00830E72" w:rsidRDefault="008344D8">
                    <w:pPr>
                      <w:ind w:firstLineChars="300" w:firstLine="630"/>
                      <w:rPr>
                        <w:szCs w:val="21"/>
                      </w:rPr>
                    </w:pPr>
                    <w:r>
                      <w:rPr>
                        <w:szCs w:val="21"/>
                      </w:rPr>
                      <w:t>(1)</w:t>
                    </w:r>
                    <w:r>
                      <w:rPr>
                        <w:rFonts w:hint="eastAsia"/>
                        <w:szCs w:val="21"/>
                      </w:rPr>
                      <w:t>购置</w:t>
                    </w:r>
                  </w:p>
                </w:tc>
              </w:sdtContent>
            </w:sdt>
            <w:tc>
              <w:tcPr>
                <w:tcW w:w="724" w:type="pct"/>
                <w:shd w:val="clear" w:color="auto" w:fill="auto"/>
              </w:tcPr>
              <w:p w14:paraId="5C175521" w14:textId="77777777" w:rsidR="00830E72" w:rsidRDefault="00830E72">
                <w:pPr>
                  <w:jc w:val="right"/>
                  <w:rPr>
                    <w:szCs w:val="21"/>
                  </w:rPr>
                </w:pPr>
              </w:p>
            </w:tc>
            <w:tc>
              <w:tcPr>
                <w:tcW w:w="568" w:type="pct"/>
                <w:shd w:val="clear" w:color="auto" w:fill="auto"/>
              </w:tcPr>
              <w:p w14:paraId="0629C243" w14:textId="77777777" w:rsidR="00830E72" w:rsidRDefault="00830E72">
                <w:pPr>
                  <w:jc w:val="right"/>
                  <w:rPr>
                    <w:szCs w:val="21"/>
                  </w:rPr>
                </w:pPr>
              </w:p>
            </w:tc>
            <w:tc>
              <w:tcPr>
                <w:tcW w:w="720" w:type="pct"/>
                <w:shd w:val="clear" w:color="auto" w:fill="auto"/>
              </w:tcPr>
              <w:p w14:paraId="0B0E2DB4" w14:textId="77777777" w:rsidR="00830E72" w:rsidRDefault="00830E72">
                <w:pPr>
                  <w:jc w:val="right"/>
                  <w:rPr>
                    <w:szCs w:val="21"/>
                  </w:rPr>
                </w:pPr>
              </w:p>
            </w:tc>
            <w:tc>
              <w:tcPr>
                <w:tcW w:w="836" w:type="pct"/>
                <w:shd w:val="clear" w:color="auto" w:fill="auto"/>
              </w:tcPr>
              <w:p w14:paraId="39FC100F" w14:textId="77777777" w:rsidR="00830E72" w:rsidRDefault="008344D8">
                <w:pPr>
                  <w:jc w:val="right"/>
                  <w:rPr>
                    <w:szCs w:val="21"/>
                  </w:rPr>
                </w:pPr>
                <w:r>
                  <w:rPr>
                    <w:szCs w:val="21"/>
                  </w:rPr>
                  <w:t>347,037.17</w:t>
                </w:r>
              </w:p>
            </w:tc>
            <w:tc>
              <w:tcPr>
                <w:tcW w:w="869" w:type="pct"/>
                <w:shd w:val="clear" w:color="auto" w:fill="auto"/>
              </w:tcPr>
              <w:p w14:paraId="1600D5BC" w14:textId="77777777" w:rsidR="00830E72" w:rsidRDefault="008344D8">
                <w:pPr>
                  <w:jc w:val="right"/>
                  <w:rPr>
                    <w:szCs w:val="21"/>
                  </w:rPr>
                </w:pPr>
                <w:r>
                  <w:rPr>
                    <w:szCs w:val="21"/>
                  </w:rPr>
                  <w:t>347,037.17</w:t>
                </w:r>
              </w:p>
            </w:tc>
          </w:tr>
          <w:tr w:rsidR="00830E72" w14:paraId="513D6FD2" w14:textId="77777777">
            <w:trPr>
              <w:trHeight w:val="284"/>
            </w:trPr>
            <w:sdt>
              <w:sdtPr>
                <w:tag w:val="_PLD_fdfb103746a24d0281c1e921b5c8be79"/>
                <w:id w:val="-1923328543"/>
                <w:lock w:val="sdtLocked"/>
              </w:sdtPr>
              <w:sdtEndPr/>
              <w:sdtContent>
                <w:tc>
                  <w:tcPr>
                    <w:tcW w:w="1282" w:type="pct"/>
                    <w:shd w:val="clear" w:color="auto" w:fill="auto"/>
                    <w:vAlign w:val="center"/>
                  </w:tcPr>
                  <w:p w14:paraId="5B336483" w14:textId="77777777" w:rsidR="00830E72" w:rsidRDefault="008344D8">
                    <w:pPr>
                      <w:ind w:firstLineChars="300" w:firstLine="630"/>
                      <w:rPr>
                        <w:szCs w:val="21"/>
                      </w:rPr>
                    </w:pPr>
                    <w:r>
                      <w:rPr>
                        <w:rFonts w:hint="eastAsia"/>
                        <w:szCs w:val="21"/>
                      </w:rPr>
                      <w:t>(</w:t>
                    </w:r>
                    <w:r>
                      <w:rPr>
                        <w:szCs w:val="21"/>
                      </w:rPr>
                      <w:t>2)</w:t>
                    </w:r>
                    <w:r>
                      <w:rPr>
                        <w:rFonts w:hint="eastAsia"/>
                        <w:szCs w:val="21"/>
                      </w:rPr>
                      <w:t>内部研发</w:t>
                    </w:r>
                  </w:p>
                </w:tc>
              </w:sdtContent>
            </w:sdt>
            <w:tc>
              <w:tcPr>
                <w:tcW w:w="724" w:type="pct"/>
                <w:shd w:val="clear" w:color="auto" w:fill="auto"/>
              </w:tcPr>
              <w:p w14:paraId="5DA3D51F" w14:textId="77777777" w:rsidR="00830E72" w:rsidRDefault="00830E72">
                <w:pPr>
                  <w:jc w:val="right"/>
                  <w:rPr>
                    <w:szCs w:val="21"/>
                  </w:rPr>
                </w:pPr>
              </w:p>
            </w:tc>
            <w:tc>
              <w:tcPr>
                <w:tcW w:w="568" w:type="pct"/>
                <w:shd w:val="clear" w:color="auto" w:fill="auto"/>
              </w:tcPr>
              <w:p w14:paraId="7133F6CD" w14:textId="77777777" w:rsidR="00830E72" w:rsidRDefault="00830E72">
                <w:pPr>
                  <w:jc w:val="right"/>
                  <w:rPr>
                    <w:szCs w:val="21"/>
                  </w:rPr>
                </w:pPr>
              </w:p>
            </w:tc>
            <w:tc>
              <w:tcPr>
                <w:tcW w:w="720" w:type="pct"/>
                <w:shd w:val="clear" w:color="auto" w:fill="auto"/>
              </w:tcPr>
              <w:p w14:paraId="71900FEE" w14:textId="77777777" w:rsidR="00830E72" w:rsidRDefault="00830E72">
                <w:pPr>
                  <w:jc w:val="right"/>
                  <w:rPr>
                    <w:szCs w:val="21"/>
                  </w:rPr>
                </w:pPr>
              </w:p>
            </w:tc>
            <w:tc>
              <w:tcPr>
                <w:tcW w:w="836" w:type="pct"/>
                <w:shd w:val="clear" w:color="auto" w:fill="auto"/>
              </w:tcPr>
              <w:p w14:paraId="3EC0083C" w14:textId="77777777" w:rsidR="00830E72" w:rsidRDefault="00830E72">
                <w:pPr>
                  <w:jc w:val="right"/>
                  <w:rPr>
                    <w:szCs w:val="21"/>
                  </w:rPr>
                </w:pPr>
              </w:p>
            </w:tc>
            <w:tc>
              <w:tcPr>
                <w:tcW w:w="869" w:type="pct"/>
                <w:shd w:val="clear" w:color="auto" w:fill="auto"/>
              </w:tcPr>
              <w:p w14:paraId="6808B97D" w14:textId="77777777" w:rsidR="00830E72" w:rsidRDefault="00830E72">
                <w:pPr>
                  <w:jc w:val="right"/>
                  <w:rPr>
                    <w:szCs w:val="21"/>
                  </w:rPr>
                </w:pPr>
              </w:p>
              <w:p w14:paraId="31C0EC7E" w14:textId="77777777" w:rsidR="00830E72" w:rsidRDefault="00830E72">
                <w:pPr>
                  <w:jc w:val="right"/>
                  <w:rPr>
                    <w:szCs w:val="21"/>
                  </w:rPr>
                </w:pPr>
              </w:p>
            </w:tc>
          </w:tr>
          <w:tr w:rsidR="00830E72" w14:paraId="21B02B7A" w14:textId="77777777">
            <w:trPr>
              <w:trHeight w:val="284"/>
            </w:trPr>
            <w:sdt>
              <w:sdtPr>
                <w:tag w:val="_PLD_a843f8687ca145b0abf8bd1ef13c7d8f"/>
                <w:id w:val="-584689755"/>
                <w:lock w:val="sdtLocked"/>
              </w:sdtPr>
              <w:sdtEndPr/>
              <w:sdtContent>
                <w:tc>
                  <w:tcPr>
                    <w:tcW w:w="1282" w:type="pct"/>
                    <w:shd w:val="clear" w:color="auto" w:fill="auto"/>
                  </w:tcPr>
                  <w:p w14:paraId="3CF7A128" w14:textId="77777777" w:rsidR="00830E72" w:rsidRDefault="008344D8">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Content>
            </w:sdt>
            <w:tc>
              <w:tcPr>
                <w:tcW w:w="724" w:type="pct"/>
                <w:shd w:val="clear" w:color="auto" w:fill="auto"/>
              </w:tcPr>
              <w:p w14:paraId="02EE5B85" w14:textId="77777777" w:rsidR="00830E72" w:rsidRDefault="00830E72">
                <w:pPr>
                  <w:jc w:val="right"/>
                  <w:rPr>
                    <w:szCs w:val="21"/>
                  </w:rPr>
                </w:pPr>
              </w:p>
            </w:tc>
            <w:tc>
              <w:tcPr>
                <w:tcW w:w="568" w:type="pct"/>
                <w:shd w:val="clear" w:color="auto" w:fill="auto"/>
              </w:tcPr>
              <w:p w14:paraId="0D39A495" w14:textId="77777777" w:rsidR="00830E72" w:rsidRDefault="00830E72">
                <w:pPr>
                  <w:jc w:val="right"/>
                  <w:rPr>
                    <w:szCs w:val="21"/>
                  </w:rPr>
                </w:pPr>
              </w:p>
            </w:tc>
            <w:tc>
              <w:tcPr>
                <w:tcW w:w="720" w:type="pct"/>
                <w:shd w:val="clear" w:color="auto" w:fill="auto"/>
              </w:tcPr>
              <w:p w14:paraId="776BA27F" w14:textId="77777777" w:rsidR="00830E72" w:rsidRDefault="00830E72">
                <w:pPr>
                  <w:jc w:val="right"/>
                  <w:rPr>
                    <w:szCs w:val="21"/>
                  </w:rPr>
                </w:pPr>
              </w:p>
            </w:tc>
            <w:tc>
              <w:tcPr>
                <w:tcW w:w="836" w:type="pct"/>
                <w:shd w:val="clear" w:color="auto" w:fill="auto"/>
              </w:tcPr>
              <w:p w14:paraId="7745E613" w14:textId="77777777" w:rsidR="00830E72" w:rsidRDefault="00830E72">
                <w:pPr>
                  <w:jc w:val="right"/>
                  <w:rPr>
                    <w:szCs w:val="21"/>
                  </w:rPr>
                </w:pPr>
              </w:p>
            </w:tc>
            <w:tc>
              <w:tcPr>
                <w:tcW w:w="869" w:type="pct"/>
                <w:shd w:val="clear" w:color="auto" w:fill="auto"/>
              </w:tcPr>
              <w:p w14:paraId="4F9852E0" w14:textId="77777777" w:rsidR="00830E72" w:rsidRDefault="00830E72">
                <w:pPr>
                  <w:jc w:val="right"/>
                  <w:rPr>
                    <w:szCs w:val="21"/>
                  </w:rPr>
                </w:pPr>
              </w:p>
            </w:tc>
          </w:tr>
          <w:tr w:rsidR="00830E72" w14:paraId="2D885F11" w14:textId="77777777">
            <w:trPr>
              <w:trHeight w:val="284"/>
            </w:trPr>
            <w:sdt>
              <w:sdtPr>
                <w:tag w:val="_PLD_e2ff397d9d9a4a48baa098333a2effda"/>
                <w:id w:val="1429385546"/>
                <w:lock w:val="sdtLocked"/>
              </w:sdtPr>
              <w:sdtEndPr/>
              <w:sdtContent>
                <w:tc>
                  <w:tcPr>
                    <w:tcW w:w="1282" w:type="pct"/>
                    <w:shd w:val="clear" w:color="auto" w:fill="auto"/>
                    <w:vAlign w:val="center"/>
                  </w:tcPr>
                  <w:p w14:paraId="7E80A176" w14:textId="77777777" w:rsidR="00830E72" w:rsidRDefault="008344D8">
                    <w:pPr>
                      <w:rPr>
                        <w:szCs w:val="21"/>
                      </w:rPr>
                    </w:pPr>
                    <w:r>
                      <w:rPr>
                        <w:szCs w:val="21"/>
                      </w:rPr>
                      <w:t xml:space="preserve">    3.本期减少</w:t>
                    </w:r>
                    <w:r>
                      <w:rPr>
                        <w:rFonts w:hint="eastAsia"/>
                        <w:szCs w:val="21"/>
                      </w:rPr>
                      <w:t>金额</w:t>
                    </w:r>
                  </w:p>
                </w:tc>
              </w:sdtContent>
            </w:sdt>
            <w:tc>
              <w:tcPr>
                <w:tcW w:w="724" w:type="pct"/>
                <w:shd w:val="clear" w:color="auto" w:fill="auto"/>
              </w:tcPr>
              <w:p w14:paraId="27BF2A46" w14:textId="77777777" w:rsidR="00830E72" w:rsidRDefault="00830E72">
                <w:pPr>
                  <w:jc w:val="right"/>
                  <w:rPr>
                    <w:szCs w:val="21"/>
                  </w:rPr>
                </w:pPr>
              </w:p>
            </w:tc>
            <w:tc>
              <w:tcPr>
                <w:tcW w:w="568" w:type="pct"/>
                <w:shd w:val="clear" w:color="auto" w:fill="auto"/>
              </w:tcPr>
              <w:p w14:paraId="6BC58363" w14:textId="77777777" w:rsidR="00830E72" w:rsidRDefault="00830E72">
                <w:pPr>
                  <w:jc w:val="right"/>
                  <w:rPr>
                    <w:szCs w:val="21"/>
                  </w:rPr>
                </w:pPr>
              </w:p>
            </w:tc>
            <w:tc>
              <w:tcPr>
                <w:tcW w:w="720" w:type="pct"/>
                <w:shd w:val="clear" w:color="auto" w:fill="auto"/>
              </w:tcPr>
              <w:p w14:paraId="134E6381" w14:textId="77777777" w:rsidR="00830E72" w:rsidRDefault="00830E72">
                <w:pPr>
                  <w:jc w:val="right"/>
                  <w:rPr>
                    <w:szCs w:val="21"/>
                  </w:rPr>
                </w:pPr>
              </w:p>
            </w:tc>
            <w:tc>
              <w:tcPr>
                <w:tcW w:w="836" w:type="pct"/>
                <w:shd w:val="clear" w:color="auto" w:fill="auto"/>
              </w:tcPr>
              <w:p w14:paraId="414C0D20" w14:textId="77777777" w:rsidR="00830E72" w:rsidRDefault="008344D8">
                <w:pPr>
                  <w:jc w:val="right"/>
                  <w:rPr>
                    <w:szCs w:val="21"/>
                  </w:rPr>
                </w:pPr>
                <w:r>
                  <w:rPr>
                    <w:szCs w:val="21"/>
                  </w:rPr>
                  <w:t>191,303.03</w:t>
                </w:r>
              </w:p>
            </w:tc>
            <w:tc>
              <w:tcPr>
                <w:tcW w:w="869" w:type="pct"/>
                <w:shd w:val="clear" w:color="auto" w:fill="auto"/>
              </w:tcPr>
              <w:p w14:paraId="1DA0667C" w14:textId="77777777" w:rsidR="00830E72" w:rsidRDefault="008344D8">
                <w:pPr>
                  <w:jc w:val="right"/>
                  <w:rPr>
                    <w:szCs w:val="21"/>
                  </w:rPr>
                </w:pPr>
                <w:r>
                  <w:rPr>
                    <w:szCs w:val="21"/>
                  </w:rPr>
                  <w:t>191,303.03</w:t>
                </w:r>
              </w:p>
            </w:tc>
          </w:tr>
          <w:tr w:rsidR="00830E72" w14:paraId="4ECDA1A2" w14:textId="77777777">
            <w:trPr>
              <w:trHeight w:val="284"/>
            </w:trPr>
            <w:sdt>
              <w:sdtPr>
                <w:tag w:val="_PLD_01039cac859c46279f030f4ef8891ef8"/>
                <w:id w:val="-315886753"/>
                <w:lock w:val="sdtLocked"/>
              </w:sdtPr>
              <w:sdtEndPr/>
              <w:sdtContent>
                <w:tc>
                  <w:tcPr>
                    <w:tcW w:w="1282" w:type="pct"/>
                    <w:shd w:val="clear" w:color="auto" w:fill="auto"/>
                    <w:vAlign w:val="center"/>
                  </w:tcPr>
                  <w:p w14:paraId="63B3D59B" w14:textId="77777777" w:rsidR="00830E72" w:rsidRDefault="008344D8">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724" w:type="pct"/>
                <w:shd w:val="clear" w:color="auto" w:fill="auto"/>
              </w:tcPr>
              <w:p w14:paraId="051691A0" w14:textId="77777777" w:rsidR="00830E72" w:rsidRDefault="00830E72">
                <w:pPr>
                  <w:jc w:val="right"/>
                  <w:rPr>
                    <w:szCs w:val="21"/>
                  </w:rPr>
                </w:pPr>
              </w:p>
            </w:tc>
            <w:tc>
              <w:tcPr>
                <w:tcW w:w="568" w:type="pct"/>
                <w:shd w:val="clear" w:color="auto" w:fill="auto"/>
              </w:tcPr>
              <w:p w14:paraId="4DDD5355" w14:textId="77777777" w:rsidR="00830E72" w:rsidRDefault="00830E72">
                <w:pPr>
                  <w:jc w:val="right"/>
                  <w:rPr>
                    <w:szCs w:val="21"/>
                  </w:rPr>
                </w:pPr>
              </w:p>
            </w:tc>
            <w:tc>
              <w:tcPr>
                <w:tcW w:w="720" w:type="pct"/>
                <w:shd w:val="clear" w:color="auto" w:fill="auto"/>
              </w:tcPr>
              <w:p w14:paraId="3ED2C42A" w14:textId="77777777" w:rsidR="00830E72" w:rsidRDefault="00830E72">
                <w:pPr>
                  <w:jc w:val="right"/>
                  <w:rPr>
                    <w:szCs w:val="21"/>
                  </w:rPr>
                </w:pPr>
              </w:p>
            </w:tc>
            <w:tc>
              <w:tcPr>
                <w:tcW w:w="836" w:type="pct"/>
                <w:shd w:val="clear" w:color="auto" w:fill="auto"/>
              </w:tcPr>
              <w:p w14:paraId="36BC4265" w14:textId="77777777" w:rsidR="00830E72" w:rsidRDefault="00830E72">
                <w:pPr>
                  <w:jc w:val="right"/>
                  <w:rPr>
                    <w:szCs w:val="21"/>
                  </w:rPr>
                </w:pPr>
              </w:p>
            </w:tc>
            <w:tc>
              <w:tcPr>
                <w:tcW w:w="869" w:type="pct"/>
                <w:shd w:val="clear" w:color="auto" w:fill="auto"/>
              </w:tcPr>
              <w:p w14:paraId="6F4BECF0" w14:textId="77777777" w:rsidR="00830E72" w:rsidRDefault="00830E72">
                <w:pPr>
                  <w:jc w:val="right"/>
                  <w:rPr>
                    <w:szCs w:val="21"/>
                  </w:rPr>
                </w:pPr>
              </w:p>
            </w:tc>
          </w:tr>
          <w:tr w:rsidR="00830E72" w14:paraId="79D22A24" w14:textId="77777777">
            <w:trPr>
              <w:trHeight w:val="284"/>
            </w:trPr>
            <w:sdt>
              <w:sdtPr>
                <w:tag w:val="_PLD_4f7e6faa1a2a40ff9644db9d2bcd8070"/>
                <w:id w:val="-523011452"/>
                <w:lock w:val="sdtLocked"/>
              </w:sdtPr>
              <w:sdtEndPr/>
              <w:sdtContent>
                <w:tc>
                  <w:tcPr>
                    <w:tcW w:w="1282" w:type="pct"/>
                    <w:shd w:val="clear" w:color="auto" w:fill="auto"/>
                    <w:vAlign w:val="center"/>
                  </w:tcPr>
                  <w:p w14:paraId="41BE93CD" w14:textId="77777777" w:rsidR="00830E72" w:rsidRDefault="008344D8">
                    <w:pPr>
                      <w:rPr>
                        <w:szCs w:val="21"/>
                      </w:rPr>
                    </w:pPr>
                    <w:r>
                      <w:rPr>
                        <w:szCs w:val="21"/>
                      </w:rPr>
                      <w:t xml:space="preserve">   4.期末余额</w:t>
                    </w:r>
                  </w:p>
                </w:tc>
              </w:sdtContent>
            </w:sdt>
            <w:tc>
              <w:tcPr>
                <w:tcW w:w="724" w:type="pct"/>
                <w:shd w:val="clear" w:color="auto" w:fill="auto"/>
              </w:tcPr>
              <w:p w14:paraId="4738F20B" w14:textId="77777777" w:rsidR="00830E72" w:rsidRDefault="00830E72">
                <w:pPr>
                  <w:jc w:val="right"/>
                  <w:rPr>
                    <w:szCs w:val="21"/>
                  </w:rPr>
                </w:pPr>
              </w:p>
            </w:tc>
            <w:tc>
              <w:tcPr>
                <w:tcW w:w="568" w:type="pct"/>
                <w:shd w:val="clear" w:color="auto" w:fill="auto"/>
              </w:tcPr>
              <w:p w14:paraId="6EAA7047" w14:textId="77777777" w:rsidR="00830E72" w:rsidRDefault="00830E72">
                <w:pPr>
                  <w:jc w:val="right"/>
                  <w:rPr>
                    <w:szCs w:val="21"/>
                  </w:rPr>
                </w:pPr>
              </w:p>
            </w:tc>
            <w:tc>
              <w:tcPr>
                <w:tcW w:w="720" w:type="pct"/>
                <w:shd w:val="clear" w:color="auto" w:fill="auto"/>
              </w:tcPr>
              <w:p w14:paraId="1BA23D4B" w14:textId="77777777" w:rsidR="00830E72" w:rsidRDefault="00830E72">
                <w:pPr>
                  <w:jc w:val="right"/>
                  <w:rPr>
                    <w:szCs w:val="21"/>
                  </w:rPr>
                </w:pPr>
              </w:p>
            </w:tc>
            <w:tc>
              <w:tcPr>
                <w:tcW w:w="836" w:type="pct"/>
                <w:shd w:val="clear" w:color="auto" w:fill="auto"/>
              </w:tcPr>
              <w:p w14:paraId="3A16367F" w14:textId="77777777" w:rsidR="00830E72" w:rsidRDefault="008344D8">
                <w:pPr>
                  <w:jc w:val="right"/>
                  <w:rPr>
                    <w:szCs w:val="21"/>
                  </w:rPr>
                </w:pPr>
                <w:r>
                  <w:rPr>
                    <w:szCs w:val="21"/>
                  </w:rPr>
                  <w:t>4,360,578.56</w:t>
                </w:r>
              </w:p>
            </w:tc>
            <w:tc>
              <w:tcPr>
                <w:tcW w:w="869" w:type="pct"/>
                <w:shd w:val="clear" w:color="auto" w:fill="auto"/>
              </w:tcPr>
              <w:p w14:paraId="01356E39" w14:textId="77777777" w:rsidR="00830E72" w:rsidRDefault="008344D8">
                <w:pPr>
                  <w:jc w:val="right"/>
                  <w:rPr>
                    <w:szCs w:val="21"/>
                  </w:rPr>
                </w:pPr>
                <w:r>
                  <w:rPr>
                    <w:szCs w:val="21"/>
                  </w:rPr>
                  <w:t>4,360,578.56</w:t>
                </w:r>
              </w:p>
            </w:tc>
          </w:tr>
          <w:tr w:rsidR="00830E72" w14:paraId="065F1C0E" w14:textId="77777777">
            <w:trPr>
              <w:trHeight w:val="284"/>
            </w:trPr>
            <w:sdt>
              <w:sdtPr>
                <w:tag w:val="_PLD_3d92ef615d3b41e5abb58e018e2db72b"/>
                <w:id w:val="2139597442"/>
                <w:lock w:val="sdtLocked"/>
              </w:sdtPr>
              <w:sdtEndPr/>
              <w:sdtContent>
                <w:tc>
                  <w:tcPr>
                    <w:tcW w:w="1282" w:type="pct"/>
                    <w:shd w:val="clear" w:color="auto" w:fill="auto"/>
                    <w:vAlign w:val="center"/>
                  </w:tcPr>
                  <w:p w14:paraId="0EA79215" w14:textId="77777777" w:rsidR="00830E72" w:rsidRDefault="008344D8">
                    <w:pPr>
                      <w:rPr>
                        <w:szCs w:val="21"/>
                      </w:rPr>
                    </w:pPr>
                    <w:r>
                      <w:rPr>
                        <w:szCs w:val="21"/>
                      </w:rPr>
                      <w:t>二、累计</w:t>
                    </w:r>
                    <w:r>
                      <w:rPr>
                        <w:rFonts w:hint="eastAsia"/>
                        <w:szCs w:val="21"/>
                      </w:rPr>
                      <w:t>摊销</w:t>
                    </w:r>
                  </w:p>
                </w:tc>
              </w:sdtContent>
            </w:sdt>
            <w:tc>
              <w:tcPr>
                <w:tcW w:w="724" w:type="pct"/>
                <w:shd w:val="clear" w:color="auto" w:fill="auto"/>
              </w:tcPr>
              <w:p w14:paraId="4D9BD6F7" w14:textId="77777777" w:rsidR="00830E72" w:rsidRDefault="00830E72">
                <w:pPr>
                  <w:jc w:val="right"/>
                  <w:rPr>
                    <w:szCs w:val="21"/>
                  </w:rPr>
                </w:pPr>
              </w:p>
            </w:tc>
            <w:tc>
              <w:tcPr>
                <w:tcW w:w="568" w:type="pct"/>
                <w:shd w:val="clear" w:color="auto" w:fill="auto"/>
              </w:tcPr>
              <w:p w14:paraId="6E92A96E" w14:textId="77777777" w:rsidR="00830E72" w:rsidRDefault="00830E72">
                <w:pPr>
                  <w:jc w:val="right"/>
                  <w:rPr>
                    <w:szCs w:val="21"/>
                  </w:rPr>
                </w:pPr>
              </w:p>
            </w:tc>
            <w:tc>
              <w:tcPr>
                <w:tcW w:w="720" w:type="pct"/>
                <w:shd w:val="clear" w:color="auto" w:fill="auto"/>
              </w:tcPr>
              <w:p w14:paraId="0B7AC9CA" w14:textId="77777777" w:rsidR="00830E72" w:rsidRDefault="00830E72">
                <w:pPr>
                  <w:jc w:val="right"/>
                  <w:rPr>
                    <w:szCs w:val="21"/>
                  </w:rPr>
                </w:pPr>
              </w:p>
            </w:tc>
            <w:tc>
              <w:tcPr>
                <w:tcW w:w="836" w:type="pct"/>
                <w:shd w:val="clear" w:color="auto" w:fill="auto"/>
              </w:tcPr>
              <w:p w14:paraId="009C025C" w14:textId="77777777" w:rsidR="00830E72" w:rsidRDefault="00830E72">
                <w:pPr>
                  <w:jc w:val="right"/>
                  <w:rPr>
                    <w:szCs w:val="21"/>
                  </w:rPr>
                </w:pPr>
              </w:p>
            </w:tc>
            <w:tc>
              <w:tcPr>
                <w:tcW w:w="869" w:type="pct"/>
                <w:shd w:val="clear" w:color="auto" w:fill="auto"/>
              </w:tcPr>
              <w:p w14:paraId="7C132AD5" w14:textId="77777777" w:rsidR="00830E72" w:rsidRDefault="00830E72">
                <w:pPr>
                  <w:jc w:val="right"/>
                  <w:rPr>
                    <w:szCs w:val="21"/>
                  </w:rPr>
                </w:pPr>
              </w:p>
            </w:tc>
          </w:tr>
          <w:tr w:rsidR="00830E72" w14:paraId="4F8C2D90" w14:textId="77777777">
            <w:trPr>
              <w:trHeight w:val="284"/>
            </w:trPr>
            <w:sdt>
              <w:sdtPr>
                <w:tag w:val="_PLD_193e5febfa90446ca630ebb42ca96e06"/>
                <w:id w:val="-2048127416"/>
                <w:lock w:val="sdtLocked"/>
              </w:sdtPr>
              <w:sdtEndPr/>
              <w:sdtContent>
                <w:tc>
                  <w:tcPr>
                    <w:tcW w:w="1282" w:type="pct"/>
                    <w:shd w:val="clear" w:color="auto" w:fill="auto"/>
                    <w:vAlign w:val="center"/>
                  </w:tcPr>
                  <w:p w14:paraId="09C3E8AE" w14:textId="77777777" w:rsidR="00830E72" w:rsidRDefault="008344D8">
                    <w:pPr>
                      <w:ind w:firstLineChars="200" w:firstLine="420"/>
                      <w:rPr>
                        <w:szCs w:val="21"/>
                      </w:rPr>
                    </w:pPr>
                    <w:r>
                      <w:rPr>
                        <w:rFonts w:hint="eastAsia"/>
                        <w:szCs w:val="21"/>
                      </w:rPr>
                      <w:t>1.期</w:t>
                    </w:r>
                    <w:r>
                      <w:rPr>
                        <w:szCs w:val="21"/>
                      </w:rPr>
                      <w:t>初余额</w:t>
                    </w:r>
                  </w:p>
                </w:tc>
              </w:sdtContent>
            </w:sdt>
            <w:tc>
              <w:tcPr>
                <w:tcW w:w="724" w:type="pct"/>
                <w:shd w:val="clear" w:color="auto" w:fill="auto"/>
              </w:tcPr>
              <w:p w14:paraId="3BC21967" w14:textId="77777777" w:rsidR="00830E72" w:rsidRDefault="00830E72">
                <w:pPr>
                  <w:jc w:val="right"/>
                  <w:rPr>
                    <w:szCs w:val="21"/>
                  </w:rPr>
                </w:pPr>
              </w:p>
            </w:tc>
            <w:tc>
              <w:tcPr>
                <w:tcW w:w="568" w:type="pct"/>
                <w:shd w:val="clear" w:color="auto" w:fill="auto"/>
              </w:tcPr>
              <w:p w14:paraId="2055551E" w14:textId="77777777" w:rsidR="00830E72" w:rsidRDefault="00830E72">
                <w:pPr>
                  <w:jc w:val="right"/>
                  <w:rPr>
                    <w:szCs w:val="21"/>
                  </w:rPr>
                </w:pPr>
              </w:p>
            </w:tc>
            <w:tc>
              <w:tcPr>
                <w:tcW w:w="720" w:type="pct"/>
                <w:shd w:val="clear" w:color="auto" w:fill="auto"/>
              </w:tcPr>
              <w:p w14:paraId="04AF2B6E" w14:textId="77777777" w:rsidR="00830E72" w:rsidRDefault="00830E72">
                <w:pPr>
                  <w:jc w:val="right"/>
                  <w:rPr>
                    <w:szCs w:val="21"/>
                  </w:rPr>
                </w:pPr>
              </w:p>
            </w:tc>
            <w:tc>
              <w:tcPr>
                <w:tcW w:w="836" w:type="pct"/>
                <w:shd w:val="clear" w:color="auto" w:fill="auto"/>
              </w:tcPr>
              <w:p w14:paraId="4F21D208" w14:textId="77777777" w:rsidR="00830E72" w:rsidRDefault="008344D8">
                <w:pPr>
                  <w:jc w:val="center"/>
                  <w:rPr>
                    <w:szCs w:val="21"/>
                  </w:rPr>
                </w:pPr>
                <w:r>
                  <w:rPr>
                    <w:szCs w:val="21"/>
                  </w:rPr>
                  <w:t>2,698,665.12</w:t>
                </w:r>
              </w:p>
            </w:tc>
            <w:tc>
              <w:tcPr>
                <w:tcW w:w="869" w:type="pct"/>
                <w:shd w:val="clear" w:color="auto" w:fill="auto"/>
              </w:tcPr>
              <w:p w14:paraId="5F836A26" w14:textId="77777777" w:rsidR="00830E72" w:rsidRDefault="008344D8">
                <w:pPr>
                  <w:jc w:val="right"/>
                  <w:rPr>
                    <w:szCs w:val="21"/>
                  </w:rPr>
                </w:pPr>
                <w:r>
                  <w:rPr>
                    <w:szCs w:val="21"/>
                  </w:rPr>
                  <w:t>2,698,665.12</w:t>
                </w:r>
              </w:p>
            </w:tc>
          </w:tr>
          <w:tr w:rsidR="00830E72" w14:paraId="4038F82F" w14:textId="77777777">
            <w:trPr>
              <w:trHeight w:val="284"/>
            </w:trPr>
            <w:sdt>
              <w:sdtPr>
                <w:tag w:val="_PLD_1002de94b721483c99b3b05a42a37601"/>
                <w:id w:val="-1021159902"/>
                <w:lock w:val="sdtLocked"/>
              </w:sdtPr>
              <w:sdtEndPr/>
              <w:sdtContent>
                <w:tc>
                  <w:tcPr>
                    <w:tcW w:w="1282" w:type="pct"/>
                    <w:shd w:val="clear" w:color="auto" w:fill="auto"/>
                    <w:vAlign w:val="center"/>
                  </w:tcPr>
                  <w:p w14:paraId="4FBCCD85" w14:textId="77777777" w:rsidR="00830E72" w:rsidRDefault="008344D8">
                    <w:pPr>
                      <w:ind w:firstLineChars="200" w:firstLine="420"/>
                      <w:rPr>
                        <w:szCs w:val="21"/>
                      </w:rPr>
                    </w:pPr>
                    <w:r>
                      <w:rPr>
                        <w:szCs w:val="21"/>
                      </w:rPr>
                      <w:t>2.本期增加</w:t>
                    </w:r>
                    <w:r>
                      <w:rPr>
                        <w:rFonts w:hint="eastAsia"/>
                        <w:szCs w:val="21"/>
                      </w:rPr>
                      <w:t>金额</w:t>
                    </w:r>
                  </w:p>
                </w:tc>
              </w:sdtContent>
            </w:sdt>
            <w:tc>
              <w:tcPr>
                <w:tcW w:w="724" w:type="pct"/>
                <w:shd w:val="clear" w:color="auto" w:fill="auto"/>
              </w:tcPr>
              <w:p w14:paraId="192549DA" w14:textId="77777777" w:rsidR="00830E72" w:rsidRDefault="00830E72">
                <w:pPr>
                  <w:jc w:val="right"/>
                  <w:rPr>
                    <w:szCs w:val="21"/>
                  </w:rPr>
                </w:pPr>
              </w:p>
            </w:tc>
            <w:tc>
              <w:tcPr>
                <w:tcW w:w="568" w:type="pct"/>
                <w:shd w:val="clear" w:color="auto" w:fill="auto"/>
              </w:tcPr>
              <w:p w14:paraId="468EDE34" w14:textId="77777777" w:rsidR="00830E72" w:rsidRDefault="00830E72">
                <w:pPr>
                  <w:jc w:val="right"/>
                  <w:rPr>
                    <w:szCs w:val="21"/>
                  </w:rPr>
                </w:pPr>
              </w:p>
            </w:tc>
            <w:tc>
              <w:tcPr>
                <w:tcW w:w="720" w:type="pct"/>
                <w:shd w:val="clear" w:color="auto" w:fill="auto"/>
              </w:tcPr>
              <w:p w14:paraId="71EF3898" w14:textId="77777777" w:rsidR="00830E72" w:rsidRDefault="00830E72">
                <w:pPr>
                  <w:jc w:val="right"/>
                  <w:rPr>
                    <w:szCs w:val="21"/>
                  </w:rPr>
                </w:pPr>
              </w:p>
            </w:tc>
            <w:tc>
              <w:tcPr>
                <w:tcW w:w="836" w:type="pct"/>
                <w:shd w:val="clear" w:color="auto" w:fill="auto"/>
              </w:tcPr>
              <w:p w14:paraId="015B18E8" w14:textId="77777777" w:rsidR="00830E72" w:rsidRDefault="008344D8">
                <w:pPr>
                  <w:jc w:val="right"/>
                  <w:rPr>
                    <w:szCs w:val="21"/>
                  </w:rPr>
                </w:pPr>
                <w:r>
                  <w:t>256,001.6</w:t>
                </w:r>
              </w:p>
            </w:tc>
            <w:tc>
              <w:tcPr>
                <w:tcW w:w="869" w:type="pct"/>
                <w:shd w:val="clear" w:color="auto" w:fill="auto"/>
              </w:tcPr>
              <w:p w14:paraId="1ED72F29" w14:textId="77777777" w:rsidR="00830E72" w:rsidRDefault="008344D8">
                <w:pPr>
                  <w:jc w:val="right"/>
                  <w:rPr>
                    <w:szCs w:val="21"/>
                  </w:rPr>
                </w:pPr>
                <w:r>
                  <w:t>256,001.6</w:t>
                </w:r>
              </w:p>
            </w:tc>
          </w:tr>
          <w:tr w:rsidR="00830E72" w14:paraId="2A5AA837" w14:textId="77777777">
            <w:trPr>
              <w:trHeight w:val="284"/>
            </w:trPr>
            <w:sdt>
              <w:sdtPr>
                <w:tag w:val="_PLD_8a3c7c560c054537b4caae539fe46c59"/>
                <w:id w:val="-1984311053"/>
                <w:lock w:val="sdtLocked"/>
              </w:sdtPr>
              <w:sdtEndPr/>
              <w:sdtContent>
                <w:tc>
                  <w:tcPr>
                    <w:tcW w:w="1282" w:type="pct"/>
                    <w:shd w:val="clear" w:color="auto" w:fill="auto"/>
                    <w:vAlign w:val="center"/>
                  </w:tcPr>
                  <w:p w14:paraId="64960292" w14:textId="77777777" w:rsidR="00830E72" w:rsidRDefault="008344D8">
                    <w:pPr>
                      <w:ind w:firstLineChars="300" w:firstLine="630"/>
                      <w:rPr>
                        <w:szCs w:val="21"/>
                      </w:rPr>
                    </w:pPr>
                    <w:r>
                      <w:rPr>
                        <w:rFonts w:hint="eastAsia"/>
                        <w:szCs w:val="21"/>
                      </w:rPr>
                      <w:t>（1）</w:t>
                    </w:r>
                    <w:r>
                      <w:rPr>
                        <w:szCs w:val="21"/>
                      </w:rPr>
                      <w:t>计提</w:t>
                    </w:r>
                  </w:p>
                </w:tc>
              </w:sdtContent>
            </w:sdt>
            <w:tc>
              <w:tcPr>
                <w:tcW w:w="724" w:type="pct"/>
                <w:shd w:val="clear" w:color="auto" w:fill="auto"/>
              </w:tcPr>
              <w:p w14:paraId="69ED74F3" w14:textId="77777777" w:rsidR="00830E72" w:rsidRDefault="00830E72">
                <w:pPr>
                  <w:jc w:val="right"/>
                  <w:rPr>
                    <w:szCs w:val="21"/>
                  </w:rPr>
                </w:pPr>
              </w:p>
            </w:tc>
            <w:tc>
              <w:tcPr>
                <w:tcW w:w="568" w:type="pct"/>
                <w:shd w:val="clear" w:color="auto" w:fill="auto"/>
              </w:tcPr>
              <w:p w14:paraId="55AC8D48" w14:textId="77777777" w:rsidR="00830E72" w:rsidRDefault="00830E72">
                <w:pPr>
                  <w:jc w:val="right"/>
                  <w:rPr>
                    <w:szCs w:val="21"/>
                  </w:rPr>
                </w:pPr>
              </w:p>
            </w:tc>
            <w:tc>
              <w:tcPr>
                <w:tcW w:w="720" w:type="pct"/>
                <w:shd w:val="clear" w:color="auto" w:fill="auto"/>
              </w:tcPr>
              <w:p w14:paraId="57B4D86C" w14:textId="77777777" w:rsidR="00830E72" w:rsidRDefault="00830E72">
                <w:pPr>
                  <w:jc w:val="right"/>
                  <w:rPr>
                    <w:szCs w:val="21"/>
                  </w:rPr>
                </w:pPr>
              </w:p>
            </w:tc>
            <w:tc>
              <w:tcPr>
                <w:tcW w:w="836" w:type="pct"/>
                <w:shd w:val="clear" w:color="auto" w:fill="auto"/>
              </w:tcPr>
              <w:p w14:paraId="4FDF9C32" w14:textId="77777777" w:rsidR="00830E72" w:rsidRDefault="008344D8">
                <w:pPr>
                  <w:jc w:val="right"/>
                  <w:rPr>
                    <w:szCs w:val="21"/>
                  </w:rPr>
                </w:pPr>
                <w:r>
                  <w:rPr>
                    <w:szCs w:val="21"/>
                  </w:rPr>
                  <w:t>256,001.6</w:t>
                </w:r>
              </w:p>
            </w:tc>
            <w:tc>
              <w:tcPr>
                <w:tcW w:w="869" w:type="pct"/>
                <w:shd w:val="clear" w:color="auto" w:fill="auto"/>
              </w:tcPr>
              <w:p w14:paraId="507818C2" w14:textId="77777777" w:rsidR="00830E72" w:rsidRDefault="008344D8">
                <w:pPr>
                  <w:jc w:val="right"/>
                  <w:rPr>
                    <w:szCs w:val="21"/>
                  </w:rPr>
                </w:pPr>
                <w:r>
                  <w:rPr>
                    <w:szCs w:val="21"/>
                  </w:rPr>
                  <w:t>256,001.6</w:t>
                </w:r>
              </w:p>
            </w:tc>
          </w:tr>
          <w:tr w:rsidR="00830E72" w14:paraId="33649E6C" w14:textId="77777777">
            <w:trPr>
              <w:trHeight w:val="284"/>
            </w:trPr>
            <w:sdt>
              <w:sdtPr>
                <w:tag w:val="_PLD_915cb31bb4224f868e630c1166a0d717"/>
                <w:id w:val="-1750807569"/>
                <w:lock w:val="sdtLocked"/>
              </w:sdtPr>
              <w:sdtEndPr/>
              <w:sdtContent>
                <w:tc>
                  <w:tcPr>
                    <w:tcW w:w="1282" w:type="pct"/>
                    <w:shd w:val="clear" w:color="auto" w:fill="auto"/>
                    <w:vAlign w:val="center"/>
                  </w:tcPr>
                  <w:p w14:paraId="72F4025F" w14:textId="77777777" w:rsidR="00830E72" w:rsidRDefault="008344D8">
                    <w:pPr>
                      <w:ind w:firstLineChars="200" w:firstLine="420"/>
                      <w:rPr>
                        <w:szCs w:val="21"/>
                      </w:rPr>
                    </w:pPr>
                    <w:r>
                      <w:rPr>
                        <w:rFonts w:hint="eastAsia"/>
                        <w:szCs w:val="21"/>
                      </w:rPr>
                      <w:t>3.</w:t>
                    </w:r>
                    <w:r>
                      <w:rPr>
                        <w:szCs w:val="21"/>
                      </w:rPr>
                      <w:t>本期减少</w:t>
                    </w:r>
                    <w:r>
                      <w:rPr>
                        <w:rFonts w:hint="eastAsia"/>
                        <w:szCs w:val="21"/>
                      </w:rPr>
                      <w:t>金额</w:t>
                    </w:r>
                  </w:p>
                </w:tc>
              </w:sdtContent>
            </w:sdt>
            <w:tc>
              <w:tcPr>
                <w:tcW w:w="724" w:type="pct"/>
                <w:shd w:val="clear" w:color="auto" w:fill="auto"/>
              </w:tcPr>
              <w:p w14:paraId="160BDFCA" w14:textId="77777777" w:rsidR="00830E72" w:rsidRDefault="00830E72">
                <w:pPr>
                  <w:jc w:val="right"/>
                  <w:rPr>
                    <w:szCs w:val="21"/>
                  </w:rPr>
                </w:pPr>
              </w:p>
            </w:tc>
            <w:tc>
              <w:tcPr>
                <w:tcW w:w="568" w:type="pct"/>
                <w:shd w:val="clear" w:color="auto" w:fill="auto"/>
              </w:tcPr>
              <w:p w14:paraId="609503CD" w14:textId="77777777" w:rsidR="00830E72" w:rsidRDefault="00830E72">
                <w:pPr>
                  <w:jc w:val="right"/>
                  <w:rPr>
                    <w:szCs w:val="21"/>
                  </w:rPr>
                </w:pPr>
              </w:p>
            </w:tc>
            <w:tc>
              <w:tcPr>
                <w:tcW w:w="720" w:type="pct"/>
                <w:shd w:val="clear" w:color="auto" w:fill="auto"/>
              </w:tcPr>
              <w:p w14:paraId="4FBFAAE2" w14:textId="77777777" w:rsidR="00830E72" w:rsidRDefault="00830E72">
                <w:pPr>
                  <w:jc w:val="right"/>
                  <w:rPr>
                    <w:szCs w:val="21"/>
                  </w:rPr>
                </w:pPr>
              </w:p>
            </w:tc>
            <w:tc>
              <w:tcPr>
                <w:tcW w:w="836" w:type="pct"/>
                <w:shd w:val="clear" w:color="auto" w:fill="auto"/>
              </w:tcPr>
              <w:p w14:paraId="070B9106" w14:textId="77777777" w:rsidR="00830E72" w:rsidRDefault="008344D8">
                <w:pPr>
                  <w:jc w:val="right"/>
                  <w:rPr>
                    <w:szCs w:val="21"/>
                  </w:rPr>
                </w:pPr>
                <w:r>
                  <w:rPr>
                    <w:szCs w:val="21"/>
                  </w:rPr>
                  <w:t>42,502.95</w:t>
                </w:r>
              </w:p>
            </w:tc>
            <w:tc>
              <w:tcPr>
                <w:tcW w:w="869" w:type="pct"/>
                <w:shd w:val="clear" w:color="auto" w:fill="auto"/>
              </w:tcPr>
              <w:p w14:paraId="61C73C63" w14:textId="77777777" w:rsidR="00830E72" w:rsidRDefault="008344D8">
                <w:pPr>
                  <w:jc w:val="right"/>
                  <w:rPr>
                    <w:szCs w:val="21"/>
                  </w:rPr>
                </w:pPr>
                <w:r>
                  <w:rPr>
                    <w:szCs w:val="21"/>
                  </w:rPr>
                  <w:t>42,502.95</w:t>
                </w:r>
              </w:p>
            </w:tc>
          </w:tr>
          <w:tr w:rsidR="00830E72" w14:paraId="5CF363AB" w14:textId="77777777">
            <w:trPr>
              <w:trHeight w:val="284"/>
            </w:trPr>
            <w:sdt>
              <w:sdtPr>
                <w:tag w:val="_PLD_0d3cdfa6a81e4a8ab3796288b6ac246d"/>
                <w:id w:val="2119408423"/>
                <w:lock w:val="sdtLocked"/>
              </w:sdtPr>
              <w:sdtEndPr/>
              <w:sdtContent>
                <w:tc>
                  <w:tcPr>
                    <w:tcW w:w="1282" w:type="pct"/>
                    <w:shd w:val="clear" w:color="auto" w:fill="auto"/>
                    <w:vAlign w:val="center"/>
                  </w:tcPr>
                  <w:p w14:paraId="361E63C3" w14:textId="77777777" w:rsidR="00830E72" w:rsidRDefault="008344D8">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Content>
            </w:sdt>
            <w:tc>
              <w:tcPr>
                <w:tcW w:w="724" w:type="pct"/>
                <w:shd w:val="clear" w:color="auto" w:fill="auto"/>
              </w:tcPr>
              <w:p w14:paraId="46E5F11A" w14:textId="77777777" w:rsidR="00830E72" w:rsidRDefault="00830E72">
                <w:pPr>
                  <w:jc w:val="right"/>
                  <w:rPr>
                    <w:szCs w:val="21"/>
                  </w:rPr>
                </w:pPr>
              </w:p>
            </w:tc>
            <w:tc>
              <w:tcPr>
                <w:tcW w:w="568" w:type="pct"/>
                <w:shd w:val="clear" w:color="auto" w:fill="auto"/>
              </w:tcPr>
              <w:p w14:paraId="7E5F544C" w14:textId="77777777" w:rsidR="00830E72" w:rsidRDefault="00830E72">
                <w:pPr>
                  <w:jc w:val="right"/>
                  <w:rPr>
                    <w:szCs w:val="21"/>
                  </w:rPr>
                </w:pPr>
              </w:p>
            </w:tc>
            <w:tc>
              <w:tcPr>
                <w:tcW w:w="720" w:type="pct"/>
                <w:shd w:val="clear" w:color="auto" w:fill="auto"/>
              </w:tcPr>
              <w:p w14:paraId="2A31F05B" w14:textId="77777777" w:rsidR="00830E72" w:rsidRDefault="00830E72">
                <w:pPr>
                  <w:jc w:val="right"/>
                  <w:rPr>
                    <w:szCs w:val="21"/>
                  </w:rPr>
                </w:pPr>
              </w:p>
            </w:tc>
            <w:tc>
              <w:tcPr>
                <w:tcW w:w="836" w:type="pct"/>
                <w:shd w:val="clear" w:color="auto" w:fill="auto"/>
              </w:tcPr>
              <w:p w14:paraId="58DE9991" w14:textId="77777777" w:rsidR="00830E72" w:rsidRDefault="00830E72">
                <w:pPr>
                  <w:jc w:val="right"/>
                  <w:rPr>
                    <w:szCs w:val="21"/>
                  </w:rPr>
                </w:pPr>
              </w:p>
            </w:tc>
            <w:tc>
              <w:tcPr>
                <w:tcW w:w="869" w:type="pct"/>
                <w:shd w:val="clear" w:color="auto" w:fill="auto"/>
              </w:tcPr>
              <w:p w14:paraId="6EB62697" w14:textId="77777777" w:rsidR="00830E72" w:rsidRDefault="00830E72">
                <w:pPr>
                  <w:jc w:val="right"/>
                  <w:rPr>
                    <w:szCs w:val="21"/>
                  </w:rPr>
                </w:pPr>
              </w:p>
            </w:tc>
          </w:tr>
          <w:tr w:rsidR="00830E72" w14:paraId="6AB02568" w14:textId="77777777">
            <w:trPr>
              <w:trHeight w:val="284"/>
            </w:trPr>
            <w:sdt>
              <w:sdtPr>
                <w:tag w:val="_PLD_6b52e77de021464b99b9a2d55cb6dc5b"/>
                <w:id w:val="-1482069015"/>
                <w:lock w:val="sdtLocked"/>
              </w:sdtPr>
              <w:sdtEndPr/>
              <w:sdtContent>
                <w:tc>
                  <w:tcPr>
                    <w:tcW w:w="1282" w:type="pct"/>
                    <w:shd w:val="clear" w:color="auto" w:fill="auto"/>
                    <w:vAlign w:val="center"/>
                  </w:tcPr>
                  <w:p w14:paraId="004377DC" w14:textId="77777777" w:rsidR="00830E72" w:rsidRDefault="008344D8">
                    <w:pPr>
                      <w:ind w:firstLineChars="200" w:firstLine="420"/>
                      <w:rPr>
                        <w:szCs w:val="21"/>
                      </w:rPr>
                    </w:pPr>
                    <w:r>
                      <w:rPr>
                        <w:rFonts w:hint="eastAsia"/>
                        <w:szCs w:val="21"/>
                      </w:rPr>
                      <w:t>4.</w:t>
                    </w:r>
                    <w:r>
                      <w:rPr>
                        <w:szCs w:val="21"/>
                      </w:rPr>
                      <w:t>期末余额</w:t>
                    </w:r>
                  </w:p>
                </w:tc>
              </w:sdtContent>
            </w:sdt>
            <w:tc>
              <w:tcPr>
                <w:tcW w:w="724" w:type="pct"/>
                <w:shd w:val="clear" w:color="auto" w:fill="auto"/>
              </w:tcPr>
              <w:p w14:paraId="3759D324" w14:textId="77777777" w:rsidR="00830E72" w:rsidRDefault="00830E72">
                <w:pPr>
                  <w:jc w:val="right"/>
                  <w:rPr>
                    <w:szCs w:val="21"/>
                  </w:rPr>
                </w:pPr>
              </w:p>
            </w:tc>
            <w:tc>
              <w:tcPr>
                <w:tcW w:w="568" w:type="pct"/>
                <w:shd w:val="clear" w:color="auto" w:fill="auto"/>
              </w:tcPr>
              <w:p w14:paraId="0C05E9F8" w14:textId="77777777" w:rsidR="00830E72" w:rsidRDefault="00830E72">
                <w:pPr>
                  <w:jc w:val="right"/>
                  <w:rPr>
                    <w:szCs w:val="21"/>
                  </w:rPr>
                </w:pPr>
              </w:p>
            </w:tc>
            <w:tc>
              <w:tcPr>
                <w:tcW w:w="720" w:type="pct"/>
                <w:shd w:val="clear" w:color="auto" w:fill="auto"/>
              </w:tcPr>
              <w:p w14:paraId="59ED8172" w14:textId="77777777" w:rsidR="00830E72" w:rsidRDefault="00830E72">
                <w:pPr>
                  <w:jc w:val="right"/>
                  <w:rPr>
                    <w:szCs w:val="21"/>
                  </w:rPr>
                </w:pPr>
              </w:p>
            </w:tc>
            <w:tc>
              <w:tcPr>
                <w:tcW w:w="836" w:type="pct"/>
                <w:shd w:val="clear" w:color="auto" w:fill="auto"/>
              </w:tcPr>
              <w:p w14:paraId="078BCEA8" w14:textId="77777777" w:rsidR="00830E72" w:rsidRDefault="008344D8">
                <w:pPr>
                  <w:jc w:val="center"/>
                  <w:rPr>
                    <w:szCs w:val="21"/>
                  </w:rPr>
                </w:pPr>
                <w:r>
                  <w:rPr>
                    <w:szCs w:val="21"/>
                  </w:rPr>
                  <w:t>2,912,163.77</w:t>
                </w:r>
              </w:p>
            </w:tc>
            <w:tc>
              <w:tcPr>
                <w:tcW w:w="869" w:type="pct"/>
                <w:shd w:val="clear" w:color="auto" w:fill="auto"/>
              </w:tcPr>
              <w:p w14:paraId="1983A726" w14:textId="77777777" w:rsidR="00830E72" w:rsidRDefault="008344D8">
                <w:pPr>
                  <w:jc w:val="right"/>
                  <w:rPr>
                    <w:szCs w:val="21"/>
                  </w:rPr>
                </w:pPr>
                <w:r>
                  <w:rPr>
                    <w:szCs w:val="21"/>
                  </w:rPr>
                  <w:t>2,912,163.77</w:t>
                </w:r>
              </w:p>
            </w:tc>
          </w:tr>
          <w:tr w:rsidR="00830E72" w14:paraId="3F3065E0" w14:textId="77777777">
            <w:trPr>
              <w:trHeight w:val="284"/>
            </w:trPr>
            <w:sdt>
              <w:sdtPr>
                <w:tag w:val="_PLD_100d3bc56cc142c1b30c3998528f8af2"/>
                <w:id w:val="193968086"/>
                <w:lock w:val="sdtLocked"/>
              </w:sdtPr>
              <w:sdtEndPr/>
              <w:sdtContent>
                <w:tc>
                  <w:tcPr>
                    <w:tcW w:w="1282" w:type="pct"/>
                    <w:shd w:val="clear" w:color="auto" w:fill="auto"/>
                    <w:vAlign w:val="center"/>
                  </w:tcPr>
                  <w:p w14:paraId="0298075D" w14:textId="77777777" w:rsidR="00830E72" w:rsidRDefault="008344D8">
                    <w:pPr>
                      <w:rPr>
                        <w:szCs w:val="21"/>
                      </w:rPr>
                    </w:pPr>
                    <w:r>
                      <w:rPr>
                        <w:szCs w:val="21"/>
                      </w:rPr>
                      <w:t>三、减值准备</w:t>
                    </w:r>
                  </w:p>
                </w:tc>
              </w:sdtContent>
            </w:sdt>
            <w:tc>
              <w:tcPr>
                <w:tcW w:w="724" w:type="pct"/>
                <w:shd w:val="clear" w:color="auto" w:fill="auto"/>
              </w:tcPr>
              <w:p w14:paraId="1D5F2293" w14:textId="77777777" w:rsidR="00830E72" w:rsidRDefault="00830E72">
                <w:pPr>
                  <w:jc w:val="right"/>
                  <w:rPr>
                    <w:szCs w:val="21"/>
                  </w:rPr>
                </w:pPr>
              </w:p>
            </w:tc>
            <w:tc>
              <w:tcPr>
                <w:tcW w:w="568" w:type="pct"/>
                <w:shd w:val="clear" w:color="auto" w:fill="auto"/>
              </w:tcPr>
              <w:p w14:paraId="65BE2630" w14:textId="77777777" w:rsidR="00830E72" w:rsidRDefault="00830E72">
                <w:pPr>
                  <w:jc w:val="right"/>
                  <w:rPr>
                    <w:szCs w:val="21"/>
                  </w:rPr>
                </w:pPr>
              </w:p>
            </w:tc>
            <w:tc>
              <w:tcPr>
                <w:tcW w:w="720" w:type="pct"/>
                <w:shd w:val="clear" w:color="auto" w:fill="auto"/>
              </w:tcPr>
              <w:p w14:paraId="4ACBE68A" w14:textId="77777777" w:rsidR="00830E72" w:rsidRDefault="00830E72">
                <w:pPr>
                  <w:jc w:val="right"/>
                  <w:rPr>
                    <w:szCs w:val="21"/>
                  </w:rPr>
                </w:pPr>
              </w:p>
            </w:tc>
            <w:tc>
              <w:tcPr>
                <w:tcW w:w="836" w:type="pct"/>
                <w:shd w:val="clear" w:color="auto" w:fill="auto"/>
              </w:tcPr>
              <w:p w14:paraId="0B581394" w14:textId="77777777" w:rsidR="00830E72" w:rsidRDefault="00830E72">
                <w:pPr>
                  <w:jc w:val="right"/>
                  <w:rPr>
                    <w:szCs w:val="21"/>
                  </w:rPr>
                </w:pPr>
              </w:p>
            </w:tc>
            <w:tc>
              <w:tcPr>
                <w:tcW w:w="869" w:type="pct"/>
                <w:shd w:val="clear" w:color="auto" w:fill="auto"/>
              </w:tcPr>
              <w:p w14:paraId="4CF3C744" w14:textId="77777777" w:rsidR="00830E72" w:rsidRDefault="00830E72">
                <w:pPr>
                  <w:jc w:val="right"/>
                  <w:rPr>
                    <w:szCs w:val="21"/>
                  </w:rPr>
                </w:pPr>
              </w:p>
            </w:tc>
          </w:tr>
          <w:tr w:rsidR="00830E72" w14:paraId="6726581E" w14:textId="77777777">
            <w:trPr>
              <w:trHeight w:val="284"/>
            </w:trPr>
            <w:sdt>
              <w:sdtPr>
                <w:tag w:val="_PLD_420f955ca82e4f579c5533e44e7054ff"/>
                <w:id w:val="-1972349243"/>
                <w:lock w:val="sdtLocked"/>
              </w:sdtPr>
              <w:sdtEndPr/>
              <w:sdtContent>
                <w:tc>
                  <w:tcPr>
                    <w:tcW w:w="1282" w:type="pct"/>
                    <w:shd w:val="clear" w:color="auto" w:fill="auto"/>
                    <w:vAlign w:val="center"/>
                  </w:tcPr>
                  <w:p w14:paraId="3EC12AFA" w14:textId="77777777" w:rsidR="00830E72" w:rsidRDefault="008344D8">
                    <w:pPr>
                      <w:ind w:firstLineChars="200" w:firstLine="420"/>
                      <w:rPr>
                        <w:szCs w:val="21"/>
                      </w:rPr>
                    </w:pPr>
                    <w:r>
                      <w:rPr>
                        <w:rFonts w:hint="eastAsia"/>
                        <w:szCs w:val="21"/>
                      </w:rPr>
                      <w:t>1.期</w:t>
                    </w:r>
                    <w:r>
                      <w:rPr>
                        <w:szCs w:val="21"/>
                      </w:rPr>
                      <w:t>初余额</w:t>
                    </w:r>
                  </w:p>
                </w:tc>
              </w:sdtContent>
            </w:sdt>
            <w:tc>
              <w:tcPr>
                <w:tcW w:w="724" w:type="pct"/>
                <w:shd w:val="clear" w:color="auto" w:fill="auto"/>
              </w:tcPr>
              <w:p w14:paraId="139A822E" w14:textId="77777777" w:rsidR="00830E72" w:rsidRDefault="00830E72">
                <w:pPr>
                  <w:jc w:val="right"/>
                  <w:rPr>
                    <w:szCs w:val="21"/>
                  </w:rPr>
                </w:pPr>
              </w:p>
            </w:tc>
            <w:tc>
              <w:tcPr>
                <w:tcW w:w="568" w:type="pct"/>
                <w:shd w:val="clear" w:color="auto" w:fill="auto"/>
              </w:tcPr>
              <w:p w14:paraId="2980CB85" w14:textId="77777777" w:rsidR="00830E72" w:rsidRDefault="00830E72">
                <w:pPr>
                  <w:jc w:val="right"/>
                  <w:rPr>
                    <w:szCs w:val="21"/>
                  </w:rPr>
                </w:pPr>
              </w:p>
            </w:tc>
            <w:tc>
              <w:tcPr>
                <w:tcW w:w="720" w:type="pct"/>
                <w:shd w:val="clear" w:color="auto" w:fill="auto"/>
              </w:tcPr>
              <w:p w14:paraId="4D0C789E" w14:textId="77777777" w:rsidR="00830E72" w:rsidRDefault="00830E72">
                <w:pPr>
                  <w:jc w:val="right"/>
                  <w:rPr>
                    <w:szCs w:val="21"/>
                  </w:rPr>
                </w:pPr>
              </w:p>
            </w:tc>
            <w:tc>
              <w:tcPr>
                <w:tcW w:w="836" w:type="pct"/>
                <w:shd w:val="clear" w:color="auto" w:fill="auto"/>
              </w:tcPr>
              <w:p w14:paraId="727C344A" w14:textId="77777777" w:rsidR="00830E72" w:rsidRDefault="00830E72">
                <w:pPr>
                  <w:jc w:val="right"/>
                  <w:rPr>
                    <w:szCs w:val="21"/>
                  </w:rPr>
                </w:pPr>
              </w:p>
            </w:tc>
            <w:tc>
              <w:tcPr>
                <w:tcW w:w="869" w:type="pct"/>
                <w:shd w:val="clear" w:color="auto" w:fill="auto"/>
              </w:tcPr>
              <w:p w14:paraId="21EEF47E" w14:textId="77777777" w:rsidR="00830E72" w:rsidRDefault="00830E72">
                <w:pPr>
                  <w:jc w:val="right"/>
                  <w:rPr>
                    <w:szCs w:val="21"/>
                  </w:rPr>
                </w:pPr>
              </w:p>
            </w:tc>
          </w:tr>
          <w:tr w:rsidR="00830E72" w14:paraId="48F7EBF9" w14:textId="77777777">
            <w:trPr>
              <w:trHeight w:val="284"/>
            </w:trPr>
            <w:sdt>
              <w:sdtPr>
                <w:tag w:val="_PLD_7efb2ccf9b504b529547ebac5b8ce675"/>
                <w:id w:val="1851831282"/>
                <w:lock w:val="sdtLocked"/>
              </w:sdtPr>
              <w:sdtEndPr/>
              <w:sdtContent>
                <w:tc>
                  <w:tcPr>
                    <w:tcW w:w="1282" w:type="pct"/>
                    <w:shd w:val="clear" w:color="auto" w:fill="auto"/>
                    <w:vAlign w:val="center"/>
                  </w:tcPr>
                  <w:p w14:paraId="450F68A4" w14:textId="77777777" w:rsidR="00830E72" w:rsidRDefault="008344D8">
                    <w:pPr>
                      <w:ind w:firstLineChars="200" w:firstLine="420"/>
                      <w:rPr>
                        <w:szCs w:val="21"/>
                      </w:rPr>
                    </w:pPr>
                    <w:r>
                      <w:rPr>
                        <w:szCs w:val="21"/>
                      </w:rPr>
                      <w:t>2.本期增加</w:t>
                    </w:r>
                    <w:r>
                      <w:rPr>
                        <w:rFonts w:hint="eastAsia"/>
                        <w:szCs w:val="21"/>
                      </w:rPr>
                      <w:t>金额</w:t>
                    </w:r>
                  </w:p>
                </w:tc>
              </w:sdtContent>
            </w:sdt>
            <w:tc>
              <w:tcPr>
                <w:tcW w:w="724" w:type="pct"/>
                <w:shd w:val="clear" w:color="auto" w:fill="auto"/>
              </w:tcPr>
              <w:p w14:paraId="7B2E2B13" w14:textId="77777777" w:rsidR="00830E72" w:rsidRDefault="00830E72">
                <w:pPr>
                  <w:jc w:val="right"/>
                  <w:rPr>
                    <w:szCs w:val="21"/>
                  </w:rPr>
                </w:pPr>
              </w:p>
            </w:tc>
            <w:tc>
              <w:tcPr>
                <w:tcW w:w="568" w:type="pct"/>
                <w:shd w:val="clear" w:color="auto" w:fill="auto"/>
              </w:tcPr>
              <w:p w14:paraId="35376D64" w14:textId="77777777" w:rsidR="00830E72" w:rsidRDefault="00830E72">
                <w:pPr>
                  <w:jc w:val="right"/>
                  <w:rPr>
                    <w:szCs w:val="21"/>
                  </w:rPr>
                </w:pPr>
              </w:p>
            </w:tc>
            <w:tc>
              <w:tcPr>
                <w:tcW w:w="720" w:type="pct"/>
                <w:shd w:val="clear" w:color="auto" w:fill="auto"/>
              </w:tcPr>
              <w:p w14:paraId="2A6C67FA" w14:textId="77777777" w:rsidR="00830E72" w:rsidRDefault="00830E72">
                <w:pPr>
                  <w:jc w:val="right"/>
                  <w:rPr>
                    <w:szCs w:val="21"/>
                  </w:rPr>
                </w:pPr>
              </w:p>
            </w:tc>
            <w:tc>
              <w:tcPr>
                <w:tcW w:w="836" w:type="pct"/>
                <w:shd w:val="clear" w:color="auto" w:fill="auto"/>
              </w:tcPr>
              <w:p w14:paraId="1BDDA2B6" w14:textId="77777777" w:rsidR="00830E72" w:rsidRDefault="00830E72">
                <w:pPr>
                  <w:jc w:val="right"/>
                  <w:rPr>
                    <w:szCs w:val="21"/>
                  </w:rPr>
                </w:pPr>
              </w:p>
            </w:tc>
            <w:tc>
              <w:tcPr>
                <w:tcW w:w="869" w:type="pct"/>
                <w:shd w:val="clear" w:color="auto" w:fill="auto"/>
              </w:tcPr>
              <w:p w14:paraId="20B7DF22" w14:textId="77777777" w:rsidR="00830E72" w:rsidRDefault="00830E72">
                <w:pPr>
                  <w:jc w:val="right"/>
                  <w:rPr>
                    <w:szCs w:val="21"/>
                  </w:rPr>
                </w:pPr>
              </w:p>
            </w:tc>
          </w:tr>
          <w:tr w:rsidR="00830E72" w14:paraId="3BE953E2" w14:textId="77777777">
            <w:trPr>
              <w:trHeight w:val="284"/>
            </w:trPr>
            <w:sdt>
              <w:sdtPr>
                <w:tag w:val="_PLD_c13e2ead7b5f41d0891abcff97ced932"/>
                <w:id w:val="171148748"/>
                <w:lock w:val="sdtLocked"/>
              </w:sdtPr>
              <w:sdtEndPr/>
              <w:sdtContent>
                <w:tc>
                  <w:tcPr>
                    <w:tcW w:w="1282" w:type="pct"/>
                    <w:shd w:val="clear" w:color="auto" w:fill="auto"/>
                    <w:vAlign w:val="center"/>
                  </w:tcPr>
                  <w:p w14:paraId="6A249A61" w14:textId="77777777" w:rsidR="00830E72" w:rsidRDefault="008344D8">
                    <w:pPr>
                      <w:ind w:firstLineChars="300" w:firstLine="630"/>
                      <w:rPr>
                        <w:szCs w:val="21"/>
                      </w:rPr>
                    </w:pPr>
                    <w:r>
                      <w:rPr>
                        <w:rFonts w:hint="eastAsia"/>
                        <w:szCs w:val="21"/>
                      </w:rPr>
                      <w:t>（1）</w:t>
                    </w:r>
                    <w:r>
                      <w:rPr>
                        <w:szCs w:val="21"/>
                      </w:rPr>
                      <w:t>计提</w:t>
                    </w:r>
                  </w:p>
                </w:tc>
              </w:sdtContent>
            </w:sdt>
            <w:tc>
              <w:tcPr>
                <w:tcW w:w="724" w:type="pct"/>
                <w:shd w:val="clear" w:color="auto" w:fill="auto"/>
              </w:tcPr>
              <w:p w14:paraId="19435CCC" w14:textId="77777777" w:rsidR="00830E72" w:rsidRDefault="00830E72">
                <w:pPr>
                  <w:jc w:val="right"/>
                  <w:rPr>
                    <w:szCs w:val="21"/>
                  </w:rPr>
                </w:pPr>
              </w:p>
            </w:tc>
            <w:tc>
              <w:tcPr>
                <w:tcW w:w="568" w:type="pct"/>
                <w:shd w:val="clear" w:color="auto" w:fill="auto"/>
              </w:tcPr>
              <w:p w14:paraId="484BC49E" w14:textId="77777777" w:rsidR="00830E72" w:rsidRDefault="00830E72">
                <w:pPr>
                  <w:jc w:val="right"/>
                  <w:rPr>
                    <w:szCs w:val="21"/>
                  </w:rPr>
                </w:pPr>
              </w:p>
            </w:tc>
            <w:tc>
              <w:tcPr>
                <w:tcW w:w="720" w:type="pct"/>
                <w:shd w:val="clear" w:color="auto" w:fill="auto"/>
              </w:tcPr>
              <w:p w14:paraId="1DC2B851" w14:textId="77777777" w:rsidR="00830E72" w:rsidRDefault="00830E72">
                <w:pPr>
                  <w:jc w:val="right"/>
                  <w:rPr>
                    <w:szCs w:val="21"/>
                  </w:rPr>
                </w:pPr>
              </w:p>
            </w:tc>
            <w:tc>
              <w:tcPr>
                <w:tcW w:w="836" w:type="pct"/>
                <w:shd w:val="clear" w:color="auto" w:fill="auto"/>
              </w:tcPr>
              <w:p w14:paraId="5225C9E0" w14:textId="77777777" w:rsidR="00830E72" w:rsidRDefault="00830E72">
                <w:pPr>
                  <w:jc w:val="right"/>
                  <w:rPr>
                    <w:szCs w:val="21"/>
                  </w:rPr>
                </w:pPr>
              </w:p>
            </w:tc>
            <w:tc>
              <w:tcPr>
                <w:tcW w:w="869" w:type="pct"/>
                <w:shd w:val="clear" w:color="auto" w:fill="auto"/>
              </w:tcPr>
              <w:p w14:paraId="0EBE7709" w14:textId="77777777" w:rsidR="00830E72" w:rsidRDefault="00830E72">
                <w:pPr>
                  <w:jc w:val="right"/>
                  <w:rPr>
                    <w:szCs w:val="21"/>
                  </w:rPr>
                </w:pPr>
              </w:p>
            </w:tc>
          </w:tr>
          <w:tr w:rsidR="00830E72" w14:paraId="174E2494" w14:textId="77777777">
            <w:trPr>
              <w:trHeight w:val="284"/>
            </w:trPr>
            <w:sdt>
              <w:sdtPr>
                <w:tag w:val="_PLD_80ddaa0f1cfd432483c808ea875d3645"/>
                <w:id w:val="688645947"/>
                <w:lock w:val="sdtLocked"/>
              </w:sdtPr>
              <w:sdtEndPr/>
              <w:sdtContent>
                <w:tc>
                  <w:tcPr>
                    <w:tcW w:w="1282" w:type="pct"/>
                    <w:shd w:val="clear" w:color="auto" w:fill="auto"/>
                    <w:vAlign w:val="center"/>
                  </w:tcPr>
                  <w:p w14:paraId="0143E71D" w14:textId="77777777" w:rsidR="00830E72" w:rsidRDefault="008344D8">
                    <w:pPr>
                      <w:ind w:firstLineChars="200" w:firstLine="420"/>
                      <w:rPr>
                        <w:szCs w:val="21"/>
                      </w:rPr>
                    </w:pPr>
                    <w:r>
                      <w:rPr>
                        <w:rFonts w:hint="eastAsia"/>
                        <w:szCs w:val="21"/>
                      </w:rPr>
                      <w:t>3.</w:t>
                    </w:r>
                    <w:r>
                      <w:rPr>
                        <w:szCs w:val="21"/>
                      </w:rPr>
                      <w:t>本期减少</w:t>
                    </w:r>
                    <w:r>
                      <w:rPr>
                        <w:rFonts w:hint="eastAsia"/>
                        <w:szCs w:val="21"/>
                      </w:rPr>
                      <w:t>金额</w:t>
                    </w:r>
                  </w:p>
                </w:tc>
              </w:sdtContent>
            </w:sdt>
            <w:tc>
              <w:tcPr>
                <w:tcW w:w="724" w:type="pct"/>
                <w:shd w:val="clear" w:color="auto" w:fill="auto"/>
              </w:tcPr>
              <w:p w14:paraId="2505E721" w14:textId="77777777" w:rsidR="00830E72" w:rsidRDefault="00830E72">
                <w:pPr>
                  <w:jc w:val="right"/>
                  <w:rPr>
                    <w:szCs w:val="21"/>
                  </w:rPr>
                </w:pPr>
              </w:p>
            </w:tc>
            <w:tc>
              <w:tcPr>
                <w:tcW w:w="568" w:type="pct"/>
                <w:shd w:val="clear" w:color="auto" w:fill="auto"/>
              </w:tcPr>
              <w:p w14:paraId="6E809B2D" w14:textId="77777777" w:rsidR="00830E72" w:rsidRDefault="00830E72">
                <w:pPr>
                  <w:jc w:val="right"/>
                  <w:rPr>
                    <w:szCs w:val="21"/>
                  </w:rPr>
                </w:pPr>
              </w:p>
            </w:tc>
            <w:tc>
              <w:tcPr>
                <w:tcW w:w="720" w:type="pct"/>
                <w:shd w:val="clear" w:color="auto" w:fill="auto"/>
              </w:tcPr>
              <w:p w14:paraId="56CE0FE9" w14:textId="77777777" w:rsidR="00830E72" w:rsidRDefault="00830E72">
                <w:pPr>
                  <w:jc w:val="right"/>
                  <w:rPr>
                    <w:szCs w:val="21"/>
                  </w:rPr>
                </w:pPr>
              </w:p>
            </w:tc>
            <w:tc>
              <w:tcPr>
                <w:tcW w:w="836" w:type="pct"/>
                <w:shd w:val="clear" w:color="auto" w:fill="auto"/>
              </w:tcPr>
              <w:p w14:paraId="3A4537EF" w14:textId="77777777" w:rsidR="00830E72" w:rsidRDefault="00830E72">
                <w:pPr>
                  <w:jc w:val="right"/>
                  <w:rPr>
                    <w:szCs w:val="21"/>
                  </w:rPr>
                </w:pPr>
              </w:p>
            </w:tc>
            <w:tc>
              <w:tcPr>
                <w:tcW w:w="869" w:type="pct"/>
                <w:shd w:val="clear" w:color="auto" w:fill="auto"/>
              </w:tcPr>
              <w:p w14:paraId="0C7FA0F2" w14:textId="77777777" w:rsidR="00830E72" w:rsidRDefault="00830E72">
                <w:pPr>
                  <w:jc w:val="right"/>
                  <w:rPr>
                    <w:szCs w:val="21"/>
                  </w:rPr>
                </w:pPr>
              </w:p>
            </w:tc>
          </w:tr>
          <w:tr w:rsidR="00830E72" w14:paraId="4C8F5554" w14:textId="77777777">
            <w:trPr>
              <w:trHeight w:val="284"/>
            </w:trPr>
            <w:sdt>
              <w:sdtPr>
                <w:tag w:val="_PLD_2737286ed2dd4f3f95206ad01cd11070"/>
                <w:id w:val="1432321038"/>
                <w:lock w:val="sdtLocked"/>
              </w:sdtPr>
              <w:sdtEndPr/>
              <w:sdtContent>
                <w:tc>
                  <w:tcPr>
                    <w:tcW w:w="1282" w:type="pct"/>
                    <w:shd w:val="clear" w:color="auto" w:fill="auto"/>
                    <w:vAlign w:val="center"/>
                  </w:tcPr>
                  <w:p w14:paraId="2BDE123D" w14:textId="77777777" w:rsidR="00830E72" w:rsidRDefault="008344D8">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724" w:type="pct"/>
                <w:shd w:val="clear" w:color="auto" w:fill="auto"/>
              </w:tcPr>
              <w:p w14:paraId="016E8B26" w14:textId="77777777" w:rsidR="00830E72" w:rsidRDefault="00830E72">
                <w:pPr>
                  <w:jc w:val="right"/>
                  <w:rPr>
                    <w:szCs w:val="21"/>
                  </w:rPr>
                </w:pPr>
              </w:p>
            </w:tc>
            <w:tc>
              <w:tcPr>
                <w:tcW w:w="568" w:type="pct"/>
                <w:shd w:val="clear" w:color="auto" w:fill="auto"/>
              </w:tcPr>
              <w:p w14:paraId="08DCF43E" w14:textId="77777777" w:rsidR="00830E72" w:rsidRDefault="00830E72">
                <w:pPr>
                  <w:jc w:val="right"/>
                  <w:rPr>
                    <w:szCs w:val="21"/>
                  </w:rPr>
                </w:pPr>
              </w:p>
            </w:tc>
            <w:tc>
              <w:tcPr>
                <w:tcW w:w="720" w:type="pct"/>
                <w:shd w:val="clear" w:color="auto" w:fill="auto"/>
              </w:tcPr>
              <w:p w14:paraId="1F92B449" w14:textId="77777777" w:rsidR="00830E72" w:rsidRDefault="00830E72">
                <w:pPr>
                  <w:jc w:val="right"/>
                  <w:rPr>
                    <w:szCs w:val="21"/>
                  </w:rPr>
                </w:pPr>
              </w:p>
            </w:tc>
            <w:tc>
              <w:tcPr>
                <w:tcW w:w="836" w:type="pct"/>
                <w:shd w:val="clear" w:color="auto" w:fill="auto"/>
              </w:tcPr>
              <w:p w14:paraId="5A1B179E" w14:textId="77777777" w:rsidR="00830E72" w:rsidRDefault="00830E72">
                <w:pPr>
                  <w:jc w:val="right"/>
                  <w:rPr>
                    <w:szCs w:val="21"/>
                  </w:rPr>
                </w:pPr>
              </w:p>
            </w:tc>
            <w:tc>
              <w:tcPr>
                <w:tcW w:w="869" w:type="pct"/>
                <w:shd w:val="clear" w:color="auto" w:fill="auto"/>
              </w:tcPr>
              <w:p w14:paraId="5C65E858" w14:textId="77777777" w:rsidR="00830E72" w:rsidRDefault="00830E72">
                <w:pPr>
                  <w:jc w:val="right"/>
                  <w:rPr>
                    <w:szCs w:val="21"/>
                  </w:rPr>
                </w:pPr>
              </w:p>
            </w:tc>
          </w:tr>
          <w:tr w:rsidR="00830E72" w14:paraId="325183C6" w14:textId="77777777">
            <w:trPr>
              <w:trHeight w:val="284"/>
            </w:trPr>
            <w:sdt>
              <w:sdtPr>
                <w:tag w:val="_PLD_4a919606beac465fb30f547b86305b00"/>
                <w:id w:val="2058820039"/>
                <w:lock w:val="sdtLocked"/>
              </w:sdtPr>
              <w:sdtEndPr/>
              <w:sdtContent>
                <w:tc>
                  <w:tcPr>
                    <w:tcW w:w="1282" w:type="pct"/>
                    <w:shd w:val="clear" w:color="auto" w:fill="auto"/>
                    <w:vAlign w:val="center"/>
                  </w:tcPr>
                  <w:p w14:paraId="31C95DCB" w14:textId="77777777" w:rsidR="00830E72" w:rsidRDefault="008344D8">
                    <w:pPr>
                      <w:ind w:firstLineChars="200" w:firstLine="420"/>
                      <w:rPr>
                        <w:szCs w:val="21"/>
                      </w:rPr>
                    </w:pPr>
                    <w:r>
                      <w:rPr>
                        <w:rFonts w:hint="eastAsia"/>
                        <w:szCs w:val="21"/>
                      </w:rPr>
                      <w:t>4.</w:t>
                    </w:r>
                    <w:r>
                      <w:rPr>
                        <w:szCs w:val="21"/>
                      </w:rPr>
                      <w:t>期末余额</w:t>
                    </w:r>
                  </w:p>
                </w:tc>
              </w:sdtContent>
            </w:sdt>
            <w:tc>
              <w:tcPr>
                <w:tcW w:w="724" w:type="pct"/>
                <w:shd w:val="clear" w:color="auto" w:fill="auto"/>
              </w:tcPr>
              <w:p w14:paraId="15200C44" w14:textId="77777777" w:rsidR="00830E72" w:rsidRDefault="00830E72">
                <w:pPr>
                  <w:jc w:val="right"/>
                  <w:rPr>
                    <w:szCs w:val="21"/>
                  </w:rPr>
                </w:pPr>
              </w:p>
            </w:tc>
            <w:tc>
              <w:tcPr>
                <w:tcW w:w="568" w:type="pct"/>
                <w:shd w:val="clear" w:color="auto" w:fill="auto"/>
              </w:tcPr>
              <w:p w14:paraId="0983462D" w14:textId="77777777" w:rsidR="00830E72" w:rsidRDefault="00830E72">
                <w:pPr>
                  <w:jc w:val="right"/>
                  <w:rPr>
                    <w:szCs w:val="21"/>
                  </w:rPr>
                </w:pPr>
              </w:p>
            </w:tc>
            <w:tc>
              <w:tcPr>
                <w:tcW w:w="720" w:type="pct"/>
                <w:shd w:val="clear" w:color="auto" w:fill="auto"/>
              </w:tcPr>
              <w:p w14:paraId="0C27EC0A" w14:textId="77777777" w:rsidR="00830E72" w:rsidRDefault="00830E72">
                <w:pPr>
                  <w:jc w:val="right"/>
                  <w:rPr>
                    <w:szCs w:val="21"/>
                  </w:rPr>
                </w:pPr>
              </w:p>
            </w:tc>
            <w:tc>
              <w:tcPr>
                <w:tcW w:w="836" w:type="pct"/>
                <w:shd w:val="clear" w:color="auto" w:fill="auto"/>
              </w:tcPr>
              <w:p w14:paraId="7296FE3E" w14:textId="77777777" w:rsidR="00830E72" w:rsidRDefault="00830E72">
                <w:pPr>
                  <w:jc w:val="right"/>
                  <w:rPr>
                    <w:szCs w:val="21"/>
                  </w:rPr>
                </w:pPr>
              </w:p>
            </w:tc>
            <w:tc>
              <w:tcPr>
                <w:tcW w:w="869" w:type="pct"/>
                <w:shd w:val="clear" w:color="auto" w:fill="auto"/>
              </w:tcPr>
              <w:p w14:paraId="25A47CB9" w14:textId="77777777" w:rsidR="00830E72" w:rsidRDefault="00830E72">
                <w:pPr>
                  <w:jc w:val="right"/>
                  <w:rPr>
                    <w:szCs w:val="21"/>
                  </w:rPr>
                </w:pPr>
              </w:p>
            </w:tc>
          </w:tr>
          <w:tr w:rsidR="00830E72" w14:paraId="690DE4BF" w14:textId="77777777">
            <w:trPr>
              <w:trHeight w:val="284"/>
            </w:trPr>
            <w:sdt>
              <w:sdtPr>
                <w:tag w:val="_PLD_77aceef1b70d43c0846f7e8f529b7784"/>
                <w:id w:val="-1273079625"/>
                <w:lock w:val="sdtLocked"/>
              </w:sdtPr>
              <w:sdtEndPr/>
              <w:sdtContent>
                <w:tc>
                  <w:tcPr>
                    <w:tcW w:w="1282" w:type="pct"/>
                    <w:shd w:val="clear" w:color="auto" w:fill="auto"/>
                    <w:vAlign w:val="center"/>
                  </w:tcPr>
                  <w:p w14:paraId="7C39101A" w14:textId="77777777" w:rsidR="00830E72" w:rsidRDefault="008344D8">
                    <w:pPr>
                      <w:rPr>
                        <w:szCs w:val="21"/>
                      </w:rPr>
                    </w:pPr>
                    <w:r>
                      <w:rPr>
                        <w:szCs w:val="21"/>
                      </w:rPr>
                      <w:t>四、账面价值</w:t>
                    </w:r>
                  </w:p>
                </w:tc>
              </w:sdtContent>
            </w:sdt>
            <w:tc>
              <w:tcPr>
                <w:tcW w:w="724" w:type="pct"/>
                <w:shd w:val="clear" w:color="auto" w:fill="auto"/>
              </w:tcPr>
              <w:p w14:paraId="342BB918" w14:textId="77777777" w:rsidR="00830E72" w:rsidRDefault="00830E72">
                <w:pPr>
                  <w:jc w:val="right"/>
                  <w:rPr>
                    <w:szCs w:val="21"/>
                  </w:rPr>
                </w:pPr>
              </w:p>
            </w:tc>
            <w:tc>
              <w:tcPr>
                <w:tcW w:w="568" w:type="pct"/>
                <w:shd w:val="clear" w:color="auto" w:fill="auto"/>
              </w:tcPr>
              <w:p w14:paraId="0C68AD1B" w14:textId="77777777" w:rsidR="00830E72" w:rsidRDefault="00830E72">
                <w:pPr>
                  <w:jc w:val="right"/>
                  <w:rPr>
                    <w:szCs w:val="21"/>
                  </w:rPr>
                </w:pPr>
              </w:p>
            </w:tc>
            <w:tc>
              <w:tcPr>
                <w:tcW w:w="720" w:type="pct"/>
                <w:shd w:val="clear" w:color="auto" w:fill="auto"/>
              </w:tcPr>
              <w:p w14:paraId="26C5A10E" w14:textId="77777777" w:rsidR="00830E72" w:rsidRDefault="00830E72">
                <w:pPr>
                  <w:jc w:val="right"/>
                  <w:rPr>
                    <w:szCs w:val="21"/>
                  </w:rPr>
                </w:pPr>
              </w:p>
            </w:tc>
            <w:tc>
              <w:tcPr>
                <w:tcW w:w="836" w:type="pct"/>
                <w:shd w:val="clear" w:color="auto" w:fill="auto"/>
              </w:tcPr>
              <w:p w14:paraId="06C04B10" w14:textId="77777777" w:rsidR="00830E72" w:rsidRDefault="00830E72">
                <w:pPr>
                  <w:jc w:val="right"/>
                  <w:rPr>
                    <w:szCs w:val="21"/>
                  </w:rPr>
                </w:pPr>
              </w:p>
            </w:tc>
            <w:tc>
              <w:tcPr>
                <w:tcW w:w="869" w:type="pct"/>
                <w:shd w:val="clear" w:color="auto" w:fill="auto"/>
              </w:tcPr>
              <w:p w14:paraId="1A0C6867" w14:textId="77777777" w:rsidR="00830E72" w:rsidRDefault="00830E72">
                <w:pPr>
                  <w:jc w:val="right"/>
                  <w:rPr>
                    <w:szCs w:val="21"/>
                  </w:rPr>
                </w:pPr>
              </w:p>
            </w:tc>
          </w:tr>
          <w:tr w:rsidR="00830E72" w14:paraId="5EA459FA" w14:textId="77777777">
            <w:trPr>
              <w:trHeight w:val="284"/>
            </w:trPr>
            <w:sdt>
              <w:sdtPr>
                <w:tag w:val="_PLD_7b3cabd4024540c8bf9dc83469ecf7d4"/>
                <w:id w:val="1782458534"/>
                <w:lock w:val="sdtLocked"/>
              </w:sdtPr>
              <w:sdtEndPr/>
              <w:sdtContent>
                <w:tc>
                  <w:tcPr>
                    <w:tcW w:w="1282" w:type="pct"/>
                    <w:shd w:val="clear" w:color="auto" w:fill="auto"/>
                    <w:vAlign w:val="center"/>
                  </w:tcPr>
                  <w:p w14:paraId="550D6F78" w14:textId="77777777" w:rsidR="00830E72" w:rsidRDefault="008344D8">
                    <w:pPr>
                      <w:rPr>
                        <w:szCs w:val="21"/>
                      </w:rPr>
                    </w:pPr>
                    <w:r>
                      <w:rPr>
                        <w:szCs w:val="21"/>
                      </w:rPr>
                      <w:t xml:space="preserve">    1.期末账面价值</w:t>
                    </w:r>
                  </w:p>
                </w:tc>
              </w:sdtContent>
            </w:sdt>
            <w:tc>
              <w:tcPr>
                <w:tcW w:w="724" w:type="pct"/>
                <w:shd w:val="clear" w:color="auto" w:fill="auto"/>
              </w:tcPr>
              <w:p w14:paraId="7F7A20A3" w14:textId="77777777" w:rsidR="00830E72" w:rsidRDefault="00830E72">
                <w:pPr>
                  <w:jc w:val="right"/>
                  <w:rPr>
                    <w:szCs w:val="21"/>
                  </w:rPr>
                </w:pPr>
              </w:p>
            </w:tc>
            <w:tc>
              <w:tcPr>
                <w:tcW w:w="568" w:type="pct"/>
                <w:shd w:val="clear" w:color="auto" w:fill="auto"/>
              </w:tcPr>
              <w:p w14:paraId="0B430973" w14:textId="77777777" w:rsidR="00830E72" w:rsidRDefault="00830E72">
                <w:pPr>
                  <w:jc w:val="right"/>
                  <w:rPr>
                    <w:szCs w:val="21"/>
                  </w:rPr>
                </w:pPr>
              </w:p>
            </w:tc>
            <w:tc>
              <w:tcPr>
                <w:tcW w:w="720" w:type="pct"/>
                <w:shd w:val="clear" w:color="auto" w:fill="auto"/>
              </w:tcPr>
              <w:p w14:paraId="25CE3A8D" w14:textId="77777777" w:rsidR="00830E72" w:rsidRDefault="00830E72">
                <w:pPr>
                  <w:jc w:val="right"/>
                  <w:rPr>
                    <w:szCs w:val="21"/>
                  </w:rPr>
                </w:pPr>
              </w:p>
            </w:tc>
            <w:tc>
              <w:tcPr>
                <w:tcW w:w="836" w:type="pct"/>
                <w:shd w:val="clear" w:color="auto" w:fill="auto"/>
              </w:tcPr>
              <w:p w14:paraId="73A8E86B" w14:textId="77777777" w:rsidR="00830E72" w:rsidRDefault="008344D8">
                <w:pPr>
                  <w:jc w:val="right"/>
                  <w:rPr>
                    <w:szCs w:val="21"/>
                  </w:rPr>
                </w:pPr>
                <w:r>
                  <w:rPr>
                    <w:szCs w:val="21"/>
                  </w:rPr>
                  <w:t>1,448,414.79</w:t>
                </w:r>
              </w:p>
            </w:tc>
            <w:tc>
              <w:tcPr>
                <w:tcW w:w="869" w:type="pct"/>
                <w:shd w:val="clear" w:color="auto" w:fill="auto"/>
              </w:tcPr>
              <w:p w14:paraId="31E94FBA" w14:textId="77777777" w:rsidR="00830E72" w:rsidRDefault="008344D8">
                <w:pPr>
                  <w:jc w:val="right"/>
                  <w:rPr>
                    <w:szCs w:val="21"/>
                  </w:rPr>
                </w:pPr>
                <w:r>
                  <w:rPr>
                    <w:szCs w:val="21"/>
                  </w:rPr>
                  <w:t>1,448,414.79</w:t>
                </w:r>
              </w:p>
            </w:tc>
          </w:tr>
          <w:tr w:rsidR="00830E72" w14:paraId="27669736" w14:textId="77777777">
            <w:trPr>
              <w:trHeight w:val="284"/>
            </w:trPr>
            <w:sdt>
              <w:sdtPr>
                <w:tag w:val="_PLD_04cb9e53cf0d4d8b83570453ac161e64"/>
                <w:id w:val="-115908785"/>
                <w:lock w:val="sdtLocked"/>
              </w:sdtPr>
              <w:sdtEndPr/>
              <w:sdtContent>
                <w:tc>
                  <w:tcPr>
                    <w:tcW w:w="1282" w:type="pct"/>
                    <w:shd w:val="clear" w:color="auto" w:fill="auto"/>
                    <w:vAlign w:val="center"/>
                  </w:tcPr>
                  <w:p w14:paraId="621CA9A1" w14:textId="77777777" w:rsidR="00830E72" w:rsidRDefault="008344D8">
                    <w:pPr>
                      <w:rPr>
                        <w:szCs w:val="21"/>
                      </w:rPr>
                    </w:pPr>
                    <w:r>
                      <w:rPr>
                        <w:szCs w:val="21"/>
                      </w:rPr>
                      <w:t xml:space="preserve">    2.</w:t>
                    </w:r>
                    <w:r>
                      <w:rPr>
                        <w:rFonts w:hint="eastAsia"/>
                        <w:szCs w:val="21"/>
                      </w:rPr>
                      <w:t>期初</w:t>
                    </w:r>
                    <w:r>
                      <w:rPr>
                        <w:szCs w:val="21"/>
                      </w:rPr>
                      <w:t>账面价值</w:t>
                    </w:r>
                  </w:p>
                </w:tc>
              </w:sdtContent>
            </w:sdt>
            <w:tc>
              <w:tcPr>
                <w:tcW w:w="724" w:type="pct"/>
                <w:shd w:val="clear" w:color="auto" w:fill="auto"/>
              </w:tcPr>
              <w:p w14:paraId="00A46F37" w14:textId="77777777" w:rsidR="00830E72" w:rsidRDefault="00830E72">
                <w:pPr>
                  <w:jc w:val="right"/>
                  <w:rPr>
                    <w:szCs w:val="21"/>
                  </w:rPr>
                </w:pPr>
              </w:p>
            </w:tc>
            <w:tc>
              <w:tcPr>
                <w:tcW w:w="568" w:type="pct"/>
                <w:shd w:val="clear" w:color="auto" w:fill="auto"/>
              </w:tcPr>
              <w:p w14:paraId="3F4B4FC5" w14:textId="77777777" w:rsidR="00830E72" w:rsidRDefault="00830E72">
                <w:pPr>
                  <w:jc w:val="right"/>
                  <w:rPr>
                    <w:szCs w:val="21"/>
                  </w:rPr>
                </w:pPr>
              </w:p>
            </w:tc>
            <w:tc>
              <w:tcPr>
                <w:tcW w:w="720" w:type="pct"/>
                <w:shd w:val="clear" w:color="auto" w:fill="auto"/>
              </w:tcPr>
              <w:p w14:paraId="47401AA6" w14:textId="77777777" w:rsidR="00830E72" w:rsidRDefault="00830E72">
                <w:pPr>
                  <w:jc w:val="right"/>
                  <w:rPr>
                    <w:szCs w:val="21"/>
                  </w:rPr>
                </w:pPr>
              </w:p>
            </w:tc>
            <w:tc>
              <w:tcPr>
                <w:tcW w:w="836" w:type="pct"/>
                <w:shd w:val="clear" w:color="auto" w:fill="auto"/>
              </w:tcPr>
              <w:p w14:paraId="014B2EB2" w14:textId="77777777" w:rsidR="00830E72" w:rsidRDefault="008344D8">
                <w:pPr>
                  <w:jc w:val="right"/>
                  <w:rPr>
                    <w:szCs w:val="21"/>
                  </w:rPr>
                </w:pPr>
                <w:r>
                  <w:rPr>
                    <w:szCs w:val="21"/>
                  </w:rPr>
                  <w:t>1,506,179.30</w:t>
                </w:r>
              </w:p>
            </w:tc>
            <w:tc>
              <w:tcPr>
                <w:tcW w:w="869" w:type="pct"/>
                <w:shd w:val="clear" w:color="auto" w:fill="auto"/>
              </w:tcPr>
              <w:p w14:paraId="3C4B14B7" w14:textId="77777777" w:rsidR="00830E72" w:rsidRDefault="008344D8">
                <w:pPr>
                  <w:jc w:val="right"/>
                  <w:rPr>
                    <w:szCs w:val="21"/>
                  </w:rPr>
                </w:pPr>
                <w:r>
                  <w:rPr>
                    <w:szCs w:val="21"/>
                  </w:rPr>
                  <w:t>1,506,179.30</w:t>
                </w:r>
              </w:p>
            </w:tc>
          </w:tr>
        </w:tbl>
        <w:p w14:paraId="25C3B2AF" w14:textId="77777777" w:rsidR="00830E72" w:rsidRDefault="008344D8">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4eb0f3140a674bd1899e2bd836d51bbb"/>
              <w:id w:val="-1907521637"/>
              <w:lock w:val="sdtLocked"/>
              <w:placeholder>
                <w:docPart w:val="GBC22222222222222222222222222222"/>
              </w:placeholder>
            </w:sdtPr>
            <w:sdtEndPr/>
            <w:sdtContent>
              <w:r>
                <w:rPr>
                  <w:rFonts w:hint="eastAsia"/>
                  <w:szCs w:val="21"/>
                </w:rPr>
                <w:t>0</w:t>
              </w:r>
            </w:sdtContent>
          </w:sdt>
          <w:r>
            <w:rPr>
              <w:rFonts w:hint="eastAsia"/>
              <w:szCs w:val="21"/>
            </w:rPr>
            <w:t>%</w:t>
          </w:r>
        </w:p>
        <w:p w14:paraId="5FAAA2AA" w14:textId="77777777" w:rsidR="00830E72" w:rsidRDefault="00D44830">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GBC_0daf5d1e7172402ab885ca5e5b78a389"/>
        <w:id w:val="520749689"/>
        <w:lock w:val="sdtLocked"/>
        <w:placeholder>
          <w:docPart w:val="GBC22222222222222222222222222222"/>
        </w:placeholder>
      </w:sdtPr>
      <w:sdtEndPr/>
      <w:sdtContent>
        <w:p w14:paraId="302F2B5A" w14:textId="77777777" w:rsidR="00830E72" w:rsidRDefault="008344D8">
          <w:pPr>
            <w:pStyle w:val="Style100"/>
            <w:numPr>
              <w:ilvl w:val="0"/>
              <w:numId w:val="61"/>
            </w:numPr>
            <w:tabs>
              <w:tab w:val="left" w:pos="602"/>
            </w:tabs>
            <w:rPr>
              <w:rFonts w:ascii="宋体" w:hAnsi="宋体"/>
              <w:szCs w:val="21"/>
            </w:rPr>
          </w:pPr>
          <w:r>
            <w:rPr>
              <w:rFonts w:ascii="宋体" w:hAnsi="宋体" w:hint="eastAsia"/>
              <w:szCs w:val="21"/>
            </w:rPr>
            <w:t>未办妥产权证书的土地使用权情况</w:t>
          </w:r>
        </w:p>
        <w:sdt>
          <w:sdtPr>
            <w:alias w:val="是否适用：未办妥产权证书的土地使用权情况[双击切换]"/>
            <w:tag w:val="_GBC_e8ff0641401a44f19fe64ad31dc15c58"/>
            <w:id w:val="352771404"/>
            <w:lock w:val="sdtContentLocked"/>
            <w:placeholder>
              <w:docPart w:val="GBC22222222222222222222222222222"/>
            </w:placeholder>
          </w:sdtPr>
          <w:sdtEndPr/>
          <w:sdtContent>
            <w:p w14:paraId="1C9EDC23"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szCs w:val="21"/>
        </w:rPr>
        <w:alias w:val="模块:无形资产说明"/>
        <w:tag w:val="_GBC_c2d02a8bb1274cb1bf0330030cc64229"/>
        <w:id w:val="-245188238"/>
        <w:lock w:val="sdtLocked"/>
        <w:placeholder>
          <w:docPart w:val="GBC22222222222222222222222222222"/>
        </w:placeholder>
      </w:sdtPr>
      <w:sdtEndPr/>
      <w:sdtContent>
        <w:p w14:paraId="156FE649" w14:textId="77777777" w:rsidR="00830E72" w:rsidRDefault="008344D8">
          <w:pPr>
            <w:rPr>
              <w:szCs w:val="21"/>
            </w:rPr>
          </w:pPr>
          <w:r>
            <w:rPr>
              <w:rFonts w:hint="eastAsia"/>
              <w:szCs w:val="21"/>
            </w:rPr>
            <w:t>其他说明：</w:t>
          </w:r>
        </w:p>
        <w:sdt>
          <w:sdtPr>
            <w:rPr>
              <w:szCs w:val="21"/>
            </w:rPr>
            <w:alias w:val="是否适用：无形资产的说明[双击切换]"/>
            <w:tag w:val="_GBC_dc3c687f3c2c457e9024304c14129458"/>
            <w:id w:val="191811438"/>
            <w:lock w:val="sdtContentLocked"/>
            <w:placeholder>
              <w:docPart w:val="GBC22222222222222222222222222222"/>
            </w:placeholder>
          </w:sdtPr>
          <w:sdtEndPr/>
          <w:sdtContent>
            <w:p w14:paraId="00E24182"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2F7DA8B" w14:textId="77777777" w:rsidR="00830E72" w:rsidRDefault="00D44830">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GBC_41dea900f659431692960536981b1d8d"/>
        <w:id w:val="-1310388697"/>
        <w:lock w:val="sdtLocked"/>
        <w:placeholder>
          <w:docPart w:val="GBC22222222222222222222222222222"/>
        </w:placeholder>
      </w:sdtPr>
      <w:sdtEndPr>
        <w:rPr>
          <w:rFonts w:cstheme="minorBidi" w:hint="default"/>
          <w:kern w:val="2"/>
        </w:rPr>
      </w:sdtEndPr>
      <w:sdtContent>
        <w:p w14:paraId="7987B074" w14:textId="77777777" w:rsidR="00830E72" w:rsidRDefault="008344D8">
          <w:pPr>
            <w:pStyle w:val="Style99"/>
            <w:numPr>
              <w:ilvl w:val="0"/>
              <w:numId w:val="45"/>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a62fb6e641b048a49c12233ba47c4939"/>
            <w:id w:val="-1702932937"/>
            <w:lock w:val="sdtContentLocked"/>
            <w:placeholder>
              <w:docPart w:val="GBC22222222222222222222222222222"/>
            </w:placeholder>
          </w:sdtPr>
          <w:sdtEndPr/>
          <w:sdtContent>
            <w:p w14:paraId="6589530D"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0440372" w14:textId="77777777" w:rsidR="00830E72" w:rsidRDefault="00D44830">
          <w:pPr>
            <w:snapToGrid w:val="0"/>
            <w:spacing w:line="240" w:lineRule="atLeast"/>
            <w:rPr>
              <w:szCs w:val="21"/>
            </w:rPr>
          </w:pPr>
        </w:p>
      </w:sdtContent>
    </w:sdt>
    <w:p w14:paraId="2C451192"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商誉</w:t>
      </w:r>
    </w:p>
    <w:sdt>
      <w:sdtPr>
        <w:rPr>
          <w:rFonts w:ascii="宋体" w:hAnsi="宋体" w:cs="宋体" w:hint="eastAsia"/>
          <w:b w:val="0"/>
          <w:bCs w:val="0"/>
          <w:kern w:val="0"/>
          <w:szCs w:val="24"/>
        </w:rPr>
        <w:alias w:val="模块:商誉账面原值"/>
        <w:tag w:val="_SEC_0d13253f4b004ecdaea8960cfb92cf26"/>
        <w:id w:val="1313524995"/>
        <w:lock w:val="sdtLocked"/>
        <w:placeholder>
          <w:docPart w:val="GBC22222222222222222222222222222"/>
        </w:placeholder>
      </w:sdtPr>
      <w:sdtEndPr>
        <w:rPr>
          <w:rFonts w:hint="default"/>
          <w:szCs w:val="21"/>
        </w:rPr>
      </w:sdtEndPr>
      <w:sdtContent>
        <w:p w14:paraId="70BFC9C1" w14:textId="77777777" w:rsidR="00830E72" w:rsidRDefault="008344D8">
          <w:pPr>
            <w:pStyle w:val="Style100"/>
            <w:numPr>
              <w:ilvl w:val="0"/>
              <w:numId w:val="62"/>
            </w:numPr>
            <w:tabs>
              <w:tab w:val="left" w:pos="588"/>
            </w:tabs>
            <w:rPr>
              <w:rFonts w:ascii="宋体" w:hAnsi="宋体"/>
            </w:rPr>
          </w:pPr>
          <w:r>
            <w:rPr>
              <w:rFonts w:ascii="宋体" w:hAnsi="宋体" w:hint="eastAsia"/>
            </w:rPr>
            <w:t>商誉账面原值</w:t>
          </w:r>
        </w:p>
        <w:p w14:paraId="08ABE867" w14:textId="77777777" w:rsidR="00830E72" w:rsidRDefault="00D44830">
          <w:pPr>
            <w:rPr>
              <w:szCs w:val="21"/>
            </w:rPr>
          </w:pPr>
          <w:sdt>
            <w:sdtPr>
              <w:alias w:val="是否适用：商誉账面原值[双击切换]"/>
              <w:tag w:val="_GBC_e2a869d440cf4b7f9f592f3e22cea85d"/>
              <w:id w:val="476736483"/>
              <w:lock w:val="sdtContentLocked"/>
              <w:placeholder>
                <w:docPart w:val="GBC22222222222222222222222222222"/>
              </w:placeholder>
            </w:sdtPr>
            <w:sdtEndPr/>
            <w:sdtContent>
              <w:r w:rsidR="008344D8">
                <w:fldChar w:fldCharType="begin"/>
              </w:r>
              <w:r w:rsidR="008344D8">
                <w:instrText xml:space="preserve"> MACROBUTTON  SnrToggleCheckbox □适用 </w:instrText>
              </w:r>
              <w:r w:rsidR="008344D8">
                <w:fldChar w:fldCharType="end"/>
              </w:r>
              <w:r w:rsidR="008344D8">
                <w:fldChar w:fldCharType="begin"/>
              </w:r>
              <w:r w:rsidR="008344D8">
                <w:instrText xml:space="preserve"> MACROBUTTON  SnrToggleCheckbox √不适用 </w:instrText>
              </w:r>
              <w:r w:rsidR="008344D8">
                <w:fldChar w:fldCharType="end"/>
              </w:r>
            </w:sdtContent>
          </w:sdt>
        </w:p>
      </w:sdtContent>
    </w:sdt>
    <w:sdt>
      <w:sdtPr>
        <w:rPr>
          <w:rFonts w:ascii="宋体" w:hAnsi="宋体" w:cs="宋体" w:hint="eastAsia"/>
          <w:b w:val="0"/>
          <w:bCs w:val="0"/>
          <w:kern w:val="0"/>
          <w:szCs w:val="24"/>
        </w:rPr>
        <w:alias w:val="模块:商誉减值准备"/>
        <w:tag w:val="_SEC_6fe538077d4746d4ba51a5610b4bd03b"/>
        <w:id w:val="-476992301"/>
        <w:lock w:val="sdtLocked"/>
        <w:placeholder>
          <w:docPart w:val="GBC22222222222222222222222222222"/>
        </w:placeholder>
      </w:sdtPr>
      <w:sdtEndPr>
        <w:rPr>
          <w:rFonts w:hint="default"/>
          <w:szCs w:val="21"/>
        </w:rPr>
      </w:sdtEndPr>
      <w:sdtContent>
        <w:p w14:paraId="45FF717D" w14:textId="77777777" w:rsidR="00830E72" w:rsidRDefault="008344D8">
          <w:pPr>
            <w:pStyle w:val="Style100"/>
            <w:numPr>
              <w:ilvl w:val="0"/>
              <w:numId w:val="62"/>
            </w:numPr>
            <w:tabs>
              <w:tab w:val="left" w:pos="588"/>
            </w:tabs>
            <w:rPr>
              <w:rFonts w:ascii="宋体" w:hAnsi="宋体"/>
            </w:rPr>
          </w:pPr>
          <w:r>
            <w:rPr>
              <w:rFonts w:ascii="宋体" w:hAnsi="宋体" w:hint="eastAsia"/>
            </w:rPr>
            <w:t>商誉减值准备</w:t>
          </w:r>
        </w:p>
        <w:p w14:paraId="73B1997B" w14:textId="77777777" w:rsidR="00830E72" w:rsidRDefault="00D44830">
          <w:sdt>
            <w:sdtPr>
              <w:alias w:val="是否适用：商誉减值准备[双击切换]"/>
              <w:tag w:val="_GBC_743c9a20b5c043668f28664eb36decf8"/>
              <w:id w:val="-714817858"/>
              <w:lock w:val="sdtContentLocked"/>
              <w:placeholder>
                <w:docPart w:val="GBC22222222222222222222222222222"/>
              </w:placeholder>
            </w:sdtPr>
            <w:sdtEndPr/>
            <w:sdtContent>
              <w:r w:rsidR="008344D8">
                <w:fldChar w:fldCharType="begin"/>
              </w:r>
              <w:r w:rsidR="008344D8">
                <w:instrText xml:space="preserve"> MACROBUTTON  SnrToggleCheckbox □适用 </w:instrText>
              </w:r>
              <w:r w:rsidR="008344D8">
                <w:fldChar w:fldCharType="end"/>
              </w:r>
              <w:r w:rsidR="008344D8">
                <w:fldChar w:fldCharType="begin"/>
              </w:r>
              <w:r w:rsidR="008344D8">
                <w:instrText xml:space="preserve"> MACROBUTTON  SnrToggleCheckbox √不适用 </w:instrText>
              </w:r>
              <w:r w:rsidR="008344D8">
                <w:fldChar w:fldCharType="end"/>
              </w:r>
            </w:sdtContent>
          </w:sdt>
        </w:p>
      </w:sdtContent>
    </w:sdt>
    <w:bookmarkStart w:id="150" w:name="_Hlk10535081" w:displacedByCustomXml="next"/>
    <w:bookmarkStart w:id="151" w:name="_Hlk10535094" w:displacedByCustomXml="next"/>
    <w:sdt>
      <w:sdtPr>
        <w:rPr>
          <w:rFonts w:ascii="宋体" w:hAnsi="宋体" w:cs="宋体" w:hint="eastAsia"/>
          <w:b w:val="0"/>
          <w:bCs w:val="0"/>
          <w:kern w:val="0"/>
          <w:szCs w:val="24"/>
        </w:rPr>
        <w:alias w:val="模块:商誉所在资产组或资产组组合的相关信息"/>
        <w:tag w:val="_SEC_d66ac36383ac40138e90a678094ff1a4"/>
        <w:id w:val="-1438669933"/>
        <w:lock w:val="sdtLocked"/>
        <w:placeholder>
          <w:docPart w:val="GBC22222222222222222222222222222"/>
        </w:placeholder>
      </w:sdtPr>
      <w:sdtEndPr>
        <w:rPr>
          <w:rFonts w:hint="default"/>
        </w:rPr>
      </w:sdtEndPr>
      <w:sdtContent>
        <w:p w14:paraId="7F59F20D" w14:textId="77777777" w:rsidR="00830E72" w:rsidRDefault="008344D8">
          <w:pPr>
            <w:pStyle w:val="Style100"/>
            <w:numPr>
              <w:ilvl w:val="0"/>
              <w:numId w:val="62"/>
            </w:numPr>
            <w:tabs>
              <w:tab w:val="left" w:pos="588"/>
            </w:tabs>
            <w:rPr>
              <w:rFonts w:ascii="宋体" w:hAnsi="宋体"/>
            </w:rPr>
          </w:pPr>
          <w:r>
            <w:rPr>
              <w:rFonts w:ascii="宋体" w:hAnsi="宋体" w:hint="eastAsia"/>
            </w:rPr>
            <w:t>商誉所在资产组或资产组组合的相关信息</w:t>
          </w:r>
          <w:bookmarkEnd w:id="150"/>
        </w:p>
        <w:sdt>
          <w:sdtPr>
            <w:alias w:val="是否适用：商誉所在资产组或资产组组合的相关信息[双击切换]"/>
            <w:tag w:val="_GBC_a40a76b7512a45b79930a13f56d19c6d"/>
            <w:id w:val="-1843771729"/>
            <w:lock w:val="sdtContentLocked"/>
            <w:placeholder>
              <w:docPart w:val="GBC22222222222222222222222222222"/>
            </w:placeholder>
          </w:sdtPr>
          <w:sdtEndPr/>
          <w:sdtContent>
            <w:p w14:paraId="38A7CBFE"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51" w:displacedByCustomXml="next"/>
    <w:sdt>
      <w:sdtPr>
        <w:rPr>
          <w:rFonts w:ascii="宋体" w:hAnsi="宋体" w:cs="宋体" w:hint="eastAsia"/>
          <w:b w:val="0"/>
          <w:bCs w:val="0"/>
          <w:kern w:val="0"/>
          <w:szCs w:val="24"/>
        </w:rPr>
        <w:alias w:val="模块:说明商誉减值测试过程、关键参数（例如预计未来现金流量现值时的..."/>
        <w:tag w:val="_SEC_6b753aafd7bf484f982e228cd4c0dde3"/>
        <w:id w:val="2098973774"/>
        <w:lock w:val="sdtLocked"/>
        <w:placeholder>
          <w:docPart w:val="GBC22222222222222222222222222222"/>
        </w:placeholder>
      </w:sdtPr>
      <w:sdtEndPr>
        <w:rPr>
          <w:rFonts w:hint="default"/>
          <w:szCs w:val="21"/>
        </w:rPr>
      </w:sdtEndPr>
      <w:sdtContent>
        <w:p w14:paraId="18499F13" w14:textId="77777777" w:rsidR="00830E72" w:rsidRDefault="008344D8">
          <w:pPr>
            <w:pStyle w:val="Style100"/>
            <w:numPr>
              <w:ilvl w:val="0"/>
              <w:numId w:val="62"/>
            </w:numPr>
            <w:tabs>
              <w:tab w:val="left" w:pos="588"/>
            </w:tabs>
            <w:ind w:left="567" w:hanging="567"/>
            <w:rPr>
              <w:rFonts w:ascii="宋体" w:hAnsi="宋体"/>
            </w:rPr>
          </w:pPr>
          <w:r>
            <w:rPr>
              <w:rFonts w:ascii="宋体" w:hAnsi="宋体"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3e5dd9e04d73479f9a70e665366f9d11"/>
            <w:id w:val="1615787772"/>
            <w:lock w:val="sdtContentLocked"/>
            <w:placeholder>
              <w:docPart w:val="GBC22222222222222222222222222222"/>
            </w:placeholder>
          </w:sdtPr>
          <w:sdtEndPr/>
          <w:sdtContent>
            <w:p w14:paraId="5B686089"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E4C504B" w14:textId="77777777" w:rsidR="00830E72" w:rsidRDefault="00830E72">
      <w:pPr>
        <w:rPr>
          <w:szCs w:val="21"/>
        </w:rPr>
      </w:pPr>
    </w:p>
    <w:bookmarkStart w:id="152" w:name="_Hlk10535249" w:displacedByCustomXml="next"/>
    <w:bookmarkStart w:id="153" w:name="_Hlk10535258" w:displacedByCustomXml="next"/>
    <w:sdt>
      <w:sdtPr>
        <w:rPr>
          <w:rFonts w:ascii="宋体" w:hAnsi="宋体" w:cs="宋体" w:hint="eastAsia"/>
          <w:b w:val="0"/>
          <w:bCs w:val="0"/>
          <w:kern w:val="0"/>
          <w:szCs w:val="21"/>
        </w:rPr>
        <w:alias w:val="模块:商誉减值测试的影响"/>
        <w:tag w:val="_SEC_fd017e302f8c4189978aac3dc8581f09"/>
        <w:id w:val="-1915627002"/>
        <w:lock w:val="sdtLocked"/>
        <w:placeholder>
          <w:docPart w:val="GBC22222222222222222222222222222"/>
        </w:placeholder>
      </w:sdtPr>
      <w:sdtEndPr>
        <w:rPr>
          <w:rFonts w:hint="default"/>
        </w:rPr>
      </w:sdtEndPr>
      <w:sdtContent>
        <w:p w14:paraId="60B135FF" w14:textId="77777777" w:rsidR="00830E72" w:rsidRDefault="008344D8">
          <w:pPr>
            <w:pStyle w:val="Style100"/>
            <w:numPr>
              <w:ilvl w:val="0"/>
              <w:numId w:val="62"/>
            </w:numPr>
            <w:tabs>
              <w:tab w:val="left" w:pos="588"/>
            </w:tabs>
            <w:ind w:left="567" w:hanging="567"/>
            <w:rPr>
              <w:rFonts w:ascii="宋体" w:hAnsi="宋体"/>
              <w:szCs w:val="21"/>
            </w:rPr>
          </w:pPr>
          <w:r>
            <w:rPr>
              <w:rFonts w:ascii="宋体" w:hAnsi="宋体" w:hint="eastAsia"/>
              <w:szCs w:val="21"/>
            </w:rPr>
            <w:t>商誉减值测试的影响</w:t>
          </w:r>
          <w:bookmarkEnd w:id="152"/>
        </w:p>
        <w:sdt>
          <w:sdtPr>
            <w:rPr>
              <w:szCs w:val="21"/>
            </w:rPr>
            <w:alias w:val="是否适用：商誉减值测试的影响[双击切换]"/>
            <w:tag w:val="_GBC_24d2ea865aff4dda9d4cd3c8b1eb71cc"/>
            <w:id w:val="467713691"/>
            <w:lock w:val="sdtContentLocked"/>
            <w:placeholder>
              <w:docPart w:val="GBC22222222222222222222222222222"/>
            </w:placeholder>
          </w:sdtPr>
          <w:sdtEndPr/>
          <w:sdtContent>
            <w:p w14:paraId="09714EEF"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53" w:displacedByCustomXml="next"/>
    <w:sdt>
      <w:sdtPr>
        <w:rPr>
          <w:rFonts w:hint="eastAsia"/>
        </w:rPr>
        <w:alias w:val="模块:其他说明"/>
        <w:tag w:val="_SEC_fd9f0a21b0c44e29ba84ddb7842fe32a"/>
        <w:id w:val="-866055255"/>
        <w:lock w:val="sdtLocked"/>
        <w:placeholder>
          <w:docPart w:val="GBC22222222222222222222222222222"/>
        </w:placeholder>
      </w:sdtPr>
      <w:sdtEndPr>
        <w:rPr>
          <w:rFonts w:hint="default"/>
          <w:szCs w:val="21"/>
        </w:rPr>
      </w:sdtEndPr>
      <w:sdtContent>
        <w:p w14:paraId="5AEDCB63" w14:textId="77777777" w:rsidR="00830E72" w:rsidRDefault="008344D8">
          <w:r>
            <w:rPr>
              <w:rFonts w:hint="eastAsia"/>
            </w:rPr>
            <w:t>其他说明：</w:t>
          </w:r>
        </w:p>
        <w:sdt>
          <w:sdtPr>
            <w:alias w:val="是否适用：商誉其他需要说明的事项[双击切换]"/>
            <w:tag w:val="_GBC_6b2c2377a4a6486b9a4ba845bd2192f6"/>
            <w:id w:val="-187143280"/>
            <w:lock w:val="sdtContentLocked"/>
            <w:placeholder>
              <w:docPart w:val="GBC22222222222222222222222222222"/>
            </w:placeholder>
          </w:sdtPr>
          <w:sdtEndPr/>
          <w:sdtContent>
            <w:p w14:paraId="6FA08761"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C767C16" w14:textId="77777777" w:rsidR="00830E72" w:rsidRDefault="00830E72">
      <w:pPr>
        <w:snapToGrid w:val="0"/>
        <w:spacing w:line="240" w:lineRule="atLeast"/>
        <w:rPr>
          <w:szCs w:val="21"/>
        </w:rPr>
      </w:pPr>
    </w:p>
    <w:sdt>
      <w:sdtPr>
        <w:rPr>
          <w:rFonts w:ascii="宋体" w:hAnsi="宋体" w:cs="宋体" w:hint="eastAsia"/>
          <w:b w:val="0"/>
          <w:bCs w:val="0"/>
          <w:kern w:val="0"/>
          <w:szCs w:val="21"/>
        </w:rPr>
        <w:alias w:val="模块:长期待摊费用"/>
        <w:tag w:val="_GBC_c7f901dce89846cbbbab6c51c3213a6f"/>
        <w:id w:val="-1345237086"/>
        <w:lock w:val="sdtLocked"/>
        <w:placeholder>
          <w:docPart w:val="GBC22222222222222222222222222222"/>
        </w:placeholder>
      </w:sdtPr>
      <w:sdtEndPr>
        <w:rPr>
          <w:rFonts w:cstheme="minorBidi" w:hint="default"/>
          <w:kern w:val="2"/>
        </w:rPr>
      </w:sdtEndPr>
      <w:sdtContent>
        <w:p w14:paraId="68834EE7"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9bec8f9516c84b19bae2fb8a7292063f"/>
            <w:id w:val="-153605258"/>
            <w:lock w:val="sdtContentLocked"/>
            <w:placeholder>
              <w:docPart w:val="GBC22222222222222222222222222222"/>
            </w:placeholder>
          </w:sdtPr>
          <w:sdtEndPr/>
          <w:sdtContent>
            <w:p w14:paraId="1076D7F3"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A474B90" w14:textId="77777777" w:rsidR="00830E72" w:rsidRDefault="008344D8">
          <w:pPr>
            <w:jc w:val="right"/>
            <w:rPr>
              <w:szCs w:val="21"/>
            </w:rPr>
          </w:pPr>
          <w:r>
            <w:rPr>
              <w:rFonts w:hint="eastAsia"/>
              <w:szCs w:val="21"/>
            </w:rPr>
            <w:t>单位：</w:t>
          </w:r>
          <w:sdt>
            <w:sdtPr>
              <w:rPr>
                <w:rFonts w:hint="eastAsia"/>
                <w:szCs w:val="21"/>
              </w:rPr>
              <w:alias w:val="单位：财务附注：长期待摊费用"/>
              <w:tag w:val="_GBC_aa74f67aac374e54a7768a8434ab0c08"/>
              <w:id w:val="13489030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767b9b701cf8425c9d588b0398c42e90"/>
              <w:id w:val="-12318462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1497"/>
            <w:gridCol w:w="1497"/>
            <w:gridCol w:w="1497"/>
            <w:gridCol w:w="1520"/>
            <w:gridCol w:w="1589"/>
          </w:tblGrid>
          <w:tr w:rsidR="00830E72" w14:paraId="7E2CCFCE" w14:textId="77777777">
            <w:sdt>
              <w:sdtPr>
                <w:tag w:val="_PLD_20e665ce568e49a5aa1c687384d611b3"/>
                <w:id w:val="602472636"/>
                <w:lock w:val="sdtLocked"/>
              </w:sdtPr>
              <w:sdtEndPr/>
              <w:sdtContent>
                <w:tc>
                  <w:tcPr>
                    <w:tcW w:w="801" w:type="pct"/>
                    <w:shd w:val="clear" w:color="auto" w:fill="auto"/>
                    <w:vAlign w:val="center"/>
                  </w:tcPr>
                  <w:p w14:paraId="5C2A9553" w14:textId="77777777" w:rsidR="00830E72" w:rsidRDefault="008344D8">
                    <w:pPr>
                      <w:jc w:val="center"/>
                      <w:rPr>
                        <w:szCs w:val="21"/>
                      </w:rPr>
                    </w:pPr>
                    <w:r>
                      <w:rPr>
                        <w:rFonts w:hint="eastAsia"/>
                        <w:szCs w:val="21"/>
                      </w:rPr>
                      <w:t>项目</w:t>
                    </w:r>
                  </w:p>
                </w:tc>
              </w:sdtContent>
            </w:sdt>
            <w:sdt>
              <w:sdtPr>
                <w:tag w:val="_PLD_e3597a5d560b48d59d41cd3dc72b1a3a"/>
                <w:id w:val="1461764382"/>
                <w:lock w:val="sdtLocked"/>
              </w:sdtPr>
              <w:sdtEndPr/>
              <w:sdtContent>
                <w:tc>
                  <w:tcPr>
                    <w:tcW w:w="827" w:type="pct"/>
                    <w:shd w:val="clear" w:color="auto" w:fill="auto"/>
                    <w:vAlign w:val="center"/>
                  </w:tcPr>
                  <w:p w14:paraId="68AF6BF7" w14:textId="77777777" w:rsidR="00830E72" w:rsidRDefault="008344D8">
                    <w:pPr>
                      <w:jc w:val="center"/>
                      <w:rPr>
                        <w:szCs w:val="21"/>
                      </w:rPr>
                    </w:pPr>
                    <w:r>
                      <w:rPr>
                        <w:rFonts w:hint="eastAsia"/>
                        <w:szCs w:val="21"/>
                      </w:rPr>
                      <w:t>期初余额</w:t>
                    </w:r>
                  </w:p>
                </w:tc>
              </w:sdtContent>
            </w:sdt>
            <w:sdt>
              <w:sdtPr>
                <w:tag w:val="_PLD_2edffaf8b24b489e97f2d4a6a5ec5711"/>
                <w:id w:val="1397322932"/>
                <w:lock w:val="sdtLocked"/>
              </w:sdtPr>
              <w:sdtEndPr/>
              <w:sdtContent>
                <w:tc>
                  <w:tcPr>
                    <w:tcW w:w="827" w:type="pct"/>
                    <w:shd w:val="clear" w:color="auto" w:fill="auto"/>
                    <w:vAlign w:val="center"/>
                  </w:tcPr>
                  <w:p w14:paraId="2CCDC244" w14:textId="77777777" w:rsidR="00830E72" w:rsidRDefault="008344D8">
                    <w:pPr>
                      <w:jc w:val="center"/>
                      <w:rPr>
                        <w:szCs w:val="21"/>
                      </w:rPr>
                    </w:pPr>
                    <w:r>
                      <w:rPr>
                        <w:rFonts w:hint="eastAsia"/>
                        <w:szCs w:val="21"/>
                      </w:rPr>
                      <w:t>本期增加金额</w:t>
                    </w:r>
                  </w:p>
                </w:tc>
              </w:sdtContent>
            </w:sdt>
            <w:sdt>
              <w:sdtPr>
                <w:tag w:val="_PLD_f6bc6a07519e4f6cab5889776aa0ecbd"/>
                <w:id w:val="-509688528"/>
                <w:lock w:val="sdtLocked"/>
              </w:sdtPr>
              <w:sdtEndPr/>
              <w:sdtContent>
                <w:tc>
                  <w:tcPr>
                    <w:tcW w:w="827" w:type="pct"/>
                    <w:shd w:val="clear" w:color="auto" w:fill="auto"/>
                    <w:vAlign w:val="center"/>
                  </w:tcPr>
                  <w:p w14:paraId="6CA274E1" w14:textId="77777777" w:rsidR="00830E72" w:rsidRDefault="008344D8">
                    <w:pPr>
                      <w:jc w:val="center"/>
                      <w:rPr>
                        <w:szCs w:val="21"/>
                      </w:rPr>
                    </w:pPr>
                    <w:r>
                      <w:rPr>
                        <w:rFonts w:hint="eastAsia"/>
                        <w:szCs w:val="21"/>
                      </w:rPr>
                      <w:t>本期摊销金额</w:t>
                    </w:r>
                  </w:p>
                </w:tc>
              </w:sdtContent>
            </w:sdt>
            <w:sdt>
              <w:sdtPr>
                <w:tag w:val="_PLD_f987bb682c974016898d37b474ce35c6"/>
                <w:id w:val="-347024068"/>
                <w:lock w:val="sdtLocked"/>
              </w:sdtPr>
              <w:sdtEndPr/>
              <w:sdtContent>
                <w:tc>
                  <w:tcPr>
                    <w:tcW w:w="840" w:type="pct"/>
                    <w:shd w:val="clear" w:color="auto" w:fill="auto"/>
                    <w:vAlign w:val="center"/>
                  </w:tcPr>
                  <w:p w14:paraId="2F6AD533" w14:textId="77777777" w:rsidR="00830E72" w:rsidRDefault="008344D8">
                    <w:pPr>
                      <w:jc w:val="center"/>
                      <w:rPr>
                        <w:szCs w:val="21"/>
                      </w:rPr>
                    </w:pPr>
                    <w:r>
                      <w:rPr>
                        <w:rFonts w:hint="eastAsia"/>
                        <w:szCs w:val="21"/>
                      </w:rPr>
                      <w:t>其他减少金额</w:t>
                    </w:r>
                  </w:p>
                </w:tc>
              </w:sdtContent>
            </w:sdt>
            <w:sdt>
              <w:sdtPr>
                <w:tag w:val="_PLD_dab738986fbc4bd7b942faf77cb39605"/>
                <w:id w:val="725342029"/>
                <w:lock w:val="sdtLocked"/>
              </w:sdtPr>
              <w:sdtEndPr/>
              <w:sdtContent>
                <w:tc>
                  <w:tcPr>
                    <w:tcW w:w="879" w:type="pct"/>
                    <w:shd w:val="clear" w:color="auto" w:fill="auto"/>
                    <w:vAlign w:val="center"/>
                  </w:tcPr>
                  <w:p w14:paraId="3081C9F0" w14:textId="77777777" w:rsidR="00830E72" w:rsidRDefault="008344D8">
                    <w:pPr>
                      <w:jc w:val="center"/>
                      <w:rPr>
                        <w:szCs w:val="21"/>
                      </w:rPr>
                    </w:pPr>
                    <w:r>
                      <w:rPr>
                        <w:rFonts w:hint="eastAsia"/>
                        <w:szCs w:val="21"/>
                      </w:rPr>
                      <w:t>期末余额</w:t>
                    </w:r>
                  </w:p>
                </w:tc>
              </w:sdtContent>
            </w:sdt>
          </w:tr>
          <w:sdt>
            <w:sdtPr>
              <w:rPr>
                <w:rFonts w:hint="eastAsia"/>
                <w:szCs w:val="21"/>
              </w:rPr>
              <w:alias w:val="长期待摊费用明细"/>
              <w:tag w:val="_GBC_68b20aeabd8c4ce8bf5df712206206af"/>
              <w:id w:val="1511637097"/>
            </w:sdtPr>
            <w:sdtEndPr/>
            <w:sdtContent>
              <w:tr w:rsidR="00830E72" w14:paraId="0CC1812A" w14:textId="77777777">
                <w:tc>
                  <w:tcPr>
                    <w:tcW w:w="801" w:type="pct"/>
                    <w:shd w:val="clear" w:color="auto" w:fill="auto"/>
                  </w:tcPr>
                  <w:p w14:paraId="182D06F4" w14:textId="77777777" w:rsidR="00830E72" w:rsidRDefault="008344D8">
                    <w:pPr>
                      <w:rPr>
                        <w:szCs w:val="21"/>
                      </w:rPr>
                    </w:pPr>
                    <w:r>
                      <w:rPr>
                        <w:rFonts w:hint="eastAsia"/>
                        <w:szCs w:val="21"/>
                      </w:rPr>
                      <w:t>装修支出</w:t>
                    </w:r>
                  </w:p>
                </w:tc>
                <w:tc>
                  <w:tcPr>
                    <w:tcW w:w="827" w:type="pct"/>
                    <w:shd w:val="clear" w:color="auto" w:fill="auto"/>
                  </w:tcPr>
                  <w:p w14:paraId="12706E86" w14:textId="77777777" w:rsidR="00830E72" w:rsidRDefault="008344D8">
                    <w:pPr>
                      <w:jc w:val="right"/>
                      <w:rPr>
                        <w:szCs w:val="21"/>
                      </w:rPr>
                    </w:pPr>
                    <w:r>
                      <w:rPr>
                        <w:szCs w:val="21"/>
                      </w:rPr>
                      <w:t>554,183.94</w:t>
                    </w:r>
                  </w:p>
                </w:tc>
                <w:tc>
                  <w:tcPr>
                    <w:tcW w:w="827" w:type="pct"/>
                    <w:shd w:val="clear" w:color="auto" w:fill="auto"/>
                  </w:tcPr>
                  <w:p w14:paraId="7E4CC0C6" w14:textId="77777777" w:rsidR="00830E72" w:rsidRDefault="008344D8">
                    <w:pPr>
                      <w:jc w:val="right"/>
                      <w:rPr>
                        <w:szCs w:val="21"/>
                      </w:rPr>
                    </w:pPr>
                    <w:r>
                      <w:t>530,222.49</w:t>
                    </w:r>
                  </w:p>
                </w:tc>
                <w:tc>
                  <w:tcPr>
                    <w:tcW w:w="827" w:type="pct"/>
                    <w:shd w:val="clear" w:color="auto" w:fill="auto"/>
                  </w:tcPr>
                  <w:p w14:paraId="618C71AD" w14:textId="77777777" w:rsidR="00830E72" w:rsidRDefault="008344D8">
                    <w:pPr>
                      <w:jc w:val="right"/>
                      <w:rPr>
                        <w:szCs w:val="21"/>
                      </w:rPr>
                    </w:pPr>
                    <w:r>
                      <w:t xml:space="preserve">504,717.66 </w:t>
                    </w:r>
                  </w:p>
                </w:tc>
                <w:tc>
                  <w:tcPr>
                    <w:tcW w:w="840" w:type="pct"/>
                    <w:shd w:val="clear" w:color="auto" w:fill="auto"/>
                  </w:tcPr>
                  <w:p w14:paraId="63F1DC87" w14:textId="77777777" w:rsidR="00830E72" w:rsidRDefault="008344D8">
                    <w:pPr>
                      <w:jc w:val="right"/>
                      <w:rPr>
                        <w:szCs w:val="21"/>
                      </w:rPr>
                    </w:pPr>
                    <w:r>
                      <w:rPr>
                        <w:rFonts w:hint="eastAsia"/>
                        <w:szCs w:val="21"/>
                      </w:rPr>
                      <w:t>-</w:t>
                    </w:r>
                  </w:p>
                </w:tc>
                <w:tc>
                  <w:tcPr>
                    <w:tcW w:w="879" w:type="pct"/>
                    <w:shd w:val="clear" w:color="auto" w:fill="auto"/>
                  </w:tcPr>
                  <w:p w14:paraId="50A60959" w14:textId="77777777" w:rsidR="00830E72" w:rsidRDefault="008344D8">
                    <w:pPr>
                      <w:jc w:val="right"/>
                      <w:rPr>
                        <w:szCs w:val="21"/>
                      </w:rPr>
                    </w:pPr>
                    <w:r>
                      <w:rPr>
                        <w:szCs w:val="21"/>
                      </w:rPr>
                      <w:t>579,688.77</w:t>
                    </w:r>
                  </w:p>
                </w:tc>
              </w:tr>
            </w:sdtContent>
          </w:sdt>
          <w:tr w:rsidR="00830E72" w14:paraId="2B644915" w14:textId="77777777">
            <w:sdt>
              <w:sdtPr>
                <w:tag w:val="_PLD_bd1d6a8046344014824f3cd45e5475be"/>
                <w:id w:val="-279488578"/>
                <w:lock w:val="sdtLocked"/>
              </w:sdtPr>
              <w:sdtEndPr/>
              <w:sdtContent>
                <w:tc>
                  <w:tcPr>
                    <w:tcW w:w="801" w:type="pct"/>
                    <w:shd w:val="clear" w:color="auto" w:fill="auto"/>
                    <w:vAlign w:val="center"/>
                  </w:tcPr>
                  <w:p w14:paraId="7684D5F6" w14:textId="77777777" w:rsidR="00830E72" w:rsidRDefault="008344D8">
                    <w:pPr>
                      <w:jc w:val="center"/>
                      <w:rPr>
                        <w:szCs w:val="21"/>
                      </w:rPr>
                    </w:pPr>
                    <w:r>
                      <w:rPr>
                        <w:rFonts w:hint="eastAsia"/>
                        <w:szCs w:val="21"/>
                      </w:rPr>
                      <w:t>合计</w:t>
                    </w:r>
                  </w:p>
                </w:tc>
              </w:sdtContent>
            </w:sdt>
            <w:tc>
              <w:tcPr>
                <w:tcW w:w="827" w:type="pct"/>
                <w:shd w:val="clear" w:color="auto" w:fill="auto"/>
              </w:tcPr>
              <w:p w14:paraId="611136ED" w14:textId="77777777" w:rsidR="00830E72" w:rsidRDefault="008344D8">
                <w:pPr>
                  <w:jc w:val="right"/>
                  <w:rPr>
                    <w:szCs w:val="21"/>
                  </w:rPr>
                </w:pPr>
                <w:r>
                  <w:rPr>
                    <w:szCs w:val="21"/>
                  </w:rPr>
                  <w:t>554,183.94</w:t>
                </w:r>
              </w:p>
            </w:tc>
            <w:tc>
              <w:tcPr>
                <w:tcW w:w="827" w:type="pct"/>
                <w:shd w:val="clear" w:color="auto" w:fill="auto"/>
              </w:tcPr>
              <w:p w14:paraId="6C7505FA" w14:textId="77777777" w:rsidR="00830E72" w:rsidRDefault="008344D8">
                <w:pPr>
                  <w:jc w:val="right"/>
                  <w:rPr>
                    <w:szCs w:val="21"/>
                  </w:rPr>
                </w:pPr>
                <w:r>
                  <w:t>530,222.49</w:t>
                </w:r>
              </w:p>
            </w:tc>
            <w:tc>
              <w:tcPr>
                <w:tcW w:w="827" w:type="pct"/>
                <w:shd w:val="clear" w:color="auto" w:fill="auto"/>
              </w:tcPr>
              <w:p w14:paraId="60732687" w14:textId="77777777" w:rsidR="00830E72" w:rsidRDefault="008344D8">
                <w:pPr>
                  <w:jc w:val="right"/>
                  <w:rPr>
                    <w:szCs w:val="21"/>
                  </w:rPr>
                </w:pPr>
                <w:r>
                  <w:t xml:space="preserve">504,717.66 </w:t>
                </w:r>
              </w:p>
            </w:tc>
            <w:tc>
              <w:tcPr>
                <w:tcW w:w="840" w:type="pct"/>
                <w:shd w:val="clear" w:color="auto" w:fill="auto"/>
              </w:tcPr>
              <w:p w14:paraId="3C99F9A9" w14:textId="77777777" w:rsidR="00830E72" w:rsidRDefault="008344D8">
                <w:pPr>
                  <w:jc w:val="right"/>
                  <w:rPr>
                    <w:szCs w:val="21"/>
                  </w:rPr>
                </w:pPr>
                <w:r>
                  <w:rPr>
                    <w:rFonts w:hint="eastAsia"/>
                    <w:szCs w:val="21"/>
                  </w:rPr>
                  <w:t>-</w:t>
                </w:r>
              </w:p>
            </w:tc>
            <w:tc>
              <w:tcPr>
                <w:tcW w:w="879" w:type="pct"/>
                <w:shd w:val="clear" w:color="auto" w:fill="auto"/>
              </w:tcPr>
              <w:p w14:paraId="7A0BA275" w14:textId="77777777" w:rsidR="00830E72" w:rsidRDefault="008344D8">
                <w:pPr>
                  <w:jc w:val="right"/>
                  <w:rPr>
                    <w:szCs w:val="21"/>
                  </w:rPr>
                </w:pPr>
                <w:r>
                  <w:rPr>
                    <w:szCs w:val="21"/>
                  </w:rPr>
                  <w:t>579,688.77</w:t>
                </w:r>
              </w:p>
            </w:tc>
          </w:tr>
        </w:tbl>
        <w:p w14:paraId="415477BB" w14:textId="77777777" w:rsidR="00830E72" w:rsidRDefault="00D44830">
          <w:pPr>
            <w:rPr>
              <w:szCs w:val="21"/>
            </w:rPr>
          </w:pPr>
        </w:p>
      </w:sdtContent>
    </w:sdt>
    <w:sdt>
      <w:sdtPr>
        <w:rPr>
          <w:rFonts w:ascii="宋体" w:hAnsi="宋体" w:cs="宋体" w:hint="eastAsia"/>
          <w:b w:val="0"/>
          <w:bCs w:val="0"/>
          <w:kern w:val="0"/>
          <w:szCs w:val="21"/>
        </w:rPr>
        <w:alias w:val="模块:未经抵销的递延所得税资产"/>
        <w:tag w:val="_SEC_24cb6110bf5143448478343c289c754e"/>
        <w:id w:val="-1341768029"/>
        <w:lock w:val="sdtLocked"/>
        <w:placeholder>
          <w:docPart w:val="GBC22222222222222222222222222222"/>
        </w:placeholder>
      </w:sdtPr>
      <w:sdtEndPr>
        <w:rPr>
          <w:rFonts w:hint="default"/>
        </w:rPr>
      </w:sdtEndPr>
      <w:sdtContent>
        <w:p w14:paraId="60821740"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递延所得税资产/ 递延所得税负债</w:t>
          </w:r>
        </w:p>
        <w:p w14:paraId="79C2D5AD" w14:textId="77777777" w:rsidR="00830E72" w:rsidRDefault="008344D8">
          <w:pPr>
            <w:pStyle w:val="Style100"/>
            <w:numPr>
              <w:ilvl w:val="0"/>
              <w:numId w:val="63"/>
            </w:numPr>
            <w:tabs>
              <w:tab w:val="left" w:pos="588"/>
              <w:tab w:val="left" w:pos="616"/>
            </w:tabs>
            <w:rPr>
              <w:rFonts w:ascii="宋体" w:hAnsi="宋体"/>
            </w:rPr>
          </w:pPr>
          <w:bookmarkStart w:id="154" w:name="_Toc215903151"/>
          <w:r>
            <w:rPr>
              <w:rFonts w:ascii="宋体" w:hAnsi="宋体" w:hint="eastAsia"/>
            </w:rPr>
            <w:t>未经抵销的递延所得税资产</w:t>
          </w:r>
        </w:p>
        <w:sdt>
          <w:sdtPr>
            <w:alias w:val="是否适用：未经抵销的递延所得税资产[双击切换]"/>
            <w:tag w:val="_GBC_fc6e77974a404dc3bef5fc386ae4e1e7"/>
            <w:id w:val="1176700404"/>
            <w:lock w:val="sdtContentLocked"/>
            <w:placeholder>
              <w:docPart w:val="GBC22222222222222222222222222222"/>
            </w:placeholder>
          </w:sdtPr>
          <w:sdtEndPr/>
          <w:sdtContent>
            <w:p w14:paraId="428C4F79"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BD1B817" w14:textId="77777777" w:rsidR="00830E72" w:rsidRDefault="008344D8">
          <w:pPr>
            <w:jc w:val="right"/>
            <w:rPr>
              <w:szCs w:val="21"/>
            </w:rPr>
          </w:pPr>
          <w:r>
            <w:rPr>
              <w:rFonts w:hint="eastAsia"/>
              <w:szCs w:val="21"/>
            </w:rPr>
            <w:t>单位：</w:t>
          </w:r>
          <w:sdt>
            <w:sdtPr>
              <w:rPr>
                <w:rFonts w:hint="eastAsia"/>
                <w:szCs w:val="21"/>
              </w:rPr>
              <w:alias w:val="单位：财务附注：已确认的递延所得税资产和递延所得税负债"/>
              <w:tag w:val="_GBC_7be724d3c6f14974914db7d02bb734f9"/>
              <w:id w:val="-15726511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bookmarkEnd w:id="154"/>
          <w:sdt>
            <w:sdtPr>
              <w:rPr>
                <w:rFonts w:hint="eastAsia"/>
                <w:szCs w:val="21"/>
              </w:rPr>
              <w:alias w:val="币种：财务附注：已确认的递延所得税资产和递延所得税负债"/>
              <w:tag w:val="_GBC_a48237f045494aa9a0ea8c2cb35b1c0f"/>
              <w:id w:val="12532455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1"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875"/>
            <w:gridCol w:w="1629"/>
            <w:gridCol w:w="1686"/>
            <w:gridCol w:w="1626"/>
          </w:tblGrid>
          <w:tr w:rsidR="00830E72" w14:paraId="49406900" w14:textId="77777777">
            <w:trPr>
              <w:trHeight w:val="285"/>
            </w:trPr>
            <w:sdt>
              <w:sdtPr>
                <w:tag w:val="_PLD_e45101b3a01946f19f22657bb959574e"/>
                <w:id w:val="938415666"/>
                <w:lock w:val="sdtLocked"/>
              </w:sdtPr>
              <w:sdtEndPr/>
              <w:sdtContent>
                <w:tc>
                  <w:tcPr>
                    <w:tcW w:w="1235" w:type="pct"/>
                    <w:vMerge w:val="restart"/>
                    <w:shd w:val="clear" w:color="auto" w:fill="auto"/>
                    <w:vAlign w:val="center"/>
                  </w:tcPr>
                  <w:p w14:paraId="579009BE" w14:textId="77777777" w:rsidR="00830E72" w:rsidRDefault="008344D8">
                    <w:pPr>
                      <w:jc w:val="center"/>
                      <w:rPr>
                        <w:szCs w:val="21"/>
                      </w:rPr>
                    </w:pPr>
                    <w:r>
                      <w:rPr>
                        <w:rFonts w:hint="eastAsia"/>
                        <w:szCs w:val="21"/>
                      </w:rPr>
                      <w:t>项目</w:t>
                    </w:r>
                  </w:p>
                </w:tc>
              </w:sdtContent>
            </w:sdt>
            <w:sdt>
              <w:sdtPr>
                <w:tag w:val="_PLD_dd892ffecd234c819059bf10f71b1910"/>
                <w:id w:val="1083803312"/>
                <w:lock w:val="sdtLocked"/>
              </w:sdtPr>
              <w:sdtEndPr/>
              <w:sdtContent>
                <w:tc>
                  <w:tcPr>
                    <w:tcW w:w="1936" w:type="pct"/>
                    <w:gridSpan w:val="2"/>
                    <w:shd w:val="clear" w:color="auto" w:fill="auto"/>
                    <w:vAlign w:val="center"/>
                  </w:tcPr>
                  <w:p w14:paraId="4BD2B17D" w14:textId="77777777" w:rsidR="00830E72" w:rsidRDefault="008344D8">
                    <w:pPr>
                      <w:jc w:val="center"/>
                      <w:rPr>
                        <w:szCs w:val="21"/>
                      </w:rPr>
                    </w:pPr>
                    <w:r>
                      <w:rPr>
                        <w:rFonts w:hint="eastAsia"/>
                        <w:szCs w:val="21"/>
                      </w:rPr>
                      <w:t>期末余额</w:t>
                    </w:r>
                  </w:p>
                </w:tc>
              </w:sdtContent>
            </w:sdt>
            <w:sdt>
              <w:sdtPr>
                <w:tag w:val="_PLD_be855fcb002344d6ae2c74083e90b1c1"/>
                <w:id w:val="-985009158"/>
                <w:lock w:val="sdtLocked"/>
              </w:sdtPr>
              <w:sdtEndPr/>
              <w:sdtContent>
                <w:tc>
                  <w:tcPr>
                    <w:tcW w:w="1830" w:type="pct"/>
                    <w:gridSpan w:val="2"/>
                    <w:shd w:val="clear" w:color="auto" w:fill="auto"/>
                    <w:vAlign w:val="center"/>
                  </w:tcPr>
                  <w:p w14:paraId="6CEFDEBA" w14:textId="77777777" w:rsidR="00830E72" w:rsidRDefault="008344D8">
                    <w:pPr>
                      <w:jc w:val="center"/>
                      <w:rPr>
                        <w:szCs w:val="21"/>
                      </w:rPr>
                    </w:pPr>
                    <w:r>
                      <w:rPr>
                        <w:rFonts w:hint="eastAsia"/>
                        <w:szCs w:val="21"/>
                      </w:rPr>
                      <w:t>期初余额</w:t>
                    </w:r>
                  </w:p>
                </w:tc>
              </w:sdtContent>
            </w:sdt>
          </w:tr>
          <w:tr w:rsidR="00830E72" w14:paraId="2C0AF082" w14:textId="77777777">
            <w:trPr>
              <w:trHeight w:val="285"/>
            </w:trPr>
            <w:tc>
              <w:tcPr>
                <w:tcW w:w="1235" w:type="pct"/>
                <w:vMerge/>
                <w:shd w:val="clear" w:color="auto" w:fill="auto"/>
                <w:vAlign w:val="center"/>
              </w:tcPr>
              <w:p w14:paraId="47090056" w14:textId="77777777" w:rsidR="00830E72" w:rsidRDefault="00830E72">
                <w:pPr>
                  <w:jc w:val="center"/>
                  <w:rPr>
                    <w:b/>
                    <w:szCs w:val="21"/>
                  </w:rPr>
                </w:pPr>
              </w:p>
            </w:tc>
            <w:sdt>
              <w:sdtPr>
                <w:tag w:val="_PLD_c82eb64547054aa39a1b7bfe7c532e2e"/>
                <w:id w:val="830327294"/>
                <w:lock w:val="sdtLocked"/>
              </w:sdtPr>
              <w:sdtEndPr/>
              <w:sdtContent>
                <w:tc>
                  <w:tcPr>
                    <w:tcW w:w="1036" w:type="pct"/>
                    <w:shd w:val="clear" w:color="auto" w:fill="auto"/>
                    <w:vAlign w:val="center"/>
                  </w:tcPr>
                  <w:p w14:paraId="3F5ECD31" w14:textId="77777777" w:rsidR="00830E72" w:rsidRDefault="008344D8">
                    <w:pPr>
                      <w:jc w:val="center"/>
                      <w:rPr>
                        <w:szCs w:val="21"/>
                      </w:rPr>
                    </w:pPr>
                    <w:r>
                      <w:rPr>
                        <w:rFonts w:hint="eastAsia"/>
                        <w:szCs w:val="21"/>
                      </w:rPr>
                      <w:t>可抵扣暂时性差异</w:t>
                    </w:r>
                  </w:p>
                </w:tc>
              </w:sdtContent>
            </w:sdt>
            <w:sdt>
              <w:sdtPr>
                <w:tag w:val="_PLD_ad2e47975c52486d8bfc7fec079252de"/>
                <w:id w:val="183946739"/>
                <w:lock w:val="sdtLocked"/>
              </w:sdtPr>
              <w:sdtEndPr/>
              <w:sdtContent>
                <w:tc>
                  <w:tcPr>
                    <w:tcW w:w="899" w:type="pct"/>
                    <w:shd w:val="clear" w:color="auto" w:fill="auto"/>
                    <w:vAlign w:val="center"/>
                  </w:tcPr>
                  <w:p w14:paraId="32F2A47F" w14:textId="77777777" w:rsidR="00830E72" w:rsidRDefault="008344D8">
                    <w:pPr>
                      <w:jc w:val="center"/>
                      <w:rPr>
                        <w:szCs w:val="21"/>
                      </w:rPr>
                    </w:pPr>
                    <w:r>
                      <w:rPr>
                        <w:rFonts w:hint="eastAsia"/>
                        <w:szCs w:val="21"/>
                      </w:rPr>
                      <w:t>递延所得税</w:t>
                    </w:r>
                  </w:p>
                  <w:p w14:paraId="219D71DB" w14:textId="77777777" w:rsidR="00830E72" w:rsidRDefault="008344D8">
                    <w:pPr>
                      <w:jc w:val="center"/>
                      <w:rPr>
                        <w:szCs w:val="21"/>
                      </w:rPr>
                    </w:pPr>
                    <w:r>
                      <w:rPr>
                        <w:rFonts w:hint="eastAsia"/>
                        <w:szCs w:val="21"/>
                      </w:rPr>
                      <w:t>资产</w:t>
                    </w:r>
                  </w:p>
                </w:tc>
              </w:sdtContent>
            </w:sdt>
            <w:sdt>
              <w:sdtPr>
                <w:tag w:val="_PLD_0e0e7aabb5f8432ea9da8b4066b2e897"/>
                <w:id w:val="-1855491798"/>
                <w:lock w:val="sdtLocked"/>
              </w:sdtPr>
              <w:sdtEndPr/>
              <w:sdtContent>
                <w:tc>
                  <w:tcPr>
                    <w:tcW w:w="931" w:type="pct"/>
                    <w:shd w:val="clear" w:color="auto" w:fill="auto"/>
                    <w:vAlign w:val="center"/>
                  </w:tcPr>
                  <w:p w14:paraId="3025B09B" w14:textId="77777777" w:rsidR="00830E72" w:rsidRDefault="008344D8">
                    <w:pPr>
                      <w:jc w:val="center"/>
                      <w:rPr>
                        <w:szCs w:val="21"/>
                      </w:rPr>
                    </w:pPr>
                    <w:r>
                      <w:rPr>
                        <w:rFonts w:hint="eastAsia"/>
                        <w:szCs w:val="21"/>
                      </w:rPr>
                      <w:t>可抵扣暂时性差异</w:t>
                    </w:r>
                  </w:p>
                </w:tc>
              </w:sdtContent>
            </w:sdt>
            <w:sdt>
              <w:sdtPr>
                <w:tag w:val="_PLD_34147e3346eb4b24b314e0dadaab6983"/>
                <w:id w:val="1243597451"/>
                <w:lock w:val="sdtLocked"/>
              </w:sdtPr>
              <w:sdtEndPr/>
              <w:sdtContent>
                <w:tc>
                  <w:tcPr>
                    <w:tcW w:w="898" w:type="pct"/>
                    <w:shd w:val="clear" w:color="auto" w:fill="auto"/>
                    <w:vAlign w:val="center"/>
                  </w:tcPr>
                  <w:p w14:paraId="30F5002D" w14:textId="77777777" w:rsidR="00830E72" w:rsidRDefault="008344D8">
                    <w:pPr>
                      <w:jc w:val="center"/>
                      <w:rPr>
                        <w:szCs w:val="21"/>
                      </w:rPr>
                    </w:pPr>
                    <w:r>
                      <w:rPr>
                        <w:rFonts w:hint="eastAsia"/>
                        <w:szCs w:val="21"/>
                      </w:rPr>
                      <w:t>递延所得税</w:t>
                    </w:r>
                  </w:p>
                  <w:p w14:paraId="42149E55" w14:textId="77777777" w:rsidR="00830E72" w:rsidRDefault="008344D8">
                    <w:pPr>
                      <w:jc w:val="center"/>
                      <w:rPr>
                        <w:szCs w:val="21"/>
                      </w:rPr>
                    </w:pPr>
                    <w:r>
                      <w:rPr>
                        <w:rFonts w:hint="eastAsia"/>
                        <w:szCs w:val="21"/>
                      </w:rPr>
                      <w:t>资产</w:t>
                    </w:r>
                  </w:p>
                </w:tc>
              </w:sdtContent>
            </w:sdt>
          </w:tr>
          <w:tr w:rsidR="00830E72" w14:paraId="61E346ED" w14:textId="77777777">
            <w:trPr>
              <w:trHeight w:val="285"/>
            </w:trPr>
            <w:sdt>
              <w:sdtPr>
                <w:tag w:val="_PLD_1bf7e1aa06884192bd26302547776324"/>
                <w:id w:val="1455215155"/>
                <w:lock w:val="sdtLocked"/>
              </w:sdtPr>
              <w:sdtEndPr/>
              <w:sdtContent>
                <w:tc>
                  <w:tcPr>
                    <w:tcW w:w="1235" w:type="pct"/>
                    <w:shd w:val="clear" w:color="auto" w:fill="auto"/>
                    <w:vAlign w:val="center"/>
                  </w:tcPr>
                  <w:p w14:paraId="3AB96599" w14:textId="77777777" w:rsidR="00830E72" w:rsidRDefault="008344D8">
                    <w:pPr>
                      <w:rPr>
                        <w:szCs w:val="21"/>
                      </w:rPr>
                    </w:pPr>
                    <w:r>
                      <w:rPr>
                        <w:rFonts w:hint="eastAsia"/>
                        <w:szCs w:val="21"/>
                      </w:rPr>
                      <w:t>资产减值准备</w:t>
                    </w:r>
                  </w:p>
                </w:tc>
              </w:sdtContent>
            </w:sdt>
            <w:tc>
              <w:tcPr>
                <w:tcW w:w="1036" w:type="pct"/>
                <w:shd w:val="clear" w:color="auto" w:fill="auto"/>
              </w:tcPr>
              <w:p w14:paraId="757B6529" w14:textId="77777777" w:rsidR="00830E72" w:rsidRDefault="008344D8">
                <w:pPr>
                  <w:jc w:val="right"/>
                  <w:rPr>
                    <w:szCs w:val="21"/>
                  </w:rPr>
                </w:pPr>
                <w:r>
                  <w:rPr>
                    <w:szCs w:val="21"/>
                  </w:rPr>
                  <w:t>7,117,771.14</w:t>
                </w:r>
              </w:p>
            </w:tc>
            <w:tc>
              <w:tcPr>
                <w:tcW w:w="899" w:type="pct"/>
                <w:shd w:val="clear" w:color="auto" w:fill="auto"/>
              </w:tcPr>
              <w:p w14:paraId="19E4DA25" w14:textId="77777777" w:rsidR="00830E72" w:rsidRDefault="008344D8">
                <w:pPr>
                  <w:jc w:val="right"/>
                  <w:rPr>
                    <w:szCs w:val="21"/>
                  </w:rPr>
                </w:pPr>
                <w:r>
                  <w:rPr>
                    <w:szCs w:val="21"/>
                  </w:rPr>
                  <w:t>1,779,442.79</w:t>
                </w:r>
              </w:p>
            </w:tc>
            <w:tc>
              <w:tcPr>
                <w:tcW w:w="931" w:type="pct"/>
                <w:shd w:val="clear" w:color="auto" w:fill="auto"/>
              </w:tcPr>
              <w:p w14:paraId="7B9187D8" w14:textId="77777777" w:rsidR="00830E72" w:rsidRDefault="008344D8">
                <w:pPr>
                  <w:jc w:val="right"/>
                  <w:rPr>
                    <w:szCs w:val="21"/>
                  </w:rPr>
                </w:pPr>
                <w:r>
                  <w:rPr>
                    <w:szCs w:val="21"/>
                  </w:rPr>
                  <w:t>202,187,296.80</w:t>
                </w:r>
              </w:p>
            </w:tc>
            <w:tc>
              <w:tcPr>
                <w:tcW w:w="898" w:type="pct"/>
                <w:shd w:val="clear" w:color="auto" w:fill="auto"/>
              </w:tcPr>
              <w:p w14:paraId="19155179" w14:textId="77777777" w:rsidR="00830E72" w:rsidRDefault="008344D8">
                <w:pPr>
                  <w:jc w:val="right"/>
                  <w:rPr>
                    <w:szCs w:val="21"/>
                  </w:rPr>
                </w:pPr>
                <w:r>
                  <w:rPr>
                    <w:szCs w:val="21"/>
                  </w:rPr>
                  <w:t>50,546,824.20</w:t>
                </w:r>
              </w:p>
            </w:tc>
          </w:tr>
          <w:tr w:rsidR="00830E72" w14:paraId="3186BE81" w14:textId="77777777">
            <w:trPr>
              <w:trHeight w:val="285"/>
            </w:trPr>
            <w:sdt>
              <w:sdtPr>
                <w:tag w:val="_PLD_024091818f2b4c9386a36ed63f88f791"/>
                <w:id w:val="-490404121"/>
                <w:lock w:val="sdtLocked"/>
              </w:sdtPr>
              <w:sdtEndPr/>
              <w:sdtContent>
                <w:tc>
                  <w:tcPr>
                    <w:tcW w:w="1235" w:type="pct"/>
                    <w:shd w:val="clear" w:color="auto" w:fill="auto"/>
                    <w:vAlign w:val="center"/>
                  </w:tcPr>
                  <w:p w14:paraId="6724E63C" w14:textId="77777777" w:rsidR="00830E72" w:rsidRDefault="008344D8">
                    <w:pPr>
                      <w:rPr>
                        <w:szCs w:val="21"/>
                      </w:rPr>
                    </w:pPr>
                    <w:r>
                      <w:rPr>
                        <w:rFonts w:hint="eastAsia"/>
                        <w:szCs w:val="21"/>
                      </w:rPr>
                      <w:t>内部交易未实现利润</w:t>
                    </w:r>
                  </w:p>
                </w:tc>
              </w:sdtContent>
            </w:sdt>
            <w:tc>
              <w:tcPr>
                <w:tcW w:w="1036" w:type="pct"/>
                <w:shd w:val="clear" w:color="auto" w:fill="auto"/>
              </w:tcPr>
              <w:p w14:paraId="0DA17A78" w14:textId="77777777" w:rsidR="00830E72" w:rsidRDefault="008344D8">
                <w:pPr>
                  <w:jc w:val="right"/>
                  <w:rPr>
                    <w:szCs w:val="21"/>
                  </w:rPr>
                </w:pPr>
                <w:r>
                  <w:rPr>
                    <w:rFonts w:hint="eastAsia"/>
                    <w:szCs w:val="21"/>
                  </w:rPr>
                  <w:t>-</w:t>
                </w:r>
              </w:p>
            </w:tc>
            <w:tc>
              <w:tcPr>
                <w:tcW w:w="899" w:type="pct"/>
                <w:shd w:val="clear" w:color="auto" w:fill="auto"/>
              </w:tcPr>
              <w:p w14:paraId="06E40BF0" w14:textId="77777777" w:rsidR="00830E72" w:rsidRDefault="008344D8">
                <w:pPr>
                  <w:jc w:val="right"/>
                  <w:rPr>
                    <w:szCs w:val="21"/>
                  </w:rPr>
                </w:pPr>
                <w:r>
                  <w:rPr>
                    <w:rFonts w:hint="eastAsia"/>
                    <w:szCs w:val="21"/>
                  </w:rPr>
                  <w:t>-</w:t>
                </w:r>
              </w:p>
            </w:tc>
            <w:tc>
              <w:tcPr>
                <w:tcW w:w="931" w:type="pct"/>
                <w:shd w:val="clear" w:color="auto" w:fill="auto"/>
              </w:tcPr>
              <w:p w14:paraId="75AAAE75" w14:textId="77777777" w:rsidR="00830E72" w:rsidRDefault="008344D8">
                <w:pPr>
                  <w:jc w:val="right"/>
                  <w:rPr>
                    <w:szCs w:val="21"/>
                  </w:rPr>
                </w:pPr>
                <w:r>
                  <w:rPr>
                    <w:rFonts w:hint="eastAsia"/>
                    <w:szCs w:val="21"/>
                  </w:rPr>
                  <w:t>-</w:t>
                </w:r>
              </w:p>
            </w:tc>
            <w:tc>
              <w:tcPr>
                <w:tcW w:w="898" w:type="pct"/>
                <w:shd w:val="clear" w:color="auto" w:fill="auto"/>
              </w:tcPr>
              <w:p w14:paraId="2FF3A827" w14:textId="77777777" w:rsidR="00830E72" w:rsidRDefault="008344D8">
                <w:pPr>
                  <w:jc w:val="right"/>
                  <w:rPr>
                    <w:szCs w:val="21"/>
                  </w:rPr>
                </w:pPr>
                <w:r>
                  <w:rPr>
                    <w:rFonts w:hint="eastAsia"/>
                    <w:szCs w:val="21"/>
                  </w:rPr>
                  <w:t>-</w:t>
                </w:r>
              </w:p>
            </w:tc>
          </w:tr>
          <w:tr w:rsidR="00830E72" w14:paraId="0D03DBB6" w14:textId="77777777">
            <w:trPr>
              <w:trHeight w:val="285"/>
            </w:trPr>
            <w:sdt>
              <w:sdtPr>
                <w:tag w:val="_PLD_cab9951be3e845939320c38b7e9544d7"/>
                <w:id w:val="-1567016000"/>
                <w:lock w:val="sdtLocked"/>
              </w:sdtPr>
              <w:sdtEndPr/>
              <w:sdtContent>
                <w:tc>
                  <w:tcPr>
                    <w:tcW w:w="1235" w:type="pct"/>
                    <w:tcBorders>
                      <w:bottom w:val="single" w:sz="4" w:space="0" w:color="auto"/>
                    </w:tcBorders>
                    <w:shd w:val="clear" w:color="auto" w:fill="auto"/>
                    <w:vAlign w:val="center"/>
                  </w:tcPr>
                  <w:p w14:paraId="194728A4" w14:textId="77777777" w:rsidR="00830E72" w:rsidRDefault="008344D8">
                    <w:pPr>
                      <w:rPr>
                        <w:szCs w:val="21"/>
                      </w:rPr>
                    </w:pPr>
                    <w:r>
                      <w:rPr>
                        <w:rFonts w:hint="eastAsia"/>
                        <w:szCs w:val="21"/>
                      </w:rPr>
                      <w:t>可抵扣亏损</w:t>
                    </w:r>
                  </w:p>
                </w:tc>
              </w:sdtContent>
            </w:sdt>
            <w:tc>
              <w:tcPr>
                <w:tcW w:w="1036" w:type="pct"/>
                <w:shd w:val="clear" w:color="auto" w:fill="auto"/>
              </w:tcPr>
              <w:p w14:paraId="59EEE3E2" w14:textId="77777777" w:rsidR="00830E72" w:rsidRDefault="008344D8">
                <w:pPr>
                  <w:jc w:val="right"/>
                  <w:rPr>
                    <w:szCs w:val="21"/>
                  </w:rPr>
                </w:pPr>
                <w:r>
                  <w:rPr>
                    <w:szCs w:val="21"/>
                  </w:rPr>
                  <w:t>17,266,030.81</w:t>
                </w:r>
              </w:p>
            </w:tc>
            <w:tc>
              <w:tcPr>
                <w:tcW w:w="899" w:type="pct"/>
                <w:shd w:val="clear" w:color="auto" w:fill="auto"/>
              </w:tcPr>
              <w:p w14:paraId="3CA939CE" w14:textId="77777777" w:rsidR="00830E72" w:rsidRDefault="008344D8">
                <w:pPr>
                  <w:jc w:val="right"/>
                  <w:rPr>
                    <w:szCs w:val="21"/>
                  </w:rPr>
                </w:pPr>
                <w:r>
                  <w:rPr>
                    <w:szCs w:val="21"/>
                  </w:rPr>
                  <w:t>4,316,507.71</w:t>
                </w:r>
              </w:p>
            </w:tc>
            <w:tc>
              <w:tcPr>
                <w:tcW w:w="931" w:type="pct"/>
                <w:shd w:val="clear" w:color="auto" w:fill="auto"/>
              </w:tcPr>
              <w:p w14:paraId="431B7278" w14:textId="77777777" w:rsidR="00830E72" w:rsidRDefault="008344D8">
                <w:pPr>
                  <w:jc w:val="right"/>
                  <w:rPr>
                    <w:szCs w:val="21"/>
                  </w:rPr>
                </w:pPr>
                <w:r>
                  <w:rPr>
                    <w:szCs w:val="21"/>
                  </w:rPr>
                  <w:t>17,417,835.43</w:t>
                </w:r>
              </w:p>
            </w:tc>
            <w:tc>
              <w:tcPr>
                <w:tcW w:w="898" w:type="pct"/>
                <w:shd w:val="clear" w:color="auto" w:fill="auto"/>
              </w:tcPr>
              <w:p w14:paraId="0F034F3F" w14:textId="77777777" w:rsidR="00830E72" w:rsidRDefault="008344D8">
                <w:pPr>
                  <w:jc w:val="right"/>
                  <w:rPr>
                    <w:szCs w:val="21"/>
                  </w:rPr>
                </w:pPr>
                <w:r>
                  <w:rPr>
                    <w:szCs w:val="21"/>
                  </w:rPr>
                  <w:t>4,354,458.86</w:t>
                </w:r>
              </w:p>
            </w:tc>
          </w:tr>
          <w:sdt>
            <w:sdtPr>
              <w:rPr>
                <w:szCs w:val="21"/>
              </w:rPr>
              <w:alias w:val="递延所得税资产明细"/>
              <w:tag w:val="_GBC_78d44848a87d4473a54948d3e2adbb46"/>
              <w:id w:val="1652482023"/>
              <w:lock w:val="sdtLocked"/>
              <w:placeholder>
                <w:docPart w:val="GBC11111111111111111111111111111"/>
              </w:placeholder>
            </w:sdtPr>
            <w:sdtEndPr/>
            <w:sdtContent>
              <w:tr w:rsidR="00830E72" w14:paraId="72332949" w14:textId="77777777">
                <w:trPr>
                  <w:trHeight w:val="285"/>
                </w:trPr>
                <w:tc>
                  <w:tcPr>
                    <w:tcW w:w="1235" w:type="pct"/>
                    <w:shd w:val="clear" w:color="auto" w:fill="auto"/>
                    <w:vAlign w:val="center"/>
                  </w:tcPr>
                  <w:p w14:paraId="681094F4" w14:textId="77777777" w:rsidR="00830E72" w:rsidRDefault="008344D8">
                    <w:pPr>
                      <w:rPr>
                        <w:szCs w:val="21"/>
                      </w:rPr>
                    </w:pPr>
                    <w:r>
                      <w:rPr>
                        <w:rFonts w:hint="eastAsia"/>
                        <w:szCs w:val="21"/>
                      </w:rPr>
                      <w:t>信用减值准备</w:t>
                    </w:r>
                  </w:p>
                </w:tc>
                <w:tc>
                  <w:tcPr>
                    <w:tcW w:w="1036" w:type="pct"/>
                    <w:shd w:val="clear" w:color="auto" w:fill="auto"/>
                  </w:tcPr>
                  <w:p w14:paraId="5F2F4B8D" w14:textId="77777777" w:rsidR="00830E72" w:rsidRDefault="008344D8">
                    <w:pPr>
                      <w:jc w:val="right"/>
                      <w:rPr>
                        <w:szCs w:val="21"/>
                      </w:rPr>
                    </w:pPr>
                    <w:r>
                      <w:rPr>
                        <w:szCs w:val="21"/>
                      </w:rPr>
                      <w:t>188,335,793.12</w:t>
                    </w:r>
                  </w:p>
                </w:tc>
                <w:tc>
                  <w:tcPr>
                    <w:tcW w:w="899" w:type="pct"/>
                    <w:shd w:val="clear" w:color="auto" w:fill="auto"/>
                  </w:tcPr>
                  <w:p w14:paraId="3472442E" w14:textId="77777777" w:rsidR="00830E72" w:rsidRDefault="008344D8">
                    <w:pPr>
                      <w:jc w:val="right"/>
                      <w:rPr>
                        <w:szCs w:val="21"/>
                      </w:rPr>
                    </w:pPr>
                    <w:r>
                      <w:rPr>
                        <w:szCs w:val="21"/>
                      </w:rPr>
                      <w:t>47,083,948.28</w:t>
                    </w:r>
                  </w:p>
                </w:tc>
                <w:tc>
                  <w:tcPr>
                    <w:tcW w:w="931" w:type="pct"/>
                    <w:shd w:val="clear" w:color="auto" w:fill="auto"/>
                  </w:tcPr>
                  <w:p w14:paraId="1EAE5807" w14:textId="77777777" w:rsidR="00830E72" w:rsidRDefault="008344D8">
                    <w:pPr>
                      <w:jc w:val="right"/>
                      <w:rPr>
                        <w:szCs w:val="21"/>
                      </w:rPr>
                    </w:pPr>
                    <w:r>
                      <w:rPr>
                        <w:rFonts w:hint="eastAsia"/>
                        <w:szCs w:val="21"/>
                      </w:rPr>
                      <w:t>-</w:t>
                    </w:r>
                  </w:p>
                </w:tc>
                <w:tc>
                  <w:tcPr>
                    <w:tcW w:w="898" w:type="pct"/>
                    <w:shd w:val="clear" w:color="auto" w:fill="auto"/>
                  </w:tcPr>
                  <w:p w14:paraId="2173CAAE" w14:textId="77777777" w:rsidR="00830E72" w:rsidRDefault="008344D8">
                    <w:pPr>
                      <w:jc w:val="right"/>
                      <w:rPr>
                        <w:szCs w:val="21"/>
                      </w:rPr>
                    </w:pPr>
                    <w:r>
                      <w:rPr>
                        <w:rFonts w:hint="eastAsia"/>
                        <w:szCs w:val="21"/>
                      </w:rPr>
                      <w:t>-</w:t>
                    </w:r>
                  </w:p>
                </w:tc>
              </w:tr>
            </w:sdtContent>
          </w:sdt>
          <w:sdt>
            <w:sdtPr>
              <w:rPr>
                <w:szCs w:val="21"/>
              </w:rPr>
              <w:alias w:val="递延所得税资产明细"/>
              <w:tag w:val="_GBC_78d44848a87d4473a54948d3e2adbb46"/>
              <w:id w:val="91209923"/>
              <w:lock w:val="sdtLocked"/>
              <w:placeholder>
                <w:docPart w:val="GBC11111111111111111111111111111"/>
              </w:placeholder>
            </w:sdtPr>
            <w:sdtEndPr/>
            <w:sdtContent>
              <w:tr w:rsidR="00830E72" w14:paraId="30AB29C8" w14:textId="77777777">
                <w:trPr>
                  <w:trHeight w:val="285"/>
                </w:trPr>
                <w:tc>
                  <w:tcPr>
                    <w:tcW w:w="1235" w:type="pct"/>
                    <w:shd w:val="clear" w:color="auto" w:fill="auto"/>
                    <w:vAlign w:val="center"/>
                  </w:tcPr>
                  <w:p w14:paraId="2FC3B893" w14:textId="77777777" w:rsidR="00830E72" w:rsidRDefault="008344D8">
                    <w:pPr>
                      <w:rPr>
                        <w:szCs w:val="21"/>
                      </w:rPr>
                    </w:pPr>
                    <w:r>
                      <w:rPr>
                        <w:rFonts w:hint="eastAsia"/>
                        <w:szCs w:val="21"/>
                      </w:rPr>
                      <w:t>预计负债</w:t>
                    </w:r>
                  </w:p>
                </w:tc>
                <w:tc>
                  <w:tcPr>
                    <w:tcW w:w="1036" w:type="pct"/>
                    <w:shd w:val="clear" w:color="auto" w:fill="auto"/>
                  </w:tcPr>
                  <w:p w14:paraId="028CBE57" w14:textId="77777777" w:rsidR="00830E72" w:rsidRDefault="008344D8">
                    <w:pPr>
                      <w:jc w:val="right"/>
                      <w:rPr>
                        <w:szCs w:val="21"/>
                      </w:rPr>
                    </w:pPr>
                    <w:r>
                      <w:rPr>
                        <w:szCs w:val="21"/>
                      </w:rPr>
                      <w:t>4,112,794.49</w:t>
                    </w:r>
                  </w:p>
                </w:tc>
                <w:tc>
                  <w:tcPr>
                    <w:tcW w:w="899" w:type="pct"/>
                    <w:shd w:val="clear" w:color="auto" w:fill="auto"/>
                  </w:tcPr>
                  <w:p w14:paraId="6C6EC866" w14:textId="77777777" w:rsidR="00830E72" w:rsidRDefault="008344D8">
                    <w:pPr>
                      <w:jc w:val="right"/>
                      <w:rPr>
                        <w:szCs w:val="21"/>
                      </w:rPr>
                    </w:pPr>
                    <w:r>
                      <w:rPr>
                        <w:szCs w:val="21"/>
                      </w:rPr>
                      <w:t>1,028,198.62</w:t>
                    </w:r>
                  </w:p>
                </w:tc>
                <w:tc>
                  <w:tcPr>
                    <w:tcW w:w="931" w:type="pct"/>
                    <w:shd w:val="clear" w:color="auto" w:fill="auto"/>
                  </w:tcPr>
                  <w:p w14:paraId="710AE51E" w14:textId="77777777" w:rsidR="00830E72" w:rsidRDefault="008344D8">
                    <w:pPr>
                      <w:jc w:val="right"/>
                      <w:rPr>
                        <w:szCs w:val="21"/>
                      </w:rPr>
                    </w:pPr>
                    <w:r>
                      <w:rPr>
                        <w:rFonts w:hint="eastAsia"/>
                        <w:szCs w:val="21"/>
                      </w:rPr>
                      <w:t>-</w:t>
                    </w:r>
                  </w:p>
                </w:tc>
                <w:tc>
                  <w:tcPr>
                    <w:tcW w:w="898" w:type="pct"/>
                    <w:shd w:val="clear" w:color="auto" w:fill="auto"/>
                  </w:tcPr>
                  <w:p w14:paraId="4A04AE9A" w14:textId="77777777" w:rsidR="00830E72" w:rsidRDefault="008344D8">
                    <w:pPr>
                      <w:jc w:val="right"/>
                      <w:rPr>
                        <w:szCs w:val="21"/>
                      </w:rPr>
                    </w:pPr>
                    <w:r>
                      <w:rPr>
                        <w:rFonts w:hint="eastAsia"/>
                        <w:szCs w:val="21"/>
                      </w:rPr>
                      <w:t>-</w:t>
                    </w:r>
                  </w:p>
                </w:tc>
              </w:tr>
            </w:sdtContent>
          </w:sdt>
          <w:tr w:rsidR="00830E72" w14:paraId="3388C32D" w14:textId="77777777">
            <w:trPr>
              <w:trHeight w:val="285"/>
            </w:trPr>
            <w:sdt>
              <w:sdtPr>
                <w:tag w:val="_PLD_aff9781bbd7249709be440b59752c5c2"/>
                <w:id w:val="-1390498686"/>
                <w:lock w:val="sdtLocked"/>
              </w:sdtPr>
              <w:sdtEndPr/>
              <w:sdtContent>
                <w:tc>
                  <w:tcPr>
                    <w:tcW w:w="1235" w:type="pct"/>
                    <w:shd w:val="clear" w:color="auto" w:fill="auto"/>
                    <w:vAlign w:val="center"/>
                  </w:tcPr>
                  <w:p w14:paraId="316E9D59" w14:textId="77777777" w:rsidR="00830E72" w:rsidRDefault="008344D8">
                    <w:pPr>
                      <w:jc w:val="center"/>
                      <w:rPr>
                        <w:szCs w:val="21"/>
                      </w:rPr>
                    </w:pPr>
                    <w:r>
                      <w:rPr>
                        <w:rFonts w:hint="eastAsia"/>
                        <w:szCs w:val="21"/>
                      </w:rPr>
                      <w:t>合计</w:t>
                    </w:r>
                  </w:p>
                </w:tc>
              </w:sdtContent>
            </w:sdt>
            <w:tc>
              <w:tcPr>
                <w:tcW w:w="1036" w:type="pct"/>
                <w:shd w:val="clear" w:color="auto" w:fill="auto"/>
              </w:tcPr>
              <w:p w14:paraId="7B9721F1" w14:textId="77777777" w:rsidR="00830E72" w:rsidRDefault="008344D8">
                <w:pPr>
                  <w:jc w:val="right"/>
                  <w:rPr>
                    <w:szCs w:val="21"/>
                  </w:rPr>
                </w:pPr>
                <w:r>
                  <w:rPr>
                    <w:szCs w:val="21"/>
                  </w:rPr>
                  <w:t>216,832,389.56</w:t>
                </w:r>
              </w:p>
            </w:tc>
            <w:tc>
              <w:tcPr>
                <w:tcW w:w="899" w:type="pct"/>
                <w:shd w:val="clear" w:color="auto" w:fill="auto"/>
              </w:tcPr>
              <w:p w14:paraId="6FFE06BF" w14:textId="77777777" w:rsidR="00830E72" w:rsidRDefault="008344D8">
                <w:pPr>
                  <w:jc w:val="right"/>
                  <w:rPr>
                    <w:szCs w:val="21"/>
                  </w:rPr>
                </w:pPr>
                <w:r>
                  <w:rPr>
                    <w:szCs w:val="21"/>
                  </w:rPr>
                  <w:t>54,208,097.40</w:t>
                </w:r>
              </w:p>
            </w:tc>
            <w:tc>
              <w:tcPr>
                <w:tcW w:w="931" w:type="pct"/>
                <w:shd w:val="clear" w:color="auto" w:fill="auto"/>
              </w:tcPr>
              <w:p w14:paraId="7F55B250" w14:textId="77777777" w:rsidR="00830E72" w:rsidRDefault="008344D8">
                <w:pPr>
                  <w:jc w:val="right"/>
                  <w:rPr>
                    <w:szCs w:val="21"/>
                  </w:rPr>
                </w:pPr>
                <w:r>
                  <w:rPr>
                    <w:szCs w:val="21"/>
                  </w:rPr>
                  <w:t>219,605,132.23</w:t>
                </w:r>
              </w:p>
            </w:tc>
            <w:tc>
              <w:tcPr>
                <w:tcW w:w="898" w:type="pct"/>
                <w:shd w:val="clear" w:color="auto" w:fill="auto"/>
              </w:tcPr>
              <w:p w14:paraId="15A69AAE" w14:textId="77777777" w:rsidR="00830E72" w:rsidRDefault="008344D8">
                <w:pPr>
                  <w:jc w:val="right"/>
                  <w:rPr>
                    <w:szCs w:val="21"/>
                  </w:rPr>
                </w:pPr>
                <w:r>
                  <w:rPr>
                    <w:szCs w:val="21"/>
                  </w:rPr>
                  <w:t>54,901,283.06</w:t>
                </w:r>
              </w:p>
            </w:tc>
          </w:tr>
        </w:tbl>
      </w:sdtContent>
    </w:sdt>
    <w:p w14:paraId="20B47782" w14:textId="77777777" w:rsidR="00830E72" w:rsidRDefault="00830E72"/>
    <w:bookmarkStart w:id="155" w:name="_Hlk11160621" w:displacedByCustomXml="next"/>
    <w:sdt>
      <w:sdtPr>
        <w:rPr>
          <w:rFonts w:ascii="宋体" w:hAnsi="宋体" w:cs="宋体" w:hint="eastAsia"/>
          <w:b w:val="0"/>
          <w:bCs w:val="0"/>
          <w:kern w:val="0"/>
          <w:szCs w:val="24"/>
        </w:rPr>
        <w:alias w:val="模块:未经抵销的递延所得税负债"/>
        <w:tag w:val="_SEC_022eb52f9e1542cbb5aaa5a287b8ee2a"/>
        <w:id w:val="-890340896"/>
        <w:placeholder>
          <w:docPart w:val="GBC22222222222222222222222222222"/>
        </w:placeholder>
      </w:sdtPr>
      <w:sdtEndPr>
        <w:rPr>
          <w:rFonts w:hint="default"/>
          <w:szCs w:val="21"/>
        </w:rPr>
      </w:sdtEndPr>
      <w:sdtContent>
        <w:p w14:paraId="465967C1" w14:textId="77777777" w:rsidR="00830E72" w:rsidRDefault="008344D8">
          <w:pPr>
            <w:pStyle w:val="Style100"/>
            <w:numPr>
              <w:ilvl w:val="0"/>
              <w:numId w:val="63"/>
            </w:numPr>
            <w:tabs>
              <w:tab w:val="left" w:pos="588"/>
              <w:tab w:val="left" w:pos="616"/>
            </w:tabs>
            <w:rPr>
              <w:rFonts w:ascii="宋体" w:hAnsi="宋体"/>
            </w:rPr>
          </w:pPr>
          <w:r>
            <w:rPr>
              <w:rFonts w:ascii="宋体" w:hAnsi="宋体" w:hint="eastAsia"/>
            </w:rPr>
            <w:t>未经抵销的递延所得税负债</w:t>
          </w:r>
        </w:p>
        <w:sdt>
          <w:sdtPr>
            <w:alias w:val="是否适用：未经抵销的递延所得税负债[双击切换]"/>
            <w:tag w:val="_GBC_e9cf2825b61d4a9ca57e90c2ed017173"/>
            <w:id w:val="-1850855314"/>
            <w:lock w:val="sdtContentLocked"/>
            <w:placeholder>
              <w:docPart w:val="GBC22222222222222222222222222222"/>
            </w:placeholder>
          </w:sdtPr>
          <w:sdtEndPr/>
          <w:sdtContent>
            <w:p w14:paraId="6EEE336C"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337AE0B" w14:textId="77777777" w:rsidR="00830E72" w:rsidRDefault="008344D8">
          <w:pPr>
            <w:jc w:val="right"/>
          </w:pPr>
          <w:r>
            <w:rPr>
              <w:rFonts w:hint="eastAsia"/>
            </w:rPr>
            <w:t>单位：</w:t>
          </w:r>
          <w:sdt>
            <w:sdtPr>
              <w:rPr>
                <w:rFonts w:hint="eastAsia"/>
              </w:rPr>
              <w:alias w:val="单位：财务附注：未经抵销的递延所得税负债"/>
              <w:tag w:val="_GBC_7fa4a7048e284eb79ceb0dee5165516f"/>
              <w:id w:val="-17026259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未经抵销的递延所得税负债"/>
              <w:tag w:val="_GBC_85beae3a7d624858bfe37a33da15472b"/>
              <w:id w:val="10753978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41"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1581"/>
            <w:gridCol w:w="1413"/>
            <w:gridCol w:w="63"/>
            <w:gridCol w:w="1581"/>
            <w:gridCol w:w="1404"/>
            <w:gridCol w:w="74"/>
          </w:tblGrid>
          <w:tr w:rsidR="00830E72" w14:paraId="0E256704" w14:textId="77777777">
            <w:trPr>
              <w:gridAfter w:val="1"/>
              <w:wAfter w:w="41" w:type="pct"/>
              <w:trHeight w:val="285"/>
            </w:trPr>
            <w:bookmarkStart w:id="156" w:name="_Hlk11857349" w:displacedByCustomXml="next"/>
            <w:sdt>
              <w:sdtPr>
                <w:tag w:val="_PLD_66ef6111bb2d4b3792b581d6ff38c8d2"/>
                <w:id w:val="-1904436834"/>
                <w:lock w:val="sdtLocked"/>
              </w:sdtPr>
              <w:sdtEndPr/>
              <w:sdtContent>
                <w:tc>
                  <w:tcPr>
                    <w:tcW w:w="1649" w:type="pct"/>
                    <w:vMerge w:val="restart"/>
                    <w:shd w:val="clear" w:color="auto" w:fill="auto"/>
                    <w:vAlign w:val="center"/>
                  </w:tcPr>
                  <w:p w14:paraId="4A1CC6EB" w14:textId="77777777" w:rsidR="00830E72" w:rsidRDefault="008344D8">
                    <w:pPr>
                      <w:jc w:val="center"/>
                      <w:rPr>
                        <w:szCs w:val="21"/>
                      </w:rPr>
                    </w:pPr>
                    <w:r>
                      <w:rPr>
                        <w:rFonts w:hint="eastAsia"/>
                        <w:szCs w:val="21"/>
                      </w:rPr>
                      <w:t>项目</w:t>
                    </w:r>
                  </w:p>
                </w:tc>
              </w:sdtContent>
            </w:sdt>
            <w:sdt>
              <w:sdtPr>
                <w:tag w:val="_PLD_b850d4f63866495f80e69799c9ea1b37"/>
                <w:id w:val="-2020764951"/>
                <w:lock w:val="sdtLocked"/>
              </w:sdtPr>
              <w:sdtEndPr/>
              <w:sdtContent>
                <w:tc>
                  <w:tcPr>
                    <w:tcW w:w="1640" w:type="pct"/>
                    <w:gridSpan w:val="2"/>
                    <w:shd w:val="clear" w:color="auto" w:fill="auto"/>
                    <w:vAlign w:val="center"/>
                  </w:tcPr>
                  <w:p w14:paraId="4D0806ED" w14:textId="77777777" w:rsidR="00830E72" w:rsidRDefault="008344D8">
                    <w:pPr>
                      <w:jc w:val="center"/>
                      <w:rPr>
                        <w:szCs w:val="21"/>
                      </w:rPr>
                    </w:pPr>
                    <w:r>
                      <w:rPr>
                        <w:rFonts w:hint="eastAsia"/>
                        <w:szCs w:val="21"/>
                      </w:rPr>
                      <w:t>期末余额</w:t>
                    </w:r>
                  </w:p>
                </w:tc>
              </w:sdtContent>
            </w:sdt>
            <w:sdt>
              <w:sdtPr>
                <w:tag w:val="_PLD_951c3eee882c4aaa862f620814f6ce4e"/>
                <w:id w:val="285019556"/>
                <w:lock w:val="sdtLocked"/>
              </w:sdtPr>
              <w:sdtEndPr/>
              <w:sdtContent>
                <w:tc>
                  <w:tcPr>
                    <w:tcW w:w="1671" w:type="pct"/>
                    <w:gridSpan w:val="3"/>
                    <w:shd w:val="clear" w:color="auto" w:fill="auto"/>
                    <w:vAlign w:val="center"/>
                  </w:tcPr>
                  <w:p w14:paraId="47FE9EF8" w14:textId="77777777" w:rsidR="00830E72" w:rsidRDefault="008344D8">
                    <w:pPr>
                      <w:jc w:val="center"/>
                      <w:rPr>
                        <w:szCs w:val="21"/>
                      </w:rPr>
                    </w:pPr>
                    <w:r>
                      <w:rPr>
                        <w:rFonts w:hint="eastAsia"/>
                        <w:szCs w:val="21"/>
                      </w:rPr>
                      <w:t>期初余额</w:t>
                    </w:r>
                  </w:p>
                </w:tc>
              </w:sdtContent>
            </w:sdt>
          </w:tr>
          <w:tr w:rsidR="00830E72" w14:paraId="7A84E0FC" w14:textId="77777777">
            <w:trPr>
              <w:trHeight w:val="285"/>
            </w:trPr>
            <w:tc>
              <w:tcPr>
                <w:tcW w:w="1649" w:type="pct"/>
                <w:vMerge/>
                <w:shd w:val="clear" w:color="auto" w:fill="auto"/>
                <w:vAlign w:val="center"/>
              </w:tcPr>
              <w:p w14:paraId="4BEDAC8A" w14:textId="77777777" w:rsidR="00830E72" w:rsidRDefault="00830E72">
                <w:pPr>
                  <w:jc w:val="center"/>
                  <w:rPr>
                    <w:b/>
                    <w:szCs w:val="21"/>
                  </w:rPr>
                </w:pPr>
              </w:p>
            </w:tc>
            <w:sdt>
              <w:sdtPr>
                <w:tag w:val="_PLD_f33e3c528ff14a2bac81ec99970641f6"/>
                <w:id w:val="-1674095588"/>
                <w:lock w:val="sdtLocked"/>
              </w:sdtPr>
              <w:sdtEndPr/>
              <w:sdtContent>
                <w:tc>
                  <w:tcPr>
                    <w:tcW w:w="866" w:type="pct"/>
                    <w:shd w:val="clear" w:color="auto" w:fill="auto"/>
                    <w:vAlign w:val="center"/>
                  </w:tcPr>
                  <w:p w14:paraId="78010ACA" w14:textId="77777777" w:rsidR="00830E72" w:rsidRDefault="008344D8">
                    <w:pPr>
                      <w:jc w:val="center"/>
                      <w:rPr>
                        <w:szCs w:val="21"/>
                      </w:rPr>
                    </w:pPr>
                    <w:r>
                      <w:rPr>
                        <w:rFonts w:hint="eastAsia"/>
                        <w:szCs w:val="21"/>
                      </w:rPr>
                      <w:t>应纳税暂时性差异</w:t>
                    </w:r>
                  </w:p>
                </w:tc>
              </w:sdtContent>
            </w:sdt>
            <w:sdt>
              <w:sdtPr>
                <w:tag w:val="_PLD_0cb734f9904e4a57a5107d601b9b38d1"/>
                <w:id w:val="1102387678"/>
                <w:lock w:val="sdtLocked"/>
              </w:sdtPr>
              <w:sdtEndPr/>
              <w:sdtContent>
                <w:tc>
                  <w:tcPr>
                    <w:tcW w:w="809" w:type="pct"/>
                    <w:gridSpan w:val="2"/>
                    <w:shd w:val="clear" w:color="auto" w:fill="auto"/>
                    <w:vAlign w:val="center"/>
                  </w:tcPr>
                  <w:p w14:paraId="5B07CD5C" w14:textId="77777777" w:rsidR="00830E72" w:rsidRDefault="008344D8">
                    <w:pPr>
                      <w:jc w:val="center"/>
                      <w:rPr>
                        <w:szCs w:val="21"/>
                      </w:rPr>
                    </w:pPr>
                    <w:r>
                      <w:rPr>
                        <w:rFonts w:hint="eastAsia"/>
                        <w:szCs w:val="21"/>
                      </w:rPr>
                      <w:t>递延所得税</w:t>
                    </w:r>
                  </w:p>
                  <w:p w14:paraId="555E2481" w14:textId="77777777" w:rsidR="00830E72" w:rsidRDefault="008344D8">
                    <w:pPr>
                      <w:jc w:val="center"/>
                      <w:rPr>
                        <w:szCs w:val="21"/>
                      </w:rPr>
                    </w:pPr>
                    <w:r>
                      <w:rPr>
                        <w:rFonts w:hint="eastAsia"/>
                        <w:szCs w:val="21"/>
                      </w:rPr>
                      <w:t>负债</w:t>
                    </w:r>
                  </w:p>
                </w:tc>
              </w:sdtContent>
            </w:sdt>
            <w:sdt>
              <w:sdtPr>
                <w:tag w:val="_PLD_ddf3980c66a840e782386c14bb078052"/>
                <w:id w:val="-1001504385"/>
                <w:lock w:val="sdtLocked"/>
              </w:sdtPr>
              <w:sdtEndPr/>
              <w:sdtContent>
                <w:tc>
                  <w:tcPr>
                    <w:tcW w:w="866" w:type="pct"/>
                    <w:shd w:val="clear" w:color="auto" w:fill="auto"/>
                    <w:vAlign w:val="center"/>
                  </w:tcPr>
                  <w:p w14:paraId="17AB39CA" w14:textId="77777777" w:rsidR="00830E72" w:rsidRDefault="008344D8">
                    <w:pPr>
                      <w:jc w:val="center"/>
                      <w:rPr>
                        <w:szCs w:val="21"/>
                      </w:rPr>
                    </w:pPr>
                    <w:r>
                      <w:rPr>
                        <w:rFonts w:hint="eastAsia"/>
                        <w:szCs w:val="21"/>
                      </w:rPr>
                      <w:t>应纳税暂时性差异</w:t>
                    </w:r>
                  </w:p>
                </w:tc>
              </w:sdtContent>
            </w:sdt>
            <w:sdt>
              <w:sdtPr>
                <w:tag w:val="_PLD_590dc17e8304449fbff47c3b3cd45eb5"/>
                <w:id w:val="1474565397"/>
                <w:lock w:val="sdtLocked"/>
              </w:sdtPr>
              <w:sdtEndPr/>
              <w:sdtContent>
                <w:tc>
                  <w:tcPr>
                    <w:tcW w:w="809" w:type="pct"/>
                    <w:gridSpan w:val="2"/>
                    <w:shd w:val="clear" w:color="auto" w:fill="auto"/>
                    <w:vAlign w:val="center"/>
                  </w:tcPr>
                  <w:p w14:paraId="1ED4B474" w14:textId="77777777" w:rsidR="00830E72" w:rsidRDefault="008344D8">
                    <w:pPr>
                      <w:jc w:val="center"/>
                      <w:rPr>
                        <w:szCs w:val="21"/>
                      </w:rPr>
                    </w:pPr>
                    <w:r>
                      <w:rPr>
                        <w:rFonts w:hint="eastAsia"/>
                        <w:szCs w:val="21"/>
                      </w:rPr>
                      <w:t>递延所得税</w:t>
                    </w:r>
                  </w:p>
                  <w:p w14:paraId="611B9736" w14:textId="77777777" w:rsidR="00830E72" w:rsidRDefault="008344D8">
                    <w:pPr>
                      <w:jc w:val="center"/>
                      <w:rPr>
                        <w:szCs w:val="21"/>
                      </w:rPr>
                    </w:pPr>
                    <w:r>
                      <w:rPr>
                        <w:rFonts w:hint="eastAsia"/>
                        <w:szCs w:val="21"/>
                      </w:rPr>
                      <w:t>负债</w:t>
                    </w:r>
                  </w:p>
                </w:tc>
              </w:sdtContent>
            </w:sdt>
          </w:tr>
          <w:sdt>
            <w:sdtPr>
              <w:rPr>
                <w:szCs w:val="21"/>
              </w:rPr>
              <w:alias w:val="递延所得税负债明细"/>
              <w:tag w:val="_GBC_b1614c80d1bd478fbd0f56aa84238e04"/>
              <w:id w:val="203992347"/>
              <w:lock w:val="sdtLocked"/>
              <w:placeholder>
                <w:docPart w:val="GBC11111111111111111111111111111"/>
              </w:placeholder>
            </w:sdtPr>
            <w:sdtEndPr/>
            <w:sdtContent>
              <w:tr w:rsidR="00830E72" w14:paraId="1675A4DB" w14:textId="77777777">
                <w:trPr>
                  <w:trHeight w:val="285"/>
                </w:trPr>
                <w:tc>
                  <w:tcPr>
                    <w:tcW w:w="1649" w:type="pct"/>
                    <w:shd w:val="clear" w:color="auto" w:fill="auto"/>
                    <w:vAlign w:val="center"/>
                  </w:tcPr>
                  <w:p w14:paraId="56B812BD" w14:textId="77777777" w:rsidR="00830E72" w:rsidRDefault="008344D8">
                    <w:pPr>
                      <w:rPr>
                        <w:szCs w:val="21"/>
                      </w:rPr>
                    </w:pPr>
                    <w:r>
                      <w:rPr>
                        <w:rFonts w:hint="eastAsia"/>
                        <w:szCs w:val="21"/>
                      </w:rPr>
                      <w:t>固定资产税前扣除递延纳税</w:t>
                    </w:r>
                  </w:p>
                </w:tc>
                <w:tc>
                  <w:tcPr>
                    <w:tcW w:w="866" w:type="pct"/>
                    <w:shd w:val="clear" w:color="auto" w:fill="auto"/>
                    <w:vAlign w:val="center"/>
                  </w:tcPr>
                  <w:p w14:paraId="6EB3CBC7" w14:textId="77777777" w:rsidR="00830E72" w:rsidRDefault="008344D8">
                    <w:pPr>
                      <w:jc w:val="right"/>
                      <w:rPr>
                        <w:szCs w:val="21"/>
                      </w:rPr>
                    </w:pPr>
                    <w:r>
                      <w:rPr>
                        <w:szCs w:val="21"/>
                      </w:rPr>
                      <w:t>7,813,223.64</w:t>
                    </w:r>
                  </w:p>
                </w:tc>
                <w:tc>
                  <w:tcPr>
                    <w:tcW w:w="809" w:type="pct"/>
                    <w:gridSpan w:val="2"/>
                    <w:shd w:val="clear" w:color="auto" w:fill="auto"/>
                    <w:vAlign w:val="center"/>
                  </w:tcPr>
                  <w:p w14:paraId="029D7973" w14:textId="77777777" w:rsidR="00830E72" w:rsidRDefault="008344D8">
                    <w:pPr>
                      <w:jc w:val="right"/>
                      <w:rPr>
                        <w:szCs w:val="21"/>
                      </w:rPr>
                    </w:pPr>
                    <w:r>
                      <w:rPr>
                        <w:szCs w:val="21"/>
                      </w:rPr>
                      <w:t>1,953,305.91</w:t>
                    </w:r>
                  </w:p>
                </w:tc>
                <w:tc>
                  <w:tcPr>
                    <w:tcW w:w="866" w:type="pct"/>
                    <w:shd w:val="clear" w:color="auto" w:fill="auto"/>
                    <w:vAlign w:val="center"/>
                  </w:tcPr>
                  <w:p w14:paraId="6E48D078" w14:textId="77777777" w:rsidR="00830E72" w:rsidRDefault="008344D8">
                    <w:pPr>
                      <w:jc w:val="right"/>
                      <w:rPr>
                        <w:szCs w:val="21"/>
                      </w:rPr>
                    </w:pPr>
                    <w:r>
                      <w:rPr>
                        <w:szCs w:val="21"/>
                      </w:rPr>
                      <w:t>8,373,333.27</w:t>
                    </w:r>
                  </w:p>
                </w:tc>
                <w:tc>
                  <w:tcPr>
                    <w:tcW w:w="809" w:type="pct"/>
                    <w:gridSpan w:val="2"/>
                    <w:shd w:val="clear" w:color="auto" w:fill="auto"/>
                    <w:vAlign w:val="center"/>
                  </w:tcPr>
                  <w:p w14:paraId="7A72856D" w14:textId="77777777" w:rsidR="00830E72" w:rsidRDefault="008344D8">
                    <w:pPr>
                      <w:jc w:val="right"/>
                      <w:rPr>
                        <w:szCs w:val="21"/>
                      </w:rPr>
                    </w:pPr>
                    <w:r>
                      <w:rPr>
                        <w:szCs w:val="21"/>
                      </w:rPr>
                      <w:t>2,093,333.32</w:t>
                    </w:r>
                  </w:p>
                </w:tc>
              </w:tr>
            </w:sdtContent>
          </w:sdt>
          <w:sdt>
            <w:sdtPr>
              <w:rPr>
                <w:szCs w:val="21"/>
              </w:rPr>
              <w:alias w:val="递延所得税负债明细"/>
              <w:tag w:val="_GBC_b1614c80d1bd478fbd0f56aa84238e04"/>
              <w:id w:val="1345675229"/>
              <w:lock w:val="sdtLocked"/>
              <w:placeholder>
                <w:docPart w:val="GBC11111111111111111111111111111"/>
              </w:placeholder>
            </w:sdtPr>
            <w:sdtEndPr/>
            <w:sdtContent>
              <w:tr w:rsidR="00830E72" w14:paraId="41A2A128" w14:textId="77777777">
                <w:trPr>
                  <w:trHeight w:val="285"/>
                </w:trPr>
                <w:tc>
                  <w:tcPr>
                    <w:tcW w:w="1649" w:type="pct"/>
                    <w:shd w:val="clear" w:color="auto" w:fill="auto"/>
                    <w:vAlign w:val="center"/>
                  </w:tcPr>
                  <w:p w14:paraId="3A421B95" w14:textId="77777777" w:rsidR="00830E72" w:rsidRDefault="008344D8">
                    <w:pPr>
                      <w:rPr>
                        <w:szCs w:val="21"/>
                      </w:rPr>
                    </w:pPr>
                    <w:r>
                      <w:rPr>
                        <w:rFonts w:hint="eastAsia"/>
                        <w:szCs w:val="21"/>
                      </w:rPr>
                      <w:t>其他非流动金融资产公允价值变动</w:t>
                    </w:r>
                  </w:p>
                </w:tc>
                <w:tc>
                  <w:tcPr>
                    <w:tcW w:w="866" w:type="pct"/>
                    <w:shd w:val="clear" w:color="auto" w:fill="auto"/>
                    <w:vAlign w:val="center"/>
                  </w:tcPr>
                  <w:p w14:paraId="1528FB8C" w14:textId="77777777" w:rsidR="00830E72" w:rsidRDefault="008344D8">
                    <w:pPr>
                      <w:jc w:val="right"/>
                      <w:rPr>
                        <w:szCs w:val="21"/>
                      </w:rPr>
                    </w:pPr>
                    <w:r>
                      <w:rPr>
                        <w:szCs w:val="21"/>
                      </w:rPr>
                      <w:t>23,363,157.26</w:t>
                    </w:r>
                  </w:p>
                </w:tc>
                <w:tc>
                  <w:tcPr>
                    <w:tcW w:w="809" w:type="pct"/>
                    <w:gridSpan w:val="2"/>
                    <w:shd w:val="clear" w:color="auto" w:fill="auto"/>
                    <w:vAlign w:val="center"/>
                  </w:tcPr>
                  <w:p w14:paraId="6046EA39" w14:textId="77777777" w:rsidR="00830E72" w:rsidRDefault="008344D8">
                    <w:pPr>
                      <w:jc w:val="right"/>
                      <w:rPr>
                        <w:szCs w:val="21"/>
                      </w:rPr>
                    </w:pPr>
                    <w:r>
                      <w:rPr>
                        <w:szCs w:val="21"/>
                      </w:rPr>
                      <w:t>5,840,789.31</w:t>
                    </w:r>
                  </w:p>
                </w:tc>
                <w:tc>
                  <w:tcPr>
                    <w:tcW w:w="866" w:type="pct"/>
                    <w:shd w:val="clear" w:color="auto" w:fill="auto"/>
                    <w:vAlign w:val="center"/>
                  </w:tcPr>
                  <w:p w14:paraId="1B9467AC" w14:textId="77777777" w:rsidR="00830E72" w:rsidRDefault="008344D8">
                    <w:pPr>
                      <w:jc w:val="right"/>
                      <w:rPr>
                        <w:szCs w:val="21"/>
                      </w:rPr>
                    </w:pPr>
                    <w:r>
                      <w:rPr>
                        <w:szCs w:val="21"/>
                      </w:rPr>
                      <w:t>23,363,157.26</w:t>
                    </w:r>
                  </w:p>
                </w:tc>
                <w:tc>
                  <w:tcPr>
                    <w:tcW w:w="809" w:type="pct"/>
                    <w:gridSpan w:val="2"/>
                    <w:shd w:val="clear" w:color="auto" w:fill="auto"/>
                    <w:vAlign w:val="center"/>
                  </w:tcPr>
                  <w:p w14:paraId="2759F898" w14:textId="77777777" w:rsidR="00830E72" w:rsidRDefault="008344D8">
                    <w:pPr>
                      <w:jc w:val="right"/>
                      <w:rPr>
                        <w:szCs w:val="21"/>
                      </w:rPr>
                    </w:pPr>
                    <w:r>
                      <w:rPr>
                        <w:szCs w:val="21"/>
                      </w:rPr>
                      <w:t>5,840,789.31</w:t>
                    </w:r>
                  </w:p>
                </w:tc>
              </w:tr>
            </w:sdtContent>
          </w:sdt>
          <w:tr w:rsidR="00830E72" w14:paraId="73494354" w14:textId="77777777">
            <w:trPr>
              <w:trHeight w:val="285"/>
            </w:trPr>
            <w:sdt>
              <w:sdtPr>
                <w:tag w:val="_PLD_382351978b994852b2d36dbea92fd0cc"/>
                <w:id w:val="-61331806"/>
                <w:lock w:val="sdtLocked"/>
              </w:sdtPr>
              <w:sdtEndPr/>
              <w:sdtContent>
                <w:tc>
                  <w:tcPr>
                    <w:tcW w:w="1649" w:type="pct"/>
                    <w:shd w:val="clear" w:color="auto" w:fill="auto"/>
                    <w:vAlign w:val="center"/>
                  </w:tcPr>
                  <w:p w14:paraId="170D4F61" w14:textId="77777777" w:rsidR="00830E72" w:rsidRDefault="008344D8">
                    <w:pPr>
                      <w:jc w:val="center"/>
                      <w:rPr>
                        <w:szCs w:val="21"/>
                      </w:rPr>
                    </w:pPr>
                    <w:r>
                      <w:rPr>
                        <w:rFonts w:hint="eastAsia"/>
                        <w:szCs w:val="21"/>
                      </w:rPr>
                      <w:t>合计</w:t>
                    </w:r>
                  </w:p>
                </w:tc>
              </w:sdtContent>
            </w:sdt>
            <w:tc>
              <w:tcPr>
                <w:tcW w:w="866" w:type="pct"/>
                <w:shd w:val="clear" w:color="auto" w:fill="auto"/>
                <w:vAlign w:val="center"/>
              </w:tcPr>
              <w:p w14:paraId="74AAF987" w14:textId="77777777" w:rsidR="00830E72" w:rsidRDefault="008344D8">
                <w:pPr>
                  <w:jc w:val="right"/>
                  <w:rPr>
                    <w:szCs w:val="21"/>
                  </w:rPr>
                </w:pPr>
                <w:r>
                  <w:rPr>
                    <w:szCs w:val="21"/>
                  </w:rPr>
                  <w:t>31,176,380.9</w:t>
                </w:r>
                <w:r>
                  <w:rPr>
                    <w:rFonts w:hint="eastAsia"/>
                    <w:szCs w:val="21"/>
                  </w:rPr>
                  <w:t>0</w:t>
                </w:r>
              </w:p>
            </w:tc>
            <w:tc>
              <w:tcPr>
                <w:tcW w:w="809" w:type="pct"/>
                <w:gridSpan w:val="2"/>
                <w:shd w:val="clear" w:color="auto" w:fill="auto"/>
                <w:vAlign w:val="center"/>
              </w:tcPr>
              <w:p w14:paraId="5E33A036" w14:textId="77777777" w:rsidR="00830E72" w:rsidRDefault="008344D8">
                <w:pPr>
                  <w:jc w:val="right"/>
                  <w:rPr>
                    <w:szCs w:val="21"/>
                  </w:rPr>
                </w:pPr>
                <w:r>
                  <w:rPr>
                    <w:szCs w:val="21"/>
                  </w:rPr>
                  <w:t>7,794,095.22</w:t>
                </w:r>
              </w:p>
            </w:tc>
            <w:tc>
              <w:tcPr>
                <w:tcW w:w="866" w:type="pct"/>
                <w:shd w:val="clear" w:color="auto" w:fill="auto"/>
                <w:vAlign w:val="center"/>
              </w:tcPr>
              <w:p w14:paraId="7D960E4E" w14:textId="77777777" w:rsidR="00830E72" w:rsidRDefault="008344D8">
                <w:pPr>
                  <w:jc w:val="right"/>
                  <w:rPr>
                    <w:szCs w:val="21"/>
                  </w:rPr>
                </w:pPr>
                <w:r>
                  <w:rPr>
                    <w:szCs w:val="21"/>
                  </w:rPr>
                  <w:t>31,736,490.53</w:t>
                </w:r>
              </w:p>
            </w:tc>
            <w:tc>
              <w:tcPr>
                <w:tcW w:w="809" w:type="pct"/>
                <w:gridSpan w:val="2"/>
                <w:shd w:val="clear" w:color="auto" w:fill="auto"/>
                <w:vAlign w:val="center"/>
              </w:tcPr>
              <w:p w14:paraId="00AFCC9D" w14:textId="77777777" w:rsidR="00830E72" w:rsidRDefault="008344D8">
                <w:pPr>
                  <w:jc w:val="right"/>
                  <w:rPr>
                    <w:szCs w:val="21"/>
                  </w:rPr>
                </w:pPr>
                <w:r>
                  <w:rPr>
                    <w:szCs w:val="21"/>
                  </w:rPr>
                  <w:t>7,934,122.63</w:t>
                </w:r>
              </w:p>
            </w:tc>
          </w:tr>
          <w:bookmarkEnd w:id="155"/>
          <w:bookmarkEnd w:id="156"/>
        </w:tbl>
      </w:sdtContent>
    </w:sdt>
    <w:p w14:paraId="5CA8D25E" w14:textId="77777777" w:rsidR="00830E72" w:rsidRDefault="00830E72"/>
    <w:bookmarkStart w:id="157" w:name="_Hlk11160645" w:displacedByCustomXml="next"/>
    <w:sdt>
      <w:sdtPr>
        <w:rPr>
          <w:rFonts w:ascii="宋体" w:hAnsi="宋体" w:cs="宋体" w:hint="eastAsia"/>
          <w:b w:val="0"/>
          <w:bCs w:val="0"/>
          <w:kern w:val="0"/>
          <w:szCs w:val="24"/>
        </w:rPr>
        <w:alias w:val="模块:以抵销后净额列示的递延所得税资产或负债"/>
        <w:tag w:val="_SEC_393d53219fe44274aa0bc5257c75c762"/>
        <w:id w:val="-407388025"/>
        <w:lock w:val="sdtLocked"/>
        <w:placeholder>
          <w:docPart w:val="GBC22222222222222222222222222222"/>
        </w:placeholder>
      </w:sdtPr>
      <w:sdtEndPr>
        <w:rPr>
          <w:rFonts w:hint="default"/>
          <w:szCs w:val="21"/>
        </w:rPr>
      </w:sdtEndPr>
      <w:sdtContent>
        <w:p w14:paraId="539B5842" w14:textId="77777777" w:rsidR="00830E72" w:rsidRDefault="008344D8">
          <w:pPr>
            <w:pStyle w:val="Style100"/>
            <w:numPr>
              <w:ilvl w:val="0"/>
              <w:numId w:val="63"/>
            </w:numPr>
            <w:tabs>
              <w:tab w:val="left" w:pos="588"/>
              <w:tab w:val="left" w:pos="616"/>
            </w:tabs>
            <w:rPr>
              <w:rFonts w:ascii="宋体" w:hAnsi="宋体"/>
            </w:rPr>
          </w:pPr>
          <w:r>
            <w:rPr>
              <w:rFonts w:ascii="宋体" w:hAnsi="宋体" w:hint="eastAsia"/>
            </w:rPr>
            <w:t>以抵销后净额列示的递延所得税资产或负债</w:t>
          </w:r>
        </w:p>
        <w:p w14:paraId="0995BC57" w14:textId="77777777" w:rsidR="00830E72" w:rsidRDefault="00D44830">
          <w:pPr>
            <w:rPr>
              <w:szCs w:val="21"/>
            </w:rPr>
          </w:pPr>
          <w:sdt>
            <w:sdtPr>
              <w:alias w:val="是否适用：以抵销后净额列示的递延所得税资产或负债[双击切换]"/>
              <w:tag w:val="_GBC_d6419a9d2dc94127a5f6aea72cb2a94d"/>
              <w:id w:val="1698883539"/>
              <w:lock w:val="sdtContentLocked"/>
              <w:placeholder>
                <w:docPart w:val="GBC22222222222222222222222222222"/>
              </w:placeholder>
            </w:sdtPr>
            <w:sdtEndPr/>
            <w:sdtContent>
              <w:r w:rsidR="008344D8">
                <w:fldChar w:fldCharType="begin"/>
              </w:r>
              <w:r w:rsidR="008344D8">
                <w:instrText xml:space="preserve"> MACROBUTTON  SnrToggleCheckbox □适用 </w:instrText>
              </w:r>
              <w:r w:rsidR="008344D8">
                <w:fldChar w:fldCharType="end"/>
              </w:r>
              <w:r w:rsidR="008344D8">
                <w:fldChar w:fldCharType="begin"/>
              </w:r>
              <w:r w:rsidR="008344D8">
                <w:instrText xml:space="preserve"> MACROBUTTON  SnrToggleCheckbox √不适用 </w:instrText>
              </w:r>
              <w:r w:rsidR="008344D8">
                <w:fldChar w:fldCharType="end"/>
              </w:r>
            </w:sdtContent>
          </w:sdt>
        </w:p>
      </w:sdtContent>
    </w:sdt>
    <w:bookmarkEnd w:id="157" w:displacedByCustomXml="next"/>
    <w:bookmarkStart w:id="158" w:name="_Hlk11160660" w:displacedByCustomXml="next"/>
    <w:sdt>
      <w:sdtPr>
        <w:rPr>
          <w:rFonts w:ascii="宋体" w:hAnsi="宋体" w:cs="宋体" w:hint="eastAsia"/>
          <w:b w:val="0"/>
          <w:bCs w:val="0"/>
          <w:kern w:val="0"/>
          <w:szCs w:val="21"/>
        </w:rPr>
        <w:alias w:val="模块:未确认递延所得税资产明细"/>
        <w:tag w:val="_SEC_858c4743950048c4949e354ac068e8af"/>
        <w:id w:val="-304550853"/>
        <w:lock w:val="sdtLocked"/>
        <w:placeholder>
          <w:docPart w:val="GBC22222222222222222222222222222"/>
        </w:placeholder>
      </w:sdtPr>
      <w:sdtEndPr>
        <w:rPr>
          <w:rFonts w:hint="default"/>
        </w:rPr>
      </w:sdtEndPr>
      <w:sdtContent>
        <w:p w14:paraId="5066F958" w14:textId="77777777" w:rsidR="00830E72" w:rsidRDefault="008344D8">
          <w:pPr>
            <w:pStyle w:val="Style100"/>
            <w:numPr>
              <w:ilvl w:val="0"/>
              <w:numId w:val="63"/>
            </w:numPr>
            <w:tabs>
              <w:tab w:val="left" w:pos="588"/>
              <w:tab w:val="left" w:pos="616"/>
            </w:tabs>
            <w:rPr>
              <w:rFonts w:ascii="宋体" w:hAnsi="宋体"/>
              <w:szCs w:val="21"/>
            </w:rPr>
          </w:pPr>
          <w:r>
            <w:rPr>
              <w:rFonts w:ascii="宋体" w:hAnsi="宋体" w:hint="eastAsia"/>
              <w:szCs w:val="21"/>
            </w:rPr>
            <w:t>未确认递延</w:t>
          </w:r>
          <w:r>
            <w:rPr>
              <w:rFonts w:ascii="宋体" w:hAnsi="宋体" w:hint="eastAsia"/>
            </w:rPr>
            <w:t>所得税</w:t>
          </w:r>
          <w:r>
            <w:rPr>
              <w:rFonts w:ascii="宋体" w:hAnsi="宋体" w:hint="eastAsia"/>
              <w:szCs w:val="21"/>
            </w:rPr>
            <w:t>资产明细</w:t>
          </w:r>
        </w:p>
        <w:p w14:paraId="19789776" w14:textId="77777777" w:rsidR="00830E72" w:rsidRDefault="00D44830">
          <w:pPr>
            <w:rPr>
              <w:szCs w:val="21"/>
            </w:rPr>
          </w:pPr>
          <w:sdt>
            <w:sdtPr>
              <w:alias w:val="是否适用：未确认递延所得税资产明细[双击切换]"/>
              <w:tag w:val="_GBC_f210878b05204277b5f70ed9ae786ea7"/>
              <w:id w:val="1127586715"/>
              <w:lock w:val="sdtContentLocked"/>
              <w:placeholder>
                <w:docPart w:val="GBC22222222222222222222222222222"/>
              </w:placeholder>
            </w:sdtPr>
            <w:sdtEndPr/>
            <w:sdtContent>
              <w:r w:rsidR="008344D8">
                <w:fldChar w:fldCharType="begin"/>
              </w:r>
              <w:r w:rsidR="008344D8">
                <w:instrText xml:space="preserve"> MACROBUTTON  SnrToggleCheckbox □适用 </w:instrText>
              </w:r>
              <w:r w:rsidR="008344D8">
                <w:fldChar w:fldCharType="end"/>
              </w:r>
              <w:r w:rsidR="008344D8">
                <w:fldChar w:fldCharType="begin"/>
              </w:r>
              <w:r w:rsidR="008344D8">
                <w:instrText xml:space="preserve"> MACROBUTTON  SnrToggleCheckbox √不适用 </w:instrText>
              </w:r>
              <w:r w:rsidR="008344D8">
                <w:fldChar w:fldCharType="end"/>
              </w:r>
            </w:sdtContent>
          </w:sdt>
        </w:p>
      </w:sdtContent>
    </w:sdt>
    <w:bookmarkEnd w:id="158" w:displacedByCustomXml="next"/>
    <w:bookmarkStart w:id="159" w:name="_Hlk11160672" w:displacedByCustomXml="next"/>
    <w:sdt>
      <w:sdtPr>
        <w:rPr>
          <w:rFonts w:ascii="宋体" w:hAnsi="宋体" w:cs="宋体" w:hint="eastAsia"/>
          <w:b w:val="0"/>
          <w:bCs w:val="0"/>
          <w:kern w:val="0"/>
          <w:szCs w:val="21"/>
        </w:rPr>
        <w:alias w:val="模块:未确认递延所得税资产的可抵扣亏损将于以下年度到期"/>
        <w:tag w:val="_SEC_a5f2b329395b406fa4b30b710f4a81e0"/>
        <w:id w:val="-1813699528"/>
        <w:lock w:val="sdtLocked"/>
        <w:placeholder>
          <w:docPart w:val="GBC22222222222222222222222222222"/>
        </w:placeholder>
      </w:sdtPr>
      <w:sdtEndPr/>
      <w:sdtContent>
        <w:p w14:paraId="42575253" w14:textId="77777777" w:rsidR="00830E72" w:rsidRDefault="008344D8">
          <w:pPr>
            <w:pStyle w:val="Style100"/>
            <w:numPr>
              <w:ilvl w:val="0"/>
              <w:numId w:val="63"/>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p w14:paraId="2AFE066E" w14:textId="77777777" w:rsidR="00830E72" w:rsidRDefault="00D44830">
          <w:pPr>
            <w:rPr>
              <w:color w:val="FF00FF"/>
              <w:szCs w:val="21"/>
            </w:rPr>
          </w:pPr>
          <w:sdt>
            <w:sdtPr>
              <w:alias w:val="是否适用：未确认递延所得税资产的可抵扣亏损将于以下年度到期[双击切换]"/>
              <w:tag w:val="_GBC_10d31911cedc4147b90ab71d35742bf4"/>
              <w:id w:val="-1934430562"/>
              <w:lock w:val="sdtContentLocked"/>
              <w:placeholder>
                <w:docPart w:val="GBC22222222222222222222222222222"/>
              </w:placeholder>
            </w:sdtPr>
            <w:sdtEndPr/>
            <w:sdtContent>
              <w:r w:rsidR="008344D8">
                <w:fldChar w:fldCharType="begin"/>
              </w:r>
              <w:r w:rsidR="008344D8">
                <w:instrText xml:space="preserve"> MACROBUTTON  SnrToggleCheckbox □适用 </w:instrText>
              </w:r>
              <w:r w:rsidR="008344D8">
                <w:fldChar w:fldCharType="end"/>
              </w:r>
              <w:r w:rsidR="008344D8">
                <w:fldChar w:fldCharType="begin"/>
              </w:r>
              <w:r w:rsidR="008344D8">
                <w:instrText xml:space="preserve"> MACROBUTTON  SnrToggleCheckbox √不适用 </w:instrText>
              </w:r>
              <w:r w:rsidR="008344D8">
                <w:fldChar w:fldCharType="end"/>
              </w:r>
            </w:sdtContent>
          </w:sdt>
        </w:p>
      </w:sdtContent>
    </w:sdt>
    <w:bookmarkEnd w:id="159" w:displacedByCustomXml="next"/>
    <w:sdt>
      <w:sdtPr>
        <w:rPr>
          <w:rFonts w:hint="eastAsia"/>
          <w:szCs w:val="21"/>
        </w:rPr>
        <w:alias w:val="模块:递延所得税资产和递延所得税负债的说明"/>
        <w:tag w:val="_GBC_057749240d604d9ab0db94f6e505935f"/>
        <w:id w:val="1847898820"/>
        <w:lock w:val="sdtLocked"/>
        <w:placeholder>
          <w:docPart w:val="GBC22222222222222222222222222222"/>
        </w:placeholder>
      </w:sdtPr>
      <w:sdtEndPr>
        <w:rPr>
          <w:rFonts w:hint="default"/>
        </w:rPr>
      </w:sdtEndPr>
      <w:sdtContent>
        <w:p w14:paraId="6E49805A" w14:textId="77777777" w:rsidR="00830E72" w:rsidRDefault="008344D8">
          <w:pPr>
            <w:rPr>
              <w:szCs w:val="21"/>
            </w:rPr>
          </w:pPr>
          <w:r>
            <w:rPr>
              <w:rFonts w:hint="eastAsia"/>
              <w:szCs w:val="21"/>
            </w:rPr>
            <w:t>其他说明：</w:t>
          </w:r>
        </w:p>
        <w:sdt>
          <w:sdtPr>
            <w:rPr>
              <w:szCs w:val="21"/>
            </w:rPr>
            <w:alias w:val="是否适用：递延所得税资产和递延所得税负债的说明[双击切换]"/>
            <w:tag w:val="_GBC_06478ceb6b7447a791a4a5cbf8cc7e95"/>
            <w:id w:val="-1717423937"/>
            <w:lock w:val="sdtContentLocked"/>
            <w:placeholder>
              <w:docPart w:val="GBC22222222222222222222222222222"/>
            </w:placeholder>
          </w:sdtPr>
          <w:sdtEndPr/>
          <w:sdtContent>
            <w:p w14:paraId="14CDE719"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A275ADC" w14:textId="77777777" w:rsidR="00830E72" w:rsidRDefault="00830E72">
      <w:pPr>
        <w:rPr>
          <w:szCs w:val="21"/>
        </w:rPr>
        <w:sectPr w:rsidR="00830E72">
          <w:pgSz w:w="11906" w:h="16838"/>
          <w:pgMar w:top="1525" w:right="1276" w:bottom="1440" w:left="1797" w:header="856" w:footer="992" w:gutter="0"/>
          <w:cols w:space="425"/>
          <w:docGrid w:linePitch="312"/>
        </w:sectPr>
      </w:pPr>
    </w:p>
    <w:p w14:paraId="12D58D48" w14:textId="77777777" w:rsidR="00830E72" w:rsidRDefault="00830E72">
      <w:pPr>
        <w:rPr>
          <w:szCs w:val="21"/>
        </w:rPr>
      </w:pPr>
    </w:p>
    <w:bookmarkStart w:id="160" w:name="_Hlk10535308" w:displacedByCustomXml="next"/>
    <w:sdt>
      <w:sdtPr>
        <w:rPr>
          <w:rFonts w:ascii="宋体" w:hAnsi="宋体" w:cs="宋体" w:hint="eastAsia"/>
          <w:b w:val="0"/>
          <w:bCs w:val="0"/>
          <w:kern w:val="0"/>
          <w:szCs w:val="21"/>
        </w:rPr>
        <w:alias w:val="模块:其他非流动资产"/>
        <w:tag w:val="_GBC_b8db472f168c433c9cdb46a39ab78b50"/>
        <w:id w:val="845218931"/>
        <w:lock w:val="sdtLocked"/>
        <w:placeholder>
          <w:docPart w:val="GBC22222222222222222222222222222"/>
        </w:placeholder>
      </w:sdtPr>
      <w:sdtEndPr/>
      <w:sdtContent>
        <w:p w14:paraId="2599B117"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其他非流动资产</w:t>
          </w:r>
        </w:p>
        <w:sdt>
          <w:sdtPr>
            <w:alias w:val="是否适用：其他非流动资产[双击切换]"/>
            <w:tag w:val="_GBC_227882aeaa9b4aa98d6af8bcac2af7a5"/>
            <w:id w:val="-1796667714"/>
            <w:lock w:val="sdtContentLocked"/>
            <w:placeholder>
              <w:docPart w:val="GBC22222222222222222222222222222"/>
            </w:placeholder>
          </w:sdtPr>
          <w:sdtEndPr/>
          <w:sdtContent>
            <w:p w14:paraId="142B8019"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3DDF029" w14:textId="77777777" w:rsidR="00830E72" w:rsidRDefault="008344D8">
          <w:pPr>
            <w:jc w:val="right"/>
          </w:pPr>
          <w:r>
            <w:rPr>
              <w:rFonts w:hint="eastAsia"/>
            </w:rPr>
            <w:t>单位：</w:t>
          </w:r>
          <w:sdt>
            <w:sdtPr>
              <w:alias w:val="单位：财务附注：其他非流动资产"/>
              <w:tag w:val="_GBC_5fd172528c7e4c4c8619b250ae90cdb4"/>
              <w:id w:val="-20568390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t>元</w:t>
              </w:r>
            </w:sdtContent>
          </w:sdt>
          <w:r>
            <w:rPr>
              <w:rFonts w:hint="eastAsia"/>
            </w:rPr>
            <w:t xml:space="preserve">  币种：</w:t>
          </w:r>
          <w:sdt>
            <w:sdtPr>
              <w:rPr>
                <w:rFonts w:hint="eastAsia"/>
              </w:rPr>
              <w:alias w:val="币种：财务附注：其他非流动资产"/>
              <w:tag w:val="_GBC_4cd5c26035ba4f7384dee597c98f0cb6"/>
              <w:id w:val="114045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391"/>
            <w:gridCol w:w="1987"/>
            <w:gridCol w:w="1984"/>
            <w:gridCol w:w="1987"/>
            <w:gridCol w:w="1984"/>
            <w:gridCol w:w="1981"/>
            <w:gridCol w:w="2061"/>
          </w:tblGrid>
          <w:tr w:rsidR="00830E72" w14:paraId="2263F2A3" w14:textId="77777777">
            <w:sdt>
              <w:sdtPr>
                <w:tag w:val="_PLD_a0072e7adb6c49bb95cec91e0b7ec491"/>
                <w:id w:val="1118099601"/>
                <w:lock w:val="sdtLocked"/>
              </w:sdtPr>
              <w:sdtEndPr/>
              <w:sdtContent>
                <w:tc>
                  <w:tcPr>
                    <w:tcW w:w="832" w:type="pct"/>
                    <w:vMerge w:val="restart"/>
                    <w:shd w:val="clear" w:color="auto" w:fill="auto"/>
                    <w:vAlign w:val="center"/>
                  </w:tcPr>
                  <w:p w14:paraId="54532DC2" w14:textId="77777777" w:rsidR="00830E72" w:rsidRDefault="008344D8">
                    <w:pPr>
                      <w:jc w:val="center"/>
                    </w:pPr>
                    <w:r>
                      <w:rPr>
                        <w:rFonts w:hint="eastAsia"/>
                      </w:rPr>
                      <w:t>项目</w:t>
                    </w:r>
                  </w:p>
                </w:tc>
              </w:sdtContent>
            </w:sdt>
            <w:sdt>
              <w:sdtPr>
                <w:tag w:val="_PLD_9557fd4b49c84b3db8c9ae69c7346562"/>
                <w:id w:val="-1356886233"/>
                <w:lock w:val="sdtLocked"/>
              </w:sdtPr>
              <w:sdtEndPr/>
              <w:sdtContent>
                <w:tc>
                  <w:tcPr>
                    <w:tcW w:w="2072" w:type="pct"/>
                    <w:gridSpan w:val="3"/>
                    <w:vAlign w:val="center"/>
                  </w:tcPr>
                  <w:p w14:paraId="160F55A7" w14:textId="77777777" w:rsidR="00830E72" w:rsidRDefault="008344D8">
                    <w:pPr>
                      <w:jc w:val="center"/>
                    </w:pPr>
                    <w:r>
                      <w:rPr>
                        <w:rFonts w:hint="eastAsia"/>
                      </w:rPr>
                      <w:t>期末余额</w:t>
                    </w:r>
                  </w:p>
                </w:tc>
              </w:sdtContent>
            </w:sdt>
            <w:sdt>
              <w:sdtPr>
                <w:tag w:val="_PLD_dad73a13c6c344aaa0bec642175f96c3"/>
                <w:id w:val="1511875977"/>
                <w:lock w:val="sdtLocked"/>
              </w:sdtPr>
              <w:sdtEndPr/>
              <w:sdtContent>
                <w:tc>
                  <w:tcPr>
                    <w:tcW w:w="2096" w:type="pct"/>
                    <w:gridSpan w:val="3"/>
                    <w:vAlign w:val="center"/>
                  </w:tcPr>
                  <w:p w14:paraId="6555A9E7" w14:textId="77777777" w:rsidR="00830E72" w:rsidRDefault="008344D8">
                    <w:pPr>
                      <w:jc w:val="center"/>
                    </w:pPr>
                    <w:r>
                      <w:rPr>
                        <w:rFonts w:hint="eastAsia"/>
                      </w:rPr>
                      <w:t>期初余额</w:t>
                    </w:r>
                  </w:p>
                </w:tc>
              </w:sdtContent>
            </w:sdt>
          </w:tr>
          <w:tr w:rsidR="00830E72" w14:paraId="20EAAA4F" w14:textId="77777777">
            <w:tc>
              <w:tcPr>
                <w:tcW w:w="832" w:type="pct"/>
                <w:vMerge/>
                <w:shd w:val="clear" w:color="auto" w:fill="auto"/>
                <w:vAlign w:val="center"/>
              </w:tcPr>
              <w:p w14:paraId="6F602A62" w14:textId="77777777" w:rsidR="00830E72" w:rsidRDefault="00830E72">
                <w:pPr>
                  <w:jc w:val="center"/>
                </w:pPr>
              </w:p>
            </w:tc>
            <w:tc>
              <w:tcPr>
                <w:tcW w:w="691" w:type="pct"/>
                <w:vAlign w:val="center"/>
              </w:tcPr>
              <w:sdt>
                <w:sdtPr>
                  <w:rPr>
                    <w:rFonts w:hint="eastAsia"/>
                    <w:szCs w:val="21"/>
                  </w:rPr>
                  <w:tag w:val="_PLD_93d316b5ed8d45ea95cfce051b0f999d"/>
                  <w:id w:val="1697730759"/>
                  <w:lock w:val="sdtLocked"/>
                </w:sdtPr>
                <w:sdtEndPr/>
                <w:sdtContent>
                  <w:p w14:paraId="5746E344" w14:textId="77777777" w:rsidR="00830E72" w:rsidRDefault="008344D8">
                    <w:pPr>
                      <w:jc w:val="center"/>
                    </w:pPr>
                    <w:r>
                      <w:rPr>
                        <w:rFonts w:hint="eastAsia"/>
                        <w:szCs w:val="21"/>
                      </w:rPr>
                      <w:t>账面余额</w:t>
                    </w:r>
                  </w:p>
                </w:sdtContent>
              </w:sdt>
            </w:tc>
            <w:tc>
              <w:tcPr>
                <w:tcW w:w="690" w:type="pct"/>
                <w:vAlign w:val="center"/>
              </w:tcPr>
              <w:sdt>
                <w:sdtPr>
                  <w:tag w:val="_PLD_ce9573e9b47f4859912e77c530974f87"/>
                  <w:id w:val="-687292142"/>
                  <w:lock w:val="sdtLocked"/>
                </w:sdtPr>
                <w:sdtEndPr/>
                <w:sdtContent>
                  <w:p w14:paraId="558996AC" w14:textId="77777777" w:rsidR="00830E72" w:rsidRDefault="008344D8">
                    <w:pPr>
                      <w:jc w:val="center"/>
                    </w:pPr>
                    <w:r>
                      <w:t>减值准备</w:t>
                    </w:r>
                  </w:p>
                </w:sdtContent>
              </w:sdt>
            </w:tc>
            <w:tc>
              <w:tcPr>
                <w:tcW w:w="691" w:type="pct"/>
                <w:shd w:val="clear" w:color="auto" w:fill="auto"/>
                <w:vAlign w:val="center"/>
              </w:tcPr>
              <w:sdt>
                <w:sdtPr>
                  <w:tag w:val="_PLD_4b72c2cb7df84a3a9384f2eaa1acaf3a"/>
                  <w:id w:val="2061832100"/>
                  <w:lock w:val="sdtLocked"/>
                </w:sdtPr>
                <w:sdtEndPr/>
                <w:sdtContent>
                  <w:p w14:paraId="1A661EB3" w14:textId="77777777" w:rsidR="00830E72" w:rsidRDefault="008344D8">
                    <w:pPr>
                      <w:jc w:val="center"/>
                    </w:pPr>
                    <w:r>
                      <w:t>账面价值</w:t>
                    </w:r>
                  </w:p>
                </w:sdtContent>
              </w:sdt>
            </w:tc>
            <w:tc>
              <w:tcPr>
                <w:tcW w:w="690" w:type="pct"/>
                <w:vAlign w:val="center"/>
              </w:tcPr>
              <w:sdt>
                <w:sdtPr>
                  <w:tag w:val="_PLD_31abd03025c54702bba8f28fbcd435be"/>
                  <w:id w:val="-239329725"/>
                  <w:lock w:val="sdtLocked"/>
                </w:sdtPr>
                <w:sdtEndPr/>
                <w:sdtContent>
                  <w:p w14:paraId="5AB4872D" w14:textId="77777777" w:rsidR="00830E72" w:rsidRDefault="008344D8">
                    <w:pPr>
                      <w:jc w:val="center"/>
                    </w:pPr>
                    <w:r>
                      <w:t>账面余额</w:t>
                    </w:r>
                  </w:p>
                </w:sdtContent>
              </w:sdt>
            </w:tc>
            <w:tc>
              <w:tcPr>
                <w:tcW w:w="689" w:type="pct"/>
                <w:vAlign w:val="center"/>
              </w:tcPr>
              <w:sdt>
                <w:sdtPr>
                  <w:tag w:val="_PLD_5650816a035d4b9d999e9f87d1506d3b"/>
                  <w:id w:val="457685581"/>
                  <w:lock w:val="sdtLocked"/>
                </w:sdtPr>
                <w:sdtEndPr/>
                <w:sdtContent>
                  <w:p w14:paraId="5AB2B47E" w14:textId="77777777" w:rsidR="00830E72" w:rsidRDefault="008344D8">
                    <w:pPr>
                      <w:jc w:val="center"/>
                    </w:pPr>
                    <w:r>
                      <w:t>减值准备</w:t>
                    </w:r>
                  </w:p>
                </w:sdtContent>
              </w:sdt>
            </w:tc>
            <w:tc>
              <w:tcPr>
                <w:tcW w:w="718" w:type="pct"/>
                <w:shd w:val="clear" w:color="auto" w:fill="auto"/>
                <w:vAlign w:val="center"/>
              </w:tcPr>
              <w:sdt>
                <w:sdtPr>
                  <w:tag w:val="_PLD_76b67d2d1c1543c0b22ec33e5ae8e28a"/>
                  <w:id w:val="-1055163083"/>
                  <w:lock w:val="sdtLocked"/>
                </w:sdtPr>
                <w:sdtEndPr/>
                <w:sdtContent>
                  <w:p w14:paraId="14C33C3D" w14:textId="77777777" w:rsidR="00830E72" w:rsidRDefault="008344D8">
                    <w:pPr>
                      <w:jc w:val="center"/>
                    </w:pPr>
                    <w:r>
                      <w:t>账面价值</w:t>
                    </w:r>
                  </w:p>
                </w:sdtContent>
              </w:sdt>
            </w:tc>
          </w:tr>
          <w:tr w:rsidR="00830E72" w14:paraId="34A9D9AF" w14:textId="77777777">
            <w:sdt>
              <w:sdtPr>
                <w:tag w:val="_PLD_9f43b36b71d04985ba53ac007747aff7"/>
                <w:id w:val="-1837680462"/>
                <w:lock w:val="sdtLocked"/>
              </w:sdtPr>
              <w:sdtEndPr/>
              <w:sdtContent>
                <w:tc>
                  <w:tcPr>
                    <w:tcW w:w="832" w:type="pct"/>
                    <w:shd w:val="clear" w:color="auto" w:fill="auto"/>
                    <w:vAlign w:val="center"/>
                  </w:tcPr>
                  <w:p w14:paraId="65944A60" w14:textId="77777777" w:rsidR="00830E72" w:rsidRDefault="008344D8">
                    <w:pPr>
                      <w:jc w:val="both"/>
                    </w:pPr>
                    <w:r>
                      <w:rPr>
                        <w:rFonts w:hint="eastAsia"/>
                      </w:rPr>
                      <w:t>合同取得成本</w:t>
                    </w:r>
                  </w:p>
                </w:tc>
              </w:sdtContent>
            </w:sdt>
            <w:tc>
              <w:tcPr>
                <w:tcW w:w="691" w:type="pct"/>
                <w:vAlign w:val="center"/>
              </w:tcPr>
              <w:p w14:paraId="04F62F21" w14:textId="77777777" w:rsidR="00830E72" w:rsidRDefault="00830E72">
                <w:pPr>
                  <w:jc w:val="right"/>
                </w:pPr>
              </w:p>
            </w:tc>
            <w:tc>
              <w:tcPr>
                <w:tcW w:w="690" w:type="pct"/>
                <w:vAlign w:val="center"/>
              </w:tcPr>
              <w:p w14:paraId="737AA7D4" w14:textId="77777777" w:rsidR="00830E72" w:rsidRDefault="00830E72">
                <w:pPr>
                  <w:jc w:val="right"/>
                </w:pPr>
              </w:p>
            </w:tc>
            <w:tc>
              <w:tcPr>
                <w:tcW w:w="691" w:type="pct"/>
                <w:shd w:val="clear" w:color="auto" w:fill="auto"/>
                <w:vAlign w:val="center"/>
              </w:tcPr>
              <w:p w14:paraId="43855B9D" w14:textId="77777777" w:rsidR="00830E72" w:rsidRDefault="00830E72">
                <w:pPr>
                  <w:jc w:val="right"/>
                </w:pPr>
              </w:p>
            </w:tc>
            <w:tc>
              <w:tcPr>
                <w:tcW w:w="690" w:type="pct"/>
                <w:vAlign w:val="center"/>
              </w:tcPr>
              <w:p w14:paraId="6E186994" w14:textId="77777777" w:rsidR="00830E72" w:rsidRDefault="00830E72">
                <w:pPr>
                  <w:jc w:val="right"/>
                </w:pPr>
              </w:p>
            </w:tc>
            <w:tc>
              <w:tcPr>
                <w:tcW w:w="689" w:type="pct"/>
                <w:vAlign w:val="center"/>
              </w:tcPr>
              <w:p w14:paraId="399740E9" w14:textId="77777777" w:rsidR="00830E72" w:rsidRDefault="00830E72">
                <w:pPr>
                  <w:jc w:val="right"/>
                </w:pPr>
              </w:p>
            </w:tc>
            <w:tc>
              <w:tcPr>
                <w:tcW w:w="718" w:type="pct"/>
                <w:shd w:val="clear" w:color="auto" w:fill="auto"/>
                <w:vAlign w:val="center"/>
              </w:tcPr>
              <w:p w14:paraId="7AA20514" w14:textId="77777777" w:rsidR="00830E72" w:rsidRDefault="00830E72">
                <w:pPr>
                  <w:jc w:val="right"/>
                </w:pPr>
              </w:p>
            </w:tc>
          </w:tr>
          <w:tr w:rsidR="00830E72" w14:paraId="3BEF9042" w14:textId="77777777">
            <w:sdt>
              <w:sdtPr>
                <w:tag w:val="_PLD_c550a39c676e441eae179e171293d126"/>
                <w:id w:val="270441330"/>
                <w:lock w:val="sdtLocked"/>
              </w:sdtPr>
              <w:sdtEndPr/>
              <w:sdtContent>
                <w:tc>
                  <w:tcPr>
                    <w:tcW w:w="832" w:type="pct"/>
                    <w:shd w:val="clear" w:color="auto" w:fill="auto"/>
                    <w:vAlign w:val="center"/>
                  </w:tcPr>
                  <w:p w14:paraId="7310ED81" w14:textId="77777777" w:rsidR="00830E72" w:rsidRDefault="008344D8">
                    <w:pPr>
                      <w:jc w:val="both"/>
                    </w:pPr>
                    <w:r>
                      <w:rPr>
                        <w:rFonts w:hint="eastAsia"/>
                      </w:rPr>
                      <w:t>合同履约成本</w:t>
                    </w:r>
                  </w:p>
                </w:tc>
              </w:sdtContent>
            </w:sdt>
            <w:tc>
              <w:tcPr>
                <w:tcW w:w="691" w:type="pct"/>
                <w:vAlign w:val="center"/>
              </w:tcPr>
              <w:p w14:paraId="6B747362" w14:textId="77777777" w:rsidR="00830E72" w:rsidRDefault="00830E72">
                <w:pPr>
                  <w:jc w:val="right"/>
                </w:pPr>
              </w:p>
            </w:tc>
            <w:tc>
              <w:tcPr>
                <w:tcW w:w="690" w:type="pct"/>
                <w:vAlign w:val="center"/>
              </w:tcPr>
              <w:p w14:paraId="6D7B6AD0" w14:textId="77777777" w:rsidR="00830E72" w:rsidRDefault="00830E72">
                <w:pPr>
                  <w:jc w:val="right"/>
                </w:pPr>
              </w:p>
            </w:tc>
            <w:tc>
              <w:tcPr>
                <w:tcW w:w="691" w:type="pct"/>
                <w:shd w:val="clear" w:color="auto" w:fill="auto"/>
                <w:vAlign w:val="center"/>
              </w:tcPr>
              <w:p w14:paraId="32BDA347" w14:textId="77777777" w:rsidR="00830E72" w:rsidRDefault="00830E72">
                <w:pPr>
                  <w:jc w:val="right"/>
                </w:pPr>
              </w:p>
            </w:tc>
            <w:tc>
              <w:tcPr>
                <w:tcW w:w="690" w:type="pct"/>
                <w:vAlign w:val="center"/>
              </w:tcPr>
              <w:p w14:paraId="302D9C0F" w14:textId="77777777" w:rsidR="00830E72" w:rsidRDefault="00830E72">
                <w:pPr>
                  <w:jc w:val="right"/>
                </w:pPr>
              </w:p>
            </w:tc>
            <w:tc>
              <w:tcPr>
                <w:tcW w:w="689" w:type="pct"/>
                <w:vAlign w:val="center"/>
              </w:tcPr>
              <w:p w14:paraId="60C8A6F1" w14:textId="77777777" w:rsidR="00830E72" w:rsidRDefault="00830E72">
                <w:pPr>
                  <w:jc w:val="right"/>
                </w:pPr>
              </w:p>
            </w:tc>
            <w:tc>
              <w:tcPr>
                <w:tcW w:w="718" w:type="pct"/>
                <w:shd w:val="clear" w:color="auto" w:fill="auto"/>
                <w:vAlign w:val="center"/>
              </w:tcPr>
              <w:p w14:paraId="0CB94DEF" w14:textId="77777777" w:rsidR="00830E72" w:rsidRDefault="00830E72">
                <w:pPr>
                  <w:jc w:val="right"/>
                </w:pPr>
              </w:p>
            </w:tc>
          </w:tr>
          <w:tr w:rsidR="00830E72" w14:paraId="27089468" w14:textId="77777777">
            <w:sdt>
              <w:sdtPr>
                <w:tag w:val="_PLD_21c63e43195a45f681e28944e7d60b72"/>
                <w:id w:val="714707356"/>
                <w:lock w:val="sdtLocked"/>
              </w:sdtPr>
              <w:sdtEndPr/>
              <w:sdtContent>
                <w:tc>
                  <w:tcPr>
                    <w:tcW w:w="832" w:type="pct"/>
                    <w:shd w:val="clear" w:color="auto" w:fill="auto"/>
                    <w:vAlign w:val="center"/>
                  </w:tcPr>
                  <w:p w14:paraId="707E03EC" w14:textId="77777777" w:rsidR="00830E72" w:rsidRDefault="008344D8">
                    <w:pPr>
                      <w:jc w:val="both"/>
                    </w:pPr>
                    <w:r>
                      <w:rPr>
                        <w:rFonts w:hint="eastAsia"/>
                      </w:rPr>
                      <w:t>应收退货成本</w:t>
                    </w:r>
                  </w:p>
                </w:tc>
              </w:sdtContent>
            </w:sdt>
            <w:tc>
              <w:tcPr>
                <w:tcW w:w="691" w:type="pct"/>
                <w:vAlign w:val="center"/>
              </w:tcPr>
              <w:p w14:paraId="2D696DAC" w14:textId="77777777" w:rsidR="00830E72" w:rsidRDefault="00830E72">
                <w:pPr>
                  <w:jc w:val="right"/>
                </w:pPr>
              </w:p>
            </w:tc>
            <w:tc>
              <w:tcPr>
                <w:tcW w:w="690" w:type="pct"/>
                <w:vAlign w:val="center"/>
              </w:tcPr>
              <w:p w14:paraId="40A1198E" w14:textId="77777777" w:rsidR="00830E72" w:rsidRDefault="00830E72">
                <w:pPr>
                  <w:jc w:val="right"/>
                </w:pPr>
              </w:p>
            </w:tc>
            <w:tc>
              <w:tcPr>
                <w:tcW w:w="691" w:type="pct"/>
                <w:shd w:val="clear" w:color="auto" w:fill="auto"/>
                <w:vAlign w:val="center"/>
              </w:tcPr>
              <w:p w14:paraId="7F5E2DA8" w14:textId="77777777" w:rsidR="00830E72" w:rsidRDefault="00830E72">
                <w:pPr>
                  <w:jc w:val="right"/>
                </w:pPr>
              </w:p>
            </w:tc>
            <w:tc>
              <w:tcPr>
                <w:tcW w:w="690" w:type="pct"/>
                <w:vAlign w:val="center"/>
              </w:tcPr>
              <w:p w14:paraId="5B0A7466" w14:textId="77777777" w:rsidR="00830E72" w:rsidRDefault="00830E72">
                <w:pPr>
                  <w:jc w:val="right"/>
                </w:pPr>
              </w:p>
            </w:tc>
            <w:tc>
              <w:tcPr>
                <w:tcW w:w="689" w:type="pct"/>
                <w:vAlign w:val="center"/>
              </w:tcPr>
              <w:p w14:paraId="3B205C53" w14:textId="77777777" w:rsidR="00830E72" w:rsidRDefault="00830E72">
                <w:pPr>
                  <w:jc w:val="right"/>
                </w:pPr>
              </w:p>
            </w:tc>
            <w:tc>
              <w:tcPr>
                <w:tcW w:w="718" w:type="pct"/>
                <w:shd w:val="clear" w:color="auto" w:fill="auto"/>
                <w:vAlign w:val="center"/>
              </w:tcPr>
              <w:p w14:paraId="6382ABE0" w14:textId="77777777" w:rsidR="00830E72" w:rsidRDefault="00830E72">
                <w:pPr>
                  <w:jc w:val="right"/>
                </w:pPr>
              </w:p>
            </w:tc>
          </w:tr>
          <w:tr w:rsidR="00830E72" w14:paraId="330E0173" w14:textId="77777777">
            <w:sdt>
              <w:sdtPr>
                <w:tag w:val="_PLD_f1f5826e769b49f1996be0b834406450"/>
                <w:id w:val="263116567"/>
                <w:lock w:val="sdtLocked"/>
              </w:sdtPr>
              <w:sdtEndPr/>
              <w:sdtContent>
                <w:tc>
                  <w:tcPr>
                    <w:tcW w:w="832" w:type="pct"/>
                    <w:shd w:val="clear" w:color="auto" w:fill="auto"/>
                    <w:vAlign w:val="center"/>
                  </w:tcPr>
                  <w:p w14:paraId="0F322011" w14:textId="77777777" w:rsidR="00830E72" w:rsidRDefault="008344D8">
                    <w:pPr>
                      <w:jc w:val="both"/>
                    </w:pPr>
                    <w:r>
                      <w:rPr>
                        <w:rFonts w:hint="eastAsia"/>
                      </w:rPr>
                      <w:t>合同资产</w:t>
                    </w:r>
                  </w:p>
                </w:tc>
              </w:sdtContent>
            </w:sdt>
            <w:tc>
              <w:tcPr>
                <w:tcW w:w="691" w:type="pct"/>
                <w:vAlign w:val="center"/>
              </w:tcPr>
              <w:p w14:paraId="1104EE31" w14:textId="77777777" w:rsidR="00830E72" w:rsidRDefault="00830E72">
                <w:pPr>
                  <w:jc w:val="right"/>
                </w:pPr>
              </w:p>
            </w:tc>
            <w:tc>
              <w:tcPr>
                <w:tcW w:w="690" w:type="pct"/>
                <w:vAlign w:val="center"/>
              </w:tcPr>
              <w:p w14:paraId="05328241" w14:textId="77777777" w:rsidR="00830E72" w:rsidRDefault="00830E72">
                <w:pPr>
                  <w:jc w:val="right"/>
                </w:pPr>
              </w:p>
            </w:tc>
            <w:tc>
              <w:tcPr>
                <w:tcW w:w="691" w:type="pct"/>
                <w:shd w:val="clear" w:color="auto" w:fill="auto"/>
                <w:vAlign w:val="center"/>
              </w:tcPr>
              <w:p w14:paraId="7DBBB0C8" w14:textId="77777777" w:rsidR="00830E72" w:rsidRDefault="00830E72">
                <w:pPr>
                  <w:jc w:val="right"/>
                </w:pPr>
              </w:p>
            </w:tc>
            <w:tc>
              <w:tcPr>
                <w:tcW w:w="690" w:type="pct"/>
                <w:vAlign w:val="center"/>
              </w:tcPr>
              <w:p w14:paraId="2479D933" w14:textId="77777777" w:rsidR="00830E72" w:rsidRDefault="00830E72">
                <w:pPr>
                  <w:jc w:val="right"/>
                </w:pPr>
              </w:p>
            </w:tc>
            <w:tc>
              <w:tcPr>
                <w:tcW w:w="689" w:type="pct"/>
                <w:vAlign w:val="center"/>
              </w:tcPr>
              <w:p w14:paraId="718E4CC5" w14:textId="77777777" w:rsidR="00830E72" w:rsidRDefault="00830E72">
                <w:pPr>
                  <w:jc w:val="right"/>
                </w:pPr>
              </w:p>
            </w:tc>
            <w:tc>
              <w:tcPr>
                <w:tcW w:w="718" w:type="pct"/>
                <w:shd w:val="clear" w:color="auto" w:fill="auto"/>
                <w:vAlign w:val="center"/>
              </w:tcPr>
              <w:p w14:paraId="7B241A33" w14:textId="77777777" w:rsidR="00830E72" w:rsidRDefault="00830E72">
                <w:pPr>
                  <w:jc w:val="right"/>
                </w:pPr>
              </w:p>
            </w:tc>
          </w:tr>
          <w:sdt>
            <w:sdtPr>
              <w:alias w:val="其他长期资产明细"/>
              <w:tag w:val="_TUP_d1338bd1e5ff437489b690d48cf84797"/>
              <w:id w:val="1389684224"/>
              <w:lock w:val="sdtLocked"/>
              <w:placeholder>
                <w:docPart w:val="GBC11111111111111111111111111111"/>
              </w:placeholder>
            </w:sdtPr>
            <w:sdtEndPr>
              <w:rPr>
                <w:rFonts w:hint="eastAsia"/>
              </w:rPr>
            </w:sdtEndPr>
            <w:sdtContent>
              <w:tr w:rsidR="00830E72" w14:paraId="3D18965F" w14:textId="77777777">
                <w:tc>
                  <w:tcPr>
                    <w:tcW w:w="832" w:type="pct"/>
                    <w:shd w:val="clear" w:color="auto" w:fill="auto"/>
                    <w:vAlign w:val="center"/>
                  </w:tcPr>
                  <w:p w14:paraId="3B5A7A69" w14:textId="77777777" w:rsidR="00830E72" w:rsidRDefault="008344D8">
                    <w:pPr>
                      <w:jc w:val="both"/>
                    </w:pPr>
                    <w:r>
                      <w:rPr>
                        <w:rFonts w:hint="eastAsia"/>
                      </w:rPr>
                      <w:t>处于建设期的金融资产模式的</w:t>
                    </w:r>
                    <w:r>
                      <w:t>PPP项目合同资产</w:t>
                    </w:r>
                  </w:p>
                </w:tc>
                <w:tc>
                  <w:tcPr>
                    <w:tcW w:w="691" w:type="pct"/>
                    <w:vAlign w:val="center"/>
                  </w:tcPr>
                  <w:p w14:paraId="1916DBA0" w14:textId="77777777" w:rsidR="00830E72" w:rsidRDefault="008344D8">
                    <w:pPr>
                      <w:jc w:val="right"/>
                    </w:pPr>
                    <w:r>
                      <w:t>172,690,018.43</w:t>
                    </w:r>
                  </w:p>
                </w:tc>
                <w:tc>
                  <w:tcPr>
                    <w:tcW w:w="690" w:type="pct"/>
                    <w:vAlign w:val="center"/>
                  </w:tcPr>
                  <w:p w14:paraId="1CF4358F" w14:textId="77777777" w:rsidR="00830E72" w:rsidRDefault="008344D8">
                    <w:pPr>
                      <w:jc w:val="right"/>
                    </w:pPr>
                    <w:r>
                      <w:t>863,450.09</w:t>
                    </w:r>
                  </w:p>
                </w:tc>
                <w:tc>
                  <w:tcPr>
                    <w:tcW w:w="691" w:type="pct"/>
                    <w:shd w:val="clear" w:color="auto" w:fill="auto"/>
                    <w:vAlign w:val="center"/>
                  </w:tcPr>
                  <w:p w14:paraId="5FB77DC6" w14:textId="77777777" w:rsidR="00830E72" w:rsidRDefault="008344D8">
                    <w:pPr>
                      <w:jc w:val="right"/>
                    </w:pPr>
                    <w:r>
                      <w:t>171,826,568.34</w:t>
                    </w:r>
                  </w:p>
                </w:tc>
                <w:tc>
                  <w:tcPr>
                    <w:tcW w:w="690" w:type="pct"/>
                    <w:vAlign w:val="center"/>
                  </w:tcPr>
                  <w:p w14:paraId="1D60F211" w14:textId="77777777" w:rsidR="00830E72" w:rsidRDefault="008344D8">
                    <w:pPr>
                      <w:jc w:val="right"/>
                    </w:pPr>
                    <w:r>
                      <w:t>440,247,156.24</w:t>
                    </w:r>
                  </w:p>
                </w:tc>
                <w:tc>
                  <w:tcPr>
                    <w:tcW w:w="689" w:type="pct"/>
                    <w:vAlign w:val="center"/>
                  </w:tcPr>
                  <w:p w14:paraId="2B33478D" w14:textId="77777777" w:rsidR="00830E72" w:rsidRDefault="008344D8">
                    <w:pPr>
                      <w:jc w:val="right"/>
                    </w:pPr>
                    <w:r>
                      <w:t>2,201,235.79</w:t>
                    </w:r>
                  </w:p>
                </w:tc>
                <w:tc>
                  <w:tcPr>
                    <w:tcW w:w="718" w:type="pct"/>
                    <w:shd w:val="clear" w:color="auto" w:fill="auto"/>
                    <w:vAlign w:val="center"/>
                  </w:tcPr>
                  <w:p w14:paraId="694CA9BD" w14:textId="77777777" w:rsidR="00830E72" w:rsidRDefault="008344D8">
                    <w:pPr>
                      <w:jc w:val="right"/>
                    </w:pPr>
                    <w:r>
                      <w:t>438,045,920.45</w:t>
                    </w:r>
                  </w:p>
                </w:tc>
              </w:tr>
            </w:sdtContent>
          </w:sdt>
          <w:sdt>
            <w:sdtPr>
              <w:alias w:val="其他长期资产明细"/>
              <w:tag w:val="_TUP_d1338bd1e5ff437489b690d48cf84797"/>
              <w:id w:val="-1208952855"/>
              <w:lock w:val="sdtLocked"/>
              <w:placeholder>
                <w:docPart w:val="GBC11111111111111111111111111111"/>
              </w:placeholder>
            </w:sdtPr>
            <w:sdtEndPr>
              <w:rPr>
                <w:rFonts w:hint="eastAsia"/>
              </w:rPr>
            </w:sdtEndPr>
            <w:sdtContent>
              <w:tr w:rsidR="00830E72" w14:paraId="7884C476" w14:textId="77777777">
                <w:tc>
                  <w:tcPr>
                    <w:tcW w:w="832" w:type="pct"/>
                    <w:shd w:val="clear" w:color="auto" w:fill="auto"/>
                    <w:vAlign w:val="center"/>
                  </w:tcPr>
                  <w:p w14:paraId="734D84C3" w14:textId="77777777" w:rsidR="00830E72" w:rsidRDefault="008344D8">
                    <w:pPr>
                      <w:jc w:val="both"/>
                    </w:pPr>
                    <w:r>
                      <w:rPr>
                        <w:rFonts w:hint="eastAsia"/>
                      </w:rPr>
                      <w:t>一年以上收回质保金</w:t>
                    </w:r>
                  </w:p>
                </w:tc>
                <w:tc>
                  <w:tcPr>
                    <w:tcW w:w="691" w:type="pct"/>
                    <w:vAlign w:val="center"/>
                  </w:tcPr>
                  <w:p w14:paraId="7FEB2D43" w14:textId="77777777" w:rsidR="00830E72" w:rsidRDefault="008344D8">
                    <w:pPr>
                      <w:jc w:val="right"/>
                    </w:pPr>
                    <w:r>
                      <w:t>22,185,079.40</w:t>
                    </w:r>
                  </w:p>
                </w:tc>
                <w:tc>
                  <w:tcPr>
                    <w:tcW w:w="690" w:type="pct"/>
                    <w:vAlign w:val="center"/>
                  </w:tcPr>
                  <w:p w14:paraId="7C34706D" w14:textId="77777777" w:rsidR="00830E72" w:rsidRDefault="008344D8">
                    <w:pPr>
                      <w:jc w:val="right"/>
                    </w:pPr>
                    <w:r>
                      <w:t>1,065,642.41</w:t>
                    </w:r>
                  </w:p>
                </w:tc>
                <w:tc>
                  <w:tcPr>
                    <w:tcW w:w="691" w:type="pct"/>
                    <w:shd w:val="clear" w:color="auto" w:fill="auto"/>
                    <w:vAlign w:val="center"/>
                  </w:tcPr>
                  <w:p w14:paraId="02CA0701" w14:textId="77777777" w:rsidR="00830E72" w:rsidRDefault="008344D8">
                    <w:pPr>
                      <w:jc w:val="right"/>
                    </w:pPr>
                    <w:r>
                      <w:t>21,119,436.99</w:t>
                    </w:r>
                  </w:p>
                </w:tc>
                <w:tc>
                  <w:tcPr>
                    <w:tcW w:w="690" w:type="pct"/>
                    <w:vAlign w:val="center"/>
                  </w:tcPr>
                  <w:p w14:paraId="1B7B5927" w14:textId="77777777" w:rsidR="00830E72" w:rsidRDefault="008344D8">
                    <w:pPr>
                      <w:jc w:val="right"/>
                    </w:pPr>
                    <w:r>
                      <w:t>10,850,565.70</w:t>
                    </w:r>
                  </w:p>
                </w:tc>
                <w:tc>
                  <w:tcPr>
                    <w:tcW w:w="689" w:type="pct"/>
                    <w:vAlign w:val="center"/>
                  </w:tcPr>
                  <w:p w14:paraId="6617F1F4" w14:textId="77777777" w:rsidR="00830E72" w:rsidRDefault="008344D8">
                    <w:pPr>
                      <w:jc w:val="right"/>
                    </w:pPr>
                    <w:r>
                      <w:t>803,891.94</w:t>
                    </w:r>
                  </w:p>
                </w:tc>
                <w:tc>
                  <w:tcPr>
                    <w:tcW w:w="718" w:type="pct"/>
                    <w:shd w:val="clear" w:color="auto" w:fill="auto"/>
                    <w:vAlign w:val="center"/>
                  </w:tcPr>
                  <w:p w14:paraId="3FAA04BE" w14:textId="77777777" w:rsidR="00830E72" w:rsidRDefault="008344D8">
                    <w:pPr>
                      <w:jc w:val="right"/>
                    </w:pPr>
                    <w:r>
                      <w:t>10,046,673.76</w:t>
                    </w:r>
                  </w:p>
                </w:tc>
              </w:tr>
            </w:sdtContent>
          </w:sdt>
          <w:tr w:rsidR="00830E72" w14:paraId="11B81432" w14:textId="77777777">
            <w:sdt>
              <w:sdtPr>
                <w:tag w:val="_PLD_baa34d661ffd46a3a68ebd63193a4444"/>
                <w:id w:val="-836689331"/>
                <w:lock w:val="sdtLocked"/>
              </w:sdtPr>
              <w:sdtEndPr/>
              <w:sdtContent>
                <w:tc>
                  <w:tcPr>
                    <w:tcW w:w="832" w:type="pct"/>
                    <w:shd w:val="clear" w:color="auto" w:fill="auto"/>
                    <w:vAlign w:val="center"/>
                  </w:tcPr>
                  <w:p w14:paraId="1871E219" w14:textId="77777777" w:rsidR="00830E72" w:rsidRDefault="008344D8">
                    <w:pPr>
                      <w:jc w:val="center"/>
                    </w:pPr>
                    <w:r>
                      <w:rPr>
                        <w:rFonts w:hint="eastAsia"/>
                      </w:rPr>
                      <w:t>合计</w:t>
                    </w:r>
                  </w:p>
                </w:tc>
              </w:sdtContent>
            </w:sdt>
            <w:tc>
              <w:tcPr>
                <w:tcW w:w="691" w:type="pct"/>
                <w:vAlign w:val="center"/>
              </w:tcPr>
              <w:p w14:paraId="63FB9D0A" w14:textId="77777777" w:rsidR="00830E72" w:rsidRDefault="008344D8">
                <w:pPr>
                  <w:jc w:val="right"/>
                </w:pPr>
                <w:r>
                  <w:t>194,875,097.83</w:t>
                </w:r>
              </w:p>
            </w:tc>
            <w:tc>
              <w:tcPr>
                <w:tcW w:w="690" w:type="pct"/>
                <w:vAlign w:val="center"/>
              </w:tcPr>
              <w:p w14:paraId="46C47F2B" w14:textId="77777777" w:rsidR="00830E72" w:rsidRDefault="008344D8">
                <w:pPr>
                  <w:jc w:val="right"/>
                </w:pPr>
                <w:r>
                  <w:t>1,929,092.50</w:t>
                </w:r>
              </w:p>
            </w:tc>
            <w:tc>
              <w:tcPr>
                <w:tcW w:w="691" w:type="pct"/>
                <w:shd w:val="clear" w:color="auto" w:fill="auto"/>
                <w:vAlign w:val="center"/>
              </w:tcPr>
              <w:p w14:paraId="7B4F7C18" w14:textId="77777777" w:rsidR="00830E72" w:rsidRDefault="008344D8">
                <w:pPr>
                  <w:jc w:val="right"/>
                </w:pPr>
                <w:r>
                  <w:t>192,946,005.33</w:t>
                </w:r>
              </w:p>
            </w:tc>
            <w:tc>
              <w:tcPr>
                <w:tcW w:w="690" w:type="pct"/>
                <w:vAlign w:val="center"/>
              </w:tcPr>
              <w:p w14:paraId="33589F01" w14:textId="77777777" w:rsidR="00830E72" w:rsidRDefault="008344D8">
                <w:pPr>
                  <w:jc w:val="right"/>
                </w:pPr>
                <w:r>
                  <w:t>451,097,721.94</w:t>
                </w:r>
              </w:p>
            </w:tc>
            <w:tc>
              <w:tcPr>
                <w:tcW w:w="689" w:type="pct"/>
                <w:vAlign w:val="center"/>
              </w:tcPr>
              <w:p w14:paraId="69D8AD9F" w14:textId="77777777" w:rsidR="00830E72" w:rsidRDefault="008344D8">
                <w:pPr>
                  <w:jc w:val="right"/>
                </w:pPr>
                <w:r>
                  <w:t>3,005,127.73</w:t>
                </w:r>
              </w:p>
            </w:tc>
            <w:tc>
              <w:tcPr>
                <w:tcW w:w="718" w:type="pct"/>
                <w:shd w:val="clear" w:color="auto" w:fill="auto"/>
                <w:vAlign w:val="center"/>
              </w:tcPr>
              <w:p w14:paraId="388998CF" w14:textId="77777777" w:rsidR="00830E72" w:rsidRDefault="008344D8">
                <w:pPr>
                  <w:jc w:val="right"/>
                </w:pPr>
                <w:r>
                  <w:t>448,092,594.21</w:t>
                </w:r>
              </w:p>
            </w:tc>
          </w:tr>
          <w:bookmarkEnd w:id="160"/>
        </w:tbl>
      </w:sdtContent>
    </w:sdt>
    <w:p w14:paraId="5DEB7138" w14:textId="77777777" w:rsidR="00830E72" w:rsidRDefault="00830E72">
      <w:pPr>
        <w:rPr>
          <w:szCs w:val="21"/>
        </w:rPr>
        <w:sectPr w:rsidR="00830E72">
          <w:pgSz w:w="16838" w:h="11906" w:orient="landscape"/>
          <w:pgMar w:top="1276" w:right="1440" w:bottom="1797" w:left="1525" w:header="856" w:footer="992" w:gutter="0"/>
          <w:cols w:space="425"/>
          <w:docGrid w:linePitch="312"/>
        </w:sectPr>
      </w:pPr>
    </w:p>
    <w:p w14:paraId="2C634DE2" w14:textId="77777777" w:rsidR="00830E72" w:rsidRDefault="00830E72">
      <w:pPr>
        <w:rPr>
          <w:szCs w:val="21"/>
        </w:rPr>
      </w:pPr>
    </w:p>
    <w:p w14:paraId="78AF9716"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GBC_7bd2428d8b3140c1a80e7a88bb928c1f"/>
        <w:id w:val="-2036498470"/>
        <w:lock w:val="sdtLocked"/>
        <w:placeholder>
          <w:docPart w:val="GBC22222222222222222222222222222"/>
        </w:placeholder>
      </w:sdtPr>
      <w:sdtEndPr>
        <w:rPr>
          <w:rFonts w:cstheme="minorBidi" w:hint="default"/>
          <w:color w:val="000000" w:themeColor="text1"/>
          <w:kern w:val="2"/>
        </w:rPr>
      </w:sdtEndPr>
      <w:sdtContent>
        <w:p w14:paraId="03442BD8" w14:textId="77777777" w:rsidR="00830E72" w:rsidRDefault="008344D8">
          <w:pPr>
            <w:pStyle w:val="Style100"/>
            <w:numPr>
              <w:ilvl w:val="0"/>
              <w:numId w:val="64"/>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1074387a68b64f6b9270b522de53ad85"/>
            <w:id w:val="-1532868652"/>
            <w:lock w:val="sdtContentLocked"/>
            <w:placeholder>
              <w:docPart w:val="GBC22222222222222222222222222222"/>
            </w:placeholder>
          </w:sdtPr>
          <w:sdtEndPr/>
          <w:sdtContent>
            <w:p w14:paraId="6952B2E4"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4A5C23A" w14:textId="77777777" w:rsidR="00830E72" w:rsidRDefault="008344D8">
          <w:pPr>
            <w:jc w:val="right"/>
            <w:rPr>
              <w:szCs w:val="21"/>
            </w:rPr>
          </w:pPr>
          <w:r>
            <w:rPr>
              <w:rFonts w:hint="eastAsia"/>
              <w:szCs w:val="21"/>
            </w:rPr>
            <w:t>单位：</w:t>
          </w:r>
          <w:sdt>
            <w:sdtPr>
              <w:rPr>
                <w:rFonts w:hint="eastAsia"/>
                <w:szCs w:val="21"/>
              </w:rPr>
              <w:alias w:val="单位：财务附注：短期借款分类"/>
              <w:tag w:val="_GBC_f3353209b65c4921b63143340e11aac9"/>
              <w:id w:val="-18504827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b3a1802faad14eae96cfab316b25f639"/>
              <w:id w:val="-842163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870"/>
            <w:gridCol w:w="3003"/>
            <w:gridCol w:w="3020"/>
          </w:tblGrid>
          <w:tr w:rsidR="00830E72" w14:paraId="1E3E76DD" w14:textId="77777777">
            <w:trPr>
              <w:cantSplit/>
            </w:trPr>
            <w:sdt>
              <w:sdtPr>
                <w:tag w:val="_PLD_3476605067da474199aa03dc83e3d88c"/>
                <w:id w:val="261039949"/>
                <w:lock w:val="sdtLocked"/>
              </w:sdtPr>
              <w:sdtEndPr/>
              <w:sdtContent>
                <w:tc>
                  <w:tcPr>
                    <w:tcW w:w="1613" w:type="pct"/>
                    <w:vAlign w:val="center"/>
                  </w:tcPr>
                  <w:p w14:paraId="0618FD0C" w14:textId="77777777" w:rsidR="00830E72" w:rsidRDefault="008344D8">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cd6dc2751cc421e8a2f26f78a44b4c5"/>
                <w:id w:val="-1628774151"/>
                <w:lock w:val="sdtLocked"/>
              </w:sdtPr>
              <w:sdtEndPr/>
              <w:sdtContent>
                <w:tc>
                  <w:tcPr>
                    <w:tcW w:w="1688" w:type="pct"/>
                    <w:vAlign w:val="center"/>
                  </w:tcPr>
                  <w:p w14:paraId="07B05DE6" w14:textId="77777777" w:rsidR="00830E72" w:rsidRDefault="008344D8">
                    <w:pPr>
                      <w:jc w:val="center"/>
                      <w:rPr>
                        <w:color w:val="000000" w:themeColor="text1"/>
                        <w:szCs w:val="21"/>
                      </w:rPr>
                    </w:pPr>
                    <w:r>
                      <w:rPr>
                        <w:rFonts w:hint="eastAsia"/>
                        <w:color w:val="000000" w:themeColor="text1"/>
                        <w:szCs w:val="21"/>
                      </w:rPr>
                      <w:t>期末余额</w:t>
                    </w:r>
                  </w:p>
                </w:tc>
              </w:sdtContent>
            </w:sdt>
            <w:sdt>
              <w:sdtPr>
                <w:tag w:val="_PLD_c16f582c583d4324abc605c4bc563081"/>
                <w:id w:val="9271136"/>
                <w:lock w:val="sdtLocked"/>
              </w:sdtPr>
              <w:sdtEndPr/>
              <w:sdtContent>
                <w:tc>
                  <w:tcPr>
                    <w:tcW w:w="1698" w:type="pct"/>
                    <w:vAlign w:val="center"/>
                  </w:tcPr>
                  <w:p w14:paraId="140EFE4C" w14:textId="77777777" w:rsidR="00830E72" w:rsidRDefault="008344D8">
                    <w:pPr>
                      <w:jc w:val="center"/>
                      <w:rPr>
                        <w:color w:val="000000" w:themeColor="text1"/>
                        <w:szCs w:val="21"/>
                      </w:rPr>
                    </w:pPr>
                    <w:r>
                      <w:rPr>
                        <w:rFonts w:hint="eastAsia"/>
                        <w:color w:val="000000" w:themeColor="text1"/>
                        <w:szCs w:val="21"/>
                      </w:rPr>
                      <w:t>期初余额</w:t>
                    </w:r>
                  </w:p>
                </w:tc>
              </w:sdtContent>
            </w:sdt>
          </w:tr>
          <w:tr w:rsidR="00830E72" w14:paraId="0E938E99" w14:textId="77777777">
            <w:trPr>
              <w:cantSplit/>
            </w:trPr>
            <w:sdt>
              <w:sdtPr>
                <w:tag w:val="_PLD_0e8c36451cb04874b50771df2ac75104"/>
                <w:id w:val="-724750591"/>
                <w:lock w:val="sdtLocked"/>
              </w:sdtPr>
              <w:sdtEndPr/>
              <w:sdtContent>
                <w:tc>
                  <w:tcPr>
                    <w:tcW w:w="1613" w:type="pct"/>
                    <w:shd w:val="clear" w:color="auto" w:fill="auto"/>
                  </w:tcPr>
                  <w:p w14:paraId="5D62BA2D" w14:textId="77777777" w:rsidR="00830E72" w:rsidRDefault="008344D8">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质押借款</w:t>
                    </w:r>
                  </w:p>
                </w:tc>
              </w:sdtContent>
            </w:sdt>
            <w:tc>
              <w:tcPr>
                <w:tcW w:w="1688" w:type="pct"/>
                <w:shd w:val="clear" w:color="auto" w:fill="auto"/>
              </w:tcPr>
              <w:p w14:paraId="2F8D2B89" w14:textId="77777777" w:rsidR="00830E72" w:rsidRDefault="00830E72">
                <w:pPr>
                  <w:autoSpaceDE w:val="0"/>
                  <w:autoSpaceDN w:val="0"/>
                  <w:adjustRightInd w:val="0"/>
                  <w:snapToGrid w:val="0"/>
                  <w:spacing w:line="240" w:lineRule="atLeast"/>
                  <w:ind w:right="180"/>
                  <w:jc w:val="right"/>
                  <w:rPr>
                    <w:szCs w:val="21"/>
                  </w:rPr>
                </w:pPr>
              </w:p>
            </w:tc>
            <w:tc>
              <w:tcPr>
                <w:tcW w:w="1698" w:type="pct"/>
                <w:shd w:val="clear" w:color="auto" w:fill="auto"/>
              </w:tcPr>
              <w:p w14:paraId="55CC02C8" w14:textId="77777777" w:rsidR="00830E72" w:rsidRDefault="00830E72">
                <w:pPr>
                  <w:autoSpaceDE w:val="0"/>
                  <w:autoSpaceDN w:val="0"/>
                  <w:adjustRightInd w:val="0"/>
                  <w:snapToGrid w:val="0"/>
                  <w:spacing w:line="240" w:lineRule="atLeast"/>
                  <w:ind w:right="180"/>
                  <w:jc w:val="right"/>
                  <w:rPr>
                    <w:szCs w:val="21"/>
                  </w:rPr>
                </w:pPr>
              </w:p>
            </w:tc>
          </w:tr>
          <w:tr w:rsidR="00830E72" w14:paraId="5548A9B6" w14:textId="77777777">
            <w:trPr>
              <w:cantSplit/>
            </w:trPr>
            <w:sdt>
              <w:sdtPr>
                <w:tag w:val="_PLD_175aee4cc1e24ae397a153f47913ca90"/>
                <w:id w:val="1506947846"/>
                <w:lock w:val="sdtLocked"/>
              </w:sdtPr>
              <w:sdtEndPr/>
              <w:sdtContent>
                <w:tc>
                  <w:tcPr>
                    <w:tcW w:w="1613" w:type="pct"/>
                    <w:shd w:val="clear" w:color="auto" w:fill="auto"/>
                  </w:tcPr>
                  <w:p w14:paraId="4DD23230" w14:textId="77777777" w:rsidR="00830E72" w:rsidRDefault="008344D8">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抵押借款</w:t>
                    </w:r>
                  </w:p>
                </w:tc>
              </w:sdtContent>
            </w:sdt>
            <w:tc>
              <w:tcPr>
                <w:tcW w:w="1688" w:type="pct"/>
                <w:shd w:val="clear" w:color="auto" w:fill="auto"/>
              </w:tcPr>
              <w:p w14:paraId="13DC3488" w14:textId="77777777" w:rsidR="00830E72" w:rsidRDefault="008344D8">
                <w:pPr>
                  <w:autoSpaceDE w:val="0"/>
                  <w:autoSpaceDN w:val="0"/>
                  <w:adjustRightInd w:val="0"/>
                  <w:snapToGrid w:val="0"/>
                  <w:spacing w:line="240" w:lineRule="atLeast"/>
                  <w:ind w:right="180"/>
                  <w:jc w:val="right"/>
                  <w:rPr>
                    <w:szCs w:val="21"/>
                  </w:rPr>
                </w:pPr>
                <w:r>
                  <w:rPr>
                    <w:szCs w:val="21"/>
                  </w:rPr>
                  <w:t>40,850,000.00</w:t>
                </w:r>
              </w:p>
            </w:tc>
            <w:tc>
              <w:tcPr>
                <w:tcW w:w="1698" w:type="pct"/>
                <w:shd w:val="clear" w:color="auto" w:fill="auto"/>
              </w:tcPr>
              <w:p w14:paraId="01D7F7C3" w14:textId="77777777" w:rsidR="00830E72" w:rsidRDefault="008344D8">
                <w:pPr>
                  <w:autoSpaceDE w:val="0"/>
                  <w:autoSpaceDN w:val="0"/>
                  <w:adjustRightInd w:val="0"/>
                  <w:snapToGrid w:val="0"/>
                  <w:spacing w:line="240" w:lineRule="atLeast"/>
                  <w:ind w:right="180"/>
                  <w:jc w:val="right"/>
                  <w:rPr>
                    <w:szCs w:val="21"/>
                  </w:rPr>
                </w:pPr>
                <w:r>
                  <w:rPr>
                    <w:szCs w:val="21"/>
                  </w:rPr>
                  <w:t>42,000,000.00</w:t>
                </w:r>
              </w:p>
            </w:tc>
          </w:tr>
          <w:tr w:rsidR="00830E72" w14:paraId="39226712" w14:textId="77777777">
            <w:trPr>
              <w:cantSplit/>
            </w:trPr>
            <w:sdt>
              <w:sdtPr>
                <w:tag w:val="_PLD_683943eeaad3404fa9922b66239868d3"/>
                <w:id w:val="925302349"/>
                <w:lock w:val="sdtLocked"/>
              </w:sdtPr>
              <w:sdtEndPr/>
              <w:sdtContent>
                <w:tc>
                  <w:tcPr>
                    <w:tcW w:w="1613" w:type="pct"/>
                    <w:shd w:val="clear" w:color="auto" w:fill="auto"/>
                  </w:tcPr>
                  <w:p w14:paraId="5FA39BF6" w14:textId="77777777" w:rsidR="00830E72" w:rsidRDefault="008344D8">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保证借款</w:t>
                    </w:r>
                  </w:p>
                </w:tc>
              </w:sdtContent>
            </w:sdt>
            <w:tc>
              <w:tcPr>
                <w:tcW w:w="1688" w:type="pct"/>
                <w:shd w:val="clear" w:color="auto" w:fill="auto"/>
              </w:tcPr>
              <w:p w14:paraId="22A30BFA" w14:textId="77777777" w:rsidR="00830E72" w:rsidRDefault="008344D8">
                <w:pPr>
                  <w:autoSpaceDE w:val="0"/>
                  <w:autoSpaceDN w:val="0"/>
                  <w:adjustRightInd w:val="0"/>
                  <w:snapToGrid w:val="0"/>
                  <w:spacing w:line="240" w:lineRule="atLeast"/>
                  <w:ind w:right="180"/>
                  <w:jc w:val="right"/>
                  <w:rPr>
                    <w:szCs w:val="21"/>
                  </w:rPr>
                </w:pPr>
                <w:r>
                  <w:rPr>
                    <w:szCs w:val="21"/>
                  </w:rPr>
                  <w:t>317,336,776.81</w:t>
                </w:r>
              </w:p>
            </w:tc>
            <w:tc>
              <w:tcPr>
                <w:tcW w:w="1698" w:type="pct"/>
                <w:shd w:val="clear" w:color="auto" w:fill="auto"/>
              </w:tcPr>
              <w:p w14:paraId="640F46F7" w14:textId="77777777" w:rsidR="00830E72" w:rsidRDefault="008344D8">
                <w:pPr>
                  <w:autoSpaceDE w:val="0"/>
                  <w:autoSpaceDN w:val="0"/>
                  <w:adjustRightInd w:val="0"/>
                  <w:snapToGrid w:val="0"/>
                  <w:spacing w:line="240" w:lineRule="atLeast"/>
                  <w:ind w:right="180"/>
                  <w:jc w:val="right"/>
                  <w:rPr>
                    <w:szCs w:val="21"/>
                  </w:rPr>
                </w:pPr>
                <w:r>
                  <w:rPr>
                    <w:szCs w:val="21"/>
                  </w:rPr>
                  <w:t>232,501,944.67</w:t>
                </w:r>
              </w:p>
            </w:tc>
          </w:tr>
          <w:tr w:rsidR="00830E72" w14:paraId="7D907F50" w14:textId="77777777">
            <w:trPr>
              <w:cantSplit/>
              <w:trHeight w:val="237"/>
            </w:trPr>
            <w:sdt>
              <w:sdtPr>
                <w:tag w:val="_PLD_ac3f684241c3446d8157cc100dc691d8"/>
                <w:id w:val="-354506615"/>
                <w:lock w:val="sdtLocked"/>
              </w:sdtPr>
              <w:sdtEndPr/>
              <w:sdtContent>
                <w:tc>
                  <w:tcPr>
                    <w:tcW w:w="1613" w:type="pct"/>
                    <w:shd w:val="clear" w:color="auto" w:fill="auto"/>
                  </w:tcPr>
                  <w:p w14:paraId="77D8E23F" w14:textId="77777777" w:rsidR="00830E72" w:rsidRDefault="008344D8">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信用借款</w:t>
                    </w:r>
                  </w:p>
                </w:tc>
              </w:sdtContent>
            </w:sdt>
            <w:tc>
              <w:tcPr>
                <w:tcW w:w="1688" w:type="pct"/>
                <w:shd w:val="clear" w:color="auto" w:fill="auto"/>
              </w:tcPr>
              <w:p w14:paraId="566C7A61" w14:textId="77777777" w:rsidR="00830E72" w:rsidRDefault="008344D8">
                <w:pPr>
                  <w:autoSpaceDE w:val="0"/>
                  <w:autoSpaceDN w:val="0"/>
                  <w:adjustRightInd w:val="0"/>
                  <w:snapToGrid w:val="0"/>
                  <w:spacing w:line="240" w:lineRule="atLeast"/>
                  <w:ind w:right="180"/>
                  <w:jc w:val="right"/>
                  <w:rPr>
                    <w:szCs w:val="21"/>
                  </w:rPr>
                </w:pPr>
                <w:r>
                  <w:rPr>
                    <w:szCs w:val="21"/>
                  </w:rPr>
                  <w:t>103,403,638.72</w:t>
                </w:r>
              </w:p>
            </w:tc>
            <w:tc>
              <w:tcPr>
                <w:tcW w:w="1698" w:type="pct"/>
                <w:shd w:val="clear" w:color="auto" w:fill="auto"/>
              </w:tcPr>
              <w:p w14:paraId="1A9FBFDF" w14:textId="77777777" w:rsidR="00830E72" w:rsidRDefault="00830E72">
                <w:pPr>
                  <w:autoSpaceDE w:val="0"/>
                  <w:autoSpaceDN w:val="0"/>
                  <w:adjustRightInd w:val="0"/>
                  <w:snapToGrid w:val="0"/>
                  <w:spacing w:line="240" w:lineRule="atLeast"/>
                  <w:ind w:right="180"/>
                  <w:jc w:val="right"/>
                  <w:rPr>
                    <w:szCs w:val="21"/>
                  </w:rPr>
                </w:pPr>
              </w:p>
            </w:tc>
          </w:tr>
          <w:tr w:rsidR="00830E72" w14:paraId="1B9554F1" w14:textId="77777777">
            <w:trPr>
              <w:cantSplit/>
            </w:trPr>
            <w:sdt>
              <w:sdtPr>
                <w:tag w:val="_PLD_d743f636779d41b799b60f4fd4a017df"/>
                <w:id w:val="-1931800608"/>
                <w:lock w:val="sdtLocked"/>
              </w:sdtPr>
              <w:sdtEndPr/>
              <w:sdtContent>
                <w:tc>
                  <w:tcPr>
                    <w:tcW w:w="1613" w:type="pct"/>
                    <w:vAlign w:val="center"/>
                  </w:tcPr>
                  <w:p w14:paraId="2B710DD6" w14:textId="77777777" w:rsidR="00830E72" w:rsidRDefault="008344D8">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Content>
            </w:sdt>
            <w:tc>
              <w:tcPr>
                <w:tcW w:w="1688" w:type="pct"/>
              </w:tcPr>
              <w:p w14:paraId="2B2C8244" w14:textId="77777777" w:rsidR="00830E72" w:rsidRDefault="008344D8">
                <w:pPr>
                  <w:autoSpaceDE w:val="0"/>
                  <w:autoSpaceDN w:val="0"/>
                  <w:adjustRightInd w:val="0"/>
                  <w:snapToGrid w:val="0"/>
                  <w:spacing w:line="240" w:lineRule="atLeast"/>
                  <w:ind w:right="180"/>
                  <w:jc w:val="right"/>
                  <w:rPr>
                    <w:szCs w:val="21"/>
                  </w:rPr>
                </w:pPr>
                <w:r>
                  <w:rPr>
                    <w:szCs w:val="21"/>
                  </w:rPr>
                  <w:t>461,590,415.53</w:t>
                </w:r>
              </w:p>
            </w:tc>
            <w:tc>
              <w:tcPr>
                <w:tcW w:w="1698" w:type="pct"/>
              </w:tcPr>
              <w:p w14:paraId="658E3508" w14:textId="77777777" w:rsidR="00830E72" w:rsidRDefault="008344D8">
                <w:pPr>
                  <w:autoSpaceDE w:val="0"/>
                  <w:autoSpaceDN w:val="0"/>
                  <w:adjustRightInd w:val="0"/>
                  <w:snapToGrid w:val="0"/>
                  <w:spacing w:line="240" w:lineRule="atLeast"/>
                  <w:ind w:right="180"/>
                  <w:jc w:val="right"/>
                  <w:rPr>
                    <w:szCs w:val="21"/>
                  </w:rPr>
                </w:pPr>
                <w:r>
                  <w:rPr>
                    <w:szCs w:val="21"/>
                  </w:rPr>
                  <w:t>274,501,944.67</w:t>
                </w:r>
              </w:p>
            </w:tc>
          </w:tr>
        </w:tbl>
        <w:p w14:paraId="4AE85DA5" w14:textId="77777777" w:rsidR="00830E72" w:rsidRDefault="00D44830">
          <w:pPr>
            <w:snapToGrid w:val="0"/>
            <w:spacing w:line="240" w:lineRule="atLeast"/>
            <w:rPr>
              <w:color w:val="000000" w:themeColor="text1"/>
              <w:szCs w:val="21"/>
            </w:rPr>
          </w:pPr>
        </w:p>
      </w:sdtContent>
    </w:sdt>
    <w:p w14:paraId="4F5D5057" w14:textId="77777777" w:rsidR="00830E72" w:rsidRDefault="00830E72">
      <w:pPr>
        <w:snapToGrid w:val="0"/>
        <w:spacing w:line="240" w:lineRule="atLeast"/>
        <w:ind w:rightChars="-73" w:right="-153"/>
        <w:rPr>
          <w:b/>
          <w:szCs w:val="21"/>
        </w:rPr>
      </w:pPr>
    </w:p>
    <w:sdt>
      <w:sdtPr>
        <w:rPr>
          <w:rFonts w:ascii="宋体" w:hAnsi="宋体" w:cs="宋体" w:hint="eastAsia"/>
          <w:b w:val="0"/>
          <w:bCs w:val="0"/>
          <w:kern w:val="0"/>
          <w:szCs w:val="21"/>
        </w:rPr>
        <w:alias w:val="模块:已到期未偿还的短期借款情况"/>
        <w:tag w:val="_GBC_ed2a6c31b7cf49cda098dbe4c44cf674"/>
        <w:id w:val="-687604813"/>
        <w:lock w:val="sdtLocked"/>
        <w:placeholder>
          <w:docPart w:val="GBC22222222222222222222222222222"/>
        </w:placeholder>
      </w:sdtPr>
      <w:sdtEndPr>
        <w:rPr>
          <w:rFonts w:cstheme="minorBidi" w:hint="default"/>
          <w:color w:val="000000" w:themeColor="text1"/>
          <w:kern w:val="2"/>
        </w:rPr>
      </w:sdtEndPr>
      <w:sdtContent>
        <w:p w14:paraId="49E00BCC" w14:textId="77777777" w:rsidR="00830E72" w:rsidRDefault="008344D8">
          <w:pPr>
            <w:pStyle w:val="Style100"/>
            <w:numPr>
              <w:ilvl w:val="0"/>
              <w:numId w:val="64"/>
            </w:numPr>
            <w:tabs>
              <w:tab w:val="left" w:pos="630"/>
            </w:tabs>
            <w:rPr>
              <w:rFonts w:ascii="宋体" w:hAnsi="宋体"/>
              <w:szCs w:val="21"/>
            </w:rPr>
          </w:pPr>
          <w:r>
            <w:rPr>
              <w:rFonts w:ascii="宋体" w:hAnsi="宋体" w:hint="eastAsia"/>
              <w:szCs w:val="21"/>
            </w:rPr>
            <w:t>已逾期未偿还的短期借款情况</w:t>
          </w:r>
        </w:p>
        <w:sdt>
          <w:sdtPr>
            <w:alias w:val="是否适用：已逾期未偿还的短期借款情况[双击切换]"/>
            <w:tag w:val="_GBC_57f74ff95a304f19a7c06d7996fc30c7"/>
            <w:id w:val="1049413557"/>
            <w:lock w:val="sdtContentLocked"/>
            <w:placeholder>
              <w:docPart w:val="GBC22222222222222222222222222222"/>
            </w:placeholder>
          </w:sdtPr>
          <w:sdtEndPr/>
          <w:sdtContent>
            <w:p w14:paraId="3331640E"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短期借款的说明"/>
        <w:tag w:val="_GBC_46c6d163213144f484acc37c597c42f6"/>
        <w:id w:val="-215510068"/>
        <w:lock w:val="sdtLocked"/>
        <w:placeholder>
          <w:docPart w:val="GBC22222222222222222222222222222"/>
        </w:placeholder>
      </w:sdtPr>
      <w:sdtEndPr/>
      <w:sdtContent>
        <w:p w14:paraId="08D849DA" w14:textId="77777777" w:rsidR="00830E72" w:rsidRDefault="008344D8">
          <w:pPr>
            <w:rPr>
              <w:szCs w:val="21"/>
            </w:rPr>
          </w:pPr>
          <w:r>
            <w:rPr>
              <w:rFonts w:hint="eastAsia"/>
              <w:szCs w:val="21"/>
            </w:rPr>
            <w:t>其他说明：</w:t>
          </w:r>
        </w:p>
        <w:sdt>
          <w:sdtPr>
            <w:rPr>
              <w:szCs w:val="21"/>
            </w:rPr>
            <w:alias w:val="是否适用：短期借款的说明[双击切换]"/>
            <w:tag w:val="_GBC_663e3ee6df014147bb9c7daa18ccb062"/>
            <w:id w:val="-94333573"/>
            <w:lock w:val="sdtContentLocked"/>
            <w:placeholder>
              <w:docPart w:val="GBC22222222222222222222222222222"/>
            </w:placeholder>
          </w:sdtPr>
          <w:sdtEndPr/>
          <w:sdtContent>
            <w:p w14:paraId="6C95DEB9"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C8E57B1" w14:textId="77777777" w:rsidR="00830E72" w:rsidRDefault="00830E72">
      <w:pPr>
        <w:rPr>
          <w:szCs w:val="21"/>
        </w:rPr>
      </w:pPr>
    </w:p>
    <w:bookmarkStart w:id="161" w:name="_Hlk10535388" w:displacedByCustomXml="next"/>
    <w:sdt>
      <w:sdtPr>
        <w:rPr>
          <w:rFonts w:ascii="宋体" w:hAnsi="宋体" w:cs="宋体" w:hint="eastAsia"/>
          <w:b w:val="0"/>
          <w:bCs w:val="0"/>
          <w:kern w:val="0"/>
          <w:szCs w:val="21"/>
        </w:rPr>
        <w:alias w:val="模块:交易性金融负债"/>
        <w:tag w:val="_SEC_354c17e0a096493bbae36dd9bb3f3774"/>
        <w:id w:val="-1151210512"/>
        <w:lock w:val="sdtLocked"/>
        <w:placeholder>
          <w:docPart w:val="GBC22222222222222222222222222222"/>
        </w:placeholder>
      </w:sdtPr>
      <w:sdtEndPr>
        <w:rPr>
          <w:rFonts w:hint="default"/>
        </w:rPr>
      </w:sdtEndPr>
      <w:sdtContent>
        <w:p w14:paraId="0BC6FE24"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交易性金融负债</w:t>
          </w:r>
        </w:p>
        <w:sdt>
          <w:sdtPr>
            <w:rPr>
              <w:szCs w:val="21"/>
            </w:rPr>
            <w:alias w:val="是否适用：交易性金融负债[双击切换]"/>
            <w:tag w:val="_GBC_ed513d792f1f4a5f8256d125428aafdf"/>
            <w:id w:val="-930972726"/>
            <w:lock w:val="sdtContentLocked"/>
            <w:placeholder>
              <w:docPart w:val="GBC22222222222222222222222222222"/>
            </w:placeholder>
          </w:sdtPr>
          <w:sdtEndPr/>
          <w:sdtContent>
            <w:p w14:paraId="6C106093" w14:textId="77777777" w:rsidR="00830E72" w:rsidRDefault="008344D8">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B55DBC4" w14:textId="77777777" w:rsidR="00830E72" w:rsidRDefault="00D44830">
          <w:pPr>
            <w:rPr>
              <w:szCs w:val="21"/>
            </w:rPr>
          </w:pPr>
        </w:p>
      </w:sdtContent>
    </w:sdt>
    <w:bookmarkEnd w:id="161" w:displacedByCustomXml="next"/>
    <w:sdt>
      <w:sdtPr>
        <w:rPr>
          <w:rFonts w:ascii="宋体" w:hAnsi="宋体" w:cs="宋体" w:hint="eastAsia"/>
          <w:b w:val="0"/>
          <w:bCs w:val="0"/>
          <w:kern w:val="0"/>
          <w:szCs w:val="21"/>
        </w:rPr>
        <w:alias w:val="模块:衍生金融负债"/>
        <w:tag w:val="_GBC_c6a901495ec44a7798e3a75ddb5e06bf"/>
        <w:id w:val="657427810"/>
        <w:lock w:val="sdtLocked"/>
        <w:placeholder>
          <w:docPart w:val="GBC22222222222222222222222222222"/>
        </w:placeholder>
      </w:sdtPr>
      <w:sdtEndPr/>
      <w:sdtContent>
        <w:p w14:paraId="37DCCB7D"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衍生</w:t>
          </w:r>
          <w:r>
            <w:rPr>
              <w:rFonts w:ascii="宋体" w:hAnsi="宋体" w:hint="eastAsia"/>
            </w:rPr>
            <w:t>金融</w:t>
          </w:r>
          <w:r>
            <w:rPr>
              <w:rFonts w:ascii="宋体" w:hAnsi="宋体" w:hint="eastAsia"/>
              <w:szCs w:val="21"/>
            </w:rPr>
            <w:t>负债</w:t>
          </w:r>
        </w:p>
        <w:sdt>
          <w:sdtPr>
            <w:rPr>
              <w:szCs w:val="21"/>
            </w:rPr>
            <w:alias w:val="是否适用：衍生金融负债[双击切换]"/>
            <w:tag w:val="_GBC_3a60c0d3d0534eba80b93475b0a6411f"/>
            <w:id w:val="739216757"/>
            <w:lock w:val="sdtContentLocked"/>
            <w:placeholder>
              <w:docPart w:val="GBC22222222222222222222222222222"/>
            </w:placeholder>
          </w:sdtPr>
          <w:sdtEndPr/>
          <w:sdtContent>
            <w:p w14:paraId="2C7759B8" w14:textId="77777777" w:rsidR="00830E72" w:rsidRDefault="008344D8">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9B9C37A" w14:textId="77777777" w:rsidR="00830E72" w:rsidRDefault="00D44830">
          <w:pPr>
            <w:rPr>
              <w:szCs w:val="21"/>
            </w:rPr>
          </w:pPr>
        </w:p>
      </w:sdtContent>
    </w:sdt>
    <w:p w14:paraId="668D2524" w14:textId="77777777" w:rsidR="00830E72" w:rsidRDefault="008344D8">
      <w:pPr>
        <w:pStyle w:val="Style99"/>
        <w:numPr>
          <w:ilvl w:val="0"/>
          <w:numId w:val="45"/>
        </w:numPr>
        <w:tabs>
          <w:tab w:val="left" w:pos="504"/>
        </w:tabs>
        <w:rPr>
          <w:rFonts w:ascii="宋体" w:hAnsi="宋体"/>
        </w:rPr>
      </w:pPr>
      <w:r>
        <w:rPr>
          <w:rFonts w:ascii="宋体" w:hAnsi="宋体" w:hint="eastAsia"/>
        </w:rPr>
        <w:t>应付票据</w:t>
      </w:r>
    </w:p>
    <w:sdt>
      <w:sdtPr>
        <w:alias w:val="是否适用：应付票据[双击切换]"/>
        <w:tag w:val="_GBC_57c67181b34944e782b23a48b1843e8f"/>
        <w:id w:val="-29574492"/>
        <w:lock w:val="sdtContentLocked"/>
        <w:placeholder>
          <w:docPart w:val="GBC22222222222222222222222222222"/>
        </w:placeholder>
      </w:sdtPr>
      <w:sdtEndPr/>
      <w:sdtContent>
        <w:p w14:paraId="4FD6BFCD"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模块:单位：元币种：人民币种类期末余额期初余额商业承兑汇票..."/>
        <w:tag w:val="_SEC_a4b116c3ef20487f88d23464626b8bb5"/>
        <w:id w:val="-797770490"/>
        <w:lock w:val="sdtLocked"/>
        <w:placeholder>
          <w:docPart w:val="GBC22222222222222222222222222222"/>
        </w:placeholder>
      </w:sdtPr>
      <w:sdtEndPr>
        <w:rPr>
          <w:szCs w:val="21"/>
        </w:rPr>
      </w:sdtEndPr>
      <w:sdtContent>
        <w:p w14:paraId="7C89009F" w14:textId="77777777" w:rsidR="00830E72" w:rsidRDefault="008344D8">
          <w:pPr>
            <w:jc w:val="right"/>
          </w:pPr>
          <w:r>
            <w:rPr>
              <w:rFonts w:hint="eastAsia"/>
            </w:rPr>
            <w:t>单位：</w:t>
          </w:r>
          <w:sdt>
            <w:sdtPr>
              <w:rPr>
                <w:rFonts w:hint="eastAsia"/>
              </w:rPr>
              <w:alias w:val="单位：财务附注：应付票据"/>
              <w:tag w:val="_GBC_db69c246a0d14735805df636930e34ba"/>
              <w:id w:val="-9513115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应付票据"/>
              <w:tag w:val="_GBC_f734b21fc72c43feb20eaf84762dfd7f"/>
              <w:id w:val="-18127058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2311"/>
            <w:gridCol w:w="3338"/>
            <w:gridCol w:w="3244"/>
          </w:tblGrid>
          <w:tr w:rsidR="00830E72" w14:paraId="0FFD379F" w14:textId="77777777">
            <w:trPr>
              <w:cantSplit/>
            </w:trPr>
            <w:sdt>
              <w:sdtPr>
                <w:tag w:val="_PLD_faa4f5cfe5ae4b0a9c786ca922191e7e"/>
                <w:id w:val="2108539664"/>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2EE9DC35" w14:textId="77777777" w:rsidR="00830E72" w:rsidRDefault="008344D8">
                    <w:pPr>
                      <w:autoSpaceDE w:val="0"/>
                      <w:autoSpaceDN w:val="0"/>
                      <w:adjustRightInd w:val="0"/>
                      <w:snapToGrid w:val="0"/>
                      <w:spacing w:line="240" w:lineRule="atLeast"/>
                      <w:jc w:val="center"/>
                      <w:rPr>
                        <w:szCs w:val="21"/>
                      </w:rPr>
                    </w:pPr>
                    <w:r>
                      <w:rPr>
                        <w:rFonts w:hint="eastAsia"/>
                        <w:szCs w:val="21"/>
                      </w:rPr>
                      <w:t>种类</w:t>
                    </w:r>
                  </w:p>
                </w:tc>
              </w:sdtContent>
            </w:sdt>
            <w:sdt>
              <w:sdtPr>
                <w:tag w:val="_PLD_b51f0f25994640289becfaca28eb1d5c"/>
                <w:id w:val="-1323658979"/>
                <w:lock w:val="sdtLocked"/>
              </w:sdtPr>
              <w:sdtEndPr/>
              <w:sdtContent>
                <w:tc>
                  <w:tcPr>
                    <w:tcW w:w="1877" w:type="pct"/>
                    <w:tcBorders>
                      <w:top w:val="single" w:sz="6" w:space="0" w:color="auto"/>
                      <w:left w:val="single" w:sz="6" w:space="0" w:color="auto"/>
                      <w:bottom w:val="single" w:sz="6" w:space="0" w:color="auto"/>
                      <w:right w:val="single" w:sz="6" w:space="0" w:color="auto"/>
                    </w:tcBorders>
                    <w:vAlign w:val="center"/>
                  </w:tcPr>
                  <w:p w14:paraId="5CB1AE40" w14:textId="77777777" w:rsidR="00830E72" w:rsidRDefault="008344D8">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996d96c1a15e479289fa9e0699e2822e"/>
                <w:id w:val="-1492552099"/>
                <w:lock w:val="sdtLocked"/>
              </w:sdtPr>
              <w:sdtEndPr/>
              <w:sdtContent>
                <w:tc>
                  <w:tcPr>
                    <w:tcW w:w="1824" w:type="pct"/>
                    <w:tcBorders>
                      <w:top w:val="single" w:sz="6" w:space="0" w:color="auto"/>
                      <w:left w:val="single" w:sz="6" w:space="0" w:color="auto"/>
                      <w:bottom w:val="single" w:sz="6" w:space="0" w:color="auto"/>
                      <w:right w:val="single" w:sz="6" w:space="0" w:color="auto"/>
                    </w:tcBorders>
                    <w:vAlign w:val="center"/>
                  </w:tcPr>
                  <w:p w14:paraId="2776B4A7" w14:textId="77777777" w:rsidR="00830E72" w:rsidRDefault="008344D8">
                    <w:pPr>
                      <w:autoSpaceDE w:val="0"/>
                      <w:autoSpaceDN w:val="0"/>
                      <w:adjustRightInd w:val="0"/>
                      <w:snapToGrid w:val="0"/>
                      <w:spacing w:line="240" w:lineRule="atLeast"/>
                      <w:jc w:val="center"/>
                      <w:rPr>
                        <w:szCs w:val="21"/>
                      </w:rPr>
                    </w:pPr>
                    <w:r>
                      <w:rPr>
                        <w:rFonts w:hint="eastAsia"/>
                        <w:szCs w:val="21"/>
                      </w:rPr>
                      <w:t>期初余额</w:t>
                    </w:r>
                  </w:p>
                </w:tc>
              </w:sdtContent>
            </w:sdt>
          </w:tr>
          <w:tr w:rsidR="00830E72" w14:paraId="21D8E5C0" w14:textId="77777777">
            <w:trPr>
              <w:cantSplit/>
            </w:trPr>
            <w:sdt>
              <w:sdtPr>
                <w:tag w:val="_PLD_612dd94d183548b6a311a7688699608c"/>
                <w:id w:val="-852098127"/>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004B9726" w14:textId="77777777" w:rsidR="00830E72" w:rsidRDefault="008344D8">
                    <w:pPr>
                      <w:autoSpaceDE w:val="0"/>
                      <w:autoSpaceDN w:val="0"/>
                      <w:adjustRightInd w:val="0"/>
                      <w:snapToGrid w:val="0"/>
                      <w:spacing w:line="240" w:lineRule="atLeast"/>
                      <w:rPr>
                        <w:szCs w:val="21"/>
                      </w:rPr>
                    </w:pPr>
                    <w:r>
                      <w:rPr>
                        <w:rFonts w:hint="eastAsia"/>
                        <w:szCs w:val="21"/>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6EF22BBF" w14:textId="77777777" w:rsidR="00830E72" w:rsidRDefault="008344D8">
                <w:pPr>
                  <w:ind w:right="13"/>
                  <w:jc w:val="right"/>
                  <w:rPr>
                    <w:szCs w:val="21"/>
                  </w:rPr>
                </w:pPr>
                <w:r>
                  <w:rPr>
                    <w:szCs w:val="21"/>
                  </w:rPr>
                  <w:t>10,822,537.48</w:t>
                </w: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5B853F43" w14:textId="77777777" w:rsidR="00830E72" w:rsidRDefault="008344D8">
                <w:pPr>
                  <w:jc w:val="right"/>
                  <w:rPr>
                    <w:szCs w:val="21"/>
                  </w:rPr>
                </w:pPr>
                <w:r>
                  <w:rPr>
                    <w:szCs w:val="21"/>
                  </w:rPr>
                  <w:t>14,232,660.25</w:t>
                </w:r>
              </w:p>
            </w:tc>
          </w:tr>
          <w:tr w:rsidR="00830E72" w14:paraId="5789ABCD" w14:textId="77777777">
            <w:trPr>
              <w:cantSplit/>
            </w:trPr>
            <w:sdt>
              <w:sdtPr>
                <w:tag w:val="_PLD_a78177bc2f9c4e819670fb289b9d6192"/>
                <w:id w:val="-1720112962"/>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18F2CC9F" w14:textId="77777777" w:rsidR="00830E72" w:rsidRDefault="008344D8">
                    <w:pPr>
                      <w:autoSpaceDE w:val="0"/>
                      <w:autoSpaceDN w:val="0"/>
                      <w:adjustRightInd w:val="0"/>
                      <w:snapToGrid w:val="0"/>
                      <w:spacing w:line="240" w:lineRule="atLeast"/>
                      <w:rPr>
                        <w:szCs w:val="21"/>
                      </w:rPr>
                    </w:pPr>
                    <w:r>
                      <w:rPr>
                        <w:rFonts w:hint="eastAsia"/>
                        <w:szCs w:val="21"/>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35A0A962" w14:textId="77777777" w:rsidR="00830E72" w:rsidRDefault="008344D8">
                <w:pPr>
                  <w:ind w:right="13"/>
                  <w:jc w:val="right"/>
                  <w:rPr>
                    <w:szCs w:val="21"/>
                  </w:rPr>
                </w:pPr>
                <w:r>
                  <w:rPr>
                    <w:szCs w:val="21"/>
                  </w:rPr>
                  <w:t>123,929,458.45</w:t>
                </w: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6F8EE23A" w14:textId="77777777" w:rsidR="00830E72" w:rsidRDefault="008344D8">
                <w:pPr>
                  <w:jc w:val="right"/>
                  <w:rPr>
                    <w:szCs w:val="21"/>
                  </w:rPr>
                </w:pPr>
                <w:r>
                  <w:rPr>
                    <w:szCs w:val="21"/>
                  </w:rPr>
                  <w:t>180,828,744.44</w:t>
                </w:r>
              </w:p>
            </w:tc>
          </w:tr>
          <w:tr w:rsidR="00830E72" w14:paraId="47C76612" w14:textId="77777777">
            <w:trPr>
              <w:cantSplit/>
            </w:trPr>
            <w:sdt>
              <w:sdtPr>
                <w:tag w:val="_PLD_91c7e1de96284cd2994cfcf7c0e798dc"/>
                <w:id w:val="-436754133"/>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5790C47E" w14:textId="77777777" w:rsidR="00830E72" w:rsidRDefault="008344D8">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Borders>
                  <w:top w:val="single" w:sz="6" w:space="0" w:color="auto"/>
                  <w:left w:val="single" w:sz="6" w:space="0" w:color="auto"/>
                  <w:bottom w:val="single" w:sz="6" w:space="0" w:color="auto"/>
                  <w:right w:val="single" w:sz="6" w:space="0" w:color="auto"/>
                </w:tcBorders>
              </w:tcPr>
              <w:p w14:paraId="67CEFAA0" w14:textId="77777777" w:rsidR="00830E72" w:rsidRDefault="008344D8">
                <w:pPr>
                  <w:jc w:val="right"/>
                  <w:rPr>
                    <w:szCs w:val="21"/>
                  </w:rPr>
                </w:pPr>
                <w:r>
                  <w:rPr>
                    <w:szCs w:val="21"/>
                  </w:rPr>
                  <w:t>134,751,995.93</w:t>
                </w:r>
              </w:p>
            </w:tc>
            <w:tc>
              <w:tcPr>
                <w:tcW w:w="1824" w:type="pct"/>
                <w:tcBorders>
                  <w:top w:val="single" w:sz="6" w:space="0" w:color="auto"/>
                  <w:left w:val="single" w:sz="6" w:space="0" w:color="auto"/>
                  <w:bottom w:val="single" w:sz="6" w:space="0" w:color="auto"/>
                  <w:right w:val="single" w:sz="6" w:space="0" w:color="auto"/>
                </w:tcBorders>
              </w:tcPr>
              <w:p w14:paraId="0A71B8B3" w14:textId="77777777" w:rsidR="00830E72" w:rsidRDefault="008344D8">
                <w:pPr>
                  <w:jc w:val="right"/>
                  <w:rPr>
                    <w:szCs w:val="21"/>
                  </w:rPr>
                </w:pPr>
                <w:r>
                  <w:rPr>
                    <w:szCs w:val="21"/>
                  </w:rPr>
                  <w:t>195,061,404.69</w:t>
                </w:r>
              </w:p>
            </w:tc>
          </w:tr>
        </w:tbl>
        <w:p w14:paraId="47A39F79" w14:textId="77777777" w:rsidR="00830E72" w:rsidRDefault="008344D8">
          <w:pPr>
            <w:snapToGrid w:val="0"/>
            <w:spacing w:line="240" w:lineRule="atLeast"/>
            <w:rPr>
              <w:szCs w:val="21"/>
            </w:rPr>
          </w:pPr>
          <w:r>
            <w:rPr>
              <w:rFonts w:hint="eastAsia"/>
              <w:szCs w:val="21"/>
            </w:rPr>
            <w:t>本期末已到期未支付的应付票据总额为</w:t>
          </w:r>
          <w:sdt>
            <w:sdtPr>
              <w:rPr>
                <w:rFonts w:hint="eastAsia"/>
                <w:szCs w:val="21"/>
              </w:rPr>
              <w:alias w:val="已到期未支付的应付票据总额"/>
              <w:tag w:val="_GBC_c9651441e218453780f22db83f133e6a"/>
              <w:id w:val="1279981763"/>
              <w:lock w:val="sdtLocked"/>
              <w:placeholder>
                <w:docPart w:val="GBC22222222222222222222222222222"/>
              </w:placeholder>
            </w:sdtPr>
            <w:sdtEndPr/>
            <w:sdtContent>
              <w:r>
                <w:rPr>
                  <w:rFonts w:hint="eastAsia"/>
                  <w:szCs w:val="21"/>
                </w:rPr>
                <w:t>0</w:t>
              </w:r>
            </w:sdtContent>
          </w:sdt>
          <w:r>
            <w:rPr>
              <w:rFonts w:hint="eastAsia"/>
              <w:szCs w:val="21"/>
            </w:rPr>
            <w:t xml:space="preserve"> 元。</w:t>
          </w:r>
        </w:p>
      </w:sdtContent>
    </w:sdt>
    <w:p w14:paraId="6B29C41D" w14:textId="77777777" w:rsidR="00830E72" w:rsidRDefault="00830E72">
      <w:pPr>
        <w:rPr>
          <w:szCs w:val="21"/>
        </w:rPr>
      </w:pPr>
    </w:p>
    <w:p w14:paraId="3C55809A" w14:textId="77777777" w:rsidR="00830E72" w:rsidRDefault="008344D8">
      <w:pPr>
        <w:pStyle w:val="Style99"/>
        <w:numPr>
          <w:ilvl w:val="0"/>
          <w:numId w:val="45"/>
        </w:numPr>
        <w:tabs>
          <w:tab w:val="left" w:pos="504"/>
        </w:tabs>
        <w:rPr>
          <w:rFonts w:ascii="宋体" w:hAnsi="宋体"/>
          <w:szCs w:val="21"/>
        </w:rPr>
      </w:pPr>
      <w:r>
        <w:rPr>
          <w:rFonts w:ascii="宋体" w:hAnsi="宋体"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GBC_0f1b98b90c3845e1a1ad65786460f84b"/>
        <w:id w:val="-1794056879"/>
        <w:lock w:val="sdtLocked"/>
        <w:placeholder>
          <w:docPart w:val="GBC22222222222222222222222222222"/>
        </w:placeholder>
      </w:sdtPr>
      <w:sdtEndPr>
        <w:rPr>
          <w:szCs w:val="24"/>
        </w:rPr>
      </w:sdtEndPr>
      <w:sdtContent>
        <w:p w14:paraId="3733555C" w14:textId="77777777" w:rsidR="00830E72" w:rsidRDefault="008344D8">
          <w:pPr>
            <w:pStyle w:val="Style100"/>
            <w:numPr>
              <w:ilvl w:val="0"/>
              <w:numId w:val="65"/>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8531771c226a4fb0b98e3cdaf7271c71"/>
            <w:id w:val="-2065473718"/>
            <w:lock w:val="sdtContentLocked"/>
            <w:placeholder>
              <w:docPart w:val="GBC22222222222222222222222222222"/>
            </w:placeholder>
          </w:sdtPr>
          <w:sdtEndPr/>
          <w:sdtContent>
            <w:p w14:paraId="475E73DA"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D8F4C56" w14:textId="77777777" w:rsidR="00830E72" w:rsidRDefault="008344D8">
          <w:pPr>
            <w:jc w:val="right"/>
            <w:rPr>
              <w:szCs w:val="21"/>
            </w:rPr>
          </w:pPr>
          <w:r>
            <w:rPr>
              <w:rFonts w:hint="eastAsia"/>
              <w:szCs w:val="21"/>
            </w:rPr>
            <w:t>单位：</w:t>
          </w:r>
          <w:sdt>
            <w:sdtPr>
              <w:rPr>
                <w:rFonts w:hint="eastAsia"/>
                <w:szCs w:val="21"/>
              </w:rPr>
              <w:alias w:val="单位：财务附注：应付账款情况"/>
              <w:tag w:val="_GBC_53c05e3ea1bb4f08bbe5cf204a0947b9"/>
              <w:id w:val="9387944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e10cb0a664ca4400817c8a2bcf9247fc"/>
              <w:id w:val="6730011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2867"/>
            <w:gridCol w:w="3341"/>
          </w:tblGrid>
          <w:tr w:rsidR="00830E72" w14:paraId="520C5E85" w14:textId="77777777">
            <w:sdt>
              <w:sdtPr>
                <w:tag w:val="_PLD_7dae27caeee34d74add24cd985083c75"/>
                <w:id w:val="618263725"/>
                <w:lock w:val="sdtLocked"/>
              </w:sdtPr>
              <w:sdtEndPr/>
              <w:sdtContent>
                <w:tc>
                  <w:tcPr>
                    <w:tcW w:w="1570" w:type="pct"/>
                    <w:shd w:val="clear" w:color="auto" w:fill="auto"/>
                  </w:tcPr>
                  <w:p w14:paraId="4D70466C" w14:textId="77777777" w:rsidR="00830E72" w:rsidRDefault="008344D8">
                    <w:pPr>
                      <w:jc w:val="center"/>
                      <w:rPr>
                        <w:szCs w:val="21"/>
                      </w:rPr>
                    </w:pPr>
                    <w:r>
                      <w:rPr>
                        <w:rFonts w:hint="eastAsia"/>
                        <w:szCs w:val="21"/>
                      </w:rPr>
                      <w:t>项目</w:t>
                    </w:r>
                  </w:p>
                </w:tc>
              </w:sdtContent>
            </w:sdt>
            <w:sdt>
              <w:sdtPr>
                <w:tag w:val="_PLD_136ba417561e421ea02da8004fdf8b33"/>
                <w:id w:val="937257454"/>
                <w:lock w:val="sdtLocked"/>
              </w:sdtPr>
              <w:sdtEndPr/>
              <w:sdtContent>
                <w:tc>
                  <w:tcPr>
                    <w:tcW w:w="1584" w:type="pct"/>
                    <w:shd w:val="clear" w:color="auto" w:fill="auto"/>
                  </w:tcPr>
                  <w:p w14:paraId="674A8C80" w14:textId="77777777" w:rsidR="00830E72" w:rsidRDefault="008344D8">
                    <w:pPr>
                      <w:jc w:val="center"/>
                      <w:rPr>
                        <w:szCs w:val="21"/>
                      </w:rPr>
                    </w:pPr>
                    <w:r>
                      <w:rPr>
                        <w:rFonts w:hint="eastAsia"/>
                        <w:szCs w:val="21"/>
                      </w:rPr>
                      <w:t>期末余额</w:t>
                    </w:r>
                  </w:p>
                </w:tc>
              </w:sdtContent>
            </w:sdt>
            <w:sdt>
              <w:sdtPr>
                <w:tag w:val="_PLD_bc4b311c1ee54bd48b7b2ba2ab79c364"/>
                <w:id w:val="1707132622"/>
                <w:lock w:val="sdtLocked"/>
              </w:sdtPr>
              <w:sdtEndPr/>
              <w:sdtContent>
                <w:tc>
                  <w:tcPr>
                    <w:tcW w:w="1846" w:type="pct"/>
                    <w:shd w:val="clear" w:color="auto" w:fill="auto"/>
                  </w:tcPr>
                  <w:p w14:paraId="31FD0097" w14:textId="77777777" w:rsidR="00830E72" w:rsidRDefault="008344D8">
                    <w:pPr>
                      <w:jc w:val="center"/>
                      <w:rPr>
                        <w:szCs w:val="21"/>
                      </w:rPr>
                    </w:pPr>
                    <w:r>
                      <w:rPr>
                        <w:rFonts w:hint="eastAsia"/>
                        <w:szCs w:val="21"/>
                      </w:rPr>
                      <w:t>期初余额</w:t>
                    </w:r>
                  </w:p>
                </w:tc>
              </w:sdtContent>
            </w:sdt>
          </w:tr>
          <w:sdt>
            <w:sdtPr>
              <w:rPr>
                <w:rFonts w:hint="eastAsia"/>
                <w:szCs w:val="21"/>
              </w:rPr>
              <w:alias w:val="应付账款情况明细"/>
              <w:tag w:val="_GBC_6a9eb940fbe64774bcca168078c6adaa"/>
              <w:id w:val="178861801"/>
              <w:lock w:val="sdtLocked"/>
            </w:sdtPr>
            <w:sdtEndPr/>
            <w:sdtContent>
              <w:tr w:rsidR="00830E72" w14:paraId="44E5C547" w14:textId="77777777">
                <w:tc>
                  <w:tcPr>
                    <w:tcW w:w="1570" w:type="pct"/>
                    <w:shd w:val="clear" w:color="auto" w:fill="auto"/>
                  </w:tcPr>
                  <w:p w14:paraId="3F9300F6" w14:textId="77777777" w:rsidR="00830E72" w:rsidRDefault="008344D8">
                    <w:pPr>
                      <w:rPr>
                        <w:szCs w:val="21"/>
                      </w:rPr>
                    </w:pPr>
                    <w:r>
                      <w:rPr>
                        <w:rFonts w:hint="eastAsia"/>
                        <w:szCs w:val="21"/>
                      </w:rPr>
                      <w:t>1年以内</w:t>
                    </w:r>
                  </w:p>
                </w:tc>
                <w:tc>
                  <w:tcPr>
                    <w:tcW w:w="1584" w:type="pct"/>
                    <w:shd w:val="clear" w:color="auto" w:fill="auto"/>
                  </w:tcPr>
                  <w:p w14:paraId="0598C5BF" w14:textId="77777777" w:rsidR="00830E72" w:rsidRDefault="008344D8">
                    <w:pPr>
                      <w:jc w:val="right"/>
                      <w:rPr>
                        <w:szCs w:val="21"/>
                      </w:rPr>
                    </w:pPr>
                    <w:r>
                      <w:rPr>
                        <w:szCs w:val="21"/>
                      </w:rPr>
                      <w:t>1,727,469,770.43</w:t>
                    </w:r>
                  </w:p>
                </w:tc>
                <w:tc>
                  <w:tcPr>
                    <w:tcW w:w="1846" w:type="pct"/>
                    <w:shd w:val="clear" w:color="auto" w:fill="auto"/>
                  </w:tcPr>
                  <w:p w14:paraId="50E6E4D6" w14:textId="77777777" w:rsidR="00830E72" w:rsidRDefault="008344D8">
                    <w:pPr>
                      <w:jc w:val="right"/>
                      <w:rPr>
                        <w:szCs w:val="21"/>
                      </w:rPr>
                    </w:pPr>
                    <w:r>
                      <w:rPr>
                        <w:szCs w:val="21"/>
                      </w:rPr>
                      <w:t>1,452,700,460.24</w:t>
                    </w:r>
                  </w:p>
                </w:tc>
              </w:tr>
            </w:sdtContent>
          </w:sdt>
          <w:sdt>
            <w:sdtPr>
              <w:rPr>
                <w:rFonts w:hint="eastAsia"/>
                <w:szCs w:val="21"/>
              </w:rPr>
              <w:alias w:val="应付账款情况明细"/>
              <w:tag w:val="_GBC_6a9eb940fbe64774bcca168078c6adaa"/>
              <w:id w:val="170003112"/>
              <w:lock w:val="sdtLocked"/>
            </w:sdtPr>
            <w:sdtEndPr/>
            <w:sdtContent>
              <w:tr w:rsidR="00830E72" w14:paraId="7CDA9A62" w14:textId="77777777">
                <w:tc>
                  <w:tcPr>
                    <w:tcW w:w="1570" w:type="pct"/>
                    <w:shd w:val="clear" w:color="auto" w:fill="auto"/>
                  </w:tcPr>
                  <w:p w14:paraId="3DCDFEF9" w14:textId="77777777" w:rsidR="00830E72" w:rsidRDefault="008344D8">
                    <w:pPr>
                      <w:rPr>
                        <w:szCs w:val="21"/>
                      </w:rPr>
                    </w:pPr>
                    <w:r>
                      <w:rPr>
                        <w:rFonts w:hint="eastAsia"/>
                        <w:szCs w:val="21"/>
                      </w:rPr>
                      <w:t>1至2年</w:t>
                    </w:r>
                  </w:p>
                </w:tc>
                <w:tc>
                  <w:tcPr>
                    <w:tcW w:w="1584" w:type="pct"/>
                    <w:shd w:val="clear" w:color="auto" w:fill="auto"/>
                  </w:tcPr>
                  <w:p w14:paraId="22BB698E" w14:textId="77777777" w:rsidR="00830E72" w:rsidRDefault="008344D8">
                    <w:pPr>
                      <w:jc w:val="right"/>
                      <w:rPr>
                        <w:szCs w:val="21"/>
                      </w:rPr>
                    </w:pPr>
                    <w:r>
                      <w:rPr>
                        <w:szCs w:val="21"/>
                      </w:rPr>
                      <w:t>330,065,936.06</w:t>
                    </w:r>
                  </w:p>
                </w:tc>
                <w:tc>
                  <w:tcPr>
                    <w:tcW w:w="1846" w:type="pct"/>
                    <w:shd w:val="clear" w:color="auto" w:fill="auto"/>
                  </w:tcPr>
                  <w:p w14:paraId="0ACD30ED" w14:textId="77777777" w:rsidR="00830E72" w:rsidRDefault="008344D8">
                    <w:pPr>
                      <w:jc w:val="right"/>
                      <w:rPr>
                        <w:szCs w:val="21"/>
                      </w:rPr>
                    </w:pPr>
                    <w:r>
                      <w:rPr>
                        <w:szCs w:val="21"/>
                      </w:rPr>
                      <w:t>502,283,764.54</w:t>
                    </w:r>
                  </w:p>
                </w:tc>
              </w:tr>
            </w:sdtContent>
          </w:sdt>
          <w:sdt>
            <w:sdtPr>
              <w:rPr>
                <w:rFonts w:hint="eastAsia"/>
                <w:szCs w:val="21"/>
              </w:rPr>
              <w:alias w:val="应付账款情况明细"/>
              <w:tag w:val="_GBC_6a9eb940fbe64774bcca168078c6adaa"/>
              <w:id w:val="1385289122"/>
              <w:lock w:val="sdtLocked"/>
            </w:sdtPr>
            <w:sdtEndPr/>
            <w:sdtContent>
              <w:tr w:rsidR="00830E72" w14:paraId="5A1C058C" w14:textId="77777777">
                <w:tc>
                  <w:tcPr>
                    <w:tcW w:w="1570" w:type="pct"/>
                    <w:shd w:val="clear" w:color="auto" w:fill="auto"/>
                  </w:tcPr>
                  <w:p w14:paraId="69619AD5" w14:textId="77777777" w:rsidR="00830E72" w:rsidRDefault="008344D8">
                    <w:pPr>
                      <w:rPr>
                        <w:szCs w:val="21"/>
                      </w:rPr>
                    </w:pPr>
                    <w:r>
                      <w:rPr>
                        <w:rFonts w:hint="eastAsia"/>
                        <w:szCs w:val="21"/>
                      </w:rPr>
                      <w:t>2至3年</w:t>
                    </w:r>
                  </w:p>
                </w:tc>
                <w:tc>
                  <w:tcPr>
                    <w:tcW w:w="1584" w:type="pct"/>
                    <w:shd w:val="clear" w:color="auto" w:fill="auto"/>
                  </w:tcPr>
                  <w:p w14:paraId="607DD9AF" w14:textId="77777777" w:rsidR="00830E72" w:rsidRDefault="008344D8">
                    <w:pPr>
                      <w:jc w:val="right"/>
                      <w:rPr>
                        <w:szCs w:val="21"/>
                      </w:rPr>
                    </w:pPr>
                    <w:r>
                      <w:rPr>
                        <w:szCs w:val="21"/>
                      </w:rPr>
                      <w:t>240,412,199.04</w:t>
                    </w:r>
                  </w:p>
                </w:tc>
                <w:tc>
                  <w:tcPr>
                    <w:tcW w:w="1846" w:type="pct"/>
                    <w:shd w:val="clear" w:color="auto" w:fill="auto"/>
                  </w:tcPr>
                  <w:p w14:paraId="5714F586" w14:textId="77777777" w:rsidR="00830E72" w:rsidRDefault="008344D8">
                    <w:pPr>
                      <w:jc w:val="right"/>
                      <w:rPr>
                        <w:szCs w:val="21"/>
                      </w:rPr>
                    </w:pPr>
                    <w:r>
                      <w:rPr>
                        <w:szCs w:val="21"/>
                      </w:rPr>
                      <w:t>320,359,980.68</w:t>
                    </w:r>
                  </w:p>
                </w:tc>
              </w:tr>
            </w:sdtContent>
          </w:sdt>
          <w:sdt>
            <w:sdtPr>
              <w:rPr>
                <w:rFonts w:hint="eastAsia"/>
                <w:szCs w:val="21"/>
              </w:rPr>
              <w:alias w:val="应付账款情况明细"/>
              <w:tag w:val="_GBC_6a9eb940fbe64774bcca168078c6adaa"/>
              <w:id w:val="-177195025"/>
              <w:lock w:val="sdtLocked"/>
            </w:sdtPr>
            <w:sdtEndPr/>
            <w:sdtContent>
              <w:tr w:rsidR="00830E72" w14:paraId="3658C167" w14:textId="77777777">
                <w:tc>
                  <w:tcPr>
                    <w:tcW w:w="1570" w:type="pct"/>
                    <w:shd w:val="clear" w:color="auto" w:fill="auto"/>
                  </w:tcPr>
                  <w:p w14:paraId="000DACF8" w14:textId="77777777" w:rsidR="00830E72" w:rsidRDefault="008344D8">
                    <w:pPr>
                      <w:rPr>
                        <w:szCs w:val="21"/>
                      </w:rPr>
                    </w:pPr>
                    <w:r>
                      <w:rPr>
                        <w:rFonts w:hint="eastAsia"/>
                        <w:szCs w:val="21"/>
                      </w:rPr>
                      <w:t>3年以上</w:t>
                    </w:r>
                  </w:p>
                </w:tc>
                <w:tc>
                  <w:tcPr>
                    <w:tcW w:w="1584" w:type="pct"/>
                    <w:shd w:val="clear" w:color="auto" w:fill="auto"/>
                  </w:tcPr>
                  <w:p w14:paraId="27B16928" w14:textId="77777777" w:rsidR="00830E72" w:rsidRDefault="008344D8">
                    <w:pPr>
                      <w:jc w:val="right"/>
                      <w:rPr>
                        <w:szCs w:val="21"/>
                      </w:rPr>
                    </w:pPr>
                    <w:r>
                      <w:rPr>
                        <w:szCs w:val="21"/>
                      </w:rPr>
                      <w:t>227,330,252.22</w:t>
                    </w:r>
                  </w:p>
                </w:tc>
                <w:tc>
                  <w:tcPr>
                    <w:tcW w:w="1846" w:type="pct"/>
                    <w:shd w:val="clear" w:color="auto" w:fill="auto"/>
                  </w:tcPr>
                  <w:p w14:paraId="5C1BECD0" w14:textId="77777777" w:rsidR="00830E72" w:rsidRDefault="008344D8">
                    <w:pPr>
                      <w:jc w:val="right"/>
                      <w:rPr>
                        <w:szCs w:val="21"/>
                      </w:rPr>
                    </w:pPr>
                    <w:r>
                      <w:rPr>
                        <w:szCs w:val="21"/>
                      </w:rPr>
                      <w:t>261,465,242.78</w:t>
                    </w:r>
                  </w:p>
                </w:tc>
              </w:tr>
            </w:sdtContent>
          </w:sdt>
          <w:tr w:rsidR="00830E72" w14:paraId="3CFAA4CA" w14:textId="77777777">
            <w:sdt>
              <w:sdtPr>
                <w:tag w:val="_PLD_b82b4cb1d4fa4c8fb75bed463f2da31b"/>
                <w:id w:val="1249319879"/>
                <w:lock w:val="sdtLocked"/>
              </w:sdtPr>
              <w:sdtEndPr/>
              <w:sdtContent>
                <w:tc>
                  <w:tcPr>
                    <w:tcW w:w="1570" w:type="pct"/>
                    <w:shd w:val="clear" w:color="auto" w:fill="auto"/>
                  </w:tcPr>
                  <w:p w14:paraId="06005E18" w14:textId="77777777" w:rsidR="00830E72" w:rsidRDefault="008344D8">
                    <w:pPr>
                      <w:jc w:val="center"/>
                      <w:rPr>
                        <w:color w:val="000000" w:themeColor="text1"/>
                        <w:szCs w:val="21"/>
                      </w:rPr>
                    </w:pPr>
                    <w:r>
                      <w:rPr>
                        <w:rFonts w:hint="eastAsia"/>
                        <w:color w:val="000000" w:themeColor="text1"/>
                        <w:szCs w:val="21"/>
                      </w:rPr>
                      <w:t>合计</w:t>
                    </w:r>
                  </w:p>
                </w:tc>
              </w:sdtContent>
            </w:sdt>
            <w:tc>
              <w:tcPr>
                <w:tcW w:w="1584" w:type="pct"/>
                <w:shd w:val="clear" w:color="auto" w:fill="auto"/>
              </w:tcPr>
              <w:p w14:paraId="572671BE" w14:textId="77777777" w:rsidR="00830E72" w:rsidRDefault="008344D8">
                <w:pPr>
                  <w:jc w:val="right"/>
                </w:pPr>
                <w:r>
                  <w:t>2,525,278,157.75</w:t>
                </w:r>
              </w:p>
            </w:tc>
            <w:tc>
              <w:tcPr>
                <w:tcW w:w="1846" w:type="pct"/>
                <w:shd w:val="clear" w:color="auto" w:fill="auto"/>
              </w:tcPr>
              <w:p w14:paraId="78E67A9C" w14:textId="77777777" w:rsidR="00830E72" w:rsidRDefault="008344D8">
                <w:pPr>
                  <w:jc w:val="right"/>
                </w:pPr>
                <w:r>
                  <w:t>2,536,809,448.24</w:t>
                </w:r>
              </w:p>
            </w:tc>
          </w:tr>
        </w:tbl>
        <w:p w14:paraId="7690A56F" w14:textId="77777777" w:rsidR="00830E72" w:rsidRDefault="00830E72"/>
        <w:p w14:paraId="26277B2D" w14:textId="77777777" w:rsidR="00830E72" w:rsidRDefault="00D44830"/>
      </w:sdtContent>
    </w:sdt>
    <w:p w14:paraId="53AD3DE5" w14:textId="77777777" w:rsidR="00830E72" w:rsidRDefault="00830E72">
      <w:pPr>
        <w:rPr>
          <w:b/>
          <w:szCs w:val="21"/>
        </w:rPr>
      </w:pPr>
    </w:p>
    <w:sdt>
      <w:sdtPr>
        <w:rPr>
          <w:rFonts w:ascii="宋体" w:hAnsi="宋体" w:cstheme="minorBidi" w:hint="eastAsia"/>
          <w:b w:val="0"/>
          <w:bCs w:val="0"/>
          <w:kern w:val="0"/>
          <w:szCs w:val="22"/>
        </w:rPr>
        <w:alias w:val="模块:重要的账龄超过1年的应付账款单位：元币种：人民币项目期末..."/>
        <w:tag w:val="_GBC_5fffbd1416eb408d959645d37f190cf5"/>
        <w:id w:val="1625430810"/>
        <w:lock w:val="sdtLocked"/>
        <w:placeholder>
          <w:docPart w:val="GBC22222222222222222222222222222"/>
        </w:placeholder>
      </w:sdtPr>
      <w:sdtEndPr>
        <w:rPr>
          <w:kern w:val="2"/>
        </w:rPr>
      </w:sdtEndPr>
      <w:sdtContent>
        <w:p w14:paraId="382C5E26" w14:textId="77777777" w:rsidR="00830E72" w:rsidRDefault="008344D8">
          <w:pPr>
            <w:pStyle w:val="Style100"/>
            <w:numPr>
              <w:ilvl w:val="0"/>
              <w:numId w:val="65"/>
            </w:numPr>
            <w:tabs>
              <w:tab w:val="left" w:pos="588"/>
            </w:tabs>
            <w:rPr>
              <w:rFonts w:ascii="宋体" w:hAnsi="宋体"/>
              <w:kern w:val="0"/>
            </w:rPr>
          </w:pPr>
          <w:r>
            <w:rPr>
              <w:rFonts w:ascii="宋体" w:hAnsi="宋体" w:hint="eastAsia"/>
              <w:kern w:val="0"/>
            </w:rPr>
            <w:t>账龄超过</w:t>
          </w:r>
          <w:r>
            <w:rPr>
              <w:rFonts w:ascii="宋体" w:hAnsi="宋体"/>
              <w:kern w:val="0"/>
            </w:rPr>
            <w:t>1年的重要应付账款</w:t>
          </w:r>
        </w:p>
        <w:sdt>
          <w:sdtPr>
            <w:alias w:val="是否适用：账龄超过1年的重要应付账款[双击切换]"/>
            <w:tag w:val="_GBC_02c6e7ed8ae149e8a09f5b80217deb89"/>
            <w:id w:val="-860663266"/>
            <w:lock w:val="sdtContentLocked"/>
            <w:placeholder>
              <w:docPart w:val="GBC22222222222222222222222222222"/>
            </w:placeholder>
          </w:sdtPr>
          <w:sdtEndPr/>
          <w:sdtContent>
            <w:p w14:paraId="1924971F"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BC64665" w14:textId="77777777" w:rsidR="00830E72" w:rsidRDefault="008344D8">
          <w:pPr>
            <w:jc w:val="right"/>
          </w:pPr>
          <w:r>
            <w:rPr>
              <w:rFonts w:hint="eastAsia"/>
            </w:rPr>
            <w:t>单位：</w:t>
          </w:r>
          <w:sdt>
            <w:sdtPr>
              <w:rPr>
                <w:rFonts w:hint="eastAsia"/>
              </w:rPr>
              <w:alias w:val="单位：财务附注：重要的账龄超过1年的应付账款"/>
              <w:tag w:val="_GBC_4828fbb06386477f83dfc0c7b55875e7"/>
              <w:id w:val="-8574317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重要的账龄超过1年的应付账款"/>
              <w:tag w:val="_GBC_56837a7d36f94902b75d8fe132af82b6"/>
              <w:id w:val="-10886969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2827"/>
            <w:gridCol w:w="2939"/>
          </w:tblGrid>
          <w:tr w:rsidR="00830E72" w14:paraId="1C8CD19F" w14:textId="77777777">
            <w:sdt>
              <w:sdtPr>
                <w:tag w:val="_PLD_31272c72b1bc41e2a47d7fbfb0839e2b"/>
                <w:id w:val="-530416066"/>
                <w:lock w:val="sdtLocked"/>
              </w:sdtPr>
              <w:sdtEndPr/>
              <w:sdtContent>
                <w:tc>
                  <w:tcPr>
                    <w:tcW w:w="1814" w:type="pct"/>
                    <w:shd w:val="clear" w:color="auto" w:fill="auto"/>
                    <w:vAlign w:val="center"/>
                  </w:tcPr>
                  <w:p w14:paraId="70876B21" w14:textId="77777777" w:rsidR="00830E72" w:rsidRDefault="008344D8">
                    <w:pPr>
                      <w:jc w:val="center"/>
                      <w:rPr>
                        <w:szCs w:val="21"/>
                      </w:rPr>
                    </w:pPr>
                    <w:r>
                      <w:rPr>
                        <w:rFonts w:hint="eastAsia"/>
                        <w:szCs w:val="21"/>
                      </w:rPr>
                      <w:t>项目</w:t>
                    </w:r>
                  </w:p>
                </w:tc>
              </w:sdtContent>
            </w:sdt>
            <w:sdt>
              <w:sdtPr>
                <w:tag w:val="_PLD_41b9d7d7e0c84d6c9f8c3a0a59e37c14"/>
                <w:id w:val="1569451777"/>
                <w:lock w:val="sdtLocked"/>
              </w:sdtPr>
              <w:sdtEndPr/>
              <w:sdtContent>
                <w:tc>
                  <w:tcPr>
                    <w:tcW w:w="1562" w:type="pct"/>
                    <w:shd w:val="clear" w:color="auto" w:fill="auto"/>
                    <w:vAlign w:val="center"/>
                  </w:tcPr>
                  <w:p w14:paraId="1625B40C" w14:textId="77777777" w:rsidR="00830E72" w:rsidRDefault="008344D8">
                    <w:pPr>
                      <w:jc w:val="center"/>
                      <w:rPr>
                        <w:szCs w:val="21"/>
                      </w:rPr>
                    </w:pPr>
                    <w:r>
                      <w:rPr>
                        <w:rFonts w:hint="eastAsia"/>
                        <w:szCs w:val="21"/>
                      </w:rPr>
                      <w:t>期末余额</w:t>
                    </w:r>
                  </w:p>
                </w:tc>
              </w:sdtContent>
            </w:sdt>
            <w:sdt>
              <w:sdtPr>
                <w:tag w:val="_PLD_49e0f43ba09d42649fabb4ecc22986ca"/>
                <w:id w:val="1078096561"/>
                <w:lock w:val="sdtLocked"/>
              </w:sdtPr>
              <w:sdtEndPr/>
              <w:sdtContent>
                <w:tc>
                  <w:tcPr>
                    <w:tcW w:w="1624" w:type="pct"/>
                    <w:shd w:val="clear" w:color="auto" w:fill="auto"/>
                    <w:vAlign w:val="center"/>
                  </w:tcPr>
                  <w:p w14:paraId="3F78E8EE" w14:textId="77777777" w:rsidR="00830E72" w:rsidRDefault="008344D8">
                    <w:pPr>
                      <w:jc w:val="center"/>
                      <w:rPr>
                        <w:szCs w:val="21"/>
                      </w:rPr>
                    </w:pPr>
                    <w:r>
                      <w:rPr>
                        <w:rFonts w:hint="eastAsia"/>
                        <w:szCs w:val="21"/>
                      </w:rPr>
                      <w:t>未偿还或结转的原因</w:t>
                    </w:r>
                  </w:p>
                </w:tc>
              </w:sdtContent>
            </w:sdt>
          </w:tr>
          <w:sdt>
            <w:sdtPr>
              <w:rPr>
                <w:szCs w:val="21"/>
              </w:rPr>
              <w:alias w:val="重要的账龄超过1年的应付账款明细"/>
              <w:tag w:val="_GBC_3c24b8450a0a47bd8859f88e883aa952"/>
              <w:id w:val="-841316124"/>
              <w:lock w:val="sdtLocked"/>
            </w:sdtPr>
            <w:sdtEndPr/>
            <w:sdtContent>
              <w:tr w:rsidR="00830E72" w14:paraId="5435CFC2" w14:textId="77777777">
                <w:tc>
                  <w:tcPr>
                    <w:tcW w:w="1814" w:type="pct"/>
                    <w:tcBorders>
                      <w:bottom w:val="single" w:sz="4" w:space="0" w:color="auto"/>
                    </w:tcBorders>
                    <w:shd w:val="clear" w:color="auto" w:fill="auto"/>
                  </w:tcPr>
                  <w:p w14:paraId="61528E76" w14:textId="77777777" w:rsidR="00830E72" w:rsidRDefault="008344D8">
                    <w:pPr>
                      <w:rPr>
                        <w:szCs w:val="21"/>
                      </w:rPr>
                    </w:pPr>
                    <w:r>
                      <w:rPr>
                        <w:rFonts w:hint="eastAsia"/>
                        <w:szCs w:val="21"/>
                      </w:rPr>
                      <w:t>安徽喜成建设工程有限公司</w:t>
                    </w:r>
                  </w:p>
                </w:tc>
                <w:tc>
                  <w:tcPr>
                    <w:tcW w:w="1562" w:type="pct"/>
                    <w:shd w:val="clear" w:color="auto" w:fill="auto"/>
                  </w:tcPr>
                  <w:p w14:paraId="37302C92" w14:textId="77777777" w:rsidR="00830E72" w:rsidRDefault="008344D8">
                    <w:pPr>
                      <w:jc w:val="right"/>
                      <w:rPr>
                        <w:szCs w:val="21"/>
                      </w:rPr>
                    </w:pPr>
                    <w:r>
                      <w:rPr>
                        <w:szCs w:val="21"/>
                      </w:rPr>
                      <w:t>91,443,562.97</w:t>
                    </w:r>
                  </w:p>
                </w:tc>
                <w:tc>
                  <w:tcPr>
                    <w:tcW w:w="1624" w:type="pct"/>
                    <w:shd w:val="clear" w:color="auto" w:fill="auto"/>
                  </w:tcPr>
                  <w:p w14:paraId="4E2A9F80" w14:textId="77777777" w:rsidR="00830E72" w:rsidRDefault="008344D8">
                    <w:pPr>
                      <w:jc w:val="center"/>
                      <w:rPr>
                        <w:szCs w:val="21"/>
                      </w:rPr>
                    </w:pPr>
                    <w:r>
                      <w:rPr>
                        <w:rFonts w:hint="eastAsia"/>
                        <w:szCs w:val="21"/>
                      </w:rPr>
                      <w:t>未到付款期</w:t>
                    </w:r>
                  </w:p>
                </w:tc>
              </w:tr>
            </w:sdtContent>
          </w:sdt>
          <w:sdt>
            <w:sdtPr>
              <w:rPr>
                <w:szCs w:val="21"/>
              </w:rPr>
              <w:alias w:val="重要的账龄超过1年的应付账款明细"/>
              <w:tag w:val="_GBC_3c24b8450a0a47bd8859f88e883aa952"/>
              <w:id w:val="-2050600902"/>
              <w:lock w:val="sdtLocked"/>
            </w:sdtPr>
            <w:sdtEndPr/>
            <w:sdtContent>
              <w:tr w:rsidR="00830E72" w14:paraId="4A80F492" w14:textId="77777777">
                <w:tc>
                  <w:tcPr>
                    <w:tcW w:w="1814" w:type="pct"/>
                    <w:tcBorders>
                      <w:bottom w:val="single" w:sz="4" w:space="0" w:color="auto"/>
                    </w:tcBorders>
                    <w:shd w:val="clear" w:color="auto" w:fill="auto"/>
                  </w:tcPr>
                  <w:p w14:paraId="2F7032A6" w14:textId="77777777" w:rsidR="00830E72" w:rsidRDefault="008344D8">
                    <w:pPr>
                      <w:rPr>
                        <w:szCs w:val="21"/>
                      </w:rPr>
                    </w:pPr>
                    <w:r>
                      <w:rPr>
                        <w:rFonts w:hint="eastAsia"/>
                        <w:szCs w:val="21"/>
                      </w:rPr>
                      <w:t>安徽航发建设工程有限公司</w:t>
                    </w:r>
                  </w:p>
                </w:tc>
                <w:tc>
                  <w:tcPr>
                    <w:tcW w:w="1562" w:type="pct"/>
                    <w:shd w:val="clear" w:color="auto" w:fill="auto"/>
                  </w:tcPr>
                  <w:p w14:paraId="7E53D6BA" w14:textId="77777777" w:rsidR="00830E72" w:rsidRDefault="008344D8">
                    <w:pPr>
                      <w:jc w:val="right"/>
                      <w:rPr>
                        <w:szCs w:val="21"/>
                      </w:rPr>
                    </w:pPr>
                    <w:r>
                      <w:rPr>
                        <w:szCs w:val="21"/>
                      </w:rPr>
                      <w:t>89,353,810.88</w:t>
                    </w:r>
                  </w:p>
                </w:tc>
                <w:tc>
                  <w:tcPr>
                    <w:tcW w:w="1624" w:type="pct"/>
                    <w:shd w:val="clear" w:color="auto" w:fill="auto"/>
                  </w:tcPr>
                  <w:p w14:paraId="7161A843" w14:textId="77777777" w:rsidR="00830E72" w:rsidRDefault="008344D8">
                    <w:pPr>
                      <w:jc w:val="center"/>
                      <w:rPr>
                        <w:szCs w:val="21"/>
                      </w:rPr>
                    </w:pPr>
                    <w:r>
                      <w:rPr>
                        <w:rFonts w:hint="eastAsia"/>
                        <w:szCs w:val="21"/>
                      </w:rPr>
                      <w:t>未到付款期</w:t>
                    </w:r>
                  </w:p>
                </w:tc>
              </w:tr>
            </w:sdtContent>
          </w:sdt>
          <w:sdt>
            <w:sdtPr>
              <w:rPr>
                <w:szCs w:val="21"/>
              </w:rPr>
              <w:alias w:val="重要的账龄超过1年的应付账款明细"/>
              <w:tag w:val="_GBC_3c24b8450a0a47bd8859f88e883aa952"/>
              <w:id w:val="-600265283"/>
              <w:lock w:val="sdtLocked"/>
            </w:sdtPr>
            <w:sdtEndPr/>
            <w:sdtContent>
              <w:tr w:rsidR="00830E72" w14:paraId="29062BC9" w14:textId="77777777">
                <w:tc>
                  <w:tcPr>
                    <w:tcW w:w="1814" w:type="pct"/>
                    <w:tcBorders>
                      <w:bottom w:val="single" w:sz="4" w:space="0" w:color="auto"/>
                    </w:tcBorders>
                    <w:shd w:val="clear" w:color="auto" w:fill="auto"/>
                  </w:tcPr>
                  <w:p w14:paraId="503363F9" w14:textId="77777777" w:rsidR="00830E72" w:rsidRDefault="008344D8">
                    <w:pPr>
                      <w:rPr>
                        <w:szCs w:val="21"/>
                      </w:rPr>
                    </w:pPr>
                    <w:r>
                      <w:rPr>
                        <w:rFonts w:hint="eastAsia"/>
                        <w:szCs w:val="21"/>
                      </w:rPr>
                      <w:t>安徽继远建设工程有限公司</w:t>
                    </w:r>
                  </w:p>
                </w:tc>
                <w:tc>
                  <w:tcPr>
                    <w:tcW w:w="1562" w:type="pct"/>
                    <w:shd w:val="clear" w:color="auto" w:fill="auto"/>
                  </w:tcPr>
                  <w:p w14:paraId="5E8F269D" w14:textId="77777777" w:rsidR="00830E72" w:rsidRDefault="008344D8">
                    <w:pPr>
                      <w:jc w:val="right"/>
                      <w:rPr>
                        <w:szCs w:val="21"/>
                      </w:rPr>
                    </w:pPr>
                    <w:r>
                      <w:rPr>
                        <w:szCs w:val="21"/>
                      </w:rPr>
                      <w:t>58,338,310.36</w:t>
                    </w:r>
                  </w:p>
                </w:tc>
                <w:tc>
                  <w:tcPr>
                    <w:tcW w:w="1624" w:type="pct"/>
                    <w:shd w:val="clear" w:color="auto" w:fill="auto"/>
                  </w:tcPr>
                  <w:p w14:paraId="34C9491A" w14:textId="77777777" w:rsidR="00830E72" w:rsidRDefault="008344D8">
                    <w:pPr>
                      <w:jc w:val="center"/>
                      <w:rPr>
                        <w:szCs w:val="21"/>
                      </w:rPr>
                    </w:pPr>
                    <w:r>
                      <w:rPr>
                        <w:rFonts w:hint="eastAsia"/>
                        <w:szCs w:val="21"/>
                      </w:rPr>
                      <w:t>未到付款期</w:t>
                    </w:r>
                  </w:p>
                </w:tc>
              </w:tr>
            </w:sdtContent>
          </w:sdt>
          <w:sdt>
            <w:sdtPr>
              <w:rPr>
                <w:szCs w:val="21"/>
              </w:rPr>
              <w:alias w:val="重要的账龄超过1年的应付账款明细"/>
              <w:tag w:val="_GBC_3c24b8450a0a47bd8859f88e883aa952"/>
              <w:id w:val="1868257634"/>
              <w:lock w:val="sdtLocked"/>
            </w:sdtPr>
            <w:sdtEndPr/>
            <w:sdtContent>
              <w:tr w:rsidR="00830E72" w14:paraId="321E1360" w14:textId="77777777">
                <w:tc>
                  <w:tcPr>
                    <w:tcW w:w="1814" w:type="pct"/>
                    <w:tcBorders>
                      <w:bottom w:val="single" w:sz="4" w:space="0" w:color="auto"/>
                    </w:tcBorders>
                    <w:shd w:val="clear" w:color="auto" w:fill="auto"/>
                  </w:tcPr>
                  <w:p w14:paraId="6CCA807B" w14:textId="77777777" w:rsidR="00830E72" w:rsidRDefault="008344D8">
                    <w:pPr>
                      <w:rPr>
                        <w:szCs w:val="21"/>
                      </w:rPr>
                    </w:pPr>
                    <w:r>
                      <w:rPr>
                        <w:rFonts w:hint="eastAsia"/>
                        <w:szCs w:val="21"/>
                      </w:rPr>
                      <w:t>安徽山谷建筑工程有限责任公司</w:t>
                    </w:r>
                  </w:p>
                </w:tc>
                <w:tc>
                  <w:tcPr>
                    <w:tcW w:w="1562" w:type="pct"/>
                    <w:shd w:val="clear" w:color="auto" w:fill="auto"/>
                  </w:tcPr>
                  <w:p w14:paraId="2FAFCCF2" w14:textId="77777777" w:rsidR="00830E72" w:rsidRDefault="008344D8">
                    <w:pPr>
                      <w:jc w:val="right"/>
                      <w:rPr>
                        <w:szCs w:val="21"/>
                      </w:rPr>
                    </w:pPr>
                    <w:r>
                      <w:rPr>
                        <w:szCs w:val="21"/>
                      </w:rPr>
                      <w:t>51,771,898.64</w:t>
                    </w:r>
                  </w:p>
                </w:tc>
                <w:tc>
                  <w:tcPr>
                    <w:tcW w:w="1624" w:type="pct"/>
                    <w:shd w:val="clear" w:color="auto" w:fill="auto"/>
                  </w:tcPr>
                  <w:p w14:paraId="065626E0" w14:textId="77777777" w:rsidR="00830E72" w:rsidRDefault="008344D8">
                    <w:pPr>
                      <w:jc w:val="center"/>
                      <w:rPr>
                        <w:szCs w:val="21"/>
                      </w:rPr>
                    </w:pPr>
                    <w:r>
                      <w:rPr>
                        <w:rFonts w:hint="eastAsia"/>
                        <w:szCs w:val="21"/>
                      </w:rPr>
                      <w:t>未到付款期</w:t>
                    </w:r>
                  </w:p>
                </w:tc>
              </w:tr>
            </w:sdtContent>
          </w:sdt>
          <w:sdt>
            <w:sdtPr>
              <w:rPr>
                <w:szCs w:val="21"/>
              </w:rPr>
              <w:alias w:val="重要的账龄超过1年的应付账款明细"/>
              <w:tag w:val="_GBC_3c24b8450a0a47bd8859f88e883aa952"/>
              <w:id w:val="-2064086711"/>
              <w:lock w:val="sdtLocked"/>
            </w:sdtPr>
            <w:sdtEndPr/>
            <w:sdtContent>
              <w:tr w:rsidR="00830E72" w14:paraId="0B1D4C43" w14:textId="77777777">
                <w:tc>
                  <w:tcPr>
                    <w:tcW w:w="1814" w:type="pct"/>
                    <w:tcBorders>
                      <w:bottom w:val="single" w:sz="4" w:space="0" w:color="auto"/>
                    </w:tcBorders>
                    <w:shd w:val="clear" w:color="auto" w:fill="auto"/>
                  </w:tcPr>
                  <w:p w14:paraId="46DA25F6" w14:textId="77777777" w:rsidR="00830E72" w:rsidRDefault="008344D8">
                    <w:pPr>
                      <w:rPr>
                        <w:szCs w:val="21"/>
                      </w:rPr>
                    </w:pPr>
                    <w:r>
                      <w:rPr>
                        <w:rFonts w:hint="eastAsia"/>
                        <w:szCs w:val="21"/>
                      </w:rPr>
                      <w:t>安徽省友民建设工程有限公司</w:t>
                    </w:r>
                  </w:p>
                </w:tc>
                <w:tc>
                  <w:tcPr>
                    <w:tcW w:w="1562" w:type="pct"/>
                    <w:shd w:val="clear" w:color="auto" w:fill="auto"/>
                  </w:tcPr>
                  <w:p w14:paraId="39EF3146" w14:textId="77777777" w:rsidR="00830E72" w:rsidRDefault="008344D8">
                    <w:pPr>
                      <w:jc w:val="right"/>
                      <w:rPr>
                        <w:szCs w:val="21"/>
                      </w:rPr>
                    </w:pPr>
                    <w:r>
                      <w:rPr>
                        <w:szCs w:val="21"/>
                      </w:rPr>
                      <w:t>37,251,740.28</w:t>
                    </w:r>
                  </w:p>
                </w:tc>
                <w:tc>
                  <w:tcPr>
                    <w:tcW w:w="1624" w:type="pct"/>
                    <w:shd w:val="clear" w:color="auto" w:fill="auto"/>
                  </w:tcPr>
                  <w:p w14:paraId="28421B47" w14:textId="77777777" w:rsidR="00830E72" w:rsidRDefault="008344D8">
                    <w:pPr>
                      <w:jc w:val="center"/>
                      <w:rPr>
                        <w:szCs w:val="21"/>
                      </w:rPr>
                    </w:pPr>
                    <w:r>
                      <w:rPr>
                        <w:rFonts w:hint="eastAsia"/>
                        <w:szCs w:val="21"/>
                      </w:rPr>
                      <w:t>未到付款期</w:t>
                    </w:r>
                  </w:p>
                </w:tc>
              </w:tr>
            </w:sdtContent>
          </w:sdt>
          <w:tr w:rsidR="00830E72" w14:paraId="7130D81C" w14:textId="77777777">
            <w:sdt>
              <w:sdtPr>
                <w:tag w:val="_PLD_eca4761bb44d46c18cd4488e72a6e130"/>
                <w:id w:val="1469235367"/>
                <w:lock w:val="sdtLocked"/>
              </w:sdtPr>
              <w:sdtEndPr/>
              <w:sdtContent>
                <w:tc>
                  <w:tcPr>
                    <w:tcW w:w="1814" w:type="pct"/>
                    <w:shd w:val="clear" w:color="auto" w:fill="auto"/>
                    <w:vAlign w:val="center"/>
                  </w:tcPr>
                  <w:p w14:paraId="7E03552B" w14:textId="77777777" w:rsidR="00830E72" w:rsidRDefault="008344D8">
                    <w:pPr>
                      <w:jc w:val="center"/>
                      <w:rPr>
                        <w:szCs w:val="21"/>
                      </w:rPr>
                    </w:pPr>
                    <w:r>
                      <w:rPr>
                        <w:rFonts w:hint="eastAsia"/>
                        <w:szCs w:val="21"/>
                      </w:rPr>
                      <w:t>合计</w:t>
                    </w:r>
                  </w:p>
                </w:tc>
              </w:sdtContent>
            </w:sdt>
            <w:tc>
              <w:tcPr>
                <w:tcW w:w="1562" w:type="pct"/>
                <w:shd w:val="clear" w:color="auto" w:fill="auto"/>
              </w:tcPr>
              <w:p w14:paraId="60E7409D" w14:textId="77777777" w:rsidR="00830E72" w:rsidRDefault="008344D8">
                <w:pPr>
                  <w:jc w:val="right"/>
                  <w:rPr>
                    <w:szCs w:val="21"/>
                  </w:rPr>
                </w:pPr>
                <w:r>
                  <w:rPr>
                    <w:szCs w:val="21"/>
                  </w:rPr>
                  <w:t>328,159,323.13</w:t>
                </w:r>
              </w:p>
            </w:tc>
            <w:tc>
              <w:tcPr>
                <w:tcW w:w="1624" w:type="pct"/>
                <w:shd w:val="clear" w:color="auto" w:fill="auto"/>
              </w:tcPr>
              <w:p w14:paraId="22A6B9C1" w14:textId="77777777" w:rsidR="00830E72" w:rsidRDefault="008344D8">
                <w:pPr>
                  <w:jc w:val="center"/>
                  <w:rPr>
                    <w:szCs w:val="21"/>
                  </w:rPr>
                </w:pPr>
                <w:r>
                  <w:rPr>
                    <w:rFonts w:hint="eastAsia"/>
                    <w:szCs w:val="21"/>
                  </w:rPr>
                  <w:t>/</w:t>
                </w:r>
              </w:p>
            </w:tc>
          </w:tr>
        </w:tbl>
        <w:p w14:paraId="79DF9072" w14:textId="77777777" w:rsidR="00830E72" w:rsidRDefault="00D44830"/>
      </w:sdtContent>
    </w:sdt>
    <w:sdt>
      <w:sdtPr>
        <w:rPr>
          <w:rFonts w:hint="eastAsia"/>
          <w:b/>
          <w:bCs/>
        </w:rPr>
        <w:alias w:val="模块:应付账款的其他说明"/>
        <w:tag w:val="_GBC_aecd44efc3ea456b9149dd662d0a5085"/>
        <w:id w:val="1471247709"/>
        <w:lock w:val="sdtLocked"/>
        <w:placeholder>
          <w:docPart w:val="GBC22222222222222222222222222222"/>
        </w:placeholder>
      </w:sdtPr>
      <w:sdtEndPr>
        <w:rPr>
          <w:rFonts w:cstheme="minorBidi" w:hint="default"/>
          <w:b w:val="0"/>
          <w:bCs w:val="0"/>
          <w:kern w:val="2"/>
          <w:szCs w:val="21"/>
        </w:rPr>
      </w:sdtEndPr>
      <w:sdtContent>
        <w:p w14:paraId="10B5635F" w14:textId="77777777" w:rsidR="00830E72" w:rsidRDefault="008344D8">
          <w:pPr>
            <w:rPr>
              <w:szCs w:val="21"/>
            </w:rPr>
          </w:pPr>
          <w:r>
            <w:rPr>
              <w:rFonts w:hint="eastAsia"/>
            </w:rPr>
            <w:t>其他</w:t>
          </w:r>
          <w:r>
            <w:rPr>
              <w:rFonts w:hint="eastAsia"/>
              <w:szCs w:val="21"/>
            </w:rPr>
            <w:t>说明：</w:t>
          </w:r>
        </w:p>
        <w:sdt>
          <w:sdtPr>
            <w:rPr>
              <w:szCs w:val="21"/>
            </w:rPr>
            <w:alias w:val="是否适用：应付账款的其他说明[双击切换]"/>
            <w:tag w:val="_GBC_9a797e83ea1747e9aca4221e6cdfe89f"/>
            <w:id w:val="2049561713"/>
            <w:lock w:val="sdtContentLocked"/>
            <w:placeholder>
              <w:docPart w:val="GBC22222222222222222222222222222"/>
            </w:placeholder>
          </w:sdtPr>
          <w:sdtEndPr/>
          <w:sdtContent>
            <w:p w14:paraId="19B1F407"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AEB7314" w14:textId="77777777" w:rsidR="00830E72" w:rsidRDefault="00830E72">
      <w:pPr>
        <w:snapToGrid w:val="0"/>
        <w:spacing w:line="240" w:lineRule="atLeast"/>
        <w:rPr>
          <w:szCs w:val="21"/>
        </w:rPr>
      </w:pPr>
    </w:p>
    <w:p w14:paraId="15AAAB7F"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GBC_d7dac18f0444439d83469555857c3195"/>
        <w:id w:val="146712407"/>
        <w:lock w:val="sdtLocked"/>
        <w:placeholder>
          <w:docPart w:val="GBC22222222222222222222222222222"/>
        </w:placeholder>
      </w:sdtPr>
      <w:sdtEndPr>
        <w:rPr>
          <w:rFonts w:cstheme="minorBidi" w:hint="default"/>
          <w:color w:val="000000" w:themeColor="text1"/>
          <w:kern w:val="2"/>
        </w:rPr>
      </w:sdtEndPr>
      <w:sdtContent>
        <w:p w14:paraId="4F81E9D3" w14:textId="77777777" w:rsidR="00830E72" w:rsidRDefault="008344D8">
          <w:pPr>
            <w:pStyle w:val="Style100"/>
            <w:numPr>
              <w:ilvl w:val="0"/>
              <w:numId w:val="66"/>
            </w:numPr>
            <w:rPr>
              <w:rFonts w:ascii="宋体" w:hAnsi="宋体"/>
              <w:szCs w:val="21"/>
            </w:rPr>
          </w:pPr>
          <w:r>
            <w:rPr>
              <w:rFonts w:ascii="宋体" w:hAnsi="宋体" w:hint="eastAsia"/>
              <w:szCs w:val="21"/>
            </w:rPr>
            <w:t>预收账款项列示</w:t>
          </w:r>
        </w:p>
        <w:p w14:paraId="45F41074" w14:textId="77777777" w:rsidR="00830E72" w:rsidRDefault="00D44830">
          <w:pPr>
            <w:rPr>
              <w:szCs w:val="21"/>
            </w:rPr>
          </w:pPr>
          <w:sdt>
            <w:sdtPr>
              <w:alias w:val="是否适用：预收账款项列示[双击切换]"/>
              <w:tag w:val="_GBC_cf9ab7f5f12c4f788a9bbb6e3ef9c9de"/>
              <w:id w:val="-1807919466"/>
              <w:lock w:val="sdtContentLocked"/>
              <w:placeholder>
                <w:docPart w:val="GBC22222222222222222222222222222"/>
              </w:placeholder>
            </w:sdtPr>
            <w:sdtEndPr/>
            <w:sdtContent>
              <w:r w:rsidR="008344D8">
                <w:fldChar w:fldCharType="begin"/>
              </w:r>
              <w:r w:rsidR="008344D8">
                <w:instrText xml:space="preserve"> MACROBUTTON  SnrToggleCheckbox □适用 </w:instrText>
              </w:r>
              <w:r w:rsidR="008344D8">
                <w:fldChar w:fldCharType="end"/>
              </w:r>
              <w:r w:rsidR="008344D8">
                <w:fldChar w:fldCharType="begin"/>
              </w:r>
              <w:r w:rsidR="008344D8">
                <w:instrText xml:space="preserve"> MACROBUTTON  SnrToggleCheckbox √不适用 </w:instrText>
              </w:r>
              <w:r w:rsidR="008344D8">
                <w:fldChar w:fldCharType="end"/>
              </w:r>
            </w:sdtContent>
          </w:sdt>
        </w:p>
      </w:sdtContent>
    </w:sdt>
    <w:sdt>
      <w:sdtPr>
        <w:rPr>
          <w:rFonts w:ascii="宋体" w:hAnsi="宋体" w:cstheme="minorBidi" w:hint="eastAsia"/>
          <w:b w:val="0"/>
          <w:bCs w:val="0"/>
          <w:kern w:val="0"/>
          <w:szCs w:val="21"/>
        </w:rPr>
        <w:alias w:val="模块:账龄超过1年的重要预收款项"/>
        <w:tag w:val="_GBC_59300802f7ac43e3ab1ce4a570fb0267"/>
        <w:id w:val="1320387745"/>
        <w:lock w:val="sdtLocked"/>
        <w:placeholder>
          <w:docPart w:val="GBC22222222222222222222222222222"/>
        </w:placeholder>
      </w:sdtPr>
      <w:sdtEndPr/>
      <w:sdtContent>
        <w:p w14:paraId="3F2812F3" w14:textId="77777777" w:rsidR="00830E72" w:rsidRDefault="008344D8">
          <w:pPr>
            <w:pStyle w:val="Style100"/>
            <w:numPr>
              <w:ilvl w:val="0"/>
              <w:numId w:val="66"/>
            </w:numPr>
            <w:rPr>
              <w:rFonts w:ascii="宋体" w:hAnsi="宋体"/>
              <w:kern w:val="0"/>
            </w:rPr>
          </w:pPr>
          <w:r>
            <w:rPr>
              <w:rFonts w:ascii="宋体" w:hAnsi="宋体" w:hint="eastAsia"/>
              <w:kern w:val="0"/>
            </w:rPr>
            <w:t>账龄超过</w:t>
          </w:r>
          <w:r>
            <w:rPr>
              <w:rFonts w:ascii="宋体" w:hAnsi="宋体"/>
              <w:kern w:val="0"/>
            </w:rPr>
            <w:t>1年的重要预收款项</w:t>
          </w:r>
        </w:p>
        <w:sdt>
          <w:sdtPr>
            <w:alias w:val="是否适用：账龄超过1年的重要预收款项[双击切换]"/>
            <w:tag w:val="_GBC_ae7ea5bab4b04b2cb170af5020f86302"/>
            <w:id w:val="1497684458"/>
            <w:lock w:val="sdtContentLocked"/>
            <w:placeholder>
              <w:docPart w:val="GBC22222222222222222222222222222"/>
            </w:placeholder>
          </w:sdtPr>
          <w:sdtEndPr/>
          <w:sdtContent>
            <w:p w14:paraId="7F6BC1D3" w14:textId="77777777" w:rsidR="00830E72" w:rsidRDefault="008344D8">
              <w:pPr>
                <w:rPr>
                  <w:rFonts w:cstheme="minorBidi"/>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账龄超过1年的大额预收款项情况的说明"/>
        <w:tag w:val="_GBC_3b693e8055374a80821823cdad74f225"/>
        <w:id w:val="-361443920"/>
        <w:lock w:val="sdtLocked"/>
        <w:placeholder>
          <w:docPart w:val="GBC22222222222222222222222222222"/>
        </w:placeholder>
      </w:sdtPr>
      <w:sdtEndPr>
        <w:rPr>
          <w:rFonts w:cstheme="minorBidi" w:hint="default"/>
          <w:b w:val="0"/>
          <w:bCs w:val="0"/>
          <w:color w:val="000000" w:themeColor="text1"/>
          <w:kern w:val="2"/>
          <w:szCs w:val="21"/>
        </w:rPr>
      </w:sdtEndPr>
      <w:sdtContent>
        <w:p w14:paraId="63F7BBC7" w14:textId="77777777" w:rsidR="00830E72" w:rsidRDefault="008344D8">
          <w:r>
            <w:rPr>
              <w:rFonts w:hint="eastAsia"/>
            </w:rPr>
            <w:t>其他说明：</w:t>
          </w:r>
        </w:p>
        <w:sdt>
          <w:sdtPr>
            <w:alias w:val="是否适用：预收账款的其他说明[双击切换]"/>
            <w:tag w:val="_GBC_f473b6b28a104ffc812e6da4cf5177e5"/>
            <w:id w:val="-641810867"/>
            <w:lock w:val="sdtContentLocked"/>
            <w:placeholder>
              <w:docPart w:val="GBC22222222222222222222222222222"/>
            </w:placeholder>
          </w:sdtPr>
          <w:sdtEndPr/>
          <w:sdtContent>
            <w:p w14:paraId="31EBB283"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A2C10AD" w14:textId="77777777" w:rsidR="00830E72" w:rsidRDefault="00830E72">
      <w:pPr>
        <w:rPr>
          <w:szCs w:val="21"/>
        </w:rPr>
      </w:pPr>
    </w:p>
    <w:bookmarkStart w:id="162" w:name="_Hlk10535609" w:displacedByCustomXml="next"/>
    <w:sdt>
      <w:sdtPr>
        <w:rPr>
          <w:rFonts w:ascii="宋体" w:hAnsi="宋体" w:cs="宋体" w:hint="eastAsia"/>
          <w:b w:val="0"/>
          <w:bCs w:val="0"/>
          <w:kern w:val="0"/>
          <w:szCs w:val="21"/>
        </w:rPr>
        <w:alias w:val="模块:合同负债"/>
        <w:tag w:val="_SEC_c98a59ac0d184ea5b3b590c23bf7ff8d"/>
        <w:id w:val="-1151050870"/>
        <w:lock w:val="sdtLocked"/>
        <w:placeholder>
          <w:docPart w:val="GBC22222222222222222222222222222"/>
        </w:placeholder>
      </w:sdtPr>
      <w:sdtEndPr>
        <w:rPr>
          <w:rFonts w:hint="default"/>
        </w:rPr>
      </w:sdtEndPr>
      <w:sdtContent>
        <w:p w14:paraId="47888275"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合同负债</w:t>
          </w:r>
        </w:p>
        <w:p w14:paraId="5B019287" w14:textId="77777777" w:rsidR="00830E72" w:rsidRDefault="008344D8">
          <w:pPr>
            <w:pStyle w:val="Style100"/>
            <w:numPr>
              <w:ilvl w:val="0"/>
              <w:numId w:val="67"/>
            </w:numPr>
            <w:rPr>
              <w:rFonts w:ascii="宋体" w:hAnsi="宋体"/>
            </w:rPr>
          </w:pPr>
          <w:r>
            <w:rPr>
              <w:rFonts w:ascii="宋体" w:hAnsi="宋体" w:hint="eastAsia"/>
            </w:rPr>
            <w:t>合同负债情况</w:t>
          </w:r>
        </w:p>
        <w:sdt>
          <w:sdtPr>
            <w:alias w:val="是否适用：合同负债情况[双击切换]"/>
            <w:tag w:val="_GBC_2b6238a8ea00438eab947f83a5f6451d"/>
            <w:id w:val="892160554"/>
            <w:lock w:val="sdtContentLocked"/>
            <w:placeholder>
              <w:docPart w:val="GBC22222222222222222222222222222"/>
            </w:placeholder>
          </w:sdtPr>
          <w:sdtEndPr/>
          <w:sdtContent>
            <w:p w14:paraId="665F1E95"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A25164A" w14:textId="77777777" w:rsidR="00830E72" w:rsidRDefault="008344D8">
          <w:pPr>
            <w:ind w:left="360"/>
            <w:jc w:val="right"/>
          </w:pPr>
          <w:r>
            <w:rPr>
              <w:rFonts w:hint="eastAsia"/>
            </w:rPr>
            <w:t>单位：</w:t>
          </w:r>
          <w:sdt>
            <w:sdtPr>
              <w:rPr>
                <w:rFonts w:hint="eastAsia"/>
              </w:rPr>
              <w:alias w:val="单位：合同负债情况"/>
              <w:tag w:val="_GBC_0024c0ddc3514b009e8166b63dc10ae9"/>
              <w:id w:val="-3780090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合同负债情况"/>
              <w:tag w:val="_GBC_154d9411b9764a4f8e1412d0a22c8375"/>
              <w:id w:val="-1662495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1"/>
            <w:gridCol w:w="2347"/>
            <w:gridCol w:w="3071"/>
          </w:tblGrid>
          <w:tr w:rsidR="00830E72" w14:paraId="3C1C789B" w14:textId="77777777">
            <w:sdt>
              <w:sdtPr>
                <w:tag w:val="_PLD_c5e783ac966e416184ff57e436f98be2"/>
                <w:id w:val="78561500"/>
                <w:lock w:val="sdtLocked"/>
              </w:sdtPr>
              <w:sdtEndPr/>
              <w:sdtContent>
                <w:tc>
                  <w:tcPr>
                    <w:tcW w:w="2006" w:type="pct"/>
                    <w:shd w:val="clear" w:color="auto" w:fill="auto"/>
                  </w:tcPr>
                  <w:p w14:paraId="2BD4FEC2" w14:textId="77777777" w:rsidR="00830E72" w:rsidRDefault="008344D8">
                    <w:pPr>
                      <w:jc w:val="center"/>
                      <w:rPr>
                        <w:szCs w:val="21"/>
                      </w:rPr>
                    </w:pPr>
                    <w:r>
                      <w:rPr>
                        <w:rFonts w:hint="eastAsia"/>
                        <w:szCs w:val="21"/>
                      </w:rPr>
                      <w:t>项目</w:t>
                    </w:r>
                  </w:p>
                </w:tc>
              </w:sdtContent>
            </w:sdt>
            <w:sdt>
              <w:sdtPr>
                <w:tag w:val="_PLD_a4f8a9567271447e9f7bc01f59c6eed6"/>
                <w:id w:val="-262542594"/>
                <w:lock w:val="sdtLocked"/>
              </w:sdtPr>
              <w:sdtEndPr/>
              <w:sdtContent>
                <w:tc>
                  <w:tcPr>
                    <w:tcW w:w="1297" w:type="pct"/>
                    <w:shd w:val="clear" w:color="auto" w:fill="auto"/>
                    <w:vAlign w:val="center"/>
                  </w:tcPr>
                  <w:p w14:paraId="253E2535" w14:textId="77777777" w:rsidR="00830E72" w:rsidRDefault="008344D8">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b8f751ec83834a96b0e87c862d2ae80b"/>
                <w:id w:val="-349649590"/>
                <w:lock w:val="sdtLocked"/>
              </w:sdtPr>
              <w:sdtEndPr/>
              <w:sdtContent>
                <w:tc>
                  <w:tcPr>
                    <w:tcW w:w="1698" w:type="pct"/>
                    <w:shd w:val="clear" w:color="auto" w:fill="auto"/>
                    <w:vAlign w:val="center"/>
                  </w:tcPr>
                  <w:p w14:paraId="5C2615BA" w14:textId="77777777" w:rsidR="00830E72" w:rsidRDefault="008344D8">
                    <w:pPr>
                      <w:autoSpaceDE w:val="0"/>
                      <w:autoSpaceDN w:val="0"/>
                      <w:adjustRightInd w:val="0"/>
                      <w:snapToGrid w:val="0"/>
                      <w:spacing w:line="240" w:lineRule="atLeast"/>
                      <w:jc w:val="center"/>
                      <w:rPr>
                        <w:szCs w:val="21"/>
                      </w:rPr>
                    </w:pPr>
                    <w:r>
                      <w:rPr>
                        <w:rFonts w:hint="eastAsia"/>
                        <w:szCs w:val="21"/>
                      </w:rPr>
                      <w:t>期初余额</w:t>
                    </w:r>
                  </w:p>
                </w:tc>
              </w:sdtContent>
            </w:sdt>
          </w:tr>
          <w:sdt>
            <w:sdtPr>
              <w:rPr>
                <w:color w:val="000000"/>
                <w:szCs w:val="21"/>
              </w:rPr>
              <w:alias w:val="合同负债明细"/>
              <w:tag w:val="_TUP_d1c7a7f050fb40619e0f52b844ab99a2"/>
              <w:id w:val="364722517"/>
              <w:lock w:val="sdtLocked"/>
            </w:sdtPr>
            <w:sdtEndPr/>
            <w:sdtContent>
              <w:tr w:rsidR="00830E72" w14:paraId="64AD6720" w14:textId="77777777">
                <w:tc>
                  <w:tcPr>
                    <w:tcW w:w="2006" w:type="pct"/>
                    <w:shd w:val="clear" w:color="auto" w:fill="auto"/>
                  </w:tcPr>
                  <w:p w14:paraId="2B4BABB3" w14:textId="77777777" w:rsidR="00830E72" w:rsidRDefault="008344D8">
                    <w:pPr>
                      <w:rPr>
                        <w:szCs w:val="21"/>
                      </w:rPr>
                    </w:pPr>
                    <w:r>
                      <w:rPr>
                        <w:rFonts w:hint="eastAsia"/>
                        <w:color w:val="000000"/>
                        <w:szCs w:val="21"/>
                      </w:rPr>
                      <w:t>预收工程款</w:t>
                    </w:r>
                  </w:p>
                </w:tc>
                <w:tc>
                  <w:tcPr>
                    <w:tcW w:w="1297" w:type="pct"/>
                    <w:shd w:val="clear" w:color="auto" w:fill="auto"/>
                  </w:tcPr>
                  <w:p w14:paraId="1106C041" w14:textId="77777777" w:rsidR="00830E72" w:rsidRDefault="008344D8">
                    <w:pPr>
                      <w:jc w:val="right"/>
                      <w:rPr>
                        <w:szCs w:val="21"/>
                      </w:rPr>
                    </w:pPr>
                    <w:r>
                      <w:rPr>
                        <w:szCs w:val="21"/>
                      </w:rPr>
                      <w:t>7,531,556.35</w:t>
                    </w:r>
                  </w:p>
                </w:tc>
                <w:tc>
                  <w:tcPr>
                    <w:tcW w:w="1698" w:type="pct"/>
                    <w:shd w:val="clear" w:color="auto" w:fill="auto"/>
                  </w:tcPr>
                  <w:p w14:paraId="4B0A495E" w14:textId="77777777" w:rsidR="00830E72" w:rsidRDefault="008344D8">
                    <w:pPr>
                      <w:jc w:val="right"/>
                      <w:rPr>
                        <w:szCs w:val="21"/>
                      </w:rPr>
                    </w:pPr>
                    <w:r>
                      <w:rPr>
                        <w:szCs w:val="21"/>
                      </w:rPr>
                      <w:t>5,257,953.20</w:t>
                    </w:r>
                  </w:p>
                </w:tc>
              </w:tr>
            </w:sdtContent>
          </w:sdt>
          <w:sdt>
            <w:sdtPr>
              <w:rPr>
                <w:color w:val="000000"/>
                <w:szCs w:val="21"/>
              </w:rPr>
              <w:alias w:val="合同负债明细"/>
              <w:tag w:val="_TUP_d1c7a7f050fb40619e0f52b844ab99a2"/>
              <w:id w:val="-1126153265"/>
              <w:lock w:val="sdtLocked"/>
            </w:sdtPr>
            <w:sdtEndPr/>
            <w:sdtContent>
              <w:tr w:rsidR="00830E72" w14:paraId="27E6F910" w14:textId="77777777">
                <w:tc>
                  <w:tcPr>
                    <w:tcW w:w="2006" w:type="pct"/>
                    <w:shd w:val="clear" w:color="auto" w:fill="auto"/>
                  </w:tcPr>
                  <w:p w14:paraId="6B5A1781" w14:textId="77777777" w:rsidR="00830E72" w:rsidRDefault="008344D8">
                    <w:pPr>
                      <w:rPr>
                        <w:szCs w:val="21"/>
                      </w:rPr>
                    </w:pPr>
                    <w:r>
                      <w:rPr>
                        <w:rFonts w:hint="eastAsia"/>
                        <w:color w:val="000000"/>
                        <w:szCs w:val="21"/>
                      </w:rPr>
                      <w:t>预收设计检测费</w:t>
                    </w:r>
                  </w:p>
                </w:tc>
                <w:tc>
                  <w:tcPr>
                    <w:tcW w:w="1297" w:type="pct"/>
                    <w:shd w:val="clear" w:color="auto" w:fill="auto"/>
                  </w:tcPr>
                  <w:p w14:paraId="7A44AABE" w14:textId="77777777" w:rsidR="00830E72" w:rsidRDefault="008344D8">
                    <w:pPr>
                      <w:jc w:val="right"/>
                      <w:rPr>
                        <w:szCs w:val="21"/>
                      </w:rPr>
                    </w:pPr>
                    <w:r>
                      <w:rPr>
                        <w:szCs w:val="21"/>
                      </w:rPr>
                      <w:t>436,500.00</w:t>
                    </w:r>
                  </w:p>
                </w:tc>
                <w:tc>
                  <w:tcPr>
                    <w:tcW w:w="1698" w:type="pct"/>
                    <w:shd w:val="clear" w:color="auto" w:fill="auto"/>
                  </w:tcPr>
                  <w:p w14:paraId="37573708" w14:textId="77777777" w:rsidR="00830E72" w:rsidRDefault="008344D8">
                    <w:pPr>
                      <w:jc w:val="right"/>
                      <w:rPr>
                        <w:szCs w:val="21"/>
                      </w:rPr>
                    </w:pPr>
                    <w:r>
                      <w:rPr>
                        <w:szCs w:val="21"/>
                      </w:rPr>
                      <w:t>276,000.00</w:t>
                    </w:r>
                  </w:p>
                </w:tc>
              </w:tr>
            </w:sdtContent>
          </w:sdt>
          <w:sdt>
            <w:sdtPr>
              <w:rPr>
                <w:color w:val="000000"/>
                <w:szCs w:val="21"/>
              </w:rPr>
              <w:alias w:val="合同负债明细"/>
              <w:tag w:val="_TUP_d1c7a7f050fb40619e0f52b844ab99a2"/>
              <w:id w:val="1372346664"/>
              <w:lock w:val="sdtLocked"/>
            </w:sdtPr>
            <w:sdtEndPr/>
            <w:sdtContent>
              <w:tr w:rsidR="00830E72" w14:paraId="544A964F" w14:textId="77777777">
                <w:tc>
                  <w:tcPr>
                    <w:tcW w:w="2006" w:type="pct"/>
                    <w:shd w:val="clear" w:color="auto" w:fill="auto"/>
                  </w:tcPr>
                  <w:p w14:paraId="62ED9568" w14:textId="77777777" w:rsidR="00830E72" w:rsidRDefault="008344D8">
                    <w:pPr>
                      <w:rPr>
                        <w:szCs w:val="21"/>
                      </w:rPr>
                    </w:pPr>
                    <w:r>
                      <w:rPr>
                        <w:rFonts w:hint="eastAsia"/>
                        <w:color w:val="000000"/>
                        <w:szCs w:val="21"/>
                      </w:rPr>
                      <w:t>建造合同形成的已结算未完工项目</w:t>
                    </w:r>
                  </w:p>
                </w:tc>
                <w:tc>
                  <w:tcPr>
                    <w:tcW w:w="1297" w:type="pct"/>
                    <w:shd w:val="clear" w:color="auto" w:fill="auto"/>
                  </w:tcPr>
                  <w:p w14:paraId="4F899245" w14:textId="77777777" w:rsidR="00830E72" w:rsidRDefault="008344D8">
                    <w:pPr>
                      <w:jc w:val="right"/>
                      <w:rPr>
                        <w:szCs w:val="21"/>
                      </w:rPr>
                    </w:pPr>
                    <w:r>
                      <w:rPr>
                        <w:szCs w:val="21"/>
                      </w:rPr>
                      <w:t>33,662,466.68</w:t>
                    </w:r>
                  </w:p>
                </w:tc>
                <w:tc>
                  <w:tcPr>
                    <w:tcW w:w="1698" w:type="pct"/>
                    <w:shd w:val="clear" w:color="auto" w:fill="auto"/>
                  </w:tcPr>
                  <w:p w14:paraId="6BBD3296" w14:textId="77777777" w:rsidR="00830E72" w:rsidRDefault="008344D8">
                    <w:pPr>
                      <w:jc w:val="right"/>
                      <w:rPr>
                        <w:szCs w:val="21"/>
                      </w:rPr>
                    </w:pPr>
                    <w:r>
                      <w:rPr>
                        <w:szCs w:val="21"/>
                      </w:rPr>
                      <w:t>38,731,877.72</w:t>
                    </w:r>
                  </w:p>
                </w:tc>
              </w:tr>
            </w:sdtContent>
          </w:sdt>
          <w:tr w:rsidR="00830E72" w14:paraId="23732B60" w14:textId="77777777">
            <w:sdt>
              <w:sdtPr>
                <w:tag w:val="_PLD_749720f346f74db784b99fec9408ed39"/>
                <w:id w:val="1455601628"/>
                <w:lock w:val="sdtLocked"/>
              </w:sdtPr>
              <w:sdtEndPr/>
              <w:sdtContent>
                <w:tc>
                  <w:tcPr>
                    <w:tcW w:w="2006" w:type="pct"/>
                    <w:shd w:val="clear" w:color="auto" w:fill="auto"/>
                  </w:tcPr>
                  <w:p w14:paraId="4C752B3E" w14:textId="77777777" w:rsidR="00830E72" w:rsidRDefault="008344D8">
                    <w:pPr>
                      <w:jc w:val="center"/>
                      <w:rPr>
                        <w:color w:val="000000"/>
                        <w:szCs w:val="21"/>
                      </w:rPr>
                    </w:pPr>
                    <w:r>
                      <w:rPr>
                        <w:rFonts w:hint="eastAsia"/>
                        <w:color w:val="000000"/>
                        <w:szCs w:val="21"/>
                      </w:rPr>
                      <w:t>合计</w:t>
                    </w:r>
                  </w:p>
                </w:tc>
              </w:sdtContent>
            </w:sdt>
            <w:tc>
              <w:tcPr>
                <w:tcW w:w="1297" w:type="pct"/>
                <w:shd w:val="clear" w:color="auto" w:fill="auto"/>
              </w:tcPr>
              <w:p w14:paraId="4608BB7F" w14:textId="77777777" w:rsidR="00830E72" w:rsidRDefault="008344D8">
                <w:pPr>
                  <w:jc w:val="right"/>
                  <w:rPr>
                    <w:szCs w:val="21"/>
                  </w:rPr>
                </w:pPr>
                <w:r>
                  <w:rPr>
                    <w:szCs w:val="21"/>
                  </w:rPr>
                  <w:t>41,630,523.03</w:t>
                </w:r>
              </w:p>
            </w:tc>
            <w:tc>
              <w:tcPr>
                <w:tcW w:w="1698" w:type="pct"/>
                <w:shd w:val="clear" w:color="auto" w:fill="auto"/>
              </w:tcPr>
              <w:p w14:paraId="580DC609" w14:textId="77777777" w:rsidR="00830E72" w:rsidRDefault="008344D8">
                <w:pPr>
                  <w:jc w:val="right"/>
                  <w:rPr>
                    <w:szCs w:val="21"/>
                  </w:rPr>
                </w:pPr>
                <w:r>
                  <w:rPr>
                    <w:szCs w:val="21"/>
                  </w:rPr>
                  <w:t>44,265,830.92</w:t>
                </w:r>
              </w:p>
            </w:tc>
          </w:tr>
        </w:tbl>
        <w:p w14:paraId="1453CF21" w14:textId="77777777" w:rsidR="00830E72" w:rsidRDefault="00D44830">
          <w:pPr>
            <w:rPr>
              <w:szCs w:val="21"/>
            </w:rPr>
          </w:pPr>
        </w:p>
      </w:sdtContent>
    </w:sdt>
    <w:bookmarkEnd w:id="162" w:displacedByCustomXml="next"/>
    <w:bookmarkStart w:id="163" w:name="_Hlk10535674" w:displacedByCustomXml="next"/>
    <w:sdt>
      <w:sdtPr>
        <w:rPr>
          <w:rFonts w:ascii="宋体" w:hAnsi="宋体" w:cs="宋体" w:hint="eastAsia"/>
          <w:b w:val="0"/>
          <w:bCs w:val="0"/>
          <w:kern w:val="0"/>
          <w:szCs w:val="21"/>
        </w:rPr>
        <w:alias w:val="模块:报告期内账面价值发生重大变动的金额和原因"/>
        <w:tag w:val="_SEC_c824c488dbc74824b379bb9187c7bdf0"/>
        <w:id w:val="-969584223"/>
        <w:lock w:val="sdtLocked"/>
        <w:placeholder>
          <w:docPart w:val="GBC22222222222222222222222222222"/>
        </w:placeholder>
      </w:sdtPr>
      <w:sdtEndPr>
        <w:rPr>
          <w:rFonts w:hint="default"/>
        </w:rPr>
      </w:sdtEndPr>
      <w:sdtContent>
        <w:p w14:paraId="6E3DE2E0" w14:textId="77777777" w:rsidR="00830E72" w:rsidRDefault="008344D8">
          <w:pPr>
            <w:pStyle w:val="Style100"/>
            <w:numPr>
              <w:ilvl w:val="0"/>
              <w:numId w:val="67"/>
            </w:numPr>
            <w:rPr>
              <w:rFonts w:ascii="宋体" w:hAnsi="宋体"/>
              <w:szCs w:val="21"/>
            </w:rPr>
          </w:pPr>
          <w:r>
            <w:rPr>
              <w:rFonts w:ascii="宋体" w:hAnsi="宋体" w:hint="eastAsia"/>
              <w:szCs w:val="21"/>
            </w:rPr>
            <w:t>报告期内账面价值发生重大变动的金额和原因</w:t>
          </w:r>
        </w:p>
        <w:sdt>
          <w:sdtPr>
            <w:rPr>
              <w:szCs w:val="21"/>
            </w:rPr>
            <w:alias w:val="是否适用：合同负债账面价值发生重大变动[双击切换]"/>
            <w:tag w:val="_GBC_18d9cdd7095d4bda8f22860c58746248"/>
            <w:id w:val="103941761"/>
            <w:lock w:val="sdtContentLocked"/>
            <w:placeholder>
              <w:docPart w:val="GBC22222222222222222222222222222"/>
            </w:placeholder>
          </w:sdtPr>
          <w:sdtEndPr/>
          <w:sdtContent>
            <w:p w14:paraId="5735ACED"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63" w:displacedByCustomXml="next"/>
    <w:bookmarkStart w:id="164" w:name="_Hlk10535687" w:displacedByCustomXml="next"/>
    <w:bookmarkStart w:id="165" w:name="_Hlk10535696" w:displacedByCustomXml="next"/>
    <w:sdt>
      <w:sdtPr>
        <w:rPr>
          <w:rFonts w:hint="eastAsia"/>
          <w:szCs w:val="21"/>
        </w:rPr>
        <w:alias w:val="模块:其他说明："/>
        <w:tag w:val="_SEC_1910d69cccc04d3fb0422784d0b1dd58"/>
        <w:id w:val="-175418684"/>
        <w:lock w:val="sdtLocked"/>
        <w:placeholder>
          <w:docPart w:val="GBC22222222222222222222222222222"/>
        </w:placeholder>
      </w:sdtPr>
      <w:sdtEndPr>
        <w:rPr>
          <w:rFonts w:hint="default"/>
        </w:rPr>
      </w:sdtEndPr>
      <w:sdtContent>
        <w:p w14:paraId="4137DC2F" w14:textId="77777777" w:rsidR="00830E72" w:rsidRDefault="008344D8">
          <w:pPr>
            <w:rPr>
              <w:szCs w:val="21"/>
            </w:rPr>
          </w:pPr>
          <w:r>
            <w:rPr>
              <w:rFonts w:hint="eastAsia"/>
              <w:szCs w:val="21"/>
            </w:rPr>
            <w:t>其他说明：</w:t>
          </w:r>
          <w:bookmarkEnd w:id="164"/>
        </w:p>
        <w:sdt>
          <w:sdtPr>
            <w:rPr>
              <w:szCs w:val="21"/>
            </w:rPr>
            <w:alias w:val="是否适用：合同负债其他说明[双击切换]"/>
            <w:tag w:val="_GBC_f73cf097b72042508657c656d4dc0c08"/>
            <w:id w:val="-1181124214"/>
            <w:lock w:val="sdtContentLocked"/>
            <w:placeholder>
              <w:docPart w:val="GBC22222222222222222222222222222"/>
            </w:placeholder>
          </w:sdtPr>
          <w:sdtEndPr/>
          <w:sdtContent>
            <w:p w14:paraId="1706D9FB" w14:textId="77777777" w:rsidR="00830E72" w:rsidRDefault="008344D8">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65"/>
    <w:p w14:paraId="7CE54307" w14:textId="77777777" w:rsidR="00830E72" w:rsidRDefault="00830E72">
      <w:pPr>
        <w:rPr>
          <w:szCs w:val="21"/>
        </w:rPr>
      </w:pPr>
    </w:p>
    <w:p w14:paraId="02496360"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应付职工薪酬</w:t>
      </w:r>
    </w:p>
    <w:sdt>
      <w:sdtPr>
        <w:rPr>
          <w:rFonts w:ascii="宋体" w:hAnsi="宋体" w:cs="宋体"/>
          <w:b w:val="0"/>
          <w:bCs w:val="0"/>
          <w:kern w:val="0"/>
          <w:szCs w:val="24"/>
        </w:rPr>
        <w:alias w:val="模块:应付职工薪酬列示："/>
        <w:tag w:val="_GBC_fa609950067149f1a5c0a6c3ba353431"/>
        <w:id w:val="435254652"/>
        <w:lock w:val="sdtLocked"/>
        <w:placeholder>
          <w:docPart w:val="GBC22222222222222222222222222222"/>
        </w:placeholder>
      </w:sdtPr>
      <w:sdtEndPr/>
      <w:sdtContent>
        <w:p w14:paraId="547608DB" w14:textId="77777777" w:rsidR="00830E72" w:rsidRDefault="008344D8">
          <w:pPr>
            <w:pStyle w:val="Style100"/>
            <w:numPr>
              <w:ilvl w:val="0"/>
              <w:numId w:val="68"/>
            </w:numPr>
            <w:rPr>
              <w:rFonts w:ascii="宋体" w:hAnsi="宋体"/>
            </w:rPr>
          </w:pPr>
          <w:r>
            <w:rPr>
              <w:rFonts w:ascii="宋体" w:hAnsi="宋体" w:hint="eastAsia"/>
            </w:rPr>
            <w:t>应付职工薪酬列示</w:t>
          </w:r>
        </w:p>
        <w:sdt>
          <w:sdtPr>
            <w:alias w:val="是否适用：应付职工薪酬列示[双击切换]"/>
            <w:tag w:val="_GBC_88faccc480a843dca589c1af0d3fee37"/>
            <w:id w:val="-1224906368"/>
            <w:lock w:val="sdtContentLocked"/>
            <w:placeholder>
              <w:docPart w:val="GBC22222222222222222222222222222"/>
            </w:placeholder>
          </w:sdtPr>
          <w:sdtEndPr/>
          <w:sdtContent>
            <w:p w14:paraId="4F3E8F21"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E05C01A" w14:textId="77777777" w:rsidR="00830E72" w:rsidRDefault="008344D8">
          <w:pPr>
            <w:jc w:val="right"/>
          </w:pPr>
          <w:r>
            <w:rPr>
              <w:rFonts w:hint="eastAsia"/>
            </w:rPr>
            <w:t>单位：</w:t>
          </w:r>
          <w:sdt>
            <w:sdtPr>
              <w:rPr>
                <w:rFonts w:hint="eastAsia"/>
              </w:rPr>
              <w:alias w:val="单位：财务附注：应付职工薪酬"/>
              <w:tag w:val="_GBC_5c4cdcd7cd924c4ca8e87f806bc459b0"/>
              <w:id w:val="-5681100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应付职工薪酬"/>
              <w:tag w:val="_GBC_1b7f0fd0ca54470ca12f1037c092be9a"/>
              <w:id w:val="1549634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7"/>
            <w:gridCol w:w="1743"/>
            <w:gridCol w:w="1743"/>
            <w:gridCol w:w="1745"/>
            <w:gridCol w:w="1931"/>
          </w:tblGrid>
          <w:tr w:rsidR="00830E72" w14:paraId="15F3AD94" w14:textId="77777777">
            <w:sdt>
              <w:sdtPr>
                <w:tag w:val="_PLD_481bea2acb8f49ac9b4cfc92cd4a426e"/>
                <w:id w:val="1447422271"/>
                <w:lock w:val="sdtLocked"/>
              </w:sdtPr>
              <w:sdtEndPr/>
              <w:sdtContent>
                <w:tc>
                  <w:tcPr>
                    <w:tcW w:w="1043" w:type="pct"/>
                    <w:shd w:val="clear" w:color="auto" w:fill="auto"/>
                    <w:vAlign w:val="center"/>
                  </w:tcPr>
                  <w:p w14:paraId="2DA77A7E" w14:textId="77777777" w:rsidR="00830E72" w:rsidRDefault="008344D8">
                    <w:pPr>
                      <w:jc w:val="center"/>
                    </w:pPr>
                    <w:r>
                      <w:rPr>
                        <w:rFonts w:hint="eastAsia"/>
                      </w:rPr>
                      <w:t>项目</w:t>
                    </w:r>
                  </w:p>
                </w:tc>
              </w:sdtContent>
            </w:sdt>
            <w:sdt>
              <w:sdtPr>
                <w:tag w:val="_PLD_ff27c0f5bcb94d9b932762b91edf2ff1"/>
                <w:id w:val="-1726742386"/>
                <w:lock w:val="sdtLocked"/>
              </w:sdtPr>
              <w:sdtEndPr/>
              <w:sdtContent>
                <w:tc>
                  <w:tcPr>
                    <w:tcW w:w="963" w:type="pct"/>
                    <w:shd w:val="clear" w:color="auto" w:fill="auto"/>
                    <w:vAlign w:val="center"/>
                  </w:tcPr>
                  <w:p w14:paraId="0D12ED79" w14:textId="77777777" w:rsidR="00830E72" w:rsidRDefault="008344D8">
                    <w:pPr>
                      <w:jc w:val="center"/>
                    </w:pPr>
                    <w:r>
                      <w:rPr>
                        <w:rFonts w:hint="eastAsia"/>
                      </w:rPr>
                      <w:t>期初余额</w:t>
                    </w:r>
                  </w:p>
                </w:tc>
              </w:sdtContent>
            </w:sdt>
            <w:sdt>
              <w:sdtPr>
                <w:tag w:val="_PLD_7274636f27ae4e048ade60bfddaa8164"/>
                <w:id w:val="966011123"/>
                <w:lock w:val="sdtLocked"/>
              </w:sdtPr>
              <w:sdtEndPr/>
              <w:sdtContent>
                <w:tc>
                  <w:tcPr>
                    <w:tcW w:w="963" w:type="pct"/>
                    <w:shd w:val="clear" w:color="auto" w:fill="auto"/>
                    <w:vAlign w:val="center"/>
                  </w:tcPr>
                  <w:p w14:paraId="2A2CE930" w14:textId="77777777" w:rsidR="00830E72" w:rsidRDefault="008344D8">
                    <w:pPr>
                      <w:jc w:val="center"/>
                    </w:pPr>
                    <w:r>
                      <w:rPr>
                        <w:rFonts w:hint="eastAsia"/>
                      </w:rPr>
                      <w:t>本期增加</w:t>
                    </w:r>
                  </w:p>
                </w:tc>
              </w:sdtContent>
            </w:sdt>
            <w:sdt>
              <w:sdtPr>
                <w:tag w:val="_PLD_07ae572963de436aa2308d649a28c23b"/>
                <w:id w:val="-527411854"/>
                <w:lock w:val="sdtLocked"/>
              </w:sdtPr>
              <w:sdtEndPr/>
              <w:sdtContent>
                <w:tc>
                  <w:tcPr>
                    <w:tcW w:w="964" w:type="pct"/>
                    <w:shd w:val="clear" w:color="auto" w:fill="auto"/>
                    <w:vAlign w:val="center"/>
                  </w:tcPr>
                  <w:p w14:paraId="17FAB30D" w14:textId="77777777" w:rsidR="00830E72" w:rsidRDefault="008344D8">
                    <w:pPr>
                      <w:jc w:val="center"/>
                    </w:pPr>
                    <w:r>
                      <w:rPr>
                        <w:rFonts w:hint="eastAsia"/>
                      </w:rPr>
                      <w:t>本期减少</w:t>
                    </w:r>
                  </w:p>
                </w:tc>
              </w:sdtContent>
            </w:sdt>
            <w:sdt>
              <w:sdtPr>
                <w:tag w:val="_PLD_27069329d7654e34bc45ca7dee532204"/>
                <w:id w:val="714238014"/>
                <w:lock w:val="sdtLocked"/>
              </w:sdtPr>
              <w:sdtEndPr/>
              <w:sdtContent>
                <w:tc>
                  <w:tcPr>
                    <w:tcW w:w="1067" w:type="pct"/>
                    <w:shd w:val="clear" w:color="auto" w:fill="auto"/>
                    <w:vAlign w:val="center"/>
                  </w:tcPr>
                  <w:p w14:paraId="07B3C0AF" w14:textId="77777777" w:rsidR="00830E72" w:rsidRDefault="008344D8">
                    <w:pPr>
                      <w:jc w:val="center"/>
                    </w:pPr>
                    <w:r>
                      <w:rPr>
                        <w:rFonts w:hint="eastAsia"/>
                      </w:rPr>
                      <w:t>期末余额</w:t>
                    </w:r>
                  </w:p>
                </w:tc>
              </w:sdtContent>
            </w:sdt>
          </w:tr>
          <w:tr w:rsidR="00830E72" w14:paraId="6E917F56" w14:textId="77777777">
            <w:sdt>
              <w:sdtPr>
                <w:tag w:val="_PLD_8272d2e82a6f45a197d65c1251ac79c7"/>
                <w:id w:val="-235945181"/>
                <w:lock w:val="sdtLocked"/>
              </w:sdtPr>
              <w:sdtEndPr/>
              <w:sdtContent>
                <w:tc>
                  <w:tcPr>
                    <w:tcW w:w="1043" w:type="pct"/>
                    <w:shd w:val="clear" w:color="auto" w:fill="auto"/>
                  </w:tcPr>
                  <w:p w14:paraId="4056BC7D" w14:textId="77777777" w:rsidR="00830E72" w:rsidRDefault="008344D8">
                    <w:r>
                      <w:rPr>
                        <w:rFonts w:hint="eastAsia"/>
                      </w:rPr>
                      <w:t>一、短期薪酬</w:t>
                    </w:r>
                  </w:p>
                </w:tc>
              </w:sdtContent>
            </w:sdt>
            <w:tc>
              <w:tcPr>
                <w:tcW w:w="963" w:type="pct"/>
                <w:shd w:val="clear" w:color="auto" w:fill="auto"/>
                <w:vAlign w:val="center"/>
              </w:tcPr>
              <w:p w14:paraId="5A89EA50" w14:textId="77777777" w:rsidR="00830E72" w:rsidRDefault="008344D8">
                <w:pPr>
                  <w:jc w:val="right"/>
                </w:pPr>
                <w:r>
                  <w:t>29,196,308.98</w:t>
                </w:r>
              </w:p>
            </w:tc>
            <w:tc>
              <w:tcPr>
                <w:tcW w:w="963" w:type="pct"/>
                <w:shd w:val="clear" w:color="auto" w:fill="auto"/>
                <w:vAlign w:val="center"/>
              </w:tcPr>
              <w:p w14:paraId="77EEF645" w14:textId="77777777" w:rsidR="00830E72" w:rsidRDefault="008344D8">
                <w:pPr>
                  <w:jc w:val="right"/>
                  <w:rPr>
                    <w:highlight w:val="yellow"/>
                  </w:rPr>
                </w:pPr>
                <w:r>
                  <w:t>80,788,119.74</w:t>
                </w:r>
              </w:p>
            </w:tc>
            <w:tc>
              <w:tcPr>
                <w:tcW w:w="964" w:type="pct"/>
                <w:shd w:val="clear" w:color="auto" w:fill="auto"/>
                <w:vAlign w:val="center"/>
              </w:tcPr>
              <w:p w14:paraId="256AB4E5" w14:textId="77777777" w:rsidR="00830E72" w:rsidRDefault="008344D8">
                <w:pPr>
                  <w:jc w:val="right"/>
                  <w:rPr>
                    <w:highlight w:val="yellow"/>
                  </w:rPr>
                </w:pPr>
                <w:r>
                  <w:t>88,593,112.18</w:t>
                </w:r>
              </w:p>
            </w:tc>
            <w:tc>
              <w:tcPr>
                <w:tcW w:w="1067" w:type="pct"/>
                <w:shd w:val="clear" w:color="auto" w:fill="auto"/>
                <w:vAlign w:val="center"/>
              </w:tcPr>
              <w:p w14:paraId="09AA8A8A" w14:textId="77777777" w:rsidR="00830E72" w:rsidRDefault="008344D8">
                <w:pPr>
                  <w:jc w:val="right"/>
                </w:pPr>
                <w:r>
                  <w:t>21,391,316.54</w:t>
                </w:r>
              </w:p>
            </w:tc>
          </w:tr>
          <w:tr w:rsidR="00830E72" w14:paraId="0205B10D" w14:textId="77777777">
            <w:sdt>
              <w:sdtPr>
                <w:tag w:val="_PLD_e3c7b981b4f64fe3993a41cabeb3d888"/>
                <w:id w:val="1401480822"/>
                <w:lock w:val="sdtLocked"/>
              </w:sdtPr>
              <w:sdtEndPr/>
              <w:sdtContent>
                <w:tc>
                  <w:tcPr>
                    <w:tcW w:w="1043" w:type="pct"/>
                    <w:shd w:val="clear" w:color="auto" w:fill="auto"/>
                  </w:tcPr>
                  <w:p w14:paraId="5ECEF0B7" w14:textId="77777777" w:rsidR="00830E72" w:rsidRDefault="008344D8">
                    <w:r>
                      <w:rPr>
                        <w:rFonts w:hint="eastAsia"/>
                      </w:rPr>
                      <w:t>二、离职后福利-设定提存计划</w:t>
                    </w:r>
                  </w:p>
                </w:tc>
              </w:sdtContent>
            </w:sdt>
            <w:tc>
              <w:tcPr>
                <w:tcW w:w="963" w:type="pct"/>
                <w:shd w:val="clear" w:color="auto" w:fill="auto"/>
                <w:vAlign w:val="center"/>
              </w:tcPr>
              <w:p w14:paraId="43F57AAA" w14:textId="77777777" w:rsidR="00830E72" w:rsidRDefault="00830E72">
                <w:pPr>
                  <w:jc w:val="right"/>
                </w:pPr>
              </w:p>
            </w:tc>
            <w:tc>
              <w:tcPr>
                <w:tcW w:w="963" w:type="pct"/>
                <w:shd w:val="clear" w:color="auto" w:fill="auto"/>
                <w:vAlign w:val="center"/>
              </w:tcPr>
              <w:p w14:paraId="3B6FB1F6" w14:textId="77777777" w:rsidR="00830E72" w:rsidRDefault="008344D8">
                <w:pPr>
                  <w:jc w:val="right"/>
                </w:pPr>
                <w:r>
                  <w:t>3,356,540.96</w:t>
                </w:r>
              </w:p>
            </w:tc>
            <w:tc>
              <w:tcPr>
                <w:tcW w:w="964" w:type="pct"/>
                <w:shd w:val="clear" w:color="auto" w:fill="auto"/>
                <w:vAlign w:val="center"/>
              </w:tcPr>
              <w:p w14:paraId="470AFAEA" w14:textId="77777777" w:rsidR="00830E72" w:rsidRDefault="008344D8">
                <w:pPr>
                  <w:jc w:val="right"/>
                </w:pPr>
                <w:r>
                  <w:t>3,356,540.96</w:t>
                </w:r>
              </w:p>
            </w:tc>
            <w:tc>
              <w:tcPr>
                <w:tcW w:w="1067" w:type="pct"/>
                <w:shd w:val="clear" w:color="auto" w:fill="auto"/>
                <w:vAlign w:val="center"/>
              </w:tcPr>
              <w:p w14:paraId="0B48C6F7" w14:textId="77777777" w:rsidR="00830E72" w:rsidRDefault="00830E72">
                <w:pPr>
                  <w:jc w:val="right"/>
                </w:pPr>
              </w:p>
            </w:tc>
          </w:tr>
          <w:tr w:rsidR="00830E72" w14:paraId="5EC04AD6" w14:textId="77777777">
            <w:sdt>
              <w:sdtPr>
                <w:tag w:val="_PLD_d615e4da2a4948e5994fcc5682898c56"/>
                <w:id w:val="-1841925582"/>
                <w:lock w:val="sdtLocked"/>
              </w:sdtPr>
              <w:sdtEndPr/>
              <w:sdtContent>
                <w:tc>
                  <w:tcPr>
                    <w:tcW w:w="1043" w:type="pct"/>
                    <w:shd w:val="clear" w:color="auto" w:fill="auto"/>
                  </w:tcPr>
                  <w:p w14:paraId="2F65DF7E" w14:textId="77777777" w:rsidR="00830E72" w:rsidRDefault="008344D8">
                    <w:r>
                      <w:rPr>
                        <w:rFonts w:hint="eastAsia"/>
                      </w:rPr>
                      <w:t>三、辞退福利</w:t>
                    </w:r>
                  </w:p>
                </w:tc>
              </w:sdtContent>
            </w:sdt>
            <w:tc>
              <w:tcPr>
                <w:tcW w:w="963" w:type="pct"/>
                <w:shd w:val="clear" w:color="auto" w:fill="auto"/>
                <w:vAlign w:val="center"/>
              </w:tcPr>
              <w:p w14:paraId="723BBF36" w14:textId="77777777" w:rsidR="00830E72" w:rsidRDefault="00830E72">
                <w:pPr>
                  <w:jc w:val="right"/>
                </w:pPr>
              </w:p>
            </w:tc>
            <w:tc>
              <w:tcPr>
                <w:tcW w:w="963" w:type="pct"/>
                <w:shd w:val="clear" w:color="auto" w:fill="auto"/>
                <w:vAlign w:val="center"/>
              </w:tcPr>
              <w:p w14:paraId="792374AC" w14:textId="77777777" w:rsidR="00830E72" w:rsidRDefault="00830E72">
                <w:pPr>
                  <w:jc w:val="right"/>
                </w:pPr>
              </w:p>
            </w:tc>
            <w:tc>
              <w:tcPr>
                <w:tcW w:w="964" w:type="pct"/>
                <w:shd w:val="clear" w:color="auto" w:fill="auto"/>
                <w:vAlign w:val="center"/>
              </w:tcPr>
              <w:p w14:paraId="603FE6A4" w14:textId="77777777" w:rsidR="00830E72" w:rsidRDefault="00830E72">
                <w:pPr>
                  <w:jc w:val="right"/>
                </w:pPr>
              </w:p>
            </w:tc>
            <w:tc>
              <w:tcPr>
                <w:tcW w:w="1067" w:type="pct"/>
                <w:shd w:val="clear" w:color="auto" w:fill="auto"/>
                <w:vAlign w:val="center"/>
              </w:tcPr>
              <w:p w14:paraId="0E7FFAAC" w14:textId="77777777" w:rsidR="00830E72" w:rsidRDefault="00830E72">
                <w:pPr>
                  <w:jc w:val="right"/>
                </w:pPr>
              </w:p>
            </w:tc>
          </w:tr>
          <w:tr w:rsidR="00830E72" w14:paraId="72E910F3" w14:textId="77777777">
            <w:sdt>
              <w:sdtPr>
                <w:tag w:val="_PLD_f85ecebc2b9f455eb675b5c3c3edb84c"/>
                <w:id w:val="1929230614"/>
                <w:lock w:val="sdtLocked"/>
              </w:sdtPr>
              <w:sdtEndPr/>
              <w:sdtContent>
                <w:tc>
                  <w:tcPr>
                    <w:tcW w:w="1043" w:type="pct"/>
                    <w:shd w:val="clear" w:color="auto" w:fill="auto"/>
                  </w:tcPr>
                  <w:p w14:paraId="1203CFFB" w14:textId="77777777" w:rsidR="00830E72" w:rsidRDefault="008344D8">
                    <w:r>
                      <w:rPr>
                        <w:rFonts w:hint="eastAsia"/>
                      </w:rPr>
                      <w:t>四、一年内到期的</w:t>
                    </w:r>
                    <w:r>
                      <w:rPr>
                        <w:rFonts w:hint="eastAsia"/>
                      </w:rPr>
                      <w:lastRenderedPageBreak/>
                      <w:t>其他福利</w:t>
                    </w:r>
                  </w:p>
                </w:tc>
              </w:sdtContent>
            </w:sdt>
            <w:tc>
              <w:tcPr>
                <w:tcW w:w="963" w:type="pct"/>
                <w:shd w:val="clear" w:color="auto" w:fill="auto"/>
                <w:vAlign w:val="center"/>
              </w:tcPr>
              <w:p w14:paraId="374E9AAA" w14:textId="77777777" w:rsidR="00830E72" w:rsidRDefault="00830E72">
                <w:pPr>
                  <w:jc w:val="right"/>
                </w:pPr>
              </w:p>
            </w:tc>
            <w:tc>
              <w:tcPr>
                <w:tcW w:w="963" w:type="pct"/>
                <w:shd w:val="clear" w:color="auto" w:fill="auto"/>
                <w:vAlign w:val="center"/>
              </w:tcPr>
              <w:p w14:paraId="5D90345D" w14:textId="77777777" w:rsidR="00830E72" w:rsidRDefault="00830E72">
                <w:pPr>
                  <w:jc w:val="right"/>
                </w:pPr>
              </w:p>
            </w:tc>
            <w:tc>
              <w:tcPr>
                <w:tcW w:w="964" w:type="pct"/>
                <w:shd w:val="clear" w:color="auto" w:fill="auto"/>
                <w:vAlign w:val="center"/>
              </w:tcPr>
              <w:p w14:paraId="0035AE01" w14:textId="77777777" w:rsidR="00830E72" w:rsidRDefault="00830E72">
                <w:pPr>
                  <w:jc w:val="right"/>
                </w:pPr>
              </w:p>
            </w:tc>
            <w:tc>
              <w:tcPr>
                <w:tcW w:w="1067" w:type="pct"/>
                <w:shd w:val="clear" w:color="auto" w:fill="auto"/>
                <w:vAlign w:val="center"/>
              </w:tcPr>
              <w:p w14:paraId="26610427" w14:textId="77777777" w:rsidR="00830E72" w:rsidRDefault="00830E72">
                <w:pPr>
                  <w:jc w:val="right"/>
                </w:pPr>
              </w:p>
            </w:tc>
          </w:tr>
          <w:tr w:rsidR="00830E72" w14:paraId="675BC8A5" w14:textId="77777777">
            <w:sdt>
              <w:sdtPr>
                <w:tag w:val="_PLD_5ce2e7ac546346f4a7bec33299c89503"/>
                <w:id w:val="-264391057"/>
                <w:lock w:val="sdtLocked"/>
              </w:sdtPr>
              <w:sdtEndPr/>
              <w:sdtContent>
                <w:tc>
                  <w:tcPr>
                    <w:tcW w:w="1043" w:type="pct"/>
                    <w:shd w:val="clear" w:color="auto" w:fill="auto"/>
                    <w:vAlign w:val="center"/>
                  </w:tcPr>
                  <w:p w14:paraId="723C3F1F" w14:textId="77777777" w:rsidR="00830E72" w:rsidRDefault="008344D8">
                    <w:pPr>
                      <w:jc w:val="center"/>
                    </w:pPr>
                    <w:r>
                      <w:rPr>
                        <w:rFonts w:hint="eastAsia"/>
                      </w:rPr>
                      <w:t>合计</w:t>
                    </w:r>
                  </w:p>
                </w:tc>
              </w:sdtContent>
            </w:sdt>
            <w:tc>
              <w:tcPr>
                <w:tcW w:w="963" w:type="pct"/>
                <w:shd w:val="clear" w:color="auto" w:fill="auto"/>
                <w:vAlign w:val="center"/>
              </w:tcPr>
              <w:p w14:paraId="0C4E8A6A" w14:textId="77777777" w:rsidR="00830E72" w:rsidRDefault="008344D8">
                <w:pPr>
                  <w:jc w:val="right"/>
                </w:pPr>
                <w:r>
                  <w:t>29,196,308.98</w:t>
                </w:r>
              </w:p>
            </w:tc>
            <w:tc>
              <w:tcPr>
                <w:tcW w:w="963" w:type="pct"/>
                <w:shd w:val="clear" w:color="auto" w:fill="auto"/>
                <w:vAlign w:val="center"/>
              </w:tcPr>
              <w:p w14:paraId="3C20CB9E" w14:textId="77777777" w:rsidR="00830E72" w:rsidRDefault="008344D8">
                <w:pPr>
                  <w:jc w:val="right"/>
                </w:pPr>
                <w:r>
                  <w:t>84,144,660.70</w:t>
                </w:r>
              </w:p>
            </w:tc>
            <w:tc>
              <w:tcPr>
                <w:tcW w:w="964" w:type="pct"/>
                <w:shd w:val="clear" w:color="auto" w:fill="auto"/>
                <w:vAlign w:val="center"/>
              </w:tcPr>
              <w:p w14:paraId="51302E56" w14:textId="77777777" w:rsidR="00830E72" w:rsidRDefault="008344D8">
                <w:pPr>
                  <w:jc w:val="right"/>
                </w:pPr>
                <w:r>
                  <w:t>91,949,653.14</w:t>
                </w:r>
              </w:p>
            </w:tc>
            <w:tc>
              <w:tcPr>
                <w:tcW w:w="1067" w:type="pct"/>
                <w:shd w:val="clear" w:color="auto" w:fill="auto"/>
                <w:vAlign w:val="center"/>
              </w:tcPr>
              <w:p w14:paraId="406E6D16" w14:textId="77777777" w:rsidR="00830E72" w:rsidRDefault="008344D8">
                <w:pPr>
                  <w:jc w:val="right"/>
                </w:pPr>
                <w:r>
                  <w:t>21,391,316.54</w:t>
                </w:r>
              </w:p>
            </w:tc>
          </w:tr>
        </w:tbl>
        <w:p w14:paraId="472D521C" w14:textId="77777777" w:rsidR="00830E72" w:rsidRDefault="00D44830"/>
      </w:sdtContent>
    </w:sdt>
    <w:sdt>
      <w:sdtPr>
        <w:rPr>
          <w:rFonts w:ascii="宋体" w:hAnsi="宋体" w:cs="宋体" w:hint="eastAsia"/>
          <w:b w:val="0"/>
          <w:bCs w:val="0"/>
          <w:kern w:val="0"/>
          <w:szCs w:val="24"/>
        </w:rPr>
        <w:alias w:val="模块:短期薪酬列示"/>
        <w:tag w:val="_GBC_8889528627cf49dfa80ba4d972a53405"/>
        <w:id w:val="517743900"/>
        <w:lock w:val="sdtLocked"/>
        <w:placeholder>
          <w:docPart w:val="GBC22222222222222222222222222222"/>
        </w:placeholder>
      </w:sdtPr>
      <w:sdtEndPr>
        <w:rPr>
          <w:rFonts w:hint="default"/>
          <w:szCs w:val="21"/>
        </w:rPr>
      </w:sdtEndPr>
      <w:sdtContent>
        <w:p w14:paraId="30B3D2CA" w14:textId="77777777" w:rsidR="00830E72" w:rsidRDefault="008344D8">
          <w:pPr>
            <w:pStyle w:val="Style100"/>
            <w:numPr>
              <w:ilvl w:val="0"/>
              <w:numId w:val="68"/>
            </w:numPr>
            <w:rPr>
              <w:rFonts w:ascii="宋体" w:hAnsi="宋体"/>
            </w:rPr>
          </w:pPr>
          <w:r>
            <w:rPr>
              <w:rFonts w:ascii="宋体" w:hAnsi="宋体" w:hint="eastAsia"/>
            </w:rPr>
            <w:t>短期薪酬列示</w:t>
          </w:r>
        </w:p>
        <w:sdt>
          <w:sdtPr>
            <w:alias w:val="是否适用：短期薪酬列示[双击切换]"/>
            <w:tag w:val="_GBC_fe9cc4ffdf524f4695448b31c76167ce"/>
            <w:id w:val="-385481409"/>
            <w:lock w:val="sdtContentLocked"/>
            <w:placeholder>
              <w:docPart w:val="GBC22222222222222222222222222222"/>
            </w:placeholder>
          </w:sdtPr>
          <w:sdtEndPr/>
          <w:sdtContent>
            <w:p w14:paraId="7DAA685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D7102EF" w14:textId="77777777" w:rsidR="00830E72" w:rsidRDefault="008344D8">
          <w:pPr>
            <w:jc w:val="right"/>
            <w:rPr>
              <w:szCs w:val="21"/>
            </w:rPr>
          </w:pPr>
          <w:r>
            <w:rPr>
              <w:rFonts w:hint="eastAsia"/>
              <w:szCs w:val="21"/>
            </w:rPr>
            <w:t>单位：</w:t>
          </w:r>
          <w:sdt>
            <w:sdtPr>
              <w:rPr>
                <w:rFonts w:hint="eastAsia"/>
                <w:szCs w:val="21"/>
              </w:rPr>
              <w:alias w:val="单位：财务附注：短期薪酬"/>
              <w:tag w:val="_GBC_f5a2a934147944d68f11ca2bcce4d80f"/>
              <w:id w:val="-5015123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ded097d86a7d48b8a8b1d9689a73bd5d"/>
              <w:id w:val="-17559615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6"/>
            <w:gridCol w:w="1701"/>
            <w:gridCol w:w="1701"/>
            <w:gridCol w:w="1701"/>
            <w:gridCol w:w="1710"/>
          </w:tblGrid>
          <w:tr w:rsidR="00830E72" w14:paraId="08F3D0E5" w14:textId="77777777">
            <w:sdt>
              <w:sdtPr>
                <w:tag w:val="_PLD_7b5378bc64e24511ae79d643c80f9c98"/>
                <w:id w:val="-976448124"/>
                <w:lock w:val="sdtLocked"/>
              </w:sdtPr>
              <w:sdtEndPr/>
              <w:sdtContent>
                <w:tc>
                  <w:tcPr>
                    <w:tcW w:w="1235" w:type="pct"/>
                    <w:tcBorders>
                      <w:top w:val="single" w:sz="4" w:space="0" w:color="auto"/>
                      <w:left w:val="single" w:sz="4" w:space="0" w:color="auto"/>
                      <w:bottom w:val="single" w:sz="4" w:space="0" w:color="auto"/>
                      <w:right w:val="single" w:sz="4" w:space="0" w:color="auto"/>
                    </w:tcBorders>
                    <w:vAlign w:val="center"/>
                  </w:tcPr>
                  <w:p w14:paraId="438A4917" w14:textId="77777777" w:rsidR="00830E72" w:rsidRDefault="008344D8">
                    <w:pPr>
                      <w:autoSpaceDE w:val="0"/>
                      <w:autoSpaceDN w:val="0"/>
                      <w:adjustRightInd w:val="0"/>
                      <w:jc w:val="center"/>
                      <w:rPr>
                        <w:szCs w:val="21"/>
                      </w:rPr>
                    </w:pPr>
                    <w:r>
                      <w:rPr>
                        <w:rFonts w:hint="eastAsia"/>
                        <w:szCs w:val="21"/>
                      </w:rPr>
                      <w:t>项目</w:t>
                    </w:r>
                  </w:p>
                </w:tc>
              </w:sdtContent>
            </w:sdt>
            <w:sdt>
              <w:sdtPr>
                <w:tag w:val="_PLD_0144fa4bad154236aa75e1dcc0a89e56"/>
                <w:id w:val="844363746"/>
                <w:lock w:val="sdtLocked"/>
              </w:sdtPr>
              <w:sdtEndPr/>
              <w:sdtContent>
                <w:tc>
                  <w:tcPr>
                    <w:tcW w:w="940" w:type="pct"/>
                    <w:tcBorders>
                      <w:top w:val="single" w:sz="4" w:space="0" w:color="auto"/>
                      <w:left w:val="single" w:sz="4" w:space="0" w:color="auto"/>
                      <w:bottom w:val="single" w:sz="4" w:space="0" w:color="auto"/>
                      <w:right w:val="single" w:sz="4" w:space="0" w:color="auto"/>
                    </w:tcBorders>
                    <w:vAlign w:val="center"/>
                  </w:tcPr>
                  <w:p w14:paraId="2B22CF06" w14:textId="77777777" w:rsidR="00830E72" w:rsidRDefault="008344D8">
                    <w:pPr>
                      <w:autoSpaceDE w:val="0"/>
                      <w:autoSpaceDN w:val="0"/>
                      <w:adjustRightInd w:val="0"/>
                      <w:jc w:val="center"/>
                      <w:rPr>
                        <w:szCs w:val="21"/>
                      </w:rPr>
                    </w:pPr>
                    <w:r>
                      <w:rPr>
                        <w:rFonts w:hint="eastAsia"/>
                        <w:szCs w:val="21"/>
                      </w:rPr>
                      <w:t>期初余额</w:t>
                    </w:r>
                  </w:p>
                </w:tc>
              </w:sdtContent>
            </w:sdt>
            <w:sdt>
              <w:sdtPr>
                <w:tag w:val="_PLD_2d15a4a9e10b4386a7ed67bc2137e04a"/>
                <w:id w:val="-849872519"/>
                <w:lock w:val="sdtLocked"/>
              </w:sdtPr>
              <w:sdtEndPr/>
              <w:sdtContent>
                <w:tc>
                  <w:tcPr>
                    <w:tcW w:w="940" w:type="pct"/>
                    <w:tcBorders>
                      <w:top w:val="single" w:sz="4" w:space="0" w:color="auto"/>
                      <w:left w:val="single" w:sz="4" w:space="0" w:color="auto"/>
                      <w:bottom w:val="single" w:sz="4" w:space="0" w:color="auto"/>
                      <w:right w:val="single" w:sz="4" w:space="0" w:color="auto"/>
                    </w:tcBorders>
                    <w:vAlign w:val="center"/>
                  </w:tcPr>
                  <w:p w14:paraId="716CE095" w14:textId="77777777" w:rsidR="00830E72" w:rsidRDefault="008344D8">
                    <w:pPr>
                      <w:jc w:val="center"/>
                    </w:pPr>
                    <w:r>
                      <w:rPr>
                        <w:rFonts w:hint="eastAsia"/>
                      </w:rPr>
                      <w:t>本期增加</w:t>
                    </w:r>
                  </w:p>
                </w:tc>
              </w:sdtContent>
            </w:sdt>
            <w:sdt>
              <w:sdtPr>
                <w:tag w:val="_PLD_12a2bbefe0874cde83fdb77f4a4158a1"/>
                <w:id w:val="471639061"/>
                <w:lock w:val="sdtLocked"/>
              </w:sdtPr>
              <w:sdtEndPr/>
              <w:sdtContent>
                <w:tc>
                  <w:tcPr>
                    <w:tcW w:w="940" w:type="pct"/>
                    <w:tcBorders>
                      <w:top w:val="single" w:sz="4" w:space="0" w:color="auto"/>
                      <w:left w:val="single" w:sz="4" w:space="0" w:color="auto"/>
                      <w:bottom w:val="single" w:sz="4" w:space="0" w:color="auto"/>
                      <w:right w:val="single" w:sz="4" w:space="0" w:color="auto"/>
                    </w:tcBorders>
                    <w:vAlign w:val="center"/>
                  </w:tcPr>
                  <w:p w14:paraId="78F0B84D" w14:textId="77777777" w:rsidR="00830E72" w:rsidRDefault="008344D8">
                    <w:pPr>
                      <w:jc w:val="center"/>
                    </w:pPr>
                    <w:r>
                      <w:t>本期减少</w:t>
                    </w:r>
                  </w:p>
                </w:tc>
              </w:sdtContent>
            </w:sdt>
            <w:sdt>
              <w:sdtPr>
                <w:tag w:val="_PLD_190d6bcbbde148ffb48f230c6d9d7186"/>
                <w:id w:val="-986007789"/>
                <w:lock w:val="sdtLocked"/>
              </w:sdtPr>
              <w:sdtEndPr/>
              <w:sdtContent>
                <w:tc>
                  <w:tcPr>
                    <w:tcW w:w="945" w:type="pct"/>
                    <w:tcBorders>
                      <w:top w:val="single" w:sz="4" w:space="0" w:color="auto"/>
                      <w:left w:val="single" w:sz="4" w:space="0" w:color="auto"/>
                      <w:bottom w:val="single" w:sz="4" w:space="0" w:color="auto"/>
                      <w:right w:val="single" w:sz="4" w:space="0" w:color="auto"/>
                    </w:tcBorders>
                    <w:vAlign w:val="center"/>
                  </w:tcPr>
                  <w:p w14:paraId="45DB4BB2" w14:textId="77777777" w:rsidR="00830E72" w:rsidRDefault="008344D8">
                    <w:pPr>
                      <w:autoSpaceDE w:val="0"/>
                      <w:autoSpaceDN w:val="0"/>
                      <w:adjustRightInd w:val="0"/>
                      <w:jc w:val="center"/>
                      <w:rPr>
                        <w:szCs w:val="21"/>
                      </w:rPr>
                    </w:pPr>
                    <w:r>
                      <w:rPr>
                        <w:rFonts w:hint="eastAsia"/>
                        <w:szCs w:val="21"/>
                      </w:rPr>
                      <w:t>期末余额</w:t>
                    </w:r>
                  </w:p>
                </w:tc>
              </w:sdtContent>
            </w:sdt>
          </w:tr>
          <w:tr w:rsidR="00830E72" w14:paraId="18713979" w14:textId="77777777">
            <w:sdt>
              <w:sdtPr>
                <w:tag w:val="_PLD_b24db0ed8285493c9b46db6af314618d"/>
                <w:id w:val="-713735917"/>
                <w:lock w:val="sdtLocked"/>
              </w:sdtPr>
              <w:sdtEndPr/>
              <w:sdtContent>
                <w:tc>
                  <w:tcPr>
                    <w:tcW w:w="1235" w:type="pct"/>
                    <w:tcBorders>
                      <w:top w:val="single" w:sz="4" w:space="0" w:color="auto"/>
                      <w:left w:val="single" w:sz="4" w:space="0" w:color="auto"/>
                      <w:bottom w:val="single" w:sz="4" w:space="0" w:color="auto"/>
                      <w:right w:val="single" w:sz="4" w:space="0" w:color="auto"/>
                    </w:tcBorders>
                  </w:tcPr>
                  <w:p w14:paraId="0CA1A3E2" w14:textId="77777777" w:rsidR="00830E72" w:rsidRDefault="008344D8">
                    <w:pPr>
                      <w:autoSpaceDE w:val="0"/>
                      <w:autoSpaceDN w:val="0"/>
                      <w:adjustRightInd w:val="0"/>
                      <w:rPr>
                        <w:szCs w:val="21"/>
                      </w:rPr>
                    </w:pPr>
                    <w:r>
                      <w:rPr>
                        <w:rFonts w:hint="eastAsia"/>
                        <w:szCs w:val="21"/>
                      </w:rPr>
                      <w:t>一、工资、奖金、津贴和补贴</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3018BB8B" w14:textId="77777777" w:rsidR="00830E72" w:rsidRDefault="008344D8">
                <w:pPr>
                  <w:jc w:val="right"/>
                  <w:rPr>
                    <w:szCs w:val="21"/>
                  </w:rPr>
                </w:pPr>
                <w:r>
                  <w:rPr>
                    <w:szCs w:val="21"/>
                  </w:rPr>
                  <w:t>29,196,308.98</w:t>
                </w:r>
              </w:p>
            </w:tc>
            <w:tc>
              <w:tcPr>
                <w:tcW w:w="940" w:type="pct"/>
                <w:tcBorders>
                  <w:top w:val="single" w:sz="4" w:space="0" w:color="auto"/>
                  <w:left w:val="single" w:sz="4" w:space="0" w:color="auto"/>
                  <w:bottom w:val="single" w:sz="4" w:space="0" w:color="auto"/>
                  <w:right w:val="single" w:sz="4" w:space="0" w:color="auto"/>
                </w:tcBorders>
                <w:vAlign w:val="center"/>
              </w:tcPr>
              <w:p w14:paraId="3FDF7DF1" w14:textId="77777777" w:rsidR="00830E72" w:rsidRDefault="008344D8">
                <w:pPr>
                  <w:jc w:val="right"/>
                  <w:rPr>
                    <w:szCs w:val="21"/>
                  </w:rPr>
                </w:pPr>
                <w:r>
                  <w:rPr>
                    <w:szCs w:val="21"/>
                  </w:rPr>
                  <w:t>72,995,035.42</w:t>
                </w:r>
              </w:p>
            </w:tc>
            <w:tc>
              <w:tcPr>
                <w:tcW w:w="940" w:type="pct"/>
                <w:tcBorders>
                  <w:top w:val="single" w:sz="4" w:space="0" w:color="auto"/>
                  <w:left w:val="single" w:sz="4" w:space="0" w:color="auto"/>
                  <w:bottom w:val="single" w:sz="4" w:space="0" w:color="auto"/>
                  <w:right w:val="single" w:sz="4" w:space="0" w:color="auto"/>
                </w:tcBorders>
                <w:vAlign w:val="center"/>
              </w:tcPr>
              <w:p w14:paraId="7BEF5419" w14:textId="77777777" w:rsidR="00830E72" w:rsidRDefault="008344D8">
                <w:pPr>
                  <w:jc w:val="right"/>
                  <w:rPr>
                    <w:szCs w:val="21"/>
                  </w:rPr>
                </w:pPr>
                <w:r>
                  <w:rPr>
                    <w:szCs w:val="21"/>
                  </w:rPr>
                  <w:t>80,800,027.86</w:t>
                </w:r>
              </w:p>
            </w:tc>
            <w:tc>
              <w:tcPr>
                <w:tcW w:w="945" w:type="pct"/>
                <w:tcBorders>
                  <w:top w:val="single" w:sz="4" w:space="0" w:color="auto"/>
                  <w:left w:val="single" w:sz="4" w:space="0" w:color="auto"/>
                  <w:bottom w:val="single" w:sz="4" w:space="0" w:color="auto"/>
                  <w:right w:val="single" w:sz="4" w:space="0" w:color="auto"/>
                </w:tcBorders>
                <w:vAlign w:val="center"/>
              </w:tcPr>
              <w:p w14:paraId="277A4336" w14:textId="77777777" w:rsidR="00830E72" w:rsidRDefault="008344D8">
                <w:pPr>
                  <w:jc w:val="right"/>
                  <w:rPr>
                    <w:szCs w:val="21"/>
                  </w:rPr>
                </w:pPr>
                <w:r>
                  <w:rPr>
                    <w:szCs w:val="21"/>
                  </w:rPr>
                  <w:t>21,391,316.54</w:t>
                </w:r>
              </w:p>
            </w:tc>
          </w:tr>
          <w:tr w:rsidR="00830E72" w14:paraId="5257ECA6" w14:textId="77777777">
            <w:sdt>
              <w:sdtPr>
                <w:tag w:val="_PLD_f557df41d0484816863da6fa2f5bb6e0"/>
                <w:id w:val="-1456012076"/>
                <w:lock w:val="sdtLocked"/>
              </w:sdtPr>
              <w:sdtEndPr/>
              <w:sdtContent>
                <w:tc>
                  <w:tcPr>
                    <w:tcW w:w="1235" w:type="pct"/>
                    <w:tcBorders>
                      <w:top w:val="single" w:sz="4" w:space="0" w:color="auto"/>
                      <w:left w:val="single" w:sz="4" w:space="0" w:color="auto"/>
                      <w:bottom w:val="single" w:sz="4" w:space="0" w:color="auto"/>
                      <w:right w:val="single" w:sz="4" w:space="0" w:color="auto"/>
                    </w:tcBorders>
                  </w:tcPr>
                  <w:p w14:paraId="4AB69C0A" w14:textId="77777777" w:rsidR="00830E72" w:rsidRDefault="008344D8">
                    <w:pPr>
                      <w:autoSpaceDE w:val="0"/>
                      <w:autoSpaceDN w:val="0"/>
                      <w:adjustRightInd w:val="0"/>
                      <w:rPr>
                        <w:szCs w:val="21"/>
                      </w:rPr>
                    </w:pPr>
                    <w:r>
                      <w:rPr>
                        <w:rFonts w:hint="eastAsia"/>
                        <w:szCs w:val="21"/>
                      </w:rPr>
                      <w:t>二、职工福利费</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5A8D179A" w14:textId="77777777" w:rsidR="00830E72" w:rsidRDefault="00830E72">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71CF6554" w14:textId="77777777" w:rsidR="00830E72" w:rsidRDefault="008344D8">
                <w:pPr>
                  <w:jc w:val="right"/>
                  <w:rPr>
                    <w:szCs w:val="21"/>
                  </w:rPr>
                </w:pPr>
                <w:r>
                  <w:rPr>
                    <w:szCs w:val="21"/>
                  </w:rPr>
                  <w:t>4,765,669.63</w:t>
                </w:r>
              </w:p>
            </w:tc>
            <w:tc>
              <w:tcPr>
                <w:tcW w:w="940" w:type="pct"/>
                <w:tcBorders>
                  <w:top w:val="single" w:sz="4" w:space="0" w:color="auto"/>
                  <w:left w:val="single" w:sz="4" w:space="0" w:color="auto"/>
                  <w:bottom w:val="single" w:sz="4" w:space="0" w:color="auto"/>
                  <w:right w:val="single" w:sz="4" w:space="0" w:color="auto"/>
                </w:tcBorders>
                <w:vAlign w:val="center"/>
              </w:tcPr>
              <w:p w14:paraId="3C6F476B" w14:textId="77777777" w:rsidR="00830E72" w:rsidRDefault="008344D8">
                <w:pPr>
                  <w:jc w:val="right"/>
                  <w:rPr>
                    <w:szCs w:val="21"/>
                  </w:rPr>
                </w:pPr>
                <w:r>
                  <w:rPr>
                    <w:szCs w:val="21"/>
                  </w:rPr>
                  <w:t>4,765,669.63</w:t>
                </w:r>
              </w:p>
            </w:tc>
            <w:tc>
              <w:tcPr>
                <w:tcW w:w="945" w:type="pct"/>
                <w:tcBorders>
                  <w:top w:val="single" w:sz="4" w:space="0" w:color="auto"/>
                  <w:left w:val="single" w:sz="4" w:space="0" w:color="auto"/>
                  <w:bottom w:val="single" w:sz="4" w:space="0" w:color="auto"/>
                  <w:right w:val="single" w:sz="4" w:space="0" w:color="auto"/>
                </w:tcBorders>
                <w:vAlign w:val="center"/>
              </w:tcPr>
              <w:p w14:paraId="1413B01C" w14:textId="77777777" w:rsidR="00830E72" w:rsidRDefault="00830E72">
                <w:pPr>
                  <w:jc w:val="right"/>
                  <w:rPr>
                    <w:szCs w:val="21"/>
                  </w:rPr>
                </w:pPr>
              </w:p>
            </w:tc>
          </w:tr>
          <w:tr w:rsidR="00830E72" w14:paraId="751E34DF" w14:textId="77777777">
            <w:sdt>
              <w:sdtPr>
                <w:tag w:val="_PLD_dbac61dc87104ba08157258eaf632c94"/>
                <w:id w:val="-423575181"/>
                <w:lock w:val="sdtLocked"/>
              </w:sdtPr>
              <w:sdtEndPr/>
              <w:sdtContent>
                <w:tc>
                  <w:tcPr>
                    <w:tcW w:w="1235" w:type="pct"/>
                    <w:tcBorders>
                      <w:top w:val="single" w:sz="4" w:space="0" w:color="auto"/>
                      <w:left w:val="single" w:sz="4" w:space="0" w:color="auto"/>
                      <w:bottom w:val="single" w:sz="4" w:space="0" w:color="auto"/>
                      <w:right w:val="single" w:sz="4" w:space="0" w:color="auto"/>
                    </w:tcBorders>
                  </w:tcPr>
                  <w:p w14:paraId="121E8B47" w14:textId="77777777" w:rsidR="00830E72" w:rsidRDefault="008344D8">
                    <w:pPr>
                      <w:autoSpaceDE w:val="0"/>
                      <w:autoSpaceDN w:val="0"/>
                      <w:adjustRightInd w:val="0"/>
                      <w:rPr>
                        <w:szCs w:val="21"/>
                      </w:rPr>
                    </w:pPr>
                    <w:r>
                      <w:rPr>
                        <w:rFonts w:hint="eastAsia"/>
                        <w:szCs w:val="21"/>
                      </w:rPr>
                      <w:t>三、社会保险费</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38D1D6A5" w14:textId="77777777" w:rsidR="00830E72" w:rsidRDefault="00830E72">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65244617" w14:textId="77777777" w:rsidR="00830E72" w:rsidRDefault="008344D8">
                <w:pPr>
                  <w:jc w:val="right"/>
                  <w:rPr>
                    <w:szCs w:val="21"/>
                  </w:rPr>
                </w:pPr>
                <w:r>
                  <w:rPr>
                    <w:szCs w:val="21"/>
                  </w:rPr>
                  <w:t>1,520,636.71</w:t>
                </w:r>
              </w:p>
            </w:tc>
            <w:tc>
              <w:tcPr>
                <w:tcW w:w="940" w:type="pct"/>
                <w:tcBorders>
                  <w:top w:val="single" w:sz="4" w:space="0" w:color="auto"/>
                  <w:left w:val="single" w:sz="4" w:space="0" w:color="auto"/>
                  <w:bottom w:val="single" w:sz="4" w:space="0" w:color="auto"/>
                  <w:right w:val="single" w:sz="4" w:space="0" w:color="auto"/>
                </w:tcBorders>
                <w:vAlign w:val="center"/>
              </w:tcPr>
              <w:p w14:paraId="3BA1CB81" w14:textId="77777777" w:rsidR="00830E72" w:rsidRDefault="008344D8">
                <w:pPr>
                  <w:jc w:val="right"/>
                  <w:rPr>
                    <w:szCs w:val="21"/>
                  </w:rPr>
                </w:pPr>
                <w:r>
                  <w:rPr>
                    <w:szCs w:val="21"/>
                  </w:rPr>
                  <w:t>1,520,636.71</w:t>
                </w:r>
              </w:p>
            </w:tc>
            <w:tc>
              <w:tcPr>
                <w:tcW w:w="945" w:type="pct"/>
                <w:tcBorders>
                  <w:top w:val="single" w:sz="4" w:space="0" w:color="auto"/>
                  <w:left w:val="single" w:sz="4" w:space="0" w:color="auto"/>
                  <w:bottom w:val="single" w:sz="4" w:space="0" w:color="auto"/>
                  <w:right w:val="single" w:sz="4" w:space="0" w:color="auto"/>
                </w:tcBorders>
                <w:vAlign w:val="center"/>
              </w:tcPr>
              <w:p w14:paraId="4908E3F6" w14:textId="77777777" w:rsidR="00830E72" w:rsidRDefault="00830E72">
                <w:pPr>
                  <w:jc w:val="right"/>
                  <w:rPr>
                    <w:szCs w:val="21"/>
                  </w:rPr>
                </w:pPr>
              </w:p>
            </w:tc>
          </w:tr>
          <w:tr w:rsidR="00830E72" w14:paraId="0C40F444" w14:textId="77777777">
            <w:sdt>
              <w:sdtPr>
                <w:tag w:val="_PLD_1ae6ec180f494dc4bdbe2a71caadcf9d"/>
                <w:id w:val="1177610836"/>
                <w:lock w:val="sdtLocked"/>
              </w:sdtPr>
              <w:sdtEndPr/>
              <w:sdtContent>
                <w:tc>
                  <w:tcPr>
                    <w:tcW w:w="1235" w:type="pct"/>
                    <w:tcBorders>
                      <w:top w:val="single" w:sz="4" w:space="0" w:color="auto"/>
                      <w:left w:val="single" w:sz="4" w:space="0" w:color="auto"/>
                      <w:bottom w:val="single" w:sz="4" w:space="0" w:color="auto"/>
                      <w:right w:val="single" w:sz="4" w:space="0" w:color="auto"/>
                    </w:tcBorders>
                  </w:tcPr>
                  <w:p w14:paraId="22DF4D6B" w14:textId="77777777" w:rsidR="00830E72" w:rsidRDefault="008344D8">
                    <w:pPr>
                      <w:rPr>
                        <w:color w:val="008000"/>
                        <w:szCs w:val="21"/>
                      </w:rPr>
                    </w:pPr>
                    <w:r>
                      <w:rPr>
                        <w:rFonts w:hint="eastAsia"/>
                        <w:szCs w:val="21"/>
                      </w:rPr>
                      <w:t>其中：</w:t>
                    </w:r>
                    <w:r>
                      <w:rPr>
                        <w:szCs w:val="21"/>
                      </w:rPr>
                      <w:t>医疗保险费</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6BA9C5D4" w14:textId="77777777" w:rsidR="00830E72" w:rsidRDefault="00830E72">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6B174C8D" w14:textId="77777777" w:rsidR="00830E72" w:rsidRDefault="008344D8">
                <w:pPr>
                  <w:jc w:val="right"/>
                  <w:rPr>
                    <w:szCs w:val="21"/>
                  </w:rPr>
                </w:pPr>
                <w:r>
                  <w:rPr>
                    <w:szCs w:val="21"/>
                  </w:rPr>
                  <w:t>1,432,444.70</w:t>
                </w:r>
              </w:p>
            </w:tc>
            <w:tc>
              <w:tcPr>
                <w:tcW w:w="940" w:type="pct"/>
                <w:tcBorders>
                  <w:top w:val="single" w:sz="4" w:space="0" w:color="auto"/>
                  <w:left w:val="single" w:sz="4" w:space="0" w:color="auto"/>
                  <w:bottom w:val="single" w:sz="4" w:space="0" w:color="auto"/>
                  <w:right w:val="single" w:sz="4" w:space="0" w:color="auto"/>
                </w:tcBorders>
                <w:vAlign w:val="center"/>
              </w:tcPr>
              <w:p w14:paraId="77E0A4D8" w14:textId="77777777" w:rsidR="00830E72" w:rsidRDefault="008344D8">
                <w:pPr>
                  <w:jc w:val="right"/>
                  <w:rPr>
                    <w:szCs w:val="21"/>
                  </w:rPr>
                </w:pPr>
                <w:r>
                  <w:rPr>
                    <w:szCs w:val="21"/>
                  </w:rPr>
                  <w:t>1,432,444.70</w:t>
                </w:r>
              </w:p>
            </w:tc>
            <w:tc>
              <w:tcPr>
                <w:tcW w:w="945" w:type="pct"/>
                <w:tcBorders>
                  <w:top w:val="single" w:sz="4" w:space="0" w:color="auto"/>
                  <w:left w:val="single" w:sz="4" w:space="0" w:color="auto"/>
                  <w:bottom w:val="single" w:sz="4" w:space="0" w:color="auto"/>
                  <w:right w:val="single" w:sz="4" w:space="0" w:color="auto"/>
                </w:tcBorders>
                <w:vAlign w:val="center"/>
              </w:tcPr>
              <w:p w14:paraId="0020FAC4" w14:textId="77777777" w:rsidR="00830E72" w:rsidRDefault="00830E72">
                <w:pPr>
                  <w:jc w:val="right"/>
                  <w:rPr>
                    <w:szCs w:val="21"/>
                  </w:rPr>
                </w:pPr>
              </w:p>
            </w:tc>
          </w:tr>
          <w:tr w:rsidR="00830E72" w14:paraId="1CD97228" w14:textId="77777777">
            <w:sdt>
              <w:sdtPr>
                <w:tag w:val="_PLD_a5396281963e4191a16040ecc2da4b44"/>
                <w:id w:val="1239902418"/>
                <w:lock w:val="sdtLocked"/>
              </w:sdtPr>
              <w:sdtEndPr/>
              <w:sdtContent>
                <w:tc>
                  <w:tcPr>
                    <w:tcW w:w="1235" w:type="pct"/>
                    <w:tcBorders>
                      <w:top w:val="single" w:sz="4" w:space="0" w:color="auto"/>
                      <w:left w:val="single" w:sz="4" w:space="0" w:color="auto"/>
                      <w:bottom w:val="single" w:sz="4" w:space="0" w:color="auto"/>
                      <w:right w:val="single" w:sz="4" w:space="0" w:color="auto"/>
                    </w:tcBorders>
                  </w:tcPr>
                  <w:p w14:paraId="32E79DFC" w14:textId="77777777" w:rsidR="00830E72" w:rsidRDefault="008344D8">
                    <w:pPr>
                      <w:ind w:firstLineChars="300" w:firstLine="630"/>
                      <w:rPr>
                        <w:szCs w:val="21"/>
                      </w:rPr>
                    </w:pPr>
                    <w:r>
                      <w:rPr>
                        <w:rFonts w:hint="eastAsia"/>
                        <w:szCs w:val="21"/>
                      </w:rPr>
                      <w:t>工伤保险费</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7AA4A71F" w14:textId="77777777" w:rsidR="00830E72" w:rsidRDefault="00830E72">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19AC585F" w14:textId="77777777" w:rsidR="00830E72" w:rsidRDefault="008344D8">
                <w:pPr>
                  <w:jc w:val="right"/>
                  <w:rPr>
                    <w:szCs w:val="21"/>
                  </w:rPr>
                </w:pPr>
                <w:r>
                  <w:rPr>
                    <w:szCs w:val="21"/>
                  </w:rPr>
                  <w:t>88,192.01</w:t>
                </w:r>
              </w:p>
            </w:tc>
            <w:tc>
              <w:tcPr>
                <w:tcW w:w="940" w:type="pct"/>
                <w:tcBorders>
                  <w:top w:val="single" w:sz="4" w:space="0" w:color="auto"/>
                  <w:left w:val="single" w:sz="4" w:space="0" w:color="auto"/>
                  <w:bottom w:val="single" w:sz="4" w:space="0" w:color="auto"/>
                  <w:right w:val="single" w:sz="4" w:space="0" w:color="auto"/>
                </w:tcBorders>
                <w:vAlign w:val="center"/>
              </w:tcPr>
              <w:p w14:paraId="03C6F960" w14:textId="77777777" w:rsidR="00830E72" w:rsidRDefault="008344D8">
                <w:pPr>
                  <w:jc w:val="right"/>
                  <w:rPr>
                    <w:szCs w:val="21"/>
                  </w:rPr>
                </w:pPr>
                <w:r>
                  <w:rPr>
                    <w:szCs w:val="21"/>
                  </w:rPr>
                  <w:t>88,192.01</w:t>
                </w:r>
              </w:p>
            </w:tc>
            <w:tc>
              <w:tcPr>
                <w:tcW w:w="945" w:type="pct"/>
                <w:tcBorders>
                  <w:top w:val="single" w:sz="4" w:space="0" w:color="auto"/>
                  <w:left w:val="single" w:sz="4" w:space="0" w:color="auto"/>
                  <w:bottom w:val="single" w:sz="4" w:space="0" w:color="auto"/>
                  <w:right w:val="single" w:sz="4" w:space="0" w:color="auto"/>
                </w:tcBorders>
                <w:vAlign w:val="center"/>
              </w:tcPr>
              <w:p w14:paraId="03598895" w14:textId="77777777" w:rsidR="00830E72" w:rsidRDefault="00830E72">
                <w:pPr>
                  <w:jc w:val="right"/>
                  <w:rPr>
                    <w:szCs w:val="21"/>
                  </w:rPr>
                </w:pPr>
              </w:p>
            </w:tc>
          </w:tr>
          <w:tr w:rsidR="00830E72" w14:paraId="5C951749" w14:textId="77777777">
            <w:sdt>
              <w:sdtPr>
                <w:tag w:val="_PLD_804a3b1683d741ebb83bd99deed156d6"/>
                <w:id w:val="289783580"/>
                <w:lock w:val="sdtLocked"/>
              </w:sdtPr>
              <w:sdtEndPr/>
              <w:sdtContent>
                <w:tc>
                  <w:tcPr>
                    <w:tcW w:w="1235" w:type="pct"/>
                    <w:tcBorders>
                      <w:top w:val="single" w:sz="4" w:space="0" w:color="auto"/>
                      <w:left w:val="single" w:sz="4" w:space="0" w:color="auto"/>
                      <w:bottom w:val="single" w:sz="4" w:space="0" w:color="auto"/>
                      <w:right w:val="single" w:sz="4" w:space="0" w:color="auto"/>
                    </w:tcBorders>
                  </w:tcPr>
                  <w:p w14:paraId="5CFD1A95" w14:textId="77777777" w:rsidR="00830E72" w:rsidRDefault="008344D8">
                    <w:pPr>
                      <w:ind w:firstLineChars="300" w:firstLine="630"/>
                      <w:rPr>
                        <w:szCs w:val="21"/>
                      </w:rPr>
                    </w:pPr>
                    <w:r>
                      <w:rPr>
                        <w:rFonts w:hint="eastAsia"/>
                        <w:szCs w:val="21"/>
                      </w:rPr>
                      <w:t>生育保险费</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74F1ACDA" w14:textId="77777777" w:rsidR="00830E72" w:rsidRDefault="00830E72">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76812885" w14:textId="77777777" w:rsidR="00830E72" w:rsidRDefault="00830E72">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53FC63F0" w14:textId="77777777" w:rsidR="00830E72" w:rsidRDefault="00830E72">
                <w:pPr>
                  <w:jc w:val="right"/>
                  <w:rPr>
                    <w:szCs w:val="21"/>
                  </w:rPr>
                </w:pPr>
              </w:p>
            </w:tc>
            <w:tc>
              <w:tcPr>
                <w:tcW w:w="945" w:type="pct"/>
                <w:tcBorders>
                  <w:top w:val="single" w:sz="4" w:space="0" w:color="auto"/>
                  <w:left w:val="single" w:sz="4" w:space="0" w:color="auto"/>
                  <w:bottom w:val="single" w:sz="4" w:space="0" w:color="auto"/>
                  <w:right w:val="single" w:sz="4" w:space="0" w:color="auto"/>
                </w:tcBorders>
                <w:vAlign w:val="center"/>
              </w:tcPr>
              <w:p w14:paraId="1492BE24" w14:textId="77777777" w:rsidR="00830E72" w:rsidRDefault="00830E72">
                <w:pPr>
                  <w:jc w:val="right"/>
                  <w:rPr>
                    <w:szCs w:val="21"/>
                  </w:rPr>
                </w:pPr>
              </w:p>
            </w:tc>
          </w:tr>
          <w:tr w:rsidR="00830E72" w14:paraId="441F9521" w14:textId="77777777">
            <w:sdt>
              <w:sdtPr>
                <w:tag w:val="_PLD_7cd8935ff2544a81820fdc14f7afe2b7"/>
                <w:id w:val="-193857602"/>
                <w:lock w:val="sdtLocked"/>
              </w:sdtPr>
              <w:sdtEndPr/>
              <w:sdtContent>
                <w:tc>
                  <w:tcPr>
                    <w:tcW w:w="1235" w:type="pct"/>
                    <w:tcBorders>
                      <w:top w:val="single" w:sz="4" w:space="0" w:color="auto"/>
                      <w:left w:val="single" w:sz="4" w:space="0" w:color="auto"/>
                      <w:bottom w:val="single" w:sz="4" w:space="0" w:color="auto"/>
                      <w:right w:val="single" w:sz="4" w:space="0" w:color="auto"/>
                    </w:tcBorders>
                  </w:tcPr>
                  <w:p w14:paraId="5EAB2BCD" w14:textId="77777777" w:rsidR="00830E72" w:rsidRDefault="008344D8">
                    <w:pPr>
                      <w:autoSpaceDE w:val="0"/>
                      <w:autoSpaceDN w:val="0"/>
                      <w:adjustRightInd w:val="0"/>
                      <w:rPr>
                        <w:szCs w:val="21"/>
                      </w:rPr>
                    </w:pPr>
                    <w:r>
                      <w:rPr>
                        <w:rFonts w:hint="eastAsia"/>
                        <w:szCs w:val="21"/>
                      </w:rPr>
                      <w:t>四、住房公积金</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67BC40F8" w14:textId="77777777" w:rsidR="00830E72" w:rsidRDefault="00830E72">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3C1560B5" w14:textId="77777777" w:rsidR="00830E72" w:rsidRDefault="008344D8">
                <w:pPr>
                  <w:jc w:val="right"/>
                  <w:rPr>
                    <w:szCs w:val="21"/>
                  </w:rPr>
                </w:pPr>
                <w:r>
                  <w:rPr>
                    <w:szCs w:val="21"/>
                  </w:rPr>
                  <w:t>1,196,684.58</w:t>
                </w:r>
              </w:p>
            </w:tc>
            <w:tc>
              <w:tcPr>
                <w:tcW w:w="940" w:type="pct"/>
                <w:tcBorders>
                  <w:top w:val="single" w:sz="4" w:space="0" w:color="auto"/>
                  <w:left w:val="single" w:sz="4" w:space="0" w:color="auto"/>
                  <w:bottom w:val="single" w:sz="4" w:space="0" w:color="auto"/>
                  <w:right w:val="single" w:sz="4" w:space="0" w:color="auto"/>
                </w:tcBorders>
                <w:vAlign w:val="center"/>
              </w:tcPr>
              <w:p w14:paraId="1B2BC7D6" w14:textId="77777777" w:rsidR="00830E72" w:rsidRDefault="008344D8">
                <w:pPr>
                  <w:jc w:val="right"/>
                  <w:rPr>
                    <w:szCs w:val="21"/>
                  </w:rPr>
                </w:pPr>
                <w:r>
                  <w:rPr>
                    <w:szCs w:val="21"/>
                  </w:rPr>
                  <w:t>1,196,684.58</w:t>
                </w:r>
              </w:p>
            </w:tc>
            <w:tc>
              <w:tcPr>
                <w:tcW w:w="945" w:type="pct"/>
                <w:tcBorders>
                  <w:top w:val="single" w:sz="4" w:space="0" w:color="auto"/>
                  <w:left w:val="single" w:sz="4" w:space="0" w:color="auto"/>
                  <w:bottom w:val="single" w:sz="4" w:space="0" w:color="auto"/>
                  <w:right w:val="single" w:sz="4" w:space="0" w:color="auto"/>
                </w:tcBorders>
                <w:vAlign w:val="center"/>
              </w:tcPr>
              <w:p w14:paraId="799E2C8A" w14:textId="77777777" w:rsidR="00830E72" w:rsidRDefault="00830E72">
                <w:pPr>
                  <w:jc w:val="right"/>
                  <w:rPr>
                    <w:szCs w:val="21"/>
                  </w:rPr>
                </w:pPr>
              </w:p>
            </w:tc>
          </w:tr>
          <w:tr w:rsidR="00830E72" w14:paraId="040E1EF0" w14:textId="77777777">
            <w:sdt>
              <w:sdtPr>
                <w:tag w:val="_PLD_9a4d3040fb464e23a007dcea5588dfc0"/>
                <w:id w:val="769973038"/>
                <w:lock w:val="sdtLocked"/>
              </w:sdtPr>
              <w:sdtEndPr/>
              <w:sdtContent>
                <w:tc>
                  <w:tcPr>
                    <w:tcW w:w="1235" w:type="pct"/>
                    <w:tcBorders>
                      <w:top w:val="single" w:sz="4" w:space="0" w:color="auto"/>
                      <w:left w:val="single" w:sz="4" w:space="0" w:color="auto"/>
                      <w:bottom w:val="single" w:sz="4" w:space="0" w:color="auto"/>
                      <w:right w:val="single" w:sz="4" w:space="0" w:color="auto"/>
                    </w:tcBorders>
                  </w:tcPr>
                  <w:p w14:paraId="0AA8FB84" w14:textId="77777777" w:rsidR="00830E72" w:rsidRDefault="008344D8">
                    <w:pPr>
                      <w:autoSpaceDE w:val="0"/>
                      <w:autoSpaceDN w:val="0"/>
                      <w:adjustRightInd w:val="0"/>
                      <w:rPr>
                        <w:szCs w:val="21"/>
                      </w:rPr>
                    </w:pPr>
                    <w:r>
                      <w:rPr>
                        <w:rFonts w:hint="eastAsia"/>
                        <w:szCs w:val="21"/>
                      </w:rPr>
                      <w:t>五、工会经费和职工教育经费</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0FC5B958" w14:textId="77777777" w:rsidR="00830E72" w:rsidRDefault="00830E72">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2F6415E6" w14:textId="77777777" w:rsidR="00830E72" w:rsidRDefault="008344D8">
                <w:pPr>
                  <w:jc w:val="right"/>
                  <w:rPr>
                    <w:szCs w:val="21"/>
                  </w:rPr>
                </w:pPr>
                <w:r>
                  <w:rPr>
                    <w:szCs w:val="21"/>
                  </w:rPr>
                  <w:t>310,093.40</w:t>
                </w:r>
              </w:p>
            </w:tc>
            <w:tc>
              <w:tcPr>
                <w:tcW w:w="940" w:type="pct"/>
                <w:tcBorders>
                  <w:top w:val="single" w:sz="4" w:space="0" w:color="auto"/>
                  <w:left w:val="single" w:sz="4" w:space="0" w:color="auto"/>
                  <w:bottom w:val="single" w:sz="4" w:space="0" w:color="auto"/>
                  <w:right w:val="single" w:sz="4" w:space="0" w:color="auto"/>
                </w:tcBorders>
                <w:vAlign w:val="center"/>
              </w:tcPr>
              <w:p w14:paraId="2DA8E37C" w14:textId="77777777" w:rsidR="00830E72" w:rsidRDefault="008344D8">
                <w:pPr>
                  <w:jc w:val="right"/>
                  <w:rPr>
                    <w:szCs w:val="21"/>
                  </w:rPr>
                </w:pPr>
                <w:r>
                  <w:rPr>
                    <w:szCs w:val="21"/>
                  </w:rPr>
                  <w:t>310,093.40</w:t>
                </w:r>
              </w:p>
            </w:tc>
            <w:tc>
              <w:tcPr>
                <w:tcW w:w="945" w:type="pct"/>
                <w:tcBorders>
                  <w:top w:val="single" w:sz="4" w:space="0" w:color="auto"/>
                  <w:left w:val="single" w:sz="4" w:space="0" w:color="auto"/>
                  <w:bottom w:val="single" w:sz="4" w:space="0" w:color="auto"/>
                  <w:right w:val="single" w:sz="4" w:space="0" w:color="auto"/>
                </w:tcBorders>
                <w:vAlign w:val="center"/>
              </w:tcPr>
              <w:p w14:paraId="432BD819" w14:textId="77777777" w:rsidR="00830E72" w:rsidRDefault="00830E72">
                <w:pPr>
                  <w:jc w:val="right"/>
                  <w:rPr>
                    <w:szCs w:val="21"/>
                  </w:rPr>
                </w:pPr>
              </w:p>
            </w:tc>
          </w:tr>
          <w:tr w:rsidR="00830E72" w14:paraId="41B6CC2D" w14:textId="77777777">
            <w:sdt>
              <w:sdtPr>
                <w:tag w:val="_PLD_bc842d3a1ac64d43805380b3757b59de"/>
                <w:id w:val="-819733166"/>
                <w:lock w:val="sdtLocked"/>
              </w:sdtPr>
              <w:sdtEndPr/>
              <w:sdtContent>
                <w:tc>
                  <w:tcPr>
                    <w:tcW w:w="1235" w:type="pct"/>
                    <w:tcBorders>
                      <w:top w:val="single" w:sz="4" w:space="0" w:color="auto"/>
                      <w:left w:val="single" w:sz="4" w:space="0" w:color="auto"/>
                      <w:bottom w:val="single" w:sz="4" w:space="0" w:color="auto"/>
                      <w:right w:val="single" w:sz="4" w:space="0" w:color="auto"/>
                    </w:tcBorders>
                  </w:tcPr>
                  <w:p w14:paraId="2CC58739" w14:textId="77777777" w:rsidR="00830E72" w:rsidRDefault="008344D8">
                    <w:pPr>
                      <w:autoSpaceDE w:val="0"/>
                      <w:autoSpaceDN w:val="0"/>
                      <w:adjustRightInd w:val="0"/>
                      <w:rPr>
                        <w:szCs w:val="21"/>
                      </w:rPr>
                    </w:pPr>
                    <w:r>
                      <w:rPr>
                        <w:rFonts w:hint="eastAsia"/>
                        <w:szCs w:val="21"/>
                      </w:rPr>
                      <w:t>六、短期带薪缺勤</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30E16BBA" w14:textId="77777777" w:rsidR="00830E72" w:rsidRDefault="00830E72">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52EE8620" w14:textId="77777777" w:rsidR="00830E72" w:rsidRDefault="00830E72">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239C6560" w14:textId="77777777" w:rsidR="00830E72" w:rsidRDefault="00830E72">
                <w:pPr>
                  <w:jc w:val="right"/>
                  <w:rPr>
                    <w:szCs w:val="21"/>
                  </w:rPr>
                </w:pPr>
              </w:p>
            </w:tc>
            <w:tc>
              <w:tcPr>
                <w:tcW w:w="945" w:type="pct"/>
                <w:tcBorders>
                  <w:top w:val="single" w:sz="4" w:space="0" w:color="auto"/>
                  <w:left w:val="single" w:sz="4" w:space="0" w:color="auto"/>
                  <w:bottom w:val="single" w:sz="4" w:space="0" w:color="auto"/>
                  <w:right w:val="single" w:sz="4" w:space="0" w:color="auto"/>
                </w:tcBorders>
                <w:vAlign w:val="center"/>
              </w:tcPr>
              <w:p w14:paraId="41E9CEFE" w14:textId="77777777" w:rsidR="00830E72" w:rsidRDefault="00830E72">
                <w:pPr>
                  <w:jc w:val="right"/>
                  <w:rPr>
                    <w:szCs w:val="21"/>
                  </w:rPr>
                </w:pPr>
              </w:p>
            </w:tc>
          </w:tr>
          <w:tr w:rsidR="00830E72" w14:paraId="65E133F1" w14:textId="77777777">
            <w:sdt>
              <w:sdtPr>
                <w:tag w:val="_PLD_54541d44000e431dabc3b1ad9c535a6b"/>
                <w:id w:val="423613519"/>
                <w:lock w:val="sdtLocked"/>
              </w:sdtPr>
              <w:sdtEndPr/>
              <w:sdtContent>
                <w:tc>
                  <w:tcPr>
                    <w:tcW w:w="1235" w:type="pct"/>
                    <w:tcBorders>
                      <w:top w:val="single" w:sz="4" w:space="0" w:color="auto"/>
                      <w:left w:val="single" w:sz="4" w:space="0" w:color="auto"/>
                      <w:bottom w:val="single" w:sz="4" w:space="0" w:color="auto"/>
                      <w:right w:val="single" w:sz="4" w:space="0" w:color="auto"/>
                    </w:tcBorders>
                  </w:tcPr>
                  <w:p w14:paraId="1CC3B563" w14:textId="77777777" w:rsidR="00830E72" w:rsidRDefault="008344D8">
                    <w:pPr>
                      <w:autoSpaceDE w:val="0"/>
                      <w:autoSpaceDN w:val="0"/>
                      <w:adjustRightInd w:val="0"/>
                      <w:rPr>
                        <w:szCs w:val="21"/>
                      </w:rPr>
                    </w:pPr>
                    <w:r>
                      <w:rPr>
                        <w:rFonts w:hint="eastAsia"/>
                        <w:szCs w:val="21"/>
                      </w:rPr>
                      <w:t>七、短期利润分享计划</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1B12650B" w14:textId="77777777" w:rsidR="00830E72" w:rsidRDefault="00830E72">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2BBB14D0" w14:textId="77777777" w:rsidR="00830E72" w:rsidRDefault="00830E72">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431A43C8" w14:textId="77777777" w:rsidR="00830E72" w:rsidRDefault="00830E72">
                <w:pPr>
                  <w:jc w:val="right"/>
                  <w:rPr>
                    <w:szCs w:val="21"/>
                  </w:rPr>
                </w:pPr>
              </w:p>
            </w:tc>
            <w:tc>
              <w:tcPr>
                <w:tcW w:w="945" w:type="pct"/>
                <w:tcBorders>
                  <w:top w:val="single" w:sz="4" w:space="0" w:color="auto"/>
                  <w:left w:val="single" w:sz="4" w:space="0" w:color="auto"/>
                  <w:bottom w:val="single" w:sz="4" w:space="0" w:color="auto"/>
                  <w:right w:val="single" w:sz="4" w:space="0" w:color="auto"/>
                </w:tcBorders>
                <w:vAlign w:val="center"/>
              </w:tcPr>
              <w:p w14:paraId="61A72FCA" w14:textId="77777777" w:rsidR="00830E72" w:rsidRDefault="00830E72">
                <w:pPr>
                  <w:jc w:val="right"/>
                  <w:rPr>
                    <w:szCs w:val="21"/>
                  </w:rPr>
                </w:pPr>
              </w:p>
            </w:tc>
          </w:tr>
          <w:tr w:rsidR="00830E72" w14:paraId="2A19835E" w14:textId="77777777">
            <w:sdt>
              <w:sdtPr>
                <w:tag w:val="_PLD_9abbed23473c4b4bb51ec9b7d667e31c"/>
                <w:id w:val="-551071897"/>
                <w:lock w:val="sdtLocked"/>
              </w:sdtPr>
              <w:sdtEndPr/>
              <w:sdtContent>
                <w:tc>
                  <w:tcPr>
                    <w:tcW w:w="1235" w:type="pct"/>
                    <w:tcBorders>
                      <w:top w:val="single" w:sz="4" w:space="0" w:color="auto"/>
                      <w:left w:val="single" w:sz="4" w:space="0" w:color="auto"/>
                      <w:bottom w:val="single" w:sz="4" w:space="0" w:color="auto"/>
                      <w:right w:val="single" w:sz="4" w:space="0" w:color="auto"/>
                    </w:tcBorders>
                    <w:vAlign w:val="center"/>
                  </w:tcPr>
                  <w:p w14:paraId="0B92A368" w14:textId="77777777" w:rsidR="00830E72" w:rsidRDefault="008344D8">
                    <w:pPr>
                      <w:autoSpaceDE w:val="0"/>
                      <w:autoSpaceDN w:val="0"/>
                      <w:adjustRightInd w:val="0"/>
                      <w:jc w:val="center"/>
                      <w:rPr>
                        <w:szCs w:val="21"/>
                      </w:rPr>
                    </w:pPr>
                    <w:r>
                      <w:rPr>
                        <w:rFonts w:hint="eastAsia"/>
                        <w:szCs w:val="21"/>
                      </w:rPr>
                      <w:t>合计</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1393941E" w14:textId="77777777" w:rsidR="00830E72" w:rsidRDefault="008344D8">
                <w:pPr>
                  <w:jc w:val="right"/>
                  <w:rPr>
                    <w:szCs w:val="21"/>
                  </w:rPr>
                </w:pPr>
                <w:r>
                  <w:rPr>
                    <w:szCs w:val="21"/>
                  </w:rPr>
                  <w:t>29,196,308.98</w:t>
                </w:r>
              </w:p>
            </w:tc>
            <w:tc>
              <w:tcPr>
                <w:tcW w:w="940" w:type="pct"/>
                <w:tcBorders>
                  <w:top w:val="single" w:sz="4" w:space="0" w:color="auto"/>
                  <w:left w:val="single" w:sz="4" w:space="0" w:color="auto"/>
                  <w:bottom w:val="single" w:sz="4" w:space="0" w:color="auto"/>
                  <w:right w:val="single" w:sz="4" w:space="0" w:color="auto"/>
                </w:tcBorders>
                <w:vAlign w:val="center"/>
              </w:tcPr>
              <w:p w14:paraId="1FA5F361" w14:textId="77777777" w:rsidR="00830E72" w:rsidRDefault="008344D8">
                <w:pPr>
                  <w:jc w:val="right"/>
                  <w:rPr>
                    <w:szCs w:val="21"/>
                  </w:rPr>
                </w:pPr>
                <w:r>
                  <w:rPr>
                    <w:szCs w:val="21"/>
                  </w:rPr>
                  <w:t>80,788,119.74</w:t>
                </w:r>
              </w:p>
            </w:tc>
            <w:tc>
              <w:tcPr>
                <w:tcW w:w="940" w:type="pct"/>
                <w:tcBorders>
                  <w:top w:val="single" w:sz="4" w:space="0" w:color="auto"/>
                  <w:left w:val="single" w:sz="4" w:space="0" w:color="auto"/>
                  <w:bottom w:val="single" w:sz="4" w:space="0" w:color="auto"/>
                  <w:right w:val="single" w:sz="4" w:space="0" w:color="auto"/>
                </w:tcBorders>
                <w:vAlign w:val="center"/>
              </w:tcPr>
              <w:p w14:paraId="3C7697B8" w14:textId="77777777" w:rsidR="00830E72" w:rsidRDefault="008344D8">
                <w:pPr>
                  <w:jc w:val="right"/>
                  <w:rPr>
                    <w:szCs w:val="21"/>
                  </w:rPr>
                </w:pPr>
                <w:r>
                  <w:rPr>
                    <w:szCs w:val="21"/>
                  </w:rPr>
                  <w:t>88,593,112.18</w:t>
                </w:r>
              </w:p>
            </w:tc>
            <w:tc>
              <w:tcPr>
                <w:tcW w:w="945" w:type="pct"/>
                <w:tcBorders>
                  <w:top w:val="single" w:sz="4" w:space="0" w:color="auto"/>
                  <w:left w:val="single" w:sz="4" w:space="0" w:color="auto"/>
                  <w:bottom w:val="single" w:sz="4" w:space="0" w:color="auto"/>
                  <w:right w:val="single" w:sz="4" w:space="0" w:color="auto"/>
                </w:tcBorders>
                <w:vAlign w:val="center"/>
              </w:tcPr>
              <w:p w14:paraId="2CA752A0" w14:textId="77777777" w:rsidR="00830E72" w:rsidRDefault="008344D8">
                <w:pPr>
                  <w:jc w:val="right"/>
                  <w:rPr>
                    <w:szCs w:val="21"/>
                  </w:rPr>
                </w:pPr>
                <w:r>
                  <w:rPr>
                    <w:szCs w:val="21"/>
                  </w:rPr>
                  <w:t>21,391,316.54</w:t>
                </w:r>
              </w:p>
            </w:tc>
          </w:tr>
        </w:tbl>
        <w:p w14:paraId="2FD16C50" w14:textId="77777777" w:rsidR="00830E72" w:rsidRDefault="00D44830">
          <w:pPr>
            <w:rPr>
              <w:color w:val="000000" w:themeColor="text1"/>
              <w:szCs w:val="21"/>
            </w:rPr>
          </w:pPr>
        </w:p>
      </w:sdtContent>
    </w:sdt>
    <w:sdt>
      <w:sdtPr>
        <w:rPr>
          <w:rFonts w:ascii="宋体" w:hAnsi="宋体" w:cs="宋体" w:hint="eastAsia"/>
          <w:b w:val="0"/>
          <w:bCs w:val="0"/>
          <w:kern w:val="0"/>
          <w:szCs w:val="21"/>
        </w:rPr>
        <w:alias w:val="模块:设定提存计划列示"/>
        <w:tag w:val="_GBC_b98ebc9fce454755bd30d763bee0283a"/>
        <w:id w:val="1209540979"/>
        <w:lock w:val="sdtLocked"/>
        <w:placeholder>
          <w:docPart w:val="GBC22222222222222222222222222222"/>
        </w:placeholder>
      </w:sdtPr>
      <w:sdtEndPr/>
      <w:sdtContent>
        <w:p w14:paraId="103517A0" w14:textId="77777777" w:rsidR="00830E72" w:rsidRDefault="008344D8">
          <w:pPr>
            <w:pStyle w:val="Style100"/>
            <w:numPr>
              <w:ilvl w:val="0"/>
              <w:numId w:val="68"/>
            </w:numPr>
            <w:rPr>
              <w:rFonts w:ascii="宋体" w:hAnsi="宋体"/>
              <w:szCs w:val="21"/>
            </w:rPr>
          </w:pPr>
          <w:r>
            <w:rPr>
              <w:rFonts w:ascii="宋体" w:hAnsi="宋体" w:hint="eastAsia"/>
              <w:szCs w:val="21"/>
            </w:rPr>
            <w:t>设定提存计划列示</w:t>
          </w:r>
        </w:p>
        <w:sdt>
          <w:sdtPr>
            <w:alias w:val="是否适用：设定提存计划列示[双击切换]"/>
            <w:tag w:val="_GBC_107b7eec6d75473e8809e93d01e00021"/>
            <w:id w:val="399170586"/>
            <w:lock w:val="sdtContentLocked"/>
            <w:placeholder>
              <w:docPart w:val="GBC22222222222222222222222222222"/>
            </w:placeholder>
          </w:sdtPr>
          <w:sdtEndPr/>
          <w:sdtContent>
            <w:p w14:paraId="5FD81171"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F21FE5A" w14:textId="77777777" w:rsidR="00830E72" w:rsidRDefault="008344D8">
          <w:pPr>
            <w:jc w:val="right"/>
          </w:pPr>
          <w:r>
            <w:rPr>
              <w:rFonts w:hint="eastAsia"/>
            </w:rPr>
            <w:t>单位：</w:t>
          </w:r>
          <w:sdt>
            <w:sdtPr>
              <w:rPr>
                <w:rFonts w:hint="eastAsia"/>
              </w:rPr>
              <w:alias w:val="单位：财务附注：设定提存计划列示"/>
              <w:tag w:val="_GBC_744d8f829e6040c78616ef1951ef7e59"/>
              <w:id w:val="-421491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设定提存计划列示"/>
              <w:tag w:val="_GBC_433e4a4ae9d648a2973673cbec959f23"/>
              <w:id w:val="-1254899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1623"/>
            <w:gridCol w:w="1609"/>
            <w:gridCol w:w="1638"/>
            <w:gridCol w:w="1593"/>
          </w:tblGrid>
          <w:tr w:rsidR="00830E72" w14:paraId="782AF455" w14:textId="77777777">
            <w:sdt>
              <w:sdtPr>
                <w:tag w:val="_PLD_f8a9011ca6bd4cc895a50279da6547e9"/>
                <w:id w:val="1842351455"/>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5627CEE3" w14:textId="77777777" w:rsidR="00830E72" w:rsidRDefault="008344D8">
                    <w:pPr>
                      <w:jc w:val="center"/>
                    </w:pPr>
                    <w:r>
                      <w:rPr>
                        <w:rFonts w:hint="eastAsia"/>
                      </w:rPr>
                      <w:t>项目</w:t>
                    </w:r>
                  </w:p>
                </w:tc>
              </w:sdtContent>
            </w:sdt>
            <w:sdt>
              <w:sdtPr>
                <w:tag w:val="_PLD_db9ecea0e08e4c1bb5fe2474183a8480"/>
                <w:id w:val="1612549690"/>
                <w:lock w:val="sdtLocked"/>
              </w:sdtPr>
              <w:sdtEnd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14:paraId="5038AE9C" w14:textId="77777777" w:rsidR="00830E72" w:rsidRDefault="008344D8">
                    <w:pPr>
                      <w:jc w:val="center"/>
                    </w:pPr>
                    <w:r>
                      <w:rPr>
                        <w:rFonts w:hint="eastAsia"/>
                      </w:rPr>
                      <w:t>期初余额</w:t>
                    </w:r>
                  </w:p>
                </w:tc>
              </w:sdtContent>
            </w:sdt>
            <w:sdt>
              <w:sdtPr>
                <w:tag w:val="_PLD_11b6b53867b44c92b19ef791cad0c8c4"/>
                <w:id w:val="672379348"/>
                <w:lock w:val="sdtLocked"/>
              </w:sdtPr>
              <w:sdtEnd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14:paraId="298F6FD7" w14:textId="77777777" w:rsidR="00830E72" w:rsidRDefault="008344D8">
                    <w:pPr>
                      <w:jc w:val="center"/>
                    </w:pPr>
                    <w:r>
                      <w:rPr>
                        <w:rFonts w:hint="eastAsia"/>
                      </w:rPr>
                      <w:t>本期增加</w:t>
                    </w:r>
                  </w:p>
                </w:tc>
              </w:sdtContent>
            </w:sdt>
            <w:sdt>
              <w:sdtPr>
                <w:tag w:val="_PLD_c2cbd009dd4248ceb9040da5fc326084"/>
                <w:id w:val="-1187436502"/>
                <w:lock w:val="sdtLocked"/>
              </w:sdtPr>
              <w:sdtEnd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14:paraId="7EC2446C" w14:textId="77777777" w:rsidR="00830E72" w:rsidRDefault="008344D8">
                    <w:pPr>
                      <w:jc w:val="center"/>
                    </w:pPr>
                    <w:r>
                      <w:rPr>
                        <w:rFonts w:hint="eastAsia"/>
                      </w:rPr>
                      <w:t>本期减少</w:t>
                    </w:r>
                  </w:p>
                </w:tc>
              </w:sdtContent>
            </w:sdt>
            <w:sdt>
              <w:sdtPr>
                <w:tag w:val="_PLD_0ded00fbf217420ebfe8ace86c12086d"/>
                <w:id w:val="1865934298"/>
                <w:lock w:val="sdtLocked"/>
              </w:sdtPr>
              <w:sdtEnd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14:paraId="7DC7E1B6" w14:textId="77777777" w:rsidR="00830E72" w:rsidRDefault="008344D8">
                    <w:pPr>
                      <w:jc w:val="center"/>
                    </w:pPr>
                    <w:r>
                      <w:rPr>
                        <w:rFonts w:hint="eastAsia"/>
                      </w:rPr>
                      <w:t>期末余额</w:t>
                    </w:r>
                  </w:p>
                </w:tc>
              </w:sdtContent>
            </w:sdt>
          </w:tr>
          <w:tr w:rsidR="00830E72" w14:paraId="1323F6A4" w14:textId="77777777">
            <w:sdt>
              <w:sdtPr>
                <w:tag w:val="_PLD_b93c5842361145079010296748b2acbc"/>
                <w:id w:val="1412589497"/>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22EC4C67" w14:textId="77777777" w:rsidR="00830E72" w:rsidRDefault="008344D8">
                    <w:r>
                      <w:rPr>
                        <w:rFonts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5E3BD811" w14:textId="77777777" w:rsidR="00830E72" w:rsidRDefault="00830E72">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38DCFD69" w14:textId="77777777" w:rsidR="00830E72" w:rsidRDefault="008344D8">
                <w:pPr>
                  <w:jc w:val="right"/>
                </w:pPr>
                <w:r>
                  <w:t>3,223,274.85</w:t>
                </w: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10F27AF1" w14:textId="77777777" w:rsidR="00830E72" w:rsidRDefault="008344D8">
                <w:pPr>
                  <w:jc w:val="right"/>
                </w:pPr>
                <w:r>
                  <w:t>3,223,274.85</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41632234" w14:textId="77777777" w:rsidR="00830E72" w:rsidRDefault="00830E72">
                <w:pPr>
                  <w:jc w:val="right"/>
                </w:pPr>
              </w:p>
            </w:tc>
          </w:tr>
          <w:tr w:rsidR="00830E72" w14:paraId="37B4C7D4" w14:textId="77777777">
            <w:sdt>
              <w:sdtPr>
                <w:tag w:val="_PLD_909a72476f78427892237821bb7d583f"/>
                <w:id w:val="1622493875"/>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65B9AB92" w14:textId="77777777" w:rsidR="00830E72" w:rsidRDefault="008344D8">
                    <w:r>
                      <w:rPr>
                        <w:rFonts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1EF7F082" w14:textId="77777777" w:rsidR="00830E72" w:rsidRDefault="00830E72">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28D2775B" w14:textId="77777777" w:rsidR="00830E72" w:rsidRDefault="008344D8">
                <w:pPr>
                  <w:jc w:val="right"/>
                </w:pPr>
                <w:r>
                  <w:t>133,266.11</w:t>
                </w: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2D39A684" w14:textId="77777777" w:rsidR="00830E72" w:rsidRDefault="008344D8">
                <w:pPr>
                  <w:jc w:val="right"/>
                </w:pPr>
                <w:r>
                  <w:t>133,266.11</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17B5E23C" w14:textId="77777777" w:rsidR="00830E72" w:rsidRDefault="00830E72">
                <w:pPr>
                  <w:jc w:val="right"/>
                </w:pPr>
              </w:p>
            </w:tc>
          </w:tr>
          <w:tr w:rsidR="00830E72" w14:paraId="47473AFA" w14:textId="77777777">
            <w:sdt>
              <w:sdtPr>
                <w:tag w:val="_PLD_f2bb08099d4d4b2a96054f71c4e23a24"/>
                <w:id w:val="2141371314"/>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2D62D40D" w14:textId="77777777" w:rsidR="00830E72" w:rsidRDefault="008344D8">
                    <w:r>
                      <w:rPr>
                        <w:rFonts w:hint="eastAsia"/>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436DCDDD" w14:textId="77777777" w:rsidR="00830E72" w:rsidRDefault="00830E72">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667F7AA3" w14:textId="77777777" w:rsidR="00830E72" w:rsidRDefault="00830E72">
                <w:pPr>
                  <w:jc w:val="right"/>
                </w:pP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4390B9DF" w14:textId="77777777" w:rsidR="00830E72" w:rsidRDefault="00830E72">
                <w:pPr>
                  <w:jc w:val="right"/>
                </w:pP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2237871D" w14:textId="77777777" w:rsidR="00830E72" w:rsidRDefault="00830E72">
                <w:pPr>
                  <w:jc w:val="right"/>
                </w:pPr>
              </w:p>
            </w:tc>
          </w:tr>
          <w:tr w:rsidR="00830E72" w14:paraId="03EE01AF" w14:textId="77777777">
            <w:sdt>
              <w:sdtPr>
                <w:tag w:val="_PLD_258ec0cea28b41718457ba73ff6955af"/>
                <w:id w:val="-384261518"/>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12AE61B0" w14:textId="77777777" w:rsidR="00830E72" w:rsidRDefault="008344D8">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46E660BF" w14:textId="77777777" w:rsidR="00830E72" w:rsidRDefault="00830E72">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0F1A67FD" w14:textId="77777777" w:rsidR="00830E72" w:rsidRDefault="008344D8">
                <w:pPr>
                  <w:jc w:val="center"/>
                </w:pPr>
                <w:r>
                  <w:t>3,356,540.96</w:t>
                </w: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03141E45" w14:textId="77777777" w:rsidR="00830E72" w:rsidRDefault="008344D8">
                <w:pPr>
                  <w:jc w:val="right"/>
                </w:pPr>
                <w:r>
                  <w:t>3,356,540.96</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35D9E9E0" w14:textId="77777777" w:rsidR="00830E72" w:rsidRDefault="00830E72">
                <w:pPr>
                  <w:jc w:val="right"/>
                </w:pPr>
              </w:p>
            </w:tc>
          </w:tr>
        </w:tbl>
        <w:p w14:paraId="5CC34FBE" w14:textId="77777777" w:rsidR="00830E72" w:rsidRDefault="00D44830">
          <w:pPr>
            <w:autoSpaceDE w:val="0"/>
            <w:autoSpaceDN w:val="0"/>
            <w:adjustRightInd w:val="0"/>
            <w:rPr>
              <w:szCs w:val="21"/>
            </w:rPr>
          </w:pPr>
        </w:p>
      </w:sdtContent>
    </w:sdt>
    <w:sdt>
      <w:sdtPr>
        <w:rPr>
          <w:rFonts w:hint="eastAsia"/>
          <w:szCs w:val="21"/>
        </w:rPr>
        <w:alias w:val="模块:应付职工薪酬说明"/>
        <w:tag w:val="_GBC_9173eff793e04226ba65f69088a27313"/>
        <w:id w:val="1614324741"/>
        <w:lock w:val="sdtLocked"/>
        <w:placeholder>
          <w:docPart w:val="GBC22222222222222222222222222222"/>
        </w:placeholder>
      </w:sdtPr>
      <w:sdtEndPr/>
      <w:sdtContent>
        <w:p w14:paraId="4BD71C91" w14:textId="77777777" w:rsidR="00830E72" w:rsidRDefault="008344D8">
          <w:pPr>
            <w:autoSpaceDE w:val="0"/>
            <w:autoSpaceDN w:val="0"/>
            <w:adjustRightInd w:val="0"/>
            <w:rPr>
              <w:szCs w:val="21"/>
            </w:rPr>
          </w:pPr>
          <w:r>
            <w:rPr>
              <w:rFonts w:hint="eastAsia"/>
              <w:szCs w:val="21"/>
            </w:rPr>
            <w:t>其他说明：</w:t>
          </w:r>
        </w:p>
        <w:sdt>
          <w:sdtPr>
            <w:rPr>
              <w:szCs w:val="21"/>
            </w:rPr>
            <w:alias w:val="是否适用：应付职工薪酬的说明[双击切换]"/>
            <w:tag w:val="_GBC_f41ecc08d4994ba99707111806caa376"/>
            <w:id w:val="-213744239"/>
            <w:lock w:val="sdtContentLocked"/>
            <w:placeholder>
              <w:docPart w:val="GBC22222222222222222222222222222"/>
            </w:placeholder>
          </w:sdtPr>
          <w:sdtEndPr/>
          <w:sdtContent>
            <w:p w14:paraId="166FB9C6" w14:textId="77777777" w:rsidR="00830E72" w:rsidRDefault="008344D8">
              <w:pPr>
                <w:autoSpaceDE w:val="0"/>
                <w:autoSpaceDN w:val="0"/>
                <w:adjustRightInd w:val="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736A543" w14:textId="77777777" w:rsidR="00830E72" w:rsidRDefault="00830E72">
      <w:pPr>
        <w:autoSpaceDE w:val="0"/>
        <w:autoSpaceDN w:val="0"/>
        <w:adjustRightInd w:val="0"/>
        <w:rPr>
          <w:szCs w:val="21"/>
        </w:rPr>
      </w:pPr>
    </w:p>
    <w:sdt>
      <w:sdtPr>
        <w:rPr>
          <w:rFonts w:ascii="宋体" w:hAnsi="宋体" w:cs="宋体" w:hint="eastAsia"/>
          <w:b w:val="0"/>
          <w:bCs w:val="0"/>
          <w:kern w:val="0"/>
          <w:szCs w:val="21"/>
        </w:rPr>
        <w:alias w:val="模块:应交税费"/>
        <w:tag w:val="_GBC_50fc9ef51868432e98c401f69097dfc6"/>
        <w:id w:val="-1296444527"/>
        <w:lock w:val="sdtLocked"/>
        <w:placeholder>
          <w:docPart w:val="GBC22222222222222222222222222222"/>
        </w:placeholder>
      </w:sdtPr>
      <w:sdtEndPr>
        <w:rPr>
          <w:rFonts w:cstheme="minorBidi" w:hint="default"/>
          <w:color w:val="000000" w:themeColor="text1"/>
          <w:kern w:val="2"/>
        </w:rPr>
      </w:sdtEndPr>
      <w:sdtContent>
        <w:p w14:paraId="666EEE5A"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应交税费</w:t>
          </w:r>
        </w:p>
        <w:sdt>
          <w:sdtPr>
            <w:alias w:val="是否适用：应交税费[双击切换]"/>
            <w:tag w:val="_GBC_e7e2664720b9408384c5d3cd6d97c132"/>
            <w:id w:val="-697543713"/>
            <w:lock w:val="sdtContentLocked"/>
            <w:placeholder>
              <w:docPart w:val="GBC22222222222222222222222222222"/>
            </w:placeholder>
          </w:sdtPr>
          <w:sdtEndPr/>
          <w:sdtContent>
            <w:p w14:paraId="48BAEBEE"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5F9DF41" w14:textId="77777777" w:rsidR="00830E72" w:rsidRDefault="008344D8">
          <w:pPr>
            <w:jc w:val="right"/>
            <w:rPr>
              <w:szCs w:val="21"/>
            </w:rPr>
          </w:pPr>
          <w:r>
            <w:rPr>
              <w:rFonts w:hint="eastAsia"/>
              <w:szCs w:val="21"/>
            </w:rPr>
            <w:t>单位：</w:t>
          </w:r>
          <w:sdt>
            <w:sdtPr>
              <w:rPr>
                <w:rFonts w:hint="eastAsia"/>
                <w:szCs w:val="21"/>
              </w:rPr>
              <w:alias w:val="单位：财务附注：应交税费"/>
              <w:tag w:val="_GBC_a6162c9f021640929018406be611b834"/>
              <w:id w:val="-21418768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d787fa1c70604797889c69c4c364e711"/>
              <w:id w:val="11443247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980"/>
            <w:gridCol w:w="2955"/>
            <w:gridCol w:w="2960"/>
          </w:tblGrid>
          <w:tr w:rsidR="00830E72" w14:paraId="2DFD6DA3" w14:textId="77777777">
            <w:trPr>
              <w:cantSplit/>
            </w:trPr>
            <w:tc>
              <w:tcPr>
                <w:tcW w:w="1675" w:type="pct"/>
                <w:vAlign w:val="center"/>
              </w:tcPr>
              <w:p w14:paraId="1DF699A1" w14:textId="77777777" w:rsidR="00830E72" w:rsidRDefault="00D44830">
                <w:pPr>
                  <w:spacing w:before="120"/>
                  <w:ind w:right="105"/>
                  <w:jc w:val="center"/>
                  <w:rPr>
                    <w:szCs w:val="21"/>
                  </w:rPr>
                </w:pPr>
                <w:sdt>
                  <w:sdtPr>
                    <w:tag w:val="_PLD_ab0019be2d10489d885d15626d85168f"/>
                    <w:id w:val="-1412539003"/>
                    <w:lock w:val="sdtLocked"/>
                  </w:sdtPr>
                  <w:sdtEndPr/>
                  <w:sdtContent>
                    <w:r w:rsidR="008344D8">
                      <w:rPr>
                        <w:rFonts w:hint="eastAsia"/>
                        <w:szCs w:val="21"/>
                      </w:rPr>
                      <w:t>项目</w:t>
                    </w:r>
                  </w:sdtContent>
                </w:sdt>
              </w:p>
            </w:tc>
            <w:sdt>
              <w:sdtPr>
                <w:tag w:val="_PLD_4d086e8f4e004ee3aa116a5d10a7ecbd"/>
                <w:id w:val="1153183587"/>
                <w:lock w:val="sdtLocked"/>
              </w:sdtPr>
              <w:sdtEndPr/>
              <w:sdtContent>
                <w:tc>
                  <w:tcPr>
                    <w:tcW w:w="1661" w:type="pct"/>
                    <w:vAlign w:val="center"/>
                  </w:tcPr>
                  <w:p w14:paraId="1870873D" w14:textId="77777777" w:rsidR="00830E72" w:rsidRDefault="008344D8">
                    <w:pPr>
                      <w:jc w:val="center"/>
                      <w:rPr>
                        <w:szCs w:val="21"/>
                      </w:rPr>
                    </w:pPr>
                    <w:r>
                      <w:rPr>
                        <w:rFonts w:hint="eastAsia"/>
                        <w:szCs w:val="21"/>
                      </w:rPr>
                      <w:t>期末余额</w:t>
                    </w:r>
                  </w:p>
                </w:tc>
              </w:sdtContent>
            </w:sdt>
            <w:sdt>
              <w:sdtPr>
                <w:tag w:val="_PLD_8b866f731e474c6ebfb67cd903ab95c8"/>
                <w:id w:val="-1204325371"/>
                <w:lock w:val="sdtLocked"/>
              </w:sdtPr>
              <w:sdtEndPr/>
              <w:sdtContent>
                <w:tc>
                  <w:tcPr>
                    <w:tcW w:w="1664" w:type="pct"/>
                    <w:vAlign w:val="center"/>
                  </w:tcPr>
                  <w:p w14:paraId="3000E928" w14:textId="77777777" w:rsidR="00830E72" w:rsidRDefault="008344D8">
                    <w:pPr>
                      <w:jc w:val="center"/>
                      <w:rPr>
                        <w:szCs w:val="21"/>
                      </w:rPr>
                    </w:pPr>
                    <w:r>
                      <w:rPr>
                        <w:rFonts w:hint="eastAsia"/>
                        <w:szCs w:val="21"/>
                      </w:rPr>
                      <w:t>期初余额</w:t>
                    </w:r>
                  </w:p>
                </w:tc>
              </w:sdtContent>
            </w:sdt>
          </w:tr>
          <w:tr w:rsidR="00830E72" w14:paraId="7D2B16A2" w14:textId="77777777">
            <w:trPr>
              <w:cantSplit/>
            </w:trPr>
            <w:sdt>
              <w:sdtPr>
                <w:tag w:val="_PLD_25992e1feab349b78cb44e1cc32b16bd"/>
                <w:id w:val="1953436558"/>
                <w:lock w:val="sdtLocked"/>
              </w:sdtPr>
              <w:sdtEndPr/>
              <w:sdtContent>
                <w:tc>
                  <w:tcPr>
                    <w:tcW w:w="1675" w:type="pct"/>
                    <w:shd w:val="clear" w:color="auto" w:fill="auto"/>
                  </w:tcPr>
                  <w:p w14:paraId="6E63D257" w14:textId="77777777" w:rsidR="00830E72" w:rsidRDefault="008344D8">
                    <w:pPr>
                      <w:ind w:right="105"/>
                      <w:rPr>
                        <w:szCs w:val="21"/>
                      </w:rPr>
                    </w:pPr>
                    <w:r>
                      <w:rPr>
                        <w:rFonts w:hint="eastAsia"/>
                        <w:szCs w:val="21"/>
                      </w:rPr>
                      <w:t>增值税</w:t>
                    </w:r>
                  </w:p>
                </w:tc>
              </w:sdtContent>
            </w:sdt>
            <w:tc>
              <w:tcPr>
                <w:tcW w:w="1661" w:type="pct"/>
                <w:shd w:val="clear" w:color="auto" w:fill="auto"/>
              </w:tcPr>
              <w:p w14:paraId="0689426E" w14:textId="77777777" w:rsidR="00830E72" w:rsidRDefault="008344D8">
                <w:pPr>
                  <w:ind w:right="73"/>
                  <w:jc w:val="right"/>
                  <w:rPr>
                    <w:szCs w:val="21"/>
                  </w:rPr>
                </w:pPr>
                <w:r>
                  <w:rPr>
                    <w:szCs w:val="21"/>
                  </w:rPr>
                  <w:t>2,724,039.7</w:t>
                </w:r>
              </w:p>
            </w:tc>
            <w:tc>
              <w:tcPr>
                <w:tcW w:w="1664" w:type="pct"/>
                <w:shd w:val="clear" w:color="auto" w:fill="auto"/>
              </w:tcPr>
              <w:p w14:paraId="5AC61BF3" w14:textId="77777777" w:rsidR="00830E72" w:rsidRDefault="008344D8">
                <w:pPr>
                  <w:jc w:val="right"/>
                  <w:rPr>
                    <w:szCs w:val="21"/>
                  </w:rPr>
                </w:pPr>
                <w:r>
                  <w:rPr>
                    <w:szCs w:val="21"/>
                  </w:rPr>
                  <w:t>7,916,127.51</w:t>
                </w:r>
              </w:p>
            </w:tc>
          </w:tr>
          <w:tr w:rsidR="00830E72" w14:paraId="2A748BB3" w14:textId="77777777">
            <w:trPr>
              <w:cantSplit/>
            </w:trPr>
            <w:sdt>
              <w:sdtPr>
                <w:tag w:val="_PLD_6069f9b576594e2eaf73c76c1080318c"/>
                <w:id w:val="483355749"/>
                <w:lock w:val="sdtLocked"/>
              </w:sdtPr>
              <w:sdtEndPr/>
              <w:sdtContent>
                <w:tc>
                  <w:tcPr>
                    <w:tcW w:w="1675" w:type="pct"/>
                    <w:shd w:val="clear" w:color="auto" w:fill="auto"/>
                  </w:tcPr>
                  <w:p w14:paraId="04ABB808" w14:textId="77777777" w:rsidR="00830E72" w:rsidRDefault="008344D8">
                    <w:pPr>
                      <w:ind w:right="105"/>
                      <w:rPr>
                        <w:szCs w:val="21"/>
                      </w:rPr>
                    </w:pPr>
                    <w:r>
                      <w:rPr>
                        <w:rFonts w:hint="eastAsia"/>
                        <w:szCs w:val="21"/>
                      </w:rPr>
                      <w:t>企业所得税</w:t>
                    </w:r>
                  </w:p>
                </w:tc>
              </w:sdtContent>
            </w:sdt>
            <w:tc>
              <w:tcPr>
                <w:tcW w:w="1661" w:type="pct"/>
                <w:shd w:val="clear" w:color="auto" w:fill="auto"/>
              </w:tcPr>
              <w:p w14:paraId="4ABFC294" w14:textId="77777777" w:rsidR="00830E72" w:rsidRDefault="008344D8">
                <w:pPr>
                  <w:ind w:right="73"/>
                  <w:jc w:val="right"/>
                  <w:rPr>
                    <w:szCs w:val="21"/>
                  </w:rPr>
                </w:pPr>
                <w:r>
                  <w:rPr>
                    <w:szCs w:val="21"/>
                  </w:rPr>
                  <w:t>14,612,590.48</w:t>
                </w:r>
              </w:p>
            </w:tc>
            <w:tc>
              <w:tcPr>
                <w:tcW w:w="1664" w:type="pct"/>
                <w:shd w:val="clear" w:color="auto" w:fill="auto"/>
              </w:tcPr>
              <w:p w14:paraId="39988008" w14:textId="77777777" w:rsidR="00830E72" w:rsidRDefault="008344D8">
                <w:pPr>
                  <w:jc w:val="right"/>
                  <w:rPr>
                    <w:szCs w:val="21"/>
                  </w:rPr>
                </w:pPr>
                <w:r>
                  <w:rPr>
                    <w:szCs w:val="21"/>
                  </w:rPr>
                  <w:t>19,923,318.88</w:t>
                </w:r>
              </w:p>
            </w:tc>
          </w:tr>
          <w:tr w:rsidR="00830E72" w14:paraId="30B0489E" w14:textId="77777777">
            <w:trPr>
              <w:cantSplit/>
            </w:trPr>
            <w:sdt>
              <w:sdtPr>
                <w:tag w:val="_PLD_7034b2e69b80422baeee1441e6830886"/>
                <w:id w:val="-1460716007"/>
                <w:lock w:val="sdtLocked"/>
              </w:sdtPr>
              <w:sdtEndPr/>
              <w:sdtContent>
                <w:tc>
                  <w:tcPr>
                    <w:tcW w:w="1675" w:type="pct"/>
                    <w:shd w:val="clear" w:color="auto" w:fill="auto"/>
                  </w:tcPr>
                  <w:p w14:paraId="54200EDE" w14:textId="77777777" w:rsidR="00830E72" w:rsidRDefault="008344D8">
                    <w:pPr>
                      <w:ind w:right="105"/>
                      <w:rPr>
                        <w:szCs w:val="21"/>
                      </w:rPr>
                    </w:pPr>
                    <w:r>
                      <w:rPr>
                        <w:rFonts w:hint="eastAsia"/>
                        <w:szCs w:val="21"/>
                      </w:rPr>
                      <w:t>个人所得税</w:t>
                    </w:r>
                  </w:p>
                </w:tc>
              </w:sdtContent>
            </w:sdt>
            <w:tc>
              <w:tcPr>
                <w:tcW w:w="1661" w:type="pct"/>
                <w:shd w:val="clear" w:color="auto" w:fill="auto"/>
              </w:tcPr>
              <w:p w14:paraId="6CE7475E" w14:textId="77777777" w:rsidR="00830E72" w:rsidRDefault="008344D8">
                <w:pPr>
                  <w:ind w:right="73"/>
                  <w:jc w:val="right"/>
                  <w:rPr>
                    <w:szCs w:val="21"/>
                  </w:rPr>
                </w:pPr>
                <w:r>
                  <w:rPr>
                    <w:szCs w:val="21"/>
                  </w:rPr>
                  <w:t>366,714.68</w:t>
                </w:r>
              </w:p>
            </w:tc>
            <w:tc>
              <w:tcPr>
                <w:tcW w:w="1664" w:type="pct"/>
                <w:shd w:val="clear" w:color="auto" w:fill="auto"/>
              </w:tcPr>
              <w:p w14:paraId="7FA9D07D" w14:textId="77777777" w:rsidR="00830E72" w:rsidRDefault="008344D8">
                <w:pPr>
                  <w:jc w:val="right"/>
                  <w:rPr>
                    <w:szCs w:val="21"/>
                  </w:rPr>
                </w:pPr>
                <w:r>
                  <w:rPr>
                    <w:szCs w:val="21"/>
                  </w:rPr>
                  <w:t>1,051,438.7</w:t>
                </w:r>
                <w:r>
                  <w:rPr>
                    <w:rFonts w:hint="eastAsia"/>
                    <w:szCs w:val="21"/>
                  </w:rPr>
                  <w:t>7</w:t>
                </w:r>
              </w:p>
            </w:tc>
          </w:tr>
          <w:tr w:rsidR="00830E72" w14:paraId="42FE9E22" w14:textId="77777777">
            <w:trPr>
              <w:cantSplit/>
            </w:trPr>
            <w:sdt>
              <w:sdtPr>
                <w:tag w:val="_PLD_76c030e64d064b19abe68ec0d74ffc7b"/>
                <w:id w:val="1943333939"/>
                <w:lock w:val="sdtLocked"/>
              </w:sdtPr>
              <w:sdtEndPr/>
              <w:sdtContent>
                <w:tc>
                  <w:tcPr>
                    <w:tcW w:w="1675" w:type="pct"/>
                    <w:shd w:val="clear" w:color="auto" w:fill="auto"/>
                  </w:tcPr>
                  <w:p w14:paraId="75DE9CF4" w14:textId="77777777" w:rsidR="00830E72" w:rsidRDefault="008344D8">
                    <w:pPr>
                      <w:ind w:right="105"/>
                      <w:rPr>
                        <w:szCs w:val="21"/>
                      </w:rPr>
                    </w:pPr>
                    <w:r>
                      <w:rPr>
                        <w:rFonts w:hint="eastAsia"/>
                        <w:szCs w:val="21"/>
                      </w:rPr>
                      <w:t>城市维护建设税</w:t>
                    </w:r>
                  </w:p>
                </w:tc>
              </w:sdtContent>
            </w:sdt>
            <w:tc>
              <w:tcPr>
                <w:tcW w:w="1661" w:type="pct"/>
                <w:shd w:val="clear" w:color="auto" w:fill="auto"/>
              </w:tcPr>
              <w:p w14:paraId="78382862" w14:textId="77777777" w:rsidR="00830E72" w:rsidRDefault="008344D8">
                <w:pPr>
                  <w:ind w:right="73"/>
                  <w:jc w:val="right"/>
                  <w:rPr>
                    <w:szCs w:val="21"/>
                  </w:rPr>
                </w:pPr>
                <w:r>
                  <w:rPr>
                    <w:szCs w:val="21"/>
                  </w:rPr>
                  <w:t>22,171.01</w:t>
                </w:r>
              </w:p>
            </w:tc>
            <w:tc>
              <w:tcPr>
                <w:tcW w:w="1664" w:type="pct"/>
                <w:shd w:val="clear" w:color="auto" w:fill="auto"/>
              </w:tcPr>
              <w:p w14:paraId="1D723F99" w14:textId="77777777" w:rsidR="00830E72" w:rsidRDefault="008344D8">
                <w:pPr>
                  <w:jc w:val="right"/>
                  <w:rPr>
                    <w:szCs w:val="21"/>
                  </w:rPr>
                </w:pPr>
                <w:r>
                  <w:rPr>
                    <w:szCs w:val="21"/>
                  </w:rPr>
                  <w:t>362,596.28</w:t>
                </w:r>
              </w:p>
            </w:tc>
          </w:tr>
          <w:sdt>
            <w:sdtPr>
              <w:rPr>
                <w:rFonts w:hint="eastAsia"/>
                <w:szCs w:val="21"/>
              </w:rPr>
              <w:alias w:val="应交税金明细"/>
              <w:tag w:val="_GBC_0480c028aa8b4cf2885f8f1d9b64c155"/>
              <w:id w:val="1201663071"/>
              <w:lock w:val="sdtLocked"/>
            </w:sdtPr>
            <w:sdtEndPr/>
            <w:sdtContent>
              <w:tr w:rsidR="00830E72" w14:paraId="2D44EC5B" w14:textId="77777777">
                <w:trPr>
                  <w:cantSplit/>
                </w:trPr>
                <w:tc>
                  <w:tcPr>
                    <w:tcW w:w="1675" w:type="pct"/>
                  </w:tcPr>
                  <w:p w14:paraId="3D05581E" w14:textId="77777777" w:rsidR="00830E72" w:rsidRDefault="008344D8">
                    <w:pPr>
                      <w:ind w:right="105"/>
                      <w:rPr>
                        <w:szCs w:val="21"/>
                      </w:rPr>
                    </w:pPr>
                    <w:r>
                      <w:rPr>
                        <w:rFonts w:hint="eastAsia"/>
                        <w:szCs w:val="21"/>
                      </w:rPr>
                      <w:t>教育费附加</w:t>
                    </w:r>
                  </w:p>
                </w:tc>
                <w:tc>
                  <w:tcPr>
                    <w:tcW w:w="1661" w:type="pct"/>
                  </w:tcPr>
                  <w:p w14:paraId="1112419B" w14:textId="77777777" w:rsidR="00830E72" w:rsidRDefault="008344D8">
                    <w:pPr>
                      <w:ind w:right="73"/>
                      <w:jc w:val="right"/>
                      <w:rPr>
                        <w:szCs w:val="21"/>
                      </w:rPr>
                    </w:pPr>
                    <w:r>
                      <w:rPr>
                        <w:szCs w:val="21"/>
                      </w:rPr>
                      <w:t>10,645.37</w:t>
                    </w:r>
                  </w:p>
                </w:tc>
                <w:tc>
                  <w:tcPr>
                    <w:tcW w:w="1664" w:type="pct"/>
                  </w:tcPr>
                  <w:p w14:paraId="046B8E76" w14:textId="77777777" w:rsidR="00830E72" w:rsidRDefault="008344D8">
                    <w:pPr>
                      <w:jc w:val="right"/>
                      <w:rPr>
                        <w:szCs w:val="21"/>
                      </w:rPr>
                    </w:pPr>
                    <w:r>
                      <w:rPr>
                        <w:szCs w:val="21"/>
                      </w:rPr>
                      <w:t>200,172.95</w:t>
                    </w:r>
                  </w:p>
                </w:tc>
              </w:tr>
            </w:sdtContent>
          </w:sdt>
          <w:sdt>
            <w:sdtPr>
              <w:rPr>
                <w:rFonts w:hint="eastAsia"/>
                <w:szCs w:val="21"/>
              </w:rPr>
              <w:alias w:val="应交税金明细"/>
              <w:tag w:val="_GBC_0480c028aa8b4cf2885f8f1d9b64c155"/>
              <w:id w:val="1271749208"/>
              <w:lock w:val="sdtLocked"/>
            </w:sdtPr>
            <w:sdtEndPr/>
            <w:sdtContent>
              <w:tr w:rsidR="00830E72" w14:paraId="2807DB81" w14:textId="77777777">
                <w:trPr>
                  <w:cantSplit/>
                </w:trPr>
                <w:tc>
                  <w:tcPr>
                    <w:tcW w:w="1675" w:type="pct"/>
                  </w:tcPr>
                  <w:p w14:paraId="482C2E55" w14:textId="77777777" w:rsidR="00830E72" w:rsidRDefault="008344D8">
                    <w:pPr>
                      <w:ind w:right="105"/>
                      <w:rPr>
                        <w:szCs w:val="21"/>
                      </w:rPr>
                    </w:pPr>
                    <w:r>
                      <w:rPr>
                        <w:rFonts w:hint="eastAsia"/>
                        <w:szCs w:val="21"/>
                      </w:rPr>
                      <w:t>地方教育费附加</w:t>
                    </w:r>
                  </w:p>
                </w:tc>
                <w:tc>
                  <w:tcPr>
                    <w:tcW w:w="1661" w:type="pct"/>
                  </w:tcPr>
                  <w:p w14:paraId="61FA5376" w14:textId="77777777" w:rsidR="00830E72" w:rsidRDefault="008344D8">
                    <w:pPr>
                      <w:ind w:right="73"/>
                      <w:jc w:val="right"/>
                      <w:rPr>
                        <w:szCs w:val="21"/>
                      </w:rPr>
                    </w:pPr>
                    <w:r>
                      <w:rPr>
                        <w:szCs w:val="21"/>
                      </w:rPr>
                      <w:t>7,096.95</w:t>
                    </w:r>
                  </w:p>
                </w:tc>
                <w:tc>
                  <w:tcPr>
                    <w:tcW w:w="1664" w:type="pct"/>
                  </w:tcPr>
                  <w:p w14:paraId="5B60B4E0" w14:textId="77777777" w:rsidR="00830E72" w:rsidRDefault="008344D8">
                    <w:pPr>
                      <w:jc w:val="right"/>
                      <w:rPr>
                        <w:szCs w:val="21"/>
                      </w:rPr>
                    </w:pPr>
                    <w:r>
                      <w:rPr>
                        <w:szCs w:val="21"/>
                      </w:rPr>
                      <w:t>133,448.66</w:t>
                    </w:r>
                  </w:p>
                </w:tc>
              </w:tr>
            </w:sdtContent>
          </w:sdt>
          <w:sdt>
            <w:sdtPr>
              <w:rPr>
                <w:rFonts w:hint="eastAsia"/>
                <w:szCs w:val="21"/>
              </w:rPr>
              <w:alias w:val="应交税金明细"/>
              <w:tag w:val="_GBC_0480c028aa8b4cf2885f8f1d9b64c155"/>
              <w:id w:val="1127046020"/>
              <w:lock w:val="sdtLocked"/>
            </w:sdtPr>
            <w:sdtEndPr/>
            <w:sdtContent>
              <w:tr w:rsidR="00830E72" w14:paraId="5C7D941D" w14:textId="77777777">
                <w:trPr>
                  <w:cantSplit/>
                </w:trPr>
                <w:tc>
                  <w:tcPr>
                    <w:tcW w:w="1675" w:type="pct"/>
                  </w:tcPr>
                  <w:p w14:paraId="507CAD71" w14:textId="77777777" w:rsidR="00830E72" w:rsidRDefault="008344D8">
                    <w:pPr>
                      <w:ind w:right="105"/>
                      <w:rPr>
                        <w:szCs w:val="21"/>
                      </w:rPr>
                    </w:pPr>
                    <w:r>
                      <w:rPr>
                        <w:rFonts w:hint="eastAsia"/>
                        <w:szCs w:val="21"/>
                      </w:rPr>
                      <w:t>其他</w:t>
                    </w:r>
                  </w:p>
                </w:tc>
                <w:tc>
                  <w:tcPr>
                    <w:tcW w:w="1661" w:type="pct"/>
                  </w:tcPr>
                  <w:p w14:paraId="5A16B020" w14:textId="77777777" w:rsidR="00830E72" w:rsidRDefault="008344D8">
                    <w:pPr>
                      <w:ind w:right="73"/>
                      <w:jc w:val="right"/>
                      <w:rPr>
                        <w:szCs w:val="21"/>
                      </w:rPr>
                    </w:pPr>
                    <w:r>
                      <w:rPr>
                        <w:szCs w:val="21"/>
                      </w:rPr>
                      <w:t>174,186.07</w:t>
                    </w:r>
                  </w:p>
                </w:tc>
                <w:tc>
                  <w:tcPr>
                    <w:tcW w:w="1664" w:type="pct"/>
                  </w:tcPr>
                  <w:p w14:paraId="336FA0EE" w14:textId="77777777" w:rsidR="00830E72" w:rsidRDefault="008344D8">
                    <w:pPr>
                      <w:jc w:val="right"/>
                      <w:rPr>
                        <w:szCs w:val="21"/>
                      </w:rPr>
                    </w:pPr>
                    <w:r>
                      <w:rPr>
                        <w:szCs w:val="21"/>
                      </w:rPr>
                      <w:t>255,749.46</w:t>
                    </w:r>
                  </w:p>
                </w:tc>
              </w:tr>
            </w:sdtContent>
          </w:sdt>
          <w:tr w:rsidR="00830E72" w14:paraId="006CB4DD" w14:textId="77777777">
            <w:trPr>
              <w:cantSplit/>
            </w:trPr>
            <w:sdt>
              <w:sdtPr>
                <w:tag w:val="_PLD_ad567219cf614829af1a2928b1fa259b"/>
                <w:id w:val="1345901700"/>
                <w:lock w:val="sdtLocked"/>
              </w:sdtPr>
              <w:sdtEndPr/>
              <w:sdtContent>
                <w:tc>
                  <w:tcPr>
                    <w:tcW w:w="1675" w:type="pct"/>
                    <w:vAlign w:val="center"/>
                  </w:tcPr>
                  <w:p w14:paraId="58A80B94" w14:textId="77777777" w:rsidR="00830E72" w:rsidRDefault="008344D8">
                    <w:pPr>
                      <w:ind w:right="105"/>
                      <w:jc w:val="center"/>
                      <w:rPr>
                        <w:szCs w:val="21"/>
                      </w:rPr>
                    </w:pPr>
                    <w:r>
                      <w:rPr>
                        <w:rFonts w:hint="eastAsia"/>
                        <w:szCs w:val="21"/>
                      </w:rPr>
                      <w:t>合计</w:t>
                    </w:r>
                  </w:p>
                </w:tc>
              </w:sdtContent>
            </w:sdt>
            <w:tc>
              <w:tcPr>
                <w:tcW w:w="1661" w:type="pct"/>
              </w:tcPr>
              <w:p w14:paraId="41D10DF3" w14:textId="77777777" w:rsidR="00830E72" w:rsidRDefault="008344D8">
                <w:pPr>
                  <w:ind w:right="73"/>
                  <w:jc w:val="right"/>
                  <w:rPr>
                    <w:szCs w:val="21"/>
                  </w:rPr>
                </w:pPr>
                <w:r>
                  <w:rPr>
                    <w:szCs w:val="21"/>
                  </w:rPr>
                  <w:t>17,917,444.26</w:t>
                </w:r>
              </w:p>
            </w:tc>
            <w:tc>
              <w:tcPr>
                <w:tcW w:w="1664" w:type="pct"/>
              </w:tcPr>
              <w:p w14:paraId="0C10ED4F" w14:textId="77777777" w:rsidR="00830E72" w:rsidRDefault="008344D8">
                <w:pPr>
                  <w:jc w:val="right"/>
                  <w:rPr>
                    <w:szCs w:val="21"/>
                  </w:rPr>
                </w:pPr>
                <w:r>
                  <w:rPr>
                    <w:szCs w:val="21"/>
                  </w:rPr>
                  <w:t>29,842,852.51</w:t>
                </w:r>
              </w:p>
            </w:tc>
          </w:tr>
        </w:tbl>
        <w:p w14:paraId="6563287F" w14:textId="77777777" w:rsidR="00830E72" w:rsidRDefault="00D44830">
          <w:pPr>
            <w:rPr>
              <w:szCs w:val="21"/>
            </w:rPr>
          </w:pPr>
        </w:p>
      </w:sdtContent>
    </w:sdt>
    <w:p w14:paraId="28158268"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lastRenderedPageBreak/>
        <w:t>其他应付款</w:t>
      </w:r>
    </w:p>
    <w:bookmarkStart w:id="166" w:name="_Hlk10535943" w:displacedByCustomXml="next"/>
    <w:sdt>
      <w:sdtPr>
        <w:rPr>
          <w:rFonts w:ascii="宋体" w:hAnsi="宋体" w:cs="宋体" w:hint="eastAsia"/>
          <w:b w:val="0"/>
          <w:bCs w:val="0"/>
          <w:kern w:val="0"/>
          <w:szCs w:val="24"/>
        </w:rPr>
        <w:alias w:val="模块:项目列示"/>
        <w:tag w:val="_SEC_d4a31631d4c141d39fd547efdfcde484"/>
        <w:id w:val="-888112084"/>
        <w:lock w:val="sdtLocked"/>
        <w:placeholder>
          <w:docPart w:val="GBC22222222222222222222222222222"/>
        </w:placeholder>
      </w:sdtPr>
      <w:sdtEndPr/>
      <w:sdtContent>
        <w:p w14:paraId="5C388ECB" w14:textId="77777777" w:rsidR="00830E72" w:rsidRDefault="008344D8">
          <w:pPr>
            <w:pStyle w:val="Style100"/>
            <w:rPr>
              <w:rFonts w:ascii="宋体" w:hAnsi="宋体"/>
            </w:rPr>
          </w:pPr>
          <w:r>
            <w:rPr>
              <w:rFonts w:ascii="宋体" w:hAnsi="宋体" w:hint="eastAsia"/>
            </w:rPr>
            <w:t>项目列示</w:t>
          </w:r>
        </w:p>
        <w:sdt>
          <w:sdtPr>
            <w:alias w:val="是否适用：其他应付款分类列示[双击切换]"/>
            <w:tag w:val="_GBC_8136b8c1140049519ac46075abed3220"/>
            <w:id w:val="58752249"/>
            <w:lock w:val="sdtContentLocked"/>
            <w:placeholder>
              <w:docPart w:val="GBC22222222222222222222222222222"/>
            </w:placeholder>
          </w:sdtPr>
          <w:sdtEndPr/>
          <w:sdtContent>
            <w:p w14:paraId="00CAF8BD"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5B508DC" w14:textId="77777777" w:rsidR="00830E72" w:rsidRDefault="008344D8">
          <w:pPr>
            <w:jc w:val="right"/>
            <w:rPr>
              <w:szCs w:val="21"/>
            </w:rPr>
          </w:pPr>
          <w:r>
            <w:rPr>
              <w:rFonts w:hint="eastAsia"/>
              <w:szCs w:val="21"/>
            </w:rPr>
            <w:t>单位：</w:t>
          </w:r>
          <w:sdt>
            <w:sdtPr>
              <w:rPr>
                <w:rFonts w:hint="eastAsia"/>
                <w:szCs w:val="21"/>
              </w:rPr>
              <w:alias w:val="单位：其他应付款分类列示"/>
              <w:tag w:val="_GBC_f725af1ac18e4ea28ff0b171fd9076b1"/>
              <w:id w:val="-5009755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9e26b8e601ae4c3b9b2f73c2946bed3c"/>
              <w:id w:val="13896932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2863"/>
            <w:gridCol w:w="2878"/>
          </w:tblGrid>
          <w:tr w:rsidR="00830E72" w14:paraId="04175717" w14:textId="77777777">
            <w:sdt>
              <w:sdtPr>
                <w:tag w:val="_PLD_d301d6d0c6f244d3b16ca7922fb1eae1"/>
                <w:id w:val="-683516871"/>
                <w:lock w:val="sdtLocked"/>
              </w:sdtPr>
              <w:sdtEndPr/>
              <w:sdtContent>
                <w:tc>
                  <w:tcPr>
                    <w:tcW w:w="1828" w:type="pct"/>
                    <w:shd w:val="clear" w:color="auto" w:fill="auto"/>
                    <w:vAlign w:val="center"/>
                  </w:tcPr>
                  <w:p w14:paraId="0D219B1F" w14:textId="77777777" w:rsidR="00830E72" w:rsidRDefault="008344D8">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14a27299981b44e8a51ddedd6261c7cb"/>
                <w:id w:val="-1291663758"/>
                <w:lock w:val="sdtLocked"/>
              </w:sdtPr>
              <w:sdtEndPr/>
              <w:sdtContent>
                <w:tc>
                  <w:tcPr>
                    <w:tcW w:w="1582" w:type="pct"/>
                    <w:shd w:val="clear" w:color="auto" w:fill="auto"/>
                    <w:vAlign w:val="center"/>
                  </w:tcPr>
                  <w:p w14:paraId="5D489FE7" w14:textId="77777777" w:rsidR="00830E72" w:rsidRDefault="008344D8">
                    <w:pPr>
                      <w:jc w:val="center"/>
                      <w:rPr>
                        <w:szCs w:val="21"/>
                      </w:rPr>
                    </w:pPr>
                    <w:r>
                      <w:rPr>
                        <w:rFonts w:hint="eastAsia"/>
                        <w:szCs w:val="21"/>
                      </w:rPr>
                      <w:t>期末余额</w:t>
                    </w:r>
                  </w:p>
                </w:tc>
              </w:sdtContent>
            </w:sdt>
            <w:sdt>
              <w:sdtPr>
                <w:tag w:val="_PLD_3ada436da03540938e5f25706fc839ab"/>
                <w:id w:val="400721863"/>
                <w:lock w:val="sdtLocked"/>
              </w:sdtPr>
              <w:sdtEndPr/>
              <w:sdtContent>
                <w:tc>
                  <w:tcPr>
                    <w:tcW w:w="1590" w:type="pct"/>
                    <w:shd w:val="clear" w:color="auto" w:fill="auto"/>
                    <w:vAlign w:val="center"/>
                  </w:tcPr>
                  <w:p w14:paraId="462B3EDC" w14:textId="77777777" w:rsidR="00830E72" w:rsidRDefault="008344D8">
                    <w:pPr>
                      <w:jc w:val="center"/>
                      <w:rPr>
                        <w:szCs w:val="21"/>
                      </w:rPr>
                    </w:pPr>
                    <w:r>
                      <w:rPr>
                        <w:rFonts w:hint="eastAsia"/>
                        <w:szCs w:val="21"/>
                      </w:rPr>
                      <w:t>期初余额</w:t>
                    </w:r>
                  </w:p>
                </w:tc>
              </w:sdtContent>
            </w:sdt>
          </w:tr>
          <w:tr w:rsidR="00830E72" w14:paraId="41EAD794" w14:textId="77777777">
            <w:sdt>
              <w:sdtPr>
                <w:tag w:val="_PLD_d66a9d37a92f4ab8ae47e30c7542c8f2"/>
                <w:id w:val="1060676818"/>
                <w:lock w:val="sdtLocked"/>
              </w:sdtPr>
              <w:sdtEndPr/>
              <w:sdtContent>
                <w:tc>
                  <w:tcPr>
                    <w:tcW w:w="1828" w:type="pct"/>
                    <w:shd w:val="clear" w:color="auto" w:fill="auto"/>
                  </w:tcPr>
                  <w:p w14:paraId="0E74C6AE" w14:textId="77777777" w:rsidR="00830E72" w:rsidRDefault="008344D8">
                    <w:pPr>
                      <w:tabs>
                        <w:tab w:val="right" w:pos="3690"/>
                        <w:tab w:val="right" w:pos="5130"/>
                        <w:tab w:val="right" w:pos="6030"/>
                        <w:tab w:val="right" w:pos="7650"/>
                        <w:tab w:val="right" w:pos="9270"/>
                      </w:tabs>
                      <w:adjustRightInd w:val="0"/>
                      <w:snapToGrid w:val="0"/>
                      <w:rPr>
                        <w:szCs w:val="21"/>
                      </w:rPr>
                    </w:pPr>
                    <w:r>
                      <w:rPr>
                        <w:rFonts w:hint="eastAsia"/>
                        <w:szCs w:val="21"/>
                      </w:rPr>
                      <w:t>应付利息</w:t>
                    </w:r>
                  </w:p>
                </w:tc>
              </w:sdtContent>
            </w:sdt>
            <w:tc>
              <w:tcPr>
                <w:tcW w:w="1582" w:type="pct"/>
                <w:shd w:val="clear" w:color="auto" w:fill="auto"/>
              </w:tcPr>
              <w:p w14:paraId="30F6B2F7" w14:textId="77777777" w:rsidR="00830E72" w:rsidRDefault="00830E72">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14:paraId="033C7896" w14:textId="77777777" w:rsidR="00830E72" w:rsidRDefault="00830E72">
                <w:pPr>
                  <w:tabs>
                    <w:tab w:val="right" w:pos="3690"/>
                    <w:tab w:val="right" w:pos="5130"/>
                    <w:tab w:val="right" w:pos="6030"/>
                    <w:tab w:val="right" w:pos="7650"/>
                    <w:tab w:val="right" w:pos="9270"/>
                  </w:tabs>
                  <w:adjustRightInd w:val="0"/>
                  <w:snapToGrid w:val="0"/>
                  <w:jc w:val="right"/>
                  <w:rPr>
                    <w:szCs w:val="21"/>
                  </w:rPr>
                </w:pPr>
              </w:p>
            </w:tc>
          </w:tr>
          <w:tr w:rsidR="00830E72" w14:paraId="35BD6651" w14:textId="77777777">
            <w:sdt>
              <w:sdtPr>
                <w:tag w:val="_PLD_f7c963c0ee7f4ae9a9ee01376e1c10a3"/>
                <w:id w:val="984975136"/>
                <w:lock w:val="sdtLocked"/>
              </w:sdtPr>
              <w:sdtEndPr/>
              <w:sdtContent>
                <w:tc>
                  <w:tcPr>
                    <w:tcW w:w="1828" w:type="pct"/>
                    <w:shd w:val="clear" w:color="auto" w:fill="auto"/>
                  </w:tcPr>
                  <w:p w14:paraId="695D0E60" w14:textId="77777777" w:rsidR="00830E72" w:rsidRDefault="008344D8">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sdtContent>
            </w:sdt>
            <w:tc>
              <w:tcPr>
                <w:tcW w:w="1582" w:type="pct"/>
                <w:shd w:val="clear" w:color="auto" w:fill="auto"/>
              </w:tcPr>
              <w:p w14:paraId="31FD5FE7" w14:textId="77777777" w:rsidR="00830E72" w:rsidRDefault="00830E72">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14:paraId="6054F164" w14:textId="77777777" w:rsidR="00830E72" w:rsidRDefault="00830E72">
                <w:pPr>
                  <w:tabs>
                    <w:tab w:val="right" w:pos="3690"/>
                    <w:tab w:val="right" w:pos="5130"/>
                    <w:tab w:val="right" w:pos="6030"/>
                    <w:tab w:val="right" w:pos="7650"/>
                    <w:tab w:val="right" w:pos="9270"/>
                  </w:tabs>
                  <w:adjustRightInd w:val="0"/>
                  <w:snapToGrid w:val="0"/>
                  <w:jc w:val="right"/>
                  <w:rPr>
                    <w:szCs w:val="21"/>
                  </w:rPr>
                </w:pPr>
              </w:p>
            </w:tc>
          </w:tr>
          <w:tr w:rsidR="00830E72" w14:paraId="4C1BE74D" w14:textId="77777777">
            <w:sdt>
              <w:sdtPr>
                <w:tag w:val="_PLD_bef380fd911e4f2a9e651243d4593795"/>
                <w:id w:val="-26178212"/>
                <w:lock w:val="sdtLocked"/>
              </w:sdtPr>
              <w:sdtEndPr/>
              <w:sdtContent>
                <w:tc>
                  <w:tcPr>
                    <w:tcW w:w="1828" w:type="pct"/>
                    <w:shd w:val="clear" w:color="auto" w:fill="auto"/>
                  </w:tcPr>
                  <w:p w14:paraId="3E0AF4DD" w14:textId="77777777" w:rsidR="00830E72" w:rsidRDefault="008344D8">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sdtContent>
            </w:sdt>
            <w:tc>
              <w:tcPr>
                <w:tcW w:w="1582" w:type="pct"/>
                <w:shd w:val="clear" w:color="auto" w:fill="auto"/>
              </w:tcPr>
              <w:p w14:paraId="4560880B" w14:textId="77777777" w:rsidR="00830E72" w:rsidRDefault="008344D8">
                <w:pPr>
                  <w:tabs>
                    <w:tab w:val="right" w:pos="3690"/>
                    <w:tab w:val="right" w:pos="5130"/>
                    <w:tab w:val="right" w:pos="6030"/>
                    <w:tab w:val="right" w:pos="7650"/>
                    <w:tab w:val="right" w:pos="9270"/>
                  </w:tabs>
                  <w:adjustRightInd w:val="0"/>
                  <w:snapToGrid w:val="0"/>
                  <w:jc w:val="right"/>
                  <w:rPr>
                    <w:szCs w:val="21"/>
                  </w:rPr>
                </w:pPr>
                <w:r>
                  <w:rPr>
                    <w:szCs w:val="21"/>
                  </w:rPr>
                  <w:t>136,291,798.14</w:t>
                </w:r>
              </w:p>
            </w:tc>
            <w:tc>
              <w:tcPr>
                <w:tcW w:w="1590" w:type="pct"/>
                <w:shd w:val="clear" w:color="auto" w:fill="auto"/>
              </w:tcPr>
              <w:p w14:paraId="234FEBF5" w14:textId="77777777" w:rsidR="00830E72" w:rsidRDefault="008344D8">
                <w:pPr>
                  <w:tabs>
                    <w:tab w:val="right" w:pos="3690"/>
                    <w:tab w:val="right" w:pos="5130"/>
                    <w:tab w:val="right" w:pos="6030"/>
                    <w:tab w:val="right" w:pos="7650"/>
                    <w:tab w:val="right" w:pos="9270"/>
                  </w:tabs>
                  <w:adjustRightInd w:val="0"/>
                  <w:snapToGrid w:val="0"/>
                  <w:jc w:val="right"/>
                  <w:rPr>
                    <w:szCs w:val="21"/>
                  </w:rPr>
                </w:pPr>
                <w:r>
                  <w:rPr>
                    <w:szCs w:val="21"/>
                  </w:rPr>
                  <w:t>121,586,460.61</w:t>
                </w:r>
              </w:p>
            </w:tc>
          </w:tr>
          <w:tr w:rsidR="00830E72" w14:paraId="34031DFA" w14:textId="77777777">
            <w:sdt>
              <w:sdtPr>
                <w:tag w:val="_PLD_90dc33535197444a8eb7c8a4e477d9b7"/>
                <w:id w:val="-2088068832"/>
                <w:lock w:val="sdtLocked"/>
              </w:sdtPr>
              <w:sdtEndPr/>
              <w:sdtContent>
                <w:tc>
                  <w:tcPr>
                    <w:tcW w:w="1828" w:type="pct"/>
                    <w:shd w:val="clear" w:color="auto" w:fill="auto"/>
                  </w:tcPr>
                  <w:p w14:paraId="658551E2" w14:textId="77777777" w:rsidR="00830E72" w:rsidRDefault="008344D8">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tcPr>
              <w:p w14:paraId="46A32DEF" w14:textId="77777777" w:rsidR="00830E72" w:rsidRDefault="008344D8">
                <w:pPr>
                  <w:tabs>
                    <w:tab w:val="right" w:pos="3690"/>
                    <w:tab w:val="right" w:pos="5130"/>
                    <w:tab w:val="right" w:pos="6030"/>
                    <w:tab w:val="right" w:pos="7650"/>
                    <w:tab w:val="right" w:pos="9270"/>
                  </w:tabs>
                  <w:adjustRightInd w:val="0"/>
                  <w:snapToGrid w:val="0"/>
                  <w:jc w:val="right"/>
                  <w:rPr>
                    <w:szCs w:val="21"/>
                  </w:rPr>
                </w:pPr>
                <w:r>
                  <w:rPr>
                    <w:szCs w:val="21"/>
                  </w:rPr>
                  <w:t>136,291,798.14</w:t>
                </w:r>
              </w:p>
            </w:tc>
            <w:tc>
              <w:tcPr>
                <w:tcW w:w="1590" w:type="pct"/>
                <w:shd w:val="clear" w:color="auto" w:fill="auto"/>
              </w:tcPr>
              <w:p w14:paraId="7D25F3B3" w14:textId="77777777" w:rsidR="00830E72" w:rsidRDefault="008344D8">
                <w:pPr>
                  <w:tabs>
                    <w:tab w:val="right" w:pos="3690"/>
                    <w:tab w:val="right" w:pos="5130"/>
                    <w:tab w:val="right" w:pos="6030"/>
                    <w:tab w:val="right" w:pos="7650"/>
                    <w:tab w:val="right" w:pos="9270"/>
                  </w:tabs>
                  <w:adjustRightInd w:val="0"/>
                  <w:snapToGrid w:val="0"/>
                  <w:jc w:val="right"/>
                  <w:rPr>
                    <w:szCs w:val="21"/>
                  </w:rPr>
                </w:pPr>
                <w:r>
                  <w:rPr>
                    <w:szCs w:val="21"/>
                  </w:rPr>
                  <w:t>121,586,460.61</w:t>
                </w:r>
              </w:p>
            </w:tc>
          </w:tr>
        </w:tbl>
        <w:p w14:paraId="76A1D4B6" w14:textId="77777777" w:rsidR="00830E72" w:rsidRDefault="00D44830"/>
      </w:sdtContent>
    </w:sdt>
    <w:bookmarkEnd w:id="166" w:displacedByCustomXml="next"/>
    <w:bookmarkStart w:id="167" w:name="_Hlk10536047" w:displacedByCustomXml="next"/>
    <w:sdt>
      <w:sdtPr>
        <w:rPr>
          <w:rFonts w:ascii="宋体" w:hAnsi="宋体" w:cs="宋体" w:hint="eastAsia"/>
          <w:b w:val="0"/>
          <w:bCs w:val="0"/>
          <w:kern w:val="0"/>
          <w:szCs w:val="24"/>
        </w:rPr>
        <w:alias w:val="模块:应付利息"/>
        <w:tag w:val="_SEC_60feb8ef6f7c4655a263f50d12c222d8"/>
        <w:id w:val="1494526702"/>
        <w:lock w:val="sdtLocked"/>
        <w:placeholder>
          <w:docPart w:val="GBC22222222222222222222222222222"/>
        </w:placeholder>
      </w:sdtPr>
      <w:sdtEndPr/>
      <w:sdtContent>
        <w:p w14:paraId="396A429A" w14:textId="77777777" w:rsidR="00830E72" w:rsidRDefault="008344D8">
          <w:pPr>
            <w:pStyle w:val="Style100"/>
            <w:rPr>
              <w:rFonts w:ascii="宋体" w:hAnsi="宋体"/>
            </w:rPr>
          </w:pPr>
          <w:r>
            <w:rPr>
              <w:rFonts w:ascii="宋体" w:hAnsi="宋体" w:hint="eastAsia"/>
            </w:rPr>
            <w:t>应付利息</w:t>
          </w:r>
        </w:p>
        <w:sdt>
          <w:sdtPr>
            <w:alias w:val="是否适用：应付利息[双击切换]"/>
            <w:tag w:val="_GBC_9058c1c6b0a94f6a8c531ec2dbd35706"/>
            <w:id w:val="-349024641"/>
            <w:lock w:val="sdtContentLocked"/>
            <w:placeholder>
              <w:docPart w:val="GBC22222222222222222222222222222"/>
            </w:placeholder>
          </w:sdtPr>
          <w:sdtEndPr/>
          <w:sdtContent>
            <w:p w14:paraId="3C89EAC8" w14:textId="77777777" w:rsidR="00830E72" w:rsidRDefault="008344D8">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200D685" w14:textId="77777777" w:rsidR="00830E72" w:rsidRDefault="00D44830"/>
      </w:sdtContent>
    </w:sdt>
    <w:bookmarkEnd w:id="167" w:displacedByCustomXml="next"/>
    <w:bookmarkStart w:id="168" w:name="_Hlk10536068" w:displacedByCustomXml="next"/>
    <w:bookmarkStart w:id="169" w:name="_Hlk10536082" w:displacedByCustomXml="next"/>
    <w:sdt>
      <w:sdtPr>
        <w:rPr>
          <w:rFonts w:ascii="宋体" w:hAnsi="宋体" w:cs="宋体" w:hint="eastAsia"/>
          <w:b w:val="0"/>
          <w:bCs w:val="0"/>
          <w:kern w:val="0"/>
          <w:szCs w:val="24"/>
        </w:rPr>
        <w:alias w:val="模块:应付股利"/>
        <w:tag w:val="_SEC_454db7ed64ca40e48e42eb6c38ae54ca"/>
        <w:id w:val="1340426868"/>
        <w:lock w:val="sdtLocked"/>
        <w:placeholder>
          <w:docPart w:val="GBC22222222222222222222222222222"/>
        </w:placeholder>
      </w:sdtPr>
      <w:sdtEndPr>
        <w:rPr>
          <w:rFonts w:hint="default"/>
          <w:szCs w:val="21"/>
        </w:rPr>
      </w:sdtEndPr>
      <w:sdtContent>
        <w:p w14:paraId="45327A51" w14:textId="77777777" w:rsidR="00830E72" w:rsidRDefault="008344D8">
          <w:pPr>
            <w:pStyle w:val="Style100"/>
            <w:rPr>
              <w:rFonts w:ascii="宋体" w:hAnsi="宋体"/>
            </w:rPr>
          </w:pPr>
          <w:r>
            <w:rPr>
              <w:rFonts w:ascii="宋体" w:hAnsi="宋体" w:hint="eastAsia"/>
            </w:rPr>
            <w:t>应付股利</w:t>
          </w:r>
          <w:bookmarkEnd w:id="168"/>
        </w:p>
        <w:sdt>
          <w:sdtPr>
            <w:alias w:val="是否适用：应付股利[双击切换]"/>
            <w:tag w:val="_GBC_09dc75ba10d44acfb18b03320a40e4c5"/>
            <w:id w:val="2099986046"/>
            <w:lock w:val="sdtContentLocked"/>
            <w:placeholder>
              <w:docPart w:val="GBC22222222222222222222222222222"/>
            </w:placeholder>
          </w:sdtPr>
          <w:sdtEndPr/>
          <w:sdtContent>
            <w:p w14:paraId="3C8B52A3" w14:textId="77777777" w:rsidR="00830E72" w:rsidRDefault="008344D8">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7EE0F8E" w14:textId="77777777" w:rsidR="00830E72" w:rsidRDefault="00D44830">
          <w:pPr>
            <w:snapToGrid w:val="0"/>
            <w:rPr>
              <w:szCs w:val="21"/>
            </w:rPr>
          </w:pPr>
        </w:p>
      </w:sdtContent>
    </w:sdt>
    <w:p w14:paraId="12D79A59" w14:textId="77777777" w:rsidR="00830E72" w:rsidRDefault="008344D8">
      <w:pPr>
        <w:pStyle w:val="Style100"/>
        <w:rPr>
          <w:rFonts w:ascii="宋体" w:hAnsi="宋体"/>
        </w:rPr>
      </w:pPr>
      <w:bookmarkStart w:id="170" w:name="_Hlk10536163"/>
      <w:bookmarkEnd w:id="169"/>
      <w:r>
        <w:rPr>
          <w:rFonts w:ascii="宋体" w:hAnsi="宋体" w:hint="eastAsia"/>
        </w:rPr>
        <w:t>其他应付款</w:t>
      </w:r>
    </w:p>
    <w:sdt>
      <w:sdtPr>
        <w:rPr>
          <w:rFonts w:ascii="宋体" w:hAnsi="宋体" w:cs="宋体" w:hint="eastAsia"/>
          <w:b w:val="0"/>
          <w:bCs w:val="0"/>
          <w:kern w:val="0"/>
          <w:szCs w:val="24"/>
        </w:rPr>
        <w:alias w:val="模块:按款项性质列示其他应付款"/>
        <w:tag w:val="_SEC_df361e68406f49208d47d08674984872"/>
        <w:id w:val="-1011983837"/>
        <w:lock w:val="sdtLocked"/>
        <w:placeholder>
          <w:docPart w:val="GBC22222222222222222222222222222"/>
        </w:placeholder>
      </w:sdtPr>
      <w:sdtEndPr/>
      <w:sdtContent>
        <w:p w14:paraId="7449010D" w14:textId="77777777" w:rsidR="00830E72" w:rsidRDefault="008344D8">
          <w:pPr>
            <w:pStyle w:val="Style100"/>
            <w:numPr>
              <w:ilvl w:val="3"/>
              <w:numId w:val="69"/>
            </w:numPr>
            <w:rPr>
              <w:rFonts w:ascii="宋体" w:hAnsi="宋体"/>
            </w:rPr>
          </w:pPr>
          <w:r>
            <w:rPr>
              <w:rFonts w:ascii="宋体" w:hAnsi="宋体" w:hint="eastAsia"/>
            </w:rPr>
            <w:t>按款项性质列示其他应付款</w:t>
          </w:r>
        </w:p>
        <w:sdt>
          <w:sdtPr>
            <w:alias w:val="是否适用：按款项性质列示其他应付款[双击切换]"/>
            <w:tag w:val="_GBC_a099ebd596de4984814ff6b49af92e86"/>
            <w:id w:val="-1468962627"/>
            <w:lock w:val="sdtContentLocked"/>
            <w:placeholder>
              <w:docPart w:val="GBC22222222222222222222222222222"/>
            </w:placeholder>
          </w:sdtPr>
          <w:sdtEndPr/>
          <w:sdtContent>
            <w:p w14:paraId="2FBA3CD2" w14:textId="77777777" w:rsidR="00830E72" w:rsidRDefault="008344D8">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6BC09C0" w14:textId="77777777" w:rsidR="00830E72" w:rsidRDefault="008344D8">
          <w:pPr>
            <w:jc w:val="right"/>
            <w:rPr>
              <w:szCs w:val="21"/>
            </w:rPr>
          </w:pPr>
          <w:r>
            <w:rPr>
              <w:rFonts w:hint="eastAsia"/>
              <w:szCs w:val="21"/>
            </w:rPr>
            <w:t>单位：</w:t>
          </w:r>
          <w:sdt>
            <w:sdtPr>
              <w:rPr>
                <w:rFonts w:hint="eastAsia"/>
                <w:szCs w:val="21"/>
              </w:rPr>
              <w:alias w:val="单位：财务附注：其他应付款情况"/>
              <w:tag w:val="_GBC_781a05c0c742470b88557fa8878adf9c"/>
              <w:id w:val="10969811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19bba6af93f1445cbfdc13ddfb71a0ea"/>
              <w:id w:val="18368049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2999"/>
            <w:gridCol w:w="3127"/>
          </w:tblGrid>
          <w:tr w:rsidR="00830E72" w14:paraId="41C35A46" w14:textId="77777777">
            <w:sdt>
              <w:sdtPr>
                <w:tag w:val="_PLD_3991c4118c8d4069811e5f758978143f"/>
                <w:id w:val="-303705741"/>
                <w:lock w:val="sdtLocked"/>
              </w:sdtPr>
              <w:sdtEndPr/>
              <w:sdtContent>
                <w:tc>
                  <w:tcPr>
                    <w:tcW w:w="1615" w:type="pct"/>
                    <w:shd w:val="clear" w:color="auto" w:fill="auto"/>
                  </w:tcPr>
                  <w:p w14:paraId="46CECCD6" w14:textId="77777777" w:rsidR="00830E72" w:rsidRDefault="008344D8">
                    <w:pPr>
                      <w:jc w:val="center"/>
                      <w:rPr>
                        <w:szCs w:val="21"/>
                      </w:rPr>
                    </w:pPr>
                    <w:r>
                      <w:rPr>
                        <w:rFonts w:hint="eastAsia"/>
                        <w:szCs w:val="21"/>
                      </w:rPr>
                      <w:t>项目</w:t>
                    </w:r>
                  </w:p>
                </w:tc>
              </w:sdtContent>
            </w:sdt>
            <w:sdt>
              <w:sdtPr>
                <w:tag w:val="_PLD_c1bcea3523f040f08da3a1bd0d135ad5"/>
                <w:id w:val="620803719"/>
                <w:lock w:val="sdtLocked"/>
              </w:sdtPr>
              <w:sdtEndPr/>
              <w:sdtContent>
                <w:tc>
                  <w:tcPr>
                    <w:tcW w:w="1657" w:type="pct"/>
                    <w:shd w:val="clear" w:color="auto" w:fill="auto"/>
                  </w:tcPr>
                  <w:p w14:paraId="06950F87" w14:textId="77777777" w:rsidR="00830E72" w:rsidRDefault="008344D8">
                    <w:pPr>
                      <w:jc w:val="center"/>
                      <w:rPr>
                        <w:szCs w:val="21"/>
                      </w:rPr>
                    </w:pPr>
                    <w:r>
                      <w:rPr>
                        <w:rFonts w:hint="eastAsia"/>
                        <w:szCs w:val="21"/>
                      </w:rPr>
                      <w:t>期末余额</w:t>
                    </w:r>
                  </w:p>
                </w:tc>
              </w:sdtContent>
            </w:sdt>
            <w:sdt>
              <w:sdtPr>
                <w:tag w:val="_PLD_b89663858245498c995c58e2bab384aa"/>
                <w:id w:val="-350332319"/>
                <w:lock w:val="sdtLocked"/>
              </w:sdtPr>
              <w:sdtEndPr/>
              <w:sdtContent>
                <w:tc>
                  <w:tcPr>
                    <w:tcW w:w="1728" w:type="pct"/>
                    <w:shd w:val="clear" w:color="auto" w:fill="auto"/>
                  </w:tcPr>
                  <w:p w14:paraId="1F816318" w14:textId="77777777" w:rsidR="00830E72" w:rsidRDefault="008344D8">
                    <w:pPr>
                      <w:jc w:val="center"/>
                      <w:rPr>
                        <w:szCs w:val="21"/>
                      </w:rPr>
                    </w:pPr>
                    <w:r>
                      <w:rPr>
                        <w:rFonts w:hint="eastAsia"/>
                        <w:szCs w:val="21"/>
                      </w:rPr>
                      <w:t>期初余额</w:t>
                    </w:r>
                  </w:p>
                </w:tc>
              </w:sdtContent>
            </w:sdt>
          </w:tr>
          <w:sdt>
            <w:sdtPr>
              <w:rPr>
                <w:rFonts w:hint="eastAsia"/>
                <w:szCs w:val="21"/>
              </w:rPr>
              <w:alias w:val="其他应付款情况明细"/>
              <w:tag w:val="_TUP_d68cb62e22fc4f99ab4d25c145efcd43"/>
              <w:id w:val="1191342966"/>
              <w:lock w:val="sdtLocked"/>
            </w:sdtPr>
            <w:sdtEndPr>
              <w:rPr>
                <w:rFonts w:hint="default"/>
              </w:rPr>
            </w:sdtEndPr>
            <w:sdtContent>
              <w:tr w:rsidR="00830E72" w14:paraId="098D460B" w14:textId="77777777">
                <w:tc>
                  <w:tcPr>
                    <w:tcW w:w="1615" w:type="pct"/>
                    <w:shd w:val="clear" w:color="auto" w:fill="auto"/>
                  </w:tcPr>
                  <w:p w14:paraId="7E6AFF00" w14:textId="77777777" w:rsidR="00830E72" w:rsidRDefault="008344D8">
                    <w:pPr>
                      <w:rPr>
                        <w:szCs w:val="21"/>
                      </w:rPr>
                    </w:pPr>
                    <w:r>
                      <w:rPr>
                        <w:rFonts w:hint="eastAsia"/>
                        <w:szCs w:val="21"/>
                      </w:rPr>
                      <w:t>应付供应商代垫款</w:t>
                    </w:r>
                  </w:p>
                </w:tc>
                <w:tc>
                  <w:tcPr>
                    <w:tcW w:w="1657" w:type="pct"/>
                    <w:shd w:val="clear" w:color="auto" w:fill="auto"/>
                  </w:tcPr>
                  <w:p w14:paraId="69C59F74" w14:textId="77777777" w:rsidR="00830E72" w:rsidRDefault="008344D8">
                    <w:pPr>
                      <w:jc w:val="right"/>
                      <w:rPr>
                        <w:szCs w:val="21"/>
                      </w:rPr>
                    </w:pPr>
                    <w:r>
                      <w:rPr>
                        <w:szCs w:val="21"/>
                      </w:rPr>
                      <w:t>52,288,048.48</w:t>
                    </w:r>
                  </w:p>
                </w:tc>
                <w:tc>
                  <w:tcPr>
                    <w:tcW w:w="1728" w:type="pct"/>
                    <w:shd w:val="clear" w:color="auto" w:fill="auto"/>
                  </w:tcPr>
                  <w:p w14:paraId="5D831A1A" w14:textId="77777777" w:rsidR="00830E72" w:rsidRDefault="008344D8">
                    <w:pPr>
                      <w:jc w:val="right"/>
                      <w:rPr>
                        <w:szCs w:val="21"/>
                      </w:rPr>
                    </w:pPr>
                    <w:r>
                      <w:rPr>
                        <w:szCs w:val="21"/>
                      </w:rPr>
                      <w:t>79,603,852.90</w:t>
                    </w:r>
                  </w:p>
                </w:tc>
              </w:tr>
            </w:sdtContent>
          </w:sdt>
          <w:sdt>
            <w:sdtPr>
              <w:rPr>
                <w:rFonts w:hint="eastAsia"/>
                <w:szCs w:val="21"/>
              </w:rPr>
              <w:alias w:val="其他应付款情况明细"/>
              <w:tag w:val="_TUP_d68cb62e22fc4f99ab4d25c145efcd43"/>
              <w:id w:val="1905728279"/>
              <w:lock w:val="sdtLocked"/>
            </w:sdtPr>
            <w:sdtEndPr>
              <w:rPr>
                <w:rFonts w:hint="default"/>
              </w:rPr>
            </w:sdtEndPr>
            <w:sdtContent>
              <w:tr w:rsidR="00830E72" w14:paraId="0D16F383" w14:textId="77777777">
                <w:tc>
                  <w:tcPr>
                    <w:tcW w:w="1615" w:type="pct"/>
                    <w:shd w:val="clear" w:color="auto" w:fill="auto"/>
                  </w:tcPr>
                  <w:p w14:paraId="0BC4CB5F" w14:textId="77777777" w:rsidR="00830E72" w:rsidRDefault="008344D8">
                    <w:pPr>
                      <w:rPr>
                        <w:szCs w:val="21"/>
                      </w:rPr>
                    </w:pPr>
                    <w:r>
                      <w:rPr>
                        <w:rFonts w:hint="eastAsia"/>
                        <w:szCs w:val="21"/>
                      </w:rPr>
                      <w:t>保证金</w:t>
                    </w:r>
                  </w:p>
                </w:tc>
                <w:tc>
                  <w:tcPr>
                    <w:tcW w:w="1657" w:type="pct"/>
                    <w:shd w:val="clear" w:color="auto" w:fill="auto"/>
                  </w:tcPr>
                  <w:p w14:paraId="17BAB7E8" w14:textId="77777777" w:rsidR="00830E72" w:rsidRDefault="008344D8">
                    <w:pPr>
                      <w:jc w:val="right"/>
                      <w:rPr>
                        <w:szCs w:val="21"/>
                      </w:rPr>
                    </w:pPr>
                    <w:r>
                      <w:rPr>
                        <w:szCs w:val="21"/>
                      </w:rPr>
                      <w:t>68,830,683.67</w:t>
                    </w:r>
                  </w:p>
                </w:tc>
                <w:tc>
                  <w:tcPr>
                    <w:tcW w:w="1728" w:type="pct"/>
                    <w:shd w:val="clear" w:color="auto" w:fill="auto"/>
                  </w:tcPr>
                  <w:p w14:paraId="712E0231" w14:textId="77777777" w:rsidR="00830E72" w:rsidRDefault="008344D8">
                    <w:pPr>
                      <w:jc w:val="right"/>
                      <w:rPr>
                        <w:szCs w:val="21"/>
                      </w:rPr>
                    </w:pPr>
                    <w:r>
                      <w:rPr>
                        <w:szCs w:val="21"/>
                      </w:rPr>
                      <w:t>29,498,657.04</w:t>
                    </w:r>
                  </w:p>
                </w:tc>
              </w:tr>
            </w:sdtContent>
          </w:sdt>
          <w:sdt>
            <w:sdtPr>
              <w:rPr>
                <w:rFonts w:hint="eastAsia"/>
                <w:szCs w:val="21"/>
              </w:rPr>
              <w:alias w:val="其他应付款情况明细"/>
              <w:tag w:val="_TUP_d68cb62e22fc4f99ab4d25c145efcd43"/>
              <w:id w:val="-947158150"/>
              <w:lock w:val="sdtLocked"/>
            </w:sdtPr>
            <w:sdtEndPr>
              <w:rPr>
                <w:rFonts w:hint="default"/>
              </w:rPr>
            </w:sdtEndPr>
            <w:sdtContent>
              <w:tr w:rsidR="00830E72" w14:paraId="67520155" w14:textId="77777777">
                <w:tc>
                  <w:tcPr>
                    <w:tcW w:w="1615" w:type="pct"/>
                    <w:shd w:val="clear" w:color="auto" w:fill="auto"/>
                  </w:tcPr>
                  <w:p w14:paraId="448896AC" w14:textId="77777777" w:rsidR="00830E72" w:rsidRDefault="008344D8">
                    <w:pPr>
                      <w:rPr>
                        <w:szCs w:val="21"/>
                      </w:rPr>
                    </w:pPr>
                    <w:r>
                      <w:rPr>
                        <w:rFonts w:hint="eastAsia"/>
                        <w:szCs w:val="21"/>
                      </w:rPr>
                      <w:t>安全风险金</w:t>
                    </w:r>
                  </w:p>
                </w:tc>
                <w:tc>
                  <w:tcPr>
                    <w:tcW w:w="1657" w:type="pct"/>
                    <w:shd w:val="clear" w:color="auto" w:fill="auto"/>
                  </w:tcPr>
                  <w:p w14:paraId="47091329" w14:textId="77777777" w:rsidR="00830E72" w:rsidRDefault="008344D8">
                    <w:pPr>
                      <w:jc w:val="right"/>
                      <w:rPr>
                        <w:szCs w:val="21"/>
                      </w:rPr>
                    </w:pPr>
                    <w:r>
                      <w:rPr>
                        <w:szCs w:val="21"/>
                      </w:rPr>
                      <w:t>8,478,664.93</w:t>
                    </w:r>
                  </w:p>
                </w:tc>
                <w:tc>
                  <w:tcPr>
                    <w:tcW w:w="1728" w:type="pct"/>
                    <w:shd w:val="clear" w:color="auto" w:fill="auto"/>
                  </w:tcPr>
                  <w:p w14:paraId="4230DB18" w14:textId="77777777" w:rsidR="00830E72" w:rsidRDefault="008344D8">
                    <w:pPr>
                      <w:jc w:val="right"/>
                      <w:rPr>
                        <w:szCs w:val="21"/>
                      </w:rPr>
                    </w:pPr>
                    <w:r>
                      <w:rPr>
                        <w:szCs w:val="21"/>
                      </w:rPr>
                      <w:t>6,553,187.08</w:t>
                    </w:r>
                  </w:p>
                </w:tc>
              </w:tr>
            </w:sdtContent>
          </w:sdt>
          <w:sdt>
            <w:sdtPr>
              <w:rPr>
                <w:rFonts w:hint="eastAsia"/>
                <w:szCs w:val="21"/>
              </w:rPr>
              <w:alias w:val="其他应付款情况明细"/>
              <w:tag w:val="_TUP_d68cb62e22fc4f99ab4d25c145efcd43"/>
              <w:id w:val="1130749424"/>
              <w:lock w:val="sdtLocked"/>
            </w:sdtPr>
            <w:sdtEndPr>
              <w:rPr>
                <w:rFonts w:hint="default"/>
              </w:rPr>
            </w:sdtEndPr>
            <w:sdtContent>
              <w:tr w:rsidR="00830E72" w14:paraId="46659756" w14:textId="77777777">
                <w:tc>
                  <w:tcPr>
                    <w:tcW w:w="1615" w:type="pct"/>
                    <w:shd w:val="clear" w:color="auto" w:fill="auto"/>
                  </w:tcPr>
                  <w:p w14:paraId="5009FD02" w14:textId="77777777" w:rsidR="00830E72" w:rsidRDefault="008344D8">
                    <w:pPr>
                      <w:rPr>
                        <w:szCs w:val="21"/>
                      </w:rPr>
                    </w:pPr>
                    <w:r>
                      <w:rPr>
                        <w:rFonts w:hint="eastAsia"/>
                        <w:szCs w:val="21"/>
                      </w:rPr>
                      <w:t>其他</w:t>
                    </w:r>
                  </w:p>
                </w:tc>
                <w:tc>
                  <w:tcPr>
                    <w:tcW w:w="1657" w:type="pct"/>
                    <w:shd w:val="clear" w:color="auto" w:fill="auto"/>
                  </w:tcPr>
                  <w:p w14:paraId="2A3C1B7B" w14:textId="77777777" w:rsidR="00830E72" w:rsidRDefault="008344D8">
                    <w:pPr>
                      <w:jc w:val="right"/>
                      <w:rPr>
                        <w:szCs w:val="21"/>
                      </w:rPr>
                    </w:pPr>
                    <w:r>
                      <w:rPr>
                        <w:szCs w:val="21"/>
                      </w:rPr>
                      <w:t>6,694,401.06</w:t>
                    </w:r>
                  </w:p>
                </w:tc>
                <w:tc>
                  <w:tcPr>
                    <w:tcW w:w="1728" w:type="pct"/>
                    <w:shd w:val="clear" w:color="auto" w:fill="auto"/>
                  </w:tcPr>
                  <w:p w14:paraId="5EF70AC9" w14:textId="77777777" w:rsidR="00830E72" w:rsidRDefault="008344D8">
                    <w:pPr>
                      <w:jc w:val="right"/>
                      <w:rPr>
                        <w:szCs w:val="21"/>
                      </w:rPr>
                    </w:pPr>
                    <w:r>
                      <w:rPr>
                        <w:szCs w:val="21"/>
                      </w:rPr>
                      <w:t>5,930,763.59</w:t>
                    </w:r>
                  </w:p>
                </w:tc>
              </w:tr>
            </w:sdtContent>
          </w:sdt>
          <w:tr w:rsidR="00830E72" w14:paraId="2C8EB5F7" w14:textId="77777777">
            <w:sdt>
              <w:sdtPr>
                <w:tag w:val="_PLD_dc1df66b4e6549929c6b91b265854e4c"/>
                <w:id w:val="-1398587698"/>
                <w:lock w:val="sdtLocked"/>
              </w:sdtPr>
              <w:sdtEndPr/>
              <w:sdtContent>
                <w:tc>
                  <w:tcPr>
                    <w:tcW w:w="1615" w:type="pct"/>
                    <w:shd w:val="clear" w:color="auto" w:fill="auto"/>
                  </w:tcPr>
                  <w:p w14:paraId="426BA1AC" w14:textId="77777777" w:rsidR="00830E72" w:rsidRDefault="008344D8">
                    <w:pPr>
                      <w:jc w:val="center"/>
                      <w:rPr>
                        <w:color w:val="000000" w:themeColor="text1"/>
                        <w:szCs w:val="21"/>
                      </w:rPr>
                    </w:pPr>
                    <w:r>
                      <w:rPr>
                        <w:rFonts w:hint="eastAsia"/>
                        <w:color w:val="000000" w:themeColor="text1"/>
                        <w:szCs w:val="21"/>
                      </w:rPr>
                      <w:t>合计</w:t>
                    </w:r>
                  </w:p>
                </w:tc>
              </w:sdtContent>
            </w:sdt>
            <w:tc>
              <w:tcPr>
                <w:tcW w:w="1657" w:type="pct"/>
                <w:shd w:val="clear" w:color="auto" w:fill="auto"/>
              </w:tcPr>
              <w:p w14:paraId="36261EBF" w14:textId="77777777" w:rsidR="00830E72" w:rsidRDefault="008344D8">
                <w:pPr>
                  <w:jc w:val="right"/>
                </w:pPr>
                <w:r>
                  <w:t>136,291,798.14</w:t>
                </w:r>
              </w:p>
            </w:tc>
            <w:tc>
              <w:tcPr>
                <w:tcW w:w="1728" w:type="pct"/>
                <w:shd w:val="clear" w:color="auto" w:fill="auto"/>
              </w:tcPr>
              <w:p w14:paraId="6F76685D" w14:textId="77777777" w:rsidR="00830E72" w:rsidRDefault="008344D8">
                <w:pPr>
                  <w:jc w:val="right"/>
                </w:pPr>
                <w:r>
                  <w:t>121,586,460.61</w:t>
                </w:r>
              </w:p>
            </w:tc>
          </w:tr>
        </w:tbl>
        <w:p w14:paraId="79E79A12" w14:textId="77777777" w:rsidR="00830E72" w:rsidRDefault="00D44830"/>
      </w:sdtContent>
    </w:sdt>
    <w:sdt>
      <w:sdtPr>
        <w:rPr>
          <w:rFonts w:ascii="宋体" w:hAnsi="宋体" w:cs="宋体" w:hint="eastAsia"/>
          <w:b w:val="0"/>
          <w:bCs w:val="0"/>
          <w:kern w:val="0"/>
          <w:szCs w:val="24"/>
        </w:rPr>
        <w:alias w:val="模块:账龄超过1年的重要其他应付款"/>
        <w:tag w:val="_SEC_83408720712d4902a68e6c9ddd4c67ae"/>
        <w:id w:val="1346209418"/>
        <w:lock w:val="sdtLocked"/>
        <w:placeholder>
          <w:docPart w:val="GBC22222222222222222222222222222"/>
        </w:placeholder>
      </w:sdtPr>
      <w:sdtEndPr/>
      <w:sdtContent>
        <w:p w14:paraId="450EA078" w14:textId="77777777" w:rsidR="00830E72" w:rsidRDefault="008344D8">
          <w:pPr>
            <w:pStyle w:val="Style100"/>
            <w:numPr>
              <w:ilvl w:val="3"/>
              <w:numId w:val="69"/>
            </w:numPr>
            <w:rPr>
              <w:rFonts w:ascii="宋体" w:hAnsi="宋体"/>
            </w:rPr>
          </w:pPr>
          <w:r>
            <w:rPr>
              <w:rFonts w:ascii="宋体" w:hAnsi="宋体" w:hint="eastAsia"/>
            </w:rPr>
            <w:t>账龄超过</w:t>
          </w:r>
          <w:r>
            <w:rPr>
              <w:rFonts w:ascii="宋体" w:hAnsi="宋体"/>
            </w:rPr>
            <w:t>1年的重要其他应付款</w:t>
          </w:r>
        </w:p>
        <w:p w14:paraId="5D2F0637" w14:textId="77777777" w:rsidR="00830E72" w:rsidRDefault="00D44830">
          <w:sdt>
            <w:sdtPr>
              <w:alias w:val="是否适用：账龄超过1年的重要其他应付款[双击切换]"/>
              <w:tag w:val="_GBC_484cd63ee8b54a41978c822ae4ec5689"/>
              <w:id w:val="-1111826647"/>
              <w:lock w:val="sdtContentLocked"/>
              <w:placeholder>
                <w:docPart w:val="GBC22222222222222222222222222222"/>
              </w:placeholder>
            </w:sdtPr>
            <w:sdtEndPr/>
            <w:sdtContent>
              <w:r w:rsidR="008344D8">
                <w:fldChar w:fldCharType="begin"/>
              </w:r>
              <w:r w:rsidR="008344D8">
                <w:instrText xml:space="preserve">MACROBUTTON  SnrToggleCheckbox √适用 </w:instrText>
              </w:r>
              <w:r w:rsidR="008344D8">
                <w:fldChar w:fldCharType="end"/>
              </w:r>
              <w:r w:rsidR="008344D8">
                <w:fldChar w:fldCharType="begin"/>
              </w:r>
              <w:r w:rsidR="008344D8">
                <w:instrText xml:space="preserve"> MACROBUTTON  SnrToggleCheckbox □不适用 </w:instrText>
              </w:r>
              <w:r w:rsidR="008344D8">
                <w:fldChar w:fldCharType="end"/>
              </w:r>
            </w:sdtContent>
          </w:sdt>
        </w:p>
        <w:p w14:paraId="700E5806" w14:textId="77777777" w:rsidR="00830E72" w:rsidRDefault="008344D8">
          <w:pPr>
            <w:jc w:val="right"/>
          </w:pPr>
          <w:r>
            <w:rPr>
              <w:rFonts w:hint="eastAsia"/>
            </w:rPr>
            <w:t>单位：</w:t>
          </w:r>
          <w:sdt>
            <w:sdtPr>
              <w:rPr>
                <w:rFonts w:hint="eastAsia"/>
              </w:rPr>
              <w:alias w:val="单位：财务附注：账龄超过1年的重要其他应付款"/>
              <w:tag w:val="_GBC_70627db7610a4aaf857bc90322d6cdfe"/>
              <w:id w:val="175926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账龄超过1年的重要其他应付款"/>
              <w:tag w:val="_GBC_8ef8bcf4c1a64fecb8d1bc26dcf905d1"/>
              <w:id w:val="16214854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4"/>
            <w:gridCol w:w="2452"/>
            <w:gridCol w:w="3113"/>
          </w:tblGrid>
          <w:tr w:rsidR="00830E72" w14:paraId="66488592" w14:textId="77777777">
            <w:trPr>
              <w:trHeight w:val="269"/>
            </w:trPr>
            <w:sdt>
              <w:sdtPr>
                <w:tag w:val="_PLD_a2b3ff41455140df9be8564e6380c550"/>
                <w:id w:val="1073465770"/>
                <w:lock w:val="sdtLocked"/>
              </w:sdtPr>
              <w:sdtEndPr/>
              <w:sdtContent>
                <w:tc>
                  <w:tcPr>
                    <w:tcW w:w="1925" w:type="pct"/>
                    <w:shd w:val="clear" w:color="auto" w:fill="auto"/>
                    <w:vAlign w:val="center"/>
                  </w:tcPr>
                  <w:p w14:paraId="7153DB88" w14:textId="77777777" w:rsidR="00830E72" w:rsidRDefault="008344D8">
                    <w:pPr>
                      <w:jc w:val="center"/>
                      <w:rPr>
                        <w:szCs w:val="21"/>
                      </w:rPr>
                    </w:pPr>
                    <w:r>
                      <w:rPr>
                        <w:rFonts w:hint="eastAsia"/>
                        <w:szCs w:val="21"/>
                      </w:rPr>
                      <w:t>项目</w:t>
                    </w:r>
                  </w:p>
                </w:tc>
              </w:sdtContent>
            </w:sdt>
            <w:sdt>
              <w:sdtPr>
                <w:tag w:val="_PLD_e96da55b57ef4b128b17e8730df5f38e"/>
                <w:id w:val="707221239"/>
                <w:lock w:val="sdtLocked"/>
              </w:sdtPr>
              <w:sdtEndPr/>
              <w:sdtContent>
                <w:tc>
                  <w:tcPr>
                    <w:tcW w:w="1355" w:type="pct"/>
                    <w:shd w:val="clear" w:color="auto" w:fill="auto"/>
                    <w:vAlign w:val="center"/>
                  </w:tcPr>
                  <w:p w14:paraId="3919EC43" w14:textId="77777777" w:rsidR="00830E72" w:rsidRDefault="008344D8">
                    <w:pPr>
                      <w:jc w:val="center"/>
                      <w:rPr>
                        <w:szCs w:val="21"/>
                      </w:rPr>
                    </w:pPr>
                    <w:r>
                      <w:rPr>
                        <w:rFonts w:hint="eastAsia"/>
                        <w:szCs w:val="21"/>
                      </w:rPr>
                      <w:t>期末余额</w:t>
                    </w:r>
                  </w:p>
                </w:tc>
              </w:sdtContent>
            </w:sdt>
            <w:sdt>
              <w:sdtPr>
                <w:tag w:val="_PLD_a0a7c81595d2416d898e57939ff78dd7"/>
                <w:id w:val="895930321"/>
                <w:lock w:val="sdtLocked"/>
              </w:sdtPr>
              <w:sdtEndPr/>
              <w:sdtContent>
                <w:tc>
                  <w:tcPr>
                    <w:tcW w:w="1720" w:type="pct"/>
                    <w:shd w:val="clear" w:color="auto" w:fill="auto"/>
                    <w:vAlign w:val="center"/>
                  </w:tcPr>
                  <w:p w14:paraId="3289A9EC" w14:textId="77777777" w:rsidR="00830E72" w:rsidRDefault="008344D8">
                    <w:pPr>
                      <w:jc w:val="center"/>
                      <w:rPr>
                        <w:szCs w:val="21"/>
                      </w:rPr>
                    </w:pPr>
                    <w:r>
                      <w:rPr>
                        <w:rFonts w:hint="eastAsia"/>
                        <w:szCs w:val="21"/>
                      </w:rPr>
                      <w:t>未偿还或结转的原因</w:t>
                    </w:r>
                  </w:p>
                </w:tc>
              </w:sdtContent>
            </w:sdt>
          </w:tr>
          <w:sdt>
            <w:sdtPr>
              <w:rPr>
                <w:szCs w:val="21"/>
              </w:rPr>
              <w:alias w:val="重要的账龄超过1年的其他应付款明细"/>
              <w:tag w:val="_TUP_107abfb893f149c8878e75d2528d9efe"/>
              <w:id w:val="476642438"/>
              <w:lock w:val="sdtLocked"/>
            </w:sdtPr>
            <w:sdtEndPr/>
            <w:sdtContent>
              <w:tr w:rsidR="00830E72" w14:paraId="0999016E" w14:textId="77777777">
                <w:tc>
                  <w:tcPr>
                    <w:tcW w:w="1925" w:type="pct"/>
                    <w:tcBorders>
                      <w:bottom w:val="single" w:sz="4" w:space="0" w:color="auto"/>
                    </w:tcBorders>
                    <w:shd w:val="clear" w:color="auto" w:fill="auto"/>
                  </w:tcPr>
                  <w:p w14:paraId="07390CC8" w14:textId="77777777" w:rsidR="00830E72" w:rsidRDefault="008344D8">
                    <w:pPr>
                      <w:rPr>
                        <w:szCs w:val="21"/>
                      </w:rPr>
                    </w:pPr>
                    <w:r>
                      <w:rPr>
                        <w:rFonts w:hint="eastAsia"/>
                        <w:szCs w:val="21"/>
                      </w:rPr>
                      <w:t>海南巨友路桥工程有限公司</w:t>
                    </w:r>
                  </w:p>
                </w:tc>
                <w:tc>
                  <w:tcPr>
                    <w:tcW w:w="1355" w:type="pct"/>
                    <w:shd w:val="clear" w:color="auto" w:fill="auto"/>
                  </w:tcPr>
                  <w:p w14:paraId="32AC06DC" w14:textId="77777777" w:rsidR="00830E72" w:rsidRDefault="008344D8">
                    <w:pPr>
                      <w:jc w:val="right"/>
                      <w:rPr>
                        <w:szCs w:val="21"/>
                      </w:rPr>
                    </w:pPr>
                    <w:r>
                      <w:rPr>
                        <w:szCs w:val="21"/>
                      </w:rPr>
                      <w:t>7,312,815.80</w:t>
                    </w:r>
                  </w:p>
                </w:tc>
                <w:tc>
                  <w:tcPr>
                    <w:tcW w:w="1720" w:type="pct"/>
                    <w:shd w:val="clear" w:color="auto" w:fill="auto"/>
                  </w:tcPr>
                  <w:p w14:paraId="0C8FF43A" w14:textId="77777777" w:rsidR="00830E72" w:rsidRDefault="008344D8">
                    <w:pPr>
                      <w:jc w:val="center"/>
                      <w:rPr>
                        <w:szCs w:val="21"/>
                      </w:rPr>
                    </w:pPr>
                    <w:r>
                      <w:rPr>
                        <w:rFonts w:hint="eastAsia"/>
                        <w:szCs w:val="21"/>
                      </w:rPr>
                      <w:t>未结算</w:t>
                    </w:r>
                  </w:p>
                </w:tc>
              </w:tr>
            </w:sdtContent>
          </w:sdt>
          <w:sdt>
            <w:sdtPr>
              <w:rPr>
                <w:szCs w:val="21"/>
              </w:rPr>
              <w:alias w:val="重要的账龄超过1年的其他应付款明细"/>
              <w:tag w:val="_TUP_107abfb893f149c8878e75d2528d9efe"/>
              <w:id w:val="-694235388"/>
              <w:lock w:val="sdtLocked"/>
            </w:sdtPr>
            <w:sdtEndPr/>
            <w:sdtContent>
              <w:tr w:rsidR="00830E72" w14:paraId="0A84B0F2" w14:textId="77777777">
                <w:tc>
                  <w:tcPr>
                    <w:tcW w:w="1925" w:type="pct"/>
                    <w:tcBorders>
                      <w:bottom w:val="single" w:sz="4" w:space="0" w:color="auto"/>
                    </w:tcBorders>
                    <w:shd w:val="clear" w:color="auto" w:fill="auto"/>
                  </w:tcPr>
                  <w:p w14:paraId="4DD8A0D1" w14:textId="77777777" w:rsidR="00830E72" w:rsidRDefault="008344D8">
                    <w:pPr>
                      <w:rPr>
                        <w:szCs w:val="21"/>
                      </w:rPr>
                    </w:pPr>
                    <w:r>
                      <w:rPr>
                        <w:rFonts w:hint="eastAsia"/>
                        <w:szCs w:val="21"/>
                      </w:rPr>
                      <w:t>安徽正丰建设有限公司</w:t>
                    </w:r>
                  </w:p>
                </w:tc>
                <w:tc>
                  <w:tcPr>
                    <w:tcW w:w="1355" w:type="pct"/>
                    <w:shd w:val="clear" w:color="auto" w:fill="auto"/>
                  </w:tcPr>
                  <w:p w14:paraId="0A9E5330" w14:textId="77777777" w:rsidR="00830E72" w:rsidRDefault="008344D8">
                    <w:pPr>
                      <w:jc w:val="right"/>
                      <w:rPr>
                        <w:szCs w:val="21"/>
                      </w:rPr>
                    </w:pPr>
                    <w:r>
                      <w:rPr>
                        <w:szCs w:val="21"/>
                      </w:rPr>
                      <w:t>4,674,007.30</w:t>
                    </w:r>
                  </w:p>
                </w:tc>
                <w:tc>
                  <w:tcPr>
                    <w:tcW w:w="1720" w:type="pct"/>
                    <w:shd w:val="clear" w:color="auto" w:fill="auto"/>
                  </w:tcPr>
                  <w:p w14:paraId="76EA0312" w14:textId="77777777" w:rsidR="00830E72" w:rsidRDefault="008344D8">
                    <w:pPr>
                      <w:jc w:val="center"/>
                      <w:rPr>
                        <w:szCs w:val="21"/>
                      </w:rPr>
                    </w:pPr>
                    <w:r>
                      <w:rPr>
                        <w:rFonts w:hint="eastAsia"/>
                        <w:szCs w:val="21"/>
                      </w:rPr>
                      <w:t>未结算</w:t>
                    </w:r>
                  </w:p>
                </w:tc>
              </w:tr>
            </w:sdtContent>
          </w:sdt>
          <w:sdt>
            <w:sdtPr>
              <w:rPr>
                <w:szCs w:val="21"/>
              </w:rPr>
              <w:alias w:val="重要的账龄超过1年的其他应付款明细"/>
              <w:tag w:val="_TUP_107abfb893f149c8878e75d2528d9efe"/>
              <w:id w:val="-286360457"/>
              <w:lock w:val="sdtLocked"/>
            </w:sdtPr>
            <w:sdtEndPr/>
            <w:sdtContent>
              <w:tr w:rsidR="00830E72" w14:paraId="78B1FDAD" w14:textId="77777777">
                <w:tc>
                  <w:tcPr>
                    <w:tcW w:w="1925" w:type="pct"/>
                    <w:tcBorders>
                      <w:bottom w:val="single" w:sz="4" w:space="0" w:color="auto"/>
                    </w:tcBorders>
                    <w:shd w:val="clear" w:color="auto" w:fill="auto"/>
                  </w:tcPr>
                  <w:p w14:paraId="1F84DA81" w14:textId="77777777" w:rsidR="00830E72" w:rsidRDefault="008344D8">
                    <w:pPr>
                      <w:rPr>
                        <w:szCs w:val="21"/>
                      </w:rPr>
                    </w:pPr>
                    <w:r>
                      <w:rPr>
                        <w:rFonts w:hint="eastAsia"/>
                        <w:szCs w:val="21"/>
                      </w:rPr>
                      <w:t>杭州美健建筑劳务有限公司</w:t>
                    </w:r>
                  </w:p>
                </w:tc>
                <w:tc>
                  <w:tcPr>
                    <w:tcW w:w="1355" w:type="pct"/>
                    <w:shd w:val="clear" w:color="auto" w:fill="auto"/>
                  </w:tcPr>
                  <w:p w14:paraId="46BF4F3E" w14:textId="77777777" w:rsidR="00830E72" w:rsidRDefault="008344D8">
                    <w:pPr>
                      <w:jc w:val="right"/>
                      <w:rPr>
                        <w:szCs w:val="21"/>
                      </w:rPr>
                    </w:pPr>
                    <w:r>
                      <w:rPr>
                        <w:szCs w:val="21"/>
                      </w:rPr>
                      <w:t>4,647,627.46</w:t>
                    </w:r>
                  </w:p>
                </w:tc>
                <w:tc>
                  <w:tcPr>
                    <w:tcW w:w="1720" w:type="pct"/>
                    <w:shd w:val="clear" w:color="auto" w:fill="auto"/>
                  </w:tcPr>
                  <w:p w14:paraId="344FE932" w14:textId="77777777" w:rsidR="00830E72" w:rsidRDefault="008344D8">
                    <w:pPr>
                      <w:jc w:val="center"/>
                      <w:rPr>
                        <w:szCs w:val="21"/>
                      </w:rPr>
                    </w:pPr>
                    <w:r>
                      <w:rPr>
                        <w:rFonts w:hint="eastAsia"/>
                        <w:szCs w:val="21"/>
                      </w:rPr>
                      <w:t>未结算</w:t>
                    </w:r>
                  </w:p>
                </w:tc>
              </w:tr>
            </w:sdtContent>
          </w:sdt>
          <w:sdt>
            <w:sdtPr>
              <w:rPr>
                <w:szCs w:val="21"/>
              </w:rPr>
              <w:alias w:val="重要的账龄超过1年的其他应付款明细"/>
              <w:tag w:val="_TUP_107abfb893f149c8878e75d2528d9efe"/>
              <w:id w:val="1611084152"/>
              <w:lock w:val="sdtLocked"/>
            </w:sdtPr>
            <w:sdtEndPr/>
            <w:sdtContent>
              <w:tr w:rsidR="00830E72" w14:paraId="28FD3FBA" w14:textId="77777777">
                <w:tc>
                  <w:tcPr>
                    <w:tcW w:w="1925" w:type="pct"/>
                    <w:tcBorders>
                      <w:bottom w:val="single" w:sz="4" w:space="0" w:color="auto"/>
                    </w:tcBorders>
                    <w:shd w:val="clear" w:color="auto" w:fill="auto"/>
                  </w:tcPr>
                  <w:p w14:paraId="5F5DBFDF" w14:textId="77777777" w:rsidR="00830E72" w:rsidRDefault="008344D8">
                    <w:pPr>
                      <w:rPr>
                        <w:szCs w:val="21"/>
                      </w:rPr>
                    </w:pPr>
                    <w:r>
                      <w:rPr>
                        <w:rFonts w:hint="eastAsia"/>
                        <w:szCs w:val="21"/>
                      </w:rPr>
                      <w:t>嵊州市仁通市政设施养护有限公司</w:t>
                    </w:r>
                  </w:p>
                </w:tc>
                <w:tc>
                  <w:tcPr>
                    <w:tcW w:w="1355" w:type="pct"/>
                    <w:shd w:val="clear" w:color="auto" w:fill="auto"/>
                  </w:tcPr>
                  <w:p w14:paraId="2A96A8C0" w14:textId="77777777" w:rsidR="00830E72" w:rsidRDefault="008344D8">
                    <w:pPr>
                      <w:jc w:val="right"/>
                      <w:rPr>
                        <w:szCs w:val="21"/>
                      </w:rPr>
                    </w:pPr>
                    <w:r>
                      <w:rPr>
                        <w:szCs w:val="21"/>
                      </w:rPr>
                      <w:t>4,000,000.00</w:t>
                    </w:r>
                  </w:p>
                </w:tc>
                <w:tc>
                  <w:tcPr>
                    <w:tcW w:w="1720" w:type="pct"/>
                    <w:shd w:val="clear" w:color="auto" w:fill="auto"/>
                  </w:tcPr>
                  <w:p w14:paraId="70D4A650" w14:textId="77777777" w:rsidR="00830E72" w:rsidRDefault="008344D8">
                    <w:pPr>
                      <w:jc w:val="center"/>
                      <w:rPr>
                        <w:szCs w:val="21"/>
                      </w:rPr>
                    </w:pPr>
                    <w:r>
                      <w:rPr>
                        <w:rFonts w:hint="eastAsia"/>
                        <w:szCs w:val="21"/>
                      </w:rPr>
                      <w:t>未结算</w:t>
                    </w:r>
                  </w:p>
                </w:tc>
              </w:tr>
            </w:sdtContent>
          </w:sdt>
          <w:sdt>
            <w:sdtPr>
              <w:rPr>
                <w:szCs w:val="21"/>
              </w:rPr>
              <w:alias w:val="重要的账龄超过1年的其他应付款明细"/>
              <w:tag w:val="_TUP_107abfb893f149c8878e75d2528d9efe"/>
              <w:id w:val="1691721882"/>
              <w:lock w:val="sdtLocked"/>
            </w:sdtPr>
            <w:sdtEndPr/>
            <w:sdtContent>
              <w:tr w:rsidR="00830E72" w14:paraId="7171DE97" w14:textId="77777777">
                <w:tc>
                  <w:tcPr>
                    <w:tcW w:w="1925" w:type="pct"/>
                    <w:tcBorders>
                      <w:bottom w:val="single" w:sz="4" w:space="0" w:color="auto"/>
                    </w:tcBorders>
                    <w:shd w:val="clear" w:color="auto" w:fill="auto"/>
                  </w:tcPr>
                  <w:p w14:paraId="1682955E" w14:textId="77777777" w:rsidR="00830E72" w:rsidRDefault="008344D8">
                    <w:pPr>
                      <w:rPr>
                        <w:szCs w:val="21"/>
                      </w:rPr>
                    </w:pPr>
                    <w:r>
                      <w:rPr>
                        <w:rFonts w:hint="eastAsia"/>
                        <w:szCs w:val="21"/>
                      </w:rPr>
                      <w:t>中铁四局集团第一工程有限公司</w:t>
                    </w:r>
                  </w:p>
                </w:tc>
                <w:tc>
                  <w:tcPr>
                    <w:tcW w:w="1355" w:type="pct"/>
                    <w:shd w:val="clear" w:color="auto" w:fill="auto"/>
                  </w:tcPr>
                  <w:p w14:paraId="2AA905FA" w14:textId="77777777" w:rsidR="00830E72" w:rsidRDefault="008344D8">
                    <w:pPr>
                      <w:jc w:val="right"/>
                      <w:rPr>
                        <w:szCs w:val="21"/>
                      </w:rPr>
                    </w:pPr>
                    <w:r>
                      <w:rPr>
                        <w:szCs w:val="21"/>
                      </w:rPr>
                      <w:t>3,715,998.00</w:t>
                    </w:r>
                  </w:p>
                </w:tc>
                <w:tc>
                  <w:tcPr>
                    <w:tcW w:w="1720" w:type="pct"/>
                    <w:shd w:val="clear" w:color="auto" w:fill="auto"/>
                  </w:tcPr>
                  <w:p w14:paraId="3156FE98" w14:textId="77777777" w:rsidR="00830E72" w:rsidRDefault="008344D8">
                    <w:pPr>
                      <w:jc w:val="center"/>
                      <w:rPr>
                        <w:szCs w:val="21"/>
                      </w:rPr>
                    </w:pPr>
                    <w:r>
                      <w:rPr>
                        <w:rFonts w:hint="eastAsia"/>
                        <w:szCs w:val="21"/>
                      </w:rPr>
                      <w:t>未结算</w:t>
                    </w:r>
                  </w:p>
                </w:tc>
              </w:tr>
            </w:sdtContent>
          </w:sdt>
          <w:tr w:rsidR="00830E72" w14:paraId="64F05423" w14:textId="77777777">
            <w:sdt>
              <w:sdtPr>
                <w:tag w:val="_PLD_ea766d57335d427393a67dd762f0167b"/>
                <w:id w:val="952830705"/>
                <w:lock w:val="sdtLocked"/>
              </w:sdtPr>
              <w:sdtEndPr/>
              <w:sdtContent>
                <w:tc>
                  <w:tcPr>
                    <w:tcW w:w="1925" w:type="pct"/>
                    <w:shd w:val="clear" w:color="auto" w:fill="auto"/>
                    <w:vAlign w:val="center"/>
                  </w:tcPr>
                  <w:p w14:paraId="38752ABC" w14:textId="77777777" w:rsidR="00830E72" w:rsidRDefault="008344D8">
                    <w:pPr>
                      <w:jc w:val="center"/>
                      <w:rPr>
                        <w:szCs w:val="21"/>
                      </w:rPr>
                    </w:pPr>
                    <w:r>
                      <w:rPr>
                        <w:rFonts w:hint="eastAsia"/>
                        <w:szCs w:val="21"/>
                      </w:rPr>
                      <w:t>合计</w:t>
                    </w:r>
                  </w:p>
                </w:tc>
              </w:sdtContent>
            </w:sdt>
            <w:tc>
              <w:tcPr>
                <w:tcW w:w="1355" w:type="pct"/>
                <w:shd w:val="clear" w:color="auto" w:fill="auto"/>
              </w:tcPr>
              <w:p w14:paraId="01F54D16" w14:textId="77777777" w:rsidR="00830E72" w:rsidRDefault="008344D8">
                <w:pPr>
                  <w:jc w:val="right"/>
                  <w:rPr>
                    <w:szCs w:val="21"/>
                  </w:rPr>
                </w:pPr>
                <w:r>
                  <w:rPr>
                    <w:szCs w:val="21"/>
                  </w:rPr>
                  <w:t>24,350,448.56</w:t>
                </w:r>
              </w:p>
            </w:tc>
            <w:tc>
              <w:tcPr>
                <w:tcW w:w="1720" w:type="pct"/>
                <w:shd w:val="clear" w:color="auto" w:fill="auto"/>
              </w:tcPr>
              <w:p w14:paraId="3A9AEFDA" w14:textId="77777777" w:rsidR="00830E72" w:rsidRDefault="008344D8">
                <w:pPr>
                  <w:jc w:val="center"/>
                  <w:rPr>
                    <w:szCs w:val="21"/>
                  </w:rPr>
                </w:pPr>
                <w:r>
                  <w:rPr>
                    <w:rFonts w:hint="eastAsia"/>
                    <w:szCs w:val="21"/>
                  </w:rPr>
                  <w:t>/</w:t>
                </w:r>
              </w:p>
            </w:tc>
          </w:tr>
        </w:tbl>
        <w:p w14:paraId="72D8C0AB" w14:textId="77777777" w:rsidR="00830E72" w:rsidRDefault="00D44830"/>
      </w:sdtContent>
    </w:sdt>
    <w:sdt>
      <w:sdtPr>
        <w:rPr>
          <w:rFonts w:hint="eastAsia"/>
        </w:rPr>
        <w:alias w:val="模块:其他说明"/>
        <w:tag w:val="_SEC_b03fcb02b4b747249703cbc2e0a127fd"/>
        <w:id w:val="95145108"/>
        <w:lock w:val="sdtLocked"/>
        <w:placeholder>
          <w:docPart w:val="GBC22222222222222222222222222222"/>
        </w:placeholder>
      </w:sdtPr>
      <w:sdtEndPr>
        <w:rPr>
          <w:rFonts w:hint="default"/>
          <w:szCs w:val="21"/>
        </w:rPr>
      </w:sdtEndPr>
      <w:sdtContent>
        <w:p w14:paraId="006446ED" w14:textId="77777777" w:rsidR="00830E72" w:rsidRDefault="008344D8">
          <w:r>
            <w:rPr>
              <w:rFonts w:hint="eastAsia"/>
            </w:rPr>
            <w:t>其他说明：</w:t>
          </w:r>
        </w:p>
        <w:sdt>
          <w:sdtPr>
            <w:alias w:val="是否适用：其他应付款的其他说明[双击切换]"/>
            <w:tag w:val="_GBC_c968ec386e144657884a6b5b483acbfd"/>
            <w:id w:val="157581346"/>
            <w:lock w:val="sdtContentLocked"/>
            <w:placeholder>
              <w:docPart w:val="GBC22222222222222222222222222222"/>
            </w:placeholder>
          </w:sdtPr>
          <w:sdtEndPr/>
          <w:sdtContent>
            <w:p w14:paraId="2201ADAB" w14:textId="77777777" w:rsidR="00830E72" w:rsidRDefault="008344D8">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70"/>
    <w:p w14:paraId="35703C1C" w14:textId="77777777" w:rsidR="00830E72" w:rsidRDefault="00830E72">
      <w:pPr>
        <w:rPr>
          <w:szCs w:val="21"/>
        </w:rPr>
      </w:pPr>
    </w:p>
    <w:sdt>
      <w:sdtPr>
        <w:rPr>
          <w:rFonts w:ascii="宋体" w:hAnsi="宋体" w:cs="宋体" w:hint="eastAsia"/>
          <w:b w:val="0"/>
          <w:bCs w:val="0"/>
          <w:kern w:val="0"/>
          <w:szCs w:val="21"/>
        </w:rPr>
        <w:alias w:val="模块:划分为持有待售的负债"/>
        <w:tag w:val="_GBC_b863defdccbc448695ee82953f3da273"/>
        <w:id w:val="1334268196"/>
        <w:lock w:val="sdtLocked"/>
        <w:placeholder>
          <w:docPart w:val="GBC22222222222222222222222222222"/>
        </w:placeholder>
      </w:sdtPr>
      <w:sdtEndPr/>
      <w:sdtContent>
        <w:p w14:paraId="2DBECEDF"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持有待售负债</w:t>
          </w:r>
        </w:p>
        <w:sdt>
          <w:sdtPr>
            <w:alias w:val="是否适用：划分为持有待售的负债[双击切换]"/>
            <w:tag w:val="_GBC_039b9e06b132407a89f578be468d6ec8"/>
            <w:id w:val="-773629160"/>
            <w:lock w:val="sdtContentLocked"/>
            <w:placeholder>
              <w:docPart w:val="GBC22222222222222222222222222222"/>
            </w:placeholder>
          </w:sdtPr>
          <w:sdtEndPr/>
          <w:sdtContent>
            <w:p w14:paraId="0C130C8B"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1D4E791" w14:textId="77777777" w:rsidR="00830E72" w:rsidRDefault="00D44830">
          <w:pPr>
            <w:rPr>
              <w:szCs w:val="21"/>
            </w:rPr>
          </w:pPr>
        </w:p>
      </w:sdtContent>
    </w:sdt>
    <w:sdt>
      <w:sdtPr>
        <w:rPr>
          <w:rFonts w:ascii="宋体" w:hAnsi="宋体" w:cs="宋体" w:hint="eastAsia"/>
          <w:b w:val="0"/>
          <w:bCs w:val="0"/>
          <w:kern w:val="0"/>
          <w:szCs w:val="21"/>
        </w:rPr>
        <w:alias w:val="模块:1年内到期的非流动负债"/>
        <w:tag w:val="_GBC_d5b7f9c02d494f85b85a36713895b9f8"/>
        <w:id w:val="828630777"/>
        <w:lock w:val="sdtLocked"/>
        <w:placeholder>
          <w:docPart w:val="GBC22222222222222222222222222222"/>
        </w:placeholder>
      </w:sdtPr>
      <w:sdtEndPr>
        <w:rPr>
          <w:rFonts w:hint="default"/>
        </w:rPr>
      </w:sdtEndPr>
      <w:sdtContent>
        <w:p w14:paraId="6FC492EB"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9b606bc3f0cf4f77be9b0f299d212c73"/>
            <w:id w:val="-1056235125"/>
            <w:lock w:val="sdtContentLocked"/>
            <w:placeholder>
              <w:docPart w:val="GBC22222222222222222222222222222"/>
            </w:placeholder>
          </w:sdtPr>
          <w:sdtEndPr/>
          <w:sdtContent>
            <w:p w14:paraId="63453B21"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1FA4145" w14:textId="77777777" w:rsidR="00830E72" w:rsidRDefault="008344D8">
          <w:pPr>
            <w:jc w:val="right"/>
            <w:rPr>
              <w:szCs w:val="21"/>
            </w:rPr>
          </w:pPr>
          <w:r>
            <w:rPr>
              <w:rFonts w:hint="eastAsia"/>
              <w:szCs w:val="21"/>
            </w:rPr>
            <w:lastRenderedPageBreak/>
            <w:t>单位：</w:t>
          </w:r>
          <w:sdt>
            <w:sdtPr>
              <w:rPr>
                <w:rFonts w:hint="eastAsia"/>
                <w:szCs w:val="21"/>
              </w:rPr>
              <w:alias w:val="单位：1年内到期的非流动负债情况"/>
              <w:tag w:val="_GBC_7bad01766fa0485ea9c16109704ff32e"/>
              <w:id w:val="5933736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25aa805434d340a6ade79870522c9640"/>
              <w:id w:val="-3372320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3037"/>
            <w:gridCol w:w="3104"/>
          </w:tblGrid>
          <w:tr w:rsidR="00830E72" w14:paraId="39D1FB83" w14:textId="77777777">
            <w:sdt>
              <w:sdtPr>
                <w:tag w:val="_PLD_bf2815b84ebe4a1e94909ee96ec31ac1"/>
                <w:id w:val="-399132850"/>
                <w:lock w:val="sdtLocked"/>
              </w:sdtPr>
              <w:sdtEndPr/>
              <w:sdtContent>
                <w:tc>
                  <w:tcPr>
                    <w:tcW w:w="1607" w:type="pct"/>
                    <w:shd w:val="clear" w:color="auto" w:fill="auto"/>
                  </w:tcPr>
                  <w:p w14:paraId="28A6DD91" w14:textId="77777777" w:rsidR="00830E72" w:rsidRDefault="008344D8">
                    <w:pPr>
                      <w:jc w:val="center"/>
                      <w:rPr>
                        <w:szCs w:val="21"/>
                      </w:rPr>
                    </w:pPr>
                    <w:r>
                      <w:rPr>
                        <w:rFonts w:hint="eastAsia"/>
                        <w:szCs w:val="21"/>
                      </w:rPr>
                      <w:t>项目</w:t>
                    </w:r>
                  </w:p>
                </w:tc>
              </w:sdtContent>
            </w:sdt>
            <w:sdt>
              <w:sdtPr>
                <w:tag w:val="_PLD_db7abcf611bc4296ad7bd9c8177202e0"/>
                <w:id w:val="-1605103960"/>
                <w:lock w:val="sdtLocked"/>
              </w:sdtPr>
              <w:sdtEndPr/>
              <w:sdtContent>
                <w:tc>
                  <w:tcPr>
                    <w:tcW w:w="1678" w:type="pct"/>
                    <w:shd w:val="clear" w:color="auto" w:fill="auto"/>
                  </w:tcPr>
                  <w:p w14:paraId="248ED3ED" w14:textId="77777777" w:rsidR="00830E72" w:rsidRDefault="008344D8">
                    <w:pPr>
                      <w:jc w:val="center"/>
                      <w:rPr>
                        <w:szCs w:val="21"/>
                      </w:rPr>
                    </w:pPr>
                    <w:r>
                      <w:rPr>
                        <w:rFonts w:hint="eastAsia"/>
                        <w:szCs w:val="21"/>
                      </w:rPr>
                      <w:t>期末余额</w:t>
                    </w:r>
                  </w:p>
                </w:tc>
              </w:sdtContent>
            </w:sdt>
            <w:sdt>
              <w:sdtPr>
                <w:tag w:val="_PLD_371959274ef4493ca1fe426c930e0bf2"/>
                <w:id w:val="280701953"/>
                <w:lock w:val="sdtLocked"/>
              </w:sdtPr>
              <w:sdtEndPr/>
              <w:sdtContent>
                <w:tc>
                  <w:tcPr>
                    <w:tcW w:w="1715" w:type="pct"/>
                    <w:shd w:val="clear" w:color="auto" w:fill="auto"/>
                  </w:tcPr>
                  <w:p w14:paraId="1664F32E" w14:textId="77777777" w:rsidR="00830E72" w:rsidRDefault="008344D8">
                    <w:pPr>
                      <w:jc w:val="center"/>
                      <w:rPr>
                        <w:szCs w:val="21"/>
                      </w:rPr>
                    </w:pPr>
                    <w:r>
                      <w:rPr>
                        <w:rFonts w:hint="eastAsia"/>
                        <w:szCs w:val="21"/>
                      </w:rPr>
                      <w:t>期初余额</w:t>
                    </w:r>
                  </w:p>
                </w:tc>
              </w:sdtContent>
            </w:sdt>
          </w:tr>
          <w:tr w:rsidR="00830E72" w14:paraId="0CF5D685" w14:textId="77777777">
            <w:sdt>
              <w:sdtPr>
                <w:tag w:val="_PLD_d604ff944003432285ae67c4dffb978f"/>
                <w:id w:val="1685868419"/>
                <w:lock w:val="sdtLocked"/>
              </w:sdtPr>
              <w:sdtEndPr/>
              <w:sdtContent>
                <w:tc>
                  <w:tcPr>
                    <w:tcW w:w="1607" w:type="pct"/>
                    <w:shd w:val="clear" w:color="auto" w:fill="auto"/>
                  </w:tcPr>
                  <w:p w14:paraId="47AA9539" w14:textId="77777777" w:rsidR="00830E72" w:rsidRDefault="008344D8">
                    <w:pPr>
                      <w:rPr>
                        <w:szCs w:val="21"/>
                      </w:rPr>
                    </w:pPr>
                    <w:r>
                      <w:rPr>
                        <w:rFonts w:hint="eastAsia"/>
                        <w:szCs w:val="21"/>
                      </w:rPr>
                      <w:t>1年内到期的长期借款</w:t>
                    </w:r>
                  </w:p>
                </w:tc>
              </w:sdtContent>
            </w:sdt>
            <w:tc>
              <w:tcPr>
                <w:tcW w:w="1678" w:type="pct"/>
                <w:shd w:val="clear" w:color="auto" w:fill="auto"/>
              </w:tcPr>
              <w:p w14:paraId="762B943B" w14:textId="77777777" w:rsidR="00830E72" w:rsidRDefault="008344D8">
                <w:pPr>
                  <w:jc w:val="right"/>
                  <w:rPr>
                    <w:szCs w:val="21"/>
                  </w:rPr>
                </w:pPr>
                <w:r>
                  <w:rPr>
                    <w:szCs w:val="21"/>
                  </w:rPr>
                  <w:t>69,722,550.37</w:t>
                </w:r>
              </w:p>
            </w:tc>
            <w:tc>
              <w:tcPr>
                <w:tcW w:w="1715" w:type="pct"/>
                <w:shd w:val="clear" w:color="auto" w:fill="auto"/>
              </w:tcPr>
              <w:p w14:paraId="00E28430" w14:textId="77777777" w:rsidR="00830E72" w:rsidRDefault="008344D8">
                <w:pPr>
                  <w:jc w:val="right"/>
                  <w:rPr>
                    <w:szCs w:val="21"/>
                  </w:rPr>
                </w:pPr>
                <w:r>
                  <w:rPr>
                    <w:szCs w:val="21"/>
                  </w:rPr>
                  <w:t>54,265,043.89</w:t>
                </w:r>
              </w:p>
            </w:tc>
          </w:tr>
          <w:tr w:rsidR="00830E72" w14:paraId="6CAF8E14" w14:textId="77777777">
            <w:sdt>
              <w:sdtPr>
                <w:tag w:val="_PLD_c33302dbab574c0490258d7885fc5bb5"/>
                <w:id w:val="-1207259414"/>
                <w:lock w:val="sdtLocked"/>
              </w:sdtPr>
              <w:sdtEndPr/>
              <w:sdtContent>
                <w:tc>
                  <w:tcPr>
                    <w:tcW w:w="1607" w:type="pct"/>
                    <w:shd w:val="clear" w:color="auto" w:fill="auto"/>
                  </w:tcPr>
                  <w:p w14:paraId="4E335ED2" w14:textId="77777777" w:rsidR="00830E72" w:rsidRDefault="008344D8">
                    <w:pPr>
                      <w:rPr>
                        <w:szCs w:val="21"/>
                      </w:rPr>
                    </w:pPr>
                    <w:r>
                      <w:rPr>
                        <w:rFonts w:hint="eastAsia"/>
                        <w:szCs w:val="21"/>
                      </w:rPr>
                      <w:t>1年内到期的应付债券</w:t>
                    </w:r>
                  </w:p>
                </w:tc>
              </w:sdtContent>
            </w:sdt>
            <w:tc>
              <w:tcPr>
                <w:tcW w:w="1678" w:type="pct"/>
                <w:shd w:val="clear" w:color="auto" w:fill="auto"/>
              </w:tcPr>
              <w:p w14:paraId="23C96D9A" w14:textId="77777777" w:rsidR="00830E72" w:rsidRDefault="00830E72">
                <w:pPr>
                  <w:jc w:val="right"/>
                  <w:rPr>
                    <w:szCs w:val="21"/>
                  </w:rPr>
                </w:pPr>
              </w:p>
            </w:tc>
            <w:tc>
              <w:tcPr>
                <w:tcW w:w="1715" w:type="pct"/>
                <w:shd w:val="clear" w:color="auto" w:fill="auto"/>
              </w:tcPr>
              <w:p w14:paraId="017E7DDF" w14:textId="77777777" w:rsidR="00830E72" w:rsidRDefault="00830E72">
                <w:pPr>
                  <w:jc w:val="right"/>
                  <w:rPr>
                    <w:szCs w:val="21"/>
                  </w:rPr>
                </w:pPr>
              </w:p>
            </w:tc>
          </w:tr>
          <w:tr w:rsidR="00830E72" w14:paraId="7EEAF261" w14:textId="77777777">
            <w:sdt>
              <w:sdtPr>
                <w:tag w:val="_PLD_80ec0c08bdec4a7cab5a5163221b0aa3"/>
                <w:id w:val="116730081"/>
                <w:lock w:val="sdtLocked"/>
              </w:sdtPr>
              <w:sdtEndPr/>
              <w:sdtContent>
                <w:tc>
                  <w:tcPr>
                    <w:tcW w:w="1607" w:type="pct"/>
                    <w:shd w:val="clear" w:color="auto" w:fill="auto"/>
                  </w:tcPr>
                  <w:p w14:paraId="25EA8CB4" w14:textId="77777777" w:rsidR="00830E72" w:rsidRDefault="008344D8">
                    <w:pPr>
                      <w:rPr>
                        <w:szCs w:val="21"/>
                      </w:rPr>
                    </w:pPr>
                    <w:r>
                      <w:rPr>
                        <w:rFonts w:hint="eastAsia"/>
                        <w:szCs w:val="21"/>
                      </w:rPr>
                      <w:t>1年内到期的长期应付款</w:t>
                    </w:r>
                  </w:p>
                </w:tc>
              </w:sdtContent>
            </w:sdt>
            <w:tc>
              <w:tcPr>
                <w:tcW w:w="1678" w:type="pct"/>
                <w:shd w:val="clear" w:color="auto" w:fill="auto"/>
              </w:tcPr>
              <w:p w14:paraId="3224A8F0" w14:textId="77777777" w:rsidR="00830E72" w:rsidRDefault="00830E72">
                <w:pPr>
                  <w:jc w:val="right"/>
                  <w:rPr>
                    <w:szCs w:val="21"/>
                  </w:rPr>
                </w:pPr>
              </w:p>
            </w:tc>
            <w:tc>
              <w:tcPr>
                <w:tcW w:w="1715" w:type="pct"/>
                <w:shd w:val="clear" w:color="auto" w:fill="auto"/>
              </w:tcPr>
              <w:p w14:paraId="4371C6F8" w14:textId="77777777" w:rsidR="00830E72" w:rsidRDefault="00830E72">
                <w:pPr>
                  <w:jc w:val="right"/>
                  <w:rPr>
                    <w:szCs w:val="21"/>
                  </w:rPr>
                </w:pPr>
              </w:p>
            </w:tc>
          </w:tr>
          <w:tr w:rsidR="00830E72" w14:paraId="0AA00809" w14:textId="77777777">
            <w:tc>
              <w:tcPr>
                <w:tcW w:w="1607" w:type="pct"/>
                <w:shd w:val="clear" w:color="auto" w:fill="auto"/>
              </w:tcPr>
              <w:sdt>
                <w:sdtPr>
                  <w:rPr>
                    <w:rFonts w:hint="eastAsia"/>
                  </w:rPr>
                  <w:tag w:val="_PLD_da928b33f6eb40d197d7afd28664c8f8"/>
                  <w:id w:val="-1786345076"/>
                  <w:lock w:val="sdtLocked"/>
                </w:sdtPr>
                <w:sdtEndPr/>
                <w:sdtContent>
                  <w:p w14:paraId="16616EB9" w14:textId="77777777" w:rsidR="00830E72" w:rsidRDefault="008344D8">
                    <w:r>
                      <w:rPr>
                        <w:rFonts w:hint="eastAsia"/>
                      </w:rPr>
                      <w:t>1年内到期的租赁负债</w:t>
                    </w:r>
                  </w:p>
                </w:sdtContent>
              </w:sdt>
            </w:tc>
            <w:tc>
              <w:tcPr>
                <w:tcW w:w="1678" w:type="pct"/>
                <w:shd w:val="clear" w:color="auto" w:fill="auto"/>
              </w:tcPr>
              <w:p w14:paraId="32E16FDF" w14:textId="77777777" w:rsidR="00830E72" w:rsidRDefault="00830E72">
                <w:pPr>
                  <w:jc w:val="right"/>
                  <w:rPr>
                    <w:szCs w:val="21"/>
                  </w:rPr>
                </w:pPr>
              </w:p>
            </w:tc>
            <w:tc>
              <w:tcPr>
                <w:tcW w:w="1715" w:type="pct"/>
                <w:shd w:val="clear" w:color="auto" w:fill="auto"/>
              </w:tcPr>
              <w:p w14:paraId="0D8D8E7D" w14:textId="77777777" w:rsidR="00830E72" w:rsidRDefault="00830E72">
                <w:pPr>
                  <w:jc w:val="right"/>
                  <w:rPr>
                    <w:szCs w:val="21"/>
                  </w:rPr>
                </w:pPr>
              </w:p>
            </w:tc>
          </w:tr>
          <w:tr w:rsidR="00830E72" w14:paraId="1B32F6AC" w14:textId="77777777">
            <w:sdt>
              <w:sdtPr>
                <w:tag w:val="_PLD_f9405fec461a4b079f93c72be0490bbf"/>
                <w:id w:val="1820462723"/>
                <w:lock w:val="sdtLocked"/>
              </w:sdtPr>
              <w:sdtEndPr/>
              <w:sdtContent>
                <w:tc>
                  <w:tcPr>
                    <w:tcW w:w="1607" w:type="pct"/>
                    <w:shd w:val="clear" w:color="auto" w:fill="auto"/>
                  </w:tcPr>
                  <w:p w14:paraId="386104B5" w14:textId="77777777" w:rsidR="00830E72" w:rsidRDefault="008344D8">
                    <w:pPr>
                      <w:jc w:val="center"/>
                      <w:rPr>
                        <w:szCs w:val="21"/>
                      </w:rPr>
                    </w:pPr>
                    <w:r>
                      <w:rPr>
                        <w:rFonts w:hint="eastAsia"/>
                        <w:szCs w:val="21"/>
                      </w:rPr>
                      <w:t>合计</w:t>
                    </w:r>
                  </w:p>
                </w:tc>
              </w:sdtContent>
            </w:sdt>
            <w:tc>
              <w:tcPr>
                <w:tcW w:w="1678" w:type="pct"/>
                <w:shd w:val="clear" w:color="auto" w:fill="auto"/>
              </w:tcPr>
              <w:p w14:paraId="7CFE5982" w14:textId="77777777" w:rsidR="00830E72" w:rsidRDefault="008344D8">
                <w:pPr>
                  <w:jc w:val="right"/>
                  <w:rPr>
                    <w:szCs w:val="21"/>
                  </w:rPr>
                </w:pPr>
                <w:r>
                  <w:rPr>
                    <w:szCs w:val="21"/>
                  </w:rPr>
                  <w:t>69,722,550.37</w:t>
                </w:r>
              </w:p>
            </w:tc>
            <w:tc>
              <w:tcPr>
                <w:tcW w:w="1715" w:type="pct"/>
                <w:shd w:val="clear" w:color="auto" w:fill="auto"/>
              </w:tcPr>
              <w:p w14:paraId="44BCD48D" w14:textId="77777777" w:rsidR="00830E72" w:rsidRDefault="008344D8">
                <w:pPr>
                  <w:jc w:val="right"/>
                  <w:rPr>
                    <w:szCs w:val="21"/>
                  </w:rPr>
                </w:pPr>
                <w:r>
                  <w:rPr>
                    <w:szCs w:val="21"/>
                  </w:rPr>
                  <w:t>54,265,043.89</w:t>
                </w:r>
              </w:p>
            </w:tc>
          </w:tr>
        </w:tbl>
        <w:p w14:paraId="0D2DE8F9" w14:textId="77777777" w:rsidR="00830E72" w:rsidRDefault="00D44830">
          <w:pPr>
            <w:rPr>
              <w:szCs w:val="21"/>
            </w:rPr>
          </w:pPr>
        </w:p>
      </w:sdtContent>
    </w:sdt>
    <w:p w14:paraId="354F4CAF"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其他流动负债</w:t>
      </w:r>
      <w:bookmarkStart w:id="171" w:name="_Hlk10536328"/>
    </w:p>
    <w:sdt>
      <w:sdtPr>
        <w:rPr>
          <w:rFonts w:hint="eastAsia"/>
          <w:szCs w:val="21"/>
        </w:rPr>
        <w:alias w:val="是否适用：其他流动负债情况 [双击切换]"/>
        <w:tag w:val="_GBC_80907e3e53c44260b850f42646eb3d63"/>
        <w:id w:val="1684089513"/>
        <w:lock w:val="sdtContentLocked"/>
        <w:placeholder>
          <w:docPart w:val="GBC22222222222222222222222222222"/>
        </w:placeholder>
      </w:sdtPr>
      <w:sdtEndPr/>
      <w:sdtContent>
        <w:p w14:paraId="3E3DA034"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模块:其他流动负债"/>
        <w:tag w:val="_SEC_56be6eded8da4d0d9ac5c3624a91cdc6"/>
        <w:id w:val="467633225"/>
        <w:lock w:val="sdtLocked"/>
        <w:placeholder>
          <w:docPart w:val="GBC22222222222222222222222222222"/>
        </w:placeholder>
      </w:sdtPr>
      <w:sdtEndPr>
        <w:rPr>
          <w:rFonts w:hint="default"/>
        </w:rPr>
      </w:sdtEndPr>
      <w:sdtContent>
        <w:p w14:paraId="5D37C16E" w14:textId="77777777" w:rsidR="00830E72" w:rsidRDefault="008344D8">
          <w:pPr>
            <w:jc w:val="right"/>
            <w:rPr>
              <w:szCs w:val="21"/>
            </w:rPr>
          </w:pPr>
          <w:r>
            <w:rPr>
              <w:rFonts w:hint="eastAsia"/>
              <w:szCs w:val="21"/>
            </w:rPr>
            <w:t>单位：</w:t>
          </w:r>
          <w:sdt>
            <w:sdtPr>
              <w:rPr>
                <w:rFonts w:hint="eastAsia"/>
                <w:szCs w:val="21"/>
              </w:rPr>
              <w:alias w:val="单位：财务附注：其他流动负债"/>
              <w:tag w:val="_GBC_6d31349460124941a4929421727aab0e"/>
              <w:id w:val="15696859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7d8c93066ac541859a45d371953d3cdc"/>
              <w:id w:val="-4523174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3119"/>
            <w:gridCol w:w="3129"/>
          </w:tblGrid>
          <w:tr w:rsidR="00830E72" w14:paraId="043E2422" w14:textId="77777777">
            <w:trPr>
              <w:jc w:val="center"/>
            </w:trPr>
            <w:sdt>
              <w:sdtPr>
                <w:tag w:val="_PLD_8fb682e3d6ad4a60b648ec38137fbf9d"/>
                <w:id w:val="1094360915"/>
                <w:lock w:val="sdtLocked"/>
              </w:sdtPr>
              <w:sdtEndPr/>
              <w:sdtContent>
                <w:tc>
                  <w:tcPr>
                    <w:tcW w:w="1547" w:type="pct"/>
                    <w:tcBorders>
                      <w:top w:val="single" w:sz="4" w:space="0" w:color="auto"/>
                      <w:left w:val="single" w:sz="4" w:space="0" w:color="auto"/>
                      <w:bottom w:val="single" w:sz="4" w:space="0" w:color="auto"/>
                      <w:right w:val="single" w:sz="4" w:space="0" w:color="auto"/>
                    </w:tcBorders>
                    <w:vAlign w:val="bottom"/>
                  </w:tcPr>
                  <w:p w14:paraId="3F04914C" w14:textId="77777777" w:rsidR="00830E72" w:rsidRDefault="008344D8">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0c0b762dc58f486f9f736b7ace21e9a0"/>
                <w:id w:val="-1438363498"/>
                <w:lock w:val="sdtLocked"/>
              </w:sdtPr>
              <w:sdtEndPr/>
              <w:sdtContent>
                <w:tc>
                  <w:tcPr>
                    <w:tcW w:w="1723" w:type="pct"/>
                    <w:tcBorders>
                      <w:top w:val="single" w:sz="4" w:space="0" w:color="auto"/>
                      <w:left w:val="single" w:sz="4" w:space="0" w:color="auto"/>
                      <w:bottom w:val="single" w:sz="4" w:space="0" w:color="auto"/>
                      <w:right w:val="single" w:sz="4" w:space="0" w:color="auto"/>
                    </w:tcBorders>
                  </w:tcPr>
                  <w:p w14:paraId="2D46DF83" w14:textId="77777777" w:rsidR="00830E72" w:rsidRDefault="008344D8">
                    <w:pPr>
                      <w:adjustRightInd w:val="0"/>
                      <w:snapToGrid w:val="0"/>
                      <w:jc w:val="center"/>
                      <w:rPr>
                        <w:szCs w:val="21"/>
                      </w:rPr>
                    </w:pPr>
                    <w:r>
                      <w:rPr>
                        <w:rFonts w:hint="eastAsia"/>
                        <w:szCs w:val="21"/>
                      </w:rPr>
                      <w:t>期末余额</w:t>
                    </w:r>
                  </w:p>
                </w:tc>
              </w:sdtContent>
            </w:sdt>
            <w:sdt>
              <w:sdtPr>
                <w:tag w:val="_PLD_942d693f41424f82b813e282a8210643"/>
                <w:id w:val="950514867"/>
                <w:lock w:val="sdtLocked"/>
              </w:sdtPr>
              <w:sdtEndPr/>
              <w:sdtContent>
                <w:tc>
                  <w:tcPr>
                    <w:tcW w:w="1729" w:type="pct"/>
                    <w:tcBorders>
                      <w:top w:val="single" w:sz="4" w:space="0" w:color="auto"/>
                      <w:left w:val="single" w:sz="4" w:space="0" w:color="auto"/>
                      <w:bottom w:val="single" w:sz="4" w:space="0" w:color="auto"/>
                      <w:right w:val="single" w:sz="4" w:space="0" w:color="auto"/>
                    </w:tcBorders>
                  </w:tcPr>
                  <w:p w14:paraId="12F96255" w14:textId="77777777" w:rsidR="00830E72" w:rsidRDefault="008344D8">
                    <w:pPr>
                      <w:adjustRightInd w:val="0"/>
                      <w:snapToGrid w:val="0"/>
                      <w:jc w:val="center"/>
                      <w:rPr>
                        <w:szCs w:val="21"/>
                      </w:rPr>
                    </w:pPr>
                    <w:r>
                      <w:rPr>
                        <w:rFonts w:hint="eastAsia"/>
                        <w:szCs w:val="21"/>
                      </w:rPr>
                      <w:t>期初余额</w:t>
                    </w:r>
                  </w:p>
                </w:tc>
              </w:sdtContent>
            </w:sdt>
          </w:tr>
          <w:tr w:rsidR="00830E72" w14:paraId="7626C6EC" w14:textId="77777777">
            <w:trPr>
              <w:jc w:val="center"/>
            </w:trPr>
            <w:sdt>
              <w:sdtPr>
                <w:tag w:val="_PLD_ded88bf4ef70481a9765df686ab4ec99"/>
                <w:id w:val="-1306858560"/>
                <w:lock w:val="sdtLocked"/>
              </w:sdtPr>
              <w:sdtEndPr/>
              <w:sdtContent>
                <w:tc>
                  <w:tcPr>
                    <w:tcW w:w="1547" w:type="pct"/>
                    <w:tcBorders>
                      <w:top w:val="single" w:sz="4" w:space="0" w:color="auto"/>
                      <w:left w:val="single" w:sz="4" w:space="0" w:color="auto"/>
                      <w:bottom w:val="single" w:sz="4" w:space="0" w:color="auto"/>
                      <w:right w:val="single" w:sz="4" w:space="0" w:color="auto"/>
                    </w:tcBorders>
                  </w:tcPr>
                  <w:p w14:paraId="5EFCEA3E" w14:textId="77777777" w:rsidR="00830E72" w:rsidRDefault="008344D8">
                    <w:pPr>
                      <w:rPr>
                        <w:color w:val="000000" w:themeColor="text1"/>
                        <w:szCs w:val="21"/>
                      </w:rPr>
                    </w:pPr>
                    <w:r>
                      <w:rPr>
                        <w:rFonts w:hint="eastAsia"/>
                        <w:szCs w:val="21"/>
                      </w:rPr>
                      <w:t>短期应付债券</w:t>
                    </w:r>
                  </w:p>
                </w:tc>
              </w:sdtContent>
            </w:sdt>
            <w:tc>
              <w:tcPr>
                <w:tcW w:w="1723" w:type="pct"/>
                <w:tcBorders>
                  <w:top w:val="single" w:sz="4" w:space="0" w:color="auto"/>
                  <w:left w:val="single" w:sz="4" w:space="0" w:color="auto"/>
                  <w:bottom w:val="single" w:sz="4" w:space="0" w:color="auto"/>
                  <w:right w:val="single" w:sz="4" w:space="0" w:color="auto"/>
                </w:tcBorders>
              </w:tcPr>
              <w:p w14:paraId="27B327B7" w14:textId="77777777" w:rsidR="00830E72" w:rsidRDefault="00830E72">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14:paraId="1F074D22" w14:textId="77777777" w:rsidR="00830E72" w:rsidRDefault="00830E72">
                <w:pPr>
                  <w:jc w:val="right"/>
                  <w:rPr>
                    <w:szCs w:val="21"/>
                  </w:rPr>
                </w:pPr>
              </w:p>
            </w:tc>
          </w:tr>
          <w:tr w:rsidR="00830E72" w14:paraId="29D0ADE4" w14:textId="77777777">
            <w:trPr>
              <w:jc w:val="center"/>
            </w:trPr>
            <w:sdt>
              <w:sdtPr>
                <w:tag w:val="_PLD_8a3ee9fb31a7471489501bd0334950d5"/>
                <w:id w:val="948670769"/>
                <w:lock w:val="sdtLocked"/>
              </w:sdtPr>
              <w:sdtEndPr/>
              <w:sdtContent>
                <w:tc>
                  <w:tcPr>
                    <w:tcW w:w="1547" w:type="pct"/>
                    <w:tcBorders>
                      <w:top w:val="single" w:sz="4" w:space="0" w:color="auto"/>
                      <w:left w:val="single" w:sz="4" w:space="0" w:color="auto"/>
                      <w:bottom w:val="single" w:sz="4" w:space="0" w:color="auto"/>
                      <w:right w:val="single" w:sz="4" w:space="0" w:color="auto"/>
                    </w:tcBorders>
                  </w:tcPr>
                  <w:p w14:paraId="48AA4711" w14:textId="77777777" w:rsidR="00830E72" w:rsidRDefault="008344D8">
                    <w:r>
                      <w:rPr>
                        <w:rFonts w:hint="eastAsia"/>
                      </w:rPr>
                      <w:t>应付退货款</w:t>
                    </w:r>
                  </w:p>
                </w:tc>
              </w:sdtContent>
            </w:sdt>
            <w:tc>
              <w:tcPr>
                <w:tcW w:w="1723" w:type="pct"/>
                <w:tcBorders>
                  <w:top w:val="single" w:sz="4" w:space="0" w:color="auto"/>
                  <w:left w:val="single" w:sz="4" w:space="0" w:color="auto"/>
                  <w:bottom w:val="single" w:sz="4" w:space="0" w:color="auto"/>
                  <w:right w:val="single" w:sz="4" w:space="0" w:color="auto"/>
                </w:tcBorders>
              </w:tcPr>
              <w:p w14:paraId="4775306A" w14:textId="77777777" w:rsidR="00830E72" w:rsidRDefault="00830E72">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14:paraId="75CF3928" w14:textId="77777777" w:rsidR="00830E72" w:rsidRDefault="00830E72">
                <w:pPr>
                  <w:jc w:val="right"/>
                  <w:rPr>
                    <w:szCs w:val="21"/>
                  </w:rPr>
                </w:pPr>
              </w:p>
            </w:tc>
          </w:tr>
          <w:sdt>
            <w:sdtPr>
              <w:rPr>
                <w:rFonts w:hint="eastAsia"/>
                <w:szCs w:val="21"/>
              </w:rPr>
              <w:alias w:val="其他流动负债明细"/>
              <w:tag w:val="_GBC_6ad57a8cdfbd4161b9e29fe9e473fce8"/>
              <w:id w:val="668981160"/>
              <w:placeholder>
                <w:docPart w:val="GBC11111111111111111111111111111"/>
              </w:placeholder>
            </w:sdtPr>
            <w:sdtEndPr/>
            <w:sdtContent>
              <w:tr w:rsidR="00830E72" w14:paraId="2FD260AE" w14:textId="77777777">
                <w:trPr>
                  <w:jc w:val="center"/>
                </w:trPr>
                <w:tc>
                  <w:tcPr>
                    <w:tcW w:w="1547" w:type="pct"/>
                    <w:tcBorders>
                      <w:top w:val="single" w:sz="4" w:space="0" w:color="auto"/>
                      <w:left w:val="single" w:sz="4" w:space="0" w:color="auto"/>
                      <w:bottom w:val="single" w:sz="4" w:space="0" w:color="auto"/>
                      <w:right w:val="single" w:sz="4" w:space="0" w:color="auto"/>
                    </w:tcBorders>
                  </w:tcPr>
                  <w:p w14:paraId="45ABCF22" w14:textId="77777777" w:rsidR="00830E72" w:rsidRDefault="008344D8">
                    <w:pPr>
                      <w:rPr>
                        <w:szCs w:val="21"/>
                      </w:rPr>
                    </w:pPr>
                    <w:r>
                      <w:rPr>
                        <w:rFonts w:hint="eastAsia"/>
                        <w:szCs w:val="21"/>
                      </w:rPr>
                      <w:t>待转销项税额</w:t>
                    </w:r>
                  </w:p>
                </w:tc>
                <w:tc>
                  <w:tcPr>
                    <w:tcW w:w="1723" w:type="pct"/>
                    <w:tcBorders>
                      <w:top w:val="single" w:sz="4" w:space="0" w:color="auto"/>
                      <w:left w:val="single" w:sz="4" w:space="0" w:color="auto"/>
                      <w:bottom w:val="single" w:sz="4" w:space="0" w:color="auto"/>
                      <w:right w:val="single" w:sz="4" w:space="0" w:color="auto"/>
                    </w:tcBorders>
                  </w:tcPr>
                  <w:p w14:paraId="6B3613E1" w14:textId="77777777" w:rsidR="00830E72" w:rsidRDefault="008344D8">
                    <w:pPr>
                      <w:jc w:val="right"/>
                      <w:rPr>
                        <w:szCs w:val="21"/>
                      </w:rPr>
                    </w:pPr>
                    <w:r>
                      <w:rPr>
                        <w:szCs w:val="21"/>
                      </w:rPr>
                      <w:t>166,970,707.48</w:t>
                    </w:r>
                  </w:p>
                </w:tc>
                <w:tc>
                  <w:tcPr>
                    <w:tcW w:w="1729" w:type="pct"/>
                    <w:tcBorders>
                      <w:top w:val="single" w:sz="4" w:space="0" w:color="auto"/>
                      <w:left w:val="single" w:sz="4" w:space="0" w:color="auto"/>
                      <w:bottom w:val="single" w:sz="4" w:space="0" w:color="auto"/>
                      <w:right w:val="single" w:sz="4" w:space="0" w:color="auto"/>
                    </w:tcBorders>
                  </w:tcPr>
                  <w:p w14:paraId="14A5985A" w14:textId="77777777" w:rsidR="00830E72" w:rsidRDefault="008344D8">
                    <w:pPr>
                      <w:jc w:val="right"/>
                      <w:rPr>
                        <w:szCs w:val="21"/>
                      </w:rPr>
                    </w:pPr>
                    <w:r>
                      <w:rPr>
                        <w:szCs w:val="21"/>
                      </w:rPr>
                      <w:t>167,183,284.13</w:t>
                    </w:r>
                  </w:p>
                </w:tc>
              </w:tr>
            </w:sdtContent>
          </w:sdt>
          <w:tr w:rsidR="00830E72" w14:paraId="77B0EDB8" w14:textId="77777777">
            <w:trPr>
              <w:jc w:val="center"/>
            </w:trPr>
            <w:sdt>
              <w:sdtPr>
                <w:tag w:val="_PLD_3835b041db764a298b09897ff76b9cf1"/>
                <w:id w:val="-1369063712"/>
                <w:lock w:val="sdtLocked"/>
              </w:sdtPr>
              <w:sdtEndPr/>
              <w:sdtContent>
                <w:tc>
                  <w:tcPr>
                    <w:tcW w:w="1547" w:type="pct"/>
                    <w:tcBorders>
                      <w:top w:val="single" w:sz="4" w:space="0" w:color="auto"/>
                      <w:left w:val="single" w:sz="4" w:space="0" w:color="auto"/>
                      <w:bottom w:val="single" w:sz="4" w:space="0" w:color="auto"/>
                      <w:right w:val="single" w:sz="4" w:space="0" w:color="auto"/>
                    </w:tcBorders>
                  </w:tcPr>
                  <w:p w14:paraId="34D3BE97" w14:textId="77777777" w:rsidR="00830E72" w:rsidRDefault="008344D8">
                    <w:pPr>
                      <w:jc w:val="center"/>
                      <w:rPr>
                        <w:szCs w:val="21"/>
                      </w:rPr>
                    </w:pPr>
                    <w:r>
                      <w:rPr>
                        <w:rFonts w:hint="eastAsia"/>
                        <w:szCs w:val="21"/>
                      </w:rPr>
                      <w:t>合计</w:t>
                    </w:r>
                  </w:p>
                </w:tc>
              </w:sdtContent>
            </w:sdt>
            <w:tc>
              <w:tcPr>
                <w:tcW w:w="1723" w:type="pct"/>
                <w:tcBorders>
                  <w:top w:val="single" w:sz="4" w:space="0" w:color="auto"/>
                  <w:left w:val="single" w:sz="4" w:space="0" w:color="auto"/>
                  <w:bottom w:val="single" w:sz="4" w:space="0" w:color="auto"/>
                  <w:right w:val="single" w:sz="4" w:space="0" w:color="auto"/>
                </w:tcBorders>
              </w:tcPr>
              <w:p w14:paraId="3A43765B" w14:textId="77777777" w:rsidR="00830E72" w:rsidRDefault="008344D8">
                <w:pPr>
                  <w:jc w:val="right"/>
                  <w:rPr>
                    <w:szCs w:val="21"/>
                  </w:rPr>
                </w:pPr>
                <w:r>
                  <w:rPr>
                    <w:szCs w:val="21"/>
                  </w:rPr>
                  <w:t>166,970,707.48</w:t>
                </w:r>
              </w:p>
            </w:tc>
            <w:tc>
              <w:tcPr>
                <w:tcW w:w="1729" w:type="pct"/>
                <w:tcBorders>
                  <w:top w:val="single" w:sz="4" w:space="0" w:color="auto"/>
                  <w:left w:val="single" w:sz="4" w:space="0" w:color="auto"/>
                  <w:bottom w:val="single" w:sz="4" w:space="0" w:color="auto"/>
                  <w:right w:val="single" w:sz="4" w:space="0" w:color="auto"/>
                </w:tcBorders>
              </w:tcPr>
              <w:p w14:paraId="4920502F" w14:textId="77777777" w:rsidR="00830E72" w:rsidRDefault="008344D8">
                <w:pPr>
                  <w:jc w:val="right"/>
                  <w:rPr>
                    <w:szCs w:val="21"/>
                  </w:rPr>
                </w:pPr>
                <w:r>
                  <w:rPr>
                    <w:szCs w:val="21"/>
                  </w:rPr>
                  <w:t>167,183,284.13</w:t>
                </w:r>
              </w:p>
            </w:tc>
          </w:tr>
          <w:bookmarkEnd w:id="171"/>
        </w:tbl>
      </w:sdtContent>
    </w:sdt>
    <w:p w14:paraId="599C9318" w14:textId="77777777" w:rsidR="00830E72" w:rsidRDefault="00830E72">
      <w:pPr>
        <w:rPr>
          <w:szCs w:val="21"/>
        </w:rPr>
      </w:pPr>
    </w:p>
    <w:sdt>
      <w:sdtPr>
        <w:rPr>
          <w:rFonts w:hint="eastAsia"/>
          <w:bCs/>
          <w:szCs w:val="22"/>
        </w:rPr>
        <w:alias w:val="模块:短期应付债券的增减变动"/>
        <w:tag w:val="_GBC_4577b030bbab4faa991328e6acd5a589"/>
        <w:id w:val="-2127693416"/>
        <w:lock w:val="sdtLocked"/>
        <w:placeholder>
          <w:docPart w:val="GBC22222222222222222222222222222"/>
        </w:placeholder>
      </w:sdtPr>
      <w:sdtEndPr>
        <w:rPr>
          <w:rFonts w:cstheme="minorBidi" w:hint="default"/>
          <w:bCs w:val="0"/>
          <w:color w:val="000000" w:themeColor="text1"/>
          <w:kern w:val="2"/>
          <w:szCs w:val="21"/>
        </w:rPr>
      </w:sdtEndPr>
      <w:sdtContent>
        <w:p w14:paraId="66C3E53F" w14:textId="77777777" w:rsidR="00830E72" w:rsidRDefault="008344D8">
          <w:r>
            <w:rPr>
              <w:rFonts w:hint="eastAsia"/>
            </w:rPr>
            <w:t>短期</w:t>
          </w:r>
          <w:r>
            <w:t>应付债券的增减变动</w:t>
          </w:r>
          <w:r>
            <w:rPr>
              <w:rFonts w:hint="eastAsia"/>
            </w:rPr>
            <w:t>：</w:t>
          </w:r>
        </w:p>
        <w:sdt>
          <w:sdtPr>
            <w:alias w:val="是否适用：短期应付债券的增减变动[双击切换]"/>
            <w:tag w:val="_GBC_82d0c6ce58744d20918b6a0221dbac6b"/>
            <w:id w:val="1604763684"/>
            <w:lock w:val="sdtContentLocked"/>
            <w:placeholder>
              <w:docPart w:val="GBC22222222222222222222222222222"/>
            </w:placeholder>
          </w:sdtPr>
          <w:sdtEndPr/>
          <w:sdtContent>
            <w:p w14:paraId="043E8073"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其他流动负债说明"/>
        <w:tag w:val="_GBC_b1cb6faf7bad41e4868a075c1a423566"/>
        <w:id w:val="1893615400"/>
        <w:lock w:val="sdtLocked"/>
        <w:placeholder>
          <w:docPart w:val="GBC22222222222222222222222222222"/>
        </w:placeholder>
      </w:sdtPr>
      <w:sdtEndPr>
        <w:rPr>
          <w:rFonts w:hint="default"/>
          <w:color w:val="000000" w:themeColor="text1"/>
        </w:rPr>
      </w:sdtEndPr>
      <w:sdtContent>
        <w:p w14:paraId="6CD27818" w14:textId="77777777" w:rsidR="00830E72" w:rsidRDefault="008344D8">
          <w:pPr>
            <w:spacing w:before="60" w:after="60"/>
            <w:rPr>
              <w:szCs w:val="21"/>
            </w:rPr>
          </w:pPr>
          <w:r>
            <w:rPr>
              <w:rFonts w:hint="eastAsia"/>
              <w:szCs w:val="21"/>
            </w:rPr>
            <w:t>其他说明：</w:t>
          </w:r>
        </w:p>
        <w:sdt>
          <w:sdtPr>
            <w:rPr>
              <w:szCs w:val="21"/>
            </w:rPr>
            <w:alias w:val="是否适用：其他流动负债说明[双击切换]"/>
            <w:tag w:val="_GBC_6ebc9e220fb04ea584ed56f756d92d59"/>
            <w:id w:val="-68656003"/>
            <w:lock w:val="sdtContentLocked"/>
            <w:placeholder>
              <w:docPart w:val="GBC22222222222222222222222222222"/>
            </w:placeholder>
          </w:sdtPr>
          <w:sdtEndPr/>
          <w:sdtContent>
            <w:p w14:paraId="61561306" w14:textId="77777777" w:rsidR="00830E72" w:rsidRDefault="008344D8">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E24B302" w14:textId="77777777" w:rsidR="00830E72" w:rsidRDefault="00830E72">
      <w:pPr>
        <w:rPr>
          <w:szCs w:val="21"/>
        </w:rPr>
      </w:pPr>
    </w:p>
    <w:p w14:paraId="20F427CC"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GBC_8b6acb9acc4745f09cf8ff1a98787eb9"/>
        <w:id w:val="1364022011"/>
        <w:lock w:val="sdtLocked"/>
        <w:placeholder>
          <w:docPart w:val="GBC22222222222222222222222222222"/>
        </w:placeholder>
      </w:sdtPr>
      <w:sdtEndPr>
        <w:rPr>
          <w:rFonts w:cstheme="minorBidi" w:hint="default"/>
          <w:color w:val="000000" w:themeColor="text1"/>
          <w:kern w:val="2"/>
          <w:szCs w:val="21"/>
        </w:rPr>
      </w:sdtEndPr>
      <w:sdtContent>
        <w:p w14:paraId="51A78F4E" w14:textId="77777777" w:rsidR="00830E72" w:rsidRDefault="008344D8">
          <w:pPr>
            <w:pStyle w:val="Style100"/>
            <w:numPr>
              <w:ilvl w:val="0"/>
              <w:numId w:val="70"/>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6ef43a5268e7491db189883a31952469"/>
            <w:id w:val="1883523686"/>
            <w:lock w:val="sdtContentLocked"/>
            <w:placeholder>
              <w:docPart w:val="GBC22222222222222222222222222222"/>
            </w:placeholder>
          </w:sdtPr>
          <w:sdtEndPr/>
          <w:sdtContent>
            <w:p w14:paraId="24318724"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B1A47D2" w14:textId="77777777" w:rsidR="00830E72" w:rsidRDefault="008344D8">
          <w:pPr>
            <w:jc w:val="right"/>
            <w:rPr>
              <w:szCs w:val="21"/>
            </w:rPr>
          </w:pPr>
          <w:r>
            <w:rPr>
              <w:rFonts w:hint="eastAsia"/>
              <w:szCs w:val="21"/>
            </w:rPr>
            <w:t>单位：</w:t>
          </w:r>
          <w:sdt>
            <w:sdtPr>
              <w:rPr>
                <w:rFonts w:hint="eastAsia"/>
                <w:szCs w:val="21"/>
              </w:rPr>
              <w:alias w:val="单位：财务附注：长期借款分类"/>
              <w:tag w:val="_GBC_146f044f7fd14a45bf9247f0af389a14"/>
              <w:id w:val="18473668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7570ad6f1fd04c3d939be649ce4cfc30"/>
              <w:id w:val="861265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998"/>
            <w:gridCol w:w="2999"/>
            <w:gridCol w:w="2896"/>
          </w:tblGrid>
          <w:tr w:rsidR="00830E72" w14:paraId="55D0A638" w14:textId="77777777">
            <w:trPr>
              <w:cantSplit/>
            </w:trPr>
            <w:sdt>
              <w:sdtPr>
                <w:tag w:val="_PLD_3ee60507a6384334b819485e73faa1f4"/>
                <w:id w:val="2111468015"/>
                <w:lock w:val="sdtLocked"/>
              </w:sdtPr>
              <w:sdtEndPr/>
              <w:sdtContent>
                <w:tc>
                  <w:tcPr>
                    <w:tcW w:w="1686" w:type="pct"/>
                  </w:tcPr>
                  <w:p w14:paraId="5A4211AA" w14:textId="77777777" w:rsidR="00830E72" w:rsidRDefault="008344D8">
                    <w:pPr>
                      <w:autoSpaceDE w:val="0"/>
                      <w:autoSpaceDN w:val="0"/>
                      <w:adjustRightInd w:val="0"/>
                      <w:snapToGrid w:val="0"/>
                      <w:jc w:val="center"/>
                      <w:rPr>
                        <w:szCs w:val="21"/>
                      </w:rPr>
                    </w:pPr>
                    <w:r>
                      <w:rPr>
                        <w:rFonts w:hint="eastAsia"/>
                        <w:szCs w:val="21"/>
                      </w:rPr>
                      <w:t>项目</w:t>
                    </w:r>
                  </w:p>
                </w:tc>
              </w:sdtContent>
            </w:sdt>
            <w:sdt>
              <w:sdtPr>
                <w:tag w:val="_PLD_d2a4fabfb296457384b1523a60233642"/>
                <w:id w:val="-915935529"/>
                <w:lock w:val="sdtLocked"/>
              </w:sdtPr>
              <w:sdtEndPr/>
              <w:sdtContent>
                <w:tc>
                  <w:tcPr>
                    <w:tcW w:w="1686" w:type="pct"/>
                  </w:tcPr>
                  <w:p w14:paraId="33AC8073" w14:textId="77777777" w:rsidR="00830E72" w:rsidRDefault="008344D8">
                    <w:pPr>
                      <w:jc w:val="center"/>
                      <w:rPr>
                        <w:szCs w:val="21"/>
                      </w:rPr>
                    </w:pPr>
                    <w:r>
                      <w:rPr>
                        <w:rFonts w:hint="eastAsia"/>
                        <w:szCs w:val="21"/>
                      </w:rPr>
                      <w:t>期末余额</w:t>
                    </w:r>
                  </w:p>
                </w:tc>
              </w:sdtContent>
            </w:sdt>
            <w:sdt>
              <w:sdtPr>
                <w:tag w:val="_PLD_aab598d4b37f4953a2ee9b7475cb43e6"/>
                <w:id w:val="2116008373"/>
                <w:lock w:val="sdtLocked"/>
              </w:sdtPr>
              <w:sdtEndPr/>
              <w:sdtContent>
                <w:tc>
                  <w:tcPr>
                    <w:tcW w:w="1628" w:type="pct"/>
                  </w:tcPr>
                  <w:p w14:paraId="7BC87F82" w14:textId="77777777" w:rsidR="00830E72" w:rsidRDefault="008344D8">
                    <w:pPr>
                      <w:jc w:val="center"/>
                      <w:rPr>
                        <w:szCs w:val="21"/>
                      </w:rPr>
                    </w:pPr>
                    <w:r>
                      <w:rPr>
                        <w:rFonts w:hint="eastAsia"/>
                        <w:szCs w:val="21"/>
                      </w:rPr>
                      <w:t>期初余额</w:t>
                    </w:r>
                  </w:p>
                </w:tc>
              </w:sdtContent>
            </w:sdt>
          </w:tr>
          <w:tr w:rsidR="00830E72" w14:paraId="28C7B715" w14:textId="77777777">
            <w:trPr>
              <w:cantSplit/>
            </w:trPr>
            <w:sdt>
              <w:sdtPr>
                <w:tag w:val="_PLD_e89d9c6de3ff4da98f7949a63d0f927d"/>
                <w:id w:val="1739207277"/>
                <w:lock w:val="sdtLocked"/>
              </w:sdtPr>
              <w:sdtEndPr/>
              <w:sdtContent>
                <w:tc>
                  <w:tcPr>
                    <w:tcW w:w="1686" w:type="pct"/>
                    <w:shd w:val="clear" w:color="auto" w:fill="auto"/>
                  </w:tcPr>
                  <w:p w14:paraId="4085A642" w14:textId="77777777" w:rsidR="00830E72" w:rsidRDefault="008344D8">
                    <w:pPr>
                      <w:autoSpaceDE w:val="0"/>
                      <w:autoSpaceDN w:val="0"/>
                      <w:adjustRightInd w:val="0"/>
                      <w:snapToGrid w:val="0"/>
                      <w:jc w:val="both"/>
                      <w:rPr>
                        <w:szCs w:val="21"/>
                      </w:rPr>
                    </w:pPr>
                    <w:r>
                      <w:rPr>
                        <w:rFonts w:hint="eastAsia"/>
                        <w:szCs w:val="21"/>
                      </w:rPr>
                      <w:t>质押借款</w:t>
                    </w:r>
                  </w:p>
                </w:tc>
              </w:sdtContent>
            </w:sdt>
            <w:tc>
              <w:tcPr>
                <w:tcW w:w="1686" w:type="pct"/>
                <w:shd w:val="clear" w:color="auto" w:fill="auto"/>
              </w:tcPr>
              <w:p w14:paraId="62480BBD" w14:textId="77777777" w:rsidR="00830E72" w:rsidRDefault="008344D8">
                <w:pPr>
                  <w:autoSpaceDE w:val="0"/>
                  <w:autoSpaceDN w:val="0"/>
                  <w:adjustRightInd w:val="0"/>
                  <w:snapToGrid w:val="0"/>
                  <w:ind w:right="180"/>
                  <w:jc w:val="right"/>
                  <w:rPr>
                    <w:szCs w:val="21"/>
                  </w:rPr>
                </w:pPr>
                <w:r>
                  <w:rPr>
                    <w:szCs w:val="21"/>
                  </w:rPr>
                  <w:t>735,809,750.00</w:t>
                </w:r>
              </w:p>
            </w:tc>
            <w:tc>
              <w:tcPr>
                <w:tcW w:w="1628" w:type="pct"/>
                <w:shd w:val="clear" w:color="auto" w:fill="auto"/>
              </w:tcPr>
              <w:p w14:paraId="00F742BB" w14:textId="77777777" w:rsidR="00830E72" w:rsidRDefault="008344D8">
                <w:pPr>
                  <w:jc w:val="right"/>
                  <w:rPr>
                    <w:szCs w:val="21"/>
                  </w:rPr>
                </w:pPr>
                <w:r>
                  <w:rPr>
                    <w:szCs w:val="21"/>
                  </w:rPr>
                  <w:t>747,391,300.00</w:t>
                </w:r>
              </w:p>
            </w:tc>
          </w:tr>
          <w:tr w:rsidR="00830E72" w14:paraId="222EBDC2" w14:textId="77777777">
            <w:trPr>
              <w:cantSplit/>
            </w:trPr>
            <w:sdt>
              <w:sdtPr>
                <w:tag w:val="_PLD_0b1001d1355e4c59a134f674ebe8204e"/>
                <w:id w:val="-1056160770"/>
                <w:lock w:val="sdtLocked"/>
              </w:sdtPr>
              <w:sdtEndPr/>
              <w:sdtContent>
                <w:tc>
                  <w:tcPr>
                    <w:tcW w:w="1686" w:type="pct"/>
                    <w:shd w:val="clear" w:color="auto" w:fill="auto"/>
                  </w:tcPr>
                  <w:p w14:paraId="10C76E7C" w14:textId="77777777" w:rsidR="00830E72" w:rsidRDefault="008344D8">
                    <w:pPr>
                      <w:autoSpaceDE w:val="0"/>
                      <w:autoSpaceDN w:val="0"/>
                      <w:adjustRightInd w:val="0"/>
                      <w:snapToGrid w:val="0"/>
                      <w:jc w:val="both"/>
                      <w:rPr>
                        <w:szCs w:val="21"/>
                      </w:rPr>
                    </w:pPr>
                    <w:r>
                      <w:rPr>
                        <w:rFonts w:hint="eastAsia"/>
                        <w:szCs w:val="21"/>
                      </w:rPr>
                      <w:t>抵押借款</w:t>
                    </w:r>
                  </w:p>
                </w:tc>
              </w:sdtContent>
            </w:sdt>
            <w:tc>
              <w:tcPr>
                <w:tcW w:w="1686" w:type="pct"/>
                <w:shd w:val="clear" w:color="auto" w:fill="auto"/>
              </w:tcPr>
              <w:p w14:paraId="4DE63F75" w14:textId="77777777" w:rsidR="00830E72" w:rsidRDefault="00830E72">
                <w:pPr>
                  <w:autoSpaceDE w:val="0"/>
                  <w:autoSpaceDN w:val="0"/>
                  <w:adjustRightInd w:val="0"/>
                  <w:snapToGrid w:val="0"/>
                  <w:ind w:right="180"/>
                  <w:jc w:val="right"/>
                  <w:rPr>
                    <w:szCs w:val="21"/>
                  </w:rPr>
                </w:pPr>
              </w:p>
            </w:tc>
            <w:tc>
              <w:tcPr>
                <w:tcW w:w="1628" w:type="pct"/>
                <w:shd w:val="clear" w:color="auto" w:fill="auto"/>
              </w:tcPr>
              <w:p w14:paraId="151D5ABD" w14:textId="77777777" w:rsidR="00830E72" w:rsidRDefault="00830E72">
                <w:pPr>
                  <w:jc w:val="right"/>
                  <w:rPr>
                    <w:szCs w:val="21"/>
                  </w:rPr>
                </w:pPr>
              </w:p>
            </w:tc>
          </w:tr>
          <w:tr w:rsidR="00830E72" w14:paraId="238DD0F3" w14:textId="77777777">
            <w:trPr>
              <w:cantSplit/>
            </w:trPr>
            <w:sdt>
              <w:sdtPr>
                <w:tag w:val="_PLD_669e61b5dd004cb5a74065b7b27bba92"/>
                <w:id w:val="-567188725"/>
                <w:lock w:val="sdtLocked"/>
              </w:sdtPr>
              <w:sdtEndPr/>
              <w:sdtContent>
                <w:tc>
                  <w:tcPr>
                    <w:tcW w:w="1686" w:type="pct"/>
                    <w:shd w:val="clear" w:color="auto" w:fill="auto"/>
                  </w:tcPr>
                  <w:p w14:paraId="76327EAF" w14:textId="77777777" w:rsidR="00830E72" w:rsidRDefault="008344D8">
                    <w:pPr>
                      <w:autoSpaceDE w:val="0"/>
                      <w:autoSpaceDN w:val="0"/>
                      <w:adjustRightInd w:val="0"/>
                      <w:snapToGrid w:val="0"/>
                      <w:jc w:val="both"/>
                      <w:rPr>
                        <w:szCs w:val="21"/>
                      </w:rPr>
                    </w:pPr>
                    <w:r>
                      <w:rPr>
                        <w:rFonts w:hint="eastAsia"/>
                        <w:szCs w:val="21"/>
                      </w:rPr>
                      <w:t>保证借款</w:t>
                    </w:r>
                  </w:p>
                </w:tc>
              </w:sdtContent>
            </w:sdt>
            <w:tc>
              <w:tcPr>
                <w:tcW w:w="1686" w:type="pct"/>
                <w:shd w:val="clear" w:color="auto" w:fill="auto"/>
              </w:tcPr>
              <w:p w14:paraId="0A32FD28" w14:textId="77777777" w:rsidR="00830E72" w:rsidRDefault="00830E72">
                <w:pPr>
                  <w:autoSpaceDE w:val="0"/>
                  <w:autoSpaceDN w:val="0"/>
                  <w:adjustRightInd w:val="0"/>
                  <w:snapToGrid w:val="0"/>
                  <w:ind w:right="180"/>
                  <w:jc w:val="right"/>
                  <w:rPr>
                    <w:szCs w:val="21"/>
                  </w:rPr>
                </w:pPr>
              </w:p>
            </w:tc>
            <w:tc>
              <w:tcPr>
                <w:tcW w:w="1628" w:type="pct"/>
                <w:shd w:val="clear" w:color="auto" w:fill="auto"/>
              </w:tcPr>
              <w:p w14:paraId="6126AB7D" w14:textId="77777777" w:rsidR="00830E72" w:rsidRDefault="00830E72">
                <w:pPr>
                  <w:jc w:val="right"/>
                  <w:rPr>
                    <w:szCs w:val="21"/>
                  </w:rPr>
                </w:pPr>
              </w:p>
            </w:tc>
          </w:tr>
          <w:tr w:rsidR="00830E72" w14:paraId="3D2C6D46" w14:textId="77777777">
            <w:trPr>
              <w:cantSplit/>
            </w:trPr>
            <w:sdt>
              <w:sdtPr>
                <w:tag w:val="_PLD_2312ba41d50b4809827a433abcf13e0a"/>
                <w:id w:val="1315770716"/>
                <w:lock w:val="sdtLocked"/>
              </w:sdtPr>
              <w:sdtEndPr/>
              <w:sdtContent>
                <w:tc>
                  <w:tcPr>
                    <w:tcW w:w="1686" w:type="pct"/>
                    <w:shd w:val="clear" w:color="auto" w:fill="auto"/>
                  </w:tcPr>
                  <w:p w14:paraId="1295BB65" w14:textId="77777777" w:rsidR="00830E72" w:rsidRDefault="008344D8">
                    <w:pPr>
                      <w:autoSpaceDE w:val="0"/>
                      <w:autoSpaceDN w:val="0"/>
                      <w:adjustRightInd w:val="0"/>
                      <w:snapToGrid w:val="0"/>
                      <w:jc w:val="both"/>
                      <w:rPr>
                        <w:szCs w:val="21"/>
                      </w:rPr>
                    </w:pPr>
                    <w:r>
                      <w:rPr>
                        <w:rFonts w:hint="eastAsia"/>
                        <w:szCs w:val="21"/>
                      </w:rPr>
                      <w:t>信用借款</w:t>
                    </w:r>
                  </w:p>
                </w:tc>
              </w:sdtContent>
            </w:sdt>
            <w:tc>
              <w:tcPr>
                <w:tcW w:w="1686" w:type="pct"/>
                <w:shd w:val="clear" w:color="auto" w:fill="auto"/>
              </w:tcPr>
              <w:p w14:paraId="1542BF40" w14:textId="77777777" w:rsidR="00830E72" w:rsidRDefault="00830E72">
                <w:pPr>
                  <w:autoSpaceDE w:val="0"/>
                  <w:autoSpaceDN w:val="0"/>
                  <w:adjustRightInd w:val="0"/>
                  <w:snapToGrid w:val="0"/>
                  <w:ind w:right="180"/>
                  <w:jc w:val="right"/>
                  <w:rPr>
                    <w:szCs w:val="21"/>
                  </w:rPr>
                </w:pPr>
              </w:p>
            </w:tc>
            <w:tc>
              <w:tcPr>
                <w:tcW w:w="1628" w:type="pct"/>
                <w:shd w:val="clear" w:color="auto" w:fill="auto"/>
              </w:tcPr>
              <w:p w14:paraId="3CAFBE83" w14:textId="77777777" w:rsidR="00830E72" w:rsidRDefault="00830E72">
                <w:pPr>
                  <w:jc w:val="right"/>
                  <w:rPr>
                    <w:szCs w:val="21"/>
                  </w:rPr>
                </w:pPr>
              </w:p>
            </w:tc>
          </w:tr>
          <w:tr w:rsidR="00830E72" w14:paraId="377AED3E" w14:textId="77777777">
            <w:trPr>
              <w:cantSplit/>
            </w:trPr>
            <w:sdt>
              <w:sdtPr>
                <w:tag w:val="_PLD_f7e631a83103405986891624f37b155a"/>
                <w:id w:val="876513078"/>
                <w:lock w:val="sdtLocked"/>
              </w:sdtPr>
              <w:sdtEndPr/>
              <w:sdtContent>
                <w:tc>
                  <w:tcPr>
                    <w:tcW w:w="1686" w:type="pct"/>
                    <w:vAlign w:val="center"/>
                  </w:tcPr>
                  <w:p w14:paraId="6C68ED6B" w14:textId="77777777" w:rsidR="00830E72" w:rsidRDefault="008344D8">
                    <w:pPr>
                      <w:autoSpaceDE w:val="0"/>
                      <w:autoSpaceDN w:val="0"/>
                      <w:adjustRightInd w:val="0"/>
                      <w:snapToGrid w:val="0"/>
                      <w:jc w:val="center"/>
                      <w:rPr>
                        <w:szCs w:val="21"/>
                      </w:rPr>
                    </w:pPr>
                    <w:r>
                      <w:rPr>
                        <w:rFonts w:hint="eastAsia"/>
                        <w:szCs w:val="21"/>
                      </w:rPr>
                      <w:t>合计</w:t>
                    </w:r>
                  </w:p>
                </w:tc>
              </w:sdtContent>
            </w:sdt>
            <w:tc>
              <w:tcPr>
                <w:tcW w:w="1686" w:type="pct"/>
              </w:tcPr>
              <w:p w14:paraId="10691DA8" w14:textId="77777777" w:rsidR="00830E72" w:rsidRDefault="008344D8">
                <w:pPr>
                  <w:autoSpaceDE w:val="0"/>
                  <w:autoSpaceDN w:val="0"/>
                  <w:adjustRightInd w:val="0"/>
                  <w:snapToGrid w:val="0"/>
                  <w:ind w:right="180"/>
                  <w:jc w:val="right"/>
                  <w:rPr>
                    <w:szCs w:val="21"/>
                  </w:rPr>
                </w:pPr>
                <w:r>
                  <w:rPr>
                    <w:szCs w:val="21"/>
                  </w:rPr>
                  <w:t>735,809,750.00</w:t>
                </w:r>
              </w:p>
            </w:tc>
            <w:tc>
              <w:tcPr>
                <w:tcW w:w="1628" w:type="pct"/>
              </w:tcPr>
              <w:p w14:paraId="2BA36C35" w14:textId="77777777" w:rsidR="00830E72" w:rsidRDefault="008344D8">
                <w:pPr>
                  <w:jc w:val="right"/>
                  <w:rPr>
                    <w:szCs w:val="21"/>
                  </w:rPr>
                </w:pPr>
                <w:r>
                  <w:rPr>
                    <w:szCs w:val="21"/>
                  </w:rPr>
                  <w:t>747,391,300.00</w:t>
                </w:r>
              </w:p>
            </w:tc>
          </w:tr>
        </w:tbl>
        <w:p w14:paraId="01EC4203" w14:textId="77777777" w:rsidR="00830E72" w:rsidRDefault="008344D8">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c93626a5eade42f48eca926da85f3afb"/>
            <w:id w:val="1878654028"/>
            <w:lock w:val="sdtLocked"/>
            <w:placeholder>
              <w:docPart w:val="GBC22222222222222222222222222222"/>
            </w:placeholder>
          </w:sdtPr>
          <w:sdtEndPr/>
          <w:sdtContent>
            <w:p w14:paraId="5FAD2270" w14:textId="77777777" w:rsidR="00830E72" w:rsidRDefault="008344D8">
              <w:pPr>
                <w:snapToGrid w:val="0"/>
                <w:rPr>
                  <w:rFonts w:cstheme="minorBidi"/>
                  <w:color w:val="000000" w:themeColor="text1"/>
                  <w:kern w:val="2"/>
                  <w:szCs w:val="21"/>
                </w:rPr>
              </w:pPr>
              <w:r>
                <w:rPr>
                  <w:rFonts w:hint="eastAsia"/>
                  <w:szCs w:val="21"/>
                </w:rPr>
                <w:t>系</w:t>
              </w:r>
              <w:r>
                <w:rPr>
                  <w:szCs w:val="21"/>
                </w:rPr>
                <w:t>PPP项目公司项目经营期下享有的政府付费产生的应收账款提供质押担保，并由本公司为该PPP项目子公司提供担保</w:t>
              </w:r>
            </w:p>
          </w:sdtContent>
        </w:sdt>
      </w:sdtContent>
    </w:sdt>
    <w:p w14:paraId="100F091F" w14:textId="77777777" w:rsidR="00830E72" w:rsidRDefault="00830E72">
      <w:pPr>
        <w:snapToGrid w:val="0"/>
        <w:rPr>
          <w:rFonts w:cstheme="minorBidi"/>
          <w:color w:val="000000" w:themeColor="text1"/>
          <w:kern w:val="2"/>
          <w:szCs w:val="21"/>
        </w:rPr>
      </w:pPr>
    </w:p>
    <w:sdt>
      <w:sdtPr>
        <w:rPr>
          <w:rFonts w:hint="eastAsia"/>
          <w:color w:val="000000" w:themeColor="text1"/>
          <w:szCs w:val="21"/>
        </w:rPr>
        <w:alias w:val="模块:长期借款的说明"/>
        <w:tag w:val="_GBC_7195bfed3c6d4a6fb2b17f01aa73f311"/>
        <w:id w:val="-383877297"/>
        <w:lock w:val="sdtLocked"/>
        <w:placeholder>
          <w:docPart w:val="GBC22222222222222222222222222222"/>
        </w:placeholder>
      </w:sdtPr>
      <w:sdtEndPr>
        <w:rPr>
          <w:rFonts w:hint="default"/>
          <w:color w:val="auto"/>
        </w:rPr>
      </w:sdtEndPr>
      <w:sdtContent>
        <w:p w14:paraId="2BDD99FE" w14:textId="77777777" w:rsidR="00830E72" w:rsidRDefault="008344D8">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1dc67be6516c4de3956a80023674c75a"/>
            <w:id w:val="-1057703484"/>
            <w:lock w:val="sdtContentLocked"/>
            <w:placeholder>
              <w:docPart w:val="GBC22222222222222222222222222222"/>
            </w:placeholder>
          </w:sdtPr>
          <w:sdtEndPr/>
          <w:sdtContent>
            <w:p w14:paraId="6F6973CC" w14:textId="77777777" w:rsidR="00830E72" w:rsidRDefault="008344D8">
              <w:pPr>
                <w:snapToGrid w:val="0"/>
                <w:rPr>
                  <w:color w:val="000000" w:themeColor="text1"/>
                  <w:szCs w:val="21"/>
                </w:rPr>
              </w:pPr>
              <w:r>
                <w:rPr>
                  <w:color w:val="000000" w:themeColor="text1"/>
                  <w:szCs w:val="21"/>
                </w:rPr>
                <w:fldChar w:fldCharType="begin"/>
              </w:r>
              <w:r>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p w14:paraId="3B8C40BC" w14:textId="77777777" w:rsidR="00830E72" w:rsidRDefault="00D44830">
          <w:pPr>
            <w:snapToGrid w:val="0"/>
            <w:rPr>
              <w:szCs w:val="21"/>
            </w:rPr>
          </w:pPr>
          <w:sdt>
            <w:sdtPr>
              <w:rPr>
                <w:szCs w:val="21"/>
              </w:rPr>
              <w:alias w:val="长期借款的说明"/>
              <w:tag w:val="_GBC_05c1a5b23bdb44ee812f7f625a395fd0"/>
              <w:id w:val="1010651199"/>
              <w:lock w:val="sdtLocked"/>
              <w:placeholder>
                <w:docPart w:val="GBC22222222222222222222222222222"/>
              </w:placeholder>
            </w:sdtPr>
            <w:sdtEndPr/>
            <w:sdtContent>
              <w:r w:rsidR="008344D8">
                <w:rPr>
                  <w:rFonts w:hint="eastAsia"/>
                  <w:szCs w:val="21"/>
                </w:rPr>
                <w:t>利率区间：4.9</w:t>
              </w:r>
              <w:r w:rsidR="008344D8">
                <w:rPr>
                  <w:szCs w:val="21"/>
                </w:rPr>
                <w:t>%-6.37%</w:t>
              </w:r>
            </w:sdtContent>
          </w:sdt>
        </w:p>
      </w:sdtContent>
    </w:sdt>
    <w:p w14:paraId="0E9C4E3B" w14:textId="77777777" w:rsidR="00830E72" w:rsidRDefault="00830E72">
      <w:pPr>
        <w:rPr>
          <w:szCs w:val="21"/>
        </w:rPr>
      </w:pPr>
    </w:p>
    <w:p w14:paraId="1D71F06C"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GBC_cd8e29427b9b4eecb46188c744528e27"/>
        <w:id w:val="1018351348"/>
        <w:lock w:val="sdtLocked"/>
        <w:placeholder>
          <w:docPart w:val="GBC22222222222222222222222222222"/>
        </w:placeholder>
      </w:sdtPr>
      <w:sdtEndPr/>
      <w:sdtContent>
        <w:p w14:paraId="3721218C" w14:textId="77777777" w:rsidR="00830E72" w:rsidRDefault="008344D8">
          <w:pPr>
            <w:pStyle w:val="Style100"/>
            <w:numPr>
              <w:ilvl w:val="0"/>
              <w:numId w:val="71"/>
            </w:numPr>
            <w:tabs>
              <w:tab w:val="left" w:pos="672"/>
            </w:tabs>
            <w:rPr>
              <w:rFonts w:ascii="宋体" w:hAnsi="宋体"/>
            </w:rPr>
          </w:pPr>
          <w:r>
            <w:rPr>
              <w:rFonts w:ascii="宋体" w:hAnsi="宋体" w:hint="eastAsia"/>
            </w:rPr>
            <w:t>应付</w:t>
          </w:r>
          <w:r>
            <w:rPr>
              <w:rFonts w:ascii="宋体" w:hAnsi="宋体" w:hint="eastAsia"/>
              <w:szCs w:val="21"/>
            </w:rPr>
            <w:t>债券</w:t>
          </w:r>
        </w:p>
        <w:sdt>
          <w:sdtPr>
            <w:rPr>
              <w:rFonts w:hint="eastAsia"/>
            </w:rPr>
            <w:alias w:val="是否适用：应付债券[双击切换]"/>
            <w:tag w:val="_GBC_b07c291c892844efaca56bc1d52b1566"/>
            <w:id w:val="-1512755664"/>
            <w:lock w:val="sdtContentLocked"/>
            <w:placeholder>
              <w:docPart w:val="GBC22222222222222222222222222222"/>
            </w:placeholder>
          </w:sdtPr>
          <w:sdtEndPr/>
          <w:sdtContent>
            <w:p w14:paraId="0D10C830"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theme="minorBidi"/>
          <w:b w:val="0"/>
          <w:bCs w:val="0"/>
          <w:kern w:val="0"/>
          <w:szCs w:val="22"/>
        </w:rPr>
        <w:alias w:val="模块:应付债券的增减变动"/>
        <w:tag w:val="_GBC_93c3424329ce41edbb49a50ffbdbc9d7"/>
        <w:id w:val="-1810313663"/>
        <w:lock w:val="sdtLocked"/>
        <w:placeholder>
          <w:docPart w:val="GBC22222222222222222222222222222"/>
        </w:placeholder>
      </w:sdtPr>
      <w:sdtEndPr>
        <w:rPr>
          <w:rFonts w:hint="eastAsia"/>
          <w:b/>
          <w:bCs/>
          <w:color w:val="000000" w:themeColor="text1"/>
          <w:szCs w:val="21"/>
        </w:rPr>
      </w:sdtEndPr>
      <w:sdtContent>
        <w:p w14:paraId="57DC821F" w14:textId="77777777" w:rsidR="00830E72" w:rsidRDefault="008344D8">
          <w:pPr>
            <w:pStyle w:val="Style100"/>
            <w:numPr>
              <w:ilvl w:val="0"/>
              <w:numId w:val="71"/>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4b9b2c6cc76845b79e52a5d821e1cf5a"/>
            <w:id w:val="-777724780"/>
            <w:lock w:val="sdtContentLocked"/>
            <w:placeholder>
              <w:docPart w:val="GBC22222222222222222222222222222"/>
            </w:placeholder>
          </w:sdtPr>
          <w:sdtEndPr/>
          <w:sdtContent>
            <w:p w14:paraId="4178D14E"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72" w:name="OLE_LINK16" w:displacedByCustomXml="next"/>
    <w:bookmarkStart w:id="173" w:name="OLE_LINK18" w:displacedByCustomXml="next"/>
    <w:sdt>
      <w:sdtPr>
        <w:rPr>
          <w:rFonts w:ascii="宋体" w:hAnsi="宋体" w:cs="宋体" w:hint="eastAsia"/>
          <w:b w:val="0"/>
          <w:bCs w:val="0"/>
          <w:kern w:val="0"/>
          <w:szCs w:val="21"/>
        </w:rPr>
        <w:alias w:val="模块:可转换公司债券的转股条件、转股时间说明："/>
        <w:tag w:val="_GBC_235b19ac1003437586dbfe1a48116b09"/>
        <w:id w:val="1268274749"/>
        <w:lock w:val="sdtLocked"/>
        <w:placeholder>
          <w:docPart w:val="GBC22222222222222222222222222222"/>
        </w:placeholder>
      </w:sdtPr>
      <w:sdtEndPr/>
      <w:sdtContent>
        <w:p w14:paraId="53026258" w14:textId="77777777" w:rsidR="00830E72" w:rsidRDefault="008344D8">
          <w:pPr>
            <w:pStyle w:val="Style100"/>
            <w:numPr>
              <w:ilvl w:val="0"/>
              <w:numId w:val="71"/>
            </w:numPr>
            <w:tabs>
              <w:tab w:val="left" w:pos="672"/>
            </w:tabs>
            <w:rPr>
              <w:rFonts w:ascii="宋体" w:hAnsi="宋体"/>
              <w:szCs w:val="21"/>
            </w:rPr>
          </w:pPr>
          <w:r>
            <w:rPr>
              <w:rFonts w:ascii="宋体" w:hAnsi="宋体" w:hint="eastAsia"/>
              <w:szCs w:val="21"/>
            </w:rPr>
            <w:t>可转换公司债券的转股条件、转股时间说明</w:t>
          </w:r>
        </w:p>
        <w:sdt>
          <w:sdtPr>
            <w:alias w:val="是否适用：可转换公司债券的转股条件、转股时间说明[双击切换]"/>
            <w:tag w:val="_GBC_bdbcbf7db2194e929d8f2f4945774241"/>
            <w:id w:val="2103678700"/>
            <w:lock w:val="sdtContentLocked"/>
            <w:placeholder>
              <w:docPart w:val="GBC22222222222222222222222222222"/>
            </w:placeholder>
          </w:sdtPr>
          <w:sdtEndPr/>
          <w:sdtContent>
            <w:p w14:paraId="1D83AEF9"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72" w:displacedByCustomXml="next"/>
    <w:bookmarkEnd w:id="173" w:displacedByCustomXml="next"/>
    <w:sdt>
      <w:sdtPr>
        <w:rPr>
          <w:rFonts w:ascii="宋体" w:hAnsi="宋体" w:cs="宋体" w:hint="eastAsia"/>
          <w:b w:val="0"/>
          <w:bCs w:val="0"/>
          <w:kern w:val="0"/>
          <w:szCs w:val="21"/>
        </w:rPr>
        <w:alias w:val="模块:划分为金融负债的其他金融工具说明"/>
        <w:tag w:val="_GBC_d031ed2380884bb4aa3cb2efb2740308"/>
        <w:id w:val="-1108428964"/>
        <w:lock w:val="sdtLocked"/>
        <w:placeholder>
          <w:docPart w:val="GBC22222222222222222222222222222"/>
        </w:placeholder>
      </w:sdtPr>
      <w:sdtEndPr>
        <w:rPr>
          <w:rFonts w:hint="default"/>
        </w:rPr>
      </w:sdtEndPr>
      <w:sdtContent>
        <w:p w14:paraId="5FDC5A9A" w14:textId="77777777" w:rsidR="00830E72" w:rsidRDefault="008344D8">
          <w:pPr>
            <w:pStyle w:val="Style100"/>
            <w:numPr>
              <w:ilvl w:val="0"/>
              <w:numId w:val="71"/>
            </w:numPr>
            <w:tabs>
              <w:tab w:val="left" w:pos="672"/>
            </w:tabs>
            <w:rPr>
              <w:rFonts w:ascii="宋体" w:hAnsi="宋体"/>
              <w:szCs w:val="21"/>
            </w:rPr>
          </w:pPr>
          <w:r>
            <w:rPr>
              <w:rFonts w:ascii="宋体" w:hAnsi="宋体" w:hint="eastAsia"/>
              <w:szCs w:val="21"/>
            </w:rPr>
            <w:t>划分为金融负债的其他金融工具说明</w:t>
          </w:r>
        </w:p>
        <w:p w14:paraId="238C9F1D" w14:textId="77777777" w:rsidR="00830E72" w:rsidRDefault="008344D8">
          <w:pPr>
            <w:rPr>
              <w:szCs w:val="21"/>
            </w:rPr>
          </w:pPr>
          <w:r>
            <w:rPr>
              <w:rFonts w:hint="eastAsia"/>
              <w:szCs w:val="21"/>
            </w:rPr>
            <w:t>期末发行在外的优先股、永续债等其他金融工具基本情况</w:t>
          </w:r>
        </w:p>
        <w:sdt>
          <w:sdtPr>
            <w:rPr>
              <w:szCs w:val="21"/>
            </w:rPr>
            <w:alias w:val="是否适用：划分为金融负债的其他金融工具说明[双击切换]"/>
            <w:tag w:val="_GBC_61542231aba54618ab4bd6d781bfab05"/>
            <w:id w:val="1718542408"/>
            <w:lock w:val="sdtContentLocked"/>
            <w:placeholder>
              <w:docPart w:val="GBC22222222222222222222222222222"/>
            </w:placeholder>
          </w:sdtPr>
          <w:sdtEndPr/>
          <w:sdtContent>
            <w:p w14:paraId="64C0D4DA"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4B2ADAC" w14:textId="77777777" w:rsidR="00830E72" w:rsidRDefault="008344D8">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4cf6ed9dc37d42fc946f2268e90eee97"/>
            <w:id w:val="-19699956"/>
            <w:lock w:val="sdtContentLocked"/>
            <w:placeholder>
              <w:docPart w:val="GBC22222222222222222222222222222"/>
            </w:placeholder>
          </w:sdtPr>
          <w:sdtEndPr/>
          <w:sdtContent>
            <w:p w14:paraId="65BD90B3"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4650E7A" w14:textId="77777777" w:rsidR="00830E72" w:rsidRDefault="008344D8">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aec0ba7f99624a559a5f92bcd8e57e4f"/>
            <w:id w:val="1129135861"/>
            <w:lock w:val="sdtContentLocked"/>
            <w:placeholder>
              <w:docPart w:val="GBC22222222222222222222222222222"/>
            </w:placeholder>
          </w:sdtPr>
          <w:sdtEndPr/>
          <w:sdtContent>
            <w:p w14:paraId="23E923EE" w14:textId="77777777" w:rsidR="00830E72" w:rsidRDefault="008344D8">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应付债券其他说明"/>
        <w:tag w:val="_GBC_32fb23173d7a4a4fa8cb056982254a59"/>
        <w:id w:val="1439567117"/>
        <w:lock w:val="sdtLocked"/>
        <w:placeholder>
          <w:docPart w:val="GBC22222222222222222222222222222"/>
        </w:placeholder>
      </w:sdtPr>
      <w:sdtEndPr/>
      <w:sdtContent>
        <w:p w14:paraId="4214317C" w14:textId="77777777" w:rsidR="00830E72" w:rsidRDefault="008344D8">
          <w:pPr>
            <w:spacing w:before="60" w:after="60"/>
            <w:rPr>
              <w:szCs w:val="21"/>
            </w:rPr>
          </w:pPr>
          <w:r>
            <w:rPr>
              <w:rFonts w:hint="eastAsia"/>
              <w:szCs w:val="21"/>
            </w:rPr>
            <w:t>其他说明：</w:t>
          </w:r>
        </w:p>
        <w:sdt>
          <w:sdtPr>
            <w:rPr>
              <w:szCs w:val="21"/>
            </w:rPr>
            <w:alias w:val="是否适用：应付债券的其他说明[双击切换]"/>
            <w:tag w:val="_GBC_34ea80305b6a4fafaf2943f684877d08"/>
            <w:id w:val="2043859340"/>
            <w:lock w:val="sdtContentLocked"/>
            <w:placeholder>
              <w:docPart w:val="GBC22222222222222222222222222222"/>
            </w:placeholder>
          </w:sdtPr>
          <w:sdtEndPr/>
          <w:sdtContent>
            <w:p w14:paraId="1BBB3B97" w14:textId="77777777" w:rsidR="00830E72" w:rsidRDefault="008344D8">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8E9C5A7" w14:textId="77777777" w:rsidR="00830E72" w:rsidRDefault="00830E72">
      <w:pPr>
        <w:rPr>
          <w:szCs w:val="21"/>
        </w:rPr>
      </w:pPr>
    </w:p>
    <w:sdt>
      <w:sdtPr>
        <w:rPr>
          <w:rFonts w:ascii="宋体" w:hAnsi="宋体" w:cs="宋体" w:hint="eastAsia"/>
          <w:b w:val="0"/>
          <w:bCs w:val="0"/>
          <w:kern w:val="0"/>
          <w:szCs w:val="21"/>
        </w:rPr>
        <w:alias w:val="模块:租赁负债"/>
        <w:tag w:val="_SEC_6bd3f432494344eb8aaf6d133dbbfdc8"/>
        <w:id w:val="-2111270903"/>
        <w:lock w:val="sdtLocked"/>
        <w:placeholder>
          <w:docPart w:val="GBC22222222222222222222222222222"/>
        </w:placeholder>
      </w:sdtPr>
      <w:sdtEndPr>
        <w:rPr>
          <w:rFonts w:hint="default"/>
        </w:rPr>
      </w:sdtEndPr>
      <w:sdtContent>
        <w:p w14:paraId="3B50818B"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租赁负债</w:t>
          </w:r>
        </w:p>
        <w:sdt>
          <w:sdtPr>
            <w:rPr>
              <w:rFonts w:cs="Times New Roman"/>
              <w:kern w:val="2"/>
              <w:szCs w:val="21"/>
            </w:rPr>
            <w:alias w:val="是否适用：租赁负债[双击切换]"/>
            <w:tag w:val="_GBC_cec9aedf0aa8427d9bd5dbf17e698298"/>
            <w:id w:val="1559052383"/>
            <w:lock w:val="sdtContentLocked"/>
            <w:placeholder>
              <w:docPart w:val="GBC22222222222222222222222222222"/>
            </w:placeholder>
          </w:sdtPr>
          <w:sdtEndPr/>
          <w:sdtContent>
            <w:p w14:paraId="1A867E4D"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4A80A6B" w14:textId="77777777" w:rsidR="00830E72" w:rsidRDefault="008344D8">
          <w:pPr>
            <w:jc w:val="right"/>
            <w:rPr>
              <w:szCs w:val="21"/>
            </w:rPr>
          </w:pPr>
          <w:r>
            <w:rPr>
              <w:rFonts w:hint="eastAsia"/>
              <w:szCs w:val="21"/>
            </w:rPr>
            <w:t>单位：</w:t>
          </w:r>
          <w:sdt>
            <w:sdtPr>
              <w:rPr>
                <w:rFonts w:hint="eastAsia"/>
                <w:szCs w:val="21"/>
              </w:rPr>
              <w:alias w:val="单位：租赁负债"/>
              <w:tag w:val="_GBC_3f1d18295bfb4156905ee3935811bc9f"/>
              <w:id w:val="36872999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租赁负债"/>
              <w:tag w:val="_GBC_1ce63c76adb74c2f8d53dbdb5d73a87c"/>
              <w:id w:val="-16916014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150"/>
            <w:gridCol w:w="2871"/>
            <w:gridCol w:w="2872"/>
          </w:tblGrid>
          <w:tr w:rsidR="00830E72" w14:paraId="0F30A1E8" w14:textId="77777777">
            <w:trPr>
              <w:cantSplit/>
              <w:trHeight w:val="307"/>
            </w:trPr>
            <w:sdt>
              <w:sdtPr>
                <w:tag w:val="_PLD_27afd78cc4b04fa19a7adaa593b83cc4"/>
                <w:id w:val="-429894498"/>
                <w:lock w:val="sdtLocked"/>
              </w:sdtPr>
              <w:sdtEndPr/>
              <w:sdtContent>
                <w:tc>
                  <w:tcPr>
                    <w:tcW w:w="1771" w:type="pct"/>
                    <w:shd w:val="clear" w:color="auto" w:fill="auto"/>
                    <w:vAlign w:val="center"/>
                  </w:tcPr>
                  <w:p w14:paraId="2DA4786C" w14:textId="77777777" w:rsidR="00830E72" w:rsidRDefault="008344D8">
                    <w:pPr>
                      <w:jc w:val="center"/>
                      <w:rPr>
                        <w:szCs w:val="21"/>
                      </w:rPr>
                    </w:pPr>
                    <w:r>
                      <w:rPr>
                        <w:rFonts w:hint="eastAsia"/>
                        <w:szCs w:val="21"/>
                      </w:rPr>
                      <w:t>项目</w:t>
                    </w:r>
                  </w:p>
                </w:tc>
              </w:sdtContent>
            </w:sdt>
            <w:sdt>
              <w:sdtPr>
                <w:tag w:val="_PLD_473fbb207ad34f58a8a0f0451332e555"/>
                <w:id w:val="-730617915"/>
                <w:lock w:val="sdtLocked"/>
              </w:sdtPr>
              <w:sdtEndPr/>
              <w:sdtContent>
                <w:tc>
                  <w:tcPr>
                    <w:tcW w:w="1614" w:type="pct"/>
                    <w:shd w:val="clear" w:color="auto" w:fill="auto"/>
                    <w:vAlign w:val="center"/>
                  </w:tcPr>
                  <w:p w14:paraId="19ACA100" w14:textId="77777777" w:rsidR="00830E72" w:rsidRDefault="008344D8">
                    <w:pPr>
                      <w:jc w:val="center"/>
                      <w:rPr>
                        <w:szCs w:val="21"/>
                      </w:rPr>
                    </w:pPr>
                    <w:r>
                      <w:rPr>
                        <w:rFonts w:hint="eastAsia"/>
                        <w:szCs w:val="21"/>
                      </w:rPr>
                      <w:t>期末余额</w:t>
                    </w:r>
                  </w:p>
                </w:tc>
              </w:sdtContent>
            </w:sdt>
            <w:sdt>
              <w:sdtPr>
                <w:tag w:val="_PLD_81cf17ce1aff4bad8deb2792f3b6570d"/>
                <w:id w:val="2029904001"/>
                <w:lock w:val="sdtLocked"/>
              </w:sdtPr>
              <w:sdtEndPr/>
              <w:sdtContent>
                <w:tc>
                  <w:tcPr>
                    <w:tcW w:w="1615" w:type="pct"/>
                    <w:shd w:val="clear" w:color="auto" w:fill="auto"/>
                    <w:vAlign w:val="center"/>
                  </w:tcPr>
                  <w:p w14:paraId="0EA947B5" w14:textId="77777777" w:rsidR="00830E72" w:rsidRDefault="008344D8">
                    <w:pPr>
                      <w:jc w:val="center"/>
                      <w:rPr>
                        <w:szCs w:val="21"/>
                      </w:rPr>
                    </w:pPr>
                    <w:r>
                      <w:rPr>
                        <w:rFonts w:hint="eastAsia"/>
                        <w:szCs w:val="21"/>
                      </w:rPr>
                      <w:t>期初余额</w:t>
                    </w:r>
                  </w:p>
                </w:tc>
              </w:sdtContent>
            </w:sdt>
          </w:tr>
          <w:sdt>
            <w:sdtPr>
              <w:rPr>
                <w:szCs w:val="21"/>
              </w:rPr>
              <w:alias w:val="租赁负债明细"/>
              <w:tag w:val="_TUP_4f6c01aec10540a980fbed5fbec5a5f6"/>
              <w:id w:val="958454395"/>
              <w:lock w:val="sdtLocked"/>
              <w:placeholder>
                <w:docPart w:val="GBC11111111111111111111111111111"/>
              </w:placeholder>
            </w:sdtPr>
            <w:sdtEndPr/>
            <w:sdtContent>
              <w:tr w:rsidR="00830E72" w14:paraId="48587305" w14:textId="77777777">
                <w:trPr>
                  <w:cantSplit/>
                  <w:trHeight w:val="186"/>
                </w:trPr>
                <w:tc>
                  <w:tcPr>
                    <w:tcW w:w="1771" w:type="pct"/>
                  </w:tcPr>
                  <w:p w14:paraId="57BFE8C4" w14:textId="77777777" w:rsidR="00830E72" w:rsidRDefault="008344D8">
                    <w:pPr>
                      <w:rPr>
                        <w:szCs w:val="21"/>
                      </w:rPr>
                    </w:pPr>
                    <w:r>
                      <w:rPr>
                        <w:rFonts w:hint="eastAsia"/>
                        <w:szCs w:val="21"/>
                      </w:rPr>
                      <w:t>长期租赁负债</w:t>
                    </w:r>
                  </w:p>
                </w:tc>
                <w:tc>
                  <w:tcPr>
                    <w:tcW w:w="1614" w:type="pct"/>
                  </w:tcPr>
                  <w:p w14:paraId="78519CD6" w14:textId="77777777" w:rsidR="00830E72" w:rsidRDefault="008344D8">
                    <w:pPr>
                      <w:jc w:val="right"/>
                      <w:rPr>
                        <w:szCs w:val="21"/>
                      </w:rPr>
                    </w:pPr>
                    <w:r>
                      <w:rPr>
                        <w:szCs w:val="21"/>
                      </w:rPr>
                      <w:t>4,230,035.87</w:t>
                    </w:r>
                  </w:p>
                </w:tc>
                <w:tc>
                  <w:tcPr>
                    <w:tcW w:w="1615" w:type="pct"/>
                  </w:tcPr>
                  <w:p w14:paraId="6DFAC4B0" w14:textId="77777777" w:rsidR="00830E72" w:rsidRDefault="008344D8">
                    <w:pPr>
                      <w:jc w:val="right"/>
                      <w:rPr>
                        <w:szCs w:val="21"/>
                      </w:rPr>
                    </w:pPr>
                    <w:r>
                      <w:rPr>
                        <w:szCs w:val="21"/>
                      </w:rPr>
                      <w:t>5,350,113.01</w:t>
                    </w:r>
                  </w:p>
                </w:tc>
              </w:tr>
            </w:sdtContent>
          </w:sdt>
        </w:tbl>
        <w:p w14:paraId="044173FE" w14:textId="77777777" w:rsidR="00830E72" w:rsidRDefault="00D44830"/>
      </w:sdtContent>
    </w:sdt>
    <w:p w14:paraId="5E0B7D56"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长期应付款</w:t>
      </w:r>
    </w:p>
    <w:bookmarkStart w:id="174" w:name="_Hlk532911057" w:displacedByCustomXml="next"/>
    <w:bookmarkStart w:id="175" w:name="_Hlk10536746" w:displacedByCustomXml="next"/>
    <w:sdt>
      <w:sdtPr>
        <w:rPr>
          <w:rFonts w:ascii="宋体" w:hAnsi="宋体" w:cs="宋体" w:hint="eastAsia"/>
          <w:b w:val="0"/>
          <w:bCs w:val="0"/>
          <w:kern w:val="0"/>
          <w:szCs w:val="24"/>
        </w:rPr>
        <w:alias w:val="模块:项目列示"/>
        <w:tag w:val="_SEC_c0e96ee0f49e415f98873dfb1c798446"/>
        <w:id w:val="839116228"/>
        <w:lock w:val="sdtLocked"/>
        <w:placeholder>
          <w:docPart w:val="GBC22222222222222222222222222222"/>
        </w:placeholder>
      </w:sdtPr>
      <w:sdtEndPr/>
      <w:sdtContent>
        <w:p w14:paraId="79D43091" w14:textId="77777777" w:rsidR="00830E72" w:rsidRDefault="008344D8">
          <w:pPr>
            <w:pStyle w:val="Style100"/>
            <w:rPr>
              <w:rFonts w:ascii="宋体" w:hAnsi="宋体"/>
            </w:rPr>
          </w:pPr>
          <w:r>
            <w:rPr>
              <w:rFonts w:ascii="宋体" w:hAnsi="宋体" w:hint="eastAsia"/>
            </w:rPr>
            <w:t>项目列示</w:t>
          </w:r>
        </w:p>
        <w:sdt>
          <w:sdtPr>
            <w:alias w:val="是否适用：长期应付款分类列示[双击切换]"/>
            <w:tag w:val="_GBC_dc1496c33e4a4cabb259020dbf46be93"/>
            <w:id w:val="109242509"/>
            <w:lock w:val="sdtContentLocked"/>
            <w:placeholder>
              <w:docPart w:val="GBC22222222222222222222222222222"/>
            </w:placeholder>
          </w:sdtPr>
          <w:sdtEndPr/>
          <w:sdtContent>
            <w:p w14:paraId="5C583332"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EB0DD35" w14:textId="77777777" w:rsidR="00830E72" w:rsidRDefault="00D44830"/>
      </w:sdtContent>
    </w:sdt>
    <w:bookmarkEnd w:id="174" w:displacedByCustomXml="next"/>
    <w:bookmarkEnd w:id="175" w:displacedByCustomXml="next"/>
    <w:bookmarkStart w:id="176" w:name="_Hlk10536806" w:displacedByCustomXml="next"/>
    <w:bookmarkStart w:id="177" w:name="_Hlk10536877" w:displacedByCustomXml="next"/>
    <w:sdt>
      <w:sdtPr>
        <w:rPr>
          <w:rFonts w:ascii="宋体" w:hAnsi="宋体" w:cs="宋体" w:hint="eastAsia"/>
          <w:b w:val="0"/>
          <w:bCs w:val="0"/>
          <w:kern w:val="0"/>
          <w:szCs w:val="24"/>
        </w:rPr>
        <w:alias w:val="模块:长期应付款"/>
        <w:tag w:val="_SEC_1ac73daea3484386b92787e79e677fbb"/>
        <w:id w:val="1910583478"/>
        <w:lock w:val="sdtLocked"/>
        <w:placeholder>
          <w:docPart w:val="GBC22222222222222222222222222222"/>
        </w:placeholder>
      </w:sdtPr>
      <w:sdtEndPr>
        <w:rPr>
          <w:rFonts w:hint="default"/>
        </w:rPr>
      </w:sdtEndPr>
      <w:sdtContent>
        <w:p w14:paraId="2222FE24" w14:textId="77777777" w:rsidR="00830E72" w:rsidRDefault="008344D8">
          <w:pPr>
            <w:pStyle w:val="Style100"/>
            <w:ind w:left="360" w:hanging="360"/>
            <w:rPr>
              <w:rFonts w:ascii="宋体" w:hAnsi="宋体"/>
            </w:rPr>
          </w:pPr>
          <w:r>
            <w:rPr>
              <w:rFonts w:ascii="宋体" w:hAnsi="宋体" w:hint="eastAsia"/>
            </w:rPr>
            <w:t>长期应付款</w:t>
          </w:r>
          <w:bookmarkEnd w:id="176"/>
        </w:p>
        <w:sdt>
          <w:sdtPr>
            <w:alias w:val="是否适用：按款项性质列示长期应付款[双击切换]"/>
            <w:tag w:val="_GBC_a9fa9a5286484f4bb853b1eff824e621"/>
            <w:id w:val="-1027414544"/>
            <w:lock w:val="sdtContentLocked"/>
            <w:placeholder>
              <w:docPart w:val="GBC22222222222222222222222222222"/>
            </w:placeholder>
          </w:sdtPr>
          <w:sdtEndPr/>
          <w:sdtContent>
            <w:p w14:paraId="337C7449" w14:textId="77777777" w:rsidR="00830E72" w:rsidRDefault="008344D8">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885D9C1" w14:textId="77777777" w:rsidR="00830E72" w:rsidRDefault="00D44830"/>
      </w:sdtContent>
    </w:sdt>
    <w:bookmarkEnd w:id="177" w:displacedByCustomXml="next"/>
    <w:sdt>
      <w:sdtPr>
        <w:rPr>
          <w:rFonts w:ascii="宋体" w:hAnsi="宋体" w:cs="宋体" w:hint="eastAsia"/>
          <w:b w:val="0"/>
          <w:bCs w:val="0"/>
          <w:kern w:val="0"/>
          <w:szCs w:val="24"/>
        </w:rPr>
        <w:alias w:val="模块:专项应付款"/>
        <w:tag w:val="_GBC_6847689be8c1493eb5db4e6dbab0fdbe"/>
        <w:id w:val="1362629828"/>
        <w:lock w:val="sdtLocked"/>
        <w:placeholder>
          <w:docPart w:val="GBC22222222222222222222222222222"/>
        </w:placeholder>
      </w:sdtPr>
      <w:sdtEndPr>
        <w:rPr>
          <w:rFonts w:cstheme="minorBidi" w:hint="default"/>
          <w:color w:val="000000" w:themeColor="text1"/>
          <w:kern w:val="2"/>
          <w:szCs w:val="21"/>
        </w:rPr>
      </w:sdtEndPr>
      <w:sdtContent>
        <w:p w14:paraId="51FF94A8" w14:textId="77777777" w:rsidR="00830E72" w:rsidRDefault="008344D8">
          <w:pPr>
            <w:pStyle w:val="Style100"/>
            <w:rPr>
              <w:rFonts w:ascii="宋体" w:hAnsi="宋体"/>
            </w:rPr>
          </w:pPr>
          <w:r>
            <w:rPr>
              <w:rFonts w:ascii="宋体" w:hAnsi="宋体" w:hint="eastAsia"/>
            </w:rPr>
            <w:t>专项应付款</w:t>
          </w:r>
        </w:p>
        <w:sdt>
          <w:sdtPr>
            <w:alias w:val="是否适用：专项应付款[双击切换]"/>
            <w:tag w:val="_GBC_f70a824e87784429a75fa648d7634cf8"/>
            <w:id w:val="375897793"/>
            <w:lock w:val="sdtContentLocked"/>
            <w:placeholder>
              <w:docPart w:val="GBC22222222222222222222222222222"/>
            </w:placeholder>
          </w:sdtPr>
          <w:sdtEndPr/>
          <w:sdtContent>
            <w:p w14:paraId="54F6DF2D"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DDC9BA3" w14:textId="77777777" w:rsidR="00830E72" w:rsidRDefault="00D44830">
          <w:pPr>
            <w:snapToGrid w:val="0"/>
            <w:rPr>
              <w:szCs w:val="21"/>
            </w:rPr>
          </w:pPr>
        </w:p>
      </w:sdtContent>
    </w:sdt>
    <w:p w14:paraId="334B9156"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长期应付职工薪酬</w:t>
      </w:r>
    </w:p>
    <w:sdt>
      <w:sdtPr>
        <w:alias w:val="是否适用：长期应付职工薪酬[双击切换]"/>
        <w:tag w:val="_GBC_077559b601814bb38f16734f98e8c045"/>
        <w:id w:val="1487358271"/>
        <w:lock w:val="sdtContentLocked"/>
        <w:placeholder>
          <w:docPart w:val="GBC22222222222222222222222222222"/>
        </w:placeholder>
      </w:sdtPr>
      <w:sdtEndPr/>
      <w:sdtContent>
        <w:p w14:paraId="751350E7"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113A4C2" w14:textId="77777777" w:rsidR="00830E72" w:rsidRDefault="00830E72">
      <w:pPr>
        <w:rPr>
          <w:szCs w:val="21"/>
        </w:rPr>
      </w:pPr>
    </w:p>
    <w:bookmarkStart w:id="178" w:name="_Hlk10537141" w:displacedByCustomXml="next"/>
    <w:sdt>
      <w:sdtPr>
        <w:rPr>
          <w:rFonts w:ascii="宋体" w:hAnsi="宋体" w:cs="宋体" w:hint="eastAsia"/>
          <w:b w:val="0"/>
          <w:bCs w:val="0"/>
          <w:kern w:val="0"/>
          <w:szCs w:val="21"/>
        </w:rPr>
        <w:alias w:val="模块:预计负债"/>
        <w:tag w:val="_GBC_6b41f75046264d5392c8786bf4fd2da4"/>
        <w:id w:val="1583179606"/>
        <w:lock w:val="sdtLocked"/>
        <w:placeholder>
          <w:docPart w:val="GBC22222222222222222222222222222"/>
        </w:placeholder>
      </w:sdtPr>
      <w:sdtEndPr>
        <w:rPr>
          <w:rFonts w:cstheme="minorBidi" w:hint="default"/>
          <w:kern w:val="2"/>
        </w:rPr>
      </w:sdtEndPr>
      <w:sdtContent>
        <w:p w14:paraId="69A45D3F"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预计负债</w:t>
          </w:r>
        </w:p>
        <w:sdt>
          <w:sdtPr>
            <w:alias w:val="是否适用：预计负债[双击切换]"/>
            <w:tag w:val="_GBC_1687da235caf410f866f00240cee7fdb"/>
            <w:id w:val="-484470811"/>
            <w:lock w:val="sdtContentLocked"/>
            <w:placeholder>
              <w:docPart w:val="GBC22222222222222222222222222222"/>
            </w:placeholder>
          </w:sdtPr>
          <w:sdtEndPr/>
          <w:sdtContent>
            <w:p w14:paraId="619A319F"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36E901A" w14:textId="77777777" w:rsidR="00830E72" w:rsidRDefault="008344D8">
          <w:pPr>
            <w:jc w:val="right"/>
            <w:rPr>
              <w:szCs w:val="21"/>
            </w:rPr>
          </w:pPr>
          <w:r>
            <w:rPr>
              <w:rFonts w:hint="eastAsia"/>
              <w:szCs w:val="21"/>
            </w:rPr>
            <w:t>单位：</w:t>
          </w:r>
          <w:sdt>
            <w:sdtPr>
              <w:rPr>
                <w:rFonts w:hint="eastAsia"/>
                <w:szCs w:val="21"/>
              </w:rPr>
              <w:alias w:val="单位：财务附注：预计负债"/>
              <w:tag w:val="_GBC_cb4f52bf31e64f4c951a1d03c8737c2c"/>
              <w:id w:val="5229120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计负债"/>
              <w:tag w:val="_GBC_c1e0a0d54ae34f37b10682c1542f4496"/>
              <w:id w:val="7468494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224"/>
            <w:gridCol w:w="2224"/>
            <w:gridCol w:w="1962"/>
            <w:gridCol w:w="2485"/>
          </w:tblGrid>
          <w:tr w:rsidR="00830E72" w14:paraId="679049D1" w14:textId="77777777">
            <w:trPr>
              <w:cantSplit/>
            </w:trPr>
            <w:sdt>
              <w:sdtPr>
                <w:tag w:val="_PLD_fc927e21b7894351850a5341390e71f1"/>
                <w:id w:val="-1477994137"/>
                <w:lock w:val="sdtLocked"/>
              </w:sdtPr>
              <w:sdtEndPr/>
              <w:sdtContent>
                <w:tc>
                  <w:tcPr>
                    <w:tcW w:w="1250" w:type="pct"/>
                    <w:vAlign w:val="center"/>
                  </w:tcPr>
                  <w:p w14:paraId="739B327F" w14:textId="77777777" w:rsidR="00830E72" w:rsidRDefault="008344D8">
                    <w:pPr>
                      <w:ind w:right="105"/>
                      <w:jc w:val="center"/>
                      <w:rPr>
                        <w:szCs w:val="21"/>
                      </w:rPr>
                    </w:pPr>
                    <w:r>
                      <w:rPr>
                        <w:rFonts w:hint="eastAsia"/>
                        <w:szCs w:val="21"/>
                      </w:rPr>
                      <w:t>项目</w:t>
                    </w:r>
                  </w:p>
                </w:tc>
              </w:sdtContent>
            </w:sdt>
            <w:sdt>
              <w:sdtPr>
                <w:tag w:val="_PLD_6f816d98e70940cfbbbbb868b0aeb358"/>
                <w:id w:val="-1054081413"/>
                <w:lock w:val="sdtLocked"/>
              </w:sdtPr>
              <w:sdtEndPr/>
              <w:sdtContent>
                <w:tc>
                  <w:tcPr>
                    <w:tcW w:w="1250" w:type="pct"/>
                  </w:tcPr>
                  <w:p w14:paraId="23ED387C" w14:textId="77777777" w:rsidR="00830E72" w:rsidRDefault="008344D8">
                    <w:pPr>
                      <w:jc w:val="center"/>
                      <w:rPr>
                        <w:szCs w:val="21"/>
                      </w:rPr>
                    </w:pPr>
                    <w:r>
                      <w:rPr>
                        <w:rFonts w:hint="eastAsia"/>
                        <w:szCs w:val="21"/>
                      </w:rPr>
                      <w:t>期初余额</w:t>
                    </w:r>
                  </w:p>
                </w:tc>
              </w:sdtContent>
            </w:sdt>
            <w:sdt>
              <w:sdtPr>
                <w:tag w:val="_PLD_5448bfd35d2348cfac66de5cdfbc78a4"/>
                <w:id w:val="-2132544583"/>
                <w:lock w:val="sdtLocked"/>
              </w:sdtPr>
              <w:sdtEndPr/>
              <w:sdtContent>
                <w:tc>
                  <w:tcPr>
                    <w:tcW w:w="1103" w:type="pct"/>
                  </w:tcPr>
                  <w:p w14:paraId="5E9CBABF" w14:textId="77777777" w:rsidR="00830E72" w:rsidRDefault="008344D8">
                    <w:pPr>
                      <w:jc w:val="center"/>
                      <w:rPr>
                        <w:szCs w:val="21"/>
                      </w:rPr>
                    </w:pPr>
                    <w:r>
                      <w:rPr>
                        <w:rFonts w:hint="eastAsia"/>
                        <w:szCs w:val="21"/>
                      </w:rPr>
                      <w:t>期末余额</w:t>
                    </w:r>
                  </w:p>
                </w:tc>
              </w:sdtContent>
            </w:sdt>
            <w:sdt>
              <w:sdtPr>
                <w:tag w:val="_PLD_987f713faa85401c883cbd6dd67e70b8"/>
                <w:id w:val="1099985510"/>
                <w:lock w:val="sdtLocked"/>
              </w:sdtPr>
              <w:sdtEndPr/>
              <w:sdtContent>
                <w:tc>
                  <w:tcPr>
                    <w:tcW w:w="1397" w:type="pct"/>
                  </w:tcPr>
                  <w:p w14:paraId="3DB51917" w14:textId="77777777" w:rsidR="00830E72" w:rsidRDefault="008344D8">
                    <w:pPr>
                      <w:jc w:val="center"/>
                      <w:rPr>
                        <w:szCs w:val="21"/>
                      </w:rPr>
                    </w:pPr>
                    <w:r>
                      <w:rPr>
                        <w:rFonts w:hint="eastAsia"/>
                        <w:szCs w:val="21"/>
                      </w:rPr>
                      <w:t>形成原因</w:t>
                    </w:r>
                  </w:p>
                </w:tc>
              </w:sdtContent>
            </w:sdt>
          </w:tr>
          <w:tr w:rsidR="00830E72" w14:paraId="4AC11D7C" w14:textId="77777777">
            <w:trPr>
              <w:cantSplit/>
            </w:trPr>
            <w:sdt>
              <w:sdtPr>
                <w:tag w:val="_PLD_ae406fbfbb59463e918f766883c4e3a3"/>
                <w:id w:val="-771617490"/>
                <w:lock w:val="sdtLocked"/>
              </w:sdtPr>
              <w:sdtEndPr/>
              <w:sdtContent>
                <w:tc>
                  <w:tcPr>
                    <w:tcW w:w="1250" w:type="pct"/>
                    <w:shd w:val="clear" w:color="auto" w:fill="auto"/>
                  </w:tcPr>
                  <w:p w14:paraId="256CB530" w14:textId="77777777" w:rsidR="00830E72" w:rsidRDefault="008344D8">
                    <w:pPr>
                      <w:ind w:right="105"/>
                      <w:rPr>
                        <w:szCs w:val="21"/>
                      </w:rPr>
                    </w:pPr>
                    <w:r>
                      <w:rPr>
                        <w:rFonts w:hint="eastAsia"/>
                        <w:szCs w:val="21"/>
                      </w:rPr>
                      <w:t>待执行的亏损合同</w:t>
                    </w:r>
                  </w:p>
                </w:tc>
              </w:sdtContent>
            </w:sdt>
            <w:tc>
              <w:tcPr>
                <w:tcW w:w="1250" w:type="pct"/>
              </w:tcPr>
              <w:p w14:paraId="566FB93E" w14:textId="77777777" w:rsidR="00830E72" w:rsidRDefault="008344D8">
                <w:pPr>
                  <w:jc w:val="right"/>
                  <w:rPr>
                    <w:szCs w:val="21"/>
                  </w:rPr>
                </w:pPr>
                <w:r>
                  <w:rPr>
                    <w:szCs w:val="21"/>
                  </w:rPr>
                  <w:t>4,855,107.55</w:t>
                </w:r>
              </w:p>
            </w:tc>
            <w:tc>
              <w:tcPr>
                <w:tcW w:w="1103" w:type="pct"/>
              </w:tcPr>
              <w:p w14:paraId="17227251" w14:textId="77777777" w:rsidR="00830E72" w:rsidRDefault="008344D8">
                <w:pPr>
                  <w:jc w:val="right"/>
                  <w:rPr>
                    <w:szCs w:val="21"/>
                  </w:rPr>
                </w:pPr>
                <w:r>
                  <w:rPr>
                    <w:szCs w:val="21"/>
                  </w:rPr>
                  <w:t>4,112,794.49</w:t>
                </w:r>
              </w:p>
            </w:tc>
            <w:tc>
              <w:tcPr>
                <w:tcW w:w="1397" w:type="pct"/>
              </w:tcPr>
              <w:p w14:paraId="1F884B65" w14:textId="77777777" w:rsidR="00830E72" w:rsidRDefault="008344D8">
                <w:pPr>
                  <w:rPr>
                    <w:szCs w:val="21"/>
                  </w:rPr>
                </w:pPr>
                <w:r>
                  <w:rPr>
                    <w:rFonts w:hint="eastAsia"/>
                    <w:szCs w:val="21"/>
                  </w:rPr>
                  <w:t>待执行合同的预计亏损额</w:t>
                </w:r>
              </w:p>
            </w:tc>
          </w:tr>
          <w:tr w:rsidR="00830E72" w14:paraId="1039246E" w14:textId="77777777">
            <w:trPr>
              <w:cantSplit/>
              <w:trHeight w:val="202"/>
            </w:trPr>
            <w:sdt>
              <w:sdtPr>
                <w:tag w:val="_PLD_b9cf5ec4363246d39880d8a9118c7375"/>
                <w:id w:val="1679611948"/>
                <w:lock w:val="sdtLocked"/>
              </w:sdtPr>
              <w:sdtEndPr/>
              <w:sdtContent>
                <w:tc>
                  <w:tcPr>
                    <w:tcW w:w="1250" w:type="pct"/>
                    <w:vAlign w:val="center"/>
                  </w:tcPr>
                  <w:p w14:paraId="6D94F5EF" w14:textId="77777777" w:rsidR="00830E72" w:rsidRDefault="008344D8">
                    <w:pPr>
                      <w:ind w:right="105"/>
                      <w:jc w:val="center"/>
                      <w:rPr>
                        <w:szCs w:val="21"/>
                      </w:rPr>
                    </w:pPr>
                    <w:r>
                      <w:rPr>
                        <w:rFonts w:hint="eastAsia"/>
                        <w:szCs w:val="21"/>
                      </w:rPr>
                      <w:t>合计</w:t>
                    </w:r>
                  </w:p>
                </w:tc>
              </w:sdtContent>
            </w:sdt>
            <w:tc>
              <w:tcPr>
                <w:tcW w:w="1250" w:type="pct"/>
              </w:tcPr>
              <w:p w14:paraId="06ABD481" w14:textId="77777777" w:rsidR="00830E72" w:rsidRDefault="008344D8">
                <w:pPr>
                  <w:jc w:val="right"/>
                  <w:rPr>
                    <w:szCs w:val="21"/>
                  </w:rPr>
                </w:pPr>
                <w:r>
                  <w:rPr>
                    <w:szCs w:val="21"/>
                  </w:rPr>
                  <w:t>4,855,107.55</w:t>
                </w:r>
              </w:p>
            </w:tc>
            <w:tc>
              <w:tcPr>
                <w:tcW w:w="1103" w:type="pct"/>
                <w:vAlign w:val="center"/>
              </w:tcPr>
              <w:p w14:paraId="090403F3" w14:textId="77777777" w:rsidR="00830E72" w:rsidRDefault="008344D8">
                <w:pPr>
                  <w:jc w:val="right"/>
                  <w:rPr>
                    <w:szCs w:val="21"/>
                  </w:rPr>
                </w:pPr>
                <w:r>
                  <w:rPr>
                    <w:szCs w:val="21"/>
                  </w:rPr>
                  <w:t>4,112,794.49</w:t>
                </w:r>
              </w:p>
            </w:tc>
            <w:tc>
              <w:tcPr>
                <w:tcW w:w="1397" w:type="pct"/>
              </w:tcPr>
              <w:p w14:paraId="7A1845C2" w14:textId="77777777" w:rsidR="00830E72" w:rsidRDefault="008344D8">
                <w:pPr>
                  <w:jc w:val="center"/>
                  <w:rPr>
                    <w:color w:val="000000" w:themeColor="text1"/>
                    <w:szCs w:val="21"/>
                  </w:rPr>
                </w:pPr>
                <w:r>
                  <w:rPr>
                    <w:rFonts w:hint="eastAsia"/>
                    <w:color w:val="000000" w:themeColor="text1"/>
                    <w:szCs w:val="21"/>
                  </w:rPr>
                  <w:t>/</w:t>
                </w:r>
              </w:p>
            </w:tc>
          </w:tr>
        </w:tbl>
        <w:p w14:paraId="7B375AA9" w14:textId="77777777" w:rsidR="00830E72" w:rsidRDefault="008344D8">
          <w:pPr>
            <w:snapToGrid w:val="0"/>
            <w:spacing w:before="60" w:after="60"/>
            <w:rPr>
              <w:szCs w:val="21"/>
            </w:rPr>
          </w:pPr>
          <w:r>
            <w:rPr>
              <w:rFonts w:hint="eastAsia"/>
              <w:szCs w:val="21"/>
            </w:rPr>
            <w:t>其他说明，包括重要预计负债的相关重要假设、估计说明：</w:t>
          </w:r>
        </w:p>
        <w:sdt>
          <w:sdtPr>
            <w:rPr>
              <w:szCs w:val="21"/>
            </w:rPr>
            <w:alias w:val="预计负债的说明"/>
            <w:tag w:val="_GBC_d674f22c00c1425092bd34d8a8834fad"/>
            <w:id w:val="-930661354"/>
            <w:lock w:val="sdtLocked"/>
            <w:placeholder>
              <w:docPart w:val="GBC22222222222222222222222222222"/>
            </w:placeholder>
          </w:sdtPr>
          <w:sdtEndPr/>
          <w:sdtContent>
            <w:p w14:paraId="159E0945" w14:textId="77777777" w:rsidR="00830E72" w:rsidRDefault="008344D8">
              <w:pPr>
                <w:autoSpaceDE w:val="0"/>
                <w:autoSpaceDN w:val="0"/>
                <w:adjustRightInd w:val="0"/>
                <w:rPr>
                  <w:szCs w:val="21"/>
                </w:rPr>
              </w:pPr>
              <w:r>
                <w:rPr>
                  <w:rFonts w:hint="eastAsia"/>
                  <w:szCs w:val="21"/>
                </w:rPr>
                <w:t>预计负债</w:t>
              </w:r>
              <w:r>
                <w:rPr>
                  <w:szCs w:val="21"/>
                </w:rPr>
                <w:t>2021年6月30日余额较2020年12月31日减少，系待执行合同预计亏损转回所致。</w:t>
              </w:r>
            </w:p>
          </w:sdtContent>
        </w:sdt>
      </w:sdtContent>
    </w:sdt>
    <w:bookmarkEnd w:id="178"/>
    <w:p w14:paraId="6AD669EA"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GBC_8d74a4d69f6940c3968ca9c4cf2a1b4c"/>
        <w:id w:val="415359603"/>
        <w:lock w:val="sdtLocked"/>
        <w:placeholder>
          <w:docPart w:val="GBC22222222222222222222222222222"/>
        </w:placeholder>
      </w:sdtPr>
      <w:sdtEndPr>
        <w:rPr>
          <w:rFonts w:ascii="Calibri" w:hAnsi="Calibri" w:cs="Times New Roman" w:hint="default"/>
          <w:kern w:val="2"/>
        </w:rPr>
      </w:sdtEndPr>
      <w:sdtContent>
        <w:p w14:paraId="3EAA2BA5" w14:textId="77777777" w:rsidR="00830E72" w:rsidRDefault="008344D8">
          <w:pPr>
            <w:pStyle w:val="Style118"/>
            <w:ind w:firstLineChars="0" w:firstLine="0"/>
            <w:jc w:val="left"/>
            <w:rPr>
              <w:rFonts w:ascii="宋体" w:hAnsi="宋体" w:cs="宋体"/>
              <w:kern w:val="0"/>
              <w:szCs w:val="21"/>
            </w:rPr>
          </w:pPr>
          <w:r>
            <w:rPr>
              <w:rFonts w:ascii="宋体" w:hAnsi="宋体" w:cs="宋体" w:hint="eastAsia"/>
              <w:kern w:val="0"/>
              <w:szCs w:val="21"/>
            </w:rPr>
            <w:t>递延收益情况</w:t>
          </w:r>
        </w:p>
        <w:p w14:paraId="215939AD" w14:textId="77777777" w:rsidR="00830E72" w:rsidRDefault="00D44830">
          <w:pPr>
            <w:pStyle w:val="Style118"/>
            <w:ind w:firstLineChars="0" w:firstLine="0"/>
            <w:jc w:val="left"/>
            <w:rPr>
              <w:szCs w:val="21"/>
            </w:rPr>
          </w:pPr>
          <w:sdt>
            <w:sdtPr>
              <w:rPr>
                <w:rFonts w:ascii="宋体" w:hAnsi="宋体" w:cs="宋体"/>
                <w:kern w:val="0"/>
                <w:szCs w:val="21"/>
              </w:rPr>
              <w:alias w:val="是否适用：递延收益情况 [双击切换]"/>
              <w:tag w:val="_GBC_2c1393684e764245824b2390014e92f1"/>
              <w:id w:val="-315108801"/>
              <w:lock w:val="sdtContentLocked"/>
              <w:placeholder>
                <w:docPart w:val="GBC22222222222222222222222222222"/>
              </w:placeholder>
            </w:sdtPr>
            <w:sdtEndPr/>
            <w:sdtContent>
              <w:r w:rsidR="008344D8">
                <w:rPr>
                  <w:rFonts w:ascii="宋体" w:hAnsi="宋体" w:cs="宋体"/>
                  <w:kern w:val="0"/>
                  <w:szCs w:val="21"/>
                </w:rPr>
                <w:fldChar w:fldCharType="begin"/>
              </w:r>
              <w:r w:rsidR="008344D8">
                <w:rPr>
                  <w:rFonts w:ascii="宋体" w:hAnsi="宋体" w:cs="宋体"/>
                  <w:kern w:val="0"/>
                  <w:szCs w:val="21"/>
                </w:rPr>
                <w:instrText xml:space="preserve"> MACROBUTTON  SnrToggleCheckbox □适用 </w:instrText>
              </w:r>
              <w:r w:rsidR="008344D8">
                <w:rPr>
                  <w:rFonts w:ascii="宋体" w:hAnsi="宋体" w:cs="宋体"/>
                  <w:kern w:val="0"/>
                  <w:szCs w:val="21"/>
                </w:rPr>
                <w:fldChar w:fldCharType="end"/>
              </w:r>
              <w:r w:rsidR="008344D8">
                <w:rPr>
                  <w:rFonts w:ascii="宋体" w:hAnsi="宋体" w:cs="宋体"/>
                  <w:kern w:val="0"/>
                  <w:szCs w:val="21"/>
                </w:rPr>
                <w:fldChar w:fldCharType="begin"/>
              </w:r>
              <w:r w:rsidR="008344D8">
                <w:rPr>
                  <w:rFonts w:ascii="宋体" w:hAnsi="宋体" w:cs="宋体"/>
                  <w:kern w:val="0"/>
                  <w:szCs w:val="21"/>
                </w:rPr>
                <w:instrText xml:space="preserve"> MACROBUTTON  SnrToggleCheckbox √不适用 </w:instrText>
              </w:r>
              <w:r w:rsidR="008344D8">
                <w:rPr>
                  <w:rFonts w:ascii="宋体" w:hAnsi="宋体" w:cs="宋体"/>
                  <w:kern w:val="0"/>
                  <w:szCs w:val="21"/>
                </w:rPr>
                <w:fldChar w:fldCharType="end"/>
              </w:r>
            </w:sdtContent>
          </w:sdt>
        </w:p>
      </w:sdtContent>
    </w:sdt>
    <w:bookmarkStart w:id="179" w:name="_Hlk10537331" w:displacedByCustomXml="next"/>
    <w:sdt>
      <w:sdtPr>
        <w:rPr>
          <w:rFonts w:hint="eastAsia"/>
          <w:szCs w:val="21"/>
        </w:rPr>
        <w:alias w:val="模块:涉及政府补助的负债项目"/>
        <w:tag w:val="_GBC_e1594f7b2d3e4b13b3e32c6cde5b210a"/>
        <w:id w:val="-54860964"/>
        <w:lock w:val="sdtLocked"/>
        <w:placeholder>
          <w:docPart w:val="GBC22222222222222222222222222222"/>
        </w:placeholder>
      </w:sdtPr>
      <w:sdtEndPr>
        <w:rPr>
          <w:rFonts w:hint="default"/>
        </w:rPr>
      </w:sdtEndPr>
      <w:sdtContent>
        <w:p w14:paraId="7706686D" w14:textId="77777777" w:rsidR="00830E72" w:rsidRDefault="008344D8">
          <w:pPr>
            <w:rPr>
              <w:szCs w:val="21"/>
            </w:rPr>
          </w:pPr>
          <w:r>
            <w:rPr>
              <w:rFonts w:hint="eastAsia"/>
              <w:szCs w:val="21"/>
            </w:rPr>
            <w:t>涉及政府补助的项目：</w:t>
          </w:r>
        </w:p>
        <w:p w14:paraId="4BE121D8" w14:textId="77777777" w:rsidR="00830E72" w:rsidRDefault="00D44830">
          <w:pPr>
            <w:rPr>
              <w:szCs w:val="21"/>
            </w:rPr>
          </w:pPr>
          <w:sdt>
            <w:sdtPr>
              <w:rPr>
                <w:szCs w:val="21"/>
              </w:rPr>
              <w:alias w:val="是否适用：涉及政府补助的项目_递延收益[双击切换]"/>
              <w:tag w:val="_GBC_4c2c8447eb53428b988a5a364f2b236d"/>
              <w:id w:val="679855894"/>
              <w:lock w:val="sdtContentLocked"/>
              <w:placeholder>
                <w:docPart w:val="GBC22222222222222222222222222222"/>
              </w:placeholder>
            </w:sdtPr>
            <w:sdtEndPr/>
            <w:sdtContent>
              <w:r w:rsidR="008344D8">
                <w:rPr>
                  <w:szCs w:val="21"/>
                </w:rPr>
                <w:fldChar w:fldCharType="begin"/>
              </w:r>
              <w:r w:rsidR="008344D8">
                <w:rPr>
                  <w:szCs w:val="21"/>
                </w:rPr>
                <w:instrText xml:space="preserve"> MACROBUTTON  SnrToggleCheckbox □适用 </w:instrText>
              </w:r>
              <w:r w:rsidR="008344D8">
                <w:rPr>
                  <w:szCs w:val="21"/>
                </w:rPr>
                <w:fldChar w:fldCharType="end"/>
              </w:r>
              <w:r w:rsidR="008344D8">
                <w:rPr>
                  <w:szCs w:val="21"/>
                </w:rPr>
                <w:fldChar w:fldCharType="begin"/>
              </w:r>
              <w:r w:rsidR="008344D8">
                <w:rPr>
                  <w:szCs w:val="21"/>
                </w:rPr>
                <w:instrText xml:space="preserve"> MACROBUTTON  SnrToggleCheckbox √不适用 </w:instrText>
              </w:r>
              <w:r w:rsidR="008344D8">
                <w:rPr>
                  <w:szCs w:val="21"/>
                </w:rPr>
                <w:fldChar w:fldCharType="end"/>
              </w:r>
            </w:sdtContent>
          </w:sdt>
        </w:p>
      </w:sdtContent>
    </w:sdt>
    <w:bookmarkEnd w:id="179" w:displacedByCustomXml="next"/>
    <w:bookmarkStart w:id="180" w:name="OLE_LINK85" w:displacedByCustomXml="next"/>
    <w:bookmarkStart w:id="181" w:name="OLE_LINK84" w:displacedByCustomXml="next"/>
    <w:sdt>
      <w:sdtPr>
        <w:rPr>
          <w:rFonts w:hint="eastAsia"/>
          <w:szCs w:val="21"/>
        </w:rPr>
        <w:alias w:val="模块:递延收益其他说明"/>
        <w:tag w:val="_GBC_3e5bdbca1c524ed19d397da3dfaf83a9"/>
        <w:id w:val="-1248415615"/>
        <w:lock w:val="sdtLocked"/>
        <w:placeholder>
          <w:docPart w:val="GBC22222222222222222222222222222"/>
        </w:placeholder>
      </w:sdtPr>
      <w:sdtEndPr>
        <w:rPr>
          <w:rFonts w:hint="default"/>
        </w:rPr>
      </w:sdtEndPr>
      <w:sdtContent>
        <w:p w14:paraId="16DC4C3D" w14:textId="77777777" w:rsidR="00830E72" w:rsidRDefault="008344D8">
          <w:pPr>
            <w:spacing w:before="60" w:after="60"/>
            <w:rPr>
              <w:szCs w:val="21"/>
            </w:rPr>
          </w:pPr>
          <w:r>
            <w:rPr>
              <w:rFonts w:hint="eastAsia"/>
              <w:szCs w:val="21"/>
            </w:rPr>
            <w:t>其他说明：</w:t>
          </w:r>
        </w:p>
        <w:sdt>
          <w:sdtPr>
            <w:rPr>
              <w:szCs w:val="21"/>
            </w:rPr>
            <w:alias w:val="是否适用：递延收益的其他说明[双击切换]"/>
            <w:tag w:val="_GBC_da5e8f76ba934c9e8efb4ab4d41c9f8c"/>
            <w:id w:val="27074872"/>
            <w:lock w:val="sdtContentLocked"/>
            <w:placeholder>
              <w:docPart w:val="GBC22222222222222222222222222222"/>
            </w:placeholder>
          </w:sdtPr>
          <w:sdtEndPr/>
          <w:sdtContent>
            <w:p w14:paraId="1C6581CD" w14:textId="77777777" w:rsidR="00830E72" w:rsidRDefault="008344D8">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81"/>
    <w:bookmarkEnd w:id="180"/>
    <w:p w14:paraId="7D314D71" w14:textId="77777777" w:rsidR="00830E72" w:rsidRDefault="00830E72">
      <w:pPr>
        <w:snapToGrid w:val="0"/>
        <w:spacing w:line="240" w:lineRule="atLeast"/>
        <w:rPr>
          <w:szCs w:val="21"/>
        </w:rPr>
      </w:pPr>
    </w:p>
    <w:bookmarkStart w:id="182" w:name="_Hlk10537430" w:displacedByCustomXml="next"/>
    <w:sdt>
      <w:sdtPr>
        <w:rPr>
          <w:rFonts w:ascii="宋体" w:hAnsi="宋体" w:cs="宋体" w:hint="eastAsia"/>
          <w:b w:val="0"/>
          <w:bCs w:val="0"/>
          <w:kern w:val="0"/>
          <w:szCs w:val="21"/>
        </w:rPr>
        <w:alias w:val="模块:其他非流动负债"/>
        <w:tag w:val="_GBC_ebdcd37ba77540d78079b1e51c20b6ce"/>
        <w:id w:val="-1856645948"/>
        <w:lock w:val="sdtLocked"/>
        <w:placeholder>
          <w:docPart w:val="GBC22222222222222222222222222222"/>
        </w:placeholder>
      </w:sdtPr>
      <w:sdtEndPr>
        <w:rPr>
          <w:rFonts w:cstheme="minorBidi" w:hint="default"/>
          <w:color w:val="000000" w:themeColor="text1"/>
          <w:kern w:val="2"/>
        </w:rPr>
      </w:sdtEndPr>
      <w:sdtContent>
        <w:p w14:paraId="6774DC30"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bb8a5c7236564ec0823cbced5ea78e62"/>
            <w:id w:val="1445653124"/>
            <w:lock w:val="sdtContentLocked"/>
            <w:placeholder>
              <w:docPart w:val="GBC22222222222222222222222222222"/>
            </w:placeholder>
          </w:sdtPr>
          <w:sdtEndPr/>
          <w:sdtContent>
            <w:p w14:paraId="09300C43"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3530C42" w14:textId="77777777" w:rsidR="00830E72" w:rsidRDefault="008344D8">
          <w:pPr>
            <w:jc w:val="right"/>
            <w:rPr>
              <w:szCs w:val="21"/>
            </w:rPr>
          </w:pPr>
          <w:r>
            <w:rPr>
              <w:rFonts w:hint="eastAsia"/>
              <w:szCs w:val="21"/>
            </w:rPr>
            <w:t>单位：</w:t>
          </w:r>
          <w:sdt>
            <w:sdtPr>
              <w:rPr>
                <w:rFonts w:hint="eastAsia"/>
                <w:szCs w:val="21"/>
              </w:rPr>
              <w:alias w:val="单位：财务附注：其他非流动负债"/>
              <w:tag w:val="_GBC_56e598e0f2684388ba1e16051e8df70a"/>
              <w:id w:val="-153893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非流动负债"/>
              <w:tag w:val="_GBC_ae4dfd619eb84b209c018d043a83dfcf"/>
              <w:id w:val="-13592709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897"/>
            <w:gridCol w:w="2896"/>
          </w:tblGrid>
          <w:tr w:rsidR="00830E72" w14:paraId="61773389" w14:textId="77777777">
            <w:trPr>
              <w:jc w:val="center"/>
            </w:trPr>
            <w:sdt>
              <w:sdtPr>
                <w:tag w:val="_PLD_a28f7f3041514231843ad3ee7ffea03b"/>
                <w:id w:val="904261883"/>
                <w:lock w:val="sdtLocked"/>
              </w:sdtPr>
              <w:sdtEndPr/>
              <w:sdtContent>
                <w:tc>
                  <w:tcPr>
                    <w:tcW w:w="1799" w:type="pct"/>
                    <w:tcBorders>
                      <w:top w:val="single" w:sz="4" w:space="0" w:color="auto"/>
                      <w:left w:val="single" w:sz="4" w:space="0" w:color="auto"/>
                      <w:bottom w:val="single" w:sz="4" w:space="0" w:color="auto"/>
                      <w:right w:val="single" w:sz="4" w:space="0" w:color="auto"/>
                    </w:tcBorders>
                    <w:vAlign w:val="bottom"/>
                  </w:tcPr>
                  <w:p w14:paraId="7409F001" w14:textId="77777777" w:rsidR="00830E72" w:rsidRDefault="008344D8">
                    <w:pPr>
                      <w:jc w:val="center"/>
                      <w:rPr>
                        <w:szCs w:val="21"/>
                      </w:rPr>
                    </w:pPr>
                    <w:r>
                      <w:rPr>
                        <w:rFonts w:hint="eastAsia"/>
                        <w:szCs w:val="21"/>
                      </w:rPr>
                      <w:t>项目</w:t>
                    </w:r>
                  </w:p>
                </w:tc>
              </w:sdtContent>
            </w:sdt>
            <w:sdt>
              <w:sdtPr>
                <w:tag w:val="_PLD_57665fafbbe043c5bf52499c94bca1a1"/>
                <w:id w:val="-1119296312"/>
                <w:lock w:val="sdtLocked"/>
              </w:sdtPr>
              <w:sdtEndPr/>
              <w:sdtContent>
                <w:tc>
                  <w:tcPr>
                    <w:tcW w:w="1601" w:type="pct"/>
                    <w:tcBorders>
                      <w:top w:val="single" w:sz="4" w:space="0" w:color="auto"/>
                      <w:left w:val="single" w:sz="4" w:space="0" w:color="auto"/>
                      <w:bottom w:val="single" w:sz="4" w:space="0" w:color="auto"/>
                      <w:right w:val="single" w:sz="4" w:space="0" w:color="auto"/>
                    </w:tcBorders>
                  </w:tcPr>
                  <w:p w14:paraId="3C4940C3" w14:textId="77777777" w:rsidR="00830E72" w:rsidRDefault="008344D8">
                    <w:pPr>
                      <w:jc w:val="center"/>
                      <w:rPr>
                        <w:szCs w:val="21"/>
                      </w:rPr>
                    </w:pPr>
                    <w:r>
                      <w:rPr>
                        <w:rFonts w:hint="eastAsia"/>
                        <w:szCs w:val="21"/>
                      </w:rPr>
                      <w:t>期末余额</w:t>
                    </w:r>
                  </w:p>
                </w:tc>
              </w:sdtContent>
            </w:sdt>
            <w:sdt>
              <w:sdtPr>
                <w:tag w:val="_PLD_dcebd4f9b4a649088465ddfef12fdcb8"/>
                <w:id w:val="-1961106603"/>
                <w:lock w:val="sdtLocked"/>
              </w:sdtPr>
              <w:sdtEndPr/>
              <w:sdtContent>
                <w:tc>
                  <w:tcPr>
                    <w:tcW w:w="1600" w:type="pct"/>
                    <w:tcBorders>
                      <w:top w:val="single" w:sz="4" w:space="0" w:color="auto"/>
                      <w:left w:val="single" w:sz="4" w:space="0" w:color="auto"/>
                      <w:bottom w:val="single" w:sz="4" w:space="0" w:color="auto"/>
                      <w:right w:val="single" w:sz="4" w:space="0" w:color="auto"/>
                    </w:tcBorders>
                  </w:tcPr>
                  <w:p w14:paraId="61464FFB" w14:textId="77777777" w:rsidR="00830E72" w:rsidRDefault="008344D8">
                    <w:pPr>
                      <w:jc w:val="center"/>
                      <w:rPr>
                        <w:szCs w:val="21"/>
                      </w:rPr>
                    </w:pPr>
                    <w:r>
                      <w:rPr>
                        <w:rFonts w:hint="eastAsia"/>
                        <w:szCs w:val="21"/>
                      </w:rPr>
                      <w:t>期初余额</w:t>
                    </w:r>
                  </w:p>
                </w:tc>
              </w:sdtContent>
            </w:sdt>
          </w:tr>
          <w:tr w:rsidR="00830E72" w14:paraId="4210DF75" w14:textId="77777777">
            <w:trPr>
              <w:jc w:val="center"/>
            </w:trPr>
            <w:sdt>
              <w:sdtPr>
                <w:tag w:val="_PLD_bb889565b63247f69d629f45f72434df"/>
                <w:id w:val="-1923323085"/>
                <w:lock w:val="sdtLocked"/>
              </w:sdtPr>
              <w:sdtEndPr/>
              <w:sdtContent>
                <w:tc>
                  <w:tcPr>
                    <w:tcW w:w="1799" w:type="pct"/>
                    <w:tcBorders>
                      <w:top w:val="single" w:sz="4" w:space="0" w:color="auto"/>
                      <w:left w:val="single" w:sz="4" w:space="0" w:color="auto"/>
                      <w:bottom w:val="single" w:sz="4" w:space="0" w:color="auto"/>
                      <w:right w:val="single" w:sz="4" w:space="0" w:color="auto"/>
                    </w:tcBorders>
                    <w:vAlign w:val="bottom"/>
                  </w:tcPr>
                  <w:p w14:paraId="3501096E" w14:textId="77777777" w:rsidR="00830E72" w:rsidRDefault="008344D8">
                    <w:r>
                      <w:rPr>
                        <w:rFonts w:hint="eastAsia"/>
                      </w:rPr>
                      <w:t>合同负债</w:t>
                    </w:r>
                  </w:p>
                </w:tc>
              </w:sdtContent>
            </w:sdt>
            <w:tc>
              <w:tcPr>
                <w:tcW w:w="1601" w:type="pct"/>
                <w:tcBorders>
                  <w:top w:val="single" w:sz="4" w:space="0" w:color="auto"/>
                  <w:left w:val="single" w:sz="4" w:space="0" w:color="auto"/>
                  <w:bottom w:val="single" w:sz="4" w:space="0" w:color="auto"/>
                  <w:right w:val="single" w:sz="4" w:space="0" w:color="auto"/>
                </w:tcBorders>
              </w:tcPr>
              <w:p w14:paraId="03D381B4" w14:textId="77777777" w:rsidR="00830E72" w:rsidRDefault="00830E72">
                <w:pPr>
                  <w:jc w:val="right"/>
                </w:pPr>
              </w:p>
            </w:tc>
            <w:tc>
              <w:tcPr>
                <w:tcW w:w="1600" w:type="pct"/>
                <w:tcBorders>
                  <w:top w:val="single" w:sz="4" w:space="0" w:color="auto"/>
                  <w:left w:val="single" w:sz="4" w:space="0" w:color="auto"/>
                  <w:bottom w:val="single" w:sz="4" w:space="0" w:color="auto"/>
                  <w:right w:val="single" w:sz="4" w:space="0" w:color="auto"/>
                </w:tcBorders>
              </w:tcPr>
              <w:p w14:paraId="64238777" w14:textId="77777777" w:rsidR="00830E72" w:rsidRDefault="00830E72">
                <w:pPr>
                  <w:jc w:val="right"/>
                </w:pPr>
              </w:p>
            </w:tc>
          </w:tr>
          <w:sdt>
            <w:sdtPr>
              <w:rPr>
                <w:rFonts w:hint="eastAsia"/>
                <w:szCs w:val="21"/>
              </w:rPr>
              <w:alias w:val="其他非流动负债明细"/>
              <w:tag w:val="_GBC_ff830f571df54af4807198be0e187a23"/>
              <w:id w:val="1103688264"/>
              <w:placeholder>
                <w:docPart w:val="GBC11111111111111111111111111111"/>
              </w:placeholder>
            </w:sdtPr>
            <w:sdtEndPr/>
            <w:sdtContent>
              <w:tr w:rsidR="00830E72" w14:paraId="319D4286" w14:textId="77777777">
                <w:trPr>
                  <w:jc w:val="center"/>
                </w:trPr>
                <w:tc>
                  <w:tcPr>
                    <w:tcW w:w="1799" w:type="pct"/>
                    <w:tcBorders>
                      <w:top w:val="single" w:sz="4" w:space="0" w:color="auto"/>
                      <w:left w:val="single" w:sz="4" w:space="0" w:color="auto"/>
                      <w:bottom w:val="single" w:sz="4" w:space="0" w:color="auto"/>
                      <w:right w:val="single" w:sz="4" w:space="0" w:color="auto"/>
                    </w:tcBorders>
                  </w:tcPr>
                  <w:p w14:paraId="1C5975AE" w14:textId="77777777" w:rsidR="00830E72" w:rsidRDefault="008344D8">
                    <w:pPr>
                      <w:rPr>
                        <w:szCs w:val="21"/>
                      </w:rPr>
                    </w:pPr>
                    <w:r>
                      <w:rPr>
                        <w:rFonts w:hint="eastAsia"/>
                        <w:szCs w:val="21"/>
                      </w:rPr>
                      <w:t>待转销项税额</w:t>
                    </w:r>
                  </w:p>
                </w:tc>
                <w:tc>
                  <w:tcPr>
                    <w:tcW w:w="1601" w:type="pct"/>
                    <w:tcBorders>
                      <w:top w:val="single" w:sz="4" w:space="0" w:color="auto"/>
                      <w:left w:val="single" w:sz="4" w:space="0" w:color="auto"/>
                      <w:bottom w:val="single" w:sz="4" w:space="0" w:color="auto"/>
                      <w:right w:val="single" w:sz="4" w:space="0" w:color="auto"/>
                    </w:tcBorders>
                  </w:tcPr>
                  <w:p w14:paraId="2F045673" w14:textId="77777777" w:rsidR="00830E72" w:rsidRDefault="008344D8">
                    <w:pPr>
                      <w:jc w:val="right"/>
                      <w:rPr>
                        <w:szCs w:val="21"/>
                      </w:rPr>
                    </w:pPr>
                    <w:r>
                      <w:rPr>
                        <w:szCs w:val="21"/>
                      </w:rPr>
                      <w:t>71,841,179.09</w:t>
                    </w:r>
                  </w:p>
                </w:tc>
                <w:tc>
                  <w:tcPr>
                    <w:tcW w:w="1600" w:type="pct"/>
                    <w:tcBorders>
                      <w:top w:val="single" w:sz="4" w:space="0" w:color="auto"/>
                      <w:left w:val="single" w:sz="4" w:space="0" w:color="auto"/>
                      <w:bottom w:val="single" w:sz="4" w:space="0" w:color="auto"/>
                      <w:right w:val="single" w:sz="4" w:space="0" w:color="auto"/>
                    </w:tcBorders>
                  </w:tcPr>
                  <w:p w14:paraId="54754322" w14:textId="77777777" w:rsidR="00830E72" w:rsidRDefault="008344D8">
                    <w:pPr>
                      <w:jc w:val="right"/>
                      <w:rPr>
                        <w:szCs w:val="21"/>
                      </w:rPr>
                    </w:pPr>
                    <w:r>
                      <w:rPr>
                        <w:szCs w:val="21"/>
                      </w:rPr>
                      <w:t>73,596,316.49</w:t>
                    </w:r>
                  </w:p>
                </w:tc>
              </w:tr>
            </w:sdtContent>
          </w:sdt>
          <w:tr w:rsidR="00830E72" w14:paraId="72E4E6DC" w14:textId="77777777">
            <w:trPr>
              <w:jc w:val="center"/>
            </w:trPr>
            <w:sdt>
              <w:sdtPr>
                <w:tag w:val="_PLD_04fbc805c16c4bee8284be6ff421cbe8"/>
                <w:id w:val="-1256817468"/>
                <w:lock w:val="sdtLocked"/>
              </w:sdtPr>
              <w:sdtEndPr/>
              <w:sdtContent>
                <w:tc>
                  <w:tcPr>
                    <w:tcW w:w="1799" w:type="pct"/>
                    <w:tcBorders>
                      <w:top w:val="single" w:sz="4" w:space="0" w:color="auto"/>
                      <w:left w:val="single" w:sz="4" w:space="0" w:color="auto"/>
                      <w:bottom w:val="single" w:sz="4" w:space="0" w:color="auto"/>
                      <w:right w:val="single" w:sz="4" w:space="0" w:color="auto"/>
                    </w:tcBorders>
                  </w:tcPr>
                  <w:p w14:paraId="790DD9FB" w14:textId="77777777" w:rsidR="00830E72" w:rsidRDefault="008344D8">
                    <w:pPr>
                      <w:jc w:val="center"/>
                      <w:rPr>
                        <w:color w:val="000000" w:themeColor="text1"/>
                        <w:szCs w:val="21"/>
                      </w:rPr>
                    </w:pPr>
                    <w:r>
                      <w:rPr>
                        <w:rFonts w:hint="eastAsia"/>
                        <w:color w:val="000000" w:themeColor="text1"/>
                        <w:szCs w:val="21"/>
                      </w:rPr>
                      <w:t>合计</w:t>
                    </w:r>
                  </w:p>
                </w:tc>
              </w:sdtContent>
            </w:sdt>
            <w:tc>
              <w:tcPr>
                <w:tcW w:w="1601" w:type="pct"/>
                <w:tcBorders>
                  <w:top w:val="single" w:sz="4" w:space="0" w:color="auto"/>
                  <w:left w:val="single" w:sz="4" w:space="0" w:color="auto"/>
                  <w:bottom w:val="single" w:sz="4" w:space="0" w:color="auto"/>
                  <w:right w:val="single" w:sz="4" w:space="0" w:color="auto"/>
                </w:tcBorders>
              </w:tcPr>
              <w:p w14:paraId="23706114" w14:textId="77777777" w:rsidR="00830E72" w:rsidRDefault="008344D8">
                <w:pPr>
                  <w:jc w:val="right"/>
                  <w:rPr>
                    <w:szCs w:val="21"/>
                  </w:rPr>
                </w:pPr>
                <w:r>
                  <w:rPr>
                    <w:szCs w:val="21"/>
                  </w:rPr>
                  <w:t>71,841,179.09</w:t>
                </w:r>
              </w:p>
            </w:tc>
            <w:tc>
              <w:tcPr>
                <w:tcW w:w="1600" w:type="pct"/>
                <w:tcBorders>
                  <w:top w:val="single" w:sz="4" w:space="0" w:color="auto"/>
                  <w:left w:val="single" w:sz="4" w:space="0" w:color="auto"/>
                  <w:bottom w:val="single" w:sz="4" w:space="0" w:color="auto"/>
                  <w:right w:val="single" w:sz="4" w:space="0" w:color="auto"/>
                </w:tcBorders>
              </w:tcPr>
              <w:p w14:paraId="29490F83" w14:textId="77777777" w:rsidR="00830E72" w:rsidRDefault="008344D8">
                <w:pPr>
                  <w:jc w:val="right"/>
                  <w:rPr>
                    <w:szCs w:val="21"/>
                  </w:rPr>
                </w:pPr>
                <w:r>
                  <w:rPr>
                    <w:szCs w:val="21"/>
                  </w:rPr>
                  <w:t>73,596,316.49</w:t>
                </w:r>
              </w:p>
            </w:tc>
          </w:tr>
        </w:tbl>
        <w:p w14:paraId="527970B2" w14:textId="77777777" w:rsidR="00830E72" w:rsidRDefault="00D44830">
          <w:pPr>
            <w:rPr>
              <w:szCs w:val="21"/>
            </w:rPr>
          </w:pPr>
        </w:p>
      </w:sdtContent>
    </w:sdt>
    <w:bookmarkEnd w:id="182"/>
    <w:p w14:paraId="17E5305D" w14:textId="77777777" w:rsidR="00830E72" w:rsidRDefault="00830E72">
      <w:pPr>
        <w:rPr>
          <w:szCs w:val="21"/>
        </w:rPr>
      </w:pPr>
    </w:p>
    <w:sdt>
      <w:sdtPr>
        <w:rPr>
          <w:rFonts w:ascii="宋体" w:hAnsi="宋体" w:cs="宋体" w:hint="eastAsia"/>
          <w:b w:val="0"/>
          <w:bCs w:val="0"/>
          <w:kern w:val="0"/>
          <w:szCs w:val="21"/>
        </w:rPr>
        <w:alias w:val="模块:股本"/>
        <w:tag w:val="_GBC_7f4b2f9bba854132af4bbd6504a10383"/>
        <w:id w:val="-1336067081"/>
        <w:lock w:val="sdtLocked"/>
        <w:placeholder>
          <w:docPart w:val="GBC22222222222222222222222222222"/>
        </w:placeholder>
      </w:sdtPr>
      <w:sdtEndPr>
        <w:rPr>
          <w:rFonts w:cstheme="minorBidi" w:hint="default"/>
          <w:color w:val="000000" w:themeColor="text1"/>
        </w:rPr>
      </w:sdtEndPr>
      <w:sdtContent>
        <w:p w14:paraId="4E7D0F24"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股本</w:t>
          </w:r>
        </w:p>
        <w:sdt>
          <w:sdtPr>
            <w:alias w:val="是否适用：股本[双击切换]"/>
            <w:tag w:val="_GBC_a88b08589cbb4302b29839808faa8a3b"/>
            <w:id w:val="-1507363245"/>
            <w:lock w:val="sdtContentLocked"/>
            <w:placeholder>
              <w:docPart w:val="GBC22222222222222222222222222222"/>
            </w:placeholder>
          </w:sdtPr>
          <w:sdtEndPr/>
          <w:sdtContent>
            <w:p w14:paraId="2EBAAA20"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A1D637E" w14:textId="77777777" w:rsidR="00830E72" w:rsidRDefault="008344D8">
          <w:pPr>
            <w:jc w:val="right"/>
            <w:rPr>
              <w:szCs w:val="21"/>
            </w:rPr>
          </w:pPr>
          <w:r>
            <w:rPr>
              <w:rFonts w:hint="eastAsia"/>
              <w:szCs w:val="21"/>
            </w:rPr>
            <w:t>单位：</w:t>
          </w:r>
          <w:sdt>
            <w:sdtPr>
              <w:rPr>
                <w:rFonts w:hint="eastAsia"/>
                <w:szCs w:val="21"/>
              </w:rPr>
              <w:alias w:val="单位：财务附注：股本"/>
              <w:tag w:val="_GBC_cf915ea45a234de2a2455824dedc3c82"/>
              <w:id w:val="4688727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股本"/>
              <w:tag w:val="_GBC_2dcc7ff328cf480296bdddce64b88cf1"/>
              <w:id w:val="-13174960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1687"/>
            <w:gridCol w:w="1687"/>
            <w:gridCol w:w="498"/>
            <w:gridCol w:w="686"/>
            <w:gridCol w:w="465"/>
            <w:gridCol w:w="1687"/>
            <w:gridCol w:w="1687"/>
          </w:tblGrid>
          <w:tr w:rsidR="00830E72" w14:paraId="1F492814" w14:textId="77777777">
            <w:trPr>
              <w:cantSplit/>
              <w:trHeight w:val="270"/>
            </w:trPr>
            <w:tc>
              <w:tcPr>
                <w:tcW w:w="361" w:type="pct"/>
                <w:vMerge w:val="restart"/>
                <w:tcBorders>
                  <w:top w:val="single" w:sz="4" w:space="0" w:color="auto"/>
                  <w:left w:val="single" w:sz="4" w:space="0" w:color="auto"/>
                  <w:bottom w:val="single" w:sz="4" w:space="0" w:color="auto"/>
                  <w:right w:val="single" w:sz="4" w:space="0" w:color="auto"/>
                </w:tcBorders>
              </w:tcPr>
              <w:p w14:paraId="647EB8C1" w14:textId="77777777" w:rsidR="00830E72" w:rsidRDefault="00830E72">
                <w:pPr>
                  <w:jc w:val="center"/>
                  <w:rPr>
                    <w:szCs w:val="21"/>
                  </w:rPr>
                </w:pPr>
              </w:p>
            </w:tc>
            <w:sdt>
              <w:sdtPr>
                <w:tag w:val="_PLD_7ad9a0911e364e48bc565dc3ed809692"/>
                <w:id w:val="-1742553273"/>
                <w:lock w:val="sdtLocked"/>
              </w:sdtPr>
              <w:sdtEndPr/>
              <w:sdtContent>
                <w:tc>
                  <w:tcPr>
                    <w:tcW w:w="932" w:type="pct"/>
                    <w:vMerge w:val="restart"/>
                    <w:tcBorders>
                      <w:top w:val="single" w:sz="4" w:space="0" w:color="auto"/>
                      <w:left w:val="single" w:sz="4" w:space="0" w:color="auto"/>
                      <w:right w:val="single" w:sz="4" w:space="0" w:color="auto"/>
                    </w:tcBorders>
                    <w:vAlign w:val="center"/>
                  </w:tcPr>
                  <w:p w14:paraId="6C82B81A" w14:textId="77777777" w:rsidR="00830E72" w:rsidRDefault="008344D8">
                    <w:pPr>
                      <w:jc w:val="center"/>
                      <w:rPr>
                        <w:szCs w:val="21"/>
                      </w:rPr>
                    </w:pPr>
                    <w:r>
                      <w:rPr>
                        <w:rFonts w:hint="eastAsia"/>
                        <w:szCs w:val="21"/>
                      </w:rPr>
                      <w:t>期初余额</w:t>
                    </w:r>
                  </w:p>
                </w:tc>
              </w:sdtContent>
            </w:sdt>
            <w:sdt>
              <w:sdtPr>
                <w:tag w:val="_PLD_33945fdb28e344edaa7d118a9aa07d7d"/>
                <w:id w:val="1317835855"/>
                <w:lock w:val="sdtLocked"/>
              </w:sdtPr>
              <w:sdtEndPr/>
              <w:sdtContent>
                <w:tc>
                  <w:tcPr>
                    <w:tcW w:w="2775" w:type="pct"/>
                    <w:gridSpan w:val="5"/>
                    <w:tcBorders>
                      <w:top w:val="single" w:sz="4" w:space="0" w:color="auto"/>
                      <w:left w:val="single" w:sz="4" w:space="0" w:color="auto"/>
                      <w:bottom w:val="single" w:sz="4" w:space="0" w:color="auto"/>
                      <w:right w:val="single" w:sz="4" w:space="0" w:color="auto"/>
                    </w:tcBorders>
                    <w:vAlign w:val="center"/>
                  </w:tcPr>
                  <w:p w14:paraId="6DDD9E2D" w14:textId="77777777" w:rsidR="00830E72" w:rsidRDefault="008344D8">
                    <w:pPr>
                      <w:jc w:val="center"/>
                      <w:rPr>
                        <w:szCs w:val="21"/>
                      </w:rPr>
                    </w:pPr>
                    <w:r>
                      <w:rPr>
                        <w:rFonts w:hint="eastAsia"/>
                        <w:szCs w:val="21"/>
                      </w:rPr>
                      <w:t>本次变动增减（+、一）</w:t>
                    </w:r>
                  </w:p>
                </w:tc>
              </w:sdtContent>
            </w:sdt>
            <w:sdt>
              <w:sdtPr>
                <w:tag w:val="_PLD_a0390714e323429ab6e793f9a610df70"/>
                <w:id w:val="-1971355388"/>
                <w:lock w:val="sdtLocked"/>
              </w:sdtPr>
              <w:sdtEndPr/>
              <w:sdtContent>
                <w:tc>
                  <w:tcPr>
                    <w:tcW w:w="932" w:type="pct"/>
                    <w:vMerge w:val="restart"/>
                    <w:tcBorders>
                      <w:top w:val="single" w:sz="4" w:space="0" w:color="auto"/>
                      <w:left w:val="single" w:sz="4" w:space="0" w:color="auto"/>
                      <w:right w:val="single" w:sz="4" w:space="0" w:color="auto"/>
                    </w:tcBorders>
                    <w:vAlign w:val="center"/>
                  </w:tcPr>
                  <w:p w14:paraId="6A0A115E" w14:textId="77777777" w:rsidR="00830E72" w:rsidRDefault="008344D8">
                    <w:pPr>
                      <w:jc w:val="center"/>
                      <w:rPr>
                        <w:szCs w:val="21"/>
                      </w:rPr>
                    </w:pPr>
                    <w:r>
                      <w:rPr>
                        <w:rFonts w:hint="eastAsia"/>
                        <w:szCs w:val="21"/>
                      </w:rPr>
                      <w:t>期末余额</w:t>
                    </w:r>
                  </w:p>
                </w:tc>
              </w:sdtContent>
            </w:sdt>
          </w:tr>
          <w:tr w:rsidR="00830E72" w14:paraId="0664FDE0" w14:textId="77777777">
            <w:trPr>
              <w:cantSplit/>
              <w:trHeight w:val="312"/>
            </w:trPr>
            <w:tc>
              <w:tcPr>
                <w:tcW w:w="361" w:type="pct"/>
                <w:vMerge/>
                <w:tcBorders>
                  <w:top w:val="single" w:sz="4" w:space="0" w:color="auto"/>
                  <w:left w:val="single" w:sz="4" w:space="0" w:color="auto"/>
                  <w:bottom w:val="single" w:sz="4" w:space="0" w:color="auto"/>
                  <w:right w:val="single" w:sz="4" w:space="0" w:color="auto"/>
                </w:tcBorders>
              </w:tcPr>
              <w:p w14:paraId="54935471" w14:textId="77777777" w:rsidR="00830E72" w:rsidRDefault="00830E72">
                <w:pPr>
                  <w:rPr>
                    <w:szCs w:val="21"/>
                  </w:rPr>
                </w:pPr>
              </w:p>
            </w:tc>
            <w:tc>
              <w:tcPr>
                <w:tcW w:w="932" w:type="pct"/>
                <w:vMerge/>
                <w:tcBorders>
                  <w:left w:val="single" w:sz="4" w:space="0" w:color="auto"/>
                  <w:bottom w:val="single" w:sz="4" w:space="0" w:color="auto"/>
                  <w:right w:val="single" w:sz="4" w:space="0" w:color="auto"/>
                </w:tcBorders>
              </w:tcPr>
              <w:p w14:paraId="331B5056" w14:textId="77777777" w:rsidR="00830E72" w:rsidRDefault="00830E72" w:rsidP="008344D8">
                <w:pPr>
                  <w:ind w:leftChars="-119" w:left="-250" w:firstLineChars="119" w:firstLine="250"/>
                  <w:rPr>
                    <w:szCs w:val="21"/>
                  </w:rPr>
                </w:pPr>
              </w:p>
            </w:tc>
            <w:sdt>
              <w:sdtPr>
                <w:tag w:val="_PLD_fe0b182c33854e5bb51d2d2a3cd1dd7f"/>
                <w:id w:val="-28723714"/>
                <w:lock w:val="sdtLocked"/>
              </w:sdtPr>
              <w:sdtEndPr/>
              <w:sdtContent>
                <w:tc>
                  <w:tcPr>
                    <w:tcW w:w="932" w:type="pct"/>
                    <w:tcBorders>
                      <w:top w:val="single" w:sz="4" w:space="0" w:color="auto"/>
                      <w:left w:val="single" w:sz="4" w:space="0" w:color="auto"/>
                      <w:bottom w:val="single" w:sz="4" w:space="0" w:color="auto"/>
                      <w:right w:val="single" w:sz="4" w:space="0" w:color="auto"/>
                    </w:tcBorders>
                    <w:vAlign w:val="center"/>
                  </w:tcPr>
                  <w:p w14:paraId="39E5D28D" w14:textId="77777777" w:rsidR="00830E72" w:rsidRDefault="008344D8">
                    <w:pPr>
                      <w:jc w:val="center"/>
                      <w:rPr>
                        <w:szCs w:val="21"/>
                      </w:rPr>
                    </w:pPr>
                    <w:r>
                      <w:rPr>
                        <w:rFonts w:hint="eastAsia"/>
                        <w:szCs w:val="21"/>
                      </w:rPr>
                      <w:t>发行</w:t>
                    </w:r>
                  </w:p>
                  <w:p w14:paraId="40CB46DC" w14:textId="77777777" w:rsidR="00830E72" w:rsidRDefault="008344D8">
                    <w:pPr>
                      <w:jc w:val="center"/>
                      <w:rPr>
                        <w:szCs w:val="21"/>
                      </w:rPr>
                    </w:pPr>
                    <w:r>
                      <w:rPr>
                        <w:rFonts w:hint="eastAsia"/>
                        <w:szCs w:val="21"/>
                      </w:rPr>
                      <w:t>新股</w:t>
                    </w:r>
                  </w:p>
                </w:tc>
              </w:sdtContent>
            </w:sdt>
            <w:sdt>
              <w:sdtPr>
                <w:tag w:val="_PLD_80e7c94a1831488d89d22be722443897"/>
                <w:id w:val="-1329290763"/>
                <w:lock w:val="sdtLocked"/>
              </w:sdtPr>
              <w:sdtEndPr/>
              <w:sdtContent>
                <w:tc>
                  <w:tcPr>
                    <w:tcW w:w="275" w:type="pct"/>
                    <w:tcBorders>
                      <w:top w:val="single" w:sz="4" w:space="0" w:color="auto"/>
                      <w:left w:val="single" w:sz="4" w:space="0" w:color="auto"/>
                      <w:bottom w:val="single" w:sz="4" w:space="0" w:color="auto"/>
                      <w:right w:val="single" w:sz="4" w:space="0" w:color="auto"/>
                    </w:tcBorders>
                    <w:vAlign w:val="center"/>
                  </w:tcPr>
                  <w:p w14:paraId="516A4561" w14:textId="77777777" w:rsidR="00830E72" w:rsidRDefault="008344D8">
                    <w:pPr>
                      <w:jc w:val="center"/>
                      <w:rPr>
                        <w:szCs w:val="21"/>
                      </w:rPr>
                    </w:pPr>
                    <w:r>
                      <w:rPr>
                        <w:rFonts w:hint="eastAsia"/>
                        <w:szCs w:val="21"/>
                      </w:rPr>
                      <w:t>送股</w:t>
                    </w:r>
                  </w:p>
                </w:tc>
              </w:sdtContent>
            </w:sdt>
            <w:sdt>
              <w:sdtPr>
                <w:tag w:val="_PLD_c1d7f04883eb4aaa9c52067f145ec081"/>
                <w:id w:val="-293525549"/>
                <w:lock w:val="sdtLocked"/>
              </w:sdtPr>
              <w:sdtEndPr/>
              <w:sdtContent>
                <w:tc>
                  <w:tcPr>
                    <w:tcW w:w="379" w:type="pct"/>
                    <w:tcBorders>
                      <w:top w:val="single" w:sz="4" w:space="0" w:color="auto"/>
                      <w:left w:val="single" w:sz="4" w:space="0" w:color="auto"/>
                      <w:bottom w:val="single" w:sz="4" w:space="0" w:color="auto"/>
                      <w:right w:val="single" w:sz="4" w:space="0" w:color="auto"/>
                    </w:tcBorders>
                    <w:vAlign w:val="center"/>
                  </w:tcPr>
                  <w:p w14:paraId="74F483CF" w14:textId="77777777" w:rsidR="00830E72" w:rsidRDefault="008344D8">
                    <w:pPr>
                      <w:jc w:val="center"/>
                      <w:rPr>
                        <w:szCs w:val="21"/>
                      </w:rPr>
                    </w:pPr>
                    <w:r>
                      <w:rPr>
                        <w:rFonts w:hint="eastAsia"/>
                        <w:szCs w:val="21"/>
                      </w:rPr>
                      <w:t>公积金</w:t>
                    </w:r>
                  </w:p>
                  <w:p w14:paraId="637199C7" w14:textId="77777777" w:rsidR="00830E72" w:rsidRDefault="008344D8">
                    <w:pPr>
                      <w:jc w:val="center"/>
                      <w:rPr>
                        <w:szCs w:val="21"/>
                      </w:rPr>
                    </w:pPr>
                    <w:r>
                      <w:rPr>
                        <w:rFonts w:hint="eastAsia"/>
                        <w:szCs w:val="21"/>
                      </w:rPr>
                      <w:t>转股</w:t>
                    </w:r>
                  </w:p>
                </w:tc>
              </w:sdtContent>
            </w:sdt>
            <w:sdt>
              <w:sdtPr>
                <w:tag w:val="_PLD_6e44c9cf090243e19b20f1e88e8231ef"/>
                <w:id w:val="104852695"/>
                <w:lock w:val="sdtLocked"/>
              </w:sdtPr>
              <w:sdtEndPr/>
              <w:sdtContent>
                <w:tc>
                  <w:tcPr>
                    <w:tcW w:w="257" w:type="pct"/>
                    <w:tcBorders>
                      <w:top w:val="single" w:sz="4" w:space="0" w:color="auto"/>
                      <w:left w:val="single" w:sz="4" w:space="0" w:color="auto"/>
                      <w:bottom w:val="single" w:sz="4" w:space="0" w:color="auto"/>
                      <w:right w:val="single" w:sz="4" w:space="0" w:color="auto"/>
                    </w:tcBorders>
                    <w:vAlign w:val="center"/>
                  </w:tcPr>
                  <w:p w14:paraId="1825519E" w14:textId="77777777" w:rsidR="00830E72" w:rsidRDefault="008344D8">
                    <w:pPr>
                      <w:jc w:val="center"/>
                      <w:rPr>
                        <w:szCs w:val="21"/>
                      </w:rPr>
                    </w:pPr>
                    <w:r>
                      <w:rPr>
                        <w:rFonts w:hint="eastAsia"/>
                        <w:szCs w:val="21"/>
                      </w:rPr>
                      <w:t>其他</w:t>
                    </w:r>
                  </w:p>
                </w:tc>
              </w:sdtContent>
            </w:sdt>
            <w:sdt>
              <w:sdtPr>
                <w:tag w:val="_PLD_0cee72421f954c94ba296c709c84ef52"/>
                <w:id w:val="-1683655247"/>
                <w:lock w:val="sdtLocked"/>
              </w:sdtPr>
              <w:sdtEndPr/>
              <w:sdtContent>
                <w:tc>
                  <w:tcPr>
                    <w:tcW w:w="932" w:type="pct"/>
                    <w:tcBorders>
                      <w:top w:val="single" w:sz="4" w:space="0" w:color="auto"/>
                      <w:left w:val="single" w:sz="4" w:space="0" w:color="auto"/>
                      <w:bottom w:val="single" w:sz="4" w:space="0" w:color="auto"/>
                      <w:right w:val="single" w:sz="4" w:space="0" w:color="auto"/>
                    </w:tcBorders>
                    <w:vAlign w:val="center"/>
                  </w:tcPr>
                  <w:p w14:paraId="6AB8EA92" w14:textId="77777777" w:rsidR="00830E72" w:rsidRDefault="008344D8">
                    <w:pPr>
                      <w:jc w:val="center"/>
                      <w:rPr>
                        <w:szCs w:val="21"/>
                      </w:rPr>
                    </w:pPr>
                    <w:r>
                      <w:rPr>
                        <w:rFonts w:hint="eastAsia"/>
                        <w:szCs w:val="21"/>
                      </w:rPr>
                      <w:t>小计</w:t>
                    </w:r>
                  </w:p>
                </w:tc>
              </w:sdtContent>
            </w:sdt>
            <w:tc>
              <w:tcPr>
                <w:tcW w:w="932" w:type="pct"/>
                <w:vMerge/>
                <w:tcBorders>
                  <w:left w:val="single" w:sz="4" w:space="0" w:color="auto"/>
                  <w:bottom w:val="single" w:sz="4" w:space="0" w:color="auto"/>
                  <w:right w:val="single" w:sz="4" w:space="0" w:color="auto"/>
                </w:tcBorders>
              </w:tcPr>
              <w:p w14:paraId="530BCA84" w14:textId="77777777" w:rsidR="00830E72" w:rsidRDefault="00830E72">
                <w:pPr>
                  <w:rPr>
                    <w:szCs w:val="21"/>
                  </w:rPr>
                </w:pPr>
              </w:p>
            </w:tc>
          </w:tr>
          <w:tr w:rsidR="00830E72" w14:paraId="5A9C0C92" w14:textId="77777777">
            <w:trPr>
              <w:cantSplit/>
            </w:trPr>
            <w:sdt>
              <w:sdtPr>
                <w:tag w:val="_PLD_0c4dca616a0e4126a03d9e8b2ef3c6bc"/>
                <w:id w:val="-702865000"/>
                <w:lock w:val="sdtLocked"/>
              </w:sdtPr>
              <w:sdtEndPr/>
              <w:sdtContent>
                <w:tc>
                  <w:tcPr>
                    <w:tcW w:w="361" w:type="pct"/>
                    <w:tcBorders>
                      <w:top w:val="single" w:sz="4" w:space="0" w:color="auto"/>
                      <w:left w:val="single" w:sz="4" w:space="0" w:color="auto"/>
                      <w:bottom w:val="single" w:sz="4" w:space="0" w:color="auto"/>
                      <w:right w:val="single" w:sz="4" w:space="0" w:color="auto"/>
                    </w:tcBorders>
                  </w:tcPr>
                  <w:p w14:paraId="6B6C3EA2" w14:textId="77777777" w:rsidR="00830E72" w:rsidRDefault="008344D8">
                    <w:pPr>
                      <w:jc w:val="center"/>
                      <w:rPr>
                        <w:szCs w:val="21"/>
                      </w:rPr>
                    </w:pPr>
                    <w:r>
                      <w:rPr>
                        <w:rFonts w:hint="eastAsia"/>
                        <w:szCs w:val="21"/>
                      </w:rPr>
                      <w:t>股份总数</w:t>
                    </w:r>
                  </w:p>
                </w:tc>
              </w:sdtContent>
            </w:sdt>
            <w:tc>
              <w:tcPr>
                <w:tcW w:w="932" w:type="pct"/>
                <w:tcBorders>
                  <w:top w:val="single" w:sz="4" w:space="0" w:color="auto"/>
                  <w:left w:val="single" w:sz="4" w:space="0" w:color="auto"/>
                  <w:bottom w:val="single" w:sz="4" w:space="0" w:color="auto"/>
                  <w:right w:val="single" w:sz="4" w:space="0" w:color="auto"/>
                </w:tcBorders>
              </w:tcPr>
              <w:p w14:paraId="32ABB8E6" w14:textId="77777777" w:rsidR="00830E72" w:rsidRDefault="008344D8">
                <w:pPr>
                  <w:jc w:val="right"/>
                  <w:rPr>
                    <w:szCs w:val="21"/>
                  </w:rPr>
                </w:pPr>
                <w:r>
                  <w:rPr>
                    <w:szCs w:val="21"/>
                  </w:rPr>
                  <w:t>499,000,000.00</w:t>
                </w:r>
              </w:p>
            </w:tc>
            <w:tc>
              <w:tcPr>
                <w:tcW w:w="932" w:type="pct"/>
                <w:tcBorders>
                  <w:top w:val="single" w:sz="4" w:space="0" w:color="auto"/>
                  <w:left w:val="single" w:sz="4" w:space="0" w:color="auto"/>
                  <w:bottom w:val="single" w:sz="4" w:space="0" w:color="auto"/>
                  <w:right w:val="single" w:sz="4" w:space="0" w:color="auto"/>
                </w:tcBorders>
              </w:tcPr>
              <w:p w14:paraId="00E126B3" w14:textId="77777777" w:rsidR="00830E72" w:rsidRDefault="008344D8">
                <w:pPr>
                  <w:jc w:val="right"/>
                  <w:rPr>
                    <w:szCs w:val="21"/>
                  </w:rPr>
                </w:pPr>
                <w:r>
                  <w:rPr>
                    <w:szCs w:val="21"/>
                  </w:rPr>
                  <w:t>119,924,235.00</w:t>
                </w:r>
              </w:p>
            </w:tc>
            <w:tc>
              <w:tcPr>
                <w:tcW w:w="275" w:type="pct"/>
                <w:tcBorders>
                  <w:top w:val="single" w:sz="4" w:space="0" w:color="auto"/>
                  <w:left w:val="single" w:sz="4" w:space="0" w:color="auto"/>
                  <w:bottom w:val="single" w:sz="4" w:space="0" w:color="auto"/>
                  <w:right w:val="single" w:sz="4" w:space="0" w:color="auto"/>
                </w:tcBorders>
              </w:tcPr>
              <w:p w14:paraId="58965E05" w14:textId="77777777" w:rsidR="00830E72" w:rsidRDefault="00830E72">
                <w:pPr>
                  <w:jc w:val="right"/>
                  <w:rPr>
                    <w:szCs w:val="21"/>
                  </w:rPr>
                </w:pPr>
              </w:p>
            </w:tc>
            <w:tc>
              <w:tcPr>
                <w:tcW w:w="379" w:type="pct"/>
                <w:tcBorders>
                  <w:top w:val="single" w:sz="4" w:space="0" w:color="auto"/>
                  <w:left w:val="single" w:sz="4" w:space="0" w:color="auto"/>
                  <w:bottom w:val="single" w:sz="4" w:space="0" w:color="auto"/>
                  <w:right w:val="single" w:sz="4" w:space="0" w:color="auto"/>
                </w:tcBorders>
              </w:tcPr>
              <w:p w14:paraId="1BA1BA1D" w14:textId="77777777" w:rsidR="00830E72" w:rsidRDefault="00830E72">
                <w:pPr>
                  <w:jc w:val="right"/>
                  <w:rPr>
                    <w:szCs w:val="21"/>
                  </w:rPr>
                </w:pPr>
              </w:p>
            </w:tc>
            <w:tc>
              <w:tcPr>
                <w:tcW w:w="257" w:type="pct"/>
                <w:tcBorders>
                  <w:top w:val="single" w:sz="4" w:space="0" w:color="auto"/>
                  <w:left w:val="single" w:sz="4" w:space="0" w:color="auto"/>
                  <w:bottom w:val="single" w:sz="4" w:space="0" w:color="auto"/>
                  <w:right w:val="single" w:sz="4" w:space="0" w:color="auto"/>
                </w:tcBorders>
              </w:tcPr>
              <w:p w14:paraId="266DB6BD" w14:textId="77777777" w:rsidR="00830E72" w:rsidRDefault="00830E72">
                <w:pPr>
                  <w:jc w:val="right"/>
                  <w:rPr>
                    <w:szCs w:val="21"/>
                  </w:rPr>
                </w:pPr>
              </w:p>
            </w:tc>
            <w:tc>
              <w:tcPr>
                <w:tcW w:w="932" w:type="pct"/>
                <w:tcBorders>
                  <w:top w:val="single" w:sz="4" w:space="0" w:color="auto"/>
                  <w:left w:val="single" w:sz="4" w:space="0" w:color="auto"/>
                  <w:bottom w:val="single" w:sz="4" w:space="0" w:color="auto"/>
                  <w:right w:val="single" w:sz="4" w:space="0" w:color="auto"/>
                </w:tcBorders>
              </w:tcPr>
              <w:p w14:paraId="5A084015" w14:textId="77777777" w:rsidR="00830E72" w:rsidRDefault="008344D8">
                <w:pPr>
                  <w:jc w:val="right"/>
                  <w:rPr>
                    <w:szCs w:val="21"/>
                  </w:rPr>
                </w:pPr>
                <w:r>
                  <w:rPr>
                    <w:szCs w:val="21"/>
                  </w:rPr>
                  <w:t>119,924,235.00</w:t>
                </w:r>
              </w:p>
            </w:tc>
            <w:tc>
              <w:tcPr>
                <w:tcW w:w="932" w:type="pct"/>
                <w:tcBorders>
                  <w:top w:val="single" w:sz="4" w:space="0" w:color="auto"/>
                  <w:left w:val="single" w:sz="4" w:space="0" w:color="auto"/>
                  <w:bottom w:val="single" w:sz="4" w:space="0" w:color="auto"/>
                  <w:right w:val="single" w:sz="4" w:space="0" w:color="auto"/>
                </w:tcBorders>
              </w:tcPr>
              <w:p w14:paraId="098F5427" w14:textId="77777777" w:rsidR="00830E72" w:rsidRDefault="008344D8">
                <w:pPr>
                  <w:jc w:val="right"/>
                  <w:rPr>
                    <w:szCs w:val="21"/>
                  </w:rPr>
                </w:pPr>
                <w:r>
                  <w:rPr>
                    <w:szCs w:val="21"/>
                  </w:rPr>
                  <w:t>618,924,235.00</w:t>
                </w:r>
              </w:p>
            </w:tc>
          </w:tr>
        </w:tbl>
        <w:p w14:paraId="2F9B23EB" w14:textId="77777777" w:rsidR="00830E72" w:rsidRDefault="008344D8">
          <w:pPr>
            <w:spacing w:before="60" w:after="60"/>
            <w:rPr>
              <w:szCs w:val="21"/>
            </w:rPr>
          </w:pPr>
          <w:r>
            <w:rPr>
              <w:rFonts w:hint="eastAsia"/>
              <w:szCs w:val="21"/>
            </w:rPr>
            <w:t>其他说明：</w:t>
          </w:r>
        </w:p>
        <w:sdt>
          <w:sdtPr>
            <w:rPr>
              <w:szCs w:val="21"/>
            </w:rPr>
            <w:alias w:val="股本变动情况说明"/>
            <w:tag w:val="_GBC_752687f835754470ad7a125ef32391e4"/>
            <w:id w:val="1526600158"/>
            <w:lock w:val="sdtLocked"/>
            <w:placeholder>
              <w:docPart w:val="GBC22222222222222222222222222222"/>
            </w:placeholder>
          </w:sdtPr>
          <w:sdtEndPr/>
          <w:sdtContent>
            <w:p w14:paraId="6DBDB0E8" w14:textId="77777777" w:rsidR="00830E72" w:rsidRDefault="008344D8">
              <w:pPr>
                <w:ind w:firstLineChars="200" w:firstLine="420"/>
                <w:rPr>
                  <w:szCs w:val="21"/>
                </w:rPr>
              </w:pPr>
              <w:r>
                <w:rPr>
                  <w:rFonts w:hint="eastAsia"/>
                  <w:szCs w:val="21"/>
                </w:rPr>
                <w:t>经中国证券监督管理委员会《关于核准安徽省交通建设股份有限公司非公开发行股票的批复》（证监许可〔</w:t>
              </w:r>
              <w:r>
                <w:rPr>
                  <w:szCs w:val="21"/>
                </w:rPr>
                <w:t>2021〕18号）核准，公司非公开发行股票数量119,924,235股，发行后公司总股本为618,924,235股。本次发行新增股份已于2021年7月5日在中国证券登记结算有限责任公司上海分公司办理完毕登记托管相关事宜。</w:t>
              </w:r>
            </w:p>
          </w:sdtContent>
        </w:sdt>
      </w:sdtContent>
    </w:sdt>
    <w:p w14:paraId="21389983" w14:textId="77777777" w:rsidR="00830E72" w:rsidRDefault="00830E72">
      <w:pPr>
        <w:rPr>
          <w:szCs w:val="21"/>
        </w:rPr>
      </w:pPr>
    </w:p>
    <w:p w14:paraId="1365F95B" w14:textId="77777777" w:rsidR="00830E72" w:rsidRDefault="008344D8">
      <w:pPr>
        <w:pStyle w:val="Style99"/>
        <w:numPr>
          <w:ilvl w:val="0"/>
          <w:numId w:val="45"/>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GBC_4f862512b6914630932c1857df6db6e4"/>
        <w:id w:val="-1318636720"/>
        <w:lock w:val="sdtLocked"/>
        <w:placeholder>
          <w:docPart w:val="GBC22222222222222222222222222222"/>
        </w:placeholder>
      </w:sdtPr>
      <w:sdtEndPr>
        <w:rPr>
          <w:szCs w:val="21"/>
        </w:rPr>
      </w:sdtEndPr>
      <w:sdtContent>
        <w:p w14:paraId="4A1BC577" w14:textId="77777777" w:rsidR="00830E72" w:rsidRDefault="008344D8">
          <w:pPr>
            <w:pStyle w:val="Style100"/>
            <w:numPr>
              <w:ilvl w:val="0"/>
              <w:numId w:val="72"/>
            </w:numPr>
            <w:rPr>
              <w:rFonts w:ascii="宋体" w:hAnsi="宋体"/>
            </w:rPr>
          </w:pPr>
          <w:r>
            <w:rPr>
              <w:rFonts w:ascii="宋体" w:hAnsi="宋体" w:hint="eastAsia"/>
            </w:rPr>
            <w:t>期末发行在外的优先股、永续债等其他金融工具基本情况</w:t>
          </w:r>
        </w:p>
        <w:sdt>
          <w:sdtPr>
            <w:alias w:val="是否适用：期末发行在外的优先股、永续债等其他金融工具基本情况[双击切换]"/>
            <w:tag w:val="_GBC_54d54ac45fe745e1aad9be61a846261f"/>
            <w:id w:val="1743052886"/>
            <w:lock w:val="sdtContentLocked"/>
            <w:placeholder>
              <w:docPart w:val="GBC22222222222222222222222222222"/>
            </w:placeholder>
          </w:sdtPr>
          <w:sdtEndPr/>
          <w:sdtContent>
            <w:p w14:paraId="267342EB"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EDAFF4C" w14:textId="77777777" w:rsidR="00830E72" w:rsidRDefault="00830E72"/>
        <w:p w14:paraId="2280DCDB" w14:textId="77777777" w:rsidR="00830E72" w:rsidRDefault="008344D8">
          <w:pPr>
            <w:pStyle w:val="Style100"/>
            <w:numPr>
              <w:ilvl w:val="0"/>
              <w:numId w:val="72"/>
            </w:numPr>
            <w:rPr>
              <w:rFonts w:ascii="宋体" w:hAnsi="宋体"/>
              <w:szCs w:val="21"/>
            </w:rPr>
          </w:pPr>
          <w:r>
            <w:rPr>
              <w:rFonts w:ascii="宋体" w:hAnsi="宋体" w:hint="eastAsia"/>
              <w:szCs w:val="21"/>
            </w:rPr>
            <w:t>期末</w:t>
          </w:r>
          <w:r>
            <w:rPr>
              <w:rFonts w:ascii="宋体" w:hAnsi="宋体" w:hint="eastAsia"/>
            </w:rPr>
            <w:t>发行</w:t>
          </w:r>
          <w:r>
            <w:rPr>
              <w:rFonts w:ascii="宋体" w:hAnsi="宋体" w:hint="eastAsia"/>
              <w:szCs w:val="21"/>
            </w:rPr>
            <w:t>在外的优先股、永续债等金融工具变动情况表</w:t>
          </w:r>
        </w:p>
        <w:sdt>
          <w:sdtPr>
            <w:alias w:val="是否适用：期末发行在外的优先股、永续债等金融工具变动情况表_其他权益工具[双击切换]"/>
            <w:tag w:val="_GBC_e8c53693e19e485cba80f7cd2a15ab4c"/>
            <w:id w:val="763965291"/>
            <w:lock w:val="sdtContentLocked"/>
            <w:placeholder>
              <w:docPart w:val="GBC22222222222222222222222222222"/>
            </w:placeholder>
          </w:sdtPr>
          <w:sdtEndPr/>
          <w:sdtContent>
            <w:p w14:paraId="44A573A8"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A52D36B" w14:textId="77777777" w:rsidR="00830E72" w:rsidRDefault="008344D8">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6229f0070f0a4c838e1e39f678f8a7bb"/>
            <w:id w:val="-1757125944"/>
            <w:lock w:val="sdtContentLocked"/>
            <w:placeholder>
              <w:docPart w:val="GBC22222222222222222222222222222"/>
            </w:placeholder>
          </w:sdtPr>
          <w:sdtEndPr/>
          <w:sdtContent>
            <w:p w14:paraId="76856C1C"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7916FDF" w14:textId="77777777" w:rsidR="00830E72" w:rsidRDefault="008344D8">
          <w:pPr>
            <w:rPr>
              <w:szCs w:val="21"/>
            </w:rPr>
          </w:pPr>
          <w:r>
            <w:rPr>
              <w:rFonts w:hint="eastAsia"/>
              <w:szCs w:val="21"/>
            </w:rPr>
            <w:t>其他说明：</w:t>
          </w:r>
        </w:p>
        <w:sdt>
          <w:sdtPr>
            <w:rPr>
              <w:szCs w:val="21"/>
            </w:rPr>
            <w:alias w:val="是否适用：其他权益工具的其他说明[双击切换]"/>
            <w:tag w:val="_GBC_297d299126b041159b18d012f9a18c2e"/>
            <w:id w:val="1557899137"/>
            <w:lock w:val="sdtContentLocked"/>
            <w:placeholder>
              <w:docPart w:val="GBC22222222222222222222222222222"/>
            </w:placeholder>
          </w:sdtPr>
          <w:sdtEndPr/>
          <w:sdtContent>
            <w:p w14:paraId="217DA80A"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CA43C01" w14:textId="77777777" w:rsidR="00830E72" w:rsidRDefault="00D44830">
          <w:pPr>
            <w:rPr>
              <w:szCs w:val="21"/>
            </w:rPr>
          </w:pPr>
        </w:p>
      </w:sdtContent>
    </w:sdt>
    <w:sdt>
      <w:sdtPr>
        <w:rPr>
          <w:rFonts w:ascii="宋体" w:hAnsi="宋体" w:cs="宋体" w:hint="eastAsia"/>
          <w:b w:val="0"/>
          <w:bCs w:val="0"/>
          <w:kern w:val="0"/>
          <w:szCs w:val="21"/>
        </w:rPr>
        <w:alias w:val="模块:资本公积"/>
        <w:tag w:val="_GBC_23fef1c643714b9f82710e33a1bef935"/>
        <w:id w:val="274833568"/>
        <w:lock w:val="sdtLocked"/>
        <w:placeholder>
          <w:docPart w:val="GBC22222222222222222222222222222"/>
        </w:placeholder>
      </w:sdtPr>
      <w:sdtEndPr>
        <w:rPr>
          <w:rFonts w:cstheme="minorBidi" w:hint="default"/>
          <w:color w:val="000000" w:themeColor="text1"/>
          <w:kern w:val="2"/>
        </w:rPr>
      </w:sdtEndPr>
      <w:sdtContent>
        <w:p w14:paraId="739EF14A"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资本公积</w:t>
          </w:r>
        </w:p>
        <w:sdt>
          <w:sdtPr>
            <w:alias w:val="是否适用：资本公积[双击切换]"/>
            <w:tag w:val="_GBC_70f32b67ce344a03adfc93d4ed72949a"/>
            <w:id w:val="1061760871"/>
            <w:lock w:val="sdtContentLocked"/>
            <w:placeholder>
              <w:docPart w:val="GBC22222222222222222222222222222"/>
            </w:placeholder>
          </w:sdtPr>
          <w:sdtEndPr/>
          <w:sdtContent>
            <w:p w14:paraId="339B98B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33DC565" w14:textId="77777777" w:rsidR="00830E72" w:rsidRDefault="008344D8">
          <w:pPr>
            <w:jc w:val="right"/>
            <w:rPr>
              <w:szCs w:val="21"/>
            </w:rPr>
          </w:pPr>
          <w:r>
            <w:rPr>
              <w:rFonts w:hint="eastAsia"/>
              <w:szCs w:val="21"/>
            </w:rPr>
            <w:t>单位：</w:t>
          </w:r>
          <w:sdt>
            <w:sdtPr>
              <w:rPr>
                <w:rFonts w:hint="eastAsia"/>
                <w:szCs w:val="21"/>
              </w:rPr>
              <w:alias w:val="单位：财务附注：资本公积"/>
              <w:tag w:val="_GBC_88633009fdc64f4e8238c38541b33615"/>
              <w:id w:val="16798503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36aa96d47cb426abc64fc00b61c9353"/>
              <w:id w:val="234440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157"/>
            <w:gridCol w:w="1983"/>
            <w:gridCol w:w="1560"/>
            <w:gridCol w:w="1389"/>
            <w:gridCol w:w="1804"/>
          </w:tblGrid>
          <w:tr w:rsidR="00830E72" w14:paraId="255F2FCB" w14:textId="77777777">
            <w:sdt>
              <w:sdtPr>
                <w:tag w:val="_PLD_177c011500e64862903c4c16dbb2f31f"/>
                <w:id w:val="-409084089"/>
                <w:lock w:val="sdtLocked"/>
              </w:sdtPr>
              <w:sdtEndPr/>
              <w:sdtContent>
                <w:tc>
                  <w:tcPr>
                    <w:tcW w:w="1213" w:type="pct"/>
                    <w:vAlign w:val="center"/>
                  </w:tcPr>
                  <w:p w14:paraId="23CAA0A4" w14:textId="77777777" w:rsidR="00830E72" w:rsidRDefault="008344D8">
                    <w:pPr>
                      <w:autoSpaceDE w:val="0"/>
                      <w:autoSpaceDN w:val="0"/>
                      <w:adjustRightInd w:val="0"/>
                      <w:snapToGrid w:val="0"/>
                      <w:jc w:val="center"/>
                      <w:rPr>
                        <w:szCs w:val="21"/>
                      </w:rPr>
                    </w:pPr>
                    <w:r>
                      <w:rPr>
                        <w:rFonts w:hint="eastAsia"/>
                        <w:szCs w:val="21"/>
                      </w:rPr>
                      <w:t>项目</w:t>
                    </w:r>
                  </w:p>
                </w:tc>
              </w:sdtContent>
            </w:sdt>
            <w:sdt>
              <w:sdtPr>
                <w:tag w:val="_PLD_1519f0add67f49df9173f37c00215eef"/>
                <w:id w:val="-1971737407"/>
                <w:lock w:val="sdtLocked"/>
              </w:sdtPr>
              <w:sdtEndPr/>
              <w:sdtContent>
                <w:tc>
                  <w:tcPr>
                    <w:tcW w:w="1115" w:type="pct"/>
                    <w:vAlign w:val="center"/>
                  </w:tcPr>
                  <w:p w14:paraId="2F816B40" w14:textId="77777777" w:rsidR="00830E72" w:rsidRDefault="008344D8">
                    <w:pPr>
                      <w:autoSpaceDE w:val="0"/>
                      <w:autoSpaceDN w:val="0"/>
                      <w:adjustRightInd w:val="0"/>
                      <w:snapToGrid w:val="0"/>
                      <w:jc w:val="center"/>
                      <w:rPr>
                        <w:szCs w:val="21"/>
                      </w:rPr>
                    </w:pPr>
                    <w:r>
                      <w:rPr>
                        <w:rFonts w:hint="eastAsia"/>
                        <w:szCs w:val="21"/>
                      </w:rPr>
                      <w:t>期初余额</w:t>
                    </w:r>
                  </w:p>
                </w:tc>
              </w:sdtContent>
            </w:sdt>
            <w:sdt>
              <w:sdtPr>
                <w:tag w:val="_PLD_dcbf1fd9bcaa41fc8ff4def2d0e55143"/>
                <w:id w:val="1177848782"/>
                <w:lock w:val="sdtLocked"/>
              </w:sdtPr>
              <w:sdtEndPr/>
              <w:sdtContent>
                <w:tc>
                  <w:tcPr>
                    <w:tcW w:w="877" w:type="pct"/>
                    <w:vAlign w:val="center"/>
                  </w:tcPr>
                  <w:p w14:paraId="12FC4E85" w14:textId="77777777" w:rsidR="00830E72" w:rsidRDefault="008344D8">
                    <w:pPr>
                      <w:autoSpaceDE w:val="0"/>
                      <w:autoSpaceDN w:val="0"/>
                      <w:adjustRightInd w:val="0"/>
                      <w:snapToGrid w:val="0"/>
                      <w:jc w:val="center"/>
                      <w:rPr>
                        <w:szCs w:val="21"/>
                      </w:rPr>
                    </w:pPr>
                    <w:r>
                      <w:rPr>
                        <w:rFonts w:hint="eastAsia"/>
                        <w:szCs w:val="21"/>
                      </w:rPr>
                      <w:t>本期增加</w:t>
                    </w:r>
                  </w:p>
                </w:tc>
              </w:sdtContent>
            </w:sdt>
            <w:sdt>
              <w:sdtPr>
                <w:tag w:val="_PLD_9d88d0ce99474d389c660c414306497d"/>
                <w:id w:val="-238248637"/>
                <w:lock w:val="sdtLocked"/>
              </w:sdtPr>
              <w:sdtEndPr/>
              <w:sdtContent>
                <w:tc>
                  <w:tcPr>
                    <w:tcW w:w="781" w:type="pct"/>
                    <w:vAlign w:val="center"/>
                  </w:tcPr>
                  <w:p w14:paraId="745CF6BE" w14:textId="77777777" w:rsidR="00830E72" w:rsidRDefault="008344D8">
                    <w:pPr>
                      <w:autoSpaceDE w:val="0"/>
                      <w:autoSpaceDN w:val="0"/>
                      <w:adjustRightInd w:val="0"/>
                      <w:snapToGrid w:val="0"/>
                      <w:jc w:val="center"/>
                      <w:rPr>
                        <w:szCs w:val="21"/>
                      </w:rPr>
                    </w:pPr>
                    <w:r>
                      <w:rPr>
                        <w:rFonts w:hint="eastAsia"/>
                        <w:szCs w:val="21"/>
                      </w:rPr>
                      <w:t>本期减少</w:t>
                    </w:r>
                  </w:p>
                </w:tc>
              </w:sdtContent>
            </w:sdt>
            <w:sdt>
              <w:sdtPr>
                <w:tag w:val="_PLD_4c3f2255a4a24c1cae63eb0cc7781f12"/>
                <w:id w:val="-950547850"/>
                <w:lock w:val="sdtLocked"/>
              </w:sdtPr>
              <w:sdtEndPr/>
              <w:sdtContent>
                <w:tc>
                  <w:tcPr>
                    <w:tcW w:w="1014" w:type="pct"/>
                    <w:vAlign w:val="center"/>
                  </w:tcPr>
                  <w:p w14:paraId="2D72BA3B" w14:textId="77777777" w:rsidR="00830E72" w:rsidRDefault="008344D8">
                    <w:pPr>
                      <w:autoSpaceDE w:val="0"/>
                      <w:autoSpaceDN w:val="0"/>
                      <w:adjustRightInd w:val="0"/>
                      <w:snapToGrid w:val="0"/>
                      <w:jc w:val="center"/>
                      <w:rPr>
                        <w:szCs w:val="21"/>
                      </w:rPr>
                    </w:pPr>
                    <w:r>
                      <w:rPr>
                        <w:rFonts w:hint="eastAsia"/>
                        <w:szCs w:val="21"/>
                      </w:rPr>
                      <w:t>期末余额</w:t>
                    </w:r>
                  </w:p>
                </w:tc>
              </w:sdtContent>
            </w:sdt>
          </w:tr>
          <w:tr w:rsidR="00830E72" w14:paraId="731451EB" w14:textId="77777777">
            <w:sdt>
              <w:sdtPr>
                <w:tag w:val="_PLD_6f0c6094ea774cff87e6eacd4eb8ba12"/>
                <w:id w:val="-974066162"/>
                <w:lock w:val="sdtLocked"/>
              </w:sdtPr>
              <w:sdtEndPr/>
              <w:sdtContent>
                <w:tc>
                  <w:tcPr>
                    <w:tcW w:w="1213" w:type="pct"/>
                    <w:shd w:val="clear" w:color="auto" w:fill="auto"/>
                  </w:tcPr>
                  <w:p w14:paraId="4FB947BA" w14:textId="77777777" w:rsidR="00830E72" w:rsidRDefault="008344D8">
                    <w:pPr>
                      <w:autoSpaceDE w:val="0"/>
                      <w:autoSpaceDN w:val="0"/>
                      <w:adjustRightInd w:val="0"/>
                      <w:snapToGrid w:val="0"/>
                      <w:rPr>
                        <w:szCs w:val="21"/>
                      </w:rPr>
                    </w:pPr>
                    <w:r>
                      <w:rPr>
                        <w:rFonts w:hint="eastAsia"/>
                        <w:szCs w:val="21"/>
                      </w:rPr>
                      <w:t>资本溢价（股本溢价）</w:t>
                    </w:r>
                  </w:p>
                </w:tc>
              </w:sdtContent>
            </w:sdt>
            <w:tc>
              <w:tcPr>
                <w:tcW w:w="1115" w:type="pct"/>
                <w:shd w:val="clear" w:color="auto" w:fill="auto"/>
              </w:tcPr>
              <w:p w14:paraId="12018144" w14:textId="77777777" w:rsidR="00830E72" w:rsidRDefault="008344D8">
                <w:pPr>
                  <w:autoSpaceDE w:val="0"/>
                  <w:autoSpaceDN w:val="0"/>
                  <w:adjustRightInd w:val="0"/>
                  <w:snapToGrid w:val="0"/>
                  <w:jc w:val="right"/>
                  <w:rPr>
                    <w:szCs w:val="21"/>
                  </w:rPr>
                </w:pPr>
                <w:r>
                  <w:rPr>
                    <w:szCs w:val="21"/>
                  </w:rPr>
                  <w:t>212,034,615.01</w:t>
                </w:r>
              </w:p>
            </w:tc>
            <w:tc>
              <w:tcPr>
                <w:tcW w:w="877" w:type="pct"/>
                <w:shd w:val="clear" w:color="auto" w:fill="auto"/>
              </w:tcPr>
              <w:p w14:paraId="5EC8C73F" w14:textId="77777777" w:rsidR="00830E72" w:rsidRDefault="008344D8">
                <w:pPr>
                  <w:autoSpaceDE w:val="0"/>
                  <w:autoSpaceDN w:val="0"/>
                  <w:adjustRightInd w:val="0"/>
                  <w:snapToGrid w:val="0"/>
                  <w:jc w:val="right"/>
                  <w:rPr>
                    <w:szCs w:val="21"/>
                  </w:rPr>
                </w:pPr>
                <w:r>
                  <w:rPr>
                    <w:szCs w:val="21"/>
                  </w:rPr>
                  <w:t>739,288,730.37</w:t>
                </w:r>
              </w:p>
            </w:tc>
            <w:tc>
              <w:tcPr>
                <w:tcW w:w="781" w:type="pct"/>
                <w:shd w:val="clear" w:color="auto" w:fill="auto"/>
              </w:tcPr>
              <w:p w14:paraId="5790A8E8" w14:textId="77777777" w:rsidR="00830E72" w:rsidRDefault="00830E72">
                <w:pPr>
                  <w:autoSpaceDE w:val="0"/>
                  <w:autoSpaceDN w:val="0"/>
                  <w:adjustRightInd w:val="0"/>
                  <w:snapToGrid w:val="0"/>
                  <w:jc w:val="right"/>
                  <w:rPr>
                    <w:szCs w:val="21"/>
                  </w:rPr>
                </w:pPr>
              </w:p>
            </w:tc>
            <w:tc>
              <w:tcPr>
                <w:tcW w:w="1014" w:type="pct"/>
                <w:shd w:val="clear" w:color="auto" w:fill="auto"/>
              </w:tcPr>
              <w:p w14:paraId="63ACB122" w14:textId="77777777" w:rsidR="00830E72" w:rsidRDefault="008344D8">
                <w:pPr>
                  <w:autoSpaceDE w:val="0"/>
                  <w:autoSpaceDN w:val="0"/>
                  <w:adjustRightInd w:val="0"/>
                  <w:snapToGrid w:val="0"/>
                  <w:jc w:val="right"/>
                  <w:rPr>
                    <w:szCs w:val="21"/>
                  </w:rPr>
                </w:pPr>
                <w:r>
                  <w:rPr>
                    <w:szCs w:val="21"/>
                  </w:rPr>
                  <w:t>951,323,345.38</w:t>
                </w:r>
              </w:p>
            </w:tc>
          </w:tr>
          <w:tr w:rsidR="00830E72" w14:paraId="60707033" w14:textId="77777777">
            <w:sdt>
              <w:sdtPr>
                <w:tag w:val="_PLD_2d6988ed902d4f2a9c423d885cfc336e"/>
                <w:id w:val="-1928643767"/>
                <w:lock w:val="sdtLocked"/>
              </w:sdtPr>
              <w:sdtEndPr/>
              <w:sdtContent>
                <w:tc>
                  <w:tcPr>
                    <w:tcW w:w="1213" w:type="pct"/>
                    <w:vAlign w:val="center"/>
                  </w:tcPr>
                  <w:p w14:paraId="6D97AC24" w14:textId="77777777" w:rsidR="00830E72" w:rsidRDefault="008344D8">
                    <w:pPr>
                      <w:autoSpaceDE w:val="0"/>
                      <w:autoSpaceDN w:val="0"/>
                      <w:adjustRightInd w:val="0"/>
                      <w:snapToGrid w:val="0"/>
                      <w:jc w:val="center"/>
                      <w:rPr>
                        <w:szCs w:val="21"/>
                      </w:rPr>
                    </w:pPr>
                    <w:r>
                      <w:rPr>
                        <w:rFonts w:hint="eastAsia"/>
                        <w:szCs w:val="21"/>
                      </w:rPr>
                      <w:t>合计</w:t>
                    </w:r>
                  </w:p>
                </w:tc>
              </w:sdtContent>
            </w:sdt>
            <w:tc>
              <w:tcPr>
                <w:tcW w:w="1115" w:type="pct"/>
              </w:tcPr>
              <w:p w14:paraId="6EB3C002" w14:textId="77777777" w:rsidR="00830E72" w:rsidRDefault="008344D8">
                <w:pPr>
                  <w:autoSpaceDE w:val="0"/>
                  <w:autoSpaceDN w:val="0"/>
                  <w:adjustRightInd w:val="0"/>
                  <w:snapToGrid w:val="0"/>
                  <w:jc w:val="right"/>
                  <w:rPr>
                    <w:szCs w:val="21"/>
                  </w:rPr>
                </w:pPr>
                <w:r>
                  <w:rPr>
                    <w:szCs w:val="21"/>
                  </w:rPr>
                  <w:t>212,034,615.01</w:t>
                </w:r>
              </w:p>
            </w:tc>
            <w:tc>
              <w:tcPr>
                <w:tcW w:w="877" w:type="pct"/>
              </w:tcPr>
              <w:p w14:paraId="00DA1254" w14:textId="77777777" w:rsidR="00830E72" w:rsidRDefault="008344D8">
                <w:pPr>
                  <w:autoSpaceDE w:val="0"/>
                  <w:autoSpaceDN w:val="0"/>
                  <w:adjustRightInd w:val="0"/>
                  <w:snapToGrid w:val="0"/>
                  <w:jc w:val="right"/>
                  <w:rPr>
                    <w:szCs w:val="21"/>
                  </w:rPr>
                </w:pPr>
                <w:r>
                  <w:rPr>
                    <w:szCs w:val="21"/>
                  </w:rPr>
                  <w:t>739,288,730.37</w:t>
                </w:r>
              </w:p>
            </w:tc>
            <w:tc>
              <w:tcPr>
                <w:tcW w:w="781" w:type="pct"/>
              </w:tcPr>
              <w:p w14:paraId="48FDCEE5" w14:textId="77777777" w:rsidR="00830E72" w:rsidRDefault="00830E72">
                <w:pPr>
                  <w:autoSpaceDE w:val="0"/>
                  <w:autoSpaceDN w:val="0"/>
                  <w:adjustRightInd w:val="0"/>
                  <w:snapToGrid w:val="0"/>
                  <w:jc w:val="right"/>
                  <w:rPr>
                    <w:szCs w:val="21"/>
                  </w:rPr>
                </w:pPr>
              </w:p>
            </w:tc>
            <w:tc>
              <w:tcPr>
                <w:tcW w:w="1014" w:type="pct"/>
              </w:tcPr>
              <w:p w14:paraId="4BF711BD" w14:textId="77777777" w:rsidR="00830E72" w:rsidRDefault="008344D8">
                <w:pPr>
                  <w:autoSpaceDE w:val="0"/>
                  <w:autoSpaceDN w:val="0"/>
                  <w:adjustRightInd w:val="0"/>
                  <w:snapToGrid w:val="0"/>
                  <w:jc w:val="right"/>
                  <w:rPr>
                    <w:szCs w:val="21"/>
                  </w:rPr>
                </w:pPr>
                <w:r>
                  <w:rPr>
                    <w:szCs w:val="21"/>
                  </w:rPr>
                  <w:t>951,323,345.38</w:t>
                </w:r>
              </w:p>
            </w:tc>
          </w:tr>
        </w:tbl>
        <w:p w14:paraId="548D4DFC" w14:textId="77777777" w:rsidR="00830E72" w:rsidRDefault="00D44830">
          <w:pPr>
            <w:rPr>
              <w:szCs w:val="21"/>
            </w:rPr>
          </w:pPr>
        </w:p>
      </w:sdtContent>
    </w:sdt>
    <w:sdt>
      <w:sdtPr>
        <w:rPr>
          <w:rFonts w:ascii="宋体" w:hAnsi="宋体" w:cs="宋体" w:hint="eastAsia"/>
          <w:b w:val="0"/>
          <w:bCs w:val="0"/>
          <w:kern w:val="0"/>
          <w:szCs w:val="21"/>
        </w:rPr>
        <w:alias w:val="模块:库存股"/>
        <w:tag w:val="_GBC_02198eb4b89045c5af2f3bcd240e18af"/>
        <w:id w:val="-499501801"/>
        <w:lock w:val="sdtLocked"/>
        <w:placeholder>
          <w:docPart w:val="GBC22222222222222222222222222222"/>
        </w:placeholder>
      </w:sdtPr>
      <w:sdtEndPr>
        <w:rPr>
          <w:rFonts w:cstheme="minorBidi" w:hint="default"/>
          <w:color w:val="000000" w:themeColor="text1"/>
          <w:kern w:val="2"/>
        </w:rPr>
      </w:sdtEndPr>
      <w:sdtContent>
        <w:p w14:paraId="4BF5A73F"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库存股</w:t>
          </w:r>
        </w:p>
        <w:sdt>
          <w:sdtPr>
            <w:alias w:val="是否适用：库存股[双击切换]"/>
            <w:tag w:val="_GBC_4aa47a6d9b1044aa8a049146d42c3e9c"/>
            <w:id w:val="-621621129"/>
            <w:lock w:val="sdtContentLocked"/>
            <w:placeholder>
              <w:docPart w:val="GBC22222222222222222222222222222"/>
            </w:placeholder>
          </w:sdtPr>
          <w:sdtEndPr/>
          <w:sdtContent>
            <w:p w14:paraId="2A1DE88A"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86EC901" w14:textId="77777777" w:rsidR="00830E72" w:rsidRDefault="00D44830">
          <w:pPr>
            <w:rPr>
              <w:b/>
              <w:szCs w:val="21"/>
            </w:rPr>
          </w:pPr>
        </w:p>
      </w:sdtContent>
    </w:sdt>
    <w:bookmarkStart w:id="183" w:name="_Hlk10537776" w:displacedByCustomXml="next"/>
    <w:sdt>
      <w:sdtPr>
        <w:rPr>
          <w:rFonts w:ascii="宋体" w:hAnsi="宋体" w:cs="宋体" w:hint="eastAsia"/>
          <w:b w:val="0"/>
          <w:bCs w:val="0"/>
          <w:kern w:val="0"/>
          <w:szCs w:val="21"/>
        </w:rPr>
        <w:alias w:val="模块:其他综合收益"/>
        <w:tag w:val="_GBC_de162f89125c4dc8abd2331e6cce7184"/>
        <w:id w:val="1031992890"/>
        <w:lock w:val="sdtLocked"/>
        <w:placeholder>
          <w:docPart w:val="GBC22222222222222222222222222222"/>
        </w:placeholder>
      </w:sdtPr>
      <w:sdtEndPr/>
      <w:sdtContent>
        <w:p w14:paraId="2D220128"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a53cc67f2be24dfbbe3af1b633d9bd6d"/>
            <w:id w:val="-1112977639"/>
            <w:lock w:val="sdtContentLocked"/>
            <w:placeholder>
              <w:docPart w:val="GBC22222222222222222222222222222"/>
            </w:placeholder>
          </w:sdtPr>
          <w:sdtEndPr/>
          <w:sdtContent>
            <w:p w14:paraId="0C93348D"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653B09C" w14:textId="77777777" w:rsidR="00830E72" w:rsidRDefault="00D44830">
          <w:pPr>
            <w:rPr>
              <w:szCs w:val="21"/>
            </w:rPr>
          </w:pPr>
        </w:p>
      </w:sdtContent>
    </w:sdt>
    <w:bookmarkEnd w:id="183" w:displacedByCustomXml="next"/>
    <w:sdt>
      <w:sdtPr>
        <w:rPr>
          <w:rFonts w:ascii="宋体" w:hAnsi="宋体" w:cs="宋体" w:hint="eastAsia"/>
          <w:b w:val="0"/>
          <w:bCs w:val="0"/>
          <w:kern w:val="0"/>
          <w:szCs w:val="21"/>
        </w:rPr>
        <w:alias w:val="模块:专项储备"/>
        <w:tag w:val="_GBC_8a08fa7a416e4e52a104ea9b06479f9e"/>
        <w:id w:val="312153048"/>
        <w:lock w:val="sdtLocked"/>
        <w:placeholder>
          <w:docPart w:val="GBC22222222222222222222222222222"/>
        </w:placeholder>
      </w:sdtPr>
      <w:sdtEndPr>
        <w:rPr>
          <w:rFonts w:cstheme="minorBidi" w:hint="default"/>
          <w:color w:val="000000" w:themeColor="text1"/>
        </w:rPr>
      </w:sdtEndPr>
      <w:sdtContent>
        <w:p w14:paraId="53AB0AAA"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专项储备</w:t>
          </w:r>
        </w:p>
        <w:sdt>
          <w:sdtPr>
            <w:alias w:val="是否适用：专项储备[双击切换]"/>
            <w:tag w:val="_GBC_291ec3c1c38144a3ac0bde67edb318cc"/>
            <w:id w:val="-2097703619"/>
            <w:lock w:val="sdtContentLocked"/>
            <w:placeholder>
              <w:docPart w:val="GBC22222222222222222222222222222"/>
            </w:placeholder>
          </w:sdtPr>
          <w:sdtEndPr/>
          <w:sdtContent>
            <w:p w14:paraId="63C50C39"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972D933" w14:textId="77777777" w:rsidR="00830E72" w:rsidRDefault="008344D8">
          <w:pPr>
            <w:pStyle w:val="Style118"/>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98a0a00169d7461b91b431ef8a517eb1"/>
              <w:id w:val="8297903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95059903151b47a0a2c8b7569f80df5e"/>
              <w:id w:val="-16824213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81"/>
            <w:gridCol w:w="1789"/>
            <w:gridCol w:w="1789"/>
            <w:gridCol w:w="1830"/>
            <w:gridCol w:w="1804"/>
          </w:tblGrid>
          <w:tr w:rsidR="00830E72" w14:paraId="2AE088BC" w14:textId="77777777">
            <w:sdt>
              <w:sdtPr>
                <w:tag w:val="_PLD_10185f3f00484e34ab2fc5b633938a01"/>
                <w:id w:val="66234161"/>
                <w:lock w:val="sdtLocked"/>
              </w:sdtPr>
              <w:sdtEndPr/>
              <w:sdtContent>
                <w:tc>
                  <w:tcPr>
                    <w:tcW w:w="945" w:type="pct"/>
                    <w:shd w:val="clear" w:color="auto" w:fill="auto"/>
                    <w:vAlign w:val="center"/>
                  </w:tcPr>
                  <w:p w14:paraId="660341FB" w14:textId="77777777" w:rsidR="00830E72" w:rsidRDefault="008344D8">
                    <w:pPr>
                      <w:jc w:val="center"/>
                      <w:rPr>
                        <w:szCs w:val="21"/>
                      </w:rPr>
                    </w:pPr>
                    <w:r>
                      <w:rPr>
                        <w:rFonts w:hint="eastAsia"/>
                        <w:szCs w:val="21"/>
                      </w:rPr>
                      <w:t>项目</w:t>
                    </w:r>
                  </w:p>
                </w:tc>
              </w:sdtContent>
            </w:sdt>
            <w:sdt>
              <w:sdtPr>
                <w:tag w:val="_PLD_3a7d7c052d7c403a8ae004d68db8fa4c"/>
                <w:id w:val="-1240941697"/>
                <w:lock w:val="sdtLocked"/>
              </w:sdtPr>
              <w:sdtEndPr/>
              <w:sdtContent>
                <w:tc>
                  <w:tcPr>
                    <w:tcW w:w="1006" w:type="pct"/>
                    <w:shd w:val="clear" w:color="auto" w:fill="auto"/>
                    <w:vAlign w:val="center"/>
                  </w:tcPr>
                  <w:p w14:paraId="26072CD3" w14:textId="77777777" w:rsidR="00830E72" w:rsidRDefault="008344D8">
                    <w:pPr>
                      <w:jc w:val="center"/>
                      <w:rPr>
                        <w:szCs w:val="21"/>
                      </w:rPr>
                    </w:pPr>
                    <w:r>
                      <w:rPr>
                        <w:rFonts w:hint="eastAsia"/>
                        <w:szCs w:val="21"/>
                      </w:rPr>
                      <w:t>期初余额</w:t>
                    </w:r>
                  </w:p>
                </w:tc>
              </w:sdtContent>
            </w:sdt>
            <w:sdt>
              <w:sdtPr>
                <w:tag w:val="_PLD_e06fab4ca3b8451eb31df81e9b4922ec"/>
                <w:id w:val="-285504899"/>
                <w:lock w:val="sdtLocked"/>
              </w:sdtPr>
              <w:sdtEndPr/>
              <w:sdtContent>
                <w:tc>
                  <w:tcPr>
                    <w:tcW w:w="1006" w:type="pct"/>
                    <w:shd w:val="clear" w:color="auto" w:fill="auto"/>
                    <w:vAlign w:val="center"/>
                  </w:tcPr>
                  <w:p w14:paraId="7C4F710B" w14:textId="77777777" w:rsidR="00830E72" w:rsidRDefault="008344D8">
                    <w:pPr>
                      <w:jc w:val="center"/>
                      <w:rPr>
                        <w:szCs w:val="21"/>
                      </w:rPr>
                    </w:pPr>
                    <w:r>
                      <w:rPr>
                        <w:rFonts w:hint="eastAsia"/>
                        <w:szCs w:val="21"/>
                      </w:rPr>
                      <w:t>本期增加</w:t>
                    </w:r>
                  </w:p>
                </w:tc>
              </w:sdtContent>
            </w:sdt>
            <w:sdt>
              <w:sdtPr>
                <w:tag w:val="_PLD_2900f17d2ba041e9a7331e5ca367f7b9"/>
                <w:id w:val="1507788600"/>
                <w:lock w:val="sdtLocked"/>
              </w:sdtPr>
              <w:sdtEndPr/>
              <w:sdtContent>
                <w:tc>
                  <w:tcPr>
                    <w:tcW w:w="1029" w:type="pct"/>
                    <w:shd w:val="clear" w:color="auto" w:fill="auto"/>
                    <w:vAlign w:val="center"/>
                  </w:tcPr>
                  <w:p w14:paraId="0EB09D66" w14:textId="77777777" w:rsidR="00830E72" w:rsidRDefault="008344D8">
                    <w:pPr>
                      <w:jc w:val="center"/>
                      <w:rPr>
                        <w:szCs w:val="21"/>
                      </w:rPr>
                    </w:pPr>
                    <w:r>
                      <w:rPr>
                        <w:rFonts w:hint="eastAsia"/>
                        <w:szCs w:val="21"/>
                      </w:rPr>
                      <w:t>本期减少</w:t>
                    </w:r>
                  </w:p>
                </w:tc>
              </w:sdtContent>
            </w:sdt>
            <w:sdt>
              <w:sdtPr>
                <w:tag w:val="_PLD_7fcbcb783b95484a87e1a335f06dfcc3"/>
                <w:id w:val="1133522306"/>
                <w:lock w:val="sdtLocked"/>
              </w:sdtPr>
              <w:sdtEndPr/>
              <w:sdtContent>
                <w:tc>
                  <w:tcPr>
                    <w:tcW w:w="1014" w:type="pct"/>
                    <w:shd w:val="clear" w:color="auto" w:fill="auto"/>
                    <w:vAlign w:val="center"/>
                  </w:tcPr>
                  <w:p w14:paraId="289302D6" w14:textId="77777777" w:rsidR="00830E72" w:rsidRDefault="008344D8">
                    <w:pPr>
                      <w:jc w:val="center"/>
                      <w:rPr>
                        <w:szCs w:val="21"/>
                      </w:rPr>
                    </w:pPr>
                    <w:r>
                      <w:rPr>
                        <w:rFonts w:hint="eastAsia"/>
                        <w:szCs w:val="21"/>
                      </w:rPr>
                      <w:t>期末余额</w:t>
                    </w:r>
                  </w:p>
                </w:tc>
              </w:sdtContent>
            </w:sdt>
          </w:tr>
          <w:tr w:rsidR="00830E72" w14:paraId="48F144C4" w14:textId="77777777">
            <w:sdt>
              <w:sdtPr>
                <w:tag w:val="_PLD_f928310ca4874f07bdca7291bba391b0"/>
                <w:id w:val="-86780914"/>
                <w:lock w:val="sdtLocked"/>
              </w:sdtPr>
              <w:sdtEndPr/>
              <w:sdtContent>
                <w:tc>
                  <w:tcPr>
                    <w:tcW w:w="945" w:type="pct"/>
                    <w:shd w:val="clear" w:color="auto" w:fill="auto"/>
                  </w:tcPr>
                  <w:p w14:paraId="02EA6898" w14:textId="77777777" w:rsidR="00830E72" w:rsidRDefault="008344D8">
                    <w:pPr>
                      <w:rPr>
                        <w:szCs w:val="21"/>
                      </w:rPr>
                    </w:pPr>
                    <w:r>
                      <w:rPr>
                        <w:rFonts w:hint="eastAsia"/>
                        <w:szCs w:val="21"/>
                      </w:rPr>
                      <w:t>安全生产费</w:t>
                    </w:r>
                  </w:p>
                </w:tc>
              </w:sdtContent>
            </w:sdt>
            <w:tc>
              <w:tcPr>
                <w:tcW w:w="1006" w:type="pct"/>
                <w:shd w:val="clear" w:color="auto" w:fill="auto"/>
              </w:tcPr>
              <w:p w14:paraId="75BB4FF4" w14:textId="77777777" w:rsidR="00830E72" w:rsidRDefault="008344D8">
                <w:pPr>
                  <w:jc w:val="right"/>
                  <w:rPr>
                    <w:szCs w:val="21"/>
                  </w:rPr>
                </w:pPr>
                <w:r>
                  <w:rPr>
                    <w:szCs w:val="21"/>
                  </w:rPr>
                  <w:t>15,436,784.81</w:t>
                </w:r>
              </w:p>
            </w:tc>
            <w:tc>
              <w:tcPr>
                <w:tcW w:w="1006" w:type="pct"/>
                <w:shd w:val="clear" w:color="auto" w:fill="auto"/>
              </w:tcPr>
              <w:p w14:paraId="2DF74173" w14:textId="77777777" w:rsidR="00830E72" w:rsidRDefault="008344D8">
                <w:pPr>
                  <w:jc w:val="right"/>
                  <w:rPr>
                    <w:szCs w:val="21"/>
                  </w:rPr>
                </w:pPr>
                <w:r>
                  <w:rPr>
                    <w:szCs w:val="21"/>
                  </w:rPr>
                  <w:t>28,407,888.61</w:t>
                </w:r>
              </w:p>
            </w:tc>
            <w:tc>
              <w:tcPr>
                <w:tcW w:w="1029" w:type="pct"/>
                <w:shd w:val="clear" w:color="auto" w:fill="auto"/>
              </w:tcPr>
              <w:p w14:paraId="0196A249" w14:textId="77777777" w:rsidR="00830E72" w:rsidRDefault="008344D8">
                <w:pPr>
                  <w:jc w:val="right"/>
                  <w:rPr>
                    <w:szCs w:val="21"/>
                  </w:rPr>
                </w:pPr>
                <w:r>
                  <w:rPr>
                    <w:szCs w:val="21"/>
                  </w:rPr>
                  <w:t>27,936,525.42</w:t>
                </w:r>
              </w:p>
            </w:tc>
            <w:tc>
              <w:tcPr>
                <w:tcW w:w="1014" w:type="pct"/>
                <w:shd w:val="clear" w:color="auto" w:fill="auto"/>
              </w:tcPr>
              <w:p w14:paraId="0ADC8544" w14:textId="77777777" w:rsidR="00830E72" w:rsidRDefault="008344D8">
                <w:pPr>
                  <w:jc w:val="right"/>
                  <w:rPr>
                    <w:szCs w:val="21"/>
                  </w:rPr>
                </w:pPr>
                <w:r>
                  <w:rPr>
                    <w:szCs w:val="21"/>
                  </w:rPr>
                  <w:t>15,908,148.00</w:t>
                </w:r>
              </w:p>
            </w:tc>
          </w:tr>
          <w:tr w:rsidR="00830E72" w14:paraId="765F2C0F" w14:textId="77777777">
            <w:sdt>
              <w:sdtPr>
                <w:tag w:val="_PLD_3a889f9961a349319c123f6dc0197cb7"/>
                <w:id w:val="-1712804720"/>
                <w:lock w:val="sdtLocked"/>
              </w:sdtPr>
              <w:sdtEndPr/>
              <w:sdtContent>
                <w:tc>
                  <w:tcPr>
                    <w:tcW w:w="945" w:type="pct"/>
                    <w:shd w:val="clear" w:color="auto" w:fill="auto"/>
                    <w:vAlign w:val="center"/>
                  </w:tcPr>
                  <w:p w14:paraId="6AE7E7FB" w14:textId="77777777" w:rsidR="00830E72" w:rsidRDefault="008344D8">
                    <w:pPr>
                      <w:jc w:val="center"/>
                      <w:rPr>
                        <w:szCs w:val="21"/>
                      </w:rPr>
                    </w:pPr>
                    <w:r>
                      <w:rPr>
                        <w:rFonts w:hint="eastAsia"/>
                        <w:szCs w:val="21"/>
                      </w:rPr>
                      <w:t>合计</w:t>
                    </w:r>
                  </w:p>
                </w:tc>
              </w:sdtContent>
            </w:sdt>
            <w:tc>
              <w:tcPr>
                <w:tcW w:w="1006" w:type="pct"/>
                <w:shd w:val="clear" w:color="auto" w:fill="auto"/>
              </w:tcPr>
              <w:p w14:paraId="5DBB895C" w14:textId="77777777" w:rsidR="00830E72" w:rsidRDefault="008344D8">
                <w:pPr>
                  <w:jc w:val="right"/>
                  <w:rPr>
                    <w:szCs w:val="21"/>
                  </w:rPr>
                </w:pPr>
                <w:r>
                  <w:rPr>
                    <w:szCs w:val="21"/>
                  </w:rPr>
                  <w:t>15,436,784.81</w:t>
                </w:r>
              </w:p>
            </w:tc>
            <w:tc>
              <w:tcPr>
                <w:tcW w:w="1006" w:type="pct"/>
                <w:shd w:val="clear" w:color="auto" w:fill="auto"/>
              </w:tcPr>
              <w:p w14:paraId="7E916DF4" w14:textId="77777777" w:rsidR="00830E72" w:rsidRDefault="008344D8">
                <w:pPr>
                  <w:jc w:val="right"/>
                  <w:rPr>
                    <w:szCs w:val="21"/>
                  </w:rPr>
                </w:pPr>
                <w:r>
                  <w:rPr>
                    <w:szCs w:val="21"/>
                  </w:rPr>
                  <w:t>28,407,888.61</w:t>
                </w:r>
              </w:p>
            </w:tc>
            <w:tc>
              <w:tcPr>
                <w:tcW w:w="1029" w:type="pct"/>
                <w:shd w:val="clear" w:color="auto" w:fill="auto"/>
              </w:tcPr>
              <w:p w14:paraId="2C341A2F" w14:textId="77777777" w:rsidR="00830E72" w:rsidRDefault="008344D8">
                <w:pPr>
                  <w:jc w:val="right"/>
                  <w:rPr>
                    <w:szCs w:val="21"/>
                  </w:rPr>
                </w:pPr>
                <w:r>
                  <w:rPr>
                    <w:szCs w:val="21"/>
                  </w:rPr>
                  <w:t>27,936,525.42</w:t>
                </w:r>
              </w:p>
            </w:tc>
            <w:tc>
              <w:tcPr>
                <w:tcW w:w="1014" w:type="pct"/>
                <w:shd w:val="clear" w:color="auto" w:fill="auto"/>
              </w:tcPr>
              <w:p w14:paraId="65DD5051" w14:textId="77777777" w:rsidR="00830E72" w:rsidRDefault="008344D8">
                <w:pPr>
                  <w:jc w:val="right"/>
                  <w:rPr>
                    <w:szCs w:val="21"/>
                  </w:rPr>
                </w:pPr>
                <w:r>
                  <w:rPr>
                    <w:szCs w:val="21"/>
                  </w:rPr>
                  <w:t>15,908,148.00</w:t>
                </w:r>
              </w:p>
            </w:tc>
          </w:tr>
        </w:tbl>
        <w:p w14:paraId="3C2A2639" w14:textId="77777777" w:rsidR="00830E72" w:rsidRDefault="008344D8">
          <w:pPr>
            <w:rPr>
              <w:szCs w:val="21"/>
            </w:rPr>
          </w:pPr>
          <w:r>
            <w:rPr>
              <w:rFonts w:hint="eastAsia"/>
              <w:szCs w:val="21"/>
            </w:rPr>
            <w:t>其他说明，包括本期增减变动情况、变动原因说明：</w:t>
          </w:r>
        </w:p>
        <w:p w14:paraId="38092C67" w14:textId="77777777" w:rsidR="00830E72" w:rsidRDefault="00D44830">
          <w:pPr>
            <w:rPr>
              <w:szCs w:val="21"/>
            </w:rPr>
          </w:pPr>
          <w:sdt>
            <w:sdtPr>
              <w:rPr>
                <w:szCs w:val="21"/>
              </w:rPr>
              <w:alias w:val="专项储备情况说明"/>
              <w:tag w:val="_GBC_758f99495b434b96aea70b74014caac7"/>
              <w:id w:val="-746647919"/>
              <w:lock w:val="sdtLocked"/>
              <w:placeholder>
                <w:docPart w:val="GBC22222222222222222222222222222"/>
              </w:placeholder>
            </w:sdtPr>
            <w:sdtEndPr/>
            <w:sdtContent>
              <w:r w:rsidR="008344D8">
                <w:rPr>
                  <w:rFonts w:hint="eastAsia"/>
                  <w:szCs w:val="21"/>
                </w:rPr>
                <w:t>本期增加额为本期计提数额，本期减少额为本期使用安全经费数额</w:t>
              </w:r>
            </w:sdtContent>
          </w:sdt>
        </w:p>
      </w:sdtContent>
    </w:sdt>
    <w:p w14:paraId="52F94123" w14:textId="77777777" w:rsidR="00830E72" w:rsidRDefault="00830E72">
      <w:pPr>
        <w:rPr>
          <w:szCs w:val="21"/>
        </w:rPr>
      </w:pPr>
    </w:p>
    <w:sdt>
      <w:sdtPr>
        <w:rPr>
          <w:rFonts w:ascii="宋体" w:hAnsi="宋体" w:cs="宋体" w:hint="eastAsia"/>
          <w:b w:val="0"/>
          <w:bCs w:val="0"/>
          <w:kern w:val="0"/>
          <w:szCs w:val="21"/>
        </w:rPr>
        <w:alias w:val="模块:盈余公积"/>
        <w:tag w:val="_GBC_fc97b66d150f4d31ba9096ec58341715"/>
        <w:id w:val="1941950629"/>
        <w:lock w:val="sdtLocked"/>
        <w:placeholder>
          <w:docPart w:val="GBC22222222222222222222222222222"/>
        </w:placeholder>
      </w:sdtPr>
      <w:sdtEndPr>
        <w:rPr>
          <w:rFonts w:cstheme="minorBidi" w:hint="default"/>
          <w:kern w:val="2"/>
        </w:rPr>
      </w:sdtEndPr>
      <w:sdtContent>
        <w:p w14:paraId="3F44ADC3"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盈余公积</w:t>
          </w:r>
        </w:p>
        <w:sdt>
          <w:sdtPr>
            <w:alias w:val="是否适用：盈余公积[双击切换]"/>
            <w:tag w:val="_GBC_52b9917fb423490bb32a9d6648a07db9"/>
            <w:id w:val="840902023"/>
            <w:lock w:val="sdtContentLocked"/>
            <w:placeholder>
              <w:docPart w:val="GBC22222222222222222222222222222"/>
            </w:placeholder>
          </w:sdtPr>
          <w:sdtEndPr/>
          <w:sdtContent>
            <w:p w14:paraId="48CAE7B5"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B27EABD" w14:textId="77777777" w:rsidR="00830E72" w:rsidRDefault="008344D8">
          <w:pPr>
            <w:jc w:val="right"/>
            <w:rPr>
              <w:szCs w:val="21"/>
            </w:rPr>
          </w:pPr>
          <w:r>
            <w:rPr>
              <w:rFonts w:hint="eastAsia"/>
              <w:szCs w:val="21"/>
            </w:rPr>
            <w:t>单位：</w:t>
          </w:r>
          <w:sdt>
            <w:sdtPr>
              <w:rPr>
                <w:rFonts w:hint="eastAsia"/>
                <w:szCs w:val="21"/>
              </w:rPr>
              <w:alias w:val="单位：财务附注：盈余公积"/>
              <w:tag w:val="_GBC_ea3204141ce3498eaccd14c833f64973"/>
              <w:id w:val="1578971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f5c6664d47b9454d919a38095dd3c48d"/>
              <w:id w:val="-6605417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71"/>
            <w:gridCol w:w="1798"/>
            <w:gridCol w:w="1804"/>
            <w:gridCol w:w="1816"/>
            <w:gridCol w:w="1804"/>
          </w:tblGrid>
          <w:tr w:rsidR="00830E72" w14:paraId="1C1447A1" w14:textId="77777777">
            <w:sdt>
              <w:sdtPr>
                <w:tag w:val="_PLD_70f0cea3df9b4646bf8f9454719b4599"/>
                <w:id w:val="-366451393"/>
                <w:lock w:val="sdtLocked"/>
              </w:sdtPr>
              <w:sdtEndPr/>
              <w:sdtContent>
                <w:tc>
                  <w:tcPr>
                    <w:tcW w:w="940" w:type="pct"/>
                  </w:tcPr>
                  <w:p w14:paraId="35652249" w14:textId="77777777" w:rsidR="00830E72" w:rsidRDefault="008344D8">
                    <w:pPr>
                      <w:autoSpaceDE w:val="0"/>
                      <w:autoSpaceDN w:val="0"/>
                      <w:adjustRightInd w:val="0"/>
                      <w:snapToGrid w:val="0"/>
                      <w:jc w:val="center"/>
                      <w:rPr>
                        <w:szCs w:val="21"/>
                      </w:rPr>
                    </w:pPr>
                    <w:r>
                      <w:rPr>
                        <w:rFonts w:hint="eastAsia"/>
                        <w:szCs w:val="21"/>
                      </w:rPr>
                      <w:t>项目</w:t>
                    </w:r>
                  </w:p>
                </w:tc>
              </w:sdtContent>
            </w:sdt>
            <w:sdt>
              <w:sdtPr>
                <w:tag w:val="_PLD_5466d5e3c2b64aeb9abc2e1a21f2e6c0"/>
                <w:id w:val="67927777"/>
                <w:lock w:val="sdtLocked"/>
              </w:sdtPr>
              <w:sdtEndPr/>
              <w:sdtContent>
                <w:tc>
                  <w:tcPr>
                    <w:tcW w:w="1011" w:type="pct"/>
                  </w:tcPr>
                  <w:p w14:paraId="03E12B42" w14:textId="77777777" w:rsidR="00830E72" w:rsidRDefault="008344D8">
                    <w:pPr>
                      <w:autoSpaceDE w:val="0"/>
                      <w:autoSpaceDN w:val="0"/>
                      <w:adjustRightInd w:val="0"/>
                      <w:snapToGrid w:val="0"/>
                      <w:jc w:val="center"/>
                      <w:rPr>
                        <w:szCs w:val="21"/>
                      </w:rPr>
                    </w:pPr>
                    <w:r>
                      <w:rPr>
                        <w:rFonts w:hint="eastAsia"/>
                        <w:szCs w:val="21"/>
                      </w:rPr>
                      <w:t>期初余额</w:t>
                    </w:r>
                  </w:p>
                </w:tc>
              </w:sdtContent>
            </w:sdt>
            <w:sdt>
              <w:sdtPr>
                <w:tag w:val="_PLD_44b0c825c55949b98cff671f8777dd39"/>
                <w:id w:val="-1814477671"/>
                <w:lock w:val="sdtLocked"/>
              </w:sdtPr>
              <w:sdtEndPr/>
              <w:sdtContent>
                <w:tc>
                  <w:tcPr>
                    <w:tcW w:w="1014" w:type="pct"/>
                  </w:tcPr>
                  <w:p w14:paraId="70452331" w14:textId="77777777" w:rsidR="00830E72" w:rsidRDefault="008344D8">
                    <w:pPr>
                      <w:autoSpaceDE w:val="0"/>
                      <w:autoSpaceDN w:val="0"/>
                      <w:adjustRightInd w:val="0"/>
                      <w:snapToGrid w:val="0"/>
                      <w:jc w:val="center"/>
                      <w:rPr>
                        <w:szCs w:val="21"/>
                      </w:rPr>
                    </w:pPr>
                    <w:r>
                      <w:rPr>
                        <w:rFonts w:hint="eastAsia"/>
                        <w:szCs w:val="21"/>
                      </w:rPr>
                      <w:t>本期增加</w:t>
                    </w:r>
                  </w:p>
                </w:tc>
              </w:sdtContent>
            </w:sdt>
            <w:sdt>
              <w:sdtPr>
                <w:tag w:val="_PLD_111b02bee52f4f1a879468aa2243106f"/>
                <w:id w:val="1316069023"/>
                <w:lock w:val="sdtLocked"/>
              </w:sdtPr>
              <w:sdtEndPr/>
              <w:sdtContent>
                <w:tc>
                  <w:tcPr>
                    <w:tcW w:w="1021" w:type="pct"/>
                  </w:tcPr>
                  <w:p w14:paraId="2764130D" w14:textId="77777777" w:rsidR="00830E72" w:rsidRDefault="008344D8">
                    <w:pPr>
                      <w:autoSpaceDE w:val="0"/>
                      <w:autoSpaceDN w:val="0"/>
                      <w:adjustRightInd w:val="0"/>
                      <w:snapToGrid w:val="0"/>
                      <w:jc w:val="center"/>
                      <w:rPr>
                        <w:szCs w:val="21"/>
                      </w:rPr>
                    </w:pPr>
                    <w:r>
                      <w:rPr>
                        <w:rFonts w:hint="eastAsia"/>
                        <w:szCs w:val="21"/>
                      </w:rPr>
                      <w:t>本期减少</w:t>
                    </w:r>
                  </w:p>
                </w:tc>
              </w:sdtContent>
            </w:sdt>
            <w:sdt>
              <w:sdtPr>
                <w:tag w:val="_PLD_e6d9dff1341d44c99d9c3f51d8fd2c2f"/>
                <w:id w:val="298495446"/>
                <w:lock w:val="sdtLocked"/>
              </w:sdtPr>
              <w:sdtEndPr/>
              <w:sdtContent>
                <w:tc>
                  <w:tcPr>
                    <w:tcW w:w="1014" w:type="pct"/>
                  </w:tcPr>
                  <w:p w14:paraId="453BA420" w14:textId="77777777" w:rsidR="00830E72" w:rsidRDefault="008344D8">
                    <w:pPr>
                      <w:autoSpaceDE w:val="0"/>
                      <w:autoSpaceDN w:val="0"/>
                      <w:adjustRightInd w:val="0"/>
                      <w:snapToGrid w:val="0"/>
                      <w:jc w:val="center"/>
                      <w:rPr>
                        <w:szCs w:val="21"/>
                      </w:rPr>
                    </w:pPr>
                    <w:r>
                      <w:rPr>
                        <w:rFonts w:hint="eastAsia"/>
                        <w:szCs w:val="21"/>
                      </w:rPr>
                      <w:t>期末余额</w:t>
                    </w:r>
                  </w:p>
                </w:tc>
              </w:sdtContent>
            </w:sdt>
          </w:tr>
          <w:tr w:rsidR="00830E72" w14:paraId="53E89BF3" w14:textId="77777777">
            <w:sdt>
              <w:sdtPr>
                <w:tag w:val="_PLD_fc05a7682db944fc88b1d5bf0888fab6"/>
                <w:id w:val="-1994409202"/>
                <w:lock w:val="sdtLocked"/>
              </w:sdtPr>
              <w:sdtEndPr/>
              <w:sdtContent>
                <w:tc>
                  <w:tcPr>
                    <w:tcW w:w="940" w:type="pct"/>
                    <w:shd w:val="clear" w:color="auto" w:fill="auto"/>
                    <w:vAlign w:val="center"/>
                  </w:tcPr>
                  <w:p w14:paraId="510CA376" w14:textId="77777777" w:rsidR="00830E72" w:rsidRDefault="008344D8">
                    <w:pPr>
                      <w:autoSpaceDE w:val="0"/>
                      <w:autoSpaceDN w:val="0"/>
                      <w:adjustRightInd w:val="0"/>
                      <w:snapToGrid w:val="0"/>
                      <w:jc w:val="both"/>
                      <w:rPr>
                        <w:szCs w:val="21"/>
                      </w:rPr>
                    </w:pPr>
                    <w:r>
                      <w:rPr>
                        <w:rFonts w:hint="eastAsia"/>
                        <w:szCs w:val="21"/>
                      </w:rPr>
                      <w:t>法定盈余公积</w:t>
                    </w:r>
                  </w:p>
                </w:tc>
              </w:sdtContent>
            </w:sdt>
            <w:tc>
              <w:tcPr>
                <w:tcW w:w="1011" w:type="pct"/>
                <w:shd w:val="clear" w:color="auto" w:fill="auto"/>
              </w:tcPr>
              <w:p w14:paraId="6CE7B3A4" w14:textId="77777777" w:rsidR="00830E72" w:rsidRDefault="008344D8">
                <w:pPr>
                  <w:autoSpaceDE w:val="0"/>
                  <w:autoSpaceDN w:val="0"/>
                  <w:adjustRightInd w:val="0"/>
                  <w:snapToGrid w:val="0"/>
                  <w:ind w:right="180"/>
                  <w:jc w:val="right"/>
                  <w:rPr>
                    <w:szCs w:val="21"/>
                  </w:rPr>
                </w:pPr>
                <w:r>
                  <w:rPr>
                    <w:szCs w:val="21"/>
                  </w:rPr>
                  <w:t>44,344,922.59</w:t>
                </w:r>
              </w:p>
            </w:tc>
            <w:tc>
              <w:tcPr>
                <w:tcW w:w="1014" w:type="pct"/>
                <w:shd w:val="clear" w:color="auto" w:fill="auto"/>
              </w:tcPr>
              <w:p w14:paraId="0FE38940" w14:textId="77777777" w:rsidR="00830E72" w:rsidRDefault="00830E72">
                <w:pPr>
                  <w:autoSpaceDE w:val="0"/>
                  <w:autoSpaceDN w:val="0"/>
                  <w:adjustRightInd w:val="0"/>
                  <w:snapToGrid w:val="0"/>
                  <w:ind w:right="180"/>
                  <w:jc w:val="right"/>
                  <w:rPr>
                    <w:szCs w:val="21"/>
                  </w:rPr>
                </w:pPr>
              </w:p>
            </w:tc>
            <w:tc>
              <w:tcPr>
                <w:tcW w:w="1021" w:type="pct"/>
                <w:shd w:val="clear" w:color="auto" w:fill="auto"/>
              </w:tcPr>
              <w:p w14:paraId="27151AAB" w14:textId="77777777" w:rsidR="00830E72" w:rsidRDefault="00830E72">
                <w:pPr>
                  <w:autoSpaceDE w:val="0"/>
                  <w:autoSpaceDN w:val="0"/>
                  <w:adjustRightInd w:val="0"/>
                  <w:snapToGrid w:val="0"/>
                  <w:ind w:right="180"/>
                  <w:jc w:val="right"/>
                  <w:rPr>
                    <w:szCs w:val="21"/>
                  </w:rPr>
                </w:pPr>
              </w:p>
            </w:tc>
            <w:tc>
              <w:tcPr>
                <w:tcW w:w="1014" w:type="pct"/>
                <w:shd w:val="clear" w:color="auto" w:fill="auto"/>
              </w:tcPr>
              <w:p w14:paraId="6FACD15C" w14:textId="77777777" w:rsidR="00830E72" w:rsidRDefault="008344D8">
                <w:pPr>
                  <w:autoSpaceDE w:val="0"/>
                  <w:autoSpaceDN w:val="0"/>
                  <w:adjustRightInd w:val="0"/>
                  <w:snapToGrid w:val="0"/>
                  <w:ind w:right="180"/>
                  <w:jc w:val="right"/>
                  <w:rPr>
                    <w:szCs w:val="21"/>
                  </w:rPr>
                </w:pPr>
                <w:r>
                  <w:rPr>
                    <w:szCs w:val="21"/>
                  </w:rPr>
                  <w:t>44,344,922.59</w:t>
                </w:r>
              </w:p>
            </w:tc>
          </w:tr>
          <w:tr w:rsidR="00830E72" w14:paraId="7299E9CA" w14:textId="77777777">
            <w:sdt>
              <w:sdtPr>
                <w:tag w:val="_PLD_d129220e9acf4011b78a05d75624a2b7"/>
                <w:id w:val="1347058235"/>
                <w:lock w:val="sdtLocked"/>
              </w:sdtPr>
              <w:sdtEndPr/>
              <w:sdtContent>
                <w:tc>
                  <w:tcPr>
                    <w:tcW w:w="940" w:type="pct"/>
                    <w:shd w:val="clear" w:color="auto" w:fill="auto"/>
                    <w:vAlign w:val="center"/>
                  </w:tcPr>
                  <w:p w14:paraId="1DB397EA" w14:textId="77777777" w:rsidR="00830E72" w:rsidRDefault="008344D8">
                    <w:pPr>
                      <w:autoSpaceDE w:val="0"/>
                      <w:autoSpaceDN w:val="0"/>
                      <w:adjustRightInd w:val="0"/>
                      <w:snapToGrid w:val="0"/>
                      <w:jc w:val="both"/>
                      <w:rPr>
                        <w:szCs w:val="21"/>
                      </w:rPr>
                    </w:pPr>
                    <w:r>
                      <w:rPr>
                        <w:rFonts w:hint="eastAsia"/>
                        <w:szCs w:val="21"/>
                      </w:rPr>
                      <w:t>任意盈余公积</w:t>
                    </w:r>
                  </w:p>
                </w:tc>
              </w:sdtContent>
            </w:sdt>
            <w:tc>
              <w:tcPr>
                <w:tcW w:w="1011" w:type="pct"/>
                <w:shd w:val="clear" w:color="auto" w:fill="auto"/>
              </w:tcPr>
              <w:p w14:paraId="0DD7AF4C" w14:textId="77777777" w:rsidR="00830E72" w:rsidRDefault="00830E72">
                <w:pPr>
                  <w:autoSpaceDE w:val="0"/>
                  <w:autoSpaceDN w:val="0"/>
                  <w:adjustRightInd w:val="0"/>
                  <w:snapToGrid w:val="0"/>
                  <w:ind w:right="180"/>
                  <w:jc w:val="right"/>
                  <w:rPr>
                    <w:szCs w:val="21"/>
                  </w:rPr>
                </w:pPr>
              </w:p>
            </w:tc>
            <w:tc>
              <w:tcPr>
                <w:tcW w:w="1014" w:type="pct"/>
                <w:shd w:val="clear" w:color="auto" w:fill="auto"/>
              </w:tcPr>
              <w:p w14:paraId="266CAE6F" w14:textId="77777777" w:rsidR="00830E72" w:rsidRDefault="00830E72">
                <w:pPr>
                  <w:autoSpaceDE w:val="0"/>
                  <w:autoSpaceDN w:val="0"/>
                  <w:adjustRightInd w:val="0"/>
                  <w:snapToGrid w:val="0"/>
                  <w:ind w:right="180"/>
                  <w:jc w:val="right"/>
                  <w:rPr>
                    <w:szCs w:val="21"/>
                  </w:rPr>
                </w:pPr>
              </w:p>
            </w:tc>
            <w:tc>
              <w:tcPr>
                <w:tcW w:w="1021" w:type="pct"/>
                <w:shd w:val="clear" w:color="auto" w:fill="auto"/>
              </w:tcPr>
              <w:p w14:paraId="326C982A" w14:textId="77777777" w:rsidR="00830E72" w:rsidRDefault="00830E72">
                <w:pPr>
                  <w:autoSpaceDE w:val="0"/>
                  <w:autoSpaceDN w:val="0"/>
                  <w:adjustRightInd w:val="0"/>
                  <w:snapToGrid w:val="0"/>
                  <w:ind w:right="180"/>
                  <w:jc w:val="right"/>
                  <w:rPr>
                    <w:szCs w:val="21"/>
                  </w:rPr>
                </w:pPr>
              </w:p>
            </w:tc>
            <w:tc>
              <w:tcPr>
                <w:tcW w:w="1014" w:type="pct"/>
                <w:shd w:val="clear" w:color="auto" w:fill="auto"/>
              </w:tcPr>
              <w:p w14:paraId="0B1653CF" w14:textId="77777777" w:rsidR="00830E72" w:rsidRDefault="00830E72">
                <w:pPr>
                  <w:autoSpaceDE w:val="0"/>
                  <w:autoSpaceDN w:val="0"/>
                  <w:adjustRightInd w:val="0"/>
                  <w:snapToGrid w:val="0"/>
                  <w:ind w:right="180"/>
                  <w:jc w:val="right"/>
                  <w:rPr>
                    <w:szCs w:val="21"/>
                  </w:rPr>
                </w:pPr>
              </w:p>
            </w:tc>
          </w:tr>
          <w:tr w:rsidR="00830E72" w14:paraId="620C7C3B" w14:textId="77777777">
            <w:sdt>
              <w:sdtPr>
                <w:tag w:val="_PLD_ec6472288a1e40028c081a6dc314eaf7"/>
                <w:id w:val="-1161850810"/>
                <w:lock w:val="sdtLocked"/>
              </w:sdtPr>
              <w:sdtEndPr/>
              <w:sdtContent>
                <w:tc>
                  <w:tcPr>
                    <w:tcW w:w="940" w:type="pct"/>
                    <w:shd w:val="clear" w:color="auto" w:fill="auto"/>
                    <w:vAlign w:val="center"/>
                  </w:tcPr>
                  <w:p w14:paraId="15AAD010" w14:textId="77777777" w:rsidR="00830E72" w:rsidRDefault="008344D8">
                    <w:pPr>
                      <w:autoSpaceDE w:val="0"/>
                      <w:autoSpaceDN w:val="0"/>
                      <w:adjustRightInd w:val="0"/>
                      <w:snapToGrid w:val="0"/>
                      <w:jc w:val="both"/>
                      <w:rPr>
                        <w:szCs w:val="21"/>
                      </w:rPr>
                    </w:pPr>
                    <w:r>
                      <w:rPr>
                        <w:rFonts w:hint="eastAsia"/>
                        <w:szCs w:val="21"/>
                      </w:rPr>
                      <w:t>储备基金</w:t>
                    </w:r>
                  </w:p>
                </w:tc>
              </w:sdtContent>
            </w:sdt>
            <w:tc>
              <w:tcPr>
                <w:tcW w:w="1011" w:type="pct"/>
                <w:shd w:val="clear" w:color="auto" w:fill="auto"/>
              </w:tcPr>
              <w:p w14:paraId="54FCBC05" w14:textId="77777777" w:rsidR="00830E72" w:rsidRDefault="00830E72">
                <w:pPr>
                  <w:autoSpaceDE w:val="0"/>
                  <w:autoSpaceDN w:val="0"/>
                  <w:adjustRightInd w:val="0"/>
                  <w:snapToGrid w:val="0"/>
                  <w:ind w:right="180"/>
                  <w:jc w:val="right"/>
                  <w:rPr>
                    <w:szCs w:val="21"/>
                  </w:rPr>
                </w:pPr>
              </w:p>
            </w:tc>
            <w:tc>
              <w:tcPr>
                <w:tcW w:w="1014" w:type="pct"/>
                <w:shd w:val="clear" w:color="auto" w:fill="auto"/>
              </w:tcPr>
              <w:p w14:paraId="7EC5ED38" w14:textId="77777777" w:rsidR="00830E72" w:rsidRDefault="00830E72">
                <w:pPr>
                  <w:autoSpaceDE w:val="0"/>
                  <w:autoSpaceDN w:val="0"/>
                  <w:adjustRightInd w:val="0"/>
                  <w:snapToGrid w:val="0"/>
                  <w:ind w:right="180"/>
                  <w:jc w:val="right"/>
                  <w:rPr>
                    <w:szCs w:val="21"/>
                  </w:rPr>
                </w:pPr>
              </w:p>
            </w:tc>
            <w:tc>
              <w:tcPr>
                <w:tcW w:w="1021" w:type="pct"/>
                <w:shd w:val="clear" w:color="auto" w:fill="auto"/>
              </w:tcPr>
              <w:p w14:paraId="0A2A82A5" w14:textId="77777777" w:rsidR="00830E72" w:rsidRDefault="00830E72">
                <w:pPr>
                  <w:autoSpaceDE w:val="0"/>
                  <w:autoSpaceDN w:val="0"/>
                  <w:adjustRightInd w:val="0"/>
                  <w:snapToGrid w:val="0"/>
                  <w:ind w:right="180"/>
                  <w:jc w:val="right"/>
                  <w:rPr>
                    <w:szCs w:val="21"/>
                  </w:rPr>
                </w:pPr>
              </w:p>
            </w:tc>
            <w:tc>
              <w:tcPr>
                <w:tcW w:w="1014" w:type="pct"/>
                <w:shd w:val="clear" w:color="auto" w:fill="auto"/>
              </w:tcPr>
              <w:p w14:paraId="1BE2ACD1" w14:textId="77777777" w:rsidR="00830E72" w:rsidRDefault="00830E72">
                <w:pPr>
                  <w:autoSpaceDE w:val="0"/>
                  <w:autoSpaceDN w:val="0"/>
                  <w:adjustRightInd w:val="0"/>
                  <w:snapToGrid w:val="0"/>
                  <w:ind w:right="180"/>
                  <w:jc w:val="right"/>
                  <w:rPr>
                    <w:szCs w:val="21"/>
                  </w:rPr>
                </w:pPr>
              </w:p>
            </w:tc>
          </w:tr>
          <w:tr w:rsidR="00830E72" w14:paraId="0A1A90BA" w14:textId="77777777">
            <w:sdt>
              <w:sdtPr>
                <w:tag w:val="_PLD_52c035d80b984cfb905e017b1d87986d"/>
                <w:id w:val="582409140"/>
                <w:lock w:val="sdtLocked"/>
              </w:sdtPr>
              <w:sdtEndPr/>
              <w:sdtContent>
                <w:tc>
                  <w:tcPr>
                    <w:tcW w:w="940" w:type="pct"/>
                    <w:shd w:val="clear" w:color="auto" w:fill="auto"/>
                    <w:vAlign w:val="center"/>
                  </w:tcPr>
                  <w:p w14:paraId="1406C704" w14:textId="77777777" w:rsidR="00830E72" w:rsidRDefault="008344D8">
                    <w:pPr>
                      <w:autoSpaceDE w:val="0"/>
                      <w:autoSpaceDN w:val="0"/>
                      <w:adjustRightInd w:val="0"/>
                      <w:snapToGrid w:val="0"/>
                      <w:jc w:val="both"/>
                      <w:rPr>
                        <w:szCs w:val="21"/>
                      </w:rPr>
                    </w:pPr>
                    <w:r>
                      <w:rPr>
                        <w:rFonts w:hint="eastAsia"/>
                        <w:szCs w:val="21"/>
                      </w:rPr>
                      <w:t>企业发展基金</w:t>
                    </w:r>
                  </w:p>
                </w:tc>
              </w:sdtContent>
            </w:sdt>
            <w:tc>
              <w:tcPr>
                <w:tcW w:w="1011" w:type="pct"/>
                <w:shd w:val="clear" w:color="auto" w:fill="auto"/>
              </w:tcPr>
              <w:p w14:paraId="630DA74A" w14:textId="77777777" w:rsidR="00830E72" w:rsidRDefault="00830E72">
                <w:pPr>
                  <w:autoSpaceDE w:val="0"/>
                  <w:autoSpaceDN w:val="0"/>
                  <w:adjustRightInd w:val="0"/>
                  <w:snapToGrid w:val="0"/>
                  <w:ind w:right="180"/>
                  <w:jc w:val="right"/>
                  <w:rPr>
                    <w:szCs w:val="21"/>
                  </w:rPr>
                </w:pPr>
              </w:p>
            </w:tc>
            <w:tc>
              <w:tcPr>
                <w:tcW w:w="1014" w:type="pct"/>
                <w:shd w:val="clear" w:color="auto" w:fill="auto"/>
              </w:tcPr>
              <w:p w14:paraId="1DD79CA0" w14:textId="77777777" w:rsidR="00830E72" w:rsidRDefault="00830E72">
                <w:pPr>
                  <w:autoSpaceDE w:val="0"/>
                  <w:autoSpaceDN w:val="0"/>
                  <w:adjustRightInd w:val="0"/>
                  <w:snapToGrid w:val="0"/>
                  <w:ind w:right="180"/>
                  <w:jc w:val="right"/>
                  <w:rPr>
                    <w:szCs w:val="21"/>
                  </w:rPr>
                </w:pPr>
              </w:p>
            </w:tc>
            <w:tc>
              <w:tcPr>
                <w:tcW w:w="1021" w:type="pct"/>
                <w:shd w:val="clear" w:color="auto" w:fill="auto"/>
              </w:tcPr>
              <w:p w14:paraId="73A05853" w14:textId="77777777" w:rsidR="00830E72" w:rsidRDefault="00830E72">
                <w:pPr>
                  <w:autoSpaceDE w:val="0"/>
                  <w:autoSpaceDN w:val="0"/>
                  <w:adjustRightInd w:val="0"/>
                  <w:snapToGrid w:val="0"/>
                  <w:ind w:right="180"/>
                  <w:jc w:val="right"/>
                  <w:rPr>
                    <w:szCs w:val="21"/>
                  </w:rPr>
                </w:pPr>
              </w:p>
            </w:tc>
            <w:tc>
              <w:tcPr>
                <w:tcW w:w="1014" w:type="pct"/>
                <w:shd w:val="clear" w:color="auto" w:fill="auto"/>
              </w:tcPr>
              <w:p w14:paraId="69695CD0" w14:textId="77777777" w:rsidR="00830E72" w:rsidRDefault="00830E72">
                <w:pPr>
                  <w:autoSpaceDE w:val="0"/>
                  <w:autoSpaceDN w:val="0"/>
                  <w:adjustRightInd w:val="0"/>
                  <w:snapToGrid w:val="0"/>
                  <w:ind w:right="180"/>
                  <w:jc w:val="right"/>
                  <w:rPr>
                    <w:szCs w:val="21"/>
                  </w:rPr>
                </w:pPr>
              </w:p>
            </w:tc>
          </w:tr>
          <w:tr w:rsidR="00830E72" w14:paraId="777D5FA5" w14:textId="77777777">
            <w:sdt>
              <w:sdtPr>
                <w:tag w:val="_PLD_cad42018de8f4c088028eed7649f24a3"/>
                <w:id w:val="-40747520"/>
                <w:lock w:val="sdtLocked"/>
              </w:sdtPr>
              <w:sdtEndPr/>
              <w:sdtContent>
                <w:tc>
                  <w:tcPr>
                    <w:tcW w:w="940" w:type="pct"/>
                    <w:shd w:val="clear" w:color="auto" w:fill="auto"/>
                    <w:vAlign w:val="center"/>
                  </w:tcPr>
                  <w:p w14:paraId="382ED808" w14:textId="77777777" w:rsidR="00830E72" w:rsidRDefault="008344D8">
                    <w:pPr>
                      <w:autoSpaceDE w:val="0"/>
                      <w:autoSpaceDN w:val="0"/>
                      <w:adjustRightInd w:val="0"/>
                      <w:snapToGrid w:val="0"/>
                      <w:jc w:val="both"/>
                      <w:rPr>
                        <w:szCs w:val="21"/>
                      </w:rPr>
                    </w:pPr>
                    <w:r>
                      <w:rPr>
                        <w:rFonts w:hint="eastAsia"/>
                        <w:szCs w:val="21"/>
                      </w:rPr>
                      <w:t>其他</w:t>
                    </w:r>
                  </w:p>
                </w:tc>
              </w:sdtContent>
            </w:sdt>
            <w:tc>
              <w:tcPr>
                <w:tcW w:w="1011" w:type="pct"/>
                <w:shd w:val="clear" w:color="auto" w:fill="auto"/>
              </w:tcPr>
              <w:p w14:paraId="7822880A" w14:textId="77777777" w:rsidR="00830E72" w:rsidRDefault="00830E72">
                <w:pPr>
                  <w:autoSpaceDE w:val="0"/>
                  <w:autoSpaceDN w:val="0"/>
                  <w:adjustRightInd w:val="0"/>
                  <w:snapToGrid w:val="0"/>
                  <w:ind w:right="180"/>
                  <w:jc w:val="right"/>
                  <w:rPr>
                    <w:szCs w:val="21"/>
                  </w:rPr>
                </w:pPr>
              </w:p>
            </w:tc>
            <w:tc>
              <w:tcPr>
                <w:tcW w:w="1014" w:type="pct"/>
                <w:shd w:val="clear" w:color="auto" w:fill="auto"/>
              </w:tcPr>
              <w:p w14:paraId="5FC9DF5E" w14:textId="77777777" w:rsidR="00830E72" w:rsidRDefault="00830E72">
                <w:pPr>
                  <w:autoSpaceDE w:val="0"/>
                  <w:autoSpaceDN w:val="0"/>
                  <w:adjustRightInd w:val="0"/>
                  <w:snapToGrid w:val="0"/>
                  <w:ind w:right="180"/>
                  <w:jc w:val="right"/>
                  <w:rPr>
                    <w:szCs w:val="21"/>
                  </w:rPr>
                </w:pPr>
              </w:p>
            </w:tc>
            <w:tc>
              <w:tcPr>
                <w:tcW w:w="1021" w:type="pct"/>
                <w:shd w:val="clear" w:color="auto" w:fill="auto"/>
              </w:tcPr>
              <w:p w14:paraId="5E8AFD2D" w14:textId="77777777" w:rsidR="00830E72" w:rsidRDefault="00830E72">
                <w:pPr>
                  <w:autoSpaceDE w:val="0"/>
                  <w:autoSpaceDN w:val="0"/>
                  <w:adjustRightInd w:val="0"/>
                  <w:snapToGrid w:val="0"/>
                  <w:ind w:right="180"/>
                  <w:jc w:val="right"/>
                  <w:rPr>
                    <w:szCs w:val="21"/>
                  </w:rPr>
                </w:pPr>
              </w:p>
            </w:tc>
            <w:tc>
              <w:tcPr>
                <w:tcW w:w="1014" w:type="pct"/>
                <w:shd w:val="clear" w:color="auto" w:fill="auto"/>
              </w:tcPr>
              <w:p w14:paraId="151F93FF" w14:textId="77777777" w:rsidR="00830E72" w:rsidRDefault="00830E72">
                <w:pPr>
                  <w:autoSpaceDE w:val="0"/>
                  <w:autoSpaceDN w:val="0"/>
                  <w:adjustRightInd w:val="0"/>
                  <w:snapToGrid w:val="0"/>
                  <w:ind w:right="180"/>
                  <w:jc w:val="right"/>
                  <w:rPr>
                    <w:szCs w:val="21"/>
                  </w:rPr>
                </w:pPr>
              </w:p>
            </w:tc>
          </w:tr>
          <w:tr w:rsidR="00830E72" w14:paraId="2EC2220B" w14:textId="77777777">
            <w:sdt>
              <w:sdtPr>
                <w:tag w:val="_PLD_f8e1917adbcf4318b4ab05bf11aaef0c"/>
                <w:id w:val="-366454082"/>
                <w:lock w:val="sdtLocked"/>
              </w:sdtPr>
              <w:sdtEndPr/>
              <w:sdtContent>
                <w:tc>
                  <w:tcPr>
                    <w:tcW w:w="940" w:type="pct"/>
                  </w:tcPr>
                  <w:p w14:paraId="1FCB3E1F" w14:textId="77777777" w:rsidR="00830E72" w:rsidRDefault="008344D8">
                    <w:pPr>
                      <w:autoSpaceDE w:val="0"/>
                      <w:autoSpaceDN w:val="0"/>
                      <w:adjustRightInd w:val="0"/>
                      <w:snapToGrid w:val="0"/>
                      <w:jc w:val="center"/>
                      <w:rPr>
                        <w:szCs w:val="21"/>
                      </w:rPr>
                    </w:pPr>
                    <w:r>
                      <w:rPr>
                        <w:rFonts w:hint="eastAsia"/>
                        <w:szCs w:val="21"/>
                      </w:rPr>
                      <w:t>合计</w:t>
                    </w:r>
                  </w:p>
                </w:tc>
              </w:sdtContent>
            </w:sdt>
            <w:tc>
              <w:tcPr>
                <w:tcW w:w="1011" w:type="pct"/>
              </w:tcPr>
              <w:p w14:paraId="531AE46E" w14:textId="77777777" w:rsidR="00830E72" w:rsidRDefault="008344D8">
                <w:pPr>
                  <w:autoSpaceDE w:val="0"/>
                  <w:autoSpaceDN w:val="0"/>
                  <w:adjustRightInd w:val="0"/>
                  <w:snapToGrid w:val="0"/>
                  <w:ind w:right="180"/>
                  <w:jc w:val="right"/>
                  <w:rPr>
                    <w:szCs w:val="21"/>
                  </w:rPr>
                </w:pPr>
                <w:r>
                  <w:rPr>
                    <w:szCs w:val="21"/>
                  </w:rPr>
                  <w:t>44,344,922.59</w:t>
                </w:r>
              </w:p>
            </w:tc>
            <w:tc>
              <w:tcPr>
                <w:tcW w:w="1014" w:type="pct"/>
              </w:tcPr>
              <w:p w14:paraId="49BA4081" w14:textId="77777777" w:rsidR="00830E72" w:rsidRDefault="00830E72">
                <w:pPr>
                  <w:autoSpaceDE w:val="0"/>
                  <w:autoSpaceDN w:val="0"/>
                  <w:adjustRightInd w:val="0"/>
                  <w:snapToGrid w:val="0"/>
                  <w:ind w:right="180"/>
                  <w:jc w:val="right"/>
                  <w:rPr>
                    <w:szCs w:val="21"/>
                  </w:rPr>
                </w:pPr>
              </w:p>
            </w:tc>
            <w:tc>
              <w:tcPr>
                <w:tcW w:w="1021" w:type="pct"/>
              </w:tcPr>
              <w:p w14:paraId="094967F6" w14:textId="77777777" w:rsidR="00830E72" w:rsidRDefault="00830E72">
                <w:pPr>
                  <w:autoSpaceDE w:val="0"/>
                  <w:autoSpaceDN w:val="0"/>
                  <w:adjustRightInd w:val="0"/>
                  <w:snapToGrid w:val="0"/>
                  <w:ind w:right="180"/>
                  <w:jc w:val="right"/>
                  <w:rPr>
                    <w:szCs w:val="21"/>
                  </w:rPr>
                </w:pPr>
              </w:p>
            </w:tc>
            <w:tc>
              <w:tcPr>
                <w:tcW w:w="1014" w:type="pct"/>
              </w:tcPr>
              <w:p w14:paraId="60260CB3" w14:textId="77777777" w:rsidR="00830E72" w:rsidRDefault="008344D8">
                <w:pPr>
                  <w:autoSpaceDE w:val="0"/>
                  <w:autoSpaceDN w:val="0"/>
                  <w:adjustRightInd w:val="0"/>
                  <w:snapToGrid w:val="0"/>
                  <w:ind w:right="180"/>
                  <w:jc w:val="right"/>
                  <w:rPr>
                    <w:szCs w:val="21"/>
                  </w:rPr>
                </w:pPr>
                <w:r>
                  <w:rPr>
                    <w:szCs w:val="21"/>
                  </w:rPr>
                  <w:t>44,344,922.59</w:t>
                </w:r>
              </w:p>
            </w:tc>
          </w:tr>
        </w:tbl>
        <w:p w14:paraId="68A0D2DD" w14:textId="77777777" w:rsidR="00830E72" w:rsidRDefault="00D44830">
          <w:pPr>
            <w:autoSpaceDE w:val="0"/>
            <w:autoSpaceDN w:val="0"/>
            <w:adjustRightInd w:val="0"/>
            <w:rPr>
              <w:color w:val="000000" w:themeColor="text1"/>
              <w:szCs w:val="21"/>
            </w:rPr>
          </w:pPr>
        </w:p>
      </w:sdtContent>
    </w:sdt>
    <w:p w14:paraId="7CC66470"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未分配利润</w:t>
      </w:r>
    </w:p>
    <w:p w14:paraId="62081C10" w14:textId="77777777" w:rsidR="00830E72" w:rsidRDefault="00D44830">
      <w:sdt>
        <w:sdtPr>
          <w:alias w:val="是否适用：未分配利润[双击切换]"/>
          <w:tag w:val="_GBC_32c558bdbb77445cabeee783e5ff910e"/>
          <w:id w:val="-1862349823"/>
          <w:lock w:val="sdtContentLocked"/>
          <w:placeholder>
            <w:docPart w:val="GBC22222222222222222222222222222"/>
          </w:placeholder>
        </w:sdtPr>
        <w:sdtEndPr/>
        <w:sdtContent>
          <w:r w:rsidR="008344D8">
            <w:fldChar w:fldCharType="begin"/>
          </w:r>
          <w:r w:rsidR="008344D8">
            <w:instrText xml:space="preserve"> MACROBUTTON  SnrToggleCheckbox √适用 </w:instrText>
          </w:r>
          <w:r w:rsidR="008344D8">
            <w:fldChar w:fldCharType="end"/>
          </w:r>
          <w:r w:rsidR="008344D8">
            <w:fldChar w:fldCharType="begin"/>
          </w:r>
          <w:r w:rsidR="008344D8">
            <w:instrText xml:space="preserve"> MACROBUTTON  SnrToggleCheckbox □不适用 </w:instrText>
          </w:r>
          <w:r w:rsidR="008344D8">
            <w:fldChar w:fldCharType="end"/>
          </w:r>
        </w:sdtContent>
      </w:sdt>
    </w:p>
    <w:sdt>
      <w:sdtPr>
        <w:rPr>
          <w:rFonts w:hint="eastAsia"/>
          <w:b/>
          <w:bCs/>
          <w:szCs w:val="21"/>
        </w:rPr>
        <w:alias w:val="模块:未分配利润"/>
        <w:tag w:val="_GBC_2cdd2861806d471aa767f92841b30fbf"/>
        <w:id w:val="-633490107"/>
        <w:lock w:val="sdtLocked"/>
        <w:placeholder>
          <w:docPart w:val="GBC22222222222222222222222222222"/>
        </w:placeholder>
      </w:sdtPr>
      <w:sdtEndPr>
        <w:rPr>
          <w:b w:val="0"/>
          <w:bCs w:val="0"/>
        </w:rPr>
      </w:sdtEndPr>
      <w:sdtContent>
        <w:p w14:paraId="6C2989EC" w14:textId="77777777" w:rsidR="00830E72" w:rsidRDefault="008344D8">
          <w:pPr>
            <w:jc w:val="right"/>
            <w:rPr>
              <w:szCs w:val="21"/>
            </w:rPr>
          </w:pPr>
          <w:r>
            <w:rPr>
              <w:rFonts w:hint="eastAsia"/>
              <w:szCs w:val="21"/>
            </w:rPr>
            <w:t>单位：</w:t>
          </w:r>
          <w:sdt>
            <w:sdtPr>
              <w:rPr>
                <w:rFonts w:hint="eastAsia"/>
                <w:szCs w:val="21"/>
              </w:rPr>
              <w:alias w:val="单位：财务附注：未分配利润"/>
              <w:tag w:val="_GBC_cfb07ff3eded4b49916cfc42d821bab6"/>
              <w:id w:val="12876200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55c70fe731be4b84be72ea88afd989b8"/>
              <w:id w:val="5937452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4141"/>
            <w:gridCol w:w="2411"/>
            <w:gridCol w:w="2343"/>
          </w:tblGrid>
          <w:tr w:rsidR="00830E72" w14:paraId="5B36180B" w14:textId="77777777">
            <w:trPr>
              <w:cantSplit/>
            </w:trPr>
            <w:sdt>
              <w:sdtPr>
                <w:tag w:val="_PLD_b6dc2bd7eebb4e6d9f1ccea8d86e6f47"/>
                <w:id w:val="-1452780337"/>
                <w:lock w:val="sdtLocked"/>
              </w:sdtPr>
              <w:sdtEndPr/>
              <w:sdtContent>
                <w:tc>
                  <w:tcPr>
                    <w:tcW w:w="2328" w:type="pct"/>
                    <w:vAlign w:val="center"/>
                  </w:tcPr>
                  <w:p w14:paraId="109D0318" w14:textId="77777777" w:rsidR="00830E72" w:rsidRDefault="008344D8">
                    <w:pPr>
                      <w:jc w:val="center"/>
                      <w:rPr>
                        <w:szCs w:val="21"/>
                      </w:rPr>
                    </w:pPr>
                    <w:r>
                      <w:rPr>
                        <w:rFonts w:hint="eastAsia"/>
                        <w:szCs w:val="21"/>
                      </w:rPr>
                      <w:t>项目</w:t>
                    </w:r>
                  </w:p>
                </w:tc>
              </w:sdtContent>
            </w:sdt>
            <w:sdt>
              <w:sdtPr>
                <w:tag w:val="_PLD_6e60054e3c3747d1a0ffc87edacae2b6"/>
                <w:id w:val="-335068501"/>
                <w:lock w:val="sdtLocked"/>
              </w:sdtPr>
              <w:sdtEndPr/>
              <w:sdtContent>
                <w:tc>
                  <w:tcPr>
                    <w:tcW w:w="1355" w:type="pct"/>
                    <w:vAlign w:val="center"/>
                  </w:tcPr>
                  <w:p w14:paraId="728C79F8" w14:textId="77777777" w:rsidR="00830E72" w:rsidRDefault="008344D8">
                    <w:pPr>
                      <w:jc w:val="center"/>
                      <w:rPr>
                        <w:szCs w:val="21"/>
                      </w:rPr>
                    </w:pPr>
                    <w:r>
                      <w:rPr>
                        <w:rFonts w:hint="eastAsia"/>
                        <w:szCs w:val="21"/>
                      </w:rPr>
                      <w:t>本期</w:t>
                    </w:r>
                  </w:p>
                </w:tc>
              </w:sdtContent>
            </w:sdt>
            <w:sdt>
              <w:sdtPr>
                <w:tag w:val="_PLD_9afd54e9959d4b22b00bfe92596a2a16"/>
                <w:id w:val="384683357"/>
                <w:lock w:val="sdtLocked"/>
              </w:sdtPr>
              <w:sdtEndPr/>
              <w:sdtContent>
                <w:tc>
                  <w:tcPr>
                    <w:tcW w:w="1317" w:type="pct"/>
                    <w:vAlign w:val="center"/>
                  </w:tcPr>
                  <w:p w14:paraId="12301F86" w14:textId="77777777" w:rsidR="00830E72" w:rsidRDefault="008344D8">
                    <w:pPr>
                      <w:jc w:val="center"/>
                      <w:rPr>
                        <w:szCs w:val="21"/>
                      </w:rPr>
                    </w:pPr>
                    <w:r>
                      <w:rPr>
                        <w:rFonts w:hint="eastAsia"/>
                        <w:szCs w:val="21"/>
                      </w:rPr>
                      <w:t>上年度</w:t>
                    </w:r>
                  </w:p>
                </w:tc>
              </w:sdtContent>
            </w:sdt>
          </w:tr>
          <w:tr w:rsidR="00830E72" w14:paraId="030135D3" w14:textId="77777777">
            <w:trPr>
              <w:cantSplit/>
            </w:trPr>
            <w:sdt>
              <w:sdtPr>
                <w:tag w:val="_PLD_3790b8d7d129484381d1c2fa2fa8d23c"/>
                <w:id w:val="160667830"/>
                <w:lock w:val="sdtLocked"/>
              </w:sdtPr>
              <w:sdtEndPr/>
              <w:sdtContent>
                <w:tc>
                  <w:tcPr>
                    <w:tcW w:w="2328" w:type="pct"/>
                  </w:tcPr>
                  <w:p w14:paraId="454538F6" w14:textId="77777777" w:rsidR="00830E72" w:rsidRDefault="008344D8">
                    <w:pPr>
                      <w:rPr>
                        <w:szCs w:val="21"/>
                      </w:rPr>
                    </w:pPr>
                    <w:r>
                      <w:rPr>
                        <w:rFonts w:hint="eastAsia"/>
                        <w:szCs w:val="21"/>
                      </w:rPr>
                      <w:t>调整前上期末未分配利润</w:t>
                    </w:r>
                  </w:p>
                </w:tc>
              </w:sdtContent>
            </w:sdt>
            <w:tc>
              <w:tcPr>
                <w:tcW w:w="1355" w:type="pct"/>
              </w:tcPr>
              <w:p w14:paraId="0BA6FC7A" w14:textId="77777777" w:rsidR="00830E72" w:rsidRDefault="008344D8">
                <w:pPr>
                  <w:ind w:right="6"/>
                  <w:jc w:val="right"/>
                  <w:rPr>
                    <w:szCs w:val="21"/>
                  </w:rPr>
                </w:pPr>
                <w:r>
                  <w:rPr>
                    <w:szCs w:val="21"/>
                  </w:rPr>
                  <w:t>358,296,774.06</w:t>
                </w:r>
              </w:p>
            </w:tc>
            <w:tc>
              <w:tcPr>
                <w:tcW w:w="1317" w:type="pct"/>
              </w:tcPr>
              <w:p w14:paraId="20309642" w14:textId="77777777" w:rsidR="00830E72" w:rsidRDefault="008344D8">
                <w:pPr>
                  <w:jc w:val="right"/>
                  <w:rPr>
                    <w:szCs w:val="21"/>
                  </w:rPr>
                </w:pPr>
                <w:r>
                  <w:rPr>
                    <w:szCs w:val="21"/>
                  </w:rPr>
                  <w:t>322,369,956.08</w:t>
                </w:r>
              </w:p>
            </w:tc>
          </w:tr>
          <w:tr w:rsidR="00830E72" w14:paraId="7F36661A" w14:textId="77777777">
            <w:trPr>
              <w:cantSplit/>
            </w:trPr>
            <w:sdt>
              <w:sdtPr>
                <w:tag w:val="_PLD_99b1e9805f3e4b93aa362504b83793b1"/>
                <w:id w:val="1795480612"/>
                <w:lock w:val="sdtLocked"/>
              </w:sdtPr>
              <w:sdtEndPr/>
              <w:sdtContent>
                <w:tc>
                  <w:tcPr>
                    <w:tcW w:w="2328" w:type="pct"/>
                  </w:tcPr>
                  <w:p w14:paraId="607A9CF1" w14:textId="77777777" w:rsidR="00830E72" w:rsidRDefault="008344D8">
                    <w:pPr>
                      <w:rPr>
                        <w:szCs w:val="21"/>
                      </w:rPr>
                    </w:pPr>
                    <w:r>
                      <w:rPr>
                        <w:rFonts w:hint="eastAsia"/>
                        <w:szCs w:val="21"/>
                      </w:rPr>
                      <w:t>调整期初未分配利润合计数（调增</w:t>
                    </w:r>
                    <w:r>
                      <w:rPr>
                        <w:szCs w:val="21"/>
                      </w:rPr>
                      <w:t>+</w:t>
                    </w:r>
                    <w:r>
                      <w:rPr>
                        <w:rFonts w:hint="eastAsia"/>
                        <w:szCs w:val="21"/>
                      </w:rPr>
                      <w:t>，调减－）</w:t>
                    </w:r>
                  </w:p>
                </w:tc>
              </w:sdtContent>
            </w:sdt>
            <w:tc>
              <w:tcPr>
                <w:tcW w:w="1355" w:type="pct"/>
              </w:tcPr>
              <w:p w14:paraId="5AE3B9B8" w14:textId="77777777" w:rsidR="00830E72" w:rsidRDefault="00830E72">
                <w:pPr>
                  <w:ind w:right="6"/>
                  <w:jc w:val="right"/>
                  <w:rPr>
                    <w:szCs w:val="21"/>
                  </w:rPr>
                </w:pPr>
              </w:p>
            </w:tc>
            <w:tc>
              <w:tcPr>
                <w:tcW w:w="1317" w:type="pct"/>
              </w:tcPr>
              <w:p w14:paraId="6D58B576" w14:textId="77777777" w:rsidR="00830E72" w:rsidRDefault="008344D8">
                <w:pPr>
                  <w:ind w:right="6"/>
                  <w:jc w:val="right"/>
                  <w:rPr>
                    <w:szCs w:val="21"/>
                  </w:rPr>
                </w:pPr>
                <w:r>
                  <w:rPr>
                    <w:szCs w:val="21"/>
                  </w:rPr>
                  <w:t>-2,501,269.00</w:t>
                </w:r>
              </w:p>
            </w:tc>
          </w:tr>
          <w:tr w:rsidR="00830E72" w14:paraId="216C319D" w14:textId="77777777">
            <w:trPr>
              <w:cantSplit/>
            </w:trPr>
            <w:sdt>
              <w:sdtPr>
                <w:tag w:val="_PLD_7a98e2bc7c1b48d785851921473e7f5f"/>
                <w:id w:val="2087955734"/>
                <w:lock w:val="sdtLocked"/>
              </w:sdtPr>
              <w:sdtEndPr/>
              <w:sdtContent>
                <w:tc>
                  <w:tcPr>
                    <w:tcW w:w="2328" w:type="pct"/>
                  </w:tcPr>
                  <w:p w14:paraId="64F7E58F" w14:textId="77777777" w:rsidR="00830E72" w:rsidRDefault="008344D8">
                    <w:pPr>
                      <w:rPr>
                        <w:szCs w:val="21"/>
                      </w:rPr>
                    </w:pPr>
                    <w:r>
                      <w:rPr>
                        <w:rFonts w:hint="eastAsia"/>
                        <w:szCs w:val="21"/>
                      </w:rPr>
                      <w:t>调整后期初未分配利润</w:t>
                    </w:r>
                  </w:p>
                </w:tc>
              </w:sdtContent>
            </w:sdt>
            <w:tc>
              <w:tcPr>
                <w:tcW w:w="1355" w:type="pct"/>
              </w:tcPr>
              <w:p w14:paraId="152E915E" w14:textId="77777777" w:rsidR="00830E72" w:rsidRDefault="008344D8">
                <w:pPr>
                  <w:ind w:right="6"/>
                  <w:jc w:val="right"/>
                  <w:rPr>
                    <w:szCs w:val="21"/>
                  </w:rPr>
                </w:pPr>
                <w:r>
                  <w:rPr>
                    <w:szCs w:val="21"/>
                  </w:rPr>
                  <w:t>358,296,774.06</w:t>
                </w:r>
              </w:p>
            </w:tc>
            <w:tc>
              <w:tcPr>
                <w:tcW w:w="1317" w:type="pct"/>
              </w:tcPr>
              <w:p w14:paraId="368B84A3" w14:textId="77777777" w:rsidR="00830E72" w:rsidRDefault="008344D8">
                <w:pPr>
                  <w:ind w:right="6"/>
                  <w:jc w:val="right"/>
                  <w:rPr>
                    <w:szCs w:val="21"/>
                  </w:rPr>
                </w:pPr>
                <w:r>
                  <w:rPr>
                    <w:szCs w:val="21"/>
                  </w:rPr>
                  <w:t>319,868,687.08</w:t>
                </w:r>
              </w:p>
            </w:tc>
          </w:tr>
          <w:tr w:rsidR="00830E72" w14:paraId="6B0926A2" w14:textId="77777777">
            <w:trPr>
              <w:cantSplit/>
            </w:trPr>
            <w:sdt>
              <w:sdtPr>
                <w:tag w:val="_PLD_2a8ba0dc26a946cbb60b0ff473f157c1"/>
                <w:id w:val="-1736924183"/>
                <w:lock w:val="sdtLocked"/>
              </w:sdtPr>
              <w:sdtEndPr/>
              <w:sdtContent>
                <w:tc>
                  <w:tcPr>
                    <w:tcW w:w="2328" w:type="pct"/>
                  </w:tcPr>
                  <w:p w14:paraId="4EB82A0D" w14:textId="77777777" w:rsidR="00830E72" w:rsidRDefault="008344D8">
                    <w:pPr>
                      <w:ind w:right="6"/>
                      <w:rPr>
                        <w:szCs w:val="21"/>
                      </w:rPr>
                    </w:pPr>
                    <w:r>
                      <w:rPr>
                        <w:rFonts w:hint="eastAsia"/>
                        <w:szCs w:val="21"/>
                      </w:rPr>
                      <w:t>加：本期归属于母公司所有者的净利润</w:t>
                    </w:r>
                  </w:p>
                </w:tc>
              </w:sdtContent>
            </w:sdt>
            <w:tc>
              <w:tcPr>
                <w:tcW w:w="1355" w:type="pct"/>
              </w:tcPr>
              <w:p w14:paraId="0A3222A5" w14:textId="77777777" w:rsidR="00830E72" w:rsidRDefault="008344D8">
                <w:pPr>
                  <w:ind w:right="6"/>
                  <w:jc w:val="right"/>
                  <w:rPr>
                    <w:szCs w:val="21"/>
                  </w:rPr>
                </w:pPr>
                <w:r>
                  <w:rPr>
                    <w:szCs w:val="21"/>
                  </w:rPr>
                  <w:t>49,245,587.01</w:t>
                </w:r>
              </w:p>
            </w:tc>
            <w:tc>
              <w:tcPr>
                <w:tcW w:w="1317" w:type="pct"/>
              </w:tcPr>
              <w:p w14:paraId="4067D953" w14:textId="77777777" w:rsidR="00830E72" w:rsidRDefault="008344D8">
                <w:pPr>
                  <w:ind w:right="6"/>
                  <w:jc w:val="right"/>
                  <w:rPr>
                    <w:szCs w:val="21"/>
                  </w:rPr>
                </w:pPr>
                <w:r>
                  <w:rPr>
                    <w:szCs w:val="21"/>
                  </w:rPr>
                  <w:t>97,115,358.96</w:t>
                </w:r>
              </w:p>
            </w:tc>
          </w:tr>
          <w:tr w:rsidR="00830E72" w14:paraId="01149DB5" w14:textId="77777777">
            <w:trPr>
              <w:cantSplit/>
            </w:trPr>
            <w:sdt>
              <w:sdtPr>
                <w:tag w:val="_PLD_97aab68ad9b74921a7946fa4d2999e51"/>
                <w:id w:val="-1539269560"/>
                <w:lock w:val="sdtLocked"/>
              </w:sdtPr>
              <w:sdtEndPr/>
              <w:sdtContent>
                <w:tc>
                  <w:tcPr>
                    <w:tcW w:w="2328" w:type="pct"/>
                  </w:tcPr>
                  <w:p w14:paraId="591BFAC1" w14:textId="77777777" w:rsidR="00830E72" w:rsidRDefault="008344D8">
                    <w:pPr>
                      <w:autoSpaceDE w:val="0"/>
                      <w:autoSpaceDN w:val="0"/>
                      <w:adjustRightInd w:val="0"/>
                      <w:rPr>
                        <w:szCs w:val="21"/>
                      </w:rPr>
                    </w:pPr>
                    <w:r>
                      <w:rPr>
                        <w:rFonts w:hint="eastAsia"/>
                        <w:szCs w:val="21"/>
                      </w:rPr>
                      <w:t>减：提取法定盈余公积</w:t>
                    </w:r>
                  </w:p>
                </w:tc>
              </w:sdtContent>
            </w:sdt>
            <w:tc>
              <w:tcPr>
                <w:tcW w:w="1355" w:type="pct"/>
              </w:tcPr>
              <w:p w14:paraId="216F9927" w14:textId="77777777" w:rsidR="00830E72" w:rsidRDefault="00830E72">
                <w:pPr>
                  <w:jc w:val="right"/>
                  <w:rPr>
                    <w:szCs w:val="21"/>
                  </w:rPr>
                </w:pPr>
              </w:p>
            </w:tc>
            <w:tc>
              <w:tcPr>
                <w:tcW w:w="1317" w:type="pct"/>
              </w:tcPr>
              <w:p w14:paraId="51533B3E" w14:textId="77777777" w:rsidR="00830E72" w:rsidRDefault="008344D8">
                <w:pPr>
                  <w:ind w:right="6"/>
                  <w:jc w:val="right"/>
                  <w:rPr>
                    <w:szCs w:val="21"/>
                  </w:rPr>
                </w:pPr>
                <w:r>
                  <w:rPr>
                    <w:szCs w:val="21"/>
                  </w:rPr>
                  <w:t>8,787,271.98</w:t>
                </w:r>
              </w:p>
            </w:tc>
          </w:tr>
          <w:tr w:rsidR="00830E72" w14:paraId="2FF85DB2" w14:textId="77777777">
            <w:trPr>
              <w:cantSplit/>
            </w:trPr>
            <w:sdt>
              <w:sdtPr>
                <w:tag w:val="_PLD_76ebcf558d244f77a28b1f8b843a2b3a"/>
                <w:id w:val="-1252663293"/>
                <w:lock w:val="sdtLocked"/>
              </w:sdtPr>
              <w:sdtEndPr/>
              <w:sdtContent>
                <w:tc>
                  <w:tcPr>
                    <w:tcW w:w="2328" w:type="pct"/>
                  </w:tcPr>
                  <w:p w14:paraId="0EF2D69D" w14:textId="77777777" w:rsidR="00830E72" w:rsidRDefault="008344D8">
                    <w:pPr>
                      <w:autoSpaceDE w:val="0"/>
                      <w:autoSpaceDN w:val="0"/>
                      <w:adjustRightInd w:val="0"/>
                      <w:ind w:firstLine="420"/>
                      <w:rPr>
                        <w:szCs w:val="21"/>
                      </w:rPr>
                    </w:pPr>
                    <w:r>
                      <w:rPr>
                        <w:rFonts w:hint="eastAsia"/>
                        <w:szCs w:val="21"/>
                      </w:rPr>
                      <w:t>提取任意盈余公积</w:t>
                    </w:r>
                  </w:p>
                </w:tc>
              </w:sdtContent>
            </w:sdt>
            <w:tc>
              <w:tcPr>
                <w:tcW w:w="1355" w:type="pct"/>
              </w:tcPr>
              <w:p w14:paraId="151FFECF" w14:textId="77777777" w:rsidR="00830E72" w:rsidRDefault="00830E72">
                <w:pPr>
                  <w:jc w:val="right"/>
                  <w:rPr>
                    <w:szCs w:val="21"/>
                  </w:rPr>
                </w:pPr>
              </w:p>
            </w:tc>
            <w:tc>
              <w:tcPr>
                <w:tcW w:w="1317" w:type="pct"/>
              </w:tcPr>
              <w:p w14:paraId="077F0BE7" w14:textId="77777777" w:rsidR="00830E72" w:rsidRDefault="00830E72">
                <w:pPr>
                  <w:ind w:right="6"/>
                  <w:jc w:val="right"/>
                  <w:rPr>
                    <w:szCs w:val="21"/>
                  </w:rPr>
                </w:pPr>
              </w:p>
            </w:tc>
          </w:tr>
          <w:tr w:rsidR="00830E72" w14:paraId="020D5817" w14:textId="77777777">
            <w:trPr>
              <w:cantSplit/>
            </w:trPr>
            <w:sdt>
              <w:sdtPr>
                <w:tag w:val="_PLD_c773909db1b34f04acac84ec73864a3f"/>
                <w:id w:val="1758945951"/>
                <w:lock w:val="sdtLocked"/>
              </w:sdtPr>
              <w:sdtEndPr/>
              <w:sdtContent>
                <w:tc>
                  <w:tcPr>
                    <w:tcW w:w="2328" w:type="pct"/>
                  </w:tcPr>
                  <w:p w14:paraId="662F3D68" w14:textId="77777777" w:rsidR="00830E72" w:rsidRDefault="008344D8">
                    <w:pPr>
                      <w:autoSpaceDE w:val="0"/>
                      <w:autoSpaceDN w:val="0"/>
                      <w:adjustRightInd w:val="0"/>
                      <w:ind w:firstLine="420"/>
                      <w:rPr>
                        <w:szCs w:val="21"/>
                      </w:rPr>
                    </w:pPr>
                    <w:r>
                      <w:rPr>
                        <w:rFonts w:hint="eastAsia"/>
                        <w:szCs w:val="21"/>
                      </w:rPr>
                      <w:t>提取一般风险准备</w:t>
                    </w:r>
                  </w:p>
                </w:tc>
              </w:sdtContent>
            </w:sdt>
            <w:tc>
              <w:tcPr>
                <w:tcW w:w="1355" w:type="pct"/>
              </w:tcPr>
              <w:p w14:paraId="3D53A8C5" w14:textId="77777777" w:rsidR="00830E72" w:rsidRDefault="00830E72">
                <w:pPr>
                  <w:jc w:val="right"/>
                  <w:rPr>
                    <w:szCs w:val="21"/>
                  </w:rPr>
                </w:pPr>
              </w:p>
            </w:tc>
            <w:tc>
              <w:tcPr>
                <w:tcW w:w="1317" w:type="pct"/>
              </w:tcPr>
              <w:p w14:paraId="4D7E519A" w14:textId="77777777" w:rsidR="00830E72" w:rsidRDefault="00830E72">
                <w:pPr>
                  <w:ind w:right="6"/>
                  <w:jc w:val="right"/>
                  <w:rPr>
                    <w:szCs w:val="21"/>
                  </w:rPr>
                </w:pPr>
              </w:p>
            </w:tc>
          </w:tr>
          <w:tr w:rsidR="00830E72" w14:paraId="57367AE2" w14:textId="77777777">
            <w:trPr>
              <w:cantSplit/>
            </w:trPr>
            <w:sdt>
              <w:sdtPr>
                <w:tag w:val="_PLD_d2ba40ebcadd4931bdef6468fc324069"/>
                <w:id w:val="-1800220138"/>
                <w:lock w:val="sdtLocked"/>
              </w:sdtPr>
              <w:sdtEndPr/>
              <w:sdtContent>
                <w:tc>
                  <w:tcPr>
                    <w:tcW w:w="2328" w:type="pct"/>
                  </w:tcPr>
                  <w:p w14:paraId="54F92759" w14:textId="77777777" w:rsidR="00830E72" w:rsidRDefault="008344D8">
                    <w:pPr>
                      <w:autoSpaceDE w:val="0"/>
                      <w:autoSpaceDN w:val="0"/>
                      <w:adjustRightInd w:val="0"/>
                      <w:ind w:firstLine="420"/>
                      <w:rPr>
                        <w:szCs w:val="21"/>
                      </w:rPr>
                    </w:pPr>
                    <w:r>
                      <w:rPr>
                        <w:rFonts w:hint="eastAsia"/>
                        <w:szCs w:val="21"/>
                      </w:rPr>
                      <w:t>应付普通股股利</w:t>
                    </w:r>
                  </w:p>
                </w:tc>
              </w:sdtContent>
            </w:sdt>
            <w:tc>
              <w:tcPr>
                <w:tcW w:w="1355" w:type="pct"/>
              </w:tcPr>
              <w:p w14:paraId="756755A0" w14:textId="77777777" w:rsidR="00830E72" w:rsidRDefault="008344D8">
                <w:pPr>
                  <w:jc w:val="right"/>
                  <w:rPr>
                    <w:szCs w:val="21"/>
                  </w:rPr>
                </w:pPr>
                <w:r>
                  <w:rPr>
                    <w:szCs w:val="21"/>
                  </w:rPr>
                  <w:t>29,940,000.00</w:t>
                </w:r>
              </w:p>
            </w:tc>
            <w:tc>
              <w:tcPr>
                <w:tcW w:w="1317" w:type="pct"/>
              </w:tcPr>
              <w:p w14:paraId="184CD93B" w14:textId="77777777" w:rsidR="00830E72" w:rsidRDefault="008344D8">
                <w:pPr>
                  <w:ind w:right="6"/>
                  <w:jc w:val="right"/>
                  <w:rPr>
                    <w:szCs w:val="21"/>
                  </w:rPr>
                </w:pPr>
                <w:r>
                  <w:rPr>
                    <w:szCs w:val="21"/>
                  </w:rPr>
                  <w:t>49,900,000.00</w:t>
                </w:r>
              </w:p>
            </w:tc>
          </w:tr>
          <w:tr w:rsidR="00830E72" w14:paraId="501E37C2" w14:textId="77777777">
            <w:trPr>
              <w:cantSplit/>
            </w:trPr>
            <w:sdt>
              <w:sdtPr>
                <w:tag w:val="_PLD_d8041f36a4744fe893cd617b9149d704"/>
                <w:id w:val="-927809483"/>
                <w:lock w:val="sdtLocked"/>
              </w:sdtPr>
              <w:sdtEndPr/>
              <w:sdtContent>
                <w:tc>
                  <w:tcPr>
                    <w:tcW w:w="2328" w:type="pct"/>
                  </w:tcPr>
                  <w:p w14:paraId="601510C2" w14:textId="77777777" w:rsidR="00830E72" w:rsidRDefault="008344D8">
                    <w:pPr>
                      <w:autoSpaceDE w:val="0"/>
                      <w:autoSpaceDN w:val="0"/>
                      <w:adjustRightInd w:val="0"/>
                      <w:ind w:firstLine="420"/>
                      <w:rPr>
                        <w:szCs w:val="21"/>
                      </w:rPr>
                    </w:pPr>
                    <w:r>
                      <w:rPr>
                        <w:rFonts w:hint="eastAsia"/>
                        <w:szCs w:val="21"/>
                      </w:rPr>
                      <w:t>转作股本的普通股股利</w:t>
                    </w:r>
                  </w:p>
                </w:tc>
              </w:sdtContent>
            </w:sdt>
            <w:tc>
              <w:tcPr>
                <w:tcW w:w="1355" w:type="pct"/>
              </w:tcPr>
              <w:p w14:paraId="2330C875" w14:textId="77777777" w:rsidR="00830E72" w:rsidRDefault="00830E72">
                <w:pPr>
                  <w:jc w:val="right"/>
                  <w:rPr>
                    <w:szCs w:val="21"/>
                  </w:rPr>
                </w:pPr>
              </w:p>
            </w:tc>
            <w:tc>
              <w:tcPr>
                <w:tcW w:w="1317" w:type="pct"/>
              </w:tcPr>
              <w:p w14:paraId="2186EC26" w14:textId="77777777" w:rsidR="00830E72" w:rsidRDefault="00830E72">
                <w:pPr>
                  <w:ind w:right="6"/>
                  <w:jc w:val="right"/>
                  <w:rPr>
                    <w:szCs w:val="21"/>
                  </w:rPr>
                </w:pPr>
              </w:p>
            </w:tc>
          </w:tr>
          <w:tr w:rsidR="00830E72" w14:paraId="79CDD52D" w14:textId="77777777">
            <w:trPr>
              <w:cantSplit/>
            </w:trPr>
            <w:sdt>
              <w:sdtPr>
                <w:tag w:val="_PLD_0654c3e21e6d4aa0a63a12e93a24988a"/>
                <w:id w:val="1697578188"/>
                <w:lock w:val="sdtLocked"/>
              </w:sdtPr>
              <w:sdtEndPr/>
              <w:sdtContent>
                <w:tc>
                  <w:tcPr>
                    <w:tcW w:w="2328" w:type="pct"/>
                  </w:tcPr>
                  <w:p w14:paraId="324DF208" w14:textId="77777777" w:rsidR="00830E72" w:rsidRDefault="008344D8">
                    <w:pPr>
                      <w:autoSpaceDE w:val="0"/>
                      <w:autoSpaceDN w:val="0"/>
                      <w:adjustRightInd w:val="0"/>
                      <w:rPr>
                        <w:szCs w:val="21"/>
                      </w:rPr>
                    </w:pPr>
                    <w:r>
                      <w:rPr>
                        <w:rFonts w:hint="eastAsia"/>
                        <w:szCs w:val="21"/>
                      </w:rPr>
                      <w:t>期末未分配利润</w:t>
                    </w:r>
                  </w:p>
                </w:tc>
              </w:sdtContent>
            </w:sdt>
            <w:tc>
              <w:tcPr>
                <w:tcW w:w="1355" w:type="pct"/>
              </w:tcPr>
              <w:p w14:paraId="734AED9A" w14:textId="77777777" w:rsidR="00830E72" w:rsidRDefault="008344D8">
                <w:pPr>
                  <w:jc w:val="right"/>
                  <w:rPr>
                    <w:szCs w:val="21"/>
                  </w:rPr>
                </w:pPr>
                <w:r>
                  <w:rPr>
                    <w:szCs w:val="21"/>
                  </w:rPr>
                  <w:t>377,602,361.07</w:t>
                </w:r>
              </w:p>
            </w:tc>
            <w:tc>
              <w:tcPr>
                <w:tcW w:w="1317" w:type="pct"/>
              </w:tcPr>
              <w:p w14:paraId="1C8A1ED7" w14:textId="54B687EF" w:rsidR="00830E72" w:rsidRDefault="008344D8">
                <w:pPr>
                  <w:ind w:right="6"/>
                  <w:jc w:val="right"/>
                  <w:rPr>
                    <w:szCs w:val="21"/>
                  </w:rPr>
                </w:pPr>
                <w:r>
                  <w:rPr>
                    <w:szCs w:val="21"/>
                  </w:rPr>
                  <w:t>358,</w:t>
                </w:r>
                <w:r w:rsidR="007512F4">
                  <w:rPr>
                    <w:szCs w:val="21"/>
                  </w:rPr>
                  <w:t>296</w:t>
                </w:r>
                <w:r>
                  <w:rPr>
                    <w:szCs w:val="21"/>
                  </w:rPr>
                  <w:t>,</w:t>
                </w:r>
                <w:r w:rsidR="007512F4">
                  <w:rPr>
                    <w:szCs w:val="21"/>
                  </w:rPr>
                  <w:t>774</w:t>
                </w:r>
                <w:r>
                  <w:rPr>
                    <w:szCs w:val="21"/>
                  </w:rPr>
                  <w:t>.</w:t>
                </w:r>
                <w:r w:rsidR="007512F4">
                  <w:rPr>
                    <w:szCs w:val="21"/>
                  </w:rPr>
                  <w:t>06</w:t>
                </w:r>
              </w:p>
            </w:tc>
          </w:tr>
        </w:tbl>
        <w:p w14:paraId="68780C97" w14:textId="77777777" w:rsidR="00830E72" w:rsidRDefault="008344D8">
          <w:pPr>
            <w:spacing w:before="60" w:after="60"/>
            <w:rPr>
              <w:color w:val="000000" w:themeColor="text1"/>
              <w:szCs w:val="21"/>
            </w:rPr>
          </w:pPr>
          <w:r>
            <w:rPr>
              <w:rFonts w:hint="eastAsia"/>
              <w:color w:val="000000" w:themeColor="text1"/>
              <w:szCs w:val="21"/>
            </w:rPr>
            <w:t>调整期初未分配利润明细：</w:t>
          </w:r>
        </w:p>
        <w:p w14:paraId="6087F6C3" w14:textId="77777777" w:rsidR="00830E72" w:rsidRDefault="008344D8">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a54a245e74754754a6239606b5ebbb06"/>
              <w:id w:val="-309406156"/>
              <w:lock w:val="sdtLocked"/>
              <w:placeholder>
                <w:docPart w:val="GBC22222222222222222222222222222"/>
              </w:placeholder>
            </w:sdtPr>
            <w:sdtEndPr/>
            <w:sdtContent>
              <w:r>
                <w:rPr>
                  <w:rFonts w:hint="eastAsia"/>
                  <w:szCs w:val="21"/>
                </w:rPr>
                <w:t>0</w:t>
              </w:r>
            </w:sdtContent>
          </w:sdt>
          <w:r>
            <w:rPr>
              <w:rFonts w:hint="eastAsia"/>
              <w:szCs w:val="21"/>
            </w:rPr>
            <w:t xml:space="preserve"> 元。</w:t>
          </w:r>
        </w:p>
        <w:p w14:paraId="5B1284FC" w14:textId="77777777" w:rsidR="00830E72" w:rsidRDefault="008344D8">
          <w:pPr>
            <w:rPr>
              <w:szCs w:val="21"/>
            </w:rPr>
          </w:pPr>
          <w:r>
            <w:rPr>
              <w:rFonts w:hint="eastAsia"/>
              <w:szCs w:val="21"/>
            </w:rPr>
            <w:t>2、由于会计政策变更，影响期初未分配利润</w:t>
          </w:r>
          <w:sdt>
            <w:sdtPr>
              <w:rPr>
                <w:rFonts w:hint="eastAsia"/>
                <w:szCs w:val="21"/>
              </w:rPr>
              <w:alias w:val="由于会计政策变更影响年初未分配利润"/>
              <w:tag w:val="_GBC_8295d6891c8842f58b58e4223b4e1700"/>
              <w:id w:val="1280460261"/>
              <w:lock w:val="sdtLocked"/>
              <w:placeholder>
                <w:docPart w:val="GBC22222222222222222222222222222"/>
              </w:placeholder>
            </w:sdtPr>
            <w:sdtEndPr/>
            <w:sdtContent>
              <w:r>
                <w:rPr>
                  <w:rFonts w:hint="eastAsia"/>
                  <w:szCs w:val="21"/>
                </w:rPr>
                <w:t>0</w:t>
              </w:r>
            </w:sdtContent>
          </w:sdt>
          <w:r>
            <w:rPr>
              <w:rFonts w:hint="eastAsia"/>
              <w:szCs w:val="21"/>
            </w:rPr>
            <w:t xml:space="preserve"> 元。</w:t>
          </w:r>
        </w:p>
        <w:p w14:paraId="708491D5" w14:textId="77777777" w:rsidR="00830E72" w:rsidRDefault="008344D8">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34728ea6faff41218abab9b8fede268c"/>
              <w:id w:val="702211275"/>
              <w:lock w:val="sdtLocked"/>
              <w:placeholder>
                <w:docPart w:val="GBC22222222222222222222222222222"/>
              </w:placeholder>
            </w:sdtPr>
            <w:sdtEndPr/>
            <w:sdtContent>
              <w:r>
                <w:rPr>
                  <w:rFonts w:hint="eastAsia"/>
                  <w:szCs w:val="21"/>
                </w:rPr>
                <w:t>0</w:t>
              </w:r>
            </w:sdtContent>
          </w:sdt>
          <w:r>
            <w:rPr>
              <w:rFonts w:hint="eastAsia"/>
              <w:szCs w:val="21"/>
            </w:rPr>
            <w:t xml:space="preserve"> 元。</w:t>
          </w:r>
        </w:p>
        <w:p w14:paraId="28DB93DD" w14:textId="77777777" w:rsidR="00830E72" w:rsidRDefault="008344D8">
          <w:pPr>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4d9b7a873cb94aba9044210a45f81108"/>
              <w:id w:val="676381744"/>
              <w:lock w:val="sdtLocked"/>
              <w:placeholder>
                <w:docPart w:val="GBC22222222222222222222222222222"/>
              </w:placeholder>
            </w:sdtPr>
            <w:sdtEndPr/>
            <w:sdtContent>
              <w:r>
                <w:rPr>
                  <w:rFonts w:hint="eastAsia"/>
                  <w:szCs w:val="21"/>
                </w:rPr>
                <w:t>0</w:t>
              </w:r>
            </w:sdtContent>
          </w:sdt>
          <w:r>
            <w:rPr>
              <w:rFonts w:hint="eastAsia"/>
              <w:szCs w:val="21"/>
            </w:rPr>
            <w:t xml:space="preserve"> 元。</w:t>
          </w:r>
        </w:p>
        <w:p w14:paraId="0AC445F4" w14:textId="77777777" w:rsidR="00830E72" w:rsidRDefault="008344D8">
          <w:pPr>
            <w:rPr>
              <w:szCs w:val="21"/>
            </w:rPr>
          </w:pPr>
          <w:r>
            <w:rPr>
              <w:rFonts w:hint="eastAsia"/>
              <w:szCs w:val="21"/>
            </w:rPr>
            <w:t>5、其他调整合计影响期初未分配利润</w:t>
          </w:r>
          <w:sdt>
            <w:sdtPr>
              <w:rPr>
                <w:rFonts w:hint="eastAsia"/>
                <w:szCs w:val="21"/>
              </w:rPr>
              <w:alias w:val="其他调整合计影响年初未分配利润"/>
              <w:tag w:val="_GBC_ccd86b3788e04a70a2e6a2167027d7cb"/>
              <w:id w:val="784852212"/>
              <w:lock w:val="sdtLocked"/>
              <w:placeholder>
                <w:docPart w:val="GBC22222222222222222222222222222"/>
              </w:placeholder>
            </w:sdtPr>
            <w:sdtEndPr/>
            <w:sdtContent>
              <w:r>
                <w:rPr>
                  <w:rFonts w:hint="eastAsia"/>
                  <w:szCs w:val="21"/>
                </w:rPr>
                <w:t>0</w:t>
              </w:r>
            </w:sdtContent>
          </w:sdt>
          <w:r>
            <w:rPr>
              <w:rFonts w:hint="eastAsia"/>
              <w:szCs w:val="21"/>
            </w:rPr>
            <w:t xml:space="preserve"> 元。</w:t>
          </w:r>
        </w:p>
      </w:sdtContent>
    </w:sdt>
    <w:sdt>
      <w:sdtPr>
        <w:rPr>
          <w:rFonts w:ascii="宋体" w:hAnsi="宋体" w:cs="宋体" w:hint="eastAsia"/>
          <w:b w:val="0"/>
          <w:bCs w:val="0"/>
          <w:kern w:val="0"/>
          <w:szCs w:val="21"/>
        </w:rPr>
        <w:alias w:val="模块:营业收入和营业成本"/>
        <w:tag w:val="_GBC_a3a22662ec3d4fb69e12845051ced996"/>
        <w:id w:val="1723247943"/>
        <w:lock w:val="sdtLocked"/>
        <w:placeholder>
          <w:docPart w:val="GBC22222222222222222222222222222"/>
        </w:placeholder>
      </w:sdtPr>
      <w:sdtEndPr>
        <w:rPr>
          <w:rFonts w:hint="default"/>
        </w:rPr>
      </w:sdtEndPr>
      <w:sdtContent>
        <w:p w14:paraId="26BC4BC1" w14:textId="77777777" w:rsidR="00830E72" w:rsidRDefault="008344D8">
          <w:pPr>
            <w:pStyle w:val="Style99"/>
            <w:numPr>
              <w:ilvl w:val="0"/>
              <w:numId w:val="45"/>
            </w:numPr>
            <w:tabs>
              <w:tab w:val="left" w:pos="504"/>
            </w:tabs>
            <w:rPr>
              <w:rFonts w:ascii="宋体" w:hAnsi="宋体"/>
              <w:szCs w:val="21"/>
            </w:rPr>
          </w:pPr>
          <w:r>
            <w:rPr>
              <w:rFonts w:ascii="宋体" w:hAnsi="宋体"/>
              <w:szCs w:val="21"/>
            </w:rPr>
            <w:t>营业收入和营业成本</w:t>
          </w:r>
        </w:p>
        <w:p w14:paraId="20B2E1BD" w14:textId="77777777" w:rsidR="00830E72" w:rsidRDefault="008344D8">
          <w:pPr>
            <w:pStyle w:val="Style100"/>
            <w:numPr>
              <w:ilvl w:val="0"/>
              <w:numId w:val="73"/>
            </w:numPr>
            <w:ind w:left="426" w:hanging="426"/>
            <w:rPr>
              <w:rFonts w:ascii="宋体" w:hAnsi="宋体"/>
            </w:rPr>
          </w:pPr>
          <w:r>
            <w:rPr>
              <w:rFonts w:ascii="宋体" w:hAnsi="宋体" w:hint="eastAsia"/>
            </w:rPr>
            <w:t>营业收入和营业成本情况</w:t>
          </w:r>
        </w:p>
        <w:sdt>
          <w:sdtPr>
            <w:alias w:val="是否适用：营业收入和营业成本[双击切换]"/>
            <w:tag w:val="_GBC_876680c4ba6b433896b625efff84d599"/>
            <w:id w:val="-1223832313"/>
            <w:lock w:val="sdtContentLocked"/>
            <w:placeholder>
              <w:docPart w:val="GBC22222222222222222222222222222"/>
            </w:placeholder>
          </w:sdtPr>
          <w:sdtEndPr/>
          <w:sdtContent>
            <w:p w14:paraId="098AD319"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DD12BD7" w14:textId="77777777" w:rsidR="00830E72" w:rsidRDefault="008344D8">
          <w:pPr>
            <w:jc w:val="right"/>
            <w:rPr>
              <w:szCs w:val="21"/>
            </w:rPr>
          </w:pPr>
          <w:r>
            <w:rPr>
              <w:rFonts w:hint="eastAsia"/>
              <w:bCs/>
              <w:szCs w:val="21"/>
            </w:rPr>
            <w:t>单位：</w:t>
          </w:r>
          <w:sdt>
            <w:sdtPr>
              <w:rPr>
                <w:rFonts w:hint="eastAsia"/>
                <w:bCs/>
                <w:szCs w:val="21"/>
              </w:rPr>
              <w:alias w:val="单位：财务附注：营业收入"/>
              <w:tag w:val="_GBC_611ed6dd25a247cf86a0fb98cd86e68f"/>
              <w:id w:val="6436261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ba5cd3776b804cc291ae4c216c605f02"/>
              <w:id w:val="-15939277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bCs/>
                  <w:szCs w:val="21"/>
                </w:rPr>
                <w:t>人民币</w:t>
              </w:r>
            </w:sdtContent>
          </w:sdt>
        </w:p>
        <w:tbl>
          <w:tblPr>
            <w:tblStyle w:val="g1"/>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896"/>
            <w:gridCol w:w="1896"/>
            <w:gridCol w:w="1896"/>
            <w:gridCol w:w="1896"/>
          </w:tblGrid>
          <w:tr w:rsidR="00830E72" w14:paraId="5BFFFB7A" w14:textId="77777777">
            <w:sdt>
              <w:sdtPr>
                <w:tag w:val="_PLD_d41752618c6a4ee08ca01f5944b34b81"/>
                <w:id w:val="187110221"/>
                <w:lock w:val="sdtLocked"/>
              </w:sdtPr>
              <w:sdtEndPr/>
              <w:sdtContent>
                <w:tc>
                  <w:tcPr>
                    <w:tcW w:w="804" w:type="pct"/>
                    <w:vMerge w:val="restart"/>
                    <w:tcBorders>
                      <w:top w:val="single" w:sz="4" w:space="0" w:color="auto"/>
                      <w:left w:val="single" w:sz="4" w:space="0" w:color="auto"/>
                      <w:right w:val="single" w:sz="4" w:space="0" w:color="auto"/>
                    </w:tcBorders>
                    <w:shd w:val="clear" w:color="auto" w:fill="auto"/>
                    <w:vAlign w:val="center"/>
                  </w:tcPr>
                  <w:p w14:paraId="4C8BB511" w14:textId="77777777" w:rsidR="00830E72" w:rsidRDefault="008344D8">
                    <w:pPr>
                      <w:jc w:val="center"/>
                      <w:rPr>
                        <w:szCs w:val="21"/>
                      </w:rPr>
                    </w:pPr>
                    <w:r>
                      <w:rPr>
                        <w:rFonts w:hint="eastAsia"/>
                        <w:szCs w:val="21"/>
                      </w:rPr>
                      <w:t>项目</w:t>
                    </w:r>
                  </w:p>
                </w:tc>
              </w:sdtContent>
            </w:sdt>
            <w:sdt>
              <w:sdtPr>
                <w:tag w:val="_PLD_f88658ae6cb94ea390736e112b0d5ffc"/>
                <w:id w:val="-1801294330"/>
                <w:lock w:val="sdtLocked"/>
              </w:sdtPr>
              <w:sdtEnd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AE1E7A" w14:textId="77777777" w:rsidR="00830E72" w:rsidRDefault="008344D8">
                    <w:pPr>
                      <w:jc w:val="center"/>
                      <w:rPr>
                        <w:szCs w:val="21"/>
                      </w:rPr>
                    </w:pPr>
                    <w:r>
                      <w:rPr>
                        <w:rFonts w:hint="eastAsia"/>
                        <w:szCs w:val="21"/>
                      </w:rPr>
                      <w:t>本期发生额</w:t>
                    </w:r>
                  </w:p>
                </w:tc>
              </w:sdtContent>
            </w:sdt>
            <w:sdt>
              <w:sdtPr>
                <w:tag w:val="_PLD_0840d72efce94f22bdf4d566046b2e87"/>
                <w:id w:val="398412869"/>
                <w:lock w:val="sdtLocked"/>
              </w:sdtPr>
              <w:sdtEnd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D3E4DF" w14:textId="77777777" w:rsidR="00830E72" w:rsidRDefault="008344D8">
                    <w:pPr>
                      <w:jc w:val="center"/>
                      <w:rPr>
                        <w:szCs w:val="21"/>
                      </w:rPr>
                    </w:pPr>
                    <w:r>
                      <w:rPr>
                        <w:rFonts w:hint="eastAsia"/>
                        <w:szCs w:val="21"/>
                      </w:rPr>
                      <w:t>上期发生额</w:t>
                    </w:r>
                  </w:p>
                </w:tc>
              </w:sdtContent>
            </w:sdt>
          </w:tr>
          <w:tr w:rsidR="00830E72" w14:paraId="5BA31072" w14:textId="77777777">
            <w:tc>
              <w:tcPr>
                <w:tcW w:w="804" w:type="pct"/>
                <w:vMerge/>
                <w:tcBorders>
                  <w:left w:val="single" w:sz="4" w:space="0" w:color="auto"/>
                  <w:bottom w:val="single" w:sz="4" w:space="0" w:color="auto"/>
                  <w:right w:val="single" w:sz="4" w:space="0" w:color="auto"/>
                </w:tcBorders>
                <w:shd w:val="clear" w:color="auto" w:fill="auto"/>
              </w:tcPr>
              <w:p w14:paraId="065F6791" w14:textId="77777777" w:rsidR="00830E72" w:rsidRDefault="00830E72">
                <w:pPr>
                  <w:jc w:val="center"/>
                  <w:rPr>
                    <w:szCs w:val="21"/>
                  </w:rPr>
                </w:pPr>
              </w:p>
            </w:tc>
            <w:sdt>
              <w:sdtPr>
                <w:tag w:val="_PLD_39942ac1f2654fa6bda80d7116d83859"/>
                <w:id w:val="1288707813"/>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1514E85D" w14:textId="77777777" w:rsidR="00830E72" w:rsidRDefault="008344D8">
                    <w:pPr>
                      <w:jc w:val="center"/>
                      <w:rPr>
                        <w:szCs w:val="21"/>
                      </w:rPr>
                    </w:pPr>
                    <w:r>
                      <w:rPr>
                        <w:rFonts w:hint="eastAsia"/>
                        <w:szCs w:val="21"/>
                      </w:rPr>
                      <w:t>收入</w:t>
                    </w:r>
                  </w:p>
                </w:tc>
              </w:sdtContent>
            </w:sdt>
            <w:sdt>
              <w:sdtPr>
                <w:tag w:val="_PLD_5075262c52564bf09f90a67ee6a84b17"/>
                <w:id w:val="161595741"/>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5E230496" w14:textId="77777777" w:rsidR="00830E72" w:rsidRDefault="008344D8">
                    <w:pPr>
                      <w:jc w:val="center"/>
                      <w:rPr>
                        <w:szCs w:val="21"/>
                      </w:rPr>
                    </w:pPr>
                    <w:r>
                      <w:rPr>
                        <w:rFonts w:hint="eastAsia"/>
                        <w:szCs w:val="21"/>
                      </w:rPr>
                      <w:t>成本</w:t>
                    </w:r>
                  </w:p>
                </w:tc>
              </w:sdtContent>
            </w:sdt>
            <w:sdt>
              <w:sdtPr>
                <w:tag w:val="_PLD_33a1015c666d49cba108bce6aafea1f7"/>
                <w:id w:val="1881746311"/>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0073CF4E" w14:textId="77777777" w:rsidR="00830E72" w:rsidRDefault="008344D8">
                    <w:pPr>
                      <w:jc w:val="center"/>
                      <w:rPr>
                        <w:szCs w:val="21"/>
                      </w:rPr>
                    </w:pPr>
                    <w:r>
                      <w:rPr>
                        <w:rFonts w:hint="eastAsia"/>
                        <w:szCs w:val="21"/>
                      </w:rPr>
                      <w:t>收入</w:t>
                    </w:r>
                  </w:p>
                </w:tc>
              </w:sdtContent>
            </w:sdt>
            <w:sdt>
              <w:sdtPr>
                <w:tag w:val="_PLD_d09deaa2e4d443459a3584a1d7e92203"/>
                <w:id w:val="1543326866"/>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75E48A85" w14:textId="77777777" w:rsidR="00830E72" w:rsidRDefault="008344D8">
                    <w:pPr>
                      <w:jc w:val="center"/>
                      <w:rPr>
                        <w:szCs w:val="21"/>
                      </w:rPr>
                    </w:pPr>
                    <w:r>
                      <w:rPr>
                        <w:rFonts w:hint="eastAsia"/>
                        <w:szCs w:val="21"/>
                      </w:rPr>
                      <w:t>成本</w:t>
                    </w:r>
                  </w:p>
                </w:tc>
              </w:sdtContent>
            </w:sdt>
          </w:tr>
          <w:tr w:rsidR="00830E72" w14:paraId="3FB434AC" w14:textId="77777777">
            <w:sdt>
              <w:sdtPr>
                <w:tag w:val="_PLD_b7bfcd00fb124eaf81fd672b23a24a00"/>
                <w:id w:val="-358051734"/>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tcPr>
                  <w:p w14:paraId="19BABBA9" w14:textId="77777777" w:rsidR="00830E72" w:rsidRDefault="008344D8">
                    <w:pPr>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14:paraId="2BBDF87F" w14:textId="77777777" w:rsidR="00830E72" w:rsidRDefault="008344D8">
                <w:pPr>
                  <w:jc w:val="right"/>
                  <w:rPr>
                    <w:szCs w:val="21"/>
                  </w:rPr>
                </w:pPr>
                <w:r>
                  <w:rPr>
                    <w:szCs w:val="21"/>
                  </w:rPr>
                  <w:t>1,572,564,306.34</w:t>
                </w:r>
              </w:p>
            </w:tc>
            <w:tc>
              <w:tcPr>
                <w:tcW w:w="1051" w:type="pct"/>
                <w:tcBorders>
                  <w:top w:val="single" w:sz="4" w:space="0" w:color="auto"/>
                  <w:left w:val="single" w:sz="4" w:space="0" w:color="auto"/>
                  <w:bottom w:val="single" w:sz="4" w:space="0" w:color="auto"/>
                  <w:right w:val="single" w:sz="4" w:space="0" w:color="auto"/>
                </w:tcBorders>
                <w:shd w:val="clear" w:color="auto" w:fill="auto"/>
              </w:tcPr>
              <w:p w14:paraId="31F2D929" w14:textId="77777777" w:rsidR="00830E72" w:rsidRDefault="008344D8">
                <w:pPr>
                  <w:jc w:val="right"/>
                  <w:rPr>
                    <w:szCs w:val="21"/>
                  </w:rPr>
                </w:pPr>
                <w:r>
                  <w:rPr>
                    <w:szCs w:val="21"/>
                  </w:rPr>
                  <w:t>1,428,079,583.85</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4C81B623" w14:textId="77777777" w:rsidR="00830E72" w:rsidRDefault="008344D8">
                <w:pPr>
                  <w:jc w:val="right"/>
                  <w:rPr>
                    <w:szCs w:val="21"/>
                  </w:rPr>
                </w:pPr>
                <w:r>
                  <w:rPr>
                    <w:szCs w:val="21"/>
                  </w:rPr>
                  <w:t>1,197,748,776.81</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2735380E" w14:textId="77777777" w:rsidR="00830E72" w:rsidRDefault="008344D8">
                <w:pPr>
                  <w:jc w:val="right"/>
                  <w:rPr>
                    <w:szCs w:val="21"/>
                  </w:rPr>
                </w:pPr>
                <w:r>
                  <w:rPr>
                    <w:szCs w:val="21"/>
                  </w:rPr>
                  <w:t>1,109,762,868.54</w:t>
                </w:r>
              </w:p>
            </w:tc>
          </w:tr>
          <w:tr w:rsidR="00830E72" w14:paraId="5F62BB42" w14:textId="77777777">
            <w:sdt>
              <w:sdtPr>
                <w:tag w:val="_PLD_a17f3dcab1c140c8a4254ddfe38c4d7d"/>
                <w:id w:val="953059040"/>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tcPr>
                  <w:p w14:paraId="7F557E2D" w14:textId="77777777" w:rsidR="00830E72" w:rsidRDefault="008344D8">
                    <w:pPr>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14:paraId="0DD6806F" w14:textId="77777777" w:rsidR="00830E72" w:rsidRDefault="008344D8">
                <w:pPr>
                  <w:jc w:val="right"/>
                  <w:rPr>
                    <w:szCs w:val="21"/>
                  </w:rPr>
                </w:pPr>
                <w:r>
                  <w:rPr>
                    <w:szCs w:val="21"/>
                  </w:rPr>
                  <w:t>5,059,821.45</w:t>
                </w:r>
              </w:p>
            </w:tc>
            <w:tc>
              <w:tcPr>
                <w:tcW w:w="1051" w:type="pct"/>
                <w:tcBorders>
                  <w:top w:val="single" w:sz="4" w:space="0" w:color="auto"/>
                  <w:left w:val="single" w:sz="4" w:space="0" w:color="auto"/>
                  <w:bottom w:val="single" w:sz="4" w:space="0" w:color="auto"/>
                  <w:right w:val="single" w:sz="4" w:space="0" w:color="auto"/>
                </w:tcBorders>
                <w:shd w:val="clear" w:color="auto" w:fill="auto"/>
              </w:tcPr>
              <w:p w14:paraId="7909CE01" w14:textId="77777777" w:rsidR="00830E72" w:rsidRDefault="008344D8">
                <w:pPr>
                  <w:jc w:val="right"/>
                  <w:rPr>
                    <w:szCs w:val="21"/>
                  </w:rPr>
                </w:pPr>
                <w:r>
                  <w:rPr>
                    <w:szCs w:val="21"/>
                  </w:rPr>
                  <w:t>1,794,254.76</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0830F899" w14:textId="77777777" w:rsidR="00830E72" w:rsidRDefault="008344D8">
                <w:pPr>
                  <w:jc w:val="right"/>
                  <w:rPr>
                    <w:szCs w:val="21"/>
                  </w:rPr>
                </w:pPr>
                <w:r>
                  <w:rPr>
                    <w:szCs w:val="21"/>
                  </w:rPr>
                  <w:t>27,372,929.71</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59BDBF5A" w14:textId="77777777" w:rsidR="00830E72" w:rsidRDefault="008344D8">
                <w:pPr>
                  <w:jc w:val="right"/>
                  <w:rPr>
                    <w:szCs w:val="21"/>
                  </w:rPr>
                </w:pPr>
                <w:r>
                  <w:rPr>
                    <w:szCs w:val="21"/>
                  </w:rPr>
                  <w:t>1,895,482.91</w:t>
                </w:r>
              </w:p>
            </w:tc>
          </w:tr>
          <w:tr w:rsidR="00830E72" w14:paraId="524679EB" w14:textId="77777777">
            <w:sdt>
              <w:sdtPr>
                <w:tag w:val="_PLD_d6cf597d82bf4ed089aa5592301f1642"/>
                <w:id w:val="276844757"/>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69B6AB77" w14:textId="77777777" w:rsidR="00830E72" w:rsidRDefault="008344D8">
                    <w:pPr>
                      <w:jc w:val="center"/>
                      <w:rPr>
                        <w:szCs w:val="21"/>
                      </w:rPr>
                    </w:pPr>
                    <w:r>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14:paraId="1FDCE1EE" w14:textId="77777777" w:rsidR="00830E72" w:rsidRDefault="008344D8">
                <w:pPr>
                  <w:jc w:val="right"/>
                  <w:rPr>
                    <w:szCs w:val="21"/>
                  </w:rPr>
                </w:pPr>
                <w:r>
                  <w:rPr>
                    <w:szCs w:val="21"/>
                  </w:rPr>
                  <w:t>1,577,624,127.79</w:t>
                </w:r>
              </w:p>
            </w:tc>
            <w:tc>
              <w:tcPr>
                <w:tcW w:w="1051" w:type="pct"/>
                <w:tcBorders>
                  <w:top w:val="single" w:sz="4" w:space="0" w:color="auto"/>
                  <w:left w:val="single" w:sz="4" w:space="0" w:color="auto"/>
                  <w:bottom w:val="single" w:sz="4" w:space="0" w:color="auto"/>
                  <w:right w:val="single" w:sz="4" w:space="0" w:color="auto"/>
                </w:tcBorders>
                <w:shd w:val="clear" w:color="auto" w:fill="auto"/>
              </w:tcPr>
              <w:p w14:paraId="77D417F0" w14:textId="77777777" w:rsidR="00830E72" w:rsidRDefault="008344D8">
                <w:pPr>
                  <w:jc w:val="right"/>
                  <w:rPr>
                    <w:szCs w:val="21"/>
                  </w:rPr>
                </w:pPr>
                <w:r>
                  <w:rPr>
                    <w:szCs w:val="21"/>
                  </w:rPr>
                  <w:t>1,429,873,838.61</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EA74009" w14:textId="77777777" w:rsidR="00830E72" w:rsidRDefault="008344D8">
                <w:pPr>
                  <w:jc w:val="right"/>
                  <w:rPr>
                    <w:szCs w:val="21"/>
                  </w:rPr>
                </w:pPr>
                <w:r>
                  <w:rPr>
                    <w:szCs w:val="21"/>
                  </w:rPr>
                  <w:t>1,225,121,706.52</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15057D6" w14:textId="77777777" w:rsidR="00830E72" w:rsidRDefault="008344D8">
                <w:pPr>
                  <w:jc w:val="right"/>
                  <w:rPr>
                    <w:szCs w:val="21"/>
                  </w:rPr>
                </w:pPr>
                <w:r>
                  <w:rPr>
                    <w:szCs w:val="21"/>
                  </w:rPr>
                  <w:t>1,111,658,351.45</w:t>
                </w:r>
              </w:p>
            </w:tc>
          </w:tr>
        </w:tbl>
        <w:p w14:paraId="74C009A7" w14:textId="77777777" w:rsidR="00830E72" w:rsidRDefault="00D44830">
          <w:pPr>
            <w:rPr>
              <w:szCs w:val="21"/>
            </w:rPr>
          </w:pPr>
        </w:p>
      </w:sdtContent>
    </w:sdt>
    <w:bookmarkStart w:id="184" w:name="_Hlk10538044" w:displacedByCustomXml="next"/>
    <w:bookmarkStart w:id="185" w:name="_Hlk10538056" w:displacedByCustomXml="next"/>
    <w:sdt>
      <w:sdtPr>
        <w:rPr>
          <w:rFonts w:ascii="宋体" w:hAnsi="宋体" w:cs="宋体" w:hint="eastAsia"/>
          <w:b w:val="0"/>
          <w:bCs w:val="0"/>
          <w:kern w:val="0"/>
          <w:szCs w:val="24"/>
        </w:rPr>
        <w:alias w:val="模块:合同产生的收入的情况"/>
        <w:tag w:val="_SEC_a8e15093e1ef4b64a05aa66b1647502c"/>
        <w:id w:val="817772420"/>
        <w:lock w:val="sdtLocked"/>
        <w:placeholder>
          <w:docPart w:val="GBC22222222222222222222222222222"/>
        </w:placeholder>
      </w:sdtPr>
      <w:sdtEndPr>
        <w:rPr>
          <w:rFonts w:hint="default"/>
          <w:szCs w:val="21"/>
        </w:rPr>
      </w:sdtEndPr>
      <w:sdtContent>
        <w:p w14:paraId="063F5158" w14:textId="77777777" w:rsidR="00830E72" w:rsidRDefault="008344D8">
          <w:pPr>
            <w:pStyle w:val="Style100"/>
            <w:numPr>
              <w:ilvl w:val="0"/>
              <w:numId w:val="73"/>
            </w:numPr>
            <w:ind w:left="426" w:hanging="426"/>
            <w:rPr>
              <w:rFonts w:ascii="宋体" w:hAnsi="宋体"/>
            </w:rPr>
          </w:pPr>
          <w:r>
            <w:rPr>
              <w:rFonts w:ascii="宋体" w:hAnsi="宋体" w:hint="eastAsia"/>
            </w:rPr>
            <w:t>合同产生的收入的情况</w:t>
          </w:r>
          <w:bookmarkEnd w:id="184"/>
        </w:p>
        <w:sdt>
          <w:sdtPr>
            <w:rPr>
              <w:rFonts w:ascii="宋体" w:hAnsi="宋体"/>
              <w:szCs w:val="21"/>
            </w:rPr>
            <w:alias w:val="是否适用：合同产生的收入[双击切换]"/>
            <w:tag w:val="_GBC_c21770085a2f4dd3922bd8eb4c58558c"/>
            <w:id w:val="-1357347127"/>
            <w:lock w:val="sdtContentLocked"/>
            <w:placeholder>
              <w:docPart w:val="GBC22222222222222222222222222222"/>
            </w:placeholder>
          </w:sdtPr>
          <w:sdtEndPr/>
          <w:sdtContent>
            <w:p w14:paraId="4620523E" w14:textId="77777777" w:rsidR="00830E72" w:rsidRDefault="008344D8">
              <w:pPr>
                <w:pStyle w:val="Style118"/>
                <w:ind w:firstLineChars="0" w:firstLine="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60FFF3FB" w14:textId="77777777" w:rsidR="00830E72" w:rsidRDefault="00D44830">
          <w:pPr>
            <w:rPr>
              <w:szCs w:val="21"/>
            </w:rPr>
          </w:pPr>
        </w:p>
      </w:sdtContent>
    </w:sdt>
    <w:bookmarkEnd w:id="185" w:displacedByCustomXml="next"/>
    <w:bookmarkStart w:id="186" w:name="_Hlk10538083" w:displacedByCustomXml="next"/>
    <w:bookmarkStart w:id="187" w:name="_Hlk10538092" w:displacedByCustomXml="next"/>
    <w:sdt>
      <w:sdtPr>
        <w:rPr>
          <w:rFonts w:ascii="宋体" w:hAnsi="宋体" w:cs="宋体" w:hint="eastAsia"/>
          <w:b w:val="0"/>
          <w:bCs w:val="0"/>
          <w:kern w:val="0"/>
          <w:szCs w:val="24"/>
        </w:rPr>
        <w:alias w:val="模块:履约义务的说明"/>
        <w:tag w:val="_SEC_c2d2612c37d449d6b1ff5194855fc52c"/>
        <w:id w:val="1872483390"/>
        <w:lock w:val="sdtLocked"/>
        <w:placeholder>
          <w:docPart w:val="GBC22222222222222222222222222222"/>
        </w:placeholder>
      </w:sdtPr>
      <w:sdtEndPr>
        <w:rPr>
          <w:rFonts w:hint="default"/>
          <w:szCs w:val="21"/>
        </w:rPr>
      </w:sdtEndPr>
      <w:sdtContent>
        <w:p w14:paraId="563FCDC2" w14:textId="77777777" w:rsidR="00830E72" w:rsidRDefault="008344D8">
          <w:pPr>
            <w:pStyle w:val="Style100"/>
            <w:numPr>
              <w:ilvl w:val="0"/>
              <w:numId w:val="73"/>
            </w:numPr>
            <w:ind w:left="426" w:hanging="426"/>
            <w:rPr>
              <w:rFonts w:ascii="宋体" w:hAnsi="宋体"/>
            </w:rPr>
          </w:pPr>
          <w:r>
            <w:rPr>
              <w:rFonts w:ascii="宋体" w:hAnsi="宋体" w:hint="eastAsia"/>
            </w:rPr>
            <w:t>履约义务的说明</w:t>
          </w:r>
          <w:bookmarkEnd w:id="186"/>
        </w:p>
        <w:sdt>
          <w:sdtPr>
            <w:alias w:val="是否适用：履约义务的说明[双击切换]"/>
            <w:tag w:val="_GBC_cb7f024e61b74dffae341dc41978348f"/>
            <w:id w:val="69861816"/>
            <w:lock w:val="sdtContentLocked"/>
            <w:placeholder>
              <w:docPart w:val="GBC22222222222222222222222222222"/>
            </w:placeholder>
          </w:sdtPr>
          <w:sdtEndPr/>
          <w:sdtContent>
            <w:p w14:paraId="68C562B1"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7680A9F" w14:textId="77777777" w:rsidR="00830E72" w:rsidRDefault="00D44830">
          <w:pPr>
            <w:rPr>
              <w:szCs w:val="21"/>
            </w:rPr>
          </w:pPr>
        </w:p>
      </w:sdtContent>
    </w:sdt>
    <w:bookmarkEnd w:id="187" w:displacedByCustomXml="next"/>
    <w:bookmarkStart w:id="188" w:name="_Hlk10538107" w:displacedByCustomXml="next"/>
    <w:bookmarkStart w:id="189" w:name="_Hlk10538117" w:displacedByCustomXml="next"/>
    <w:sdt>
      <w:sdtPr>
        <w:rPr>
          <w:rFonts w:ascii="宋体" w:hAnsi="宋体" w:cs="宋体" w:hint="eastAsia"/>
          <w:b w:val="0"/>
          <w:bCs w:val="0"/>
          <w:kern w:val="0"/>
          <w:szCs w:val="24"/>
        </w:rPr>
        <w:alias w:val="模块:分摊至剩余履约义务的说明"/>
        <w:tag w:val="_SEC_52c497559d5c4501875a7b175ab4b1eb"/>
        <w:id w:val="1547254695"/>
        <w:lock w:val="sdtLocked"/>
        <w:placeholder>
          <w:docPart w:val="GBC22222222222222222222222222222"/>
        </w:placeholder>
      </w:sdtPr>
      <w:sdtEndPr>
        <w:rPr>
          <w:rFonts w:hint="default"/>
          <w:szCs w:val="21"/>
        </w:rPr>
      </w:sdtEndPr>
      <w:sdtContent>
        <w:p w14:paraId="6D6C6C4C" w14:textId="77777777" w:rsidR="00830E72" w:rsidRDefault="008344D8">
          <w:pPr>
            <w:pStyle w:val="Style100"/>
            <w:numPr>
              <w:ilvl w:val="0"/>
              <w:numId w:val="73"/>
            </w:numPr>
            <w:ind w:left="426" w:hanging="426"/>
            <w:rPr>
              <w:rFonts w:ascii="宋体" w:hAnsi="宋体"/>
            </w:rPr>
          </w:pPr>
          <w:r>
            <w:rPr>
              <w:rFonts w:ascii="宋体" w:hAnsi="宋体" w:hint="eastAsia"/>
            </w:rPr>
            <w:t>分摊至剩余履约义务的说明</w:t>
          </w:r>
          <w:bookmarkEnd w:id="188"/>
        </w:p>
        <w:sdt>
          <w:sdtPr>
            <w:alias w:val="是否适用：分摊至剩余履约义务的说明[双击切换]"/>
            <w:tag w:val="_GBC_3e12eb65fc9e4c7b80815a7392be58f2"/>
            <w:id w:val="-2084819370"/>
            <w:lock w:val="sdtContentLocked"/>
            <w:placeholder>
              <w:docPart w:val="GBC22222222222222222222222222222"/>
            </w:placeholder>
          </w:sdtPr>
          <w:sdtEndPr/>
          <w:sdtContent>
            <w:p w14:paraId="7383873B"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7E7EABB" w14:textId="77777777" w:rsidR="00830E72" w:rsidRDefault="00D44830">
          <w:pPr>
            <w:rPr>
              <w:szCs w:val="21"/>
            </w:rPr>
          </w:pPr>
        </w:p>
      </w:sdtContent>
    </w:sdt>
    <w:bookmarkEnd w:id="189" w:displacedByCustomXml="next"/>
    <w:sdt>
      <w:sdtPr>
        <w:rPr>
          <w:rFonts w:ascii="宋体" w:hAnsi="宋体" w:cs="宋体" w:hint="eastAsia"/>
          <w:b w:val="0"/>
          <w:bCs w:val="0"/>
          <w:kern w:val="0"/>
          <w:szCs w:val="21"/>
        </w:rPr>
        <w:alias w:val="模块:税金及附加"/>
        <w:tag w:val="_GBC_38185835049143dd873ff3e7d0941647"/>
        <w:id w:val="2110693367"/>
        <w:lock w:val="sdtLocked"/>
        <w:placeholder>
          <w:docPart w:val="GBC22222222222222222222222222222"/>
        </w:placeholder>
      </w:sdtPr>
      <w:sdtEndPr>
        <w:rPr>
          <w:rFonts w:cstheme="minorBidi"/>
          <w:kern w:val="2"/>
        </w:rPr>
      </w:sdtEndPr>
      <w:sdtContent>
        <w:p w14:paraId="3724CAFF"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e6e37ca7fd2a435e8e042586945bb4d2"/>
            <w:id w:val="32781200"/>
            <w:lock w:val="sdtContentLocked"/>
            <w:placeholder>
              <w:docPart w:val="GBC22222222222222222222222222222"/>
            </w:placeholder>
          </w:sdtPr>
          <w:sdtEndPr/>
          <w:sdtContent>
            <w:p w14:paraId="198C61EB"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9954093" w14:textId="77777777" w:rsidR="00830E72" w:rsidRDefault="008344D8">
          <w:pPr>
            <w:jc w:val="right"/>
            <w:rPr>
              <w:b/>
              <w:szCs w:val="21"/>
            </w:rPr>
          </w:pPr>
          <w:r>
            <w:rPr>
              <w:rFonts w:hint="eastAsia"/>
              <w:szCs w:val="21"/>
            </w:rPr>
            <w:t>单位：</w:t>
          </w:r>
          <w:sdt>
            <w:sdtPr>
              <w:rPr>
                <w:rFonts w:hint="eastAsia"/>
                <w:szCs w:val="21"/>
              </w:rPr>
              <w:alias w:val="单位：财务附注：税金及附加"/>
              <w:tag w:val="_GBC_bdd382ceb0b74413bcc8ce354afae4a8"/>
              <w:id w:val="-1587710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ecf8b53c11ec4336b91007df3f6b5f78"/>
              <w:id w:val="12572494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2857"/>
            <w:gridCol w:w="3018"/>
            <w:gridCol w:w="3018"/>
          </w:tblGrid>
          <w:tr w:rsidR="00830E72" w14:paraId="7117C5A0" w14:textId="77777777">
            <w:tc>
              <w:tcPr>
                <w:tcW w:w="1606" w:type="pct"/>
                <w:tcBorders>
                  <w:top w:val="single" w:sz="6" w:space="0" w:color="auto"/>
                  <w:left w:val="single" w:sz="6" w:space="0" w:color="auto"/>
                  <w:bottom w:val="single" w:sz="6" w:space="0" w:color="auto"/>
                  <w:right w:val="single" w:sz="6" w:space="0" w:color="auto"/>
                </w:tcBorders>
                <w:vAlign w:val="center"/>
              </w:tcPr>
              <w:p w14:paraId="2DDB16D4" w14:textId="77777777" w:rsidR="00830E72" w:rsidRDefault="00D44830">
                <w:pPr>
                  <w:autoSpaceDE w:val="0"/>
                  <w:autoSpaceDN w:val="0"/>
                  <w:adjustRightInd w:val="0"/>
                  <w:snapToGrid w:val="0"/>
                  <w:spacing w:before="120" w:line="240" w:lineRule="atLeast"/>
                  <w:jc w:val="center"/>
                  <w:rPr>
                    <w:szCs w:val="21"/>
                  </w:rPr>
                </w:pPr>
                <w:sdt>
                  <w:sdtPr>
                    <w:tag w:val="_PLD_444bcf5500dc4f7f9041afd20c147408"/>
                    <w:id w:val="645867335"/>
                    <w:lock w:val="sdtLocked"/>
                  </w:sdtPr>
                  <w:sdtEndPr/>
                  <w:sdtContent>
                    <w:r w:rsidR="008344D8">
                      <w:rPr>
                        <w:rFonts w:hint="eastAsia"/>
                        <w:szCs w:val="21"/>
                      </w:rPr>
                      <w:t>项目</w:t>
                    </w:r>
                  </w:sdtContent>
                </w:sdt>
              </w:p>
            </w:tc>
            <w:sdt>
              <w:sdtPr>
                <w:tag w:val="_PLD_986496e04f5841889074687e953bf8a9"/>
                <w:id w:val="1372036450"/>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49078B2C" w14:textId="77777777" w:rsidR="00830E72" w:rsidRDefault="008344D8">
                    <w:pPr>
                      <w:jc w:val="center"/>
                      <w:rPr>
                        <w:szCs w:val="21"/>
                      </w:rPr>
                    </w:pPr>
                    <w:r>
                      <w:rPr>
                        <w:rFonts w:hint="eastAsia"/>
                        <w:szCs w:val="21"/>
                      </w:rPr>
                      <w:t>本期发生额</w:t>
                    </w:r>
                  </w:p>
                </w:tc>
              </w:sdtContent>
            </w:sdt>
            <w:sdt>
              <w:sdtPr>
                <w:tag w:val="_PLD_4ab1376344dc484195a5459c78069a64"/>
                <w:id w:val="-1163544048"/>
                <w:lock w:val="sdtLocked"/>
              </w:sdtPr>
              <w:sdtEndPr/>
              <w:sdtContent>
                <w:tc>
                  <w:tcPr>
                    <w:tcW w:w="1697" w:type="pct"/>
                    <w:tcBorders>
                      <w:top w:val="single" w:sz="6" w:space="0" w:color="auto"/>
                      <w:left w:val="single" w:sz="6" w:space="0" w:color="auto"/>
                      <w:bottom w:val="single" w:sz="6" w:space="0" w:color="auto"/>
                      <w:right w:val="single" w:sz="6" w:space="0" w:color="auto"/>
                    </w:tcBorders>
                    <w:vAlign w:val="center"/>
                  </w:tcPr>
                  <w:p w14:paraId="4172EDC0" w14:textId="77777777" w:rsidR="00830E72" w:rsidRDefault="008344D8">
                    <w:pPr>
                      <w:jc w:val="center"/>
                      <w:rPr>
                        <w:szCs w:val="21"/>
                      </w:rPr>
                    </w:pPr>
                    <w:r>
                      <w:rPr>
                        <w:rFonts w:hint="eastAsia"/>
                        <w:szCs w:val="21"/>
                      </w:rPr>
                      <w:t>上期发生额</w:t>
                    </w:r>
                  </w:p>
                </w:tc>
              </w:sdtContent>
            </w:sdt>
          </w:tr>
          <w:tr w:rsidR="00830E72" w14:paraId="07A9252F" w14:textId="77777777">
            <w:sdt>
              <w:sdtPr>
                <w:tag w:val="_PLD_8cf16cf7ff9548dc8b24e9b30e22cdcc"/>
                <w:id w:val="941342178"/>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38057407" w14:textId="77777777" w:rsidR="00830E72" w:rsidRDefault="008344D8">
                    <w:pPr>
                      <w:autoSpaceDE w:val="0"/>
                      <w:autoSpaceDN w:val="0"/>
                      <w:adjustRightInd w:val="0"/>
                      <w:snapToGrid w:val="0"/>
                      <w:spacing w:line="240" w:lineRule="atLeast"/>
                      <w:rPr>
                        <w:szCs w:val="21"/>
                      </w:rPr>
                    </w:pPr>
                    <w:r>
                      <w:rPr>
                        <w:rFonts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tcPr>
              <w:p w14:paraId="4440EF68" w14:textId="77777777" w:rsidR="00830E72" w:rsidRDefault="008344D8">
                <w:pPr>
                  <w:autoSpaceDE w:val="0"/>
                  <w:autoSpaceDN w:val="0"/>
                  <w:adjustRightInd w:val="0"/>
                  <w:snapToGrid w:val="0"/>
                  <w:spacing w:line="240" w:lineRule="atLeast"/>
                  <w:jc w:val="right"/>
                  <w:rPr>
                    <w:szCs w:val="21"/>
                  </w:rPr>
                </w:pPr>
                <w:r>
                  <w:rPr>
                    <w:szCs w:val="21"/>
                  </w:rPr>
                  <w:t>322,047.86</w:t>
                </w:r>
              </w:p>
            </w:tc>
            <w:tc>
              <w:tcPr>
                <w:tcW w:w="1697" w:type="pct"/>
                <w:tcBorders>
                  <w:top w:val="single" w:sz="6" w:space="0" w:color="auto"/>
                  <w:left w:val="single" w:sz="6" w:space="0" w:color="auto"/>
                  <w:bottom w:val="single" w:sz="6" w:space="0" w:color="auto"/>
                  <w:right w:val="single" w:sz="6" w:space="0" w:color="auto"/>
                </w:tcBorders>
              </w:tcPr>
              <w:p w14:paraId="0A2D51D6" w14:textId="77777777" w:rsidR="00830E72" w:rsidRDefault="008344D8">
                <w:pPr>
                  <w:jc w:val="right"/>
                  <w:rPr>
                    <w:szCs w:val="21"/>
                  </w:rPr>
                </w:pPr>
                <w:r>
                  <w:rPr>
                    <w:szCs w:val="21"/>
                  </w:rPr>
                  <w:t>744,433.64</w:t>
                </w:r>
              </w:p>
            </w:tc>
          </w:tr>
          <w:tr w:rsidR="00830E72" w14:paraId="165B5416" w14:textId="77777777">
            <w:sdt>
              <w:sdtPr>
                <w:tag w:val="_PLD_a93da99d2b574d26b1c4d61b4ee79236"/>
                <w:id w:val="-52468377"/>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7F043684" w14:textId="77777777" w:rsidR="00830E72" w:rsidRDefault="008344D8">
                    <w:pPr>
                      <w:autoSpaceDE w:val="0"/>
                      <w:autoSpaceDN w:val="0"/>
                      <w:adjustRightInd w:val="0"/>
                      <w:snapToGrid w:val="0"/>
                      <w:spacing w:line="240" w:lineRule="atLeast"/>
                      <w:rPr>
                        <w:szCs w:val="21"/>
                      </w:rPr>
                    </w:pPr>
                    <w:r>
                      <w:rPr>
                        <w:rFonts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tcPr>
              <w:p w14:paraId="5FAC59DE" w14:textId="77777777" w:rsidR="00830E72" w:rsidRDefault="008344D8">
                <w:pPr>
                  <w:autoSpaceDE w:val="0"/>
                  <w:autoSpaceDN w:val="0"/>
                  <w:adjustRightInd w:val="0"/>
                  <w:snapToGrid w:val="0"/>
                  <w:spacing w:line="240" w:lineRule="atLeast"/>
                  <w:jc w:val="right"/>
                  <w:rPr>
                    <w:szCs w:val="21"/>
                  </w:rPr>
                </w:pPr>
                <w:r>
                  <w:rPr>
                    <w:szCs w:val="21"/>
                  </w:rPr>
                  <w:t>166,159.85</w:t>
                </w:r>
              </w:p>
            </w:tc>
            <w:tc>
              <w:tcPr>
                <w:tcW w:w="1697" w:type="pct"/>
                <w:tcBorders>
                  <w:top w:val="single" w:sz="6" w:space="0" w:color="auto"/>
                  <w:left w:val="single" w:sz="6" w:space="0" w:color="auto"/>
                  <w:bottom w:val="single" w:sz="6" w:space="0" w:color="auto"/>
                  <w:right w:val="single" w:sz="6" w:space="0" w:color="auto"/>
                </w:tcBorders>
              </w:tcPr>
              <w:p w14:paraId="7200737C" w14:textId="77777777" w:rsidR="00830E72" w:rsidRDefault="008344D8">
                <w:pPr>
                  <w:jc w:val="right"/>
                  <w:rPr>
                    <w:szCs w:val="21"/>
                  </w:rPr>
                </w:pPr>
                <w:r>
                  <w:rPr>
                    <w:szCs w:val="21"/>
                  </w:rPr>
                  <w:t>382,948.98</w:t>
                </w:r>
              </w:p>
            </w:tc>
          </w:tr>
          <w:tr w:rsidR="00830E72" w14:paraId="7F254C34" w14:textId="77777777">
            <w:sdt>
              <w:sdtPr>
                <w:tag w:val="_PLD_b9d06144a0444b1fa73f16e038275ef3"/>
                <w:id w:val="1804738592"/>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48B5832B" w14:textId="77777777" w:rsidR="00830E72" w:rsidRDefault="008344D8">
                    <w:pPr>
                      <w:autoSpaceDE w:val="0"/>
                      <w:autoSpaceDN w:val="0"/>
                      <w:adjustRightInd w:val="0"/>
                      <w:snapToGrid w:val="0"/>
                      <w:spacing w:line="240" w:lineRule="atLeast"/>
                      <w:rPr>
                        <w:szCs w:val="21"/>
                      </w:rPr>
                    </w:pPr>
                    <w:r>
                      <w:t>房产税</w:t>
                    </w:r>
                  </w:p>
                </w:tc>
              </w:sdtContent>
            </w:sdt>
            <w:tc>
              <w:tcPr>
                <w:tcW w:w="1697" w:type="pct"/>
                <w:tcBorders>
                  <w:top w:val="single" w:sz="6" w:space="0" w:color="auto"/>
                  <w:left w:val="single" w:sz="6" w:space="0" w:color="auto"/>
                  <w:bottom w:val="single" w:sz="6" w:space="0" w:color="auto"/>
                  <w:right w:val="single" w:sz="6" w:space="0" w:color="auto"/>
                </w:tcBorders>
              </w:tcPr>
              <w:p w14:paraId="7675E4C8" w14:textId="77777777" w:rsidR="00830E72" w:rsidRDefault="008344D8">
                <w:pPr>
                  <w:autoSpaceDE w:val="0"/>
                  <w:autoSpaceDN w:val="0"/>
                  <w:adjustRightInd w:val="0"/>
                  <w:snapToGrid w:val="0"/>
                  <w:spacing w:line="240" w:lineRule="atLeast"/>
                  <w:jc w:val="right"/>
                  <w:rPr>
                    <w:szCs w:val="21"/>
                  </w:rPr>
                </w:pPr>
                <w:r>
                  <w:rPr>
                    <w:szCs w:val="21"/>
                  </w:rPr>
                  <w:t>204,552.87</w:t>
                </w:r>
              </w:p>
            </w:tc>
            <w:tc>
              <w:tcPr>
                <w:tcW w:w="1697" w:type="pct"/>
                <w:tcBorders>
                  <w:top w:val="single" w:sz="6" w:space="0" w:color="auto"/>
                  <w:left w:val="single" w:sz="6" w:space="0" w:color="auto"/>
                  <w:bottom w:val="single" w:sz="6" w:space="0" w:color="auto"/>
                  <w:right w:val="single" w:sz="6" w:space="0" w:color="auto"/>
                </w:tcBorders>
              </w:tcPr>
              <w:p w14:paraId="23D6B688" w14:textId="77777777" w:rsidR="00830E72" w:rsidRDefault="00830E72">
                <w:pPr>
                  <w:jc w:val="right"/>
                  <w:rPr>
                    <w:szCs w:val="21"/>
                  </w:rPr>
                </w:pPr>
              </w:p>
            </w:tc>
          </w:tr>
          <w:tr w:rsidR="00830E72" w14:paraId="22C821EE" w14:textId="77777777">
            <w:sdt>
              <w:sdtPr>
                <w:tag w:val="_PLD_56542612dda549b3b872b8d74818af22"/>
                <w:id w:val="1108537602"/>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54E96E0F" w14:textId="77777777" w:rsidR="00830E72" w:rsidRDefault="008344D8">
                    <w:pPr>
                      <w:autoSpaceDE w:val="0"/>
                      <w:autoSpaceDN w:val="0"/>
                      <w:adjustRightInd w:val="0"/>
                      <w:snapToGrid w:val="0"/>
                      <w:spacing w:line="240" w:lineRule="atLeast"/>
                      <w:rPr>
                        <w:szCs w:val="21"/>
                      </w:rPr>
                    </w:pPr>
                    <w:r>
                      <w:t>土地使用税</w:t>
                    </w:r>
                  </w:p>
                </w:tc>
              </w:sdtContent>
            </w:sdt>
            <w:tc>
              <w:tcPr>
                <w:tcW w:w="1697" w:type="pct"/>
                <w:tcBorders>
                  <w:top w:val="single" w:sz="6" w:space="0" w:color="auto"/>
                  <w:left w:val="single" w:sz="6" w:space="0" w:color="auto"/>
                  <w:bottom w:val="single" w:sz="6" w:space="0" w:color="auto"/>
                  <w:right w:val="single" w:sz="6" w:space="0" w:color="auto"/>
                </w:tcBorders>
              </w:tcPr>
              <w:p w14:paraId="1A30295E" w14:textId="77777777" w:rsidR="00830E72" w:rsidRDefault="008344D8">
                <w:pPr>
                  <w:autoSpaceDE w:val="0"/>
                  <w:autoSpaceDN w:val="0"/>
                  <w:adjustRightInd w:val="0"/>
                  <w:snapToGrid w:val="0"/>
                  <w:spacing w:line="240" w:lineRule="atLeast"/>
                  <w:jc w:val="right"/>
                  <w:rPr>
                    <w:szCs w:val="21"/>
                  </w:rPr>
                </w:pPr>
                <w:r>
                  <w:rPr>
                    <w:szCs w:val="21"/>
                  </w:rPr>
                  <w:t>-594,683.74</w:t>
                </w:r>
              </w:p>
            </w:tc>
            <w:tc>
              <w:tcPr>
                <w:tcW w:w="1697" w:type="pct"/>
                <w:tcBorders>
                  <w:top w:val="single" w:sz="6" w:space="0" w:color="auto"/>
                  <w:left w:val="single" w:sz="6" w:space="0" w:color="auto"/>
                  <w:bottom w:val="single" w:sz="6" w:space="0" w:color="auto"/>
                  <w:right w:val="single" w:sz="6" w:space="0" w:color="auto"/>
                </w:tcBorders>
              </w:tcPr>
              <w:p w14:paraId="44AFAE8D" w14:textId="77777777" w:rsidR="00830E72" w:rsidRDefault="008344D8">
                <w:pPr>
                  <w:jc w:val="right"/>
                  <w:rPr>
                    <w:szCs w:val="21"/>
                  </w:rPr>
                </w:pPr>
                <w:r>
                  <w:rPr>
                    <w:szCs w:val="21"/>
                  </w:rPr>
                  <w:t>703,128.56</w:t>
                </w:r>
              </w:p>
            </w:tc>
          </w:tr>
          <w:tr w:rsidR="00830E72" w14:paraId="009ABC19" w14:textId="77777777">
            <w:sdt>
              <w:sdtPr>
                <w:tag w:val="_PLD_a0bc60e9b74b40a288471dbbe366af2d"/>
                <w:id w:val="1140305581"/>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72CA5E9B" w14:textId="77777777" w:rsidR="00830E72" w:rsidRDefault="008344D8">
                    <w:pPr>
                      <w:autoSpaceDE w:val="0"/>
                      <w:autoSpaceDN w:val="0"/>
                      <w:adjustRightInd w:val="0"/>
                      <w:snapToGrid w:val="0"/>
                      <w:spacing w:line="240" w:lineRule="atLeast"/>
                      <w:rPr>
                        <w:szCs w:val="21"/>
                      </w:rPr>
                    </w:pPr>
                    <w:r>
                      <w:t>印花税</w:t>
                    </w:r>
                  </w:p>
                </w:tc>
              </w:sdtContent>
            </w:sdt>
            <w:tc>
              <w:tcPr>
                <w:tcW w:w="1697" w:type="pct"/>
                <w:tcBorders>
                  <w:top w:val="single" w:sz="6" w:space="0" w:color="auto"/>
                  <w:left w:val="single" w:sz="6" w:space="0" w:color="auto"/>
                  <w:bottom w:val="single" w:sz="6" w:space="0" w:color="auto"/>
                  <w:right w:val="single" w:sz="6" w:space="0" w:color="auto"/>
                </w:tcBorders>
              </w:tcPr>
              <w:p w14:paraId="589C5485" w14:textId="77777777" w:rsidR="00830E72" w:rsidRDefault="008344D8">
                <w:pPr>
                  <w:autoSpaceDE w:val="0"/>
                  <w:autoSpaceDN w:val="0"/>
                  <w:adjustRightInd w:val="0"/>
                  <w:snapToGrid w:val="0"/>
                  <w:spacing w:line="240" w:lineRule="atLeast"/>
                  <w:jc w:val="right"/>
                  <w:rPr>
                    <w:szCs w:val="21"/>
                  </w:rPr>
                </w:pPr>
                <w:r>
                  <w:rPr>
                    <w:szCs w:val="21"/>
                  </w:rPr>
                  <w:t>203,607.38</w:t>
                </w:r>
              </w:p>
            </w:tc>
            <w:tc>
              <w:tcPr>
                <w:tcW w:w="1697" w:type="pct"/>
                <w:tcBorders>
                  <w:top w:val="single" w:sz="6" w:space="0" w:color="auto"/>
                  <w:left w:val="single" w:sz="6" w:space="0" w:color="auto"/>
                  <w:bottom w:val="single" w:sz="6" w:space="0" w:color="auto"/>
                  <w:right w:val="single" w:sz="6" w:space="0" w:color="auto"/>
                </w:tcBorders>
              </w:tcPr>
              <w:p w14:paraId="00636808" w14:textId="77777777" w:rsidR="00830E72" w:rsidRDefault="008344D8">
                <w:pPr>
                  <w:jc w:val="right"/>
                  <w:rPr>
                    <w:szCs w:val="21"/>
                  </w:rPr>
                </w:pPr>
                <w:r>
                  <w:rPr>
                    <w:szCs w:val="21"/>
                  </w:rPr>
                  <w:t>405,063.85</w:t>
                </w:r>
              </w:p>
            </w:tc>
          </w:tr>
          <w:sdt>
            <w:sdtPr>
              <w:rPr>
                <w:szCs w:val="21"/>
              </w:rPr>
              <w:alias w:val="税金及附加明细"/>
              <w:tag w:val="_GBC_ec40da632a7e4b998c9f045c23f7af1b"/>
              <w:id w:val="190736423"/>
              <w:lock w:val="sdtLocked"/>
            </w:sdtPr>
            <w:sdtEndPr/>
            <w:sdtContent>
              <w:tr w:rsidR="00830E72" w14:paraId="66DB548A" w14:textId="77777777">
                <w:tc>
                  <w:tcPr>
                    <w:tcW w:w="1606" w:type="pct"/>
                    <w:tcBorders>
                      <w:top w:val="single" w:sz="6" w:space="0" w:color="auto"/>
                      <w:left w:val="single" w:sz="6" w:space="0" w:color="auto"/>
                      <w:bottom w:val="single" w:sz="6" w:space="0" w:color="auto"/>
                      <w:right w:val="single" w:sz="6" w:space="0" w:color="auto"/>
                    </w:tcBorders>
                    <w:vAlign w:val="center"/>
                  </w:tcPr>
                  <w:p w14:paraId="4B2EBF9C" w14:textId="77777777" w:rsidR="00830E72" w:rsidRDefault="008344D8">
                    <w:pPr>
                      <w:autoSpaceDE w:val="0"/>
                      <w:autoSpaceDN w:val="0"/>
                      <w:adjustRightInd w:val="0"/>
                      <w:snapToGrid w:val="0"/>
                      <w:spacing w:line="240" w:lineRule="atLeast"/>
                      <w:rPr>
                        <w:szCs w:val="21"/>
                      </w:rPr>
                    </w:pPr>
                    <w:r>
                      <w:rPr>
                        <w:rFonts w:hint="eastAsia"/>
                        <w:szCs w:val="21"/>
                      </w:rPr>
                      <w:t>地方教育费附加</w:t>
                    </w:r>
                  </w:p>
                </w:tc>
                <w:tc>
                  <w:tcPr>
                    <w:tcW w:w="1697" w:type="pct"/>
                    <w:tcBorders>
                      <w:top w:val="single" w:sz="6" w:space="0" w:color="auto"/>
                      <w:left w:val="single" w:sz="6" w:space="0" w:color="auto"/>
                      <w:bottom w:val="single" w:sz="6" w:space="0" w:color="auto"/>
                      <w:right w:val="single" w:sz="6" w:space="0" w:color="auto"/>
                    </w:tcBorders>
                  </w:tcPr>
                  <w:p w14:paraId="5B79922F" w14:textId="77777777" w:rsidR="00830E72" w:rsidRDefault="008344D8">
                    <w:pPr>
                      <w:autoSpaceDE w:val="0"/>
                      <w:autoSpaceDN w:val="0"/>
                      <w:adjustRightInd w:val="0"/>
                      <w:snapToGrid w:val="0"/>
                      <w:spacing w:line="240" w:lineRule="atLeast"/>
                      <w:jc w:val="right"/>
                      <w:rPr>
                        <w:szCs w:val="21"/>
                      </w:rPr>
                    </w:pPr>
                    <w:r>
                      <w:rPr>
                        <w:szCs w:val="21"/>
                      </w:rPr>
                      <w:t>99,505.37</w:t>
                    </w:r>
                  </w:p>
                </w:tc>
                <w:tc>
                  <w:tcPr>
                    <w:tcW w:w="1697" w:type="pct"/>
                    <w:tcBorders>
                      <w:top w:val="single" w:sz="6" w:space="0" w:color="auto"/>
                      <w:left w:val="single" w:sz="6" w:space="0" w:color="auto"/>
                      <w:bottom w:val="single" w:sz="6" w:space="0" w:color="auto"/>
                      <w:right w:val="single" w:sz="6" w:space="0" w:color="auto"/>
                    </w:tcBorders>
                  </w:tcPr>
                  <w:p w14:paraId="61E9F14F" w14:textId="77777777" w:rsidR="00830E72" w:rsidRDefault="008344D8">
                    <w:pPr>
                      <w:jc w:val="right"/>
                      <w:rPr>
                        <w:szCs w:val="21"/>
                      </w:rPr>
                    </w:pPr>
                    <w:r>
                      <w:rPr>
                        <w:szCs w:val="21"/>
                      </w:rPr>
                      <w:t>255,299.32</w:t>
                    </w:r>
                  </w:p>
                </w:tc>
              </w:tr>
            </w:sdtContent>
          </w:sdt>
          <w:sdt>
            <w:sdtPr>
              <w:rPr>
                <w:szCs w:val="21"/>
              </w:rPr>
              <w:alias w:val="税金及附加明细"/>
              <w:tag w:val="_GBC_ec40da632a7e4b998c9f045c23f7af1b"/>
              <w:id w:val="-1329902374"/>
              <w:lock w:val="sdtLocked"/>
            </w:sdtPr>
            <w:sdtEndPr/>
            <w:sdtContent>
              <w:tr w:rsidR="00830E72" w14:paraId="283658A5" w14:textId="77777777">
                <w:tc>
                  <w:tcPr>
                    <w:tcW w:w="1606" w:type="pct"/>
                    <w:tcBorders>
                      <w:top w:val="single" w:sz="6" w:space="0" w:color="auto"/>
                      <w:left w:val="single" w:sz="6" w:space="0" w:color="auto"/>
                      <w:bottom w:val="single" w:sz="6" w:space="0" w:color="auto"/>
                      <w:right w:val="single" w:sz="6" w:space="0" w:color="auto"/>
                    </w:tcBorders>
                    <w:vAlign w:val="center"/>
                  </w:tcPr>
                  <w:p w14:paraId="0747211B" w14:textId="77777777" w:rsidR="00830E72" w:rsidRDefault="008344D8">
                    <w:pPr>
                      <w:autoSpaceDE w:val="0"/>
                      <w:autoSpaceDN w:val="0"/>
                      <w:adjustRightInd w:val="0"/>
                      <w:snapToGrid w:val="0"/>
                      <w:spacing w:line="240" w:lineRule="atLeast"/>
                      <w:rPr>
                        <w:szCs w:val="21"/>
                      </w:rPr>
                    </w:pPr>
                    <w:r>
                      <w:rPr>
                        <w:rFonts w:hint="eastAsia"/>
                        <w:szCs w:val="21"/>
                      </w:rPr>
                      <w:t>水利基金</w:t>
                    </w:r>
                  </w:p>
                </w:tc>
                <w:tc>
                  <w:tcPr>
                    <w:tcW w:w="1697" w:type="pct"/>
                    <w:tcBorders>
                      <w:top w:val="single" w:sz="6" w:space="0" w:color="auto"/>
                      <w:left w:val="single" w:sz="6" w:space="0" w:color="auto"/>
                      <w:bottom w:val="single" w:sz="6" w:space="0" w:color="auto"/>
                      <w:right w:val="single" w:sz="6" w:space="0" w:color="auto"/>
                    </w:tcBorders>
                  </w:tcPr>
                  <w:p w14:paraId="4ECDBCA9" w14:textId="77777777" w:rsidR="00830E72" w:rsidRDefault="008344D8">
                    <w:pPr>
                      <w:autoSpaceDE w:val="0"/>
                      <w:autoSpaceDN w:val="0"/>
                      <w:adjustRightInd w:val="0"/>
                      <w:snapToGrid w:val="0"/>
                      <w:spacing w:line="240" w:lineRule="atLeast"/>
                      <w:jc w:val="right"/>
                      <w:rPr>
                        <w:szCs w:val="21"/>
                      </w:rPr>
                    </w:pPr>
                    <w:r>
                      <w:rPr>
                        <w:szCs w:val="21"/>
                      </w:rPr>
                      <w:t>559,943.89</w:t>
                    </w:r>
                  </w:p>
                </w:tc>
                <w:tc>
                  <w:tcPr>
                    <w:tcW w:w="1697" w:type="pct"/>
                    <w:tcBorders>
                      <w:top w:val="single" w:sz="6" w:space="0" w:color="auto"/>
                      <w:left w:val="single" w:sz="6" w:space="0" w:color="auto"/>
                      <w:bottom w:val="single" w:sz="6" w:space="0" w:color="auto"/>
                      <w:right w:val="single" w:sz="6" w:space="0" w:color="auto"/>
                    </w:tcBorders>
                  </w:tcPr>
                  <w:p w14:paraId="45CB6D8B" w14:textId="77777777" w:rsidR="00830E72" w:rsidRDefault="008344D8">
                    <w:pPr>
                      <w:jc w:val="right"/>
                      <w:rPr>
                        <w:szCs w:val="21"/>
                      </w:rPr>
                    </w:pPr>
                    <w:r>
                      <w:rPr>
                        <w:szCs w:val="21"/>
                      </w:rPr>
                      <w:t>564,340.21</w:t>
                    </w:r>
                  </w:p>
                </w:tc>
              </w:tr>
            </w:sdtContent>
          </w:sdt>
          <w:sdt>
            <w:sdtPr>
              <w:rPr>
                <w:szCs w:val="21"/>
              </w:rPr>
              <w:alias w:val="税金及附加明细"/>
              <w:tag w:val="_GBC_ec40da632a7e4b998c9f045c23f7af1b"/>
              <w:id w:val="822857201"/>
              <w:lock w:val="sdtLocked"/>
            </w:sdtPr>
            <w:sdtEndPr/>
            <w:sdtContent>
              <w:tr w:rsidR="00830E72" w14:paraId="6C3A7C25" w14:textId="77777777">
                <w:tc>
                  <w:tcPr>
                    <w:tcW w:w="1606" w:type="pct"/>
                    <w:tcBorders>
                      <w:top w:val="single" w:sz="6" w:space="0" w:color="auto"/>
                      <w:left w:val="single" w:sz="6" w:space="0" w:color="auto"/>
                      <w:bottom w:val="single" w:sz="6" w:space="0" w:color="auto"/>
                      <w:right w:val="single" w:sz="6" w:space="0" w:color="auto"/>
                    </w:tcBorders>
                    <w:vAlign w:val="center"/>
                  </w:tcPr>
                  <w:p w14:paraId="47F3820A" w14:textId="77777777" w:rsidR="00830E72" w:rsidRDefault="008344D8">
                    <w:pPr>
                      <w:autoSpaceDE w:val="0"/>
                      <w:autoSpaceDN w:val="0"/>
                      <w:adjustRightInd w:val="0"/>
                      <w:snapToGrid w:val="0"/>
                      <w:spacing w:line="240" w:lineRule="atLeast"/>
                      <w:rPr>
                        <w:szCs w:val="21"/>
                      </w:rPr>
                    </w:pPr>
                    <w:r>
                      <w:rPr>
                        <w:rFonts w:hint="eastAsia"/>
                        <w:szCs w:val="21"/>
                      </w:rPr>
                      <w:t>其他</w:t>
                    </w:r>
                  </w:p>
                </w:tc>
                <w:tc>
                  <w:tcPr>
                    <w:tcW w:w="1697" w:type="pct"/>
                    <w:tcBorders>
                      <w:top w:val="single" w:sz="6" w:space="0" w:color="auto"/>
                      <w:left w:val="single" w:sz="6" w:space="0" w:color="auto"/>
                      <w:bottom w:val="single" w:sz="6" w:space="0" w:color="auto"/>
                      <w:right w:val="single" w:sz="6" w:space="0" w:color="auto"/>
                    </w:tcBorders>
                  </w:tcPr>
                  <w:p w14:paraId="63D09A23" w14:textId="77777777" w:rsidR="00830E72" w:rsidRDefault="008344D8">
                    <w:pPr>
                      <w:autoSpaceDE w:val="0"/>
                      <w:autoSpaceDN w:val="0"/>
                      <w:adjustRightInd w:val="0"/>
                      <w:snapToGrid w:val="0"/>
                      <w:spacing w:line="240" w:lineRule="atLeast"/>
                      <w:jc w:val="right"/>
                      <w:rPr>
                        <w:szCs w:val="21"/>
                      </w:rPr>
                    </w:pPr>
                    <w:r>
                      <w:rPr>
                        <w:szCs w:val="21"/>
                      </w:rPr>
                      <w:t>467,134.23</w:t>
                    </w:r>
                  </w:p>
                </w:tc>
                <w:tc>
                  <w:tcPr>
                    <w:tcW w:w="1697" w:type="pct"/>
                    <w:tcBorders>
                      <w:top w:val="single" w:sz="6" w:space="0" w:color="auto"/>
                      <w:left w:val="single" w:sz="6" w:space="0" w:color="auto"/>
                      <w:bottom w:val="single" w:sz="6" w:space="0" w:color="auto"/>
                      <w:right w:val="single" w:sz="6" w:space="0" w:color="auto"/>
                    </w:tcBorders>
                  </w:tcPr>
                  <w:p w14:paraId="54B62F1E" w14:textId="77777777" w:rsidR="00830E72" w:rsidRDefault="008344D8">
                    <w:pPr>
                      <w:jc w:val="right"/>
                      <w:rPr>
                        <w:szCs w:val="21"/>
                      </w:rPr>
                    </w:pPr>
                    <w:r>
                      <w:rPr>
                        <w:rFonts w:hint="eastAsia"/>
                        <w:szCs w:val="21"/>
                      </w:rPr>
                      <w:t>217</w:t>
                    </w:r>
                    <w:r>
                      <w:rPr>
                        <w:szCs w:val="21"/>
                      </w:rPr>
                      <w:t>,</w:t>
                    </w:r>
                    <w:r>
                      <w:rPr>
                        <w:rFonts w:hint="eastAsia"/>
                        <w:szCs w:val="21"/>
                      </w:rPr>
                      <w:t>933.62</w:t>
                    </w:r>
                  </w:p>
                </w:tc>
              </w:tr>
            </w:sdtContent>
          </w:sdt>
          <w:tr w:rsidR="00830E72" w14:paraId="255DF6B4" w14:textId="77777777">
            <w:sdt>
              <w:sdtPr>
                <w:tag w:val="_PLD_447085d4b34d4e7e8574b5b78f65bf27"/>
                <w:id w:val="164758295"/>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1AB98703" w14:textId="77777777" w:rsidR="00830E72" w:rsidRDefault="008344D8">
                    <w:pPr>
                      <w:autoSpaceDE w:val="0"/>
                      <w:autoSpaceDN w:val="0"/>
                      <w:adjustRightInd w:val="0"/>
                      <w:snapToGrid w:val="0"/>
                      <w:spacing w:line="240" w:lineRule="atLeast"/>
                      <w:jc w:val="center"/>
                      <w:rPr>
                        <w:szCs w:val="21"/>
                      </w:rPr>
                    </w:pPr>
                    <w:r>
                      <w:rPr>
                        <w:rFonts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tcPr>
              <w:p w14:paraId="5A7D4366" w14:textId="77777777" w:rsidR="00830E72" w:rsidRDefault="008344D8">
                <w:pPr>
                  <w:autoSpaceDE w:val="0"/>
                  <w:autoSpaceDN w:val="0"/>
                  <w:adjustRightInd w:val="0"/>
                  <w:snapToGrid w:val="0"/>
                  <w:spacing w:line="240" w:lineRule="atLeast"/>
                  <w:jc w:val="right"/>
                  <w:rPr>
                    <w:szCs w:val="21"/>
                  </w:rPr>
                </w:pPr>
                <w:r>
                  <w:rPr>
                    <w:szCs w:val="21"/>
                  </w:rPr>
                  <w:t>1,428,267.71</w:t>
                </w:r>
              </w:p>
            </w:tc>
            <w:tc>
              <w:tcPr>
                <w:tcW w:w="1697" w:type="pct"/>
                <w:tcBorders>
                  <w:top w:val="single" w:sz="6" w:space="0" w:color="auto"/>
                  <w:left w:val="single" w:sz="6" w:space="0" w:color="auto"/>
                  <w:bottom w:val="single" w:sz="6" w:space="0" w:color="auto"/>
                  <w:right w:val="single" w:sz="6" w:space="0" w:color="auto"/>
                </w:tcBorders>
              </w:tcPr>
              <w:p w14:paraId="128F7A92" w14:textId="77777777" w:rsidR="00830E72" w:rsidRDefault="008344D8">
                <w:pPr>
                  <w:jc w:val="right"/>
                  <w:rPr>
                    <w:szCs w:val="21"/>
                  </w:rPr>
                </w:pPr>
                <w:r>
                  <w:rPr>
                    <w:szCs w:val="21"/>
                  </w:rPr>
                  <w:t>3,273,148.18</w:t>
                </w:r>
              </w:p>
            </w:tc>
          </w:tr>
        </w:tbl>
        <w:p w14:paraId="20CE0BB1" w14:textId="77777777" w:rsidR="00830E72" w:rsidRDefault="00D44830">
          <w:pPr>
            <w:rPr>
              <w:szCs w:val="21"/>
            </w:rPr>
          </w:pPr>
        </w:p>
      </w:sdtContent>
    </w:sdt>
    <w:p w14:paraId="1BA356E6" w14:textId="77777777" w:rsidR="00830E72" w:rsidRDefault="00830E72">
      <w:pPr>
        <w:rPr>
          <w:szCs w:val="21"/>
        </w:rPr>
      </w:pPr>
    </w:p>
    <w:sdt>
      <w:sdtPr>
        <w:rPr>
          <w:rFonts w:ascii="宋体" w:hAnsi="宋体" w:cs="宋体" w:hint="eastAsia"/>
          <w:b w:val="0"/>
          <w:bCs w:val="0"/>
          <w:kern w:val="0"/>
          <w:szCs w:val="21"/>
        </w:rPr>
        <w:alias w:val="模块:成本费用"/>
        <w:tag w:val="_GBC_3faa14b862dd44e8a54b6137b70adace"/>
        <w:id w:val="1088266500"/>
        <w:lock w:val="sdtLocked"/>
        <w:placeholder>
          <w:docPart w:val="GBC22222222222222222222222222222"/>
        </w:placeholder>
      </w:sdtPr>
      <w:sdtEndPr>
        <w:rPr>
          <w:rFonts w:cstheme="minorBidi"/>
          <w:kern w:val="2"/>
        </w:rPr>
      </w:sdtEndPr>
      <w:sdtContent>
        <w:p w14:paraId="644987F9" w14:textId="77777777" w:rsidR="00830E72" w:rsidRDefault="008344D8">
          <w:pPr>
            <w:pStyle w:val="Style99"/>
            <w:numPr>
              <w:ilvl w:val="0"/>
              <w:numId w:val="45"/>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5302d6af48674660a2279c7c8a87bb8c"/>
            <w:id w:val="-1100107358"/>
            <w:lock w:val="sdtContentLocked"/>
            <w:placeholder>
              <w:docPart w:val="GBC22222222222222222222222222222"/>
            </w:placeholder>
          </w:sdtPr>
          <w:sdtEndPr/>
          <w:sdtContent>
            <w:p w14:paraId="73F2542A"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293C100" w14:textId="77777777" w:rsidR="00830E72" w:rsidRDefault="008344D8">
          <w:pPr>
            <w:pStyle w:val="Style118"/>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893203a5a3df44649aef388407d22c68"/>
              <w:id w:val="-7242152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4954a9fca98d4f279270fb28f987aa6f"/>
              <w:id w:val="-1709478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693"/>
            <w:gridCol w:w="2420"/>
          </w:tblGrid>
          <w:tr w:rsidR="00830E72" w14:paraId="248F6A3A" w14:textId="77777777">
            <w:sdt>
              <w:sdtPr>
                <w:tag w:val="_PLD_16c47970a3b145c98f438f3cb34ff636"/>
                <w:id w:val="-1956710622"/>
                <w:lock w:val="sdtLocked"/>
              </w:sdtPr>
              <w:sdtEndPr/>
              <w:sdtContent>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695FECA6" w14:textId="77777777" w:rsidR="00830E72" w:rsidRDefault="008344D8">
                    <w:pPr>
                      <w:jc w:val="center"/>
                      <w:rPr>
                        <w:szCs w:val="21"/>
                      </w:rPr>
                    </w:pPr>
                    <w:r>
                      <w:rPr>
                        <w:rFonts w:hint="eastAsia"/>
                        <w:szCs w:val="21"/>
                      </w:rPr>
                      <w:t>项目</w:t>
                    </w:r>
                  </w:p>
                </w:tc>
              </w:sdtContent>
            </w:sdt>
            <w:sdt>
              <w:sdtPr>
                <w:tag w:val="_PLD_b3ce435531054240b373e649bc9ae7a1"/>
                <w:id w:val="1941869981"/>
                <w:lock w:val="sdtLocked"/>
              </w:sdtPr>
              <w:sdtEndPr/>
              <w:sdtContent>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2006795E" w14:textId="77777777" w:rsidR="00830E72" w:rsidRDefault="008344D8">
                    <w:pPr>
                      <w:jc w:val="center"/>
                      <w:rPr>
                        <w:szCs w:val="21"/>
                      </w:rPr>
                    </w:pPr>
                    <w:r>
                      <w:rPr>
                        <w:rFonts w:hint="eastAsia"/>
                        <w:szCs w:val="21"/>
                      </w:rPr>
                      <w:t>本期发生额</w:t>
                    </w:r>
                  </w:p>
                </w:tc>
              </w:sdtContent>
            </w:sdt>
            <w:sdt>
              <w:sdtPr>
                <w:tag w:val="_PLD_9480cd5806624557b975b5d0ce06575b"/>
                <w:id w:val="-1613054797"/>
                <w:lock w:val="sdtLocked"/>
              </w:sdtPr>
              <w:sdtEndPr/>
              <w:sdtContent>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336AD58E" w14:textId="77777777" w:rsidR="00830E72" w:rsidRDefault="008344D8">
                    <w:pPr>
                      <w:jc w:val="center"/>
                      <w:rPr>
                        <w:szCs w:val="21"/>
                      </w:rPr>
                    </w:pPr>
                    <w:r>
                      <w:rPr>
                        <w:rFonts w:hint="eastAsia"/>
                        <w:szCs w:val="21"/>
                      </w:rPr>
                      <w:t>上期发生额</w:t>
                    </w:r>
                  </w:p>
                </w:tc>
              </w:sdtContent>
            </w:sdt>
          </w:tr>
          <w:sdt>
            <w:sdtPr>
              <w:rPr>
                <w:szCs w:val="21"/>
              </w:rPr>
              <w:alias w:val="销售费用明细"/>
              <w:tag w:val="_GBC_8b0e6f0534ed42879aaed18b46dbec7d"/>
              <w:id w:val="-45603761"/>
              <w:lock w:val="sdtLocked"/>
            </w:sdtPr>
            <w:sdtEndPr/>
            <w:sdtContent>
              <w:tr w:rsidR="00830E72" w14:paraId="1627E881" w14:textId="7777777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2CEAEB0B" w14:textId="77777777" w:rsidR="00830E72" w:rsidRDefault="008344D8">
                    <w:pPr>
                      <w:rPr>
                        <w:szCs w:val="21"/>
                      </w:rPr>
                    </w:pPr>
                    <w:r>
                      <w:rPr>
                        <w:rFonts w:hint="eastAsia"/>
                        <w:szCs w:val="21"/>
                      </w:rPr>
                      <w:t>职工薪酬</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4B47D2C5" w14:textId="77777777" w:rsidR="00830E72" w:rsidRDefault="008344D8">
                    <w:pPr>
                      <w:jc w:val="right"/>
                      <w:rPr>
                        <w:szCs w:val="21"/>
                      </w:rPr>
                    </w:pPr>
                    <w:r>
                      <w:rPr>
                        <w:szCs w:val="21"/>
                      </w:rPr>
                      <w:t>5,752,229.98</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1D6DBE3D" w14:textId="77777777" w:rsidR="00830E72" w:rsidRDefault="008344D8">
                    <w:pPr>
                      <w:jc w:val="right"/>
                      <w:rPr>
                        <w:szCs w:val="21"/>
                      </w:rPr>
                    </w:pPr>
                    <w:r>
                      <w:rPr>
                        <w:szCs w:val="21"/>
                      </w:rPr>
                      <w:t>4,480,425.66</w:t>
                    </w:r>
                  </w:p>
                </w:tc>
              </w:tr>
            </w:sdtContent>
          </w:sdt>
          <w:sdt>
            <w:sdtPr>
              <w:rPr>
                <w:szCs w:val="21"/>
              </w:rPr>
              <w:alias w:val="销售费用明细"/>
              <w:tag w:val="_GBC_8b0e6f0534ed42879aaed18b46dbec7d"/>
              <w:id w:val="-119229040"/>
              <w:lock w:val="sdtLocked"/>
            </w:sdtPr>
            <w:sdtEndPr/>
            <w:sdtContent>
              <w:tr w:rsidR="00830E72" w14:paraId="5006D247" w14:textId="7777777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140F5523" w14:textId="77777777" w:rsidR="00830E72" w:rsidRDefault="008344D8">
                    <w:pPr>
                      <w:rPr>
                        <w:szCs w:val="21"/>
                      </w:rPr>
                    </w:pPr>
                    <w:r>
                      <w:rPr>
                        <w:rFonts w:hint="eastAsia"/>
                        <w:szCs w:val="21"/>
                      </w:rPr>
                      <w:t>办公差旅费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2B41E301" w14:textId="77777777" w:rsidR="00830E72" w:rsidRDefault="008344D8">
                    <w:pPr>
                      <w:jc w:val="right"/>
                      <w:rPr>
                        <w:szCs w:val="21"/>
                      </w:rPr>
                    </w:pPr>
                    <w:r>
                      <w:rPr>
                        <w:szCs w:val="21"/>
                      </w:rPr>
                      <w:t>628,406.10</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19AE5530" w14:textId="77777777" w:rsidR="00830E72" w:rsidRDefault="008344D8">
                    <w:pPr>
                      <w:jc w:val="right"/>
                      <w:rPr>
                        <w:szCs w:val="21"/>
                      </w:rPr>
                    </w:pPr>
                    <w:r>
                      <w:rPr>
                        <w:szCs w:val="21"/>
                      </w:rPr>
                      <w:t>757,531.21</w:t>
                    </w:r>
                  </w:p>
                </w:tc>
              </w:tr>
            </w:sdtContent>
          </w:sdt>
          <w:sdt>
            <w:sdtPr>
              <w:rPr>
                <w:szCs w:val="21"/>
              </w:rPr>
              <w:alias w:val="销售费用明细"/>
              <w:tag w:val="_GBC_8b0e6f0534ed42879aaed18b46dbec7d"/>
              <w:id w:val="-1196145531"/>
              <w:lock w:val="sdtLocked"/>
            </w:sdtPr>
            <w:sdtEndPr/>
            <w:sdtContent>
              <w:tr w:rsidR="00830E72" w14:paraId="1767D8B3" w14:textId="7777777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30BDBE58" w14:textId="77777777" w:rsidR="00830E72" w:rsidRDefault="008344D8">
                    <w:pPr>
                      <w:rPr>
                        <w:szCs w:val="21"/>
                      </w:rPr>
                    </w:pPr>
                    <w:r>
                      <w:rPr>
                        <w:rFonts w:hint="eastAsia"/>
                        <w:szCs w:val="21"/>
                      </w:rPr>
                      <w:t>招待费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7A3BF38E" w14:textId="77777777" w:rsidR="00830E72" w:rsidRDefault="008344D8">
                    <w:pPr>
                      <w:jc w:val="right"/>
                      <w:rPr>
                        <w:szCs w:val="21"/>
                      </w:rPr>
                    </w:pPr>
                    <w:r>
                      <w:rPr>
                        <w:szCs w:val="21"/>
                      </w:rPr>
                      <w:t>1,756,095.45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68FB9AA0" w14:textId="77777777" w:rsidR="00830E72" w:rsidRDefault="008344D8">
                    <w:pPr>
                      <w:jc w:val="right"/>
                      <w:rPr>
                        <w:szCs w:val="21"/>
                      </w:rPr>
                    </w:pPr>
                    <w:r>
                      <w:rPr>
                        <w:szCs w:val="21"/>
                      </w:rPr>
                      <w:t>1,156,343.01</w:t>
                    </w:r>
                  </w:p>
                </w:tc>
              </w:tr>
            </w:sdtContent>
          </w:sdt>
          <w:sdt>
            <w:sdtPr>
              <w:rPr>
                <w:szCs w:val="21"/>
              </w:rPr>
              <w:alias w:val="销售费用明细"/>
              <w:tag w:val="_GBC_8b0e6f0534ed42879aaed18b46dbec7d"/>
              <w:id w:val="-1504110463"/>
              <w:lock w:val="sdtLocked"/>
            </w:sdtPr>
            <w:sdtEndPr/>
            <w:sdtContent>
              <w:tr w:rsidR="00830E72" w14:paraId="5825A099" w14:textId="7777777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05F10613" w14:textId="77777777" w:rsidR="00830E72" w:rsidRDefault="008344D8">
                    <w:pPr>
                      <w:rPr>
                        <w:szCs w:val="21"/>
                      </w:rPr>
                    </w:pPr>
                    <w:r>
                      <w:rPr>
                        <w:rFonts w:hint="eastAsia"/>
                        <w:szCs w:val="21"/>
                      </w:rPr>
                      <w:t>投标费及其他</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0A82BF7A" w14:textId="77777777" w:rsidR="00830E72" w:rsidRDefault="008344D8">
                    <w:pPr>
                      <w:jc w:val="right"/>
                      <w:rPr>
                        <w:szCs w:val="21"/>
                      </w:rPr>
                    </w:pPr>
                    <w:r>
                      <w:rPr>
                        <w:szCs w:val="21"/>
                      </w:rPr>
                      <w:t>2,347,263.45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54F8641D" w14:textId="77777777" w:rsidR="00830E72" w:rsidRDefault="008344D8">
                    <w:pPr>
                      <w:jc w:val="right"/>
                      <w:rPr>
                        <w:szCs w:val="21"/>
                      </w:rPr>
                    </w:pPr>
                    <w:r>
                      <w:rPr>
                        <w:szCs w:val="21"/>
                      </w:rPr>
                      <w:t>1,847,418.40</w:t>
                    </w:r>
                  </w:p>
                </w:tc>
              </w:tr>
            </w:sdtContent>
          </w:sdt>
          <w:tr w:rsidR="00830E72" w14:paraId="3BEE1639" w14:textId="77777777">
            <w:sdt>
              <w:sdtPr>
                <w:tag w:val="_PLD_bb83cc20a1fb4ed7973343e471dad9ef"/>
                <w:id w:val="-1124613548"/>
                <w:lock w:val="sdtLocked"/>
              </w:sdtPr>
              <w:sdtEndPr/>
              <w:sdtContent>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368EF549" w14:textId="77777777" w:rsidR="00830E72" w:rsidRDefault="008344D8">
                    <w:pPr>
                      <w:jc w:val="center"/>
                      <w:rPr>
                        <w:szCs w:val="21"/>
                      </w:rPr>
                    </w:pPr>
                    <w:r>
                      <w:rPr>
                        <w:rFonts w:hint="eastAsia"/>
                        <w:szCs w:val="21"/>
                      </w:rPr>
                      <w:t>合计</w:t>
                    </w:r>
                  </w:p>
                </w:tc>
              </w:sdtContent>
            </w:sdt>
            <w:tc>
              <w:tcPr>
                <w:tcW w:w="1488" w:type="pct"/>
                <w:tcBorders>
                  <w:top w:val="single" w:sz="4" w:space="0" w:color="auto"/>
                  <w:left w:val="single" w:sz="4" w:space="0" w:color="auto"/>
                  <w:bottom w:val="single" w:sz="4" w:space="0" w:color="auto"/>
                  <w:right w:val="single" w:sz="4" w:space="0" w:color="auto"/>
                </w:tcBorders>
                <w:shd w:val="clear" w:color="auto" w:fill="auto"/>
              </w:tcPr>
              <w:p w14:paraId="2564B3FC" w14:textId="77777777" w:rsidR="00830E72" w:rsidRDefault="008344D8">
                <w:pPr>
                  <w:jc w:val="right"/>
                  <w:rPr>
                    <w:szCs w:val="21"/>
                  </w:rPr>
                </w:pPr>
                <w:r>
                  <w:rPr>
                    <w:szCs w:val="21"/>
                  </w:rPr>
                  <w:t>10,483,994.98</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23598272" w14:textId="77777777" w:rsidR="00830E72" w:rsidRDefault="008344D8">
                <w:pPr>
                  <w:jc w:val="right"/>
                  <w:rPr>
                    <w:szCs w:val="21"/>
                  </w:rPr>
                </w:pPr>
                <w:r>
                  <w:rPr>
                    <w:szCs w:val="21"/>
                  </w:rPr>
                  <w:t>8,241,718.28</w:t>
                </w:r>
              </w:p>
            </w:tc>
          </w:tr>
        </w:tbl>
        <w:p w14:paraId="37D75522" w14:textId="77777777" w:rsidR="00830E72" w:rsidRDefault="00D44830">
          <w:pPr>
            <w:rPr>
              <w:szCs w:val="21"/>
            </w:rPr>
          </w:pPr>
        </w:p>
      </w:sdtContent>
    </w:sdt>
    <w:p w14:paraId="5AE9DDAE" w14:textId="77777777" w:rsidR="00830E72" w:rsidRDefault="00830E72">
      <w:pPr>
        <w:rPr>
          <w:szCs w:val="21"/>
        </w:rPr>
      </w:pPr>
    </w:p>
    <w:sdt>
      <w:sdtPr>
        <w:rPr>
          <w:rFonts w:ascii="宋体" w:hAnsi="宋体" w:cs="宋体" w:hint="eastAsia"/>
          <w:b w:val="0"/>
          <w:bCs w:val="0"/>
          <w:kern w:val="0"/>
          <w:szCs w:val="21"/>
        </w:rPr>
        <w:alias w:val="模块:管理费用"/>
        <w:tag w:val="_GBC_d5a6283bdea64513980a0cc618e2ec60"/>
        <w:id w:val="-878476280"/>
        <w:lock w:val="sdtLocked"/>
        <w:placeholder>
          <w:docPart w:val="GBC22222222222222222222222222222"/>
        </w:placeholder>
      </w:sdtPr>
      <w:sdtEndPr/>
      <w:sdtContent>
        <w:p w14:paraId="58EA3E5E"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管理费用</w:t>
          </w:r>
        </w:p>
        <w:sdt>
          <w:sdtPr>
            <w:alias w:val="是否适用：管理费用[双击切换]"/>
            <w:tag w:val="_GBC_864c9dd9adce435698261f1da02ab8fb"/>
            <w:id w:val="-413088047"/>
            <w:lock w:val="sdtContentLocked"/>
            <w:placeholder>
              <w:docPart w:val="GBC22222222222222222222222222222"/>
            </w:placeholder>
          </w:sdtPr>
          <w:sdtEndPr/>
          <w:sdtContent>
            <w:p w14:paraId="2D67740A"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4DB7FF1" w14:textId="77777777" w:rsidR="00830E72" w:rsidRDefault="008344D8">
          <w:pPr>
            <w:jc w:val="right"/>
          </w:pPr>
          <w:r>
            <w:rPr>
              <w:rFonts w:hint="eastAsia"/>
            </w:rPr>
            <w:t>单位：</w:t>
          </w:r>
          <w:sdt>
            <w:sdtPr>
              <w:rPr>
                <w:rFonts w:hint="eastAsia"/>
              </w:rPr>
              <w:alias w:val="单位：管理费用"/>
              <w:tag w:val="_GBC_b8198aec3f7748d28785c1eebbf02df7"/>
              <w:id w:val="20649907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管理费用"/>
              <w:tag w:val="_GBC_f92af61f8b3b45ba9ec818ede9725428"/>
              <w:id w:val="-8653654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2604"/>
            <w:gridCol w:w="2440"/>
          </w:tblGrid>
          <w:tr w:rsidR="00830E72" w14:paraId="63A39A8C" w14:textId="77777777">
            <w:sdt>
              <w:sdtPr>
                <w:tag w:val="_PLD_249fd0c096ba421285089a0fada9d43a"/>
                <w:id w:val="86017036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23C8385D" w14:textId="77777777" w:rsidR="00830E72" w:rsidRDefault="008344D8">
                    <w:pPr>
                      <w:jc w:val="center"/>
                    </w:pPr>
                    <w:r>
                      <w:rPr>
                        <w:rFonts w:hint="eastAsia"/>
                      </w:rPr>
                      <w:t>项目</w:t>
                    </w:r>
                  </w:p>
                </w:tc>
              </w:sdtContent>
            </w:sdt>
            <w:sdt>
              <w:sdtPr>
                <w:tag w:val="_PLD_acf5bcbf929244268be56ad5d0f3ea18"/>
                <w:id w:val="-31841729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53270C58" w14:textId="77777777" w:rsidR="00830E72" w:rsidRDefault="008344D8">
                    <w:pPr>
                      <w:jc w:val="center"/>
                    </w:pPr>
                    <w:r>
                      <w:rPr>
                        <w:rFonts w:hint="eastAsia"/>
                      </w:rPr>
                      <w:t>本期发生额</w:t>
                    </w:r>
                  </w:p>
                </w:tc>
              </w:sdtContent>
            </w:sdt>
            <w:sdt>
              <w:sdtPr>
                <w:tag w:val="_PLD_d37d8a59d4d74c26ac22dc33983efa29"/>
                <w:id w:val="1627590187"/>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1C116D87" w14:textId="77777777" w:rsidR="00830E72" w:rsidRDefault="008344D8">
                    <w:pPr>
                      <w:jc w:val="center"/>
                    </w:pPr>
                    <w:r>
                      <w:rPr>
                        <w:rFonts w:hint="eastAsia"/>
                      </w:rPr>
                      <w:t>上期发生额</w:t>
                    </w:r>
                  </w:p>
                </w:tc>
              </w:sdtContent>
            </w:sdt>
          </w:tr>
          <w:sdt>
            <w:sdtPr>
              <w:rPr>
                <w:rFonts w:hint="eastAsia"/>
              </w:rPr>
              <w:alias w:val="管理费用明细"/>
              <w:tag w:val="_GBC_1330575ab4a44e46920401d3d7599402"/>
              <w:id w:val="-1315559420"/>
              <w:lock w:val="sdtLocked"/>
            </w:sdtPr>
            <w:sdtEndPr/>
            <w:sdtContent>
              <w:tr w:rsidR="00830E72" w14:paraId="03122529"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66CEA24" w14:textId="77777777" w:rsidR="00830E72" w:rsidRDefault="008344D8">
                    <w:r>
                      <w:rPr>
                        <w:rFonts w:hint="eastAsia"/>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B5F3587" w14:textId="77777777" w:rsidR="00830E72" w:rsidRDefault="008344D8">
                    <w:pPr>
                      <w:jc w:val="right"/>
                    </w:pPr>
                    <w:r>
                      <w:t>18,386,481.35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E955CB3" w14:textId="77777777" w:rsidR="00830E72" w:rsidRDefault="008344D8">
                    <w:pPr>
                      <w:jc w:val="right"/>
                    </w:pPr>
                    <w:r>
                      <w:t>16,910,273.40</w:t>
                    </w:r>
                  </w:p>
                </w:tc>
              </w:tr>
            </w:sdtContent>
          </w:sdt>
          <w:sdt>
            <w:sdtPr>
              <w:rPr>
                <w:rFonts w:hint="eastAsia"/>
              </w:rPr>
              <w:alias w:val="管理费用明细"/>
              <w:tag w:val="_GBC_1330575ab4a44e46920401d3d7599402"/>
              <w:id w:val="1663974869"/>
              <w:lock w:val="sdtLocked"/>
            </w:sdtPr>
            <w:sdtEndPr/>
            <w:sdtContent>
              <w:tr w:rsidR="00830E72" w14:paraId="07585EC2"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A28391C" w14:textId="77777777" w:rsidR="00830E72" w:rsidRDefault="008344D8">
                    <w:r>
                      <w:rPr>
                        <w:rFonts w:hint="eastAsia"/>
                      </w:rP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423CF40" w14:textId="77777777" w:rsidR="00830E72" w:rsidRDefault="008344D8">
                    <w:pPr>
                      <w:jc w:val="right"/>
                    </w:pPr>
                    <w:r>
                      <w:t>2,573,676.65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CD2A032" w14:textId="77777777" w:rsidR="00830E72" w:rsidRDefault="008344D8">
                    <w:pPr>
                      <w:jc w:val="right"/>
                    </w:pPr>
                    <w:r>
                      <w:t>1,803,141.45</w:t>
                    </w:r>
                  </w:p>
                </w:tc>
              </w:tr>
            </w:sdtContent>
          </w:sdt>
          <w:sdt>
            <w:sdtPr>
              <w:rPr>
                <w:rFonts w:hint="eastAsia"/>
              </w:rPr>
              <w:alias w:val="管理费用明细"/>
              <w:tag w:val="_GBC_1330575ab4a44e46920401d3d7599402"/>
              <w:id w:val="-2084286826"/>
              <w:lock w:val="sdtLocked"/>
            </w:sdtPr>
            <w:sdtEndPr/>
            <w:sdtContent>
              <w:tr w:rsidR="00830E72" w14:paraId="16BB2B2A"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437DB9E" w14:textId="77777777" w:rsidR="00830E72" w:rsidRDefault="008344D8">
                    <w:r>
                      <w:rPr>
                        <w:rFonts w:hint="eastAsia"/>
                      </w:rPr>
                      <w:t>办公差旅费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DF11D81" w14:textId="77777777" w:rsidR="00830E72" w:rsidRDefault="008344D8">
                    <w:pPr>
                      <w:jc w:val="right"/>
                    </w:pPr>
                    <w:r>
                      <w:t>2,026,335.67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605C74A" w14:textId="77777777" w:rsidR="00830E72" w:rsidRDefault="008344D8">
                    <w:pPr>
                      <w:jc w:val="right"/>
                    </w:pPr>
                    <w:r>
                      <w:t>2,878,375.12</w:t>
                    </w:r>
                  </w:p>
                </w:tc>
              </w:tr>
            </w:sdtContent>
          </w:sdt>
          <w:sdt>
            <w:sdtPr>
              <w:rPr>
                <w:rFonts w:hint="eastAsia"/>
              </w:rPr>
              <w:alias w:val="管理费用明细"/>
              <w:tag w:val="_GBC_1330575ab4a44e46920401d3d7599402"/>
              <w:id w:val="2125111156"/>
              <w:lock w:val="sdtLocked"/>
            </w:sdtPr>
            <w:sdtEndPr/>
            <w:sdtContent>
              <w:tr w:rsidR="00830E72" w14:paraId="76FD932F"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573B676" w14:textId="77777777" w:rsidR="00830E72" w:rsidRDefault="008344D8">
                    <w:r>
                      <w:rPr>
                        <w:rFonts w:hint="eastAsia"/>
                      </w:rPr>
                      <w:t>租赁费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32B9C4A" w14:textId="77777777" w:rsidR="00830E72" w:rsidRDefault="008344D8">
                    <w:pPr>
                      <w:jc w:val="right"/>
                    </w:pPr>
                    <w:r>
                      <w:t>740,245.55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B17B168" w14:textId="77777777" w:rsidR="00830E72" w:rsidRDefault="008344D8">
                    <w:pPr>
                      <w:jc w:val="right"/>
                    </w:pPr>
                    <w:r>
                      <w:t>1,531,268.02</w:t>
                    </w:r>
                  </w:p>
                </w:tc>
              </w:tr>
            </w:sdtContent>
          </w:sdt>
          <w:sdt>
            <w:sdtPr>
              <w:rPr>
                <w:rFonts w:hint="eastAsia"/>
              </w:rPr>
              <w:alias w:val="管理费用明细"/>
              <w:tag w:val="_GBC_1330575ab4a44e46920401d3d7599402"/>
              <w:id w:val="131522671"/>
              <w:lock w:val="sdtLocked"/>
            </w:sdtPr>
            <w:sdtEndPr/>
            <w:sdtContent>
              <w:tr w:rsidR="00830E72" w14:paraId="44975437"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90458F3" w14:textId="77777777" w:rsidR="00830E72" w:rsidRDefault="008344D8">
                    <w:r>
                      <w:rPr>
                        <w:rFonts w:hint="eastAsia"/>
                      </w:rPr>
                      <w:t>折旧及摊销费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6D54B41" w14:textId="77777777" w:rsidR="00830E72" w:rsidRDefault="008344D8">
                    <w:pPr>
                      <w:jc w:val="right"/>
                    </w:pPr>
                    <w:r>
                      <w:t>1,811,289.58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FB4C286" w14:textId="77777777" w:rsidR="00830E72" w:rsidRDefault="008344D8">
                    <w:pPr>
                      <w:jc w:val="right"/>
                    </w:pPr>
                    <w:r>
                      <w:t>442,141.97</w:t>
                    </w:r>
                  </w:p>
                </w:tc>
              </w:tr>
            </w:sdtContent>
          </w:sdt>
          <w:sdt>
            <w:sdtPr>
              <w:rPr>
                <w:rFonts w:hint="eastAsia"/>
              </w:rPr>
              <w:alias w:val="管理费用明细"/>
              <w:tag w:val="_GBC_1330575ab4a44e46920401d3d7599402"/>
              <w:id w:val="-927882218"/>
              <w:lock w:val="sdtLocked"/>
            </w:sdtPr>
            <w:sdtEndPr/>
            <w:sdtContent>
              <w:tr w:rsidR="00830E72" w14:paraId="51DFE906"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C868B08" w14:textId="77777777" w:rsidR="00830E72" w:rsidRDefault="008344D8">
                    <w:r>
                      <w:rPr>
                        <w:rFonts w:hint="eastAsia"/>
                      </w:rPr>
                      <w:t>通讯费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090B5EE" w14:textId="77777777" w:rsidR="00830E72" w:rsidRDefault="008344D8">
                    <w:pPr>
                      <w:jc w:val="right"/>
                    </w:pPr>
                    <w:r>
                      <w:t>322,233.47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AA04766" w14:textId="77777777" w:rsidR="00830E72" w:rsidRDefault="008344D8">
                    <w:pPr>
                      <w:jc w:val="right"/>
                    </w:pPr>
                    <w:r>
                      <w:t>324,218.39</w:t>
                    </w:r>
                  </w:p>
                </w:tc>
              </w:tr>
            </w:sdtContent>
          </w:sdt>
          <w:sdt>
            <w:sdtPr>
              <w:rPr>
                <w:rFonts w:hint="eastAsia"/>
              </w:rPr>
              <w:alias w:val="管理费用明细"/>
              <w:tag w:val="_GBC_1330575ab4a44e46920401d3d7599402"/>
              <w:id w:val="-2014526210"/>
              <w:lock w:val="sdtLocked"/>
            </w:sdtPr>
            <w:sdtEndPr/>
            <w:sdtContent>
              <w:tr w:rsidR="00830E72" w14:paraId="0925FAAC"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5FB6446" w14:textId="77777777" w:rsidR="00830E72" w:rsidRDefault="008344D8">
                    <w:r>
                      <w:rPr>
                        <w:rFonts w:hint="eastAsia"/>
                      </w:rPr>
                      <w:t>中介机构费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84283C8" w14:textId="77777777" w:rsidR="00830E72" w:rsidRDefault="008344D8">
                    <w:pPr>
                      <w:jc w:val="right"/>
                    </w:pPr>
                    <w:r>
                      <w:t>973,432.53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AC66BE4" w14:textId="77777777" w:rsidR="00830E72" w:rsidRDefault="008344D8">
                    <w:pPr>
                      <w:jc w:val="right"/>
                    </w:pPr>
                    <w:r>
                      <w:t>538,133.88</w:t>
                    </w:r>
                  </w:p>
                </w:tc>
              </w:tr>
            </w:sdtContent>
          </w:sdt>
          <w:sdt>
            <w:sdtPr>
              <w:rPr>
                <w:rFonts w:hint="eastAsia"/>
              </w:rPr>
              <w:alias w:val="管理费用明细"/>
              <w:tag w:val="_GBC_1330575ab4a44e46920401d3d7599402"/>
              <w:id w:val="-1079063598"/>
              <w:lock w:val="sdtLocked"/>
            </w:sdtPr>
            <w:sdtEndPr/>
            <w:sdtContent>
              <w:tr w:rsidR="00830E72" w14:paraId="1C9F40AA"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10E6118" w14:textId="77777777" w:rsidR="00830E72" w:rsidRDefault="008344D8">
                    <w:r>
                      <w:rPr>
                        <w:rFonts w:hint="eastAsia"/>
                      </w:rPr>
                      <w:t>技术研发费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FAF8991" w14:textId="77777777" w:rsidR="00830E72" w:rsidRDefault="008344D8">
                    <w:pPr>
                      <w:jc w:val="right"/>
                    </w:pPr>
                    <w:r>
                      <w:t>1,105,748.53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C3D7431" w14:textId="77777777" w:rsidR="00830E72" w:rsidRDefault="008344D8">
                    <w:pPr>
                      <w:jc w:val="right"/>
                    </w:pPr>
                    <w:r>
                      <w:t>402,745.00</w:t>
                    </w:r>
                  </w:p>
                </w:tc>
              </w:tr>
            </w:sdtContent>
          </w:sdt>
          <w:sdt>
            <w:sdtPr>
              <w:rPr>
                <w:rFonts w:hint="eastAsia"/>
              </w:rPr>
              <w:alias w:val="管理费用明细"/>
              <w:tag w:val="_GBC_1330575ab4a44e46920401d3d7599402"/>
              <w:id w:val="1445737566"/>
              <w:lock w:val="sdtLocked"/>
            </w:sdtPr>
            <w:sdtEndPr/>
            <w:sdtContent>
              <w:tr w:rsidR="00830E72" w14:paraId="4072A645"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4806A77" w14:textId="77777777" w:rsidR="00830E72" w:rsidRDefault="008344D8">
                    <w:r>
                      <w:rPr>
                        <w:rFonts w:hint="eastAsia"/>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D810D40" w14:textId="77777777" w:rsidR="00830E72" w:rsidRDefault="008344D8">
                    <w:pPr>
                      <w:jc w:val="right"/>
                    </w:pPr>
                    <w:r>
                      <w:t>5,614,701.70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AE64F08" w14:textId="77777777" w:rsidR="00830E72" w:rsidRDefault="008344D8">
                    <w:pPr>
                      <w:jc w:val="right"/>
                    </w:pPr>
                    <w:r>
                      <w:t>2,984,160.92</w:t>
                    </w:r>
                  </w:p>
                </w:tc>
              </w:tr>
            </w:sdtContent>
          </w:sdt>
          <w:tr w:rsidR="00830E72" w14:paraId="5AEAA92C" w14:textId="77777777">
            <w:sdt>
              <w:sdtPr>
                <w:tag w:val="_PLD_a1574943c0c74f868555494c72b6afa6"/>
                <w:id w:val="51943902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09618008" w14:textId="77777777" w:rsidR="00830E72" w:rsidRDefault="008344D8">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7C797A03" w14:textId="77777777" w:rsidR="00830E72" w:rsidRDefault="008344D8">
                <w:pPr>
                  <w:jc w:val="right"/>
                </w:pPr>
                <w:r>
                  <w:t>33,554,145.03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B4AAD64" w14:textId="77777777" w:rsidR="00830E72" w:rsidRDefault="008344D8">
                <w:pPr>
                  <w:jc w:val="right"/>
                </w:pPr>
                <w:r>
                  <w:t>27,814,458.15</w:t>
                </w:r>
              </w:p>
            </w:tc>
          </w:tr>
        </w:tbl>
        <w:p w14:paraId="7768E0A3" w14:textId="77777777" w:rsidR="00830E72" w:rsidRDefault="00D44830">
          <w:pPr>
            <w:rPr>
              <w:szCs w:val="21"/>
            </w:rPr>
          </w:pPr>
        </w:p>
      </w:sdtContent>
    </w:sdt>
    <w:bookmarkStart w:id="190" w:name="_Hlk10538261" w:displacedByCustomXml="next"/>
    <w:sdt>
      <w:sdtPr>
        <w:rPr>
          <w:rFonts w:ascii="宋体" w:hAnsi="宋体" w:cs="宋体" w:hint="eastAsia"/>
          <w:b w:val="0"/>
          <w:bCs w:val="0"/>
          <w:kern w:val="0"/>
          <w:szCs w:val="21"/>
        </w:rPr>
        <w:alias w:val="模块:研发费用"/>
        <w:tag w:val="_SEC_5070ecc0a0324b189a4ec7d6e218c5d7"/>
        <w:id w:val="170004756"/>
        <w:lock w:val="sdtLocked"/>
        <w:placeholder>
          <w:docPart w:val="GBC22222222222222222222222222222"/>
        </w:placeholder>
      </w:sdtPr>
      <w:sdtEndPr>
        <w:rPr>
          <w:rFonts w:hint="default"/>
        </w:rPr>
      </w:sdtEndPr>
      <w:sdtContent>
        <w:p w14:paraId="0D7EBD63"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研发费用</w:t>
          </w:r>
        </w:p>
        <w:sdt>
          <w:sdtPr>
            <w:rPr>
              <w:szCs w:val="21"/>
            </w:rPr>
            <w:alias w:val="是否适用：研发费用[双击切换]"/>
            <w:tag w:val="_GBC_48b4a6beb6f54c3ba7c01af3727337bb"/>
            <w:id w:val="-939757854"/>
            <w:lock w:val="sdtContentLocked"/>
            <w:placeholder>
              <w:docPart w:val="GBC22222222222222222222222222222"/>
            </w:placeholder>
          </w:sdtPr>
          <w:sdtEndPr/>
          <w:sdtContent>
            <w:p w14:paraId="52342F4B" w14:textId="77777777" w:rsidR="00830E72" w:rsidRDefault="008344D8">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7073028" w14:textId="77777777" w:rsidR="00830E72" w:rsidRDefault="00D44830">
          <w:pPr>
            <w:rPr>
              <w:szCs w:val="21"/>
            </w:rPr>
          </w:pPr>
        </w:p>
      </w:sdtContent>
    </w:sdt>
    <w:bookmarkEnd w:id="190" w:displacedByCustomXml="next"/>
    <w:sdt>
      <w:sdtPr>
        <w:rPr>
          <w:rFonts w:ascii="宋体" w:hAnsi="宋体" w:cs="宋体" w:hint="eastAsia"/>
          <w:b w:val="0"/>
          <w:bCs w:val="0"/>
          <w:kern w:val="0"/>
          <w:szCs w:val="21"/>
        </w:rPr>
        <w:alias w:val="模块:财务费用"/>
        <w:tag w:val="_GBC_aeeadad5456b4097a79668e5a1cadb17"/>
        <w:id w:val="2060047661"/>
        <w:lock w:val="sdtLocked"/>
        <w:placeholder>
          <w:docPart w:val="GBC22222222222222222222222222222"/>
        </w:placeholder>
      </w:sdtPr>
      <w:sdtEndPr/>
      <w:sdtContent>
        <w:p w14:paraId="29CF3531"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财务费用</w:t>
          </w:r>
        </w:p>
        <w:sdt>
          <w:sdtPr>
            <w:alias w:val="是否适用：财务费用[双击切换]"/>
            <w:tag w:val="_GBC_699d8bdb2f1f4504a0ea4ccbc8889cfa"/>
            <w:id w:val="9952849"/>
            <w:lock w:val="sdtContentLocked"/>
            <w:placeholder>
              <w:docPart w:val="GBC22222222222222222222222222222"/>
            </w:placeholder>
          </w:sdtPr>
          <w:sdtEndPr/>
          <w:sdtContent>
            <w:p w14:paraId="0D38574B"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5799E74" w14:textId="77777777" w:rsidR="00830E72" w:rsidRDefault="008344D8">
          <w:pPr>
            <w:jc w:val="right"/>
          </w:pPr>
          <w:r>
            <w:rPr>
              <w:rFonts w:hint="eastAsia"/>
            </w:rPr>
            <w:t>单位：</w:t>
          </w:r>
          <w:sdt>
            <w:sdtPr>
              <w:rPr>
                <w:rFonts w:hint="eastAsia"/>
              </w:rPr>
              <w:alias w:val="单位：财务费用"/>
              <w:tag w:val="_GBC_eb9e02dce68144759561a3427fb3099a"/>
              <w:id w:val="4505265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费用"/>
              <w:tag w:val="_GBC_8e992a76854b4bd0a3f5cd49b31a4604"/>
              <w:id w:val="-1556181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2604"/>
            <w:gridCol w:w="2440"/>
          </w:tblGrid>
          <w:tr w:rsidR="00830E72" w14:paraId="647921FB" w14:textId="77777777">
            <w:sdt>
              <w:sdtPr>
                <w:tag w:val="_PLD_c57c227174f044c4bfa2c0fda1e37156"/>
                <w:id w:val="99545896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65C0A98C" w14:textId="77777777" w:rsidR="00830E72" w:rsidRDefault="008344D8">
                    <w:pPr>
                      <w:jc w:val="center"/>
                    </w:pPr>
                    <w:r>
                      <w:rPr>
                        <w:rFonts w:hint="eastAsia"/>
                      </w:rPr>
                      <w:t>项目</w:t>
                    </w:r>
                  </w:p>
                </w:tc>
              </w:sdtContent>
            </w:sdt>
            <w:sdt>
              <w:sdtPr>
                <w:tag w:val="_PLD_d7b23aa0bcb6433894875c858270ab7f"/>
                <w:id w:val="-147413597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2B353ECC" w14:textId="77777777" w:rsidR="00830E72" w:rsidRDefault="008344D8">
                    <w:pPr>
                      <w:jc w:val="center"/>
                    </w:pPr>
                    <w:r>
                      <w:rPr>
                        <w:rFonts w:hint="eastAsia"/>
                      </w:rPr>
                      <w:t>本期发生额</w:t>
                    </w:r>
                  </w:p>
                </w:tc>
              </w:sdtContent>
            </w:sdt>
            <w:sdt>
              <w:sdtPr>
                <w:tag w:val="_PLD_d79245f93e3d475b953b3e44bb1c6425"/>
                <w:id w:val="-68413438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34B6D0E8" w14:textId="77777777" w:rsidR="00830E72" w:rsidRDefault="008344D8">
                    <w:pPr>
                      <w:jc w:val="center"/>
                    </w:pPr>
                    <w:r>
                      <w:rPr>
                        <w:rFonts w:hint="eastAsia"/>
                      </w:rPr>
                      <w:t>上期发生额</w:t>
                    </w:r>
                  </w:p>
                </w:tc>
              </w:sdtContent>
            </w:sdt>
          </w:tr>
          <w:sdt>
            <w:sdtPr>
              <w:rPr>
                <w:rFonts w:hint="eastAsia"/>
              </w:rPr>
              <w:alias w:val="财务费用明细"/>
              <w:tag w:val="_GBC_6315cf92135646dfa5694359777c36b0"/>
              <w:id w:val="-1734147499"/>
              <w:lock w:val="sdtLocked"/>
            </w:sdtPr>
            <w:sdtEndPr/>
            <w:sdtContent>
              <w:tr w:rsidR="00830E72" w14:paraId="72692560"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61981E3" w14:textId="77777777" w:rsidR="00830E72" w:rsidRDefault="008344D8">
                    <w:r>
                      <w:rPr>
                        <w:rFonts w:hint="eastAsia"/>
                      </w:rP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B98A3ED" w14:textId="77777777" w:rsidR="00830E72" w:rsidRDefault="008344D8">
                    <w:pPr>
                      <w:jc w:val="right"/>
                    </w:pPr>
                    <w:r>
                      <w:t>32,362,274.29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9D5995B" w14:textId="77777777" w:rsidR="00830E72" w:rsidRDefault="008344D8">
                    <w:pPr>
                      <w:jc w:val="right"/>
                    </w:pPr>
                    <w:r>
                      <w:t>24,813,419.59</w:t>
                    </w:r>
                  </w:p>
                </w:tc>
              </w:tr>
            </w:sdtContent>
          </w:sdt>
          <w:sdt>
            <w:sdtPr>
              <w:rPr>
                <w:rFonts w:hint="eastAsia"/>
              </w:rPr>
              <w:alias w:val="财务费用明细"/>
              <w:tag w:val="_GBC_6315cf92135646dfa5694359777c36b0"/>
              <w:id w:val="923063990"/>
              <w:lock w:val="sdtLocked"/>
            </w:sdtPr>
            <w:sdtEndPr/>
            <w:sdtContent>
              <w:tr w:rsidR="00830E72" w14:paraId="25F70532"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6CBD49A" w14:textId="77777777" w:rsidR="00830E72" w:rsidRDefault="008344D8">
                    <w:r>
                      <w:rPr>
                        <w:rFonts w:hint="eastAsia"/>
                      </w:rPr>
                      <w:t>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4A7F42F" w14:textId="77777777" w:rsidR="00830E72" w:rsidRDefault="008344D8">
                    <w:pPr>
                      <w:jc w:val="right"/>
                    </w:pPr>
                    <w:r>
                      <w:rPr>
                        <w:rFonts w:hint="eastAsia"/>
                      </w:rPr>
                      <w:t>-</w:t>
                    </w:r>
                    <w:r>
                      <w:t>1,973,280.24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A4F798E" w14:textId="77777777" w:rsidR="00830E72" w:rsidRDefault="008344D8">
                    <w:pPr>
                      <w:jc w:val="right"/>
                    </w:pPr>
                    <w:r>
                      <w:rPr>
                        <w:rFonts w:hint="eastAsia"/>
                      </w:rPr>
                      <w:t>-</w:t>
                    </w:r>
                    <w:r>
                      <w:t>4,574,625.99</w:t>
                    </w:r>
                  </w:p>
                </w:tc>
              </w:tr>
            </w:sdtContent>
          </w:sdt>
          <w:sdt>
            <w:sdtPr>
              <w:rPr>
                <w:rFonts w:hint="eastAsia"/>
              </w:rPr>
              <w:alias w:val="财务费用明细"/>
              <w:tag w:val="_GBC_6315cf92135646dfa5694359777c36b0"/>
              <w:id w:val="-1843764950"/>
              <w:lock w:val="sdtLocked"/>
            </w:sdtPr>
            <w:sdtEndPr/>
            <w:sdtContent>
              <w:tr w:rsidR="00830E72" w14:paraId="50B1F9D1"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08F0305" w14:textId="77777777" w:rsidR="00830E72" w:rsidRDefault="008344D8">
                    <w:r>
                      <w:rPr>
                        <w:rFonts w:hint="eastAsia"/>
                      </w:rPr>
                      <w:t>银行手续费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9737E9A" w14:textId="77777777" w:rsidR="00830E72" w:rsidRDefault="008344D8">
                    <w:pPr>
                      <w:jc w:val="right"/>
                    </w:pPr>
                    <w:r>
                      <w:t>1,825,183.62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ECCC518" w14:textId="77777777" w:rsidR="00830E72" w:rsidRDefault="008344D8">
                    <w:pPr>
                      <w:jc w:val="right"/>
                    </w:pPr>
                    <w:r>
                      <w:t>814,094.83</w:t>
                    </w:r>
                  </w:p>
                </w:tc>
              </w:tr>
            </w:sdtContent>
          </w:sdt>
          <w:sdt>
            <w:sdtPr>
              <w:rPr>
                <w:rFonts w:hint="eastAsia"/>
              </w:rPr>
              <w:alias w:val="财务费用明细"/>
              <w:tag w:val="_GBC_6315cf92135646dfa5694359777c36b0"/>
              <w:id w:val="-1853949986"/>
              <w:lock w:val="sdtLocked"/>
            </w:sdtPr>
            <w:sdtEndPr/>
            <w:sdtContent>
              <w:tr w:rsidR="00830E72" w14:paraId="64CA6179"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6C9A76F" w14:textId="77777777" w:rsidR="00830E72" w:rsidRDefault="008344D8">
                    <w:r>
                      <w:rPr>
                        <w:rFonts w:hint="eastAsia"/>
                      </w:rPr>
                      <w:t>担保费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129255E" w14:textId="77777777" w:rsidR="00830E72" w:rsidRDefault="008344D8">
                    <w:pPr>
                      <w:jc w:val="right"/>
                    </w:pPr>
                    <w:r>
                      <w:t>756,413.95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28B4B08" w14:textId="77777777" w:rsidR="00830E72" w:rsidRDefault="008344D8">
                    <w:pPr>
                      <w:jc w:val="right"/>
                    </w:pPr>
                    <w:r>
                      <w:t>8,164.91</w:t>
                    </w:r>
                  </w:p>
                </w:tc>
              </w:tr>
            </w:sdtContent>
          </w:sdt>
          <w:tr w:rsidR="00830E72" w14:paraId="12D647EC" w14:textId="77777777">
            <w:sdt>
              <w:sdtPr>
                <w:tag w:val="_PLD_27965316bcaf4972b01a6dd60323d7f4"/>
                <w:id w:val="-180199432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430A4AA1" w14:textId="77777777" w:rsidR="00830E72" w:rsidRDefault="008344D8">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7CDDDD00" w14:textId="77777777" w:rsidR="00830E72" w:rsidRDefault="008344D8">
                <w:pPr>
                  <w:jc w:val="right"/>
                </w:pPr>
                <w:r>
                  <w:t>32,970,591.62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6743306" w14:textId="77777777" w:rsidR="00830E72" w:rsidRDefault="008344D8">
                <w:pPr>
                  <w:jc w:val="right"/>
                </w:pPr>
                <w:r>
                  <w:t>21,061,053.34</w:t>
                </w:r>
              </w:p>
            </w:tc>
          </w:tr>
        </w:tbl>
        <w:p w14:paraId="4191DAF0" w14:textId="77777777" w:rsidR="00830E72" w:rsidRDefault="00D44830">
          <w:pPr>
            <w:rPr>
              <w:szCs w:val="21"/>
            </w:rPr>
          </w:pPr>
        </w:p>
      </w:sdtContent>
    </w:sdt>
    <w:sdt>
      <w:sdtPr>
        <w:rPr>
          <w:rFonts w:ascii="宋体" w:hAnsi="宋体" w:cs="宋体" w:hint="eastAsia"/>
          <w:b w:val="0"/>
          <w:bCs w:val="0"/>
          <w:kern w:val="0"/>
          <w:szCs w:val="24"/>
        </w:rPr>
        <w:alias w:val="模块:其他收益"/>
        <w:tag w:val="_SEC_b7dd1353107541ffa3a1d66fbb85a037"/>
        <w:id w:val="1947575140"/>
        <w:lock w:val="sdtLocked"/>
        <w:placeholder>
          <w:docPart w:val="GBC22222222222222222222222222222"/>
        </w:placeholder>
      </w:sdtPr>
      <w:sdtEndPr>
        <w:rPr>
          <w:rFonts w:hint="default"/>
        </w:rPr>
      </w:sdtEndPr>
      <w:sdtContent>
        <w:p w14:paraId="1388F77E" w14:textId="77777777" w:rsidR="00830E72" w:rsidRDefault="008344D8">
          <w:pPr>
            <w:pStyle w:val="Style99"/>
            <w:numPr>
              <w:ilvl w:val="0"/>
              <w:numId w:val="45"/>
            </w:numPr>
            <w:tabs>
              <w:tab w:val="left" w:pos="504"/>
            </w:tabs>
            <w:rPr>
              <w:rFonts w:ascii="宋体" w:hAnsi="宋体"/>
            </w:rPr>
          </w:pPr>
          <w:r>
            <w:rPr>
              <w:rFonts w:ascii="宋体" w:hAnsi="宋体" w:hint="eastAsia"/>
            </w:rPr>
            <w:t>其他收益</w:t>
          </w:r>
        </w:p>
        <w:sdt>
          <w:sdtPr>
            <w:alias w:val="是否适用：财务报表其他收益[双击切换]"/>
            <w:tag w:val="_GBC_86fde94b0d4e4b1f997adc6f063babf7"/>
            <w:id w:val="291413825"/>
            <w:lock w:val="sdtContentLocked"/>
            <w:placeholder>
              <w:docPart w:val="GBC22222222222222222222222222222"/>
            </w:placeholder>
          </w:sdtPr>
          <w:sdtEndPr/>
          <w:sdtContent>
            <w:p w14:paraId="088B492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2816535" w14:textId="77777777" w:rsidR="00830E72" w:rsidRDefault="008344D8">
          <w:pPr>
            <w:jc w:val="right"/>
            <w:rPr>
              <w:rFonts w:cstheme="minorBidi"/>
              <w:bCs/>
              <w:szCs w:val="22"/>
            </w:rPr>
          </w:pPr>
          <w:r>
            <w:rPr>
              <w:rFonts w:cstheme="minorBidi"/>
              <w:bCs/>
              <w:szCs w:val="22"/>
            </w:rPr>
            <w:t>单位：</w:t>
          </w:r>
          <w:sdt>
            <w:sdtPr>
              <w:rPr>
                <w:rFonts w:cstheme="minorBidi"/>
                <w:bCs/>
                <w:szCs w:val="22"/>
              </w:rPr>
              <w:alias w:val="单位：财务报表其他收益明细"/>
              <w:tag w:val="_GBC_12755937dc3b48a489abda6cc5cda8d6"/>
              <w:id w:val="-2518491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cstheme="minorBidi"/>
                  <w:bCs/>
                  <w:szCs w:val="22"/>
                </w:rPr>
                <w:t>元</w:t>
              </w:r>
            </w:sdtContent>
          </w:sdt>
          <w:r>
            <w:rPr>
              <w:rFonts w:cstheme="minorBidi"/>
              <w:bCs/>
              <w:szCs w:val="22"/>
            </w:rPr>
            <w:t xml:space="preserve">  币种：</w:t>
          </w:r>
          <w:sdt>
            <w:sdtPr>
              <w:rPr>
                <w:rFonts w:cstheme="minorBidi"/>
                <w:bCs/>
                <w:szCs w:val="22"/>
              </w:rPr>
              <w:alias w:val="币种：财务报表其他收益明细"/>
              <w:tag w:val="_GBC_3daaaf66c73e4201b067378f3d17e13f"/>
              <w:id w:val="-12276797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theme="minorBidi"/>
                  <w:bCs/>
                  <w:szCs w:val="22"/>
                </w:rPr>
                <w:t>人民币</w:t>
              </w:r>
            </w:sdtContent>
          </w:sdt>
        </w:p>
        <w:tbl>
          <w:tblPr>
            <w:tblStyle w:val="g2"/>
            <w:tblW w:w="0" w:type="auto"/>
            <w:tblLook w:val="04A0" w:firstRow="1" w:lastRow="0" w:firstColumn="1" w:lastColumn="0" w:noHBand="0" w:noVBand="1"/>
          </w:tblPr>
          <w:tblGrid>
            <w:gridCol w:w="4361"/>
            <w:gridCol w:w="2268"/>
            <w:gridCol w:w="2420"/>
          </w:tblGrid>
          <w:tr w:rsidR="00830E72" w14:paraId="02D16C26" w14:textId="77777777">
            <w:tc>
              <w:tcPr>
                <w:tcW w:w="4361" w:type="dxa"/>
              </w:tcPr>
              <w:sdt>
                <w:sdtPr>
                  <w:rPr>
                    <w:rFonts w:ascii="Times New Roman" w:hAnsi="Times New Roman" w:hint="eastAsia"/>
                  </w:rPr>
                  <w:tag w:val="_PLD_92b33ced889140b7b84894c5f486f4e6"/>
                  <w:id w:val="-1661533534"/>
                  <w:lock w:val="sdtLocked"/>
                </w:sdtPr>
                <w:sdtEndPr/>
                <w:sdtContent>
                  <w:p w14:paraId="19148383" w14:textId="77777777" w:rsidR="00830E72" w:rsidRDefault="008344D8">
                    <w:pPr>
                      <w:jc w:val="center"/>
                    </w:pPr>
                    <w:r>
                      <w:rPr>
                        <w:rFonts w:hint="eastAsia"/>
                      </w:rPr>
                      <w:t>项目</w:t>
                    </w:r>
                  </w:p>
                </w:sdtContent>
              </w:sdt>
            </w:tc>
            <w:tc>
              <w:tcPr>
                <w:tcW w:w="2268" w:type="dxa"/>
              </w:tcPr>
              <w:sdt>
                <w:sdtPr>
                  <w:rPr>
                    <w:rFonts w:ascii="Times New Roman" w:hAnsi="Times New Roman" w:hint="eastAsia"/>
                  </w:rPr>
                  <w:tag w:val="_PLD_73b3023fbaed423bbb8ca1ec42a2eaf9"/>
                  <w:id w:val="2088487723"/>
                  <w:lock w:val="sdtLocked"/>
                </w:sdtPr>
                <w:sdtEndPr/>
                <w:sdtContent>
                  <w:p w14:paraId="43060996" w14:textId="77777777" w:rsidR="00830E72" w:rsidRDefault="008344D8">
                    <w:pPr>
                      <w:jc w:val="center"/>
                    </w:pPr>
                    <w:r>
                      <w:rPr>
                        <w:rFonts w:hint="eastAsia"/>
                      </w:rPr>
                      <w:t>本期发生额</w:t>
                    </w:r>
                  </w:p>
                </w:sdtContent>
              </w:sdt>
            </w:tc>
            <w:tc>
              <w:tcPr>
                <w:tcW w:w="2420" w:type="dxa"/>
              </w:tcPr>
              <w:sdt>
                <w:sdtPr>
                  <w:rPr>
                    <w:rFonts w:ascii="Times New Roman" w:hAnsi="Times New Roman" w:hint="eastAsia"/>
                  </w:rPr>
                  <w:tag w:val="_PLD_9f39351a333c497da22a0955aff07b4c"/>
                  <w:id w:val="-1432736341"/>
                  <w:lock w:val="sdtLocked"/>
                </w:sdtPr>
                <w:sdtEndPr/>
                <w:sdtContent>
                  <w:p w14:paraId="59AAA6E4" w14:textId="77777777" w:rsidR="00830E72" w:rsidRDefault="008344D8">
                    <w:pPr>
                      <w:jc w:val="center"/>
                    </w:pPr>
                    <w:r>
                      <w:rPr>
                        <w:rFonts w:hint="eastAsia"/>
                      </w:rPr>
                      <w:t>上期发生额</w:t>
                    </w:r>
                  </w:p>
                </w:sdtContent>
              </w:sdt>
            </w:tc>
          </w:tr>
          <w:sdt>
            <w:sdtPr>
              <w:alias w:val="财务报表其他收益明细"/>
              <w:tag w:val="_TUP_6fbc2b9298bf4c818dfcc7c62d7fcd6c"/>
              <w:id w:val="2788243"/>
              <w:placeholder>
                <w:docPart w:val="GBC11111111111111111111111111111"/>
              </w:placeholder>
            </w:sdtPr>
            <w:sdtEndPr/>
            <w:sdtContent>
              <w:tr w:rsidR="00830E72" w14:paraId="296C1B0F" w14:textId="77777777">
                <w:tc>
                  <w:tcPr>
                    <w:tcW w:w="4361" w:type="dxa"/>
                  </w:tcPr>
                  <w:p w14:paraId="372E8FD3" w14:textId="77777777" w:rsidR="00830E72" w:rsidRDefault="008344D8">
                    <w:r>
                      <w:rPr>
                        <w:rFonts w:hint="eastAsia"/>
                      </w:rPr>
                      <w:t>其他与日常活动相关且计入其他收益的项目</w:t>
                    </w:r>
                  </w:p>
                </w:tc>
                <w:tc>
                  <w:tcPr>
                    <w:tcW w:w="2268" w:type="dxa"/>
                  </w:tcPr>
                  <w:p w14:paraId="105056F7" w14:textId="77777777" w:rsidR="00830E72" w:rsidRDefault="008344D8">
                    <w:pPr>
                      <w:jc w:val="right"/>
                    </w:pPr>
                    <w:r>
                      <w:t>169,338.54</w:t>
                    </w:r>
                  </w:p>
                </w:tc>
                <w:tc>
                  <w:tcPr>
                    <w:tcW w:w="2420" w:type="dxa"/>
                  </w:tcPr>
                  <w:p w14:paraId="75250CE1" w14:textId="77777777" w:rsidR="00830E72" w:rsidRDefault="008344D8">
                    <w:pPr>
                      <w:jc w:val="right"/>
                    </w:pPr>
                    <w:r>
                      <w:t>145,637.79</w:t>
                    </w:r>
                  </w:p>
                </w:tc>
              </w:tr>
            </w:sdtContent>
          </w:sdt>
          <w:tr w:rsidR="00830E72" w14:paraId="787F19E9" w14:textId="77777777">
            <w:tc>
              <w:tcPr>
                <w:tcW w:w="4361" w:type="dxa"/>
              </w:tcPr>
              <w:sdt>
                <w:sdtPr>
                  <w:rPr>
                    <w:rFonts w:ascii="Times New Roman" w:hAnsi="Times New Roman" w:hint="eastAsia"/>
                  </w:rPr>
                  <w:tag w:val="_PLD_895bf64d897b4d94b2d45a7ce9849ec7"/>
                  <w:id w:val="-1903276654"/>
                  <w:lock w:val="sdtLocked"/>
                </w:sdtPr>
                <w:sdtEndPr/>
                <w:sdtContent>
                  <w:p w14:paraId="3356EA16" w14:textId="77777777" w:rsidR="00830E72" w:rsidRDefault="008344D8">
                    <w:pPr>
                      <w:jc w:val="center"/>
                    </w:pPr>
                    <w:r>
                      <w:rPr>
                        <w:rFonts w:hint="eastAsia"/>
                      </w:rPr>
                      <w:t>合计</w:t>
                    </w:r>
                  </w:p>
                </w:sdtContent>
              </w:sdt>
            </w:tc>
            <w:tc>
              <w:tcPr>
                <w:tcW w:w="2268" w:type="dxa"/>
              </w:tcPr>
              <w:p w14:paraId="285F2D74" w14:textId="77777777" w:rsidR="00830E72" w:rsidRDefault="008344D8">
                <w:pPr>
                  <w:jc w:val="right"/>
                </w:pPr>
                <w:r>
                  <w:t>169,338.54</w:t>
                </w:r>
              </w:p>
            </w:tc>
            <w:tc>
              <w:tcPr>
                <w:tcW w:w="2420" w:type="dxa"/>
              </w:tcPr>
              <w:p w14:paraId="665F7E59" w14:textId="77777777" w:rsidR="00830E72" w:rsidRDefault="008344D8">
                <w:pPr>
                  <w:jc w:val="right"/>
                </w:pPr>
                <w:r>
                  <w:t>145,637.79</w:t>
                </w:r>
              </w:p>
            </w:tc>
          </w:tr>
        </w:tbl>
        <w:p w14:paraId="3F11E9F8" w14:textId="77777777" w:rsidR="00830E72" w:rsidRDefault="00D44830"/>
      </w:sdtContent>
    </w:sdt>
    <w:bookmarkStart w:id="191" w:name="_Hlk11857276" w:displacedByCustomXml="next"/>
    <w:sdt>
      <w:sdtPr>
        <w:rPr>
          <w:rFonts w:ascii="宋体" w:hAnsi="宋体" w:cs="宋体" w:hint="eastAsia"/>
          <w:b w:val="0"/>
          <w:bCs w:val="0"/>
          <w:kern w:val="0"/>
          <w:szCs w:val="21"/>
        </w:rPr>
        <w:alias w:val="模块:投资收益   单位：元币种：人民币项目本期发生额上期发..."/>
        <w:tag w:val="_SEC_56e74a133dff4dcebe7ed76c1a92a2e5"/>
        <w:id w:val="-2132623944"/>
        <w:lock w:val="sdtLocked"/>
        <w:placeholder>
          <w:docPart w:val="GBC22222222222222222222222222222"/>
        </w:placeholder>
      </w:sdtPr>
      <w:sdtEndPr/>
      <w:sdtContent>
        <w:p w14:paraId="2D499F58"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投资收益</w:t>
          </w:r>
        </w:p>
        <w:sdt>
          <w:sdtPr>
            <w:alias w:val="是否适用：投资收益[双击切换]"/>
            <w:tag w:val="_GBC_39356fd9dd9e4f5497d61d781210b2fe"/>
            <w:id w:val="-669707413"/>
            <w:lock w:val="sdtContentLocked"/>
            <w:placeholder>
              <w:docPart w:val="GBC22222222222222222222222222222"/>
            </w:placeholder>
          </w:sdtPr>
          <w:sdtEndPr/>
          <w:sdtContent>
            <w:p w14:paraId="7C72BB0C"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87EB185" w14:textId="77777777" w:rsidR="00830E72" w:rsidRDefault="00D44830">
          <w:pPr>
            <w:autoSpaceDE w:val="0"/>
            <w:autoSpaceDN w:val="0"/>
            <w:adjustRightInd w:val="0"/>
            <w:rPr>
              <w:szCs w:val="21"/>
            </w:rPr>
          </w:pPr>
        </w:p>
      </w:sdtContent>
    </w:sdt>
    <w:bookmarkEnd w:id="191" w:displacedByCustomXml="next"/>
    <w:bookmarkStart w:id="192" w:name="_Hlk10538831" w:displacedByCustomXml="next"/>
    <w:sdt>
      <w:sdtPr>
        <w:rPr>
          <w:rFonts w:ascii="宋体" w:hAnsi="宋体" w:cs="宋体" w:hint="eastAsia"/>
          <w:b w:val="0"/>
          <w:bCs w:val="0"/>
          <w:kern w:val="0"/>
          <w:szCs w:val="21"/>
        </w:rPr>
        <w:alias w:val="模块:净敞口套期收益"/>
        <w:tag w:val="_SEC_cbd8186e9cf3452cab63fa24a69149bc"/>
        <w:id w:val="2097201327"/>
        <w:lock w:val="sdtLocked"/>
        <w:placeholder>
          <w:docPart w:val="GBC22222222222222222222222222222"/>
        </w:placeholder>
      </w:sdtPr>
      <w:sdtEndPr>
        <w:rPr>
          <w:rFonts w:hint="default"/>
          <w:szCs w:val="24"/>
        </w:rPr>
      </w:sdtEndPr>
      <w:sdtContent>
        <w:p w14:paraId="0F6D2664"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净敞口套期收益</w:t>
          </w:r>
        </w:p>
        <w:sdt>
          <w:sdtPr>
            <w:alias w:val="是否适用：净敞口套期收益[双击切换]"/>
            <w:tag w:val="_GBC_33e106b71ec640cd9126570421557bda"/>
            <w:id w:val="-1486542710"/>
            <w:lock w:val="sdtContentLocked"/>
            <w:placeholder>
              <w:docPart w:val="GBC22222222222222222222222222222"/>
            </w:placeholder>
          </w:sdtPr>
          <w:sdtEndPr/>
          <w:sdtContent>
            <w:p w14:paraId="69669375"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F33D423" w14:textId="77777777" w:rsidR="00830E72" w:rsidRDefault="00D44830">
          <w:pPr>
            <w:autoSpaceDE w:val="0"/>
            <w:autoSpaceDN w:val="0"/>
            <w:adjustRightInd w:val="0"/>
            <w:rPr>
              <w:szCs w:val="21"/>
            </w:rPr>
          </w:pPr>
        </w:p>
      </w:sdtContent>
    </w:sdt>
    <w:bookmarkEnd w:id="192" w:displacedByCustomXml="next"/>
    <w:bookmarkStart w:id="193" w:name="_Hlk10538896" w:displacedByCustomXml="next"/>
    <w:sdt>
      <w:sdtPr>
        <w:rPr>
          <w:rFonts w:ascii="宋体" w:hAnsi="宋体" w:cs="宋体" w:hint="eastAsia"/>
          <w:b w:val="0"/>
          <w:bCs w:val="0"/>
          <w:kern w:val="0"/>
          <w:szCs w:val="21"/>
        </w:rPr>
        <w:alias w:val="模块:公允价值变动收益"/>
        <w:tag w:val="_GBC_66e6cb51ec7740408a31ff233ae3330d"/>
        <w:id w:val="-1260676741"/>
        <w:lock w:val="sdtLocked"/>
        <w:placeholder>
          <w:docPart w:val="GBC22222222222222222222222222222"/>
        </w:placeholder>
      </w:sdtPr>
      <w:sdtEndPr>
        <w:rPr>
          <w:rFonts w:cstheme="minorBidi"/>
          <w:kern w:val="2"/>
        </w:rPr>
      </w:sdtEndPr>
      <w:sdtContent>
        <w:p w14:paraId="225DF405"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21669fdeb74c4273a55facece1a56109"/>
            <w:id w:val="-761830523"/>
            <w:lock w:val="sdtContentLocked"/>
            <w:placeholder>
              <w:docPart w:val="GBC22222222222222222222222222222"/>
            </w:placeholder>
          </w:sdtPr>
          <w:sdtEndPr/>
          <w:sdtContent>
            <w:p w14:paraId="09672B3A"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5F20784" w14:textId="77777777" w:rsidR="00830E72" w:rsidRDefault="008344D8">
          <w:pPr>
            <w:jc w:val="right"/>
            <w:rPr>
              <w:szCs w:val="21"/>
            </w:rPr>
          </w:pPr>
          <w:r>
            <w:rPr>
              <w:rFonts w:hint="eastAsia"/>
              <w:szCs w:val="21"/>
            </w:rPr>
            <w:t>单位：</w:t>
          </w:r>
          <w:sdt>
            <w:sdtPr>
              <w:rPr>
                <w:rFonts w:hint="eastAsia"/>
                <w:szCs w:val="21"/>
              </w:rPr>
              <w:alias w:val="单位：财务附注：公允价值变动收益"/>
              <w:tag w:val="_GBC_a2b6fb2423244bbaa3600e1be3b4d548"/>
              <w:id w:val="15311427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公允价值变动收益"/>
              <w:tag w:val="_GBC_0343c5436a0742acbf5d87cc18c51638"/>
              <w:id w:val="-19163893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2825"/>
            <w:gridCol w:w="2825"/>
          </w:tblGrid>
          <w:tr w:rsidR="00830E72" w14:paraId="61231E8D" w14:textId="77777777">
            <w:sdt>
              <w:sdtPr>
                <w:tag w:val="_PLD_a07c0df95be549039f5bf24c4a595cbd"/>
                <w:id w:val="-1909220855"/>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41173CAD" w14:textId="77777777" w:rsidR="00830E72" w:rsidRDefault="008344D8">
                    <w:pPr>
                      <w:autoSpaceDE w:val="0"/>
                      <w:autoSpaceDN w:val="0"/>
                      <w:adjustRightInd w:val="0"/>
                      <w:jc w:val="center"/>
                      <w:rPr>
                        <w:szCs w:val="21"/>
                      </w:rPr>
                    </w:pPr>
                    <w:r>
                      <w:rPr>
                        <w:rFonts w:hint="eastAsia"/>
                        <w:szCs w:val="21"/>
                      </w:rPr>
                      <w:t>产生公允价值变动收益的来源</w:t>
                    </w:r>
                  </w:p>
                </w:tc>
              </w:sdtContent>
            </w:sdt>
            <w:sdt>
              <w:sdtPr>
                <w:tag w:val="_PLD_b9803e3282e549d5b5e179588ec75dc3"/>
                <w:id w:val="-842855059"/>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14:paraId="337F9E00" w14:textId="77777777" w:rsidR="00830E72" w:rsidRDefault="008344D8">
                    <w:pPr>
                      <w:autoSpaceDE w:val="0"/>
                      <w:autoSpaceDN w:val="0"/>
                      <w:adjustRightInd w:val="0"/>
                      <w:jc w:val="center"/>
                      <w:rPr>
                        <w:szCs w:val="21"/>
                      </w:rPr>
                    </w:pPr>
                    <w:r>
                      <w:rPr>
                        <w:rFonts w:hint="eastAsia"/>
                        <w:szCs w:val="21"/>
                      </w:rPr>
                      <w:t>本期发生额</w:t>
                    </w:r>
                  </w:p>
                </w:tc>
              </w:sdtContent>
            </w:sdt>
            <w:sdt>
              <w:sdtPr>
                <w:tag w:val="_PLD_943dd94af7be43cd9f57756acf9a8c19"/>
                <w:id w:val="-582453496"/>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14:paraId="41DD4815" w14:textId="77777777" w:rsidR="00830E72" w:rsidRDefault="008344D8">
                    <w:pPr>
                      <w:autoSpaceDE w:val="0"/>
                      <w:autoSpaceDN w:val="0"/>
                      <w:adjustRightInd w:val="0"/>
                      <w:jc w:val="center"/>
                      <w:rPr>
                        <w:szCs w:val="21"/>
                      </w:rPr>
                    </w:pPr>
                    <w:r>
                      <w:rPr>
                        <w:rFonts w:hint="eastAsia"/>
                        <w:szCs w:val="21"/>
                      </w:rPr>
                      <w:t>上期发生额</w:t>
                    </w:r>
                  </w:p>
                </w:tc>
              </w:sdtContent>
            </w:sdt>
          </w:tr>
          <w:tr w:rsidR="00830E72" w14:paraId="6924B2C1" w14:textId="77777777">
            <w:sdt>
              <w:sdtPr>
                <w:tag w:val="_PLD_402b5413aaec4e358e056ca8d9f87b4c"/>
                <w:id w:val="-1637950367"/>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1B57E7A8" w14:textId="77777777" w:rsidR="00830E72" w:rsidRDefault="008344D8">
                    <w:pPr>
                      <w:rPr>
                        <w:szCs w:val="21"/>
                      </w:rPr>
                    </w:pPr>
                    <w:r>
                      <w:rPr>
                        <w:rFonts w:hint="eastAsia"/>
                        <w:szCs w:val="21"/>
                      </w:rPr>
                      <w:t>交易性金融资产</w:t>
                    </w:r>
                  </w:p>
                </w:tc>
              </w:sdtContent>
            </w:sdt>
            <w:tc>
              <w:tcPr>
                <w:tcW w:w="1561" w:type="pct"/>
                <w:tcBorders>
                  <w:top w:val="single" w:sz="4" w:space="0" w:color="auto"/>
                  <w:left w:val="single" w:sz="4" w:space="0" w:color="auto"/>
                  <w:bottom w:val="single" w:sz="4" w:space="0" w:color="auto"/>
                  <w:right w:val="single" w:sz="4" w:space="0" w:color="auto"/>
                </w:tcBorders>
              </w:tcPr>
              <w:p w14:paraId="165EE91B" w14:textId="77777777" w:rsidR="00830E72" w:rsidRDefault="00830E72">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522178D0" w14:textId="77777777" w:rsidR="00830E72" w:rsidRDefault="00830E72">
                <w:pPr>
                  <w:autoSpaceDE w:val="0"/>
                  <w:autoSpaceDN w:val="0"/>
                  <w:adjustRightInd w:val="0"/>
                  <w:jc w:val="right"/>
                  <w:rPr>
                    <w:szCs w:val="21"/>
                  </w:rPr>
                </w:pPr>
              </w:p>
            </w:tc>
          </w:tr>
          <w:tr w:rsidR="00830E72" w14:paraId="1BFD04F4" w14:textId="77777777">
            <w:sdt>
              <w:sdtPr>
                <w:tag w:val="_PLD_8673a4a9fddf4ed2911a769bece72d7a"/>
                <w:id w:val="-186119387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3FEA853B" w14:textId="77777777" w:rsidR="00830E72" w:rsidRDefault="008344D8">
                    <w:pPr>
                      <w:rPr>
                        <w:szCs w:val="21"/>
                      </w:rPr>
                    </w:pPr>
                    <w:r>
                      <w:rPr>
                        <w:rFonts w:hint="eastAsia"/>
                        <w:szCs w:val="21"/>
                      </w:rPr>
                      <w:t>其中：衍生金融工具产生的公允价</w:t>
                    </w:r>
                    <w:r>
                      <w:rPr>
                        <w:rFonts w:hint="eastAsia"/>
                        <w:szCs w:val="21"/>
                      </w:rPr>
                      <w:lastRenderedPageBreak/>
                      <w:t>值变动收益</w:t>
                    </w:r>
                  </w:p>
                </w:tc>
              </w:sdtContent>
            </w:sdt>
            <w:tc>
              <w:tcPr>
                <w:tcW w:w="1561" w:type="pct"/>
                <w:tcBorders>
                  <w:top w:val="single" w:sz="4" w:space="0" w:color="auto"/>
                  <w:left w:val="single" w:sz="4" w:space="0" w:color="auto"/>
                  <w:bottom w:val="single" w:sz="4" w:space="0" w:color="auto"/>
                  <w:right w:val="single" w:sz="4" w:space="0" w:color="auto"/>
                </w:tcBorders>
              </w:tcPr>
              <w:p w14:paraId="23061096" w14:textId="77777777" w:rsidR="00830E72" w:rsidRDefault="00830E72">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3AB71067" w14:textId="77777777" w:rsidR="00830E72" w:rsidRDefault="00830E72">
                <w:pPr>
                  <w:autoSpaceDE w:val="0"/>
                  <w:autoSpaceDN w:val="0"/>
                  <w:adjustRightInd w:val="0"/>
                  <w:jc w:val="right"/>
                  <w:rPr>
                    <w:szCs w:val="21"/>
                  </w:rPr>
                </w:pPr>
              </w:p>
            </w:tc>
          </w:tr>
          <w:tr w:rsidR="00830E72" w14:paraId="441B7E95" w14:textId="77777777">
            <w:sdt>
              <w:sdtPr>
                <w:tag w:val="_PLD_3d96c34a09624753b34e51d2472f2a1b"/>
                <w:id w:val="-2112879954"/>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54B3CDB2" w14:textId="77777777" w:rsidR="00830E72" w:rsidRDefault="008344D8">
                    <w:pPr>
                      <w:rPr>
                        <w:szCs w:val="21"/>
                      </w:rPr>
                    </w:pPr>
                    <w:r>
                      <w:rPr>
                        <w:rFonts w:hint="eastAsia"/>
                        <w:szCs w:val="21"/>
                      </w:rPr>
                      <w:t>交易性金融负债</w:t>
                    </w:r>
                  </w:p>
                </w:tc>
              </w:sdtContent>
            </w:sdt>
            <w:tc>
              <w:tcPr>
                <w:tcW w:w="1561" w:type="pct"/>
                <w:tcBorders>
                  <w:top w:val="single" w:sz="4" w:space="0" w:color="auto"/>
                  <w:left w:val="single" w:sz="4" w:space="0" w:color="auto"/>
                  <w:bottom w:val="single" w:sz="4" w:space="0" w:color="auto"/>
                  <w:right w:val="single" w:sz="4" w:space="0" w:color="auto"/>
                </w:tcBorders>
              </w:tcPr>
              <w:p w14:paraId="10E70354" w14:textId="77777777" w:rsidR="00830E72" w:rsidRDefault="00830E72">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097762F1" w14:textId="77777777" w:rsidR="00830E72" w:rsidRDefault="00830E72">
                <w:pPr>
                  <w:autoSpaceDE w:val="0"/>
                  <w:autoSpaceDN w:val="0"/>
                  <w:adjustRightInd w:val="0"/>
                  <w:jc w:val="right"/>
                  <w:rPr>
                    <w:szCs w:val="21"/>
                  </w:rPr>
                </w:pPr>
              </w:p>
            </w:tc>
          </w:tr>
          <w:tr w:rsidR="00830E72" w14:paraId="1127D38A" w14:textId="77777777">
            <w:sdt>
              <w:sdtPr>
                <w:tag w:val="_PLD_0b07ec0c5dc249068527848b698bc82a"/>
                <w:id w:val="1028528564"/>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6DD3FB75" w14:textId="77777777" w:rsidR="00830E72" w:rsidRDefault="008344D8">
                    <w:pPr>
                      <w:rPr>
                        <w:szCs w:val="21"/>
                      </w:rPr>
                    </w:pPr>
                    <w:r>
                      <w:rPr>
                        <w:rFonts w:hint="eastAsia"/>
                        <w:szCs w:val="21"/>
                      </w:rPr>
                      <w:t>按公允价值计量的投资性房地产</w:t>
                    </w:r>
                  </w:p>
                </w:tc>
              </w:sdtContent>
            </w:sdt>
            <w:tc>
              <w:tcPr>
                <w:tcW w:w="1561" w:type="pct"/>
                <w:tcBorders>
                  <w:top w:val="single" w:sz="4" w:space="0" w:color="auto"/>
                  <w:left w:val="single" w:sz="4" w:space="0" w:color="auto"/>
                  <w:bottom w:val="single" w:sz="4" w:space="0" w:color="auto"/>
                  <w:right w:val="single" w:sz="4" w:space="0" w:color="auto"/>
                </w:tcBorders>
              </w:tcPr>
              <w:p w14:paraId="7862B5D4" w14:textId="77777777" w:rsidR="00830E72" w:rsidRDefault="00830E72">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7DE68FCE" w14:textId="77777777" w:rsidR="00830E72" w:rsidRDefault="00830E72">
                <w:pPr>
                  <w:autoSpaceDE w:val="0"/>
                  <w:autoSpaceDN w:val="0"/>
                  <w:adjustRightInd w:val="0"/>
                  <w:jc w:val="right"/>
                  <w:rPr>
                    <w:szCs w:val="21"/>
                  </w:rPr>
                </w:pPr>
              </w:p>
            </w:tc>
          </w:tr>
          <w:sdt>
            <w:sdtPr>
              <w:rPr>
                <w:rFonts w:hint="eastAsia"/>
                <w:szCs w:val="21"/>
              </w:rPr>
              <w:alias w:val="产生公允价值变动收益的来源的明细"/>
              <w:tag w:val="_TUP_901043d70806435fbba28aa3c0d298b6"/>
              <w:id w:val="597753574"/>
              <w:placeholder>
                <w:docPart w:val="GBC11111111111111111111111111111"/>
              </w:placeholder>
            </w:sdtPr>
            <w:sdtEndPr/>
            <w:sdtContent>
              <w:tr w:rsidR="00830E72" w14:paraId="6575F271" w14:textId="77777777">
                <w:tc>
                  <w:tcPr>
                    <w:tcW w:w="1878" w:type="pct"/>
                    <w:tcBorders>
                      <w:top w:val="single" w:sz="4" w:space="0" w:color="auto"/>
                      <w:left w:val="single" w:sz="4" w:space="0" w:color="auto"/>
                      <w:bottom w:val="single" w:sz="4" w:space="0" w:color="auto"/>
                      <w:right w:val="single" w:sz="4" w:space="0" w:color="auto"/>
                    </w:tcBorders>
                  </w:tcPr>
                  <w:p w14:paraId="3FEB18CB" w14:textId="77777777" w:rsidR="00830E72" w:rsidRDefault="008344D8">
                    <w:pPr>
                      <w:rPr>
                        <w:szCs w:val="21"/>
                      </w:rPr>
                    </w:pPr>
                    <w:r>
                      <w:rPr>
                        <w:rFonts w:hint="eastAsia"/>
                        <w:szCs w:val="21"/>
                      </w:rPr>
                      <w:t>理财产品收益</w:t>
                    </w:r>
                  </w:p>
                </w:tc>
                <w:tc>
                  <w:tcPr>
                    <w:tcW w:w="1561" w:type="pct"/>
                    <w:tcBorders>
                      <w:top w:val="single" w:sz="4" w:space="0" w:color="auto"/>
                      <w:left w:val="single" w:sz="4" w:space="0" w:color="auto"/>
                      <w:bottom w:val="single" w:sz="4" w:space="0" w:color="auto"/>
                      <w:right w:val="single" w:sz="4" w:space="0" w:color="auto"/>
                    </w:tcBorders>
                  </w:tcPr>
                  <w:p w14:paraId="3922FE69" w14:textId="77777777" w:rsidR="00830E72" w:rsidRDefault="008344D8">
                    <w:pPr>
                      <w:jc w:val="right"/>
                      <w:rPr>
                        <w:szCs w:val="21"/>
                      </w:rPr>
                    </w:pPr>
                    <w:r>
                      <w:rPr>
                        <w:szCs w:val="21"/>
                      </w:rPr>
                      <w:t>469,489.17</w:t>
                    </w:r>
                  </w:p>
                </w:tc>
                <w:tc>
                  <w:tcPr>
                    <w:tcW w:w="1561" w:type="pct"/>
                    <w:tcBorders>
                      <w:top w:val="single" w:sz="4" w:space="0" w:color="auto"/>
                      <w:left w:val="single" w:sz="4" w:space="0" w:color="auto"/>
                      <w:bottom w:val="single" w:sz="4" w:space="0" w:color="auto"/>
                      <w:right w:val="single" w:sz="4" w:space="0" w:color="auto"/>
                    </w:tcBorders>
                  </w:tcPr>
                  <w:p w14:paraId="0E86D3BF" w14:textId="77777777" w:rsidR="00830E72" w:rsidRDefault="00830E72">
                    <w:pPr>
                      <w:autoSpaceDE w:val="0"/>
                      <w:autoSpaceDN w:val="0"/>
                      <w:adjustRightInd w:val="0"/>
                      <w:jc w:val="right"/>
                      <w:rPr>
                        <w:szCs w:val="21"/>
                      </w:rPr>
                    </w:pPr>
                  </w:p>
                </w:tc>
              </w:tr>
            </w:sdtContent>
          </w:sdt>
          <w:tr w:rsidR="00830E72" w14:paraId="3F1FAD56" w14:textId="77777777">
            <w:sdt>
              <w:sdtPr>
                <w:tag w:val="_PLD_5eb386e2c7144b76b7f1061a9d9942d9"/>
                <w:id w:val="-1640874745"/>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78E2D1C2" w14:textId="77777777" w:rsidR="00830E72" w:rsidRDefault="008344D8">
                    <w:pPr>
                      <w:autoSpaceDE w:val="0"/>
                      <w:autoSpaceDN w:val="0"/>
                      <w:adjustRightInd w:val="0"/>
                      <w:jc w:val="center"/>
                      <w:rPr>
                        <w:szCs w:val="21"/>
                      </w:rPr>
                    </w:pPr>
                    <w:r>
                      <w:rPr>
                        <w:rFonts w:hint="eastAsia"/>
                        <w:szCs w:val="21"/>
                      </w:rPr>
                      <w:t>合计</w:t>
                    </w:r>
                  </w:p>
                </w:tc>
              </w:sdtContent>
            </w:sdt>
            <w:tc>
              <w:tcPr>
                <w:tcW w:w="1561" w:type="pct"/>
                <w:tcBorders>
                  <w:top w:val="single" w:sz="4" w:space="0" w:color="auto"/>
                  <w:left w:val="single" w:sz="4" w:space="0" w:color="auto"/>
                  <w:bottom w:val="single" w:sz="4" w:space="0" w:color="auto"/>
                  <w:right w:val="single" w:sz="4" w:space="0" w:color="auto"/>
                </w:tcBorders>
              </w:tcPr>
              <w:p w14:paraId="3095F138" w14:textId="77777777" w:rsidR="00830E72" w:rsidRDefault="008344D8">
                <w:pPr>
                  <w:jc w:val="right"/>
                  <w:rPr>
                    <w:szCs w:val="21"/>
                  </w:rPr>
                </w:pPr>
                <w:r>
                  <w:rPr>
                    <w:szCs w:val="21"/>
                  </w:rPr>
                  <w:t>469,489.17</w:t>
                </w:r>
              </w:p>
            </w:tc>
            <w:tc>
              <w:tcPr>
                <w:tcW w:w="1561" w:type="pct"/>
                <w:tcBorders>
                  <w:top w:val="single" w:sz="4" w:space="0" w:color="auto"/>
                  <w:left w:val="single" w:sz="4" w:space="0" w:color="auto"/>
                  <w:bottom w:val="single" w:sz="4" w:space="0" w:color="auto"/>
                  <w:right w:val="single" w:sz="4" w:space="0" w:color="auto"/>
                </w:tcBorders>
              </w:tcPr>
              <w:p w14:paraId="0353C0FF" w14:textId="77777777" w:rsidR="00830E72" w:rsidRDefault="00830E72">
                <w:pPr>
                  <w:autoSpaceDE w:val="0"/>
                  <w:autoSpaceDN w:val="0"/>
                  <w:adjustRightInd w:val="0"/>
                  <w:jc w:val="right"/>
                  <w:rPr>
                    <w:szCs w:val="21"/>
                  </w:rPr>
                </w:pPr>
              </w:p>
            </w:tc>
          </w:tr>
        </w:tbl>
        <w:p w14:paraId="3D4986A6" w14:textId="77777777" w:rsidR="00830E72" w:rsidRDefault="00D44830">
          <w:pPr>
            <w:rPr>
              <w:szCs w:val="21"/>
            </w:rPr>
          </w:pPr>
        </w:p>
      </w:sdtContent>
    </w:sdt>
    <w:bookmarkEnd w:id="193"/>
    <w:p w14:paraId="48BF66F2" w14:textId="77777777" w:rsidR="00830E72" w:rsidRDefault="00830E72">
      <w:pPr>
        <w:rPr>
          <w:szCs w:val="21"/>
        </w:rPr>
      </w:pPr>
    </w:p>
    <w:bookmarkStart w:id="194" w:name="_Hlk72829754" w:displacedByCustomXml="next"/>
    <w:sdt>
      <w:sdtPr>
        <w:rPr>
          <w:rFonts w:ascii="宋体" w:hAnsi="宋体" w:cs="宋体"/>
          <w:b w:val="0"/>
          <w:bCs w:val="0"/>
          <w:kern w:val="0"/>
          <w:szCs w:val="21"/>
        </w:rPr>
        <w:alias w:val="模块:"/>
        <w:tag w:val="_SEC_87edd713957c4f11900f8738aeba1216"/>
        <w:id w:val="769135586"/>
        <w:lock w:val="sdtLocked"/>
        <w:placeholder>
          <w:docPart w:val="GBC22222222222222222222222222222"/>
        </w:placeholder>
      </w:sdtPr>
      <w:sdtEndPr/>
      <w:sdtContent>
        <w:p w14:paraId="71DD272E" w14:textId="77777777" w:rsidR="00830E72" w:rsidRDefault="008344D8">
          <w:pPr>
            <w:pStyle w:val="Style99"/>
            <w:numPr>
              <w:ilvl w:val="0"/>
              <w:numId w:val="45"/>
            </w:numPr>
            <w:tabs>
              <w:tab w:val="left" w:pos="504"/>
            </w:tabs>
            <w:rPr>
              <w:rFonts w:ascii="宋体" w:hAnsi="宋体"/>
            </w:rPr>
          </w:pPr>
          <w:r>
            <w:rPr>
              <w:rFonts w:ascii="宋体" w:hAnsi="宋体" w:hint="eastAsia"/>
            </w:rPr>
            <w:t>信用减值损失</w:t>
          </w:r>
        </w:p>
        <w:sdt>
          <w:sdtPr>
            <w:alias w:val="是否适用：信用减值损失[双击切换]"/>
            <w:tag w:val="_GBC_091d631028b64a0dbabe3c252fdf5712"/>
            <w:id w:val="-1718341146"/>
            <w:lock w:val="sdtContentLocked"/>
            <w:placeholder>
              <w:docPart w:val="GBC22222222222222222222222222222"/>
            </w:placeholder>
          </w:sdtPr>
          <w:sdtEndPr/>
          <w:sdtContent>
            <w:p w14:paraId="4C3504AC"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9012928" w14:textId="77777777" w:rsidR="00830E72" w:rsidRDefault="008344D8">
          <w:pPr>
            <w:pStyle w:val="Style118"/>
            <w:ind w:left="420" w:firstLineChars="0" w:firstLine="0"/>
            <w:jc w:val="right"/>
            <w:rPr>
              <w:rFonts w:ascii="宋体" w:hAnsi="宋体"/>
            </w:rPr>
          </w:pPr>
          <w:r>
            <w:rPr>
              <w:rFonts w:ascii="宋体" w:hAnsi="宋体" w:hint="eastAsia"/>
            </w:rPr>
            <w:t>单位：</w:t>
          </w:r>
          <w:sdt>
            <w:sdtPr>
              <w:rPr>
                <w:rFonts w:ascii="宋体" w:hAnsi="宋体" w:hint="eastAsia"/>
              </w:rPr>
              <w:alias w:val="单位：信用减值损失"/>
              <w:tag w:val="_GBC_be6f29e88d6d4a459d7640ec9d687c98"/>
              <w:id w:val="-3723040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rPr>
                <w:t>元</w:t>
              </w:r>
            </w:sdtContent>
          </w:sdt>
          <w:r>
            <w:rPr>
              <w:rFonts w:ascii="宋体" w:hAnsi="宋体" w:hint="eastAsia"/>
            </w:rPr>
            <w:t xml:space="preserve">  币种：</w:t>
          </w:r>
          <w:sdt>
            <w:sdtPr>
              <w:rPr>
                <w:rFonts w:ascii="宋体" w:hAnsi="宋体" w:hint="eastAsia"/>
              </w:rPr>
              <w:alias w:val="币种：信用减值损失"/>
              <w:tag w:val="_GBC_7bb1c4130f5c47cdbfa091247dbf05dc"/>
              <w:id w:val="-20962395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650"/>
            <w:gridCol w:w="2688"/>
            <w:gridCol w:w="2711"/>
          </w:tblGrid>
          <w:tr w:rsidR="00830E72" w14:paraId="37ED2C0B" w14:textId="77777777">
            <w:sdt>
              <w:sdtPr>
                <w:tag w:val="_PLD_64ee29c5c67448b288248caa86e974a6"/>
                <w:id w:val="2112933722"/>
                <w:lock w:val="sdtLocked"/>
              </w:sdtPr>
              <w:sdtEndPr/>
              <w:sdtContent>
                <w:tc>
                  <w:tcPr>
                    <w:tcW w:w="2017" w:type="pct"/>
                    <w:shd w:val="clear" w:color="auto" w:fill="auto"/>
                    <w:vAlign w:val="center"/>
                  </w:tcPr>
                  <w:p w14:paraId="2C94A1E0" w14:textId="77777777" w:rsidR="00830E72" w:rsidRDefault="008344D8">
                    <w:pPr>
                      <w:jc w:val="center"/>
                      <w:rPr>
                        <w:szCs w:val="21"/>
                      </w:rPr>
                    </w:pPr>
                    <w:r>
                      <w:rPr>
                        <w:rFonts w:hint="eastAsia"/>
                        <w:szCs w:val="21"/>
                      </w:rPr>
                      <w:t>项目</w:t>
                    </w:r>
                  </w:p>
                </w:tc>
              </w:sdtContent>
            </w:sdt>
            <w:sdt>
              <w:sdtPr>
                <w:tag w:val="_PLD_560d3fc458c74be7aaa6d31bdfb4da69"/>
                <w:id w:val="1546872877"/>
                <w:lock w:val="sdtLocked"/>
              </w:sdtPr>
              <w:sdtEndPr/>
              <w:sdtContent>
                <w:tc>
                  <w:tcPr>
                    <w:tcW w:w="1485" w:type="pct"/>
                    <w:tcBorders>
                      <w:bottom w:val="single" w:sz="6" w:space="0" w:color="auto"/>
                    </w:tcBorders>
                    <w:shd w:val="clear" w:color="auto" w:fill="auto"/>
                    <w:vAlign w:val="center"/>
                  </w:tcPr>
                  <w:p w14:paraId="5D12C6A5" w14:textId="77777777" w:rsidR="00830E72" w:rsidRDefault="008344D8">
                    <w:pPr>
                      <w:jc w:val="center"/>
                      <w:rPr>
                        <w:szCs w:val="21"/>
                      </w:rPr>
                    </w:pPr>
                    <w:r>
                      <w:rPr>
                        <w:rFonts w:hint="eastAsia"/>
                        <w:szCs w:val="21"/>
                      </w:rPr>
                      <w:t>本期发生额</w:t>
                    </w:r>
                  </w:p>
                </w:tc>
              </w:sdtContent>
            </w:sdt>
            <w:sdt>
              <w:sdtPr>
                <w:tag w:val="_PLD_4dbd931f6768425793e565db22a0fbd4"/>
                <w:id w:val="309294135"/>
                <w:lock w:val="sdtLocked"/>
              </w:sdtPr>
              <w:sdtEndPr/>
              <w:sdtContent>
                <w:tc>
                  <w:tcPr>
                    <w:tcW w:w="1498" w:type="pct"/>
                    <w:shd w:val="clear" w:color="auto" w:fill="auto"/>
                    <w:vAlign w:val="center"/>
                  </w:tcPr>
                  <w:p w14:paraId="345B9197" w14:textId="77777777" w:rsidR="00830E72" w:rsidRDefault="008344D8">
                    <w:pPr>
                      <w:jc w:val="center"/>
                      <w:rPr>
                        <w:szCs w:val="21"/>
                      </w:rPr>
                    </w:pPr>
                    <w:r>
                      <w:rPr>
                        <w:rFonts w:hint="eastAsia"/>
                        <w:szCs w:val="21"/>
                      </w:rPr>
                      <w:t>上期发生额</w:t>
                    </w:r>
                  </w:p>
                </w:tc>
              </w:sdtContent>
            </w:sdt>
          </w:tr>
          <w:tr w:rsidR="00830E72" w14:paraId="339B206C" w14:textId="77777777">
            <w:tc>
              <w:tcPr>
                <w:tcW w:w="2017" w:type="pct"/>
                <w:shd w:val="clear" w:color="auto" w:fill="auto"/>
                <w:vAlign w:val="center"/>
              </w:tcPr>
              <w:sdt>
                <w:sdtPr>
                  <w:rPr>
                    <w:rFonts w:hint="eastAsia"/>
                    <w:szCs w:val="21"/>
                  </w:rPr>
                  <w:tag w:val="_PLD_ef2c9737ec214e14a40a6f09e2459ccb"/>
                  <w:id w:val="437345006"/>
                  <w:lock w:val="sdtLocked"/>
                </w:sdtPr>
                <w:sdtEndPr/>
                <w:sdtContent>
                  <w:p w14:paraId="20BF61D6" w14:textId="77777777" w:rsidR="00830E72" w:rsidRDefault="008344D8">
                    <w:pPr>
                      <w:rPr>
                        <w:szCs w:val="21"/>
                      </w:rPr>
                    </w:pPr>
                    <w:r>
                      <w:rPr>
                        <w:rFonts w:hint="eastAsia"/>
                        <w:szCs w:val="21"/>
                      </w:rPr>
                      <w:t>应收票据坏账损失</w:t>
                    </w:r>
                  </w:p>
                </w:sdtContent>
              </w:sdt>
            </w:tc>
            <w:tc>
              <w:tcPr>
                <w:tcW w:w="1485" w:type="pct"/>
                <w:tcBorders>
                  <w:top w:val="single" w:sz="6" w:space="0" w:color="auto"/>
                  <w:bottom w:val="single" w:sz="6" w:space="0" w:color="auto"/>
                </w:tcBorders>
                <w:shd w:val="clear" w:color="auto" w:fill="auto"/>
              </w:tcPr>
              <w:p w14:paraId="69191F4A" w14:textId="77777777" w:rsidR="00830E72" w:rsidRDefault="00830E72">
                <w:pPr>
                  <w:jc w:val="right"/>
                  <w:rPr>
                    <w:szCs w:val="21"/>
                  </w:rPr>
                </w:pPr>
              </w:p>
            </w:tc>
            <w:tc>
              <w:tcPr>
                <w:tcW w:w="1498" w:type="pct"/>
                <w:shd w:val="clear" w:color="auto" w:fill="auto"/>
              </w:tcPr>
              <w:p w14:paraId="03D23DD7" w14:textId="77777777" w:rsidR="00830E72" w:rsidRDefault="008344D8">
                <w:pPr>
                  <w:jc w:val="right"/>
                  <w:rPr>
                    <w:szCs w:val="21"/>
                  </w:rPr>
                </w:pPr>
                <w:r>
                  <w:rPr>
                    <w:szCs w:val="21"/>
                  </w:rPr>
                  <w:t>-196,200.00</w:t>
                </w:r>
              </w:p>
            </w:tc>
          </w:tr>
          <w:tr w:rsidR="00830E72" w14:paraId="139CFBA6" w14:textId="77777777">
            <w:tc>
              <w:tcPr>
                <w:tcW w:w="2017" w:type="pct"/>
                <w:shd w:val="clear" w:color="auto" w:fill="auto"/>
                <w:vAlign w:val="center"/>
              </w:tcPr>
              <w:sdt>
                <w:sdtPr>
                  <w:rPr>
                    <w:rFonts w:hint="eastAsia"/>
                    <w:szCs w:val="21"/>
                  </w:rPr>
                  <w:tag w:val="_PLD_18ea6a1502d94e719ef09009f3e7b0cc"/>
                  <w:id w:val="-535200585"/>
                  <w:lock w:val="sdtLocked"/>
                </w:sdtPr>
                <w:sdtEndPr/>
                <w:sdtContent>
                  <w:p w14:paraId="6137955E" w14:textId="77777777" w:rsidR="00830E72" w:rsidRDefault="008344D8">
                    <w:pPr>
                      <w:rPr>
                        <w:szCs w:val="21"/>
                      </w:rPr>
                    </w:pPr>
                    <w:r>
                      <w:rPr>
                        <w:rFonts w:hint="eastAsia"/>
                        <w:szCs w:val="21"/>
                      </w:rPr>
                      <w:t>应收账款坏账损失</w:t>
                    </w:r>
                  </w:p>
                </w:sdtContent>
              </w:sdt>
            </w:tc>
            <w:tc>
              <w:tcPr>
                <w:tcW w:w="1485" w:type="pct"/>
                <w:tcBorders>
                  <w:top w:val="single" w:sz="6" w:space="0" w:color="auto"/>
                  <w:bottom w:val="single" w:sz="6" w:space="0" w:color="auto"/>
                </w:tcBorders>
                <w:shd w:val="clear" w:color="auto" w:fill="auto"/>
              </w:tcPr>
              <w:p w14:paraId="2C6A1197" w14:textId="77777777" w:rsidR="00830E72" w:rsidRDefault="008344D8">
                <w:pPr>
                  <w:jc w:val="right"/>
                  <w:rPr>
                    <w:szCs w:val="21"/>
                  </w:rPr>
                </w:pPr>
                <w:r>
                  <w:rPr>
                    <w:szCs w:val="21"/>
                  </w:rPr>
                  <w:t>3,681,696.39</w:t>
                </w:r>
              </w:p>
            </w:tc>
            <w:tc>
              <w:tcPr>
                <w:tcW w:w="1498" w:type="pct"/>
                <w:shd w:val="clear" w:color="auto" w:fill="auto"/>
              </w:tcPr>
              <w:p w14:paraId="7C318A8B" w14:textId="77777777" w:rsidR="00830E72" w:rsidRDefault="008344D8">
                <w:pPr>
                  <w:jc w:val="right"/>
                  <w:rPr>
                    <w:szCs w:val="21"/>
                  </w:rPr>
                </w:pPr>
                <w:r>
                  <w:rPr>
                    <w:szCs w:val="21"/>
                  </w:rPr>
                  <w:t>1,274,222.63</w:t>
                </w:r>
              </w:p>
            </w:tc>
          </w:tr>
          <w:tr w:rsidR="00830E72" w14:paraId="7B5F9263" w14:textId="77777777">
            <w:tc>
              <w:tcPr>
                <w:tcW w:w="2017" w:type="pct"/>
                <w:shd w:val="clear" w:color="auto" w:fill="auto"/>
                <w:vAlign w:val="center"/>
              </w:tcPr>
              <w:sdt>
                <w:sdtPr>
                  <w:rPr>
                    <w:rFonts w:hint="eastAsia"/>
                    <w:szCs w:val="21"/>
                  </w:rPr>
                  <w:tag w:val="_PLD_183b461709384c1dad0a5ada5156e0c2"/>
                  <w:id w:val="-1272236166"/>
                  <w:lock w:val="sdtLocked"/>
                </w:sdtPr>
                <w:sdtEndPr/>
                <w:sdtContent>
                  <w:p w14:paraId="086EBA3E" w14:textId="77777777" w:rsidR="00830E72" w:rsidRDefault="008344D8">
                    <w:pPr>
                      <w:rPr>
                        <w:szCs w:val="21"/>
                      </w:rPr>
                    </w:pPr>
                    <w:r>
                      <w:rPr>
                        <w:rFonts w:hint="eastAsia"/>
                        <w:szCs w:val="21"/>
                      </w:rPr>
                      <w:t>其他应收款坏账损失</w:t>
                    </w:r>
                  </w:p>
                </w:sdtContent>
              </w:sdt>
            </w:tc>
            <w:tc>
              <w:tcPr>
                <w:tcW w:w="1485" w:type="pct"/>
                <w:tcBorders>
                  <w:top w:val="single" w:sz="6" w:space="0" w:color="auto"/>
                  <w:bottom w:val="single" w:sz="6" w:space="0" w:color="auto"/>
                </w:tcBorders>
                <w:shd w:val="clear" w:color="auto" w:fill="auto"/>
              </w:tcPr>
              <w:p w14:paraId="1AEB9313" w14:textId="77777777" w:rsidR="00830E72" w:rsidRDefault="008344D8">
                <w:pPr>
                  <w:jc w:val="right"/>
                  <w:rPr>
                    <w:szCs w:val="21"/>
                  </w:rPr>
                </w:pPr>
                <w:r>
                  <w:rPr>
                    <w:szCs w:val="21"/>
                  </w:rPr>
                  <w:t>-3,635,270.58</w:t>
                </w:r>
              </w:p>
            </w:tc>
            <w:tc>
              <w:tcPr>
                <w:tcW w:w="1498" w:type="pct"/>
                <w:shd w:val="clear" w:color="auto" w:fill="auto"/>
              </w:tcPr>
              <w:p w14:paraId="5A75FC5E" w14:textId="77777777" w:rsidR="00830E72" w:rsidRDefault="008344D8">
                <w:pPr>
                  <w:jc w:val="right"/>
                  <w:rPr>
                    <w:szCs w:val="21"/>
                  </w:rPr>
                </w:pPr>
                <w:r>
                  <w:rPr>
                    <w:szCs w:val="21"/>
                  </w:rPr>
                  <w:t>-1,787,029.04</w:t>
                </w:r>
              </w:p>
            </w:tc>
          </w:tr>
          <w:tr w:rsidR="00830E72" w14:paraId="266D4879" w14:textId="77777777">
            <w:tc>
              <w:tcPr>
                <w:tcW w:w="2017" w:type="pct"/>
                <w:shd w:val="clear" w:color="auto" w:fill="auto"/>
                <w:vAlign w:val="center"/>
              </w:tcPr>
              <w:sdt>
                <w:sdtPr>
                  <w:rPr>
                    <w:rFonts w:hint="eastAsia"/>
                    <w:szCs w:val="21"/>
                  </w:rPr>
                  <w:tag w:val="_PLD_ac8555873eee4a0b8a88028018d33862"/>
                  <w:id w:val="-1514297733"/>
                  <w:lock w:val="sdtLocked"/>
                </w:sdtPr>
                <w:sdtEndPr/>
                <w:sdtContent>
                  <w:p w14:paraId="1C7FE3EB" w14:textId="77777777" w:rsidR="00830E72" w:rsidRDefault="008344D8">
                    <w:pPr>
                      <w:rPr>
                        <w:szCs w:val="21"/>
                      </w:rPr>
                    </w:pPr>
                    <w:r>
                      <w:rPr>
                        <w:rFonts w:hint="eastAsia"/>
                        <w:szCs w:val="21"/>
                      </w:rPr>
                      <w:t>债权投资减值损失</w:t>
                    </w:r>
                  </w:p>
                </w:sdtContent>
              </w:sdt>
            </w:tc>
            <w:tc>
              <w:tcPr>
                <w:tcW w:w="1485" w:type="pct"/>
                <w:tcBorders>
                  <w:top w:val="single" w:sz="6" w:space="0" w:color="auto"/>
                  <w:bottom w:val="single" w:sz="6" w:space="0" w:color="auto"/>
                </w:tcBorders>
                <w:shd w:val="clear" w:color="auto" w:fill="auto"/>
              </w:tcPr>
              <w:p w14:paraId="71575CE6" w14:textId="77777777" w:rsidR="00830E72" w:rsidRDefault="00830E72">
                <w:pPr>
                  <w:jc w:val="right"/>
                  <w:rPr>
                    <w:szCs w:val="21"/>
                  </w:rPr>
                </w:pPr>
              </w:p>
            </w:tc>
            <w:tc>
              <w:tcPr>
                <w:tcW w:w="1498" w:type="pct"/>
                <w:shd w:val="clear" w:color="auto" w:fill="auto"/>
              </w:tcPr>
              <w:p w14:paraId="3F93DC0A" w14:textId="77777777" w:rsidR="00830E72" w:rsidRDefault="00830E72">
                <w:pPr>
                  <w:jc w:val="right"/>
                  <w:rPr>
                    <w:szCs w:val="21"/>
                  </w:rPr>
                </w:pPr>
              </w:p>
            </w:tc>
          </w:tr>
          <w:tr w:rsidR="00830E72" w14:paraId="433F5C3E" w14:textId="77777777">
            <w:tc>
              <w:tcPr>
                <w:tcW w:w="2017" w:type="pct"/>
                <w:shd w:val="clear" w:color="auto" w:fill="auto"/>
                <w:vAlign w:val="center"/>
              </w:tcPr>
              <w:sdt>
                <w:sdtPr>
                  <w:rPr>
                    <w:rFonts w:hint="eastAsia"/>
                    <w:szCs w:val="21"/>
                  </w:rPr>
                  <w:tag w:val="_PLD_bc847f600d3e4663b17f47f68007ad6e"/>
                  <w:id w:val="70404162"/>
                  <w:lock w:val="sdtLocked"/>
                </w:sdtPr>
                <w:sdtEndPr/>
                <w:sdtContent>
                  <w:p w14:paraId="4981FF75" w14:textId="77777777" w:rsidR="00830E72" w:rsidRDefault="008344D8">
                    <w:pPr>
                      <w:rPr>
                        <w:szCs w:val="21"/>
                      </w:rPr>
                    </w:pPr>
                    <w:r>
                      <w:rPr>
                        <w:rFonts w:hint="eastAsia"/>
                        <w:szCs w:val="21"/>
                      </w:rPr>
                      <w:t>其他债权投资减值损失</w:t>
                    </w:r>
                  </w:p>
                </w:sdtContent>
              </w:sdt>
            </w:tc>
            <w:tc>
              <w:tcPr>
                <w:tcW w:w="1485" w:type="pct"/>
                <w:tcBorders>
                  <w:top w:val="single" w:sz="6" w:space="0" w:color="auto"/>
                  <w:bottom w:val="single" w:sz="6" w:space="0" w:color="auto"/>
                </w:tcBorders>
                <w:shd w:val="clear" w:color="auto" w:fill="auto"/>
              </w:tcPr>
              <w:p w14:paraId="1B31F982" w14:textId="77777777" w:rsidR="00830E72" w:rsidRDefault="00830E72">
                <w:pPr>
                  <w:jc w:val="right"/>
                  <w:rPr>
                    <w:szCs w:val="21"/>
                  </w:rPr>
                </w:pPr>
              </w:p>
            </w:tc>
            <w:tc>
              <w:tcPr>
                <w:tcW w:w="1498" w:type="pct"/>
                <w:shd w:val="clear" w:color="auto" w:fill="auto"/>
              </w:tcPr>
              <w:p w14:paraId="673DA712" w14:textId="77777777" w:rsidR="00830E72" w:rsidRDefault="00830E72">
                <w:pPr>
                  <w:jc w:val="right"/>
                  <w:rPr>
                    <w:szCs w:val="21"/>
                  </w:rPr>
                </w:pPr>
              </w:p>
            </w:tc>
          </w:tr>
          <w:tr w:rsidR="00830E72" w14:paraId="67F95561" w14:textId="77777777">
            <w:tc>
              <w:tcPr>
                <w:tcW w:w="2017" w:type="pct"/>
                <w:shd w:val="clear" w:color="auto" w:fill="auto"/>
                <w:vAlign w:val="center"/>
              </w:tcPr>
              <w:sdt>
                <w:sdtPr>
                  <w:rPr>
                    <w:rFonts w:hint="eastAsia"/>
                    <w:szCs w:val="21"/>
                  </w:rPr>
                  <w:tag w:val="_PLD_2cfae99c64b44f6089efa40a283c1bfc"/>
                  <w:id w:val="779846295"/>
                  <w:lock w:val="sdtLocked"/>
                </w:sdtPr>
                <w:sdtEndPr/>
                <w:sdtContent>
                  <w:p w14:paraId="70C29647" w14:textId="77777777" w:rsidR="00830E72" w:rsidRDefault="008344D8">
                    <w:pPr>
                      <w:rPr>
                        <w:szCs w:val="21"/>
                      </w:rPr>
                    </w:pPr>
                    <w:r>
                      <w:rPr>
                        <w:rFonts w:hint="eastAsia"/>
                        <w:szCs w:val="21"/>
                      </w:rPr>
                      <w:t>长期应收款坏账损失</w:t>
                    </w:r>
                  </w:p>
                </w:sdtContent>
              </w:sdt>
            </w:tc>
            <w:tc>
              <w:tcPr>
                <w:tcW w:w="1485" w:type="pct"/>
                <w:tcBorders>
                  <w:top w:val="single" w:sz="6" w:space="0" w:color="auto"/>
                  <w:bottom w:val="single" w:sz="6" w:space="0" w:color="auto"/>
                </w:tcBorders>
                <w:shd w:val="clear" w:color="auto" w:fill="auto"/>
              </w:tcPr>
              <w:p w14:paraId="740C273D" w14:textId="77777777" w:rsidR="00830E72" w:rsidRDefault="008344D8">
                <w:pPr>
                  <w:jc w:val="right"/>
                  <w:rPr>
                    <w:szCs w:val="21"/>
                  </w:rPr>
                </w:pPr>
                <w:r>
                  <w:rPr>
                    <w:szCs w:val="21"/>
                  </w:rPr>
                  <w:t>567,379.21</w:t>
                </w:r>
              </w:p>
            </w:tc>
            <w:tc>
              <w:tcPr>
                <w:tcW w:w="1498" w:type="pct"/>
                <w:shd w:val="clear" w:color="auto" w:fill="auto"/>
              </w:tcPr>
              <w:p w14:paraId="114A3C55" w14:textId="77777777" w:rsidR="00830E72" w:rsidRDefault="008344D8">
                <w:pPr>
                  <w:jc w:val="right"/>
                  <w:rPr>
                    <w:szCs w:val="21"/>
                  </w:rPr>
                </w:pPr>
                <w:r>
                  <w:rPr>
                    <w:szCs w:val="21"/>
                  </w:rPr>
                  <w:t>-674,030.23</w:t>
                </w:r>
              </w:p>
            </w:tc>
          </w:tr>
          <w:tr w:rsidR="00830E72" w14:paraId="30D02F3D" w14:textId="77777777">
            <w:tc>
              <w:tcPr>
                <w:tcW w:w="2017" w:type="pct"/>
                <w:shd w:val="clear" w:color="auto" w:fill="auto"/>
                <w:vAlign w:val="center"/>
              </w:tcPr>
              <w:sdt>
                <w:sdtPr>
                  <w:rPr>
                    <w:rFonts w:hint="eastAsia"/>
                    <w:szCs w:val="21"/>
                  </w:rPr>
                  <w:tag w:val="_PLD_c9ebf2faffa4479588376e81b1db922b"/>
                  <w:id w:val="-768384171"/>
                  <w:lock w:val="sdtLocked"/>
                </w:sdtPr>
                <w:sdtEndPr/>
                <w:sdtContent>
                  <w:p w14:paraId="634D5589" w14:textId="77777777" w:rsidR="00830E72" w:rsidRDefault="008344D8">
                    <w:pPr>
                      <w:rPr>
                        <w:szCs w:val="21"/>
                      </w:rPr>
                    </w:pPr>
                    <w:r>
                      <w:rPr>
                        <w:rFonts w:hint="eastAsia"/>
                        <w:szCs w:val="21"/>
                      </w:rPr>
                      <w:t>合同资产减值损失</w:t>
                    </w:r>
                  </w:p>
                </w:sdtContent>
              </w:sdt>
            </w:tc>
            <w:tc>
              <w:tcPr>
                <w:tcW w:w="1485" w:type="pct"/>
                <w:tcBorders>
                  <w:top w:val="single" w:sz="6" w:space="0" w:color="auto"/>
                  <w:bottom w:val="single" w:sz="6" w:space="0" w:color="auto"/>
                </w:tcBorders>
                <w:shd w:val="clear" w:color="auto" w:fill="auto"/>
              </w:tcPr>
              <w:p w14:paraId="28D746CE" w14:textId="77777777" w:rsidR="00830E72" w:rsidRDefault="00830E72">
                <w:pPr>
                  <w:jc w:val="right"/>
                  <w:rPr>
                    <w:szCs w:val="21"/>
                  </w:rPr>
                </w:pPr>
              </w:p>
            </w:tc>
            <w:tc>
              <w:tcPr>
                <w:tcW w:w="1498" w:type="pct"/>
                <w:shd w:val="clear" w:color="auto" w:fill="auto"/>
              </w:tcPr>
              <w:p w14:paraId="65C42519" w14:textId="77777777" w:rsidR="00830E72" w:rsidRDefault="008344D8">
                <w:pPr>
                  <w:jc w:val="right"/>
                  <w:rPr>
                    <w:szCs w:val="21"/>
                  </w:rPr>
                </w:pPr>
                <w:r>
                  <w:rPr>
                    <w:szCs w:val="21"/>
                  </w:rPr>
                  <w:t>-803,322.11</w:t>
                </w:r>
              </w:p>
            </w:tc>
          </w:tr>
          <w:tr w:rsidR="00830E72" w14:paraId="668D5221" w14:textId="77777777">
            <w:sdt>
              <w:sdtPr>
                <w:tag w:val="_PLD_a280344d67cd4d1392e8972abbb82e72"/>
                <w:id w:val="672152549"/>
                <w:lock w:val="sdtLocked"/>
              </w:sdtPr>
              <w:sdtEndPr/>
              <w:sdtContent>
                <w:tc>
                  <w:tcPr>
                    <w:tcW w:w="2017" w:type="pct"/>
                    <w:shd w:val="clear" w:color="auto" w:fill="auto"/>
                    <w:vAlign w:val="center"/>
                  </w:tcPr>
                  <w:p w14:paraId="3DB0F401" w14:textId="77777777" w:rsidR="00830E72" w:rsidRDefault="008344D8">
                    <w:pPr>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tcPr>
              <w:p w14:paraId="488D90B9" w14:textId="77777777" w:rsidR="00830E72" w:rsidRDefault="008344D8">
                <w:pPr>
                  <w:jc w:val="right"/>
                  <w:rPr>
                    <w:szCs w:val="21"/>
                  </w:rPr>
                </w:pPr>
                <w:r>
                  <w:rPr>
                    <w:szCs w:val="21"/>
                  </w:rPr>
                  <w:t>613,805.02</w:t>
                </w:r>
              </w:p>
            </w:tc>
            <w:tc>
              <w:tcPr>
                <w:tcW w:w="1498" w:type="pct"/>
                <w:shd w:val="clear" w:color="auto" w:fill="auto"/>
              </w:tcPr>
              <w:p w14:paraId="79F5D22F" w14:textId="77777777" w:rsidR="00830E72" w:rsidRDefault="008344D8">
                <w:pPr>
                  <w:jc w:val="right"/>
                  <w:rPr>
                    <w:szCs w:val="21"/>
                  </w:rPr>
                </w:pPr>
                <w:r>
                  <w:rPr>
                    <w:szCs w:val="21"/>
                  </w:rPr>
                  <w:t>-2,186,358.75</w:t>
                </w:r>
              </w:p>
            </w:tc>
          </w:tr>
        </w:tbl>
        <w:p w14:paraId="56949BF8" w14:textId="77777777" w:rsidR="00830E72" w:rsidRDefault="00D44830"/>
      </w:sdtContent>
    </w:sdt>
    <w:bookmarkEnd w:id="194"/>
    <w:p w14:paraId="1E306D16" w14:textId="77777777" w:rsidR="00830E72" w:rsidRDefault="00830E72">
      <w:pPr>
        <w:rPr>
          <w:szCs w:val="21"/>
        </w:rPr>
      </w:pPr>
    </w:p>
    <w:sdt>
      <w:sdtPr>
        <w:rPr>
          <w:rFonts w:ascii="宋体" w:hAnsi="宋体" w:cs="宋体" w:hint="eastAsia"/>
          <w:b w:val="0"/>
          <w:bCs w:val="0"/>
          <w:kern w:val="0"/>
          <w:szCs w:val="21"/>
        </w:rPr>
        <w:alias w:val="模块:资产减值损失"/>
        <w:tag w:val="_GBC_e0187e33fb024605af673daabe2f7861"/>
        <w:id w:val="359168672"/>
        <w:lock w:val="sdtLocked"/>
        <w:placeholder>
          <w:docPart w:val="GBC22222222222222222222222222222"/>
        </w:placeholder>
      </w:sdtPr>
      <w:sdtEndPr>
        <w:rPr>
          <w:rFonts w:hint="default"/>
          <w:szCs w:val="22"/>
        </w:rPr>
      </w:sdtEndPr>
      <w:sdtContent>
        <w:p w14:paraId="42D59F5D" w14:textId="77777777" w:rsidR="00830E72" w:rsidRDefault="008344D8">
          <w:pPr>
            <w:pStyle w:val="Style99"/>
            <w:numPr>
              <w:ilvl w:val="0"/>
              <w:numId w:val="45"/>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7fdc5881d69a48d59383942dbd2c2a3e"/>
            <w:id w:val="-1545897421"/>
            <w:lock w:val="sdtContentLocked"/>
            <w:placeholder>
              <w:docPart w:val="GBC22222222222222222222222222222"/>
            </w:placeholder>
          </w:sdtPr>
          <w:sdtEndPr/>
          <w:sdtContent>
            <w:p w14:paraId="184F795F"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BEFE909" w14:textId="77777777" w:rsidR="00830E72" w:rsidRDefault="008344D8">
          <w:pPr>
            <w:jc w:val="right"/>
            <w:rPr>
              <w:szCs w:val="21"/>
            </w:rPr>
          </w:pPr>
          <w:r>
            <w:rPr>
              <w:rFonts w:hint="eastAsia"/>
              <w:szCs w:val="21"/>
            </w:rPr>
            <w:t>单位：</w:t>
          </w:r>
          <w:sdt>
            <w:sdtPr>
              <w:rPr>
                <w:rFonts w:hint="eastAsia"/>
                <w:szCs w:val="21"/>
              </w:rPr>
              <w:alias w:val="单位：财务附注：资产减值损失"/>
              <w:tag w:val="_GBC_40ad6c56ceff460ca35db2135628d01d"/>
              <w:id w:val="5954398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5e13b42cdca649359964ad50033ab01e"/>
              <w:id w:val="-2019610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2411"/>
            <w:gridCol w:w="2420"/>
          </w:tblGrid>
          <w:tr w:rsidR="00830E72" w14:paraId="50605A0B" w14:textId="77777777">
            <w:sdt>
              <w:sdtPr>
                <w:tag w:val="_PLD_1c1b3ab4db9e4468a28086960eda425b"/>
                <w:id w:val="805201373"/>
                <w:lock w:val="sdtLocked"/>
              </w:sdtPr>
              <w:sdtEndPr/>
              <w:sdtContent>
                <w:tc>
                  <w:tcPr>
                    <w:tcW w:w="2331" w:type="pct"/>
                    <w:tcBorders>
                      <w:top w:val="single" w:sz="4" w:space="0" w:color="auto"/>
                      <w:left w:val="single" w:sz="4" w:space="0" w:color="auto"/>
                      <w:bottom w:val="single" w:sz="4" w:space="0" w:color="auto"/>
                      <w:right w:val="single" w:sz="4" w:space="0" w:color="auto"/>
                    </w:tcBorders>
                    <w:vAlign w:val="center"/>
                  </w:tcPr>
                  <w:p w14:paraId="7DCBC898" w14:textId="77777777" w:rsidR="00830E72" w:rsidRDefault="008344D8">
                    <w:pPr>
                      <w:autoSpaceDE w:val="0"/>
                      <w:autoSpaceDN w:val="0"/>
                      <w:adjustRightInd w:val="0"/>
                      <w:jc w:val="center"/>
                      <w:rPr>
                        <w:szCs w:val="21"/>
                      </w:rPr>
                    </w:pPr>
                    <w:r>
                      <w:rPr>
                        <w:rFonts w:hint="eastAsia"/>
                        <w:szCs w:val="21"/>
                      </w:rPr>
                      <w:t>项目</w:t>
                    </w:r>
                  </w:p>
                </w:tc>
              </w:sdtContent>
            </w:sdt>
            <w:sdt>
              <w:sdtPr>
                <w:tag w:val="_PLD_ab926936cf9d4fc39ab4c469d2ff3166"/>
                <w:id w:val="110947012"/>
                <w:lock w:val="sdtLocked"/>
              </w:sdtPr>
              <w:sdtEndPr/>
              <w:sdtContent>
                <w:tc>
                  <w:tcPr>
                    <w:tcW w:w="1332" w:type="pct"/>
                    <w:tcBorders>
                      <w:top w:val="single" w:sz="4" w:space="0" w:color="auto"/>
                      <w:left w:val="single" w:sz="4" w:space="0" w:color="auto"/>
                      <w:bottom w:val="single" w:sz="4" w:space="0" w:color="auto"/>
                      <w:right w:val="single" w:sz="4" w:space="0" w:color="auto"/>
                    </w:tcBorders>
                    <w:vAlign w:val="center"/>
                  </w:tcPr>
                  <w:p w14:paraId="0DDB769E" w14:textId="77777777" w:rsidR="00830E72" w:rsidRDefault="008344D8">
                    <w:pPr>
                      <w:autoSpaceDE w:val="0"/>
                      <w:autoSpaceDN w:val="0"/>
                      <w:adjustRightInd w:val="0"/>
                      <w:jc w:val="center"/>
                      <w:rPr>
                        <w:szCs w:val="21"/>
                      </w:rPr>
                    </w:pPr>
                    <w:r>
                      <w:rPr>
                        <w:rFonts w:hint="eastAsia"/>
                        <w:szCs w:val="21"/>
                      </w:rPr>
                      <w:t>本期发生额</w:t>
                    </w:r>
                  </w:p>
                </w:tc>
              </w:sdtContent>
            </w:sdt>
            <w:sdt>
              <w:sdtPr>
                <w:tag w:val="_PLD_8d4d7dadcc9944098ada8da3daaa7668"/>
                <w:id w:val="-16398081"/>
                <w:lock w:val="sdtLocked"/>
              </w:sdtPr>
              <w:sdtEndPr/>
              <w:sdtContent>
                <w:tc>
                  <w:tcPr>
                    <w:tcW w:w="1337" w:type="pct"/>
                    <w:tcBorders>
                      <w:top w:val="single" w:sz="4" w:space="0" w:color="auto"/>
                      <w:left w:val="single" w:sz="4" w:space="0" w:color="auto"/>
                      <w:bottom w:val="single" w:sz="4" w:space="0" w:color="auto"/>
                      <w:right w:val="single" w:sz="4" w:space="0" w:color="auto"/>
                    </w:tcBorders>
                    <w:vAlign w:val="center"/>
                  </w:tcPr>
                  <w:p w14:paraId="37624791" w14:textId="77777777" w:rsidR="00830E72" w:rsidRDefault="008344D8">
                    <w:pPr>
                      <w:autoSpaceDE w:val="0"/>
                      <w:autoSpaceDN w:val="0"/>
                      <w:adjustRightInd w:val="0"/>
                      <w:jc w:val="center"/>
                      <w:rPr>
                        <w:szCs w:val="21"/>
                      </w:rPr>
                    </w:pPr>
                    <w:r>
                      <w:rPr>
                        <w:rFonts w:hint="eastAsia"/>
                        <w:szCs w:val="21"/>
                      </w:rPr>
                      <w:t>上期发生额</w:t>
                    </w:r>
                  </w:p>
                </w:tc>
              </w:sdtContent>
            </w:sdt>
          </w:tr>
          <w:tr w:rsidR="00830E72" w14:paraId="3412FB9A" w14:textId="77777777">
            <w:sdt>
              <w:sdtPr>
                <w:tag w:val="_PLD_9afc5aaccdc84a4391c2537866204dd5"/>
                <w:id w:val="-1294123611"/>
                <w:lock w:val="sdtLocked"/>
              </w:sdtPr>
              <w:sdtEndPr/>
              <w:sdtContent>
                <w:tc>
                  <w:tcPr>
                    <w:tcW w:w="2331" w:type="pct"/>
                    <w:tcBorders>
                      <w:top w:val="single" w:sz="4" w:space="0" w:color="auto"/>
                      <w:left w:val="single" w:sz="4" w:space="0" w:color="auto"/>
                      <w:bottom w:val="single" w:sz="4" w:space="0" w:color="auto"/>
                      <w:right w:val="single" w:sz="4" w:space="0" w:color="auto"/>
                    </w:tcBorders>
                  </w:tcPr>
                  <w:p w14:paraId="1B6B4611" w14:textId="77777777" w:rsidR="00830E72" w:rsidRDefault="008344D8">
                    <w:pPr>
                      <w:autoSpaceDE w:val="0"/>
                      <w:autoSpaceDN w:val="0"/>
                      <w:adjustRightInd w:val="0"/>
                      <w:rPr>
                        <w:szCs w:val="21"/>
                      </w:rPr>
                    </w:pPr>
                    <w:r>
                      <w:rPr>
                        <w:rFonts w:hint="eastAsia"/>
                        <w:szCs w:val="21"/>
                      </w:rPr>
                      <w:t>一、坏账损失</w:t>
                    </w:r>
                  </w:p>
                </w:tc>
              </w:sdtContent>
            </w:sdt>
            <w:tc>
              <w:tcPr>
                <w:tcW w:w="1332" w:type="pct"/>
                <w:tcBorders>
                  <w:top w:val="single" w:sz="4" w:space="0" w:color="auto"/>
                  <w:left w:val="single" w:sz="4" w:space="0" w:color="auto"/>
                  <w:bottom w:val="single" w:sz="4" w:space="0" w:color="auto"/>
                  <w:right w:val="single" w:sz="4" w:space="0" w:color="auto"/>
                </w:tcBorders>
              </w:tcPr>
              <w:p w14:paraId="7D6BCD7E" w14:textId="77777777" w:rsidR="00830E72" w:rsidRDefault="008344D8">
                <w:pPr>
                  <w:jc w:val="right"/>
                  <w:rPr>
                    <w:szCs w:val="21"/>
                  </w:rPr>
                </w:pPr>
                <w:r>
                  <w:rPr>
                    <w:szCs w:val="21"/>
                  </w:rPr>
                  <w:t>1,264,819.94</w:t>
                </w:r>
              </w:p>
            </w:tc>
            <w:tc>
              <w:tcPr>
                <w:tcW w:w="1337" w:type="pct"/>
                <w:tcBorders>
                  <w:top w:val="single" w:sz="4" w:space="0" w:color="auto"/>
                  <w:left w:val="single" w:sz="4" w:space="0" w:color="auto"/>
                  <w:bottom w:val="single" w:sz="4" w:space="0" w:color="auto"/>
                  <w:right w:val="single" w:sz="4" w:space="0" w:color="auto"/>
                </w:tcBorders>
              </w:tcPr>
              <w:p w14:paraId="2BB75A61" w14:textId="77777777" w:rsidR="00830E72" w:rsidRDefault="00830E72">
                <w:pPr>
                  <w:jc w:val="right"/>
                  <w:rPr>
                    <w:szCs w:val="21"/>
                  </w:rPr>
                </w:pPr>
              </w:p>
            </w:tc>
          </w:tr>
          <w:tr w:rsidR="00830E72" w14:paraId="10458692" w14:textId="77777777">
            <w:sdt>
              <w:sdtPr>
                <w:tag w:val="_PLD_48506e29da6e4911867af71e75a78a82"/>
                <w:id w:val="-946690794"/>
                <w:lock w:val="sdtLocked"/>
              </w:sdtPr>
              <w:sdtEndPr/>
              <w:sdtContent>
                <w:tc>
                  <w:tcPr>
                    <w:tcW w:w="2331" w:type="pct"/>
                    <w:tcBorders>
                      <w:top w:val="single" w:sz="4" w:space="0" w:color="auto"/>
                      <w:left w:val="single" w:sz="4" w:space="0" w:color="auto"/>
                      <w:bottom w:val="single" w:sz="4" w:space="0" w:color="auto"/>
                      <w:right w:val="single" w:sz="4" w:space="0" w:color="auto"/>
                    </w:tcBorders>
                  </w:tcPr>
                  <w:p w14:paraId="574B1DE8" w14:textId="77777777" w:rsidR="00830E72" w:rsidRDefault="008344D8">
                    <w:pPr>
                      <w:autoSpaceDE w:val="0"/>
                      <w:autoSpaceDN w:val="0"/>
                      <w:adjustRightInd w:val="0"/>
                      <w:rPr>
                        <w:szCs w:val="21"/>
                      </w:rPr>
                    </w:pPr>
                    <w:r>
                      <w:rPr>
                        <w:rFonts w:hint="eastAsia"/>
                        <w:szCs w:val="21"/>
                      </w:rPr>
                      <w:t>二、存货跌价损失及合同履约成本减值损失</w:t>
                    </w:r>
                  </w:p>
                </w:tc>
              </w:sdtContent>
            </w:sdt>
            <w:tc>
              <w:tcPr>
                <w:tcW w:w="1332" w:type="pct"/>
                <w:tcBorders>
                  <w:top w:val="single" w:sz="4" w:space="0" w:color="auto"/>
                  <w:left w:val="single" w:sz="4" w:space="0" w:color="auto"/>
                  <w:bottom w:val="single" w:sz="4" w:space="0" w:color="auto"/>
                  <w:right w:val="single" w:sz="4" w:space="0" w:color="auto"/>
                </w:tcBorders>
              </w:tcPr>
              <w:p w14:paraId="77C73AC0" w14:textId="77777777" w:rsidR="00830E72" w:rsidRDefault="00830E72">
                <w:pPr>
                  <w:jc w:val="right"/>
                  <w:rPr>
                    <w:szCs w:val="21"/>
                  </w:rPr>
                </w:pPr>
              </w:p>
            </w:tc>
            <w:tc>
              <w:tcPr>
                <w:tcW w:w="1337" w:type="pct"/>
                <w:tcBorders>
                  <w:top w:val="single" w:sz="4" w:space="0" w:color="auto"/>
                  <w:left w:val="single" w:sz="4" w:space="0" w:color="auto"/>
                  <w:bottom w:val="single" w:sz="4" w:space="0" w:color="auto"/>
                  <w:right w:val="single" w:sz="4" w:space="0" w:color="auto"/>
                </w:tcBorders>
              </w:tcPr>
              <w:p w14:paraId="3125C00D" w14:textId="77777777" w:rsidR="00830E72" w:rsidRDefault="00830E72">
                <w:pPr>
                  <w:jc w:val="right"/>
                  <w:rPr>
                    <w:szCs w:val="21"/>
                  </w:rPr>
                </w:pPr>
              </w:p>
            </w:tc>
          </w:tr>
          <w:tr w:rsidR="00830E72" w14:paraId="2C66B2BE" w14:textId="77777777">
            <w:sdt>
              <w:sdtPr>
                <w:tag w:val="_PLD_78eb61ed62e240ad81f4cf85c6ee48fc"/>
                <w:id w:val="-77907477"/>
                <w:lock w:val="sdtLocked"/>
              </w:sdtPr>
              <w:sdtEndPr/>
              <w:sdtContent>
                <w:tc>
                  <w:tcPr>
                    <w:tcW w:w="2331" w:type="pct"/>
                    <w:tcBorders>
                      <w:top w:val="single" w:sz="4" w:space="0" w:color="auto"/>
                      <w:left w:val="single" w:sz="4" w:space="0" w:color="auto"/>
                      <w:bottom w:val="single" w:sz="4" w:space="0" w:color="auto"/>
                      <w:right w:val="single" w:sz="4" w:space="0" w:color="auto"/>
                    </w:tcBorders>
                  </w:tcPr>
                  <w:p w14:paraId="56484C54" w14:textId="77777777" w:rsidR="00830E72" w:rsidRDefault="008344D8">
                    <w:pPr>
                      <w:autoSpaceDE w:val="0"/>
                      <w:autoSpaceDN w:val="0"/>
                      <w:adjustRightInd w:val="0"/>
                      <w:rPr>
                        <w:szCs w:val="21"/>
                      </w:rPr>
                    </w:pPr>
                    <w:r>
                      <w:rPr>
                        <w:rFonts w:hint="eastAsia"/>
                      </w:rPr>
                      <w:t>三</w:t>
                    </w:r>
                    <w:r>
                      <w:rPr>
                        <w:rFonts w:hint="eastAsia"/>
                        <w:szCs w:val="21"/>
                      </w:rPr>
                      <w:t>、长期股权投资减值损失</w:t>
                    </w:r>
                  </w:p>
                </w:tc>
              </w:sdtContent>
            </w:sdt>
            <w:tc>
              <w:tcPr>
                <w:tcW w:w="1332" w:type="pct"/>
                <w:tcBorders>
                  <w:top w:val="single" w:sz="4" w:space="0" w:color="auto"/>
                  <w:left w:val="single" w:sz="4" w:space="0" w:color="auto"/>
                  <w:bottom w:val="single" w:sz="4" w:space="0" w:color="auto"/>
                  <w:right w:val="single" w:sz="4" w:space="0" w:color="auto"/>
                </w:tcBorders>
              </w:tcPr>
              <w:p w14:paraId="2EA522AF" w14:textId="77777777" w:rsidR="00830E72" w:rsidRDefault="00830E72">
                <w:pPr>
                  <w:jc w:val="right"/>
                  <w:rPr>
                    <w:szCs w:val="21"/>
                  </w:rPr>
                </w:pPr>
              </w:p>
            </w:tc>
            <w:tc>
              <w:tcPr>
                <w:tcW w:w="1337" w:type="pct"/>
                <w:tcBorders>
                  <w:top w:val="single" w:sz="4" w:space="0" w:color="auto"/>
                  <w:left w:val="single" w:sz="4" w:space="0" w:color="auto"/>
                  <w:bottom w:val="single" w:sz="4" w:space="0" w:color="auto"/>
                  <w:right w:val="single" w:sz="4" w:space="0" w:color="auto"/>
                </w:tcBorders>
              </w:tcPr>
              <w:p w14:paraId="10306A32" w14:textId="77777777" w:rsidR="00830E72" w:rsidRDefault="00830E72">
                <w:pPr>
                  <w:jc w:val="right"/>
                  <w:rPr>
                    <w:szCs w:val="21"/>
                  </w:rPr>
                </w:pPr>
              </w:p>
            </w:tc>
          </w:tr>
          <w:tr w:rsidR="00830E72" w14:paraId="096CBB09" w14:textId="77777777">
            <w:sdt>
              <w:sdtPr>
                <w:tag w:val="_PLD_e2e50e9f9bba445ebcfdf8fc0da4e0d0"/>
                <w:id w:val="646716787"/>
                <w:lock w:val="sdtLocked"/>
              </w:sdtPr>
              <w:sdtEndPr/>
              <w:sdtContent>
                <w:tc>
                  <w:tcPr>
                    <w:tcW w:w="2331" w:type="pct"/>
                    <w:tcBorders>
                      <w:top w:val="single" w:sz="4" w:space="0" w:color="auto"/>
                      <w:left w:val="single" w:sz="4" w:space="0" w:color="auto"/>
                      <w:bottom w:val="single" w:sz="4" w:space="0" w:color="auto"/>
                      <w:right w:val="single" w:sz="4" w:space="0" w:color="auto"/>
                    </w:tcBorders>
                  </w:tcPr>
                  <w:p w14:paraId="7AE3EDCC" w14:textId="77777777" w:rsidR="00830E72" w:rsidRDefault="008344D8">
                    <w:pPr>
                      <w:autoSpaceDE w:val="0"/>
                      <w:autoSpaceDN w:val="0"/>
                      <w:adjustRightInd w:val="0"/>
                      <w:rPr>
                        <w:szCs w:val="21"/>
                      </w:rPr>
                    </w:pPr>
                    <w:r>
                      <w:rPr>
                        <w:rFonts w:hint="eastAsia"/>
                      </w:rPr>
                      <w:t>四</w:t>
                    </w:r>
                    <w:r>
                      <w:rPr>
                        <w:rFonts w:hint="eastAsia"/>
                        <w:szCs w:val="21"/>
                      </w:rPr>
                      <w:t>、投资性房地产减值损失</w:t>
                    </w:r>
                  </w:p>
                </w:tc>
              </w:sdtContent>
            </w:sdt>
            <w:tc>
              <w:tcPr>
                <w:tcW w:w="1332" w:type="pct"/>
                <w:tcBorders>
                  <w:top w:val="single" w:sz="4" w:space="0" w:color="auto"/>
                  <w:left w:val="single" w:sz="4" w:space="0" w:color="auto"/>
                  <w:bottom w:val="single" w:sz="4" w:space="0" w:color="auto"/>
                  <w:right w:val="single" w:sz="4" w:space="0" w:color="auto"/>
                </w:tcBorders>
              </w:tcPr>
              <w:p w14:paraId="1526B5F4" w14:textId="77777777" w:rsidR="00830E72" w:rsidRDefault="00830E72">
                <w:pPr>
                  <w:jc w:val="right"/>
                  <w:rPr>
                    <w:szCs w:val="21"/>
                  </w:rPr>
                </w:pPr>
              </w:p>
            </w:tc>
            <w:tc>
              <w:tcPr>
                <w:tcW w:w="1337" w:type="pct"/>
                <w:tcBorders>
                  <w:top w:val="single" w:sz="4" w:space="0" w:color="auto"/>
                  <w:left w:val="single" w:sz="4" w:space="0" w:color="auto"/>
                  <w:bottom w:val="single" w:sz="4" w:space="0" w:color="auto"/>
                  <w:right w:val="single" w:sz="4" w:space="0" w:color="auto"/>
                </w:tcBorders>
              </w:tcPr>
              <w:p w14:paraId="091F1B73" w14:textId="77777777" w:rsidR="00830E72" w:rsidRDefault="00830E72">
                <w:pPr>
                  <w:jc w:val="right"/>
                  <w:rPr>
                    <w:szCs w:val="21"/>
                  </w:rPr>
                </w:pPr>
              </w:p>
            </w:tc>
          </w:tr>
          <w:tr w:rsidR="00830E72" w14:paraId="76439BE5" w14:textId="77777777">
            <w:sdt>
              <w:sdtPr>
                <w:tag w:val="_PLD_356b67cd490e4fa38300401350a416fb"/>
                <w:id w:val="1226488718"/>
                <w:lock w:val="sdtLocked"/>
              </w:sdtPr>
              <w:sdtEndPr/>
              <w:sdtContent>
                <w:tc>
                  <w:tcPr>
                    <w:tcW w:w="2331" w:type="pct"/>
                    <w:tcBorders>
                      <w:top w:val="single" w:sz="4" w:space="0" w:color="auto"/>
                      <w:left w:val="single" w:sz="4" w:space="0" w:color="auto"/>
                      <w:bottom w:val="single" w:sz="4" w:space="0" w:color="auto"/>
                      <w:right w:val="single" w:sz="4" w:space="0" w:color="auto"/>
                    </w:tcBorders>
                  </w:tcPr>
                  <w:p w14:paraId="2B4FFAD9" w14:textId="77777777" w:rsidR="00830E72" w:rsidRDefault="008344D8">
                    <w:pPr>
                      <w:autoSpaceDE w:val="0"/>
                      <w:autoSpaceDN w:val="0"/>
                      <w:adjustRightInd w:val="0"/>
                      <w:rPr>
                        <w:szCs w:val="21"/>
                      </w:rPr>
                    </w:pPr>
                    <w:r>
                      <w:rPr>
                        <w:rFonts w:hint="eastAsia"/>
                      </w:rPr>
                      <w:t>五</w:t>
                    </w:r>
                    <w:r>
                      <w:rPr>
                        <w:rFonts w:hint="eastAsia"/>
                        <w:szCs w:val="21"/>
                      </w:rPr>
                      <w:t>、固定资产减值损失</w:t>
                    </w:r>
                  </w:p>
                </w:tc>
              </w:sdtContent>
            </w:sdt>
            <w:tc>
              <w:tcPr>
                <w:tcW w:w="1332" w:type="pct"/>
                <w:tcBorders>
                  <w:top w:val="single" w:sz="4" w:space="0" w:color="auto"/>
                  <w:left w:val="single" w:sz="4" w:space="0" w:color="auto"/>
                  <w:bottom w:val="single" w:sz="4" w:space="0" w:color="auto"/>
                  <w:right w:val="single" w:sz="4" w:space="0" w:color="auto"/>
                </w:tcBorders>
              </w:tcPr>
              <w:p w14:paraId="3657219D" w14:textId="77777777" w:rsidR="00830E72" w:rsidRDefault="00830E72">
                <w:pPr>
                  <w:jc w:val="right"/>
                  <w:rPr>
                    <w:szCs w:val="21"/>
                  </w:rPr>
                </w:pPr>
              </w:p>
            </w:tc>
            <w:tc>
              <w:tcPr>
                <w:tcW w:w="1337" w:type="pct"/>
                <w:tcBorders>
                  <w:top w:val="single" w:sz="4" w:space="0" w:color="auto"/>
                  <w:left w:val="single" w:sz="4" w:space="0" w:color="auto"/>
                  <w:bottom w:val="single" w:sz="4" w:space="0" w:color="auto"/>
                  <w:right w:val="single" w:sz="4" w:space="0" w:color="auto"/>
                </w:tcBorders>
              </w:tcPr>
              <w:p w14:paraId="47B14227" w14:textId="77777777" w:rsidR="00830E72" w:rsidRDefault="00830E72">
                <w:pPr>
                  <w:jc w:val="right"/>
                  <w:rPr>
                    <w:szCs w:val="21"/>
                  </w:rPr>
                </w:pPr>
              </w:p>
            </w:tc>
          </w:tr>
          <w:tr w:rsidR="00830E72" w14:paraId="763A13E2" w14:textId="77777777">
            <w:sdt>
              <w:sdtPr>
                <w:tag w:val="_PLD_bf0e54d642dc47e5aba1659ff4189311"/>
                <w:id w:val="-1875844238"/>
                <w:lock w:val="sdtLocked"/>
              </w:sdtPr>
              <w:sdtEndPr/>
              <w:sdtContent>
                <w:tc>
                  <w:tcPr>
                    <w:tcW w:w="2331" w:type="pct"/>
                    <w:tcBorders>
                      <w:top w:val="single" w:sz="4" w:space="0" w:color="auto"/>
                      <w:left w:val="single" w:sz="4" w:space="0" w:color="auto"/>
                      <w:bottom w:val="single" w:sz="4" w:space="0" w:color="auto"/>
                      <w:right w:val="single" w:sz="4" w:space="0" w:color="auto"/>
                    </w:tcBorders>
                  </w:tcPr>
                  <w:p w14:paraId="1AC09635" w14:textId="77777777" w:rsidR="00830E72" w:rsidRDefault="008344D8">
                    <w:pPr>
                      <w:autoSpaceDE w:val="0"/>
                      <w:autoSpaceDN w:val="0"/>
                      <w:adjustRightInd w:val="0"/>
                      <w:rPr>
                        <w:szCs w:val="21"/>
                      </w:rPr>
                    </w:pPr>
                    <w:r>
                      <w:rPr>
                        <w:rFonts w:hint="eastAsia"/>
                      </w:rPr>
                      <w:t>六</w:t>
                    </w:r>
                    <w:r>
                      <w:rPr>
                        <w:rFonts w:hint="eastAsia"/>
                        <w:szCs w:val="21"/>
                      </w:rPr>
                      <w:t>、工程物资减值损失</w:t>
                    </w:r>
                  </w:p>
                </w:tc>
              </w:sdtContent>
            </w:sdt>
            <w:tc>
              <w:tcPr>
                <w:tcW w:w="1332" w:type="pct"/>
                <w:tcBorders>
                  <w:top w:val="single" w:sz="4" w:space="0" w:color="auto"/>
                  <w:left w:val="single" w:sz="4" w:space="0" w:color="auto"/>
                  <w:bottom w:val="single" w:sz="4" w:space="0" w:color="auto"/>
                  <w:right w:val="single" w:sz="4" w:space="0" w:color="auto"/>
                </w:tcBorders>
              </w:tcPr>
              <w:p w14:paraId="694F2606" w14:textId="77777777" w:rsidR="00830E72" w:rsidRDefault="00830E72">
                <w:pPr>
                  <w:jc w:val="right"/>
                  <w:rPr>
                    <w:szCs w:val="21"/>
                  </w:rPr>
                </w:pPr>
              </w:p>
            </w:tc>
            <w:tc>
              <w:tcPr>
                <w:tcW w:w="1337" w:type="pct"/>
                <w:tcBorders>
                  <w:top w:val="single" w:sz="4" w:space="0" w:color="auto"/>
                  <w:left w:val="single" w:sz="4" w:space="0" w:color="auto"/>
                  <w:bottom w:val="single" w:sz="4" w:space="0" w:color="auto"/>
                  <w:right w:val="single" w:sz="4" w:space="0" w:color="auto"/>
                </w:tcBorders>
              </w:tcPr>
              <w:p w14:paraId="1C72ABEB" w14:textId="77777777" w:rsidR="00830E72" w:rsidRDefault="00830E72">
                <w:pPr>
                  <w:jc w:val="right"/>
                  <w:rPr>
                    <w:szCs w:val="21"/>
                  </w:rPr>
                </w:pPr>
              </w:p>
            </w:tc>
          </w:tr>
          <w:tr w:rsidR="00830E72" w14:paraId="777D634D" w14:textId="77777777">
            <w:sdt>
              <w:sdtPr>
                <w:tag w:val="_PLD_97c5c4fa34ed42e7bb896abd5f14a2e2"/>
                <w:id w:val="614023729"/>
                <w:lock w:val="sdtLocked"/>
              </w:sdtPr>
              <w:sdtEndPr/>
              <w:sdtContent>
                <w:tc>
                  <w:tcPr>
                    <w:tcW w:w="2331" w:type="pct"/>
                    <w:tcBorders>
                      <w:top w:val="single" w:sz="4" w:space="0" w:color="auto"/>
                      <w:left w:val="single" w:sz="4" w:space="0" w:color="auto"/>
                      <w:bottom w:val="single" w:sz="4" w:space="0" w:color="auto"/>
                      <w:right w:val="single" w:sz="4" w:space="0" w:color="auto"/>
                    </w:tcBorders>
                  </w:tcPr>
                  <w:p w14:paraId="2D19CA2D" w14:textId="77777777" w:rsidR="00830E72" w:rsidRDefault="008344D8">
                    <w:pPr>
                      <w:autoSpaceDE w:val="0"/>
                      <w:autoSpaceDN w:val="0"/>
                      <w:adjustRightInd w:val="0"/>
                      <w:rPr>
                        <w:szCs w:val="21"/>
                      </w:rPr>
                    </w:pPr>
                    <w:r>
                      <w:rPr>
                        <w:rFonts w:hint="eastAsia"/>
                      </w:rPr>
                      <w:t>七</w:t>
                    </w:r>
                    <w:r>
                      <w:rPr>
                        <w:rFonts w:hint="eastAsia"/>
                        <w:szCs w:val="21"/>
                      </w:rPr>
                      <w:t>、在建工程减值损失</w:t>
                    </w:r>
                  </w:p>
                </w:tc>
              </w:sdtContent>
            </w:sdt>
            <w:tc>
              <w:tcPr>
                <w:tcW w:w="1332" w:type="pct"/>
                <w:tcBorders>
                  <w:top w:val="single" w:sz="4" w:space="0" w:color="auto"/>
                  <w:left w:val="single" w:sz="4" w:space="0" w:color="auto"/>
                  <w:bottom w:val="single" w:sz="4" w:space="0" w:color="auto"/>
                  <w:right w:val="single" w:sz="4" w:space="0" w:color="auto"/>
                </w:tcBorders>
              </w:tcPr>
              <w:p w14:paraId="516DEA9A" w14:textId="77777777" w:rsidR="00830E72" w:rsidRDefault="00830E72">
                <w:pPr>
                  <w:jc w:val="right"/>
                  <w:rPr>
                    <w:szCs w:val="21"/>
                  </w:rPr>
                </w:pPr>
              </w:p>
            </w:tc>
            <w:tc>
              <w:tcPr>
                <w:tcW w:w="1337" w:type="pct"/>
                <w:tcBorders>
                  <w:top w:val="single" w:sz="4" w:space="0" w:color="auto"/>
                  <w:left w:val="single" w:sz="4" w:space="0" w:color="auto"/>
                  <w:bottom w:val="single" w:sz="4" w:space="0" w:color="auto"/>
                  <w:right w:val="single" w:sz="4" w:space="0" w:color="auto"/>
                </w:tcBorders>
              </w:tcPr>
              <w:p w14:paraId="00CDF003" w14:textId="77777777" w:rsidR="00830E72" w:rsidRDefault="00830E72">
                <w:pPr>
                  <w:jc w:val="right"/>
                  <w:rPr>
                    <w:szCs w:val="21"/>
                  </w:rPr>
                </w:pPr>
              </w:p>
            </w:tc>
          </w:tr>
          <w:tr w:rsidR="00830E72" w14:paraId="0B4709F9" w14:textId="77777777">
            <w:sdt>
              <w:sdtPr>
                <w:tag w:val="_PLD_8fcdd16d7558415a9069c7db5aa6154b"/>
                <w:id w:val="-427419227"/>
                <w:lock w:val="sdtLocked"/>
              </w:sdtPr>
              <w:sdtEndPr/>
              <w:sdtContent>
                <w:tc>
                  <w:tcPr>
                    <w:tcW w:w="2331" w:type="pct"/>
                    <w:tcBorders>
                      <w:top w:val="single" w:sz="4" w:space="0" w:color="auto"/>
                      <w:left w:val="single" w:sz="4" w:space="0" w:color="auto"/>
                      <w:bottom w:val="single" w:sz="4" w:space="0" w:color="auto"/>
                      <w:right w:val="single" w:sz="4" w:space="0" w:color="auto"/>
                    </w:tcBorders>
                  </w:tcPr>
                  <w:p w14:paraId="2057745E" w14:textId="77777777" w:rsidR="00830E72" w:rsidRDefault="008344D8">
                    <w:pPr>
                      <w:autoSpaceDE w:val="0"/>
                      <w:autoSpaceDN w:val="0"/>
                      <w:adjustRightInd w:val="0"/>
                      <w:rPr>
                        <w:szCs w:val="21"/>
                      </w:rPr>
                    </w:pPr>
                    <w:r>
                      <w:rPr>
                        <w:rFonts w:hint="eastAsia"/>
                      </w:rPr>
                      <w:t>八</w:t>
                    </w:r>
                    <w:r>
                      <w:rPr>
                        <w:rFonts w:hint="eastAsia"/>
                        <w:szCs w:val="21"/>
                      </w:rPr>
                      <w:t>、生产性生物资产减值损失</w:t>
                    </w:r>
                  </w:p>
                </w:tc>
              </w:sdtContent>
            </w:sdt>
            <w:tc>
              <w:tcPr>
                <w:tcW w:w="1332" w:type="pct"/>
                <w:tcBorders>
                  <w:top w:val="single" w:sz="4" w:space="0" w:color="auto"/>
                  <w:left w:val="single" w:sz="4" w:space="0" w:color="auto"/>
                  <w:bottom w:val="single" w:sz="4" w:space="0" w:color="auto"/>
                  <w:right w:val="single" w:sz="4" w:space="0" w:color="auto"/>
                </w:tcBorders>
              </w:tcPr>
              <w:p w14:paraId="5617EEAC" w14:textId="77777777" w:rsidR="00830E72" w:rsidRDefault="00830E72">
                <w:pPr>
                  <w:jc w:val="right"/>
                  <w:rPr>
                    <w:szCs w:val="21"/>
                  </w:rPr>
                </w:pPr>
              </w:p>
            </w:tc>
            <w:tc>
              <w:tcPr>
                <w:tcW w:w="1337" w:type="pct"/>
                <w:tcBorders>
                  <w:top w:val="single" w:sz="4" w:space="0" w:color="auto"/>
                  <w:left w:val="single" w:sz="4" w:space="0" w:color="auto"/>
                  <w:bottom w:val="single" w:sz="4" w:space="0" w:color="auto"/>
                  <w:right w:val="single" w:sz="4" w:space="0" w:color="auto"/>
                </w:tcBorders>
              </w:tcPr>
              <w:p w14:paraId="6F2C22FC" w14:textId="77777777" w:rsidR="00830E72" w:rsidRDefault="00830E72">
                <w:pPr>
                  <w:jc w:val="right"/>
                  <w:rPr>
                    <w:szCs w:val="21"/>
                  </w:rPr>
                </w:pPr>
              </w:p>
            </w:tc>
          </w:tr>
          <w:tr w:rsidR="00830E72" w14:paraId="37CA0F50" w14:textId="77777777">
            <w:sdt>
              <w:sdtPr>
                <w:tag w:val="_PLD_67bab86314224f8a9a8b90e4444a371d"/>
                <w:id w:val="-339773956"/>
                <w:lock w:val="sdtLocked"/>
              </w:sdtPr>
              <w:sdtEndPr/>
              <w:sdtContent>
                <w:tc>
                  <w:tcPr>
                    <w:tcW w:w="2331" w:type="pct"/>
                    <w:tcBorders>
                      <w:top w:val="single" w:sz="4" w:space="0" w:color="auto"/>
                      <w:left w:val="single" w:sz="4" w:space="0" w:color="auto"/>
                      <w:bottom w:val="single" w:sz="4" w:space="0" w:color="auto"/>
                      <w:right w:val="single" w:sz="4" w:space="0" w:color="auto"/>
                    </w:tcBorders>
                  </w:tcPr>
                  <w:p w14:paraId="3F5642A4" w14:textId="77777777" w:rsidR="00830E72" w:rsidRDefault="008344D8">
                    <w:pPr>
                      <w:autoSpaceDE w:val="0"/>
                      <w:autoSpaceDN w:val="0"/>
                      <w:adjustRightInd w:val="0"/>
                      <w:rPr>
                        <w:szCs w:val="21"/>
                      </w:rPr>
                    </w:pPr>
                    <w:r>
                      <w:rPr>
                        <w:rFonts w:hint="eastAsia"/>
                        <w:szCs w:val="21"/>
                      </w:rPr>
                      <w:t>九、油气资产减值损失</w:t>
                    </w:r>
                  </w:p>
                </w:tc>
              </w:sdtContent>
            </w:sdt>
            <w:tc>
              <w:tcPr>
                <w:tcW w:w="1332" w:type="pct"/>
                <w:tcBorders>
                  <w:top w:val="single" w:sz="4" w:space="0" w:color="auto"/>
                  <w:left w:val="single" w:sz="4" w:space="0" w:color="auto"/>
                  <w:bottom w:val="single" w:sz="4" w:space="0" w:color="auto"/>
                  <w:right w:val="single" w:sz="4" w:space="0" w:color="auto"/>
                </w:tcBorders>
              </w:tcPr>
              <w:p w14:paraId="6B47555B" w14:textId="77777777" w:rsidR="00830E72" w:rsidRDefault="00830E72">
                <w:pPr>
                  <w:jc w:val="right"/>
                  <w:rPr>
                    <w:szCs w:val="21"/>
                  </w:rPr>
                </w:pPr>
              </w:p>
            </w:tc>
            <w:tc>
              <w:tcPr>
                <w:tcW w:w="1337" w:type="pct"/>
                <w:tcBorders>
                  <w:top w:val="single" w:sz="4" w:space="0" w:color="auto"/>
                  <w:left w:val="single" w:sz="4" w:space="0" w:color="auto"/>
                  <w:bottom w:val="single" w:sz="4" w:space="0" w:color="auto"/>
                  <w:right w:val="single" w:sz="4" w:space="0" w:color="auto"/>
                </w:tcBorders>
              </w:tcPr>
              <w:p w14:paraId="2AA284B6" w14:textId="77777777" w:rsidR="00830E72" w:rsidRDefault="00830E72">
                <w:pPr>
                  <w:jc w:val="right"/>
                  <w:rPr>
                    <w:szCs w:val="21"/>
                  </w:rPr>
                </w:pPr>
              </w:p>
            </w:tc>
          </w:tr>
          <w:tr w:rsidR="00830E72" w14:paraId="508203D7" w14:textId="77777777">
            <w:sdt>
              <w:sdtPr>
                <w:tag w:val="_PLD_1c4eeb5f668546ea91f57116a27ec4fa"/>
                <w:id w:val="25844399"/>
                <w:lock w:val="sdtLocked"/>
              </w:sdtPr>
              <w:sdtEndPr/>
              <w:sdtContent>
                <w:tc>
                  <w:tcPr>
                    <w:tcW w:w="2331" w:type="pct"/>
                    <w:tcBorders>
                      <w:top w:val="single" w:sz="4" w:space="0" w:color="auto"/>
                      <w:left w:val="single" w:sz="4" w:space="0" w:color="auto"/>
                      <w:bottom w:val="single" w:sz="4" w:space="0" w:color="auto"/>
                      <w:right w:val="single" w:sz="4" w:space="0" w:color="auto"/>
                    </w:tcBorders>
                  </w:tcPr>
                  <w:p w14:paraId="5DBA37B1" w14:textId="77777777" w:rsidR="00830E72" w:rsidRDefault="008344D8">
                    <w:pPr>
                      <w:autoSpaceDE w:val="0"/>
                      <w:autoSpaceDN w:val="0"/>
                      <w:adjustRightInd w:val="0"/>
                      <w:rPr>
                        <w:szCs w:val="21"/>
                      </w:rPr>
                    </w:pPr>
                    <w:r>
                      <w:rPr>
                        <w:rFonts w:hint="eastAsia"/>
                        <w:szCs w:val="21"/>
                      </w:rPr>
                      <w:t>十、无形资产减值损失</w:t>
                    </w:r>
                  </w:p>
                </w:tc>
              </w:sdtContent>
            </w:sdt>
            <w:tc>
              <w:tcPr>
                <w:tcW w:w="1332" w:type="pct"/>
                <w:tcBorders>
                  <w:top w:val="single" w:sz="4" w:space="0" w:color="auto"/>
                  <w:left w:val="single" w:sz="4" w:space="0" w:color="auto"/>
                  <w:bottom w:val="single" w:sz="4" w:space="0" w:color="auto"/>
                  <w:right w:val="single" w:sz="4" w:space="0" w:color="auto"/>
                </w:tcBorders>
              </w:tcPr>
              <w:p w14:paraId="4BF77404" w14:textId="77777777" w:rsidR="00830E72" w:rsidRDefault="00830E72">
                <w:pPr>
                  <w:jc w:val="right"/>
                  <w:rPr>
                    <w:szCs w:val="21"/>
                  </w:rPr>
                </w:pPr>
              </w:p>
            </w:tc>
            <w:tc>
              <w:tcPr>
                <w:tcW w:w="1337" w:type="pct"/>
                <w:tcBorders>
                  <w:top w:val="single" w:sz="4" w:space="0" w:color="auto"/>
                  <w:left w:val="single" w:sz="4" w:space="0" w:color="auto"/>
                  <w:bottom w:val="single" w:sz="4" w:space="0" w:color="auto"/>
                  <w:right w:val="single" w:sz="4" w:space="0" w:color="auto"/>
                </w:tcBorders>
              </w:tcPr>
              <w:p w14:paraId="6F2A9AD0" w14:textId="77777777" w:rsidR="00830E72" w:rsidRDefault="00830E72">
                <w:pPr>
                  <w:jc w:val="right"/>
                  <w:rPr>
                    <w:szCs w:val="21"/>
                  </w:rPr>
                </w:pPr>
              </w:p>
            </w:tc>
          </w:tr>
          <w:tr w:rsidR="00830E72" w14:paraId="3CF1B23F" w14:textId="77777777">
            <w:sdt>
              <w:sdtPr>
                <w:tag w:val="_PLD_5cd4d27b7e324eaa967681b9cf35a6e2"/>
                <w:id w:val="1869494317"/>
                <w:lock w:val="sdtLocked"/>
              </w:sdtPr>
              <w:sdtEndPr/>
              <w:sdtContent>
                <w:tc>
                  <w:tcPr>
                    <w:tcW w:w="2331" w:type="pct"/>
                    <w:tcBorders>
                      <w:top w:val="single" w:sz="4" w:space="0" w:color="auto"/>
                      <w:left w:val="single" w:sz="4" w:space="0" w:color="auto"/>
                      <w:bottom w:val="single" w:sz="4" w:space="0" w:color="auto"/>
                      <w:right w:val="single" w:sz="4" w:space="0" w:color="auto"/>
                    </w:tcBorders>
                  </w:tcPr>
                  <w:p w14:paraId="26DA26B3" w14:textId="77777777" w:rsidR="00830E72" w:rsidRDefault="008344D8">
                    <w:pPr>
                      <w:autoSpaceDE w:val="0"/>
                      <w:autoSpaceDN w:val="0"/>
                      <w:adjustRightInd w:val="0"/>
                      <w:rPr>
                        <w:szCs w:val="21"/>
                      </w:rPr>
                    </w:pPr>
                    <w:r>
                      <w:rPr>
                        <w:rFonts w:hint="eastAsia"/>
                        <w:szCs w:val="21"/>
                      </w:rPr>
                      <w:t>十一、商誉减值损失</w:t>
                    </w:r>
                  </w:p>
                </w:tc>
              </w:sdtContent>
            </w:sdt>
            <w:tc>
              <w:tcPr>
                <w:tcW w:w="1332" w:type="pct"/>
                <w:tcBorders>
                  <w:top w:val="single" w:sz="4" w:space="0" w:color="auto"/>
                  <w:left w:val="single" w:sz="4" w:space="0" w:color="auto"/>
                  <w:bottom w:val="single" w:sz="4" w:space="0" w:color="auto"/>
                  <w:right w:val="single" w:sz="4" w:space="0" w:color="auto"/>
                </w:tcBorders>
              </w:tcPr>
              <w:p w14:paraId="1A0B6178" w14:textId="77777777" w:rsidR="00830E72" w:rsidRDefault="00830E72">
                <w:pPr>
                  <w:jc w:val="right"/>
                  <w:rPr>
                    <w:szCs w:val="21"/>
                  </w:rPr>
                </w:pPr>
              </w:p>
            </w:tc>
            <w:tc>
              <w:tcPr>
                <w:tcW w:w="1337" w:type="pct"/>
                <w:tcBorders>
                  <w:top w:val="single" w:sz="4" w:space="0" w:color="auto"/>
                  <w:left w:val="single" w:sz="4" w:space="0" w:color="auto"/>
                  <w:bottom w:val="single" w:sz="4" w:space="0" w:color="auto"/>
                  <w:right w:val="single" w:sz="4" w:space="0" w:color="auto"/>
                </w:tcBorders>
              </w:tcPr>
              <w:p w14:paraId="41A6F429" w14:textId="77777777" w:rsidR="00830E72" w:rsidRDefault="00830E72">
                <w:pPr>
                  <w:jc w:val="right"/>
                  <w:rPr>
                    <w:szCs w:val="21"/>
                  </w:rPr>
                </w:pPr>
              </w:p>
            </w:tc>
          </w:tr>
          <w:tr w:rsidR="00830E72" w14:paraId="4BA1F390" w14:textId="77777777">
            <w:sdt>
              <w:sdtPr>
                <w:tag w:val="_PLD_675608fc574f43ab99192f3e67e1ceba"/>
                <w:id w:val="-1341472339"/>
                <w:lock w:val="sdtLocked"/>
              </w:sdtPr>
              <w:sdtEndPr/>
              <w:sdtContent>
                <w:tc>
                  <w:tcPr>
                    <w:tcW w:w="2331" w:type="pct"/>
                    <w:tcBorders>
                      <w:top w:val="single" w:sz="4" w:space="0" w:color="auto"/>
                      <w:left w:val="single" w:sz="4" w:space="0" w:color="auto"/>
                      <w:bottom w:val="single" w:sz="4" w:space="0" w:color="auto"/>
                      <w:right w:val="single" w:sz="4" w:space="0" w:color="auto"/>
                    </w:tcBorders>
                  </w:tcPr>
                  <w:p w14:paraId="1F4FDD33" w14:textId="77777777" w:rsidR="00830E72" w:rsidRDefault="008344D8">
                    <w:pPr>
                      <w:autoSpaceDE w:val="0"/>
                      <w:autoSpaceDN w:val="0"/>
                      <w:adjustRightInd w:val="0"/>
                      <w:rPr>
                        <w:szCs w:val="21"/>
                      </w:rPr>
                    </w:pPr>
                    <w:r>
                      <w:rPr>
                        <w:rFonts w:hint="eastAsia"/>
                        <w:szCs w:val="21"/>
                      </w:rPr>
                      <w:t>十二、其他</w:t>
                    </w:r>
                  </w:p>
                </w:tc>
              </w:sdtContent>
            </w:sdt>
            <w:tc>
              <w:tcPr>
                <w:tcW w:w="1332" w:type="pct"/>
                <w:tcBorders>
                  <w:top w:val="single" w:sz="4" w:space="0" w:color="auto"/>
                  <w:left w:val="single" w:sz="4" w:space="0" w:color="auto"/>
                  <w:bottom w:val="single" w:sz="4" w:space="0" w:color="auto"/>
                  <w:right w:val="single" w:sz="4" w:space="0" w:color="auto"/>
                </w:tcBorders>
              </w:tcPr>
              <w:p w14:paraId="55E5BDD9" w14:textId="77777777" w:rsidR="00830E72" w:rsidRDefault="00830E72">
                <w:pPr>
                  <w:jc w:val="right"/>
                  <w:rPr>
                    <w:szCs w:val="21"/>
                  </w:rPr>
                </w:pPr>
              </w:p>
            </w:tc>
            <w:tc>
              <w:tcPr>
                <w:tcW w:w="1337" w:type="pct"/>
                <w:tcBorders>
                  <w:top w:val="single" w:sz="4" w:space="0" w:color="auto"/>
                  <w:left w:val="single" w:sz="4" w:space="0" w:color="auto"/>
                  <w:bottom w:val="single" w:sz="4" w:space="0" w:color="auto"/>
                  <w:right w:val="single" w:sz="4" w:space="0" w:color="auto"/>
                </w:tcBorders>
              </w:tcPr>
              <w:p w14:paraId="69B1233E" w14:textId="77777777" w:rsidR="00830E72" w:rsidRDefault="00830E72">
                <w:pPr>
                  <w:jc w:val="right"/>
                  <w:rPr>
                    <w:szCs w:val="21"/>
                  </w:rPr>
                </w:pPr>
              </w:p>
            </w:tc>
          </w:tr>
          <w:tr w:rsidR="00830E72" w14:paraId="2DCA8CD0" w14:textId="77777777">
            <w:sdt>
              <w:sdtPr>
                <w:tag w:val="_PLD_28808946bb58470a9d59a4302a9117d5"/>
                <w:id w:val="-967505359"/>
                <w:lock w:val="sdtLocked"/>
              </w:sdtPr>
              <w:sdtEndPr/>
              <w:sdtContent>
                <w:tc>
                  <w:tcPr>
                    <w:tcW w:w="2331" w:type="pct"/>
                    <w:tcBorders>
                      <w:top w:val="single" w:sz="4" w:space="0" w:color="auto"/>
                      <w:left w:val="single" w:sz="4" w:space="0" w:color="auto"/>
                      <w:bottom w:val="single" w:sz="4" w:space="0" w:color="auto"/>
                      <w:right w:val="single" w:sz="4" w:space="0" w:color="auto"/>
                    </w:tcBorders>
                  </w:tcPr>
                  <w:p w14:paraId="1F09C6B0" w14:textId="77777777" w:rsidR="00830E72" w:rsidRDefault="008344D8">
                    <w:pPr>
                      <w:autoSpaceDE w:val="0"/>
                      <w:autoSpaceDN w:val="0"/>
                      <w:adjustRightInd w:val="0"/>
                      <w:jc w:val="center"/>
                      <w:rPr>
                        <w:szCs w:val="21"/>
                      </w:rPr>
                    </w:pPr>
                    <w:r>
                      <w:rPr>
                        <w:rFonts w:hint="eastAsia"/>
                        <w:szCs w:val="21"/>
                      </w:rPr>
                      <w:t>合计</w:t>
                    </w:r>
                  </w:p>
                </w:tc>
              </w:sdtContent>
            </w:sdt>
            <w:tc>
              <w:tcPr>
                <w:tcW w:w="1332" w:type="pct"/>
                <w:tcBorders>
                  <w:top w:val="single" w:sz="4" w:space="0" w:color="auto"/>
                  <w:left w:val="single" w:sz="4" w:space="0" w:color="auto"/>
                  <w:bottom w:val="single" w:sz="4" w:space="0" w:color="auto"/>
                  <w:right w:val="single" w:sz="4" w:space="0" w:color="auto"/>
                </w:tcBorders>
              </w:tcPr>
              <w:p w14:paraId="55180C94" w14:textId="77777777" w:rsidR="00830E72" w:rsidRDefault="008344D8">
                <w:pPr>
                  <w:jc w:val="right"/>
                  <w:rPr>
                    <w:szCs w:val="21"/>
                  </w:rPr>
                </w:pPr>
                <w:r>
                  <w:rPr>
                    <w:szCs w:val="21"/>
                  </w:rPr>
                  <w:t>1,264,819.94</w:t>
                </w:r>
              </w:p>
            </w:tc>
            <w:tc>
              <w:tcPr>
                <w:tcW w:w="1337" w:type="pct"/>
                <w:tcBorders>
                  <w:top w:val="single" w:sz="4" w:space="0" w:color="auto"/>
                  <w:left w:val="single" w:sz="4" w:space="0" w:color="auto"/>
                  <w:bottom w:val="single" w:sz="4" w:space="0" w:color="auto"/>
                  <w:right w:val="single" w:sz="4" w:space="0" w:color="auto"/>
                </w:tcBorders>
              </w:tcPr>
              <w:p w14:paraId="16A75DEA" w14:textId="77777777" w:rsidR="00830E72" w:rsidRDefault="00830E72">
                <w:pPr>
                  <w:jc w:val="right"/>
                  <w:rPr>
                    <w:szCs w:val="21"/>
                  </w:rPr>
                </w:pPr>
              </w:p>
            </w:tc>
          </w:tr>
        </w:tbl>
        <w:p w14:paraId="4E88C0E2" w14:textId="77777777" w:rsidR="00830E72" w:rsidRDefault="00D44830"/>
      </w:sdtContent>
    </w:sdt>
    <w:sdt>
      <w:sdtPr>
        <w:rPr>
          <w:rFonts w:ascii="宋体" w:hAnsi="宋体" w:cs="宋体" w:hint="eastAsia"/>
          <w:b w:val="0"/>
          <w:bCs w:val="0"/>
          <w:kern w:val="0"/>
          <w:szCs w:val="21"/>
        </w:rPr>
        <w:alias w:val="模块:资产处置收益"/>
        <w:tag w:val="_SEC_32e84127ca0a46b8896ad8e149c91048"/>
        <w:id w:val="308681467"/>
        <w:lock w:val="sdtLocked"/>
        <w:placeholder>
          <w:docPart w:val="GBC22222222222222222222222222222"/>
        </w:placeholder>
      </w:sdtPr>
      <w:sdtEndPr>
        <w:rPr>
          <w:rFonts w:hint="default"/>
          <w:szCs w:val="24"/>
        </w:rPr>
      </w:sdtEndPr>
      <w:sdtContent>
        <w:p w14:paraId="6F5C7637"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资产处置收益</w:t>
          </w:r>
        </w:p>
        <w:sdt>
          <w:sdtPr>
            <w:rPr>
              <w:rFonts w:hint="eastAsia"/>
            </w:rPr>
            <w:alias w:val="是否适用：资产处置收益[双击切换]"/>
            <w:tag w:val="_GBC_9e584d6f46c648d195946caa434a4619"/>
            <w:id w:val="488993258"/>
            <w:lock w:val="sdtContentLocked"/>
            <w:placeholder>
              <w:docPart w:val="GBC22222222222222222222222222222"/>
            </w:placeholder>
          </w:sdtPr>
          <w:sdtEndPr/>
          <w:sdtContent>
            <w:p w14:paraId="49300D3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37722AF" w14:textId="77777777" w:rsidR="00830E72" w:rsidRDefault="008344D8">
          <w:pPr>
            <w:jc w:val="right"/>
            <w:rPr>
              <w:bCs/>
            </w:rPr>
          </w:pPr>
          <w:r>
            <w:rPr>
              <w:bCs/>
            </w:rPr>
            <w:t>单位：</w:t>
          </w:r>
          <w:sdt>
            <w:sdtPr>
              <w:rPr>
                <w:bCs/>
              </w:rPr>
              <w:alias w:val="单位：资产处置收益明细"/>
              <w:tag w:val="_GBC_72dc168499e249b988d6753a6df1ce44"/>
              <w:id w:val="-5633356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bCs/>
                </w:rPr>
                <w:t>元</w:t>
              </w:r>
            </w:sdtContent>
          </w:sdt>
          <w:r>
            <w:rPr>
              <w:bCs/>
            </w:rPr>
            <w:t xml:space="preserve">  币种：</w:t>
          </w:r>
          <w:sdt>
            <w:sdtPr>
              <w:rPr>
                <w:bCs/>
              </w:rPr>
              <w:alias w:val="币种：资产处置收益明细"/>
              <w:tag w:val="_GBC_d68880ec5b074fdc8846b703ead631e2"/>
              <w:id w:val="19363148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bCs/>
                </w:rPr>
                <w:t>人民币</w:t>
              </w:r>
            </w:sdtContent>
          </w:sdt>
        </w:p>
        <w:tbl>
          <w:tblPr>
            <w:tblStyle w:val="g2"/>
            <w:tblW w:w="0" w:type="auto"/>
            <w:tblLook w:val="04A0" w:firstRow="1" w:lastRow="0" w:firstColumn="1" w:lastColumn="0" w:noHBand="0" w:noVBand="1"/>
          </w:tblPr>
          <w:tblGrid>
            <w:gridCol w:w="4673"/>
            <w:gridCol w:w="2126"/>
            <w:gridCol w:w="2024"/>
          </w:tblGrid>
          <w:tr w:rsidR="00830E72" w14:paraId="0147229A" w14:textId="77777777">
            <w:tc>
              <w:tcPr>
                <w:tcW w:w="4673" w:type="dxa"/>
              </w:tcPr>
              <w:sdt>
                <w:sdtPr>
                  <w:rPr>
                    <w:rFonts w:ascii="Times New Roman" w:hAnsi="Times New Roman" w:hint="eastAsia"/>
                  </w:rPr>
                  <w:tag w:val="_PLD_5ae5d7d7d48342e7bc1da8d90a245459"/>
                  <w:id w:val="-876313415"/>
                  <w:lock w:val="sdtLocked"/>
                </w:sdtPr>
                <w:sdtEndPr/>
                <w:sdtContent>
                  <w:p w14:paraId="1C7A8684" w14:textId="77777777" w:rsidR="00830E72" w:rsidRDefault="008344D8">
                    <w:pPr>
                      <w:jc w:val="center"/>
                    </w:pPr>
                    <w:r>
                      <w:rPr>
                        <w:rFonts w:hint="eastAsia"/>
                      </w:rPr>
                      <w:t>项目</w:t>
                    </w:r>
                  </w:p>
                </w:sdtContent>
              </w:sdt>
            </w:tc>
            <w:tc>
              <w:tcPr>
                <w:tcW w:w="2126" w:type="dxa"/>
              </w:tcPr>
              <w:sdt>
                <w:sdtPr>
                  <w:rPr>
                    <w:rFonts w:ascii="Times New Roman" w:hAnsi="Times New Roman" w:hint="eastAsia"/>
                  </w:rPr>
                  <w:tag w:val="_PLD_879cf215b86c45c790218e646c831e7d"/>
                  <w:id w:val="972103264"/>
                  <w:lock w:val="sdtLocked"/>
                </w:sdtPr>
                <w:sdtEndPr/>
                <w:sdtContent>
                  <w:p w14:paraId="238741DC" w14:textId="77777777" w:rsidR="00830E72" w:rsidRDefault="008344D8">
                    <w:pPr>
                      <w:jc w:val="center"/>
                    </w:pPr>
                    <w:r>
                      <w:rPr>
                        <w:rFonts w:hint="eastAsia"/>
                      </w:rPr>
                      <w:t>本期发生额</w:t>
                    </w:r>
                  </w:p>
                </w:sdtContent>
              </w:sdt>
            </w:tc>
            <w:tc>
              <w:tcPr>
                <w:tcW w:w="2024" w:type="dxa"/>
              </w:tcPr>
              <w:sdt>
                <w:sdtPr>
                  <w:rPr>
                    <w:rFonts w:ascii="Times New Roman" w:hAnsi="Times New Roman" w:hint="eastAsia"/>
                  </w:rPr>
                  <w:tag w:val="_PLD_8860a002ccc44e14bf36aa3e10fb5d70"/>
                  <w:id w:val="687102182"/>
                  <w:lock w:val="sdtLocked"/>
                </w:sdtPr>
                <w:sdtEndPr/>
                <w:sdtContent>
                  <w:p w14:paraId="16F6487A" w14:textId="77777777" w:rsidR="00830E72" w:rsidRDefault="008344D8">
                    <w:pPr>
                      <w:jc w:val="center"/>
                    </w:pPr>
                    <w:r>
                      <w:rPr>
                        <w:rFonts w:hint="eastAsia"/>
                      </w:rPr>
                      <w:t>上期发生额</w:t>
                    </w:r>
                  </w:p>
                </w:sdtContent>
              </w:sdt>
            </w:tc>
          </w:tr>
          <w:sdt>
            <w:sdtPr>
              <w:alias w:val="资产处置收益明细"/>
              <w:tag w:val="_TUP_4fb92e1c2e6d48c3ba0fd0e082ed3be0"/>
              <w:id w:val="-1322571310"/>
              <w:placeholder>
                <w:docPart w:val="GBC11111111111111111111111111111"/>
              </w:placeholder>
            </w:sdtPr>
            <w:sdtEndPr/>
            <w:sdtContent>
              <w:tr w:rsidR="00830E72" w14:paraId="61FB627D" w14:textId="77777777">
                <w:tc>
                  <w:tcPr>
                    <w:tcW w:w="4673" w:type="dxa"/>
                  </w:tcPr>
                  <w:p w14:paraId="21071CDA" w14:textId="77777777" w:rsidR="00830E72" w:rsidRDefault="008344D8">
                    <w:r>
                      <w:rPr>
                        <w:rFonts w:hint="eastAsia"/>
                      </w:rPr>
                      <w:t>处置未划分为持有待售的固定资产、在建工程、生产性生物资产及无形资产的处置利得或损失</w:t>
                    </w:r>
                  </w:p>
                </w:tc>
                <w:tc>
                  <w:tcPr>
                    <w:tcW w:w="2126" w:type="dxa"/>
                  </w:tcPr>
                  <w:p w14:paraId="28EAA5CC" w14:textId="77777777" w:rsidR="00830E72" w:rsidRDefault="008344D8">
                    <w:pPr>
                      <w:jc w:val="right"/>
                    </w:pPr>
                    <w:r>
                      <w:t>-31,650.15</w:t>
                    </w:r>
                  </w:p>
                </w:tc>
                <w:tc>
                  <w:tcPr>
                    <w:tcW w:w="2024" w:type="dxa"/>
                  </w:tcPr>
                  <w:p w14:paraId="4CE756D7" w14:textId="77777777" w:rsidR="00830E72" w:rsidRDefault="008344D8">
                    <w:pPr>
                      <w:jc w:val="right"/>
                    </w:pPr>
                    <w:r>
                      <w:t>-7,826.25</w:t>
                    </w:r>
                  </w:p>
                </w:tc>
              </w:tr>
            </w:sdtContent>
          </w:sdt>
          <w:tr w:rsidR="00830E72" w14:paraId="0D115133" w14:textId="77777777">
            <w:tc>
              <w:tcPr>
                <w:tcW w:w="4673" w:type="dxa"/>
              </w:tcPr>
              <w:sdt>
                <w:sdtPr>
                  <w:rPr>
                    <w:rFonts w:ascii="Times New Roman" w:hAnsi="Times New Roman" w:hint="eastAsia"/>
                  </w:rPr>
                  <w:tag w:val="_PLD_8313ddfe5809449c9ba5acf78ad5340a"/>
                  <w:id w:val="1365169135"/>
                  <w:lock w:val="sdtLocked"/>
                </w:sdtPr>
                <w:sdtEndPr/>
                <w:sdtContent>
                  <w:p w14:paraId="03FE389F" w14:textId="77777777" w:rsidR="00830E72" w:rsidRDefault="008344D8">
                    <w:pPr>
                      <w:jc w:val="center"/>
                    </w:pPr>
                    <w:r>
                      <w:rPr>
                        <w:rFonts w:hint="eastAsia"/>
                      </w:rPr>
                      <w:t>合计</w:t>
                    </w:r>
                  </w:p>
                </w:sdtContent>
              </w:sdt>
            </w:tc>
            <w:tc>
              <w:tcPr>
                <w:tcW w:w="2126" w:type="dxa"/>
              </w:tcPr>
              <w:p w14:paraId="4ACECBC1" w14:textId="77777777" w:rsidR="00830E72" w:rsidRDefault="008344D8">
                <w:pPr>
                  <w:jc w:val="right"/>
                </w:pPr>
                <w:r>
                  <w:t>-31,650.15</w:t>
                </w:r>
              </w:p>
            </w:tc>
            <w:tc>
              <w:tcPr>
                <w:tcW w:w="2024" w:type="dxa"/>
              </w:tcPr>
              <w:p w14:paraId="7A6B9A74" w14:textId="77777777" w:rsidR="00830E72" w:rsidRDefault="008344D8">
                <w:pPr>
                  <w:jc w:val="right"/>
                </w:pPr>
                <w:r>
                  <w:t>-7,826.25</w:t>
                </w:r>
              </w:p>
            </w:tc>
          </w:tr>
        </w:tbl>
        <w:p w14:paraId="6C64CB25" w14:textId="77777777" w:rsidR="00830E72" w:rsidRDefault="008344D8">
          <w:r>
            <w:rPr>
              <w:rFonts w:hint="eastAsia"/>
            </w:rPr>
            <w:t>其他</w:t>
          </w:r>
          <w:r>
            <w:t>说明：</w:t>
          </w:r>
        </w:p>
        <w:sdt>
          <w:sdtPr>
            <w:rPr>
              <w:rFonts w:hint="eastAsia"/>
            </w:rPr>
            <w:alias w:val="是否适用：资产处置收益其他说明[双击切换]"/>
            <w:tag w:val="_GBC_15965d17bc0a4e6788b5c6faf8c51b58"/>
            <w:id w:val="1304966176"/>
            <w:lock w:val="sdtContentLocked"/>
            <w:placeholder>
              <w:docPart w:val="GBC22222222222222222222222222222"/>
            </w:placeholder>
          </w:sdtPr>
          <w:sdtEndPr/>
          <w:sdtContent>
            <w:p w14:paraId="71D23E6D"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9B1E2B2" w14:textId="77777777" w:rsidR="00830E72" w:rsidRDefault="00830E72"/>
    <w:p w14:paraId="28528D53"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营业外收入</w:t>
      </w:r>
    </w:p>
    <w:sdt>
      <w:sdtPr>
        <w:rPr>
          <w:rFonts w:cstheme="minorBidi" w:hint="eastAsia"/>
          <w:bCs/>
          <w:szCs w:val="22"/>
        </w:rPr>
        <w:alias w:val="是否适用：营业外收入情况 [双击切换]"/>
        <w:tag w:val="_GBC_b6e9df1124844122abb2dde58392c605"/>
        <w:id w:val="-561101349"/>
        <w:lock w:val="sdtContentLocked"/>
        <w:placeholder>
          <w:docPart w:val="GBC22222222222222222222222222222"/>
        </w:placeholder>
      </w:sdtPr>
      <w:sdtEndPr/>
      <w:sdtContent>
        <w:p w14:paraId="020467A6" w14:textId="77777777" w:rsidR="00830E72" w:rsidRDefault="008344D8">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sdt>
      <w:sdtPr>
        <w:rPr>
          <w:rFonts w:hint="eastAsia"/>
        </w:rPr>
        <w:alias w:val="模块:单位：元 币种：人民币项目本期发生额上期发生额计入当期非经..."/>
        <w:tag w:val="_SEC_62e5cfd7609742dd8d0ae51a88918288"/>
        <w:id w:val="1093051022"/>
        <w:lock w:val="sdtLocked"/>
        <w:placeholder>
          <w:docPart w:val="GBC22222222222222222222222222222"/>
        </w:placeholder>
      </w:sdtPr>
      <w:sdtEndPr/>
      <w:sdtContent>
        <w:p w14:paraId="4FE5662E" w14:textId="77777777" w:rsidR="00D0724A" w:rsidRDefault="008344D8">
          <w:pPr>
            <w:jc w:val="right"/>
          </w:pPr>
          <w:r>
            <w:rPr>
              <w:rFonts w:hint="eastAsia"/>
            </w:rPr>
            <w:t>单位：</w:t>
          </w:r>
          <w:sdt>
            <w:sdtPr>
              <w:rPr>
                <w:rFonts w:hint="eastAsia"/>
              </w:rPr>
              <w:alias w:val="单位：财务附注：营业外收入"/>
              <w:tag w:val="_GBC_dd93a692e0c045038f9ddf46f86e7289"/>
              <w:id w:val="16100830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营业外收入"/>
              <w:tag w:val="_GBC_598cac7504eb4ef39ddc19fb969bdd53"/>
              <w:id w:val="19939028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1804"/>
            <w:gridCol w:w="2315"/>
            <w:gridCol w:w="2317"/>
          </w:tblGrid>
          <w:tr w:rsidR="00D0724A" w14:paraId="5E5D47B4" w14:textId="77777777" w:rsidTr="00BF6053">
            <w:sdt>
              <w:sdtPr>
                <w:tag w:val="_PLD_d649e0d07dd047a497e69591bf3e322c"/>
                <w:id w:val="-1349947622"/>
                <w:lock w:val="sdtLocked"/>
              </w:sdtPr>
              <w:sdtEndPr/>
              <w:sdtContent>
                <w:tc>
                  <w:tcPr>
                    <w:tcW w:w="1443" w:type="pct"/>
                    <w:tcBorders>
                      <w:top w:val="single" w:sz="4" w:space="0" w:color="auto"/>
                      <w:left w:val="single" w:sz="4" w:space="0" w:color="auto"/>
                      <w:bottom w:val="single" w:sz="4" w:space="0" w:color="auto"/>
                      <w:right w:val="single" w:sz="4" w:space="0" w:color="auto"/>
                    </w:tcBorders>
                    <w:vAlign w:val="center"/>
                  </w:tcPr>
                  <w:p w14:paraId="204B87AC" w14:textId="77777777" w:rsidR="00D0724A" w:rsidRDefault="00D0724A" w:rsidP="00BF6053">
                    <w:pPr>
                      <w:autoSpaceDE w:val="0"/>
                      <w:autoSpaceDN w:val="0"/>
                      <w:adjustRightInd w:val="0"/>
                      <w:jc w:val="center"/>
                      <w:rPr>
                        <w:szCs w:val="21"/>
                      </w:rPr>
                    </w:pPr>
                    <w:r>
                      <w:rPr>
                        <w:rFonts w:hint="eastAsia"/>
                        <w:szCs w:val="21"/>
                      </w:rPr>
                      <w:t>项目</w:t>
                    </w:r>
                  </w:p>
                </w:tc>
              </w:sdtContent>
            </w:sdt>
            <w:sdt>
              <w:sdtPr>
                <w:tag w:val="_PLD_eabf358cb2c947a9b4e7bacb394074db"/>
                <w:id w:val="-609659196"/>
                <w:lock w:val="sdtLocked"/>
              </w:sdtPr>
              <w:sdtEndPr/>
              <w:sdtContent>
                <w:tc>
                  <w:tcPr>
                    <w:tcW w:w="997" w:type="pct"/>
                    <w:tcBorders>
                      <w:top w:val="single" w:sz="4" w:space="0" w:color="auto"/>
                      <w:left w:val="single" w:sz="4" w:space="0" w:color="auto"/>
                      <w:bottom w:val="single" w:sz="4" w:space="0" w:color="auto"/>
                      <w:right w:val="single" w:sz="4" w:space="0" w:color="auto"/>
                    </w:tcBorders>
                    <w:vAlign w:val="center"/>
                  </w:tcPr>
                  <w:p w14:paraId="0CA097EC" w14:textId="77777777" w:rsidR="00D0724A" w:rsidRDefault="00D0724A" w:rsidP="00BF6053">
                    <w:pPr>
                      <w:autoSpaceDE w:val="0"/>
                      <w:autoSpaceDN w:val="0"/>
                      <w:adjustRightInd w:val="0"/>
                      <w:jc w:val="center"/>
                      <w:rPr>
                        <w:szCs w:val="21"/>
                      </w:rPr>
                    </w:pPr>
                    <w:r>
                      <w:rPr>
                        <w:rFonts w:hint="eastAsia"/>
                        <w:szCs w:val="21"/>
                      </w:rPr>
                      <w:t>本期发生额</w:t>
                    </w:r>
                  </w:p>
                </w:tc>
              </w:sdtContent>
            </w:sdt>
            <w:sdt>
              <w:sdtPr>
                <w:tag w:val="_PLD_0469d808d7334ff0ab3460273b0c8f8f"/>
                <w:id w:val="-76522672"/>
                <w:lock w:val="sdtLocked"/>
              </w:sdtPr>
              <w:sdtEndPr/>
              <w:sdtContent>
                <w:tc>
                  <w:tcPr>
                    <w:tcW w:w="1279" w:type="pct"/>
                    <w:tcBorders>
                      <w:top w:val="single" w:sz="4" w:space="0" w:color="auto"/>
                      <w:left w:val="single" w:sz="4" w:space="0" w:color="auto"/>
                      <w:bottom w:val="single" w:sz="4" w:space="0" w:color="auto"/>
                      <w:right w:val="single" w:sz="4" w:space="0" w:color="auto"/>
                    </w:tcBorders>
                    <w:vAlign w:val="center"/>
                  </w:tcPr>
                  <w:p w14:paraId="07F0E253" w14:textId="77777777" w:rsidR="00D0724A" w:rsidRDefault="00D0724A" w:rsidP="00BF6053">
                    <w:pPr>
                      <w:autoSpaceDE w:val="0"/>
                      <w:autoSpaceDN w:val="0"/>
                      <w:adjustRightInd w:val="0"/>
                      <w:jc w:val="center"/>
                      <w:rPr>
                        <w:szCs w:val="21"/>
                      </w:rPr>
                    </w:pPr>
                    <w:r>
                      <w:rPr>
                        <w:rFonts w:hint="eastAsia"/>
                        <w:szCs w:val="21"/>
                      </w:rPr>
                      <w:t>上期发生额</w:t>
                    </w:r>
                  </w:p>
                </w:tc>
              </w:sdtContent>
            </w:sdt>
            <w:sdt>
              <w:sdtPr>
                <w:tag w:val="_PLD_121bda757dda46918753fabf9329298f"/>
                <w:id w:val="2145384773"/>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3F27365C" w14:textId="77777777" w:rsidR="00D0724A" w:rsidRDefault="00D0724A" w:rsidP="00BF6053">
                    <w:pPr>
                      <w:autoSpaceDE w:val="0"/>
                      <w:autoSpaceDN w:val="0"/>
                      <w:adjustRightInd w:val="0"/>
                      <w:jc w:val="center"/>
                      <w:rPr>
                        <w:color w:val="FF0000"/>
                        <w:szCs w:val="21"/>
                      </w:rPr>
                    </w:pPr>
                    <w:r>
                      <w:rPr>
                        <w:rFonts w:hint="eastAsia"/>
                        <w:szCs w:val="21"/>
                      </w:rPr>
                      <w:t>计入当期非经常性损益的金额</w:t>
                    </w:r>
                  </w:p>
                </w:tc>
              </w:sdtContent>
            </w:sdt>
          </w:tr>
          <w:tr w:rsidR="00D0724A" w14:paraId="66830DFC" w14:textId="77777777" w:rsidTr="00BF6053">
            <w:sdt>
              <w:sdtPr>
                <w:tag w:val="_PLD_b627183426d3462198209d98f8e60215"/>
                <w:id w:val="-2135162013"/>
                <w:lock w:val="sdtLocked"/>
              </w:sdtPr>
              <w:sdtEndPr/>
              <w:sdtContent>
                <w:tc>
                  <w:tcPr>
                    <w:tcW w:w="1443" w:type="pct"/>
                    <w:tcBorders>
                      <w:top w:val="single" w:sz="4" w:space="0" w:color="auto"/>
                      <w:left w:val="single" w:sz="4" w:space="0" w:color="auto"/>
                      <w:bottom w:val="single" w:sz="4" w:space="0" w:color="auto"/>
                      <w:right w:val="single" w:sz="4" w:space="0" w:color="auto"/>
                    </w:tcBorders>
                  </w:tcPr>
                  <w:p w14:paraId="3B94ADE4" w14:textId="77777777" w:rsidR="00D0724A" w:rsidRDefault="00D0724A" w:rsidP="00BF6053">
                    <w:pPr>
                      <w:ind w:right="6"/>
                      <w:rPr>
                        <w:bCs/>
                        <w:szCs w:val="21"/>
                      </w:rPr>
                    </w:pPr>
                    <w:r>
                      <w:rPr>
                        <w:rFonts w:hint="eastAsia"/>
                        <w:bCs/>
                        <w:szCs w:val="21"/>
                      </w:rPr>
                      <w:t>政府补助</w:t>
                    </w:r>
                  </w:p>
                </w:tc>
              </w:sdtContent>
            </w:sdt>
            <w:tc>
              <w:tcPr>
                <w:tcW w:w="997" w:type="pct"/>
                <w:tcBorders>
                  <w:top w:val="single" w:sz="4" w:space="0" w:color="auto"/>
                  <w:left w:val="single" w:sz="4" w:space="0" w:color="auto"/>
                  <w:bottom w:val="single" w:sz="4" w:space="0" w:color="auto"/>
                  <w:right w:val="single" w:sz="4" w:space="0" w:color="auto"/>
                </w:tcBorders>
              </w:tcPr>
              <w:p w14:paraId="51DFD413" w14:textId="77777777" w:rsidR="00D0724A" w:rsidRDefault="00D0724A" w:rsidP="00BF6053">
                <w:pPr>
                  <w:jc w:val="right"/>
                  <w:rPr>
                    <w:szCs w:val="21"/>
                  </w:rPr>
                </w:pPr>
                <w:r>
                  <w:rPr>
                    <w:szCs w:val="21"/>
                  </w:rPr>
                  <w:t>157,747.92</w:t>
                </w:r>
              </w:p>
            </w:tc>
            <w:tc>
              <w:tcPr>
                <w:tcW w:w="1279" w:type="pct"/>
                <w:tcBorders>
                  <w:top w:val="single" w:sz="4" w:space="0" w:color="auto"/>
                  <w:left w:val="single" w:sz="4" w:space="0" w:color="auto"/>
                  <w:bottom w:val="single" w:sz="4" w:space="0" w:color="auto"/>
                  <w:right w:val="single" w:sz="4" w:space="0" w:color="auto"/>
                </w:tcBorders>
              </w:tcPr>
              <w:p w14:paraId="12D7CB5A" w14:textId="77777777" w:rsidR="00D0724A" w:rsidRDefault="00D0724A" w:rsidP="00BF6053">
                <w:pPr>
                  <w:jc w:val="right"/>
                  <w:rPr>
                    <w:szCs w:val="21"/>
                  </w:rPr>
                </w:pPr>
                <w:r>
                  <w:rPr>
                    <w:szCs w:val="21"/>
                  </w:rPr>
                  <w:t>3,244,980.00</w:t>
                </w:r>
              </w:p>
            </w:tc>
            <w:tc>
              <w:tcPr>
                <w:tcW w:w="1280" w:type="pct"/>
                <w:tcBorders>
                  <w:top w:val="single" w:sz="4" w:space="0" w:color="auto"/>
                  <w:left w:val="single" w:sz="4" w:space="0" w:color="auto"/>
                  <w:bottom w:val="single" w:sz="4" w:space="0" w:color="auto"/>
                  <w:right w:val="single" w:sz="4" w:space="0" w:color="auto"/>
                </w:tcBorders>
              </w:tcPr>
              <w:p w14:paraId="7BA0E521" w14:textId="77777777" w:rsidR="00D0724A" w:rsidRDefault="00D0724A" w:rsidP="00BF6053">
                <w:pPr>
                  <w:autoSpaceDE w:val="0"/>
                  <w:autoSpaceDN w:val="0"/>
                  <w:adjustRightInd w:val="0"/>
                  <w:jc w:val="right"/>
                  <w:rPr>
                    <w:szCs w:val="21"/>
                  </w:rPr>
                </w:pPr>
                <w:r>
                  <w:rPr>
                    <w:szCs w:val="21"/>
                  </w:rPr>
                  <w:t>157,747.92</w:t>
                </w:r>
              </w:p>
            </w:tc>
          </w:tr>
          <w:sdt>
            <w:sdtPr>
              <w:rPr>
                <w:rFonts w:asciiTheme="minorHAnsi" w:eastAsiaTheme="minorEastAsia" w:hAnsiTheme="minorHAnsi" w:cstheme="minorBidi" w:hint="eastAsia"/>
                <w:kern w:val="2"/>
                <w:szCs w:val="21"/>
              </w:rPr>
              <w:alias w:val="营业外收入明细"/>
              <w:tag w:val="_GBC_fd02acc867064481b957560afa744c85"/>
              <w:id w:val="161293127"/>
              <w:lock w:val="sdtLocked"/>
              <w:placeholder>
                <w:docPart w:val="EB1B2F3150FA4C2F8DD3E08EA1D7EAAF"/>
              </w:placeholder>
            </w:sdtPr>
            <w:sdtEndPr/>
            <w:sdtContent>
              <w:tr w:rsidR="00D0724A" w14:paraId="65E06ECA" w14:textId="77777777" w:rsidTr="00BF6053">
                <w:tc>
                  <w:tcPr>
                    <w:tcW w:w="1443" w:type="pct"/>
                    <w:tcBorders>
                      <w:top w:val="single" w:sz="4" w:space="0" w:color="auto"/>
                      <w:left w:val="single" w:sz="4" w:space="0" w:color="auto"/>
                      <w:bottom w:val="single" w:sz="4" w:space="0" w:color="auto"/>
                      <w:right w:val="single" w:sz="4" w:space="0" w:color="auto"/>
                    </w:tcBorders>
                  </w:tcPr>
                  <w:p w14:paraId="4CBC6512" w14:textId="77777777" w:rsidR="00D0724A" w:rsidRDefault="00D0724A" w:rsidP="00BF6053">
                    <w:pPr>
                      <w:rPr>
                        <w:szCs w:val="21"/>
                      </w:rPr>
                    </w:pPr>
                    <w:r>
                      <w:rPr>
                        <w:rFonts w:hint="eastAsia"/>
                        <w:szCs w:val="21"/>
                      </w:rPr>
                      <w:t>其他</w:t>
                    </w:r>
                  </w:p>
                </w:tc>
                <w:tc>
                  <w:tcPr>
                    <w:tcW w:w="997" w:type="pct"/>
                    <w:tcBorders>
                      <w:top w:val="single" w:sz="4" w:space="0" w:color="auto"/>
                      <w:left w:val="single" w:sz="4" w:space="0" w:color="auto"/>
                      <w:bottom w:val="single" w:sz="4" w:space="0" w:color="auto"/>
                      <w:right w:val="single" w:sz="4" w:space="0" w:color="auto"/>
                    </w:tcBorders>
                  </w:tcPr>
                  <w:p w14:paraId="727E4C49" w14:textId="77777777" w:rsidR="00D0724A" w:rsidRDefault="00D0724A" w:rsidP="00BF6053">
                    <w:pPr>
                      <w:jc w:val="right"/>
                      <w:rPr>
                        <w:szCs w:val="21"/>
                      </w:rPr>
                    </w:pPr>
                    <w:r>
                      <w:rPr>
                        <w:szCs w:val="21"/>
                      </w:rPr>
                      <w:t>503,424.91</w:t>
                    </w:r>
                  </w:p>
                </w:tc>
                <w:tc>
                  <w:tcPr>
                    <w:tcW w:w="1279" w:type="pct"/>
                    <w:tcBorders>
                      <w:top w:val="single" w:sz="4" w:space="0" w:color="auto"/>
                      <w:left w:val="single" w:sz="4" w:space="0" w:color="auto"/>
                      <w:bottom w:val="single" w:sz="4" w:space="0" w:color="auto"/>
                      <w:right w:val="single" w:sz="4" w:space="0" w:color="auto"/>
                    </w:tcBorders>
                  </w:tcPr>
                  <w:p w14:paraId="72418A2C" w14:textId="77777777" w:rsidR="00D0724A" w:rsidRDefault="00D0724A" w:rsidP="00BF6053">
                    <w:pPr>
                      <w:jc w:val="right"/>
                      <w:rPr>
                        <w:szCs w:val="21"/>
                      </w:rPr>
                    </w:pPr>
                    <w:r>
                      <w:rPr>
                        <w:szCs w:val="21"/>
                      </w:rPr>
                      <w:t>118,702.06</w:t>
                    </w:r>
                  </w:p>
                </w:tc>
                <w:tc>
                  <w:tcPr>
                    <w:tcW w:w="1280" w:type="pct"/>
                    <w:tcBorders>
                      <w:top w:val="single" w:sz="4" w:space="0" w:color="auto"/>
                      <w:left w:val="single" w:sz="4" w:space="0" w:color="auto"/>
                      <w:bottom w:val="single" w:sz="4" w:space="0" w:color="auto"/>
                      <w:right w:val="single" w:sz="4" w:space="0" w:color="auto"/>
                    </w:tcBorders>
                  </w:tcPr>
                  <w:p w14:paraId="575EAB5A" w14:textId="77777777" w:rsidR="00D0724A" w:rsidRDefault="00D0724A" w:rsidP="00BF6053">
                    <w:pPr>
                      <w:jc w:val="right"/>
                      <w:rPr>
                        <w:szCs w:val="21"/>
                      </w:rPr>
                    </w:pPr>
                    <w:r>
                      <w:rPr>
                        <w:szCs w:val="21"/>
                      </w:rPr>
                      <w:t>503,424.91</w:t>
                    </w:r>
                  </w:p>
                </w:tc>
              </w:tr>
            </w:sdtContent>
          </w:sdt>
          <w:tr w:rsidR="00D0724A" w:rsidRPr="00D0724A" w14:paraId="2AEA4526" w14:textId="77777777" w:rsidTr="00BF6053">
            <w:sdt>
              <w:sdtPr>
                <w:tag w:val="_PLD_25918db321f1404aaddb2a14d0bd05fc"/>
                <w:id w:val="428858062"/>
                <w:lock w:val="sdtLocked"/>
              </w:sdtPr>
              <w:sdtEndPr/>
              <w:sdtContent>
                <w:tc>
                  <w:tcPr>
                    <w:tcW w:w="1443" w:type="pct"/>
                    <w:tcBorders>
                      <w:top w:val="single" w:sz="4" w:space="0" w:color="auto"/>
                      <w:left w:val="single" w:sz="4" w:space="0" w:color="auto"/>
                      <w:bottom w:val="single" w:sz="4" w:space="0" w:color="auto"/>
                      <w:right w:val="single" w:sz="4" w:space="0" w:color="auto"/>
                    </w:tcBorders>
                    <w:vAlign w:val="center"/>
                  </w:tcPr>
                  <w:p w14:paraId="6E072614" w14:textId="77777777" w:rsidR="00D0724A" w:rsidRDefault="00D0724A" w:rsidP="00BF6053">
                    <w:pPr>
                      <w:jc w:val="center"/>
                      <w:rPr>
                        <w:szCs w:val="21"/>
                      </w:rPr>
                    </w:pPr>
                    <w:r>
                      <w:rPr>
                        <w:rFonts w:hint="eastAsia"/>
                        <w:szCs w:val="21"/>
                      </w:rPr>
                      <w:t>合计</w:t>
                    </w:r>
                  </w:p>
                </w:tc>
              </w:sdtContent>
            </w:sdt>
            <w:tc>
              <w:tcPr>
                <w:tcW w:w="997" w:type="pct"/>
                <w:tcBorders>
                  <w:top w:val="single" w:sz="4" w:space="0" w:color="auto"/>
                  <w:left w:val="single" w:sz="4" w:space="0" w:color="auto"/>
                  <w:bottom w:val="single" w:sz="4" w:space="0" w:color="auto"/>
                  <w:right w:val="single" w:sz="4" w:space="0" w:color="auto"/>
                </w:tcBorders>
              </w:tcPr>
              <w:p w14:paraId="234CC048" w14:textId="77777777" w:rsidR="00D0724A" w:rsidRDefault="00D0724A" w:rsidP="00BF6053">
                <w:pPr>
                  <w:jc w:val="right"/>
                  <w:rPr>
                    <w:szCs w:val="21"/>
                  </w:rPr>
                </w:pPr>
                <w:r>
                  <w:rPr>
                    <w:szCs w:val="21"/>
                  </w:rPr>
                  <w:t>661,172.83</w:t>
                </w:r>
              </w:p>
            </w:tc>
            <w:tc>
              <w:tcPr>
                <w:tcW w:w="1279" w:type="pct"/>
                <w:tcBorders>
                  <w:top w:val="single" w:sz="4" w:space="0" w:color="auto"/>
                  <w:left w:val="single" w:sz="4" w:space="0" w:color="auto"/>
                  <w:bottom w:val="single" w:sz="4" w:space="0" w:color="auto"/>
                  <w:right w:val="single" w:sz="4" w:space="0" w:color="auto"/>
                </w:tcBorders>
              </w:tcPr>
              <w:p w14:paraId="52795D1A" w14:textId="77777777" w:rsidR="00D0724A" w:rsidRDefault="00D0724A" w:rsidP="00BF6053">
                <w:pPr>
                  <w:jc w:val="right"/>
                  <w:rPr>
                    <w:szCs w:val="21"/>
                  </w:rPr>
                </w:pPr>
                <w:r>
                  <w:rPr>
                    <w:szCs w:val="21"/>
                  </w:rPr>
                  <w:t>3,363,682.06</w:t>
                </w:r>
              </w:p>
            </w:tc>
            <w:tc>
              <w:tcPr>
                <w:tcW w:w="1280" w:type="pct"/>
                <w:tcBorders>
                  <w:top w:val="single" w:sz="4" w:space="0" w:color="auto"/>
                  <w:left w:val="single" w:sz="4" w:space="0" w:color="auto"/>
                  <w:bottom w:val="single" w:sz="4" w:space="0" w:color="auto"/>
                  <w:right w:val="single" w:sz="4" w:space="0" w:color="auto"/>
                </w:tcBorders>
              </w:tcPr>
              <w:p w14:paraId="14F58B36" w14:textId="77777777" w:rsidR="00D0724A" w:rsidRDefault="00D0724A" w:rsidP="00BF6053">
                <w:pPr>
                  <w:autoSpaceDE w:val="0"/>
                  <w:autoSpaceDN w:val="0"/>
                  <w:adjustRightInd w:val="0"/>
                  <w:jc w:val="right"/>
                  <w:rPr>
                    <w:szCs w:val="21"/>
                  </w:rPr>
                </w:pPr>
                <w:r>
                  <w:rPr>
                    <w:szCs w:val="21"/>
                  </w:rPr>
                  <w:t>661,172.83</w:t>
                </w:r>
              </w:p>
            </w:tc>
          </w:tr>
        </w:tbl>
        <w:p w14:paraId="7E08EB25" w14:textId="76EBD208" w:rsidR="00830E72" w:rsidRPr="00D0724A" w:rsidRDefault="00D44830" w:rsidP="00D0724A"/>
      </w:sdtContent>
    </w:sdt>
    <w:p w14:paraId="0369483E" w14:textId="77777777" w:rsidR="00830E72" w:rsidRDefault="00830E72">
      <w:pPr>
        <w:rPr>
          <w:szCs w:val="21"/>
        </w:rPr>
      </w:pPr>
    </w:p>
    <w:sdt>
      <w:sdtPr>
        <w:rPr>
          <w:rFonts w:hint="eastAsia"/>
          <w:b/>
        </w:rPr>
        <w:alias w:val="模块:计入当期损益的政府补助"/>
        <w:tag w:val="_GBC_941e4c9023f94b758b05afb87d550363"/>
        <w:id w:val="1822148197"/>
        <w:lock w:val="sdtLocked"/>
        <w:placeholder>
          <w:docPart w:val="GBC22222222222222222222222222222"/>
        </w:placeholder>
      </w:sdtPr>
      <w:sdtEndPr>
        <w:rPr>
          <w:b w:val="0"/>
        </w:rPr>
      </w:sdtEndPr>
      <w:sdtContent>
        <w:p w14:paraId="7905349B" w14:textId="77777777" w:rsidR="00830E72" w:rsidRDefault="008344D8">
          <w:pPr>
            <w:rPr>
              <w:rStyle w:val="Style107"/>
              <w:rFonts w:ascii="宋体" w:hAnsi="宋体"/>
              <w:b w:val="0"/>
              <w:szCs w:val="21"/>
            </w:rPr>
          </w:pPr>
          <w:r>
            <w:rPr>
              <w:rStyle w:val="Style107"/>
              <w:rFonts w:ascii="宋体" w:hAnsi="宋体" w:hint="eastAsia"/>
              <w:b w:val="0"/>
              <w:szCs w:val="21"/>
            </w:rPr>
            <w:t>计入当期</w:t>
          </w:r>
          <w:r>
            <w:rPr>
              <w:rFonts w:hint="eastAsia"/>
            </w:rPr>
            <w:t>损益</w:t>
          </w:r>
          <w:r>
            <w:rPr>
              <w:rStyle w:val="Style107"/>
              <w:rFonts w:ascii="宋体" w:hAnsi="宋体" w:hint="eastAsia"/>
              <w:b w:val="0"/>
              <w:szCs w:val="21"/>
            </w:rPr>
            <w:t>的政府补助</w:t>
          </w:r>
        </w:p>
        <w:sdt>
          <w:sdtPr>
            <w:rPr>
              <w:rStyle w:val="Style107"/>
              <w:rFonts w:ascii="宋体" w:hAnsi="宋体"/>
              <w:b w:val="0"/>
              <w:szCs w:val="21"/>
            </w:rPr>
            <w:alias w:val="是否适用：计入当期损益的政府补助[双击切换]"/>
            <w:tag w:val="_GBC_c8882fe165a24797aca3c402f799f006"/>
            <w:id w:val="-761133681"/>
            <w:lock w:val="sdtContentLocked"/>
            <w:placeholder>
              <w:docPart w:val="GBC22222222222222222222222222222"/>
            </w:placeholder>
          </w:sdtPr>
          <w:sdtEndPr>
            <w:rPr>
              <w:rStyle w:val="Style107"/>
            </w:rPr>
          </w:sdtEndPr>
          <w:sdtContent>
            <w:p w14:paraId="57C02674" w14:textId="77777777" w:rsidR="00830E72" w:rsidRDefault="008344D8">
              <w:pPr>
                <w:rPr>
                  <w:rStyle w:val="Style107"/>
                  <w:rFonts w:ascii="宋体" w:hAnsi="宋体"/>
                  <w:b w:val="0"/>
                  <w:szCs w:val="21"/>
                </w:rPr>
              </w:pPr>
              <w:r>
                <w:rPr>
                  <w:rStyle w:val="Style107"/>
                  <w:rFonts w:ascii="宋体" w:hAnsi="宋体"/>
                  <w:b w:val="0"/>
                  <w:szCs w:val="21"/>
                </w:rPr>
                <w:fldChar w:fldCharType="begin"/>
              </w:r>
              <w:r>
                <w:rPr>
                  <w:rStyle w:val="Style107"/>
                  <w:rFonts w:ascii="宋体" w:hAnsi="宋体"/>
                  <w:b w:val="0"/>
                  <w:szCs w:val="21"/>
                </w:rPr>
                <w:instrText xml:space="preserve"> MACROBUTTON  SnrToggleCheckbox √适用 </w:instrText>
              </w:r>
              <w:r>
                <w:rPr>
                  <w:rStyle w:val="Style107"/>
                  <w:rFonts w:ascii="宋体" w:hAnsi="宋体"/>
                  <w:b w:val="0"/>
                  <w:szCs w:val="21"/>
                </w:rPr>
                <w:fldChar w:fldCharType="end"/>
              </w:r>
              <w:r>
                <w:rPr>
                  <w:rStyle w:val="Style107"/>
                  <w:rFonts w:ascii="宋体" w:hAnsi="宋体"/>
                  <w:b w:val="0"/>
                  <w:szCs w:val="21"/>
                </w:rPr>
                <w:fldChar w:fldCharType="begin"/>
              </w:r>
              <w:r>
                <w:rPr>
                  <w:rStyle w:val="Style107"/>
                  <w:rFonts w:ascii="宋体" w:hAnsi="宋体"/>
                  <w:b w:val="0"/>
                  <w:szCs w:val="21"/>
                </w:rPr>
                <w:instrText xml:space="preserve"> MACROBUTTON  SnrToggleCheckbox □不适用 </w:instrText>
              </w:r>
              <w:r>
                <w:rPr>
                  <w:rStyle w:val="Style107"/>
                  <w:rFonts w:ascii="宋体" w:hAnsi="宋体"/>
                  <w:b w:val="0"/>
                  <w:szCs w:val="21"/>
                </w:rPr>
                <w:fldChar w:fldCharType="end"/>
              </w:r>
            </w:p>
          </w:sdtContent>
        </w:sdt>
        <w:p w14:paraId="01900BA2" w14:textId="77777777" w:rsidR="00830E72" w:rsidRDefault="008344D8">
          <w:pPr>
            <w:jc w:val="right"/>
            <w:rPr>
              <w:szCs w:val="21"/>
            </w:rPr>
          </w:pPr>
          <w:r>
            <w:rPr>
              <w:rFonts w:hint="eastAsia"/>
              <w:szCs w:val="21"/>
            </w:rPr>
            <w:t xml:space="preserve"> 单位：</w:t>
          </w:r>
          <w:sdt>
            <w:sdtPr>
              <w:rPr>
                <w:rFonts w:hint="eastAsia"/>
                <w:szCs w:val="21"/>
              </w:rPr>
              <w:alias w:val="单位：财务附注：计入当期损益的政府补助"/>
              <w:tag w:val="_GBC_bd00bad38c644e6fa63419d4034ebfd1"/>
              <w:id w:val="-15933214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23bf9a9e0ac34ffd9e7e1d78597a87d0"/>
              <w:id w:val="-16000221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059"/>
            <w:gridCol w:w="2277"/>
            <w:gridCol w:w="2088"/>
            <w:gridCol w:w="2469"/>
          </w:tblGrid>
          <w:tr w:rsidR="00830E72" w14:paraId="72A45499" w14:textId="77777777">
            <w:trPr>
              <w:trHeight w:val="556"/>
              <w:jc w:val="center"/>
            </w:trPr>
            <w:sdt>
              <w:sdtPr>
                <w:tag w:val="_PLD_921b2aed22db42759d12f127db945afe"/>
                <w:id w:val="1111789407"/>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14:paraId="0E1AF103" w14:textId="77777777" w:rsidR="00830E72" w:rsidRDefault="008344D8">
                    <w:pPr>
                      <w:spacing w:before="120"/>
                      <w:jc w:val="center"/>
                      <w:rPr>
                        <w:szCs w:val="21"/>
                      </w:rPr>
                    </w:pPr>
                    <w:r>
                      <w:rPr>
                        <w:szCs w:val="21"/>
                      </w:rPr>
                      <w:t>补助项目</w:t>
                    </w:r>
                  </w:p>
                </w:tc>
              </w:sdtContent>
            </w:sdt>
            <w:sdt>
              <w:sdtPr>
                <w:tag w:val="_PLD_b153949e35ca47018467de6ef3800cf5"/>
                <w:id w:val="32696075"/>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3A9CCB8B" w14:textId="77777777" w:rsidR="00830E72" w:rsidRDefault="008344D8">
                    <w:pPr>
                      <w:jc w:val="center"/>
                      <w:rPr>
                        <w:szCs w:val="21"/>
                      </w:rPr>
                    </w:pPr>
                    <w:r>
                      <w:rPr>
                        <w:szCs w:val="21"/>
                      </w:rPr>
                      <w:t>本期发生</w:t>
                    </w:r>
                    <w:r>
                      <w:rPr>
                        <w:rFonts w:hint="eastAsia"/>
                        <w:szCs w:val="21"/>
                      </w:rPr>
                      <w:t>金</w:t>
                    </w:r>
                    <w:r>
                      <w:rPr>
                        <w:szCs w:val="21"/>
                      </w:rPr>
                      <w:t>额</w:t>
                    </w:r>
                  </w:p>
                </w:tc>
              </w:sdtContent>
            </w:sdt>
            <w:sdt>
              <w:sdtPr>
                <w:tag w:val="_PLD_bf693dd17f244c38afd88855e4186d7d"/>
                <w:id w:val="-967275291"/>
                <w:lock w:val="sdtLocked"/>
              </w:sdtPr>
              <w:sdtEndPr/>
              <w:sdtContent>
                <w:tc>
                  <w:tcPr>
                    <w:tcW w:w="1174" w:type="pct"/>
                    <w:tcBorders>
                      <w:top w:val="single" w:sz="4" w:space="0" w:color="auto"/>
                      <w:left w:val="single" w:sz="4" w:space="0" w:color="auto"/>
                      <w:bottom w:val="single" w:sz="4" w:space="0" w:color="auto"/>
                      <w:right w:val="single" w:sz="4" w:space="0" w:color="auto"/>
                    </w:tcBorders>
                    <w:vAlign w:val="center"/>
                  </w:tcPr>
                  <w:p w14:paraId="2C397577" w14:textId="77777777" w:rsidR="00830E72" w:rsidRDefault="008344D8">
                    <w:pPr>
                      <w:jc w:val="center"/>
                      <w:rPr>
                        <w:szCs w:val="21"/>
                      </w:rPr>
                    </w:pPr>
                    <w:r>
                      <w:rPr>
                        <w:szCs w:val="21"/>
                      </w:rPr>
                      <w:t>上期发生</w:t>
                    </w:r>
                    <w:r>
                      <w:rPr>
                        <w:rFonts w:hint="eastAsia"/>
                        <w:szCs w:val="21"/>
                      </w:rPr>
                      <w:t>金</w:t>
                    </w:r>
                    <w:r>
                      <w:rPr>
                        <w:szCs w:val="21"/>
                      </w:rPr>
                      <w:t>额</w:t>
                    </w:r>
                  </w:p>
                </w:tc>
              </w:sdtContent>
            </w:sdt>
            <w:sdt>
              <w:sdtPr>
                <w:tag w:val="_PLD_532c78ae9a7849fe9994cace73120659"/>
                <w:id w:val="-1919555328"/>
                <w:lock w:val="sdtLocked"/>
              </w:sdtPr>
              <w:sdtEndPr/>
              <w:sdtContent>
                <w:tc>
                  <w:tcPr>
                    <w:tcW w:w="1388" w:type="pct"/>
                    <w:tcBorders>
                      <w:top w:val="single" w:sz="4" w:space="0" w:color="auto"/>
                      <w:left w:val="single" w:sz="4" w:space="0" w:color="auto"/>
                      <w:bottom w:val="single" w:sz="4" w:space="0" w:color="auto"/>
                      <w:right w:val="single" w:sz="4" w:space="0" w:color="auto"/>
                    </w:tcBorders>
                    <w:vAlign w:val="center"/>
                  </w:tcPr>
                  <w:p w14:paraId="335C2FD9" w14:textId="77777777" w:rsidR="00830E72" w:rsidRDefault="008344D8">
                    <w:pPr>
                      <w:jc w:val="center"/>
                      <w:rPr>
                        <w:szCs w:val="21"/>
                      </w:rPr>
                    </w:pPr>
                    <w:r>
                      <w:rPr>
                        <w:szCs w:val="21"/>
                      </w:rPr>
                      <w:t>与资产相关/与收益相关</w:t>
                    </w:r>
                  </w:p>
                </w:tc>
              </w:sdtContent>
            </w:sdt>
          </w:tr>
          <w:sdt>
            <w:sdtPr>
              <w:rPr>
                <w:szCs w:val="21"/>
              </w:rPr>
              <w:alias w:val="计入当期损益的政府补助明细"/>
              <w:tag w:val="_GBC_8d8ea3026a664e94a38609c0bcec2101"/>
              <w:id w:val="-1785726487"/>
              <w:lock w:val="sdtLocked"/>
            </w:sdtPr>
            <w:sdtEndPr/>
            <w:sdtContent>
              <w:tr w:rsidR="00830E72" w14:paraId="7D96B9F1" w14:textId="77777777">
                <w:trPr>
                  <w:jc w:val="center"/>
                </w:trPr>
                <w:tc>
                  <w:tcPr>
                    <w:tcW w:w="1158" w:type="pct"/>
                    <w:tcBorders>
                      <w:top w:val="single" w:sz="4" w:space="0" w:color="auto"/>
                      <w:left w:val="single" w:sz="4" w:space="0" w:color="auto"/>
                      <w:bottom w:val="single" w:sz="4" w:space="0" w:color="auto"/>
                      <w:right w:val="single" w:sz="4" w:space="0" w:color="auto"/>
                    </w:tcBorders>
                    <w:vAlign w:val="center"/>
                  </w:tcPr>
                  <w:p w14:paraId="254E5756" w14:textId="77777777" w:rsidR="00830E72" w:rsidRDefault="008344D8">
                    <w:pPr>
                      <w:rPr>
                        <w:szCs w:val="21"/>
                      </w:rPr>
                    </w:pPr>
                    <w:r>
                      <w:rPr>
                        <w:rFonts w:hint="eastAsia"/>
                        <w:szCs w:val="21"/>
                      </w:rPr>
                      <w:t>稳岗补贴</w:t>
                    </w:r>
                  </w:p>
                </w:tc>
                <w:tc>
                  <w:tcPr>
                    <w:tcW w:w="1280" w:type="pct"/>
                    <w:tcBorders>
                      <w:top w:val="single" w:sz="4" w:space="0" w:color="auto"/>
                      <w:left w:val="single" w:sz="4" w:space="0" w:color="auto"/>
                      <w:bottom w:val="single" w:sz="4" w:space="0" w:color="auto"/>
                      <w:right w:val="single" w:sz="4" w:space="0" w:color="auto"/>
                    </w:tcBorders>
                    <w:vAlign w:val="center"/>
                  </w:tcPr>
                  <w:p w14:paraId="49794B7E" w14:textId="77777777" w:rsidR="00830E72" w:rsidRDefault="008344D8">
                    <w:pPr>
                      <w:jc w:val="right"/>
                      <w:rPr>
                        <w:szCs w:val="21"/>
                      </w:rPr>
                    </w:pPr>
                    <w:r>
                      <w:rPr>
                        <w:szCs w:val="21"/>
                      </w:rPr>
                      <w:t>52,806.63</w:t>
                    </w:r>
                  </w:p>
                </w:tc>
                <w:tc>
                  <w:tcPr>
                    <w:tcW w:w="1174" w:type="pct"/>
                    <w:tcBorders>
                      <w:top w:val="single" w:sz="4" w:space="0" w:color="auto"/>
                      <w:left w:val="single" w:sz="4" w:space="0" w:color="auto"/>
                      <w:bottom w:val="single" w:sz="4" w:space="0" w:color="auto"/>
                      <w:right w:val="single" w:sz="4" w:space="0" w:color="auto"/>
                    </w:tcBorders>
                    <w:vAlign w:val="center"/>
                  </w:tcPr>
                  <w:p w14:paraId="4D520507" w14:textId="77777777" w:rsidR="00830E72" w:rsidRDefault="008344D8">
                    <w:pPr>
                      <w:jc w:val="right"/>
                      <w:rPr>
                        <w:szCs w:val="21"/>
                      </w:rPr>
                    </w:pPr>
                    <w:r>
                      <w:rPr>
                        <w:szCs w:val="21"/>
                      </w:rPr>
                      <w:t>244,980.00</w:t>
                    </w:r>
                  </w:p>
                </w:tc>
                <w:tc>
                  <w:tcPr>
                    <w:tcW w:w="1388" w:type="pct"/>
                    <w:tcBorders>
                      <w:top w:val="single" w:sz="4" w:space="0" w:color="auto"/>
                      <w:left w:val="single" w:sz="4" w:space="0" w:color="auto"/>
                      <w:bottom w:val="single" w:sz="4" w:space="0" w:color="auto"/>
                      <w:right w:val="single" w:sz="4" w:space="0" w:color="auto"/>
                    </w:tcBorders>
                    <w:vAlign w:val="center"/>
                  </w:tcPr>
                  <w:p w14:paraId="5E97B8BB" w14:textId="77777777" w:rsidR="00830E72" w:rsidRDefault="008344D8">
                    <w:pPr>
                      <w:jc w:val="center"/>
                      <w:rPr>
                        <w:szCs w:val="21"/>
                      </w:rPr>
                    </w:pPr>
                    <w:r>
                      <w:rPr>
                        <w:szCs w:val="21"/>
                      </w:rPr>
                      <w:t>与收益相关</w:t>
                    </w:r>
                  </w:p>
                </w:tc>
              </w:tr>
            </w:sdtContent>
          </w:sdt>
          <w:sdt>
            <w:sdtPr>
              <w:rPr>
                <w:szCs w:val="21"/>
              </w:rPr>
              <w:alias w:val="计入当期损益的政府补助明细"/>
              <w:tag w:val="_GBC_8d8ea3026a664e94a38609c0bcec2101"/>
              <w:id w:val="-1829042987"/>
              <w:lock w:val="sdtLocked"/>
            </w:sdtPr>
            <w:sdtEndPr/>
            <w:sdtContent>
              <w:tr w:rsidR="00830E72" w14:paraId="364F63CD" w14:textId="77777777">
                <w:trPr>
                  <w:jc w:val="center"/>
                </w:trPr>
                <w:tc>
                  <w:tcPr>
                    <w:tcW w:w="1158" w:type="pct"/>
                    <w:tcBorders>
                      <w:top w:val="single" w:sz="4" w:space="0" w:color="auto"/>
                      <w:left w:val="single" w:sz="4" w:space="0" w:color="auto"/>
                      <w:bottom w:val="single" w:sz="4" w:space="0" w:color="auto"/>
                      <w:right w:val="single" w:sz="4" w:space="0" w:color="auto"/>
                    </w:tcBorders>
                    <w:vAlign w:val="center"/>
                  </w:tcPr>
                  <w:p w14:paraId="1A6854DB" w14:textId="77777777" w:rsidR="00830E72" w:rsidRDefault="008344D8">
                    <w:pPr>
                      <w:rPr>
                        <w:szCs w:val="21"/>
                      </w:rPr>
                    </w:pPr>
                    <w:r>
                      <w:rPr>
                        <w:rFonts w:hint="eastAsia"/>
                        <w:szCs w:val="21"/>
                      </w:rPr>
                      <w:t>抗洪救助金</w:t>
                    </w:r>
                  </w:p>
                </w:tc>
                <w:tc>
                  <w:tcPr>
                    <w:tcW w:w="1280" w:type="pct"/>
                    <w:tcBorders>
                      <w:top w:val="single" w:sz="4" w:space="0" w:color="auto"/>
                      <w:left w:val="single" w:sz="4" w:space="0" w:color="auto"/>
                      <w:bottom w:val="single" w:sz="4" w:space="0" w:color="auto"/>
                      <w:right w:val="single" w:sz="4" w:space="0" w:color="auto"/>
                    </w:tcBorders>
                    <w:vAlign w:val="center"/>
                  </w:tcPr>
                  <w:p w14:paraId="2F8C043E" w14:textId="77777777" w:rsidR="00830E72" w:rsidRDefault="008344D8">
                    <w:pPr>
                      <w:jc w:val="right"/>
                      <w:rPr>
                        <w:szCs w:val="21"/>
                      </w:rPr>
                    </w:pPr>
                    <w:r>
                      <w:rPr>
                        <w:szCs w:val="21"/>
                      </w:rPr>
                      <w:t>104,941.29</w:t>
                    </w:r>
                  </w:p>
                </w:tc>
                <w:tc>
                  <w:tcPr>
                    <w:tcW w:w="1174" w:type="pct"/>
                    <w:tcBorders>
                      <w:top w:val="single" w:sz="4" w:space="0" w:color="auto"/>
                      <w:left w:val="single" w:sz="4" w:space="0" w:color="auto"/>
                      <w:bottom w:val="single" w:sz="4" w:space="0" w:color="auto"/>
                      <w:right w:val="single" w:sz="4" w:space="0" w:color="auto"/>
                    </w:tcBorders>
                    <w:vAlign w:val="center"/>
                  </w:tcPr>
                  <w:p w14:paraId="298B7838" w14:textId="77777777" w:rsidR="00830E72" w:rsidRDefault="00830E72">
                    <w:pPr>
                      <w:jc w:val="right"/>
                      <w:rPr>
                        <w:szCs w:val="21"/>
                      </w:rPr>
                    </w:pPr>
                  </w:p>
                </w:tc>
                <w:tc>
                  <w:tcPr>
                    <w:tcW w:w="1388" w:type="pct"/>
                    <w:tcBorders>
                      <w:top w:val="single" w:sz="4" w:space="0" w:color="auto"/>
                      <w:left w:val="single" w:sz="4" w:space="0" w:color="auto"/>
                      <w:bottom w:val="single" w:sz="4" w:space="0" w:color="auto"/>
                      <w:right w:val="single" w:sz="4" w:space="0" w:color="auto"/>
                    </w:tcBorders>
                    <w:vAlign w:val="center"/>
                  </w:tcPr>
                  <w:p w14:paraId="668FD0F0" w14:textId="77777777" w:rsidR="00830E72" w:rsidRDefault="008344D8">
                    <w:pPr>
                      <w:jc w:val="center"/>
                      <w:rPr>
                        <w:szCs w:val="21"/>
                      </w:rPr>
                    </w:pPr>
                    <w:r>
                      <w:rPr>
                        <w:szCs w:val="21"/>
                      </w:rPr>
                      <w:t>与收益相关</w:t>
                    </w:r>
                  </w:p>
                </w:tc>
              </w:tr>
            </w:sdtContent>
          </w:sdt>
          <w:sdt>
            <w:sdtPr>
              <w:rPr>
                <w:szCs w:val="21"/>
              </w:rPr>
              <w:alias w:val="计入当期损益的政府补助明细"/>
              <w:tag w:val="_GBC_8d8ea3026a664e94a38609c0bcec2101"/>
              <w:id w:val="1615172162"/>
              <w:lock w:val="sdtLocked"/>
            </w:sdtPr>
            <w:sdtEndPr/>
            <w:sdtContent>
              <w:tr w:rsidR="00830E72" w14:paraId="20A39807" w14:textId="77777777">
                <w:trPr>
                  <w:jc w:val="center"/>
                </w:trPr>
                <w:tc>
                  <w:tcPr>
                    <w:tcW w:w="1158" w:type="pct"/>
                    <w:tcBorders>
                      <w:top w:val="single" w:sz="4" w:space="0" w:color="auto"/>
                      <w:left w:val="single" w:sz="4" w:space="0" w:color="auto"/>
                      <w:bottom w:val="single" w:sz="4" w:space="0" w:color="auto"/>
                      <w:right w:val="single" w:sz="4" w:space="0" w:color="auto"/>
                    </w:tcBorders>
                    <w:vAlign w:val="center"/>
                  </w:tcPr>
                  <w:p w14:paraId="1EB4766F" w14:textId="77777777" w:rsidR="00830E72" w:rsidRDefault="008344D8">
                    <w:pPr>
                      <w:rPr>
                        <w:szCs w:val="21"/>
                      </w:rPr>
                    </w:pPr>
                    <w:r>
                      <w:rPr>
                        <w:rFonts w:hint="eastAsia"/>
                        <w:szCs w:val="21"/>
                      </w:rPr>
                      <w:t>拟上市企业奖励</w:t>
                    </w:r>
                  </w:p>
                </w:tc>
                <w:tc>
                  <w:tcPr>
                    <w:tcW w:w="1280" w:type="pct"/>
                    <w:tcBorders>
                      <w:top w:val="single" w:sz="4" w:space="0" w:color="auto"/>
                      <w:left w:val="single" w:sz="4" w:space="0" w:color="auto"/>
                      <w:bottom w:val="single" w:sz="4" w:space="0" w:color="auto"/>
                      <w:right w:val="single" w:sz="4" w:space="0" w:color="auto"/>
                    </w:tcBorders>
                    <w:vAlign w:val="center"/>
                  </w:tcPr>
                  <w:p w14:paraId="0C303454" w14:textId="77777777" w:rsidR="00830E72" w:rsidRDefault="00830E72">
                    <w:pPr>
                      <w:jc w:val="right"/>
                      <w:rPr>
                        <w:szCs w:val="21"/>
                      </w:rPr>
                    </w:pPr>
                  </w:p>
                </w:tc>
                <w:tc>
                  <w:tcPr>
                    <w:tcW w:w="1174" w:type="pct"/>
                    <w:tcBorders>
                      <w:top w:val="single" w:sz="4" w:space="0" w:color="auto"/>
                      <w:left w:val="single" w:sz="4" w:space="0" w:color="auto"/>
                      <w:bottom w:val="single" w:sz="4" w:space="0" w:color="auto"/>
                      <w:right w:val="single" w:sz="4" w:space="0" w:color="auto"/>
                    </w:tcBorders>
                    <w:vAlign w:val="center"/>
                  </w:tcPr>
                  <w:p w14:paraId="3054303E" w14:textId="77777777" w:rsidR="00830E72" w:rsidRDefault="008344D8">
                    <w:pPr>
                      <w:jc w:val="right"/>
                      <w:rPr>
                        <w:szCs w:val="21"/>
                      </w:rPr>
                    </w:pPr>
                    <w:r>
                      <w:rPr>
                        <w:szCs w:val="21"/>
                      </w:rPr>
                      <w:t>1,000,000.00</w:t>
                    </w:r>
                  </w:p>
                </w:tc>
                <w:tc>
                  <w:tcPr>
                    <w:tcW w:w="1388" w:type="pct"/>
                    <w:tcBorders>
                      <w:top w:val="single" w:sz="4" w:space="0" w:color="auto"/>
                      <w:left w:val="single" w:sz="4" w:space="0" w:color="auto"/>
                      <w:bottom w:val="single" w:sz="4" w:space="0" w:color="auto"/>
                      <w:right w:val="single" w:sz="4" w:space="0" w:color="auto"/>
                    </w:tcBorders>
                    <w:vAlign w:val="center"/>
                  </w:tcPr>
                  <w:p w14:paraId="28CB7711" w14:textId="77777777" w:rsidR="00830E72" w:rsidRDefault="008344D8">
                    <w:pPr>
                      <w:jc w:val="center"/>
                      <w:rPr>
                        <w:szCs w:val="21"/>
                      </w:rPr>
                    </w:pPr>
                    <w:r>
                      <w:rPr>
                        <w:szCs w:val="21"/>
                      </w:rPr>
                      <w:t>与收益相关</w:t>
                    </w:r>
                  </w:p>
                </w:tc>
              </w:tr>
            </w:sdtContent>
          </w:sdt>
          <w:sdt>
            <w:sdtPr>
              <w:rPr>
                <w:szCs w:val="21"/>
              </w:rPr>
              <w:alias w:val="计入当期损益的政府补助明细"/>
              <w:tag w:val="_GBC_8d8ea3026a664e94a38609c0bcec2101"/>
              <w:id w:val="-925186269"/>
              <w:lock w:val="sdtLocked"/>
            </w:sdtPr>
            <w:sdtEndPr/>
            <w:sdtContent>
              <w:tr w:rsidR="00830E72" w14:paraId="43DF98EF" w14:textId="77777777">
                <w:trPr>
                  <w:jc w:val="center"/>
                </w:trPr>
                <w:tc>
                  <w:tcPr>
                    <w:tcW w:w="1158" w:type="pct"/>
                    <w:tcBorders>
                      <w:top w:val="single" w:sz="4" w:space="0" w:color="auto"/>
                      <w:left w:val="single" w:sz="4" w:space="0" w:color="auto"/>
                      <w:bottom w:val="single" w:sz="4" w:space="0" w:color="auto"/>
                      <w:right w:val="single" w:sz="4" w:space="0" w:color="auto"/>
                    </w:tcBorders>
                    <w:vAlign w:val="center"/>
                  </w:tcPr>
                  <w:p w14:paraId="3F0BF7A5" w14:textId="77777777" w:rsidR="00830E72" w:rsidRDefault="008344D8">
                    <w:pPr>
                      <w:spacing w:before="120"/>
                      <w:rPr>
                        <w:szCs w:val="21"/>
                      </w:rPr>
                    </w:pPr>
                    <w:r>
                      <w:rPr>
                        <w:rFonts w:hint="eastAsia"/>
                        <w:szCs w:val="21"/>
                      </w:rPr>
                      <w:t>产业扶持奖励</w:t>
                    </w:r>
                  </w:p>
                </w:tc>
                <w:tc>
                  <w:tcPr>
                    <w:tcW w:w="1280" w:type="pct"/>
                    <w:tcBorders>
                      <w:top w:val="single" w:sz="4" w:space="0" w:color="auto"/>
                      <w:left w:val="single" w:sz="4" w:space="0" w:color="auto"/>
                      <w:bottom w:val="single" w:sz="4" w:space="0" w:color="auto"/>
                      <w:right w:val="single" w:sz="4" w:space="0" w:color="auto"/>
                    </w:tcBorders>
                    <w:vAlign w:val="center"/>
                  </w:tcPr>
                  <w:p w14:paraId="49284A22" w14:textId="77777777" w:rsidR="00830E72" w:rsidRDefault="00830E72">
                    <w:pPr>
                      <w:jc w:val="right"/>
                      <w:rPr>
                        <w:szCs w:val="21"/>
                      </w:rPr>
                    </w:pPr>
                  </w:p>
                </w:tc>
                <w:tc>
                  <w:tcPr>
                    <w:tcW w:w="1174" w:type="pct"/>
                    <w:tcBorders>
                      <w:top w:val="single" w:sz="4" w:space="0" w:color="auto"/>
                      <w:left w:val="single" w:sz="4" w:space="0" w:color="auto"/>
                      <w:bottom w:val="single" w:sz="4" w:space="0" w:color="auto"/>
                      <w:right w:val="single" w:sz="4" w:space="0" w:color="auto"/>
                    </w:tcBorders>
                    <w:vAlign w:val="center"/>
                  </w:tcPr>
                  <w:p w14:paraId="29B0E859" w14:textId="77777777" w:rsidR="00830E72" w:rsidRDefault="008344D8">
                    <w:pPr>
                      <w:jc w:val="right"/>
                      <w:rPr>
                        <w:szCs w:val="21"/>
                      </w:rPr>
                    </w:pPr>
                    <w:r>
                      <w:rPr>
                        <w:szCs w:val="21"/>
                      </w:rPr>
                      <w:t>2,000,000.00</w:t>
                    </w:r>
                  </w:p>
                </w:tc>
                <w:tc>
                  <w:tcPr>
                    <w:tcW w:w="1388" w:type="pct"/>
                    <w:tcBorders>
                      <w:top w:val="single" w:sz="4" w:space="0" w:color="auto"/>
                      <w:left w:val="single" w:sz="4" w:space="0" w:color="auto"/>
                      <w:bottom w:val="single" w:sz="4" w:space="0" w:color="auto"/>
                      <w:right w:val="single" w:sz="4" w:space="0" w:color="auto"/>
                    </w:tcBorders>
                    <w:vAlign w:val="center"/>
                  </w:tcPr>
                  <w:p w14:paraId="02CE6AB0" w14:textId="77777777" w:rsidR="00830E72" w:rsidRDefault="008344D8">
                    <w:pPr>
                      <w:jc w:val="center"/>
                      <w:rPr>
                        <w:szCs w:val="21"/>
                      </w:rPr>
                    </w:pPr>
                    <w:r>
                      <w:rPr>
                        <w:rFonts w:hint="eastAsia"/>
                        <w:szCs w:val="21"/>
                      </w:rPr>
                      <w:t>与收益相关</w:t>
                    </w:r>
                  </w:p>
                </w:tc>
              </w:tr>
            </w:sdtContent>
          </w:sdt>
          <w:sdt>
            <w:sdtPr>
              <w:rPr>
                <w:szCs w:val="21"/>
              </w:rPr>
              <w:alias w:val="计入当期损益的政府补助明细"/>
              <w:tag w:val="_GBC_8d8ea3026a664e94a38609c0bcec2101"/>
              <w:id w:val="2096512278"/>
              <w:lock w:val="sdtLocked"/>
            </w:sdtPr>
            <w:sdtEndPr/>
            <w:sdtContent>
              <w:tr w:rsidR="00830E72" w14:paraId="0AB2E0C1" w14:textId="77777777">
                <w:trPr>
                  <w:jc w:val="center"/>
                </w:trPr>
                <w:tc>
                  <w:tcPr>
                    <w:tcW w:w="1158" w:type="pct"/>
                    <w:tcBorders>
                      <w:top w:val="single" w:sz="4" w:space="0" w:color="auto"/>
                      <w:left w:val="single" w:sz="4" w:space="0" w:color="auto"/>
                      <w:bottom w:val="single" w:sz="4" w:space="0" w:color="auto"/>
                      <w:right w:val="single" w:sz="4" w:space="0" w:color="auto"/>
                    </w:tcBorders>
                    <w:vAlign w:val="center"/>
                  </w:tcPr>
                  <w:p w14:paraId="73FAEF1A" w14:textId="77777777" w:rsidR="00830E72" w:rsidRDefault="008344D8">
                    <w:pPr>
                      <w:spacing w:before="120"/>
                      <w:rPr>
                        <w:szCs w:val="21"/>
                      </w:rPr>
                    </w:pPr>
                    <w:r>
                      <w:rPr>
                        <w:rFonts w:hint="eastAsia"/>
                        <w:szCs w:val="21"/>
                      </w:rPr>
                      <w:t>合计</w:t>
                    </w:r>
                  </w:p>
                </w:tc>
                <w:tc>
                  <w:tcPr>
                    <w:tcW w:w="1280" w:type="pct"/>
                    <w:tcBorders>
                      <w:top w:val="single" w:sz="4" w:space="0" w:color="auto"/>
                      <w:left w:val="single" w:sz="4" w:space="0" w:color="auto"/>
                      <w:bottom w:val="single" w:sz="4" w:space="0" w:color="auto"/>
                      <w:right w:val="single" w:sz="4" w:space="0" w:color="auto"/>
                    </w:tcBorders>
                    <w:vAlign w:val="center"/>
                  </w:tcPr>
                  <w:p w14:paraId="7CB3A6F6" w14:textId="77777777" w:rsidR="00830E72" w:rsidRDefault="008344D8">
                    <w:pPr>
                      <w:jc w:val="right"/>
                      <w:rPr>
                        <w:szCs w:val="21"/>
                      </w:rPr>
                    </w:pPr>
                    <w:r>
                      <w:rPr>
                        <w:szCs w:val="21"/>
                      </w:rPr>
                      <w:t>157,747.92</w:t>
                    </w:r>
                  </w:p>
                </w:tc>
                <w:tc>
                  <w:tcPr>
                    <w:tcW w:w="1174" w:type="pct"/>
                    <w:tcBorders>
                      <w:top w:val="single" w:sz="4" w:space="0" w:color="auto"/>
                      <w:left w:val="single" w:sz="4" w:space="0" w:color="auto"/>
                      <w:bottom w:val="single" w:sz="4" w:space="0" w:color="auto"/>
                      <w:right w:val="single" w:sz="4" w:space="0" w:color="auto"/>
                    </w:tcBorders>
                    <w:vAlign w:val="center"/>
                  </w:tcPr>
                  <w:p w14:paraId="13192893" w14:textId="77777777" w:rsidR="00830E72" w:rsidRDefault="008344D8">
                    <w:pPr>
                      <w:jc w:val="right"/>
                      <w:rPr>
                        <w:szCs w:val="21"/>
                      </w:rPr>
                    </w:pPr>
                    <w:r>
                      <w:rPr>
                        <w:szCs w:val="21"/>
                      </w:rPr>
                      <w:t>3,244,980.00</w:t>
                    </w:r>
                  </w:p>
                </w:tc>
                <w:tc>
                  <w:tcPr>
                    <w:tcW w:w="1388" w:type="pct"/>
                    <w:tcBorders>
                      <w:top w:val="single" w:sz="4" w:space="0" w:color="auto"/>
                      <w:left w:val="single" w:sz="4" w:space="0" w:color="auto"/>
                      <w:bottom w:val="single" w:sz="4" w:space="0" w:color="auto"/>
                      <w:right w:val="single" w:sz="4" w:space="0" w:color="auto"/>
                    </w:tcBorders>
                    <w:vAlign w:val="center"/>
                  </w:tcPr>
                  <w:p w14:paraId="473656F5" w14:textId="77777777" w:rsidR="00830E72" w:rsidRDefault="00830E72">
                    <w:pPr>
                      <w:rPr>
                        <w:szCs w:val="21"/>
                      </w:rPr>
                    </w:pPr>
                  </w:p>
                </w:tc>
              </w:tr>
            </w:sdtContent>
          </w:sdt>
        </w:tbl>
        <w:p w14:paraId="0B65073C" w14:textId="77777777" w:rsidR="00830E72" w:rsidRDefault="00D44830"/>
      </w:sdtContent>
    </w:sdt>
    <w:sdt>
      <w:sdtPr>
        <w:rPr>
          <w:rFonts w:hint="eastAsia"/>
          <w:szCs w:val="21"/>
        </w:rPr>
        <w:alias w:val="模块:营业外收入说明"/>
        <w:tag w:val="_GBC_613f834d57f34b828d1fb937ee139a13"/>
        <w:id w:val="-1870903896"/>
        <w:lock w:val="sdtLocked"/>
        <w:placeholder>
          <w:docPart w:val="GBC22222222222222222222222222222"/>
        </w:placeholder>
      </w:sdtPr>
      <w:sdtEndPr/>
      <w:sdtContent>
        <w:p w14:paraId="3DD34856" w14:textId="77777777" w:rsidR="00830E72" w:rsidRDefault="008344D8">
          <w:pPr>
            <w:spacing w:line="360" w:lineRule="exact"/>
            <w:rPr>
              <w:szCs w:val="21"/>
            </w:rPr>
          </w:pPr>
          <w:r>
            <w:rPr>
              <w:rFonts w:hint="eastAsia"/>
              <w:szCs w:val="21"/>
            </w:rPr>
            <w:t>其他说明：</w:t>
          </w:r>
        </w:p>
        <w:sdt>
          <w:sdtPr>
            <w:rPr>
              <w:szCs w:val="21"/>
            </w:rPr>
            <w:alias w:val="是否适用：营业外收入说明[双击切换]"/>
            <w:tag w:val="_GBC_9bd4fc9f0fcc4e85bee85b3ce60c8b2c"/>
            <w:id w:val="638998129"/>
            <w:lock w:val="sdtLocked"/>
            <w:placeholder>
              <w:docPart w:val="GBC22222222222222222222222222222"/>
            </w:placeholder>
          </w:sdtPr>
          <w:sdtEndPr/>
          <w:sdtContent>
            <w:p w14:paraId="6D8AE647"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4B1263C" w14:textId="77777777" w:rsidR="00830E72" w:rsidRDefault="00830E72"/>
    <w:sdt>
      <w:sdtPr>
        <w:rPr>
          <w:rFonts w:ascii="宋体" w:hAnsi="宋体" w:cs="宋体" w:hint="eastAsia"/>
          <w:b w:val="0"/>
          <w:bCs w:val="0"/>
          <w:kern w:val="0"/>
          <w:szCs w:val="21"/>
        </w:rPr>
        <w:alias w:val="模块:营业外支出"/>
        <w:tag w:val="_GBC_7c51aa70be1f405d954dc316ed26b5b4"/>
        <w:id w:val="1526602002"/>
        <w:lock w:val="sdtLocked"/>
        <w:placeholder>
          <w:docPart w:val="GBC22222222222222222222222222222"/>
        </w:placeholder>
      </w:sdtPr>
      <w:sdtEndPr>
        <w:rPr>
          <w:rFonts w:cstheme="minorBidi"/>
        </w:rPr>
      </w:sdtEndPr>
      <w:sdtContent>
        <w:p w14:paraId="03E6ADDC" w14:textId="77777777" w:rsidR="000232BB" w:rsidRDefault="000232BB" w:rsidP="000232BB">
          <w:pPr>
            <w:pStyle w:val="3"/>
            <w:numPr>
              <w:ilvl w:val="0"/>
              <w:numId w:val="45"/>
            </w:numPr>
            <w:tabs>
              <w:tab w:val="left" w:pos="504"/>
            </w:tabs>
            <w:rPr>
              <w:rFonts w:ascii="宋体" w:hAnsi="宋体"/>
              <w:szCs w:val="21"/>
            </w:rPr>
          </w:pPr>
          <w:r>
            <w:rPr>
              <w:rFonts w:ascii="宋体" w:hAnsi="宋体" w:hint="eastAsia"/>
              <w:szCs w:val="21"/>
            </w:rPr>
            <w:t>营业外支出</w:t>
          </w:r>
        </w:p>
        <w:sdt>
          <w:sdtPr>
            <w:alias w:val="是否适用：营业外支出[双击切换]"/>
            <w:tag w:val="_GBC_6d4b8ac674ce425b8c798e92aa1fe455"/>
            <w:id w:val="-1703479497"/>
            <w:lock w:val="sdtContentLocked"/>
          </w:sdtPr>
          <w:sdtEndPr/>
          <w:sdtContent>
            <w:p w14:paraId="43A8750A" w14:textId="77777777" w:rsidR="000232BB" w:rsidRDefault="000232BB">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14:paraId="309EC93D" w14:textId="77777777" w:rsidR="000232BB" w:rsidRDefault="000232BB">
          <w:pPr>
            <w:jc w:val="right"/>
            <w:rPr>
              <w:szCs w:val="21"/>
            </w:rPr>
          </w:pPr>
          <w:r>
            <w:rPr>
              <w:rFonts w:hint="eastAsia"/>
              <w:szCs w:val="21"/>
            </w:rPr>
            <w:t>单位：</w:t>
          </w:r>
          <w:sdt>
            <w:sdtPr>
              <w:rPr>
                <w:rFonts w:hint="eastAsia"/>
                <w:szCs w:val="21"/>
              </w:rPr>
              <w:alias w:val="单位：财务附注：营业外支出"/>
              <w:tag w:val="_GBC_f8678a9a1bbf4b0697744c5d21146839"/>
              <w:id w:val="-124332587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61e3e82ad5404a9987623525ac03d95e"/>
              <w:id w:val="183918668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1743"/>
            <w:gridCol w:w="2329"/>
            <w:gridCol w:w="2317"/>
          </w:tblGrid>
          <w:tr w:rsidR="000232BB" w14:paraId="343AF68B" w14:textId="77777777" w:rsidTr="000232BB">
            <w:sdt>
              <w:sdtPr>
                <w:tag w:val="_PLD_6abf292cb0a7463788e39d1bdabb85fc"/>
                <w:id w:val="568009775"/>
                <w:lock w:val="sdtLocked"/>
              </w:sdtPr>
              <w:sdtEndPr/>
              <w:sdtContent>
                <w:tc>
                  <w:tcPr>
                    <w:tcW w:w="1470" w:type="pct"/>
                    <w:tcBorders>
                      <w:top w:val="single" w:sz="4" w:space="0" w:color="auto"/>
                      <w:left w:val="single" w:sz="4" w:space="0" w:color="auto"/>
                      <w:bottom w:val="single" w:sz="4" w:space="0" w:color="auto"/>
                      <w:right w:val="single" w:sz="4" w:space="0" w:color="auto"/>
                    </w:tcBorders>
                    <w:vAlign w:val="center"/>
                  </w:tcPr>
                  <w:p w14:paraId="569B035F" w14:textId="77777777" w:rsidR="000232BB" w:rsidRDefault="000232BB">
                    <w:pPr>
                      <w:autoSpaceDE w:val="0"/>
                      <w:autoSpaceDN w:val="0"/>
                      <w:adjustRightInd w:val="0"/>
                      <w:jc w:val="center"/>
                      <w:rPr>
                        <w:szCs w:val="21"/>
                      </w:rPr>
                    </w:pPr>
                    <w:r>
                      <w:rPr>
                        <w:rFonts w:hint="eastAsia"/>
                        <w:szCs w:val="21"/>
                      </w:rPr>
                      <w:t>项目</w:t>
                    </w:r>
                  </w:p>
                </w:tc>
              </w:sdtContent>
            </w:sdt>
            <w:sdt>
              <w:sdtPr>
                <w:tag w:val="_PLD_36a30142728e41bb9c215b73cfe3204c"/>
                <w:id w:val="2085409562"/>
                <w:lock w:val="sdtLocked"/>
              </w:sdtPr>
              <w:sdtEndPr/>
              <w:sdtContent>
                <w:tc>
                  <w:tcPr>
                    <w:tcW w:w="963" w:type="pct"/>
                    <w:tcBorders>
                      <w:top w:val="single" w:sz="4" w:space="0" w:color="auto"/>
                      <w:left w:val="single" w:sz="4" w:space="0" w:color="auto"/>
                      <w:bottom w:val="single" w:sz="4" w:space="0" w:color="auto"/>
                      <w:right w:val="single" w:sz="4" w:space="0" w:color="auto"/>
                    </w:tcBorders>
                    <w:vAlign w:val="center"/>
                  </w:tcPr>
                  <w:p w14:paraId="13DD4807" w14:textId="77777777" w:rsidR="000232BB" w:rsidRDefault="000232BB">
                    <w:pPr>
                      <w:autoSpaceDE w:val="0"/>
                      <w:autoSpaceDN w:val="0"/>
                      <w:adjustRightInd w:val="0"/>
                      <w:jc w:val="center"/>
                      <w:rPr>
                        <w:szCs w:val="21"/>
                      </w:rPr>
                    </w:pPr>
                    <w:r>
                      <w:rPr>
                        <w:rFonts w:hint="eastAsia"/>
                        <w:szCs w:val="21"/>
                      </w:rPr>
                      <w:t>本期发生额</w:t>
                    </w:r>
                  </w:p>
                </w:tc>
              </w:sdtContent>
            </w:sdt>
            <w:sdt>
              <w:sdtPr>
                <w:tag w:val="_PLD_16b0936bf8024bdf99cf883b1827419f"/>
                <w:id w:val="-329293914"/>
                <w:lock w:val="sdtLocked"/>
              </w:sdtPr>
              <w:sdtEndPr/>
              <w:sdtContent>
                <w:tc>
                  <w:tcPr>
                    <w:tcW w:w="1287" w:type="pct"/>
                    <w:tcBorders>
                      <w:top w:val="single" w:sz="4" w:space="0" w:color="auto"/>
                      <w:left w:val="single" w:sz="4" w:space="0" w:color="auto"/>
                      <w:bottom w:val="single" w:sz="4" w:space="0" w:color="auto"/>
                      <w:right w:val="single" w:sz="4" w:space="0" w:color="auto"/>
                    </w:tcBorders>
                    <w:vAlign w:val="center"/>
                  </w:tcPr>
                  <w:p w14:paraId="2B20F954" w14:textId="77777777" w:rsidR="000232BB" w:rsidRDefault="000232BB">
                    <w:pPr>
                      <w:autoSpaceDE w:val="0"/>
                      <w:autoSpaceDN w:val="0"/>
                      <w:adjustRightInd w:val="0"/>
                      <w:jc w:val="center"/>
                      <w:rPr>
                        <w:szCs w:val="21"/>
                      </w:rPr>
                    </w:pPr>
                    <w:r>
                      <w:rPr>
                        <w:rFonts w:hint="eastAsia"/>
                        <w:szCs w:val="21"/>
                      </w:rPr>
                      <w:t>上期发生额</w:t>
                    </w:r>
                  </w:p>
                </w:tc>
              </w:sdtContent>
            </w:sdt>
            <w:sdt>
              <w:sdtPr>
                <w:tag w:val="_PLD_92014506c2824f6fbe79731f91aa61bc"/>
                <w:id w:val="-1053458811"/>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2B09DB9E" w14:textId="77777777" w:rsidR="000232BB" w:rsidRDefault="000232BB">
                    <w:pPr>
                      <w:autoSpaceDE w:val="0"/>
                      <w:autoSpaceDN w:val="0"/>
                      <w:adjustRightInd w:val="0"/>
                      <w:jc w:val="center"/>
                      <w:rPr>
                        <w:szCs w:val="21"/>
                      </w:rPr>
                    </w:pPr>
                    <w:r>
                      <w:rPr>
                        <w:rFonts w:hint="eastAsia"/>
                        <w:szCs w:val="21"/>
                      </w:rPr>
                      <w:t>计入当期非经常性损益的金额</w:t>
                    </w:r>
                  </w:p>
                </w:tc>
              </w:sdtContent>
            </w:sdt>
          </w:tr>
          <w:tr w:rsidR="000232BB" w14:paraId="15E1CA0E" w14:textId="77777777" w:rsidTr="000232BB">
            <w:sdt>
              <w:sdtPr>
                <w:tag w:val="_PLD_062273c2b8444b53b1d55cd4655089a0"/>
                <w:id w:val="244538930"/>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55110A89" w14:textId="77777777" w:rsidR="000232BB" w:rsidRDefault="000232BB">
                    <w:pPr>
                      <w:autoSpaceDE w:val="0"/>
                      <w:autoSpaceDN w:val="0"/>
                      <w:adjustRightInd w:val="0"/>
                      <w:rPr>
                        <w:szCs w:val="21"/>
                      </w:rPr>
                    </w:pPr>
                    <w:r>
                      <w:rPr>
                        <w:rFonts w:hint="eastAsia"/>
                        <w:szCs w:val="21"/>
                      </w:rPr>
                      <w:t>非流动资产处置损失合计</w:t>
                    </w:r>
                  </w:p>
                </w:tc>
              </w:sdtContent>
            </w:sdt>
            <w:tc>
              <w:tcPr>
                <w:tcW w:w="963" w:type="pct"/>
                <w:tcBorders>
                  <w:top w:val="single" w:sz="4" w:space="0" w:color="auto"/>
                  <w:left w:val="single" w:sz="4" w:space="0" w:color="auto"/>
                  <w:bottom w:val="single" w:sz="4" w:space="0" w:color="auto"/>
                  <w:right w:val="single" w:sz="4" w:space="0" w:color="auto"/>
                </w:tcBorders>
              </w:tcPr>
              <w:p w14:paraId="09CE1405" w14:textId="77777777" w:rsidR="000232BB" w:rsidRDefault="000232BB">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14:paraId="41E2CD06" w14:textId="0ECFA330" w:rsidR="000232BB" w:rsidRDefault="000232BB">
                <w:pPr>
                  <w:jc w:val="right"/>
                  <w:rPr>
                    <w:szCs w:val="21"/>
                  </w:rPr>
                </w:pPr>
                <w:r w:rsidRPr="000232BB">
                  <w:rPr>
                    <w:szCs w:val="21"/>
                  </w:rPr>
                  <w:t>19,178.53</w:t>
                </w:r>
              </w:p>
            </w:tc>
            <w:tc>
              <w:tcPr>
                <w:tcW w:w="1280" w:type="pct"/>
                <w:tcBorders>
                  <w:top w:val="single" w:sz="4" w:space="0" w:color="auto"/>
                  <w:left w:val="single" w:sz="4" w:space="0" w:color="auto"/>
                  <w:bottom w:val="single" w:sz="4" w:space="0" w:color="auto"/>
                  <w:right w:val="single" w:sz="4" w:space="0" w:color="auto"/>
                </w:tcBorders>
              </w:tcPr>
              <w:p w14:paraId="34E0246A" w14:textId="77777777" w:rsidR="000232BB" w:rsidRDefault="000232BB">
                <w:pPr>
                  <w:autoSpaceDE w:val="0"/>
                  <w:autoSpaceDN w:val="0"/>
                  <w:adjustRightInd w:val="0"/>
                  <w:jc w:val="right"/>
                  <w:rPr>
                    <w:szCs w:val="21"/>
                  </w:rPr>
                </w:pPr>
              </w:p>
            </w:tc>
          </w:tr>
          <w:sdt>
            <w:sdtPr>
              <w:rPr>
                <w:rFonts w:hint="eastAsia"/>
                <w:szCs w:val="21"/>
              </w:rPr>
              <w:alias w:val="营业外支出明细"/>
              <w:tag w:val="_GBC_5b9df89383994b599a7029fc70bb3881"/>
              <w:id w:val="-695769630"/>
              <w:lock w:val="sdtLocked"/>
              <w:placeholder>
                <w:docPart w:val="A7D8F08A42BD41A4A204F68A7CA39DFD"/>
              </w:placeholder>
            </w:sdtPr>
            <w:sdtEndPr/>
            <w:sdtContent>
              <w:tr w:rsidR="000232BB" w14:paraId="6F508C52" w14:textId="77777777" w:rsidTr="000232BB">
                <w:tc>
                  <w:tcPr>
                    <w:tcW w:w="1470" w:type="pct"/>
                    <w:tcBorders>
                      <w:top w:val="single" w:sz="4" w:space="0" w:color="auto"/>
                      <w:left w:val="single" w:sz="4" w:space="0" w:color="auto"/>
                      <w:bottom w:val="single" w:sz="4" w:space="0" w:color="auto"/>
                      <w:right w:val="single" w:sz="4" w:space="0" w:color="auto"/>
                    </w:tcBorders>
                  </w:tcPr>
                  <w:p w14:paraId="64414036" w14:textId="77777777" w:rsidR="000232BB" w:rsidRDefault="000232BB">
                    <w:pPr>
                      <w:rPr>
                        <w:szCs w:val="21"/>
                      </w:rPr>
                    </w:pPr>
                    <w:r>
                      <w:rPr>
                        <w:rFonts w:hint="eastAsia"/>
                        <w:szCs w:val="21"/>
                      </w:rPr>
                      <w:t>非流动资产毁损报废损失</w:t>
                    </w:r>
                  </w:p>
                </w:tc>
                <w:tc>
                  <w:tcPr>
                    <w:tcW w:w="963" w:type="pct"/>
                    <w:tcBorders>
                      <w:top w:val="single" w:sz="4" w:space="0" w:color="auto"/>
                      <w:left w:val="single" w:sz="4" w:space="0" w:color="auto"/>
                      <w:bottom w:val="single" w:sz="4" w:space="0" w:color="auto"/>
                      <w:right w:val="single" w:sz="4" w:space="0" w:color="auto"/>
                    </w:tcBorders>
                  </w:tcPr>
                  <w:p w14:paraId="364937E7" w14:textId="77777777" w:rsidR="000232BB" w:rsidRDefault="000232BB">
                    <w:pPr>
                      <w:jc w:val="right"/>
                      <w:rPr>
                        <w:szCs w:val="21"/>
                      </w:rPr>
                    </w:pPr>
                    <w:r>
                      <w:rPr>
                        <w:rFonts w:hint="eastAsia"/>
                        <w:szCs w:val="21"/>
                      </w:rPr>
                      <w:t>2,343.62</w:t>
                    </w:r>
                  </w:p>
                </w:tc>
                <w:tc>
                  <w:tcPr>
                    <w:tcW w:w="1287" w:type="pct"/>
                    <w:tcBorders>
                      <w:top w:val="single" w:sz="4" w:space="0" w:color="auto"/>
                      <w:left w:val="single" w:sz="4" w:space="0" w:color="auto"/>
                      <w:bottom w:val="single" w:sz="4" w:space="0" w:color="auto"/>
                      <w:right w:val="single" w:sz="4" w:space="0" w:color="auto"/>
                    </w:tcBorders>
                  </w:tcPr>
                  <w:p w14:paraId="31F25C0E" w14:textId="4EB4141F" w:rsidR="000232BB" w:rsidRDefault="000232BB">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39C25556" w14:textId="77777777" w:rsidR="000232BB" w:rsidRDefault="000232BB">
                    <w:pPr>
                      <w:jc w:val="right"/>
                      <w:rPr>
                        <w:szCs w:val="21"/>
                      </w:rPr>
                    </w:pPr>
                    <w:r>
                      <w:rPr>
                        <w:rFonts w:hint="eastAsia"/>
                        <w:szCs w:val="21"/>
                      </w:rPr>
                      <w:t>2,343.62</w:t>
                    </w:r>
                  </w:p>
                </w:tc>
              </w:tr>
            </w:sdtContent>
          </w:sdt>
          <w:sdt>
            <w:sdtPr>
              <w:rPr>
                <w:rFonts w:hint="eastAsia"/>
                <w:szCs w:val="21"/>
              </w:rPr>
              <w:alias w:val="营业外支出明细"/>
              <w:tag w:val="_GBC_5b9df89383994b599a7029fc70bb3881"/>
              <w:id w:val="1915901211"/>
              <w:lock w:val="sdtLocked"/>
              <w:placeholder>
                <w:docPart w:val="A7D8F08A42BD41A4A204F68A7CA39DFD"/>
              </w:placeholder>
            </w:sdtPr>
            <w:sdtEndPr/>
            <w:sdtContent>
              <w:tr w:rsidR="000232BB" w14:paraId="6523770C" w14:textId="77777777" w:rsidTr="000232BB">
                <w:tc>
                  <w:tcPr>
                    <w:tcW w:w="1470" w:type="pct"/>
                    <w:tcBorders>
                      <w:top w:val="single" w:sz="4" w:space="0" w:color="auto"/>
                      <w:left w:val="single" w:sz="4" w:space="0" w:color="auto"/>
                      <w:bottom w:val="single" w:sz="4" w:space="0" w:color="auto"/>
                      <w:right w:val="single" w:sz="4" w:space="0" w:color="auto"/>
                    </w:tcBorders>
                  </w:tcPr>
                  <w:p w14:paraId="00241BF5" w14:textId="77777777" w:rsidR="000232BB" w:rsidRDefault="000232BB">
                    <w:pPr>
                      <w:rPr>
                        <w:szCs w:val="21"/>
                      </w:rPr>
                    </w:pPr>
                    <w:r>
                      <w:rPr>
                        <w:rFonts w:hint="eastAsia"/>
                        <w:szCs w:val="21"/>
                      </w:rPr>
                      <w:t>其他</w:t>
                    </w:r>
                  </w:p>
                </w:tc>
                <w:tc>
                  <w:tcPr>
                    <w:tcW w:w="963" w:type="pct"/>
                    <w:tcBorders>
                      <w:top w:val="single" w:sz="4" w:space="0" w:color="auto"/>
                      <w:left w:val="single" w:sz="4" w:space="0" w:color="auto"/>
                      <w:bottom w:val="single" w:sz="4" w:space="0" w:color="auto"/>
                      <w:right w:val="single" w:sz="4" w:space="0" w:color="auto"/>
                    </w:tcBorders>
                  </w:tcPr>
                  <w:p w14:paraId="0451245B" w14:textId="77777777" w:rsidR="000232BB" w:rsidRDefault="000232BB">
                    <w:pPr>
                      <w:jc w:val="right"/>
                      <w:rPr>
                        <w:szCs w:val="21"/>
                      </w:rPr>
                    </w:pPr>
                    <w:r>
                      <w:rPr>
                        <w:rFonts w:hint="eastAsia"/>
                        <w:szCs w:val="21"/>
                      </w:rPr>
                      <w:t>568,277.67</w:t>
                    </w:r>
                  </w:p>
                </w:tc>
                <w:tc>
                  <w:tcPr>
                    <w:tcW w:w="1287" w:type="pct"/>
                    <w:tcBorders>
                      <w:top w:val="single" w:sz="4" w:space="0" w:color="auto"/>
                      <w:left w:val="single" w:sz="4" w:space="0" w:color="auto"/>
                      <w:bottom w:val="single" w:sz="4" w:space="0" w:color="auto"/>
                      <w:right w:val="single" w:sz="4" w:space="0" w:color="auto"/>
                    </w:tcBorders>
                  </w:tcPr>
                  <w:p w14:paraId="37EC59D4" w14:textId="77777777" w:rsidR="000232BB" w:rsidRDefault="000232BB">
                    <w:pPr>
                      <w:jc w:val="right"/>
                      <w:rPr>
                        <w:szCs w:val="21"/>
                      </w:rPr>
                    </w:pPr>
                    <w:r>
                      <w:rPr>
                        <w:rFonts w:hint="eastAsia"/>
                        <w:szCs w:val="21"/>
                      </w:rPr>
                      <w:t>68,800.94</w:t>
                    </w:r>
                  </w:p>
                </w:tc>
                <w:tc>
                  <w:tcPr>
                    <w:tcW w:w="1280" w:type="pct"/>
                    <w:tcBorders>
                      <w:top w:val="single" w:sz="4" w:space="0" w:color="auto"/>
                      <w:left w:val="single" w:sz="4" w:space="0" w:color="auto"/>
                      <w:bottom w:val="single" w:sz="4" w:space="0" w:color="auto"/>
                      <w:right w:val="single" w:sz="4" w:space="0" w:color="auto"/>
                    </w:tcBorders>
                  </w:tcPr>
                  <w:p w14:paraId="013EE6A8" w14:textId="77777777" w:rsidR="000232BB" w:rsidRDefault="000232BB">
                    <w:pPr>
                      <w:jc w:val="right"/>
                      <w:rPr>
                        <w:szCs w:val="21"/>
                      </w:rPr>
                    </w:pPr>
                    <w:r>
                      <w:rPr>
                        <w:rFonts w:hint="eastAsia"/>
                        <w:szCs w:val="21"/>
                      </w:rPr>
                      <w:t>568,277.67</w:t>
                    </w:r>
                  </w:p>
                </w:tc>
              </w:tr>
            </w:sdtContent>
          </w:sdt>
          <w:tr w:rsidR="000232BB" w14:paraId="58D55595" w14:textId="77777777" w:rsidTr="000232BB">
            <w:sdt>
              <w:sdtPr>
                <w:tag w:val="_PLD_c2b9d5e76f4549198980f8ca24fe3112"/>
                <w:id w:val="-1025402327"/>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1C9AF429" w14:textId="77777777" w:rsidR="000232BB" w:rsidRDefault="000232BB">
                    <w:pPr>
                      <w:ind w:right="6"/>
                      <w:jc w:val="center"/>
                      <w:rPr>
                        <w:szCs w:val="21"/>
                      </w:rPr>
                    </w:pPr>
                    <w:r>
                      <w:rPr>
                        <w:rFonts w:hint="eastAsia"/>
                        <w:szCs w:val="21"/>
                      </w:rPr>
                      <w:t>合计</w:t>
                    </w:r>
                  </w:p>
                </w:tc>
              </w:sdtContent>
            </w:sdt>
            <w:tc>
              <w:tcPr>
                <w:tcW w:w="963" w:type="pct"/>
                <w:tcBorders>
                  <w:top w:val="single" w:sz="4" w:space="0" w:color="auto"/>
                  <w:left w:val="single" w:sz="4" w:space="0" w:color="auto"/>
                  <w:bottom w:val="single" w:sz="4" w:space="0" w:color="auto"/>
                  <w:right w:val="single" w:sz="4" w:space="0" w:color="auto"/>
                </w:tcBorders>
              </w:tcPr>
              <w:p w14:paraId="7F957DF1" w14:textId="77777777" w:rsidR="000232BB" w:rsidRDefault="000232BB">
                <w:pPr>
                  <w:jc w:val="right"/>
                  <w:rPr>
                    <w:szCs w:val="21"/>
                  </w:rPr>
                </w:pPr>
                <w:r>
                  <w:rPr>
                    <w:rFonts w:hint="eastAsia"/>
                    <w:szCs w:val="21"/>
                  </w:rPr>
                  <w:t>570,621.29</w:t>
                </w:r>
              </w:p>
            </w:tc>
            <w:tc>
              <w:tcPr>
                <w:tcW w:w="1287" w:type="pct"/>
                <w:tcBorders>
                  <w:top w:val="single" w:sz="4" w:space="0" w:color="auto"/>
                  <w:left w:val="single" w:sz="4" w:space="0" w:color="auto"/>
                  <w:bottom w:val="single" w:sz="4" w:space="0" w:color="auto"/>
                  <w:right w:val="single" w:sz="4" w:space="0" w:color="auto"/>
                </w:tcBorders>
              </w:tcPr>
              <w:p w14:paraId="250D7778" w14:textId="77777777" w:rsidR="000232BB" w:rsidRDefault="000232BB">
                <w:pPr>
                  <w:jc w:val="right"/>
                  <w:rPr>
                    <w:szCs w:val="21"/>
                  </w:rPr>
                </w:pPr>
                <w:r>
                  <w:rPr>
                    <w:rFonts w:hint="eastAsia"/>
                    <w:szCs w:val="21"/>
                  </w:rPr>
                  <w:t>87,979.47</w:t>
                </w:r>
              </w:p>
            </w:tc>
            <w:tc>
              <w:tcPr>
                <w:tcW w:w="1280" w:type="pct"/>
                <w:tcBorders>
                  <w:top w:val="single" w:sz="4" w:space="0" w:color="auto"/>
                  <w:left w:val="single" w:sz="4" w:space="0" w:color="auto"/>
                  <w:bottom w:val="single" w:sz="4" w:space="0" w:color="auto"/>
                  <w:right w:val="single" w:sz="4" w:space="0" w:color="auto"/>
                </w:tcBorders>
              </w:tcPr>
              <w:p w14:paraId="10AD063F" w14:textId="77777777" w:rsidR="000232BB" w:rsidRDefault="000232BB">
                <w:pPr>
                  <w:autoSpaceDE w:val="0"/>
                  <w:autoSpaceDN w:val="0"/>
                  <w:adjustRightInd w:val="0"/>
                  <w:jc w:val="right"/>
                  <w:rPr>
                    <w:szCs w:val="21"/>
                  </w:rPr>
                </w:pPr>
                <w:r>
                  <w:rPr>
                    <w:rFonts w:hint="eastAsia"/>
                    <w:szCs w:val="21"/>
                  </w:rPr>
                  <w:t>570,621.29</w:t>
                </w:r>
              </w:p>
            </w:tc>
          </w:tr>
        </w:tbl>
        <w:p w14:paraId="2E5B177E" w14:textId="0728F824" w:rsidR="00830E72" w:rsidRDefault="00D44830">
          <w:pPr>
            <w:rPr>
              <w:szCs w:val="21"/>
            </w:rPr>
          </w:pPr>
        </w:p>
      </w:sdtContent>
    </w:sdt>
    <w:p w14:paraId="77A10A52" w14:textId="77777777" w:rsidR="00830E72" w:rsidRDefault="00830E72"/>
    <w:sdt>
      <w:sdtPr>
        <w:rPr>
          <w:rFonts w:ascii="宋体" w:hAnsi="宋体" w:cs="宋体" w:hint="eastAsia"/>
          <w:b w:val="0"/>
          <w:bCs w:val="0"/>
          <w:kern w:val="0"/>
          <w:szCs w:val="21"/>
        </w:rPr>
        <w:alias w:val="模块:所得税费用"/>
        <w:tag w:val="_GBC_c8eb4731730a4ca395e992a85b3eafe1"/>
        <w:id w:val="645635672"/>
        <w:lock w:val="sdtLocked"/>
        <w:placeholder>
          <w:docPart w:val="GBC22222222222222222222222222222"/>
        </w:placeholder>
      </w:sdtPr>
      <w:sdtEndPr>
        <w:rPr>
          <w:rFonts w:cstheme="minorBidi" w:hint="default"/>
        </w:rPr>
      </w:sdtEndPr>
      <w:sdtContent>
        <w:p w14:paraId="7815EBEA"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所得税费用</w:t>
          </w:r>
        </w:p>
        <w:p w14:paraId="7C086139" w14:textId="77777777" w:rsidR="00830E72" w:rsidRDefault="008344D8">
          <w:pPr>
            <w:pStyle w:val="Style100"/>
            <w:numPr>
              <w:ilvl w:val="0"/>
              <w:numId w:val="74"/>
            </w:numPr>
            <w:rPr>
              <w:rFonts w:ascii="宋体" w:hAnsi="宋体"/>
            </w:rPr>
          </w:pPr>
          <w:r>
            <w:rPr>
              <w:rFonts w:ascii="宋体" w:hAnsi="宋体" w:hint="eastAsia"/>
            </w:rPr>
            <w:t>所得税费用表</w:t>
          </w:r>
        </w:p>
        <w:sdt>
          <w:sdtPr>
            <w:alias w:val="是否适用：所得税费用表[双击切换]"/>
            <w:tag w:val="_GBC_61ff35087b014685a6e03347957ab922"/>
            <w:id w:val="-1764066265"/>
            <w:lock w:val="sdtContentLocked"/>
            <w:placeholder>
              <w:docPart w:val="GBC22222222222222222222222222222"/>
            </w:placeholder>
          </w:sdtPr>
          <w:sdtEndPr/>
          <w:sdtContent>
            <w:p w14:paraId="6886B33A"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296AB17" w14:textId="77777777" w:rsidR="00830E72" w:rsidRDefault="008344D8">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6159087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ecc6df02f1744ff084d6c0d30045219a"/>
              <w:id w:val="9079642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3157"/>
            <w:gridCol w:w="2877"/>
            <w:gridCol w:w="2861"/>
          </w:tblGrid>
          <w:tr w:rsidR="00830E72" w14:paraId="1EB0D8E8" w14:textId="77777777">
            <w:trPr>
              <w:trHeight w:val="87"/>
            </w:trPr>
            <w:sdt>
              <w:sdtPr>
                <w:tag w:val="_PLD_951f380ec376457cb80126c7d6018f65"/>
                <w:id w:val="-1685671240"/>
                <w:lock w:val="sdtLocked"/>
              </w:sdtPr>
              <w:sdtEndPr/>
              <w:sdtContent>
                <w:tc>
                  <w:tcPr>
                    <w:tcW w:w="1774" w:type="pct"/>
                    <w:vAlign w:val="center"/>
                  </w:tcPr>
                  <w:p w14:paraId="392E3DDD" w14:textId="77777777" w:rsidR="00830E72" w:rsidRDefault="008344D8">
                    <w:pPr>
                      <w:ind w:right="6"/>
                      <w:jc w:val="center"/>
                      <w:rPr>
                        <w:szCs w:val="21"/>
                      </w:rPr>
                    </w:pPr>
                    <w:r>
                      <w:rPr>
                        <w:rFonts w:hint="eastAsia"/>
                        <w:szCs w:val="21"/>
                      </w:rPr>
                      <w:t>项目</w:t>
                    </w:r>
                  </w:p>
                </w:tc>
              </w:sdtContent>
            </w:sdt>
            <w:sdt>
              <w:sdtPr>
                <w:tag w:val="_PLD_1e59791ce9d340b7b60e63b833f13708"/>
                <w:id w:val="-1130391539"/>
                <w:lock w:val="sdtLocked"/>
              </w:sdtPr>
              <w:sdtEndPr/>
              <w:sdtContent>
                <w:tc>
                  <w:tcPr>
                    <w:tcW w:w="1617" w:type="pct"/>
                    <w:vAlign w:val="center"/>
                  </w:tcPr>
                  <w:p w14:paraId="3E081D14" w14:textId="77777777" w:rsidR="00830E72" w:rsidRDefault="008344D8">
                    <w:pPr>
                      <w:ind w:right="6"/>
                      <w:jc w:val="center"/>
                      <w:rPr>
                        <w:szCs w:val="21"/>
                      </w:rPr>
                    </w:pPr>
                    <w:r>
                      <w:rPr>
                        <w:rFonts w:hint="eastAsia"/>
                        <w:szCs w:val="21"/>
                      </w:rPr>
                      <w:t>本期发生额</w:t>
                    </w:r>
                  </w:p>
                </w:tc>
              </w:sdtContent>
            </w:sdt>
            <w:sdt>
              <w:sdtPr>
                <w:tag w:val="_PLD_23c0825dcbc74481a17a7811dee40e02"/>
                <w:id w:val="1543252863"/>
                <w:lock w:val="sdtLocked"/>
              </w:sdtPr>
              <w:sdtEndPr/>
              <w:sdtContent>
                <w:tc>
                  <w:tcPr>
                    <w:tcW w:w="1608" w:type="pct"/>
                    <w:vAlign w:val="center"/>
                  </w:tcPr>
                  <w:p w14:paraId="58506147" w14:textId="77777777" w:rsidR="00830E72" w:rsidRDefault="008344D8">
                    <w:pPr>
                      <w:ind w:right="6"/>
                      <w:jc w:val="center"/>
                      <w:rPr>
                        <w:szCs w:val="21"/>
                      </w:rPr>
                    </w:pPr>
                    <w:r>
                      <w:rPr>
                        <w:rFonts w:hint="eastAsia"/>
                        <w:szCs w:val="21"/>
                      </w:rPr>
                      <w:t>上期发生额</w:t>
                    </w:r>
                  </w:p>
                </w:tc>
              </w:sdtContent>
            </w:sdt>
          </w:tr>
          <w:tr w:rsidR="00830E72" w14:paraId="14C7C77F" w14:textId="77777777">
            <w:sdt>
              <w:sdtPr>
                <w:tag w:val="_PLD_b39e72286fda4bb1bc103f3a09099c07"/>
                <w:id w:val="2124570028"/>
                <w:lock w:val="sdtLocked"/>
              </w:sdtPr>
              <w:sdtEndPr/>
              <w:sdtContent>
                <w:tc>
                  <w:tcPr>
                    <w:tcW w:w="1774" w:type="pct"/>
                  </w:tcPr>
                  <w:p w14:paraId="017DF648" w14:textId="77777777" w:rsidR="00830E72" w:rsidRDefault="008344D8">
                    <w:pPr>
                      <w:ind w:right="6"/>
                      <w:rPr>
                        <w:b/>
                        <w:bCs/>
                        <w:szCs w:val="21"/>
                      </w:rPr>
                    </w:pPr>
                    <w:r>
                      <w:rPr>
                        <w:rFonts w:hint="eastAsia"/>
                        <w:szCs w:val="21"/>
                      </w:rPr>
                      <w:t>当期所得税费用</w:t>
                    </w:r>
                  </w:p>
                </w:tc>
              </w:sdtContent>
            </w:sdt>
            <w:tc>
              <w:tcPr>
                <w:tcW w:w="1617" w:type="pct"/>
              </w:tcPr>
              <w:p w14:paraId="585DCBE5" w14:textId="77777777" w:rsidR="00830E72" w:rsidRDefault="008344D8">
                <w:pPr>
                  <w:jc w:val="right"/>
                  <w:rPr>
                    <w:szCs w:val="21"/>
                  </w:rPr>
                </w:pPr>
                <w:r>
                  <w:rPr>
                    <w:szCs w:val="21"/>
                  </w:rPr>
                  <w:t>19,991,988.39</w:t>
                </w:r>
              </w:p>
            </w:tc>
            <w:tc>
              <w:tcPr>
                <w:tcW w:w="1608" w:type="pct"/>
              </w:tcPr>
              <w:p w14:paraId="216402AF" w14:textId="77777777" w:rsidR="00830E72" w:rsidRDefault="008344D8">
                <w:pPr>
                  <w:ind w:right="6"/>
                  <w:jc w:val="right"/>
                  <w:rPr>
                    <w:szCs w:val="21"/>
                  </w:rPr>
                </w:pPr>
                <w:r>
                  <w:rPr>
                    <w:szCs w:val="21"/>
                  </w:rPr>
                  <w:t>15,083,546.75</w:t>
                </w:r>
              </w:p>
            </w:tc>
          </w:tr>
          <w:tr w:rsidR="00830E72" w14:paraId="41B63229" w14:textId="77777777">
            <w:sdt>
              <w:sdtPr>
                <w:tag w:val="_PLD_50b3fec6faac445b9c252906a5bcf507"/>
                <w:id w:val="-662693756"/>
                <w:lock w:val="sdtLocked"/>
              </w:sdtPr>
              <w:sdtEndPr/>
              <w:sdtContent>
                <w:tc>
                  <w:tcPr>
                    <w:tcW w:w="1774" w:type="pct"/>
                  </w:tcPr>
                  <w:p w14:paraId="4F3D1765" w14:textId="77777777" w:rsidR="00830E72" w:rsidRDefault="008344D8">
                    <w:pPr>
                      <w:ind w:right="6"/>
                      <w:rPr>
                        <w:szCs w:val="21"/>
                      </w:rPr>
                    </w:pPr>
                    <w:r>
                      <w:rPr>
                        <w:rFonts w:hint="eastAsia"/>
                        <w:szCs w:val="21"/>
                      </w:rPr>
                      <w:t>递延所得税费用</w:t>
                    </w:r>
                  </w:p>
                </w:tc>
              </w:sdtContent>
            </w:sdt>
            <w:tc>
              <w:tcPr>
                <w:tcW w:w="1617" w:type="pct"/>
              </w:tcPr>
              <w:p w14:paraId="75B769BC" w14:textId="77777777" w:rsidR="00830E72" w:rsidRDefault="008344D8">
                <w:pPr>
                  <w:jc w:val="right"/>
                  <w:rPr>
                    <w:szCs w:val="21"/>
                  </w:rPr>
                </w:pPr>
                <w:r>
                  <w:rPr>
                    <w:szCs w:val="21"/>
                  </w:rPr>
                  <w:t>670,860.90</w:t>
                </w:r>
              </w:p>
            </w:tc>
            <w:tc>
              <w:tcPr>
                <w:tcW w:w="1608" w:type="pct"/>
              </w:tcPr>
              <w:p w14:paraId="18604EA8" w14:textId="77777777" w:rsidR="00830E72" w:rsidRDefault="008344D8">
                <w:pPr>
                  <w:ind w:right="6"/>
                  <w:jc w:val="right"/>
                  <w:rPr>
                    <w:szCs w:val="21"/>
                  </w:rPr>
                </w:pPr>
                <w:r>
                  <w:rPr>
                    <w:szCs w:val="21"/>
                  </w:rPr>
                  <w:t>-469,387.03</w:t>
                </w:r>
              </w:p>
            </w:tc>
          </w:tr>
          <w:tr w:rsidR="00830E72" w14:paraId="56D4516E" w14:textId="77777777">
            <w:sdt>
              <w:sdtPr>
                <w:tag w:val="_PLD_10ad171e28bb4cf3957eba2cca611ce8"/>
                <w:id w:val="684707125"/>
                <w:lock w:val="sdtLocked"/>
              </w:sdtPr>
              <w:sdtEndPr/>
              <w:sdtContent>
                <w:tc>
                  <w:tcPr>
                    <w:tcW w:w="1774" w:type="pct"/>
                  </w:tcPr>
                  <w:p w14:paraId="05AF3267" w14:textId="77777777" w:rsidR="00830E72" w:rsidRDefault="008344D8">
                    <w:pPr>
                      <w:ind w:right="6"/>
                      <w:jc w:val="center"/>
                      <w:rPr>
                        <w:szCs w:val="21"/>
                      </w:rPr>
                    </w:pPr>
                    <w:r>
                      <w:rPr>
                        <w:rFonts w:hint="eastAsia"/>
                        <w:szCs w:val="21"/>
                      </w:rPr>
                      <w:t>合计</w:t>
                    </w:r>
                  </w:p>
                </w:tc>
              </w:sdtContent>
            </w:sdt>
            <w:tc>
              <w:tcPr>
                <w:tcW w:w="1617" w:type="pct"/>
              </w:tcPr>
              <w:p w14:paraId="2D2D554A" w14:textId="77777777" w:rsidR="00830E72" w:rsidRDefault="008344D8">
                <w:pPr>
                  <w:ind w:right="6"/>
                  <w:jc w:val="right"/>
                  <w:rPr>
                    <w:szCs w:val="21"/>
                  </w:rPr>
                </w:pPr>
                <w:r>
                  <w:rPr>
                    <w:szCs w:val="21"/>
                  </w:rPr>
                  <w:t>20,662,849.29</w:t>
                </w:r>
              </w:p>
            </w:tc>
            <w:tc>
              <w:tcPr>
                <w:tcW w:w="1608" w:type="pct"/>
              </w:tcPr>
              <w:p w14:paraId="3F2DB061" w14:textId="77777777" w:rsidR="00830E72" w:rsidRDefault="008344D8">
                <w:pPr>
                  <w:ind w:right="6"/>
                  <w:jc w:val="right"/>
                  <w:rPr>
                    <w:szCs w:val="21"/>
                  </w:rPr>
                </w:pPr>
                <w:r>
                  <w:rPr>
                    <w:szCs w:val="21"/>
                  </w:rPr>
                  <w:t>14,614,159.72</w:t>
                </w:r>
              </w:p>
            </w:tc>
          </w:tr>
        </w:tbl>
        <w:p w14:paraId="2A44BAC9" w14:textId="77777777" w:rsidR="00830E72" w:rsidRDefault="00830E72">
          <w:pPr>
            <w:rPr>
              <w:szCs w:val="21"/>
            </w:rPr>
          </w:pPr>
        </w:p>
        <w:p w14:paraId="29BE71FC" w14:textId="77777777" w:rsidR="00830E72" w:rsidRDefault="008344D8">
          <w:pPr>
            <w:pStyle w:val="Style100"/>
            <w:numPr>
              <w:ilvl w:val="0"/>
              <w:numId w:val="74"/>
            </w:numPr>
            <w:rPr>
              <w:rFonts w:ascii="宋体" w:hAnsi="宋体"/>
              <w:szCs w:val="21"/>
            </w:rPr>
          </w:pPr>
          <w:r>
            <w:rPr>
              <w:rFonts w:ascii="宋体" w:hAnsi="宋体" w:hint="eastAsia"/>
              <w:szCs w:val="21"/>
            </w:rPr>
            <w:lastRenderedPageBreak/>
            <w:t>会计利润与</w:t>
          </w:r>
          <w:r>
            <w:rPr>
              <w:rFonts w:ascii="宋体" w:hAnsi="宋体" w:hint="eastAsia"/>
            </w:rPr>
            <w:t>所得税</w:t>
          </w:r>
          <w:r>
            <w:rPr>
              <w:rFonts w:ascii="宋体" w:hAnsi="宋体" w:hint="eastAsia"/>
              <w:szCs w:val="21"/>
            </w:rPr>
            <w:t>费用调整过程</w:t>
          </w:r>
        </w:p>
        <w:sdt>
          <w:sdtPr>
            <w:alias w:val="是否适用：会计利润与所得税费用调整过程[双击切换]"/>
            <w:tag w:val="_GBC_92a49ce6320645cc9101c809f426c9db"/>
            <w:id w:val="1167587516"/>
            <w:lock w:val="sdtContentLocked"/>
            <w:placeholder>
              <w:docPart w:val="GBC22222222222222222222222222222"/>
            </w:placeholder>
          </w:sdtPr>
          <w:sdtEndPr/>
          <w:sdtContent>
            <w:p w14:paraId="0A279689"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BC6ABE9" w14:textId="77777777" w:rsidR="00830E72" w:rsidRDefault="008344D8">
          <w:pPr>
            <w:jc w:val="right"/>
          </w:pPr>
          <w:r>
            <w:rPr>
              <w:rFonts w:hint="eastAsia"/>
            </w:rPr>
            <w:t>单位：</w:t>
          </w:r>
          <w:sdt>
            <w:sdtPr>
              <w:rPr>
                <w:rFonts w:hint="eastAsia"/>
              </w:rPr>
              <w:alias w:val="单位：会计利润与所得税费用调整过程"/>
              <w:tag w:val="_GBC_8b3d0d6296b944dcbc6077158d5eb7ca"/>
              <w:id w:val="-10844544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会计利润与所得税费用调整过程"/>
              <w:tag w:val="_GBC_f07b399def8f4b49bdebcbb56994fb61"/>
              <w:id w:val="13028097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4998"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4301"/>
            <w:gridCol w:w="4590"/>
          </w:tblGrid>
          <w:tr w:rsidR="00830E72" w14:paraId="49A54DD0" w14:textId="77777777">
            <w:sdt>
              <w:sdtPr>
                <w:tag w:val="_PLD_762c770e68ab4734ab4b1455db567f92"/>
                <w:id w:val="-922878658"/>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7FBDCE93" w14:textId="77777777" w:rsidR="00830E72" w:rsidRDefault="008344D8">
                    <w:pPr>
                      <w:jc w:val="center"/>
                    </w:pPr>
                    <w:r>
                      <w:rPr>
                        <w:rFonts w:hint="eastAsia"/>
                      </w:rPr>
                      <w:t>项目</w:t>
                    </w:r>
                  </w:p>
                </w:tc>
              </w:sdtContent>
            </w:sdt>
            <w:sdt>
              <w:sdtPr>
                <w:tag w:val="_PLD_dbffde77b3344828a64e53b9962d0e3a"/>
                <w:id w:val="-2079816554"/>
                <w:lock w:val="sdtLocked"/>
              </w:sdtPr>
              <w:sdtEndPr/>
              <w:sdtContent>
                <w:tc>
                  <w:tcPr>
                    <w:tcW w:w="2581" w:type="pct"/>
                    <w:tcBorders>
                      <w:top w:val="single" w:sz="4" w:space="0" w:color="auto"/>
                      <w:left w:val="single" w:sz="4" w:space="0" w:color="auto"/>
                      <w:bottom w:val="single" w:sz="4" w:space="0" w:color="auto"/>
                      <w:right w:val="single" w:sz="4" w:space="0" w:color="auto"/>
                    </w:tcBorders>
                    <w:shd w:val="clear" w:color="auto" w:fill="auto"/>
                  </w:tcPr>
                  <w:p w14:paraId="2FAAE1CD" w14:textId="77777777" w:rsidR="00830E72" w:rsidRDefault="008344D8">
                    <w:pPr>
                      <w:jc w:val="center"/>
                    </w:pPr>
                    <w:r>
                      <w:rPr>
                        <w:rFonts w:hint="eastAsia"/>
                      </w:rPr>
                      <w:t>本期发生额</w:t>
                    </w:r>
                  </w:p>
                </w:tc>
              </w:sdtContent>
            </w:sdt>
          </w:tr>
          <w:tr w:rsidR="00830E72" w14:paraId="4958041B" w14:textId="77777777">
            <w:sdt>
              <w:sdtPr>
                <w:tag w:val="_PLD_e49aa9df3fa0441889c07b63b32585c5"/>
                <w:id w:val="-733162101"/>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65A70452" w14:textId="77777777" w:rsidR="00830E72" w:rsidRDefault="008344D8">
                    <w:pPr>
                      <w:ind w:right="6"/>
                      <w:rPr>
                        <w:b/>
                        <w:bCs/>
                        <w:szCs w:val="21"/>
                      </w:rPr>
                    </w:pPr>
                    <w:r>
                      <w:rPr>
                        <w:rFonts w:hint="eastAsia"/>
                        <w:szCs w:val="21"/>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tcPr>
              <w:p w14:paraId="535D9CDF" w14:textId="77777777" w:rsidR="00830E72" w:rsidRDefault="008344D8">
                <w:pPr>
                  <w:jc w:val="right"/>
                </w:pPr>
                <w:r>
                  <w:t>71,889,643.90</w:t>
                </w:r>
              </w:p>
            </w:tc>
          </w:tr>
          <w:tr w:rsidR="00830E72" w14:paraId="0459C3F9" w14:textId="77777777">
            <w:sdt>
              <w:sdtPr>
                <w:tag w:val="_PLD_bcfd0d413e444c6f881fc95e048d73ce"/>
                <w:id w:val="-623006978"/>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50A26BA1" w14:textId="77777777" w:rsidR="00830E72" w:rsidRDefault="008344D8">
                    <w:pPr>
                      <w:ind w:right="6"/>
                    </w:pPr>
                    <w:r>
                      <w:rPr>
                        <w:rFonts w:hint="eastAsia"/>
                      </w:rPr>
                      <w:t>按法定</w:t>
                    </w:r>
                    <w:r>
                      <w:t>/</w:t>
                    </w:r>
                    <w:r>
                      <w:rPr>
                        <w:rFonts w:hint="eastAsia"/>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0207E7F1" w14:textId="77777777" w:rsidR="00830E72" w:rsidRDefault="008344D8">
                <w:pPr>
                  <w:jc w:val="right"/>
                </w:pPr>
                <w:r>
                  <w:t>17,972,410.98</w:t>
                </w:r>
              </w:p>
            </w:tc>
          </w:tr>
          <w:tr w:rsidR="00830E72" w14:paraId="35A3B18C" w14:textId="77777777">
            <w:trPr>
              <w:trHeight w:val="139"/>
            </w:trPr>
            <w:sdt>
              <w:sdtPr>
                <w:tag w:val="_PLD_dc5f6e856113456cb1312b5cf234201d"/>
                <w:id w:val="-1623378313"/>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02BFDC83" w14:textId="77777777" w:rsidR="00830E72" w:rsidRDefault="008344D8">
                    <w:pPr>
                      <w:ind w:right="6"/>
                    </w:pPr>
                    <w:r>
                      <w:rPr>
                        <w:rFonts w:hint="eastAsia"/>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157B48C7" w14:textId="77777777" w:rsidR="00830E72" w:rsidRDefault="00830E72">
                <w:pPr>
                  <w:jc w:val="right"/>
                </w:pPr>
              </w:p>
            </w:tc>
          </w:tr>
          <w:tr w:rsidR="00830E72" w14:paraId="7E4DB7D3" w14:textId="77777777">
            <w:sdt>
              <w:sdtPr>
                <w:tag w:val="_PLD_a18b0f1e64674563b277a2e43b991ab6"/>
                <w:id w:val="1551492161"/>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63DF14B7" w14:textId="77777777" w:rsidR="00830E72" w:rsidRDefault="008344D8">
                    <w:pPr>
                      <w:ind w:right="6"/>
                    </w:pPr>
                    <w:r>
                      <w:rPr>
                        <w:rFonts w:hint="eastAsia"/>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002AA021" w14:textId="77777777" w:rsidR="00830E72" w:rsidRDefault="00830E72">
                <w:pPr>
                  <w:jc w:val="right"/>
                </w:pPr>
              </w:p>
            </w:tc>
          </w:tr>
          <w:tr w:rsidR="00830E72" w14:paraId="0EF2F132" w14:textId="77777777">
            <w:sdt>
              <w:sdtPr>
                <w:tag w:val="_PLD_451dd13012144866aaf62c35812344d7"/>
                <w:id w:val="1201820477"/>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06920F72" w14:textId="77777777" w:rsidR="00830E72" w:rsidRDefault="008344D8">
                    <w:pPr>
                      <w:ind w:right="6"/>
                    </w:pPr>
                    <w:r>
                      <w:rPr>
                        <w:rFonts w:hint="eastAsia"/>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2C673898" w14:textId="77777777" w:rsidR="00830E72" w:rsidRDefault="00830E72">
                <w:pPr>
                  <w:jc w:val="right"/>
                </w:pPr>
              </w:p>
            </w:tc>
          </w:tr>
          <w:tr w:rsidR="00830E72" w14:paraId="148FEB9B" w14:textId="77777777">
            <w:sdt>
              <w:sdtPr>
                <w:tag w:val="_PLD_0906044dc7ff47d6ba8d4be46514c623"/>
                <w:id w:val="67541279"/>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191BB3B4" w14:textId="77777777" w:rsidR="00830E72" w:rsidRDefault="008344D8">
                    <w:pPr>
                      <w:ind w:right="6"/>
                    </w:pPr>
                    <w:r>
                      <w:rPr>
                        <w:rFonts w:hint="eastAsia"/>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56C9BE21" w14:textId="77777777" w:rsidR="00830E72" w:rsidRDefault="008344D8">
                <w:pPr>
                  <w:jc w:val="right"/>
                </w:pPr>
                <w:r>
                  <w:t>2,690,438.31</w:t>
                </w:r>
              </w:p>
            </w:tc>
          </w:tr>
          <w:tr w:rsidR="00830E72" w14:paraId="6931BA91" w14:textId="77777777">
            <w:sdt>
              <w:sdtPr>
                <w:tag w:val="_PLD_958280e6456341698f323fb9f71bf973"/>
                <w:id w:val="-1574036523"/>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704E5732" w14:textId="77777777" w:rsidR="00830E72" w:rsidRDefault="008344D8">
                    <w:pPr>
                      <w:ind w:right="6"/>
                    </w:pPr>
                    <w:r>
                      <w:rPr>
                        <w:rFonts w:hint="eastAsia"/>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08741AB8" w14:textId="77777777" w:rsidR="00830E72" w:rsidRDefault="00830E72">
                <w:pPr>
                  <w:jc w:val="right"/>
                </w:pPr>
              </w:p>
            </w:tc>
          </w:tr>
          <w:tr w:rsidR="00830E72" w14:paraId="62AD4B48" w14:textId="77777777">
            <w:sdt>
              <w:sdtPr>
                <w:tag w:val="_PLD_ba3d89f087964402b8cb1b2a58f5d0ba"/>
                <w:id w:val="-905295097"/>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33CF2F95" w14:textId="77777777" w:rsidR="00830E72" w:rsidRDefault="008344D8">
                    <w:pPr>
                      <w:ind w:right="6"/>
                    </w:pPr>
                    <w:r>
                      <w:rPr>
                        <w:rFonts w:hint="eastAsia"/>
                      </w:rPr>
                      <w:t>本期未确认递延所得税资产的可抵扣暂时性差异或可抵扣亏损的影响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2E6137FA" w14:textId="77777777" w:rsidR="00830E72" w:rsidRDefault="00830E72">
                <w:pPr>
                  <w:jc w:val="right"/>
                </w:pPr>
              </w:p>
            </w:tc>
          </w:tr>
          <w:tr w:rsidR="00830E72" w14:paraId="5E792CE3" w14:textId="77777777">
            <w:sdt>
              <w:sdtPr>
                <w:tag w:val="_PLD_2fe3b63863164c92a5502c41abff42f1"/>
                <w:id w:val="-810940301"/>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2D2E04B7" w14:textId="77777777" w:rsidR="00830E72" w:rsidRDefault="008344D8">
                    <w:r>
                      <w:rPr>
                        <w:rFonts w:hint="eastAsia"/>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5977A81C" w14:textId="77777777" w:rsidR="00830E72" w:rsidRDefault="008344D8">
                <w:pPr>
                  <w:jc w:val="right"/>
                </w:pPr>
                <w:r>
                  <w:t>20,662,849.29</w:t>
                </w:r>
              </w:p>
            </w:tc>
          </w:tr>
        </w:tbl>
        <w:p w14:paraId="6739CDED" w14:textId="77777777" w:rsidR="00830E72" w:rsidRDefault="008344D8">
          <w:pPr>
            <w:spacing w:before="60" w:after="60"/>
            <w:rPr>
              <w:szCs w:val="21"/>
            </w:rPr>
          </w:pPr>
          <w:r>
            <w:rPr>
              <w:rFonts w:hint="eastAsia"/>
              <w:szCs w:val="21"/>
            </w:rPr>
            <w:t>其他说明：</w:t>
          </w:r>
        </w:p>
        <w:sdt>
          <w:sdtPr>
            <w:rPr>
              <w:szCs w:val="21"/>
            </w:rPr>
            <w:alias w:val="是否适用：所得税费用的说明[双击切换]"/>
            <w:tag w:val="_GBC_0363d79a647b4d96aa5d7b72c93b1e45"/>
            <w:id w:val="-197474630"/>
            <w:lock w:val="sdtContentLocked"/>
            <w:placeholder>
              <w:docPart w:val="GBC22222222222222222222222222222"/>
            </w:placeholder>
          </w:sdtPr>
          <w:sdtEndPr/>
          <w:sdtContent>
            <w:p w14:paraId="2F9DFAFA" w14:textId="77777777" w:rsidR="00830E72" w:rsidRDefault="008344D8">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AB228A7" w14:textId="77777777" w:rsidR="00830E72" w:rsidRDefault="00830E72">
      <w:pPr>
        <w:rPr>
          <w:b/>
        </w:rPr>
      </w:pPr>
    </w:p>
    <w:sdt>
      <w:sdtPr>
        <w:rPr>
          <w:rFonts w:ascii="宋体" w:hAnsi="宋体" w:cs="宋体" w:hint="eastAsia"/>
          <w:b w:val="0"/>
          <w:bCs w:val="0"/>
          <w:kern w:val="0"/>
          <w:szCs w:val="21"/>
        </w:rPr>
        <w:alias w:val="模块:其他综合收益"/>
        <w:tag w:val="_GBC_a490950b62a146d9901e0aeb01787f97"/>
        <w:id w:val="488141105"/>
        <w:lock w:val="sdtLocked"/>
        <w:placeholder>
          <w:docPart w:val="GBC22222222222222222222222222222"/>
        </w:placeholder>
      </w:sdtPr>
      <w:sdtEndPr/>
      <w:sdtContent>
        <w:p w14:paraId="7FCE74B7"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bef6c47936994e5e94c77d5dd812be30"/>
            <w:id w:val="352302069"/>
            <w:lock w:val="sdtContentLocked"/>
            <w:placeholder>
              <w:docPart w:val="GBC22222222222222222222222222222"/>
            </w:placeholder>
          </w:sdtPr>
          <w:sdtEndPr/>
          <w:sdtContent>
            <w:p w14:paraId="2E609FD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BE00132" w14:textId="77777777" w:rsidR="00830E72" w:rsidRDefault="00830E72"/>
    <w:p w14:paraId="6B9AC70F"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现金流量表项目</w:t>
      </w:r>
    </w:p>
    <w:sdt>
      <w:sdtPr>
        <w:rPr>
          <w:rFonts w:ascii="宋体" w:hAnsi="宋体" w:cs="宋体" w:hint="eastAsia"/>
          <w:b w:val="0"/>
          <w:bCs w:val="0"/>
          <w:kern w:val="0"/>
          <w:sz w:val="24"/>
          <w:szCs w:val="21"/>
        </w:rPr>
        <w:alias w:val="模块:收到的其他与经营活动有关的现金"/>
        <w:tag w:val="_GBC_aebbed0d25f14d50b64339a751dec4bd"/>
        <w:id w:val="-396670070"/>
        <w:lock w:val="sdtLocked"/>
        <w:placeholder>
          <w:docPart w:val="GBC22222222222222222222222222222"/>
        </w:placeholder>
      </w:sdtPr>
      <w:sdtEndPr>
        <w:rPr>
          <w:rFonts w:cstheme="minorBidi" w:hint="default"/>
          <w:kern w:val="2"/>
          <w:sz w:val="21"/>
        </w:rPr>
      </w:sdtEndPr>
      <w:sdtContent>
        <w:p w14:paraId="2BD379DF" w14:textId="77777777" w:rsidR="00830E72" w:rsidRDefault="008344D8">
          <w:pPr>
            <w:pStyle w:val="Style100"/>
            <w:numPr>
              <w:ilvl w:val="0"/>
              <w:numId w:val="75"/>
            </w:numPr>
            <w:tabs>
              <w:tab w:val="left" w:pos="700"/>
            </w:tabs>
            <w:rPr>
              <w:rFonts w:ascii="宋体" w:hAnsi="宋体"/>
              <w:szCs w:val="21"/>
            </w:rPr>
          </w:pPr>
          <w:r>
            <w:rPr>
              <w:rFonts w:ascii="宋体" w:hAnsi="宋体" w:hint="eastAsia"/>
              <w:szCs w:val="21"/>
            </w:rPr>
            <w:t>收到的其他与经营活动有关的现金</w:t>
          </w:r>
        </w:p>
        <w:sdt>
          <w:sdtPr>
            <w:alias w:val="是否适用：收到的其他与经营活动有关的现金[双击切换]"/>
            <w:tag w:val="_GBC_c5c1fd7856fd40f88e814da378eb1220"/>
            <w:id w:val="1205218979"/>
            <w:lock w:val="sdtContentLocked"/>
            <w:placeholder>
              <w:docPart w:val="GBC22222222222222222222222222222"/>
            </w:placeholder>
          </w:sdtPr>
          <w:sdtEndPr/>
          <w:sdtContent>
            <w:p w14:paraId="6AF7176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448ED5C" w14:textId="77777777" w:rsidR="00830E72" w:rsidRDefault="008344D8">
          <w:pPr>
            <w:jc w:val="right"/>
            <w:rPr>
              <w:szCs w:val="21"/>
            </w:rPr>
          </w:pPr>
          <w:r>
            <w:rPr>
              <w:rFonts w:hint="eastAsia"/>
              <w:szCs w:val="21"/>
            </w:rPr>
            <w:t>单位：</w:t>
          </w:r>
          <w:sdt>
            <w:sdtPr>
              <w:rPr>
                <w:rFonts w:hint="eastAsia"/>
                <w:szCs w:val="21"/>
              </w:rPr>
              <w:alias w:val="单位：财务附注：收到的其他与经营活动有关的现金"/>
              <w:tag w:val="_GBC_5ccae82b68484e708f12fda90762616a"/>
              <w:id w:val="12566303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fab1e143b1314991a3aebb857ed68a09"/>
              <w:id w:val="3388159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47"/>
            <w:gridCol w:w="2778"/>
            <w:gridCol w:w="2768"/>
          </w:tblGrid>
          <w:tr w:rsidR="00830E72" w14:paraId="0DBD0345" w14:textId="77777777">
            <w:sdt>
              <w:sdtPr>
                <w:tag w:val="_PLD_37a08d49f8e14506929ae8c9544c259e"/>
                <w:id w:val="-564956705"/>
                <w:lock w:val="sdtLocked"/>
              </w:sdtPr>
              <w:sdtEndPr/>
              <w:sdtContent>
                <w:tc>
                  <w:tcPr>
                    <w:tcW w:w="1882" w:type="pct"/>
                  </w:tcPr>
                  <w:p w14:paraId="1CC6A57C" w14:textId="77777777" w:rsidR="00830E72" w:rsidRDefault="008344D8">
                    <w:pPr>
                      <w:autoSpaceDE w:val="0"/>
                      <w:autoSpaceDN w:val="0"/>
                      <w:adjustRightInd w:val="0"/>
                      <w:snapToGrid w:val="0"/>
                      <w:spacing w:line="240" w:lineRule="atLeast"/>
                      <w:jc w:val="center"/>
                      <w:rPr>
                        <w:szCs w:val="21"/>
                      </w:rPr>
                    </w:pPr>
                    <w:r>
                      <w:rPr>
                        <w:rFonts w:hint="eastAsia"/>
                        <w:szCs w:val="21"/>
                      </w:rPr>
                      <w:t>项目</w:t>
                    </w:r>
                  </w:p>
                </w:tc>
              </w:sdtContent>
            </w:sdt>
            <w:sdt>
              <w:sdtPr>
                <w:tag w:val="_PLD_f6cb8d17057e4de79000a7b7c263b07e"/>
                <w:id w:val="1139619054"/>
                <w:lock w:val="sdtLocked"/>
              </w:sdtPr>
              <w:sdtEndPr/>
              <w:sdtContent>
                <w:tc>
                  <w:tcPr>
                    <w:tcW w:w="1562" w:type="pct"/>
                  </w:tcPr>
                  <w:p w14:paraId="0BC74F55" w14:textId="77777777" w:rsidR="00830E72" w:rsidRDefault="008344D8">
                    <w:pPr>
                      <w:autoSpaceDE w:val="0"/>
                      <w:autoSpaceDN w:val="0"/>
                      <w:adjustRightInd w:val="0"/>
                      <w:snapToGrid w:val="0"/>
                      <w:spacing w:line="240" w:lineRule="atLeast"/>
                      <w:jc w:val="center"/>
                      <w:rPr>
                        <w:szCs w:val="21"/>
                      </w:rPr>
                    </w:pPr>
                    <w:r>
                      <w:rPr>
                        <w:rFonts w:hint="eastAsia"/>
                      </w:rPr>
                      <w:t>本期发生额</w:t>
                    </w:r>
                  </w:p>
                </w:tc>
              </w:sdtContent>
            </w:sdt>
            <w:sdt>
              <w:sdtPr>
                <w:tag w:val="_PLD_28d6db3ec51c43eb8751b53e93c8f270"/>
                <w:id w:val="1839806766"/>
                <w:lock w:val="sdtLocked"/>
              </w:sdtPr>
              <w:sdtEndPr/>
              <w:sdtContent>
                <w:tc>
                  <w:tcPr>
                    <w:tcW w:w="1556" w:type="pct"/>
                  </w:tcPr>
                  <w:p w14:paraId="783B15B7" w14:textId="77777777" w:rsidR="00830E72" w:rsidRDefault="008344D8">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GBC_339bc885f058400ca0c6b375c3f5b0d5"/>
              <w:id w:val="500936345"/>
              <w:lock w:val="sdtLocked"/>
            </w:sdtPr>
            <w:sdtEndPr/>
            <w:sdtContent>
              <w:tr w:rsidR="00830E72" w14:paraId="4438F35B" w14:textId="77777777">
                <w:tc>
                  <w:tcPr>
                    <w:tcW w:w="1882" w:type="pct"/>
                  </w:tcPr>
                  <w:p w14:paraId="27333639" w14:textId="77777777" w:rsidR="00830E72" w:rsidRDefault="008344D8">
                    <w:pPr>
                      <w:autoSpaceDE w:val="0"/>
                      <w:autoSpaceDN w:val="0"/>
                      <w:adjustRightInd w:val="0"/>
                      <w:snapToGrid w:val="0"/>
                      <w:spacing w:line="240" w:lineRule="atLeast"/>
                      <w:rPr>
                        <w:szCs w:val="21"/>
                      </w:rPr>
                    </w:pPr>
                    <w:r>
                      <w:rPr>
                        <w:rFonts w:hint="eastAsia"/>
                        <w:szCs w:val="21"/>
                      </w:rPr>
                      <w:t>政府补助</w:t>
                    </w:r>
                  </w:p>
                </w:tc>
                <w:tc>
                  <w:tcPr>
                    <w:tcW w:w="1562" w:type="pct"/>
                    <w:vAlign w:val="bottom"/>
                  </w:tcPr>
                  <w:p w14:paraId="72B3FF79" w14:textId="77777777" w:rsidR="00830E72" w:rsidRDefault="008344D8">
                    <w:pPr>
                      <w:jc w:val="right"/>
                      <w:rPr>
                        <w:szCs w:val="21"/>
                      </w:rPr>
                    </w:pPr>
                    <w:r>
                      <w:rPr>
                        <w:szCs w:val="21"/>
                      </w:rPr>
                      <w:t>157,747.92</w:t>
                    </w:r>
                  </w:p>
                </w:tc>
                <w:tc>
                  <w:tcPr>
                    <w:tcW w:w="1556" w:type="pct"/>
                  </w:tcPr>
                  <w:p w14:paraId="7E5CABD5" w14:textId="77777777" w:rsidR="00830E72" w:rsidRDefault="008344D8">
                    <w:pPr>
                      <w:jc w:val="right"/>
                      <w:rPr>
                        <w:szCs w:val="21"/>
                      </w:rPr>
                    </w:pPr>
                    <w:r>
                      <w:rPr>
                        <w:szCs w:val="21"/>
                      </w:rPr>
                      <w:t>3,244,980.00</w:t>
                    </w:r>
                  </w:p>
                </w:tc>
              </w:tr>
            </w:sdtContent>
          </w:sdt>
          <w:sdt>
            <w:sdtPr>
              <w:rPr>
                <w:rFonts w:hint="eastAsia"/>
                <w:szCs w:val="21"/>
              </w:rPr>
              <w:alias w:val="收到的其他与经营活动有关的现金明细"/>
              <w:tag w:val="_GBC_339bc885f058400ca0c6b375c3f5b0d5"/>
              <w:id w:val="475649276"/>
              <w:lock w:val="sdtLocked"/>
            </w:sdtPr>
            <w:sdtEndPr/>
            <w:sdtContent>
              <w:tr w:rsidR="00830E72" w14:paraId="57CF6928" w14:textId="77777777">
                <w:tc>
                  <w:tcPr>
                    <w:tcW w:w="1882" w:type="pct"/>
                  </w:tcPr>
                  <w:p w14:paraId="57DCAFF7" w14:textId="77777777" w:rsidR="00830E72" w:rsidRDefault="008344D8">
                    <w:pPr>
                      <w:autoSpaceDE w:val="0"/>
                      <w:autoSpaceDN w:val="0"/>
                      <w:adjustRightInd w:val="0"/>
                      <w:snapToGrid w:val="0"/>
                      <w:spacing w:line="240" w:lineRule="atLeast"/>
                      <w:rPr>
                        <w:szCs w:val="21"/>
                      </w:rPr>
                    </w:pPr>
                    <w:r>
                      <w:rPr>
                        <w:rFonts w:hint="eastAsia"/>
                        <w:szCs w:val="21"/>
                      </w:rPr>
                      <w:t>租赁收入</w:t>
                    </w:r>
                  </w:p>
                </w:tc>
                <w:tc>
                  <w:tcPr>
                    <w:tcW w:w="1562" w:type="pct"/>
                    <w:vAlign w:val="bottom"/>
                  </w:tcPr>
                  <w:p w14:paraId="485782A1" w14:textId="77777777" w:rsidR="00830E72" w:rsidRDefault="008344D8">
                    <w:pPr>
                      <w:jc w:val="right"/>
                      <w:rPr>
                        <w:szCs w:val="21"/>
                      </w:rPr>
                    </w:pPr>
                    <w:r>
                      <w:rPr>
                        <w:szCs w:val="21"/>
                      </w:rPr>
                      <w:t>1,233,721.27</w:t>
                    </w:r>
                  </w:p>
                </w:tc>
                <w:tc>
                  <w:tcPr>
                    <w:tcW w:w="1556" w:type="pct"/>
                  </w:tcPr>
                  <w:p w14:paraId="603B238B" w14:textId="77777777" w:rsidR="00830E72" w:rsidRDefault="008344D8">
                    <w:pPr>
                      <w:jc w:val="right"/>
                      <w:rPr>
                        <w:szCs w:val="21"/>
                      </w:rPr>
                    </w:pPr>
                    <w:r>
                      <w:rPr>
                        <w:szCs w:val="21"/>
                      </w:rPr>
                      <w:t>1,116,338.98</w:t>
                    </w:r>
                  </w:p>
                </w:tc>
              </w:tr>
            </w:sdtContent>
          </w:sdt>
          <w:sdt>
            <w:sdtPr>
              <w:rPr>
                <w:rFonts w:hint="eastAsia"/>
                <w:szCs w:val="21"/>
              </w:rPr>
              <w:alias w:val="收到的其他与经营活动有关的现金明细"/>
              <w:tag w:val="_GBC_339bc885f058400ca0c6b375c3f5b0d5"/>
              <w:id w:val="-1734156864"/>
              <w:lock w:val="sdtLocked"/>
            </w:sdtPr>
            <w:sdtEndPr/>
            <w:sdtContent>
              <w:tr w:rsidR="00830E72" w14:paraId="7A368BB9" w14:textId="77777777">
                <w:tc>
                  <w:tcPr>
                    <w:tcW w:w="1882" w:type="pct"/>
                  </w:tcPr>
                  <w:p w14:paraId="4B01FF51" w14:textId="77777777" w:rsidR="00830E72" w:rsidRDefault="008344D8">
                    <w:pPr>
                      <w:autoSpaceDE w:val="0"/>
                      <w:autoSpaceDN w:val="0"/>
                      <w:adjustRightInd w:val="0"/>
                      <w:snapToGrid w:val="0"/>
                      <w:spacing w:line="240" w:lineRule="atLeast"/>
                      <w:rPr>
                        <w:szCs w:val="21"/>
                      </w:rPr>
                    </w:pPr>
                    <w:r>
                      <w:rPr>
                        <w:rFonts w:hint="eastAsia"/>
                        <w:szCs w:val="21"/>
                      </w:rPr>
                      <w:t>投标、履约保证金</w:t>
                    </w:r>
                  </w:p>
                </w:tc>
                <w:tc>
                  <w:tcPr>
                    <w:tcW w:w="1562" w:type="pct"/>
                    <w:vAlign w:val="bottom"/>
                  </w:tcPr>
                  <w:p w14:paraId="26ACB3D3" w14:textId="77777777" w:rsidR="00830E72" w:rsidRDefault="008344D8">
                    <w:pPr>
                      <w:jc w:val="right"/>
                      <w:rPr>
                        <w:szCs w:val="21"/>
                      </w:rPr>
                    </w:pPr>
                    <w:r>
                      <w:rPr>
                        <w:rFonts w:hint="eastAsia"/>
                        <w:szCs w:val="21"/>
                      </w:rPr>
                      <w:t>-</w:t>
                    </w:r>
                  </w:p>
                </w:tc>
                <w:tc>
                  <w:tcPr>
                    <w:tcW w:w="1556" w:type="pct"/>
                  </w:tcPr>
                  <w:p w14:paraId="4A7B609F" w14:textId="77777777" w:rsidR="00830E72" w:rsidRDefault="008344D8">
                    <w:pPr>
                      <w:jc w:val="right"/>
                      <w:rPr>
                        <w:szCs w:val="21"/>
                      </w:rPr>
                    </w:pPr>
                    <w:r>
                      <w:rPr>
                        <w:szCs w:val="21"/>
                      </w:rPr>
                      <w:t>3,864,250.00</w:t>
                    </w:r>
                  </w:p>
                </w:tc>
              </w:tr>
            </w:sdtContent>
          </w:sdt>
          <w:sdt>
            <w:sdtPr>
              <w:rPr>
                <w:rFonts w:hint="eastAsia"/>
                <w:szCs w:val="21"/>
              </w:rPr>
              <w:alias w:val="收到的其他与经营活动有关的现金明细"/>
              <w:tag w:val="_GBC_339bc885f058400ca0c6b375c3f5b0d5"/>
              <w:id w:val="-1902430881"/>
              <w:lock w:val="sdtLocked"/>
            </w:sdtPr>
            <w:sdtEndPr/>
            <w:sdtContent>
              <w:tr w:rsidR="00830E72" w14:paraId="12A84118" w14:textId="77777777">
                <w:tc>
                  <w:tcPr>
                    <w:tcW w:w="1882" w:type="pct"/>
                  </w:tcPr>
                  <w:p w14:paraId="199B41DA" w14:textId="77777777" w:rsidR="00830E72" w:rsidRDefault="008344D8">
                    <w:pPr>
                      <w:autoSpaceDE w:val="0"/>
                      <w:autoSpaceDN w:val="0"/>
                      <w:adjustRightInd w:val="0"/>
                      <w:snapToGrid w:val="0"/>
                      <w:spacing w:line="240" w:lineRule="atLeast"/>
                      <w:rPr>
                        <w:szCs w:val="21"/>
                      </w:rPr>
                    </w:pPr>
                    <w:r>
                      <w:rPr>
                        <w:rFonts w:hint="eastAsia"/>
                        <w:szCs w:val="21"/>
                      </w:rPr>
                      <w:t>保函及其他保证金</w:t>
                    </w:r>
                  </w:p>
                </w:tc>
                <w:tc>
                  <w:tcPr>
                    <w:tcW w:w="1562" w:type="pct"/>
                    <w:vAlign w:val="bottom"/>
                  </w:tcPr>
                  <w:p w14:paraId="743A1598" w14:textId="77777777" w:rsidR="00830E72" w:rsidRDefault="008344D8">
                    <w:pPr>
                      <w:jc w:val="right"/>
                      <w:rPr>
                        <w:szCs w:val="21"/>
                      </w:rPr>
                    </w:pPr>
                    <w:r>
                      <w:rPr>
                        <w:szCs w:val="21"/>
                      </w:rPr>
                      <w:t>32,658,296.97</w:t>
                    </w:r>
                  </w:p>
                </w:tc>
                <w:tc>
                  <w:tcPr>
                    <w:tcW w:w="1556" w:type="pct"/>
                  </w:tcPr>
                  <w:p w14:paraId="735B5A68" w14:textId="77777777" w:rsidR="00830E72" w:rsidRDefault="008344D8">
                    <w:pPr>
                      <w:jc w:val="right"/>
                      <w:rPr>
                        <w:szCs w:val="21"/>
                      </w:rPr>
                    </w:pPr>
                    <w:r>
                      <w:rPr>
                        <w:szCs w:val="21"/>
                      </w:rPr>
                      <w:t>2,418,610.36</w:t>
                    </w:r>
                  </w:p>
                </w:tc>
              </w:tr>
            </w:sdtContent>
          </w:sdt>
          <w:sdt>
            <w:sdtPr>
              <w:rPr>
                <w:rFonts w:hint="eastAsia"/>
                <w:szCs w:val="21"/>
              </w:rPr>
              <w:alias w:val="收到的其他与经营活动有关的现金明细"/>
              <w:tag w:val="_GBC_339bc885f058400ca0c6b375c3f5b0d5"/>
              <w:id w:val="2051418096"/>
              <w:lock w:val="sdtLocked"/>
            </w:sdtPr>
            <w:sdtEndPr/>
            <w:sdtContent>
              <w:tr w:rsidR="00830E72" w14:paraId="4FAC61B0" w14:textId="77777777">
                <w:tc>
                  <w:tcPr>
                    <w:tcW w:w="1882" w:type="pct"/>
                  </w:tcPr>
                  <w:p w14:paraId="5BD5EC31" w14:textId="77777777" w:rsidR="00830E72" w:rsidRDefault="008344D8">
                    <w:pPr>
                      <w:autoSpaceDE w:val="0"/>
                      <w:autoSpaceDN w:val="0"/>
                      <w:adjustRightInd w:val="0"/>
                      <w:snapToGrid w:val="0"/>
                      <w:spacing w:line="240" w:lineRule="atLeast"/>
                      <w:rPr>
                        <w:szCs w:val="21"/>
                      </w:rPr>
                    </w:pPr>
                    <w:r>
                      <w:rPr>
                        <w:rFonts w:hint="eastAsia"/>
                        <w:szCs w:val="21"/>
                      </w:rPr>
                      <w:t>往来款及其他</w:t>
                    </w:r>
                  </w:p>
                </w:tc>
                <w:tc>
                  <w:tcPr>
                    <w:tcW w:w="1562" w:type="pct"/>
                    <w:vAlign w:val="bottom"/>
                  </w:tcPr>
                  <w:p w14:paraId="38D2EFAA" w14:textId="77777777" w:rsidR="00830E72" w:rsidRDefault="008344D8">
                    <w:pPr>
                      <w:jc w:val="right"/>
                      <w:rPr>
                        <w:szCs w:val="21"/>
                      </w:rPr>
                    </w:pPr>
                    <w:r>
                      <w:rPr>
                        <w:szCs w:val="21"/>
                      </w:rPr>
                      <w:t>29,953,238.62</w:t>
                    </w:r>
                  </w:p>
                </w:tc>
                <w:tc>
                  <w:tcPr>
                    <w:tcW w:w="1556" w:type="pct"/>
                  </w:tcPr>
                  <w:p w14:paraId="0F411AC3" w14:textId="77777777" w:rsidR="00830E72" w:rsidRDefault="008344D8">
                    <w:pPr>
                      <w:jc w:val="right"/>
                      <w:rPr>
                        <w:szCs w:val="21"/>
                      </w:rPr>
                    </w:pPr>
                    <w:r>
                      <w:rPr>
                        <w:szCs w:val="21"/>
                      </w:rPr>
                      <w:t>15,109,610.61</w:t>
                    </w:r>
                  </w:p>
                </w:tc>
              </w:tr>
            </w:sdtContent>
          </w:sdt>
          <w:tr w:rsidR="00830E72" w14:paraId="3AE5C182" w14:textId="77777777">
            <w:sdt>
              <w:sdtPr>
                <w:tag w:val="_PLD_68684c586fce4c6e95f718cded68b47c"/>
                <w:id w:val="167443866"/>
                <w:lock w:val="sdtLocked"/>
              </w:sdtPr>
              <w:sdtEndPr/>
              <w:sdtContent>
                <w:tc>
                  <w:tcPr>
                    <w:tcW w:w="1882" w:type="pct"/>
                  </w:tcPr>
                  <w:p w14:paraId="232C7548" w14:textId="77777777" w:rsidR="00830E72" w:rsidRDefault="008344D8">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bottom"/>
              </w:tcPr>
              <w:p w14:paraId="7B9C048C" w14:textId="77777777" w:rsidR="00830E72" w:rsidRDefault="008344D8">
                <w:pPr>
                  <w:jc w:val="right"/>
                  <w:rPr>
                    <w:szCs w:val="21"/>
                  </w:rPr>
                </w:pPr>
                <w:r>
                  <w:rPr>
                    <w:szCs w:val="21"/>
                  </w:rPr>
                  <w:t>64,003,004.78</w:t>
                </w:r>
              </w:p>
            </w:tc>
            <w:tc>
              <w:tcPr>
                <w:tcW w:w="1556" w:type="pct"/>
              </w:tcPr>
              <w:p w14:paraId="2B67744F" w14:textId="77777777" w:rsidR="00830E72" w:rsidRDefault="008344D8">
                <w:pPr>
                  <w:jc w:val="right"/>
                  <w:rPr>
                    <w:szCs w:val="21"/>
                  </w:rPr>
                </w:pPr>
                <w:r>
                  <w:rPr>
                    <w:szCs w:val="21"/>
                  </w:rPr>
                  <w:t>25,753,789.95</w:t>
                </w:r>
              </w:p>
            </w:tc>
          </w:tr>
        </w:tbl>
        <w:p w14:paraId="6ABC9ECA" w14:textId="345818F6" w:rsidR="00830E72" w:rsidRDefault="00D44830">
          <w:pPr>
            <w:rPr>
              <w:szCs w:val="21"/>
            </w:rPr>
          </w:pPr>
        </w:p>
      </w:sdtContent>
    </w:sdt>
    <w:sdt>
      <w:sdtPr>
        <w:rPr>
          <w:rFonts w:ascii="宋体" w:hAnsi="宋体" w:cs="宋体" w:hint="eastAsia"/>
          <w:b w:val="0"/>
          <w:bCs w:val="0"/>
          <w:kern w:val="0"/>
          <w:sz w:val="24"/>
          <w:szCs w:val="21"/>
        </w:rPr>
        <w:alias w:val="模块:支付的其他与经营活动有关的现金"/>
        <w:tag w:val="_GBC_3c8453861c4b4e94956633ec6c228388"/>
        <w:id w:val="-2047202458"/>
        <w:lock w:val="sdtLocked"/>
        <w:placeholder>
          <w:docPart w:val="GBC22222222222222222222222222222"/>
        </w:placeholder>
      </w:sdtPr>
      <w:sdtEndPr>
        <w:rPr>
          <w:rFonts w:cstheme="minorBidi"/>
          <w:kern w:val="2"/>
          <w:sz w:val="21"/>
        </w:rPr>
      </w:sdtEndPr>
      <w:sdtContent>
        <w:p w14:paraId="6124A9A3" w14:textId="77777777" w:rsidR="00830E72" w:rsidRDefault="008344D8">
          <w:pPr>
            <w:pStyle w:val="Style100"/>
            <w:numPr>
              <w:ilvl w:val="0"/>
              <w:numId w:val="75"/>
            </w:numPr>
            <w:tabs>
              <w:tab w:val="left" w:pos="700"/>
            </w:tabs>
            <w:rPr>
              <w:rFonts w:ascii="宋体" w:hAnsi="宋体"/>
              <w:szCs w:val="21"/>
            </w:rPr>
          </w:pPr>
          <w:r>
            <w:rPr>
              <w:rFonts w:ascii="宋体" w:hAnsi="宋体" w:hint="eastAsia"/>
              <w:szCs w:val="21"/>
            </w:rPr>
            <w:t>支付的其他与经营活动有关的现金</w:t>
          </w:r>
        </w:p>
        <w:sdt>
          <w:sdtPr>
            <w:alias w:val="是否适用：支付的其他与经营活动有关的现金[双击切换]"/>
            <w:tag w:val="_GBC_73331002c48743d9a4438c6eb4a07c95"/>
            <w:id w:val="1107169906"/>
            <w:lock w:val="sdtContentLocked"/>
            <w:placeholder>
              <w:docPart w:val="GBC22222222222222222222222222222"/>
            </w:placeholder>
          </w:sdtPr>
          <w:sdtEndPr/>
          <w:sdtContent>
            <w:p w14:paraId="568CAE87"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E10427D" w14:textId="77777777" w:rsidR="00830E72" w:rsidRDefault="008344D8">
          <w:pPr>
            <w:jc w:val="right"/>
            <w:rPr>
              <w:szCs w:val="21"/>
            </w:rPr>
          </w:pPr>
          <w:r>
            <w:rPr>
              <w:rFonts w:hint="eastAsia"/>
              <w:szCs w:val="21"/>
            </w:rPr>
            <w:t>单位：</w:t>
          </w:r>
          <w:sdt>
            <w:sdtPr>
              <w:rPr>
                <w:rFonts w:hint="eastAsia"/>
                <w:szCs w:val="21"/>
              </w:rPr>
              <w:alias w:val="单位：财务附注：支付的其他与经营活动有关的现金"/>
              <w:tag w:val="_GBC_8252d4ac9be64f04b08b1dc08e270310"/>
              <w:id w:val="-19755181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37de812db19b41c8a01d10d8b0365268"/>
              <w:id w:val="-10903101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47"/>
            <w:gridCol w:w="2759"/>
            <w:gridCol w:w="2787"/>
          </w:tblGrid>
          <w:tr w:rsidR="00830E72" w14:paraId="7D31051F" w14:textId="77777777">
            <w:sdt>
              <w:sdtPr>
                <w:tag w:val="_PLD_164da6d2b96e42688b06fe557d996ac2"/>
                <w:id w:val="1034164293"/>
                <w:lock w:val="sdtLocked"/>
              </w:sdtPr>
              <w:sdtEndPr/>
              <w:sdtContent>
                <w:tc>
                  <w:tcPr>
                    <w:tcW w:w="1882" w:type="pct"/>
                  </w:tcPr>
                  <w:p w14:paraId="00D3A043" w14:textId="77777777" w:rsidR="00830E72" w:rsidRDefault="008344D8">
                    <w:pPr>
                      <w:autoSpaceDE w:val="0"/>
                      <w:autoSpaceDN w:val="0"/>
                      <w:adjustRightInd w:val="0"/>
                      <w:snapToGrid w:val="0"/>
                      <w:jc w:val="center"/>
                      <w:rPr>
                        <w:szCs w:val="21"/>
                      </w:rPr>
                    </w:pPr>
                    <w:r>
                      <w:rPr>
                        <w:rFonts w:hint="eastAsia"/>
                        <w:szCs w:val="21"/>
                      </w:rPr>
                      <w:t>项目</w:t>
                    </w:r>
                  </w:p>
                </w:tc>
              </w:sdtContent>
            </w:sdt>
            <w:sdt>
              <w:sdtPr>
                <w:tag w:val="_PLD_69d21b5f023448adbd8c69a7e96e585d"/>
                <w:id w:val="608863687"/>
                <w:lock w:val="sdtLocked"/>
              </w:sdtPr>
              <w:sdtEndPr/>
              <w:sdtContent>
                <w:tc>
                  <w:tcPr>
                    <w:tcW w:w="1551" w:type="pct"/>
                  </w:tcPr>
                  <w:p w14:paraId="51B7DEB7" w14:textId="77777777" w:rsidR="00830E72" w:rsidRDefault="008344D8">
                    <w:pPr>
                      <w:autoSpaceDE w:val="0"/>
                      <w:autoSpaceDN w:val="0"/>
                      <w:adjustRightInd w:val="0"/>
                      <w:snapToGrid w:val="0"/>
                      <w:jc w:val="center"/>
                      <w:rPr>
                        <w:szCs w:val="21"/>
                      </w:rPr>
                    </w:pPr>
                    <w:r>
                      <w:rPr>
                        <w:rFonts w:hint="eastAsia"/>
                      </w:rPr>
                      <w:t>本期发生额</w:t>
                    </w:r>
                  </w:p>
                </w:tc>
              </w:sdtContent>
            </w:sdt>
            <w:sdt>
              <w:sdtPr>
                <w:tag w:val="_PLD_fccf4811cdbb443297a0ce875715525f"/>
                <w:id w:val="-326597742"/>
                <w:lock w:val="sdtLocked"/>
              </w:sdtPr>
              <w:sdtEndPr/>
              <w:sdtContent>
                <w:tc>
                  <w:tcPr>
                    <w:tcW w:w="1567" w:type="pct"/>
                  </w:tcPr>
                  <w:p w14:paraId="15E7EB0D" w14:textId="77777777" w:rsidR="00830E72" w:rsidRDefault="008344D8">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GBC_9880266c0e6f4e6b92c7692ef64ec140"/>
              <w:id w:val="-136344474"/>
              <w:lock w:val="sdtLocked"/>
            </w:sdtPr>
            <w:sdtEndPr/>
            <w:sdtContent>
              <w:tr w:rsidR="00830E72" w14:paraId="7DF6A4DA" w14:textId="77777777">
                <w:tc>
                  <w:tcPr>
                    <w:tcW w:w="1882" w:type="pct"/>
                  </w:tcPr>
                  <w:p w14:paraId="5C9E6754" w14:textId="77777777" w:rsidR="00830E72" w:rsidRDefault="008344D8">
                    <w:pPr>
                      <w:autoSpaceDE w:val="0"/>
                      <w:autoSpaceDN w:val="0"/>
                      <w:adjustRightInd w:val="0"/>
                      <w:snapToGrid w:val="0"/>
                      <w:rPr>
                        <w:szCs w:val="21"/>
                      </w:rPr>
                    </w:pPr>
                    <w:r>
                      <w:rPr>
                        <w:rFonts w:hint="eastAsia"/>
                        <w:szCs w:val="21"/>
                      </w:rPr>
                      <w:t>投标、履约保证金</w:t>
                    </w:r>
                  </w:p>
                </w:tc>
                <w:tc>
                  <w:tcPr>
                    <w:tcW w:w="1551" w:type="pct"/>
                  </w:tcPr>
                  <w:p w14:paraId="43EEDF1A" w14:textId="77777777" w:rsidR="00830E72" w:rsidRDefault="008344D8">
                    <w:pPr>
                      <w:jc w:val="right"/>
                      <w:rPr>
                        <w:szCs w:val="21"/>
                      </w:rPr>
                    </w:pPr>
                    <w:r>
                      <w:rPr>
                        <w:szCs w:val="21"/>
                      </w:rPr>
                      <w:t>77,921,436.53</w:t>
                    </w:r>
                  </w:p>
                </w:tc>
                <w:tc>
                  <w:tcPr>
                    <w:tcW w:w="1567" w:type="pct"/>
                  </w:tcPr>
                  <w:p w14:paraId="3DF1BD44" w14:textId="77777777" w:rsidR="00830E72" w:rsidRDefault="008344D8">
                    <w:pPr>
                      <w:jc w:val="right"/>
                      <w:rPr>
                        <w:szCs w:val="21"/>
                      </w:rPr>
                    </w:pPr>
                    <w:r>
                      <w:rPr>
                        <w:szCs w:val="21"/>
                      </w:rPr>
                      <w:t>685,587.36</w:t>
                    </w:r>
                  </w:p>
                </w:tc>
              </w:tr>
            </w:sdtContent>
          </w:sdt>
          <w:sdt>
            <w:sdtPr>
              <w:rPr>
                <w:rFonts w:hint="eastAsia"/>
                <w:szCs w:val="21"/>
              </w:rPr>
              <w:alias w:val="支付的其他与经营活动有关的现金明细"/>
              <w:tag w:val="_GBC_9880266c0e6f4e6b92c7692ef64ec140"/>
              <w:id w:val="-1508054845"/>
              <w:lock w:val="sdtLocked"/>
            </w:sdtPr>
            <w:sdtEndPr/>
            <w:sdtContent>
              <w:tr w:rsidR="00830E72" w14:paraId="41449F82" w14:textId="77777777">
                <w:tc>
                  <w:tcPr>
                    <w:tcW w:w="1882" w:type="pct"/>
                  </w:tcPr>
                  <w:p w14:paraId="7A1F4683" w14:textId="77777777" w:rsidR="00830E72" w:rsidRDefault="008344D8">
                    <w:pPr>
                      <w:autoSpaceDE w:val="0"/>
                      <w:autoSpaceDN w:val="0"/>
                      <w:adjustRightInd w:val="0"/>
                      <w:snapToGrid w:val="0"/>
                      <w:rPr>
                        <w:szCs w:val="21"/>
                      </w:rPr>
                    </w:pPr>
                    <w:r>
                      <w:rPr>
                        <w:rFonts w:hint="eastAsia"/>
                        <w:szCs w:val="21"/>
                      </w:rPr>
                      <w:t>保函及其他保证金</w:t>
                    </w:r>
                  </w:p>
                </w:tc>
                <w:tc>
                  <w:tcPr>
                    <w:tcW w:w="1551" w:type="pct"/>
                  </w:tcPr>
                  <w:p w14:paraId="1CE11198" w14:textId="77777777" w:rsidR="00830E72" w:rsidRDefault="008344D8">
                    <w:pPr>
                      <w:jc w:val="right"/>
                      <w:rPr>
                        <w:szCs w:val="21"/>
                      </w:rPr>
                    </w:pPr>
                    <w:r>
                      <w:rPr>
                        <w:rFonts w:hint="eastAsia"/>
                        <w:szCs w:val="21"/>
                      </w:rPr>
                      <w:t>-</w:t>
                    </w:r>
                  </w:p>
                </w:tc>
                <w:tc>
                  <w:tcPr>
                    <w:tcW w:w="1567" w:type="pct"/>
                  </w:tcPr>
                  <w:p w14:paraId="016CAD65" w14:textId="77777777" w:rsidR="00830E72" w:rsidRDefault="008344D8">
                    <w:pPr>
                      <w:jc w:val="right"/>
                      <w:rPr>
                        <w:szCs w:val="21"/>
                      </w:rPr>
                    </w:pPr>
                    <w:r>
                      <w:rPr>
                        <w:szCs w:val="21"/>
                      </w:rPr>
                      <w:t>11,537,386.76</w:t>
                    </w:r>
                  </w:p>
                </w:tc>
              </w:tr>
            </w:sdtContent>
          </w:sdt>
          <w:sdt>
            <w:sdtPr>
              <w:rPr>
                <w:rFonts w:hint="eastAsia"/>
                <w:szCs w:val="21"/>
              </w:rPr>
              <w:alias w:val="支付的其他与经营活动有关的现金明细"/>
              <w:tag w:val="_GBC_9880266c0e6f4e6b92c7692ef64ec140"/>
              <w:id w:val="739750645"/>
              <w:lock w:val="sdtLocked"/>
            </w:sdtPr>
            <w:sdtEndPr/>
            <w:sdtContent>
              <w:tr w:rsidR="00830E72" w14:paraId="0D871E6C" w14:textId="77777777">
                <w:tc>
                  <w:tcPr>
                    <w:tcW w:w="1882" w:type="pct"/>
                  </w:tcPr>
                  <w:p w14:paraId="00A81154" w14:textId="77777777" w:rsidR="00830E72" w:rsidRDefault="008344D8">
                    <w:pPr>
                      <w:autoSpaceDE w:val="0"/>
                      <w:autoSpaceDN w:val="0"/>
                      <w:adjustRightInd w:val="0"/>
                      <w:snapToGrid w:val="0"/>
                      <w:rPr>
                        <w:szCs w:val="21"/>
                      </w:rPr>
                    </w:pPr>
                    <w:r>
                      <w:rPr>
                        <w:rFonts w:hint="eastAsia"/>
                        <w:szCs w:val="21"/>
                      </w:rPr>
                      <w:t>备用金及往来款</w:t>
                    </w:r>
                  </w:p>
                </w:tc>
                <w:tc>
                  <w:tcPr>
                    <w:tcW w:w="1551" w:type="pct"/>
                  </w:tcPr>
                  <w:p w14:paraId="4AAD6CF3" w14:textId="77777777" w:rsidR="00830E72" w:rsidRDefault="008344D8">
                    <w:pPr>
                      <w:jc w:val="right"/>
                      <w:rPr>
                        <w:szCs w:val="21"/>
                      </w:rPr>
                    </w:pPr>
                    <w:r>
                      <w:rPr>
                        <w:szCs w:val="21"/>
                      </w:rPr>
                      <w:t>26,351,882.38</w:t>
                    </w:r>
                  </w:p>
                </w:tc>
                <w:tc>
                  <w:tcPr>
                    <w:tcW w:w="1567" w:type="pct"/>
                  </w:tcPr>
                  <w:p w14:paraId="7A399146" w14:textId="77777777" w:rsidR="00830E72" w:rsidRDefault="008344D8">
                    <w:pPr>
                      <w:jc w:val="right"/>
                      <w:rPr>
                        <w:szCs w:val="21"/>
                      </w:rPr>
                    </w:pPr>
                    <w:r>
                      <w:rPr>
                        <w:szCs w:val="21"/>
                      </w:rPr>
                      <w:t>45,725,352.72</w:t>
                    </w:r>
                  </w:p>
                </w:tc>
              </w:tr>
            </w:sdtContent>
          </w:sdt>
          <w:sdt>
            <w:sdtPr>
              <w:rPr>
                <w:rFonts w:hint="eastAsia"/>
                <w:szCs w:val="21"/>
              </w:rPr>
              <w:alias w:val="支付的其他与经营活动有关的现金明细"/>
              <w:tag w:val="_GBC_9880266c0e6f4e6b92c7692ef64ec140"/>
              <w:id w:val="1998058842"/>
              <w:lock w:val="sdtLocked"/>
            </w:sdtPr>
            <w:sdtEndPr/>
            <w:sdtContent>
              <w:tr w:rsidR="00830E72" w14:paraId="2AAC29D0" w14:textId="77777777">
                <w:tc>
                  <w:tcPr>
                    <w:tcW w:w="1882" w:type="pct"/>
                  </w:tcPr>
                  <w:p w14:paraId="13A6CF9B" w14:textId="77777777" w:rsidR="00830E72" w:rsidRDefault="008344D8">
                    <w:pPr>
                      <w:autoSpaceDE w:val="0"/>
                      <w:autoSpaceDN w:val="0"/>
                      <w:adjustRightInd w:val="0"/>
                      <w:snapToGrid w:val="0"/>
                      <w:rPr>
                        <w:szCs w:val="21"/>
                      </w:rPr>
                    </w:pPr>
                    <w:r>
                      <w:rPr>
                        <w:rFonts w:hint="eastAsia"/>
                        <w:szCs w:val="21"/>
                      </w:rPr>
                      <w:t>管理费用</w:t>
                    </w:r>
                  </w:p>
                </w:tc>
                <w:tc>
                  <w:tcPr>
                    <w:tcW w:w="1551" w:type="pct"/>
                  </w:tcPr>
                  <w:p w14:paraId="017733E5" w14:textId="77777777" w:rsidR="00830E72" w:rsidRDefault="008344D8">
                    <w:pPr>
                      <w:jc w:val="right"/>
                      <w:rPr>
                        <w:szCs w:val="21"/>
                      </w:rPr>
                    </w:pPr>
                    <w:r>
                      <w:rPr>
                        <w:szCs w:val="21"/>
                      </w:rPr>
                      <w:t>29,580,077.38</w:t>
                    </w:r>
                  </w:p>
                </w:tc>
                <w:tc>
                  <w:tcPr>
                    <w:tcW w:w="1567" w:type="pct"/>
                  </w:tcPr>
                  <w:p w14:paraId="550E8FB6" w14:textId="77777777" w:rsidR="00830E72" w:rsidRDefault="008344D8">
                    <w:pPr>
                      <w:jc w:val="right"/>
                      <w:rPr>
                        <w:szCs w:val="21"/>
                      </w:rPr>
                    </w:pPr>
                    <w:r>
                      <w:rPr>
                        <w:szCs w:val="21"/>
                      </w:rPr>
                      <w:t>26,232,818.05</w:t>
                    </w:r>
                  </w:p>
                </w:tc>
              </w:tr>
            </w:sdtContent>
          </w:sdt>
          <w:sdt>
            <w:sdtPr>
              <w:rPr>
                <w:rFonts w:hint="eastAsia"/>
                <w:szCs w:val="21"/>
              </w:rPr>
              <w:alias w:val="支付的其他与经营活动有关的现金明细"/>
              <w:tag w:val="_GBC_9880266c0e6f4e6b92c7692ef64ec140"/>
              <w:id w:val="1895388202"/>
              <w:lock w:val="sdtLocked"/>
            </w:sdtPr>
            <w:sdtEndPr/>
            <w:sdtContent>
              <w:tr w:rsidR="00830E72" w14:paraId="61CCE248" w14:textId="77777777">
                <w:tc>
                  <w:tcPr>
                    <w:tcW w:w="1882" w:type="pct"/>
                  </w:tcPr>
                  <w:p w14:paraId="29CCD6B2" w14:textId="77777777" w:rsidR="00830E72" w:rsidRDefault="008344D8">
                    <w:pPr>
                      <w:autoSpaceDE w:val="0"/>
                      <w:autoSpaceDN w:val="0"/>
                      <w:adjustRightInd w:val="0"/>
                      <w:snapToGrid w:val="0"/>
                      <w:rPr>
                        <w:szCs w:val="21"/>
                      </w:rPr>
                    </w:pPr>
                    <w:r>
                      <w:rPr>
                        <w:rFonts w:hint="eastAsia"/>
                        <w:szCs w:val="21"/>
                      </w:rPr>
                      <w:t>销售费用</w:t>
                    </w:r>
                  </w:p>
                </w:tc>
                <w:tc>
                  <w:tcPr>
                    <w:tcW w:w="1551" w:type="pct"/>
                  </w:tcPr>
                  <w:p w14:paraId="3255451B" w14:textId="77777777" w:rsidR="00830E72" w:rsidRDefault="008344D8">
                    <w:pPr>
                      <w:jc w:val="right"/>
                      <w:rPr>
                        <w:szCs w:val="21"/>
                      </w:rPr>
                    </w:pPr>
                    <w:r>
                      <w:rPr>
                        <w:szCs w:val="21"/>
                      </w:rPr>
                      <w:t>10,362,490.10</w:t>
                    </w:r>
                  </w:p>
                </w:tc>
                <w:tc>
                  <w:tcPr>
                    <w:tcW w:w="1567" w:type="pct"/>
                  </w:tcPr>
                  <w:p w14:paraId="0C48D981" w14:textId="77777777" w:rsidR="00830E72" w:rsidRDefault="008344D8">
                    <w:pPr>
                      <w:jc w:val="right"/>
                      <w:rPr>
                        <w:szCs w:val="21"/>
                      </w:rPr>
                    </w:pPr>
                    <w:r>
                      <w:rPr>
                        <w:szCs w:val="21"/>
                      </w:rPr>
                      <w:t>8,117,581.37</w:t>
                    </w:r>
                  </w:p>
                </w:tc>
              </w:tr>
            </w:sdtContent>
          </w:sdt>
          <w:sdt>
            <w:sdtPr>
              <w:rPr>
                <w:rFonts w:hint="eastAsia"/>
                <w:szCs w:val="21"/>
              </w:rPr>
              <w:alias w:val="支付的其他与经营活动有关的现金明细"/>
              <w:tag w:val="_GBC_9880266c0e6f4e6b92c7692ef64ec140"/>
              <w:id w:val="920531196"/>
              <w:lock w:val="sdtLocked"/>
            </w:sdtPr>
            <w:sdtEndPr/>
            <w:sdtContent>
              <w:tr w:rsidR="00830E72" w14:paraId="197A8A15" w14:textId="77777777">
                <w:tc>
                  <w:tcPr>
                    <w:tcW w:w="1882" w:type="pct"/>
                  </w:tcPr>
                  <w:p w14:paraId="0C11DBBF" w14:textId="77777777" w:rsidR="00830E72" w:rsidRDefault="008344D8">
                    <w:pPr>
                      <w:autoSpaceDE w:val="0"/>
                      <w:autoSpaceDN w:val="0"/>
                      <w:adjustRightInd w:val="0"/>
                      <w:snapToGrid w:val="0"/>
                      <w:rPr>
                        <w:szCs w:val="21"/>
                      </w:rPr>
                    </w:pPr>
                    <w:r>
                      <w:rPr>
                        <w:rFonts w:hint="eastAsia"/>
                        <w:szCs w:val="21"/>
                      </w:rPr>
                      <w:t>财务费用</w:t>
                    </w:r>
                  </w:p>
                </w:tc>
                <w:tc>
                  <w:tcPr>
                    <w:tcW w:w="1551" w:type="pct"/>
                  </w:tcPr>
                  <w:p w14:paraId="2427DDF8" w14:textId="77777777" w:rsidR="00830E72" w:rsidRDefault="008344D8">
                    <w:pPr>
                      <w:jc w:val="right"/>
                      <w:rPr>
                        <w:szCs w:val="21"/>
                      </w:rPr>
                    </w:pPr>
                    <w:r>
                      <w:rPr>
                        <w:szCs w:val="21"/>
                      </w:rPr>
                      <w:t>1,825,183.62</w:t>
                    </w:r>
                  </w:p>
                </w:tc>
                <w:tc>
                  <w:tcPr>
                    <w:tcW w:w="1567" w:type="pct"/>
                  </w:tcPr>
                  <w:p w14:paraId="287B33AF" w14:textId="77777777" w:rsidR="00830E72" w:rsidRDefault="008344D8">
                    <w:pPr>
                      <w:jc w:val="right"/>
                      <w:rPr>
                        <w:szCs w:val="21"/>
                      </w:rPr>
                    </w:pPr>
                    <w:r>
                      <w:rPr>
                        <w:szCs w:val="21"/>
                      </w:rPr>
                      <w:t>812,223.27</w:t>
                    </w:r>
                  </w:p>
                </w:tc>
              </w:tr>
            </w:sdtContent>
          </w:sdt>
          <w:sdt>
            <w:sdtPr>
              <w:rPr>
                <w:rFonts w:hint="eastAsia"/>
                <w:szCs w:val="21"/>
              </w:rPr>
              <w:alias w:val="支付的其他与经营活动有关的现金明细"/>
              <w:tag w:val="_GBC_9880266c0e6f4e6b92c7692ef64ec140"/>
              <w:id w:val="378831710"/>
              <w:lock w:val="sdtLocked"/>
            </w:sdtPr>
            <w:sdtEndPr/>
            <w:sdtContent>
              <w:tr w:rsidR="00830E72" w14:paraId="0ED59ECD" w14:textId="77777777">
                <w:tc>
                  <w:tcPr>
                    <w:tcW w:w="1882" w:type="pct"/>
                  </w:tcPr>
                  <w:p w14:paraId="0D100260" w14:textId="77777777" w:rsidR="00830E72" w:rsidRDefault="008344D8">
                    <w:pPr>
                      <w:autoSpaceDE w:val="0"/>
                      <w:autoSpaceDN w:val="0"/>
                      <w:adjustRightInd w:val="0"/>
                      <w:snapToGrid w:val="0"/>
                      <w:rPr>
                        <w:szCs w:val="21"/>
                      </w:rPr>
                    </w:pPr>
                    <w:r>
                      <w:rPr>
                        <w:rFonts w:hint="eastAsia"/>
                        <w:szCs w:val="21"/>
                      </w:rPr>
                      <w:t>其他</w:t>
                    </w:r>
                  </w:p>
                </w:tc>
                <w:tc>
                  <w:tcPr>
                    <w:tcW w:w="1551" w:type="pct"/>
                  </w:tcPr>
                  <w:p w14:paraId="3A37DFF0" w14:textId="77777777" w:rsidR="00830E72" w:rsidRDefault="008344D8">
                    <w:pPr>
                      <w:jc w:val="right"/>
                      <w:rPr>
                        <w:szCs w:val="21"/>
                      </w:rPr>
                    </w:pPr>
                    <w:r>
                      <w:rPr>
                        <w:szCs w:val="21"/>
                      </w:rPr>
                      <w:t>789,777.63</w:t>
                    </w:r>
                  </w:p>
                </w:tc>
                <w:tc>
                  <w:tcPr>
                    <w:tcW w:w="1567" w:type="pct"/>
                  </w:tcPr>
                  <w:p w14:paraId="0C96C379" w14:textId="77777777" w:rsidR="00830E72" w:rsidRDefault="008344D8">
                    <w:pPr>
                      <w:jc w:val="right"/>
                      <w:rPr>
                        <w:szCs w:val="21"/>
                      </w:rPr>
                    </w:pPr>
                    <w:r>
                      <w:rPr>
                        <w:szCs w:val="21"/>
                      </w:rPr>
                      <w:t>607,195.48</w:t>
                    </w:r>
                  </w:p>
                </w:tc>
              </w:tr>
            </w:sdtContent>
          </w:sdt>
          <w:tr w:rsidR="00830E72" w14:paraId="2C2DA12A" w14:textId="77777777">
            <w:sdt>
              <w:sdtPr>
                <w:tag w:val="_PLD_4b68c0729f8e49a4ac82fb1d64daa6dc"/>
                <w:id w:val="-2008435607"/>
                <w:lock w:val="sdtLocked"/>
              </w:sdtPr>
              <w:sdtEndPr/>
              <w:sdtContent>
                <w:tc>
                  <w:tcPr>
                    <w:tcW w:w="1882" w:type="pct"/>
                  </w:tcPr>
                  <w:p w14:paraId="3439C789" w14:textId="77777777" w:rsidR="00830E72" w:rsidRDefault="008344D8">
                    <w:pPr>
                      <w:autoSpaceDE w:val="0"/>
                      <w:autoSpaceDN w:val="0"/>
                      <w:adjustRightInd w:val="0"/>
                      <w:snapToGrid w:val="0"/>
                      <w:jc w:val="center"/>
                      <w:rPr>
                        <w:szCs w:val="21"/>
                      </w:rPr>
                    </w:pPr>
                    <w:r>
                      <w:rPr>
                        <w:rFonts w:hint="eastAsia"/>
                        <w:szCs w:val="21"/>
                      </w:rPr>
                      <w:t>合计</w:t>
                    </w:r>
                  </w:p>
                </w:tc>
              </w:sdtContent>
            </w:sdt>
            <w:tc>
              <w:tcPr>
                <w:tcW w:w="1551" w:type="pct"/>
              </w:tcPr>
              <w:p w14:paraId="27A89AED" w14:textId="77777777" w:rsidR="00830E72" w:rsidRDefault="008344D8">
                <w:pPr>
                  <w:jc w:val="right"/>
                  <w:rPr>
                    <w:szCs w:val="21"/>
                  </w:rPr>
                </w:pPr>
                <w:r>
                  <w:rPr>
                    <w:szCs w:val="21"/>
                  </w:rPr>
                  <w:t>146,830,847.64</w:t>
                </w:r>
              </w:p>
            </w:tc>
            <w:tc>
              <w:tcPr>
                <w:tcW w:w="1567" w:type="pct"/>
              </w:tcPr>
              <w:p w14:paraId="0A4C4CDE" w14:textId="77777777" w:rsidR="00830E72" w:rsidRDefault="008344D8">
                <w:pPr>
                  <w:jc w:val="right"/>
                  <w:rPr>
                    <w:szCs w:val="21"/>
                  </w:rPr>
                </w:pPr>
                <w:r>
                  <w:rPr>
                    <w:szCs w:val="21"/>
                  </w:rPr>
                  <w:t>93,718,145.01</w:t>
                </w:r>
              </w:p>
            </w:tc>
          </w:tr>
        </w:tbl>
        <w:p w14:paraId="6D8C8ACB" w14:textId="77777777" w:rsidR="00830E72" w:rsidRDefault="00D44830">
          <w:pPr>
            <w:ind w:right="5"/>
            <w:rPr>
              <w:szCs w:val="21"/>
            </w:rPr>
          </w:pPr>
        </w:p>
      </w:sdtContent>
    </w:sdt>
    <w:p w14:paraId="43B572F9" w14:textId="77777777" w:rsidR="00830E72" w:rsidRDefault="00830E72">
      <w:pPr>
        <w:spacing w:line="360" w:lineRule="exact"/>
        <w:ind w:right="5"/>
        <w:rPr>
          <w:szCs w:val="21"/>
        </w:rPr>
      </w:pPr>
    </w:p>
    <w:sdt>
      <w:sdtPr>
        <w:rPr>
          <w:rFonts w:ascii="宋体" w:hAnsi="宋体" w:cs="宋体" w:hint="eastAsia"/>
          <w:b w:val="0"/>
          <w:bCs w:val="0"/>
          <w:kern w:val="0"/>
          <w:sz w:val="24"/>
          <w:szCs w:val="21"/>
        </w:rPr>
        <w:alias w:val="模块:收到的其他与投资活动有关的现金"/>
        <w:tag w:val="_GBC_7d29c8348da547cab82786074f1b3249"/>
        <w:id w:val="-2054229643"/>
        <w:lock w:val="sdtLocked"/>
        <w:placeholder>
          <w:docPart w:val="GBC22222222222222222222222222222"/>
        </w:placeholder>
      </w:sdtPr>
      <w:sdtEndPr>
        <w:rPr>
          <w:rFonts w:cstheme="minorBidi" w:hint="default"/>
          <w:kern w:val="2"/>
          <w:sz w:val="21"/>
        </w:rPr>
      </w:sdtEndPr>
      <w:sdtContent>
        <w:p w14:paraId="2308A395" w14:textId="77777777" w:rsidR="00830E72" w:rsidRDefault="008344D8">
          <w:pPr>
            <w:pStyle w:val="Style100"/>
            <w:numPr>
              <w:ilvl w:val="0"/>
              <w:numId w:val="75"/>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e3b1cf9e3aa408a8867e76d71769712"/>
            <w:id w:val="2120938527"/>
            <w:lock w:val="sdtContentLocked"/>
            <w:placeholder>
              <w:docPart w:val="GBC22222222222222222222222222222"/>
            </w:placeholder>
          </w:sdtPr>
          <w:sdtEndPr/>
          <w:sdtContent>
            <w:p w14:paraId="1D785EE7"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DDD7A3E" w14:textId="77777777" w:rsidR="00830E72" w:rsidRDefault="008344D8">
          <w:pPr>
            <w:jc w:val="right"/>
            <w:rPr>
              <w:szCs w:val="21"/>
            </w:rPr>
          </w:pPr>
          <w:r>
            <w:rPr>
              <w:rFonts w:hint="eastAsia"/>
              <w:szCs w:val="21"/>
            </w:rPr>
            <w:t>单位：</w:t>
          </w:r>
          <w:sdt>
            <w:sdtPr>
              <w:rPr>
                <w:rFonts w:hint="eastAsia"/>
                <w:szCs w:val="21"/>
              </w:rPr>
              <w:alias w:val="单位：财务附注：收到的其他与投资活动有关的现金"/>
              <w:tag w:val="_GBC_864c08420ed74aa18dcf838d10153475"/>
              <w:id w:val="1955879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557bfe9cc4b045ff8684fc828911efc1"/>
              <w:id w:val="8080472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47"/>
            <w:gridCol w:w="2862"/>
            <w:gridCol w:w="2684"/>
          </w:tblGrid>
          <w:tr w:rsidR="00830E72" w14:paraId="402C632D" w14:textId="77777777">
            <w:sdt>
              <w:sdtPr>
                <w:tag w:val="_PLD_fe329b3300fe449c869fda5c957ed9e6"/>
                <w:id w:val="-69275514"/>
                <w:lock w:val="sdtLocked"/>
              </w:sdtPr>
              <w:sdtEndPr/>
              <w:sdtContent>
                <w:tc>
                  <w:tcPr>
                    <w:tcW w:w="1882" w:type="pct"/>
                  </w:tcPr>
                  <w:p w14:paraId="24A76A73" w14:textId="77777777" w:rsidR="00830E72" w:rsidRDefault="008344D8">
                    <w:pPr>
                      <w:autoSpaceDE w:val="0"/>
                      <w:autoSpaceDN w:val="0"/>
                      <w:adjustRightInd w:val="0"/>
                      <w:snapToGrid w:val="0"/>
                      <w:spacing w:line="240" w:lineRule="atLeast"/>
                      <w:jc w:val="center"/>
                      <w:rPr>
                        <w:szCs w:val="21"/>
                      </w:rPr>
                    </w:pPr>
                    <w:r>
                      <w:rPr>
                        <w:rFonts w:hint="eastAsia"/>
                        <w:szCs w:val="21"/>
                      </w:rPr>
                      <w:t>项目</w:t>
                    </w:r>
                  </w:p>
                </w:tc>
              </w:sdtContent>
            </w:sdt>
            <w:sdt>
              <w:sdtPr>
                <w:tag w:val="_PLD_e828a524680d4faeb14e148b152d9982"/>
                <w:id w:val="-2106643005"/>
                <w:lock w:val="sdtLocked"/>
              </w:sdtPr>
              <w:sdtEndPr/>
              <w:sdtContent>
                <w:tc>
                  <w:tcPr>
                    <w:tcW w:w="1609" w:type="pct"/>
                  </w:tcPr>
                  <w:p w14:paraId="45AB9405" w14:textId="77777777" w:rsidR="00830E72" w:rsidRDefault="008344D8">
                    <w:pPr>
                      <w:autoSpaceDE w:val="0"/>
                      <w:autoSpaceDN w:val="0"/>
                      <w:adjustRightInd w:val="0"/>
                      <w:snapToGrid w:val="0"/>
                      <w:spacing w:line="240" w:lineRule="atLeast"/>
                      <w:jc w:val="center"/>
                      <w:rPr>
                        <w:szCs w:val="21"/>
                      </w:rPr>
                    </w:pPr>
                    <w:r>
                      <w:rPr>
                        <w:rFonts w:hint="eastAsia"/>
                      </w:rPr>
                      <w:t>本期发生额</w:t>
                    </w:r>
                  </w:p>
                </w:tc>
              </w:sdtContent>
            </w:sdt>
            <w:sdt>
              <w:sdtPr>
                <w:tag w:val="_PLD_a8eb20dbb1b143d399d3bde1f6e00fa3"/>
                <w:id w:val="-912619627"/>
                <w:lock w:val="sdtLocked"/>
              </w:sdtPr>
              <w:sdtEndPr/>
              <w:sdtContent>
                <w:tc>
                  <w:tcPr>
                    <w:tcW w:w="1509" w:type="pct"/>
                  </w:tcPr>
                  <w:p w14:paraId="625A6047" w14:textId="77777777" w:rsidR="00830E72" w:rsidRDefault="008344D8">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投资活动有关的现金明细"/>
              <w:tag w:val="_GBC_e6aac5cfd8c841e780dd4702b059b16c"/>
              <w:id w:val="896703499"/>
              <w:placeholder>
                <w:docPart w:val="GBC11111111111111111111111111111"/>
              </w:placeholder>
            </w:sdtPr>
            <w:sdtEndPr/>
            <w:sdtContent>
              <w:tr w:rsidR="00830E72" w14:paraId="7DF74643" w14:textId="77777777">
                <w:tc>
                  <w:tcPr>
                    <w:tcW w:w="1882" w:type="pct"/>
                  </w:tcPr>
                  <w:p w14:paraId="01E597F5" w14:textId="77777777" w:rsidR="00830E72" w:rsidRDefault="008344D8">
                    <w:pPr>
                      <w:autoSpaceDE w:val="0"/>
                      <w:autoSpaceDN w:val="0"/>
                      <w:adjustRightInd w:val="0"/>
                      <w:snapToGrid w:val="0"/>
                      <w:spacing w:line="240" w:lineRule="atLeast"/>
                      <w:rPr>
                        <w:szCs w:val="21"/>
                      </w:rPr>
                    </w:pPr>
                    <w:r>
                      <w:rPr>
                        <w:rFonts w:hint="eastAsia"/>
                        <w:szCs w:val="21"/>
                      </w:rPr>
                      <w:t>利息收入</w:t>
                    </w:r>
                  </w:p>
                </w:tc>
                <w:tc>
                  <w:tcPr>
                    <w:tcW w:w="1609" w:type="pct"/>
                    <w:vAlign w:val="bottom"/>
                  </w:tcPr>
                  <w:p w14:paraId="600346FA" w14:textId="77777777" w:rsidR="00830E72" w:rsidRDefault="008344D8">
                    <w:pPr>
                      <w:jc w:val="right"/>
                      <w:rPr>
                        <w:szCs w:val="21"/>
                      </w:rPr>
                    </w:pPr>
                    <w:r>
                      <w:rPr>
                        <w:szCs w:val="21"/>
                      </w:rPr>
                      <w:t>15,364,532.30</w:t>
                    </w:r>
                  </w:p>
                </w:tc>
                <w:tc>
                  <w:tcPr>
                    <w:tcW w:w="1509" w:type="pct"/>
                  </w:tcPr>
                  <w:p w14:paraId="78C6CEC5" w14:textId="77777777" w:rsidR="00830E72" w:rsidRDefault="008344D8">
                    <w:pPr>
                      <w:jc w:val="right"/>
                      <w:rPr>
                        <w:szCs w:val="21"/>
                      </w:rPr>
                    </w:pPr>
                    <w:r>
                      <w:rPr>
                        <w:szCs w:val="21"/>
                      </w:rPr>
                      <w:t>1,566,888.94</w:t>
                    </w:r>
                  </w:p>
                </w:tc>
              </w:tr>
            </w:sdtContent>
          </w:sdt>
          <w:tr w:rsidR="00830E72" w14:paraId="50477485" w14:textId="77777777">
            <w:sdt>
              <w:sdtPr>
                <w:tag w:val="_PLD_7a5b8e3355174a5f94c83cb81ed0821b"/>
                <w:id w:val="380361542"/>
                <w:lock w:val="sdtLocked"/>
              </w:sdtPr>
              <w:sdtEndPr/>
              <w:sdtContent>
                <w:tc>
                  <w:tcPr>
                    <w:tcW w:w="1882" w:type="pct"/>
                  </w:tcPr>
                  <w:p w14:paraId="124F6B5C" w14:textId="77777777" w:rsidR="00830E72" w:rsidRDefault="008344D8">
                    <w:pPr>
                      <w:autoSpaceDE w:val="0"/>
                      <w:autoSpaceDN w:val="0"/>
                      <w:adjustRightInd w:val="0"/>
                      <w:snapToGrid w:val="0"/>
                      <w:spacing w:line="240" w:lineRule="atLeast"/>
                      <w:jc w:val="center"/>
                      <w:rPr>
                        <w:szCs w:val="21"/>
                      </w:rPr>
                    </w:pPr>
                    <w:r>
                      <w:rPr>
                        <w:rFonts w:hint="eastAsia"/>
                        <w:szCs w:val="21"/>
                      </w:rPr>
                      <w:t>合计</w:t>
                    </w:r>
                  </w:p>
                </w:tc>
              </w:sdtContent>
            </w:sdt>
            <w:tc>
              <w:tcPr>
                <w:tcW w:w="1609" w:type="pct"/>
                <w:vAlign w:val="bottom"/>
              </w:tcPr>
              <w:p w14:paraId="0BD65502" w14:textId="77777777" w:rsidR="00830E72" w:rsidRDefault="008344D8">
                <w:pPr>
                  <w:jc w:val="right"/>
                  <w:rPr>
                    <w:szCs w:val="21"/>
                  </w:rPr>
                </w:pPr>
                <w:r>
                  <w:rPr>
                    <w:szCs w:val="21"/>
                  </w:rPr>
                  <w:t>15,364,532.30</w:t>
                </w:r>
              </w:p>
            </w:tc>
            <w:tc>
              <w:tcPr>
                <w:tcW w:w="1509" w:type="pct"/>
              </w:tcPr>
              <w:p w14:paraId="3887E420" w14:textId="77777777" w:rsidR="00830E72" w:rsidRDefault="008344D8">
                <w:pPr>
                  <w:jc w:val="right"/>
                  <w:rPr>
                    <w:szCs w:val="21"/>
                  </w:rPr>
                </w:pPr>
                <w:r>
                  <w:rPr>
                    <w:szCs w:val="21"/>
                  </w:rPr>
                  <w:t>1,566,888.94</w:t>
                </w:r>
              </w:p>
            </w:tc>
          </w:tr>
        </w:tbl>
        <w:p w14:paraId="604DE470" w14:textId="77777777" w:rsidR="00830E72" w:rsidRDefault="00D44830">
          <w:pPr>
            <w:snapToGrid w:val="0"/>
            <w:spacing w:line="240" w:lineRule="atLeast"/>
            <w:rPr>
              <w:szCs w:val="21"/>
            </w:rPr>
          </w:pPr>
        </w:p>
      </w:sdtContent>
    </w:sdt>
    <w:p w14:paraId="27417987" w14:textId="77777777" w:rsidR="00830E72" w:rsidRDefault="00830E72">
      <w:pPr>
        <w:rPr>
          <w:szCs w:val="21"/>
        </w:rPr>
      </w:pPr>
    </w:p>
    <w:sdt>
      <w:sdtPr>
        <w:rPr>
          <w:rFonts w:ascii="宋体" w:hAnsi="宋体" w:cs="宋体" w:hint="eastAsia"/>
          <w:b w:val="0"/>
          <w:bCs w:val="0"/>
          <w:kern w:val="0"/>
          <w:sz w:val="24"/>
          <w:szCs w:val="21"/>
        </w:rPr>
        <w:alias w:val="模块:支付的其他与投资活动有关的现金"/>
        <w:tag w:val="_GBC_fa501b3ede254af6bdfad826e328392a"/>
        <w:id w:val="-1813550411"/>
        <w:lock w:val="sdtLocked"/>
        <w:placeholder>
          <w:docPart w:val="GBC22222222222222222222222222222"/>
        </w:placeholder>
      </w:sdtPr>
      <w:sdtEndPr>
        <w:rPr>
          <w:rFonts w:cstheme="minorBidi"/>
          <w:kern w:val="2"/>
          <w:sz w:val="21"/>
        </w:rPr>
      </w:sdtEndPr>
      <w:sdtContent>
        <w:p w14:paraId="15DFE58B" w14:textId="77777777" w:rsidR="00830E72" w:rsidRDefault="008344D8">
          <w:pPr>
            <w:pStyle w:val="Style100"/>
            <w:numPr>
              <w:ilvl w:val="0"/>
              <w:numId w:val="75"/>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8862c0a38548482cb3b55a82757e3e33"/>
            <w:id w:val="1089193804"/>
            <w:lock w:val="sdtContentLocked"/>
            <w:placeholder>
              <w:docPart w:val="GBC22222222222222222222222222222"/>
            </w:placeholder>
          </w:sdtPr>
          <w:sdtEndPr/>
          <w:sdtContent>
            <w:p w14:paraId="4975D37F"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83F8C59" w14:textId="77777777" w:rsidR="00830E72" w:rsidRDefault="008344D8">
          <w:pPr>
            <w:jc w:val="right"/>
            <w:rPr>
              <w:szCs w:val="21"/>
            </w:rPr>
          </w:pPr>
          <w:r>
            <w:rPr>
              <w:rFonts w:hint="eastAsia"/>
              <w:szCs w:val="21"/>
            </w:rPr>
            <w:t>单位：</w:t>
          </w:r>
          <w:sdt>
            <w:sdtPr>
              <w:rPr>
                <w:rFonts w:hint="eastAsia"/>
                <w:szCs w:val="21"/>
              </w:rPr>
              <w:alias w:val="单位：财务附注：支付的其他与投资活动有关的现金"/>
              <w:tag w:val="_GBC_d10892949aa14ffe8488e5fb3e554708"/>
              <w:id w:val="-19555552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699764a41036486da9355782e929009a"/>
              <w:id w:val="-558643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47"/>
            <w:gridCol w:w="2864"/>
            <w:gridCol w:w="2682"/>
          </w:tblGrid>
          <w:tr w:rsidR="00830E72" w14:paraId="62D5947A" w14:textId="77777777">
            <w:sdt>
              <w:sdtPr>
                <w:tag w:val="_PLD_9d1eae9c142b4411afe63077d56be240"/>
                <w:id w:val="-1466266646"/>
                <w:lock w:val="sdtLocked"/>
              </w:sdtPr>
              <w:sdtEndPr/>
              <w:sdtContent>
                <w:tc>
                  <w:tcPr>
                    <w:tcW w:w="1882" w:type="pct"/>
                  </w:tcPr>
                  <w:p w14:paraId="48F80AAC" w14:textId="77777777" w:rsidR="00830E72" w:rsidRDefault="008344D8">
                    <w:pPr>
                      <w:autoSpaceDE w:val="0"/>
                      <w:autoSpaceDN w:val="0"/>
                      <w:adjustRightInd w:val="0"/>
                      <w:snapToGrid w:val="0"/>
                      <w:jc w:val="center"/>
                      <w:rPr>
                        <w:szCs w:val="21"/>
                      </w:rPr>
                    </w:pPr>
                    <w:r>
                      <w:rPr>
                        <w:rFonts w:hint="eastAsia"/>
                        <w:szCs w:val="21"/>
                      </w:rPr>
                      <w:t>项目</w:t>
                    </w:r>
                  </w:p>
                </w:tc>
              </w:sdtContent>
            </w:sdt>
            <w:sdt>
              <w:sdtPr>
                <w:tag w:val="_PLD_c15b0147904647a286b23a6481ce17ad"/>
                <w:id w:val="-175421472"/>
                <w:lock w:val="sdtLocked"/>
              </w:sdtPr>
              <w:sdtEndPr/>
              <w:sdtContent>
                <w:tc>
                  <w:tcPr>
                    <w:tcW w:w="1610" w:type="pct"/>
                  </w:tcPr>
                  <w:p w14:paraId="6EBE483D" w14:textId="77777777" w:rsidR="00830E72" w:rsidRDefault="008344D8">
                    <w:pPr>
                      <w:autoSpaceDE w:val="0"/>
                      <w:autoSpaceDN w:val="0"/>
                      <w:adjustRightInd w:val="0"/>
                      <w:snapToGrid w:val="0"/>
                      <w:jc w:val="center"/>
                      <w:rPr>
                        <w:szCs w:val="21"/>
                      </w:rPr>
                    </w:pPr>
                    <w:r>
                      <w:rPr>
                        <w:rFonts w:hint="eastAsia"/>
                      </w:rPr>
                      <w:t>本期发生额</w:t>
                    </w:r>
                  </w:p>
                </w:tc>
              </w:sdtContent>
            </w:sdt>
            <w:sdt>
              <w:sdtPr>
                <w:tag w:val="_PLD_be0073208a034a9ea119993745bed906"/>
                <w:id w:val="760798004"/>
                <w:lock w:val="sdtLocked"/>
              </w:sdtPr>
              <w:sdtEndPr/>
              <w:sdtContent>
                <w:tc>
                  <w:tcPr>
                    <w:tcW w:w="1508" w:type="pct"/>
                  </w:tcPr>
                  <w:p w14:paraId="14E6519C" w14:textId="77777777" w:rsidR="00830E72" w:rsidRDefault="008344D8">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投资活动有关的现金明细"/>
              <w:tag w:val="_GBC_6a364cf9eb8d40e78f70a7d87a1664fd"/>
              <w:id w:val="-92712273"/>
              <w:lock w:val="sdtLocked"/>
              <w:placeholder>
                <w:docPart w:val="GBC11111111111111111111111111111"/>
              </w:placeholder>
            </w:sdtPr>
            <w:sdtEndPr/>
            <w:sdtContent>
              <w:tr w:rsidR="00830E72" w14:paraId="2D7215EC" w14:textId="77777777">
                <w:tc>
                  <w:tcPr>
                    <w:tcW w:w="1882" w:type="pct"/>
                  </w:tcPr>
                  <w:p w14:paraId="36ADFF1D" w14:textId="77777777" w:rsidR="00830E72" w:rsidRDefault="008344D8">
                    <w:pPr>
                      <w:autoSpaceDE w:val="0"/>
                      <w:autoSpaceDN w:val="0"/>
                      <w:adjustRightInd w:val="0"/>
                      <w:snapToGrid w:val="0"/>
                      <w:rPr>
                        <w:szCs w:val="21"/>
                      </w:rPr>
                    </w:pPr>
                    <w:r>
                      <w:rPr>
                        <w:rFonts w:hint="eastAsia"/>
                        <w:szCs w:val="21"/>
                      </w:rPr>
                      <w:t>理财产品</w:t>
                    </w:r>
                  </w:p>
                </w:tc>
                <w:tc>
                  <w:tcPr>
                    <w:tcW w:w="1610" w:type="pct"/>
                    <w:vAlign w:val="bottom"/>
                  </w:tcPr>
                  <w:p w14:paraId="4C20B980" w14:textId="77777777" w:rsidR="00830E72" w:rsidRDefault="008344D8">
                    <w:pPr>
                      <w:jc w:val="right"/>
                      <w:rPr>
                        <w:szCs w:val="21"/>
                      </w:rPr>
                    </w:pPr>
                    <w:r>
                      <w:rPr>
                        <w:szCs w:val="21"/>
                      </w:rPr>
                      <w:t>11,500,000.00</w:t>
                    </w:r>
                  </w:p>
                </w:tc>
                <w:tc>
                  <w:tcPr>
                    <w:tcW w:w="1508" w:type="pct"/>
                  </w:tcPr>
                  <w:p w14:paraId="1E7945A9" w14:textId="77777777" w:rsidR="00830E72" w:rsidRDefault="00830E72">
                    <w:pPr>
                      <w:jc w:val="right"/>
                      <w:rPr>
                        <w:szCs w:val="21"/>
                      </w:rPr>
                    </w:pPr>
                  </w:p>
                </w:tc>
              </w:tr>
            </w:sdtContent>
          </w:sdt>
          <w:sdt>
            <w:sdtPr>
              <w:rPr>
                <w:rFonts w:hint="eastAsia"/>
                <w:szCs w:val="21"/>
              </w:rPr>
              <w:alias w:val="支付的其他与投资活动有关的现金明细"/>
              <w:tag w:val="_GBC_6a364cf9eb8d40e78f70a7d87a1664fd"/>
              <w:id w:val="963002365"/>
              <w:lock w:val="sdtLocked"/>
              <w:placeholder>
                <w:docPart w:val="GBC11111111111111111111111111111"/>
              </w:placeholder>
            </w:sdtPr>
            <w:sdtEndPr/>
            <w:sdtContent>
              <w:tr w:rsidR="00830E72" w14:paraId="491EA52A" w14:textId="77777777">
                <w:tc>
                  <w:tcPr>
                    <w:tcW w:w="1882" w:type="pct"/>
                  </w:tcPr>
                  <w:p w14:paraId="0CBFDB0D" w14:textId="77777777" w:rsidR="00830E72" w:rsidRDefault="008344D8">
                    <w:pPr>
                      <w:autoSpaceDE w:val="0"/>
                      <w:autoSpaceDN w:val="0"/>
                      <w:adjustRightInd w:val="0"/>
                      <w:snapToGrid w:val="0"/>
                      <w:rPr>
                        <w:szCs w:val="21"/>
                      </w:rPr>
                    </w:pPr>
                    <w:r>
                      <w:rPr>
                        <w:rFonts w:hint="eastAsia"/>
                        <w:szCs w:val="21"/>
                      </w:rPr>
                      <w:t>股权交易意向金</w:t>
                    </w:r>
                  </w:p>
                </w:tc>
                <w:tc>
                  <w:tcPr>
                    <w:tcW w:w="1610" w:type="pct"/>
                    <w:vAlign w:val="bottom"/>
                  </w:tcPr>
                  <w:p w14:paraId="37432CCF" w14:textId="77777777" w:rsidR="00830E72" w:rsidRDefault="00830E72">
                    <w:pPr>
                      <w:jc w:val="right"/>
                      <w:rPr>
                        <w:szCs w:val="21"/>
                      </w:rPr>
                    </w:pPr>
                  </w:p>
                </w:tc>
                <w:tc>
                  <w:tcPr>
                    <w:tcW w:w="1508" w:type="pct"/>
                  </w:tcPr>
                  <w:p w14:paraId="271AC5AF" w14:textId="77777777" w:rsidR="00830E72" w:rsidRDefault="008344D8">
                    <w:pPr>
                      <w:jc w:val="right"/>
                      <w:rPr>
                        <w:szCs w:val="21"/>
                      </w:rPr>
                    </w:pPr>
                    <w:r>
                      <w:rPr>
                        <w:szCs w:val="21"/>
                      </w:rPr>
                      <w:t>20,000,000.00</w:t>
                    </w:r>
                  </w:p>
                </w:tc>
              </w:tr>
            </w:sdtContent>
          </w:sdt>
          <w:tr w:rsidR="00830E72" w14:paraId="1B0798EE" w14:textId="77777777">
            <w:sdt>
              <w:sdtPr>
                <w:tag w:val="_PLD_25eb93d584614399905435b78bc647a8"/>
                <w:id w:val="-2066710720"/>
                <w:lock w:val="sdtLocked"/>
              </w:sdtPr>
              <w:sdtEndPr/>
              <w:sdtContent>
                <w:tc>
                  <w:tcPr>
                    <w:tcW w:w="1882" w:type="pct"/>
                  </w:tcPr>
                  <w:p w14:paraId="37B306E3" w14:textId="77777777" w:rsidR="00830E72" w:rsidRDefault="008344D8">
                    <w:pPr>
                      <w:autoSpaceDE w:val="0"/>
                      <w:autoSpaceDN w:val="0"/>
                      <w:adjustRightInd w:val="0"/>
                      <w:snapToGrid w:val="0"/>
                      <w:jc w:val="center"/>
                      <w:rPr>
                        <w:szCs w:val="21"/>
                      </w:rPr>
                    </w:pPr>
                    <w:r>
                      <w:rPr>
                        <w:rFonts w:hint="eastAsia"/>
                        <w:szCs w:val="21"/>
                      </w:rPr>
                      <w:t>合计</w:t>
                    </w:r>
                  </w:p>
                </w:tc>
              </w:sdtContent>
            </w:sdt>
            <w:tc>
              <w:tcPr>
                <w:tcW w:w="1610" w:type="pct"/>
                <w:vAlign w:val="bottom"/>
              </w:tcPr>
              <w:p w14:paraId="6A1C0901" w14:textId="77777777" w:rsidR="00830E72" w:rsidRDefault="008344D8">
                <w:pPr>
                  <w:jc w:val="right"/>
                  <w:rPr>
                    <w:szCs w:val="21"/>
                  </w:rPr>
                </w:pPr>
                <w:r>
                  <w:rPr>
                    <w:szCs w:val="21"/>
                  </w:rPr>
                  <w:t>11,500,000.00</w:t>
                </w:r>
              </w:p>
            </w:tc>
            <w:tc>
              <w:tcPr>
                <w:tcW w:w="1508" w:type="pct"/>
              </w:tcPr>
              <w:p w14:paraId="509263B3" w14:textId="77777777" w:rsidR="00830E72" w:rsidRDefault="008344D8">
                <w:pPr>
                  <w:jc w:val="right"/>
                  <w:rPr>
                    <w:szCs w:val="21"/>
                  </w:rPr>
                </w:pPr>
                <w:r>
                  <w:rPr>
                    <w:szCs w:val="21"/>
                  </w:rPr>
                  <w:t>20,000,000.00</w:t>
                </w:r>
              </w:p>
            </w:tc>
          </w:tr>
        </w:tbl>
        <w:p w14:paraId="0D82A035" w14:textId="77777777" w:rsidR="00830E72" w:rsidRDefault="00D44830">
          <w:pPr>
            <w:rPr>
              <w:szCs w:val="21"/>
            </w:rPr>
          </w:pPr>
        </w:p>
      </w:sdtContent>
    </w:sdt>
    <w:sdt>
      <w:sdtPr>
        <w:rPr>
          <w:rFonts w:ascii="宋体" w:hAnsi="宋体" w:cs="宋体" w:hint="eastAsia"/>
          <w:b w:val="0"/>
          <w:bCs w:val="0"/>
          <w:kern w:val="0"/>
          <w:sz w:val="24"/>
          <w:szCs w:val="21"/>
        </w:rPr>
        <w:alias w:val="模块:收到的其他与筹资活动有关的现金"/>
        <w:tag w:val="_GBC_6e57c618c25c498db37f205341e0c66a"/>
        <w:id w:val="798264704"/>
        <w:lock w:val="sdtLocked"/>
        <w:placeholder>
          <w:docPart w:val="GBC22222222222222222222222222222"/>
        </w:placeholder>
      </w:sdtPr>
      <w:sdtEndPr>
        <w:rPr>
          <w:rFonts w:cstheme="minorBidi"/>
          <w:kern w:val="2"/>
          <w:sz w:val="21"/>
          <w:szCs w:val="22"/>
        </w:rPr>
      </w:sdtEndPr>
      <w:sdtContent>
        <w:p w14:paraId="6748B824" w14:textId="77777777" w:rsidR="00830E72" w:rsidRDefault="008344D8">
          <w:pPr>
            <w:pStyle w:val="Style100"/>
            <w:numPr>
              <w:ilvl w:val="0"/>
              <w:numId w:val="75"/>
            </w:numPr>
            <w:rPr>
              <w:rFonts w:ascii="宋体" w:hAnsi="宋体"/>
              <w:szCs w:val="21"/>
            </w:rPr>
          </w:pPr>
          <w:r>
            <w:rPr>
              <w:rFonts w:ascii="宋体" w:hAnsi="宋体" w:hint="eastAsia"/>
              <w:szCs w:val="21"/>
            </w:rPr>
            <w:t>收到的其他与筹资活动有关的现金</w:t>
          </w:r>
        </w:p>
        <w:sdt>
          <w:sdtPr>
            <w:alias w:val="是否适用：收到的其他与筹资活动有关的现金[双击切换]"/>
            <w:tag w:val="_GBC_6e82da4b55134cf6aacd6132e71f2c27"/>
            <w:id w:val="108783366"/>
            <w:lock w:val="sdtContentLocked"/>
            <w:placeholder>
              <w:docPart w:val="GBC22222222222222222222222222222"/>
            </w:placeholder>
          </w:sdtPr>
          <w:sdtEndPr/>
          <w:sdtContent>
            <w:p w14:paraId="6BCD2154"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 w:val="24"/>
          <w:szCs w:val="22"/>
        </w:rPr>
        <w:alias w:val="模块:支付的其他与筹资活动有关的现金"/>
        <w:tag w:val="_GBC_96162aa406234e2485524876a03968e7"/>
        <w:id w:val="448361235"/>
        <w:lock w:val="sdtLocked"/>
        <w:placeholder>
          <w:docPart w:val="GBC22222222222222222222222222222"/>
        </w:placeholder>
      </w:sdtPr>
      <w:sdtEndPr>
        <w:rPr>
          <w:rFonts w:cstheme="minorBidi"/>
          <w:kern w:val="2"/>
          <w:sz w:val="21"/>
        </w:rPr>
      </w:sdtEndPr>
      <w:sdtContent>
        <w:p w14:paraId="37849511" w14:textId="77777777" w:rsidR="00830E72" w:rsidRDefault="008344D8">
          <w:pPr>
            <w:pStyle w:val="Style100"/>
            <w:numPr>
              <w:ilvl w:val="0"/>
              <w:numId w:val="75"/>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cf7fd4869f8d4d98a07243e22bf22793"/>
            <w:id w:val="1890917126"/>
            <w:lock w:val="sdtContentLocked"/>
            <w:placeholder>
              <w:docPart w:val="GBC22222222222222222222222222222"/>
            </w:placeholder>
          </w:sdtPr>
          <w:sdtEndPr/>
          <w:sdtContent>
            <w:p w14:paraId="74578943"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D39B23E" w14:textId="77777777" w:rsidR="00830E72" w:rsidRDefault="008344D8">
          <w:pPr>
            <w:jc w:val="right"/>
            <w:rPr>
              <w:szCs w:val="21"/>
            </w:rPr>
          </w:pPr>
          <w:r>
            <w:rPr>
              <w:rFonts w:hint="eastAsia"/>
              <w:szCs w:val="21"/>
            </w:rPr>
            <w:t>单位：</w:t>
          </w:r>
          <w:sdt>
            <w:sdtPr>
              <w:rPr>
                <w:rFonts w:hint="eastAsia"/>
                <w:szCs w:val="21"/>
              </w:rPr>
              <w:alias w:val="单位：财务附注：支付的其他与筹资活动有关的现金"/>
              <w:tag w:val="_GBC_323ca3d874214911880818d387e0c63b"/>
              <w:id w:val="12981059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d6726952256941209f32bac8fffa568d"/>
              <w:id w:val="16922521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47"/>
            <w:gridCol w:w="2864"/>
            <w:gridCol w:w="2682"/>
          </w:tblGrid>
          <w:tr w:rsidR="00830E72" w14:paraId="1E3EBAE7" w14:textId="77777777">
            <w:sdt>
              <w:sdtPr>
                <w:tag w:val="_PLD_2b9da6111f3f4cacb3afcfc0de00e1e9"/>
                <w:id w:val="-158934436"/>
                <w:lock w:val="sdtLocked"/>
              </w:sdtPr>
              <w:sdtEndPr/>
              <w:sdtContent>
                <w:tc>
                  <w:tcPr>
                    <w:tcW w:w="1882" w:type="pct"/>
                  </w:tcPr>
                  <w:p w14:paraId="0977EBBD" w14:textId="77777777" w:rsidR="00830E72" w:rsidRDefault="008344D8">
                    <w:pPr>
                      <w:autoSpaceDE w:val="0"/>
                      <w:autoSpaceDN w:val="0"/>
                      <w:adjustRightInd w:val="0"/>
                      <w:snapToGrid w:val="0"/>
                      <w:jc w:val="center"/>
                    </w:pPr>
                    <w:r>
                      <w:rPr>
                        <w:rFonts w:hint="eastAsia"/>
                      </w:rPr>
                      <w:t>项目</w:t>
                    </w:r>
                  </w:p>
                </w:tc>
              </w:sdtContent>
            </w:sdt>
            <w:sdt>
              <w:sdtPr>
                <w:tag w:val="_PLD_b6791a7f5c234d80be8964d8fb7b3ce6"/>
                <w:id w:val="-990021085"/>
                <w:lock w:val="sdtLocked"/>
              </w:sdtPr>
              <w:sdtEndPr/>
              <w:sdtContent>
                <w:tc>
                  <w:tcPr>
                    <w:tcW w:w="1610" w:type="pct"/>
                  </w:tcPr>
                  <w:p w14:paraId="589B64C3" w14:textId="77777777" w:rsidR="00830E72" w:rsidRDefault="008344D8">
                    <w:pPr>
                      <w:autoSpaceDE w:val="0"/>
                      <w:autoSpaceDN w:val="0"/>
                      <w:adjustRightInd w:val="0"/>
                      <w:snapToGrid w:val="0"/>
                      <w:jc w:val="center"/>
                    </w:pPr>
                    <w:r>
                      <w:rPr>
                        <w:rFonts w:hint="eastAsia"/>
                      </w:rPr>
                      <w:t>本期发生额</w:t>
                    </w:r>
                  </w:p>
                </w:tc>
              </w:sdtContent>
            </w:sdt>
            <w:sdt>
              <w:sdtPr>
                <w:tag w:val="_PLD_b4a33da4012d47bd8013a6c570bcad87"/>
                <w:id w:val="-1528789614"/>
                <w:lock w:val="sdtLocked"/>
              </w:sdtPr>
              <w:sdtEndPr/>
              <w:sdtContent>
                <w:tc>
                  <w:tcPr>
                    <w:tcW w:w="1508" w:type="pct"/>
                  </w:tcPr>
                  <w:p w14:paraId="5C756208" w14:textId="77777777" w:rsidR="00830E72" w:rsidRDefault="008344D8">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GBC_67ad8c2e4b094cd980237b364226db90"/>
              <w:id w:val="2112392209"/>
              <w:lock w:val="sdtLocked"/>
              <w:placeholder>
                <w:docPart w:val="GBC11111111111111111111111111111"/>
              </w:placeholder>
            </w:sdtPr>
            <w:sdtEndPr/>
            <w:sdtContent>
              <w:tr w:rsidR="00830E72" w14:paraId="1CF397E5" w14:textId="77777777">
                <w:tc>
                  <w:tcPr>
                    <w:tcW w:w="1882" w:type="pct"/>
                  </w:tcPr>
                  <w:p w14:paraId="6794FC45" w14:textId="77777777" w:rsidR="00830E72" w:rsidRDefault="008344D8">
                    <w:pPr>
                      <w:autoSpaceDE w:val="0"/>
                      <w:autoSpaceDN w:val="0"/>
                      <w:adjustRightInd w:val="0"/>
                      <w:snapToGrid w:val="0"/>
                    </w:pPr>
                    <w:r>
                      <w:rPr>
                        <w:rFonts w:hint="eastAsia"/>
                        <w:szCs w:val="21"/>
                      </w:rPr>
                      <w:t>租赁费</w:t>
                    </w:r>
                  </w:p>
                </w:tc>
                <w:tc>
                  <w:tcPr>
                    <w:tcW w:w="1610" w:type="pct"/>
                    <w:vAlign w:val="bottom"/>
                  </w:tcPr>
                  <w:p w14:paraId="599EC06D" w14:textId="77777777" w:rsidR="00830E72" w:rsidRDefault="008344D8">
                    <w:pPr>
                      <w:jc w:val="right"/>
                    </w:pPr>
                    <w:r>
                      <w:rPr>
                        <w:szCs w:val="21"/>
                      </w:rPr>
                      <w:t>1,234,842.26</w:t>
                    </w:r>
                  </w:p>
                </w:tc>
                <w:tc>
                  <w:tcPr>
                    <w:tcW w:w="1508" w:type="pct"/>
                  </w:tcPr>
                  <w:p w14:paraId="3A48FBE0" w14:textId="77777777" w:rsidR="00830E72" w:rsidRDefault="00830E72">
                    <w:pPr>
                      <w:jc w:val="right"/>
                    </w:pPr>
                  </w:p>
                </w:tc>
              </w:tr>
            </w:sdtContent>
          </w:sdt>
          <w:sdt>
            <w:sdtPr>
              <w:rPr>
                <w:rFonts w:hint="eastAsia"/>
              </w:rPr>
              <w:alias w:val="支付的其他与筹资活动有关的现金明细"/>
              <w:tag w:val="_GBC_67ad8c2e4b094cd980237b364226db90"/>
              <w:id w:val="1792705288"/>
              <w:lock w:val="sdtLocked"/>
              <w:placeholder>
                <w:docPart w:val="GBC11111111111111111111111111111"/>
              </w:placeholder>
            </w:sdtPr>
            <w:sdtEndPr/>
            <w:sdtContent>
              <w:tr w:rsidR="00830E72" w14:paraId="0327422A" w14:textId="77777777">
                <w:tc>
                  <w:tcPr>
                    <w:tcW w:w="1882" w:type="pct"/>
                  </w:tcPr>
                  <w:p w14:paraId="4816E5A9" w14:textId="77777777" w:rsidR="00830E72" w:rsidRDefault="008344D8">
                    <w:pPr>
                      <w:autoSpaceDE w:val="0"/>
                      <w:autoSpaceDN w:val="0"/>
                      <w:adjustRightInd w:val="0"/>
                      <w:snapToGrid w:val="0"/>
                    </w:pPr>
                    <w:r>
                      <w:rPr>
                        <w:rFonts w:hint="eastAsia"/>
                        <w:szCs w:val="21"/>
                      </w:rPr>
                      <w:t>担保费及其他</w:t>
                    </w:r>
                  </w:p>
                </w:tc>
                <w:tc>
                  <w:tcPr>
                    <w:tcW w:w="1610" w:type="pct"/>
                    <w:vAlign w:val="bottom"/>
                  </w:tcPr>
                  <w:p w14:paraId="31756A73" w14:textId="77777777" w:rsidR="00830E72" w:rsidRDefault="00830E72">
                    <w:pPr>
                      <w:jc w:val="right"/>
                    </w:pPr>
                  </w:p>
                </w:tc>
                <w:tc>
                  <w:tcPr>
                    <w:tcW w:w="1508" w:type="pct"/>
                  </w:tcPr>
                  <w:p w14:paraId="00818065" w14:textId="77777777" w:rsidR="00830E72" w:rsidRDefault="008344D8">
                    <w:pPr>
                      <w:jc w:val="right"/>
                    </w:pPr>
                    <w:r>
                      <w:rPr>
                        <w:szCs w:val="21"/>
                      </w:rPr>
                      <w:t>5,060,000.00</w:t>
                    </w:r>
                  </w:p>
                </w:tc>
              </w:tr>
            </w:sdtContent>
          </w:sdt>
          <w:tr w:rsidR="00830E72" w14:paraId="1C025B3E" w14:textId="77777777">
            <w:sdt>
              <w:sdtPr>
                <w:tag w:val="_PLD_22dc5e1e835f424c922e14021ea4fcda"/>
                <w:id w:val="-1265602974"/>
                <w:lock w:val="sdtLocked"/>
              </w:sdtPr>
              <w:sdtEndPr/>
              <w:sdtContent>
                <w:tc>
                  <w:tcPr>
                    <w:tcW w:w="1882" w:type="pct"/>
                  </w:tcPr>
                  <w:p w14:paraId="142203D4" w14:textId="77777777" w:rsidR="00830E72" w:rsidRDefault="008344D8">
                    <w:pPr>
                      <w:autoSpaceDE w:val="0"/>
                      <w:autoSpaceDN w:val="0"/>
                      <w:adjustRightInd w:val="0"/>
                      <w:snapToGrid w:val="0"/>
                      <w:jc w:val="center"/>
                    </w:pPr>
                    <w:r>
                      <w:rPr>
                        <w:rFonts w:hint="eastAsia"/>
                      </w:rPr>
                      <w:t>合计</w:t>
                    </w:r>
                  </w:p>
                </w:tc>
              </w:sdtContent>
            </w:sdt>
            <w:tc>
              <w:tcPr>
                <w:tcW w:w="1610" w:type="pct"/>
                <w:vAlign w:val="bottom"/>
              </w:tcPr>
              <w:p w14:paraId="77F98E53" w14:textId="77777777" w:rsidR="00830E72" w:rsidRDefault="008344D8">
                <w:pPr>
                  <w:jc w:val="right"/>
                </w:pPr>
                <w:r>
                  <w:rPr>
                    <w:szCs w:val="21"/>
                  </w:rPr>
                  <w:t>1,234,842.26</w:t>
                </w:r>
              </w:p>
            </w:tc>
            <w:tc>
              <w:tcPr>
                <w:tcW w:w="1508" w:type="pct"/>
              </w:tcPr>
              <w:p w14:paraId="3BD60173" w14:textId="77777777" w:rsidR="00830E72" w:rsidRDefault="008344D8">
                <w:pPr>
                  <w:jc w:val="right"/>
                </w:pPr>
                <w:r>
                  <w:rPr>
                    <w:szCs w:val="21"/>
                  </w:rPr>
                  <w:t>5,060,000.00</w:t>
                </w:r>
              </w:p>
            </w:tc>
          </w:tr>
        </w:tbl>
        <w:p w14:paraId="2173116C" w14:textId="77777777" w:rsidR="00830E72" w:rsidRDefault="00D44830">
          <w:pPr>
            <w:ind w:right="5"/>
          </w:pPr>
        </w:p>
      </w:sdtContent>
    </w:sdt>
    <w:p w14:paraId="5670230A" w14:textId="77777777" w:rsidR="00830E72" w:rsidRDefault="008344D8">
      <w:pPr>
        <w:pStyle w:val="Style99"/>
        <w:numPr>
          <w:ilvl w:val="0"/>
          <w:numId w:val="45"/>
        </w:numPr>
        <w:tabs>
          <w:tab w:val="left" w:pos="504"/>
        </w:tabs>
        <w:rPr>
          <w:rFonts w:ascii="宋体" w:hAnsi="宋体"/>
        </w:rPr>
      </w:pPr>
      <w:r>
        <w:rPr>
          <w:rFonts w:ascii="宋体" w:hAnsi="宋体" w:hint="eastAsia"/>
        </w:rPr>
        <w:t>现金流量表</w:t>
      </w:r>
      <w:r>
        <w:rPr>
          <w:rFonts w:ascii="宋体" w:hAnsi="宋体" w:hint="eastAsia"/>
          <w:szCs w:val="21"/>
        </w:rPr>
        <w:t>补充</w:t>
      </w:r>
      <w:r>
        <w:rPr>
          <w:rFonts w:ascii="宋体" w:hAnsi="宋体" w:hint="eastAsia"/>
        </w:rPr>
        <w:t>资料</w:t>
      </w:r>
    </w:p>
    <w:sdt>
      <w:sdtPr>
        <w:rPr>
          <w:rFonts w:ascii="宋体" w:hAnsi="宋体" w:cs="宋体" w:hint="eastAsia"/>
          <w:b w:val="0"/>
          <w:bCs w:val="0"/>
          <w:kern w:val="0"/>
          <w:szCs w:val="24"/>
        </w:rPr>
        <w:alias w:val="模块:现金流量表补充资料"/>
        <w:tag w:val="_GBC_7c9a174810ac4558be4e54f8019d5a1a"/>
        <w:id w:val="-757677126"/>
        <w:lock w:val="sdtLocked"/>
        <w:placeholder>
          <w:docPart w:val="GBC22222222222222222222222222222"/>
        </w:placeholder>
      </w:sdtPr>
      <w:sdtEndPr/>
      <w:sdtContent>
        <w:p w14:paraId="26FD296D" w14:textId="77777777" w:rsidR="00830E72" w:rsidRDefault="008344D8">
          <w:pPr>
            <w:pStyle w:val="Style100"/>
            <w:numPr>
              <w:ilvl w:val="0"/>
              <w:numId w:val="76"/>
            </w:numPr>
            <w:rPr>
              <w:rFonts w:ascii="宋体" w:hAnsi="宋体"/>
            </w:rPr>
          </w:pPr>
          <w:r>
            <w:rPr>
              <w:rFonts w:ascii="宋体" w:hAnsi="宋体" w:hint="eastAsia"/>
            </w:rPr>
            <w:t>现金流量表补充资料</w:t>
          </w:r>
        </w:p>
        <w:sdt>
          <w:sdtPr>
            <w:alias w:val="是否适用：现金流量表补充资料[双击切换]"/>
            <w:tag w:val="_GBC_3ee8e178479245ea907bff86e4dcd54a"/>
            <w:id w:val="-1790964575"/>
            <w:lock w:val="sdtContentLocked"/>
            <w:placeholder>
              <w:docPart w:val="GBC22222222222222222222222222222"/>
            </w:placeholder>
          </w:sdtPr>
          <w:sdtEndPr/>
          <w:sdtContent>
            <w:p w14:paraId="592AF890"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08E8E78" w14:textId="77777777" w:rsidR="00830E72" w:rsidRDefault="008344D8">
          <w:pPr>
            <w:jc w:val="right"/>
          </w:pPr>
          <w:r>
            <w:rPr>
              <w:rFonts w:hint="eastAsia"/>
            </w:rPr>
            <w:t>单位：</w:t>
          </w:r>
          <w:sdt>
            <w:sdtPr>
              <w:rPr>
                <w:rFonts w:hint="eastAsia"/>
              </w:rPr>
              <w:alias w:val="单位：财务附注：现金流量表补充资料"/>
              <w:tag w:val="_GBC_ba7cd13a54fa44929e0fd4c276876d0e"/>
              <w:id w:val="-13462436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现金流量表补充资料"/>
              <w:tag w:val="_GBC_715164ef2f2b4f258a0908b254229361"/>
              <w:id w:val="-1366369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01"/>
            <w:gridCol w:w="1896"/>
            <w:gridCol w:w="2152"/>
          </w:tblGrid>
          <w:tr w:rsidR="00830E72" w14:paraId="2CC6E77F" w14:textId="77777777" w:rsidTr="007211E6">
            <w:sdt>
              <w:sdtPr>
                <w:tag w:val="_PLD_a6ea455751354381bc869d5865ef3d8f"/>
                <w:id w:val="1581332270"/>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vAlign w:val="center"/>
                  </w:tcPr>
                  <w:p w14:paraId="57FC697C" w14:textId="77777777" w:rsidR="00830E72" w:rsidRDefault="008344D8">
                    <w:pPr>
                      <w:jc w:val="center"/>
                      <w:rPr>
                        <w:bCs/>
                      </w:rPr>
                    </w:pPr>
                    <w:r>
                      <w:rPr>
                        <w:rFonts w:hint="eastAsia"/>
                        <w:bCs/>
                      </w:rPr>
                      <w:t>补充资料</w:t>
                    </w:r>
                  </w:p>
                </w:tc>
              </w:sdtContent>
            </w:sdt>
            <w:sdt>
              <w:sdtPr>
                <w:tag w:val="_PLD_0687e3743a4e4e2db7b08855f23641e8"/>
                <w:id w:val="-1197542450"/>
                <w:lock w:val="sdtLocked"/>
              </w:sdtPr>
              <w:sdtEndPr/>
              <w:sdtContent>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0967965D" w14:textId="77777777" w:rsidR="00830E72" w:rsidRDefault="008344D8">
                    <w:pPr>
                      <w:jc w:val="center"/>
                    </w:pPr>
                    <w:r>
                      <w:rPr>
                        <w:rFonts w:hint="eastAsia"/>
                      </w:rPr>
                      <w:t>本期金额</w:t>
                    </w:r>
                  </w:p>
                </w:tc>
              </w:sdtContent>
            </w:sdt>
            <w:sdt>
              <w:sdtPr>
                <w:tag w:val="_PLD_f90342638d124edea40aa264bbe65e8e"/>
                <w:id w:val="945735216"/>
                <w:lock w:val="sdtLocked"/>
              </w:sdtPr>
              <w:sdtEndPr/>
              <w:sdtContent>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14:paraId="660018DE" w14:textId="77777777" w:rsidR="00830E72" w:rsidRDefault="008344D8">
                    <w:pPr>
                      <w:jc w:val="center"/>
                    </w:pPr>
                    <w:r>
                      <w:rPr>
                        <w:rFonts w:hint="eastAsia"/>
                      </w:rPr>
                      <w:t>上期金额</w:t>
                    </w:r>
                  </w:p>
                </w:tc>
              </w:sdtContent>
            </w:sdt>
          </w:tr>
          <w:tr w:rsidR="00830E72" w14:paraId="55B4AE82" w14:textId="77777777" w:rsidTr="007211E6">
            <w:sdt>
              <w:sdtPr>
                <w:tag w:val="_PLD_0a799a1250f946df9181881c4b1f3829"/>
                <w:id w:val="1754861789"/>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65ABCDB9" w14:textId="77777777" w:rsidR="00830E72" w:rsidRDefault="008344D8">
                    <w:pPr>
                      <w:rPr>
                        <w:b/>
                        <w:bCs/>
                      </w:rPr>
                    </w:pPr>
                    <w:r>
                      <w:rPr>
                        <w:b/>
                        <w:bCs/>
                      </w:rPr>
                      <w:t>1</w:t>
                    </w:r>
                    <w:r>
                      <w:rPr>
                        <w:rFonts w:hint="eastAsia"/>
                        <w:b/>
                        <w:bCs/>
                      </w:rPr>
                      <w:t>．将净利润调节为经营活动现金流量：</w:t>
                    </w:r>
                  </w:p>
                </w:tc>
              </w:sdtContent>
            </w:sdt>
            <w:tc>
              <w:tcPr>
                <w:tcW w:w="971" w:type="pct"/>
                <w:tcBorders>
                  <w:top w:val="single" w:sz="4" w:space="0" w:color="auto"/>
                  <w:left w:val="single" w:sz="4" w:space="0" w:color="auto"/>
                  <w:bottom w:val="outset" w:sz="6" w:space="0" w:color="auto"/>
                  <w:right w:val="outset" w:sz="6" w:space="0" w:color="auto"/>
                </w:tcBorders>
                <w:shd w:val="clear" w:color="auto" w:fill="auto"/>
              </w:tcPr>
              <w:p w14:paraId="0B002334" w14:textId="77777777" w:rsidR="00830E72" w:rsidRDefault="00830E72">
                <w:pPr>
                  <w:jc w:val="both"/>
                </w:pPr>
              </w:p>
            </w:tc>
            <w:tc>
              <w:tcPr>
                <w:tcW w:w="1227" w:type="pct"/>
                <w:tcBorders>
                  <w:top w:val="single" w:sz="4" w:space="0" w:color="auto"/>
                  <w:left w:val="outset" w:sz="6" w:space="0" w:color="auto"/>
                  <w:bottom w:val="outset" w:sz="6" w:space="0" w:color="auto"/>
                  <w:right w:val="outset" w:sz="6" w:space="0" w:color="auto"/>
                </w:tcBorders>
                <w:shd w:val="clear" w:color="auto" w:fill="auto"/>
              </w:tcPr>
              <w:p w14:paraId="1F533212" w14:textId="77777777" w:rsidR="00830E72" w:rsidRDefault="00830E72">
                <w:pPr>
                  <w:jc w:val="both"/>
                  <w:rPr>
                    <w:b/>
                  </w:rPr>
                </w:pPr>
              </w:p>
            </w:tc>
          </w:tr>
          <w:tr w:rsidR="00830E72" w14:paraId="2AE5E525" w14:textId="77777777" w:rsidTr="007211E6">
            <w:sdt>
              <w:sdtPr>
                <w:tag w:val="_PLD_e8ba8a255d384555b8eb4380916342fb"/>
                <w:id w:val="-718288709"/>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0F97A67E" w14:textId="77777777" w:rsidR="00830E72" w:rsidRDefault="008344D8">
                    <w:r>
                      <w:rPr>
                        <w:rFonts w:hint="eastAsia"/>
                      </w:rPr>
                      <w:t>净利润</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tcPr>
              <w:p w14:paraId="47DAED84" w14:textId="77777777" w:rsidR="00830E72" w:rsidRDefault="008344D8">
                <w:pPr>
                  <w:jc w:val="right"/>
                </w:pPr>
                <w:r>
                  <w:t>51,226,794.61</w:t>
                </w:r>
              </w:p>
            </w:tc>
            <w:tc>
              <w:tcPr>
                <w:tcW w:w="1227" w:type="pct"/>
                <w:tcBorders>
                  <w:top w:val="outset" w:sz="6" w:space="0" w:color="auto"/>
                  <w:left w:val="outset" w:sz="6" w:space="0" w:color="auto"/>
                  <w:bottom w:val="outset" w:sz="6" w:space="0" w:color="auto"/>
                  <w:right w:val="outset" w:sz="6" w:space="0" w:color="auto"/>
                </w:tcBorders>
                <w:shd w:val="clear" w:color="auto" w:fill="auto"/>
              </w:tcPr>
              <w:p w14:paraId="34D6AE35" w14:textId="77777777" w:rsidR="00830E72" w:rsidRDefault="008344D8">
                <w:pPr>
                  <w:jc w:val="right"/>
                </w:pPr>
                <w:r>
                  <w:t>39,685,972.78</w:t>
                </w:r>
              </w:p>
            </w:tc>
          </w:tr>
          <w:tr w:rsidR="00830E72" w14:paraId="77320EBA" w14:textId="77777777" w:rsidTr="007211E6">
            <w:sdt>
              <w:sdtPr>
                <w:tag w:val="_PLD_d7814036ec544a08a51db5a353f5adf0"/>
                <w:id w:val="971562223"/>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509497A1" w14:textId="77777777" w:rsidR="00830E72" w:rsidRDefault="008344D8">
                    <w:r>
                      <w:rPr>
                        <w:rFonts w:hint="eastAsia"/>
                      </w:rPr>
                      <w:t>加：资产减值准备</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tcPr>
              <w:p w14:paraId="6F89D77F" w14:textId="77777777" w:rsidR="00830E72" w:rsidRDefault="008344D8">
                <w:pPr>
                  <w:jc w:val="right"/>
                </w:pPr>
                <w:r>
                  <w:t xml:space="preserve">1,264,819.94 </w:t>
                </w:r>
              </w:p>
            </w:tc>
            <w:tc>
              <w:tcPr>
                <w:tcW w:w="1227" w:type="pct"/>
                <w:tcBorders>
                  <w:top w:val="outset" w:sz="6" w:space="0" w:color="auto"/>
                  <w:left w:val="outset" w:sz="6" w:space="0" w:color="auto"/>
                  <w:bottom w:val="outset" w:sz="6" w:space="0" w:color="auto"/>
                  <w:right w:val="outset" w:sz="6" w:space="0" w:color="auto"/>
                </w:tcBorders>
                <w:shd w:val="clear" w:color="auto" w:fill="auto"/>
              </w:tcPr>
              <w:p w14:paraId="161D2571" w14:textId="77777777" w:rsidR="00830E72" w:rsidRDefault="00830E72">
                <w:pPr>
                  <w:jc w:val="right"/>
                </w:pPr>
              </w:p>
            </w:tc>
          </w:tr>
          <w:tr w:rsidR="00830E72" w14:paraId="26C88D15" w14:textId="77777777" w:rsidTr="007211E6">
            <w:tc>
              <w:tcPr>
                <w:tcW w:w="2801"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0f91129fab43498ab9fd68a182c3fe1b"/>
                  <w:id w:val="-844711851"/>
                  <w:lock w:val="sdtLocked"/>
                </w:sdtPr>
                <w:sdtEndPr/>
                <w:sdtContent>
                  <w:p w14:paraId="566BFBFE" w14:textId="77777777" w:rsidR="00830E72" w:rsidRDefault="008344D8">
                    <w:r>
                      <w:rPr>
                        <w:rFonts w:hint="eastAsia"/>
                      </w:rPr>
                      <w:t>信用减值损失</w:t>
                    </w:r>
                  </w:p>
                </w:sdtContent>
              </w:sdt>
            </w:tc>
            <w:tc>
              <w:tcPr>
                <w:tcW w:w="971" w:type="pct"/>
                <w:tcBorders>
                  <w:top w:val="outset" w:sz="6" w:space="0" w:color="auto"/>
                  <w:left w:val="single" w:sz="4" w:space="0" w:color="auto"/>
                  <w:bottom w:val="outset" w:sz="6" w:space="0" w:color="auto"/>
                  <w:right w:val="outset" w:sz="6" w:space="0" w:color="auto"/>
                </w:tcBorders>
                <w:shd w:val="clear" w:color="auto" w:fill="auto"/>
              </w:tcPr>
              <w:p w14:paraId="07AF1405" w14:textId="77777777" w:rsidR="00830E72" w:rsidRDefault="008344D8">
                <w:pPr>
                  <w:jc w:val="right"/>
                </w:pPr>
                <w:r>
                  <w:t xml:space="preserve">613,805.02 </w:t>
                </w:r>
              </w:p>
            </w:tc>
            <w:tc>
              <w:tcPr>
                <w:tcW w:w="1227" w:type="pct"/>
                <w:tcBorders>
                  <w:top w:val="outset" w:sz="6" w:space="0" w:color="auto"/>
                  <w:left w:val="outset" w:sz="6" w:space="0" w:color="auto"/>
                  <w:bottom w:val="outset" w:sz="6" w:space="0" w:color="auto"/>
                  <w:right w:val="outset" w:sz="6" w:space="0" w:color="auto"/>
                </w:tcBorders>
                <w:shd w:val="clear" w:color="auto" w:fill="auto"/>
              </w:tcPr>
              <w:p w14:paraId="629FC800" w14:textId="77777777" w:rsidR="00830E72" w:rsidRDefault="008344D8">
                <w:pPr>
                  <w:jc w:val="right"/>
                </w:pPr>
                <w:r>
                  <w:t>2,186,358.75</w:t>
                </w:r>
              </w:p>
            </w:tc>
          </w:tr>
          <w:tr w:rsidR="00830E72" w14:paraId="26E4E173" w14:textId="77777777" w:rsidTr="007211E6">
            <w:sdt>
              <w:sdtPr>
                <w:tag w:val="_PLD_874496ee98ed44629fd0638816a4a7d0"/>
                <w:id w:val="-1551762519"/>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76D91360" w14:textId="77777777" w:rsidR="00830E72" w:rsidRDefault="008344D8">
                    <w:r>
                      <w:rPr>
                        <w:rFonts w:hint="eastAsia"/>
                      </w:rPr>
                      <w:t>固定资产折旧、油气资产折耗、生产性生物资产折旧</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tcPr>
              <w:p w14:paraId="00C94549" w14:textId="77777777" w:rsidR="00830E72" w:rsidRDefault="008344D8">
                <w:pPr>
                  <w:jc w:val="right"/>
                </w:pPr>
                <w:r>
                  <w:t xml:space="preserve">4,831,897.72 </w:t>
                </w:r>
              </w:p>
            </w:tc>
            <w:tc>
              <w:tcPr>
                <w:tcW w:w="1227" w:type="pct"/>
                <w:tcBorders>
                  <w:top w:val="outset" w:sz="6" w:space="0" w:color="auto"/>
                  <w:left w:val="outset" w:sz="6" w:space="0" w:color="auto"/>
                  <w:bottom w:val="outset" w:sz="6" w:space="0" w:color="auto"/>
                  <w:right w:val="outset" w:sz="6" w:space="0" w:color="auto"/>
                </w:tcBorders>
                <w:shd w:val="clear" w:color="auto" w:fill="auto"/>
              </w:tcPr>
              <w:p w14:paraId="4473BB4A" w14:textId="77777777" w:rsidR="00830E72" w:rsidRDefault="008344D8">
                <w:pPr>
                  <w:jc w:val="right"/>
                </w:pPr>
                <w:r>
                  <w:t>5,077,315.50</w:t>
                </w:r>
              </w:p>
            </w:tc>
          </w:tr>
          <w:tr w:rsidR="00830E72" w14:paraId="33E1AC3F" w14:textId="77777777" w:rsidTr="007211E6">
            <w:tc>
              <w:tcPr>
                <w:tcW w:w="2801"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721d42c6411f4a4db89c85694880a730"/>
                  <w:id w:val="-442150104"/>
                  <w:lock w:val="sdtLocked"/>
                </w:sdtPr>
                <w:sdtEndPr/>
                <w:sdtContent>
                  <w:p w14:paraId="35A9B65F" w14:textId="77777777" w:rsidR="00830E72" w:rsidRDefault="008344D8">
                    <w:r>
                      <w:rPr>
                        <w:rFonts w:hint="eastAsia"/>
                      </w:rPr>
                      <w:t>使用权资产摊销</w:t>
                    </w:r>
                  </w:p>
                </w:sdtContent>
              </w:sdt>
            </w:tc>
            <w:tc>
              <w:tcPr>
                <w:tcW w:w="971" w:type="pct"/>
                <w:tcBorders>
                  <w:top w:val="outset" w:sz="6" w:space="0" w:color="auto"/>
                  <w:left w:val="single" w:sz="4" w:space="0" w:color="auto"/>
                  <w:bottom w:val="outset" w:sz="6" w:space="0" w:color="auto"/>
                  <w:right w:val="outset" w:sz="6" w:space="0" w:color="auto"/>
                </w:tcBorders>
                <w:shd w:val="clear" w:color="auto" w:fill="auto"/>
              </w:tcPr>
              <w:p w14:paraId="4AC619D3" w14:textId="77777777" w:rsidR="00830E72" w:rsidRDefault="008344D8">
                <w:pPr>
                  <w:jc w:val="right"/>
                </w:pPr>
                <w:r>
                  <w:t xml:space="preserve">1,188,343.87 </w:t>
                </w:r>
              </w:p>
            </w:tc>
            <w:tc>
              <w:tcPr>
                <w:tcW w:w="1227" w:type="pct"/>
                <w:tcBorders>
                  <w:top w:val="outset" w:sz="6" w:space="0" w:color="auto"/>
                  <w:left w:val="outset" w:sz="6" w:space="0" w:color="auto"/>
                  <w:bottom w:val="outset" w:sz="6" w:space="0" w:color="auto"/>
                  <w:right w:val="outset" w:sz="6" w:space="0" w:color="auto"/>
                </w:tcBorders>
                <w:shd w:val="clear" w:color="auto" w:fill="auto"/>
              </w:tcPr>
              <w:p w14:paraId="2CD9A026" w14:textId="77777777" w:rsidR="00830E72" w:rsidRDefault="00830E72">
                <w:pPr>
                  <w:jc w:val="right"/>
                </w:pPr>
              </w:p>
            </w:tc>
          </w:tr>
          <w:tr w:rsidR="00830E72" w14:paraId="3BCA6E3A" w14:textId="77777777" w:rsidTr="007211E6">
            <w:sdt>
              <w:sdtPr>
                <w:tag w:val="_PLD_7d21857dddff4f46b0472ee6fc927660"/>
                <w:id w:val="2127344674"/>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7399A993" w14:textId="77777777" w:rsidR="00830E72" w:rsidRDefault="008344D8">
                    <w:r>
                      <w:rPr>
                        <w:rFonts w:hint="eastAsia"/>
                      </w:rPr>
                      <w:t>无形资产摊销</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tcPr>
              <w:p w14:paraId="690B718C" w14:textId="77777777" w:rsidR="00830E72" w:rsidRDefault="008344D8">
                <w:pPr>
                  <w:jc w:val="right"/>
                </w:pPr>
                <w:r>
                  <w:t xml:space="preserve">256,001.60 </w:t>
                </w:r>
              </w:p>
            </w:tc>
            <w:tc>
              <w:tcPr>
                <w:tcW w:w="1227" w:type="pct"/>
                <w:tcBorders>
                  <w:top w:val="outset" w:sz="6" w:space="0" w:color="auto"/>
                  <w:left w:val="outset" w:sz="6" w:space="0" w:color="auto"/>
                  <w:bottom w:val="outset" w:sz="6" w:space="0" w:color="auto"/>
                  <w:right w:val="outset" w:sz="6" w:space="0" w:color="auto"/>
                </w:tcBorders>
                <w:shd w:val="clear" w:color="auto" w:fill="auto"/>
              </w:tcPr>
              <w:p w14:paraId="770FFF84" w14:textId="77777777" w:rsidR="00830E72" w:rsidRDefault="008344D8">
                <w:pPr>
                  <w:jc w:val="right"/>
                </w:pPr>
                <w:r>
                  <w:t>346,369.40</w:t>
                </w:r>
              </w:p>
            </w:tc>
          </w:tr>
          <w:tr w:rsidR="00830E72" w14:paraId="2A75607C" w14:textId="77777777" w:rsidTr="007211E6">
            <w:sdt>
              <w:sdtPr>
                <w:tag w:val="_PLD_088800a12fe645aeab959c7549cf4ee3"/>
                <w:id w:val="-21713241"/>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5FF389E6" w14:textId="77777777" w:rsidR="00830E72" w:rsidRDefault="008344D8">
                    <w:r>
                      <w:rPr>
                        <w:rFonts w:hint="eastAsia"/>
                      </w:rPr>
                      <w:t>长期待摊费用摊销</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tcPr>
              <w:p w14:paraId="1CFE2CCD" w14:textId="77777777" w:rsidR="00830E72" w:rsidRDefault="008344D8">
                <w:pPr>
                  <w:jc w:val="right"/>
                </w:pPr>
                <w:r>
                  <w:t xml:space="preserve">504,717.66 </w:t>
                </w:r>
              </w:p>
            </w:tc>
            <w:tc>
              <w:tcPr>
                <w:tcW w:w="1227" w:type="pct"/>
                <w:tcBorders>
                  <w:top w:val="outset" w:sz="6" w:space="0" w:color="auto"/>
                  <w:left w:val="outset" w:sz="6" w:space="0" w:color="auto"/>
                  <w:bottom w:val="outset" w:sz="6" w:space="0" w:color="auto"/>
                  <w:right w:val="outset" w:sz="6" w:space="0" w:color="auto"/>
                </w:tcBorders>
                <w:shd w:val="clear" w:color="auto" w:fill="auto"/>
              </w:tcPr>
              <w:p w14:paraId="5E096BB1" w14:textId="77777777" w:rsidR="00830E72" w:rsidRDefault="008344D8">
                <w:pPr>
                  <w:jc w:val="right"/>
                </w:pPr>
                <w:r>
                  <w:t>247,821.12</w:t>
                </w:r>
              </w:p>
            </w:tc>
          </w:tr>
          <w:tr w:rsidR="00830E72" w14:paraId="52907608" w14:textId="77777777" w:rsidTr="007211E6">
            <w:sdt>
              <w:sdtPr>
                <w:tag w:val="_PLD_8d8cb21251d34ba1815e334e49c1f773"/>
                <w:id w:val="-194852299"/>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74034032" w14:textId="77777777" w:rsidR="00830E72" w:rsidRDefault="008344D8">
                    <w:r>
                      <w:rPr>
                        <w:rFonts w:hint="eastAsia"/>
                      </w:rPr>
                      <w:t>处置固定资产、无形资产和其他长期资产的损失（收益以</w:t>
                    </w:r>
                    <w:r>
                      <w:t>“</w:t>
                    </w:r>
                    <w:r>
                      <w:rPr>
                        <w:rFonts w:hint="eastAsia"/>
                      </w:rPr>
                      <w:t>－</w:t>
                    </w:r>
                    <w:r>
                      <w:t>”</w:t>
                    </w:r>
                    <w:r>
                      <w:rPr>
                        <w:rFonts w:hint="eastAsia"/>
                      </w:rPr>
                      <w:t>号填列）</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tcPr>
              <w:p w14:paraId="3BC2C57C" w14:textId="77777777" w:rsidR="00830E72" w:rsidRDefault="008344D8">
                <w:pPr>
                  <w:jc w:val="right"/>
                </w:pPr>
                <w:r>
                  <w:t>31,650.15</w:t>
                </w:r>
              </w:p>
            </w:tc>
            <w:tc>
              <w:tcPr>
                <w:tcW w:w="1227" w:type="pct"/>
                <w:tcBorders>
                  <w:top w:val="outset" w:sz="6" w:space="0" w:color="auto"/>
                  <w:left w:val="outset" w:sz="6" w:space="0" w:color="auto"/>
                  <w:bottom w:val="outset" w:sz="6" w:space="0" w:color="auto"/>
                  <w:right w:val="outset" w:sz="6" w:space="0" w:color="auto"/>
                </w:tcBorders>
                <w:shd w:val="clear" w:color="auto" w:fill="auto"/>
              </w:tcPr>
              <w:p w14:paraId="3A1F01AF" w14:textId="77777777" w:rsidR="00830E72" w:rsidRDefault="008344D8">
                <w:pPr>
                  <w:jc w:val="right"/>
                </w:pPr>
                <w:r>
                  <w:t>7,826.25</w:t>
                </w:r>
              </w:p>
            </w:tc>
          </w:tr>
          <w:tr w:rsidR="00830E72" w14:paraId="48D9D3E9" w14:textId="77777777" w:rsidTr="007211E6">
            <w:sdt>
              <w:sdtPr>
                <w:tag w:val="_PLD_b85deb2045874a498f408bd31aa1c639"/>
                <w:id w:val="-1108113695"/>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0B0CFA7C" w14:textId="77777777" w:rsidR="00830E72" w:rsidRDefault="008344D8">
                    <w:r>
                      <w:rPr>
                        <w:rFonts w:hint="eastAsia"/>
                      </w:rPr>
                      <w:t>固定资产报废损失（收益以</w:t>
                    </w:r>
                    <w:r>
                      <w:t>“</w:t>
                    </w:r>
                    <w:r>
                      <w:rPr>
                        <w:rFonts w:hint="eastAsia"/>
                      </w:rPr>
                      <w:t>－</w:t>
                    </w:r>
                    <w:r>
                      <w:t>”</w:t>
                    </w:r>
                    <w:r>
                      <w:rPr>
                        <w:rFonts w:hint="eastAsia"/>
                      </w:rPr>
                      <w:t>号填列）</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tcPr>
              <w:p w14:paraId="0BF217E7" w14:textId="77777777" w:rsidR="00830E72" w:rsidRDefault="00830E72">
                <w:pPr>
                  <w:jc w:val="right"/>
                </w:pPr>
              </w:p>
            </w:tc>
            <w:tc>
              <w:tcPr>
                <w:tcW w:w="1227" w:type="pct"/>
                <w:tcBorders>
                  <w:top w:val="outset" w:sz="6" w:space="0" w:color="auto"/>
                  <w:left w:val="outset" w:sz="6" w:space="0" w:color="auto"/>
                  <w:bottom w:val="outset" w:sz="6" w:space="0" w:color="auto"/>
                  <w:right w:val="outset" w:sz="6" w:space="0" w:color="auto"/>
                </w:tcBorders>
                <w:shd w:val="clear" w:color="auto" w:fill="auto"/>
              </w:tcPr>
              <w:p w14:paraId="618BBCE0" w14:textId="77777777" w:rsidR="00830E72" w:rsidRDefault="008344D8">
                <w:pPr>
                  <w:jc w:val="right"/>
                </w:pPr>
                <w:r>
                  <w:t>19,178.53</w:t>
                </w:r>
              </w:p>
            </w:tc>
          </w:tr>
          <w:tr w:rsidR="00830E72" w14:paraId="47CC39ED" w14:textId="77777777" w:rsidTr="007211E6">
            <w:sdt>
              <w:sdtPr>
                <w:tag w:val="_PLD_f5daedcccfe54756bef02f32552a8b7b"/>
                <w:id w:val="-275027974"/>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67A3791E" w14:textId="77777777" w:rsidR="00830E72" w:rsidRDefault="008344D8">
                    <w:r>
                      <w:rPr>
                        <w:rFonts w:hint="eastAsia"/>
                      </w:rPr>
                      <w:t>公允价值变动损失（收益以</w:t>
                    </w:r>
                    <w:r>
                      <w:t>“</w:t>
                    </w:r>
                    <w:r>
                      <w:rPr>
                        <w:rFonts w:hint="eastAsia"/>
                      </w:rPr>
                      <w:t>－</w:t>
                    </w:r>
                    <w:r>
                      <w:t>”</w:t>
                    </w:r>
                    <w:r>
                      <w:rPr>
                        <w:rFonts w:hint="eastAsia"/>
                      </w:rPr>
                      <w:t>号填列）</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tcPr>
              <w:p w14:paraId="056A6E2F" w14:textId="77777777" w:rsidR="00830E72" w:rsidRDefault="008344D8">
                <w:pPr>
                  <w:jc w:val="right"/>
                </w:pPr>
                <w:r>
                  <w:t>-469,489.17</w:t>
                </w:r>
              </w:p>
            </w:tc>
            <w:tc>
              <w:tcPr>
                <w:tcW w:w="1227" w:type="pct"/>
                <w:tcBorders>
                  <w:top w:val="outset" w:sz="6" w:space="0" w:color="auto"/>
                  <w:left w:val="outset" w:sz="6" w:space="0" w:color="auto"/>
                  <w:bottom w:val="outset" w:sz="6" w:space="0" w:color="auto"/>
                  <w:right w:val="outset" w:sz="6" w:space="0" w:color="auto"/>
                </w:tcBorders>
                <w:shd w:val="clear" w:color="auto" w:fill="auto"/>
              </w:tcPr>
              <w:p w14:paraId="5F11C555" w14:textId="77777777" w:rsidR="00830E72" w:rsidRDefault="00830E72">
                <w:pPr>
                  <w:jc w:val="right"/>
                </w:pPr>
              </w:p>
            </w:tc>
          </w:tr>
          <w:tr w:rsidR="00830E72" w14:paraId="3FA83E0C" w14:textId="77777777" w:rsidTr="007211E6">
            <w:sdt>
              <w:sdtPr>
                <w:tag w:val="_PLD_1e4c1f4478ea4e41a213ed937b2d2949"/>
                <w:id w:val="-1085689729"/>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00D71018" w14:textId="77777777" w:rsidR="00830E72" w:rsidRDefault="008344D8">
                    <w:r>
                      <w:rPr>
                        <w:rFonts w:hint="eastAsia"/>
                      </w:rPr>
                      <w:t>财务费用（收益以</w:t>
                    </w:r>
                    <w:r>
                      <w:t>“</w:t>
                    </w:r>
                    <w:r>
                      <w:rPr>
                        <w:rFonts w:hint="eastAsia"/>
                      </w:rPr>
                      <w:t>－</w:t>
                    </w:r>
                    <w:r>
                      <w:t>”</w:t>
                    </w:r>
                    <w:r>
                      <w:rPr>
                        <w:rFonts w:hint="eastAsia"/>
                      </w:rPr>
                      <w:t>号填列）</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tcPr>
              <w:p w14:paraId="559117C6" w14:textId="77777777" w:rsidR="00830E72" w:rsidRDefault="008344D8">
                <w:pPr>
                  <w:jc w:val="right"/>
                </w:pPr>
                <w:r>
                  <w:t>44,263,887.39</w:t>
                </w:r>
              </w:p>
            </w:tc>
            <w:tc>
              <w:tcPr>
                <w:tcW w:w="1227" w:type="pct"/>
                <w:tcBorders>
                  <w:top w:val="outset" w:sz="6" w:space="0" w:color="auto"/>
                  <w:left w:val="outset" w:sz="6" w:space="0" w:color="auto"/>
                  <w:bottom w:val="outset" w:sz="6" w:space="0" w:color="auto"/>
                  <w:right w:val="outset" w:sz="6" w:space="0" w:color="auto"/>
                </w:tcBorders>
                <w:shd w:val="clear" w:color="auto" w:fill="auto"/>
              </w:tcPr>
              <w:p w14:paraId="3A49E378" w14:textId="77777777" w:rsidR="00830E72" w:rsidRDefault="008344D8">
                <w:pPr>
                  <w:jc w:val="right"/>
                </w:pPr>
                <w:r>
                  <w:t>20,246,958.51</w:t>
                </w:r>
              </w:p>
            </w:tc>
          </w:tr>
          <w:tr w:rsidR="00830E72" w14:paraId="0439D77A" w14:textId="77777777" w:rsidTr="007211E6">
            <w:sdt>
              <w:sdtPr>
                <w:tag w:val="_PLD_fbd860cf427540b4a431128ef763534d"/>
                <w:id w:val="1082655177"/>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346128D4" w14:textId="77777777" w:rsidR="00830E72" w:rsidRDefault="008344D8">
                    <w:r>
                      <w:rPr>
                        <w:rFonts w:hint="eastAsia"/>
                      </w:rPr>
                      <w:t>投资损失（收益以</w:t>
                    </w:r>
                    <w:r>
                      <w:t>“</w:t>
                    </w:r>
                    <w:r>
                      <w:rPr>
                        <w:rFonts w:hint="eastAsia"/>
                      </w:rPr>
                      <w:t>－</w:t>
                    </w:r>
                    <w:r>
                      <w:t>”</w:t>
                    </w:r>
                    <w:r>
                      <w:rPr>
                        <w:rFonts w:hint="eastAsia"/>
                      </w:rPr>
                      <w:t>号填列）</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tcPr>
              <w:p w14:paraId="0E681806" w14:textId="77777777" w:rsidR="00830E72" w:rsidRDefault="00830E72">
                <w:pPr>
                  <w:jc w:val="right"/>
                </w:pPr>
              </w:p>
            </w:tc>
            <w:tc>
              <w:tcPr>
                <w:tcW w:w="1227" w:type="pct"/>
                <w:tcBorders>
                  <w:top w:val="outset" w:sz="6" w:space="0" w:color="auto"/>
                  <w:left w:val="outset" w:sz="6" w:space="0" w:color="auto"/>
                  <w:bottom w:val="outset" w:sz="6" w:space="0" w:color="auto"/>
                  <w:right w:val="outset" w:sz="6" w:space="0" w:color="auto"/>
                </w:tcBorders>
                <w:shd w:val="clear" w:color="auto" w:fill="auto"/>
              </w:tcPr>
              <w:p w14:paraId="4A6E4AD6" w14:textId="77777777" w:rsidR="00830E72" w:rsidRDefault="00830E72">
                <w:pPr>
                  <w:jc w:val="right"/>
                </w:pPr>
              </w:p>
            </w:tc>
          </w:tr>
          <w:tr w:rsidR="00830E72" w14:paraId="354B250D" w14:textId="77777777" w:rsidTr="007211E6">
            <w:sdt>
              <w:sdtPr>
                <w:tag w:val="_PLD_03270151a6684c629b53007cc62dad45"/>
                <w:id w:val="-959879449"/>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3A0C0DBB" w14:textId="77777777" w:rsidR="00830E72" w:rsidRDefault="008344D8">
                    <w:r>
                      <w:rPr>
                        <w:rFonts w:hint="eastAsia"/>
                      </w:rPr>
                      <w:t>递延所得税资产减少（增加以</w:t>
                    </w:r>
                    <w:r>
                      <w:t>“</w:t>
                    </w:r>
                    <w:r>
                      <w:rPr>
                        <w:rFonts w:hint="eastAsia"/>
                      </w:rPr>
                      <w:t>－</w:t>
                    </w:r>
                    <w:r>
                      <w:t>”</w:t>
                    </w:r>
                    <w:r>
                      <w:rPr>
                        <w:rFonts w:hint="eastAsia"/>
                      </w:rPr>
                      <w:t>号填列）</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tcPr>
              <w:p w14:paraId="7B77916D" w14:textId="77777777" w:rsidR="00830E72" w:rsidRDefault="008344D8">
                <w:pPr>
                  <w:jc w:val="right"/>
                </w:pPr>
                <w:r>
                  <w:t>693,185.66</w:t>
                </w:r>
              </w:p>
            </w:tc>
            <w:tc>
              <w:tcPr>
                <w:tcW w:w="1227" w:type="pct"/>
                <w:tcBorders>
                  <w:top w:val="outset" w:sz="6" w:space="0" w:color="auto"/>
                  <w:left w:val="outset" w:sz="6" w:space="0" w:color="auto"/>
                  <w:bottom w:val="outset" w:sz="6" w:space="0" w:color="auto"/>
                  <w:right w:val="outset" w:sz="6" w:space="0" w:color="auto"/>
                </w:tcBorders>
                <w:shd w:val="clear" w:color="auto" w:fill="auto"/>
              </w:tcPr>
              <w:p w14:paraId="35130247" w14:textId="77777777" w:rsidR="00830E72" w:rsidRDefault="008344D8">
                <w:pPr>
                  <w:jc w:val="right"/>
                </w:pPr>
                <w:r>
                  <w:t>-392,184.37</w:t>
                </w:r>
              </w:p>
            </w:tc>
          </w:tr>
          <w:tr w:rsidR="00830E72" w14:paraId="6F8E4471" w14:textId="77777777" w:rsidTr="007211E6">
            <w:sdt>
              <w:sdtPr>
                <w:tag w:val="_PLD_100ead502e934b2fbc5c4c2289a4d701"/>
                <w:id w:val="-518621033"/>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1ED93399" w14:textId="77777777" w:rsidR="00830E72" w:rsidRDefault="008344D8">
                    <w:r>
                      <w:rPr>
                        <w:rFonts w:hint="eastAsia"/>
                      </w:rPr>
                      <w:t>递延所得税负债增加（减少以</w:t>
                    </w:r>
                    <w:r>
                      <w:t>“</w:t>
                    </w:r>
                    <w:r>
                      <w:rPr>
                        <w:rFonts w:hint="eastAsia"/>
                      </w:rPr>
                      <w:t>－</w:t>
                    </w:r>
                    <w:r>
                      <w:t>”</w:t>
                    </w:r>
                    <w:r>
                      <w:rPr>
                        <w:rFonts w:hint="eastAsia"/>
                      </w:rPr>
                      <w:t>号填列）</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tcPr>
              <w:p w14:paraId="0D9D4030" w14:textId="77777777" w:rsidR="00830E72" w:rsidRDefault="008344D8">
                <w:pPr>
                  <w:jc w:val="right"/>
                </w:pPr>
                <w:r>
                  <w:t>-140,027.41</w:t>
                </w:r>
              </w:p>
            </w:tc>
            <w:tc>
              <w:tcPr>
                <w:tcW w:w="1227" w:type="pct"/>
                <w:tcBorders>
                  <w:top w:val="outset" w:sz="6" w:space="0" w:color="auto"/>
                  <w:left w:val="outset" w:sz="6" w:space="0" w:color="auto"/>
                  <w:bottom w:val="outset" w:sz="6" w:space="0" w:color="auto"/>
                  <w:right w:val="outset" w:sz="6" w:space="0" w:color="auto"/>
                </w:tcBorders>
                <w:shd w:val="clear" w:color="auto" w:fill="auto"/>
              </w:tcPr>
              <w:p w14:paraId="64B42F7A" w14:textId="77777777" w:rsidR="00830E72" w:rsidRDefault="008344D8">
                <w:pPr>
                  <w:jc w:val="right"/>
                </w:pPr>
                <w:r>
                  <w:t>-77,202.66</w:t>
                </w:r>
              </w:p>
            </w:tc>
          </w:tr>
          <w:tr w:rsidR="00830E72" w14:paraId="2129A73B" w14:textId="77777777" w:rsidTr="007211E6">
            <w:sdt>
              <w:sdtPr>
                <w:tag w:val="_PLD_75c37a3f209d4b1fb608b47efbf0f17b"/>
                <w:id w:val="-886871921"/>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3FE49D2F" w14:textId="77777777" w:rsidR="00830E72" w:rsidRDefault="008344D8">
                    <w:r>
                      <w:rPr>
                        <w:rFonts w:hint="eastAsia"/>
                      </w:rPr>
                      <w:t>存货的减少（增加以</w:t>
                    </w:r>
                    <w:r>
                      <w:t>“</w:t>
                    </w:r>
                    <w:r>
                      <w:rPr>
                        <w:rFonts w:hint="eastAsia"/>
                      </w:rPr>
                      <w:t>－</w:t>
                    </w:r>
                    <w:r>
                      <w:t>”</w:t>
                    </w:r>
                    <w:r>
                      <w:rPr>
                        <w:rFonts w:hint="eastAsia"/>
                      </w:rPr>
                      <w:t>号填列）</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tcPr>
              <w:p w14:paraId="406EF0E9" w14:textId="77777777" w:rsidR="00830E72" w:rsidRDefault="008344D8">
                <w:pPr>
                  <w:jc w:val="right"/>
                </w:pPr>
                <w:r>
                  <w:t>10,651,836.30</w:t>
                </w:r>
              </w:p>
            </w:tc>
            <w:tc>
              <w:tcPr>
                <w:tcW w:w="1227" w:type="pct"/>
                <w:tcBorders>
                  <w:top w:val="outset" w:sz="6" w:space="0" w:color="auto"/>
                  <w:left w:val="outset" w:sz="6" w:space="0" w:color="auto"/>
                  <w:bottom w:val="outset" w:sz="6" w:space="0" w:color="auto"/>
                  <w:right w:val="outset" w:sz="6" w:space="0" w:color="auto"/>
                </w:tcBorders>
                <w:shd w:val="clear" w:color="auto" w:fill="auto"/>
              </w:tcPr>
              <w:p w14:paraId="7B1CF681" w14:textId="77777777" w:rsidR="00830E72" w:rsidRDefault="008344D8">
                <w:pPr>
                  <w:jc w:val="right"/>
                </w:pPr>
                <w:r>
                  <w:t>5,388,480.76</w:t>
                </w:r>
              </w:p>
            </w:tc>
          </w:tr>
          <w:tr w:rsidR="00830E72" w14:paraId="6912BA7A" w14:textId="77777777" w:rsidTr="007211E6">
            <w:sdt>
              <w:sdtPr>
                <w:tag w:val="_PLD_6dd2e6fa25164f14ae03eb5c47cfeb92"/>
                <w:id w:val="-1050838816"/>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5601395B" w14:textId="77777777" w:rsidR="00830E72" w:rsidRDefault="008344D8">
                    <w:r>
                      <w:rPr>
                        <w:rFonts w:hint="eastAsia"/>
                      </w:rPr>
                      <w:t>经营性应收项目的减少（增加以</w:t>
                    </w:r>
                    <w:r>
                      <w:t>“</w:t>
                    </w:r>
                    <w:r>
                      <w:rPr>
                        <w:rFonts w:hint="eastAsia"/>
                      </w:rPr>
                      <w:t>－</w:t>
                    </w:r>
                    <w:r>
                      <w:t>”</w:t>
                    </w:r>
                    <w:r>
                      <w:rPr>
                        <w:rFonts w:hint="eastAsia"/>
                      </w:rPr>
                      <w:t>号填列）</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tcPr>
              <w:p w14:paraId="0802375F" w14:textId="77777777" w:rsidR="00830E72" w:rsidRDefault="008344D8">
                <w:pPr>
                  <w:jc w:val="right"/>
                </w:pPr>
                <w:r>
                  <w:t>-347,362,476.92</w:t>
                </w:r>
              </w:p>
            </w:tc>
            <w:tc>
              <w:tcPr>
                <w:tcW w:w="1227" w:type="pct"/>
                <w:tcBorders>
                  <w:top w:val="outset" w:sz="6" w:space="0" w:color="auto"/>
                  <w:left w:val="outset" w:sz="6" w:space="0" w:color="auto"/>
                  <w:bottom w:val="outset" w:sz="6" w:space="0" w:color="auto"/>
                  <w:right w:val="outset" w:sz="6" w:space="0" w:color="auto"/>
                </w:tcBorders>
                <w:shd w:val="clear" w:color="auto" w:fill="auto"/>
              </w:tcPr>
              <w:p w14:paraId="5812ECC9" w14:textId="77777777" w:rsidR="00830E72" w:rsidRDefault="008344D8">
                <w:pPr>
                  <w:jc w:val="right"/>
                </w:pPr>
                <w:r>
                  <w:t>-277,687,190.43</w:t>
                </w:r>
              </w:p>
            </w:tc>
          </w:tr>
          <w:tr w:rsidR="00830E72" w14:paraId="09FD92FC" w14:textId="77777777" w:rsidTr="007211E6">
            <w:sdt>
              <w:sdtPr>
                <w:tag w:val="_PLD_b77e5d0637ca424ea3521e9194452268"/>
                <w:id w:val="1294249308"/>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0E88C3E6" w14:textId="77777777" w:rsidR="00830E72" w:rsidRDefault="008344D8">
                    <w:r>
                      <w:rPr>
                        <w:rFonts w:hint="eastAsia"/>
                      </w:rPr>
                      <w:t>经营性应付项目的增加（减少以</w:t>
                    </w:r>
                    <w:r>
                      <w:t>“</w:t>
                    </w:r>
                    <w:r>
                      <w:rPr>
                        <w:rFonts w:hint="eastAsia"/>
                      </w:rPr>
                      <w:t>－</w:t>
                    </w:r>
                    <w:r>
                      <w:t>”</w:t>
                    </w:r>
                    <w:r>
                      <w:rPr>
                        <w:rFonts w:hint="eastAsia"/>
                      </w:rPr>
                      <w:t>号填列）</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tcPr>
              <w:p w14:paraId="2FCFFF69" w14:textId="77777777" w:rsidR="00830E72" w:rsidRDefault="008344D8">
                <w:pPr>
                  <w:jc w:val="right"/>
                </w:pPr>
                <w:r>
                  <w:t>-82,211,097.41</w:t>
                </w:r>
              </w:p>
            </w:tc>
            <w:tc>
              <w:tcPr>
                <w:tcW w:w="1227" w:type="pct"/>
                <w:tcBorders>
                  <w:top w:val="outset" w:sz="6" w:space="0" w:color="auto"/>
                  <w:left w:val="outset" w:sz="6" w:space="0" w:color="auto"/>
                  <w:bottom w:val="outset" w:sz="6" w:space="0" w:color="auto"/>
                  <w:right w:val="outset" w:sz="6" w:space="0" w:color="auto"/>
                </w:tcBorders>
                <w:shd w:val="clear" w:color="auto" w:fill="auto"/>
              </w:tcPr>
              <w:p w14:paraId="5986231A" w14:textId="77777777" w:rsidR="00830E72" w:rsidRDefault="008344D8">
                <w:pPr>
                  <w:jc w:val="right"/>
                </w:pPr>
                <w:r>
                  <w:t>-6,722,346.57</w:t>
                </w:r>
              </w:p>
            </w:tc>
          </w:tr>
          <w:tr w:rsidR="00830E72" w14:paraId="731B75B1" w14:textId="77777777" w:rsidTr="007211E6">
            <w:sdt>
              <w:sdtPr>
                <w:tag w:val="_PLD_5e18d37458f0499f93803040a145120b"/>
                <w:id w:val="1254010386"/>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5FFC8EA8" w14:textId="77777777" w:rsidR="00830E72" w:rsidRDefault="008344D8">
                    <w:r>
                      <w:rPr>
                        <w:rFonts w:hint="eastAsia"/>
                      </w:rPr>
                      <w:t>其他</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tcPr>
              <w:p w14:paraId="76F9BD50" w14:textId="77777777" w:rsidR="00830E72" w:rsidRDefault="008344D8">
                <w:pPr>
                  <w:jc w:val="right"/>
                </w:pPr>
                <w:r>
                  <w:t>471,363.19</w:t>
                </w:r>
              </w:p>
            </w:tc>
            <w:tc>
              <w:tcPr>
                <w:tcW w:w="1227" w:type="pct"/>
                <w:tcBorders>
                  <w:top w:val="outset" w:sz="6" w:space="0" w:color="auto"/>
                  <w:left w:val="outset" w:sz="6" w:space="0" w:color="auto"/>
                  <w:bottom w:val="outset" w:sz="6" w:space="0" w:color="auto"/>
                  <w:right w:val="outset" w:sz="6" w:space="0" w:color="auto"/>
                </w:tcBorders>
                <w:shd w:val="clear" w:color="auto" w:fill="auto"/>
              </w:tcPr>
              <w:p w14:paraId="65E090AF" w14:textId="77777777" w:rsidR="00830E72" w:rsidRDefault="008344D8">
                <w:pPr>
                  <w:jc w:val="right"/>
                </w:pPr>
                <w:r>
                  <w:t>2,641,876.41</w:t>
                </w:r>
              </w:p>
            </w:tc>
          </w:tr>
          <w:tr w:rsidR="00830E72" w14:paraId="5ECD17EC" w14:textId="77777777" w:rsidTr="007211E6">
            <w:sdt>
              <w:sdtPr>
                <w:tag w:val="_PLD_cbbe2315982347e89e355315dde12742"/>
                <w:id w:val="-1944682393"/>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7F7F0B9F" w14:textId="77777777" w:rsidR="00830E72" w:rsidRDefault="008344D8">
                    <w:r>
                      <w:rPr>
                        <w:rFonts w:hint="eastAsia"/>
                      </w:rPr>
                      <w:t>经营活动产生的现金流量净额</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tcPr>
              <w:p w14:paraId="47EDCA92" w14:textId="77777777" w:rsidR="00830E72" w:rsidRDefault="008344D8">
                <w:pPr>
                  <w:jc w:val="right"/>
                </w:pPr>
                <w:r>
                  <w:t>-314,184,787.80</w:t>
                </w:r>
              </w:p>
            </w:tc>
            <w:tc>
              <w:tcPr>
                <w:tcW w:w="1227" w:type="pct"/>
                <w:tcBorders>
                  <w:top w:val="outset" w:sz="6" w:space="0" w:color="auto"/>
                  <w:left w:val="outset" w:sz="6" w:space="0" w:color="auto"/>
                  <w:bottom w:val="outset" w:sz="6" w:space="0" w:color="auto"/>
                  <w:right w:val="outset" w:sz="6" w:space="0" w:color="auto"/>
                </w:tcBorders>
                <w:shd w:val="clear" w:color="auto" w:fill="auto"/>
              </w:tcPr>
              <w:p w14:paraId="08812DF7" w14:textId="77777777" w:rsidR="00830E72" w:rsidRDefault="008344D8">
                <w:pPr>
                  <w:jc w:val="right"/>
                </w:pPr>
                <w:r>
                  <w:t>-209,030,766.02</w:t>
                </w:r>
              </w:p>
            </w:tc>
          </w:tr>
          <w:tr w:rsidR="00830E72" w14:paraId="4B1A83F9" w14:textId="77777777" w:rsidTr="007211E6">
            <w:sdt>
              <w:sdtPr>
                <w:tag w:val="_PLD_db693429a97d44a2848da029ca6a724c"/>
                <w:id w:val="-544367312"/>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7D1BA59A" w14:textId="77777777" w:rsidR="00830E72" w:rsidRDefault="008344D8">
                    <w:pPr>
                      <w:rPr>
                        <w:b/>
                        <w:bCs/>
                      </w:rPr>
                    </w:pPr>
                    <w:r>
                      <w:rPr>
                        <w:b/>
                        <w:bCs/>
                      </w:rPr>
                      <w:t>2</w:t>
                    </w:r>
                    <w:r>
                      <w:rPr>
                        <w:rFonts w:hint="eastAsia"/>
                        <w:b/>
                        <w:bCs/>
                      </w:rPr>
                      <w:t>．不涉及现金收支的重大投资和筹资活动：</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vAlign w:val="center"/>
              </w:tcPr>
              <w:p w14:paraId="28AD023A" w14:textId="77777777" w:rsidR="00830E72" w:rsidRDefault="00830E72">
                <w:pPr>
                  <w:jc w:val="right"/>
                </w:pPr>
              </w:p>
            </w:tc>
            <w:tc>
              <w:tcPr>
                <w:tcW w:w="1227" w:type="pct"/>
                <w:tcBorders>
                  <w:top w:val="outset" w:sz="6" w:space="0" w:color="auto"/>
                  <w:left w:val="outset" w:sz="6" w:space="0" w:color="auto"/>
                  <w:bottom w:val="outset" w:sz="6" w:space="0" w:color="auto"/>
                  <w:right w:val="outset" w:sz="6" w:space="0" w:color="auto"/>
                </w:tcBorders>
                <w:shd w:val="clear" w:color="auto" w:fill="auto"/>
                <w:vAlign w:val="center"/>
              </w:tcPr>
              <w:p w14:paraId="103B3986" w14:textId="77777777" w:rsidR="00830E72" w:rsidRDefault="00830E72">
                <w:pPr>
                  <w:jc w:val="right"/>
                </w:pPr>
              </w:p>
            </w:tc>
          </w:tr>
          <w:tr w:rsidR="00830E72" w14:paraId="6D7C22EE" w14:textId="77777777" w:rsidTr="007211E6">
            <w:sdt>
              <w:sdtPr>
                <w:tag w:val="_PLD_e0d4eb4cfadc41e79028384d476793f6"/>
                <w:id w:val="406808914"/>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5345CD6F" w14:textId="77777777" w:rsidR="00830E72" w:rsidRDefault="008344D8">
                    <w:r>
                      <w:rPr>
                        <w:rFonts w:hint="eastAsia"/>
                      </w:rPr>
                      <w:t>债务转为资本</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tcPr>
              <w:p w14:paraId="37E6FD55" w14:textId="77777777" w:rsidR="00830E72" w:rsidRDefault="00830E72">
                <w:pPr>
                  <w:jc w:val="right"/>
                </w:pPr>
              </w:p>
            </w:tc>
            <w:tc>
              <w:tcPr>
                <w:tcW w:w="1227" w:type="pct"/>
                <w:tcBorders>
                  <w:top w:val="outset" w:sz="6" w:space="0" w:color="auto"/>
                  <w:left w:val="outset" w:sz="6" w:space="0" w:color="auto"/>
                  <w:bottom w:val="outset" w:sz="6" w:space="0" w:color="auto"/>
                  <w:right w:val="outset" w:sz="6" w:space="0" w:color="auto"/>
                </w:tcBorders>
                <w:shd w:val="clear" w:color="auto" w:fill="auto"/>
              </w:tcPr>
              <w:p w14:paraId="33916FD6" w14:textId="77777777" w:rsidR="00830E72" w:rsidRDefault="00830E72">
                <w:pPr>
                  <w:jc w:val="right"/>
                </w:pPr>
              </w:p>
            </w:tc>
          </w:tr>
          <w:tr w:rsidR="00830E72" w14:paraId="75815412" w14:textId="77777777" w:rsidTr="007211E6">
            <w:sdt>
              <w:sdtPr>
                <w:tag w:val="_PLD_4a6d0c6705c84302bf83bbc5e9c2e85e"/>
                <w:id w:val="899252579"/>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4E54FB85" w14:textId="77777777" w:rsidR="00830E72" w:rsidRDefault="008344D8">
                    <w:r>
                      <w:rPr>
                        <w:rFonts w:hint="eastAsia"/>
                      </w:rPr>
                      <w:t>一年内到期的可转换公司债券</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tcPr>
              <w:p w14:paraId="2D420F49" w14:textId="77777777" w:rsidR="00830E72" w:rsidRDefault="00830E72">
                <w:pPr>
                  <w:jc w:val="right"/>
                </w:pPr>
              </w:p>
            </w:tc>
            <w:tc>
              <w:tcPr>
                <w:tcW w:w="1227" w:type="pct"/>
                <w:tcBorders>
                  <w:top w:val="outset" w:sz="6" w:space="0" w:color="auto"/>
                  <w:left w:val="outset" w:sz="6" w:space="0" w:color="auto"/>
                  <w:bottom w:val="outset" w:sz="6" w:space="0" w:color="auto"/>
                  <w:right w:val="outset" w:sz="6" w:space="0" w:color="auto"/>
                </w:tcBorders>
                <w:shd w:val="clear" w:color="auto" w:fill="auto"/>
              </w:tcPr>
              <w:p w14:paraId="5A51218F" w14:textId="77777777" w:rsidR="00830E72" w:rsidRDefault="00830E72">
                <w:pPr>
                  <w:jc w:val="right"/>
                </w:pPr>
              </w:p>
            </w:tc>
          </w:tr>
          <w:tr w:rsidR="00830E72" w14:paraId="2486108A" w14:textId="77777777" w:rsidTr="007211E6">
            <w:sdt>
              <w:sdtPr>
                <w:tag w:val="_PLD_4eb4a0a5a3e944b293d87cc004adc11f"/>
                <w:id w:val="1714609597"/>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7D8330AB" w14:textId="77777777" w:rsidR="00830E72" w:rsidRDefault="008344D8">
                    <w:r>
                      <w:rPr>
                        <w:rFonts w:hint="eastAsia"/>
                      </w:rPr>
                      <w:t>融资租入固定资产</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tcPr>
              <w:p w14:paraId="2CEF1352" w14:textId="77777777" w:rsidR="00830E72" w:rsidRDefault="00830E72">
                <w:pPr>
                  <w:jc w:val="right"/>
                </w:pPr>
              </w:p>
            </w:tc>
            <w:tc>
              <w:tcPr>
                <w:tcW w:w="1227" w:type="pct"/>
                <w:tcBorders>
                  <w:top w:val="outset" w:sz="6" w:space="0" w:color="auto"/>
                  <w:left w:val="outset" w:sz="6" w:space="0" w:color="auto"/>
                  <w:bottom w:val="outset" w:sz="6" w:space="0" w:color="auto"/>
                  <w:right w:val="outset" w:sz="6" w:space="0" w:color="auto"/>
                </w:tcBorders>
                <w:shd w:val="clear" w:color="auto" w:fill="auto"/>
              </w:tcPr>
              <w:p w14:paraId="6AC50CB9" w14:textId="77777777" w:rsidR="00830E72" w:rsidRDefault="00830E72">
                <w:pPr>
                  <w:jc w:val="right"/>
                </w:pPr>
              </w:p>
            </w:tc>
          </w:tr>
          <w:tr w:rsidR="00830E72" w14:paraId="75CAF9D7" w14:textId="77777777" w:rsidTr="007211E6">
            <w:sdt>
              <w:sdtPr>
                <w:tag w:val="_PLD_1294459fe7ee46638b8d4b78b8d8c436"/>
                <w:id w:val="237912184"/>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4635575F" w14:textId="77777777" w:rsidR="00830E72" w:rsidRDefault="008344D8">
                    <w:pPr>
                      <w:rPr>
                        <w:b/>
                        <w:bCs/>
                      </w:rPr>
                    </w:pPr>
                    <w:r>
                      <w:rPr>
                        <w:b/>
                        <w:bCs/>
                      </w:rPr>
                      <w:t>3</w:t>
                    </w:r>
                    <w:r>
                      <w:rPr>
                        <w:rFonts w:hint="eastAsia"/>
                        <w:b/>
                        <w:bCs/>
                      </w:rPr>
                      <w:t>．现金及现金等价物净变动情况：</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vAlign w:val="center"/>
              </w:tcPr>
              <w:p w14:paraId="0765BE2B" w14:textId="77777777" w:rsidR="00830E72" w:rsidRDefault="00830E72">
                <w:pPr>
                  <w:jc w:val="right"/>
                </w:pPr>
              </w:p>
            </w:tc>
            <w:tc>
              <w:tcPr>
                <w:tcW w:w="1227" w:type="pct"/>
                <w:tcBorders>
                  <w:top w:val="outset" w:sz="6" w:space="0" w:color="auto"/>
                  <w:left w:val="outset" w:sz="6" w:space="0" w:color="auto"/>
                  <w:bottom w:val="outset" w:sz="6" w:space="0" w:color="auto"/>
                  <w:right w:val="outset" w:sz="6" w:space="0" w:color="auto"/>
                </w:tcBorders>
                <w:shd w:val="clear" w:color="auto" w:fill="auto"/>
                <w:vAlign w:val="center"/>
              </w:tcPr>
              <w:p w14:paraId="653D2540" w14:textId="77777777" w:rsidR="00830E72" w:rsidRDefault="00830E72">
                <w:pPr>
                  <w:jc w:val="right"/>
                </w:pPr>
              </w:p>
            </w:tc>
          </w:tr>
          <w:tr w:rsidR="00830E72" w14:paraId="05BF3E57" w14:textId="77777777" w:rsidTr="007211E6">
            <w:sdt>
              <w:sdtPr>
                <w:tag w:val="_PLD_2082c840cddc45338520bd3516ed16c9"/>
                <w:id w:val="-458337493"/>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06DF9509" w14:textId="77777777" w:rsidR="00830E72" w:rsidRDefault="008344D8">
                    <w:r>
                      <w:rPr>
                        <w:rFonts w:hint="eastAsia"/>
                      </w:rPr>
                      <w:t>现金的期末余额</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tcPr>
              <w:p w14:paraId="4A652B59" w14:textId="77777777" w:rsidR="00830E72" w:rsidRDefault="008344D8">
                <w:pPr>
                  <w:jc w:val="right"/>
                </w:pPr>
                <w:r>
                  <w:t>1,227,020,018.77</w:t>
                </w:r>
              </w:p>
            </w:tc>
            <w:tc>
              <w:tcPr>
                <w:tcW w:w="1227" w:type="pct"/>
                <w:tcBorders>
                  <w:top w:val="outset" w:sz="6" w:space="0" w:color="auto"/>
                  <w:left w:val="outset" w:sz="6" w:space="0" w:color="auto"/>
                  <w:bottom w:val="outset" w:sz="6" w:space="0" w:color="auto"/>
                  <w:right w:val="outset" w:sz="6" w:space="0" w:color="auto"/>
                </w:tcBorders>
                <w:shd w:val="clear" w:color="auto" w:fill="auto"/>
              </w:tcPr>
              <w:p w14:paraId="263CCE33" w14:textId="77777777" w:rsidR="00830E72" w:rsidRDefault="008344D8">
                <w:pPr>
                  <w:jc w:val="right"/>
                </w:pPr>
                <w:r>
                  <w:t>528,132,864.52</w:t>
                </w:r>
              </w:p>
            </w:tc>
          </w:tr>
          <w:tr w:rsidR="00830E72" w14:paraId="3A82AAF5" w14:textId="77777777" w:rsidTr="007211E6">
            <w:sdt>
              <w:sdtPr>
                <w:tag w:val="_PLD_a8039ff8828d402facebab3f2e19fcc0"/>
                <w:id w:val="1409728020"/>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14C751D8" w14:textId="77777777" w:rsidR="00830E72" w:rsidRDefault="008344D8">
                    <w:r>
                      <w:rPr>
                        <w:rFonts w:hint="eastAsia"/>
                      </w:rPr>
                      <w:t>减：现金的期初余额</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vAlign w:val="center"/>
              </w:tcPr>
              <w:p w14:paraId="3D9B94D3" w14:textId="77777777" w:rsidR="00830E72" w:rsidRDefault="008344D8">
                <w:pPr>
                  <w:jc w:val="right"/>
                  <w:rPr>
                    <w:bCs/>
                  </w:rPr>
                </w:pPr>
                <w:r>
                  <w:rPr>
                    <w:bCs/>
                  </w:rPr>
                  <w:t>686,046,728.81</w:t>
                </w:r>
              </w:p>
            </w:tc>
            <w:tc>
              <w:tcPr>
                <w:tcW w:w="1227" w:type="pct"/>
                <w:tcBorders>
                  <w:top w:val="outset" w:sz="6" w:space="0" w:color="auto"/>
                  <w:left w:val="outset" w:sz="6" w:space="0" w:color="auto"/>
                  <w:bottom w:val="outset" w:sz="6" w:space="0" w:color="auto"/>
                  <w:right w:val="outset" w:sz="6" w:space="0" w:color="auto"/>
                </w:tcBorders>
                <w:shd w:val="clear" w:color="auto" w:fill="auto"/>
                <w:vAlign w:val="center"/>
              </w:tcPr>
              <w:p w14:paraId="14A935D3" w14:textId="77777777" w:rsidR="00830E72" w:rsidRDefault="008344D8">
                <w:pPr>
                  <w:jc w:val="right"/>
                  <w:rPr>
                    <w:bCs/>
                  </w:rPr>
                </w:pPr>
                <w:r>
                  <w:rPr>
                    <w:bCs/>
                  </w:rPr>
                  <w:t>679,628,127.53</w:t>
                </w:r>
              </w:p>
            </w:tc>
          </w:tr>
          <w:tr w:rsidR="00830E72" w14:paraId="368C3AFB" w14:textId="77777777" w:rsidTr="007211E6">
            <w:sdt>
              <w:sdtPr>
                <w:tag w:val="_PLD_2b870bd2bf7a4a1c8f0ef717c730f23e"/>
                <w:id w:val="625823980"/>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41E54189" w14:textId="77777777" w:rsidR="00830E72" w:rsidRDefault="008344D8">
                    <w:r>
                      <w:rPr>
                        <w:rFonts w:hint="eastAsia"/>
                      </w:rPr>
                      <w:t>加：现金等价物的期末余额</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tcPr>
              <w:p w14:paraId="130FF805" w14:textId="77777777" w:rsidR="00830E72" w:rsidRDefault="00830E72">
                <w:pPr>
                  <w:jc w:val="right"/>
                </w:pPr>
              </w:p>
            </w:tc>
            <w:tc>
              <w:tcPr>
                <w:tcW w:w="1227" w:type="pct"/>
                <w:tcBorders>
                  <w:top w:val="outset" w:sz="6" w:space="0" w:color="auto"/>
                  <w:left w:val="outset" w:sz="6" w:space="0" w:color="auto"/>
                  <w:bottom w:val="outset" w:sz="6" w:space="0" w:color="auto"/>
                  <w:right w:val="outset" w:sz="6" w:space="0" w:color="auto"/>
                </w:tcBorders>
                <w:shd w:val="clear" w:color="auto" w:fill="auto"/>
              </w:tcPr>
              <w:p w14:paraId="66AA83B9" w14:textId="77777777" w:rsidR="00830E72" w:rsidRDefault="00830E72">
                <w:pPr>
                  <w:jc w:val="right"/>
                </w:pPr>
              </w:p>
            </w:tc>
          </w:tr>
          <w:tr w:rsidR="00830E72" w14:paraId="4F2B97E3" w14:textId="77777777" w:rsidTr="007211E6">
            <w:sdt>
              <w:sdtPr>
                <w:tag w:val="_PLD_ad568407cb3c454d95c72fc52ac36fe9"/>
                <w:id w:val="-2094694159"/>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3CBF82CE" w14:textId="77777777" w:rsidR="00830E72" w:rsidRDefault="008344D8">
                    <w:r>
                      <w:rPr>
                        <w:rFonts w:hint="eastAsia"/>
                      </w:rPr>
                      <w:t>减：现金等价物的期初余额</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vAlign w:val="center"/>
              </w:tcPr>
              <w:p w14:paraId="1A09E797" w14:textId="77777777" w:rsidR="00830E72" w:rsidRDefault="00830E72">
                <w:pPr>
                  <w:jc w:val="right"/>
                  <w:rPr>
                    <w:bCs/>
                  </w:rPr>
                </w:pPr>
              </w:p>
            </w:tc>
            <w:tc>
              <w:tcPr>
                <w:tcW w:w="1227" w:type="pct"/>
                <w:tcBorders>
                  <w:top w:val="outset" w:sz="6" w:space="0" w:color="auto"/>
                  <w:left w:val="outset" w:sz="6" w:space="0" w:color="auto"/>
                  <w:bottom w:val="outset" w:sz="6" w:space="0" w:color="auto"/>
                  <w:right w:val="outset" w:sz="6" w:space="0" w:color="auto"/>
                </w:tcBorders>
                <w:shd w:val="clear" w:color="auto" w:fill="auto"/>
                <w:vAlign w:val="center"/>
              </w:tcPr>
              <w:p w14:paraId="09063BAA" w14:textId="77777777" w:rsidR="00830E72" w:rsidRDefault="00830E72">
                <w:pPr>
                  <w:jc w:val="right"/>
                  <w:rPr>
                    <w:bCs/>
                  </w:rPr>
                </w:pPr>
              </w:p>
            </w:tc>
          </w:tr>
          <w:tr w:rsidR="00830E72" w14:paraId="13DA346F" w14:textId="77777777" w:rsidTr="007211E6">
            <w:sdt>
              <w:sdtPr>
                <w:tag w:val="_PLD_2dd0b4fbd20a49c1991e732523abf0b3"/>
                <w:id w:val="1830087516"/>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566EC2F8" w14:textId="77777777" w:rsidR="00830E72" w:rsidRDefault="008344D8">
                    <w:r>
                      <w:rPr>
                        <w:rFonts w:hint="eastAsia"/>
                      </w:rPr>
                      <w:t>现金及现金等价物净增加额</w:t>
                    </w:r>
                  </w:p>
                </w:tc>
              </w:sdtContent>
            </w:sdt>
            <w:tc>
              <w:tcPr>
                <w:tcW w:w="971" w:type="pct"/>
                <w:tcBorders>
                  <w:top w:val="outset" w:sz="6" w:space="0" w:color="auto"/>
                  <w:left w:val="single" w:sz="4" w:space="0" w:color="auto"/>
                  <w:bottom w:val="outset" w:sz="6" w:space="0" w:color="auto"/>
                  <w:right w:val="outset" w:sz="6" w:space="0" w:color="auto"/>
                </w:tcBorders>
                <w:shd w:val="clear" w:color="auto" w:fill="auto"/>
              </w:tcPr>
              <w:p w14:paraId="723A8652" w14:textId="77777777" w:rsidR="00830E72" w:rsidRDefault="008344D8">
                <w:pPr>
                  <w:jc w:val="right"/>
                </w:pPr>
                <w:r>
                  <w:t>540,973,289.96</w:t>
                </w:r>
              </w:p>
            </w:tc>
            <w:tc>
              <w:tcPr>
                <w:tcW w:w="1227" w:type="pct"/>
                <w:tcBorders>
                  <w:top w:val="outset" w:sz="6" w:space="0" w:color="auto"/>
                  <w:left w:val="outset" w:sz="6" w:space="0" w:color="auto"/>
                  <w:bottom w:val="outset" w:sz="6" w:space="0" w:color="auto"/>
                  <w:right w:val="outset" w:sz="6" w:space="0" w:color="auto"/>
                </w:tcBorders>
                <w:shd w:val="clear" w:color="auto" w:fill="auto"/>
              </w:tcPr>
              <w:p w14:paraId="4A3FFD03" w14:textId="77777777" w:rsidR="00830E72" w:rsidRDefault="008344D8">
                <w:pPr>
                  <w:jc w:val="right"/>
                  <w:rPr>
                    <w:bCs/>
                  </w:rPr>
                </w:pPr>
                <w:r>
                  <w:rPr>
                    <w:bCs/>
                  </w:rPr>
                  <w:t>-151,495,263.01</w:t>
                </w:r>
              </w:p>
            </w:tc>
          </w:tr>
        </w:tbl>
        <w:p w14:paraId="351A3FB8" w14:textId="77777777" w:rsidR="00830E72" w:rsidRDefault="00D44830"/>
      </w:sdtContent>
    </w:sdt>
    <w:sdt>
      <w:sdtPr>
        <w:rPr>
          <w:rFonts w:ascii="宋体" w:hAnsi="宋体" w:cs="宋体" w:hint="eastAsia"/>
          <w:b w:val="0"/>
          <w:bCs w:val="0"/>
          <w:kern w:val="0"/>
          <w:szCs w:val="21"/>
        </w:rPr>
        <w:alias w:val="模块:取得子公司支付的现金净额"/>
        <w:tag w:val="_GBC_4161b069f3a54b4a9ab95be67b841c16"/>
        <w:id w:val="-565339945"/>
        <w:lock w:val="sdtLocked"/>
        <w:placeholder>
          <w:docPart w:val="GBC22222222222222222222222222222"/>
        </w:placeholder>
      </w:sdtPr>
      <w:sdtEndPr/>
      <w:sdtContent>
        <w:p w14:paraId="4B0B54ED" w14:textId="77777777" w:rsidR="00830E72" w:rsidRDefault="008344D8">
          <w:pPr>
            <w:pStyle w:val="Style100"/>
            <w:numPr>
              <w:ilvl w:val="0"/>
              <w:numId w:val="76"/>
            </w:numPr>
            <w:rPr>
              <w:rFonts w:ascii="宋体" w:hAnsi="宋体"/>
              <w:szCs w:val="21"/>
            </w:rPr>
          </w:pPr>
          <w:r>
            <w:rPr>
              <w:rFonts w:ascii="宋体" w:hAnsi="宋体" w:cs="宋体" w:hint="eastAsia"/>
              <w:bCs w:val="0"/>
              <w:kern w:val="0"/>
              <w:szCs w:val="21"/>
            </w:rPr>
            <w:t>本期支付的</w:t>
          </w:r>
          <w:r>
            <w:rPr>
              <w:rFonts w:ascii="宋体" w:hAnsi="宋体" w:hint="eastAsia"/>
              <w:szCs w:val="21"/>
            </w:rPr>
            <w:t>取得子公司的现金净额</w:t>
          </w:r>
        </w:p>
        <w:sdt>
          <w:sdtPr>
            <w:alias w:val="是否适用：本期支付的取得子公司的现金净额[双击切换]"/>
            <w:tag w:val="_GBC_903abae67cad448caac446eb8c11fd79"/>
            <w:id w:val="14658188"/>
            <w:lock w:val="sdtContentLocked"/>
            <w:placeholder>
              <w:docPart w:val="GBC22222222222222222222222222222"/>
            </w:placeholder>
          </w:sdtPr>
          <w:sdtEndPr/>
          <w:sdtContent>
            <w:p w14:paraId="0CC5F53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处置子公司收到的现金净额"/>
        <w:tag w:val="_GBC_2b15b115b2104b8ba327581d943203fc"/>
        <w:id w:val="-789664437"/>
        <w:lock w:val="sdtLocked"/>
        <w:placeholder>
          <w:docPart w:val="GBC22222222222222222222222222222"/>
        </w:placeholder>
      </w:sdtPr>
      <w:sdtEndPr/>
      <w:sdtContent>
        <w:p w14:paraId="215C44A0" w14:textId="77777777" w:rsidR="00830E72" w:rsidRDefault="008344D8">
          <w:pPr>
            <w:pStyle w:val="Style100"/>
            <w:numPr>
              <w:ilvl w:val="0"/>
              <w:numId w:val="76"/>
            </w:numPr>
            <w:rPr>
              <w:rFonts w:ascii="宋体" w:hAnsi="宋体"/>
            </w:rPr>
          </w:pPr>
          <w:r>
            <w:rPr>
              <w:rFonts w:ascii="宋体" w:hAnsi="宋体" w:cs="宋体" w:hint="eastAsia"/>
              <w:bCs w:val="0"/>
              <w:kern w:val="0"/>
              <w:szCs w:val="24"/>
            </w:rPr>
            <w:t>本期收到的</w:t>
          </w:r>
          <w:r>
            <w:rPr>
              <w:rFonts w:ascii="宋体" w:hAnsi="宋体" w:hint="eastAsia"/>
            </w:rPr>
            <w:t>处置子公司的现金净额</w:t>
          </w:r>
        </w:p>
        <w:sdt>
          <w:sdtPr>
            <w:alias w:val="是否适用：本期收到的处置子公司的现金净额[双击切换]"/>
            <w:tag w:val="_GBC_2b4b13c85bb94d13bb7b7edebe0a9f5a"/>
            <w:id w:val="1865170031"/>
            <w:lock w:val="sdtContentLocked"/>
            <w:placeholder>
              <w:docPart w:val="GBC22222222222222222222222222222"/>
            </w:placeholder>
          </w:sdtPr>
          <w:sdtEndPr/>
          <w:sdtContent>
            <w:p w14:paraId="6BC17036"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现金和现金等价物的构成"/>
        <w:tag w:val="_GBC_b19766ead83d4bb4825af61147af6138"/>
        <w:id w:val="-1676571103"/>
        <w:lock w:val="sdtLocked"/>
        <w:placeholder>
          <w:docPart w:val="GBC22222222222222222222222222222"/>
        </w:placeholder>
      </w:sdtPr>
      <w:sdtEndPr>
        <w:rPr>
          <w:rFonts w:hint="default"/>
          <w:szCs w:val="22"/>
        </w:rPr>
      </w:sdtEndPr>
      <w:sdtContent>
        <w:p w14:paraId="76FAA965" w14:textId="77777777" w:rsidR="00830E72" w:rsidRDefault="008344D8">
          <w:pPr>
            <w:pStyle w:val="Style100"/>
            <w:numPr>
              <w:ilvl w:val="0"/>
              <w:numId w:val="76"/>
            </w:numPr>
            <w:rPr>
              <w:rFonts w:ascii="宋体" w:hAnsi="宋体"/>
              <w:szCs w:val="21"/>
            </w:rPr>
          </w:pPr>
          <w:r>
            <w:rPr>
              <w:rFonts w:ascii="宋体" w:hAnsi="宋体" w:hint="eastAsia"/>
              <w:szCs w:val="21"/>
            </w:rPr>
            <w:t>现金和现金</w:t>
          </w:r>
          <w:r>
            <w:rPr>
              <w:rFonts w:ascii="宋体" w:hAnsi="宋体" w:hint="eastAsia"/>
            </w:rPr>
            <w:t>等价物</w:t>
          </w:r>
          <w:r>
            <w:rPr>
              <w:rFonts w:ascii="宋体" w:hAnsi="宋体" w:hint="eastAsia"/>
              <w:szCs w:val="21"/>
            </w:rPr>
            <w:t>的构成</w:t>
          </w:r>
        </w:p>
        <w:sdt>
          <w:sdtPr>
            <w:alias w:val="是否适用：现金和现金等价物的构成[双击切换]"/>
            <w:tag w:val="_GBC_4f1d477972634410a6ea7bdfaf766947"/>
            <w:id w:val="540784353"/>
            <w:lock w:val="sdtContentLocked"/>
            <w:placeholder>
              <w:docPart w:val="GBC22222222222222222222222222222"/>
            </w:placeholder>
          </w:sdtPr>
          <w:sdtEndPr/>
          <w:sdtContent>
            <w:p w14:paraId="0941898C"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2466B18" w14:textId="77777777" w:rsidR="00830E72" w:rsidRDefault="008344D8">
          <w:pPr>
            <w:jc w:val="right"/>
            <w:rPr>
              <w:b/>
              <w:szCs w:val="21"/>
            </w:rPr>
          </w:pPr>
          <w:r>
            <w:rPr>
              <w:rFonts w:hint="eastAsia"/>
            </w:rPr>
            <w:t>单位：</w:t>
          </w:r>
          <w:sdt>
            <w:sdtPr>
              <w:rPr>
                <w:rFonts w:hint="eastAsia"/>
              </w:rPr>
              <w:alias w:val="单位：财务附注：现金和现金等价物的构成"/>
              <w:tag w:val="_GBC_b65333ba6aec402382c4acbbb6696560"/>
              <w:id w:val="-7949816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现金和现金等价物的构成"/>
              <w:tag w:val="_GBC_15cada3a52264083942ef83a40fa25a0"/>
              <w:id w:val="-20704030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0"/>
            <w:gridCol w:w="2394"/>
            <w:gridCol w:w="2735"/>
          </w:tblGrid>
          <w:tr w:rsidR="00830E72" w14:paraId="50E38752" w14:textId="77777777">
            <w:trPr>
              <w:trHeight w:val="285"/>
            </w:trPr>
            <w:sdt>
              <w:sdtPr>
                <w:tag w:val="_PLD_d5bf85e9303e4843a7623f09eae933c6"/>
                <w:id w:val="166761183"/>
                <w:lock w:val="sdtLocked"/>
              </w:sdtPr>
              <w:sdtEndPr/>
              <w:sdtContent>
                <w:tc>
                  <w:tcPr>
                    <w:tcW w:w="2166" w:type="pct"/>
                    <w:tcBorders>
                      <w:bottom w:val="single" w:sz="4" w:space="0" w:color="auto"/>
                    </w:tcBorders>
                    <w:shd w:val="clear" w:color="auto" w:fill="auto"/>
                    <w:vAlign w:val="center"/>
                  </w:tcPr>
                  <w:p w14:paraId="52874A24" w14:textId="77777777" w:rsidR="00830E72" w:rsidRDefault="008344D8">
                    <w:pPr>
                      <w:ind w:leftChars="-51" w:left="-107"/>
                      <w:jc w:val="center"/>
                      <w:rPr>
                        <w:szCs w:val="21"/>
                      </w:rPr>
                    </w:pPr>
                    <w:r>
                      <w:rPr>
                        <w:rFonts w:hint="eastAsia"/>
                        <w:szCs w:val="21"/>
                      </w:rPr>
                      <w:t>项目</w:t>
                    </w:r>
                  </w:p>
                </w:tc>
              </w:sdtContent>
            </w:sdt>
            <w:sdt>
              <w:sdtPr>
                <w:tag w:val="_PLD_e3a960d2f6474687b9cbaec3f1075e19"/>
                <w:id w:val="-1770611571"/>
                <w:lock w:val="sdtLocked"/>
              </w:sdtPr>
              <w:sdtEndPr/>
              <w:sdtContent>
                <w:tc>
                  <w:tcPr>
                    <w:tcW w:w="1323" w:type="pct"/>
                    <w:shd w:val="clear" w:color="auto" w:fill="auto"/>
                    <w:vAlign w:val="center"/>
                  </w:tcPr>
                  <w:p w14:paraId="2B34196D" w14:textId="77777777" w:rsidR="00830E72" w:rsidRDefault="008344D8">
                    <w:pPr>
                      <w:jc w:val="center"/>
                      <w:rPr>
                        <w:szCs w:val="21"/>
                      </w:rPr>
                    </w:pPr>
                    <w:r>
                      <w:rPr>
                        <w:rFonts w:hint="eastAsia"/>
                        <w:szCs w:val="21"/>
                      </w:rPr>
                      <w:t>期末余额</w:t>
                    </w:r>
                  </w:p>
                </w:tc>
              </w:sdtContent>
            </w:sdt>
            <w:sdt>
              <w:sdtPr>
                <w:tag w:val="_PLD_0d0909eba9344c8ab96c7fb88f0b117a"/>
                <w:id w:val="2019416091"/>
                <w:lock w:val="sdtLocked"/>
              </w:sdtPr>
              <w:sdtEndPr/>
              <w:sdtContent>
                <w:tc>
                  <w:tcPr>
                    <w:tcW w:w="1511" w:type="pct"/>
                    <w:shd w:val="clear" w:color="auto" w:fill="auto"/>
                  </w:tcPr>
                  <w:p w14:paraId="08C035FB" w14:textId="77777777" w:rsidR="00830E72" w:rsidRDefault="008344D8">
                    <w:pPr>
                      <w:jc w:val="center"/>
                      <w:rPr>
                        <w:szCs w:val="21"/>
                      </w:rPr>
                    </w:pPr>
                    <w:r>
                      <w:rPr>
                        <w:rFonts w:hint="eastAsia"/>
                        <w:szCs w:val="21"/>
                      </w:rPr>
                      <w:t>期初余额</w:t>
                    </w:r>
                  </w:p>
                </w:tc>
              </w:sdtContent>
            </w:sdt>
          </w:tr>
          <w:tr w:rsidR="00830E72" w14:paraId="08A51FC1" w14:textId="77777777">
            <w:trPr>
              <w:trHeight w:val="285"/>
            </w:trPr>
            <w:sdt>
              <w:sdtPr>
                <w:tag w:val="_PLD_6a173ce99a864661a21d726eff0af5b3"/>
                <w:id w:val="492227559"/>
                <w:lock w:val="sdtLocked"/>
              </w:sdtPr>
              <w:sdtEndPr/>
              <w:sdtContent>
                <w:tc>
                  <w:tcPr>
                    <w:tcW w:w="2166" w:type="pct"/>
                    <w:shd w:val="clear" w:color="auto" w:fill="auto"/>
                    <w:vAlign w:val="center"/>
                  </w:tcPr>
                  <w:p w14:paraId="43CB23EA" w14:textId="77777777" w:rsidR="00830E72" w:rsidRDefault="008344D8">
                    <w:pPr>
                      <w:rPr>
                        <w:szCs w:val="21"/>
                      </w:rPr>
                    </w:pPr>
                    <w:r>
                      <w:rPr>
                        <w:rFonts w:hint="eastAsia"/>
                        <w:szCs w:val="21"/>
                      </w:rPr>
                      <w:t>一、现金</w:t>
                    </w:r>
                  </w:p>
                </w:tc>
              </w:sdtContent>
            </w:sdt>
            <w:tc>
              <w:tcPr>
                <w:tcW w:w="1323" w:type="pct"/>
                <w:shd w:val="clear" w:color="auto" w:fill="auto"/>
              </w:tcPr>
              <w:p w14:paraId="632D9AA7" w14:textId="77777777" w:rsidR="00830E72" w:rsidRDefault="008344D8">
                <w:pPr>
                  <w:jc w:val="right"/>
                  <w:rPr>
                    <w:szCs w:val="21"/>
                  </w:rPr>
                </w:pPr>
                <w:r>
                  <w:rPr>
                    <w:szCs w:val="21"/>
                  </w:rPr>
                  <w:t>1,227,020,018.77</w:t>
                </w:r>
              </w:p>
            </w:tc>
            <w:tc>
              <w:tcPr>
                <w:tcW w:w="1511" w:type="pct"/>
                <w:shd w:val="clear" w:color="auto" w:fill="auto"/>
              </w:tcPr>
              <w:p w14:paraId="6792DFEB" w14:textId="77777777" w:rsidR="00830E72" w:rsidRDefault="008344D8">
                <w:pPr>
                  <w:jc w:val="right"/>
                  <w:rPr>
                    <w:szCs w:val="21"/>
                  </w:rPr>
                </w:pPr>
                <w:r>
                  <w:rPr>
                    <w:szCs w:val="21"/>
                  </w:rPr>
                  <w:t>686,046,728.81</w:t>
                </w:r>
              </w:p>
            </w:tc>
          </w:tr>
          <w:tr w:rsidR="00830E72" w14:paraId="48BD17C2" w14:textId="77777777">
            <w:trPr>
              <w:trHeight w:val="285"/>
            </w:trPr>
            <w:sdt>
              <w:sdtPr>
                <w:tag w:val="_PLD_00026e2b0a3d4b39803714a078a9949d"/>
                <w:id w:val="-1807774750"/>
                <w:lock w:val="sdtLocked"/>
              </w:sdtPr>
              <w:sdtEndPr/>
              <w:sdtContent>
                <w:tc>
                  <w:tcPr>
                    <w:tcW w:w="2166" w:type="pct"/>
                    <w:shd w:val="clear" w:color="auto" w:fill="auto"/>
                    <w:vAlign w:val="center"/>
                  </w:tcPr>
                  <w:p w14:paraId="41BFD960" w14:textId="77777777" w:rsidR="00830E72" w:rsidRDefault="008344D8">
                    <w:pPr>
                      <w:rPr>
                        <w:szCs w:val="21"/>
                      </w:rPr>
                    </w:pPr>
                    <w:r>
                      <w:rPr>
                        <w:rFonts w:hint="eastAsia"/>
                        <w:szCs w:val="21"/>
                      </w:rPr>
                      <w:t>其中：库存现金</w:t>
                    </w:r>
                  </w:p>
                </w:tc>
              </w:sdtContent>
            </w:sdt>
            <w:tc>
              <w:tcPr>
                <w:tcW w:w="1323" w:type="pct"/>
                <w:shd w:val="clear" w:color="auto" w:fill="auto"/>
              </w:tcPr>
              <w:p w14:paraId="7802FC6E" w14:textId="77777777" w:rsidR="00830E72" w:rsidRDefault="008344D8">
                <w:pPr>
                  <w:jc w:val="right"/>
                  <w:rPr>
                    <w:szCs w:val="21"/>
                  </w:rPr>
                </w:pPr>
                <w:r>
                  <w:rPr>
                    <w:szCs w:val="21"/>
                  </w:rPr>
                  <w:t>143,746.31</w:t>
                </w:r>
              </w:p>
            </w:tc>
            <w:tc>
              <w:tcPr>
                <w:tcW w:w="1511" w:type="pct"/>
                <w:shd w:val="clear" w:color="auto" w:fill="auto"/>
              </w:tcPr>
              <w:p w14:paraId="259B0FE2" w14:textId="77777777" w:rsidR="00830E72" w:rsidRDefault="008344D8">
                <w:pPr>
                  <w:jc w:val="right"/>
                  <w:rPr>
                    <w:szCs w:val="21"/>
                  </w:rPr>
                </w:pPr>
                <w:r>
                  <w:rPr>
                    <w:szCs w:val="21"/>
                  </w:rPr>
                  <w:t>101,687.80</w:t>
                </w:r>
              </w:p>
            </w:tc>
          </w:tr>
          <w:tr w:rsidR="00830E72" w14:paraId="6CD3F5FD" w14:textId="77777777">
            <w:trPr>
              <w:trHeight w:val="285"/>
            </w:trPr>
            <w:sdt>
              <w:sdtPr>
                <w:tag w:val="_PLD_703c5ac82ddb4fd7bf9d7372c95ca92f"/>
                <w:id w:val="760106997"/>
                <w:lock w:val="sdtLocked"/>
              </w:sdtPr>
              <w:sdtEndPr/>
              <w:sdtContent>
                <w:tc>
                  <w:tcPr>
                    <w:tcW w:w="2166" w:type="pct"/>
                    <w:shd w:val="clear" w:color="auto" w:fill="auto"/>
                    <w:vAlign w:val="center"/>
                  </w:tcPr>
                  <w:p w14:paraId="19455255" w14:textId="77777777" w:rsidR="00830E72" w:rsidRDefault="008344D8">
                    <w:pPr>
                      <w:rPr>
                        <w:szCs w:val="21"/>
                      </w:rPr>
                    </w:pPr>
                    <w:r>
                      <w:rPr>
                        <w:rFonts w:hint="eastAsia"/>
                        <w:szCs w:val="21"/>
                      </w:rPr>
                      <w:t xml:space="preserve">　　可随时用于支付的银行存款</w:t>
                    </w:r>
                  </w:p>
                </w:tc>
              </w:sdtContent>
            </w:sdt>
            <w:tc>
              <w:tcPr>
                <w:tcW w:w="1323" w:type="pct"/>
                <w:shd w:val="clear" w:color="auto" w:fill="auto"/>
              </w:tcPr>
              <w:p w14:paraId="13744D17" w14:textId="77777777" w:rsidR="00830E72" w:rsidRDefault="008344D8">
                <w:pPr>
                  <w:jc w:val="right"/>
                  <w:rPr>
                    <w:szCs w:val="21"/>
                  </w:rPr>
                </w:pPr>
                <w:r>
                  <w:rPr>
                    <w:szCs w:val="21"/>
                  </w:rPr>
                  <w:t>1,226,876,272.46</w:t>
                </w:r>
              </w:p>
            </w:tc>
            <w:tc>
              <w:tcPr>
                <w:tcW w:w="1511" w:type="pct"/>
                <w:shd w:val="clear" w:color="auto" w:fill="auto"/>
              </w:tcPr>
              <w:p w14:paraId="6FBE2665" w14:textId="77777777" w:rsidR="00830E72" w:rsidRDefault="008344D8">
                <w:pPr>
                  <w:jc w:val="right"/>
                  <w:rPr>
                    <w:szCs w:val="21"/>
                  </w:rPr>
                </w:pPr>
                <w:r>
                  <w:rPr>
                    <w:szCs w:val="21"/>
                  </w:rPr>
                  <w:t>685,945,041.01</w:t>
                </w:r>
              </w:p>
            </w:tc>
          </w:tr>
          <w:tr w:rsidR="00830E72" w14:paraId="7AB40BD6" w14:textId="77777777">
            <w:trPr>
              <w:trHeight w:val="285"/>
            </w:trPr>
            <w:sdt>
              <w:sdtPr>
                <w:tag w:val="_PLD_39dc74346d4643c0b32e781621749a55"/>
                <w:id w:val="-392124714"/>
                <w:lock w:val="sdtLocked"/>
              </w:sdtPr>
              <w:sdtEndPr/>
              <w:sdtContent>
                <w:tc>
                  <w:tcPr>
                    <w:tcW w:w="2166" w:type="pct"/>
                    <w:shd w:val="clear" w:color="auto" w:fill="auto"/>
                    <w:vAlign w:val="center"/>
                  </w:tcPr>
                  <w:p w14:paraId="1A90CA26" w14:textId="77777777" w:rsidR="00830E72" w:rsidRDefault="008344D8">
                    <w:pPr>
                      <w:rPr>
                        <w:szCs w:val="21"/>
                      </w:rPr>
                    </w:pPr>
                    <w:r>
                      <w:rPr>
                        <w:rFonts w:hint="eastAsia"/>
                        <w:szCs w:val="21"/>
                      </w:rPr>
                      <w:t xml:space="preserve">　　可随时用于支付的其他货币资金</w:t>
                    </w:r>
                  </w:p>
                </w:tc>
              </w:sdtContent>
            </w:sdt>
            <w:tc>
              <w:tcPr>
                <w:tcW w:w="1323" w:type="pct"/>
                <w:shd w:val="clear" w:color="auto" w:fill="auto"/>
              </w:tcPr>
              <w:p w14:paraId="3FA7C230" w14:textId="77777777" w:rsidR="00830E72" w:rsidRDefault="00830E72">
                <w:pPr>
                  <w:jc w:val="right"/>
                  <w:rPr>
                    <w:szCs w:val="21"/>
                  </w:rPr>
                </w:pPr>
              </w:p>
            </w:tc>
            <w:tc>
              <w:tcPr>
                <w:tcW w:w="1511" w:type="pct"/>
                <w:shd w:val="clear" w:color="auto" w:fill="auto"/>
              </w:tcPr>
              <w:p w14:paraId="21D16FA0" w14:textId="77777777" w:rsidR="00830E72" w:rsidRDefault="00830E72">
                <w:pPr>
                  <w:jc w:val="right"/>
                  <w:rPr>
                    <w:szCs w:val="21"/>
                  </w:rPr>
                </w:pPr>
              </w:p>
            </w:tc>
          </w:tr>
          <w:tr w:rsidR="00830E72" w14:paraId="6C04F3C5" w14:textId="77777777">
            <w:trPr>
              <w:trHeight w:val="285"/>
            </w:trPr>
            <w:sdt>
              <w:sdtPr>
                <w:tag w:val="_PLD_7097f486896a4d4b9e7684bc82f808ad"/>
                <w:id w:val="-409234736"/>
                <w:lock w:val="sdtLocked"/>
              </w:sdtPr>
              <w:sdtEndPr/>
              <w:sdtContent>
                <w:tc>
                  <w:tcPr>
                    <w:tcW w:w="2166" w:type="pct"/>
                    <w:shd w:val="clear" w:color="auto" w:fill="auto"/>
                    <w:vAlign w:val="center"/>
                  </w:tcPr>
                  <w:p w14:paraId="68371237" w14:textId="77777777" w:rsidR="00830E72" w:rsidRDefault="008344D8">
                    <w:pPr>
                      <w:rPr>
                        <w:szCs w:val="21"/>
                      </w:rPr>
                    </w:pPr>
                    <w:r>
                      <w:rPr>
                        <w:rFonts w:hint="eastAsia"/>
                        <w:szCs w:val="21"/>
                      </w:rPr>
                      <w:t xml:space="preserve">　　可用于支付的存放中央银行款项</w:t>
                    </w:r>
                  </w:p>
                </w:tc>
              </w:sdtContent>
            </w:sdt>
            <w:tc>
              <w:tcPr>
                <w:tcW w:w="1323" w:type="pct"/>
                <w:shd w:val="clear" w:color="auto" w:fill="auto"/>
              </w:tcPr>
              <w:p w14:paraId="23C2C364" w14:textId="77777777" w:rsidR="00830E72" w:rsidRDefault="00830E72">
                <w:pPr>
                  <w:jc w:val="right"/>
                  <w:rPr>
                    <w:szCs w:val="21"/>
                  </w:rPr>
                </w:pPr>
              </w:p>
            </w:tc>
            <w:tc>
              <w:tcPr>
                <w:tcW w:w="1511" w:type="pct"/>
                <w:shd w:val="clear" w:color="auto" w:fill="auto"/>
              </w:tcPr>
              <w:p w14:paraId="01CE8D07" w14:textId="77777777" w:rsidR="00830E72" w:rsidRDefault="00830E72">
                <w:pPr>
                  <w:jc w:val="right"/>
                  <w:rPr>
                    <w:szCs w:val="21"/>
                  </w:rPr>
                </w:pPr>
              </w:p>
            </w:tc>
          </w:tr>
          <w:tr w:rsidR="00830E72" w14:paraId="48712146" w14:textId="77777777">
            <w:trPr>
              <w:trHeight w:val="285"/>
            </w:trPr>
            <w:sdt>
              <w:sdtPr>
                <w:tag w:val="_PLD_8fe90894e50c435a91887b8f6baf82f7"/>
                <w:id w:val="-1933108996"/>
                <w:lock w:val="sdtLocked"/>
              </w:sdtPr>
              <w:sdtEndPr/>
              <w:sdtContent>
                <w:tc>
                  <w:tcPr>
                    <w:tcW w:w="2166" w:type="pct"/>
                    <w:shd w:val="clear" w:color="auto" w:fill="auto"/>
                    <w:vAlign w:val="center"/>
                  </w:tcPr>
                  <w:p w14:paraId="1508CF8C" w14:textId="77777777" w:rsidR="00830E72" w:rsidRDefault="008344D8">
                    <w:pPr>
                      <w:rPr>
                        <w:szCs w:val="21"/>
                      </w:rPr>
                    </w:pPr>
                    <w:r>
                      <w:rPr>
                        <w:rFonts w:hint="eastAsia"/>
                        <w:szCs w:val="21"/>
                      </w:rPr>
                      <w:t xml:space="preserve">　　存放同业款项</w:t>
                    </w:r>
                  </w:p>
                </w:tc>
              </w:sdtContent>
            </w:sdt>
            <w:tc>
              <w:tcPr>
                <w:tcW w:w="1323" w:type="pct"/>
                <w:shd w:val="clear" w:color="auto" w:fill="auto"/>
              </w:tcPr>
              <w:p w14:paraId="0E0EE589" w14:textId="77777777" w:rsidR="00830E72" w:rsidRDefault="00830E72">
                <w:pPr>
                  <w:jc w:val="right"/>
                  <w:rPr>
                    <w:szCs w:val="21"/>
                  </w:rPr>
                </w:pPr>
              </w:p>
            </w:tc>
            <w:tc>
              <w:tcPr>
                <w:tcW w:w="1511" w:type="pct"/>
                <w:shd w:val="clear" w:color="auto" w:fill="auto"/>
              </w:tcPr>
              <w:p w14:paraId="6C886AAB" w14:textId="77777777" w:rsidR="00830E72" w:rsidRDefault="00830E72">
                <w:pPr>
                  <w:jc w:val="right"/>
                  <w:rPr>
                    <w:szCs w:val="21"/>
                  </w:rPr>
                </w:pPr>
              </w:p>
            </w:tc>
          </w:tr>
          <w:tr w:rsidR="00830E72" w14:paraId="2BE14293" w14:textId="77777777">
            <w:trPr>
              <w:trHeight w:val="285"/>
            </w:trPr>
            <w:sdt>
              <w:sdtPr>
                <w:tag w:val="_PLD_5808644810d54676897d0089359a83b2"/>
                <w:id w:val="-268857182"/>
                <w:lock w:val="sdtLocked"/>
              </w:sdtPr>
              <w:sdtEndPr/>
              <w:sdtContent>
                <w:tc>
                  <w:tcPr>
                    <w:tcW w:w="2166" w:type="pct"/>
                    <w:shd w:val="clear" w:color="auto" w:fill="auto"/>
                    <w:vAlign w:val="center"/>
                  </w:tcPr>
                  <w:p w14:paraId="37165DB6" w14:textId="77777777" w:rsidR="00830E72" w:rsidRDefault="008344D8">
                    <w:pPr>
                      <w:rPr>
                        <w:szCs w:val="21"/>
                      </w:rPr>
                    </w:pPr>
                    <w:r>
                      <w:rPr>
                        <w:rFonts w:hint="eastAsia"/>
                        <w:szCs w:val="21"/>
                      </w:rPr>
                      <w:t xml:space="preserve">　　拆放同业款项</w:t>
                    </w:r>
                  </w:p>
                </w:tc>
              </w:sdtContent>
            </w:sdt>
            <w:tc>
              <w:tcPr>
                <w:tcW w:w="1323" w:type="pct"/>
                <w:shd w:val="clear" w:color="auto" w:fill="auto"/>
              </w:tcPr>
              <w:p w14:paraId="7015DC71" w14:textId="77777777" w:rsidR="00830E72" w:rsidRDefault="00830E72">
                <w:pPr>
                  <w:jc w:val="right"/>
                  <w:rPr>
                    <w:szCs w:val="21"/>
                  </w:rPr>
                </w:pPr>
              </w:p>
            </w:tc>
            <w:tc>
              <w:tcPr>
                <w:tcW w:w="1511" w:type="pct"/>
                <w:shd w:val="clear" w:color="auto" w:fill="auto"/>
              </w:tcPr>
              <w:p w14:paraId="11B6C647" w14:textId="77777777" w:rsidR="00830E72" w:rsidRDefault="00830E72">
                <w:pPr>
                  <w:jc w:val="right"/>
                  <w:rPr>
                    <w:szCs w:val="21"/>
                  </w:rPr>
                </w:pPr>
              </w:p>
            </w:tc>
          </w:tr>
          <w:tr w:rsidR="00830E72" w14:paraId="6AA1359D" w14:textId="77777777">
            <w:trPr>
              <w:trHeight w:val="285"/>
            </w:trPr>
            <w:sdt>
              <w:sdtPr>
                <w:tag w:val="_PLD_908c5e073add4fa8a13ed054455379d9"/>
                <w:id w:val="1430617623"/>
                <w:lock w:val="sdtLocked"/>
              </w:sdtPr>
              <w:sdtEndPr/>
              <w:sdtContent>
                <w:tc>
                  <w:tcPr>
                    <w:tcW w:w="2166" w:type="pct"/>
                    <w:shd w:val="clear" w:color="auto" w:fill="auto"/>
                    <w:vAlign w:val="center"/>
                  </w:tcPr>
                  <w:p w14:paraId="7BC3BE64" w14:textId="77777777" w:rsidR="00830E72" w:rsidRDefault="008344D8">
                    <w:pPr>
                      <w:rPr>
                        <w:szCs w:val="21"/>
                      </w:rPr>
                    </w:pPr>
                    <w:r>
                      <w:rPr>
                        <w:rFonts w:hint="eastAsia"/>
                        <w:szCs w:val="21"/>
                      </w:rPr>
                      <w:t>二、现金等价物</w:t>
                    </w:r>
                  </w:p>
                </w:tc>
              </w:sdtContent>
            </w:sdt>
            <w:tc>
              <w:tcPr>
                <w:tcW w:w="1323" w:type="pct"/>
                <w:shd w:val="clear" w:color="auto" w:fill="auto"/>
              </w:tcPr>
              <w:p w14:paraId="1F6BFCFD" w14:textId="77777777" w:rsidR="00830E72" w:rsidRDefault="00830E72">
                <w:pPr>
                  <w:jc w:val="right"/>
                  <w:rPr>
                    <w:szCs w:val="21"/>
                  </w:rPr>
                </w:pPr>
              </w:p>
            </w:tc>
            <w:tc>
              <w:tcPr>
                <w:tcW w:w="1511" w:type="pct"/>
                <w:shd w:val="clear" w:color="auto" w:fill="auto"/>
              </w:tcPr>
              <w:p w14:paraId="0CD536BA" w14:textId="77777777" w:rsidR="00830E72" w:rsidRDefault="00830E72">
                <w:pPr>
                  <w:jc w:val="right"/>
                  <w:rPr>
                    <w:szCs w:val="21"/>
                  </w:rPr>
                </w:pPr>
              </w:p>
            </w:tc>
          </w:tr>
          <w:tr w:rsidR="00830E72" w14:paraId="647C7F00" w14:textId="77777777">
            <w:trPr>
              <w:trHeight w:val="285"/>
            </w:trPr>
            <w:sdt>
              <w:sdtPr>
                <w:tag w:val="_PLD_652a861f17ac4cdd9702ff63844d42cc"/>
                <w:id w:val="957608595"/>
                <w:lock w:val="sdtLocked"/>
              </w:sdtPr>
              <w:sdtEndPr/>
              <w:sdtContent>
                <w:tc>
                  <w:tcPr>
                    <w:tcW w:w="2166" w:type="pct"/>
                    <w:tcBorders>
                      <w:bottom w:val="single" w:sz="4" w:space="0" w:color="auto"/>
                    </w:tcBorders>
                    <w:shd w:val="clear" w:color="auto" w:fill="auto"/>
                    <w:vAlign w:val="center"/>
                  </w:tcPr>
                  <w:p w14:paraId="4592C324" w14:textId="77777777" w:rsidR="00830E72" w:rsidRDefault="008344D8">
                    <w:pPr>
                      <w:rPr>
                        <w:szCs w:val="21"/>
                      </w:rPr>
                    </w:pPr>
                    <w:r>
                      <w:rPr>
                        <w:rFonts w:hint="eastAsia"/>
                        <w:szCs w:val="21"/>
                      </w:rPr>
                      <w:t>其中：三个月内到期的债券投资</w:t>
                    </w:r>
                  </w:p>
                </w:tc>
              </w:sdtContent>
            </w:sdt>
            <w:tc>
              <w:tcPr>
                <w:tcW w:w="1323" w:type="pct"/>
                <w:tcBorders>
                  <w:bottom w:val="single" w:sz="4" w:space="0" w:color="auto"/>
                </w:tcBorders>
                <w:shd w:val="clear" w:color="auto" w:fill="auto"/>
              </w:tcPr>
              <w:p w14:paraId="2A5526A1" w14:textId="77777777" w:rsidR="00830E72" w:rsidRDefault="00830E72">
                <w:pPr>
                  <w:jc w:val="right"/>
                  <w:rPr>
                    <w:szCs w:val="21"/>
                  </w:rPr>
                </w:pPr>
              </w:p>
            </w:tc>
            <w:tc>
              <w:tcPr>
                <w:tcW w:w="1511" w:type="pct"/>
                <w:tcBorders>
                  <w:bottom w:val="single" w:sz="4" w:space="0" w:color="auto"/>
                </w:tcBorders>
                <w:shd w:val="clear" w:color="auto" w:fill="auto"/>
              </w:tcPr>
              <w:p w14:paraId="1FB7AD35" w14:textId="77777777" w:rsidR="00830E72" w:rsidRDefault="00830E72">
                <w:pPr>
                  <w:jc w:val="right"/>
                  <w:rPr>
                    <w:szCs w:val="21"/>
                  </w:rPr>
                </w:pPr>
              </w:p>
            </w:tc>
          </w:tr>
          <w:tr w:rsidR="00830E72" w14:paraId="4E1B7EB7" w14:textId="77777777">
            <w:trPr>
              <w:trHeight w:val="285"/>
            </w:trPr>
            <w:sdt>
              <w:sdtPr>
                <w:tag w:val="_PLD_4d07bfc591df4d5483e486621c246fa5"/>
                <w:id w:val="1781376463"/>
                <w:lock w:val="sdtLocked"/>
              </w:sdtPr>
              <w:sdtEndPr/>
              <w:sdtContent>
                <w:tc>
                  <w:tcPr>
                    <w:tcW w:w="2166" w:type="pct"/>
                    <w:shd w:val="clear" w:color="auto" w:fill="auto"/>
                    <w:vAlign w:val="center"/>
                  </w:tcPr>
                  <w:p w14:paraId="17211E69" w14:textId="77777777" w:rsidR="00830E72" w:rsidRDefault="008344D8">
                    <w:pPr>
                      <w:rPr>
                        <w:szCs w:val="21"/>
                      </w:rPr>
                    </w:pPr>
                    <w:r>
                      <w:rPr>
                        <w:rFonts w:hint="eastAsia"/>
                        <w:szCs w:val="21"/>
                      </w:rPr>
                      <w:t>三、期末现金及现金等价物余额</w:t>
                    </w:r>
                  </w:p>
                </w:tc>
              </w:sdtContent>
            </w:sdt>
            <w:tc>
              <w:tcPr>
                <w:tcW w:w="1323" w:type="pct"/>
                <w:shd w:val="clear" w:color="auto" w:fill="auto"/>
              </w:tcPr>
              <w:p w14:paraId="6C985BD6" w14:textId="77777777" w:rsidR="00830E72" w:rsidRDefault="008344D8">
                <w:pPr>
                  <w:jc w:val="right"/>
                  <w:rPr>
                    <w:szCs w:val="21"/>
                  </w:rPr>
                </w:pPr>
                <w:r>
                  <w:rPr>
                    <w:szCs w:val="21"/>
                  </w:rPr>
                  <w:t>1,227,020,018.77</w:t>
                </w:r>
              </w:p>
            </w:tc>
            <w:tc>
              <w:tcPr>
                <w:tcW w:w="1511" w:type="pct"/>
                <w:shd w:val="clear" w:color="auto" w:fill="auto"/>
              </w:tcPr>
              <w:p w14:paraId="2C081BB3" w14:textId="77777777" w:rsidR="00830E72" w:rsidRDefault="008344D8">
                <w:pPr>
                  <w:jc w:val="right"/>
                  <w:rPr>
                    <w:szCs w:val="21"/>
                  </w:rPr>
                </w:pPr>
                <w:r>
                  <w:rPr>
                    <w:szCs w:val="21"/>
                  </w:rPr>
                  <w:t>686,046,728.81</w:t>
                </w:r>
              </w:p>
            </w:tc>
          </w:tr>
          <w:tr w:rsidR="00830E72" w14:paraId="2A3AB8F7" w14:textId="77777777">
            <w:trPr>
              <w:trHeight w:val="285"/>
            </w:trPr>
            <w:sdt>
              <w:sdtPr>
                <w:tag w:val="_PLD_a7dfcdf890714f1c879ddf8d09d45801"/>
                <w:id w:val="-1489935268"/>
                <w:lock w:val="sdtLocked"/>
              </w:sdtPr>
              <w:sdtEndPr/>
              <w:sdtContent>
                <w:tc>
                  <w:tcPr>
                    <w:tcW w:w="2166" w:type="pct"/>
                    <w:shd w:val="clear" w:color="auto" w:fill="auto"/>
                    <w:vAlign w:val="center"/>
                  </w:tcPr>
                  <w:p w14:paraId="0FD90069" w14:textId="77777777" w:rsidR="00830E72" w:rsidRDefault="008344D8">
                    <w:pPr>
                      <w:rPr>
                        <w:szCs w:val="21"/>
                      </w:rPr>
                    </w:pPr>
                    <w:r>
                      <w:rPr>
                        <w:rFonts w:hint="eastAsia"/>
                        <w:szCs w:val="21"/>
                      </w:rPr>
                      <w:t>其中：母公司或集团内子公司使用受限制的现金和现金等价物</w:t>
                    </w:r>
                  </w:p>
                </w:tc>
              </w:sdtContent>
            </w:sdt>
            <w:tc>
              <w:tcPr>
                <w:tcW w:w="1323" w:type="pct"/>
                <w:shd w:val="clear" w:color="auto" w:fill="auto"/>
              </w:tcPr>
              <w:p w14:paraId="12F16C07" w14:textId="77777777" w:rsidR="00830E72" w:rsidRDefault="00830E72">
                <w:pPr>
                  <w:jc w:val="right"/>
                  <w:rPr>
                    <w:szCs w:val="21"/>
                  </w:rPr>
                </w:pPr>
              </w:p>
            </w:tc>
            <w:tc>
              <w:tcPr>
                <w:tcW w:w="1511" w:type="pct"/>
                <w:shd w:val="clear" w:color="auto" w:fill="auto"/>
              </w:tcPr>
              <w:p w14:paraId="52C9FEA4" w14:textId="77777777" w:rsidR="00830E72" w:rsidRDefault="00830E72">
                <w:pPr>
                  <w:jc w:val="right"/>
                  <w:rPr>
                    <w:szCs w:val="21"/>
                  </w:rPr>
                </w:pPr>
              </w:p>
            </w:tc>
          </w:tr>
        </w:tbl>
        <w:p w14:paraId="29D697F9" w14:textId="77777777" w:rsidR="00830E72" w:rsidRDefault="008344D8">
          <w:pPr>
            <w:spacing w:before="60" w:after="60"/>
            <w:rPr>
              <w:szCs w:val="21"/>
            </w:rPr>
          </w:pPr>
          <w:r>
            <w:rPr>
              <w:rFonts w:hint="eastAsia"/>
              <w:szCs w:val="21"/>
            </w:rPr>
            <w:t>其他说明：</w:t>
          </w:r>
        </w:p>
        <w:sdt>
          <w:sdtPr>
            <w:rPr>
              <w:szCs w:val="21"/>
            </w:rPr>
            <w:alias w:val="是否适用：现金流量表补充资料的说明[双击切换]"/>
            <w:tag w:val="_GBC_2212775a699e4804b260767f3ce34d12"/>
            <w:id w:val="-1293280308"/>
            <w:lock w:val="sdtContentLocked"/>
            <w:placeholder>
              <w:docPart w:val="GBC22222222222222222222222222222"/>
            </w:placeholder>
          </w:sdtPr>
          <w:sdtEndPr/>
          <w:sdtContent>
            <w:p w14:paraId="289106CC" w14:textId="77777777" w:rsidR="00830E72" w:rsidRDefault="008344D8">
              <w:pPr>
                <w:spacing w:before="60" w:after="60"/>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所有者权益变动表项目注释"/>
        <w:tag w:val="_GBC_f67b410d6123403caa2cee84fe191372"/>
        <w:id w:val="1806966459"/>
        <w:lock w:val="sdtLocked"/>
        <w:placeholder>
          <w:docPart w:val="GBC22222222222222222222222222222"/>
        </w:placeholder>
      </w:sdtPr>
      <w:sdtEndPr>
        <w:rPr>
          <w:rFonts w:cstheme="minorBidi" w:hint="default"/>
          <w:color w:val="FF00FF"/>
        </w:rPr>
      </w:sdtEndPr>
      <w:sdtContent>
        <w:p w14:paraId="5EBE83B1"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所有者权益变动表项目注释</w:t>
          </w:r>
        </w:p>
        <w:p w14:paraId="4DCF175C" w14:textId="77777777" w:rsidR="00830E72" w:rsidRDefault="008344D8">
          <w:r>
            <w:rPr>
              <w:rFonts w:hint="eastAsia"/>
            </w:rPr>
            <w:t>说明对上年期末余额进行调整的“其他”项目名称及调整金额等事项：</w:t>
          </w:r>
        </w:p>
        <w:sdt>
          <w:sdtPr>
            <w:alias w:val="是否适用：所有者权益变动表项目注释[双击切换]"/>
            <w:tag w:val="_GBC_61e84760a3fd4a58bb2421e95114d9b8"/>
            <w:id w:val="909276940"/>
            <w:lock w:val="sdtContentLocked"/>
            <w:placeholder>
              <w:docPart w:val="GBC22222222222222222222222222222"/>
            </w:placeholder>
          </w:sdtPr>
          <w:sdtEndPr/>
          <w:sdtContent>
            <w:p w14:paraId="1CBFFA24" w14:textId="77777777" w:rsidR="00830E72" w:rsidRDefault="008344D8">
              <w:pPr>
                <w:rPr>
                  <w:color w:val="FF00FF"/>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所有权或使用权受到限制的资产"/>
        <w:tag w:val="_GBC_5707fab016f94974bd447e81a88f0183"/>
        <w:id w:val="-1468430915"/>
        <w:lock w:val="sdtLocked"/>
        <w:placeholder>
          <w:docPart w:val="GBC22222222222222222222222222222"/>
        </w:placeholder>
      </w:sdtPr>
      <w:sdtEndPr/>
      <w:sdtContent>
        <w:p w14:paraId="0BEC0921"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52ae2d0e78d54772b7a0dc510205909b"/>
            <w:id w:val="-1264613006"/>
            <w:lock w:val="sdtContentLocked"/>
            <w:placeholder>
              <w:docPart w:val="GBC22222222222222222222222222222"/>
            </w:placeholder>
          </w:sdtPr>
          <w:sdtEndPr/>
          <w:sdtContent>
            <w:p w14:paraId="7926E67D"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4654FC1" w14:textId="77777777" w:rsidR="00830E72" w:rsidRDefault="008344D8">
          <w:pPr>
            <w:pStyle w:val="Style118"/>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41b1006bd71a4064aa99aa2d8750f726"/>
              <w:id w:val="54137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065bcf44f5b34330834a869f23aa83bc"/>
              <w:id w:val="-4499409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3155"/>
            <w:gridCol w:w="3045"/>
            <w:gridCol w:w="2693"/>
          </w:tblGrid>
          <w:tr w:rsidR="00830E72" w14:paraId="3494DF56" w14:textId="77777777">
            <w:sdt>
              <w:sdtPr>
                <w:tag w:val="_PLD_e7174293a57c4a70b40b8a0fb698e34e"/>
                <w:id w:val="140081799"/>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14:paraId="1DB1932E" w14:textId="77777777" w:rsidR="00830E72" w:rsidRDefault="008344D8">
                    <w:pPr>
                      <w:jc w:val="center"/>
                      <w:rPr>
                        <w:szCs w:val="21"/>
                      </w:rPr>
                    </w:pPr>
                    <w:r>
                      <w:rPr>
                        <w:rFonts w:hint="eastAsia"/>
                        <w:szCs w:val="21"/>
                      </w:rPr>
                      <w:t>项目</w:t>
                    </w:r>
                  </w:p>
                </w:tc>
              </w:sdtContent>
            </w:sdt>
            <w:sdt>
              <w:sdtPr>
                <w:tag w:val="_PLD_67814dca9df1416c87e0ce7ca03c3bf6"/>
                <w:id w:val="-323899660"/>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14:paraId="40680D0C" w14:textId="77777777" w:rsidR="00830E72" w:rsidRDefault="008344D8">
                    <w:pPr>
                      <w:jc w:val="center"/>
                      <w:rPr>
                        <w:szCs w:val="21"/>
                      </w:rPr>
                    </w:pPr>
                    <w:r>
                      <w:rPr>
                        <w:rFonts w:hint="eastAsia"/>
                        <w:szCs w:val="21"/>
                      </w:rPr>
                      <w:t>期末账面价值</w:t>
                    </w:r>
                  </w:p>
                </w:tc>
              </w:sdtContent>
            </w:sdt>
            <w:sdt>
              <w:sdtPr>
                <w:tag w:val="_PLD_874205b57d36493284671995a440c448"/>
                <w:id w:val="-1966649343"/>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14:paraId="72C96E2E" w14:textId="77777777" w:rsidR="00830E72" w:rsidRDefault="008344D8">
                    <w:pPr>
                      <w:jc w:val="center"/>
                      <w:rPr>
                        <w:szCs w:val="21"/>
                      </w:rPr>
                    </w:pPr>
                    <w:r>
                      <w:rPr>
                        <w:rFonts w:hint="eastAsia"/>
                        <w:szCs w:val="21"/>
                      </w:rPr>
                      <w:t>受限原因</w:t>
                    </w:r>
                  </w:p>
                </w:tc>
              </w:sdtContent>
            </w:sdt>
          </w:tr>
          <w:tr w:rsidR="00830E72" w14:paraId="41D970EA" w14:textId="77777777">
            <w:sdt>
              <w:sdtPr>
                <w:tag w:val="_PLD_ea504ac4c8814083a63e01e1e73c7bb1"/>
                <w:id w:val="244392522"/>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14:paraId="4E48AD33" w14:textId="77777777" w:rsidR="00830E72" w:rsidRDefault="008344D8">
                    <w:pPr>
                      <w:rPr>
                        <w:szCs w:val="21"/>
                      </w:rPr>
                    </w:pPr>
                    <w:r>
                      <w:rPr>
                        <w:rFonts w:hint="eastAsia"/>
                        <w:szCs w:val="21"/>
                      </w:rPr>
                      <w:t>货币资金</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14:paraId="552957E4" w14:textId="77777777" w:rsidR="00830E72" w:rsidRDefault="008344D8">
                <w:pPr>
                  <w:jc w:val="right"/>
                  <w:rPr>
                    <w:szCs w:val="21"/>
                  </w:rPr>
                </w:pPr>
                <w:r>
                  <w:rPr>
                    <w:szCs w:val="21"/>
                  </w:rPr>
                  <w:t>85,429,717.01</w:t>
                </w: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2E1DA1EB" w14:textId="77777777" w:rsidR="00830E72" w:rsidRDefault="008344D8" w:rsidP="007211E6">
                <w:pPr>
                  <w:jc w:val="center"/>
                  <w:rPr>
                    <w:szCs w:val="21"/>
                  </w:rPr>
                </w:pPr>
                <w:r>
                  <w:rPr>
                    <w:rFonts w:hint="eastAsia"/>
                    <w:szCs w:val="21"/>
                  </w:rPr>
                  <w:t>保证金等</w:t>
                </w:r>
              </w:p>
            </w:tc>
          </w:tr>
          <w:sdt>
            <w:sdtPr>
              <w:rPr>
                <w:szCs w:val="21"/>
              </w:rPr>
              <w:alias w:val="所有权或使用权受到限制的资产明细"/>
              <w:tag w:val="_GBC_b386bbb44d7a46daaa4b82f327a68c3f"/>
              <w:id w:val="-1352635648"/>
              <w:lock w:val="sdtLocked"/>
            </w:sdtPr>
            <w:sdtEndPr>
              <w:rPr>
                <w:rFonts w:hint="eastAsia"/>
              </w:rPr>
            </w:sdtEndPr>
            <w:sdtContent>
              <w:tr w:rsidR="00830E72" w14:paraId="3D403182" w14:textId="77777777">
                <w:tc>
                  <w:tcPr>
                    <w:tcW w:w="1774" w:type="pct"/>
                    <w:tcBorders>
                      <w:top w:val="single" w:sz="6" w:space="0" w:color="auto"/>
                      <w:left w:val="single" w:sz="6" w:space="0" w:color="auto"/>
                      <w:bottom w:val="single" w:sz="4" w:space="0" w:color="auto"/>
                      <w:right w:val="single" w:sz="6" w:space="0" w:color="auto"/>
                    </w:tcBorders>
                    <w:shd w:val="clear" w:color="auto" w:fill="auto"/>
                  </w:tcPr>
                  <w:p w14:paraId="4DCD91DB" w14:textId="77777777" w:rsidR="00830E72" w:rsidRDefault="008344D8">
                    <w:pPr>
                      <w:rPr>
                        <w:szCs w:val="21"/>
                      </w:rPr>
                    </w:pPr>
                    <w:r>
                      <w:rPr>
                        <w:rFonts w:hint="eastAsia"/>
                        <w:szCs w:val="21"/>
                      </w:rPr>
                      <w:t>长期应收款</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62615805" w14:textId="77777777" w:rsidR="00830E72" w:rsidRDefault="008344D8">
                    <w:pPr>
                      <w:jc w:val="right"/>
                      <w:rPr>
                        <w:szCs w:val="21"/>
                      </w:rPr>
                    </w:pPr>
                    <w:r>
                      <w:rPr>
                        <w:szCs w:val="21"/>
                      </w:rPr>
                      <w:t>1,131,611,495.45</w:t>
                    </w:r>
                  </w:p>
                </w:tc>
                <w:tc>
                  <w:tcPr>
                    <w:tcW w:w="1514" w:type="pct"/>
                    <w:tcBorders>
                      <w:top w:val="single" w:sz="6" w:space="0" w:color="auto"/>
                      <w:left w:val="single" w:sz="6" w:space="0" w:color="auto"/>
                      <w:bottom w:val="single" w:sz="6" w:space="0" w:color="auto"/>
                      <w:right w:val="single" w:sz="6" w:space="0" w:color="auto"/>
                    </w:tcBorders>
                    <w:shd w:val="clear" w:color="auto" w:fill="auto"/>
                  </w:tcPr>
                  <w:p w14:paraId="4B7AB35F" w14:textId="77777777" w:rsidR="00830E72" w:rsidRDefault="008344D8" w:rsidP="007211E6">
                    <w:pPr>
                      <w:jc w:val="center"/>
                      <w:rPr>
                        <w:szCs w:val="21"/>
                      </w:rPr>
                    </w:pPr>
                    <w:r>
                      <w:rPr>
                        <w:rFonts w:hint="eastAsia"/>
                        <w:szCs w:val="21"/>
                      </w:rPr>
                      <w:t>质押</w:t>
                    </w:r>
                  </w:p>
                </w:tc>
              </w:tr>
            </w:sdtContent>
          </w:sdt>
          <w:sdt>
            <w:sdtPr>
              <w:rPr>
                <w:szCs w:val="21"/>
              </w:rPr>
              <w:alias w:val="所有权或使用权受到限制的资产明细"/>
              <w:tag w:val="_GBC_b386bbb44d7a46daaa4b82f327a68c3f"/>
              <w:id w:val="-505052566"/>
              <w:lock w:val="sdtLocked"/>
            </w:sdtPr>
            <w:sdtEndPr>
              <w:rPr>
                <w:rFonts w:hint="eastAsia"/>
              </w:rPr>
            </w:sdtEndPr>
            <w:sdtContent>
              <w:tr w:rsidR="00830E72" w14:paraId="2CBDC970" w14:textId="77777777">
                <w:tc>
                  <w:tcPr>
                    <w:tcW w:w="1774" w:type="pct"/>
                    <w:tcBorders>
                      <w:top w:val="single" w:sz="6" w:space="0" w:color="auto"/>
                      <w:left w:val="single" w:sz="6" w:space="0" w:color="auto"/>
                      <w:bottom w:val="single" w:sz="4" w:space="0" w:color="auto"/>
                      <w:right w:val="single" w:sz="6" w:space="0" w:color="auto"/>
                    </w:tcBorders>
                    <w:shd w:val="clear" w:color="auto" w:fill="auto"/>
                  </w:tcPr>
                  <w:p w14:paraId="62B81494" w14:textId="77777777" w:rsidR="00830E72" w:rsidRDefault="008344D8">
                    <w:pPr>
                      <w:rPr>
                        <w:szCs w:val="21"/>
                      </w:rPr>
                    </w:pPr>
                    <w:r>
                      <w:rPr>
                        <w:rFonts w:hint="eastAsia"/>
                        <w:szCs w:val="21"/>
                      </w:rPr>
                      <w:t>一年内到期的非流动资产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4AFA4F20" w14:textId="77777777" w:rsidR="00830E72" w:rsidRDefault="008344D8">
                    <w:pPr>
                      <w:jc w:val="right"/>
                      <w:rPr>
                        <w:szCs w:val="21"/>
                      </w:rPr>
                    </w:pPr>
                    <w:r>
                      <w:rPr>
                        <w:szCs w:val="21"/>
                      </w:rPr>
                      <w:t>31,137,084.71</w:t>
                    </w:r>
                  </w:p>
                </w:tc>
                <w:tc>
                  <w:tcPr>
                    <w:tcW w:w="1514" w:type="pct"/>
                    <w:tcBorders>
                      <w:top w:val="single" w:sz="6" w:space="0" w:color="auto"/>
                      <w:left w:val="single" w:sz="6" w:space="0" w:color="auto"/>
                      <w:bottom w:val="single" w:sz="6" w:space="0" w:color="auto"/>
                      <w:right w:val="single" w:sz="6" w:space="0" w:color="auto"/>
                    </w:tcBorders>
                    <w:shd w:val="clear" w:color="auto" w:fill="auto"/>
                  </w:tcPr>
                  <w:p w14:paraId="7FBA64E6" w14:textId="77777777" w:rsidR="00830E72" w:rsidRDefault="008344D8" w:rsidP="007211E6">
                    <w:pPr>
                      <w:jc w:val="center"/>
                      <w:rPr>
                        <w:szCs w:val="21"/>
                      </w:rPr>
                    </w:pPr>
                    <w:r>
                      <w:rPr>
                        <w:rFonts w:hint="eastAsia"/>
                        <w:szCs w:val="21"/>
                      </w:rPr>
                      <w:t>质押</w:t>
                    </w:r>
                  </w:p>
                </w:tc>
              </w:tr>
            </w:sdtContent>
          </w:sdt>
          <w:sdt>
            <w:sdtPr>
              <w:rPr>
                <w:szCs w:val="21"/>
              </w:rPr>
              <w:alias w:val="所有权或使用权受到限制的资产明细"/>
              <w:tag w:val="_GBC_b386bbb44d7a46daaa4b82f327a68c3f"/>
              <w:id w:val="854230660"/>
              <w:lock w:val="sdtLocked"/>
            </w:sdtPr>
            <w:sdtEndPr>
              <w:rPr>
                <w:rFonts w:hint="eastAsia"/>
              </w:rPr>
            </w:sdtEndPr>
            <w:sdtContent>
              <w:tr w:rsidR="00830E72" w14:paraId="4008A1A4" w14:textId="77777777">
                <w:tc>
                  <w:tcPr>
                    <w:tcW w:w="1774" w:type="pct"/>
                    <w:tcBorders>
                      <w:top w:val="single" w:sz="6" w:space="0" w:color="auto"/>
                      <w:left w:val="single" w:sz="6" w:space="0" w:color="auto"/>
                      <w:bottom w:val="single" w:sz="4" w:space="0" w:color="auto"/>
                      <w:right w:val="single" w:sz="6" w:space="0" w:color="auto"/>
                    </w:tcBorders>
                    <w:shd w:val="clear" w:color="auto" w:fill="auto"/>
                  </w:tcPr>
                  <w:p w14:paraId="07E58729" w14:textId="77777777" w:rsidR="00830E72" w:rsidRDefault="008344D8">
                    <w:pPr>
                      <w:rPr>
                        <w:szCs w:val="21"/>
                      </w:rPr>
                    </w:pPr>
                    <w:r>
                      <w:rPr>
                        <w:rFonts w:hint="eastAsia"/>
                        <w:szCs w:val="21"/>
                      </w:rPr>
                      <w:t>投资性房地产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0B7EEF96" w14:textId="77777777" w:rsidR="00830E72" w:rsidRDefault="008344D8">
                    <w:pPr>
                      <w:jc w:val="right"/>
                      <w:rPr>
                        <w:szCs w:val="21"/>
                      </w:rPr>
                    </w:pPr>
                    <w:r>
                      <w:rPr>
                        <w:szCs w:val="21"/>
                      </w:rPr>
                      <w:t>95,840,183.90</w:t>
                    </w:r>
                  </w:p>
                </w:tc>
                <w:tc>
                  <w:tcPr>
                    <w:tcW w:w="1514" w:type="pct"/>
                    <w:tcBorders>
                      <w:top w:val="single" w:sz="6" w:space="0" w:color="auto"/>
                      <w:left w:val="single" w:sz="6" w:space="0" w:color="auto"/>
                      <w:bottom w:val="single" w:sz="6" w:space="0" w:color="auto"/>
                      <w:right w:val="single" w:sz="6" w:space="0" w:color="auto"/>
                    </w:tcBorders>
                    <w:shd w:val="clear" w:color="auto" w:fill="auto"/>
                  </w:tcPr>
                  <w:p w14:paraId="1FBA101B" w14:textId="77777777" w:rsidR="00830E72" w:rsidRDefault="008344D8" w:rsidP="007211E6">
                    <w:pPr>
                      <w:jc w:val="center"/>
                      <w:rPr>
                        <w:szCs w:val="21"/>
                      </w:rPr>
                    </w:pPr>
                    <w:r>
                      <w:rPr>
                        <w:rFonts w:hint="eastAsia"/>
                        <w:szCs w:val="21"/>
                      </w:rPr>
                      <w:t>抵押</w:t>
                    </w:r>
                  </w:p>
                </w:tc>
              </w:tr>
            </w:sdtContent>
          </w:sdt>
          <w:tr w:rsidR="00830E72" w14:paraId="1685C5B4" w14:textId="77777777">
            <w:sdt>
              <w:sdtPr>
                <w:tag w:val="_PLD_82f734ac5ef74ac0a808bf747f7a4e5a"/>
                <w:id w:val="-1540894088"/>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262DF582" w14:textId="77777777" w:rsidR="00830E72" w:rsidRDefault="008344D8">
                    <w:pPr>
                      <w:jc w:val="center"/>
                      <w:rPr>
                        <w:szCs w:val="21"/>
                      </w:rPr>
                    </w:pPr>
                    <w:r>
                      <w:rPr>
                        <w:rFonts w:hint="eastAsia"/>
                        <w:szCs w:val="21"/>
                      </w:rPr>
                      <w:t>合计</w:t>
                    </w:r>
                  </w:p>
                </w:tc>
              </w:sdtContent>
            </w:sdt>
            <w:tc>
              <w:tcPr>
                <w:tcW w:w="1712" w:type="pct"/>
                <w:tcBorders>
                  <w:top w:val="single" w:sz="6" w:space="0" w:color="auto"/>
                  <w:left w:val="single" w:sz="4" w:space="0" w:color="auto"/>
                  <w:bottom w:val="single" w:sz="6" w:space="0" w:color="auto"/>
                  <w:right w:val="single" w:sz="4" w:space="0" w:color="auto"/>
                </w:tcBorders>
                <w:shd w:val="clear" w:color="auto" w:fill="auto"/>
              </w:tcPr>
              <w:p w14:paraId="4C304967" w14:textId="77777777" w:rsidR="00830E72" w:rsidRDefault="008344D8">
                <w:pPr>
                  <w:jc w:val="right"/>
                  <w:rPr>
                    <w:szCs w:val="21"/>
                  </w:rPr>
                </w:pPr>
                <w:r>
                  <w:rPr>
                    <w:szCs w:val="21"/>
                  </w:rPr>
                  <w:t>1,344,018,481.07</w:t>
                </w:r>
              </w:p>
            </w:tc>
            <w:tc>
              <w:tcPr>
                <w:tcW w:w="1514" w:type="pct"/>
                <w:tcBorders>
                  <w:top w:val="single" w:sz="6" w:space="0" w:color="auto"/>
                  <w:left w:val="single" w:sz="4" w:space="0" w:color="auto"/>
                  <w:bottom w:val="single" w:sz="6" w:space="0" w:color="auto"/>
                  <w:right w:val="single" w:sz="4" w:space="0" w:color="auto"/>
                </w:tcBorders>
                <w:shd w:val="clear" w:color="auto" w:fill="auto"/>
              </w:tcPr>
              <w:p w14:paraId="737CD1B3" w14:textId="77777777" w:rsidR="00830E72" w:rsidRDefault="008344D8">
                <w:pPr>
                  <w:jc w:val="center"/>
                  <w:rPr>
                    <w:szCs w:val="21"/>
                  </w:rPr>
                </w:pPr>
                <w:r>
                  <w:rPr>
                    <w:rFonts w:hint="eastAsia"/>
                    <w:szCs w:val="21"/>
                  </w:rPr>
                  <w:t>/</w:t>
                </w:r>
              </w:p>
            </w:tc>
          </w:tr>
        </w:tbl>
        <w:p w14:paraId="24FE3FAB" w14:textId="77777777" w:rsidR="00830E72" w:rsidRDefault="00D44830">
          <w:pPr>
            <w:rPr>
              <w:szCs w:val="21"/>
            </w:rPr>
          </w:pPr>
        </w:p>
      </w:sdtContent>
    </w:sdt>
    <w:bookmarkStart w:id="195" w:name="_Hlk42158948" w:displacedByCustomXml="next"/>
    <w:sdt>
      <w:sdtPr>
        <w:rPr>
          <w:rFonts w:ascii="宋体" w:hAnsi="宋体" w:cs="宋体" w:hint="eastAsia"/>
          <w:b w:val="0"/>
          <w:bCs w:val="0"/>
          <w:kern w:val="0"/>
          <w:szCs w:val="21"/>
        </w:rPr>
        <w:alias w:val="模块:外币货币性项目"/>
        <w:tag w:val="_GBC_7a80c9b78caf4e6686905c555fe61f9a"/>
        <w:id w:val="1429075772"/>
        <w:lock w:val="sdtLocked"/>
        <w:placeholder>
          <w:docPart w:val="GBC22222222222222222222222222222"/>
        </w:placeholder>
      </w:sdtPr>
      <w:sdtEndPr>
        <w:rPr>
          <w:rFonts w:hint="default"/>
        </w:rPr>
      </w:sdtEndPr>
      <w:sdtContent>
        <w:p w14:paraId="48DD3C37" w14:textId="77777777" w:rsidR="00830E72" w:rsidRDefault="008344D8">
          <w:pPr>
            <w:pStyle w:val="Style99"/>
            <w:numPr>
              <w:ilvl w:val="0"/>
              <w:numId w:val="45"/>
            </w:numPr>
            <w:tabs>
              <w:tab w:val="left" w:pos="504"/>
            </w:tabs>
            <w:rPr>
              <w:rFonts w:ascii="宋体" w:hAnsi="宋体"/>
              <w:szCs w:val="21"/>
            </w:rPr>
          </w:pPr>
          <w:r>
            <w:rPr>
              <w:rFonts w:ascii="宋体" w:hAnsi="宋体" w:hint="eastAsia"/>
              <w:szCs w:val="21"/>
            </w:rPr>
            <w:t>外币货币性项目</w:t>
          </w:r>
        </w:p>
        <w:p w14:paraId="6A5BF38D" w14:textId="77777777" w:rsidR="00830E72" w:rsidRDefault="008344D8">
          <w:pPr>
            <w:pStyle w:val="Style118"/>
            <w:numPr>
              <w:ilvl w:val="0"/>
              <w:numId w:val="77"/>
            </w:numPr>
            <w:tabs>
              <w:tab w:val="left" w:pos="700"/>
            </w:tabs>
            <w:spacing w:before="60" w:after="60"/>
            <w:ind w:firstLineChars="0"/>
            <w:jc w:val="left"/>
            <w:rPr>
              <w:rFonts w:ascii="宋体" w:hAnsi="宋体"/>
              <w:szCs w:val="21"/>
            </w:rPr>
          </w:pPr>
          <w:r>
            <w:rPr>
              <w:rStyle w:val="Style107"/>
              <w:rFonts w:ascii="宋体" w:hAnsi="宋体" w:hint="eastAsia"/>
              <w:szCs w:val="21"/>
            </w:rPr>
            <w:t>外币货币性项目</w:t>
          </w:r>
        </w:p>
        <w:sdt>
          <w:sdtPr>
            <w:alias w:val="是否适用：外币货币性项目[双击切换]"/>
            <w:tag w:val="_GBC_7b0870ec262840d78495babcff3639aa"/>
            <w:id w:val="1854143976"/>
            <w:lock w:val="sdtContentLocked"/>
            <w:placeholder>
              <w:docPart w:val="GBC22222222222222222222222222222"/>
            </w:placeholder>
          </w:sdtPr>
          <w:sdtEndPr/>
          <w:sdtContent>
            <w:p w14:paraId="649B65CD"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89D53CC" w14:textId="77777777" w:rsidR="00830E72" w:rsidRDefault="008344D8">
          <w:pPr>
            <w:pStyle w:val="Style118"/>
            <w:numPr>
              <w:ilvl w:val="0"/>
              <w:numId w:val="77"/>
            </w:numPr>
            <w:tabs>
              <w:tab w:val="left" w:pos="700"/>
            </w:tabs>
            <w:spacing w:before="60" w:after="60"/>
            <w:ind w:firstLineChars="0"/>
            <w:jc w:val="left"/>
            <w:rPr>
              <w:rFonts w:ascii="宋体" w:hAnsi="宋体"/>
              <w:b/>
              <w:szCs w:val="21"/>
            </w:rPr>
          </w:pPr>
          <w:r>
            <w:rPr>
              <w:rStyle w:val="Style107"/>
              <w:rFonts w:ascii="宋体" w:hAnsi="宋体" w:hint="eastAsia"/>
              <w:szCs w:val="21"/>
            </w:rPr>
            <w:t>境外</w:t>
          </w:r>
          <w:r>
            <w:rPr>
              <w:rFonts w:ascii="宋体" w:hAnsi="宋体" w:hint="eastAsia"/>
              <w:b/>
              <w:szCs w:val="21"/>
            </w:rPr>
            <w:t>经营实体说明，包括对于重要的境外经营实体，应披露其境外主要经营地、记账本位币及选择依据，记账本位币发生变化的还应披露原因</w:t>
          </w:r>
        </w:p>
        <w:p w14:paraId="06A48949" w14:textId="77777777" w:rsidR="00830E72" w:rsidRDefault="00D44830">
          <w:pPr>
            <w:rPr>
              <w:szCs w:val="21"/>
            </w:rPr>
          </w:pPr>
          <w:sdt>
            <w:sdtPr>
              <w:rPr>
                <w:szCs w:val="21"/>
              </w:rPr>
              <w:alias w:val="是否适用：境外经营实体主要报表项目的折算汇率[双击切换]"/>
              <w:tag w:val="_GBC_4ad16f5c306d4c6ead144dfd007fb925"/>
              <w:id w:val="1296792168"/>
              <w:lock w:val="sdtContentLocked"/>
              <w:placeholder>
                <w:docPart w:val="GBC22222222222222222222222222222"/>
              </w:placeholder>
            </w:sdtPr>
            <w:sdtEndPr/>
            <w:sdtContent>
              <w:r w:rsidR="008344D8">
                <w:rPr>
                  <w:szCs w:val="21"/>
                </w:rPr>
                <w:fldChar w:fldCharType="begin"/>
              </w:r>
              <w:r w:rsidR="008344D8">
                <w:rPr>
                  <w:szCs w:val="21"/>
                </w:rPr>
                <w:instrText xml:space="preserve"> MACROBUTTON  SnrToggleCheckbox □适用 </w:instrText>
              </w:r>
              <w:r w:rsidR="008344D8">
                <w:rPr>
                  <w:szCs w:val="21"/>
                </w:rPr>
                <w:fldChar w:fldCharType="end"/>
              </w:r>
              <w:r w:rsidR="008344D8">
                <w:rPr>
                  <w:szCs w:val="21"/>
                </w:rPr>
                <w:fldChar w:fldCharType="begin"/>
              </w:r>
              <w:r w:rsidR="008344D8">
                <w:rPr>
                  <w:szCs w:val="21"/>
                </w:rPr>
                <w:instrText xml:space="preserve"> MACROBUTTON  SnrToggleCheckbox √不适用 </w:instrText>
              </w:r>
              <w:r w:rsidR="008344D8">
                <w:rPr>
                  <w:szCs w:val="21"/>
                </w:rPr>
                <w:fldChar w:fldCharType="end"/>
              </w:r>
            </w:sdtContent>
          </w:sdt>
        </w:p>
      </w:sdtContent>
    </w:sdt>
    <w:bookmarkEnd w:id="195" w:displacedByCustomXml="next"/>
    <w:sdt>
      <w:sdtPr>
        <w:rPr>
          <w:rFonts w:ascii="宋体" w:hAnsi="宋体" w:cs="宋体" w:hint="eastAsia"/>
          <w:b w:val="0"/>
          <w:bCs w:val="0"/>
          <w:kern w:val="0"/>
          <w:szCs w:val="24"/>
        </w:rPr>
        <w:alias w:val="模块:按照套期类别披露套期及相关套期工具、被套期风险的相关的定性定"/>
        <w:tag w:val="_GBC_e37f7bfcfa2f4a9e92bdd5e8593a6fd8"/>
        <w:id w:val="-975437820"/>
        <w:lock w:val="sdtLocked"/>
        <w:placeholder>
          <w:docPart w:val="GBC22222222222222222222222222222"/>
        </w:placeholder>
      </w:sdtPr>
      <w:sdtEndPr>
        <w:rPr>
          <w:rFonts w:hint="default"/>
        </w:rPr>
      </w:sdtEndPr>
      <w:sdtContent>
        <w:p w14:paraId="713376A1" w14:textId="77777777" w:rsidR="00830E72" w:rsidRDefault="008344D8">
          <w:pPr>
            <w:pStyle w:val="Style99"/>
            <w:numPr>
              <w:ilvl w:val="0"/>
              <w:numId w:val="45"/>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bca8fe779ada470c87241e7b3e12387a"/>
            <w:id w:val="852307345"/>
            <w:lock w:val="sdtContentLocked"/>
            <w:placeholder>
              <w:docPart w:val="GBC22222222222222222222222222222"/>
            </w:placeholder>
          </w:sdtPr>
          <w:sdtEndPr/>
          <w:sdtContent>
            <w:p w14:paraId="5E5AF8C5"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政府补助"/>
        <w:tag w:val="_SEC_8b247fe8025b433290c47017eb23d965"/>
        <w:id w:val="-1824656110"/>
        <w:lock w:val="sdtLocked"/>
        <w:placeholder>
          <w:docPart w:val="GBC22222222222222222222222222222"/>
        </w:placeholder>
      </w:sdtPr>
      <w:sdtEndPr/>
      <w:sdtContent>
        <w:p w14:paraId="63068830" w14:textId="77777777" w:rsidR="00830E72" w:rsidRDefault="008344D8">
          <w:pPr>
            <w:pStyle w:val="Style99"/>
            <w:numPr>
              <w:ilvl w:val="0"/>
              <w:numId w:val="45"/>
            </w:numPr>
            <w:tabs>
              <w:tab w:val="left" w:pos="504"/>
            </w:tabs>
            <w:rPr>
              <w:rFonts w:ascii="宋体" w:hAnsi="宋体"/>
            </w:rPr>
          </w:pPr>
          <w:r>
            <w:rPr>
              <w:rFonts w:ascii="宋体" w:hAnsi="宋体" w:hint="eastAsia"/>
            </w:rPr>
            <w:t>政府</w:t>
          </w:r>
          <w:r>
            <w:rPr>
              <w:rFonts w:ascii="宋体" w:hAnsi="宋体" w:cs="宋体" w:hint="eastAsia"/>
              <w:bCs w:val="0"/>
              <w:kern w:val="0"/>
              <w:szCs w:val="24"/>
            </w:rPr>
            <w:t>补助</w:t>
          </w:r>
        </w:p>
        <w:p w14:paraId="0CA3857D" w14:textId="77777777" w:rsidR="00830E72" w:rsidRDefault="008344D8">
          <w:pPr>
            <w:pStyle w:val="Style100"/>
            <w:numPr>
              <w:ilvl w:val="0"/>
              <w:numId w:val="78"/>
            </w:numPr>
            <w:rPr>
              <w:rFonts w:ascii="宋体" w:hAnsi="宋体"/>
            </w:rPr>
          </w:pPr>
          <w:r>
            <w:rPr>
              <w:rFonts w:ascii="宋体" w:hAnsi="宋体" w:hint="eastAsia"/>
            </w:rPr>
            <w:t>政府补助基本情况</w:t>
          </w:r>
        </w:p>
        <w:sdt>
          <w:sdtPr>
            <w:rPr>
              <w:rFonts w:hint="eastAsia"/>
            </w:rPr>
            <w:alias w:val="是否适用：政府补助基本情况[双击切换]"/>
            <w:tag w:val="_GBC_8a025998848a4a4d930f199d57736e15"/>
            <w:id w:val="582874797"/>
            <w:lock w:val="sdtContentLocked"/>
            <w:placeholder>
              <w:docPart w:val="GBC22222222222222222222222222222"/>
            </w:placeholder>
          </w:sdtPr>
          <w:sdtEndPr/>
          <w:sdtContent>
            <w:p w14:paraId="7844BD09"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014FE0E" w14:textId="77777777" w:rsidR="00830E72" w:rsidRDefault="008344D8">
          <w:pPr>
            <w:jc w:val="right"/>
          </w:pPr>
          <w:r>
            <w:rPr>
              <w:rFonts w:hint="eastAsia"/>
            </w:rPr>
            <w:t>单位：</w:t>
          </w:r>
          <w:sdt>
            <w:sdtPr>
              <w:rPr>
                <w:rFonts w:hint="eastAsia"/>
              </w:rPr>
              <w:alias w:val="单位：政府补助基本情况"/>
              <w:tag w:val="_GBC_49d8ad9a78444187ab5ec6859fc38653"/>
              <w:id w:val="14242935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政府补助基本情况"/>
              <w:tag w:val="_GBC_6dc43bbe785a4771883308e15c8d77e2"/>
              <w:id w:val="20164240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Look w:val="04A0" w:firstRow="1" w:lastRow="0" w:firstColumn="1" w:lastColumn="0" w:noHBand="0" w:noVBand="1"/>
          </w:tblPr>
          <w:tblGrid>
            <w:gridCol w:w="2263"/>
            <w:gridCol w:w="2262"/>
            <w:gridCol w:w="2262"/>
            <w:gridCol w:w="2262"/>
          </w:tblGrid>
          <w:tr w:rsidR="00830E72" w14:paraId="7C5BF7A4" w14:textId="77777777">
            <w:sdt>
              <w:sdtPr>
                <w:tag w:val="_PLD_20198135e9724233ad4bece3169fd38a"/>
                <w:id w:val="-858201418"/>
                <w:lock w:val="sdtLocked"/>
              </w:sdtPr>
              <w:sdtEndPr/>
              <w:sdtContent>
                <w:tc>
                  <w:tcPr>
                    <w:tcW w:w="1250" w:type="pct"/>
                    <w:vAlign w:val="center"/>
                  </w:tcPr>
                  <w:p w14:paraId="40631542" w14:textId="77777777" w:rsidR="00830E72" w:rsidRDefault="008344D8">
                    <w:pPr>
                      <w:jc w:val="center"/>
                    </w:pPr>
                    <w:r>
                      <w:rPr>
                        <w:rFonts w:hint="eastAsia"/>
                      </w:rPr>
                      <w:t>种类</w:t>
                    </w:r>
                  </w:p>
                </w:tc>
              </w:sdtContent>
            </w:sdt>
            <w:sdt>
              <w:sdtPr>
                <w:tag w:val="_PLD_50674c48b51140b28f91e26b50ec3ca3"/>
                <w:id w:val="-1428648720"/>
                <w:lock w:val="sdtLocked"/>
              </w:sdtPr>
              <w:sdtEndPr/>
              <w:sdtContent>
                <w:tc>
                  <w:tcPr>
                    <w:tcW w:w="1250" w:type="pct"/>
                    <w:vAlign w:val="center"/>
                  </w:tcPr>
                  <w:p w14:paraId="34336B55" w14:textId="77777777" w:rsidR="00830E72" w:rsidRDefault="008344D8">
                    <w:pPr>
                      <w:jc w:val="center"/>
                    </w:pPr>
                    <w:r>
                      <w:rPr>
                        <w:rFonts w:hint="eastAsia"/>
                      </w:rPr>
                      <w:t>金额</w:t>
                    </w:r>
                  </w:p>
                </w:tc>
              </w:sdtContent>
            </w:sdt>
            <w:sdt>
              <w:sdtPr>
                <w:tag w:val="_PLD_89c889fd1e0e48039263b92a213ea66d"/>
                <w:id w:val="2031831402"/>
                <w:lock w:val="sdtLocked"/>
              </w:sdtPr>
              <w:sdtEndPr/>
              <w:sdtContent>
                <w:tc>
                  <w:tcPr>
                    <w:tcW w:w="1250" w:type="pct"/>
                    <w:vAlign w:val="center"/>
                  </w:tcPr>
                  <w:p w14:paraId="33A961A3" w14:textId="77777777" w:rsidR="00830E72" w:rsidRDefault="008344D8">
                    <w:pPr>
                      <w:jc w:val="center"/>
                    </w:pPr>
                    <w:r>
                      <w:rPr>
                        <w:rFonts w:hint="eastAsia"/>
                      </w:rPr>
                      <w:t>列报项目</w:t>
                    </w:r>
                  </w:p>
                </w:tc>
              </w:sdtContent>
            </w:sdt>
            <w:sdt>
              <w:sdtPr>
                <w:tag w:val="_PLD_edddb4c4d0cf4f88861cbb3e2b5c9ca7"/>
                <w:id w:val="1273369035"/>
                <w:lock w:val="sdtLocked"/>
              </w:sdtPr>
              <w:sdtEndPr/>
              <w:sdtContent>
                <w:tc>
                  <w:tcPr>
                    <w:tcW w:w="1250" w:type="pct"/>
                    <w:vAlign w:val="center"/>
                  </w:tcPr>
                  <w:p w14:paraId="0413882E" w14:textId="77777777" w:rsidR="00830E72" w:rsidRDefault="008344D8">
                    <w:pPr>
                      <w:jc w:val="center"/>
                    </w:pPr>
                    <w:r>
                      <w:rPr>
                        <w:rFonts w:hint="eastAsia"/>
                      </w:rPr>
                      <w:t>计入当期损益的金额</w:t>
                    </w:r>
                  </w:p>
                </w:tc>
              </w:sdtContent>
            </w:sdt>
          </w:tr>
          <w:sdt>
            <w:sdtPr>
              <w:rPr>
                <w:rFonts w:asciiTheme="minorHAnsi" w:eastAsiaTheme="minorEastAsia" w:hAnsiTheme="minorHAnsi" w:cstheme="minorBidi" w:hint="eastAsia"/>
                <w:kern w:val="2"/>
                <w:szCs w:val="22"/>
              </w:rPr>
              <w:alias w:val="政府补助基本情况明细"/>
              <w:tag w:val="_TUP_6721ef78150942db8758c3d102513424"/>
              <w:id w:val="1592737593"/>
              <w:lock w:val="sdtLocked"/>
            </w:sdtPr>
            <w:sdtEndPr/>
            <w:sdtContent>
              <w:tr w:rsidR="00830E72" w14:paraId="10080000" w14:textId="77777777">
                <w:tc>
                  <w:tcPr>
                    <w:tcW w:w="1250" w:type="pct"/>
                  </w:tcPr>
                  <w:p w14:paraId="6F3851DA" w14:textId="77777777" w:rsidR="00830E72" w:rsidRDefault="008344D8">
                    <w:pPr>
                      <w:jc w:val="left"/>
                    </w:pPr>
                    <w:r>
                      <w:rPr>
                        <w:rFonts w:asciiTheme="minorHAnsi" w:eastAsiaTheme="minorEastAsia" w:hAnsiTheme="minorHAnsi" w:cstheme="minorBidi" w:hint="eastAsia"/>
                        <w:kern w:val="2"/>
                        <w:szCs w:val="22"/>
                      </w:rPr>
                      <w:t>稳岗补贴</w:t>
                    </w:r>
                  </w:p>
                </w:tc>
                <w:tc>
                  <w:tcPr>
                    <w:tcW w:w="1250" w:type="pct"/>
                  </w:tcPr>
                  <w:p w14:paraId="5EA8FB06" w14:textId="77777777" w:rsidR="00830E72" w:rsidRDefault="008344D8">
                    <w:pPr>
                      <w:jc w:val="right"/>
                    </w:pPr>
                    <w:r>
                      <w:t>52,806.63</w:t>
                    </w:r>
                  </w:p>
                </w:tc>
                <w:tc>
                  <w:tcPr>
                    <w:tcW w:w="1250" w:type="pct"/>
                  </w:tcPr>
                  <w:p w14:paraId="13B30580" w14:textId="77777777" w:rsidR="00830E72" w:rsidRDefault="008344D8">
                    <w:pPr>
                      <w:jc w:val="left"/>
                    </w:pPr>
                    <w:r>
                      <w:rPr>
                        <w:rFonts w:hint="eastAsia"/>
                      </w:rPr>
                      <w:t>营业外收入</w:t>
                    </w:r>
                  </w:p>
                </w:tc>
                <w:tc>
                  <w:tcPr>
                    <w:tcW w:w="1250" w:type="pct"/>
                  </w:tcPr>
                  <w:p w14:paraId="55E6BDB1" w14:textId="77777777" w:rsidR="00830E72" w:rsidRDefault="008344D8">
                    <w:pPr>
                      <w:jc w:val="right"/>
                    </w:pPr>
                    <w:r>
                      <w:t>52,806.63</w:t>
                    </w:r>
                  </w:p>
                </w:tc>
              </w:tr>
            </w:sdtContent>
          </w:sdt>
          <w:sdt>
            <w:sdtPr>
              <w:rPr>
                <w:rFonts w:asciiTheme="minorHAnsi" w:eastAsiaTheme="minorEastAsia" w:hAnsiTheme="minorHAnsi" w:cstheme="minorBidi" w:hint="eastAsia"/>
                <w:kern w:val="2"/>
                <w:szCs w:val="22"/>
              </w:rPr>
              <w:alias w:val="政府补助基本情况明细"/>
              <w:tag w:val="_TUP_6721ef78150942db8758c3d102513424"/>
              <w:id w:val="327795992"/>
              <w:lock w:val="sdtLocked"/>
            </w:sdtPr>
            <w:sdtEndPr/>
            <w:sdtContent>
              <w:tr w:rsidR="00830E72" w14:paraId="753EF8BE" w14:textId="77777777">
                <w:tc>
                  <w:tcPr>
                    <w:tcW w:w="1250" w:type="pct"/>
                  </w:tcPr>
                  <w:p w14:paraId="1DF4CB88" w14:textId="77777777" w:rsidR="00830E72" w:rsidRDefault="008344D8">
                    <w:pPr>
                      <w:jc w:val="left"/>
                    </w:pPr>
                    <w:r>
                      <w:rPr>
                        <w:rFonts w:asciiTheme="minorHAnsi" w:eastAsiaTheme="minorEastAsia" w:hAnsiTheme="minorHAnsi" w:cstheme="minorBidi" w:hint="eastAsia"/>
                        <w:kern w:val="2"/>
                        <w:szCs w:val="22"/>
                      </w:rPr>
                      <w:t>抗洪救助金</w:t>
                    </w:r>
                  </w:p>
                </w:tc>
                <w:tc>
                  <w:tcPr>
                    <w:tcW w:w="1250" w:type="pct"/>
                  </w:tcPr>
                  <w:p w14:paraId="5330D77A" w14:textId="77777777" w:rsidR="00830E72" w:rsidRDefault="008344D8">
                    <w:pPr>
                      <w:jc w:val="right"/>
                    </w:pPr>
                    <w:r>
                      <w:t>104,941.29</w:t>
                    </w:r>
                  </w:p>
                </w:tc>
                <w:tc>
                  <w:tcPr>
                    <w:tcW w:w="1250" w:type="pct"/>
                  </w:tcPr>
                  <w:p w14:paraId="13C75092" w14:textId="77777777" w:rsidR="00830E72" w:rsidRDefault="008344D8">
                    <w:pPr>
                      <w:jc w:val="left"/>
                    </w:pPr>
                    <w:r>
                      <w:rPr>
                        <w:szCs w:val="21"/>
                      </w:rPr>
                      <w:t>营业外收入</w:t>
                    </w:r>
                  </w:p>
                </w:tc>
                <w:tc>
                  <w:tcPr>
                    <w:tcW w:w="1250" w:type="pct"/>
                  </w:tcPr>
                  <w:p w14:paraId="606A9E12" w14:textId="77777777" w:rsidR="00830E72" w:rsidRDefault="008344D8">
                    <w:pPr>
                      <w:jc w:val="right"/>
                    </w:pPr>
                    <w:r>
                      <w:t>104,941.29</w:t>
                    </w:r>
                  </w:p>
                </w:tc>
              </w:tr>
            </w:sdtContent>
          </w:sdt>
        </w:tbl>
        <w:p w14:paraId="0BD999EC" w14:textId="77777777" w:rsidR="00830E72" w:rsidRDefault="00830E72"/>
        <w:p w14:paraId="35F2A0D1" w14:textId="77777777" w:rsidR="00830E72" w:rsidRDefault="008344D8">
          <w:pPr>
            <w:pStyle w:val="Style100"/>
            <w:numPr>
              <w:ilvl w:val="0"/>
              <w:numId w:val="78"/>
            </w:numPr>
            <w:rPr>
              <w:rFonts w:ascii="宋体" w:hAnsi="宋体"/>
            </w:rPr>
          </w:pPr>
          <w:r>
            <w:rPr>
              <w:rFonts w:ascii="宋体" w:hAnsi="宋体" w:hint="eastAsia"/>
            </w:rPr>
            <w:t>政府补助退回情况</w:t>
          </w:r>
        </w:p>
        <w:sdt>
          <w:sdtPr>
            <w:alias w:val="是否适用：政府补助退回情况[双击切换]"/>
            <w:tag w:val="_GBC_d6d1c427ffcb427184f1234527bb5b16"/>
            <w:id w:val="-421182685"/>
            <w:lock w:val="sdtContentLocked"/>
            <w:placeholder>
              <w:docPart w:val="GBC22222222222222222222222222222"/>
            </w:placeholder>
          </w:sdtPr>
          <w:sdtEndPr/>
          <w:sdtContent>
            <w:p w14:paraId="3810409A"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合并财务报表项目注释其他需要说明的事项"/>
        <w:tag w:val="_GBC_f027b70d30154df58ffdc310123f3e1f"/>
        <w:id w:val="570856762"/>
        <w:lock w:val="sdtLocked"/>
        <w:placeholder>
          <w:docPart w:val="GBC22222222222222222222222222222"/>
        </w:placeholder>
      </w:sdtPr>
      <w:sdtEndPr/>
      <w:sdtContent>
        <w:p w14:paraId="628B2325" w14:textId="77777777" w:rsidR="00830E72" w:rsidRDefault="008344D8">
          <w:pPr>
            <w:pStyle w:val="Style99"/>
            <w:numPr>
              <w:ilvl w:val="0"/>
              <w:numId w:val="45"/>
            </w:numPr>
            <w:tabs>
              <w:tab w:val="left" w:pos="504"/>
            </w:tabs>
            <w:rPr>
              <w:rFonts w:ascii="宋体" w:hAnsi="宋体"/>
            </w:rPr>
          </w:pPr>
          <w:r>
            <w:rPr>
              <w:rFonts w:ascii="宋体" w:hAnsi="宋体" w:hint="eastAsia"/>
            </w:rPr>
            <w:t>其他</w:t>
          </w:r>
        </w:p>
        <w:sdt>
          <w:sdtPr>
            <w:alias w:val="是否适用：合并财务报表项目注释其他需要说明的事项[双击切换]"/>
            <w:tag w:val="_GBC_d9335575f6594653aa8718dc633c644c"/>
            <w:id w:val="-1699545513"/>
            <w:lock w:val="sdtContentLocked"/>
            <w:placeholder>
              <w:docPart w:val="GBC22222222222222222222222222222"/>
            </w:placeholder>
          </w:sdtPr>
          <w:sdtEndPr/>
          <w:sdtContent>
            <w:p w14:paraId="0ED01C0F"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0D12837" w14:textId="77777777" w:rsidR="00830E72" w:rsidRDefault="008344D8">
      <w:pPr>
        <w:pStyle w:val="2CharCharChar"/>
        <w:numPr>
          <w:ilvl w:val="0"/>
          <w:numId w:val="32"/>
        </w:numPr>
        <w:ind w:left="422" w:hanging="422"/>
        <w:rPr>
          <w:rFonts w:ascii="宋体" w:hAnsi="宋体"/>
        </w:rPr>
      </w:pPr>
      <w:r>
        <w:rPr>
          <w:rFonts w:ascii="宋体" w:hAnsi="宋体" w:hint="eastAsia"/>
        </w:rPr>
        <w:t>合并范围的变更</w:t>
      </w:r>
    </w:p>
    <w:p w14:paraId="5300ABBB" w14:textId="77777777" w:rsidR="00830E72" w:rsidRDefault="008344D8">
      <w:pPr>
        <w:pStyle w:val="Style99"/>
        <w:numPr>
          <w:ilvl w:val="0"/>
          <w:numId w:val="79"/>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2f9a65b0b4644b14ab5af1407e6467f1"/>
        <w:id w:val="-1353873615"/>
        <w:lock w:val="sdtContentLocked"/>
        <w:placeholder>
          <w:docPart w:val="GBC22222222222222222222222222222"/>
        </w:placeholder>
      </w:sdtPr>
      <w:sdtEndPr/>
      <w:sdtContent>
        <w:p w14:paraId="5BC91866" w14:textId="77777777" w:rsidR="00830E72" w:rsidRDefault="008344D8">
          <w:pPr>
            <w:rPr>
              <w:rFonts w:cstheme="minorBidi"/>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CB9D75F" w14:textId="77777777" w:rsidR="00830E72" w:rsidRDefault="008344D8">
      <w:pPr>
        <w:pStyle w:val="Style99"/>
        <w:numPr>
          <w:ilvl w:val="0"/>
          <w:numId w:val="79"/>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cde296136a1d4f2094eb79d21291eae2"/>
        <w:id w:val="-402442500"/>
        <w:lock w:val="sdtContentLocked"/>
        <w:placeholder>
          <w:docPart w:val="GBC22222222222222222222222222222"/>
        </w:placeholder>
      </w:sdtPr>
      <w:sdtEndPr/>
      <w:sdtContent>
        <w:p w14:paraId="10883AF2" w14:textId="77777777" w:rsidR="00830E72" w:rsidRDefault="008344D8">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Arial" w:hint="eastAsia"/>
          <w:b w:val="0"/>
          <w:bCs w:val="0"/>
          <w:kern w:val="0"/>
          <w:szCs w:val="21"/>
        </w:rPr>
        <w:alias w:val="模块:反向购买"/>
        <w:tag w:val="_SEC_e0818786830d42ce99957d3ef113691a"/>
        <w:id w:val="930705381"/>
        <w:lock w:val="sdtLocked"/>
        <w:placeholder>
          <w:docPart w:val="GBC22222222222222222222222222222"/>
        </w:placeholder>
      </w:sdtPr>
      <w:sdtEndPr>
        <w:rPr>
          <w:rFonts w:hint="default"/>
        </w:rPr>
      </w:sdtEndPr>
      <w:sdtContent>
        <w:p w14:paraId="554A0AD0" w14:textId="77777777" w:rsidR="00830E72" w:rsidRDefault="008344D8">
          <w:pPr>
            <w:pStyle w:val="Style99"/>
            <w:numPr>
              <w:ilvl w:val="0"/>
              <w:numId w:val="79"/>
            </w:numPr>
            <w:rPr>
              <w:rFonts w:ascii="宋体" w:hAnsi="宋体" w:cs="Arial"/>
              <w:szCs w:val="21"/>
            </w:rPr>
          </w:pPr>
          <w:r>
            <w:rPr>
              <w:rFonts w:ascii="宋体" w:hAnsi="宋体" w:cs="Arial" w:hint="eastAsia"/>
              <w:szCs w:val="21"/>
            </w:rPr>
            <w:t>反向购买</w:t>
          </w:r>
        </w:p>
        <w:sdt>
          <w:sdtPr>
            <w:alias w:val="是否适用：反向购买[双击切换]"/>
            <w:tag w:val="_GBC_973cde3cea5d460790de47cc49169bde"/>
            <w:id w:val="-1541742702"/>
            <w:lock w:val="sdtContentLocked"/>
            <w:placeholder>
              <w:docPart w:val="GBC22222222222222222222222222222"/>
            </w:placeholder>
          </w:sdtPr>
          <w:sdtEndPr/>
          <w:sdtContent>
            <w:p w14:paraId="148DB08C"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ABA9C51" w14:textId="77777777" w:rsidR="00830E72" w:rsidRDefault="00D44830">
          <w:pPr>
            <w:rPr>
              <w:rFonts w:cs="Arial"/>
              <w:szCs w:val="21"/>
            </w:rPr>
          </w:pPr>
        </w:p>
      </w:sdtContent>
    </w:sdt>
    <w:sdt>
      <w:sdtPr>
        <w:rPr>
          <w:rFonts w:ascii="宋体" w:hAnsi="宋体" w:cs="Arial" w:hint="eastAsia"/>
          <w:b w:val="0"/>
          <w:bCs w:val="0"/>
          <w:kern w:val="0"/>
          <w:szCs w:val="21"/>
        </w:rPr>
        <w:alias w:val="模块:处置子公司"/>
        <w:tag w:val="_GBC_cc6d41993eca4369a3cdb3c33d4f3299"/>
        <w:id w:val="462613420"/>
        <w:lock w:val="sdtLocked"/>
        <w:placeholder>
          <w:docPart w:val="GBC22222222222222222222222222222"/>
        </w:placeholder>
      </w:sdtPr>
      <w:sdtEndPr>
        <w:rPr>
          <w:rFonts w:cs="宋体"/>
          <w:color w:val="000000"/>
        </w:rPr>
      </w:sdtEndPr>
      <w:sdtContent>
        <w:p w14:paraId="040B7E69" w14:textId="77777777" w:rsidR="00830E72" w:rsidRDefault="008344D8">
          <w:pPr>
            <w:pStyle w:val="Style99"/>
            <w:numPr>
              <w:ilvl w:val="0"/>
              <w:numId w:val="79"/>
            </w:numPr>
            <w:rPr>
              <w:rFonts w:ascii="宋体" w:hAnsi="宋体" w:cs="Arial"/>
              <w:szCs w:val="21"/>
            </w:rPr>
          </w:pPr>
          <w:r>
            <w:rPr>
              <w:rFonts w:ascii="宋体" w:hAnsi="宋体" w:cs="Arial" w:hint="eastAsia"/>
              <w:szCs w:val="21"/>
            </w:rPr>
            <w:t>处置子公司</w:t>
          </w:r>
        </w:p>
        <w:p w14:paraId="47FD3159" w14:textId="77777777" w:rsidR="00830E72" w:rsidRDefault="008344D8">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a2b81d1c138141d5bea164d8b7f9ce19"/>
            <w:id w:val="1902330951"/>
            <w:lock w:val="sdtContentLocked"/>
            <w:placeholder>
              <w:docPart w:val="GBC22222222222222222222222222222"/>
            </w:placeholder>
          </w:sdtPr>
          <w:sdtEndPr/>
          <w:sdtContent>
            <w:p w14:paraId="575B0DCE" w14:textId="77777777" w:rsidR="00830E72" w:rsidRDefault="008344D8">
              <w:pPr>
                <w:rPr>
                  <w:rFonts w:cs="Arial"/>
                  <w:color w:val="000000"/>
                  <w:szCs w:val="21"/>
                </w:rPr>
              </w:pPr>
              <w:r>
                <w:rPr>
                  <w:rFonts w:cs="Arial"/>
                  <w:szCs w:val="21"/>
                </w:rPr>
                <w:fldChar w:fldCharType="begin"/>
              </w:r>
              <w:r>
                <w:rPr>
                  <w:rFonts w:cs="Arial"/>
                  <w:szCs w:val="21"/>
                </w:rPr>
                <w:instrText>MACROBUTTON  SnrToggleCheckbox □适用</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5B2D75F2" w14:textId="77777777" w:rsidR="00830E72" w:rsidRDefault="008344D8">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28bcdbd3ff45497eb8fc02428c0c76e4"/>
            <w:id w:val="2019885836"/>
            <w:lock w:val="sdtContentLocked"/>
            <w:placeholder>
              <w:docPart w:val="GBC22222222222222222222222222222"/>
            </w:placeholder>
          </w:sdtPr>
          <w:sdtEndPr/>
          <w:sdtContent>
            <w:p w14:paraId="7A12A425" w14:textId="77777777" w:rsidR="00830E72" w:rsidRDefault="008344D8">
              <w:pPr>
                <w:rPr>
                  <w:color w:val="000000"/>
                  <w:szCs w:val="21"/>
                </w:rPr>
              </w:pPr>
              <w:r>
                <w:rPr>
                  <w:rFonts w:cs="Arial"/>
                  <w:color w:val="000000"/>
                  <w:szCs w:val="21"/>
                </w:rPr>
                <w:fldChar w:fldCharType="begin"/>
              </w:r>
              <w:r>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Pr>
                  <w:rFonts w:cs="Arial"/>
                  <w:color w:val="000000"/>
                  <w:szCs w:val="21"/>
                </w:rPr>
                <w:instrText xml:space="preserve"> MACROBUTTON  SnrToggleCheckbox √不适用 </w:instrText>
              </w:r>
              <w:r>
                <w:rPr>
                  <w:rFonts w:cs="Arial"/>
                  <w:color w:val="000000"/>
                  <w:szCs w:val="21"/>
                </w:rPr>
                <w:fldChar w:fldCharType="end"/>
              </w:r>
            </w:p>
          </w:sdtContent>
        </w:sdt>
      </w:sdtContent>
    </w:sdt>
    <w:sdt>
      <w:sdtPr>
        <w:rPr>
          <w:rFonts w:ascii="Times New Roman" w:hAnsi="Times New Roman" w:cs="Arial" w:hint="eastAsia"/>
          <w:kern w:val="2"/>
          <w:sz w:val="20"/>
          <w:szCs w:val="21"/>
        </w:rPr>
        <w:alias w:val="模块:是否存在通过多次交易分步处置对子公司投资且在本期丧失控制权的"/>
        <w:tag w:val="_GBC_4d8df8ad82924ee296922a66106c2fad"/>
        <w:id w:val="-1135104633"/>
        <w:lock w:val="sdtLocked"/>
        <w:placeholder>
          <w:docPart w:val="GBC22222222222222222222222222222"/>
        </w:placeholder>
      </w:sdtPr>
      <w:sdtEndPr>
        <w:rPr>
          <w:rFonts w:cs="Times New Roman" w:hint="default"/>
          <w:color w:val="000000"/>
        </w:rPr>
      </w:sdtEndPr>
      <w:sdtContent>
        <w:p w14:paraId="38301A79" w14:textId="77777777" w:rsidR="00830E72" w:rsidRDefault="008344D8">
          <w:pPr>
            <w:rPr>
              <w:rFonts w:cs="Arial"/>
              <w:szCs w:val="21"/>
            </w:rPr>
          </w:pPr>
          <w:r>
            <w:rPr>
              <w:rFonts w:cs="Arial" w:hint="eastAsia"/>
              <w:szCs w:val="21"/>
            </w:rPr>
            <w:t>是否存在通过多次交易分步处置对子公司投资且在本期丧失控制权的情形</w:t>
          </w:r>
        </w:p>
        <w:sdt>
          <w:sdtPr>
            <w:rPr>
              <w:rFonts w:ascii="宋体" w:hAnsi="宋体" w:hint="eastAsia"/>
            </w:rPr>
            <w:alias w:val="是否存在通过多次交易分步处置对子公司投资且在本期丧失控制权的情形[双击切换]"/>
            <w:tag w:val="_GBC_af0bdb782b8c4c81b7d0f6f588b3cf6b"/>
            <w:id w:val="1620876861"/>
            <w:lock w:val="sdtContentLocked"/>
            <w:placeholder>
              <w:docPart w:val="GBC22222222222222222222222222222"/>
            </w:placeholder>
          </w:sdtPr>
          <w:sdtEndPr/>
          <w:sdtContent>
            <w:p w14:paraId="287477B0" w14:textId="77777777" w:rsidR="00830E72" w:rsidRDefault="008344D8">
              <w:pPr>
                <w:pStyle w:val="Style116"/>
                <w:rPr>
                  <w:rFonts w:ascii="宋体" w:hAnsi="宋体"/>
                  <w:color w:val="000000"/>
                </w:rPr>
              </w:pPr>
              <w:r>
                <w:rPr>
                  <w:rFonts w:ascii="宋体" w:hAnsi="宋体"/>
                  <w:color w:val="000000"/>
                </w:rPr>
                <w:fldChar w:fldCharType="begin"/>
              </w:r>
              <w:r>
                <w:rPr>
                  <w:rFonts w:ascii="宋体" w:hAnsi="宋体"/>
                  <w:color w:val="000000"/>
                </w:rPr>
                <w:instrText>MACROBUTTON  SnrToggleCheckbox □适用</w:instrText>
              </w:r>
              <w:r>
                <w:rPr>
                  <w:rFonts w:ascii="宋体" w:hAnsi="宋体"/>
                  <w:color w:val="000000"/>
                </w:rPr>
                <w:fldChar w:fldCharType="end"/>
              </w:r>
              <w:r>
                <w:rPr>
                  <w:rFonts w:ascii="宋体" w:hAnsi="宋体"/>
                  <w:color w:val="000000"/>
                </w:rPr>
                <w:fldChar w:fldCharType="begin"/>
              </w:r>
              <w:r>
                <w:rPr>
                  <w:rFonts w:ascii="宋体" w:hAnsi="宋体"/>
                  <w:color w:val="000000"/>
                </w:rPr>
                <w:instrText xml:space="preserve"> MACROBUTTON  SnrToggleCheckbox √不适用 </w:instrText>
              </w:r>
              <w:r>
                <w:rPr>
                  <w:rFonts w:ascii="宋体" w:hAnsi="宋体"/>
                  <w:color w:val="000000"/>
                </w:rPr>
                <w:fldChar w:fldCharType="end"/>
              </w:r>
            </w:p>
          </w:sdtContent>
        </w:sdt>
      </w:sdtContent>
    </w:sdt>
    <w:sdt>
      <w:sdtPr>
        <w:rPr>
          <w:rFonts w:ascii="宋体" w:hAnsi="宋体" w:cs="Arial" w:hint="eastAsia"/>
          <w:b w:val="0"/>
          <w:bCs w:val="0"/>
          <w:color w:val="000000"/>
          <w:kern w:val="0"/>
          <w:szCs w:val="24"/>
        </w:rPr>
        <w:alias w:val="模块:其他原因的合并范围变动"/>
        <w:tag w:val="_GBC_c61d869cb31c439992bb2118c8eaac1e"/>
        <w:id w:val="582803722"/>
        <w:lock w:val="sdtLocked"/>
        <w:placeholder>
          <w:docPart w:val="GBC22222222222222222222222222222"/>
        </w:placeholder>
      </w:sdtPr>
      <w:sdtEndPr/>
      <w:sdtContent>
        <w:p w14:paraId="17206BB7" w14:textId="77777777" w:rsidR="00830E72" w:rsidRDefault="008344D8">
          <w:pPr>
            <w:pStyle w:val="Style99"/>
            <w:numPr>
              <w:ilvl w:val="0"/>
              <w:numId w:val="79"/>
            </w:numPr>
            <w:rPr>
              <w:rFonts w:ascii="宋体" w:hAnsi="宋体" w:cs="Arial"/>
              <w:color w:val="000000"/>
            </w:rPr>
          </w:pPr>
          <w:r>
            <w:rPr>
              <w:rFonts w:ascii="宋体" w:hAnsi="宋体" w:cs="Arial" w:hint="eastAsia"/>
              <w:color w:val="000000"/>
            </w:rPr>
            <w:t>其他原因的合并范围变动</w:t>
          </w:r>
        </w:p>
        <w:p w14:paraId="51D0F79D" w14:textId="77777777" w:rsidR="00830E72" w:rsidRDefault="008344D8">
          <w:r>
            <w:rPr>
              <w:rFonts w:hint="eastAsia"/>
            </w:rPr>
            <w:t>说明其他原因导致的合并范围变动（如，新设子公司、清算子公司等）及其相关情况：</w:t>
          </w:r>
        </w:p>
        <w:sdt>
          <w:sdtPr>
            <w:alias w:val="是否适用：其他原因导致的合并范围变动及其相关情况[双击切换]"/>
            <w:tag w:val="_GBC_55cbf4f78793498cb1532f08bfbb61f4"/>
            <w:id w:val="-1357728468"/>
            <w:lock w:val="sdtLocked"/>
            <w:placeholder>
              <w:docPart w:val="GBC22222222222222222222222222222"/>
            </w:placeholder>
          </w:sdtPr>
          <w:sdtEndPr/>
          <w:sdtContent>
            <w:p w14:paraId="58B81B59" w14:textId="77777777" w:rsidR="00830E72" w:rsidRDefault="008344D8">
              <w:pPr>
                <w:rPr>
                  <w:rFonts w:cs="Arial"/>
                  <w:color w:val="00000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Arial" w:hint="eastAsia"/>
          <w:b w:val="0"/>
          <w:bCs w:val="0"/>
          <w:color w:val="000000"/>
          <w:kern w:val="0"/>
          <w:szCs w:val="24"/>
        </w:rPr>
        <w:alias w:val="模块:同一控制下企业合并其他"/>
        <w:tag w:val="_GBC_8ddcb59af8af49d295c61727d65b8301"/>
        <w:id w:val="-35432122"/>
        <w:lock w:val="sdtLocked"/>
        <w:placeholder>
          <w:docPart w:val="GBC22222222222222222222222222222"/>
        </w:placeholder>
      </w:sdtPr>
      <w:sdtEndPr/>
      <w:sdtContent>
        <w:p w14:paraId="29FE12F4" w14:textId="77777777" w:rsidR="00830E72" w:rsidRDefault="008344D8">
          <w:pPr>
            <w:pStyle w:val="Style99"/>
            <w:numPr>
              <w:ilvl w:val="0"/>
              <w:numId w:val="79"/>
            </w:numPr>
            <w:rPr>
              <w:rFonts w:ascii="宋体" w:hAnsi="宋体" w:cs="Arial"/>
              <w:color w:val="000000"/>
            </w:rPr>
          </w:pPr>
          <w:r>
            <w:rPr>
              <w:rFonts w:ascii="宋体" w:hAnsi="宋体" w:cs="Arial" w:hint="eastAsia"/>
              <w:color w:val="000000"/>
            </w:rPr>
            <w:t>其他</w:t>
          </w:r>
        </w:p>
        <w:sdt>
          <w:sdtPr>
            <w:alias w:val="是否适用：合并范围的变更-其他说明[双击切换]"/>
            <w:tag w:val="_GBC_cca0ea12df6c44878cdcbeced06ed993"/>
            <w:id w:val="-956090436"/>
            <w:lock w:val="sdtLocked"/>
            <w:placeholder>
              <w:docPart w:val="GBC22222222222222222222222222222"/>
            </w:placeholder>
          </w:sdtPr>
          <w:sdtEndPr/>
          <w:sdtContent>
            <w:p w14:paraId="1329EA84" w14:textId="77777777" w:rsidR="00830E72" w:rsidRDefault="008344D8">
              <w:pPr>
                <w:rPr>
                  <w:rFonts w:cs="Arial"/>
                  <w:color w:val="00000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A16958E" w14:textId="77777777" w:rsidR="00830E72" w:rsidRDefault="008344D8">
      <w:pPr>
        <w:pStyle w:val="2CharCharChar"/>
        <w:numPr>
          <w:ilvl w:val="0"/>
          <w:numId w:val="32"/>
        </w:numPr>
        <w:ind w:left="422" w:hanging="422"/>
        <w:rPr>
          <w:rFonts w:ascii="宋体" w:hAnsi="宋体"/>
        </w:rPr>
      </w:pPr>
      <w:r>
        <w:rPr>
          <w:rFonts w:ascii="宋体" w:hAnsi="宋体" w:hint="eastAsia"/>
        </w:rPr>
        <w:t>在其他主体中的权益</w:t>
      </w:r>
    </w:p>
    <w:p w14:paraId="5F744CFD" w14:textId="77777777" w:rsidR="00830E72" w:rsidRDefault="008344D8">
      <w:pPr>
        <w:pStyle w:val="Style99"/>
        <w:numPr>
          <w:ilvl w:val="2"/>
          <w:numId w:val="80"/>
        </w:numPr>
        <w:rPr>
          <w:rFonts w:ascii="宋体" w:hAnsi="宋体"/>
        </w:rPr>
      </w:pPr>
      <w:r>
        <w:rPr>
          <w:rFonts w:ascii="宋体" w:hAnsi="宋体" w:hint="eastAsia"/>
        </w:rPr>
        <w:t>在子公司中的权益</w:t>
      </w:r>
    </w:p>
    <w:sdt>
      <w:sdtPr>
        <w:rPr>
          <w:rFonts w:ascii="宋体" w:hAnsi="宋体" w:cs="宋体" w:hint="eastAsia"/>
          <w:b w:val="0"/>
          <w:bCs w:val="0"/>
          <w:kern w:val="0"/>
          <w:szCs w:val="24"/>
        </w:rPr>
        <w:alias w:val="模块:企业集团的构成"/>
        <w:tag w:val="_GBC_47f8b786d9024ebb977349f022d18c1c"/>
        <w:id w:val="-1327585892"/>
        <w:lock w:val="sdtLocked"/>
        <w:placeholder>
          <w:docPart w:val="GBC22222222222222222222222222222"/>
        </w:placeholder>
      </w:sdtPr>
      <w:sdtEndPr>
        <w:rPr>
          <w:rFonts w:cstheme="minorBidi" w:hint="default"/>
          <w:szCs w:val="21"/>
        </w:rPr>
      </w:sdtEndPr>
      <w:sdtContent>
        <w:p w14:paraId="0BBA6F0A" w14:textId="77777777" w:rsidR="00830E72" w:rsidRDefault="008344D8">
          <w:pPr>
            <w:pStyle w:val="Style100"/>
            <w:numPr>
              <w:ilvl w:val="3"/>
              <w:numId w:val="81"/>
            </w:numPr>
            <w:tabs>
              <w:tab w:val="left" w:pos="644"/>
            </w:tabs>
            <w:rPr>
              <w:rFonts w:ascii="宋体" w:hAnsi="宋体"/>
            </w:rPr>
          </w:pPr>
          <w:r>
            <w:rPr>
              <w:rFonts w:ascii="宋体" w:hAnsi="宋体" w:hint="eastAsia"/>
            </w:rPr>
            <w:t>企业集团的构成</w:t>
          </w:r>
        </w:p>
        <w:sdt>
          <w:sdtPr>
            <w:alias w:val="是否适用：企业集团的构成[双击切换]"/>
            <w:tag w:val="_GBC_34a27c9c622e483cb4651d6ff3bc0d5a"/>
            <w:id w:val="-1823647832"/>
            <w:lock w:val="sdtLocked"/>
            <w:placeholder>
              <w:docPart w:val="GBC22222222222222222222222222222"/>
            </w:placeholder>
          </w:sdtPr>
          <w:sdtEndPr/>
          <w:sdtContent>
            <w:p w14:paraId="0A42800B"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039"/>
            <w:gridCol w:w="994"/>
            <w:gridCol w:w="2127"/>
            <w:gridCol w:w="992"/>
            <w:gridCol w:w="709"/>
            <w:gridCol w:w="1994"/>
          </w:tblGrid>
          <w:tr w:rsidR="00830E72" w14:paraId="6BE2BDD7" w14:textId="77777777">
            <w:trPr>
              <w:trHeight w:val="247"/>
            </w:trPr>
            <w:sdt>
              <w:sdtPr>
                <w:tag w:val="_PLD_e6e24505838941c88a7f70e573a1261c"/>
                <w:id w:val="1091817294"/>
                <w:lock w:val="sdtLocked"/>
              </w:sdtPr>
              <w:sdtEndPr/>
              <w:sdtContent>
                <w:tc>
                  <w:tcPr>
                    <w:tcW w:w="659" w:type="pct"/>
                    <w:vMerge w:val="restart"/>
                    <w:shd w:val="clear" w:color="auto" w:fill="auto"/>
                    <w:vAlign w:val="center"/>
                  </w:tcPr>
                  <w:p w14:paraId="3436DC52" w14:textId="77777777" w:rsidR="00830E72" w:rsidRDefault="008344D8">
                    <w:pPr>
                      <w:jc w:val="center"/>
                      <w:rPr>
                        <w:rFonts w:cs="Arial"/>
                        <w:szCs w:val="21"/>
                        <w:lang w:val="en-GB"/>
                      </w:rPr>
                    </w:pPr>
                    <w:r>
                      <w:rPr>
                        <w:rFonts w:cs="Arial" w:hint="eastAsia"/>
                        <w:szCs w:val="21"/>
                        <w:lang w:val="en-GB"/>
                      </w:rPr>
                      <w:t>子公司</w:t>
                    </w:r>
                  </w:p>
                  <w:p w14:paraId="37AF03B7" w14:textId="77777777" w:rsidR="00830E72" w:rsidRDefault="008344D8">
                    <w:pPr>
                      <w:jc w:val="center"/>
                      <w:rPr>
                        <w:rFonts w:cs="Arial"/>
                        <w:szCs w:val="21"/>
                      </w:rPr>
                    </w:pPr>
                    <w:r>
                      <w:rPr>
                        <w:rFonts w:cs="Arial" w:hint="eastAsia"/>
                        <w:szCs w:val="21"/>
                        <w:lang w:val="en-GB"/>
                      </w:rPr>
                      <w:t>名称</w:t>
                    </w:r>
                  </w:p>
                </w:tc>
              </w:sdtContent>
            </w:sdt>
            <w:sdt>
              <w:sdtPr>
                <w:tag w:val="_PLD_056e18f052024978add90fe8aacf887d"/>
                <w:id w:val="1119643605"/>
                <w:lock w:val="sdtLocked"/>
              </w:sdtPr>
              <w:sdtEndPr/>
              <w:sdtContent>
                <w:tc>
                  <w:tcPr>
                    <w:tcW w:w="574" w:type="pct"/>
                    <w:vMerge w:val="restart"/>
                    <w:shd w:val="clear" w:color="auto" w:fill="auto"/>
                    <w:vAlign w:val="center"/>
                  </w:tcPr>
                  <w:p w14:paraId="502E59B9" w14:textId="77777777" w:rsidR="00830E72" w:rsidRDefault="008344D8">
                    <w:pPr>
                      <w:jc w:val="center"/>
                      <w:rPr>
                        <w:rFonts w:cs="Arial"/>
                        <w:szCs w:val="21"/>
                      </w:rPr>
                    </w:pPr>
                    <w:r>
                      <w:rPr>
                        <w:rFonts w:cs="Arial" w:hint="eastAsia"/>
                        <w:szCs w:val="21"/>
                        <w:lang w:val="en-GB"/>
                      </w:rPr>
                      <w:t>主要经营地</w:t>
                    </w:r>
                  </w:p>
                </w:tc>
              </w:sdtContent>
            </w:sdt>
            <w:sdt>
              <w:sdtPr>
                <w:tag w:val="_PLD_591af8ff23104790a7ac5dbb3278e185"/>
                <w:id w:val="-1623463622"/>
                <w:lock w:val="sdtLocked"/>
              </w:sdtPr>
              <w:sdtEndPr/>
              <w:sdtContent>
                <w:tc>
                  <w:tcPr>
                    <w:tcW w:w="549" w:type="pct"/>
                    <w:vMerge w:val="restart"/>
                    <w:shd w:val="clear" w:color="auto" w:fill="auto"/>
                    <w:vAlign w:val="center"/>
                  </w:tcPr>
                  <w:p w14:paraId="1D34EAAC" w14:textId="77777777" w:rsidR="00830E72" w:rsidRDefault="008344D8">
                    <w:pPr>
                      <w:jc w:val="center"/>
                      <w:rPr>
                        <w:rFonts w:cs="Arial"/>
                        <w:szCs w:val="21"/>
                      </w:rPr>
                    </w:pPr>
                    <w:r>
                      <w:rPr>
                        <w:rFonts w:cs="Arial" w:hint="eastAsia"/>
                        <w:szCs w:val="21"/>
                        <w:lang w:val="en-GB"/>
                      </w:rPr>
                      <w:t>注册地</w:t>
                    </w:r>
                  </w:p>
                </w:tc>
              </w:sdtContent>
            </w:sdt>
            <w:sdt>
              <w:sdtPr>
                <w:tag w:val="_PLD_00f166f7d07d4fab80fa91c95fb5d089"/>
                <w:id w:val="-760981429"/>
                <w:lock w:val="sdtLocked"/>
              </w:sdtPr>
              <w:sdtEndPr/>
              <w:sdtContent>
                <w:tc>
                  <w:tcPr>
                    <w:tcW w:w="1175" w:type="pct"/>
                    <w:vMerge w:val="restart"/>
                    <w:shd w:val="clear" w:color="auto" w:fill="auto"/>
                    <w:vAlign w:val="center"/>
                  </w:tcPr>
                  <w:p w14:paraId="121B8182" w14:textId="77777777" w:rsidR="00830E72" w:rsidRDefault="008344D8">
                    <w:pPr>
                      <w:jc w:val="center"/>
                      <w:rPr>
                        <w:rFonts w:cs="Arial"/>
                        <w:szCs w:val="21"/>
                      </w:rPr>
                    </w:pPr>
                    <w:r>
                      <w:rPr>
                        <w:rFonts w:cs="Arial" w:hint="eastAsia"/>
                        <w:szCs w:val="21"/>
                        <w:lang w:val="en-GB"/>
                      </w:rPr>
                      <w:t>业务性质</w:t>
                    </w:r>
                  </w:p>
                </w:tc>
              </w:sdtContent>
            </w:sdt>
            <w:sdt>
              <w:sdtPr>
                <w:tag w:val="_PLD_312b40f444994b628fc2b8c3e4c90fdc"/>
                <w:id w:val="-1732148364"/>
                <w:lock w:val="sdtLocked"/>
              </w:sdtPr>
              <w:sdtEndPr/>
              <w:sdtContent>
                <w:tc>
                  <w:tcPr>
                    <w:tcW w:w="940" w:type="pct"/>
                    <w:gridSpan w:val="2"/>
                    <w:shd w:val="clear" w:color="auto" w:fill="auto"/>
                    <w:vAlign w:val="center"/>
                  </w:tcPr>
                  <w:p w14:paraId="44441478" w14:textId="77777777" w:rsidR="00830E72" w:rsidRDefault="008344D8">
                    <w:pPr>
                      <w:jc w:val="center"/>
                      <w:rPr>
                        <w:rFonts w:cs="Arial"/>
                        <w:szCs w:val="21"/>
                      </w:rPr>
                    </w:pPr>
                    <w:r>
                      <w:rPr>
                        <w:rFonts w:cs="Arial" w:hint="eastAsia"/>
                        <w:szCs w:val="21"/>
                        <w:lang w:val="en-GB"/>
                      </w:rPr>
                      <w:t>持股比例</w:t>
                    </w:r>
                    <w:r>
                      <w:rPr>
                        <w:rFonts w:cs="Arial"/>
                        <w:szCs w:val="21"/>
                      </w:rPr>
                      <w:t>(%)</w:t>
                    </w:r>
                  </w:p>
                </w:tc>
              </w:sdtContent>
            </w:sdt>
            <w:sdt>
              <w:sdtPr>
                <w:tag w:val="_PLD_7955b51c085a48948cb5518baa55ee50"/>
                <w:id w:val="1211390390"/>
                <w:lock w:val="sdtLocked"/>
              </w:sdtPr>
              <w:sdtEndPr/>
              <w:sdtContent>
                <w:tc>
                  <w:tcPr>
                    <w:tcW w:w="1102" w:type="pct"/>
                    <w:vMerge w:val="restart"/>
                    <w:shd w:val="clear" w:color="auto" w:fill="auto"/>
                    <w:vAlign w:val="center"/>
                  </w:tcPr>
                  <w:p w14:paraId="02D21AEF" w14:textId="77777777" w:rsidR="00830E72" w:rsidRDefault="008344D8">
                    <w:pPr>
                      <w:jc w:val="center"/>
                      <w:rPr>
                        <w:rFonts w:cs="Arial"/>
                        <w:szCs w:val="21"/>
                        <w:lang w:val="en-GB"/>
                      </w:rPr>
                    </w:pPr>
                    <w:r>
                      <w:rPr>
                        <w:rFonts w:cs="Arial" w:hint="eastAsia"/>
                        <w:szCs w:val="21"/>
                        <w:lang w:val="en-GB"/>
                      </w:rPr>
                      <w:t>取得</w:t>
                    </w:r>
                  </w:p>
                  <w:p w14:paraId="51600669" w14:textId="77777777" w:rsidR="00830E72" w:rsidRDefault="008344D8">
                    <w:pPr>
                      <w:jc w:val="center"/>
                      <w:rPr>
                        <w:rFonts w:cs="Arial"/>
                        <w:szCs w:val="21"/>
                        <w:lang w:val="en-GB"/>
                      </w:rPr>
                    </w:pPr>
                    <w:r>
                      <w:rPr>
                        <w:rFonts w:cs="Arial" w:hint="eastAsia"/>
                        <w:szCs w:val="21"/>
                        <w:lang w:val="en-GB"/>
                      </w:rPr>
                      <w:t>方式</w:t>
                    </w:r>
                  </w:p>
                </w:tc>
              </w:sdtContent>
            </w:sdt>
          </w:tr>
          <w:tr w:rsidR="00830E72" w14:paraId="3D266CF1" w14:textId="77777777">
            <w:trPr>
              <w:trHeight w:val="278"/>
            </w:trPr>
            <w:tc>
              <w:tcPr>
                <w:tcW w:w="659" w:type="pct"/>
                <w:vMerge/>
                <w:shd w:val="clear" w:color="auto" w:fill="auto"/>
                <w:vAlign w:val="center"/>
              </w:tcPr>
              <w:p w14:paraId="7499CDD3" w14:textId="77777777" w:rsidR="00830E72" w:rsidRDefault="00830E72">
                <w:pPr>
                  <w:rPr>
                    <w:rFonts w:cs="Arial"/>
                    <w:szCs w:val="21"/>
                  </w:rPr>
                </w:pPr>
              </w:p>
            </w:tc>
            <w:tc>
              <w:tcPr>
                <w:tcW w:w="574" w:type="pct"/>
                <w:vMerge/>
                <w:shd w:val="clear" w:color="auto" w:fill="auto"/>
                <w:vAlign w:val="center"/>
              </w:tcPr>
              <w:p w14:paraId="4B7A0712" w14:textId="77777777" w:rsidR="00830E72" w:rsidRDefault="00830E72">
                <w:pPr>
                  <w:rPr>
                    <w:rFonts w:cs="Arial"/>
                    <w:szCs w:val="21"/>
                  </w:rPr>
                </w:pPr>
              </w:p>
            </w:tc>
            <w:tc>
              <w:tcPr>
                <w:tcW w:w="549" w:type="pct"/>
                <w:vMerge/>
                <w:shd w:val="clear" w:color="auto" w:fill="auto"/>
                <w:vAlign w:val="center"/>
              </w:tcPr>
              <w:p w14:paraId="236E1B47" w14:textId="77777777" w:rsidR="00830E72" w:rsidRDefault="00830E72">
                <w:pPr>
                  <w:rPr>
                    <w:rFonts w:cs="Arial"/>
                    <w:szCs w:val="21"/>
                  </w:rPr>
                </w:pPr>
              </w:p>
            </w:tc>
            <w:tc>
              <w:tcPr>
                <w:tcW w:w="1175" w:type="pct"/>
                <w:vMerge/>
                <w:shd w:val="clear" w:color="auto" w:fill="auto"/>
                <w:vAlign w:val="center"/>
              </w:tcPr>
              <w:p w14:paraId="52192F2F" w14:textId="77777777" w:rsidR="00830E72" w:rsidRDefault="00830E72">
                <w:pPr>
                  <w:rPr>
                    <w:rFonts w:cs="Arial"/>
                    <w:szCs w:val="21"/>
                  </w:rPr>
                </w:pPr>
              </w:p>
            </w:tc>
            <w:sdt>
              <w:sdtPr>
                <w:tag w:val="_PLD_ab045acafe9d4890848568705ddd5475"/>
                <w:id w:val="-351335385"/>
                <w:lock w:val="sdtLocked"/>
              </w:sdtPr>
              <w:sdtEndPr/>
              <w:sdtContent>
                <w:tc>
                  <w:tcPr>
                    <w:tcW w:w="548" w:type="pct"/>
                    <w:shd w:val="clear" w:color="auto" w:fill="auto"/>
                    <w:vAlign w:val="center"/>
                  </w:tcPr>
                  <w:p w14:paraId="2B34075A" w14:textId="77777777" w:rsidR="00830E72" w:rsidRDefault="008344D8">
                    <w:pPr>
                      <w:jc w:val="center"/>
                      <w:rPr>
                        <w:rFonts w:cs="Arial"/>
                        <w:szCs w:val="21"/>
                      </w:rPr>
                    </w:pPr>
                    <w:r>
                      <w:rPr>
                        <w:rFonts w:cs="Arial" w:hint="eastAsia"/>
                        <w:szCs w:val="21"/>
                        <w:lang w:val="en-GB"/>
                      </w:rPr>
                      <w:t>直接</w:t>
                    </w:r>
                  </w:p>
                </w:tc>
              </w:sdtContent>
            </w:sdt>
            <w:sdt>
              <w:sdtPr>
                <w:tag w:val="_PLD_78e5db032e5044cba22bc40c16ee940a"/>
                <w:id w:val="2114400197"/>
                <w:lock w:val="sdtLocked"/>
              </w:sdtPr>
              <w:sdtEndPr/>
              <w:sdtContent>
                <w:tc>
                  <w:tcPr>
                    <w:tcW w:w="392" w:type="pct"/>
                    <w:shd w:val="clear" w:color="auto" w:fill="auto"/>
                    <w:vAlign w:val="center"/>
                  </w:tcPr>
                  <w:p w14:paraId="060AC30B" w14:textId="77777777" w:rsidR="00830E72" w:rsidRDefault="008344D8">
                    <w:pPr>
                      <w:jc w:val="center"/>
                      <w:rPr>
                        <w:rFonts w:cs="Arial"/>
                        <w:szCs w:val="21"/>
                      </w:rPr>
                    </w:pPr>
                    <w:r>
                      <w:rPr>
                        <w:rFonts w:cs="Arial" w:hint="eastAsia"/>
                        <w:szCs w:val="21"/>
                        <w:lang w:val="en-GB"/>
                      </w:rPr>
                      <w:t>间接</w:t>
                    </w:r>
                  </w:p>
                </w:tc>
              </w:sdtContent>
            </w:sdt>
            <w:tc>
              <w:tcPr>
                <w:tcW w:w="1102" w:type="pct"/>
                <w:vMerge/>
                <w:vAlign w:val="center"/>
              </w:tcPr>
              <w:p w14:paraId="65E92B13" w14:textId="77777777" w:rsidR="00830E72" w:rsidRDefault="00830E72">
                <w:pPr>
                  <w:rPr>
                    <w:rFonts w:cs="Arial"/>
                    <w:szCs w:val="21"/>
                  </w:rPr>
                </w:pPr>
              </w:p>
            </w:tc>
          </w:tr>
          <w:sdt>
            <w:sdtPr>
              <w:rPr>
                <w:rFonts w:asciiTheme="minorHAnsi" w:eastAsiaTheme="minorEastAsia" w:hAnsiTheme="minorHAnsi" w:cstheme="minorBidi"/>
                <w:kern w:val="2"/>
                <w:szCs w:val="21"/>
              </w:rPr>
              <w:alias w:val="企业合并及合并财务报表明细"/>
              <w:tag w:val="_GBC_986bfe326d834fea9d2920637e286f21"/>
              <w:id w:val="-260678318"/>
              <w:lock w:val="sdtLocked"/>
            </w:sdtPr>
            <w:sdtEndPr/>
            <w:sdtContent>
              <w:tr w:rsidR="00830E72" w14:paraId="377CF5EF" w14:textId="77777777">
                <w:tc>
                  <w:tcPr>
                    <w:tcW w:w="659" w:type="pct"/>
                    <w:vAlign w:val="center"/>
                  </w:tcPr>
                  <w:p w14:paraId="062E28C1" w14:textId="77777777" w:rsidR="00830E72" w:rsidRDefault="008344D8">
                    <w:pPr>
                      <w:rPr>
                        <w:szCs w:val="21"/>
                      </w:rPr>
                    </w:pPr>
                    <w:r>
                      <w:t>兴源路面</w:t>
                    </w:r>
                  </w:p>
                </w:tc>
                <w:tc>
                  <w:tcPr>
                    <w:tcW w:w="574" w:type="pct"/>
                    <w:vAlign w:val="center"/>
                  </w:tcPr>
                  <w:p w14:paraId="33DE275E" w14:textId="77777777" w:rsidR="00830E72" w:rsidRDefault="008344D8">
                    <w:pPr>
                      <w:rPr>
                        <w:szCs w:val="21"/>
                      </w:rPr>
                    </w:pPr>
                    <w:r>
                      <w:t>合肥市</w:t>
                    </w:r>
                  </w:p>
                </w:tc>
                <w:tc>
                  <w:tcPr>
                    <w:tcW w:w="549" w:type="pct"/>
                    <w:vAlign w:val="center"/>
                  </w:tcPr>
                  <w:p w14:paraId="6C98FDEA" w14:textId="77777777" w:rsidR="00830E72" w:rsidRDefault="008344D8">
                    <w:pPr>
                      <w:rPr>
                        <w:szCs w:val="21"/>
                      </w:rPr>
                    </w:pPr>
                    <w:r>
                      <w:t>合肥市</w:t>
                    </w:r>
                  </w:p>
                </w:tc>
                <w:tc>
                  <w:tcPr>
                    <w:tcW w:w="1175" w:type="pct"/>
                    <w:vAlign w:val="center"/>
                  </w:tcPr>
                  <w:p w14:paraId="4451DFC3" w14:textId="77777777" w:rsidR="00830E72" w:rsidRDefault="008344D8">
                    <w:pPr>
                      <w:rPr>
                        <w:szCs w:val="21"/>
                      </w:rPr>
                    </w:pPr>
                    <w:r>
                      <w:t>工程施工</w:t>
                    </w:r>
                  </w:p>
                </w:tc>
                <w:tc>
                  <w:tcPr>
                    <w:tcW w:w="548" w:type="pct"/>
                    <w:vAlign w:val="center"/>
                  </w:tcPr>
                  <w:p w14:paraId="14020918" w14:textId="77777777" w:rsidR="00830E72" w:rsidRDefault="008344D8">
                    <w:pPr>
                      <w:jc w:val="right"/>
                      <w:rPr>
                        <w:szCs w:val="21"/>
                      </w:rPr>
                    </w:pPr>
                    <w:r>
                      <w:t>100.00</w:t>
                    </w:r>
                  </w:p>
                </w:tc>
                <w:tc>
                  <w:tcPr>
                    <w:tcW w:w="392" w:type="pct"/>
                    <w:vAlign w:val="center"/>
                  </w:tcPr>
                  <w:p w14:paraId="2D239B9C" w14:textId="77777777" w:rsidR="00830E72" w:rsidRDefault="008344D8">
                    <w:pPr>
                      <w:jc w:val="right"/>
                      <w:rPr>
                        <w:szCs w:val="21"/>
                      </w:rPr>
                    </w:pPr>
                    <w:r>
                      <w:t>-</w:t>
                    </w:r>
                  </w:p>
                </w:tc>
                <w:tc>
                  <w:tcPr>
                    <w:tcW w:w="1102" w:type="pct"/>
                    <w:vAlign w:val="center"/>
                  </w:tcPr>
                  <w:p w14:paraId="4A158ADC" w14:textId="77777777" w:rsidR="00830E72" w:rsidRDefault="008344D8" w:rsidP="007211E6">
                    <w:pPr>
                      <w:jc w:val="center"/>
                      <w:rPr>
                        <w:szCs w:val="21"/>
                      </w:rPr>
                    </w:pPr>
                    <w:r>
                      <w:t>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470711823"/>
              <w:lock w:val="sdtLocked"/>
            </w:sdtPr>
            <w:sdtEndPr/>
            <w:sdtContent>
              <w:tr w:rsidR="00830E72" w14:paraId="5F9DA232" w14:textId="77777777">
                <w:tc>
                  <w:tcPr>
                    <w:tcW w:w="659" w:type="pct"/>
                    <w:vAlign w:val="center"/>
                  </w:tcPr>
                  <w:p w14:paraId="4FF3ADC3" w14:textId="77777777" w:rsidR="00830E72" w:rsidRDefault="008344D8">
                    <w:pPr>
                      <w:rPr>
                        <w:szCs w:val="21"/>
                      </w:rPr>
                    </w:pPr>
                    <w:r>
                      <w:t>路通检测</w:t>
                    </w:r>
                  </w:p>
                </w:tc>
                <w:tc>
                  <w:tcPr>
                    <w:tcW w:w="574" w:type="pct"/>
                    <w:vAlign w:val="center"/>
                  </w:tcPr>
                  <w:p w14:paraId="525DE6CF" w14:textId="77777777" w:rsidR="00830E72" w:rsidRDefault="008344D8">
                    <w:pPr>
                      <w:rPr>
                        <w:szCs w:val="21"/>
                      </w:rPr>
                    </w:pPr>
                    <w:r>
                      <w:t>合肥市</w:t>
                    </w:r>
                  </w:p>
                </w:tc>
                <w:tc>
                  <w:tcPr>
                    <w:tcW w:w="549" w:type="pct"/>
                    <w:vAlign w:val="center"/>
                  </w:tcPr>
                  <w:p w14:paraId="776C6C49" w14:textId="77777777" w:rsidR="00830E72" w:rsidRDefault="008344D8">
                    <w:pPr>
                      <w:rPr>
                        <w:szCs w:val="21"/>
                      </w:rPr>
                    </w:pPr>
                    <w:r>
                      <w:t>合肥市</w:t>
                    </w:r>
                  </w:p>
                </w:tc>
                <w:tc>
                  <w:tcPr>
                    <w:tcW w:w="1175" w:type="pct"/>
                    <w:vAlign w:val="center"/>
                  </w:tcPr>
                  <w:p w14:paraId="15832B9A" w14:textId="77777777" w:rsidR="00830E72" w:rsidRDefault="008344D8">
                    <w:pPr>
                      <w:rPr>
                        <w:szCs w:val="21"/>
                      </w:rPr>
                    </w:pPr>
                    <w:r>
                      <w:t>工程检测</w:t>
                    </w:r>
                  </w:p>
                </w:tc>
                <w:tc>
                  <w:tcPr>
                    <w:tcW w:w="548" w:type="pct"/>
                    <w:vAlign w:val="center"/>
                  </w:tcPr>
                  <w:p w14:paraId="642C68D1" w14:textId="77777777" w:rsidR="00830E72" w:rsidRDefault="008344D8">
                    <w:pPr>
                      <w:jc w:val="right"/>
                      <w:rPr>
                        <w:szCs w:val="21"/>
                      </w:rPr>
                    </w:pPr>
                    <w:r>
                      <w:t>100.00</w:t>
                    </w:r>
                  </w:p>
                </w:tc>
                <w:tc>
                  <w:tcPr>
                    <w:tcW w:w="392" w:type="pct"/>
                    <w:vAlign w:val="center"/>
                  </w:tcPr>
                  <w:p w14:paraId="16BE0AC5" w14:textId="77777777" w:rsidR="00830E72" w:rsidRDefault="008344D8">
                    <w:pPr>
                      <w:jc w:val="right"/>
                      <w:rPr>
                        <w:szCs w:val="21"/>
                      </w:rPr>
                    </w:pPr>
                    <w:r>
                      <w:t>-</w:t>
                    </w:r>
                  </w:p>
                </w:tc>
                <w:tc>
                  <w:tcPr>
                    <w:tcW w:w="1102" w:type="pct"/>
                    <w:vAlign w:val="center"/>
                  </w:tcPr>
                  <w:p w14:paraId="13AFF02D" w14:textId="77777777" w:rsidR="00830E72" w:rsidRDefault="008344D8" w:rsidP="007211E6">
                    <w:pPr>
                      <w:jc w:val="center"/>
                      <w:rPr>
                        <w:szCs w:val="21"/>
                      </w:rPr>
                    </w:pPr>
                    <w:r>
                      <w:t>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241483476"/>
              <w:lock w:val="sdtLocked"/>
            </w:sdtPr>
            <w:sdtEndPr/>
            <w:sdtContent>
              <w:tr w:rsidR="00830E72" w14:paraId="59E30F1D" w14:textId="77777777">
                <w:tc>
                  <w:tcPr>
                    <w:tcW w:w="659" w:type="pct"/>
                    <w:vAlign w:val="center"/>
                  </w:tcPr>
                  <w:p w14:paraId="3D644CAE" w14:textId="77777777" w:rsidR="00830E72" w:rsidRDefault="008344D8">
                    <w:pPr>
                      <w:rPr>
                        <w:szCs w:val="21"/>
                      </w:rPr>
                    </w:pPr>
                    <w:r>
                      <w:t>浙勘院</w:t>
                    </w:r>
                  </w:p>
                </w:tc>
                <w:tc>
                  <w:tcPr>
                    <w:tcW w:w="574" w:type="pct"/>
                    <w:vAlign w:val="center"/>
                  </w:tcPr>
                  <w:p w14:paraId="4BDE73FF" w14:textId="77777777" w:rsidR="00830E72" w:rsidRDefault="008344D8">
                    <w:pPr>
                      <w:rPr>
                        <w:szCs w:val="21"/>
                      </w:rPr>
                    </w:pPr>
                    <w:r>
                      <w:t>杭州市</w:t>
                    </w:r>
                  </w:p>
                </w:tc>
                <w:tc>
                  <w:tcPr>
                    <w:tcW w:w="549" w:type="pct"/>
                    <w:vAlign w:val="center"/>
                  </w:tcPr>
                  <w:p w14:paraId="3014CDBD" w14:textId="77777777" w:rsidR="00830E72" w:rsidRDefault="008344D8">
                    <w:pPr>
                      <w:rPr>
                        <w:szCs w:val="21"/>
                      </w:rPr>
                    </w:pPr>
                    <w:r>
                      <w:t>杭州市</w:t>
                    </w:r>
                  </w:p>
                </w:tc>
                <w:tc>
                  <w:tcPr>
                    <w:tcW w:w="1175" w:type="pct"/>
                    <w:vAlign w:val="center"/>
                  </w:tcPr>
                  <w:p w14:paraId="292585CE" w14:textId="77777777" w:rsidR="00830E72" w:rsidRDefault="008344D8">
                    <w:pPr>
                      <w:rPr>
                        <w:szCs w:val="21"/>
                      </w:rPr>
                    </w:pPr>
                    <w:r>
                      <w:t>勘察设计、技术咨询</w:t>
                    </w:r>
                  </w:p>
                </w:tc>
                <w:tc>
                  <w:tcPr>
                    <w:tcW w:w="548" w:type="pct"/>
                    <w:vAlign w:val="center"/>
                  </w:tcPr>
                  <w:p w14:paraId="1F8B07E1" w14:textId="77777777" w:rsidR="00830E72" w:rsidRDefault="008344D8">
                    <w:pPr>
                      <w:jc w:val="right"/>
                      <w:rPr>
                        <w:szCs w:val="21"/>
                      </w:rPr>
                    </w:pPr>
                    <w:r>
                      <w:t>55.00</w:t>
                    </w:r>
                  </w:p>
                </w:tc>
                <w:tc>
                  <w:tcPr>
                    <w:tcW w:w="392" w:type="pct"/>
                    <w:vAlign w:val="center"/>
                  </w:tcPr>
                  <w:p w14:paraId="33BA06A0" w14:textId="77777777" w:rsidR="00830E72" w:rsidRDefault="008344D8">
                    <w:pPr>
                      <w:jc w:val="right"/>
                      <w:rPr>
                        <w:szCs w:val="21"/>
                      </w:rPr>
                    </w:pPr>
                    <w:r>
                      <w:t>-</w:t>
                    </w:r>
                  </w:p>
                </w:tc>
                <w:tc>
                  <w:tcPr>
                    <w:tcW w:w="1102" w:type="pct"/>
                    <w:vAlign w:val="center"/>
                  </w:tcPr>
                  <w:p w14:paraId="029CF156" w14:textId="77777777" w:rsidR="00830E72" w:rsidRDefault="008344D8" w:rsidP="007211E6">
                    <w:pPr>
                      <w:jc w:val="center"/>
                      <w:rPr>
                        <w:szCs w:val="21"/>
                      </w:rPr>
                    </w:pPr>
                    <w:r>
                      <w:t>非同一控制下合并</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888082928"/>
              <w:lock w:val="sdtLocked"/>
            </w:sdtPr>
            <w:sdtEndPr/>
            <w:sdtContent>
              <w:tr w:rsidR="00830E72" w14:paraId="058312E3" w14:textId="77777777">
                <w:tc>
                  <w:tcPr>
                    <w:tcW w:w="659" w:type="pct"/>
                    <w:vAlign w:val="center"/>
                  </w:tcPr>
                  <w:p w14:paraId="76C79F14" w14:textId="77777777" w:rsidR="00830E72" w:rsidRDefault="008344D8">
                    <w:pPr>
                      <w:rPr>
                        <w:szCs w:val="21"/>
                      </w:rPr>
                    </w:pPr>
                    <w:r>
                      <w:t>亳州祥居</w:t>
                    </w:r>
                  </w:p>
                </w:tc>
                <w:tc>
                  <w:tcPr>
                    <w:tcW w:w="574" w:type="pct"/>
                    <w:vAlign w:val="center"/>
                  </w:tcPr>
                  <w:p w14:paraId="632EC769" w14:textId="77777777" w:rsidR="00830E72" w:rsidRDefault="008344D8">
                    <w:pPr>
                      <w:rPr>
                        <w:szCs w:val="21"/>
                      </w:rPr>
                    </w:pPr>
                    <w:r>
                      <w:t>亳州市</w:t>
                    </w:r>
                  </w:p>
                </w:tc>
                <w:tc>
                  <w:tcPr>
                    <w:tcW w:w="549" w:type="pct"/>
                    <w:vAlign w:val="center"/>
                  </w:tcPr>
                  <w:p w14:paraId="14A4FECF" w14:textId="77777777" w:rsidR="00830E72" w:rsidRDefault="008344D8">
                    <w:pPr>
                      <w:rPr>
                        <w:szCs w:val="21"/>
                      </w:rPr>
                    </w:pPr>
                    <w:r>
                      <w:t>亳州市</w:t>
                    </w:r>
                  </w:p>
                </w:tc>
                <w:tc>
                  <w:tcPr>
                    <w:tcW w:w="1175" w:type="pct"/>
                    <w:vAlign w:val="center"/>
                  </w:tcPr>
                  <w:p w14:paraId="18D001C0" w14:textId="77777777" w:rsidR="00830E72" w:rsidRDefault="008344D8">
                    <w:pPr>
                      <w:rPr>
                        <w:szCs w:val="21"/>
                      </w:rPr>
                    </w:pPr>
                    <w:r>
                      <w:t>基础设施建设</w:t>
                    </w:r>
                  </w:p>
                </w:tc>
                <w:tc>
                  <w:tcPr>
                    <w:tcW w:w="548" w:type="pct"/>
                    <w:vAlign w:val="center"/>
                  </w:tcPr>
                  <w:p w14:paraId="7EDFDF37" w14:textId="77777777" w:rsidR="00830E72" w:rsidRDefault="008344D8">
                    <w:pPr>
                      <w:jc w:val="right"/>
                      <w:rPr>
                        <w:szCs w:val="21"/>
                      </w:rPr>
                    </w:pPr>
                    <w:r>
                      <w:t>79.00</w:t>
                    </w:r>
                  </w:p>
                </w:tc>
                <w:tc>
                  <w:tcPr>
                    <w:tcW w:w="392" w:type="pct"/>
                    <w:vAlign w:val="center"/>
                  </w:tcPr>
                  <w:p w14:paraId="6D833138" w14:textId="77777777" w:rsidR="00830E72" w:rsidRDefault="008344D8">
                    <w:pPr>
                      <w:jc w:val="right"/>
                      <w:rPr>
                        <w:szCs w:val="21"/>
                      </w:rPr>
                    </w:pPr>
                    <w:r>
                      <w:t>-</w:t>
                    </w:r>
                  </w:p>
                </w:tc>
                <w:tc>
                  <w:tcPr>
                    <w:tcW w:w="1102" w:type="pct"/>
                    <w:vAlign w:val="center"/>
                  </w:tcPr>
                  <w:p w14:paraId="5D043571" w14:textId="77777777" w:rsidR="00830E72" w:rsidRDefault="008344D8" w:rsidP="007211E6">
                    <w:pPr>
                      <w:jc w:val="center"/>
                      <w:rPr>
                        <w:szCs w:val="21"/>
                      </w:rPr>
                    </w:pPr>
                    <w:r>
                      <w:t>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626266097"/>
              <w:lock w:val="sdtLocked"/>
            </w:sdtPr>
            <w:sdtEndPr/>
            <w:sdtContent>
              <w:tr w:rsidR="00830E72" w14:paraId="710E8CD9" w14:textId="77777777">
                <w:tc>
                  <w:tcPr>
                    <w:tcW w:w="659" w:type="pct"/>
                    <w:vAlign w:val="center"/>
                  </w:tcPr>
                  <w:p w14:paraId="107831FC" w14:textId="77777777" w:rsidR="00830E72" w:rsidRDefault="008344D8">
                    <w:pPr>
                      <w:rPr>
                        <w:szCs w:val="21"/>
                      </w:rPr>
                    </w:pPr>
                    <w:r>
                      <w:t>宿松振兴</w:t>
                    </w:r>
                  </w:p>
                </w:tc>
                <w:tc>
                  <w:tcPr>
                    <w:tcW w:w="574" w:type="pct"/>
                    <w:vAlign w:val="center"/>
                  </w:tcPr>
                  <w:p w14:paraId="6E2247C4" w14:textId="77777777" w:rsidR="00830E72" w:rsidRDefault="008344D8">
                    <w:pPr>
                      <w:rPr>
                        <w:szCs w:val="21"/>
                      </w:rPr>
                    </w:pPr>
                    <w:r>
                      <w:t>安庆市</w:t>
                    </w:r>
                  </w:p>
                </w:tc>
                <w:tc>
                  <w:tcPr>
                    <w:tcW w:w="549" w:type="pct"/>
                    <w:vAlign w:val="center"/>
                  </w:tcPr>
                  <w:p w14:paraId="34282563" w14:textId="77777777" w:rsidR="00830E72" w:rsidRDefault="008344D8">
                    <w:pPr>
                      <w:rPr>
                        <w:szCs w:val="21"/>
                      </w:rPr>
                    </w:pPr>
                    <w:r>
                      <w:t>安庆市</w:t>
                    </w:r>
                  </w:p>
                </w:tc>
                <w:tc>
                  <w:tcPr>
                    <w:tcW w:w="1175" w:type="pct"/>
                    <w:vAlign w:val="center"/>
                  </w:tcPr>
                  <w:p w14:paraId="032F121F" w14:textId="77777777" w:rsidR="00830E72" w:rsidRDefault="008344D8">
                    <w:pPr>
                      <w:rPr>
                        <w:szCs w:val="21"/>
                      </w:rPr>
                    </w:pPr>
                    <w:r>
                      <w:t>基础设施建设</w:t>
                    </w:r>
                  </w:p>
                </w:tc>
                <w:tc>
                  <w:tcPr>
                    <w:tcW w:w="548" w:type="pct"/>
                    <w:vAlign w:val="center"/>
                  </w:tcPr>
                  <w:p w14:paraId="3FD6E9DB" w14:textId="77777777" w:rsidR="00830E72" w:rsidRDefault="008344D8">
                    <w:pPr>
                      <w:jc w:val="right"/>
                      <w:rPr>
                        <w:szCs w:val="21"/>
                      </w:rPr>
                    </w:pPr>
                    <w:r>
                      <w:t>90.00</w:t>
                    </w:r>
                  </w:p>
                </w:tc>
                <w:tc>
                  <w:tcPr>
                    <w:tcW w:w="392" w:type="pct"/>
                    <w:vAlign w:val="center"/>
                  </w:tcPr>
                  <w:p w14:paraId="32D6520D" w14:textId="77777777" w:rsidR="00830E72" w:rsidRDefault="008344D8">
                    <w:pPr>
                      <w:jc w:val="right"/>
                      <w:rPr>
                        <w:szCs w:val="21"/>
                      </w:rPr>
                    </w:pPr>
                    <w:r>
                      <w:t>-</w:t>
                    </w:r>
                  </w:p>
                </w:tc>
                <w:tc>
                  <w:tcPr>
                    <w:tcW w:w="1102" w:type="pct"/>
                    <w:vAlign w:val="center"/>
                  </w:tcPr>
                  <w:p w14:paraId="63167EE2" w14:textId="77777777" w:rsidR="00830E72" w:rsidRDefault="008344D8" w:rsidP="007211E6">
                    <w:pPr>
                      <w:jc w:val="center"/>
                      <w:rPr>
                        <w:szCs w:val="21"/>
                      </w:rPr>
                    </w:pPr>
                    <w:r>
                      <w:t>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577777596"/>
              <w:lock w:val="sdtLocked"/>
            </w:sdtPr>
            <w:sdtEndPr/>
            <w:sdtContent>
              <w:tr w:rsidR="00830E72" w14:paraId="257FB2EA" w14:textId="77777777">
                <w:tc>
                  <w:tcPr>
                    <w:tcW w:w="659" w:type="pct"/>
                    <w:vAlign w:val="center"/>
                  </w:tcPr>
                  <w:p w14:paraId="563E5E7C" w14:textId="77777777" w:rsidR="00830E72" w:rsidRDefault="008344D8">
                    <w:pPr>
                      <w:rPr>
                        <w:szCs w:val="21"/>
                      </w:rPr>
                    </w:pPr>
                    <w:r>
                      <w:t>明光路安</w:t>
                    </w:r>
                  </w:p>
                </w:tc>
                <w:tc>
                  <w:tcPr>
                    <w:tcW w:w="574" w:type="pct"/>
                    <w:vAlign w:val="center"/>
                  </w:tcPr>
                  <w:p w14:paraId="31BBAC6A" w14:textId="77777777" w:rsidR="00830E72" w:rsidRDefault="008344D8">
                    <w:pPr>
                      <w:rPr>
                        <w:szCs w:val="21"/>
                      </w:rPr>
                    </w:pPr>
                    <w:r>
                      <w:t>滁州市</w:t>
                    </w:r>
                  </w:p>
                </w:tc>
                <w:tc>
                  <w:tcPr>
                    <w:tcW w:w="549" w:type="pct"/>
                    <w:vAlign w:val="center"/>
                  </w:tcPr>
                  <w:p w14:paraId="07D23188" w14:textId="77777777" w:rsidR="00830E72" w:rsidRDefault="008344D8">
                    <w:pPr>
                      <w:rPr>
                        <w:szCs w:val="21"/>
                      </w:rPr>
                    </w:pPr>
                    <w:r>
                      <w:t>滁州市</w:t>
                    </w:r>
                  </w:p>
                </w:tc>
                <w:tc>
                  <w:tcPr>
                    <w:tcW w:w="1175" w:type="pct"/>
                    <w:vAlign w:val="center"/>
                  </w:tcPr>
                  <w:p w14:paraId="25C2EBC6" w14:textId="77777777" w:rsidR="00830E72" w:rsidRDefault="008344D8">
                    <w:pPr>
                      <w:rPr>
                        <w:szCs w:val="21"/>
                      </w:rPr>
                    </w:pPr>
                    <w:r>
                      <w:t>基础设施建设</w:t>
                    </w:r>
                  </w:p>
                </w:tc>
                <w:tc>
                  <w:tcPr>
                    <w:tcW w:w="548" w:type="pct"/>
                    <w:vAlign w:val="center"/>
                  </w:tcPr>
                  <w:p w14:paraId="41DBDBB4" w14:textId="77777777" w:rsidR="00830E72" w:rsidRDefault="008344D8">
                    <w:pPr>
                      <w:jc w:val="right"/>
                      <w:rPr>
                        <w:szCs w:val="21"/>
                      </w:rPr>
                    </w:pPr>
                    <w:r>
                      <w:t>100.00</w:t>
                    </w:r>
                  </w:p>
                </w:tc>
                <w:tc>
                  <w:tcPr>
                    <w:tcW w:w="392" w:type="pct"/>
                    <w:vAlign w:val="center"/>
                  </w:tcPr>
                  <w:p w14:paraId="2A885AE3" w14:textId="77777777" w:rsidR="00830E72" w:rsidRDefault="008344D8">
                    <w:pPr>
                      <w:jc w:val="right"/>
                      <w:rPr>
                        <w:szCs w:val="21"/>
                      </w:rPr>
                    </w:pPr>
                    <w:r>
                      <w:t>-</w:t>
                    </w:r>
                  </w:p>
                </w:tc>
                <w:tc>
                  <w:tcPr>
                    <w:tcW w:w="1102" w:type="pct"/>
                    <w:vAlign w:val="center"/>
                  </w:tcPr>
                  <w:p w14:paraId="4C138FC7" w14:textId="77777777" w:rsidR="00830E72" w:rsidRDefault="008344D8" w:rsidP="007211E6">
                    <w:pPr>
                      <w:jc w:val="center"/>
                      <w:rPr>
                        <w:szCs w:val="21"/>
                      </w:rPr>
                    </w:pPr>
                    <w:r>
                      <w:t>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411904070"/>
              <w:lock w:val="sdtLocked"/>
            </w:sdtPr>
            <w:sdtEndPr/>
            <w:sdtContent>
              <w:tr w:rsidR="00830E72" w14:paraId="457DD3A3" w14:textId="77777777">
                <w:tc>
                  <w:tcPr>
                    <w:tcW w:w="659" w:type="pct"/>
                    <w:vAlign w:val="center"/>
                  </w:tcPr>
                  <w:p w14:paraId="2EFF8AE2" w14:textId="77777777" w:rsidR="00830E72" w:rsidRDefault="008344D8">
                    <w:pPr>
                      <w:rPr>
                        <w:szCs w:val="21"/>
                      </w:rPr>
                    </w:pPr>
                    <w:r>
                      <w:t>六安熠辉</w:t>
                    </w:r>
                  </w:p>
                </w:tc>
                <w:tc>
                  <w:tcPr>
                    <w:tcW w:w="574" w:type="pct"/>
                    <w:vAlign w:val="center"/>
                  </w:tcPr>
                  <w:p w14:paraId="1C7FCBB5" w14:textId="77777777" w:rsidR="00830E72" w:rsidRDefault="008344D8">
                    <w:pPr>
                      <w:rPr>
                        <w:szCs w:val="21"/>
                      </w:rPr>
                    </w:pPr>
                    <w:r>
                      <w:t>六安市</w:t>
                    </w:r>
                  </w:p>
                </w:tc>
                <w:tc>
                  <w:tcPr>
                    <w:tcW w:w="549" w:type="pct"/>
                    <w:vAlign w:val="center"/>
                  </w:tcPr>
                  <w:p w14:paraId="6DB69CCB" w14:textId="77777777" w:rsidR="00830E72" w:rsidRDefault="008344D8">
                    <w:pPr>
                      <w:rPr>
                        <w:szCs w:val="21"/>
                      </w:rPr>
                    </w:pPr>
                    <w:r>
                      <w:t>六安市</w:t>
                    </w:r>
                  </w:p>
                </w:tc>
                <w:tc>
                  <w:tcPr>
                    <w:tcW w:w="1175" w:type="pct"/>
                    <w:vAlign w:val="center"/>
                  </w:tcPr>
                  <w:p w14:paraId="11AA00E0" w14:textId="77777777" w:rsidR="00830E72" w:rsidRDefault="008344D8">
                    <w:pPr>
                      <w:rPr>
                        <w:szCs w:val="21"/>
                      </w:rPr>
                    </w:pPr>
                    <w:r>
                      <w:t>工程施工</w:t>
                    </w:r>
                  </w:p>
                </w:tc>
                <w:tc>
                  <w:tcPr>
                    <w:tcW w:w="548" w:type="pct"/>
                    <w:vAlign w:val="center"/>
                  </w:tcPr>
                  <w:p w14:paraId="41F03EDB" w14:textId="77777777" w:rsidR="00830E72" w:rsidRDefault="008344D8">
                    <w:pPr>
                      <w:jc w:val="right"/>
                      <w:rPr>
                        <w:szCs w:val="21"/>
                      </w:rPr>
                    </w:pPr>
                    <w:r>
                      <w:t>100.00</w:t>
                    </w:r>
                  </w:p>
                </w:tc>
                <w:tc>
                  <w:tcPr>
                    <w:tcW w:w="392" w:type="pct"/>
                    <w:vAlign w:val="center"/>
                  </w:tcPr>
                  <w:p w14:paraId="38A83B37" w14:textId="77777777" w:rsidR="00830E72" w:rsidRDefault="008344D8">
                    <w:pPr>
                      <w:jc w:val="right"/>
                      <w:rPr>
                        <w:szCs w:val="21"/>
                      </w:rPr>
                    </w:pPr>
                    <w:r>
                      <w:t>-</w:t>
                    </w:r>
                  </w:p>
                </w:tc>
                <w:tc>
                  <w:tcPr>
                    <w:tcW w:w="1102" w:type="pct"/>
                    <w:vAlign w:val="center"/>
                  </w:tcPr>
                  <w:p w14:paraId="28F476C9" w14:textId="77777777" w:rsidR="00830E72" w:rsidRDefault="008344D8" w:rsidP="007211E6">
                    <w:pPr>
                      <w:jc w:val="center"/>
                      <w:rPr>
                        <w:szCs w:val="21"/>
                      </w:rPr>
                    </w:pPr>
                    <w:r>
                      <w:t>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306740098"/>
              <w:lock w:val="sdtLocked"/>
            </w:sdtPr>
            <w:sdtEndPr/>
            <w:sdtContent>
              <w:tr w:rsidR="00830E72" w14:paraId="0E59EB8E" w14:textId="77777777">
                <w:tc>
                  <w:tcPr>
                    <w:tcW w:w="659" w:type="pct"/>
                    <w:vAlign w:val="center"/>
                  </w:tcPr>
                  <w:p w14:paraId="072CED29" w14:textId="77777777" w:rsidR="00830E72" w:rsidRDefault="008344D8">
                    <w:pPr>
                      <w:rPr>
                        <w:szCs w:val="21"/>
                      </w:rPr>
                    </w:pPr>
                    <w:r>
                      <w:t>界首齐美</w:t>
                    </w:r>
                  </w:p>
                </w:tc>
                <w:tc>
                  <w:tcPr>
                    <w:tcW w:w="574" w:type="pct"/>
                    <w:vAlign w:val="center"/>
                  </w:tcPr>
                  <w:p w14:paraId="6192E24F" w14:textId="77777777" w:rsidR="00830E72" w:rsidRDefault="008344D8">
                    <w:pPr>
                      <w:rPr>
                        <w:szCs w:val="21"/>
                      </w:rPr>
                    </w:pPr>
                    <w:r>
                      <w:t>阜阳市</w:t>
                    </w:r>
                  </w:p>
                </w:tc>
                <w:tc>
                  <w:tcPr>
                    <w:tcW w:w="549" w:type="pct"/>
                    <w:vAlign w:val="center"/>
                  </w:tcPr>
                  <w:p w14:paraId="5B00D52D" w14:textId="77777777" w:rsidR="00830E72" w:rsidRDefault="008344D8">
                    <w:pPr>
                      <w:rPr>
                        <w:szCs w:val="21"/>
                      </w:rPr>
                    </w:pPr>
                    <w:r>
                      <w:t>阜阳市</w:t>
                    </w:r>
                  </w:p>
                </w:tc>
                <w:tc>
                  <w:tcPr>
                    <w:tcW w:w="1175" w:type="pct"/>
                    <w:vAlign w:val="center"/>
                  </w:tcPr>
                  <w:p w14:paraId="49FF0F71" w14:textId="77777777" w:rsidR="00830E72" w:rsidRDefault="008344D8">
                    <w:pPr>
                      <w:rPr>
                        <w:szCs w:val="21"/>
                      </w:rPr>
                    </w:pPr>
                    <w:r>
                      <w:t>基础设施建设</w:t>
                    </w:r>
                  </w:p>
                </w:tc>
                <w:tc>
                  <w:tcPr>
                    <w:tcW w:w="548" w:type="pct"/>
                    <w:vAlign w:val="center"/>
                  </w:tcPr>
                  <w:p w14:paraId="590031B3" w14:textId="77777777" w:rsidR="00830E72" w:rsidRDefault="008344D8">
                    <w:pPr>
                      <w:jc w:val="right"/>
                      <w:rPr>
                        <w:szCs w:val="21"/>
                      </w:rPr>
                    </w:pPr>
                    <w:r>
                      <w:t>89.00</w:t>
                    </w:r>
                  </w:p>
                </w:tc>
                <w:tc>
                  <w:tcPr>
                    <w:tcW w:w="392" w:type="pct"/>
                    <w:vAlign w:val="center"/>
                  </w:tcPr>
                  <w:p w14:paraId="777F7D16" w14:textId="77777777" w:rsidR="00830E72" w:rsidRDefault="008344D8">
                    <w:pPr>
                      <w:jc w:val="right"/>
                      <w:rPr>
                        <w:szCs w:val="21"/>
                      </w:rPr>
                    </w:pPr>
                    <w:r>
                      <w:t>-</w:t>
                    </w:r>
                  </w:p>
                </w:tc>
                <w:tc>
                  <w:tcPr>
                    <w:tcW w:w="1102" w:type="pct"/>
                    <w:vAlign w:val="center"/>
                  </w:tcPr>
                  <w:p w14:paraId="70EEA5C2" w14:textId="77777777" w:rsidR="00830E72" w:rsidRDefault="008344D8" w:rsidP="007211E6">
                    <w:pPr>
                      <w:jc w:val="center"/>
                      <w:rPr>
                        <w:szCs w:val="21"/>
                      </w:rPr>
                    </w:pPr>
                    <w:r>
                      <w:t>设立</w:t>
                    </w:r>
                  </w:p>
                </w:tc>
              </w:tr>
            </w:sdtContent>
          </w:sdt>
        </w:tbl>
        <w:p w14:paraId="2AAE659A" w14:textId="77777777" w:rsidR="00830E72" w:rsidRDefault="00D44830">
          <w:pPr>
            <w:rPr>
              <w:rFonts w:cstheme="minorBidi"/>
              <w:szCs w:val="21"/>
            </w:rPr>
          </w:pPr>
        </w:p>
      </w:sdtContent>
    </w:sdt>
    <w:sdt>
      <w:sdtPr>
        <w:rPr>
          <w:rFonts w:ascii="宋体" w:hAnsi="宋体" w:cs="Arial" w:hint="eastAsia"/>
          <w:b w:val="0"/>
          <w:bCs w:val="0"/>
          <w:kern w:val="0"/>
          <w:szCs w:val="21"/>
        </w:rPr>
        <w:alias w:val="模块:重要的非全资子公司"/>
        <w:tag w:val="_GBC_a2ec6e05ebd34d2fa14b1ba6b3ba8eb1"/>
        <w:id w:val="384305887"/>
        <w:lock w:val="sdtLocked"/>
        <w:placeholder>
          <w:docPart w:val="GBC22222222222222222222222222222"/>
        </w:placeholder>
      </w:sdtPr>
      <w:sdtEndPr>
        <w:rPr>
          <w:rFonts w:hint="default"/>
        </w:rPr>
      </w:sdtEndPr>
      <w:sdtContent>
        <w:p w14:paraId="7F7C9591" w14:textId="77777777" w:rsidR="00830E72" w:rsidRDefault="008344D8">
          <w:pPr>
            <w:pStyle w:val="Style100"/>
            <w:numPr>
              <w:ilvl w:val="3"/>
              <w:numId w:val="81"/>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b83f349d0d754e2d93b12d2112b4c3ec"/>
            <w:id w:val="-965500279"/>
            <w:lock w:val="sdtContentLocked"/>
            <w:placeholder>
              <w:docPart w:val="GBC22222222222222222222222222222"/>
            </w:placeholder>
          </w:sdtPr>
          <w:sdtEndPr/>
          <w:sdtContent>
            <w:p w14:paraId="6982C699"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909BD36" w14:textId="77777777" w:rsidR="00830E72" w:rsidRDefault="008344D8">
          <w:pPr>
            <w:jc w:val="right"/>
          </w:pPr>
          <w:r>
            <w:rPr>
              <w:rFonts w:hint="eastAsia"/>
            </w:rPr>
            <w:t>单位：</w:t>
          </w:r>
          <w:sdt>
            <w:sdtPr>
              <w:rPr>
                <w:rFonts w:hint="eastAsia"/>
              </w:rPr>
              <w:alias w:val="单位：财务附注：重要的非全资子公司"/>
              <w:tag w:val="_GBC_e5936e9952394755bacf71d437afcd44"/>
              <w:id w:val="-2429588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1009906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612"/>
            <w:gridCol w:w="1814"/>
            <w:gridCol w:w="1937"/>
            <w:gridCol w:w="1943"/>
            <w:gridCol w:w="1743"/>
          </w:tblGrid>
          <w:tr w:rsidR="00830E72" w14:paraId="271C6303" w14:textId="77777777">
            <w:trPr>
              <w:trHeight w:val="241"/>
            </w:trPr>
            <w:sdt>
              <w:sdtPr>
                <w:tag w:val="_PLD_214f5d23d0ff4cd08577f444026e3bf2"/>
                <w:id w:val="-1078436924"/>
                <w:lock w:val="sdtLocked"/>
              </w:sdtPr>
              <w:sdtEndPr/>
              <w:sdtContent>
                <w:tc>
                  <w:tcPr>
                    <w:tcW w:w="890" w:type="pct"/>
                    <w:tcBorders>
                      <w:top w:val="single" w:sz="4" w:space="0" w:color="auto"/>
                      <w:left w:val="single" w:sz="4" w:space="0" w:color="auto"/>
                      <w:bottom w:val="single" w:sz="6" w:space="0" w:color="auto"/>
                      <w:right w:val="single" w:sz="6" w:space="0" w:color="auto"/>
                    </w:tcBorders>
                    <w:shd w:val="clear" w:color="auto" w:fill="auto"/>
                    <w:vAlign w:val="center"/>
                  </w:tcPr>
                  <w:p w14:paraId="65ACB474" w14:textId="77777777" w:rsidR="00830E72" w:rsidRDefault="008344D8">
                    <w:pPr>
                      <w:jc w:val="center"/>
                      <w:rPr>
                        <w:rFonts w:cs="Arial"/>
                        <w:szCs w:val="21"/>
                      </w:rPr>
                    </w:pPr>
                    <w:r>
                      <w:rPr>
                        <w:rFonts w:cs="Arial" w:hint="eastAsia"/>
                        <w:szCs w:val="21"/>
                        <w:lang w:val="en-GB"/>
                      </w:rPr>
                      <w:t>子公司名称</w:t>
                    </w:r>
                  </w:p>
                </w:tc>
              </w:sdtContent>
            </w:sdt>
            <w:sdt>
              <w:sdtPr>
                <w:tag w:val="_PLD_8f337a5f047e4f5eb2e03caf3b5ce2bb"/>
                <w:id w:val="-762531910"/>
                <w:lock w:val="sdtLocked"/>
              </w:sdtPr>
              <w:sdtEndPr/>
              <w:sdtContent>
                <w:tc>
                  <w:tcPr>
                    <w:tcW w:w="1002" w:type="pct"/>
                    <w:tcBorders>
                      <w:top w:val="single" w:sz="4" w:space="0" w:color="auto"/>
                      <w:left w:val="single" w:sz="6" w:space="0" w:color="auto"/>
                      <w:bottom w:val="single" w:sz="6" w:space="0" w:color="auto"/>
                      <w:right w:val="single" w:sz="6" w:space="0" w:color="auto"/>
                    </w:tcBorders>
                    <w:shd w:val="clear" w:color="auto" w:fill="auto"/>
                    <w:vAlign w:val="center"/>
                  </w:tcPr>
                  <w:p w14:paraId="2D93BF4D" w14:textId="77777777" w:rsidR="00830E72" w:rsidRDefault="008344D8">
                    <w:pPr>
                      <w:jc w:val="center"/>
                      <w:rPr>
                        <w:rFonts w:cs="Arial"/>
                        <w:bCs/>
                        <w:szCs w:val="21"/>
                        <w:lang w:val="en-GB"/>
                      </w:rPr>
                    </w:pPr>
                    <w:r>
                      <w:rPr>
                        <w:rFonts w:cs="Arial" w:hint="eastAsia"/>
                        <w:bCs/>
                        <w:szCs w:val="21"/>
                        <w:lang w:val="en-GB"/>
                      </w:rPr>
                      <w:t>少数股东持股</w:t>
                    </w:r>
                  </w:p>
                  <w:p w14:paraId="181EBBCD" w14:textId="77777777" w:rsidR="00830E72" w:rsidRDefault="008344D8">
                    <w:pPr>
                      <w:jc w:val="center"/>
                      <w:rPr>
                        <w:rFonts w:cs="Arial"/>
                        <w:szCs w:val="21"/>
                      </w:rPr>
                    </w:pPr>
                    <w:r>
                      <w:rPr>
                        <w:rFonts w:cs="Arial" w:hint="eastAsia"/>
                        <w:bCs/>
                        <w:szCs w:val="21"/>
                        <w:lang w:val="en-GB"/>
                      </w:rPr>
                      <w:t>比例</w:t>
                    </w:r>
                    <w:r>
                      <w:rPr>
                        <w:rFonts w:hint="eastAsia"/>
                      </w:rPr>
                      <w:t>（%）</w:t>
                    </w:r>
                  </w:p>
                </w:tc>
              </w:sdtContent>
            </w:sdt>
            <w:sdt>
              <w:sdtPr>
                <w:tag w:val="_PLD_70aca7c8f09a4a579e632e06c25a6ab5"/>
                <w:id w:val="1863789142"/>
                <w:lock w:val="sdtLocked"/>
              </w:sdtPr>
              <w:sdtEndPr/>
              <w:sdtContent>
                <w:tc>
                  <w:tcPr>
                    <w:tcW w:w="1070" w:type="pct"/>
                    <w:tcBorders>
                      <w:top w:val="single" w:sz="4" w:space="0" w:color="auto"/>
                      <w:left w:val="single" w:sz="6" w:space="0" w:color="auto"/>
                      <w:bottom w:val="single" w:sz="6" w:space="0" w:color="auto"/>
                      <w:right w:val="single" w:sz="6" w:space="0" w:color="auto"/>
                    </w:tcBorders>
                    <w:shd w:val="clear" w:color="auto" w:fill="auto"/>
                    <w:vAlign w:val="center"/>
                  </w:tcPr>
                  <w:p w14:paraId="6E175E3E" w14:textId="77777777" w:rsidR="00830E72" w:rsidRDefault="008344D8">
                    <w:pPr>
                      <w:jc w:val="center"/>
                      <w:rPr>
                        <w:rFonts w:cs="Arial"/>
                        <w:szCs w:val="21"/>
                      </w:rPr>
                    </w:pPr>
                    <w:r>
                      <w:rPr>
                        <w:rFonts w:cs="Arial" w:hint="eastAsia"/>
                        <w:bCs/>
                        <w:szCs w:val="21"/>
                        <w:lang w:val="en-GB"/>
                      </w:rPr>
                      <w:t>本期归属于少数股东的损益</w:t>
                    </w:r>
                  </w:p>
                </w:tc>
              </w:sdtContent>
            </w:sdt>
            <w:sdt>
              <w:sdtPr>
                <w:tag w:val="_PLD_4154a89239e54416bb4c7ab182b0ae5a"/>
                <w:id w:val="2126122540"/>
                <w:lock w:val="sdtLocked"/>
              </w:sdtPr>
              <w:sdtEndPr/>
              <w:sdtContent>
                <w:tc>
                  <w:tcPr>
                    <w:tcW w:w="1073" w:type="pct"/>
                    <w:tcBorders>
                      <w:top w:val="single" w:sz="4" w:space="0" w:color="auto"/>
                      <w:left w:val="single" w:sz="6" w:space="0" w:color="auto"/>
                      <w:bottom w:val="single" w:sz="6" w:space="0" w:color="auto"/>
                      <w:right w:val="single" w:sz="6" w:space="0" w:color="auto"/>
                    </w:tcBorders>
                    <w:shd w:val="clear" w:color="auto" w:fill="auto"/>
                    <w:vAlign w:val="center"/>
                  </w:tcPr>
                  <w:p w14:paraId="11876843" w14:textId="77777777" w:rsidR="00830E72" w:rsidRDefault="008344D8">
                    <w:pPr>
                      <w:jc w:val="center"/>
                      <w:rPr>
                        <w:rFonts w:cs="Arial"/>
                        <w:szCs w:val="21"/>
                      </w:rPr>
                    </w:pPr>
                    <w:r>
                      <w:rPr>
                        <w:rFonts w:cs="Arial" w:hint="eastAsia"/>
                        <w:bCs/>
                        <w:szCs w:val="21"/>
                        <w:lang w:val="en-GB"/>
                      </w:rPr>
                      <w:t>本期向少数股东宣告分派的股利</w:t>
                    </w:r>
                  </w:p>
                </w:tc>
              </w:sdtContent>
            </w:sdt>
            <w:sdt>
              <w:sdtPr>
                <w:tag w:val="_PLD_cea34ef7af164cc8816d90890b528f36"/>
                <w:id w:val="645396207"/>
                <w:lock w:val="sdtLocked"/>
              </w:sdtPr>
              <w:sdtEndPr/>
              <w:sdtContent>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14:paraId="12B79002" w14:textId="77777777" w:rsidR="00830E72" w:rsidRDefault="008344D8">
                    <w:pPr>
                      <w:ind w:right="-16"/>
                      <w:jc w:val="center"/>
                      <w:rPr>
                        <w:rFonts w:cs="Arial"/>
                        <w:bCs/>
                        <w:szCs w:val="21"/>
                      </w:rPr>
                    </w:pPr>
                    <w:r>
                      <w:rPr>
                        <w:rFonts w:cs="Arial" w:hint="eastAsia"/>
                        <w:bCs/>
                        <w:szCs w:val="21"/>
                        <w:lang w:val="en-GB"/>
                      </w:rPr>
                      <w:t>期末少数股东权益余额</w:t>
                    </w:r>
                  </w:p>
                </w:tc>
              </w:sdtContent>
            </w:sdt>
          </w:tr>
          <w:sdt>
            <w:sdtPr>
              <w:rPr>
                <w:szCs w:val="21"/>
              </w:rPr>
              <w:alias w:val="重要的非全资子公司明细"/>
              <w:tag w:val="_GBC_786318b12f804986888adc0492796ebd"/>
              <w:id w:val="1261793713"/>
            </w:sdtPr>
            <w:sdtEndPr/>
            <w:sdtContent>
              <w:tr w:rsidR="00830E72" w14:paraId="3566CDEE" w14:textId="77777777">
                <w:tc>
                  <w:tcPr>
                    <w:tcW w:w="890" w:type="pct"/>
                    <w:tcBorders>
                      <w:top w:val="single" w:sz="6" w:space="0" w:color="auto"/>
                      <w:left w:val="single" w:sz="4" w:space="0" w:color="auto"/>
                      <w:bottom w:val="single" w:sz="4" w:space="0" w:color="auto"/>
                      <w:right w:val="single" w:sz="6" w:space="0" w:color="auto"/>
                    </w:tcBorders>
                  </w:tcPr>
                  <w:p w14:paraId="070F2C1B" w14:textId="77777777" w:rsidR="00830E72" w:rsidRDefault="008344D8">
                    <w:pPr>
                      <w:rPr>
                        <w:szCs w:val="21"/>
                      </w:rPr>
                    </w:pPr>
                    <w:r>
                      <w:rPr>
                        <w:rFonts w:hint="eastAsia"/>
                        <w:szCs w:val="21"/>
                      </w:rPr>
                      <w:t>浙勘院</w:t>
                    </w:r>
                  </w:p>
                </w:tc>
                <w:tc>
                  <w:tcPr>
                    <w:tcW w:w="1002" w:type="pct"/>
                    <w:tcBorders>
                      <w:top w:val="single" w:sz="6" w:space="0" w:color="auto"/>
                      <w:left w:val="single" w:sz="6" w:space="0" w:color="auto"/>
                      <w:bottom w:val="single" w:sz="4" w:space="0" w:color="auto"/>
                      <w:right w:val="single" w:sz="6" w:space="0" w:color="auto"/>
                    </w:tcBorders>
                  </w:tcPr>
                  <w:p w14:paraId="6C1BBC42" w14:textId="77777777" w:rsidR="00830E72" w:rsidRDefault="008344D8">
                    <w:pPr>
                      <w:jc w:val="right"/>
                      <w:rPr>
                        <w:szCs w:val="21"/>
                      </w:rPr>
                    </w:pPr>
                    <w:r>
                      <w:rPr>
                        <w:rFonts w:hint="eastAsia"/>
                        <w:szCs w:val="21"/>
                      </w:rPr>
                      <w:t>45.00</w:t>
                    </w:r>
                  </w:p>
                </w:tc>
                <w:tc>
                  <w:tcPr>
                    <w:tcW w:w="1070" w:type="pct"/>
                    <w:tcBorders>
                      <w:top w:val="single" w:sz="6" w:space="0" w:color="auto"/>
                      <w:left w:val="single" w:sz="6" w:space="0" w:color="auto"/>
                      <w:bottom w:val="single" w:sz="4" w:space="0" w:color="auto"/>
                      <w:right w:val="single" w:sz="6" w:space="0" w:color="auto"/>
                    </w:tcBorders>
                  </w:tcPr>
                  <w:p w14:paraId="7F120F82" w14:textId="77777777" w:rsidR="00830E72" w:rsidRDefault="008344D8">
                    <w:pPr>
                      <w:jc w:val="right"/>
                      <w:rPr>
                        <w:szCs w:val="21"/>
                      </w:rPr>
                    </w:pPr>
                    <w:r>
                      <w:rPr>
                        <w:szCs w:val="21"/>
                      </w:rPr>
                      <w:t>12,147.35</w:t>
                    </w:r>
                  </w:p>
                </w:tc>
                <w:tc>
                  <w:tcPr>
                    <w:tcW w:w="1073" w:type="pct"/>
                    <w:tcBorders>
                      <w:top w:val="single" w:sz="6" w:space="0" w:color="auto"/>
                      <w:left w:val="single" w:sz="6" w:space="0" w:color="auto"/>
                      <w:bottom w:val="single" w:sz="4" w:space="0" w:color="auto"/>
                      <w:right w:val="single" w:sz="6" w:space="0" w:color="auto"/>
                    </w:tcBorders>
                  </w:tcPr>
                  <w:p w14:paraId="72E9DED7" w14:textId="77777777" w:rsidR="00830E72" w:rsidRDefault="00830E72">
                    <w:pPr>
                      <w:jc w:val="right"/>
                      <w:rPr>
                        <w:szCs w:val="21"/>
                      </w:rPr>
                    </w:pPr>
                  </w:p>
                </w:tc>
                <w:tc>
                  <w:tcPr>
                    <w:tcW w:w="963" w:type="pct"/>
                    <w:tcBorders>
                      <w:top w:val="single" w:sz="6" w:space="0" w:color="auto"/>
                      <w:left w:val="single" w:sz="6" w:space="0" w:color="auto"/>
                      <w:bottom w:val="single" w:sz="4" w:space="0" w:color="auto"/>
                      <w:right w:val="single" w:sz="4" w:space="0" w:color="auto"/>
                    </w:tcBorders>
                  </w:tcPr>
                  <w:p w14:paraId="1116DE9C" w14:textId="77777777" w:rsidR="00830E72" w:rsidRDefault="008344D8">
                    <w:pPr>
                      <w:jc w:val="right"/>
                      <w:rPr>
                        <w:szCs w:val="21"/>
                      </w:rPr>
                    </w:pPr>
                    <w:r>
                      <w:rPr>
                        <w:szCs w:val="21"/>
                      </w:rPr>
                      <w:t>23,098,659.37</w:t>
                    </w:r>
                  </w:p>
                </w:tc>
              </w:tr>
            </w:sdtContent>
          </w:sdt>
          <w:sdt>
            <w:sdtPr>
              <w:rPr>
                <w:szCs w:val="21"/>
              </w:rPr>
              <w:alias w:val="重要的非全资子公司明细"/>
              <w:tag w:val="_GBC_786318b12f804986888adc0492796ebd"/>
              <w:id w:val="98310006"/>
            </w:sdtPr>
            <w:sdtEndPr/>
            <w:sdtContent>
              <w:tr w:rsidR="00830E72" w14:paraId="453E3EBC" w14:textId="77777777">
                <w:tc>
                  <w:tcPr>
                    <w:tcW w:w="890" w:type="pct"/>
                    <w:tcBorders>
                      <w:top w:val="single" w:sz="6" w:space="0" w:color="auto"/>
                      <w:left w:val="single" w:sz="4" w:space="0" w:color="auto"/>
                      <w:bottom w:val="single" w:sz="4" w:space="0" w:color="auto"/>
                      <w:right w:val="single" w:sz="6" w:space="0" w:color="auto"/>
                    </w:tcBorders>
                  </w:tcPr>
                  <w:p w14:paraId="43F6F356" w14:textId="77777777" w:rsidR="00830E72" w:rsidRDefault="008344D8">
                    <w:pPr>
                      <w:rPr>
                        <w:szCs w:val="21"/>
                      </w:rPr>
                    </w:pPr>
                    <w:r>
                      <w:rPr>
                        <w:rFonts w:hint="eastAsia"/>
                        <w:szCs w:val="21"/>
                      </w:rPr>
                      <w:t>亳州祥居</w:t>
                    </w:r>
                  </w:p>
                </w:tc>
                <w:tc>
                  <w:tcPr>
                    <w:tcW w:w="1002" w:type="pct"/>
                    <w:tcBorders>
                      <w:top w:val="single" w:sz="6" w:space="0" w:color="auto"/>
                      <w:left w:val="single" w:sz="6" w:space="0" w:color="auto"/>
                      <w:bottom w:val="single" w:sz="4" w:space="0" w:color="auto"/>
                      <w:right w:val="single" w:sz="6" w:space="0" w:color="auto"/>
                    </w:tcBorders>
                  </w:tcPr>
                  <w:p w14:paraId="73E1F5D8" w14:textId="77777777" w:rsidR="00830E72" w:rsidRDefault="008344D8">
                    <w:pPr>
                      <w:jc w:val="right"/>
                      <w:rPr>
                        <w:szCs w:val="21"/>
                      </w:rPr>
                    </w:pPr>
                    <w:r>
                      <w:rPr>
                        <w:rFonts w:hint="eastAsia"/>
                        <w:szCs w:val="21"/>
                      </w:rPr>
                      <w:t>21.00</w:t>
                    </w:r>
                  </w:p>
                </w:tc>
                <w:tc>
                  <w:tcPr>
                    <w:tcW w:w="1070" w:type="pct"/>
                    <w:tcBorders>
                      <w:top w:val="single" w:sz="6" w:space="0" w:color="auto"/>
                      <w:left w:val="single" w:sz="6" w:space="0" w:color="auto"/>
                      <w:bottom w:val="single" w:sz="4" w:space="0" w:color="auto"/>
                      <w:right w:val="single" w:sz="6" w:space="0" w:color="auto"/>
                    </w:tcBorders>
                  </w:tcPr>
                  <w:p w14:paraId="3EA143E0" w14:textId="77777777" w:rsidR="00830E72" w:rsidRDefault="008344D8">
                    <w:pPr>
                      <w:jc w:val="right"/>
                      <w:rPr>
                        <w:szCs w:val="21"/>
                      </w:rPr>
                    </w:pPr>
                    <w:r>
                      <w:rPr>
                        <w:szCs w:val="21"/>
                      </w:rPr>
                      <w:t>1,969,060.25</w:t>
                    </w:r>
                  </w:p>
                </w:tc>
                <w:tc>
                  <w:tcPr>
                    <w:tcW w:w="1073" w:type="pct"/>
                    <w:tcBorders>
                      <w:top w:val="single" w:sz="6" w:space="0" w:color="auto"/>
                      <w:left w:val="single" w:sz="6" w:space="0" w:color="auto"/>
                      <w:bottom w:val="single" w:sz="4" w:space="0" w:color="auto"/>
                      <w:right w:val="single" w:sz="6" w:space="0" w:color="auto"/>
                    </w:tcBorders>
                  </w:tcPr>
                  <w:p w14:paraId="4BB5AB23" w14:textId="77777777" w:rsidR="00830E72" w:rsidRDefault="00830E72">
                    <w:pPr>
                      <w:jc w:val="right"/>
                      <w:rPr>
                        <w:szCs w:val="21"/>
                      </w:rPr>
                    </w:pPr>
                  </w:p>
                </w:tc>
                <w:tc>
                  <w:tcPr>
                    <w:tcW w:w="963" w:type="pct"/>
                    <w:tcBorders>
                      <w:top w:val="single" w:sz="6" w:space="0" w:color="auto"/>
                      <w:left w:val="single" w:sz="6" w:space="0" w:color="auto"/>
                      <w:bottom w:val="single" w:sz="4" w:space="0" w:color="auto"/>
                      <w:right w:val="single" w:sz="4" w:space="0" w:color="auto"/>
                    </w:tcBorders>
                  </w:tcPr>
                  <w:p w14:paraId="1373317D" w14:textId="77777777" w:rsidR="00830E72" w:rsidRDefault="008344D8">
                    <w:pPr>
                      <w:jc w:val="right"/>
                      <w:rPr>
                        <w:szCs w:val="21"/>
                      </w:rPr>
                    </w:pPr>
                    <w:r>
                      <w:rPr>
                        <w:szCs w:val="21"/>
                      </w:rPr>
                      <w:t>36,976,823.60</w:t>
                    </w:r>
                  </w:p>
                </w:tc>
              </w:tr>
            </w:sdtContent>
          </w:sdt>
          <w:sdt>
            <w:sdtPr>
              <w:rPr>
                <w:szCs w:val="21"/>
              </w:rPr>
              <w:alias w:val="重要的非全资子公司明细"/>
              <w:tag w:val="_GBC_786318b12f804986888adc0492796ebd"/>
              <w:id w:val="609101074"/>
            </w:sdtPr>
            <w:sdtEndPr/>
            <w:sdtContent>
              <w:tr w:rsidR="00830E72" w14:paraId="48DF277C" w14:textId="77777777">
                <w:tc>
                  <w:tcPr>
                    <w:tcW w:w="890" w:type="pct"/>
                    <w:tcBorders>
                      <w:top w:val="single" w:sz="6" w:space="0" w:color="auto"/>
                      <w:left w:val="single" w:sz="4" w:space="0" w:color="auto"/>
                      <w:bottom w:val="single" w:sz="4" w:space="0" w:color="auto"/>
                      <w:right w:val="single" w:sz="6" w:space="0" w:color="auto"/>
                    </w:tcBorders>
                  </w:tcPr>
                  <w:p w14:paraId="7FF98038" w14:textId="77777777" w:rsidR="00830E72" w:rsidRDefault="008344D8">
                    <w:pPr>
                      <w:rPr>
                        <w:szCs w:val="21"/>
                      </w:rPr>
                    </w:pPr>
                    <w:r>
                      <w:rPr>
                        <w:rFonts w:hint="eastAsia"/>
                        <w:szCs w:val="21"/>
                      </w:rPr>
                      <w:t>宿松振兴</w:t>
                    </w:r>
                  </w:p>
                </w:tc>
                <w:tc>
                  <w:tcPr>
                    <w:tcW w:w="1002" w:type="pct"/>
                    <w:tcBorders>
                      <w:top w:val="single" w:sz="6" w:space="0" w:color="auto"/>
                      <w:left w:val="single" w:sz="6" w:space="0" w:color="auto"/>
                      <w:bottom w:val="single" w:sz="4" w:space="0" w:color="auto"/>
                      <w:right w:val="single" w:sz="6" w:space="0" w:color="auto"/>
                    </w:tcBorders>
                  </w:tcPr>
                  <w:p w14:paraId="21B8E0F4" w14:textId="77777777" w:rsidR="00830E72" w:rsidRDefault="008344D8">
                    <w:pPr>
                      <w:jc w:val="right"/>
                      <w:rPr>
                        <w:szCs w:val="21"/>
                      </w:rPr>
                    </w:pPr>
                    <w:r>
                      <w:rPr>
                        <w:rFonts w:hint="eastAsia"/>
                        <w:szCs w:val="21"/>
                      </w:rPr>
                      <w:t>10.00</w:t>
                    </w:r>
                  </w:p>
                </w:tc>
                <w:tc>
                  <w:tcPr>
                    <w:tcW w:w="1070" w:type="pct"/>
                    <w:tcBorders>
                      <w:top w:val="single" w:sz="6" w:space="0" w:color="auto"/>
                      <w:left w:val="single" w:sz="6" w:space="0" w:color="auto"/>
                      <w:bottom w:val="single" w:sz="4" w:space="0" w:color="auto"/>
                      <w:right w:val="single" w:sz="6" w:space="0" w:color="auto"/>
                    </w:tcBorders>
                  </w:tcPr>
                  <w:p w14:paraId="4C9AA6D0" w14:textId="77777777" w:rsidR="00830E72" w:rsidRDefault="00830E72">
                    <w:pPr>
                      <w:jc w:val="right"/>
                      <w:rPr>
                        <w:szCs w:val="21"/>
                      </w:rPr>
                    </w:pPr>
                  </w:p>
                </w:tc>
                <w:tc>
                  <w:tcPr>
                    <w:tcW w:w="1073" w:type="pct"/>
                    <w:tcBorders>
                      <w:top w:val="single" w:sz="6" w:space="0" w:color="auto"/>
                      <w:left w:val="single" w:sz="6" w:space="0" w:color="auto"/>
                      <w:bottom w:val="single" w:sz="4" w:space="0" w:color="auto"/>
                      <w:right w:val="single" w:sz="6" w:space="0" w:color="auto"/>
                    </w:tcBorders>
                  </w:tcPr>
                  <w:p w14:paraId="63FE5FEA" w14:textId="77777777" w:rsidR="00830E72" w:rsidRDefault="00830E72">
                    <w:pPr>
                      <w:jc w:val="right"/>
                      <w:rPr>
                        <w:szCs w:val="21"/>
                      </w:rPr>
                    </w:pPr>
                  </w:p>
                </w:tc>
                <w:tc>
                  <w:tcPr>
                    <w:tcW w:w="963" w:type="pct"/>
                    <w:tcBorders>
                      <w:top w:val="single" w:sz="6" w:space="0" w:color="auto"/>
                      <w:left w:val="single" w:sz="6" w:space="0" w:color="auto"/>
                      <w:bottom w:val="single" w:sz="4" w:space="0" w:color="auto"/>
                      <w:right w:val="single" w:sz="4" w:space="0" w:color="auto"/>
                    </w:tcBorders>
                  </w:tcPr>
                  <w:p w14:paraId="30B2727E" w14:textId="77777777" w:rsidR="00830E72" w:rsidRDefault="008344D8">
                    <w:pPr>
                      <w:jc w:val="right"/>
                      <w:rPr>
                        <w:szCs w:val="21"/>
                      </w:rPr>
                    </w:pPr>
                    <w:r>
                      <w:rPr>
                        <w:szCs w:val="21"/>
                      </w:rPr>
                      <w:t>2,000,000.00</w:t>
                    </w:r>
                  </w:p>
                </w:tc>
              </w:tr>
            </w:sdtContent>
          </w:sdt>
          <w:sdt>
            <w:sdtPr>
              <w:rPr>
                <w:szCs w:val="21"/>
              </w:rPr>
              <w:alias w:val="重要的非全资子公司明细"/>
              <w:tag w:val="_GBC_786318b12f804986888adc0492796ebd"/>
              <w:id w:val="-1380324156"/>
            </w:sdtPr>
            <w:sdtEndPr/>
            <w:sdtContent>
              <w:tr w:rsidR="00830E72" w14:paraId="43C50870" w14:textId="77777777">
                <w:tc>
                  <w:tcPr>
                    <w:tcW w:w="890" w:type="pct"/>
                    <w:tcBorders>
                      <w:top w:val="single" w:sz="6" w:space="0" w:color="auto"/>
                      <w:left w:val="single" w:sz="4" w:space="0" w:color="auto"/>
                      <w:bottom w:val="single" w:sz="4" w:space="0" w:color="auto"/>
                      <w:right w:val="single" w:sz="6" w:space="0" w:color="auto"/>
                    </w:tcBorders>
                  </w:tcPr>
                  <w:p w14:paraId="33FAA67A" w14:textId="77777777" w:rsidR="00830E72" w:rsidRDefault="008344D8">
                    <w:pPr>
                      <w:rPr>
                        <w:szCs w:val="21"/>
                      </w:rPr>
                    </w:pPr>
                    <w:r>
                      <w:rPr>
                        <w:rFonts w:hint="eastAsia"/>
                        <w:szCs w:val="21"/>
                      </w:rPr>
                      <w:t>界首齐美</w:t>
                    </w:r>
                  </w:p>
                </w:tc>
                <w:tc>
                  <w:tcPr>
                    <w:tcW w:w="1002" w:type="pct"/>
                    <w:tcBorders>
                      <w:top w:val="single" w:sz="6" w:space="0" w:color="auto"/>
                      <w:left w:val="single" w:sz="6" w:space="0" w:color="auto"/>
                      <w:bottom w:val="single" w:sz="4" w:space="0" w:color="auto"/>
                      <w:right w:val="single" w:sz="6" w:space="0" w:color="auto"/>
                    </w:tcBorders>
                  </w:tcPr>
                  <w:p w14:paraId="31D15569" w14:textId="77777777" w:rsidR="00830E72" w:rsidRDefault="008344D8">
                    <w:pPr>
                      <w:jc w:val="right"/>
                      <w:rPr>
                        <w:szCs w:val="21"/>
                      </w:rPr>
                    </w:pPr>
                    <w:r>
                      <w:rPr>
                        <w:rFonts w:hint="eastAsia"/>
                        <w:szCs w:val="21"/>
                      </w:rPr>
                      <w:t>11.00</w:t>
                    </w:r>
                  </w:p>
                </w:tc>
                <w:tc>
                  <w:tcPr>
                    <w:tcW w:w="1070" w:type="pct"/>
                    <w:tcBorders>
                      <w:top w:val="single" w:sz="6" w:space="0" w:color="auto"/>
                      <w:left w:val="single" w:sz="6" w:space="0" w:color="auto"/>
                      <w:bottom w:val="single" w:sz="4" w:space="0" w:color="auto"/>
                      <w:right w:val="single" w:sz="6" w:space="0" w:color="auto"/>
                    </w:tcBorders>
                  </w:tcPr>
                  <w:p w14:paraId="46C674BC" w14:textId="77777777" w:rsidR="00830E72" w:rsidRDefault="00830E72">
                    <w:pPr>
                      <w:jc w:val="right"/>
                      <w:rPr>
                        <w:szCs w:val="21"/>
                      </w:rPr>
                    </w:pPr>
                  </w:p>
                </w:tc>
                <w:tc>
                  <w:tcPr>
                    <w:tcW w:w="1073" w:type="pct"/>
                    <w:tcBorders>
                      <w:top w:val="single" w:sz="6" w:space="0" w:color="auto"/>
                      <w:left w:val="single" w:sz="6" w:space="0" w:color="auto"/>
                      <w:bottom w:val="single" w:sz="4" w:space="0" w:color="auto"/>
                      <w:right w:val="single" w:sz="6" w:space="0" w:color="auto"/>
                    </w:tcBorders>
                  </w:tcPr>
                  <w:p w14:paraId="46793719" w14:textId="77777777" w:rsidR="00830E72" w:rsidRDefault="00830E72">
                    <w:pPr>
                      <w:jc w:val="right"/>
                      <w:rPr>
                        <w:szCs w:val="21"/>
                      </w:rPr>
                    </w:pPr>
                  </w:p>
                </w:tc>
                <w:tc>
                  <w:tcPr>
                    <w:tcW w:w="963" w:type="pct"/>
                    <w:tcBorders>
                      <w:top w:val="single" w:sz="6" w:space="0" w:color="auto"/>
                      <w:left w:val="single" w:sz="6" w:space="0" w:color="auto"/>
                      <w:bottom w:val="single" w:sz="4" w:space="0" w:color="auto"/>
                      <w:right w:val="single" w:sz="4" w:space="0" w:color="auto"/>
                    </w:tcBorders>
                  </w:tcPr>
                  <w:p w14:paraId="33439C04" w14:textId="77777777" w:rsidR="00830E72" w:rsidRDefault="00830E72">
                    <w:pPr>
                      <w:jc w:val="right"/>
                      <w:rPr>
                        <w:szCs w:val="21"/>
                      </w:rPr>
                    </w:pPr>
                  </w:p>
                </w:tc>
              </w:tr>
            </w:sdtContent>
          </w:sdt>
        </w:tbl>
        <w:p w14:paraId="78E1995C" w14:textId="77777777" w:rsidR="00830E72" w:rsidRDefault="00830E72"/>
        <w:p w14:paraId="01C5551D" w14:textId="77777777" w:rsidR="00830E72" w:rsidRDefault="008344D8">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8bf91d6e05c644d1b37f5d88e434cb9e"/>
            <w:id w:val="-1442992614"/>
            <w:lock w:val="sdtContentLocked"/>
            <w:placeholder>
              <w:docPart w:val="GBC22222222222222222222222222222"/>
            </w:placeholder>
          </w:sdtPr>
          <w:sdtEndPr/>
          <w:sdtContent>
            <w:p w14:paraId="0A5EE23A" w14:textId="77777777" w:rsidR="00830E72" w:rsidRDefault="008344D8">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75197062" w14:textId="77777777" w:rsidR="00830E72" w:rsidRDefault="008344D8">
          <w:pPr>
            <w:rPr>
              <w:rFonts w:cs="Arial"/>
              <w:szCs w:val="21"/>
            </w:rPr>
          </w:pPr>
          <w:r>
            <w:rPr>
              <w:rFonts w:cs="Arial" w:hint="eastAsia"/>
              <w:szCs w:val="21"/>
            </w:rPr>
            <w:t>其他说明：</w:t>
          </w:r>
        </w:p>
        <w:sdt>
          <w:sdtPr>
            <w:rPr>
              <w:rFonts w:cs="Arial"/>
              <w:szCs w:val="21"/>
            </w:rPr>
            <w:alias w:val="是否适用：重要的非全资子公司其他说明[双击切换]"/>
            <w:tag w:val="_GBC_c511ac7f8f1f42bfa9130e28b68d1f19"/>
            <w:id w:val="1237120547"/>
            <w:lock w:val="sdtContentLocked"/>
            <w:placeholder>
              <w:docPart w:val="GBC22222222222222222222222222222"/>
            </w:placeholder>
          </w:sdtPr>
          <w:sdtEndPr/>
          <w:sdtContent>
            <w:p w14:paraId="6BF961F7" w14:textId="77777777" w:rsidR="00830E72" w:rsidRDefault="008344D8">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14:paraId="593033E5" w14:textId="77777777" w:rsidR="00830E72" w:rsidRDefault="00830E72">
      <w:pPr>
        <w:rPr>
          <w:rFonts w:cs="Arial"/>
          <w:szCs w:val="21"/>
        </w:rPr>
        <w:sectPr w:rsidR="00830E72">
          <w:pgSz w:w="11906" w:h="16838"/>
          <w:pgMar w:top="1525" w:right="1276" w:bottom="1440" w:left="1797" w:header="856" w:footer="992" w:gutter="0"/>
          <w:cols w:space="425"/>
          <w:docGrid w:linePitch="312"/>
        </w:sectPr>
      </w:pPr>
    </w:p>
    <w:p w14:paraId="2943B913" w14:textId="77777777" w:rsidR="00830E72" w:rsidRDefault="00830E72">
      <w:pPr>
        <w:rPr>
          <w:rFonts w:cs="Arial"/>
          <w:szCs w:val="21"/>
        </w:rPr>
      </w:pPr>
    </w:p>
    <w:sdt>
      <w:sdtPr>
        <w:rPr>
          <w:rFonts w:ascii="宋体" w:hAnsi="宋体" w:cs="Arial" w:hint="eastAsia"/>
          <w:b w:val="0"/>
          <w:bCs w:val="0"/>
          <w:kern w:val="0"/>
          <w:szCs w:val="21"/>
        </w:rPr>
        <w:alias w:val="模块:重要非全资子公司的主要财务信息"/>
        <w:tag w:val="_GBC_501222dd8f884fabbdeaec6fe7e79709"/>
        <w:id w:val="-1250038810"/>
        <w:lock w:val="sdtLocked"/>
        <w:placeholder>
          <w:docPart w:val="GBC22222222222222222222222222222"/>
        </w:placeholder>
      </w:sdtPr>
      <w:sdtEndPr>
        <w:rPr>
          <w:rFonts w:hint="default"/>
        </w:rPr>
      </w:sdtEndPr>
      <w:sdtContent>
        <w:p w14:paraId="261FE26C" w14:textId="77777777" w:rsidR="00830E72" w:rsidRDefault="008344D8">
          <w:pPr>
            <w:pStyle w:val="Style100"/>
            <w:numPr>
              <w:ilvl w:val="3"/>
              <w:numId w:val="81"/>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c10a7c42e39b4ac9a711e2e9d367799e"/>
            <w:id w:val="609630829"/>
            <w:lock w:val="sdtContentLocked"/>
            <w:placeholder>
              <w:docPart w:val="GBC22222222222222222222222222222"/>
            </w:placeholder>
          </w:sdtPr>
          <w:sdtEndPr/>
          <w:sdtContent>
            <w:p w14:paraId="303E1EE1"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A3368D1" w14:textId="77777777" w:rsidR="00830E72" w:rsidRDefault="008344D8">
          <w:pPr>
            <w:jc w:val="right"/>
          </w:pPr>
          <w:r>
            <w:rPr>
              <w:rFonts w:hint="eastAsia"/>
            </w:rPr>
            <w:t>单位：</w:t>
          </w:r>
          <w:sdt>
            <w:sdtPr>
              <w:rPr>
                <w:rFonts w:hint="eastAsia"/>
              </w:rPr>
              <w:alias w:val="单位：财务附注：重要非全资子公司的主要财务信息"/>
              <w:tag w:val="_GBC_ba918360b15748859fb63cacad1f617d"/>
              <w:id w:val="-12750900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币种：</w:t>
          </w:r>
          <w:sdt>
            <w:sdtPr>
              <w:rPr>
                <w:rFonts w:hint="eastAsia"/>
              </w:rPr>
              <w:alias w:val="币种：财务附注：重要非全资子公司的主要财务信息"/>
              <w:tag w:val="_GBC_af5cc4f1e7a74e3d8f9c9fea25fdf05f"/>
              <w:id w:val="-19044383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84"/>
            <w:gridCol w:w="1084"/>
            <w:gridCol w:w="1085"/>
            <w:gridCol w:w="1085"/>
            <w:gridCol w:w="1085"/>
            <w:gridCol w:w="1085"/>
            <w:gridCol w:w="1085"/>
            <w:gridCol w:w="1085"/>
            <w:gridCol w:w="1085"/>
            <w:gridCol w:w="1085"/>
            <w:gridCol w:w="1085"/>
            <w:gridCol w:w="1085"/>
            <w:gridCol w:w="1071"/>
          </w:tblGrid>
          <w:tr w:rsidR="00830E72" w14:paraId="7C2FCA4B" w14:textId="77777777">
            <w:trPr>
              <w:trHeight w:val="241"/>
            </w:trPr>
            <w:sdt>
              <w:sdtPr>
                <w:rPr>
                  <w:rFonts w:asciiTheme="minorEastAsia" w:hAnsiTheme="minorEastAsia"/>
                  <w:sz w:val="18"/>
                  <w:szCs w:val="18"/>
                </w:rPr>
                <w:tag w:val="_PLD_e65ae60c1beb4e5aa4e9c5250ffb188a"/>
                <w:id w:val="-854255558"/>
                <w:lock w:val="sdtLocked"/>
              </w:sdtPr>
              <w:sdtEndPr/>
              <w:sdtContent>
                <w:tc>
                  <w:tcPr>
                    <w:tcW w:w="38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14:paraId="0148F3EB" w14:textId="77777777" w:rsidR="00830E72" w:rsidRDefault="008344D8">
                    <w:pPr>
                      <w:ind w:right="-16"/>
                      <w:jc w:val="center"/>
                      <w:rPr>
                        <w:rFonts w:asciiTheme="minorEastAsia" w:eastAsiaTheme="minorEastAsia" w:hAnsiTheme="minorEastAsia" w:cs="Arial"/>
                        <w:bCs/>
                        <w:sz w:val="18"/>
                        <w:szCs w:val="18"/>
                      </w:rPr>
                    </w:pPr>
                    <w:r>
                      <w:rPr>
                        <w:rFonts w:asciiTheme="minorEastAsia" w:eastAsiaTheme="minorEastAsia" w:hAnsiTheme="minorEastAsia" w:cs="Arial" w:hint="eastAsia"/>
                        <w:bCs/>
                        <w:sz w:val="18"/>
                        <w:szCs w:val="18"/>
                        <w:lang w:val="en-GB"/>
                      </w:rPr>
                      <w:t>子公司名称</w:t>
                    </w:r>
                  </w:p>
                </w:tc>
              </w:sdtContent>
            </w:sdt>
            <w:sdt>
              <w:sdtPr>
                <w:rPr>
                  <w:rFonts w:asciiTheme="minorEastAsia" w:hAnsiTheme="minorEastAsia"/>
                  <w:sz w:val="18"/>
                  <w:szCs w:val="18"/>
                </w:rPr>
                <w:tag w:val="_PLD_878e21e6ce5e466eb427e7200cc9e5bb"/>
                <w:id w:val="-1174720403"/>
                <w:lock w:val="sdtLocked"/>
              </w:sdtPr>
              <w:sdtEndPr/>
              <w:sdtContent>
                <w:tc>
                  <w:tcPr>
                    <w:tcW w:w="2307" w:type="pct"/>
                    <w:gridSpan w:val="6"/>
                    <w:tcBorders>
                      <w:top w:val="single" w:sz="4" w:space="0" w:color="auto"/>
                      <w:left w:val="single" w:sz="6" w:space="0" w:color="auto"/>
                      <w:bottom w:val="single" w:sz="6" w:space="0" w:color="auto"/>
                      <w:right w:val="single" w:sz="6" w:space="0" w:color="auto"/>
                    </w:tcBorders>
                    <w:shd w:val="clear" w:color="auto" w:fill="auto"/>
                    <w:vAlign w:val="center"/>
                  </w:tcPr>
                  <w:p w14:paraId="66C2379D" w14:textId="77777777" w:rsidR="00830E72" w:rsidRDefault="008344D8">
                    <w:pPr>
                      <w:ind w:right="-16"/>
                      <w:jc w:val="center"/>
                      <w:rPr>
                        <w:rFonts w:asciiTheme="minorEastAsia" w:eastAsiaTheme="minorEastAsia" w:hAnsiTheme="minorEastAsia" w:cs="Arial"/>
                        <w:bCs/>
                        <w:sz w:val="18"/>
                        <w:szCs w:val="18"/>
                      </w:rPr>
                    </w:pPr>
                    <w:r>
                      <w:rPr>
                        <w:rFonts w:asciiTheme="minorEastAsia" w:eastAsiaTheme="minorEastAsia" w:hAnsiTheme="minorEastAsia" w:cs="Arial" w:hint="eastAsia"/>
                        <w:bCs/>
                        <w:sz w:val="18"/>
                        <w:szCs w:val="18"/>
                        <w:lang w:val="en-GB"/>
                      </w:rPr>
                      <w:t>期末余额</w:t>
                    </w:r>
                  </w:p>
                </w:tc>
              </w:sdtContent>
            </w:sdt>
            <w:sdt>
              <w:sdtPr>
                <w:rPr>
                  <w:rFonts w:asciiTheme="minorEastAsia" w:hAnsiTheme="minorEastAsia"/>
                  <w:sz w:val="18"/>
                  <w:szCs w:val="18"/>
                </w:rPr>
                <w:tag w:val="_PLD_86b93e4e78424106874bd84d54fb24df"/>
                <w:id w:val="355090230"/>
                <w:lock w:val="sdtLocked"/>
              </w:sdtPr>
              <w:sdtEndPr/>
              <w:sdtContent>
                <w:tc>
                  <w:tcPr>
                    <w:tcW w:w="2307" w:type="pct"/>
                    <w:gridSpan w:val="6"/>
                    <w:tcBorders>
                      <w:top w:val="single" w:sz="4" w:space="0" w:color="auto"/>
                      <w:left w:val="single" w:sz="6" w:space="0" w:color="auto"/>
                      <w:bottom w:val="single" w:sz="6" w:space="0" w:color="auto"/>
                      <w:right w:val="single" w:sz="4" w:space="0" w:color="auto"/>
                    </w:tcBorders>
                    <w:shd w:val="clear" w:color="auto" w:fill="auto"/>
                    <w:vAlign w:val="center"/>
                  </w:tcPr>
                  <w:p w14:paraId="43DC798C" w14:textId="77777777" w:rsidR="00830E72" w:rsidRDefault="008344D8">
                    <w:pPr>
                      <w:ind w:right="-16"/>
                      <w:jc w:val="center"/>
                      <w:rPr>
                        <w:rFonts w:asciiTheme="minorEastAsia" w:eastAsiaTheme="minorEastAsia" w:hAnsiTheme="minorEastAsia" w:cs="Arial"/>
                        <w:bCs/>
                        <w:sz w:val="18"/>
                        <w:szCs w:val="18"/>
                      </w:rPr>
                    </w:pPr>
                    <w:r>
                      <w:rPr>
                        <w:rFonts w:asciiTheme="minorEastAsia" w:eastAsiaTheme="minorEastAsia" w:hAnsiTheme="minorEastAsia" w:cs="Arial" w:hint="eastAsia"/>
                        <w:bCs/>
                        <w:sz w:val="18"/>
                        <w:szCs w:val="18"/>
                        <w:lang w:val="en-GB"/>
                      </w:rPr>
                      <w:t>期初余额</w:t>
                    </w:r>
                  </w:p>
                </w:tc>
              </w:sdtContent>
            </w:sdt>
          </w:tr>
          <w:tr w:rsidR="00830E72" w14:paraId="6C2E5263" w14:textId="77777777">
            <w:trPr>
              <w:trHeight w:val="241"/>
            </w:trPr>
            <w:tc>
              <w:tcPr>
                <w:tcW w:w="385" w:type="pct"/>
                <w:vMerge/>
                <w:tcBorders>
                  <w:top w:val="single" w:sz="4" w:space="0" w:color="auto"/>
                  <w:left w:val="single" w:sz="4" w:space="0" w:color="auto"/>
                  <w:bottom w:val="single" w:sz="6" w:space="0" w:color="auto"/>
                  <w:right w:val="single" w:sz="6" w:space="0" w:color="auto"/>
                </w:tcBorders>
                <w:shd w:val="clear" w:color="auto" w:fill="auto"/>
                <w:vAlign w:val="center"/>
              </w:tcPr>
              <w:p w14:paraId="5070A8AA" w14:textId="77777777" w:rsidR="00830E72" w:rsidRDefault="00830E72">
                <w:pPr>
                  <w:rPr>
                    <w:rFonts w:asciiTheme="minorEastAsia" w:eastAsiaTheme="minorEastAsia" w:hAnsiTheme="minorEastAsia" w:cs="Arial"/>
                    <w:bCs/>
                    <w:sz w:val="18"/>
                    <w:szCs w:val="18"/>
                  </w:rPr>
                </w:pPr>
              </w:p>
            </w:tc>
            <w:sdt>
              <w:sdtPr>
                <w:rPr>
                  <w:rFonts w:asciiTheme="minorEastAsia" w:hAnsiTheme="minorEastAsia"/>
                  <w:sz w:val="18"/>
                  <w:szCs w:val="18"/>
                </w:rPr>
                <w:tag w:val="_PLD_0154d63f3f2c482ebe0cf00460d87fbd"/>
                <w:id w:val="1083953014"/>
                <w:lock w:val="sdtLocked"/>
              </w:sdtPr>
              <w:sdtEndPr/>
              <w:sdtContent>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14:paraId="0D0360B2" w14:textId="77777777" w:rsidR="00830E72" w:rsidRDefault="008344D8">
                    <w:pPr>
                      <w:jc w:val="center"/>
                      <w:rPr>
                        <w:rFonts w:asciiTheme="minorEastAsia" w:eastAsiaTheme="minorEastAsia" w:hAnsiTheme="minorEastAsia" w:cs="Arial"/>
                        <w:sz w:val="18"/>
                        <w:szCs w:val="18"/>
                      </w:rPr>
                    </w:pPr>
                    <w:r>
                      <w:rPr>
                        <w:rFonts w:asciiTheme="minorEastAsia" w:eastAsiaTheme="minorEastAsia" w:hAnsiTheme="minorEastAsia" w:cs="Arial" w:hint="eastAsia"/>
                        <w:sz w:val="18"/>
                        <w:szCs w:val="18"/>
                        <w:lang w:val="en-GB"/>
                      </w:rPr>
                      <w:t>流动资产</w:t>
                    </w:r>
                  </w:p>
                </w:tc>
              </w:sdtContent>
            </w:sdt>
            <w:sdt>
              <w:sdtPr>
                <w:rPr>
                  <w:rFonts w:asciiTheme="minorEastAsia" w:hAnsiTheme="minorEastAsia"/>
                  <w:sz w:val="18"/>
                  <w:szCs w:val="18"/>
                </w:rPr>
                <w:tag w:val="_PLD_0f817c02730447aca042c6a931d447e8"/>
                <w:id w:val="1017199391"/>
                <w:lock w:val="sdtLocked"/>
              </w:sdtPr>
              <w:sdtEndPr/>
              <w:sdtContent>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14:paraId="55A14575" w14:textId="77777777" w:rsidR="00830E72" w:rsidRDefault="008344D8">
                    <w:pPr>
                      <w:ind w:left="-40" w:right="-97"/>
                      <w:jc w:val="center"/>
                      <w:rPr>
                        <w:rFonts w:asciiTheme="minorEastAsia" w:eastAsiaTheme="minorEastAsia" w:hAnsiTheme="minorEastAsia" w:cs="Arial"/>
                        <w:sz w:val="18"/>
                        <w:szCs w:val="18"/>
                      </w:rPr>
                    </w:pPr>
                    <w:r>
                      <w:rPr>
                        <w:rFonts w:asciiTheme="minorEastAsia" w:eastAsiaTheme="minorEastAsia" w:hAnsiTheme="minorEastAsia" w:cs="Arial" w:hint="eastAsia"/>
                        <w:sz w:val="18"/>
                        <w:szCs w:val="18"/>
                        <w:lang w:val="en-GB"/>
                      </w:rPr>
                      <w:t>非流动资产</w:t>
                    </w:r>
                  </w:p>
                </w:tc>
              </w:sdtContent>
            </w:sdt>
            <w:sdt>
              <w:sdtPr>
                <w:rPr>
                  <w:rFonts w:asciiTheme="minorEastAsia" w:hAnsiTheme="minorEastAsia"/>
                  <w:sz w:val="18"/>
                  <w:szCs w:val="18"/>
                </w:rPr>
                <w:tag w:val="_PLD_553e0814e94f491784b88cc5aa7d6adb"/>
                <w:id w:val="1830636187"/>
                <w:lock w:val="sdtLocked"/>
              </w:sdtPr>
              <w:sdtEndPr/>
              <w:sdtContent>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14:paraId="26F28D92" w14:textId="77777777" w:rsidR="00830E72" w:rsidRDefault="008344D8">
                    <w:pPr>
                      <w:jc w:val="center"/>
                      <w:rPr>
                        <w:rFonts w:asciiTheme="minorEastAsia" w:eastAsiaTheme="minorEastAsia" w:hAnsiTheme="minorEastAsia" w:cs="Arial"/>
                        <w:sz w:val="18"/>
                        <w:szCs w:val="18"/>
                      </w:rPr>
                    </w:pPr>
                    <w:r>
                      <w:rPr>
                        <w:rFonts w:asciiTheme="minorEastAsia" w:eastAsiaTheme="minorEastAsia" w:hAnsiTheme="minorEastAsia" w:cs="Arial" w:hint="eastAsia"/>
                        <w:sz w:val="18"/>
                        <w:szCs w:val="18"/>
                        <w:lang w:val="en-GB"/>
                      </w:rPr>
                      <w:t>资产合计</w:t>
                    </w:r>
                  </w:p>
                </w:tc>
              </w:sdtContent>
            </w:sdt>
            <w:sdt>
              <w:sdtPr>
                <w:rPr>
                  <w:rFonts w:asciiTheme="minorEastAsia" w:hAnsiTheme="minorEastAsia"/>
                  <w:sz w:val="18"/>
                  <w:szCs w:val="18"/>
                </w:rPr>
                <w:tag w:val="_PLD_3db84901ffa544afb174531f0384a82f"/>
                <w:id w:val="1992816840"/>
                <w:lock w:val="sdtLocked"/>
              </w:sdtPr>
              <w:sdtEndPr/>
              <w:sdtContent>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14:paraId="422DDB60" w14:textId="77777777" w:rsidR="00830E72" w:rsidRDefault="008344D8">
                    <w:pPr>
                      <w:jc w:val="center"/>
                      <w:rPr>
                        <w:rFonts w:asciiTheme="minorEastAsia" w:eastAsiaTheme="minorEastAsia" w:hAnsiTheme="minorEastAsia" w:cs="Arial"/>
                        <w:sz w:val="18"/>
                        <w:szCs w:val="18"/>
                      </w:rPr>
                    </w:pPr>
                    <w:r>
                      <w:rPr>
                        <w:rFonts w:asciiTheme="minorEastAsia" w:eastAsiaTheme="minorEastAsia" w:hAnsiTheme="minorEastAsia" w:cs="Arial" w:hint="eastAsia"/>
                        <w:sz w:val="18"/>
                        <w:szCs w:val="18"/>
                        <w:lang w:val="en-GB"/>
                      </w:rPr>
                      <w:t>流动负债</w:t>
                    </w:r>
                  </w:p>
                </w:tc>
              </w:sdtContent>
            </w:sdt>
            <w:sdt>
              <w:sdtPr>
                <w:rPr>
                  <w:rFonts w:asciiTheme="minorEastAsia" w:hAnsiTheme="minorEastAsia"/>
                  <w:sz w:val="18"/>
                  <w:szCs w:val="18"/>
                </w:rPr>
                <w:tag w:val="_PLD_50c217cc437b4c3496e1aab622fba053"/>
                <w:id w:val="-2057541267"/>
                <w:lock w:val="sdtLocked"/>
              </w:sdtPr>
              <w:sdtEndPr/>
              <w:sdtContent>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14:paraId="7445DAB2" w14:textId="77777777" w:rsidR="00830E72" w:rsidRDefault="008344D8">
                    <w:pPr>
                      <w:ind w:left="-40" w:right="-97"/>
                      <w:jc w:val="center"/>
                      <w:rPr>
                        <w:rFonts w:asciiTheme="minorEastAsia" w:eastAsiaTheme="minorEastAsia" w:hAnsiTheme="minorEastAsia" w:cs="Arial"/>
                        <w:sz w:val="18"/>
                        <w:szCs w:val="18"/>
                      </w:rPr>
                    </w:pPr>
                    <w:r>
                      <w:rPr>
                        <w:rFonts w:asciiTheme="minorEastAsia" w:eastAsiaTheme="minorEastAsia" w:hAnsiTheme="minorEastAsia" w:cs="Arial" w:hint="eastAsia"/>
                        <w:sz w:val="18"/>
                        <w:szCs w:val="18"/>
                        <w:lang w:val="en-GB"/>
                      </w:rPr>
                      <w:t>非流动负债</w:t>
                    </w:r>
                  </w:p>
                </w:tc>
              </w:sdtContent>
            </w:sdt>
            <w:sdt>
              <w:sdtPr>
                <w:rPr>
                  <w:rFonts w:asciiTheme="minorEastAsia" w:hAnsiTheme="minorEastAsia"/>
                  <w:sz w:val="18"/>
                  <w:szCs w:val="18"/>
                </w:rPr>
                <w:tag w:val="_PLD_ccd9a8d3652e4485a763cfb37eb6fa37"/>
                <w:id w:val="-651911764"/>
                <w:lock w:val="sdtLocked"/>
              </w:sdtPr>
              <w:sdtEndPr/>
              <w:sdtContent>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14:paraId="36E3E34A" w14:textId="77777777" w:rsidR="00830E72" w:rsidRDefault="008344D8">
                    <w:pPr>
                      <w:jc w:val="center"/>
                      <w:rPr>
                        <w:rFonts w:asciiTheme="minorEastAsia" w:eastAsiaTheme="minorEastAsia" w:hAnsiTheme="minorEastAsia" w:cs="Arial"/>
                        <w:sz w:val="18"/>
                        <w:szCs w:val="18"/>
                      </w:rPr>
                    </w:pPr>
                    <w:r>
                      <w:rPr>
                        <w:rFonts w:asciiTheme="minorEastAsia" w:eastAsiaTheme="minorEastAsia" w:hAnsiTheme="minorEastAsia" w:cs="Arial" w:hint="eastAsia"/>
                        <w:sz w:val="18"/>
                        <w:szCs w:val="18"/>
                        <w:lang w:val="en-GB"/>
                      </w:rPr>
                      <w:t>负债合计</w:t>
                    </w:r>
                  </w:p>
                </w:tc>
              </w:sdtContent>
            </w:sdt>
            <w:sdt>
              <w:sdtPr>
                <w:rPr>
                  <w:rFonts w:asciiTheme="minorEastAsia" w:hAnsiTheme="minorEastAsia"/>
                  <w:sz w:val="18"/>
                  <w:szCs w:val="18"/>
                </w:rPr>
                <w:tag w:val="_PLD_ec07cd6513b74d49b586125d4b66dd0a"/>
                <w:id w:val="865640382"/>
                <w:lock w:val="sdtLocked"/>
              </w:sdtPr>
              <w:sdtEndPr/>
              <w:sdtContent>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14:paraId="5F9354D7" w14:textId="77777777" w:rsidR="00830E72" w:rsidRDefault="008344D8">
                    <w:pPr>
                      <w:jc w:val="center"/>
                      <w:rPr>
                        <w:rFonts w:asciiTheme="minorEastAsia" w:eastAsiaTheme="minorEastAsia" w:hAnsiTheme="minorEastAsia" w:cs="Arial"/>
                        <w:sz w:val="18"/>
                        <w:szCs w:val="18"/>
                      </w:rPr>
                    </w:pPr>
                    <w:r>
                      <w:rPr>
                        <w:rFonts w:asciiTheme="minorEastAsia" w:eastAsiaTheme="minorEastAsia" w:hAnsiTheme="minorEastAsia" w:cs="Arial" w:hint="eastAsia"/>
                        <w:sz w:val="18"/>
                        <w:szCs w:val="18"/>
                        <w:lang w:val="en-GB"/>
                      </w:rPr>
                      <w:t>流动资产</w:t>
                    </w:r>
                  </w:p>
                </w:tc>
              </w:sdtContent>
            </w:sdt>
            <w:sdt>
              <w:sdtPr>
                <w:rPr>
                  <w:rFonts w:asciiTheme="minorEastAsia" w:hAnsiTheme="minorEastAsia"/>
                  <w:sz w:val="18"/>
                  <w:szCs w:val="18"/>
                </w:rPr>
                <w:tag w:val="_PLD_fb97ce65ab144768b4fb9978546fce37"/>
                <w:id w:val="-1917469002"/>
                <w:lock w:val="sdtLocked"/>
              </w:sdtPr>
              <w:sdtEndPr/>
              <w:sdtContent>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14:paraId="322A9678" w14:textId="77777777" w:rsidR="00830E72" w:rsidRDefault="008344D8">
                    <w:pPr>
                      <w:ind w:left="-40" w:right="-97"/>
                      <w:jc w:val="center"/>
                      <w:rPr>
                        <w:rFonts w:asciiTheme="minorEastAsia" w:eastAsiaTheme="minorEastAsia" w:hAnsiTheme="minorEastAsia" w:cs="Arial"/>
                        <w:sz w:val="18"/>
                        <w:szCs w:val="18"/>
                      </w:rPr>
                    </w:pPr>
                    <w:r>
                      <w:rPr>
                        <w:rFonts w:asciiTheme="minorEastAsia" w:eastAsiaTheme="minorEastAsia" w:hAnsiTheme="minorEastAsia" w:cs="Arial" w:hint="eastAsia"/>
                        <w:sz w:val="18"/>
                        <w:szCs w:val="18"/>
                        <w:lang w:val="en-GB"/>
                      </w:rPr>
                      <w:t>非流动资产</w:t>
                    </w:r>
                  </w:p>
                </w:tc>
              </w:sdtContent>
            </w:sdt>
            <w:sdt>
              <w:sdtPr>
                <w:rPr>
                  <w:rFonts w:asciiTheme="minorEastAsia" w:hAnsiTheme="minorEastAsia"/>
                  <w:sz w:val="18"/>
                  <w:szCs w:val="18"/>
                </w:rPr>
                <w:tag w:val="_PLD_412845ecfd2e45e8ae03b43cf8ca32f4"/>
                <w:id w:val="-1582749509"/>
                <w:lock w:val="sdtLocked"/>
              </w:sdtPr>
              <w:sdtEndPr/>
              <w:sdtContent>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14:paraId="26DB55AF" w14:textId="77777777" w:rsidR="00830E72" w:rsidRDefault="008344D8">
                    <w:pPr>
                      <w:jc w:val="center"/>
                      <w:rPr>
                        <w:rFonts w:asciiTheme="minorEastAsia" w:eastAsiaTheme="minorEastAsia" w:hAnsiTheme="minorEastAsia" w:cs="Arial"/>
                        <w:sz w:val="18"/>
                        <w:szCs w:val="18"/>
                      </w:rPr>
                    </w:pPr>
                    <w:r>
                      <w:rPr>
                        <w:rFonts w:asciiTheme="minorEastAsia" w:eastAsiaTheme="minorEastAsia" w:hAnsiTheme="minorEastAsia" w:cs="Arial" w:hint="eastAsia"/>
                        <w:sz w:val="18"/>
                        <w:szCs w:val="18"/>
                        <w:lang w:val="en-GB"/>
                      </w:rPr>
                      <w:t>资产合计</w:t>
                    </w:r>
                  </w:p>
                </w:tc>
              </w:sdtContent>
            </w:sdt>
            <w:sdt>
              <w:sdtPr>
                <w:rPr>
                  <w:rFonts w:asciiTheme="minorEastAsia" w:hAnsiTheme="minorEastAsia"/>
                  <w:sz w:val="18"/>
                  <w:szCs w:val="18"/>
                </w:rPr>
                <w:tag w:val="_PLD_2a24724c66b442e994f401266a55d5df"/>
                <w:id w:val="-588307916"/>
                <w:lock w:val="sdtLocked"/>
              </w:sdtPr>
              <w:sdtEndPr/>
              <w:sdtContent>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14:paraId="4772D71E" w14:textId="77777777" w:rsidR="00830E72" w:rsidRDefault="008344D8">
                    <w:pPr>
                      <w:jc w:val="center"/>
                      <w:rPr>
                        <w:rFonts w:asciiTheme="minorEastAsia" w:eastAsiaTheme="minorEastAsia" w:hAnsiTheme="minorEastAsia" w:cs="Arial"/>
                        <w:sz w:val="18"/>
                        <w:szCs w:val="18"/>
                      </w:rPr>
                    </w:pPr>
                    <w:r>
                      <w:rPr>
                        <w:rFonts w:asciiTheme="minorEastAsia" w:eastAsiaTheme="minorEastAsia" w:hAnsiTheme="minorEastAsia" w:cs="Arial" w:hint="eastAsia"/>
                        <w:sz w:val="18"/>
                        <w:szCs w:val="18"/>
                        <w:lang w:val="en-GB"/>
                      </w:rPr>
                      <w:t>流动负债</w:t>
                    </w:r>
                  </w:p>
                </w:tc>
              </w:sdtContent>
            </w:sdt>
            <w:sdt>
              <w:sdtPr>
                <w:rPr>
                  <w:rFonts w:asciiTheme="minorEastAsia" w:hAnsiTheme="minorEastAsia"/>
                  <w:sz w:val="18"/>
                  <w:szCs w:val="18"/>
                </w:rPr>
                <w:tag w:val="_PLD_937f557a5cdb4ea99a0a914e755f781f"/>
                <w:id w:val="1915658274"/>
                <w:lock w:val="sdtLocked"/>
              </w:sdtPr>
              <w:sdtEndPr/>
              <w:sdtContent>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14:paraId="1BB36AC0" w14:textId="77777777" w:rsidR="00830E72" w:rsidRDefault="008344D8">
                    <w:pPr>
                      <w:ind w:left="-40" w:right="-97"/>
                      <w:jc w:val="center"/>
                      <w:rPr>
                        <w:rFonts w:asciiTheme="minorEastAsia" w:eastAsiaTheme="minorEastAsia" w:hAnsiTheme="minorEastAsia" w:cs="Arial"/>
                        <w:sz w:val="18"/>
                        <w:szCs w:val="18"/>
                      </w:rPr>
                    </w:pPr>
                    <w:r>
                      <w:rPr>
                        <w:rFonts w:asciiTheme="minorEastAsia" w:eastAsiaTheme="minorEastAsia" w:hAnsiTheme="minorEastAsia" w:cs="Arial" w:hint="eastAsia"/>
                        <w:sz w:val="18"/>
                        <w:szCs w:val="18"/>
                        <w:lang w:val="en-GB"/>
                      </w:rPr>
                      <w:t>非流动负债</w:t>
                    </w:r>
                  </w:p>
                </w:tc>
              </w:sdtContent>
            </w:sdt>
            <w:sdt>
              <w:sdtPr>
                <w:rPr>
                  <w:rFonts w:asciiTheme="minorEastAsia" w:hAnsiTheme="minorEastAsia"/>
                  <w:sz w:val="18"/>
                  <w:szCs w:val="18"/>
                </w:rPr>
                <w:tag w:val="_PLD_c4b998a44f394e1eb0924a4f19409ff8"/>
                <w:id w:val="-1484078861"/>
                <w:lock w:val="sdtLocked"/>
              </w:sdtPr>
              <w:sdtEndPr/>
              <w:sdtContent>
                <w:tc>
                  <w:tcPr>
                    <w:tcW w:w="385" w:type="pct"/>
                    <w:tcBorders>
                      <w:top w:val="single" w:sz="6" w:space="0" w:color="auto"/>
                      <w:left w:val="single" w:sz="6" w:space="0" w:color="auto"/>
                      <w:bottom w:val="single" w:sz="6" w:space="0" w:color="auto"/>
                      <w:right w:val="single" w:sz="4" w:space="0" w:color="auto"/>
                    </w:tcBorders>
                    <w:shd w:val="clear" w:color="auto" w:fill="auto"/>
                    <w:vAlign w:val="center"/>
                  </w:tcPr>
                  <w:p w14:paraId="4D12FADA" w14:textId="77777777" w:rsidR="00830E72" w:rsidRDefault="008344D8">
                    <w:pPr>
                      <w:jc w:val="center"/>
                      <w:rPr>
                        <w:rFonts w:asciiTheme="minorEastAsia" w:eastAsiaTheme="minorEastAsia" w:hAnsiTheme="minorEastAsia" w:cs="Arial"/>
                        <w:sz w:val="18"/>
                        <w:szCs w:val="18"/>
                      </w:rPr>
                    </w:pPr>
                    <w:r>
                      <w:rPr>
                        <w:rFonts w:asciiTheme="minorEastAsia" w:eastAsiaTheme="minorEastAsia" w:hAnsiTheme="minorEastAsia" w:cs="Arial" w:hint="eastAsia"/>
                        <w:sz w:val="18"/>
                        <w:szCs w:val="18"/>
                        <w:lang w:val="en-GB"/>
                      </w:rPr>
                      <w:t>负债合计</w:t>
                    </w:r>
                  </w:p>
                </w:tc>
              </w:sdtContent>
            </w:sdt>
          </w:tr>
          <w:sdt>
            <w:sdtPr>
              <w:rPr>
                <w:rFonts w:asciiTheme="minorEastAsia" w:eastAsiaTheme="minorEastAsia" w:hAnsiTheme="minorEastAsia" w:cstheme="minorBidi"/>
                <w:kern w:val="2"/>
                <w:sz w:val="18"/>
                <w:szCs w:val="18"/>
              </w:rPr>
              <w:alias w:val="重要非全资子公司的主要财务信息明细"/>
              <w:tag w:val="_GBC_feef0d2d67a84217a9099e634bb2d3df"/>
              <w:id w:val="2127579343"/>
              <w:lock w:val="sdtLocked"/>
            </w:sdtPr>
            <w:sdtEndPr/>
            <w:sdtContent>
              <w:tr w:rsidR="00830E72" w14:paraId="2E88B37E" w14:textId="77777777">
                <w:tc>
                  <w:tcPr>
                    <w:tcW w:w="385" w:type="pct"/>
                    <w:tcBorders>
                      <w:top w:val="single" w:sz="6" w:space="0" w:color="auto"/>
                      <w:left w:val="single" w:sz="4" w:space="0" w:color="auto"/>
                      <w:bottom w:val="single" w:sz="4" w:space="0" w:color="auto"/>
                      <w:right w:val="single" w:sz="6" w:space="0" w:color="auto"/>
                    </w:tcBorders>
                  </w:tcPr>
                  <w:p w14:paraId="481B8DF6" w14:textId="77777777" w:rsidR="00830E72" w:rsidRDefault="008344D8">
                    <w:pPr>
                      <w:rPr>
                        <w:rFonts w:asciiTheme="minorEastAsia" w:eastAsiaTheme="minorEastAsia" w:hAnsiTheme="minorEastAsia"/>
                        <w:sz w:val="18"/>
                        <w:szCs w:val="18"/>
                      </w:rPr>
                    </w:pPr>
                    <w:r>
                      <w:rPr>
                        <w:rFonts w:asciiTheme="minorEastAsia" w:eastAsiaTheme="minorEastAsia" w:hAnsiTheme="minorEastAsia" w:hint="eastAsia"/>
                        <w:sz w:val="18"/>
                        <w:szCs w:val="18"/>
                      </w:rPr>
                      <w:t>浙勘院</w:t>
                    </w:r>
                  </w:p>
                </w:tc>
                <w:tc>
                  <w:tcPr>
                    <w:tcW w:w="385" w:type="pct"/>
                    <w:tcBorders>
                      <w:top w:val="single" w:sz="6" w:space="0" w:color="auto"/>
                      <w:left w:val="single" w:sz="6" w:space="0" w:color="auto"/>
                      <w:bottom w:val="single" w:sz="4" w:space="0" w:color="auto"/>
                      <w:right w:val="single" w:sz="6" w:space="0" w:color="auto"/>
                    </w:tcBorders>
                  </w:tcPr>
                  <w:p w14:paraId="6421E2B8" w14:textId="77777777" w:rsidR="00830E72" w:rsidRDefault="008344D8">
                    <w:pPr>
                      <w:jc w:val="right"/>
                      <w:rPr>
                        <w:rFonts w:asciiTheme="minorEastAsia" w:eastAsiaTheme="minorEastAsia" w:hAnsiTheme="minorEastAsia"/>
                        <w:sz w:val="18"/>
                        <w:szCs w:val="18"/>
                      </w:rPr>
                    </w:pPr>
                    <w:r>
                      <w:rPr>
                        <w:sz w:val="18"/>
                        <w:szCs w:val="18"/>
                      </w:rPr>
                      <w:t>6,983.79</w:t>
                    </w:r>
                  </w:p>
                </w:tc>
                <w:tc>
                  <w:tcPr>
                    <w:tcW w:w="385" w:type="pct"/>
                    <w:tcBorders>
                      <w:top w:val="single" w:sz="6" w:space="0" w:color="auto"/>
                      <w:left w:val="single" w:sz="6" w:space="0" w:color="auto"/>
                      <w:bottom w:val="single" w:sz="4" w:space="0" w:color="auto"/>
                      <w:right w:val="single" w:sz="6" w:space="0" w:color="auto"/>
                    </w:tcBorders>
                  </w:tcPr>
                  <w:p w14:paraId="03038A35" w14:textId="77777777" w:rsidR="00830E72" w:rsidRDefault="008344D8">
                    <w:pPr>
                      <w:jc w:val="right"/>
                      <w:rPr>
                        <w:rFonts w:asciiTheme="minorEastAsia" w:eastAsiaTheme="minorEastAsia" w:hAnsiTheme="minorEastAsia"/>
                        <w:sz w:val="18"/>
                        <w:szCs w:val="18"/>
                      </w:rPr>
                    </w:pPr>
                    <w:r>
                      <w:rPr>
                        <w:sz w:val="18"/>
                        <w:szCs w:val="18"/>
                      </w:rPr>
                      <w:t>447.59</w:t>
                    </w:r>
                  </w:p>
                </w:tc>
                <w:tc>
                  <w:tcPr>
                    <w:tcW w:w="385" w:type="pct"/>
                    <w:tcBorders>
                      <w:top w:val="single" w:sz="6" w:space="0" w:color="auto"/>
                      <w:left w:val="single" w:sz="6" w:space="0" w:color="auto"/>
                      <w:bottom w:val="single" w:sz="4" w:space="0" w:color="auto"/>
                      <w:right w:val="single" w:sz="6" w:space="0" w:color="auto"/>
                    </w:tcBorders>
                  </w:tcPr>
                  <w:p w14:paraId="39D9D32B" w14:textId="77777777" w:rsidR="00830E72" w:rsidRDefault="008344D8">
                    <w:pPr>
                      <w:jc w:val="right"/>
                      <w:rPr>
                        <w:rFonts w:asciiTheme="minorEastAsia" w:eastAsiaTheme="minorEastAsia" w:hAnsiTheme="minorEastAsia"/>
                        <w:sz w:val="18"/>
                        <w:szCs w:val="18"/>
                      </w:rPr>
                    </w:pPr>
                    <w:r>
                      <w:rPr>
                        <w:sz w:val="18"/>
                        <w:szCs w:val="18"/>
                      </w:rPr>
                      <w:t>7,431.38</w:t>
                    </w:r>
                  </w:p>
                </w:tc>
                <w:tc>
                  <w:tcPr>
                    <w:tcW w:w="385" w:type="pct"/>
                    <w:tcBorders>
                      <w:top w:val="single" w:sz="6" w:space="0" w:color="auto"/>
                      <w:left w:val="single" w:sz="6" w:space="0" w:color="auto"/>
                      <w:bottom w:val="single" w:sz="4" w:space="0" w:color="auto"/>
                      <w:right w:val="single" w:sz="6" w:space="0" w:color="auto"/>
                    </w:tcBorders>
                  </w:tcPr>
                  <w:p w14:paraId="7486F023" w14:textId="77777777" w:rsidR="00830E72" w:rsidRDefault="008344D8">
                    <w:pPr>
                      <w:jc w:val="right"/>
                      <w:rPr>
                        <w:rFonts w:asciiTheme="minorEastAsia" w:eastAsiaTheme="minorEastAsia" w:hAnsiTheme="minorEastAsia"/>
                        <w:sz w:val="18"/>
                        <w:szCs w:val="18"/>
                      </w:rPr>
                    </w:pPr>
                    <w:r>
                      <w:rPr>
                        <w:sz w:val="18"/>
                        <w:szCs w:val="18"/>
                      </w:rPr>
                      <w:t>2,726.96</w:t>
                    </w:r>
                  </w:p>
                </w:tc>
                <w:tc>
                  <w:tcPr>
                    <w:tcW w:w="385" w:type="pct"/>
                    <w:tcBorders>
                      <w:top w:val="single" w:sz="6" w:space="0" w:color="auto"/>
                      <w:left w:val="single" w:sz="6" w:space="0" w:color="auto"/>
                      <w:bottom w:val="single" w:sz="4" w:space="0" w:color="auto"/>
                      <w:right w:val="single" w:sz="6" w:space="0" w:color="auto"/>
                    </w:tcBorders>
                  </w:tcPr>
                  <w:p w14:paraId="77B7658C" w14:textId="77777777" w:rsidR="00830E72" w:rsidRDefault="008344D8">
                    <w:pPr>
                      <w:jc w:val="right"/>
                      <w:rPr>
                        <w:rFonts w:asciiTheme="minorEastAsia" w:eastAsiaTheme="minorEastAsia" w:hAnsiTheme="minorEastAsia"/>
                        <w:sz w:val="18"/>
                        <w:szCs w:val="18"/>
                      </w:rPr>
                    </w:pPr>
                    <w:r>
                      <w:rPr>
                        <w:sz w:val="18"/>
                        <w:szCs w:val="18"/>
                      </w:rPr>
                      <w:t>0</w:t>
                    </w:r>
                  </w:p>
                </w:tc>
                <w:tc>
                  <w:tcPr>
                    <w:tcW w:w="385" w:type="pct"/>
                    <w:tcBorders>
                      <w:top w:val="single" w:sz="6" w:space="0" w:color="auto"/>
                      <w:left w:val="single" w:sz="6" w:space="0" w:color="auto"/>
                      <w:bottom w:val="single" w:sz="4" w:space="0" w:color="auto"/>
                      <w:right w:val="single" w:sz="6" w:space="0" w:color="auto"/>
                    </w:tcBorders>
                  </w:tcPr>
                  <w:p w14:paraId="51BFAF5C" w14:textId="77777777" w:rsidR="00830E72" w:rsidRDefault="008344D8">
                    <w:pPr>
                      <w:jc w:val="right"/>
                      <w:rPr>
                        <w:rFonts w:asciiTheme="minorEastAsia" w:eastAsiaTheme="minorEastAsia" w:hAnsiTheme="minorEastAsia"/>
                        <w:sz w:val="18"/>
                        <w:szCs w:val="18"/>
                      </w:rPr>
                    </w:pPr>
                    <w:r>
                      <w:rPr>
                        <w:sz w:val="18"/>
                        <w:szCs w:val="18"/>
                      </w:rPr>
                      <w:t>2,726.96</w:t>
                    </w:r>
                  </w:p>
                </w:tc>
                <w:tc>
                  <w:tcPr>
                    <w:tcW w:w="385" w:type="pct"/>
                    <w:tcBorders>
                      <w:top w:val="single" w:sz="6" w:space="0" w:color="auto"/>
                      <w:left w:val="single" w:sz="6" w:space="0" w:color="auto"/>
                      <w:bottom w:val="single" w:sz="4" w:space="0" w:color="auto"/>
                      <w:right w:val="single" w:sz="6" w:space="0" w:color="auto"/>
                    </w:tcBorders>
                  </w:tcPr>
                  <w:p w14:paraId="41B72DDF" w14:textId="77777777" w:rsidR="00830E72" w:rsidRDefault="008344D8">
                    <w:pPr>
                      <w:jc w:val="right"/>
                      <w:rPr>
                        <w:rFonts w:asciiTheme="minorEastAsia" w:eastAsiaTheme="minorEastAsia" w:hAnsiTheme="minorEastAsia"/>
                        <w:sz w:val="18"/>
                        <w:szCs w:val="18"/>
                      </w:rPr>
                    </w:pPr>
                    <w:r>
                      <w:rPr>
                        <w:sz w:val="18"/>
                        <w:szCs w:val="18"/>
                      </w:rPr>
                      <w:t>8,039.32</w:t>
                    </w:r>
                  </w:p>
                </w:tc>
                <w:tc>
                  <w:tcPr>
                    <w:tcW w:w="385" w:type="pct"/>
                    <w:tcBorders>
                      <w:top w:val="single" w:sz="6" w:space="0" w:color="auto"/>
                      <w:left w:val="single" w:sz="6" w:space="0" w:color="auto"/>
                      <w:bottom w:val="single" w:sz="4" w:space="0" w:color="auto"/>
                      <w:right w:val="single" w:sz="6" w:space="0" w:color="auto"/>
                    </w:tcBorders>
                  </w:tcPr>
                  <w:p w14:paraId="2B67887F" w14:textId="77777777" w:rsidR="00830E72" w:rsidRDefault="008344D8">
                    <w:pPr>
                      <w:jc w:val="right"/>
                      <w:rPr>
                        <w:rFonts w:asciiTheme="minorEastAsia" w:eastAsiaTheme="minorEastAsia" w:hAnsiTheme="minorEastAsia"/>
                        <w:sz w:val="18"/>
                        <w:szCs w:val="18"/>
                      </w:rPr>
                    </w:pPr>
                    <w:r>
                      <w:rPr>
                        <w:sz w:val="18"/>
                        <w:szCs w:val="18"/>
                      </w:rPr>
                      <w:t>441.40</w:t>
                    </w:r>
                  </w:p>
                </w:tc>
                <w:tc>
                  <w:tcPr>
                    <w:tcW w:w="385" w:type="pct"/>
                    <w:tcBorders>
                      <w:top w:val="single" w:sz="6" w:space="0" w:color="auto"/>
                      <w:left w:val="single" w:sz="6" w:space="0" w:color="auto"/>
                      <w:bottom w:val="single" w:sz="4" w:space="0" w:color="auto"/>
                      <w:right w:val="single" w:sz="6" w:space="0" w:color="auto"/>
                    </w:tcBorders>
                  </w:tcPr>
                  <w:p w14:paraId="3DEC4ABA" w14:textId="77777777" w:rsidR="00830E72" w:rsidRDefault="008344D8">
                    <w:pPr>
                      <w:jc w:val="right"/>
                      <w:rPr>
                        <w:rFonts w:asciiTheme="minorEastAsia" w:eastAsiaTheme="minorEastAsia" w:hAnsiTheme="minorEastAsia"/>
                        <w:sz w:val="18"/>
                        <w:szCs w:val="18"/>
                      </w:rPr>
                    </w:pPr>
                    <w:r>
                      <w:rPr>
                        <w:sz w:val="18"/>
                        <w:szCs w:val="18"/>
                      </w:rPr>
                      <w:t>8,480.72</w:t>
                    </w:r>
                  </w:p>
                </w:tc>
                <w:tc>
                  <w:tcPr>
                    <w:tcW w:w="385" w:type="pct"/>
                    <w:tcBorders>
                      <w:top w:val="single" w:sz="6" w:space="0" w:color="auto"/>
                      <w:left w:val="single" w:sz="6" w:space="0" w:color="auto"/>
                      <w:bottom w:val="single" w:sz="4" w:space="0" w:color="auto"/>
                      <w:right w:val="single" w:sz="6" w:space="0" w:color="auto"/>
                    </w:tcBorders>
                  </w:tcPr>
                  <w:p w14:paraId="2CFB8C33" w14:textId="77777777" w:rsidR="00830E72" w:rsidRDefault="008344D8">
                    <w:pPr>
                      <w:jc w:val="right"/>
                      <w:rPr>
                        <w:rFonts w:asciiTheme="minorEastAsia" w:eastAsiaTheme="minorEastAsia" w:hAnsiTheme="minorEastAsia"/>
                        <w:sz w:val="18"/>
                        <w:szCs w:val="18"/>
                      </w:rPr>
                    </w:pPr>
                    <w:r>
                      <w:rPr>
                        <w:sz w:val="18"/>
                        <w:szCs w:val="18"/>
                      </w:rPr>
                      <w:t>3,779.01</w:t>
                    </w:r>
                  </w:p>
                </w:tc>
                <w:tc>
                  <w:tcPr>
                    <w:tcW w:w="385" w:type="pct"/>
                    <w:tcBorders>
                      <w:top w:val="single" w:sz="6" w:space="0" w:color="auto"/>
                      <w:left w:val="single" w:sz="6" w:space="0" w:color="auto"/>
                      <w:bottom w:val="single" w:sz="4" w:space="0" w:color="auto"/>
                      <w:right w:val="single" w:sz="6" w:space="0" w:color="auto"/>
                    </w:tcBorders>
                  </w:tcPr>
                  <w:p w14:paraId="493E5712" w14:textId="77777777" w:rsidR="00830E72" w:rsidRDefault="008344D8">
                    <w:pPr>
                      <w:jc w:val="right"/>
                      <w:rPr>
                        <w:rFonts w:asciiTheme="minorEastAsia" w:eastAsiaTheme="minorEastAsia" w:hAnsiTheme="minorEastAsia"/>
                        <w:sz w:val="18"/>
                        <w:szCs w:val="18"/>
                      </w:rPr>
                    </w:pPr>
                    <w:r>
                      <w:rPr>
                        <w:sz w:val="18"/>
                        <w:szCs w:val="18"/>
                      </w:rPr>
                      <w:t>0</w:t>
                    </w:r>
                  </w:p>
                </w:tc>
                <w:tc>
                  <w:tcPr>
                    <w:tcW w:w="385" w:type="pct"/>
                    <w:tcBorders>
                      <w:top w:val="single" w:sz="6" w:space="0" w:color="auto"/>
                      <w:left w:val="single" w:sz="6" w:space="0" w:color="auto"/>
                      <w:bottom w:val="single" w:sz="4" w:space="0" w:color="auto"/>
                      <w:right w:val="single" w:sz="4" w:space="0" w:color="auto"/>
                    </w:tcBorders>
                  </w:tcPr>
                  <w:p w14:paraId="779F1F82" w14:textId="77777777" w:rsidR="00830E72" w:rsidRDefault="008344D8">
                    <w:pPr>
                      <w:jc w:val="right"/>
                      <w:rPr>
                        <w:rFonts w:asciiTheme="minorEastAsia" w:eastAsiaTheme="minorEastAsia" w:hAnsiTheme="minorEastAsia"/>
                        <w:sz w:val="18"/>
                        <w:szCs w:val="18"/>
                      </w:rPr>
                    </w:pPr>
                    <w:r>
                      <w:rPr>
                        <w:sz w:val="18"/>
                        <w:szCs w:val="18"/>
                      </w:rPr>
                      <w:t>3,779.01</w:t>
                    </w:r>
                  </w:p>
                </w:tc>
              </w:tr>
            </w:sdtContent>
          </w:sdt>
          <w:sdt>
            <w:sdtPr>
              <w:rPr>
                <w:rFonts w:asciiTheme="minorEastAsia" w:eastAsiaTheme="minorEastAsia" w:hAnsiTheme="minorEastAsia" w:cstheme="minorBidi"/>
                <w:kern w:val="2"/>
                <w:sz w:val="18"/>
                <w:szCs w:val="18"/>
              </w:rPr>
              <w:alias w:val="重要非全资子公司的主要财务信息明细"/>
              <w:tag w:val="_GBC_feef0d2d67a84217a9099e634bb2d3df"/>
              <w:id w:val="1991044880"/>
              <w:lock w:val="sdtLocked"/>
            </w:sdtPr>
            <w:sdtEndPr/>
            <w:sdtContent>
              <w:tr w:rsidR="00830E72" w14:paraId="699F135A" w14:textId="77777777">
                <w:tc>
                  <w:tcPr>
                    <w:tcW w:w="385" w:type="pct"/>
                    <w:tcBorders>
                      <w:top w:val="single" w:sz="6" w:space="0" w:color="auto"/>
                      <w:left w:val="single" w:sz="4" w:space="0" w:color="auto"/>
                      <w:bottom w:val="single" w:sz="4" w:space="0" w:color="auto"/>
                      <w:right w:val="single" w:sz="6" w:space="0" w:color="auto"/>
                    </w:tcBorders>
                  </w:tcPr>
                  <w:p w14:paraId="4D5AA697" w14:textId="77777777" w:rsidR="00830E72" w:rsidRDefault="008344D8">
                    <w:pPr>
                      <w:rPr>
                        <w:rFonts w:asciiTheme="minorEastAsia" w:eastAsiaTheme="minorEastAsia" w:hAnsiTheme="minorEastAsia"/>
                        <w:sz w:val="18"/>
                        <w:szCs w:val="18"/>
                      </w:rPr>
                    </w:pPr>
                    <w:r>
                      <w:rPr>
                        <w:rFonts w:asciiTheme="minorEastAsia" w:eastAsiaTheme="minorEastAsia" w:hAnsiTheme="minorEastAsia" w:hint="eastAsia"/>
                        <w:sz w:val="18"/>
                        <w:szCs w:val="18"/>
                      </w:rPr>
                      <w:t>亳州祥居</w:t>
                    </w:r>
                  </w:p>
                </w:tc>
                <w:tc>
                  <w:tcPr>
                    <w:tcW w:w="385" w:type="pct"/>
                    <w:tcBorders>
                      <w:top w:val="single" w:sz="6" w:space="0" w:color="auto"/>
                      <w:left w:val="single" w:sz="6" w:space="0" w:color="auto"/>
                      <w:bottom w:val="single" w:sz="4" w:space="0" w:color="auto"/>
                      <w:right w:val="single" w:sz="6" w:space="0" w:color="auto"/>
                    </w:tcBorders>
                  </w:tcPr>
                  <w:p w14:paraId="29B5C314" w14:textId="77777777" w:rsidR="00830E72" w:rsidRDefault="008344D8">
                    <w:pPr>
                      <w:jc w:val="right"/>
                      <w:rPr>
                        <w:rFonts w:asciiTheme="minorEastAsia" w:eastAsiaTheme="minorEastAsia" w:hAnsiTheme="minorEastAsia"/>
                        <w:sz w:val="18"/>
                        <w:szCs w:val="18"/>
                      </w:rPr>
                    </w:pPr>
                    <w:r>
                      <w:rPr>
                        <w:sz w:val="18"/>
                        <w:szCs w:val="18"/>
                      </w:rPr>
                      <w:t>1,028.87</w:t>
                    </w:r>
                  </w:p>
                </w:tc>
                <w:tc>
                  <w:tcPr>
                    <w:tcW w:w="385" w:type="pct"/>
                    <w:tcBorders>
                      <w:top w:val="single" w:sz="6" w:space="0" w:color="auto"/>
                      <w:left w:val="single" w:sz="6" w:space="0" w:color="auto"/>
                      <w:bottom w:val="single" w:sz="4" w:space="0" w:color="auto"/>
                      <w:right w:val="single" w:sz="6" w:space="0" w:color="auto"/>
                    </w:tcBorders>
                  </w:tcPr>
                  <w:p w14:paraId="3D099009" w14:textId="77777777" w:rsidR="00830E72" w:rsidRDefault="008344D8">
                    <w:pPr>
                      <w:jc w:val="right"/>
                      <w:rPr>
                        <w:rFonts w:asciiTheme="minorEastAsia" w:eastAsiaTheme="minorEastAsia" w:hAnsiTheme="minorEastAsia"/>
                        <w:sz w:val="18"/>
                        <w:szCs w:val="18"/>
                      </w:rPr>
                    </w:pPr>
                    <w:r>
                      <w:rPr>
                        <w:sz w:val="18"/>
                        <w:szCs w:val="18"/>
                      </w:rPr>
                      <w:t>81,515.62</w:t>
                    </w:r>
                  </w:p>
                </w:tc>
                <w:tc>
                  <w:tcPr>
                    <w:tcW w:w="385" w:type="pct"/>
                    <w:tcBorders>
                      <w:top w:val="single" w:sz="6" w:space="0" w:color="auto"/>
                      <w:left w:val="single" w:sz="6" w:space="0" w:color="auto"/>
                      <w:bottom w:val="single" w:sz="4" w:space="0" w:color="auto"/>
                      <w:right w:val="single" w:sz="6" w:space="0" w:color="auto"/>
                    </w:tcBorders>
                  </w:tcPr>
                  <w:p w14:paraId="32E784D5" w14:textId="77777777" w:rsidR="00830E72" w:rsidRDefault="008344D8">
                    <w:pPr>
                      <w:jc w:val="right"/>
                      <w:rPr>
                        <w:rFonts w:asciiTheme="minorEastAsia" w:eastAsiaTheme="minorEastAsia" w:hAnsiTheme="minorEastAsia"/>
                        <w:sz w:val="18"/>
                        <w:szCs w:val="18"/>
                      </w:rPr>
                    </w:pPr>
                    <w:r>
                      <w:rPr>
                        <w:sz w:val="18"/>
                        <w:szCs w:val="18"/>
                      </w:rPr>
                      <w:t>82,544.49</w:t>
                    </w:r>
                  </w:p>
                </w:tc>
                <w:tc>
                  <w:tcPr>
                    <w:tcW w:w="385" w:type="pct"/>
                    <w:tcBorders>
                      <w:top w:val="single" w:sz="6" w:space="0" w:color="auto"/>
                      <w:left w:val="single" w:sz="6" w:space="0" w:color="auto"/>
                      <w:bottom w:val="single" w:sz="4" w:space="0" w:color="auto"/>
                      <w:right w:val="single" w:sz="6" w:space="0" w:color="auto"/>
                    </w:tcBorders>
                  </w:tcPr>
                  <w:p w14:paraId="76DFB7DE" w14:textId="77777777" w:rsidR="00830E72" w:rsidRDefault="008344D8">
                    <w:pPr>
                      <w:jc w:val="right"/>
                      <w:rPr>
                        <w:rFonts w:asciiTheme="minorEastAsia" w:eastAsiaTheme="minorEastAsia" w:hAnsiTheme="minorEastAsia"/>
                        <w:sz w:val="18"/>
                        <w:szCs w:val="18"/>
                      </w:rPr>
                    </w:pPr>
                    <w:r>
                      <w:rPr>
                        <w:sz w:val="18"/>
                        <w:szCs w:val="18"/>
                      </w:rPr>
                      <w:t>9,496.78</w:t>
                    </w:r>
                  </w:p>
                </w:tc>
                <w:tc>
                  <w:tcPr>
                    <w:tcW w:w="385" w:type="pct"/>
                    <w:tcBorders>
                      <w:top w:val="single" w:sz="6" w:space="0" w:color="auto"/>
                      <w:left w:val="single" w:sz="6" w:space="0" w:color="auto"/>
                      <w:bottom w:val="single" w:sz="4" w:space="0" w:color="auto"/>
                      <w:right w:val="single" w:sz="6" w:space="0" w:color="auto"/>
                    </w:tcBorders>
                  </w:tcPr>
                  <w:p w14:paraId="7F9DAD57" w14:textId="77777777" w:rsidR="00830E72" w:rsidRDefault="008344D8">
                    <w:pPr>
                      <w:jc w:val="right"/>
                      <w:rPr>
                        <w:rFonts w:asciiTheme="minorEastAsia" w:eastAsiaTheme="minorEastAsia" w:hAnsiTheme="minorEastAsia"/>
                        <w:sz w:val="18"/>
                        <w:szCs w:val="18"/>
                      </w:rPr>
                    </w:pPr>
                    <w:r>
                      <w:rPr>
                        <w:sz w:val="18"/>
                        <w:szCs w:val="18"/>
                      </w:rPr>
                      <w:t>55,511.28</w:t>
                    </w:r>
                  </w:p>
                </w:tc>
                <w:tc>
                  <w:tcPr>
                    <w:tcW w:w="385" w:type="pct"/>
                    <w:tcBorders>
                      <w:top w:val="single" w:sz="6" w:space="0" w:color="auto"/>
                      <w:left w:val="single" w:sz="6" w:space="0" w:color="auto"/>
                      <w:bottom w:val="single" w:sz="4" w:space="0" w:color="auto"/>
                      <w:right w:val="single" w:sz="6" w:space="0" w:color="auto"/>
                    </w:tcBorders>
                  </w:tcPr>
                  <w:p w14:paraId="5F0FDFCF" w14:textId="77777777" w:rsidR="00830E72" w:rsidRDefault="008344D8">
                    <w:pPr>
                      <w:jc w:val="right"/>
                      <w:rPr>
                        <w:rFonts w:asciiTheme="minorEastAsia" w:eastAsiaTheme="minorEastAsia" w:hAnsiTheme="minorEastAsia"/>
                        <w:sz w:val="18"/>
                        <w:szCs w:val="18"/>
                      </w:rPr>
                    </w:pPr>
                    <w:r>
                      <w:rPr>
                        <w:sz w:val="18"/>
                        <w:szCs w:val="18"/>
                      </w:rPr>
                      <w:t>65,008.06</w:t>
                    </w:r>
                  </w:p>
                </w:tc>
                <w:tc>
                  <w:tcPr>
                    <w:tcW w:w="385" w:type="pct"/>
                    <w:tcBorders>
                      <w:top w:val="single" w:sz="6" w:space="0" w:color="auto"/>
                      <w:left w:val="single" w:sz="6" w:space="0" w:color="auto"/>
                      <w:bottom w:val="single" w:sz="4" w:space="0" w:color="auto"/>
                      <w:right w:val="single" w:sz="6" w:space="0" w:color="auto"/>
                    </w:tcBorders>
                  </w:tcPr>
                  <w:p w14:paraId="7F09F61E" w14:textId="77777777" w:rsidR="00830E72" w:rsidRDefault="008344D8">
                    <w:pPr>
                      <w:jc w:val="right"/>
                      <w:rPr>
                        <w:rFonts w:asciiTheme="minorEastAsia" w:eastAsiaTheme="minorEastAsia" w:hAnsiTheme="minorEastAsia"/>
                        <w:sz w:val="18"/>
                        <w:szCs w:val="18"/>
                      </w:rPr>
                    </w:pPr>
                    <w:r>
                      <w:rPr>
                        <w:sz w:val="18"/>
                        <w:szCs w:val="18"/>
                      </w:rPr>
                      <w:t>10,958.54</w:t>
                    </w:r>
                  </w:p>
                </w:tc>
                <w:tc>
                  <w:tcPr>
                    <w:tcW w:w="385" w:type="pct"/>
                    <w:tcBorders>
                      <w:top w:val="single" w:sz="6" w:space="0" w:color="auto"/>
                      <w:left w:val="single" w:sz="6" w:space="0" w:color="auto"/>
                      <w:bottom w:val="single" w:sz="4" w:space="0" w:color="auto"/>
                      <w:right w:val="single" w:sz="6" w:space="0" w:color="auto"/>
                    </w:tcBorders>
                  </w:tcPr>
                  <w:p w14:paraId="3C33C8A5" w14:textId="77777777" w:rsidR="00830E72" w:rsidRDefault="008344D8">
                    <w:pPr>
                      <w:jc w:val="right"/>
                      <w:rPr>
                        <w:rFonts w:asciiTheme="minorEastAsia" w:eastAsiaTheme="minorEastAsia" w:hAnsiTheme="minorEastAsia"/>
                        <w:sz w:val="18"/>
                        <w:szCs w:val="18"/>
                      </w:rPr>
                    </w:pPr>
                    <w:r>
                      <w:rPr>
                        <w:sz w:val="18"/>
                        <w:szCs w:val="18"/>
                      </w:rPr>
                      <w:t>75,721.78</w:t>
                    </w:r>
                  </w:p>
                </w:tc>
                <w:tc>
                  <w:tcPr>
                    <w:tcW w:w="385" w:type="pct"/>
                    <w:tcBorders>
                      <w:top w:val="single" w:sz="6" w:space="0" w:color="auto"/>
                      <w:left w:val="single" w:sz="6" w:space="0" w:color="auto"/>
                      <w:bottom w:val="single" w:sz="4" w:space="0" w:color="auto"/>
                      <w:right w:val="single" w:sz="6" w:space="0" w:color="auto"/>
                    </w:tcBorders>
                  </w:tcPr>
                  <w:p w14:paraId="29A54393" w14:textId="77777777" w:rsidR="00830E72" w:rsidRDefault="008344D8">
                    <w:pPr>
                      <w:jc w:val="right"/>
                      <w:rPr>
                        <w:rFonts w:asciiTheme="minorEastAsia" w:eastAsiaTheme="minorEastAsia" w:hAnsiTheme="minorEastAsia"/>
                        <w:sz w:val="18"/>
                        <w:szCs w:val="18"/>
                      </w:rPr>
                    </w:pPr>
                    <w:r>
                      <w:rPr>
                        <w:sz w:val="18"/>
                        <w:szCs w:val="18"/>
                      </w:rPr>
                      <w:t>86,680.32</w:t>
                    </w:r>
                  </w:p>
                </w:tc>
                <w:tc>
                  <w:tcPr>
                    <w:tcW w:w="385" w:type="pct"/>
                    <w:tcBorders>
                      <w:top w:val="single" w:sz="6" w:space="0" w:color="auto"/>
                      <w:left w:val="single" w:sz="6" w:space="0" w:color="auto"/>
                      <w:bottom w:val="single" w:sz="4" w:space="0" w:color="auto"/>
                      <w:right w:val="single" w:sz="6" w:space="0" w:color="auto"/>
                    </w:tcBorders>
                  </w:tcPr>
                  <w:p w14:paraId="441E2BE1" w14:textId="77777777" w:rsidR="00830E72" w:rsidRDefault="008344D8">
                    <w:pPr>
                      <w:jc w:val="right"/>
                      <w:rPr>
                        <w:rFonts w:asciiTheme="minorEastAsia" w:eastAsiaTheme="minorEastAsia" w:hAnsiTheme="minorEastAsia"/>
                        <w:sz w:val="18"/>
                        <w:szCs w:val="18"/>
                      </w:rPr>
                    </w:pPr>
                    <w:r>
                      <w:rPr>
                        <w:sz w:val="18"/>
                        <w:szCs w:val="18"/>
                      </w:rPr>
                      <w:t>9,782.79</w:t>
                    </w:r>
                  </w:p>
                </w:tc>
                <w:tc>
                  <w:tcPr>
                    <w:tcW w:w="385" w:type="pct"/>
                    <w:tcBorders>
                      <w:top w:val="single" w:sz="6" w:space="0" w:color="auto"/>
                      <w:left w:val="single" w:sz="6" w:space="0" w:color="auto"/>
                      <w:bottom w:val="single" w:sz="4" w:space="0" w:color="auto"/>
                      <w:right w:val="single" w:sz="6" w:space="0" w:color="auto"/>
                    </w:tcBorders>
                  </w:tcPr>
                  <w:p w14:paraId="54862988" w14:textId="77777777" w:rsidR="00830E72" w:rsidRDefault="008344D8">
                    <w:pPr>
                      <w:jc w:val="right"/>
                      <w:rPr>
                        <w:rFonts w:asciiTheme="minorEastAsia" w:eastAsiaTheme="minorEastAsia" w:hAnsiTheme="minorEastAsia"/>
                        <w:sz w:val="18"/>
                        <w:szCs w:val="18"/>
                      </w:rPr>
                    </w:pPr>
                    <w:r>
                      <w:rPr>
                        <w:sz w:val="18"/>
                        <w:szCs w:val="18"/>
                      </w:rPr>
                      <w:t>60,298.76</w:t>
                    </w:r>
                  </w:p>
                </w:tc>
                <w:tc>
                  <w:tcPr>
                    <w:tcW w:w="385" w:type="pct"/>
                    <w:tcBorders>
                      <w:top w:val="single" w:sz="6" w:space="0" w:color="auto"/>
                      <w:left w:val="single" w:sz="6" w:space="0" w:color="auto"/>
                      <w:bottom w:val="single" w:sz="4" w:space="0" w:color="auto"/>
                      <w:right w:val="single" w:sz="4" w:space="0" w:color="auto"/>
                    </w:tcBorders>
                  </w:tcPr>
                  <w:p w14:paraId="39F43B98" w14:textId="77777777" w:rsidR="00830E72" w:rsidRDefault="008344D8">
                    <w:pPr>
                      <w:jc w:val="right"/>
                      <w:rPr>
                        <w:rFonts w:asciiTheme="minorEastAsia" w:eastAsiaTheme="minorEastAsia" w:hAnsiTheme="minorEastAsia"/>
                        <w:sz w:val="18"/>
                        <w:szCs w:val="18"/>
                      </w:rPr>
                    </w:pPr>
                    <w:r>
                      <w:rPr>
                        <w:sz w:val="18"/>
                        <w:szCs w:val="18"/>
                      </w:rPr>
                      <w:t>70,081.55</w:t>
                    </w:r>
                  </w:p>
                </w:tc>
              </w:tr>
            </w:sdtContent>
          </w:sdt>
          <w:sdt>
            <w:sdtPr>
              <w:rPr>
                <w:rFonts w:asciiTheme="minorEastAsia" w:eastAsiaTheme="minorEastAsia" w:hAnsiTheme="minorEastAsia" w:cstheme="minorBidi"/>
                <w:kern w:val="2"/>
                <w:sz w:val="18"/>
                <w:szCs w:val="18"/>
              </w:rPr>
              <w:alias w:val="重要非全资子公司的主要财务信息明细"/>
              <w:tag w:val="_GBC_feef0d2d67a84217a9099e634bb2d3df"/>
              <w:id w:val="-1408602752"/>
              <w:lock w:val="sdtLocked"/>
            </w:sdtPr>
            <w:sdtEndPr/>
            <w:sdtContent>
              <w:tr w:rsidR="00830E72" w14:paraId="53A4C374" w14:textId="77777777">
                <w:tc>
                  <w:tcPr>
                    <w:tcW w:w="385" w:type="pct"/>
                    <w:tcBorders>
                      <w:top w:val="single" w:sz="6" w:space="0" w:color="auto"/>
                      <w:left w:val="single" w:sz="4" w:space="0" w:color="auto"/>
                      <w:bottom w:val="single" w:sz="4" w:space="0" w:color="auto"/>
                      <w:right w:val="single" w:sz="6" w:space="0" w:color="auto"/>
                    </w:tcBorders>
                  </w:tcPr>
                  <w:p w14:paraId="16B65B6F" w14:textId="77777777" w:rsidR="00830E72" w:rsidRDefault="008344D8">
                    <w:pPr>
                      <w:rPr>
                        <w:rFonts w:asciiTheme="minorEastAsia" w:eastAsiaTheme="minorEastAsia" w:hAnsiTheme="minorEastAsia"/>
                        <w:sz w:val="18"/>
                        <w:szCs w:val="18"/>
                      </w:rPr>
                    </w:pPr>
                    <w:r>
                      <w:rPr>
                        <w:rFonts w:asciiTheme="minorEastAsia" w:eastAsiaTheme="minorEastAsia" w:hAnsiTheme="minorEastAsia" w:hint="eastAsia"/>
                        <w:sz w:val="18"/>
                        <w:szCs w:val="18"/>
                      </w:rPr>
                      <w:t>宿松振兴</w:t>
                    </w:r>
                  </w:p>
                </w:tc>
                <w:tc>
                  <w:tcPr>
                    <w:tcW w:w="385" w:type="pct"/>
                    <w:tcBorders>
                      <w:top w:val="single" w:sz="6" w:space="0" w:color="auto"/>
                      <w:left w:val="single" w:sz="6" w:space="0" w:color="auto"/>
                      <w:bottom w:val="single" w:sz="4" w:space="0" w:color="auto"/>
                      <w:right w:val="single" w:sz="6" w:space="0" w:color="auto"/>
                    </w:tcBorders>
                  </w:tcPr>
                  <w:p w14:paraId="6CDE6ED7" w14:textId="77777777" w:rsidR="00830E72" w:rsidRDefault="008344D8">
                    <w:pPr>
                      <w:jc w:val="right"/>
                      <w:rPr>
                        <w:rFonts w:asciiTheme="minorEastAsia" w:eastAsiaTheme="minorEastAsia" w:hAnsiTheme="minorEastAsia"/>
                        <w:sz w:val="18"/>
                        <w:szCs w:val="18"/>
                      </w:rPr>
                    </w:pPr>
                    <w:r>
                      <w:rPr>
                        <w:sz w:val="18"/>
                        <w:szCs w:val="18"/>
                      </w:rPr>
                      <w:t>2,894.41</w:t>
                    </w:r>
                  </w:p>
                </w:tc>
                <w:tc>
                  <w:tcPr>
                    <w:tcW w:w="385" w:type="pct"/>
                    <w:tcBorders>
                      <w:top w:val="single" w:sz="6" w:space="0" w:color="auto"/>
                      <w:left w:val="single" w:sz="6" w:space="0" w:color="auto"/>
                      <w:bottom w:val="single" w:sz="4" w:space="0" w:color="auto"/>
                      <w:right w:val="single" w:sz="6" w:space="0" w:color="auto"/>
                    </w:tcBorders>
                  </w:tcPr>
                  <w:p w14:paraId="2C4F0CD1" w14:textId="77777777" w:rsidR="00830E72" w:rsidRDefault="008344D8">
                    <w:pPr>
                      <w:jc w:val="right"/>
                      <w:rPr>
                        <w:rFonts w:asciiTheme="minorEastAsia" w:eastAsiaTheme="minorEastAsia" w:hAnsiTheme="minorEastAsia"/>
                        <w:sz w:val="18"/>
                        <w:szCs w:val="18"/>
                      </w:rPr>
                    </w:pPr>
                    <w:r>
                      <w:rPr>
                        <w:sz w:val="18"/>
                        <w:szCs w:val="18"/>
                      </w:rPr>
                      <w:t>35,411.56</w:t>
                    </w:r>
                  </w:p>
                </w:tc>
                <w:tc>
                  <w:tcPr>
                    <w:tcW w:w="385" w:type="pct"/>
                    <w:tcBorders>
                      <w:top w:val="single" w:sz="6" w:space="0" w:color="auto"/>
                      <w:left w:val="single" w:sz="6" w:space="0" w:color="auto"/>
                      <w:bottom w:val="single" w:sz="4" w:space="0" w:color="auto"/>
                      <w:right w:val="single" w:sz="6" w:space="0" w:color="auto"/>
                    </w:tcBorders>
                  </w:tcPr>
                  <w:p w14:paraId="6FAB782D" w14:textId="77777777" w:rsidR="00830E72" w:rsidRDefault="008344D8">
                    <w:pPr>
                      <w:jc w:val="right"/>
                      <w:rPr>
                        <w:rFonts w:asciiTheme="minorEastAsia" w:eastAsiaTheme="minorEastAsia" w:hAnsiTheme="minorEastAsia"/>
                        <w:sz w:val="18"/>
                        <w:szCs w:val="18"/>
                      </w:rPr>
                    </w:pPr>
                    <w:r>
                      <w:rPr>
                        <w:sz w:val="18"/>
                        <w:szCs w:val="18"/>
                      </w:rPr>
                      <w:t>38,305.97</w:t>
                    </w:r>
                  </w:p>
                </w:tc>
                <w:tc>
                  <w:tcPr>
                    <w:tcW w:w="385" w:type="pct"/>
                    <w:tcBorders>
                      <w:top w:val="single" w:sz="6" w:space="0" w:color="auto"/>
                      <w:left w:val="single" w:sz="6" w:space="0" w:color="auto"/>
                      <w:bottom w:val="single" w:sz="4" w:space="0" w:color="auto"/>
                      <w:right w:val="single" w:sz="6" w:space="0" w:color="auto"/>
                    </w:tcBorders>
                  </w:tcPr>
                  <w:p w14:paraId="202E56C7" w14:textId="77777777" w:rsidR="00830E72" w:rsidRDefault="008344D8">
                    <w:pPr>
                      <w:jc w:val="right"/>
                      <w:rPr>
                        <w:rFonts w:asciiTheme="minorEastAsia" w:eastAsiaTheme="minorEastAsia" w:hAnsiTheme="minorEastAsia"/>
                        <w:sz w:val="18"/>
                        <w:szCs w:val="18"/>
                      </w:rPr>
                    </w:pPr>
                    <w:r>
                      <w:rPr>
                        <w:sz w:val="18"/>
                        <w:szCs w:val="18"/>
                      </w:rPr>
                      <w:t>12,041.65</w:t>
                    </w:r>
                  </w:p>
                </w:tc>
                <w:tc>
                  <w:tcPr>
                    <w:tcW w:w="385" w:type="pct"/>
                    <w:tcBorders>
                      <w:top w:val="single" w:sz="6" w:space="0" w:color="auto"/>
                      <w:left w:val="single" w:sz="6" w:space="0" w:color="auto"/>
                      <w:bottom w:val="single" w:sz="4" w:space="0" w:color="auto"/>
                      <w:right w:val="single" w:sz="6" w:space="0" w:color="auto"/>
                    </w:tcBorders>
                  </w:tcPr>
                  <w:p w14:paraId="2CC3D0A8" w14:textId="77777777" w:rsidR="00830E72" w:rsidRDefault="008344D8">
                    <w:pPr>
                      <w:jc w:val="right"/>
                      <w:rPr>
                        <w:rFonts w:asciiTheme="minorEastAsia" w:eastAsiaTheme="minorEastAsia" w:hAnsiTheme="minorEastAsia"/>
                        <w:sz w:val="18"/>
                        <w:szCs w:val="18"/>
                      </w:rPr>
                    </w:pPr>
                    <w:r>
                      <w:rPr>
                        <w:sz w:val="18"/>
                        <w:szCs w:val="18"/>
                      </w:rPr>
                      <w:t>25,041.95</w:t>
                    </w:r>
                  </w:p>
                </w:tc>
                <w:tc>
                  <w:tcPr>
                    <w:tcW w:w="385" w:type="pct"/>
                    <w:tcBorders>
                      <w:top w:val="single" w:sz="6" w:space="0" w:color="auto"/>
                      <w:left w:val="single" w:sz="6" w:space="0" w:color="auto"/>
                      <w:bottom w:val="single" w:sz="4" w:space="0" w:color="auto"/>
                      <w:right w:val="single" w:sz="6" w:space="0" w:color="auto"/>
                    </w:tcBorders>
                  </w:tcPr>
                  <w:p w14:paraId="6F2897FE" w14:textId="77777777" w:rsidR="00830E72" w:rsidRDefault="008344D8">
                    <w:pPr>
                      <w:jc w:val="right"/>
                      <w:rPr>
                        <w:rFonts w:asciiTheme="minorEastAsia" w:eastAsiaTheme="minorEastAsia" w:hAnsiTheme="minorEastAsia"/>
                        <w:sz w:val="18"/>
                        <w:szCs w:val="18"/>
                      </w:rPr>
                    </w:pPr>
                    <w:r>
                      <w:rPr>
                        <w:sz w:val="18"/>
                        <w:szCs w:val="18"/>
                      </w:rPr>
                      <w:t>37,083.60</w:t>
                    </w:r>
                  </w:p>
                </w:tc>
                <w:tc>
                  <w:tcPr>
                    <w:tcW w:w="385" w:type="pct"/>
                    <w:tcBorders>
                      <w:top w:val="single" w:sz="6" w:space="0" w:color="auto"/>
                      <w:left w:val="single" w:sz="6" w:space="0" w:color="auto"/>
                      <w:bottom w:val="single" w:sz="4" w:space="0" w:color="auto"/>
                      <w:right w:val="single" w:sz="6" w:space="0" w:color="auto"/>
                    </w:tcBorders>
                  </w:tcPr>
                  <w:p w14:paraId="035BD8BF" w14:textId="77777777" w:rsidR="00830E72" w:rsidRDefault="008344D8">
                    <w:pPr>
                      <w:jc w:val="right"/>
                      <w:rPr>
                        <w:rFonts w:asciiTheme="minorEastAsia" w:eastAsiaTheme="minorEastAsia" w:hAnsiTheme="minorEastAsia"/>
                        <w:sz w:val="18"/>
                        <w:szCs w:val="18"/>
                      </w:rPr>
                    </w:pPr>
                    <w:r>
                      <w:rPr>
                        <w:sz w:val="18"/>
                        <w:szCs w:val="18"/>
                      </w:rPr>
                      <w:t>1,785.64</w:t>
                    </w:r>
                  </w:p>
                </w:tc>
                <w:tc>
                  <w:tcPr>
                    <w:tcW w:w="385" w:type="pct"/>
                    <w:tcBorders>
                      <w:top w:val="single" w:sz="6" w:space="0" w:color="auto"/>
                      <w:left w:val="single" w:sz="6" w:space="0" w:color="auto"/>
                      <w:bottom w:val="single" w:sz="4" w:space="0" w:color="auto"/>
                      <w:right w:val="single" w:sz="6" w:space="0" w:color="auto"/>
                    </w:tcBorders>
                  </w:tcPr>
                  <w:p w14:paraId="7596D965" w14:textId="77777777" w:rsidR="00830E72" w:rsidRDefault="008344D8">
                    <w:pPr>
                      <w:jc w:val="right"/>
                      <w:rPr>
                        <w:rFonts w:asciiTheme="minorEastAsia" w:eastAsiaTheme="minorEastAsia" w:hAnsiTheme="minorEastAsia"/>
                        <w:sz w:val="18"/>
                        <w:szCs w:val="18"/>
                      </w:rPr>
                    </w:pPr>
                    <w:r>
                      <w:rPr>
                        <w:sz w:val="18"/>
                        <w:szCs w:val="18"/>
                      </w:rPr>
                      <w:t>34,260.44</w:t>
                    </w:r>
                  </w:p>
                </w:tc>
                <w:tc>
                  <w:tcPr>
                    <w:tcW w:w="385" w:type="pct"/>
                    <w:tcBorders>
                      <w:top w:val="single" w:sz="6" w:space="0" w:color="auto"/>
                      <w:left w:val="single" w:sz="6" w:space="0" w:color="auto"/>
                      <w:bottom w:val="single" w:sz="4" w:space="0" w:color="auto"/>
                      <w:right w:val="single" w:sz="6" w:space="0" w:color="auto"/>
                    </w:tcBorders>
                  </w:tcPr>
                  <w:p w14:paraId="371EF8DE" w14:textId="77777777" w:rsidR="00830E72" w:rsidRDefault="008344D8">
                    <w:pPr>
                      <w:jc w:val="right"/>
                      <w:rPr>
                        <w:rFonts w:asciiTheme="minorEastAsia" w:eastAsiaTheme="minorEastAsia" w:hAnsiTheme="minorEastAsia"/>
                        <w:sz w:val="18"/>
                        <w:szCs w:val="18"/>
                      </w:rPr>
                    </w:pPr>
                    <w:r>
                      <w:rPr>
                        <w:sz w:val="18"/>
                        <w:szCs w:val="18"/>
                      </w:rPr>
                      <w:t>36,046.08</w:t>
                    </w:r>
                  </w:p>
                </w:tc>
                <w:tc>
                  <w:tcPr>
                    <w:tcW w:w="385" w:type="pct"/>
                    <w:tcBorders>
                      <w:top w:val="single" w:sz="6" w:space="0" w:color="auto"/>
                      <w:left w:val="single" w:sz="6" w:space="0" w:color="auto"/>
                      <w:bottom w:val="single" w:sz="4" w:space="0" w:color="auto"/>
                      <w:right w:val="single" w:sz="6" w:space="0" w:color="auto"/>
                    </w:tcBorders>
                  </w:tcPr>
                  <w:p w14:paraId="3A3E3C2F" w14:textId="77777777" w:rsidR="00830E72" w:rsidRDefault="008344D8">
                    <w:pPr>
                      <w:jc w:val="right"/>
                      <w:rPr>
                        <w:rFonts w:asciiTheme="minorEastAsia" w:eastAsiaTheme="minorEastAsia" w:hAnsiTheme="minorEastAsia"/>
                        <w:sz w:val="18"/>
                        <w:szCs w:val="18"/>
                      </w:rPr>
                    </w:pPr>
                    <w:r>
                      <w:rPr>
                        <w:sz w:val="18"/>
                        <w:szCs w:val="18"/>
                      </w:rPr>
                      <w:t>13,234.64</w:t>
                    </w:r>
                  </w:p>
                </w:tc>
                <w:tc>
                  <w:tcPr>
                    <w:tcW w:w="385" w:type="pct"/>
                    <w:tcBorders>
                      <w:top w:val="single" w:sz="6" w:space="0" w:color="auto"/>
                      <w:left w:val="single" w:sz="6" w:space="0" w:color="auto"/>
                      <w:bottom w:val="single" w:sz="4" w:space="0" w:color="auto"/>
                      <w:right w:val="single" w:sz="6" w:space="0" w:color="auto"/>
                    </w:tcBorders>
                  </w:tcPr>
                  <w:p w14:paraId="0097A142" w14:textId="77777777" w:rsidR="00830E72" w:rsidRDefault="008344D8">
                    <w:pPr>
                      <w:jc w:val="right"/>
                      <w:rPr>
                        <w:rFonts w:asciiTheme="minorEastAsia" w:eastAsiaTheme="minorEastAsia" w:hAnsiTheme="minorEastAsia"/>
                        <w:sz w:val="18"/>
                        <w:szCs w:val="18"/>
                      </w:rPr>
                    </w:pPr>
                    <w:r>
                      <w:rPr>
                        <w:sz w:val="18"/>
                        <w:szCs w:val="18"/>
                      </w:rPr>
                      <w:t>21,800.00</w:t>
                    </w:r>
                  </w:p>
                </w:tc>
                <w:tc>
                  <w:tcPr>
                    <w:tcW w:w="385" w:type="pct"/>
                    <w:tcBorders>
                      <w:top w:val="single" w:sz="6" w:space="0" w:color="auto"/>
                      <w:left w:val="single" w:sz="6" w:space="0" w:color="auto"/>
                      <w:bottom w:val="single" w:sz="4" w:space="0" w:color="auto"/>
                      <w:right w:val="single" w:sz="4" w:space="0" w:color="auto"/>
                    </w:tcBorders>
                  </w:tcPr>
                  <w:p w14:paraId="54120DB5" w14:textId="77777777" w:rsidR="00830E72" w:rsidRDefault="008344D8">
                    <w:pPr>
                      <w:jc w:val="right"/>
                      <w:rPr>
                        <w:rFonts w:asciiTheme="minorEastAsia" w:eastAsiaTheme="minorEastAsia" w:hAnsiTheme="minorEastAsia"/>
                        <w:sz w:val="18"/>
                        <w:szCs w:val="18"/>
                      </w:rPr>
                    </w:pPr>
                    <w:r>
                      <w:rPr>
                        <w:sz w:val="18"/>
                        <w:szCs w:val="18"/>
                      </w:rPr>
                      <w:t>35,034.64</w:t>
                    </w:r>
                  </w:p>
                </w:tc>
              </w:tr>
            </w:sdtContent>
          </w:sdt>
          <w:sdt>
            <w:sdtPr>
              <w:rPr>
                <w:rFonts w:asciiTheme="minorEastAsia" w:eastAsiaTheme="minorEastAsia" w:hAnsiTheme="minorEastAsia" w:cstheme="minorBidi"/>
                <w:kern w:val="2"/>
                <w:sz w:val="18"/>
                <w:szCs w:val="18"/>
              </w:rPr>
              <w:alias w:val="重要非全资子公司的主要财务信息明细"/>
              <w:tag w:val="_GBC_feef0d2d67a84217a9099e634bb2d3df"/>
              <w:id w:val="707997557"/>
              <w:lock w:val="sdtLocked"/>
            </w:sdtPr>
            <w:sdtEndPr/>
            <w:sdtContent>
              <w:tr w:rsidR="00830E72" w14:paraId="57B9FBE1" w14:textId="77777777">
                <w:tc>
                  <w:tcPr>
                    <w:tcW w:w="385" w:type="pct"/>
                    <w:tcBorders>
                      <w:top w:val="single" w:sz="6" w:space="0" w:color="auto"/>
                      <w:left w:val="single" w:sz="4" w:space="0" w:color="auto"/>
                      <w:bottom w:val="single" w:sz="4" w:space="0" w:color="auto"/>
                      <w:right w:val="single" w:sz="6" w:space="0" w:color="auto"/>
                    </w:tcBorders>
                  </w:tcPr>
                  <w:p w14:paraId="72EB1141" w14:textId="77777777" w:rsidR="00830E72" w:rsidRDefault="008344D8">
                    <w:pPr>
                      <w:rPr>
                        <w:rFonts w:asciiTheme="minorEastAsia" w:eastAsiaTheme="minorEastAsia" w:hAnsiTheme="minorEastAsia"/>
                        <w:sz w:val="18"/>
                        <w:szCs w:val="18"/>
                      </w:rPr>
                    </w:pPr>
                    <w:r>
                      <w:rPr>
                        <w:rFonts w:asciiTheme="minorEastAsia" w:eastAsiaTheme="minorEastAsia" w:hAnsiTheme="minorEastAsia" w:hint="eastAsia"/>
                        <w:sz w:val="18"/>
                        <w:szCs w:val="18"/>
                      </w:rPr>
                      <w:t>界首齐美</w:t>
                    </w:r>
                  </w:p>
                </w:tc>
                <w:tc>
                  <w:tcPr>
                    <w:tcW w:w="385" w:type="pct"/>
                    <w:tcBorders>
                      <w:top w:val="single" w:sz="6" w:space="0" w:color="auto"/>
                      <w:left w:val="single" w:sz="6" w:space="0" w:color="auto"/>
                      <w:bottom w:val="single" w:sz="4" w:space="0" w:color="auto"/>
                      <w:right w:val="single" w:sz="6" w:space="0" w:color="auto"/>
                    </w:tcBorders>
                  </w:tcPr>
                  <w:p w14:paraId="3F01DBD5" w14:textId="77777777" w:rsidR="00830E72" w:rsidRDefault="008344D8">
                    <w:pPr>
                      <w:jc w:val="right"/>
                      <w:rPr>
                        <w:rFonts w:asciiTheme="minorEastAsia" w:eastAsiaTheme="minorEastAsia" w:hAnsiTheme="minorEastAsia"/>
                        <w:sz w:val="18"/>
                        <w:szCs w:val="18"/>
                      </w:rPr>
                    </w:pPr>
                    <w:r>
                      <w:rPr>
                        <w:sz w:val="18"/>
                        <w:szCs w:val="18"/>
                      </w:rPr>
                      <w:t>11,653.05</w:t>
                    </w:r>
                  </w:p>
                </w:tc>
                <w:tc>
                  <w:tcPr>
                    <w:tcW w:w="385" w:type="pct"/>
                    <w:tcBorders>
                      <w:top w:val="single" w:sz="6" w:space="0" w:color="auto"/>
                      <w:left w:val="single" w:sz="6" w:space="0" w:color="auto"/>
                      <w:bottom w:val="single" w:sz="4" w:space="0" w:color="auto"/>
                      <w:right w:val="single" w:sz="6" w:space="0" w:color="auto"/>
                    </w:tcBorders>
                  </w:tcPr>
                  <w:p w14:paraId="455B3F8A" w14:textId="77777777" w:rsidR="00830E72" w:rsidRDefault="008344D8">
                    <w:pPr>
                      <w:jc w:val="right"/>
                      <w:rPr>
                        <w:rFonts w:asciiTheme="minorEastAsia" w:eastAsiaTheme="minorEastAsia" w:hAnsiTheme="minorEastAsia"/>
                        <w:sz w:val="18"/>
                        <w:szCs w:val="18"/>
                      </w:rPr>
                    </w:pPr>
                    <w:r>
                      <w:rPr>
                        <w:sz w:val="18"/>
                        <w:szCs w:val="18"/>
                      </w:rPr>
                      <w:t>17,332.81</w:t>
                    </w:r>
                  </w:p>
                </w:tc>
                <w:tc>
                  <w:tcPr>
                    <w:tcW w:w="385" w:type="pct"/>
                    <w:tcBorders>
                      <w:top w:val="single" w:sz="6" w:space="0" w:color="auto"/>
                      <w:left w:val="single" w:sz="6" w:space="0" w:color="auto"/>
                      <w:bottom w:val="single" w:sz="4" w:space="0" w:color="auto"/>
                      <w:right w:val="single" w:sz="6" w:space="0" w:color="auto"/>
                    </w:tcBorders>
                  </w:tcPr>
                  <w:p w14:paraId="58A15DB5" w14:textId="77777777" w:rsidR="00830E72" w:rsidRDefault="008344D8">
                    <w:pPr>
                      <w:jc w:val="right"/>
                      <w:rPr>
                        <w:rFonts w:asciiTheme="minorEastAsia" w:eastAsiaTheme="minorEastAsia" w:hAnsiTheme="minorEastAsia"/>
                        <w:sz w:val="18"/>
                        <w:szCs w:val="18"/>
                      </w:rPr>
                    </w:pPr>
                    <w:r>
                      <w:rPr>
                        <w:sz w:val="18"/>
                        <w:szCs w:val="18"/>
                      </w:rPr>
                      <w:t>28,985.86</w:t>
                    </w:r>
                  </w:p>
                </w:tc>
                <w:tc>
                  <w:tcPr>
                    <w:tcW w:w="385" w:type="pct"/>
                    <w:tcBorders>
                      <w:top w:val="single" w:sz="6" w:space="0" w:color="auto"/>
                      <w:left w:val="single" w:sz="6" w:space="0" w:color="auto"/>
                      <w:bottom w:val="single" w:sz="4" w:space="0" w:color="auto"/>
                      <w:right w:val="single" w:sz="6" w:space="0" w:color="auto"/>
                    </w:tcBorders>
                  </w:tcPr>
                  <w:p w14:paraId="4194DB05" w14:textId="77777777" w:rsidR="00830E72" w:rsidRDefault="008344D8">
                    <w:pPr>
                      <w:jc w:val="right"/>
                      <w:rPr>
                        <w:rFonts w:asciiTheme="minorEastAsia" w:eastAsiaTheme="minorEastAsia" w:hAnsiTheme="minorEastAsia"/>
                        <w:sz w:val="18"/>
                        <w:szCs w:val="18"/>
                      </w:rPr>
                    </w:pPr>
                    <w:r>
                      <w:rPr>
                        <w:sz w:val="18"/>
                        <w:szCs w:val="18"/>
                      </w:rPr>
                      <w:t>11.47</w:t>
                    </w:r>
                  </w:p>
                </w:tc>
                <w:tc>
                  <w:tcPr>
                    <w:tcW w:w="385" w:type="pct"/>
                    <w:tcBorders>
                      <w:top w:val="single" w:sz="6" w:space="0" w:color="auto"/>
                      <w:left w:val="single" w:sz="6" w:space="0" w:color="auto"/>
                      <w:bottom w:val="single" w:sz="4" w:space="0" w:color="auto"/>
                      <w:right w:val="single" w:sz="6" w:space="0" w:color="auto"/>
                    </w:tcBorders>
                  </w:tcPr>
                  <w:p w14:paraId="06A328BC" w14:textId="77777777" w:rsidR="00830E72" w:rsidRDefault="008344D8">
                    <w:pPr>
                      <w:jc w:val="right"/>
                      <w:rPr>
                        <w:rFonts w:asciiTheme="minorEastAsia" w:eastAsiaTheme="minorEastAsia" w:hAnsiTheme="minorEastAsia"/>
                        <w:sz w:val="18"/>
                        <w:szCs w:val="18"/>
                      </w:rPr>
                    </w:pPr>
                    <w:r>
                      <w:rPr>
                        <w:sz w:val="18"/>
                        <w:szCs w:val="18"/>
                      </w:rPr>
                      <w:t>0</w:t>
                    </w:r>
                  </w:p>
                </w:tc>
                <w:tc>
                  <w:tcPr>
                    <w:tcW w:w="385" w:type="pct"/>
                    <w:tcBorders>
                      <w:top w:val="single" w:sz="6" w:space="0" w:color="auto"/>
                      <w:left w:val="single" w:sz="6" w:space="0" w:color="auto"/>
                      <w:bottom w:val="single" w:sz="4" w:space="0" w:color="auto"/>
                      <w:right w:val="single" w:sz="6" w:space="0" w:color="auto"/>
                    </w:tcBorders>
                  </w:tcPr>
                  <w:p w14:paraId="3C5E6693" w14:textId="77777777" w:rsidR="00830E72" w:rsidRDefault="008344D8">
                    <w:pPr>
                      <w:jc w:val="right"/>
                      <w:rPr>
                        <w:rFonts w:asciiTheme="minorEastAsia" w:eastAsiaTheme="minorEastAsia" w:hAnsiTheme="minorEastAsia"/>
                        <w:sz w:val="18"/>
                        <w:szCs w:val="18"/>
                      </w:rPr>
                    </w:pPr>
                    <w:r>
                      <w:rPr>
                        <w:sz w:val="18"/>
                        <w:szCs w:val="18"/>
                      </w:rPr>
                      <w:t>11.47</w:t>
                    </w:r>
                  </w:p>
                </w:tc>
                <w:tc>
                  <w:tcPr>
                    <w:tcW w:w="385" w:type="pct"/>
                    <w:tcBorders>
                      <w:top w:val="single" w:sz="6" w:space="0" w:color="auto"/>
                      <w:left w:val="single" w:sz="6" w:space="0" w:color="auto"/>
                      <w:bottom w:val="single" w:sz="4" w:space="0" w:color="auto"/>
                      <w:right w:val="single" w:sz="6" w:space="0" w:color="auto"/>
                    </w:tcBorders>
                  </w:tcPr>
                  <w:p w14:paraId="0C91EAAD" w14:textId="77777777" w:rsidR="00830E72" w:rsidRDefault="008344D8">
                    <w:pPr>
                      <w:jc w:val="right"/>
                      <w:rPr>
                        <w:rFonts w:asciiTheme="minorEastAsia" w:eastAsiaTheme="minorEastAsia" w:hAnsiTheme="minorEastAsia"/>
                        <w:sz w:val="18"/>
                        <w:szCs w:val="18"/>
                      </w:rPr>
                    </w:pPr>
                    <w:r>
                      <w:rPr>
                        <w:sz w:val="18"/>
                        <w:szCs w:val="18"/>
                      </w:rPr>
                      <w:t>494.09</w:t>
                    </w:r>
                  </w:p>
                </w:tc>
                <w:tc>
                  <w:tcPr>
                    <w:tcW w:w="385" w:type="pct"/>
                    <w:tcBorders>
                      <w:top w:val="single" w:sz="6" w:space="0" w:color="auto"/>
                      <w:left w:val="single" w:sz="6" w:space="0" w:color="auto"/>
                      <w:bottom w:val="single" w:sz="4" w:space="0" w:color="auto"/>
                      <w:right w:val="single" w:sz="6" w:space="0" w:color="auto"/>
                    </w:tcBorders>
                  </w:tcPr>
                  <w:p w14:paraId="54E49715" w14:textId="77777777" w:rsidR="00830E72" w:rsidRDefault="008344D8">
                    <w:pPr>
                      <w:jc w:val="right"/>
                      <w:rPr>
                        <w:rFonts w:asciiTheme="minorEastAsia" w:eastAsiaTheme="minorEastAsia" w:hAnsiTheme="minorEastAsia"/>
                        <w:sz w:val="18"/>
                        <w:szCs w:val="18"/>
                      </w:rPr>
                    </w:pPr>
                    <w:r>
                      <w:rPr>
                        <w:sz w:val="18"/>
                        <w:szCs w:val="18"/>
                      </w:rPr>
                      <w:t>9,926.07</w:t>
                    </w:r>
                  </w:p>
                </w:tc>
                <w:tc>
                  <w:tcPr>
                    <w:tcW w:w="385" w:type="pct"/>
                    <w:tcBorders>
                      <w:top w:val="single" w:sz="6" w:space="0" w:color="auto"/>
                      <w:left w:val="single" w:sz="6" w:space="0" w:color="auto"/>
                      <w:bottom w:val="single" w:sz="4" w:space="0" w:color="auto"/>
                      <w:right w:val="single" w:sz="6" w:space="0" w:color="auto"/>
                    </w:tcBorders>
                  </w:tcPr>
                  <w:p w14:paraId="6084EF39" w14:textId="77777777" w:rsidR="00830E72" w:rsidRDefault="008344D8">
                    <w:pPr>
                      <w:jc w:val="right"/>
                      <w:rPr>
                        <w:rFonts w:asciiTheme="minorEastAsia" w:eastAsiaTheme="minorEastAsia" w:hAnsiTheme="minorEastAsia"/>
                        <w:sz w:val="18"/>
                        <w:szCs w:val="18"/>
                      </w:rPr>
                    </w:pPr>
                    <w:r>
                      <w:rPr>
                        <w:sz w:val="18"/>
                        <w:szCs w:val="18"/>
                      </w:rPr>
                      <w:t>10,420.16</w:t>
                    </w:r>
                  </w:p>
                </w:tc>
                <w:tc>
                  <w:tcPr>
                    <w:tcW w:w="385" w:type="pct"/>
                    <w:tcBorders>
                      <w:top w:val="single" w:sz="6" w:space="0" w:color="auto"/>
                      <w:left w:val="single" w:sz="6" w:space="0" w:color="auto"/>
                      <w:bottom w:val="single" w:sz="4" w:space="0" w:color="auto"/>
                      <w:right w:val="single" w:sz="6" w:space="0" w:color="auto"/>
                    </w:tcBorders>
                  </w:tcPr>
                  <w:p w14:paraId="66DA3B71" w14:textId="77777777" w:rsidR="00830E72" w:rsidRDefault="008344D8">
                    <w:pPr>
                      <w:jc w:val="right"/>
                      <w:rPr>
                        <w:rFonts w:asciiTheme="minorEastAsia" w:eastAsiaTheme="minorEastAsia" w:hAnsiTheme="minorEastAsia"/>
                        <w:sz w:val="18"/>
                        <w:szCs w:val="18"/>
                      </w:rPr>
                    </w:pPr>
                    <w:r>
                      <w:rPr>
                        <w:sz w:val="18"/>
                        <w:szCs w:val="18"/>
                      </w:rPr>
                      <w:t>2,608.12</w:t>
                    </w:r>
                  </w:p>
                </w:tc>
                <w:tc>
                  <w:tcPr>
                    <w:tcW w:w="385" w:type="pct"/>
                    <w:tcBorders>
                      <w:top w:val="single" w:sz="6" w:space="0" w:color="auto"/>
                      <w:left w:val="single" w:sz="6" w:space="0" w:color="auto"/>
                      <w:bottom w:val="single" w:sz="4" w:space="0" w:color="auto"/>
                      <w:right w:val="single" w:sz="6" w:space="0" w:color="auto"/>
                    </w:tcBorders>
                  </w:tcPr>
                  <w:p w14:paraId="5D2740CE" w14:textId="77777777" w:rsidR="00830E72" w:rsidRDefault="008344D8">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385" w:type="pct"/>
                    <w:tcBorders>
                      <w:top w:val="single" w:sz="6" w:space="0" w:color="auto"/>
                      <w:left w:val="single" w:sz="6" w:space="0" w:color="auto"/>
                      <w:bottom w:val="single" w:sz="4" w:space="0" w:color="auto"/>
                      <w:right w:val="single" w:sz="4" w:space="0" w:color="auto"/>
                    </w:tcBorders>
                  </w:tcPr>
                  <w:p w14:paraId="45EE081C" w14:textId="77777777" w:rsidR="00830E72" w:rsidRDefault="008344D8">
                    <w:pPr>
                      <w:jc w:val="right"/>
                      <w:rPr>
                        <w:rFonts w:asciiTheme="minorEastAsia" w:eastAsiaTheme="minorEastAsia" w:hAnsiTheme="minorEastAsia"/>
                        <w:sz w:val="18"/>
                        <w:szCs w:val="18"/>
                      </w:rPr>
                    </w:pPr>
                    <w:r>
                      <w:rPr>
                        <w:sz w:val="18"/>
                        <w:szCs w:val="18"/>
                      </w:rPr>
                      <w:t>2,608.12</w:t>
                    </w:r>
                  </w:p>
                </w:tc>
              </w:tr>
            </w:sdtContent>
          </w:sdt>
        </w:tbl>
        <w:p w14:paraId="1500BB2F" w14:textId="77777777" w:rsidR="00830E72" w:rsidRDefault="00830E72"/>
        <w:p w14:paraId="5819C8BF" w14:textId="77777777" w:rsidR="00830E72" w:rsidRDefault="00830E72">
          <w:pPr>
            <w:rPr>
              <w:rFonts w:cs="Arial"/>
              <w:szCs w:val="21"/>
            </w:rPr>
          </w:pPr>
        </w:p>
        <w:p w14:paraId="70373CF2" w14:textId="77777777" w:rsidR="00830E72" w:rsidRDefault="00830E72">
          <w:pPr>
            <w:rPr>
              <w:rFonts w:cs="Arial"/>
              <w:szCs w:val="21"/>
            </w:rPr>
          </w:pPr>
        </w:p>
        <w:tbl>
          <w:tblPr>
            <w:tblStyle w:val="g1"/>
            <w:tblW w:w="506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43"/>
            <w:gridCol w:w="1218"/>
            <w:gridCol w:w="1722"/>
            <w:gridCol w:w="1657"/>
            <w:gridCol w:w="1939"/>
            <w:gridCol w:w="1537"/>
            <w:gridCol w:w="1608"/>
            <w:gridCol w:w="1614"/>
            <w:gridCol w:w="1720"/>
          </w:tblGrid>
          <w:tr w:rsidR="008B5F06" w14:paraId="5444EB63" w14:textId="77777777" w:rsidTr="008B5F06">
            <w:trPr>
              <w:trHeight w:val="241"/>
            </w:trPr>
            <w:sdt>
              <w:sdtPr>
                <w:rPr>
                  <w:sz w:val="18"/>
                  <w:szCs w:val="18"/>
                </w:rPr>
                <w:tag w:val="_PLD_87ab97227e5642b988e110c5a28abb39"/>
                <w:id w:val="-2108649732"/>
                <w:lock w:val="sdtLocked"/>
              </w:sdtPr>
              <w:sdtEndPr/>
              <w:sdtContent>
                <w:tc>
                  <w:tcPr>
                    <w:tcW w:w="436"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14:paraId="416016AA" w14:textId="77777777" w:rsidR="008B5F06" w:rsidRDefault="008B5F06" w:rsidP="009E70AA">
                    <w:pPr>
                      <w:spacing w:line="276" w:lineRule="auto"/>
                      <w:ind w:right="-16"/>
                      <w:jc w:val="center"/>
                      <w:rPr>
                        <w:rFonts w:cs="Arial"/>
                        <w:bCs/>
                        <w:sz w:val="18"/>
                        <w:szCs w:val="18"/>
                        <w:lang w:val="en-GB"/>
                      </w:rPr>
                    </w:pPr>
                    <w:r>
                      <w:rPr>
                        <w:rFonts w:cs="Arial" w:hint="eastAsia"/>
                        <w:bCs/>
                        <w:sz w:val="18"/>
                        <w:szCs w:val="18"/>
                        <w:lang w:val="en-GB"/>
                      </w:rPr>
                      <w:t>子公司名称</w:t>
                    </w:r>
                  </w:p>
                </w:tc>
              </w:sdtContent>
            </w:sdt>
            <w:sdt>
              <w:sdtPr>
                <w:rPr>
                  <w:sz w:val="18"/>
                  <w:szCs w:val="18"/>
                </w:rPr>
                <w:tag w:val="_PLD_85f8737cebf641b2aa266052f4118ba8"/>
                <w:id w:val="-1184349874"/>
                <w:lock w:val="sdtLocked"/>
              </w:sdtPr>
              <w:sdtEndPr/>
              <w:sdtContent>
                <w:tc>
                  <w:tcPr>
                    <w:tcW w:w="2292" w:type="pct"/>
                    <w:gridSpan w:val="4"/>
                    <w:tcBorders>
                      <w:top w:val="single" w:sz="4" w:space="0" w:color="auto"/>
                      <w:left w:val="single" w:sz="6" w:space="0" w:color="auto"/>
                      <w:bottom w:val="single" w:sz="6" w:space="0" w:color="auto"/>
                      <w:right w:val="single" w:sz="6" w:space="0" w:color="auto"/>
                    </w:tcBorders>
                    <w:shd w:val="clear" w:color="auto" w:fill="auto"/>
                    <w:vAlign w:val="center"/>
                  </w:tcPr>
                  <w:p w14:paraId="1E5261C9" w14:textId="77777777" w:rsidR="008B5F06" w:rsidRDefault="008B5F06" w:rsidP="009E70AA">
                    <w:pPr>
                      <w:spacing w:line="276" w:lineRule="auto"/>
                      <w:ind w:right="-16"/>
                      <w:jc w:val="center"/>
                      <w:rPr>
                        <w:rFonts w:cs="Arial"/>
                        <w:bCs/>
                        <w:sz w:val="18"/>
                        <w:szCs w:val="18"/>
                      </w:rPr>
                    </w:pPr>
                    <w:r>
                      <w:rPr>
                        <w:rFonts w:cs="Arial" w:hint="eastAsia"/>
                        <w:bCs/>
                        <w:sz w:val="18"/>
                        <w:szCs w:val="18"/>
                        <w:lang w:val="en-GB"/>
                      </w:rPr>
                      <w:t>本期发生额</w:t>
                    </w:r>
                  </w:p>
                </w:tc>
              </w:sdtContent>
            </w:sdt>
            <w:sdt>
              <w:sdtPr>
                <w:rPr>
                  <w:sz w:val="18"/>
                  <w:szCs w:val="18"/>
                </w:rPr>
                <w:tag w:val="_PLD_32dac50c80854f268b3afdebef20332e"/>
                <w:id w:val="-1647497670"/>
                <w:lock w:val="sdtLocked"/>
              </w:sdtPr>
              <w:sdtEndPr/>
              <w:sdtContent>
                <w:tc>
                  <w:tcPr>
                    <w:tcW w:w="2273" w:type="pct"/>
                    <w:gridSpan w:val="4"/>
                    <w:tcBorders>
                      <w:top w:val="single" w:sz="4" w:space="0" w:color="auto"/>
                      <w:left w:val="single" w:sz="6" w:space="0" w:color="auto"/>
                      <w:bottom w:val="single" w:sz="6" w:space="0" w:color="auto"/>
                      <w:right w:val="single" w:sz="4" w:space="0" w:color="auto"/>
                    </w:tcBorders>
                    <w:shd w:val="clear" w:color="auto" w:fill="auto"/>
                    <w:vAlign w:val="center"/>
                  </w:tcPr>
                  <w:p w14:paraId="597E1051" w14:textId="77777777" w:rsidR="008B5F06" w:rsidRDefault="008B5F06" w:rsidP="009E70AA">
                    <w:pPr>
                      <w:spacing w:line="276" w:lineRule="auto"/>
                      <w:ind w:right="-16"/>
                      <w:jc w:val="center"/>
                      <w:rPr>
                        <w:rFonts w:cs="Arial"/>
                        <w:bCs/>
                        <w:sz w:val="18"/>
                        <w:szCs w:val="18"/>
                      </w:rPr>
                    </w:pPr>
                    <w:r>
                      <w:rPr>
                        <w:rFonts w:cs="Arial" w:hint="eastAsia"/>
                        <w:bCs/>
                        <w:sz w:val="18"/>
                        <w:szCs w:val="18"/>
                        <w:lang w:val="en-GB"/>
                      </w:rPr>
                      <w:t>上期发生额</w:t>
                    </w:r>
                  </w:p>
                </w:tc>
              </w:sdtContent>
            </w:sdt>
          </w:tr>
          <w:tr w:rsidR="008B5F06" w14:paraId="0CDC1926" w14:textId="77777777" w:rsidTr="008B5F06">
            <w:trPr>
              <w:trHeight w:val="241"/>
            </w:trPr>
            <w:tc>
              <w:tcPr>
                <w:tcW w:w="436" w:type="pct"/>
                <w:vMerge/>
                <w:tcBorders>
                  <w:top w:val="single" w:sz="4" w:space="0" w:color="auto"/>
                  <w:left w:val="single" w:sz="4" w:space="0" w:color="auto"/>
                  <w:bottom w:val="single" w:sz="6" w:space="0" w:color="auto"/>
                  <w:right w:val="single" w:sz="6" w:space="0" w:color="auto"/>
                </w:tcBorders>
                <w:shd w:val="clear" w:color="auto" w:fill="auto"/>
                <w:vAlign w:val="center"/>
              </w:tcPr>
              <w:p w14:paraId="73070762" w14:textId="77777777" w:rsidR="008B5F06" w:rsidRDefault="008B5F06" w:rsidP="009E70AA">
                <w:pPr>
                  <w:jc w:val="center"/>
                  <w:rPr>
                    <w:rFonts w:cs="Arial"/>
                    <w:bCs/>
                    <w:sz w:val="18"/>
                    <w:szCs w:val="18"/>
                  </w:rPr>
                </w:pPr>
              </w:p>
            </w:tc>
            <w:sdt>
              <w:sdtPr>
                <w:rPr>
                  <w:sz w:val="18"/>
                  <w:szCs w:val="18"/>
                </w:rPr>
                <w:tag w:val="_PLD_29407a86c6924579a6442f5b24e6decd"/>
                <w:id w:val="-1159687531"/>
                <w:lock w:val="sdtLocked"/>
              </w:sdtPr>
              <w:sdtEndPr/>
              <w:sdtContent>
                <w:tc>
                  <w:tcPr>
                    <w:tcW w:w="427" w:type="pct"/>
                    <w:tcBorders>
                      <w:top w:val="single" w:sz="6" w:space="0" w:color="auto"/>
                      <w:left w:val="single" w:sz="6" w:space="0" w:color="auto"/>
                      <w:bottom w:val="single" w:sz="6" w:space="0" w:color="auto"/>
                      <w:right w:val="single" w:sz="6" w:space="0" w:color="auto"/>
                    </w:tcBorders>
                    <w:shd w:val="clear" w:color="auto" w:fill="auto"/>
                    <w:vAlign w:val="center"/>
                  </w:tcPr>
                  <w:p w14:paraId="6FB3334F" w14:textId="77777777" w:rsidR="008B5F06" w:rsidRDefault="008B5F06" w:rsidP="009E70AA">
                    <w:pPr>
                      <w:spacing w:line="276" w:lineRule="auto"/>
                      <w:jc w:val="center"/>
                      <w:rPr>
                        <w:rFonts w:cs="Arial"/>
                        <w:sz w:val="18"/>
                        <w:szCs w:val="18"/>
                      </w:rPr>
                    </w:pPr>
                    <w:r>
                      <w:rPr>
                        <w:rFonts w:cs="Arial" w:hint="eastAsia"/>
                        <w:sz w:val="18"/>
                        <w:szCs w:val="18"/>
                        <w:lang w:val="en-GB"/>
                      </w:rPr>
                      <w:t>营业收入</w:t>
                    </w:r>
                  </w:p>
                </w:tc>
              </w:sdtContent>
            </w:sdt>
            <w:sdt>
              <w:sdtPr>
                <w:rPr>
                  <w:sz w:val="18"/>
                  <w:szCs w:val="18"/>
                </w:rPr>
                <w:tag w:val="_PLD_bc59f1076f2243f8984efa8df921ad2c"/>
                <w:id w:val="-882633559"/>
                <w:lock w:val="sdtLocked"/>
              </w:sdtPr>
              <w:sdtEnd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14:paraId="48C44F84" w14:textId="77777777" w:rsidR="008B5F06" w:rsidRDefault="008B5F06" w:rsidP="009E70AA">
                    <w:pPr>
                      <w:spacing w:line="276" w:lineRule="auto"/>
                      <w:jc w:val="center"/>
                      <w:rPr>
                        <w:rFonts w:cs="Arial"/>
                        <w:sz w:val="18"/>
                        <w:szCs w:val="18"/>
                      </w:rPr>
                    </w:pPr>
                    <w:r>
                      <w:rPr>
                        <w:rFonts w:cs="Arial" w:hint="eastAsia"/>
                        <w:sz w:val="18"/>
                        <w:szCs w:val="18"/>
                        <w:lang w:val="en-GB"/>
                      </w:rPr>
                      <w:t>净利润</w:t>
                    </w:r>
                  </w:p>
                </w:tc>
              </w:sdtContent>
            </w:sdt>
            <w:sdt>
              <w:sdtPr>
                <w:rPr>
                  <w:sz w:val="18"/>
                  <w:szCs w:val="18"/>
                </w:rPr>
                <w:tag w:val="_PLD_90f87c27e3fb4843892cceb85599a3b1"/>
                <w:id w:val="-454255027"/>
                <w:lock w:val="sdtLocked"/>
              </w:sdtPr>
              <w:sdtEnd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14:paraId="2E2B517F" w14:textId="77777777" w:rsidR="008B5F06" w:rsidRDefault="008B5F06" w:rsidP="009E70AA">
                    <w:pPr>
                      <w:spacing w:line="276" w:lineRule="auto"/>
                      <w:jc w:val="center"/>
                      <w:rPr>
                        <w:rFonts w:cs="Arial"/>
                        <w:sz w:val="18"/>
                        <w:szCs w:val="18"/>
                      </w:rPr>
                    </w:pPr>
                    <w:r>
                      <w:rPr>
                        <w:rFonts w:cs="Arial" w:hint="eastAsia"/>
                        <w:sz w:val="18"/>
                        <w:szCs w:val="18"/>
                        <w:lang w:val="en-GB"/>
                      </w:rPr>
                      <w:t>综合收益总额</w:t>
                    </w:r>
                  </w:p>
                </w:tc>
              </w:sdtContent>
            </w:sdt>
            <w:sdt>
              <w:sdtPr>
                <w:rPr>
                  <w:sz w:val="18"/>
                  <w:szCs w:val="18"/>
                </w:rPr>
                <w:tag w:val="_PLD_3126fb1798f346de95a39458603c4301"/>
                <w:id w:val="1431236520"/>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14:paraId="4EE2471C" w14:textId="77777777" w:rsidR="008B5F06" w:rsidRDefault="008B5F06" w:rsidP="009E70AA">
                    <w:pPr>
                      <w:spacing w:line="276" w:lineRule="auto"/>
                      <w:jc w:val="center"/>
                      <w:rPr>
                        <w:rFonts w:cs="Arial"/>
                        <w:sz w:val="18"/>
                        <w:szCs w:val="18"/>
                      </w:rPr>
                    </w:pPr>
                    <w:r>
                      <w:rPr>
                        <w:rFonts w:cs="Arial" w:hint="eastAsia"/>
                        <w:sz w:val="18"/>
                        <w:szCs w:val="18"/>
                        <w:lang w:val="en-GB"/>
                      </w:rPr>
                      <w:t>经营活动现金流量</w:t>
                    </w:r>
                  </w:p>
                </w:tc>
              </w:sdtContent>
            </w:sdt>
            <w:sdt>
              <w:sdtPr>
                <w:rPr>
                  <w:sz w:val="18"/>
                  <w:szCs w:val="18"/>
                </w:rPr>
                <w:tag w:val="_PLD_44ccfb27fc6943ac84654ba7c7bef20e"/>
                <w:id w:val="2135357093"/>
                <w:lock w:val="sdtLocked"/>
              </w:sdtPr>
              <w:sdtEndPr/>
              <w:sdtContent>
                <w:tc>
                  <w:tcPr>
                    <w:tcW w:w="539" w:type="pct"/>
                    <w:tcBorders>
                      <w:top w:val="single" w:sz="6" w:space="0" w:color="auto"/>
                      <w:left w:val="single" w:sz="6" w:space="0" w:color="auto"/>
                      <w:bottom w:val="single" w:sz="6" w:space="0" w:color="auto"/>
                      <w:right w:val="single" w:sz="6" w:space="0" w:color="auto"/>
                    </w:tcBorders>
                    <w:shd w:val="clear" w:color="auto" w:fill="auto"/>
                    <w:vAlign w:val="center"/>
                  </w:tcPr>
                  <w:p w14:paraId="59CECC12" w14:textId="77777777" w:rsidR="008B5F06" w:rsidRDefault="008B5F06" w:rsidP="009E70AA">
                    <w:pPr>
                      <w:spacing w:line="276" w:lineRule="auto"/>
                      <w:jc w:val="center"/>
                      <w:rPr>
                        <w:rFonts w:cs="Arial"/>
                        <w:sz w:val="18"/>
                        <w:szCs w:val="18"/>
                      </w:rPr>
                    </w:pPr>
                    <w:r>
                      <w:rPr>
                        <w:rFonts w:cs="Arial" w:hint="eastAsia"/>
                        <w:sz w:val="18"/>
                        <w:szCs w:val="18"/>
                        <w:lang w:val="en-GB"/>
                      </w:rPr>
                      <w:t>营业收入</w:t>
                    </w:r>
                  </w:p>
                </w:tc>
              </w:sdtContent>
            </w:sdt>
            <w:sdt>
              <w:sdtPr>
                <w:rPr>
                  <w:sz w:val="18"/>
                  <w:szCs w:val="18"/>
                </w:rPr>
                <w:tag w:val="_PLD_c08aebbf24fa4b1aa2c4f79232c7c630"/>
                <w:id w:val="2110691228"/>
                <w:lock w:val="sdtLocked"/>
              </w:sdtPr>
              <w:sdtEndPr/>
              <w:sdtContent>
                <w:tc>
                  <w:tcPr>
                    <w:tcW w:w="564" w:type="pct"/>
                    <w:tcBorders>
                      <w:top w:val="single" w:sz="6" w:space="0" w:color="auto"/>
                      <w:left w:val="single" w:sz="6" w:space="0" w:color="auto"/>
                      <w:bottom w:val="single" w:sz="6" w:space="0" w:color="auto"/>
                      <w:right w:val="single" w:sz="6" w:space="0" w:color="auto"/>
                    </w:tcBorders>
                    <w:shd w:val="clear" w:color="auto" w:fill="auto"/>
                    <w:vAlign w:val="center"/>
                  </w:tcPr>
                  <w:p w14:paraId="6D77B2A4" w14:textId="77777777" w:rsidR="008B5F06" w:rsidRDefault="008B5F06" w:rsidP="009E70AA">
                    <w:pPr>
                      <w:spacing w:line="276" w:lineRule="auto"/>
                      <w:jc w:val="center"/>
                      <w:rPr>
                        <w:rFonts w:cs="Arial"/>
                        <w:sz w:val="18"/>
                        <w:szCs w:val="18"/>
                      </w:rPr>
                    </w:pPr>
                    <w:r>
                      <w:rPr>
                        <w:rFonts w:cs="Arial" w:hint="eastAsia"/>
                        <w:sz w:val="18"/>
                        <w:szCs w:val="18"/>
                        <w:lang w:val="en-GB"/>
                      </w:rPr>
                      <w:t>净利润</w:t>
                    </w:r>
                  </w:p>
                </w:tc>
              </w:sdtContent>
            </w:sdt>
            <w:sdt>
              <w:sdtPr>
                <w:rPr>
                  <w:sz w:val="18"/>
                  <w:szCs w:val="18"/>
                </w:rPr>
                <w:tag w:val="_PLD_0a377a03553f4d909179190a153a31b7"/>
                <w:id w:val="-1371222722"/>
                <w:lock w:val="sdtLocked"/>
              </w:sdtPr>
              <w:sdtEnd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14:paraId="240D3132" w14:textId="77777777" w:rsidR="008B5F06" w:rsidRDefault="008B5F06" w:rsidP="009E70AA">
                    <w:pPr>
                      <w:spacing w:line="276" w:lineRule="auto"/>
                      <w:jc w:val="center"/>
                      <w:rPr>
                        <w:rFonts w:cs="Arial"/>
                        <w:sz w:val="18"/>
                        <w:szCs w:val="18"/>
                      </w:rPr>
                    </w:pPr>
                    <w:r>
                      <w:rPr>
                        <w:rFonts w:cs="Arial" w:hint="eastAsia"/>
                        <w:sz w:val="18"/>
                        <w:szCs w:val="18"/>
                        <w:lang w:val="en-GB"/>
                      </w:rPr>
                      <w:t>综合收益总额</w:t>
                    </w:r>
                  </w:p>
                </w:tc>
              </w:sdtContent>
            </w:sdt>
            <w:sdt>
              <w:sdtPr>
                <w:rPr>
                  <w:sz w:val="18"/>
                  <w:szCs w:val="18"/>
                </w:rPr>
                <w:tag w:val="_PLD_400ec1e5e2cf42e5a9eea23ddbdbd572"/>
                <w:id w:val="879594500"/>
                <w:lock w:val="sdtLocked"/>
              </w:sdtPr>
              <w:sdtEndPr/>
              <w:sdtContent>
                <w:tc>
                  <w:tcPr>
                    <w:tcW w:w="604" w:type="pct"/>
                    <w:tcBorders>
                      <w:top w:val="single" w:sz="6" w:space="0" w:color="auto"/>
                      <w:left w:val="single" w:sz="6" w:space="0" w:color="auto"/>
                      <w:bottom w:val="single" w:sz="6" w:space="0" w:color="auto"/>
                      <w:right w:val="single" w:sz="4" w:space="0" w:color="auto"/>
                    </w:tcBorders>
                    <w:shd w:val="clear" w:color="auto" w:fill="auto"/>
                    <w:vAlign w:val="center"/>
                  </w:tcPr>
                  <w:p w14:paraId="29250922" w14:textId="77777777" w:rsidR="008B5F06" w:rsidRDefault="008B5F06" w:rsidP="009E70AA">
                    <w:pPr>
                      <w:spacing w:line="276" w:lineRule="auto"/>
                      <w:jc w:val="center"/>
                      <w:rPr>
                        <w:rFonts w:cs="Arial"/>
                        <w:sz w:val="18"/>
                        <w:szCs w:val="18"/>
                      </w:rPr>
                    </w:pPr>
                    <w:r>
                      <w:rPr>
                        <w:rFonts w:cs="Arial" w:hint="eastAsia"/>
                        <w:sz w:val="18"/>
                        <w:szCs w:val="18"/>
                        <w:lang w:val="en-GB"/>
                      </w:rPr>
                      <w:t>经营活动现金流量</w:t>
                    </w:r>
                  </w:p>
                </w:tc>
              </w:sdtContent>
            </w:sdt>
          </w:tr>
          <w:sdt>
            <w:sdtPr>
              <w:rPr>
                <w:rFonts w:asciiTheme="minorHAnsi" w:eastAsiaTheme="minorEastAsia" w:hAnsiTheme="minorHAnsi" w:cstheme="minorBidi"/>
                <w:kern w:val="2"/>
                <w:sz w:val="18"/>
                <w:szCs w:val="18"/>
              </w:rPr>
              <w:alias w:val="重要非全资子公司的主要财务信息明细"/>
              <w:tag w:val="_GBC_330f4405d49345f7b8f69770f6eb8b4a"/>
              <w:id w:val="-583914163"/>
              <w:lock w:val="sdtLocked"/>
            </w:sdtPr>
            <w:sdtEndPr/>
            <w:sdtContent>
              <w:tr w:rsidR="008B5F06" w14:paraId="16A3DCD8" w14:textId="77777777" w:rsidTr="008B5F06">
                <w:tc>
                  <w:tcPr>
                    <w:tcW w:w="436" w:type="pct"/>
                    <w:tcBorders>
                      <w:top w:val="single" w:sz="6" w:space="0" w:color="auto"/>
                      <w:left w:val="single" w:sz="4" w:space="0" w:color="auto"/>
                      <w:bottom w:val="single" w:sz="4" w:space="0" w:color="auto"/>
                      <w:right w:val="single" w:sz="6" w:space="0" w:color="auto"/>
                    </w:tcBorders>
                    <w:vAlign w:val="center"/>
                  </w:tcPr>
                  <w:p w14:paraId="72BD7854" w14:textId="77777777" w:rsidR="008B5F06" w:rsidRDefault="008B5F06" w:rsidP="009E70AA">
                    <w:pPr>
                      <w:spacing w:line="276" w:lineRule="auto"/>
                      <w:rPr>
                        <w:sz w:val="18"/>
                        <w:szCs w:val="18"/>
                      </w:rPr>
                    </w:pPr>
                    <w:r>
                      <w:rPr>
                        <w:rFonts w:hint="eastAsia"/>
                        <w:sz w:val="18"/>
                        <w:szCs w:val="18"/>
                      </w:rPr>
                      <w:t>浙勘院</w:t>
                    </w:r>
                  </w:p>
                </w:tc>
                <w:tc>
                  <w:tcPr>
                    <w:tcW w:w="427" w:type="pct"/>
                    <w:tcBorders>
                      <w:top w:val="single" w:sz="6" w:space="0" w:color="auto"/>
                      <w:left w:val="single" w:sz="6" w:space="0" w:color="auto"/>
                      <w:bottom w:val="single" w:sz="4" w:space="0" w:color="auto"/>
                      <w:right w:val="single" w:sz="6" w:space="0" w:color="auto"/>
                    </w:tcBorders>
                    <w:vAlign w:val="center"/>
                  </w:tcPr>
                  <w:p w14:paraId="69BE3130" w14:textId="77777777" w:rsidR="008B5F06" w:rsidRPr="008B5F06" w:rsidRDefault="008B5F06" w:rsidP="009E70AA">
                    <w:pPr>
                      <w:spacing w:line="276" w:lineRule="auto"/>
                      <w:jc w:val="right"/>
                      <w:rPr>
                        <w:sz w:val="18"/>
                        <w:szCs w:val="18"/>
                      </w:rPr>
                    </w:pPr>
                    <w:r w:rsidRPr="008B5F06">
                      <w:rPr>
                        <w:sz w:val="18"/>
                        <w:szCs w:val="18"/>
                      </w:rPr>
                      <w:t>1,862.14</w:t>
                    </w:r>
                  </w:p>
                </w:tc>
                <w:tc>
                  <w:tcPr>
                    <w:tcW w:w="604" w:type="pct"/>
                    <w:tcBorders>
                      <w:top w:val="single" w:sz="6" w:space="0" w:color="auto"/>
                      <w:left w:val="single" w:sz="6" w:space="0" w:color="auto"/>
                      <w:bottom w:val="single" w:sz="4" w:space="0" w:color="auto"/>
                      <w:right w:val="single" w:sz="6" w:space="0" w:color="auto"/>
                    </w:tcBorders>
                    <w:vAlign w:val="center"/>
                  </w:tcPr>
                  <w:p w14:paraId="4071F640" w14:textId="77777777" w:rsidR="008B5F06" w:rsidRPr="008B5F06" w:rsidRDefault="008B5F06" w:rsidP="009E70AA">
                    <w:pPr>
                      <w:spacing w:line="276" w:lineRule="auto"/>
                      <w:jc w:val="right"/>
                      <w:rPr>
                        <w:sz w:val="18"/>
                        <w:szCs w:val="18"/>
                      </w:rPr>
                    </w:pPr>
                    <w:r w:rsidRPr="008B5F06">
                      <w:rPr>
                        <w:sz w:val="18"/>
                        <w:szCs w:val="18"/>
                      </w:rPr>
                      <w:t>2.70</w:t>
                    </w:r>
                  </w:p>
                </w:tc>
                <w:tc>
                  <w:tcPr>
                    <w:tcW w:w="581" w:type="pct"/>
                    <w:tcBorders>
                      <w:top w:val="single" w:sz="6" w:space="0" w:color="auto"/>
                      <w:left w:val="single" w:sz="6" w:space="0" w:color="auto"/>
                      <w:bottom w:val="single" w:sz="4" w:space="0" w:color="auto"/>
                      <w:right w:val="single" w:sz="6" w:space="0" w:color="auto"/>
                    </w:tcBorders>
                    <w:vAlign w:val="center"/>
                  </w:tcPr>
                  <w:p w14:paraId="6F00B9BB" w14:textId="77777777" w:rsidR="008B5F06" w:rsidRPr="008B5F06" w:rsidRDefault="008B5F06" w:rsidP="009E70AA">
                    <w:pPr>
                      <w:spacing w:line="276" w:lineRule="auto"/>
                      <w:jc w:val="right"/>
                      <w:rPr>
                        <w:sz w:val="18"/>
                        <w:szCs w:val="18"/>
                      </w:rPr>
                    </w:pPr>
                    <w:r w:rsidRPr="008B5F06">
                      <w:rPr>
                        <w:sz w:val="18"/>
                        <w:szCs w:val="18"/>
                      </w:rPr>
                      <w:t>-183.68</w:t>
                    </w:r>
                  </w:p>
                </w:tc>
                <w:tc>
                  <w:tcPr>
                    <w:tcW w:w="680" w:type="pct"/>
                    <w:tcBorders>
                      <w:top w:val="single" w:sz="6" w:space="0" w:color="auto"/>
                      <w:left w:val="single" w:sz="6" w:space="0" w:color="auto"/>
                      <w:bottom w:val="single" w:sz="4" w:space="0" w:color="auto"/>
                      <w:right w:val="single" w:sz="6" w:space="0" w:color="auto"/>
                    </w:tcBorders>
                    <w:vAlign w:val="center"/>
                  </w:tcPr>
                  <w:p w14:paraId="09E23BE4" w14:textId="77777777" w:rsidR="008B5F06" w:rsidRPr="008B5F06" w:rsidRDefault="008B5F06" w:rsidP="009E70AA">
                    <w:pPr>
                      <w:spacing w:line="276" w:lineRule="auto"/>
                      <w:jc w:val="right"/>
                      <w:rPr>
                        <w:sz w:val="18"/>
                        <w:szCs w:val="18"/>
                      </w:rPr>
                    </w:pPr>
                    <w:r w:rsidRPr="008B5F06">
                      <w:rPr>
                        <w:sz w:val="18"/>
                        <w:szCs w:val="18"/>
                      </w:rPr>
                      <w:t>-427.24</w:t>
                    </w:r>
                  </w:p>
                </w:tc>
                <w:tc>
                  <w:tcPr>
                    <w:tcW w:w="539" w:type="pct"/>
                    <w:tcBorders>
                      <w:top w:val="single" w:sz="6" w:space="0" w:color="auto"/>
                      <w:left w:val="single" w:sz="6" w:space="0" w:color="auto"/>
                      <w:bottom w:val="single" w:sz="4" w:space="0" w:color="auto"/>
                      <w:right w:val="single" w:sz="6" w:space="0" w:color="auto"/>
                    </w:tcBorders>
                    <w:vAlign w:val="center"/>
                  </w:tcPr>
                  <w:p w14:paraId="47203E2B" w14:textId="77777777" w:rsidR="008B5F06" w:rsidRPr="008B5F06" w:rsidRDefault="008B5F06" w:rsidP="009E70AA">
                    <w:pPr>
                      <w:spacing w:line="276" w:lineRule="auto"/>
                      <w:jc w:val="right"/>
                      <w:rPr>
                        <w:sz w:val="18"/>
                        <w:szCs w:val="18"/>
                      </w:rPr>
                    </w:pPr>
                    <w:r w:rsidRPr="008B5F06">
                      <w:rPr>
                        <w:sz w:val="18"/>
                        <w:szCs w:val="18"/>
                      </w:rPr>
                      <w:t>4,424.48</w:t>
                    </w:r>
                  </w:p>
                </w:tc>
                <w:tc>
                  <w:tcPr>
                    <w:tcW w:w="564" w:type="pct"/>
                    <w:tcBorders>
                      <w:top w:val="single" w:sz="6" w:space="0" w:color="auto"/>
                      <w:left w:val="single" w:sz="6" w:space="0" w:color="auto"/>
                      <w:bottom w:val="single" w:sz="4" w:space="0" w:color="auto"/>
                      <w:right w:val="single" w:sz="6" w:space="0" w:color="auto"/>
                    </w:tcBorders>
                    <w:vAlign w:val="center"/>
                  </w:tcPr>
                  <w:p w14:paraId="3AFDD522" w14:textId="77777777" w:rsidR="008B5F06" w:rsidRPr="008B5F06" w:rsidRDefault="008B5F06" w:rsidP="009E70AA">
                    <w:pPr>
                      <w:spacing w:line="276" w:lineRule="auto"/>
                      <w:jc w:val="right"/>
                      <w:rPr>
                        <w:sz w:val="18"/>
                        <w:szCs w:val="18"/>
                      </w:rPr>
                    </w:pPr>
                    <w:r w:rsidRPr="008B5F06">
                      <w:rPr>
                        <w:sz w:val="18"/>
                        <w:szCs w:val="18"/>
                      </w:rPr>
                      <w:t>61.99</w:t>
                    </w:r>
                  </w:p>
                </w:tc>
                <w:tc>
                  <w:tcPr>
                    <w:tcW w:w="566" w:type="pct"/>
                    <w:tcBorders>
                      <w:top w:val="single" w:sz="6" w:space="0" w:color="auto"/>
                      <w:left w:val="single" w:sz="6" w:space="0" w:color="auto"/>
                      <w:bottom w:val="single" w:sz="4" w:space="0" w:color="auto"/>
                      <w:right w:val="single" w:sz="6" w:space="0" w:color="auto"/>
                    </w:tcBorders>
                    <w:vAlign w:val="center"/>
                  </w:tcPr>
                  <w:p w14:paraId="36E64734" w14:textId="77777777" w:rsidR="008B5F06" w:rsidRPr="008B5F06" w:rsidRDefault="008B5F06" w:rsidP="009E70AA">
                    <w:pPr>
                      <w:spacing w:line="276" w:lineRule="auto"/>
                      <w:jc w:val="right"/>
                      <w:rPr>
                        <w:sz w:val="18"/>
                        <w:szCs w:val="18"/>
                      </w:rPr>
                    </w:pPr>
                    <w:r w:rsidRPr="008B5F06">
                      <w:rPr>
                        <w:sz w:val="18"/>
                        <w:szCs w:val="18"/>
                      </w:rPr>
                      <w:t>61.99</w:t>
                    </w:r>
                  </w:p>
                </w:tc>
                <w:tc>
                  <w:tcPr>
                    <w:tcW w:w="604" w:type="pct"/>
                    <w:tcBorders>
                      <w:top w:val="single" w:sz="6" w:space="0" w:color="auto"/>
                      <w:left w:val="single" w:sz="6" w:space="0" w:color="auto"/>
                      <w:bottom w:val="single" w:sz="4" w:space="0" w:color="auto"/>
                      <w:right w:val="single" w:sz="4" w:space="0" w:color="auto"/>
                    </w:tcBorders>
                    <w:vAlign w:val="center"/>
                  </w:tcPr>
                  <w:p w14:paraId="3B46652A" w14:textId="77777777" w:rsidR="008B5F06" w:rsidRPr="008B5F06" w:rsidRDefault="008B5F06" w:rsidP="009E70AA">
                    <w:pPr>
                      <w:spacing w:line="276" w:lineRule="auto"/>
                      <w:jc w:val="right"/>
                      <w:rPr>
                        <w:sz w:val="18"/>
                        <w:szCs w:val="18"/>
                      </w:rPr>
                    </w:pPr>
                    <w:r w:rsidRPr="008B5F06">
                      <w:rPr>
                        <w:sz w:val="18"/>
                        <w:szCs w:val="18"/>
                      </w:rPr>
                      <w:t>507.93</w:t>
                    </w:r>
                  </w:p>
                </w:tc>
              </w:tr>
            </w:sdtContent>
          </w:sdt>
          <w:sdt>
            <w:sdtPr>
              <w:rPr>
                <w:rFonts w:asciiTheme="minorHAnsi" w:eastAsiaTheme="minorEastAsia" w:hAnsiTheme="minorHAnsi" w:cstheme="minorBidi"/>
                <w:kern w:val="2"/>
                <w:sz w:val="18"/>
                <w:szCs w:val="18"/>
              </w:rPr>
              <w:alias w:val="重要非全资子公司的主要财务信息明细"/>
              <w:tag w:val="_GBC_330f4405d49345f7b8f69770f6eb8b4a"/>
              <w:id w:val="656340052"/>
              <w:lock w:val="sdtLocked"/>
            </w:sdtPr>
            <w:sdtEndPr/>
            <w:sdtContent>
              <w:tr w:rsidR="008B5F06" w14:paraId="6187DAE2" w14:textId="77777777" w:rsidTr="008B5F06">
                <w:tc>
                  <w:tcPr>
                    <w:tcW w:w="436" w:type="pct"/>
                    <w:tcBorders>
                      <w:top w:val="single" w:sz="6" w:space="0" w:color="auto"/>
                      <w:left w:val="single" w:sz="4" w:space="0" w:color="auto"/>
                      <w:bottom w:val="single" w:sz="4" w:space="0" w:color="auto"/>
                      <w:right w:val="single" w:sz="6" w:space="0" w:color="auto"/>
                    </w:tcBorders>
                    <w:vAlign w:val="center"/>
                  </w:tcPr>
                  <w:p w14:paraId="275C031E" w14:textId="77777777" w:rsidR="008B5F06" w:rsidRDefault="008B5F06" w:rsidP="009E70AA">
                    <w:pPr>
                      <w:spacing w:line="276" w:lineRule="auto"/>
                      <w:rPr>
                        <w:sz w:val="18"/>
                        <w:szCs w:val="18"/>
                      </w:rPr>
                    </w:pPr>
                    <w:r>
                      <w:rPr>
                        <w:rFonts w:hint="eastAsia"/>
                        <w:sz w:val="18"/>
                        <w:szCs w:val="18"/>
                      </w:rPr>
                      <w:t>亳州祥居</w:t>
                    </w:r>
                  </w:p>
                </w:tc>
                <w:tc>
                  <w:tcPr>
                    <w:tcW w:w="427" w:type="pct"/>
                    <w:tcBorders>
                      <w:top w:val="single" w:sz="6" w:space="0" w:color="auto"/>
                      <w:left w:val="single" w:sz="6" w:space="0" w:color="auto"/>
                      <w:bottom w:val="single" w:sz="4" w:space="0" w:color="auto"/>
                      <w:right w:val="single" w:sz="6" w:space="0" w:color="auto"/>
                    </w:tcBorders>
                    <w:vAlign w:val="center"/>
                  </w:tcPr>
                  <w:p w14:paraId="0FF055AA" w14:textId="77777777" w:rsidR="008B5F06" w:rsidRPr="008B5F06" w:rsidRDefault="008B5F06" w:rsidP="009E70AA">
                    <w:pPr>
                      <w:spacing w:line="276" w:lineRule="auto"/>
                      <w:jc w:val="right"/>
                      <w:rPr>
                        <w:sz w:val="18"/>
                        <w:szCs w:val="18"/>
                      </w:rPr>
                    </w:pPr>
                    <w:r w:rsidRPr="008B5F06">
                      <w:rPr>
                        <w:sz w:val="18"/>
                        <w:szCs w:val="18"/>
                      </w:rPr>
                      <w:t>3,019.99</w:t>
                    </w:r>
                  </w:p>
                </w:tc>
                <w:tc>
                  <w:tcPr>
                    <w:tcW w:w="604" w:type="pct"/>
                    <w:tcBorders>
                      <w:top w:val="single" w:sz="6" w:space="0" w:color="auto"/>
                      <w:left w:val="single" w:sz="6" w:space="0" w:color="auto"/>
                      <w:bottom w:val="single" w:sz="4" w:space="0" w:color="auto"/>
                      <w:right w:val="single" w:sz="6" w:space="0" w:color="auto"/>
                    </w:tcBorders>
                    <w:vAlign w:val="center"/>
                  </w:tcPr>
                  <w:p w14:paraId="12132457" w14:textId="77777777" w:rsidR="008B5F06" w:rsidRPr="008B5F06" w:rsidRDefault="008B5F06" w:rsidP="009E70AA">
                    <w:pPr>
                      <w:spacing w:line="276" w:lineRule="auto"/>
                      <w:jc w:val="right"/>
                      <w:rPr>
                        <w:sz w:val="18"/>
                        <w:szCs w:val="18"/>
                      </w:rPr>
                    </w:pPr>
                    <w:r w:rsidRPr="008B5F06">
                      <w:rPr>
                        <w:sz w:val="18"/>
                        <w:szCs w:val="18"/>
                      </w:rPr>
                      <w:t>937.65</w:t>
                    </w:r>
                  </w:p>
                </w:tc>
                <w:tc>
                  <w:tcPr>
                    <w:tcW w:w="581" w:type="pct"/>
                    <w:tcBorders>
                      <w:top w:val="single" w:sz="6" w:space="0" w:color="auto"/>
                      <w:left w:val="single" w:sz="6" w:space="0" w:color="auto"/>
                      <w:bottom w:val="single" w:sz="4" w:space="0" w:color="auto"/>
                      <w:right w:val="single" w:sz="6" w:space="0" w:color="auto"/>
                    </w:tcBorders>
                    <w:vAlign w:val="center"/>
                  </w:tcPr>
                  <w:p w14:paraId="0365DF52" w14:textId="77777777" w:rsidR="008B5F06" w:rsidRPr="008B5F06" w:rsidRDefault="008B5F06" w:rsidP="009E70AA">
                    <w:pPr>
                      <w:spacing w:line="276" w:lineRule="auto"/>
                      <w:jc w:val="right"/>
                      <w:rPr>
                        <w:sz w:val="18"/>
                        <w:szCs w:val="18"/>
                      </w:rPr>
                    </w:pPr>
                    <w:r w:rsidRPr="008B5F06">
                      <w:rPr>
                        <w:sz w:val="18"/>
                        <w:szCs w:val="18"/>
                      </w:rPr>
                      <w:t>937.65</w:t>
                    </w:r>
                  </w:p>
                </w:tc>
                <w:tc>
                  <w:tcPr>
                    <w:tcW w:w="680" w:type="pct"/>
                    <w:tcBorders>
                      <w:top w:val="single" w:sz="6" w:space="0" w:color="auto"/>
                      <w:left w:val="single" w:sz="6" w:space="0" w:color="auto"/>
                      <w:bottom w:val="single" w:sz="4" w:space="0" w:color="auto"/>
                      <w:right w:val="single" w:sz="6" w:space="0" w:color="auto"/>
                    </w:tcBorders>
                    <w:vAlign w:val="center"/>
                  </w:tcPr>
                  <w:p w14:paraId="76350BBA" w14:textId="77777777" w:rsidR="008B5F06" w:rsidRPr="008B5F06" w:rsidRDefault="008B5F06" w:rsidP="009E70AA">
                    <w:pPr>
                      <w:spacing w:line="276" w:lineRule="auto"/>
                      <w:jc w:val="right"/>
                      <w:rPr>
                        <w:sz w:val="18"/>
                        <w:szCs w:val="18"/>
                      </w:rPr>
                    </w:pPr>
                    <w:r w:rsidRPr="008B5F06">
                      <w:rPr>
                        <w:sz w:val="18"/>
                        <w:szCs w:val="18"/>
                      </w:rPr>
                      <w:t>18.08</w:t>
                    </w:r>
                  </w:p>
                </w:tc>
                <w:tc>
                  <w:tcPr>
                    <w:tcW w:w="539" w:type="pct"/>
                    <w:tcBorders>
                      <w:top w:val="single" w:sz="6" w:space="0" w:color="auto"/>
                      <w:left w:val="single" w:sz="6" w:space="0" w:color="auto"/>
                      <w:bottom w:val="single" w:sz="4" w:space="0" w:color="auto"/>
                      <w:right w:val="single" w:sz="6" w:space="0" w:color="auto"/>
                    </w:tcBorders>
                    <w:vAlign w:val="center"/>
                  </w:tcPr>
                  <w:p w14:paraId="6C0FCE96" w14:textId="77777777" w:rsidR="008B5F06" w:rsidRPr="008B5F06" w:rsidRDefault="008B5F06" w:rsidP="009E70AA">
                    <w:pPr>
                      <w:spacing w:line="276" w:lineRule="auto"/>
                      <w:jc w:val="right"/>
                      <w:rPr>
                        <w:sz w:val="18"/>
                        <w:szCs w:val="18"/>
                      </w:rPr>
                    </w:pPr>
                    <w:r w:rsidRPr="008B5F06">
                      <w:rPr>
                        <w:sz w:val="18"/>
                        <w:szCs w:val="18"/>
                      </w:rPr>
                      <w:t>6,523.88</w:t>
                    </w:r>
                  </w:p>
                </w:tc>
                <w:tc>
                  <w:tcPr>
                    <w:tcW w:w="564" w:type="pct"/>
                    <w:tcBorders>
                      <w:top w:val="single" w:sz="6" w:space="0" w:color="auto"/>
                      <w:left w:val="single" w:sz="6" w:space="0" w:color="auto"/>
                      <w:bottom w:val="single" w:sz="4" w:space="0" w:color="auto"/>
                      <w:right w:val="single" w:sz="6" w:space="0" w:color="auto"/>
                    </w:tcBorders>
                    <w:vAlign w:val="center"/>
                  </w:tcPr>
                  <w:p w14:paraId="35753F9D" w14:textId="77777777" w:rsidR="008B5F06" w:rsidRPr="008B5F06" w:rsidRDefault="008B5F06" w:rsidP="009E70AA">
                    <w:pPr>
                      <w:spacing w:line="276" w:lineRule="auto"/>
                      <w:jc w:val="right"/>
                      <w:rPr>
                        <w:sz w:val="18"/>
                        <w:szCs w:val="18"/>
                      </w:rPr>
                    </w:pPr>
                    <w:r w:rsidRPr="008B5F06">
                      <w:rPr>
                        <w:sz w:val="18"/>
                        <w:szCs w:val="18"/>
                      </w:rPr>
                      <w:t>2,105.72</w:t>
                    </w:r>
                  </w:p>
                </w:tc>
                <w:tc>
                  <w:tcPr>
                    <w:tcW w:w="566" w:type="pct"/>
                    <w:tcBorders>
                      <w:top w:val="single" w:sz="6" w:space="0" w:color="auto"/>
                      <w:left w:val="single" w:sz="6" w:space="0" w:color="auto"/>
                      <w:bottom w:val="single" w:sz="4" w:space="0" w:color="auto"/>
                      <w:right w:val="single" w:sz="6" w:space="0" w:color="auto"/>
                    </w:tcBorders>
                    <w:vAlign w:val="center"/>
                  </w:tcPr>
                  <w:p w14:paraId="6E162BE5" w14:textId="77777777" w:rsidR="008B5F06" w:rsidRPr="008B5F06" w:rsidRDefault="008B5F06" w:rsidP="009E70AA">
                    <w:pPr>
                      <w:spacing w:line="276" w:lineRule="auto"/>
                      <w:jc w:val="right"/>
                      <w:rPr>
                        <w:sz w:val="18"/>
                        <w:szCs w:val="18"/>
                      </w:rPr>
                    </w:pPr>
                    <w:r w:rsidRPr="008B5F06">
                      <w:rPr>
                        <w:sz w:val="18"/>
                        <w:szCs w:val="18"/>
                      </w:rPr>
                      <w:t>2,105.72</w:t>
                    </w:r>
                  </w:p>
                </w:tc>
                <w:tc>
                  <w:tcPr>
                    <w:tcW w:w="604" w:type="pct"/>
                    <w:tcBorders>
                      <w:top w:val="single" w:sz="6" w:space="0" w:color="auto"/>
                      <w:left w:val="single" w:sz="6" w:space="0" w:color="auto"/>
                      <w:bottom w:val="single" w:sz="4" w:space="0" w:color="auto"/>
                      <w:right w:val="single" w:sz="4" w:space="0" w:color="auto"/>
                    </w:tcBorders>
                    <w:vAlign w:val="center"/>
                  </w:tcPr>
                  <w:p w14:paraId="639EE36E" w14:textId="77777777" w:rsidR="008B5F06" w:rsidRPr="008B5F06" w:rsidRDefault="008B5F06" w:rsidP="009E70AA">
                    <w:pPr>
                      <w:spacing w:line="276" w:lineRule="auto"/>
                      <w:jc w:val="right"/>
                      <w:rPr>
                        <w:sz w:val="18"/>
                        <w:szCs w:val="18"/>
                      </w:rPr>
                    </w:pPr>
                    <w:r w:rsidRPr="008B5F06">
                      <w:rPr>
                        <w:sz w:val="18"/>
                        <w:szCs w:val="18"/>
                      </w:rPr>
                      <w:t>-2,976.49</w:t>
                    </w:r>
                  </w:p>
                </w:tc>
              </w:tr>
            </w:sdtContent>
          </w:sdt>
          <w:sdt>
            <w:sdtPr>
              <w:rPr>
                <w:rFonts w:asciiTheme="minorHAnsi" w:eastAsiaTheme="minorEastAsia" w:hAnsiTheme="minorHAnsi" w:cstheme="minorBidi"/>
                <w:kern w:val="2"/>
                <w:sz w:val="18"/>
                <w:szCs w:val="18"/>
              </w:rPr>
              <w:alias w:val="重要非全资子公司的主要财务信息明细"/>
              <w:tag w:val="_GBC_330f4405d49345f7b8f69770f6eb8b4a"/>
              <w:id w:val="-1209947735"/>
              <w:lock w:val="sdtLocked"/>
            </w:sdtPr>
            <w:sdtEndPr/>
            <w:sdtContent>
              <w:tr w:rsidR="008B5F06" w14:paraId="406BEDD0" w14:textId="77777777" w:rsidTr="008B5F06">
                <w:tc>
                  <w:tcPr>
                    <w:tcW w:w="436" w:type="pct"/>
                    <w:tcBorders>
                      <w:top w:val="single" w:sz="6" w:space="0" w:color="auto"/>
                      <w:left w:val="single" w:sz="4" w:space="0" w:color="auto"/>
                      <w:bottom w:val="single" w:sz="4" w:space="0" w:color="auto"/>
                      <w:right w:val="single" w:sz="6" w:space="0" w:color="auto"/>
                    </w:tcBorders>
                    <w:vAlign w:val="center"/>
                  </w:tcPr>
                  <w:p w14:paraId="33E50DD5" w14:textId="77777777" w:rsidR="008B5F06" w:rsidRDefault="008B5F06" w:rsidP="009E70AA">
                    <w:pPr>
                      <w:spacing w:line="276" w:lineRule="auto"/>
                      <w:rPr>
                        <w:sz w:val="18"/>
                        <w:szCs w:val="18"/>
                      </w:rPr>
                    </w:pPr>
                    <w:r>
                      <w:rPr>
                        <w:rFonts w:hint="eastAsia"/>
                        <w:sz w:val="18"/>
                        <w:szCs w:val="18"/>
                      </w:rPr>
                      <w:t>宿松振兴</w:t>
                    </w:r>
                  </w:p>
                </w:tc>
                <w:tc>
                  <w:tcPr>
                    <w:tcW w:w="427" w:type="pct"/>
                    <w:tcBorders>
                      <w:top w:val="single" w:sz="6" w:space="0" w:color="auto"/>
                      <w:left w:val="single" w:sz="6" w:space="0" w:color="auto"/>
                      <w:bottom w:val="single" w:sz="4" w:space="0" w:color="auto"/>
                      <w:right w:val="single" w:sz="6" w:space="0" w:color="auto"/>
                    </w:tcBorders>
                    <w:vAlign w:val="center"/>
                  </w:tcPr>
                  <w:p w14:paraId="75507646" w14:textId="77777777" w:rsidR="008B5F06" w:rsidRPr="008B5F06" w:rsidRDefault="008B5F06" w:rsidP="009E70AA">
                    <w:pPr>
                      <w:spacing w:line="276" w:lineRule="auto"/>
                      <w:jc w:val="right"/>
                      <w:rPr>
                        <w:sz w:val="18"/>
                        <w:szCs w:val="18"/>
                      </w:rPr>
                    </w:pPr>
                    <w:r w:rsidRPr="008B5F06">
                      <w:rPr>
                        <w:sz w:val="18"/>
                        <w:szCs w:val="18"/>
                      </w:rPr>
                      <w:t>1,081.52</w:t>
                    </w:r>
                  </w:p>
                </w:tc>
                <w:tc>
                  <w:tcPr>
                    <w:tcW w:w="604" w:type="pct"/>
                    <w:tcBorders>
                      <w:top w:val="single" w:sz="6" w:space="0" w:color="auto"/>
                      <w:left w:val="single" w:sz="6" w:space="0" w:color="auto"/>
                      <w:bottom w:val="single" w:sz="4" w:space="0" w:color="auto"/>
                      <w:right w:val="single" w:sz="6" w:space="0" w:color="auto"/>
                    </w:tcBorders>
                    <w:vAlign w:val="center"/>
                  </w:tcPr>
                  <w:p w14:paraId="2AD649BA" w14:textId="77777777" w:rsidR="008B5F06" w:rsidRPr="008B5F06" w:rsidRDefault="008B5F06" w:rsidP="009E70AA">
                    <w:pPr>
                      <w:spacing w:line="276" w:lineRule="auto"/>
                      <w:jc w:val="right"/>
                      <w:rPr>
                        <w:sz w:val="18"/>
                        <w:szCs w:val="18"/>
                      </w:rPr>
                    </w:pPr>
                    <w:r w:rsidRPr="008B5F06">
                      <w:rPr>
                        <w:sz w:val="18"/>
                        <w:szCs w:val="18"/>
                      </w:rPr>
                      <w:t>210.93</w:t>
                    </w:r>
                  </w:p>
                </w:tc>
                <w:tc>
                  <w:tcPr>
                    <w:tcW w:w="581" w:type="pct"/>
                    <w:tcBorders>
                      <w:top w:val="single" w:sz="6" w:space="0" w:color="auto"/>
                      <w:left w:val="single" w:sz="6" w:space="0" w:color="auto"/>
                      <w:bottom w:val="single" w:sz="4" w:space="0" w:color="auto"/>
                      <w:right w:val="single" w:sz="6" w:space="0" w:color="auto"/>
                    </w:tcBorders>
                    <w:vAlign w:val="center"/>
                  </w:tcPr>
                  <w:p w14:paraId="79D7266E" w14:textId="77777777" w:rsidR="008B5F06" w:rsidRPr="008B5F06" w:rsidRDefault="008B5F06" w:rsidP="009E70AA">
                    <w:pPr>
                      <w:spacing w:line="276" w:lineRule="auto"/>
                      <w:jc w:val="right"/>
                      <w:rPr>
                        <w:sz w:val="18"/>
                        <w:szCs w:val="18"/>
                      </w:rPr>
                    </w:pPr>
                    <w:r w:rsidRPr="008B5F06">
                      <w:rPr>
                        <w:sz w:val="18"/>
                        <w:szCs w:val="18"/>
                      </w:rPr>
                      <w:t>210.93</w:t>
                    </w:r>
                  </w:p>
                </w:tc>
                <w:tc>
                  <w:tcPr>
                    <w:tcW w:w="680" w:type="pct"/>
                    <w:tcBorders>
                      <w:top w:val="single" w:sz="6" w:space="0" w:color="auto"/>
                      <w:left w:val="single" w:sz="6" w:space="0" w:color="auto"/>
                      <w:bottom w:val="single" w:sz="4" w:space="0" w:color="auto"/>
                      <w:right w:val="single" w:sz="6" w:space="0" w:color="auto"/>
                    </w:tcBorders>
                    <w:vAlign w:val="center"/>
                  </w:tcPr>
                  <w:p w14:paraId="4DEA3D33" w14:textId="77777777" w:rsidR="008B5F06" w:rsidRPr="008B5F06" w:rsidRDefault="008B5F06" w:rsidP="009E70AA">
                    <w:pPr>
                      <w:spacing w:line="276" w:lineRule="auto"/>
                      <w:jc w:val="right"/>
                      <w:rPr>
                        <w:sz w:val="18"/>
                        <w:szCs w:val="18"/>
                      </w:rPr>
                    </w:pPr>
                    <w:r w:rsidRPr="008B5F06">
                      <w:rPr>
                        <w:sz w:val="18"/>
                        <w:szCs w:val="18"/>
                      </w:rPr>
                      <w:t>2,347.45</w:t>
                    </w:r>
                  </w:p>
                </w:tc>
                <w:tc>
                  <w:tcPr>
                    <w:tcW w:w="539" w:type="pct"/>
                    <w:tcBorders>
                      <w:top w:val="single" w:sz="6" w:space="0" w:color="auto"/>
                      <w:left w:val="single" w:sz="6" w:space="0" w:color="auto"/>
                      <w:bottom w:val="single" w:sz="4" w:space="0" w:color="auto"/>
                      <w:right w:val="single" w:sz="6" w:space="0" w:color="auto"/>
                    </w:tcBorders>
                    <w:vAlign w:val="center"/>
                  </w:tcPr>
                  <w:p w14:paraId="2E3AB574" w14:textId="77777777" w:rsidR="008B5F06" w:rsidRPr="008B5F06" w:rsidRDefault="008B5F06" w:rsidP="009E70AA">
                    <w:pPr>
                      <w:spacing w:line="276" w:lineRule="auto"/>
                      <w:jc w:val="right"/>
                      <w:rPr>
                        <w:sz w:val="18"/>
                        <w:szCs w:val="18"/>
                      </w:rPr>
                    </w:pPr>
                    <w:r w:rsidRPr="008B5F06">
                      <w:rPr>
                        <w:sz w:val="18"/>
                        <w:szCs w:val="18"/>
                      </w:rPr>
                      <w:t>9.17</w:t>
                    </w:r>
                  </w:p>
                </w:tc>
                <w:tc>
                  <w:tcPr>
                    <w:tcW w:w="564" w:type="pct"/>
                    <w:tcBorders>
                      <w:top w:val="single" w:sz="6" w:space="0" w:color="auto"/>
                      <w:left w:val="single" w:sz="6" w:space="0" w:color="auto"/>
                      <w:bottom w:val="single" w:sz="4" w:space="0" w:color="auto"/>
                      <w:right w:val="single" w:sz="6" w:space="0" w:color="auto"/>
                    </w:tcBorders>
                    <w:vAlign w:val="center"/>
                  </w:tcPr>
                  <w:p w14:paraId="1D4FFA82" w14:textId="77777777" w:rsidR="008B5F06" w:rsidRPr="008B5F06" w:rsidRDefault="008B5F06" w:rsidP="009E70AA">
                    <w:pPr>
                      <w:spacing w:line="276" w:lineRule="auto"/>
                      <w:jc w:val="right"/>
                      <w:rPr>
                        <w:sz w:val="18"/>
                        <w:szCs w:val="18"/>
                      </w:rPr>
                    </w:pPr>
                    <w:r w:rsidRPr="008B5F06">
                      <w:rPr>
                        <w:sz w:val="18"/>
                        <w:szCs w:val="18"/>
                      </w:rPr>
                      <w:t>-640.68</w:t>
                    </w:r>
                  </w:p>
                </w:tc>
                <w:tc>
                  <w:tcPr>
                    <w:tcW w:w="566" w:type="pct"/>
                    <w:tcBorders>
                      <w:top w:val="single" w:sz="6" w:space="0" w:color="auto"/>
                      <w:left w:val="single" w:sz="6" w:space="0" w:color="auto"/>
                      <w:bottom w:val="single" w:sz="4" w:space="0" w:color="auto"/>
                      <w:right w:val="single" w:sz="6" w:space="0" w:color="auto"/>
                    </w:tcBorders>
                    <w:vAlign w:val="center"/>
                  </w:tcPr>
                  <w:p w14:paraId="204A1F20" w14:textId="77777777" w:rsidR="008B5F06" w:rsidRPr="008B5F06" w:rsidRDefault="008B5F06" w:rsidP="009E70AA">
                    <w:pPr>
                      <w:spacing w:line="276" w:lineRule="auto"/>
                      <w:jc w:val="right"/>
                      <w:rPr>
                        <w:sz w:val="18"/>
                        <w:szCs w:val="18"/>
                      </w:rPr>
                    </w:pPr>
                    <w:r w:rsidRPr="008B5F06">
                      <w:rPr>
                        <w:sz w:val="18"/>
                        <w:szCs w:val="18"/>
                      </w:rPr>
                      <w:t>-640.68</w:t>
                    </w:r>
                  </w:p>
                </w:tc>
                <w:tc>
                  <w:tcPr>
                    <w:tcW w:w="604" w:type="pct"/>
                    <w:tcBorders>
                      <w:top w:val="single" w:sz="6" w:space="0" w:color="auto"/>
                      <w:left w:val="single" w:sz="6" w:space="0" w:color="auto"/>
                      <w:bottom w:val="single" w:sz="4" w:space="0" w:color="auto"/>
                      <w:right w:val="single" w:sz="4" w:space="0" w:color="auto"/>
                    </w:tcBorders>
                    <w:vAlign w:val="center"/>
                  </w:tcPr>
                  <w:p w14:paraId="5698D68E" w14:textId="77777777" w:rsidR="008B5F06" w:rsidRPr="008B5F06" w:rsidRDefault="008B5F06" w:rsidP="009E70AA">
                    <w:pPr>
                      <w:spacing w:line="276" w:lineRule="auto"/>
                      <w:jc w:val="right"/>
                      <w:rPr>
                        <w:sz w:val="18"/>
                        <w:szCs w:val="18"/>
                      </w:rPr>
                    </w:pPr>
                    <w:r w:rsidRPr="008B5F06">
                      <w:rPr>
                        <w:sz w:val="18"/>
                        <w:szCs w:val="18"/>
                      </w:rPr>
                      <w:t>-13,273.54</w:t>
                    </w:r>
                  </w:p>
                </w:tc>
              </w:tr>
            </w:sdtContent>
          </w:sdt>
          <w:sdt>
            <w:sdtPr>
              <w:rPr>
                <w:rFonts w:asciiTheme="minorHAnsi" w:eastAsiaTheme="minorEastAsia" w:hAnsiTheme="minorHAnsi" w:cstheme="minorBidi"/>
                <w:kern w:val="2"/>
                <w:sz w:val="18"/>
                <w:szCs w:val="18"/>
              </w:rPr>
              <w:alias w:val="重要非全资子公司的主要财务信息明细"/>
              <w:tag w:val="_GBC_330f4405d49345f7b8f69770f6eb8b4a"/>
              <w:id w:val="335353166"/>
              <w:lock w:val="sdtLocked"/>
            </w:sdtPr>
            <w:sdtEndPr/>
            <w:sdtContent>
              <w:tr w:rsidR="008B5F06" w14:paraId="3572D576" w14:textId="77777777" w:rsidTr="008B5F06">
                <w:tc>
                  <w:tcPr>
                    <w:tcW w:w="436" w:type="pct"/>
                    <w:tcBorders>
                      <w:top w:val="single" w:sz="6" w:space="0" w:color="auto"/>
                      <w:left w:val="single" w:sz="4" w:space="0" w:color="auto"/>
                      <w:bottom w:val="single" w:sz="4" w:space="0" w:color="auto"/>
                      <w:right w:val="single" w:sz="6" w:space="0" w:color="auto"/>
                    </w:tcBorders>
                    <w:vAlign w:val="center"/>
                  </w:tcPr>
                  <w:p w14:paraId="078F1171" w14:textId="77777777" w:rsidR="008B5F06" w:rsidRDefault="008B5F06" w:rsidP="009E70AA">
                    <w:pPr>
                      <w:spacing w:line="276" w:lineRule="auto"/>
                      <w:rPr>
                        <w:sz w:val="18"/>
                        <w:szCs w:val="18"/>
                      </w:rPr>
                    </w:pPr>
                    <w:r>
                      <w:rPr>
                        <w:rFonts w:hint="eastAsia"/>
                        <w:sz w:val="18"/>
                        <w:szCs w:val="18"/>
                      </w:rPr>
                      <w:t>界首齐美</w:t>
                    </w:r>
                  </w:p>
                </w:tc>
                <w:tc>
                  <w:tcPr>
                    <w:tcW w:w="427" w:type="pct"/>
                    <w:tcBorders>
                      <w:top w:val="single" w:sz="6" w:space="0" w:color="auto"/>
                      <w:left w:val="single" w:sz="6" w:space="0" w:color="auto"/>
                      <w:bottom w:val="single" w:sz="4" w:space="0" w:color="auto"/>
                      <w:right w:val="single" w:sz="6" w:space="0" w:color="auto"/>
                    </w:tcBorders>
                    <w:vAlign w:val="center"/>
                  </w:tcPr>
                  <w:p w14:paraId="169CDD77" w14:textId="77777777" w:rsidR="008B5F06" w:rsidRPr="008B5F06" w:rsidRDefault="008B5F06" w:rsidP="009E70AA">
                    <w:pPr>
                      <w:spacing w:line="276" w:lineRule="auto"/>
                      <w:jc w:val="right"/>
                      <w:rPr>
                        <w:sz w:val="18"/>
                        <w:szCs w:val="18"/>
                      </w:rPr>
                    </w:pPr>
                    <w:r w:rsidRPr="008B5F06">
                      <w:rPr>
                        <w:sz w:val="18"/>
                        <w:szCs w:val="18"/>
                      </w:rPr>
                      <w:t>0</w:t>
                    </w:r>
                  </w:p>
                </w:tc>
                <w:tc>
                  <w:tcPr>
                    <w:tcW w:w="604" w:type="pct"/>
                    <w:tcBorders>
                      <w:top w:val="single" w:sz="6" w:space="0" w:color="auto"/>
                      <w:left w:val="single" w:sz="6" w:space="0" w:color="auto"/>
                      <w:bottom w:val="single" w:sz="4" w:space="0" w:color="auto"/>
                      <w:right w:val="single" w:sz="6" w:space="0" w:color="auto"/>
                    </w:tcBorders>
                    <w:vAlign w:val="center"/>
                  </w:tcPr>
                  <w:p w14:paraId="1AE8E7AA" w14:textId="77777777" w:rsidR="008B5F06" w:rsidRPr="008B5F06" w:rsidRDefault="008B5F06" w:rsidP="009E70AA">
                    <w:pPr>
                      <w:spacing w:line="276" w:lineRule="auto"/>
                      <w:jc w:val="right"/>
                      <w:rPr>
                        <w:sz w:val="18"/>
                        <w:szCs w:val="18"/>
                      </w:rPr>
                    </w:pPr>
                    <w:r w:rsidRPr="008B5F06">
                      <w:rPr>
                        <w:sz w:val="18"/>
                        <w:szCs w:val="18"/>
                      </w:rPr>
                      <w:t>-183.68</w:t>
                    </w:r>
                  </w:p>
                </w:tc>
                <w:tc>
                  <w:tcPr>
                    <w:tcW w:w="581" w:type="pct"/>
                    <w:tcBorders>
                      <w:top w:val="single" w:sz="6" w:space="0" w:color="auto"/>
                      <w:left w:val="single" w:sz="6" w:space="0" w:color="auto"/>
                      <w:bottom w:val="single" w:sz="4" w:space="0" w:color="auto"/>
                      <w:right w:val="single" w:sz="6" w:space="0" w:color="auto"/>
                    </w:tcBorders>
                    <w:vAlign w:val="center"/>
                  </w:tcPr>
                  <w:p w14:paraId="740C1888" w14:textId="77777777" w:rsidR="008B5F06" w:rsidRPr="008B5F06" w:rsidRDefault="008B5F06" w:rsidP="009E70AA">
                    <w:pPr>
                      <w:spacing w:line="276" w:lineRule="auto"/>
                      <w:jc w:val="right"/>
                      <w:rPr>
                        <w:sz w:val="18"/>
                        <w:szCs w:val="18"/>
                      </w:rPr>
                    </w:pPr>
                    <w:r w:rsidRPr="008B5F06">
                      <w:rPr>
                        <w:sz w:val="18"/>
                        <w:szCs w:val="18"/>
                      </w:rPr>
                      <w:t>-183.68</w:t>
                    </w:r>
                  </w:p>
                </w:tc>
                <w:tc>
                  <w:tcPr>
                    <w:tcW w:w="680" w:type="pct"/>
                    <w:tcBorders>
                      <w:top w:val="single" w:sz="6" w:space="0" w:color="auto"/>
                      <w:left w:val="single" w:sz="6" w:space="0" w:color="auto"/>
                      <w:bottom w:val="single" w:sz="4" w:space="0" w:color="auto"/>
                      <w:right w:val="single" w:sz="6" w:space="0" w:color="auto"/>
                    </w:tcBorders>
                    <w:vAlign w:val="center"/>
                  </w:tcPr>
                  <w:p w14:paraId="0F1606F4" w14:textId="77777777" w:rsidR="008B5F06" w:rsidRPr="008B5F06" w:rsidRDefault="008B5F06" w:rsidP="009E70AA">
                    <w:pPr>
                      <w:spacing w:line="276" w:lineRule="auto"/>
                      <w:jc w:val="right"/>
                      <w:rPr>
                        <w:sz w:val="18"/>
                        <w:szCs w:val="18"/>
                      </w:rPr>
                    </w:pPr>
                    <w:r w:rsidRPr="008B5F06">
                      <w:rPr>
                        <w:sz w:val="18"/>
                        <w:szCs w:val="18"/>
                      </w:rPr>
                      <w:t>-20,986.90</w:t>
                    </w:r>
                  </w:p>
                </w:tc>
                <w:tc>
                  <w:tcPr>
                    <w:tcW w:w="539" w:type="pct"/>
                    <w:tcBorders>
                      <w:top w:val="single" w:sz="6" w:space="0" w:color="auto"/>
                      <w:left w:val="single" w:sz="6" w:space="0" w:color="auto"/>
                      <w:bottom w:val="single" w:sz="4" w:space="0" w:color="auto"/>
                      <w:right w:val="single" w:sz="6" w:space="0" w:color="auto"/>
                    </w:tcBorders>
                    <w:vAlign w:val="center"/>
                  </w:tcPr>
                  <w:p w14:paraId="5B1587B2" w14:textId="77777777" w:rsidR="008B5F06" w:rsidRPr="008B5F06" w:rsidRDefault="008B5F06" w:rsidP="009E70AA">
                    <w:pPr>
                      <w:spacing w:line="276" w:lineRule="auto"/>
                      <w:jc w:val="right"/>
                      <w:rPr>
                        <w:sz w:val="18"/>
                        <w:szCs w:val="18"/>
                      </w:rPr>
                    </w:pPr>
                    <w:r w:rsidRPr="008B5F06">
                      <w:rPr>
                        <w:sz w:val="18"/>
                        <w:szCs w:val="18"/>
                      </w:rPr>
                      <w:t>0</w:t>
                    </w:r>
                  </w:p>
                </w:tc>
                <w:tc>
                  <w:tcPr>
                    <w:tcW w:w="564" w:type="pct"/>
                    <w:tcBorders>
                      <w:top w:val="single" w:sz="6" w:space="0" w:color="auto"/>
                      <w:left w:val="single" w:sz="6" w:space="0" w:color="auto"/>
                      <w:bottom w:val="single" w:sz="4" w:space="0" w:color="auto"/>
                      <w:right w:val="single" w:sz="6" w:space="0" w:color="auto"/>
                    </w:tcBorders>
                    <w:vAlign w:val="center"/>
                  </w:tcPr>
                  <w:p w14:paraId="64039553" w14:textId="77777777" w:rsidR="008B5F06" w:rsidRPr="008B5F06" w:rsidRDefault="008B5F06" w:rsidP="009E70AA">
                    <w:pPr>
                      <w:spacing w:line="276" w:lineRule="auto"/>
                      <w:jc w:val="right"/>
                      <w:rPr>
                        <w:sz w:val="18"/>
                        <w:szCs w:val="18"/>
                      </w:rPr>
                    </w:pPr>
                    <w:r w:rsidRPr="008B5F06">
                      <w:rPr>
                        <w:sz w:val="18"/>
                        <w:szCs w:val="18"/>
                      </w:rPr>
                      <w:t>-187.96</w:t>
                    </w:r>
                  </w:p>
                </w:tc>
                <w:tc>
                  <w:tcPr>
                    <w:tcW w:w="566" w:type="pct"/>
                    <w:tcBorders>
                      <w:top w:val="single" w:sz="6" w:space="0" w:color="auto"/>
                      <w:left w:val="single" w:sz="6" w:space="0" w:color="auto"/>
                      <w:bottom w:val="single" w:sz="4" w:space="0" w:color="auto"/>
                      <w:right w:val="single" w:sz="6" w:space="0" w:color="auto"/>
                    </w:tcBorders>
                    <w:vAlign w:val="center"/>
                  </w:tcPr>
                  <w:p w14:paraId="78846CF0" w14:textId="77777777" w:rsidR="008B5F06" w:rsidRPr="008B5F06" w:rsidRDefault="008B5F06" w:rsidP="009E70AA">
                    <w:pPr>
                      <w:spacing w:line="276" w:lineRule="auto"/>
                      <w:jc w:val="right"/>
                      <w:rPr>
                        <w:sz w:val="18"/>
                        <w:szCs w:val="18"/>
                      </w:rPr>
                    </w:pPr>
                    <w:r w:rsidRPr="008B5F06">
                      <w:rPr>
                        <w:sz w:val="18"/>
                        <w:szCs w:val="18"/>
                      </w:rPr>
                      <w:t>-187.96</w:t>
                    </w:r>
                  </w:p>
                </w:tc>
                <w:tc>
                  <w:tcPr>
                    <w:tcW w:w="604" w:type="pct"/>
                    <w:tcBorders>
                      <w:top w:val="single" w:sz="6" w:space="0" w:color="auto"/>
                      <w:left w:val="single" w:sz="6" w:space="0" w:color="auto"/>
                      <w:bottom w:val="single" w:sz="4" w:space="0" w:color="auto"/>
                      <w:right w:val="single" w:sz="4" w:space="0" w:color="auto"/>
                    </w:tcBorders>
                    <w:vAlign w:val="center"/>
                  </w:tcPr>
                  <w:p w14:paraId="0B542096" w14:textId="77777777" w:rsidR="008B5F06" w:rsidRPr="008B5F06" w:rsidRDefault="008B5F06" w:rsidP="009E70AA">
                    <w:pPr>
                      <w:spacing w:line="276" w:lineRule="auto"/>
                      <w:jc w:val="right"/>
                      <w:rPr>
                        <w:sz w:val="18"/>
                        <w:szCs w:val="18"/>
                      </w:rPr>
                    </w:pPr>
                    <w:r w:rsidRPr="008B5F06">
                      <w:rPr>
                        <w:sz w:val="18"/>
                        <w:szCs w:val="18"/>
                      </w:rPr>
                      <w:t>-7,510.61</w:t>
                    </w:r>
                  </w:p>
                </w:tc>
              </w:tr>
            </w:sdtContent>
          </w:sdt>
        </w:tbl>
        <w:p w14:paraId="1173E7D6" w14:textId="77777777" w:rsidR="008B5F06" w:rsidRDefault="008B5F06"/>
        <w:p w14:paraId="72929A21" w14:textId="77777777" w:rsidR="00830E72" w:rsidRDefault="00D44830">
          <w:pPr>
            <w:sectPr w:rsidR="00830E72">
              <w:pgSz w:w="16838" w:h="11906" w:orient="landscape"/>
              <w:pgMar w:top="1276" w:right="1440" w:bottom="1797" w:left="1525" w:header="856" w:footer="992" w:gutter="0"/>
              <w:cols w:space="425"/>
              <w:docGrid w:linePitch="312"/>
            </w:sectPr>
          </w:pPr>
        </w:p>
      </w:sdtContent>
    </w:sdt>
    <w:p w14:paraId="7D2FD760" w14:textId="77777777" w:rsidR="00830E72" w:rsidRDefault="00830E72">
      <w:pPr>
        <w:rPr>
          <w:rFonts w:cs="Arial"/>
          <w:szCs w:val="21"/>
        </w:rPr>
      </w:pPr>
    </w:p>
    <w:sdt>
      <w:sdtPr>
        <w:rPr>
          <w:rFonts w:ascii="宋体" w:hAnsi="宋体" w:cs="Arial" w:hint="eastAsia"/>
          <w:b w:val="0"/>
          <w:bCs w:val="0"/>
          <w:kern w:val="0"/>
          <w:szCs w:val="21"/>
        </w:rPr>
        <w:alias w:val="模块:使用企业集团资产和清偿企业集团债务的重大限制"/>
        <w:tag w:val="_GBC_573fe5c9daf0401da00d8fc5198daf66"/>
        <w:id w:val="1048953116"/>
        <w:lock w:val="sdtLocked"/>
        <w:placeholder>
          <w:docPart w:val="GBC22222222222222222222222222222"/>
        </w:placeholder>
      </w:sdtPr>
      <w:sdtEndPr>
        <w:rPr>
          <w:b/>
        </w:rPr>
      </w:sdtEndPr>
      <w:sdtContent>
        <w:p w14:paraId="2F667397" w14:textId="77777777" w:rsidR="00830E72" w:rsidRDefault="008344D8">
          <w:pPr>
            <w:pStyle w:val="Style100"/>
            <w:numPr>
              <w:ilvl w:val="3"/>
              <w:numId w:val="81"/>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d4aaeca51c634ffea892b86812441771"/>
            <w:id w:val="1759944289"/>
            <w:lock w:val="sdtContentLocked"/>
            <w:placeholder>
              <w:docPart w:val="GBC22222222222222222222222222222"/>
            </w:placeholder>
          </w:sdtPr>
          <w:sdtEndPr/>
          <w:sdtContent>
            <w:p w14:paraId="086D291F" w14:textId="77777777" w:rsidR="00830E72" w:rsidRDefault="008344D8">
              <w:pPr>
                <w:rPr>
                  <w:rFonts w:cs="Arial"/>
                  <w:b/>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258798866"/>
        <w:lock w:val="sdtLocked"/>
        <w:placeholder>
          <w:docPart w:val="GBC22222222222222222222222222222"/>
        </w:placeholder>
      </w:sdtPr>
      <w:sdtEndPr/>
      <w:sdtContent>
        <w:p w14:paraId="5ECF45C1" w14:textId="77777777" w:rsidR="00830E72" w:rsidRDefault="008344D8">
          <w:pPr>
            <w:pStyle w:val="Style100"/>
            <w:numPr>
              <w:ilvl w:val="3"/>
              <w:numId w:val="81"/>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alias w:val="是否适用：向纳入合并财务报表范围的结构化主体提供的财务支持或其他支持[双击切换]"/>
            <w:tag w:val="_GBC_3ee0b326ed544ace8060843f29d4cd3a"/>
            <w:id w:val="-279731940"/>
            <w:lock w:val="sdtContentLocked"/>
            <w:placeholder>
              <w:docPart w:val="GBC22222222222222222222222222222"/>
            </w:placeholder>
          </w:sdtPr>
          <w:sdtEndPr/>
          <w:sdtContent>
            <w:p w14:paraId="50B3DF7E" w14:textId="77777777" w:rsidR="00830E72" w:rsidRDefault="008344D8">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szCs w:val="21"/>
        </w:rPr>
        <w:alias w:val="模块:在子公司中的权益其他说明"/>
        <w:tag w:val="_GBC_a0f68dc0a3a24efaa431a8c8d768eb0f"/>
        <w:id w:val="-1183507767"/>
        <w:lock w:val="sdtLocked"/>
        <w:placeholder>
          <w:docPart w:val="GBC22222222222222222222222222222"/>
        </w:placeholder>
      </w:sdtPr>
      <w:sdtEndPr/>
      <w:sdtContent>
        <w:p w14:paraId="1F91D192" w14:textId="77777777" w:rsidR="00830E72" w:rsidRDefault="008344D8">
          <w:pPr>
            <w:rPr>
              <w:szCs w:val="21"/>
            </w:rPr>
          </w:pPr>
          <w:r>
            <w:rPr>
              <w:rFonts w:hint="eastAsia"/>
              <w:szCs w:val="21"/>
            </w:rPr>
            <w:t>其他说明：</w:t>
          </w:r>
        </w:p>
        <w:sdt>
          <w:sdtPr>
            <w:rPr>
              <w:szCs w:val="21"/>
            </w:rPr>
            <w:alias w:val="是否适用：在子公司中的权益其他说明[双击切换]"/>
            <w:tag w:val="_GBC_e4c33fb40d7a42bc88681a9facbf5ba5"/>
            <w:id w:val="-285968372"/>
            <w:lock w:val="sdtContentLocked"/>
            <w:placeholder>
              <w:docPart w:val="GBC22222222222222222222222222222"/>
            </w:placeholder>
          </w:sdtPr>
          <w:sdtEndPr/>
          <w:sdtContent>
            <w:p w14:paraId="38219DFD"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CB6C57A" w14:textId="77777777" w:rsidR="00830E72" w:rsidRDefault="008344D8">
      <w:pPr>
        <w:pStyle w:val="Style99"/>
        <w:numPr>
          <w:ilvl w:val="2"/>
          <w:numId w:val="80"/>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51b903d8f50944dc91e91048eba723cd"/>
        <w:id w:val="-1486542569"/>
        <w:lock w:val="sdtContentLocked"/>
        <w:placeholder>
          <w:docPart w:val="GBC22222222222222222222222222222"/>
        </w:placeholder>
      </w:sdtPr>
      <w:sdtEndPr/>
      <w:sdtContent>
        <w:p w14:paraId="0AC2DFF8"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116F04D" w14:textId="77777777" w:rsidR="00830E72" w:rsidRDefault="008344D8">
      <w:pPr>
        <w:pStyle w:val="Style99"/>
        <w:numPr>
          <w:ilvl w:val="2"/>
          <w:numId w:val="80"/>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31c0fe2068fd4a898e4269df4925aa76"/>
        <w:id w:val="1392376180"/>
        <w:lock w:val="sdtContentLocked"/>
        <w:placeholder>
          <w:docPart w:val="GBC22222222222222222222222222222"/>
        </w:placeholder>
      </w:sdtPr>
      <w:sdtEndPr/>
      <w:sdtContent>
        <w:p w14:paraId="180DB78E" w14:textId="77777777" w:rsidR="00830E72" w:rsidRDefault="008344D8">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Arial" w:hint="eastAsia"/>
          <w:b w:val="0"/>
          <w:bCs w:val="0"/>
          <w:kern w:val="0"/>
          <w:szCs w:val="21"/>
        </w:rPr>
        <w:alias w:val="模块:重要的共同经营"/>
        <w:tag w:val="_GBC_90d44eb1222944759107483908112493"/>
        <w:id w:val="-771857032"/>
        <w:lock w:val="sdtLocked"/>
        <w:placeholder>
          <w:docPart w:val="GBC22222222222222222222222222222"/>
        </w:placeholder>
      </w:sdtPr>
      <w:sdtEndPr>
        <w:rPr>
          <w:rFonts w:cstheme="minorBidi" w:hint="default"/>
        </w:rPr>
      </w:sdtEndPr>
      <w:sdtContent>
        <w:p w14:paraId="6147868B" w14:textId="77777777" w:rsidR="00830E72" w:rsidRDefault="008344D8">
          <w:pPr>
            <w:pStyle w:val="Style99"/>
            <w:numPr>
              <w:ilvl w:val="2"/>
              <w:numId w:val="80"/>
            </w:numPr>
            <w:rPr>
              <w:rFonts w:ascii="宋体" w:hAnsi="宋体" w:cs="Arial"/>
              <w:szCs w:val="21"/>
            </w:rPr>
          </w:pPr>
          <w:r>
            <w:rPr>
              <w:rFonts w:ascii="宋体" w:hAnsi="宋体" w:cs="Arial" w:hint="eastAsia"/>
              <w:szCs w:val="21"/>
            </w:rPr>
            <w:t>重要的共同经营</w:t>
          </w:r>
        </w:p>
        <w:sdt>
          <w:sdtPr>
            <w:alias w:val="是否适用：重要的共同经营[双击切换]"/>
            <w:tag w:val="_GBC_7911b1c8195d4c20b2800b1c5ac94a93"/>
            <w:id w:val="-760988148"/>
            <w:lock w:val="sdtContentLocked"/>
            <w:placeholder>
              <w:docPart w:val="GBC22222222222222222222222222222"/>
            </w:placeholder>
          </w:sdtPr>
          <w:sdtEndPr/>
          <w:sdtContent>
            <w:p w14:paraId="10017909"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290215094"/>
        <w:lock w:val="sdtLocked"/>
        <w:placeholder>
          <w:docPart w:val="GBC22222222222222222222222222222"/>
        </w:placeholder>
      </w:sdtPr>
      <w:sdtEndPr/>
      <w:sdtContent>
        <w:p w14:paraId="238D0F62" w14:textId="77777777" w:rsidR="00830E72" w:rsidRDefault="008344D8">
          <w:pPr>
            <w:pStyle w:val="Style99"/>
            <w:numPr>
              <w:ilvl w:val="2"/>
              <w:numId w:val="80"/>
            </w:numPr>
            <w:rPr>
              <w:rFonts w:ascii="宋体" w:hAnsi="宋体" w:cs="Arial"/>
              <w:szCs w:val="21"/>
            </w:rPr>
          </w:pPr>
          <w:r>
            <w:rPr>
              <w:rFonts w:ascii="宋体" w:hAnsi="宋体" w:cs="Arial" w:hint="eastAsia"/>
              <w:szCs w:val="21"/>
            </w:rPr>
            <w:t>在未纳入合并财务报表范围的结构化主体中的权益</w:t>
          </w:r>
        </w:p>
        <w:p w14:paraId="7593F685" w14:textId="77777777" w:rsidR="00830E72" w:rsidRDefault="008344D8">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48eb6d215e5341c694f98d18f5889902"/>
            <w:id w:val="1499928350"/>
            <w:lock w:val="sdtContentLocked"/>
            <w:placeholder>
              <w:docPart w:val="GBC22222222222222222222222222222"/>
            </w:placeholder>
          </w:sdtPr>
          <w:sdtEndPr/>
          <w:sdtContent>
            <w:p w14:paraId="486536F0" w14:textId="77777777" w:rsidR="00830E72" w:rsidRDefault="008344D8">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sdt>
      <w:sdtPr>
        <w:rPr>
          <w:rFonts w:ascii="宋体" w:hAnsi="宋体" w:cs="Arial" w:hint="eastAsia"/>
          <w:b w:val="0"/>
          <w:bCs w:val="0"/>
          <w:kern w:val="0"/>
          <w:szCs w:val="21"/>
        </w:rPr>
        <w:alias w:val="模块:在其他主体中的权益其他需要说明的事项"/>
        <w:tag w:val="_GBC_b24eb633f5244c748225389f3b3cedd1"/>
        <w:id w:val="1958667459"/>
        <w:lock w:val="sdtLocked"/>
        <w:placeholder>
          <w:docPart w:val="GBC22222222222222222222222222222"/>
        </w:placeholder>
      </w:sdtPr>
      <w:sdtEndPr/>
      <w:sdtContent>
        <w:p w14:paraId="6DF9814E" w14:textId="77777777" w:rsidR="00830E72" w:rsidRDefault="008344D8">
          <w:pPr>
            <w:pStyle w:val="Style99"/>
            <w:numPr>
              <w:ilvl w:val="2"/>
              <w:numId w:val="80"/>
            </w:numPr>
            <w:rPr>
              <w:rFonts w:ascii="宋体" w:hAnsi="宋体" w:cs="Arial"/>
              <w:szCs w:val="21"/>
            </w:rPr>
          </w:pPr>
          <w:r>
            <w:rPr>
              <w:rFonts w:ascii="宋体" w:hAnsi="宋体" w:cs="Arial" w:hint="eastAsia"/>
              <w:szCs w:val="21"/>
            </w:rPr>
            <w:t>其他</w:t>
          </w:r>
        </w:p>
        <w:sdt>
          <w:sdtPr>
            <w:alias w:val="是否适用：在其他主体中的权益其他需要说明的事项[双击切换]"/>
            <w:tag w:val="_GBC_ad8b7a7df0724efaa681a931c91befff"/>
            <w:id w:val="1836649337"/>
            <w:lock w:val="sdtContentLocked"/>
            <w:placeholder>
              <w:docPart w:val="GBC22222222222222222222222222222"/>
            </w:placeholder>
          </w:sdtPr>
          <w:sdtEndPr/>
          <w:sdtContent>
            <w:p w14:paraId="17E291A9"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与金融工具相关的风险"/>
        <w:tag w:val="_GBC_815d628fea814e7191d23a3fcbe2783c"/>
        <w:id w:val="-2018149546"/>
        <w:lock w:val="sdtLocked"/>
        <w:placeholder>
          <w:docPart w:val="GBC22222222222222222222222222222"/>
        </w:placeholder>
      </w:sdtPr>
      <w:sdtEndPr/>
      <w:sdtContent>
        <w:p w14:paraId="69FAD1D7" w14:textId="77777777" w:rsidR="00830E72" w:rsidRDefault="008344D8">
          <w:pPr>
            <w:pStyle w:val="2CharCharChar"/>
            <w:numPr>
              <w:ilvl w:val="0"/>
              <w:numId w:val="32"/>
            </w:numPr>
            <w:ind w:left="420" w:hanging="420"/>
            <w:rPr>
              <w:rFonts w:ascii="宋体" w:hAnsi="宋体"/>
            </w:rPr>
          </w:pPr>
          <w:r>
            <w:rPr>
              <w:rFonts w:ascii="宋体" w:hAnsi="宋体" w:hint="eastAsia"/>
            </w:rPr>
            <w:t>与金融工具相关的风险</w:t>
          </w:r>
        </w:p>
        <w:sdt>
          <w:sdtPr>
            <w:alias w:val="是否适用：与金融工具相关的风险[双击切换]"/>
            <w:tag w:val="_GBC_c64d1e82474c4f20aebea3bef4cc2f0f"/>
            <w:id w:val="-235553931"/>
            <w:lock w:val="sdtContentLocked"/>
            <w:placeholder>
              <w:docPart w:val="GBC22222222222222222222222222222"/>
            </w:placeholder>
          </w:sdtPr>
          <w:sdtEndPr/>
          <w:sdtContent>
            <w:p w14:paraId="56510FF4"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与金融工具相关的风险"/>
            <w:tag w:val="_GBC_f6714dfdbb554edeb7e7fde71c65346d"/>
            <w:id w:val="956457851"/>
            <w:lock w:val="sdtLocked"/>
            <w:placeholder>
              <w:docPart w:val="GBC22222222222222222222222222222"/>
            </w:placeholder>
          </w:sdtPr>
          <w:sdtEndPr>
            <w:rPr>
              <w:b/>
            </w:rPr>
          </w:sdtEndPr>
          <w:sdtContent>
            <w:p w14:paraId="7EDDDE3A" w14:textId="77777777" w:rsidR="00830E72" w:rsidRDefault="008344D8">
              <w:pPr>
                <w:ind w:firstLineChars="200" w:firstLine="420"/>
                <w:rPr>
                  <w:szCs w:val="21"/>
                </w:rPr>
              </w:pPr>
              <w:r>
                <w:rPr>
                  <w:rFonts w:hint="eastAsia"/>
                  <w:szCs w:val="21"/>
                </w:rPr>
                <w:t>本公司与金融工具相关的风险源于本公司在经营过程中所确认的各类金融资产和金融负债，包括：信用风险、流动性风险和市场风险。</w:t>
              </w:r>
            </w:p>
            <w:p w14:paraId="20A34810" w14:textId="77777777" w:rsidR="00830E72" w:rsidRDefault="008344D8">
              <w:pPr>
                <w:ind w:firstLineChars="200" w:firstLine="420"/>
                <w:rPr>
                  <w:szCs w:val="21"/>
                </w:rPr>
              </w:pPr>
              <w:r>
                <w:rPr>
                  <w:rFonts w:hint="eastAsia"/>
                  <w:szCs w:val="21"/>
                </w:rPr>
                <w:t>本公司与金融工具相关的各类风险的管理目标和政策的制度由本公司管理层负责。经营管理层通过职能部门负责日常的风险管理。本公司内部审计部门对公司风险管理的政策和程序的执行情况进行日常监督，并且将有关发现及时报告给本公司审计委员会。</w:t>
              </w:r>
            </w:p>
            <w:p w14:paraId="3310645B" w14:textId="77777777" w:rsidR="00830E72" w:rsidRDefault="008344D8">
              <w:pPr>
                <w:ind w:firstLineChars="200" w:firstLine="420"/>
                <w:rPr>
                  <w:szCs w:val="21"/>
                </w:rPr>
              </w:pPr>
              <w:r>
                <w:rPr>
                  <w:rFonts w:hint="eastAsia"/>
                  <w:szCs w:val="21"/>
                </w:rPr>
                <w:t>本公司风险管理的总体目标是在不过度影响公司竞争力和应变力的情况下，制定尽可能降低各类与金融工具相关风险的风险管理政策。</w:t>
              </w:r>
            </w:p>
            <w:p w14:paraId="16E6C908" w14:textId="77777777" w:rsidR="00830E72" w:rsidRDefault="008344D8">
              <w:pPr>
                <w:ind w:firstLineChars="200" w:firstLine="420"/>
                <w:rPr>
                  <w:szCs w:val="21"/>
                </w:rPr>
              </w:pPr>
              <w:r>
                <w:rPr>
                  <w:szCs w:val="21"/>
                </w:rPr>
                <w:t>1.信用风险</w:t>
              </w:r>
            </w:p>
            <w:p w14:paraId="2EBB06CF" w14:textId="77777777" w:rsidR="00830E72" w:rsidRDefault="008344D8">
              <w:pPr>
                <w:ind w:firstLineChars="200" w:firstLine="420"/>
                <w:rPr>
                  <w:szCs w:val="21"/>
                </w:rPr>
              </w:pPr>
              <w:r>
                <w:rPr>
                  <w:rFonts w:hint="eastAsia"/>
                  <w:szCs w:val="21"/>
                </w:rPr>
                <w:t>信用风险，是指金融工具的一方未能履行义务从而导致另一方发生财务损失的风险。本公司的信用风险主要产生于货币资金、应收票据、应收账款、其他应收款以及长期应收款等，这些金融资产的信用风险源自交易对手违约，最大的风险敞口等于这些工具的账面金额。</w:t>
              </w:r>
            </w:p>
            <w:p w14:paraId="5800F0F0" w14:textId="77777777" w:rsidR="00830E72" w:rsidRDefault="008344D8">
              <w:pPr>
                <w:ind w:firstLineChars="200" w:firstLine="420"/>
                <w:rPr>
                  <w:szCs w:val="21"/>
                </w:rPr>
              </w:pPr>
              <w:r>
                <w:rPr>
                  <w:rFonts w:hint="eastAsia"/>
                  <w:szCs w:val="21"/>
                </w:rPr>
                <w:t>本公司货币资金主要存放于国有上市银行以及拥有较高信用评级的其他商业银行等金融机构，本公司认为这些商业银行具备较高信誉和资产状况，存在较低的信用风险。</w:t>
              </w:r>
            </w:p>
            <w:p w14:paraId="37281ACD" w14:textId="77777777" w:rsidR="00830E72" w:rsidRDefault="008344D8">
              <w:pPr>
                <w:ind w:firstLineChars="200" w:firstLine="420"/>
                <w:rPr>
                  <w:szCs w:val="21"/>
                </w:rPr>
              </w:pPr>
              <w:r>
                <w:rPr>
                  <w:rFonts w:hint="eastAsia"/>
                  <w:szCs w:val="21"/>
                </w:rPr>
                <w:t>对于应收票据、应收账款、其他应收款及长期应收款，本公司设定相关政策以控制信用风险敞口。本公司基于对客户的财务状况、从第三方获取担保的可能性、信用记录及其他因素诸如目前市场状况等评估客户的信用资质并设置相应信用期。本公司会定期对客户信用记录进行监控，对于信用记录不良的客户，本公司会采用书面催款、缩短信用期或取消信用期等方式，以确保本公司的整体信用风险在可控的范围内。</w:t>
              </w:r>
            </w:p>
            <w:p w14:paraId="18990EBB" w14:textId="77777777" w:rsidR="00830E72" w:rsidRDefault="008344D8">
              <w:pPr>
                <w:ind w:firstLineChars="200" w:firstLine="420"/>
                <w:rPr>
                  <w:szCs w:val="21"/>
                </w:rPr>
              </w:pPr>
              <w:r>
                <w:rPr>
                  <w:rFonts w:hint="eastAsia"/>
                  <w:szCs w:val="21"/>
                </w:rPr>
                <w:t>（</w:t>
              </w:r>
              <w:r>
                <w:rPr>
                  <w:szCs w:val="21"/>
                </w:rPr>
                <w:t>1）信用风险显著增加判断标准</w:t>
              </w:r>
            </w:p>
            <w:p w14:paraId="42D6D0C2" w14:textId="77777777" w:rsidR="00830E72" w:rsidRDefault="008344D8">
              <w:pPr>
                <w:ind w:firstLineChars="200" w:firstLine="420"/>
                <w:rPr>
                  <w:szCs w:val="21"/>
                </w:rPr>
              </w:pPr>
              <w:r>
                <w:rPr>
                  <w:rFonts w:hint="eastAsia"/>
                  <w:szCs w:val="21"/>
                </w:rPr>
                <w:t>本公司在每个资产负债表日评估相关金融工具的信用风险自初始确认后是否已显著增加。在确定信用风险自初始确认后是否显著增加时，本公司考虑在无须付出不必要的额外成本或努力即可获得合理且有依据的信息，包括基于本公司历史数据的定性和定量分析、外部信用风险评级以及前瞻性信息。本公司以单项金融工具或者具有相似信用风险特征的金融工具组合为基础，通过比较金融工具在资产负债表日发生违约的风险与在初始确认日发生违约的风险，以确定金融工具预计存续期内发生违约风险的变化情况。</w:t>
              </w:r>
            </w:p>
            <w:p w14:paraId="46137E7D" w14:textId="77777777" w:rsidR="00830E72" w:rsidRDefault="008344D8">
              <w:pPr>
                <w:ind w:firstLineChars="200" w:firstLine="420"/>
                <w:rPr>
                  <w:szCs w:val="21"/>
                </w:rPr>
              </w:pPr>
              <w:r>
                <w:rPr>
                  <w:rFonts w:hint="eastAsia"/>
                  <w:szCs w:val="21"/>
                </w:rPr>
                <w:lastRenderedPageBreak/>
                <w:t>当触发以下一个或多个定量、定性标准时，本公司认为金融工具的信用风险已发生显著增加：定量标准主要为报告日剩余存续期违约概率较初始确认时上升超过一定比例；定性标准为主要债务人经营或财务情况出现重大不利变化、预警客户清单等。</w:t>
              </w:r>
            </w:p>
            <w:p w14:paraId="74E85D58" w14:textId="77777777" w:rsidR="00830E72" w:rsidRDefault="008344D8">
              <w:pPr>
                <w:ind w:firstLineChars="200" w:firstLine="420"/>
                <w:rPr>
                  <w:szCs w:val="21"/>
                </w:rPr>
              </w:pPr>
              <w:r>
                <w:rPr>
                  <w:rFonts w:hint="eastAsia"/>
                  <w:szCs w:val="21"/>
                </w:rPr>
                <w:t>（</w:t>
              </w:r>
              <w:r>
                <w:rPr>
                  <w:szCs w:val="21"/>
                </w:rPr>
                <w:t>2）已发生信用减值资产的定义</w:t>
              </w:r>
            </w:p>
            <w:p w14:paraId="1151F44E" w14:textId="77777777" w:rsidR="00830E72" w:rsidRDefault="008344D8">
              <w:pPr>
                <w:ind w:firstLineChars="200" w:firstLine="420"/>
                <w:rPr>
                  <w:szCs w:val="21"/>
                </w:rPr>
              </w:pPr>
              <w:r>
                <w:rPr>
                  <w:rFonts w:hint="eastAsia"/>
                  <w:szCs w:val="21"/>
                </w:rPr>
                <w:t>为确定是否发生信用减值，本公司所采用的界定标准，与内部针对相关金融工具的信用风险管理目标保持一致</w:t>
              </w:r>
              <w:r>
                <w:rPr>
                  <w:szCs w:val="21"/>
                </w:rPr>
                <w:t>,同时考虑定量、定性指标。</w:t>
              </w:r>
            </w:p>
            <w:p w14:paraId="10160737" w14:textId="77777777" w:rsidR="00830E72" w:rsidRDefault="008344D8">
              <w:pPr>
                <w:ind w:firstLineChars="200" w:firstLine="420"/>
                <w:rPr>
                  <w:szCs w:val="21"/>
                </w:rPr>
              </w:pPr>
              <w:r>
                <w:rPr>
                  <w:rFonts w:hint="eastAsia"/>
                  <w:szCs w:val="21"/>
                </w:rPr>
                <w:t>本公司评估债务人是否发生信用减值时，主要考虑以下因素：发行方或债务人发生重大财务困难；债务人违反合同，如偿付利息或本金违约或逾期等；债权人出于与债务人财务困难有关的经济或合同考虑，给予债务人在任何其他情况下都不会做出的让步；债务人很可能破产或进行其他财务重组；发行方或债务人财务困难导致该金融资产的活跃市场消失；以大幅折扣购买或源生一项金融资产，该折扣反映了发生信用损失的事实。</w:t>
              </w:r>
            </w:p>
            <w:p w14:paraId="381F8945" w14:textId="77777777" w:rsidR="00830E72" w:rsidRDefault="008344D8">
              <w:pPr>
                <w:ind w:firstLineChars="200" w:firstLine="420"/>
                <w:rPr>
                  <w:szCs w:val="21"/>
                </w:rPr>
              </w:pPr>
              <w:r>
                <w:rPr>
                  <w:rFonts w:hint="eastAsia"/>
                  <w:szCs w:val="21"/>
                </w:rPr>
                <w:t>金融资产发生信用减值，有可能是多个事件的共同作用所致，未必是可单独识别的事件所致。</w:t>
              </w:r>
            </w:p>
            <w:p w14:paraId="2CE1F010" w14:textId="77777777" w:rsidR="00830E72" w:rsidRDefault="008344D8">
              <w:pPr>
                <w:ind w:firstLineChars="200" w:firstLine="420"/>
                <w:rPr>
                  <w:szCs w:val="21"/>
                </w:rPr>
              </w:pPr>
              <w:r>
                <w:rPr>
                  <w:rFonts w:hint="eastAsia"/>
                  <w:szCs w:val="21"/>
                </w:rPr>
                <w:t>（</w:t>
              </w:r>
              <w:r>
                <w:rPr>
                  <w:szCs w:val="21"/>
                </w:rPr>
                <w:t>3）预期信用损失计量的参数</w:t>
              </w:r>
            </w:p>
            <w:p w14:paraId="72C3610A" w14:textId="77777777" w:rsidR="00830E72" w:rsidRDefault="008344D8">
              <w:pPr>
                <w:ind w:firstLineChars="200" w:firstLine="420"/>
                <w:rPr>
                  <w:szCs w:val="21"/>
                </w:rPr>
              </w:pPr>
              <w:r>
                <w:rPr>
                  <w:rFonts w:hint="eastAsia"/>
                  <w:szCs w:val="21"/>
                </w:rPr>
                <w:t>根据信用风险是否发生显著增加以及是否已发生信用减值，本公司对不同的资产分别以</w:t>
              </w:r>
              <w:r>
                <w:rPr>
                  <w:szCs w:val="21"/>
                </w:rPr>
                <w:t xml:space="preserve"> 12</w:t>
              </w:r>
              <w:r>
                <w:rPr>
                  <w:rFonts w:hint="eastAsia"/>
                  <w:szCs w:val="21"/>
                </w:rPr>
                <w:t>个月或整个存续期的预期信用损失计量减值准备。预期信用损失计量的关键参数包括违约概率、违约损失率和违约风险敞口。本公司考虑历史统计数据（如交易对手评级、担保方式及抵质押物类别、还款方式等）的定量分析及前瞻性信息，建立违约概率、违约损失率及违约风险敞口模型。</w:t>
              </w:r>
            </w:p>
            <w:p w14:paraId="4C6EA48F" w14:textId="77777777" w:rsidR="00830E72" w:rsidRDefault="008344D8">
              <w:pPr>
                <w:ind w:firstLineChars="200" w:firstLine="420"/>
                <w:rPr>
                  <w:szCs w:val="21"/>
                </w:rPr>
              </w:pPr>
              <w:r>
                <w:rPr>
                  <w:rFonts w:hint="eastAsia"/>
                  <w:szCs w:val="21"/>
                </w:rPr>
                <w:t>相关定义如下：</w:t>
              </w:r>
            </w:p>
            <w:p w14:paraId="4BABD964" w14:textId="77777777" w:rsidR="00830E72" w:rsidRDefault="008344D8">
              <w:pPr>
                <w:ind w:firstLineChars="200" w:firstLine="420"/>
                <w:rPr>
                  <w:szCs w:val="21"/>
                </w:rPr>
              </w:pPr>
              <w:r>
                <w:rPr>
                  <w:rFonts w:hint="eastAsia"/>
                  <w:szCs w:val="21"/>
                </w:rPr>
                <w:t>违约概率是指债务人在未来</w:t>
              </w:r>
              <w:r>
                <w:rPr>
                  <w:szCs w:val="21"/>
                </w:rPr>
                <w:t xml:space="preserve"> 12 个月或在整个剩余存续期，无法履行其偿付义务的可能性。</w:t>
              </w:r>
              <w:r>
                <w:rPr>
                  <w:rFonts w:hint="eastAsia"/>
                  <w:szCs w:val="21"/>
                </w:rPr>
                <w:t>违约损失率是指本公司对违约风险暴露发生损失程度作出的预期。根据交易对手的类型、追索的方式和优先级，以及担保品的不同，违约损失率也有所不同。违约损失率为违约发生时风险敞口损失的百分比，以未来</w:t>
              </w:r>
              <w:r>
                <w:rPr>
                  <w:szCs w:val="21"/>
                </w:rPr>
                <w:t xml:space="preserve"> 12 个月内或整个存续期为基准进行计算；</w:t>
              </w:r>
            </w:p>
            <w:p w14:paraId="1ABFAA32" w14:textId="77777777" w:rsidR="00830E72" w:rsidRDefault="008344D8">
              <w:pPr>
                <w:ind w:firstLineChars="200" w:firstLine="420"/>
                <w:rPr>
                  <w:szCs w:val="21"/>
                </w:rPr>
              </w:pPr>
              <w:r>
                <w:rPr>
                  <w:rFonts w:hint="eastAsia"/>
                  <w:szCs w:val="21"/>
                </w:rPr>
                <w:t>违约风险敞口是指，在未来</w:t>
              </w:r>
              <w:r>
                <w:rPr>
                  <w:szCs w:val="21"/>
                </w:rPr>
                <w:t xml:space="preserve"> 12 个月或在整个剩余存续期中，在违约发生时，本公司应被偿</w:t>
              </w:r>
              <w:r>
                <w:rPr>
                  <w:rFonts w:hint="eastAsia"/>
                  <w:szCs w:val="21"/>
                </w:rPr>
                <w:t>付的金额。前瞻性信息信用风险显著增加的评估及预期信用损失的计算均涉及前瞻性信息。本公司通过进行历史数据分析，识别出影响各业务类型信用风险及预期信用损失的关键经济指标。</w:t>
              </w:r>
            </w:p>
            <w:p w14:paraId="45F103F9" w14:textId="77777777" w:rsidR="00830E72" w:rsidRDefault="008344D8">
              <w:pPr>
                <w:ind w:firstLineChars="200" w:firstLine="420"/>
                <w:rPr>
                  <w:szCs w:val="21"/>
                </w:rPr>
              </w:pPr>
              <w:r>
                <w:rPr>
                  <w:rFonts w:hint="eastAsia"/>
                  <w:szCs w:val="21"/>
                </w:rPr>
                <w:t>本公司所承受的最大信用风险敞口为资产负债表中每项金融资产的账面金额。本公司没有提供任何其他可能令本公司承受信用风险的担保。</w:t>
              </w:r>
            </w:p>
            <w:p w14:paraId="4A32500E" w14:textId="1EA122D2" w:rsidR="00830E72" w:rsidRDefault="008344D8">
              <w:pPr>
                <w:ind w:firstLineChars="200" w:firstLine="420"/>
                <w:rPr>
                  <w:szCs w:val="21"/>
                </w:rPr>
              </w:pPr>
              <w:r>
                <w:rPr>
                  <w:rFonts w:hint="eastAsia"/>
                  <w:szCs w:val="21"/>
                </w:rPr>
                <w:t>本公司应收账款中，前五大客户的应收账款占本公司应收账款总额的</w:t>
              </w:r>
              <w:r>
                <w:rPr>
                  <w:color w:val="FF0000"/>
                  <w:szCs w:val="21"/>
                </w:rPr>
                <w:t xml:space="preserve"> </w:t>
              </w:r>
              <w:r>
                <w:rPr>
                  <w:rFonts w:hint="eastAsia"/>
                  <w:szCs w:val="21"/>
                </w:rPr>
                <w:t>38.89</w:t>
              </w:r>
              <w:r>
                <w:rPr>
                  <w:szCs w:val="21"/>
                </w:rPr>
                <w:t>%（比较期：43.</w:t>
              </w:r>
              <w:r>
                <w:rPr>
                  <w:rFonts w:hint="eastAsia"/>
                  <w:szCs w:val="21"/>
                </w:rPr>
                <w:t>83</w:t>
              </w:r>
              <w:r>
                <w:rPr>
                  <w:szCs w:val="21"/>
                </w:rPr>
                <w:t>%）；本公司其他应收款中，欠款金额前五大公司的其他应收款占本公司其他应收款总额的</w:t>
              </w:r>
              <w:r>
                <w:rPr>
                  <w:rFonts w:hint="eastAsia"/>
                  <w:szCs w:val="21"/>
                </w:rPr>
                <w:t>54.0</w:t>
              </w:r>
              <w:r w:rsidR="00D9105E">
                <w:rPr>
                  <w:szCs w:val="21"/>
                </w:rPr>
                <w:t>4</w:t>
              </w:r>
              <w:r>
                <w:rPr>
                  <w:szCs w:val="21"/>
                </w:rPr>
                <w:t>（比较期：</w:t>
              </w:r>
              <w:r>
                <w:rPr>
                  <w:rFonts w:hint="eastAsia"/>
                  <w:szCs w:val="21"/>
                </w:rPr>
                <w:t>51.11</w:t>
              </w:r>
              <w:r>
                <w:rPr>
                  <w:szCs w:val="21"/>
                </w:rPr>
                <w:t>%）。</w:t>
              </w:r>
            </w:p>
            <w:p w14:paraId="073618CF" w14:textId="77777777" w:rsidR="00830E72" w:rsidRDefault="008344D8">
              <w:pPr>
                <w:ind w:firstLineChars="200" w:firstLine="420"/>
                <w:rPr>
                  <w:szCs w:val="21"/>
                </w:rPr>
              </w:pPr>
              <w:r>
                <w:rPr>
                  <w:szCs w:val="21"/>
                </w:rPr>
                <w:t>2.流动性风险</w:t>
              </w:r>
            </w:p>
            <w:p w14:paraId="41626A02" w14:textId="77777777" w:rsidR="00830E72" w:rsidRDefault="008344D8">
              <w:pPr>
                <w:ind w:firstLineChars="200" w:firstLine="420"/>
                <w:rPr>
                  <w:szCs w:val="21"/>
                </w:rPr>
              </w:pPr>
              <w:r>
                <w:rPr>
                  <w:rFonts w:hint="eastAsia"/>
                  <w:szCs w:val="21"/>
                </w:rPr>
                <w:t>流动性风险，是指企业在履行以交付现金或其他金融资产的方式结算的义务时发生资金短缺的风险。本公司统筹负责公司内各子公司的现金管理工作，包括现金盈余的短期投资和筹措贷款以应付预计现金需求。本公司的政策是定期监控短期和长期的流动资金需求，以及是否符合借款协议的规定，以确保维持充裕的现金储备和可供随时变现的有价证券。</w:t>
              </w:r>
            </w:p>
            <w:p w14:paraId="77899A07" w14:textId="77777777" w:rsidR="00830E72" w:rsidRDefault="008344D8">
              <w:pPr>
                <w:ind w:firstLineChars="200" w:firstLine="420"/>
                <w:rPr>
                  <w:szCs w:val="21"/>
                </w:rPr>
              </w:pPr>
              <w:r>
                <w:rPr>
                  <w:rFonts w:hint="eastAsia"/>
                  <w:szCs w:val="21"/>
                </w:rPr>
                <w:t>截止</w:t>
              </w:r>
              <w:r>
                <w:rPr>
                  <w:szCs w:val="21"/>
                </w:rPr>
                <w:t xml:space="preserve"> 202</w:t>
              </w:r>
              <w:r>
                <w:rPr>
                  <w:rFonts w:hint="eastAsia"/>
                  <w:szCs w:val="21"/>
                </w:rPr>
                <w:t>1</w:t>
              </w:r>
              <w:r>
                <w:rPr>
                  <w:szCs w:val="21"/>
                </w:rPr>
                <w:t xml:space="preserve"> 年 6 月 30 日，本公司金融负债到期期限如下：</w:t>
              </w:r>
            </w:p>
            <w:tbl>
              <w:tblPr>
                <w:tblStyle w:val="g2"/>
                <w:tblW w:w="0" w:type="auto"/>
                <w:tblLook w:val="04A0" w:firstRow="1" w:lastRow="0" w:firstColumn="1" w:lastColumn="0" w:noHBand="0" w:noVBand="1"/>
              </w:tblPr>
              <w:tblGrid>
                <w:gridCol w:w="1526"/>
                <w:gridCol w:w="2423"/>
                <w:gridCol w:w="1226"/>
                <w:gridCol w:w="1226"/>
                <w:gridCol w:w="1291"/>
                <w:gridCol w:w="1357"/>
              </w:tblGrid>
              <w:tr w:rsidR="00D9105E" w14:paraId="311A8304" w14:textId="77777777" w:rsidTr="00A0630F">
                <w:tc>
                  <w:tcPr>
                    <w:tcW w:w="1526" w:type="dxa"/>
                    <w:vMerge w:val="restart"/>
                    <w:vAlign w:val="center"/>
                  </w:tcPr>
                  <w:p w14:paraId="5A06AB07" w14:textId="77777777" w:rsidR="00D9105E" w:rsidRDefault="00D9105E" w:rsidP="00A0630F">
                    <w:pPr>
                      <w:jc w:val="center"/>
                      <w:rPr>
                        <w:szCs w:val="21"/>
                      </w:rPr>
                    </w:pPr>
                    <w:r>
                      <w:rPr>
                        <w:rFonts w:hint="eastAsia"/>
                        <w:szCs w:val="21"/>
                      </w:rPr>
                      <w:t>项目名称</w:t>
                    </w:r>
                  </w:p>
                </w:tc>
                <w:tc>
                  <w:tcPr>
                    <w:tcW w:w="7523" w:type="dxa"/>
                    <w:gridSpan w:val="5"/>
                  </w:tcPr>
                  <w:p w14:paraId="4CDC0E39" w14:textId="77777777" w:rsidR="00D9105E" w:rsidRDefault="00D9105E" w:rsidP="00A0630F">
                    <w:pPr>
                      <w:jc w:val="center"/>
                      <w:rPr>
                        <w:szCs w:val="21"/>
                      </w:rPr>
                    </w:pPr>
                    <w:r>
                      <w:rPr>
                        <w:rFonts w:hint="eastAsia"/>
                        <w:szCs w:val="21"/>
                      </w:rPr>
                      <w:t>2021年6月30日（万元）</w:t>
                    </w:r>
                  </w:p>
                </w:tc>
              </w:tr>
              <w:tr w:rsidR="00D9105E" w14:paraId="6291E858" w14:textId="77777777" w:rsidTr="00A0630F">
                <w:tc>
                  <w:tcPr>
                    <w:tcW w:w="1526" w:type="dxa"/>
                    <w:vMerge/>
                  </w:tcPr>
                  <w:p w14:paraId="6120EFEA" w14:textId="77777777" w:rsidR="00D9105E" w:rsidRDefault="00D9105E" w:rsidP="00A0630F">
                    <w:pPr>
                      <w:rPr>
                        <w:szCs w:val="21"/>
                      </w:rPr>
                    </w:pPr>
                  </w:p>
                </w:tc>
                <w:tc>
                  <w:tcPr>
                    <w:tcW w:w="2423" w:type="dxa"/>
                  </w:tcPr>
                  <w:p w14:paraId="47A0DE71" w14:textId="77777777" w:rsidR="00D9105E" w:rsidRDefault="00D9105E" w:rsidP="00A0630F">
                    <w:pPr>
                      <w:jc w:val="center"/>
                      <w:rPr>
                        <w:szCs w:val="21"/>
                      </w:rPr>
                    </w:pPr>
                    <w:r>
                      <w:rPr>
                        <w:rFonts w:hint="eastAsia"/>
                        <w:szCs w:val="21"/>
                      </w:rPr>
                      <w:t>1年以内</w:t>
                    </w:r>
                  </w:p>
                </w:tc>
                <w:tc>
                  <w:tcPr>
                    <w:tcW w:w="1226" w:type="dxa"/>
                  </w:tcPr>
                  <w:p w14:paraId="01826740" w14:textId="77777777" w:rsidR="00D9105E" w:rsidRDefault="00D9105E" w:rsidP="00A0630F">
                    <w:pPr>
                      <w:jc w:val="center"/>
                      <w:rPr>
                        <w:szCs w:val="21"/>
                      </w:rPr>
                    </w:pPr>
                    <w:r>
                      <w:rPr>
                        <w:rFonts w:hint="eastAsia"/>
                        <w:szCs w:val="21"/>
                      </w:rPr>
                      <w:t>1-2年</w:t>
                    </w:r>
                  </w:p>
                </w:tc>
                <w:tc>
                  <w:tcPr>
                    <w:tcW w:w="1226" w:type="dxa"/>
                  </w:tcPr>
                  <w:p w14:paraId="02BFBFB2" w14:textId="77777777" w:rsidR="00D9105E" w:rsidRDefault="00D9105E" w:rsidP="00A0630F">
                    <w:pPr>
                      <w:jc w:val="center"/>
                      <w:rPr>
                        <w:szCs w:val="21"/>
                      </w:rPr>
                    </w:pPr>
                    <w:r>
                      <w:rPr>
                        <w:rFonts w:hint="eastAsia"/>
                        <w:szCs w:val="21"/>
                      </w:rPr>
                      <w:t>2-3年</w:t>
                    </w:r>
                  </w:p>
                </w:tc>
                <w:tc>
                  <w:tcPr>
                    <w:tcW w:w="1291" w:type="dxa"/>
                  </w:tcPr>
                  <w:p w14:paraId="1129C10C" w14:textId="77777777" w:rsidR="00D9105E" w:rsidRDefault="00D9105E" w:rsidP="00A0630F">
                    <w:pPr>
                      <w:jc w:val="center"/>
                      <w:rPr>
                        <w:szCs w:val="21"/>
                      </w:rPr>
                    </w:pPr>
                    <w:r>
                      <w:rPr>
                        <w:rFonts w:hint="eastAsia"/>
                        <w:szCs w:val="21"/>
                      </w:rPr>
                      <w:t>3年以上</w:t>
                    </w:r>
                  </w:p>
                </w:tc>
                <w:tc>
                  <w:tcPr>
                    <w:tcW w:w="1357" w:type="dxa"/>
                  </w:tcPr>
                  <w:p w14:paraId="09DF9CE0" w14:textId="77777777" w:rsidR="00D9105E" w:rsidRDefault="00D9105E" w:rsidP="00A0630F">
                    <w:pPr>
                      <w:jc w:val="center"/>
                      <w:rPr>
                        <w:szCs w:val="21"/>
                      </w:rPr>
                    </w:pPr>
                    <w:r>
                      <w:rPr>
                        <w:rFonts w:hint="eastAsia"/>
                        <w:szCs w:val="21"/>
                      </w:rPr>
                      <w:t>合计</w:t>
                    </w:r>
                  </w:p>
                </w:tc>
              </w:tr>
              <w:tr w:rsidR="00D9105E" w14:paraId="6CFC2BF8" w14:textId="77777777" w:rsidTr="00A0630F">
                <w:tc>
                  <w:tcPr>
                    <w:tcW w:w="1526" w:type="dxa"/>
                  </w:tcPr>
                  <w:p w14:paraId="128B6B8C" w14:textId="77777777" w:rsidR="00D9105E" w:rsidRDefault="00D9105E" w:rsidP="00A0630F">
                    <w:pPr>
                      <w:rPr>
                        <w:szCs w:val="21"/>
                      </w:rPr>
                    </w:pPr>
                    <w:r>
                      <w:rPr>
                        <w:rFonts w:hint="eastAsia"/>
                        <w:szCs w:val="21"/>
                      </w:rPr>
                      <w:t>短期借款</w:t>
                    </w:r>
                  </w:p>
                </w:tc>
                <w:tc>
                  <w:tcPr>
                    <w:tcW w:w="2423" w:type="dxa"/>
                  </w:tcPr>
                  <w:p w14:paraId="09A9A77D" w14:textId="77777777" w:rsidR="00D9105E" w:rsidRDefault="00D9105E" w:rsidP="00A0630F">
                    <w:pPr>
                      <w:jc w:val="center"/>
                      <w:rPr>
                        <w:szCs w:val="21"/>
                      </w:rPr>
                    </w:pPr>
                    <w:r>
                      <w:rPr>
                        <w:szCs w:val="21"/>
                      </w:rPr>
                      <w:t>46,159.04</w:t>
                    </w:r>
                  </w:p>
                </w:tc>
                <w:tc>
                  <w:tcPr>
                    <w:tcW w:w="1226" w:type="dxa"/>
                  </w:tcPr>
                  <w:p w14:paraId="4C8B20C7" w14:textId="77777777" w:rsidR="00D9105E" w:rsidRDefault="00D9105E" w:rsidP="00A0630F">
                    <w:pPr>
                      <w:jc w:val="center"/>
                      <w:rPr>
                        <w:szCs w:val="21"/>
                      </w:rPr>
                    </w:pPr>
                  </w:p>
                </w:tc>
                <w:tc>
                  <w:tcPr>
                    <w:tcW w:w="1226" w:type="dxa"/>
                  </w:tcPr>
                  <w:p w14:paraId="10755F3E" w14:textId="77777777" w:rsidR="00D9105E" w:rsidRDefault="00D9105E" w:rsidP="00A0630F">
                    <w:pPr>
                      <w:jc w:val="center"/>
                      <w:rPr>
                        <w:szCs w:val="21"/>
                      </w:rPr>
                    </w:pPr>
                  </w:p>
                </w:tc>
                <w:tc>
                  <w:tcPr>
                    <w:tcW w:w="1291" w:type="dxa"/>
                  </w:tcPr>
                  <w:p w14:paraId="01D3850D" w14:textId="77777777" w:rsidR="00D9105E" w:rsidRDefault="00D9105E" w:rsidP="00A0630F">
                    <w:pPr>
                      <w:jc w:val="center"/>
                      <w:rPr>
                        <w:szCs w:val="21"/>
                      </w:rPr>
                    </w:pPr>
                  </w:p>
                </w:tc>
                <w:tc>
                  <w:tcPr>
                    <w:tcW w:w="1357" w:type="dxa"/>
                  </w:tcPr>
                  <w:p w14:paraId="2AA3E7B1" w14:textId="77777777" w:rsidR="00D9105E" w:rsidRDefault="00D9105E" w:rsidP="00A0630F">
                    <w:pPr>
                      <w:jc w:val="center"/>
                      <w:rPr>
                        <w:szCs w:val="21"/>
                      </w:rPr>
                    </w:pPr>
                    <w:r>
                      <w:rPr>
                        <w:szCs w:val="21"/>
                      </w:rPr>
                      <w:t>46,159.04</w:t>
                    </w:r>
                  </w:p>
                </w:tc>
              </w:tr>
              <w:tr w:rsidR="00D9105E" w14:paraId="64A225AC" w14:textId="77777777" w:rsidTr="00A0630F">
                <w:tc>
                  <w:tcPr>
                    <w:tcW w:w="1526" w:type="dxa"/>
                  </w:tcPr>
                  <w:p w14:paraId="212FC28E" w14:textId="77777777" w:rsidR="00D9105E" w:rsidRDefault="00D9105E" w:rsidP="00A0630F">
                    <w:pPr>
                      <w:rPr>
                        <w:szCs w:val="21"/>
                      </w:rPr>
                    </w:pPr>
                    <w:r>
                      <w:rPr>
                        <w:rFonts w:hint="eastAsia"/>
                        <w:szCs w:val="21"/>
                      </w:rPr>
                      <w:t>应付票据</w:t>
                    </w:r>
                  </w:p>
                </w:tc>
                <w:tc>
                  <w:tcPr>
                    <w:tcW w:w="2423" w:type="dxa"/>
                  </w:tcPr>
                  <w:p w14:paraId="404785FF" w14:textId="77777777" w:rsidR="00D9105E" w:rsidRDefault="00D9105E" w:rsidP="00A0630F">
                    <w:pPr>
                      <w:jc w:val="center"/>
                      <w:rPr>
                        <w:szCs w:val="21"/>
                      </w:rPr>
                    </w:pPr>
                    <w:r>
                      <w:rPr>
                        <w:szCs w:val="21"/>
                      </w:rPr>
                      <w:t>13,475.20</w:t>
                    </w:r>
                  </w:p>
                </w:tc>
                <w:tc>
                  <w:tcPr>
                    <w:tcW w:w="1226" w:type="dxa"/>
                  </w:tcPr>
                  <w:p w14:paraId="12EC5B43" w14:textId="77777777" w:rsidR="00D9105E" w:rsidRDefault="00D9105E" w:rsidP="00A0630F">
                    <w:pPr>
                      <w:jc w:val="center"/>
                      <w:rPr>
                        <w:szCs w:val="21"/>
                      </w:rPr>
                    </w:pPr>
                  </w:p>
                </w:tc>
                <w:tc>
                  <w:tcPr>
                    <w:tcW w:w="1226" w:type="dxa"/>
                  </w:tcPr>
                  <w:p w14:paraId="1075C1BB" w14:textId="77777777" w:rsidR="00D9105E" w:rsidRDefault="00D9105E" w:rsidP="00A0630F">
                    <w:pPr>
                      <w:jc w:val="center"/>
                      <w:rPr>
                        <w:szCs w:val="21"/>
                      </w:rPr>
                    </w:pPr>
                  </w:p>
                </w:tc>
                <w:tc>
                  <w:tcPr>
                    <w:tcW w:w="1291" w:type="dxa"/>
                  </w:tcPr>
                  <w:p w14:paraId="1095D2BE" w14:textId="77777777" w:rsidR="00D9105E" w:rsidRDefault="00D9105E" w:rsidP="00A0630F">
                    <w:pPr>
                      <w:jc w:val="center"/>
                      <w:rPr>
                        <w:szCs w:val="21"/>
                      </w:rPr>
                    </w:pPr>
                  </w:p>
                </w:tc>
                <w:tc>
                  <w:tcPr>
                    <w:tcW w:w="1357" w:type="dxa"/>
                  </w:tcPr>
                  <w:p w14:paraId="5EC27227" w14:textId="77777777" w:rsidR="00D9105E" w:rsidRDefault="00D9105E" w:rsidP="00A0630F">
                    <w:pPr>
                      <w:jc w:val="center"/>
                      <w:rPr>
                        <w:szCs w:val="21"/>
                      </w:rPr>
                    </w:pPr>
                    <w:r>
                      <w:rPr>
                        <w:szCs w:val="21"/>
                      </w:rPr>
                      <w:t>13,475.20</w:t>
                    </w:r>
                  </w:p>
                </w:tc>
              </w:tr>
              <w:tr w:rsidR="00D9105E" w14:paraId="47C73AA6" w14:textId="77777777" w:rsidTr="00A0630F">
                <w:tc>
                  <w:tcPr>
                    <w:tcW w:w="1526" w:type="dxa"/>
                  </w:tcPr>
                  <w:p w14:paraId="3B8C19B7" w14:textId="77777777" w:rsidR="00D9105E" w:rsidRDefault="00D9105E" w:rsidP="00A0630F">
                    <w:pPr>
                      <w:rPr>
                        <w:szCs w:val="21"/>
                      </w:rPr>
                    </w:pPr>
                    <w:r>
                      <w:rPr>
                        <w:rFonts w:hint="eastAsia"/>
                        <w:szCs w:val="21"/>
                      </w:rPr>
                      <w:t>应付账款</w:t>
                    </w:r>
                  </w:p>
                </w:tc>
                <w:tc>
                  <w:tcPr>
                    <w:tcW w:w="2423" w:type="dxa"/>
                  </w:tcPr>
                  <w:p w14:paraId="08C36058" w14:textId="77777777" w:rsidR="00D9105E" w:rsidRDefault="00D9105E" w:rsidP="00A0630F">
                    <w:pPr>
                      <w:jc w:val="center"/>
                      <w:rPr>
                        <w:szCs w:val="21"/>
                      </w:rPr>
                    </w:pPr>
                    <w:r>
                      <w:t>172,746.98</w:t>
                    </w:r>
                  </w:p>
                </w:tc>
                <w:tc>
                  <w:tcPr>
                    <w:tcW w:w="1226" w:type="dxa"/>
                  </w:tcPr>
                  <w:p w14:paraId="4A53C1CC" w14:textId="77777777" w:rsidR="00D9105E" w:rsidRDefault="00D9105E" w:rsidP="00A0630F">
                    <w:pPr>
                      <w:jc w:val="center"/>
                      <w:rPr>
                        <w:szCs w:val="21"/>
                      </w:rPr>
                    </w:pPr>
                    <w:r>
                      <w:t>33,006.59</w:t>
                    </w:r>
                  </w:p>
                </w:tc>
                <w:tc>
                  <w:tcPr>
                    <w:tcW w:w="1226" w:type="dxa"/>
                  </w:tcPr>
                  <w:p w14:paraId="0A3E80EF" w14:textId="77777777" w:rsidR="00D9105E" w:rsidRDefault="00D9105E" w:rsidP="00A0630F">
                    <w:pPr>
                      <w:jc w:val="center"/>
                      <w:rPr>
                        <w:szCs w:val="21"/>
                      </w:rPr>
                    </w:pPr>
                    <w:r>
                      <w:t>24,041.22</w:t>
                    </w:r>
                  </w:p>
                </w:tc>
                <w:tc>
                  <w:tcPr>
                    <w:tcW w:w="1291" w:type="dxa"/>
                  </w:tcPr>
                  <w:p w14:paraId="1AE511CA" w14:textId="77777777" w:rsidR="00D9105E" w:rsidRDefault="00D9105E" w:rsidP="00A0630F">
                    <w:pPr>
                      <w:jc w:val="center"/>
                      <w:rPr>
                        <w:szCs w:val="21"/>
                      </w:rPr>
                    </w:pPr>
                    <w:r>
                      <w:t>22,733.03</w:t>
                    </w:r>
                  </w:p>
                </w:tc>
                <w:tc>
                  <w:tcPr>
                    <w:tcW w:w="1357" w:type="dxa"/>
                  </w:tcPr>
                  <w:p w14:paraId="60E8385D" w14:textId="77777777" w:rsidR="00D9105E" w:rsidRDefault="00D9105E" w:rsidP="00A0630F">
                    <w:pPr>
                      <w:jc w:val="center"/>
                      <w:rPr>
                        <w:szCs w:val="21"/>
                      </w:rPr>
                    </w:pPr>
                    <w:r>
                      <w:rPr>
                        <w:szCs w:val="21"/>
                      </w:rPr>
                      <w:t>252,527.82</w:t>
                    </w:r>
                  </w:p>
                </w:tc>
              </w:tr>
              <w:tr w:rsidR="00D9105E" w14:paraId="0F1A02DB" w14:textId="77777777" w:rsidTr="00A0630F">
                <w:tc>
                  <w:tcPr>
                    <w:tcW w:w="1526" w:type="dxa"/>
                  </w:tcPr>
                  <w:p w14:paraId="4121DD9A" w14:textId="77777777" w:rsidR="00D9105E" w:rsidRDefault="00D9105E" w:rsidP="00A0630F">
                    <w:pPr>
                      <w:rPr>
                        <w:szCs w:val="21"/>
                      </w:rPr>
                    </w:pPr>
                    <w:r>
                      <w:rPr>
                        <w:rFonts w:hint="eastAsia"/>
                        <w:szCs w:val="21"/>
                      </w:rPr>
                      <w:t>其他应付款</w:t>
                    </w:r>
                  </w:p>
                </w:tc>
                <w:tc>
                  <w:tcPr>
                    <w:tcW w:w="2423" w:type="dxa"/>
                  </w:tcPr>
                  <w:p w14:paraId="4B3F3AFB" w14:textId="77777777" w:rsidR="00D9105E" w:rsidRDefault="00D9105E" w:rsidP="00A0630F">
                    <w:pPr>
                      <w:jc w:val="center"/>
                      <w:rPr>
                        <w:szCs w:val="21"/>
                      </w:rPr>
                    </w:pPr>
                    <w:r>
                      <w:rPr>
                        <w:szCs w:val="21"/>
                      </w:rPr>
                      <w:t>13,629.18</w:t>
                    </w:r>
                  </w:p>
                </w:tc>
                <w:tc>
                  <w:tcPr>
                    <w:tcW w:w="1226" w:type="dxa"/>
                  </w:tcPr>
                  <w:p w14:paraId="53C68773" w14:textId="77777777" w:rsidR="00D9105E" w:rsidRDefault="00D9105E" w:rsidP="00A0630F">
                    <w:pPr>
                      <w:jc w:val="center"/>
                      <w:rPr>
                        <w:szCs w:val="21"/>
                      </w:rPr>
                    </w:pPr>
                  </w:p>
                </w:tc>
                <w:tc>
                  <w:tcPr>
                    <w:tcW w:w="1226" w:type="dxa"/>
                  </w:tcPr>
                  <w:p w14:paraId="02471F92" w14:textId="77777777" w:rsidR="00D9105E" w:rsidRDefault="00D9105E" w:rsidP="00A0630F">
                    <w:pPr>
                      <w:jc w:val="center"/>
                      <w:rPr>
                        <w:szCs w:val="21"/>
                      </w:rPr>
                    </w:pPr>
                  </w:p>
                </w:tc>
                <w:tc>
                  <w:tcPr>
                    <w:tcW w:w="1291" w:type="dxa"/>
                  </w:tcPr>
                  <w:p w14:paraId="7D92E0E1" w14:textId="77777777" w:rsidR="00D9105E" w:rsidRDefault="00D9105E" w:rsidP="00A0630F">
                    <w:pPr>
                      <w:jc w:val="center"/>
                      <w:rPr>
                        <w:szCs w:val="21"/>
                      </w:rPr>
                    </w:pPr>
                  </w:p>
                </w:tc>
                <w:tc>
                  <w:tcPr>
                    <w:tcW w:w="1357" w:type="dxa"/>
                  </w:tcPr>
                  <w:p w14:paraId="06CA0477" w14:textId="77777777" w:rsidR="00D9105E" w:rsidRDefault="00D9105E" w:rsidP="00A0630F">
                    <w:pPr>
                      <w:jc w:val="center"/>
                      <w:rPr>
                        <w:szCs w:val="21"/>
                      </w:rPr>
                    </w:pPr>
                    <w:r>
                      <w:rPr>
                        <w:szCs w:val="21"/>
                      </w:rPr>
                      <w:t>13,629.18</w:t>
                    </w:r>
                  </w:p>
                </w:tc>
              </w:tr>
              <w:tr w:rsidR="00D9105E" w14:paraId="0536DE31" w14:textId="77777777" w:rsidTr="00A0630F">
                <w:tc>
                  <w:tcPr>
                    <w:tcW w:w="1526" w:type="dxa"/>
                  </w:tcPr>
                  <w:p w14:paraId="73EC32D1" w14:textId="77777777" w:rsidR="00D9105E" w:rsidRDefault="00D9105E" w:rsidP="00A0630F">
                    <w:pPr>
                      <w:rPr>
                        <w:szCs w:val="21"/>
                      </w:rPr>
                    </w:pPr>
                    <w:r>
                      <w:rPr>
                        <w:rFonts w:hint="eastAsia"/>
                        <w:szCs w:val="21"/>
                      </w:rPr>
                      <w:t>长期借款</w:t>
                    </w:r>
                  </w:p>
                </w:tc>
                <w:tc>
                  <w:tcPr>
                    <w:tcW w:w="2423" w:type="dxa"/>
                  </w:tcPr>
                  <w:p w14:paraId="47668305" w14:textId="1E019436" w:rsidR="00D9105E" w:rsidRDefault="00522A36" w:rsidP="00A0630F">
                    <w:pPr>
                      <w:jc w:val="center"/>
                      <w:rPr>
                        <w:szCs w:val="21"/>
                      </w:rPr>
                    </w:pPr>
                    <w:r w:rsidRPr="00522A36">
                      <w:rPr>
                        <w:szCs w:val="21"/>
                      </w:rPr>
                      <w:t>6,972.26</w:t>
                    </w:r>
                  </w:p>
                </w:tc>
                <w:tc>
                  <w:tcPr>
                    <w:tcW w:w="1226" w:type="dxa"/>
                  </w:tcPr>
                  <w:p w14:paraId="42BD43D6" w14:textId="3122F861" w:rsidR="00D9105E" w:rsidRDefault="00D9105E" w:rsidP="00A0630F">
                    <w:pPr>
                      <w:jc w:val="center"/>
                      <w:rPr>
                        <w:szCs w:val="21"/>
                      </w:rPr>
                    </w:pPr>
                  </w:p>
                </w:tc>
                <w:tc>
                  <w:tcPr>
                    <w:tcW w:w="1226" w:type="dxa"/>
                  </w:tcPr>
                  <w:p w14:paraId="71E04D98" w14:textId="259F78FB" w:rsidR="00D9105E" w:rsidRDefault="00D9105E" w:rsidP="00A0630F">
                    <w:pPr>
                      <w:jc w:val="center"/>
                      <w:rPr>
                        <w:szCs w:val="21"/>
                      </w:rPr>
                    </w:pPr>
                  </w:p>
                </w:tc>
                <w:tc>
                  <w:tcPr>
                    <w:tcW w:w="1291" w:type="dxa"/>
                  </w:tcPr>
                  <w:p w14:paraId="450DACCA" w14:textId="64671D77" w:rsidR="00D9105E" w:rsidRDefault="00522A36" w:rsidP="00A0630F">
                    <w:pPr>
                      <w:jc w:val="center"/>
                      <w:rPr>
                        <w:szCs w:val="21"/>
                      </w:rPr>
                    </w:pPr>
                    <w:r w:rsidRPr="00522A36">
                      <w:rPr>
                        <w:szCs w:val="21"/>
                      </w:rPr>
                      <w:t>73,580.98</w:t>
                    </w:r>
                  </w:p>
                </w:tc>
                <w:tc>
                  <w:tcPr>
                    <w:tcW w:w="1357" w:type="dxa"/>
                  </w:tcPr>
                  <w:p w14:paraId="38AAA2DE" w14:textId="78E0E1A2" w:rsidR="00D9105E" w:rsidRDefault="00522A36" w:rsidP="00A0630F">
                    <w:pPr>
                      <w:jc w:val="center"/>
                      <w:rPr>
                        <w:szCs w:val="21"/>
                      </w:rPr>
                    </w:pPr>
                    <w:r w:rsidRPr="00522A36">
                      <w:rPr>
                        <w:szCs w:val="21"/>
                      </w:rPr>
                      <w:t>80,553.24</w:t>
                    </w:r>
                  </w:p>
                </w:tc>
              </w:tr>
              <w:tr w:rsidR="00D9105E" w14:paraId="1725EA99" w14:textId="77777777" w:rsidTr="00A0630F">
                <w:tc>
                  <w:tcPr>
                    <w:tcW w:w="1526" w:type="dxa"/>
                  </w:tcPr>
                  <w:p w14:paraId="24F6B27A" w14:textId="77777777" w:rsidR="00D9105E" w:rsidRDefault="00D9105E" w:rsidP="00A0630F">
                    <w:pPr>
                      <w:rPr>
                        <w:szCs w:val="21"/>
                      </w:rPr>
                    </w:pPr>
                    <w:r>
                      <w:rPr>
                        <w:rFonts w:hint="eastAsia"/>
                        <w:szCs w:val="21"/>
                      </w:rPr>
                      <w:t>合计</w:t>
                    </w:r>
                  </w:p>
                </w:tc>
                <w:tc>
                  <w:tcPr>
                    <w:tcW w:w="2423" w:type="dxa"/>
                  </w:tcPr>
                  <w:p w14:paraId="2729C066" w14:textId="21BE43F1" w:rsidR="00D9105E" w:rsidRDefault="00522A36" w:rsidP="00A0630F">
                    <w:pPr>
                      <w:jc w:val="center"/>
                      <w:rPr>
                        <w:szCs w:val="21"/>
                      </w:rPr>
                    </w:pPr>
                    <w:r w:rsidRPr="00522A36">
                      <w:rPr>
                        <w:szCs w:val="21"/>
                      </w:rPr>
                      <w:t>252,982.66</w:t>
                    </w:r>
                  </w:p>
                </w:tc>
                <w:tc>
                  <w:tcPr>
                    <w:tcW w:w="1226" w:type="dxa"/>
                  </w:tcPr>
                  <w:p w14:paraId="07C6C6E0" w14:textId="0F9E92B9" w:rsidR="00D9105E" w:rsidRDefault="00522A36" w:rsidP="00A0630F">
                    <w:pPr>
                      <w:jc w:val="center"/>
                      <w:rPr>
                        <w:szCs w:val="21"/>
                      </w:rPr>
                    </w:pPr>
                    <w:r w:rsidRPr="00522A36">
                      <w:rPr>
                        <w:szCs w:val="21"/>
                      </w:rPr>
                      <w:t>33,006.59</w:t>
                    </w:r>
                  </w:p>
                </w:tc>
                <w:tc>
                  <w:tcPr>
                    <w:tcW w:w="1226" w:type="dxa"/>
                  </w:tcPr>
                  <w:p w14:paraId="6FC82D3B" w14:textId="535C2CF3" w:rsidR="00D9105E" w:rsidRDefault="00522A36" w:rsidP="00A0630F">
                    <w:pPr>
                      <w:jc w:val="center"/>
                      <w:rPr>
                        <w:szCs w:val="21"/>
                      </w:rPr>
                    </w:pPr>
                    <w:r w:rsidRPr="00522A36">
                      <w:rPr>
                        <w:szCs w:val="21"/>
                      </w:rPr>
                      <w:t>24,041.22</w:t>
                    </w:r>
                  </w:p>
                </w:tc>
                <w:tc>
                  <w:tcPr>
                    <w:tcW w:w="1291" w:type="dxa"/>
                  </w:tcPr>
                  <w:p w14:paraId="6D7C1090" w14:textId="0FDA21BD" w:rsidR="00D9105E" w:rsidRDefault="00522A36" w:rsidP="00A0630F">
                    <w:pPr>
                      <w:jc w:val="center"/>
                      <w:rPr>
                        <w:szCs w:val="21"/>
                      </w:rPr>
                    </w:pPr>
                    <w:r w:rsidRPr="00522A36">
                      <w:rPr>
                        <w:szCs w:val="21"/>
                      </w:rPr>
                      <w:t>96,314.01</w:t>
                    </w:r>
                  </w:p>
                </w:tc>
                <w:tc>
                  <w:tcPr>
                    <w:tcW w:w="1357" w:type="dxa"/>
                  </w:tcPr>
                  <w:p w14:paraId="4B946650" w14:textId="6E35C1E0" w:rsidR="00D9105E" w:rsidRDefault="00522A36" w:rsidP="00A0630F">
                    <w:pPr>
                      <w:jc w:val="center"/>
                      <w:rPr>
                        <w:szCs w:val="21"/>
                      </w:rPr>
                    </w:pPr>
                    <w:r w:rsidRPr="00522A36">
                      <w:rPr>
                        <w:szCs w:val="21"/>
                      </w:rPr>
                      <w:t>406,344.48</w:t>
                    </w:r>
                  </w:p>
                </w:tc>
              </w:tr>
            </w:tbl>
            <w:p w14:paraId="24A5B9C3" w14:textId="77777777" w:rsidR="00D9105E" w:rsidRDefault="00D9105E"/>
            <w:p w14:paraId="71FFCB18" w14:textId="77777777" w:rsidR="00830E72" w:rsidRDefault="008344D8">
              <w:pPr>
                <w:ind w:firstLineChars="200" w:firstLine="420"/>
                <w:rPr>
                  <w:szCs w:val="21"/>
                </w:rPr>
              </w:pPr>
              <w:r>
                <w:rPr>
                  <w:szCs w:val="21"/>
                </w:rPr>
                <w:t>3.市场风险</w:t>
              </w:r>
            </w:p>
            <w:p w14:paraId="7D1F43FD" w14:textId="77777777" w:rsidR="00830E72" w:rsidRDefault="008344D8">
              <w:pPr>
                <w:ind w:firstLineChars="200" w:firstLine="420"/>
                <w:rPr>
                  <w:szCs w:val="21"/>
                </w:rPr>
              </w:pPr>
              <w:r>
                <w:rPr>
                  <w:rFonts w:hint="eastAsia"/>
                  <w:szCs w:val="21"/>
                </w:rPr>
                <w:t>（</w:t>
              </w:r>
              <w:r>
                <w:rPr>
                  <w:szCs w:val="21"/>
                </w:rPr>
                <w:t>1）利率风险</w:t>
              </w:r>
            </w:p>
            <w:p w14:paraId="33802CE2" w14:textId="77777777" w:rsidR="00830E72" w:rsidRDefault="008344D8">
              <w:pPr>
                <w:ind w:firstLineChars="200" w:firstLine="420"/>
                <w:rPr>
                  <w:szCs w:val="21"/>
                </w:rPr>
              </w:pPr>
              <w:r>
                <w:rPr>
                  <w:rFonts w:hint="eastAsia"/>
                  <w:szCs w:val="21"/>
                </w:rPr>
                <w:t>本公司的利率风险主要产生于长期银行借款等长期带息债务。浮动利率的金融负债使本公司面临现金流量利率风险，固定利率的金融负债使本公司面临公允价值利率风险。本公司根据当时的市场环境来决定固定利率及浮动利率合同的相对比例。</w:t>
              </w:r>
            </w:p>
            <w:p w14:paraId="5746AA33" w14:textId="77777777" w:rsidR="00830E72" w:rsidRDefault="008344D8">
              <w:pPr>
                <w:ind w:firstLineChars="200" w:firstLine="420"/>
                <w:rPr>
                  <w:szCs w:val="21"/>
                </w:rPr>
              </w:pPr>
              <w:r>
                <w:rPr>
                  <w:rFonts w:hint="eastAsia"/>
                  <w:szCs w:val="21"/>
                </w:rPr>
                <w:lastRenderedPageBreak/>
                <w:t>本公司总部财务部门持续监控集团利率水平。利率上升会增加新增带息债务的成本以及本公司尚未付清的以浮动利率计息的带息债务的利息支出，并对本公司的财务业绩产生重大的不利影响，管理层会依据最新的市场状况及时做出调整。</w:t>
              </w:r>
            </w:p>
            <w:p w14:paraId="4CFC4709" w14:textId="2A27553D" w:rsidR="00830E72" w:rsidRDefault="008344D8">
              <w:pPr>
                <w:ind w:firstLineChars="200" w:firstLine="420"/>
                <w:rPr>
                  <w:szCs w:val="21"/>
                </w:rPr>
              </w:pPr>
              <w:r>
                <w:rPr>
                  <w:rFonts w:hint="eastAsia"/>
                  <w:szCs w:val="21"/>
                </w:rPr>
                <w:t>截止</w:t>
              </w:r>
              <w:r>
                <w:rPr>
                  <w:szCs w:val="21"/>
                </w:rPr>
                <w:t xml:space="preserve"> 202</w:t>
              </w:r>
              <w:r w:rsidR="001B0FA0">
                <w:rPr>
                  <w:szCs w:val="21"/>
                </w:rPr>
                <w:t>1</w:t>
              </w:r>
              <w:r>
                <w:rPr>
                  <w:szCs w:val="21"/>
                </w:rPr>
                <w:t>年</w:t>
              </w:r>
              <w:r w:rsidR="001B0FA0">
                <w:rPr>
                  <w:szCs w:val="21"/>
                </w:rPr>
                <w:t>6</w:t>
              </w:r>
              <w:r>
                <w:rPr>
                  <w:szCs w:val="21"/>
                </w:rPr>
                <w:t>月 3</w:t>
              </w:r>
              <w:r w:rsidR="001B0FA0">
                <w:rPr>
                  <w:szCs w:val="21"/>
                </w:rPr>
                <w:t>0</w:t>
              </w:r>
              <w:r>
                <w:rPr>
                  <w:szCs w:val="21"/>
                </w:rPr>
                <w:t xml:space="preserve"> 日为止期间，在其他风险变量保持不变的情况下，如果以浮动利率计</w:t>
              </w:r>
              <w:r>
                <w:rPr>
                  <w:rFonts w:hint="eastAsia"/>
                  <w:szCs w:val="21"/>
                </w:rPr>
                <w:t>算的借款利率上升或下降</w:t>
              </w:r>
              <w:r>
                <w:rPr>
                  <w:szCs w:val="21"/>
                </w:rPr>
                <w:t xml:space="preserve"> 1%，本公司当年的净利润就会下降或增加</w:t>
              </w:r>
              <w:r>
                <w:rPr>
                  <w:color w:val="FF0000"/>
                  <w:szCs w:val="21"/>
                </w:rPr>
                <w:t xml:space="preserve"> </w:t>
              </w:r>
              <w:r w:rsidR="001B0FA0" w:rsidRPr="001B0FA0">
                <w:rPr>
                  <w:szCs w:val="21"/>
                </w:rPr>
                <w:t>898</w:t>
              </w:r>
              <w:r w:rsidR="001B0FA0">
                <w:rPr>
                  <w:rFonts w:hint="eastAsia"/>
                  <w:szCs w:val="21"/>
                </w:rPr>
                <w:t>.</w:t>
              </w:r>
              <w:r w:rsidR="001B0FA0" w:rsidRPr="001B0FA0">
                <w:rPr>
                  <w:szCs w:val="21"/>
                </w:rPr>
                <w:t>05</w:t>
              </w:r>
              <w:r w:rsidR="001B0FA0">
                <w:rPr>
                  <w:rFonts w:hint="eastAsia"/>
                  <w:szCs w:val="21"/>
                </w:rPr>
                <w:t>万</w:t>
              </w:r>
              <w:r>
                <w:rPr>
                  <w:szCs w:val="21"/>
                </w:rPr>
                <w:t>元。</w:t>
              </w:r>
            </w:p>
          </w:sdtContent>
        </w:sdt>
        <w:p w14:paraId="053DFC50" w14:textId="77777777" w:rsidR="00830E72" w:rsidRDefault="00D44830">
          <w:pPr>
            <w:rPr>
              <w:color w:val="808080"/>
              <w:szCs w:val="21"/>
            </w:rPr>
          </w:pPr>
        </w:p>
      </w:sdtContent>
    </w:sdt>
    <w:p w14:paraId="36054CF3" w14:textId="77777777" w:rsidR="00830E72" w:rsidRDefault="008344D8">
      <w:pPr>
        <w:pStyle w:val="2CharCharChar"/>
        <w:numPr>
          <w:ilvl w:val="0"/>
          <w:numId w:val="32"/>
        </w:numPr>
        <w:ind w:left="422" w:hanging="422"/>
        <w:rPr>
          <w:rFonts w:ascii="宋体" w:hAnsi="宋体"/>
        </w:rPr>
      </w:pPr>
      <w:r>
        <w:rPr>
          <w:rFonts w:ascii="宋体" w:hAnsi="宋体" w:hint="eastAsia"/>
        </w:rPr>
        <w:t>公允价值的披露</w:t>
      </w:r>
    </w:p>
    <w:bookmarkStart w:id="196" w:name="_Hlk10539195" w:displacedByCustomXml="next"/>
    <w:sdt>
      <w:sdtPr>
        <w:rPr>
          <w:rFonts w:ascii="宋体" w:hAnsi="宋体" w:cs="宋体" w:hint="eastAsia"/>
          <w:b w:val="0"/>
          <w:bCs w:val="0"/>
          <w:kern w:val="0"/>
          <w:szCs w:val="24"/>
        </w:rPr>
        <w:alias w:val="模块:以公允价值计量的资产和负债的期末公允价值"/>
        <w:tag w:val="_GBC_b5067cea5bbf475388ac2623e2c669d7"/>
        <w:id w:val="-1548686131"/>
        <w:lock w:val="sdtLocked"/>
        <w:placeholder>
          <w:docPart w:val="GBC22222222222222222222222222222"/>
        </w:placeholder>
      </w:sdtPr>
      <w:sdtEndPr>
        <w:rPr>
          <w:rFonts w:cstheme="minorBidi"/>
          <w:szCs w:val="21"/>
        </w:rPr>
      </w:sdtEndPr>
      <w:sdtContent>
        <w:p w14:paraId="0465CF7C" w14:textId="77777777" w:rsidR="00830E72" w:rsidRDefault="008344D8">
          <w:pPr>
            <w:pStyle w:val="Style99"/>
            <w:numPr>
              <w:ilvl w:val="0"/>
              <w:numId w:val="82"/>
            </w:numPr>
            <w:rPr>
              <w:rFonts w:ascii="宋体" w:hAnsi="宋体"/>
            </w:rPr>
          </w:pPr>
          <w:r>
            <w:rPr>
              <w:rFonts w:ascii="宋体" w:hAnsi="宋体" w:hint="eastAsia"/>
            </w:rPr>
            <w:t>以公允价值计量的资产和负债的期末公允价值</w:t>
          </w:r>
        </w:p>
        <w:sdt>
          <w:sdtPr>
            <w:alias w:val="是否适用：以公允价值计量的资产和负债的期末公允价值[双击切换]"/>
            <w:tag w:val="_GBC_291486261b6a4e8092eea55d961b7664"/>
            <w:id w:val="-674875553"/>
            <w:lock w:val="sdtContentLocked"/>
            <w:placeholder>
              <w:docPart w:val="GBC22222222222222222222222222222"/>
            </w:placeholder>
          </w:sdtPr>
          <w:sdtEndPr/>
          <w:sdtContent>
            <w:p w14:paraId="50D58D48"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B99D6B4" w14:textId="77777777" w:rsidR="00830E72" w:rsidRDefault="008344D8">
          <w:pPr>
            <w:jc w:val="right"/>
          </w:pPr>
          <w:r>
            <w:rPr>
              <w:rFonts w:hint="eastAsia"/>
            </w:rPr>
            <w:t>单位：</w:t>
          </w:r>
          <w:sdt>
            <w:sdtPr>
              <w:rPr>
                <w:rFonts w:hint="eastAsia"/>
              </w:rPr>
              <w:alias w:val="单位：财务附注：以公允价值计量的资产和负债的期末公允价值"/>
              <w:tag w:val="_GBC_4b785696cde44d3f8a4a7d28ab963e38"/>
              <w:id w:val="1859575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15883448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50"/>
            <w:gridCol w:w="1429"/>
            <w:gridCol w:w="1572"/>
            <w:gridCol w:w="1500"/>
            <w:gridCol w:w="1538"/>
          </w:tblGrid>
          <w:tr w:rsidR="00830E72" w14:paraId="69F8738C" w14:textId="77777777">
            <w:trPr>
              <w:trHeight w:val="145"/>
            </w:trPr>
            <w:sdt>
              <w:sdtPr>
                <w:tag w:val="_PLD_25e2bb7801744f08a089c0e6a2b31b9b"/>
                <w:id w:val="672930453"/>
                <w:lock w:val="sdtLocked"/>
              </w:sdtPr>
              <w:sdtEndPr/>
              <w:sdtContent>
                <w:tc>
                  <w:tcPr>
                    <w:tcW w:w="1603" w:type="pct"/>
                    <w:vMerge w:val="restart"/>
                    <w:tcBorders>
                      <w:top w:val="single" w:sz="4" w:space="0" w:color="auto"/>
                      <w:left w:val="single" w:sz="4" w:space="0" w:color="auto"/>
                      <w:right w:val="single" w:sz="4" w:space="0" w:color="auto"/>
                    </w:tcBorders>
                    <w:shd w:val="clear" w:color="auto" w:fill="auto"/>
                    <w:vAlign w:val="center"/>
                  </w:tcPr>
                  <w:p w14:paraId="47CE7F2C" w14:textId="77777777" w:rsidR="00830E72" w:rsidRDefault="008344D8">
                    <w:pPr>
                      <w:jc w:val="center"/>
                      <w:outlineLvl w:val="2"/>
                      <w:rPr>
                        <w:rFonts w:cs="Cambria"/>
                        <w:szCs w:val="21"/>
                      </w:rPr>
                    </w:pPr>
                    <w:r>
                      <w:rPr>
                        <w:rFonts w:cs="Cambria" w:hint="eastAsia"/>
                        <w:szCs w:val="21"/>
                      </w:rPr>
                      <w:t>项目</w:t>
                    </w:r>
                  </w:p>
                </w:tc>
              </w:sdtContent>
            </w:sdt>
            <w:sdt>
              <w:sdtPr>
                <w:tag w:val="_PLD_ad919f08ba5040a28e31328eb66da0bf"/>
                <w:id w:val="-2025697273"/>
                <w:lock w:val="sdtLocked"/>
              </w:sdtPr>
              <w:sdtEndPr/>
              <w:sdtContent>
                <w:tc>
                  <w:tcPr>
                    <w:tcW w:w="339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F19546" w14:textId="77777777" w:rsidR="00830E72" w:rsidRDefault="008344D8">
                    <w:pPr>
                      <w:jc w:val="center"/>
                      <w:outlineLvl w:val="2"/>
                      <w:rPr>
                        <w:rFonts w:cs="Cambria"/>
                        <w:szCs w:val="21"/>
                      </w:rPr>
                    </w:pPr>
                    <w:r>
                      <w:rPr>
                        <w:rFonts w:cs="Cambria" w:hint="eastAsia"/>
                        <w:szCs w:val="21"/>
                      </w:rPr>
                      <w:t>期末公允价值</w:t>
                    </w:r>
                  </w:p>
                </w:tc>
              </w:sdtContent>
            </w:sdt>
          </w:tr>
          <w:tr w:rsidR="00830E72" w14:paraId="096B978E" w14:textId="77777777">
            <w:trPr>
              <w:trHeight w:val="145"/>
            </w:trPr>
            <w:tc>
              <w:tcPr>
                <w:tcW w:w="1603" w:type="pct"/>
                <w:vMerge/>
                <w:tcBorders>
                  <w:left w:val="single" w:sz="4" w:space="0" w:color="auto"/>
                  <w:bottom w:val="single" w:sz="4" w:space="0" w:color="auto"/>
                  <w:right w:val="single" w:sz="4" w:space="0" w:color="auto"/>
                </w:tcBorders>
                <w:shd w:val="clear" w:color="auto" w:fill="auto"/>
                <w:vAlign w:val="center"/>
              </w:tcPr>
              <w:p w14:paraId="7B75A8E2" w14:textId="77777777" w:rsidR="00830E72" w:rsidRDefault="00830E72">
                <w:pPr>
                  <w:jc w:val="center"/>
                  <w:outlineLvl w:val="2"/>
                  <w:rPr>
                    <w:rFonts w:cs="Cambria"/>
                    <w:szCs w:val="21"/>
                  </w:rPr>
                </w:pPr>
              </w:p>
            </w:tc>
            <w:sdt>
              <w:sdtPr>
                <w:tag w:val="_PLD_4bb34c3d92bf450fb80f7c0c95977a2b"/>
                <w:id w:val="1291401690"/>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6BDCDCEF" w14:textId="77777777" w:rsidR="00830E72" w:rsidRDefault="008344D8">
                    <w:pPr>
                      <w:jc w:val="center"/>
                      <w:outlineLvl w:val="2"/>
                      <w:rPr>
                        <w:rFonts w:cs="Cambria"/>
                        <w:szCs w:val="21"/>
                      </w:rPr>
                    </w:pPr>
                    <w:r>
                      <w:rPr>
                        <w:rFonts w:cs="Cambria" w:hint="eastAsia"/>
                        <w:szCs w:val="21"/>
                      </w:rPr>
                      <w:t>第一层次公允价值计量</w:t>
                    </w:r>
                  </w:p>
                </w:tc>
              </w:sdtContent>
            </w:sdt>
            <w:sdt>
              <w:sdtPr>
                <w:tag w:val="_PLD_08753059c9e04a10af2918fbc1559bed"/>
                <w:id w:val="-4980708"/>
                <w:lock w:val="sdtLocked"/>
              </w:sdtPr>
              <w:sdtEndPr/>
              <w:sdtContent>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14:paraId="1314C054" w14:textId="77777777" w:rsidR="00830E72" w:rsidRDefault="008344D8">
                    <w:pPr>
                      <w:jc w:val="center"/>
                      <w:outlineLvl w:val="2"/>
                      <w:rPr>
                        <w:rFonts w:cs="Cambria"/>
                        <w:szCs w:val="21"/>
                      </w:rPr>
                    </w:pPr>
                    <w:r>
                      <w:rPr>
                        <w:rFonts w:cs="Cambria" w:hint="eastAsia"/>
                        <w:szCs w:val="21"/>
                      </w:rPr>
                      <w:t>第二层次公允价值计量</w:t>
                    </w:r>
                  </w:p>
                </w:tc>
              </w:sdtContent>
            </w:sdt>
            <w:sdt>
              <w:sdtPr>
                <w:tag w:val="_PLD_b263de838c9c4afa9fddb6dee6409a62"/>
                <w:id w:val="-898280174"/>
                <w:lock w:val="sdtLocked"/>
              </w:sdtPr>
              <w:sdtEndPr/>
              <w:sdtContent>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1E23019A" w14:textId="77777777" w:rsidR="00830E72" w:rsidRDefault="008344D8">
                    <w:pPr>
                      <w:jc w:val="center"/>
                      <w:outlineLvl w:val="2"/>
                      <w:rPr>
                        <w:rFonts w:cs="Cambria"/>
                        <w:szCs w:val="21"/>
                      </w:rPr>
                    </w:pPr>
                    <w:r>
                      <w:rPr>
                        <w:rFonts w:cs="Cambria" w:hint="eastAsia"/>
                        <w:szCs w:val="21"/>
                      </w:rPr>
                      <w:t>第三层次公允价值计量</w:t>
                    </w:r>
                  </w:p>
                </w:tc>
              </w:sdtContent>
            </w:sdt>
            <w:sdt>
              <w:sdtPr>
                <w:tag w:val="_PLD_50eba344a451417c8072228a7a4959c5"/>
                <w:id w:val="-421802977"/>
                <w:lock w:val="sdtLocked"/>
              </w:sdtPr>
              <w:sdtEndPr/>
              <w:sdtContent>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14:paraId="4001356E" w14:textId="77777777" w:rsidR="00830E72" w:rsidRDefault="008344D8">
                    <w:pPr>
                      <w:jc w:val="center"/>
                      <w:outlineLvl w:val="2"/>
                      <w:rPr>
                        <w:rFonts w:cs="Cambria"/>
                        <w:szCs w:val="21"/>
                      </w:rPr>
                    </w:pPr>
                    <w:r>
                      <w:rPr>
                        <w:rFonts w:cs="Cambria" w:hint="eastAsia"/>
                        <w:szCs w:val="21"/>
                      </w:rPr>
                      <w:t>合计</w:t>
                    </w:r>
                  </w:p>
                </w:tc>
              </w:sdtContent>
            </w:sdt>
          </w:tr>
          <w:tr w:rsidR="00830E72" w14:paraId="76BE8DE6" w14:textId="77777777">
            <w:trPr>
              <w:trHeight w:val="227"/>
            </w:trPr>
            <w:sdt>
              <w:sdtPr>
                <w:tag w:val="_PLD_0df07aa5429843d5898a68994e53f99c"/>
                <w:id w:val="-31113519"/>
                <w:lock w:val="sdtLocked"/>
              </w:sdtPr>
              <w:sdtEndPr/>
              <w:sdtContent>
                <w:tc>
                  <w:tcPr>
                    <w:tcW w:w="1603" w:type="pct"/>
                    <w:tcBorders>
                      <w:top w:val="single" w:sz="4" w:space="0" w:color="auto"/>
                      <w:left w:val="single" w:sz="4" w:space="0" w:color="auto"/>
                      <w:bottom w:val="single" w:sz="4" w:space="0" w:color="auto"/>
                      <w:right w:val="single" w:sz="4" w:space="0" w:color="auto"/>
                    </w:tcBorders>
                    <w:shd w:val="clear" w:color="auto" w:fill="auto"/>
                  </w:tcPr>
                  <w:p w14:paraId="7FA1C6D9" w14:textId="77777777" w:rsidR="00830E72" w:rsidRDefault="008344D8">
                    <w:pPr>
                      <w:outlineLvl w:val="2"/>
                      <w:rPr>
                        <w:rFonts w:cs="Cambria"/>
                        <w:b/>
                        <w:szCs w:val="21"/>
                      </w:rPr>
                    </w:pPr>
                    <w:r>
                      <w:rPr>
                        <w:rFonts w:cs="Cambria" w:hint="eastAsia"/>
                        <w:b/>
                        <w:szCs w:val="21"/>
                      </w:rPr>
                      <w:t>一、持续的公允价值计量</w:t>
                    </w:r>
                  </w:p>
                </w:tc>
              </w:sdtContent>
            </w:sdt>
            <w:tc>
              <w:tcPr>
                <w:tcW w:w="804" w:type="pct"/>
                <w:tcBorders>
                  <w:top w:val="single" w:sz="4" w:space="0" w:color="auto"/>
                  <w:left w:val="single" w:sz="4" w:space="0" w:color="auto"/>
                  <w:bottom w:val="single" w:sz="4" w:space="0" w:color="auto"/>
                  <w:right w:val="single" w:sz="4" w:space="0" w:color="auto"/>
                </w:tcBorders>
              </w:tcPr>
              <w:p w14:paraId="7C566FBC"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1B0977B6"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554230B2" w14:textId="77777777" w:rsidR="00830E72" w:rsidRDefault="00830E72">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6753039D" w14:textId="77777777" w:rsidR="00830E72" w:rsidRDefault="00830E72">
                <w:pPr>
                  <w:jc w:val="right"/>
                  <w:outlineLvl w:val="2"/>
                  <w:rPr>
                    <w:rFonts w:cs="Cambria"/>
                    <w:szCs w:val="21"/>
                  </w:rPr>
                </w:pPr>
              </w:p>
            </w:tc>
          </w:tr>
          <w:tr w:rsidR="00830E72" w14:paraId="27076A88" w14:textId="77777777">
            <w:trPr>
              <w:trHeight w:val="240"/>
            </w:trPr>
            <w:tc>
              <w:tcPr>
                <w:tcW w:w="1603"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8e41e2365fb54f2a8e82acb6d5327c25"/>
                  <w:id w:val="-1425027139"/>
                  <w:lock w:val="sdtLocked"/>
                </w:sdtPr>
                <w:sdtEndPr>
                  <w:rPr>
                    <w:shd w:val="solid" w:color="FFFFFF" w:fill="auto"/>
                  </w:rPr>
                </w:sdtEndPr>
                <w:sdtContent>
                  <w:p w14:paraId="0756B807" w14:textId="77777777" w:rsidR="00830E72" w:rsidRDefault="008344D8">
                    <w:pPr>
                      <w:outlineLvl w:val="2"/>
                    </w:pPr>
                    <w:r>
                      <w:rPr>
                        <w:rFonts w:hint="eastAsia"/>
                      </w:rPr>
                      <w:t>（一）</w:t>
                    </w:r>
                    <w:r>
                      <w:rPr>
                        <w:rFonts w:hint="eastAsia"/>
                        <w:shd w:val="solid" w:color="FFFFFF" w:fill="auto"/>
                      </w:rPr>
                      <w:t>交易性金融资产</w:t>
                    </w:r>
                  </w:p>
                </w:sdtContent>
              </w:sdt>
            </w:tc>
            <w:tc>
              <w:tcPr>
                <w:tcW w:w="804" w:type="pct"/>
                <w:tcBorders>
                  <w:top w:val="single" w:sz="4" w:space="0" w:color="auto"/>
                  <w:left w:val="single" w:sz="4" w:space="0" w:color="auto"/>
                  <w:bottom w:val="single" w:sz="4" w:space="0" w:color="auto"/>
                  <w:right w:val="single" w:sz="4" w:space="0" w:color="auto"/>
                </w:tcBorders>
              </w:tcPr>
              <w:p w14:paraId="24DEA79B"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0CD0AE98"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3CC6A30F" w14:textId="77777777" w:rsidR="00830E72" w:rsidRDefault="00830E72">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2B6A45E0" w14:textId="77777777" w:rsidR="00830E72" w:rsidRDefault="00830E72">
                <w:pPr>
                  <w:jc w:val="right"/>
                  <w:outlineLvl w:val="2"/>
                  <w:rPr>
                    <w:rFonts w:cs="Cambria"/>
                    <w:szCs w:val="21"/>
                  </w:rPr>
                </w:pPr>
              </w:p>
            </w:tc>
          </w:tr>
          <w:tr w:rsidR="00830E72" w14:paraId="75ECB529" w14:textId="77777777">
            <w:trPr>
              <w:trHeight w:val="240"/>
            </w:trPr>
            <w:tc>
              <w:tcPr>
                <w:tcW w:w="1603" w:type="pct"/>
                <w:tcBorders>
                  <w:top w:val="single" w:sz="4" w:space="0" w:color="auto"/>
                  <w:left w:val="single" w:sz="4" w:space="0" w:color="auto"/>
                  <w:bottom w:val="single" w:sz="4" w:space="0" w:color="auto"/>
                  <w:right w:val="single" w:sz="4" w:space="0" w:color="auto"/>
                </w:tcBorders>
                <w:shd w:val="clear" w:color="auto" w:fill="auto"/>
              </w:tcPr>
              <w:sdt>
                <w:sdtPr>
                  <w:tag w:val="_PLD_ec78ce9b24c54617a7a100b54d80834e"/>
                  <w:id w:val="-830590647"/>
                  <w:lock w:val="sdtLocked"/>
                </w:sdtPr>
                <w:sdtEndPr/>
                <w:sdtContent>
                  <w:p w14:paraId="628EBA2C" w14:textId="77777777" w:rsidR="00830E72" w:rsidRDefault="008344D8">
                    <w:pPr>
                      <w:outlineLvl w:val="2"/>
                    </w:pPr>
                    <w:r>
                      <w:t>1.以公允价值计量且变动计入当期损益的金融资产</w:t>
                    </w:r>
                  </w:p>
                </w:sdtContent>
              </w:sdt>
            </w:tc>
            <w:tc>
              <w:tcPr>
                <w:tcW w:w="804" w:type="pct"/>
                <w:tcBorders>
                  <w:top w:val="single" w:sz="4" w:space="0" w:color="auto"/>
                  <w:left w:val="single" w:sz="4" w:space="0" w:color="auto"/>
                  <w:bottom w:val="single" w:sz="4" w:space="0" w:color="auto"/>
                  <w:right w:val="single" w:sz="4" w:space="0" w:color="auto"/>
                </w:tcBorders>
              </w:tcPr>
              <w:p w14:paraId="188910DD"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5D58B0D2"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2E844D85" w14:textId="77777777" w:rsidR="00830E72" w:rsidRDefault="00830E72">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249EAA01" w14:textId="77777777" w:rsidR="00830E72" w:rsidRDefault="00830E72">
                <w:pPr>
                  <w:jc w:val="right"/>
                  <w:outlineLvl w:val="2"/>
                  <w:rPr>
                    <w:rFonts w:cs="Cambria"/>
                    <w:szCs w:val="21"/>
                  </w:rPr>
                </w:pPr>
              </w:p>
            </w:tc>
          </w:tr>
          <w:tr w:rsidR="00830E72" w14:paraId="3AA5A473" w14:textId="77777777">
            <w:trPr>
              <w:trHeight w:val="240"/>
            </w:trPr>
            <w:sdt>
              <w:sdtPr>
                <w:tag w:val="_PLD_1978a795a85148b4b91da91d8626cc66"/>
                <w:id w:val="1498617752"/>
                <w:lock w:val="sdtLocked"/>
              </w:sdtPr>
              <w:sdtEndPr/>
              <w:sdtContent>
                <w:tc>
                  <w:tcPr>
                    <w:tcW w:w="1603" w:type="pct"/>
                    <w:tcBorders>
                      <w:top w:val="single" w:sz="4" w:space="0" w:color="auto"/>
                      <w:left w:val="single" w:sz="4" w:space="0" w:color="auto"/>
                      <w:bottom w:val="single" w:sz="4" w:space="0" w:color="auto"/>
                      <w:right w:val="single" w:sz="4" w:space="0" w:color="auto"/>
                    </w:tcBorders>
                    <w:shd w:val="clear" w:color="auto" w:fill="auto"/>
                  </w:tcPr>
                  <w:p w14:paraId="14EEED11" w14:textId="77777777" w:rsidR="00830E72" w:rsidRDefault="008344D8">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804" w:type="pct"/>
                <w:tcBorders>
                  <w:top w:val="single" w:sz="4" w:space="0" w:color="auto"/>
                  <w:left w:val="single" w:sz="4" w:space="0" w:color="auto"/>
                  <w:bottom w:val="single" w:sz="4" w:space="0" w:color="auto"/>
                  <w:right w:val="single" w:sz="4" w:space="0" w:color="auto"/>
                </w:tcBorders>
              </w:tcPr>
              <w:p w14:paraId="2D0972BA"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5E832355"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67EF64F2" w14:textId="77777777" w:rsidR="00830E72" w:rsidRDefault="00830E72">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6600756C" w14:textId="77777777" w:rsidR="00830E72" w:rsidRDefault="00830E72">
                <w:pPr>
                  <w:jc w:val="right"/>
                  <w:outlineLvl w:val="2"/>
                  <w:rPr>
                    <w:rFonts w:cs="Cambria"/>
                    <w:szCs w:val="21"/>
                  </w:rPr>
                </w:pPr>
              </w:p>
            </w:tc>
          </w:tr>
          <w:tr w:rsidR="00830E72" w14:paraId="05E07AAD" w14:textId="77777777">
            <w:trPr>
              <w:trHeight w:val="240"/>
            </w:trPr>
            <w:sdt>
              <w:sdtPr>
                <w:tag w:val="_PLD_77996810365c481083bed5a411822288"/>
                <w:id w:val="1421684913"/>
                <w:lock w:val="sdtLocked"/>
              </w:sdtPr>
              <w:sdtEndPr/>
              <w:sdtContent>
                <w:tc>
                  <w:tcPr>
                    <w:tcW w:w="1603" w:type="pct"/>
                    <w:tcBorders>
                      <w:top w:val="single" w:sz="4" w:space="0" w:color="auto"/>
                      <w:left w:val="single" w:sz="4" w:space="0" w:color="auto"/>
                      <w:bottom w:val="single" w:sz="4" w:space="0" w:color="auto"/>
                      <w:right w:val="single" w:sz="4" w:space="0" w:color="auto"/>
                    </w:tcBorders>
                    <w:shd w:val="clear" w:color="auto" w:fill="auto"/>
                  </w:tcPr>
                  <w:p w14:paraId="7FA29F0C" w14:textId="77777777" w:rsidR="00830E72" w:rsidRDefault="008344D8">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804" w:type="pct"/>
                <w:tcBorders>
                  <w:top w:val="single" w:sz="4" w:space="0" w:color="auto"/>
                  <w:left w:val="single" w:sz="4" w:space="0" w:color="auto"/>
                  <w:bottom w:val="single" w:sz="4" w:space="0" w:color="auto"/>
                  <w:right w:val="single" w:sz="4" w:space="0" w:color="auto"/>
                </w:tcBorders>
              </w:tcPr>
              <w:p w14:paraId="1CBC964F"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09DF0D6C" w14:textId="77777777" w:rsidR="00830E72" w:rsidRDefault="008344D8">
                <w:pPr>
                  <w:jc w:val="right"/>
                  <w:outlineLvl w:val="2"/>
                  <w:rPr>
                    <w:rFonts w:cs="Cambria"/>
                    <w:szCs w:val="21"/>
                  </w:rPr>
                </w:pPr>
                <w:r>
                  <w:rPr>
                    <w:rFonts w:cs="Cambria"/>
                    <w:szCs w:val="21"/>
                  </w:rPr>
                  <w:t>28,809,590.66</w:t>
                </w:r>
              </w:p>
            </w:tc>
            <w:tc>
              <w:tcPr>
                <w:tcW w:w="844" w:type="pct"/>
                <w:tcBorders>
                  <w:top w:val="single" w:sz="4" w:space="0" w:color="auto"/>
                  <w:left w:val="single" w:sz="4" w:space="0" w:color="auto"/>
                  <w:bottom w:val="single" w:sz="4" w:space="0" w:color="auto"/>
                  <w:right w:val="single" w:sz="4" w:space="0" w:color="auto"/>
                </w:tcBorders>
              </w:tcPr>
              <w:p w14:paraId="4D12AEF7" w14:textId="77777777" w:rsidR="00830E72" w:rsidRDefault="00830E72">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60CF258D" w14:textId="77777777" w:rsidR="00830E72" w:rsidRDefault="008344D8">
                <w:pPr>
                  <w:jc w:val="right"/>
                  <w:outlineLvl w:val="2"/>
                  <w:rPr>
                    <w:rFonts w:cs="Cambria"/>
                    <w:szCs w:val="21"/>
                  </w:rPr>
                </w:pPr>
                <w:r>
                  <w:rPr>
                    <w:rFonts w:cs="Cambria"/>
                    <w:szCs w:val="21"/>
                  </w:rPr>
                  <w:t>28,809,590.66</w:t>
                </w:r>
              </w:p>
            </w:tc>
          </w:tr>
          <w:tr w:rsidR="00830E72" w14:paraId="3BA8F3EE" w14:textId="77777777">
            <w:trPr>
              <w:trHeight w:val="240"/>
            </w:trPr>
            <w:sdt>
              <w:sdtPr>
                <w:tag w:val="_PLD_7417bbdf88f74ca7abe6826af039046b"/>
                <w:id w:val="-1989855299"/>
                <w:lock w:val="sdtLocked"/>
              </w:sdtPr>
              <w:sdtEndPr/>
              <w:sdtContent>
                <w:tc>
                  <w:tcPr>
                    <w:tcW w:w="1603" w:type="pct"/>
                    <w:tcBorders>
                      <w:top w:val="single" w:sz="4" w:space="0" w:color="auto"/>
                      <w:left w:val="single" w:sz="4" w:space="0" w:color="auto"/>
                      <w:bottom w:val="single" w:sz="4" w:space="0" w:color="auto"/>
                      <w:right w:val="single" w:sz="4" w:space="0" w:color="auto"/>
                    </w:tcBorders>
                    <w:shd w:val="clear" w:color="auto" w:fill="auto"/>
                  </w:tcPr>
                  <w:p w14:paraId="0FCEFA45" w14:textId="77777777" w:rsidR="00830E72" w:rsidRDefault="008344D8">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Content>
            </w:sdt>
            <w:tc>
              <w:tcPr>
                <w:tcW w:w="804" w:type="pct"/>
                <w:tcBorders>
                  <w:top w:val="single" w:sz="4" w:space="0" w:color="auto"/>
                  <w:left w:val="single" w:sz="4" w:space="0" w:color="auto"/>
                  <w:bottom w:val="single" w:sz="4" w:space="0" w:color="auto"/>
                  <w:right w:val="single" w:sz="4" w:space="0" w:color="auto"/>
                </w:tcBorders>
              </w:tcPr>
              <w:p w14:paraId="1263DE1E"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1C4CEF74"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4E8B04B7" w14:textId="77777777" w:rsidR="00830E72" w:rsidRDefault="00830E72">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4640B693" w14:textId="77777777" w:rsidR="00830E72" w:rsidRDefault="00830E72">
                <w:pPr>
                  <w:jc w:val="right"/>
                  <w:outlineLvl w:val="2"/>
                  <w:rPr>
                    <w:rFonts w:cs="Cambria"/>
                    <w:szCs w:val="21"/>
                  </w:rPr>
                </w:pPr>
              </w:p>
            </w:tc>
          </w:tr>
          <w:tr w:rsidR="00830E72" w14:paraId="38AEFDFA" w14:textId="77777777">
            <w:trPr>
              <w:trHeight w:val="524"/>
            </w:trPr>
            <w:tc>
              <w:tcPr>
                <w:tcW w:w="1603"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8f2dd6e8cd7d4b6f8a25ea84b5be71b1"/>
                  <w:id w:val="-357589795"/>
                  <w:lock w:val="sdtLocked"/>
                </w:sdtPr>
                <w:sdtEndPr>
                  <w:rPr>
                    <w:rFonts w:hint="eastAsia"/>
                  </w:rPr>
                </w:sdtEndPr>
                <w:sdtContent>
                  <w:p w14:paraId="5BA2B2B9" w14:textId="77777777" w:rsidR="00830E72" w:rsidRDefault="008344D8">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sdtContent>
              </w:sdt>
            </w:tc>
            <w:tc>
              <w:tcPr>
                <w:tcW w:w="804" w:type="pct"/>
                <w:tcBorders>
                  <w:top w:val="single" w:sz="4" w:space="0" w:color="auto"/>
                  <w:left w:val="single" w:sz="4" w:space="0" w:color="auto"/>
                  <w:bottom w:val="single" w:sz="4" w:space="0" w:color="auto"/>
                  <w:right w:val="single" w:sz="4" w:space="0" w:color="auto"/>
                </w:tcBorders>
              </w:tcPr>
              <w:p w14:paraId="0BAF4511"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5DF95931"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41DF9999" w14:textId="77777777" w:rsidR="00830E72" w:rsidRDefault="00830E72">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3A145288" w14:textId="77777777" w:rsidR="00830E72" w:rsidRDefault="00830E72">
                <w:pPr>
                  <w:jc w:val="right"/>
                  <w:outlineLvl w:val="2"/>
                  <w:rPr>
                    <w:rFonts w:cs="Cambria"/>
                    <w:szCs w:val="21"/>
                  </w:rPr>
                </w:pPr>
              </w:p>
            </w:tc>
          </w:tr>
          <w:tr w:rsidR="00830E72" w14:paraId="340BEC7E" w14:textId="77777777">
            <w:trPr>
              <w:trHeight w:val="240"/>
            </w:trPr>
            <w:sdt>
              <w:sdtPr>
                <w:tag w:val="_PLD_bd6d0cf9e96e4bebb25f8dcdf55d029f"/>
                <w:id w:val="-1963802139"/>
                <w:lock w:val="sdtLocked"/>
              </w:sdtPr>
              <w:sdtEndPr/>
              <w:sdtContent>
                <w:tc>
                  <w:tcPr>
                    <w:tcW w:w="1603" w:type="pct"/>
                    <w:tcBorders>
                      <w:top w:val="single" w:sz="4" w:space="0" w:color="auto"/>
                      <w:left w:val="single" w:sz="4" w:space="0" w:color="auto"/>
                      <w:bottom w:val="single" w:sz="4" w:space="0" w:color="auto"/>
                      <w:right w:val="single" w:sz="4" w:space="0" w:color="auto"/>
                    </w:tcBorders>
                    <w:shd w:val="clear" w:color="auto" w:fill="auto"/>
                  </w:tcPr>
                  <w:p w14:paraId="2C52401B" w14:textId="77777777" w:rsidR="00830E72" w:rsidRDefault="008344D8">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804" w:type="pct"/>
                <w:tcBorders>
                  <w:top w:val="single" w:sz="4" w:space="0" w:color="auto"/>
                  <w:left w:val="single" w:sz="4" w:space="0" w:color="auto"/>
                  <w:bottom w:val="single" w:sz="4" w:space="0" w:color="auto"/>
                  <w:right w:val="single" w:sz="4" w:space="0" w:color="auto"/>
                </w:tcBorders>
              </w:tcPr>
              <w:p w14:paraId="6A720EF1"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34B42A2A"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7EC25556" w14:textId="77777777" w:rsidR="00830E72" w:rsidRDefault="00830E72">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0050BA69" w14:textId="77777777" w:rsidR="00830E72" w:rsidRDefault="00830E72">
                <w:pPr>
                  <w:jc w:val="right"/>
                  <w:outlineLvl w:val="2"/>
                  <w:rPr>
                    <w:rFonts w:cs="Cambria"/>
                    <w:szCs w:val="21"/>
                  </w:rPr>
                </w:pPr>
              </w:p>
            </w:tc>
          </w:tr>
          <w:tr w:rsidR="00830E72" w14:paraId="71B13C0F" w14:textId="77777777">
            <w:trPr>
              <w:trHeight w:val="240"/>
            </w:trPr>
            <w:sdt>
              <w:sdtPr>
                <w:tag w:val="_PLD_9cde8bbc3a5e4a2a8e2cc318e0a0d8d4"/>
                <w:id w:val="1888285143"/>
                <w:lock w:val="sdtLocked"/>
              </w:sdtPr>
              <w:sdtEndPr/>
              <w:sdtContent>
                <w:tc>
                  <w:tcPr>
                    <w:tcW w:w="1603" w:type="pct"/>
                    <w:tcBorders>
                      <w:top w:val="single" w:sz="4" w:space="0" w:color="auto"/>
                      <w:left w:val="single" w:sz="4" w:space="0" w:color="auto"/>
                      <w:bottom w:val="single" w:sz="4" w:space="0" w:color="auto"/>
                      <w:right w:val="single" w:sz="4" w:space="0" w:color="auto"/>
                    </w:tcBorders>
                    <w:shd w:val="clear" w:color="auto" w:fill="auto"/>
                  </w:tcPr>
                  <w:p w14:paraId="487C66E8" w14:textId="77777777" w:rsidR="00830E72" w:rsidRDefault="008344D8">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804" w:type="pct"/>
                <w:tcBorders>
                  <w:top w:val="single" w:sz="4" w:space="0" w:color="auto"/>
                  <w:left w:val="single" w:sz="4" w:space="0" w:color="auto"/>
                  <w:bottom w:val="single" w:sz="4" w:space="0" w:color="auto"/>
                  <w:right w:val="single" w:sz="4" w:space="0" w:color="auto"/>
                </w:tcBorders>
              </w:tcPr>
              <w:p w14:paraId="67849EEE"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65D209B1"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45CAC775" w14:textId="77777777" w:rsidR="00830E72" w:rsidRDefault="008344D8">
                <w:pPr>
                  <w:jc w:val="right"/>
                  <w:outlineLvl w:val="2"/>
                  <w:rPr>
                    <w:rFonts w:cs="Cambria"/>
                    <w:szCs w:val="21"/>
                  </w:rPr>
                </w:pPr>
                <w:r>
                  <w:rPr>
                    <w:rFonts w:cs="Cambria"/>
                    <w:szCs w:val="21"/>
                  </w:rPr>
                  <w:t>75,453,157.25</w:t>
                </w:r>
              </w:p>
            </w:tc>
            <w:tc>
              <w:tcPr>
                <w:tcW w:w="865" w:type="pct"/>
                <w:tcBorders>
                  <w:top w:val="single" w:sz="4" w:space="0" w:color="auto"/>
                  <w:left w:val="single" w:sz="4" w:space="0" w:color="auto"/>
                  <w:bottom w:val="single" w:sz="4" w:space="0" w:color="auto"/>
                  <w:right w:val="single" w:sz="4" w:space="0" w:color="auto"/>
                </w:tcBorders>
              </w:tcPr>
              <w:p w14:paraId="0F52AC86" w14:textId="77777777" w:rsidR="00830E72" w:rsidRDefault="008344D8">
                <w:pPr>
                  <w:jc w:val="right"/>
                  <w:outlineLvl w:val="2"/>
                  <w:rPr>
                    <w:rFonts w:cs="Cambria"/>
                    <w:szCs w:val="21"/>
                  </w:rPr>
                </w:pPr>
                <w:r>
                  <w:rPr>
                    <w:rFonts w:cs="Cambria"/>
                    <w:szCs w:val="21"/>
                  </w:rPr>
                  <w:t>75,453,157.25</w:t>
                </w:r>
              </w:p>
            </w:tc>
          </w:tr>
          <w:tr w:rsidR="00830E72" w14:paraId="36CBCE36" w14:textId="77777777">
            <w:trPr>
              <w:trHeight w:val="240"/>
            </w:trPr>
            <w:tc>
              <w:tcPr>
                <w:tcW w:w="1603"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0ef7eb1654ce4d2395b91be52c1c05a7"/>
                  <w:id w:val="-1143346885"/>
                  <w:lock w:val="sdtLocked"/>
                </w:sdtPr>
                <w:sdtEndPr>
                  <w:rPr>
                    <w:shd w:val="solid" w:color="FFFFFF" w:fill="auto"/>
                  </w:rPr>
                </w:sdtEndPr>
                <w:sdtContent>
                  <w:p w14:paraId="375A122C" w14:textId="77777777" w:rsidR="00830E72" w:rsidRDefault="008344D8">
                    <w:pPr>
                      <w:outlineLvl w:val="2"/>
                    </w:pPr>
                    <w:r>
                      <w:rPr>
                        <w:rFonts w:hint="eastAsia"/>
                      </w:rPr>
                      <w:t>（二）</w:t>
                    </w:r>
                    <w:r>
                      <w:rPr>
                        <w:rFonts w:hint="eastAsia"/>
                        <w:shd w:val="solid" w:color="FFFFFF" w:fill="auto"/>
                      </w:rPr>
                      <w:t>其他债权投资</w:t>
                    </w:r>
                  </w:p>
                </w:sdtContent>
              </w:sdt>
            </w:tc>
            <w:tc>
              <w:tcPr>
                <w:tcW w:w="804" w:type="pct"/>
                <w:tcBorders>
                  <w:top w:val="single" w:sz="4" w:space="0" w:color="auto"/>
                  <w:left w:val="single" w:sz="4" w:space="0" w:color="auto"/>
                  <w:bottom w:val="single" w:sz="4" w:space="0" w:color="auto"/>
                  <w:right w:val="single" w:sz="4" w:space="0" w:color="auto"/>
                </w:tcBorders>
              </w:tcPr>
              <w:p w14:paraId="1577EC3E"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34AEBA3A"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2E2B0349" w14:textId="77777777" w:rsidR="00830E72" w:rsidRDefault="00830E72">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4329D48C" w14:textId="77777777" w:rsidR="00830E72" w:rsidRDefault="00830E72">
                <w:pPr>
                  <w:jc w:val="right"/>
                  <w:outlineLvl w:val="2"/>
                  <w:rPr>
                    <w:rFonts w:cs="Cambria"/>
                    <w:szCs w:val="21"/>
                  </w:rPr>
                </w:pPr>
              </w:p>
            </w:tc>
          </w:tr>
          <w:tr w:rsidR="00830E72" w14:paraId="0F728C41" w14:textId="77777777">
            <w:trPr>
              <w:trHeight w:val="240"/>
            </w:trPr>
            <w:tc>
              <w:tcPr>
                <w:tcW w:w="1603"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26c080e935a648bda25a9c513fb13567"/>
                  <w:id w:val="864254824"/>
                  <w:lock w:val="sdtLocked"/>
                </w:sdtPr>
                <w:sdtEndPr>
                  <w:rPr>
                    <w:shd w:val="solid" w:color="FFFFFF" w:fill="auto"/>
                  </w:rPr>
                </w:sdtEndPr>
                <w:sdtContent>
                  <w:p w14:paraId="43B2AECE" w14:textId="77777777" w:rsidR="00830E72" w:rsidRDefault="008344D8">
                    <w:pPr>
                      <w:outlineLvl w:val="2"/>
                    </w:pPr>
                    <w:r>
                      <w:rPr>
                        <w:rFonts w:hint="eastAsia"/>
                      </w:rPr>
                      <w:t>（三）</w:t>
                    </w:r>
                    <w:r>
                      <w:rPr>
                        <w:rFonts w:hint="eastAsia"/>
                        <w:shd w:val="solid" w:color="FFFFFF" w:fill="auto"/>
                      </w:rPr>
                      <w:t>其他权益工具投资</w:t>
                    </w:r>
                  </w:p>
                </w:sdtContent>
              </w:sdt>
            </w:tc>
            <w:tc>
              <w:tcPr>
                <w:tcW w:w="804" w:type="pct"/>
                <w:tcBorders>
                  <w:top w:val="single" w:sz="4" w:space="0" w:color="auto"/>
                  <w:left w:val="single" w:sz="4" w:space="0" w:color="auto"/>
                  <w:bottom w:val="single" w:sz="4" w:space="0" w:color="auto"/>
                  <w:right w:val="single" w:sz="4" w:space="0" w:color="auto"/>
                </w:tcBorders>
              </w:tcPr>
              <w:p w14:paraId="38E8EFBA"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5B4172B5"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78DA762C" w14:textId="77777777" w:rsidR="00830E72" w:rsidRDefault="00830E72">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6FF46FD1" w14:textId="77777777" w:rsidR="00830E72" w:rsidRDefault="00830E72">
                <w:pPr>
                  <w:jc w:val="right"/>
                  <w:outlineLvl w:val="2"/>
                  <w:rPr>
                    <w:rFonts w:cs="Cambria"/>
                    <w:szCs w:val="21"/>
                  </w:rPr>
                </w:pPr>
              </w:p>
            </w:tc>
          </w:tr>
          <w:tr w:rsidR="00830E72" w14:paraId="021888FE" w14:textId="77777777">
            <w:trPr>
              <w:trHeight w:val="240"/>
            </w:trPr>
            <w:tc>
              <w:tcPr>
                <w:tcW w:w="1603"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e521af2dbeb842efa65b7582d9470c19"/>
                  <w:id w:val="-1619529171"/>
                  <w:lock w:val="sdtLocked"/>
                </w:sdtPr>
                <w:sdtEndPr>
                  <w:rPr>
                    <w:shd w:val="solid" w:color="FFFFFF" w:fill="auto"/>
                  </w:rPr>
                </w:sdtEndPr>
                <w:sdtContent>
                  <w:p w14:paraId="387B5FAC" w14:textId="77777777" w:rsidR="00830E72" w:rsidRDefault="008344D8">
                    <w:pPr>
                      <w:outlineLvl w:val="2"/>
                      <w:rPr>
                        <w:rFonts w:cs="Cambria"/>
                        <w:szCs w:val="21"/>
                      </w:rPr>
                    </w:pPr>
                    <w:r>
                      <w:rPr>
                        <w:rFonts w:cs="Cambria" w:hint="eastAsia"/>
                        <w:szCs w:val="21"/>
                      </w:rPr>
                      <w:t>（四）</w:t>
                    </w:r>
                    <w:r>
                      <w:rPr>
                        <w:rFonts w:cs="Cambria" w:hint="eastAsia"/>
                        <w:szCs w:val="21"/>
                        <w:shd w:val="solid" w:color="FFFFFF" w:fill="auto"/>
                      </w:rPr>
                      <w:t>投资性房地产</w:t>
                    </w:r>
                  </w:p>
                </w:sdtContent>
              </w:sdt>
            </w:tc>
            <w:tc>
              <w:tcPr>
                <w:tcW w:w="804" w:type="pct"/>
                <w:tcBorders>
                  <w:top w:val="single" w:sz="4" w:space="0" w:color="auto"/>
                  <w:left w:val="single" w:sz="4" w:space="0" w:color="auto"/>
                  <w:bottom w:val="single" w:sz="4" w:space="0" w:color="auto"/>
                  <w:right w:val="single" w:sz="4" w:space="0" w:color="auto"/>
                </w:tcBorders>
              </w:tcPr>
              <w:p w14:paraId="70121CF4"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01EDA3D2"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14B2676A" w14:textId="77777777" w:rsidR="00830E72" w:rsidRDefault="00830E72">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1B3602DD" w14:textId="77777777" w:rsidR="00830E72" w:rsidRDefault="00830E72">
                <w:pPr>
                  <w:jc w:val="right"/>
                  <w:outlineLvl w:val="2"/>
                  <w:rPr>
                    <w:rFonts w:cs="Cambria"/>
                    <w:szCs w:val="21"/>
                  </w:rPr>
                </w:pPr>
              </w:p>
            </w:tc>
          </w:tr>
          <w:tr w:rsidR="00830E72" w14:paraId="7FB88DF4" w14:textId="77777777">
            <w:trPr>
              <w:trHeight w:val="240"/>
            </w:trPr>
            <w:sdt>
              <w:sdtPr>
                <w:tag w:val="_PLD_57edf64645394a44a2d92d5afc4d538a"/>
                <w:id w:val="-22633334"/>
                <w:lock w:val="sdtLocked"/>
              </w:sdtPr>
              <w:sdtEndPr/>
              <w:sdtContent>
                <w:tc>
                  <w:tcPr>
                    <w:tcW w:w="1603" w:type="pct"/>
                    <w:tcBorders>
                      <w:top w:val="single" w:sz="4" w:space="0" w:color="auto"/>
                      <w:left w:val="single" w:sz="4" w:space="0" w:color="auto"/>
                      <w:bottom w:val="single" w:sz="4" w:space="0" w:color="auto"/>
                      <w:right w:val="single" w:sz="4" w:space="0" w:color="auto"/>
                    </w:tcBorders>
                    <w:shd w:val="clear" w:color="auto" w:fill="auto"/>
                  </w:tcPr>
                  <w:p w14:paraId="024C2E4D" w14:textId="77777777" w:rsidR="00830E72" w:rsidRDefault="008344D8">
                    <w:pPr>
                      <w:outlineLvl w:val="2"/>
                      <w:rPr>
                        <w:rFonts w:cs="Cambria"/>
                        <w:szCs w:val="21"/>
                      </w:rPr>
                    </w:pPr>
                    <w:r>
                      <w:rPr>
                        <w:rFonts w:cs="Cambria"/>
                        <w:szCs w:val="21"/>
                      </w:rPr>
                      <w:t>1.</w:t>
                    </w:r>
                    <w:r>
                      <w:rPr>
                        <w:rFonts w:cs="Cambria" w:hint="eastAsia"/>
                        <w:szCs w:val="21"/>
                      </w:rPr>
                      <w:t>出租用的土地使用权</w:t>
                    </w:r>
                  </w:p>
                </w:tc>
              </w:sdtContent>
            </w:sdt>
            <w:tc>
              <w:tcPr>
                <w:tcW w:w="804" w:type="pct"/>
                <w:tcBorders>
                  <w:top w:val="single" w:sz="4" w:space="0" w:color="auto"/>
                  <w:left w:val="single" w:sz="4" w:space="0" w:color="auto"/>
                  <w:bottom w:val="single" w:sz="4" w:space="0" w:color="auto"/>
                  <w:right w:val="single" w:sz="4" w:space="0" w:color="auto"/>
                </w:tcBorders>
              </w:tcPr>
              <w:p w14:paraId="3F98F207"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6989CDE7"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66AD0788" w14:textId="77777777" w:rsidR="00830E72" w:rsidRDefault="00830E72">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1706ECD6" w14:textId="77777777" w:rsidR="00830E72" w:rsidRDefault="00830E72">
                <w:pPr>
                  <w:jc w:val="right"/>
                  <w:outlineLvl w:val="2"/>
                  <w:rPr>
                    <w:rFonts w:cs="Cambria"/>
                    <w:szCs w:val="21"/>
                  </w:rPr>
                </w:pPr>
              </w:p>
            </w:tc>
          </w:tr>
          <w:tr w:rsidR="00830E72" w14:paraId="0BB4C0FA" w14:textId="77777777">
            <w:trPr>
              <w:trHeight w:val="240"/>
            </w:trPr>
            <w:sdt>
              <w:sdtPr>
                <w:tag w:val="_PLD_6d74812087eb4d618df7ab958a1a93e7"/>
                <w:id w:val="-2132087627"/>
                <w:lock w:val="sdtLocked"/>
              </w:sdtPr>
              <w:sdtEndPr/>
              <w:sdtContent>
                <w:tc>
                  <w:tcPr>
                    <w:tcW w:w="1603" w:type="pct"/>
                    <w:tcBorders>
                      <w:top w:val="single" w:sz="4" w:space="0" w:color="auto"/>
                      <w:left w:val="single" w:sz="4" w:space="0" w:color="auto"/>
                      <w:bottom w:val="single" w:sz="4" w:space="0" w:color="auto"/>
                      <w:right w:val="single" w:sz="4" w:space="0" w:color="auto"/>
                    </w:tcBorders>
                    <w:shd w:val="clear" w:color="auto" w:fill="auto"/>
                  </w:tcPr>
                  <w:p w14:paraId="662ABD07" w14:textId="77777777" w:rsidR="00830E72" w:rsidRDefault="008344D8">
                    <w:pPr>
                      <w:outlineLvl w:val="2"/>
                      <w:rPr>
                        <w:rFonts w:cs="Cambria"/>
                        <w:szCs w:val="21"/>
                      </w:rPr>
                    </w:pPr>
                    <w:r>
                      <w:rPr>
                        <w:rFonts w:cs="Cambria"/>
                        <w:szCs w:val="21"/>
                      </w:rPr>
                      <w:t>2.</w:t>
                    </w:r>
                    <w:r>
                      <w:rPr>
                        <w:rFonts w:cs="Cambria" w:hint="eastAsia"/>
                        <w:szCs w:val="21"/>
                      </w:rPr>
                      <w:t>出租的建筑物</w:t>
                    </w:r>
                  </w:p>
                </w:tc>
              </w:sdtContent>
            </w:sdt>
            <w:tc>
              <w:tcPr>
                <w:tcW w:w="804" w:type="pct"/>
                <w:tcBorders>
                  <w:top w:val="single" w:sz="4" w:space="0" w:color="auto"/>
                  <w:left w:val="single" w:sz="4" w:space="0" w:color="auto"/>
                  <w:bottom w:val="single" w:sz="4" w:space="0" w:color="auto"/>
                  <w:right w:val="single" w:sz="4" w:space="0" w:color="auto"/>
                </w:tcBorders>
              </w:tcPr>
              <w:p w14:paraId="10A2AB42"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4B90C42A"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0BC25A26" w14:textId="77777777" w:rsidR="00830E72" w:rsidRDefault="00830E72">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3A0923F2" w14:textId="77777777" w:rsidR="00830E72" w:rsidRDefault="00830E72">
                <w:pPr>
                  <w:jc w:val="right"/>
                  <w:outlineLvl w:val="2"/>
                  <w:rPr>
                    <w:rFonts w:cs="Cambria"/>
                    <w:szCs w:val="21"/>
                  </w:rPr>
                </w:pPr>
              </w:p>
            </w:tc>
          </w:tr>
          <w:tr w:rsidR="00830E72" w14:paraId="24377652" w14:textId="77777777">
            <w:trPr>
              <w:trHeight w:val="468"/>
            </w:trPr>
            <w:sdt>
              <w:sdtPr>
                <w:tag w:val="_PLD_cd8170692aa8491292e4c34925248dd8"/>
                <w:id w:val="539179631"/>
                <w:lock w:val="sdtLocked"/>
              </w:sdtPr>
              <w:sdtEndPr/>
              <w:sdtContent>
                <w:tc>
                  <w:tcPr>
                    <w:tcW w:w="1603" w:type="pct"/>
                    <w:tcBorders>
                      <w:top w:val="single" w:sz="4" w:space="0" w:color="auto"/>
                      <w:left w:val="single" w:sz="4" w:space="0" w:color="auto"/>
                      <w:bottom w:val="single" w:sz="4" w:space="0" w:color="auto"/>
                      <w:right w:val="single" w:sz="4" w:space="0" w:color="auto"/>
                    </w:tcBorders>
                    <w:shd w:val="clear" w:color="auto" w:fill="auto"/>
                  </w:tcPr>
                  <w:p w14:paraId="305BE3EE" w14:textId="77777777" w:rsidR="00830E72" w:rsidRDefault="008344D8">
                    <w:pPr>
                      <w:outlineLvl w:val="2"/>
                      <w:rPr>
                        <w:rFonts w:cs="Cambria"/>
                        <w:szCs w:val="21"/>
                      </w:rPr>
                    </w:pPr>
                    <w:r>
                      <w:rPr>
                        <w:rFonts w:cs="Cambria"/>
                        <w:szCs w:val="21"/>
                      </w:rPr>
                      <w:t>3.</w:t>
                    </w:r>
                    <w:r>
                      <w:rPr>
                        <w:rFonts w:cs="Cambria" w:hint="eastAsia"/>
                        <w:szCs w:val="21"/>
                      </w:rPr>
                      <w:t>持有并准备增值后转让的土地使用权</w:t>
                    </w:r>
                  </w:p>
                </w:tc>
              </w:sdtContent>
            </w:sdt>
            <w:tc>
              <w:tcPr>
                <w:tcW w:w="804" w:type="pct"/>
                <w:tcBorders>
                  <w:top w:val="single" w:sz="4" w:space="0" w:color="auto"/>
                  <w:left w:val="single" w:sz="4" w:space="0" w:color="auto"/>
                  <w:bottom w:val="single" w:sz="4" w:space="0" w:color="auto"/>
                  <w:right w:val="single" w:sz="4" w:space="0" w:color="auto"/>
                </w:tcBorders>
              </w:tcPr>
              <w:p w14:paraId="5043E246"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574C75D7"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2B518DDA" w14:textId="77777777" w:rsidR="00830E72" w:rsidRDefault="00830E72">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72BBA861" w14:textId="77777777" w:rsidR="00830E72" w:rsidRDefault="00830E72">
                <w:pPr>
                  <w:jc w:val="right"/>
                  <w:outlineLvl w:val="2"/>
                  <w:rPr>
                    <w:rFonts w:cs="Cambria"/>
                    <w:szCs w:val="21"/>
                  </w:rPr>
                </w:pPr>
              </w:p>
            </w:tc>
          </w:tr>
          <w:tr w:rsidR="00830E72" w14:paraId="342F9746" w14:textId="77777777">
            <w:trPr>
              <w:trHeight w:val="240"/>
            </w:trPr>
            <w:tc>
              <w:tcPr>
                <w:tcW w:w="1603"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17df5add0fe54a5e960e67a648bdf930"/>
                  <w:id w:val="950823334"/>
                  <w:lock w:val="sdtLocked"/>
                </w:sdtPr>
                <w:sdtEndPr>
                  <w:rPr>
                    <w:shd w:val="solid" w:color="FFFFFF" w:fill="auto"/>
                  </w:rPr>
                </w:sdtEndPr>
                <w:sdtContent>
                  <w:p w14:paraId="7EC2DC9C" w14:textId="77777777" w:rsidR="00830E72" w:rsidRDefault="008344D8">
                    <w:pPr>
                      <w:outlineLvl w:val="2"/>
                      <w:rPr>
                        <w:rFonts w:cs="Cambria"/>
                        <w:szCs w:val="21"/>
                      </w:rPr>
                    </w:pPr>
                    <w:r>
                      <w:rPr>
                        <w:rFonts w:cs="Cambria" w:hint="eastAsia"/>
                        <w:szCs w:val="21"/>
                      </w:rPr>
                      <w:t>（五）</w:t>
                    </w:r>
                    <w:r>
                      <w:rPr>
                        <w:rFonts w:cs="Cambria" w:hint="eastAsia"/>
                        <w:szCs w:val="21"/>
                        <w:shd w:val="solid" w:color="FFFFFF" w:fill="auto"/>
                      </w:rPr>
                      <w:t>生物资产</w:t>
                    </w:r>
                  </w:p>
                </w:sdtContent>
              </w:sdt>
            </w:tc>
            <w:tc>
              <w:tcPr>
                <w:tcW w:w="804" w:type="pct"/>
                <w:tcBorders>
                  <w:top w:val="single" w:sz="4" w:space="0" w:color="auto"/>
                  <w:left w:val="single" w:sz="4" w:space="0" w:color="auto"/>
                  <w:bottom w:val="single" w:sz="4" w:space="0" w:color="auto"/>
                  <w:right w:val="single" w:sz="4" w:space="0" w:color="auto"/>
                </w:tcBorders>
              </w:tcPr>
              <w:p w14:paraId="14964F0D"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65635B4B"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2FB24794" w14:textId="77777777" w:rsidR="00830E72" w:rsidRDefault="00830E72">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6570D1DA" w14:textId="77777777" w:rsidR="00830E72" w:rsidRDefault="00830E72">
                <w:pPr>
                  <w:jc w:val="right"/>
                  <w:outlineLvl w:val="2"/>
                  <w:rPr>
                    <w:rFonts w:cs="Cambria"/>
                    <w:szCs w:val="21"/>
                  </w:rPr>
                </w:pPr>
              </w:p>
            </w:tc>
          </w:tr>
          <w:tr w:rsidR="00830E72" w14:paraId="2F1287E4" w14:textId="77777777">
            <w:trPr>
              <w:trHeight w:val="240"/>
            </w:trPr>
            <w:sdt>
              <w:sdtPr>
                <w:tag w:val="_PLD_a56923a5772c443c8378f09a59e35325"/>
                <w:id w:val="310842031"/>
                <w:lock w:val="sdtLocked"/>
              </w:sdtPr>
              <w:sdtEndPr/>
              <w:sdtContent>
                <w:tc>
                  <w:tcPr>
                    <w:tcW w:w="1603" w:type="pct"/>
                    <w:tcBorders>
                      <w:top w:val="single" w:sz="4" w:space="0" w:color="auto"/>
                      <w:left w:val="single" w:sz="4" w:space="0" w:color="auto"/>
                      <w:bottom w:val="single" w:sz="4" w:space="0" w:color="auto"/>
                      <w:right w:val="single" w:sz="4" w:space="0" w:color="auto"/>
                    </w:tcBorders>
                    <w:shd w:val="clear" w:color="auto" w:fill="auto"/>
                  </w:tcPr>
                  <w:p w14:paraId="20CB34AB" w14:textId="77777777" w:rsidR="00830E72" w:rsidRDefault="008344D8">
                    <w:pPr>
                      <w:outlineLvl w:val="2"/>
                      <w:rPr>
                        <w:rFonts w:cs="Cambria"/>
                        <w:szCs w:val="21"/>
                      </w:rPr>
                    </w:pPr>
                    <w:r>
                      <w:rPr>
                        <w:rFonts w:cs="Cambria"/>
                        <w:szCs w:val="21"/>
                      </w:rPr>
                      <w:t>1.</w:t>
                    </w:r>
                    <w:r>
                      <w:rPr>
                        <w:rFonts w:cs="Cambria" w:hint="eastAsia"/>
                        <w:szCs w:val="21"/>
                      </w:rPr>
                      <w:t>消耗性生物资产</w:t>
                    </w:r>
                  </w:p>
                </w:tc>
              </w:sdtContent>
            </w:sdt>
            <w:tc>
              <w:tcPr>
                <w:tcW w:w="804" w:type="pct"/>
                <w:tcBorders>
                  <w:top w:val="single" w:sz="4" w:space="0" w:color="auto"/>
                  <w:left w:val="single" w:sz="4" w:space="0" w:color="auto"/>
                  <w:bottom w:val="single" w:sz="4" w:space="0" w:color="auto"/>
                  <w:right w:val="single" w:sz="4" w:space="0" w:color="auto"/>
                </w:tcBorders>
              </w:tcPr>
              <w:p w14:paraId="2EB04E9A"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3CC4328D"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4DD42570" w14:textId="77777777" w:rsidR="00830E72" w:rsidRDefault="00830E72">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5EAD07D6" w14:textId="77777777" w:rsidR="00830E72" w:rsidRDefault="00830E72">
                <w:pPr>
                  <w:jc w:val="right"/>
                  <w:outlineLvl w:val="2"/>
                  <w:rPr>
                    <w:rFonts w:cs="Cambria"/>
                    <w:szCs w:val="21"/>
                  </w:rPr>
                </w:pPr>
              </w:p>
            </w:tc>
          </w:tr>
          <w:tr w:rsidR="00830E72" w14:paraId="2C1C107A" w14:textId="77777777">
            <w:trPr>
              <w:trHeight w:val="240"/>
            </w:trPr>
            <w:sdt>
              <w:sdtPr>
                <w:tag w:val="_PLD_255f970805f24da69438fbd6d7d1a094"/>
                <w:id w:val="-2120833546"/>
                <w:lock w:val="sdtLocked"/>
              </w:sdtPr>
              <w:sdtEndPr/>
              <w:sdtContent>
                <w:tc>
                  <w:tcPr>
                    <w:tcW w:w="1603" w:type="pct"/>
                    <w:tcBorders>
                      <w:top w:val="single" w:sz="4" w:space="0" w:color="auto"/>
                      <w:left w:val="single" w:sz="4" w:space="0" w:color="auto"/>
                      <w:bottom w:val="single" w:sz="4" w:space="0" w:color="auto"/>
                      <w:right w:val="single" w:sz="4" w:space="0" w:color="auto"/>
                    </w:tcBorders>
                    <w:shd w:val="clear" w:color="auto" w:fill="auto"/>
                  </w:tcPr>
                  <w:p w14:paraId="74F405EC" w14:textId="77777777" w:rsidR="00830E72" w:rsidRDefault="008344D8">
                    <w:pPr>
                      <w:outlineLvl w:val="2"/>
                      <w:rPr>
                        <w:rFonts w:cs="Cambria"/>
                        <w:szCs w:val="21"/>
                      </w:rPr>
                    </w:pPr>
                    <w:r>
                      <w:rPr>
                        <w:rFonts w:cs="Cambria"/>
                        <w:szCs w:val="21"/>
                      </w:rPr>
                      <w:t>2.</w:t>
                    </w:r>
                    <w:r>
                      <w:rPr>
                        <w:rFonts w:cs="Cambria" w:hint="eastAsia"/>
                        <w:szCs w:val="21"/>
                      </w:rPr>
                      <w:t>生产性生物资产</w:t>
                    </w:r>
                  </w:p>
                </w:tc>
              </w:sdtContent>
            </w:sdt>
            <w:tc>
              <w:tcPr>
                <w:tcW w:w="804" w:type="pct"/>
                <w:tcBorders>
                  <w:top w:val="single" w:sz="4" w:space="0" w:color="auto"/>
                  <w:left w:val="single" w:sz="4" w:space="0" w:color="auto"/>
                  <w:bottom w:val="single" w:sz="4" w:space="0" w:color="auto"/>
                  <w:right w:val="single" w:sz="4" w:space="0" w:color="auto"/>
                </w:tcBorders>
              </w:tcPr>
              <w:p w14:paraId="5094359B"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60D95359"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0C5F6795" w14:textId="77777777" w:rsidR="00830E72" w:rsidRDefault="00830E72">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43158856" w14:textId="77777777" w:rsidR="00830E72" w:rsidRDefault="00830E72">
                <w:pPr>
                  <w:jc w:val="right"/>
                  <w:outlineLvl w:val="2"/>
                  <w:rPr>
                    <w:rFonts w:cs="Cambria"/>
                    <w:szCs w:val="21"/>
                  </w:rPr>
                </w:pPr>
              </w:p>
            </w:tc>
          </w:tr>
          <w:tr w:rsidR="00830E72" w14:paraId="21524CE6" w14:textId="77777777">
            <w:trPr>
              <w:trHeight w:val="468"/>
            </w:trPr>
            <w:sdt>
              <w:sdtPr>
                <w:tag w:val="_PLD_5f085d8452914c828c6cb5c210cfc97c"/>
                <w:id w:val="-1602332108"/>
                <w:lock w:val="sdtLocked"/>
              </w:sdtPr>
              <w:sdtEndPr/>
              <w:sdtContent>
                <w:tc>
                  <w:tcPr>
                    <w:tcW w:w="1603" w:type="pct"/>
                    <w:tcBorders>
                      <w:top w:val="single" w:sz="4" w:space="0" w:color="auto"/>
                      <w:left w:val="single" w:sz="4" w:space="0" w:color="auto"/>
                      <w:bottom w:val="single" w:sz="4" w:space="0" w:color="auto"/>
                      <w:right w:val="single" w:sz="4" w:space="0" w:color="auto"/>
                    </w:tcBorders>
                    <w:shd w:val="clear" w:color="auto" w:fill="auto"/>
                  </w:tcPr>
                  <w:p w14:paraId="4BB0EBDD" w14:textId="77777777" w:rsidR="00830E72" w:rsidRDefault="008344D8">
                    <w:pPr>
                      <w:outlineLvl w:val="2"/>
                      <w:rPr>
                        <w:rFonts w:cs="Cambria"/>
                        <w:b/>
                        <w:szCs w:val="21"/>
                      </w:rPr>
                    </w:pPr>
                    <w:r>
                      <w:rPr>
                        <w:rFonts w:cs="Cambria" w:hint="eastAsia"/>
                        <w:b/>
                        <w:szCs w:val="21"/>
                      </w:rPr>
                      <w:t>持续以公允价值计量的资产总额</w:t>
                    </w:r>
                  </w:p>
                </w:tc>
              </w:sdtContent>
            </w:sdt>
            <w:tc>
              <w:tcPr>
                <w:tcW w:w="804" w:type="pct"/>
                <w:tcBorders>
                  <w:top w:val="single" w:sz="4" w:space="0" w:color="auto"/>
                  <w:left w:val="single" w:sz="4" w:space="0" w:color="auto"/>
                  <w:bottom w:val="single" w:sz="4" w:space="0" w:color="auto"/>
                  <w:right w:val="single" w:sz="4" w:space="0" w:color="auto"/>
                </w:tcBorders>
              </w:tcPr>
              <w:p w14:paraId="5D556B6E"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31073540" w14:textId="77777777" w:rsidR="00830E72" w:rsidRDefault="008344D8">
                <w:pPr>
                  <w:jc w:val="right"/>
                  <w:outlineLvl w:val="2"/>
                  <w:rPr>
                    <w:rFonts w:cs="Cambria"/>
                    <w:szCs w:val="21"/>
                  </w:rPr>
                </w:pPr>
                <w:r>
                  <w:rPr>
                    <w:rFonts w:cs="Cambria"/>
                    <w:szCs w:val="21"/>
                  </w:rPr>
                  <w:t>28,809,590.66</w:t>
                </w:r>
              </w:p>
            </w:tc>
            <w:tc>
              <w:tcPr>
                <w:tcW w:w="844" w:type="pct"/>
                <w:tcBorders>
                  <w:top w:val="single" w:sz="4" w:space="0" w:color="auto"/>
                  <w:left w:val="single" w:sz="4" w:space="0" w:color="auto"/>
                  <w:bottom w:val="single" w:sz="4" w:space="0" w:color="auto"/>
                  <w:right w:val="single" w:sz="4" w:space="0" w:color="auto"/>
                </w:tcBorders>
              </w:tcPr>
              <w:p w14:paraId="7C92AD5D" w14:textId="77777777" w:rsidR="00830E72" w:rsidRDefault="008344D8">
                <w:pPr>
                  <w:jc w:val="right"/>
                  <w:outlineLvl w:val="2"/>
                  <w:rPr>
                    <w:rFonts w:cs="Cambria"/>
                    <w:szCs w:val="21"/>
                  </w:rPr>
                </w:pPr>
                <w:r>
                  <w:rPr>
                    <w:rFonts w:cs="Cambria"/>
                    <w:szCs w:val="21"/>
                  </w:rPr>
                  <w:t>75,453,157.25</w:t>
                </w:r>
              </w:p>
            </w:tc>
            <w:tc>
              <w:tcPr>
                <w:tcW w:w="865" w:type="pct"/>
                <w:tcBorders>
                  <w:top w:val="single" w:sz="4" w:space="0" w:color="auto"/>
                  <w:left w:val="single" w:sz="4" w:space="0" w:color="auto"/>
                  <w:bottom w:val="single" w:sz="4" w:space="0" w:color="auto"/>
                  <w:right w:val="single" w:sz="4" w:space="0" w:color="auto"/>
                </w:tcBorders>
              </w:tcPr>
              <w:p w14:paraId="2211D62D" w14:textId="77777777" w:rsidR="00830E72" w:rsidRDefault="008344D8">
                <w:pPr>
                  <w:jc w:val="right"/>
                  <w:outlineLvl w:val="2"/>
                  <w:rPr>
                    <w:rFonts w:cs="Cambria"/>
                    <w:szCs w:val="21"/>
                  </w:rPr>
                </w:pPr>
                <w:r>
                  <w:rPr>
                    <w:rFonts w:cs="Cambria"/>
                    <w:szCs w:val="21"/>
                  </w:rPr>
                  <w:t>104,262,747.91</w:t>
                </w:r>
              </w:p>
            </w:tc>
          </w:tr>
          <w:tr w:rsidR="00830E72" w14:paraId="3F13BB7C" w14:textId="77777777">
            <w:trPr>
              <w:trHeight w:val="296"/>
            </w:trPr>
            <w:tc>
              <w:tcPr>
                <w:tcW w:w="1603"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cc157d5ce186429f9c96a03dc3e4daa5"/>
                  <w:id w:val="237138719"/>
                  <w:lock w:val="sdtLocked"/>
                </w:sdtPr>
                <w:sdtEndPr>
                  <w:rPr>
                    <w:shd w:val="solid" w:color="FFFFFF" w:fill="auto"/>
                  </w:rPr>
                </w:sdtEndPr>
                <w:sdtContent>
                  <w:p w14:paraId="6D5CD125" w14:textId="77777777" w:rsidR="00830E72" w:rsidRDefault="008344D8">
                    <w:pPr>
                      <w:outlineLvl w:val="2"/>
                      <w:rPr>
                        <w:rFonts w:cs="Cambria"/>
                        <w:szCs w:val="21"/>
                      </w:rPr>
                    </w:pPr>
                    <w:r>
                      <w:rPr>
                        <w:rFonts w:cs="Cambria" w:hint="eastAsia"/>
                        <w:szCs w:val="21"/>
                      </w:rPr>
                      <w:t>（六）</w:t>
                    </w:r>
                    <w:r>
                      <w:rPr>
                        <w:rFonts w:cs="Cambria" w:hint="eastAsia"/>
                        <w:szCs w:val="21"/>
                        <w:shd w:val="solid" w:color="FFFFFF" w:fill="auto"/>
                      </w:rPr>
                      <w:t>交易性金融负债</w:t>
                    </w:r>
                  </w:p>
                </w:sdtContent>
              </w:sdt>
            </w:tc>
            <w:tc>
              <w:tcPr>
                <w:tcW w:w="804" w:type="pct"/>
                <w:tcBorders>
                  <w:top w:val="single" w:sz="4" w:space="0" w:color="auto"/>
                  <w:left w:val="single" w:sz="4" w:space="0" w:color="auto"/>
                  <w:bottom w:val="single" w:sz="4" w:space="0" w:color="auto"/>
                  <w:right w:val="single" w:sz="4" w:space="0" w:color="auto"/>
                </w:tcBorders>
              </w:tcPr>
              <w:p w14:paraId="1CD05E1F"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00B79179"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1D548A01" w14:textId="77777777" w:rsidR="00830E72" w:rsidRDefault="00830E72">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4F3F00EF" w14:textId="77777777" w:rsidR="00830E72" w:rsidRDefault="00830E72">
                <w:pPr>
                  <w:jc w:val="right"/>
                  <w:outlineLvl w:val="2"/>
                  <w:rPr>
                    <w:rFonts w:cs="Cambria"/>
                    <w:szCs w:val="21"/>
                  </w:rPr>
                </w:pPr>
              </w:p>
            </w:tc>
          </w:tr>
          <w:tr w:rsidR="00830E72" w14:paraId="408C4404" w14:textId="77777777">
            <w:trPr>
              <w:trHeight w:val="296"/>
            </w:trPr>
            <w:tc>
              <w:tcPr>
                <w:tcW w:w="1603"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eb6384ebff854706abc6b9d2b2078934"/>
                  <w:id w:val="-1637103965"/>
                  <w:lock w:val="sdtLocked"/>
                </w:sdtPr>
                <w:sdtEndPr/>
                <w:sdtContent>
                  <w:p w14:paraId="730C605B" w14:textId="77777777" w:rsidR="00830E72" w:rsidRDefault="008344D8">
                    <w:pPr>
                      <w:outlineLvl w:val="2"/>
                      <w:rPr>
                        <w:rFonts w:cs="Cambria"/>
                        <w:szCs w:val="21"/>
                      </w:rPr>
                    </w:pPr>
                    <w:r>
                      <w:rPr>
                        <w:rFonts w:cs="Cambria"/>
                        <w:szCs w:val="21"/>
                      </w:rPr>
                      <w:t>1.以公允价值计量且变动计入当期损益的金融负债</w:t>
                    </w:r>
                  </w:p>
                </w:sdtContent>
              </w:sdt>
            </w:tc>
            <w:tc>
              <w:tcPr>
                <w:tcW w:w="804" w:type="pct"/>
                <w:tcBorders>
                  <w:top w:val="single" w:sz="4" w:space="0" w:color="auto"/>
                  <w:left w:val="single" w:sz="4" w:space="0" w:color="auto"/>
                  <w:bottom w:val="single" w:sz="4" w:space="0" w:color="auto"/>
                  <w:right w:val="single" w:sz="4" w:space="0" w:color="auto"/>
                </w:tcBorders>
              </w:tcPr>
              <w:p w14:paraId="3CD97ADF"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7E4B8191"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31B69F99" w14:textId="77777777" w:rsidR="00830E72" w:rsidRDefault="00830E72">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4615773D" w14:textId="77777777" w:rsidR="00830E72" w:rsidRDefault="00830E72">
                <w:pPr>
                  <w:jc w:val="right"/>
                  <w:outlineLvl w:val="2"/>
                  <w:rPr>
                    <w:rFonts w:cs="Cambria"/>
                    <w:szCs w:val="21"/>
                  </w:rPr>
                </w:pPr>
              </w:p>
            </w:tc>
          </w:tr>
          <w:tr w:rsidR="00830E72" w14:paraId="31BEEFF4" w14:textId="77777777">
            <w:trPr>
              <w:trHeight w:val="240"/>
            </w:trPr>
            <w:sdt>
              <w:sdtPr>
                <w:tag w:val="_PLD_ab3489e8472645f1a23a90c81a64fec3"/>
                <w:id w:val="-514451498"/>
                <w:lock w:val="sdtLocked"/>
              </w:sdtPr>
              <w:sdtEndPr/>
              <w:sdtContent>
                <w:tc>
                  <w:tcPr>
                    <w:tcW w:w="1603" w:type="pct"/>
                    <w:tcBorders>
                      <w:top w:val="single" w:sz="4" w:space="0" w:color="auto"/>
                      <w:left w:val="single" w:sz="4" w:space="0" w:color="auto"/>
                      <w:bottom w:val="single" w:sz="4" w:space="0" w:color="auto"/>
                      <w:right w:val="single" w:sz="4" w:space="0" w:color="auto"/>
                    </w:tcBorders>
                    <w:shd w:val="clear" w:color="auto" w:fill="auto"/>
                  </w:tcPr>
                  <w:p w14:paraId="601A13A9" w14:textId="77777777" w:rsidR="00830E72" w:rsidRDefault="008344D8">
                    <w:pPr>
                      <w:outlineLvl w:val="2"/>
                      <w:rPr>
                        <w:rFonts w:cs="Cambria"/>
                        <w:szCs w:val="21"/>
                      </w:rPr>
                    </w:pPr>
                    <w:r>
                      <w:rPr>
                        <w:rFonts w:cs="Cambria" w:hint="eastAsia"/>
                        <w:szCs w:val="21"/>
                      </w:rPr>
                      <w:t>其中：发行的交易性债券</w:t>
                    </w:r>
                  </w:p>
                </w:tc>
              </w:sdtContent>
            </w:sdt>
            <w:tc>
              <w:tcPr>
                <w:tcW w:w="804" w:type="pct"/>
                <w:tcBorders>
                  <w:top w:val="single" w:sz="4" w:space="0" w:color="auto"/>
                  <w:left w:val="single" w:sz="4" w:space="0" w:color="auto"/>
                  <w:bottom w:val="single" w:sz="4" w:space="0" w:color="auto"/>
                  <w:right w:val="single" w:sz="4" w:space="0" w:color="auto"/>
                </w:tcBorders>
              </w:tcPr>
              <w:p w14:paraId="63711BCD"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05446669" w14:textId="77777777" w:rsidR="00830E72" w:rsidRDefault="00830E72">
                <w:pPr>
                  <w:jc w:val="right"/>
                </w:pPr>
              </w:p>
            </w:tc>
            <w:tc>
              <w:tcPr>
                <w:tcW w:w="844" w:type="pct"/>
                <w:tcBorders>
                  <w:top w:val="single" w:sz="4" w:space="0" w:color="auto"/>
                  <w:left w:val="single" w:sz="4" w:space="0" w:color="auto"/>
                  <w:bottom w:val="single" w:sz="4" w:space="0" w:color="auto"/>
                  <w:right w:val="single" w:sz="4" w:space="0" w:color="auto"/>
                </w:tcBorders>
              </w:tcPr>
              <w:p w14:paraId="2C1982F1" w14:textId="77777777" w:rsidR="00830E72" w:rsidRDefault="00830E72">
                <w:pPr>
                  <w:jc w:val="right"/>
                </w:pPr>
              </w:p>
            </w:tc>
            <w:tc>
              <w:tcPr>
                <w:tcW w:w="865" w:type="pct"/>
                <w:tcBorders>
                  <w:top w:val="single" w:sz="4" w:space="0" w:color="auto"/>
                  <w:left w:val="single" w:sz="4" w:space="0" w:color="auto"/>
                  <w:bottom w:val="single" w:sz="4" w:space="0" w:color="auto"/>
                  <w:right w:val="single" w:sz="4" w:space="0" w:color="auto"/>
                </w:tcBorders>
              </w:tcPr>
              <w:p w14:paraId="69C12540" w14:textId="77777777" w:rsidR="00830E72" w:rsidRDefault="00830E72">
                <w:pPr>
                  <w:jc w:val="right"/>
                </w:pPr>
              </w:p>
            </w:tc>
          </w:tr>
          <w:tr w:rsidR="00830E72" w14:paraId="5B1BA911" w14:textId="77777777">
            <w:trPr>
              <w:trHeight w:val="286"/>
            </w:trPr>
            <w:sdt>
              <w:sdtPr>
                <w:tag w:val="_PLD_78b2b3a16d0b40e8b29ab580ecc53877"/>
                <w:id w:val="758337829"/>
                <w:lock w:val="sdtLocked"/>
              </w:sdtPr>
              <w:sdtEndPr/>
              <w:sdtContent>
                <w:tc>
                  <w:tcPr>
                    <w:tcW w:w="1603" w:type="pct"/>
                    <w:tcBorders>
                      <w:top w:val="single" w:sz="4" w:space="0" w:color="auto"/>
                      <w:left w:val="single" w:sz="4" w:space="0" w:color="auto"/>
                      <w:bottom w:val="single" w:sz="4" w:space="0" w:color="auto"/>
                      <w:right w:val="single" w:sz="4" w:space="0" w:color="auto"/>
                    </w:tcBorders>
                    <w:shd w:val="clear" w:color="auto" w:fill="auto"/>
                  </w:tcPr>
                  <w:p w14:paraId="0508261B" w14:textId="77777777" w:rsidR="00830E72" w:rsidRDefault="008344D8">
                    <w:pPr>
                      <w:tabs>
                        <w:tab w:val="left" w:pos="432"/>
                        <w:tab w:val="center" w:pos="5630"/>
                        <w:tab w:val="center" w:pos="7430"/>
                      </w:tabs>
                      <w:ind w:firstLineChars="300" w:firstLine="630"/>
                      <w:rPr>
                        <w:rFonts w:cs="Cambria"/>
                        <w:szCs w:val="21"/>
                      </w:rPr>
                    </w:pPr>
                    <w:r>
                      <w:rPr>
                        <w:rFonts w:cs="Cambria" w:hint="eastAsia"/>
                        <w:szCs w:val="21"/>
                      </w:rPr>
                      <w:t>衍生金融负债</w:t>
                    </w:r>
                  </w:p>
                </w:tc>
              </w:sdtContent>
            </w:sdt>
            <w:tc>
              <w:tcPr>
                <w:tcW w:w="804" w:type="pct"/>
                <w:tcBorders>
                  <w:top w:val="single" w:sz="4" w:space="0" w:color="auto"/>
                  <w:left w:val="single" w:sz="4" w:space="0" w:color="auto"/>
                  <w:bottom w:val="single" w:sz="4" w:space="0" w:color="auto"/>
                  <w:right w:val="single" w:sz="4" w:space="0" w:color="auto"/>
                </w:tcBorders>
              </w:tcPr>
              <w:p w14:paraId="24AA91B5"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3EA49390"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4ABDC7BD" w14:textId="77777777" w:rsidR="00830E72" w:rsidRDefault="00830E72">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6DA481FD" w14:textId="77777777" w:rsidR="00830E72" w:rsidRDefault="00830E72">
                <w:pPr>
                  <w:jc w:val="right"/>
                  <w:outlineLvl w:val="2"/>
                  <w:rPr>
                    <w:rFonts w:cs="Cambria"/>
                    <w:szCs w:val="21"/>
                  </w:rPr>
                </w:pPr>
              </w:p>
            </w:tc>
          </w:tr>
          <w:tr w:rsidR="00830E72" w14:paraId="76AD9206" w14:textId="77777777">
            <w:trPr>
              <w:trHeight w:val="284"/>
            </w:trPr>
            <w:sdt>
              <w:sdtPr>
                <w:tag w:val="_PLD_6e5dd1c748b04c09b7a17c31799de512"/>
                <w:id w:val="-488787903"/>
                <w:lock w:val="sdtLocked"/>
              </w:sdtPr>
              <w:sdtEndPr/>
              <w:sdtContent>
                <w:tc>
                  <w:tcPr>
                    <w:tcW w:w="1603" w:type="pct"/>
                    <w:tcBorders>
                      <w:top w:val="single" w:sz="4" w:space="0" w:color="auto"/>
                      <w:left w:val="single" w:sz="4" w:space="0" w:color="auto"/>
                      <w:bottom w:val="single" w:sz="4" w:space="0" w:color="auto"/>
                      <w:right w:val="single" w:sz="4" w:space="0" w:color="auto"/>
                    </w:tcBorders>
                    <w:shd w:val="clear" w:color="auto" w:fill="auto"/>
                  </w:tcPr>
                  <w:p w14:paraId="4F31C937" w14:textId="77777777" w:rsidR="00830E72" w:rsidRDefault="008344D8">
                    <w:pPr>
                      <w:tabs>
                        <w:tab w:val="left" w:pos="432"/>
                        <w:tab w:val="center" w:pos="5630"/>
                        <w:tab w:val="center" w:pos="7430"/>
                      </w:tabs>
                      <w:ind w:firstLineChars="300" w:firstLine="630"/>
                      <w:rPr>
                        <w:rFonts w:cs="Cambria"/>
                        <w:szCs w:val="21"/>
                      </w:rPr>
                    </w:pPr>
                    <w:r>
                      <w:rPr>
                        <w:rFonts w:cs="Cambria" w:hint="eastAsia"/>
                        <w:szCs w:val="21"/>
                      </w:rPr>
                      <w:t>其他</w:t>
                    </w:r>
                  </w:p>
                </w:tc>
              </w:sdtContent>
            </w:sdt>
            <w:tc>
              <w:tcPr>
                <w:tcW w:w="804" w:type="pct"/>
                <w:tcBorders>
                  <w:top w:val="single" w:sz="4" w:space="0" w:color="auto"/>
                  <w:left w:val="single" w:sz="4" w:space="0" w:color="auto"/>
                  <w:bottom w:val="single" w:sz="4" w:space="0" w:color="auto"/>
                  <w:right w:val="single" w:sz="4" w:space="0" w:color="auto"/>
                </w:tcBorders>
              </w:tcPr>
              <w:p w14:paraId="44012D3B"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7C30F9A3"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7DE5CDCF" w14:textId="77777777" w:rsidR="00830E72" w:rsidRDefault="00830E72">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7415781B" w14:textId="77777777" w:rsidR="00830E72" w:rsidRDefault="00830E72">
                <w:pPr>
                  <w:jc w:val="right"/>
                  <w:outlineLvl w:val="2"/>
                  <w:rPr>
                    <w:rFonts w:cs="Cambria"/>
                    <w:szCs w:val="21"/>
                  </w:rPr>
                </w:pPr>
              </w:p>
            </w:tc>
          </w:tr>
          <w:tr w:rsidR="00830E72" w14:paraId="607E81B0" w14:textId="77777777">
            <w:trPr>
              <w:trHeight w:val="468"/>
            </w:trPr>
            <w:tc>
              <w:tcPr>
                <w:tcW w:w="1603" w:type="pct"/>
                <w:tcBorders>
                  <w:top w:val="single" w:sz="4" w:space="0" w:color="auto"/>
                  <w:left w:val="single" w:sz="4" w:space="0" w:color="auto"/>
                  <w:bottom w:val="single" w:sz="4" w:space="0" w:color="auto"/>
                  <w:right w:val="single" w:sz="4" w:space="0" w:color="auto"/>
                </w:tcBorders>
                <w:shd w:val="clear" w:color="auto" w:fill="auto"/>
              </w:tcPr>
              <w:p w14:paraId="7BC7F7DF" w14:textId="77777777" w:rsidR="00830E72" w:rsidRDefault="00D44830">
                <w:pPr>
                  <w:outlineLvl w:val="2"/>
                  <w:rPr>
                    <w:rFonts w:cs="Cambria"/>
                    <w:szCs w:val="21"/>
                  </w:rPr>
                </w:pPr>
                <w:sdt>
                  <w:sdtPr>
                    <w:rPr>
                      <w:rFonts w:cs="Cambria" w:hint="eastAsia"/>
                      <w:szCs w:val="21"/>
                    </w:rPr>
                    <w:tag w:val="_PLD_0b3835804c874ab6ada0c339f3ba564e"/>
                    <w:id w:val="1045413211"/>
                    <w:lock w:val="sdtLocked"/>
                  </w:sdtPr>
                  <w:sdtEndPr/>
                  <w:sdtContent>
                    <w:r w:rsidR="008344D8">
                      <w:rPr>
                        <w:rFonts w:cs="Cambria" w:hint="eastAsia"/>
                        <w:szCs w:val="21"/>
                      </w:rPr>
                      <w:t>2.指定为以公允价值计量且变动计入当期损益的金融负债</w:t>
                    </w:r>
                  </w:sdtContent>
                </w:sdt>
              </w:p>
            </w:tc>
            <w:tc>
              <w:tcPr>
                <w:tcW w:w="804" w:type="pct"/>
                <w:tcBorders>
                  <w:top w:val="single" w:sz="4" w:space="0" w:color="auto"/>
                  <w:left w:val="single" w:sz="4" w:space="0" w:color="auto"/>
                  <w:bottom w:val="single" w:sz="4" w:space="0" w:color="auto"/>
                  <w:right w:val="single" w:sz="4" w:space="0" w:color="auto"/>
                </w:tcBorders>
              </w:tcPr>
              <w:p w14:paraId="417D246A"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78EAE0D4"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65C01B8D" w14:textId="77777777" w:rsidR="00830E72" w:rsidRDefault="00830E72">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15EDD7DA" w14:textId="77777777" w:rsidR="00830E72" w:rsidRDefault="00830E72">
                <w:pPr>
                  <w:jc w:val="right"/>
                  <w:outlineLvl w:val="2"/>
                  <w:rPr>
                    <w:rFonts w:cs="Cambria"/>
                    <w:szCs w:val="21"/>
                  </w:rPr>
                </w:pPr>
              </w:p>
            </w:tc>
          </w:tr>
          <w:tr w:rsidR="00830E72" w14:paraId="1310FA93" w14:textId="77777777">
            <w:trPr>
              <w:trHeight w:val="468"/>
            </w:trPr>
            <w:sdt>
              <w:sdtPr>
                <w:tag w:val="_PLD_55f0f867d07f4493bbf5709a51eefe65"/>
                <w:id w:val="363559960"/>
                <w:lock w:val="sdtLocked"/>
              </w:sdtPr>
              <w:sdtEndPr/>
              <w:sdtContent>
                <w:tc>
                  <w:tcPr>
                    <w:tcW w:w="1603" w:type="pct"/>
                    <w:tcBorders>
                      <w:top w:val="single" w:sz="4" w:space="0" w:color="auto"/>
                      <w:left w:val="single" w:sz="4" w:space="0" w:color="auto"/>
                      <w:bottom w:val="single" w:sz="4" w:space="0" w:color="auto"/>
                      <w:right w:val="single" w:sz="4" w:space="0" w:color="auto"/>
                    </w:tcBorders>
                    <w:shd w:val="clear" w:color="auto" w:fill="auto"/>
                  </w:tcPr>
                  <w:p w14:paraId="70421F51" w14:textId="77777777" w:rsidR="00830E72" w:rsidRDefault="008344D8">
                    <w:pPr>
                      <w:outlineLvl w:val="2"/>
                      <w:rPr>
                        <w:rFonts w:cs="Cambria"/>
                        <w:b/>
                        <w:szCs w:val="21"/>
                      </w:rPr>
                    </w:pPr>
                    <w:r>
                      <w:rPr>
                        <w:rFonts w:cs="Cambria" w:hint="eastAsia"/>
                        <w:b/>
                        <w:szCs w:val="21"/>
                      </w:rPr>
                      <w:t>持续以公允价值计量的负债总额</w:t>
                    </w:r>
                  </w:p>
                </w:tc>
              </w:sdtContent>
            </w:sdt>
            <w:tc>
              <w:tcPr>
                <w:tcW w:w="804" w:type="pct"/>
                <w:tcBorders>
                  <w:top w:val="single" w:sz="4" w:space="0" w:color="auto"/>
                  <w:left w:val="single" w:sz="4" w:space="0" w:color="auto"/>
                  <w:bottom w:val="single" w:sz="4" w:space="0" w:color="auto"/>
                  <w:right w:val="single" w:sz="4" w:space="0" w:color="auto"/>
                </w:tcBorders>
              </w:tcPr>
              <w:p w14:paraId="33B85339"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415D81A8"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3B43DC9A" w14:textId="77777777" w:rsidR="00830E72" w:rsidRDefault="00830E72">
                <w:pPr>
                  <w:tabs>
                    <w:tab w:val="center" w:pos="824"/>
                    <w:tab w:val="right" w:pos="1649"/>
                  </w:tabs>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3572E03B" w14:textId="77777777" w:rsidR="00830E72" w:rsidRDefault="00830E72">
                <w:pPr>
                  <w:jc w:val="right"/>
                  <w:outlineLvl w:val="2"/>
                  <w:rPr>
                    <w:rFonts w:cs="Cambria"/>
                    <w:szCs w:val="21"/>
                  </w:rPr>
                </w:pPr>
              </w:p>
            </w:tc>
          </w:tr>
          <w:tr w:rsidR="00830E72" w14:paraId="7A552947" w14:textId="77777777">
            <w:trPr>
              <w:trHeight w:val="240"/>
            </w:trPr>
            <w:sdt>
              <w:sdtPr>
                <w:tag w:val="_PLD_4459ed4c85024af2b9f72ebfc4538cf7"/>
                <w:id w:val="-1158301733"/>
                <w:lock w:val="sdtLocked"/>
              </w:sdtPr>
              <w:sdtEndPr/>
              <w:sdtContent>
                <w:tc>
                  <w:tcPr>
                    <w:tcW w:w="1603" w:type="pct"/>
                    <w:tcBorders>
                      <w:top w:val="single" w:sz="4" w:space="0" w:color="auto"/>
                      <w:left w:val="single" w:sz="4" w:space="0" w:color="auto"/>
                      <w:bottom w:val="single" w:sz="4" w:space="0" w:color="auto"/>
                      <w:right w:val="single" w:sz="4" w:space="0" w:color="auto"/>
                    </w:tcBorders>
                    <w:shd w:val="clear" w:color="auto" w:fill="auto"/>
                  </w:tcPr>
                  <w:p w14:paraId="0D69834A" w14:textId="77777777" w:rsidR="00830E72" w:rsidRDefault="008344D8">
                    <w:pPr>
                      <w:outlineLvl w:val="2"/>
                      <w:rPr>
                        <w:rFonts w:cs="Cambria"/>
                        <w:b/>
                        <w:szCs w:val="21"/>
                      </w:rPr>
                    </w:pPr>
                    <w:r>
                      <w:rPr>
                        <w:rFonts w:cs="Cambria" w:hint="eastAsia"/>
                        <w:b/>
                        <w:szCs w:val="21"/>
                      </w:rPr>
                      <w:t>二、非持续的公允价值计量</w:t>
                    </w:r>
                  </w:p>
                </w:tc>
              </w:sdtContent>
            </w:sdt>
            <w:tc>
              <w:tcPr>
                <w:tcW w:w="804" w:type="pct"/>
                <w:tcBorders>
                  <w:top w:val="single" w:sz="4" w:space="0" w:color="auto"/>
                  <w:left w:val="single" w:sz="4" w:space="0" w:color="auto"/>
                  <w:bottom w:val="single" w:sz="4" w:space="0" w:color="auto"/>
                  <w:right w:val="single" w:sz="4" w:space="0" w:color="auto"/>
                </w:tcBorders>
              </w:tcPr>
              <w:p w14:paraId="23DE75F7"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28605488"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1297AA0B" w14:textId="77777777" w:rsidR="00830E72" w:rsidRDefault="00830E72">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5F632A28" w14:textId="77777777" w:rsidR="00830E72" w:rsidRDefault="00830E72">
                <w:pPr>
                  <w:jc w:val="right"/>
                  <w:outlineLvl w:val="2"/>
                  <w:rPr>
                    <w:rFonts w:cs="Cambria"/>
                    <w:szCs w:val="21"/>
                  </w:rPr>
                </w:pPr>
              </w:p>
            </w:tc>
          </w:tr>
          <w:tr w:rsidR="00830E72" w14:paraId="5EAFE17F" w14:textId="77777777">
            <w:trPr>
              <w:trHeight w:val="240"/>
            </w:trPr>
            <w:sdt>
              <w:sdtPr>
                <w:tag w:val="_PLD_17836ddde96f42d9960d4a0147639c54"/>
                <w:id w:val="-442071269"/>
                <w:lock w:val="sdtLocked"/>
              </w:sdtPr>
              <w:sdtEndPr/>
              <w:sdtContent>
                <w:tc>
                  <w:tcPr>
                    <w:tcW w:w="1603" w:type="pct"/>
                    <w:tcBorders>
                      <w:top w:val="single" w:sz="4" w:space="0" w:color="auto"/>
                      <w:left w:val="single" w:sz="4" w:space="0" w:color="auto"/>
                      <w:bottom w:val="single" w:sz="4" w:space="0" w:color="auto"/>
                      <w:right w:val="single" w:sz="4" w:space="0" w:color="auto"/>
                    </w:tcBorders>
                    <w:shd w:val="clear" w:color="auto" w:fill="auto"/>
                  </w:tcPr>
                  <w:p w14:paraId="301D8673" w14:textId="77777777" w:rsidR="00830E72" w:rsidRDefault="008344D8">
                    <w:pPr>
                      <w:outlineLvl w:val="2"/>
                      <w:rPr>
                        <w:rFonts w:cs="Cambria"/>
                        <w:szCs w:val="21"/>
                      </w:rPr>
                    </w:pPr>
                    <w:r>
                      <w:rPr>
                        <w:rFonts w:cs="Cambria" w:hint="eastAsia"/>
                        <w:szCs w:val="21"/>
                      </w:rPr>
                      <w:t>（一）持有待售资产</w:t>
                    </w:r>
                  </w:p>
                </w:tc>
              </w:sdtContent>
            </w:sdt>
            <w:tc>
              <w:tcPr>
                <w:tcW w:w="804" w:type="pct"/>
                <w:tcBorders>
                  <w:top w:val="single" w:sz="4" w:space="0" w:color="auto"/>
                  <w:left w:val="single" w:sz="4" w:space="0" w:color="auto"/>
                  <w:bottom w:val="single" w:sz="4" w:space="0" w:color="auto"/>
                  <w:right w:val="single" w:sz="4" w:space="0" w:color="auto"/>
                </w:tcBorders>
              </w:tcPr>
              <w:p w14:paraId="77BBB4C7"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77132FAC"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3618E394" w14:textId="77777777" w:rsidR="00830E72" w:rsidRDefault="00830E72">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73DF759C" w14:textId="77777777" w:rsidR="00830E72" w:rsidRDefault="00830E72">
                <w:pPr>
                  <w:jc w:val="right"/>
                  <w:outlineLvl w:val="2"/>
                  <w:rPr>
                    <w:rFonts w:cs="Cambria"/>
                    <w:szCs w:val="21"/>
                  </w:rPr>
                </w:pPr>
              </w:p>
            </w:tc>
          </w:tr>
          <w:tr w:rsidR="00830E72" w14:paraId="33ECF47A" w14:textId="77777777">
            <w:trPr>
              <w:trHeight w:val="468"/>
            </w:trPr>
            <w:sdt>
              <w:sdtPr>
                <w:tag w:val="_PLD_5606f89679c6406591acd746a38b1e22"/>
                <w:id w:val="-687828781"/>
                <w:lock w:val="sdtLocked"/>
              </w:sdtPr>
              <w:sdtEndPr/>
              <w:sdtContent>
                <w:tc>
                  <w:tcPr>
                    <w:tcW w:w="1603" w:type="pct"/>
                    <w:tcBorders>
                      <w:top w:val="single" w:sz="4" w:space="0" w:color="auto"/>
                      <w:left w:val="single" w:sz="4" w:space="0" w:color="auto"/>
                      <w:bottom w:val="single" w:sz="4" w:space="0" w:color="auto"/>
                      <w:right w:val="single" w:sz="4" w:space="0" w:color="auto"/>
                    </w:tcBorders>
                    <w:shd w:val="clear" w:color="auto" w:fill="auto"/>
                  </w:tcPr>
                  <w:p w14:paraId="1C6AC0D9" w14:textId="77777777" w:rsidR="00830E72" w:rsidRDefault="008344D8">
                    <w:pPr>
                      <w:outlineLvl w:val="2"/>
                      <w:rPr>
                        <w:rFonts w:cs="Cambria"/>
                        <w:b/>
                        <w:szCs w:val="21"/>
                      </w:rPr>
                    </w:pPr>
                    <w:r>
                      <w:rPr>
                        <w:rFonts w:cs="Cambria" w:hint="eastAsia"/>
                        <w:b/>
                        <w:szCs w:val="21"/>
                      </w:rPr>
                      <w:t>非持续以公允价值计量的资产总额</w:t>
                    </w:r>
                  </w:p>
                </w:tc>
              </w:sdtContent>
            </w:sdt>
            <w:tc>
              <w:tcPr>
                <w:tcW w:w="804" w:type="pct"/>
                <w:tcBorders>
                  <w:top w:val="single" w:sz="4" w:space="0" w:color="auto"/>
                  <w:left w:val="single" w:sz="4" w:space="0" w:color="auto"/>
                  <w:bottom w:val="single" w:sz="4" w:space="0" w:color="auto"/>
                  <w:right w:val="single" w:sz="4" w:space="0" w:color="auto"/>
                </w:tcBorders>
              </w:tcPr>
              <w:p w14:paraId="4674F409"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0FC2E7BF"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43414222" w14:textId="77777777" w:rsidR="00830E72" w:rsidRDefault="00830E72">
                <w:pPr>
                  <w:jc w:val="right"/>
                  <w:outlineLvl w:val="2"/>
                  <w:rPr>
                    <w:rFonts w:cs="Cambria"/>
                    <w:szCs w:val="21"/>
                  </w:rPr>
                </w:pPr>
              </w:p>
              <w:p w14:paraId="3992F196" w14:textId="77777777" w:rsidR="00830E72" w:rsidRDefault="00830E72">
                <w:pPr>
                  <w:jc w:val="center"/>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554ADC29" w14:textId="77777777" w:rsidR="00830E72" w:rsidRDefault="00830E72">
                <w:pPr>
                  <w:jc w:val="right"/>
                  <w:outlineLvl w:val="2"/>
                  <w:rPr>
                    <w:rFonts w:cs="Cambria"/>
                    <w:szCs w:val="21"/>
                  </w:rPr>
                </w:pPr>
              </w:p>
            </w:tc>
          </w:tr>
          <w:tr w:rsidR="00830E72" w14:paraId="00E448B0" w14:textId="77777777">
            <w:trPr>
              <w:trHeight w:val="481"/>
            </w:trPr>
            <w:sdt>
              <w:sdtPr>
                <w:tag w:val="_PLD_2ad2f17c0f784900bcd5d8acb5d78381"/>
                <w:id w:val="-258064496"/>
                <w:lock w:val="sdtLocked"/>
              </w:sdtPr>
              <w:sdtEndPr/>
              <w:sdtContent>
                <w:tc>
                  <w:tcPr>
                    <w:tcW w:w="1603" w:type="pct"/>
                    <w:tcBorders>
                      <w:top w:val="single" w:sz="4" w:space="0" w:color="auto"/>
                      <w:left w:val="single" w:sz="4" w:space="0" w:color="auto"/>
                      <w:bottom w:val="single" w:sz="4" w:space="0" w:color="auto"/>
                      <w:right w:val="single" w:sz="4" w:space="0" w:color="auto"/>
                    </w:tcBorders>
                    <w:shd w:val="clear" w:color="auto" w:fill="auto"/>
                  </w:tcPr>
                  <w:p w14:paraId="246BAF29" w14:textId="77777777" w:rsidR="00830E72" w:rsidRDefault="008344D8">
                    <w:pPr>
                      <w:outlineLvl w:val="2"/>
                      <w:rPr>
                        <w:rFonts w:cs="Cambria"/>
                        <w:b/>
                        <w:szCs w:val="21"/>
                      </w:rPr>
                    </w:pPr>
                    <w:r>
                      <w:rPr>
                        <w:rFonts w:cs="Cambria" w:hint="eastAsia"/>
                        <w:b/>
                        <w:szCs w:val="21"/>
                      </w:rPr>
                      <w:t>非持续以公允价值计量的负债总额</w:t>
                    </w:r>
                  </w:p>
                </w:tc>
              </w:sdtContent>
            </w:sdt>
            <w:tc>
              <w:tcPr>
                <w:tcW w:w="804" w:type="pct"/>
                <w:tcBorders>
                  <w:top w:val="single" w:sz="4" w:space="0" w:color="auto"/>
                  <w:left w:val="single" w:sz="4" w:space="0" w:color="auto"/>
                  <w:bottom w:val="single" w:sz="4" w:space="0" w:color="auto"/>
                  <w:right w:val="single" w:sz="4" w:space="0" w:color="auto"/>
                </w:tcBorders>
              </w:tcPr>
              <w:p w14:paraId="522B6C45" w14:textId="77777777" w:rsidR="00830E72" w:rsidRDefault="00830E72">
                <w:pPr>
                  <w:jc w:val="right"/>
                  <w:outlineLvl w:val="2"/>
                  <w:rPr>
                    <w:rFonts w:cs="Cambria"/>
                    <w:szCs w:val="21"/>
                  </w:rPr>
                </w:pPr>
              </w:p>
            </w:tc>
            <w:tc>
              <w:tcPr>
                <w:tcW w:w="884" w:type="pct"/>
                <w:tcBorders>
                  <w:top w:val="single" w:sz="4" w:space="0" w:color="auto"/>
                  <w:left w:val="single" w:sz="4" w:space="0" w:color="auto"/>
                  <w:bottom w:val="single" w:sz="4" w:space="0" w:color="auto"/>
                  <w:right w:val="single" w:sz="4" w:space="0" w:color="auto"/>
                </w:tcBorders>
              </w:tcPr>
              <w:p w14:paraId="66E56BA1" w14:textId="77777777" w:rsidR="00830E72" w:rsidRDefault="00830E72">
                <w:pPr>
                  <w:jc w:val="right"/>
                  <w:outlineLvl w:val="2"/>
                  <w:rPr>
                    <w:rFonts w:cs="Cambria"/>
                    <w:szCs w:val="21"/>
                  </w:rPr>
                </w:pPr>
              </w:p>
            </w:tc>
            <w:tc>
              <w:tcPr>
                <w:tcW w:w="844" w:type="pct"/>
                <w:tcBorders>
                  <w:top w:val="single" w:sz="4" w:space="0" w:color="auto"/>
                  <w:left w:val="single" w:sz="4" w:space="0" w:color="auto"/>
                  <w:bottom w:val="single" w:sz="4" w:space="0" w:color="auto"/>
                  <w:right w:val="single" w:sz="4" w:space="0" w:color="auto"/>
                </w:tcBorders>
              </w:tcPr>
              <w:p w14:paraId="0A5EF428" w14:textId="77777777" w:rsidR="00830E72" w:rsidRDefault="00830E72">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77C94EE3" w14:textId="77777777" w:rsidR="00830E72" w:rsidRDefault="00830E72">
                <w:pPr>
                  <w:jc w:val="right"/>
                  <w:outlineLvl w:val="2"/>
                  <w:rPr>
                    <w:rFonts w:cs="Cambria"/>
                    <w:szCs w:val="21"/>
                  </w:rPr>
                </w:pPr>
              </w:p>
            </w:tc>
          </w:tr>
        </w:tbl>
        <w:p w14:paraId="50C542E8" w14:textId="77777777" w:rsidR="00830E72" w:rsidRDefault="00D44830">
          <w:pPr>
            <w:tabs>
              <w:tab w:val="left" w:pos="1134"/>
            </w:tabs>
            <w:rPr>
              <w:rFonts w:cs="Cambria"/>
              <w:b/>
              <w:szCs w:val="21"/>
            </w:rPr>
          </w:pPr>
        </w:p>
      </w:sdtContent>
    </w:sdt>
    <w:bookmarkEnd w:id="196" w:displacedByCustomXml="next"/>
    <w:sdt>
      <w:sdtPr>
        <w:rPr>
          <w:rFonts w:ascii="宋体" w:hAnsi="宋体" w:cs="Arial" w:hint="eastAsia"/>
          <w:b w:val="0"/>
          <w:bCs w:val="0"/>
          <w:kern w:val="0"/>
          <w:szCs w:val="21"/>
        </w:rPr>
        <w:alias w:val="模块:持续和非持续第一层次公允价值计量项目市价的确定依据"/>
        <w:tag w:val="_GBC_9cf59ced96b14247921100dffef5784f"/>
        <w:id w:val="352005296"/>
        <w:lock w:val="sdtLocked"/>
        <w:placeholder>
          <w:docPart w:val="GBC22222222222222222222222222222"/>
        </w:placeholder>
      </w:sdtPr>
      <w:sdtEndPr>
        <w:rPr>
          <w:rFonts w:cs="Cambria"/>
          <w:b/>
        </w:rPr>
      </w:sdtEndPr>
      <w:sdtContent>
        <w:p w14:paraId="3AA49640" w14:textId="77777777" w:rsidR="00830E72" w:rsidRDefault="008344D8">
          <w:pPr>
            <w:pStyle w:val="Style99"/>
            <w:numPr>
              <w:ilvl w:val="0"/>
              <w:numId w:val="82"/>
            </w:numPr>
            <w:rPr>
              <w:rFonts w:ascii="宋体" w:hAnsi="宋体" w:cs="Arial"/>
              <w:szCs w:val="21"/>
            </w:rPr>
          </w:pPr>
          <w:r>
            <w:rPr>
              <w:rFonts w:ascii="宋体" w:hAnsi="宋体" w:cs="Arial" w:hint="eastAsia"/>
              <w:szCs w:val="21"/>
            </w:rPr>
            <w:t>持续和非持续第一层次公允价值计量项目市价的确定依据</w:t>
          </w:r>
        </w:p>
        <w:sdt>
          <w:sdtPr>
            <w:alias w:val="是否适用：持续和非持续第一层次公允价值计量项目市价的确定依据[双击切换]"/>
            <w:tag w:val="_GBC_699178e78c6743f697df07ed34d59216"/>
            <w:id w:val="-2054215140"/>
            <w:lock w:val="sdtContentLocked"/>
            <w:placeholder>
              <w:docPart w:val="GBC22222222222222222222222222222"/>
            </w:placeholder>
          </w:sdtPr>
          <w:sdtEndPr/>
          <w:sdtContent>
            <w:p w14:paraId="5724DDA1" w14:textId="77777777" w:rsidR="00830E72" w:rsidRDefault="008344D8">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619808559"/>
        <w:lock w:val="sdtLocked"/>
        <w:placeholder>
          <w:docPart w:val="GBC22222222222222222222222222222"/>
        </w:placeholder>
      </w:sdtPr>
      <w:sdtEndPr>
        <w:rPr>
          <w:rFonts w:cs="Cambria" w:hint="default"/>
        </w:rPr>
      </w:sdtEndPr>
      <w:sdtContent>
        <w:p w14:paraId="3C575529" w14:textId="77777777" w:rsidR="00830E72" w:rsidRDefault="008344D8">
          <w:pPr>
            <w:pStyle w:val="Style99"/>
            <w:numPr>
              <w:ilvl w:val="0"/>
              <w:numId w:val="82"/>
            </w:numPr>
            <w:rPr>
              <w:rFonts w:ascii="宋体" w:hAnsi="宋体"/>
            </w:r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8bee9b1c9bf241d5ae1f2c4578fc3b6c"/>
            <w:id w:val="-648511587"/>
            <w:lock w:val="sdtContentLocked"/>
            <w:placeholder>
              <w:docPart w:val="GBC22222222222222222222222222222"/>
            </w:placeholder>
          </w:sdtPr>
          <w:sdtEndPr/>
          <w:sdtContent>
            <w:p w14:paraId="7D6AE068" w14:textId="77777777" w:rsidR="00830E72" w:rsidRDefault="008344D8">
              <w:pPr>
                <w:tabs>
                  <w:tab w:val="left" w:pos="1134"/>
                </w:tabs>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持续和非持续第二层次公允价值计量项目，采用的估值技术和重要参数的定性及定量信息"/>
            <w:tag w:val="_GBC_406ac04d46a9411bb4890572e539e6ca"/>
            <w:id w:val="1475032404"/>
            <w:lock w:val="sdtLocked"/>
            <w:placeholder>
              <w:docPart w:val="GBC22222222222222222222222222222"/>
            </w:placeholder>
          </w:sdtPr>
          <w:sdtEndPr/>
          <w:sdtContent>
            <w:p w14:paraId="082FDFCF" w14:textId="77777777" w:rsidR="00830E72" w:rsidRDefault="008344D8">
              <w:pPr>
                <w:tabs>
                  <w:tab w:val="left" w:pos="1134"/>
                </w:tabs>
                <w:ind w:firstLineChars="200" w:firstLine="420"/>
                <w:rPr>
                  <w:rFonts w:cs="Cambria"/>
                  <w:szCs w:val="21"/>
                </w:rPr>
              </w:pPr>
              <w:r>
                <w:rPr>
                  <w:rFonts w:cs="Cambria" w:hint="eastAsia"/>
                  <w:szCs w:val="21"/>
                </w:rPr>
                <w:t>对于以公允价值计量且变动计入当期损益的银行理财产品，以其预期收益率作为公允价值计</w:t>
              </w:r>
            </w:p>
            <w:p w14:paraId="2FA9BC93" w14:textId="77777777" w:rsidR="00830E72" w:rsidRDefault="008344D8">
              <w:pPr>
                <w:tabs>
                  <w:tab w:val="left" w:pos="1134"/>
                </w:tabs>
                <w:rPr>
                  <w:rFonts w:cs="Cambria"/>
                  <w:szCs w:val="21"/>
                </w:rPr>
              </w:pPr>
              <w:r>
                <w:rPr>
                  <w:rFonts w:cs="Cambria" w:hint="eastAsia"/>
                  <w:szCs w:val="21"/>
                </w:rPr>
                <w:t>算依据。</w:t>
              </w:r>
            </w:p>
          </w:sdtContent>
        </w:sdt>
      </w:sdtContent>
    </w:sdt>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594706215"/>
        <w:lock w:val="sdtLocked"/>
        <w:placeholder>
          <w:docPart w:val="GBC22222222222222222222222222222"/>
        </w:placeholder>
      </w:sdtPr>
      <w:sdtEndPr>
        <w:rPr>
          <w:rFonts w:cs="Cambria"/>
          <w:color w:val="808080"/>
        </w:rPr>
      </w:sdtEndPr>
      <w:sdtContent>
        <w:p w14:paraId="1DB42BF8" w14:textId="77777777" w:rsidR="00830E72" w:rsidRDefault="008344D8">
          <w:pPr>
            <w:pStyle w:val="Style99"/>
            <w:numPr>
              <w:ilvl w:val="0"/>
              <w:numId w:val="82"/>
            </w:numPr>
            <w:rPr>
              <w:rFonts w:ascii="宋体" w:hAnsi="宋体"/>
            </w:r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4feedb18bf344f2ebff0035f82f30e3c"/>
            <w:id w:val="-195166318"/>
            <w:lock w:val="sdtContentLocked"/>
            <w:placeholder>
              <w:docPart w:val="GBC22222222222222222222222222222"/>
            </w:placeholder>
          </w:sdtPr>
          <w:sdtEndPr/>
          <w:sdtContent>
            <w:p w14:paraId="24079765"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327282924"/>
            <w:lock w:val="sdtLocked"/>
            <w:placeholder>
              <w:docPart w:val="GBC22222222222222222222222222222"/>
            </w:placeholder>
          </w:sdtPr>
          <w:sdtEndPr/>
          <w:sdtContent>
            <w:p w14:paraId="5247D069" w14:textId="77777777" w:rsidR="00830E72" w:rsidRDefault="008344D8">
              <w:pPr>
                <w:ind w:firstLineChars="200" w:firstLine="420"/>
                <w:rPr>
                  <w:szCs w:val="21"/>
                </w:rPr>
              </w:pPr>
              <w:r>
                <w:rPr>
                  <w:rFonts w:hint="eastAsia"/>
                  <w:szCs w:val="21"/>
                </w:rPr>
                <w:t>对于非上市的股权投资，若近期内被投资单位存在引入外部投资者的行为，则以近期交易价格作为该股权投资的公允价值。若被投资单位的经营环境和经营情况、财务状况等未发生重大变化，则以所占净资产份额作为公允价值的合理估计进行计量。</w:t>
              </w:r>
            </w:p>
          </w:sdtContent>
        </w:sdt>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463895452"/>
        <w:lock w:val="sdtLocked"/>
        <w:placeholder>
          <w:docPart w:val="GBC22222222222222222222222222222"/>
        </w:placeholder>
      </w:sdtPr>
      <w:sdtEndPr>
        <w:rPr>
          <w:rFonts w:cs="Cambria"/>
          <w:color w:val="808080"/>
          <w:szCs w:val="21"/>
        </w:rPr>
      </w:sdtEndPr>
      <w:sdtContent>
        <w:p w14:paraId="28133A5E" w14:textId="77777777" w:rsidR="00830E72" w:rsidRDefault="008344D8">
          <w:pPr>
            <w:pStyle w:val="Style99"/>
            <w:numPr>
              <w:ilvl w:val="0"/>
              <w:numId w:val="82"/>
            </w:numPr>
            <w:rPr>
              <w:rFonts w:ascii="宋体" w:hAnsi="宋体"/>
            </w:rPr>
          </w:pPr>
          <w:r>
            <w:rPr>
              <w:rFonts w:ascii="宋体" w:hAnsi="宋体"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fbb80659fa8c4cbba85b32b2b514495c"/>
            <w:id w:val="-719510202"/>
            <w:lock w:val="sdtContentLocked"/>
            <w:placeholder>
              <w:docPart w:val="GBC22222222222222222222222222222"/>
            </w:placeholder>
          </w:sdtPr>
          <w:sdtEndPr/>
          <w:sdtContent>
            <w:p w14:paraId="04B2E30C"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670376539"/>
        <w:lock w:val="sdtLocked"/>
        <w:placeholder>
          <w:docPart w:val="GBC22222222222222222222222222222"/>
        </w:placeholder>
      </w:sdtPr>
      <w:sdtEndPr>
        <w:rPr>
          <w:rFonts w:cs="Cambria"/>
          <w:szCs w:val="21"/>
        </w:rPr>
      </w:sdtEndPr>
      <w:sdtContent>
        <w:p w14:paraId="5DBCEDFE" w14:textId="77777777" w:rsidR="00830E72" w:rsidRDefault="008344D8">
          <w:pPr>
            <w:pStyle w:val="Style99"/>
            <w:numPr>
              <w:ilvl w:val="0"/>
              <w:numId w:val="82"/>
            </w:numPr>
            <w:rPr>
              <w:rFonts w:ascii="宋体" w:hAnsi="宋体"/>
            </w:rPr>
          </w:pPr>
          <w:r>
            <w:rPr>
              <w:rFonts w:ascii="宋体" w:hAnsi="宋体"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3d16a79a58242bc9c7be1f3a6f00898"/>
            <w:id w:val="-1306846661"/>
            <w:lock w:val="sdtContentLocked"/>
            <w:placeholder>
              <w:docPart w:val="GBC22222222222222222222222222222"/>
            </w:placeholder>
          </w:sdtPr>
          <w:sdtEndPr/>
          <w:sdtContent>
            <w:p w14:paraId="340310AD"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本期内发生的估值技术变更及变更原因"/>
        <w:tag w:val="_GBC_8e563310a4b84a5d9dfe74fdbc178926"/>
        <w:id w:val="-620528836"/>
        <w:lock w:val="sdtLocked"/>
        <w:placeholder>
          <w:docPart w:val="GBC22222222222222222222222222222"/>
        </w:placeholder>
      </w:sdtPr>
      <w:sdtEndPr>
        <w:rPr>
          <w:rFonts w:cstheme="minorBidi"/>
          <w:szCs w:val="21"/>
        </w:rPr>
      </w:sdtEndPr>
      <w:sdtContent>
        <w:p w14:paraId="74A389CC" w14:textId="77777777" w:rsidR="00830E72" w:rsidRDefault="008344D8">
          <w:pPr>
            <w:pStyle w:val="Style99"/>
            <w:numPr>
              <w:ilvl w:val="0"/>
              <w:numId w:val="82"/>
            </w:numPr>
            <w:rPr>
              <w:rFonts w:ascii="宋体" w:hAnsi="宋体"/>
            </w:rPr>
          </w:pPr>
          <w:r>
            <w:rPr>
              <w:rFonts w:ascii="宋体" w:hAnsi="宋体" w:hint="eastAsia"/>
            </w:rPr>
            <w:t>本期内发生的估值技术变更及变更原因</w:t>
          </w:r>
        </w:p>
        <w:sdt>
          <w:sdtPr>
            <w:alias w:val="是否适用：本期内发生的估值技术变更及变更原因[双击切换]"/>
            <w:tag w:val="_GBC_b070160060a9485c87417fe5a8b5e02f"/>
            <w:id w:val="-967663650"/>
            <w:lock w:val="sdtContentLocked"/>
            <w:placeholder>
              <w:docPart w:val="GBC22222222222222222222222222222"/>
            </w:placeholder>
          </w:sdtPr>
          <w:sdtEndPr/>
          <w:sdtContent>
            <w:p w14:paraId="40EA45DB"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918975142"/>
        <w:lock w:val="sdtLocked"/>
        <w:placeholder>
          <w:docPart w:val="GBC22222222222222222222222222222"/>
        </w:placeholder>
      </w:sdtPr>
      <w:sdtEndPr/>
      <w:sdtContent>
        <w:p w14:paraId="7686A804" w14:textId="77777777" w:rsidR="00830E72" w:rsidRDefault="008344D8">
          <w:pPr>
            <w:pStyle w:val="Style99"/>
            <w:numPr>
              <w:ilvl w:val="0"/>
              <w:numId w:val="82"/>
            </w:numPr>
            <w:rPr>
              <w:rFonts w:ascii="宋体" w:hAnsi="宋体" w:cstheme="minorBidi"/>
              <w:szCs w:val="21"/>
            </w:rPr>
          </w:pPr>
          <w:r>
            <w:rPr>
              <w:rFonts w:ascii="宋体" w:hAnsi="宋体" w:cstheme="minorBidi" w:hint="eastAsia"/>
              <w:szCs w:val="21"/>
            </w:rPr>
            <w:t>不以公允价值计量的</w:t>
          </w:r>
          <w:r>
            <w:rPr>
              <w:rFonts w:ascii="宋体" w:hAnsi="宋体" w:hint="eastAsia"/>
            </w:rPr>
            <w:t>金融资产</w:t>
          </w:r>
          <w:r>
            <w:rPr>
              <w:rFonts w:ascii="宋体" w:hAnsi="宋体"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848a058035fb408c922e66294e86defb"/>
            <w:id w:val="-489714486"/>
            <w:lock w:val="sdtContentLocked"/>
            <w:placeholder>
              <w:docPart w:val="GBC22222222222222222222222222222"/>
            </w:placeholder>
          </w:sdtPr>
          <w:sdtEndPr/>
          <w:sdtContent>
            <w:p w14:paraId="26E889E8" w14:textId="77777777" w:rsidR="00830E72" w:rsidRDefault="008344D8">
              <w:pPr>
                <w:rPr>
                  <w:rFonts w:cstheme="minorBidi"/>
                  <w:szCs w:val="21"/>
                </w:rPr>
              </w:pPr>
              <w:r>
                <w:rPr>
                  <w:rFonts w:cstheme="minorBidi"/>
                  <w:szCs w:val="21"/>
                </w:rPr>
                <w:fldChar w:fldCharType="begin"/>
              </w:r>
              <w:r>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Pr>
                  <w:rFonts w:cstheme="minorBidi"/>
                  <w:szCs w:val="21"/>
                </w:rPr>
                <w:instrText xml:space="preserve"> MACROBUTTON  SnrToggleCheckbox √不适用 </w:instrText>
              </w:r>
              <w:r>
                <w:rPr>
                  <w:rFonts w:cstheme="minorBidi"/>
                  <w:szCs w:val="21"/>
                </w:rPr>
                <w:fldChar w:fldCharType="end"/>
              </w:r>
            </w:p>
          </w:sdtContent>
        </w:sdt>
      </w:sdtContent>
    </w:sdt>
    <w:sdt>
      <w:sdtPr>
        <w:rPr>
          <w:rFonts w:ascii="宋体" w:hAnsi="宋体" w:cs="宋体"/>
          <w:b w:val="0"/>
          <w:bCs w:val="0"/>
          <w:kern w:val="0"/>
          <w:szCs w:val="21"/>
        </w:rPr>
        <w:alias w:val="模块:公允价值其他需要披露的事项"/>
        <w:tag w:val="_GBC_1551c1b4fedc4ac0ae859b67b4b79904"/>
        <w:id w:val="2068606842"/>
        <w:lock w:val="sdtLocked"/>
        <w:placeholder>
          <w:docPart w:val="GBC22222222222222222222222222222"/>
        </w:placeholder>
      </w:sdtPr>
      <w:sdtEndPr/>
      <w:sdtContent>
        <w:p w14:paraId="41FF44D9" w14:textId="77777777" w:rsidR="00830E72" w:rsidRDefault="008344D8">
          <w:pPr>
            <w:pStyle w:val="Style99"/>
            <w:numPr>
              <w:ilvl w:val="0"/>
              <w:numId w:val="82"/>
            </w:numPr>
            <w:rPr>
              <w:rFonts w:ascii="宋体" w:hAnsi="宋体"/>
              <w:szCs w:val="21"/>
            </w:rPr>
          </w:pPr>
          <w:r>
            <w:rPr>
              <w:rFonts w:ascii="宋体" w:hAnsi="宋体" w:hint="eastAsia"/>
              <w:szCs w:val="21"/>
            </w:rPr>
            <w:t>其他</w:t>
          </w:r>
        </w:p>
        <w:sdt>
          <w:sdtPr>
            <w:rPr>
              <w:rFonts w:hint="eastAsia"/>
              <w:szCs w:val="21"/>
            </w:rPr>
            <w:alias w:val="是否适用：公允价值其他需要披露的事项[双击切换]"/>
            <w:tag w:val="_GBC_9174a0e7dec04e80924ee384dabe783a"/>
            <w:id w:val="97690528"/>
            <w:lock w:val="sdtContentLocked"/>
            <w:placeholder>
              <w:docPart w:val="GBC22222222222222222222222222222"/>
            </w:placeholder>
          </w:sdtPr>
          <w:sdtEndPr/>
          <w:sdtContent>
            <w:p w14:paraId="7901222E"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B892763" w14:textId="77777777" w:rsidR="00830E72" w:rsidRDefault="008344D8">
      <w:pPr>
        <w:pStyle w:val="2CharCharChar"/>
        <w:numPr>
          <w:ilvl w:val="0"/>
          <w:numId w:val="32"/>
        </w:numPr>
        <w:ind w:left="422" w:hanging="422"/>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602142582"/>
        <w:lock w:val="sdtLocked"/>
        <w:placeholder>
          <w:docPart w:val="GBC22222222222222222222222222222"/>
        </w:placeholder>
      </w:sdtPr>
      <w:sdtEndPr>
        <w:rPr>
          <w:rFonts w:cs="Cambria"/>
          <w:szCs w:val="21"/>
        </w:rPr>
      </w:sdtEndPr>
      <w:sdtContent>
        <w:p w14:paraId="17B8D15E" w14:textId="77777777" w:rsidR="00830E72" w:rsidRDefault="008344D8">
          <w:pPr>
            <w:pStyle w:val="Style99"/>
            <w:numPr>
              <w:ilvl w:val="0"/>
              <w:numId w:val="83"/>
            </w:numPr>
            <w:rPr>
              <w:rFonts w:ascii="宋体" w:hAnsi="宋体"/>
            </w:rPr>
          </w:pPr>
          <w:r>
            <w:rPr>
              <w:rFonts w:ascii="宋体" w:hAnsi="宋体" w:hint="eastAsia"/>
            </w:rPr>
            <w:t>本企业的母公司情况</w:t>
          </w:r>
        </w:p>
        <w:sdt>
          <w:sdtPr>
            <w:alias w:val="是否适用：本企业的母公司情况[双击切换]"/>
            <w:tag w:val="_GBC_ead7e4ec9cc847adb62aa8efd8005802"/>
            <w:id w:val="-343479116"/>
            <w:lock w:val="sdtLocked"/>
            <w:placeholder>
              <w:docPart w:val="GBC22222222222222222222222222222"/>
            </w:placeholder>
          </w:sdtPr>
          <w:sdtEndPr/>
          <w:sdtContent>
            <w:p w14:paraId="2844B2CE"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E8C5064" w14:textId="77777777" w:rsidR="00830E72" w:rsidRDefault="008344D8">
          <w:pPr>
            <w:jc w:val="right"/>
          </w:pPr>
          <w:r>
            <w:rPr>
              <w:rFonts w:hint="eastAsia"/>
            </w:rPr>
            <w:t>单位：</w:t>
          </w:r>
          <w:sdt>
            <w:sdtPr>
              <w:rPr>
                <w:rFonts w:hint="eastAsia"/>
              </w:rPr>
              <w:alias w:val="单位：本企业的母公司情况"/>
              <w:tag w:val="_GBC_6deea75122314a599b3383585a0f5cfe"/>
              <w:id w:val="-19356620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币种：</w:t>
          </w:r>
          <w:sdt>
            <w:sdtPr>
              <w:rPr>
                <w:rFonts w:hint="eastAsia"/>
              </w:rPr>
              <w:alias w:val="币种：本企业的母公司情况"/>
              <w:tag w:val="_GBC_3d5eae3a190749288b0c0bc9b1b1a3a3"/>
              <w:id w:val="-1617673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1234"/>
            <w:gridCol w:w="1464"/>
            <w:gridCol w:w="1464"/>
            <w:gridCol w:w="1683"/>
            <w:gridCol w:w="1817"/>
          </w:tblGrid>
          <w:tr w:rsidR="00830E72" w14:paraId="3D89C710" w14:textId="77777777">
            <w:trPr>
              <w:trHeight w:val="842"/>
            </w:trPr>
            <w:sdt>
              <w:sdtPr>
                <w:tag w:val="_PLD_19f86fac20c44d648212d3b573ca4c90"/>
                <w:id w:val="1787544147"/>
                <w:lock w:val="sdtLocked"/>
              </w:sdtPr>
              <w:sdtEnd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17F4F814" w14:textId="77777777" w:rsidR="00830E72" w:rsidRDefault="008344D8">
                    <w:pPr>
                      <w:jc w:val="center"/>
                      <w:rPr>
                        <w:rFonts w:cs="Cambria"/>
                        <w:szCs w:val="21"/>
                      </w:rPr>
                    </w:pPr>
                    <w:r>
                      <w:rPr>
                        <w:rFonts w:cs="Cambria" w:hint="eastAsia"/>
                        <w:szCs w:val="21"/>
                      </w:rPr>
                      <w:t>母公司名称</w:t>
                    </w:r>
                  </w:p>
                </w:tc>
              </w:sdtContent>
            </w:sdt>
            <w:sdt>
              <w:sdtPr>
                <w:tag w:val="_PLD_d0e9e84346084d4db76e60afa87cf85a"/>
                <w:id w:val="1262262126"/>
                <w:lock w:val="sdtLocked"/>
              </w:sdtPr>
              <w:sdtEndPr/>
              <w:sdtContent>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2BDDD289" w14:textId="77777777" w:rsidR="00830E72" w:rsidRDefault="008344D8">
                    <w:pPr>
                      <w:jc w:val="center"/>
                      <w:rPr>
                        <w:rFonts w:cs="Cambria"/>
                        <w:szCs w:val="21"/>
                      </w:rPr>
                    </w:pPr>
                    <w:r>
                      <w:rPr>
                        <w:rFonts w:cs="Cambria" w:hint="eastAsia"/>
                        <w:szCs w:val="21"/>
                      </w:rPr>
                      <w:t>注册地</w:t>
                    </w:r>
                  </w:p>
                </w:tc>
              </w:sdtContent>
            </w:sdt>
            <w:sdt>
              <w:sdtPr>
                <w:tag w:val="_PLD_862851f8ff08431ea28c3420f555e42d"/>
                <w:id w:val="-1474210192"/>
                <w:lock w:val="sdtLocked"/>
              </w:sdtPr>
              <w:sdtEnd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77E29F3E" w14:textId="77777777" w:rsidR="00830E72" w:rsidRDefault="008344D8">
                    <w:pPr>
                      <w:jc w:val="center"/>
                      <w:rPr>
                        <w:rFonts w:cs="Cambria"/>
                        <w:szCs w:val="21"/>
                      </w:rPr>
                    </w:pPr>
                    <w:r>
                      <w:rPr>
                        <w:rFonts w:cs="Cambria" w:hint="eastAsia"/>
                        <w:szCs w:val="21"/>
                      </w:rPr>
                      <w:t>业务性质</w:t>
                    </w:r>
                  </w:p>
                </w:tc>
              </w:sdtContent>
            </w:sdt>
            <w:sdt>
              <w:sdtPr>
                <w:tag w:val="_PLD_77ed8bc59084448aa6eced74a15c106f"/>
                <w:id w:val="1553273102"/>
                <w:lock w:val="sdtLocked"/>
              </w:sdtPr>
              <w:sdtEnd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4C0406AF" w14:textId="77777777" w:rsidR="00830E72" w:rsidRDefault="008344D8">
                    <w:pPr>
                      <w:jc w:val="center"/>
                      <w:rPr>
                        <w:rFonts w:cs="Cambria"/>
                        <w:szCs w:val="21"/>
                      </w:rPr>
                    </w:pPr>
                    <w:r>
                      <w:rPr>
                        <w:rFonts w:cs="Cambria" w:hint="eastAsia"/>
                        <w:szCs w:val="21"/>
                      </w:rPr>
                      <w:t>注册资本</w:t>
                    </w:r>
                  </w:p>
                </w:tc>
              </w:sdtContent>
            </w:sdt>
            <w:sdt>
              <w:sdtPr>
                <w:tag w:val="_PLD_360f61c4c6c14f0abe6480ef7f30e958"/>
                <w:id w:val="-1958488090"/>
                <w:lock w:val="sdtLocked"/>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51813679" w14:textId="77777777" w:rsidR="00830E72" w:rsidRDefault="008344D8">
                    <w:pPr>
                      <w:jc w:val="center"/>
                      <w:rPr>
                        <w:rFonts w:cs="Cambria"/>
                        <w:szCs w:val="21"/>
                      </w:rPr>
                    </w:pPr>
                    <w:r>
                      <w:rPr>
                        <w:rFonts w:cs="Cambria" w:hint="eastAsia"/>
                        <w:szCs w:val="21"/>
                      </w:rPr>
                      <w:t>母公司对本企业的持股比例</w:t>
                    </w:r>
                    <w:r>
                      <w:rPr>
                        <w:rFonts w:cs="Cambria"/>
                        <w:szCs w:val="21"/>
                      </w:rPr>
                      <w:t>(%)</w:t>
                    </w:r>
                  </w:p>
                </w:tc>
              </w:sdtContent>
            </w:sdt>
            <w:sdt>
              <w:sdtPr>
                <w:tag w:val="_PLD_3ef945e24ca64fc394d2e6b861604fcf"/>
                <w:id w:val="-118069075"/>
                <w:lock w:val="sdtLocked"/>
              </w:sdtPr>
              <w:sdtEndPr/>
              <w:sdtContent>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6513A40F" w14:textId="77777777" w:rsidR="00830E72" w:rsidRDefault="008344D8">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asciiTheme="minorHAnsi" w:eastAsiaTheme="minorEastAsia" w:hAnsiTheme="minorHAnsi" w:cs="Cambria"/>
                <w:kern w:val="2"/>
                <w:szCs w:val="21"/>
              </w:rPr>
              <w:alias w:val="本企业的母公司情况明细"/>
              <w:tag w:val="_GBC_e3a0ec4880544cc4ad472a056e28a2a2"/>
              <w:id w:val="332264197"/>
            </w:sdtPr>
            <w:sdtEndPr/>
            <w:sdtContent>
              <w:tr w:rsidR="00830E72" w14:paraId="3EC59806" w14:textId="77777777">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69A69510" w14:textId="77777777" w:rsidR="00830E72" w:rsidRDefault="008344D8">
                    <w:pPr>
                      <w:rPr>
                        <w:rFonts w:cs="Cambria"/>
                        <w:szCs w:val="21"/>
                      </w:rPr>
                    </w:pPr>
                    <w:r>
                      <w:t>祥源控股</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6B1885D" w14:textId="77777777" w:rsidR="00830E72" w:rsidRDefault="008344D8">
                    <w:pPr>
                      <w:rPr>
                        <w:rFonts w:cs="Cambria"/>
                        <w:szCs w:val="21"/>
                      </w:rPr>
                    </w:pPr>
                    <w:r>
                      <w:t>浙江绍兴</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53C933CC" w14:textId="77777777" w:rsidR="00830E72" w:rsidRDefault="008344D8">
                    <w:pPr>
                      <w:rPr>
                        <w:rFonts w:cs="Cambria"/>
                        <w:szCs w:val="21"/>
                      </w:rPr>
                    </w:pPr>
                    <w:r>
                      <w:t>实业投资</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68D4F50B" w14:textId="77777777" w:rsidR="00830E72" w:rsidRDefault="008344D8">
                    <w:pPr>
                      <w:jc w:val="right"/>
                      <w:rPr>
                        <w:rFonts w:cs="Cambria"/>
                        <w:szCs w:val="21"/>
                      </w:rPr>
                    </w:pPr>
                    <w:r>
                      <w:t>90,000.00</w:t>
                    </w:r>
                  </w:p>
                </w:tc>
                <w:tc>
                  <w:tcPr>
                    <w:tcW w:w="929" w:type="pct"/>
                    <w:tcBorders>
                      <w:top w:val="single" w:sz="4" w:space="0" w:color="auto"/>
                      <w:left w:val="single" w:sz="4" w:space="0" w:color="auto"/>
                      <w:bottom w:val="single" w:sz="4" w:space="0" w:color="auto"/>
                      <w:right w:val="single" w:sz="4" w:space="0" w:color="auto"/>
                    </w:tcBorders>
                    <w:shd w:val="clear" w:color="auto" w:fill="auto"/>
                  </w:tcPr>
                  <w:p w14:paraId="4CC9A254" w14:textId="77777777" w:rsidR="00830E72" w:rsidRDefault="008344D8">
                    <w:pPr>
                      <w:jc w:val="right"/>
                      <w:rPr>
                        <w:rFonts w:cs="Cambria"/>
                        <w:szCs w:val="21"/>
                      </w:rPr>
                    </w:pPr>
                    <w:r>
                      <w:t>54.97</w:t>
                    </w:r>
                  </w:p>
                </w:tc>
                <w:tc>
                  <w:tcPr>
                    <w:tcW w:w="1003" w:type="pct"/>
                    <w:tcBorders>
                      <w:top w:val="single" w:sz="4" w:space="0" w:color="auto"/>
                      <w:left w:val="single" w:sz="4" w:space="0" w:color="auto"/>
                      <w:bottom w:val="single" w:sz="4" w:space="0" w:color="auto"/>
                      <w:right w:val="single" w:sz="4" w:space="0" w:color="auto"/>
                    </w:tcBorders>
                    <w:shd w:val="clear" w:color="auto" w:fill="auto"/>
                  </w:tcPr>
                  <w:p w14:paraId="6E65499A" w14:textId="77777777" w:rsidR="00830E72" w:rsidRDefault="008344D8">
                    <w:pPr>
                      <w:jc w:val="right"/>
                      <w:rPr>
                        <w:rFonts w:cs="Cambria"/>
                        <w:szCs w:val="21"/>
                      </w:rPr>
                    </w:pPr>
                    <w:r>
                      <w:t>54.97</w:t>
                    </w:r>
                  </w:p>
                </w:tc>
              </w:tr>
            </w:sdtContent>
          </w:sdt>
        </w:tbl>
        <w:p w14:paraId="3D65FA6B" w14:textId="77777777" w:rsidR="00830E72" w:rsidRDefault="00D44830">
          <w:pPr>
            <w:rPr>
              <w:szCs w:val="21"/>
            </w:rPr>
          </w:pPr>
        </w:p>
      </w:sdtContent>
    </w:sdt>
    <w:sdt>
      <w:sdtPr>
        <w:rPr>
          <w:rFonts w:ascii="宋体" w:hAnsi="宋体" w:cs="Arial" w:hint="eastAsia"/>
          <w:b w:val="0"/>
          <w:bCs w:val="0"/>
          <w:kern w:val="0"/>
          <w:szCs w:val="21"/>
        </w:rPr>
        <w:alias w:val="模块:本企业的子公司情况"/>
        <w:tag w:val="_GBC_244a434a920446c1838410fee0ac8ba8"/>
        <w:id w:val="-153607509"/>
        <w:lock w:val="sdtLocked"/>
        <w:placeholder>
          <w:docPart w:val="GBC22222222222222222222222222222"/>
        </w:placeholder>
      </w:sdtPr>
      <w:sdtEndPr>
        <w:rPr>
          <w:rFonts w:cs="Cambria"/>
        </w:rPr>
      </w:sdtEndPr>
      <w:sdtContent>
        <w:p w14:paraId="0C44A55A" w14:textId="77777777" w:rsidR="00830E72" w:rsidRDefault="008344D8">
          <w:pPr>
            <w:pStyle w:val="Style99"/>
            <w:numPr>
              <w:ilvl w:val="0"/>
              <w:numId w:val="83"/>
            </w:numPr>
            <w:rPr>
              <w:rFonts w:ascii="宋体" w:hAnsi="宋体" w:cs="Arial"/>
              <w:szCs w:val="21"/>
            </w:rPr>
          </w:pPr>
          <w:r>
            <w:rPr>
              <w:rFonts w:ascii="宋体" w:hAnsi="宋体" w:cs="Arial" w:hint="eastAsia"/>
              <w:szCs w:val="21"/>
            </w:rPr>
            <w:t>本企业的子公司情况</w:t>
          </w:r>
        </w:p>
        <w:p w14:paraId="4088364D" w14:textId="77777777" w:rsidR="00830E72" w:rsidRDefault="008344D8">
          <w:pPr>
            <w:rPr>
              <w:szCs w:val="21"/>
            </w:rPr>
          </w:pPr>
          <w:r>
            <w:rPr>
              <w:rFonts w:hint="eastAsia"/>
              <w:szCs w:val="21"/>
            </w:rPr>
            <w:t>本企业子公司的情况详见附注</w:t>
          </w:r>
        </w:p>
        <w:sdt>
          <w:sdtPr>
            <w:rPr>
              <w:szCs w:val="21"/>
            </w:rPr>
            <w:alias w:val="是否适用：本公司的子公司情况详见附注[双击切换]"/>
            <w:tag w:val="_GBC_a8d551b9f62149d3bf9322adae2c671f"/>
            <w:id w:val="-793136792"/>
            <w:lock w:val="sdtLocked"/>
            <w:placeholder>
              <w:docPart w:val="GBC22222222222222222222222222222"/>
            </w:placeholder>
          </w:sdtPr>
          <w:sdtEndPr/>
          <w:sdtContent>
            <w:p w14:paraId="44980230"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2092041422"/>
            <w:lock w:val="sdtLocked"/>
            <w:placeholder>
              <w:docPart w:val="GBC22222222222222222222222222222"/>
            </w:placeholder>
          </w:sdtPr>
          <w:sdtEndPr/>
          <w:sdtContent>
            <w:p w14:paraId="1698B997" w14:textId="77777777" w:rsidR="00830E72" w:rsidRDefault="008344D8">
              <w:pPr>
                <w:rPr>
                  <w:szCs w:val="21"/>
                </w:rPr>
              </w:pPr>
              <w:r>
                <w:rPr>
                  <w:rFonts w:hint="eastAsia"/>
                  <w:szCs w:val="21"/>
                </w:rPr>
                <w:t>详见第十节财务报告之三、公司基本情况之2、合并财务报表范围</w:t>
              </w:r>
            </w:p>
          </w:sdtContent>
        </w:sdt>
      </w:sdtContent>
    </w:sdt>
    <w:sdt>
      <w:sdtPr>
        <w:rPr>
          <w:rFonts w:ascii="宋体" w:hAnsi="宋体" w:cs="宋体" w:hint="eastAsia"/>
          <w:b w:val="0"/>
          <w:bCs w:val="0"/>
          <w:kern w:val="0"/>
          <w:szCs w:val="24"/>
        </w:rPr>
        <w:alias w:val="模块:存在关联方交易或余额的合营和联营企业情况"/>
        <w:tag w:val="_GBC_a5638b7fd6a848a19564209060b6909a"/>
        <w:id w:val="545875300"/>
        <w:lock w:val="sdtLocked"/>
        <w:placeholder>
          <w:docPart w:val="GBC22222222222222222222222222222"/>
        </w:placeholder>
      </w:sdtPr>
      <w:sdtEndPr>
        <w:rPr>
          <w:rFonts w:cs="Cambria"/>
          <w:szCs w:val="21"/>
        </w:rPr>
      </w:sdtEndPr>
      <w:sdtContent>
        <w:p w14:paraId="7C149AA3" w14:textId="77777777" w:rsidR="00830E72" w:rsidRDefault="008344D8">
          <w:pPr>
            <w:pStyle w:val="Style99"/>
            <w:numPr>
              <w:ilvl w:val="0"/>
              <w:numId w:val="83"/>
            </w:numPr>
            <w:rPr>
              <w:rFonts w:ascii="宋体" w:hAnsi="宋体"/>
            </w:rPr>
          </w:pPr>
          <w:r>
            <w:rPr>
              <w:rFonts w:ascii="宋体" w:hAnsi="宋体" w:hint="eastAsia"/>
            </w:rPr>
            <w:t>本企业合营和联营企业情况</w:t>
          </w:r>
        </w:p>
        <w:p w14:paraId="3D7D55AD" w14:textId="77777777" w:rsidR="00830E72" w:rsidRDefault="008344D8">
          <w:r>
            <w:rPr>
              <w:rFonts w:hint="eastAsia"/>
            </w:rPr>
            <w:t>本企业重要的合营或联营企业详见附注</w:t>
          </w:r>
        </w:p>
        <w:sdt>
          <w:sdtPr>
            <w:alias w:val="是否适用：本企业重要的合营或联营企业详见附注[双击切换]"/>
            <w:tag w:val="_GBC_2a369d3377e94598b2a744dfe59973e2"/>
            <w:id w:val="1383520314"/>
            <w:lock w:val="sdtLocked"/>
            <w:placeholder>
              <w:docPart w:val="GBC22222222222222222222222222222"/>
            </w:placeholder>
          </w:sdtPr>
          <w:sdtEndPr/>
          <w:sdtContent>
            <w:p w14:paraId="0C4CAE6F"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4CC90F8" w14:textId="77777777" w:rsidR="00830E72" w:rsidRDefault="008344D8">
          <w:r>
            <w:rPr>
              <w:rFonts w:hint="eastAsia"/>
            </w:rPr>
            <w:lastRenderedPageBreak/>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cab97913a7cc4573b25c34077eadbc4c"/>
            <w:id w:val="818533370"/>
            <w:lock w:val="sdtLocked"/>
            <w:placeholder>
              <w:docPart w:val="GBC22222222222222222222222222222"/>
            </w:placeholder>
          </w:sdtPr>
          <w:sdtEndPr/>
          <w:sdtContent>
            <w:p w14:paraId="66E26038" w14:textId="77777777" w:rsidR="00830E72" w:rsidRDefault="008344D8">
              <w:pPr>
                <w:rPr>
                  <w:rFonts w:cs="Cambria"/>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其他关联方情况"/>
        <w:tag w:val="_GBC_047a0ce3dc594d779db6d4cbc1623727"/>
        <w:id w:val="-1634005623"/>
        <w:lock w:val="sdtLocked"/>
        <w:placeholder>
          <w:docPart w:val="GBC22222222222222222222222222222"/>
        </w:placeholder>
      </w:sdtPr>
      <w:sdtEndPr>
        <w:rPr>
          <w:rFonts w:cs="Cambria"/>
          <w:szCs w:val="21"/>
        </w:rPr>
      </w:sdtEndPr>
      <w:sdtContent>
        <w:p w14:paraId="1592345D" w14:textId="77777777" w:rsidR="00830E72" w:rsidRDefault="008344D8">
          <w:pPr>
            <w:pStyle w:val="Style99"/>
            <w:numPr>
              <w:ilvl w:val="0"/>
              <w:numId w:val="83"/>
            </w:numPr>
            <w:rPr>
              <w:rFonts w:ascii="宋体" w:hAnsi="宋体"/>
            </w:rPr>
          </w:pPr>
          <w:r>
            <w:rPr>
              <w:rFonts w:ascii="宋体" w:hAnsi="宋体" w:hint="eastAsia"/>
            </w:rPr>
            <w:t>其他关联方情况</w:t>
          </w:r>
        </w:p>
        <w:sdt>
          <w:sdtPr>
            <w:alias w:val="是否适用：其他关联方情况[双击切换]"/>
            <w:tag w:val="_GBC_f9c029ef57734babb6375a74af1e3736"/>
            <w:id w:val="780930258"/>
            <w:lock w:val="sdtLocked"/>
            <w:placeholder>
              <w:docPart w:val="GBC22222222222222222222222222222"/>
            </w:placeholder>
          </w:sdtPr>
          <w:sdtEndPr/>
          <w:sdtContent>
            <w:p w14:paraId="24EF9C78"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384"/>
          </w:tblGrid>
          <w:tr w:rsidR="00830E72" w14:paraId="761CE14A" w14:textId="77777777">
            <w:trPr>
              <w:trHeight w:val="267"/>
            </w:trPr>
            <w:sdt>
              <w:sdtPr>
                <w:tag w:val="_PLD_8fe00abbc9b249a98b2e3ac6b12f12db"/>
                <w:id w:val="462631489"/>
                <w:lock w:val="sdtLocked"/>
              </w:sdtPr>
              <w:sdtEndPr/>
              <w:sdtContent>
                <w:tc>
                  <w:tcPr>
                    <w:tcW w:w="3130" w:type="pct"/>
                    <w:tcBorders>
                      <w:top w:val="single" w:sz="4" w:space="0" w:color="auto"/>
                      <w:left w:val="single" w:sz="4" w:space="0" w:color="auto"/>
                      <w:bottom w:val="single" w:sz="4" w:space="0" w:color="auto"/>
                      <w:right w:val="single" w:sz="4" w:space="0" w:color="auto"/>
                    </w:tcBorders>
                    <w:shd w:val="clear" w:color="auto" w:fill="auto"/>
                  </w:tcPr>
                  <w:p w14:paraId="1752626A" w14:textId="77777777" w:rsidR="00830E72" w:rsidRDefault="008344D8">
                    <w:pPr>
                      <w:jc w:val="center"/>
                      <w:rPr>
                        <w:rFonts w:cs="Cambria"/>
                        <w:szCs w:val="21"/>
                      </w:rPr>
                    </w:pPr>
                    <w:r>
                      <w:rPr>
                        <w:rFonts w:cs="Cambria" w:hint="eastAsia"/>
                        <w:szCs w:val="21"/>
                      </w:rPr>
                      <w:t>其他关联方名称</w:t>
                    </w:r>
                  </w:p>
                </w:tc>
              </w:sdtContent>
            </w:sdt>
            <w:sdt>
              <w:sdtPr>
                <w:tag w:val="_PLD_c1304840da1e482f80286e0c7ca19002"/>
                <w:id w:val="819012129"/>
                <w:lock w:val="sdtLocked"/>
              </w:sdtPr>
              <w:sdtEndPr/>
              <w:sdtContent>
                <w:tc>
                  <w:tcPr>
                    <w:tcW w:w="1870" w:type="pct"/>
                    <w:tcBorders>
                      <w:top w:val="single" w:sz="4" w:space="0" w:color="auto"/>
                      <w:left w:val="single" w:sz="4" w:space="0" w:color="auto"/>
                      <w:bottom w:val="single" w:sz="4" w:space="0" w:color="auto"/>
                      <w:right w:val="single" w:sz="4" w:space="0" w:color="auto"/>
                    </w:tcBorders>
                    <w:shd w:val="clear" w:color="auto" w:fill="auto"/>
                  </w:tcPr>
                  <w:p w14:paraId="4E964689" w14:textId="77777777" w:rsidR="00830E72" w:rsidRDefault="008344D8">
                    <w:pPr>
                      <w:jc w:val="center"/>
                      <w:rPr>
                        <w:rFonts w:cs="Cambria"/>
                        <w:szCs w:val="21"/>
                      </w:rPr>
                    </w:pPr>
                    <w:r>
                      <w:rPr>
                        <w:rFonts w:cs="Cambria" w:hint="eastAsia"/>
                        <w:szCs w:val="21"/>
                      </w:rPr>
                      <w:t>其他关联方与本企业关系</w:t>
                    </w:r>
                  </w:p>
                </w:tc>
              </w:sdtContent>
            </w:sdt>
          </w:tr>
          <w:sdt>
            <w:sdtPr>
              <w:rPr>
                <w:rFonts w:asciiTheme="minorHAnsi" w:eastAsiaTheme="minorEastAsia" w:hAnsiTheme="minorHAnsi" w:cs="Cambria"/>
                <w:kern w:val="2"/>
                <w:szCs w:val="21"/>
              </w:rPr>
              <w:alias w:val="本企业的其他关联方情况明细"/>
              <w:tag w:val="_GBC_2ec4adf7a1ce48faaeba9536b2bf6d81"/>
              <w:id w:val="-19855955"/>
            </w:sdtPr>
            <w:sdtEndPr/>
            <w:sdtContent>
              <w:tr w:rsidR="00830E72" w14:paraId="1EE2D93E"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CFBC6D3" w14:textId="77777777" w:rsidR="00830E72" w:rsidRDefault="008344D8">
                    <w:pPr>
                      <w:rPr>
                        <w:rFonts w:cs="Cambria"/>
                        <w:szCs w:val="21"/>
                      </w:rPr>
                    </w:pPr>
                    <w:r>
                      <w:rPr>
                        <w:rFonts w:hint="eastAsia"/>
                      </w:rPr>
                      <w:t>绍兴世合投资咨询有限公司</w:t>
                    </w:r>
                  </w:p>
                </w:tc>
                <w:sdt>
                  <w:sdtPr>
                    <w:rPr>
                      <w:rFonts w:cs="Cambria"/>
                      <w:szCs w:val="21"/>
                    </w:rPr>
                    <w:alias w:val="本企业的其他关联方情况明细－其他关联方与本公司关系"/>
                    <w:tag w:val="_GBC_2205fb8ea5f648b5a0c9e8e3f8499f9f"/>
                    <w:id w:val="-19744337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20758B4"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59945450"/>
            </w:sdtPr>
            <w:sdtEndPr/>
            <w:sdtContent>
              <w:tr w:rsidR="00830E72" w14:paraId="2A4DB59A"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7FB4F011" w14:textId="77777777" w:rsidR="00830E72" w:rsidRDefault="008344D8">
                    <w:pPr>
                      <w:rPr>
                        <w:rFonts w:cs="Cambria"/>
                        <w:szCs w:val="21"/>
                      </w:rPr>
                    </w:pPr>
                    <w:r>
                      <w:t>齐云山投资集团有限公司</w:t>
                    </w:r>
                  </w:p>
                </w:tc>
                <w:sdt>
                  <w:sdtPr>
                    <w:rPr>
                      <w:rFonts w:cs="Cambria"/>
                      <w:szCs w:val="21"/>
                    </w:rPr>
                    <w:alias w:val="本企业的其他关联方情况明细－其他关联方与本公司关系"/>
                    <w:tag w:val="_GBC_2205fb8ea5f648b5a0c9e8e3f8499f9f"/>
                    <w:id w:val="11186224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5B6AC67E"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71941299"/>
            </w:sdtPr>
            <w:sdtEndPr/>
            <w:sdtContent>
              <w:tr w:rsidR="00830E72" w14:paraId="0E4D541D"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23CA905" w14:textId="77777777" w:rsidR="00830E72" w:rsidRDefault="008344D8">
                    <w:pPr>
                      <w:rPr>
                        <w:rFonts w:cs="Cambria"/>
                        <w:szCs w:val="21"/>
                      </w:rPr>
                    </w:pPr>
                    <w:r>
                      <w:t>黄山市齐云山水上游乐管理有限公司</w:t>
                    </w:r>
                  </w:p>
                </w:tc>
                <w:sdt>
                  <w:sdtPr>
                    <w:rPr>
                      <w:rFonts w:cs="Cambria"/>
                      <w:szCs w:val="21"/>
                    </w:rPr>
                    <w:alias w:val="本企业的其他关联方情况明细－其他关联方与本公司关系"/>
                    <w:tag w:val="_GBC_2205fb8ea5f648b5a0c9e8e3f8499f9f"/>
                    <w:id w:val="1049230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C2CD0A6"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783800761"/>
            </w:sdtPr>
            <w:sdtEndPr/>
            <w:sdtContent>
              <w:tr w:rsidR="00830E72" w14:paraId="3B78A79E"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7A0A4FE" w14:textId="77777777" w:rsidR="00830E72" w:rsidRDefault="008344D8">
                    <w:pPr>
                      <w:rPr>
                        <w:rFonts w:cs="Cambria"/>
                        <w:szCs w:val="21"/>
                      </w:rPr>
                    </w:pPr>
                    <w:r>
                      <w:t>黄山市祥源齐云山酒店管理有限公司</w:t>
                    </w:r>
                  </w:p>
                </w:tc>
                <w:sdt>
                  <w:sdtPr>
                    <w:rPr>
                      <w:rFonts w:cs="Cambria"/>
                      <w:szCs w:val="21"/>
                    </w:rPr>
                    <w:alias w:val="本企业的其他关联方情况明细－其他关联方与本公司关系"/>
                    <w:tag w:val="_GBC_2205fb8ea5f648b5a0c9e8e3f8499f9f"/>
                    <w:id w:val="204909925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8E6708C"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737288566"/>
            </w:sdtPr>
            <w:sdtEndPr/>
            <w:sdtContent>
              <w:tr w:rsidR="00830E72" w14:paraId="59ED137A"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1EC31C83" w14:textId="77777777" w:rsidR="00830E72" w:rsidRDefault="008344D8">
                    <w:pPr>
                      <w:rPr>
                        <w:rFonts w:cs="Cambria"/>
                        <w:szCs w:val="21"/>
                      </w:rPr>
                    </w:pPr>
                    <w:r>
                      <w:t>黄山市齐云博明置业有限公司</w:t>
                    </w:r>
                  </w:p>
                </w:tc>
                <w:sdt>
                  <w:sdtPr>
                    <w:rPr>
                      <w:rFonts w:cs="Cambria"/>
                      <w:szCs w:val="21"/>
                    </w:rPr>
                    <w:alias w:val="本企业的其他关联方情况明细－其他关联方与本公司关系"/>
                    <w:tag w:val="_GBC_2205fb8ea5f648b5a0c9e8e3f8499f9f"/>
                    <w:id w:val="147857726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E298556"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994751009"/>
            </w:sdtPr>
            <w:sdtEndPr/>
            <w:sdtContent>
              <w:tr w:rsidR="00830E72" w14:paraId="4F9478AF"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771103FC" w14:textId="77777777" w:rsidR="00830E72" w:rsidRDefault="008344D8">
                    <w:pPr>
                      <w:rPr>
                        <w:rFonts w:cs="Cambria"/>
                        <w:szCs w:val="21"/>
                      </w:rPr>
                    </w:pPr>
                    <w:r>
                      <w:t>齐云山旅游股份有限公司</w:t>
                    </w:r>
                  </w:p>
                </w:tc>
                <w:sdt>
                  <w:sdtPr>
                    <w:rPr>
                      <w:rFonts w:cs="Cambria"/>
                      <w:szCs w:val="21"/>
                    </w:rPr>
                    <w:alias w:val="本企业的其他关联方情况明细－其他关联方与本公司关系"/>
                    <w:tag w:val="_GBC_2205fb8ea5f648b5a0c9e8e3f8499f9f"/>
                    <w:id w:val="4950664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2D2E47D"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250490283"/>
            </w:sdtPr>
            <w:sdtEndPr/>
            <w:sdtContent>
              <w:tr w:rsidR="00830E72" w14:paraId="3D75D39F"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DE6B349" w14:textId="77777777" w:rsidR="00830E72" w:rsidRDefault="008344D8">
                    <w:pPr>
                      <w:rPr>
                        <w:rFonts w:cs="Cambria"/>
                        <w:szCs w:val="21"/>
                      </w:rPr>
                    </w:pPr>
                    <w:r>
                      <w:t>安徽齐云山旅游开发有限公司</w:t>
                    </w:r>
                  </w:p>
                </w:tc>
                <w:sdt>
                  <w:sdtPr>
                    <w:rPr>
                      <w:rFonts w:cs="Cambria"/>
                      <w:szCs w:val="21"/>
                    </w:rPr>
                    <w:alias w:val="本企业的其他关联方情况明细－其他关联方与本公司关系"/>
                    <w:tag w:val="_GBC_2205fb8ea5f648b5a0c9e8e3f8499f9f"/>
                    <w:id w:val="15521927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678A599"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21180683"/>
            </w:sdtPr>
            <w:sdtEndPr/>
            <w:sdtContent>
              <w:tr w:rsidR="00830E72" w14:paraId="3FC7EF50"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6C4449F5" w14:textId="77777777" w:rsidR="00830E72" w:rsidRDefault="008344D8">
                    <w:pPr>
                      <w:rPr>
                        <w:rFonts w:cs="Cambria"/>
                        <w:szCs w:val="21"/>
                      </w:rPr>
                    </w:pPr>
                    <w:r>
                      <w:t>祥源丹霞旅游投资（广东）有限公司</w:t>
                    </w:r>
                  </w:p>
                </w:tc>
                <w:sdt>
                  <w:sdtPr>
                    <w:rPr>
                      <w:rFonts w:cs="Cambria"/>
                      <w:szCs w:val="21"/>
                    </w:rPr>
                    <w:alias w:val="本企业的其他关联方情况明细－其他关联方与本公司关系"/>
                    <w:tag w:val="_GBC_2205fb8ea5f648b5a0c9e8e3f8499f9f"/>
                    <w:id w:val="-49380023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12D63BFC"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864408293"/>
            </w:sdtPr>
            <w:sdtEndPr/>
            <w:sdtContent>
              <w:tr w:rsidR="00830E72" w14:paraId="38B242F0"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7434B5D0" w14:textId="77777777" w:rsidR="00830E72" w:rsidRDefault="008344D8">
                    <w:pPr>
                      <w:rPr>
                        <w:rFonts w:cs="Cambria"/>
                        <w:szCs w:val="21"/>
                      </w:rPr>
                    </w:pPr>
                    <w:r>
                      <w:t>青岛祥源旅游发展股份有限公司</w:t>
                    </w:r>
                  </w:p>
                </w:tc>
                <w:sdt>
                  <w:sdtPr>
                    <w:rPr>
                      <w:rFonts w:cs="Cambria"/>
                      <w:szCs w:val="21"/>
                    </w:rPr>
                    <w:alias w:val="本企业的其他关联方情况明细－其他关联方与本公司关系"/>
                    <w:tag w:val="_GBC_2205fb8ea5f648b5a0c9e8e3f8499f9f"/>
                    <w:id w:val="18011817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252FE007"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96788070"/>
            </w:sdtPr>
            <w:sdtEndPr/>
            <w:sdtContent>
              <w:tr w:rsidR="00830E72" w14:paraId="3BB4C230"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9BEB539" w14:textId="77777777" w:rsidR="00830E72" w:rsidRDefault="008344D8">
                    <w:pPr>
                      <w:rPr>
                        <w:rFonts w:cs="Cambria"/>
                        <w:szCs w:val="21"/>
                      </w:rPr>
                    </w:pPr>
                    <w:r>
                      <w:t>祥源旅游开发有限公司</w:t>
                    </w:r>
                  </w:p>
                </w:tc>
                <w:sdt>
                  <w:sdtPr>
                    <w:rPr>
                      <w:rFonts w:cs="Cambria"/>
                      <w:szCs w:val="21"/>
                    </w:rPr>
                    <w:alias w:val="本企业的其他关联方情况明细－其他关联方与本公司关系"/>
                    <w:tag w:val="_GBC_2205fb8ea5f648b5a0c9e8e3f8499f9f"/>
                    <w:id w:val="1089477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143B22DA"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993395009"/>
            </w:sdtPr>
            <w:sdtEndPr/>
            <w:sdtContent>
              <w:tr w:rsidR="00830E72" w14:paraId="199B00B7"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08A7FBC" w14:textId="77777777" w:rsidR="00830E72" w:rsidRDefault="008344D8">
                    <w:pPr>
                      <w:rPr>
                        <w:rFonts w:cs="Cambria"/>
                        <w:szCs w:val="21"/>
                      </w:rPr>
                    </w:pPr>
                    <w:r>
                      <w:t>黄山市祥源云谷酒店管理有限公司</w:t>
                    </w:r>
                  </w:p>
                </w:tc>
                <w:sdt>
                  <w:sdtPr>
                    <w:rPr>
                      <w:rFonts w:cs="Cambria"/>
                      <w:szCs w:val="21"/>
                    </w:rPr>
                    <w:alias w:val="本企业的其他关联方情况明细－其他关联方与本公司关系"/>
                    <w:tag w:val="_GBC_2205fb8ea5f648b5a0c9e8e3f8499f9f"/>
                    <w:id w:val="131583766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C531008"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531189605"/>
            </w:sdtPr>
            <w:sdtEndPr/>
            <w:sdtContent>
              <w:tr w:rsidR="00830E72" w14:paraId="55728E8C"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6A771F0E" w14:textId="77777777" w:rsidR="00830E72" w:rsidRDefault="008344D8">
                    <w:pPr>
                      <w:rPr>
                        <w:rFonts w:cs="Cambria"/>
                        <w:szCs w:val="21"/>
                      </w:rPr>
                    </w:pPr>
                    <w:r>
                      <w:t>祥源酒店管理有限公司</w:t>
                    </w:r>
                  </w:p>
                </w:tc>
                <w:sdt>
                  <w:sdtPr>
                    <w:rPr>
                      <w:rFonts w:cs="Cambria"/>
                      <w:szCs w:val="21"/>
                    </w:rPr>
                    <w:alias w:val="本企业的其他关联方情况明细－其他关联方与本公司关系"/>
                    <w:tag w:val="_GBC_2205fb8ea5f648b5a0c9e8e3f8499f9f"/>
                    <w:id w:val="-9460753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6EF4D3A"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768989436"/>
            </w:sdtPr>
            <w:sdtEndPr/>
            <w:sdtContent>
              <w:tr w:rsidR="00830E72" w14:paraId="601DBDD5"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6D38107" w14:textId="77777777" w:rsidR="00830E72" w:rsidRDefault="008344D8">
                    <w:pPr>
                      <w:rPr>
                        <w:rFonts w:cs="Cambria"/>
                        <w:szCs w:val="21"/>
                      </w:rPr>
                    </w:pPr>
                    <w:r>
                      <w:t>安徽祥晟生态农业发展有限公司</w:t>
                    </w:r>
                  </w:p>
                </w:tc>
                <w:sdt>
                  <w:sdtPr>
                    <w:rPr>
                      <w:rFonts w:cs="Cambria"/>
                      <w:szCs w:val="21"/>
                    </w:rPr>
                    <w:alias w:val="本企业的其他关联方情况明细－其他关联方与本公司关系"/>
                    <w:tag w:val="_GBC_2205fb8ea5f648b5a0c9e8e3f8499f9f"/>
                    <w:id w:val="-1877643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1B09C02A"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987832636"/>
            </w:sdtPr>
            <w:sdtEndPr/>
            <w:sdtContent>
              <w:tr w:rsidR="00830E72" w14:paraId="512512EA"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70088585" w14:textId="77777777" w:rsidR="00830E72" w:rsidRDefault="008344D8">
                    <w:pPr>
                      <w:rPr>
                        <w:rFonts w:cs="Cambria"/>
                        <w:szCs w:val="21"/>
                      </w:rPr>
                    </w:pPr>
                    <w:r>
                      <w:t>黄山市祥源企业管理咨询有限公司</w:t>
                    </w:r>
                  </w:p>
                </w:tc>
                <w:sdt>
                  <w:sdtPr>
                    <w:rPr>
                      <w:rFonts w:cs="Cambria"/>
                      <w:szCs w:val="21"/>
                    </w:rPr>
                    <w:alias w:val="本企业的其他关联方情况明细－其他关联方与本公司关系"/>
                    <w:tag w:val="_GBC_2205fb8ea5f648b5a0c9e8e3f8499f9f"/>
                    <w:id w:val="-13860992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11F723CC"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060595613"/>
            </w:sdtPr>
            <w:sdtEndPr/>
            <w:sdtContent>
              <w:tr w:rsidR="00830E72" w14:paraId="5FB2B6F4"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165371A1" w14:textId="77777777" w:rsidR="00830E72" w:rsidRDefault="008344D8">
                    <w:pPr>
                      <w:rPr>
                        <w:rFonts w:cs="Cambria"/>
                        <w:szCs w:val="21"/>
                      </w:rPr>
                    </w:pPr>
                    <w:r>
                      <w:t>安徽祥源旅游产业研究院有限公司</w:t>
                    </w:r>
                  </w:p>
                </w:tc>
                <w:sdt>
                  <w:sdtPr>
                    <w:rPr>
                      <w:rFonts w:cs="Cambria"/>
                      <w:szCs w:val="21"/>
                    </w:rPr>
                    <w:alias w:val="本企业的其他关联方情况明细－其他关联方与本公司关系"/>
                    <w:tag w:val="_GBC_2205fb8ea5f648b5a0c9e8e3f8499f9f"/>
                    <w:id w:val="100440098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1A3AE011"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423637564"/>
            </w:sdtPr>
            <w:sdtEndPr/>
            <w:sdtContent>
              <w:tr w:rsidR="00830E72" w14:paraId="2DBF40EC"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6621931E" w14:textId="77777777" w:rsidR="00830E72" w:rsidRDefault="008344D8">
                    <w:pPr>
                      <w:rPr>
                        <w:rFonts w:cs="Cambria"/>
                        <w:szCs w:val="21"/>
                      </w:rPr>
                    </w:pPr>
                    <w:r>
                      <w:t>安徽祥源自由家度假营地旅游管理有限公司</w:t>
                    </w:r>
                  </w:p>
                </w:tc>
                <w:sdt>
                  <w:sdtPr>
                    <w:rPr>
                      <w:rFonts w:cs="Cambria"/>
                      <w:szCs w:val="21"/>
                    </w:rPr>
                    <w:alias w:val="本企业的其他关联方情况明细－其他关联方与本公司关系"/>
                    <w:tag w:val="_GBC_2205fb8ea5f648b5a0c9e8e3f8499f9f"/>
                    <w:id w:val="-13519511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115D5FE"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04499262"/>
            </w:sdtPr>
            <w:sdtEndPr/>
            <w:sdtContent>
              <w:tr w:rsidR="00830E72" w14:paraId="31F4BF97"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1D2A7ACC" w14:textId="77777777" w:rsidR="00830E72" w:rsidRDefault="008344D8">
                    <w:pPr>
                      <w:rPr>
                        <w:rFonts w:cs="Cambria"/>
                        <w:szCs w:val="21"/>
                      </w:rPr>
                    </w:pPr>
                    <w:r>
                      <w:t>为众投资</w:t>
                    </w:r>
                  </w:p>
                </w:tc>
                <w:sdt>
                  <w:sdtPr>
                    <w:rPr>
                      <w:rFonts w:cs="Cambria"/>
                      <w:szCs w:val="21"/>
                    </w:rPr>
                    <w:alias w:val="本企业的其他关联方情况明细－其他关联方与本公司关系"/>
                    <w:tag w:val="_GBC_2205fb8ea5f648b5a0c9e8e3f8499f9f"/>
                    <w:id w:val="-123994126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1B5AE84" w14:textId="77777777" w:rsidR="00830E72" w:rsidRDefault="008344D8">
                        <w:pPr>
                          <w:rPr>
                            <w:rFonts w:cs="Cambria"/>
                            <w:szCs w:val="21"/>
                          </w:rPr>
                        </w:pPr>
                        <w:r>
                          <w:rPr>
                            <w:rFonts w:cs="Cambria"/>
                            <w:szCs w:val="21"/>
                          </w:rPr>
                          <w:t>其他</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18485798"/>
            </w:sdtPr>
            <w:sdtEndPr/>
            <w:sdtContent>
              <w:tr w:rsidR="00830E72" w14:paraId="5306515E"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1566E232" w14:textId="77777777" w:rsidR="00830E72" w:rsidRDefault="008344D8">
                    <w:pPr>
                      <w:rPr>
                        <w:rFonts w:cs="Cambria"/>
                        <w:szCs w:val="21"/>
                      </w:rPr>
                    </w:pPr>
                    <w:r>
                      <w:t>合肥堃佑企业管理咨询有限公司</w:t>
                    </w:r>
                  </w:p>
                </w:tc>
                <w:sdt>
                  <w:sdtPr>
                    <w:rPr>
                      <w:rFonts w:cs="Cambria"/>
                      <w:szCs w:val="21"/>
                    </w:rPr>
                    <w:alias w:val="本企业的其他关联方情况明细－其他关联方与本公司关系"/>
                    <w:tag w:val="_GBC_2205fb8ea5f648b5a0c9e8e3f8499f9f"/>
                    <w:id w:val="-116377110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27005695"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780800193"/>
            </w:sdtPr>
            <w:sdtEndPr/>
            <w:sdtContent>
              <w:tr w:rsidR="00830E72" w14:paraId="043BDF77"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46C68AD" w14:textId="77777777" w:rsidR="00830E72" w:rsidRDefault="008344D8">
                    <w:pPr>
                      <w:rPr>
                        <w:rFonts w:cs="Cambria"/>
                        <w:szCs w:val="21"/>
                      </w:rPr>
                    </w:pPr>
                    <w:r>
                      <w:t>安徽祥富瑞酒店管理有限公司</w:t>
                    </w:r>
                  </w:p>
                </w:tc>
                <w:sdt>
                  <w:sdtPr>
                    <w:rPr>
                      <w:rFonts w:cs="Cambria"/>
                      <w:szCs w:val="21"/>
                    </w:rPr>
                    <w:alias w:val="本企业的其他关联方情况明细－其他关联方与本公司关系"/>
                    <w:tag w:val="_GBC_2205fb8ea5f648b5a0c9e8e3f8499f9f"/>
                    <w:id w:val="7806143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DF89368"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502582639"/>
            </w:sdtPr>
            <w:sdtEndPr/>
            <w:sdtContent>
              <w:tr w:rsidR="00830E72" w14:paraId="093E9CA3"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7F8942D" w14:textId="77777777" w:rsidR="00830E72" w:rsidRDefault="008344D8">
                    <w:pPr>
                      <w:rPr>
                        <w:rFonts w:cs="Cambria"/>
                        <w:szCs w:val="21"/>
                      </w:rPr>
                    </w:pPr>
                    <w:r>
                      <w:t>滁州山市文化发展有限公司</w:t>
                    </w:r>
                  </w:p>
                </w:tc>
                <w:sdt>
                  <w:sdtPr>
                    <w:rPr>
                      <w:rFonts w:cs="Cambria"/>
                      <w:szCs w:val="21"/>
                    </w:rPr>
                    <w:alias w:val="本企业的其他关联方情况明细－其他关联方与本公司关系"/>
                    <w:tag w:val="_GBC_2205fb8ea5f648b5a0c9e8e3f8499f9f"/>
                    <w:id w:val="-10676490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65941CF"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279248757"/>
            </w:sdtPr>
            <w:sdtEndPr/>
            <w:sdtContent>
              <w:tr w:rsidR="00830E72" w14:paraId="2437C000"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20BC50C" w14:textId="77777777" w:rsidR="00830E72" w:rsidRDefault="008344D8">
                    <w:pPr>
                      <w:rPr>
                        <w:rFonts w:cs="Cambria"/>
                        <w:szCs w:val="21"/>
                      </w:rPr>
                    </w:pPr>
                    <w:r>
                      <w:t>祥源房地产集团有限公司</w:t>
                    </w:r>
                  </w:p>
                </w:tc>
                <w:sdt>
                  <w:sdtPr>
                    <w:rPr>
                      <w:rFonts w:cs="Cambria"/>
                      <w:szCs w:val="21"/>
                    </w:rPr>
                    <w:alias w:val="本企业的其他关联方情况明细－其他关联方与本公司关系"/>
                    <w:tag w:val="_GBC_2205fb8ea5f648b5a0c9e8e3f8499f9f"/>
                    <w:id w:val="8666493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5893412A"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77274293"/>
            </w:sdtPr>
            <w:sdtEndPr/>
            <w:sdtContent>
              <w:tr w:rsidR="00830E72" w14:paraId="6529C869"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9CD8E61" w14:textId="77777777" w:rsidR="00830E72" w:rsidRDefault="008344D8">
                    <w:pPr>
                      <w:rPr>
                        <w:rFonts w:cs="Cambria"/>
                        <w:szCs w:val="21"/>
                      </w:rPr>
                    </w:pPr>
                    <w:r>
                      <w:t>合肥汇博商业管理有限公司</w:t>
                    </w:r>
                  </w:p>
                </w:tc>
                <w:sdt>
                  <w:sdtPr>
                    <w:rPr>
                      <w:rFonts w:cs="Cambria"/>
                      <w:szCs w:val="21"/>
                    </w:rPr>
                    <w:alias w:val="本企业的其他关联方情况明细－其他关联方与本公司关系"/>
                    <w:tag w:val="_GBC_2205fb8ea5f648b5a0c9e8e3f8499f9f"/>
                    <w:id w:val="-113355540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2DDBD291"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860032056"/>
            </w:sdtPr>
            <w:sdtEndPr/>
            <w:sdtContent>
              <w:tr w:rsidR="00830E72" w14:paraId="4FB1485D"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EFA45C8" w14:textId="77777777" w:rsidR="00830E72" w:rsidRDefault="008344D8">
                    <w:pPr>
                      <w:rPr>
                        <w:rFonts w:cs="Cambria"/>
                        <w:szCs w:val="21"/>
                      </w:rPr>
                    </w:pPr>
                    <w:r>
                      <w:t>六安祥源房地产开发有限公司</w:t>
                    </w:r>
                  </w:p>
                </w:tc>
                <w:sdt>
                  <w:sdtPr>
                    <w:rPr>
                      <w:rFonts w:cs="Cambria"/>
                      <w:szCs w:val="21"/>
                    </w:rPr>
                    <w:alias w:val="本企业的其他关联方情况明细－其他关联方与本公司关系"/>
                    <w:tag w:val="_GBC_2205fb8ea5f648b5a0c9e8e3f8499f9f"/>
                    <w:id w:val="110222646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253B0C5"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981216011"/>
            </w:sdtPr>
            <w:sdtEndPr/>
            <w:sdtContent>
              <w:tr w:rsidR="00830E72" w14:paraId="075F9593"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5F31E69C" w14:textId="77777777" w:rsidR="00830E72" w:rsidRDefault="008344D8">
                    <w:pPr>
                      <w:rPr>
                        <w:rFonts w:cs="Cambria"/>
                        <w:szCs w:val="21"/>
                      </w:rPr>
                    </w:pPr>
                    <w:r>
                      <w:t>祥源建设有限责任公司</w:t>
                    </w:r>
                  </w:p>
                </w:tc>
                <w:sdt>
                  <w:sdtPr>
                    <w:rPr>
                      <w:rFonts w:cs="Cambria"/>
                      <w:szCs w:val="21"/>
                    </w:rPr>
                    <w:alias w:val="本企业的其他关联方情况明细－其他关联方与本公司关系"/>
                    <w:tag w:val="_GBC_2205fb8ea5f648b5a0c9e8e3f8499f9f"/>
                    <w:id w:val="99892967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1868CBCF"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64201102"/>
            </w:sdtPr>
            <w:sdtEndPr/>
            <w:sdtContent>
              <w:tr w:rsidR="00830E72" w14:paraId="7411BAE1"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78F9E5EA" w14:textId="77777777" w:rsidR="00830E72" w:rsidRDefault="008344D8">
                    <w:pPr>
                      <w:rPr>
                        <w:rFonts w:cs="Cambria"/>
                        <w:szCs w:val="21"/>
                      </w:rPr>
                    </w:pPr>
                    <w:r>
                      <w:t>祥源物业服务有限公司</w:t>
                    </w:r>
                  </w:p>
                </w:tc>
                <w:sdt>
                  <w:sdtPr>
                    <w:rPr>
                      <w:rFonts w:cs="Cambria"/>
                      <w:szCs w:val="21"/>
                    </w:rPr>
                    <w:alias w:val="本企业的其他关联方情况明细－其他关联方与本公司关系"/>
                    <w:tag w:val="_GBC_2205fb8ea5f648b5a0c9e8e3f8499f9f"/>
                    <w:id w:val="-161520643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25F64715"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297037206"/>
            </w:sdtPr>
            <w:sdtEndPr/>
            <w:sdtContent>
              <w:tr w:rsidR="00830E72" w14:paraId="53A08582"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673B4A2A" w14:textId="77777777" w:rsidR="00830E72" w:rsidRDefault="008344D8">
                    <w:pPr>
                      <w:rPr>
                        <w:rFonts w:cs="Cambria"/>
                        <w:szCs w:val="21"/>
                      </w:rPr>
                    </w:pPr>
                    <w:r>
                      <w:t>合肥蜀西祥源房地产开发有限公司</w:t>
                    </w:r>
                  </w:p>
                </w:tc>
                <w:sdt>
                  <w:sdtPr>
                    <w:rPr>
                      <w:rFonts w:cs="Cambria"/>
                      <w:szCs w:val="21"/>
                    </w:rPr>
                    <w:alias w:val="本企业的其他关联方情况明细－其他关联方与本公司关系"/>
                    <w:tag w:val="_GBC_2205fb8ea5f648b5a0c9e8e3f8499f9f"/>
                    <w:id w:val="-174625646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89913FB"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392661395"/>
            </w:sdtPr>
            <w:sdtEndPr/>
            <w:sdtContent>
              <w:tr w:rsidR="00830E72" w14:paraId="52CEDC93"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502EB9B2" w14:textId="77777777" w:rsidR="00830E72" w:rsidRDefault="008344D8">
                    <w:pPr>
                      <w:rPr>
                        <w:rFonts w:cs="Cambria"/>
                        <w:szCs w:val="21"/>
                      </w:rPr>
                    </w:pPr>
                    <w:r>
                      <w:t>绍兴市祥源绿信置业有限公司</w:t>
                    </w:r>
                  </w:p>
                </w:tc>
                <w:sdt>
                  <w:sdtPr>
                    <w:rPr>
                      <w:rFonts w:cs="Cambria"/>
                      <w:szCs w:val="21"/>
                    </w:rPr>
                    <w:alias w:val="本企业的其他关联方情况明细－其他关联方与本公司关系"/>
                    <w:tag w:val="_GBC_2205fb8ea5f648b5a0c9e8e3f8499f9f"/>
                    <w:id w:val="-92679831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2B96C9F7"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550726793"/>
            </w:sdtPr>
            <w:sdtEndPr/>
            <w:sdtContent>
              <w:tr w:rsidR="00830E72" w14:paraId="23B6A83C"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64F0D70E" w14:textId="77777777" w:rsidR="00830E72" w:rsidRDefault="008344D8">
                    <w:pPr>
                      <w:rPr>
                        <w:rFonts w:cs="Cambria"/>
                        <w:szCs w:val="21"/>
                      </w:rPr>
                    </w:pPr>
                    <w:r>
                      <w:t>六安市西都百货经营管理有限公司</w:t>
                    </w:r>
                  </w:p>
                </w:tc>
                <w:sdt>
                  <w:sdtPr>
                    <w:rPr>
                      <w:rFonts w:cs="Cambria"/>
                      <w:szCs w:val="21"/>
                    </w:rPr>
                    <w:alias w:val="本企业的其他关联方情况明细－其他关联方与本公司关系"/>
                    <w:tag w:val="_GBC_2205fb8ea5f648b5a0c9e8e3f8499f9f"/>
                    <w:id w:val="-205630273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6772442"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791503976"/>
            </w:sdtPr>
            <w:sdtEndPr/>
            <w:sdtContent>
              <w:tr w:rsidR="00830E72" w14:paraId="717BBC25"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160B860" w14:textId="77777777" w:rsidR="00830E72" w:rsidRDefault="008344D8">
                    <w:pPr>
                      <w:rPr>
                        <w:rFonts w:cs="Cambria"/>
                        <w:szCs w:val="21"/>
                      </w:rPr>
                    </w:pPr>
                    <w:r>
                      <w:t>五河祥源投资开发有限公司</w:t>
                    </w:r>
                  </w:p>
                </w:tc>
                <w:sdt>
                  <w:sdtPr>
                    <w:rPr>
                      <w:rFonts w:cs="Cambria"/>
                      <w:szCs w:val="21"/>
                    </w:rPr>
                    <w:alias w:val="本企业的其他关联方情况明细－其他关联方与本公司关系"/>
                    <w:tag w:val="_GBC_2205fb8ea5f648b5a0c9e8e3f8499f9f"/>
                    <w:id w:val="202096394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68E05A7"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995844157"/>
            </w:sdtPr>
            <w:sdtEndPr/>
            <w:sdtContent>
              <w:tr w:rsidR="00830E72" w14:paraId="6ABFBFEE"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2EDC789" w14:textId="77777777" w:rsidR="00830E72" w:rsidRDefault="008344D8">
                    <w:pPr>
                      <w:rPr>
                        <w:rFonts w:cs="Cambria"/>
                        <w:szCs w:val="21"/>
                      </w:rPr>
                    </w:pPr>
                    <w:r>
                      <w:t>十堰祥源太极湖房地产有限公司</w:t>
                    </w:r>
                  </w:p>
                </w:tc>
                <w:sdt>
                  <w:sdtPr>
                    <w:rPr>
                      <w:rFonts w:cs="Cambria"/>
                      <w:szCs w:val="21"/>
                    </w:rPr>
                    <w:alias w:val="本企业的其他关联方情况明细－其他关联方与本公司关系"/>
                    <w:tag w:val="_GBC_2205fb8ea5f648b5a0c9e8e3f8499f9f"/>
                    <w:id w:val="7588781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70CA26B"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837958159"/>
            </w:sdtPr>
            <w:sdtEndPr/>
            <w:sdtContent>
              <w:tr w:rsidR="00830E72" w14:paraId="572D93DF"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5932FE3A" w14:textId="77777777" w:rsidR="00830E72" w:rsidRDefault="008344D8">
                    <w:pPr>
                      <w:rPr>
                        <w:rFonts w:cs="Cambria"/>
                        <w:szCs w:val="21"/>
                      </w:rPr>
                    </w:pPr>
                    <w:r>
                      <w:t>安徽祥源城市更新有限公司</w:t>
                    </w:r>
                  </w:p>
                </w:tc>
                <w:sdt>
                  <w:sdtPr>
                    <w:rPr>
                      <w:rFonts w:cs="Cambria"/>
                      <w:szCs w:val="21"/>
                    </w:rPr>
                    <w:alias w:val="本企业的其他关联方情况明细－其他关联方与本公司关系"/>
                    <w:tag w:val="_GBC_2205fb8ea5f648b5a0c9e8e3f8499f9f"/>
                    <w:id w:val="151826838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144FDF13"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728566786"/>
            </w:sdtPr>
            <w:sdtEndPr/>
            <w:sdtContent>
              <w:tr w:rsidR="00830E72" w14:paraId="20EA9CAA"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A8EC627" w14:textId="77777777" w:rsidR="00830E72" w:rsidRDefault="008344D8">
                    <w:pPr>
                      <w:rPr>
                        <w:rFonts w:cs="Cambria"/>
                        <w:szCs w:val="21"/>
                      </w:rPr>
                    </w:pPr>
                    <w:r>
                      <w:t>祥源花世界生态文化旅游区开发有限公司</w:t>
                    </w:r>
                  </w:p>
                </w:tc>
                <w:sdt>
                  <w:sdtPr>
                    <w:rPr>
                      <w:rFonts w:cs="Cambria"/>
                      <w:szCs w:val="21"/>
                    </w:rPr>
                    <w:alias w:val="本企业的其他关联方情况明细－其他关联方与本公司关系"/>
                    <w:tag w:val="_GBC_2205fb8ea5f648b5a0c9e8e3f8499f9f"/>
                    <w:id w:val="27368654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22548E7A"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524285860"/>
            </w:sdtPr>
            <w:sdtEndPr/>
            <w:sdtContent>
              <w:tr w:rsidR="00830E72" w14:paraId="5606E1FC"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6388DE07" w14:textId="77777777" w:rsidR="00830E72" w:rsidRDefault="008344D8">
                    <w:pPr>
                      <w:rPr>
                        <w:rFonts w:cs="Cambria"/>
                        <w:szCs w:val="21"/>
                      </w:rPr>
                    </w:pPr>
                    <w:r>
                      <w:t>安徽天路公路服务有限公司</w:t>
                    </w:r>
                  </w:p>
                </w:tc>
                <w:sdt>
                  <w:sdtPr>
                    <w:rPr>
                      <w:rFonts w:cs="Cambria"/>
                      <w:szCs w:val="21"/>
                    </w:rPr>
                    <w:alias w:val="本企业的其他关联方情况明细－其他关联方与本公司关系"/>
                    <w:tag w:val="_GBC_2205fb8ea5f648b5a0c9e8e3f8499f9f"/>
                    <w:id w:val="16544142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14BA9C32"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127534298"/>
            </w:sdtPr>
            <w:sdtEndPr/>
            <w:sdtContent>
              <w:tr w:rsidR="00830E72" w14:paraId="7EEDDB8F"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611866BF" w14:textId="77777777" w:rsidR="00830E72" w:rsidRDefault="008344D8">
                    <w:pPr>
                      <w:rPr>
                        <w:rFonts w:cs="Cambria"/>
                        <w:szCs w:val="21"/>
                      </w:rPr>
                    </w:pPr>
                    <w:r>
                      <w:t>安徽北城祥源房地产开发有限公司</w:t>
                    </w:r>
                  </w:p>
                </w:tc>
                <w:sdt>
                  <w:sdtPr>
                    <w:rPr>
                      <w:rFonts w:cs="Cambria"/>
                      <w:szCs w:val="21"/>
                    </w:rPr>
                    <w:alias w:val="本企业的其他关联方情况明细－其他关联方与本公司关系"/>
                    <w:tag w:val="_GBC_2205fb8ea5f648b5a0c9e8e3f8499f9f"/>
                    <w:id w:val="6547339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02AA44D"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321276539"/>
            </w:sdtPr>
            <w:sdtEndPr/>
            <w:sdtContent>
              <w:tr w:rsidR="00830E72" w14:paraId="61A63D42"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60D08FF" w14:textId="77777777" w:rsidR="00830E72" w:rsidRDefault="008344D8">
                    <w:pPr>
                      <w:rPr>
                        <w:rFonts w:cs="Cambria"/>
                        <w:szCs w:val="21"/>
                      </w:rPr>
                    </w:pPr>
                    <w:r>
                      <w:t>安徽新祥源房地产开发有限公司</w:t>
                    </w:r>
                  </w:p>
                </w:tc>
                <w:sdt>
                  <w:sdtPr>
                    <w:rPr>
                      <w:rFonts w:cs="Cambria"/>
                      <w:szCs w:val="21"/>
                    </w:rPr>
                    <w:alias w:val="本企业的其他关联方情况明细－其他关联方与本公司关系"/>
                    <w:tag w:val="_GBC_2205fb8ea5f648b5a0c9e8e3f8499f9f"/>
                    <w:id w:val="214260814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D1ECCDE"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493408464"/>
            </w:sdtPr>
            <w:sdtEndPr/>
            <w:sdtContent>
              <w:tr w:rsidR="00830E72" w14:paraId="272C9F8C"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188FA4C" w14:textId="77777777" w:rsidR="00830E72" w:rsidRDefault="008344D8">
                    <w:pPr>
                      <w:rPr>
                        <w:rFonts w:cs="Cambria"/>
                        <w:szCs w:val="21"/>
                      </w:rPr>
                    </w:pPr>
                    <w:r>
                      <w:t>合肥祥源商业资产经营管理有限公司</w:t>
                    </w:r>
                  </w:p>
                </w:tc>
                <w:sdt>
                  <w:sdtPr>
                    <w:rPr>
                      <w:rFonts w:cs="Cambria"/>
                      <w:szCs w:val="21"/>
                    </w:rPr>
                    <w:alias w:val="本企业的其他关联方情况明细－其他关联方与本公司关系"/>
                    <w:tag w:val="_GBC_2205fb8ea5f648b5a0c9e8e3f8499f9f"/>
                    <w:id w:val="-13014551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EF70FF9"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312957073"/>
            </w:sdtPr>
            <w:sdtEndPr/>
            <w:sdtContent>
              <w:tr w:rsidR="00830E72" w14:paraId="0D85143F"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75F17A66" w14:textId="77777777" w:rsidR="00830E72" w:rsidRDefault="008344D8">
                    <w:pPr>
                      <w:rPr>
                        <w:rFonts w:cs="Cambria"/>
                        <w:szCs w:val="21"/>
                      </w:rPr>
                    </w:pPr>
                    <w:r>
                      <w:t>湖北善水街商业管理有限公司</w:t>
                    </w:r>
                  </w:p>
                </w:tc>
                <w:sdt>
                  <w:sdtPr>
                    <w:rPr>
                      <w:rFonts w:cs="Cambria"/>
                      <w:szCs w:val="21"/>
                    </w:rPr>
                    <w:alias w:val="本企业的其他关联方情况明细－其他关联方与本公司关系"/>
                    <w:tag w:val="_GBC_2205fb8ea5f648b5a0c9e8e3f8499f9f"/>
                    <w:id w:val="-170616977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BF19244"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580368587"/>
            </w:sdtPr>
            <w:sdtEndPr/>
            <w:sdtContent>
              <w:tr w:rsidR="00830E72" w14:paraId="7732F980"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5666AAF" w14:textId="77777777" w:rsidR="00830E72" w:rsidRDefault="008344D8">
                    <w:pPr>
                      <w:rPr>
                        <w:rFonts w:cs="Cambria"/>
                        <w:szCs w:val="21"/>
                      </w:rPr>
                    </w:pPr>
                    <w:r>
                      <w:t>阜阳祥源颍淮水上游乐有限公司</w:t>
                    </w:r>
                  </w:p>
                </w:tc>
                <w:sdt>
                  <w:sdtPr>
                    <w:rPr>
                      <w:rFonts w:cs="Cambria"/>
                      <w:szCs w:val="21"/>
                    </w:rPr>
                    <w:alias w:val="本企业的其他关联方情况明细－其他关联方与本公司关系"/>
                    <w:tag w:val="_GBC_2205fb8ea5f648b5a0c9e8e3f8499f9f"/>
                    <w:id w:val="-108599301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517A574"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51196158"/>
            </w:sdtPr>
            <w:sdtEndPr/>
            <w:sdtContent>
              <w:tr w:rsidR="00830E72" w14:paraId="2269D926"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799AA3B3" w14:textId="77777777" w:rsidR="00830E72" w:rsidRDefault="008344D8">
                    <w:pPr>
                      <w:rPr>
                        <w:rFonts w:cs="Cambria"/>
                        <w:szCs w:val="21"/>
                      </w:rPr>
                    </w:pPr>
                    <w:r>
                      <w:t>祥源颍淮旅游开发股份有限公司</w:t>
                    </w:r>
                  </w:p>
                </w:tc>
                <w:sdt>
                  <w:sdtPr>
                    <w:rPr>
                      <w:rFonts w:cs="Cambria"/>
                      <w:szCs w:val="21"/>
                    </w:rPr>
                    <w:alias w:val="本企业的其他关联方情况明细－其他关联方与本公司关系"/>
                    <w:tag w:val="_GBC_2205fb8ea5f648b5a0c9e8e3f8499f9f"/>
                    <w:id w:val="10137786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C870223"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164279452"/>
            </w:sdtPr>
            <w:sdtEndPr/>
            <w:sdtContent>
              <w:tr w:rsidR="00830E72" w14:paraId="0402DA39"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51BC57E0" w14:textId="77777777" w:rsidR="00830E72" w:rsidRDefault="008344D8">
                    <w:pPr>
                      <w:rPr>
                        <w:rFonts w:cs="Cambria"/>
                        <w:szCs w:val="21"/>
                      </w:rPr>
                    </w:pPr>
                    <w:r>
                      <w:t>合肥金嘉木投资管理合伙企业（有限合伙）</w:t>
                    </w:r>
                  </w:p>
                </w:tc>
                <w:sdt>
                  <w:sdtPr>
                    <w:rPr>
                      <w:rFonts w:cs="Cambria"/>
                      <w:szCs w:val="21"/>
                    </w:rPr>
                    <w:alias w:val="本企业的其他关联方情况明细－其他关联方与本公司关系"/>
                    <w:tag w:val="_GBC_2205fb8ea5f648b5a0c9e8e3f8499f9f"/>
                    <w:id w:val="-210933848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1841ABF" w14:textId="77777777" w:rsidR="00830E72" w:rsidRDefault="008344D8">
                        <w:pPr>
                          <w:rPr>
                            <w:rFonts w:cs="Cambria"/>
                            <w:szCs w:val="21"/>
                          </w:rPr>
                        </w:pPr>
                        <w:r>
                          <w:rPr>
                            <w:rFonts w:cs="Cambria"/>
                            <w:szCs w:val="21"/>
                          </w:rPr>
                          <w:t>其他</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423561963"/>
            </w:sdtPr>
            <w:sdtEndPr/>
            <w:sdtContent>
              <w:tr w:rsidR="00830E72" w14:paraId="5E2405DA"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7C7A5F19" w14:textId="77777777" w:rsidR="00830E72" w:rsidRDefault="008344D8">
                    <w:pPr>
                      <w:rPr>
                        <w:rFonts w:cs="Cambria"/>
                        <w:szCs w:val="21"/>
                      </w:rPr>
                    </w:pPr>
                    <w:r>
                      <w:t>祥源茶业股份有限公司</w:t>
                    </w:r>
                  </w:p>
                </w:tc>
                <w:sdt>
                  <w:sdtPr>
                    <w:rPr>
                      <w:rFonts w:cs="Cambria"/>
                      <w:szCs w:val="21"/>
                    </w:rPr>
                    <w:alias w:val="本企业的其他关联方情况明细－其他关联方与本公司关系"/>
                    <w:tag w:val="_GBC_2205fb8ea5f648b5a0c9e8e3f8499f9f"/>
                    <w:id w:val="-209532040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D9F2A3B"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661087363"/>
            </w:sdtPr>
            <w:sdtEndPr/>
            <w:sdtContent>
              <w:tr w:rsidR="00830E72" w14:paraId="2DD5C825"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701761B" w14:textId="77777777" w:rsidR="00830E72" w:rsidRDefault="008344D8">
                    <w:pPr>
                      <w:rPr>
                        <w:rFonts w:cs="Cambria"/>
                        <w:szCs w:val="21"/>
                      </w:rPr>
                    </w:pPr>
                    <w:r>
                      <w:t>安徽省祁门县祁红茶业有限公司</w:t>
                    </w:r>
                  </w:p>
                </w:tc>
                <w:sdt>
                  <w:sdtPr>
                    <w:rPr>
                      <w:rFonts w:cs="Cambria"/>
                      <w:szCs w:val="21"/>
                    </w:rPr>
                    <w:alias w:val="本企业的其他关联方情况明细－其他关联方与本公司关系"/>
                    <w:tag w:val="_GBC_2205fb8ea5f648b5a0c9e8e3f8499f9f"/>
                    <w:id w:val="8142076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E1CB196"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460528505"/>
            </w:sdtPr>
            <w:sdtEndPr/>
            <w:sdtContent>
              <w:tr w:rsidR="00830E72" w14:paraId="31237D2F"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7D6C08A2" w14:textId="77777777" w:rsidR="00830E72" w:rsidRDefault="008344D8">
                    <w:pPr>
                      <w:rPr>
                        <w:rFonts w:cs="Cambria"/>
                        <w:szCs w:val="21"/>
                      </w:rPr>
                    </w:pPr>
                    <w:r>
                      <w:t>合肥易茶客电子商务有限公司</w:t>
                    </w:r>
                  </w:p>
                </w:tc>
                <w:sdt>
                  <w:sdtPr>
                    <w:rPr>
                      <w:rFonts w:cs="Cambria"/>
                      <w:szCs w:val="21"/>
                    </w:rPr>
                    <w:alias w:val="本企业的其他关联方情况明细－其他关联方与本公司关系"/>
                    <w:tag w:val="_GBC_2205fb8ea5f648b5a0c9e8e3f8499f9f"/>
                    <w:id w:val="18993933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4941CD9"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180434586"/>
            </w:sdtPr>
            <w:sdtEndPr/>
            <w:sdtContent>
              <w:tr w:rsidR="00830E72" w14:paraId="1A50EC77"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9865170" w14:textId="77777777" w:rsidR="00830E72" w:rsidRDefault="008344D8">
                    <w:pPr>
                      <w:rPr>
                        <w:rFonts w:cs="Cambria"/>
                        <w:szCs w:val="21"/>
                      </w:rPr>
                    </w:pPr>
                    <w:r>
                      <w:t>合肥祥源茶会商贸有限公司</w:t>
                    </w:r>
                  </w:p>
                </w:tc>
                <w:sdt>
                  <w:sdtPr>
                    <w:rPr>
                      <w:rFonts w:cs="Cambria"/>
                      <w:szCs w:val="21"/>
                    </w:rPr>
                    <w:alias w:val="本企业的其他关联方情况明细－其他关联方与本公司关系"/>
                    <w:tag w:val="_GBC_2205fb8ea5f648b5a0c9e8e3f8499f9f"/>
                    <w:id w:val="-8690632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0EEF599"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382133568"/>
            </w:sdtPr>
            <w:sdtEndPr/>
            <w:sdtContent>
              <w:tr w:rsidR="00830E72" w14:paraId="69BC373D"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D8C4AB4" w14:textId="77777777" w:rsidR="00830E72" w:rsidRDefault="008344D8">
                    <w:pPr>
                      <w:rPr>
                        <w:rFonts w:cs="Cambria"/>
                        <w:szCs w:val="21"/>
                      </w:rPr>
                    </w:pPr>
                    <w:r>
                      <w:t>西双版纳祥源易武茶业有限公司</w:t>
                    </w:r>
                  </w:p>
                </w:tc>
                <w:sdt>
                  <w:sdtPr>
                    <w:rPr>
                      <w:rFonts w:cs="Cambria"/>
                      <w:szCs w:val="21"/>
                    </w:rPr>
                    <w:alias w:val="本企业的其他关联方情况明细－其他关联方与本公司关系"/>
                    <w:tag w:val="_GBC_2205fb8ea5f648b5a0c9e8e3f8499f9f"/>
                    <w:id w:val="154563436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A1A9B14"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602807650"/>
            </w:sdtPr>
            <w:sdtEndPr/>
            <w:sdtContent>
              <w:tr w:rsidR="00830E72" w14:paraId="40EDCEFA"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74A00B6E" w14:textId="77777777" w:rsidR="00830E72" w:rsidRDefault="008344D8">
                    <w:pPr>
                      <w:rPr>
                        <w:rFonts w:cs="Cambria"/>
                        <w:szCs w:val="21"/>
                      </w:rPr>
                    </w:pPr>
                    <w:r>
                      <w:t>黄山市启建投资管理中心（有限合伙）</w:t>
                    </w:r>
                  </w:p>
                </w:tc>
                <w:sdt>
                  <w:sdtPr>
                    <w:rPr>
                      <w:rFonts w:cs="Cambria"/>
                      <w:szCs w:val="21"/>
                    </w:rPr>
                    <w:alias w:val="本企业的其他关联方情况明细－其他关联方与本公司关系"/>
                    <w:tag w:val="_GBC_2205fb8ea5f648b5a0c9e8e3f8499f9f"/>
                    <w:id w:val="-17729966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AE366DC" w14:textId="77777777" w:rsidR="00830E72" w:rsidRDefault="008344D8">
                        <w:pPr>
                          <w:rPr>
                            <w:rFonts w:cs="Cambria"/>
                            <w:szCs w:val="21"/>
                          </w:rPr>
                        </w:pPr>
                        <w:r>
                          <w:rPr>
                            <w:rFonts w:cs="Cambria"/>
                            <w:szCs w:val="21"/>
                          </w:rPr>
                          <w:t>其他</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885830947"/>
            </w:sdtPr>
            <w:sdtEndPr/>
            <w:sdtContent>
              <w:tr w:rsidR="00830E72" w14:paraId="2095C511"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7E2A2A7A" w14:textId="77777777" w:rsidR="00830E72" w:rsidRDefault="008344D8">
                    <w:pPr>
                      <w:rPr>
                        <w:rFonts w:cs="Cambria"/>
                        <w:szCs w:val="21"/>
                      </w:rPr>
                    </w:pPr>
                    <w:r>
                      <w:t>湖北祥益源企业管理有限公司</w:t>
                    </w:r>
                  </w:p>
                </w:tc>
                <w:sdt>
                  <w:sdtPr>
                    <w:rPr>
                      <w:rFonts w:cs="Cambria"/>
                      <w:szCs w:val="21"/>
                    </w:rPr>
                    <w:alias w:val="本企业的其他关联方情况明细－其他关联方与本公司关系"/>
                    <w:tag w:val="_GBC_2205fb8ea5f648b5a0c9e8e3f8499f9f"/>
                    <w:id w:val="90248469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2AC8C79"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533014598"/>
            </w:sdtPr>
            <w:sdtEndPr/>
            <w:sdtContent>
              <w:tr w:rsidR="00830E72" w14:paraId="3E4F7FE5"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CB5DF1D" w14:textId="77777777" w:rsidR="00830E72" w:rsidRDefault="008344D8">
                    <w:pPr>
                      <w:rPr>
                        <w:rFonts w:cs="Cambria"/>
                        <w:szCs w:val="21"/>
                      </w:rPr>
                    </w:pPr>
                    <w:r>
                      <w:t>湖北祥源八仙观茶业有限公司</w:t>
                    </w:r>
                  </w:p>
                </w:tc>
                <w:sdt>
                  <w:sdtPr>
                    <w:rPr>
                      <w:rFonts w:cs="Cambria"/>
                      <w:szCs w:val="21"/>
                    </w:rPr>
                    <w:alias w:val="本企业的其他关联方情况明细－其他关联方与本公司关系"/>
                    <w:tag w:val="_GBC_2205fb8ea5f648b5a0c9e8e3f8499f9f"/>
                    <w:id w:val="-8796335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583D2F61"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718467366"/>
            </w:sdtPr>
            <w:sdtEndPr/>
            <w:sdtContent>
              <w:tr w:rsidR="00830E72" w14:paraId="1483348E"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AEA3E00" w14:textId="77777777" w:rsidR="00830E72" w:rsidRDefault="008344D8">
                    <w:pPr>
                      <w:rPr>
                        <w:rFonts w:cs="Cambria"/>
                        <w:szCs w:val="21"/>
                      </w:rPr>
                    </w:pPr>
                    <w:r>
                      <w:t>绍兴市祥源房地产开发有限公司</w:t>
                    </w:r>
                  </w:p>
                </w:tc>
                <w:sdt>
                  <w:sdtPr>
                    <w:rPr>
                      <w:rFonts w:cs="Cambria"/>
                      <w:szCs w:val="21"/>
                    </w:rPr>
                    <w:alias w:val="本企业的其他关联方情况明细－其他关联方与本公司关系"/>
                    <w:tag w:val="_GBC_2205fb8ea5f648b5a0c9e8e3f8499f9f"/>
                    <w:id w:val="17257161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57593641"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224977312"/>
            </w:sdtPr>
            <w:sdtEndPr/>
            <w:sdtContent>
              <w:tr w:rsidR="00830E72" w14:paraId="1588246F"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883F65E" w14:textId="77777777" w:rsidR="00830E72" w:rsidRDefault="008344D8">
                    <w:pPr>
                      <w:rPr>
                        <w:rFonts w:cs="Cambria"/>
                        <w:szCs w:val="21"/>
                      </w:rPr>
                    </w:pPr>
                    <w:r>
                      <w:t>湖北郧阳岛度假区开发有限公司</w:t>
                    </w:r>
                  </w:p>
                </w:tc>
                <w:sdt>
                  <w:sdtPr>
                    <w:rPr>
                      <w:rFonts w:cs="Cambria"/>
                      <w:szCs w:val="21"/>
                    </w:rPr>
                    <w:alias w:val="本企业的其他关联方情况明细－其他关联方与本公司关系"/>
                    <w:tag w:val="_GBC_2205fb8ea5f648b5a0c9e8e3f8499f9f"/>
                    <w:id w:val="-5045658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98F3244"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480651260"/>
            </w:sdtPr>
            <w:sdtEndPr/>
            <w:sdtContent>
              <w:tr w:rsidR="00830E72" w14:paraId="385C7EB9"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2EA85FA" w14:textId="77777777" w:rsidR="00830E72" w:rsidRDefault="008344D8">
                    <w:pPr>
                      <w:rPr>
                        <w:rFonts w:cs="Cambria"/>
                        <w:szCs w:val="21"/>
                      </w:rPr>
                    </w:pPr>
                    <w:r>
                      <w:t>湖北中祥置业有限公司</w:t>
                    </w:r>
                  </w:p>
                </w:tc>
                <w:sdt>
                  <w:sdtPr>
                    <w:rPr>
                      <w:rFonts w:cs="Cambria"/>
                      <w:szCs w:val="21"/>
                    </w:rPr>
                    <w:alias w:val="本企业的其他关联方情况明细－其他关联方与本公司关系"/>
                    <w:tag w:val="_GBC_2205fb8ea5f648b5a0c9e8e3f8499f9f"/>
                    <w:id w:val="8829119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1A227E85"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125851710"/>
            </w:sdtPr>
            <w:sdtEndPr/>
            <w:sdtContent>
              <w:tr w:rsidR="00830E72" w14:paraId="229AB89D"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F7640D8" w14:textId="77777777" w:rsidR="00830E72" w:rsidRDefault="008344D8">
                    <w:pPr>
                      <w:rPr>
                        <w:rFonts w:cs="Cambria"/>
                        <w:szCs w:val="21"/>
                      </w:rPr>
                    </w:pPr>
                    <w:r>
                      <w:t>海南祥源旅游发展有限公司</w:t>
                    </w:r>
                  </w:p>
                </w:tc>
                <w:sdt>
                  <w:sdtPr>
                    <w:rPr>
                      <w:rFonts w:cs="Cambria"/>
                      <w:szCs w:val="21"/>
                    </w:rPr>
                    <w:alias w:val="本企业的其他关联方情况明细－其他关联方与本公司关系"/>
                    <w:tag w:val="_GBC_2205fb8ea5f648b5a0c9e8e3f8499f9f"/>
                    <w:id w:val="-8884153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6A27CCF"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746530702"/>
            </w:sdtPr>
            <w:sdtEndPr/>
            <w:sdtContent>
              <w:tr w:rsidR="00830E72" w14:paraId="1072CA56"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4A92758" w14:textId="77777777" w:rsidR="00830E72" w:rsidRDefault="008344D8">
                    <w:pPr>
                      <w:rPr>
                        <w:rFonts w:cs="Cambria"/>
                        <w:szCs w:val="21"/>
                      </w:rPr>
                    </w:pPr>
                    <w:r>
                      <w:t>黄山市行远投资管理中心（有限合伙）</w:t>
                    </w:r>
                  </w:p>
                </w:tc>
                <w:sdt>
                  <w:sdtPr>
                    <w:rPr>
                      <w:rFonts w:cs="Cambria"/>
                      <w:szCs w:val="21"/>
                    </w:rPr>
                    <w:alias w:val="本企业的其他关联方情况明细－其他关联方与本公司关系"/>
                    <w:tag w:val="_GBC_2205fb8ea5f648b5a0c9e8e3f8499f9f"/>
                    <w:id w:val="-12819608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8571950" w14:textId="77777777" w:rsidR="00830E72" w:rsidRDefault="008344D8">
                        <w:pPr>
                          <w:rPr>
                            <w:rFonts w:cs="Cambria"/>
                            <w:szCs w:val="21"/>
                          </w:rPr>
                        </w:pPr>
                        <w:r>
                          <w:rPr>
                            <w:rFonts w:cs="Cambria"/>
                            <w:szCs w:val="21"/>
                          </w:rPr>
                          <w:t>其他</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889225304"/>
            </w:sdtPr>
            <w:sdtEndPr/>
            <w:sdtContent>
              <w:tr w:rsidR="00830E72" w14:paraId="6E90F445"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1EC90888" w14:textId="77777777" w:rsidR="00830E72" w:rsidRDefault="008344D8">
                    <w:pPr>
                      <w:rPr>
                        <w:rFonts w:cs="Cambria"/>
                        <w:szCs w:val="21"/>
                      </w:rPr>
                    </w:pPr>
                    <w:r>
                      <w:t>祥源颍淮生态文化旅游区开发有限公司</w:t>
                    </w:r>
                  </w:p>
                </w:tc>
                <w:sdt>
                  <w:sdtPr>
                    <w:rPr>
                      <w:rFonts w:cs="Cambria"/>
                      <w:szCs w:val="21"/>
                    </w:rPr>
                    <w:alias w:val="本企业的其他关联方情况明细－其他关联方与本公司关系"/>
                    <w:tag w:val="_GBC_2205fb8ea5f648b5a0c9e8e3f8499f9f"/>
                    <w:id w:val="7867066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2159013B"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502706519"/>
            </w:sdtPr>
            <w:sdtEndPr/>
            <w:sdtContent>
              <w:tr w:rsidR="00830E72" w14:paraId="656D5C7A"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9F7F1FA" w14:textId="77777777" w:rsidR="00830E72" w:rsidRDefault="008344D8">
                    <w:pPr>
                      <w:rPr>
                        <w:rFonts w:cs="Cambria"/>
                        <w:szCs w:val="21"/>
                      </w:rPr>
                    </w:pPr>
                    <w:r>
                      <w:t>黄山市祺顺投资中心（有限合伙）</w:t>
                    </w:r>
                  </w:p>
                </w:tc>
                <w:sdt>
                  <w:sdtPr>
                    <w:rPr>
                      <w:rFonts w:cs="Cambria"/>
                      <w:szCs w:val="21"/>
                    </w:rPr>
                    <w:alias w:val="本企业的其他关联方情况明细－其他关联方与本公司关系"/>
                    <w:tag w:val="_GBC_2205fb8ea5f648b5a0c9e8e3f8499f9f"/>
                    <w:id w:val="441568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80AE7D9" w14:textId="77777777" w:rsidR="00830E72" w:rsidRDefault="008344D8">
                        <w:pPr>
                          <w:rPr>
                            <w:rFonts w:cs="Cambria"/>
                            <w:szCs w:val="21"/>
                          </w:rPr>
                        </w:pPr>
                        <w:r>
                          <w:rPr>
                            <w:rFonts w:cs="Cambria"/>
                            <w:szCs w:val="21"/>
                          </w:rPr>
                          <w:t>其他</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560318991"/>
            </w:sdtPr>
            <w:sdtEndPr/>
            <w:sdtContent>
              <w:tr w:rsidR="00830E72" w14:paraId="3774AEDB"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F819CB2" w14:textId="77777777" w:rsidR="00830E72" w:rsidRDefault="008344D8">
                    <w:pPr>
                      <w:rPr>
                        <w:rFonts w:cs="Cambria"/>
                        <w:szCs w:val="21"/>
                      </w:rPr>
                    </w:pPr>
                    <w:r>
                      <w:t>合肥徽银祥源旅游产业投资合伙企业（有限合伙）</w:t>
                    </w:r>
                  </w:p>
                </w:tc>
                <w:sdt>
                  <w:sdtPr>
                    <w:rPr>
                      <w:rFonts w:cs="Cambria"/>
                      <w:szCs w:val="21"/>
                    </w:rPr>
                    <w:alias w:val="本企业的其他关联方情况明细－其他关联方与本公司关系"/>
                    <w:tag w:val="_GBC_2205fb8ea5f648b5a0c9e8e3f8499f9f"/>
                    <w:id w:val="-13523290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1A65337B" w14:textId="77777777" w:rsidR="00830E72" w:rsidRDefault="008344D8">
                        <w:pPr>
                          <w:rPr>
                            <w:rFonts w:cs="Cambria"/>
                            <w:szCs w:val="21"/>
                          </w:rPr>
                        </w:pPr>
                        <w:r>
                          <w:rPr>
                            <w:rFonts w:cs="Cambria"/>
                            <w:szCs w:val="21"/>
                          </w:rPr>
                          <w:t>其他</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11365976"/>
            </w:sdtPr>
            <w:sdtEndPr/>
            <w:sdtContent>
              <w:tr w:rsidR="00830E72" w14:paraId="630F60CF"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1264D1BE" w14:textId="77777777" w:rsidR="00830E72" w:rsidRDefault="008344D8">
                    <w:pPr>
                      <w:rPr>
                        <w:rFonts w:cs="Cambria"/>
                        <w:szCs w:val="21"/>
                      </w:rPr>
                    </w:pPr>
                    <w:r>
                      <w:t>悉源景观规划设计（上海）有限公司</w:t>
                    </w:r>
                  </w:p>
                </w:tc>
                <w:sdt>
                  <w:sdtPr>
                    <w:rPr>
                      <w:rFonts w:cs="Cambria"/>
                      <w:szCs w:val="21"/>
                    </w:rPr>
                    <w:alias w:val="本企业的其他关联方情况明细－其他关联方与本公司关系"/>
                    <w:tag w:val="_GBC_2205fb8ea5f648b5a0c9e8e3f8499f9f"/>
                    <w:id w:val="-113285231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0CF12C2"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941214440"/>
            </w:sdtPr>
            <w:sdtEndPr/>
            <w:sdtContent>
              <w:tr w:rsidR="00830E72" w14:paraId="781EE8FC"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6001D836" w14:textId="77777777" w:rsidR="00830E72" w:rsidRDefault="008344D8">
                    <w:pPr>
                      <w:rPr>
                        <w:rFonts w:cs="Cambria"/>
                        <w:szCs w:val="21"/>
                      </w:rPr>
                    </w:pPr>
                    <w:r>
                      <w:t>安徽祥融园林有限公司</w:t>
                    </w:r>
                  </w:p>
                </w:tc>
                <w:sdt>
                  <w:sdtPr>
                    <w:rPr>
                      <w:rFonts w:cs="Cambria"/>
                      <w:szCs w:val="21"/>
                    </w:rPr>
                    <w:alias w:val="本企业的其他关联方情况明细－其他关联方与本公司关系"/>
                    <w:tag w:val="_GBC_2205fb8ea5f648b5a0c9e8e3f8499f9f"/>
                    <w:id w:val="214547099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1D088DA"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220363379"/>
            </w:sdtPr>
            <w:sdtEndPr/>
            <w:sdtContent>
              <w:tr w:rsidR="00830E72" w14:paraId="7048F9D3"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54DD0AED" w14:textId="77777777" w:rsidR="00830E72" w:rsidRDefault="008344D8">
                    <w:pPr>
                      <w:rPr>
                        <w:rFonts w:cs="Cambria"/>
                        <w:szCs w:val="21"/>
                      </w:rPr>
                    </w:pPr>
                    <w:r>
                      <w:t>安徽欧力电器有限公司</w:t>
                    </w:r>
                  </w:p>
                </w:tc>
                <w:sdt>
                  <w:sdtPr>
                    <w:rPr>
                      <w:rFonts w:cs="Cambria"/>
                      <w:szCs w:val="21"/>
                    </w:rPr>
                    <w:alias w:val="本企业的其他关联方情况明细－其他关联方与本公司关系"/>
                    <w:tag w:val="_GBC_2205fb8ea5f648b5a0c9e8e3f8499f9f"/>
                    <w:id w:val="-6781961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EF8F7D8"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229923267"/>
            </w:sdtPr>
            <w:sdtEndPr/>
            <w:sdtContent>
              <w:tr w:rsidR="00830E72" w14:paraId="62BED5A7"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AA5041F" w14:textId="77777777" w:rsidR="00830E72" w:rsidRDefault="008344D8">
                    <w:pPr>
                      <w:rPr>
                        <w:rFonts w:cs="Cambria"/>
                        <w:szCs w:val="21"/>
                      </w:rPr>
                    </w:pPr>
                    <w:r>
                      <w:t>合肥庐阳旅游开发有限公司</w:t>
                    </w:r>
                  </w:p>
                </w:tc>
                <w:sdt>
                  <w:sdtPr>
                    <w:rPr>
                      <w:rFonts w:cs="Cambria"/>
                      <w:szCs w:val="21"/>
                    </w:rPr>
                    <w:alias w:val="本企业的其他关联方情况明细－其他关联方与本公司关系"/>
                    <w:tag w:val="_GBC_2205fb8ea5f648b5a0c9e8e3f8499f9f"/>
                    <w:id w:val="16987328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79BE576"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821802545"/>
            </w:sdtPr>
            <w:sdtEndPr/>
            <w:sdtContent>
              <w:tr w:rsidR="00830E72" w14:paraId="1F5C1FC5"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E175630" w14:textId="77777777" w:rsidR="00830E72" w:rsidRDefault="008344D8">
                    <w:pPr>
                      <w:rPr>
                        <w:rFonts w:cs="Cambria"/>
                        <w:szCs w:val="21"/>
                      </w:rPr>
                    </w:pPr>
                    <w:r>
                      <w:t>嵊州市祥源房产开发有限公司</w:t>
                    </w:r>
                  </w:p>
                </w:tc>
                <w:sdt>
                  <w:sdtPr>
                    <w:rPr>
                      <w:rFonts w:cs="Cambria"/>
                      <w:szCs w:val="21"/>
                    </w:rPr>
                    <w:alias w:val="本企业的其他关联方情况明细－其他关联方与本公司关系"/>
                    <w:tag w:val="_GBC_2205fb8ea5f648b5a0c9e8e3f8499f9f"/>
                    <w:id w:val="183910788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0524634"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08333992"/>
            </w:sdtPr>
            <w:sdtEndPr/>
            <w:sdtContent>
              <w:tr w:rsidR="00830E72" w14:paraId="41E19E6D"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C3B8B2E" w14:textId="77777777" w:rsidR="00830E72" w:rsidRDefault="008344D8">
                    <w:pPr>
                      <w:rPr>
                        <w:rFonts w:cs="Cambria"/>
                        <w:szCs w:val="21"/>
                      </w:rPr>
                    </w:pPr>
                    <w:r>
                      <w:t>安徽誉华投资管理有限公司</w:t>
                    </w:r>
                  </w:p>
                </w:tc>
                <w:sdt>
                  <w:sdtPr>
                    <w:rPr>
                      <w:rFonts w:cs="Cambria"/>
                      <w:szCs w:val="21"/>
                    </w:rPr>
                    <w:alias w:val="本企业的其他关联方情况明细－其他关联方与本公司关系"/>
                    <w:tag w:val="_GBC_2205fb8ea5f648b5a0c9e8e3f8499f9f"/>
                    <w:id w:val="-17636806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357298C"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953519691"/>
            </w:sdtPr>
            <w:sdtEndPr/>
            <w:sdtContent>
              <w:tr w:rsidR="00830E72" w14:paraId="3AB0AA4A"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78788C7" w14:textId="77777777" w:rsidR="00830E72" w:rsidRDefault="008344D8">
                    <w:pPr>
                      <w:rPr>
                        <w:rFonts w:cs="Cambria"/>
                        <w:szCs w:val="21"/>
                      </w:rPr>
                    </w:pPr>
                    <w:r>
                      <w:t>凤凰古城文化旅游投资股份有限公司</w:t>
                    </w:r>
                  </w:p>
                </w:tc>
                <w:sdt>
                  <w:sdtPr>
                    <w:rPr>
                      <w:rFonts w:cs="Cambria"/>
                      <w:szCs w:val="21"/>
                    </w:rPr>
                    <w:alias w:val="本企业的其他关联方情况明细－其他关联方与本公司关系"/>
                    <w:tag w:val="_GBC_2205fb8ea5f648b5a0c9e8e3f8499f9f"/>
                    <w:id w:val="-5786413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596F136"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331988057"/>
            </w:sdtPr>
            <w:sdtEndPr/>
            <w:sdtContent>
              <w:tr w:rsidR="00830E72" w14:paraId="1E3D6282"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681B486" w14:textId="77777777" w:rsidR="00830E72" w:rsidRDefault="008344D8">
                    <w:pPr>
                      <w:rPr>
                        <w:rFonts w:cs="Cambria"/>
                        <w:szCs w:val="21"/>
                      </w:rPr>
                    </w:pPr>
                    <w:r>
                      <w:t>湖南天下凤凰文化旅游投资有限公司</w:t>
                    </w:r>
                  </w:p>
                </w:tc>
                <w:sdt>
                  <w:sdtPr>
                    <w:rPr>
                      <w:rFonts w:cs="Cambria"/>
                      <w:szCs w:val="21"/>
                    </w:rPr>
                    <w:alias w:val="本企业的其他关联方情况明细－其他关联方与本公司关系"/>
                    <w:tag w:val="_GBC_2205fb8ea5f648b5a0c9e8e3f8499f9f"/>
                    <w:id w:val="-19190082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58F731C6"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454843035"/>
            </w:sdtPr>
            <w:sdtEndPr/>
            <w:sdtContent>
              <w:tr w:rsidR="00830E72" w14:paraId="7F028C06"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3F8C615" w14:textId="77777777" w:rsidR="00830E72" w:rsidRDefault="008344D8">
                    <w:pPr>
                      <w:rPr>
                        <w:rFonts w:cs="Cambria"/>
                        <w:szCs w:val="21"/>
                      </w:rPr>
                    </w:pPr>
                    <w:r>
                      <w:t>湘西烟雨凤凰旅游演艺有限公司</w:t>
                    </w:r>
                  </w:p>
                </w:tc>
                <w:sdt>
                  <w:sdtPr>
                    <w:rPr>
                      <w:rFonts w:cs="Cambria"/>
                      <w:szCs w:val="21"/>
                    </w:rPr>
                    <w:alias w:val="本企业的其他关联方情况明细－其他关联方与本公司关系"/>
                    <w:tag w:val="_GBC_2205fb8ea5f648b5a0c9e8e3f8499f9f"/>
                    <w:id w:val="-112345563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9D3D796"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010895277"/>
            </w:sdtPr>
            <w:sdtEndPr/>
            <w:sdtContent>
              <w:tr w:rsidR="00830E72" w14:paraId="6671ADCA"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1FC2D005" w14:textId="77777777" w:rsidR="00830E72" w:rsidRDefault="008344D8">
                    <w:pPr>
                      <w:rPr>
                        <w:rFonts w:cs="Cambria"/>
                        <w:szCs w:val="21"/>
                      </w:rPr>
                    </w:pPr>
                    <w:r>
                      <w:t>黄龙洞投资股份有限公司</w:t>
                    </w:r>
                  </w:p>
                </w:tc>
                <w:sdt>
                  <w:sdtPr>
                    <w:rPr>
                      <w:rFonts w:cs="Cambria"/>
                      <w:szCs w:val="21"/>
                    </w:rPr>
                    <w:alias w:val="本企业的其他关联方情况明细－其他关联方与本公司关系"/>
                    <w:tag w:val="_GBC_2205fb8ea5f648b5a0c9e8e3f8499f9f"/>
                    <w:id w:val="97995371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FB323D0"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035267586"/>
            </w:sdtPr>
            <w:sdtEndPr/>
            <w:sdtContent>
              <w:tr w:rsidR="00830E72" w14:paraId="4B5A4A12"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225064F" w14:textId="77777777" w:rsidR="00830E72" w:rsidRDefault="008344D8">
                    <w:pPr>
                      <w:rPr>
                        <w:rFonts w:cs="Cambria"/>
                        <w:szCs w:val="21"/>
                      </w:rPr>
                    </w:pPr>
                    <w:r>
                      <w:t>湘潭山市晴岚文化传播有限公司</w:t>
                    </w:r>
                  </w:p>
                </w:tc>
                <w:sdt>
                  <w:sdtPr>
                    <w:rPr>
                      <w:rFonts w:cs="Cambria"/>
                      <w:szCs w:val="21"/>
                    </w:rPr>
                    <w:alias w:val="本企业的其他关联方情况明细－其他关联方与本公司关系"/>
                    <w:tag w:val="_GBC_2205fb8ea5f648b5a0c9e8e3f8499f9f"/>
                    <w:id w:val="-140297594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516FDC11"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323790536"/>
            </w:sdtPr>
            <w:sdtEndPr/>
            <w:sdtContent>
              <w:tr w:rsidR="00830E72" w14:paraId="4AB6C02F"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61D882D5" w14:textId="77777777" w:rsidR="00830E72" w:rsidRDefault="008344D8">
                    <w:pPr>
                      <w:rPr>
                        <w:rFonts w:cs="Cambria"/>
                        <w:szCs w:val="21"/>
                      </w:rPr>
                    </w:pPr>
                    <w:r>
                      <w:t>湘西砚咖啡餐饮管理有限公司</w:t>
                    </w:r>
                  </w:p>
                </w:tc>
                <w:sdt>
                  <w:sdtPr>
                    <w:rPr>
                      <w:rFonts w:cs="Cambria"/>
                      <w:szCs w:val="21"/>
                    </w:rPr>
                    <w:alias w:val="本企业的其他关联方情况明细－其他关联方与本公司关系"/>
                    <w:tag w:val="_GBC_2205fb8ea5f648b5a0c9e8e3f8499f9f"/>
                    <w:id w:val="-194914964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A200D9B"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045210341"/>
            </w:sdtPr>
            <w:sdtEndPr/>
            <w:sdtContent>
              <w:tr w:rsidR="00830E72" w14:paraId="3FC4BA44"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5FF7B2D9" w14:textId="77777777" w:rsidR="00830E72" w:rsidRDefault="008344D8">
                    <w:pPr>
                      <w:rPr>
                        <w:rFonts w:cs="Cambria"/>
                        <w:szCs w:val="21"/>
                      </w:rPr>
                    </w:pPr>
                    <w:r>
                      <w:t>凤凰古城景区旅游管理服务有限公司</w:t>
                    </w:r>
                  </w:p>
                </w:tc>
                <w:sdt>
                  <w:sdtPr>
                    <w:rPr>
                      <w:rFonts w:cs="Cambria"/>
                      <w:szCs w:val="21"/>
                    </w:rPr>
                    <w:alias w:val="本企业的其他关联方情况明细－其他关联方与本公司关系"/>
                    <w:tag w:val="_GBC_2205fb8ea5f648b5a0c9e8e3f8499f9f"/>
                    <w:id w:val="-17214398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C951EA0"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411043077"/>
            </w:sdtPr>
            <w:sdtEndPr/>
            <w:sdtContent>
              <w:tr w:rsidR="00830E72" w14:paraId="2E141650"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792A89E2" w14:textId="77777777" w:rsidR="00830E72" w:rsidRDefault="008344D8">
                    <w:pPr>
                      <w:rPr>
                        <w:rFonts w:cs="Cambria"/>
                        <w:szCs w:val="21"/>
                      </w:rPr>
                    </w:pPr>
                    <w:r>
                      <w:t>浙江祥源实业有限公司</w:t>
                    </w:r>
                  </w:p>
                </w:tc>
                <w:sdt>
                  <w:sdtPr>
                    <w:rPr>
                      <w:rFonts w:cs="Cambria"/>
                      <w:szCs w:val="21"/>
                    </w:rPr>
                    <w:alias w:val="本企业的其他关联方情况明细－其他关联方与本公司关系"/>
                    <w:tag w:val="_GBC_2205fb8ea5f648b5a0c9e8e3f8499f9f"/>
                    <w:id w:val="19697863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FF8925E"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423927841"/>
            </w:sdtPr>
            <w:sdtEndPr/>
            <w:sdtContent>
              <w:tr w:rsidR="00830E72" w14:paraId="0C5A9C15"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53A8BFC5" w14:textId="77777777" w:rsidR="00830E72" w:rsidRDefault="008344D8">
                    <w:pPr>
                      <w:rPr>
                        <w:rFonts w:cs="Cambria"/>
                        <w:szCs w:val="21"/>
                      </w:rPr>
                    </w:pPr>
                    <w:r>
                      <w:t>浙江祥源文化股份有限公司注</w:t>
                    </w:r>
                  </w:p>
                </w:tc>
                <w:sdt>
                  <w:sdtPr>
                    <w:rPr>
                      <w:rFonts w:cs="Cambria"/>
                      <w:szCs w:val="21"/>
                    </w:rPr>
                    <w:alias w:val="本企业的其他关联方情况明细－其他关联方与本公司关系"/>
                    <w:tag w:val="_GBC_2205fb8ea5f648b5a0c9e8e3f8499f9f"/>
                    <w:id w:val="175894762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BD1D810"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021130339"/>
            </w:sdtPr>
            <w:sdtEndPr/>
            <w:sdtContent>
              <w:tr w:rsidR="00830E72" w14:paraId="685EFF3E"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B2282EF" w14:textId="77777777" w:rsidR="00830E72" w:rsidRDefault="008344D8">
                    <w:pPr>
                      <w:rPr>
                        <w:rFonts w:cs="Cambria"/>
                        <w:szCs w:val="21"/>
                      </w:rPr>
                    </w:pPr>
                    <w:r>
                      <w:t>万宁新潭湾投资开发有限公司</w:t>
                    </w:r>
                  </w:p>
                </w:tc>
                <w:sdt>
                  <w:sdtPr>
                    <w:rPr>
                      <w:rFonts w:cs="Cambria"/>
                      <w:szCs w:val="21"/>
                    </w:rPr>
                    <w:alias w:val="本企业的其他关联方情况明细－其他关联方与本公司关系"/>
                    <w:tag w:val="_GBC_2205fb8ea5f648b5a0c9e8e3f8499f9f"/>
                    <w:id w:val="-21438756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605D23B"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09256486"/>
            </w:sdtPr>
            <w:sdtEndPr/>
            <w:sdtContent>
              <w:tr w:rsidR="00830E72" w14:paraId="25D56EB7"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1F72D740" w14:textId="77777777" w:rsidR="00830E72" w:rsidRDefault="008344D8">
                    <w:pPr>
                      <w:rPr>
                        <w:rFonts w:cs="Cambria"/>
                        <w:szCs w:val="21"/>
                      </w:rPr>
                    </w:pPr>
                    <w:r>
                      <w:t>合肥中居拱辰企业管理有限公司</w:t>
                    </w:r>
                  </w:p>
                </w:tc>
                <w:sdt>
                  <w:sdtPr>
                    <w:rPr>
                      <w:rFonts w:cs="Cambria"/>
                      <w:szCs w:val="21"/>
                    </w:rPr>
                    <w:alias w:val="本企业的其他关联方情况明细－其他关联方与本公司关系"/>
                    <w:tag w:val="_GBC_2205fb8ea5f648b5a0c9e8e3f8499f9f"/>
                    <w:id w:val="-97452889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13B8710B"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907061559"/>
            </w:sdtPr>
            <w:sdtEndPr/>
            <w:sdtContent>
              <w:tr w:rsidR="00830E72" w14:paraId="57EC3A44"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8053368" w14:textId="77777777" w:rsidR="00830E72" w:rsidRDefault="008344D8">
                    <w:pPr>
                      <w:rPr>
                        <w:rFonts w:cs="Cambria"/>
                        <w:szCs w:val="21"/>
                      </w:rPr>
                    </w:pPr>
                    <w:r>
                      <w:t>巢湖市祥辰辉企业管理合伙企业（有限合伙）</w:t>
                    </w:r>
                  </w:p>
                </w:tc>
                <w:sdt>
                  <w:sdtPr>
                    <w:rPr>
                      <w:rFonts w:cs="Cambria"/>
                      <w:szCs w:val="21"/>
                    </w:rPr>
                    <w:alias w:val="本企业的其他关联方情况明细－其他关联方与本公司关系"/>
                    <w:tag w:val="_GBC_2205fb8ea5f648b5a0c9e8e3f8499f9f"/>
                    <w:id w:val="14395708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A91D6DA" w14:textId="77777777" w:rsidR="00830E72" w:rsidRDefault="008344D8">
                        <w:pPr>
                          <w:rPr>
                            <w:rFonts w:cs="Cambria"/>
                            <w:szCs w:val="21"/>
                          </w:rPr>
                        </w:pPr>
                        <w:r>
                          <w:rPr>
                            <w:rFonts w:cs="Cambria"/>
                            <w:szCs w:val="21"/>
                          </w:rPr>
                          <w:t>其他</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944652207"/>
            </w:sdtPr>
            <w:sdtEndPr/>
            <w:sdtContent>
              <w:tr w:rsidR="00830E72" w14:paraId="4CB3EB0D"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1C843113" w14:textId="77777777" w:rsidR="00830E72" w:rsidRDefault="008344D8">
                    <w:pPr>
                      <w:rPr>
                        <w:rFonts w:cs="Cambria"/>
                        <w:szCs w:val="21"/>
                      </w:rPr>
                    </w:pPr>
                    <w:r>
                      <w:t>巢湖市源满欣企业管理合伙企业（有限合伙）</w:t>
                    </w:r>
                  </w:p>
                </w:tc>
                <w:sdt>
                  <w:sdtPr>
                    <w:rPr>
                      <w:rFonts w:cs="Cambria"/>
                      <w:szCs w:val="21"/>
                    </w:rPr>
                    <w:alias w:val="本企业的其他关联方情况明细－其他关联方与本公司关系"/>
                    <w:tag w:val="_GBC_2205fb8ea5f648b5a0c9e8e3f8499f9f"/>
                    <w:id w:val="118331346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165B6EBC" w14:textId="77777777" w:rsidR="00830E72" w:rsidRDefault="008344D8">
                        <w:pPr>
                          <w:rPr>
                            <w:rFonts w:cs="Cambria"/>
                            <w:szCs w:val="21"/>
                          </w:rPr>
                        </w:pPr>
                        <w:r>
                          <w:rPr>
                            <w:rFonts w:cs="Cambria"/>
                            <w:szCs w:val="21"/>
                          </w:rPr>
                          <w:t>其他</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72886240"/>
            </w:sdtPr>
            <w:sdtEndPr/>
            <w:sdtContent>
              <w:tr w:rsidR="00830E72" w14:paraId="778E120D"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D4D39E0" w14:textId="77777777" w:rsidR="00830E72" w:rsidRDefault="008344D8">
                    <w:pPr>
                      <w:rPr>
                        <w:rFonts w:cs="Cambria"/>
                        <w:szCs w:val="21"/>
                      </w:rPr>
                    </w:pPr>
                    <w:r>
                      <w:t>祥源凤凰旅游发展有限公司</w:t>
                    </w:r>
                  </w:p>
                </w:tc>
                <w:sdt>
                  <w:sdtPr>
                    <w:rPr>
                      <w:rFonts w:cs="Cambria"/>
                      <w:szCs w:val="21"/>
                    </w:rPr>
                    <w:alias w:val="本企业的其他关联方情况明细－其他关联方与本公司关系"/>
                    <w:tag w:val="_GBC_2205fb8ea5f648b5a0c9e8e3f8499f9f"/>
                    <w:id w:val="-82573663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6B20C49"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805738572"/>
            </w:sdtPr>
            <w:sdtEndPr/>
            <w:sdtContent>
              <w:tr w:rsidR="00830E72" w14:paraId="29F9D452"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0576C25" w14:textId="77777777" w:rsidR="00830E72" w:rsidRDefault="008344D8">
                    <w:pPr>
                      <w:rPr>
                        <w:rFonts w:cs="Cambria"/>
                        <w:szCs w:val="21"/>
                      </w:rPr>
                    </w:pPr>
                    <w:r>
                      <w:t>凤凰古城旅游开发有限公司</w:t>
                    </w:r>
                  </w:p>
                </w:tc>
                <w:sdt>
                  <w:sdtPr>
                    <w:rPr>
                      <w:rFonts w:cs="Cambria"/>
                      <w:szCs w:val="21"/>
                    </w:rPr>
                    <w:alias w:val="本企业的其他关联方情况明细－其他关联方与本公司关系"/>
                    <w:tag w:val="_GBC_2205fb8ea5f648b5a0c9e8e3f8499f9f"/>
                    <w:id w:val="-44184823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54DC7ED0"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013786730"/>
            </w:sdtPr>
            <w:sdtEndPr/>
            <w:sdtContent>
              <w:tr w:rsidR="00830E72" w14:paraId="5154F4BE"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705310B3" w14:textId="77777777" w:rsidR="00830E72" w:rsidRDefault="008344D8">
                    <w:pPr>
                      <w:rPr>
                        <w:rFonts w:cs="Cambria"/>
                        <w:szCs w:val="21"/>
                      </w:rPr>
                    </w:pPr>
                    <w:r>
                      <w:t>杭州小岛网络科技有限公司</w:t>
                    </w:r>
                  </w:p>
                </w:tc>
                <w:sdt>
                  <w:sdtPr>
                    <w:rPr>
                      <w:rFonts w:cs="Cambria"/>
                      <w:szCs w:val="21"/>
                    </w:rPr>
                    <w:alias w:val="本企业的其他关联方情况明细－其他关联方与本公司关系"/>
                    <w:tag w:val="_GBC_2205fb8ea5f648b5a0c9e8e3f8499f9f"/>
                    <w:id w:val="24947014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DB484BC"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640793490"/>
            </w:sdtPr>
            <w:sdtEndPr/>
            <w:sdtContent>
              <w:tr w:rsidR="00830E72" w14:paraId="31A3E7B0"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33DEBB3" w14:textId="77777777" w:rsidR="00830E72" w:rsidRDefault="008344D8">
                    <w:pPr>
                      <w:rPr>
                        <w:rFonts w:cs="Cambria"/>
                        <w:szCs w:val="21"/>
                      </w:rPr>
                    </w:pPr>
                    <w:r>
                      <w:t>安徽祥源公园城开发有限公司</w:t>
                    </w:r>
                  </w:p>
                </w:tc>
                <w:sdt>
                  <w:sdtPr>
                    <w:rPr>
                      <w:rFonts w:cs="Cambria"/>
                      <w:szCs w:val="21"/>
                    </w:rPr>
                    <w:alias w:val="本企业的其他关联方情况明细－其他关联方与本公司关系"/>
                    <w:tag w:val="_GBC_2205fb8ea5f648b5a0c9e8e3f8499f9f"/>
                    <w:id w:val="8591595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988013A"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32696526"/>
            </w:sdtPr>
            <w:sdtEndPr/>
            <w:sdtContent>
              <w:tr w:rsidR="00830E72" w14:paraId="62B4DAB1"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77FC07B4" w14:textId="77777777" w:rsidR="00830E72" w:rsidRDefault="008344D8">
                    <w:pPr>
                      <w:rPr>
                        <w:rFonts w:cs="Cambria"/>
                        <w:szCs w:val="21"/>
                      </w:rPr>
                    </w:pPr>
                    <w:r>
                      <w:t>祁门县祥源小镇房地产开发有限公司</w:t>
                    </w:r>
                  </w:p>
                </w:tc>
                <w:sdt>
                  <w:sdtPr>
                    <w:rPr>
                      <w:rFonts w:cs="Cambria"/>
                      <w:szCs w:val="21"/>
                    </w:rPr>
                    <w:alias w:val="本企业的其他关联方情况明细－其他关联方与本公司关系"/>
                    <w:tag w:val="_GBC_2205fb8ea5f648b5a0c9e8e3f8499f9f"/>
                    <w:id w:val="90719284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1AC06A25"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920639546"/>
            </w:sdtPr>
            <w:sdtEndPr/>
            <w:sdtContent>
              <w:tr w:rsidR="00830E72" w14:paraId="6EA95DF0"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F369C8E" w14:textId="77777777" w:rsidR="00830E72" w:rsidRDefault="008344D8">
                    <w:pPr>
                      <w:rPr>
                        <w:rFonts w:cs="Cambria"/>
                        <w:szCs w:val="21"/>
                      </w:rPr>
                    </w:pPr>
                    <w:r>
                      <w:t>青岛祥源湾文化旅游投资有限公司</w:t>
                    </w:r>
                  </w:p>
                </w:tc>
                <w:sdt>
                  <w:sdtPr>
                    <w:rPr>
                      <w:rFonts w:cs="Cambria"/>
                      <w:szCs w:val="21"/>
                    </w:rPr>
                    <w:alias w:val="本企业的其他关联方情况明细－其他关联方与本公司关系"/>
                    <w:tag w:val="_GBC_2205fb8ea5f648b5a0c9e8e3f8499f9f"/>
                    <w:id w:val="-12467208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D20CEC5"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850415751"/>
            </w:sdtPr>
            <w:sdtEndPr/>
            <w:sdtContent>
              <w:tr w:rsidR="00830E72" w14:paraId="0E34E447"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7285C27C" w14:textId="77777777" w:rsidR="00830E72" w:rsidRDefault="008344D8">
                    <w:pPr>
                      <w:rPr>
                        <w:rFonts w:cs="Cambria"/>
                        <w:szCs w:val="21"/>
                      </w:rPr>
                    </w:pPr>
                    <w:r>
                      <w:t>张家界祥源文化发展有限责任公司</w:t>
                    </w:r>
                  </w:p>
                </w:tc>
                <w:sdt>
                  <w:sdtPr>
                    <w:rPr>
                      <w:rFonts w:cs="Cambria"/>
                      <w:szCs w:val="21"/>
                    </w:rPr>
                    <w:alias w:val="本企业的其他关联方情况明细－其他关联方与本公司关系"/>
                    <w:tag w:val="_GBC_2205fb8ea5f648b5a0c9e8e3f8499f9f"/>
                    <w:id w:val="3490695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10830A75"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302546636"/>
            </w:sdtPr>
            <w:sdtEndPr/>
            <w:sdtContent>
              <w:tr w:rsidR="00830E72" w14:paraId="398CFA89"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1E262CFF" w14:textId="77777777" w:rsidR="00830E72" w:rsidRDefault="008344D8">
                    <w:pPr>
                      <w:rPr>
                        <w:rFonts w:cs="Cambria"/>
                        <w:szCs w:val="21"/>
                      </w:rPr>
                    </w:pPr>
                    <w:r>
                      <w:t>阜南县祥源生态文化旅游开发有限公司</w:t>
                    </w:r>
                  </w:p>
                </w:tc>
                <w:sdt>
                  <w:sdtPr>
                    <w:rPr>
                      <w:rFonts w:cs="Cambria"/>
                      <w:szCs w:val="21"/>
                    </w:rPr>
                    <w:alias w:val="本企业的其他关联方情况明细－其他关联方与本公司关系"/>
                    <w:tag w:val="_GBC_2205fb8ea5f648b5a0c9e8e3f8499f9f"/>
                    <w:id w:val="12767545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998E4C4"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103844673"/>
            </w:sdtPr>
            <w:sdtEndPr/>
            <w:sdtContent>
              <w:tr w:rsidR="00830E72" w14:paraId="3D8EB2E2"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7074309C" w14:textId="77777777" w:rsidR="00830E72" w:rsidRDefault="008344D8">
                    <w:pPr>
                      <w:rPr>
                        <w:rFonts w:cs="Cambria"/>
                        <w:szCs w:val="21"/>
                      </w:rPr>
                    </w:pPr>
                    <w:r>
                      <w:t>祥源汽车文化有限责任公司</w:t>
                    </w:r>
                  </w:p>
                </w:tc>
                <w:sdt>
                  <w:sdtPr>
                    <w:rPr>
                      <w:rFonts w:cs="Cambria"/>
                      <w:szCs w:val="21"/>
                    </w:rPr>
                    <w:alias w:val="本企业的其他关联方情况明细－其他关联方与本公司关系"/>
                    <w:tag w:val="_GBC_2205fb8ea5f648b5a0c9e8e3f8499f9f"/>
                    <w:id w:val="3209414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479BE85"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478570365"/>
            </w:sdtPr>
            <w:sdtEndPr/>
            <w:sdtContent>
              <w:tr w:rsidR="00830E72" w14:paraId="357C7893"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6715548" w14:textId="77777777" w:rsidR="00830E72" w:rsidRDefault="008344D8">
                    <w:pPr>
                      <w:rPr>
                        <w:rFonts w:cs="Cambria"/>
                        <w:szCs w:val="21"/>
                      </w:rPr>
                    </w:pPr>
                    <w:r>
                      <w:t>长兴万钰投资合伙企业（有限合伙）</w:t>
                    </w:r>
                  </w:p>
                </w:tc>
                <w:sdt>
                  <w:sdtPr>
                    <w:rPr>
                      <w:rFonts w:cs="Cambria"/>
                      <w:szCs w:val="21"/>
                    </w:rPr>
                    <w:alias w:val="本企业的其他关联方情况明细－其他关联方与本公司关系"/>
                    <w:tag w:val="_GBC_2205fb8ea5f648b5a0c9e8e3f8499f9f"/>
                    <w:id w:val="-866128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4E16214" w14:textId="77777777" w:rsidR="00830E72" w:rsidRDefault="008344D8">
                        <w:pPr>
                          <w:rPr>
                            <w:rFonts w:cs="Cambria"/>
                            <w:szCs w:val="21"/>
                          </w:rPr>
                        </w:pPr>
                        <w:r>
                          <w:rPr>
                            <w:rFonts w:cs="Cambria"/>
                            <w:szCs w:val="21"/>
                          </w:rPr>
                          <w:t>其他</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027318447"/>
            </w:sdtPr>
            <w:sdtEndPr/>
            <w:sdtContent>
              <w:tr w:rsidR="00830E72" w14:paraId="2F8C71EF"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32A7B0B" w14:textId="77777777" w:rsidR="00830E72" w:rsidRDefault="008344D8">
                    <w:pPr>
                      <w:rPr>
                        <w:rFonts w:cs="Cambria"/>
                        <w:szCs w:val="21"/>
                      </w:rPr>
                    </w:pPr>
                    <w:r>
                      <w:t>长兴万捷投资合伙企业（有限合伙）</w:t>
                    </w:r>
                  </w:p>
                </w:tc>
                <w:sdt>
                  <w:sdtPr>
                    <w:rPr>
                      <w:rFonts w:cs="Cambria"/>
                      <w:szCs w:val="21"/>
                    </w:rPr>
                    <w:alias w:val="本企业的其他关联方情况明细－其他关联方与本公司关系"/>
                    <w:tag w:val="_GBC_2205fb8ea5f648b5a0c9e8e3f8499f9f"/>
                    <w:id w:val="-6373405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FBF0E18" w14:textId="77777777" w:rsidR="00830E72" w:rsidRDefault="008344D8">
                        <w:pPr>
                          <w:rPr>
                            <w:rFonts w:cs="Cambria"/>
                            <w:szCs w:val="21"/>
                          </w:rPr>
                        </w:pPr>
                        <w:r>
                          <w:rPr>
                            <w:rFonts w:cs="Cambria"/>
                            <w:szCs w:val="21"/>
                          </w:rPr>
                          <w:t>其他</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558631615"/>
            </w:sdtPr>
            <w:sdtEndPr/>
            <w:sdtContent>
              <w:tr w:rsidR="00830E72" w14:paraId="2AE2FD98"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9FBA5AE" w14:textId="77777777" w:rsidR="00830E72" w:rsidRDefault="008344D8">
                    <w:pPr>
                      <w:rPr>
                        <w:rFonts w:cs="Cambria"/>
                        <w:szCs w:val="21"/>
                      </w:rPr>
                    </w:pPr>
                    <w:r>
                      <w:t>长兴万缘投资合伙企业（有限合伙）</w:t>
                    </w:r>
                  </w:p>
                </w:tc>
                <w:sdt>
                  <w:sdtPr>
                    <w:rPr>
                      <w:rFonts w:cs="Cambria"/>
                      <w:szCs w:val="21"/>
                    </w:rPr>
                    <w:alias w:val="本企业的其他关联方情况明细－其他关联方与本公司关系"/>
                    <w:tag w:val="_GBC_2205fb8ea5f648b5a0c9e8e3f8499f9f"/>
                    <w:id w:val="-1200011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60FE579" w14:textId="77777777" w:rsidR="00830E72" w:rsidRDefault="008344D8">
                        <w:pPr>
                          <w:rPr>
                            <w:rFonts w:cs="Cambria"/>
                            <w:szCs w:val="21"/>
                          </w:rPr>
                        </w:pPr>
                        <w:r>
                          <w:rPr>
                            <w:rFonts w:cs="Cambria"/>
                            <w:szCs w:val="21"/>
                          </w:rPr>
                          <w:t>其他</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216425247"/>
            </w:sdtPr>
            <w:sdtEndPr/>
            <w:sdtContent>
              <w:tr w:rsidR="00830E72" w14:paraId="05F31BD8"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61277141" w14:textId="77777777" w:rsidR="00830E72" w:rsidRDefault="008344D8">
                    <w:pPr>
                      <w:rPr>
                        <w:rFonts w:cs="Cambria"/>
                        <w:szCs w:val="21"/>
                      </w:rPr>
                    </w:pPr>
                    <w:r>
                      <w:t>上海桑尔酒店管理有限公司</w:t>
                    </w:r>
                  </w:p>
                </w:tc>
                <w:sdt>
                  <w:sdtPr>
                    <w:rPr>
                      <w:rFonts w:cs="Cambria"/>
                      <w:szCs w:val="21"/>
                    </w:rPr>
                    <w:alias w:val="本企业的其他关联方情况明细－其他关联方与本公司关系"/>
                    <w:tag w:val="_GBC_2205fb8ea5f648b5a0c9e8e3f8499f9f"/>
                    <w:id w:val="99969884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130BDEE" w14:textId="77777777" w:rsidR="00830E72" w:rsidRDefault="008344D8">
                        <w:pPr>
                          <w:rPr>
                            <w:rFonts w:cs="Cambria"/>
                            <w:szCs w:val="21"/>
                          </w:rPr>
                        </w:pPr>
                        <w:r>
                          <w:rPr>
                            <w:rFonts w:cs="Cambria"/>
                            <w:szCs w:val="21"/>
                          </w:rPr>
                          <w:t>参股股东</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735239957"/>
            </w:sdtPr>
            <w:sdtEndPr/>
            <w:sdtContent>
              <w:tr w:rsidR="00830E72" w14:paraId="615346DC"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5A7FF2C7" w14:textId="77777777" w:rsidR="00830E72" w:rsidRDefault="008344D8">
                    <w:pPr>
                      <w:rPr>
                        <w:rFonts w:cs="Cambria"/>
                        <w:szCs w:val="21"/>
                      </w:rPr>
                    </w:pPr>
                    <w:r>
                      <w:t>滁州祥源旅游发展有限公司</w:t>
                    </w:r>
                  </w:p>
                </w:tc>
                <w:sdt>
                  <w:sdtPr>
                    <w:rPr>
                      <w:rFonts w:cs="Cambria"/>
                      <w:szCs w:val="21"/>
                    </w:rPr>
                    <w:alias w:val="本企业的其他关联方情况明细－其他关联方与本公司关系"/>
                    <w:tag w:val="_GBC_2205fb8ea5f648b5a0c9e8e3f8499f9f"/>
                    <w:id w:val="194364514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99196CE" w14:textId="77777777" w:rsidR="00830E72" w:rsidRDefault="008344D8">
                        <w:pPr>
                          <w:rPr>
                            <w:rFonts w:cs="Cambria"/>
                            <w:szCs w:val="21"/>
                          </w:rPr>
                        </w:pPr>
                        <w:r>
                          <w:rPr>
                            <w:rFonts w:cs="Cambria"/>
                            <w:szCs w:val="21"/>
                          </w:rPr>
                          <w:t>其他</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350033538"/>
            </w:sdtPr>
            <w:sdtEndPr/>
            <w:sdtContent>
              <w:tr w:rsidR="00830E72" w14:paraId="22C58AAB"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52D240A9" w14:textId="77777777" w:rsidR="00830E72" w:rsidRDefault="008344D8">
                    <w:pPr>
                      <w:rPr>
                        <w:rFonts w:cs="Cambria"/>
                        <w:szCs w:val="21"/>
                      </w:rPr>
                    </w:pPr>
                    <w:r>
                      <w:t>祥源海外控股有限公司</w:t>
                    </w:r>
                  </w:p>
                </w:tc>
                <w:sdt>
                  <w:sdtPr>
                    <w:rPr>
                      <w:rFonts w:cs="Cambria"/>
                      <w:szCs w:val="21"/>
                    </w:rPr>
                    <w:alias w:val="本企业的其他关联方情况明细－其他关联方与本公司关系"/>
                    <w:tag w:val="_GBC_2205fb8ea5f648b5a0c9e8e3f8499f9f"/>
                    <w:id w:val="4011819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7076BF5"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903832206"/>
            </w:sdtPr>
            <w:sdtEndPr/>
            <w:sdtContent>
              <w:tr w:rsidR="00830E72" w14:paraId="2F295369"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F6594D8" w14:textId="77777777" w:rsidR="00830E72" w:rsidRDefault="008344D8">
                    <w:pPr>
                      <w:rPr>
                        <w:rFonts w:cs="Cambria"/>
                        <w:szCs w:val="21"/>
                      </w:rPr>
                    </w:pPr>
                    <w:r>
                      <w:t>广东丹霞山博士生态园实业有限公司</w:t>
                    </w:r>
                  </w:p>
                </w:tc>
                <w:sdt>
                  <w:sdtPr>
                    <w:rPr>
                      <w:rFonts w:cs="Cambria"/>
                      <w:szCs w:val="21"/>
                    </w:rPr>
                    <w:alias w:val="本企业的其他关联方情况明细－其他关联方与本公司关系"/>
                    <w:tag w:val="_GBC_2205fb8ea5f648b5a0c9e8e3f8499f9f"/>
                    <w:id w:val="-41608558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70BEA53"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333448681"/>
            </w:sdtPr>
            <w:sdtEndPr/>
            <w:sdtContent>
              <w:tr w:rsidR="00830E72" w14:paraId="56372BA2"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5F71B424" w14:textId="77777777" w:rsidR="00830E72" w:rsidRDefault="008344D8">
                    <w:pPr>
                      <w:rPr>
                        <w:rFonts w:cs="Cambria"/>
                        <w:szCs w:val="21"/>
                      </w:rPr>
                    </w:pPr>
                    <w:r>
                      <w:t>仁化县水上丹霞旅游发展有限公司</w:t>
                    </w:r>
                  </w:p>
                </w:tc>
                <w:sdt>
                  <w:sdtPr>
                    <w:rPr>
                      <w:rFonts w:cs="Cambria"/>
                      <w:szCs w:val="21"/>
                    </w:rPr>
                    <w:alias w:val="本企业的其他关联方情况明细－其他关联方与本公司关系"/>
                    <w:tag w:val="_GBC_2205fb8ea5f648b5a0c9e8e3f8499f9f"/>
                    <w:id w:val="81760784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2818B07B"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780382916"/>
            </w:sdtPr>
            <w:sdtEndPr/>
            <w:sdtContent>
              <w:tr w:rsidR="00830E72" w14:paraId="50962357"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1D91D499" w14:textId="77777777" w:rsidR="00830E72" w:rsidRDefault="008344D8">
                    <w:pPr>
                      <w:rPr>
                        <w:rFonts w:cs="Cambria"/>
                        <w:szCs w:val="21"/>
                      </w:rPr>
                    </w:pPr>
                    <w:r>
                      <w:t>上海祥源企业发展有限公司</w:t>
                    </w:r>
                  </w:p>
                </w:tc>
                <w:sdt>
                  <w:sdtPr>
                    <w:rPr>
                      <w:rFonts w:cs="Cambria"/>
                      <w:szCs w:val="21"/>
                    </w:rPr>
                    <w:alias w:val="本企业的其他关联方情况明细－其他关联方与本公司关系"/>
                    <w:tag w:val="_GBC_2205fb8ea5f648b5a0c9e8e3f8499f9f"/>
                    <w:id w:val="9042730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E95B6E3"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378906734"/>
            </w:sdtPr>
            <w:sdtEndPr/>
            <w:sdtContent>
              <w:tr w:rsidR="00830E72" w14:paraId="68D152C3"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AD6AAA1" w14:textId="77777777" w:rsidR="00830E72" w:rsidRDefault="008344D8">
                    <w:pPr>
                      <w:rPr>
                        <w:rFonts w:cs="Cambria"/>
                        <w:szCs w:val="21"/>
                      </w:rPr>
                    </w:pPr>
                    <w:r>
                      <w:t>绍兴市祥源茂瑞企业管理合伙企业（有限合伙）及其担任执行事务合伙人的有限合伙企业</w:t>
                    </w:r>
                  </w:p>
                </w:tc>
                <w:sdt>
                  <w:sdtPr>
                    <w:rPr>
                      <w:rFonts w:cs="Cambria"/>
                      <w:szCs w:val="21"/>
                    </w:rPr>
                    <w:alias w:val="本企业的其他关联方情况明细－其他关联方与本公司关系"/>
                    <w:tag w:val="_GBC_2205fb8ea5f648b5a0c9e8e3f8499f9f"/>
                    <w:id w:val="195905592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85CBD28" w14:textId="77777777" w:rsidR="00830E72" w:rsidRDefault="008344D8">
                        <w:pPr>
                          <w:rPr>
                            <w:rFonts w:cs="Cambria"/>
                            <w:szCs w:val="21"/>
                          </w:rPr>
                        </w:pPr>
                        <w:r>
                          <w:rPr>
                            <w:rFonts w:cs="Cambria"/>
                            <w:szCs w:val="21"/>
                          </w:rPr>
                          <w:t>其他</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505821079"/>
            </w:sdtPr>
            <w:sdtEndPr/>
            <w:sdtContent>
              <w:tr w:rsidR="00830E72" w14:paraId="21391C56"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160FBA0" w14:textId="77777777" w:rsidR="00830E72" w:rsidRDefault="008344D8">
                    <w:pPr>
                      <w:rPr>
                        <w:rFonts w:cs="Cambria"/>
                        <w:szCs w:val="21"/>
                      </w:rPr>
                    </w:pPr>
                    <w:r>
                      <w:t>安徽祥卉源企业管理有限公司</w:t>
                    </w:r>
                  </w:p>
                </w:tc>
                <w:sdt>
                  <w:sdtPr>
                    <w:rPr>
                      <w:rFonts w:cs="Cambria"/>
                      <w:szCs w:val="21"/>
                    </w:rPr>
                    <w:alias w:val="本企业的其他关联方情况明细－其他关联方与本公司关系"/>
                    <w:tag w:val="_GBC_2205fb8ea5f648b5a0c9e8e3f8499f9f"/>
                    <w:id w:val="-2363185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0A1FB79"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319043400"/>
            </w:sdtPr>
            <w:sdtEndPr/>
            <w:sdtContent>
              <w:tr w:rsidR="00830E72" w14:paraId="7F55FA72"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700DEBE" w14:textId="77777777" w:rsidR="00830E72" w:rsidRDefault="008344D8">
                    <w:pPr>
                      <w:rPr>
                        <w:rFonts w:cs="Cambria"/>
                        <w:szCs w:val="21"/>
                      </w:rPr>
                    </w:pPr>
                    <w:r>
                      <w:t>东莞市景星凤凰房地产开发有限公司</w:t>
                    </w:r>
                  </w:p>
                </w:tc>
                <w:sdt>
                  <w:sdtPr>
                    <w:rPr>
                      <w:rFonts w:cs="Cambria"/>
                      <w:szCs w:val="21"/>
                    </w:rPr>
                    <w:alias w:val="本企业的其他关联方情况明细－其他关联方与本公司关系"/>
                    <w:tag w:val="_GBC_2205fb8ea5f648b5a0c9e8e3f8499f9f"/>
                    <w:id w:val="200069045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76DEE25"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739009377"/>
            </w:sdtPr>
            <w:sdtEndPr/>
            <w:sdtContent>
              <w:tr w:rsidR="00830E72" w14:paraId="5E8AD819"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075F508" w14:textId="77777777" w:rsidR="00830E72" w:rsidRDefault="008344D8">
                    <w:pPr>
                      <w:rPr>
                        <w:rFonts w:cs="Cambria"/>
                        <w:szCs w:val="21"/>
                      </w:rPr>
                    </w:pPr>
                    <w:r>
                      <w:t>滁州祥源商业运营管理有限公司</w:t>
                    </w:r>
                  </w:p>
                </w:tc>
                <w:sdt>
                  <w:sdtPr>
                    <w:rPr>
                      <w:rFonts w:cs="Cambria"/>
                      <w:szCs w:val="21"/>
                    </w:rPr>
                    <w:alias w:val="本企业的其他关联方情况明细－其他关联方与本公司关系"/>
                    <w:tag w:val="_GBC_2205fb8ea5f648b5a0c9e8e3f8499f9f"/>
                    <w:id w:val="-16988481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845F312"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464501165"/>
            </w:sdtPr>
            <w:sdtEndPr/>
            <w:sdtContent>
              <w:tr w:rsidR="00830E72" w14:paraId="38C1E145"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F9119C4" w14:textId="77777777" w:rsidR="00830E72" w:rsidRDefault="008344D8">
                    <w:pPr>
                      <w:rPr>
                        <w:rFonts w:cs="Cambria"/>
                        <w:szCs w:val="21"/>
                      </w:rPr>
                    </w:pPr>
                    <w:r>
                      <w:t>张家界祥凤文化旅游开发有限公司</w:t>
                    </w:r>
                  </w:p>
                </w:tc>
                <w:sdt>
                  <w:sdtPr>
                    <w:rPr>
                      <w:rFonts w:cs="Cambria"/>
                      <w:szCs w:val="21"/>
                    </w:rPr>
                    <w:alias w:val="本企业的其他关联方情况明细－其他关联方与本公司关系"/>
                    <w:tag w:val="_GBC_2205fb8ea5f648b5a0c9e8e3f8499f9f"/>
                    <w:id w:val="-191245002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C963025"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187022098"/>
            </w:sdtPr>
            <w:sdtEndPr/>
            <w:sdtContent>
              <w:tr w:rsidR="00830E72" w14:paraId="1AA0C674"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0EBE824" w14:textId="77777777" w:rsidR="00830E72" w:rsidRDefault="008344D8">
                    <w:pPr>
                      <w:rPr>
                        <w:rFonts w:cs="Cambria"/>
                        <w:szCs w:val="21"/>
                      </w:rPr>
                    </w:pPr>
                    <w:r>
                      <w:t>阜南县城北祥源房地产开发有限公司</w:t>
                    </w:r>
                  </w:p>
                </w:tc>
                <w:sdt>
                  <w:sdtPr>
                    <w:rPr>
                      <w:rFonts w:cs="Cambria"/>
                      <w:szCs w:val="21"/>
                    </w:rPr>
                    <w:alias w:val="本企业的其他关联方情况明细－其他关联方与本公司关系"/>
                    <w:tag w:val="_GBC_2205fb8ea5f648b5a0c9e8e3f8499f9f"/>
                    <w:id w:val="52745895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53558E9"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307980494"/>
            </w:sdtPr>
            <w:sdtEndPr/>
            <w:sdtContent>
              <w:tr w:rsidR="00830E72" w14:paraId="25C72827"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4EA0D0F" w14:textId="77777777" w:rsidR="00830E72" w:rsidRDefault="008344D8">
                    <w:pPr>
                      <w:rPr>
                        <w:rFonts w:cs="Cambria"/>
                        <w:szCs w:val="21"/>
                      </w:rPr>
                    </w:pPr>
                    <w:r>
                      <w:t>广东祥源企业发展股份有限公司</w:t>
                    </w:r>
                  </w:p>
                </w:tc>
                <w:sdt>
                  <w:sdtPr>
                    <w:rPr>
                      <w:rFonts w:cs="Cambria"/>
                      <w:szCs w:val="21"/>
                    </w:rPr>
                    <w:alias w:val="本企业的其他关联方情况明细－其他关联方与本公司关系"/>
                    <w:tag w:val="_GBC_2205fb8ea5f648b5a0c9e8e3f8499f9f"/>
                    <w:id w:val="142368425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203C5C7"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570297878"/>
            </w:sdtPr>
            <w:sdtEndPr/>
            <w:sdtContent>
              <w:tr w:rsidR="00830E72" w14:paraId="1A62447E"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645C373C" w14:textId="77777777" w:rsidR="00830E72" w:rsidRDefault="008344D8">
                    <w:pPr>
                      <w:rPr>
                        <w:rFonts w:cs="Cambria"/>
                        <w:szCs w:val="21"/>
                      </w:rPr>
                    </w:pPr>
                    <w:r>
                      <w:t>安徽星球花园旅游发展有限公司</w:t>
                    </w:r>
                  </w:p>
                </w:tc>
                <w:sdt>
                  <w:sdtPr>
                    <w:rPr>
                      <w:rFonts w:cs="Cambria"/>
                      <w:szCs w:val="21"/>
                    </w:rPr>
                    <w:alias w:val="本企业的其他关联方情况明细－其他关联方与本公司关系"/>
                    <w:tag w:val="_GBC_2205fb8ea5f648b5a0c9e8e3f8499f9f"/>
                    <w:id w:val="-17318477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0BFD52F"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519443"/>
            </w:sdtPr>
            <w:sdtEndPr/>
            <w:sdtContent>
              <w:tr w:rsidR="00830E72" w14:paraId="79EB7551"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6EA5623" w14:textId="77777777" w:rsidR="00830E72" w:rsidRDefault="008344D8">
                    <w:pPr>
                      <w:rPr>
                        <w:rFonts w:cs="Cambria"/>
                        <w:szCs w:val="21"/>
                      </w:rPr>
                    </w:pPr>
                    <w:r>
                      <w:t>张家界市祥源企业管理有限公司</w:t>
                    </w:r>
                  </w:p>
                </w:tc>
                <w:sdt>
                  <w:sdtPr>
                    <w:rPr>
                      <w:rFonts w:cs="Cambria"/>
                      <w:szCs w:val="21"/>
                    </w:rPr>
                    <w:alias w:val="本企业的其他关联方情况明细－其他关联方与本公司关系"/>
                    <w:tag w:val="_GBC_2205fb8ea5f648b5a0c9e8e3f8499f9f"/>
                    <w:id w:val="5898168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26F757AE"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23458251"/>
            </w:sdtPr>
            <w:sdtEndPr/>
            <w:sdtContent>
              <w:tr w:rsidR="00830E72" w14:paraId="4041B92A"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59008CBA" w14:textId="77777777" w:rsidR="00830E72" w:rsidRDefault="008344D8">
                    <w:pPr>
                      <w:rPr>
                        <w:rFonts w:cs="Cambria"/>
                        <w:szCs w:val="21"/>
                      </w:rPr>
                    </w:pPr>
                    <w:r>
                      <w:t>宁波祥源旅游开发有限公司</w:t>
                    </w:r>
                  </w:p>
                </w:tc>
                <w:sdt>
                  <w:sdtPr>
                    <w:rPr>
                      <w:rFonts w:cs="Cambria"/>
                      <w:szCs w:val="21"/>
                    </w:rPr>
                    <w:alias w:val="本企业的其他关联方情况明细－其他关联方与本公司关系"/>
                    <w:tag w:val="_GBC_2205fb8ea5f648b5a0c9e8e3f8499f9f"/>
                    <w:id w:val="10175847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5238F6B"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24432167"/>
            </w:sdtPr>
            <w:sdtEndPr/>
            <w:sdtContent>
              <w:tr w:rsidR="00830E72" w14:paraId="4ADB3AE7"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4694A10" w14:textId="77777777" w:rsidR="00830E72" w:rsidRDefault="008344D8">
                    <w:pPr>
                      <w:rPr>
                        <w:rFonts w:cs="Cambria"/>
                        <w:szCs w:val="21"/>
                      </w:rPr>
                    </w:pPr>
                    <w:r>
                      <w:t>阜阳文化旅游发展股份有限公司</w:t>
                    </w:r>
                  </w:p>
                </w:tc>
                <w:sdt>
                  <w:sdtPr>
                    <w:rPr>
                      <w:rFonts w:cs="Cambria"/>
                      <w:szCs w:val="21"/>
                    </w:rPr>
                    <w:alias w:val="本企业的其他关联方情况明细－其他关联方与本公司关系"/>
                    <w:tag w:val="_GBC_2205fb8ea5f648b5a0c9e8e3f8499f9f"/>
                    <w:id w:val="-18462401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64B1E6E"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774939156"/>
            </w:sdtPr>
            <w:sdtEndPr/>
            <w:sdtContent>
              <w:tr w:rsidR="00830E72" w14:paraId="5190CC2C"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576F7AB2" w14:textId="77777777" w:rsidR="00830E72" w:rsidRDefault="008344D8">
                    <w:pPr>
                      <w:rPr>
                        <w:rFonts w:cs="Cambria"/>
                        <w:szCs w:val="21"/>
                      </w:rPr>
                    </w:pPr>
                    <w:r>
                      <w:t>安徽源海房地产开发有限公司</w:t>
                    </w:r>
                  </w:p>
                </w:tc>
                <w:sdt>
                  <w:sdtPr>
                    <w:rPr>
                      <w:rFonts w:cs="Cambria"/>
                      <w:szCs w:val="21"/>
                    </w:rPr>
                    <w:alias w:val="本企业的其他关联方情况明细－其他关联方与本公司关系"/>
                    <w:tag w:val="_GBC_2205fb8ea5f648b5a0c9e8e3f8499f9f"/>
                    <w:id w:val="-77833257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AC2E324"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439262377"/>
            </w:sdtPr>
            <w:sdtEndPr/>
            <w:sdtContent>
              <w:tr w:rsidR="00830E72" w14:paraId="445A6D69"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AF583A2" w14:textId="77777777" w:rsidR="00830E72" w:rsidRDefault="008344D8">
                    <w:pPr>
                      <w:rPr>
                        <w:rFonts w:cs="Cambria"/>
                        <w:szCs w:val="21"/>
                      </w:rPr>
                    </w:pPr>
                    <w:r>
                      <w:t>杭州祥源寰熙企业管理咨询有限责任公司</w:t>
                    </w:r>
                  </w:p>
                </w:tc>
                <w:sdt>
                  <w:sdtPr>
                    <w:rPr>
                      <w:rFonts w:cs="Cambria"/>
                      <w:szCs w:val="21"/>
                    </w:rPr>
                    <w:alias w:val="本企业的其他关联方情况明细－其他关联方与本公司关系"/>
                    <w:tag w:val="_GBC_2205fb8ea5f648b5a0c9e8e3f8499f9f"/>
                    <w:id w:val="18872194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7C7BAE9"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153835278"/>
            </w:sdtPr>
            <w:sdtEndPr/>
            <w:sdtContent>
              <w:tr w:rsidR="00830E72" w14:paraId="373413F6"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5C243D38" w14:textId="77777777" w:rsidR="00830E72" w:rsidRDefault="008344D8">
                    <w:pPr>
                      <w:rPr>
                        <w:rFonts w:cs="Cambria"/>
                        <w:szCs w:val="21"/>
                      </w:rPr>
                    </w:pPr>
                    <w:r>
                      <w:t>岳阳祥源实业有限公司</w:t>
                    </w:r>
                  </w:p>
                </w:tc>
                <w:sdt>
                  <w:sdtPr>
                    <w:rPr>
                      <w:rFonts w:cs="Cambria"/>
                      <w:szCs w:val="21"/>
                    </w:rPr>
                    <w:alias w:val="本企业的其他关联方情况明细－其他关联方与本公司关系"/>
                    <w:tag w:val="_GBC_2205fb8ea5f648b5a0c9e8e3f8499f9f"/>
                    <w:id w:val="139099900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54D72A5"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750620805"/>
            </w:sdtPr>
            <w:sdtEndPr/>
            <w:sdtContent>
              <w:tr w:rsidR="00830E72" w14:paraId="52D0966A"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63EE8D1F" w14:textId="77777777" w:rsidR="00830E72" w:rsidRDefault="008344D8">
                    <w:pPr>
                      <w:rPr>
                        <w:rFonts w:cs="Cambria"/>
                        <w:szCs w:val="21"/>
                      </w:rPr>
                    </w:pPr>
                    <w:r>
                      <w:t>北京迈途国际旅行社有限公司</w:t>
                    </w:r>
                  </w:p>
                </w:tc>
                <w:sdt>
                  <w:sdtPr>
                    <w:rPr>
                      <w:rFonts w:cs="Cambria"/>
                      <w:szCs w:val="21"/>
                    </w:rPr>
                    <w:alias w:val="本企业的其他关联方情况明细－其他关联方与本公司关系"/>
                    <w:tag w:val="_GBC_2205fb8ea5f648b5a0c9e8e3f8499f9f"/>
                    <w:id w:val="165472574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51A8C669"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364450077"/>
            </w:sdtPr>
            <w:sdtEndPr/>
            <w:sdtContent>
              <w:tr w:rsidR="00830E72" w14:paraId="1F65C168"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7274C68" w14:textId="77777777" w:rsidR="00830E72" w:rsidRDefault="008344D8">
                    <w:pPr>
                      <w:rPr>
                        <w:rFonts w:cs="Cambria"/>
                        <w:szCs w:val="21"/>
                      </w:rPr>
                    </w:pPr>
                    <w:r>
                      <w:t>上海源途远旅游文化有限公司</w:t>
                    </w:r>
                  </w:p>
                </w:tc>
                <w:sdt>
                  <w:sdtPr>
                    <w:rPr>
                      <w:rFonts w:cs="Cambria"/>
                      <w:szCs w:val="21"/>
                    </w:rPr>
                    <w:alias w:val="本企业的其他关联方情况明细－其他关联方与本公司关系"/>
                    <w:tag w:val="_GBC_2205fb8ea5f648b5a0c9e8e3f8499f9f"/>
                    <w:id w:val="10146686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29AAFAD7"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312749313"/>
            </w:sdtPr>
            <w:sdtEndPr/>
            <w:sdtContent>
              <w:tr w:rsidR="00830E72" w14:paraId="554951DA"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1DB96835" w14:textId="77777777" w:rsidR="00830E72" w:rsidRDefault="008344D8">
                    <w:pPr>
                      <w:rPr>
                        <w:rFonts w:cs="Cambria"/>
                        <w:szCs w:val="21"/>
                      </w:rPr>
                    </w:pPr>
                    <w:r>
                      <w:t>上海万锦置业发展有限公司</w:t>
                    </w:r>
                  </w:p>
                </w:tc>
                <w:sdt>
                  <w:sdtPr>
                    <w:rPr>
                      <w:rFonts w:cs="Cambria"/>
                      <w:szCs w:val="21"/>
                    </w:rPr>
                    <w:alias w:val="本企业的其他关联方情况明细－其他关联方与本公司关系"/>
                    <w:tag w:val="_GBC_2205fb8ea5f648b5a0c9e8e3f8499f9f"/>
                    <w:id w:val="-5007408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CDF8049"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549738690"/>
            </w:sdtPr>
            <w:sdtEndPr/>
            <w:sdtContent>
              <w:tr w:rsidR="00830E72" w14:paraId="149D4DB8"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78D5F03C" w14:textId="77777777" w:rsidR="00830E72" w:rsidRDefault="008344D8">
                    <w:pPr>
                      <w:rPr>
                        <w:rFonts w:cs="Cambria"/>
                        <w:szCs w:val="21"/>
                      </w:rPr>
                    </w:pPr>
                    <w:r>
                      <w:t>安徽新欧力电器有限公司</w:t>
                    </w:r>
                  </w:p>
                </w:tc>
                <w:sdt>
                  <w:sdtPr>
                    <w:rPr>
                      <w:rFonts w:cs="Cambria"/>
                      <w:szCs w:val="21"/>
                    </w:rPr>
                    <w:alias w:val="本企业的其他关联方情况明细－其他关联方与本公司关系"/>
                    <w:tag w:val="_GBC_2205fb8ea5f648b5a0c9e8e3f8499f9f"/>
                    <w:id w:val="143709971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26E180C"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823852137"/>
            </w:sdtPr>
            <w:sdtEndPr/>
            <w:sdtContent>
              <w:tr w:rsidR="00830E72" w14:paraId="614BFE10"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71BB38A6" w14:textId="77777777" w:rsidR="00830E72" w:rsidRDefault="008344D8">
                    <w:pPr>
                      <w:rPr>
                        <w:rFonts w:cs="Cambria"/>
                        <w:szCs w:val="21"/>
                      </w:rPr>
                    </w:pPr>
                    <w:r>
                      <w:t>五河祥源星河建设有限公司</w:t>
                    </w:r>
                  </w:p>
                </w:tc>
                <w:sdt>
                  <w:sdtPr>
                    <w:rPr>
                      <w:rFonts w:cs="Cambria"/>
                      <w:szCs w:val="21"/>
                    </w:rPr>
                    <w:alias w:val="本企业的其他关联方情况明细－其他关联方与本公司关系"/>
                    <w:tag w:val="_GBC_2205fb8ea5f648b5a0c9e8e3f8499f9f"/>
                    <w:id w:val="152883690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67929F9"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241080"/>
            </w:sdtPr>
            <w:sdtEndPr/>
            <w:sdtContent>
              <w:tr w:rsidR="00830E72" w14:paraId="5DB0D972"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B5E8607" w14:textId="77777777" w:rsidR="00830E72" w:rsidRDefault="008344D8">
                    <w:pPr>
                      <w:rPr>
                        <w:rFonts w:cs="Cambria"/>
                        <w:szCs w:val="21"/>
                      </w:rPr>
                    </w:pPr>
                    <w:r>
                      <w:t>浙江祥通吉商贸有限公司</w:t>
                    </w:r>
                  </w:p>
                </w:tc>
                <w:sdt>
                  <w:sdtPr>
                    <w:rPr>
                      <w:rFonts w:cs="Cambria"/>
                      <w:szCs w:val="21"/>
                    </w:rPr>
                    <w:alias w:val="本企业的其他关联方情况明细－其他关联方与本公司关系"/>
                    <w:tag w:val="_GBC_2205fb8ea5f648b5a0c9e8e3f8499f9f"/>
                    <w:id w:val="3527722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44888B2"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412592694"/>
            </w:sdtPr>
            <w:sdtEndPr/>
            <w:sdtContent>
              <w:tr w:rsidR="00830E72" w14:paraId="6685A324"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6492E0E0" w14:textId="77777777" w:rsidR="00830E72" w:rsidRDefault="008344D8">
                    <w:pPr>
                      <w:rPr>
                        <w:rFonts w:cs="Cambria"/>
                        <w:szCs w:val="21"/>
                      </w:rPr>
                    </w:pPr>
                    <w:r>
                      <w:t>祥源乐园有限公司</w:t>
                    </w:r>
                  </w:p>
                </w:tc>
                <w:sdt>
                  <w:sdtPr>
                    <w:rPr>
                      <w:rFonts w:cs="Cambria"/>
                      <w:szCs w:val="21"/>
                    </w:rPr>
                    <w:alias w:val="本企业的其他关联方情况明细－其他关联方与本公司关系"/>
                    <w:tag w:val="_GBC_2205fb8ea5f648b5a0c9e8e3f8499f9f"/>
                    <w:id w:val="16220335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1C9D1E1"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065378196"/>
            </w:sdtPr>
            <w:sdtEndPr/>
            <w:sdtContent>
              <w:tr w:rsidR="00830E72" w14:paraId="1D67A155"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FD08667" w14:textId="77777777" w:rsidR="00830E72" w:rsidRDefault="008344D8">
                    <w:pPr>
                      <w:rPr>
                        <w:rFonts w:cs="Cambria"/>
                        <w:szCs w:val="21"/>
                      </w:rPr>
                    </w:pPr>
                    <w:r>
                      <w:t>祥源梅溪湖文化旅游发展有限公司</w:t>
                    </w:r>
                  </w:p>
                </w:tc>
                <w:sdt>
                  <w:sdtPr>
                    <w:rPr>
                      <w:rFonts w:cs="Cambria"/>
                      <w:szCs w:val="21"/>
                    </w:rPr>
                    <w:alias w:val="本企业的其他关联方情况明细－其他关联方与本公司关系"/>
                    <w:tag w:val="_GBC_2205fb8ea5f648b5a0c9e8e3f8499f9f"/>
                    <w:id w:val="108889797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DC0ED97"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719239276"/>
            </w:sdtPr>
            <w:sdtEndPr/>
            <w:sdtContent>
              <w:tr w:rsidR="00830E72" w14:paraId="2ED39CDF"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BA50DE0" w14:textId="77777777" w:rsidR="00830E72" w:rsidRDefault="008344D8">
                    <w:pPr>
                      <w:rPr>
                        <w:rFonts w:cs="Cambria"/>
                        <w:szCs w:val="21"/>
                      </w:rPr>
                    </w:pPr>
                    <w:r>
                      <w:t>湖南永润园林有限公司</w:t>
                    </w:r>
                  </w:p>
                </w:tc>
                <w:sdt>
                  <w:sdtPr>
                    <w:rPr>
                      <w:rFonts w:cs="Cambria"/>
                      <w:szCs w:val="21"/>
                    </w:rPr>
                    <w:alias w:val="本企业的其他关联方情况明细－其他关联方与本公司关系"/>
                    <w:tag w:val="_GBC_2205fb8ea5f648b5a0c9e8e3f8499f9f"/>
                    <w:id w:val="-11347861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612159A"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566874162"/>
            </w:sdtPr>
            <w:sdtEndPr/>
            <w:sdtContent>
              <w:tr w:rsidR="00830E72" w14:paraId="7DD85D89"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735EE75" w14:textId="77777777" w:rsidR="00830E72" w:rsidRDefault="008344D8">
                    <w:pPr>
                      <w:rPr>
                        <w:rFonts w:cs="Cambria"/>
                        <w:szCs w:val="21"/>
                      </w:rPr>
                    </w:pPr>
                    <w:r>
                      <w:t>阜阳源海房地产开发有限公司</w:t>
                    </w:r>
                  </w:p>
                </w:tc>
                <w:sdt>
                  <w:sdtPr>
                    <w:rPr>
                      <w:rFonts w:cs="Cambria"/>
                      <w:szCs w:val="21"/>
                    </w:rPr>
                    <w:alias w:val="本企业的其他关联方情况明细－其他关联方与本公司关系"/>
                    <w:tag w:val="_GBC_2205fb8ea5f648b5a0c9e8e3f8499f9f"/>
                    <w:id w:val="-95224679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B09B102"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889559531"/>
            </w:sdtPr>
            <w:sdtEndPr/>
            <w:sdtContent>
              <w:tr w:rsidR="00830E72" w14:paraId="288FA9E5"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7089395E" w14:textId="77777777" w:rsidR="00830E72" w:rsidRDefault="008344D8">
                    <w:pPr>
                      <w:rPr>
                        <w:rFonts w:cs="Cambria"/>
                        <w:szCs w:val="21"/>
                      </w:rPr>
                    </w:pPr>
                    <w:r>
                      <w:t>青岛流清文化旅游发展有限公司</w:t>
                    </w:r>
                  </w:p>
                </w:tc>
                <w:sdt>
                  <w:sdtPr>
                    <w:rPr>
                      <w:rFonts w:cs="Cambria"/>
                      <w:szCs w:val="21"/>
                    </w:rPr>
                    <w:alias w:val="本企业的其他关联方情况明细－其他关联方与本公司关系"/>
                    <w:tag w:val="_GBC_2205fb8ea5f648b5a0c9e8e3f8499f9f"/>
                    <w:id w:val="103370243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5B6ABADD"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672727980"/>
            </w:sdtPr>
            <w:sdtEndPr/>
            <w:sdtContent>
              <w:tr w:rsidR="00830E72" w14:paraId="13A8C433"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A758877" w14:textId="77777777" w:rsidR="00830E72" w:rsidRDefault="008344D8">
                    <w:pPr>
                      <w:rPr>
                        <w:rFonts w:cs="Cambria"/>
                        <w:szCs w:val="21"/>
                      </w:rPr>
                    </w:pPr>
                    <w:r>
                      <w:t>昆明祥源房地产开发有限公司</w:t>
                    </w:r>
                  </w:p>
                </w:tc>
                <w:sdt>
                  <w:sdtPr>
                    <w:rPr>
                      <w:rFonts w:cs="Cambria"/>
                      <w:szCs w:val="21"/>
                    </w:rPr>
                    <w:alias w:val="本企业的其他关联方情况明细－其他关联方与本公司关系"/>
                    <w:tag w:val="_GBC_2205fb8ea5f648b5a0c9e8e3f8499f9f"/>
                    <w:id w:val="6262813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A0101A3"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786005337"/>
            </w:sdtPr>
            <w:sdtEndPr/>
            <w:sdtContent>
              <w:tr w:rsidR="00830E72" w14:paraId="5F0FC6DC"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C7BA747" w14:textId="77777777" w:rsidR="00830E72" w:rsidRDefault="008344D8">
                    <w:pPr>
                      <w:rPr>
                        <w:rFonts w:cs="Cambria"/>
                        <w:szCs w:val="21"/>
                      </w:rPr>
                    </w:pPr>
                    <w:r>
                      <w:t>上海祥谊房地产开发有限公司</w:t>
                    </w:r>
                  </w:p>
                </w:tc>
                <w:sdt>
                  <w:sdtPr>
                    <w:rPr>
                      <w:rFonts w:cs="Cambria"/>
                      <w:szCs w:val="21"/>
                    </w:rPr>
                    <w:alias w:val="本企业的其他关联方情况明细－其他关联方与本公司关系"/>
                    <w:tag w:val="_GBC_2205fb8ea5f648b5a0c9e8e3f8499f9f"/>
                    <w:id w:val="-17589754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ECD24F6"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74297291"/>
            </w:sdtPr>
            <w:sdtEndPr/>
            <w:sdtContent>
              <w:tr w:rsidR="00830E72" w14:paraId="41A26FF3"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7B4CC96C" w14:textId="77777777" w:rsidR="00830E72" w:rsidRDefault="008344D8">
                    <w:pPr>
                      <w:rPr>
                        <w:rFonts w:cs="Cambria"/>
                        <w:szCs w:val="21"/>
                      </w:rPr>
                    </w:pPr>
                    <w:r>
                      <w:t>杭州萧山君夏企业管理咨询有限责任公司</w:t>
                    </w:r>
                  </w:p>
                </w:tc>
                <w:sdt>
                  <w:sdtPr>
                    <w:rPr>
                      <w:rFonts w:cs="Cambria"/>
                      <w:szCs w:val="21"/>
                    </w:rPr>
                    <w:alias w:val="本企业的其他关联方情况明细－其他关联方与本公司关系"/>
                    <w:tag w:val="_GBC_2205fb8ea5f648b5a0c9e8e3f8499f9f"/>
                    <w:id w:val="2924812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BD83CD4"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38854124"/>
            </w:sdtPr>
            <w:sdtEndPr/>
            <w:sdtContent>
              <w:tr w:rsidR="00830E72" w14:paraId="389AB7AB"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FAD9C71" w14:textId="77777777" w:rsidR="00830E72" w:rsidRDefault="008344D8">
                    <w:pPr>
                      <w:rPr>
                        <w:rFonts w:cs="Cambria"/>
                        <w:szCs w:val="21"/>
                      </w:rPr>
                    </w:pPr>
                    <w:r>
                      <w:t>安徽祥源旅游管理有限公司</w:t>
                    </w:r>
                  </w:p>
                </w:tc>
                <w:sdt>
                  <w:sdtPr>
                    <w:rPr>
                      <w:rFonts w:cs="Cambria"/>
                      <w:szCs w:val="21"/>
                    </w:rPr>
                    <w:alias w:val="本企业的其他关联方情况明细－其他关联方与本公司关系"/>
                    <w:tag w:val="_GBC_2205fb8ea5f648b5a0c9e8e3f8499f9f"/>
                    <w:id w:val="-7597552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12574264"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504742376"/>
            </w:sdtPr>
            <w:sdtEndPr/>
            <w:sdtContent>
              <w:tr w:rsidR="00830E72" w14:paraId="44CB7223"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284DD96" w14:textId="77777777" w:rsidR="00830E72" w:rsidRDefault="008344D8">
                    <w:pPr>
                      <w:rPr>
                        <w:rFonts w:cs="Cambria"/>
                        <w:szCs w:val="21"/>
                      </w:rPr>
                    </w:pPr>
                    <w:r>
                      <w:t>上海海祥置业有限公司</w:t>
                    </w:r>
                  </w:p>
                </w:tc>
                <w:sdt>
                  <w:sdtPr>
                    <w:rPr>
                      <w:rFonts w:cs="Cambria"/>
                      <w:szCs w:val="21"/>
                    </w:rPr>
                    <w:alias w:val="本企业的其他关联方情况明细－其他关联方与本公司关系"/>
                    <w:tag w:val="_GBC_2205fb8ea5f648b5a0c9e8e3f8499f9f"/>
                    <w:id w:val="-9262610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5E357B63"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938973275"/>
            </w:sdtPr>
            <w:sdtEndPr/>
            <w:sdtContent>
              <w:tr w:rsidR="00830E72" w14:paraId="2EE9D9F0"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BE67524" w14:textId="77777777" w:rsidR="00830E72" w:rsidRDefault="008344D8">
                    <w:pPr>
                      <w:rPr>
                        <w:rFonts w:cs="Cambria"/>
                        <w:szCs w:val="21"/>
                      </w:rPr>
                    </w:pPr>
                    <w:r>
                      <w:t>上海源业置业有限公司</w:t>
                    </w:r>
                  </w:p>
                </w:tc>
                <w:sdt>
                  <w:sdtPr>
                    <w:rPr>
                      <w:rFonts w:cs="Cambria"/>
                      <w:szCs w:val="21"/>
                    </w:rPr>
                    <w:alias w:val="本企业的其他关联方情况明细－其他关联方与本公司关系"/>
                    <w:tag w:val="_GBC_2205fb8ea5f648b5a0c9e8e3f8499f9f"/>
                    <w:id w:val="23821131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328CA68"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989746243"/>
            </w:sdtPr>
            <w:sdtEndPr/>
            <w:sdtContent>
              <w:tr w:rsidR="00830E72" w14:paraId="14A65237"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5C5AA414" w14:textId="77777777" w:rsidR="00830E72" w:rsidRDefault="008344D8">
                    <w:pPr>
                      <w:rPr>
                        <w:rFonts w:cs="Cambria"/>
                        <w:szCs w:val="21"/>
                      </w:rPr>
                    </w:pPr>
                    <w:r>
                      <w:t>上海源业实业有限公司</w:t>
                    </w:r>
                  </w:p>
                </w:tc>
                <w:sdt>
                  <w:sdtPr>
                    <w:rPr>
                      <w:rFonts w:cs="Cambria"/>
                      <w:szCs w:val="21"/>
                    </w:rPr>
                    <w:alias w:val="本企业的其他关联方情况明细－其他关联方与本公司关系"/>
                    <w:tag w:val="_GBC_2205fb8ea5f648b5a0c9e8e3f8499f9f"/>
                    <w:id w:val="6524049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1C556F94"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106074504"/>
            </w:sdtPr>
            <w:sdtEndPr/>
            <w:sdtContent>
              <w:tr w:rsidR="00830E72" w14:paraId="349401EB"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BACCC77" w14:textId="77777777" w:rsidR="00830E72" w:rsidRDefault="008344D8">
                    <w:pPr>
                      <w:rPr>
                        <w:rFonts w:cs="Cambria"/>
                        <w:szCs w:val="21"/>
                      </w:rPr>
                    </w:pPr>
                    <w:r>
                      <w:t>合肥辉源旅游发展有限公司</w:t>
                    </w:r>
                  </w:p>
                </w:tc>
                <w:sdt>
                  <w:sdtPr>
                    <w:rPr>
                      <w:rFonts w:cs="Cambria"/>
                      <w:szCs w:val="21"/>
                    </w:rPr>
                    <w:alias w:val="本企业的其他关联方情况明细－其他关联方与本公司关系"/>
                    <w:tag w:val="_GBC_2205fb8ea5f648b5a0c9e8e3f8499f9f"/>
                    <w:id w:val="103169224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F2CCBD2"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144240141"/>
            </w:sdtPr>
            <w:sdtEndPr/>
            <w:sdtContent>
              <w:tr w:rsidR="00830E72" w14:paraId="1722C016"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D1A6AEA" w14:textId="77777777" w:rsidR="00830E72" w:rsidRDefault="008344D8">
                    <w:pPr>
                      <w:rPr>
                        <w:rFonts w:cs="Cambria"/>
                        <w:szCs w:val="21"/>
                      </w:rPr>
                    </w:pPr>
                    <w:r>
                      <w:t>东莞祥源房地产开发有限公司</w:t>
                    </w:r>
                  </w:p>
                </w:tc>
                <w:sdt>
                  <w:sdtPr>
                    <w:rPr>
                      <w:rFonts w:cs="Cambria"/>
                      <w:szCs w:val="21"/>
                    </w:rPr>
                    <w:alias w:val="本企业的其他关联方情况明细－其他关联方与本公司关系"/>
                    <w:tag w:val="_GBC_2205fb8ea5f648b5a0c9e8e3f8499f9f"/>
                    <w:id w:val="27745885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98464FA"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519211493"/>
            </w:sdtPr>
            <w:sdtEndPr/>
            <w:sdtContent>
              <w:tr w:rsidR="00830E72" w14:paraId="34E4251D"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B2FC9BC" w14:textId="77777777" w:rsidR="00830E72" w:rsidRDefault="008344D8">
                    <w:pPr>
                      <w:rPr>
                        <w:rFonts w:cs="Cambria"/>
                        <w:szCs w:val="21"/>
                      </w:rPr>
                    </w:pPr>
                    <w:r>
                      <w:t>安徽祥益旅游发展有限公司</w:t>
                    </w:r>
                  </w:p>
                </w:tc>
                <w:sdt>
                  <w:sdtPr>
                    <w:rPr>
                      <w:rFonts w:cs="Cambria"/>
                      <w:szCs w:val="21"/>
                    </w:rPr>
                    <w:alias w:val="本企业的其他关联方情况明细－其他关联方与本公司关系"/>
                    <w:tag w:val="_GBC_2205fb8ea5f648b5a0c9e8e3f8499f9f"/>
                    <w:id w:val="7189476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35AFE8C"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408970360"/>
            </w:sdtPr>
            <w:sdtEndPr/>
            <w:sdtContent>
              <w:tr w:rsidR="00830E72" w14:paraId="43762548"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F70A4B9" w14:textId="77777777" w:rsidR="00830E72" w:rsidRDefault="008344D8">
                    <w:pPr>
                      <w:rPr>
                        <w:rFonts w:cs="Cambria"/>
                        <w:szCs w:val="21"/>
                      </w:rPr>
                    </w:pPr>
                    <w:r>
                      <w:t>深圳市祥晟源房地产开发有限公司</w:t>
                    </w:r>
                  </w:p>
                </w:tc>
                <w:sdt>
                  <w:sdtPr>
                    <w:rPr>
                      <w:rFonts w:cs="Cambria"/>
                      <w:szCs w:val="21"/>
                    </w:rPr>
                    <w:alias w:val="本企业的其他关联方情况明细－其他关联方与本公司关系"/>
                    <w:tag w:val="_GBC_2205fb8ea5f648b5a0c9e8e3f8499f9f"/>
                    <w:id w:val="181814821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F6C2939"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855800022"/>
            </w:sdtPr>
            <w:sdtEndPr/>
            <w:sdtContent>
              <w:tr w:rsidR="00830E72" w14:paraId="030E6933"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6811020" w14:textId="77777777" w:rsidR="00830E72" w:rsidRDefault="008344D8">
                    <w:pPr>
                      <w:rPr>
                        <w:rFonts w:cs="Cambria"/>
                        <w:szCs w:val="21"/>
                      </w:rPr>
                    </w:pPr>
                    <w:r>
                      <w:t>常熟祥源房地产开发有限公司</w:t>
                    </w:r>
                  </w:p>
                </w:tc>
                <w:sdt>
                  <w:sdtPr>
                    <w:rPr>
                      <w:rFonts w:cs="Cambria"/>
                      <w:szCs w:val="21"/>
                    </w:rPr>
                    <w:alias w:val="本企业的其他关联方情况明细－其他关联方与本公司关系"/>
                    <w:tag w:val="_GBC_2205fb8ea5f648b5a0c9e8e3f8499f9f"/>
                    <w:id w:val="-175474222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05474B7"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459765851"/>
            </w:sdtPr>
            <w:sdtEndPr/>
            <w:sdtContent>
              <w:tr w:rsidR="00830E72" w14:paraId="70A2C329"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5AE67F66" w14:textId="77777777" w:rsidR="00830E72" w:rsidRDefault="008344D8">
                    <w:pPr>
                      <w:rPr>
                        <w:rFonts w:cs="Cambria"/>
                        <w:szCs w:val="21"/>
                      </w:rPr>
                    </w:pPr>
                    <w:r>
                      <w:t>安徽祥家信息科技有限公司</w:t>
                    </w:r>
                  </w:p>
                </w:tc>
                <w:sdt>
                  <w:sdtPr>
                    <w:rPr>
                      <w:rFonts w:cs="Cambria"/>
                      <w:szCs w:val="21"/>
                    </w:rPr>
                    <w:alias w:val="本企业的其他关联方情况明细－其他关联方与本公司关系"/>
                    <w:tag w:val="_GBC_2205fb8ea5f648b5a0c9e8e3f8499f9f"/>
                    <w:id w:val="177906229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57B25CE6"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444136830"/>
            </w:sdtPr>
            <w:sdtEndPr/>
            <w:sdtContent>
              <w:tr w:rsidR="00830E72" w14:paraId="0187D610"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F25F368" w14:textId="77777777" w:rsidR="00830E72" w:rsidRDefault="008344D8">
                    <w:pPr>
                      <w:rPr>
                        <w:rFonts w:cs="Cambria"/>
                        <w:szCs w:val="21"/>
                      </w:rPr>
                    </w:pPr>
                    <w:r>
                      <w:t>成都祥源旅游开发有限公司</w:t>
                    </w:r>
                  </w:p>
                </w:tc>
                <w:sdt>
                  <w:sdtPr>
                    <w:rPr>
                      <w:rFonts w:cs="Cambria"/>
                      <w:szCs w:val="21"/>
                    </w:rPr>
                    <w:alias w:val="本企业的其他关联方情况明细－其他关联方与本公司关系"/>
                    <w:tag w:val="_GBC_2205fb8ea5f648b5a0c9e8e3f8499f9f"/>
                    <w:id w:val="3886118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5DF7ABD4"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78840089"/>
            </w:sdtPr>
            <w:sdtEndPr/>
            <w:sdtContent>
              <w:tr w:rsidR="00830E72" w14:paraId="52F145D6"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532BC275" w14:textId="77777777" w:rsidR="00830E72" w:rsidRDefault="008344D8">
                    <w:pPr>
                      <w:rPr>
                        <w:rFonts w:cs="Cambria"/>
                        <w:szCs w:val="21"/>
                      </w:rPr>
                    </w:pPr>
                    <w:r>
                      <w:t>上海祥源旅游发展有限公司</w:t>
                    </w:r>
                  </w:p>
                </w:tc>
                <w:sdt>
                  <w:sdtPr>
                    <w:rPr>
                      <w:rFonts w:cs="Cambria"/>
                      <w:szCs w:val="21"/>
                    </w:rPr>
                    <w:alias w:val="本企业的其他关联方情况明细－其他关联方与本公司关系"/>
                    <w:tag w:val="_GBC_2205fb8ea5f648b5a0c9e8e3f8499f9f"/>
                    <w:id w:val="71708618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50CFE782"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739864752"/>
            </w:sdtPr>
            <w:sdtEndPr/>
            <w:sdtContent>
              <w:tr w:rsidR="00830E72" w14:paraId="06E7E38D"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D10F3E5" w14:textId="77777777" w:rsidR="00830E72" w:rsidRDefault="008344D8">
                    <w:pPr>
                      <w:rPr>
                        <w:rFonts w:cs="Cambria"/>
                        <w:szCs w:val="21"/>
                      </w:rPr>
                    </w:pPr>
                    <w:r>
                      <w:t>湖南祥源商业管理有限公司</w:t>
                    </w:r>
                  </w:p>
                </w:tc>
                <w:sdt>
                  <w:sdtPr>
                    <w:rPr>
                      <w:rFonts w:cs="Cambria"/>
                      <w:szCs w:val="21"/>
                    </w:rPr>
                    <w:alias w:val="本企业的其他关联方情况明细－其他关联方与本公司关系"/>
                    <w:tag w:val="_GBC_2205fb8ea5f648b5a0c9e8e3f8499f9f"/>
                    <w:id w:val="-3478806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5E6940CD"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514767852"/>
            </w:sdtPr>
            <w:sdtEndPr/>
            <w:sdtContent>
              <w:tr w:rsidR="00830E72" w14:paraId="2382E5CD"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9113AFE" w14:textId="77777777" w:rsidR="00830E72" w:rsidRDefault="008344D8">
                    <w:pPr>
                      <w:rPr>
                        <w:rFonts w:cs="Cambria"/>
                        <w:szCs w:val="21"/>
                      </w:rPr>
                    </w:pPr>
                    <w:r>
                      <w:t>凤凰祥盛旅游发展有限公司</w:t>
                    </w:r>
                  </w:p>
                </w:tc>
                <w:sdt>
                  <w:sdtPr>
                    <w:rPr>
                      <w:rFonts w:cs="Cambria"/>
                      <w:szCs w:val="21"/>
                    </w:rPr>
                    <w:alias w:val="本企业的其他关联方情况明细－其他关联方与本公司关系"/>
                    <w:tag w:val="_GBC_2205fb8ea5f648b5a0c9e8e3f8499f9f"/>
                    <w:id w:val="122209678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510E089"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55827231"/>
            </w:sdtPr>
            <w:sdtEndPr/>
            <w:sdtContent>
              <w:tr w:rsidR="00830E72" w14:paraId="28190984"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6FB6B107" w14:textId="77777777" w:rsidR="00830E72" w:rsidRDefault="008344D8">
                    <w:pPr>
                      <w:rPr>
                        <w:rFonts w:cs="Cambria"/>
                        <w:szCs w:val="21"/>
                      </w:rPr>
                    </w:pPr>
                    <w:r>
                      <w:t>福建祥源白茶有限公司</w:t>
                    </w:r>
                  </w:p>
                </w:tc>
                <w:sdt>
                  <w:sdtPr>
                    <w:rPr>
                      <w:rFonts w:cs="Cambria"/>
                      <w:szCs w:val="21"/>
                    </w:rPr>
                    <w:alias w:val="本企业的其他关联方情况明细－其他关联方与本公司关系"/>
                    <w:tag w:val="_GBC_2205fb8ea5f648b5a0c9e8e3f8499f9f"/>
                    <w:id w:val="-7258976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EB2454A"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465168108"/>
            </w:sdtPr>
            <w:sdtEndPr/>
            <w:sdtContent>
              <w:tr w:rsidR="00830E72" w14:paraId="167E614E"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638EDA6D" w14:textId="77777777" w:rsidR="00830E72" w:rsidRDefault="008344D8">
                    <w:pPr>
                      <w:rPr>
                        <w:rFonts w:cs="Cambria"/>
                        <w:szCs w:val="21"/>
                      </w:rPr>
                    </w:pPr>
                    <w:r>
                      <w:t>成都祥源文化创意有限公司</w:t>
                    </w:r>
                  </w:p>
                </w:tc>
                <w:sdt>
                  <w:sdtPr>
                    <w:rPr>
                      <w:rFonts w:cs="Cambria"/>
                      <w:szCs w:val="21"/>
                    </w:rPr>
                    <w:alias w:val="本企业的其他关联方情况明细－其他关联方与本公司关系"/>
                    <w:tag w:val="_GBC_2205fb8ea5f648b5a0c9e8e3f8499f9f"/>
                    <w:id w:val="-120324915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A5E80C1"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6314877"/>
            </w:sdtPr>
            <w:sdtEndPr/>
            <w:sdtContent>
              <w:tr w:rsidR="00830E72" w14:paraId="39359360"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967A41D" w14:textId="77777777" w:rsidR="00830E72" w:rsidRDefault="008344D8">
                    <w:pPr>
                      <w:rPr>
                        <w:rFonts w:cs="Cambria"/>
                        <w:szCs w:val="21"/>
                      </w:rPr>
                    </w:pPr>
                    <w:r>
                      <w:t>常熟祥翰房地产开发有限公司</w:t>
                    </w:r>
                  </w:p>
                </w:tc>
                <w:sdt>
                  <w:sdtPr>
                    <w:rPr>
                      <w:rFonts w:cs="Cambria"/>
                      <w:szCs w:val="21"/>
                    </w:rPr>
                    <w:alias w:val="本企业的其他关联方情况明细－其他关联方与本公司关系"/>
                    <w:tag w:val="_GBC_2205fb8ea5f648b5a0c9e8e3f8499f9f"/>
                    <w:id w:val="160137697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80F978B"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253814901"/>
            </w:sdtPr>
            <w:sdtEndPr/>
            <w:sdtContent>
              <w:tr w:rsidR="00830E72" w14:paraId="3B581573"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5763A895" w14:textId="77777777" w:rsidR="00830E72" w:rsidRDefault="008344D8">
                    <w:pPr>
                      <w:rPr>
                        <w:rFonts w:cs="Cambria"/>
                        <w:szCs w:val="21"/>
                      </w:rPr>
                    </w:pPr>
                    <w:r>
                      <w:t>上海原竹信息科技有限公司</w:t>
                    </w:r>
                  </w:p>
                </w:tc>
                <w:sdt>
                  <w:sdtPr>
                    <w:rPr>
                      <w:rFonts w:cs="Cambria"/>
                      <w:szCs w:val="21"/>
                    </w:rPr>
                    <w:alias w:val="本企业的其他关联方情况明细－其他关联方与本公司关系"/>
                    <w:tag w:val="_GBC_2205fb8ea5f648b5a0c9e8e3f8499f9f"/>
                    <w:id w:val="-50767248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25474CC0"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458842837"/>
            </w:sdtPr>
            <w:sdtEndPr/>
            <w:sdtContent>
              <w:tr w:rsidR="00830E72" w14:paraId="102DE658"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D3BC35B" w14:textId="77777777" w:rsidR="00830E72" w:rsidRDefault="008344D8">
                    <w:pPr>
                      <w:rPr>
                        <w:rFonts w:cs="Cambria"/>
                        <w:szCs w:val="21"/>
                      </w:rPr>
                    </w:pPr>
                    <w:r>
                      <w:t>合肥祥瀚房地产开发有限公司</w:t>
                    </w:r>
                  </w:p>
                </w:tc>
                <w:sdt>
                  <w:sdtPr>
                    <w:rPr>
                      <w:rFonts w:cs="Cambria"/>
                      <w:szCs w:val="21"/>
                    </w:rPr>
                    <w:alias w:val="本企业的其他关联方情况明细－其他关联方与本公司关系"/>
                    <w:tag w:val="_GBC_2205fb8ea5f648b5a0c9e8e3f8499f9f"/>
                    <w:id w:val="55535154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8C24716"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782613264"/>
            </w:sdtPr>
            <w:sdtEndPr/>
            <w:sdtContent>
              <w:tr w:rsidR="00830E72" w14:paraId="390C7B60"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BEA7F28" w14:textId="77777777" w:rsidR="00830E72" w:rsidRDefault="008344D8">
                    <w:pPr>
                      <w:rPr>
                        <w:rFonts w:cs="Cambria"/>
                        <w:szCs w:val="21"/>
                      </w:rPr>
                    </w:pPr>
                    <w:r>
                      <w:t>合肥祥汇房地产开发有限公司</w:t>
                    </w:r>
                  </w:p>
                </w:tc>
                <w:sdt>
                  <w:sdtPr>
                    <w:rPr>
                      <w:rFonts w:cs="Cambria"/>
                      <w:szCs w:val="21"/>
                    </w:rPr>
                    <w:alias w:val="本企业的其他关联方情况明细－其他关联方与本公司关系"/>
                    <w:tag w:val="_GBC_2205fb8ea5f648b5a0c9e8e3f8499f9f"/>
                    <w:id w:val="-46011060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E1CFC6A"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557005012"/>
            </w:sdtPr>
            <w:sdtEndPr/>
            <w:sdtContent>
              <w:tr w:rsidR="00830E72" w14:paraId="1F4C876D"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EE5D7EF" w14:textId="77777777" w:rsidR="00830E72" w:rsidRDefault="008344D8">
                    <w:pPr>
                      <w:rPr>
                        <w:rFonts w:cs="Cambria"/>
                        <w:szCs w:val="21"/>
                      </w:rPr>
                    </w:pPr>
                    <w:r>
                      <w:t>祥源（苏州）企业管理有限公司</w:t>
                    </w:r>
                  </w:p>
                </w:tc>
                <w:sdt>
                  <w:sdtPr>
                    <w:rPr>
                      <w:rFonts w:cs="Cambria"/>
                      <w:szCs w:val="21"/>
                    </w:rPr>
                    <w:alias w:val="本企业的其他关联方情况明细－其他关联方与本公司关系"/>
                    <w:tag w:val="_GBC_2205fb8ea5f648b5a0c9e8e3f8499f9f"/>
                    <w:id w:val="-127855867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299BF4B"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283306826"/>
            </w:sdtPr>
            <w:sdtEndPr/>
            <w:sdtContent>
              <w:tr w:rsidR="00830E72" w14:paraId="253E9220"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55F418A5" w14:textId="77777777" w:rsidR="00830E72" w:rsidRDefault="008344D8">
                    <w:pPr>
                      <w:rPr>
                        <w:rFonts w:cs="Cambria"/>
                        <w:szCs w:val="21"/>
                      </w:rPr>
                    </w:pPr>
                    <w:r>
                      <w:t>常熟源银房地产开发有限公司</w:t>
                    </w:r>
                  </w:p>
                </w:tc>
                <w:sdt>
                  <w:sdtPr>
                    <w:rPr>
                      <w:rFonts w:cs="Cambria"/>
                      <w:szCs w:val="21"/>
                    </w:rPr>
                    <w:alias w:val="本企业的其他关联方情况明细－其他关联方与本公司关系"/>
                    <w:tag w:val="_GBC_2205fb8ea5f648b5a0c9e8e3f8499f9f"/>
                    <w:id w:val="-27255261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106246B0"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808192947"/>
            </w:sdtPr>
            <w:sdtEndPr/>
            <w:sdtContent>
              <w:tr w:rsidR="00830E72" w14:paraId="67586FE3"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6C789456" w14:textId="77777777" w:rsidR="00830E72" w:rsidRDefault="008344D8">
                    <w:pPr>
                      <w:rPr>
                        <w:rFonts w:cs="Cambria"/>
                        <w:szCs w:val="21"/>
                      </w:rPr>
                    </w:pPr>
                    <w:r>
                      <w:t>安徽省海源联创商业运营管理有限公司</w:t>
                    </w:r>
                  </w:p>
                </w:tc>
                <w:sdt>
                  <w:sdtPr>
                    <w:rPr>
                      <w:rFonts w:cs="Cambria"/>
                      <w:szCs w:val="21"/>
                    </w:rPr>
                    <w:alias w:val="本企业的其他关联方情况明细－其他关联方与本公司关系"/>
                    <w:tag w:val="_GBC_2205fb8ea5f648b5a0c9e8e3f8499f9f"/>
                    <w:id w:val="102467506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8DFA8B7"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392346587"/>
            </w:sdtPr>
            <w:sdtEndPr/>
            <w:sdtContent>
              <w:tr w:rsidR="00830E72" w14:paraId="03392E0C"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6C93786" w14:textId="77777777" w:rsidR="00830E72" w:rsidRDefault="008344D8">
                    <w:pPr>
                      <w:rPr>
                        <w:rFonts w:cs="Cambria"/>
                        <w:szCs w:val="21"/>
                      </w:rPr>
                    </w:pPr>
                    <w:r>
                      <w:t>昆山祥瀚房地产开发有限公司</w:t>
                    </w:r>
                  </w:p>
                </w:tc>
                <w:sdt>
                  <w:sdtPr>
                    <w:rPr>
                      <w:rFonts w:cs="Cambria"/>
                      <w:szCs w:val="21"/>
                    </w:rPr>
                    <w:alias w:val="本企业的其他关联方情况明细－其他关联方与本公司关系"/>
                    <w:tag w:val="_GBC_2205fb8ea5f648b5a0c9e8e3f8499f9f"/>
                    <w:id w:val="-189296217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063E446"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35752095"/>
            </w:sdtPr>
            <w:sdtEndPr/>
            <w:sdtContent>
              <w:tr w:rsidR="00830E72" w14:paraId="6FFFAA73"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3A822F4" w14:textId="77777777" w:rsidR="00830E72" w:rsidRDefault="008344D8">
                    <w:pPr>
                      <w:rPr>
                        <w:rFonts w:cs="Cambria"/>
                        <w:szCs w:val="21"/>
                      </w:rPr>
                    </w:pPr>
                    <w:r>
                      <w:t>遵义迈途文化传播有限公司</w:t>
                    </w:r>
                  </w:p>
                </w:tc>
                <w:sdt>
                  <w:sdtPr>
                    <w:rPr>
                      <w:rFonts w:cs="Cambria"/>
                      <w:szCs w:val="21"/>
                    </w:rPr>
                    <w:alias w:val="本企业的其他关联方情况明细－其他关联方与本公司关系"/>
                    <w:tag w:val="_GBC_2205fb8ea5f648b5a0c9e8e3f8499f9f"/>
                    <w:id w:val="-203178775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2451C502"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719122194"/>
            </w:sdtPr>
            <w:sdtEndPr/>
            <w:sdtContent>
              <w:tr w:rsidR="00830E72" w14:paraId="24F025D2"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E3AFDFB" w14:textId="77777777" w:rsidR="00830E72" w:rsidRDefault="008344D8">
                    <w:pPr>
                      <w:rPr>
                        <w:rFonts w:cs="Cambria"/>
                        <w:szCs w:val="21"/>
                      </w:rPr>
                    </w:pPr>
                    <w:r>
                      <w:t>张家界市辉途国际旅行社有限公司</w:t>
                    </w:r>
                  </w:p>
                </w:tc>
                <w:sdt>
                  <w:sdtPr>
                    <w:rPr>
                      <w:rFonts w:cs="Cambria"/>
                      <w:szCs w:val="21"/>
                    </w:rPr>
                    <w:alias w:val="本企业的其他关联方情况明细－其他关联方与本公司关系"/>
                    <w:tag w:val="_GBC_2205fb8ea5f648b5a0c9e8e3f8499f9f"/>
                    <w:id w:val="-2856585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82E57ED"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821313496"/>
            </w:sdtPr>
            <w:sdtEndPr/>
            <w:sdtContent>
              <w:tr w:rsidR="00830E72" w14:paraId="0B451588"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BE7B38B" w14:textId="77777777" w:rsidR="00830E72" w:rsidRDefault="008344D8">
                    <w:pPr>
                      <w:rPr>
                        <w:rFonts w:cs="Cambria"/>
                        <w:szCs w:val="21"/>
                      </w:rPr>
                    </w:pPr>
                    <w:r>
                      <w:t>恩施韵鹏国际旅行社有限公司</w:t>
                    </w:r>
                  </w:p>
                </w:tc>
                <w:sdt>
                  <w:sdtPr>
                    <w:rPr>
                      <w:rFonts w:cs="Cambria"/>
                      <w:szCs w:val="21"/>
                    </w:rPr>
                    <w:alias w:val="本企业的其他关联方情况明细－其他关联方与本公司关系"/>
                    <w:tag w:val="_GBC_2205fb8ea5f648b5a0c9e8e3f8499f9f"/>
                    <w:id w:val="159505353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2DFB58F"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596010950"/>
            </w:sdtPr>
            <w:sdtEndPr/>
            <w:sdtContent>
              <w:tr w:rsidR="00830E72" w14:paraId="52D5E3E8"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7457A924" w14:textId="77777777" w:rsidR="00830E72" w:rsidRDefault="008344D8">
                    <w:pPr>
                      <w:rPr>
                        <w:rFonts w:cs="Cambria"/>
                        <w:szCs w:val="21"/>
                      </w:rPr>
                    </w:pPr>
                    <w:r>
                      <w:t>北京祥源迈途国际旅行社有限公司</w:t>
                    </w:r>
                  </w:p>
                </w:tc>
                <w:sdt>
                  <w:sdtPr>
                    <w:rPr>
                      <w:rFonts w:cs="Cambria"/>
                      <w:szCs w:val="21"/>
                    </w:rPr>
                    <w:alias w:val="本企业的其他关联方情况明细－其他关联方与本公司关系"/>
                    <w:tag w:val="_GBC_2205fb8ea5f648b5a0c9e8e3f8499f9f"/>
                    <w:id w:val="-58369166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200C6C2"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763266986"/>
            </w:sdtPr>
            <w:sdtEndPr/>
            <w:sdtContent>
              <w:tr w:rsidR="00830E72" w14:paraId="69D4E135"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7295168B" w14:textId="77777777" w:rsidR="00830E72" w:rsidRDefault="008344D8">
                    <w:pPr>
                      <w:rPr>
                        <w:rFonts w:cs="Cambria"/>
                        <w:szCs w:val="21"/>
                      </w:rPr>
                    </w:pPr>
                    <w:r>
                      <w:t>天津祥源投资有限公司</w:t>
                    </w:r>
                  </w:p>
                </w:tc>
                <w:sdt>
                  <w:sdtPr>
                    <w:rPr>
                      <w:rFonts w:cs="Cambria"/>
                      <w:szCs w:val="21"/>
                    </w:rPr>
                    <w:alias w:val="本企业的其他关联方情况明细－其他关联方与本公司关系"/>
                    <w:tag w:val="_GBC_2205fb8ea5f648b5a0c9e8e3f8499f9f"/>
                    <w:id w:val="-29160163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5C8EB57A"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949536622"/>
            </w:sdtPr>
            <w:sdtEndPr/>
            <w:sdtContent>
              <w:tr w:rsidR="00830E72" w14:paraId="09D88E22"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6D0B0EE" w14:textId="77777777" w:rsidR="00830E72" w:rsidRDefault="008344D8">
                    <w:pPr>
                      <w:rPr>
                        <w:rFonts w:cs="Cambria"/>
                        <w:szCs w:val="21"/>
                      </w:rPr>
                    </w:pPr>
                    <w:r>
                      <w:t>安徽祥趣教育科技有限公司</w:t>
                    </w:r>
                  </w:p>
                </w:tc>
                <w:sdt>
                  <w:sdtPr>
                    <w:rPr>
                      <w:rFonts w:cs="Cambria"/>
                      <w:szCs w:val="21"/>
                    </w:rPr>
                    <w:alias w:val="本企业的其他关联方情况明细－其他关联方与本公司关系"/>
                    <w:tag w:val="_GBC_2205fb8ea5f648b5a0c9e8e3f8499f9f"/>
                    <w:id w:val="-3724599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2F206BE9"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897045635"/>
            </w:sdtPr>
            <w:sdtEndPr/>
            <w:sdtContent>
              <w:tr w:rsidR="00830E72" w14:paraId="2A60033C"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53D16293" w14:textId="77777777" w:rsidR="00830E72" w:rsidRDefault="008344D8">
                    <w:pPr>
                      <w:rPr>
                        <w:rFonts w:cs="Cambria"/>
                        <w:szCs w:val="21"/>
                      </w:rPr>
                    </w:pPr>
                    <w:r>
                      <w:t>海南祥源创业咨询有限公司</w:t>
                    </w:r>
                  </w:p>
                </w:tc>
                <w:sdt>
                  <w:sdtPr>
                    <w:rPr>
                      <w:rFonts w:cs="Cambria"/>
                      <w:szCs w:val="21"/>
                    </w:rPr>
                    <w:alias w:val="本企业的其他关联方情况明细－其他关联方与本公司关系"/>
                    <w:tag w:val="_GBC_2205fb8ea5f648b5a0c9e8e3f8499f9f"/>
                    <w:id w:val="6112423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22BF9265"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7032803"/>
            </w:sdtPr>
            <w:sdtEndPr/>
            <w:sdtContent>
              <w:tr w:rsidR="00830E72" w14:paraId="6021D355"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068E6C5" w14:textId="77777777" w:rsidR="00830E72" w:rsidRDefault="008344D8">
                    <w:pPr>
                      <w:rPr>
                        <w:rFonts w:cs="Cambria"/>
                        <w:szCs w:val="21"/>
                      </w:rPr>
                    </w:pPr>
                    <w:r>
                      <w:t>祥源荒野（海南）教育咨询服务合伙企业（有限合伙）</w:t>
                    </w:r>
                  </w:p>
                </w:tc>
                <w:sdt>
                  <w:sdtPr>
                    <w:rPr>
                      <w:rFonts w:cs="Cambria"/>
                      <w:szCs w:val="21"/>
                    </w:rPr>
                    <w:alias w:val="本企业的其他关联方情况明细－其他关联方与本公司关系"/>
                    <w:tag w:val="_GBC_2205fb8ea5f648b5a0c9e8e3f8499f9f"/>
                    <w:id w:val="-136528521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1369E278"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766567803"/>
            </w:sdtPr>
            <w:sdtEndPr/>
            <w:sdtContent>
              <w:tr w:rsidR="00830E72" w14:paraId="719924BA"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CB5577F" w14:textId="77777777" w:rsidR="00830E72" w:rsidRDefault="008344D8">
                    <w:pPr>
                      <w:rPr>
                        <w:rFonts w:cs="Cambria"/>
                        <w:szCs w:val="21"/>
                      </w:rPr>
                    </w:pPr>
                    <w:r>
                      <w:t>上海想旅网络科技有限公司</w:t>
                    </w:r>
                  </w:p>
                </w:tc>
                <w:sdt>
                  <w:sdtPr>
                    <w:rPr>
                      <w:rFonts w:cs="Cambria"/>
                      <w:szCs w:val="21"/>
                    </w:rPr>
                    <w:alias w:val="本企业的其他关联方情况明细－其他关联方与本公司关系"/>
                    <w:tag w:val="_GBC_2205fb8ea5f648b5a0c9e8e3f8499f9f"/>
                    <w:id w:val="13595524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23EA6108"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45491520"/>
            </w:sdtPr>
            <w:sdtEndPr/>
            <w:sdtContent>
              <w:tr w:rsidR="00830E72" w14:paraId="2EF3202A"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1B22F5F3" w14:textId="77777777" w:rsidR="00830E72" w:rsidRDefault="008344D8">
                    <w:pPr>
                      <w:rPr>
                        <w:rFonts w:cs="Cambria"/>
                        <w:szCs w:val="21"/>
                      </w:rPr>
                    </w:pPr>
                    <w:r>
                      <w:t>浙江祥旅信息科技有限公司</w:t>
                    </w:r>
                  </w:p>
                </w:tc>
                <w:sdt>
                  <w:sdtPr>
                    <w:rPr>
                      <w:rFonts w:cs="Cambria"/>
                      <w:szCs w:val="21"/>
                    </w:rPr>
                    <w:alias w:val="本企业的其他关联方情况明细－其他关联方与本公司关系"/>
                    <w:tag w:val="_GBC_2205fb8ea5f648b5a0c9e8e3f8499f9f"/>
                    <w:id w:val="15424805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274220DA"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909391321"/>
            </w:sdtPr>
            <w:sdtEndPr/>
            <w:sdtContent>
              <w:tr w:rsidR="00830E72" w14:paraId="51E69F98"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025C459" w14:textId="77777777" w:rsidR="00830E72" w:rsidRDefault="008344D8">
                    <w:pPr>
                      <w:rPr>
                        <w:rFonts w:cs="Cambria"/>
                        <w:szCs w:val="21"/>
                      </w:rPr>
                    </w:pPr>
                    <w:r>
                      <w:t>上海祥旅信息科技有限公司</w:t>
                    </w:r>
                  </w:p>
                </w:tc>
                <w:sdt>
                  <w:sdtPr>
                    <w:rPr>
                      <w:rFonts w:cs="Cambria"/>
                      <w:szCs w:val="21"/>
                    </w:rPr>
                    <w:alias w:val="本企业的其他关联方情况明细－其他关联方与本公司关系"/>
                    <w:tag w:val="_GBC_2205fb8ea5f648b5a0c9e8e3f8499f9f"/>
                    <w:id w:val="-7862770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3EA630D"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98212079"/>
            </w:sdtPr>
            <w:sdtEndPr/>
            <w:sdtContent>
              <w:tr w:rsidR="00830E72" w14:paraId="79112C15"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17857B10" w14:textId="77777777" w:rsidR="00830E72" w:rsidRDefault="008344D8">
                    <w:pPr>
                      <w:rPr>
                        <w:rFonts w:cs="Cambria"/>
                        <w:szCs w:val="21"/>
                      </w:rPr>
                    </w:pPr>
                    <w:r>
                      <w:t>上海竹原商业管理服务有限责任公司</w:t>
                    </w:r>
                  </w:p>
                </w:tc>
                <w:sdt>
                  <w:sdtPr>
                    <w:rPr>
                      <w:rFonts w:cs="Cambria"/>
                      <w:szCs w:val="21"/>
                    </w:rPr>
                    <w:alias w:val="本企业的其他关联方情况明细－其他关联方与本公司关系"/>
                    <w:tag w:val="_GBC_2205fb8ea5f648b5a0c9e8e3f8499f9f"/>
                    <w:id w:val="-18829355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6CEDD6A"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069956118"/>
            </w:sdtPr>
            <w:sdtEndPr/>
            <w:sdtContent>
              <w:tr w:rsidR="00830E72" w14:paraId="3D2BB70A"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2D51625" w14:textId="77777777" w:rsidR="00830E72" w:rsidRDefault="008344D8">
                    <w:pPr>
                      <w:rPr>
                        <w:rFonts w:cs="Cambria"/>
                        <w:szCs w:val="21"/>
                      </w:rPr>
                    </w:pPr>
                    <w:r>
                      <w:t>天津祥源公乐置业有限公司</w:t>
                    </w:r>
                  </w:p>
                </w:tc>
                <w:sdt>
                  <w:sdtPr>
                    <w:rPr>
                      <w:rFonts w:cs="Cambria"/>
                      <w:szCs w:val="21"/>
                    </w:rPr>
                    <w:alias w:val="本企业的其他关联方情况明细－其他关联方与本公司关系"/>
                    <w:tag w:val="_GBC_2205fb8ea5f648b5a0c9e8e3f8499f9f"/>
                    <w:id w:val="61803458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3BF4E4C"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45146927"/>
            </w:sdtPr>
            <w:sdtEndPr/>
            <w:sdtContent>
              <w:tr w:rsidR="00830E72" w14:paraId="1D9AC52A"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5119D705" w14:textId="77777777" w:rsidR="00830E72" w:rsidRDefault="008344D8">
                    <w:pPr>
                      <w:rPr>
                        <w:rFonts w:cs="Cambria"/>
                        <w:szCs w:val="21"/>
                      </w:rPr>
                    </w:pPr>
                    <w:r>
                      <w:t>上海祥铭置业发展有限公司</w:t>
                    </w:r>
                  </w:p>
                </w:tc>
                <w:sdt>
                  <w:sdtPr>
                    <w:rPr>
                      <w:rFonts w:cs="Cambria"/>
                      <w:szCs w:val="21"/>
                    </w:rPr>
                    <w:alias w:val="本企业的其他关联方情况明细－其他关联方与本公司关系"/>
                    <w:tag w:val="_GBC_2205fb8ea5f648b5a0c9e8e3f8499f9f"/>
                    <w:id w:val="143161889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75AB33B"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360043592"/>
            </w:sdtPr>
            <w:sdtEndPr/>
            <w:sdtContent>
              <w:tr w:rsidR="00830E72" w14:paraId="2B2167D8"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558A90DB" w14:textId="77777777" w:rsidR="00830E72" w:rsidRDefault="008344D8">
                    <w:pPr>
                      <w:rPr>
                        <w:rFonts w:cs="Cambria"/>
                        <w:szCs w:val="21"/>
                      </w:rPr>
                    </w:pPr>
                    <w:r>
                      <w:t>五河祥源商业管理有限公司</w:t>
                    </w:r>
                  </w:p>
                </w:tc>
                <w:sdt>
                  <w:sdtPr>
                    <w:rPr>
                      <w:rFonts w:cs="Cambria"/>
                      <w:szCs w:val="21"/>
                    </w:rPr>
                    <w:alias w:val="本企业的其他关联方情况明细－其他关联方与本公司关系"/>
                    <w:tag w:val="_GBC_2205fb8ea5f648b5a0c9e8e3f8499f9f"/>
                    <w:id w:val="-10269413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FE40F07"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757027931"/>
            </w:sdtPr>
            <w:sdtEndPr/>
            <w:sdtContent>
              <w:tr w:rsidR="00830E72" w14:paraId="7BF701A5"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B999D50" w14:textId="77777777" w:rsidR="00830E72" w:rsidRDefault="008344D8">
                    <w:pPr>
                      <w:rPr>
                        <w:rFonts w:cs="Cambria"/>
                        <w:szCs w:val="21"/>
                      </w:rPr>
                    </w:pPr>
                    <w:r>
                      <w:t>常熟祥源房地产开发有限公司</w:t>
                    </w:r>
                  </w:p>
                </w:tc>
                <w:sdt>
                  <w:sdtPr>
                    <w:rPr>
                      <w:rFonts w:cs="Cambria"/>
                      <w:szCs w:val="21"/>
                    </w:rPr>
                    <w:alias w:val="本企业的其他关联方情况明细－其他关联方与本公司关系"/>
                    <w:tag w:val="_GBC_2205fb8ea5f648b5a0c9e8e3f8499f9f"/>
                    <w:id w:val="214183505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F34E9B8"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764617202"/>
            </w:sdtPr>
            <w:sdtEndPr/>
            <w:sdtContent>
              <w:tr w:rsidR="00830E72" w14:paraId="4D4340A0"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E0713EC" w14:textId="77777777" w:rsidR="00830E72" w:rsidRDefault="008344D8">
                    <w:pPr>
                      <w:rPr>
                        <w:rFonts w:cs="Cambria"/>
                        <w:szCs w:val="21"/>
                      </w:rPr>
                    </w:pPr>
                    <w:r>
                      <w:t>肥西祥源物业服务有限公司</w:t>
                    </w:r>
                  </w:p>
                </w:tc>
                <w:sdt>
                  <w:sdtPr>
                    <w:rPr>
                      <w:rFonts w:cs="Cambria"/>
                      <w:szCs w:val="21"/>
                    </w:rPr>
                    <w:alias w:val="本企业的其他关联方情况明细－其他关联方与本公司关系"/>
                    <w:tag w:val="_GBC_2205fb8ea5f648b5a0c9e8e3f8499f9f"/>
                    <w:id w:val="-19976389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0941DAE"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15756109"/>
            </w:sdtPr>
            <w:sdtEndPr/>
            <w:sdtContent>
              <w:tr w:rsidR="00830E72" w14:paraId="479C1D7F"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8131E9B" w14:textId="77777777" w:rsidR="00830E72" w:rsidRDefault="008344D8">
                    <w:pPr>
                      <w:rPr>
                        <w:rFonts w:cs="Cambria"/>
                        <w:szCs w:val="21"/>
                      </w:rPr>
                    </w:pPr>
                    <w:r>
                      <w:t>杭州祥垣商业管理有限公司</w:t>
                    </w:r>
                  </w:p>
                </w:tc>
                <w:sdt>
                  <w:sdtPr>
                    <w:rPr>
                      <w:rFonts w:cs="Cambria"/>
                      <w:szCs w:val="21"/>
                    </w:rPr>
                    <w:alias w:val="本企业的其他关联方情况明细－其他关联方与本公司关系"/>
                    <w:tag w:val="_GBC_2205fb8ea5f648b5a0c9e8e3f8499f9f"/>
                    <w:id w:val="2595693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089F582"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112483591"/>
            </w:sdtPr>
            <w:sdtEndPr/>
            <w:sdtContent>
              <w:tr w:rsidR="00830E72" w14:paraId="6322750E"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B245D7D" w14:textId="77777777" w:rsidR="00830E72" w:rsidRDefault="008344D8">
                    <w:pPr>
                      <w:rPr>
                        <w:rFonts w:cs="Cambria"/>
                        <w:szCs w:val="21"/>
                      </w:rPr>
                    </w:pPr>
                    <w:r>
                      <w:t>上海祥徽置业有限公司</w:t>
                    </w:r>
                  </w:p>
                </w:tc>
                <w:sdt>
                  <w:sdtPr>
                    <w:rPr>
                      <w:rFonts w:cs="Cambria"/>
                      <w:szCs w:val="21"/>
                    </w:rPr>
                    <w:alias w:val="本企业的其他关联方情况明细－其他关联方与本公司关系"/>
                    <w:tag w:val="_GBC_2205fb8ea5f648b5a0c9e8e3f8499f9f"/>
                    <w:id w:val="73266191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D236D3C"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807457144"/>
            </w:sdtPr>
            <w:sdtEndPr/>
            <w:sdtContent>
              <w:tr w:rsidR="00830E72" w14:paraId="6AC842BF"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BF18742" w14:textId="77777777" w:rsidR="00830E72" w:rsidRDefault="008344D8">
                    <w:pPr>
                      <w:rPr>
                        <w:rFonts w:cs="Cambria"/>
                        <w:szCs w:val="21"/>
                      </w:rPr>
                    </w:pPr>
                    <w:r>
                      <w:t>上海祥嵩置业有限公司</w:t>
                    </w:r>
                  </w:p>
                </w:tc>
                <w:sdt>
                  <w:sdtPr>
                    <w:rPr>
                      <w:rFonts w:cs="Cambria"/>
                      <w:szCs w:val="21"/>
                    </w:rPr>
                    <w:alias w:val="本企业的其他关联方情况明细－其他关联方与本公司关系"/>
                    <w:tag w:val="_GBC_2205fb8ea5f648b5a0c9e8e3f8499f9f"/>
                    <w:id w:val="207885385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BDEBB67"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366279027"/>
            </w:sdtPr>
            <w:sdtEndPr/>
            <w:sdtContent>
              <w:tr w:rsidR="00830E72" w14:paraId="1C318105"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1FB57B8C" w14:textId="77777777" w:rsidR="00830E72" w:rsidRDefault="008344D8">
                    <w:pPr>
                      <w:rPr>
                        <w:rFonts w:cs="Cambria"/>
                        <w:szCs w:val="21"/>
                      </w:rPr>
                    </w:pPr>
                    <w:r>
                      <w:t>上海鸿源安嘉置业有限公司</w:t>
                    </w:r>
                  </w:p>
                </w:tc>
                <w:sdt>
                  <w:sdtPr>
                    <w:rPr>
                      <w:rFonts w:cs="Cambria"/>
                      <w:szCs w:val="21"/>
                    </w:rPr>
                    <w:alias w:val="本企业的其他关联方情况明细－其他关联方与本公司关系"/>
                    <w:tag w:val="_GBC_2205fb8ea5f648b5a0c9e8e3f8499f9f"/>
                    <w:id w:val="10516778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10515B8A"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446128452"/>
            </w:sdtPr>
            <w:sdtEndPr/>
            <w:sdtContent>
              <w:tr w:rsidR="00830E72" w14:paraId="75FAEB0D"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22F6606" w14:textId="77777777" w:rsidR="00830E72" w:rsidRDefault="008344D8">
                    <w:pPr>
                      <w:rPr>
                        <w:rFonts w:cs="Cambria"/>
                        <w:szCs w:val="21"/>
                      </w:rPr>
                    </w:pPr>
                    <w:r>
                      <w:t>上海源安置业有限公司</w:t>
                    </w:r>
                  </w:p>
                </w:tc>
                <w:sdt>
                  <w:sdtPr>
                    <w:rPr>
                      <w:rFonts w:cs="Cambria"/>
                      <w:szCs w:val="21"/>
                    </w:rPr>
                    <w:alias w:val="本企业的其他关联方情况明细－其他关联方与本公司关系"/>
                    <w:tag w:val="_GBC_2205fb8ea5f648b5a0c9e8e3f8499f9f"/>
                    <w:id w:val="104232245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5F69B969"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376391842"/>
            </w:sdtPr>
            <w:sdtEndPr/>
            <w:sdtContent>
              <w:tr w:rsidR="00830E72" w14:paraId="33F7E90C"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6183FDE" w14:textId="77777777" w:rsidR="00830E72" w:rsidRDefault="008344D8">
                    <w:pPr>
                      <w:rPr>
                        <w:rFonts w:cs="Cambria"/>
                        <w:szCs w:val="21"/>
                      </w:rPr>
                    </w:pPr>
                    <w:r>
                      <w:t>祥源控股集团（天津）有限公司</w:t>
                    </w:r>
                  </w:p>
                </w:tc>
                <w:sdt>
                  <w:sdtPr>
                    <w:rPr>
                      <w:rFonts w:cs="Cambria"/>
                      <w:szCs w:val="21"/>
                    </w:rPr>
                    <w:alias w:val="本企业的其他关联方情况明细－其他关联方与本公司关系"/>
                    <w:tag w:val="_GBC_2205fb8ea5f648b5a0c9e8e3f8499f9f"/>
                    <w:id w:val="-71543055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5B570216"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624881269"/>
            </w:sdtPr>
            <w:sdtEndPr/>
            <w:sdtContent>
              <w:tr w:rsidR="00830E72" w14:paraId="0F1C8BB4"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8B45025" w14:textId="77777777" w:rsidR="00830E72" w:rsidRDefault="008344D8">
                    <w:pPr>
                      <w:rPr>
                        <w:rFonts w:cs="Cambria"/>
                        <w:szCs w:val="21"/>
                      </w:rPr>
                    </w:pPr>
                    <w:r>
                      <w:t>成都祥蓉锦会展服务有限公司</w:t>
                    </w:r>
                  </w:p>
                </w:tc>
                <w:sdt>
                  <w:sdtPr>
                    <w:rPr>
                      <w:rFonts w:cs="Cambria"/>
                      <w:szCs w:val="21"/>
                    </w:rPr>
                    <w:alias w:val="本企业的其他关联方情况明细－其他关联方与本公司关系"/>
                    <w:tag w:val="_GBC_2205fb8ea5f648b5a0c9e8e3f8499f9f"/>
                    <w:id w:val="-161164956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8736CAA"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420675616"/>
            </w:sdtPr>
            <w:sdtEndPr/>
            <w:sdtContent>
              <w:tr w:rsidR="00830E72" w14:paraId="4D86470B"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552838FA" w14:textId="77777777" w:rsidR="00830E72" w:rsidRDefault="008344D8">
                    <w:pPr>
                      <w:rPr>
                        <w:rFonts w:cs="Cambria"/>
                        <w:szCs w:val="21"/>
                      </w:rPr>
                    </w:pPr>
                    <w:r>
                      <w:t>成都祥蓉锦会展服务有限公司</w:t>
                    </w:r>
                  </w:p>
                </w:tc>
                <w:sdt>
                  <w:sdtPr>
                    <w:rPr>
                      <w:rFonts w:cs="Cambria"/>
                      <w:szCs w:val="21"/>
                    </w:rPr>
                    <w:alias w:val="本企业的其他关联方情况明细－其他关联方与本公司关系"/>
                    <w:tag w:val="_GBC_2205fb8ea5f648b5a0c9e8e3f8499f9f"/>
                    <w:id w:val="-71187875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31EBEB1"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297422512"/>
            </w:sdtPr>
            <w:sdtEndPr/>
            <w:sdtContent>
              <w:tr w:rsidR="00830E72" w14:paraId="6401CE73"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3605A6C" w14:textId="77777777" w:rsidR="00830E72" w:rsidRDefault="008344D8">
                    <w:pPr>
                      <w:rPr>
                        <w:rFonts w:cs="Cambria"/>
                        <w:szCs w:val="21"/>
                      </w:rPr>
                    </w:pPr>
                    <w:r>
                      <w:t>海南祥耘投资发展有限公司</w:t>
                    </w:r>
                  </w:p>
                </w:tc>
                <w:sdt>
                  <w:sdtPr>
                    <w:rPr>
                      <w:rFonts w:cs="Cambria"/>
                      <w:szCs w:val="21"/>
                    </w:rPr>
                    <w:alias w:val="本企业的其他关联方情况明细－其他关联方与本公司关系"/>
                    <w:tag w:val="_GBC_2205fb8ea5f648b5a0c9e8e3f8499f9f"/>
                    <w:id w:val="-160364006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1279C185"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084748901"/>
            </w:sdtPr>
            <w:sdtEndPr/>
            <w:sdtContent>
              <w:tr w:rsidR="00830E72" w14:paraId="1DE307F2"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45A0864" w14:textId="77777777" w:rsidR="00830E72" w:rsidRDefault="008344D8">
                    <w:pPr>
                      <w:rPr>
                        <w:rFonts w:cs="Cambria"/>
                        <w:szCs w:val="21"/>
                      </w:rPr>
                    </w:pPr>
                    <w:r>
                      <w:t>张家界黄龙洞旅游发展有限责任公司</w:t>
                    </w:r>
                  </w:p>
                </w:tc>
                <w:sdt>
                  <w:sdtPr>
                    <w:rPr>
                      <w:rFonts w:cs="Cambria"/>
                      <w:szCs w:val="21"/>
                    </w:rPr>
                    <w:alias w:val="本企业的其他关联方情况明细－其他关联方与本公司关系"/>
                    <w:tag w:val="_GBC_2205fb8ea5f648b5a0c9e8e3f8499f9f"/>
                    <w:id w:val="143209571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D00AC68"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048948677"/>
            </w:sdtPr>
            <w:sdtEndPr/>
            <w:sdtContent>
              <w:tr w:rsidR="00830E72" w14:paraId="28B1E43E"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9B493A0" w14:textId="77777777" w:rsidR="00830E72" w:rsidRDefault="008344D8">
                    <w:pPr>
                      <w:rPr>
                        <w:rFonts w:cs="Cambria"/>
                        <w:szCs w:val="21"/>
                      </w:rPr>
                    </w:pPr>
                    <w:r>
                      <w:t>安徽益祥文旅产业有限公司</w:t>
                    </w:r>
                  </w:p>
                </w:tc>
                <w:sdt>
                  <w:sdtPr>
                    <w:rPr>
                      <w:rFonts w:cs="Cambria"/>
                      <w:szCs w:val="21"/>
                    </w:rPr>
                    <w:alias w:val="本企业的其他关联方情况明细－其他关联方与本公司关系"/>
                    <w:tag w:val="_GBC_2205fb8ea5f648b5a0c9e8e3f8499f9f"/>
                    <w:id w:val="4393422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F902A42"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545254141"/>
            </w:sdtPr>
            <w:sdtEndPr/>
            <w:sdtContent>
              <w:tr w:rsidR="00830E72" w14:paraId="19123811"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B8DF630" w14:textId="77777777" w:rsidR="00830E72" w:rsidRDefault="008344D8">
                    <w:pPr>
                      <w:rPr>
                        <w:rFonts w:cs="Cambria"/>
                        <w:szCs w:val="21"/>
                      </w:rPr>
                    </w:pPr>
                    <w:r>
                      <w:t>北京百龙绿色科技企业有限公司</w:t>
                    </w:r>
                  </w:p>
                </w:tc>
                <w:sdt>
                  <w:sdtPr>
                    <w:rPr>
                      <w:rFonts w:cs="Cambria"/>
                      <w:szCs w:val="21"/>
                    </w:rPr>
                    <w:alias w:val="本企业的其他关联方情况明细－其他关联方与本公司关系"/>
                    <w:tag w:val="_GBC_2205fb8ea5f648b5a0c9e8e3f8499f9f"/>
                    <w:id w:val="-73793282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202A7D36"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865293221"/>
            </w:sdtPr>
            <w:sdtEndPr/>
            <w:sdtContent>
              <w:tr w:rsidR="00830E72" w14:paraId="4ACF9AF7"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6AFDA789" w14:textId="77777777" w:rsidR="00830E72" w:rsidRDefault="008344D8">
                    <w:pPr>
                      <w:rPr>
                        <w:rFonts w:cs="Cambria"/>
                        <w:szCs w:val="21"/>
                      </w:rPr>
                    </w:pPr>
                    <w:r>
                      <w:t>张家界百龙天梯旅游发展有限公司</w:t>
                    </w:r>
                  </w:p>
                </w:tc>
                <w:sdt>
                  <w:sdtPr>
                    <w:rPr>
                      <w:rFonts w:cs="Cambria"/>
                      <w:szCs w:val="21"/>
                    </w:rPr>
                    <w:alias w:val="本企业的其他关联方情况明细－其他关联方与本公司关系"/>
                    <w:tag w:val="_GBC_2205fb8ea5f648b5a0c9e8e3f8499f9f"/>
                    <w:id w:val="-10095272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201117ED"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048603330"/>
            </w:sdtPr>
            <w:sdtEndPr/>
            <w:sdtContent>
              <w:tr w:rsidR="00830E72" w14:paraId="1B4A072F"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1978D498" w14:textId="77777777" w:rsidR="00830E72" w:rsidRDefault="008344D8">
                    <w:pPr>
                      <w:rPr>
                        <w:rFonts w:cs="Cambria"/>
                        <w:szCs w:val="21"/>
                      </w:rPr>
                    </w:pPr>
                    <w:r>
                      <w:t>张家界祥源文化发展有限责任公司</w:t>
                    </w:r>
                  </w:p>
                </w:tc>
                <w:sdt>
                  <w:sdtPr>
                    <w:rPr>
                      <w:rFonts w:cs="Cambria"/>
                      <w:szCs w:val="21"/>
                    </w:rPr>
                    <w:alias w:val="本企业的其他关联方情况明细－其他关联方与本公司关系"/>
                    <w:tag w:val="_GBC_2205fb8ea5f648b5a0c9e8e3f8499f9f"/>
                    <w:id w:val="20408614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B807D0C"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613295123"/>
            </w:sdtPr>
            <w:sdtEndPr/>
            <w:sdtContent>
              <w:tr w:rsidR="00830E72" w14:paraId="44A2D9E7"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202570B" w14:textId="77777777" w:rsidR="00830E72" w:rsidRDefault="008344D8">
                    <w:pPr>
                      <w:rPr>
                        <w:rFonts w:cs="Cambria"/>
                        <w:szCs w:val="21"/>
                      </w:rPr>
                    </w:pPr>
                    <w:r>
                      <w:t>山东达迈国际旅行社有限公司</w:t>
                    </w:r>
                  </w:p>
                </w:tc>
                <w:sdt>
                  <w:sdtPr>
                    <w:rPr>
                      <w:rFonts w:cs="Cambria"/>
                      <w:szCs w:val="21"/>
                    </w:rPr>
                    <w:alias w:val="本企业的其他关联方情况明细－其他关联方与本公司关系"/>
                    <w:tag w:val="_GBC_2205fb8ea5f648b5a0c9e8e3f8499f9f"/>
                    <w:id w:val="-114427971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2ED1E09E"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726985564"/>
            </w:sdtPr>
            <w:sdtEndPr/>
            <w:sdtContent>
              <w:tr w:rsidR="00830E72" w14:paraId="58ABA022"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68E4EDB" w14:textId="77777777" w:rsidR="00830E72" w:rsidRDefault="008344D8">
                    <w:pPr>
                      <w:rPr>
                        <w:rFonts w:cs="Cambria"/>
                        <w:szCs w:val="21"/>
                      </w:rPr>
                    </w:pPr>
                    <w:r>
                      <w:t>上海源溧商业管理有限公司</w:t>
                    </w:r>
                  </w:p>
                </w:tc>
                <w:sdt>
                  <w:sdtPr>
                    <w:rPr>
                      <w:rFonts w:cs="Cambria"/>
                      <w:szCs w:val="21"/>
                    </w:rPr>
                    <w:alias w:val="本企业的其他关联方情况明细－其他关联方与本公司关系"/>
                    <w:tag w:val="_GBC_2205fb8ea5f648b5a0c9e8e3f8499f9f"/>
                    <w:id w:val="189654387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C73FC88"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098525058"/>
            </w:sdtPr>
            <w:sdtEndPr/>
            <w:sdtContent>
              <w:tr w:rsidR="00830E72" w14:paraId="3882CDFD"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B2B1111" w14:textId="77777777" w:rsidR="00830E72" w:rsidRDefault="008344D8">
                    <w:pPr>
                      <w:rPr>
                        <w:rFonts w:cs="Cambria"/>
                        <w:szCs w:val="21"/>
                      </w:rPr>
                    </w:pPr>
                    <w:r>
                      <w:t>浙江万好万家矿业投资有限公司</w:t>
                    </w:r>
                  </w:p>
                </w:tc>
                <w:sdt>
                  <w:sdtPr>
                    <w:rPr>
                      <w:rFonts w:cs="Cambria"/>
                      <w:szCs w:val="21"/>
                    </w:rPr>
                    <w:alias w:val="本企业的其他关联方情况明细－其他关联方与本公司关系"/>
                    <w:tag w:val="_GBC_2205fb8ea5f648b5a0c9e8e3f8499f9f"/>
                    <w:id w:val="30691185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E3A9569"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629278818"/>
            </w:sdtPr>
            <w:sdtEndPr/>
            <w:sdtContent>
              <w:tr w:rsidR="00830E72" w14:paraId="25E7DCC6"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D252B85" w14:textId="77777777" w:rsidR="00830E72" w:rsidRDefault="008344D8">
                    <w:pPr>
                      <w:rPr>
                        <w:rFonts w:cs="Cambria"/>
                        <w:szCs w:val="21"/>
                      </w:rPr>
                    </w:pPr>
                    <w:r>
                      <w:t>永德万好万家矿业有限公司</w:t>
                    </w:r>
                  </w:p>
                </w:tc>
                <w:sdt>
                  <w:sdtPr>
                    <w:rPr>
                      <w:rFonts w:cs="Cambria"/>
                      <w:szCs w:val="21"/>
                    </w:rPr>
                    <w:alias w:val="本企业的其他关联方情况明细－其他关联方与本公司关系"/>
                    <w:tag w:val="_GBC_2205fb8ea5f648b5a0c9e8e3f8499f9f"/>
                    <w:id w:val="-138856113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603412A"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653730810"/>
            </w:sdtPr>
            <w:sdtEndPr/>
            <w:sdtContent>
              <w:tr w:rsidR="00830E72" w14:paraId="60121646"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B0D5CB7" w14:textId="77777777" w:rsidR="00830E72" w:rsidRDefault="008344D8">
                    <w:pPr>
                      <w:rPr>
                        <w:rFonts w:cs="Cambria"/>
                        <w:szCs w:val="21"/>
                      </w:rPr>
                    </w:pPr>
                    <w:r>
                      <w:t>祥源天鸿（上海）资产管理有限公司</w:t>
                    </w:r>
                  </w:p>
                </w:tc>
                <w:sdt>
                  <w:sdtPr>
                    <w:rPr>
                      <w:rFonts w:cs="Cambria"/>
                      <w:szCs w:val="21"/>
                    </w:rPr>
                    <w:alias w:val="本企业的其他关联方情况明细－其他关联方与本公司关系"/>
                    <w:tag w:val="_GBC_2205fb8ea5f648b5a0c9e8e3f8499f9f"/>
                    <w:id w:val="16352943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5AAAA894"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01168068"/>
            </w:sdtPr>
            <w:sdtEndPr/>
            <w:sdtContent>
              <w:tr w:rsidR="00830E72" w14:paraId="190183AD"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0ED5379" w14:textId="775FDA23" w:rsidR="00830E72" w:rsidRPr="0097664B" w:rsidRDefault="008344D8">
                    <w:pPr>
                      <w:rPr>
                        <w:rFonts w:cs="Cambria"/>
                        <w:sz w:val="22"/>
                        <w:szCs w:val="28"/>
                      </w:rPr>
                    </w:pPr>
                    <w:r>
                      <w:t>福建云飞扬</w:t>
                    </w:r>
                    <w:r w:rsidR="005A7681">
                      <w:rPr>
                        <w:rFonts w:hint="eastAsia"/>
                      </w:rPr>
                      <w:t>园林</w:t>
                    </w:r>
                    <w:r>
                      <w:t>有限公司</w:t>
                    </w:r>
                  </w:p>
                </w:tc>
                <w:sdt>
                  <w:sdtPr>
                    <w:rPr>
                      <w:rFonts w:cs="Cambria"/>
                      <w:szCs w:val="21"/>
                    </w:rPr>
                    <w:alias w:val="本企业的其他关联方情况明细－其他关联方与本公司关系"/>
                    <w:tag w:val="_GBC_2205fb8ea5f648b5a0c9e8e3f8499f9f"/>
                    <w:id w:val="-194645751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1BA80CD8"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102247919"/>
            </w:sdtPr>
            <w:sdtEndPr/>
            <w:sdtContent>
              <w:tr w:rsidR="00830E72" w14:paraId="24024C22"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6A254914" w14:textId="77777777" w:rsidR="00830E72" w:rsidRDefault="008344D8">
                    <w:pPr>
                      <w:rPr>
                        <w:rFonts w:cs="Cambria"/>
                        <w:szCs w:val="21"/>
                      </w:rPr>
                    </w:pPr>
                    <w:r>
                      <w:t>安徽祥晟生态农业发展有限公司</w:t>
                    </w:r>
                  </w:p>
                </w:tc>
                <w:sdt>
                  <w:sdtPr>
                    <w:rPr>
                      <w:rFonts w:cs="Cambria"/>
                      <w:szCs w:val="21"/>
                    </w:rPr>
                    <w:alias w:val="本企业的其他关联方情况明细－其他关联方与本公司关系"/>
                    <w:tag w:val="_GBC_2205fb8ea5f648b5a0c9e8e3f8499f9f"/>
                    <w:id w:val="112558486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3717E2D"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602915377"/>
            </w:sdtPr>
            <w:sdtEndPr/>
            <w:sdtContent>
              <w:tr w:rsidR="00830E72" w14:paraId="2A8711AC"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72F6848" w14:textId="77777777" w:rsidR="00830E72" w:rsidRDefault="008344D8">
                    <w:pPr>
                      <w:rPr>
                        <w:rFonts w:cs="Cambria"/>
                        <w:szCs w:val="21"/>
                      </w:rPr>
                    </w:pPr>
                    <w:r>
                      <w:t>上海祥源庐境景观设计有限公司</w:t>
                    </w:r>
                  </w:p>
                </w:tc>
                <w:sdt>
                  <w:sdtPr>
                    <w:rPr>
                      <w:rFonts w:cs="Cambria"/>
                      <w:szCs w:val="21"/>
                    </w:rPr>
                    <w:alias w:val="本企业的其他关联方情况明细－其他关联方与本公司关系"/>
                    <w:tag w:val="_GBC_2205fb8ea5f648b5a0c9e8e3f8499f9f"/>
                    <w:id w:val="18729517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0C040E9"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33413918"/>
            </w:sdtPr>
            <w:sdtEndPr/>
            <w:sdtContent>
              <w:tr w:rsidR="00830E72" w14:paraId="6CFC55B5"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1ABDC3F6" w14:textId="77777777" w:rsidR="00830E72" w:rsidRDefault="008344D8">
                    <w:pPr>
                      <w:rPr>
                        <w:rFonts w:cs="Cambria"/>
                        <w:szCs w:val="21"/>
                      </w:rPr>
                    </w:pPr>
                    <w:r>
                      <w:t>合肥迪玛特电器制冷设备有限公司</w:t>
                    </w:r>
                  </w:p>
                </w:tc>
                <w:sdt>
                  <w:sdtPr>
                    <w:rPr>
                      <w:rFonts w:cs="Cambria"/>
                      <w:szCs w:val="21"/>
                    </w:rPr>
                    <w:alias w:val="本企业的其他关联方情况明细－其他关联方与本公司关系"/>
                    <w:tag w:val="_GBC_2205fb8ea5f648b5a0c9e8e3f8499f9f"/>
                    <w:id w:val="-18473879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D136AFD"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747007833"/>
            </w:sdtPr>
            <w:sdtEndPr/>
            <w:sdtContent>
              <w:tr w:rsidR="00830E72" w14:paraId="495A3369"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770ECE1" w14:textId="77777777" w:rsidR="00830E72" w:rsidRDefault="008344D8">
                    <w:pPr>
                      <w:rPr>
                        <w:rFonts w:cs="Cambria"/>
                        <w:szCs w:val="21"/>
                      </w:rPr>
                    </w:pPr>
                    <w:r>
                      <w:t>合肥祥捷塑胶制品有限公司</w:t>
                    </w:r>
                  </w:p>
                </w:tc>
                <w:sdt>
                  <w:sdtPr>
                    <w:rPr>
                      <w:rFonts w:cs="Cambria"/>
                      <w:szCs w:val="21"/>
                    </w:rPr>
                    <w:alias w:val="本企业的其他关联方情况明细－其他关联方与本公司关系"/>
                    <w:tag w:val="_GBC_2205fb8ea5f648b5a0c9e8e3f8499f9f"/>
                    <w:id w:val="-193666969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23C2B69"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423875737"/>
            </w:sdtPr>
            <w:sdtEndPr/>
            <w:sdtContent>
              <w:tr w:rsidR="00830E72" w14:paraId="74C69043"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4731BF0" w14:textId="77777777" w:rsidR="00830E72" w:rsidRDefault="008344D8">
                    <w:pPr>
                      <w:rPr>
                        <w:rFonts w:cs="Cambria"/>
                        <w:szCs w:val="21"/>
                      </w:rPr>
                    </w:pPr>
                    <w:r>
                      <w:t>合肥源晟房地产开发有限公司</w:t>
                    </w:r>
                  </w:p>
                </w:tc>
                <w:sdt>
                  <w:sdtPr>
                    <w:rPr>
                      <w:rFonts w:cs="Cambria"/>
                      <w:szCs w:val="21"/>
                    </w:rPr>
                    <w:alias w:val="本企业的其他关联方情况明细－其他关联方与本公司关系"/>
                    <w:tag w:val="_GBC_2205fb8ea5f648b5a0c9e8e3f8499f9f"/>
                    <w:id w:val="9128229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F038307"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308440190"/>
            </w:sdtPr>
            <w:sdtEndPr/>
            <w:sdtContent>
              <w:tr w:rsidR="00830E72" w14:paraId="4D307B60"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09949C3" w14:textId="77777777" w:rsidR="00830E72" w:rsidRDefault="008344D8">
                    <w:pPr>
                      <w:rPr>
                        <w:rFonts w:cs="Cambria"/>
                        <w:szCs w:val="21"/>
                      </w:rPr>
                    </w:pPr>
                    <w:r>
                      <w:t>安徽源胤祥企业管理咨询合伙企业（有限合伙）</w:t>
                    </w:r>
                  </w:p>
                </w:tc>
                <w:sdt>
                  <w:sdtPr>
                    <w:rPr>
                      <w:rFonts w:cs="Cambria"/>
                      <w:szCs w:val="21"/>
                    </w:rPr>
                    <w:alias w:val="本企业的其他关联方情况明细－其他关联方与本公司关系"/>
                    <w:tag w:val="_GBC_2205fb8ea5f648b5a0c9e8e3f8499f9f"/>
                    <w:id w:val="179856008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13AF7537" w14:textId="77777777" w:rsidR="00830E72" w:rsidRDefault="008344D8">
                        <w:pPr>
                          <w:rPr>
                            <w:rFonts w:cs="Cambria"/>
                            <w:szCs w:val="21"/>
                          </w:rPr>
                        </w:pPr>
                        <w:r>
                          <w:rPr>
                            <w:rFonts w:cs="Cambria"/>
                            <w:szCs w:val="21"/>
                          </w:rPr>
                          <w:t>其他</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850492883"/>
            </w:sdtPr>
            <w:sdtEndPr/>
            <w:sdtContent>
              <w:tr w:rsidR="00830E72" w14:paraId="2BAD162B"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57F9E049" w14:textId="77777777" w:rsidR="00830E72" w:rsidRDefault="008344D8">
                    <w:pPr>
                      <w:rPr>
                        <w:rFonts w:cs="Cambria"/>
                        <w:szCs w:val="21"/>
                      </w:rPr>
                    </w:pPr>
                    <w:r>
                      <w:t>海南源盛共赢咨询服务有限公司</w:t>
                    </w:r>
                  </w:p>
                </w:tc>
                <w:sdt>
                  <w:sdtPr>
                    <w:rPr>
                      <w:rFonts w:cs="Cambria"/>
                      <w:szCs w:val="21"/>
                    </w:rPr>
                    <w:alias w:val="本企业的其他关联方情况明细－其他关联方与本公司关系"/>
                    <w:tag w:val="_GBC_2205fb8ea5f648b5a0c9e8e3f8499f9f"/>
                    <w:id w:val="-66146824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281E40EA" w14:textId="77777777" w:rsidR="00830E72" w:rsidRDefault="008344D8">
                        <w:pPr>
                          <w:rPr>
                            <w:rFonts w:cs="Cambria"/>
                            <w:szCs w:val="21"/>
                          </w:rPr>
                        </w:pPr>
                        <w:r>
                          <w:rPr>
                            <w:rFonts w:cs="Cambria"/>
                            <w:szCs w:val="21"/>
                          </w:rPr>
                          <w:t>母公司的全资子公司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764349368"/>
            </w:sdtPr>
            <w:sdtEndPr/>
            <w:sdtContent>
              <w:tr w:rsidR="00830E72" w14:paraId="689D21DF"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A383C33" w14:textId="77777777" w:rsidR="00830E72" w:rsidRDefault="008344D8">
                    <w:pPr>
                      <w:rPr>
                        <w:rFonts w:cs="Cambria"/>
                        <w:szCs w:val="21"/>
                      </w:rPr>
                    </w:pPr>
                    <w:r>
                      <w:t>嘉兴源途远旅游文化有限公司</w:t>
                    </w:r>
                  </w:p>
                </w:tc>
                <w:sdt>
                  <w:sdtPr>
                    <w:rPr>
                      <w:rFonts w:cs="Cambria"/>
                      <w:szCs w:val="21"/>
                    </w:rPr>
                    <w:alias w:val="本企业的其他关联方情况明细－其他关联方与本公司关系"/>
                    <w:tag w:val="_GBC_2205fb8ea5f648b5a0c9e8e3f8499f9f"/>
                    <w:id w:val="145374990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A6A3C6E"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981963816"/>
            </w:sdtPr>
            <w:sdtEndPr/>
            <w:sdtContent>
              <w:tr w:rsidR="00830E72" w14:paraId="1EEA5CF6"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6F296703" w14:textId="77777777" w:rsidR="00830E72" w:rsidRDefault="008344D8">
                    <w:pPr>
                      <w:rPr>
                        <w:rFonts w:cs="Cambria"/>
                        <w:szCs w:val="21"/>
                      </w:rPr>
                    </w:pPr>
                    <w:r>
                      <w:t>嘉兴远祥旅游文化有限公司</w:t>
                    </w:r>
                  </w:p>
                </w:tc>
                <w:sdt>
                  <w:sdtPr>
                    <w:rPr>
                      <w:rFonts w:cs="Cambria"/>
                      <w:szCs w:val="21"/>
                    </w:rPr>
                    <w:alias w:val="本企业的其他关联方情况明细－其他关联方与本公司关系"/>
                    <w:tag w:val="_GBC_2205fb8ea5f648b5a0c9e8e3f8499f9f"/>
                    <w:id w:val="-6087416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2261D9B9"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480924742"/>
            </w:sdtPr>
            <w:sdtEndPr/>
            <w:sdtContent>
              <w:tr w:rsidR="00830E72" w14:paraId="7BD045D2"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1FFCF92C" w14:textId="77777777" w:rsidR="00830E72" w:rsidRDefault="008344D8">
                    <w:pPr>
                      <w:rPr>
                        <w:rFonts w:cs="Cambria"/>
                        <w:szCs w:val="21"/>
                      </w:rPr>
                    </w:pPr>
                    <w:r>
                      <w:t>嘉兴祥途旅游文化有限公司</w:t>
                    </w:r>
                  </w:p>
                </w:tc>
                <w:sdt>
                  <w:sdtPr>
                    <w:rPr>
                      <w:rFonts w:cs="Cambria"/>
                      <w:szCs w:val="21"/>
                    </w:rPr>
                    <w:alias w:val="本企业的其他关联方情况明细－其他关联方与本公司关系"/>
                    <w:tag w:val="_GBC_2205fb8ea5f648b5a0c9e8e3f8499f9f"/>
                    <w:id w:val="192375851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6EFE27A"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906914831"/>
            </w:sdtPr>
            <w:sdtEndPr/>
            <w:sdtContent>
              <w:tr w:rsidR="00830E72" w14:paraId="1B80BA6F"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001391E3" w14:textId="77777777" w:rsidR="00830E72" w:rsidRDefault="008344D8">
                    <w:pPr>
                      <w:rPr>
                        <w:rFonts w:cs="Cambria"/>
                        <w:szCs w:val="21"/>
                      </w:rPr>
                    </w:pPr>
                    <w:r>
                      <w:t>黄山源途远旅行社有限公司</w:t>
                    </w:r>
                  </w:p>
                </w:tc>
                <w:sdt>
                  <w:sdtPr>
                    <w:rPr>
                      <w:rFonts w:cs="Cambria"/>
                      <w:szCs w:val="21"/>
                    </w:rPr>
                    <w:alias w:val="本企业的其他关联方情况明细－其他关联方与本公司关系"/>
                    <w:tag w:val="_GBC_2205fb8ea5f648b5a0c9e8e3f8499f9f"/>
                    <w:id w:val="14553699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9D06A0A"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63000155"/>
            </w:sdtPr>
            <w:sdtEndPr/>
            <w:sdtContent>
              <w:tr w:rsidR="00830E72" w14:paraId="6F0D0E26"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47CE951" w14:textId="77777777" w:rsidR="00830E72" w:rsidRDefault="008344D8">
                    <w:pPr>
                      <w:rPr>
                        <w:rFonts w:cs="Cambria"/>
                        <w:szCs w:val="21"/>
                      </w:rPr>
                    </w:pPr>
                    <w:r>
                      <w:t>广西源途远旅游发展有限公司</w:t>
                    </w:r>
                  </w:p>
                </w:tc>
                <w:sdt>
                  <w:sdtPr>
                    <w:rPr>
                      <w:rFonts w:cs="Cambria"/>
                      <w:szCs w:val="21"/>
                    </w:rPr>
                    <w:alias w:val="本企业的其他关联方情况明细－其他关联方与本公司关系"/>
                    <w:tag w:val="_GBC_2205fb8ea5f648b5a0c9e8e3f8499f9f"/>
                    <w:id w:val="201318037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70FAA82"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851788625"/>
            </w:sdtPr>
            <w:sdtEndPr/>
            <w:sdtContent>
              <w:tr w:rsidR="00830E72" w14:paraId="02008EAE"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62E4A83C" w14:textId="77777777" w:rsidR="00830E72" w:rsidRDefault="008344D8">
                    <w:pPr>
                      <w:rPr>
                        <w:rFonts w:cs="Cambria"/>
                        <w:szCs w:val="21"/>
                      </w:rPr>
                    </w:pPr>
                    <w:r>
                      <w:t>云南源途远旅游文化有限公司</w:t>
                    </w:r>
                  </w:p>
                </w:tc>
                <w:sdt>
                  <w:sdtPr>
                    <w:rPr>
                      <w:rFonts w:cs="Cambria"/>
                      <w:szCs w:val="21"/>
                    </w:rPr>
                    <w:alias w:val="本企业的其他关联方情况明细－其他关联方与本公司关系"/>
                    <w:tag w:val="_GBC_2205fb8ea5f648b5a0c9e8e3f8499f9f"/>
                    <w:id w:val="-580222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916FD4E"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61748699"/>
            </w:sdtPr>
            <w:sdtEndPr/>
            <w:sdtContent>
              <w:tr w:rsidR="00830E72" w14:paraId="5B3588AD"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6A6E47B4" w14:textId="77777777" w:rsidR="00830E72" w:rsidRDefault="008344D8">
                    <w:pPr>
                      <w:rPr>
                        <w:rFonts w:cs="Cambria"/>
                        <w:szCs w:val="21"/>
                      </w:rPr>
                    </w:pPr>
                    <w:r>
                      <w:t>四川源途远文化旅游有限公司</w:t>
                    </w:r>
                  </w:p>
                </w:tc>
                <w:sdt>
                  <w:sdtPr>
                    <w:rPr>
                      <w:rFonts w:cs="Cambria"/>
                      <w:szCs w:val="21"/>
                    </w:rPr>
                    <w:alias w:val="本企业的其他关联方情况明细－其他关联方与本公司关系"/>
                    <w:tag w:val="_GBC_2205fb8ea5f648b5a0c9e8e3f8499f9f"/>
                    <w:id w:val="-19477612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23C1C1D3"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885250671"/>
            </w:sdtPr>
            <w:sdtEndPr/>
            <w:sdtContent>
              <w:tr w:rsidR="00830E72" w14:paraId="65E40463"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FC94A90" w14:textId="77777777" w:rsidR="00830E72" w:rsidRDefault="008344D8">
                    <w:pPr>
                      <w:rPr>
                        <w:rFonts w:cs="Cambria"/>
                        <w:szCs w:val="21"/>
                      </w:rPr>
                    </w:pPr>
                    <w:r>
                      <w:t>三亚源途远旅行社有限公司</w:t>
                    </w:r>
                  </w:p>
                </w:tc>
                <w:sdt>
                  <w:sdtPr>
                    <w:rPr>
                      <w:rFonts w:cs="Cambria"/>
                      <w:szCs w:val="21"/>
                    </w:rPr>
                    <w:alias w:val="本企业的其他关联方情况明细－其他关联方与本公司关系"/>
                    <w:tag w:val="_GBC_2205fb8ea5f648b5a0c9e8e3f8499f9f"/>
                    <w:id w:val="36858443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583E3780"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811549621"/>
            </w:sdtPr>
            <w:sdtEndPr/>
            <w:sdtContent>
              <w:tr w:rsidR="00830E72" w14:paraId="791EA736"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77893077" w14:textId="77777777" w:rsidR="00830E72" w:rsidRDefault="008344D8">
                    <w:pPr>
                      <w:rPr>
                        <w:rFonts w:cs="Cambria"/>
                        <w:szCs w:val="21"/>
                      </w:rPr>
                    </w:pPr>
                    <w:r>
                      <w:t>嘉兴猩源旅游文化有限公司</w:t>
                    </w:r>
                  </w:p>
                </w:tc>
                <w:sdt>
                  <w:sdtPr>
                    <w:rPr>
                      <w:rFonts w:cs="Cambria"/>
                      <w:szCs w:val="21"/>
                    </w:rPr>
                    <w:alias w:val="本企业的其他关联方情况明细－其他关联方与本公司关系"/>
                    <w:tag w:val="_GBC_2205fb8ea5f648b5a0c9e8e3f8499f9f"/>
                    <w:id w:val="-208144057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51531A6"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37558142"/>
            </w:sdtPr>
            <w:sdtEndPr/>
            <w:sdtContent>
              <w:tr w:rsidR="00830E72" w14:paraId="30759DD9"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801B0C3" w14:textId="77777777" w:rsidR="00830E72" w:rsidRDefault="008344D8">
                    <w:pPr>
                      <w:rPr>
                        <w:rFonts w:cs="Cambria"/>
                        <w:szCs w:val="21"/>
                      </w:rPr>
                    </w:pPr>
                    <w:r>
                      <w:t>北京源途远旅行社有限公司</w:t>
                    </w:r>
                  </w:p>
                </w:tc>
                <w:sdt>
                  <w:sdtPr>
                    <w:rPr>
                      <w:rFonts w:cs="Cambria"/>
                      <w:szCs w:val="21"/>
                    </w:rPr>
                    <w:alias w:val="本企业的其他关联方情况明细－其他关联方与本公司关系"/>
                    <w:tag w:val="_GBC_2205fb8ea5f648b5a0c9e8e3f8499f9f"/>
                    <w:id w:val="-192016301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3E70347"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443155803"/>
            </w:sdtPr>
            <w:sdtEndPr/>
            <w:sdtContent>
              <w:tr w:rsidR="00830E72" w14:paraId="53C83BB4"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B356C9E" w14:textId="77777777" w:rsidR="00830E72" w:rsidRDefault="008344D8">
                    <w:pPr>
                      <w:rPr>
                        <w:rFonts w:cs="Cambria"/>
                        <w:szCs w:val="21"/>
                      </w:rPr>
                    </w:pPr>
                    <w:r>
                      <w:t>嘉兴省途旅游文化有限公司</w:t>
                    </w:r>
                  </w:p>
                </w:tc>
                <w:sdt>
                  <w:sdtPr>
                    <w:rPr>
                      <w:rFonts w:cs="Cambria"/>
                      <w:szCs w:val="21"/>
                    </w:rPr>
                    <w:alias w:val="本企业的其他关联方情况明细－其他关联方与本公司关系"/>
                    <w:tag w:val="_GBC_2205fb8ea5f648b5a0c9e8e3f8499f9f"/>
                    <w:id w:val="-161280940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B94BA9F"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543259823"/>
            </w:sdtPr>
            <w:sdtEndPr/>
            <w:sdtContent>
              <w:tr w:rsidR="00830E72" w14:paraId="63347F10"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3A74F58" w14:textId="77777777" w:rsidR="00830E72" w:rsidRDefault="008344D8">
                    <w:pPr>
                      <w:rPr>
                        <w:rFonts w:cs="Cambria"/>
                        <w:szCs w:val="21"/>
                      </w:rPr>
                    </w:pPr>
                    <w:r>
                      <w:t>安徽祥源花海旅游开发有限公司</w:t>
                    </w:r>
                  </w:p>
                </w:tc>
                <w:sdt>
                  <w:sdtPr>
                    <w:rPr>
                      <w:rFonts w:cs="Cambria"/>
                      <w:szCs w:val="21"/>
                    </w:rPr>
                    <w:alias w:val="本企业的其他关联方情况明细－其他关联方与本公司关系"/>
                    <w:tag w:val="_GBC_2205fb8ea5f648b5a0c9e8e3f8499f9f"/>
                    <w:id w:val="21917700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49BAC7A"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899293894"/>
            </w:sdtPr>
            <w:sdtEndPr/>
            <w:sdtContent>
              <w:tr w:rsidR="00830E72" w14:paraId="50D95667"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6FFB723C" w14:textId="77777777" w:rsidR="00830E72" w:rsidRDefault="008344D8">
                    <w:pPr>
                      <w:rPr>
                        <w:rFonts w:cs="Cambria"/>
                        <w:szCs w:val="21"/>
                      </w:rPr>
                    </w:pPr>
                    <w:r>
                      <w:t>休宁齐云山文化旅游发展股份有限公司</w:t>
                    </w:r>
                  </w:p>
                </w:tc>
                <w:sdt>
                  <w:sdtPr>
                    <w:rPr>
                      <w:rFonts w:cs="Cambria"/>
                      <w:szCs w:val="21"/>
                    </w:rPr>
                    <w:alias w:val="本企业的其他关联方情况明细－其他关联方与本公司关系"/>
                    <w:tag w:val="_GBC_2205fb8ea5f648b5a0c9e8e3f8499f9f"/>
                    <w:id w:val="-141008050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1C5A5771"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111244380"/>
            </w:sdtPr>
            <w:sdtEndPr/>
            <w:sdtContent>
              <w:tr w:rsidR="00830E72" w14:paraId="73B9EA8D"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CD48AC7" w14:textId="77777777" w:rsidR="00830E72" w:rsidRDefault="008344D8">
                    <w:pPr>
                      <w:rPr>
                        <w:rFonts w:cs="Cambria"/>
                        <w:szCs w:val="21"/>
                      </w:rPr>
                    </w:pPr>
                    <w:r>
                      <w:t>黄山市祥东健康科技有限公司</w:t>
                    </w:r>
                  </w:p>
                </w:tc>
                <w:sdt>
                  <w:sdtPr>
                    <w:rPr>
                      <w:rFonts w:cs="Cambria"/>
                      <w:szCs w:val="21"/>
                    </w:rPr>
                    <w:alias w:val="本企业的其他关联方情况明细－其他关联方与本公司关系"/>
                    <w:tag w:val="_GBC_2205fb8ea5f648b5a0c9e8e3f8499f9f"/>
                    <w:id w:val="18995446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40DCDA92"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768458334"/>
            </w:sdtPr>
            <w:sdtEndPr/>
            <w:sdtContent>
              <w:tr w:rsidR="00830E72" w14:paraId="3D16CD95"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E68296B" w14:textId="77777777" w:rsidR="00830E72" w:rsidRDefault="008344D8">
                    <w:pPr>
                      <w:rPr>
                        <w:rFonts w:cs="Cambria"/>
                        <w:szCs w:val="21"/>
                      </w:rPr>
                    </w:pPr>
                    <w:r>
                      <w:t>阜阳原竹商业管理有限责任公司</w:t>
                    </w:r>
                  </w:p>
                </w:tc>
                <w:sdt>
                  <w:sdtPr>
                    <w:rPr>
                      <w:rFonts w:cs="Cambria"/>
                      <w:szCs w:val="21"/>
                    </w:rPr>
                    <w:alias w:val="本企业的其他关联方情况明细－其他关联方与本公司关系"/>
                    <w:tag w:val="_GBC_2205fb8ea5f648b5a0c9e8e3f8499f9f"/>
                    <w:id w:val="-163601576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D09D400"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977999821"/>
            </w:sdtPr>
            <w:sdtEndPr/>
            <w:sdtContent>
              <w:tr w:rsidR="00830E72" w14:paraId="05748CCE"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ED98ED8" w14:textId="77777777" w:rsidR="00830E72" w:rsidRDefault="008344D8">
                    <w:pPr>
                      <w:rPr>
                        <w:rFonts w:cs="Cambria"/>
                        <w:szCs w:val="21"/>
                      </w:rPr>
                    </w:pPr>
                    <w:r>
                      <w:t>上海竹壹商业管理有限责任公司</w:t>
                    </w:r>
                  </w:p>
                </w:tc>
                <w:sdt>
                  <w:sdtPr>
                    <w:rPr>
                      <w:rFonts w:cs="Cambria"/>
                      <w:szCs w:val="21"/>
                    </w:rPr>
                    <w:alias w:val="本企业的其他关联方情况明细－其他关联方与本公司关系"/>
                    <w:tag w:val="_GBC_2205fb8ea5f648b5a0c9e8e3f8499f9f"/>
                    <w:id w:val="-57582376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B49B368"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350168833"/>
            </w:sdtPr>
            <w:sdtEndPr/>
            <w:sdtContent>
              <w:tr w:rsidR="00830E72" w14:paraId="65AFEA9D"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634A5D3A" w14:textId="77777777" w:rsidR="00830E72" w:rsidRDefault="008344D8">
                    <w:pPr>
                      <w:rPr>
                        <w:rFonts w:cs="Cambria"/>
                        <w:szCs w:val="21"/>
                      </w:rPr>
                    </w:pPr>
                    <w:r>
                      <w:t>上海源起竹生商业管理有限责任公司</w:t>
                    </w:r>
                  </w:p>
                </w:tc>
                <w:sdt>
                  <w:sdtPr>
                    <w:rPr>
                      <w:rFonts w:cs="Cambria"/>
                      <w:szCs w:val="21"/>
                    </w:rPr>
                    <w:alias w:val="本企业的其他关联方情况明细－其他关联方与本公司关系"/>
                    <w:tag w:val="_GBC_2205fb8ea5f648b5a0c9e8e3f8499f9f"/>
                    <w:id w:val="15387864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6E76239"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625920736"/>
            </w:sdtPr>
            <w:sdtEndPr/>
            <w:sdtContent>
              <w:tr w:rsidR="00830E72" w14:paraId="41933E66"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8C874EF" w14:textId="77777777" w:rsidR="00830E72" w:rsidRDefault="008344D8">
                    <w:pPr>
                      <w:rPr>
                        <w:rFonts w:cs="Cambria"/>
                        <w:szCs w:val="21"/>
                      </w:rPr>
                    </w:pPr>
                    <w:r>
                      <w:t>上海源肖文化旅游有限责任公司</w:t>
                    </w:r>
                  </w:p>
                </w:tc>
                <w:sdt>
                  <w:sdtPr>
                    <w:rPr>
                      <w:rFonts w:cs="Cambria"/>
                      <w:szCs w:val="21"/>
                    </w:rPr>
                    <w:alias w:val="本企业的其他关联方情况明细－其他关联方与本公司关系"/>
                    <w:tag w:val="_GBC_2205fb8ea5f648b5a0c9e8e3f8499f9f"/>
                    <w:id w:val="-198375872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2D3ABDE1"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013735427"/>
            </w:sdtPr>
            <w:sdtEndPr/>
            <w:sdtContent>
              <w:tr w:rsidR="00830E72" w14:paraId="0400FAD6"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8CDAAD7" w14:textId="77777777" w:rsidR="00830E72" w:rsidRDefault="008344D8">
                    <w:pPr>
                      <w:rPr>
                        <w:rFonts w:cs="Cambria"/>
                        <w:szCs w:val="21"/>
                      </w:rPr>
                    </w:pPr>
                    <w:r>
                      <w:t>上海昭竹企业管理有限公司</w:t>
                    </w:r>
                  </w:p>
                </w:tc>
                <w:sdt>
                  <w:sdtPr>
                    <w:rPr>
                      <w:rFonts w:cs="Cambria"/>
                      <w:szCs w:val="21"/>
                    </w:rPr>
                    <w:alias w:val="本企业的其他关联方情况明细－其他关联方与本公司关系"/>
                    <w:tag w:val="_GBC_2205fb8ea5f648b5a0c9e8e3f8499f9f"/>
                    <w:id w:val="166766776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151FE781"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77321477"/>
            </w:sdtPr>
            <w:sdtEndPr/>
            <w:sdtContent>
              <w:tr w:rsidR="00830E72" w14:paraId="16D24894"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4A39559" w14:textId="77777777" w:rsidR="00830E72" w:rsidRDefault="008344D8">
                    <w:pPr>
                      <w:rPr>
                        <w:rFonts w:cs="Cambria"/>
                        <w:szCs w:val="21"/>
                      </w:rPr>
                    </w:pPr>
                    <w:r>
                      <w:t>上海源申景竹商业管理有限责任公司</w:t>
                    </w:r>
                  </w:p>
                </w:tc>
                <w:sdt>
                  <w:sdtPr>
                    <w:rPr>
                      <w:rFonts w:cs="Cambria"/>
                      <w:szCs w:val="21"/>
                    </w:rPr>
                    <w:alias w:val="本企业的其他关联方情况明细－其他关联方与本公司关系"/>
                    <w:tag w:val="_GBC_2205fb8ea5f648b5a0c9e8e3f8499f9f"/>
                    <w:id w:val="-153935175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2A53441"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817798287"/>
            </w:sdtPr>
            <w:sdtEndPr/>
            <w:sdtContent>
              <w:tr w:rsidR="00830E72" w14:paraId="2D62037C"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1C371AA1" w14:textId="77777777" w:rsidR="00830E72" w:rsidRDefault="008344D8">
                    <w:pPr>
                      <w:rPr>
                        <w:rFonts w:cs="Cambria"/>
                        <w:szCs w:val="21"/>
                      </w:rPr>
                    </w:pPr>
                    <w:r>
                      <w:t>上海原珠物业管理有限责任公司</w:t>
                    </w:r>
                  </w:p>
                </w:tc>
                <w:sdt>
                  <w:sdtPr>
                    <w:rPr>
                      <w:rFonts w:cs="Cambria"/>
                      <w:szCs w:val="21"/>
                    </w:rPr>
                    <w:alias w:val="本企业的其他关联方情况明细－其他关联方与本公司关系"/>
                    <w:tag w:val="_GBC_2205fb8ea5f648b5a0c9e8e3f8499f9f"/>
                    <w:id w:val="79664504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9055A33"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922450833"/>
            </w:sdtPr>
            <w:sdtEndPr/>
            <w:sdtContent>
              <w:tr w:rsidR="00830E72" w14:paraId="7CCBF3FA"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242C854A" w14:textId="77777777" w:rsidR="00830E72" w:rsidRDefault="008344D8">
                    <w:pPr>
                      <w:rPr>
                        <w:rFonts w:cs="Cambria"/>
                        <w:szCs w:val="21"/>
                      </w:rPr>
                    </w:pPr>
                    <w:r>
                      <w:t>上海悦来悦祥文化创意有限责任公司</w:t>
                    </w:r>
                  </w:p>
                </w:tc>
                <w:sdt>
                  <w:sdtPr>
                    <w:rPr>
                      <w:rFonts w:cs="Cambria"/>
                      <w:szCs w:val="21"/>
                    </w:rPr>
                    <w:alias w:val="本企业的其他关联方情况明细－其他关联方与本公司关系"/>
                    <w:tag w:val="_GBC_2205fb8ea5f648b5a0c9e8e3f8499f9f"/>
                    <w:id w:val="10669160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5B02282C"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599841392"/>
            </w:sdtPr>
            <w:sdtEndPr/>
            <w:sdtContent>
              <w:tr w:rsidR="00830E72" w14:paraId="6CFE84E7"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75BAF6A" w14:textId="77777777" w:rsidR="00830E72" w:rsidRDefault="008344D8">
                    <w:pPr>
                      <w:rPr>
                        <w:rFonts w:cs="Cambria"/>
                        <w:szCs w:val="21"/>
                      </w:rPr>
                    </w:pPr>
                    <w:r>
                      <w:t>上海竹辉源文化创意有限责任公司</w:t>
                    </w:r>
                  </w:p>
                </w:tc>
                <w:sdt>
                  <w:sdtPr>
                    <w:rPr>
                      <w:rFonts w:cs="Cambria"/>
                      <w:szCs w:val="21"/>
                    </w:rPr>
                    <w:alias w:val="本企业的其他关联方情况明细－其他关联方与本公司关系"/>
                    <w:tag w:val="_GBC_2205fb8ea5f648b5a0c9e8e3f8499f9f"/>
                    <w:id w:val="75941075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53653712"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4638950"/>
            </w:sdtPr>
            <w:sdtEndPr/>
            <w:sdtContent>
              <w:tr w:rsidR="00830E72" w14:paraId="050931C1"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7B3D8A2D" w14:textId="77777777" w:rsidR="00830E72" w:rsidRDefault="008344D8">
                    <w:pPr>
                      <w:rPr>
                        <w:rFonts w:cs="Cambria"/>
                        <w:szCs w:val="21"/>
                      </w:rPr>
                    </w:pPr>
                    <w:r>
                      <w:t>上海竹实佳商业管理有限公司</w:t>
                    </w:r>
                  </w:p>
                </w:tc>
                <w:sdt>
                  <w:sdtPr>
                    <w:rPr>
                      <w:rFonts w:cs="Cambria"/>
                      <w:szCs w:val="21"/>
                    </w:rPr>
                    <w:alias w:val="本企业的其他关联方情况明细－其他关联方与本公司关系"/>
                    <w:tag w:val="_GBC_2205fb8ea5f648b5a0c9e8e3f8499f9f"/>
                    <w:id w:val="13982415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2EACEB9"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563938481"/>
            </w:sdtPr>
            <w:sdtEndPr/>
            <w:sdtContent>
              <w:tr w:rsidR="00830E72" w14:paraId="6FC48F7A"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CC6627A" w14:textId="77777777" w:rsidR="00830E72" w:rsidRDefault="008344D8">
                    <w:pPr>
                      <w:rPr>
                        <w:rFonts w:cs="Cambria"/>
                        <w:szCs w:val="21"/>
                      </w:rPr>
                    </w:pPr>
                    <w:r>
                      <w:t>上海竹风雅合商业管理有限责任公司</w:t>
                    </w:r>
                  </w:p>
                </w:tc>
                <w:sdt>
                  <w:sdtPr>
                    <w:rPr>
                      <w:rFonts w:cs="Cambria"/>
                      <w:szCs w:val="21"/>
                    </w:rPr>
                    <w:alias w:val="本企业的其他关联方情况明细－其他关联方与本公司关系"/>
                    <w:tag w:val="_GBC_2205fb8ea5f648b5a0c9e8e3f8499f9f"/>
                    <w:id w:val="-10152152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1BCB6FA"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934276499"/>
            </w:sdtPr>
            <w:sdtEndPr/>
            <w:sdtContent>
              <w:tr w:rsidR="00830E72" w14:paraId="2F9CEF7A"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62C1227F" w14:textId="77777777" w:rsidR="00830E72" w:rsidRDefault="008344D8">
                    <w:pPr>
                      <w:rPr>
                        <w:rFonts w:cs="Cambria"/>
                        <w:szCs w:val="21"/>
                      </w:rPr>
                    </w:pPr>
                    <w:r>
                      <w:t>绍兴竹马市场管理有限公司</w:t>
                    </w:r>
                  </w:p>
                </w:tc>
                <w:sdt>
                  <w:sdtPr>
                    <w:rPr>
                      <w:rFonts w:cs="Cambria"/>
                      <w:szCs w:val="21"/>
                    </w:rPr>
                    <w:alias w:val="本企业的其他关联方情况明细－其他关联方与本公司关系"/>
                    <w:tag w:val="_GBC_2205fb8ea5f648b5a0c9e8e3f8499f9f"/>
                    <w:id w:val="-3306767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265540A0"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523527201"/>
            </w:sdtPr>
            <w:sdtEndPr/>
            <w:sdtContent>
              <w:tr w:rsidR="00830E72" w14:paraId="3E4004AD"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29BDB63" w14:textId="77777777" w:rsidR="00830E72" w:rsidRDefault="008344D8">
                    <w:pPr>
                      <w:rPr>
                        <w:rFonts w:cs="Cambria"/>
                        <w:szCs w:val="21"/>
                      </w:rPr>
                    </w:pPr>
                    <w:r>
                      <w:t>上海祥笈实业有限公司</w:t>
                    </w:r>
                  </w:p>
                </w:tc>
                <w:sdt>
                  <w:sdtPr>
                    <w:rPr>
                      <w:rFonts w:cs="Cambria"/>
                      <w:szCs w:val="21"/>
                    </w:rPr>
                    <w:alias w:val="本企业的其他关联方情况明细－其他关联方与本公司关系"/>
                    <w:tag w:val="_GBC_2205fb8ea5f648b5a0c9e8e3f8499f9f"/>
                    <w:id w:val="-52694465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203C240F"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030068529"/>
            </w:sdtPr>
            <w:sdtEndPr/>
            <w:sdtContent>
              <w:tr w:rsidR="00830E72" w14:paraId="013C2026"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90047A6" w14:textId="77777777" w:rsidR="00830E72" w:rsidRDefault="008344D8">
                    <w:pPr>
                      <w:rPr>
                        <w:rFonts w:cs="Cambria"/>
                        <w:szCs w:val="21"/>
                      </w:rPr>
                    </w:pPr>
                    <w:r>
                      <w:t>上海海鼎置业有限公司</w:t>
                    </w:r>
                  </w:p>
                </w:tc>
                <w:sdt>
                  <w:sdtPr>
                    <w:rPr>
                      <w:rFonts w:cs="Cambria"/>
                      <w:szCs w:val="21"/>
                    </w:rPr>
                    <w:alias w:val="本企业的其他关联方情况明细－其他关联方与本公司关系"/>
                    <w:tag w:val="_GBC_2205fb8ea5f648b5a0c9e8e3f8499f9f"/>
                    <w:id w:val="-19508473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5AC98D3C"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169475408"/>
            </w:sdtPr>
            <w:sdtEndPr/>
            <w:sdtContent>
              <w:tr w:rsidR="00830E72" w14:paraId="4E66CC4B"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7AAA141D" w14:textId="77777777" w:rsidR="00830E72" w:rsidRDefault="008344D8">
                    <w:pPr>
                      <w:rPr>
                        <w:rFonts w:cs="Cambria"/>
                        <w:szCs w:val="21"/>
                      </w:rPr>
                    </w:pPr>
                    <w:r>
                      <w:t>云南白药大理置业有限公司</w:t>
                    </w:r>
                  </w:p>
                </w:tc>
                <w:sdt>
                  <w:sdtPr>
                    <w:rPr>
                      <w:rFonts w:cs="Cambria"/>
                      <w:szCs w:val="21"/>
                    </w:rPr>
                    <w:alias w:val="本企业的其他关联方情况明细－其他关联方与本公司关系"/>
                    <w:tag w:val="_GBC_2205fb8ea5f648b5a0c9e8e3f8499f9f"/>
                    <w:id w:val="152876485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69D29338" w14:textId="77777777" w:rsidR="00830E72" w:rsidRDefault="008344D8">
                        <w:pPr>
                          <w:rPr>
                            <w:rFonts w:cs="Cambria"/>
                            <w:szCs w:val="21"/>
                          </w:rPr>
                        </w:pPr>
                        <w:r>
                          <w:rPr>
                            <w:rFonts w:cs="Cambria"/>
                            <w:szCs w:val="21"/>
                          </w:rPr>
                          <w:t>母公司的控股子公司</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912390349"/>
            </w:sdtPr>
            <w:sdtEndPr/>
            <w:sdtContent>
              <w:tr w:rsidR="00830E72" w14:paraId="2293B75D"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58B84A3D" w14:textId="77777777" w:rsidR="00830E72" w:rsidRDefault="008344D8">
                    <w:pPr>
                      <w:rPr>
                        <w:rFonts w:cs="Cambria"/>
                        <w:szCs w:val="21"/>
                      </w:rPr>
                    </w:pPr>
                    <w:r>
                      <w:t>云南叶榆园林绿化工程有限公司</w:t>
                    </w:r>
                  </w:p>
                </w:tc>
                <w:sdt>
                  <w:sdtPr>
                    <w:rPr>
                      <w:rFonts w:cs="Cambria"/>
                      <w:szCs w:val="21"/>
                    </w:rPr>
                    <w:alias w:val="本企业的其他关联方情况明细－其他关联方与本公司关系"/>
                    <w:tag w:val="_GBC_2205fb8ea5f648b5a0c9e8e3f8499f9f"/>
                    <w:id w:val="39055104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104DCB4" w14:textId="77777777" w:rsidR="00830E72" w:rsidRDefault="008344D8">
                        <w:pPr>
                          <w:rPr>
                            <w:rFonts w:cs="Cambria"/>
                            <w:szCs w:val="21"/>
                          </w:rPr>
                        </w:pPr>
                        <w:r>
                          <w:rPr>
                            <w:rFonts w:cs="Cambria"/>
                            <w:szCs w:val="21"/>
                          </w:rPr>
                          <w:t>母公司的控股子公司</w:t>
                        </w:r>
                      </w:p>
                    </w:tc>
                  </w:sdtContent>
                </w:sdt>
              </w:tr>
            </w:sdtContent>
          </w:sdt>
          <w:tr w:rsidR="00FA3031" w14:paraId="773530B2"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10BEFBD3" w14:textId="7193A4AC" w:rsidR="00FA3031" w:rsidRDefault="00FA3031" w:rsidP="00FA3031">
                <w:pPr>
                  <w:rPr>
                    <w:rFonts w:asciiTheme="minorHAnsi" w:eastAsiaTheme="minorEastAsia" w:hAnsiTheme="minorHAnsi" w:cs="Cambria"/>
                    <w:kern w:val="2"/>
                    <w:szCs w:val="21"/>
                  </w:rPr>
                </w:pPr>
                <w:r w:rsidRPr="00D460A3">
                  <w:rPr>
                    <w:rFonts w:hint="eastAsia"/>
                    <w:bCs/>
                    <w:color w:val="000000"/>
                    <w:szCs w:val="21"/>
                  </w:rPr>
                  <w:t>安徽祥准企业管理咨询合伙企业（有限合伙）</w:t>
                </w:r>
              </w:p>
            </w:tc>
            <w:sdt>
              <w:sdtPr>
                <w:rPr>
                  <w:rFonts w:cs="Cambria"/>
                  <w:szCs w:val="21"/>
                </w:rPr>
                <w:alias w:val="本企业的其他关联方情况明细－其他关联方与本公司关系"/>
                <w:tag w:val="_GBC_2205fb8ea5f648b5a0c9e8e3f8499f9f"/>
                <w:id w:val="448597961"/>
                <w:lock w:val="sdtLocked"/>
                <w:placeholder>
                  <w:docPart w:val="1E6F6AAF8ACE4718A24942FEE51F280C"/>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09CF77D7" w14:textId="453861C4" w:rsidR="00FA3031" w:rsidRDefault="00FA3031" w:rsidP="00FA3031">
                    <w:pPr>
                      <w:rPr>
                        <w:rFonts w:cs="Cambria"/>
                        <w:szCs w:val="21"/>
                      </w:rPr>
                    </w:pPr>
                    <w:r>
                      <w:rPr>
                        <w:rFonts w:cs="Cambria"/>
                        <w:szCs w:val="21"/>
                      </w:rPr>
                      <w:t>其他</w:t>
                    </w:r>
                  </w:p>
                </w:tc>
              </w:sdtContent>
            </w:sdt>
          </w:tr>
          <w:tr w:rsidR="00FA3031" w14:paraId="0F79840A"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4E267977" w14:textId="18EEEE5F" w:rsidR="00FA3031" w:rsidRDefault="00FA3031" w:rsidP="00FA3031">
                <w:pPr>
                  <w:rPr>
                    <w:rFonts w:asciiTheme="minorHAnsi" w:eastAsiaTheme="minorEastAsia" w:hAnsiTheme="minorHAnsi" w:cs="Cambria"/>
                    <w:kern w:val="2"/>
                    <w:szCs w:val="21"/>
                  </w:rPr>
                </w:pPr>
                <w:r w:rsidRPr="00FA3031">
                  <w:rPr>
                    <w:rFonts w:asciiTheme="minorHAnsi" w:eastAsiaTheme="minorEastAsia" w:hAnsiTheme="minorHAnsi" w:cs="Cambria" w:hint="eastAsia"/>
                    <w:kern w:val="2"/>
                    <w:szCs w:val="21"/>
                  </w:rPr>
                  <w:t>天津祥源自由家生态城开发有限公司</w:t>
                </w:r>
              </w:p>
            </w:tc>
            <w:sdt>
              <w:sdtPr>
                <w:rPr>
                  <w:rFonts w:cs="Cambria"/>
                  <w:szCs w:val="21"/>
                </w:rPr>
                <w:alias w:val="本企业的其他关联方情况明细－其他关联方与本公司关系"/>
                <w:tag w:val="_GBC_2205fb8ea5f648b5a0c9e8e3f8499f9f"/>
                <w:id w:val="1166898886"/>
                <w:lock w:val="sdtLocked"/>
                <w:placeholder>
                  <w:docPart w:val="E658D34BFEE347F38F254A14DCAB9C39"/>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350EAFC2" w14:textId="4AD2E8DC" w:rsidR="00FA3031" w:rsidRDefault="00FA3031" w:rsidP="00FA3031">
                    <w:pPr>
                      <w:rPr>
                        <w:rFonts w:cs="Cambria"/>
                        <w:szCs w:val="21"/>
                      </w:rPr>
                    </w:pPr>
                    <w:r>
                      <w:rPr>
                        <w:rFonts w:cs="Cambria"/>
                        <w:szCs w:val="21"/>
                      </w:rPr>
                      <w:t>母公司的控股子公司</w:t>
                    </w:r>
                  </w:p>
                </w:tc>
              </w:sdtContent>
            </w:sdt>
          </w:tr>
          <w:tr w:rsidR="00FA3031" w14:paraId="65125D1E" w14:textId="77777777">
            <w:trPr>
              <w:trHeight w:val="267"/>
            </w:trPr>
            <w:tc>
              <w:tcPr>
                <w:tcW w:w="3130" w:type="pct"/>
                <w:tcBorders>
                  <w:top w:val="single" w:sz="4" w:space="0" w:color="auto"/>
                  <w:left w:val="single" w:sz="4" w:space="0" w:color="auto"/>
                  <w:bottom w:val="single" w:sz="4" w:space="0" w:color="auto"/>
                  <w:right w:val="single" w:sz="4" w:space="0" w:color="auto"/>
                </w:tcBorders>
                <w:vAlign w:val="center"/>
              </w:tcPr>
              <w:p w14:paraId="3B6D8B51" w14:textId="4F2A503B" w:rsidR="00FA3031" w:rsidRDefault="00FA3031" w:rsidP="00FA3031">
                <w:pPr>
                  <w:rPr>
                    <w:rFonts w:asciiTheme="minorHAnsi" w:eastAsiaTheme="minorEastAsia" w:hAnsiTheme="minorHAnsi" w:cs="Cambria"/>
                    <w:kern w:val="2"/>
                    <w:szCs w:val="21"/>
                  </w:rPr>
                </w:pPr>
                <w:r w:rsidRPr="00FA3031">
                  <w:rPr>
                    <w:rFonts w:asciiTheme="minorHAnsi" w:eastAsiaTheme="minorEastAsia" w:hAnsiTheme="minorHAnsi" w:cs="Cambria" w:hint="eastAsia"/>
                    <w:kern w:val="2"/>
                    <w:szCs w:val="21"/>
                  </w:rPr>
                  <w:t>镇远百龙旅游营销有限责任公司</w:t>
                </w:r>
              </w:p>
            </w:tc>
            <w:sdt>
              <w:sdtPr>
                <w:rPr>
                  <w:rFonts w:cs="Cambria"/>
                  <w:szCs w:val="21"/>
                </w:rPr>
                <w:alias w:val="本企业的其他关联方情况明细－其他关联方与本公司关系"/>
                <w:tag w:val="_GBC_2205fb8ea5f648b5a0c9e8e3f8499f9f"/>
                <w:id w:val="-1954470971"/>
                <w:lock w:val="sdtLocked"/>
                <w:placeholder>
                  <w:docPart w:val="E658D34BFEE347F38F254A14DCAB9C39"/>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0" w:type="pct"/>
                    <w:tcBorders>
                      <w:top w:val="single" w:sz="4" w:space="0" w:color="auto"/>
                      <w:left w:val="single" w:sz="4" w:space="0" w:color="auto"/>
                      <w:bottom w:val="single" w:sz="4" w:space="0" w:color="auto"/>
                      <w:right w:val="single" w:sz="4" w:space="0" w:color="auto"/>
                    </w:tcBorders>
                  </w:tcPr>
                  <w:p w14:paraId="748673B8" w14:textId="4178B5BA" w:rsidR="00FA3031" w:rsidRDefault="00FA3031" w:rsidP="00FA3031">
                    <w:pPr>
                      <w:rPr>
                        <w:rFonts w:cs="Cambria"/>
                        <w:szCs w:val="21"/>
                      </w:rPr>
                    </w:pPr>
                    <w:r>
                      <w:rPr>
                        <w:rFonts w:cs="Cambria"/>
                        <w:szCs w:val="21"/>
                      </w:rPr>
                      <w:t>母公司的控股子公司</w:t>
                    </w:r>
                  </w:p>
                </w:tc>
              </w:sdtContent>
            </w:sdt>
          </w:tr>
        </w:tbl>
        <w:p w14:paraId="17EE39B0" w14:textId="77777777" w:rsidR="00830E72" w:rsidRDefault="00D44830">
          <w:pPr>
            <w:tabs>
              <w:tab w:val="left" w:pos="1134"/>
            </w:tabs>
            <w:rPr>
              <w:rFonts w:cs="Cambria"/>
              <w:b/>
              <w:szCs w:val="21"/>
            </w:rPr>
          </w:pPr>
        </w:p>
      </w:sdtContent>
    </w:sdt>
    <w:p w14:paraId="2927D2AE" w14:textId="77777777" w:rsidR="00830E72" w:rsidRDefault="008344D8">
      <w:pPr>
        <w:pStyle w:val="Style99"/>
        <w:numPr>
          <w:ilvl w:val="0"/>
          <w:numId w:val="83"/>
        </w:numPr>
        <w:rPr>
          <w:rFonts w:ascii="宋体" w:hAnsi="宋体"/>
        </w:rPr>
      </w:pPr>
      <w:r>
        <w:rPr>
          <w:rFonts w:ascii="宋体" w:hAnsi="宋体" w:hint="eastAsia"/>
        </w:rPr>
        <w:t>关联交易情况</w:t>
      </w:r>
    </w:p>
    <w:p w14:paraId="77CA2A75" w14:textId="77777777" w:rsidR="00830E72" w:rsidRDefault="008344D8">
      <w:pPr>
        <w:pStyle w:val="Style100"/>
        <w:numPr>
          <w:ilvl w:val="0"/>
          <w:numId w:val="84"/>
        </w:numPr>
        <w:tabs>
          <w:tab w:val="left" w:pos="616"/>
        </w:tabs>
        <w:rPr>
          <w:rFonts w:ascii="宋体" w:hAnsi="宋体"/>
        </w:rPr>
      </w:pPr>
      <w:r>
        <w:rPr>
          <w:rFonts w:ascii="宋体" w:hAnsi="宋体" w:hint="eastAsia"/>
        </w:rPr>
        <w:t>购销商品、提供和接受劳务的关联交易</w:t>
      </w:r>
    </w:p>
    <w:sdt>
      <w:sdtPr>
        <w:rPr>
          <w:rFonts w:hint="eastAsia"/>
        </w:rPr>
        <w:alias w:val="模块:采购商品/接受劳务情况表"/>
        <w:tag w:val="_GBC_dbf08b5679414647a0fbf4c088d641de"/>
        <w:id w:val="-789820704"/>
        <w:lock w:val="sdtLocked"/>
        <w:placeholder>
          <w:docPart w:val="GBC22222222222222222222222222222"/>
        </w:placeholder>
      </w:sdtPr>
      <w:sdtEndPr>
        <w:rPr>
          <w:rFonts w:hint="default"/>
        </w:rPr>
      </w:sdtEndPr>
      <w:sdtContent>
        <w:p w14:paraId="21CBD520" w14:textId="77777777" w:rsidR="00830E72" w:rsidRDefault="008344D8">
          <w:r>
            <w:rPr>
              <w:rFonts w:hint="eastAsia"/>
            </w:rPr>
            <w:t>采购商品/接受劳务情况表</w:t>
          </w:r>
        </w:p>
        <w:sdt>
          <w:sdtPr>
            <w:alias w:val="是否适用：采购商品或接受劳务情况表[双击切换]"/>
            <w:tag w:val="_GBC_ba304c7536f34a3f9d88448fb11ca349"/>
            <w:id w:val="-928122558"/>
            <w:lock w:val="sdtContentLocked"/>
            <w:placeholder>
              <w:docPart w:val="GBC22222222222222222222222222222"/>
            </w:placeholder>
          </w:sdtPr>
          <w:sdtEndPr/>
          <w:sdtContent>
            <w:p w14:paraId="23BBE19A"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9CA9487" w14:textId="77777777" w:rsidR="00830E72" w:rsidRDefault="008344D8">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e8711f0989ee42659555a9f5631abd88"/>
              <w:id w:val="-18930328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dc28b68caa744ea9a5230887b822319a"/>
              <w:id w:val="-5133767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2995"/>
            <w:gridCol w:w="2716"/>
            <w:gridCol w:w="1571"/>
            <w:gridCol w:w="1611"/>
          </w:tblGrid>
          <w:tr w:rsidR="00830E72" w14:paraId="03F7A7D8" w14:textId="77777777">
            <w:trPr>
              <w:cantSplit/>
              <w:trHeight w:val="295"/>
            </w:trPr>
            <w:sdt>
              <w:sdtPr>
                <w:tag w:val="_PLD_5b37ccbdc11a45c3bbc2cf6527561c9d"/>
                <w:id w:val="255561492"/>
                <w:lock w:val="sdtLocked"/>
              </w:sdtPr>
              <w:sdtEndPr/>
              <w:sdtContent>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14:paraId="6BB0F919" w14:textId="77777777" w:rsidR="00830E72" w:rsidRDefault="008344D8">
                    <w:pPr>
                      <w:jc w:val="center"/>
                      <w:rPr>
                        <w:rFonts w:cs="Cambria"/>
                        <w:szCs w:val="21"/>
                      </w:rPr>
                    </w:pPr>
                    <w:r>
                      <w:rPr>
                        <w:rFonts w:cs="Cambria" w:hint="eastAsia"/>
                        <w:szCs w:val="21"/>
                      </w:rPr>
                      <w:t>关联方</w:t>
                    </w:r>
                  </w:p>
                </w:tc>
              </w:sdtContent>
            </w:sdt>
            <w:sdt>
              <w:sdtPr>
                <w:tag w:val="_PLD_2d7b095c1f35485da0de73d655b7a571"/>
                <w:id w:val="1560207559"/>
                <w:lock w:val="sdtLocked"/>
              </w:sdtPr>
              <w:sdtEndPr/>
              <w:sdtContent>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7F51303C" w14:textId="77777777" w:rsidR="00830E72" w:rsidRDefault="008344D8">
                    <w:pPr>
                      <w:jc w:val="center"/>
                      <w:rPr>
                        <w:rFonts w:cs="Cambria"/>
                        <w:szCs w:val="21"/>
                      </w:rPr>
                    </w:pPr>
                    <w:r>
                      <w:rPr>
                        <w:rFonts w:cs="Cambria" w:hint="eastAsia"/>
                        <w:szCs w:val="21"/>
                      </w:rPr>
                      <w:t>关联交易内容</w:t>
                    </w:r>
                  </w:p>
                </w:tc>
              </w:sdtContent>
            </w:sdt>
            <w:sdt>
              <w:sdtPr>
                <w:tag w:val="_PLD_2d255188abfa41f4af0fad1a74ac6d6d"/>
                <w:id w:val="1410739706"/>
                <w:lock w:val="sdtLocked"/>
              </w:sdtPr>
              <w:sdtEndPr/>
              <w:sdtContent>
                <w:tc>
                  <w:tcPr>
                    <w:tcW w:w="883" w:type="pct"/>
                    <w:tcBorders>
                      <w:top w:val="single" w:sz="4" w:space="0" w:color="auto"/>
                      <w:left w:val="single" w:sz="4" w:space="0" w:color="auto"/>
                      <w:right w:val="single" w:sz="4" w:space="0" w:color="auto"/>
                    </w:tcBorders>
                    <w:shd w:val="clear" w:color="auto" w:fill="auto"/>
                    <w:vAlign w:val="center"/>
                  </w:tcPr>
                  <w:p w14:paraId="68B46D3F" w14:textId="77777777" w:rsidR="00830E72" w:rsidRDefault="008344D8">
                    <w:pPr>
                      <w:jc w:val="center"/>
                      <w:rPr>
                        <w:rFonts w:cs="Cambria"/>
                        <w:szCs w:val="21"/>
                      </w:rPr>
                    </w:pPr>
                    <w:r>
                      <w:rPr>
                        <w:rFonts w:cs="Cambria" w:hint="eastAsia"/>
                        <w:szCs w:val="21"/>
                      </w:rPr>
                      <w:t>本期发生额</w:t>
                    </w:r>
                  </w:p>
                </w:tc>
              </w:sdtContent>
            </w:sdt>
            <w:sdt>
              <w:sdtPr>
                <w:tag w:val="_PLD_60fc9f0737164f9694363f102a4420bb"/>
                <w:id w:val="-1374917948"/>
                <w:lock w:val="sdtLocked"/>
              </w:sdtPr>
              <w:sdtEndPr/>
              <w:sdtContent>
                <w:tc>
                  <w:tcPr>
                    <w:tcW w:w="906" w:type="pct"/>
                    <w:tcBorders>
                      <w:top w:val="single" w:sz="4" w:space="0" w:color="auto"/>
                      <w:left w:val="single" w:sz="4" w:space="0" w:color="auto"/>
                      <w:right w:val="single" w:sz="4" w:space="0" w:color="auto"/>
                    </w:tcBorders>
                    <w:shd w:val="clear" w:color="auto" w:fill="auto"/>
                    <w:vAlign w:val="center"/>
                  </w:tcPr>
                  <w:p w14:paraId="6CD0090A" w14:textId="77777777" w:rsidR="00830E72" w:rsidRDefault="008344D8">
                    <w:pPr>
                      <w:jc w:val="center"/>
                      <w:rPr>
                        <w:rFonts w:cs="Cambria"/>
                        <w:szCs w:val="21"/>
                      </w:rPr>
                    </w:pPr>
                    <w:r>
                      <w:rPr>
                        <w:rFonts w:cs="Cambria" w:hint="eastAsia"/>
                        <w:szCs w:val="21"/>
                      </w:rPr>
                      <w:t>上期发生额</w:t>
                    </w:r>
                  </w:p>
                </w:tc>
              </w:sdtContent>
            </w:sdt>
          </w:tr>
          <w:sdt>
            <w:sdtPr>
              <w:rPr>
                <w:szCs w:val="21"/>
              </w:rPr>
              <w:alias w:val="采购商品接受劳务情况明细"/>
              <w:tag w:val="_GBC_0c9767805cb8416eaba14f759181aa29"/>
              <w:id w:val="644098323"/>
              <w:lock w:val="sdtLocked"/>
            </w:sdtPr>
            <w:sdtEndPr/>
            <w:sdtContent>
              <w:tr w:rsidR="00830E72" w14:paraId="2B273255" w14:textId="77777777">
                <w:trPr>
                  <w:cantSplit/>
                </w:trPr>
                <w:tc>
                  <w:tcPr>
                    <w:tcW w:w="1684" w:type="pct"/>
                    <w:tcBorders>
                      <w:top w:val="single" w:sz="4" w:space="0" w:color="auto"/>
                      <w:left w:val="single" w:sz="4" w:space="0" w:color="auto"/>
                      <w:bottom w:val="single" w:sz="4" w:space="0" w:color="auto"/>
                      <w:right w:val="single" w:sz="4" w:space="0" w:color="auto"/>
                    </w:tcBorders>
                    <w:shd w:val="clear" w:color="auto" w:fill="auto"/>
                  </w:tcPr>
                  <w:p w14:paraId="4EEEA976" w14:textId="77777777" w:rsidR="00830E72" w:rsidRDefault="008344D8">
                    <w:pPr>
                      <w:rPr>
                        <w:szCs w:val="21"/>
                      </w:rPr>
                    </w:pPr>
                    <w:r>
                      <w:rPr>
                        <w:rFonts w:hint="eastAsia"/>
                        <w:szCs w:val="21"/>
                      </w:rPr>
                      <w:t>祥源茶业股份有限公司</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4E80336" w14:textId="77777777" w:rsidR="00830E72" w:rsidRDefault="008344D8">
                    <w:pPr>
                      <w:rPr>
                        <w:szCs w:val="21"/>
                      </w:rPr>
                    </w:pPr>
                    <w:r>
                      <w:rPr>
                        <w:rFonts w:hint="eastAsia"/>
                        <w:szCs w:val="21"/>
                      </w:rPr>
                      <w:t>茶叶</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43D0054F" w14:textId="77777777" w:rsidR="00830E72" w:rsidRDefault="008344D8">
                    <w:pPr>
                      <w:jc w:val="right"/>
                      <w:rPr>
                        <w:szCs w:val="21"/>
                      </w:rPr>
                    </w:pPr>
                    <w:r>
                      <w:rPr>
                        <w:szCs w:val="21"/>
                      </w:rPr>
                      <w:t>718,963.00</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1E68879C" w14:textId="77777777" w:rsidR="00830E72" w:rsidRDefault="008344D8">
                    <w:pPr>
                      <w:jc w:val="right"/>
                      <w:rPr>
                        <w:szCs w:val="21"/>
                      </w:rPr>
                    </w:pPr>
                    <w:r>
                      <w:rPr>
                        <w:szCs w:val="21"/>
                      </w:rPr>
                      <w:t>5,742.00</w:t>
                    </w:r>
                  </w:p>
                </w:tc>
              </w:tr>
            </w:sdtContent>
          </w:sdt>
          <w:sdt>
            <w:sdtPr>
              <w:rPr>
                <w:szCs w:val="21"/>
              </w:rPr>
              <w:alias w:val="采购商品接受劳务情况明细"/>
              <w:tag w:val="_GBC_0c9767805cb8416eaba14f759181aa29"/>
              <w:id w:val="1453982857"/>
              <w:lock w:val="sdtLocked"/>
            </w:sdtPr>
            <w:sdtEndPr/>
            <w:sdtContent>
              <w:tr w:rsidR="00830E72" w14:paraId="438A9B4F" w14:textId="77777777">
                <w:trPr>
                  <w:cantSplit/>
                </w:trPr>
                <w:tc>
                  <w:tcPr>
                    <w:tcW w:w="1684" w:type="pct"/>
                    <w:tcBorders>
                      <w:top w:val="single" w:sz="4" w:space="0" w:color="auto"/>
                      <w:left w:val="single" w:sz="4" w:space="0" w:color="auto"/>
                      <w:bottom w:val="single" w:sz="4" w:space="0" w:color="auto"/>
                      <w:right w:val="single" w:sz="4" w:space="0" w:color="auto"/>
                    </w:tcBorders>
                    <w:shd w:val="clear" w:color="auto" w:fill="auto"/>
                  </w:tcPr>
                  <w:p w14:paraId="19C2A55F" w14:textId="77777777" w:rsidR="00830E72" w:rsidRDefault="008344D8">
                    <w:pPr>
                      <w:rPr>
                        <w:szCs w:val="21"/>
                      </w:rPr>
                    </w:pPr>
                    <w:r>
                      <w:rPr>
                        <w:rFonts w:hint="eastAsia"/>
                        <w:szCs w:val="21"/>
                      </w:rPr>
                      <w:t>合肥祥源物业管理有限公司</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B4EF3B8" w14:textId="77777777" w:rsidR="00830E72" w:rsidRDefault="008344D8">
                    <w:pPr>
                      <w:rPr>
                        <w:szCs w:val="21"/>
                      </w:rPr>
                    </w:pPr>
                    <w:r>
                      <w:rPr>
                        <w:rFonts w:hint="eastAsia"/>
                        <w:szCs w:val="21"/>
                      </w:rPr>
                      <w:t>物业管理费、电费、停车费</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7EE8BB3F" w14:textId="77777777" w:rsidR="00830E72" w:rsidRDefault="008344D8">
                    <w:pPr>
                      <w:jc w:val="right"/>
                      <w:rPr>
                        <w:szCs w:val="21"/>
                      </w:rPr>
                    </w:pPr>
                    <w:r>
                      <w:rPr>
                        <w:szCs w:val="21"/>
                      </w:rPr>
                      <w:t>348,157.54</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4164652F" w14:textId="77777777" w:rsidR="00830E72" w:rsidRDefault="008344D8">
                    <w:pPr>
                      <w:jc w:val="right"/>
                      <w:rPr>
                        <w:szCs w:val="21"/>
                      </w:rPr>
                    </w:pPr>
                    <w:r>
                      <w:rPr>
                        <w:szCs w:val="21"/>
                      </w:rPr>
                      <w:t>284,647.43</w:t>
                    </w:r>
                  </w:p>
                </w:tc>
              </w:tr>
            </w:sdtContent>
          </w:sdt>
          <w:sdt>
            <w:sdtPr>
              <w:rPr>
                <w:szCs w:val="21"/>
              </w:rPr>
              <w:alias w:val="采购商品接受劳务情况明细"/>
              <w:tag w:val="_GBC_0c9767805cb8416eaba14f759181aa29"/>
              <w:id w:val="-261227001"/>
              <w:lock w:val="sdtLocked"/>
            </w:sdtPr>
            <w:sdtEndPr/>
            <w:sdtContent>
              <w:tr w:rsidR="00830E72" w14:paraId="568F67E6" w14:textId="77777777">
                <w:trPr>
                  <w:cantSplit/>
                </w:trPr>
                <w:tc>
                  <w:tcPr>
                    <w:tcW w:w="1684" w:type="pct"/>
                    <w:tcBorders>
                      <w:top w:val="single" w:sz="4" w:space="0" w:color="auto"/>
                      <w:left w:val="single" w:sz="4" w:space="0" w:color="auto"/>
                      <w:bottom w:val="single" w:sz="4" w:space="0" w:color="auto"/>
                      <w:right w:val="single" w:sz="4" w:space="0" w:color="auto"/>
                    </w:tcBorders>
                    <w:shd w:val="clear" w:color="auto" w:fill="auto"/>
                  </w:tcPr>
                  <w:p w14:paraId="3774FA5E" w14:textId="77777777" w:rsidR="00830E72" w:rsidRDefault="008344D8">
                    <w:pPr>
                      <w:rPr>
                        <w:szCs w:val="21"/>
                      </w:rPr>
                    </w:pPr>
                    <w:r>
                      <w:rPr>
                        <w:rFonts w:hint="eastAsia"/>
                        <w:szCs w:val="21"/>
                      </w:rPr>
                      <w:t>合肥汇博房地产开发有限公司</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DB5CBBB" w14:textId="77777777" w:rsidR="00830E72" w:rsidRDefault="008344D8">
                    <w:pPr>
                      <w:rPr>
                        <w:szCs w:val="21"/>
                      </w:rPr>
                    </w:pPr>
                    <w:r>
                      <w:rPr>
                        <w:rFonts w:hint="eastAsia"/>
                        <w:szCs w:val="21"/>
                      </w:rPr>
                      <w:t>餐费</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625587C5" w14:textId="77777777" w:rsidR="00830E72" w:rsidRDefault="008344D8">
                    <w:pPr>
                      <w:jc w:val="right"/>
                      <w:rPr>
                        <w:szCs w:val="21"/>
                      </w:rPr>
                    </w:pPr>
                    <w:r>
                      <w:rPr>
                        <w:szCs w:val="21"/>
                      </w:rPr>
                      <w:t>116,085.00</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06466B4F" w14:textId="77777777" w:rsidR="00830E72" w:rsidRDefault="008344D8">
                    <w:pPr>
                      <w:jc w:val="right"/>
                      <w:rPr>
                        <w:szCs w:val="21"/>
                      </w:rPr>
                    </w:pPr>
                    <w:r>
                      <w:rPr>
                        <w:szCs w:val="21"/>
                      </w:rPr>
                      <w:t>159,960.00</w:t>
                    </w:r>
                  </w:p>
                </w:tc>
              </w:tr>
            </w:sdtContent>
          </w:sdt>
          <w:sdt>
            <w:sdtPr>
              <w:rPr>
                <w:szCs w:val="21"/>
              </w:rPr>
              <w:alias w:val="采购商品接受劳务情况明细"/>
              <w:tag w:val="_GBC_0c9767805cb8416eaba14f759181aa29"/>
              <w:id w:val="-919026991"/>
              <w:lock w:val="sdtLocked"/>
            </w:sdtPr>
            <w:sdtEndPr/>
            <w:sdtContent>
              <w:tr w:rsidR="00830E72" w14:paraId="6C28EE41" w14:textId="77777777">
                <w:trPr>
                  <w:cantSplit/>
                </w:trPr>
                <w:tc>
                  <w:tcPr>
                    <w:tcW w:w="1684" w:type="pct"/>
                    <w:tcBorders>
                      <w:top w:val="single" w:sz="4" w:space="0" w:color="auto"/>
                      <w:left w:val="single" w:sz="4" w:space="0" w:color="auto"/>
                      <w:bottom w:val="single" w:sz="4" w:space="0" w:color="auto"/>
                      <w:right w:val="single" w:sz="4" w:space="0" w:color="auto"/>
                    </w:tcBorders>
                    <w:shd w:val="clear" w:color="auto" w:fill="auto"/>
                  </w:tcPr>
                  <w:p w14:paraId="5691D738" w14:textId="77777777" w:rsidR="00830E72" w:rsidRDefault="008344D8">
                    <w:pPr>
                      <w:rPr>
                        <w:szCs w:val="21"/>
                      </w:rPr>
                    </w:pPr>
                    <w:r>
                      <w:rPr>
                        <w:rFonts w:hint="eastAsia"/>
                        <w:szCs w:val="21"/>
                      </w:rPr>
                      <w:t>其他关联方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3FA5211" w14:textId="77777777" w:rsidR="00830E72" w:rsidRDefault="008344D8">
                    <w:pPr>
                      <w:rPr>
                        <w:szCs w:val="21"/>
                      </w:rPr>
                    </w:pPr>
                    <w:r>
                      <w:rPr>
                        <w:rFonts w:hint="eastAsia"/>
                        <w:szCs w:val="21"/>
                      </w:rPr>
                      <w:t>零星采购</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252B1E09" w14:textId="77777777" w:rsidR="00830E72" w:rsidRDefault="008344D8">
                    <w:pPr>
                      <w:jc w:val="right"/>
                      <w:rPr>
                        <w:szCs w:val="21"/>
                      </w:rPr>
                    </w:pPr>
                    <w:r>
                      <w:rPr>
                        <w:szCs w:val="21"/>
                      </w:rPr>
                      <w:t>235,334.38</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022BFA2B" w14:textId="77777777" w:rsidR="00830E72" w:rsidRDefault="008344D8">
                    <w:pPr>
                      <w:jc w:val="right"/>
                      <w:rPr>
                        <w:szCs w:val="21"/>
                      </w:rPr>
                    </w:pPr>
                    <w:r>
                      <w:rPr>
                        <w:szCs w:val="21"/>
                      </w:rPr>
                      <w:t>73,929.90</w:t>
                    </w:r>
                  </w:p>
                </w:tc>
              </w:tr>
            </w:sdtContent>
          </w:sdt>
        </w:tbl>
        <w:p w14:paraId="79491B03" w14:textId="77777777" w:rsidR="00830E72" w:rsidRDefault="00D44830"/>
      </w:sdtContent>
    </w:sdt>
    <w:sdt>
      <w:sdtPr>
        <w:rPr>
          <w:rFonts w:hint="eastAsia"/>
          <w:szCs w:val="21"/>
        </w:rPr>
        <w:alias w:val="模块:出售商品/提供劳务情况"/>
        <w:tag w:val="_GBC_a4e1c0efe9f741ecbb648a33c9afb8fd"/>
        <w:id w:val="1341190499"/>
        <w:lock w:val="sdtLocked"/>
        <w:placeholder>
          <w:docPart w:val="GBC22222222222222222222222222222"/>
        </w:placeholder>
      </w:sdtPr>
      <w:sdtEndPr>
        <w:rPr>
          <w:rFonts w:cs="Cambria"/>
        </w:rPr>
      </w:sdtEndPr>
      <w:sdtContent>
        <w:p w14:paraId="049E4C7D" w14:textId="77777777" w:rsidR="00830E72" w:rsidRDefault="008344D8">
          <w:pPr>
            <w:ind w:rightChars="-369" w:right="-775"/>
            <w:rPr>
              <w:szCs w:val="21"/>
            </w:rPr>
          </w:pPr>
          <w:r>
            <w:rPr>
              <w:rFonts w:hint="eastAsia"/>
              <w:szCs w:val="21"/>
            </w:rPr>
            <w:t>出售商品/提供劳务情况表</w:t>
          </w:r>
        </w:p>
        <w:sdt>
          <w:sdtPr>
            <w:rPr>
              <w:szCs w:val="21"/>
            </w:rPr>
            <w:alias w:val="是否适用：出售商品或提供劳务情况表[双击切换]"/>
            <w:tag w:val="_GBC_18ae630e2f3641959d3a9fc1a3f3ccf3"/>
            <w:id w:val="-2141878217"/>
            <w:lock w:val="sdtContentLocked"/>
            <w:placeholder>
              <w:docPart w:val="GBC22222222222222222222222222222"/>
            </w:placeholder>
          </w:sdtPr>
          <w:sdtEndPr/>
          <w:sdtContent>
            <w:p w14:paraId="47E8F768" w14:textId="77777777" w:rsidR="00830E72" w:rsidRDefault="008344D8">
              <w:pPr>
                <w:ind w:rightChars="-369" w:right="-775"/>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F6819C3" w14:textId="77777777" w:rsidR="00830E72" w:rsidRDefault="008344D8">
          <w:pPr>
            <w:rPr>
              <w:rFonts w:cs="Cambria"/>
              <w:szCs w:val="21"/>
            </w:rPr>
          </w:pPr>
          <w:r>
            <w:rPr>
              <w:rFonts w:cs="Cambria" w:hint="eastAsia"/>
              <w:szCs w:val="21"/>
            </w:rPr>
            <w:lastRenderedPageBreak/>
            <w:t>购销商品、提供和接受劳务的关联交易说明</w:t>
          </w:r>
        </w:p>
        <w:sdt>
          <w:sdtPr>
            <w:rPr>
              <w:rFonts w:cs="Cambria"/>
              <w:szCs w:val="21"/>
            </w:rPr>
            <w:alias w:val="是否适用：购销商品、提供和接受劳务的关联交易说明[双击切换]"/>
            <w:tag w:val="_GBC_9ec9e1b38e7f48d89bb7f6441bed1bd1"/>
            <w:id w:val="1037087547"/>
            <w:lock w:val="sdtContentLocked"/>
            <w:placeholder>
              <w:docPart w:val="GBC22222222222222222222222222222"/>
            </w:placeholder>
          </w:sdtPr>
          <w:sdtEndPr/>
          <w:sdtContent>
            <w:p w14:paraId="67B12488" w14:textId="77777777" w:rsidR="00830E72" w:rsidRDefault="008344D8">
              <w:pPr>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Content>
    </w:sdt>
    <w:sdt>
      <w:sdtPr>
        <w:rPr>
          <w:rFonts w:ascii="宋体" w:hAnsi="宋体" w:cs="宋体" w:hint="eastAsia"/>
          <w:b w:val="0"/>
          <w:bCs w:val="0"/>
          <w:kern w:val="0"/>
          <w:szCs w:val="24"/>
        </w:rPr>
        <w:alias w:val="模块:关联受托管理/承包及委托管理/出包情况"/>
        <w:tag w:val="_GBC_41e9e66a2ab04304a0db7b9e032817c5"/>
        <w:id w:val="-1057707163"/>
        <w:lock w:val="sdtLocked"/>
        <w:placeholder>
          <w:docPart w:val="GBC22222222222222222222222222222"/>
        </w:placeholder>
      </w:sdtPr>
      <w:sdtEndPr>
        <w:rPr>
          <w:rFonts w:cs="Cambria" w:hint="default"/>
          <w:szCs w:val="21"/>
        </w:rPr>
      </w:sdtEndPr>
      <w:sdtContent>
        <w:p w14:paraId="11D35551" w14:textId="77777777" w:rsidR="00830E72" w:rsidRDefault="008344D8">
          <w:pPr>
            <w:pStyle w:val="Style100"/>
            <w:numPr>
              <w:ilvl w:val="0"/>
              <w:numId w:val="84"/>
            </w:numPr>
            <w:tabs>
              <w:tab w:val="left" w:pos="616"/>
            </w:tabs>
            <w:rPr>
              <w:rFonts w:ascii="宋体" w:hAnsi="宋体"/>
            </w:rPr>
          </w:pPr>
          <w:r>
            <w:rPr>
              <w:rFonts w:ascii="宋体" w:hAnsi="宋体" w:hint="eastAsia"/>
            </w:rPr>
            <w:t>关联受托管理/承包及委托管理/出包情况</w:t>
          </w:r>
        </w:p>
        <w:p w14:paraId="737CCB15" w14:textId="77777777" w:rsidR="00830E72" w:rsidRDefault="008344D8">
          <w:pPr>
            <w:rPr>
              <w:szCs w:val="21"/>
            </w:rPr>
          </w:pPr>
          <w:r>
            <w:rPr>
              <w:rFonts w:hint="eastAsia"/>
              <w:szCs w:val="21"/>
            </w:rPr>
            <w:t>本公司受托管理/承包情况表：</w:t>
          </w:r>
        </w:p>
        <w:sdt>
          <w:sdtPr>
            <w:rPr>
              <w:rFonts w:cs="Cambria"/>
              <w:szCs w:val="21"/>
            </w:rPr>
            <w:alias w:val="是否适用：本公司受托管理或承包情况表[双击切换]"/>
            <w:tag w:val="_GBC_3810b3cad54c4b2f9754e7d6be3e9480"/>
            <w:id w:val="-644897240"/>
            <w:lock w:val="sdtContentLocked"/>
            <w:placeholder>
              <w:docPart w:val="GBC22222222222222222222222222222"/>
            </w:placeholder>
          </w:sdtPr>
          <w:sdtEndPr/>
          <w:sdtContent>
            <w:p w14:paraId="1587C97C" w14:textId="77777777" w:rsidR="00830E72" w:rsidRDefault="008344D8">
              <w:pPr>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15496068" w14:textId="77777777" w:rsidR="00830E72" w:rsidRDefault="008344D8">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42ec6e3170b04610899c528ce7bda003"/>
            <w:id w:val="-1079130368"/>
            <w:lock w:val="sdtContentLocked"/>
            <w:placeholder>
              <w:docPart w:val="GBC22222222222222222222222222222"/>
            </w:placeholder>
          </w:sdtPr>
          <w:sdtEndPr/>
          <w:sdtContent>
            <w:p w14:paraId="3B043EC3" w14:textId="77777777" w:rsidR="00830E72" w:rsidRDefault="008344D8">
              <w:pPr>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2CE89589" w14:textId="77777777" w:rsidR="00830E72" w:rsidRDefault="008344D8">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37bf111a27194665b76f71bb5418d53c"/>
            <w:id w:val="-1364822511"/>
            <w:lock w:val="sdtContentLocked"/>
            <w:placeholder>
              <w:docPart w:val="GBC22222222222222222222222222222"/>
            </w:placeholder>
          </w:sdtPr>
          <w:sdtEndPr/>
          <w:sdtContent>
            <w:p w14:paraId="71BD6250" w14:textId="77777777" w:rsidR="00830E72" w:rsidRDefault="008344D8">
              <w:pPr>
                <w:rPr>
                  <w:rFonts w:cs="Cambria"/>
                  <w:bCs/>
                  <w:szCs w:val="21"/>
                </w:rPr>
              </w:pPr>
              <w:r>
                <w:rPr>
                  <w:rFonts w:cs="Cambria"/>
                  <w:bCs/>
                  <w:szCs w:val="21"/>
                </w:rPr>
                <w:fldChar w:fldCharType="begin"/>
              </w:r>
              <w:r>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14:paraId="09718416" w14:textId="77777777" w:rsidR="00830E72" w:rsidRDefault="008344D8">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0b0339c118c542eb8a6e3a68fab8e375"/>
            <w:id w:val="737447121"/>
            <w:lock w:val="sdtContentLocked"/>
            <w:placeholder>
              <w:docPart w:val="GBC22222222222222222222222222222"/>
            </w:placeholder>
          </w:sdtPr>
          <w:sdtEndPr/>
          <w:sdtContent>
            <w:p w14:paraId="62E4FE8E" w14:textId="77777777" w:rsidR="00830E72" w:rsidRDefault="008344D8">
              <w:pPr>
                <w:rPr>
                  <w:rFonts w:cs="Cambria"/>
                  <w:bCs/>
                  <w:szCs w:val="21"/>
                </w:rPr>
              </w:pPr>
              <w:r>
                <w:rPr>
                  <w:rFonts w:cs="Cambria"/>
                  <w:bCs/>
                  <w:szCs w:val="21"/>
                </w:rPr>
                <w:fldChar w:fldCharType="begin"/>
              </w:r>
              <w:r>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sdtContent>
    </w:sdt>
    <w:sdt>
      <w:sdtPr>
        <w:rPr>
          <w:rFonts w:ascii="宋体" w:hAnsi="宋体" w:cs="宋体" w:hint="eastAsia"/>
          <w:b w:val="0"/>
          <w:bCs w:val="0"/>
          <w:kern w:val="0"/>
          <w:szCs w:val="24"/>
        </w:rPr>
        <w:alias w:val="模块:关联租赁情况"/>
        <w:tag w:val="_GBC_17f3281299e640aa88ca71463490c054"/>
        <w:id w:val="1265956360"/>
        <w:lock w:val="sdtLocked"/>
        <w:placeholder>
          <w:docPart w:val="GBC22222222222222222222222222222"/>
        </w:placeholder>
      </w:sdtPr>
      <w:sdtEndPr/>
      <w:sdtContent>
        <w:p w14:paraId="06068121" w14:textId="77777777" w:rsidR="00830E72" w:rsidRDefault="008344D8">
          <w:pPr>
            <w:pStyle w:val="Style100"/>
            <w:numPr>
              <w:ilvl w:val="0"/>
              <w:numId w:val="84"/>
            </w:numPr>
            <w:tabs>
              <w:tab w:val="left" w:pos="616"/>
            </w:tabs>
            <w:rPr>
              <w:rFonts w:ascii="宋体" w:hAnsi="宋体"/>
            </w:rPr>
          </w:pPr>
          <w:r>
            <w:rPr>
              <w:rFonts w:ascii="宋体" w:hAnsi="宋体" w:hint="eastAsia"/>
            </w:rPr>
            <w:t>关联租赁情况</w:t>
          </w:r>
        </w:p>
        <w:p w14:paraId="429485E9" w14:textId="77777777" w:rsidR="00830E72" w:rsidRDefault="008344D8">
          <w:pPr>
            <w:rPr>
              <w:szCs w:val="21"/>
            </w:rPr>
          </w:pPr>
          <w:r>
            <w:rPr>
              <w:rFonts w:hint="eastAsia"/>
              <w:szCs w:val="21"/>
            </w:rPr>
            <w:t>本公司作为出租方：</w:t>
          </w:r>
        </w:p>
        <w:sdt>
          <w:sdtPr>
            <w:rPr>
              <w:szCs w:val="21"/>
            </w:rPr>
            <w:alias w:val="是否适用：本公司作为出租方的租赁情况表[双击切换]"/>
            <w:tag w:val="_GBC_f12cb8266cbd482b93c6a4bba1b05fb7"/>
            <w:id w:val="-2072879165"/>
            <w:lock w:val="sdtContentLocked"/>
            <w:placeholder>
              <w:docPart w:val="GBC22222222222222222222222222222"/>
            </w:placeholder>
          </w:sdtPr>
          <w:sdtEndPr/>
          <w:sdtContent>
            <w:p w14:paraId="56E21AF4"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B30DE47" w14:textId="77777777" w:rsidR="00830E72" w:rsidRDefault="008344D8">
          <w:pPr>
            <w:rPr>
              <w:szCs w:val="21"/>
            </w:rPr>
          </w:pPr>
          <w:r>
            <w:rPr>
              <w:rFonts w:hint="eastAsia"/>
              <w:szCs w:val="21"/>
            </w:rPr>
            <w:t>本公司作为承租方：</w:t>
          </w:r>
        </w:p>
        <w:sdt>
          <w:sdtPr>
            <w:rPr>
              <w:szCs w:val="21"/>
            </w:rPr>
            <w:alias w:val="是否适用：本公司作为承租方的租赁情况表[双击切换]"/>
            <w:tag w:val="_GBC_e3319fb4cbb04bb0ab5516046d7e77a4"/>
            <w:id w:val="599758785"/>
            <w:lock w:val="sdtContentLocked"/>
            <w:placeholder>
              <w:docPart w:val="GBC22222222222222222222222222222"/>
            </w:placeholder>
          </w:sdtPr>
          <w:sdtEndPr/>
          <w:sdtContent>
            <w:p w14:paraId="5CCC2940"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F5765D4" w14:textId="77777777" w:rsidR="00830E72" w:rsidRDefault="008344D8">
          <w:pPr>
            <w:jc w:val="right"/>
            <w:rPr>
              <w:szCs w:val="21"/>
            </w:rPr>
          </w:pPr>
          <w:r>
            <w:rPr>
              <w:rFonts w:hint="eastAsia"/>
              <w:szCs w:val="21"/>
            </w:rPr>
            <w:t>单位：</w:t>
          </w:r>
          <w:sdt>
            <w:sdtPr>
              <w:rPr>
                <w:rFonts w:hint="eastAsia"/>
                <w:szCs w:val="21"/>
              </w:rPr>
              <w:alias w:val="单位：公司承租情况表"/>
              <w:tag w:val="_GBC_c4f9d2e7743f429a85c30d009abea834"/>
              <w:id w:val="10975924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公司承租情况表"/>
              <w:tag w:val="_GBC_bad2c4d4779f4dc2bace6d7ca19d4585"/>
              <w:id w:val="8840634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995"/>
            <w:gridCol w:w="1859"/>
            <w:gridCol w:w="1999"/>
            <w:gridCol w:w="2040"/>
          </w:tblGrid>
          <w:tr w:rsidR="00830E72" w14:paraId="313AD8B1" w14:textId="77777777">
            <w:trPr>
              <w:trHeight w:val="310"/>
            </w:trPr>
            <w:sdt>
              <w:sdtPr>
                <w:tag w:val="_PLD_0a09d4d001e74fe3a6d865aeb5fab910"/>
                <w:id w:val="20139972"/>
                <w:lock w:val="sdtLocked"/>
              </w:sdtPr>
              <w:sdtEndPr/>
              <w:sdtContent>
                <w:tc>
                  <w:tcPr>
                    <w:tcW w:w="1684" w:type="pct"/>
                    <w:tcBorders>
                      <w:top w:val="single" w:sz="4" w:space="0" w:color="auto"/>
                      <w:left w:val="single" w:sz="4" w:space="0" w:color="auto"/>
                      <w:right w:val="single" w:sz="4" w:space="0" w:color="auto"/>
                    </w:tcBorders>
                    <w:shd w:val="clear" w:color="auto" w:fill="auto"/>
                    <w:vAlign w:val="center"/>
                  </w:tcPr>
                  <w:p w14:paraId="76EA26DE" w14:textId="77777777" w:rsidR="00830E72" w:rsidRDefault="008344D8">
                    <w:pPr>
                      <w:jc w:val="center"/>
                      <w:rPr>
                        <w:szCs w:val="21"/>
                      </w:rPr>
                    </w:pPr>
                    <w:r>
                      <w:rPr>
                        <w:rFonts w:hint="eastAsia"/>
                        <w:szCs w:val="21"/>
                      </w:rPr>
                      <w:t>出租方名称</w:t>
                    </w:r>
                  </w:p>
                </w:tc>
              </w:sdtContent>
            </w:sdt>
            <w:sdt>
              <w:sdtPr>
                <w:tag w:val="_PLD_8f2b6c0b27fc41c19bc3ddb5e8c23d38"/>
                <w:id w:val="-169880256"/>
                <w:lock w:val="sdtLocked"/>
              </w:sdtPr>
              <w:sdtEndPr/>
              <w:sdtContent>
                <w:tc>
                  <w:tcPr>
                    <w:tcW w:w="1045" w:type="pct"/>
                    <w:tcBorders>
                      <w:top w:val="single" w:sz="4" w:space="0" w:color="auto"/>
                      <w:left w:val="single" w:sz="4" w:space="0" w:color="auto"/>
                      <w:right w:val="single" w:sz="4" w:space="0" w:color="auto"/>
                    </w:tcBorders>
                    <w:shd w:val="clear" w:color="auto" w:fill="auto"/>
                    <w:vAlign w:val="center"/>
                  </w:tcPr>
                  <w:p w14:paraId="0FE1FCFA" w14:textId="77777777" w:rsidR="00830E72" w:rsidRDefault="008344D8">
                    <w:pPr>
                      <w:jc w:val="center"/>
                      <w:rPr>
                        <w:szCs w:val="21"/>
                      </w:rPr>
                    </w:pPr>
                    <w:r>
                      <w:rPr>
                        <w:rFonts w:hint="eastAsia"/>
                        <w:szCs w:val="21"/>
                      </w:rPr>
                      <w:t>租赁资产种类</w:t>
                    </w:r>
                  </w:p>
                </w:tc>
              </w:sdtContent>
            </w:sdt>
            <w:sdt>
              <w:sdtPr>
                <w:tag w:val="_PLD_1a07095594554b409b72dea609345e26"/>
                <w:id w:val="-1277018556"/>
                <w:lock w:val="sdtLocked"/>
              </w:sdtPr>
              <w:sdtEndPr/>
              <w:sdtContent>
                <w:tc>
                  <w:tcPr>
                    <w:tcW w:w="1124" w:type="pct"/>
                    <w:tcBorders>
                      <w:top w:val="single" w:sz="4" w:space="0" w:color="auto"/>
                      <w:left w:val="single" w:sz="4" w:space="0" w:color="auto"/>
                      <w:right w:val="single" w:sz="4" w:space="0" w:color="auto"/>
                    </w:tcBorders>
                    <w:shd w:val="clear" w:color="auto" w:fill="auto"/>
                    <w:vAlign w:val="center"/>
                  </w:tcPr>
                  <w:p w14:paraId="6BB2ACB4" w14:textId="77777777" w:rsidR="00830E72" w:rsidRDefault="008344D8">
                    <w:pPr>
                      <w:jc w:val="center"/>
                      <w:rPr>
                        <w:szCs w:val="21"/>
                      </w:rPr>
                    </w:pPr>
                    <w:r>
                      <w:rPr>
                        <w:rFonts w:hint="eastAsia"/>
                        <w:szCs w:val="21"/>
                      </w:rPr>
                      <w:t>本期确认的租赁费</w:t>
                    </w:r>
                  </w:p>
                </w:tc>
              </w:sdtContent>
            </w:sdt>
            <w:sdt>
              <w:sdtPr>
                <w:tag w:val="_PLD_719d99d0e51d4f5eb9d74441d044bfe5"/>
                <w:id w:val="577478731"/>
                <w:lock w:val="sdtLocked"/>
              </w:sdtPr>
              <w:sdtEndPr/>
              <w:sdtContent>
                <w:tc>
                  <w:tcPr>
                    <w:tcW w:w="1147" w:type="pct"/>
                    <w:tcBorders>
                      <w:top w:val="single" w:sz="4" w:space="0" w:color="auto"/>
                      <w:left w:val="single" w:sz="4" w:space="0" w:color="auto"/>
                      <w:right w:val="single" w:sz="4" w:space="0" w:color="auto"/>
                    </w:tcBorders>
                    <w:shd w:val="clear" w:color="auto" w:fill="auto"/>
                    <w:vAlign w:val="center"/>
                  </w:tcPr>
                  <w:p w14:paraId="409863D6" w14:textId="77777777" w:rsidR="00830E72" w:rsidRDefault="008344D8">
                    <w:pPr>
                      <w:jc w:val="center"/>
                      <w:rPr>
                        <w:szCs w:val="21"/>
                      </w:rPr>
                    </w:pPr>
                    <w:r>
                      <w:rPr>
                        <w:rFonts w:hint="eastAsia"/>
                        <w:szCs w:val="21"/>
                      </w:rPr>
                      <w:t>上期确认的租赁费</w:t>
                    </w:r>
                  </w:p>
                </w:tc>
              </w:sdtContent>
            </w:sdt>
          </w:tr>
          <w:sdt>
            <w:sdtPr>
              <w:rPr>
                <w:szCs w:val="21"/>
              </w:rPr>
              <w:alias w:val="公司承租情况明细"/>
              <w:tag w:val="_GBC_2cb90c924bac4d8690c03cd1fa4f690b"/>
              <w:id w:val="1514332481"/>
              <w:lock w:val="sdtLocked"/>
            </w:sdtPr>
            <w:sdtEndPr/>
            <w:sdtContent>
              <w:tr w:rsidR="00830E72" w14:paraId="30D0A54C" w14:textId="77777777">
                <w:tc>
                  <w:tcPr>
                    <w:tcW w:w="1684" w:type="pct"/>
                    <w:tcBorders>
                      <w:top w:val="single" w:sz="4" w:space="0" w:color="auto"/>
                      <w:left w:val="single" w:sz="4" w:space="0" w:color="auto"/>
                      <w:bottom w:val="single" w:sz="4" w:space="0" w:color="auto"/>
                      <w:right w:val="single" w:sz="4" w:space="0" w:color="auto"/>
                    </w:tcBorders>
                  </w:tcPr>
                  <w:p w14:paraId="3997D0DF" w14:textId="77777777" w:rsidR="00830E72" w:rsidRDefault="008344D8">
                    <w:pPr>
                      <w:rPr>
                        <w:szCs w:val="21"/>
                      </w:rPr>
                    </w:pPr>
                    <w:r>
                      <w:rPr>
                        <w:rFonts w:hint="eastAsia"/>
                        <w:szCs w:val="21"/>
                      </w:rPr>
                      <w:t>合肥汇博房地产开发有限公司</w:t>
                    </w:r>
                  </w:p>
                </w:tc>
                <w:tc>
                  <w:tcPr>
                    <w:tcW w:w="1045" w:type="pct"/>
                    <w:tcBorders>
                      <w:top w:val="single" w:sz="4" w:space="0" w:color="auto"/>
                      <w:left w:val="single" w:sz="4" w:space="0" w:color="auto"/>
                      <w:bottom w:val="single" w:sz="4" w:space="0" w:color="auto"/>
                      <w:right w:val="single" w:sz="4" w:space="0" w:color="auto"/>
                    </w:tcBorders>
                  </w:tcPr>
                  <w:p w14:paraId="1034DB4C" w14:textId="77777777" w:rsidR="00830E72" w:rsidRDefault="008344D8">
                    <w:pPr>
                      <w:rPr>
                        <w:szCs w:val="21"/>
                      </w:rPr>
                    </w:pPr>
                    <w:r>
                      <w:rPr>
                        <w:rFonts w:hint="eastAsia"/>
                        <w:szCs w:val="21"/>
                      </w:rPr>
                      <w:t>办公楼</w:t>
                    </w:r>
                  </w:p>
                </w:tc>
                <w:tc>
                  <w:tcPr>
                    <w:tcW w:w="1124" w:type="pct"/>
                    <w:tcBorders>
                      <w:top w:val="single" w:sz="4" w:space="0" w:color="auto"/>
                      <w:left w:val="single" w:sz="4" w:space="0" w:color="auto"/>
                      <w:bottom w:val="single" w:sz="4" w:space="0" w:color="auto"/>
                      <w:right w:val="single" w:sz="4" w:space="0" w:color="auto"/>
                    </w:tcBorders>
                  </w:tcPr>
                  <w:p w14:paraId="56CDB5BE" w14:textId="77777777" w:rsidR="00830E72" w:rsidRDefault="008344D8">
                    <w:pPr>
                      <w:jc w:val="right"/>
                      <w:rPr>
                        <w:szCs w:val="21"/>
                      </w:rPr>
                    </w:pPr>
                    <w:r>
                      <w:rPr>
                        <w:szCs w:val="21"/>
                      </w:rPr>
                      <w:t>951,028.27</w:t>
                    </w:r>
                  </w:p>
                </w:tc>
                <w:tc>
                  <w:tcPr>
                    <w:tcW w:w="1147" w:type="pct"/>
                    <w:tcBorders>
                      <w:top w:val="single" w:sz="4" w:space="0" w:color="auto"/>
                      <w:left w:val="single" w:sz="4" w:space="0" w:color="auto"/>
                      <w:bottom w:val="single" w:sz="4" w:space="0" w:color="auto"/>
                      <w:right w:val="single" w:sz="4" w:space="0" w:color="auto"/>
                    </w:tcBorders>
                  </w:tcPr>
                  <w:p w14:paraId="2CC230A3" w14:textId="77777777" w:rsidR="00830E72" w:rsidRDefault="008344D8">
                    <w:pPr>
                      <w:jc w:val="right"/>
                      <w:rPr>
                        <w:szCs w:val="21"/>
                      </w:rPr>
                    </w:pPr>
                    <w:r>
                      <w:rPr>
                        <w:szCs w:val="21"/>
                      </w:rPr>
                      <w:t>951,028.57</w:t>
                    </w:r>
                  </w:p>
                </w:tc>
              </w:tr>
            </w:sdtContent>
          </w:sdt>
          <w:sdt>
            <w:sdtPr>
              <w:rPr>
                <w:szCs w:val="21"/>
              </w:rPr>
              <w:alias w:val="公司承租情况明细"/>
              <w:tag w:val="_GBC_2cb90c924bac4d8690c03cd1fa4f690b"/>
              <w:id w:val="1844044923"/>
              <w:lock w:val="sdtLocked"/>
            </w:sdtPr>
            <w:sdtEndPr/>
            <w:sdtContent>
              <w:tr w:rsidR="00830E72" w14:paraId="47DBDB24" w14:textId="77777777">
                <w:tc>
                  <w:tcPr>
                    <w:tcW w:w="1684" w:type="pct"/>
                    <w:tcBorders>
                      <w:top w:val="single" w:sz="4" w:space="0" w:color="auto"/>
                      <w:left w:val="single" w:sz="4" w:space="0" w:color="auto"/>
                      <w:bottom w:val="single" w:sz="4" w:space="0" w:color="auto"/>
                      <w:right w:val="single" w:sz="4" w:space="0" w:color="auto"/>
                    </w:tcBorders>
                  </w:tcPr>
                  <w:p w14:paraId="4F622468" w14:textId="77777777" w:rsidR="00830E72" w:rsidRDefault="008344D8">
                    <w:pPr>
                      <w:rPr>
                        <w:szCs w:val="21"/>
                      </w:rPr>
                    </w:pPr>
                    <w:r>
                      <w:rPr>
                        <w:rFonts w:hint="eastAsia"/>
                        <w:szCs w:val="21"/>
                      </w:rPr>
                      <w:t>安徽天路公路服务有限公司</w:t>
                    </w:r>
                  </w:p>
                </w:tc>
                <w:tc>
                  <w:tcPr>
                    <w:tcW w:w="1045" w:type="pct"/>
                    <w:tcBorders>
                      <w:top w:val="single" w:sz="4" w:space="0" w:color="auto"/>
                      <w:left w:val="single" w:sz="4" w:space="0" w:color="auto"/>
                      <w:bottom w:val="single" w:sz="4" w:space="0" w:color="auto"/>
                      <w:right w:val="single" w:sz="4" w:space="0" w:color="auto"/>
                    </w:tcBorders>
                  </w:tcPr>
                  <w:p w14:paraId="031B94C8" w14:textId="77777777" w:rsidR="00830E72" w:rsidRDefault="008344D8">
                    <w:pPr>
                      <w:rPr>
                        <w:szCs w:val="21"/>
                      </w:rPr>
                    </w:pPr>
                    <w:r>
                      <w:rPr>
                        <w:rFonts w:hint="eastAsia"/>
                        <w:szCs w:val="21"/>
                      </w:rPr>
                      <w:t>办公楼</w:t>
                    </w:r>
                  </w:p>
                </w:tc>
                <w:tc>
                  <w:tcPr>
                    <w:tcW w:w="1124" w:type="pct"/>
                    <w:tcBorders>
                      <w:top w:val="single" w:sz="4" w:space="0" w:color="auto"/>
                      <w:left w:val="single" w:sz="4" w:space="0" w:color="auto"/>
                      <w:bottom w:val="single" w:sz="4" w:space="0" w:color="auto"/>
                      <w:right w:val="single" w:sz="4" w:space="0" w:color="auto"/>
                    </w:tcBorders>
                  </w:tcPr>
                  <w:p w14:paraId="54277ED1" w14:textId="77777777" w:rsidR="00830E72" w:rsidRDefault="008344D8">
                    <w:pPr>
                      <w:jc w:val="right"/>
                      <w:rPr>
                        <w:szCs w:val="21"/>
                      </w:rPr>
                    </w:pPr>
                    <w:r>
                      <w:rPr>
                        <w:szCs w:val="21"/>
                      </w:rPr>
                      <w:t>114,285.72</w:t>
                    </w:r>
                  </w:p>
                </w:tc>
                <w:tc>
                  <w:tcPr>
                    <w:tcW w:w="1147" w:type="pct"/>
                    <w:tcBorders>
                      <w:top w:val="single" w:sz="4" w:space="0" w:color="auto"/>
                      <w:left w:val="single" w:sz="4" w:space="0" w:color="auto"/>
                      <w:bottom w:val="single" w:sz="4" w:space="0" w:color="auto"/>
                      <w:right w:val="single" w:sz="4" w:space="0" w:color="auto"/>
                    </w:tcBorders>
                  </w:tcPr>
                  <w:p w14:paraId="0A3900AE" w14:textId="77777777" w:rsidR="00830E72" w:rsidRDefault="008344D8">
                    <w:pPr>
                      <w:jc w:val="right"/>
                      <w:rPr>
                        <w:szCs w:val="21"/>
                      </w:rPr>
                    </w:pPr>
                    <w:r>
                      <w:rPr>
                        <w:szCs w:val="21"/>
                      </w:rPr>
                      <w:t>114,285.71</w:t>
                    </w:r>
                  </w:p>
                </w:tc>
              </w:tr>
            </w:sdtContent>
          </w:sdt>
          <w:sdt>
            <w:sdtPr>
              <w:rPr>
                <w:szCs w:val="21"/>
              </w:rPr>
              <w:alias w:val="公司承租情况明细"/>
              <w:tag w:val="_GBC_2cb90c924bac4d8690c03cd1fa4f690b"/>
              <w:id w:val="-576895697"/>
              <w:lock w:val="sdtLocked"/>
            </w:sdtPr>
            <w:sdtEndPr/>
            <w:sdtContent>
              <w:tr w:rsidR="00830E72" w14:paraId="3A697F67" w14:textId="77777777">
                <w:tc>
                  <w:tcPr>
                    <w:tcW w:w="1684" w:type="pct"/>
                    <w:tcBorders>
                      <w:top w:val="single" w:sz="4" w:space="0" w:color="auto"/>
                      <w:left w:val="single" w:sz="4" w:space="0" w:color="auto"/>
                      <w:bottom w:val="single" w:sz="4" w:space="0" w:color="auto"/>
                      <w:right w:val="single" w:sz="4" w:space="0" w:color="auto"/>
                    </w:tcBorders>
                  </w:tcPr>
                  <w:p w14:paraId="5872DC4D" w14:textId="77777777" w:rsidR="00830E72" w:rsidRDefault="008344D8">
                    <w:pPr>
                      <w:rPr>
                        <w:szCs w:val="21"/>
                      </w:rPr>
                    </w:pPr>
                    <w:r>
                      <w:rPr>
                        <w:rFonts w:hint="eastAsia"/>
                        <w:szCs w:val="21"/>
                      </w:rPr>
                      <w:t>安徽欧力电器有限公司</w:t>
                    </w:r>
                  </w:p>
                </w:tc>
                <w:tc>
                  <w:tcPr>
                    <w:tcW w:w="1045" w:type="pct"/>
                    <w:tcBorders>
                      <w:top w:val="single" w:sz="4" w:space="0" w:color="auto"/>
                      <w:left w:val="single" w:sz="4" w:space="0" w:color="auto"/>
                      <w:bottom w:val="single" w:sz="4" w:space="0" w:color="auto"/>
                      <w:right w:val="single" w:sz="4" w:space="0" w:color="auto"/>
                    </w:tcBorders>
                  </w:tcPr>
                  <w:p w14:paraId="497A6936" w14:textId="77777777" w:rsidR="00830E72" w:rsidRDefault="008344D8">
                    <w:pPr>
                      <w:rPr>
                        <w:szCs w:val="21"/>
                      </w:rPr>
                    </w:pPr>
                    <w:r>
                      <w:rPr>
                        <w:rFonts w:hint="eastAsia"/>
                        <w:szCs w:val="21"/>
                      </w:rPr>
                      <w:t>办公楼</w:t>
                    </w:r>
                  </w:p>
                </w:tc>
                <w:tc>
                  <w:tcPr>
                    <w:tcW w:w="1124" w:type="pct"/>
                    <w:tcBorders>
                      <w:top w:val="single" w:sz="4" w:space="0" w:color="auto"/>
                      <w:left w:val="single" w:sz="4" w:space="0" w:color="auto"/>
                      <w:bottom w:val="single" w:sz="4" w:space="0" w:color="auto"/>
                      <w:right w:val="single" w:sz="4" w:space="0" w:color="auto"/>
                    </w:tcBorders>
                  </w:tcPr>
                  <w:p w14:paraId="78232464" w14:textId="77777777" w:rsidR="00830E72" w:rsidRDefault="008344D8">
                    <w:pPr>
                      <w:jc w:val="right"/>
                      <w:rPr>
                        <w:szCs w:val="21"/>
                      </w:rPr>
                    </w:pPr>
                    <w:r>
                      <w:rPr>
                        <w:szCs w:val="21"/>
                      </w:rPr>
                      <w:t>20,880.00</w:t>
                    </w:r>
                  </w:p>
                </w:tc>
                <w:tc>
                  <w:tcPr>
                    <w:tcW w:w="1147" w:type="pct"/>
                    <w:tcBorders>
                      <w:top w:val="single" w:sz="4" w:space="0" w:color="auto"/>
                      <w:left w:val="single" w:sz="4" w:space="0" w:color="auto"/>
                      <w:bottom w:val="single" w:sz="4" w:space="0" w:color="auto"/>
                      <w:right w:val="single" w:sz="4" w:space="0" w:color="auto"/>
                    </w:tcBorders>
                  </w:tcPr>
                  <w:p w14:paraId="7738001E" w14:textId="77777777" w:rsidR="00830E72" w:rsidRDefault="008344D8">
                    <w:pPr>
                      <w:jc w:val="right"/>
                      <w:rPr>
                        <w:szCs w:val="21"/>
                      </w:rPr>
                    </w:pPr>
                    <w:r>
                      <w:rPr>
                        <w:szCs w:val="21"/>
                      </w:rPr>
                      <w:t>20,880.00</w:t>
                    </w:r>
                  </w:p>
                </w:tc>
              </w:tr>
            </w:sdtContent>
          </w:sdt>
        </w:tbl>
        <w:p w14:paraId="7C4959AC" w14:textId="77777777" w:rsidR="00830E72" w:rsidRDefault="00830E72"/>
        <w:p w14:paraId="250211B9" w14:textId="77777777" w:rsidR="00830E72" w:rsidRDefault="008344D8">
          <w:pPr>
            <w:rPr>
              <w:szCs w:val="21"/>
            </w:rPr>
          </w:pPr>
          <w:r>
            <w:rPr>
              <w:rFonts w:hint="eastAsia"/>
              <w:szCs w:val="21"/>
            </w:rPr>
            <w:t>关联租赁情况说明</w:t>
          </w:r>
        </w:p>
        <w:sdt>
          <w:sdtPr>
            <w:rPr>
              <w:szCs w:val="21"/>
            </w:rPr>
            <w:alias w:val="是否适用：关联租赁情况说明[双击切换]"/>
            <w:tag w:val="_GBC_a8d25c1a27d24bbeb9dd0063be85a310"/>
            <w:id w:val="432864149"/>
            <w:lock w:val="sdtContentLocked"/>
            <w:placeholder>
              <w:docPart w:val="GBC22222222222222222222222222222"/>
            </w:placeholder>
          </w:sdtPr>
          <w:sdtEndPr/>
          <w:sdtContent>
            <w:p w14:paraId="5B6EB1F5"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关联租赁说明"/>
            <w:tag w:val="_GBC_84584ca23f8f450e9e44b9587b57665d"/>
            <w:id w:val="108331484"/>
            <w:lock w:val="sdtLocked"/>
            <w:placeholder>
              <w:docPart w:val="GBC22222222222222222222222222222"/>
            </w:placeholder>
          </w:sdtPr>
          <w:sdtEndPr/>
          <w:sdtContent>
            <w:p w14:paraId="6CD06ED9" w14:textId="6E72BDEC" w:rsidR="00830E72" w:rsidRPr="0045082B" w:rsidRDefault="008344D8">
              <w:pPr>
                <w:rPr>
                  <w:shd w:val="clear" w:color="auto" w:fill="CCE8CF" w:themeFill="background1"/>
                </w:rPr>
              </w:pPr>
              <w:r w:rsidRPr="0045082B">
                <w:rPr>
                  <w:rFonts w:ascii="微软雅黑" w:eastAsia="微软雅黑" w:hAnsi="微软雅黑" w:hint="eastAsia"/>
                  <w:color w:val="171A1D"/>
                  <w:sz w:val="19"/>
                  <w:szCs w:val="19"/>
                </w:rPr>
                <w:t>①2015 年 7 月，公司与合肥汇博房地产开发有限公司签订房屋租赁合同，合肥汇博房地产开发有限公司将位于祥源广场 A 座 19-20 层共 3026 平方米办公楼租赁给本公司，租赁期自 2015年 7 月 1 日至 2019 年 6 月 30 日，年租金 1,815,600.00 元（含税）；该合同到期后续签至 202</w:t>
              </w:r>
              <w:r w:rsidR="0045082B" w:rsidRPr="0045082B">
                <w:rPr>
                  <w:rFonts w:ascii="微软雅黑" w:eastAsia="微软雅黑" w:hAnsi="微软雅黑"/>
                  <w:color w:val="171A1D"/>
                  <w:sz w:val="19"/>
                  <w:szCs w:val="19"/>
                </w:rPr>
                <w:t>2</w:t>
              </w:r>
              <w:r w:rsidRPr="0045082B">
                <w:rPr>
                  <w:rFonts w:ascii="微软雅黑" w:eastAsia="微软雅黑" w:hAnsi="微软雅黑" w:hint="eastAsia"/>
                  <w:color w:val="171A1D"/>
                  <w:sz w:val="19"/>
                  <w:szCs w:val="19"/>
                </w:rPr>
                <w:t>年 6 月 30 日，年租金 1,997,160.00 元（含税）。公司2020年度确认租赁费1,902,057.14元，本期确认租赁费951,028.57元。</w:t>
              </w:r>
              <w:r w:rsidRPr="0045082B">
                <w:rPr>
                  <w:rFonts w:ascii="微软雅黑" w:eastAsia="微软雅黑" w:hAnsi="微软雅黑" w:hint="eastAsia"/>
                  <w:color w:val="171A1D"/>
                  <w:sz w:val="19"/>
                  <w:szCs w:val="19"/>
                </w:rPr>
                <w:br/>
                <w:t>②2014 年 10 月，本公司子公司路通检测与安徽天路公路服务有限公司签订房屋租赁合同，安徽天路公路服务有限公司将其位于合肥市庐阳区界首路 12 号四层办公楼租赁给路通检测，租赁期自 2014 年 10 月 1 日至 2024 年 9 月 30 日，2020年度确认租赁费228,571.42元，本期确认租赁费114,285.72元。</w:t>
              </w:r>
              <w:r w:rsidRPr="0045082B">
                <w:rPr>
                  <w:rFonts w:ascii="微软雅黑" w:eastAsia="微软雅黑" w:hAnsi="微软雅黑" w:hint="eastAsia"/>
                  <w:color w:val="171A1D"/>
                  <w:sz w:val="19"/>
                  <w:szCs w:val="19"/>
                </w:rPr>
                <w:br/>
                <w:t>③2020 年 1 月，公司子公司兴源路面与安徽欧力电器有限公司签订房屋租赁合同，安徽欧力电器有限公司将其位于合肥新站工业园欧力产业园办公楼租赁给兴源路面，租赁期自 2020 年1 月 1 日至 2020 年 12 月 31 日，2020年度确认租赁费41,760.00元，该合同到期后续签至2021年12月31日，本期确认租赁费20,880.00元</w:t>
              </w:r>
            </w:p>
          </w:sdtContent>
        </w:sdt>
      </w:sdtContent>
    </w:sdt>
    <w:sdt>
      <w:sdtPr>
        <w:rPr>
          <w:rFonts w:ascii="宋体" w:hAnsi="宋体" w:cs="Arial" w:hint="eastAsia"/>
          <w:b w:val="0"/>
          <w:bCs w:val="0"/>
          <w:kern w:val="0"/>
          <w:szCs w:val="21"/>
        </w:rPr>
        <w:alias w:val="模块:关联担保情况"/>
        <w:tag w:val="_GBC_a87b2e666bc14a67817d2d3189396350"/>
        <w:id w:val="1034236316"/>
        <w:lock w:val="sdtLocked"/>
        <w:placeholder>
          <w:docPart w:val="GBC22222222222222222222222222222"/>
        </w:placeholder>
      </w:sdtPr>
      <w:sdtEndPr>
        <w:rPr>
          <w:rFonts w:cs="Cambria" w:hint="default"/>
          <w:sz w:val="20"/>
          <w:szCs w:val="20"/>
        </w:rPr>
      </w:sdtEndPr>
      <w:sdtContent>
        <w:p w14:paraId="133975B8" w14:textId="77777777" w:rsidR="00830E72" w:rsidRDefault="008344D8">
          <w:pPr>
            <w:pStyle w:val="Style100"/>
            <w:numPr>
              <w:ilvl w:val="0"/>
              <w:numId w:val="84"/>
            </w:numPr>
            <w:tabs>
              <w:tab w:val="left" w:pos="616"/>
            </w:tabs>
            <w:rPr>
              <w:rFonts w:ascii="宋体" w:hAnsi="宋体" w:cs="Arial"/>
              <w:szCs w:val="21"/>
            </w:rPr>
          </w:pPr>
          <w:r>
            <w:rPr>
              <w:rFonts w:ascii="宋体" w:hAnsi="宋体" w:cs="Arial" w:hint="eastAsia"/>
              <w:szCs w:val="21"/>
            </w:rPr>
            <w:t>关联</w:t>
          </w:r>
          <w:r>
            <w:rPr>
              <w:rFonts w:ascii="宋体" w:hAnsi="宋体" w:hint="eastAsia"/>
            </w:rPr>
            <w:t>担保</w:t>
          </w:r>
          <w:r>
            <w:rPr>
              <w:rFonts w:ascii="宋体" w:hAnsi="宋体" w:cs="Arial" w:hint="eastAsia"/>
              <w:szCs w:val="21"/>
            </w:rPr>
            <w:t>情况</w:t>
          </w:r>
        </w:p>
        <w:p w14:paraId="1E65C320" w14:textId="77777777" w:rsidR="00830E72" w:rsidRDefault="008344D8">
          <w:r>
            <w:rPr>
              <w:rFonts w:hint="eastAsia"/>
            </w:rPr>
            <w:t>本公司作为担保方</w:t>
          </w:r>
        </w:p>
        <w:sdt>
          <w:sdtPr>
            <w:alias w:val="是否适用：本公司作为担保方的担保情况表[双击切换]"/>
            <w:tag w:val="_GBC_f0150417f8ec4c5281b86683570391cb"/>
            <w:id w:val="1674836617"/>
            <w:lock w:val="sdtLocked"/>
            <w:placeholder>
              <w:docPart w:val="GBC22222222222222222222222222222"/>
            </w:placeholder>
          </w:sdtPr>
          <w:sdtEndPr/>
          <w:sdtContent>
            <w:p w14:paraId="40FB6DB4"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8AC6C62" w14:textId="77777777" w:rsidR="00830E72" w:rsidRDefault="008344D8">
          <w:pPr>
            <w:rPr>
              <w:rFonts w:cs="Cambria"/>
            </w:rPr>
          </w:pPr>
          <w:r>
            <w:rPr>
              <w:rFonts w:cs="Cambria" w:hint="eastAsia"/>
            </w:rPr>
            <w:t>本公司作为被担保方</w:t>
          </w:r>
        </w:p>
        <w:sdt>
          <w:sdtPr>
            <w:rPr>
              <w:rFonts w:cs="Cambria"/>
            </w:rPr>
            <w:alias w:val="是否适用：本公司作为被担保方的担保情况表[双击切换]"/>
            <w:tag w:val="_GBC_3686094d29c941dd91bd168e3ef88833"/>
            <w:id w:val="957913732"/>
            <w:lock w:val="sdtContentLocked"/>
            <w:placeholder>
              <w:docPart w:val="GBC22222222222222222222222222222"/>
            </w:placeholder>
          </w:sdtPr>
          <w:sdtEndPr/>
          <w:sdtContent>
            <w:p w14:paraId="59C6A4D8" w14:textId="77777777" w:rsidR="00830E72" w:rsidRDefault="008344D8">
              <w:pPr>
                <w:rPr>
                  <w:rFonts w:cs="Cambria"/>
                </w:rPr>
              </w:pPr>
              <w:r>
                <w:rPr>
                  <w:rFonts w:cs="Cambria"/>
                </w:rPr>
                <w:fldChar w:fldCharType="begin"/>
              </w:r>
              <w:r>
                <w:rPr>
                  <w:rFonts w:cs="Cambria"/>
                </w:rPr>
                <w:instrText xml:space="preserve"> 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14:paraId="34AEE9FB" w14:textId="7A413B33" w:rsidR="00830E72" w:rsidRDefault="008344D8">
          <w:pPr>
            <w:jc w:val="right"/>
            <w:rPr>
              <w:rFonts w:cs="Cambria"/>
            </w:rPr>
          </w:pPr>
          <w:r>
            <w:rPr>
              <w:rFonts w:cs="Cambria" w:hint="eastAsia"/>
            </w:rPr>
            <w:t>单位：</w:t>
          </w:r>
          <w:sdt>
            <w:sdtPr>
              <w:rPr>
                <w:rFonts w:cs="Cambria" w:hint="eastAsia"/>
              </w:rPr>
              <w:alias w:val="单位：财务附注：本公司作为被担保方"/>
              <w:tag w:val="_GBC_af3d3d55d9c648f8b2e94dcdd804c683"/>
              <w:id w:val="4121305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638C">
                <w:rPr>
                  <w:rFonts w:cs="Cambria" w:hint="eastAsia"/>
                </w:rPr>
                <w:t>万元</w:t>
              </w:r>
            </w:sdtContent>
          </w:sdt>
          <w:r>
            <w:rPr>
              <w:rFonts w:cs="Cambria" w:hint="eastAsia"/>
            </w:rPr>
            <w:t xml:space="preserve">  币种：</w:t>
          </w:r>
          <w:sdt>
            <w:sdtPr>
              <w:rPr>
                <w:rFonts w:cs="Cambria" w:hint="eastAsia"/>
              </w:rPr>
              <w:alias w:val="币种：财务附注：本公司作为被担保方"/>
              <w:tag w:val="_GBC_684efbccec674b3abab20e6aa5c20b55"/>
              <w:id w:val="11439400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873"/>
            <w:gridCol w:w="1135"/>
            <w:gridCol w:w="1700"/>
            <w:gridCol w:w="1985"/>
            <w:gridCol w:w="2200"/>
          </w:tblGrid>
          <w:tr w:rsidR="00830E72" w14:paraId="54096920" w14:textId="77777777" w:rsidTr="0031638C">
            <w:sdt>
              <w:sdtPr>
                <w:tag w:val="_PLD_ac54f32073154fadb7bb88f234c3975e"/>
                <w:id w:val="73094953"/>
                <w:lock w:val="sdtLocked"/>
              </w:sdtPr>
              <w:sdtEndPr/>
              <w:sdtContent>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35531129" w14:textId="77777777" w:rsidR="00830E72" w:rsidRDefault="008344D8">
                    <w:pPr>
                      <w:jc w:val="center"/>
                      <w:rPr>
                        <w:rFonts w:cs="Cambria"/>
                      </w:rPr>
                    </w:pPr>
                    <w:r>
                      <w:rPr>
                        <w:rFonts w:cs="Cambria" w:hint="eastAsia"/>
                      </w:rPr>
                      <w:t>担保方</w:t>
                    </w:r>
                  </w:p>
                </w:tc>
              </w:sdtContent>
            </w:sdt>
            <w:sdt>
              <w:sdtPr>
                <w:tag w:val="_PLD_7f8c0504748f429fb56091b7c979ae8f"/>
                <w:id w:val="17521752"/>
                <w:lock w:val="sdtLocked"/>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14:paraId="4EC6169A" w14:textId="77777777" w:rsidR="00830E72" w:rsidRDefault="008344D8">
                    <w:pPr>
                      <w:jc w:val="center"/>
                      <w:rPr>
                        <w:rFonts w:cs="Cambria"/>
                      </w:rPr>
                    </w:pPr>
                    <w:r>
                      <w:rPr>
                        <w:rFonts w:cs="Cambria" w:hint="eastAsia"/>
                      </w:rPr>
                      <w:t>担保金额</w:t>
                    </w:r>
                  </w:p>
                </w:tc>
              </w:sdtContent>
            </w:sdt>
            <w:sdt>
              <w:sdtPr>
                <w:tag w:val="_PLD_420586bc450946f7ade316af068ebd3c"/>
                <w:id w:val="-1920403943"/>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205E0171" w14:textId="77777777" w:rsidR="00830E72" w:rsidRDefault="008344D8">
                    <w:pPr>
                      <w:jc w:val="center"/>
                      <w:rPr>
                        <w:rFonts w:cs="Cambria"/>
                      </w:rPr>
                    </w:pPr>
                    <w:r>
                      <w:rPr>
                        <w:rFonts w:cs="Cambria" w:hint="eastAsia"/>
                      </w:rPr>
                      <w:t>担保起始日</w:t>
                    </w:r>
                  </w:p>
                </w:tc>
              </w:sdtContent>
            </w:sdt>
            <w:sdt>
              <w:sdtPr>
                <w:tag w:val="_PLD_06d4f9d2aefd4b9abe4a16528e7585c3"/>
                <w:id w:val="180716646"/>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14:paraId="516A0A51" w14:textId="77777777" w:rsidR="00830E72" w:rsidRDefault="008344D8">
                    <w:pPr>
                      <w:jc w:val="center"/>
                      <w:rPr>
                        <w:rFonts w:cs="Cambria"/>
                      </w:rPr>
                    </w:pPr>
                    <w:r>
                      <w:rPr>
                        <w:rFonts w:cs="Cambria" w:hint="eastAsia"/>
                      </w:rPr>
                      <w:t>担保到期日</w:t>
                    </w:r>
                  </w:p>
                </w:tc>
              </w:sdtContent>
            </w:sdt>
            <w:sdt>
              <w:sdtPr>
                <w:tag w:val="_PLD_ed59b0fcb59a47dc868f0dc283143858"/>
                <w:id w:val="608786317"/>
                <w:lock w:val="sdtLocked"/>
              </w:sdtPr>
              <w:sdtEndPr/>
              <w:sdtContent>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6C1A9D17" w14:textId="77777777" w:rsidR="00830E72" w:rsidRDefault="008344D8">
                    <w:pPr>
                      <w:jc w:val="center"/>
                      <w:rPr>
                        <w:rFonts w:cs="Cambria"/>
                      </w:rPr>
                    </w:pPr>
                    <w:r>
                      <w:rPr>
                        <w:rFonts w:cs="Cambria" w:hint="eastAsia"/>
                      </w:rPr>
                      <w:t>担保是否已经履行完毕</w:t>
                    </w:r>
                  </w:p>
                </w:tc>
              </w:sdtContent>
            </w:sdt>
          </w:tr>
          <w:sdt>
            <w:sdtPr>
              <w:rPr>
                <w:rFonts w:cs="Cambria"/>
                <w:kern w:val="2"/>
                <w:szCs w:val="21"/>
              </w:rPr>
              <w:alias w:val="本公司作为被担保方的关联担保情况明细"/>
              <w:tag w:val="_GBC_849e7f7a42044b3eaf135f12bb01887f"/>
              <w:id w:val="1335024035"/>
              <w:lock w:val="sdtLocked"/>
            </w:sdtPr>
            <w:sdtEndPr/>
            <w:sdtContent>
              <w:tr w:rsidR="00830E72" w14:paraId="3CE4E61F" w14:textId="77777777" w:rsidTr="0031638C">
                <w:tc>
                  <w:tcPr>
                    <w:tcW w:w="1053" w:type="pct"/>
                    <w:tcBorders>
                      <w:top w:val="single" w:sz="4" w:space="0" w:color="auto"/>
                      <w:left w:val="single" w:sz="4" w:space="0" w:color="auto"/>
                      <w:bottom w:val="single" w:sz="4" w:space="0" w:color="auto"/>
                      <w:right w:val="single" w:sz="4" w:space="0" w:color="auto"/>
                    </w:tcBorders>
                    <w:shd w:val="clear" w:color="auto" w:fill="auto"/>
                  </w:tcPr>
                  <w:p w14:paraId="0812CE84" w14:textId="77777777" w:rsidR="00830E72" w:rsidRDefault="008344D8">
                    <w:pPr>
                      <w:rPr>
                        <w:rFonts w:cs="Cambria"/>
                        <w:kern w:val="2"/>
                        <w:szCs w:val="21"/>
                      </w:rPr>
                    </w:pPr>
                    <w:proofErr w:type="gramStart"/>
                    <w:r>
                      <w:rPr>
                        <w:rFonts w:cs="Cambria" w:hint="eastAsia"/>
                        <w:kern w:val="2"/>
                        <w:szCs w:val="21"/>
                      </w:rPr>
                      <w:t>祥</w:t>
                    </w:r>
                    <w:proofErr w:type="gramEnd"/>
                    <w:r>
                      <w:rPr>
                        <w:rFonts w:cs="Cambria" w:hint="eastAsia"/>
                        <w:kern w:val="2"/>
                        <w:szCs w:val="21"/>
                      </w:rPr>
                      <w:t>源控股</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548941EB" w14:textId="77777777" w:rsidR="00830E72" w:rsidRDefault="008344D8">
                    <w:pPr>
                      <w:jc w:val="right"/>
                      <w:rPr>
                        <w:rFonts w:cs="Cambria"/>
                      </w:rPr>
                    </w:pPr>
                    <w:r>
                      <w:rPr>
                        <w:rFonts w:cs="Cambria"/>
                      </w:rPr>
                      <w:t>12,000.00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30B2B568" w14:textId="77777777" w:rsidR="00830E72" w:rsidRDefault="008344D8">
                    <w:pPr>
                      <w:jc w:val="center"/>
                      <w:rPr>
                        <w:rFonts w:cs="Cambria"/>
                      </w:rPr>
                    </w:pPr>
                    <w:r>
                      <w:rPr>
                        <w:rFonts w:cs="Cambria"/>
                      </w:rPr>
                      <w:t>2020/8/20</w:t>
                    </w:r>
                  </w:p>
                </w:tc>
                <w:tc>
                  <w:tcPr>
                    <w:tcW w:w="1116" w:type="pct"/>
                    <w:tcBorders>
                      <w:top w:val="single" w:sz="4" w:space="0" w:color="auto"/>
                      <w:left w:val="single" w:sz="4" w:space="0" w:color="auto"/>
                      <w:bottom w:val="single" w:sz="4" w:space="0" w:color="auto"/>
                      <w:right w:val="single" w:sz="4" w:space="0" w:color="auto"/>
                    </w:tcBorders>
                    <w:shd w:val="clear" w:color="auto" w:fill="auto"/>
                  </w:tcPr>
                  <w:p w14:paraId="52E612DF" w14:textId="77777777" w:rsidR="00830E72" w:rsidRDefault="008344D8">
                    <w:pPr>
                      <w:jc w:val="center"/>
                      <w:rPr>
                        <w:rFonts w:cs="Cambria"/>
                      </w:rPr>
                    </w:pPr>
                    <w:r>
                      <w:rPr>
                        <w:rFonts w:cs="Cambria"/>
                      </w:rPr>
                      <w:t>2021/6/22</w:t>
                    </w:r>
                  </w:p>
                </w:tc>
                <w:sdt>
                  <w:sdtPr>
                    <w:rPr>
                      <w:rFonts w:cs="Cambria"/>
                      <w:kern w:val="2"/>
                      <w:szCs w:val="21"/>
                    </w:rPr>
                    <w:alias w:val="本公司作为被担保方的关联担保情况明细-担保是否已经履行完毕"/>
                    <w:tag w:val="_GBC_d7c54b58f693435fbb78b065d1e813da"/>
                    <w:id w:val="1674140516"/>
                    <w:lock w:val="sdtLocked"/>
                    <w:comboBox>
                      <w:listItem w:displayText="是" w:value="true"/>
                      <w:listItem w:displayText="否" w:value="false"/>
                    </w:comboBox>
                  </w:sdtPr>
                  <w:sdtEndPr/>
                  <w:sdtContent>
                    <w:tc>
                      <w:tcPr>
                        <w:tcW w:w="1237" w:type="pct"/>
                        <w:tcBorders>
                          <w:top w:val="single" w:sz="4" w:space="0" w:color="auto"/>
                          <w:left w:val="single" w:sz="4" w:space="0" w:color="auto"/>
                          <w:bottom w:val="single" w:sz="4" w:space="0" w:color="auto"/>
                          <w:right w:val="single" w:sz="4" w:space="0" w:color="auto"/>
                        </w:tcBorders>
                        <w:shd w:val="clear" w:color="auto" w:fill="auto"/>
                      </w:tcPr>
                      <w:p w14:paraId="5F6EE8C6" w14:textId="77777777" w:rsidR="00830E72" w:rsidRDefault="008344D8">
                        <w:pPr>
                          <w:jc w:val="center"/>
                          <w:rPr>
                            <w:rFonts w:cs="Cambria"/>
                            <w:kern w:val="2"/>
                            <w:szCs w:val="21"/>
                          </w:rPr>
                        </w:pPr>
                        <w:proofErr w:type="gramStart"/>
                        <w:r>
                          <w:rPr>
                            <w:rFonts w:cs="Cambria"/>
                            <w:kern w:val="2"/>
                            <w:szCs w:val="21"/>
                          </w:rPr>
                          <w:t>否</w:t>
                        </w:r>
                        <w:proofErr w:type="gramEnd"/>
                      </w:p>
                    </w:tc>
                  </w:sdtContent>
                </w:sdt>
              </w:tr>
            </w:sdtContent>
          </w:sdt>
          <w:sdt>
            <w:sdtPr>
              <w:rPr>
                <w:rFonts w:cs="Cambria"/>
                <w:kern w:val="2"/>
                <w:szCs w:val="21"/>
              </w:rPr>
              <w:alias w:val="本公司作为被担保方的关联担保情况明细"/>
              <w:tag w:val="_GBC_849e7f7a42044b3eaf135f12bb01887f"/>
              <w:id w:val="1217940157"/>
              <w:lock w:val="sdtLocked"/>
            </w:sdtPr>
            <w:sdtEndPr/>
            <w:sdtContent>
              <w:tr w:rsidR="00830E72" w14:paraId="18528C93" w14:textId="77777777" w:rsidTr="0031638C">
                <w:tc>
                  <w:tcPr>
                    <w:tcW w:w="1053" w:type="pct"/>
                    <w:tcBorders>
                      <w:top w:val="single" w:sz="4" w:space="0" w:color="auto"/>
                      <w:left w:val="single" w:sz="4" w:space="0" w:color="auto"/>
                      <w:bottom w:val="single" w:sz="4" w:space="0" w:color="auto"/>
                      <w:right w:val="single" w:sz="4" w:space="0" w:color="auto"/>
                    </w:tcBorders>
                    <w:shd w:val="clear" w:color="auto" w:fill="auto"/>
                  </w:tcPr>
                  <w:p w14:paraId="345D0635" w14:textId="77777777" w:rsidR="00830E72" w:rsidRDefault="008344D8">
                    <w:pPr>
                      <w:rPr>
                        <w:rFonts w:cs="Cambria"/>
                        <w:kern w:val="2"/>
                        <w:szCs w:val="21"/>
                      </w:rPr>
                    </w:pPr>
                    <w:proofErr w:type="gramStart"/>
                    <w:r>
                      <w:rPr>
                        <w:rFonts w:cs="Cambria" w:hint="eastAsia"/>
                        <w:kern w:val="2"/>
                        <w:szCs w:val="21"/>
                      </w:rPr>
                      <w:t>祥</w:t>
                    </w:r>
                    <w:proofErr w:type="gramEnd"/>
                    <w:r>
                      <w:rPr>
                        <w:rFonts w:cs="Cambria" w:hint="eastAsia"/>
                        <w:kern w:val="2"/>
                        <w:szCs w:val="21"/>
                      </w:rPr>
                      <w:t>源控股</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6FC3FC03" w14:textId="77777777" w:rsidR="00830E72" w:rsidRDefault="008344D8">
                    <w:pPr>
                      <w:jc w:val="right"/>
                      <w:rPr>
                        <w:rFonts w:cs="Cambria"/>
                      </w:rPr>
                    </w:pPr>
                    <w:r>
                      <w:rPr>
                        <w:rFonts w:cs="Cambria"/>
                      </w:rPr>
                      <w:t>35,000.00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4CA7FA59" w14:textId="77777777" w:rsidR="00830E72" w:rsidRDefault="008344D8">
                    <w:pPr>
                      <w:jc w:val="center"/>
                      <w:rPr>
                        <w:rFonts w:cs="Cambria"/>
                      </w:rPr>
                    </w:pPr>
                    <w:r>
                      <w:rPr>
                        <w:rFonts w:cs="Cambria"/>
                      </w:rPr>
                      <w:t>2020/3/24</w:t>
                    </w:r>
                  </w:p>
                </w:tc>
                <w:tc>
                  <w:tcPr>
                    <w:tcW w:w="1116" w:type="pct"/>
                    <w:tcBorders>
                      <w:top w:val="single" w:sz="4" w:space="0" w:color="auto"/>
                      <w:left w:val="single" w:sz="4" w:space="0" w:color="auto"/>
                      <w:bottom w:val="single" w:sz="4" w:space="0" w:color="auto"/>
                      <w:right w:val="single" w:sz="4" w:space="0" w:color="auto"/>
                    </w:tcBorders>
                    <w:shd w:val="clear" w:color="auto" w:fill="auto"/>
                  </w:tcPr>
                  <w:p w14:paraId="633BFA87" w14:textId="77777777" w:rsidR="00830E72" w:rsidRDefault="008344D8">
                    <w:pPr>
                      <w:jc w:val="center"/>
                      <w:rPr>
                        <w:rFonts w:cs="Cambria"/>
                      </w:rPr>
                    </w:pPr>
                    <w:r>
                      <w:rPr>
                        <w:rFonts w:cs="Cambria"/>
                      </w:rPr>
                      <w:t>2021/3/24</w:t>
                    </w:r>
                  </w:p>
                </w:tc>
                <w:sdt>
                  <w:sdtPr>
                    <w:rPr>
                      <w:rFonts w:cs="Cambria"/>
                      <w:kern w:val="2"/>
                      <w:szCs w:val="21"/>
                    </w:rPr>
                    <w:alias w:val="本公司作为被担保方的关联担保情况明细-担保是否已经履行完毕"/>
                    <w:tag w:val="_GBC_d7c54b58f693435fbb78b065d1e813da"/>
                    <w:id w:val="202294903"/>
                    <w:lock w:val="sdtLocked"/>
                    <w:comboBox>
                      <w:listItem w:displayText="是" w:value="true"/>
                      <w:listItem w:displayText="否" w:value="false"/>
                    </w:comboBox>
                  </w:sdtPr>
                  <w:sdtEndPr/>
                  <w:sdtContent>
                    <w:tc>
                      <w:tcPr>
                        <w:tcW w:w="1237" w:type="pct"/>
                        <w:tcBorders>
                          <w:top w:val="single" w:sz="4" w:space="0" w:color="auto"/>
                          <w:left w:val="single" w:sz="4" w:space="0" w:color="auto"/>
                          <w:bottom w:val="single" w:sz="4" w:space="0" w:color="auto"/>
                          <w:right w:val="single" w:sz="4" w:space="0" w:color="auto"/>
                        </w:tcBorders>
                        <w:shd w:val="clear" w:color="auto" w:fill="auto"/>
                      </w:tcPr>
                      <w:p w14:paraId="0F06F0DA" w14:textId="77777777" w:rsidR="00830E72" w:rsidRDefault="008344D8">
                        <w:pPr>
                          <w:jc w:val="center"/>
                          <w:rPr>
                            <w:rFonts w:cs="Cambria"/>
                            <w:kern w:val="2"/>
                            <w:szCs w:val="21"/>
                          </w:rPr>
                        </w:pPr>
                        <w:proofErr w:type="gramStart"/>
                        <w:r>
                          <w:rPr>
                            <w:rFonts w:cs="Cambria"/>
                            <w:kern w:val="2"/>
                            <w:szCs w:val="21"/>
                          </w:rPr>
                          <w:t>否</w:t>
                        </w:r>
                        <w:proofErr w:type="gramEnd"/>
                      </w:p>
                    </w:tc>
                  </w:sdtContent>
                </w:sdt>
              </w:tr>
            </w:sdtContent>
          </w:sdt>
          <w:sdt>
            <w:sdtPr>
              <w:rPr>
                <w:rFonts w:cs="Cambria"/>
                <w:kern w:val="2"/>
                <w:szCs w:val="21"/>
              </w:rPr>
              <w:alias w:val="本公司作为被担保方的关联担保情况明细"/>
              <w:tag w:val="_GBC_849e7f7a42044b3eaf135f12bb01887f"/>
              <w:id w:val="-1404450102"/>
              <w:lock w:val="sdtLocked"/>
            </w:sdtPr>
            <w:sdtEndPr/>
            <w:sdtContent>
              <w:tr w:rsidR="00830E72" w14:paraId="58E5B2B7" w14:textId="77777777" w:rsidTr="0031638C">
                <w:tc>
                  <w:tcPr>
                    <w:tcW w:w="1053" w:type="pct"/>
                    <w:tcBorders>
                      <w:top w:val="single" w:sz="4" w:space="0" w:color="auto"/>
                      <w:left w:val="single" w:sz="4" w:space="0" w:color="auto"/>
                      <w:bottom w:val="single" w:sz="4" w:space="0" w:color="auto"/>
                      <w:right w:val="single" w:sz="4" w:space="0" w:color="auto"/>
                    </w:tcBorders>
                    <w:shd w:val="clear" w:color="auto" w:fill="auto"/>
                  </w:tcPr>
                  <w:p w14:paraId="31E7B1C7" w14:textId="77777777" w:rsidR="00830E72" w:rsidRDefault="008344D8">
                    <w:pPr>
                      <w:rPr>
                        <w:rFonts w:cs="Cambria"/>
                        <w:kern w:val="2"/>
                        <w:szCs w:val="21"/>
                      </w:rPr>
                    </w:pPr>
                    <w:proofErr w:type="gramStart"/>
                    <w:r>
                      <w:rPr>
                        <w:rFonts w:cs="Cambria" w:hint="eastAsia"/>
                        <w:kern w:val="2"/>
                        <w:szCs w:val="21"/>
                      </w:rPr>
                      <w:t>祥</w:t>
                    </w:r>
                    <w:proofErr w:type="gramEnd"/>
                    <w:r>
                      <w:rPr>
                        <w:rFonts w:cs="Cambria" w:hint="eastAsia"/>
                        <w:kern w:val="2"/>
                        <w:szCs w:val="21"/>
                      </w:rPr>
                      <w:t>源控股</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209BF8FC" w14:textId="77777777" w:rsidR="00830E72" w:rsidRDefault="008344D8">
                    <w:pPr>
                      <w:jc w:val="right"/>
                      <w:rPr>
                        <w:rFonts w:cs="Cambria"/>
                      </w:rPr>
                    </w:pPr>
                    <w:r>
                      <w:rPr>
                        <w:rFonts w:cs="Cambria"/>
                      </w:rPr>
                      <w:t>20,000.00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1AAB9F49" w14:textId="77777777" w:rsidR="00830E72" w:rsidRDefault="008344D8">
                    <w:pPr>
                      <w:jc w:val="center"/>
                      <w:rPr>
                        <w:rFonts w:cs="Cambria"/>
                      </w:rPr>
                    </w:pPr>
                    <w:r>
                      <w:rPr>
                        <w:rFonts w:cs="Cambria"/>
                      </w:rPr>
                      <w:t>2020/9/18</w:t>
                    </w:r>
                  </w:p>
                </w:tc>
                <w:tc>
                  <w:tcPr>
                    <w:tcW w:w="1116" w:type="pct"/>
                    <w:tcBorders>
                      <w:top w:val="single" w:sz="4" w:space="0" w:color="auto"/>
                      <w:left w:val="single" w:sz="4" w:space="0" w:color="auto"/>
                      <w:bottom w:val="single" w:sz="4" w:space="0" w:color="auto"/>
                      <w:right w:val="single" w:sz="4" w:space="0" w:color="auto"/>
                    </w:tcBorders>
                    <w:shd w:val="clear" w:color="auto" w:fill="auto"/>
                  </w:tcPr>
                  <w:p w14:paraId="450A6ECA" w14:textId="77777777" w:rsidR="00830E72" w:rsidRDefault="008344D8">
                    <w:pPr>
                      <w:jc w:val="center"/>
                      <w:rPr>
                        <w:rFonts w:cs="Cambria"/>
                      </w:rPr>
                    </w:pPr>
                    <w:r>
                      <w:rPr>
                        <w:rFonts w:cs="Cambria"/>
                      </w:rPr>
                      <w:t>2021/9/17</w:t>
                    </w:r>
                  </w:p>
                </w:tc>
                <w:sdt>
                  <w:sdtPr>
                    <w:rPr>
                      <w:rFonts w:cs="Cambria"/>
                      <w:kern w:val="2"/>
                      <w:szCs w:val="21"/>
                    </w:rPr>
                    <w:alias w:val="本公司作为被担保方的关联担保情况明细-担保是否已经履行完毕"/>
                    <w:tag w:val="_GBC_d7c54b58f693435fbb78b065d1e813da"/>
                    <w:id w:val="66694469"/>
                    <w:lock w:val="sdtLocked"/>
                    <w:comboBox>
                      <w:listItem w:displayText="是" w:value="true"/>
                      <w:listItem w:displayText="否" w:value="false"/>
                    </w:comboBox>
                  </w:sdtPr>
                  <w:sdtEndPr/>
                  <w:sdtContent>
                    <w:tc>
                      <w:tcPr>
                        <w:tcW w:w="1237" w:type="pct"/>
                        <w:tcBorders>
                          <w:top w:val="single" w:sz="4" w:space="0" w:color="auto"/>
                          <w:left w:val="single" w:sz="4" w:space="0" w:color="auto"/>
                          <w:bottom w:val="single" w:sz="4" w:space="0" w:color="auto"/>
                          <w:right w:val="single" w:sz="4" w:space="0" w:color="auto"/>
                        </w:tcBorders>
                        <w:shd w:val="clear" w:color="auto" w:fill="auto"/>
                      </w:tcPr>
                      <w:p w14:paraId="3C4908DC" w14:textId="77777777" w:rsidR="00830E72" w:rsidRDefault="008344D8">
                        <w:pPr>
                          <w:jc w:val="center"/>
                          <w:rPr>
                            <w:rFonts w:cs="Cambria"/>
                            <w:kern w:val="2"/>
                            <w:szCs w:val="21"/>
                          </w:rPr>
                        </w:pPr>
                        <w:proofErr w:type="gramStart"/>
                        <w:r>
                          <w:rPr>
                            <w:rFonts w:cs="Cambria"/>
                            <w:kern w:val="2"/>
                            <w:szCs w:val="21"/>
                          </w:rPr>
                          <w:t>否</w:t>
                        </w:r>
                        <w:proofErr w:type="gramEnd"/>
                      </w:p>
                    </w:tc>
                  </w:sdtContent>
                </w:sdt>
              </w:tr>
            </w:sdtContent>
          </w:sdt>
          <w:sdt>
            <w:sdtPr>
              <w:rPr>
                <w:rFonts w:cs="Cambria"/>
                <w:kern w:val="2"/>
                <w:szCs w:val="21"/>
              </w:rPr>
              <w:alias w:val="本公司作为被担保方的关联担保情况明细"/>
              <w:tag w:val="_GBC_849e7f7a42044b3eaf135f12bb01887f"/>
              <w:id w:val="-904532635"/>
              <w:lock w:val="sdtLocked"/>
            </w:sdtPr>
            <w:sdtEndPr/>
            <w:sdtContent>
              <w:tr w:rsidR="00830E72" w14:paraId="392D5DF9" w14:textId="77777777" w:rsidTr="0031638C">
                <w:tc>
                  <w:tcPr>
                    <w:tcW w:w="1053" w:type="pct"/>
                    <w:tcBorders>
                      <w:top w:val="single" w:sz="4" w:space="0" w:color="auto"/>
                      <w:left w:val="single" w:sz="4" w:space="0" w:color="auto"/>
                      <w:bottom w:val="single" w:sz="4" w:space="0" w:color="auto"/>
                      <w:right w:val="single" w:sz="4" w:space="0" w:color="auto"/>
                    </w:tcBorders>
                    <w:shd w:val="clear" w:color="auto" w:fill="auto"/>
                  </w:tcPr>
                  <w:p w14:paraId="7F060BAA" w14:textId="77777777" w:rsidR="00830E72" w:rsidRDefault="008344D8">
                    <w:pPr>
                      <w:rPr>
                        <w:rFonts w:cs="Cambria"/>
                        <w:kern w:val="2"/>
                        <w:szCs w:val="21"/>
                      </w:rPr>
                    </w:pPr>
                    <w:proofErr w:type="gramStart"/>
                    <w:r>
                      <w:rPr>
                        <w:rFonts w:cs="Cambria" w:hint="eastAsia"/>
                        <w:kern w:val="2"/>
                        <w:szCs w:val="21"/>
                      </w:rPr>
                      <w:t>祥</w:t>
                    </w:r>
                    <w:proofErr w:type="gramEnd"/>
                    <w:r>
                      <w:rPr>
                        <w:rFonts w:cs="Cambria" w:hint="eastAsia"/>
                        <w:kern w:val="2"/>
                        <w:szCs w:val="21"/>
                      </w:rPr>
                      <w:t>源控股</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25FA7C42" w14:textId="77777777" w:rsidR="00830E72" w:rsidRDefault="008344D8">
                    <w:pPr>
                      <w:jc w:val="right"/>
                      <w:rPr>
                        <w:rFonts w:cs="Cambria"/>
                      </w:rPr>
                    </w:pPr>
                    <w:r>
                      <w:rPr>
                        <w:rFonts w:cs="Cambria"/>
                      </w:rPr>
                      <w:t>20,100.00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157DC16D" w14:textId="77777777" w:rsidR="00830E72" w:rsidRDefault="008344D8">
                    <w:pPr>
                      <w:jc w:val="center"/>
                      <w:rPr>
                        <w:rFonts w:cs="Cambria"/>
                      </w:rPr>
                    </w:pPr>
                    <w:r>
                      <w:rPr>
                        <w:rFonts w:cs="Cambria"/>
                      </w:rPr>
                      <w:t>2021/1/27</w:t>
                    </w:r>
                  </w:p>
                </w:tc>
                <w:tc>
                  <w:tcPr>
                    <w:tcW w:w="1116" w:type="pct"/>
                    <w:tcBorders>
                      <w:top w:val="single" w:sz="4" w:space="0" w:color="auto"/>
                      <w:left w:val="single" w:sz="4" w:space="0" w:color="auto"/>
                      <w:bottom w:val="single" w:sz="4" w:space="0" w:color="auto"/>
                      <w:right w:val="single" w:sz="4" w:space="0" w:color="auto"/>
                    </w:tcBorders>
                    <w:shd w:val="clear" w:color="auto" w:fill="auto"/>
                  </w:tcPr>
                  <w:p w14:paraId="14723716" w14:textId="77777777" w:rsidR="00830E72" w:rsidRDefault="008344D8">
                    <w:pPr>
                      <w:jc w:val="center"/>
                      <w:rPr>
                        <w:rFonts w:cs="Cambria"/>
                      </w:rPr>
                    </w:pPr>
                    <w:r>
                      <w:rPr>
                        <w:rFonts w:cs="Cambria"/>
                      </w:rPr>
                      <w:t>2022/1/26</w:t>
                    </w:r>
                  </w:p>
                </w:tc>
                <w:sdt>
                  <w:sdtPr>
                    <w:rPr>
                      <w:rFonts w:cs="Cambria"/>
                      <w:kern w:val="2"/>
                      <w:szCs w:val="21"/>
                    </w:rPr>
                    <w:alias w:val="本公司作为被担保方的关联担保情况明细-担保是否已经履行完毕"/>
                    <w:tag w:val="_GBC_d7c54b58f693435fbb78b065d1e813da"/>
                    <w:id w:val="-353498370"/>
                    <w:lock w:val="sdtLocked"/>
                    <w:comboBox>
                      <w:listItem w:displayText="是" w:value="true"/>
                      <w:listItem w:displayText="否" w:value="false"/>
                    </w:comboBox>
                  </w:sdtPr>
                  <w:sdtEndPr/>
                  <w:sdtContent>
                    <w:tc>
                      <w:tcPr>
                        <w:tcW w:w="1237" w:type="pct"/>
                        <w:tcBorders>
                          <w:top w:val="single" w:sz="4" w:space="0" w:color="auto"/>
                          <w:left w:val="single" w:sz="4" w:space="0" w:color="auto"/>
                          <w:bottom w:val="single" w:sz="4" w:space="0" w:color="auto"/>
                          <w:right w:val="single" w:sz="4" w:space="0" w:color="auto"/>
                        </w:tcBorders>
                        <w:shd w:val="clear" w:color="auto" w:fill="auto"/>
                      </w:tcPr>
                      <w:p w14:paraId="7CB7FB37" w14:textId="77777777" w:rsidR="00830E72" w:rsidRDefault="008344D8">
                        <w:pPr>
                          <w:jc w:val="center"/>
                          <w:rPr>
                            <w:rFonts w:cs="Cambria"/>
                            <w:kern w:val="2"/>
                            <w:szCs w:val="21"/>
                          </w:rPr>
                        </w:pPr>
                        <w:proofErr w:type="gramStart"/>
                        <w:r>
                          <w:rPr>
                            <w:rFonts w:cs="Cambria"/>
                            <w:kern w:val="2"/>
                            <w:szCs w:val="21"/>
                          </w:rPr>
                          <w:t>否</w:t>
                        </w:r>
                        <w:proofErr w:type="gramEnd"/>
                      </w:p>
                    </w:tc>
                  </w:sdtContent>
                </w:sdt>
              </w:tr>
            </w:sdtContent>
          </w:sdt>
          <w:sdt>
            <w:sdtPr>
              <w:rPr>
                <w:rFonts w:cs="Cambria"/>
                <w:kern w:val="2"/>
                <w:szCs w:val="21"/>
              </w:rPr>
              <w:alias w:val="本公司作为被担保方的关联担保情况明细"/>
              <w:tag w:val="_GBC_849e7f7a42044b3eaf135f12bb01887f"/>
              <w:id w:val="-1672944359"/>
              <w:lock w:val="sdtLocked"/>
            </w:sdtPr>
            <w:sdtEndPr/>
            <w:sdtContent>
              <w:tr w:rsidR="00830E72" w14:paraId="3DEF828E" w14:textId="77777777" w:rsidTr="0031638C">
                <w:tc>
                  <w:tcPr>
                    <w:tcW w:w="1053" w:type="pct"/>
                    <w:tcBorders>
                      <w:top w:val="single" w:sz="4" w:space="0" w:color="auto"/>
                      <w:left w:val="single" w:sz="4" w:space="0" w:color="auto"/>
                      <w:bottom w:val="single" w:sz="4" w:space="0" w:color="auto"/>
                      <w:right w:val="single" w:sz="4" w:space="0" w:color="auto"/>
                    </w:tcBorders>
                    <w:shd w:val="clear" w:color="auto" w:fill="auto"/>
                  </w:tcPr>
                  <w:p w14:paraId="1C7AF000" w14:textId="77777777" w:rsidR="00830E72" w:rsidRDefault="008344D8">
                    <w:pPr>
                      <w:rPr>
                        <w:rFonts w:cs="Cambria"/>
                        <w:kern w:val="2"/>
                        <w:szCs w:val="21"/>
                      </w:rPr>
                    </w:pPr>
                    <w:proofErr w:type="gramStart"/>
                    <w:r>
                      <w:rPr>
                        <w:rFonts w:cs="Cambria" w:hint="eastAsia"/>
                        <w:kern w:val="2"/>
                        <w:szCs w:val="21"/>
                      </w:rPr>
                      <w:t>祥</w:t>
                    </w:r>
                    <w:proofErr w:type="gramEnd"/>
                    <w:r>
                      <w:rPr>
                        <w:rFonts w:cs="Cambria" w:hint="eastAsia"/>
                        <w:kern w:val="2"/>
                        <w:szCs w:val="21"/>
                      </w:rPr>
                      <w:t>源控股</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335601F9" w14:textId="77777777" w:rsidR="00830E72" w:rsidRDefault="008344D8">
                    <w:pPr>
                      <w:jc w:val="right"/>
                      <w:rPr>
                        <w:rFonts w:cs="Cambria"/>
                      </w:rPr>
                    </w:pPr>
                    <w:r>
                      <w:rPr>
                        <w:rFonts w:cs="Cambria"/>
                      </w:rPr>
                      <w:t>10,000.00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05967C5C" w14:textId="77777777" w:rsidR="00830E72" w:rsidRDefault="008344D8">
                    <w:pPr>
                      <w:jc w:val="center"/>
                      <w:rPr>
                        <w:rFonts w:cs="Cambria"/>
                      </w:rPr>
                    </w:pPr>
                    <w:r>
                      <w:rPr>
                        <w:rFonts w:cs="Cambria"/>
                      </w:rPr>
                      <w:t>2020/6/22</w:t>
                    </w:r>
                  </w:p>
                </w:tc>
                <w:tc>
                  <w:tcPr>
                    <w:tcW w:w="1116" w:type="pct"/>
                    <w:tcBorders>
                      <w:top w:val="single" w:sz="4" w:space="0" w:color="auto"/>
                      <w:left w:val="single" w:sz="4" w:space="0" w:color="auto"/>
                      <w:bottom w:val="single" w:sz="4" w:space="0" w:color="auto"/>
                      <w:right w:val="single" w:sz="4" w:space="0" w:color="auto"/>
                    </w:tcBorders>
                    <w:shd w:val="clear" w:color="auto" w:fill="auto"/>
                  </w:tcPr>
                  <w:p w14:paraId="792D9329" w14:textId="77777777" w:rsidR="00830E72" w:rsidRDefault="008344D8">
                    <w:pPr>
                      <w:jc w:val="center"/>
                      <w:rPr>
                        <w:rFonts w:cs="Cambria"/>
                      </w:rPr>
                    </w:pPr>
                    <w:r>
                      <w:rPr>
                        <w:rFonts w:cs="Cambria"/>
                      </w:rPr>
                      <w:t>2021/6/11</w:t>
                    </w:r>
                  </w:p>
                </w:tc>
                <w:sdt>
                  <w:sdtPr>
                    <w:rPr>
                      <w:rFonts w:cs="Cambria"/>
                      <w:kern w:val="2"/>
                      <w:szCs w:val="21"/>
                    </w:rPr>
                    <w:alias w:val="本公司作为被担保方的关联担保情况明细-担保是否已经履行完毕"/>
                    <w:tag w:val="_GBC_d7c54b58f693435fbb78b065d1e813da"/>
                    <w:id w:val="-1023779104"/>
                    <w:lock w:val="sdtLocked"/>
                    <w:comboBox>
                      <w:listItem w:displayText="是" w:value="true"/>
                      <w:listItem w:displayText="否" w:value="false"/>
                    </w:comboBox>
                  </w:sdtPr>
                  <w:sdtEndPr/>
                  <w:sdtContent>
                    <w:tc>
                      <w:tcPr>
                        <w:tcW w:w="1237" w:type="pct"/>
                        <w:tcBorders>
                          <w:top w:val="single" w:sz="4" w:space="0" w:color="auto"/>
                          <w:left w:val="single" w:sz="4" w:space="0" w:color="auto"/>
                          <w:bottom w:val="single" w:sz="4" w:space="0" w:color="auto"/>
                          <w:right w:val="single" w:sz="4" w:space="0" w:color="auto"/>
                        </w:tcBorders>
                        <w:shd w:val="clear" w:color="auto" w:fill="auto"/>
                      </w:tcPr>
                      <w:p w14:paraId="64737F82" w14:textId="77777777" w:rsidR="00830E72" w:rsidRDefault="008344D8">
                        <w:pPr>
                          <w:jc w:val="center"/>
                          <w:rPr>
                            <w:rFonts w:cs="Cambria"/>
                            <w:kern w:val="2"/>
                            <w:szCs w:val="21"/>
                          </w:rPr>
                        </w:pPr>
                        <w:proofErr w:type="gramStart"/>
                        <w:r>
                          <w:rPr>
                            <w:rFonts w:cs="Cambria"/>
                            <w:kern w:val="2"/>
                            <w:szCs w:val="21"/>
                          </w:rPr>
                          <w:t>否</w:t>
                        </w:r>
                        <w:proofErr w:type="gramEnd"/>
                      </w:p>
                    </w:tc>
                  </w:sdtContent>
                </w:sdt>
              </w:tr>
            </w:sdtContent>
          </w:sdt>
          <w:sdt>
            <w:sdtPr>
              <w:rPr>
                <w:rFonts w:cs="Cambria"/>
                <w:kern w:val="2"/>
                <w:szCs w:val="21"/>
              </w:rPr>
              <w:alias w:val="本公司作为被担保方的关联担保情况明细"/>
              <w:tag w:val="_GBC_849e7f7a42044b3eaf135f12bb01887f"/>
              <w:id w:val="591658781"/>
              <w:lock w:val="sdtLocked"/>
            </w:sdtPr>
            <w:sdtEndPr/>
            <w:sdtContent>
              <w:tr w:rsidR="00830E72" w14:paraId="05F1A789" w14:textId="77777777" w:rsidTr="0031638C">
                <w:tc>
                  <w:tcPr>
                    <w:tcW w:w="1053" w:type="pct"/>
                    <w:tcBorders>
                      <w:top w:val="single" w:sz="4" w:space="0" w:color="auto"/>
                      <w:left w:val="single" w:sz="4" w:space="0" w:color="auto"/>
                      <w:bottom w:val="single" w:sz="4" w:space="0" w:color="auto"/>
                      <w:right w:val="single" w:sz="4" w:space="0" w:color="auto"/>
                    </w:tcBorders>
                    <w:shd w:val="clear" w:color="auto" w:fill="auto"/>
                  </w:tcPr>
                  <w:p w14:paraId="287063BE" w14:textId="77777777" w:rsidR="00830E72" w:rsidRDefault="008344D8">
                    <w:pPr>
                      <w:rPr>
                        <w:rFonts w:cs="Cambria"/>
                        <w:kern w:val="2"/>
                        <w:szCs w:val="21"/>
                      </w:rPr>
                    </w:pPr>
                    <w:proofErr w:type="gramStart"/>
                    <w:r>
                      <w:rPr>
                        <w:rFonts w:cs="Cambria" w:hint="eastAsia"/>
                        <w:kern w:val="2"/>
                        <w:szCs w:val="21"/>
                      </w:rPr>
                      <w:t>祥</w:t>
                    </w:r>
                    <w:proofErr w:type="gramEnd"/>
                    <w:r>
                      <w:rPr>
                        <w:rFonts w:cs="Cambria" w:hint="eastAsia"/>
                        <w:kern w:val="2"/>
                        <w:szCs w:val="21"/>
                      </w:rPr>
                      <w:t>源控股</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7AAF47E9" w14:textId="77777777" w:rsidR="00830E72" w:rsidRDefault="008344D8">
                    <w:pPr>
                      <w:jc w:val="right"/>
                      <w:rPr>
                        <w:rFonts w:cs="Cambria"/>
                      </w:rPr>
                    </w:pPr>
                    <w:r>
                      <w:rPr>
                        <w:rFonts w:cs="Cambria"/>
                      </w:rPr>
                      <w:t>30,000.00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3166B852" w14:textId="77777777" w:rsidR="00830E72" w:rsidRDefault="008344D8">
                    <w:pPr>
                      <w:jc w:val="center"/>
                      <w:rPr>
                        <w:rFonts w:cs="Cambria"/>
                      </w:rPr>
                    </w:pPr>
                    <w:r>
                      <w:rPr>
                        <w:rFonts w:cs="Cambria"/>
                      </w:rPr>
                      <w:t>2020/6/8</w:t>
                    </w:r>
                  </w:p>
                </w:tc>
                <w:tc>
                  <w:tcPr>
                    <w:tcW w:w="1116" w:type="pct"/>
                    <w:tcBorders>
                      <w:top w:val="single" w:sz="4" w:space="0" w:color="auto"/>
                      <w:left w:val="single" w:sz="4" w:space="0" w:color="auto"/>
                      <w:bottom w:val="single" w:sz="4" w:space="0" w:color="auto"/>
                      <w:right w:val="single" w:sz="4" w:space="0" w:color="auto"/>
                    </w:tcBorders>
                    <w:shd w:val="clear" w:color="auto" w:fill="auto"/>
                  </w:tcPr>
                  <w:p w14:paraId="4CB9F33C" w14:textId="77777777" w:rsidR="00830E72" w:rsidRDefault="008344D8">
                    <w:pPr>
                      <w:jc w:val="center"/>
                      <w:rPr>
                        <w:rFonts w:cs="Cambria"/>
                      </w:rPr>
                    </w:pPr>
                    <w:r>
                      <w:rPr>
                        <w:rFonts w:cs="Cambria"/>
                      </w:rPr>
                      <w:t>2023/6/8</w:t>
                    </w:r>
                  </w:p>
                </w:tc>
                <w:sdt>
                  <w:sdtPr>
                    <w:rPr>
                      <w:rFonts w:cs="Cambria"/>
                      <w:kern w:val="2"/>
                      <w:szCs w:val="21"/>
                    </w:rPr>
                    <w:alias w:val="本公司作为被担保方的关联担保情况明细-担保是否已经履行完毕"/>
                    <w:tag w:val="_GBC_d7c54b58f693435fbb78b065d1e813da"/>
                    <w:id w:val="2018272036"/>
                    <w:lock w:val="sdtLocked"/>
                    <w:comboBox>
                      <w:listItem w:displayText="是" w:value="true"/>
                      <w:listItem w:displayText="否" w:value="false"/>
                    </w:comboBox>
                  </w:sdtPr>
                  <w:sdtEndPr/>
                  <w:sdtContent>
                    <w:tc>
                      <w:tcPr>
                        <w:tcW w:w="1237" w:type="pct"/>
                        <w:tcBorders>
                          <w:top w:val="single" w:sz="4" w:space="0" w:color="auto"/>
                          <w:left w:val="single" w:sz="4" w:space="0" w:color="auto"/>
                          <w:bottom w:val="single" w:sz="4" w:space="0" w:color="auto"/>
                          <w:right w:val="single" w:sz="4" w:space="0" w:color="auto"/>
                        </w:tcBorders>
                        <w:shd w:val="clear" w:color="auto" w:fill="auto"/>
                      </w:tcPr>
                      <w:p w14:paraId="14B52FA6" w14:textId="77777777" w:rsidR="00830E72" w:rsidRDefault="008344D8">
                        <w:pPr>
                          <w:jc w:val="center"/>
                          <w:rPr>
                            <w:rFonts w:cs="Cambria"/>
                            <w:kern w:val="2"/>
                            <w:szCs w:val="21"/>
                          </w:rPr>
                        </w:pPr>
                        <w:proofErr w:type="gramStart"/>
                        <w:r>
                          <w:rPr>
                            <w:rFonts w:cs="Cambria"/>
                            <w:kern w:val="2"/>
                            <w:szCs w:val="21"/>
                          </w:rPr>
                          <w:t>否</w:t>
                        </w:r>
                        <w:proofErr w:type="gramEnd"/>
                      </w:p>
                    </w:tc>
                  </w:sdtContent>
                </w:sdt>
              </w:tr>
            </w:sdtContent>
          </w:sdt>
          <w:sdt>
            <w:sdtPr>
              <w:rPr>
                <w:rFonts w:cs="Cambria"/>
                <w:kern w:val="2"/>
                <w:szCs w:val="21"/>
              </w:rPr>
              <w:alias w:val="本公司作为被担保方的关联担保情况明细"/>
              <w:tag w:val="_GBC_849e7f7a42044b3eaf135f12bb01887f"/>
              <w:id w:val="-1718967932"/>
              <w:lock w:val="sdtLocked"/>
              <w:placeholder>
                <w:docPart w:val="GBC11111111111111111111111111111"/>
              </w:placeholder>
            </w:sdtPr>
            <w:sdtEndPr/>
            <w:sdtContent>
              <w:tr w:rsidR="00830E72" w14:paraId="6CA65352" w14:textId="77777777" w:rsidTr="0031638C">
                <w:tc>
                  <w:tcPr>
                    <w:tcW w:w="1053" w:type="pct"/>
                    <w:tcBorders>
                      <w:top w:val="single" w:sz="4" w:space="0" w:color="auto"/>
                      <w:left w:val="single" w:sz="4" w:space="0" w:color="auto"/>
                      <w:bottom w:val="single" w:sz="4" w:space="0" w:color="auto"/>
                      <w:right w:val="single" w:sz="4" w:space="0" w:color="auto"/>
                    </w:tcBorders>
                    <w:shd w:val="clear" w:color="auto" w:fill="auto"/>
                  </w:tcPr>
                  <w:p w14:paraId="22B4D709" w14:textId="77777777" w:rsidR="00830E72" w:rsidRDefault="008344D8">
                    <w:pPr>
                      <w:rPr>
                        <w:rFonts w:cs="Cambria"/>
                      </w:rPr>
                    </w:pPr>
                    <w:proofErr w:type="gramStart"/>
                    <w:r>
                      <w:rPr>
                        <w:rFonts w:cs="Cambria" w:hint="eastAsia"/>
                        <w:kern w:val="2"/>
                        <w:szCs w:val="21"/>
                      </w:rPr>
                      <w:t>祥</w:t>
                    </w:r>
                    <w:proofErr w:type="gramEnd"/>
                    <w:r>
                      <w:rPr>
                        <w:rFonts w:cs="Cambria" w:hint="eastAsia"/>
                        <w:kern w:val="2"/>
                        <w:szCs w:val="21"/>
                      </w:rPr>
                      <w:t>源控股</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0EAA4AD1" w14:textId="77777777" w:rsidR="00830E72" w:rsidRDefault="008344D8">
                    <w:pPr>
                      <w:jc w:val="right"/>
                      <w:rPr>
                        <w:rFonts w:cs="Cambria"/>
                      </w:rPr>
                    </w:pPr>
                    <w:r>
                      <w:rPr>
                        <w:rFonts w:cs="Cambria"/>
                      </w:rPr>
                      <w:t>10,000.00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3604DF89" w14:textId="77777777" w:rsidR="00830E72" w:rsidRDefault="008344D8">
                    <w:pPr>
                      <w:jc w:val="center"/>
                      <w:rPr>
                        <w:rFonts w:cs="Cambria"/>
                      </w:rPr>
                    </w:pPr>
                    <w:r>
                      <w:rPr>
                        <w:rFonts w:cs="Cambria"/>
                      </w:rPr>
                      <w:t>2020/10/15</w:t>
                    </w:r>
                  </w:p>
                </w:tc>
                <w:tc>
                  <w:tcPr>
                    <w:tcW w:w="1116" w:type="pct"/>
                    <w:tcBorders>
                      <w:top w:val="single" w:sz="4" w:space="0" w:color="auto"/>
                      <w:left w:val="single" w:sz="4" w:space="0" w:color="auto"/>
                      <w:bottom w:val="single" w:sz="4" w:space="0" w:color="auto"/>
                      <w:right w:val="single" w:sz="4" w:space="0" w:color="auto"/>
                    </w:tcBorders>
                    <w:shd w:val="clear" w:color="auto" w:fill="auto"/>
                  </w:tcPr>
                  <w:p w14:paraId="740059AB" w14:textId="77777777" w:rsidR="00830E72" w:rsidRDefault="008344D8">
                    <w:pPr>
                      <w:jc w:val="center"/>
                      <w:rPr>
                        <w:rFonts w:cs="Cambria"/>
                      </w:rPr>
                    </w:pPr>
                    <w:r>
                      <w:rPr>
                        <w:rFonts w:cs="Cambria"/>
                      </w:rPr>
                      <w:t>2023/10/15</w:t>
                    </w:r>
                  </w:p>
                </w:tc>
                <w:sdt>
                  <w:sdtPr>
                    <w:rPr>
                      <w:rFonts w:cs="Cambria"/>
                      <w:kern w:val="2"/>
                      <w:szCs w:val="21"/>
                    </w:rPr>
                    <w:alias w:val="本公司作为被担保方的关联担保情况明细-担保是否已经履行完毕"/>
                    <w:tag w:val="_GBC_d7c54b58f693435fbb78b065d1e813da"/>
                    <w:id w:val="1058746712"/>
                    <w:lock w:val="sdtLocked"/>
                    <w:comboBox>
                      <w:listItem w:displayText="是" w:value="true"/>
                      <w:listItem w:displayText="否" w:value="false"/>
                    </w:comboBox>
                  </w:sdtPr>
                  <w:sdtEndPr/>
                  <w:sdtContent>
                    <w:tc>
                      <w:tcPr>
                        <w:tcW w:w="1237" w:type="pct"/>
                        <w:tcBorders>
                          <w:top w:val="single" w:sz="4" w:space="0" w:color="auto"/>
                          <w:left w:val="single" w:sz="4" w:space="0" w:color="auto"/>
                          <w:bottom w:val="single" w:sz="4" w:space="0" w:color="auto"/>
                          <w:right w:val="single" w:sz="4" w:space="0" w:color="auto"/>
                        </w:tcBorders>
                        <w:shd w:val="clear" w:color="auto" w:fill="auto"/>
                      </w:tcPr>
                      <w:p w14:paraId="4C7CD93A" w14:textId="77777777" w:rsidR="00830E72" w:rsidRDefault="008344D8">
                        <w:pPr>
                          <w:jc w:val="center"/>
                          <w:rPr>
                            <w:rFonts w:cs="Cambria"/>
                          </w:rPr>
                        </w:pPr>
                        <w:proofErr w:type="gramStart"/>
                        <w:r>
                          <w:rPr>
                            <w:rFonts w:cs="Cambria"/>
                            <w:kern w:val="2"/>
                            <w:szCs w:val="21"/>
                          </w:rPr>
                          <w:t>否</w:t>
                        </w:r>
                        <w:proofErr w:type="gramEnd"/>
                      </w:p>
                    </w:tc>
                  </w:sdtContent>
                </w:sdt>
              </w:tr>
            </w:sdtContent>
          </w:sdt>
          <w:sdt>
            <w:sdtPr>
              <w:rPr>
                <w:rFonts w:cs="Cambria"/>
              </w:rPr>
              <w:alias w:val="本公司作为被担保方的关联担保情况明细"/>
              <w:tag w:val="_GBC_849e7f7a42044b3eaf135f12bb01887f"/>
              <w:id w:val="883598230"/>
              <w:lock w:val="sdtLocked"/>
              <w:placeholder>
                <w:docPart w:val="GBC11111111111111111111111111111"/>
              </w:placeholder>
            </w:sdtPr>
            <w:sdtEndPr/>
            <w:sdtContent>
              <w:tr w:rsidR="00830E72" w14:paraId="3DB04ACA" w14:textId="77777777" w:rsidTr="0031638C">
                <w:tc>
                  <w:tcPr>
                    <w:tcW w:w="1053" w:type="pct"/>
                    <w:tcBorders>
                      <w:top w:val="single" w:sz="4" w:space="0" w:color="auto"/>
                      <w:left w:val="single" w:sz="4" w:space="0" w:color="auto"/>
                      <w:bottom w:val="single" w:sz="4" w:space="0" w:color="auto"/>
                      <w:right w:val="single" w:sz="4" w:space="0" w:color="auto"/>
                    </w:tcBorders>
                    <w:shd w:val="clear" w:color="auto" w:fill="auto"/>
                  </w:tcPr>
                  <w:p w14:paraId="43D7550B" w14:textId="77777777" w:rsidR="00830E72" w:rsidRDefault="008344D8">
                    <w:pPr>
                      <w:rPr>
                        <w:rFonts w:cs="Cambria"/>
                      </w:rPr>
                    </w:pPr>
                    <w:proofErr w:type="gramStart"/>
                    <w:r>
                      <w:rPr>
                        <w:rFonts w:cs="Cambria" w:hint="eastAsia"/>
                      </w:rPr>
                      <w:t>祥</w:t>
                    </w:r>
                    <w:proofErr w:type="gramEnd"/>
                    <w:r>
                      <w:rPr>
                        <w:rFonts w:cs="Cambria" w:hint="eastAsia"/>
                      </w:rPr>
                      <w:t>源控股</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36E66256" w14:textId="77777777" w:rsidR="00830E72" w:rsidRDefault="008344D8">
                    <w:pPr>
                      <w:jc w:val="right"/>
                      <w:rPr>
                        <w:rFonts w:cs="Cambria"/>
                      </w:rPr>
                    </w:pPr>
                    <w:r>
                      <w:rPr>
                        <w:rFonts w:cs="Cambria"/>
                      </w:rPr>
                      <w:t>30,000.00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3F5740D4" w14:textId="77777777" w:rsidR="00830E72" w:rsidRDefault="008344D8">
                    <w:pPr>
                      <w:jc w:val="center"/>
                      <w:rPr>
                        <w:rFonts w:cs="Cambria"/>
                      </w:rPr>
                    </w:pPr>
                    <w:r>
                      <w:rPr>
                        <w:rFonts w:cs="Cambria"/>
                      </w:rPr>
                      <w:t>2020/9/21</w:t>
                    </w:r>
                  </w:p>
                </w:tc>
                <w:tc>
                  <w:tcPr>
                    <w:tcW w:w="1116" w:type="pct"/>
                    <w:tcBorders>
                      <w:top w:val="single" w:sz="4" w:space="0" w:color="auto"/>
                      <w:left w:val="single" w:sz="4" w:space="0" w:color="auto"/>
                      <w:bottom w:val="single" w:sz="4" w:space="0" w:color="auto"/>
                      <w:right w:val="single" w:sz="4" w:space="0" w:color="auto"/>
                    </w:tcBorders>
                    <w:shd w:val="clear" w:color="auto" w:fill="auto"/>
                  </w:tcPr>
                  <w:p w14:paraId="115ED8B7" w14:textId="77777777" w:rsidR="00830E72" w:rsidRDefault="008344D8">
                    <w:pPr>
                      <w:jc w:val="center"/>
                      <w:rPr>
                        <w:rFonts w:cs="Cambria"/>
                      </w:rPr>
                    </w:pPr>
                    <w:r>
                      <w:rPr>
                        <w:rFonts w:cs="Cambria"/>
                      </w:rPr>
                      <w:t>2021/9/6</w:t>
                    </w:r>
                  </w:p>
                </w:tc>
                <w:sdt>
                  <w:sdtPr>
                    <w:rPr>
                      <w:rFonts w:cs="Cambria"/>
                    </w:rPr>
                    <w:alias w:val="本公司作为被担保方的关联担保情况明细-担保是否已经履行完毕"/>
                    <w:tag w:val="_GBC_d7c54b58f693435fbb78b065d1e813da"/>
                    <w:id w:val="1383443561"/>
                    <w:lock w:val="sdtLocked"/>
                    <w:comboBox>
                      <w:listItem w:displayText="是" w:value="true"/>
                      <w:listItem w:displayText="否" w:value="false"/>
                    </w:comboBox>
                  </w:sdtPr>
                  <w:sdtEndPr/>
                  <w:sdtContent>
                    <w:tc>
                      <w:tcPr>
                        <w:tcW w:w="1237" w:type="pct"/>
                        <w:tcBorders>
                          <w:top w:val="single" w:sz="4" w:space="0" w:color="auto"/>
                          <w:left w:val="single" w:sz="4" w:space="0" w:color="auto"/>
                          <w:bottom w:val="single" w:sz="4" w:space="0" w:color="auto"/>
                          <w:right w:val="single" w:sz="4" w:space="0" w:color="auto"/>
                        </w:tcBorders>
                        <w:shd w:val="clear" w:color="auto" w:fill="auto"/>
                      </w:tcPr>
                      <w:p w14:paraId="7EAC93D5" w14:textId="77777777" w:rsidR="00830E72" w:rsidRDefault="008344D8">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GBC_849e7f7a42044b3eaf135f12bb01887f"/>
              <w:id w:val="-1367588661"/>
              <w:lock w:val="sdtLocked"/>
            </w:sdtPr>
            <w:sdtEndPr/>
            <w:sdtContent>
              <w:tr w:rsidR="00830E72" w14:paraId="60855BA3" w14:textId="77777777" w:rsidTr="0031638C">
                <w:tc>
                  <w:tcPr>
                    <w:tcW w:w="1053" w:type="pct"/>
                    <w:tcBorders>
                      <w:top w:val="single" w:sz="4" w:space="0" w:color="auto"/>
                      <w:left w:val="single" w:sz="4" w:space="0" w:color="auto"/>
                      <w:bottom w:val="single" w:sz="4" w:space="0" w:color="auto"/>
                      <w:right w:val="single" w:sz="4" w:space="0" w:color="auto"/>
                    </w:tcBorders>
                    <w:shd w:val="clear" w:color="auto" w:fill="auto"/>
                  </w:tcPr>
                  <w:p w14:paraId="2F31FD54" w14:textId="77777777" w:rsidR="00830E72" w:rsidRDefault="008344D8">
                    <w:pPr>
                      <w:rPr>
                        <w:rFonts w:cs="Cambria"/>
                      </w:rPr>
                    </w:pPr>
                    <w:proofErr w:type="gramStart"/>
                    <w:r>
                      <w:rPr>
                        <w:rFonts w:cs="Cambria" w:hint="eastAsia"/>
                      </w:rPr>
                      <w:t>祥</w:t>
                    </w:r>
                    <w:proofErr w:type="gramEnd"/>
                    <w:r>
                      <w:rPr>
                        <w:rFonts w:cs="Cambria" w:hint="eastAsia"/>
                      </w:rPr>
                      <w:t>源控股</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2BD0401B" w14:textId="77777777" w:rsidR="00830E72" w:rsidRDefault="008344D8">
                    <w:pPr>
                      <w:jc w:val="right"/>
                      <w:rPr>
                        <w:rFonts w:cs="Cambria"/>
                      </w:rPr>
                    </w:pPr>
                    <w:r>
                      <w:rPr>
                        <w:rFonts w:cs="Cambria"/>
                      </w:rPr>
                      <w:t>15,600.00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6F381550" w14:textId="77777777" w:rsidR="00830E72" w:rsidRDefault="008344D8">
                    <w:pPr>
                      <w:jc w:val="center"/>
                      <w:rPr>
                        <w:rFonts w:cs="Cambria"/>
                      </w:rPr>
                    </w:pPr>
                    <w:r>
                      <w:rPr>
                        <w:rFonts w:cs="Cambria"/>
                      </w:rPr>
                      <w:t>2021/5/8</w:t>
                    </w:r>
                  </w:p>
                </w:tc>
                <w:tc>
                  <w:tcPr>
                    <w:tcW w:w="1116" w:type="pct"/>
                    <w:tcBorders>
                      <w:top w:val="single" w:sz="4" w:space="0" w:color="auto"/>
                      <w:left w:val="single" w:sz="4" w:space="0" w:color="auto"/>
                      <w:bottom w:val="single" w:sz="4" w:space="0" w:color="auto"/>
                      <w:right w:val="single" w:sz="4" w:space="0" w:color="auto"/>
                    </w:tcBorders>
                    <w:shd w:val="clear" w:color="auto" w:fill="auto"/>
                  </w:tcPr>
                  <w:p w14:paraId="55967F2B" w14:textId="77777777" w:rsidR="00830E72" w:rsidRDefault="008344D8">
                    <w:pPr>
                      <w:jc w:val="center"/>
                      <w:rPr>
                        <w:rFonts w:cs="Cambria"/>
                      </w:rPr>
                    </w:pPr>
                    <w:r>
                      <w:rPr>
                        <w:rFonts w:cs="Cambria"/>
                      </w:rPr>
                      <w:t>2022/5/7</w:t>
                    </w:r>
                  </w:p>
                </w:tc>
                <w:sdt>
                  <w:sdtPr>
                    <w:rPr>
                      <w:rFonts w:cs="Cambria"/>
                    </w:rPr>
                    <w:alias w:val="本公司作为被担保方的关联担保情况明细-担保是否已经履行完毕"/>
                    <w:tag w:val="_GBC_d7c54b58f693435fbb78b065d1e813da"/>
                    <w:id w:val="-2102712440"/>
                    <w:lock w:val="sdtLocked"/>
                    <w:comboBox>
                      <w:listItem w:displayText="是" w:value="true"/>
                      <w:listItem w:displayText="否" w:value="false"/>
                    </w:comboBox>
                  </w:sdtPr>
                  <w:sdtEndPr/>
                  <w:sdtContent>
                    <w:tc>
                      <w:tcPr>
                        <w:tcW w:w="1237" w:type="pct"/>
                        <w:tcBorders>
                          <w:top w:val="single" w:sz="4" w:space="0" w:color="auto"/>
                          <w:left w:val="single" w:sz="4" w:space="0" w:color="auto"/>
                          <w:bottom w:val="single" w:sz="4" w:space="0" w:color="auto"/>
                          <w:right w:val="single" w:sz="4" w:space="0" w:color="auto"/>
                        </w:tcBorders>
                        <w:shd w:val="clear" w:color="auto" w:fill="auto"/>
                      </w:tcPr>
                      <w:p w14:paraId="09997E0D" w14:textId="77777777" w:rsidR="00830E72" w:rsidRDefault="008344D8">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GBC_849e7f7a42044b3eaf135f12bb01887f"/>
              <w:id w:val="-2126998057"/>
              <w:lock w:val="sdtLocked"/>
            </w:sdtPr>
            <w:sdtEndPr/>
            <w:sdtContent>
              <w:tr w:rsidR="00830E72" w14:paraId="1A592718" w14:textId="77777777" w:rsidTr="0031638C">
                <w:tc>
                  <w:tcPr>
                    <w:tcW w:w="1053" w:type="pct"/>
                    <w:tcBorders>
                      <w:top w:val="single" w:sz="4" w:space="0" w:color="auto"/>
                      <w:left w:val="single" w:sz="4" w:space="0" w:color="auto"/>
                      <w:bottom w:val="single" w:sz="4" w:space="0" w:color="auto"/>
                      <w:right w:val="single" w:sz="4" w:space="0" w:color="auto"/>
                    </w:tcBorders>
                    <w:shd w:val="clear" w:color="auto" w:fill="auto"/>
                  </w:tcPr>
                  <w:p w14:paraId="77196EC7" w14:textId="77777777" w:rsidR="00830E72" w:rsidRDefault="008344D8">
                    <w:pPr>
                      <w:rPr>
                        <w:rFonts w:cs="Cambria"/>
                      </w:rPr>
                    </w:pPr>
                    <w:proofErr w:type="gramStart"/>
                    <w:r>
                      <w:rPr>
                        <w:rFonts w:cs="Cambria" w:hint="eastAsia"/>
                      </w:rPr>
                      <w:t>祥</w:t>
                    </w:r>
                    <w:proofErr w:type="gramEnd"/>
                    <w:r>
                      <w:rPr>
                        <w:rFonts w:cs="Cambria" w:hint="eastAsia"/>
                      </w:rPr>
                      <w:t>源控股</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25BBBE15" w14:textId="77777777" w:rsidR="00830E72" w:rsidRDefault="008344D8">
                    <w:pPr>
                      <w:jc w:val="right"/>
                      <w:rPr>
                        <w:rFonts w:cs="Cambria"/>
                      </w:rPr>
                    </w:pPr>
                    <w:r>
                      <w:rPr>
                        <w:rFonts w:cs="Cambria"/>
                      </w:rPr>
                      <w:t>2,400.00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2E77F3C9" w14:textId="77777777" w:rsidR="00830E72" w:rsidRDefault="008344D8">
                    <w:pPr>
                      <w:jc w:val="center"/>
                      <w:rPr>
                        <w:rFonts w:cs="Cambria"/>
                      </w:rPr>
                    </w:pPr>
                    <w:r>
                      <w:rPr>
                        <w:rFonts w:cs="Cambria"/>
                      </w:rPr>
                      <w:t>2021/4/21</w:t>
                    </w:r>
                  </w:p>
                </w:tc>
                <w:tc>
                  <w:tcPr>
                    <w:tcW w:w="1116" w:type="pct"/>
                    <w:tcBorders>
                      <w:top w:val="single" w:sz="4" w:space="0" w:color="auto"/>
                      <w:left w:val="single" w:sz="4" w:space="0" w:color="auto"/>
                      <w:bottom w:val="single" w:sz="4" w:space="0" w:color="auto"/>
                      <w:right w:val="single" w:sz="4" w:space="0" w:color="auto"/>
                    </w:tcBorders>
                    <w:shd w:val="clear" w:color="auto" w:fill="auto"/>
                  </w:tcPr>
                  <w:p w14:paraId="4AD03CC9" w14:textId="77777777" w:rsidR="00830E72" w:rsidRDefault="008344D8">
                    <w:pPr>
                      <w:jc w:val="center"/>
                      <w:rPr>
                        <w:rFonts w:cs="Cambria"/>
                      </w:rPr>
                    </w:pPr>
                    <w:r>
                      <w:rPr>
                        <w:rFonts w:cs="Cambria"/>
                      </w:rPr>
                      <w:t>2022/4/21</w:t>
                    </w:r>
                  </w:p>
                </w:tc>
                <w:sdt>
                  <w:sdtPr>
                    <w:rPr>
                      <w:rFonts w:cs="Cambria"/>
                    </w:rPr>
                    <w:alias w:val="本公司作为被担保方的关联担保情况明细-担保是否已经履行完毕"/>
                    <w:tag w:val="_GBC_d7c54b58f693435fbb78b065d1e813da"/>
                    <w:id w:val="-1600718048"/>
                    <w:lock w:val="sdtLocked"/>
                    <w:comboBox>
                      <w:listItem w:displayText="是" w:value="true"/>
                      <w:listItem w:displayText="否" w:value="false"/>
                    </w:comboBox>
                  </w:sdtPr>
                  <w:sdtEndPr/>
                  <w:sdtContent>
                    <w:tc>
                      <w:tcPr>
                        <w:tcW w:w="1237" w:type="pct"/>
                        <w:tcBorders>
                          <w:top w:val="single" w:sz="4" w:space="0" w:color="auto"/>
                          <w:left w:val="single" w:sz="4" w:space="0" w:color="auto"/>
                          <w:bottom w:val="single" w:sz="4" w:space="0" w:color="auto"/>
                          <w:right w:val="single" w:sz="4" w:space="0" w:color="auto"/>
                        </w:tcBorders>
                        <w:shd w:val="clear" w:color="auto" w:fill="auto"/>
                      </w:tcPr>
                      <w:p w14:paraId="31B8D1E6" w14:textId="77777777" w:rsidR="00830E72" w:rsidRDefault="008344D8">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GBC_849e7f7a42044b3eaf135f12bb01887f"/>
              <w:id w:val="-1150590273"/>
              <w:lock w:val="sdtLocked"/>
            </w:sdtPr>
            <w:sdtEndPr/>
            <w:sdtContent>
              <w:tr w:rsidR="00830E72" w14:paraId="0FC629F7" w14:textId="77777777" w:rsidTr="0031638C">
                <w:tc>
                  <w:tcPr>
                    <w:tcW w:w="1053" w:type="pct"/>
                    <w:tcBorders>
                      <w:top w:val="single" w:sz="4" w:space="0" w:color="auto"/>
                      <w:left w:val="single" w:sz="4" w:space="0" w:color="auto"/>
                      <w:bottom w:val="single" w:sz="4" w:space="0" w:color="auto"/>
                      <w:right w:val="single" w:sz="4" w:space="0" w:color="auto"/>
                    </w:tcBorders>
                    <w:shd w:val="clear" w:color="auto" w:fill="auto"/>
                  </w:tcPr>
                  <w:p w14:paraId="693D8295" w14:textId="77777777" w:rsidR="00830E72" w:rsidRDefault="008344D8">
                    <w:pPr>
                      <w:rPr>
                        <w:rFonts w:cs="Cambria"/>
                      </w:rPr>
                    </w:pPr>
                    <w:proofErr w:type="gramStart"/>
                    <w:r>
                      <w:rPr>
                        <w:rFonts w:cs="Cambria" w:hint="eastAsia"/>
                      </w:rPr>
                      <w:t>祥</w:t>
                    </w:r>
                    <w:proofErr w:type="gramEnd"/>
                    <w:r>
                      <w:rPr>
                        <w:rFonts w:cs="Cambria" w:hint="eastAsia"/>
                      </w:rPr>
                      <w:t>源控股</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77C7772D" w14:textId="77777777" w:rsidR="00830E72" w:rsidRDefault="008344D8">
                    <w:pPr>
                      <w:jc w:val="right"/>
                      <w:rPr>
                        <w:rFonts w:cs="Cambria"/>
                      </w:rPr>
                    </w:pPr>
                    <w:r>
                      <w:rPr>
                        <w:rFonts w:cs="Cambria"/>
                      </w:rPr>
                      <w:t>50,000.00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3A33EC83" w14:textId="77777777" w:rsidR="00830E72" w:rsidRDefault="008344D8">
                    <w:pPr>
                      <w:jc w:val="center"/>
                      <w:rPr>
                        <w:rFonts w:cs="Cambria"/>
                      </w:rPr>
                    </w:pPr>
                    <w:r>
                      <w:rPr>
                        <w:rFonts w:cs="Cambria"/>
                      </w:rPr>
                      <w:t>2021/3/17</w:t>
                    </w:r>
                  </w:p>
                </w:tc>
                <w:tc>
                  <w:tcPr>
                    <w:tcW w:w="1116" w:type="pct"/>
                    <w:tcBorders>
                      <w:top w:val="single" w:sz="4" w:space="0" w:color="auto"/>
                      <w:left w:val="single" w:sz="4" w:space="0" w:color="auto"/>
                      <w:bottom w:val="single" w:sz="4" w:space="0" w:color="auto"/>
                      <w:right w:val="single" w:sz="4" w:space="0" w:color="auto"/>
                    </w:tcBorders>
                    <w:shd w:val="clear" w:color="auto" w:fill="auto"/>
                  </w:tcPr>
                  <w:p w14:paraId="75053E78" w14:textId="77777777" w:rsidR="00830E72" w:rsidRDefault="008344D8">
                    <w:pPr>
                      <w:jc w:val="center"/>
                      <w:rPr>
                        <w:rFonts w:cs="Cambria"/>
                      </w:rPr>
                    </w:pPr>
                    <w:r>
                      <w:rPr>
                        <w:rFonts w:cs="Cambria"/>
                      </w:rPr>
                      <w:t>2022/3/4</w:t>
                    </w:r>
                  </w:p>
                </w:tc>
                <w:sdt>
                  <w:sdtPr>
                    <w:rPr>
                      <w:rFonts w:cs="Cambria"/>
                    </w:rPr>
                    <w:alias w:val="本公司作为被担保方的关联担保情况明细-担保是否已经履行完毕"/>
                    <w:tag w:val="_GBC_d7c54b58f693435fbb78b065d1e813da"/>
                    <w:id w:val="-1747651750"/>
                    <w:lock w:val="sdtLocked"/>
                    <w:comboBox>
                      <w:listItem w:displayText="是" w:value="true"/>
                      <w:listItem w:displayText="否" w:value="false"/>
                    </w:comboBox>
                  </w:sdtPr>
                  <w:sdtEndPr/>
                  <w:sdtContent>
                    <w:tc>
                      <w:tcPr>
                        <w:tcW w:w="1237" w:type="pct"/>
                        <w:tcBorders>
                          <w:top w:val="single" w:sz="4" w:space="0" w:color="auto"/>
                          <w:left w:val="single" w:sz="4" w:space="0" w:color="auto"/>
                          <w:bottom w:val="single" w:sz="4" w:space="0" w:color="auto"/>
                          <w:right w:val="single" w:sz="4" w:space="0" w:color="auto"/>
                        </w:tcBorders>
                        <w:shd w:val="clear" w:color="auto" w:fill="auto"/>
                      </w:tcPr>
                      <w:p w14:paraId="653A7C79" w14:textId="77777777" w:rsidR="00830E72" w:rsidRDefault="008344D8">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GBC_849e7f7a42044b3eaf135f12bb01887f"/>
              <w:id w:val="592673174"/>
              <w:lock w:val="sdtLocked"/>
            </w:sdtPr>
            <w:sdtEndPr/>
            <w:sdtContent>
              <w:tr w:rsidR="00830E72" w14:paraId="7671D1BF" w14:textId="77777777" w:rsidTr="0031638C">
                <w:tc>
                  <w:tcPr>
                    <w:tcW w:w="1053" w:type="pct"/>
                    <w:tcBorders>
                      <w:top w:val="single" w:sz="4" w:space="0" w:color="auto"/>
                      <w:left w:val="single" w:sz="4" w:space="0" w:color="auto"/>
                      <w:bottom w:val="single" w:sz="4" w:space="0" w:color="auto"/>
                      <w:right w:val="single" w:sz="4" w:space="0" w:color="auto"/>
                    </w:tcBorders>
                    <w:shd w:val="clear" w:color="auto" w:fill="auto"/>
                  </w:tcPr>
                  <w:p w14:paraId="4044B3CF" w14:textId="77777777" w:rsidR="00830E72" w:rsidRDefault="008344D8">
                    <w:pPr>
                      <w:rPr>
                        <w:rFonts w:cs="Cambria"/>
                      </w:rPr>
                    </w:pPr>
                    <w:proofErr w:type="gramStart"/>
                    <w:r>
                      <w:rPr>
                        <w:rFonts w:cs="Cambria" w:hint="eastAsia"/>
                      </w:rPr>
                      <w:t>祥</w:t>
                    </w:r>
                    <w:proofErr w:type="gramEnd"/>
                    <w:r>
                      <w:rPr>
                        <w:rFonts w:cs="Cambria" w:hint="eastAsia"/>
                      </w:rPr>
                      <w:t>源控股</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26B2E631" w14:textId="77777777" w:rsidR="00830E72" w:rsidRDefault="008344D8">
                    <w:pPr>
                      <w:jc w:val="right"/>
                      <w:rPr>
                        <w:rFonts w:cs="Cambria"/>
                      </w:rPr>
                    </w:pPr>
                    <w:r>
                      <w:rPr>
                        <w:rFonts w:cs="Cambria"/>
                      </w:rPr>
                      <w:t>10,000.00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38359F0C" w14:textId="77777777" w:rsidR="00830E72" w:rsidRDefault="008344D8">
                    <w:pPr>
                      <w:jc w:val="center"/>
                      <w:rPr>
                        <w:rFonts w:cs="Cambria"/>
                      </w:rPr>
                    </w:pPr>
                    <w:r>
                      <w:rPr>
                        <w:rFonts w:cs="Cambria"/>
                      </w:rPr>
                      <w:t>2021/5/25</w:t>
                    </w:r>
                  </w:p>
                </w:tc>
                <w:tc>
                  <w:tcPr>
                    <w:tcW w:w="1116" w:type="pct"/>
                    <w:tcBorders>
                      <w:top w:val="single" w:sz="4" w:space="0" w:color="auto"/>
                      <w:left w:val="single" w:sz="4" w:space="0" w:color="auto"/>
                      <w:bottom w:val="single" w:sz="4" w:space="0" w:color="auto"/>
                      <w:right w:val="single" w:sz="4" w:space="0" w:color="auto"/>
                    </w:tcBorders>
                    <w:shd w:val="clear" w:color="auto" w:fill="auto"/>
                  </w:tcPr>
                  <w:p w14:paraId="7C236081" w14:textId="77777777" w:rsidR="00830E72" w:rsidRDefault="008344D8">
                    <w:pPr>
                      <w:jc w:val="center"/>
                      <w:rPr>
                        <w:rFonts w:cs="Cambria"/>
                      </w:rPr>
                    </w:pPr>
                    <w:r>
                      <w:rPr>
                        <w:rFonts w:cs="Cambria"/>
                      </w:rPr>
                      <w:t>2024/5/25</w:t>
                    </w:r>
                  </w:p>
                </w:tc>
                <w:sdt>
                  <w:sdtPr>
                    <w:rPr>
                      <w:rFonts w:cs="Cambria"/>
                    </w:rPr>
                    <w:alias w:val="本公司作为被担保方的关联担保情况明细-担保是否已经履行完毕"/>
                    <w:tag w:val="_GBC_d7c54b58f693435fbb78b065d1e813da"/>
                    <w:id w:val="195442843"/>
                    <w:lock w:val="sdtLocked"/>
                    <w:comboBox>
                      <w:listItem w:displayText="是" w:value="true"/>
                      <w:listItem w:displayText="否" w:value="false"/>
                    </w:comboBox>
                  </w:sdtPr>
                  <w:sdtEndPr/>
                  <w:sdtContent>
                    <w:tc>
                      <w:tcPr>
                        <w:tcW w:w="1237" w:type="pct"/>
                        <w:tcBorders>
                          <w:top w:val="single" w:sz="4" w:space="0" w:color="auto"/>
                          <w:left w:val="single" w:sz="4" w:space="0" w:color="auto"/>
                          <w:bottom w:val="single" w:sz="4" w:space="0" w:color="auto"/>
                          <w:right w:val="single" w:sz="4" w:space="0" w:color="auto"/>
                        </w:tcBorders>
                        <w:shd w:val="clear" w:color="auto" w:fill="auto"/>
                      </w:tcPr>
                      <w:p w14:paraId="743A2A33" w14:textId="77777777" w:rsidR="00830E72" w:rsidRDefault="008344D8">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GBC_849e7f7a42044b3eaf135f12bb01887f"/>
              <w:id w:val="493622110"/>
              <w:lock w:val="sdtLocked"/>
            </w:sdtPr>
            <w:sdtEndPr/>
            <w:sdtContent>
              <w:tr w:rsidR="00830E72" w14:paraId="5BE66F89" w14:textId="77777777" w:rsidTr="0031638C">
                <w:tc>
                  <w:tcPr>
                    <w:tcW w:w="1053" w:type="pct"/>
                    <w:tcBorders>
                      <w:top w:val="single" w:sz="4" w:space="0" w:color="auto"/>
                      <w:left w:val="single" w:sz="4" w:space="0" w:color="auto"/>
                      <w:bottom w:val="single" w:sz="4" w:space="0" w:color="auto"/>
                      <w:right w:val="single" w:sz="4" w:space="0" w:color="auto"/>
                    </w:tcBorders>
                    <w:shd w:val="clear" w:color="auto" w:fill="auto"/>
                  </w:tcPr>
                  <w:p w14:paraId="078889E5" w14:textId="77777777" w:rsidR="00830E72" w:rsidRDefault="008344D8">
                    <w:pPr>
                      <w:rPr>
                        <w:rFonts w:cs="Cambria"/>
                      </w:rPr>
                    </w:pPr>
                    <w:proofErr w:type="gramStart"/>
                    <w:r>
                      <w:rPr>
                        <w:rFonts w:cs="Cambria" w:hint="eastAsia"/>
                      </w:rPr>
                      <w:t>祥</w:t>
                    </w:r>
                    <w:proofErr w:type="gramEnd"/>
                    <w:r>
                      <w:rPr>
                        <w:rFonts w:cs="Cambria" w:hint="eastAsia"/>
                      </w:rPr>
                      <w:t>源控股、</w:t>
                    </w:r>
                    <w:proofErr w:type="gramStart"/>
                    <w:r>
                      <w:rPr>
                        <w:rFonts w:cs="Cambria" w:hint="eastAsia"/>
                      </w:rPr>
                      <w:t>俞</w:t>
                    </w:r>
                    <w:proofErr w:type="gramEnd"/>
                    <w:r>
                      <w:rPr>
                        <w:rFonts w:cs="Cambria" w:hint="eastAsia"/>
                      </w:rPr>
                      <w:t>发祥</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1C1ED343" w14:textId="77777777" w:rsidR="00830E72" w:rsidRDefault="008344D8">
                    <w:pPr>
                      <w:jc w:val="right"/>
                      <w:rPr>
                        <w:rFonts w:cs="Cambria"/>
                      </w:rPr>
                    </w:pPr>
                    <w:r>
                      <w:rPr>
                        <w:rFonts w:cs="Cambria"/>
                      </w:rPr>
                      <w:t>12,000.00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659B663D" w14:textId="77777777" w:rsidR="00830E72" w:rsidRDefault="008344D8">
                    <w:pPr>
                      <w:jc w:val="center"/>
                      <w:rPr>
                        <w:rFonts w:cs="Cambria"/>
                      </w:rPr>
                    </w:pPr>
                    <w:r>
                      <w:rPr>
                        <w:rFonts w:cs="Cambria"/>
                      </w:rPr>
                      <w:t>2021/6/9</w:t>
                    </w:r>
                  </w:p>
                </w:tc>
                <w:tc>
                  <w:tcPr>
                    <w:tcW w:w="1116" w:type="pct"/>
                    <w:tcBorders>
                      <w:top w:val="single" w:sz="4" w:space="0" w:color="auto"/>
                      <w:left w:val="single" w:sz="4" w:space="0" w:color="auto"/>
                      <w:bottom w:val="single" w:sz="4" w:space="0" w:color="auto"/>
                      <w:right w:val="single" w:sz="4" w:space="0" w:color="auto"/>
                    </w:tcBorders>
                    <w:shd w:val="clear" w:color="auto" w:fill="auto"/>
                  </w:tcPr>
                  <w:p w14:paraId="15AE1525" w14:textId="77777777" w:rsidR="00830E72" w:rsidRDefault="008344D8">
                    <w:pPr>
                      <w:jc w:val="center"/>
                      <w:rPr>
                        <w:rFonts w:cs="Cambria"/>
                      </w:rPr>
                    </w:pPr>
                    <w:r>
                      <w:rPr>
                        <w:rFonts w:cs="Cambria"/>
                      </w:rPr>
                      <w:t>2024/6/8</w:t>
                    </w:r>
                  </w:p>
                </w:tc>
                <w:sdt>
                  <w:sdtPr>
                    <w:rPr>
                      <w:rFonts w:cs="Cambria"/>
                    </w:rPr>
                    <w:alias w:val="本公司作为被担保方的关联担保情况明细-担保是否已经履行完毕"/>
                    <w:tag w:val="_GBC_d7c54b58f693435fbb78b065d1e813da"/>
                    <w:id w:val="-1168090152"/>
                    <w:lock w:val="sdtLocked"/>
                    <w:comboBox>
                      <w:listItem w:displayText="是" w:value="true"/>
                      <w:listItem w:displayText="否" w:value="false"/>
                    </w:comboBox>
                  </w:sdtPr>
                  <w:sdtEndPr/>
                  <w:sdtContent>
                    <w:tc>
                      <w:tcPr>
                        <w:tcW w:w="1237" w:type="pct"/>
                        <w:tcBorders>
                          <w:top w:val="single" w:sz="4" w:space="0" w:color="auto"/>
                          <w:left w:val="single" w:sz="4" w:space="0" w:color="auto"/>
                          <w:bottom w:val="single" w:sz="4" w:space="0" w:color="auto"/>
                          <w:right w:val="single" w:sz="4" w:space="0" w:color="auto"/>
                        </w:tcBorders>
                        <w:shd w:val="clear" w:color="auto" w:fill="auto"/>
                      </w:tcPr>
                      <w:p w14:paraId="526DDDE5" w14:textId="77777777" w:rsidR="00830E72" w:rsidRDefault="008344D8">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GBC_849e7f7a42044b3eaf135f12bb01887f"/>
              <w:id w:val="-263080280"/>
              <w:lock w:val="sdtLocked"/>
            </w:sdtPr>
            <w:sdtEndPr/>
            <w:sdtContent>
              <w:tr w:rsidR="00830E72" w14:paraId="36584C0F" w14:textId="77777777" w:rsidTr="0031638C">
                <w:tc>
                  <w:tcPr>
                    <w:tcW w:w="1053" w:type="pct"/>
                    <w:tcBorders>
                      <w:top w:val="single" w:sz="4" w:space="0" w:color="auto"/>
                      <w:left w:val="single" w:sz="4" w:space="0" w:color="auto"/>
                      <w:bottom w:val="single" w:sz="4" w:space="0" w:color="auto"/>
                      <w:right w:val="single" w:sz="4" w:space="0" w:color="auto"/>
                    </w:tcBorders>
                    <w:shd w:val="clear" w:color="auto" w:fill="auto"/>
                  </w:tcPr>
                  <w:p w14:paraId="3251B057" w14:textId="77777777" w:rsidR="00830E72" w:rsidRDefault="008344D8">
                    <w:pPr>
                      <w:rPr>
                        <w:rFonts w:cs="Cambria"/>
                      </w:rPr>
                    </w:pPr>
                    <w:proofErr w:type="gramStart"/>
                    <w:r>
                      <w:rPr>
                        <w:rFonts w:cs="Cambria" w:hint="eastAsia"/>
                      </w:rPr>
                      <w:t>祥</w:t>
                    </w:r>
                    <w:proofErr w:type="gramEnd"/>
                    <w:r>
                      <w:rPr>
                        <w:rFonts w:cs="Cambria" w:hint="eastAsia"/>
                      </w:rPr>
                      <w:t>源控股</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02E6BDB8" w14:textId="77777777" w:rsidR="00830E72" w:rsidRDefault="008344D8">
                    <w:pPr>
                      <w:jc w:val="right"/>
                      <w:rPr>
                        <w:rFonts w:cs="Cambria"/>
                      </w:rPr>
                    </w:pPr>
                    <w:r>
                      <w:rPr>
                        <w:rFonts w:cs="Cambria"/>
                      </w:rPr>
                      <w:t>11,000.00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6908F397" w14:textId="77777777" w:rsidR="00830E72" w:rsidRDefault="008344D8">
                    <w:pPr>
                      <w:jc w:val="center"/>
                      <w:rPr>
                        <w:rFonts w:cs="Cambria"/>
                      </w:rPr>
                    </w:pPr>
                    <w:r>
                      <w:rPr>
                        <w:rFonts w:cs="Cambria"/>
                      </w:rPr>
                      <w:t>2020/12/28</w:t>
                    </w:r>
                  </w:p>
                </w:tc>
                <w:tc>
                  <w:tcPr>
                    <w:tcW w:w="1116" w:type="pct"/>
                    <w:tcBorders>
                      <w:top w:val="single" w:sz="4" w:space="0" w:color="auto"/>
                      <w:left w:val="single" w:sz="4" w:space="0" w:color="auto"/>
                      <w:bottom w:val="single" w:sz="4" w:space="0" w:color="auto"/>
                      <w:right w:val="single" w:sz="4" w:space="0" w:color="auto"/>
                    </w:tcBorders>
                    <w:shd w:val="clear" w:color="auto" w:fill="auto"/>
                  </w:tcPr>
                  <w:p w14:paraId="1775C718" w14:textId="77777777" w:rsidR="00830E72" w:rsidRDefault="008344D8">
                    <w:pPr>
                      <w:jc w:val="center"/>
                      <w:rPr>
                        <w:rFonts w:cs="Cambria"/>
                      </w:rPr>
                    </w:pPr>
                    <w:r>
                      <w:rPr>
                        <w:rFonts w:cs="Cambria"/>
                      </w:rPr>
                      <w:t>2024/6/8</w:t>
                    </w:r>
                  </w:p>
                </w:tc>
                <w:sdt>
                  <w:sdtPr>
                    <w:rPr>
                      <w:rFonts w:cs="Cambria"/>
                    </w:rPr>
                    <w:alias w:val="本公司作为被担保方的关联担保情况明细-担保是否已经履行完毕"/>
                    <w:tag w:val="_GBC_d7c54b58f693435fbb78b065d1e813da"/>
                    <w:id w:val="1535392137"/>
                    <w:lock w:val="sdtLocked"/>
                    <w:comboBox>
                      <w:listItem w:displayText="是" w:value="true"/>
                      <w:listItem w:displayText="否" w:value="false"/>
                    </w:comboBox>
                  </w:sdtPr>
                  <w:sdtEndPr/>
                  <w:sdtContent>
                    <w:tc>
                      <w:tcPr>
                        <w:tcW w:w="1237" w:type="pct"/>
                        <w:tcBorders>
                          <w:top w:val="single" w:sz="4" w:space="0" w:color="auto"/>
                          <w:left w:val="single" w:sz="4" w:space="0" w:color="auto"/>
                          <w:bottom w:val="single" w:sz="4" w:space="0" w:color="auto"/>
                          <w:right w:val="single" w:sz="4" w:space="0" w:color="auto"/>
                        </w:tcBorders>
                        <w:shd w:val="clear" w:color="auto" w:fill="auto"/>
                      </w:tcPr>
                      <w:p w14:paraId="1C63A908" w14:textId="77777777" w:rsidR="00830E72" w:rsidRDefault="008344D8">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GBC_849e7f7a42044b3eaf135f12bb01887f"/>
              <w:id w:val="-1150056805"/>
              <w:lock w:val="sdtLocked"/>
            </w:sdtPr>
            <w:sdtEndPr/>
            <w:sdtContent>
              <w:tr w:rsidR="00830E72" w14:paraId="53EF669C" w14:textId="77777777" w:rsidTr="0031638C">
                <w:tc>
                  <w:tcPr>
                    <w:tcW w:w="1053" w:type="pct"/>
                    <w:tcBorders>
                      <w:top w:val="single" w:sz="4" w:space="0" w:color="auto"/>
                      <w:left w:val="single" w:sz="4" w:space="0" w:color="auto"/>
                      <w:bottom w:val="single" w:sz="4" w:space="0" w:color="auto"/>
                      <w:right w:val="single" w:sz="4" w:space="0" w:color="auto"/>
                    </w:tcBorders>
                    <w:shd w:val="clear" w:color="auto" w:fill="auto"/>
                  </w:tcPr>
                  <w:p w14:paraId="746A9F1B" w14:textId="77777777" w:rsidR="00830E72" w:rsidRDefault="008344D8">
                    <w:pPr>
                      <w:rPr>
                        <w:rFonts w:cs="Cambria"/>
                      </w:rPr>
                    </w:pPr>
                    <w:proofErr w:type="gramStart"/>
                    <w:r>
                      <w:rPr>
                        <w:rFonts w:cs="Cambria" w:hint="eastAsia"/>
                      </w:rPr>
                      <w:t>祥</w:t>
                    </w:r>
                    <w:proofErr w:type="gramEnd"/>
                    <w:r>
                      <w:rPr>
                        <w:rFonts w:cs="Cambria" w:hint="eastAsia"/>
                      </w:rPr>
                      <w:t>源控股</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3966CFD6" w14:textId="77777777" w:rsidR="00830E72" w:rsidRDefault="008344D8">
                    <w:pPr>
                      <w:jc w:val="right"/>
                      <w:rPr>
                        <w:rFonts w:cs="Cambria"/>
                      </w:rPr>
                    </w:pPr>
                    <w:r>
                      <w:rPr>
                        <w:rFonts w:cs="Cambria"/>
                      </w:rPr>
                      <w:t>10,000.00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3840167D" w14:textId="77777777" w:rsidR="00830E72" w:rsidRDefault="008344D8">
                    <w:pPr>
                      <w:jc w:val="center"/>
                      <w:rPr>
                        <w:rFonts w:cs="Cambria"/>
                      </w:rPr>
                    </w:pPr>
                    <w:r>
                      <w:rPr>
                        <w:rFonts w:cs="Cambria"/>
                      </w:rPr>
                      <w:t>2020/12/10</w:t>
                    </w:r>
                  </w:p>
                </w:tc>
                <w:tc>
                  <w:tcPr>
                    <w:tcW w:w="1116" w:type="pct"/>
                    <w:tcBorders>
                      <w:top w:val="single" w:sz="4" w:space="0" w:color="auto"/>
                      <w:left w:val="single" w:sz="4" w:space="0" w:color="auto"/>
                      <w:bottom w:val="single" w:sz="4" w:space="0" w:color="auto"/>
                      <w:right w:val="single" w:sz="4" w:space="0" w:color="auto"/>
                    </w:tcBorders>
                    <w:shd w:val="clear" w:color="auto" w:fill="auto"/>
                  </w:tcPr>
                  <w:p w14:paraId="0DAB99C5" w14:textId="77777777" w:rsidR="00830E72" w:rsidRDefault="008344D8">
                    <w:pPr>
                      <w:jc w:val="center"/>
                      <w:rPr>
                        <w:rFonts w:cs="Cambria"/>
                      </w:rPr>
                    </w:pPr>
                    <w:r>
                      <w:rPr>
                        <w:rFonts w:cs="Cambria"/>
                      </w:rPr>
                      <w:t>2021/12/10</w:t>
                    </w:r>
                  </w:p>
                </w:tc>
                <w:sdt>
                  <w:sdtPr>
                    <w:rPr>
                      <w:rFonts w:cs="Cambria"/>
                    </w:rPr>
                    <w:alias w:val="本公司作为被担保方的关联担保情况明细-担保是否已经履行完毕"/>
                    <w:tag w:val="_GBC_d7c54b58f693435fbb78b065d1e813da"/>
                    <w:id w:val="1536239748"/>
                    <w:lock w:val="sdtLocked"/>
                    <w:comboBox>
                      <w:listItem w:displayText="是" w:value="true"/>
                      <w:listItem w:displayText="否" w:value="false"/>
                    </w:comboBox>
                  </w:sdtPr>
                  <w:sdtEndPr/>
                  <w:sdtContent>
                    <w:tc>
                      <w:tcPr>
                        <w:tcW w:w="1237" w:type="pct"/>
                        <w:tcBorders>
                          <w:top w:val="single" w:sz="4" w:space="0" w:color="auto"/>
                          <w:left w:val="single" w:sz="4" w:space="0" w:color="auto"/>
                          <w:bottom w:val="single" w:sz="4" w:space="0" w:color="auto"/>
                          <w:right w:val="single" w:sz="4" w:space="0" w:color="auto"/>
                        </w:tcBorders>
                        <w:shd w:val="clear" w:color="auto" w:fill="auto"/>
                      </w:tcPr>
                      <w:p w14:paraId="0B36E4AD" w14:textId="77777777" w:rsidR="00830E72" w:rsidRDefault="008344D8">
                        <w:pPr>
                          <w:jc w:val="center"/>
                          <w:rPr>
                            <w:rFonts w:cs="Cambria"/>
                          </w:rPr>
                        </w:pPr>
                        <w:proofErr w:type="gramStart"/>
                        <w:r>
                          <w:rPr>
                            <w:rFonts w:cs="Cambria"/>
                          </w:rPr>
                          <w:t>否</w:t>
                        </w:r>
                        <w:proofErr w:type="gramEnd"/>
                      </w:p>
                    </w:tc>
                  </w:sdtContent>
                </w:sdt>
              </w:tr>
            </w:sdtContent>
          </w:sdt>
        </w:tbl>
        <w:p w14:paraId="22405D7E" w14:textId="77777777" w:rsidR="00830E72" w:rsidRDefault="008344D8">
          <w:pPr>
            <w:rPr>
              <w:rFonts w:cs="Cambria"/>
            </w:rPr>
          </w:pPr>
          <w:r>
            <w:rPr>
              <w:rFonts w:cs="Cambria" w:hint="eastAsia"/>
            </w:rPr>
            <w:t>关联担保情况说明</w:t>
          </w:r>
        </w:p>
        <w:sdt>
          <w:sdtPr>
            <w:rPr>
              <w:rFonts w:cs="Cambria"/>
            </w:rPr>
            <w:alias w:val="是否适用：关联担保情况说明[双击切换]"/>
            <w:tag w:val="_GBC_9a5a4769e8804b779ae17adb041890d7"/>
            <w:id w:val="-1849709160"/>
            <w:lock w:val="sdtContentLocked"/>
            <w:placeholder>
              <w:docPart w:val="GBC22222222222222222222222222222"/>
            </w:placeholder>
          </w:sdtPr>
          <w:sdtEndPr/>
          <w:sdtContent>
            <w:p w14:paraId="1A4F770E" w14:textId="77777777" w:rsidR="00830E72" w:rsidRDefault="008344D8">
              <w:pPr>
                <w:rPr>
                  <w:rFonts w:cs="Cambria"/>
                </w:rPr>
              </w:pPr>
              <w:r>
                <w:rPr>
                  <w:rFonts w:cs="Cambria"/>
                </w:rPr>
                <w:fldChar w:fldCharType="begin"/>
              </w:r>
              <w:r>
                <w:rPr>
                  <w:rFonts w:cs="Cambria"/>
                </w:rPr>
                <w:instrText xml:space="preserve"> 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sdtContent>
    </w:sdt>
    <w:bookmarkStart w:id="197" w:name="_Hlk72829984" w:displacedByCustomXml="next"/>
    <w:sdt>
      <w:sdtPr>
        <w:rPr>
          <w:rFonts w:ascii="宋体" w:hAnsi="宋体" w:cs="Arial"/>
          <w:b w:val="0"/>
          <w:bCs w:val="0"/>
          <w:kern w:val="0"/>
          <w:szCs w:val="21"/>
        </w:rPr>
        <w:alias w:val="模块:"/>
        <w:tag w:val="_SEC_b82cc4dd84264685b7f47657a2755690"/>
        <w:id w:val="486059114"/>
        <w:lock w:val="sdtLocked"/>
        <w:placeholder>
          <w:docPart w:val="GBC22222222222222222222222222222"/>
        </w:placeholder>
      </w:sdtPr>
      <w:sdtEndPr>
        <w:rPr>
          <w:rFonts w:cs="Times New Roman"/>
          <w:kern w:val="2"/>
        </w:rPr>
      </w:sdtEndPr>
      <w:sdtContent>
        <w:p w14:paraId="7597041D" w14:textId="77777777" w:rsidR="00830E72" w:rsidRDefault="008344D8">
          <w:pPr>
            <w:pStyle w:val="Style100"/>
            <w:numPr>
              <w:ilvl w:val="0"/>
              <w:numId w:val="84"/>
            </w:numPr>
            <w:tabs>
              <w:tab w:val="left" w:pos="360"/>
              <w:tab w:val="left" w:pos="616"/>
            </w:tabs>
            <w:rPr>
              <w:rFonts w:ascii="宋体" w:hAnsi="宋体" w:cs="Arial"/>
              <w:kern w:val="0"/>
              <w:szCs w:val="21"/>
            </w:rPr>
          </w:pPr>
          <w:r>
            <w:rPr>
              <w:rFonts w:ascii="宋体" w:hAnsi="宋体" w:cs="Arial" w:hint="eastAsia"/>
              <w:kern w:val="0"/>
              <w:szCs w:val="21"/>
            </w:rPr>
            <w:t>关联方资金拆借</w:t>
          </w:r>
        </w:p>
        <w:sdt>
          <w:sdtPr>
            <w:alias w:val="是否适用：关联方资金拆借[双击切换]"/>
            <w:tag w:val="_GBC_4b2d20ddab104a06a9007945a55a3da5"/>
            <w:id w:val="-854957013"/>
            <w:lock w:val="sdtContentLocked"/>
            <w:placeholder>
              <w:docPart w:val="GBC22222222222222222222222222222"/>
            </w:placeholder>
          </w:sdtPr>
          <w:sdtEndPr/>
          <w:sdtContent>
            <w:p w14:paraId="3D85B6EF" w14:textId="77777777" w:rsidR="00830E72" w:rsidRDefault="008344D8">
              <w:pPr>
                <w:rPr>
                  <w:rFonts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97" w:displacedByCustomXml="next"/>
    <w:sdt>
      <w:sdtPr>
        <w:rPr>
          <w:rFonts w:ascii="宋体" w:hAnsi="宋体" w:cs="宋体" w:hint="eastAsia"/>
          <w:b w:val="0"/>
          <w:bCs w:val="0"/>
          <w:kern w:val="0"/>
          <w:szCs w:val="24"/>
        </w:rPr>
        <w:alias w:val="模块:关联方资产转让、债务重组情况"/>
        <w:tag w:val="_GBC_9319584d30f7446b9ff3e2a3d50022d5"/>
        <w:id w:val="1569759933"/>
        <w:lock w:val="sdtLocked"/>
        <w:placeholder>
          <w:docPart w:val="GBC22222222222222222222222222222"/>
        </w:placeholder>
      </w:sdtPr>
      <w:sdtEndPr>
        <w:rPr>
          <w:szCs w:val="21"/>
        </w:rPr>
      </w:sdtEndPr>
      <w:sdtContent>
        <w:p w14:paraId="4DC7C5F7" w14:textId="77777777" w:rsidR="00830E72" w:rsidRDefault="008344D8">
          <w:pPr>
            <w:pStyle w:val="Style100"/>
            <w:numPr>
              <w:ilvl w:val="0"/>
              <w:numId w:val="84"/>
            </w:numPr>
            <w:tabs>
              <w:tab w:val="left" w:pos="616"/>
            </w:tabs>
            <w:rPr>
              <w:rFonts w:ascii="宋体" w:hAnsi="宋体"/>
            </w:rPr>
          </w:pPr>
          <w:r>
            <w:rPr>
              <w:rFonts w:ascii="宋体" w:hAnsi="宋体" w:hint="eastAsia"/>
            </w:rPr>
            <w:t>关联方资产转让、债务重组情况</w:t>
          </w:r>
        </w:p>
        <w:p w14:paraId="04027817" w14:textId="77777777" w:rsidR="00830E72" w:rsidRDefault="00D44830">
          <w:sdt>
            <w:sdtPr>
              <w:alias w:val="是否适用：关联方资产转让、债务重组情况[双击切换]"/>
              <w:tag w:val="_GBC_c590c66abdbe454e89c4c55269fb6adf"/>
              <w:id w:val="963618235"/>
              <w:lock w:val="sdtContentLocked"/>
              <w:placeholder>
                <w:docPart w:val="GBC22222222222222222222222222222"/>
              </w:placeholder>
            </w:sdtPr>
            <w:sdtEndPr/>
            <w:sdtContent>
              <w:r w:rsidR="008344D8">
                <w:fldChar w:fldCharType="begin"/>
              </w:r>
              <w:r w:rsidR="008344D8">
                <w:instrText xml:space="preserve"> MACROBUTTON  SnrToggleCheckbox □适用 </w:instrText>
              </w:r>
              <w:r w:rsidR="008344D8">
                <w:fldChar w:fldCharType="end"/>
              </w:r>
              <w:r w:rsidR="008344D8">
                <w:fldChar w:fldCharType="begin"/>
              </w:r>
              <w:r w:rsidR="008344D8">
                <w:instrText xml:space="preserve"> MACROBUTTON  SnrToggleCheckbox √不适用 </w:instrText>
              </w:r>
              <w:r w:rsidR="008344D8">
                <w:fldChar w:fldCharType="end"/>
              </w:r>
            </w:sdtContent>
          </w:sdt>
        </w:p>
      </w:sdtContent>
    </w:sdt>
    <w:sdt>
      <w:sdtPr>
        <w:rPr>
          <w:rFonts w:ascii="宋体" w:hAnsi="宋体" w:cs="宋体" w:hint="eastAsia"/>
          <w:b w:val="0"/>
          <w:bCs w:val="0"/>
          <w:kern w:val="0"/>
          <w:szCs w:val="24"/>
        </w:rPr>
        <w:alias w:val="模块:关键管理人员报酬"/>
        <w:tag w:val="_GBC_16da1beac91f4544809058bfda2ad3bf"/>
        <w:id w:val="-141347252"/>
        <w:lock w:val="sdtLocked"/>
        <w:placeholder>
          <w:docPart w:val="GBC22222222222222222222222222222"/>
        </w:placeholder>
      </w:sdtPr>
      <w:sdtEndPr>
        <w:rPr>
          <w:rFonts w:cs="Cambria"/>
          <w:szCs w:val="22"/>
        </w:rPr>
      </w:sdtEndPr>
      <w:sdtContent>
        <w:p w14:paraId="6DC5B849" w14:textId="77777777" w:rsidR="00830E72" w:rsidRDefault="008344D8">
          <w:pPr>
            <w:pStyle w:val="Style100"/>
            <w:numPr>
              <w:ilvl w:val="0"/>
              <w:numId w:val="84"/>
            </w:numPr>
            <w:tabs>
              <w:tab w:val="left" w:pos="616"/>
            </w:tabs>
            <w:rPr>
              <w:rFonts w:ascii="宋体" w:hAnsi="宋体"/>
            </w:rPr>
          </w:pPr>
          <w:r>
            <w:rPr>
              <w:rFonts w:ascii="宋体" w:hAnsi="宋体" w:hint="eastAsia"/>
            </w:rPr>
            <w:t>关键管理人员报酬</w:t>
          </w:r>
        </w:p>
        <w:sdt>
          <w:sdtPr>
            <w:alias w:val="是否适用：关键管理人员报酬[双击切换]"/>
            <w:tag w:val="_GBC_48379e9c7f5743bb916ac1cb044f4057"/>
            <w:id w:val="163366214"/>
            <w:lock w:val="sdtContentLocked"/>
            <w:placeholder>
              <w:docPart w:val="GBC22222222222222222222222222222"/>
            </w:placeholder>
          </w:sdtPr>
          <w:sdtEndPr/>
          <w:sdtContent>
            <w:p w14:paraId="553BAF9F"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DCD3E33" w14:textId="77777777" w:rsidR="00830E72" w:rsidRDefault="008344D8">
          <w:pPr>
            <w:jc w:val="right"/>
            <w:rPr>
              <w:rFonts w:cs="Cambria"/>
            </w:rPr>
          </w:pPr>
          <w:r>
            <w:rPr>
              <w:rFonts w:cs="Cambria" w:hint="eastAsia"/>
            </w:rPr>
            <w:t>单位：</w:t>
          </w:r>
          <w:sdt>
            <w:sdtPr>
              <w:rPr>
                <w:rFonts w:cs="Cambria" w:hint="eastAsia"/>
              </w:rPr>
              <w:alias w:val="单位：财务附注：关键管理人员报酬"/>
              <w:tag w:val="_GBC_ce83ed5df8424f9a845da83f15361f10"/>
              <w:id w:val="19770304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cs="Cambria" w:hint="eastAsia"/>
                </w:rPr>
                <w:t>万元</w:t>
              </w:r>
            </w:sdtContent>
          </w:sdt>
          <w:r>
            <w:rPr>
              <w:rFonts w:cs="Cambria" w:hint="eastAsia"/>
            </w:rPr>
            <w:t xml:space="preserve">  币种：</w:t>
          </w:r>
          <w:sdt>
            <w:sdtPr>
              <w:rPr>
                <w:rFonts w:cs="Cambria" w:hint="eastAsia"/>
              </w:rPr>
              <w:alias w:val="币种：财务附注：关键管理人员报酬"/>
              <w:tag w:val="_GBC_f493c9ef199846639115d5bc3032a26e"/>
              <w:id w:val="13201541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3274"/>
            <w:gridCol w:w="2501"/>
          </w:tblGrid>
          <w:tr w:rsidR="00830E72" w14:paraId="3298CA45" w14:textId="77777777">
            <w:sdt>
              <w:sdtPr>
                <w:tag w:val="_PLD_67f843efe3664c9fbe7a215b63622ea0"/>
                <w:id w:val="-233861951"/>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75D829C1" w14:textId="77777777" w:rsidR="00830E72" w:rsidRDefault="008344D8">
                    <w:pPr>
                      <w:jc w:val="center"/>
                      <w:rPr>
                        <w:rFonts w:cs="Cambria"/>
                      </w:rPr>
                    </w:pPr>
                    <w:r>
                      <w:rPr>
                        <w:rFonts w:cs="Cambria" w:hint="eastAsia"/>
                      </w:rPr>
                      <w:t>项目</w:t>
                    </w:r>
                  </w:p>
                </w:tc>
              </w:sdtContent>
            </w:sdt>
            <w:sdt>
              <w:sdtPr>
                <w:tag w:val="_PLD_30a169af324e457e93d304c688a55945"/>
                <w:id w:val="-826661992"/>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00C6BB71" w14:textId="77777777" w:rsidR="00830E72" w:rsidRDefault="008344D8">
                    <w:pPr>
                      <w:jc w:val="center"/>
                      <w:rPr>
                        <w:rFonts w:cs="Cambria"/>
                      </w:rPr>
                    </w:pPr>
                    <w:r>
                      <w:rPr>
                        <w:rFonts w:cs="Cambria" w:hint="eastAsia"/>
                      </w:rPr>
                      <w:t>本期发生额</w:t>
                    </w:r>
                  </w:p>
                </w:tc>
              </w:sdtContent>
            </w:sdt>
            <w:sdt>
              <w:sdtPr>
                <w:tag w:val="_PLD_bf5a91780f544d6eade38e70db331a30"/>
                <w:id w:val="1904413696"/>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631187EF" w14:textId="77777777" w:rsidR="00830E72" w:rsidRDefault="008344D8">
                    <w:pPr>
                      <w:jc w:val="center"/>
                      <w:rPr>
                        <w:rFonts w:cs="Cambria"/>
                      </w:rPr>
                    </w:pPr>
                    <w:r>
                      <w:rPr>
                        <w:rFonts w:cs="Cambria" w:hint="eastAsia"/>
                      </w:rPr>
                      <w:t>上期发生额</w:t>
                    </w:r>
                  </w:p>
                </w:tc>
              </w:sdtContent>
            </w:sdt>
          </w:tr>
          <w:tr w:rsidR="00830E72" w14:paraId="71BB4DFB" w14:textId="77777777">
            <w:sdt>
              <w:sdtPr>
                <w:tag w:val="_PLD_bc4e2a2d92044454966304594fcd32da"/>
                <w:id w:val="-776711184"/>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14:paraId="2A949455" w14:textId="77777777" w:rsidR="00830E72" w:rsidRDefault="008344D8">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14:paraId="210B3D80" w14:textId="77777777" w:rsidR="00830E72" w:rsidRDefault="008344D8">
                <w:pPr>
                  <w:jc w:val="right"/>
                  <w:rPr>
                    <w:rFonts w:cs="Cambria"/>
                  </w:rPr>
                </w:pPr>
                <w:r>
                  <w:rPr>
                    <w:rFonts w:cs="Cambria"/>
                  </w:rPr>
                  <w:t>421.73</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474308F4" w14:textId="77777777" w:rsidR="00830E72" w:rsidRDefault="008344D8">
                <w:pPr>
                  <w:jc w:val="right"/>
                  <w:rPr>
                    <w:rFonts w:cs="Cambria"/>
                  </w:rPr>
                </w:pPr>
                <w:r>
                  <w:rPr>
                    <w:rFonts w:cs="Cambria"/>
                  </w:rPr>
                  <w:t>282.92</w:t>
                </w:r>
              </w:p>
            </w:tc>
          </w:tr>
        </w:tbl>
      </w:sdtContent>
    </w:sdt>
    <w:p w14:paraId="39AB921E" w14:textId="77777777" w:rsidR="00830E72" w:rsidRDefault="00830E72">
      <w:pPr>
        <w:rPr>
          <w:szCs w:val="21"/>
        </w:rPr>
      </w:pPr>
    </w:p>
    <w:sdt>
      <w:sdtPr>
        <w:rPr>
          <w:rFonts w:ascii="宋体" w:hAnsi="宋体" w:cs="宋体" w:hint="eastAsia"/>
          <w:b w:val="0"/>
          <w:bCs w:val="0"/>
          <w:kern w:val="0"/>
          <w:szCs w:val="24"/>
        </w:rPr>
        <w:alias w:val="模块:其他关联交易"/>
        <w:tag w:val="_GBC_45e2e59b0d6145b48f7cfd576edaa9e6"/>
        <w:id w:val="1365259278"/>
        <w:lock w:val="sdtLocked"/>
        <w:placeholder>
          <w:docPart w:val="GBC22222222222222222222222222222"/>
        </w:placeholder>
      </w:sdtPr>
      <w:sdtEndPr>
        <w:rPr>
          <w:rFonts w:cstheme="minorBidi" w:hint="default"/>
          <w:szCs w:val="21"/>
        </w:rPr>
      </w:sdtEndPr>
      <w:sdtContent>
        <w:p w14:paraId="06114D29" w14:textId="77777777" w:rsidR="00830E72" w:rsidRDefault="008344D8">
          <w:pPr>
            <w:pStyle w:val="Style100"/>
            <w:numPr>
              <w:ilvl w:val="0"/>
              <w:numId w:val="84"/>
            </w:numPr>
            <w:tabs>
              <w:tab w:val="left" w:pos="616"/>
            </w:tabs>
            <w:rPr>
              <w:rFonts w:ascii="宋体" w:hAnsi="宋体"/>
            </w:rPr>
          </w:pPr>
          <w:r>
            <w:rPr>
              <w:rFonts w:ascii="宋体" w:hAnsi="宋体" w:hint="eastAsia"/>
            </w:rPr>
            <w:t>其他关联交易</w:t>
          </w:r>
        </w:p>
        <w:sdt>
          <w:sdtPr>
            <w:alias w:val="是否适用：其他关联交易[双击切换]"/>
            <w:tag w:val="_GBC_9768a300838a499089a7b814ff3d817d"/>
            <w:id w:val="-771248849"/>
            <w:lock w:val="sdtContentLocked"/>
            <w:placeholder>
              <w:docPart w:val="GBC22222222222222222222222222222"/>
            </w:placeholder>
          </w:sdtPr>
          <w:sdtEndPr/>
          <w:sdtContent>
            <w:p w14:paraId="60C9E393"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C2C7BC2" w14:textId="77777777" w:rsidR="00830E72" w:rsidRDefault="008344D8">
      <w:pPr>
        <w:pStyle w:val="Style99"/>
        <w:numPr>
          <w:ilvl w:val="0"/>
          <w:numId w:val="83"/>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GBC_a8ddb53cf3424889a48a1749b5a1d910"/>
        <w:id w:val="823938203"/>
        <w:lock w:val="sdtLocked"/>
        <w:placeholder>
          <w:docPart w:val="GBC22222222222222222222222222222"/>
        </w:placeholder>
      </w:sdtPr>
      <w:sdtEndPr>
        <w:rPr>
          <w:rFonts w:cstheme="minorBidi"/>
        </w:rPr>
      </w:sdtEndPr>
      <w:sdtContent>
        <w:p w14:paraId="119496E6" w14:textId="77777777" w:rsidR="00830E72" w:rsidRDefault="008344D8">
          <w:pPr>
            <w:pStyle w:val="Style100"/>
            <w:numPr>
              <w:ilvl w:val="0"/>
              <w:numId w:val="85"/>
            </w:numPr>
            <w:tabs>
              <w:tab w:val="left" w:pos="616"/>
            </w:tabs>
            <w:rPr>
              <w:rFonts w:ascii="宋体" w:hAnsi="宋体"/>
            </w:rPr>
          </w:pPr>
          <w:r>
            <w:rPr>
              <w:rFonts w:ascii="宋体" w:hAnsi="宋体" w:hint="eastAsia"/>
            </w:rPr>
            <w:t>应收项目</w:t>
          </w:r>
        </w:p>
        <w:sdt>
          <w:sdtPr>
            <w:alias w:val="是否适用：应收项目[双击切换]"/>
            <w:tag w:val="_GBC_e5475e28b21641f6895ac4770b2631b5"/>
            <w:id w:val="1259949879"/>
            <w:lock w:val="sdtContentLocked"/>
            <w:placeholder>
              <w:docPart w:val="GBC22222222222222222222222222222"/>
            </w:placeholder>
          </w:sdtPr>
          <w:sdtEndPr/>
          <w:sdtContent>
            <w:p w14:paraId="0C6DABBB"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661E4EC" w14:textId="77777777" w:rsidR="00830E72" w:rsidRDefault="008344D8">
          <w:pPr>
            <w:jc w:val="right"/>
            <w:rPr>
              <w:szCs w:val="21"/>
            </w:rPr>
          </w:pPr>
          <w:r>
            <w:rPr>
              <w:rFonts w:hint="eastAsia"/>
              <w:szCs w:val="21"/>
            </w:rPr>
            <w:t>单位：</w:t>
          </w:r>
          <w:sdt>
            <w:sdtPr>
              <w:rPr>
                <w:rFonts w:hint="eastAsia"/>
                <w:szCs w:val="21"/>
              </w:rPr>
              <w:alias w:val="单位：上市公司应收关联方款项"/>
              <w:tag w:val="_GBC_04d0c208b4494e01aba7984c41905093"/>
              <w:id w:val="16757647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b106fdd467084a62837eebe1d06bbbee"/>
              <w:id w:val="-4401508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449"/>
            <w:gridCol w:w="2268"/>
            <w:gridCol w:w="1560"/>
            <w:gridCol w:w="992"/>
            <w:gridCol w:w="1279"/>
            <w:gridCol w:w="1345"/>
          </w:tblGrid>
          <w:tr w:rsidR="00830E72" w14:paraId="7BF20F95" w14:textId="77777777">
            <w:sdt>
              <w:sdtPr>
                <w:tag w:val="_PLD_75750bc8ac464afa98573c85adea097c"/>
                <w:id w:val="-232015208"/>
                <w:lock w:val="sdtLocked"/>
              </w:sdtPr>
              <w:sdtEndPr/>
              <w:sdtContent>
                <w:tc>
                  <w:tcPr>
                    <w:tcW w:w="815" w:type="pct"/>
                    <w:vMerge w:val="restart"/>
                    <w:tcBorders>
                      <w:top w:val="single" w:sz="4" w:space="0" w:color="auto"/>
                      <w:left w:val="single" w:sz="4" w:space="0" w:color="auto"/>
                      <w:right w:val="single" w:sz="4" w:space="0" w:color="auto"/>
                    </w:tcBorders>
                    <w:vAlign w:val="center"/>
                  </w:tcPr>
                  <w:p w14:paraId="54981038" w14:textId="77777777" w:rsidR="00830E72" w:rsidRDefault="008344D8">
                    <w:pPr>
                      <w:jc w:val="center"/>
                      <w:rPr>
                        <w:szCs w:val="21"/>
                      </w:rPr>
                    </w:pPr>
                    <w:r>
                      <w:rPr>
                        <w:rFonts w:hint="eastAsia"/>
                        <w:szCs w:val="21"/>
                      </w:rPr>
                      <w:t>项目名称</w:t>
                    </w:r>
                  </w:p>
                </w:tc>
              </w:sdtContent>
            </w:sdt>
            <w:sdt>
              <w:sdtPr>
                <w:tag w:val="_PLD_5006be842c534839b3dabcf833329dd5"/>
                <w:id w:val="-2140638460"/>
                <w:lock w:val="sdtLocked"/>
              </w:sdtPr>
              <w:sdtEndPr/>
              <w:sdtContent>
                <w:tc>
                  <w:tcPr>
                    <w:tcW w:w="1275" w:type="pct"/>
                    <w:vMerge w:val="restart"/>
                    <w:tcBorders>
                      <w:top w:val="single" w:sz="4" w:space="0" w:color="auto"/>
                      <w:left w:val="single" w:sz="4" w:space="0" w:color="auto"/>
                      <w:right w:val="single" w:sz="4" w:space="0" w:color="auto"/>
                    </w:tcBorders>
                    <w:vAlign w:val="center"/>
                  </w:tcPr>
                  <w:p w14:paraId="68B3100E" w14:textId="77777777" w:rsidR="00830E72" w:rsidRDefault="008344D8">
                    <w:pPr>
                      <w:jc w:val="center"/>
                      <w:rPr>
                        <w:szCs w:val="21"/>
                      </w:rPr>
                    </w:pPr>
                    <w:r>
                      <w:rPr>
                        <w:rFonts w:hint="eastAsia"/>
                        <w:szCs w:val="21"/>
                      </w:rPr>
                      <w:t>关联方</w:t>
                    </w:r>
                  </w:p>
                </w:tc>
              </w:sdtContent>
            </w:sdt>
            <w:sdt>
              <w:sdtPr>
                <w:tag w:val="_PLD_f8f3c28b2f064090a27f319875eb1b52"/>
                <w:id w:val="-1123148988"/>
                <w:lock w:val="sdtLocked"/>
              </w:sdtPr>
              <w:sdtEndPr/>
              <w:sdtContent>
                <w:tc>
                  <w:tcPr>
                    <w:tcW w:w="1435" w:type="pct"/>
                    <w:gridSpan w:val="2"/>
                    <w:tcBorders>
                      <w:top w:val="single" w:sz="4" w:space="0" w:color="auto"/>
                      <w:left w:val="single" w:sz="4" w:space="0" w:color="auto"/>
                      <w:bottom w:val="single" w:sz="4" w:space="0" w:color="auto"/>
                      <w:right w:val="single" w:sz="4" w:space="0" w:color="auto"/>
                    </w:tcBorders>
                    <w:vAlign w:val="center"/>
                  </w:tcPr>
                  <w:p w14:paraId="387BCF84" w14:textId="77777777" w:rsidR="00830E72" w:rsidRDefault="008344D8">
                    <w:pPr>
                      <w:jc w:val="center"/>
                      <w:rPr>
                        <w:szCs w:val="21"/>
                      </w:rPr>
                    </w:pPr>
                    <w:r>
                      <w:rPr>
                        <w:rFonts w:hint="eastAsia"/>
                        <w:szCs w:val="21"/>
                      </w:rPr>
                      <w:t>期末余额</w:t>
                    </w:r>
                  </w:p>
                </w:tc>
              </w:sdtContent>
            </w:sdt>
            <w:sdt>
              <w:sdtPr>
                <w:tag w:val="_PLD_fdab8cbff0b74f19a916d61075f629a0"/>
                <w:id w:val="-208262821"/>
                <w:lock w:val="sdtLocked"/>
              </w:sdtPr>
              <w:sdtEndPr/>
              <w:sdtContent>
                <w:tc>
                  <w:tcPr>
                    <w:tcW w:w="1476" w:type="pct"/>
                    <w:gridSpan w:val="2"/>
                    <w:tcBorders>
                      <w:top w:val="single" w:sz="4" w:space="0" w:color="auto"/>
                      <w:left w:val="single" w:sz="4" w:space="0" w:color="auto"/>
                      <w:bottom w:val="single" w:sz="4" w:space="0" w:color="auto"/>
                      <w:right w:val="single" w:sz="4" w:space="0" w:color="auto"/>
                    </w:tcBorders>
                    <w:vAlign w:val="center"/>
                  </w:tcPr>
                  <w:p w14:paraId="00D4BA0C" w14:textId="77777777" w:rsidR="00830E72" w:rsidRDefault="008344D8">
                    <w:pPr>
                      <w:jc w:val="center"/>
                      <w:rPr>
                        <w:szCs w:val="21"/>
                      </w:rPr>
                    </w:pPr>
                    <w:r>
                      <w:rPr>
                        <w:rFonts w:hint="eastAsia"/>
                        <w:szCs w:val="21"/>
                      </w:rPr>
                      <w:t>期初余额</w:t>
                    </w:r>
                  </w:p>
                </w:tc>
              </w:sdtContent>
            </w:sdt>
          </w:tr>
          <w:tr w:rsidR="00830E72" w14:paraId="2B00699A" w14:textId="77777777">
            <w:tc>
              <w:tcPr>
                <w:tcW w:w="815" w:type="pct"/>
                <w:vMerge/>
                <w:tcBorders>
                  <w:left w:val="single" w:sz="4" w:space="0" w:color="auto"/>
                  <w:bottom w:val="single" w:sz="4" w:space="0" w:color="auto"/>
                  <w:right w:val="single" w:sz="4" w:space="0" w:color="auto"/>
                </w:tcBorders>
                <w:vAlign w:val="center"/>
              </w:tcPr>
              <w:p w14:paraId="104CD44C" w14:textId="77777777" w:rsidR="00830E72" w:rsidRDefault="00830E72">
                <w:pPr>
                  <w:jc w:val="center"/>
                  <w:rPr>
                    <w:szCs w:val="21"/>
                  </w:rPr>
                </w:pPr>
              </w:p>
            </w:tc>
            <w:tc>
              <w:tcPr>
                <w:tcW w:w="1275" w:type="pct"/>
                <w:vMerge/>
                <w:tcBorders>
                  <w:left w:val="single" w:sz="4" w:space="0" w:color="auto"/>
                  <w:bottom w:val="single" w:sz="4" w:space="0" w:color="auto"/>
                  <w:right w:val="single" w:sz="4" w:space="0" w:color="auto"/>
                </w:tcBorders>
                <w:vAlign w:val="center"/>
              </w:tcPr>
              <w:p w14:paraId="6E792EB7" w14:textId="77777777" w:rsidR="00830E72" w:rsidRDefault="00830E72">
                <w:pPr>
                  <w:jc w:val="center"/>
                  <w:rPr>
                    <w:szCs w:val="21"/>
                  </w:rPr>
                </w:pPr>
              </w:p>
            </w:tc>
            <w:sdt>
              <w:sdtPr>
                <w:tag w:val="_PLD_5c085d18049644c9860a00b248b7c0ba"/>
                <w:id w:val="-1593465072"/>
                <w:lock w:val="sdtLocked"/>
              </w:sdtPr>
              <w:sdtEndPr/>
              <w:sdtContent>
                <w:tc>
                  <w:tcPr>
                    <w:tcW w:w="877" w:type="pct"/>
                    <w:tcBorders>
                      <w:top w:val="single" w:sz="4" w:space="0" w:color="auto"/>
                      <w:left w:val="single" w:sz="4" w:space="0" w:color="auto"/>
                      <w:bottom w:val="single" w:sz="4" w:space="0" w:color="auto"/>
                      <w:right w:val="single" w:sz="4" w:space="0" w:color="auto"/>
                    </w:tcBorders>
                    <w:vAlign w:val="center"/>
                  </w:tcPr>
                  <w:p w14:paraId="3A020AC8" w14:textId="77777777" w:rsidR="00830E72" w:rsidRDefault="008344D8">
                    <w:pPr>
                      <w:jc w:val="center"/>
                      <w:rPr>
                        <w:szCs w:val="21"/>
                      </w:rPr>
                    </w:pPr>
                    <w:r>
                      <w:rPr>
                        <w:rFonts w:hint="eastAsia"/>
                        <w:szCs w:val="21"/>
                      </w:rPr>
                      <w:t>账面余额</w:t>
                    </w:r>
                  </w:p>
                </w:tc>
              </w:sdtContent>
            </w:sdt>
            <w:sdt>
              <w:sdtPr>
                <w:tag w:val="_PLD_8262489c05a6417a883e2c877ded6170"/>
                <w:id w:val="201147912"/>
                <w:lock w:val="sdtLocked"/>
              </w:sdtPr>
              <w:sdtEndPr/>
              <w:sdtContent>
                <w:tc>
                  <w:tcPr>
                    <w:tcW w:w="558" w:type="pct"/>
                    <w:tcBorders>
                      <w:top w:val="single" w:sz="4" w:space="0" w:color="auto"/>
                      <w:left w:val="single" w:sz="4" w:space="0" w:color="auto"/>
                      <w:bottom w:val="single" w:sz="4" w:space="0" w:color="auto"/>
                      <w:right w:val="single" w:sz="4" w:space="0" w:color="auto"/>
                    </w:tcBorders>
                    <w:vAlign w:val="center"/>
                  </w:tcPr>
                  <w:p w14:paraId="7B646E7F" w14:textId="77777777" w:rsidR="00830E72" w:rsidRDefault="008344D8">
                    <w:pPr>
                      <w:jc w:val="center"/>
                      <w:rPr>
                        <w:szCs w:val="21"/>
                      </w:rPr>
                    </w:pPr>
                    <w:r>
                      <w:rPr>
                        <w:rFonts w:hint="eastAsia"/>
                        <w:szCs w:val="21"/>
                      </w:rPr>
                      <w:t>坏账准备</w:t>
                    </w:r>
                  </w:p>
                </w:tc>
              </w:sdtContent>
            </w:sdt>
            <w:sdt>
              <w:sdtPr>
                <w:tag w:val="_PLD_46c6d827df3f47a3bc83a6dd8718f17e"/>
                <w:id w:val="713464335"/>
                <w:lock w:val="sdtLocked"/>
              </w:sdtPr>
              <w:sdtEndPr/>
              <w:sdtContent>
                <w:tc>
                  <w:tcPr>
                    <w:tcW w:w="719" w:type="pct"/>
                    <w:tcBorders>
                      <w:top w:val="single" w:sz="4" w:space="0" w:color="auto"/>
                      <w:left w:val="single" w:sz="4" w:space="0" w:color="auto"/>
                      <w:bottom w:val="single" w:sz="4" w:space="0" w:color="auto"/>
                      <w:right w:val="single" w:sz="4" w:space="0" w:color="auto"/>
                    </w:tcBorders>
                    <w:vAlign w:val="center"/>
                  </w:tcPr>
                  <w:p w14:paraId="56F00827" w14:textId="77777777" w:rsidR="00830E72" w:rsidRDefault="008344D8">
                    <w:pPr>
                      <w:jc w:val="center"/>
                      <w:rPr>
                        <w:szCs w:val="21"/>
                      </w:rPr>
                    </w:pPr>
                    <w:r>
                      <w:rPr>
                        <w:rFonts w:hint="eastAsia"/>
                        <w:szCs w:val="21"/>
                      </w:rPr>
                      <w:t>账面余额</w:t>
                    </w:r>
                  </w:p>
                </w:tc>
              </w:sdtContent>
            </w:sdt>
            <w:sdt>
              <w:sdtPr>
                <w:tag w:val="_PLD_fca2aa8baf8a48a7a4cdc730d7420d47"/>
                <w:id w:val="1083261349"/>
                <w:lock w:val="sdtLocked"/>
              </w:sdtPr>
              <w:sdtEndPr/>
              <w:sdtContent>
                <w:tc>
                  <w:tcPr>
                    <w:tcW w:w="757" w:type="pct"/>
                    <w:tcBorders>
                      <w:top w:val="single" w:sz="4" w:space="0" w:color="auto"/>
                      <w:left w:val="single" w:sz="4" w:space="0" w:color="auto"/>
                      <w:bottom w:val="single" w:sz="4" w:space="0" w:color="auto"/>
                      <w:right w:val="single" w:sz="4" w:space="0" w:color="auto"/>
                    </w:tcBorders>
                    <w:vAlign w:val="center"/>
                  </w:tcPr>
                  <w:p w14:paraId="5175B07C" w14:textId="77777777" w:rsidR="00830E72" w:rsidRDefault="008344D8">
                    <w:pPr>
                      <w:jc w:val="center"/>
                      <w:rPr>
                        <w:szCs w:val="21"/>
                      </w:rPr>
                    </w:pPr>
                    <w:r>
                      <w:rPr>
                        <w:rFonts w:hint="eastAsia"/>
                        <w:szCs w:val="21"/>
                      </w:rPr>
                      <w:t>坏账准备</w:t>
                    </w:r>
                  </w:p>
                </w:tc>
              </w:sdtContent>
            </w:sdt>
          </w:tr>
          <w:sdt>
            <w:sdtPr>
              <w:rPr>
                <w:rFonts w:hint="eastAsia"/>
                <w:szCs w:val="21"/>
              </w:rPr>
              <w:alias w:val="上市公司应收关联方款项明细"/>
              <w:tag w:val="_GBC_203fd12dc6be4a978fe2a9d9f5ad1070"/>
              <w:id w:val="972712607"/>
              <w:placeholder>
                <w:docPart w:val="GBC11111111111111111111111111111"/>
              </w:placeholder>
            </w:sdtPr>
            <w:sdtEndPr/>
            <w:sdtContent>
              <w:tr w:rsidR="00830E72" w14:paraId="38819B08" w14:textId="77777777">
                <w:tc>
                  <w:tcPr>
                    <w:tcW w:w="815" w:type="pct"/>
                    <w:tcBorders>
                      <w:top w:val="single" w:sz="4" w:space="0" w:color="auto"/>
                      <w:left w:val="single" w:sz="4" w:space="0" w:color="auto"/>
                      <w:bottom w:val="single" w:sz="4" w:space="0" w:color="auto"/>
                      <w:right w:val="single" w:sz="4" w:space="0" w:color="auto"/>
                    </w:tcBorders>
                    <w:vAlign w:val="center"/>
                  </w:tcPr>
                  <w:p w14:paraId="49E009A5" w14:textId="77777777" w:rsidR="00830E72" w:rsidRDefault="008344D8">
                    <w:pPr>
                      <w:autoSpaceDE w:val="0"/>
                      <w:autoSpaceDN w:val="0"/>
                      <w:adjustRightInd w:val="0"/>
                      <w:rPr>
                        <w:szCs w:val="21"/>
                      </w:rPr>
                    </w:pPr>
                    <w:r>
                      <w:rPr>
                        <w:rFonts w:hint="eastAsia"/>
                        <w:szCs w:val="21"/>
                      </w:rPr>
                      <w:t>预付款项</w:t>
                    </w:r>
                  </w:p>
                </w:tc>
                <w:tc>
                  <w:tcPr>
                    <w:tcW w:w="1275" w:type="pct"/>
                    <w:tcBorders>
                      <w:top w:val="single" w:sz="4" w:space="0" w:color="auto"/>
                      <w:left w:val="single" w:sz="4" w:space="0" w:color="auto"/>
                      <w:bottom w:val="single" w:sz="4" w:space="0" w:color="auto"/>
                      <w:right w:val="single" w:sz="4" w:space="0" w:color="auto"/>
                    </w:tcBorders>
                  </w:tcPr>
                  <w:p w14:paraId="32DECA78" w14:textId="77777777" w:rsidR="00830E72" w:rsidRDefault="008344D8">
                    <w:pPr>
                      <w:autoSpaceDE w:val="0"/>
                      <w:autoSpaceDN w:val="0"/>
                      <w:adjustRightInd w:val="0"/>
                      <w:rPr>
                        <w:szCs w:val="21"/>
                      </w:rPr>
                    </w:pPr>
                    <w:r>
                      <w:rPr>
                        <w:rFonts w:hint="eastAsia"/>
                        <w:szCs w:val="21"/>
                      </w:rPr>
                      <w:t>合肥祥源物业有限公司</w:t>
                    </w:r>
                  </w:p>
                </w:tc>
                <w:tc>
                  <w:tcPr>
                    <w:tcW w:w="877" w:type="pct"/>
                    <w:tcBorders>
                      <w:top w:val="single" w:sz="4" w:space="0" w:color="auto"/>
                      <w:left w:val="single" w:sz="4" w:space="0" w:color="auto"/>
                      <w:bottom w:val="single" w:sz="4" w:space="0" w:color="auto"/>
                      <w:right w:val="single" w:sz="4" w:space="0" w:color="auto"/>
                    </w:tcBorders>
                  </w:tcPr>
                  <w:p w14:paraId="280A3B08" w14:textId="77777777" w:rsidR="00830E72" w:rsidRDefault="008344D8">
                    <w:pPr>
                      <w:autoSpaceDE w:val="0"/>
                      <w:autoSpaceDN w:val="0"/>
                      <w:adjustRightInd w:val="0"/>
                      <w:jc w:val="right"/>
                      <w:rPr>
                        <w:szCs w:val="21"/>
                      </w:rPr>
                    </w:pPr>
                    <w:r>
                      <w:rPr>
                        <w:szCs w:val="21"/>
                      </w:rPr>
                      <w:t>38,521.17</w:t>
                    </w:r>
                  </w:p>
                </w:tc>
                <w:tc>
                  <w:tcPr>
                    <w:tcW w:w="558" w:type="pct"/>
                    <w:tcBorders>
                      <w:top w:val="single" w:sz="4" w:space="0" w:color="auto"/>
                      <w:left w:val="single" w:sz="4" w:space="0" w:color="auto"/>
                      <w:bottom w:val="single" w:sz="4" w:space="0" w:color="auto"/>
                      <w:right w:val="single" w:sz="4" w:space="0" w:color="auto"/>
                    </w:tcBorders>
                  </w:tcPr>
                  <w:p w14:paraId="2B8768CA" w14:textId="77777777" w:rsidR="00830E72" w:rsidRDefault="00830E72">
                    <w:pPr>
                      <w:autoSpaceDE w:val="0"/>
                      <w:autoSpaceDN w:val="0"/>
                      <w:adjustRightInd w:val="0"/>
                      <w:jc w:val="right"/>
                      <w:rPr>
                        <w:szCs w:val="21"/>
                      </w:rPr>
                    </w:pPr>
                  </w:p>
                </w:tc>
                <w:tc>
                  <w:tcPr>
                    <w:tcW w:w="719" w:type="pct"/>
                    <w:tcBorders>
                      <w:top w:val="single" w:sz="4" w:space="0" w:color="auto"/>
                      <w:left w:val="single" w:sz="4" w:space="0" w:color="auto"/>
                      <w:bottom w:val="single" w:sz="4" w:space="0" w:color="auto"/>
                      <w:right w:val="single" w:sz="4" w:space="0" w:color="auto"/>
                    </w:tcBorders>
                  </w:tcPr>
                  <w:p w14:paraId="04CBE0C8" w14:textId="77777777" w:rsidR="00830E72" w:rsidRDefault="008344D8">
                    <w:pPr>
                      <w:autoSpaceDE w:val="0"/>
                      <w:autoSpaceDN w:val="0"/>
                      <w:adjustRightInd w:val="0"/>
                      <w:jc w:val="right"/>
                      <w:rPr>
                        <w:szCs w:val="21"/>
                      </w:rPr>
                    </w:pPr>
                    <w:r>
                      <w:rPr>
                        <w:szCs w:val="21"/>
                      </w:rPr>
                      <w:t>38,521.17</w:t>
                    </w:r>
                  </w:p>
                </w:tc>
                <w:tc>
                  <w:tcPr>
                    <w:tcW w:w="757" w:type="pct"/>
                    <w:tcBorders>
                      <w:top w:val="single" w:sz="4" w:space="0" w:color="auto"/>
                      <w:left w:val="single" w:sz="4" w:space="0" w:color="auto"/>
                      <w:bottom w:val="single" w:sz="4" w:space="0" w:color="auto"/>
                      <w:right w:val="single" w:sz="4" w:space="0" w:color="auto"/>
                    </w:tcBorders>
                  </w:tcPr>
                  <w:p w14:paraId="1C7B1281" w14:textId="77777777" w:rsidR="00830E72" w:rsidRDefault="00830E72">
                    <w:pPr>
                      <w:autoSpaceDE w:val="0"/>
                      <w:autoSpaceDN w:val="0"/>
                      <w:adjustRightInd w:val="0"/>
                      <w:jc w:val="right"/>
                      <w:rPr>
                        <w:szCs w:val="21"/>
                      </w:rPr>
                    </w:pPr>
                  </w:p>
                </w:tc>
              </w:tr>
            </w:sdtContent>
          </w:sdt>
        </w:tbl>
        <w:p w14:paraId="5F255646" w14:textId="77777777" w:rsidR="00830E72" w:rsidRDefault="00D44830">
          <w:pPr>
            <w:rPr>
              <w:szCs w:val="21"/>
            </w:rPr>
          </w:pPr>
        </w:p>
      </w:sdtContent>
    </w:sdt>
    <w:sdt>
      <w:sdtPr>
        <w:rPr>
          <w:rFonts w:ascii="宋体" w:hAnsi="宋体" w:cs="宋体" w:hint="eastAsia"/>
          <w:b w:val="0"/>
          <w:bCs w:val="0"/>
          <w:kern w:val="0"/>
          <w:szCs w:val="24"/>
        </w:rPr>
        <w:alias w:val="模块:上市公司应付关联方款项"/>
        <w:tag w:val="_GBC_e7a5511f50dd4f05a897cdfaeac4023f"/>
        <w:id w:val="250022670"/>
        <w:lock w:val="sdtLocked"/>
        <w:placeholder>
          <w:docPart w:val="GBC22222222222222222222222222222"/>
        </w:placeholder>
      </w:sdtPr>
      <w:sdtEndPr>
        <w:rPr>
          <w:rFonts w:cstheme="minorBidi"/>
          <w:szCs w:val="21"/>
        </w:rPr>
      </w:sdtEndPr>
      <w:sdtContent>
        <w:p w14:paraId="366BA980" w14:textId="77777777" w:rsidR="00830E72" w:rsidRDefault="008344D8">
          <w:pPr>
            <w:pStyle w:val="Style100"/>
            <w:numPr>
              <w:ilvl w:val="0"/>
              <w:numId w:val="85"/>
            </w:numPr>
            <w:tabs>
              <w:tab w:val="left" w:pos="616"/>
            </w:tabs>
            <w:rPr>
              <w:rFonts w:ascii="宋体" w:hAnsi="宋体"/>
            </w:rPr>
          </w:pPr>
          <w:r>
            <w:rPr>
              <w:rFonts w:ascii="宋体" w:hAnsi="宋体" w:hint="eastAsia"/>
            </w:rPr>
            <w:t>应付项目</w:t>
          </w:r>
        </w:p>
        <w:p w14:paraId="5B5266D2" w14:textId="77777777" w:rsidR="00830E72" w:rsidRDefault="00D44830">
          <w:pPr>
            <w:rPr>
              <w:szCs w:val="21"/>
            </w:rPr>
          </w:pPr>
          <w:sdt>
            <w:sdtPr>
              <w:rPr>
                <w:rFonts w:hint="eastAsia"/>
                <w:szCs w:val="21"/>
              </w:rPr>
              <w:alias w:val="是否适用：应付项目[双击切换]"/>
              <w:tag w:val="_GBC_9dbefb51b716471b878d2e2863524a53"/>
              <w:id w:val="-1421328401"/>
              <w:lock w:val="sdtContentLocked"/>
              <w:placeholder>
                <w:docPart w:val="GBC22222222222222222222222222222"/>
              </w:placeholder>
            </w:sdtPr>
            <w:sdtEndPr/>
            <w:sdtContent>
              <w:r w:rsidR="008344D8">
                <w:rPr>
                  <w:szCs w:val="21"/>
                </w:rPr>
                <w:fldChar w:fldCharType="begin"/>
              </w:r>
              <w:r w:rsidR="008344D8">
                <w:rPr>
                  <w:szCs w:val="21"/>
                </w:rPr>
                <w:instrText xml:space="preserve"> MACROBUTTON  SnrToggleCheckbox □适用 </w:instrText>
              </w:r>
              <w:r w:rsidR="008344D8">
                <w:rPr>
                  <w:szCs w:val="21"/>
                </w:rPr>
                <w:fldChar w:fldCharType="end"/>
              </w:r>
              <w:r w:rsidR="008344D8">
                <w:rPr>
                  <w:szCs w:val="21"/>
                </w:rPr>
                <w:fldChar w:fldCharType="begin"/>
              </w:r>
              <w:r w:rsidR="008344D8">
                <w:rPr>
                  <w:szCs w:val="21"/>
                </w:rPr>
                <w:instrText xml:space="preserve"> MACROBUTTON  SnrToggleCheckbox √不适用 </w:instrText>
              </w:r>
              <w:r w:rsidR="008344D8">
                <w:rPr>
                  <w:szCs w:val="21"/>
                </w:rPr>
                <w:fldChar w:fldCharType="end"/>
              </w:r>
            </w:sdtContent>
          </w:sdt>
        </w:p>
      </w:sdtContent>
    </w:sdt>
    <w:sdt>
      <w:sdtPr>
        <w:rPr>
          <w:rFonts w:ascii="宋体" w:hAnsi="宋体" w:cs="宋体" w:hint="eastAsia"/>
          <w:b w:val="0"/>
          <w:bCs w:val="0"/>
          <w:kern w:val="0"/>
          <w:szCs w:val="24"/>
        </w:rPr>
        <w:alias w:val="模块:关联方承诺"/>
        <w:tag w:val="_GBC_945a5f0033de4c9786bb7245eedc88e3"/>
        <w:id w:val="-466825435"/>
        <w:lock w:val="sdtLocked"/>
        <w:placeholder>
          <w:docPart w:val="GBC22222222222222222222222222222"/>
        </w:placeholder>
      </w:sdtPr>
      <w:sdtEndPr>
        <w:rPr>
          <w:rFonts w:cs="Cambria"/>
          <w:sz w:val="20"/>
          <w:szCs w:val="20"/>
        </w:rPr>
      </w:sdtEndPr>
      <w:sdtContent>
        <w:p w14:paraId="033F5F88" w14:textId="77777777" w:rsidR="00830E72" w:rsidRDefault="008344D8">
          <w:pPr>
            <w:pStyle w:val="Style99"/>
            <w:numPr>
              <w:ilvl w:val="0"/>
              <w:numId w:val="83"/>
            </w:numPr>
            <w:rPr>
              <w:rFonts w:ascii="宋体" w:hAnsi="宋体" w:cs="Arial"/>
              <w:szCs w:val="21"/>
            </w:rPr>
          </w:pPr>
          <w:r>
            <w:rPr>
              <w:rFonts w:ascii="宋体" w:hAnsi="宋体" w:hint="eastAsia"/>
            </w:rPr>
            <w:t>关联方</w:t>
          </w:r>
          <w:r>
            <w:rPr>
              <w:rFonts w:ascii="宋体" w:hAnsi="宋体" w:cs="Arial" w:hint="eastAsia"/>
              <w:szCs w:val="21"/>
            </w:rPr>
            <w:t>承诺</w:t>
          </w:r>
        </w:p>
        <w:sdt>
          <w:sdtPr>
            <w:alias w:val="是否适用：关联方承诺[双击切换]"/>
            <w:tag w:val="_GBC_b906cacab2e94825966fa70e345656b5"/>
            <w:id w:val="1971238683"/>
            <w:lock w:val="sdtContentLocked"/>
            <w:placeholder>
              <w:docPart w:val="GBC22222222222222222222222222222"/>
            </w:placeholder>
          </w:sdtPr>
          <w:sdtEndPr/>
          <w:sdtContent>
            <w:p w14:paraId="3140A4B2"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关联方及关联情况的其他说明"/>
        <w:tag w:val="_GBC_f467d909644e4ab6b08e0abfbea78eb8"/>
        <w:id w:val="-2008970430"/>
        <w:lock w:val="sdtLocked"/>
        <w:placeholder>
          <w:docPart w:val="GBC22222222222222222222222222222"/>
        </w:placeholder>
      </w:sdtPr>
      <w:sdtEndPr>
        <w:rPr>
          <w:rFonts w:cs="Cambria"/>
          <w:sz w:val="20"/>
          <w:szCs w:val="20"/>
        </w:rPr>
      </w:sdtEndPr>
      <w:sdtContent>
        <w:p w14:paraId="17FB14AA" w14:textId="77777777" w:rsidR="00830E72" w:rsidRDefault="008344D8">
          <w:pPr>
            <w:pStyle w:val="Style99"/>
            <w:numPr>
              <w:ilvl w:val="0"/>
              <w:numId w:val="83"/>
            </w:numPr>
            <w:rPr>
              <w:rFonts w:ascii="宋体" w:hAnsi="宋体" w:cs="Arial"/>
              <w:szCs w:val="21"/>
            </w:rPr>
          </w:pPr>
          <w:r>
            <w:rPr>
              <w:rFonts w:ascii="宋体" w:hAnsi="宋体" w:cs="Arial" w:hint="eastAsia"/>
              <w:szCs w:val="21"/>
            </w:rPr>
            <w:t>其他</w:t>
          </w:r>
        </w:p>
        <w:sdt>
          <w:sdtPr>
            <w:alias w:val="是否适用：关联方及关联情况的其他说明[双击切换]"/>
            <w:tag w:val="_GBC_87161343db8b4a0b9e041c62c0df5e87"/>
            <w:id w:val="705293455"/>
            <w:lock w:val="sdtContentLocked"/>
            <w:placeholder>
              <w:docPart w:val="GBC22222222222222222222222222222"/>
            </w:placeholder>
          </w:sdtPr>
          <w:sdtEndPr/>
          <w:sdtContent>
            <w:p w14:paraId="165479A1" w14:textId="77777777" w:rsidR="00830E72" w:rsidRDefault="008344D8">
              <w:pPr>
                <w:rPr>
                  <w:rFonts w:cs="Cambria"/>
                  <w:b/>
                  <w:sz w:val="20"/>
                  <w:szCs w:val="2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1CACDFC" w14:textId="77777777" w:rsidR="00830E72" w:rsidRDefault="008344D8">
      <w:pPr>
        <w:pStyle w:val="2CharCharChar"/>
        <w:numPr>
          <w:ilvl w:val="0"/>
          <w:numId w:val="32"/>
        </w:numPr>
        <w:ind w:left="422" w:hanging="422"/>
        <w:rPr>
          <w:rFonts w:ascii="宋体" w:hAnsi="宋体"/>
        </w:rPr>
      </w:pPr>
      <w:r>
        <w:rPr>
          <w:rFonts w:ascii="宋体" w:hAnsi="宋体" w:hint="eastAsia"/>
        </w:rPr>
        <w:t>股份支付</w:t>
      </w:r>
    </w:p>
    <w:sdt>
      <w:sdtPr>
        <w:rPr>
          <w:rFonts w:ascii="宋体" w:hAnsi="宋体" w:cs="宋体" w:hint="eastAsia"/>
          <w:b w:val="0"/>
          <w:bCs w:val="0"/>
          <w:kern w:val="0"/>
          <w:szCs w:val="24"/>
        </w:rPr>
        <w:alias w:val="模块:股份支付总体情况"/>
        <w:tag w:val="_GBC_07972b1f6b5c4904b730c6b344e432ee"/>
        <w:id w:val="-105809458"/>
        <w:lock w:val="sdtLocked"/>
        <w:placeholder>
          <w:docPart w:val="GBC22222222222222222222222222222"/>
        </w:placeholder>
      </w:sdtPr>
      <w:sdtEndPr>
        <w:rPr>
          <w:rFonts w:cstheme="minorBidi"/>
          <w:szCs w:val="21"/>
        </w:rPr>
      </w:sdtEndPr>
      <w:sdtContent>
        <w:p w14:paraId="1C4D14BD" w14:textId="77777777" w:rsidR="00830E72" w:rsidRDefault="008344D8">
          <w:pPr>
            <w:pStyle w:val="Style99"/>
            <w:numPr>
              <w:ilvl w:val="0"/>
              <w:numId w:val="86"/>
            </w:numPr>
            <w:rPr>
              <w:rFonts w:ascii="宋体" w:hAnsi="宋体"/>
            </w:rPr>
          </w:pPr>
          <w:r>
            <w:rPr>
              <w:rFonts w:ascii="宋体" w:hAnsi="宋体" w:hint="eastAsia"/>
            </w:rPr>
            <w:t>股份支付总体情况</w:t>
          </w:r>
        </w:p>
        <w:sdt>
          <w:sdtPr>
            <w:alias w:val="是否适用：股份支付总体情况[双击切换]"/>
            <w:tag w:val="_GBC_7d36569622d040fb870ad46d99420cd2"/>
            <w:id w:val="-1737001860"/>
            <w:lock w:val="sdtContentLocked"/>
            <w:placeholder>
              <w:docPart w:val="GBC22222222222222222222222222222"/>
            </w:placeholder>
          </w:sdtPr>
          <w:sdtEndPr/>
          <w:sdtContent>
            <w:p w14:paraId="5421687B"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以权益结算的股份支付情况"/>
        <w:tag w:val="_GBC_a6f090c303de426580c058a0a463c95f"/>
        <w:id w:val="808510294"/>
        <w:lock w:val="sdtLocked"/>
        <w:placeholder>
          <w:docPart w:val="GBC22222222222222222222222222222"/>
        </w:placeholder>
      </w:sdtPr>
      <w:sdtEndPr>
        <w:rPr>
          <w:rFonts w:cstheme="minorBidi"/>
          <w:szCs w:val="21"/>
        </w:rPr>
      </w:sdtEndPr>
      <w:sdtContent>
        <w:p w14:paraId="20B21E03" w14:textId="77777777" w:rsidR="00830E72" w:rsidRDefault="008344D8">
          <w:pPr>
            <w:pStyle w:val="Style99"/>
            <w:numPr>
              <w:ilvl w:val="0"/>
              <w:numId w:val="86"/>
            </w:numPr>
            <w:rPr>
              <w:rFonts w:ascii="宋体" w:hAnsi="宋体"/>
            </w:rPr>
          </w:pPr>
          <w:r>
            <w:rPr>
              <w:rFonts w:ascii="宋体" w:hAnsi="宋体" w:hint="eastAsia"/>
            </w:rPr>
            <w:t>以权益结算的股份支付情况</w:t>
          </w:r>
        </w:p>
        <w:sdt>
          <w:sdtPr>
            <w:alias w:val="是否适用：以权益结算的股份支付情况[双击切换]"/>
            <w:tag w:val="_GBC_5d901e3b36be4331aac030c8e4b9b1a5"/>
            <w:id w:val="390315399"/>
            <w:lock w:val="sdtContentLocked"/>
            <w:placeholder>
              <w:docPart w:val="GBC22222222222222222222222222222"/>
            </w:placeholder>
          </w:sdtPr>
          <w:sdtEndPr/>
          <w:sdtContent>
            <w:p w14:paraId="6C361F1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以现金结算的股份支付情况"/>
        <w:tag w:val="_GBC_e8a0c7296300463994744e877be96129"/>
        <w:id w:val="309521659"/>
        <w:lock w:val="sdtLocked"/>
        <w:placeholder>
          <w:docPart w:val="GBC22222222222222222222222222222"/>
        </w:placeholder>
      </w:sdtPr>
      <w:sdtEndPr>
        <w:rPr>
          <w:rFonts w:cstheme="minorBidi"/>
          <w:szCs w:val="21"/>
        </w:rPr>
      </w:sdtEndPr>
      <w:sdtContent>
        <w:p w14:paraId="7352E867" w14:textId="77777777" w:rsidR="00830E72" w:rsidRDefault="008344D8">
          <w:pPr>
            <w:pStyle w:val="Style99"/>
            <w:numPr>
              <w:ilvl w:val="0"/>
              <w:numId w:val="86"/>
            </w:numPr>
            <w:rPr>
              <w:rFonts w:ascii="宋体" w:hAnsi="宋体"/>
            </w:rPr>
          </w:pPr>
          <w:r>
            <w:rPr>
              <w:rFonts w:ascii="宋体" w:hAnsi="宋体" w:hint="eastAsia"/>
            </w:rPr>
            <w:t>以现金结算的股份支付情况</w:t>
          </w:r>
        </w:p>
        <w:sdt>
          <w:sdtPr>
            <w:alias w:val="是否适用：以现金结算的股份支付情况[双击切换]"/>
            <w:tag w:val="_GBC_aa134f611909486bb3a2d6258058f88d"/>
            <w:id w:val="-326370794"/>
            <w:lock w:val="sdtContentLocked"/>
            <w:placeholder>
              <w:docPart w:val="GBC22222222222222222222222222222"/>
            </w:placeholder>
          </w:sdtPr>
          <w:sdtEndPr/>
          <w:sdtContent>
            <w:p w14:paraId="4EAAA2CA"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股份支付的修改、终止情况"/>
        <w:tag w:val="_GBC_ae153862caea4ff5a57470b6f594f167"/>
        <w:id w:val="-829831282"/>
        <w:lock w:val="sdtLocked"/>
        <w:placeholder>
          <w:docPart w:val="GBC22222222222222222222222222222"/>
        </w:placeholder>
      </w:sdtPr>
      <w:sdtEndPr>
        <w:rPr>
          <w:rFonts w:cstheme="minorBidi" w:hint="default"/>
          <w:szCs w:val="21"/>
        </w:rPr>
      </w:sdtEndPr>
      <w:sdtContent>
        <w:p w14:paraId="03340477" w14:textId="77777777" w:rsidR="00830E72" w:rsidRDefault="008344D8">
          <w:pPr>
            <w:pStyle w:val="Style99"/>
            <w:numPr>
              <w:ilvl w:val="0"/>
              <w:numId w:val="86"/>
            </w:numPr>
            <w:rPr>
              <w:rFonts w:ascii="宋体" w:hAnsi="宋体"/>
            </w:rPr>
          </w:pPr>
          <w:r>
            <w:rPr>
              <w:rFonts w:ascii="宋体" w:hAnsi="宋体" w:hint="eastAsia"/>
            </w:rPr>
            <w:t>股份支付的修改、终止情况</w:t>
          </w:r>
        </w:p>
        <w:sdt>
          <w:sdtPr>
            <w:alias w:val="是否适用：股份支付的修改、终止情况[双击切换]"/>
            <w:tag w:val="_GBC_794cdee9be3b4b478fa83b914d22ea66"/>
            <w:id w:val="-1516379306"/>
            <w:lock w:val="sdtContentLocked"/>
            <w:placeholder>
              <w:docPart w:val="GBC22222222222222222222222222222"/>
            </w:placeholder>
          </w:sdtPr>
          <w:sdtEndPr/>
          <w:sdtContent>
            <w:p w14:paraId="7D9BFDFA" w14:textId="77777777" w:rsidR="00830E72" w:rsidRDefault="008344D8">
              <w:pPr>
                <w:rPr>
                  <w:rFonts w:cstheme="minorBidi"/>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1"/>
        </w:rPr>
        <w:alias w:val="模块:股份支付的其他情况说明"/>
        <w:tag w:val="_GBC_d9554f13d811474eab6fe8ab0c5c8811"/>
        <w:id w:val="160830596"/>
        <w:lock w:val="sdtLocked"/>
        <w:placeholder>
          <w:docPart w:val="GBC22222222222222222222222222222"/>
        </w:placeholder>
      </w:sdtPr>
      <w:sdtEndPr/>
      <w:sdtContent>
        <w:p w14:paraId="646B5B3A" w14:textId="77777777" w:rsidR="00830E72" w:rsidRDefault="008344D8">
          <w:pPr>
            <w:pStyle w:val="Style99"/>
            <w:numPr>
              <w:ilvl w:val="0"/>
              <w:numId w:val="86"/>
            </w:numPr>
            <w:rPr>
              <w:rFonts w:ascii="宋体" w:hAnsi="宋体"/>
              <w:szCs w:val="21"/>
            </w:rPr>
          </w:pPr>
          <w:r>
            <w:rPr>
              <w:rFonts w:ascii="宋体" w:hAnsi="宋体" w:hint="eastAsia"/>
              <w:szCs w:val="21"/>
            </w:rPr>
            <w:t>其他</w:t>
          </w:r>
        </w:p>
        <w:sdt>
          <w:sdtPr>
            <w:alias w:val="是否适用：股份支付的其他情况说明[双击切换]"/>
            <w:tag w:val="_GBC_b8be1a19715949cab94dc673580d61a2"/>
            <w:id w:val="917141204"/>
            <w:lock w:val="sdtContentLocked"/>
            <w:placeholder>
              <w:docPart w:val="GBC22222222222222222222222222222"/>
            </w:placeholder>
          </w:sdtPr>
          <w:sdtEndPr/>
          <w:sdtContent>
            <w:p w14:paraId="0597B723"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8595EE2" w14:textId="77777777" w:rsidR="00830E72" w:rsidRDefault="008344D8">
      <w:pPr>
        <w:pStyle w:val="2CharCharChar"/>
        <w:numPr>
          <w:ilvl w:val="0"/>
          <w:numId w:val="32"/>
        </w:numPr>
        <w:ind w:left="422" w:hanging="422"/>
        <w:rPr>
          <w:rFonts w:ascii="宋体" w:hAnsi="宋体"/>
        </w:rPr>
      </w:pPr>
      <w:r>
        <w:rPr>
          <w:rFonts w:ascii="宋体" w:hAnsi="宋体" w:hint="eastAsia"/>
        </w:rPr>
        <w:t>承诺及或有事项</w:t>
      </w:r>
    </w:p>
    <w:p w14:paraId="0799BB2D" w14:textId="77777777" w:rsidR="00830E72" w:rsidRDefault="008344D8">
      <w:pPr>
        <w:pStyle w:val="Style99"/>
        <w:numPr>
          <w:ilvl w:val="0"/>
          <w:numId w:val="87"/>
        </w:numPr>
        <w:rPr>
          <w:rFonts w:ascii="宋体" w:hAnsi="宋体"/>
        </w:rPr>
      </w:pPr>
      <w:r>
        <w:rPr>
          <w:rFonts w:ascii="宋体" w:hAnsi="宋体" w:hint="eastAsia"/>
        </w:rPr>
        <w:t>重要承诺事项</w:t>
      </w:r>
    </w:p>
    <w:sdt>
      <w:sdtPr>
        <w:alias w:val="是否适用：重要承诺事项[双击切换]"/>
        <w:tag w:val="_GBC_3ee02d2bff5e4dd69f75cc6148bdda8f"/>
        <w:id w:val="1550103941"/>
        <w:lock w:val="sdtContentLocked"/>
        <w:placeholder>
          <w:docPart w:val="GBC22222222222222222222222222222"/>
        </w:placeholder>
      </w:sdtPr>
      <w:sdtEndPr/>
      <w:sdtContent>
        <w:p w14:paraId="2FAE743B"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rPr>
        <w:alias w:val="模块:资产负债表日存在的重大承诺"/>
        <w:tag w:val="_GBC_bd716a4e356044ddb7c8207f0edef471"/>
        <w:id w:val="-1849864315"/>
        <w:lock w:val="sdtLocked"/>
      </w:sdtPr>
      <w:sdtEndPr>
        <w:rPr>
          <w:rFonts w:cstheme="minorBidi"/>
          <w:b w:val="0"/>
          <w:bCs w:val="0"/>
        </w:rPr>
      </w:sdtEndPr>
      <w:sdtContent>
        <w:p w14:paraId="52ADCED4" w14:textId="77777777" w:rsidR="00830E72" w:rsidRDefault="008344D8">
          <w:r>
            <w:rPr>
              <w:rFonts w:hint="eastAsia"/>
            </w:rPr>
            <w:t>资产负债表</w:t>
          </w:r>
          <w:proofErr w:type="gramStart"/>
          <w:r>
            <w:rPr>
              <w:rFonts w:hint="eastAsia"/>
            </w:rPr>
            <w:t>日存在</w:t>
          </w:r>
          <w:proofErr w:type="gramEnd"/>
          <w:r>
            <w:rPr>
              <w:rFonts w:hint="eastAsia"/>
            </w:rPr>
            <w:t>的对外重要承诺、性质、金额</w:t>
          </w:r>
        </w:p>
        <w:sdt>
          <w:sdtPr>
            <w:rPr>
              <w:rFonts w:cs="Cambria"/>
              <w:bCs/>
            </w:rPr>
            <w:alias w:val="资产负债表日存在的重要承诺"/>
            <w:tag w:val="_GBC_b0cd6a8a93e142e5926c06e28f794da3"/>
            <w:id w:val="1948495778"/>
            <w:lock w:val="sdtLocked"/>
          </w:sdtPr>
          <w:sdtEndPr/>
          <w:sdtContent>
            <w:p w14:paraId="70E47B39" w14:textId="77777777" w:rsidR="00830E72" w:rsidRDefault="008344D8">
              <w:pPr>
                <w:rPr>
                  <w:rFonts w:cs="Cambria"/>
                  <w:bCs/>
                </w:rPr>
              </w:pPr>
              <w:r>
                <w:rPr>
                  <w:rFonts w:cs="Cambria" w:hint="eastAsia"/>
                  <w:bCs/>
                </w:rPr>
                <w:t>截至</w:t>
              </w:r>
              <w:r>
                <w:rPr>
                  <w:rFonts w:cs="Cambria"/>
                  <w:bCs/>
                </w:rPr>
                <w:t xml:space="preserve"> 202</w:t>
              </w:r>
              <w:r>
                <w:rPr>
                  <w:rFonts w:cs="Cambria" w:hint="eastAsia"/>
                  <w:bCs/>
                </w:rPr>
                <w:t>1</w:t>
              </w:r>
              <w:r>
                <w:rPr>
                  <w:rFonts w:cs="Cambria"/>
                  <w:bCs/>
                </w:rPr>
                <w:t xml:space="preserve"> 年 </w:t>
              </w:r>
              <w:r>
                <w:rPr>
                  <w:rFonts w:cs="Cambria" w:hint="eastAsia"/>
                  <w:bCs/>
                </w:rPr>
                <w:t>6</w:t>
              </w:r>
              <w:r>
                <w:rPr>
                  <w:rFonts w:cs="Cambria"/>
                  <w:bCs/>
                </w:rPr>
                <w:t xml:space="preserve"> 月 3</w:t>
              </w:r>
              <w:r>
                <w:rPr>
                  <w:rFonts w:cs="Cambria" w:hint="eastAsia"/>
                  <w:bCs/>
                </w:rPr>
                <w:t>0</w:t>
              </w:r>
              <w:r>
                <w:rPr>
                  <w:rFonts w:cs="Cambria"/>
                  <w:bCs/>
                </w:rPr>
                <w:t xml:space="preserve"> 日止，本公司无需要披露的重大承诺事项。</w:t>
              </w:r>
            </w:p>
          </w:sdtContent>
        </w:sdt>
      </w:sdtContent>
    </w:sdt>
    <w:p w14:paraId="08581C3E" w14:textId="77777777" w:rsidR="00830E72" w:rsidRDefault="008344D8">
      <w:pPr>
        <w:pStyle w:val="Style99"/>
        <w:numPr>
          <w:ilvl w:val="0"/>
          <w:numId w:val="87"/>
        </w:numPr>
        <w:rPr>
          <w:rFonts w:ascii="宋体" w:hAnsi="宋体"/>
        </w:rPr>
      </w:pPr>
      <w:r>
        <w:rPr>
          <w:rFonts w:ascii="宋体" w:hAnsi="宋体" w:hint="eastAsia"/>
        </w:rPr>
        <w:t>或有事项</w:t>
      </w:r>
    </w:p>
    <w:sdt>
      <w:sdtPr>
        <w:rPr>
          <w:rFonts w:ascii="宋体" w:hAnsi="宋体" w:cs="宋体" w:hint="eastAsia"/>
          <w:b w:val="0"/>
          <w:bCs w:val="0"/>
          <w:kern w:val="0"/>
          <w:szCs w:val="24"/>
        </w:rPr>
        <w:alias w:val="模块:资产负债表日存在的或有事项"/>
        <w:tag w:val="_GBC_c667d796bd114ba58f4592903a5601f3"/>
        <w:id w:val="-722058485"/>
        <w:lock w:val="sdtLocked"/>
        <w:placeholder>
          <w:docPart w:val="GBC22222222222222222222222222222"/>
        </w:placeholder>
      </w:sdtPr>
      <w:sdtEndPr>
        <w:rPr>
          <w:rFonts w:ascii="Calibri" w:hAnsi="Calibri" w:cs="Times New Roman"/>
          <w:kern w:val="2"/>
          <w:szCs w:val="22"/>
        </w:rPr>
      </w:sdtEndPr>
      <w:sdtContent>
        <w:p w14:paraId="3740249B" w14:textId="77777777" w:rsidR="00830E72" w:rsidRDefault="008344D8">
          <w:pPr>
            <w:pStyle w:val="Style100"/>
            <w:numPr>
              <w:ilvl w:val="0"/>
              <w:numId w:val="88"/>
            </w:numPr>
            <w:tabs>
              <w:tab w:val="left" w:pos="616"/>
            </w:tabs>
            <w:rPr>
              <w:rFonts w:ascii="宋体" w:hAnsi="宋体"/>
            </w:rPr>
          </w:pPr>
          <w:r>
            <w:rPr>
              <w:rFonts w:ascii="宋体" w:hAnsi="宋体" w:hint="eastAsia"/>
            </w:rPr>
            <w:t>资产负债表</w:t>
          </w:r>
          <w:proofErr w:type="gramStart"/>
          <w:r>
            <w:rPr>
              <w:rFonts w:ascii="宋体" w:hAnsi="宋体" w:hint="eastAsia"/>
            </w:rPr>
            <w:t>日存在</w:t>
          </w:r>
          <w:proofErr w:type="gramEnd"/>
          <w:r>
            <w:rPr>
              <w:rFonts w:ascii="宋体" w:hAnsi="宋体" w:hint="eastAsia"/>
            </w:rPr>
            <w:t>的重要或有事项</w:t>
          </w:r>
        </w:p>
        <w:sdt>
          <w:sdtPr>
            <w:alias w:val="是否适用：资产负债表日存在的重要或有事项[双击切换]"/>
            <w:tag w:val="_GBC_dea854a30b4642f6b78351afe6791c32"/>
            <w:id w:val="1135222434"/>
            <w:lock w:val="sdtLocked"/>
            <w:placeholder>
              <w:docPart w:val="GBC22222222222222222222222222222"/>
            </w:placeholder>
          </w:sdtPr>
          <w:sdtEndPr/>
          <w:sdtContent>
            <w:p w14:paraId="32C91CFC"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198" w:name="_Hlk79483530" w:displacedByCustomXml="next"/>
        <w:sdt>
          <w:sdtPr>
            <w:rPr>
              <w:rFonts w:ascii="宋体" w:hAnsi="宋体" w:cs="宋体"/>
              <w:kern w:val="0"/>
              <w:szCs w:val="24"/>
            </w:rPr>
            <w:alias w:val="资产负债表日存在的重要或有事项"/>
            <w:tag w:val="_GBC_9aacda4c45eb44bcb0d1f17e53741a1f"/>
            <w:id w:val="1857304543"/>
          </w:sdtPr>
          <w:sdtEndPr>
            <w:rPr>
              <w:sz w:val="20"/>
            </w:rPr>
          </w:sdtEndPr>
          <w:sdtContent>
            <w:p w14:paraId="6869BEBE" w14:textId="77777777" w:rsidR="00830E72" w:rsidRDefault="008344D8">
              <w:pPr>
                <w:pStyle w:val="56"/>
                <w:numPr>
                  <w:ilvl w:val="0"/>
                  <w:numId w:val="89"/>
                </w:numPr>
                <w:ind w:firstLineChars="0"/>
              </w:pPr>
              <w:r>
                <w:t>截至</w:t>
              </w:r>
              <w:r>
                <w:t>202</w:t>
              </w:r>
              <w:r>
                <w:rPr>
                  <w:rFonts w:hint="eastAsia"/>
                </w:rPr>
                <w:t>1</w:t>
              </w:r>
              <w:r>
                <w:t>年</w:t>
              </w:r>
              <w:r>
                <w:rPr>
                  <w:rFonts w:hint="eastAsia"/>
                </w:rPr>
                <w:t>6</w:t>
              </w:r>
              <w:r>
                <w:t>月</w:t>
              </w:r>
              <w:r>
                <w:t>3</w:t>
              </w:r>
              <w:r>
                <w:rPr>
                  <w:rFonts w:hint="eastAsia"/>
                </w:rPr>
                <w:t>0</w:t>
              </w:r>
              <w:r>
                <w:t>日止，本公司未决诉讼或仲裁形成的或有事项如下：</w:t>
              </w:r>
            </w:p>
            <w:tbl>
              <w:tblPr>
                <w:tblStyle w:val="g2"/>
                <w:tblW w:w="0" w:type="auto"/>
                <w:tblLook w:val="04A0" w:firstRow="1" w:lastRow="0" w:firstColumn="1" w:lastColumn="0" w:noHBand="0" w:noVBand="1"/>
              </w:tblPr>
              <w:tblGrid>
                <w:gridCol w:w="666"/>
                <w:gridCol w:w="1143"/>
                <w:gridCol w:w="2127"/>
                <w:gridCol w:w="4887"/>
              </w:tblGrid>
              <w:tr w:rsidR="00830E72" w14:paraId="12C6BCB0" w14:textId="77777777">
                <w:tc>
                  <w:tcPr>
                    <w:tcW w:w="666" w:type="dxa"/>
                    <w:vAlign w:val="center"/>
                  </w:tcPr>
                  <w:p w14:paraId="3BC77F00" w14:textId="77777777" w:rsidR="00830E72" w:rsidRDefault="008344D8">
                    <w:pPr>
                      <w:jc w:val="center"/>
                      <w:rPr>
                        <w:sz w:val="20"/>
                      </w:rPr>
                    </w:pPr>
                    <w:r>
                      <w:rPr>
                        <w:sz w:val="20"/>
                      </w:rPr>
                      <w:t>序号</w:t>
                    </w:r>
                  </w:p>
                </w:tc>
                <w:tc>
                  <w:tcPr>
                    <w:tcW w:w="1143" w:type="dxa"/>
                    <w:vAlign w:val="center"/>
                  </w:tcPr>
                  <w:p w14:paraId="6F600621" w14:textId="77777777" w:rsidR="00830E72" w:rsidRDefault="008344D8">
                    <w:pPr>
                      <w:jc w:val="center"/>
                      <w:rPr>
                        <w:sz w:val="20"/>
                      </w:rPr>
                    </w:pPr>
                    <w:r>
                      <w:rPr>
                        <w:sz w:val="20"/>
                      </w:rPr>
                      <w:t>原告</w:t>
                    </w:r>
                  </w:p>
                </w:tc>
                <w:tc>
                  <w:tcPr>
                    <w:tcW w:w="2127" w:type="dxa"/>
                    <w:vAlign w:val="center"/>
                  </w:tcPr>
                  <w:p w14:paraId="51D805BD" w14:textId="77777777" w:rsidR="00830E72" w:rsidRDefault="008344D8">
                    <w:pPr>
                      <w:jc w:val="center"/>
                      <w:rPr>
                        <w:sz w:val="20"/>
                      </w:rPr>
                    </w:pPr>
                    <w:r>
                      <w:rPr>
                        <w:sz w:val="20"/>
                      </w:rPr>
                      <w:t>被告</w:t>
                    </w:r>
                  </w:p>
                </w:tc>
                <w:tc>
                  <w:tcPr>
                    <w:tcW w:w="4887" w:type="dxa"/>
                    <w:vAlign w:val="center"/>
                  </w:tcPr>
                  <w:p w14:paraId="67611746" w14:textId="77777777" w:rsidR="00830E72" w:rsidRDefault="008344D8">
                    <w:pPr>
                      <w:jc w:val="center"/>
                      <w:rPr>
                        <w:sz w:val="20"/>
                      </w:rPr>
                    </w:pPr>
                    <w:r>
                      <w:rPr>
                        <w:sz w:val="20"/>
                      </w:rPr>
                      <w:t>案件简要情况</w:t>
                    </w:r>
                  </w:p>
                </w:tc>
              </w:tr>
              <w:tr w:rsidR="00830E72" w14:paraId="635F0E74" w14:textId="77777777">
                <w:tc>
                  <w:tcPr>
                    <w:tcW w:w="666" w:type="dxa"/>
                    <w:vAlign w:val="center"/>
                  </w:tcPr>
                  <w:p w14:paraId="6D4160C2" w14:textId="77777777" w:rsidR="00830E72" w:rsidRDefault="008344D8">
                    <w:pPr>
                      <w:jc w:val="center"/>
                      <w:rPr>
                        <w:sz w:val="20"/>
                      </w:rPr>
                    </w:pPr>
                    <w:r>
                      <w:rPr>
                        <w:sz w:val="20"/>
                      </w:rPr>
                      <w:t>1</w:t>
                    </w:r>
                  </w:p>
                </w:tc>
                <w:tc>
                  <w:tcPr>
                    <w:tcW w:w="1143" w:type="dxa"/>
                    <w:vAlign w:val="center"/>
                  </w:tcPr>
                  <w:p w14:paraId="0029F4DB" w14:textId="77777777" w:rsidR="00830E72" w:rsidRDefault="008344D8">
                    <w:pPr>
                      <w:rPr>
                        <w:sz w:val="20"/>
                      </w:rPr>
                    </w:pPr>
                    <w:r>
                      <w:rPr>
                        <w:sz w:val="20"/>
                      </w:rPr>
                      <w:t>安徽省交通建设股份有限公司</w:t>
                    </w:r>
                  </w:p>
                </w:tc>
                <w:tc>
                  <w:tcPr>
                    <w:tcW w:w="2127" w:type="dxa"/>
                    <w:vAlign w:val="center"/>
                  </w:tcPr>
                  <w:p w14:paraId="64A32B21" w14:textId="77777777" w:rsidR="00830E72" w:rsidRDefault="008344D8">
                    <w:pPr>
                      <w:rPr>
                        <w:sz w:val="20"/>
                      </w:rPr>
                    </w:pPr>
                    <w:r>
                      <w:rPr>
                        <w:rFonts w:hint="eastAsia"/>
                        <w:sz w:val="20"/>
                      </w:rPr>
                      <w:t>被告</w:t>
                    </w:r>
                    <w:proofErr w:type="gramStart"/>
                    <w:r>
                      <w:rPr>
                        <w:rFonts w:hint="eastAsia"/>
                        <w:sz w:val="20"/>
                      </w:rPr>
                      <w:t>一</w:t>
                    </w:r>
                    <w:proofErr w:type="gramEnd"/>
                    <w:r>
                      <w:rPr>
                        <w:rFonts w:hint="eastAsia"/>
                        <w:sz w:val="20"/>
                      </w:rPr>
                      <w:t>：中国水利水电第十四工程局有限公司</w:t>
                    </w:r>
                  </w:p>
                  <w:p w14:paraId="62BA8C52" w14:textId="77777777" w:rsidR="00830E72" w:rsidRDefault="008344D8">
                    <w:pPr>
                      <w:rPr>
                        <w:sz w:val="20"/>
                      </w:rPr>
                    </w:pPr>
                    <w:r>
                      <w:rPr>
                        <w:rFonts w:hint="eastAsia"/>
                        <w:sz w:val="20"/>
                      </w:rPr>
                      <w:t>被告二：安徽</w:t>
                    </w:r>
                    <w:proofErr w:type="gramStart"/>
                    <w:r>
                      <w:rPr>
                        <w:rFonts w:hint="eastAsia"/>
                        <w:sz w:val="20"/>
                      </w:rPr>
                      <w:t>极</w:t>
                    </w:r>
                    <w:proofErr w:type="gramEnd"/>
                    <w:r>
                      <w:rPr>
                        <w:rFonts w:hint="eastAsia"/>
                        <w:sz w:val="20"/>
                      </w:rPr>
                      <w:t>金投资控股股份有限公司</w:t>
                    </w:r>
                  </w:p>
                  <w:p w14:paraId="29A60D44" w14:textId="77777777" w:rsidR="00830E72" w:rsidRDefault="008344D8">
                    <w:pPr>
                      <w:rPr>
                        <w:sz w:val="20"/>
                      </w:rPr>
                    </w:pPr>
                    <w:r>
                      <w:rPr>
                        <w:rFonts w:hint="eastAsia"/>
                        <w:sz w:val="20"/>
                      </w:rPr>
                      <w:t>被告三：四川</w:t>
                    </w:r>
                    <w:proofErr w:type="gramStart"/>
                    <w:r>
                      <w:rPr>
                        <w:rFonts w:hint="eastAsia"/>
                        <w:sz w:val="20"/>
                      </w:rPr>
                      <w:t>华晨杰建筑工程</w:t>
                    </w:r>
                    <w:proofErr w:type="gramEnd"/>
                    <w:r>
                      <w:rPr>
                        <w:rFonts w:hint="eastAsia"/>
                        <w:sz w:val="20"/>
                      </w:rPr>
                      <w:t>有限公司</w:t>
                    </w:r>
                  </w:p>
                  <w:p w14:paraId="6257BD9F" w14:textId="77777777" w:rsidR="00830E72" w:rsidRDefault="008344D8">
                    <w:pPr>
                      <w:rPr>
                        <w:sz w:val="20"/>
                      </w:rPr>
                    </w:pPr>
                    <w:r>
                      <w:rPr>
                        <w:rFonts w:hint="eastAsia"/>
                        <w:sz w:val="20"/>
                      </w:rPr>
                      <w:t>被告四：云南九巨龙建设投资集团有限公司</w:t>
                    </w:r>
                  </w:p>
                  <w:p w14:paraId="5B126762" w14:textId="77777777" w:rsidR="00830E72" w:rsidRDefault="008344D8">
                    <w:pPr>
                      <w:rPr>
                        <w:sz w:val="20"/>
                      </w:rPr>
                    </w:pPr>
                    <w:r>
                      <w:rPr>
                        <w:rFonts w:hint="eastAsia"/>
                        <w:sz w:val="20"/>
                      </w:rPr>
                      <w:t>被告五：昭通</w:t>
                    </w:r>
                    <w:proofErr w:type="gramStart"/>
                    <w:r>
                      <w:rPr>
                        <w:rFonts w:hint="eastAsia"/>
                        <w:sz w:val="20"/>
                      </w:rPr>
                      <w:t>市宜昭高速公路</w:t>
                    </w:r>
                    <w:proofErr w:type="gramEnd"/>
                    <w:r>
                      <w:rPr>
                        <w:rFonts w:hint="eastAsia"/>
                        <w:sz w:val="20"/>
                      </w:rPr>
                      <w:t>投资开发有限公司</w:t>
                    </w:r>
                  </w:p>
                </w:tc>
                <w:tc>
                  <w:tcPr>
                    <w:tcW w:w="4887" w:type="dxa"/>
                    <w:vAlign w:val="center"/>
                  </w:tcPr>
                  <w:p w14:paraId="6C1506A5" w14:textId="5770CCB4" w:rsidR="00830E72" w:rsidRDefault="008344D8">
                    <w:pPr>
                      <w:rPr>
                        <w:sz w:val="20"/>
                      </w:rPr>
                    </w:pPr>
                    <w:r>
                      <w:rPr>
                        <w:rFonts w:hint="eastAsia"/>
                        <w:sz w:val="20"/>
                      </w:rPr>
                      <w:t>2019年12月，公司因建设工程合同纠纷向云南省昭通市中级人民法院起诉中国水利水电第十四工程局有限公司（“被告一”）、安徽</w:t>
                    </w:r>
                    <w:proofErr w:type="gramStart"/>
                    <w:r>
                      <w:rPr>
                        <w:rFonts w:hint="eastAsia"/>
                        <w:sz w:val="20"/>
                      </w:rPr>
                      <w:t>极</w:t>
                    </w:r>
                    <w:proofErr w:type="gramEnd"/>
                    <w:r>
                      <w:rPr>
                        <w:rFonts w:hint="eastAsia"/>
                        <w:sz w:val="20"/>
                      </w:rPr>
                      <w:t>金投资控股股份有限公司（“被告二”）、四川</w:t>
                    </w:r>
                    <w:proofErr w:type="gramStart"/>
                    <w:r>
                      <w:rPr>
                        <w:rFonts w:hint="eastAsia"/>
                        <w:sz w:val="20"/>
                      </w:rPr>
                      <w:t>华晨杰建筑工程</w:t>
                    </w:r>
                    <w:proofErr w:type="gramEnd"/>
                    <w:r>
                      <w:rPr>
                        <w:rFonts w:hint="eastAsia"/>
                        <w:sz w:val="20"/>
                      </w:rPr>
                      <w:t>有限公司（“被告三”）、云南九巨龙建设投资集团有限公司（“被告四”）、</w:t>
                    </w:r>
                    <w:proofErr w:type="gramStart"/>
                    <w:r>
                      <w:rPr>
                        <w:rFonts w:hint="eastAsia"/>
                        <w:sz w:val="20"/>
                      </w:rPr>
                      <w:t>昭通市宜昭高速公路</w:t>
                    </w:r>
                    <w:proofErr w:type="gramEnd"/>
                    <w:r>
                      <w:rPr>
                        <w:rFonts w:hint="eastAsia"/>
                        <w:sz w:val="20"/>
                      </w:rPr>
                      <w:t>投资开发有限公司（“被告五”），请求法院判令被告向原告支付工程款、利息及经济损失</w:t>
                    </w:r>
                    <w:proofErr w:type="gramStart"/>
                    <w:r>
                      <w:rPr>
                        <w:rFonts w:hint="eastAsia"/>
                        <w:sz w:val="20"/>
                      </w:rPr>
                      <w:t>赔偿共</w:t>
                    </w:r>
                    <w:proofErr w:type="gramEnd"/>
                    <w:r>
                      <w:rPr>
                        <w:rFonts w:hint="eastAsia"/>
                        <w:sz w:val="20"/>
                      </w:rPr>
                      <w:t>2</w:t>
                    </w:r>
                    <w:r w:rsidR="008B18B8">
                      <w:rPr>
                        <w:sz w:val="20"/>
                      </w:rPr>
                      <w:t>,</w:t>
                    </w:r>
                    <w:r>
                      <w:rPr>
                        <w:rFonts w:hint="eastAsia"/>
                        <w:sz w:val="20"/>
                      </w:rPr>
                      <w:t>653.03万元，其中被告</w:t>
                    </w:r>
                    <w:proofErr w:type="gramStart"/>
                    <w:r>
                      <w:rPr>
                        <w:rFonts w:hint="eastAsia"/>
                        <w:sz w:val="20"/>
                      </w:rPr>
                      <w:t>一</w:t>
                    </w:r>
                    <w:proofErr w:type="gramEnd"/>
                    <w:r>
                      <w:rPr>
                        <w:rFonts w:hint="eastAsia"/>
                        <w:sz w:val="20"/>
                      </w:rPr>
                      <w:t>及被告二向原告支付工程款、利息及经济损失</w:t>
                    </w:r>
                    <w:proofErr w:type="gramStart"/>
                    <w:r>
                      <w:rPr>
                        <w:rFonts w:hint="eastAsia"/>
                        <w:sz w:val="20"/>
                      </w:rPr>
                      <w:t>赔偿共</w:t>
                    </w:r>
                    <w:proofErr w:type="gramEnd"/>
                    <w:r>
                      <w:rPr>
                        <w:rFonts w:hint="eastAsia"/>
                        <w:sz w:val="20"/>
                      </w:rPr>
                      <w:t>2</w:t>
                    </w:r>
                    <w:r w:rsidR="008B18B8">
                      <w:rPr>
                        <w:sz w:val="20"/>
                      </w:rPr>
                      <w:t>,</w:t>
                    </w:r>
                    <w:r>
                      <w:rPr>
                        <w:rFonts w:hint="eastAsia"/>
                        <w:sz w:val="20"/>
                      </w:rPr>
                      <w:t>653.03万元，被告三、被告</w:t>
                    </w:r>
                    <w:proofErr w:type="gramStart"/>
                    <w:r>
                      <w:rPr>
                        <w:rFonts w:hint="eastAsia"/>
                        <w:sz w:val="20"/>
                      </w:rPr>
                      <w:t>四分别</w:t>
                    </w:r>
                    <w:proofErr w:type="gramEnd"/>
                    <w:r>
                      <w:rPr>
                        <w:rFonts w:hint="eastAsia"/>
                        <w:sz w:val="20"/>
                      </w:rPr>
                      <w:t>在11,470,885.59元、14,265,791.49元工程欠款本息范围内对被告一、被告二欠付原告的工程款本息承担共同清偿责任，被告五在欠付被告</w:t>
                    </w:r>
                    <w:proofErr w:type="gramStart"/>
                    <w:r>
                      <w:rPr>
                        <w:rFonts w:hint="eastAsia"/>
                        <w:sz w:val="20"/>
                      </w:rPr>
                      <w:t>一</w:t>
                    </w:r>
                    <w:proofErr w:type="gramEnd"/>
                    <w:r>
                      <w:rPr>
                        <w:rFonts w:hint="eastAsia"/>
                        <w:sz w:val="20"/>
                      </w:rPr>
                      <w:t>的工程款的工程价款范围内对被告一、被告二欠付原告的工程款本息及停工损失承担清偿责任，本案诉讼费用由各被告承担。</w:t>
                    </w:r>
                  </w:p>
                  <w:p w14:paraId="7DACE54B" w14:textId="77777777" w:rsidR="00830E72" w:rsidRDefault="008344D8">
                    <w:pPr>
                      <w:rPr>
                        <w:sz w:val="20"/>
                      </w:rPr>
                    </w:pPr>
                    <w:r>
                      <w:rPr>
                        <w:rFonts w:hint="eastAsia"/>
                        <w:sz w:val="20"/>
                      </w:rPr>
                      <w:t>2021年8月5日收到昭通中院一审判决书，判决如下：</w:t>
                    </w:r>
                  </w:p>
                  <w:p w14:paraId="38244B07" w14:textId="41B09A23" w:rsidR="00830E72" w:rsidRDefault="008344D8">
                    <w:pPr>
                      <w:rPr>
                        <w:sz w:val="20"/>
                      </w:rPr>
                    </w:pPr>
                    <w:r>
                      <w:rPr>
                        <w:rFonts w:hint="eastAsia"/>
                        <w:sz w:val="20"/>
                      </w:rPr>
                      <w:t>1、由被告</w:t>
                    </w:r>
                    <w:proofErr w:type="gramStart"/>
                    <w:r>
                      <w:rPr>
                        <w:rFonts w:hint="eastAsia"/>
                        <w:sz w:val="20"/>
                      </w:rPr>
                      <w:t>四支付</w:t>
                    </w:r>
                    <w:proofErr w:type="gramEnd"/>
                    <w:r>
                      <w:rPr>
                        <w:rFonts w:hint="eastAsia"/>
                        <w:sz w:val="20"/>
                      </w:rPr>
                      <w:t>原告工程款5</w:t>
                    </w:r>
                    <w:r w:rsidR="008B18B8">
                      <w:rPr>
                        <w:sz w:val="20"/>
                      </w:rPr>
                      <w:t>,</w:t>
                    </w:r>
                    <w:r>
                      <w:rPr>
                        <w:rFonts w:hint="eastAsia"/>
                        <w:sz w:val="20"/>
                      </w:rPr>
                      <w:t>922</w:t>
                    </w:r>
                    <w:r w:rsidR="008B18B8">
                      <w:rPr>
                        <w:sz w:val="20"/>
                      </w:rPr>
                      <w:t>,</w:t>
                    </w:r>
                    <w:r>
                      <w:rPr>
                        <w:rFonts w:hint="eastAsia"/>
                        <w:sz w:val="20"/>
                      </w:rPr>
                      <w:t>791.49元，利息自2019年12月12日起至清偿完毕之</w:t>
                    </w:r>
                    <w:proofErr w:type="gramStart"/>
                    <w:r>
                      <w:rPr>
                        <w:rFonts w:hint="eastAsia"/>
                        <w:sz w:val="20"/>
                      </w:rPr>
                      <w:t>日止按全国</w:t>
                    </w:r>
                    <w:proofErr w:type="gramEnd"/>
                    <w:r>
                      <w:rPr>
                        <w:rFonts w:hint="eastAsia"/>
                        <w:sz w:val="20"/>
                      </w:rPr>
                      <w:t>银行间同业拆借中心公布的贷款市场报价利率标准支付，由被告一对被告</w:t>
                    </w:r>
                    <w:proofErr w:type="gramStart"/>
                    <w:r>
                      <w:rPr>
                        <w:rFonts w:hint="eastAsia"/>
                        <w:sz w:val="20"/>
                      </w:rPr>
                      <w:t>四支付</w:t>
                    </w:r>
                    <w:proofErr w:type="gramEnd"/>
                    <w:r>
                      <w:rPr>
                        <w:rFonts w:hint="eastAsia"/>
                        <w:sz w:val="20"/>
                      </w:rPr>
                      <w:t>的工程</w:t>
                    </w:r>
                    <w:proofErr w:type="gramStart"/>
                    <w:r>
                      <w:rPr>
                        <w:rFonts w:hint="eastAsia"/>
                        <w:sz w:val="20"/>
                      </w:rPr>
                      <w:t>款承担</w:t>
                    </w:r>
                    <w:proofErr w:type="gramEnd"/>
                    <w:r>
                      <w:rPr>
                        <w:rFonts w:hint="eastAsia"/>
                        <w:sz w:val="20"/>
                      </w:rPr>
                      <w:t>连带清偿责任；2、由被告</w:t>
                    </w:r>
                    <w:proofErr w:type="gramStart"/>
                    <w:r>
                      <w:rPr>
                        <w:rFonts w:hint="eastAsia"/>
                        <w:sz w:val="20"/>
                      </w:rPr>
                      <w:t>三支付</w:t>
                    </w:r>
                    <w:proofErr w:type="gramEnd"/>
                    <w:r>
                      <w:rPr>
                        <w:rFonts w:hint="eastAsia"/>
                        <w:sz w:val="20"/>
                      </w:rPr>
                      <w:t>原告工程款11</w:t>
                    </w:r>
                    <w:r w:rsidR="008B18B8">
                      <w:rPr>
                        <w:sz w:val="20"/>
                      </w:rPr>
                      <w:t>,</w:t>
                    </w:r>
                    <w:r>
                      <w:rPr>
                        <w:rFonts w:hint="eastAsia"/>
                        <w:sz w:val="20"/>
                      </w:rPr>
                      <w:t>470</w:t>
                    </w:r>
                    <w:r w:rsidR="008B18B8">
                      <w:rPr>
                        <w:sz w:val="20"/>
                      </w:rPr>
                      <w:t>,</w:t>
                    </w:r>
                    <w:r>
                      <w:rPr>
                        <w:rFonts w:hint="eastAsia"/>
                        <w:sz w:val="20"/>
                      </w:rPr>
                      <w:t>885.59元，利息自2019年12月12日起至清偿完毕之</w:t>
                    </w:r>
                    <w:proofErr w:type="gramStart"/>
                    <w:r>
                      <w:rPr>
                        <w:rFonts w:hint="eastAsia"/>
                        <w:sz w:val="20"/>
                      </w:rPr>
                      <w:t>日止按全国</w:t>
                    </w:r>
                    <w:proofErr w:type="gramEnd"/>
                    <w:r>
                      <w:rPr>
                        <w:rFonts w:hint="eastAsia"/>
                        <w:sz w:val="20"/>
                      </w:rPr>
                      <w:t>银行间同业拆借中心公布的贷款市场报价利率标准支付，由被告一对被告三应支付的工程</w:t>
                    </w:r>
                    <w:proofErr w:type="gramStart"/>
                    <w:r>
                      <w:rPr>
                        <w:rFonts w:hint="eastAsia"/>
                        <w:sz w:val="20"/>
                      </w:rPr>
                      <w:t>款承担</w:t>
                    </w:r>
                    <w:proofErr w:type="gramEnd"/>
                    <w:r>
                      <w:rPr>
                        <w:rFonts w:hint="eastAsia"/>
                        <w:sz w:val="20"/>
                      </w:rPr>
                      <w:t>连带清偿责任；3、对于本判决的第一、二项所欠工程款自判决生效之日起60日内履行；4、驳回原告的其他诉讼请求。</w:t>
                    </w:r>
                  </w:p>
                </w:tc>
              </w:tr>
              <w:tr w:rsidR="00830E72" w14:paraId="13999F8E" w14:textId="77777777">
                <w:tc>
                  <w:tcPr>
                    <w:tcW w:w="666" w:type="dxa"/>
                    <w:vAlign w:val="center"/>
                  </w:tcPr>
                  <w:p w14:paraId="50BA59D9" w14:textId="77777777" w:rsidR="00830E72" w:rsidRDefault="008344D8">
                    <w:pPr>
                      <w:jc w:val="center"/>
                      <w:rPr>
                        <w:sz w:val="20"/>
                      </w:rPr>
                    </w:pPr>
                    <w:r>
                      <w:rPr>
                        <w:rFonts w:hint="eastAsia"/>
                        <w:sz w:val="20"/>
                      </w:rPr>
                      <w:t>2</w:t>
                    </w:r>
                  </w:p>
                </w:tc>
                <w:tc>
                  <w:tcPr>
                    <w:tcW w:w="1143" w:type="dxa"/>
                    <w:vAlign w:val="center"/>
                  </w:tcPr>
                  <w:p w14:paraId="1815AE47" w14:textId="77777777" w:rsidR="00830E72" w:rsidRDefault="008344D8">
                    <w:pPr>
                      <w:rPr>
                        <w:sz w:val="20"/>
                      </w:rPr>
                    </w:pPr>
                    <w:r>
                      <w:rPr>
                        <w:sz w:val="20"/>
                      </w:rPr>
                      <w:t>海南</w:t>
                    </w:r>
                    <w:proofErr w:type="gramStart"/>
                    <w:r>
                      <w:rPr>
                        <w:sz w:val="20"/>
                      </w:rPr>
                      <w:t>创进嘉实业</w:t>
                    </w:r>
                    <w:proofErr w:type="gramEnd"/>
                    <w:r>
                      <w:rPr>
                        <w:sz w:val="20"/>
                      </w:rPr>
                      <w:t>有限公司</w:t>
                    </w:r>
                  </w:p>
                </w:tc>
                <w:tc>
                  <w:tcPr>
                    <w:tcW w:w="2127" w:type="dxa"/>
                    <w:vAlign w:val="center"/>
                  </w:tcPr>
                  <w:p w14:paraId="12CBA879" w14:textId="77777777" w:rsidR="00830E72" w:rsidRDefault="008344D8">
                    <w:pPr>
                      <w:rPr>
                        <w:sz w:val="20"/>
                      </w:rPr>
                    </w:pPr>
                    <w:r>
                      <w:rPr>
                        <w:sz w:val="20"/>
                      </w:rPr>
                      <w:t>被告</w:t>
                    </w:r>
                    <w:proofErr w:type="gramStart"/>
                    <w:r>
                      <w:rPr>
                        <w:sz w:val="20"/>
                      </w:rPr>
                      <w:t>一</w:t>
                    </w:r>
                    <w:proofErr w:type="gramEnd"/>
                    <w:r>
                      <w:rPr>
                        <w:sz w:val="20"/>
                      </w:rPr>
                      <w:t>：安徽省交通建设股份有限公司</w:t>
                    </w:r>
                  </w:p>
                  <w:p w14:paraId="2A0AD2CB" w14:textId="77777777" w:rsidR="00830E72" w:rsidRDefault="008344D8">
                    <w:pPr>
                      <w:rPr>
                        <w:sz w:val="20"/>
                      </w:rPr>
                    </w:pPr>
                    <w:r>
                      <w:rPr>
                        <w:sz w:val="20"/>
                      </w:rPr>
                      <w:t>被告二：海南明鑫建材贸易有限公司 </w:t>
                    </w:r>
                  </w:p>
                </w:tc>
                <w:tc>
                  <w:tcPr>
                    <w:tcW w:w="4887" w:type="dxa"/>
                    <w:vAlign w:val="center"/>
                  </w:tcPr>
                  <w:p w14:paraId="7C458F5B" w14:textId="77777777" w:rsidR="00830E72" w:rsidRDefault="008344D8">
                    <w:pPr>
                      <w:rPr>
                        <w:sz w:val="20"/>
                      </w:rPr>
                    </w:pPr>
                    <w:r>
                      <w:rPr>
                        <w:rFonts w:hint="eastAsia"/>
                        <w:sz w:val="20"/>
                      </w:rPr>
                      <w:t>2021年2月，</w:t>
                    </w:r>
                    <w:r>
                      <w:rPr>
                        <w:sz w:val="20"/>
                      </w:rPr>
                      <w:t>原告因买卖合同纠纷向合肥市庐阳区人民法院起诉，请求法院判令安徽省交通建设股份有限公司支付货款453,206.90元、违约金54,228.38元，合计507,435.28元；被告二对上述债权承担连带清偿责任。案件尚未开庭。截止</w:t>
                    </w:r>
                    <w:r>
                      <w:rPr>
                        <w:rFonts w:hint="eastAsia"/>
                        <w:sz w:val="20"/>
                      </w:rPr>
                      <w:t>本报告出具之日</w:t>
                    </w:r>
                    <w:r>
                      <w:rPr>
                        <w:sz w:val="20"/>
                      </w:rPr>
                      <w:t>，本</w:t>
                    </w:r>
                    <w:r>
                      <w:rPr>
                        <w:rFonts w:hint="eastAsia"/>
                        <w:sz w:val="20"/>
                      </w:rPr>
                      <w:t>案仍在一审审理中</w:t>
                    </w:r>
                    <w:r>
                      <w:rPr>
                        <w:sz w:val="20"/>
                      </w:rPr>
                      <w:t>。</w:t>
                    </w:r>
                  </w:p>
                </w:tc>
              </w:tr>
              <w:tr w:rsidR="00830E72" w14:paraId="2971E4BD" w14:textId="77777777">
                <w:tc>
                  <w:tcPr>
                    <w:tcW w:w="666" w:type="dxa"/>
                    <w:vAlign w:val="center"/>
                  </w:tcPr>
                  <w:p w14:paraId="078ACA0E" w14:textId="77777777" w:rsidR="00830E72" w:rsidRDefault="008344D8">
                    <w:pPr>
                      <w:jc w:val="center"/>
                      <w:rPr>
                        <w:sz w:val="20"/>
                      </w:rPr>
                    </w:pPr>
                    <w:r>
                      <w:rPr>
                        <w:rFonts w:hint="eastAsia"/>
                        <w:sz w:val="20"/>
                      </w:rPr>
                      <w:t>3</w:t>
                    </w:r>
                  </w:p>
                </w:tc>
                <w:tc>
                  <w:tcPr>
                    <w:tcW w:w="1143" w:type="dxa"/>
                    <w:vAlign w:val="center"/>
                  </w:tcPr>
                  <w:p w14:paraId="727628CA" w14:textId="77777777" w:rsidR="00830E72" w:rsidRDefault="008344D8">
                    <w:pPr>
                      <w:rPr>
                        <w:sz w:val="20"/>
                      </w:rPr>
                    </w:pPr>
                    <w:proofErr w:type="gramStart"/>
                    <w:r>
                      <w:rPr>
                        <w:sz w:val="20"/>
                      </w:rPr>
                      <w:t>浙江交建</w:t>
                    </w:r>
                    <w:r>
                      <w:rPr>
                        <w:sz w:val="20"/>
                      </w:rPr>
                      <w:lastRenderedPageBreak/>
                      <w:t>建筑设备</w:t>
                    </w:r>
                    <w:proofErr w:type="gramEnd"/>
                    <w:r>
                      <w:rPr>
                        <w:sz w:val="20"/>
                      </w:rPr>
                      <w:t>租赁有限公司</w:t>
                    </w:r>
                  </w:p>
                </w:tc>
                <w:tc>
                  <w:tcPr>
                    <w:tcW w:w="2127" w:type="dxa"/>
                    <w:vAlign w:val="center"/>
                  </w:tcPr>
                  <w:p w14:paraId="3A07C5F1" w14:textId="77777777" w:rsidR="00830E72" w:rsidRDefault="008344D8">
                    <w:pPr>
                      <w:rPr>
                        <w:sz w:val="20"/>
                      </w:rPr>
                    </w:pPr>
                    <w:r>
                      <w:rPr>
                        <w:sz w:val="20"/>
                      </w:rPr>
                      <w:lastRenderedPageBreak/>
                      <w:t>被告</w:t>
                    </w:r>
                    <w:proofErr w:type="gramStart"/>
                    <w:r>
                      <w:rPr>
                        <w:sz w:val="20"/>
                      </w:rPr>
                      <w:t>一</w:t>
                    </w:r>
                    <w:proofErr w:type="gramEnd"/>
                    <w:r>
                      <w:rPr>
                        <w:sz w:val="20"/>
                      </w:rPr>
                      <w:t>：安徽海桥交通</w:t>
                    </w:r>
                    <w:r>
                      <w:rPr>
                        <w:sz w:val="20"/>
                      </w:rPr>
                      <w:lastRenderedPageBreak/>
                      <w:t>工程有限公司</w:t>
                    </w:r>
                  </w:p>
                  <w:p w14:paraId="5741926E" w14:textId="77777777" w:rsidR="00830E72" w:rsidRDefault="008344D8">
                    <w:pPr>
                      <w:rPr>
                        <w:sz w:val="20"/>
                      </w:rPr>
                    </w:pPr>
                    <w:r>
                      <w:rPr>
                        <w:sz w:val="20"/>
                      </w:rPr>
                      <w:t>被告二：安徽省交通建设股份有限公司</w:t>
                    </w:r>
                  </w:p>
                </w:tc>
                <w:tc>
                  <w:tcPr>
                    <w:tcW w:w="4887" w:type="dxa"/>
                    <w:vAlign w:val="center"/>
                  </w:tcPr>
                  <w:p w14:paraId="099B64AD" w14:textId="77777777" w:rsidR="00830E72" w:rsidRDefault="008344D8">
                    <w:pPr>
                      <w:rPr>
                        <w:sz w:val="20"/>
                      </w:rPr>
                    </w:pPr>
                    <w:r>
                      <w:rPr>
                        <w:rFonts w:hint="eastAsia"/>
                        <w:sz w:val="20"/>
                      </w:rPr>
                      <w:lastRenderedPageBreak/>
                      <w:t>2021年1月，</w:t>
                    </w:r>
                    <w:r>
                      <w:rPr>
                        <w:sz w:val="20"/>
                      </w:rPr>
                      <w:t>原告因建设租赁合同纠纷向杭州市拱</w:t>
                    </w:r>
                    <w:proofErr w:type="gramStart"/>
                    <w:r>
                      <w:rPr>
                        <w:sz w:val="20"/>
                      </w:rPr>
                      <w:t>墅</w:t>
                    </w:r>
                    <w:proofErr w:type="gramEnd"/>
                    <w:r>
                      <w:rPr>
                        <w:sz w:val="20"/>
                      </w:rPr>
                      <w:lastRenderedPageBreak/>
                      <w:t>区人民法院起诉，请求法院判令被告一向原告支付</w:t>
                    </w:r>
                    <w:r>
                      <w:rPr>
                        <w:rFonts w:hint="eastAsia"/>
                        <w:sz w:val="20"/>
                      </w:rPr>
                      <w:t>租赁</w:t>
                    </w:r>
                    <w:r>
                      <w:rPr>
                        <w:sz w:val="20"/>
                      </w:rPr>
                      <w:t>费、修理费、遗失物品赔偿费及利息共计1,621,511.86元；</w:t>
                    </w:r>
                    <w:r>
                      <w:rPr>
                        <w:rFonts w:hint="eastAsia"/>
                        <w:sz w:val="20"/>
                      </w:rPr>
                      <w:t>被告二</w:t>
                    </w:r>
                    <w:r>
                      <w:rPr>
                        <w:sz w:val="20"/>
                      </w:rPr>
                      <w:t>对被告</w:t>
                    </w:r>
                    <w:proofErr w:type="gramStart"/>
                    <w:r>
                      <w:rPr>
                        <w:sz w:val="20"/>
                      </w:rPr>
                      <w:t>一</w:t>
                    </w:r>
                    <w:proofErr w:type="gramEnd"/>
                    <w:r>
                      <w:rPr>
                        <w:sz w:val="20"/>
                      </w:rPr>
                      <w:t>的上述债务承担连带清偿责任。截止</w:t>
                    </w:r>
                    <w:r>
                      <w:rPr>
                        <w:rFonts w:hint="eastAsia"/>
                        <w:sz w:val="20"/>
                      </w:rPr>
                      <w:t>本报告出具之日</w:t>
                    </w:r>
                    <w:r>
                      <w:rPr>
                        <w:sz w:val="20"/>
                      </w:rPr>
                      <w:t>，</w:t>
                    </w:r>
                    <w:r>
                      <w:rPr>
                        <w:rFonts w:hint="eastAsia"/>
                        <w:sz w:val="20"/>
                      </w:rPr>
                      <w:t>本案仍在一审中</w:t>
                    </w:r>
                    <w:r>
                      <w:rPr>
                        <w:sz w:val="20"/>
                      </w:rPr>
                      <w:t>。</w:t>
                    </w:r>
                  </w:p>
                </w:tc>
              </w:tr>
              <w:tr w:rsidR="00830E72" w14:paraId="60BA3439" w14:textId="77777777">
                <w:tc>
                  <w:tcPr>
                    <w:tcW w:w="666" w:type="dxa"/>
                    <w:vAlign w:val="center"/>
                  </w:tcPr>
                  <w:p w14:paraId="116100BA" w14:textId="77777777" w:rsidR="00830E72" w:rsidRDefault="008344D8">
                    <w:pPr>
                      <w:jc w:val="center"/>
                      <w:rPr>
                        <w:sz w:val="20"/>
                      </w:rPr>
                    </w:pPr>
                    <w:r>
                      <w:rPr>
                        <w:rFonts w:hint="eastAsia"/>
                        <w:sz w:val="20"/>
                      </w:rPr>
                      <w:lastRenderedPageBreak/>
                      <w:t>4</w:t>
                    </w:r>
                  </w:p>
                </w:tc>
                <w:tc>
                  <w:tcPr>
                    <w:tcW w:w="1143" w:type="dxa"/>
                    <w:vAlign w:val="center"/>
                  </w:tcPr>
                  <w:p w14:paraId="51659FC8" w14:textId="77777777" w:rsidR="00830E72" w:rsidRDefault="008344D8">
                    <w:pPr>
                      <w:rPr>
                        <w:sz w:val="20"/>
                      </w:rPr>
                    </w:pPr>
                    <w:r>
                      <w:rPr>
                        <w:rFonts w:hint="eastAsia"/>
                        <w:sz w:val="20"/>
                      </w:rPr>
                      <w:t>德清</w:t>
                    </w:r>
                    <w:proofErr w:type="gramStart"/>
                    <w:r>
                      <w:rPr>
                        <w:rFonts w:hint="eastAsia"/>
                        <w:sz w:val="20"/>
                      </w:rPr>
                      <w:t>钟管易盘</w:t>
                    </w:r>
                    <w:proofErr w:type="gramEnd"/>
                    <w:r>
                      <w:rPr>
                        <w:rFonts w:hint="eastAsia"/>
                        <w:sz w:val="20"/>
                      </w:rPr>
                      <w:t>建筑设备租赁经营部</w:t>
                    </w:r>
                  </w:p>
                </w:tc>
                <w:tc>
                  <w:tcPr>
                    <w:tcW w:w="2127" w:type="dxa"/>
                    <w:vAlign w:val="center"/>
                  </w:tcPr>
                  <w:p w14:paraId="42AFAF0C" w14:textId="77777777" w:rsidR="00830E72" w:rsidRDefault="008344D8">
                    <w:pPr>
                      <w:rPr>
                        <w:sz w:val="20"/>
                      </w:rPr>
                    </w:pPr>
                    <w:r>
                      <w:rPr>
                        <w:sz w:val="20"/>
                      </w:rPr>
                      <w:t>被告</w:t>
                    </w:r>
                    <w:proofErr w:type="gramStart"/>
                    <w:r>
                      <w:rPr>
                        <w:sz w:val="20"/>
                      </w:rPr>
                      <w:t>一</w:t>
                    </w:r>
                    <w:proofErr w:type="gramEnd"/>
                    <w:r>
                      <w:rPr>
                        <w:sz w:val="20"/>
                      </w:rPr>
                      <w:t>：</w:t>
                    </w:r>
                    <w:r>
                      <w:rPr>
                        <w:rFonts w:hint="eastAsia"/>
                        <w:sz w:val="20"/>
                      </w:rPr>
                      <w:t>重庆盛川建筑有限公司</w:t>
                    </w:r>
                  </w:p>
                  <w:p w14:paraId="68DB2EB5" w14:textId="77777777" w:rsidR="00830E72" w:rsidRDefault="008344D8">
                    <w:pPr>
                      <w:rPr>
                        <w:sz w:val="20"/>
                      </w:rPr>
                    </w:pPr>
                    <w:r>
                      <w:rPr>
                        <w:sz w:val="20"/>
                      </w:rPr>
                      <w:t>被告二：安徽省交通建设股份有限公司</w:t>
                    </w:r>
                  </w:p>
                </w:tc>
                <w:tc>
                  <w:tcPr>
                    <w:tcW w:w="4887" w:type="dxa"/>
                    <w:vAlign w:val="center"/>
                  </w:tcPr>
                  <w:p w14:paraId="3B9BBD4E" w14:textId="0923FB4E" w:rsidR="00830E72" w:rsidRDefault="008344D8">
                    <w:pPr>
                      <w:rPr>
                        <w:sz w:val="20"/>
                      </w:rPr>
                    </w:pPr>
                    <w:r>
                      <w:rPr>
                        <w:rFonts w:hint="eastAsia"/>
                        <w:sz w:val="20"/>
                      </w:rPr>
                      <w:t>2021年2月，原告</w:t>
                    </w:r>
                    <w:r>
                      <w:rPr>
                        <w:sz w:val="20"/>
                      </w:rPr>
                      <w:t>因建设租赁合同纠纷向</w:t>
                    </w:r>
                    <w:r>
                      <w:rPr>
                        <w:rFonts w:hint="eastAsia"/>
                        <w:sz w:val="20"/>
                      </w:rPr>
                      <w:t>湖州市德清县</w:t>
                    </w:r>
                    <w:r>
                      <w:rPr>
                        <w:sz w:val="20"/>
                      </w:rPr>
                      <w:t>人民法院起诉，请求法院判令被告一向原告支付</w:t>
                    </w:r>
                    <w:r>
                      <w:rPr>
                        <w:rFonts w:hint="eastAsia"/>
                        <w:sz w:val="20"/>
                      </w:rPr>
                      <w:t>租赁</w:t>
                    </w:r>
                    <w:r>
                      <w:rPr>
                        <w:sz w:val="20"/>
                      </w:rPr>
                      <w:t>费、修理费、</w:t>
                    </w:r>
                    <w:r>
                      <w:rPr>
                        <w:rFonts w:hint="eastAsia"/>
                        <w:sz w:val="20"/>
                      </w:rPr>
                      <w:t>维修费</w:t>
                    </w:r>
                    <w:r>
                      <w:rPr>
                        <w:sz w:val="20"/>
                      </w:rPr>
                      <w:t>及</w:t>
                    </w:r>
                    <w:r>
                      <w:rPr>
                        <w:rFonts w:hint="eastAsia"/>
                        <w:sz w:val="20"/>
                      </w:rPr>
                      <w:t>违约金</w:t>
                    </w:r>
                    <w:r>
                      <w:rPr>
                        <w:sz w:val="20"/>
                      </w:rPr>
                      <w:t>共计</w:t>
                    </w:r>
                    <w:r>
                      <w:rPr>
                        <w:rFonts w:hint="eastAsia"/>
                        <w:sz w:val="20"/>
                      </w:rPr>
                      <w:t>2,245,873.72元；被告二对被告</w:t>
                    </w:r>
                    <w:proofErr w:type="gramStart"/>
                    <w:r>
                      <w:rPr>
                        <w:rFonts w:hint="eastAsia"/>
                        <w:sz w:val="20"/>
                      </w:rPr>
                      <w:t>一</w:t>
                    </w:r>
                    <w:proofErr w:type="gramEnd"/>
                    <w:r>
                      <w:rPr>
                        <w:rFonts w:hint="eastAsia"/>
                        <w:sz w:val="20"/>
                      </w:rPr>
                      <w:t>的上述债务承担连带清偿责任。</w:t>
                    </w:r>
                  </w:p>
                </w:tc>
              </w:tr>
            </w:tbl>
          </w:sdtContent>
        </w:sdt>
        <w:bookmarkEnd w:id="198"/>
        <w:p w14:paraId="62725535" w14:textId="77777777" w:rsidR="00830E72" w:rsidRDefault="008344D8">
          <w:pPr>
            <w:pStyle w:val="56"/>
            <w:numPr>
              <w:ilvl w:val="0"/>
              <w:numId w:val="89"/>
            </w:numPr>
            <w:spacing w:beforeLines="100" w:before="240"/>
            <w:ind w:firstLineChars="0"/>
          </w:pPr>
          <w:r>
            <w:t>为子公司提供债务担保形成的或有负债及其财务影响</w:t>
          </w:r>
        </w:p>
        <w:tbl>
          <w:tblPr>
            <w:tblStyle w:val="g2"/>
            <w:tblW w:w="0" w:type="auto"/>
            <w:jc w:val="center"/>
            <w:tblLook w:val="04A0" w:firstRow="1" w:lastRow="0" w:firstColumn="1" w:lastColumn="0" w:noHBand="0" w:noVBand="1"/>
          </w:tblPr>
          <w:tblGrid>
            <w:gridCol w:w="1725"/>
            <w:gridCol w:w="1105"/>
            <w:gridCol w:w="1418"/>
            <w:gridCol w:w="2551"/>
            <w:gridCol w:w="2024"/>
          </w:tblGrid>
          <w:tr w:rsidR="00830E72" w14:paraId="255CB806" w14:textId="77777777" w:rsidTr="00370F55">
            <w:trPr>
              <w:jc w:val="center"/>
            </w:trPr>
            <w:tc>
              <w:tcPr>
                <w:tcW w:w="1725" w:type="dxa"/>
                <w:vAlign w:val="center"/>
              </w:tcPr>
              <w:p w14:paraId="573BBEAD" w14:textId="77777777" w:rsidR="00830E72" w:rsidRDefault="008344D8">
                <w:pPr>
                  <w:adjustRightInd w:val="0"/>
                  <w:spacing w:before="120" w:line="360" w:lineRule="auto"/>
                  <w:jc w:val="center"/>
                </w:pPr>
                <w:r>
                  <w:t>被担保单位名称</w:t>
                </w:r>
              </w:p>
            </w:tc>
            <w:tc>
              <w:tcPr>
                <w:tcW w:w="1105" w:type="dxa"/>
                <w:vAlign w:val="center"/>
              </w:tcPr>
              <w:p w14:paraId="2A0EC652" w14:textId="77777777" w:rsidR="00830E72" w:rsidRDefault="008344D8">
                <w:pPr>
                  <w:pStyle w:val="56"/>
                  <w:ind w:firstLineChars="0" w:firstLine="0"/>
                  <w:jc w:val="center"/>
                </w:pPr>
                <w:r>
                  <w:t>担保事项</w:t>
                </w:r>
              </w:p>
            </w:tc>
            <w:tc>
              <w:tcPr>
                <w:tcW w:w="1418" w:type="dxa"/>
                <w:vAlign w:val="center"/>
              </w:tcPr>
              <w:p w14:paraId="13DAF89B" w14:textId="77777777" w:rsidR="00830E72" w:rsidRDefault="008344D8">
                <w:pPr>
                  <w:pStyle w:val="56"/>
                  <w:ind w:firstLineChars="0" w:firstLine="0"/>
                  <w:jc w:val="center"/>
                </w:pPr>
                <w:r>
                  <w:t>金额（万元）</w:t>
                </w:r>
              </w:p>
            </w:tc>
            <w:tc>
              <w:tcPr>
                <w:tcW w:w="2551" w:type="dxa"/>
                <w:vAlign w:val="center"/>
              </w:tcPr>
              <w:p w14:paraId="52800A5B" w14:textId="77777777" w:rsidR="00830E72" w:rsidRDefault="008344D8">
                <w:pPr>
                  <w:pStyle w:val="56"/>
                  <w:ind w:firstLineChars="0" w:firstLine="0"/>
                  <w:jc w:val="center"/>
                </w:pPr>
                <w:r>
                  <w:t>期限</w:t>
                </w:r>
              </w:p>
            </w:tc>
            <w:tc>
              <w:tcPr>
                <w:tcW w:w="2024" w:type="dxa"/>
                <w:vAlign w:val="center"/>
              </w:tcPr>
              <w:p w14:paraId="151A19CE" w14:textId="77777777" w:rsidR="00830E72" w:rsidRDefault="008344D8">
                <w:pPr>
                  <w:pStyle w:val="56"/>
                  <w:ind w:firstLineChars="0" w:firstLine="0"/>
                  <w:jc w:val="center"/>
                </w:pPr>
                <w:r>
                  <w:t>备注</w:t>
                </w:r>
              </w:p>
            </w:tc>
          </w:tr>
          <w:tr w:rsidR="00830E72" w14:paraId="7D79813D" w14:textId="77777777" w:rsidTr="00370F55">
            <w:trPr>
              <w:jc w:val="center"/>
            </w:trPr>
            <w:tc>
              <w:tcPr>
                <w:tcW w:w="1725" w:type="dxa"/>
                <w:vAlign w:val="center"/>
              </w:tcPr>
              <w:p w14:paraId="710C7CE4" w14:textId="77777777" w:rsidR="00830E72" w:rsidRDefault="008344D8">
                <w:pPr>
                  <w:pStyle w:val="56"/>
                  <w:ind w:firstLineChars="0" w:firstLine="0"/>
                  <w:jc w:val="center"/>
                </w:pPr>
                <w:r>
                  <w:t>亳州</w:t>
                </w:r>
                <w:proofErr w:type="gramStart"/>
                <w:r>
                  <w:t>祥</w:t>
                </w:r>
                <w:proofErr w:type="gramEnd"/>
                <w:r>
                  <w:t>居</w:t>
                </w:r>
              </w:p>
            </w:tc>
            <w:tc>
              <w:tcPr>
                <w:tcW w:w="1105" w:type="dxa"/>
                <w:vAlign w:val="center"/>
              </w:tcPr>
              <w:p w14:paraId="0720384F" w14:textId="77777777" w:rsidR="00830E72" w:rsidRDefault="008344D8">
                <w:pPr>
                  <w:pStyle w:val="56"/>
                  <w:ind w:firstLineChars="0" w:firstLine="0"/>
                  <w:jc w:val="center"/>
                </w:pPr>
                <w:r>
                  <w:t>长期借款</w:t>
                </w:r>
              </w:p>
            </w:tc>
            <w:tc>
              <w:tcPr>
                <w:tcW w:w="1418" w:type="dxa"/>
                <w:vAlign w:val="center"/>
              </w:tcPr>
              <w:p w14:paraId="7A1CDD60" w14:textId="77777777" w:rsidR="00830E72" w:rsidRDefault="008344D8">
                <w:pPr>
                  <w:pStyle w:val="56"/>
                  <w:ind w:firstLineChars="0" w:firstLine="0"/>
                  <w:jc w:val="center"/>
                </w:pPr>
                <w:r>
                  <w:t>60,000.00</w:t>
                </w:r>
              </w:p>
            </w:tc>
            <w:tc>
              <w:tcPr>
                <w:tcW w:w="2551" w:type="dxa"/>
                <w:vAlign w:val="center"/>
              </w:tcPr>
              <w:p w14:paraId="4065B24C" w14:textId="77777777" w:rsidR="00830E72" w:rsidRDefault="008344D8">
                <w:pPr>
                  <w:pStyle w:val="56"/>
                  <w:ind w:firstLineChars="0" w:firstLine="0"/>
                  <w:jc w:val="center"/>
                </w:pPr>
                <w:r>
                  <w:t>2018-12-6</w:t>
                </w:r>
                <w:r>
                  <w:t>至</w:t>
                </w:r>
                <w:r>
                  <w:t>2033-12-6</w:t>
                </w:r>
              </w:p>
            </w:tc>
            <w:tc>
              <w:tcPr>
                <w:tcW w:w="2024" w:type="dxa"/>
                <w:vAlign w:val="center"/>
              </w:tcPr>
              <w:p w14:paraId="1875E25B" w14:textId="77777777" w:rsidR="00830E72" w:rsidRDefault="00830E72">
                <w:pPr>
                  <w:pStyle w:val="56"/>
                  <w:ind w:firstLineChars="0" w:firstLine="0"/>
                  <w:jc w:val="center"/>
                </w:pPr>
              </w:p>
            </w:tc>
          </w:tr>
          <w:tr w:rsidR="00830E72" w14:paraId="78FF8F6F" w14:textId="77777777" w:rsidTr="00370F55">
            <w:trPr>
              <w:jc w:val="center"/>
            </w:trPr>
            <w:tc>
              <w:tcPr>
                <w:tcW w:w="1725" w:type="dxa"/>
                <w:vAlign w:val="center"/>
              </w:tcPr>
              <w:p w14:paraId="39600C9A" w14:textId="77777777" w:rsidR="00830E72" w:rsidRDefault="008344D8">
                <w:pPr>
                  <w:pStyle w:val="56"/>
                  <w:ind w:firstLineChars="0" w:firstLine="0"/>
                  <w:jc w:val="center"/>
                </w:pPr>
                <w:r>
                  <w:t>宿松振兴</w:t>
                </w:r>
              </w:p>
            </w:tc>
            <w:tc>
              <w:tcPr>
                <w:tcW w:w="1105" w:type="dxa"/>
                <w:vAlign w:val="center"/>
              </w:tcPr>
              <w:p w14:paraId="34D04B22" w14:textId="77777777" w:rsidR="00830E72" w:rsidRDefault="008344D8">
                <w:pPr>
                  <w:pStyle w:val="56"/>
                  <w:ind w:firstLineChars="0" w:firstLine="0"/>
                  <w:jc w:val="center"/>
                </w:pPr>
                <w:r>
                  <w:t>长期借款</w:t>
                </w:r>
              </w:p>
            </w:tc>
            <w:tc>
              <w:tcPr>
                <w:tcW w:w="1418" w:type="dxa"/>
                <w:vAlign w:val="center"/>
              </w:tcPr>
              <w:p w14:paraId="35DF335D" w14:textId="77777777" w:rsidR="00830E72" w:rsidRDefault="008344D8">
                <w:pPr>
                  <w:pStyle w:val="56"/>
                  <w:ind w:firstLineChars="0" w:firstLine="0"/>
                  <w:jc w:val="center"/>
                </w:pPr>
                <w:r>
                  <w:t>25,120.00</w:t>
                </w:r>
              </w:p>
            </w:tc>
            <w:tc>
              <w:tcPr>
                <w:tcW w:w="2551" w:type="dxa"/>
                <w:vAlign w:val="center"/>
              </w:tcPr>
              <w:p w14:paraId="4EC252B9" w14:textId="77777777" w:rsidR="00830E72" w:rsidRDefault="008344D8">
                <w:pPr>
                  <w:pStyle w:val="56"/>
                  <w:ind w:firstLineChars="0" w:firstLine="0"/>
                  <w:jc w:val="center"/>
                </w:pPr>
                <w:r>
                  <w:t>2018-12-18</w:t>
                </w:r>
                <w:r>
                  <w:t>至</w:t>
                </w:r>
                <w:r>
                  <w:t>2020-11-20</w:t>
                </w:r>
              </w:p>
            </w:tc>
            <w:tc>
              <w:tcPr>
                <w:tcW w:w="2024" w:type="dxa"/>
                <w:vAlign w:val="center"/>
              </w:tcPr>
              <w:p w14:paraId="0FEC582E" w14:textId="25D2E772" w:rsidR="00830E72" w:rsidRDefault="00370F55">
                <w:pPr>
                  <w:pStyle w:val="56"/>
                  <w:ind w:firstLineChars="0" w:firstLine="0"/>
                  <w:jc w:val="center"/>
                </w:pPr>
                <w:r>
                  <w:rPr>
                    <w:rFonts w:hint="eastAsia"/>
                  </w:rPr>
                  <w:t>借款协议尚在执行</w:t>
                </w:r>
              </w:p>
            </w:tc>
          </w:tr>
        </w:tbl>
        <w:p w14:paraId="7F2E9466" w14:textId="77777777" w:rsidR="00830E72" w:rsidRDefault="008344D8">
          <w:pPr>
            <w:pStyle w:val="aff4"/>
            <w:numPr>
              <w:ilvl w:val="0"/>
              <w:numId w:val="89"/>
            </w:numPr>
            <w:spacing w:beforeLines="100" w:before="240"/>
            <w:ind w:firstLineChars="0"/>
          </w:pPr>
          <w:r>
            <w:t>其他</w:t>
          </w:r>
        </w:p>
        <w:p w14:paraId="39000FA8" w14:textId="77777777" w:rsidR="00830E72" w:rsidRDefault="008344D8">
          <w:pPr>
            <w:pStyle w:val="aff4"/>
            <w:ind w:left="57" w:firstLineChars="0" w:firstLine="0"/>
            <w:jc w:val="left"/>
          </w:pPr>
          <w:r>
            <w:t>2021</w:t>
          </w:r>
          <w:r>
            <w:t>年</w:t>
          </w:r>
          <w:r>
            <w:t>6</w:t>
          </w:r>
          <w:r>
            <w:t>月</w:t>
          </w:r>
          <w:r>
            <w:t>30</w:t>
          </w:r>
          <w:r>
            <w:t>日，本公司开立保函未结清余额人民币</w:t>
          </w:r>
          <w:r>
            <w:t>101,525.62</w:t>
          </w:r>
          <w:r>
            <w:t>万元。</w:t>
          </w:r>
          <w:r>
            <w:rPr>
              <w:rFonts w:hint="eastAsia"/>
            </w:rPr>
            <w:t>截至</w:t>
          </w:r>
          <w:r>
            <w:t>2021</w:t>
          </w:r>
          <w:r>
            <w:t>年</w:t>
          </w:r>
          <w:r>
            <w:t>6</w:t>
          </w:r>
          <w:r>
            <w:t>月</w:t>
          </w:r>
          <w:r>
            <w:t>30</w:t>
          </w:r>
          <w:r>
            <w:t>日止，除上述事项外，本公司无需要披露的其他重大或有事项。</w:t>
          </w:r>
        </w:p>
      </w:sdtContent>
    </w:sdt>
    <w:sdt>
      <w:sdtPr>
        <w:rPr>
          <w:rFonts w:ascii="宋体" w:hAnsi="宋体" w:cs="宋体" w:hint="eastAsia"/>
          <w:b w:val="0"/>
          <w:bCs w:val="0"/>
          <w:kern w:val="0"/>
          <w:szCs w:val="24"/>
        </w:rPr>
        <w:alias w:val="模块:公司没有需要披露的或有事项，也应予以说明"/>
        <w:tag w:val="_GBC_428b07d001974f7390d8bb4142377be9"/>
        <w:id w:val="-1601633444"/>
        <w:lock w:val="sdtLocked"/>
        <w:placeholder>
          <w:docPart w:val="GBC22222222222222222222222222222"/>
        </w:placeholder>
      </w:sdtPr>
      <w:sdtEndPr>
        <w:rPr>
          <w:rFonts w:cstheme="minorBidi"/>
        </w:rPr>
      </w:sdtEndPr>
      <w:sdtContent>
        <w:p w14:paraId="52656A96" w14:textId="77777777" w:rsidR="00830E72" w:rsidRDefault="008344D8">
          <w:pPr>
            <w:pStyle w:val="Style100"/>
            <w:numPr>
              <w:ilvl w:val="0"/>
              <w:numId w:val="88"/>
            </w:numPr>
            <w:tabs>
              <w:tab w:val="left" w:pos="616"/>
            </w:tabs>
            <w:rPr>
              <w:rFonts w:ascii="宋体" w:hAnsi="宋体"/>
            </w:rPr>
          </w:pPr>
          <w:r>
            <w:rPr>
              <w:rFonts w:ascii="宋体" w:hAnsi="宋体" w:hint="eastAsia"/>
            </w:rPr>
            <w:t>公司没有需要披露的重要或有事项，也应予以说明：</w:t>
          </w:r>
        </w:p>
        <w:sdt>
          <w:sdtPr>
            <w:alias w:val="是否适用：公司没有需要披露的重要或有事项，也应予以说明[双击切换]"/>
            <w:tag w:val="_GBC_a0545390a9694adcaaee8509e290303c"/>
            <w:id w:val="440421876"/>
            <w:lock w:val="sdtContentLocked"/>
            <w:placeholder>
              <w:docPart w:val="GBC22222222222222222222222222222"/>
            </w:placeholder>
          </w:sdtPr>
          <w:sdtEndPr/>
          <w:sdtContent>
            <w:p w14:paraId="17B6CC1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4"/>
        </w:rPr>
        <w:alias w:val="模块:承诺及或有事项的其他情况说明"/>
        <w:tag w:val="_GBC_7967de77d1eb4fa3968e072c7d0d24ca"/>
        <w:id w:val="1853288011"/>
        <w:lock w:val="sdtLocked"/>
        <w:placeholder>
          <w:docPart w:val="GBC22222222222222222222222222222"/>
        </w:placeholder>
      </w:sdtPr>
      <w:sdtEndPr/>
      <w:sdtContent>
        <w:p w14:paraId="5ABF7E44" w14:textId="77777777" w:rsidR="00830E72" w:rsidRDefault="008344D8">
          <w:pPr>
            <w:pStyle w:val="Style99"/>
            <w:numPr>
              <w:ilvl w:val="0"/>
              <w:numId w:val="87"/>
            </w:numPr>
            <w:rPr>
              <w:rFonts w:ascii="宋体" w:hAnsi="宋体"/>
            </w:rPr>
          </w:pPr>
          <w:r>
            <w:rPr>
              <w:rFonts w:ascii="宋体" w:hAnsi="宋体" w:hint="eastAsia"/>
            </w:rPr>
            <w:t>其他</w:t>
          </w:r>
        </w:p>
        <w:sdt>
          <w:sdtPr>
            <w:alias w:val="是否适用：承诺及或有事项的其他情况说明[双击切换]"/>
            <w:tag w:val="_GBC_ff33b21a56eb4d3291f2b4875be5a2b2"/>
            <w:id w:val="1802189966"/>
            <w:lock w:val="sdtContentLocked"/>
            <w:placeholder>
              <w:docPart w:val="GBC22222222222222222222222222222"/>
            </w:placeholder>
          </w:sdtPr>
          <w:sdtEndPr/>
          <w:sdtContent>
            <w:p w14:paraId="7F5BEB96"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469E77C" w14:textId="77777777" w:rsidR="00830E72" w:rsidRDefault="00830E72"/>
    <w:p w14:paraId="6DE23B9D" w14:textId="77777777" w:rsidR="00830E72" w:rsidRDefault="008344D8">
      <w:pPr>
        <w:pStyle w:val="2CharCharChar"/>
        <w:numPr>
          <w:ilvl w:val="0"/>
          <w:numId w:val="32"/>
        </w:numPr>
        <w:ind w:left="422" w:hanging="422"/>
        <w:rPr>
          <w:rFonts w:ascii="宋体" w:hAnsi="宋体"/>
        </w:rPr>
      </w:pPr>
      <w:r>
        <w:rPr>
          <w:rFonts w:ascii="宋体" w:hAnsi="宋体" w:hint="eastAsia"/>
        </w:rPr>
        <w:t>资产负债表日后事项</w:t>
      </w:r>
    </w:p>
    <w:sdt>
      <w:sdtPr>
        <w:rPr>
          <w:rFonts w:ascii="宋体" w:hAnsi="宋体" w:cs="宋体" w:hint="eastAsia"/>
          <w:b w:val="0"/>
          <w:bCs w:val="0"/>
          <w:kern w:val="0"/>
          <w:szCs w:val="24"/>
        </w:rPr>
        <w:alias w:val="模块:重要的非调整事项"/>
        <w:tag w:val="_GBC_5d1bcf8f61b9443ba6ffa54897c724fc"/>
        <w:id w:val="692963587"/>
        <w:lock w:val="sdtLocked"/>
        <w:placeholder>
          <w:docPart w:val="GBC22222222222222222222222222222"/>
        </w:placeholder>
      </w:sdtPr>
      <w:sdtEndPr>
        <w:rPr>
          <w:rFonts w:cstheme="minorBidi"/>
          <w:szCs w:val="22"/>
        </w:rPr>
      </w:sdtEndPr>
      <w:sdtContent>
        <w:p w14:paraId="1B15DF63" w14:textId="77777777" w:rsidR="00830E72" w:rsidRDefault="008344D8">
          <w:pPr>
            <w:pStyle w:val="Style99"/>
            <w:numPr>
              <w:ilvl w:val="0"/>
              <w:numId w:val="90"/>
            </w:numPr>
            <w:rPr>
              <w:rFonts w:ascii="宋体" w:hAnsi="宋体"/>
            </w:rPr>
          </w:pPr>
          <w:r>
            <w:rPr>
              <w:rFonts w:ascii="宋体" w:hAnsi="宋体" w:hint="eastAsia"/>
            </w:rPr>
            <w:t>重要的非调整事项</w:t>
          </w:r>
        </w:p>
        <w:sdt>
          <w:sdtPr>
            <w:alias w:val="是否适用：重要的非调整事项[双击切换]"/>
            <w:tag w:val="_GBC_ab366a8fb12748d6aa2a8401b360857c"/>
            <w:id w:val="-23337117"/>
            <w:lock w:val="sdtContentLocked"/>
            <w:placeholder>
              <w:docPart w:val="GBC22222222222222222222222222222"/>
            </w:placeholder>
          </w:sdtPr>
          <w:sdtEndPr/>
          <w:sdtContent>
            <w:p w14:paraId="31279B6D"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GBC_0fa3d44599d34674894cec144baccd50"/>
        <w:id w:val="-2134240183"/>
        <w:lock w:val="sdtLocked"/>
        <w:placeholder>
          <w:docPart w:val="GBC22222222222222222222222222222"/>
        </w:placeholder>
      </w:sdtPr>
      <w:sdtEndPr>
        <w:rPr>
          <w:rFonts w:cstheme="minorBidi" w:hint="default"/>
          <w:szCs w:val="21"/>
        </w:rPr>
      </w:sdtEndPr>
      <w:sdtContent>
        <w:p w14:paraId="578282DB" w14:textId="77777777" w:rsidR="00830E72" w:rsidRDefault="008344D8">
          <w:pPr>
            <w:pStyle w:val="Style99"/>
            <w:numPr>
              <w:ilvl w:val="0"/>
              <w:numId w:val="90"/>
            </w:numPr>
            <w:rPr>
              <w:rFonts w:ascii="宋体" w:hAnsi="宋体"/>
            </w:rPr>
          </w:pPr>
          <w:r>
            <w:rPr>
              <w:rFonts w:ascii="宋体" w:hAnsi="宋体" w:hint="eastAsia"/>
            </w:rPr>
            <w:t>利润分配情况</w:t>
          </w:r>
        </w:p>
        <w:p w14:paraId="44E2F8BB" w14:textId="77777777" w:rsidR="00830E72" w:rsidRDefault="00D44830">
          <w:pPr>
            <w:rPr>
              <w:szCs w:val="21"/>
            </w:rPr>
          </w:pPr>
          <w:sdt>
            <w:sdtPr>
              <w:alias w:val="是否适用：利润分配情况[双击切换]"/>
              <w:tag w:val="_GBC_a2ea8cd0604f474db0e7e62eb7fc0435"/>
              <w:id w:val="-2017909165"/>
              <w:lock w:val="sdtContentLocked"/>
              <w:placeholder>
                <w:docPart w:val="GBC22222222222222222222222222222"/>
              </w:placeholder>
            </w:sdtPr>
            <w:sdtEndPr/>
            <w:sdtContent>
              <w:r w:rsidR="008344D8">
                <w:fldChar w:fldCharType="begin"/>
              </w:r>
              <w:r w:rsidR="008344D8">
                <w:instrText xml:space="preserve"> MACROBUTTON  SnrToggleCheckbox □适用 </w:instrText>
              </w:r>
              <w:r w:rsidR="008344D8">
                <w:fldChar w:fldCharType="end"/>
              </w:r>
              <w:r w:rsidR="008344D8">
                <w:fldChar w:fldCharType="begin"/>
              </w:r>
              <w:r w:rsidR="008344D8">
                <w:instrText xml:space="preserve"> MACROBUTTON  SnrToggleCheckbox √不适用 </w:instrText>
              </w:r>
              <w:r w:rsidR="008344D8">
                <w:fldChar w:fldCharType="end"/>
              </w:r>
            </w:sdtContent>
          </w:sdt>
        </w:p>
      </w:sdtContent>
    </w:sdt>
    <w:bookmarkStart w:id="199" w:name="_Toc241636515" w:displacedByCustomXml="next"/>
    <w:sdt>
      <w:sdtPr>
        <w:rPr>
          <w:rFonts w:ascii="宋体" w:hAnsi="宋体" w:cs="宋体"/>
          <w:b w:val="0"/>
          <w:bCs w:val="0"/>
          <w:kern w:val="0"/>
          <w:szCs w:val="21"/>
        </w:rPr>
        <w:alias w:val="模块:资产负债表日后事项-销售退回说明"/>
        <w:tag w:val="_GBC_189c429afb95427192d478a4da4061cd"/>
        <w:id w:val="-1545200440"/>
        <w:lock w:val="sdtLocked"/>
        <w:placeholder>
          <w:docPart w:val="GBC22222222222222222222222222222"/>
        </w:placeholder>
      </w:sdtPr>
      <w:sdtEndPr/>
      <w:sdtContent>
        <w:p w14:paraId="526CEA5C" w14:textId="77777777" w:rsidR="00830E72" w:rsidRDefault="008344D8">
          <w:pPr>
            <w:pStyle w:val="Style99"/>
            <w:numPr>
              <w:ilvl w:val="0"/>
              <w:numId w:val="90"/>
            </w:numPr>
            <w:rPr>
              <w:rFonts w:ascii="宋体" w:hAnsi="宋体"/>
            </w:rPr>
          </w:pPr>
          <w:r>
            <w:rPr>
              <w:rFonts w:ascii="宋体" w:hAnsi="宋体" w:hint="eastAsia"/>
              <w:szCs w:val="21"/>
            </w:rPr>
            <w:t>销售</w:t>
          </w:r>
          <w:r>
            <w:rPr>
              <w:rFonts w:ascii="宋体" w:hAnsi="宋体" w:hint="eastAsia"/>
            </w:rPr>
            <w:t>退回</w:t>
          </w:r>
        </w:p>
        <w:sdt>
          <w:sdtPr>
            <w:alias w:val="是否适用：销售退回[双击切换]"/>
            <w:tag w:val="_GBC_4175c0e820fa43cd98dd2d05c0dea8a8"/>
            <w:id w:val="396255328"/>
            <w:lock w:val="sdtContentLocked"/>
            <w:placeholder>
              <w:docPart w:val="GBC22222222222222222222222222222"/>
            </w:placeholder>
          </w:sdtPr>
          <w:sdtEndPr/>
          <w:sdtContent>
            <w:p w14:paraId="3767AFC0"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其他资产负债表日后事项说明"/>
        <w:tag w:val="_GBC_90d185c72bfe452398767dd3a98447a5"/>
        <w:id w:val="1054191930"/>
        <w:lock w:val="sdtLocked"/>
        <w:placeholder>
          <w:docPart w:val="GBC22222222222222222222222222222"/>
        </w:placeholder>
      </w:sdtPr>
      <w:sdtEndPr/>
      <w:sdtContent>
        <w:p w14:paraId="1FCE3AE9" w14:textId="77777777" w:rsidR="00830E72" w:rsidRDefault="008344D8">
          <w:pPr>
            <w:pStyle w:val="Style99"/>
            <w:numPr>
              <w:ilvl w:val="0"/>
              <w:numId w:val="90"/>
            </w:numPr>
            <w:rPr>
              <w:rFonts w:ascii="宋体" w:hAnsi="宋体"/>
            </w:rPr>
          </w:pPr>
          <w:r>
            <w:rPr>
              <w:rFonts w:ascii="宋体" w:hAnsi="宋体" w:hint="eastAsia"/>
            </w:rPr>
            <w:t>其他资产负债表日后事项说明</w:t>
          </w:r>
          <w:bookmarkEnd w:id="199"/>
        </w:p>
        <w:sdt>
          <w:sdtPr>
            <w:alias w:val="是否适用：其他资产负债表日后事项说明[双击切换]"/>
            <w:tag w:val="_GBC_3da0e7092a0048ed9e147e2e860785f5"/>
            <w:id w:val="-779568978"/>
            <w:lock w:val="sdtContentLocked"/>
            <w:placeholder>
              <w:docPart w:val="GBC22222222222222222222222222222"/>
            </w:placeholder>
          </w:sdtPr>
          <w:sdtEndPr/>
          <w:sdtContent>
            <w:p w14:paraId="45B6AE2C"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C44AA4D" w14:textId="77777777" w:rsidR="00830E72" w:rsidRDefault="008344D8">
      <w:pPr>
        <w:pStyle w:val="2CharCharChar"/>
        <w:numPr>
          <w:ilvl w:val="0"/>
          <w:numId w:val="32"/>
        </w:numPr>
        <w:ind w:left="422" w:hanging="422"/>
        <w:rPr>
          <w:rFonts w:ascii="宋体" w:hAnsi="宋体"/>
        </w:rPr>
      </w:pPr>
      <w:r>
        <w:rPr>
          <w:rFonts w:ascii="宋体" w:hAnsi="宋体" w:hint="eastAsia"/>
        </w:rPr>
        <w:t>其他重要事项</w:t>
      </w:r>
    </w:p>
    <w:p w14:paraId="4145F70F" w14:textId="77777777" w:rsidR="00830E72" w:rsidRDefault="008344D8">
      <w:pPr>
        <w:pStyle w:val="Style99"/>
        <w:numPr>
          <w:ilvl w:val="0"/>
          <w:numId w:val="91"/>
        </w:numPr>
        <w:rPr>
          <w:rFonts w:ascii="宋体" w:hAnsi="宋体"/>
        </w:rPr>
      </w:pPr>
      <w:r>
        <w:rPr>
          <w:rFonts w:ascii="宋体" w:hAnsi="宋体" w:hint="eastAsia"/>
        </w:rPr>
        <w:t>前期会计差错更正</w:t>
      </w:r>
    </w:p>
    <w:sdt>
      <w:sdtPr>
        <w:rPr>
          <w:rFonts w:ascii="宋体" w:hAnsi="宋体" w:cs="宋体" w:hint="eastAsia"/>
          <w:b w:val="0"/>
          <w:bCs w:val="0"/>
          <w:kern w:val="0"/>
          <w:szCs w:val="21"/>
        </w:rPr>
        <w:alias w:val="模块:会计差错更正(追溯重述)"/>
        <w:tag w:val="_GBC_cb1f61a36a2a43b0ad30697c25cce450"/>
        <w:id w:val="636142980"/>
        <w:lock w:val="sdtLocked"/>
        <w:placeholder>
          <w:docPart w:val="GBC22222222222222222222222222222"/>
        </w:placeholder>
      </w:sdtPr>
      <w:sdtEndPr>
        <w:rPr>
          <w:sz w:val="20"/>
        </w:rPr>
      </w:sdtEndPr>
      <w:sdtContent>
        <w:p w14:paraId="3423BEEF" w14:textId="77777777" w:rsidR="00830E72" w:rsidRDefault="008344D8">
          <w:pPr>
            <w:pStyle w:val="Style100"/>
            <w:numPr>
              <w:ilvl w:val="0"/>
              <w:numId w:val="92"/>
            </w:numPr>
            <w:tabs>
              <w:tab w:val="left" w:pos="602"/>
            </w:tabs>
            <w:rPr>
              <w:rFonts w:ascii="宋体" w:hAnsi="宋体"/>
            </w:rPr>
          </w:pPr>
          <w:r>
            <w:rPr>
              <w:rFonts w:ascii="宋体" w:hAnsi="宋体" w:hint="eastAsia"/>
            </w:rPr>
            <w:t>追溯重述法</w:t>
          </w:r>
        </w:p>
        <w:p w14:paraId="5A60B169" w14:textId="77777777" w:rsidR="00830E72" w:rsidRDefault="00D44830">
          <w:pPr>
            <w:rPr>
              <w:szCs w:val="21"/>
            </w:rPr>
          </w:pPr>
          <w:sdt>
            <w:sdtPr>
              <w:rPr>
                <w:rFonts w:hint="eastAsia"/>
                <w:szCs w:val="21"/>
              </w:rPr>
              <w:alias w:val="是否适用：追溯重述法[双击切换]"/>
              <w:tag w:val="_GBC_9d59987ec8f64e568cc0874cd76bb5ce"/>
              <w:id w:val="-845171910"/>
              <w:lock w:val="sdtContentLocked"/>
              <w:placeholder>
                <w:docPart w:val="GBC22222222222222222222222222222"/>
              </w:placeholder>
            </w:sdtPr>
            <w:sdtEndPr/>
            <w:sdtContent>
              <w:r w:rsidR="008344D8">
                <w:rPr>
                  <w:szCs w:val="21"/>
                </w:rPr>
                <w:fldChar w:fldCharType="begin"/>
              </w:r>
              <w:r w:rsidR="008344D8">
                <w:rPr>
                  <w:szCs w:val="21"/>
                </w:rPr>
                <w:instrText xml:space="preserve"> MACROBUTTON  SnrToggleCheckbox □适用 </w:instrText>
              </w:r>
              <w:r w:rsidR="008344D8">
                <w:rPr>
                  <w:szCs w:val="21"/>
                </w:rPr>
                <w:fldChar w:fldCharType="end"/>
              </w:r>
              <w:r w:rsidR="008344D8">
                <w:rPr>
                  <w:szCs w:val="21"/>
                </w:rPr>
                <w:fldChar w:fldCharType="begin"/>
              </w:r>
              <w:r w:rsidR="008344D8">
                <w:rPr>
                  <w:szCs w:val="21"/>
                </w:rPr>
                <w:instrText xml:space="preserve"> MACROBUTTON  SnrToggleCheckbox √不适用 </w:instrText>
              </w:r>
              <w:r w:rsidR="008344D8">
                <w:rPr>
                  <w:szCs w:val="21"/>
                </w:rPr>
                <w:fldChar w:fldCharType="end"/>
              </w:r>
            </w:sdtContent>
          </w:sdt>
        </w:p>
      </w:sdtContent>
    </w:sdt>
    <w:sdt>
      <w:sdtPr>
        <w:rPr>
          <w:rFonts w:ascii="宋体" w:hAnsi="宋体" w:cs="宋体" w:hint="eastAsia"/>
          <w:b w:val="0"/>
          <w:bCs w:val="0"/>
          <w:kern w:val="0"/>
          <w:szCs w:val="24"/>
        </w:rPr>
        <w:alias w:val="模块:未来适用法本报告期是否发现采用未来适用法的前期会计差错：（..."/>
        <w:tag w:val="_GBC_6bd40de18d9047e48f182803eefc5581"/>
        <w:id w:val="-340313451"/>
        <w:lock w:val="sdtLocked"/>
        <w:placeholder>
          <w:docPart w:val="GBC22222222222222222222222222222"/>
        </w:placeholder>
      </w:sdtPr>
      <w:sdtEndPr>
        <w:rPr>
          <w:rFonts w:hint="default"/>
        </w:rPr>
      </w:sdtEndPr>
      <w:sdtContent>
        <w:p w14:paraId="4A82FA23" w14:textId="77777777" w:rsidR="00830E72" w:rsidRDefault="008344D8">
          <w:pPr>
            <w:pStyle w:val="Style100"/>
            <w:numPr>
              <w:ilvl w:val="0"/>
              <w:numId w:val="92"/>
            </w:numPr>
            <w:tabs>
              <w:tab w:val="left" w:pos="602"/>
            </w:tabs>
            <w:rPr>
              <w:rFonts w:ascii="宋体" w:hAnsi="宋体" w:cs="Cambria"/>
              <w:bCs w:val="0"/>
            </w:rPr>
          </w:pPr>
          <w:r>
            <w:rPr>
              <w:rFonts w:ascii="宋体" w:hAnsi="宋体" w:hint="eastAsia"/>
            </w:rPr>
            <w:t>未来</w:t>
          </w:r>
          <w:r>
            <w:rPr>
              <w:rFonts w:ascii="宋体" w:hAnsi="宋体" w:cs="Cambria" w:hint="eastAsia"/>
              <w:bCs w:val="0"/>
            </w:rPr>
            <w:t>适用法</w:t>
          </w:r>
        </w:p>
        <w:sdt>
          <w:sdtPr>
            <w:alias w:val="是否适用：未来适用法[双击切换]"/>
            <w:tag w:val="_GBC_add0977272ee43e7938e3e96c6aaa92d"/>
            <w:id w:val="887148824"/>
            <w:lock w:val="sdtContentLocked"/>
            <w:placeholder>
              <w:docPart w:val="GBC22222222222222222222222222222"/>
            </w:placeholder>
          </w:sdtPr>
          <w:sdtEndPr/>
          <w:sdtContent>
            <w:p w14:paraId="1DC2E74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00" w:name="_Toc241636518" w:displacedByCustomXml="next"/>
    <w:sdt>
      <w:sdtPr>
        <w:rPr>
          <w:rFonts w:ascii="宋体" w:hAnsi="宋体" w:cs="宋体" w:hint="eastAsia"/>
          <w:b w:val="0"/>
          <w:bCs w:val="0"/>
          <w:kern w:val="0"/>
          <w:szCs w:val="24"/>
        </w:rPr>
        <w:alias w:val="模块:债务重组"/>
        <w:tag w:val="_GBC_998fd0c3432a41e5b98f1c74ffeda751"/>
        <w:id w:val="-1768223045"/>
        <w:lock w:val="sdtLocked"/>
        <w:placeholder>
          <w:docPart w:val="GBC22222222222222222222222222222"/>
        </w:placeholder>
      </w:sdtPr>
      <w:sdtEndPr>
        <w:rPr>
          <w:rFonts w:cstheme="minorBidi"/>
          <w:szCs w:val="21"/>
        </w:rPr>
      </w:sdtEndPr>
      <w:sdtContent>
        <w:p w14:paraId="592EA0F2" w14:textId="77777777" w:rsidR="00830E72" w:rsidRDefault="008344D8">
          <w:pPr>
            <w:pStyle w:val="Style99"/>
            <w:numPr>
              <w:ilvl w:val="0"/>
              <w:numId w:val="91"/>
            </w:numPr>
            <w:rPr>
              <w:rFonts w:ascii="宋体" w:hAnsi="宋体"/>
            </w:rPr>
          </w:pPr>
          <w:r>
            <w:rPr>
              <w:rFonts w:ascii="宋体" w:hAnsi="宋体" w:hint="eastAsia"/>
            </w:rPr>
            <w:t>债务重组</w:t>
          </w:r>
          <w:bookmarkEnd w:id="200"/>
        </w:p>
        <w:sdt>
          <w:sdtPr>
            <w:alias w:val="是否适用：债务重组[双击切换]"/>
            <w:tag w:val="_GBC_a39e02df9c5d42f2bd7e116f823b8615"/>
            <w:id w:val="2113319194"/>
            <w:lock w:val="sdtContentLocked"/>
            <w:placeholder>
              <w:docPart w:val="GBC22222222222222222222222222222"/>
            </w:placeholder>
          </w:sdtPr>
          <w:sdtEndPr/>
          <w:sdtContent>
            <w:p w14:paraId="6CE1592D"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C26F774" w14:textId="77777777" w:rsidR="00830E72" w:rsidRDefault="008344D8">
      <w:pPr>
        <w:pStyle w:val="Style99"/>
        <w:numPr>
          <w:ilvl w:val="0"/>
          <w:numId w:val="91"/>
        </w:numPr>
        <w:rPr>
          <w:rFonts w:ascii="宋体" w:hAnsi="宋体"/>
        </w:rPr>
      </w:pPr>
      <w:r>
        <w:rPr>
          <w:rFonts w:ascii="宋体" w:hAnsi="宋体" w:hint="eastAsia"/>
        </w:rPr>
        <w:t>资产置换</w:t>
      </w:r>
    </w:p>
    <w:bookmarkStart w:id="201" w:name="_Toc241636517" w:displacedByCustomXml="next"/>
    <w:bookmarkStart w:id="202" w:name="_Toc161412438" w:displacedByCustomXml="next"/>
    <w:sdt>
      <w:sdtPr>
        <w:rPr>
          <w:rFonts w:ascii="宋体" w:hAnsi="宋体" w:cs="宋体" w:hint="eastAsia"/>
          <w:b w:val="0"/>
          <w:bCs w:val="0"/>
          <w:kern w:val="0"/>
          <w:szCs w:val="24"/>
        </w:rPr>
        <w:alias w:val="模块:非货币性资产交换"/>
        <w:tag w:val="_GBC_c8e7bc701c4e40cea43130c65dd24cdf"/>
        <w:id w:val="-1294365790"/>
        <w:lock w:val="sdtLocked"/>
        <w:placeholder>
          <w:docPart w:val="GBC22222222222222222222222222222"/>
        </w:placeholder>
      </w:sdtPr>
      <w:sdtEndPr>
        <w:rPr>
          <w:rFonts w:cstheme="minorBidi"/>
          <w:szCs w:val="21"/>
        </w:rPr>
      </w:sdtEndPr>
      <w:sdtContent>
        <w:p w14:paraId="1DEFEA65" w14:textId="77777777" w:rsidR="00830E72" w:rsidRDefault="008344D8">
          <w:pPr>
            <w:pStyle w:val="Style100"/>
            <w:numPr>
              <w:ilvl w:val="0"/>
              <w:numId w:val="93"/>
            </w:numPr>
            <w:tabs>
              <w:tab w:val="left" w:pos="644"/>
            </w:tabs>
            <w:rPr>
              <w:rFonts w:ascii="宋体" w:hAnsi="宋体"/>
            </w:rPr>
          </w:pPr>
          <w:r>
            <w:rPr>
              <w:rFonts w:ascii="宋体" w:hAnsi="宋体" w:hint="eastAsia"/>
            </w:rPr>
            <w:t>非货币性资产交换</w:t>
          </w:r>
          <w:bookmarkEnd w:id="202"/>
          <w:bookmarkEnd w:id="201"/>
        </w:p>
        <w:sdt>
          <w:sdtPr>
            <w:alias w:val="是否适用：非货币性资产交换[双击切换]"/>
            <w:tag w:val="_GBC_1e8378570c9a4db08ad001118944af2e"/>
            <w:id w:val="-1769529145"/>
            <w:lock w:val="sdtContentLocked"/>
            <w:placeholder>
              <w:docPart w:val="GBC22222222222222222222222222222"/>
            </w:placeholder>
          </w:sdtPr>
          <w:sdtEndPr/>
          <w:sdtContent>
            <w:p w14:paraId="17FFE296"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其他资产置换资产说明"/>
        <w:tag w:val="_GBC_a7d8a797c78a4fb398d42fc923a0a5dc"/>
        <w:id w:val="-645202781"/>
        <w:lock w:val="sdtLocked"/>
        <w:placeholder>
          <w:docPart w:val="GBC22222222222222222222222222222"/>
        </w:placeholder>
      </w:sdtPr>
      <w:sdtEndPr>
        <w:rPr>
          <w:rFonts w:cstheme="minorBidi"/>
        </w:rPr>
      </w:sdtEndPr>
      <w:sdtContent>
        <w:p w14:paraId="4EA44951" w14:textId="77777777" w:rsidR="00830E72" w:rsidRDefault="008344D8">
          <w:pPr>
            <w:pStyle w:val="Style100"/>
            <w:numPr>
              <w:ilvl w:val="0"/>
              <w:numId w:val="93"/>
            </w:numPr>
            <w:tabs>
              <w:tab w:val="left" w:pos="644"/>
            </w:tabs>
            <w:rPr>
              <w:rFonts w:ascii="宋体" w:hAnsi="宋体"/>
            </w:rPr>
          </w:pPr>
          <w:r>
            <w:rPr>
              <w:rFonts w:ascii="宋体" w:hAnsi="宋体" w:hint="eastAsia"/>
            </w:rPr>
            <w:t>其他资产置换</w:t>
          </w:r>
        </w:p>
        <w:sdt>
          <w:sdtPr>
            <w:alias w:val="是否适用：其他资产置换[双击切换]"/>
            <w:tag w:val="_GBC_e20be5fc12b94f43a4090c14cc3aec63"/>
            <w:id w:val="-347410177"/>
            <w:lock w:val="sdtContentLocked"/>
            <w:placeholder>
              <w:docPart w:val="GBC22222222222222222222222222222"/>
            </w:placeholder>
          </w:sdtPr>
          <w:sdtEndPr/>
          <w:sdtContent>
            <w:p w14:paraId="0F9D8471"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03" w:name="_Toc247371936" w:displacedByCustomXml="next"/>
    <w:sdt>
      <w:sdtPr>
        <w:rPr>
          <w:rFonts w:ascii="宋体" w:hAnsi="宋体" w:cs="宋体" w:hint="eastAsia"/>
          <w:b w:val="0"/>
          <w:bCs w:val="0"/>
          <w:kern w:val="0"/>
          <w:szCs w:val="24"/>
        </w:rPr>
        <w:alias w:val="模块:年金计划主要内容及重大变化"/>
        <w:tag w:val="_GBC_868ef73c1ce14e36a7c8c41a6c9d1268"/>
        <w:id w:val="-1036810851"/>
        <w:lock w:val="sdtLocked"/>
        <w:placeholder>
          <w:docPart w:val="GBC22222222222222222222222222222"/>
        </w:placeholder>
      </w:sdtPr>
      <w:sdtEndPr>
        <w:rPr>
          <w:rFonts w:cstheme="minorBidi"/>
          <w:szCs w:val="21"/>
        </w:rPr>
      </w:sdtEndPr>
      <w:sdtContent>
        <w:p w14:paraId="28EE98A0" w14:textId="77777777" w:rsidR="00830E72" w:rsidRDefault="008344D8">
          <w:pPr>
            <w:pStyle w:val="Style99"/>
            <w:numPr>
              <w:ilvl w:val="0"/>
              <w:numId w:val="91"/>
            </w:numPr>
            <w:rPr>
              <w:rFonts w:ascii="宋体" w:hAnsi="宋体"/>
            </w:rPr>
          </w:pPr>
          <w:r>
            <w:rPr>
              <w:rFonts w:ascii="宋体" w:hAnsi="宋体" w:hint="eastAsia"/>
            </w:rPr>
            <w:t>年金计划</w:t>
          </w:r>
          <w:bookmarkEnd w:id="203"/>
        </w:p>
        <w:sdt>
          <w:sdtPr>
            <w:alias w:val="是否适用：年金计划[双击切换]"/>
            <w:tag w:val="_GBC_f69a163f78f74a54a6443aaa7388f0dd"/>
            <w:id w:val="-696930488"/>
            <w:lock w:val="sdtContentLocked"/>
            <w:placeholder>
              <w:docPart w:val="GBC22222222222222222222222222222"/>
            </w:placeholder>
          </w:sdtPr>
          <w:sdtEndPr/>
          <w:sdtContent>
            <w:p w14:paraId="64620717" w14:textId="77777777" w:rsidR="00830E72" w:rsidRDefault="008344D8">
              <w:pPr>
                <w:rPr>
                  <w:rFonts w:cstheme="minorBidi"/>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终止经营"/>
        <w:tag w:val="_GBC_eb9f713a39454ce1a2b0b09086ca70cc"/>
        <w:id w:val="561294771"/>
        <w:lock w:val="sdtLocked"/>
        <w:placeholder>
          <w:docPart w:val="GBC22222222222222222222222222222"/>
        </w:placeholder>
      </w:sdtPr>
      <w:sdtEndPr>
        <w:rPr>
          <w:rFonts w:cstheme="minorBidi"/>
          <w:kern w:val="2"/>
        </w:rPr>
      </w:sdtEndPr>
      <w:sdtContent>
        <w:p w14:paraId="1FB6FCD0" w14:textId="77777777" w:rsidR="00830E72" w:rsidRDefault="008344D8">
          <w:pPr>
            <w:pStyle w:val="Style99"/>
            <w:numPr>
              <w:ilvl w:val="0"/>
              <w:numId w:val="91"/>
            </w:numPr>
            <w:rPr>
              <w:rFonts w:ascii="宋体" w:hAnsi="宋体"/>
              <w:szCs w:val="21"/>
            </w:rPr>
          </w:pPr>
          <w:r>
            <w:rPr>
              <w:rFonts w:ascii="宋体" w:hAnsi="宋体" w:hint="eastAsia"/>
              <w:szCs w:val="21"/>
            </w:rPr>
            <w:t>终止经营</w:t>
          </w:r>
        </w:p>
        <w:sdt>
          <w:sdtPr>
            <w:alias w:val="是否适用：终止经营[双击切换]"/>
            <w:tag w:val="_GBC_8e88002e405543f593111633f63e4d8b"/>
            <w:id w:val="-1998486797"/>
            <w:lock w:val="sdtContentLocked"/>
            <w:placeholder>
              <w:docPart w:val="GBC22222222222222222222222222222"/>
            </w:placeholder>
          </w:sdtPr>
          <w:sdtEndPr/>
          <w:sdtContent>
            <w:p w14:paraId="4A0D69EA"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FA5123E" w14:textId="77777777" w:rsidR="00830E72" w:rsidRDefault="008344D8">
      <w:pPr>
        <w:pStyle w:val="Style99"/>
        <w:numPr>
          <w:ilvl w:val="0"/>
          <w:numId w:val="91"/>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GBC_a659f5b3817d4a3394d1850cd82bbbab"/>
        <w:id w:val="1813290511"/>
        <w:lock w:val="sdtLocked"/>
        <w:placeholder>
          <w:docPart w:val="GBC22222222222222222222222222222"/>
        </w:placeholder>
      </w:sdtPr>
      <w:sdtEndPr>
        <w:rPr>
          <w:rFonts w:hint="default"/>
        </w:rPr>
      </w:sdtEndPr>
      <w:sdtContent>
        <w:p w14:paraId="7AB9C55D" w14:textId="77777777" w:rsidR="00830E72" w:rsidRDefault="008344D8">
          <w:pPr>
            <w:pStyle w:val="Style100"/>
            <w:numPr>
              <w:ilvl w:val="1"/>
              <w:numId w:val="94"/>
            </w:numPr>
            <w:tabs>
              <w:tab w:val="left" w:pos="644"/>
            </w:tabs>
            <w:ind w:left="420"/>
            <w:rPr>
              <w:rFonts w:ascii="宋体" w:hAnsi="宋体"/>
              <w:szCs w:val="21"/>
            </w:rPr>
          </w:pPr>
          <w:r>
            <w:rPr>
              <w:rFonts w:ascii="宋体" w:hAnsi="宋体" w:hint="eastAsia"/>
              <w:szCs w:val="21"/>
            </w:rPr>
            <w:t>报告分部的确定依据与会计政策</w:t>
          </w:r>
        </w:p>
        <w:sdt>
          <w:sdtPr>
            <w:alias w:val="是否适用：报告分部的确定依据与会计政策[双击切换]"/>
            <w:tag w:val="_GBC_3684a11ce06644529eba619783a75583"/>
            <w:id w:val="-449479898"/>
            <w:lock w:val="sdtContentLocked"/>
            <w:placeholder>
              <w:docPart w:val="GBC22222222222222222222222222222"/>
            </w:placeholder>
          </w:sdtPr>
          <w:sdtEndPr/>
          <w:sdtContent>
            <w:p w14:paraId="43D56FE7"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报告分部的财务信息"/>
        <w:tag w:val="_GBC_7bcfc6b35dea4597b05ae9db882c542b"/>
        <w:id w:val="-1069414152"/>
        <w:lock w:val="sdtLocked"/>
        <w:placeholder>
          <w:docPart w:val="GBC22222222222222222222222222222"/>
        </w:placeholder>
      </w:sdtPr>
      <w:sdtEndPr>
        <w:rPr>
          <w:rFonts w:hint="default"/>
          <w:szCs w:val="21"/>
        </w:rPr>
      </w:sdtEndPr>
      <w:sdtContent>
        <w:p w14:paraId="6E32D924" w14:textId="77777777" w:rsidR="00830E72" w:rsidRDefault="008344D8">
          <w:pPr>
            <w:pStyle w:val="Style100"/>
            <w:numPr>
              <w:ilvl w:val="1"/>
              <w:numId w:val="94"/>
            </w:numPr>
            <w:tabs>
              <w:tab w:val="left" w:pos="644"/>
            </w:tabs>
            <w:ind w:left="420"/>
            <w:rPr>
              <w:rFonts w:ascii="宋体" w:hAnsi="宋体"/>
            </w:rPr>
          </w:pPr>
          <w:r>
            <w:rPr>
              <w:rFonts w:ascii="宋体" w:hAnsi="宋体" w:hint="eastAsia"/>
            </w:rPr>
            <w:t>报告分部的财务信息</w:t>
          </w:r>
        </w:p>
        <w:sdt>
          <w:sdtPr>
            <w:alias w:val="是否适用：报告分部的财务信息[双击切换]"/>
            <w:tag w:val="_GBC_25e6ee3686524d959ae273bb5aaa9cfb"/>
            <w:id w:val="794958443"/>
            <w:lock w:val="sdtContentLocked"/>
            <w:placeholder>
              <w:docPart w:val="GBC22222222222222222222222222222"/>
            </w:placeholder>
          </w:sdtPr>
          <w:sdtEndPr/>
          <w:sdtContent>
            <w:p w14:paraId="2FC12D5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公司无报告分部的，或者不能披露各报告分部的资产总额和负债总额的，应说明原因"/>
        <w:tag w:val="_GBC_0a73290869524182a42675dee97eaa48"/>
        <w:id w:val="371277033"/>
        <w:lock w:val="sdtLocked"/>
        <w:placeholder>
          <w:docPart w:val="GBC22222222222222222222222222222"/>
        </w:placeholder>
      </w:sdtPr>
      <w:sdtEndPr/>
      <w:sdtContent>
        <w:p w14:paraId="20F4645B" w14:textId="77777777" w:rsidR="00830E72" w:rsidRDefault="008344D8">
          <w:pPr>
            <w:pStyle w:val="Style100"/>
            <w:numPr>
              <w:ilvl w:val="1"/>
              <w:numId w:val="94"/>
            </w:numPr>
            <w:tabs>
              <w:tab w:val="left" w:pos="644"/>
            </w:tabs>
            <w:ind w:left="420"/>
            <w:rPr>
              <w:rFonts w:ascii="宋体" w:hAnsi="宋体"/>
              <w:szCs w:val="21"/>
            </w:rPr>
          </w:pPr>
          <w:r>
            <w:rPr>
              <w:rFonts w:ascii="宋体" w:hAnsi="宋体"/>
              <w:szCs w:val="21"/>
            </w:rPr>
            <w:t>公司</w:t>
          </w:r>
          <w:proofErr w:type="gramStart"/>
          <w:r>
            <w:rPr>
              <w:rFonts w:ascii="宋体" w:hAnsi="宋体"/>
              <w:szCs w:val="21"/>
            </w:rPr>
            <w:t>无报告</w:t>
          </w:r>
          <w:proofErr w:type="gramEnd"/>
          <w:r>
            <w:rPr>
              <w:rFonts w:ascii="宋体" w:hAnsi="宋体"/>
              <w:szCs w:val="21"/>
            </w:rP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de327191b263431db97d3ba75838aba8"/>
            <w:id w:val="-1300683628"/>
            <w:lock w:val="sdtContentLocked"/>
            <w:placeholder>
              <w:docPart w:val="GBC22222222222222222222222222222"/>
            </w:placeholder>
          </w:sdtPr>
          <w:sdtEndPr/>
          <w:sdtContent>
            <w:p w14:paraId="5ABAA80F"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无报告分部的，或者不能披露各报告分部的资产总额和负债总额的，应说明原因"/>
            <w:tag w:val="_GBC_f34372121b174f8f80682bee16e070e9"/>
            <w:id w:val="-609271384"/>
            <w:lock w:val="sdtLocked"/>
            <w:placeholder>
              <w:docPart w:val="GBC22222222222222222222222222222"/>
            </w:placeholder>
          </w:sdtPr>
          <w:sdtEndPr/>
          <w:sdtContent>
            <w:p w14:paraId="45CE3FB6" w14:textId="77777777" w:rsidR="00830E72" w:rsidRDefault="008344D8">
              <w:pPr>
                <w:rPr>
                  <w:szCs w:val="21"/>
                </w:rPr>
              </w:pPr>
              <w:r>
                <w:rPr>
                  <w:rFonts w:hint="eastAsia"/>
                  <w:szCs w:val="21"/>
                </w:rPr>
                <w:t>公司主营公路、市政基础设施建设业务，公路、市政基础设施建设收入占营业收入比重为</w:t>
              </w:r>
              <w:r>
                <w:rPr>
                  <w:szCs w:val="21"/>
                </w:rPr>
                <w:t>95.</w:t>
              </w:r>
              <w:r>
                <w:rPr>
                  <w:rFonts w:hint="eastAsia"/>
                  <w:szCs w:val="21"/>
                </w:rPr>
                <w:t>24</w:t>
              </w:r>
              <w:r>
                <w:rPr>
                  <w:szCs w:val="21"/>
                </w:rPr>
                <w:t>%，基于公司现有情况，公司无需进行分部信息批露。</w:t>
              </w:r>
            </w:p>
          </w:sdtContent>
        </w:sdt>
      </w:sdtContent>
    </w:sdt>
    <w:sdt>
      <w:sdtPr>
        <w:rPr>
          <w:rFonts w:ascii="宋体" w:hAnsi="宋体" w:cs="宋体" w:hint="eastAsia"/>
          <w:b w:val="0"/>
          <w:bCs w:val="0"/>
          <w:kern w:val="0"/>
          <w:szCs w:val="21"/>
        </w:rPr>
        <w:alias w:val="模块:分部信息其他说明"/>
        <w:tag w:val="_GBC_bf8b759cb5b84035861b501b67f52f53"/>
        <w:id w:val="887071927"/>
        <w:lock w:val="sdtLocked"/>
        <w:placeholder>
          <w:docPart w:val="GBC22222222222222222222222222222"/>
        </w:placeholder>
      </w:sdtPr>
      <w:sdtEndPr/>
      <w:sdtContent>
        <w:p w14:paraId="146EF10D" w14:textId="77777777" w:rsidR="00830E72" w:rsidRDefault="008344D8">
          <w:pPr>
            <w:pStyle w:val="Style100"/>
            <w:numPr>
              <w:ilvl w:val="1"/>
              <w:numId w:val="94"/>
            </w:numPr>
            <w:tabs>
              <w:tab w:val="left" w:pos="644"/>
            </w:tabs>
            <w:ind w:left="420"/>
            <w:rPr>
              <w:rFonts w:ascii="宋体" w:hAnsi="宋体"/>
              <w:szCs w:val="21"/>
            </w:rPr>
          </w:pPr>
          <w:r>
            <w:rPr>
              <w:rFonts w:ascii="宋体" w:hAnsi="宋体" w:hint="eastAsia"/>
              <w:szCs w:val="21"/>
            </w:rPr>
            <w:t>其他</w:t>
          </w:r>
          <w:r>
            <w:rPr>
              <w:rFonts w:ascii="宋体" w:hAnsi="宋体" w:hint="eastAsia"/>
            </w:rPr>
            <w:t>说明</w:t>
          </w:r>
        </w:p>
        <w:sdt>
          <w:sdtPr>
            <w:alias w:val="是否适用：分部信息的其他说明[双击切换]"/>
            <w:tag w:val="_GBC_d4186588d0fd49e5b2642a9422c2353f"/>
            <w:id w:val="-165714909"/>
            <w:lock w:val="sdtContentLocked"/>
            <w:placeholder>
              <w:docPart w:val="GBC22222222222222222222222222222"/>
            </w:placeholder>
          </w:sdtPr>
          <w:sdtEndPr/>
          <w:sdtContent>
            <w:p w14:paraId="7F224195"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04" w:name="_Toc241636520" w:displacedByCustomXml="next"/>
    <w:bookmarkEnd w:id="204" w:displacedByCustomXml="next"/>
    <w:sdt>
      <w:sdtPr>
        <w:rPr>
          <w:rFonts w:ascii="宋体" w:hAnsi="宋体" w:cs="宋体" w:hint="eastAsia"/>
          <w:b w:val="0"/>
          <w:bCs w:val="0"/>
          <w:kern w:val="0"/>
          <w:szCs w:val="21"/>
        </w:rPr>
        <w:alias w:val="模块:其他重要事项说明"/>
        <w:tag w:val="_GBC_0e2af5e32a53408bb340218a0c352be0"/>
        <w:id w:val="996537794"/>
        <w:lock w:val="sdtLocked"/>
        <w:placeholder>
          <w:docPart w:val="GBC22222222222222222222222222222"/>
        </w:placeholder>
      </w:sdtPr>
      <w:sdtEndPr>
        <w:rPr>
          <w:rFonts w:cstheme="minorBidi"/>
          <w:kern w:val="2"/>
        </w:rPr>
      </w:sdtEndPr>
      <w:sdtContent>
        <w:p w14:paraId="603AE45E" w14:textId="77777777" w:rsidR="00830E72" w:rsidRDefault="008344D8">
          <w:pPr>
            <w:pStyle w:val="Style99"/>
            <w:numPr>
              <w:ilvl w:val="0"/>
              <w:numId w:val="91"/>
            </w:numPr>
            <w:rPr>
              <w:rFonts w:ascii="宋体" w:hAnsi="宋体" w:cs="宋体"/>
              <w:bCs w:val="0"/>
              <w:kern w:val="0"/>
              <w:szCs w:val="21"/>
            </w:rPr>
          </w:pPr>
          <w:r>
            <w:rPr>
              <w:rFonts w:ascii="宋体" w:hAnsi="宋体" w:cs="宋体" w:hint="eastAsia"/>
              <w:bCs w:val="0"/>
              <w:kern w:val="0"/>
              <w:szCs w:val="21"/>
            </w:rPr>
            <w:t>其他对投资者决策有影响的重要交易和事项</w:t>
          </w:r>
        </w:p>
        <w:sdt>
          <w:sdtPr>
            <w:alias w:val="是否适用：其他对投资者决策有影响的重要交易和事项[双击切换]"/>
            <w:tag w:val="_GBC_6bb0ea1e73f644b99b2bccc9d2ea19e9"/>
            <w:id w:val="416598644"/>
            <w:lock w:val="sdtContentLocked"/>
            <w:placeholder>
              <w:docPart w:val="GBC22222222222222222222222222222"/>
            </w:placeholder>
          </w:sdtPr>
          <w:sdtEndPr/>
          <w:sdtContent>
            <w:p w14:paraId="4E57D213"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1"/>
        </w:rPr>
        <w:alias w:val="模块:其他重要事项的说明"/>
        <w:tag w:val="_GBC_a9d998641356411784b3ec54387f322d"/>
        <w:id w:val="1744380200"/>
        <w:lock w:val="sdtLocked"/>
        <w:placeholder>
          <w:docPart w:val="GBC22222222222222222222222222222"/>
        </w:placeholder>
      </w:sdtPr>
      <w:sdtEndPr/>
      <w:sdtContent>
        <w:p w14:paraId="1A22FA45" w14:textId="77777777" w:rsidR="00830E72" w:rsidRDefault="008344D8">
          <w:pPr>
            <w:pStyle w:val="Style99"/>
            <w:numPr>
              <w:ilvl w:val="0"/>
              <w:numId w:val="91"/>
            </w:numPr>
            <w:rPr>
              <w:rFonts w:ascii="宋体" w:hAnsi="宋体"/>
              <w:szCs w:val="21"/>
            </w:rPr>
          </w:pPr>
          <w:r>
            <w:rPr>
              <w:rFonts w:ascii="宋体" w:hAnsi="宋体" w:hint="eastAsia"/>
              <w:szCs w:val="21"/>
            </w:rPr>
            <w:t>其他</w:t>
          </w:r>
        </w:p>
        <w:sdt>
          <w:sdtPr>
            <w:alias w:val="是否适用：其他重要事项的说明[双击切换]"/>
            <w:tag w:val="_GBC_518cb9b615c44ff597f57c3bba95c7fa"/>
            <w:id w:val="-1365748265"/>
            <w:lock w:val="sdtContentLocked"/>
            <w:placeholder>
              <w:docPart w:val="GBC22222222222222222222222222222"/>
            </w:placeholder>
          </w:sdtPr>
          <w:sdtEndPr/>
          <w:sdtContent>
            <w:p w14:paraId="4AE7FAF6"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0939DA9" w14:textId="77777777" w:rsidR="00830E72" w:rsidRDefault="00830E72">
      <w:pPr>
        <w:rPr>
          <w:szCs w:val="21"/>
        </w:rPr>
      </w:pPr>
    </w:p>
    <w:p w14:paraId="7A14449E" w14:textId="77777777" w:rsidR="00830E72" w:rsidRDefault="008344D8">
      <w:pPr>
        <w:pStyle w:val="2CharCharChar"/>
        <w:numPr>
          <w:ilvl w:val="0"/>
          <w:numId w:val="32"/>
        </w:numPr>
        <w:ind w:left="422" w:hanging="422"/>
        <w:rPr>
          <w:rFonts w:ascii="宋体" w:hAnsi="宋体"/>
        </w:rPr>
      </w:pPr>
      <w:r>
        <w:rPr>
          <w:rFonts w:ascii="宋体" w:hAnsi="宋体" w:hint="eastAsia"/>
        </w:rPr>
        <w:t>母公司财务报表主要项目注释</w:t>
      </w:r>
    </w:p>
    <w:p w14:paraId="769954A3" w14:textId="77777777" w:rsidR="00830E72" w:rsidRDefault="008344D8">
      <w:pPr>
        <w:pStyle w:val="Style99"/>
        <w:numPr>
          <w:ilvl w:val="0"/>
          <w:numId w:val="95"/>
        </w:numPr>
        <w:rPr>
          <w:rFonts w:ascii="宋体" w:hAnsi="宋体"/>
          <w:szCs w:val="21"/>
        </w:rPr>
      </w:pPr>
      <w:r>
        <w:rPr>
          <w:rFonts w:ascii="宋体" w:hAnsi="宋体" w:hint="eastAsia"/>
          <w:szCs w:val="21"/>
        </w:rPr>
        <w:t>应收账款</w:t>
      </w:r>
    </w:p>
    <w:sdt>
      <w:sdtPr>
        <w:rPr>
          <w:rFonts w:ascii="宋体" w:hAnsi="宋体" w:cs="宋体" w:hint="eastAsia"/>
          <w:b w:val="0"/>
          <w:bCs w:val="0"/>
          <w:kern w:val="0"/>
          <w:szCs w:val="21"/>
        </w:rPr>
        <w:alias w:val="模块:组合中，按账龄分析法计提坏账准备的应收账款"/>
        <w:tag w:val="_GBC_f44cec1af5094a96a29dd8e92ee27b70"/>
        <w:id w:val="689565783"/>
        <w:lock w:val="sdtLocked"/>
        <w:placeholder>
          <w:docPart w:val="GBC22222222222222222222222222222"/>
        </w:placeholder>
      </w:sdtPr>
      <w:sdtEndPr>
        <w:rPr>
          <w:rFonts w:hint="default"/>
        </w:rPr>
      </w:sdtEndPr>
      <w:sdtContent>
        <w:p w14:paraId="7350D923" w14:textId="77777777" w:rsidR="00830E72" w:rsidRDefault="008344D8">
          <w:pPr>
            <w:pStyle w:val="Style100"/>
            <w:numPr>
              <w:ilvl w:val="0"/>
              <w:numId w:val="96"/>
            </w:numPr>
            <w:tabs>
              <w:tab w:val="left" w:pos="644"/>
            </w:tabs>
            <w:ind w:left="0" w:firstLine="0"/>
            <w:rPr>
              <w:rFonts w:ascii="宋体" w:hAnsi="宋体"/>
              <w:szCs w:val="21"/>
            </w:rPr>
          </w:pPr>
          <w:proofErr w:type="gramStart"/>
          <w:r>
            <w:rPr>
              <w:rFonts w:ascii="宋体" w:hAnsi="宋体" w:hint="eastAsia"/>
              <w:szCs w:val="21"/>
            </w:rPr>
            <w:t>按账龄</w:t>
          </w:r>
          <w:proofErr w:type="gramEnd"/>
          <w:r>
            <w:rPr>
              <w:rFonts w:ascii="宋体" w:hAnsi="宋体" w:hint="eastAsia"/>
              <w:szCs w:val="21"/>
            </w:rPr>
            <w:t>披露</w:t>
          </w:r>
        </w:p>
        <w:sdt>
          <w:sdtPr>
            <w:rPr>
              <w:szCs w:val="21"/>
            </w:rPr>
            <w:alias w:val="是否适用：母公司组合中，按账龄分析法计提坏账准备的应收账款[双击切换]"/>
            <w:tag w:val="_GBC_0a11a3bd15dd4fa882e7b9f16b5e3b07"/>
            <w:id w:val="646631787"/>
            <w:lock w:val="sdtContentLocked"/>
            <w:placeholder>
              <w:docPart w:val="GBC22222222222222222222222222222"/>
            </w:placeholder>
          </w:sdtPr>
          <w:sdtEndPr/>
          <w:sdtContent>
            <w:p w14:paraId="7FA71184"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757F442" w14:textId="77777777" w:rsidR="00830E72" w:rsidRDefault="008344D8">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19219425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10973179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0"/>
            <w:gridCol w:w="4269"/>
          </w:tblGrid>
          <w:tr w:rsidR="00830E72" w14:paraId="2916ECD7" w14:textId="77777777">
            <w:trPr>
              <w:trHeight w:val="298"/>
              <w:jc w:val="center"/>
            </w:trPr>
            <w:sdt>
              <w:sdtPr>
                <w:tag w:val="_PLD_4026a1c8ce2b4be2bd188240c5c6b81c"/>
                <w:id w:val="1541470386"/>
                <w:lock w:val="sdtLocked"/>
              </w:sdtPr>
              <w:sdtEndPr/>
              <w:sdtContent>
                <w:tc>
                  <w:tcPr>
                    <w:tcW w:w="2641" w:type="pct"/>
                    <w:tcBorders>
                      <w:bottom w:val="single" w:sz="4" w:space="0" w:color="auto"/>
                    </w:tcBorders>
                    <w:shd w:val="clear" w:color="auto" w:fill="auto"/>
                    <w:vAlign w:val="center"/>
                  </w:tcPr>
                  <w:p w14:paraId="144252D5" w14:textId="77777777" w:rsidR="00830E72" w:rsidRDefault="008344D8">
                    <w:pPr>
                      <w:jc w:val="center"/>
                      <w:rPr>
                        <w:szCs w:val="21"/>
                      </w:rPr>
                    </w:pPr>
                    <w:r>
                      <w:rPr>
                        <w:szCs w:val="21"/>
                      </w:rPr>
                      <w:t>账龄</w:t>
                    </w:r>
                  </w:p>
                </w:tc>
              </w:sdtContent>
            </w:sdt>
            <w:sdt>
              <w:sdtPr>
                <w:tag w:val="_PLD_fe83f44c599f47c3bdf1b2e0ce971295"/>
                <w:id w:val="488752358"/>
                <w:lock w:val="sdtLocked"/>
              </w:sdtPr>
              <w:sdtEndPr/>
              <w:sdtContent>
                <w:tc>
                  <w:tcPr>
                    <w:tcW w:w="2359" w:type="pct"/>
                    <w:tcBorders>
                      <w:bottom w:val="single" w:sz="4" w:space="0" w:color="auto"/>
                    </w:tcBorders>
                    <w:shd w:val="clear" w:color="auto" w:fill="auto"/>
                    <w:vAlign w:val="center"/>
                  </w:tcPr>
                  <w:p w14:paraId="4F707A76" w14:textId="77777777" w:rsidR="00830E72" w:rsidRDefault="008344D8">
                    <w:pPr>
                      <w:jc w:val="center"/>
                      <w:rPr>
                        <w:szCs w:val="21"/>
                      </w:rPr>
                    </w:pPr>
                    <w:r>
                      <w:rPr>
                        <w:szCs w:val="21"/>
                      </w:rPr>
                      <w:t>期末</w:t>
                    </w:r>
                    <w:r>
                      <w:rPr>
                        <w:rFonts w:hint="eastAsia"/>
                        <w:szCs w:val="21"/>
                      </w:rPr>
                      <w:t>账面</w:t>
                    </w:r>
                    <w:r>
                      <w:rPr>
                        <w:szCs w:val="21"/>
                      </w:rPr>
                      <w:t>余额</w:t>
                    </w:r>
                  </w:p>
                </w:tc>
              </w:sdtContent>
            </w:sdt>
          </w:tr>
          <w:tr w:rsidR="00830E72" w14:paraId="6CD8FF86" w14:textId="77777777">
            <w:trPr>
              <w:jc w:val="center"/>
            </w:trPr>
            <w:sdt>
              <w:sdtPr>
                <w:tag w:val="_PLD_a5dc7903ae85448482649ed563a32218"/>
                <w:id w:val="277531676"/>
                <w:lock w:val="sdtLocked"/>
              </w:sdtPr>
              <w:sdtEndPr/>
              <w:sdtContent>
                <w:tc>
                  <w:tcPr>
                    <w:tcW w:w="5000" w:type="pct"/>
                    <w:gridSpan w:val="2"/>
                    <w:shd w:val="clear" w:color="auto" w:fill="auto"/>
                  </w:tcPr>
                  <w:p w14:paraId="6F88C420" w14:textId="77777777" w:rsidR="00830E72" w:rsidRDefault="008344D8">
                    <w:pPr>
                      <w:rPr>
                        <w:szCs w:val="21"/>
                      </w:rPr>
                    </w:pPr>
                    <w:proofErr w:type="gramStart"/>
                    <w:r>
                      <w:rPr>
                        <w:rFonts w:hint="eastAsia"/>
                        <w:szCs w:val="21"/>
                      </w:rPr>
                      <w:t>1</w:t>
                    </w:r>
                    <w:r>
                      <w:rPr>
                        <w:szCs w:val="21"/>
                      </w:rPr>
                      <w:t>年以内</w:t>
                    </w:r>
                    <w:proofErr w:type="gramEnd"/>
                  </w:p>
                </w:tc>
              </w:sdtContent>
            </w:sdt>
          </w:tr>
          <w:tr w:rsidR="00830E72" w14:paraId="4B2A26B6" w14:textId="77777777">
            <w:trPr>
              <w:jc w:val="center"/>
            </w:trPr>
            <w:sdt>
              <w:sdtPr>
                <w:tag w:val="_PLD_ca8c7c0a863443708eb10fe9a0661323"/>
                <w:id w:val="1045872733"/>
                <w:lock w:val="sdtLocked"/>
              </w:sdtPr>
              <w:sdtEndPr/>
              <w:sdtContent>
                <w:tc>
                  <w:tcPr>
                    <w:tcW w:w="5000" w:type="pct"/>
                    <w:gridSpan w:val="2"/>
                    <w:shd w:val="clear" w:color="auto" w:fill="auto"/>
                  </w:tcPr>
                  <w:p w14:paraId="5BCFBA47" w14:textId="77777777" w:rsidR="00830E72" w:rsidRDefault="008344D8">
                    <w:pPr>
                      <w:rPr>
                        <w:szCs w:val="21"/>
                      </w:rPr>
                    </w:pPr>
                    <w:r>
                      <w:rPr>
                        <w:rFonts w:hint="eastAsia"/>
                        <w:szCs w:val="21"/>
                      </w:rPr>
                      <w:t>其中：</w:t>
                    </w:r>
                    <w:r>
                      <w:rPr>
                        <w:szCs w:val="21"/>
                      </w:rPr>
                      <w:t>1年以内分项</w:t>
                    </w:r>
                  </w:p>
                </w:tc>
              </w:sdtContent>
            </w:sdt>
          </w:tr>
          <w:tr w:rsidR="00830E72" w14:paraId="1C8C9838" w14:textId="77777777">
            <w:trPr>
              <w:jc w:val="center"/>
            </w:trPr>
            <w:sdt>
              <w:sdtPr>
                <w:tag w:val="_PLD_8074f2321fd640f1a4a8fa6c86ad1e9b"/>
                <w:id w:val="-1452939549"/>
                <w:lock w:val="sdtLocked"/>
              </w:sdtPr>
              <w:sdtEndPr/>
              <w:sdtContent>
                <w:tc>
                  <w:tcPr>
                    <w:tcW w:w="2641" w:type="pct"/>
                    <w:shd w:val="clear" w:color="auto" w:fill="auto"/>
                  </w:tcPr>
                  <w:p w14:paraId="2B1BE3B1" w14:textId="77777777" w:rsidR="00830E72" w:rsidRDefault="008344D8">
                    <w:pPr>
                      <w:rPr>
                        <w:szCs w:val="21"/>
                      </w:rPr>
                    </w:pPr>
                    <w:r>
                      <w:rPr>
                        <w:rFonts w:hint="eastAsia"/>
                        <w:szCs w:val="21"/>
                      </w:rPr>
                      <w:t>1年以内小计</w:t>
                    </w:r>
                  </w:p>
                </w:tc>
              </w:sdtContent>
            </w:sdt>
            <w:tc>
              <w:tcPr>
                <w:tcW w:w="2359" w:type="pct"/>
                <w:shd w:val="clear" w:color="auto" w:fill="auto"/>
              </w:tcPr>
              <w:p w14:paraId="67FAD364" w14:textId="77777777" w:rsidR="00830E72" w:rsidRDefault="008344D8">
                <w:pPr>
                  <w:jc w:val="right"/>
                  <w:rPr>
                    <w:szCs w:val="21"/>
                  </w:rPr>
                </w:pPr>
                <w:r>
                  <w:rPr>
                    <w:szCs w:val="21"/>
                  </w:rPr>
                  <w:t>1,491,709,703.51</w:t>
                </w:r>
              </w:p>
            </w:tc>
          </w:tr>
          <w:tr w:rsidR="00830E72" w14:paraId="7BC35EA3" w14:textId="77777777">
            <w:trPr>
              <w:jc w:val="center"/>
            </w:trPr>
            <w:sdt>
              <w:sdtPr>
                <w:tag w:val="_PLD_0aaa32d7ecc44007a6fdfe2ba5a15150"/>
                <w:id w:val="1430773791"/>
                <w:lock w:val="sdtLocked"/>
              </w:sdtPr>
              <w:sdtEndPr/>
              <w:sdtContent>
                <w:tc>
                  <w:tcPr>
                    <w:tcW w:w="2641" w:type="pct"/>
                    <w:shd w:val="clear" w:color="auto" w:fill="auto"/>
                  </w:tcPr>
                  <w:p w14:paraId="58B85D9B" w14:textId="77777777" w:rsidR="00830E72" w:rsidRDefault="008344D8">
                    <w:pPr>
                      <w:rPr>
                        <w:szCs w:val="21"/>
                      </w:rPr>
                    </w:pPr>
                    <w:r>
                      <w:rPr>
                        <w:rFonts w:hint="eastAsia"/>
                        <w:szCs w:val="21"/>
                      </w:rPr>
                      <w:t>1</w:t>
                    </w:r>
                    <w:r>
                      <w:rPr>
                        <w:szCs w:val="21"/>
                      </w:rPr>
                      <w:t>至</w:t>
                    </w:r>
                    <w:r>
                      <w:rPr>
                        <w:rFonts w:hint="eastAsia"/>
                        <w:szCs w:val="21"/>
                      </w:rPr>
                      <w:t>2</w:t>
                    </w:r>
                    <w:r>
                      <w:rPr>
                        <w:szCs w:val="21"/>
                      </w:rPr>
                      <w:t>年</w:t>
                    </w:r>
                  </w:p>
                </w:tc>
              </w:sdtContent>
            </w:sdt>
            <w:tc>
              <w:tcPr>
                <w:tcW w:w="2359" w:type="pct"/>
                <w:shd w:val="clear" w:color="auto" w:fill="auto"/>
              </w:tcPr>
              <w:p w14:paraId="33EBE52A" w14:textId="77777777" w:rsidR="00830E72" w:rsidRDefault="008344D8">
                <w:pPr>
                  <w:jc w:val="right"/>
                  <w:rPr>
                    <w:szCs w:val="21"/>
                  </w:rPr>
                </w:pPr>
                <w:r>
                  <w:rPr>
                    <w:szCs w:val="21"/>
                  </w:rPr>
                  <w:t>342,917,987.91</w:t>
                </w:r>
              </w:p>
            </w:tc>
          </w:tr>
          <w:tr w:rsidR="00830E72" w14:paraId="76D82933" w14:textId="77777777">
            <w:trPr>
              <w:jc w:val="center"/>
            </w:trPr>
            <w:sdt>
              <w:sdtPr>
                <w:tag w:val="_PLD_461abed3956d480b918c3859e2a0e880"/>
                <w:id w:val="1304271542"/>
                <w:lock w:val="sdtLocked"/>
              </w:sdtPr>
              <w:sdtEndPr/>
              <w:sdtContent>
                <w:tc>
                  <w:tcPr>
                    <w:tcW w:w="2641" w:type="pct"/>
                    <w:shd w:val="clear" w:color="auto" w:fill="auto"/>
                  </w:tcPr>
                  <w:p w14:paraId="11128004" w14:textId="77777777" w:rsidR="00830E72" w:rsidRDefault="008344D8">
                    <w:pPr>
                      <w:rPr>
                        <w:szCs w:val="21"/>
                      </w:rPr>
                    </w:pPr>
                    <w:r>
                      <w:rPr>
                        <w:rFonts w:hint="eastAsia"/>
                        <w:szCs w:val="21"/>
                      </w:rPr>
                      <w:t>2</w:t>
                    </w:r>
                    <w:r>
                      <w:rPr>
                        <w:szCs w:val="21"/>
                      </w:rPr>
                      <w:t>至</w:t>
                    </w:r>
                    <w:r>
                      <w:rPr>
                        <w:rFonts w:hint="eastAsia"/>
                        <w:szCs w:val="21"/>
                      </w:rPr>
                      <w:t>3</w:t>
                    </w:r>
                    <w:r>
                      <w:rPr>
                        <w:szCs w:val="21"/>
                      </w:rPr>
                      <w:t>年</w:t>
                    </w:r>
                  </w:p>
                </w:tc>
              </w:sdtContent>
            </w:sdt>
            <w:tc>
              <w:tcPr>
                <w:tcW w:w="2359" w:type="pct"/>
                <w:shd w:val="clear" w:color="auto" w:fill="auto"/>
              </w:tcPr>
              <w:p w14:paraId="0DC5C30B" w14:textId="77777777" w:rsidR="00830E72" w:rsidRDefault="008344D8">
                <w:pPr>
                  <w:jc w:val="right"/>
                  <w:rPr>
                    <w:szCs w:val="21"/>
                  </w:rPr>
                </w:pPr>
                <w:r>
                  <w:rPr>
                    <w:szCs w:val="21"/>
                  </w:rPr>
                  <w:t>177,410,481.21</w:t>
                </w:r>
              </w:p>
            </w:tc>
          </w:tr>
          <w:tr w:rsidR="00830E72" w14:paraId="6E18322A" w14:textId="77777777">
            <w:trPr>
              <w:jc w:val="center"/>
            </w:trPr>
            <w:sdt>
              <w:sdtPr>
                <w:tag w:val="_PLD_3bcedd27187c4006a5bf76fe5e353650"/>
                <w:id w:val="-557011793"/>
                <w:lock w:val="sdtLocked"/>
              </w:sdtPr>
              <w:sdtEndPr/>
              <w:sdtContent>
                <w:tc>
                  <w:tcPr>
                    <w:tcW w:w="2641" w:type="pct"/>
                    <w:shd w:val="clear" w:color="auto" w:fill="auto"/>
                  </w:tcPr>
                  <w:p w14:paraId="5DB1902C" w14:textId="77777777" w:rsidR="00830E72" w:rsidRDefault="008344D8">
                    <w:pPr>
                      <w:rPr>
                        <w:szCs w:val="21"/>
                      </w:rPr>
                    </w:pPr>
                    <w:proofErr w:type="gramStart"/>
                    <w:r>
                      <w:rPr>
                        <w:rFonts w:hint="eastAsia"/>
                        <w:szCs w:val="21"/>
                      </w:rPr>
                      <w:t>3</w:t>
                    </w:r>
                    <w:r>
                      <w:rPr>
                        <w:szCs w:val="21"/>
                      </w:rPr>
                      <w:t>年以上</w:t>
                    </w:r>
                    <w:proofErr w:type="gramEnd"/>
                  </w:p>
                </w:tc>
              </w:sdtContent>
            </w:sdt>
            <w:tc>
              <w:tcPr>
                <w:tcW w:w="2359" w:type="pct"/>
                <w:shd w:val="clear" w:color="auto" w:fill="auto"/>
              </w:tcPr>
              <w:p w14:paraId="7FF4D18E" w14:textId="77777777" w:rsidR="00830E72" w:rsidRDefault="00830E72">
                <w:pPr>
                  <w:jc w:val="right"/>
                  <w:rPr>
                    <w:szCs w:val="21"/>
                  </w:rPr>
                </w:pPr>
              </w:p>
            </w:tc>
          </w:tr>
          <w:tr w:rsidR="00830E72" w14:paraId="6CF5FC51" w14:textId="77777777">
            <w:trPr>
              <w:jc w:val="center"/>
            </w:trPr>
            <w:sdt>
              <w:sdtPr>
                <w:tag w:val="_PLD_a4745b0ed8a140ae99b3917b2a6aa90b"/>
                <w:id w:val="-2070259460"/>
                <w:lock w:val="sdtLocked"/>
              </w:sdtPr>
              <w:sdtEndPr/>
              <w:sdtContent>
                <w:tc>
                  <w:tcPr>
                    <w:tcW w:w="2641" w:type="pct"/>
                    <w:shd w:val="clear" w:color="auto" w:fill="auto"/>
                  </w:tcPr>
                  <w:p w14:paraId="31495F95" w14:textId="77777777" w:rsidR="00830E72" w:rsidRDefault="008344D8">
                    <w:pPr>
                      <w:rPr>
                        <w:szCs w:val="21"/>
                      </w:rPr>
                    </w:pPr>
                    <w:r>
                      <w:rPr>
                        <w:rFonts w:hint="eastAsia"/>
                        <w:szCs w:val="21"/>
                      </w:rPr>
                      <w:t>3</w:t>
                    </w:r>
                    <w:r>
                      <w:rPr>
                        <w:szCs w:val="21"/>
                      </w:rPr>
                      <w:t>至</w:t>
                    </w:r>
                    <w:r>
                      <w:rPr>
                        <w:rFonts w:hint="eastAsia"/>
                        <w:szCs w:val="21"/>
                      </w:rPr>
                      <w:t>4</w:t>
                    </w:r>
                    <w:r>
                      <w:rPr>
                        <w:szCs w:val="21"/>
                      </w:rPr>
                      <w:t>年</w:t>
                    </w:r>
                  </w:p>
                </w:tc>
              </w:sdtContent>
            </w:sdt>
            <w:tc>
              <w:tcPr>
                <w:tcW w:w="2359" w:type="pct"/>
                <w:shd w:val="clear" w:color="auto" w:fill="auto"/>
              </w:tcPr>
              <w:p w14:paraId="66E4A760" w14:textId="77777777" w:rsidR="00830E72" w:rsidRDefault="008344D8">
                <w:pPr>
                  <w:jc w:val="right"/>
                  <w:rPr>
                    <w:szCs w:val="21"/>
                  </w:rPr>
                </w:pPr>
                <w:r>
                  <w:rPr>
                    <w:szCs w:val="21"/>
                  </w:rPr>
                  <w:t>181,963,043.94</w:t>
                </w:r>
              </w:p>
            </w:tc>
          </w:tr>
          <w:tr w:rsidR="00830E72" w14:paraId="2ED3C1CF" w14:textId="77777777">
            <w:trPr>
              <w:jc w:val="center"/>
            </w:trPr>
            <w:sdt>
              <w:sdtPr>
                <w:tag w:val="_PLD_f4ed1d71e017423691a066ea5df5fab6"/>
                <w:id w:val="209622703"/>
                <w:lock w:val="sdtLocked"/>
              </w:sdtPr>
              <w:sdtEndPr/>
              <w:sdtContent>
                <w:tc>
                  <w:tcPr>
                    <w:tcW w:w="2641" w:type="pct"/>
                    <w:shd w:val="clear" w:color="auto" w:fill="auto"/>
                  </w:tcPr>
                  <w:p w14:paraId="33DDA597" w14:textId="77777777" w:rsidR="00830E72" w:rsidRDefault="008344D8">
                    <w:pPr>
                      <w:rPr>
                        <w:szCs w:val="21"/>
                      </w:rPr>
                    </w:pPr>
                    <w:r>
                      <w:rPr>
                        <w:rFonts w:hint="eastAsia"/>
                        <w:szCs w:val="21"/>
                      </w:rPr>
                      <w:t>4</w:t>
                    </w:r>
                    <w:r>
                      <w:rPr>
                        <w:szCs w:val="21"/>
                      </w:rPr>
                      <w:t>至</w:t>
                    </w:r>
                    <w:r>
                      <w:rPr>
                        <w:rFonts w:hint="eastAsia"/>
                        <w:szCs w:val="21"/>
                      </w:rPr>
                      <w:t>5</w:t>
                    </w:r>
                    <w:r>
                      <w:rPr>
                        <w:szCs w:val="21"/>
                      </w:rPr>
                      <w:t>年</w:t>
                    </w:r>
                  </w:p>
                </w:tc>
              </w:sdtContent>
            </w:sdt>
            <w:tc>
              <w:tcPr>
                <w:tcW w:w="2359" w:type="pct"/>
                <w:shd w:val="clear" w:color="auto" w:fill="auto"/>
              </w:tcPr>
              <w:p w14:paraId="59265690" w14:textId="77777777" w:rsidR="00830E72" w:rsidRDefault="008344D8">
                <w:pPr>
                  <w:jc w:val="right"/>
                  <w:rPr>
                    <w:szCs w:val="21"/>
                  </w:rPr>
                </w:pPr>
                <w:r>
                  <w:rPr>
                    <w:szCs w:val="21"/>
                  </w:rPr>
                  <w:t>47,015,131.78</w:t>
                </w:r>
              </w:p>
            </w:tc>
          </w:tr>
          <w:tr w:rsidR="00830E72" w14:paraId="10199AF7" w14:textId="77777777">
            <w:trPr>
              <w:jc w:val="center"/>
            </w:trPr>
            <w:sdt>
              <w:sdtPr>
                <w:tag w:val="_PLD_fccdd41cea9b4ca08e7b40f163262e5e"/>
                <w:id w:val="53752729"/>
                <w:lock w:val="sdtLocked"/>
              </w:sdtPr>
              <w:sdtEndPr/>
              <w:sdtContent>
                <w:tc>
                  <w:tcPr>
                    <w:tcW w:w="2641" w:type="pct"/>
                    <w:shd w:val="clear" w:color="auto" w:fill="auto"/>
                  </w:tcPr>
                  <w:p w14:paraId="0CBEE078" w14:textId="77777777" w:rsidR="00830E72" w:rsidRDefault="008344D8">
                    <w:pPr>
                      <w:rPr>
                        <w:szCs w:val="21"/>
                      </w:rPr>
                    </w:pPr>
                    <w:proofErr w:type="gramStart"/>
                    <w:r>
                      <w:rPr>
                        <w:rFonts w:hint="eastAsia"/>
                        <w:szCs w:val="21"/>
                      </w:rPr>
                      <w:t>5</w:t>
                    </w:r>
                    <w:r>
                      <w:rPr>
                        <w:szCs w:val="21"/>
                      </w:rPr>
                      <w:t>年以上</w:t>
                    </w:r>
                    <w:proofErr w:type="gramEnd"/>
                  </w:p>
                </w:tc>
              </w:sdtContent>
            </w:sdt>
            <w:tc>
              <w:tcPr>
                <w:tcW w:w="2359" w:type="pct"/>
                <w:shd w:val="clear" w:color="auto" w:fill="auto"/>
              </w:tcPr>
              <w:p w14:paraId="11B60CE6" w14:textId="77777777" w:rsidR="00830E72" w:rsidRDefault="008344D8">
                <w:pPr>
                  <w:jc w:val="right"/>
                  <w:rPr>
                    <w:szCs w:val="21"/>
                  </w:rPr>
                </w:pPr>
                <w:r>
                  <w:rPr>
                    <w:szCs w:val="21"/>
                  </w:rPr>
                  <w:t>14,417,664.34</w:t>
                </w:r>
              </w:p>
            </w:tc>
          </w:tr>
          <w:tr w:rsidR="00830E72" w14:paraId="310E74B2" w14:textId="77777777">
            <w:trPr>
              <w:jc w:val="center"/>
            </w:trPr>
            <w:sdt>
              <w:sdtPr>
                <w:tag w:val="_PLD_b8d2a9cd21d944ea8f8433cfaeb85cb3"/>
                <w:id w:val="835570210"/>
                <w:lock w:val="sdtLocked"/>
              </w:sdtPr>
              <w:sdtEndPr/>
              <w:sdtContent>
                <w:tc>
                  <w:tcPr>
                    <w:tcW w:w="2641" w:type="pct"/>
                    <w:shd w:val="clear" w:color="auto" w:fill="auto"/>
                    <w:vAlign w:val="center"/>
                  </w:tcPr>
                  <w:p w14:paraId="415AAD2D" w14:textId="77777777" w:rsidR="00830E72" w:rsidRDefault="008344D8">
                    <w:pPr>
                      <w:jc w:val="center"/>
                      <w:rPr>
                        <w:szCs w:val="21"/>
                      </w:rPr>
                    </w:pPr>
                    <w:r>
                      <w:rPr>
                        <w:szCs w:val="21"/>
                      </w:rPr>
                      <w:t>合计</w:t>
                    </w:r>
                  </w:p>
                </w:tc>
              </w:sdtContent>
            </w:sdt>
            <w:tc>
              <w:tcPr>
                <w:tcW w:w="2359" w:type="pct"/>
                <w:shd w:val="clear" w:color="auto" w:fill="auto"/>
              </w:tcPr>
              <w:p w14:paraId="4EB28112" w14:textId="77777777" w:rsidR="00830E72" w:rsidRDefault="008344D8">
                <w:pPr>
                  <w:jc w:val="right"/>
                  <w:rPr>
                    <w:szCs w:val="21"/>
                  </w:rPr>
                </w:pPr>
                <w:r>
                  <w:rPr>
                    <w:szCs w:val="21"/>
                  </w:rPr>
                  <w:t>2,255,434,012.69</w:t>
                </w:r>
              </w:p>
            </w:tc>
          </w:tr>
        </w:tbl>
      </w:sdtContent>
    </w:sdt>
    <w:p w14:paraId="129F8C63" w14:textId="77777777" w:rsidR="00830E72" w:rsidRDefault="00830E72">
      <w:pPr>
        <w:snapToGrid w:val="0"/>
        <w:spacing w:line="240" w:lineRule="atLeast"/>
        <w:rPr>
          <w:szCs w:val="21"/>
        </w:rPr>
        <w:sectPr w:rsidR="00830E72">
          <w:pgSz w:w="11906" w:h="16838"/>
          <w:pgMar w:top="1525" w:right="1276" w:bottom="1440" w:left="1797" w:header="856" w:footer="992" w:gutter="0"/>
          <w:cols w:space="425"/>
          <w:docGrid w:linePitch="312"/>
        </w:sectPr>
      </w:pPr>
    </w:p>
    <w:p w14:paraId="0DD95C87" w14:textId="77777777" w:rsidR="00830E72" w:rsidRDefault="00830E72">
      <w:pPr>
        <w:snapToGrid w:val="0"/>
        <w:spacing w:line="240" w:lineRule="atLeast"/>
        <w:rPr>
          <w:szCs w:val="21"/>
        </w:rPr>
      </w:pPr>
    </w:p>
    <w:p w14:paraId="66BF611C" w14:textId="77777777" w:rsidR="00830E72" w:rsidRDefault="008344D8">
      <w:pPr>
        <w:pStyle w:val="Style100"/>
        <w:numPr>
          <w:ilvl w:val="0"/>
          <w:numId w:val="96"/>
        </w:numPr>
        <w:tabs>
          <w:tab w:val="left" w:pos="644"/>
        </w:tabs>
        <w:ind w:left="0" w:firstLine="0"/>
        <w:rPr>
          <w:rFonts w:ascii="宋体" w:hAnsi="宋体"/>
          <w:szCs w:val="21"/>
        </w:rPr>
      </w:pPr>
      <w:bookmarkStart w:id="205" w:name="_Hlk10540024"/>
      <w:r>
        <w:rPr>
          <w:rFonts w:ascii="宋体" w:hAnsi="宋体" w:hint="eastAsia"/>
          <w:szCs w:val="21"/>
        </w:rPr>
        <w:t>按坏账计提方法分类披露</w:t>
      </w:r>
    </w:p>
    <w:sdt>
      <w:sdtPr>
        <w:alias w:val="是否适用：母公司应收账款按坏账计提方法分类披露[双击切换]"/>
        <w:tag w:val="_GBC_bd7fb52eb7f647d5aa6c10677b261ee1"/>
        <w:id w:val="-2106491974"/>
        <w:lock w:val="sdtContentLocked"/>
        <w:placeholder>
          <w:docPart w:val="GBC22222222222222222222222222222"/>
        </w:placeholder>
      </w:sdtPr>
      <w:sdtEndPr/>
      <w:sdtContent>
        <w:p w14:paraId="56FD669B"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kern w:val="0"/>
          <w:szCs w:val="21"/>
        </w:rPr>
        <w:alias w:val="模块:(2).  按坏账计提方法分类披露"/>
        <w:tag w:val="_SEC_22b53fc701704bd9858f1a601e7a3144"/>
        <w:id w:val="2084260411"/>
        <w:lock w:val="sdtLocked"/>
        <w:placeholder>
          <w:docPart w:val="GBC22222222222222222222222222222"/>
        </w:placeholder>
      </w:sdtPr>
      <w:sdtEndPr>
        <w:rPr>
          <w:szCs w:val="24"/>
        </w:rPr>
      </w:sdtEndPr>
      <w:sdtContent>
        <w:p w14:paraId="525636AD" w14:textId="77777777" w:rsidR="00830E72" w:rsidRDefault="008344D8">
          <w:pPr>
            <w:pStyle w:val="Style118"/>
            <w:autoSpaceDE w:val="0"/>
            <w:autoSpaceDN w:val="0"/>
            <w:adjustRightInd w:val="0"/>
            <w:ind w:left="425" w:right="10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母公司应收账款按坏账计提方法分类披露"/>
              <w:tag w:val="_GBC_03786e76a9b246d5a93eac5a8936de3a"/>
              <w:id w:val="176117356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母公司应收账款按坏账计提方法分类披露"/>
              <w:tag w:val="_GBC_1360c31492654a38991cae4cf45e7b4a"/>
              <w:id w:val="-21165452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492"/>
            <w:gridCol w:w="1750"/>
            <w:gridCol w:w="697"/>
            <w:gridCol w:w="1541"/>
            <w:gridCol w:w="485"/>
            <w:gridCol w:w="1750"/>
            <w:gridCol w:w="1750"/>
            <w:gridCol w:w="697"/>
            <w:gridCol w:w="1541"/>
            <w:gridCol w:w="485"/>
            <w:gridCol w:w="1747"/>
          </w:tblGrid>
          <w:tr w:rsidR="00830E72" w14:paraId="0049FCD5" w14:textId="77777777">
            <w:trPr>
              <w:cantSplit/>
              <w:trHeight w:val="259"/>
            </w:trPr>
            <w:sdt>
              <w:sdtPr>
                <w:tag w:val="_PLD_2f021e03341f49af95f8857da6272a92"/>
                <w:id w:val="841824150"/>
                <w:lock w:val="sdtLocked"/>
              </w:sdtPr>
              <w:sdtEndPr/>
              <w:sdtContent>
                <w:tc>
                  <w:tcPr>
                    <w:tcW w:w="535" w:type="pct"/>
                    <w:vMerge w:val="restart"/>
                    <w:tcBorders>
                      <w:top w:val="single" w:sz="4" w:space="0" w:color="auto"/>
                      <w:left w:val="single" w:sz="4" w:space="0" w:color="auto"/>
                      <w:right w:val="single" w:sz="4" w:space="0" w:color="auto"/>
                    </w:tcBorders>
                    <w:vAlign w:val="center"/>
                  </w:tcPr>
                  <w:p w14:paraId="507C7A0A" w14:textId="77777777" w:rsidR="00830E72" w:rsidRDefault="008344D8">
                    <w:pPr>
                      <w:jc w:val="center"/>
                      <w:rPr>
                        <w:szCs w:val="21"/>
                      </w:rPr>
                    </w:pPr>
                    <w:r>
                      <w:rPr>
                        <w:rFonts w:hint="eastAsia"/>
                        <w:szCs w:val="21"/>
                      </w:rPr>
                      <w:t>类别</w:t>
                    </w:r>
                  </w:p>
                </w:tc>
              </w:sdtContent>
            </w:sdt>
            <w:sdt>
              <w:sdtPr>
                <w:tag w:val="_PLD_468e18ccdf48449f8e43799e7c3f622e"/>
                <w:id w:val="-1583683057"/>
                <w:lock w:val="sdtLocked"/>
              </w:sdtPr>
              <w:sdtEndPr/>
              <w:sdtContent>
                <w:tc>
                  <w:tcPr>
                    <w:tcW w:w="2233" w:type="pct"/>
                    <w:gridSpan w:val="5"/>
                    <w:tcBorders>
                      <w:top w:val="single" w:sz="4" w:space="0" w:color="auto"/>
                      <w:left w:val="single" w:sz="4" w:space="0" w:color="auto"/>
                      <w:right w:val="single" w:sz="4" w:space="0" w:color="auto"/>
                    </w:tcBorders>
                    <w:vAlign w:val="center"/>
                  </w:tcPr>
                  <w:p w14:paraId="5262C0C0" w14:textId="77777777" w:rsidR="00830E72" w:rsidRDefault="008344D8">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e387c0f70bd6484cafb1ada234d075bd"/>
                <w:id w:val="-481851715"/>
                <w:lock w:val="sdtLocked"/>
              </w:sdtPr>
              <w:sdtEndPr/>
              <w:sdtContent>
                <w:tc>
                  <w:tcPr>
                    <w:tcW w:w="2233" w:type="pct"/>
                    <w:gridSpan w:val="5"/>
                    <w:tcBorders>
                      <w:top w:val="single" w:sz="4" w:space="0" w:color="auto"/>
                      <w:left w:val="single" w:sz="4" w:space="0" w:color="auto"/>
                      <w:right w:val="single" w:sz="4" w:space="0" w:color="auto"/>
                    </w:tcBorders>
                    <w:vAlign w:val="center"/>
                  </w:tcPr>
                  <w:p w14:paraId="31896DE7" w14:textId="77777777" w:rsidR="00830E72" w:rsidRDefault="008344D8">
                    <w:pPr>
                      <w:autoSpaceDE w:val="0"/>
                      <w:autoSpaceDN w:val="0"/>
                      <w:adjustRightInd w:val="0"/>
                      <w:snapToGrid w:val="0"/>
                      <w:spacing w:line="240" w:lineRule="atLeast"/>
                      <w:jc w:val="center"/>
                      <w:rPr>
                        <w:szCs w:val="21"/>
                      </w:rPr>
                    </w:pPr>
                    <w:r>
                      <w:rPr>
                        <w:rFonts w:hint="eastAsia"/>
                        <w:szCs w:val="21"/>
                      </w:rPr>
                      <w:t>期初余额</w:t>
                    </w:r>
                  </w:p>
                </w:tc>
              </w:sdtContent>
            </w:sdt>
          </w:tr>
          <w:tr w:rsidR="00830E72" w14:paraId="7DEEB50D" w14:textId="77777777">
            <w:trPr>
              <w:cantSplit/>
              <w:trHeight w:val="227"/>
            </w:trPr>
            <w:tc>
              <w:tcPr>
                <w:tcW w:w="535" w:type="pct"/>
                <w:vMerge/>
                <w:tcBorders>
                  <w:left w:val="single" w:sz="4" w:space="0" w:color="auto"/>
                  <w:right w:val="single" w:sz="4" w:space="0" w:color="auto"/>
                </w:tcBorders>
                <w:vAlign w:val="center"/>
              </w:tcPr>
              <w:p w14:paraId="3175168D" w14:textId="77777777" w:rsidR="00830E72" w:rsidRDefault="00830E72">
                <w:pPr>
                  <w:rPr>
                    <w:szCs w:val="21"/>
                  </w:rPr>
                </w:pPr>
              </w:p>
            </w:tc>
            <w:sdt>
              <w:sdtPr>
                <w:tag w:val="_PLD_73365edbfe354cb683cc42de4c1c9f49"/>
                <w:id w:val="1824618117"/>
                <w:lock w:val="sdtLocked"/>
              </w:sdtPr>
              <w:sdtEndPr/>
              <w:sdtContent>
                <w:tc>
                  <w:tcPr>
                    <w:tcW w:w="878" w:type="pct"/>
                    <w:gridSpan w:val="2"/>
                    <w:tcBorders>
                      <w:top w:val="single" w:sz="4" w:space="0" w:color="auto"/>
                      <w:left w:val="single" w:sz="4" w:space="0" w:color="auto"/>
                      <w:bottom w:val="single" w:sz="4" w:space="0" w:color="auto"/>
                      <w:right w:val="single" w:sz="4" w:space="0" w:color="auto"/>
                    </w:tcBorders>
                    <w:vAlign w:val="center"/>
                  </w:tcPr>
                  <w:p w14:paraId="73EEE847" w14:textId="77777777" w:rsidR="00830E72" w:rsidRDefault="008344D8">
                    <w:pPr>
                      <w:jc w:val="center"/>
                      <w:rPr>
                        <w:szCs w:val="21"/>
                      </w:rPr>
                    </w:pPr>
                    <w:r>
                      <w:rPr>
                        <w:rFonts w:hint="eastAsia"/>
                        <w:szCs w:val="21"/>
                      </w:rPr>
                      <w:t>账面余额</w:t>
                    </w:r>
                  </w:p>
                </w:tc>
              </w:sdtContent>
            </w:sdt>
            <w:sdt>
              <w:sdtPr>
                <w:tag w:val="_PLD_11f34c9ee2d5429280d0d85b2c50756a"/>
                <w:id w:val="1494372812"/>
                <w:lock w:val="sdtLocked"/>
              </w:sdtPr>
              <w:sdtEndPr/>
              <w:sdtContent>
                <w:tc>
                  <w:tcPr>
                    <w:tcW w:w="726" w:type="pct"/>
                    <w:gridSpan w:val="2"/>
                    <w:tcBorders>
                      <w:top w:val="single" w:sz="4" w:space="0" w:color="auto"/>
                      <w:left w:val="single" w:sz="4" w:space="0" w:color="auto"/>
                      <w:bottom w:val="single" w:sz="4" w:space="0" w:color="auto"/>
                      <w:right w:val="single" w:sz="4" w:space="0" w:color="auto"/>
                    </w:tcBorders>
                    <w:vAlign w:val="center"/>
                  </w:tcPr>
                  <w:p w14:paraId="2F51D7D7" w14:textId="77777777" w:rsidR="00830E72" w:rsidRDefault="008344D8">
                    <w:pPr>
                      <w:jc w:val="center"/>
                      <w:rPr>
                        <w:szCs w:val="21"/>
                      </w:rPr>
                    </w:pPr>
                    <w:r>
                      <w:rPr>
                        <w:rFonts w:hint="eastAsia"/>
                        <w:szCs w:val="21"/>
                      </w:rPr>
                      <w:t>坏账准备</w:t>
                    </w:r>
                  </w:p>
                </w:tc>
              </w:sdtContent>
            </w:sdt>
            <w:sdt>
              <w:sdtPr>
                <w:tag w:val="_PLD_6ade046afd0c47c0aae9506cc9d47486"/>
                <w:id w:val="693809314"/>
                <w:lock w:val="sdtLocked"/>
              </w:sdtPr>
              <w:sdtEndPr/>
              <w:sdtContent>
                <w:tc>
                  <w:tcPr>
                    <w:tcW w:w="628" w:type="pct"/>
                    <w:vMerge w:val="restart"/>
                    <w:tcBorders>
                      <w:top w:val="single" w:sz="4" w:space="0" w:color="auto"/>
                      <w:left w:val="single" w:sz="4" w:space="0" w:color="auto"/>
                      <w:right w:val="single" w:sz="4" w:space="0" w:color="auto"/>
                    </w:tcBorders>
                    <w:vAlign w:val="center"/>
                  </w:tcPr>
                  <w:p w14:paraId="71D22A3F" w14:textId="77777777" w:rsidR="00830E72" w:rsidRDefault="008344D8">
                    <w:pPr>
                      <w:jc w:val="center"/>
                      <w:rPr>
                        <w:szCs w:val="21"/>
                      </w:rPr>
                    </w:pPr>
                    <w:r>
                      <w:rPr>
                        <w:rFonts w:hint="eastAsia"/>
                        <w:szCs w:val="21"/>
                      </w:rPr>
                      <w:t>账面</w:t>
                    </w:r>
                  </w:p>
                  <w:p w14:paraId="26AB963E" w14:textId="77777777" w:rsidR="00830E72" w:rsidRDefault="008344D8">
                    <w:pPr>
                      <w:jc w:val="center"/>
                      <w:rPr>
                        <w:szCs w:val="21"/>
                      </w:rPr>
                    </w:pPr>
                    <w:r>
                      <w:rPr>
                        <w:rFonts w:hint="eastAsia"/>
                        <w:szCs w:val="21"/>
                      </w:rPr>
                      <w:t>价值</w:t>
                    </w:r>
                  </w:p>
                </w:tc>
              </w:sdtContent>
            </w:sdt>
            <w:sdt>
              <w:sdtPr>
                <w:tag w:val="_PLD_abd9bd4831b9473aabae7411a299a204"/>
                <w:id w:val="80653338"/>
                <w:lock w:val="sdtLocked"/>
              </w:sdtPr>
              <w:sdtEndPr/>
              <w:sdtContent>
                <w:tc>
                  <w:tcPr>
                    <w:tcW w:w="878" w:type="pct"/>
                    <w:gridSpan w:val="2"/>
                    <w:tcBorders>
                      <w:top w:val="single" w:sz="4" w:space="0" w:color="auto"/>
                      <w:left w:val="single" w:sz="4" w:space="0" w:color="auto"/>
                      <w:right w:val="single" w:sz="4" w:space="0" w:color="auto"/>
                    </w:tcBorders>
                    <w:vAlign w:val="center"/>
                  </w:tcPr>
                  <w:p w14:paraId="1FAF9CF8" w14:textId="77777777" w:rsidR="00830E72" w:rsidRDefault="008344D8">
                    <w:pPr>
                      <w:jc w:val="center"/>
                      <w:rPr>
                        <w:szCs w:val="21"/>
                      </w:rPr>
                    </w:pPr>
                    <w:r>
                      <w:rPr>
                        <w:rFonts w:hint="eastAsia"/>
                        <w:szCs w:val="21"/>
                      </w:rPr>
                      <w:t>账面余额</w:t>
                    </w:r>
                  </w:p>
                </w:tc>
              </w:sdtContent>
            </w:sdt>
            <w:sdt>
              <w:sdtPr>
                <w:tag w:val="_PLD_76d8f3a48cba41949b5870f6cbb124af"/>
                <w:id w:val="1571312896"/>
                <w:lock w:val="sdtLocked"/>
              </w:sdtPr>
              <w:sdtEndPr/>
              <w:sdtContent>
                <w:tc>
                  <w:tcPr>
                    <w:tcW w:w="726" w:type="pct"/>
                    <w:gridSpan w:val="2"/>
                    <w:tcBorders>
                      <w:top w:val="single" w:sz="4" w:space="0" w:color="auto"/>
                      <w:left w:val="single" w:sz="4" w:space="0" w:color="auto"/>
                      <w:right w:val="single" w:sz="4" w:space="0" w:color="auto"/>
                    </w:tcBorders>
                    <w:vAlign w:val="center"/>
                  </w:tcPr>
                  <w:p w14:paraId="2F25A4C5" w14:textId="77777777" w:rsidR="00830E72" w:rsidRDefault="008344D8">
                    <w:pPr>
                      <w:jc w:val="center"/>
                      <w:rPr>
                        <w:szCs w:val="21"/>
                      </w:rPr>
                    </w:pPr>
                    <w:r>
                      <w:rPr>
                        <w:rFonts w:hint="eastAsia"/>
                        <w:szCs w:val="21"/>
                      </w:rPr>
                      <w:t>坏账准备</w:t>
                    </w:r>
                  </w:p>
                </w:tc>
              </w:sdtContent>
            </w:sdt>
            <w:sdt>
              <w:sdtPr>
                <w:tag w:val="_PLD_5062ab8e678b49c0bba488dc029ff27b"/>
                <w:id w:val="1466620413"/>
                <w:lock w:val="sdtLocked"/>
              </w:sdtPr>
              <w:sdtEndPr/>
              <w:sdtContent>
                <w:tc>
                  <w:tcPr>
                    <w:tcW w:w="628" w:type="pct"/>
                    <w:vMerge w:val="restart"/>
                    <w:tcBorders>
                      <w:top w:val="single" w:sz="4" w:space="0" w:color="auto"/>
                      <w:left w:val="single" w:sz="4" w:space="0" w:color="auto"/>
                      <w:right w:val="single" w:sz="4" w:space="0" w:color="auto"/>
                    </w:tcBorders>
                    <w:vAlign w:val="center"/>
                  </w:tcPr>
                  <w:p w14:paraId="522EE8C4" w14:textId="77777777" w:rsidR="00830E72" w:rsidRDefault="008344D8">
                    <w:pPr>
                      <w:jc w:val="center"/>
                      <w:rPr>
                        <w:szCs w:val="21"/>
                      </w:rPr>
                    </w:pPr>
                    <w:r>
                      <w:rPr>
                        <w:rFonts w:hint="eastAsia"/>
                        <w:szCs w:val="21"/>
                      </w:rPr>
                      <w:t>账面</w:t>
                    </w:r>
                  </w:p>
                  <w:p w14:paraId="6CA480D1" w14:textId="77777777" w:rsidR="00830E72" w:rsidRDefault="008344D8">
                    <w:pPr>
                      <w:jc w:val="center"/>
                      <w:rPr>
                        <w:szCs w:val="21"/>
                      </w:rPr>
                    </w:pPr>
                    <w:r>
                      <w:rPr>
                        <w:rFonts w:hint="eastAsia"/>
                        <w:szCs w:val="21"/>
                      </w:rPr>
                      <w:t>价值</w:t>
                    </w:r>
                  </w:p>
                </w:tc>
              </w:sdtContent>
            </w:sdt>
          </w:tr>
          <w:tr w:rsidR="00830E72" w14:paraId="4CDFA73E" w14:textId="77777777">
            <w:trPr>
              <w:cantSplit/>
              <w:trHeight w:val="375"/>
            </w:trPr>
            <w:tc>
              <w:tcPr>
                <w:tcW w:w="535" w:type="pct"/>
                <w:vMerge/>
                <w:tcBorders>
                  <w:left w:val="single" w:sz="4" w:space="0" w:color="auto"/>
                  <w:bottom w:val="single" w:sz="4" w:space="0" w:color="auto"/>
                  <w:right w:val="single" w:sz="4" w:space="0" w:color="auto"/>
                </w:tcBorders>
                <w:vAlign w:val="center"/>
              </w:tcPr>
              <w:p w14:paraId="49A4BFEA" w14:textId="77777777" w:rsidR="00830E72" w:rsidRDefault="00830E72">
                <w:pPr>
                  <w:rPr>
                    <w:szCs w:val="21"/>
                  </w:rPr>
                </w:pPr>
              </w:p>
            </w:tc>
            <w:sdt>
              <w:sdtPr>
                <w:tag w:val="_PLD_f6bdd572740240b5a7a2e643c29db5eb"/>
                <w:id w:val="-1355338816"/>
                <w:lock w:val="sdtLocked"/>
              </w:sdtPr>
              <w:sdtEndPr/>
              <w:sdtContent>
                <w:tc>
                  <w:tcPr>
                    <w:tcW w:w="628" w:type="pct"/>
                    <w:tcBorders>
                      <w:left w:val="single" w:sz="4" w:space="0" w:color="auto"/>
                      <w:bottom w:val="single" w:sz="4" w:space="0" w:color="auto"/>
                      <w:right w:val="single" w:sz="4" w:space="0" w:color="auto"/>
                    </w:tcBorders>
                    <w:vAlign w:val="center"/>
                  </w:tcPr>
                  <w:p w14:paraId="50634827" w14:textId="77777777" w:rsidR="00830E72" w:rsidRDefault="008344D8">
                    <w:pPr>
                      <w:jc w:val="center"/>
                      <w:rPr>
                        <w:szCs w:val="21"/>
                      </w:rPr>
                    </w:pPr>
                    <w:r>
                      <w:rPr>
                        <w:rFonts w:hint="eastAsia"/>
                        <w:szCs w:val="21"/>
                      </w:rPr>
                      <w:t>金额</w:t>
                    </w:r>
                  </w:p>
                </w:tc>
              </w:sdtContent>
            </w:sdt>
            <w:sdt>
              <w:sdtPr>
                <w:tag w:val="_PLD_0a09779b6e354e32b6df9b1e891e1509"/>
                <w:id w:val="-2009660849"/>
                <w:lock w:val="sdtLocked"/>
              </w:sdtPr>
              <w:sdtEndPr/>
              <w:sdtContent>
                <w:tc>
                  <w:tcPr>
                    <w:tcW w:w="250" w:type="pct"/>
                    <w:tcBorders>
                      <w:left w:val="single" w:sz="4" w:space="0" w:color="auto"/>
                      <w:bottom w:val="single" w:sz="4" w:space="0" w:color="auto"/>
                      <w:right w:val="single" w:sz="4" w:space="0" w:color="auto"/>
                    </w:tcBorders>
                    <w:vAlign w:val="center"/>
                  </w:tcPr>
                  <w:p w14:paraId="0BD3D956" w14:textId="77777777" w:rsidR="00830E72" w:rsidRDefault="008344D8">
                    <w:pPr>
                      <w:jc w:val="center"/>
                      <w:rPr>
                        <w:szCs w:val="21"/>
                      </w:rPr>
                    </w:pPr>
                    <w:r>
                      <w:rPr>
                        <w:rFonts w:hint="eastAsia"/>
                        <w:szCs w:val="21"/>
                      </w:rPr>
                      <w:t>比例</w:t>
                    </w:r>
                    <w:r>
                      <w:rPr>
                        <w:szCs w:val="21"/>
                      </w:rPr>
                      <w:t>(%)</w:t>
                    </w:r>
                  </w:p>
                </w:tc>
              </w:sdtContent>
            </w:sdt>
            <w:sdt>
              <w:sdtPr>
                <w:tag w:val="_PLD_dd9c9061f11b453c8775ca1a11382d92"/>
                <w:id w:val="1598130428"/>
                <w:lock w:val="sdtLocked"/>
              </w:sdtPr>
              <w:sdtEndPr/>
              <w:sdtContent>
                <w:tc>
                  <w:tcPr>
                    <w:tcW w:w="553" w:type="pct"/>
                    <w:tcBorders>
                      <w:left w:val="single" w:sz="4" w:space="0" w:color="auto"/>
                      <w:bottom w:val="single" w:sz="4" w:space="0" w:color="auto"/>
                      <w:right w:val="single" w:sz="4" w:space="0" w:color="auto"/>
                    </w:tcBorders>
                    <w:vAlign w:val="center"/>
                  </w:tcPr>
                  <w:p w14:paraId="59457190" w14:textId="77777777" w:rsidR="00830E72" w:rsidRDefault="008344D8">
                    <w:pPr>
                      <w:jc w:val="center"/>
                      <w:rPr>
                        <w:szCs w:val="21"/>
                      </w:rPr>
                    </w:pPr>
                    <w:r>
                      <w:rPr>
                        <w:rFonts w:hint="eastAsia"/>
                        <w:szCs w:val="21"/>
                      </w:rPr>
                      <w:t>金额</w:t>
                    </w:r>
                  </w:p>
                </w:tc>
              </w:sdtContent>
            </w:sdt>
            <w:sdt>
              <w:sdtPr>
                <w:tag w:val="_PLD_988b69362ac14c0e94c26191e76b1e3a"/>
                <w:id w:val="336044758"/>
                <w:lock w:val="sdtLocked"/>
              </w:sdtPr>
              <w:sdtEndPr/>
              <w:sdtContent>
                <w:tc>
                  <w:tcPr>
                    <w:tcW w:w="174" w:type="pct"/>
                    <w:tcBorders>
                      <w:left w:val="single" w:sz="4" w:space="0" w:color="auto"/>
                      <w:bottom w:val="single" w:sz="4" w:space="0" w:color="auto"/>
                      <w:right w:val="single" w:sz="4" w:space="0" w:color="auto"/>
                    </w:tcBorders>
                    <w:vAlign w:val="center"/>
                  </w:tcPr>
                  <w:p w14:paraId="5822796D" w14:textId="77777777" w:rsidR="00830E72" w:rsidRDefault="008344D8">
                    <w:pPr>
                      <w:jc w:val="center"/>
                      <w:rPr>
                        <w:szCs w:val="21"/>
                      </w:rPr>
                    </w:pPr>
                    <w:r>
                      <w:rPr>
                        <w:rFonts w:hint="eastAsia"/>
                        <w:szCs w:val="21"/>
                      </w:rPr>
                      <w:t>计提比例</w:t>
                    </w:r>
                    <w:r>
                      <w:rPr>
                        <w:szCs w:val="21"/>
                      </w:rPr>
                      <w:t>(%)</w:t>
                    </w:r>
                  </w:p>
                </w:tc>
              </w:sdtContent>
            </w:sdt>
            <w:tc>
              <w:tcPr>
                <w:tcW w:w="628" w:type="pct"/>
                <w:vMerge/>
                <w:tcBorders>
                  <w:left w:val="single" w:sz="4" w:space="0" w:color="auto"/>
                  <w:bottom w:val="single" w:sz="4" w:space="0" w:color="auto"/>
                  <w:right w:val="single" w:sz="4" w:space="0" w:color="auto"/>
                </w:tcBorders>
                <w:vAlign w:val="center"/>
              </w:tcPr>
              <w:p w14:paraId="3D993BD1" w14:textId="77777777" w:rsidR="00830E72" w:rsidRDefault="00830E72">
                <w:pPr>
                  <w:jc w:val="center"/>
                  <w:rPr>
                    <w:szCs w:val="21"/>
                  </w:rPr>
                </w:pPr>
              </w:p>
            </w:tc>
            <w:sdt>
              <w:sdtPr>
                <w:tag w:val="_PLD_a5c1af5c86d545b993971c3da029159d"/>
                <w:id w:val="610097950"/>
                <w:lock w:val="sdtLocked"/>
              </w:sdtPr>
              <w:sdtEndPr/>
              <w:sdtContent>
                <w:tc>
                  <w:tcPr>
                    <w:tcW w:w="628" w:type="pct"/>
                    <w:tcBorders>
                      <w:left w:val="single" w:sz="4" w:space="0" w:color="auto"/>
                      <w:bottom w:val="single" w:sz="4" w:space="0" w:color="auto"/>
                      <w:right w:val="single" w:sz="4" w:space="0" w:color="auto"/>
                    </w:tcBorders>
                    <w:vAlign w:val="center"/>
                  </w:tcPr>
                  <w:p w14:paraId="3A988603" w14:textId="77777777" w:rsidR="00830E72" w:rsidRDefault="008344D8">
                    <w:pPr>
                      <w:jc w:val="center"/>
                      <w:rPr>
                        <w:szCs w:val="21"/>
                      </w:rPr>
                    </w:pPr>
                    <w:r>
                      <w:rPr>
                        <w:rFonts w:hint="eastAsia"/>
                        <w:szCs w:val="21"/>
                      </w:rPr>
                      <w:t>金额</w:t>
                    </w:r>
                  </w:p>
                </w:tc>
              </w:sdtContent>
            </w:sdt>
            <w:sdt>
              <w:sdtPr>
                <w:tag w:val="_PLD_fd80073c74724a799d0de2171d95f241"/>
                <w:id w:val="-936448568"/>
                <w:lock w:val="sdtLocked"/>
              </w:sdtPr>
              <w:sdtEndPr/>
              <w:sdtContent>
                <w:tc>
                  <w:tcPr>
                    <w:tcW w:w="250" w:type="pct"/>
                    <w:tcBorders>
                      <w:left w:val="single" w:sz="4" w:space="0" w:color="auto"/>
                      <w:bottom w:val="single" w:sz="4" w:space="0" w:color="auto"/>
                      <w:right w:val="single" w:sz="4" w:space="0" w:color="auto"/>
                    </w:tcBorders>
                    <w:vAlign w:val="center"/>
                  </w:tcPr>
                  <w:p w14:paraId="0859E6B4" w14:textId="77777777" w:rsidR="00830E72" w:rsidRDefault="008344D8">
                    <w:pPr>
                      <w:jc w:val="center"/>
                      <w:rPr>
                        <w:szCs w:val="21"/>
                      </w:rPr>
                    </w:pPr>
                    <w:r>
                      <w:rPr>
                        <w:rFonts w:hint="eastAsia"/>
                        <w:szCs w:val="21"/>
                      </w:rPr>
                      <w:t>比例</w:t>
                    </w:r>
                    <w:r>
                      <w:rPr>
                        <w:szCs w:val="21"/>
                      </w:rPr>
                      <w:t>(%)</w:t>
                    </w:r>
                  </w:p>
                </w:tc>
              </w:sdtContent>
            </w:sdt>
            <w:sdt>
              <w:sdtPr>
                <w:tag w:val="_PLD_917059b3ee7f4b52afe8c3fa58f3e369"/>
                <w:id w:val="2039238777"/>
                <w:lock w:val="sdtLocked"/>
              </w:sdtPr>
              <w:sdtEndPr/>
              <w:sdtContent>
                <w:tc>
                  <w:tcPr>
                    <w:tcW w:w="553" w:type="pct"/>
                    <w:tcBorders>
                      <w:left w:val="single" w:sz="4" w:space="0" w:color="auto"/>
                      <w:bottom w:val="single" w:sz="4" w:space="0" w:color="auto"/>
                      <w:right w:val="single" w:sz="4" w:space="0" w:color="auto"/>
                    </w:tcBorders>
                    <w:vAlign w:val="center"/>
                  </w:tcPr>
                  <w:p w14:paraId="7BF4310C" w14:textId="77777777" w:rsidR="00830E72" w:rsidRDefault="008344D8">
                    <w:pPr>
                      <w:jc w:val="center"/>
                      <w:rPr>
                        <w:szCs w:val="21"/>
                      </w:rPr>
                    </w:pPr>
                    <w:r>
                      <w:rPr>
                        <w:rFonts w:hint="eastAsia"/>
                        <w:szCs w:val="21"/>
                      </w:rPr>
                      <w:t>金额</w:t>
                    </w:r>
                  </w:p>
                </w:tc>
              </w:sdtContent>
            </w:sdt>
            <w:sdt>
              <w:sdtPr>
                <w:tag w:val="_PLD_ea90ccc029834397956c79bbe869d343"/>
                <w:id w:val="899104098"/>
                <w:lock w:val="sdtLocked"/>
              </w:sdtPr>
              <w:sdtEndPr/>
              <w:sdtContent>
                <w:tc>
                  <w:tcPr>
                    <w:tcW w:w="174" w:type="pct"/>
                    <w:tcBorders>
                      <w:left w:val="single" w:sz="4" w:space="0" w:color="auto"/>
                      <w:bottom w:val="single" w:sz="4" w:space="0" w:color="auto"/>
                      <w:right w:val="single" w:sz="4" w:space="0" w:color="auto"/>
                    </w:tcBorders>
                    <w:vAlign w:val="center"/>
                  </w:tcPr>
                  <w:p w14:paraId="620A9943" w14:textId="77777777" w:rsidR="00830E72" w:rsidRDefault="008344D8">
                    <w:pPr>
                      <w:jc w:val="center"/>
                      <w:rPr>
                        <w:szCs w:val="21"/>
                      </w:rPr>
                    </w:pPr>
                    <w:r>
                      <w:rPr>
                        <w:rFonts w:hint="eastAsia"/>
                        <w:szCs w:val="21"/>
                      </w:rPr>
                      <w:t>计提比例</w:t>
                    </w:r>
                    <w:r>
                      <w:rPr>
                        <w:szCs w:val="21"/>
                      </w:rPr>
                      <w:t>(%)</w:t>
                    </w:r>
                  </w:p>
                </w:tc>
              </w:sdtContent>
            </w:sdt>
            <w:tc>
              <w:tcPr>
                <w:tcW w:w="628" w:type="pct"/>
                <w:vMerge/>
                <w:tcBorders>
                  <w:left w:val="single" w:sz="4" w:space="0" w:color="auto"/>
                  <w:bottom w:val="single" w:sz="4" w:space="0" w:color="auto"/>
                  <w:right w:val="single" w:sz="4" w:space="0" w:color="auto"/>
                </w:tcBorders>
              </w:tcPr>
              <w:p w14:paraId="4BA67B94" w14:textId="77777777" w:rsidR="00830E72" w:rsidRDefault="00830E72">
                <w:pPr>
                  <w:jc w:val="center"/>
                  <w:rPr>
                    <w:szCs w:val="21"/>
                  </w:rPr>
                </w:pPr>
              </w:p>
            </w:tc>
          </w:tr>
          <w:tr w:rsidR="00830E72" w14:paraId="733DF642" w14:textId="77777777">
            <w:trPr>
              <w:cantSplit/>
            </w:trPr>
            <w:sdt>
              <w:sdtPr>
                <w:tag w:val="_PLD_d8f2e8353bc54fe8b730d8cdf873f57c"/>
                <w:id w:val="685094836"/>
                <w:lock w:val="sdtLocked"/>
              </w:sdtPr>
              <w:sdtEndPr/>
              <w:sdtContent>
                <w:tc>
                  <w:tcPr>
                    <w:tcW w:w="535" w:type="pct"/>
                    <w:tcBorders>
                      <w:top w:val="single" w:sz="4" w:space="0" w:color="auto"/>
                      <w:left w:val="single" w:sz="4" w:space="0" w:color="auto"/>
                      <w:bottom w:val="single" w:sz="4" w:space="0" w:color="auto"/>
                      <w:right w:val="single" w:sz="4" w:space="0" w:color="auto"/>
                    </w:tcBorders>
                  </w:tcPr>
                  <w:p w14:paraId="3B1FE47E" w14:textId="77777777" w:rsidR="00830E72" w:rsidRDefault="008344D8">
                    <w:pPr>
                      <w:jc w:val="both"/>
                      <w:rPr>
                        <w:szCs w:val="21"/>
                      </w:rPr>
                    </w:pPr>
                    <w:r>
                      <w:rPr>
                        <w:rFonts w:hint="eastAsia"/>
                        <w:szCs w:val="21"/>
                      </w:rPr>
                      <w:t>按单项计提坏账准备</w:t>
                    </w:r>
                  </w:p>
                </w:tc>
              </w:sdtContent>
            </w:sdt>
            <w:tc>
              <w:tcPr>
                <w:tcW w:w="628" w:type="pct"/>
                <w:tcBorders>
                  <w:top w:val="single" w:sz="4" w:space="0" w:color="auto"/>
                  <w:left w:val="single" w:sz="4" w:space="0" w:color="auto"/>
                  <w:bottom w:val="single" w:sz="4" w:space="0" w:color="auto"/>
                  <w:right w:val="single" w:sz="4" w:space="0" w:color="auto"/>
                </w:tcBorders>
              </w:tcPr>
              <w:p w14:paraId="518D8FFD" w14:textId="77777777" w:rsidR="00830E72" w:rsidRDefault="00830E72">
                <w:pPr>
                  <w:jc w:val="right"/>
                  <w:rPr>
                    <w:szCs w:val="21"/>
                  </w:rPr>
                </w:pPr>
              </w:p>
            </w:tc>
            <w:tc>
              <w:tcPr>
                <w:tcW w:w="250" w:type="pct"/>
                <w:tcBorders>
                  <w:top w:val="single" w:sz="4" w:space="0" w:color="auto"/>
                  <w:left w:val="single" w:sz="4" w:space="0" w:color="auto"/>
                  <w:bottom w:val="single" w:sz="4" w:space="0" w:color="auto"/>
                  <w:right w:val="single" w:sz="4" w:space="0" w:color="auto"/>
                </w:tcBorders>
              </w:tcPr>
              <w:p w14:paraId="3ED9AB10" w14:textId="77777777" w:rsidR="00830E72" w:rsidRDefault="00830E72">
                <w:pPr>
                  <w:jc w:val="right"/>
                  <w:rPr>
                    <w:szCs w:val="21"/>
                  </w:rPr>
                </w:pPr>
              </w:p>
            </w:tc>
            <w:tc>
              <w:tcPr>
                <w:tcW w:w="553" w:type="pct"/>
                <w:tcBorders>
                  <w:top w:val="single" w:sz="4" w:space="0" w:color="auto"/>
                  <w:left w:val="single" w:sz="4" w:space="0" w:color="auto"/>
                  <w:bottom w:val="single" w:sz="4" w:space="0" w:color="auto"/>
                  <w:right w:val="single" w:sz="4" w:space="0" w:color="auto"/>
                </w:tcBorders>
              </w:tcPr>
              <w:p w14:paraId="3F844999" w14:textId="77777777" w:rsidR="00830E72" w:rsidRDefault="00830E72">
                <w:pPr>
                  <w:jc w:val="right"/>
                  <w:rPr>
                    <w:szCs w:val="21"/>
                  </w:rPr>
                </w:pPr>
              </w:p>
            </w:tc>
            <w:tc>
              <w:tcPr>
                <w:tcW w:w="174" w:type="pct"/>
                <w:tcBorders>
                  <w:top w:val="single" w:sz="4" w:space="0" w:color="auto"/>
                  <w:left w:val="single" w:sz="4" w:space="0" w:color="auto"/>
                  <w:bottom w:val="single" w:sz="4" w:space="0" w:color="auto"/>
                  <w:right w:val="single" w:sz="4" w:space="0" w:color="auto"/>
                </w:tcBorders>
              </w:tcPr>
              <w:p w14:paraId="510842AE" w14:textId="77777777" w:rsidR="00830E72" w:rsidRDefault="00830E72">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44F2EDB8" w14:textId="77777777" w:rsidR="00830E72" w:rsidRDefault="00830E72">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369683E3" w14:textId="77777777" w:rsidR="00830E72" w:rsidRDefault="00830E72">
                <w:pPr>
                  <w:jc w:val="right"/>
                  <w:rPr>
                    <w:szCs w:val="21"/>
                  </w:rPr>
                </w:pPr>
              </w:p>
            </w:tc>
            <w:tc>
              <w:tcPr>
                <w:tcW w:w="250" w:type="pct"/>
                <w:tcBorders>
                  <w:top w:val="single" w:sz="4" w:space="0" w:color="auto"/>
                  <w:left w:val="single" w:sz="4" w:space="0" w:color="auto"/>
                  <w:bottom w:val="single" w:sz="4" w:space="0" w:color="auto"/>
                  <w:right w:val="single" w:sz="4" w:space="0" w:color="auto"/>
                </w:tcBorders>
              </w:tcPr>
              <w:p w14:paraId="474E5F5A" w14:textId="77777777" w:rsidR="00830E72" w:rsidRDefault="00830E72">
                <w:pPr>
                  <w:jc w:val="right"/>
                  <w:rPr>
                    <w:szCs w:val="21"/>
                  </w:rPr>
                </w:pPr>
              </w:p>
            </w:tc>
            <w:tc>
              <w:tcPr>
                <w:tcW w:w="553" w:type="pct"/>
                <w:tcBorders>
                  <w:top w:val="single" w:sz="4" w:space="0" w:color="auto"/>
                  <w:left w:val="single" w:sz="4" w:space="0" w:color="auto"/>
                  <w:bottom w:val="single" w:sz="4" w:space="0" w:color="auto"/>
                  <w:right w:val="single" w:sz="4" w:space="0" w:color="auto"/>
                </w:tcBorders>
              </w:tcPr>
              <w:p w14:paraId="24ACC8E7" w14:textId="77777777" w:rsidR="00830E72" w:rsidRDefault="00830E72">
                <w:pPr>
                  <w:jc w:val="right"/>
                  <w:rPr>
                    <w:szCs w:val="21"/>
                  </w:rPr>
                </w:pPr>
              </w:p>
            </w:tc>
            <w:tc>
              <w:tcPr>
                <w:tcW w:w="174" w:type="pct"/>
                <w:tcBorders>
                  <w:top w:val="single" w:sz="4" w:space="0" w:color="auto"/>
                  <w:left w:val="single" w:sz="4" w:space="0" w:color="auto"/>
                  <w:bottom w:val="single" w:sz="4" w:space="0" w:color="auto"/>
                  <w:right w:val="single" w:sz="4" w:space="0" w:color="auto"/>
                </w:tcBorders>
              </w:tcPr>
              <w:p w14:paraId="13A40B28" w14:textId="77777777" w:rsidR="00830E72" w:rsidRDefault="00830E72">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174CAAB7" w14:textId="77777777" w:rsidR="00830E72" w:rsidRDefault="00830E72">
                <w:pPr>
                  <w:jc w:val="right"/>
                  <w:rPr>
                    <w:szCs w:val="21"/>
                  </w:rPr>
                </w:pPr>
              </w:p>
            </w:tc>
          </w:tr>
          <w:tr w:rsidR="00830E72" w14:paraId="1C91EFAF" w14:textId="77777777">
            <w:trPr>
              <w:cantSplit/>
            </w:trPr>
            <w:sdt>
              <w:sdtPr>
                <w:tag w:val="_PLD_8ec8b92b0ab24a78ae82ff991696133e"/>
                <w:id w:val="-1339069896"/>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2B1D42A1" w14:textId="77777777" w:rsidR="00830E72" w:rsidRDefault="008344D8">
                    <w:pPr>
                      <w:rPr>
                        <w:szCs w:val="21"/>
                      </w:rPr>
                    </w:pPr>
                    <w:r>
                      <w:rPr>
                        <w:rFonts w:hint="eastAsia"/>
                        <w:szCs w:val="21"/>
                      </w:rPr>
                      <w:t>其中：</w:t>
                    </w:r>
                  </w:p>
                </w:tc>
              </w:sdtContent>
            </w:sdt>
          </w:tr>
          <w:tr w:rsidR="00830E72" w14:paraId="75761B7F" w14:textId="77777777">
            <w:trPr>
              <w:cantSplit/>
            </w:trPr>
            <w:sdt>
              <w:sdtPr>
                <w:tag w:val="_PLD_c2fb108392ea494fbb3dda9bd8528dd0"/>
                <w:id w:val="1739124763"/>
                <w:lock w:val="sdtLocked"/>
              </w:sdtPr>
              <w:sdtEndPr/>
              <w:sdtContent>
                <w:tc>
                  <w:tcPr>
                    <w:tcW w:w="535" w:type="pct"/>
                    <w:tcBorders>
                      <w:top w:val="single" w:sz="4" w:space="0" w:color="auto"/>
                      <w:left w:val="single" w:sz="4" w:space="0" w:color="auto"/>
                      <w:bottom w:val="single" w:sz="4" w:space="0" w:color="auto"/>
                      <w:right w:val="single" w:sz="4" w:space="0" w:color="auto"/>
                    </w:tcBorders>
                  </w:tcPr>
                  <w:p w14:paraId="25A4D435" w14:textId="77777777" w:rsidR="00830E72" w:rsidRDefault="008344D8">
                    <w:pPr>
                      <w:jc w:val="both"/>
                      <w:rPr>
                        <w:szCs w:val="21"/>
                      </w:rPr>
                    </w:pPr>
                    <w:r>
                      <w:rPr>
                        <w:rFonts w:hint="eastAsia"/>
                        <w:szCs w:val="21"/>
                      </w:rPr>
                      <w:t>按组合计提坏账准备</w:t>
                    </w:r>
                  </w:p>
                </w:tc>
              </w:sdtContent>
            </w:sdt>
            <w:tc>
              <w:tcPr>
                <w:tcW w:w="628" w:type="pct"/>
                <w:tcBorders>
                  <w:top w:val="single" w:sz="4" w:space="0" w:color="auto"/>
                  <w:left w:val="single" w:sz="4" w:space="0" w:color="auto"/>
                  <w:bottom w:val="single" w:sz="4" w:space="0" w:color="auto"/>
                  <w:right w:val="single" w:sz="4" w:space="0" w:color="auto"/>
                </w:tcBorders>
                <w:vAlign w:val="center"/>
              </w:tcPr>
              <w:p w14:paraId="3F6DC19B" w14:textId="77777777" w:rsidR="00830E72" w:rsidRDefault="008344D8">
                <w:pPr>
                  <w:jc w:val="right"/>
                  <w:rPr>
                    <w:szCs w:val="21"/>
                  </w:rPr>
                </w:pPr>
                <w:r>
                  <w:rPr>
                    <w:rFonts w:hint="eastAsia"/>
                  </w:rPr>
                  <w:t>2,255,434,012.69</w:t>
                </w:r>
              </w:p>
            </w:tc>
            <w:tc>
              <w:tcPr>
                <w:tcW w:w="250" w:type="pct"/>
                <w:tcBorders>
                  <w:top w:val="single" w:sz="4" w:space="0" w:color="auto"/>
                  <w:left w:val="single" w:sz="4" w:space="0" w:color="auto"/>
                  <w:bottom w:val="single" w:sz="4" w:space="0" w:color="auto"/>
                  <w:right w:val="single" w:sz="4" w:space="0" w:color="auto"/>
                </w:tcBorders>
                <w:vAlign w:val="center"/>
              </w:tcPr>
              <w:p w14:paraId="70A934AB" w14:textId="77777777" w:rsidR="00830E72" w:rsidRDefault="008344D8">
                <w:pPr>
                  <w:jc w:val="right"/>
                  <w:rPr>
                    <w:szCs w:val="21"/>
                  </w:rPr>
                </w:pPr>
                <w:r>
                  <w:rPr>
                    <w:rFonts w:hint="eastAsia"/>
                  </w:rPr>
                  <w:t>100.00</w:t>
                </w:r>
              </w:p>
            </w:tc>
            <w:tc>
              <w:tcPr>
                <w:tcW w:w="553" w:type="pct"/>
                <w:tcBorders>
                  <w:top w:val="single" w:sz="4" w:space="0" w:color="auto"/>
                  <w:left w:val="single" w:sz="4" w:space="0" w:color="auto"/>
                  <w:bottom w:val="single" w:sz="4" w:space="0" w:color="auto"/>
                  <w:right w:val="single" w:sz="4" w:space="0" w:color="auto"/>
                </w:tcBorders>
                <w:vAlign w:val="center"/>
              </w:tcPr>
              <w:p w14:paraId="26566A66" w14:textId="77777777" w:rsidR="00830E72" w:rsidRDefault="008344D8">
                <w:pPr>
                  <w:jc w:val="right"/>
                  <w:rPr>
                    <w:szCs w:val="21"/>
                  </w:rPr>
                </w:pPr>
                <w:r>
                  <w:rPr>
                    <w:rFonts w:hint="eastAsia"/>
                  </w:rPr>
                  <w:t>151,378,387.66</w:t>
                </w:r>
              </w:p>
            </w:tc>
            <w:tc>
              <w:tcPr>
                <w:tcW w:w="174" w:type="pct"/>
                <w:tcBorders>
                  <w:top w:val="single" w:sz="4" w:space="0" w:color="auto"/>
                  <w:left w:val="single" w:sz="4" w:space="0" w:color="auto"/>
                  <w:bottom w:val="single" w:sz="4" w:space="0" w:color="auto"/>
                  <w:right w:val="single" w:sz="4" w:space="0" w:color="auto"/>
                </w:tcBorders>
                <w:vAlign w:val="center"/>
              </w:tcPr>
              <w:p w14:paraId="5C3CA2A5" w14:textId="77777777" w:rsidR="00830E72" w:rsidRDefault="008344D8">
                <w:pPr>
                  <w:jc w:val="right"/>
                  <w:rPr>
                    <w:szCs w:val="21"/>
                  </w:rPr>
                </w:pPr>
                <w:r>
                  <w:rPr>
                    <w:rFonts w:hint="eastAsia"/>
                  </w:rPr>
                  <w:t>6.71</w:t>
                </w:r>
              </w:p>
            </w:tc>
            <w:tc>
              <w:tcPr>
                <w:tcW w:w="628" w:type="pct"/>
                <w:tcBorders>
                  <w:top w:val="single" w:sz="4" w:space="0" w:color="auto"/>
                  <w:left w:val="single" w:sz="4" w:space="0" w:color="auto"/>
                  <w:bottom w:val="single" w:sz="4" w:space="0" w:color="auto"/>
                  <w:right w:val="single" w:sz="4" w:space="0" w:color="auto"/>
                </w:tcBorders>
                <w:vAlign w:val="center"/>
              </w:tcPr>
              <w:p w14:paraId="1D387ABF" w14:textId="77777777" w:rsidR="00830E72" w:rsidRDefault="008344D8">
                <w:pPr>
                  <w:jc w:val="right"/>
                  <w:rPr>
                    <w:szCs w:val="21"/>
                  </w:rPr>
                </w:pPr>
                <w:r>
                  <w:rPr>
                    <w:rFonts w:hint="eastAsia"/>
                  </w:rPr>
                  <w:t>2,104,055,625.03</w:t>
                </w:r>
              </w:p>
            </w:tc>
            <w:tc>
              <w:tcPr>
                <w:tcW w:w="628" w:type="pct"/>
                <w:tcBorders>
                  <w:top w:val="single" w:sz="4" w:space="0" w:color="auto"/>
                  <w:left w:val="single" w:sz="4" w:space="0" w:color="auto"/>
                  <w:bottom w:val="single" w:sz="4" w:space="0" w:color="auto"/>
                  <w:right w:val="single" w:sz="4" w:space="0" w:color="auto"/>
                </w:tcBorders>
                <w:vAlign w:val="center"/>
              </w:tcPr>
              <w:p w14:paraId="1AC9ACF5" w14:textId="77777777" w:rsidR="00830E72" w:rsidRDefault="008344D8">
                <w:pPr>
                  <w:jc w:val="right"/>
                  <w:rPr>
                    <w:szCs w:val="21"/>
                  </w:rPr>
                </w:pPr>
                <w:r>
                  <w:rPr>
                    <w:rFonts w:hint="eastAsia"/>
                  </w:rPr>
                  <w:t>2,269,036,463.53</w:t>
                </w:r>
              </w:p>
            </w:tc>
            <w:tc>
              <w:tcPr>
                <w:tcW w:w="250" w:type="pct"/>
                <w:tcBorders>
                  <w:top w:val="single" w:sz="4" w:space="0" w:color="auto"/>
                  <w:left w:val="single" w:sz="4" w:space="0" w:color="auto"/>
                  <w:bottom w:val="single" w:sz="4" w:space="0" w:color="auto"/>
                  <w:right w:val="single" w:sz="4" w:space="0" w:color="auto"/>
                </w:tcBorders>
                <w:vAlign w:val="center"/>
              </w:tcPr>
              <w:p w14:paraId="45FCF5FD" w14:textId="77777777" w:rsidR="00830E72" w:rsidRDefault="008344D8">
                <w:pPr>
                  <w:jc w:val="right"/>
                  <w:rPr>
                    <w:szCs w:val="21"/>
                  </w:rPr>
                </w:pPr>
                <w:r>
                  <w:rPr>
                    <w:rFonts w:hint="eastAsia"/>
                  </w:rPr>
                  <w:t>100.00</w:t>
                </w:r>
              </w:p>
            </w:tc>
            <w:tc>
              <w:tcPr>
                <w:tcW w:w="553" w:type="pct"/>
                <w:tcBorders>
                  <w:top w:val="single" w:sz="4" w:space="0" w:color="auto"/>
                  <w:left w:val="single" w:sz="4" w:space="0" w:color="auto"/>
                  <w:bottom w:val="single" w:sz="4" w:space="0" w:color="auto"/>
                  <w:right w:val="single" w:sz="4" w:space="0" w:color="auto"/>
                </w:tcBorders>
                <w:vAlign w:val="center"/>
              </w:tcPr>
              <w:p w14:paraId="1475D397" w14:textId="77777777" w:rsidR="00830E72" w:rsidRDefault="008344D8">
                <w:pPr>
                  <w:jc w:val="right"/>
                  <w:rPr>
                    <w:szCs w:val="21"/>
                  </w:rPr>
                </w:pPr>
                <w:r>
                  <w:rPr>
                    <w:rFonts w:hint="eastAsia"/>
                  </w:rPr>
                  <w:t>154,904,355.70</w:t>
                </w:r>
              </w:p>
            </w:tc>
            <w:tc>
              <w:tcPr>
                <w:tcW w:w="174" w:type="pct"/>
                <w:tcBorders>
                  <w:top w:val="single" w:sz="4" w:space="0" w:color="auto"/>
                  <w:left w:val="single" w:sz="4" w:space="0" w:color="auto"/>
                  <w:bottom w:val="single" w:sz="4" w:space="0" w:color="auto"/>
                  <w:right w:val="single" w:sz="4" w:space="0" w:color="auto"/>
                </w:tcBorders>
                <w:vAlign w:val="center"/>
              </w:tcPr>
              <w:p w14:paraId="0742F1D2" w14:textId="77777777" w:rsidR="00830E72" w:rsidRDefault="008344D8">
                <w:pPr>
                  <w:jc w:val="right"/>
                  <w:rPr>
                    <w:szCs w:val="21"/>
                  </w:rPr>
                </w:pPr>
                <w:r>
                  <w:rPr>
                    <w:rFonts w:hint="eastAsia"/>
                  </w:rPr>
                  <w:t>6.83</w:t>
                </w:r>
              </w:p>
            </w:tc>
            <w:tc>
              <w:tcPr>
                <w:tcW w:w="628" w:type="pct"/>
                <w:tcBorders>
                  <w:top w:val="single" w:sz="4" w:space="0" w:color="auto"/>
                  <w:left w:val="single" w:sz="4" w:space="0" w:color="auto"/>
                  <w:bottom w:val="single" w:sz="4" w:space="0" w:color="auto"/>
                  <w:right w:val="single" w:sz="4" w:space="0" w:color="auto"/>
                </w:tcBorders>
                <w:vAlign w:val="center"/>
              </w:tcPr>
              <w:p w14:paraId="2E43ADFA" w14:textId="77777777" w:rsidR="00830E72" w:rsidRDefault="008344D8">
                <w:pPr>
                  <w:jc w:val="right"/>
                  <w:rPr>
                    <w:szCs w:val="21"/>
                  </w:rPr>
                </w:pPr>
                <w:r>
                  <w:rPr>
                    <w:rFonts w:hint="eastAsia"/>
                  </w:rPr>
                  <w:t>2,114,132,107.83</w:t>
                </w:r>
              </w:p>
            </w:tc>
          </w:tr>
          <w:tr w:rsidR="00830E72" w14:paraId="4477DA4E" w14:textId="77777777">
            <w:trPr>
              <w:cantSplit/>
            </w:trPr>
            <w:sdt>
              <w:sdtPr>
                <w:tag w:val="_PLD_bd68cdc38a0e426ea1ec99be844140b3"/>
                <w:id w:val="-2114743748"/>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4F09C282" w14:textId="77777777" w:rsidR="00830E72" w:rsidRDefault="008344D8">
                    <w:pPr>
                      <w:rPr>
                        <w:szCs w:val="21"/>
                      </w:rPr>
                    </w:pPr>
                    <w:r>
                      <w:rPr>
                        <w:rFonts w:hint="eastAsia"/>
                        <w:szCs w:val="21"/>
                      </w:rPr>
                      <w:t>其中：</w:t>
                    </w:r>
                  </w:p>
                </w:tc>
              </w:sdtContent>
            </w:sdt>
          </w:tr>
          <w:sdt>
            <w:sdtPr>
              <w:rPr>
                <w:szCs w:val="21"/>
              </w:rPr>
              <w:alias w:val="按组合计提坏账准备的应收账款明细"/>
              <w:tag w:val="_TUP_d12105eecf1f43bb9d549b5dd7af65bd"/>
              <w:id w:val="941193515"/>
              <w:lock w:val="sdtLocked"/>
            </w:sdtPr>
            <w:sdtEndPr/>
            <w:sdtContent>
              <w:tr w:rsidR="00830E72" w14:paraId="71C7D29F" w14:textId="77777777">
                <w:trPr>
                  <w:cantSplit/>
                </w:trPr>
                <w:sdt>
                  <w:sdtPr>
                    <w:rPr>
                      <w:szCs w:val="21"/>
                    </w:rPr>
                    <w:alias w:val="按组合计提坏账准备的应收账款明细-组合名称"/>
                    <w:tag w:val="_GBC_1d1150cff5254d829cba03da56c2e941"/>
                    <w:id w:val="-1507748323"/>
                    <w:lock w:val="sdtLocked"/>
                  </w:sdtPr>
                  <w:sdtEndPr/>
                  <w:sdtContent>
                    <w:tc>
                      <w:tcPr>
                        <w:tcW w:w="535" w:type="pct"/>
                        <w:tcBorders>
                          <w:top w:val="single" w:sz="4" w:space="0" w:color="auto"/>
                          <w:left w:val="single" w:sz="4" w:space="0" w:color="auto"/>
                          <w:bottom w:val="single" w:sz="4" w:space="0" w:color="auto"/>
                          <w:right w:val="single" w:sz="4" w:space="0" w:color="auto"/>
                        </w:tcBorders>
                      </w:tcPr>
                      <w:p w14:paraId="44FEBD73" w14:textId="77777777" w:rsidR="00830E72" w:rsidRDefault="008344D8">
                        <w:pPr>
                          <w:jc w:val="both"/>
                          <w:rPr>
                            <w:color w:val="808080"/>
                            <w:szCs w:val="21"/>
                          </w:rPr>
                        </w:pPr>
                        <w:r>
                          <w:rPr>
                            <w:szCs w:val="21"/>
                          </w:rPr>
                          <w:t>应收合并范围内关联方</w:t>
                        </w:r>
                      </w:p>
                    </w:tc>
                  </w:sdtContent>
                </w:sdt>
                <w:tc>
                  <w:tcPr>
                    <w:tcW w:w="628" w:type="pct"/>
                    <w:tcBorders>
                      <w:top w:val="single" w:sz="4" w:space="0" w:color="auto"/>
                      <w:left w:val="single" w:sz="4" w:space="0" w:color="auto"/>
                      <w:bottom w:val="single" w:sz="4" w:space="0" w:color="auto"/>
                      <w:right w:val="single" w:sz="4" w:space="0" w:color="auto"/>
                    </w:tcBorders>
                    <w:vAlign w:val="center"/>
                  </w:tcPr>
                  <w:p w14:paraId="7BB6B9D1" w14:textId="77777777" w:rsidR="00830E72" w:rsidRDefault="008344D8">
                    <w:pPr>
                      <w:jc w:val="right"/>
                      <w:rPr>
                        <w:szCs w:val="21"/>
                      </w:rPr>
                    </w:pPr>
                    <w:r>
                      <w:rPr>
                        <w:rFonts w:hint="eastAsia"/>
                      </w:rPr>
                      <w:t>81,641,547.92</w:t>
                    </w:r>
                  </w:p>
                </w:tc>
                <w:tc>
                  <w:tcPr>
                    <w:tcW w:w="250" w:type="pct"/>
                    <w:tcBorders>
                      <w:top w:val="single" w:sz="4" w:space="0" w:color="auto"/>
                      <w:left w:val="single" w:sz="4" w:space="0" w:color="auto"/>
                      <w:bottom w:val="single" w:sz="4" w:space="0" w:color="auto"/>
                      <w:right w:val="single" w:sz="4" w:space="0" w:color="auto"/>
                    </w:tcBorders>
                    <w:vAlign w:val="center"/>
                  </w:tcPr>
                  <w:p w14:paraId="2C038D59" w14:textId="77777777" w:rsidR="00830E72" w:rsidRDefault="008344D8">
                    <w:pPr>
                      <w:jc w:val="right"/>
                      <w:rPr>
                        <w:szCs w:val="21"/>
                      </w:rPr>
                    </w:pPr>
                    <w:r>
                      <w:rPr>
                        <w:rFonts w:hint="eastAsia"/>
                      </w:rPr>
                      <w:t>3.62</w:t>
                    </w:r>
                  </w:p>
                </w:tc>
                <w:tc>
                  <w:tcPr>
                    <w:tcW w:w="553" w:type="pct"/>
                    <w:tcBorders>
                      <w:top w:val="single" w:sz="4" w:space="0" w:color="auto"/>
                      <w:left w:val="single" w:sz="4" w:space="0" w:color="auto"/>
                      <w:bottom w:val="single" w:sz="4" w:space="0" w:color="auto"/>
                      <w:right w:val="single" w:sz="4" w:space="0" w:color="auto"/>
                    </w:tcBorders>
                    <w:vAlign w:val="center"/>
                  </w:tcPr>
                  <w:p w14:paraId="1F526414" w14:textId="77777777" w:rsidR="00830E72" w:rsidRDefault="00830E72">
                    <w:pPr>
                      <w:jc w:val="right"/>
                      <w:rPr>
                        <w:szCs w:val="21"/>
                      </w:rPr>
                    </w:pPr>
                  </w:p>
                </w:tc>
                <w:tc>
                  <w:tcPr>
                    <w:tcW w:w="174" w:type="pct"/>
                    <w:tcBorders>
                      <w:top w:val="single" w:sz="4" w:space="0" w:color="auto"/>
                      <w:left w:val="single" w:sz="4" w:space="0" w:color="auto"/>
                      <w:bottom w:val="single" w:sz="4" w:space="0" w:color="auto"/>
                      <w:right w:val="single" w:sz="4" w:space="0" w:color="auto"/>
                    </w:tcBorders>
                    <w:vAlign w:val="center"/>
                  </w:tcPr>
                  <w:p w14:paraId="36D61774" w14:textId="77777777" w:rsidR="00830E72" w:rsidRDefault="00830E72">
                    <w:pPr>
                      <w:jc w:val="right"/>
                      <w:rPr>
                        <w:szCs w:val="21"/>
                      </w:rPr>
                    </w:pPr>
                  </w:p>
                </w:tc>
                <w:tc>
                  <w:tcPr>
                    <w:tcW w:w="628" w:type="pct"/>
                    <w:tcBorders>
                      <w:top w:val="single" w:sz="4" w:space="0" w:color="auto"/>
                      <w:left w:val="single" w:sz="4" w:space="0" w:color="auto"/>
                      <w:bottom w:val="single" w:sz="4" w:space="0" w:color="auto"/>
                      <w:right w:val="single" w:sz="4" w:space="0" w:color="auto"/>
                    </w:tcBorders>
                    <w:vAlign w:val="center"/>
                  </w:tcPr>
                  <w:p w14:paraId="4E4E7BDB" w14:textId="77777777" w:rsidR="00830E72" w:rsidRDefault="008344D8">
                    <w:pPr>
                      <w:jc w:val="right"/>
                      <w:rPr>
                        <w:szCs w:val="21"/>
                      </w:rPr>
                    </w:pPr>
                    <w:r>
                      <w:rPr>
                        <w:rFonts w:hint="eastAsia"/>
                      </w:rPr>
                      <w:t>81,641,547.92</w:t>
                    </w:r>
                  </w:p>
                </w:tc>
                <w:tc>
                  <w:tcPr>
                    <w:tcW w:w="628" w:type="pct"/>
                    <w:tcBorders>
                      <w:top w:val="single" w:sz="4" w:space="0" w:color="auto"/>
                      <w:left w:val="single" w:sz="4" w:space="0" w:color="auto"/>
                      <w:bottom w:val="single" w:sz="4" w:space="0" w:color="auto"/>
                      <w:right w:val="single" w:sz="4" w:space="0" w:color="auto"/>
                    </w:tcBorders>
                    <w:vAlign w:val="center"/>
                  </w:tcPr>
                  <w:p w14:paraId="33F25BAC" w14:textId="77777777" w:rsidR="00830E72" w:rsidRDefault="008344D8">
                    <w:pPr>
                      <w:jc w:val="right"/>
                      <w:rPr>
                        <w:szCs w:val="21"/>
                      </w:rPr>
                    </w:pPr>
                    <w:r>
                      <w:rPr>
                        <w:rFonts w:hint="eastAsia"/>
                      </w:rPr>
                      <w:t>124,047,112.53</w:t>
                    </w:r>
                  </w:p>
                </w:tc>
                <w:tc>
                  <w:tcPr>
                    <w:tcW w:w="250" w:type="pct"/>
                    <w:tcBorders>
                      <w:top w:val="single" w:sz="4" w:space="0" w:color="auto"/>
                      <w:left w:val="single" w:sz="4" w:space="0" w:color="auto"/>
                      <w:bottom w:val="single" w:sz="4" w:space="0" w:color="auto"/>
                      <w:right w:val="single" w:sz="4" w:space="0" w:color="auto"/>
                    </w:tcBorders>
                    <w:vAlign w:val="center"/>
                  </w:tcPr>
                  <w:p w14:paraId="73B3AA86" w14:textId="06DC6BAE" w:rsidR="00830E72" w:rsidRDefault="008344D8">
                    <w:pPr>
                      <w:jc w:val="right"/>
                      <w:rPr>
                        <w:szCs w:val="21"/>
                      </w:rPr>
                    </w:pPr>
                    <w:r>
                      <w:rPr>
                        <w:rFonts w:hint="eastAsia"/>
                      </w:rPr>
                      <w:t>5.4</w:t>
                    </w:r>
                    <w:r w:rsidR="007B4AE7">
                      <w:t>7</w:t>
                    </w:r>
                  </w:p>
                </w:tc>
                <w:tc>
                  <w:tcPr>
                    <w:tcW w:w="553" w:type="pct"/>
                    <w:tcBorders>
                      <w:top w:val="single" w:sz="4" w:space="0" w:color="auto"/>
                      <w:left w:val="single" w:sz="4" w:space="0" w:color="auto"/>
                      <w:bottom w:val="single" w:sz="4" w:space="0" w:color="auto"/>
                      <w:right w:val="single" w:sz="4" w:space="0" w:color="auto"/>
                    </w:tcBorders>
                    <w:vAlign w:val="center"/>
                  </w:tcPr>
                  <w:p w14:paraId="4EA1DD1A" w14:textId="77777777" w:rsidR="00830E72" w:rsidRDefault="00830E72">
                    <w:pPr>
                      <w:jc w:val="right"/>
                      <w:rPr>
                        <w:szCs w:val="21"/>
                      </w:rPr>
                    </w:pPr>
                  </w:p>
                </w:tc>
                <w:tc>
                  <w:tcPr>
                    <w:tcW w:w="174" w:type="pct"/>
                    <w:tcBorders>
                      <w:top w:val="single" w:sz="4" w:space="0" w:color="auto"/>
                      <w:left w:val="single" w:sz="4" w:space="0" w:color="auto"/>
                      <w:bottom w:val="single" w:sz="4" w:space="0" w:color="auto"/>
                      <w:right w:val="single" w:sz="4" w:space="0" w:color="auto"/>
                    </w:tcBorders>
                    <w:vAlign w:val="center"/>
                  </w:tcPr>
                  <w:p w14:paraId="32AC0331" w14:textId="77777777" w:rsidR="00830E72" w:rsidRDefault="00830E72">
                    <w:pPr>
                      <w:jc w:val="right"/>
                      <w:rPr>
                        <w:szCs w:val="21"/>
                      </w:rPr>
                    </w:pPr>
                  </w:p>
                </w:tc>
                <w:tc>
                  <w:tcPr>
                    <w:tcW w:w="628" w:type="pct"/>
                    <w:tcBorders>
                      <w:top w:val="single" w:sz="4" w:space="0" w:color="auto"/>
                      <w:left w:val="single" w:sz="4" w:space="0" w:color="auto"/>
                      <w:bottom w:val="single" w:sz="4" w:space="0" w:color="auto"/>
                      <w:right w:val="single" w:sz="4" w:space="0" w:color="auto"/>
                    </w:tcBorders>
                    <w:vAlign w:val="center"/>
                  </w:tcPr>
                  <w:p w14:paraId="0C0332FD" w14:textId="77777777" w:rsidR="00830E72" w:rsidRDefault="008344D8">
                    <w:pPr>
                      <w:jc w:val="right"/>
                      <w:rPr>
                        <w:szCs w:val="21"/>
                      </w:rPr>
                    </w:pPr>
                    <w:r>
                      <w:rPr>
                        <w:rFonts w:hint="eastAsia"/>
                      </w:rPr>
                      <w:t>124,047,112.53</w:t>
                    </w:r>
                  </w:p>
                </w:tc>
              </w:tr>
            </w:sdtContent>
          </w:sdt>
          <w:sdt>
            <w:sdtPr>
              <w:rPr>
                <w:szCs w:val="21"/>
              </w:rPr>
              <w:alias w:val="按组合计提坏账准备的应收账款明细"/>
              <w:tag w:val="_TUP_d12105eecf1f43bb9d549b5dd7af65bd"/>
              <w:id w:val="1504544134"/>
              <w:lock w:val="sdtLocked"/>
            </w:sdtPr>
            <w:sdtEndPr/>
            <w:sdtContent>
              <w:tr w:rsidR="00830E72" w14:paraId="59F5C1F2" w14:textId="77777777">
                <w:trPr>
                  <w:cantSplit/>
                </w:trPr>
                <w:sdt>
                  <w:sdtPr>
                    <w:rPr>
                      <w:szCs w:val="21"/>
                    </w:rPr>
                    <w:alias w:val="按组合计提坏账准备的应收账款明细-组合名称"/>
                    <w:tag w:val="_GBC_1d1150cff5254d829cba03da56c2e941"/>
                    <w:id w:val="-1361665237"/>
                    <w:lock w:val="sdtLocked"/>
                  </w:sdtPr>
                  <w:sdtEndPr/>
                  <w:sdtContent>
                    <w:tc>
                      <w:tcPr>
                        <w:tcW w:w="535" w:type="pct"/>
                        <w:tcBorders>
                          <w:top w:val="single" w:sz="4" w:space="0" w:color="auto"/>
                          <w:left w:val="single" w:sz="4" w:space="0" w:color="auto"/>
                          <w:bottom w:val="single" w:sz="4" w:space="0" w:color="auto"/>
                          <w:right w:val="single" w:sz="4" w:space="0" w:color="auto"/>
                        </w:tcBorders>
                      </w:tcPr>
                      <w:p w14:paraId="19E81F3E" w14:textId="77777777" w:rsidR="00830E72" w:rsidRDefault="008344D8">
                        <w:pPr>
                          <w:jc w:val="both"/>
                          <w:rPr>
                            <w:color w:val="808080"/>
                            <w:szCs w:val="21"/>
                          </w:rPr>
                        </w:pPr>
                        <w:r>
                          <w:rPr>
                            <w:szCs w:val="21"/>
                          </w:rPr>
                          <w:t>应收外部客户</w:t>
                        </w:r>
                      </w:p>
                    </w:tc>
                  </w:sdtContent>
                </w:sdt>
                <w:tc>
                  <w:tcPr>
                    <w:tcW w:w="628" w:type="pct"/>
                    <w:tcBorders>
                      <w:top w:val="single" w:sz="4" w:space="0" w:color="auto"/>
                      <w:left w:val="single" w:sz="4" w:space="0" w:color="auto"/>
                      <w:bottom w:val="single" w:sz="4" w:space="0" w:color="auto"/>
                      <w:right w:val="single" w:sz="4" w:space="0" w:color="auto"/>
                    </w:tcBorders>
                    <w:vAlign w:val="center"/>
                  </w:tcPr>
                  <w:p w14:paraId="79033C33" w14:textId="77777777" w:rsidR="00830E72" w:rsidRDefault="008344D8">
                    <w:pPr>
                      <w:jc w:val="right"/>
                      <w:rPr>
                        <w:szCs w:val="21"/>
                      </w:rPr>
                    </w:pPr>
                    <w:r>
                      <w:rPr>
                        <w:rFonts w:hint="eastAsia"/>
                      </w:rPr>
                      <w:t>2,173,792,464.77</w:t>
                    </w:r>
                  </w:p>
                </w:tc>
                <w:tc>
                  <w:tcPr>
                    <w:tcW w:w="250" w:type="pct"/>
                    <w:tcBorders>
                      <w:top w:val="single" w:sz="4" w:space="0" w:color="auto"/>
                      <w:left w:val="single" w:sz="4" w:space="0" w:color="auto"/>
                      <w:bottom w:val="single" w:sz="4" w:space="0" w:color="auto"/>
                      <w:right w:val="single" w:sz="4" w:space="0" w:color="auto"/>
                    </w:tcBorders>
                    <w:vAlign w:val="center"/>
                  </w:tcPr>
                  <w:p w14:paraId="0C2976F4" w14:textId="77777777" w:rsidR="00830E72" w:rsidRDefault="008344D8">
                    <w:pPr>
                      <w:jc w:val="right"/>
                      <w:rPr>
                        <w:szCs w:val="21"/>
                      </w:rPr>
                    </w:pPr>
                    <w:r>
                      <w:rPr>
                        <w:rFonts w:hint="eastAsia"/>
                      </w:rPr>
                      <w:t>96.38</w:t>
                    </w:r>
                  </w:p>
                </w:tc>
                <w:tc>
                  <w:tcPr>
                    <w:tcW w:w="553" w:type="pct"/>
                    <w:tcBorders>
                      <w:top w:val="single" w:sz="4" w:space="0" w:color="auto"/>
                      <w:left w:val="single" w:sz="4" w:space="0" w:color="auto"/>
                      <w:bottom w:val="single" w:sz="4" w:space="0" w:color="auto"/>
                      <w:right w:val="single" w:sz="4" w:space="0" w:color="auto"/>
                    </w:tcBorders>
                    <w:vAlign w:val="center"/>
                  </w:tcPr>
                  <w:p w14:paraId="2DC51D06" w14:textId="77777777" w:rsidR="00830E72" w:rsidRDefault="008344D8">
                    <w:pPr>
                      <w:jc w:val="right"/>
                      <w:rPr>
                        <w:szCs w:val="21"/>
                      </w:rPr>
                    </w:pPr>
                    <w:r>
                      <w:rPr>
                        <w:rFonts w:hint="eastAsia"/>
                      </w:rPr>
                      <w:t>151,378,387.66</w:t>
                    </w:r>
                  </w:p>
                </w:tc>
                <w:tc>
                  <w:tcPr>
                    <w:tcW w:w="174" w:type="pct"/>
                    <w:tcBorders>
                      <w:top w:val="single" w:sz="4" w:space="0" w:color="auto"/>
                      <w:left w:val="single" w:sz="4" w:space="0" w:color="auto"/>
                      <w:bottom w:val="single" w:sz="4" w:space="0" w:color="auto"/>
                      <w:right w:val="single" w:sz="4" w:space="0" w:color="auto"/>
                    </w:tcBorders>
                    <w:vAlign w:val="center"/>
                  </w:tcPr>
                  <w:p w14:paraId="7DF7335C" w14:textId="77777777" w:rsidR="00830E72" w:rsidRDefault="008344D8">
                    <w:pPr>
                      <w:jc w:val="right"/>
                      <w:rPr>
                        <w:szCs w:val="21"/>
                      </w:rPr>
                    </w:pPr>
                    <w:r>
                      <w:rPr>
                        <w:rFonts w:hint="eastAsia"/>
                      </w:rPr>
                      <w:t>6.96</w:t>
                    </w:r>
                  </w:p>
                </w:tc>
                <w:tc>
                  <w:tcPr>
                    <w:tcW w:w="628" w:type="pct"/>
                    <w:tcBorders>
                      <w:top w:val="single" w:sz="4" w:space="0" w:color="auto"/>
                      <w:left w:val="single" w:sz="4" w:space="0" w:color="auto"/>
                      <w:bottom w:val="single" w:sz="4" w:space="0" w:color="auto"/>
                      <w:right w:val="single" w:sz="4" w:space="0" w:color="auto"/>
                    </w:tcBorders>
                    <w:vAlign w:val="center"/>
                  </w:tcPr>
                  <w:p w14:paraId="0F7A5BDE" w14:textId="77777777" w:rsidR="00830E72" w:rsidRDefault="008344D8">
                    <w:pPr>
                      <w:jc w:val="right"/>
                      <w:rPr>
                        <w:szCs w:val="21"/>
                      </w:rPr>
                    </w:pPr>
                    <w:r>
                      <w:rPr>
                        <w:rFonts w:hint="eastAsia"/>
                      </w:rPr>
                      <w:t>2,022,414,077.11</w:t>
                    </w:r>
                  </w:p>
                </w:tc>
                <w:tc>
                  <w:tcPr>
                    <w:tcW w:w="628" w:type="pct"/>
                    <w:tcBorders>
                      <w:top w:val="single" w:sz="4" w:space="0" w:color="auto"/>
                      <w:left w:val="single" w:sz="4" w:space="0" w:color="auto"/>
                      <w:bottom w:val="single" w:sz="4" w:space="0" w:color="auto"/>
                      <w:right w:val="single" w:sz="4" w:space="0" w:color="auto"/>
                    </w:tcBorders>
                    <w:vAlign w:val="center"/>
                  </w:tcPr>
                  <w:p w14:paraId="64230879" w14:textId="77777777" w:rsidR="00830E72" w:rsidRDefault="008344D8">
                    <w:pPr>
                      <w:jc w:val="right"/>
                      <w:rPr>
                        <w:szCs w:val="21"/>
                      </w:rPr>
                    </w:pPr>
                    <w:r>
                      <w:rPr>
                        <w:rFonts w:hint="eastAsia"/>
                      </w:rPr>
                      <w:t>2,144,989,351.00</w:t>
                    </w:r>
                  </w:p>
                </w:tc>
                <w:tc>
                  <w:tcPr>
                    <w:tcW w:w="250" w:type="pct"/>
                    <w:tcBorders>
                      <w:top w:val="single" w:sz="4" w:space="0" w:color="auto"/>
                      <w:left w:val="single" w:sz="4" w:space="0" w:color="auto"/>
                      <w:bottom w:val="single" w:sz="4" w:space="0" w:color="auto"/>
                      <w:right w:val="single" w:sz="4" w:space="0" w:color="auto"/>
                    </w:tcBorders>
                    <w:vAlign w:val="center"/>
                  </w:tcPr>
                  <w:p w14:paraId="2F08E5F8" w14:textId="7F8F216D" w:rsidR="00830E72" w:rsidRDefault="008344D8">
                    <w:pPr>
                      <w:jc w:val="right"/>
                      <w:rPr>
                        <w:szCs w:val="21"/>
                      </w:rPr>
                    </w:pPr>
                    <w:r>
                      <w:rPr>
                        <w:rFonts w:hint="eastAsia"/>
                      </w:rPr>
                      <w:t>94.5</w:t>
                    </w:r>
                    <w:r w:rsidR="007B4AE7">
                      <w:t>3</w:t>
                    </w:r>
                  </w:p>
                </w:tc>
                <w:tc>
                  <w:tcPr>
                    <w:tcW w:w="553" w:type="pct"/>
                    <w:tcBorders>
                      <w:top w:val="single" w:sz="4" w:space="0" w:color="auto"/>
                      <w:left w:val="single" w:sz="4" w:space="0" w:color="auto"/>
                      <w:bottom w:val="single" w:sz="4" w:space="0" w:color="auto"/>
                      <w:right w:val="single" w:sz="4" w:space="0" w:color="auto"/>
                    </w:tcBorders>
                    <w:vAlign w:val="center"/>
                  </w:tcPr>
                  <w:p w14:paraId="036B3709" w14:textId="77777777" w:rsidR="00830E72" w:rsidRDefault="008344D8">
                    <w:pPr>
                      <w:jc w:val="right"/>
                      <w:rPr>
                        <w:szCs w:val="21"/>
                      </w:rPr>
                    </w:pPr>
                    <w:r>
                      <w:rPr>
                        <w:rFonts w:hint="eastAsia"/>
                      </w:rPr>
                      <w:t>154,904,355.70</w:t>
                    </w:r>
                  </w:p>
                </w:tc>
                <w:tc>
                  <w:tcPr>
                    <w:tcW w:w="174" w:type="pct"/>
                    <w:tcBorders>
                      <w:top w:val="single" w:sz="4" w:space="0" w:color="auto"/>
                      <w:left w:val="single" w:sz="4" w:space="0" w:color="auto"/>
                      <w:bottom w:val="single" w:sz="4" w:space="0" w:color="auto"/>
                      <w:right w:val="single" w:sz="4" w:space="0" w:color="auto"/>
                    </w:tcBorders>
                    <w:vAlign w:val="center"/>
                  </w:tcPr>
                  <w:p w14:paraId="432B02E0" w14:textId="77777777" w:rsidR="00830E72" w:rsidRDefault="008344D8">
                    <w:pPr>
                      <w:jc w:val="right"/>
                      <w:rPr>
                        <w:szCs w:val="21"/>
                      </w:rPr>
                    </w:pPr>
                    <w:r>
                      <w:rPr>
                        <w:rFonts w:hint="eastAsia"/>
                      </w:rPr>
                      <w:t>7.22</w:t>
                    </w:r>
                  </w:p>
                </w:tc>
                <w:tc>
                  <w:tcPr>
                    <w:tcW w:w="628" w:type="pct"/>
                    <w:tcBorders>
                      <w:top w:val="single" w:sz="4" w:space="0" w:color="auto"/>
                      <w:left w:val="single" w:sz="4" w:space="0" w:color="auto"/>
                      <w:bottom w:val="single" w:sz="4" w:space="0" w:color="auto"/>
                      <w:right w:val="single" w:sz="4" w:space="0" w:color="auto"/>
                    </w:tcBorders>
                    <w:vAlign w:val="center"/>
                  </w:tcPr>
                  <w:p w14:paraId="641A2476" w14:textId="77777777" w:rsidR="00830E72" w:rsidRDefault="008344D8">
                    <w:pPr>
                      <w:jc w:val="right"/>
                      <w:rPr>
                        <w:szCs w:val="21"/>
                      </w:rPr>
                    </w:pPr>
                    <w:r>
                      <w:rPr>
                        <w:rFonts w:hint="eastAsia"/>
                      </w:rPr>
                      <w:t>1,990,084,995.30</w:t>
                    </w:r>
                  </w:p>
                </w:tc>
              </w:tr>
            </w:sdtContent>
          </w:sdt>
          <w:tr w:rsidR="00830E72" w14:paraId="7CB4286F" w14:textId="77777777">
            <w:trPr>
              <w:cantSplit/>
            </w:trPr>
            <w:sdt>
              <w:sdtPr>
                <w:tag w:val="_PLD_da40eb921a044acabfd44df1104701c2"/>
                <w:id w:val="1747300608"/>
                <w:lock w:val="sdtLocked"/>
              </w:sdtPr>
              <w:sdtEndPr/>
              <w:sdtContent>
                <w:tc>
                  <w:tcPr>
                    <w:tcW w:w="535" w:type="pct"/>
                    <w:tcBorders>
                      <w:top w:val="single" w:sz="4" w:space="0" w:color="auto"/>
                      <w:left w:val="single" w:sz="4" w:space="0" w:color="auto"/>
                      <w:bottom w:val="single" w:sz="4" w:space="0" w:color="auto"/>
                      <w:right w:val="single" w:sz="4" w:space="0" w:color="auto"/>
                    </w:tcBorders>
                    <w:vAlign w:val="center"/>
                  </w:tcPr>
                  <w:p w14:paraId="441E3D27" w14:textId="77777777" w:rsidR="00830E72" w:rsidRDefault="008344D8">
                    <w:pPr>
                      <w:autoSpaceDE w:val="0"/>
                      <w:autoSpaceDN w:val="0"/>
                      <w:adjustRightInd w:val="0"/>
                      <w:jc w:val="center"/>
                      <w:rPr>
                        <w:szCs w:val="21"/>
                      </w:rPr>
                    </w:pPr>
                    <w:r>
                      <w:rPr>
                        <w:rFonts w:hint="eastAsia"/>
                        <w:szCs w:val="21"/>
                      </w:rPr>
                      <w:t>合计</w:t>
                    </w:r>
                  </w:p>
                </w:tc>
              </w:sdtContent>
            </w:sdt>
            <w:tc>
              <w:tcPr>
                <w:tcW w:w="628" w:type="pct"/>
                <w:tcBorders>
                  <w:top w:val="single" w:sz="4" w:space="0" w:color="auto"/>
                  <w:left w:val="single" w:sz="4" w:space="0" w:color="auto"/>
                  <w:bottom w:val="single" w:sz="4" w:space="0" w:color="auto"/>
                  <w:right w:val="single" w:sz="4" w:space="0" w:color="auto"/>
                </w:tcBorders>
                <w:vAlign w:val="center"/>
              </w:tcPr>
              <w:p w14:paraId="571CCBA5" w14:textId="77777777" w:rsidR="00830E72" w:rsidRDefault="008344D8">
                <w:pPr>
                  <w:jc w:val="right"/>
                  <w:rPr>
                    <w:szCs w:val="21"/>
                  </w:rPr>
                </w:pPr>
                <w:r>
                  <w:rPr>
                    <w:rFonts w:hint="eastAsia"/>
                  </w:rPr>
                  <w:t>2,255,434,012.69</w:t>
                </w:r>
              </w:p>
            </w:tc>
            <w:tc>
              <w:tcPr>
                <w:tcW w:w="250" w:type="pct"/>
                <w:tcBorders>
                  <w:top w:val="single" w:sz="4" w:space="0" w:color="auto"/>
                  <w:left w:val="single" w:sz="4" w:space="0" w:color="auto"/>
                  <w:bottom w:val="single" w:sz="4" w:space="0" w:color="auto"/>
                  <w:right w:val="single" w:sz="4" w:space="0" w:color="auto"/>
                </w:tcBorders>
                <w:vAlign w:val="center"/>
              </w:tcPr>
              <w:p w14:paraId="06BD67EA" w14:textId="77777777" w:rsidR="00830E72" w:rsidRDefault="008344D8">
                <w:pPr>
                  <w:jc w:val="center"/>
                  <w:rPr>
                    <w:szCs w:val="21"/>
                  </w:rPr>
                </w:pPr>
                <w:r>
                  <w:rPr>
                    <w:rFonts w:hint="eastAsia"/>
                    <w:szCs w:val="21"/>
                  </w:rPr>
                  <w:t>/</w:t>
                </w:r>
              </w:p>
            </w:tc>
            <w:tc>
              <w:tcPr>
                <w:tcW w:w="553" w:type="pct"/>
                <w:tcBorders>
                  <w:top w:val="single" w:sz="4" w:space="0" w:color="auto"/>
                  <w:left w:val="single" w:sz="4" w:space="0" w:color="auto"/>
                  <w:bottom w:val="single" w:sz="4" w:space="0" w:color="auto"/>
                  <w:right w:val="single" w:sz="4" w:space="0" w:color="auto"/>
                </w:tcBorders>
                <w:vAlign w:val="center"/>
              </w:tcPr>
              <w:p w14:paraId="2B482FDC" w14:textId="77777777" w:rsidR="00830E72" w:rsidRDefault="008344D8">
                <w:pPr>
                  <w:jc w:val="right"/>
                  <w:rPr>
                    <w:szCs w:val="21"/>
                  </w:rPr>
                </w:pPr>
                <w:r>
                  <w:rPr>
                    <w:rFonts w:hint="eastAsia"/>
                  </w:rPr>
                  <w:t>151,378,387.66</w:t>
                </w:r>
              </w:p>
            </w:tc>
            <w:tc>
              <w:tcPr>
                <w:tcW w:w="174" w:type="pct"/>
                <w:tcBorders>
                  <w:top w:val="single" w:sz="4" w:space="0" w:color="auto"/>
                  <w:left w:val="single" w:sz="4" w:space="0" w:color="auto"/>
                  <w:bottom w:val="single" w:sz="4" w:space="0" w:color="auto"/>
                  <w:right w:val="single" w:sz="4" w:space="0" w:color="auto"/>
                </w:tcBorders>
                <w:vAlign w:val="center"/>
              </w:tcPr>
              <w:p w14:paraId="0B60D913" w14:textId="77777777" w:rsidR="00830E72" w:rsidRDefault="008344D8">
                <w:pPr>
                  <w:jc w:val="center"/>
                  <w:rPr>
                    <w:szCs w:val="21"/>
                  </w:rPr>
                </w:pPr>
                <w:r>
                  <w:rPr>
                    <w:rFonts w:hint="eastAsia"/>
                    <w:szCs w:val="21"/>
                  </w:rPr>
                  <w:t>/</w:t>
                </w:r>
              </w:p>
            </w:tc>
            <w:tc>
              <w:tcPr>
                <w:tcW w:w="628" w:type="pct"/>
                <w:tcBorders>
                  <w:top w:val="single" w:sz="4" w:space="0" w:color="auto"/>
                  <w:left w:val="single" w:sz="4" w:space="0" w:color="auto"/>
                  <w:bottom w:val="single" w:sz="4" w:space="0" w:color="auto"/>
                  <w:right w:val="single" w:sz="4" w:space="0" w:color="auto"/>
                </w:tcBorders>
                <w:vAlign w:val="center"/>
              </w:tcPr>
              <w:p w14:paraId="1D7472B0" w14:textId="77777777" w:rsidR="00830E72" w:rsidRDefault="008344D8">
                <w:pPr>
                  <w:jc w:val="right"/>
                  <w:rPr>
                    <w:szCs w:val="21"/>
                  </w:rPr>
                </w:pPr>
                <w:r>
                  <w:rPr>
                    <w:rFonts w:hint="eastAsia"/>
                  </w:rPr>
                  <w:t>2,104,055,625.03</w:t>
                </w:r>
              </w:p>
            </w:tc>
            <w:tc>
              <w:tcPr>
                <w:tcW w:w="628" w:type="pct"/>
                <w:tcBorders>
                  <w:top w:val="single" w:sz="4" w:space="0" w:color="auto"/>
                  <w:left w:val="single" w:sz="4" w:space="0" w:color="auto"/>
                  <w:bottom w:val="single" w:sz="4" w:space="0" w:color="auto"/>
                  <w:right w:val="single" w:sz="4" w:space="0" w:color="auto"/>
                </w:tcBorders>
                <w:vAlign w:val="center"/>
              </w:tcPr>
              <w:p w14:paraId="17609A0A" w14:textId="77777777" w:rsidR="00830E72" w:rsidRDefault="008344D8">
                <w:pPr>
                  <w:jc w:val="right"/>
                  <w:rPr>
                    <w:szCs w:val="21"/>
                  </w:rPr>
                </w:pPr>
                <w:r>
                  <w:rPr>
                    <w:rFonts w:hint="eastAsia"/>
                  </w:rPr>
                  <w:t>2,269,036,463.53</w:t>
                </w:r>
              </w:p>
            </w:tc>
            <w:tc>
              <w:tcPr>
                <w:tcW w:w="250" w:type="pct"/>
                <w:tcBorders>
                  <w:top w:val="single" w:sz="4" w:space="0" w:color="auto"/>
                  <w:left w:val="single" w:sz="4" w:space="0" w:color="auto"/>
                  <w:bottom w:val="single" w:sz="4" w:space="0" w:color="auto"/>
                  <w:right w:val="single" w:sz="4" w:space="0" w:color="auto"/>
                </w:tcBorders>
                <w:vAlign w:val="center"/>
              </w:tcPr>
              <w:p w14:paraId="70022BC6" w14:textId="77777777" w:rsidR="00830E72" w:rsidRDefault="008344D8">
                <w:pPr>
                  <w:jc w:val="center"/>
                  <w:rPr>
                    <w:szCs w:val="21"/>
                  </w:rPr>
                </w:pPr>
                <w:r>
                  <w:rPr>
                    <w:rFonts w:hint="eastAsia"/>
                    <w:szCs w:val="21"/>
                  </w:rPr>
                  <w:t>/</w:t>
                </w:r>
              </w:p>
            </w:tc>
            <w:tc>
              <w:tcPr>
                <w:tcW w:w="553" w:type="pct"/>
                <w:tcBorders>
                  <w:top w:val="single" w:sz="4" w:space="0" w:color="auto"/>
                  <w:left w:val="single" w:sz="4" w:space="0" w:color="auto"/>
                  <w:bottom w:val="single" w:sz="4" w:space="0" w:color="auto"/>
                  <w:right w:val="single" w:sz="4" w:space="0" w:color="auto"/>
                </w:tcBorders>
                <w:vAlign w:val="center"/>
              </w:tcPr>
              <w:p w14:paraId="1E564956" w14:textId="77777777" w:rsidR="00830E72" w:rsidRDefault="008344D8">
                <w:pPr>
                  <w:jc w:val="right"/>
                  <w:rPr>
                    <w:szCs w:val="21"/>
                  </w:rPr>
                </w:pPr>
                <w:r>
                  <w:rPr>
                    <w:rFonts w:hint="eastAsia"/>
                  </w:rPr>
                  <w:t>154,904,355.70</w:t>
                </w:r>
              </w:p>
            </w:tc>
            <w:tc>
              <w:tcPr>
                <w:tcW w:w="174" w:type="pct"/>
                <w:tcBorders>
                  <w:top w:val="single" w:sz="4" w:space="0" w:color="auto"/>
                  <w:left w:val="single" w:sz="4" w:space="0" w:color="auto"/>
                  <w:bottom w:val="single" w:sz="4" w:space="0" w:color="auto"/>
                  <w:right w:val="single" w:sz="4" w:space="0" w:color="auto"/>
                </w:tcBorders>
                <w:vAlign w:val="center"/>
              </w:tcPr>
              <w:p w14:paraId="6F482C33" w14:textId="77777777" w:rsidR="00830E72" w:rsidRDefault="008344D8">
                <w:pPr>
                  <w:jc w:val="center"/>
                  <w:rPr>
                    <w:szCs w:val="21"/>
                  </w:rPr>
                </w:pPr>
                <w:r>
                  <w:rPr>
                    <w:rFonts w:hint="eastAsia"/>
                    <w:szCs w:val="21"/>
                  </w:rPr>
                  <w:t>/</w:t>
                </w:r>
              </w:p>
            </w:tc>
            <w:tc>
              <w:tcPr>
                <w:tcW w:w="628" w:type="pct"/>
                <w:tcBorders>
                  <w:top w:val="single" w:sz="4" w:space="0" w:color="auto"/>
                  <w:left w:val="single" w:sz="4" w:space="0" w:color="auto"/>
                  <w:bottom w:val="single" w:sz="4" w:space="0" w:color="auto"/>
                  <w:right w:val="single" w:sz="4" w:space="0" w:color="auto"/>
                </w:tcBorders>
                <w:vAlign w:val="center"/>
              </w:tcPr>
              <w:p w14:paraId="3ED49710" w14:textId="77777777" w:rsidR="00830E72" w:rsidRDefault="008344D8">
                <w:pPr>
                  <w:jc w:val="right"/>
                  <w:rPr>
                    <w:szCs w:val="21"/>
                  </w:rPr>
                </w:pPr>
                <w:r>
                  <w:rPr>
                    <w:rFonts w:hint="eastAsia"/>
                  </w:rPr>
                  <w:t>2,114,132,107.83</w:t>
                </w:r>
              </w:p>
            </w:tc>
          </w:tr>
        </w:tbl>
        <w:p w14:paraId="2680328C" w14:textId="77777777" w:rsidR="00830E72" w:rsidRDefault="00830E72"/>
        <w:p w14:paraId="1F1FE107" w14:textId="77777777" w:rsidR="00830E72" w:rsidRDefault="00D44830"/>
      </w:sdtContent>
    </w:sdt>
    <w:bookmarkEnd w:id="205" w:displacedByCustomXml="next"/>
    <w:bookmarkStart w:id="206" w:name="_Hlk10540045" w:displacedByCustomXml="next"/>
    <w:bookmarkStart w:id="207" w:name="_Hlk10540056" w:displacedByCustomXml="next"/>
    <w:sdt>
      <w:sdtPr>
        <w:rPr>
          <w:rFonts w:hint="eastAsia"/>
          <w:szCs w:val="21"/>
        </w:rPr>
        <w:alias w:val="模块:按单项计提坏账准备："/>
        <w:tag w:val="_SEC_25fdb1db4e684b509f2d87c2a7766da9"/>
        <w:id w:val="-1065402145"/>
        <w:lock w:val="sdtLocked"/>
        <w:placeholder>
          <w:docPart w:val="GBC22222222222222222222222222222"/>
        </w:placeholder>
      </w:sdtPr>
      <w:sdtEndPr>
        <w:rPr>
          <w:rFonts w:hint="default"/>
        </w:rPr>
      </w:sdtEndPr>
      <w:sdtContent>
        <w:p w14:paraId="25089DEA" w14:textId="77777777" w:rsidR="00830E72" w:rsidRDefault="008344D8">
          <w:pPr>
            <w:rPr>
              <w:szCs w:val="21"/>
            </w:rPr>
          </w:pPr>
          <w:r>
            <w:rPr>
              <w:rFonts w:hint="eastAsia"/>
              <w:szCs w:val="21"/>
            </w:rPr>
            <w:t>按单项计提坏账准备：</w:t>
          </w:r>
          <w:bookmarkEnd w:id="206"/>
        </w:p>
        <w:sdt>
          <w:sdtPr>
            <w:alias w:val="是否适用：母公司应收账款按单项计提坏账准备[双击切换]"/>
            <w:tag w:val="_GBC_6aa7698e624f4481b0cf894058a63961"/>
            <w:id w:val="-1338926171"/>
            <w:lock w:val="sdtContentLocked"/>
            <w:placeholder>
              <w:docPart w:val="GBC22222222222222222222222222222"/>
            </w:placeholder>
          </w:sdtPr>
          <w:sdtEndPr/>
          <w:sdtContent>
            <w:p w14:paraId="569EE1B7"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845FCCD" w14:textId="77777777" w:rsidR="00830E72" w:rsidRDefault="00830E72">
          <w:pPr>
            <w:rPr>
              <w:szCs w:val="21"/>
            </w:rPr>
          </w:pPr>
        </w:p>
        <w:p w14:paraId="20001DB7" w14:textId="77777777" w:rsidR="00830E72" w:rsidRDefault="00D44830">
          <w:pPr>
            <w:rPr>
              <w:szCs w:val="21"/>
            </w:rPr>
          </w:pPr>
        </w:p>
      </w:sdtContent>
    </w:sdt>
    <w:p w14:paraId="3F80B5C5" w14:textId="77777777" w:rsidR="00830E72" w:rsidRDefault="00830E72">
      <w:pPr>
        <w:rPr>
          <w:szCs w:val="21"/>
        </w:rPr>
        <w:sectPr w:rsidR="00830E72">
          <w:pgSz w:w="16838" w:h="11906" w:orient="landscape"/>
          <w:pgMar w:top="1276" w:right="1440" w:bottom="1797" w:left="1525" w:header="856" w:footer="992" w:gutter="0"/>
          <w:cols w:space="425"/>
          <w:docGrid w:linePitch="312"/>
        </w:sectPr>
      </w:pPr>
      <w:bookmarkStart w:id="208" w:name="_Hlk10540079"/>
      <w:bookmarkEnd w:id="207"/>
    </w:p>
    <w:p w14:paraId="47CA1A90" w14:textId="77777777" w:rsidR="00830E72" w:rsidRDefault="008344D8">
      <w:pPr>
        <w:rPr>
          <w:szCs w:val="21"/>
        </w:rPr>
      </w:pPr>
      <w:r>
        <w:rPr>
          <w:rFonts w:hint="eastAsia"/>
          <w:szCs w:val="21"/>
        </w:rPr>
        <w:lastRenderedPageBreak/>
        <w:t>按组合计提坏账准备：</w:t>
      </w:r>
    </w:p>
    <w:sdt>
      <w:sdtPr>
        <w:alias w:val="是否适用：母公司应收账款按组合计提坏账准备[双击切换]"/>
        <w:tag w:val="_GBC_bf96e631f2cf4f6a876dff49863ee9d3"/>
        <w:id w:val="49662489"/>
        <w:lock w:val="sdtContentLocked"/>
        <w:placeholder>
          <w:docPart w:val="GBC22222222222222222222222222222"/>
        </w:placeholder>
      </w:sdtPr>
      <w:sdtEndPr/>
      <w:sdtContent>
        <w:p w14:paraId="2F69D18B"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模块:组合计提项目"/>
        <w:tag w:val="_SEC_6113a97431b44a51b796257dc3b7c6cb"/>
        <w:id w:val="1512726324"/>
        <w:lock w:val="sdtLocked"/>
        <w:placeholder>
          <w:docPart w:val="GBC22222222222222222222222222222"/>
        </w:placeholder>
      </w:sdtPr>
      <w:sdtEndPr>
        <w:rPr>
          <w:rFonts w:hint="default"/>
        </w:rPr>
      </w:sdtEndPr>
      <w:sdtContent>
        <w:p w14:paraId="09988310" w14:textId="77777777" w:rsidR="00830E72" w:rsidRDefault="008344D8">
          <w:pPr>
            <w:rPr>
              <w:szCs w:val="21"/>
            </w:rPr>
          </w:pPr>
          <w:r>
            <w:rPr>
              <w:rFonts w:hint="eastAsia"/>
              <w:szCs w:val="21"/>
            </w:rPr>
            <w:t>组合计提项目：</w:t>
          </w:r>
          <w:sdt>
            <w:sdtPr>
              <w:rPr>
                <w:rFonts w:hint="eastAsia"/>
                <w:szCs w:val="21"/>
              </w:rPr>
              <w:alias w:val="按组合计提坏账准备的应收账款明细-组合名称"/>
              <w:tag w:val="_GBC_c2c49e08c13c49f5b854cd65f748bccc"/>
              <w:id w:val="300823016"/>
              <w:lock w:val="sdtLocked"/>
              <w:placeholder>
                <w:docPart w:val="GBC22222222222222222222222222222"/>
              </w:placeholder>
              <w:comboBox>
                <w:listItem w:displayText="合计" w:value="合计"/>
                <w:listItem w:displayText="应收合并范围内关联方" w:value="应收合并范围内关联方"/>
                <w:listItem w:displayText="应收外部客户" w:value="应收外部客户"/>
              </w:comboBox>
            </w:sdtPr>
            <w:sdtEndPr/>
            <w:sdtContent>
              <w:r>
                <w:rPr>
                  <w:rFonts w:hint="eastAsia"/>
                  <w:szCs w:val="21"/>
                </w:rPr>
                <w:t>应收外部客户</w:t>
              </w:r>
            </w:sdtContent>
          </w:sdt>
        </w:p>
        <w:p w14:paraId="3AE8ADD1" w14:textId="77777777" w:rsidR="00830E72" w:rsidRDefault="008344D8">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eddb8416e4854df0b69f43851a8eba2b"/>
              <w:id w:val="-14913973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326d8b8532c4476aa9c90eaa469806e2"/>
              <w:id w:val="5783289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309"/>
            <w:gridCol w:w="2351"/>
            <w:gridCol w:w="2293"/>
          </w:tblGrid>
          <w:tr w:rsidR="00830E72" w14:paraId="1E9A265B" w14:textId="77777777">
            <w:sdt>
              <w:sdtPr>
                <w:tag w:val="_PLD_017679ab9c8247c6b2e334fd90bf61e9"/>
                <w:id w:val="1918445123"/>
                <w:lock w:val="sdtLocked"/>
              </w:sdtPr>
              <w:sdtEndPr/>
              <w:sdtContent>
                <w:tc>
                  <w:tcPr>
                    <w:tcW w:w="1158" w:type="pct"/>
                    <w:vMerge w:val="restart"/>
                    <w:vAlign w:val="center"/>
                  </w:tcPr>
                  <w:p w14:paraId="0B60FCD3" w14:textId="77777777" w:rsidR="00830E72" w:rsidRDefault="008344D8">
                    <w:pPr>
                      <w:jc w:val="center"/>
                      <w:rPr>
                        <w:szCs w:val="21"/>
                      </w:rPr>
                    </w:pPr>
                    <w:r>
                      <w:rPr>
                        <w:rFonts w:hint="eastAsia"/>
                        <w:szCs w:val="21"/>
                      </w:rPr>
                      <w:t>名称</w:t>
                    </w:r>
                  </w:p>
                </w:tc>
              </w:sdtContent>
            </w:sdt>
            <w:sdt>
              <w:sdtPr>
                <w:tag w:val="_PLD_5135cd56467d4853affa6d0ae484f326"/>
                <w:id w:val="-85540566"/>
                <w:lock w:val="sdtLocked"/>
              </w:sdtPr>
              <w:sdtEndPr/>
              <w:sdtContent>
                <w:tc>
                  <w:tcPr>
                    <w:tcW w:w="3842" w:type="pct"/>
                    <w:gridSpan w:val="3"/>
                    <w:vAlign w:val="center"/>
                  </w:tcPr>
                  <w:p w14:paraId="22CFF296" w14:textId="77777777" w:rsidR="00830E72" w:rsidRDefault="008344D8">
                    <w:pPr>
                      <w:jc w:val="center"/>
                      <w:rPr>
                        <w:szCs w:val="21"/>
                      </w:rPr>
                    </w:pPr>
                    <w:r>
                      <w:rPr>
                        <w:rFonts w:hint="eastAsia"/>
                        <w:szCs w:val="21"/>
                      </w:rPr>
                      <w:t>期末余额</w:t>
                    </w:r>
                  </w:p>
                </w:tc>
              </w:sdtContent>
            </w:sdt>
          </w:tr>
          <w:tr w:rsidR="00830E72" w14:paraId="6AE073A2" w14:textId="77777777">
            <w:tc>
              <w:tcPr>
                <w:tcW w:w="1158" w:type="pct"/>
                <w:vMerge/>
              </w:tcPr>
              <w:p w14:paraId="1ABE3DF0" w14:textId="77777777" w:rsidR="00830E72" w:rsidRDefault="00830E72">
                <w:pPr>
                  <w:jc w:val="center"/>
                  <w:rPr>
                    <w:szCs w:val="21"/>
                  </w:rPr>
                </w:pPr>
              </w:p>
            </w:tc>
            <w:sdt>
              <w:sdtPr>
                <w:tag w:val="_PLD_6853d362c1364938aec50c34a4c1b2be"/>
                <w:id w:val="-2131082707"/>
                <w:lock w:val="sdtLocked"/>
              </w:sdtPr>
              <w:sdtEndPr/>
              <w:sdtContent>
                <w:tc>
                  <w:tcPr>
                    <w:tcW w:w="1276" w:type="pct"/>
                    <w:vAlign w:val="center"/>
                  </w:tcPr>
                  <w:p w14:paraId="0F5AE19A" w14:textId="77777777" w:rsidR="00830E72" w:rsidRDefault="008344D8">
                    <w:pPr>
                      <w:jc w:val="center"/>
                      <w:rPr>
                        <w:szCs w:val="21"/>
                      </w:rPr>
                    </w:pPr>
                    <w:r>
                      <w:rPr>
                        <w:rFonts w:hint="eastAsia"/>
                        <w:szCs w:val="21"/>
                      </w:rPr>
                      <w:t>应收账款</w:t>
                    </w:r>
                  </w:p>
                </w:tc>
              </w:sdtContent>
            </w:sdt>
            <w:sdt>
              <w:sdtPr>
                <w:tag w:val="_PLD_497956cded5b48c4b4741462475810da"/>
                <w:id w:val="22598004"/>
                <w:lock w:val="sdtLocked"/>
              </w:sdtPr>
              <w:sdtEndPr/>
              <w:sdtContent>
                <w:tc>
                  <w:tcPr>
                    <w:tcW w:w="1299" w:type="pct"/>
                    <w:vAlign w:val="center"/>
                  </w:tcPr>
                  <w:p w14:paraId="2C8D9A60" w14:textId="77777777" w:rsidR="00830E72" w:rsidRDefault="008344D8">
                    <w:pPr>
                      <w:jc w:val="center"/>
                      <w:rPr>
                        <w:szCs w:val="21"/>
                      </w:rPr>
                    </w:pPr>
                    <w:r>
                      <w:rPr>
                        <w:rFonts w:hint="eastAsia"/>
                        <w:szCs w:val="21"/>
                      </w:rPr>
                      <w:t>坏账准备</w:t>
                    </w:r>
                  </w:p>
                </w:tc>
              </w:sdtContent>
            </w:sdt>
            <w:sdt>
              <w:sdtPr>
                <w:tag w:val="_PLD_abeb28def5684beab5ea48273044d861"/>
                <w:id w:val="1576239649"/>
                <w:lock w:val="sdtLocked"/>
              </w:sdtPr>
              <w:sdtEndPr/>
              <w:sdtContent>
                <w:tc>
                  <w:tcPr>
                    <w:tcW w:w="1267" w:type="pct"/>
                    <w:vAlign w:val="center"/>
                  </w:tcPr>
                  <w:p w14:paraId="4F682F03" w14:textId="77777777" w:rsidR="00830E72" w:rsidRDefault="008344D8">
                    <w:pPr>
                      <w:jc w:val="center"/>
                      <w:rPr>
                        <w:szCs w:val="21"/>
                      </w:rPr>
                    </w:pPr>
                    <w:r>
                      <w:rPr>
                        <w:szCs w:val="21"/>
                      </w:rPr>
                      <w:t>计提比例</w:t>
                    </w:r>
                    <w:r>
                      <w:rPr>
                        <w:rFonts w:hint="eastAsia"/>
                        <w:szCs w:val="21"/>
                      </w:rPr>
                      <w:t>（%）</w:t>
                    </w:r>
                  </w:p>
                </w:tc>
              </w:sdtContent>
            </w:sdt>
          </w:tr>
          <w:sdt>
            <w:sdtPr>
              <w:rPr>
                <w:szCs w:val="21"/>
              </w:rPr>
              <w:alias w:val="按组合计提坏账准备的应收账款详细名称明细"/>
              <w:tag w:val="_TUP_f0c1437e418b477abdaa018db20308d6"/>
              <w:id w:val="286482242"/>
              <w:lock w:val="sdtLocked"/>
            </w:sdtPr>
            <w:sdtEndPr>
              <w:rPr>
                <w:highlight w:val="yellow"/>
              </w:rPr>
            </w:sdtEndPr>
            <w:sdtContent>
              <w:tr w:rsidR="00830E72" w14:paraId="1BA698F1" w14:textId="77777777">
                <w:tc>
                  <w:tcPr>
                    <w:tcW w:w="1158" w:type="pct"/>
                  </w:tcPr>
                  <w:p w14:paraId="3FC0FD1F" w14:textId="77777777" w:rsidR="00830E72" w:rsidRDefault="008344D8">
                    <w:pPr>
                      <w:rPr>
                        <w:szCs w:val="21"/>
                      </w:rPr>
                    </w:pPr>
                    <w:r>
                      <w:rPr>
                        <w:rFonts w:hint="eastAsia"/>
                        <w:szCs w:val="21"/>
                      </w:rPr>
                      <w:t>1年以内</w:t>
                    </w:r>
                  </w:p>
                </w:tc>
                <w:tc>
                  <w:tcPr>
                    <w:tcW w:w="1276" w:type="pct"/>
                  </w:tcPr>
                  <w:p w14:paraId="69BB5E0F" w14:textId="77777777" w:rsidR="00830E72" w:rsidRDefault="008344D8">
                    <w:pPr>
                      <w:jc w:val="right"/>
                      <w:rPr>
                        <w:szCs w:val="21"/>
                      </w:rPr>
                    </w:pPr>
                    <w:r>
                      <w:rPr>
                        <w:szCs w:val="21"/>
                      </w:rPr>
                      <w:t>1,410,068,155.59</w:t>
                    </w:r>
                  </w:p>
                </w:tc>
                <w:tc>
                  <w:tcPr>
                    <w:tcW w:w="1299" w:type="pct"/>
                  </w:tcPr>
                  <w:p w14:paraId="54145072" w14:textId="77777777" w:rsidR="00830E72" w:rsidRDefault="008344D8">
                    <w:pPr>
                      <w:jc w:val="right"/>
                      <w:rPr>
                        <w:szCs w:val="21"/>
                      </w:rPr>
                    </w:pPr>
                    <w:r>
                      <w:rPr>
                        <w:szCs w:val="21"/>
                      </w:rPr>
                      <w:t>33,277,608.47</w:t>
                    </w:r>
                  </w:p>
                </w:tc>
                <w:tc>
                  <w:tcPr>
                    <w:tcW w:w="1267" w:type="pct"/>
                  </w:tcPr>
                  <w:p w14:paraId="2A5F0DF1" w14:textId="77777777" w:rsidR="00830E72" w:rsidRDefault="008344D8">
                    <w:pPr>
                      <w:jc w:val="right"/>
                      <w:rPr>
                        <w:szCs w:val="21"/>
                      </w:rPr>
                    </w:pPr>
                    <w:r>
                      <w:rPr>
                        <w:szCs w:val="21"/>
                      </w:rPr>
                      <w:t>2.36</w:t>
                    </w:r>
                  </w:p>
                </w:tc>
              </w:tr>
            </w:sdtContent>
          </w:sdt>
          <w:sdt>
            <w:sdtPr>
              <w:rPr>
                <w:szCs w:val="21"/>
              </w:rPr>
              <w:alias w:val="按组合计提坏账准备的应收账款详细名称明细"/>
              <w:tag w:val="_TUP_f0c1437e418b477abdaa018db20308d6"/>
              <w:id w:val="-769310448"/>
              <w:lock w:val="sdtLocked"/>
            </w:sdtPr>
            <w:sdtEndPr>
              <w:rPr>
                <w:highlight w:val="yellow"/>
              </w:rPr>
            </w:sdtEndPr>
            <w:sdtContent>
              <w:tr w:rsidR="00830E72" w14:paraId="2326E3DE" w14:textId="77777777">
                <w:tc>
                  <w:tcPr>
                    <w:tcW w:w="1158" w:type="pct"/>
                  </w:tcPr>
                  <w:p w14:paraId="6146067A" w14:textId="77777777" w:rsidR="00830E72" w:rsidRDefault="008344D8">
                    <w:pPr>
                      <w:rPr>
                        <w:szCs w:val="21"/>
                      </w:rPr>
                    </w:pPr>
                    <w:r>
                      <w:rPr>
                        <w:rFonts w:hint="eastAsia"/>
                        <w:szCs w:val="21"/>
                      </w:rPr>
                      <w:t>1至2年</w:t>
                    </w:r>
                  </w:p>
                </w:tc>
                <w:tc>
                  <w:tcPr>
                    <w:tcW w:w="1276" w:type="pct"/>
                  </w:tcPr>
                  <w:p w14:paraId="5673679C" w14:textId="77777777" w:rsidR="00830E72" w:rsidRDefault="008344D8">
                    <w:pPr>
                      <w:jc w:val="right"/>
                      <w:rPr>
                        <w:szCs w:val="21"/>
                      </w:rPr>
                    </w:pPr>
                    <w:r>
                      <w:rPr>
                        <w:szCs w:val="21"/>
                      </w:rPr>
                      <w:t>342,917,987.91</w:t>
                    </w:r>
                  </w:p>
                </w:tc>
                <w:tc>
                  <w:tcPr>
                    <w:tcW w:w="1299" w:type="pct"/>
                  </w:tcPr>
                  <w:p w14:paraId="245ABE17" w14:textId="77777777" w:rsidR="00830E72" w:rsidRDefault="008344D8">
                    <w:pPr>
                      <w:jc w:val="right"/>
                      <w:rPr>
                        <w:szCs w:val="21"/>
                      </w:rPr>
                    </w:pPr>
                    <w:r>
                      <w:rPr>
                        <w:szCs w:val="21"/>
                      </w:rPr>
                      <w:t>22,049,626.62</w:t>
                    </w:r>
                  </w:p>
                </w:tc>
                <w:tc>
                  <w:tcPr>
                    <w:tcW w:w="1267" w:type="pct"/>
                  </w:tcPr>
                  <w:p w14:paraId="483B39D8" w14:textId="77777777" w:rsidR="00830E72" w:rsidRDefault="008344D8">
                    <w:pPr>
                      <w:jc w:val="right"/>
                      <w:rPr>
                        <w:szCs w:val="21"/>
                      </w:rPr>
                    </w:pPr>
                    <w:r>
                      <w:rPr>
                        <w:szCs w:val="21"/>
                      </w:rPr>
                      <w:t>6.43</w:t>
                    </w:r>
                  </w:p>
                </w:tc>
              </w:tr>
            </w:sdtContent>
          </w:sdt>
          <w:sdt>
            <w:sdtPr>
              <w:rPr>
                <w:szCs w:val="21"/>
              </w:rPr>
              <w:alias w:val="按组合计提坏账准备的应收账款详细名称明细"/>
              <w:tag w:val="_TUP_f0c1437e418b477abdaa018db20308d6"/>
              <w:id w:val="-344092994"/>
              <w:lock w:val="sdtLocked"/>
            </w:sdtPr>
            <w:sdtEndPr>
              <w:rPr>
                <w:highlight w:val="yellow"/>
              </w:rPr>
            </w:sdtEndPr>
            <w:sdtContent>
              <w:tr w:rsidR="00830E72" w14:paraId="370E7CAC" w14:textId="77777777">
                <w:tc>
                  <w:tcPr>
                    <w:tcW w:w="1158" w:type="pct"/>
                  </w:tcPr>
                  <w:p w14:paraId="260091AB" w14:textId="77777777" w:rsidR="00830E72" w:rsidRDefault="008344D8">
                    <w:pPr>
                      <w:rPr>
                        <w:szCs w:val="21"/>
                      </w:rPr>
                    </w:pPr>
                    <w:r>
                      <w:rPr>
                        <w:rFonts w:hint="eastAsia"/>
                        <w:szCs w:val="21"/>
                      </w:rPr>
                      <w:t>2至3年</w:t>
                    </w:r>
                  </w:p>
                </w:tc>
                <w:tc>
                  <w:tcPr>
                    <w:tcW w:w="1276" w:type="pct"/>
                  </w:tcPr>
                  <w:p w14:paraId="7EE114AD" w14:textId="77777777" w:rsidR="00830E72" w:rsidRDefault="008344D8">
                    <w:pPr>
                      <w:jc w:val="right"/>
                      <w:rPr>
                        <w:szCs w:val="21"/>
                      </w:rPr>
                    </w:pPr>
                    <w:r>
                      <w:rPr>
                        <w:szCs w:val="21"/>
                      </w:rPr>
                      <w:t>177,410,481.21</w:t>
                    </w:r>
                  </w:p>
                </w:tc>
                <w:tc>
                  <w:tcPr>
                    <w:tcW w:w="1299" w:type="pct"/>
                  </w:tcPr>
                  <w:p w14:paraId="1BE31C99" w14:textId="77777777" w:rsidR="00830E72" w:rsidRDefault="008344D8">
                    <w:pPr>
                      <w:jc w:val="right"/>
                      <w:rPr>
                        <w:szCs w:val="21"/>
                      </w:rPr>
                    </w:pPr>
                    <w:r>
                      <w:rPr>
                        <w:szCs w:val="21"/>
                      </w:rPr>
                      <w:t>20,827,990.49</w:t>
                    </w:r>
                  </w:p>
                </w:tc>
                <w:tc>
                  <w:tcPr>
                    <w:tcW w:w="1267" w:type="pct"/>
                  </w:tcPr>
                  <w:p w14:paraId="72CCD4D9" w14:textId="77777777" w:rsidR="00830E72" w:rsidRDefault="008344D8">
                    <w:pPr>
                      <w:jc w:val="right"/>
                      <w:rPr>
                        <w:szCs w:val="21"/>
                      </w:rPr>
                    </w:pPr>
                    <w:r>
                      <w:rPr>
                        <w:szCs w:val="21"/>
                      </w:rPr>
                      <w:t>11.74</w:t>
                    </w:r>
                  </w:p>
                </w:tc>
              </w:tr>
            </w:sdtContent>
          </w:sdt>
          <w:sdt>
            <w:sdtPr>
              <w:rPr>
                <w:szCs w:val="21"/>
              </w:rPr>
              <w:alias w:val="按组合计提坏账准备的应收账款详细名称明细"/>
              <w:tag w:val="_TUP_f0c1437e418b477abdaa018db20308d6"/>
              <w:id w:val="431565795"/>
              <w:lock w:val="sdtLocked"/>
            </w:sdtPr>
            <w:sdtEndPr>
              <w:rPr>
                <w:highlight w:val="yellow"/>
              </w:rPr>
            </w:sdtEndPr>
            <w:sdtContent>
              <w:tr w:rsidR="00830E72" w14:paraId="52E9FD83" w14:textId="77777777">
                <w:tc>
                  <w:tcPr>
                    <w:tcW w:w="1158" w:type="pct"/>
                  </w:tcPr>
                  <w:p w14:paraId="41D1A56E" w14:textId="77777777" w:rsidR="00830E72" w:rsidRDefault="008344D8">
                    <w:pPr>
                      <w:rPr>
                        <w:szCs w:val="21"/>
                      </w:rPr>
                    </w:pPr>
                    <w:r>
                      <w:rPr>
                        <w:rFonts w:hint="eastAsia"/>
                        <w:szCs w:val="21"/>
                      </w:rPr>
                      <w:t>3至4年</w:t>
                    </w:r>
                  </w:p>
                </w:tc>
                <w:tc>
                  <w:tcPr>
                    <w:tcW w:w="1276" w:type="pct"/>
                  </w:tcPr>
                  <w:p w14:paraId="22C449B9" w14:textId="77777777" w:rsidR="00830E72" w:rsidRDefault="008344D8">
                    <w:pPr>
                      <w:jc w:val="right"/>
                      <w:rPr>
                        <w:szCs w:val="21"/>
                      </w:rPr>
                    </w:pPr>
                    <w:r>
                      <w:rPr>
                        <w:szCs w:val="21"/>
                      </w:rPr>
                      <w:t>181,963,043.94</w:t>
                    </w:r>
                  </w:p>
                </w:tc>
                <w:tc>
                  <w:tcPr>
                    <w:tcW w:w="1299" w:type="pct"/>
                  </w:tcPr>
                  <w:p w14:paraId="5F4D1319" w14:textId="77777777" w:rsidR="00830E72" w:rsidRDefault="008344D8">
                    <w:pPr>
                      <w:jc w:val="right"/>
                      <w:rPr>
                        <w:szCs w:val="21"/>
                      </w:rPr>
                    </w:pPr>
                    <w:r>
                      <w:rPr>
                        <w:szCs w:val="21"/>
                      </w:rPr>
                      <w:t>40,523,169.89</w:t>
                    </w:r>
                  </w:p>
                </w:tc>
                <w:tc>
                  <w:tcPr>
                    <w:tcW w:w="1267" w:type="pct"/>
                  </w:tcPr>
                  <w:p w14:paraId="2AE29E91" w14:textId="77777777" w:rsidR="00830E72" w:rsidRDefault="008344D8">
                    <w:pPr>
                      <w:jc w:val="right"/>
                      <w:rPr>
                        <w:szCs w:val="21"/>
                      </w:rPr>
                    </w:pPr>
                    <w:r>
                      <w:rPr>
                        <w:szCs w:val="21"/>
                      </w:rPr>
                      <w:t>22.27</w:t>
                    </w:r>
                  </w:p>
                </w:tc>
              </w:tr>
            </w:sdtContent>
          </w:sdt>
          <w:sdt>
            <w:sdtPr>
              <w:rPr>
                <w:szCs w:val="21"/>
              </w:rPr>
              <w:alias w:val="按组合计提坏账准备的应收账款详细名称明细"/>
              <w:tag w:val="_TUP_f0c1437e418b477abdaa018db20308d6"/>
              <w:id w:val="1537313618"/>
              <w:lock w:val="sdtLocked"/>
            </w:sdtPr>
            <w:sdtEndPr>
              <w:rPr>
                <w:highlight w:val="yellow"/>
              </w:rPr>
            </w:sdtEndPr>
            <w:sdtContent>
              <w:tr w:rsidR="00830E72" w14:paraId="7BEAAF5A" w14:textId="77777777">
                <w:tc>
                  <w:tcPr>
                    <w:tcW w:w="1158" w:type="pct"/>
                  </w:tcPr>
                  <w:p w14:paraId="75AF6673" w14:textId="77777777" w:rsidR="00830E72" w:rsidRDefault="008344D8">
                    <w:pPr>
                      <w:rPr>
                        <w:szCs w:val="21"/>
                      </w:rPr>
                    </w:pPr>
                    <w:r>
                      <w:rPr>
                        <w:rFonts w:hint="eastAsia"/>
                        <w:szCs w:val="21"/>
                      </w:rPr>
                      <w:t>4至5年</w:t>
                    </w:r>
                  </w:p>
                </w:tc>
                <w:tc>
                  <w:tcPr>
                    <w:tcW w:w="1276" w:type="pct"/>
                  </w:tcPr>
                  <w:p w14:paraId="64FA3E24" w14:textId="77777777" w:rsidR="00830E72" w:rsidRDefault="008344D8">
                    <w:pPr>
                      <w:jc w:val="right"/>
                      <w:rPr>
                        <w:szCs w:val="21"/>
                      </w:rPr>
                    </w:pPr>
                    <w:r>
                      <w:rPr>
                        <w:szCs w:val="21"/>
                      </w:rPr>
                      <w:t>47,015,131.78</w:t>
                    </w:r>
                  </w:p>
                </w:tc>
                <w:tc>
                  <w:tcPr>
                    <w:tcW w:w="1299" w:type="pct"/>
                  </w:tcPr>
                  <w:p w14:paraId="6F2EC85C" w14:textId="77777777" w:rsidR="00830E72" w:rsidRDefault="008344D8">
                    <w:pPr>
                      <w:jc w:val="right"/>
                      <w:rPr>
                        <w:szCs w:val="21"/>
                      </w:rPr>
                    </w:pPr>
                    <w:r>
                      <w:rPr>
                        <w:szCs w:val="21"/>
                      </w:rPr>
                      <w:t>20,282,327.85</w:t>
                    </w:r>
                  </w:p>
                </w:tc>
                <w:tc>
                  <w:tcPr>
                    <w:tcW w:w="1267" w:type="pct"/>
                  </w:tcPr>
                  <w:p w14:paraId="70C97717" w14:textId="77777777" w:rsidR="00830E72" w:rsidRDefault="008344D8">
                    <w:pPr>
                      <w:jc w:val="right"/>
                      <w:rPr>
                        <w:szCs w:val="21"/>
                      </w:rPr>
                    </w:pPr>
                    <w:r>
                      <w:rPr>
                        <w:rFonts w:hint="eastAsia"/>
                        <w:szCs w:val="21"/>
                      </w:rPr>
                      <w:t>43.14</w:t>
                    </w:r>
                  </w:p>
                </w:tc>
              </w:tr>
            </w:sdtContent>
          </w:sdt>
          <w:sdt>
            <w:sdtPr>
              <w:rPr>
                <w:szCs w:val="21"/>
              </w:rPr>
              <w:alias w:val="按组合计提坏账准备的应收账款详细名称明细"/>
              <w:tag w:val="_TUP_f0c1437e418b477abdaa018db20308d6"/>
              <w:id w:val="348301876"/>
              <w:lock w:val="sdtLocked"/>
            </w:sdtPr>
            <w:sdtEndPr>
              <w:rPr>
                <w:highlight w:val="yellow"/>
              </w:rPr>
            </w:sdtEndPr>
            <w:sdtContent>
              <w:tr w:rsidR="00830E72" w14:paraId="750F949C" w14:textId="77777777">
                <w:tc>
                  <w:tcPr>
                    <w:tcW w:w="1158" w:type="pct"/>
                  </w:tcPr>
                  <w:p w14:paraId="75561597" w14:textId="77777777" w:rsidR="00830E72" w:rsidRDefault="008344D8">
                    <w:pPr>
                      <w:rPr>
                        <w:szCs w:val="21"/>
                      </w:rPr>
                    </w:pPr>
                    <w:r>
                      <w:rPr>
                        <w:rFonts w:hint="eastAsia"/>
                        <w:szCs w:val="21"/>
                      </w:rPr>
                      <w:t>5年以上</w:t>
                    </w:r>
                  </w:p>
                </w:tc>
                <w:tc>
                  <w:tcPr>
                    <w:tcW w:w="1276" w:type="pct"/>
                  </w:tcPr>
                  <w:p w14:paraId="0287327A" w14:textId="77777777" w:rsidR="00830E72" w:rsidRDefault="008344D8">
                    <w:pPr>
                      <w:jc w:val="right"/>
                      <w:rPr>
                        <w:szCs w:val="21"/>
                      </w:rPr>
                    </w:pPr>
                    <w:r>
                      <w:rPr>
                        <w:szCs w:val="21"/>
                      </w:rPr>
                      <w:t>14,417,664.34</w:t>
                    </w:r>
                  </w:p>
                </w:tc>
                <w:tc>
                  <w:tcPr>
                    <w:tcW w:w="1299" w:type="pct"/>
                  </w:tcPr>
                  <w:p w14:paraId="17A82619" w14:textId="77777777" w:rsidR="00830E72" w:rsidRDefault="008344D8">
                    <w:pPr>
                      <w:jc w:val="right"/>
                      <w:rPr>
                        <w:szCs w:val="21"/>
                      </w:rPr>
                    </w:pPr>
                    <w:r>
                      <w:rPr>
                        <w:szCs w:val="21"/>
                      </w:rPr>
                      <w:t>14,417,664.34</w:t>
                    </w:r>
                  </w:p>
                </w:tc>
                <w:tc>
                  <w:tcPr>
                    <w:tcW w:w="1267" w:type="pct"/>
                  </w:tcPr>
                  <w:p w14:paraId="28CA5445" w14:textId="77777777" w:rsidR="00830E72" w:rsidRDefault="008344D8">
                    <w:pPr>
                      <w:jc w:val="right"/>
                      <w:rPr>
                        <w:szCs w:val="21"/>
                      </w:rPr>
                    </w:pPr>
                    <w:r>
                      <w:rPr>
                        <w:szCs w:val="21"/>
                      </w:rPr>
                      <w:t>100.00</w:t>
                    </w:r>
                  </w:p>
                </w:tc>
              </w:tr>
            </w:sdtContent>
          </w:sdt>
          <w:tr w:rsidR="00830E72" w14:paraId="30D8E534" w14:textId="77777777">
            <w:sdt>
              <w:sdtPr>
                <w:tag w:val="_PLD_435948144728481980336a881622f9ca"/>
                <w:id w:val="931778306"/>
                <w:lock w:val="sdtLocked"/>
              </w:sdtPr>
              <w:sdtEndPr/>
              <w:sdtContent>
                <w:tc>
                  <w:tcPr>
                    <w:tcW w:w="1158" w:type="pct"/>
                    <w:vAlign w:val="center"/>
                  </w:tcPr>
                  <w:p w14:paraId="71C511B1" w14:textId="77777777" w:rsidR="00830E72" w:rsidRDefault="008344D8">
                    <w:pPr>
                      <w:jc w:val="center"/>
                      <w:rPr>
                        <w:szCs w:val="21"/>
                      </w:rPr>
                    </w:pPr>
                    <w:r>
                      <w:rPr>
                        <w:rFonts w:hint="eastAsia"/>
                        <w:szCs w:val="21"/>
                      </w:rPr>
                      <w:t>合计</w:t>
                    </w:r>
                  </w:p>
                </w:tc>
              </w:sdtContent>
            </w:sdt>
            <w:tc>
              <w:tcPr>
                <w:tcW w:w="1276" w:type="pct"/>
              </w:tcPr>
              <w:p w14:paraId="3044983B" w14:textId="4A9FF34F" w:rsidR="00830E72" w:rsidRDefault="008344D8">
                <w:pPr>
                  <w:jc w:val="right"/>
                  <w:rPr>
                    <w:szCs w:val="21"/>
                  </w:rPr>
                </w:pPr>
                <w:r>
                  <w:t>2,173,792,464.77</w:t>
                </w:r>
              </w:p>
            </w:tc>
            <w:tc>
              <w:tcPr>
                <w:tcW w:w="1299" w:type="pct"/>
              </w:tcPr>
              <w:p w14:paraId="5290DCAF" w14:textId="7D9B51D9" w:rsidR="00830E72" w:rsidRDefault="008344D8">
                <w:pPr>
                  <w:jc w:val="right"/>
                  <w:rPr>
                    <w:szCs w:val="21"/>
                  </w:rPr>
                </w:pPr>
                <w:r>
                  <w:t>151,378,387.66</w:t>
                </w:r>
              </w:p>
            </w:tc>
            <w:tc>
              <w:tcPr>
                <w:tcW w:w="1267" w:type="pct"/>
              </w:tcPr>
              <w:p w14:paraId="1A6F09D5" w14:textId="652E57E5" w:rsidR="00830E72" w:rsidRDefault="007B4AE7">
                <w:pPr>
                  <w:jc w:val="right"/>
                  <w:rPr>
                    <w:szCs w:val="21"/>
                  </w:rPr>
                </w:pPr>
                <w:r>
                  <w:rPr>
                    <w:szCs w:val="21"/>
                  </w:rPr>
                  <w:t>6.96</w:t>
                </w:r>
              </w:p>
            </w:tc>
          </w:tr>
        </w:tbl>
        <w:p w14:paraId="0BDDD7E8" w14:textId="77777777" w:rsidR="00830E72" w:rsidRDefault="00830E72"/>
        <w:p w14:paraId="58B094DB" w14:textId="77777777" w:rsidR="00830E72" w:rsidRDefault="008344D8">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186c78f5430148f29cc239ac6b530e5e"/>
            <w:id w:val="395945877"/>
            <w:lock w:val="sdtContentLocked"/>
            <w:placeholder>
              <w:docPart w:val="GBC22222222222222222222222222222"/>
            </w:placeholder>
          </w:sdtPr>
          <w:sdtEndPr/>
          <w:sdtContent>
            <w:p w14:paraId="2D429622" w14:textId="204B7C5B"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08" w:displacedByCustomXml="prev"/>
    <w:bookmarkStart w:id="209" w:name="_Hlk10540115" w:displacedByCustomXml="next"/>
    <w:bookmarkStart w:id="210" w:name="_Hlk10540132" w:displacedByCustomXml="next"/>
    <w:sdt>
      <w:sdtPr>
        <w:rPr>
          <w:rFonts w:hint="eastAsia"/>
        </w:rPr>
        <w:alias w:val="模块:如按预期信用损失一般模型计提坏账准备，请参照其他应收款披露："/>
        <w:tag w:val="_SEC_0daf1df16ecd4ddb95ab2ba88474abac"/>
        <w:id w:val="-337467399"/>
        <w:lock w:val="sdtLocked"/>
        <w:placeholder>
          <w:docPart w:val="GBC22222222222222222222222222222"/>
        </w:placeholder>
      </w:sdtPr>
      <w:sdtEndPr>
        <w:rPr>
          <w:rFonts w:hint="default"/>
          <w:szCs w:val="21"/>
        </w:rPr>
      </w:sdtEndPr>
      <w:sdtContent>
        <w:p w14:paraId="6E866F10" w14:textId="77777777" w:rsidR="00830E72" w:rsidRDefault="008344D8">
          <w:r>
            <w:rPr>
              <w:rFonts w:hint="eastAsia"/>
            </w:rPr>
            <w:t>如按预期信用损失一般模型计提坏账准备，请参照其他应收款披露：</w:t>
          </w:r>
          <w:bookmarkEnd w:id="209"/>
        </w:p>
        <w:sdt>
          <w:sdtPr>
            <w:alias w:val="是否适用：母公司应收账款按一般预计信用损失模型计提坏账[双击切换]"/>
            <w:tag w:val="_GBC_549d8a07d3e545ee8ada79b15a8ba3e9"/>
            <w:id w:val="841440278"/>
            <w:lock w:val="sdtContentLocked"/>
            <w:placeholder>
              <w:docPart w:val="GBC22222222222222222222222222222"/>
            </w:placeholder>
          </w:sdtPr>
          <w:sdtEndPr/>
          <w:sdtContent>
            <w:p w14:paraId="365FBB6A"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1A59C11" w14:textId="77777777" w:rsidR="00830E72" w:rsidRDefault="00D44830">
          <w:pPr>
            <w:rPr>
              <w:szCs w:val="21"/>
            </w:rPr>
          </w:pPr>
        </w:p>
      </w:sdtContent>
    </w:sdt>
    <w:p w14:paraId="1960E164" w14:textId="77777777" w:rsidR="00830E72" w:rsidRDefault="008344D8">
      <w:pPr>
        <w:pStyle w:val="Style100"/>
        <w:numPr>
          <w:ilvl w:val="0"/>
          <w:numId w:val="96"/>
        </w:numPr>
        <w:tabs>
          <w:tab w:val="left" w:pos="644"/>
        </w:tabs>
        <w:ind w:left="0" w:firstLine="0"/>
        <w:rPr>
          <w:rFonts w:ascii="宋体" w:hAnsi="宋体"/>
          <w:szCs w:val="21"/>
        </w:rPr>
      </w:pPr>
      <w:bookmarkStart w:id="211" w:name="_Hlk10540190"/>
      <w:bookmarkStart w:id="212" w:name="_Hlk10540207"/>
      <w:bookmarkEnd w:id="210"/>
      <w:r>
        <w:rPr>
          <w:rFonts w:ascii="宋体" w:hAnsi="宋体" w:hint="eastAsia"/>
          <w:szCs w:val="21"/>
        </w:rPr>
        <w:t>坏账准备的情况</w:t>
      </w:r>
      <w:bookmarkEnd w:id="211"/>
    </w:p>
    <w:sdt>
      <w:sdtPr>
        <w:alias w:val="是否适用：母公司应收账款坏账准备情况[双击切换]"/>
        <w:tag w:val="_GBC_f73789de2ecf49c4bad380c8767c93cf"/>
        <w:id w:val="-356738492"/>
        <w:lock w:val="sdtContentLocked"/>
        <w:placeholder>
          <w:docPart w:val="GBC22222222222222222222222222222"/>
        </w:placeholder>
      </w:sdtPr>
      <w:sdtEndPr/>
      <w:sdtContent>
        <w:p w14:paraId="34B3690F"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213" w:name="_Hlk41553597" w:displacedByCustomXml="next"/>
    <w:sdt>
      <w:sdtPr>
        <w:rPr>
          <w:rFonts w:ascii="宋体" w:hAnsi="宋体" w:cs="宋体" w:hint="eastAsia"/>
          <w:kern w:val="0"/>
          <w:szCs w:val="21"/>
        </w:rPr>
        <w:alias w:val="模块:单位：元 币种：人民币类别期初余额本期变动金额期末余额计提..."/>
        <w:tag w:val="_SEC_1d771df7b6f44c3999ed9d4bceb75d3a"/>
        <w:id w:val="-1115061349"/>
        <w:lock w:val="sdtLocked"/>
        <w:placeholder>
          <w:docPart w:val="GBC22222222222222222222222222222"/>
        </w:placeholder>
      </w:sdtPr>
      <w:sdtEndPr>
        <w:rPr>
          <w:rFonts w:cs="Times New Roman" w:hint="default"/>
          <w:kern w:val="2"/>
        </w:rPr>
      </w:sdtEndPr>
      <w:sdtContent>
        <w:p w14:paraId="61D232F9" w14:textId="77777777" w:rsidR="00830E72" w:rsidRDefault="008344D8">
          <w:pPr>
            <w:pStyle w:val="Style118"/>
            <w:snapToGrid w:val="0"/>
            <w:spacing w:line="240" w:lineRule="atLeast"/>
            <w:ind w:left="42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母公司应收账款坏账准备情况"/>
              <w:tag w:val="_GBC_b1cb6a2ed32f4cbba0ff71c0724458cf"/>
              <w:id w:val="5750269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母公司应收账款坏账准备情况"/>
              <w:tag w:val="_GBC_d354bf362fbe459f823a08ebfd7e3967"/>
              <w:id w:val="20524148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82"/>
            <w:gridCol w:w="1710"/>
            <w:gridCol w:w="710"/>
            <w:gridCol w:w="1701"/>
            <w:gridCol w:w="989"/>
            <w:gridCol w:w="871"/>
            <w:gridCol w:w="1696"/>
          </w:tblGrid>
          <w:tr w:rsidR="00830E72" w14:paraId="3EB880A4" w14:textId="77777777" w:rsidTr="0034733E">
            <w:trPr>
              <w:jc w:val="center"/>
            </w:trPr>
            <w:sdt>
              <w:sdtPr>
                <w:tag w:val="_PLD_f6bf13992bdc4b06bd6f364458e0df47"/>
                <w:id w:val="-1118747934"/>
                <w:lock w:val="sdtLocked"/>
              </w:sdtPr>
              <w:sdtEndPr/>
              <w:sdtContent>
                <w:tc>
                  <w:tcPr>
                    <w:tcW w:w="763" w:type="pct"/>
                    <w:vMerge w:val="restart"/>
                    <w:shd w:val="clear" w:color="auto" w:fill="FFFFFF"/>
                    <w:vAlign w:val="center"/>
                  </w:tcPr>
                  <w:p w14:paraId="57FA6215" w14:textId="77777777" w:rsidR="00830E72" w:rsidRDefault="008344D8">
                    <w:pPr>
                      <w:widowControl w:val="0"/>
                      <w:jc w:val="center"/>
                    </w:pPr>
                    <w:r>
                      <w:t>类别</w:t>
                    </w:r>
                  </w:p>
                </w:tc>
              </w:sdtContent>
            </w:sdt>
            <w:sdt>
              <w:sdtPr>
                <w:tag w:val="_PLD_579b33cd0d7e490d998a64c9f202ccfb"/>
                <w:id w:val="323322795"/>
                <w:lock w:val="sdtLocked"/>
              </w:sdtPr>
              <w:sdtEndPr/>
              <w:sdtContent>
                <w:tc>
                  <w:tcPr>
                    <w:tcW w:w="944" w:type="pct"/>
                    <w:vMerge w:val="restart"/>
                    <w:shd w:val="clear" w:color="auto" w:fill="FFFFFF"/>
                    <w:vAlign w:val="center"/>
                  </w:tcPr>
                  <w:p w14:paraId="3B91A17C" w14:textId="77777777" w:rsidR="00830E72" w:rsidRDefault="008344D8">
                    <w:pPr>
                      <w:widowControl w:val="0"/>
                      <w:jc w:val="center"/>
                    </w:pPr>
                    <w:r>
                      <w:t>期初余额</w:t>
                    </w:r>
                  </w:p>
                </w:tc>
              </w:sdtContent>
            </w:sdt>
            <w:sdt>
              <w:sdtPr>
                <w:tag w:val="_PLD_2cbc55bce2ef44bbb40e4050dfe846f1"/>
                <w:id w:val="-542375948"/>
                <w:lock w:val="sdtLocked"/>
              </w:sdtPr>
              <w:sdtEndPr/>
              <w:sdtContent>
                <w:tc>
                  <w:tcPr>
                    <w:tcW w:w="2357" w:type="pct"/>
                    <w:gridSpan w:val="4"/>
                    <w:shd w:val="clear" w:color="auto" w:fill="FFFFFF"/>
                    <w:vAlign w:val="center"/>
                  </w:tcPr>
                  <w:p w14:paraId="5CECF46D" w14:textId="77777777" w:rsidR="00830E72" w:rsidRDefault="008344D8">
                    <w:pPr>
                      <w:widowControl w:val="0"/>
                      <w:jc w:val="center"/>
                    </w:pPr>
                    <w:r>
                      <w:rPr>
                        <w:rFonts w:hint="eastAsia"/>
                      </w:rPr>
                      <w:t>本期变动</w:t>
                    </w:r>
                    <w:r>
                      <w:t>金额</w:t>
                    </w:r>
                  </w:p>
                </w:tc>
              </w:sdtContent>
            </w:sdt>
            <w:sdt>
              <w:sdtPr>
                <w:tag w:val="_PLD_dcc9f714adf8465eb1a49da61466de1f"/>
                <w:id w:val="455839656"/>
                <w:lock w:val="sdtLocked"/>
              </w:sdtPr>
              <w:sdtEndPr/>
              <w:sdtContent>
                <w:tc>
                  <w:tcPr>
                    <w:tcW w:w="936" w:type="pct"/>
                    <w:vMerge w:val="restart"/>
                    <w:shd w:val="clear" w:color="auto" w:fill="FFFFFF"/>
                    <w:vAlign w:val="center"/>
                  </w:tcPr>
                  <w:p w14:paraId="0969E666" w14:textId="77777777" w:rsidR="00830E72" w:rsidRDefault="008344D8">
                    <w:pPr>
                      <w:widowControl w:val="0"/>
                      <w:jc w:val="center"/>
                    </w:pPr>
                    <w:r>
                      <w:t>期末余额</w:t>
                    </w:r>
                  </w:p>
                </w:tc>
              </w:sdtContent>
            </w:sdt>
          </w:tr>
          <w:tr w:rsidR="00830E72" w14:paraId="02EAFA6D" w14:textId="77777777" w:rsidTr="0034733E">
            <w:trPr>
              <w:jc w:val="center"/>
            </w:trPr>
            <w:tc>
              <w:tcPr>
                <w:tcW w:w="763" w:type="pct"/>
                <w:vMerge/>
                <w:shd w:val="clear" w:color="auto" w:fill="FFFFFF"/>
              </w:tcPr>
              <w:p w14:paraId="472BE626" w14:textId="77777777" w:rsidR="00830E72" w:rsidRDefault="00830E72">
                <w:pPr>
                  <w:widowControl w:val="0"/>
                  <w:jc w:val="center"/>
                </w:pPr>
              </w:p>
            </w:tc>
            <w:tc>
              <w:tcPr>
                <w:tcW w:w="944" w:type="pct"/>
                <w:vMerge/>
                <w:shd w:val="clear" w:color="auto" w:fill="FFFFFF"/>
              </w:tcPr>
              <w:p w14:paraId="7A292016" w14:textId="77777777" w:rsidR="00830E72" w:rsidRDefault="00830E72">
                <w:pPr>
                  <w:widowControl w:val="0"/>
                  <w:jc w:val="center"/>
                </w:pPr>
              </w:p>
            </w:tc>
            <w:sdt>
              <w:sdtPr>
                <w:tag w:val="_PLD_e4e43f7257b14faaaaf4b09b161bf7b7"/>
                <w:id w:val="-19776450"/>
                <w:lock w:val="sdtLocked"/>
              </w:sdtPr>
              <w:sdtEndPr/>
              <w:sdtContent>
                <w:tc>
                  <w:tcPr>
                    <w:tcW w:w="392" w:type="pct"/>
                    <w:shd w:val="clear" w:color="auto" w:fill="FFFFFF"/>
                    <w:vAlign w:val="center"/>
                  </w:tcPr>
                  <w:p w14:paraId="16C0D57E" w14:textId="77777777" w:rsidR="00830E72" w:rsidRDefault="008344D8">
                    <w:pPr>
                      <w:widowControl w:val="0"/>
                      <w:jc w:val="center"/>
                    </w:pPr>
                    <w:r>
                      <w:t>计提</w:t>
                    </w:r>
                  </w:p>
                </w:tc>
              </w:sdtContent>
            </w:sdt>
            <w:sdt>
              <w:sdtPr>
                <w:tag w:val="_PLD_bf7fb55a6c2a4d18926896fd921fc857"/>
                <w:id w:val="-397127229"/>
                <w:lock w:val="sdtLocked"/>
              </w:sdtPr>
              <w:sdtEndPr/>
              <w:sdtContent>
                <w:tc>
                  <w:tcPr>
                    <w:tcW w:w="939" w:type="pct"/>
                    <w:shd w:val="clear" w:color="auto" w:fill="FFFFFF"/>
                    <w:vAlign w:val="center"/>
                  </w:tcPr>
                  <w:p w14:paraId="7ECB1305" w14:textId="77777777" w:rsidR="00830E72" w:rsidRDefault="008344D8">
                    <w:pPr>
                      <w:widowControl w:val="0"/>
                      <w:jc w:val="center"/>
                    </w:pPr>
                    <w:r>
                      <w:rPr>
                        <w:rFonts w:hint="eastAsia"/>
                      </w:rPr>
                      <w:t>收回或转回</w:t>
                    </w:r>
                  </w:p>
                </w:tc>
              </w:sdtContent>
            </w:sdt>
            <w:tc>
              <w:tcPr>
                <w:tcW w:w="546" w:type="pct"/>
                <w:shd w:val="clear" w:color="auto" w:fill="FFFFFF"/>
                <w:vAlign w:val="center"/>
              </w:tcPr>
              <w:sdt>
                <w:sdtPr>
                  <w:rPr>
                    <w:rFonts w:hint="eastAsia"/>
                  </w:rPr>
                  <w:tag w:val="_PLD_536d31c824d74db3baaa7f5b6cd0a9ec"/>
                  <w:id w:val="407898286"/>
                  <w:lock w:val="sdtLocked"/>
                </w:sdtPr>
                <w:sdtEndPr/>
                <w:sdtContent>
                  <w:p w14:paraId="4FA59543" w14:textId="77777777" w:rsidR="00830E72" w:rsidRDefault="008344D8">
                    <w:pPr>
                      <w:widowControl w:val="0"/>
                      <w:jc w:val="center"/>
                    </w:pPr>
                    <w:r>
                      <w:rPr>
                        <w:rFonts w:hint="eastAsia"/>
                      </w:rPr>
                      <w:t>转销或核销</w:t>
                    </w:r>
                  </w:p>
                </w:sdtContent>
              </w:sdt>
            </w:tc>
            <w:tc>
              <w:tcPr>
                <w:tcW w:w="481" w:type="pct"/>
                <w:shd w:val="clear" w:color="auto" w:fill="FFFFFF"/>
                <w:vAlign w:val="center"/>
              </w:tcPr>
              <w:sdt>
                <w:sdtPr>
                  <w:rPr>
                    <w:rFonts w:hint="eastAsia"/>
                  </w:rPr>
                  <w:tag w:val="_PLD_32a7ce101f6b48d68c39e1edb6e78b82"/>
                  <w:id w:val="571086673"/>
                  <w:lock w:val="sdtLocked"/>
                </w:sdtPr>
                <w:sdtEndPr/>
                <w:sdtContent>
                  <w:p w14:paraId="1E5BFB4A" w14:textId="77777777" w:rsidR="00830E72" w:rsidRDefault="008344D8">
                    <w:pPr>
                      <w:widowControl w:val="0"/>
                      <w:jc w:val="right"/>
                    </w:pPr>
                    <w:r>
                      <w:rPr>
                        <w:rFonts w:hint="eastAsia"/>
                      </w:rPr>
                      <w:t>其他变动</w:t>
                    </w:r>
                  </w:p>
                </w:sdtContent>
              </w:sdt>
            </w:tc>
            <w:tc>
              <w:tcPr>
                <w:tcW w:w="936" w:type="pct"/>
                <w:vMerge/>
                <w:shd w:val="clear" w:color="auto" w:fill="FFFFFF"/>
              </w:tcPr>
              <w:p w14:paraId="49C41874" w14:textId="77777777" w:rsidR="00830E72" w:rsidRDefault="00830E72">
                <w:pPr>
                  <w:widowControl w:val="0"/>
                  <w:jc w:val="right"/>
                </w:pPr>
              </w:p>
            </w:tc>
          </w:tr>
          <w:sdt>
            <w:sdtPr>
              <w:alias w:val="应收账款坏账准备明细"/>
              <w:tag w:val="_TUP_b4b5569b724a48fcad53c89b4a37cb1c"/>
              <w:id w:val="-508989321"/>
              <w:placeholder>
                <w:docPart w:val="GBC11111111111111111111111111111"/>
              </w:placeholder>
            </w:sdtPr>
            <w:sdtEndPr/>
            <w:sdtContent>
              <w:tr w:rsidR="00830E72" w14:paraId="377E3708" w14:textId="77777777" w:rsidTr="0034733E">
                <w:trPr>
                  <w:jc w:val="center"/>
                </w:trPr>
                <w:tc>
                  <w:tcPr>
                    <w:tcW w:w="763" w:type="pct"/>
                    <w:shd w:val="clear" w:color="auto" w:fill="auto"/>
                  </w:tcPr>
                  <w:p w14:paraId="0B95EABD" w14:textId="77777777" w:rsidR="00830E72" w:rsidRDefault="008344D8">
                    <w:pPr>
                      <w:widowControl w:val="0"/>
                    </w:pPr>
                    <w:r>
                      <w:rPr>
                        <w:rFonts w:hint="eastAsia"/>
                      </w:rPr>
                      <w:t>按组合计提坏账准备</w:t>
                    </w:r>
                  </w:p>
                </w:tc>
                <w:tc>
                  <w:tcPr>
                    <w:tcW w:w="944" w:type="pct"/>
                    <w:shd w:val="clear" w:color="auto" w:fill="auto"/>
                    <w:vAlign w:val="center"/>
                  </w:tcPr>
                  <w:p w14:paraId="115AFE8D" w14:textId="77777777" w:rsidR="00830E72" w:rsidRDefault="008344D8">
                    <w:pPr>
                      <w:widowControl w:val="0"/>
                      <w:jc w:val="right"/>
                    </w:pPr>
                    <w:r>
                      <w:t>154,904,355.70</w:t>
                    </w:r>
                  </w:p>
                </w:tc>
                <w:tc>
                  <w:tcPr>
                    <w:tcW w:w="392" w:type="pct"/>
                    <w:shd w:val="clear" w:color="auto" w:fill="auto"/>
                    <w:vAlign w:val="center"/>
                  </w:tcPr>
                  <w:p w14:paraId="6AE41FEF" w14:textId="207D178F" w:rsidR="00830E72" w:rsidRDefault="00830E72">
                    <w:pPr>
                      <w:widowControl w:val="0"/>
                      <w:jc w:val="right"/>
                    </w:pPr>
                  </w:p>
                </w:tc>
                <w:tc>
                  <w:tcPr>
                    <w:tcW w:w="939" w:type="pct"/>
                    <w:shd w:val="clear" w:color="auto" w:fill="auto"/>
                    <w:vAlign w:val="center"/>
                  </w:tcPr>
                  <w:p w14:paraId="4CA9F1AC" w14:textId="74F6BCF4" w:rsidR="00830E72" w:rsidRDefault="007B4AE7">
                    <w:pPr>
                      <w:widowControl w:val="0"/>
                      <w:jc w:val="right"/>
                    </w:pPr>
                    <w:r w:rsidRPr="007B4AE7">
                      <w:t>3,525,968.04</w:t>
                    </w:r>
                  </w:p>
                </w:tc>
                <w:tc>
                  <w:tcPr>
                    <w:tcW w:w="546" w:type="pct"/>
                    <w:vAlign w:val="center"/>
                  </w:tcPr>
                  <w:p w14:paraId="2EA92DA0" w14:textId="77777777" w:rsidR="00830E72" w:rsidRDefault="00830E72">
                    <w:pPr>
                      <w:widowControl w:val="0"/>
                      <w:jc w:val="right"/>
                    </w:pPr>
                  </w:p>
                </w:tc>
                <w:tc>
                  <w:tcPr>
                    <w:tcW w:w="481" w:type="pct"/>
                    <w:vAlign w:val="center"/>
                  </w:tcPr>
                  <w:p w14:paraId="2B481A4F" w14:textId="77777777" w:rsidR="00830E72" w:rsidRDefault="00830E72">
                    <w:pPr>
                      <w:widowControl w:val="0"/>
                      <w:jc w:val="right"/>
                    </w:pPr>
                  </w:p>
                </w:tc>
                <w:tc>
                  <w:tcPr>
                    <w:tcW w:w="936" w:type="pct"/>
                    <w:shd w:val="clear" w:color="auto" w:fill="auto"/>
                    <w:vAlign w:val="center"/>
                  </w:tcPr>
                  <w:p w14:paraId="0826119C" w14:textId="77777777" w:rsidR="00830E72" w:rsidRDefault="008344D8">
                    <w:pPr>
                      <w:widowControl w:val="0"/>
                      <w:jc w:val="right"/>
                    </w:pPr>
                    <w:r>
                      <w:t>151,378,387.66</w:t>
                    </w:r>
                  </w:p>
                </w:tc>
              </w:tr>
            </w:sdtContent>
          </w:sdt>
          <w:tr w:rsidR="00830E72" w14:paraId="78FBBBC5" w14:textId="77777777" w:rsidTr="0034733E">
            <w:trPr>
              <w:jc w:val="center"/>
            </w:trPr>
            <w:sdt>
              <w:sdtPr>
                <w:tag w:val="_PLD_305ead24b9654c709cb715b961cef894"/>
                <w:id w:val="408966470"/>
                <w:lock w:val="sdtLocked"/>
              </w:sdtPr>
              <w:sdtEndPr/>
              <w:sdtContent>
                <w:tc>
                  <w:tcPr>
                    <w:tcW w:w="763" w:type="pct"/>
                    <w:shd w:val="clear" w:color="auto" w:fill="auto"/>
                  </w:tcPr>
                  <w:p w14:paraId="001211F1" w14:textId="77777777" w:rsidR="00830E72" w:rsidRDefault="008344D8">
                    <w:pPr>
                      <w:widowControl w:val="0"/>
                      <w:jc w:val="center"/>
                    </w:pPr>
                    <w:r>
                      <w:rPr>
                        <w:rFonts w:hint="eastAsia"/>
                      </w:rPr>
                      <w:t>合计</w:t>
                    </w:r>
                  </w:p>
                </w:tc>
              </w:sdtContent>
            </w:sdt>
            <w:tc>
              <w:tcPr>
                <w:tcW w:w="944" w:type="pct"/>
                <w:shd w:val="clear" w:color="auto" w:fill="auto"/>
                <w:vAlign w:val="center"/>
              </w:tcPr>
              <w:p w14:paraId="5046EA78" w14:textId="77777777" w:rsidR="00830E72" w:rsidRDefault="008344D8">
                <w:pPr>
                  <w:widowControl w:val="0"/>
                  <w:jc w:val="right"/>
                </w:pPr>
                <w:r>
                  <w:t>154,904,355.70</w:t>
                </w:r>
              </w:p>
            </w:tc>
            <w:tc>
              <w:tcPr>
                <w:tcW w:w="392" w:type="pct"/>
                <w:shd w:val="clear" w:color="auto" w:fill="auto"/>
                <w:vAlign w:val="center"/>
              </w:tcPr>
              <w:p w14:paraId="4B9DE5F8" w14:textId="79FD9C1E" w:rsidR="00830E72" w:rsidRDefault="00830E72">
                <w:pPr>
                  <w:widowControl w:val="0"/>
                  <w:jc w:val="right"/>
                </w:pPr>
              </w:p>
            </w:tc>
            <w:tc>
              <w:tcPr>
                <w:tcW w:w="939" w:type="pct"/>
                <w:shd w:val="clear" w:color="auto" w:fill="auto"/>
                <w:vAlign w:val="center"/>
              </w:tcPr>
              <w:p w14:paraId="038C438C" w14:textId="13058735" w:rsidR="00830E72" w:rsidRDefault="007B4AE7">
                <w:pPr>
                  <w:widowControl w:val="0"/>
                  <w:jc w:val="right"/>
                </w:pPr>
                <w:r w:rsidRPr="007B4AE7">
                  <w:t>3,525,968.04</w:t>
                </w:r>
              </w:p>
            </w:tc>
            <w:tc>
              <w:tcPr>
                <w:tcW w:w="546" w:type="pct"/>
                <w:vAlign w:val="center"/>
              </w:tcPr>
              <w:p w14:paraId="37080D47" w14:textId="77777777" w:rsidR="00830E72" w:rsidRDefault="00830E72">
                <w:pPr>
                  <w:widowControl w:val="0"/>
                  <w:jc w:val="right"/>
                </w:pPr>
              </w:p>
            </w:tc>
            <w:tc>
              <w:tcPr>
                <w:tcW w:w="481" w:type="pct"/>
                <w:vAlign w:val="center"/>
              </w:tcPr>
              <w:p w14:paraId="4AF23835" w14:textId="77777777" w:rsidR="00830E72" w:rsidRDefault="00830E72">
                <w:pPr>
                  <w:widowControl w:val="0"/>
                  <w:jc w:val="right"/>
                </w:pPr>
              </w:p>
            </w:tc>
            <w:tc>
              <w:tcPr>
                <w:tcW w:w="936" w:type="pct"/>
                <w:shd w:val="clear" w:color="auto" w:fill="auto"/>
                <w:vAlign w:val="center"/>
              </w:tcPr>
              <w:p w14:paraId="496313CF" w14:textId="77777777" w:rsidR="00830E72" w:rsidRDefault="008344D8">
                <w:pPr>
                  <w:widowControl w:val="0"/>
                  <w:jc w:val="right"/>
                </w:pPr>
                <w:r>
                  <w:t>151,378,387.66</w:t>
                </w:r>
              </w:p>
            </w:tc>
          </w:tr>
        </w:tbl>
        <w:p w14:paraId="6C5F7105" w14:textId="77777777" w:rsidR="00830E72" w:rsidRDefault="00D44830">
          <w:pPr>
            <w:pStyle w:val="Style118"/>
            <w:snapToGrid w:val="0"/>
            <w:spacing w:line="240" w:lineRule="atLeast"/>
            <w:ind w:left="425" w:firstLineChars="0" w:firstLine="0"/>
            <w:jc w:val="left"/>
            <w:rPr>
              <w:rFonts w:ascii="宋体" w:hAnsi="宋体"/>
              <w:szCs w:val="21"/>
            </w:rPr>
          </w:pPr>
        </w:p>
      </w:sdtContent>
    </w:sdt>
    <w:bookmarkEnd w:id="212" w:displacedByCustomXml="next"/>
    <w:bookmarkEnd w:id="213" w:displacedByCustomXml="next"/>
    <w:bookmarkStart w:id="214" w:name="_Hlk10540223" w:displacedByCustomXml="next"/>
    <w:bookmarkStart w:id="215" w:name="_Hlk10540234" w:displacedByCustomXml="next"/>
    <w:sdt>
      <w:sdtPr>
        <w:rPr>
          <w:rFonts w:hint="eastAsia"/>
        </w:rPr>
        <w:alias w:val="模块:其中本期坏账准备收回或转回金额重要的："/>
        <w:tag w:val="_SEC_cfbe6c51f19042a4ad507f8066423e41"/>
        <w:id w:val="27931469"/>
        <w:lock w:val="sdtLocked"/>
        <w:placeholder>
          <w:docPart w:val="GBC22222222222222222222222222222"/>
        </w:placeholder>
      </w:sdtPr>
      <w:sdtEndPr>
        <w:rPr>
          <w:rFonts w:hint="default"/>
        </w:rPr>
      </w:sdtEndPr>
      <w:sdtContent>
        <w:p w14:paraId="247FC1C8" w14:textId="77777777" w:rsidR="00830E72" w:rsidRDefault="008344D8">
          <w:r>
            <w:rPr>
              <w:rFonts w:hint="eastAsia"/>
            </w:rPr>
            <w:t>其中本期坏账准备收回或转回金额重要的：</w:t>
          </w:r>
          <w:bookmarkEnd w:id="214"/>
        </w:p>
        <w:sdt>
          <w:sdtPr>
            <w:alias w:val="是否适用：母公司其中本期坏账准备收回或转回金额重要的[双击切换]"/>
            <w:tag w:val="_GBC_a6aa75dceb1749caaf0ac8239ed005c1"/>
            <w:id w:val="-1924022998"/>
            <w:lock w:val="sdtContentLocked"/>
            <w:placeholder>
              <w:docPart w:val="GBC22222222222222222222222222222"/>
            </w:placeholder>
          </w:sdtPr>
          <w:sdtEndPr/>
          <w:sdtContent>
            <w:p w14:paraId="5439DDF6" w14:textId="77777777" w:rsidR="00830E72" w:rsidRDefault="008344D8">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B050B12" w14:textId="77777777" w:rsidR="00830E72" w:rsidRDefault="00D44830">
          <w:pPr>
            <w:ind w:rightChars="-759" w:right="-1594"/>
            <w:rPr>
              <w:szCs w:val="21"/>
            </w:rPr>
          </w:pPr>
        </w:p>
      </w:sdtContent>
    </w:sdt>
    <w:bookmarkEnd w:id="215" w:displacedByCustomXml="next"/>
    <w:sdt>
      <w:sdtPr>
        <w:rPr>
          <w:rFonts w:ascii="宋体" w:hAnsi="宋体" w:cs="宋体" w:hint="eastAsia"/>
          <w:b w:val="0"/>
          <w:bCs w:val="0"/>
          <w:kern w:val="0"/>
          <w:szCs w:val="24"/>
        </w:rPr>
        <w:alias w:val="模块:本报告期实际核销的应收账款情况"/>
        <w:tag w:val="_GBC_72fe1bcd09e2470f910107f1e159af49"/>
        <w:id w:val="1582334374"/>
        <w:lock w:val="sdtLocked"/>
        <w:placeholder>
          <w:docPart w:val="GBC22222222222222222222222222222"/>
        </w:placeholder>
      </w:sdtPr>
      <w:sdtEndPr>
        <w:rPr>
          <w:rFonts w:hint="default"/>
        </w:rPr>
      </w:sdtEndPr>
      <w:sdtContent>
        <w:p w14:paraId="1B86902D" w14:textId="77777777" w:rsidR="00830E72" w:rsidRDefault="008344D8">
          <w:pPr>
            <w:pStyle w:val="Style100"/>
            <w:numPr>
              <w:ilvl w:val="0"/>
              <w:numId w:val="96"/>
            </w:numPr>
            <w:tabs>
              <w:tab w:val="left" w:pos="630"/>
            </w:tabs>
            <w:ind w:left="0" w:firstLine="0"/>
            <w:rPr>
              <w:rFonts w:ascii="宋体" w:hAnsi="宋体"/>
            </w:rPr>
          </w:pPr>
          <w:r>
            <w:rPr>
              <w:rFonts w:ascii="宋体" w:hAnsi="宋体"/>
            </w:rPr>
            <w:t>本期实际核销的应收</w:t>
          </w:r>
          <w:r>
            <w:rPr>
              <w:rFonts w:ascii="宋体" w:hAnsi="宋体" w:hint="eastAsia"/>
            </w:rPr>
            <w:t>账款</w:t>
          </w:r>
          <w:r>
            <w:rPr>
              <w:rFonts w:ascii="宋体" w:hAnsi="宋体"/>
            </w:rPr>
            <w:t>情况</w:t>
          </w:r>
        </w:p>
        <w:sdt>
          <w:sdtPr>
            <w:alias w:val="是否适用：母公司本期实际核销的应收账款情况[双击切换]"/>
            <w:tag w:val="_GBC_a8b9861b74fa43bdb4a98d13449f8f5e"/>
            <w:id w:val="-979999491"/>
            <w:lock w:val="sdtContentLocked"/>
            <w:placeholder>
              <w:docPart w:val="GBC22222222222222222222222222222"/>
            </w:placeholder>
          </w:sdtPr>
          <w:sdtEndPr/>
          <w:sdtContent>
            <w:p w14:paraId="1455D1A3"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B581209" w14:textId="77777777" w:rsidR="00830E72" w:rsidRDefault="00D44830"/>
      </w:sdtContent>
    </w:sdt>
    <w:sdt>
      <w:sdtPr>
        <w:rPr>
          <w:rFonts w:ascii="宋体" w:hAnsi="宋体" w:cs="宋体" w:hint="eastAsia"/>
          <w:b w:val="0"/>
          <w:bCs w:val="0"/>
          <w:kern w:val="0"/>
          <w:szCs w:val="24"/>
        </w:rPr>
        <w:alias w:val="模块:按欠款方归集的期末余额前五名的应收账款情况"/>
        <w:tag w:val="_GBC_60192a235b1d4a9bb5f69fafe3ab6f87"/>
        <w:id w:val="1157806950"/>
        <w:lock w:val="sdtLocked"/>
        <w:placeholder>
          <w:docPart w:val="GBC22222222222222222222222222222"/>
        </w:placeholder>
      </w:sdtPr>
      <w:sdtEndPr>
        <w:rPr>
          <w:rFonts w:hint="default"/>
          <w:szCs w:val="21"/>
        </w:rPr>
      </w:sdtEndPr>
      <w:sdtContent>
        <w:p w14:paraId="3CB8C979" w14:textId="77777777" w:rsidR="00830E72" w:rsidRDefault="008344D8">
          <w:pPr>
            <w:pStyle w:val="Style100"/>
            <w:numPr>
              <w:ilvl w:val="0"/>
              <w:numId w:val="96"/>
            </w:numPr>
            <w:tabs>
              <w:tab w:val="left" w:pos="630"/>
            </w:tabs>
            <w:ind w:left="0" w:firstLine="0"/>
            <w:rPr>
              <w:rFonts w:ascii="宋体" w:hAnsi="宋体"/>
            </w:rPr>
          </w:pPr>
          <w:r>
            <w:rPr>
              <w:rFonts w:ascii="宋体" w:hAnsi="宋体" w:hint="eastAsia"/>
            </w:rPr>
            <w:t>按欠款方归集的期末余额前五名的应收账款情况</w:t>
          </w:r>
        </w:p>
        <w:sdt>
          <w:sdtPr>
            <w:alias w:val="是否适用：母公司按欠款方归集的期末余额前五名的应收账款情况[双击切换]"/>
            <w:tag w:val="_GBC_6ebf56800d554857af86eb226ac98f28"/>
            <w:id w:val="1235516266"/>
            <w:lock w:val="sdtContentLocked"/>
            <w:placeholder>
              <w:docPart w:val="GBC22222222222222222222222222222"/>
            </w:placeholder>
          </w:sdtPr>
          <w:sdtEndPr/>
          <w:sdtContent>
            <w:p w14:paraId="1815F78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按欠款方归集的期末余额前五名的应收账款情况的说明"/>
            <w:tag w:val="_GBC_fb5c8a787a404b5f93e696afb6756e6c"/>
            <w:id w:val="-32585031"/>
            <w:lock w:val="sdtLocked"/>
            <w:placeholder>
              <w:docPart w:val="GBC22222222222222222222222222222"/>
            </w:placeholder>
          </w:sdtPr>
          <w:sdtEndPr/>
          <w:sdtContent>
            <w:p w14:paraId="1DC4F3D2" w14:textId="7D3293AC" w:rsidR="00830E72" w:rsidRDefault="00375AB6">
              <w:pPr>
                <w:snapToGrid w:val="0"/>
                <w:spacing w:line="240" w:lineRule="atLeast"/>
                <w:rPr>
                  <w:szCs w:val="21"/>
                </w:rPr>
              </w:pPr>
              <w:r>
                <w:rPr>
                  <w:rFonts w:hint="eastAsia"/>
                  <w:szCs w:val="21"/>
                </w:rPr>
                <w:t>单位：元</w:t>
              </w:r>
            </w:p>
            <w:tbl>
              <w:tblPr>
                <w:tblStyle w:val="g2"/>
                <w:tblW w:w="0" w:type="auto"/>
                <w:tblLook w:val="04A0" w:firstRow="1" w:lastRow="0" w:firstColumn="1" w:lastColumn="0" w:noHBand="0" w:noVBand="1"/>
              </w:tblPr>
              <w:tblGrid>
                <w:gridCol w:w="2802"/>
                <w:gridCol w:w="1701"/>
                <w:gridCol w:w="1495"/>
                <w:gridCol w:w="3051"/>
              </w:tblGrid>
              <w:tr w:rsidR="00830E72" w14:paraId="428DC904" w14:textId="77777777" w:rsidTr="00375AB6">
                <w:tc>
                  <w:tcPr>
                    <w:tcW w:w="2802" w:type="dxa"/>
                    <w:vAlign w:val="center"/>
                  </w:tcPr>
                  <w:p w14:paraId="27CA7E9B" w14:textId="77777777" w:rsidR="00830E72" w:rsidRDefault="008344D8">
                    <w:pPr>
                      <w:snapToGrid w:val="0"/>
                      <w:spacing w:line="240" w:lineRule="atLeast"/>
                      <w:jc w:val="center"/>
                      <w:rPr>
                        <w:szCs w:val="21"/>
                      </w:rPr>
                    </w:pPr>
                    <w:r>
                      <w:rPr>
                        <w:rFonts w:hint="eastAsia"/>
                        <w:szCs w:val="21"/>
                      </w:rPr>
                      <w:t>单位名称</w:t>
                    </w:r>
                  </w:p>
                </w:tc>
                <w:tc>
                  <w:tcPr>
                    <w:tcW w:w="1701" w:type="dxa"/>
                    <w:vAlign w:val="center"/>
                  </w:tcPr>
                  <w:p w14:paraId="1E67C672" w14:textId="77777777" w:rsidR="00830E72" w:rsidRDefault="008344D8">
                    <w:pPr>
                      <w:snapToGrid w:val="0"/>
                      <w:spacing w:line="240" w:lineRule="atLeast"/>
                      <w:jc w:val="center"/>
                      <w:rPr>
                        <w:szCs w:val="21"/>
                      </w:rPr>
                    </w:pPr>
                    <w:r>
                      <w:rPr>
                        <w:rFonts w:hint="eastAsia"/>
                        <w:szCs w:val="21"/>
                      </w:rPr>
                      <w:t>余额</w:t>
                    </w:r>
                  </w:p>
                </w:tc>
                <w:tc>
                  <w:tcPr>
                    <w:tcW w:w="1495" w:type="dxa"/>
                    <w:vAlign w:val="center"/>
                  </w:tcPr>
                  <w:p w14:paraId="0E34B77E" w14:textId="77777777" w:rsidR="00830E72" w:rsidRDefault="008344D8">
                    <w:pPr>
                      <w:snapToGrid w:val="0"/>
                      <w:spacing w:line="240" w:lineRule="atLeast"/>
                      <w:jc w:val="center"/>
                      <w:rPr>
                        <w:szCs w:val="21"/>
                      </w:rPr>
                    </w:pPr>
                    <w:r>
                      <w:rPr>
                        <w:rFonts w:hint="eastAsia"/>
                        <w:szCs w:val="21"/>
                      </w:rPr>
                      <w:t>占应收账款余额的比例（%）</w:t>
                    </w:r>
                  </w:p>
                </w:tc>
                <w:tc>
                  <w:tcPr>
                    <w:tcW w:w="3051" w:type="dxa"/>
                    <w:vAlign w:val="center"/>
                  </w:tcPr>
                  <w:p w14:paraId="17701978" w14:textId="77777777" w:rsidR="00830E72" w:rsidRDefault="008344D8">
                    <w:pPr>
                      <w:snapToGrid w:val="0"/>
                      <w:spacing w:line="240" w:lineRule="atLeast"/>
                      <w:jc w:val="center"/>
                      <w:rPr>
                        <w:szCs w:val="21"/>
                      </w:rPr>
                    </w:pPr>
                    <w:r>
                      <w:rPr>
                        <w:rFonts w:hint="eastAsia"/>
                        <w:szCs w:val="21"/>
                      </w:rPr>
                      <w:t>坏账</w:t>
                    </w:r>
                    <w:proofErr w:type="gramStart"/>
                    <w:r>
                      <w:rPr>
                        <w:rFonts w:hint="eastAsia"/>
                        <w:szCs w:val="21"/>
                      </w:rPr>
                      <w:t>准备余额</w:t>
                    </w:r>
                    <w:proofErr w:type="gramEnd"/>
                  </w:p>
                </w:tc>
              </w:tr>
              <w:tr w:rsidR="00830E72" w14:paraId="1730F17F" w14:textId="77777777" w:rsidTr="00375AB6">
                <w:tc>
                  <w:tcPr>
                    <w:tcW w:w="2802" w:type="dxa"/>
                    <w:vAlign w:val="center"/>
                  </w:tcPr>
                  <w:p w14:paraId="54656FAD" w14:textId="77777777" w:rsidR="00830E72" w:rsidRDefault="008344D8">
                    <w:pPr>
                      <w:snapToGrid w:val="0"/>
                      <w:spacing w:line="240" w:lineRule="atLeast"/>
                      <w:jc w:val="left"/>
                      <w:rPr>
                        <w:szCs w:val="21"/>
                      </w:rPr>
                    </w:pPr>
                    <w:r>
                      <w:rPr>
                        <w:rFonts w:hint="eastAsia"/>
                        <w:szCs w:val="21"/>
                      </w:rPr>
                      <w:t>合肥经济技术开发区重点工程建设管理中心</w:t>
                    </w:r>
                  </w:p>
                </w:tc>
                <w:tc>
                  <w:tcPr>
                    <w:tcW w:w="1701" w:type="dxa"/>
                    <w:vAlign w:val="center"/>
                  </w:tcPr>
                  <w:p w14:paraId="527A15CA" w14:textId="77777777" w:rsidR="00830E72" w:rsidRDefault="008344D8">
                    <w:pPr>
                      <w:snapToGrid w:val="0"/>
                      <w:spacing w:line="240" w:lineRule="atLeast"/>
                      <w:jc w:val="right"/>
                      <w:rPr>
                        <w:szCs w:val="21"/>
                      </w:rPr>
                    </w:pPr>
                    <w:r>
                      <w:rPr>
                        <w:szCs w:val="21"/>
                      </w:rPr>
                      <w:t>258,827,387.91</w:t>
                    </w:r>
                  </w:p>
                </w:tc>
                <w:tc>
                  <w:tcPr>
                    <w:tcW w:w="1495" w:type="dxa"/>
                    <w:vAlign w:val="center"/>
                  </w:tcPr>
                  <w:p w14:paraId="30A2CD56" w14:textId="77777777" w:rsidR="00830E72" w:rsidRDefault="008344D8">
                    <w:pPr>
                      <w:snapToGrid w:val="0"/>
                      <w:spacing w:line="240" w:lineRule="atLeast"/>
                      <w:jc w:val="right"/>
                      <w:rPr>
                        <w:szCs w:val="21"/>
                      </w:rPr>
                    </w:pPr>
                    <w:r>
                      <w:rPr>
                        <w:rFonts w:hint="eastAsia"/>
                        <w:szCs w:val="21"/>
                      </w:rPr>
                      <w:t>11.48</w:t>
                    </w:r>
                  </w:p>
                </w:tc>
                <w:tc>
                  <w:tcPr>
                    <w:tcW w:w="3051" w:type="dxa"/>
                    <w:vAlign w:val="center"/>
                  </w:tcPr>
                  <w:p w14:paraId="70AC25BF" w14:textId="77777777" w:rsidR="00830E72" w:rsidRDefault="008344D8">
                    <w:pPr>
                      <w:snapToGrid w:val="0"/>
                      <w:spacing w:line="240" w:lineRule="atLeast"/>
                      <w:jc w:val="right"/>
                      <w:rPr>
                        <w:szCs w:val="21"/>
                      </w:rPr>
                    </w:pPr>
                    <w:r>
                      <w:rPr>
                        <w:szCs w:val="21"/>
                      </w:rPr>
                      <w:t>8,441,214.49</w:t>
                    </w:r>
                  </w:p>
                </w:tc>
              </w:tr>
              <w:tr w:rsidR="00830E72" w14:paraId="1DD2BEA1" w14:textId="77777777" w:rsidTr="00375AB6">
                <w:tc>
                  <w:tcPr>
                    <w:tcW w:w="2802" w:type="dxa"/>
                    <w:vAlign w:val="center"/>
                  </w:tcPr>
                  <w:p w14:paraId="4BAD5832" w14:textId="77777777" w:rsidR="00830E72" w:rsidRDefault="008344D8">
                    <w:pPr>
                      <w:snapToGrid w:val="0"/>
                      <w:spacing w:line="240" w:lineRule="atLeast"/>
                      <w:jc w:val="left"/>
                      <w:rPr>
                        <w:szCs w:val="21"/>
                      </w:rPr>
                    </w:pPr>
                    <w:r>
                      <w:rPr>
                        <w:rFonts w:hint="eastAsia"/>
                        <w:szCs w:val="21"/>
                      </w:rPr>
                      <w:t>合肥市重点工程建设管理局</w:t>
                    </w:r>
                  </w:p>
                </w:tc>
                <w:tc>
                  <w:tcPr>
                    <w:tcW w:w="1701" w:type="dxa"/>
                    <w:vAlign w:val="center"/>
                  </w:tcPr>
                  <w:p w14:paraId="541D65CE" w14:textId="77777777" w:rsidR="00830E72" w:rsidRDefault="008344D8">
                    <w:pPr>
                      <w:snapToGrid w:val="0"/>
                      <w:spacing w:line="240" w:lineRule="atLeast"/>
                      <w:jc w:val="right"/>
                      <w:rPr>
                        <w:szCs w:val="21"/>
                      </w:rPr>
                    </w:pPr>
                    <w:r>
                      <w:rPr>
                        <w:szCs w:val="21"/>
                      </w:rPr>
                      <w:t>234,780,158.09</w:t>
                    </w:r>
                  </w:p>
                </w:tc>
                <w:tc>
                  <w:tcPr>
                    <w:tcW w:w="1495" w:type="dxa"/>
                    <w:vAlign w:val="center"/>
                  </w:tcPr>
                  <w:p w14:paraId="06D78268" w14:textId="77777777" w:rsidR="00830E72" w:rsidRDefault="008344D8">
                    <w:pPr>
                      <w:snapToGrid w:val="0"/>
                      <w:spacing w:line="240" w:lineRule="atLeast"/>
                      <w:jc w:val="right"/>
                      <w:rPr>
                        <w:szCs w:val="21"/>
                      </w:rPr>
                    </w:pPr>
                    <w:r>
                      <w:rPr>
                        <w:rFonts w:hint="eastAsia"/>
                        <w:szCs w:val="21"/>
                      </w:rPr>
                      <w:t>10.41</w:t>
                    </w:r>
                  </w:p>
                </w:tc>
                <w:tc>
                  <w:tcPr>
                    <w:tcW w:w="3051" w:type="dxa"/>
                    <w:vAlign w:val="center"/>
                  </w:tcPr>
                  <w:p w14:paraId="14B278D8" w14:textId="77777777" w:rsidR="00830E72" w:rsidRDefault="008344D8">
                    <w:pPr>
                      <w:snapToGrid w:val="0"/>
                      <w:spacing w:line="240" w:lineRule="atLeast"/>
                      <w:jc w:val="right"/>
                      <w:rPr>
                        <w:szCs w:val="21"/>
                      </w:rPr>
                    </w:pPr>
                    <w:r>
                      <w:rPr>
                        <w:szCs w:val="21"/>
                      </w:rPr>
                      <w:t>14,589,495.57</w:t>
                    </w:r>
                  </w:p>
                </w:tc>
              </w:tr>
              <w:tr w:rsidR="00830E72" w14:paraId="30ED244C" w14:textId="77777777" w:rsidTr="00375AB6">
                <w:tc>
                  <w:tcPr>
                    <w:tcW w:w="2802" w:type="dxa"/>
                    <w:vAlign w:val="center"/>
                  </w:tcPr>
                  <w:p w14:paraId="38E7D6E5" w14:textId="77777777" w:rsidR="00830E72" w:rsidRDefault="008344D8">
                    <w:pPr>
                      <w:snapToGrid w:val="0"/>
                      <w:spacing w:line="240" w:lineRule="atLeast"/>
                      <w:jc w:val="left"/>
                      <w:rPr>
                        <w:szCs w:val="21"/>
                      </w:rPr>
                    </w:pPr>
                    <w:r>
                      <w:rPr>
                        <w:rFonts w:hint="eastAsia"/>
                        <w:szCs w:val="21"/>
                      </w:rPr>
                      <w:t>阜阳市颍州区城市建设投资有限责任公司</w:t>
                    </w:r>
                  </w:p>
                </w:tc>
                <w:tc>
                  <w:tcPr>
                    <w:tcW w:w="1701" w:type="dxa"/>
                    <w:vAlign w:val="center"/>
                  </w:tcPr>
                  <w:p w14:paraId="312BCFB5" w14:textId="77777777" w:rsidR="00830E72" w:rsidRDefault="008344D8">
                    <w:pPr>
                      <w:snapToGrid w:val="0"/>
                      <w:spacing w:line="240" w:lineRule="atLeast"/>
                      <w:jc w:val="right"/>
                      <w:rPr>
                        <w:szCs w:val="21"/>
                      </w:rPr>
                    </w:pPr>
                    <w:r>
                      <w:rPr>
                        <w:szCs w:val="21"/>
                      </w:rPr>
                      <w:t>163,655,761.83</w:t>
                    </w:r>
                  </w:p>
                </w:tc>
                <w:tc>
                  <w:tcPr>
                    <w:tcW w:w="1495" w:type="dxa"/>
                    <w:vAlign w:val="center"/>
                  </w:tcPr>
                  <w:p w14:paraId="78CC1549" w14:textId="77777777" w:rsidR="00830E72" w:rsidRDefault="008344D8">
                    <w:pPr>
                      <w:snapToGrid w:val="0"/>
                      <w:spacing w:line="240" w:lineRule="atLeast"/>
                      <w:jc w:val="right"/>
                      <w:rPr>
                        <w:szCs w:val="21"/>
                      </w:rPr>
                    </w:pPr>
                    <w:r>
                      <w:rPr>
                        <w:rFonts w:hint="eastAsia"/>
                        <w:szCs w:val="21"/>
                      </w:rPr>
                      <w:t>7.26</w:t>
                    </w:r>
                  </w:p>
                </w:tc>
                <w:tc>
                  <w:tcPr>
                    <w:tcW w:w="3051" w:type="dxa"/>
                    <w:vAlign w:val="center"/>
                  </w:tcPr>
                  <w:p w14:paraId="48599D1C" w14:textId="77777777" w:rsidR="00830E72" w:rsidRDefault="008344D8">
                    <w:pPr>
                      <w:snapToGrid w:val="0"/>
                      <w:spacing w:line="240" w:lineRule="atLeast"/>
                      <w:jc w:val="right"/>
                      <w:rPr>
                        <w:szCs w:val="21"/>
                      </w:rPr>
                    </w:pPr>
                    <w:r>
                      <w:rPr>
                        <w:szCs w:val="21"/>
                      </w:rPr>
                      <w:t>32,702,929.48</w:t>
                    </w:r>
                  </w:p>
                </w:tc>
              </w:tr>
              <w:tr w:rsidR="00830E72" w14:paraId="00CDEDB3" w14:textId="77777777" w:rsidTr="00375AB6">
                <w:tc>
                  <w:tcPr>
                    <w:tcW w:w="2802" w:type="dxa"/>
                    <w:vAlign w:val="center"/>
                  </w:tcPr>
                  <w:p w14:paraId="14964B62" w14:textId="77777777" w:rsidR="00830E72" w:rsidRDefault="008344D8">
                    <w:pPr>
                      <w:snapToGrid w:val="0"/>
                      <w:spacing w:line="240" w:lineRule="atLeast"/>
                      <w:jc w:val="left"/>
                      <w:rPr>
                        <w:szCs w:val="21"/>
                      </w:rPr>
                    </w:pPr>
                    <w:r>
                      <w:rPr>
                        <w:rFonts w:hint="eastAsia"/>
                        <w:szCs w:val="21"/>
                      </w:rPr>
                      <w:t>海口海中城建项目管理公司</w:t>
                    </w:r>
                  </w:p>
                </w:tc>
                <w:tc>
                  <w:tcPr>
                    <w:tcW w:w="1701" w:type="dxa"/>
                    <w:vAlign w:val="center"/>
                  </w:tcPr>
                  <w:p w14:paraId="64D6A4EC" w14:textId="77777777" w:rsidR="00830E72" w:rsidRDefault="008344D8">
                    <w:pPr>
                      <w:snapToGrid w:val="0"/>
                      <w:spacing w:line="240" w:lineRule="atLeast"/>
                      <w:jc w:val="right"/>
                      <w:rPr>
                        <w:szCs w:val="21"/>
                      </w:rPr>
                    </w:pPr>
                    <w:r>
                      <w:rPr>
                        <w:szCs w:val="21"/>
                      </w:rPr>
                      <w:t>118,621,387.53</w:t>
                    </w:r>
                  </w:p>
                </w:tc>
                <w:tc>
                  <w:tcPr>
                    <w:tcW w:w="1495" w:type="dxa"/>
                    <w:vAlign w:val="center"/>
                  </w:tcPr>
                  <w:p w14:paraId="1981E607" w14:textId="77777777" w:rsidR="00830E72" w:rsidRDefault="008344D8">
                    <w:pPr>
                      <w:snapToGrid w:val="0"/>
                      <w:spacing w:line="240" w:lineRule="atLeast"/>
                      <w:jc w:val="right"/>
                      <w:rPr>
                        <w:szCs w:val="21"/>
                      </w:rPr>
                    </w:pPr>
                    <w:r>
                      <w:rPr>
                        <w:rFonts w:hint="eastAsia"/>
                        <w:szCs w:val="21"/>
                      </w:rPr>
                      <w:t>5.26</w:t>
                    </w:r>
                  </w:p>
                </w:tc>
                <w:tc>
                  <w:tcPr>
                    <w:tcW w:w="3051" w:type="dxa"/>
                    <w:vAlign w:val="center"/>
                  </w:tcPr>
                  <w:p w14:paraId="27624A6D" w14:textId="77777777" w:rsidR="00830E72" w:rsidRDefault="008344D8">
                    <w:pPr>
                      <w:snapToGrid w:val="0"/>
                      <w:spacing w:line="240" w:lineRule="atLeast"/>
                      <w:jc w:val="right"/>
                      <w:rPr>
                        <w:szCs w:val="21"/>
                      </w:rPr>
                    </w:pPr>
                    <w:r>
                      <w:rPr>
                        <w:szCs w:val="21"/>
                      </w:rPr>
                      <w:t>10,056,067.45</w:t>
                    </w:r>
                  </w:p>
                </w:tc>
              </w:tr>
              <w:tr w:rsidR="00830E72" w14:paraId="2AE1627C" w14:textId="77777777" w:rsidTr="00375AB6">
                <w:tc>
                  <w:tcPr>
                    <w:tcW w:w="2802" w:type="dxa"/>
                    <w:vAlign w:val="center"/>
                  </w:tcPr>
                  <w:p w14:paraId="7724A50B" w14:textId="77777777" w:rsidR="00830E72" w:rsidRDefault="008344D8">
                    <w:pPr>
                      <w:snapToGrid w:val="0"/>
                      <w:spacing w:line="240" w:lineRule="atLeast"/>
                      <w:jc w:val="left"/>
                      <w:rPr>
                        <w:szCs w:val="21"/>
                      </w:rPr>
                    </w:pPr>
                    <w:r>
                      <w:rPr>
                        <w:rFonts w:hint="eastAsia"/>
                        <w:szCs w:val="21"/>
                      </w:rPr>
                      <w:t>海南桂林洋热带农业公园有限公司</w:t>
                    </w:r>
                  </w:p>
                </w:tc>
                <w:tc>
                  <w:tcPr>
                    <w:tcW w:w="1701" w:type="dxa"/>
                    <w:vAlign w:val="center"/>
                  </w:tcPr>
                  <w:p w14:paraId="53DC9FF7" w14:textId="77777777" w:rsidR="00830E72" w:rsidRDefault="008344D8">
                    <w:pPr>
                      <w:snapToGrid w:val="0"/>
                      <w:spacing w:line="240" w:lineRule="atLeast"/>
                      <w:jc w:val="right"/>
                      <w:rPr>
                        <w:szCs w:val="21"/>
                      </w:rPr>
                    </w:pPr>
                    <w:r>
                      <w:rPr>
                        <w:szCs w:val="21"/>
                      </w:rPr>
                      <w:t>93,511,529.55</w:t>
                    </w:r>
                  </w:p>
                </w:tc>
                <w:tc>
                  <w:tcPr>
                    <w:tcW w:w="1495" w:type="dxa"/>
                    <w:vAlign w:val="center"/>
                  </w:tcPr>
                  <w:p w14:paraId="51F1AD9B" w14:textId="77777777" w:rsidR="00830E72" w:rsidRDefault="008344D8">
                    <w:pPr>
                      <w:snapToGrid w:val="0"/>
                      <w:spacing w:line="240" w:lineRule="atLeast"/>
                      <w:jc w:val="right"/>
                      <w:rPr>
                        <w:szCs w:val="21"/>
                      </w:rPr>
                    </w:pPr>
                    <w:r>
                      <w:rPr>
                        <w:rFonts w:hint="eastAsia"/>
                        <w:szCs w:val="21"/>
                      </w:rPr>
                      <w:t>4.15</w:t>
                    </w:r>
                  </w:p>
                </w:tc>
                <w:tc>
                  <w:tcPr>
                    <w:tcW w:w="3051" w:type="dxa"/>
                    <w:vAlign w:val="center"/>
                  </w:tcPr>
                  <w:p w14:paraId="3F9DFC35" w14:textId="77777777" w:rsidR="00830E72" w:rsidRDefault="008344D8">
                    <w:pPr>
                      <w:snapToGrid w:val="0"/>
                      <w:spacing w:line="240" w:lineRule="atLeast"/>
                      <w:jc w:val="right"/>
                      <w:rPr>
                        <w:szCs w:val="21"/>
                      </w:rPr>
                    </w:pPr>
                    <w:r>
                      <w:rPr>
                        <w:szCs w:val="21"/>
                      </w:rPr>
                      <w:t>14,848,264.69</w:t>
                    </w:r>
                  </w:p>
                </w:tc>
              </w:tr>
              <w:tr w:rsidR="00830E72" w14:paraId="52F6F000" w14:textId="77777777" w:rsidTr="00375AB6">
                <w:tc>
                  <w:tcPr>
                    <w:tcW w:w="2802" w:type="dxa"/>
                    <w:vAlign w:val="center"/>
                  </w:tcPr>
                  <w:p w14:paraId="238BF1BC" w14:textId="77777777" w:rsidR="00830E72" w:rsidRDefault="008344D8">
                    <w:pPr>
                      <w:snapToGrid w:val="0"/>
                      <w:spacing w:line="240" w:lineRule="atLeast"/>
                      <w:rPr>
                        <w:szCs w:val="21"/>
                      </w:rPr>
                    </w:pPr>
                    <w:r>
                      <w:rPr>
                        <w:rFonts w:hint="eastAsia"/>
                        <w:szCs w:val="21"/>
                      </w:rPr>
                      <w:lastRenderedPageBreak/>
                      <w:t>合计</w:t>
                    </w:r>
                  </w:p>
                </w:tc>
                <w:tc>
                  <w:tcPr>
                    <w:tcW w:w="1701" w:type="dxa"/>
                    <w:vAlign w:val="center"/>
                  </w:tcPr>
                  <w:p w14:paraId="4AC58619" w14:textId="77777777" w:rsidR="00830E72" w:rsidRDefault="008344D8">
                    <w:pPr>
                      <w:snapToGrid w:val="0"/>
                      <w:spacing w:line="240" w:lineRule="atLeast"/>
                      <w:jc w:val="right"/>
                      <w:rPr>
                        <w:szCs w:val="21"/>
                      </w:rPr>
                    </w:pPr>
                    <w:r>
                      <w:rPr>
                        <w:szCs w:val="21"/>
                      </w:rPr>
                      <w:t>869,396,224.91</w:t>
                    </w:r>
                  </w:p>
                </w:tc>
                <w:tc>
                  <w:tcPr>
                    <w:tcW w:w="1495" w:type="dxa"/>
                    <w:vAlign w:val="center"/>
                  </w:tcPr>
                  <w:p w14:paraId="16B64DE4" w14:textId="5A265C08" w:rsidR="00830E72" w:rsidRDefault="008344D8">
                    <w:pPr>
                      <w:snapToGrid w:val="0"/>
                      <w:spacing w:line="240" w:lineRule="atLeast"/>
                      <w:jc w:val="right"/>
                      <w:rPr>
                        <w:szCs w:val="21"/>
                      </w:rPr>
                    </w:pPr>
                    <w:r>
                      <w:rPr>
                        <w:rFonts w:hint="eastAsia"/>
                        <w:szCs w:val="21"/>
                      </w:rPr>
                      <w:t>38.5</w:t>
                    </w:r>
                    <w:r w:rsidR="007B4AE7">
                      <w:rPr>
                        <w:szCs w:val="21"/>
                      </w:rPr>
                      <w:t>6</w:t>
                    </w:r>
                  </w:p>
                </w:tc>
                <w:tc>
                  <w:tcPr>
                    <w:tcW w:w="3051" w:type="dxa"/>
                    <w:vAlign w:val="center"/>
                  </w:tcPr>
                  <w:p w14:paraId="6AD6F160" w14:textId="43B421F2" w:rsidR="00830E72" w:rsidRDefault="008344D8">
                    <w:pPr>
                      <w:snapToGrid w:val="0"/>
                      <w:spacing w:line="240" w:lineRule="atLeast"/>
                      <w:jc w:val="right"/>
                      <w:rPr>
                        <w:szCs w:val="21"/>
                      </w:rPr>
                    </w:pPr>
                    <w:r>
                      <w:rPr>
                        <w:szCs w:val="21"/>
                      </w:rPr>
                      <w:t>80,637,971.6</w:t>
                    </w:r>
                    <w:r w:rsidR="007B4AE7">
                      <w:rPr>
                        <w:szCs w:val="21"/>
                      </w:rPr>
                      <w:t>8</w:t>
                    </w:r>
                  </w:p>
                </w:tc>
              </w:tr>
            </w:tbl>
            <w:p w14:paraId="66622137" w14:textId="77777777" w:rsidR="00830E72" w:rsidRDefault="00D44830">
              <w:pPr>
                <w:snapToGrid w:val="0"/>
                <w:spacing w:line="240" w:lineRule="atLeast"/>
                <w:rPr>
                  <w:szCs w:val="21"/>
                </w:rPr>
              </w:pPr>
            </w:p>
          </w:sdtContent>
        </w:sdt>
      </w:sdtContent>
    </w:sdt>
    <w:sdt>
      <w:sdtPr>
        <w:rPr>
          <w:rFonts w:ascii="宋体" w:hAnsi="宋体" w:cs="宋体" w:hint="eastAsia"/>
          <w:b w:val="0"/>
          <w:bCs w:val="0"/>
          <w:kern w:val="0"/>
          <w:szCs w:val="24"/>
        </w:rPr>
        <w:alias w:val="模块:因金融资产转移而终止确认的应收账款"/>
        <w:tag w:val="_GBC_ab73666b561d47cbb383aa21715b406f"/>
        <w:id w:val="1264030310"/>
        <w:lock w:val="sdtLocked"/>
        <w:placeholder>
          <w:docPart w:val="GBC22222222222222222222222222222"/>
        </w:placeholder>
      </w:sdtPr>
      <w:sdtEndPr/>
      <w:sdtContent>
        <w:p w14:paraId="5DA1266D" w14:textId="77777777" w:rsidR="00830E72" w:rsidRDefault="008344D8">
          <w:pPr>
            <w:pStyle w:val="Style100"/>
            <w:numPr>
              <w:ilvl w:val="0"/>
              <w:numId w:val="96"/>
            </w:numPr>
            <w:tabs>
              <w:tab w:val="left" w:pos="630"/>
            </w:tabs>
            <w:ind w:left="0" w:firstLine="0"/>
            <w:rPr>
              <w:rFonts w:ascii="宋体" w:hAnsi="宋体"/>
              <w:kern w:val="0"/>
            </w:rPr>
          </w:pPr>
          <w:r>
            <w:rPr>
              <w:rFonts w:ascii="宋体" w:hAnsi="宋体" w:hint="eastAsia"/>
              <w:kern w:val="0"/>
            </w:rPr>
            <w:t>因</w:t>
          </w:r>
          <w:r>
            <w:rPr>
              <w:rFonts w:ascii="宋体" w:hAnsi="宋体" w:hint="eastAsia"/>
            </w:rPr>
            <w:t>金融资产转移</w:t>
          </w:r>
          <w:r>
            <w:rPr>
              <w:rFonts w:ascii="宋体" w:hAnsi="宋体" w:hint="eastAsia"/>
              <w:kern w:val="0"/>
            </w:rPr>
            <w:t>而终止确认的应收账款</w:t>
          </w:r>
        </w:p>
        <w:sdt>
          <w:sdtPr>
            <w:rPr>
              <w:rFonts w:hint="eastAsia"/>
              <w:szCs w:val="21"/>
            </w:rPr>
            <w:alias w:val="是否适用：母公司因金融资产转移而终止确认的应收账款[双击切换]"/>
            <w:tag w:val="_GBC_452701102453497e8ab0df8e4c523df9"/>
            <w:id w:val="1444268105"/>
            <w:lock w:val="sdtContentLocked"/>
            <w:placeholder>
              <w:docPart w:val="GBC22222222222222222222222222222"/>
            </w:placeholder>
          </w:sdtPr>
          <w:sdtEndPr/>
          <w:sdtContent>
            <w:p w14:paraId="22FE2411" w14:textId="1DD9D653" w:rsidR="00830E72" w:rsidRPr="0034733E" w:rsidRDefault="008344D8">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转移应收账款且继续涉入的，分项列示继续涉入形成的资产、负债的金额"/>
        <w:tag w:val="_GBC_0fefb2630375419f8e496c310f6ec9ee"/>
        <w:id w:val="-1536336639"/>
        <w:lock w:val="sdtLocked"/>
        <w:placeholder>
          <w:docPart w:val="GBC22222222222222222222222222222"/>
        </w:placeholder>
      </w:sdtPr>
      <w:sdtEndPr/>
      <w:sdtContent>
        <w:p w14:paraId="0ABA535B" w14:textId="77777777" w:rsidR="00830E72" w:rsidRDefault="008344D8">
          <w:pPr>
            <w:pStyle w:val="Style100"/>
            <w:numPr>
              <w:ilvl w:val="0"/>
              <w:numId w:val="96"/>
            </w:numPr>
            <w:tabs>
              <w:tab w:val="left" w:pos="630"/>
            </w:tabs>
            <w:ind w:left="0" w:firstLine="0"/>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p>
        <w:sdt>
          <w:sdtPr>
            <w:rPr>
              <w:rFonts w:hint="eastAsia"/>
            </w:rPr>
            <w:alias w:val="是否适用：母公司转移应收账款且继续涉入形成的资产、负债金额[双击切换]"/>
            <w:tag w:val="_GBC_18ab0f336ea34b009b496f240cc35a39"/>
            <w:id w:val="-906301513"/>
            <w:lock w:val="sdtContentLocked"/>
            <w:placeholder>
              <w:docPart w:val="GBC22222222222222222222222222222"/>
            </w:placeholder>
          </w:sdtPr>
          <w:sdtEndPr/>
          <w:sdtContent>
            <w:p w14:paraId="4561DE6F" w14:textId="44CE8A35" w:rsidR="00830E72" w:rsidRDefault="008344D8" w:rsidP="0034733E">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其他说明："/>
        <w:tag w:val="_GBC_eac4abdf299a4312a10e680c5fc79ef9"/>
        <w:id w:val="1450587441"/>
        <w:lock w:val="sdtLocked"/>
        <w:placeholder>
          <w:docPart w:val="GBC22222222222222222222222222222"/>
        </w:placeholder>
      </w:sdtPr>
      <w:sdtEndPr>
        <w:rPr>
          <w:rFonts w:hint="default"/>
          <w:b w:val="0"/>
          <w:bCs w:val="0"/>
        </w:rPr>
      </w:sdtEndPr>
      <w:sdtContent>
        <w:p w14:paraId="569F150D" w14:textId="77777777" w:rsidR="00830E72" w:rsidRDefault="008344D8">
          <w:r>
            <w:rPr>
              <w:rFonts w:hint="eastAsia"/>
            </w:rPr>
            <w:t>其他</w:t>
          </w:r>
          <w:r>
            <w:t>说明：</w:t>
          </w:r>
        </w:p>
        <w:sdt>
          <w:sdtPr>
            <w:rPr>
              <w:rFonts w:hint="eastAsia"/>
            </w:rPr>
            <w:alias w:val="是否适用：母公司应收账款其他说明[双击切换]"/>
            <w:tag w:val="_GBC_22a2c0a255e04aacadf1c076323bc980"/>
            <w:id w:val="481514006"/>
            <w:lock w:val="sdtContentLocked"/>
            <w:placeholder>
              <w:docPart w:val="GBC22222222222222222222222222222"/>
            </w:placeholder>
          </w:sdtPr>
          <w:sdtEndPr/>
          <w:sdtContent>
            <w:p w14:paraId="2FF76D90" w14:textId="77777777" w:rsidR="00830E72" w:rsidRDefault="008344D8">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232FEFC" w14:textId="77777777" w:rsidR="00830E72" w:rsidRDefault="00D44830">
          <w:pPr>
            <w:snapToGrid w:val="0"/>
            <w:spacing w:line="240" w:lineRule="atLeast"/>
          </w:pPr>
        </w:p>
      </w:sdtContent>
    </w:sdt>
    <w:p w14:paraId="396CE2F0" w14:textId="77777777" w:rsidR="00830E72" w:rsidRDefault="008344D8">
      <w:pPr>
        <w:pStyle w:val="Style99"/>
        <w:numPr>
          <w:ilvl w:val="0"/>
          <w:numId w:val="95"/>
        </w:numPr>
        <w:rPr>
          <w:rFonts w:ascii="宋体" w:hAnsi="宋体"/>
          <w:szCs w:val="21"/>
        </w:rPr>
      </w:pPr>
      <w:r>
        <w:rPr>
          <w:rFonts w:ascii="宋体" w:hAnsi="宋体" w:hint="eastAsia"/>
          <w:szCs w:val="21"/>
        </w:rPr>
        <w:t>其他应收款</w:t>
      </w:r>
    </w:p>
    <w:bookmarkStart w:id="216" w:name="_Hlk10546944" w:displacedByCustomXml="next"/>
    <w:sdt>
      <w:sdtPr>
        <w:rPr>
          <w:rFonts w:ascii="宋体" w:hAnsi="宋体" w:cs="宋体" w:hint="eastAsia"/>
          <w:b w:val="0"/>
          <w:bCs w:val="0"/>
          <w:kern w:val="0"/>
          <w:szCs w:val="24"/>
        </w:rPr>
        <w:alias w:val="模块:项目列示"/>
        <w:tag w:val="_SEC_e2f0b728ae404babbb57dfbc1fafed13"/>
        <w:id w:val="-1188751635"/>
        <w:lock w:val="sdtLocked"/>
        <w:placeholder>
          <w:docPart w:val="GBC22222222222222222222222222222"/>
        </w:placeholder>
      </w:sdtPr>
      <w:sdtEndPr/>
      <w:sdtContent>
        <w:p w14:paraId="214ADF6A" w14:textId="77777777" w:rsidR="00830E72" w:rsidRDefault="008344D8">
          <w:pPr>
            <w:pStyle w:val="Style100"/>
            <w:rPr>
              <w:rFonts w:ascii="宋体" w:hAnsi="宋体"/>
            </w:rPr>
          </w:pPr>
          <w:r>
            <w:rPr>
              <w:rFonts w:ascii="宋体" w:hAnsi="宋体" w:hint="eastAsia"/>
            </w:rPr>
            <w:t>项目列示</w:t>
          </w:r>
        </w:p>
        <w:sdt>
          <w:sdtPr>
            <w:alias w:val="是否适用：母公司其他应收款分类列示[双击切换]"/>
            <w:tag w:val="_GBC_529e259f053b47d993fd4e3216204522"/>
            <w:id w:val="-297918544"/>
            <w:lock w:val="sdtContentLocked"/>
            <w:placeholder>
              <w:docPart w:val="GBC22222222222222222222222222222"/>
            </w:placeholder>
          </w:sdtPr>
          <w:sdtEndPr/>
          <w:sdtContent>
            <w:p w14:paraId="5069B14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1C22352" w14:textId="77777777" w:rsidR="00830E72" w:rsidRDefault="008344D8">
          <w:pPr>
            <w:jc w:val="right"/>
            <w:rPr>
              <w:szCs w:val="21"/>
            </w:rPr>
          </w:pPr>
          <w:r>
            <w:rPr>
              <w:rFonts w:hint="eastAsia"/>
              <w:szCs w:val="21"/>
            </w:rPr>
            <w:t>单位：</w:t>
          </w:r>
          <w:sdt>
            <w:sdtPr>
              <w:rPr>
                <w:rFonts w:hint="eastAsia"/>
                <w:szCs w:val="21"/>
              </w:rPr>
              <w:alias w:val="单位：母公司其他应收款分类列示"/>
              <w:tag w:val="_GBC_306e86db57e64b00a9602dc7cbf81457"/>
              <w:id w:val="9686349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d5866350ae3491e87e9f82a7ed2a7c3"/>
              <w:id w:val="-3598187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3138"/>
            <w:gridCol w:w="2886"/>
            <w:gridCol w:w="2871"/>
          </w:tblGrid>
          <w:tr w:rsidR="00830E72" w14:paraId="779ECC6F" w14:textId="77777777">
            <w:trPr>
              <w:cantSplit/>
            </w:trPr>
            <w:sdt>
              <w:sdtPr>
                <w:tag w:val="_PLD_9b14d51b79194bdea749a527966a0a2e"/>
                <w:id w:val="1647241253"/>
                <w:lock w:val="sdtLocked"/>
              </w:sdtPr>
              <w:sdtEndPr/>
              <w:sdtContent>
                <w:tc>
                  <w:tcPr>
                    <w:tcW w:w="1764" w:type="pct"/>
                    <w:vAlign w:val="center"/>
                  </w:tcPr>
                  <w:p w14:paraId="0FD1BB50" w14:textId="77777777" w:rsidR="00830E72" w:rsidRDefault="008344D8">
                    <w:pPr>
                      <w:jc w:val="center"/>
                      <w:rPr>
                        <w:szCs w:val="21"/>
                      </w:rPr>
                    </w:pPr>
                    <w:r>
                      <w:rPr>
                        <w:rFonts w:hint="eastAsia"/>
                        <w:szCs w:val="21"/>
                      </w:rPr>
                      <w:t>项目</w:t>
                    </w:r>
                  </w:p>
                </w:tc>
              </w:sdtContent>
            </w:sdt>
            <w:sdt>
              <w:sdtPr>
                <w:tag w:val="_PLD_1dd12447c07a4bf5b8eef82f2f9f5577"/>
                <w:id w:val="289179437"/>
                <w:lock w:val="sdtLocked"/>
              </w:sdtPr>
              <w:sdtEndPr/>
              <w:sdtContent>
                <w:tc>
                  <w:tcPr>
                    <w:tcW w:w="1622" w:type="pct"/>
                    <w:vAlign w:val="center"/>
                  </w:tcPr>
                  <w:p w14:paraId="7C0B9A38" w14:textId="77777777" w:rsidR="00830E72" w:rsidRDefault="008344D8">
                    <w:pPr>
                      <w:jc w:val="center"/>
                      <w:rPr>
                        <w:szCs w:val="21"/>
                      </w:rPr>
                    </w:pPr>
                    <w:r>
                      <w:rPr>
                        <w:rFonts w:hint="eastAsia"/>
                        <w:szCs w:val="21"/>
                      </w:rPr>
                      <w:t>期末余额</w:t>
                    </w:r>
                  </w:p>
                </w:tc>
              </w:sdtContent>
            </w:sdt>
            <w:sdt>
              <w:sdtPr>
                <w:tag w:val="_PLD_2701e42352ac4ea1ae4d64adf5d28e89"/>
                <w:id w:val="-1746399005"/>
                <w:lock w:val="sdtLocked"/>
              </w:sdtPr>
              <w:sdtEndPr/>
              <w:sdtContent>
                <w:tc>
                  <w:tcPr>
                    <w:tcW w:w="1614" w:type="pct"/>
                    <w:vAlign w:val="center"/>
                  </w:tcPr>
                  <w:p w14:paraId="642842FD" w14:textId="77777777" w:rsidR="00830E72" w:rsidRDefault="008344D8">
                    <w:pPr>
                      <w:jc w:val="center"/>
                      <w:rPr>
                        <w:szCs w:val="21"/>
                      </w:rPr>
                    </w:pPr>
                    <w:r>
                      <w:rPr>
                        <w:rFonts w:hint="eastAsia"/>
                        <w:szCs w:val="21"/>
                      </w:rPr>
                      <w:t>期初余额</w:t>
                    </w:r>
                  </w:p>
                </w:tc>
              </w:sdtContent>
            </w:sdt>
          </w:tr>
          <w:tr w:rsidR="00830E72" w14:paraId="3538F792" w14:textId="77777777">
            <w:trPr>
              <w:cantSplit/>
            </w:trPr>
            <w:sdt>
              <w:sdtPr>
                <w:tag w:val="_PLD_42c4df4453344bc0910f3b3e20b096a2"/>
                <w:id w:val="-1586137260"/>
                <w:lock w:val="sdtLocked"/>
              </w:sdtPr>
              <w:sdtEndPr/>
              <w:sdtContent>
                <w:tc>
                  <w:tcPr>
                    <w:tcW w:w="1764" w:type="pct"/>
                  </w:tcPr>
                  <w:p w14:paraId="18F2E275" w14:textId="77777777" w:rsidR="00830E72" w:rsidRDefault="008344D8">
                    <w:pPr>
                      <w:ind w:right="5"/>
                      <w:rPr>
                        <w:szCs w:val="21"/>
                      </w:rPr>
                    </w:pPr>
                    <w:r>
                      <w:rPr>
                        <w:rFonts w:hint="eastAsia"/>
                        <w:szCs w:val="21"/>
                      </w:rPr>
                      <w:t>其他应收款</w:t>
                    </w:r>
                  </w:p>
                </w:tc>
              </w:sdtContent>
            </w:sdt>
            <w:tc>
              <w:tcPr>
                <w:tcW w:w="1622" w:type="pct"/>
              </w:tcPr>
              <w:p w14:paraId="38E64F63" w14:textId="77777777" w:rsidR="00830E72" w:rsidRDefault="008344D8">
                <w:pPr>
                  <w:ind w:right="5"/>
                  <w:jc w:val="right"/>
                  <w:rPr>
                    <w:szCs w:val="21"/>
                  </w:rPr>
                </w:pPr>
                <w:r>
                  <w:rPr>
                    <w:szCs w:val="21"/>
                  </w:rPr>
                  <w:t>378,850,408.32</w:t>
                </w:r>
              </w:p>
            </w:tc>
            <w:tc>
              <w:tcPr>
                <w:tcW w:w="1614" w:type="pct"/>
              </w:tcPr>
              <w:p w14:paraId="76805B3C" w14:textId="77777777" w:rsidR="00830E72" w:rsidRDefault="008344D8">
                <w:pPr>
                  <w:ind w:right="5"/>
                  <w:jc w:val="right"/>
                  <w:rPr>
                    <w:szCs w:val="21"/>
                  </w:rPr>
                </w:pPr>
                <w:r>
                  <w:rPr>
                    <w:szCs w:val="21"/>
                  </w:rPr>
                  <w:t>246,365,846.15</w:t>
                </w:r>
              </w:p>
            </w:tc>
          </w:tr>
          <w:tr w:rsidR="00830E72" w14:paraId="43BEA05E" w14:textId="77777777">
            <w:trPr>
              <w:cantSplit/>
            </w:trPr>
            <w:sdt>
              <w:sdtPr>
                <w:tag w:val="_PLD_657f57c42bdf4019ba2e4df3e8e8d440"/>
                <w:id w:val="-1272935004"/>
                <w:lock w:val="sdtLocked"/>
              </w:sdtPr>
              <w:sdtEndPr/>
              <w:sdtContent>
                <w:tc>
                  <w:tcPr>
                    <w:tcW w:w="1764" w:type="pct"/>
                    <w:vAlign w:val="center"/>
                  </w:tcPr>
                  <w:p w14:paraId="657E6FBB" w14:textId="77777777" w:rsidR="00830E72" w:rsidRDefault="008344D8">
                    <w:pPr>
                      <w:autoSpaceDE w:val="0"/>
                      <w:autoSpaceDN w:val="0"/>
                      <w:adjustRightInd w:val="0"/>
                      <w:jc w:val="center"/>
                      <w:rPr>
                        <w:szCs w:val="21"/>
                      </w:rPr>
                    </w:pPr>
                    <w:r>
                      <w:rPr>
                        <w:rFonts w:hint="eastAsia"/>
                        <w:szCs w:val="21"/>
                      </w:rPr>
                      <w:t>合计</w:t>
                    </w:r>
                  </w:p>
                </w:tc>
              </w:sdtContent>
            </w:sdt>
            <w:tc>
              <w:tcPr>
                <w:tcW w:w="1622" w:type="pct"/>
              </w:tcPr>
              <w:p w14:paraId="3E915504" w14:textId="77777777" w:rsidR="00830E72" w:rsidRDefault="008344D8">
                <w:pPr>
                  <w:jc w:val="right"/>
                  <w:rPr>
                    <w:szCs w:val="21"/>
                  </w:rPr>
                </w:pPr>
                <w:r>
                  <w:rPr>
                    <w:szCs w:val="21"/>
                  </w:rPr>
                  <w:t>378,850,408.32</w:t>
                </w:r>
              </w:p>
            </w:tc>
            <w:tc>
              <w:tcPr>
                <w:tcW w:w="1614" w:type="pct"/>
              </w:tcPr>
              <w:p w14:paraId="68774C7F" w14:textId="77777777" w:rsidR="00830E72" w:rsidRDefault="008344D8">
                <w:pPr>
                  <w:jc w:val="right"/>
                  <w:rPr>
                    <w:szCs w:val="21"/>
                  </w:rPr>
                </w:pPr>
                <w:r>
                  <w:rPr>
                    <w:szCs w:val="21"/>
                  </w:rPr>
                  <w:t>246,365,846.15</w:t>
                </w:r>
              </w:p>
            </w:tc>
          </w:tr>
        </w:tbl>
        <w:p w14:paraId="031B1623" w14:textId="77777777" w:rsidR="00830E72" w:rsidRDefault="00830E72"/>
        <w:p w14:paraId="412CE3FA" w14:textId="77777777" w:rsidR="00830E72" w:rsidRDefault="008344D8">
          <w:pPr>
            <w:rPr>
              <w:szCs w:val="21"/>
            </w:rPr>
          </w:pPr>
          <w:bookmarkStart w:id="217" w:name="_Hlk533797002"/>
          <w:r>
            <w:rPr>
              <w:rFonts w:hint="eastAsia"/>
              <w:szCs w:val="21"/>
            </w:rPr>
            <w:t>其他说明：</w:t>
          </w:r>
        </w:p>
        <w:sdt>
          <w:sdtPr>
            <w:rPr>
              <w:szCs w:val="21"/>
            </w:rPr>
            <w:alias w:val="是否适用：母公司其他应收款分类列示其他说明[双击切换]"/>
            <w:tag w:val="_GBC_87c9afe4c5c54a4b93c9b78663bd8bf3"/>
            <w:id w:val="-615602742"/>
            <w:lock w:val="sdtContentLocked"/>
            <w:placeholder>
              <w:docPart w:val="GBC22222222222222222222222222222"/>
            </w:placeholder>
          </w:sdtPr>
          <w:sdtEndPr/>
          <w:sdtContent>
            <w:p w14:paraId="222AFB2C" w14:textId="3FC3880D" w:rsidR="00830E72" w:rsidRPr="0034733E"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17"/>
    <w:bookmarkEnd w:id="216"/>
    <w:p w14:paraId="65F29BE0" w14:textId="77777777" w:rsidR="00830E72" w:rsidRDefault="008344D8">
      <w:pPr>
        <w:pStyle w:val="Style100"/>
        <w:rPr>
          <w:rFonts w:ascii="宋体" w:hAnsi="宋体"/>
        </w:rPr>
      </w:pPr>
      <w:r>
        <w:rPr>
          <w:rFonts w:ascii="宋体" w:hAnsi="宋体" w:hint="eastAsia"/>
        </w:rPr>
        <w:t>应收利息</w:t>
      </w:r>
    </w:p>
    <w:bookmarkStart w:id="218" w:name="_Hlk10547023" w:displacedByCustomXml="next"/>
    <w:bookmarkStart w:id="219" w:name="_Hlk10547033" w:displacedByCustomXml="next"/>
    <w:sdt>
      <w:sdtPr>
        <w:rPr>
          <w:rFonts w:ascii="宋体" w:hAnsi="宋体" w:cs="宋体" w:hint="eastAsia"/>
          <w:b w:val="0"/>
          <w:bCs w:val="0"/>
          <w:kern w:val="0"/>
          <w:szCs w:val="24"/>
        </w:rPr>
        <w:alias w:val="模块:应收利息分类"/>
        <w:tag w:val="_SEC_91e08163b2464f8cb5d135fd131f631f"/>
        <w:id w:val="-1695530915"/>
        <w:lock w:val="sdtLocked"/>
        <w:placeholder>
          <w:docPart w:val="GBC22222222222222222222222222222"/>
        </w:placeholder>
      </w:sdtPr>
      <w:sdtEndPr/>
      <w:sdtContent>
        <w:p w14:paraId="2752D8DD" w14:textId="77777777" w:rsidR="00830E72" w:rsidRDefault="008344D8">
          <w:pPr>
            <w:pStyle w:val="Style100"/>
            <w:numPr>
              <w:ilvl w:val="3"/>
              <w:numId w:val="97"/>
            </w:numPr>
            <w:ind w:left="426" w:hanging="426"/>
            <w:rPr>
              <w:rFonts w:ascii="宋体" w:hAnsi="宋体"/>
            </w:rPr>
          </w:pPr>
          <w:r>
            <w:rPr>
              <w:rFonts w:ascii="宋体" w:hAnsi="宋体" w:hint="eastAsia"/>
            </w:rPr>
            <w:t>应收利息分类</w:t>
          </w:r>
          <w:bookmarkEnd w:id="218"/>
        </w:p>
        <w:sdt>
          <w:sdtPr>
            <w:alias w:val="是否适用：母公司应收利息分类[双击切换]"/>
            <w:tag w:val="_GBC_7b29d5fc39c94a909c39eedf47c8008f"/>
            <w:id w:val="908347847"/>
            <w:lock w:val="sdtContentLocked"/>
            <w:placeholder>
              <w:docPart w:val="GBC22222222222222222222222222222"/>
            </w:placeholder>
          </w:sdtPr>
          <w:sdtEndPr/>
          <w:sdtContent>
            <w:p w14:paraId="30564CC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19" w:displacedByCustomXml="next"/>
    <w:bookmarkStart w:id="220" w:name="_Hlk10547054" w:displacedByCustomXml="next"/>
    <w:bookmarkStart w:id="221" w:name="_Hlk10547064" w:displacedByCustomXml="next"/>
    <w:sdt>
      <w:sdtPr>
        <w:rPr>
          <w:rFonts w:ascii="宋体" w:hAnsi="宋体" w:cs="宋体" w:hint="eastAsia"/>
          <w:b w:val="0"/>
          <w:bCs w:val="0"/>
          <w:kern w:val="0"/>
          <w:szCs w:val="24"/>
        </w:rPr>
        <w:alias w:val="模块:重要逾期利息"/>
        <w:tag w:val="_SEC_e80bd789f30b40de829902e04129ef49"/>
        <w:id w:val="-762367709"/>
        <w:lock w:val="sdtLocked"/>
        <w:placeholder>
          <w:docPart w:val="GBC22222222222222222222222222222"/>
        </w:placeholder>
      </w:sdtPr>
      <w:sdtEndPr>
        <w:rPr>
          <w:rFonts w:hint="default"/>
        </w:rPr>
      </w:sdtEndPr>
      <w:sdtContent>
        <w:p w14:paraId="79CB8A56" w14:textId="77777777" w:rsidR="00830E72" w:rsidRDefault="008344D8">
          <w:pPr>
            <w:pStyle w:val="Style100"/>
            <w:numPr>
              <w:ilvl w:val="3"/>
              <w:numId w:val="97"/>
            </w:numPr>
            <w:ind w:left="426" w:hanging="426"/>
            <w:rPr>
              <w:rFonts w:ascii="宋体" w:hAnsi="宋体"/>
            </w:rPr>
          </w:pPr>
          <w:r>
            <w:rPr>
              <w:rFonts w:ascii="宋体" w:hAnsi="宋体" w:hint="eastAsia"/>
            </w:rPr>
            <w:t>重要逾期利息</w:t>
          </w:r>
          <w:bookmarkEnd w:id="220"/>
        </w:p>
        <w:sdt>
          <w:sdtPr>
            <w:alias w:val="是否适用：母公司重要逾期利息[双击切换]"/>
            <w:tag w:val="_GBC_2527ddfc737d4b8c8fa3ca7d6387408d"/>
            <w:id w:val="1354305768"/>
            <w:lock w:val="sdtContentLocked"/>
            <w:placeholder>
              <w:docPart w:val="GBC22222222222222222222222222222"/>
            </w:placeholder>
          </w:sdtPr>
          <w:sdtEndPr/>
          <w:sdtContent>
            <w:p w14:paraId="1086F99C"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21" w:displacedByCustomXml="next"/>
    <w:bookmarkStart w:id="222" w:name="_Hlk10547083" w:displacedByCustomXml="next"/>
    <w:bookmarkStart w:id="223" w:name="_Hlk10547096" w:displacedByCustomXml="next"/>
    <w:sdt>
      <w:sdtPr>
        <w:rPr>
          <w:rFonts w:ascii="宋体" w:hAnsi="宋体" w:cs="宋体" w:hint="eastAsia"/>
          <w:b w:val="0"/>
          <w:bCs w:val="0"/>
          <w:kern w:val="0"/>
          <w:szCs w:val="24"/>
        </w:rPr>
        <w:alias w:val="模块:坏账准备计提情况"/>
        <w:tag w:val="_SEC_ce38368754b54030878f7a4b3d48648e"/>
        <w:id w:val="335578003"/>
        <w:lock w:val="sdtLocked"/>
        <w:placeholder>
          <w:docPart w:val="GBC22222222222222222222222222222"/>
        </w:placeholder>
      </w:sdtPr>
      <w:sdtEndPr>
        <w:rPr>
          <w:rFonts w:hint="default"/>
        </w:rPr>
      </w:sdtEndPr>
      <w:sdtContent>
        <w:p w14:paraId="25228C99" w14:textId="77777777" w:rsidR="00830E72" w:rsidRDefault="008344D8">
          <w:pPr>
            <w:pStyle w:val="Style100"/>
            <w:numPr>
              <w:ilvl w:val="3"/>
              <w:numId w:val="97"/>
            </w:numPr>
            <w:ind w:left="426" w:hanging="426"/>
            <w:rPr>
              <w:rFonts w:ascii="宋体" w:hAnsi="宋体"/>
            </w:rPr>
          </w:pPr>
          <w:r>
            <w:rPr>
              <w:rFonts w:ascii="宋体" w:hAnsi="宋体" w:cs="宋体" w:hint="eastAsia"/>
              <w:bCs w:val="0"/>
              <w:kern w:val="0"/>
              <w:szCs w:val="24"/>
            </w:rPr>
            <w:t>坏账准备计提情况</w:t>
          </w:r>
          <w:bookmarkEnd w:id="222"/>
        </w:p>
        <w:sdt>
          <w:sdtPr>
            <w:rPr>
              <w:szCs w:val="21"/>
            </w:rPr>
            <w:alias w:val="是否适用：母公司应收利息坏账准备调节表[双击切换]"/>
            <w:tag w:val="_GBC_051d1f4329834464b99226954bb8040d"/>
            <w:id w:val="-459188243"/>
            <w:lock w:val="sdtContentLocked"/>
            <w:placeholder>
              <w:docPart w:val="GBC22222222222222222222222222222"/>
            </w:placeholder>
          </w:sdtPr>
          <w:sdtEndPr/>
          <w:sdtContent>
            <w:p w14:paraId="5F3450AE" w14:textId="62FA84BF" w:rsidR="00830E72" w:rsidRDefault="008344D8">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23" w:displacedByCustomXml="next"/>
    <w:bookmarkStart w:id="224" w:name="_Hlk10547119" w:displacedByCustomXml="next"/>
    <w:bookmarkStart w:id="225" w:name="_Hlk10547128" w:displacedByCustomXml="next"/>
    <w:sdt>
      <w:sdtPr>
        <w:rPr>
          <w:rFonts w:hint="eastAsia"/>
        </w:rPr>
        <w:alias w:val="模块:其他说明："/>
        <w:tag w:val="_SEC_ad2b0daa52af481d8a56e5f8f2ccc52e"/>
        <w:id w:val="-526561746"/>
        <w:lock w:val="sdtLocked"/>
        <w:placeholder>
          <w:docPart w:val="GBC22222222222222222222222222222"/>
        </w:placeholder>
      </w:sdtPr>
      <w:sdtEndPr>
        <w:rPr>
          <w:rFonts w:hint="default"/>
        </w:rPr>
      </w:sdtEndPr>
      <w:sdtContent>
        <w:p w14:paraId="750802AB" w14:textId="77777777" w:rsidR="00830E72" w:rsidRDefault="008344D8">
          <w:r>
            <w:rPr>
              <w:rFonts w:hint="eastAsia"/>
            </w:rPr>
            <w:t>其他说明：</w:t>
          </w:r>
          <w:bookmarkEnd w:id="224"/>
        </w:p>
        <w:sdt>
          <w:sdtPr>
            <w:rPr>
              <w:szCs w:val="21"/>
            </w:rPr>
            <w:alias w:val="是否适用：母公司应收利息其他说明[双击切换]"/>
            <w:tag w:val="_GBC_936c374258514f469f2c9bb36b889c43"/>
            <w:id w:val="2113088507"/>
            <w:lock w:val="sdtContentLocked"/>
            <w:placeholder>
              <w:docPart w:val="GBC22222222222222222222222222222"/>
            </w:placeholder>
          </w:sdtPr>
          <w:sdtEndPr/>
          <w:sdtContent>
            <w:p w14:paraId="4F5B43B2"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25"/>
    <w:p w14:paraId="7B40DAF4" w14:textId="77777777" w:rsidR="00830E72" w:rsidRDefault="008344D8">
      <w:pPr>
        <w:pStyle w:val="Style100"/>
        <w:rPr>
          <w:rFonts w:ascii="宋体" w:hAnsi="宋体"/>
        </w:rPr>
      </w:pPr>
      <w:r>
        <w:rPr>
          <w:rFonts w:ascii="宋体" w:hAnsi="宋体" w:hint="eastAsia"/>
        </w:rPr>
        <w:t>应收股利</w:t>
      </w:r>
    </w:p>
    <w:bookmarkStart w:id="226" w:name="_Hlk10547160" w:displacedByCustomXml="next"/>
    <w:bookmarkStart w:id="227" w:name="_Hlk10547171" w:displacedByCustomXml="next"/>
    <w:sdt>
      <w:sdtPr>
        <w:rPr>
          <w:rFonts w:ascii="宋体" w:hAnsi="宋体" w:cs="宋体" w:hint="eastAsia"/>
          <w:b w:val="0"/>
          <w:bCs w:val="0"/>
          <w:kern w:val="0"/>
          <w:szCs w:val="24"/>
        </w:rPr>
        <w:alias w:val="模块:应收股利"/>
        <w:tag w:val="_SEC_18f0cc3557ff45749d07d7a27d7c9620"/>
        <w:id w:val="37939642"/>
        <w:lock w:val="sdtLocked"/>
        <w:placeholder>
          <w:docPart w:val="GBC22222222222222222222222222222"/>
        </w:placeholder>
      </w:sdtPr>
      <w:sdtEndPr/>
      <w:sdtContent>
        <w:p w14:paraId="021CB3F0" w14:textId="77777777" w:rsidR="00830E72" w:rsidRDefault="008344D8">
          <w:pPr>
            <w:pStyle w:val="Style100"/>
            <w:numPr>
              <w:ilvl w:val="3"/>
              <w:numId w:val="97"/>
            </w:numPr>
            <w:ind w:left="426" w:hanging="426"/>
            <w:rPr>
              <w:rFonts w:ascii="宋体" w:hAnsi="宋体"/>
            </w:rPr>
          </w:pPr>
          <w:r>
            <w:rPr>
              <w:rFonts w:ascii="宋体" w:hAnsi="宋体" w:hint="eastAsia"/>
            </w:rPr>
            <w:t>应收股利</w:t>
          </w:r>
          <w:bookmarkEnd w:id="226"/>
        </w:p>
        <w:sdt>
          <w:sdtPr>
            <w:alias w:val="是否适用：母公司应收股利[双击切换]"/>
            <w:tag w:val="_GBC_3f36acb68ddd426b990a146c5c14da80"/>
            <w:id w:val="-964965152"/>
            <w:lock w:val="sdtContentLocked"/>
            <w:placeholder>
              <w:docPart w:val="GBC22222222222222222222222222222"/>
            </w:placeholder>
          </w:sdtPr>
          <w:sdtEndPr/>
          <w:sdtContent>
            <w:p w14:paraId="222FA3E1"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27" w:displacedByCustomXml="next"/>
    <w:bookmarkStart w:id="228" w:name="_Hlk10547188" w:displacedByCustomXml="next"/>
    <w:bookmarkStart w:id="229" w:name="_Hlk10547199" w:displacedByCustomXml="next"/>
    <w:sdt>
      <w:sdtPr>
        <w:rPr>
          <w:rFonts w:ascii="宋体" w:hAnsi="宋体" w:cs="宋体" w:hint="eastAsia"/>
          <w:b w:val="0"/>
          <w:bCs w:val="0"/>
          <w:kern w:val="0"/>
          <w:szCs w:val="24"/>
        </w:rPr>
        <w:alias w:val="模块:重要的账龄超过1年的应收股利"/>
        <w:tag w:val="_SEC_ccfd129beeb14f31b282a062cd845e5e"/>
        <w:id w:val="178627014"/>
        <w:lock w:val="sdtLocked"/>
        <w:placeholder>
          <w:docPart w:val="GBC22222222222222222222222222222"/>
        </w:placeholder>
      </w:sdtPr>
      <w:sdtEndPr>
        <w:rPr>
          <w:rFonts w:hint="default"/>
        </w:rPr>
      </w:sdtEndPr>
      <w:sdtContent>
        <w:p w14:paraId="18AEB03B" w14:textId="77777777" w:rsidR="00830E72" w:rsidRDefault="008344D8">
          <w:pPr>
            <w:pStyle w:val="Style100"/>
            <w:numPr>
              <w:ilvl w:val="3"/>
              <w:numId w:val="97"/>
            </w:numPr>
            <w:ind w:left="426" w:hanging="426"/>
            <w:rPr>
              <w:rFonts w:ascii="宋体" w:hAnsi="宋体"/>
            </w:rPr>
          </w:pPr>
          <w:r>
            <w:rPr>
              <w:rFonts w:ascii="宋体" w:hAnsi="宋体" w:hint="eastAsia"/>
            </w:rPr>
            <w:t>重要的账龄超过1年的应收股利</w:t>
          </w:r>
          <w:bookmarkEnd w:id="228"/>
        </w:p>
        <w:sdt>
          <w:sdtPr>
            <w:rPr>
              <w:szCs w:val="21"/>
            </w:rPr>
            <w:alias w:val="是否适用：母公司重要的账龄超过1年的应收股利[双击切换]"/>
            <w:tag w:val="_GBC_5ce593c40926400393bed620009e5006"/>
            <w:id w:val="1586800090"/>
            <w:lock w:val="sdtContentLocked"/>
            <w:placeholder>
              <w:docPart w:val="GBC22222222222222222222222222222"/>
            </w:placeholder>
          </w:sdtPr>
          <w:sdtEndPr/>
          <w:sdtContent>
            <w:p w14:paraId="00AB887A" w14:textId="77777777" w:rsidR="00830E72" w:rsidRDefault="008344D8">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29" w:displacedByCustomXml="next"/>
    <w:bookmarkStart w:id="230" w:name="_Hlk10547212" w:displacedByCustomXml="next"/>
    <w:bookmarkStart w:id="231" w:name="_Hlk10547224" w:displacedByCustomXml="next"/>
    <w:sdt>
      <w:sdtPr>
        <w:rPr>
          <w:rFonts w:ascii="宋体" w:hAnsi="宋体" w:cs="宋体" w:hint="eastAsia"/>
          <w:b w:val="0"/>
          <w:bCs w:val="0"/>
          <w:kern w:val="0"/>
          <w:szCs w:val="24"/>
        </w:rPr>
        <w:alias w:val="模块:坏账准备计提情况"/>
        <w:tag w:val="_SEC_3d41530a7b3d408cbfe627f818ea914c"/>
        <w:id w:val="-191151648"/>
        <w:lock w:val="sdtLocked"/>
        <w:placeholder>
          <w:docPart w:val="GBC22222222222222222222222222222"/>
        </w:placeholder>
      </w:sdtPr>
      <w:sdtEndPr>
        <w:rPr>
          <w:rFonts w:hint="default"/>
        </w:rPr>
      </w:sdtEndPr>
      <w:sdtContent>
        <w:p w14:paraId="4F9F56E8" w14:textId="77777777" w:rsidR="00830E72" w:rsidRDefault="008344D8">
          <w:pPr>
            <w:pStyle w:val="Style100"/>
            <w:numPr>
              <w:ilvl w:val="3"/>
              <w:numId w:val="97"/>
            </w:numPr>
            <w:ind w:left="426" w:hanging="426"/>
            <w:rPr>
              <w:rFonts w:ascii="宋体" w:hAnsi="宋体"/>
            </w:rPr>
          </w:pPr>
          <w:r>
            <w:rPr>
              <w:rFonts w:ascii="宋体" w:hAnsi="宋体" w:cs="宋体" w:hint="eastAsia"/>
              <w:bCs w:val="0"/>
              <w:kern w:val="0"/>
              <w:szCs w:val="24"/>
            </w:rPr>
            <w:t>坏账准备计提情况</w:t>
          </w:r>
          <w:bookmarkEnd w:id="230"/>
        </w:p>
        <w:sdt>
          <w:sdtPr>
            <w:alias w:val="是否适用：母公司应收股利坏账准备调节表[双击切换]"/>
            <w:tag w:val="_GBC_9d130aecb6cb4874ac083fcdce5ee739"/>
            <w:id w:val="1082182604"/>
            <w:lock w:val="sdtContentLocked"/>
            <w:placeholder>
              <w:docPart w:val="GBC22222222222222222222222222222"/>
            </w:placeholder>
          </w:sdtPr>
          <w:sdtEndPr/>
          <w:sdtContent>
            <w:p w14:paraId="2ED5F107"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31" w:displacedByCustomXml="next"/>
    <w:bookmarkStart w:id="232" w:name="_Hlk10547234" w:displacedByCustomXml="next"/>
    <w:bookmarkStart w:id="233" w:name="_Hlk10547244" w:displacedByCustomXml="next"/>
    <w:sdt>
      <w:sdtPr>
        <w:rPr>
          <w:rFonts w:hint="eastAsia"/>
          <w:szCs w:val="21"/>
        </w:rPr>
        <w:alias w:val="模块:其他说明："/>
        <w:tag w:val="_SEC_2b03a6eb53a24c76a6dc28f0478009f2"/>
        <w:id w:val="1018049514"/>
        <w:lock w:val="sdtLocked"/>
        <w:placeholder>
          <w:docPart w:val="GBC22222222222222222222222222222"/>
        </w:placeholder>
      </w:sdtPr>
      <w:sdtEndPr>
        <w:rPr>
          <w:rFonts w:hint="default"/>
          <w:szCs w:val="24"/>
        </w:rPr>
      </w:sdtEndPr>
      <w:sdtContent>
        <w:p w14:paraId="608C6A50" w14:textId="77777777" w:rsidR="00830E72" w:rsidRDefault="008344D8">
          <w:pPr>
            <w:rPr>
              <w:szCs w:val="21"/>
            </w:rPr>
          </w:pPr>
          <w:r>
            <w:rPr>
              <w:rFonts w:hint="eastAsia"/>
              <w:szCs w:val="21"/>
            </w:rPr>
            <w:t>其他说明：</w:t>
          </w:r>
          <w:bookmarkEnd w:id="232"/>
        </w:p>
        <w:sdt>
          <w:sdtPr>
            <w:rPr>
              <w:szCs w:val="21"/>
            </w:rPr>
            <w:alias w:val="是否适用：母公司应收股利其他说明[双击切换]"/>
            <w:tag w:val="_GBC_79a2eb8844e84fe3b78bb5ffcf2a57d5"/>
            <w:id w:val="-1032953789"/>
            <w:lock w:val="sdtContentLocked"/>
            <w:placeholder>
              <w:docPart w:val="GBC22222222222222222222222222222"/>
            </w:placeholder>
          </w:sdtPr>
          <w:sdtEndPr/>
          <w:sdtContent>
            <w:p w14:paraId="05D777ED" w14:textId="77777777"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33"/>
    <w:p w14:paraId="3620720D" w14:textId="77777777" w:rsidR="00830E72" w:rsidRDefault="008344D8">
      <w:pPr>
        <w:pStyle w:val="Style100"/>
        <w:rPr>
          <w:rFonts w:ascii="宋体" w:hAnsi="宋体"/>
        </w:rPr>
      </w:pPr>
      <w:r>
        <w:rPr>
          <w:rFonts w:ascii="宋体" w:hAnsi="宋体" w:hint="eastAsia"/>
        </w:rPr>
        <w:t>其他应收款</w:t>
      </w:r>
    </w:p>
    <w:sdt>
      <w:sdtPr>
        <w:rPr>
          <w:rFonts w:ascii="宋体" w:hAnsi="宋体" w:cs="宋体"/>
          <w:b w:val="0"/>
          <w:bCs w:val="0"/>
          <w:kern w:val="0"/>
          <w:szCs w:val="21"/>
        </w:rPr>
        <w:alias w:val="模块:组合中，按账龄分析法计提坏账准备的其他应收款"/>
        <w:tag w:val="_GBC_7633445fb4f445e9a99e716971900a22"/>
        <w:id w:val="-1908599951"/>
        <w:lock w:val="sdtLocked"/>
        <w:placeholder>
          <w:docPart w:val="GBC22222222222222222222222222222"/>
        </w:placeholder>
      </w:sdtPr>
      <w:sdtEndPr/>
      <w:sdtContent>
        <w:p w14:paraId="15C423FB" w14:textId="77777777" w:rsidR="00830E72" w:rsidRDefault="008344D8">
          <w:pPr>
            <w:pStyle w:val="Style100"/>
            <w:numPr>
              <w:ilvl w:val="3"/>
              <w:numId w:val="97"/>
            </w:numPr>
            <w:ind w:left="426" w:hanging="426"/>
            <w:rPr>
              <w:rFonts w:ascii="宋体" w:hAnsi="宋体"/>
              <w:szCs w:val="21"/>
            </w:rPr>
          </w:pPr>
          <w:proofErr w:type="gramStart"/>
          <w:r>
            <w:rPr>
              <w:rFonts w:ascii="宋体" w:hAnsi="宋体" w:hint="eastAsia"/>
              <w:szCs w:val="21"/>
            </w:rPr>
            <w:t>按账龄</w:t>
          </w:r>
          <w:proofErr w:type="gramEnd"/>
          <w:r>
            <w:rPr>
              <w:rFonts w:ascii="宋体" w:hAnsi="宋体" w:hint="eastAsia"/>
              <w:szCs w:val="21"/>
            </w:rPr>
            <w:t>披露</w:t>
          </w:r>
        </w:p>
        <w:p w14:paraId="20A5240F" w14:textId="77777777" w:rsidR="00830E72" w:rsidRDefault="00D44830">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1893793432"/>
              <w:lock w:val="sdtContentLocked"/>
              <w:placeholder>
                <w:docPart w:val="GBC22222222222222222222222222222"/>
              </w:placeholder>
            </w:sdtPr>
            <w:sdtEndPr/>
            <w:sdtContent>
              <w:r w:rsidR="008344D8">
                <w:rPr>
                  <w:szCs w:val="21"/>
                </w:rPr>
                <w:fldChar w:fldCharType="begin"/>
              </w:r>
              <w:r w:rsidR="008344D8">
                <w:rPr>
                  <w:szCs w:val="21"/>
                </w:rPr>
                <w:instrText>MACROBUTTON  SnrToggleCheckbox √适用</w:instrText>
              </w:r>
              <w:r w:rsidR="008344D8">
                <w:rPr>
                  <w:szCs w:val="21"/>
                </w:rPr>
                <w:fldChar w:fldCharType="end"/>
              </w:r>
              <w:r w:rsidR="008344D8">
                <w:rPr>
                  <w:szCs w:val="21"/>
                </w:rPr>
                <w:fldChar w:fldCharType="begin"/>
              </w:r>
              <w:r w:rsidR="008344D8">
                <w:rPr>
                  <w:szCs w:val="21"/>
                </w:rPr>
                <w:instrText xml:space="preserve"> MACROBUTTON  SnrToggleCheckbox □不适用 </w:instrText>
              </w:r>
              <w:r w:rsidR="008344D8">
                <w:rPr>
                  <w:szCs w:val="21"/>
                </w:rPr>
                <w:fldChar w:fldCharType="end"/>
              </w:r>
            </w:sdtContent>
          </w:sdt>
        </w:p>
        <w:p w14:paraId="7A651F0C" w14:textId="77777777" w:rsidR="00830E72" w:rsidRDefault="008344D8">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3008047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890847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3649"/>
          </w:tblGrid>
          <w:tr w:rsidR="00830E72" w14:paraId="1EE36786" w14:textId="77777777">
            <w:trPr>
              <w:trHeight w:val="273"/>
              <w:jc w:val="center"/>
            </w:trPr>
            <w:sdt>
              <w:sdtPr>
                <w:tag w:val="_PLD_ea421152d78d40388e20d700f11c5b7c"/>
                <w:id w:val="1083414139"/>
                <w:lock w:val="sdtLocked"/>
              </w:sdtPr>
              <w:sdtEndPr/>
              <w:sdtContent>
                <w:tc>
                  <w:tcPr>
                    <w:tcW w:w="2984" w:type="pct"/>
                    <w:tcBorders>
                      <w:bottom w:val="single" w:sz="4" w:space="0" w:color="auto"/>
                    </w:tcBorders>
                    <w:shd w:val="clear" w:color="auto" w:fill="auto"/>
                    <w:vAlign w:val="center"/>
                  </w:tcPr>
                  <w:p w14:paraId="14651A21" w14:textId="77777777" w:rsidR="00830E72" w:rsidRDefault="008344D8">
                    <w:pPr>
                      <w:jc w:val="center"/>
                      <w:rPr>
                        <w:szCs w:val="21"/>
                      </w:rPr>
                    </w:pPr>
                    <w:r>
                      <w:rPr>
                        <w:szCs w:val="21"/>
                      </w:rPr>
                      <w:t>账龄</w:t>
                    </w:r>
                  </w:p>
                </w:tc>
              </w:sdtContent>
            </w:sdt>
            <w:sdt>
              <w:sdtPr>
                <w:tag w:val="_PLD_041d6c971e464a898746e2aa12807b27"/>
                <w:id w:val="701056685"/>
                <w:lock w:val="sdtLocked"/>
              </w:sdtPr>
              <w:sdtEndPr/>
              <w:sdtContent>
                <w:tc>
                  <w:tcPr>
                    <w:tcW w:w="2016" w:type="pct"/>
                    <w:tcBorders>
                      <w:bottom w:val="single" w:sz="4" w:space="0" w:color="auto"/>
                    </w:tcBorders>
                    <w:shd w:val="clear" w:color="auto" w:fill="auto"/>
                    <w:vAlign w:val="center"/>
                  </w:tcPr>
                  <w:p w14:paraId="05A826C1" w14:textId="77777777" w:rsidR="00830E72" w:rsidRDefault="008344D8">
                    <w:pPr>
                      <w:jc w:val="center"/>
                      <w:rPr>
                        <w:szCs w:val="21"/>
                      </w:rPr>
                    </w:pPr>
                    <w:r>
                      <w:rPr>
                        <w:szCs w:val="21"/>
                      </w:rPr>
                      <w:t>期末</w:t>
                    </w:r>
                    <w:r>
                      <w:rPr>
                        <w:rFonts w:hint="eastAsia"/>
                        <w:szCs w:val="21"/>
                      </w:rPr>
                      <w:t>账面</w:t>
                    </w:r>
                    <w:r>
                      <w:rPr>
                        <w:szCs w:val="21"/>
                      </w:rPr>
                      <w:t>余额</w:t>
                    </w:r>
                  </w:p>
                </w:tc>
              </w:sdtContent>
            </w:sdt>
          </w:tr>
          <w:tr w:rsidR="00830E72" w14:paraId="50AF924A" w14:textId="77777777">
            <w:trPr>
              <w:jc w:val="center"/>
            </w:trPr>
            <w:sdt>
              <w:sdtPr>
                <w:tag w:val="_PLD_e7e6a5399aea4d5c9e5e7d69deb45784"/>
                <w:id w:val="-1691756759"/>
                <w:lock w:val="sdtLocked"/>
              </w:sdtPr>
              <w:sdtEndPr/>
              <w:sdtContent>
                <w:tc>
                  <w:tcPr>
                    <w:tcW w:w="5000" w:type="pct"/>
                    <w:gridSpan w:val="2"/>
                    <w:shd w:val="clear" w:color="auto" w:fill="auto"/>
                  </w:tcPr>
                  <w:p w14:paraId="15073601" w14:textId="77777777" w:rsidR="00830E72" w:rsidRDefault="008344D8">
                    <w:pPr>
                      <w:rPr>
                        <w:szCs w:val="21"/>
                      </w:rPr>
                    </w:pPr>
                    <w:proofErr w:type="gramStart"/>
                    <w:r>
                      <w:rPr>
                        <w:rFonts w:hint="eastAsia"/>
                        <w:szCs w:val="21"/>
                      </w:rPr>
                      <w:t>1</w:t>
                    </w:r>
                    <w:r>
                      <w:rPr>
                        <w:szCs w:val="21"/>
                      </w:rPr>
                      <w:t>年以内</w:t>
                    </w:r>
                    <w:proofErr w:type="gramEnd"/>
                  </w:p>
                </w:tc>
              </w:sdtContent>
            </w:sdt>
          </w:tr>
          <w:tr w:rsidR="00830E72" w14:paraId="66946316" w14:textId="77777777">
            <w:trPr>
              <w:jc w:val="center"/>
            </w:trPr>
            <w:sdt>
              <w:sdtPr>
                <w:tag w:val="_PLD_56f450290f844bc78a2cfb244e386bfb"/>
                <w:id w:val="875440817"/>
                <w:lock w:val="sdtLocked"/>
              </w:sdtPr>
              <w:sdtEndPr/>
              <w:sdtContent>
                <w:tc>
                  <w:tcPr>
                    <w:tcW w:w="5000" w:type="pct"/>
                    <w:gridSpan w:val="2"/>
                    <w:shd w:val="clear" w:color="auto" w:fill="auto"/>
                  </w:tcPr>
                  <w:p w14:paraId="7A8BF71F" w14:textId="77777777" w:rsidR="00830E72" w:rsidRDefault="008344D8">
                    <w:pPr>
                      <w:rPr>
                        <w:szCs w:val="21"/>
                      </w:rPr>
                    </w:pPr>
                    <w:r>
                      <w:rPr>
                        <w:rFonts w:hint="eastAsia"/>
                        <w:szCs w:val="21"/>
                      </w:rPr>
                      <w:t>其中：</w:t>
                    </w:r>
                    <w:r>
                      <w:rPr>
                        <w:szCs w:val="21"/>
                      </w:rPr>
                      <w:t>1年以内分项</w:t>
                    </w:r>
                  </w:p>
                </w:tc>
              </w:sdtContent>
            </w:sdt>
          </w:tr>
          <w:tr w:rsidR="00830E72" w14:paraId="2880E0CE" w14:textId="77777777">
            <w:trPr>
              <w:jc w:val="center"/>
            </w:trPr>
            <w:sdt>
              <w:sdtPr>
                <w:tag w:val="_PLD_2003791af21f466bb07049d42fca0a81"/>
                <w:id w:val="1558890707"/>
                <w:lock w:val="sdtLocked"/>
              </w:sdtPr>
              <w:sdtEndPr/>
              <w:sdtContent>
                <w:tc>
                  <w:tcPr>
                    <w:tcW w:w="2984" w:type="pct"/>
                    <w:shd w:val="clear" w:color="auto" w:fill="auto"/>
                  </w:tcPr>
                  <w:p w14:paraId="65AA2286" w14:textId="77777777" w:rsidR="00830E72" w:rsidRDefault="008344D8">
                    <w:pPr>
                      <w:rPr>
                        <w:szCs w:val="21"/>
                      </w:rPr>
                    </w:pPr>
                    <w:r>
                      <w:rPr>
                        <w:rFonts w:hint="eastAsia"/>
                        <w:szCs w:val="21"/>
                      </w:rPr>
                      <w:t>1年以内小计</w:t>
                    </w:r>
                  </w:p>
                </w:tc>
              </w:sdtContent>
            </w:sdt>
            <w:tc>
              <w:tcPr>
                <w:tcW w:w="2016" w:type="pct"/>
                <w:shd w:val="clear" w:color="auto" w:fill="auto"/>
              </w:tcPr>
              <w:p w14:paraId="4AFB5F39" w14:textId="77777777" w:rsidR="00830E72" w:rsidRDefault="008344D8">
                <w:pPr>
                  <w:jc w:val="right"/>
                  <w:rPr>
                    <w:szCs w:val="21"/>
                  </w:rPr>
                </w:pPr>
                <w:r>
                  <w:rPr>
                    <w:szCs w:val="21"/>
                  </w:rPr>
                  <w:t>343,617,287.68</w:t>
                </w:r>
              </w:p>
            </w:tc>
          </w:tr>
          <w:tr w:rsidR="00830E72" w14:paraId="1526EF2A" w14:textId="77777777">
            <w:trPr>
              <w:jc w:val="center"/>
            </w:trPr>
            <w:sdt>
              <w:sdtPr>
                <w:tag w:val="_PLD_95c5c36c109842ad8ca939ca66051b89"/>
                <w:id w:val="-2048518517"/>
                <w:lock w:val="sdtLocked"/>
              </w:sdtPr>
              <w:sdtEndPr/>
              <w:sdtContent>
                <w:tc>
                  <w:tcPr>
                    <w:tcW w:w="2984" w:type="pct"/>
                    <w:shd w:val="clear" w:color="auto" w:fill="auto"/>
                  </w:tcPr>
                  <w:p w14:paraId="733D032B" w14:textId="77777777" w:rsidR="00830E72" w:rsidRDefault="008344D8">
                    <w:pPr>
                      <w:rPr>
                        <w:szCs w:val="21"/>
                      </w:rPr>
                    </w:pPr>
                    <w:r>
                      <w:rPr>
                        <w:rFonts w:hint="eastAsia"/>
                        <w:szCs w:val="21"/>
                      </w:rPr>
                      <w:t>1</w:t>
                    </w:r>
                    <w:r>
                      <w:rPr>
                        <w:szCs w:val="21"/>
                      </w:rPr>
                      <w:t>至</w:t>
                    </w:r>
                    <w:r>
                      <w:rPr>
                        <w:rFonts w:hint="eastAsia"/>
                        <w:szCs w:val="21"/>
                      </w:rPr>
                      <w:t>2</w:t>
                    </w:r>
                    <w:r>
                      <w:rPr>
                        <w:szCs w:val="21"/>
                      </w:rPr>
                      <w:t>年</w:t>
                    </w:r>
                  </w:p>
                </w:tc>
              </w:sdtContent>
            </w:sdt>
            <w:tc>
              <w:tcPr>
                <w:tcW w:w="2016" w:type="pct"/>
                <w:shd w:val="clear" w:color="auto" w:fill="auto"/>
              </w:tcPr>
              <w:p w14:paraId="06AF7BA4" w14:textId="77777777" w:rsidR="00830E72" w:rsidRDefault="008344D8">
                <w:pPr>
                  <w:jc w:val="right"/>
                  <w:rPr>
                    <w:szCs w:val="21"/>
                  </w:rPr>
                </w:pPr>
                <w:r>
                  <w:rPr>
                    <w:szCs w:val="21"/>
                  </w:rPr>
                  <w:t>41,597,938.95</w:t>
                </w:r>
              </w:p>
            </w:tc>
          </w:tr>
          <w:tr w:rsidR="00830E72" w14:paraId="76482737" w14:textId="77777777">
            <w:trPr>
              <w:jc w:val="center"/>
            </w:trPr>
            <w:sdt>
              <w:sdtPr>
                <w:tag w:val="_PLD_95bded3dfef44f398326fefdfdfa13a1"/>
                <w:id w:val="880827341"/>
                <w:lock w:val="sdtLocked"/>
              </w:sdtPr>
              <w:sdtEndPr/>
              <w:sdtContent>
                <w:tc>
                  <w:tcPr>
                    <w:tcW w:w="2984" w:type="pct"/>
                    <w:shd w:val="clear" w:color="auto" w:fill="auto"/>
                  </w:tcPr>
                  <w:p w14:paraId="11B1D4A9" w14:textId="77777777" w:rsidR="00830E72" w:rsidRDefault="008344D8">
                    <w:pPr>
                      <w:rPr>
                        <w:szCs w:val="21"/>
                      </w:rPr>
                    </w:pPr>
                    <w:r>
                      <w:rPr>
                        <w:rFonts w:hint="eastAsia"/>
                        <w:szCs w:val="21"/>
                      </w:rPr>
                      <w:t>2</w:t>
                    </w:r>
                    <w:r>
                      <w:rPr>
                        <w:szCs w:val="21"/>
                      </w:rPr>
                      <w:t>至</w:t>
                    </w:r>
                    <w:r>
                      <w:rPr>
                        <w:rFonts w:hint="eastAsia"/>
                        <w:szCs w:val="21"/>
                      </w:rPr>
                      <w:t>3</w:t>
                    </w:r>
                    <w:r>
                      <w:rPr>
                        <w:szCs w:val="21"/>
                      </w:rPr>
                      <w:t>年</w:t>
                    </w:r>
                  </w:p>
                </w:tc>
              </w:sdtContent>
            </w:sdt>
            <w:tc>
              <w:tcPr>
                <w:tcW w:w="2016" w:type="pct"/>
                <w:shd w:val="clear" w:color="auto" w:fill="auto"/>
              </w:tcPr>
              <w:p w14:paraId="6E3805EC" w14:textId="77777777" w:rsidR="00830E72" w:rsidRDefault="008344D8">
                <w:pPr>
                  <w:jc w:val="right"/>
                  <w:rPr>
                    <w:szCs w:val="21"/>
                  </w:rPr>
                </w:pPr>
                <w:r>
                  <w:rPr>
                    <w:szCs w:val="21"/>
                  </w:rPr>
                  <w:t>1,705,072.97</w:t>
                </w:r>
              </w:p>
            </w:tc>
          </w:tr>
          <w:tr w:rsidR="00830E72" w14:paraId="26604146" w14:textId="77777777">
            <w:trPr>
              <w:jc w:val="center"/>
            </w:trPr>
            <w:sdt>
              <w:sdtPr>
                <w:tag w:val="_PLD_8e60c19da192420eac3e17635db6643f"/>
                <w:id w:val="-981841086"/>
                <w:lock w:val="sdtLocked"/>
              </w:sdtPr>
              <w:sdtEndPr/>
              <w:sdtContent>
                <w:tc>
                  <w:tcPr>
                    <w:tcW w:w="2984" w:type="pct"/>
                    <w:shd w:val="clear" w:color="auto" w:fill="auto"/>
                  </w:tcPr>
                  <w:p w14:paraId="49156C2E" w14:textId="77777777" w:rsidR="00830E72" w:rsidRDefault="008344D8">
                    <w:pPr>
                      <w:rPr>
                        <w:szCs w:val="21"/>
                      </w:rPr>
                    </w:pPr>
                    <w:proofErr w:type="gramStart"/>
                    <w:r>
                      <w:rPr>
                        <w:rFonts w:hint="eastAsia"/>
                        <w:szCs w:val="21"/>
                      </w:rPr>
                      <w:t>3</w:t>
                    </w:r>
                    <w:r>
                      <w:rPr>
                        <w:szCs w:val="21"/>
                      </w:rPr>
                      <w:t>年以上</w:t>
                    </w:r>
                    <w:proofErr w:type="gramEnd"/>
                  </w:p>
                </w:tc>
              </w:sdtContent>
            </w:sdt>
            <w:tc>
              <w:tcPr>
                <w:tcW w:w="2016" w:type="pct"/>
                <w:shd w:val="clear" w:color="auto" w:fill="auto"/>
              </w:tcPr>
              <w:p w14:paraId="55E3FCA6" w14:textId="77777777" w:rsidR="00830E72" w:rsidRDefault="00830E72">
                <w:pPr>
                  <w:jc w:val="right"/>
                  <w:rPr>
                    <w:szCs w:val="21"/>
                  </w:rPr>
                </w:pPr>
              </w:p>
            </w:tc>
          </w:tr>
          <w:tr w:rsidR="00830E72" w14:paraId="02FA2526" w14:textId="77777777">
            <w:trPr>
              <w:jc w:val="center"/>
            </w:trPr>
            <w:sdt>
              <w:sdtPr>
                <w:tag w:val="_PLD_f2ed966c1e274f61b24a1143926bf921"/>
                <w:id w:val="-1331061864"/>
                <w:lock w:val="sdtLocked"/>
              </w:sdtPr>
              <w:sdtEndPr/>
              <w:sdtContent>
                <w:tc>
                  <w:tcPr>
                    <w:tcW w:w="2984" w:type="pct"/>
                    <w:shd w:val="clear" w:color="auto" w:fill="auto"/>
                  </w:tcPr>
                  <w:p w14:paraId="55B4F385" w14:textId="77777777" w:rsidR="00830E72" w:rsidRDefault="008344D8">
                    <w:pPr>
                      <w:rPr>
                        <w:szCs w:val="21"/>
                      </w:rPr>
                    </w:pPr>
                    <w:r>
                      <w:rPr>
                        <w:rFonts w:hint="eastAsia"/>
                        <w:szCs w:val="21"/>
                      </w:rPr>
                      <w:t>3</w:t>
                    </w:r>
                    <w:r>
                      <w:rPr>
                        <w:szCs w:val="21"/>
                      </w:rPr>
                      <w:t>至</w:t>
                    </w:r>
                    <w:r>
                      <w:rPr>
                        <w:rFonts w:hint="eastAsia"/>
                        <w:szCs w:val="21"/>
                      </w:rPr>
                      <w:t>4</w:t>
                    </w:r>
                    <w:r>
                      <w:rPr>
                        <w:szCs w:val="21"/>
                      </w:rPr>
                      <w:t>年</w:t>
                    </w:r>
                  </w:p>
                </w:tc>
              </w:sdtContent>
            </w:sdt>
            <w:tc>
              <w:tcPr>
                <w:tcW w:w="2016" w:type="pct"/>
                <w:shd w:val="clear" w:color="auto" w:fill="auto"/>
              </w:tcPr>
              <w:p w14:paraId="19EF0E09" w14:textId="77777777" w:rsidR="00830E72" w:rsidRDefault="008344D8">
                <w:pPr>
                  <w:jc w:val="right"/>
                  <w:rPr>
                    <w:szCs w:val="21"/>
                  </w:rPr>
                </w:pPr>
                <w:r>
                  <w:rPr>
                    <w:szCs w:val="21"/>
                  </w:rPr>
                  <w:t>874,195.22</w:t>
                </w:r>
              </w:p>
            </w:tc>
          </w:tr>
          <w:tr w:rsidR="00830E72" w14:paraId="512C3ED2" w14:textId="77777777">
            <w:trPr>
              <w:jc w:val="center"/>
            </w:trPr>
            <w:sdt>
              <w:sdtPr>
                <w:tag w:val="_PLD_b619e0e2723e468294b0f0499cb87825"/>
                <w:id w:val="765039822"/>
                <w:lock w:val="sdtLocked"/>
              </w:sdtPr>
              <w:sdtEndPr/>
              <w:sdtContent>
                <w:tc>
                  <w:tcPr>
                    <w:tcW w:w="2984" w:type="pct"/>
                    <w:shd w:val="clear" w:color="auto" w:fill="auto"/>
                  </w:tcPr>
                  <w:p w14:paraId="516FC6EB" w14:textId="77777777" w:rsidR="00830E72" w:rsidRDefault="008344D8">
                    <w:pPr>
                      <w:rPr>
                        <w:szCs w:val="21"/>
                      </w:rPr>
                    </w:pPr>
                    <w:r>
                      <w:rPr>
                        <w:rFonts w:hint="eastAsia"/>
                        <w:szCs w:val="21"/>
                      </w:rPr>
                      <w:t>4</w:t>
                    </w:r>
                    <w:r>
                      <w:rPr>
                        <w:szCs w:val="21"/>
                      </w:rPr>
                      <w:t>至</w:t>
                    </w:r>
                    <w:r>
                      <w:rPr>
                        <w:rFonts w:hint="eastAsia"/>
                        <w:szCs w:val="21"/>
                      </w:rPr>
                      <w:t>5</w:t>
                    </w:r>
                    <w:r>
                      <w:rPr>
                        <w:szCs w:val="21"/>
                      </w:rPr>
                      <w:t>年</w:t>
                    </w:r>
                  </w:p>
                </w:tc>
              </w:sdtContent>
            </w:sdt>
            <w:tc>
              <w:tcPr>
                <w:tcW w:w="2016" w:type="pct"/>
                <w:shd w:val="clear" w:color="auto" w:fill="auto"/>
              </w:tcPr>
              <w:p w14:paraId="482F1458" w14:textId="77777777" w:rsidR="00830E72" w:rsidRDefault="008344D8">
                <w:pPr>
                  <w:jc w:val="right"/>
                  <w:rPr>
                    <w:szCs w:val="21"/>
                  </w:rPr>
                </w:pPr>
                <w:r>
                  <w:rPr>
                    <w:szCs w:val="21"/>
                  </w:rPr>
                  <w:t>1,267,956.40</w:t>
                </w:r>
              </w:p>
            </w:tc>
          </w:tr>
          <w:tr w:rsidR="00830E72" w14:paraId="4AD2D017" w14:textId="77777777">
            <w:trPr>
              <w:jc w:val="center"/>
            </w:trPr>
            <w:sdt>
              <w:sdtPr>
                <w:tag w:val="_PLD_ba74cee717434a10956280b38ade6234"/>
                <w:id w:val="846531156"/>
                <w:lock w:val="sdtLocked"/>
              </w:sdtPr>
              <w:sdtEndPr/>
              <w:sdtContent>
                <w:tc>
                  <w:tcPr>
                    <w:tcW w:w="2984" w:type="pct"/>
                    <w:shd w:val="clear" w:color="auto" w:fill="auto"/>
                  </w:tcPr>
                  <w:p w14:paraId="2972E9BD" w14:textId="77777777" w:rsidR="00830E72" w:rsidRDefault="008344D8">
                    <w:pPr>
                      <w:rPr>
                        <w:szCs w:val="21"/>
                      </w:rPr>
                    </w:pPr>
                    <w:proofErr w:type="gramStart"/>
                    <w:r>
                      <w:rPr>
                        <w:rFonts w:hint="eastAsia"/>
                        <w:szCs w:val="21"/>
                      </w:rPr>
                      <w:t>5</w:t>
                    </w:r>
                    <w:r>
                      <w:rPr>
                        <w:szCs w:val="21"/>
                      </w:rPr>
                      <w:t>年以上</w:t>
                    </w:r>
                    <w:proofErr w:type="gramEnd"/>
                  </w:p>
                </w:tc>
              </w:sdtContent>
            </w:sdt>
            <w:tc>
              <w:tcPr>
                <w:tcW w:w="2016" w:type="pct"/>
                <w:shd w:val="clear" w:color="auto" w:fill="auto"/>
              </w:tcPr>
              <w:p w14:paraId="387DBD45" w14:textId="77777777" w:rsidR="00830E72" w:rsidRDefault="008344D8">
                <w:pPr>
                  <w:jc w:val="right"/>
                  <w:rPr>
                    <w:szCs w:val="21"/>
                  </w:rPr>
                </w:pPr>
                <w:r>
                  <w:rPr>
                    <w:szCs w:val="21"/>
                  </w:rPr>
                  <w:t>125,349.77</w:t>
                </w:r>
              </w:p>
            </w:tc>
          </w:tr>
          <w:tr w:rsidR="00830E72" w14:paraId="50B3B291" w14:textId="77777777">
            <w:trPr>
              <w:jc w:val="center"/>
            </w:trPr>
            <w:sdt>
              <w:sdtPr>
                <w:tag w:val="_PLD_b07c72d6667b4b8198e844363dff5967"/>
                <w:id w:val="-1116981967"/>
                <w:lock w:val="sdtLocked"/>
              </w:sdtPr>
              <w:sdtEndPr/>
              <w:sdtContent>
                <w:tc>
                  <w:tcPr>
                    <w:tcW w:w="2984" w:type="pct"/>
                    <w:shd w:val="clear" w:color="auto" w:fill="auto"/>
                    <w:vAlign w:val="center"/>
                  </w:tcPr>
                  <w:p w14:paraId="1485DBE6" w14:textId="77777777" w:rsidR="00830E72" w:rsidRDefault="008344D8">
                    <w:pPr>
                      <w:jc w:val="center"/>
                      <w:rPr>
                        <w:szCs w:val="21"/>
                      </w:rPr>
                    </w:pPr>
                    <w:r>
                      <w:rPr>
                        <w:szCs w:val="21"/>
                      </w:rPr>
                      <w:t>合计</w:t>
                    </w:r>
                  </w:p>
                </w:tc>
              </w:sdtContent>
            </w:sdt>
            <w:tc>
              <w:tcPr>
                <w:tcW w:w="2016" w:type="pct"/>
                <w:shd w:val="clear" w:color="auto" w:fill="auto"/>
              </w:tcPr>
              <w:p w14:paraId="6E51BC5A" w14:textId="77777777" w:rsidR="00830E72" w:rsidRDefault="008344D8">
                <w:pPr>
                  <w:jc w:val="right"/>
                  <w:rPr>
                    <w:szCs w:val="21"/>
                  </w:rPr>
                </w:pPr>
                <w:r>
                  <w:rPr>
                    <w:szCs w:val="21"/>
                  </w:rPr>
                  <w:t>389,187,800.99</w:t>
                </w:r>
              </w:p>
            </w:tc>
          </w:tr>
        </w:tbl>
        <w:p w14:paraId="18D657D8" w14:textId="77777777" w:rsidR="00830E72" w:rsidRDefault="00D44830">
          <w:pPr>
            <w:rPr>
              <w:szCs w:val="21"/>
            </w:rPr>
          </w:pPr>
        </w:p>
      </w:sdtContent>
    </w:sdt>
    <w:bookmarkStart w:id="234" w:name="_Hlk10547648" w:displacedByCustomXml="next"/>
    <w:sdt>
      <w:sdtPr>
        <w:rPr>
          <w:rFonts w:ascii="宋体" w:hAnsi="宋体" w:cs="宋体" w:hint="eastAsia"/>
          <w:b w:val="0"/>
          <w:bCs w:val="0"/>
          <w:kern w:val="0"/>
          <w:szCs w:val="24"/>
        </w:rPr>
        <w:alias w:val="模块:其他应收款按款项性质分类情况"/>
        <w:tag w:val="_GBC_c9f7dc8489b74105a28800b5cfad23af"/>
        <w:id w:val="241994103"/>
        <w:lock w:val="sdtLocked"/>
        <w:placeholder>
          <w:docPart w:val="GBC22222222222222222222222222222"/>
        </w:placeholder>
      </w:sdtPr>
      <w:sdtEndPr/>
      <w:sdtContent>
        <w:p w14:paraId="71F4B3E9" w14:textId="77777777" w:rsidR="00830E72" w:rsidRDefault="008344D8">
          <w:pPr>
            <w:pStyle w:val="Style100"/>
            <w:numPr>
              <w:ilvl w:val="3"/>
              <w:numId w:val="97"/>
            </w:numPr>
            <w:ind w:left="426" w:hanging="426"/>
            <w:rPr>
              <w:rFonts w:ascii="宋体" w:hAnsi="宋体"/>
            </w:rPr>
          </w:pPr>
          <w:r>
            <w:rPr>
              <w:rFonts w:ascii="宋体" w:hAnsi="宋体" w:hint="eastAsia"/>
            </w:rPr>
            <w:t>按款项性质分类</w:t>
          </w:r>
        </w:p>
        <w:sdt>
          <w:sdtPr>
            <w:alias w:val="是否适用：母公司其他应收款按款项性质分类情况[双击切换]"/>
            <w:tag w:val="_GBC_101fec10ac1f41f39330610cac041192"/>
            <w:id w:val="1348219704"/>
            <w:lock w:val="sdtContentLocked"/>
            <w:placeholder>
              <w:docPart w:val="GBC22222222222222222222222222222"/>
            </w:placeholder>
          </w:sdtPr>
          <w:sdtEndPr/>
          <w:sdtContent>
            <w:p w14:paraId="53A6E58F"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4C178CA" w14:textId="77777777" w:rsidR="00830E72" w:rsidRDefault="008344D8">
          <w:pPr>
            <w:jc w:val="right"/>
          </w:pPr>
          <w:r>
            <w:rPr>
              <w:rFonts w:hint="eastAsia"/>
            </w:rPr>
            <w:t>单位：</w:t>
          </w:r>
          <w:sdt>
            <w:sdtPr>
              <w:rPr>
                <w:rFonts w:hint="eastAsia"/>
              </w:rPr>
              <w:alias w:val="单位：财务附注：母公司其他应收款按款项性质分类情况"/>
              <w:tag w:val="_GBC_cdfadb9bdd864b32a99df11dec001a83"/>
              <w:id w:val="44856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cac854cfb75144bc86635f44f78d6611"/>
              <w:id w:val="-17868034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0"/>
            <w:gridCol w:w="2427"/>
            <w:gridCol w:w="2992"/>
          </w:tblGrid>
          <w:tr w:rsidR="00830E72" w14:paraId="0821319E" w14:textId="77777777">
            <w:sdt>
              <w:sdtPr>
                <w:tag w:val="_PLD_797d39f4d1fd488e93d36af61d0bebfd"/>
                <w:id w:val="434174178"/>
                <w:lock w:val="sdtLocked"/>
              </w:sdtPr>
              <w:sdtEndPr/>
              <w:sdtContent>
                <w:tc>
                  <w:tcPr>
                    <w:tcW w:w="2006" w:type="pct"/>
                    <w:shd w:val="clear" w:color="auto" w:fill="auto"/>
                    <w:vAlign w:val="center"/>
                  </w:tcPr>
                  <w:p w14:paraId="4D43AF0E" w14:textId="77777777" w:rsidR="00830E72" w:rsidRDefault="008344D8">
                    <w:pPr>
                      <w:jc w:val="center"/>
                    </w:pPr>
                    <w:r>
                      <w:rPr>
                        <w:rFonts w:hint="eastAsia"/>
                      </w:rPr>
                      <w:t>款项性质</w:t>
                    </w:r>
                  </w:p>
                </w:tc>
              </w:sdtContent>
            </w:sdt>
            <w:sdt>
              <w:sdtPr>
                <w:tag w:val="_PLD_7853db088d0a4b218482e741ebbac8e0"/>
                <w:id w:val="490523342"/>
                <w:lock w:val="sdtLocked"/>
              </w:sdtPr>
              <w:sdtEndPr/>
              <w:sdtContent>
                <w:tc>
                  <w:tcPr>
                    <w:tcW w:w="1341" w:type="pct"/>
                    <w:shd w:val="clear" w:color="auto" w:fill="auto"/>
                    <w:vAlign w:val="center"/>
                  </w:tcPr>
                  <w:p w14:paraId="389F857A" w14:textId="77777777" w:rsidR="00830E72" w:rsidRDefault="008344D8">
                    <w:pPr>
                      <w:jc w:val="center"/>
                    </w:pPr>
                    <w:r>
                      <w:rPr>
                        <w:rFonts w:hint="eastAsia"/>
                      </w:rPr>
                      <w:t>期末账面余额</w:t>
                    </w:r>
                  </w:p>
                </w:tc>
              </w:sdtContent>
            </w:sdt>
            <w:sdt>
              <w:sdtPr>
                <w:tag w:val="_PLD_56ab744bffee4ad28664bdf9e16551e2"/>
                <w:id w:val="-611362361"/>
                <w:lock w:val="sdtLocked"/>
              </w:sdtPr>
              <w:sdtEndPr/>
              <w:sdtContent>
                <w:tc>
                  <w:tcPr>
                    <w:tcW w:w="1653" w:type="pct"/>
                    <w:shd w:val="clear" w:color="auto" w:fill="auto"/>
                    <w:vAlign w:val="center"/>
                  </w:tcPr>
                  <w:p w14:paraId="5AD0678B" w14:textId="77777777" w:rsidR="00830E72" w:rsidRDefault="008344D8">
                    <w:pPr>
                      <w:jc w:val="center"/>
                    </w:pPr>
                    <w:r>
                      <w:rPr>
                        <w:rFonts w:hint="eastAsia"/>
                      </w:rPr>
                      <w:t>期初账面余额</w:t>
                    </w:r>
                  </w:p>
                </w:tc>
              </w:sdtContent>
            </w:sdt>
          </w:tr>
          <w:sdt>
            <w:sdtPr>
              <w:rPr>
                <w:rFonts w:hint="eastAsia"/>
              </w:rPr>
              <w:alias w:val="其他应收款按款项性质分类情况明细"/>
              <w:tag w:val="_GBC_2dbe9c87fcc94933b5e1adb6fa3a30df"/>
              <w:id w:val="1883354629"/>
              <w:lock w:val="sdtLocked"/>
            </w:sdtPr>
            <w:sdtEndPr/>
            <w:sdtContent>
              <w:tr w:rsidR="00830E72" w14:paraId="5DDF0B55" w14:textId="77777777">
                <w:tc>
                  <w:tcPr>
                    <w:tcW w:w="2006" w:type="pct"/>
                    <w:shd w:val="clear" w:color="auto" w:fill="auto"/>
                  </w:tcPr>
                  <w:p w14:paraId="7C792002" w14:textId="77777777" w:rsidR="00830E72" w:rsidRDefault="008344D8">
                    <w:pPr>
                      <w:rPr>
                        <w:highlight w:val="yellow"/>
                      </w:rPr>
                    </w:pPr>
                    <w:r>
                      <w:rPr>
                        <w:rFonts w:hint="eastAsia"/>
                      </w:rPr>
                      <w:t>内部单位往来款</w:t>
                    </w:r>
                  </w:p>
                </w:tc>
                <w:tc>
                  <w:tcPr>
                    <w:tcW w:w="1341" w:type="pct"/>
                    <w:shd w:val="clear" w:color="auto" w:fill="auto"/>
                  </w:tcPr>
                  <w:p w14:paraId="4DCDF3F9" w14:textId="77777777" w:rsidR="00830E72" w:rsidRDefault="008344D8">
                    <w:pPr>
                      <w:jc w:val="right"/>
                    </w:pPr>
                    <w:r>
                      <w:t>133,336,897.63</w:t>
                    </w:r>
                  </w:p>
                </w:tc>
                <w:tc>
                  <w:tcPr>
                    <w:tcW w:w="1653" w:type="pct"/>
                    <w:shd w:val="clear" w:color="auto" w:fill="auto"/>
                  </w:tcPr>
                  <w:p w14:paraId="71156C0C" w14:textId="77777777" w:rsidR="00830E72" w:rsidRDefault="008344D8">
                    <w:pPr>
                      <w:jc w:val="right"/>
                    </w:pPr>
                    <w:r>
                      <w:t>83,478,974.08</w:t>
                    </w:r>
                  </w:p>
                </w:tc>
              </w:tr>
            </w:sdtContent>
          </w:sdt>
          <w:sdt>
            <w:sdtPr>
              <w:rPr>
                <w:rFonts w:hint="eastAsia"/>
              </w:rPr>
              <w:alias w:val="其他应收款按款项性质分类情况明细"/>
              <w:tag w:val="_GBC_2dbe9c87fcc94933b5e1adb6fa3a30df"/>
              <w:id w:val="-1651668598"/>
              <w:lock w:val="sdtLocked"/>
            </w:sdtPr>
            <w:sdtEndPr/>
            <w:sdtContent>
              <w:tr w:rsidR="00830E72" w14:paraId="4F1B5CEA" w14:textId="77777777">
                <w:tc>
                  <w:tcPr>
                    <w:tcW w:w="2006" w:type="pct"/>
                    <w:shd w:val="clear" w:color="auto" w:fill="auto"/>
                  </w:tcPr>
                  <w:p w14:paraId="50C2A933" w14:textId="77777777" w:rsidR="00830E72" w:rsidRDefault="008344D8">
                    <w:pPr>
                      <w:rPr>
                        <w:highlight w:val="yellow"/>
                      </w:rPr>
                    </w:pPr>
                    <w:r>
                      <w:rPr>
                        <w:rFonts w:hint="eastAsia"/>
                      </w:rPr>
                      <w:t>投标、履约保证金及农民工保障金</w:t>
                    </w:r>
                  </w:p>
                </w:tc>
                <w:tc>
                  <w:tcPr>
                    <w:tcW w:w="1341" w:type="pct"/>
                    <w:shd w:val="clear" w:color="auto" w:fill="auto"/>
                  </w:tcPr>
                  <w:p w14:paraId="56E1E3E4" w14:textId="77777777" w:rsidR="00830E72" w:rsidRDefault="008344D8">
                    <w:pPr>
                      <w:jc w:val="right"/>
                    </w:pPr>
                    <w:r>
                      <w:t>167,558,008.81</w:t>
                    </w:r>
                  </w:p>
                </w:tc>
                <w:tc>
                  <w:tcPr>
                    <w:tcW w:w="1653" w:type="pct"/>
                    <w:shd w:val="clear" w:color="auto" w:fill="auto"/>
                  </w:tcPr>
                  <w:p w14:paraId="32F07DEB" w14:textId="77777777" w:rsidR="00830E72" w:rsidRDefault="008344D8">
                    <w:pPr>
                      <w:jc w:val="right"/>
                    </w:pPr>
                    <w:r>
                      <w:t>94,921,798.41</w:t>
                    </w:r>
                  </w:p>
                </w:tc>
              </w:tr>
            </w:sdtContent>
          </w:sdt>
          <w:sdt>
            <w:sdtPr>
              <w:rPr>
                <w:rFonts w:hint="eastAsia"/>
              </w:rPr>
              <w:alias w:val="其他应收款按款项性质分类情况明细"/>
              <w:tag w:val="_GBC_2dbe9c87fcc94933b5e1adb6fa3a30df"/>
              <w:id w:val="-1876457122"/>
              <w:lock w:val="sdtLocked"/>
            </w:sdtPr>
            <w:sdtEndPr/>
            <w:sdtContent>
              <w:tr w:rsidR="00830E72" w14:paraId="1605DD82" w14:textId="77777777">
                <w:tc>
                  <w:tcPr>
                    <w:tcW w:w="2006" w:type="pct"/>
                    <w:shd w:val="clear" w:color="auto" w:fill="auto"/>
                  </w:tcPr>
                  <w:p w14:paraId="67C84DDA" w14:textId="77777777" w:rsidR="00830E72" w:rsidRDefault="008344D8">
                    <w:pPr>
                      <w:rPr>
                        <w:highlight w:val="yellow"/>
                      </w:rPr>
                    </w:pPr>
                    <w:r>
                      <w:rPr>
                        <w:rFonts w:hint="eastAsia"/>
                      </w:rPr>
                      <w:t>其他保证金、押金</w:t>
                    </w:r>
                  </w:p>
                </w:tc>
                <w:tc>
                  <w:tcPr>
                    <w:tcW w:w="1341" w:type="pct"/>
                    <w:shd w:val="clear" w:color="auto" w:fill="auto"/>
                  </w:tcPr>
                  <w:p w14:paraId="0A5FA407" w14:textId="77777777" w:rsidR="00830E72" w:rsidRDefault="008344D8">
                    <w:pPr>
                      <w:jc w:val="right"/>
                    </w:pPr>
                    <w:r>
                      <w:t>3,857,508.24</w:t>
                    </w:r>
                  </w:p>
                </w:tc>
                <w:tc>
                  <w:tcPr>
                    <w:tcW w:w="1653" w:type="pct"/>
                    <w:shd w:val="clear" w:color="auto" w:fill="auto"/>
                  </w:tcPr>
                  <w:p w14:paraId="12244F60" w14:textId="77777777" w:rsidR="00830E72" w:rsidRDefault="008344D8">
                    <w:pPr>
                      <w:jc w:val="right"/>
                    </w:pPr>
                    <w:r>
                      <w:t>7,761,343.40</w:t>
                    </w:r>
                  </w:p>
                </w:tc>
              </w:tr>
            </w:sdtContent>
          </w:sdt>
          <w:sdt>
            <w:sdtPr>
              <w:rPr>
                <w:rFonts w:hint="eastAsia"/>
              </w:rPr>
              <w:alias w:val="其他应收款按款项性质分类情况明细"/>
              <w:tag w:val="_GBC_2dbe9c87fcc94933b5e1adb6fa3a30df"/>
              <w:id w:val="-355815429"/>
              <w:lock w:val="sdtLocked"/>
            </w:sdtPr>
            <w:sdtEndPr/>
            <w:sdtContent>
              <w:tr w:rsidR="00830E72" w14:paraId="2E58F52D" w14:textId="77777777">
                <w:tc>
                  <w:tcPr>
                    <w:tcW w:w="2006" w:type="pct"/>
                    <w:shd w:val="clear" w:color="auto" w:fill="auto"/>
                  </w:tcPr>
                  <w:p w14:paraId="7A0F9093" w14:textId="77777777" w:rsidR="00830E72" w:rsidRDefault="008344D8">
                    <w:pPr>
                      <w:rPr>
                        <w:highlight w:val="yellow"/>
                      </w:rPr>
                    </w:pPr>
                    <w:r>
                      <w:rPr>
                        <w:rFonts w:hint="eastAsia"/>
                      </w:rPr>
                      <w:t>往来款及备用金</w:t>
                    </w:r>
                  </w:p>
                </w:tc>
                <w:tc>
                  <w:tcPr>
                    <w:tcW w:w="1341" w:type="pct"/>
                    <w:shd w:val="clear" w:color="auto" w:fill="auto"/>
                  </w:tcPr>
                  <w:p w14:paraId="422A5B20" w14:textId="77777777" w:rsidR="00830E72" w:rsidRDefault="008344D8">
                    <w:pPr>
                      <w:jc w:val="right"/>
                    </w:pPr>
                    <w:r>
                      <w:t>57,903,244.75</w:t>
                    </w:r>
                  </w:p>
                </w:tc>
                <w:tc>
                  <w:tcPr>
                    <w:tcW w:w="1653" w:type="pct"/>
                    <w:shd w:val="clear" w:color="auto" w:fill="auto"/>
                  </w:tcPr>
                  <w:p w14:paraId="6DF6C10D" w14:textId="77777777" w:rsidR="00830E72" w:rsidRDefault="008344D8">
                    <w:pPr>
                      <w:jc w:val="right"/>
                    </w:pPr>
                    <w:r>
                      <w:t>36,168,376.93</w:t>
                    </w:r>
                  </w:p>
                </w:tc>
              </w:tr>
            </w:sdtContent>
          </w:sdt>
          <w:sdt>
            <w:sdtPr>
              <w:rPr>
                <w:rFonts w:hint="eastAsia"/>
              </w:rPr>
              <w:alias w:val="其他应收款按款项性质分类情况明细"/>
              <w:tag w:val="_GBC_2dbe9c87fcc94933b5e1adb6fa3a30df"/>
              <w:id w:val="1722249389"/>
              <w:lock w:val="sdtLocked"/>
            </w:sdtPr>
            <w:sdtEndPr/>
            <w:sdtContent>
              <w:tr w:rsidR="00830E72" w14:paraId="40DEF3DC" w14:textId="77777777">
                <w:tc>
                  <w:tcPr>
                    <w:tcW w:w="2006" w:type="pct"/>
                    <w:shd w:val="clear" w:color="auto" w:fill="auto"/>
                  </w:tcPr>
                  <w:p w14:paraId="25C29717" w14:textId="77777777" w:rsidR="00830E72" w:rsidRDefault="008344D8">
                    <w:pPr>
                      <w:rPr>
                        <w:highlight w:val="yellow"/>
                      </w:rPr>
                    </w:pPr>
                    <w:r>
                      <w:rPr>
                        <w:rFonts w:hint="eastAsia"/>
                      </w:rPr>
                      <w:t>股权</w:t>
                    </w:r>
                    <w:proofErr w:type="gramStart"/>
                    <w:r>
                      <w:rPr>
                        <w:rFonts w:hint="eastAsia"/>
                      </w:rPr>
                      <w:t>意向金</w:t>
                    </w:r>
                    <w:proofErr w:type="gramEnd"/>
                  </w:p>
                </w:tc>
                <w:tc>
                  <w:tcPr>
                    <w:tcW w:w="1341" w:type="pct"/>
                    <w:shd w:val="clear" w:color="auto" w:fill="auto"/>
                  </w:tcPr>
                  <w:p w14:paraId="352B1BBB" w14:textId="77777777" w:rsidR="00830E72" w:rsidRDefault="008344D8">
                    <w:pPr>
                      <w:jc w:val="right"/>
                    </w:pPr>
                    <w:r>
                      <w:t>20,000,000.00</w:t>
                    </w:r>
                  </w:p>
                </w:tc>
                <w:tc>
                  <w:tcPr>
                    <w:tcW w:w="1653" w:type="pct"/>
                    <w:shd w:val="clear" w:color="auto" w:fill="auto"/>
                  </w:tcPr>
                  <w:p w14:paraId="51D3AE9F" w14:textId="77777777" w:rsidR="00830E72" w:rsidRDefault="008344D8">
                    <w:pPr>
                      <w:jc w:val="right"/>
                    </w:pPr>
                    <w:r>
                      <w:t>20,000,000.00</w:t>
                    </w:r>
                  </w:p>
                </w:tc>
              </w:tr>
            </w:sdtContent>
          </w:sdt>
          <w:sdt>
            <w:sdtPr>
              <w:rPr>
                <w:rFonts w:hint="eastAsia"/>
              </w:rPr>
              <w:alias w:val="其他应收款按款项性质分类情况明细"/>
              <w:tag w:val="_GBC_2dbe9c87fcc94933b5e1adb6fa3a30df"/>
              <w:id w:val="-1154687105"/>
              <w:lock w:val="sdtLocked"/>
            </w:sdtPr>
            <w:sdtEndPr/>
            <w:sdtContent>
              <w:tr w:rsidR="00830E72" w14:paraId="1275A480" w14:textId="77777777">
                <w:tc>
                  <w:tcPr>
                    <w:tcW w:w="2006" w:type="pct"/>
                    <w:shd w:val="clear" w:color="auto" w:fill="auto"/>
                  </w:tcPr>
                  <w:p w14:paraId="443E208E" w14:textId="77777777" w:rsidR="00830E72" w:rsidRDefault="008344D8">
                    <w:pPr>
                      <w:rPr>
                        <w:highlight w:val="yellow"/>
                      </w:rPr>
                    </w:pPr>
                    <w:r>
                      <w:rPr>
                        <w:rFonts w:hint="eastAsia"/>
                      </w:rPr>
                      <w:t>其他</w:t>
                    </w:r>
                  </w:p>
                </w:tc>
                <w:tc>
                  <w:tcPr>
                    <w:tcW w:w="1341" w:type="pct"/>
                    <w:shd w:val="clear" w:color="auto" w:fill="auto"/>
                  </w:tcPr>
                  <w:p w14:paraId="1E73B510" w14:textId="77777777" w:rsidR="00830E72" w:rsidRDefault="008344D8">
                    <w:pPr>
                      <w:jc w:val="right"/>
                    </w:pPr>
                    <w:r>
                      <w:t>6,532,141.56</w:t>
                    </w:r>
                  </w:p>
                </w:tc>
                <w:tc>
                  <w:tcPr>
                    <w:tcW w:w="1653" w:type="pct"/>
                    <w:shd w:val="clear" w:color="auto" w:fill="auto"/>
                  </w:tcPr>
                  <w:p w14:paraId="57F5F99B" w14:textId="77777777" w:rsidR="00830E72" w:rsidRDefault="008344D8">
                    <w:pPr>
                      <w:jc w:val="right"/>
                    </w:pPr>
                    <w:r>
                      <w:t>10,802,072.25</w:t>
                    </w:r>
                  </w:p>
                </w:tc>
              </w:tr>
            </w:sdtContent>
          </w:sdt>
          <w:tr w:rsidR="00830E72" w14:paraId="378AA268" w14:textId="77777777">
            <w:sdt>
              <w:sdtPr>
                <w:tag w:val="_PLD_2c3163c0b1c149f7a6fc1dfe5449335d"/>
                <w:id w:val="-1466585656"/>
                <w:lock w:val="sdtLocked"/>
              </w:sdtPr>
              <w:sdtEndPr/>
              <w:sdtContent>
                <w:tc>
                  <w:tcPr>
                    <w:tcW w:w="2006" w:type="pct"/>
                    <w:shd w:val="clear" w:color="auto" w:fill="auto"/>
                  </w:tcPr>
                  <w:p w14:paraId="46347946" w14:textId="77777777" w:rsidR="00830E72" w:rsidRDefault="008344D8">
                    <w:pPr>
                      <w:jc w:val="center"/>
                    </w:pPr>
                    <w:r>
                      <w:t>合计</w:t>
                    </w:r>
                  </w:p>
                </w:tc>
              </w:sdtContent>
            </w:sdt>
            <w:tc>
              <w:tcPr>
                <w:tcW w:w="1341" w:type="pct"/>
                <w:shd w:val="clear" w:color="auto" w:fill="auto"/>
              </w:tcPr>
              <w:p w14:paraId="661D43CD" w14:textId="77777777" w:rsidR="00830E72" w:rsidRDefault="008344D8">
                <w:pPr>
                  <w:jc w:val="right"/>
                </w:pPr>
                <w:r>
                  <w:t>389,187,800.99</w:t>
                </w:r>
              </w:p>
            </w:tc>
            <w:tc>
              <w:tcPr>
                <w:tcW w:w="1653" w:type="pct"/>
                <w:shd w:val="clear" w:color="auto" w:fill="auto"/>
              </w:tcPr>
              <w:p w14:paraId="0BBEF35B" w14:textId="77777777" w:rsidR="00830E72" w:rsidRDefault="008344D8">
                <w:pPr>
                  <w:jc w:val="right"/>
                </w:pPr>
                <w:r>
                  <w:t>253,132,565.07</w:t>
                </w:r>
              </w:p>
            </w:tc>
          </w:tr>
        </w:tbl>
        <w:p w14:paraId="5C853A09" w14:textId="77777777" w:rsidR="00830E72" w:rsidRDefault="00D44830"/>
      </w:sdtContent>
    </w:sdt>
    <w:bookmarkEnd w:id="234" w:displacedByCustomXml="next"/>
    <w:bookmarkStart w:id="235" w:name="_Hlk10547765" w:displacedByCustomXml="next"/>
    <w:sdt>
      <w:sdtPr>
        <w:rPr>
          <w:rFonts w:ascii="宋体" w:hAnsi="宋体" w:cs="宋体" w:hint="eastAsia"/>
          <w:b w:val="0"/>
          <w:bCs w:val="0"/>
          <w:kern w:val="0"/>
          <w:szCs w:val="21"/>
        </w:rPr>
        <w:alias w:val="模块:坏账准备计提情况"/>
        <w:tag w:val="_SEC_15d9e20371d54bec9233b27dd50b301d"/>
        <w:id w:val="-1985307231"/>
        <w:lock w:val="sdtLocked"/>
        <w:placeholder>
          <w:docPart w:val="GBC22222222222222222222222222222"/>
        </w:placeholder>
      </w:sdtPr>
      <w:sdtEndPr/>
      <w:sdtContent>
        <w:p w14:paraId="7E104554" w14:textId="77777777" w:rsidR="00830E72" w:rsidRDefault="008344D8">
          <w:pPr>
            <w:pStyle w:val="Style100"/>
            <w:numPr>
              <w:ilvl w:val="3"/>
              <w:numId w:val="97"/>
            </w:numPr>
            <w:ind w:left="426" w:hanging="426"/>
            <w:rPr>
              <w:rFonts w:ascii="宋体" w:hAnsi="宋体"/>
              <w:szCs w:val="21"/>
            </w:rPr>
          </w:pPr>
          <w:r>
            <w:rPr>
              <w:rFonts w:ascii="宋体" w:hAnsi="宋体" w:hint="eastAsia"/>
              <w:szCs w:val="21"/>
            </w:rPr>
            <w:t>坏账准备计提情况</w:t>
          </w:r>
        </w:p>
        <w:sdt>
          <w:sdtPr>
            <w:alias w:val="是否适用：母公司其他应收款坏账准备调节表[双击切换]"/>
            <w:tag w:val="_GBC_550996ad46c8493eb98c011d7acf7dfb"/>
            <w:id w:val="1604378079"/>
            <w:lock w:val="sdtContentLocked"/>
            <w:placeholder>
              <w:docPart w:val="GBC22222222222222222222222222222"/>
            </w:placeholder>
          </w:sdtPr>
          <w:sdtEndPr/>
          <w:sdtContent>
            <w:p w14:paraId="5140B474"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A57B99B" w14:textId="77777777" w:rsidR="00830E72" w:rsidRDefault="008344D8">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10c7491cbac54cf6a1a375367db16baf"/>
              <w:id w:val="-19816041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01762fded69841c1b87d684f3bcfb97f"/>
              <w:id w:val="14349439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02"/>
            <w:gridCol w:w="1699"/>
            <w:gridCol w:w="1866"/>
            <w:gridCol w:w="1689"/>
          </w:tblGrid>
          <w:tr w:rsidR="00830E72" w14:paraId="7C0D003B" w14:textId="77777777">
            <w:sdt>
              <w:sdtPr>
                <w:rPr>
                  <w:rFonts w:ascii="宋体" w:eastAsia="宋体" w:hAnsi="宋体"/>
                </w:rPr>
                <w:tag w:val="_PLD_a620ef8c0fe0407b955c4f58530e0b21"/>
                <w:id w:val="1581558840"/>
                <w:lock w:val="sdtLocked"/>
              </w:sdtPr>
              <w:sdtEndPr/>
              <w:sdtContent>
                <w:tc>
                  <w:tcPr>
                    <w:tcW w:w="1156" w:type="pct"/>
                    <w:vMerge w:val="restart"/>
                    <w:vAlign w:val="center"/>
                  </w:tcPr>
                  <w:p w14:paraId="527845A0" w14:textId="77777777" w:rsidR="00830E72" w:rsidRDefault="008344D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rPr>
                  <w:rFonts w:ascii="宋体" w:eastAsia="宋体" w:hAnsi="宋体"/>
                </w:rPr>
                <w:tag w:val="_PLD_8699e9827a744831bf2fdadfa1ac52e1"/>
                <w:id w:val="-1588064699"/>
                <w:lock w:val="sdtLocked"/>
              </w:sdtPr>
              <w:sdtEndPr/>
              <w:sdtContent>
                <w:tc>
                  <w:tcPr>
                    <w:tcW w:w="940" w:type="pct"/>
                    <w:vAlign w:val="center"/>
                  </w:tcPr>
                  <w:p w14:paraId="6B13EE8D" w14:textId="77777777" w:rsidR="00830E72" w:rsidRDefault="008344D8">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rPr>
                  <w:rFonts w:ascii="宋体" w:eastAsia="宋体" w:hAnsi="宋体"/>
                </w:rPr>
                <w:tag w:val="_PLD_d2f5c6d4cf0d4a86b39dc41f67fe87db"/>
                <w:id w:val="-1114135513"/>
                <w:lock w:val="sdtLocked"/>
              </w:sdtPr>
              <w:sdtEndPr/>
              <w:sdtContent>
                <w:tc>
                  <w:tcPr>
                    <w:tcW w:w="939" w:type="pct"/>
                    <w:vAlign w:val="center"/>
                  </w:tcPr>
                  <w:p w14:paraId="76B398D8" w14:textId="77777777" w:rsidR="00830E72" w:rsidRDefault="008344D8">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rPr>
                  <w:rFonts w:ascii="宋体" w:eastAsia="宋体" w:hAnsi="宋体"/>
                </w:rPr>
                <w:tag w:val="_PLD_a09c7daba8c14a6498c7b83b77c97c72"/>
                <w:id w:val="1684476929"/>
                <w:lock w:val="sdtLocked"/>
              </w:sdtPr>
              <w:sdtEndPr/>
              <w:sdtContent>
                <w:tc>
                  <w:tcPr>
                    <w:tcW w:w="1031" w:type="pct"/>
                    <w:vAlign w:val="center"/>
                  </w:tcPr>
                  <w:p w14:paraId="62FB9FF6" w14:textId="77777777" w:rsidR="00830E72" w:rsidRDefault="008344D8">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rPr>
                  <w:rFonts w:ascii="宋体" w:eastAsia="宋体" w:hAnsi="宋体"/>
                </w:rPr>
                <w:tag w:val="_PLD_1ec064a14a75404dac24adc5e6ddd253"/>
                <w:id w:val="1805885679"/>
                <w:lock w:val="sdtLocked"/>
              </w:sdtPr>
              <w:sdtEndPr/>
              <w:sdtContent>
                <w:tc>
                  <w:tcPr>
                    <w:tcW w:w="933" w:type="pct"/>
                    <w:vMerge w:val="restart"/>
                    <w:vAlign w:val="center"/>
                  </w:tcPr>
                  <w:p w14:paraId="6A348631" w14:textId="77777777" w:rsidR="00830E72" w:rsidRDefault="008344D8">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830E72" w14:paraId="49E459C4" w14:textId="77777777">
            <w:tc>
              <w:tcPr>
                <w:tcW w:w="1156" w:type="pct"/>
                <w:vMerge/>
                <w:vAlign w:val="center"/>
              </w:tcPr>
              <w:p w14:paraId="19CECFFF" w14:textId="77777777" w:rsidR="00830E72" w:rsidRDefault="00830E72">
                <w:pPr>
                  <w:jc w:val="center"/>
                  <w:rPr>
                    <w:color w:val="008000"/>
                    <w:szCs w:val="21"/>
                  </w:rPr>
                </w:pPr>
              </w:p>
            </w:tc>
            <w:sdt>
              <w:sdtPr>
                <w:rPr>
                  <w:rFonts w:ascii="宋体" w:eastAsia="宋体" w:hAnsi="宋体"/>
                </w:rPr>
                <w:tag w:val="_PLD_506da2a2f1db4ead819aa958edd702e2"/>
                <w:id w:val="-910004948"/>
                <w:lock w:val="sdtLocked"/>
              </w:sdtPr>
              <w:sdtEndPr/>
              <w:sdtContent>
                <w:tc>
                  <w:tcPr>
                    <w:tcW w:w="940" w:type="pct"/>
                    <w:vAlign w:val="center"/>
                  </w:tcPr>
                  <w:p w14:paraId="2E0E2727" w14:textId="77777777" w:rsidR="00830E72" w:rsidRDefault="008344D8">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rPr>
                  <w:rFonts w:ascii="宋体" w:eastAsia="宋体" w:hAnsi="宋体"/>
                </w:rPr>
                <w:tag w:val="_PLD_23a6590eef0649d4af75d4845c12f263"/>
                <w:id w:val="1564209717"/>
                <w:lock w:val="sdtLocked"/>
              </w:sdtPr>
              <w:sdtEndPr/>
              <w:sdtContent>
                <w:tc>
                  <w:tcPr>
                    <w:tcW w:w="939" w:type="pct"/>
                    <w:vAlign w:val="center"/>
                  </w:tcPr>
                  <w:p w14:paraId="7000E1E0" w14:textId="77777777" w:rsidR="00830E72" w:rsidRDefault="008344D8">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rPr>
                  <w:rFonts w:ascii="宋体" w:eastAsia="宋体" w:hAnsi="宋体"/>
                </w:rPr>
                <w:tag w:val="_PLD_44518f4265ac43078f96c79efe9dd487"/>
                <w:id w:val="1507485551"/>
                <w:lock w:val="sdtLocked"/>
              </w:sdtPr>
              <w:sdtEndPr/>
              <w:sdtContent>
                <w:tc>
                  <w:tcPr>
                    <w:tcW w:w="1031" w:type="pct"/>
                    <w:vAlign w:val="center"/>
                  </w:tcPr>
                  <w:p w14:paraId="6CE63EFD" w14:textId="77777777" w:rsidR="00830E72" w:rsidRDefault="008344D8">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33" w:type="pct"/>
                <w:vMerge/>
                <w:vAlign w:val="center"/>
              </w:tcPr>
              <w:p w14:paraId="580B7069" w14:textId="77777777" w:rsidR="00830E72" w:rsidRDefault="00830E72">
                <w:pPr>
                  <w:jc w:val="center"/>
                  <w:rPr>
                    <w:color w:val="008000"/>
                    <w:szCs w:val="21"/>
                  </w:rPr>
                </w:pPr>
              </w:p>
            </w:tc>
          </w:tr>
          <w:tr w:rsidR="00830E72" w14:paraId="754CC6C7" w14:textId="77777777">
            <w:sdt>
              <w:sdtPr>
                <w:rPr>
                  <w:rFonts w:ascii="宋体" w:eastAsia="宋体" w:hAnsi="宋体"/>
                </w:rPr>
                <w:tag w:val="_PLD_2304f8a656bf488e9c1b48987574a2b8"/>
                <w:id w:val="-1465736327"/>
                <w:lock w:val="sdtLocked"/>
              </w:sdtPr>
              <w:sdtEndPr/>
              <w:sdtContent>
                <w:tc>
                  <w:tcPr>
                    <w:tcW w:w="1156" w:type="pct"/>
                    <w:vAlign w:val="center"/>
                  </w:tcPr>
                  <w:p w14:paraId="58548413"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940" w:type="pct"/>
                <w:vAlign w:val="center"/>
              </w:tcPr>
              <w:p w14:paraId="3D5BBEDE" w14:textId="77777777" w:rsidR="00830E72" w:rsidRDefault="008344D8">
                <w:pPr>
                  <w:jc w:val="right"/>
                  <w:rPr>
                    <w:szCs w:val="21"/>
                  </w:rPr>
                </w:pPr>
                <w:r>
                  <w:rPr>
                    <w:szCs w:val="21"/>
                  </w:rPr>
                  <w:t>6,766,718.92</w:t>
                </w:r>
              </w:p>
            </w:tc>
            <w:tc>
              <w:tcPr>
                <w:tcW w:w="939" w:type="pct"/>
                <w:vAlign w:val="center"/>
              </w:tcPr>
              <w:p w14:paraId="03B62F0E" w14:textId="77777777" w:rsidR="00830E72" w:rsidRDefault="00830E72">
                <w:pPr>
                  <w:jc w:val="right"/>
                  <w:rPr>
                    <w:szCs w:val="21"/>
                  </w:rPr>
                </w:pPr>
              </w:p>
            </w:tc>
            <w:tc>
              <w:tcPr>
                <w:tcW w:w="1031" w:type="pct"/>
                <w:vAlign w:val="center"/>
              </w:tcPr>
              <w:p w14:paraId="7F37EED8" w14:textId="77777777" w:rsidR="00830E72" w:rsidRDefault="00830E72">
                <w:pPr>
                  <w:jc w:val="right"/>
                  <w:rPr>
                    <w:szCs w:val="21"/>
                  </w:rPr>
                </w:pPr>
              </w:p>
            </w:tc>
            <w:tc>
              <w:tcPr>
                <w:tcW w:w="933" w:type="pct"/>
                <w:vAlign w:val="center"/>
              </w:tcPr>
              <w:p w14:paraId="1FD2CE9B" w14:textId="77777777" w:rsidR="00830E72" w:rsidRDefault="008344D8">
                <w:pPr>
                  <w:jc w:val="right"/>
                  <w:rPr>
                    <w:szCs w:val="21"/>
                  </w:rPr>
                </w:pPr>
                <w:r>
                  <w:rPr>
                    <w:szCs w:val="21"/>
                  </w:rPr>
                  <w:t>6,766,718.92</w:t>
                </w:r>
              </w:p>
            </w:tc>
          </w:tr>
          <w:tr w:rsidR="00830E72" w14:paraId="2B522BCB" w14:textId="77777777">
            <w:sdt>
              <w:sdtPr>
                <w:rPr>
                  <w:rFonts w:ascii="宋体" w:eastAsia="宋体" w:hAnsi="宋体"/>
                </w:rPr>
                <w:tag w:val="_PLD_796e9b523fc242849d2f6df5b04e1b9e"/>
                <w:id w:val="-1392959986"/>
                <w:lock w:val="sdtLocked"/>
              </w:sdtPr>
              <w:sdtEndPr/>
              <w:sdtContent>
                <w:tc>
                  <w:tcPr>
                    <w:tcW w:w="1156" w:type="pct"/>
                    <w:vAlign w:val="center"/>
                  </w:tcPr>
                  <w:p w14:paraId="1D72C285"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2021年1月1日余额在本期</w:t>
                    </w:r>
                  </w:p>
                </w:tc>
              </w:sdtContent>
            </w:sdt>
            <w:tc>
              <w:tcPr>
                <w:tcW w:w="940" w:type="pct"/>
                <w:vAlign w:val="center"/>
              </w:tcPr>
              <w:p w14:paraId="569D3677" w14:textId="77777777" w:rsidR="00830E72" w:rsidRDefault="00830E72">
                <w:pPr>
                  <w:jc w:val="right"/>
                  <w:rPr>
                    <w:szCs w:val="21"/>
                  </w:rPr>
                </w:pPr>
              </w:p>
            </w:tc>
            <w:tc>
              <w:tcPr>
                <w:tcW w:w="939" w:type="pct"/>
                <w:vAlign w:val="center"/>
              </w:tcPr>
              <w:p w14:paraId="683F5E60" w14:textId="77777777" w:rsidR="00830E72" w:rsidRDefault="00830E72">
                <w:pPr>
                  <w:jc w:val="right"/>
                  <w:rPr>
                    <w:szCs w:val="21"/>
                  </w:rPr>
                </w:pPr>
              </w:p>
            </w:tc>
            <w:tc>
              <w:tcPr>
                <w:tcW w:w="1031" w:type="pct"/>
                <w:vAlign w:val="center"/>
              </w:tcPr>
              <w:p w14:paraId="62147F56" w14:textId="77777777" w:rsidR="00830E72" w:rsidRDefault="00830E72">
                <w:pPr>
                  <w:jc w:val="right"/>
                  <w:rPr>
                    <w:szCs w:val="21"/>
                  </w:rPr>
                </w:pPr>
              </w:p>
            </w:tc>
            <w:tc>
              <w:tcPr>
                <w:tcW w:w="933" w:type="pct"/>
                <w:vAlign w:val="center"/>
              </w:tcPr>
              <w:p w14:paraId="4765E6C0" w14:textId="77777777" w:rsidR="00830E72" w:rsidRDefault="00830E72">
                <w:pPr>
                  <w:jc w:val="right"/>
                  <w:rPr>
                    <w:szCs w:val="21"/>
                  </w:rPr>
                </w:pPr>
              </w:p>
            </w:tc>
          </w:tr>
          <w:tr w:rsidR="00830E72" w14:paraId="25652849" w14:textId="77777777">
            <w:sdt>
              <w:sdtPr>
                <w:rPr>
                  <w:rFonts w:ascii="宋体" w:eastAsia="宋体" w:hAnsi="宋体"/>
                </w:rPr>
                <w:tag w:val="_PLD_aad55d025f3841e2bffcc3792a62e67f"/>
                <w:id w:val="-1521159292"/>
                <w:lock w:val="sdtLocked"/>
              </w:sdtPr>
              <w:sdtEndPr/>
              <w:sdtContent>
                <w:tc>
                  <w:tcPr>
                    <w:tcW w:w="1156" w:type="pct"/>
                    <w:vAlign w:val="center"/>
                  </w:tcPr>
                  <w:p w14:paraId="0A66CEA2"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940" w:type="pct"/>
                <w:vAlign w:val="center"/>
              </w:tcPr>
              <w:p w14:paraId="2511E60F" w14:textId="77777777" w:rsidR="00830E72" w:rsidRDefault="00830E72">
                <w:pPr>
                  <w:jc w:val="right"/>
                  <w:rPr>
                    <w:szCs w:val="21"/>
                  </w:rPr>
                </w:pPr>
              </w:p>
            </w:tc>
            <w:tc>
              <w:tcPr>
                <w:tcW w:w="939" w:type="pct"/>
                <w:vAlign w:val="center"/>
              </w:tcPr>
              <w:p w14:paraId="3AB392AF" w14:textId="77777777" w:rsidR="00830E72" w:rsidRDefault="00830E72">
                <w:pPr>
                  <w:jc w:val="right"/>
                  <w:rPr>
                    <w:szCs w:val="21"/>
                  </w:rPr>
                </w:pPr>
              </w:p>
            </w:tc>
            <w:tc>
              <w:tcPr>
                <w:tcW w:w="1031" w:type="pct"/>
                <w:vAlign w:val="center"/>
              </w:tcPr>
              <w:p w14:paraId="160F171F" w14:textId="77777777" w:rsidR="00830E72" w:rsidRDefault="00830E72">
                <w:pPr>
                  <w:jc w:val="right"/>
                  <w:rPr>
                    <w:szCs w:val="21"/>
                  </w:rPr>
                </w:pPr>
              </w:p>
            </w:tc>
            <w:tc>
              <w:tcPr>
                <w:tcW w:w="933" w:type="pct"/>
                <w:vAlign w:val="center"/>
              </w:tcPr>
              <w:p w14:paraId="5BF6C80B" w14:textId="77777777" w:rsidR="00830E72" w:rsidRDefault="00830E72">
                <w:pPr>
                  <w:jc w:val="right"/>
                  <w:rPr>
                    <w:szCs w:val="21"/>
                  </w:rPr>
                </w:pPr>
              </w:p>
            </w:tc>
          </w:tr>
          <w:tr w:rsidR="00830E72" w14:paraId="1FBC4D13" w14:textId="77777777">
            <w:sdt>
              <w:sdtPr>
                <w:rPr>
                  <w:rFonts w:ascii="宋体" w:eastAsia="宋体" w:hAnsi="宋体"/>
                </w:rPr>
                <w:tag w:val="_PLD_d51399c00ed54bda86e4c2bd21c762c0"/>
                <w:id w:val="-1192675405"/>
                <w:lock w:val="sdtLocked"/>
              </w:sdtPr>
              <w:sdtEndPr/>
              <w:sdtContent>
                <w:tc>
                  <w:tcPr>
                    <w:tcW w:w="1156" w:type="pct"/>
                    <w:vAlign w:val="center"/>
                  </w:tcPr>
                  <w:p w14:paraId="34C74DA4"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940" w:type="pct"/>
                <w:vAlign w:val="center"/>
              </w:tcPr>
              <w:p w14:paraId="5CFA4D3D" w14:textId="77777777" w:rsidR="00830E72" w:rsidRDefault="00830E72">
                <w:pPr>
                  <w:jc w:val="right"/>
                  <w:rPr>
                    <w:szCs w:val="21"/>
                  </w:rPr>
                </w:pPr>
              </w:p>
            </w:tc>
            <w:tc>
              <w:tcPr>
                <w:tcW w:w="939" w:type="pct"/>
                <w:vAlign w:val="center"/>
              </w:tcPr>
              <w:p w14:paraId="09721400" w14:textId="77777777" w:rsidR="00830E72" w:rsidRDefault="00830E72">
                <w:pPr>
                  <w:jc w:val="right"/>
                  <w:rPr>
                    <w:szCs w:val="21"/>
                  </w:rPr>
                </w:pPr>
              </w:p>
            </w:tc>
            <w:tc>
              <w:tcPr>
                <w:tcW w:w="1031" w:type="pct"/>
                <w:vAlign w:val="center"/>
              </w:tcPr>
              <w:p w14:paraId="7875FA9F" w14:textId="77777777" w:rsidR="00830E72" w:rsidRDefault="00830E72">
                <w:pPr>
                  <w:jc w:val="right"/>
                  <w:rPr>
                    <w:szCs w:val="21"/>
                  </w:rPr>
                </w:pPr>
              </w:p>
            </w:tc>
            <w:tc>
              <w:tcPr>
                <w:tcW w:w="933" w:type="pct"/>
                <w:vAlign w:val="center"/>
              </w:tcPr>
              <w:p w14:paraId="611C8F8F" w14:textId="77777777" w:rsidR="00830E72" w:rsidRDefault="00830E72">
                <w:pPr>
                  <w:jc w:val="right"/>
                  <w:rPr>
                    <w:szCs w:val="21"/>
                  </w:rPr>
                </w:pPr>
              </w:p>
            </w:tc>
          </w:tr>
          <w:tr w:rsidR="00830E72" w14:paraId="07B20BAA" w14:textId="77777777">
            <w:sdt>
              <w:sdtPr>
                <w:rPr>
                  <w:rFonts w:ascii="宋体" w:eastAsia="宋体" w:hAnsi="宋体"/>
                </w:rPr>
                <w:tag w:val="_PLD_263f4e1c664a4834a814f0a366c8e919"/>
                <w:id w:val="-1158145357"/>
                <w:lock w:val="sdtLocked"/>
              </w:sdtPr>
              <w:sdtEndPr/>
              <w:sdtContent>
                <w:tc>
                  <w:tcPr>
                    <w:tcW w:w="1156" w:type="pct"/>
                    <w:vAlign w:val="center"/>
                  </w:tcPr>
                  <w:p w14:paraId="15E58981"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940" w:type="pct"/>
                <w:vAlign w:val="center"/>
              </w:tcPr>
              <w:p w14:paraId="21D8C4CD" w14:textId="77777777" w:rsidR="00830E72" w:rsidRDefault="00830E72">
                <w:pPr>
                  <w:jc w:val="right"/>
                  <w:rPr>
                    <w:szCs w:val="21"/>
                  </w:rPr>
                </w:pPr>
              </w:p>
            </w:tc>
            <w:tc>
              <w:tcPr>
                <w:tcW w:w="939" w:type="pct"/>
                <w:vAlign w:val="center"/>
              </w:tcPr>
              <w:p w14:paraId="1402A306" w14:textId="77777777" w:rsidR="00830E72" w:rsidRDefault="00830E72">
                <w:pPr>
                  <w:jc w:val="right"/>
                  <w:rPr>
                    <w:szCs w:val="21"/>
                  </w:rPr>
                </w:pPr>
              </w:p>
            </w:tc>
            <w:tc>
              <w:tcPr>
                <w:tcW w:w="1031" w:type="pct"/>
                <w:vAlign w:val="center"/>
              </w:tcPr>
              <w:p w14:paraId="4434D9A6" w14:textId="77777777" w:rsidR="00830E72" w:rsidRDefault="00830E72">
                <w:pPr>
                  <w:jc w:val="right"/>
                  <w:rPr>
                    <w:szCs w:val="21"/>
                  </w:rPr>
                </w:pPr>
              </w:p>
            </w:tc>
            <w:tc>
              <w:tcPr>
                <w:tcW w:w="933" w:type="pct"/>
                <w:vAlign w:val="center"/>
              </w:tcPr>
              <w:p w14:paraId="3A8E7F2F" w14:textId="77777777" w:rsidR="00830E72" w:rsidRDefault="00830E72">
                <w:pPr>
                  <w:jc w:val="right"/>
                  <w:rPr>
                    <w:szCs w:val="21"/>
                  </w:rPr>
                </w:pPr>
              </w:p>
            </w:tc>
          </w:tr>
          <w:tr w:rsidR="00830E72" w14:paraId="314375D2" w14:textId="77777777">
            <w:sdt>
              <w:sdtPr>
                <w:rPr>
                  <w:rFonts w:ascii="宋体" w:eastAsia="宋体" w:hAnsi="宋体"/>
                </w:rPr>
                <w:tag w:val="_PLD_7103eee28f42440cb40df55e6701cb49"/>
                <w:id w:val="-388875060"/>
                <w:lock w:val="sdtLocked"/>
              </w:sdtPr>
              <w:sdtEndPr/>
              <w:sdtContent>
                <w:tc>
                  <w:tcPr>
                    <w:tcW w:w="1156" w:type="pct"/>
                    <w:vAlign w:val="center"/>
                  </w:tcPr>
                  <w:p w14:paraId="54762736"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940" w:type="pct"/>
                <w:vAlign w:val="center"/>
              </w:tcPr>
              <w:p w14:paraId="53CB3422" w14:textId="77777777" w:rsidR="00830E72" w:rsidRDefault="00830E72">
                <w:pPr>
                  <w:jc w:val="right"/>
                  <w:rPr>
                    <w:szCs w:val="21"/>
                  </w:rPr>
                </w:pPr>
              </w:p>
            </w:tc>
            <w:tc>
              <w:tcPr>
                <w:tcW w:w="939" w:type="pct"/>
                <w:vAlign w:val="center"/>
              </w:tcPr>
              <w:p w14:paraId="359BDD4F" w14:textId="77777777" w:rsidR="00830E72" w:rsidRDefault="00830E72">
                <w:pPr>
                  <w:jc w:val="right"/>
                  <w:rPr>
                    <w:szCs w:val="21"/>
                  </w:rPr>
                </w:pPr>
              </w:p>
            </w:tc>
            <w:tc>
              <w:tcPr>
                <w:tcW w:w="1031" w:type="pct"/>
                <w:vAlign w:val="center"/>
              </w:tcPr>
              <w:p w14:paraId="3785FB30" w14:textId="77777777" w:rsidR="00830E72" w:rsidRDefault="00830E72">
                <w:pPr>
                  <w:jc w:val="right"/>
                  <w:rPr>
                    <w:szCs w:val="21"/>
                  </w:rPr>
                </w:pPr>
              </w:p>
            </w:tc>
            <w:tc>
              <w:tcPr>
                <w:tcW w:w="933" w:type="pct"/>
                <w:vAlign w:val="center"/>
              </w:tcPr>
              <w:p w14:paraId="2A0231F6" w14:textId="77777777" w:rsidR="00830E72" w:rsidRDefault="00830E72">
                <w:pPr>
                  <w:jc w:val="right"/>
                  <w:rPr>
                    <w:szCs w:val="21"/>
                  </w:rPr>
                </w:pPr>
              </w:p>
            </w:tc>
          </w:tr>
          <w:tr w:rsidR="00830E72" w14:paraId="72CEE3C3" w14:textId="77777777">
            <w:sdt>
              <w:sdtPr>
                <w:rPr>
                  <w:rFonts w:ascii="宋体" w:eastAsia="宋体" w:hAnsi="宋体"/>
                </w:rPr>
                <w:tag w:val="_PLD_bb1ed7ee4d284f95847b09a20e54710f"/>
                <w:id w:val="1119726547"/>
                <w:lock w:val="sdtLocked"/>
              </w:sdtPr>
              <w:sdtEndPr/>
              <w:sdtContent>
                <w:tc>
                  <w:tcPr>
                    <w:tcW w:w="1156" w:type="pct"/>
                    <w:vAlign w:val="center"/>
                  </w:tcPr>
                  <w:p w14:paraId="040BCFC3"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940" w:type="pct"/>
                <w:vAlign w:val="center"/>
              </w:tcPr>
              <w:p w14:paraId="542E107B" w14:textId="77777777" w:rsidR="00830E72" w:rsidRDefault="008344D8">
                <w:pPr>
                  <w:jc w:val="right"/>
                  <w:rPr>
                    <w:szCs w:val="21"/>
                  </w:rPr>
                </w:pPr>
                <w:r>
                  <w:rPr>
                    <w:szCs w:val="21"/>
                  </w:rPr>
                  <w:t>3,570,673.75</w:t>
                </w:r>
              </w:p>
            </w:tc>
            <w:tc>
              <w:tcPr>
                <w:tcW w:w="939" w:type="pct"/>
                <w:vAlign w:val="center"/>
              </w:tcPr>
              <w:p w14:paraId="063B11B5" w14:textId="77777777" w:rsidR="00830E72" w:rsidRDefault="00830E72">
                <w:pPr>
                  <w:jc w:val="right"/>
                  <w:rPr>
                    <w:szCs w:val="21"/>
                  </w:rPr>
                </w:pPr>
              </w:p>
            </w:tc>
            <w:tc>
              <w:tcPr>
                <w:tcW w:w="1031" w:type="pct"/>
                <w:vAlign w:val="center"/>
              </w:tcPr>
              <w:p w14:paraId="23230A1F" w14:textId="77777777" w:rsidR="00830E72" w:rsidRDefault="00830E72">
                <w:pPr>
                  <w:jc w:val="right"/>
                  <w:rPr>
                    <w:szCs w:val="21"/>
                  </w:rPr>
                </w:pPr>
              </w:p>
            </w:tc>
            <w:tc>
              <w:tcPr>
                <w:tcW w:w="933" w:type="pct"/>
                <w:vAlign w:val="center"/>
              </w:tcPr>
              <w:p w14:paraId="1248180A" w14:textId="77777777" w:rsidR="00830E72" w:rsidRDefault="008344D8">
                <w:pPr>
                  <w:jc w:val="right"/>
                  <w:rPr>
                    <w:szCs w:val="21"/>
                  </w:rPr>
                </w:pPr>
                <w:r>
                  <w:rPr>
                    <w:szCs w:val="21"/>
                  </w:rPr>
                  <w:t>3,570,673.75</w:t>
                </w:r>
              </w:p>
            </w:tc>
          </w:tr>
          <w:tr w:rsidR="00830E72" w14:paraId="353602A0" w14:textId="77777777">
            <w:tc>
              <w:tcPr>
                <w:tcW w:w="1156" w:type="pct"/>
                <w:vAlign w:val="center"/>
              </w:tcPr>
              <w:sdt>
                <w:sdtPr>
                  <w:rPr>
                    <w:rFonts w:ascii="宋体" w:eastAsia="宋体" w:hAnsi="宋体" w:hint="eastAsia"/>
                    <w:sz w:val="21"/>
                    <w:szCs w:val="21"/>
                    <w:lang w:eastAsia="zh-CN"/>
                  </w:rPr>
                  <w:tag w:val="_PLD_4f4ae619a7e049d7a297497cfaf7c7a3"/>
                  <w:id w:val="315465616"/>
                  <w:lock w:val="sdtLocked"/>
                </w:sdtPr>
                <w:sdtEndPr/>
                <w:sdtContent>
                  <w:p w14:paraId="0604AF86" w14:textId="77777777" w:rsidR="00830E72" w:rsidRDefault="008344D8">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本期转回</w:t>
                    </w:r>
                  </w:p>
                </w:sdtContent>
              </w:sdt>
            </w:tc>
            <w:tc>
              <w:tcPr>
                <w:tcW w:w="940" w:type="pct"/>
                <w:vAlign w:val="center"/>
              </w:tcPr>
              <w:p w14:paraId="7CCE4892" w14:textId="77777777" w:rsidR="00830E72" w:rsidRDefault="00830E72">
                <w:pPr>
                  <w:jc w:val="right"/>
                  <w:rPr>
                    <w:szCs w:val="21"/>
                  </w:rPr>
                </w:pPr>
              </w:p>
            </w:tc>
            <w:tc>
              <w:tcPr>
                <w:tcW w:w="939" w:type="pct"/>
                <w:vAlign w:val="center"/>
              </w:tcPr>
              <w:p w14:paraId="10C2FF47" w14:textId="77777777" w:rsidR="00830E72" w:rsidRDefault="00830E72">
                <w:pPr>
                  <w:jc w:val="right"/>
                  <w:rPr>
                    <w:szCs w:val="21"/>
                  </w:rPr>
                </w:pPr>
              </w:p>
            </w:tc>
            <w:tc>
              <w:tcPr>
                <w:tcW w:w="1031" w:type="pct"/>
                <w:vAlign w:val="center"/>
              </w:tcPr>
              <w:p w14:paraId="23C8128C" w14:textId="77777777" w:rsidR="00830E72" w:rsidRDefault="00830E72">
                <w:pPr>
                  <w:jc w:val="right"/>
                  <w:rPr>
                    <w:szCs w:val="21"/>
                  </w:rPr>
                </w:pPr>
              </w:p>
            </w:tc>
            <w:tc>
              <w:tcPr>
                <w:tcW w:w="933" w:type="pct"/>
                <w:vAlign w:val="center"/>
              </w:tcPr>
              <w:p w14:paraId="4D7C50D6" w14:textId="77777777" w:rsidR="00830E72" w:rsidRDefault="00830E72">
                <w:pPr>
                  <w:jc w:val="right"/>
                  <w:rPr>
                    <w:szCs w:val="21"/>
                  </w:rPr>
                </w:pPr>
              </w:p>
            </w:tc>
          </w:tr>
          <w:tr w:rsidR="00830E72" w14:paraId="5FD58897" w14:textId="77777777">
            <w:sdt>
              <w:sdtPr>
                <w:rPr>
                  <w:rFonts w:ascii="宋体" w:eastAsia="宋体" w:hAnsi="宋体"/>
                </w:rPr>
                <w:tag w:val="_PLD_f623f4998cf8469785fccf1dc23e23f4"/>
                <w:id w:val="-767687826"/>
                <w:lock w:val="sdtLocked"/>
              </w:sdtPr>
              <w:sdtEndPr/>
              <w:sdtContent>
                <w:tc>
                  <w:tcPr>
                    <w:tcW w:w="1156" w:type="pct"/>
                    <w:vAlign w:val="center"/>
                  </w:tcPr>
                  <w:p w14:paraId="740F88A4"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940" w:type="pct"/>
                <w:vAlign w:val="center"/>
              </w:tcPr>
              <w:p w14:paraId="12F9F796" w14:textId="77777777" w:rsidR="00830E72" w:rsidRDefault="00830E72">
                <w:pPr>
                  <w:jc w:val="right"/>
                  <w:rPr>
                    <w:szCs w:val="21"/>
                  </w:rPr>
                </w:pPr>
              </w:p>
            </w:tc>
            <w:tc>
              <w:tcPr>
                <w:tcW w:w="939" w:type="pct"/>
                <w:vAlign w:val="center"/>
              </w:tcPr>
              <w:p w14:paraId="1A9C00A6" w14:textId="77777777" w:rsidR="00830E72" w:rsidRDefault="00830E72">
                <w:pPr>
                  <w:jc w:val="right"/>
                  <w:rPr>
                    <w:szCs w:val="21"/>
                  </w:rPr>
                </w:pPr>
              </w:p>
            </w:tc>
            <w:tc>
              <w:tcPr>
                <w:tcW w:w="1031" w:type="pct"/>
                <w:vAlign w:val="center"/>
              </w:tcPr>
              <w:p w14:paraId="6DD19AE5" w14:textId="77777777" w:rsidR="00830E72" w:rsidRDefault="00830E72">
                <w:pPr>
                  <w:jc w:val="right"/>
                  <w:rPr>
                    <w:szCs w:val="21"/>
                  </w:rPr>
                </w:pPr>
              </w:p>
            </w:tc>
            <w:tc>
              <w:tcPr>
                <w:tcW w:w="933" w:type="pct"/>
                <w:vAlign w:val="center"/>
              </w:tcPr>
              <w:p w14:paraId="1D30450B" w14:textId="77777777" w:rsidR="00830E72" w:rsidRDefault="00830E72">
                <w:pPr>
                  <w:jc w:val="right"/>
                  <w:rPr>
                    <w:szCs w:val="21"/>
                  </w:rPr>
                </w:pPr>
              </w:p>
            </w:tc>
          </w:tr>
          <w:tr w:rsidR="00830E72" w14:paraId="719F7C27" w14:textId="77777777">
            <w:tc>
              <w:tcPr>
                <w:tcW w:w="1156" w:type="pct"/>
                <w:vAlign w:val="center"/>
              </w:tcPr>
              <w:sdt>
                <w:sdtPr>
                  <w:rPr>
                    <w:rFonts w:ascii="宋体" w:eastAsia="宋体" w:hAnsi="宋体" w:hint="eastAsia"/>
                    <w:sz w:val="21"/>
                    <w:szCs w:val="21"/>
                    <w:lang w:eastAsia="zh-CN"/>
                  </w:rPr>
                  <w:tag w:val="_PLD_7d1faf2fb9f748e597402d52d41da0c3"/>
                  <w:id w:val="-2023925361"/>
                  <w:lock w:val="sdtLocked"/>
                </w:sdtPr>
                <w:sdtEndPr/>
                <w:sdtContent>
                  <w:p w14:paraId="1DE601A4" w14:textId="77777777" w:rsidR="00830E72" w:rsidRDefault="008344D8">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本期核销</w:t>
                    </w:r>
                  </w:p>
                </w:sdtContent>
              </w:sdt>
            </w:tc>
            <w:tc>
              <w:tcPr>
                <w:tcW w:w="940" w:type="pct"/>
                <w:vAlign w:val="center"/>
              </w:tcPr>
              <w:p w14:paraId="1BD9C2ED" w14:textId="77777777" w:rsidR="00830E72" w:rsidRDefault="00830E72">
                <w:pPr>
                  <w:jc w:val="right"/>
                  <w:rPr>
                    <w:szCs w:val="21"/>
                  </w:rPr>
                </w:pPr>
              </w:p>
            </w:tc>
            <w:tc>
              <w:tcPr>
                <w:tcW w:w="939" w:type="pct"/>
                <w:vAlign w:val="center"/>
              </w:tcPr>
              <w:p w14:paraId="0C17C97B" w14:textId="77777777" w:rsidR="00830E72" w:rsidRDefault="00830E72">
                <w:pPr>
                  <w:jc w:val="right"/>
                  <w:rPr>
                    <w:szCs w:val="21"/>
                  </w:rPr>
                </w:pPr>
              </w:p>
            </w:tc>
            <w:tc>
              <w:tcPr>
                <w:tcW w:w="1031" w:type="pct"/>
                <w:vAlign w:val="center"/>
              </w:tcPr>
              <w:p w14:paraId="07991CD3" w14:textId="77777777" w:rsidR="00830E72" w:rsidRDefault="00830E72">
                <w:pPr>
                  <w:jc w:val="right"/>
                  <w:rPr>
                    <w:szCs w:val="21"/>
                  </w:rPr>
                </w:pPr>
              </w:p>
            </w:tc>
            <w:tc>
              <w:tcPr>
                <w:tcW w:w="933" w:type="pct"/>
                <w:vAlign w:val="center"/>
              </w:tcPr>
              <w:p w14:paraId="17F3736B" w14:textId="77777777" w:rsidR="00830E72" w:rsidRDefault="00830E72">
                <w:pPr>
                  <w:jc w:val="right"/>
                  <w:rPr>
                    <w:szCs w:val="21"/>
                  </w:rPr>
                </w:pPr>
              </w:p>
            </w:tc>
          </w:tr>
          <w:tr w:rsidR="00830E72" w14:paraId="6DD5CBD8" w14:textId="77777777">
            <w:sdt>
              <w:sdtPr>
                <w:rPr>
                  <w:rFonts w:ascii="宋体" w:eastAsia="宋体" w:hAnsi="宋体"/>
                </w:rPr>
                <w:tag w:val="_PLD_fd84f390e6184019aab02c9d3845e31d"/>
                <w:id w:val="1627349101"/>
                <w:lock w:val="sdtLocked"/>
              </w:sdtPr>
              <w:sdtEndPr/>
              <w:sdtContent>
                <w:tc>
                  <w:tcPr>
                    <w:tcW w:w="1156" w:type="pct"/>
                    <w:vAlign w:val="center"/>
                  </w:tcPr>
                  <w:p w14:paraId="0E6ACB6C" w14:textId="77777777" w:rsidR="00830E72" w:rsidRDefault="008344D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940" w:type="pct"/>
                <w:vAlign w:val="center"/>
              </w:tcPr>
              <w:p w14:paraId="320AAD66" w14:textId="77777777" w:rsidR="00830E72" w:rsidRDefault="00830E72">
                <w:pPr>
                  <w:jc w:val="right"/>
                  <w:rPr>
                    <w:szCs w:val="21"/>
                  </w:rPr>
                </w:pPr>
              </w:p>
            </w:tc>
            <w:tc>
              <w:tcPr>
                <w:tcW w:w="939" w:type="pct"/>
                <w:vAlign w:val="center"/>
              </w:tcPr>
              <w:p w14:paraId="5EAB009D" w14:textId="77777777" w:rsidR="00830E72" w:rsidRDefault="00830E72">
                <w:pPr>
                  <w:jc w:val="right"/>
                  <w:rPr>
                    <w:szCs w:val="21"/>
                  </w:rPr>
                </w:pPr>
              </w:p>
            </w:tc>
            <w:tc>
              <w:tcPr>
                <w:tcW w:w="1031" w:type="pct"/>
                <w:vAlign w:val="center"/>
              </w:tcPr>
              <w:p w14:paraId="614369B7" w14:textId="77777777" w:rsidR="00830E72" w:rsidRDefault="00830E72">
                <w:pPr>
                  <w:jc w:val="right"/>
                  <w:rPr>
                    <w:szCs w:val="21"/>
                  </w:rPr>
                </w:pPr>
              </w:p>
            </w:tc>
            <w:tc>
              <w:tcPr>
                <w:tcW w:w="933" w:type="pct"/>
                <w:vAlign w:val="center"/>
              </w:tcPr>
              <w:p w14:paraId="723B73C9" w14:textId="77777777" w:rsidR="00830E72" w:rsidRDefault="00830E72">
                <w:pPr>
                  <w:jc w:val="right"/>
                  <w:rPr>
                    <w:szCs w:val="21"/>
                  </w:rPr>
                </w:pPr>
              </w:p>
            </w:tc>
          </w:tr>
          <w:tr w:rsidR="00830E72" w14:paraId="4AE0B7B8" w14:textId="77777777">
            <w:sdt>
              <w:sdtPr>
                <w:rPr>
                  <w:rFonts w:ascii="宋体" w:eastAsia="宋体" w:hAnsi="宋体"/>
                </w:rPr>
                <w:tag w:val="_PLD_04cab04851ab496e8220fc8c946b10a5"/>
                <w:id w:val="-1811624881"/>
                <w:lock w:val="sdtLocked"/>
              </w:sdtPr>
              <w:sdtEndPr/>
              <w:sdtContent>
                <w:tc>
                  <w:tcPr>
                    <w:tcW w:w="1156" w:type="pct"/>
                    <w:vAlign w:val="center"/>
                  </w:tcPr>
                  <w:p w14:paraId="3DFA17FA" w14:textId="77777777" w:rsidR="00830E72" w:rsidRDefault="008344D8">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2021年6月30日</w:t>
                    </w:r>
                    <w:r>
                      <w:rPr>
                        <w:rFonts w:ascii="宋体" w:eastAsia="宋体" w:hAnsi="宋体" w:cs="宋体" w:hint="eastAsia"/>
                        <w:sz w:val="21"/>
                        <w:szCs w:val="21"/>
                        <w:lang w:eastAsia="zh-CN"/>
                      </w:rPr>
                      <w:t>余额</w:t>
                    </w:r>
                  </w:p>
                </w:tc>
              </w:sdtContent>
            </w:sdt>
            <w:tc>
              <w:tcPr>
                <w:tcW w:w="940" w:type="pct"/>
                <w:vAlign w:val="center"/>
              </w:tcPr>
              <w:p w14:paraId="3E76AB0F" w14:textId="77777777" w:rsidR="00830E72" w:rsidRDefault="008344D8">
                <w:pPr>
                  <w:jc w:val="right"/>
                  <w:rPr>
                    <w:szCs w:val="21"/>
                  </w:rPr>
                </w:pPr>
                <w:r>
                  <w:rPr>
                    <w:szCs w:val="21"/>
                  </w:rPr>
                  <w:t>10,337,392.67</w:t>
                </w:r>
              </w:p>
            </w:tc>
            <w:tc>
              <w:tcPr>
                <w:tcW w:w="939" w:type="pct"/>
                <w:vAlign w:val="center"/>
              </w:tcPr>
              <w:p w14:paraId="698D4519" w14:textId="77777777" w:rsidR="00830E72" w:rsidRDefault="00830E72">
                <w:pPr>
                  <w:jc w:val="right"/>
                  <w:rPr>
                    <w:szCs w:val="21"/>
                  </w:rPr>
                </w:pPr>
              </w:p>
            </w:tc>
            <w:tc>
              <w:tcPr>
                <w:tcW w:w="1031" w:type="pct"/>
                <w:vAlign w:val="center"/>
              </w:tcPr>
              <w:p w14:paraId="6BA0CA70" w14:textId="77777777" w:rsidR="00830E72" w:rsidRDefault="00830E72">
                <w:pPr>
                  <w:jc w:val="right"/>
                  <w:rPr>
                    <w:szCs w:val="21"/>
                  </w:rPr>
                </w:pPr>
              </w:p>
            </w:tc>
            <w:tc>
              <w:tcPr>
                <w:tcW w:w="933" w:type="pct"/>
                <w:vAlign w:val="center"/>
              </w:tcPr>
              <w:p w14:paraId="12831C48" w14:textId="77777777" w:rsidR="00830E72" w:rsidRDefault="008344D8">
                <w:pPr>
                  <w:jc w:val="right"/>
                  <w:rPr>
                    <w:szCs w:val="21"/>
                  </w:rPr>
                </w:pPr>
                <w:r>
                  <w:rPr>
                    <w:szCs w:val="21"/>
                  </w:rPr>
                  <w:t>10,337,392.67</w:t>
                </w:r>
              </w:p>
            </w:tc>
          </w:tr>
        </w:tbl>
        <w:p w14:paraId="330A1A84" w14:textId="77777777" w:rsidR="00830E72" w:rsidRDefault="008344D8">
          <w:pPr>
            <w:pStyle w:val="Style144"/>
            <w:rPr>
              <w:rFonts w:ascii="宋体" w:hAnsi="宋体"/>
            </w:rPr>
          </w:pPr>
          <w:r>
            <w:rPr>
              <w:rFonts w:ascii="宋体" w:hAnsi="宋体" w:hint="eastAsia"/>
            </w:rPr>
            <w:t>对本期发生损失准备变动的其他应收款账面余额显著变动的情况说明：</w:t>
          </w:r>
        </w:p>
        <w:sdt>
          <w:sdtPr>
            <w:alias w:val="是否适用：母公司其他应收款本期发生损失准备变动且账面余额显著变动的情况说明[双击切换]"/>
            <w:tag w:val="_GBC_51a7e143899e4bf4887327bb018327b9"/>
            <w:id w:val="-1576190134"/>
            <w:lock w:val="sdtContentLocked"/>
            <w:placeholder>
              <w:docPart w:val="GBC22222222222222222222222222222"/>
            </w:placeholder>
          </w:sdtPr>
          <w:sdtEndPr/>
          <w:sdtContent>
            <w:p w14:paraId="395D2354" w14:textId="71D1469F" w:rsidR="00830E72" w:rsidRPr="0097664B"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5211A64" w14:textId="77777777" w:rsidR="00830E72" w:rsidRDefault="008344D8">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d5682930254743bebaaf3c46f4513c04"/>
            <w:id w:val="1988660271"/>
            <w:lock w:val="sdtContentLocked"/>
            <w:placeholder>
              <w:docPart w:val="GBC22222222222222222222222222222"/>
            </w:placeholder>
          </w:sdtPr>
          <w:sdtEndPr/>
          <w:sdtContent>
            <w:p w14:paraId="21FE561B"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53A133D" w14:textId="77777777" w:rsidR="00830E72" w:rsidRDefault="00D44830">
          <w:pPr>
            <w:rPr>
              <w:szCs w:val="21"/>
            </w:rPr>
          </w:pPr>
        </w:p>
      </w:sdtContent>
    </w:sdt>
    <w:bookmarkEnd w:id="235" w:displacedByCustomXml="next"/>
    <w:bookmarkStart w:id="236" w:name="_Hlk10548122" w:displacedByCustomXml="next"/>
    <w:sdt>
      <w:sdtPr>
        <w:rPr>
          <w:rFonts w:ascii="宋体" w:hAnsi="宋体" w:cs="宋体" w:hint="eastAsia"/>
          <w:b w:val="0"/>
          <w:bCs w:val="0"/>
          <w:kern w:val="0"/>
          <w:szCs w:val="21"/>
        </w:rPr>
        <w:alias w:val="模块:坏账准备的情况"/>
        <w:tag w:val="_SEC_7efe43f77bc44437a16fe9cc44dc64d6"/>
        <w:id w:val="347523433"/>
        <w:lock w:val="sdtLocked"/>
        <w:placeholder>
          <w:docPart w:val="GBC22222222222222222222222222222"/>
        </w:placeholder>
      </w:sdtPr>
      <w:sdtEndPr>
        <w:rPr>
          <w:rFonts w:hint="default"/>
        </w:rPr>
      </w:sdtEndPr>
      <w:sdtContent>
        <w:p w14:paraId="1000E54D" w14:textId="77777777" w:rsidR="00830E72" w:rsidRDefault="008344D8">
          <w:pPr>
            <w:pStyle w:val="Style100"/>
            <w:numPr>
              <w:ilvl w:val="3"/>
              <w:numId w:val="97"/>
            </w:numPr>
            <w:ind w:left="426" w:hanging="426"/>
            <w:rPr>
              <w:rFonts w:ascii="宋体" w:hAnsi="宋体"/>
              <w:szCs w:val="21"/>
            </w:rPr>
          </w:pPr>
          <w:r>
            <w:rPr>
              <w:rFonts w:ascii="宋体" w:hAnsi="宋体" w:hint="eastAsia"/>
              <w:szCs w:val="21"/>
            </w:rPr>
            <w:t>坏账准备的情况</w:t>
          </w:r>
        </w:p>
        <w:sdt>
          <w:sdtPr>
            <w:alias w:val="是否适用：其他应收款坏账准备[双击切换]"/>
            <w:tag w:val="_GBC_746f45a984d44f56a795e5587d8e7cf2"/>
            <w:id w:val="453605513"/>
            <w:lock w:val="sdtContentLocked"/>
            <w:placeholder>
              <w:docPart w:val="GBC22222222222222222222222222222"/>
            </w:placeholder>
          </w:sdtPr>
          <w:sdtEndPr/>
          <w:sdtContent>
            <w:p w14:paraId="0D698228"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3B30170" w14:textId="77777777" w:rsidR="00830E72" w:rsidRDefault="008344D8">
          <w:pPr>
            <w:pStyle w:val="Style118"/>
            <w:snapToGrid w:val="0"/>
            <w:spacing w:line="240" w:lineRule="atLeast"/>
            <w:ind w:left="425" w:firstLineChars="0" w:firstLine="0"/>
            <w:jc w:val="right"/>
            <w:rPr>
              <w:rFonts w:ascii="宋体" w:hAnsi="宋体"/>
              <w:szCs w:val="21"/>
            </w:rPr>
          </w:pPr>
          <w:r>
            <w:rPr>
              <w:rFonts w:ascii="宋体" w:hAnsi="宋体" w:hint="eastAsia"/>
              <w:szCs w:val="21"/>
            </w:rPr>
            <w:lastRenderedPageBreak/>
            <w:t>单位：</w:t>
          </w:r>
          <w:sdt>
            <w:sdtPr>
              <w:rPr>
                <w:rFonts w:ascii="宋体" w:hAnsi="宋体" w:hint="eastAsia"/>
                <w:szCs w:val="21"/>
              </w:rPr>
              <w:alias w:val="单位：其他应收款坏账准备"/>
              <w:tag w:val="_GBC_61bb3d08ce2d41d5ad87b4c691e409ad"/>
              <w:id w:val="7438440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其他应收款坏账准备"/>
              <w:tag w:val="_GBC_d9e85c814c564e7782149971f7c23ba2"/>
              <w:id w:val="-5004284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52"/>
            <w:gridCol w:w="1602"/>
            <w:gridCol w:w="1600"/>
            <w:gridCol w:w="1020"/>
            <w:gridCol w:w="1016"/>
            <w:gridCol w:w="737"/>
            <w:gridCol w:w="1632"/>
          </w:tblGrid>
          <w:tr w:rsidR="00830E72" w14:paraId="1CECAA1A" w14:textId="77777777">
            <w:sdt>
              <w:sdtPr>
                <w:tag w:val="_PLD_eb515a63c0e744098c94b279d63caf4e"/>
                <w:id w:val="-747493219"/>
                <w:lock w:val="sdtLocked"/>
              </w:sdtPr>
              <w:sdtEndPr/>
              <w:sdtContent>
                <w:tc>
                  <w:tcPr>
                    <w:tcW w:w="801" w:type="pct"/>
                    <w:vMerge w:val="restart"/>
                    <w:shd w:val="clear" w:color="auto" w:fill="FFFFFF"/>
                    <w:vAlign w:val="center"/>
                  </w:tcPr>
                  <w:p w14:paraId="254AF56A" w14:textId="77777777" w:rsidR="00830E72" w:rsidRDefault="008344D8">
                    <w:pPr>
                      <w:widowControl w:val="0"/>
                      <w:jc w:val="center"/>
                    </w:pPr>
                    <w:r>
                      <w:t>类别</w:t>
                    </w:r>
                  </w:p>
                </w:tc>
              </w:sdtContent>
            </w:sdt>
            <w:sdt>
              <w:sdtPr>
                <w:tag w:val="_PLD_a39850dac4d142e8b7a712dce9edad36"/>
                <w:id w:val="-2118358426"/>
                <w:lock w:val="sdtLocked"/>
              </w:sdtPr>
              <w:sdtEndPr/>
              <w:sdtContent>
                <w:tc>
                  <w:tcPr>
                    <w:tcW w:w="884" w:type="pct"/>
                    <w:vMerge w:val="restart"/>
                    <w:shd w:val="clear" w:color="auto" w:fill="FFFFFF"/>
                    <w:vAlign w:val="center"/>
                  </w:tcPr>
                  <w:p w14:paraId="47B5A12C" w14:textId="77777777" w:rsidR="00830E72" w:rsidRDefault="008344D8">
                    <w:pPr>
                      <w:widowControl w:val="0"/>
                      <w:jc w:val="center"/>
                    </w:pPr>
                    <w:r>
                      <w:t>期初余额</w:t>
                    </w:r>
                  </w:p>
                </w:tc>
              </w:sdtContent>
            </w:sdt>
            <w:sdt>
              <w:sdtPr>
                <w:tag w:val="_PLD_96686c7add8a4f2a8fa109c753f44a0b"/>
                <w:id w:val="-750127047"/>
                <w:lock w:val="sdtLocked"/>
              </w:sdtPr>
              <w:sdtEndPr/>
              <w:sdtContent>
                <w:tc>
                  <w:tcPr>
                    <w:tcW w:w="2414" w:type="pct"/>
                    <w:gridSpan w:val="4"/>
                    <w:shd w:val="clear" w:color="auto" w:fill="FFFFFF"/>
                    <w:vAlign w:val="center"/>
                  </w:tcPr>
                  <w:p w14:paraId="1DF501A2" w14:textId="77777777" w:rsidR="00830E72" w:rsidRDefault="008344D8">
                    <w:pPr>
                      <w:widowControl w:val="0"/>
                      <w:jc w:val="center"/>
                    </w:pPr>
                    <w:r>
                      <w:rPr>
                        <w:rFonts w:hint="eastAsia"/>
                      </w:rPr>
                      <w:t>本期变动</w:t>
                    </w:r>
                    <w:r>
                      <w:t>金额</w:t>
                    </w:r>
                  </w:p>
                </w:tc>
              </w:sdtContent>
            </w:sdt>
            <w:sdt>
              <w:sdtPr>
                <w:tag w:val="_PLD_2aef0abd937f4f5283fac84c8a1afc2d"/>
                <w:id w:val="474798217"/>
                <w:lock w:val="sdtLocked"/>
              </w:sdtPr>
              <w:sdtEndPr/>
              <w:sdtContent>
                <w:tc>
                  <w:tcPr>
                    <w:tcW w:w="902" w:type="pct"/>
                    <w:vMerge w:val="restart"/>
                    <w:shd w:val="clear" w:color="auto" w:fill="FFFFFF"/>
                    <w:vAlign w:val="center"/>
                  </w:tcPr>
                  <w:p w14:paraId="5B4C65DD" w14:textId="77777777" w:rsidR="00830E72" w:rsidRDefault="008344D8">
                    <w:pPr>
                      <w:widowControl w:val="0"/>
                      <w:jc w:val="center"/>
                    </w:pPr>
                    <w:r>
                      <w:t>期末余额</w:t>
                    </w:r>
                  </w:p>
                </w:tc>
              </w:sdtContent>
            </w:sdt>
          </w:tr>
          <w:tr w:rsidR="00830E72" w14:paraId="24B236D0" w14:textId="77777777">
            <w:tc>
              <w:tcPr>
                <w:tcW w:w="801" w:type="pct"/>
                <w:vMerge/>
                <w:shd w:val="clear" w:color="auto" w:fill="FFFFFF"/>
                <w:vAlign w:val="center"/>
              </w:tcPr>
              <w:p w14:paraId="3E46609E" w14:textId="77777777" w:rsidR="00830E72" w:rsidRDefault="00830E72">
                <w:pPr>
                  <w:widowControl w:val="0"/>
                  <w:jc w:val="center"/>
                </w:pPr>
              </w:p>
            </w:tc>
            <w:tc>
              <w:tcPr>
                <w:tcW w:w="884" w:type="pct"/>
                <w:vMerge/>
                <w:shd w:val="clear" w:color="auto" w:fill="FFFFFF"/>
                <w:vAlign w:val="center"/>
              </w:tcPr>
              <w:p w14:paraId="2CF55794" w14:textId="77777777" w:rsidR="00830E72" w:rsidRDefault="00830E72">
                <w:pPr>
                  <w:widowControl w:val="0"/>
                  <w:jc w:val="center"/>
                </w:pPr>
              </w:p>
            </w:tc>
            <w:sdt>
              <w:sdtPr>
                <w:tag w:val="_PLD_0d882cd108804ecc85c8ea70ca9a0022"/>
                <w:id w:val="-594474453"/>
                <w:lock w:val="sdtLocked"/>
              </w:sdtPr>
              <w:sdtEndPr/>
              <w:sdtContent>
                <w:tc>
                  <w:tcPr>
                    <w:tcW w:w="883" w:type="pct"/>
                    <w:shd w:val="clear" w:color="auto" w:fill="FFFFFF"/>
                    <w:vAlign w:val="center"/>
                  </w:tcPr>
                  <w:p w14:paraId="5B2D9BDC" w14:textId="77777777" w:rsidR="00830E72" w:rsidRDefault="008344D8">
                    <w:pPr>
                      <w:widowControl w:val="0"/>
                      <w:jc w:val="center"/>
                    </w:pPr>
                    <w:r>
                      <w:t>计提</w:t>
                    </w:r>
                  </w:p>
                </w:tc>
              </w:sdtContent>
            </w:sdt>
            <w:sdt>
              <w:sdtPr>
                <w:tag w:val="_PLD_e2116bf770074307b5326d2e261c8b91"/>
                <w:id w:val="-244645215"/>
                <w:lock w:val="sdtLocked"/>
              </w:sdtPr>
              <w:sdtEndPr/>
              <w:sdtContent>
                <w:tc>
                  <w:tcPr>
                    <w:tcW w:w="563" w:type="pct"/>
                    <w:shd w:val="clear" w:color="auto" w:fill="FFFFFF"/>
                    <w:vAlign w:val="center"/>
                  </w:tcPr>
                  <w:p w14:paraId="7FC1319E" w14:textId="77777777" w:rsidR="00830E72" w:rsidRDefault="008344D8">
                    <w:pPr>
                      <w:widowControl w:val="0"/>
                      <w:jc w:val="center"/>
                    </w:pPr>
                    <w:r>
                      <w:rPr>
                        <w:rFonts w:hint="eastAsia"/>
                      </w:rPr>
                      <w:t>收回或转回</w:t>
                    </w:r>
                  </w:p>
                </w:tc>
              </w:sdtContent>
            </w:sdt>
            <w:sdt>
              <w:sdtPr>
                <w:tag w:val="_PLD_ecb1755ff206448580b99e0999e516f9"/>
                <w:id w:val="-1358122281"/>
                <w:lock w:val="sdtLocked"/>
              </w:sdtPr>
              <w:sdtEndPr/>
              <w:sdtContent>
                <w:tc>
                  <w:tcPr>
                    <w:tcW w:w="561" w:type="pct"/>
                    <w:shd w:val="clear" w:color="auto" w:fill="FFFFFF"/>
                    <w:vAlign w:val="center"/>
                  </w:tcPr>
                  <w:p w14:paraId="31996D6A" w14:textId="77777777" w:rsidR="00830E72" w:rsidRDefault="008344D8">
                    <w:pPr>
                      <w:widowControl w:val="0"/>
                      <w:jc w:val="center"/>
                    </w:pPr>
                    <w:r>
                      <w:rPr>
                        <w:rFonts w:hint="eastAsia"/>
                      </w:rPr>
                      <w:t>转销或核销</w:t>
                    </w:r>
                  </w:p>
                </w:tc>
              </w:sdtContent>
            </w:sdt>
            <w:tc>
              <w:tcPr>
                <w:tcW w:w="407" w:type="pct"/>
                <w:shd w:val="clear" w:color="auto" w:fill="FFFFFF"/>
                <w:vAlign w:val="center"/>
              </w:tcPr>
              <w:sdt>
                <w:sdtPr>
                  <w:rPr>
                    <w:rFonts w:hint="eastAsia"/>
                  </w:rPr>
                  <w:tag w:val="_PLD_1b39a62bca3c4844a14e6b043f874971"/>
                  <w:id w:val="2092118514"/>
                  <w:lock w:val="sdtLocked"/>
                </w:sdtPr>
                <w:sdtEndPr/>
                <w:sdtContent>
                  <w:p w14:paraId="66074E74" w14:textId="77777777" w:rsidR="00830E72" w:rsidRDefault="008344D8">
                    <w:pPr>
                      <w:widowControl w:val="0"/>
                      <w:jc w:val="right"/>
                    </w:pPr>
                    <w:r>
                      <w:rPr>
                        <w:rFonts w:hint="eastAsia"/>
                      </w:rPr>
                      <w:t>其他变动</w:t>
                    </w:r>
                  </w:p>
                </w:sdtContent>
              </w:sdt>
            </w:tc>
            <w:tc>
              <w:tcPr>
                <w:tcW w:w="902" w:type="pct"/>
                <w:vMerge/>
                <w:shd w:val="clear" w:color="auto" w:fill="FFFFFF"/>
                <w:vAlign w:val="center"/>
              </w:tcPr>
              <w:p w14:paraId="415994E7" w14:textId="77777777" w:rsidR="00830E72" w:rsidRDefault="00830E72">
                <w:pPr>
                  <w:widowControl w:val="0"/>
                  <w:jc w:val="right"/>
                </w:pPr>
              </w:p>
            </w:tc>
          </w:tr>
          <w:sdt>
            <w:sdtPr>
              <w:alias w:val="其他应收款坏账准备明细"/>
              <w:tag w:val="_TUP_57c26c8d4c2d4626b7f224edb53fa9e6"/>
              <w:id w:val="-1539504244"/>
              <w:placeholder>
                <w:docPart w:val="GBC11111111111111111111111111111"/>
              </w:placeholder>
            </w:sdtPr>
            <w:sdtEndPr/>
            <w:sdtContent>
              <w:tr w:rsidR="00830E72" w14:paraId="610FAAB8" w14:textId="77777777">
                <w:tc>
                  <w:tcPr>
                    <w:tcW w:w="801" w:type="pct"/>
                    <w:shd w:val="clear" w:color="auto" w:fill="auto"/>
                    <w:vAlign w:val="center"/>
                  </w:tcPr>
                  <w:p w14:paraId="63ED9BAF" w14:textId="77777777" w:rsidR="00830E72" w:rsidRDefault="008344D8">
                    <w:pPr>
                      <w:widowControl w:val="0"/>
                    </w:pPr>
                    <w:r>
                      <w:rPr>
                        <w:rFonts w:hint="eastAsia"/>
                      </w:rPr>
                      <w:t>按组合计提坏账准备</w:t>
                    </w:r>
                  </w:p>
                </w:tc>
                <w:tc>
                  <w:tcPr>
                    <w:tcW w:w="884" w:type="pct"/>
                    <w:shd w:val="clear" w:color="auto" w:fill="auto"/>
                    <w:vAlign w:val="center"/>
                  </w:tcPr>
                  <w:p w14:paraId="2D7A6569" w14:textId="77777777" w:rsidR="00830E72" w:rsidRDefault="008344D8">
                    <w:pPr>
                      <w:widowControl w:val="0"/>
                      <w:jc w:val="right"/>
                    </w:pPr>
                    <w:r>
                      <w:t>6,766,718.92</w:t>
                    </w:r>
                  </w:p>
                </w:tc>
                <w:tc>
                  <w:tcPr>
                    <w:tcW w:w="883" w:type="pct"/>
                    <w:shd w:val="clear" w:color="auto" w:fill="auto"/>
                    <w:vAlign w:val="center"/>
                  </w:tcPr>
                  <w:p w14:paraId="4B914902" w14:textId="77777777" w:rsidR="00830E72" w:rsidRDefault="008344D8">
                    <w:pPr>
                      <w:widowControl w:val="0"/>
                      <w:jc w:val="right"/>
                    </w:pPr>
                    <w:r>
                      <w:t>3,570,673.75</w:t>
                    </w:r>
                  </w:p>
                </w:tc>
                <w:tc>
                  <w:tcPr>
                    <w:tcW w:w="563" w:type="pct"/>
                    <w:shd w:val="clear" w:color="auto" w:fill="auto"/>
                    <w:vAlign w:val="center"/>
                  </w:tcPr>
                  <w:p w14:paraId="1FAA9FBB" w14:textId="77777777" w:rsidR="00830E72" w:rsidRDefault="00830E72">
                    <w:pPr>
                      <w:widowControl w:val="0"/>
                      <w:jc w:val="right"/>
                    </w:pPr>
                  </w:p>
                </w:tc>
                <w:tc>
                  <w:tcPr>
                    <w:tcW w:w="561" w:type="pct"/>
                    <w:vAlign w:val="center"/>
                  </w:tcPr>
                  <w:p w14:paraId="6FBE7FC7" w14:textId="77777777" w:rsidR="00830E72" w:rsidRDefault="00830E72">
                    <w:pPr>
                      <w:widowControl w:val="0"/>
                      <w:jc w:val="right"/>
                    </w:pPr>
                  </w:p>
                </w:tc>
                <w:tc>
                  <w:tcPr>
                    <w:tcW w:w="407" w:type="pct"/>
                    <w:vAlign w:val="center"/>
                  </w:tcPr>
                  <w:p w14:paraId="7A38F3FE" w14:textId="77777777" w:rsidR="00830E72" w:rsidRDefault="00830E72">
                    <w:pPr>
                      <w:widowControl w:val="0"/>
                      <w:jc w:val="right"/>
                    </w:pPr>
                  </w:p>
                </w:tc>
                <w:tc>
                  <w:tcPr>
                    <w:tcW w:w="902" w:type="pct"/>
                    <w:shd w:val="clear" w:color="auto" w:fill="auto"/>
                    <w:vAlign w:val="center"/>
                  </w:tcPr>
                  <w:p w14:paraId="75F55D78" w14:textId="77777777" w:rsidR="00830E72" w:rsidRDefault="008344D8">
                    <w:pPr>
                      <w:widowControl w:val="0"/>
                      <w:jc w:val="right"/>
                    </w:pPr>
                    <w:r>
                      <w:t>10,337,392.67</w:t>
                    </w:r>
                  </w:p>
                </w:tc>
              </w:tr>
            </w:sdtContent>
          </w:sdt>
          <w:tr w:rsidR="00830E72" w14:paraId="12BAB3BF" w14:textId="77777777">
            <w:sdt>
              <w:sdtPr>
                <w:tag w:val="_PLD_6ecf64f375dd47799ee393325abe39ea"/>
                <w:id w:val="1746682432"/>
                <w:lock w:val="sdtLocked"/>
              </w:sdtPr>
              <w:sdtEndPr/>
              <w:sdtContent>
                <w:tc>
                  <w:tcPr>
                    <w:tcW w:w="801" w:type="pct"/>
                    <w:shd w:val="clear" w:color="auto" w:fill="auto"/>
                    <w:vAlign w:val="center"/>
                  </w:tcPr>
                  <w:p w14:paraId="311544DD" w14:textId="77777777" w:rsidR="00830E72" w:rsidRDefault="008344D8">
                    <w:pPr>
                      <w:widowControl w:val="0"/>
                      <w:jc w:val="center"/>
                    </w:pPr>
                    <w:r>
                      <w:rPr>
                        <w:rFonts w:hint="eastAsia"/>
                      </w:rPr>
                      <w:t>合计</w:t>
                    </w:r>
                  </w:p>
                </w:tc>
              </w:sdtContent>
            </w:sdt>
            <w:tc>
              <w:tcPr>
                <w:tcW w:w="884" w:type="pct"/>
                <w:shd w:val="clear" w:color="auto" w:fill="auto"/>
                <w:vAlign w:val="center"/>
              </w:tcPr>
              <w:p w14:paraId="17FF9AF8" w14:textId="77777777" w:rsidR="00830E72" w:rsidRDefault="008344D8">
                <w:pPr>
                  <w:widowControl w:val="0"/>
                  <w:jc w:val="right"/>
                </w:pPr>
                <w:r>
                  <w:t>6,766,718.92</w:t>
                </w:r>
              </w:p>
            </w:tc>
            <w:tc>
              <w:tcPr>
                <w:tcW w:w="883" w:type="pct"/>
                <w:shd w:val="clear" w:color="auto" w:fill="auto"/>
                <w:vAlign w:val="center"/>
              </w:tcPr>
              <w:p w14:paraId="43E8D6EA" w14:textId="77777777" w:rsidR="00830E72" w:rsidRDefault="008344D8">
                <w:pPr>
                  <w:widowControl w:val="0"/>
                  <w:jc w:val="right"/>
                </w:pPr>
                <w:r>
                  <w:t>3,570,673.75</w:t>
                </w:r>
              </w:p>
            </w:tc>
            <w:tc>
              <w:tcPr>
                <w:tcW w:w="563" w:type="pct"/>
                <w:shd w:val="clear" w:color="auto" w:fill="auto"/>
                <w:vAlign w:val="center"/>
              </w:tcPr>
              <w:p w14:paraId="56899909" w14:textId="77777777" w:rsidR="00830E72" w:rsidRDefault="00830E72">
                <w:pPr>
                  <w:widowControl w:val="0"/>
                  <w:jc w:val="right"/>
                </w:pPr>
              </w:p>
            </w:tc>
            <w:tc>
              <w:tcPr>
                <w:tcW w:w="561" w:type="pct"/>
                <w:vAlign w:val="center"/>
              </w:tcPr>
              <w:p w14:paraId="77C0D9CA" w14:textId="77777777" w:rsidR="00830E72" w:rsidRDefault="00830E72">
                <w:pPr>
                  <w:widowControl w:val="0"/>
                  <w:jc w:val="right"/>
                </w:pPr>
              </w:p>
            </w:tc>
            <w:tc>
              <w:tcPr>
                <w:tcW w:w="407" w:type="pct"/>
                <w:vAlign w:val="center"/>
              </w:tcPr>
              <w:p w14:paraId="3C700D53" w14:textId="77777777" w:rsidR="00830E72" w:rsidRDefault="00830E72">
                <w:pPr>
                  <w:widowControl w:val="0"/>
                  <w:jc w:val="right"/>
                </w:pPr>
              </w:p>
            </w:tc>
            <w:tc>
              <w:tcPr>
                <w:tcW w:w="902" w:type="pct"/>
                <w:shd w:val="clear" w:color="auto" w:fill="auto"/>
                <w:vAlign w:val="center"/>
              </w:tcPr>
              <w:p w14:paraId="31BBF535" w14:textId="77777777" w:rsidR="00830E72" w:rsidRDefault="008344D8">
                <w:pPr>
                  <w:widowControl w:val="0"/>
                  <w:jc w:val="right"/>
                </w:pPr>
                <w:r>
                  <w:t>10,337,392.67</w:t>
                </w:r>
              </w:p>
            </w:tc>
          </w:tr>
        </w:tbl>
        <w:p w14:paraId="1F8E506C" w14:textId="77777777" w:rsidR="00830E72" w:rsidRDefault="008344D8">
          <w:r>
            <w:rPr>
              <w:rFonts w:hint="eastAsia"/>
            </w:rPr>
            <w:t>其中本期坏账准备转回或收回金额重要的：</w:t>
          </w:r>
        </w:p>
        <w:sdt>
          <w:sdtPr>
            <w:alias w:val="是否适用：其中本期其他应收账款坏账准备收回或转回金额重要的[双击切换]"/>
            <w:tag w:val="_GBC_4d2439aebd644da7889b9f279d8a4ec0"/>
            <w:id w:val="-994174599"/>
            <w:lock w:val="sdtContentLocked"/>
            <w:placeholder>
              <w:docPart w:val="GBC22222222222222222222222222222"/>
            </w:placeholder>
          </w:sdtPr>
          <w:sdtEndPr/>
          <w:sdtContent>
            <w:p w14:paraId="31B01541" w14:textId="77777777" w:rsidR="00830E72" w:rsidRDefault="008344D8">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36"/>
    <w:p w14:paraId="4B2C262B" w14:textId="77777777" w:rsidR="00830E72" w:rsidRDefault="00830E72">
      <w:pPr>
        <w:ind w:rightChars="-759" w:right="-1594"/>
        <w:rPr>
          <w:szCs w:val="21"/>
        </w:rPr>
      </w:pPr>
    </w:p>
    <w:sdt>
      <w:sdtPr>
        <w:rPr>
          <w:rFonts w:ascii="宋体" w:hAnsi="宋体" w:cs="宋体" w:hint="eastAsia"/>
          <w:b w:val="0"/>
          <w:bCs w:val="0"/>
          <w:kern w:val="0"/>
          <w:szCs w:val="24"/>
        </w:rPr>
        <w:alias w:val="模块:本期实际核销的其他应收款情况"/>
        <w:tag w:val="_SEC_ffe6c87a4f4a49bd9769cbeb746b444b"/>
        <w:id w:val="-546753524"/>
        <w:lock w:val="sdtLocked"/>
        <w:placeholder>
          <w:docPart w:val="GBC22222222222222222222222222222"/>
        </w:placeholder>
      </w:sdtPr>
      <w:sdtEndPr>
        <w:rPr>
          <w:szCs w:val="21"/>
        </w:rPr>
      </w:sdtEndPr>
      <w:sdtContent>
        <w:p w14:paraId="77C12B5D" w14:textId="77777777" w:rsidR="00830E72" w:rsidRDefault="008344D8">
          <w:pPr>
            <w:pStyle w:val="Style100"/>
            <w:numPr>
              <w:ilvl w:val="3"/>
              <w:numId w:val="97"/>
            </w:numPr>
            <w:ind w:left="426" w:hanging="426"/>
            <w:rPr>
              <w:rFonts w:ascii="宋体" w:hAnsi="宋体"/>
            </w:rPr>
          </w:pPr>
          <w:r>
            <w:rPr>
              <w:rFonts w:ascii="宋体" w:hAnsi="宋体" w:hint="eastAsia"/>
            </w:rPr>
            <w:t>本期实际核销的其他应收款情况</w:t>
          </w:r>
        </w:p>
        <w:p w14:paraId="48A996A1" w14:textId="77777777" w:rsidR="00830E72" w:rsidRDefault="00D44830">
          <w:pPr>
            <w:rPr>
              <w:szCs w:val="21"/>
            </w:rPr>
          </w:pPr>
          <w:sdt>
            <w:sdtPr>
              <w:alias w:val="是否适用：母公司本期实际核销的其他应收款情况[双击切换]"/>
              <w:tag w:val="_GBC_dd1095756d2b471688ce5b700380fafc"/>
              <w:id w:val="-1943753107"/>
              <w:lock w:val="sdtContentLocked"/>
              <w:placeholder>
                <w:docPart w:val="GBC22222222222222222222222222222"/>
              </w:placeholder>
            </w:sdtPr>
            <w:sdtEndPr/>
            <w:sdtContent>
              <w:r w:rsidR="008344D8">
                <w:fldChar w:fldCharType="begin"/>
              </w:r>
              <w:r w:rsidR="008344D8">
                <w:instrText xml:space="preserve"> MACROBUTTON  SnrToggleCheckbox □适用 </w:instrText>
              </w:r>
              <w:r w:rsidR="008344D8">
                <w:fldChar w:fldCharType="end"/>
              </w:r>
              <w:r w:rsidR="008344D8">
                <w:fldChar w:fldCharType="begin"/>
              </w:r>
              <w:r w:rsidR="008344D8">
                <w:instrText xml:space="preserve"> MACROBUTTON  SnrToggleCheckbox √不适用 </w:instrText>
              </w:r>
              <w:r w:rsidR="008344D8">
                <w:fldChar w:fldCharType="end"/>
              </w:r>
            </w:sdtContent>
          </w:sdt>
        </w:p>
      </w:sdtContent>
    </w:sdt>
    <w:sdt>
      <w:sdtPr>
        <w:rPr>
          <w:rFonts w:hint="eastAsia"/>
          <w:szCs w:val="21"/>
        </w:rPr>
        <w:alias w:val="模块:其他应收款核销说明：  "/>
        <w:tag w:val="_SEC_6c44e00a54d34fb1a03f38b7cf5b8a5d"/>
        <w:id w:val="1406032690"/>
        <w:lock w:val="sdtLocked"/>
        <w:placeholder>
          <w:docPart w:val="GBC22222222222222222222222222222"/>
        </w:placeholder>
      </w:sdtPr>
      <w:sdtEndPr>
        <w:rPr>
          <w:rFonts w:hint="default"/>
        </w:rPr>
      </w:sdtEndPr>
      <w:sdtContent>
        <w:p w14:paraId="2D048478" w14:textId="77777777" w:rsidR="00830E72" w:rsidRDefault="008344D8">
          <w:pPr>
            <w:snapToGrid w:val="0"/>
            <w:spacing w:line="240" w:lineRule="atLeast"/>
            <w:rPr>
              <w:szCs w:val="21"/>
            </w:rPr>
          </w:pPr>
          <w:r>
            <w:rPr>
              <w:rFonts w:hint="eastAsia"/>
              <w:szCs w:val="21"/>
            </w:rPr>
            <w:t>其他应收款核销说明：</w:t>
          </w:r>
        </w:p>
        <w:sdt>
          <w:sdtPr>
            <w:rPr>
              <w:bCs/>
              <w:szCs w:val="21"/>
            </w:rPr>
            <w:alias w:val="是否适用：母公司其他应收款核销说明[双击切换]"/>
            <w:tag w:val="_GBC_7e98a555990349648a39fba0c7228ab7"/>
            <w:id w:val="-263229965"/>
            <w:lock w:val="sdtContentLocked"/>
            <w:placeholder>
              <w:docPart w:val="GBC22222222222222222222222222222"/>
            </w:placeholder>
          </w:sdtPr>
          <w:sdtEndPr/>
          <w:sdtContent>
            <w:p w14:paraId="215AAB3D" w14:textId="77777777" w:rsidR="00830E72" w:rsidRDefault="008344D8">
              <w:pPr>
                <w:snapToGrid w:val="0"/>
                <w:spacing w:line="240" w:lineRule="atLeast"/>
                <w:rPr>
                  <w:szCs w:val="21"/>
                </w:rPr>
              </w:pPr>
              <w:r>
                <w:rPr>
                  <w:bCs/>
                  <w:szCs w:val="21"/>
                </w:rPr>
                <w:fldChar w:fldCharType="begin"/>
              </w:r>
              <w:r>
                <w:rPr>
                  <w:bCs/>
                  <w:szCs w:val="21"/>
                </w:rPr>
                <w:instrText xml:space="preserve"> 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sdtContent>
    </w:sdt>
    <w:p w14:paraId="2E680D1E" w14:textId="77777777" w:rsidR="00830E72" w:rsidRDefault="00830E72"/>
    <w:sdt>
      <w:sdtPr>
        <w:rPr>
          <w:rFonts w:ascii="宋体" w:hAnsi="宋体" w:cs="宋体" w:hint="eastAsia"/>
          <w:b w:val="0"/>
          <w:bCs w:val="0"/>
          <w:kern w:val="0"/>
          <w:szCs w:val="24"/>
        </w:rPr>
        <w:alias w:val="模块:按欠款方归集的期末余额前五名的其他应收款情况"/>
        <w:tag w:val="_GBC_c77f7efeabc1402191807946a9bfe714"/>
        <w:id w:val="-2000961972"/>
        <w:lock w:val="sdtLocked"/>
        <w:placeholder>
          <w:docPart w:val="GBC22222222222222222222222222222"/>
        </w:placeholder>
      </w:sdtPr>
      <w:sdtEndPr>
        <w:rPr>
          <w:rFonts w:hint="default"/>
          <w:szCs w:val="21"/>
        </w:rPr>
      </w:sdtEndPr>
      <w:sdtContent>
        <w:p w14:paraId="68CBF616" w14:textId="77777777" w:rsidR="00830E72" w:rsidRDefault="008344D8">
          <w:pPr>
            <w:pStyle w:val="Style100"/>
            <w:numPr>
              <w:ilvl w:val="3"/>
              <w:numId w:val="97"/>
            </w:numPr>
            <w:ind w:left="426" w:hanging="426"/>
            <w:rPr>
              <w:rFonts w:ascii="宋体" w:hAnsi="宋体"/>
            </w:rPr>
          </w:pPr>
          <w:r>
            <w:rPr>
              <w:rFonts w:ascii="宋体" w:hAnsi="宋体" w:hint="eastAsia"/>
            </w:rPr>
            <w:t>按欠款方归集的期末余额前五名的其他应收款情况</w:t>
          </w:r>
        </w:p>
        <w:sdt>
          <w:sdtPr>
            <w:alias w:val="是否适用：母公司按欠款方归集的期末余额前五名的其他应收款情况[双击切换]"/>
            <w:tag w:val="_GBC_c31bd7806af645a4b98780e353753bee"/>
            <w:id w:val="1024991642"/>
            <w:lock w:val="sdtContentLocked"/>
            <w:placeholder>
              <w:docPart w:val="GBC22222222222222222222222222222"/>
            </w:placeholder>
          </w:sdtPr>
          <w:sdtEndPr/>
          <w:sdtContent>
            <w:p w14:paraId="73ACA10D"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0AB619D" w14:textId="77777777" w:rsidR="00830E72" w:rsidRDefault="008344D8">
          <w:pPr>
            <w:jc w:val="right"/>
          </w:pPr>
          <w:r>
            <w:rPr>
              <w:rFonts w:hint="eastAsia"/>
            </w:rPr>
            <w:t>单位：</w:t>
          </w:r>
          <w:sdt>
            <w:sdtPr>
              <w:rPr>
                <w:rFonts w:hint="eastAsia"/>
              </w:rPr>
              <w:alias w:val="单位：母公司财务附注：其他应收账款前五名欠款情况"/>
              <w:tag w:val="_GBC_5eaec4085c10422f90a7a09ee515d922"/>
              <w:id w:val="8540105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76fb156b47fb495eb1748f1f6ffdfc64"/>
              <w:id w:val="-10351092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2289"/>
            <w:gridCol w:w="1267"/>
            <w:gridCol w:w="1605"/>
            <w:gridCol w:w="984"/>
            <w:gridCol w:w="1409"/>
            <w:gridCol w:w="1341"/>
          </w:tblGrid>
          <w:tr w:rsidR="00830E72" w14:paraId="2F61AD2B" w14:textId="77777777">
            <w:trPr>
              <w:cantSplit/>
            </w:trPr>
            <w:sdt>
              <w:sdtPr>
                <w:tag w:val="_PLD_1bf4103fa73c4527ab273af4182bdac9"/>
                <w:id w:val="-987552450"/>
                <w:lock w:val="sdtLocked"/>
              </w:sdtPr>
              <w:sdtEndPr/>
              <w:sdtContent>
                <w:tc>
                  <w:tcPr>
                    <w:tcW w:w="1292" w:type="pct"/>
                    <w:tcBorders>
                      <w:top w:val="single" w:sz="6" w:space="0" w:color="auto"/>
                      <w:left w:val="single" w:sz="6" w:space="0" w:color="auto"/>
                      <w:bottom w:val="single" w:sz="6" w:space="0" w:color="auto"/>
                      <w:right w:val="single" w:sz="6" w:space="0" w:color="auto"/>
                    </w:tcBorders>
                    <w:vAlign w:val="center"/>
                  </w:tcPr>
                  <w:p w14:paraId="09CCA179" w14:textId="77777777" w:rsidR="00830E72" w:rsidRDefault="008344D8">
                    <w:pPr>
                      <w:ind w:right="105"/>
                      <w:jc w:val="center"/>
                      <w:rPr>
                        <w:szCs w:val="21"/>
                      </w:rPr>
                    </w:pPr>
                    <w:r>
                      <w:rPr>
                        <w:rFonts w:hint="eastAsia"/>
                        <w:szCs w:val="21"/>
                      </w:rPr>
                      <w:t>单位名称</w:t>
                    </w:r>
                  </w:p>
                </w:tc>
              </w:sdtContent>
            </w:sdt>
            <w:sdt>
              <w:sdtPr>
                <w:tag w:val="_PLD_13e90710aaf8432b8989b8a8d1ceae0c"/>
                <w:id w:val="-933820916"/>
                <w:lock w:val="sdtLocked"/>
              </w:sdtPr>
              <w:sdtEndPr/>
              <w:sdtContent>
                <w:tc>
                  <w:tcPr>
                    <w:tcW w:w="717" w:type="pct"/>
                    <w:tcBorders>
                      <w:top w:val="single" w:sz="6" w:space="0" w:color="auto"/>
                      <w:left w:val="single" w:sz="6" w:space="0" w:color="auto"/>
                      <w:bottom w:val="single" w:sz="6" w:space="0" w:color="auto"/>
                      <w:right w:val="single" w:sz="6" w:space="0" w:color="auto"/>
                    </w:tcBorders>
                    <w:vAlign w:val="center"/>
                  </w:tcPr>
                  <w:p w14:paraId="0A5B65D8" w14:textId="77777777" w:rsidR="00830E72" w:rsidRDefault="008344D8">
                    <w:pPr>
                      <w:ind w:right="73"/>
                      <w:jc w:val="center"/>
                      <w:rPr>
                        <w:szCs w:val="21"/>
                      </w:rPr>
                    </w:pPr>
                    <w:r>
                      <w:rPr>
                        <w:rFonts w:hint="eastAsia"/>
                        <w:szCs w:val="21"/>
                      </w:rPr>
                      <w:t>款项的性质</w:t>
                    </w:r>
                  </w:p>
                </w:tc>
              </w:sdtContent>
            </w:sdt>
            <w:sdt>
              <w:sdtPr>
                <w:tag w:val="_PLD_2272ceae47e74a6489bfeb2c73aa1f4a"/>
                <w:id w:val="-1743164926"/>
                <w:lock w:val="sdtLocked"/>
              </w:sdtPr>
              <w:sdtEndPr/>
              <w:sdtContent>
                <w:tc>
                  <w:tcPr>
                    <w:tcW w:w="876" w:type="pct"/>
                    <w:tcBorders>
                      <w:top w:val="single" w:sz="6" w:space="0" w:color="auto"/>
                      <w:left w:val="single" w:sz="6" w:space="0" w:color="auto"/>
                      <w:bottom w:val="single" w:sz="6" w:space="0" w:color="auto"/>
                      <w:right w:val="single" w:sz="6" w:space="0" w:color="auto"/>
                    </w:tcBorders>
                    <w:vAlign w:val="center"/>
                  </w:tcPr>
                  <w:p w14:paraId="6F5EBC80" w14:textId="77777777" w:rsidR="00830E72" w:rsidRDefault="008344D8">
                    <w:pPr>
                      <w:ind w:right="73"/>
                      <w:jc w:val="center"/>
                      <w:rPr>
                        <w:szCs w:val="21"/>
                      </w:rPr>
                    </w:pPr>
                    <w:r>
                      <w:rPr>
                        <w:rFonts w:hint="eastAsia"/>
                        <w:szCs w:val="21"/>
                      </w:rPr>
                      <w:t>期末余额</w:t>
                    </w:r>
                  </w:p>
                </w:tc>
              </w:sdtContent>
            </w:sdt>
            <w:sdt>
              <w:sdtPr>
                <w:tag w:val="_PLD_fcefa3ecef954c579974ef8beaeadf3a"/>
                <w:id w:val="1966615844"/>
                <w:lock w:val="sdtLocked"/>
              </w:sdtPr>
              <w:sdtEndPr/>
              <w:sdtContent>
                <w:tc>
                  <w:tcPr>
                    <w:tcW w:w="558" w:type="pct"/>
                    <w:tcBorders>
                      <w:top w:val="single" w:sz="6" w:space="0" w:color="auto"/>
                      <w:left w:val="single" w:sz="6" w:space="0" w:color="auto"/>
                      <w:bottom w:val="single" w:sz="6" w:space="0" w:color="auto"/>
                      <w:right w:val="single" w:sz="6" w:space="0" w:color="auto"/>
                    </w:tcBorders>
                    <w:vAlign w:val="center"/>
                  </w:tcPr>
                  <w:p w14:paraId="20725AB6" w14:textId="77777777" w:rsidR="00830E72" w:rsidRDefault="008344D8">
                    <w:pPr>
                      <w:ind w:right="73"/>
                      <w:jc w:val="center"/>
                      <w:rPr>
                        <w:szCs w:val="21"/>
                      </w:rPr>
                    </w:pPr>
                    <w:r>
                      <w:rPr>
                        <w:rFonts w:hint="eastAsia"/>
                        <w:szCs w:val="21"/>
                      </w:rPr>
                      <w:t>账龄</w:t>
                    </w:r>
                  </w:p>
                </w:tc>
              </w:sdtContent>
            </w:sdt>
            <w:sdt>
              <w:sdtPr>
                <w:tag w:val="_PLD_13e1362304be4663873f1e8f72848948"/>
                <w:id w:val="-1117053693"/>
                <w:lock w:val="sdtLocked"/>
              </w:sdtPr>
              <w:sdtEndPr/>
              <w:sdtContent>
                <w:tc>
                  <w:tcPr>
                    <w:tcW w:w="797" w:type="pct"/>
                    <w:tcBorders>
                      <w:top w:val="single" w:sz="6" w:space="0" w:color="auto"/>
                      <w:left w:val="single" w:sz="6" w:space="0" w:color="auto"/>
                      <w:bottom w:val="single" w:sz="6" w:space="0" w:color="auto"/>
                      <w:right w:val="single" w:sz="6" w:space="0" w:color="auto"/>
                    </w:tcBorders>
                    <w:vAlign w:val="center"/>
                  </w:tcPr>
                  <w:p w14:paraId="5E0EB448" w14:textId="77777777" w:rsidR="00830E72" w:rsidRDefault="008344D8">
                    <w:pPr>
                      <w:jc w:val="center"/>
                      <w:rPr>
                        <w:szCs w:val="21"/>
                      </w:rPr>
                    </w:pPr>
                    <w:r>
                      <w:rPr>
                        <w:rFonts w:hint="eastAsia"/>
                        <w:szCs w:val="21"/>
                      </w:rPr>
                      <w:t>占其他应收款期末余额合计数的比例(</w:t>
                    </w:r>
                    <w:r>
                      <w:rPr>
                        <w:szCs w:val="21"/>
                      </w:rPr>
                      <w:t>%)</w:t>
                    </w:r>
                  </w:p>
                </w:tc>
              </w:sdtContent>
            </w:sdt>
            <w:sdt>
              <w:sdtPr>
                <w:tag w:val="_PLD_f2c7137b0fd6426d9d9640429eb47701"/>
                <w:id w:val="1788925447"/>
                <w:lock w:val="sdtLocked"/>
              </w:sdtPr>
              <w:sdtEndPr/>
              <w:sdtContent>
                <w:tc>
                  <w:tcPr>
                    <w:tcW w:w="759" w:type="pct"/>
                    <w:tcBorders>
                      <w:top w:val="single" w:sz="6" w:space="0" w:color="auto"/>
                      <w:left w:val="single" w:sz="6" w:space="0" w:color="auto"/>
                      <w:bottom w:val="single" w:sz="6" w:space="0" w:color="auto"/>
                      <w:right w:val="single" w:sz="6" w:space="0" w:color="auto"/>
                    </w:tcBorders>
                    <w:vAlign w:val="center"/>
                  </w:tcPr>
                  <w:p w14:paraId="752728E3" w14:textId="77777777" w:rsidR="00830E72" w:rsidRDefault="008344D8">
                    <w:pPr>
                      <w:jc w:val="center"/>
                      <w:rPr>
                        <w:szCs w:val="21"/>
                      </w:rPr>
                    </w:pPr>
                    <w:r>
                      <w:rPr>
                        <w:rFonts w:hint="eastAsia"/>
                        <w:szCs w:val="21"/>
                      </w:rPr>
                      <w:t>坏账准备</w:t>
                    </w:r>
                  </w:p>
                  <w:p w14:paraId="7A587A88" w14:textId="77777777" w:rsidR="00830E72" w:rsidRDefault="008344D8">
                    <w:pPr>
                      <w:jc w:val="center"/>
                      <w:rPr>
                        <w:szCs w:val="21"/>
                      </w:rPr>
                    </w:pPr>
                    <w:r>
                      <w:rPr>
                        <w:rFonts w:hint="eastAsia"/>
                        <w:szCs w:val="21"/>
                      </w:rPr>
                      <w:t>期末余额</w:t>
                    </w:r>
                  </w:p>
                </w:tc>
              </w:sdtContent>
            </w:sdt>
          </w:tr>
          <w:sdt>
            <w:sdtPr>
              <w:rPr>
                <w:rFonts w:hint="eastAsia"/>
                <w:szCs w:val="21"/>
              </w:rPr>
              <w:alias w:val="其他应收款欠款户"/>
              <w:tag w:val="_GBC_3912a12d540a40c8946b4121501bca53"/>
              <w:id w:val="1477576885"/>
              <w:lock w:val="sdtLocked"/>
              <w:placeholder>
                <w:docPart w:val="GBC11111111111111111111111111111"/>
              </w:placeholder>
            </w:sdtPr>
            <w:sdtEndPr/>
            <w:sdtContent>
              <w:tr w:rsidR="00830E72" w14:paraId="7131B5F8" w14:textId="77777777">
                <w:trPr>
                  <w:cantSplit/>
                </w:trPr>
                <w:tc>
                  <w:tcPr>
                    <w:tcW w:w="1292" w:type="pct"/>
                    <w:tcBorders>
                      <w:top w:val="single" w:sz="6" w:space="0" w:color="auto"/>
                      <w:left w:val="single" w:sz="6" w:space="0" w:color="auto"/>
                      <w:bottom w:val="single" w:sz="6" w:space="0" w:color="auto"/>
                      <w:right w:val="single" w:sz="6" w:space="0" w:color="auto"/>
                    </w:tcBorders>
                    <w:vAlign w:val="center"/>
                  </w:tcPr>
                  <w:p w14:paraId="513D048A" w14:textId="77777777" w:rsidR="00830E72" w:rsidRDefault="008344D8">
                    <w:pPr>
                      <w:ind w:right="105"/>
                      <w:rPr>
                        <w:szCs w:val="21"/>
                      </w:rPr>
                    </w:pPr>
                    <w:r>
                      <w:rPr>
                        <w:rFonts w:hint="eastAsia"/>
                        <w:szCs w:val="21"/>
                      </w:rPr>
                      <w:t>六安市金安区公共资源交易中心</w:t>
                    </w:r>
                  </w:p>
                </w:tc>
                <w:tc>
                  <w:tcPr>
                    <w:tcW w:w="717" w:type="pct"/>
                    <w:tcBorders>
                      <w:top w:val="single" w:sz="6" w:space="0" w:color="auto"/>
                      <w:left w:val="single" w:sz="6" w:space="0" w:color="auto"/>
                      <w:bottom w:val="single" w:sz="6" w:space="0" w:color="auto"/>
                      <w:right w:val="single" w:sz="6" w:space="0" w:color="auto"/>
                    </w:tcBorders>
                    <w:vAlign w:val="center"/>
                  </w:tcPr>
                  <w:p w14:paraId="2CE40BA2" w14:textId="77777777" w:rsidR="00830E72" w:rsidRDefault="008344D8">
                    <w:pPr>
                      <w:ind w:right="73"/>
                      <w:rPr>
                        <w:szCs w:val="21"/>
                      </w:rPr>
                    </w:pPr>
                    <w:r>
                      <w:rPr>
                        <w:rFonts w:hint="eastAsia"/>
                        <w:szCs w:val="21"/>
                      </w:rPr>
                      <w:t>投标保证金</w:t>
                    </w:r>
                  </w:p>
                </w:tc>
                <w:tc>
                  <w:tcPr>
                    <w:tcW w:w="876" w:type="pct"/>
                    <w:tcBorders>
                      <w:top w:val="single" w:sz="6" w:space="0" w:color="auto"/>
                      <w:left w:val="single" w:sz="6" w:space="0" w:color="auto"/>
                      <w:bottom w:val="single" w:sz="6" w:space="0" w:color="auto"/>
                      <w:right w:val="single" w:sz="6" w:space="0" w:color="auto"/>
                    </w:tcBorders>
                    <w:vAlign w:val="center"/>
                  </w:tcPr>
                  <w:p w14:paraId="439F161A" w14:textId="77777777" w:rsidR="00830E72" w:rsidRDefault="008344D8">
                    <w:pPr>
                      <w:ind w:right="73"/>
                      <w:jc w:val="right"/>
                      <w:rPr>
                        <w:szCs w:val="21"/>
                      </w:rPr>
                    </w:pPr>
                    <w:r>
                      <w:rPr>
                        <w:szCs w:val="21"/>
                      </w:rPr>
                      <w:t>50,000,000.00</w:t>
                    </w:r>
                  </w:p>
                </w:tc>
                <w:tc>
                  <w:tcPr>
                    <w:tcW w:w="558" w:type="pct"/>
                    <w:tcBorders>
                      <w:top w:val="single" w:sz="6" w:space="0" w:color="auto"/>
                      <w:left w:val="single" w:sz="6" w:space="0" w:color="auto"/>
                      <w:bottom w:val="single" w:sz="6" w:space="0" w:color="auto"/>
                      <w:right w:val="single" w:sz="6" w:space="0" w:color="auto"/>
                    </w:tcBorders>
                    <w:vAlign w:val="center"/>
                  </w:tcPr>
                  <w:p w14:paraId="491FAB87" w14:textId="77777777" w:rsidR="00830E72" w:rsidRDefault="008344D8">
                    <w:pPr>
                      <w:ind w:right="73"/>
                      <w:jc w:val="center"/>
                      <w:rPr>
                        <w:szCs w:val="21"/>
                      </w:rPr>
                    </w:pPr>
                    <w:r>
                      <w:rPr>
                        <w:szCs w:val="21"/>
                      </w:rPr>
                      <w:t>1年以内</w:t>
                    </w:r>
                  </w:p>
                </w:tc>
                <w:tc>
                  <w:tcPr>
                    <w:tcW w:w="797" w:type="pct"/>
                    <w:tcBorders>
                      <w:top w:val="single" w:sz="6" w:space="0" w:color="auto"/>
                      <w:left w:val="single" w:sz="6" w:space="0" w:color="auto"/>
                      <w:bottom w:val="single" w:sz="6" w:space="0" w:color="auto"/>
                      <w:right w:val="single" w:sz="6" w:space="0" w:color="auto"/>
                    </w:tcBorders>
                    <w:vAlign w:val="center"/>
                  </w:tcPr>
                  <w:p w14:paraId="5F0429D7" w14:textId="77777777" w:rsidR="00830E72" w:rsidRDefault="008344D8">
                    <w:pPr>
                      <w:jc w:val="right"/>
                      <w:rPr>
                        <w:szCs w:val="21"/>
                      </w:rPr>
                    </w:pPr>
                    <w:r>
                      <w:rPr>
                        <w:rFonts w:hint="eastAsia"/>
                        <w:szCs w:val="21"/>
                      </w:rPr>
                      <w:t>12.85</w:t>
                    </w:r>
                  </w:p>
                </w:tc>
                <w:tc>
                  <w:tcPr>
                    <w:tcW w:w="759" w:type="pct"/>
                    <w:tcBorders>
                      <w:top w:val="single" w:sz="6" w:space="0" w:color="auto"/>
                      <w:left w:val="single" w:sz="6" w:space="0" w:color="auto"/>
                      <w:bottom w:val="single" w:sz="6" w:space="0" w:color="auto"/>
                      <w:right w:val="single" w:sz="6" w:space="0" w:color="auto"/>
                    </w:tcBorders>
                    <w:vAlign w:val="center"/>
                  </w:tcPr>
                  <w:p w14:paraId="3DC6081B" w14:textId="77777777" w:rsidR="00830E72" w:rsidRDefault="008344D8">
                    <w:pPr>
                      <w:jc w:val="right"/>
                      <w:rPr>
                        <w:szCs w:val="21"/>
                      </w:rPr>
                    </w:pPr>
                    <w:r>
                      <w:rPr>
                        <w:szCs w:val="21"/>
                      </w:rPr>
                      <w:t>1,500,000.00</w:t>
                    </w:r>
                  </w:p>
                </w:tc>
              </w:tr>
            </w:sdtContent>
          </w:sdt>
          <w:sdt>
            <w:sdtPr>
              <w:rPr>
                <w:rFonts w:hint="eastAsia"/>
                <w:szCs w:val="21"/>
              </w:rPr>
              <w:alias w:val="其他应收款欠款户"/>
              <w:tag w:val="_GBC_3912a12d540a40c8946b4121501bca53"/>
              <w:id w:val="722561601"/>
              <w:lock w:val="sdtLocked"/>
              <w:placeholder>
                <w:docPart w:val="GBC11111111111111111111111111111"/>
              </w:placeholder>
            </w:sdtPr>
            <w:sdtEndPr/>
            <w:sdtContent>
              <w:tr w:rsidR="00830E72" w14:paraId="53EF5822" w14:textId="77777777">
                <w:trPr>
                  <w:cantSplit/>
                </w:trPr>
                <w:tc>
                  <w:tcPr>
                    <w:tcW w:w="1292" w:type="pct"/>
                    <w:tcBorders>
                      <w:top w:val="single" w:sz="6" w:space="0" w:color="auto"/>
                      <w:left w:val="single" w:sz="6" w:space="0" w:color="auto"/>
                      <w:bottom w:val="single" w:sz="6" w:space="0" w:color="auto"/>
                      <w:right w:val="single" w:sz="6" w:space="0" w:color="auto"/>
                    </w:tcBorders>
                    <w:vAlign w:val="center"/>
                  </w:tcPr>
                  <w:p w14:paraId="1B1ED3D9" w14:textId="77777777" w:rsidR="00830E72" w:rsidRDefault="008344D8">
                    <w:pPr>
                      <w:ind w:right="105"/>
                      <w:rPr>
                        <w:szCs w:val="21"/>
                      </w:rPr>
                    </w:pPr>
                    <w:r>
                      <w:rPr>
                        <w:rFonts w:hint="eastAsia"/>
                        <w:szCs w:val="21"/>
                      </w:rPr>
                      <w:t>广西德合泰和投资有限公司融安县分公司</w:t>
                    </w:r>
                  </w:p>
                </w:tc>
                <w:tc>
                  <w:tcPr>
                    <w:tcW w:w="717" w:type="pct"/>
                    <w:tcBorders>
                      <w:top w:val="single" w:sz="6" w:space="0" w:color="auto"/>
                      <w:left w:val="single" w:sz="6" w:space="0" w:color="auto"/>
                      <w:bottom w:val="single" w:sz="6" w:space="0" w:color="auto"/>
                      <w:right w:val="single" w:sz="6" w:space="0" w:color="auto"/>
                    </w:tcBorders>
                    <w:vAlign w:val="center"/>
                  </w:tcPr>
                  <w:p w14:paraId="08B1DCEA" w14:textId="77777777" w:rsidR="00830E72" w:rsidRDefault="008344D8">
                    <w:pPr>
                      <w:ind w:right="73"/>
                      <w:rPr>
                        <w:szCs w:val="21"/>
                      </w:rPr>
                    </w:pPr>
                    <w:r>
                      <w:rPr>
                        <w:rFonts w:hint="eastAsia"/>
                        <w:szCs w:val="21"/>
                      </w:rPr>
                      <w:t>履约保证金</w:t>
                    </w:r>
                  </w:p>
                </w:tc>
                <w:tc>
                  <w:tcPr>
                    <w:tcW w:w="876" w:type="pct"/>
                    <w:tcBorders>
                      <w:top w:val="single" w:sz="6" w:space="0" w:color="auto"/>
                      <w:left w:val="single" w:sz="6" w:space="0" w:color="auto"/>
                      <w:bottom w:val="single" w:sz="6" w:space="0" w:color="auto"/>
                      <w:right w:val="single" w:sz="6" w:space="0" w:color="auto"/>
                    </w:tcBorders>
                    <w:vAlign w:val="center"/>
                  </w:tcPr>
                  <w:p w14:paraId="2A74AF83" w14:textId="77777777" w:rsidR="00830E72" w:rsidRDefault="008344D8">
                    <w:pPr>
                      <w:ind w:right="73"/>
                      <w:jc w:val="right"/>
                      <w:rPr>
                        <w:szCs w:val="21"/>
                      </w:rPr>
                    </w:pPr>
                    <w:r>
                      <w:rPr>
                        <w:szCs w:val="21"/>
                      </w:rPr>
                      <w:t>30,000,000.00</w:t>
                    </w:r>
                  </w:p>
                </w:tc>
                <w:tc>
                  <w:tcPr>
                    <w:tcW w:w="558" w:type="pct"/>
                    <w:tcBorders>
                      <w:top w:val="single" w:sz="6" w:space="0" w:color="auto"/>
                      <w:left w:val="single" w:sz="6" w:space="0" w:color="auto"/>
                      <w:bottom w:val="single" w:sz="6" w:space="0" w:color="auto"/>
                      <w:right w:val="single" w:sz="6" w:space="0" w:color="auto"/>
                    </w:tcBorders>
                    <w:vAlign w:val="center"/>
                  </w:tcPr>
                  <w:p w14:paraId="597DF866" w14:textId="77777777" w:rsidR="00830E72" w:rsidRDefault="008344D8">
                    <w:pPr>
                      <w:ind w:right="73"/>
                      <w:jc w:val="center"/>
                      <w:rPr>
                        <w:szCs w:val="21"/>
                      </w:rPr>
                    </w:pPr>
                    <w:r>
                      <w:rPr>
                        <w:szCs w:val="21"/>
                      </w:rPr>
                      <w:t>1年以内</w:t>
                    </w:r>
                  </w:p>
                </w:tc>
                <w:tc>
                  <w:tcPr>
                    <w:tcW w:w="797" w:type="pct"/>
                    <w:tcBorders>
                      <w:top w:val="single" w:sz="6" w:space="0" w:color="auto"/>
                      <w:left w:val="single" w:sz="6" w:space="0" w:color="auto"/>
                      <w:bottom w:val="single" w:sz="6" w:space="0" w:color="auto"/>
                      <w:right w:val="single" w:sz="6" w:space="0" w:color="auto"/>
                    </w:tcBorders>
                    <w:vAlign w:val="center"/>
                  </w:tcPr>
                  <w:p w14:paraId="50AF49A7" w14:textId="77777777" w:rsidR="00830E72" w:rsidRDefault="008344D8">
                    <w:pPr>
                      <w:jc w:val="right"/>
                      <w:rPr>
                        <w:szCs w:val="21"/>
                      </w:rPr>
                    </w:pPr>
                    <w:r>
                      <w:rPr>
                        <w:rFonts w:hint="eastAsia"/>
                        <w:szCs w:val="21"/>
                      </w:rPr>
                      <w:t>7.71</w:t>
                    </w:r>
                  </w:p>
                </w:tc>
                <w:tc>
                  <w:tcPr>
                    <w:tcW w:w="759" w:type="pct"/>
                    <w:tcBorders>
                      <w:top w:val="single" w:sz="6" w:space="0" w:color="auto"/>
                      <w:left w:val="single" w:sz="6" w:space="0" w:color="auto"/>
                      <w:bottom w:val="single" w:sz="6" w:space="0" w:color="auto"/>
                      <w:right w:val="single" w:sz="6" w:space="0" w:color="auto"/>
                    </w:tcBorders>
                    <w:vAlign w:val="center"/>
                  </w:tcPr>
                  <w:p w14:paraId="6FA97B62" w14:textId="77777777" w:rsidR="00830E72" w:rsidRDefault="008344D8">
                    <w:pPr>
                      <w:jc w:val="right"/>
                      <w:rPr>
                        <w:szCs w:val="21"/>
                      </w:rPr>
                    </w:pPr>
                    <w:r>
                      <w:rPr>
                        <w:szCs w:val="21"/>
                      </w:rPr>
                      <w:t>900,000.00</w:t>
                    </w:r>
                  </w:p>
                </w:tc>
              </w:tr>
            </w:sdtContent>
          </w:sdt>
          <w:sdt>
            <w:sdtPr>
              <w:rPr>
                <w:rFonts w:hint="eastAsia"/>
                <w:szCs w:val="21"/>
              </w:rPr>
              <w:alias w:val="其他应收款欠款户"/>
              <w:tag w:val="_GBC_3912a12d540a40c8946b4121501bca53"/>
              <w:id w:val="1709992287"/>
              <w:lock w:val="sdtLocked"/>
              <w:placeholder>
                <w:docPart w:val="GBC11111111111111111111111111111"/>
              </w:placeholder>
            </w:sdtPr>
            <w:sdtEndPr/>
            <w:sdtContent>
              <w:tr w:rsidR="00830E72" w14:paraId="5D8AE89B" w14:textId="77777777">
                <w:trPr>
                  <w:cantSplit/>
                </w:trPr>
                <w:tc>
                  <w:tcPr>
                    <w:tcW w:w="1292" w:type="pct"/>
                    <w:tcBorders>
                      <w:top w:val="single" w:sz="6" w:space="0" w:color="auto"/>
                      <w:left w:val="single" w:sz="6" w:space="0" w:color="auto"/>
                      <w:bottom w:val="single" w:sz="6" w:space="0" w:color="auto"/>
                      <w:right w:val="single" w:sz="6" w:space="0" w:color="auto"/>
                    </w:tcBorders>
                    <w:vAlign w:val="center"/>
                  </w:tcPr>
                  <w:p w14:paraId="2015022B" w14:textId="77777777" w:rsidR="00830E72" w:rsidRDefault="008344D8">
                    <w:pPr>
                      <w:ind w:right="105"/>
                      <w:rPr>
                        <w:szCs w:val="21"/>
                      </w:rPr>
                    </w:pPr>
                    <w:r>
                      <w:rPr>
                        <w:rFonts w:hint="eastAsia"/>
                        <w:szCs w:val="21"/>
                      </w:rPr>
                      <w:t>泰富建设工程有限公司</w:t>
                    </w:r>
                  </w:p>
                </w:tc>
                <w:tc>
                  <w:tcPr>
                    <w:tcW w:w="717" w:type="pct"/>
                    <w:tcBorders>
                      <w:top w:val="single" w:sz="6" w:space="0" w:color="auto"/>
                      <w:left w:val="single" w:sz="6" w:space="0" w:color="auto"/>
                      <w:bottom w:val="single" w:sz="6" w:space="0" w:color="auto"/>
                      <w:right w:val="single" w:sz="6" w:space="0" w:color="auto"/>
                    </w:tcBorders>
                    <w:vAlign w:val="center"/>
                  </w:tcPr>
                  <w:p w14:paraId="61010216" w14:textId="77777777" w:rsidR="00830E72" w:rsidRDefault="008344D8">
                    <w:pPr>
                      <w:ind w:right="73"/>
                      <w:rPr>
                        <w:szCs w:val="21"/>
                      </w:rPr>
                    </w:pPr>
                    <w:r>
                      <w:rPr>
                        <w:rFonts w:hint="eastAsia"/>
                        <w:szCs w:val="21"/>
                      </w:rPr>
                      <w:t>履约保证金</w:t>
                    </w:r>
                  </w:p>
                </w:tc>
                <w:tc>
                  <w:tcPr>
                    <w:tcW w:w="876" w:type="pct"/>
                    <w:tcBorders>
                      <w:top w:val="single" w:sz="6" w:space="0" w:color="auto"/>
                      <w:left w:val="single" w:sz="6" w:space="0" w:color="auto"/>
                      <w:bottom w:val="single" w:sz="6" w:space="0" w:color="auto"/>
                      <w:right w:val="single" w:sz="6" w:space="0" w:color="auto"/>
                    </w:tcBorders>
                    <w:vAlign w:val="center"/>
                  </w:tcPr>
                  <w:p w14:paraId="7EB9F75B" w14:textId="77777777" w:rsidR="00830E72" w:rsidRDefault="008344D8">
                    <w:pPr>
                      <w:ind w:right="73"/>
                      <w:jc w:val="right"/>
                      <w:rPr>
                        <w:szCs w:val="21"/>
                      </w:rPr>
                    </w:pPr>
                    <w:r>
                      <w:rPr>
                        <w:szCs w:val="21"/>
                      </w:rPr>
                      <w:t>29,200,000.00</w:t>
                    </w:r>
                  </w:p>
                </w:tc>
                <w:tc>
                  <w:tcPr>
                    <w:tcW w:w="558" w:type="pct"/>
                    <w:tcBorders>
                      <w:top w:val="single" w:sz="6" w:space="0" w:color="auto"/>
                      <w:left w:val="single" w:sz="6" w:space="0" w:color="auto"/>
                      <w:bottom w:val="single" w:sz="6" w:space="0" w:color="auto"/>
                      <w:right w:val="single" w:sz="6" w:space="0" w:color="auto"/>
                    </w:tcBorders>
                    <w:vAlign w:val="center"/>
                  </w:tcPr>
                  <w:p w14:paraId="3F535771" w14:textId="77777777" w:rsidR="00830E72" w:rsidRDefault="008344D8">
                    <w:pPr>
                      <w:ind w:right="73"/>
                      <w:jc w:val="center"/>
                      <w:rPr>
                        <w:szCs w:val="21"/>
                      </w:rPr>
                    </w:pPr>
                    <w:r>
                      <w:rPr>
                        <w:szCs w:val="21"/>
                      </w:rPr>
                      <w:t>2-4年</w:t>
                    </w:r>
                  </w:p>
                </w:tc>
                <w:tc>
                  <w:tcPr>
                    <w:tcW w:w="797" w:type="pct"/>
                    <w:tcBorders>
                      <w:top w:val="single" w:sz="6" w:space="0" w:color="auto"/>
                      <w:left w:val="single" w:sz="6" w:space="0" w:color="auto"/>
                      <w:bottom w:val="single" w:sz="6" w:space="0" w:color="auto"/>
                      <w:right w:val="single" w:sz="6" w:space="0" w:color="auto"/>
                    </w:tcBorders>
                    <w:vAlign w:val="center"/>
                  </w:tcPr>
                  <w:p w14:paraId="7B4E6DC7" w14:textId="77777777" w:rsidR="00830E72" w:rsidRDefault="008344D8">
                    <w:pPr>
                      <w:jc w:val="right"/>
                      <w:rPr>
                        <w:szCs w:val="21"/>
                      </w:rPr>
                    </w:pPr>
                    <w:r>
                      <w:rPr>
                        <w:rFonts w:hint="eastAsia"/>
                        <w:szCs w:val="21"/>
                      </w:rPr>
                      <w:t>7.50</w:t>
                    </w:r>
                  </w:p>
                </w:tc>
                <w:tc>
                  <w:tcPr>
                    <w:tcW w:w="759" w:type="pct"/>
                    <w:tcBorders>
                      <w:top w:val="single" w:sz="6" w:space="0" w:color="auto"/>
                      <w:left w:val="single" w:sz="6" w:space="0" w:color="auto"/>
                      <w:bottom w:val="single" w:sz="6" w:space="0" w:color="auto"/>
                      <w:right w:val="single" w:sz="6" w:space="0" w:color="auto"/>
                    </w:tcBorders>
                    <w:vAlign w:val="center"/>
                  </w:tcPr>
                  <w:p w14:paraId="0AD6626F" w14:textId="77777777" w:rsidR="00830E72" w:rsidRDefault="008344D8">
                    <w:pPr>
                      <w:jc w:val="right"/>
                      <w:rPr>
                        <w:szCs w:val="21"/>
                      </w:rPr>
                    </w:pPr>
                    <w:r>
                      <w:rPr>
                        <w:szCs w:val="21"/>
                      </w:rPr>
                      <w:t>876,000.00</w:t>
                    </w:r>
                  </w:p>
                </w:tc>
              </w:tr>
            </w:sdtContent>
          </w:sdt>
          <w:sdt>
            <w:sdtPr>
              <w:rPr>
                <w:rFonts w:hint="eastAsia"/>
                <w:szCs w:val="21"/>
              </w:rPr>
              <w:alias w:val="其他应收款欠款户"/>
              <w:tag w:val="_GBC_3912a12d540a40c8946b4121501bca53"/>
              <w:id w:val="1742290245"/>
              <w:lock w:val="sdtLocked"/>
              <w:placeholder>
                <w:docPart w:val="GBC11111111111111111111111111111"/>
              </w:placeholder>
            </w:sdtPr>
            <w:sdtEndPr/>
            <w:sdtContent>
              <w:tr w:rsidR="00830E72" w14:paraId="7BF54F11" w14:textId="77777777">
                <w:trPr>
                  <w:cantSplit/>
                </w:trPr>
                <w:tc>
                  <w:tcPr>
                    <w:tcW w:w="1292" w:type="pct"/>
                    <w:tcBorders>
                      <w:top w:val="single" w:sz="6" w:space="0" w:color="auto"/>
                      <w:left w:val="single" w:sz="6" w:space="0" w:color="auto"/>
                      <w:bottom w:val="single" w:sz="6" w:space="0" w:color="auto"/>
                      <w:right w:val="single" w:sz="6" w:space="0" w:color="auto"/>
                    </w:tcBorders>
                    <w:vAlign w:val="center"/>
                  </w:tcPr>
                  <w:p w14:paraId="350A6990" w14:textId="77777777" w:rsidR="00830E72" w:rsidRDefault="008344D8">
                    <w:pPr>
                      <w:ind w:right="105"/>
                      <w:rPr>
                        <w:szCs w:val="21"/>
                      </w:rPr>
                    </w:pPr>
                    <w:r>
                      <w:rPr>
                        <w:rFonts w:hint="eastAsia"/>
                        <w:szCs w:val="21"/>
                      </w:rPr>
                      <w:t>杭州市市政工程集团有限公司</w:t>
                    </w:r>
                  </w:p>
                </w:tc>
                <w:tc>
                  <w:tcPr>
                    <w:tcW w:w="717" w:type="pct"/>
                    <w:tcBorders>
                      <w:top w:val="single" w:sz="6" w:space="0" w:color="auto"/>
                      <w:left w:val="single" w:sz="6" w:space="0" w:color="auto"/>
                      <w:bottom w:val="single" w:sz="6" w:space="0" w:color="auto"/>
                      <w:right w:val="single" w:sz="6" w:space="0" w:color="auto"/>
                    </w:tcBorders>
                    <w:vAlign w:val="center"/>
                  </w:tcPr>
                  <w:p w14:paraId="6B807853" w14:textId="77777777" w:rsidR="00830E72" w:rsidRDefault="008344D8">
                    <w:pPr>
                      <w:ind w:right="73"/>
                      <w:rPr>
                        <w:szCs w:val="21"/>
                      </w:rPr>
                    </w:pPr>
                    <w:r>
                      <w:rPr>
                        <w:rFonts w:hint="eastAsia"/>
                        <w:szCs w:val="21"/>
                      </w:rPr>
                      <w:t>股权</w:t>
                    </w:r>
                    <w:proofErr w:type="gramStart"/>
                    <w:r>
                      <w:rPr>
                        <w:rFonts w:hint="eastAsia"/>
                        <w:szCs w:val="21"/>
                      </w:rPr>
                      <w:t>意向金</w:t>
                    </w:r>
                    <w:proofErr w:type="gramEnd"/>
                  </w:p>
                </w:tc>
                <w:tc>
                  <w:tcPr>
                    <w:tcW w:w="876" w:type="pct"/>
                    <w:tcBorders>
                      <w:top w:val="single" w:sz="6" w:space="0" w:color="auto"/>
                      <w:left w:val="single" w:sz="6" w:space="0" w:color="auto"/>
                      <w:bottom w:val="single" w:sz="6" w:space="0" w:color="auto"/>
                      <w:right w:val="single" w:sz="6" w:space="0" w:color="auto"/>
                    </w:tcBorders>
                    <w:vAlign w:val="center"/>
                  </w:tcPr>
                  <w:p w14:paraId="3A94FF24" w14:textId="77777777" w:rsidR="00830E72" w:rsidRDefault="008344D8">
                    <w:pPr>
                      <w:ind w:right="73"/>
                      <w:jc w:val="right"/>
                      <w:rPr>
                        <w:szCs w:val="21"/>
                      </w:rPr>
                    </w:pPr>
                    <w:r>
                      <w:rPr>
                        <w:szCs w:val="21"/>
                      </w:rPr>
                      <w:t>20,000,000.00</w:t>
                    </w:r>
                  </w:p>
                </w:tc>
                <w:tc>
                  <w:tcPr>
                    <w:tcW w:w="558" w:type="pct"/>
                    <w:tcBorders>
                      <w:top w:val="single" w:sz="6" w:space="0" w:color="auto"/>
                      <w:left w:val="single" w:sz="6" w:space="0" w:color="auto"/>
                      <w:bottom w:val="single" w:sz="6" w:space="0" w:color="auto"/>
                      <w:right w:val="single" w:sz="6" w:space="0" w:color="auto"/>
                    </w:tcBorders>
                    <w:vAlign w:val="center"/>
                  </w:tcPr>
                  <w:p w14:paraId="010CCCA4" w14:textId="77777777" w:rsidR="00830E72" w:rsidRDefault="008344D8">
                    <w:pPr>
                      <w:ind w:right="73"/>
                      <w:jc w:val="center"/>
                      <w:rPr>
                        <w:szCs w:val="21"/>
                      </w:rPr>
                    </w:pPr>
                    <w:r>
                      <w:rPr>
                        <w:szCs w:val="21"/>
                      </w:rPr>
                      <w:t>1年以内</w:t>
                    </w:r>
                  </w:p>
                </w:tc>
                <w:tc>
                  <w:tcPr>
                    <w:tcW w:w="797" w:type="pct"/>
                    <w:tcBorders>
                      <w:top w:val="single" w:sz="6" w:space="0" w:color="auto"/>
                      <w:left w:val="single" w:sz="6" w:space="0" w:color="auto"/>
                      <w:bottom w:val="single" w:sz="6" w:space="0" w:color="auto"/>
                      <w:right w:val="single" w:sz="6" w:space="0" w:color="auto"/>
                    </w:tcBorders>
                    <w:vAlign w:val="center"/>
                  </w:tcPr>
                  <w:p w14:paraId="63136AC5" w14:textId="77777777" w:rsidR="00830E72" w:rsidRDefault="008344D8">
                    <w:pPr>
                      <w:jc w:val="right"/>
                      <w:rPr>
                        <w:szCs w:val="21"/>
                      </w:rPr>
                    </w:pPr>
                    <w:r>
                      <w:rPr>
                        <w:rFonts w:hint="eastAsia"/>
                        <w:szCs w:val="21"/>
                      </w:rPr>
                      <w:t>5.14</w:t>
                    </w:r>
                  </w:p>
                </w:tc>
                <w:tc>
                  <w:tcPr>
                    <w:tcW w:w="759" w:type="pct"/>
                    <w:tcBorders>
                      <w:top w:val="single" w:sz="6" w:space="0" w:color="auto"/>
                      <w:left w:val="single" w:sz="6" w:space="0" w:color="auto"/>
                      <w:bottom w:val="single" w:sz="6" w:space="0" w:color="auto"/>
                      <w:right w:val="single" w:sz="6" w:space="0" w:color="auto"/>
                    </w:tcBorders>
                    <w:vAlign w:val="center"/>
                  </w:tcPr>
                  <w:p w14:paraId="7AF3F46F" w14:textId="77777777" w:rsidR="00830E72" w:rsidRDefault="008344D8">
                    <w:pPr>
                      <w:jc w:val="right"/>
                      <w:rPr>
                        <w:szCs w:val="21"/>
                      </w:rPr>
                    </w:pPr>
                    <w:r>
                      <w:rPr>
                        <w:szCs w:val="21"/>
                      </w:rPr>
                      <w:t>600,000.00</w:t>
                    </w:r>
                  </w:p>
                </w:tc>
              </w:tr>
            </w:sdtContent>
          </w:sdt>
          <w:sdt>
            <w:sdtPr>
              <w:rPr>
                <w:rFonts w:hint="eastAsia"/>
                <w:szCs w:val="21"/>
              </w:rPr>
              <w:alias w:val="其他应收款欠款户"/>
              <w:tag w:val="_GBC_3912a12d540a40c8946b4121501bca53"/>
              <w:id w:val="423240510"/>
              <w:lock w:val="sdtLocked"/>
              <w:placeholder>
                <w:docPart w:val="GBC11111111111111111111111111111"/>
              </w:placeholder>
            </w:sdtPr>
            <w:sdtEndPr/>
            <w:sdtContent>
              <w:tr w:rsidR="00830E72" w14:paraId="48C8A3C6" w14:textId="77777777">
                <w:trPr>
                  <w:cantSplit/>
                </w:trPr>
                <w:tc>
                  <w:tcPr>
                    <w:tcW w:w="1292" w:type="pct"/>
                    <w:tcBorders>
                      <w:top w:val="single" w:sz="6" w:space="0" w:color="auto"/>
                      <w:left w:val="single" w:sz="6" w:space="0" w:color="auto"/>
                      <w:bottom w:val="single" w:sz="6" w:space="0" w:color="auto"/>
                      <w:right w:val="single" w:sz="6" w:space="0" w:color="auto"/>
                    </w:tcBorders>
                    <w:vAlign w:val="center"/>
                  </w:tcPr>
                  <w:p w14:paraId="0CE72C0D" w14:textId="77777777" w:rsidR="00830E72" w:rsidRDefault="008344D8">
                    <w:pPr>
                      <w:ind w:right="105"/>
                      <w:rPr>
                        <w:szCs w:val="21"/>
                      </w:rPr>
                    </w:pPr>
                    <w:r>
                      <w:rPr>
                        <w:rFonts w:hint="eastAsia"/>
                        <w:szCs w:val="21"/>
                      </w:rPr>
                      <w:t>河北建设集团股份有限公司南京分公司</w:t>
                    </w:r>
                  </w:p>
                </w:tc>
                <w:tc>
                  <w:tcPr>
                    <w:tcW w:w="717" w:type="pct"/>
                    <w:tcBorders>
                      <w:top w:val="single" w:sz="6" w:space="0" w:color="auto"/>
                      <w:left w:val="single" w:sz="6" w:space="0" w:color="auto"/>
                      <w:bottom w:val="single" w:sz="6" w:space="0" w:color="auto"/>
                      <w:right w:val="single" w:sz="6" w:space="0" w:color="auto"/>
                    </w:tcBorders>
                    <w:vAlign w:val="center"/>
                  </w:tcPr>
                  <w:p w14:paraId="1B919F5B" w14:textId="77777777" w:rsidR="00830E72" w:rsidRDefault="008344D8">
                    <w:pPr>
                      <w:ind w:right="73"/>
                      <w:rPr>
                        <w:szCs w:val="21"/>
                      </w:rPr>
                    </w:pPr>
                    <w:r>
                      <w:rPr>
                        <w:rFonts w:hint="eastAsia"/>
                        <w:szCs w:val="21"/>
                      </w:rPr>
                      <w:t>往来款</w:t>
                    </w:r>
                  </w:p>
                </w:tc>
                <w:tc>
                  <w:tcPr>
                    <w:tcW w:w="876" w:type="pct"/>
                    <w:tcBorders>
                      <w:top w:val="single" w:sz="6" w:space="0" w:color="auto"/>
                      <w:left w:val="single" w:sz="6" w:space="0" w:color="auto"/>
                      <w:bottom w:val="single" w:sz="6" w:space="0" w:color="auto"/>
                      <w:right w:val="single" w:sz="6" w:space="0" w:color="auto"/>
                    </w:tcBorders>
                    <w:vAlign w:val="center"/>
                  </w:tcPr>
                  <w:p w14:paraId="3C9B151D" w14:textId="77777777" w:rsidR="00830E72" w:rsidRDefault="008344D8">
                    <w:pPr>
                      <w:ind w:right="73"/>
                      <w:jc w:val="right"/>
                      <w:rPr>
                        <w:szCs w:val="21"/>
                      </w:rPr>
                    </w:pPr>
                    <w:r>
                      <w:rPr>
                        <w:szCs w:val="21"/>
                      </w:rPr>
                      <w:t>16,780,000.00</w:t>
                    </w:r>
                  </w:p>
                </w:tc>
                <w:tc>
                  <w:tcPr>
                    <w:tcW w:w="558" w:type="pct"/>
                    <w:tcBorders>
                      <w:top w:val="single" w:sz="6" w:space="0" w:color="auto"/>
                      <w:left w:val="single" w:sz="6" w:space="0" w:color="auto"/>
                      <w:bottom w:val="single" w:sz="6" w:space="0" w:color="auto"/>
                      <w:right w:val="single" w:sz="6" w:space="0" w:color="auto"/>
                    </w:tcBorders>
                    <w:vAlign w:val="center"/>
                  </w:tcPr>
                  <w:p w14:paraId="2485D613" w14:textId="77777777" w:rsidR="00830E72" w:rsidRDefault="008344D8">
                    <w:pPr>
                      <w:tabs>
                        <w:tab w:val="left" w:pos="679"/>
                      </w:tabs>
                      <w:jc w:val="center"/>
                      <w:rPr>
                        <w:szCs w:val="21"/>
                      </w:rPr>
                    </w:pPr>
                    <w:r>
                      <w:rPr>
                        <w:szCs w:val="21"/>
                      </w:rPr>
                      <w:t>2年以内</w:t>
                    </w:r>
                  </w:p>
                </w:tc>
                <w:tc>
                  <w:tcPr>
                    <w:tcW w:w="797" w:type="pct"/>
                    <w:tcBorders>
                      <w:top w:val="single" w:sz="6" w:space="0" w:color="auto"/>
                      <w:left w:val="single" w:sz="6" w:space="0" w:color="auto"/>
                      <w:bottom w:val="single" w:sz="6" w:space="0" w:color="auto"/>
                      <w:right w:val="single" w:sz="6" w:space="0" w:color="auto"/>
                    </w:tcBorders>
                    <w:vAlign w:val="center"/>
                  </w:tcPr>
                  <w:p w14:paraId="3D7256E4" w14:textId="77777777" w:rsidR="00830E72" w:rsidRDefault="008344D8">
                    <w:pPr>
                      <w:jc w:val="right"/>
                      <w:rPr>
                        <w:szCs w:val="21"/>
                      </w:rPr>
                    </w:pPr>
                    <w:r>
                      <w:rPr>
                        <w:rFonts w:hint="eastAsia"/>
                        <w:szCs w:val="21"/>
                      </w:rPr>
                      <w:t>4.31</w:t>
                    </w:r>
                  </w:p>
                </w:tc>
                <w:tc>
                  <w:tcPr>
                    <w:tcW w:w="759" w:type="pct"/>
                    <w:tcBorders>
                      <w:top w:val="single" w:sz="6" w:space="0" w:color="auto"/>
                      <w:left w:val="single" w:sz="6" w:space="0" w:color="auto"/>
                      <w:bottom w:val="single" w:sz="6" w:space="0" w:color="auto"/>
                      <w:right w:val="single" w:sz="6" w:space="0" w:color="auto"/>
                    </w:tcBorders>
                    <w:vAlign w:val="center"/>
                  </w:tcPr>
                  <w:p w14:paraId="667C4750" w14:textId="77777777" w:rsidR="00830E72" w:rsidRDefault="008344D8">
                    <w:pPr>
                      <w:jc w:val="right"/>
                      <w:rPr>
                        <w:szCs w:val="21"/>
                      </w:rPr>
                    </w:pPr>
                    <w:r>
                      <w:rPr>
                        <w:szCs w:val="21"/>
                      </w:rPr>
                      <w:t>503,400.00</w:t>
                    </w:r>
                  </w:p>
                </w:tc>
              </w:tr>
            </w:sdtContent>
          </w:sdt>
          <w:tr w:rsidR="00830E72" w14:paraId="0363A170" w14:textId="77777777">
            <w:trPr>
              <w:cantSplit/>
            </w:trPr>
            <w:sdt>
              <w:sdtPr>
                <w:tag w:val="_PLD_4b94fa57164840a68859b565c2ebabb5"/>
                <w:id w:val="92144362"/>
                <w:lock w:val="sdtLocked"/>
              </w:sdtPr>
              <w:sdtEndPr/>
              <w:sdtContent>
                <w:tc>
                  <w:tcPr>
                    <w:tcW w:w="1292" w:type="pct"/>
                    <w:tcBorders>
                      <w:top w:val="single" w:sz="6" w:space="0" w:color="auto"/>
                      <w:left w:val="single" w:sz="6" w:space="0" w:color="auto"/>
                      <w:bottom w:val="single" w:sz="6" w:space="0" w:color="auto"/>
                      <w:right w:val="single" w:sz="6" w:space="0" w:color="auto"/>
                    </w:tcBorders>
                    <w:vAlign w:val="center"/>
                  </w:tcPr>
                  <w:p w14:paraId="543FC95B" w14:textId="77777777" w:rsidR="00830E72" w:rsidRDefault="008344D8">
                    <w:pPr>
                      <w:ind w:right="105"/>
                      <w:jc w:val="center"/>
                      <w:rPr>
                        <w:szCs w:val="21"/>
                      </w:rPr>
                    </w:pPr>
                    <w:r>
                      <w:rPr>
                        <w:rFonts w:hint="eastAsia"/>
                        <w:szCs w:val="21"/>
                      </w:rPr>
                      <w:t>合计</w:t>
                    </w:r>
                  </w:p>
                </w:tc>
              </w:sdtContent>
            </w:sdt>
            <w:tc>
              <w:tcPr>
                <w:tcW w:w="717" w:type="pct"/>
                <w:tcBorders>
                  <w:top w:val="single" w:sz="6" w:space="0" w:color="auto"/>
                  <w:left w:val="single" w:sz="6" w:space="0" w:color="auto"/>
                  <w:bottom w:val="single" w:sz="6" w:space="0" w:color="auto"/>
                  <w:right w:val="single" w:sz="6" w:space="0" w:color="auto"/>
                </w:tcBorders>
                <w:vAlign w:val="center"/>
              </w:tcPr>
              <w:p w14:paraId="2E1C8D83" w14:textId="77777777" w:rsidR="00830E72" w:rsidRDefault="008344D8">
                <w:pPr>
                  <w:ind w:right="73"/>
                  <w:jc w:val="center"/>
                  <w:rPr>
                    <w:szCs w:val="21"/>
                  </w:rPr>
                </w:pPr>
                <w:r>
                  <w:rPr>
                    <w:szCs w:val="21"/>
                  </w:rPr>
                  <w:t>/</w:t>
                </w:r>
              </w:p>
            </w:tc>
            <w:tc>
              <w:tcPr>
                <w:tcW w:w="876" w:type="pct"/>
                <w:tcBorders>
                  <w:top w:val="single" w:sz="6" w:space="0" w:color="auto"/>
                  <w:left w:val="single" w:sz="6" w:space="0" w:color="auto"/>
                  <w:bottom w:val="single" w:sz="6" w:space="0" w:color="auto"/>
                  <w:right w:val="single" w:sz="6" w:space="0" w:color="auto"/>
                </w:tcBorders>
                <w:vAlign w:val="center"/>
              </w:tcPr>
              <w:p w14:paraId="186DB22F" w14:textId="77777777" w:rsidR="00830E72" w:rsidRDefault="008344D8">
                <w:pPr>
                  <w:ind w:right="73"/>
                  <w:jc w:val="right"/>
                  <w:rPr>
                    <w:szCs w:val="21"/>
                  </w:rPr>
                </w:pPr>
                <w:r>
                  <w:rPr>
                    <w:szCs w:val="21"/>
                  </w:rPr>
                  <w:t>145,980,000.00</w:t>
                </w:r>
              </w:p>
            </w:tc>
            <w:tc>
              <w:tcPr>
                <w:tcW w:w="558" w:type="pct"/>
                <w:tcBorders>
                  <w:top w:val="single" w:sz="6" w:space="0" w:color="auto"/>
                  <w:left w:val="single" w:sz="6" w:space="0" w:color="auto"/>
                  <w:bottom w:val="single" w:sz="6" w:space="0" w:color="auto"/>
                  <w:right w:val="single" w:sz="6" w:space="0" w:color="auto"/>
                </w:tcBorders>
                <w:vAlign w:val="center"/>
              </w:tcPr>
              <w:p w14:paraId="43597583" w14:textId="77777777" w:rsidR="00830E72" w:rsidRDefault="008344D8">
                <w:pPr>
                  <w:ind w:right="73"/>
                  <w:jc w:val="center"/>
                  <w:rPr>
                    <w:szCs w:val="21"/>
                  </w:rPr>
                </w:pPr>
                <w:r>
                  <w:rPr>
                    <w:szCs w:val="21"/>
                  </w:rPr>
                  <w:t>/</w:t>
                </w:r>
              </w:p>
            </w:tc>
            <w:tc>
              <w:tcPr>
                <w:tcW w:w="797" w:type="pct"/>
                <w:tcBorders>
                  <w:top w:val="single" w:sz="6" w:space="0" w:color="auto"/>
                  <w:left w:val="single" w:sz="6" w:space="0" w:color="auto"/>
                  <w:bottom w:val="single" w:sz="6" w:space="0" w:color="auto"/>
                  <w:right w:val="single" w:sz="6" w:space="0" w:color="auto"/>
                </w:tcBorders>
                <w:vAlign w:val="center"/>
              </w:tcPr>
              <w:p w14:paraId="59FE0485" w14:textId="77777777" w:rsidR="00830E72" w:rsidRDefault="008344D8">
                <w:pPr>
                  <w:jc w:val="right"/>
                  <w:rPr>
                    <w:szCs w:val="21"/>
                  </w:rPr>
                </w:pPr>
                <w:r>
                  <w:rPr>
                    <w:rFonts w:hint="eastAsia"/>
                    <w:szCs w:val="21"/>
                  </w:rPr>
                  <w:t>37.51</w:t>
                </w:r>
              </w:p>
            </w:tc>
            <w:tc>
              <w:tcPr>
                <w:tcW w:w="759" w:type="pct"/>
                <w:tcBorders>
                  <w:top w:val="single" w:sz="6" w:space="0" w:color="auto"/>
                  <w:left w:val="single" w:sz="6" w:space="0" w:color="auto"/>
                  <w:bottom w:val="single" w:sz="6" w:space="0" w:color="auto"/>
                  <w:right w:val="single" w:sz="6" w:space="0" w:color="auto"/>
                </w:tcBorders>
                <w:vAlign w:val="center"/>
              </w:tcPr>
              <w:p w14:paraId="01004BAB" w14:textId="77777777" w:rsidR="00830E72" w:rsidRDefault="008344D8">
                <w:pPr>
                  <w:jc w:val="right"/>
                  <w:rPr>
                    <w:szCs w:val="21"/>
                  </w:rPr>
                </w:pPr>
                <w:r>
                  <w:rPr>
                    <w:szCs w:val="21"/>
                  </w:rPr>
                  <w:t>4,379,400.00</w:t>
                </w:r>
              </w:p>
            </w:tc>
          </w:tr>
        </w:tbl>
      </w:sdtContent>
    </w:sdt>
    <w:p w14:paraId="2034EFA7" w14:textId="77777777" w:rsidR="00830E72" w:rsidRDefault="00830E72">
      <w:pPr>
        <w:snapToGrid w:val="0"/>
        <w:spacing w:line="240" w:lineRule="atLeast"/>
      </w:pPr>
    </w:p>
    <w:sdt>
      <w:sdtPr>
        <w:rPr>
          <w:rFonts w:ascii="宋体" w:hAnsi="宋体" w:cs="宋体" w:hint="eastAsia"/>
          <w:b w:val="0"/>
          <w:bCs w:val="0"/>
          <w:kern w:val="0"/>
          <w:szCs w:val="24"/>
        </w:rPr>
        <w:alias w:val="模块:按应收金额确认的政府补助"/>
        <w:tag w:val="_GBC_52bd0b171cc64f85aa1100213c81523c"/>
        <w:id w:val="-223615194"/>
        <w:lock w:val="sdtLocked"/>
        <w:placeholder>
          <w:docPart w:val="GBC22222222222222222222222222222"/>
        </w:placeholder>
      </w:sdtPr>
      <w:sdtEndPr/>
      <w:sdtContent>
        <w:p w14:paraId="29DA8DDA" w14:textId="77777777" w:rsidR="00830E72" w:rsidRDefault="008344D8">
          <w:pPr>
            <w:pStyle w:val="Style100"/>
            <w:numPr>
              <w:ilvl w:val="3"/>
              <w:numId w:val="97"/>
            </w:numPr>
            <w:ind w:left="426" w:hanging="426"/>
            <w:rPr>
              <w:rFonts w:ascii="宋体" w:hAnsi="宋体"/>
            </w:rPr>
          </w:pPr>
          <w:r>
            <w:rPr>
              <w:rFonts w:ascii="宋体" w:hAnsi="宋体" w:hint="eastAsia"/>
            </w:rPr>
            <w:t>涉及政府补助的应收款项</w:t>
          </w:r>
        </w:p>
        <w:sdt>
          <w:sdtPr>
            <w:alias w:val="是否适用：母公司涉及政府补助的应收款项[双击切换]"/>
            <w:tag w:val="_GBC_42f77b49fc014baab239badfde6e4fcf"/>
            <w:id w:val="1557814555"/>
            <w:lock w:val="sdtContentLocked"/>
            <w:placeholder>
              <w:docPart w:val="GBC22222222222222222222222222222"/>
            </w:placeholder>
          </w:sdtPr>
          <w:sdtEndPr/>
          <w:sdtContent>
            <w:p w14:paraId="4080B6E1"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4F4AD4B" w14:textId="77777777" w:rsidR="00830E72" w:rsidRDefault="00D44830">
          <w:pPr>
            <w:snapToGrid w:val="0"/>
            <w:spacing w:line="240" w:lineRule="atLeast"/>
          </w:pPr>
        </w:p>
      </w:sdtContent>
    </w:sdt>
    <w:sdt>
      <w:sdtPr>
        <w:rPr>
          <w:rFonts w:ascii="宋体" w:hAnsi="宋体" w:cs="宋体"/>
          <w:b w:val="0"/>
          <w:bCs w:val="0"/>
          <w:kern w:val="0"/>
          <w:szCs w:val="24"/>
        </w:rPr>
        <w:alias w:val="模块:因金融资产转移而终止确认的其他应收款"/>
        <w:tag w:val="_GBC_338c72ace78c4ba79d60f19b8dbabe9a"/>
        <w:id w:val="740522431"/>
        <w:lock w:val="sdtLocked"/>
        <w:placeholder>
          <w:docPart w:val="GBC22222222222222222222222222222"/>
        </w:placeholder>
      </w:sdtPr>
      <w:sdtEndPr/>
      <w:sdtContent>
        <w:p w14:paraId="59A8E66B" w14:textId="77777777" w:rsidR="00830E72" w:rsidRDefault="008344D8">
          <w:pPr>
            <w:pStyle w:val="Style100"/>
            <w:numPr>
              <w:ilvl w:val="3"/>
              <w:numId w:val="97"/>
            </w:numPr>
            <w:ind w:left="426" w:hanging="426"/>
            <w:rPr>
              <w:rFonts w:ascii="宋体" w:hAnsi="宋体"/>
              <w:kern w:val="0"/>
            </w:rPr>
          </w:pPr>
          <w:r>
            <w:rPr>
              <w:rFonts w:ascii="宋体" w:hAnsi="宋体" w:hint="eastAsia"/>
              <w:kern w:val="0"/>
            </w:rPr>
            <w:t>因金融资产</w:t>
          </w:r>
          <w:r>
            <w:rPr>
              <w:rFonts w:ascii="宋体" w:hAnsi="宋体" w:hint="eastAsia"/>
            </w:rPr>
            <w:t>转移</w:t>
          </w:r>
          <w:r>
            <w:rPr>
              <w:rFonts w:ascii="宋体" w:hAnsi="宋体" w:hint="eastAsia"/>
              <w:kern w:val="0"/>
            </w:rPr>
            <w:t>而终止确认的其他应收款</w:t>
          </w:r>
        </w:p>
        <w:sdt>
          <w:sdtPr>
            <w:alias w:val="是否适用：母公司因金融资产转移而终止确认的其他应收款[双击切换]"/>
            <w:tag w:val="_GBC_1512780d2c254c8787e470194d450391"/>
            <w:id w:val="-163239133"/>
            <w:lock w:val="sdtContentLocked"/>
            <w:placeholder>
              <w:docPart w:val="GBC22222222222222222222222222222"/>
            </w:placeholder>
          </w:sdtPr>
          <w:sdtEndPr/>
          <w:sdtContent>
            <w:p w14:paraId="3F9C7E59"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1A7F040" w14:textId="77777777" w:rsidR="00830E72" w:rsidRDefault="00830E72">
      <w:pPr>
        <w:rPr>
          <w:szCs w:val="21"/>
        </w:rPr>
      </w:pPr>
    </w:p>
    <w:sdt>
      <w:sdtPr>
        <w:rPr>
          <w:rFonts w:ascii="宋体" w:hAnsi="宋体" w:cs="宋体" w:hint="eastAsia"/>
          <w:b w:val="0"/>
          <w:bCs w:val="0"/>
          <w:kern w:val="0"/>
          <w:szCs w:val="24"/>
        </w:rPr>
        <w:alias w:val="模块:转移其他应收款且继续涉入的，分项列示继续涉入形成的资产、负债..."/>
        <w:tag w:val="_GBC_86d729c7494a406ba4f51afb2c881955"/>
        <w:id w:val="1400791282"/>
        <w:lock w:val="sdtLocked"/>
        <w:placeholder>
          <w:docPart w:val="GBC22222222222222222222222222222"/>
        </w:placeholder>
      </w:sdtPr>
      <w:sdtEndPr/>
      <w:sdtContent>
        <w:p w14:paraId="52B8B1DF" w14:textId="77777777" w:rsidR="00830E72" w:rsidRDefault="008344D8">
          <w:pPr>
            <w:pStyle w:val="Style100"/>
            <w:numPr>
              <w:ilvl w:val="3"/>
              <w:numId w:val="97"/>
            </w:numPr>
            <w:ind w:left="426" w:hanging="426"/>
            <w:rPr>
              <w:rFonts w:ascii="宋体" w:hAnsi="宋体"/>
              <w:kern w:val="0"/>
            </w:rPr>
          </w:pPr>
          <w:r>
            <w:rPr>
              <w:rFonts w:ascii="宋体" w:hAnsi="宋体" w:hint="eastAsia"/>
              <w:kern w:val="0"/>
            </w:rPr>
            <w:t>转移其他</w:t>
          </w:r>
          <w:proofErr w:type="gramStart"/>
          <w:r>
            <w:rPr>
              <w:rFonts w:ascii="宋体" w:hAnsi="宋体" w:hint="eastAsia"/>
              <w:kern w:val="0"/>
            </w:rPr>
            <w:t>应收款且继续</w:t>
          </w:r>
          <w:proofErr w:type="gramEnd"/>
          <w:r>
            <w:rPr>
              <w:rFonts w:ascii="宋体" w:hAnsi="宋体" w:hint="eastAsia"/>
              <w:kern w:val="0"/>
            </w:rPr>
            <w:t>涉</w:t>
          </w:r>
          <w:proofErr w:type="gramStart"/>
          <w:r>
            <w:rPr>
              <w:rFonts w:ascii="宋体" w:hAnsi="宋体" w:hint="eastAsia"/>
              <w:kern w:val="0"/>
            </w:rPr>
            <w:t>入形成</w:t>
          </w:r>
          <w:proofErr w:type="gramEnd"/>
          <w:r>
            <w:rPr>
              <w:rFonts w:ascii="宋体" w:hAnsi="宋体" w:hint="eastAsia"/>
              <w:kern w:val="0"/>
            </w:rPr>
            <w:t>的资产、负债金额</w:t>
          </w:r>
        </w:p>
        <w:sdt>
          <w:sdtPr>
            <w:alias w:val="是否适用：母公司转移其他应收款且继续涉入形成的资产、负债金额[双击切换]"/>
            <w:tag w:val="_GBC_bab484b2a177457b977e28c0385a5b58"/>
            <w:id w:val="-1764602117"/>
            <w:lock w:val="sdtContentLocked"/>
            <w:placeholder>
              <w:docPart w:val="GBC22222222222222222222222222222"/>
            </w:placeholder>
          </w:sdtPr>
          <w:sdtEndPr/>
          <w:sdtContent>
            <w:p w14:paraId="128CA423"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其他应收款其他说明"/>
        <w:tag w:val="_GBC_4b6cd384bee54ff79269fa4457c70d49"/>
        <w:id w:val="-84764828"/>
        <w:lock w:val="sdtLocked"/>
        <w:placeholder>
          <w:docPart w:val="GBC22222222222222222222222222222"/>
        </w:placeholder>
      </w:sdtPr>
      <w:sdtEndPr>
        <w:rPr>
          <w:b w:val="0"/>
          <w:bCs w:val="0"/>
        </w:rPr>
      </w:sdtEndPr>
      <w:sdtContent>
        <w:p w14:paraId="38818A50" w14:textId="77777777" w:rsidR="00830E72" w:rsidRDefault="008344D8">
          <w:r>
            <w:rPr>
              <w:rFonts w:hint="eastAsia"/>
            </w:rPr>
            <w:t>其他</w:t>
          </w:r>
          <w:r>
            <w:t>说明：</w:t>
          </w:r>
        </w:p>
        <w:sdt>
          <w:sdtPr>
            <w:alias w:val="是否适用：母公司其他应收款的其他说明[双击切换]"/>
            <w:tag w:val="_GBC_2e0f632cbc7d4916b89bf8824f4b71f0"/>
            <w:id w:val="-779185343"/>
            <w:lock w:val="sdtContentLocked"/>
            <w:placeholder>
              <w:docPart w:val="GBC22222222222222222222222222222"/>
            </w:placeholder>
          </w:sdtPr>
          <w:sdtEndPr/>
          <w:sdtContent>
            <w:p w14:paraId="5CA3F05C"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848D656" w14:textId="77777777" w:rsidR="00830E72" w:rsidRDefault="008344D8">
      <w:pPr>
        <w:pStyle w:val="Style99"/>
        <w:numPr>
          <w:ilvl w:val="0"/>
          <w:numId w:val="95"/>
        </w:numPr>
        <w:rPr>
          <w:rFonts w:ascii="宋体" w:hAnsi="宋体"/>
          <w:szCs w:val="21"/>
        </w:rPr>
      </w:pPr>
      <w:r>
        <w:rPr>
          <w:rFonts w:ascii="宋体" w:hAnsi="宋体" w:hint="eastAsia"/>
          <w:szCs w:val="21"/>
        </w:rPr>
        <w:t>长期股权投资</w:t>
      </w:r>
    </w:p>
    <w:sdt>
      <w:sdtPr>
        <w:alias w:val="是否适用：母公司长期股权投资[双击切换]"/>
        <w:tag w:val="_GBC_61071b9a58624e83bfc4232808751b95"/>
        <w:id w:val="-1263299923"/>
        <w:lock w:val="sdtContentLocked"/>
        <w:placeholder>
          <w:docPart w:val="GBC22222222222222222222222222222"/>
        </w:placeholder>
      </w:sdtPr>
      <w:sdtEndPr/>
      <w:sdtContent>
        <w:p w14:paraId="3D535DB6"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szCs w:val="21"/>
        </w:rPr>
        <w:alias w:val="模块:长期股权投资按成本法核算"/>
        <w:tag w:val="_GBC_e5163872166a4141a666e7eec5d9956c"/>
        <w:id w:val="1224956913"/>
        <w:lock w:val="sdtLocked"/>
        <w:placeholder>
          <w:docPart w:val="GBC22222222222222222222222222222"/>
        </w:placeholder>
      </w:sdtPr>
      <w:sdtEndPr>
        <w:rPr>
          <w:b w:val="0"/>
          <w:bCs w:val="0"/>
        </w:rPr>
      </w:sdtEndPr>
      <w:sdtContent>
        <w:p w14:paraId="423ED8FF" w14:textId="77777777" w:rsidR="00830E72" w:rsidRDefault="008344D8">
          <w:pPr>
            <w:jc w:val="right"/>
            <w:rPr>
              <w:szCs w:val="21"/>
            </w:rPr>
          </w:pPr>
          <w:r>
            <w:rPr>
              <w:rFonts w:hint="eastAsia"/>
              <w:szCs w:val="21"/>
            </w:rPr>
            <w:t>单位：</w:t>
          </w:r>
          <w:sdt>
            <w:sdtPr>
              <w:rPr>
                <w:rFonts w:hint="eastAsia"/>
                <w:szCs w:val="21"/>
              </w:rPr>
              <w:alias w:val="单位：母公司财务附注：长期股权投资"/>
              <w:tag w:val="_GBC_ee2c3454a2494dfca9c0a07bba82ed3d"/>
              <w:id w:val="15273618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4b4d1a2b986f475e8058a041d2f5a6f9"/>
              <w:id w:val="16919580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1705"/>
            <w:gridCol w:w="1532"/>
            <w:gridCol w:w="525"/>
            <w:gridCol w:w="1532"/>
            <w:gridCol w:w="1532"/>
            <w:gridCol w:w="537"/>
            <w:gridCol w:w="1532"/>
          </w:tblGrid>
          <w:tr w:rsidR="00830E72" w14:paraId="12B7EDC3" w14:textId="77777777">
            <w:trPr>
              <w:cantSplit/>
            </w:trPr>
            <w:sdt>
              <w:sdtPr>
                <w:tag w:val="_PLD_69c4a2f49545484e8b3a149f64c9d21f"/>
                <w:id w:val="-1274319498"/>
                <w:lock w:val="sdtLocked"/>
              </w:sdtPr>
              <w:sdtEndPr/>
              <w:sdtContent>
                <w:tc>
                  <w:tcPr>
                    <w:tcW w:w="959" w:type="pct"/>
                    <w:vMerge w:val="restart"/>
                    <w:shd w:val="clear" w:color="auto" w:fill="auto"/>
                    <w:vAlign w:val="center"/>
                  </w:tcPr>
                  <w:p w14:paraId="00178C3A" w14:textId="77777777" w:rsidR="00830E72" w:rsidRDefault="008344D8">
                    <w:pPr>
                      <w:jc w:val="center"/>
                    </w:pPr>
                    <w:r>
                      <w:rPr>
                        <w:rFonts w:hint="eastAsia"/>
                      </w:rPr>
                      <w:t>项目</w:t>
                    </w:r>
                  </w:p>
                </w:tc>
              </w:sdtContent>
            </w:sdt>
            <w:sdt>
              <w:sdtPr>
                <w:tag w:val="_PLD_f7d0566caa554c4c823029a05c5319eb"/>
                <w:id w:val="1132676315"/>
                <w:lock w:val="sdtLocked"/>
              </w:sdtPr>
              <w:sdtEndPr/>
              <w:sdtContent>
                <w:tc>
                  <w:tcPr>
                    <w:tcW w:w="2017" w:type="pct"/>
                    <w:gridSpan w:val="3"/>
                    <w:shd w:val="clear" w:color="auto" w:fill="auto"/>
                    <w:vAlign w:val="center"/>
                  </w:tcPr>
                  <w:p w14:paraId="226B3B87" w14:textId="77777777" w:rsidR="00830E72" w:rsidRDefault="008344D8">
                    <w:pPr>
                      <w:jc w:val="center"/>
                    </w:pPr>
                    <w:r>
                      <w:rPr>
                        <w:rFonts w:hint="eastAsia"/>
                      </w:rPr>
                      <w:t>期末余额</w:t>
                    </w:r>
                  </w:p>
                </w:tc>
              </w:sdtContent>
            </w:sdt>
            <w:sdt>
              <w:sdtPr>
                <w:tag w:val="_PLD_9d2cfae2492a49c2b441d1371a5e4673"/>
                <w:id w:val="1839962674"/>
                <w:lock w:val="sdtLocked"/>
              </w:sdtPr>
              <w:sdtEndPr/>
              <w:sdtContent>
                <w:tc>
                  <w:tcPr>
                    <w:tcW w:w="2024" w:type="pct"/>
                    <w:gridSpan w:val="3"/>
                    <w:shd w:val="clear" w:color="auto" w:fill="auto"/>
                    <w:vAlign w:val="center"/>
                  </w:tcPr>
                  <w:p w14:paraId="06D77534" w14:textId="77777777" w:rsidR="00830E72" w:rsidRDefault="008344D8">
                    <w:pPr>
                      <w:jc w:val="center"/>
                    </w:pPr>
                    <w:r>
                      <w:rPr>
                        <w:rFonts w:hint="eastAsia"/>
                      </w:rPr>
                      <w:t>期初余额</w:t>
                    </w:r>
                  </w:p>
                </w:tc>
              </w:sdtContent>
            </w:sdt>
          </w:tr>
          <w:tr w:rsidR="00830E72" w14:paraId="3424EA4D" w14:textId="77777777">
            <w:trPr>
              <w:cantSplit/>
            </w:trPr>
            <w:tc>
              <w:tcPr>
                <w:tcW w:w="959" w:type="pct"/>
                <w:vMerge/>
                <w:tcBorders>
                  <w:bottom w:val="single" w:sz="6" w:space="0" w:color="auto"/>
                </w:tcBorders>
                <w:shd w:val="clear" w:color="auto" w:fill="auto"/>
                <w:vAlign w:val="center"/>
              </w:tcPr>
              <w:p w14:paraId="35290936" w14:textId="77777777" w:rsidR="00830E72" w:rsidRDefault="00830E72">
                <w:pPr>
                  <w:jc w:val="center"/>
                </w:pPr>
              </w:p>
            </w:tc>
            <w:sdt>
              <w:sdtPr>
                <w:tag w:val="_PLD_9f664b17996c45f08a57544a9ec7e340"/>
                <w:id w:val="-1474748348"/>
                <w:lock w:val="sdtLocked"/>
              </w:sdtPr>
              <w:sdtEndPr/>
              <w:sdtContent>
                <w:tc>
                  <w:tcPr>
                    <w:tcW w:w="861" w:type="pct"/>
                    <w:tcBorders>
                      <w:bottom w:val="single" w:sz="6" w:space="0" w:color="auto"/>
                    </w:tcBorders>
                    <w:shd w:val="clear" w:color="auto" w:fill="auto"/>
                    <w:vAlign w:val="center"/>
                  </w:tcPr>
                  <w:p w14:paraId="02533F60" w14:textId="77777777" w:rsidR="00830E72" w:rsidRDefault="008344D8">
                    <w:pPr>
                      <w:jc w:val="center"/>
                    </w:pPr>
                    <w:r>
                      <w:rPr>
                        <w:rFonts w:hint="eastAsia"/>
                      </w:rPr>
                      <w:t>账面余额</w:t>
                    </w:r>
                  </w:p>
                </w:tc>
              </w:sdtContent>
            </w:sdt>
            <w:sdt>
              <w:sdtPr>
                <w:tag w:val="_PLD_5c150a7367994fc29e7f8b50d7ff2eab"/>
                <w:id w:val="959851235"/>
                <w:lock w:val="sdtLocked"/>
              </w:sdtPr>
              <w:sdtEndPr/>
              <w:sdtContent>
                <w:tc>
                  <w:tcPr>
                    <w:tcW w:w="295" w:type="pct"/>
                    <w:tcBorders>
                      <w:bottom w:val="single" w:sz="6" w:space="0" w:color="auto"/>
                    </w:tcBorders>
                    <w:shd w:val="clear" w:color="auto" w:fill="auto"/>
                    <w:vAlign w:val="center"/>
                  </w:tcPr>
                  <w:p w14:paraId="4EB308C9" w14:textId="77777777" w:rsidR="00830E72" w:rsidRDefault="008344D8">
                    <w:pPr>
                      <w:jc w:val="center"/>
                    </w:pPr>
                    <w:r>
                      <w:rPr>
                        <w:rFonts w:hint="eastAsia"/>
                      </w:rPr>
                      <w:t>减值准备</w:t>
                    </w:r>
                  </w:p>
                </w:tc>
              </w:sdtContent>
            </w:sdt>
            <w:sdt>
              <w:sdtPr>
                <w:tag w:val="_PLD_3db48da0eacd49568929884577dae51b"/>
                <w:id w:val="-73509322"/>
                <w:lock w:val="sdtLocked"/>
              </w:sdtPr>
              <w:sdtEndPr/>
              <w:sdtContent>
                <w:tc>
                  <w:tcPr>
                    <w:tcW w:w="861" w:type="pct"/>
                    <w:tcBorders>
                      <w:bottom w:val="single" w:sz="6" w:space="0" w:color="auto"/>
                    </w:tcBorders>
                    <w:shd w:val="clear" w:color="auto" w:fill="auto"/>
                    <w:vAlign w:val="center"/>
                  </w:tcPr>
                  <w:p w14:paraId="4564E8BA" w14:textId="77777777" w:rsidR="00830E72" w:rsidRDefault="008344D8">
                    <w:pPr>
                      <w:jc w:val="center"/>
                    </w:pPr>
                    <w:r>
                      <w:rPr>
                        <w:rFonts w:hint="eastAsia"/>
                      </w:rPr>
                      <w:t>账面价值</w:t>
                    </w:r>
                  </w:p>
                </w:tc>
              </w:sdtContent>
            </w:sdt>
            <w:sdt>
              <w:sdtPr>
                <w:tag w:val="_PLD_00d8a1d3b6754b52929b2c46a2e716c9"/>
                <w:id w:val="-169179477"/>
                <w:lock w:val="sdtLocked"/>
              </w:sdtPr>
              <w:sdtEndPr/>
              <w:sdtContent>
                <w:tc>
                  <w:tcPr>
                    <w:tcW w:w="861" w:type="pct"/>
                    <w:tcBorders>
                      <w:bottom w:val="single" w:sz="6" w:space="0" w:color="auto"/>
                    </w:tcBorders>
                    <w:shd w:val="clear" w:color="auto" w:fill="auto"/>
                    <w:vAlign w:val="center"/>
                  </w:tcPr>
                  <w:p w14:paraId="4B411304" w14:textId="77777777" w:rsidR="00830E72" w:rsidRDefault="008344D8">
                    <w:pPr>
                      <w:jc w:val="center"/>
                    </w:pPr>
                    <w:r>
                      <w:rPr>
                        <w:rFonts w:hint="eastAsia"/>
                      </w:rPr>
                      <w:t>账面余额</w:t>
                    </w:r>
                  </w:p>
                </w:tc>
              </w:sdtContent>
            </w:sdt>
            <w:sdt>
              <w:sdtPr>
                <w:tag w:val="_PLD_0f2c77fc41ea456bab34653dee178805"/>
                <w:id w:val="-36503038"/>
                <w:lock w:val="sdtLocked"/>
              </w:sdtPr>
              <w:sdtEndPr/>
              <w:sdtContent>
                <w:tc>
                  <w:tcPr>
                    <w:tcW w:w="302" w:type="pct"/>
                    <w:tcBorders>
                      <w:bottom w:val="single" w:sz="6" w:space="0" w:color="auto"/>
                    </w:tcBorders>
                    <w:shd w:val="clear" w:color="auto" w:fill="auto"/>
                    <w:vAlign w:val="center"/>
                  </w:tcPr>
                  <w:p w14:paraId="1A836C6D" w14:textId="77777777" w:rsidR="00830E72" w:rsidRDefault="008344D8">
                    <w:pPr>
                      <w:jc w:val="center"/>
                    </w:pPr>
                    <w:r>
                      <w:rPr>
                        <w:rFonts w:hint="eastAsia"/>
                      </w:rPr>
                      <w:t>减值准备</w:t>
                    </w:r>
                  </w:p>
                </w:tc>
              </w:sdtContent>
            </w:sdt>
            <w:sdt>
              <w:sdtPr>
                <w:tag w:val="_PLD_9ae07ed9769c419fa280d4c5ad3f03d7"/>
                <w:id w:val="-262533676"/>
                <w:lock w:val="sdtLocked"/>
              </w:sdtPr>
              <w:sdtEndPr/>
              <w:sdtContent>
                <w:tc>
                  <w:tcPr>
                    <w:tcW w:w="861" w:type="pct"/>
                    <w:tcBorders>
                      <w:bottom w:val="single" w:sz="6" w:space="0" w:color="auto"/>
                    </w:tcBorders>
                    <w:shd w:val="clear" w:color="auto" w:fill="auto"/>
                    <w:vAlign w:val="center"/>
                  </w:tcPr>
                  <w:p w14:paraId="3EE3619F" w14:textId="77777777" w:rsidR="00830E72" w:rsidRDefault="008344D8">
                    <w:pPr>
                      <w:jc w:val="center"/>
                    </w:pPr>
                    <w:r>
                      <w:rPr>
                        <w:rFonts w:hint="eastAsia"/>
                      </w:rPr>
                      <w:t>账面价值</w:t>
                    </w:r>
                  </w:p>
                </w:tc>
              </w:sdtContent>
            </w:sdt>
          </w:tr>
          <w:tr w:rsidR="00830E72" w14:paraId="36BD2075" w14:textId="77777777">
            <w:trPr>
              <w:cantSplit/>
            </w:trPr>
            <w:sdt>
              <w:sdtPr>
                <w:tag w:val="_PLD_b2ce03f2519c40d0a152124161e4337f"/>
                <w:id w:val="1954662865"/>
                <w:lock w:val="sdtLocked"/>
              </w:sdtPr>
              <w:sdtEndPr/>
              <w:sdtContent>
                <w:tc>
                  <w:tcPr>
                    <w:tcW w:w="959" w:type="pct"/>
                    <w:shd w:val="clear" w:color="auto" w:fill="auto"/>
                  </w:tcPr>
                  <w:p w14:paraId="073D6823" w14:textId="77777777" w:rsidR="00830E72" w:rsidRDefault="008344D8">
                    <w:r>
                      <w:rPr>
                        <w:rFonts w:hint="eastAsia"/>
                      </w:rPr>
                      <w:t>对子公司投资</w:t>
                    </w:r>
                  </w:p>
                </w:tc>
              </w:sdtContent>
            </w:sdt>
            <w:tc>
              <w:tcPr>
                <w:tcW w:w="861" w:type="pct"/>
                <w:shd w:val="clear" w:color="auto" w:fill="auto"/>
              </w:tcPr>
              <w:p w14:paraId="59D0CA39" w14:textId="77777777" w:rsidR="00830E72" w:rsidRDefault="008344D8">
                <w:pPr>
                  <w:jc w:val="right"/>
                </w:pPr>
                <w:r>
                  <w:t>462,808,811.17</w:t>
                </w:r>
              </w:p>
            </w:tc>
            <w:tc>
              <w:tcPr>
                <w:tcW w:w="295" w:type="pct"/>
                <w:shd w:val="clear" w:color="auto" w:fill="auto"/>
              </w:tcPr>
              <w:p w14:paraId="39EADFCC" w14:textId="77777777" w:rsidR="00830E72" w:rsidRDefault="00830E72">
                <w:pPr>
                  <w:jc w:val="right"/>
                </w:pPr>
              </w:p>
            </w:tc>
            <w:tc>
              <w:tcPr>
                <w:tcW w:w="861" w:type="pct"/>
                <w:shd w:val="clear" w:color="auto" w:fill="auto"/>
              </w:tcPr>
              <w:p w14:paraId="02986EF4" w14:textId="77777777" w:rsidR="00830E72" w:rsidRDefault="008344D8">
                <w:pPr>
                  <w:jc w:val="right"/>
                </w:pPr>
                <w:r>
                  <w:t>462,808,811.17</w:t>
                </w:r>
              </w:p>
            </w:tc>
            <w:tc>
              <w:tcPr>
                <w:tcW w:w="861" w:type="pct"/>
                <w:shd w:val="clear" w:color="auto" w:fill="auto"/>
              </w:tcPr>
              <w:p w14:paraId="2CE531F3" w14:textId="77777777" w:rsidR="00830E72" w:rsidRDefault="008344D8">
                <w:pPr>
                  <w:jc w:val="right"/>
                </w:pPr>
                <w:r>
                  <w:t>249,348,399.17</w:t>
                </w:r>
              </w:p>
            </w:tc>
            <w:tc>
              <w:tcPr>
                <w:tcW w:w="302" w:type="pct"/>
                <w:shd w:val="clear" w:color="auto" w:fill="auto"/>
              </w:tcPr>
              <w:p w14:paraId="6FBA10AB" w14:textId="77777777" w:rsidR="00830E72" w:rsidRDefault="00830E72">
                <w:pPr>
                  <w:jc w:val="right"/>
                </w:pPr>
              </w:p>
            </w:tc>
            <w:tc>
              <w:tcPr>
                <w:tcW w:w="861" w:type="pct"/>
                <w:shd w:val="clear" w:color="auto" w:fill="auto"/>
              </w:tcPr>
              <w:p w14:paraId="501E5559" w14:textId="77777777" w:rsidR="00830E72" w:rsidRDefault="008344D8">
                <w:pPr>
                  <w:jc w:val="right"/>
                </w:pPr>
                <w:r>
                  <w:t>249,348,399.17</w:t>
                </w:r>
              </w:p>
            </w:tc>
          </w:tr>
          <w:tr w:rsidR="00830E72" w14:paraId="1B14DFCD" w14:textId="77777777">
            <w:trPr>
              <w:cantSplit/>
            </w:trPr>
            <w:sdt>
              <w:sdtPr>
                <w:tag w:val="_PLD_5c8b8837c4fd4f29a39327cb72d5dcbf"/>
                <w:id w:val="1962987637"/>
                <w:lock w:val="sdtLocked"/>
              </w:sdtPr>
              <w:sdtEndPr/>
              <w:sdtContent>
                <w:tc>
                  <w:tcPr>
                    <w:tcW w:w="959" w:type="pct"/>
                    <w:shd w:val="clear" w:color="auto" w:fill="auto"/>
                    <w:vAlign w:val="center"/>
                  </w:tcPr>
                  <w:p w14:paraId="1092FC47" w14:textId="77777777" w:rsidR="00830E72" w:rsidRDefault="008344D8">
                    <w:pPr>
                      <w:jc w:val="center"/>
                    </w:pPr>
                    <w:r>
                      <w:rPr>
                        <w:rFonts w:hint="eastAsia"/>
                      </w:rPr>
                      <w:t>合计</w:t>
                    </w:r>
                  </w:p>
                </w:tc>
              </w:sdtContent>
            </w:sdt>
            <w:tc>
              <w:tcPr>
                <w:tcW w:w="861" w:type="pct"/>
                <w:shd w:val="clear" w:color="auto" w:fill="auto"/>
              </w:tcPr>
              <w:p w14:paraId="71E4E61D" w14:textId="77777777" w:rsidR="00830E72" w:rsidRDefault="008344D8">
                <w:pPr>
                  <w:jc w:val="right"/>
                </w:pPr>
                <w:r>
                  <w:t>462,808,811.17</w:t>
                </w:r>
              </w:p>
            </w:tc>
            <w:tc>
              <w:tcPr>
                <w:tcW w:w="295" w:type="pct"/>
                <w:shd w:val="clear" w:color="auto" w:fill="auto"/>
              </w:tcPr>
              <w:p w14:paraId="755CDAD2" w14:textId="77777777" w:rsidR="00830E72" w:rsidRDefault="00830E72">
                <w:pPr>
                  <w:jc w:val="right"/>
                </w:pPr>
              </w:p>
            </w:tc>
            <w:tc>
              <w:tcPr>
                <w:tcW w:w="861" w:type="pct"/>
                <w:shd w:val="clear" w:color="auto" w:fill="auto"/>
              </w:tcPr>
              <w:p w14:paraId="0643A6E6" w14:textId="77777777" w:rsidR="00830E72" w:rsidRDefault="008344D8">
                <w:pPr>
                  <w:jc w:val="right"/>
                </w:pPr>
                <w:r>
                  <w:t>462,808,811.17</w:t>
                </w:r>
              </w:p>
            </w:tc>
            <w:tc>
              <w:tcPr>
                <w:tcW w:w="861" w:type="pct"/>
                <w:shd w:val="clear" w:color="auto" w:fill="auto"/>
              </w:tcPr>
              <w:p w14:paraId="6C667BBA" w14:textId="77777777" w:rsidR="00830E72" w:rsidRDefault="008344D8">
                <w:pPr>
                  <w:jc w:val="right"/>
                </w:pPr>
                <w:r>
                  <w:t>249,348,399.17</w:t>
                </w:r>
              </w:p>
            </w:tc>
            <w:tc>
              <w:tcPr>
                <w:tcW w:w="302" w:type="pct"/>
                <w:shd w:val="clear" w:color="auto" w:fill="auto"/>
              </w:tcPr>
              <w:p w14:paraId="32A574EC" w14:textId="77777777" w:rsidR="00830E72" w:rsidRDefault="00830E72">
                <w:pPr>
                  <w:jc w:val="right"/>
                </w:pPr>
              </w:p>
            </w:tc>
            <w:tc>
              <w:tcPr>
                <w:tcW w:w="861" w:type="pct"/>
                <w:shd w:val="clear" w:color="auto" w:fill="auto"/>
              </w:tcPr>
              <w:p w14:paraId="1083605F" w14:textId="77777777" w:rsidR="00830E72" w:rsidRDefault="008344D8">
                <w:pPr>
                  <w:jc w:val="right"/>
                </w:pPr>
                <w:r>
                  <w:t>249,348,399.17</w:t>
                </w:r>
              </w:p>
            </w:tc>
          </w:tr>
        </w:tbl>
        <w:p w14:paraId="0ADA734C" w14:textId="77777777" w:rsidR="00830E72" w:rsidRDefault="00D44830">
          <w:pPr>
            <w:rPr>
              <w:szCs w:val="21"/>
            </w:rPr>
          </w:pPr>
        </w:p>
      </w:sdtContent>
    </w:sdt>
    <w:sdt>
      <w:sdtPr>
        <w:rPr>
          <w:rFonts w:ascii="宋体" w:hAnsi="宋体" w:cs="宋体" w:hint="eastAsia"/>
          <w:b w:val="0"/>
          <w:bCs w:val="0"/>
          <w:kern w:val="0"/>
          <w:szCs w:val="24"/>
        </w:rPr>
        <w:alias w:val="模块:对子公司投资"/>
        <w:tag w:val="_GBC_354d808d545e41aab5b25112222d90f9"/>
        <w:id w:val="-1953856303"/>
        <w:lock w:val="sdtLocked"/>
        <w:placeholder>
          <w:docPart w:val="GBC22222222222222222222222222222"/>
        </w:placeholder>
      </w:sdtPr>
      <w:sdtEndPr>
        <w:rPr>
          <w:szCs w:val="21"/>
        </w:rPr>
      </w:sdtEndPr>
      <w:sdtContent>
        <w:p w14:paraId="7985EA72" w14:textId="77777777" w:rsidR="00830E72" w:rsidRDefault="008344D8">
          <w:pPr>
            <w:pStyle w:val="Style100"/>
            <w:numPr>
              <w:ilvl w:val="0"/>
              <w:numId w:val="98"/>
            </w:numPr>
            <w:rPr>
              <w:rFonts w:ascii="宋体" w:hAnsi="宋体"/>
            </w:rPr>
          </w:pPr>
          <w:r>
            <w:rPr>
              <w:rFonts w:ascii="宋体" w:hAnsi="宋体" w:hint="eastAsia"/>
            </w:rPr>
            <w:t>对子公司投资</w:t>
          </w:r>
        </w:p>
        <w:sdt>
          <w:sdtPr>
            <w:alias w:val="是否适用：母公司对子公司投资[双击切换]"/>
            <w:tag w:val="_GBC_c52cee49247d42a9a79deabbd4c8635c"/>
            <w:id w:val="-1903978471"/>
            <w:lock w:val="sdtContentLocked"/>
            <w:placeholder>
              <w:docPart w:val="GBC22222222222222222222222222222"/>
            </w:placeholder>
          </w:sdtPr>
          <w:sdtEndPr/>
          <w:sdtContent>
            <w:p w14:paraId="21800E54"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8B26A2E" w14:textId="77777777" w:rsidR="00830E72" w:rsidRDefault="008344D8">
          <w:pPr>
            <w:jc w:val="right"/>
            <w:rPr>
              <w:szCs w:val="21"/>
            </w:rPr>
          </w:pPr>
          <w:r>
            <w:rPr>
              <w:rFonts w:hint="eastAsia"/>
              <w:szCs w:val="21"/>
            </w:rPr>
            <w:t>单位：</w:t>
          </w:r>
          <w:sdt>
            <w:sdtPr>
              <w:rPr>
                <w:rFonts w:hint="eastAsia"/>
                <w:szCs w:val="21"/>
              </w:rPr>
              <w:alias w:val="单位：母公司财务附注：对子公司投资"/>
              <w:tag w:val="_GBC_84c410d0b81f42e3adfddc3699487310"/>
              <w:id w:val="17812187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97fad72310ba4b849377b0e1cebf7303"/>
              <w:id w:val="-12417872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686"/>
            <w:gridCol w:w="1686"/>
            <w:gridCol w:w="846"/>
            <w:gridCol w:w="1686"/>
            <w:gridCol w:w="846"/>
            <w:gridCol w:w="846"/>
          </w:tblGrid>
          <w:tr w:rsidR="00830E72" w14:paraId="0245CA95" w14:textId="77777777">
            <w:sdt>
              <w:sdtPr>
                <w:tag w:val="_PLD_c6f1ebfed2274883870089cc90c0b5b3"/>
                <w:id w:val="712776877"/>
                <w:lock w:val="sdtLocked"/>
              </w:sdtPr>
              <w:sdtEndPr/>
              <w:sdtContent>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7FA0535A" w14:textId="77777777" w:rsidR="00830E72" w:rsidRDefault="008344D8">
                    <w:pPr>
                      <w:jc w:val="center"/>
                    </w:pPr>
                    <w:r>
                      <w:rPr>
                        <w:rFonts w:hint="eastAsia"/>
                      </w:rPr>
                      <w:t>被投资单位</w:t>
                    </w:r>
                  </w:p>
                </w:tc>
              </w:sdtContent>
            </w:sdt>
            <w:sdt>
              <w:sdtPr>
                <w:tag w:val="_PLD_c8b6275a3567432ba7b63d4485a9cce5"/>
                <w:id w:val="-301082918"/>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44AAB26F" w14:textId="77777777" w:rsidR="00830E72" w:rsidRDefault="008344D8">
                    <w:pPr>
                      <w:jc w:val="center"/>
                    </w:pPr>
                    <w:r>
                      <w:rPr>
                        <w:rFonts w:hint="eastAsia"/>
                      </w:rPr>
                      <w:t>期初余额</w:t>
                    </w:r>
                  </w:p>
                </w:tc>
              </w:sdtContent>
            </w:sdt>
            <w:sdt>
              <w:sdtPr>
                <w:tag w:val="_PLD_a192e1f764d54f39ad94a065019bc4f2"/>
                <w:id w:val="-1530325757"/>
                <w:lock w:val="sdtLocked"/>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638C2736" w14:textId="77777777" w:rsidR="00830E72" w:rsidRDefault="008344D8">
                    <w:pPr>
                      <w:jc w:val="center"/>
                    </w:pPr>
                    <w:r>
                      <w:rPr>
                        <w:rFonts w:hint="eastAsia"/>
                      </w:rPr>
                      <w:t>本期增加</w:t>
                    </w:r>
                  </w:p>
                </w:tc>
              </w:sdtContent>
            </w:sdt>
            <w:sdt>
              <w:sdtPr>
                <w:tag w:val="_PLD_3a74d3e1bc0e43debb3fdd0f1f6de769"/>
                <w:id w:val="-981381854"/>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12C9291F" w14:textId="77777777" w:rsidR="00830E72" w:rsidRDefault="008344D8">
                    <w:pPr>
                      <w:jc w:val="center"/>
                    </w:pPr>
                    <w:r>
                      <w:rPr>
                        <w:rFonts w:hint="eastAsia"/>
                      </w:rPr>
                      <w:t>本期减少</w:t>
                    </w:r>
                  </w:p>
                </w:tc>
              </w:sdtContent>
            </w:sdt>
            <w:sdt>
              <w:sdtPr>
                <w:tag w:val="_PLD_62acff2435cd434284a753ea8ebfa201"/>
                <w:id w:val="-1270928272"/>
                <w:lock w:val="sdtLocked"/>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4A3B5052" w14:textId="77777777" w:rsidR="00830E72" w:rsidRDefault="008344D8">
                    <w:pPr>
                      <w:jc w:val="center"/>
                    </w:pPr>
                    <w:r>
                      <w:rPr>
                        <w:rFonts w:hint="eastAsia"/>
                      </w:rPr>
                      <w:t>期末余额</w:t>
                    </w:r>
                  </w:p>
                </w:tc>
              </w:sdtContent>
            </w:sdt>
            <w:sdt>
              <w:sdtPr>
                <w:tag w:val="_PLD_67b1a9b1d215409ebb6ceb131ad5e8bf"/>
                <w:id w:val="-615986183"/>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60852D42" w14:textId="77777777" w:rsidR="00830E72" w:rsidRDefault="008344D8">
                    <w:pPr>
                      <w:jc w:val="center"/>
                      <w:rPr>
                        <w:szCs w:val="21"/>
                      </w:rPr>
                    </w:pPr>
                    <w:r>
                      <w:rPr>
                        <w:rFonts w:hint="eastAsia"/>
                      </w:rPr>
                      <w:t>本期计提减值准备</w:t>
                    </w:r>
                  </w:p>
                </w:tc>
              </w:sdtContent>
            </w:sdt>
            <w:sdt>
              <w:sdtPr>
                <w:tag w:val="_PLD_bfab2049a5684d7d922489b57382b080"/>
                <w:id w:val="-951858162"/>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70262426" w14:textId="77777777" w:rsidR="00830E72" w:rsidRDefault="008344D8">
                    <w:pPr>
                      <w:jc w:val="center"/>
                    </w:pPr>
                    <w:r>
                      <w:rPr>
                        <w:rFonts w:hint="eastAsia"/>
                      </w:rPr>
                      <w:t>减值准备期末余额</w:t>
                    </w:r>
                  </w:p>
                </w:tc>
              </w:sdtContent>
            </w:sdt>
          </w:tr>
          <w:sdt>
            <w:sdtPr>
              <w:alias w:val="长期股权投资明细"/>
              <w:tag w:val="_GBC_daf82e8df55d4ba9bf351c25fd5a63c2"/>
              <w:id w:val="-913155005"/>
              <w:lock w:val="sdtLocked"/>
            </w:sdtPr>
            <w:sdtEndPr/>
            <w:sdtContent>
              <w:tr w:rsidR="00830E72" w14:paraId="73C149D4" w14:textId="77777777">
                <w:tc>
                  <w:tcPr>
                    <w:tcW w:w="1002" w:type="pct"/>
                    <w:tcBorders>
                      <w:top w:val="single" w:sz="4" w:space="0" w:color="auto"/>
                      <w:left w:val="single" w:sz="4" w:space="0" w:color="auto"/>
                      <w:bottom w:val="single" w:sz="4" w:space="0" w:color="auto"/>
                      <w:right w:val="single" w:sz="4" w:space="0" w:color="auto"/>
                    </w:tcBorders>
                    <w:vAlign w:val="center"/>
                  </w:tcPr>
                  <w:p w14:paraId="4A796482" w14:textId="77777777" w:rsidR="00830E72" w:rsidRDefault="008344D8">
                    <w:r>
                      <w:rPr>
                        <w:rFonts w:hint="eastAsia"/>
                      </w:rPr>
                      <w:t>兴源路面</w:t>
                    </w:r>
                  </w:p>
                </w:tc>
                <w:tc>
                  <w:tcPr>
                    <w:tcW w:w="666" w:type="pct"/>
                    <w:tcBorders>
                      <w:top w:val="single" w:sz="4" w:space="0" w:color="auto"/>
                      <w:left w:val="single" w:sz="4" w:space="0" w:color="auto"/>
                      <w:bottom w:val="single" w:sz="4" w:space="0" w:color="auto"/>
                      <w:right w:val="single" w:sz="4" w:space="0" w:color="auto"/>
                    </w:tcBorders>
                  </w:tcPr>
                  <w:p w14:paraId="2E11B9C7" w14:textId="77777777" w:rsidR="00830E72" w:rsidRDefault="008344D8">
                    <w:pPr>
                      <w:jc w:val="right"/>
                    </w:pPr>
                    <w:r>
                      <w:t>15,260,000.00</w:t>
                    </w:r>
                  </w:p>
                </w:tc>
                <w:tc>
                  <w:tcPr>
                    <w:tcW w:w="667" w:type="pct"/>
                    <w:tcBorders>
                      <w:top w:val="single" w:sz="4" w:space="0" w:color="auto"/>
                      <w:left w:val="single" w:sz="4" w:space="0" w:color="auto"/>
                      <w:bottom w:val="single" w:sz="4" w:space="0" w:color="auto"/>
                      <w:right w:val="single" w:sz="4" w:space="0" w:color="auto"/>
                    </w:tcBorders>
                  </w:tcPr>
                  <w:p w14:paraId="7910DD02" w14:textId="77777777" w:rsidR="00830E72" w:rsidRDefault="00830E72">
                    <w:pPr>
                      <w:jc w:val="right"/>
                    </w:pPr>
                  </w:p>
                </w:tc>
                <w:tc>
                  <w:tcPr>
                    <w:tcW w:w="666" w:type="pct"/>
                    <w:tcBorders>
                      <w:top w:val="single" w:sz="4" w:space="0" w:color="auto"/>
                      <w:left w:val="single" w:sz="4" w:space="0" w:color="auto"/>
                      <w:bottom w:val="single" w:sz="4" w:space="0" w:color="auto"/>
                      <w:right w:val="single" w:sz="4" w:space="0" w:color="auto"/>
                    </w:tcBorders>
                  </w:tcPr>
                  <w:p w14:paraId="16FB8E24" w14:textId="77777777" w:rsidR="00830E72" w:rsidRDefault="00830E72">
                    <w:pPr>
                      <w:jc w:val="right"/>
                    </w:pPr>
                  </w:p>
                </w:tc>
                <w:tc>
                  <w:tcPr>
                    <w:tcW w:w="667" w:type="pct"/>
                    <w:tcBorders>
                      <w:top w:val="single" w:sz="4" w:space="0" w:color="auto"/>
                      <w:left w:val="single" w:sz="4" w:space="0" w:color="auto"/>
                      <w:bottom w:val="single" w:sz="4" w:space="0" w:color="auto"/>
                      <w:right w:val="single" w:sz="4" w:space="0" w:color="auto"/>
                    </w:tcBorders>
                  </w:tcPr>
                  <w:p w14:paraId="4B88AAA8" w14:textId="77777777" w:rsidR="00830E72" w:rsidRDefault="008344D8">
                    <w:r>
                      <w:t>15,260,000.00</w:t>
                    </w:r>
                  </w:p>
                </w:tc>
                <w:tc>
                  <w:tcPr>
                    <w:tcW w:w="666" w:type="pct"/>
                    <w:tcBorders>
                      <w:top w:val="single" w:sz="4" w:space="0" w:color="auto"/>
                      <w:left w:val="single" w:sz="4" w:space="0" w:color="auto"/>
                      <w:bottom w:val="single" w:sz="4" w:space="0" w:color="auto"/>
                      <w:right w:val="single" w:sz="4" w:space="0" w:color="auto"/>
                    </w:tcBorders>
                  </w:tcPr>
                  <w:p w14:paraId="5507D5FB" w14:textId="77777777" w:rsidR="00830E72" w:rsidRDefault="00830E72">
                    <w:pPr>
                      <w:jc w:val="right"/>
                    </w:pPr>
                  </w:p>
                </w:tc>
                <w:tc>
                  <w:tcPr>
                    <w:tcW w:w="666" w:type="pct"/>
                    <w:tcBorders>
                      <w:top w:val="single" w:sz="4" w:space="0" w:color="auto"/>
                      <w:left w:val="single" w:sz="4" w:space="0" w:color="auto"/>
                      <w:bottom w:val="single" w:sz="4" w:space="0" w:color="auto"/>
                      <w:right w:val="single" w:sz="4" w:space="0" w:color="auto"/>
                    </w:tcBorders>
                  </w:tcPr>
                  <w:p w14:paraId="28A8EE0E" w14:textId="77777777" w:rsidR="00830E72" w:rsidRDefault="00830E72">
                    <w:pPr>
                      <w:jc w:val="right"/>
                    </w:pPr>
                  </w:p>
                </w:tc>
              </w:tr>
            </w:sdtContent>
          </w:sdt>
          <w:sdt>
            <w:sdtPr>
              <w:alias w:val="长期股权投资明细"/>
              <w:tag w:val="_GBC_daf82e8df55d4ba9bf351c25fd5a63c2"/>
              <w:id w:val="-2111880391"/>
              <w:lock w:val="sdtLocked"/>
            </w:sdtPr>
            <w:sdtEndPr/>
            <w:sdtContent>
              <w:tr w:rsidR="00830E72" w14:paraId="06A9ADA1" w14:textId="77777777">
                <w:tc>
                  <w:tcPr>
                    <w:tcW w:w="1002" w:type="pct"/>
                    <w:tcBorders>
                      <w:top w:val="single" w:sz="4" w:space="0" w:color="auto"/>
                      <w:left w:val="single" w:sz="4" w:space="0" w:color="auto"/>
                      <w:bottom w:val="single" w:sz="4" w:space="0" w:color="auto"/>
                      <w:right w:val="single" w:sz="4" w:space="0" w:color="auto"/>
                    </w:tcBorders>
                    <w:vAlign w:val="center"/>
                  </w:tcPr>
                  <w:p w14:paraId="593A3370" w14:textId="77777777" w:rsidR="00830E72" w:rsidRDefault="008344D8">
                    <w:r>
                      <w:rPr>
                        <w:rFonts w:hint="eastAsia"/>
                      </w:rPr>
                      <w:t>浙</w:t>
                    </w:r>
                    <w:proofErr w:type="gramStart"/>
                    <w:r>
                      <w:rPr>
                        <w:rFonts w:hint="eastAsia"/>
                      </w:rPr>
                      <w:t>勘</w:t>
                    </w:r>
                    <w:proofErr w:type="gramEnd"/>
                    <w:r>
                      <w:rPr>
                        <w:rFonts w:hint="eastAsia"/>
                      </w:rPr>
                      <w:t>院</w:t>
                    </w:r>
                  </w:p>
                </w:tc>
                <w:tc>
                  <w:tcPr>
                    <w:tcW w:w="666" w:type="pct"/>
                    <w:tcBorders>
                      <w:top w:val="single" w:sz="4" w:space="0" w:color="auto"/>
                      <w:left w:val="single" w:sz="4" w:space="0" w:color="auto"/>
                      <w:bottom w:val="single" w:sz="4" w:space="0" w:color="auto"/>
                      <w:right w:val="single" w:sz="4" w:space="0" w:color="auto"/>
                    </w:tcBorders>
                  </w:tcPr>
                  <w:p w14:paraId="28D43F68" w14:textId="77777777" w:rsidR="00830E72" w:rsidRDefault="008344D8">
                    <w:pPr>
                      <w:jc w:val="right"/>
                    </w:pPr>
                    <w:r>
                      <w:t>15,588,399.17</w:t>
                    </w:r>
                  </w:p>
                </w:tc>
                <w:tc>
                  <w:tcPr>
                    <w:tcW w:w="667" w:type="pct"/>
                    <w:tcBorders>
                      <w:top w:val="single" w:sz="4" w:space="0" w:color="auto"/>
                      <w:left w:val="single" w:sz="4" w:space="0" w:color="auto"/>
                      <w:bottom w:val="single" w:sz="4" w:space="0" w:color="auto"/>
                      <w:right w:val="single" w:sz="4" w:space="0" w:color="auto"/>
                    </w:tcBorders>
                  </w:tcPr>
                  <w:p w14:paraId="71914BF3" w14:textId="77777777" w:rsidR="00830E72" w:rsidRDefault="00830E72">
                    <w:pPr>
                      <w:jc w:val="right"/>
                    </w:pPr>
                  </w:p>
                </w:tc>
                <w:tc>
                  <w:tcPr>
                    <w:tcW w:w="666" w:type="pct"/>
                    <w:tcBorders>
                      <w:top w:val="single" w:sz="4" w:space="0" w:color="auto"/>
                      <w:left w:val="single" w:sz="4" w:space="0" w:color="auto"/>
                      <w:bottom w:val="single" w:sz="4" w:space="0" w:color="auto"/>
                      <w:right w:val="single" w:sz="4" w:space="0" w:color="auto"/>
                    </w:tcBorders>
                  </w:tcPr>
                  <w:p w14:paraId="6E1B9AF1" w14:textId="77777777" w:rsidR="00830E72" w:rsidRDefault="00830E72">
                    <w:pPr>
                      <w:jc w:val="right"/>
                    </w:pPr>
                  </w:p>
                </w:tc>
                <w:tc>
                  <w:tcPr>
                    <w:tcW w:w="667" w:type="pct"/>
                    <w:tcBorders>
                      <w:top w:val="single" w:sz="4" w:space="0" w:color="auto"/>
                      <w:left w:val="single" w:sz="4" w:space="0" w:color="auto"/>
                      <w:bottom w:val="single" w:sz="4" w:space="0" w:color="auto"/>
                      <w:right w:val="single" w:sz="4" w:space="0" w:color="auto"/>
                    </w:tcBorders>
                  </w:tcPr>
                  <w:p w14:paraId="3413FE85" w14:textId="77777777" w:rsidR="00830E72" w:rsidRDefault="008344D8">
                    <w:pPr>
                      <w:jc w:val="right"/>
                    </w:pPr>
                    <w:r>
                      <w:t>15,588,399.17</w:t>
                    </w:r>
                  </w:p>
                </w:tc>
                <w:tc>
                  <w:tcPr>
                    <w:tcW w:w="666" w:type="pct"/>
                    <w:tcBorders>
                      <w:top w:val="single" w:sz="4" w:space="0" w:color="auto"/>
                      <w:left w:val="single" w:sz="4" w:space="0" w:color="auto"/>
                      <w:bottom w:val="single" w:sz="4" w:space="0" w:color="auto"/>
                      <w:right w:val="single" w:sz="4" w:space="0" w:color="auto"/>
                    </w:tcBorders>
                  </w:tcPr>
                  <w:p w14:paraId="7E180E9A" w14:textId="77777777" w:rsidR="00830E72" w:rsidRDefault="00830E72">
                    <w:pPr>
                      <w:jc w:val="right"/>
                    </w:pPr>
                  </w:p>
                </w:tc>
                <w:tc>
                  <w:tcPr>
                    <w:tcW w:w="666" w:type="pct"/>
                    <w:tcBorders>
                      <w:top w:val="single" w:sz="4" w:space="0" w:color="auto"/>
                      <w:left w:val="single" w:sz="4" w:space="0" w:color="auto"/>
                      <w:bottom w:val="single" w:sz="4" w:space="0" w:color="auto"/>
                      <w:right w:val="single" w:sz="4" w:space="0" w:color="auto"/>
                    </w:tcBorders>
                  </w:tcPr>
                  <w:p w14:paraId="7BF5256C" w14:textId="77777777" w:rsidR="00830E72" w:rsidRDefault="00830E72">
                    <w:pPr>
                      <w:jc w:val="right"/>
                    </w:pPr>
                  </w:p>
                </w:tc>
              </w:tr>
            </w:sdtContent>
          </w:sdt>
          <w:sdt>
            <w:sdtPr>
              <w:alias w:val="长期股权投资明细"/>
              <w:tag w:val="_GBC_daf82e8df55d4ba9bf351c25fd5a63c2"/>
              <w:id w:val="1856075124"/>
              <w:lock w:val="sdtLocked"/>
            </w:sdtPr>
            <w:sdtEndPr/>
            <w:sdtContent>
              <w:tr w:rsidR="00830E72" w14:paraId="5A357B64" w14:textId="77777777">
                <w:tc>
                  <w:tcPr>
                    <w:tcW w:w="1002" w:type="pct"/>
                    <w:tcBorders>
                      <w:top w:val="single" w:sz="4" w:space="0" w:color="auto"/>
                      <w:left w:val="single" w:sz="4" w:space="0" w:color="auto"/>
                      <w:bottom w:val="single" w:sz="4" w:space="0" w:color="auto"/>
                      <w:right w:val="single" w:sz="4" w:space="0" w:color="auto"/>
                    </w:tcBorders>
                    <w:vAlign w:val="center"/>
                  </w:tcPr>
                  <w:p w14:paraId="3676A3AC" w14:textId="77777777" w:rsidR="00830E72" w:rsidRDefault="008344D8">
                    <w:r>
                      <w:rPr>
                        <w:rFonts w:hint="eastAsia"/>
                      </w:rPr>
                      <w:t>路通检测</w:t>
                    </w:r>
                  </w:p>
                </w:tc>
                <w:tc>
                  <w:tcPr>
                    <w:tcW w:w="666" w:type="pct"/>
                    <w:tcBorders>
                      <w:top w:val="single" w:sz="4" w:space="0" w:color="auto"/>
                      <w:left w:val="single" w:sz="4" w:space="0" w:color="auto"/>
                      <w:bottom w:val="single" w:sz="4" w:space="0" w:color="auto"/>
                      <w:right w:val="single" w:sz="4" w:space="0" w:color="auto"/>
                    </w:tcBorders>
                  </w:tcPr>
                  <w:p w14:paraId="0071E171" w14:textId="77777777" w:rsidR="00830E72" w:rsidRDefault="008344D8">
                    <w:pPr>
                      <w:jc w:val="right"/>
                    </w:pPr>
                    <w:r>
                      <w:t>2,000,000.00</w:t>
                    </w:r>
                  </w:p>
                </w:tc>
                <w:tc>
                  <w:tcPr>
                    <w:tcW w:w="667" w:type="pct"/>
                    <w:tcBorders>
                      <w:top w:val="single" w:sz="4" w:space="0" w:color="auto"/>
                      <w:left w:val="single" w:sz="4" w:space="0" w:color="auto"/>
                      <w:bottom w:val="single" w:sz="4" w:space="0" w:color="auto"/>
                      <w:right w:val="single" w:sz="4" w:space="0" w:color="auto"/>
                    </w:tcBorders>
                  </w:tcPr>
                  <w:p w14:paraId="2BE26B5E" w14:textId="77777777" w:rsidR="00830E72" w:rsidRDefault="00830E72">
                    <w:pPr>
                      <w:jc w:val="right"/>
                    </w:pPr>
                  </w:p>
                </w:tc>
                <w:tc>
                  <w:tcPr>
                    <w:tcW w:w="666" w:type="pct"/>
                    <w:tcBorders>
                      <w:top w:val="single" w:sz="4" w:space="0" w:color="auto"/>
                      <w:left w:val="single" w:sz="4" w:space="0" w:color="auto"/>
                      <w:bottom w:val="single" w:sz="4" w:space="0" w:color="auto"/>
                      <w:right w:val="single" w:sz="4" w:space="0" w:color="auto"/>
                    </w:tcBorders>
                  </w:tcPr>
                  <w:p w14:paraId="283DBB49" w14:textId="77777777" w:rsidR="00830E72" w:rsidRDefault="00830E72">
                    <w:pPr>
                      <w:jc w:val="right"/>
                    </w:pPr>
                  </w:p>
                </w:tc>
                <w:tc>
                  <w:tcPr>
                    <w:tcW w:w="667" w:type="pct"/>
                    <w:tcBorders>
                      <w:top w:val="single" w:sz="4" w:space="0" w:color="auto"/>
                      <w:left w:val="single" w:sz="4" w:space="0" w:color="auto"/>
                      <w:bottom w:val="single" w:sz="4" w:space="0" w:color="auto"/>
                      <w:right w:val="single" w:sz="4" w:space="0" w:color="auto"/>
                    </w:tcBorders>
                  </w:tcPr>
                  <w:p w14:paraId="63469F18" w14:textId="77777777" w:rsidR="00830E72" w:rsidRDefault="008344D8">
                    <w:pPr>
                      <w:jc w:val="right"/>
                    </w:pPr>
                    <w:r>
                      <w:t>2,000,000.00</w:t>
                    </w:r>
                  </w:p>
                </w:tc>
                <w:tc>
                  <w:tcPr>
                    <w:tcW w:w="666" w:type="pct"/>
                    <w:tcBorders>
                      <w:top w:val="single" w:sz="4" w:space="0" w:color="auto"/>
                      <w:left w:val="single" w:sz="4" w:space="0" w:color="auto"/>
                      <w:bottom w:val="single" w:sz="4" w:space="0" w:color="auto"/>
                      <w:right w:val="single" w:sz="4" w:space="0" w:color="auto"/>
                    </w:tcBorders>
                  </w:tcPr>
                  <w:p w14:paraId="27524D6D" w14:textId="77777777" w:rsidR="00830E72" w:rsidRDefault="00830E72">
                    <w:pPr>
                      <w:jc w:val="right"/>
                    </w:pPr>
                  </w:p>
                </w:tc>
                <w:tc>
                  <w:tcPr>
                    <w:tcW w:w="666" w:type="pct"/>
                    <w:tcBorders>
                      <w:top w:val="single" w:sz="4" w:space="0" w:color="auto"/>
                      <w:left w:val="single" w:sz="4" w:space="0" w:color="auto"/>
                      <w:bottom w:val="single" w:sz="4" w:space="0" w:color="auto"/>
                      <w:right w:val="single" w:sz="4" w:space="0" w:color="auto"/>
                    </w:tcBorders>
                  </w:tcPr>
                  <w:p w14:paraId="1B710765" w14:textId="77777777" w:rsidR="00830E72" w:rsidRDefault="00830E72">
                    <w:pPr>
                      <w:jc w:val="right"/>
                    </w:pPr>
                  </w:p>
                </w:tc>
              </w:tr>
            </w:sdtContent>
          </w:sdt>
          <w:sdt>
            <w:sdtPr>
              <w:alias w:val="长期股权投资明细"/>
              <w:tag w:val="_GBC_daf82e8df55d4ba9bf351c25fd5a63c2"/>
              <w:id w:val="-1722510852"/>
              <w:lock w:val="sdtLocked"/>
            </w:sdtPr>
            <w:sdtEndPr/>
            <w:sdtContent>
              <w:tr w:rsidR="00830E72" w14:paraId="7F8E55B4" w14:textId="77777777">
                <w:tc>
                  <w:tcPr>
                    <w:tcW w:w="1002" w:type="pct"/>
                    <w:tcBorders>
                      <w:top w:val="single" w:sz="4" w:space="0" w:color="auto"/>
                      <w:left w:val="single" w:sz="4" w:space="0" w:color="auto"/>
                      <w:bottom w:val="single" w:sz="4" w:space="0" w:color="auto"/>
                      <w:right w:val="single" w:sz="4" w:space="0" w:color="auto"/>
                    </w:tcBorders>
                    <w:vAlign w:val="center"/>
                  </w:tcPr>
                  <w:p w14:paraId="50CB9307" w14:textId="77777777" w:rsidR="00830E72" w:rsidRDefault="008344D8">
                    <w:r>
                      <w:rPr>
                        <w:rFonts w:hint="eastAsia"/>
                      </w:rPr>
                      <w:t>亳州</w:t>
                    </w:r>
                    <w:proofErr w:type="gramStart"/>
                    <w:r>
                      <w:rPr>
                        <w:rFonts w:hint="eastAsia"/>
                      </w:rPr>
                      <w:t>祥</w:t>
                    </w:r>
                    <w:proofErr w:type="gramEnd"/>
                    <w:r>
                      <w:rPr>
                        <w:rFonts w:hint="eastAsia"/>
                      </w:rPr>
                      <w:t>居</w:t>
                    </w:r>
                  </w:p>
                </w:tc>
                <w:tc>
                  <w:tcPr>
                    <w:tcW w:w="666" w:type="pct"/>
                    <w:tcBorders>
                      <w:top w:val="single" w:sz="4" w:space="0" w:color="auto"/>
                      <w:left w:val="single" w:sz="4" w:space="0" w:color="auto"/>
                      <w:bottom w:val="single" w:sz="4" w:space="0" w:color="auto"/>
                      <w:right w:val="single" w:sz="4" w:space="0" w:color="auto"/>
                    </w:tcBorders>
                  </w:tcPr>
                  <w:p w14:paraId="2CD45C5F" w14:textId="77777777" w:rsidR="00830E72" w:rsidRDefault="008344D8">
                    <w:pPr>
                      <w:jc w:val="right"/>
                    </w:pPr>
                    <w:r>
                      <w:t>118,500,000.00</w:t>
                    </w:r>
                  </w:p>
                </w:tc>
                <w:tc>
                  <w:tcPr>
                    <w:tcW w:w="667" w:type="pct"/>
                    <w:tcBorders>
                      <w:top w:val="single" w:sz="4" w:space="0" w:color="auto"/>
                      <w:left w:val="single" w:sz="4" w:space="0" w:color="auto"/>
                      <w:bottom w:val="single" w:sz="4" w:space="0" w:color="auto"/>
                      <w:right w:val="single" w:sz="4" w:space="0" w:color="auto"/>
                    </w:tcBorders>
                  </w:tcPr>
                  <w:p w14:paraId="69E86068" w14:textId="77777777" w:rsidR="00830E72" w:rsidRDefault="00830E72">
                    <w:pPr>
                      <w:jc w:val="right"/>
                    </w:pPr>
                  </w:p>
                </w:tc>
                <w:tc>
                  <w:tcPr>
                    <w:tcW w:w="666" w:type="pct"/>
                    <w:tcBorders>
                      <w:top w:val="single" w:sz="4" w:space="0" w:color="auto"/>
                      <w:left w:val="single" w:sz="4" w:space="0" w:color="auto"/>
                      <w:bottom w:val="single" w:sz="4" w:space="0" w:color="auto"/>
                      <w:right w:val="single" w:sz="4" w:space="0" w:color="auto"/>
                    </w:tcBorders>
                  </w:tcPr>
                  <w:p w14:paraId="12C762F4" w14:textId="77777777" w:rsidR="00830E72" w:rsidRDefault="00830E72">
                    <w:pPr>
                      <w:jc w:val="right"/>
                    </w:pPr>
                  </w:p>
                </w:tc>
                <w:tc>
                  <w:tcPr>
                    <w:tcW w:w="667" w:type="pct"/>
                    <w:tcBorders>
                      <w:top w:val="single" w:sz="4" w:space="0" w:color="auto"/>
                      <w:left w:val="single" w:sz="4" w:space="0" w:color="auto"/>
                      <w:bottom w:val="single" w:sz="4" w:space="0" w:color="auto"/>
                      <w:right w:val="single" w:sz="4" w:space="0" w:color="auto"/>
                    </w:tcBorders>
                  </w:tcPr>
                  <w:p w14:paraId="062BF712" w14:textId="77777777" w:rsidR="00830E72" w:rsidRDefault="008344D8">
                    <w:pPr>
                      <w:jc w:val="right"/>
                    </w:pPr>
                    <w:r>
                      <w:t>118,500,000.00</w:t>
                    </w:r>
                  </w:p>
                </w:tc>
                <w:tc>
                  <w:tcPr>
                    <w:tcW w:w="666" w:type="pct"/>
                    <w:tcBorders>
                      <w:top w:val="single" w:sz="4" w:space="0" w:color="auto"/>
                      <w:left w:val="single" w:sz="4" w:space="0" w:color="auto"/>
                      <w:bottom w:val="single" w:sz="4" w:space="0" w:color="auto"/>
                      <w:right w:val="single" w:sz="4" w:space="0" w:color="auto"/>
                    </w:tcBorders>
                  </w:tcPr>
                  <w:p w14:paraId="5FB22B81" w14:textId="77777777" w:rsidR="00830E72" w:rsidRDefault="00830E72">
                    <w:pPr>
                      <w:jc w:val="right"/>
                    </w:pPr>
                  </w:p>
                </w:tc>
                <w:tc>
                  <w:tcPr>
                    <w:tcW w:w="666" w:type="pct"/>
                    <w:tcBorders>
                      <w:top w:val="single" w:sz="4" w:space="0" w:color="auto"/>
                      <w:left w:val="single" w:sz="4" w:space="0" w:color="auto"/>
                      <w:bottom w:val="single" w:sz="4" w:space="0" w:color="auto"/>
                      <w:right w:val="single" w:sz="4" w:space="0" w:color="auto"/>
                    </w:tcBorders>
                  </w:tcPr>
                  <w:p w14:paraId="513BD605" w14:textId="77777777" w:rsidR="00830E72" w:rsidRDefault="00830E72">
                    <w:pPr>
                      <w:jc w:val="right"/>
                    </w:pPr>
                  </w:p>
                </w:tc>
              </w:tr>
            </w:sdtContent>
          </w:sdt>
          <w:sdt>
            <w:sdtPr>
              <w:alias w:val="长期股权投资明细"/>
              <w:tag w:val="_GBC_daf82e8df55d4ba9bf351c25fd5a63c2"/>
              <w:id w:val="395941355"/>
              <w:lock w:val="sdtLocked"/>
            </w:sdtPr>
            <w:sdtEndPr/>
            <w:sdtContent>
              <w:tr w:rsidR="00830E72" w14:paraId="187E4E57" w14:textId="77777777">
                <w:tc>
                  <w:tcPr>
                    <w:tcW w:w="1002" w:type="pct"/>
                    <w:tcBorders>
                      <w:top w:val="single" w:sz="4" w:space="0" w:color="auto"/>
                      <w:left w:val="single" w:sz="4" w:space="0" w:color="auto"/>
                      <w:bottom w:val="single" w:sz="4" w:space="0" w:color="auto"/>
                      <w:right w:val="single" w:sz="4" w:space="0" w:color="auto"/>
                    </w:tcBorders>
                    <w:vAlign w:val="center"/>
                  </w:tcPr>
                  <w:p w14:paraId="127ADD12" w14:textId="77777777" w:rsidR="00830E72" w:rsidRDefault="008344D8">
                    <w:r>
                      <w:rPr>
                        <w:rFonts w:hint="eastAsia"/>
                      </w:rPr>
                      <w:t>宿松振兴</w:t>
                    </w:r>
                  </w:p>
                </w:tc>
                <w:tc>
                  <w:tcPr>
                    <w:tcW w:w="666" w:type="pct"/>
                    <w:tcBorders>
                      <w:top w:val="single" w:sz="4" w:space="0" w:color="auto"/>
                      <w:left w:val="single" w:sz="4" w:space="0" w:color="auto"/>
                      <w:bottom w:val="single" w:sz="4" w:space="0" w:color="auto"/>
                      <w:right w:val="single" w:sz="4" w:space="0" w:color="auto"/>
                    </w:tcBorders>
                  </w:tcPr>
                  <w:p w14:paraId="0E7FA6A0" w14:textId="77777777" w:rsidR="00830E72" w:rsidRDefault="008344D8">
                    <w:pPr>
                      <w:jc w:val="right"/>
                    </w:pPr>
                    <w:r>
                      <w:t>18,000,000.00</w:t>
                    </w:r>
                  </w:p>
                </w:tc>
                <w:tc>
                  <w:tcPr>
                    <w:tcW w:w="667" w:type="pct"/>
                    <w:tcBorders>
                      <w:top w:val="single" w:sz="4" w:space="0" w:color="auto"/>
                      <w:left w:val="single" w:sz="4" w:space="0" w:color="auto"/>
                      <w:bottom w:val="single" w:sz="4" w:space="0" w:color="auto"/>
                      <w:right w:val="single" w:sz="4" w:space="0" w:color="auto"/>
                    </w:tcBorders>
                  </w:tcPr>
                  <w:p w14:paraId="52280C9C" w14:textId="77777777" w:rsidR="00830E72" w:rsidRDefault="00830E72">
                    <w:pPr>
                      <w:jc w:val="right"/>
                    </w:pPr>
                  </w:p>
                </w:tc>
                <w:tc>
                  <w:tcPr>
                    <w:tcW w:w="666" w:type="pct"/>
                    <w:tcBorders>
                      <w:top w:val="single" w:sz="4" w:space="0" w:color="auto"/>
                      <w:left w:val="single" w:sz="4" w:space="0" w:color="auto"/>
                      <w:bottom w:val="single" w:sz="4" w:space="0" w:color="auto"/>
                      <w:right w:val="single" w:sz="4" w:space="0" w:color="auto"/>
                    </w:tcBorders>
                  </w:tcPr>
                  <w:p w14:paraId="65789742" w14:textId="77777777" w:rsidR="00830E72" w:rsidRDefault="00830E72">
                    <w:pPr>
                      <w:jc w:val="right"/>
                    </w:pPr>
                  </w:p>
                </w:tc>
                <w:tc>
                  <w:tcPr>
                    <w:tcW w:w="667" w:type="pct"/>
                    <w:tcBorders>
                      <w:top w:val="single" w:sz="4" w:space="0" w:color="auto"/>
                      <w:left w:val="single" w:sz="4" w:space="0" w:color="auto"/>
                      <w:bottom w:val="single" w:sz="4" w:space="0" w:color="auto"/>
                      <w:right w:val="single" w:sz="4" w:space="0" w:color="auto"/>
                    </w:tcBorders>
                  </w:tcPr>
                  <w:p w14:paraId="5E4FAFF8" w14:textId="77777777" w:rsidR="00830E72" w:rsidRDefault="008344D8">
                    <w:pPr>
                      <w:jc w:val="right"/>
                    </w:pPr>
                    <w:r>
                      <w:t>18,000,000.00</w:t>
                    </w:r>
                  </w:p>
                </w:tc>
                <w:tc>
                  <w:tcPr>
                    <w:tcW w:w="666" w:type="pct"/>
                    <w:tcBorders>
                      <w:top w:val="single" w:sz="4" w:space="0" w:color="auto"/>
                      <w:left w:val="single" w:sz="4" w:space="0" w:color="auto"/>
                      <w:bottom w:val="single" w:sz="4" w:space="0" w:color="auto"/>
                      <w:right w:val="single" w:sz="4" w:space="0" w:color="auto"/>
                    </w:tcBorders>
                  </w:tcPr>
                  <w:p w14:paraId="321E93A3" w14:textId="77777777" w:rsidR="00830E72" w:rsidRDefault="00830E72">
                    <w:pPr>
                      <w:jc w:val="right"/>
                    </w:pPr>
                  </w:p>
                </w:tc>
                <w:tc>
                  <w:tcPr>
                    <w:tcW w:w="666" w:type="pct"/>
                    <w:tcBorders>
                      <w:top w:val="single" w:sz="4" w:space="0" w:color="auto"/>
                      <w:left w:val="single" w:sz="4" w:space="0" w:color="auto"/>
                      <w:bottom w:val="single" w:sz="4" w:space="0" w:color="auto"/>
                      <w:right w:val="single" w:sz="4" w:space="0" w:color="auto"/>
                    </w:tcBorders>
                  </w:tcPr>
                  <w:p w14:paraId="5A12A62F" w14:textId="77777777" w:rsidR="00830E72" w:rsidRDefault="00830E72">
                    <w:pPr>
                      <w:jc w:val="right"/>
                    </w:pPr>
                  </w:p>
                </w:tc>
              </w:tr>
            </w:sdtContent>
          </w:sdt>
          <w:sdt>
            <w:sdtPr>
              <w:alias w:val="长期股权投资明细"/>
              <w:tag w:val="_GBC_daf82e8df55d4ba9bf351c25fd5a63c2"/>
              <w:id w:val="944272995"/>
              <w:lock w:val="sdtLocked"/>
            </w:sdtPr>
            <w:sdtEndPr/>
            <w:sdtContent>
              <w:tr w:rsidR="00830E72" w14:paraId="3BCA7255" w14:textId="77777777">
                <w:tc>
                  <w:tcPr>
                    <w:tcW w:w="1002" w:type="pct"/>
                    <w:tcBorders>
                      <w:top w:val="single" w:sz="4" w:space="0" w:color="auto"/>
                      <w:left w:val="single" w:sz="4" w:space="0" w:color="auto"/>
                      <w:bottom w:val="single" w:sz="4" w:space="0" w:color="auto"/>
                      <w:right w:val="single" w:sz="4" w:space="0" w:color="auto"/>
                    </w:tcBorders>
                    <w:vAlign w:val="center"/>
                  </w:tcPr>
                  <w:p w14:paraId="40901D59" w14:textId="77777777" w:rsidR="00830E72" w:rsidRDefault="008344D8">
                    <w:r>
                      <w:rPr>
                        <w:rFonts w:hint="eastAsia"/>
                      </w:rPr>
                      <w:t>界首齐美</w:t>
                    </w:r>
                  </w:p>
                </w:tc>
                <w:tc>
                  <w:tcPr>
                    <w:tcW w:w="666" w:type="pct"/>
                    <w:tcBorders>
                      <w:top w:val="single" w:sz="4" w:space="0" w:color="auto"/>
                      <w:left w:val="single" w:sz="4" w:space="0" w:color="auto"/>
                      <w:bottom w:val="single" w:sz="4" w:space="0" w:color="auto"/>
                      <w:right w:val="single" w:sz="4" w:space="0" w:color="auto"/>
                    </w:tcBorders>
                  </w:tcPr>
                  <w:p w14:paraId="73C2AC95" w14:textId="77777777" w:rsidR="00830E72" w:rsidRDefault="008344D8">
                    <w:pPr>
                      <w:jc w:val="right"/>
                    </w:pPr>
                    <w:r>
                      <w:t>80,000,000.00</w:t>
                    </w:r>
                  </w:p>
                </w:tc>
                <w:tc>
                  <w:tcPr>
                    <w:tcW w:w="667" w:type="pct"/>
                    <w:tcBorders>
                      <w:top w:val="single" w:sz="4" w:space="0" w:color="auto"/>
                      <w:left w:val="single" w:sz="4" w:space="0" w:color="auto"/>
                      <w:bottom w:val="single" w:sz="4" w:space="0" w:color="auto"/>
                      <w:right w:val="single" w:sz="4" w:space="0" w:color="auto"/>
                    </w:tcBorders>
                  </w:tcPr>
                  <w:p w14:paraId="0E63B463" w14:textId="77777777" w:rsidR="00830E72" w:rsidRDefault="008344D8">
                    <w:pPr>
                      <w:jc w:val="right"/>
                    </w:pPr>
                    <w:r>
                      <w:t>213,460,412.00</w:t>
                    </w:r>
                  </w:p>
                </w:tc>
                <w:tc>
                  <w:tcPr>
                    <w:tcW w:w="666" w:type="pct"/>
                    <w:tcBorders>
                      <w:top w:val="single" w:sz="4" w:space="0" w:color="auto"/>
                      <w:left w:val="single" w:sz="4" w:space="0" w:color="auto"/>
                      <w:bottom w:val="single" w:sz="4" w:space="0" w:color="auto"/>
                      <w:right w:val="single" w:sz="4" w:space="0" w:color="auto"/>
                    </w:tcBorders>
                  </w:tcPr>
                  <w:p w14:paraId="220BEEF1" w14:textId="77777777" w:rsidR="00830E72" w:rsidRDefault="00830E72">
                    <w:pPr>
                      <w:jc w:val="right"/>
                    </w:pPr>
                  </w:p>
                </w:tc>
                <w:tc>
                  <w:tcPr>
                    <w:tcW w:w="667" w:type="pct"/>
                    <w:tcBorders>
                      <w:top w:val="single" w:sz="4" w:space="0" w:color="auto"/>
                      <w:left w:val="single" w:sz="4" w:space="0" w:color="auto"/>
                      <w:bottom w:val="single" w:sz="4" w:space="0" w:color="auto"/>
                      <w:right w:val="single" w:sz="4" w:space="0" w:color="auto"/>
                    </w:tcBorders>
                  </w:tcPr>
                  <w:p w14:paraId="3EDA5723" w14:textId="77777777" w:rsidR="00830E72" w:rsidRDefault="008344D8">
                    <w:pPr>
                      <w:jc w:val="right"/>
                    </w:pPr>
                    <w:r>
                      <w:t>293,460,412.00</w:t>
                    </w:r>
                  </w:p>
                </w:tc>
                <w:tc>
                  <w:tcPr>
                    <w:tcW w:w="666" w:type="pct"/>
                    <w:tcBorders>
                      <w:top w:val="single" w:sz="4" w:space="0" w:color="auto"/>
                      <w:left w:val="single" w:sz="4" w:space="0" w:color="auto"/>
                      <w:bottom w:val="single" w:sz="4" w:space="0" w:color="auto"/>
                      <w:right w:val="single" w:sz="4" w:space="0" w:color="auto"/>
                    </w:tcBorders>
                  </w:tcPr>
                  <w:p w14:paraId="594DAD69" w14:textId="77777777" w:rsidR="00830E72" w:rsidRDefault="00830E72">
                    <w:pPr>
                      <w:jc w:val="right"/>
                    </w:pPr>
                  </w:p>
                </w:tc>
                <w:tc>
                  <w:tcPr>
                    <w:tcW w:w="666" w:type="pct"/>
                    <w:tcBorders>
                      <w:top w:val="single" w:sz="4" w:space="0" w:color="auto"/>
                      <w:left w:val="single" w:sz="4" w:space="0" w:color="auto"/>
                      <w:bottom w:val="single" w:sz="4" w:space="0" w:color="auto"/>
                      <w:right w:val="single" w:sz="4" w:space="0" w:color="auto"/>
                    </w:tcBorders>
                  </w:tcPr>
                  <w:p w14:paraId="14026ADE" w14:textId="77777777" w:rsidR="00830E72" w:rsidRDefault="00830E72">
                    <w:pPr>
                      <w:jc w:val="right"/>
                    </w:pPr>
                  </w:p>
                </w:tc>
              </w:tr>
            </w:sdtContent>
          </w:sdt>
          <w:tr w:rsidR="00830E72" w14:paraId="7F77C2CA" w14:textId="77777777">
            <w:sdt>
              <w:sdtPr>
                <w:tag w:val="_PLD_9515e88574304b2da64302e50d23e6cf"/>
                <w:id w:val="909808121"/>
                <w:lock w:val="sdtLocked"/>
              </w:sdtPr>
              <w:sdtEndPr/>
              <w:sdtContent>
                <w:tc>
                  <w:tcPr>
                    <w:tcW w:w="1002" w:type="pct"/>
                    <w:tcBorders>
                      <w:top w:val="single" w:sz="4" w:space="0" w:color="auto"/>
                      <w:left w:val="single" w:sz="4" w:space="0" w:color="auto"/>
                      <w:bottom w:val="single" w:sz="4" w:space="0" w:color="auto"/>
                      <w:right w:val="single" w:sz="4" w:space="0" w:color="auto"/>
                    </w:tcBorders>
                    <w:vAlign w:val="center"/>
                  </w:tcPr>
                  <w:p w14:paraId="6090FCBF" w14:textId="77777777" w:rsidR="00830E72" w:rsidRDefault="008344D8">
                    <w:pPr>
                      <w:jc w:val="center"/>
                    </w:pPr>
                    <w:r>
                      <w:rPr>
                        <w:rFonts w:hint="eastAsia"/>
                      </w:rPr>
                      <w:t>合计</w:t>
                    </w:r>
                  </w:p>
                </w:tc>
              </w:sdtContent>
            </w:sdt>
            <w:tc>
              <w:tcPr>
                <w:tcW w:w="666" w:type="pct"/>
                <w:tcBorders>
                  <w:top w:val="single" w:sz="4" w:space="0" w:color="auto"/>
                  <w:left w:val="single" w:sz="4" w:space="0" w:color="auto"/>
                  <w:bottom w:val="single" w:sz="4" w:space="0" w:color="auto"/>
                  <w:right w:val="single" w:sz="4" w:space="0" w:color="auto"/>
                </w:tcBorders>
              </w:tcPr>
              <w:p w14:paraId="353D0B5F" w14:textId="77777777" w:rsidR="00830E72" w:rsidRDefault="008344D8">
                <w:pPr>
                  <w:jc w:val="right"/>
                </w:pPr>
                <w:r>
                  <w:t>249,348,399.17</w:t>
                </w:r>
              </w:p>
            </w:tc>
            <w:tc>
              <w:tcPr>
                <w:tcW w:w="667" w:type="pct"/>
                <w:tcBorders>
                  <w:top w:val="single" w:sz="4" w:space="0" w:color="auto"/>
                  <w:left w:val="single" w:sz="4" w:space="0" w:color="auto"/>
                  <w:bottom w:val="single" w:sz="4" w:space="0" w:color="auto"/>
                  <w:right w:val="single" w:sz="4" w:space="0" w:color="auto"/>
                </w:tcBorders>
              </w:tcPr>
              <w:p w14:paraId="01EA0924" w14:textId="77777777" w:rsidR="00830E72" w:rsidRDefault="008344D8">
                <w:pPr>
                  <w:jc w:val="right"/>
                </w:pPr>
                <w:r>
                  <w:t>213,460,412.00</w:t>
                </w:r>
              </w:p>
            </w:tc>
            <w:tc>
              <w:tcPr>
                <w:tcW w:w="666" w:type="pct"/>
                <w:tcBorders>
                  <w:top w:val="single" w:sz="4" w:space="0" w:color="auto"/>
                  <w:left w:val="single" w:sz="4" w:space="0" w:color="auto"/>
                  <w:bottom w:val="single" w:sz="4" w:space="0" w:color="auto"/>
                  <w:right w:val="single" w:sz="4" w:space="0" w:color="auto"/>
                </w:tcBorders>
              </w:tcPr>
              <w:p w14:paraId="0A6D6473" w14:textId="77777777" w:rsidR="00830E72" w:rsidRDefault="00830E72">
                <w:pPr>
                  <w:jc w:val="right"/>
                </w:pPr>
              </w:p>
            </w:tc>
            <w:tc>
              <w:tcPr>
                <w:tcW w:w="667" w:type="pct"/>
                <w:tcBorders>
                  <w:top w:val="single" w:sz="4" w:space="0" w:color="auto"/>
                  <w:left w:val="single" w:sz="4" w:space="0" w:color="auto"/>
                  <w:bottom w:val="single" w:sz="4" w:space="0" w:color="auto"/>
                  <w:right w:val="single" w:sz="4" w:space="0" w:color="auto"/>
                </w:tcBorders>
              </w:tcPr>
              <w:p w14:paraId="21B3565D" w14:textId="77777777" w:rsidR="00830E72" w:rsidRDefault="008344D8">
                <w:pPr>
                  <w:jc w:val="right"/>
                </w:pPr>
                <w:r>
                  <w:t>462,808,811.17</w:t>
                </w:r>
              </w:p>
            </w:tc>
            <w:tc>
              <w:tcPr>
                <w:tcW w:w="666" w:type="pct"/>
                <w:tcBorders>
                  <w:top w:val="single" w:sz="4" w:space="0" w:color="auto"/>
                  <w:left w:val="single" w:sz="4" w:space="0" w:color="auto"/>
                  <w:bottom w:val="single" w:sz="4" w:space="0" w:color="auto"/>
                  <w:right w:val="single" w:sz="4" w:space="0" w:color="auto"/>
                </w:tcBorders>
              </w:tcPr>
              <w:p w14:paraId="7804FC4C" w14:textId="77777777" w:rsidR="00830E72" w:rsidRDefault="00830E72">
                <w:pPr>
                  <w:jc w:val="right"/>
                </w:pPr>
              </w:p>
            </w:tc>
            <w:tc>
              <w:tcPr>
                <w:tcW w:w="666" w:type="pct"/>
                <w:tcBorders>
                  <w:top w:val="single" w:sz="4" w:space="0" w:color="auto"/>
                  <w:left w:val="single" w:sz="4" w:space="0" w:color="auto"/>
                  <w:bottom w:val="single" w:sz="4" w:space="0" w:color="auto"/>
                  <w:right w:val="single" w:sz="4" w:space="0" w:color="auto"/>
                </w:tcBorders>
              </w:tcPr>
              <w:p w14:paraId="724FEE59" w14:textId="77777777" w:rsidR="00830E72" w:rsidRDefault="00830E72">
                <w:pPr>
                  <w:jc w:val="right"/>
                </w:pPr>
              </w:p>
            </w:tc>
          </w:tr>
        </w:tbl>
        <w:p w14:paraId="3078C654" w14:textId="77777777" w:rsidR="00830E72" w:rsidRDefault="00D44830">
          <w:pPr>
            <w:rPr>
              <w:szCs w:val="21"/>
            </w:rPr>
          </w:pPr>
        </w:p>
      </w:sdtContent>
    </w:sdt>
    <w:sdt>
      <w:sdtPr>
        <w:rPr>
          <w:rFonts w:ascii="宋体" w:hAnsi="宋体" w:cs="宋体" w:hint="eastAsia"/>
          <w:b w:val="0"/>
          <w:bCs w:val="0"/>
          <w:kern w:val="0"/>
          <w:szCs w:val="21"/>
        </w:rPr>
        <w:alias w:val="模块:对联营、合营企业投资"/>
        <w:tag w:val="_GBC_eb61534d0a614526b319605aeaa9bf73"/>
        <w:id w:val="-607591849"/>
        <w:lock w:val="sdtLocked"/>
        <w:placeholder>
          <w:docPart w:val="GBC22222222222222222222222222222"/>
        </w:placeholder>
      </w:sdtPr>
      <w:sdtEndPr/>
      <w:sdtContent>
        <w:p w14:paraId="245D639A" w14:textId="77777777" w:rsidR="00830E72" w:rsidRDefault="008344D8">
          <w:pPr>
            <w:pStyle w:val="Style100"/>
            <w:numPr>
              <w:ilvl w:val="0"/>
              <w:numId w:val="98"/>
            </w:numPr>
            <w:rPr>
              <w:rFonts w:ascii="宋体" w:hAnsi="宋体"/>
              <w:szCs w:val="21"/>
            </w:rPr>
          </w:pPr>
          <w:r>
            <w:rPr>
              <w:rFonts w:ascii="宋体" w:hAnsi="宋体" w:hint="eastAsia"/>
              <w:szCs w:val="21"/>
            </w:rPr>
            <w:t>对联营、</w:t>
          </w:r>
          <w:r>
            <w:rPr>
              <w:rFonts w:ascii="宋体" w:hAnsi="宋体" w:hint="eastAsia"/>
            </w:rPr>
            <w:t>合营</w:t>
          </w:r>
          <w:r>
            <w:rPr>
              <w:rFonts w:ascii="宋体" w:hAnsi="宋体" w:hint="eastAsia"/>
              <w:szCs w:val="21"/>
            </w:rPr>
            <w:t>企业投资</w:t>
          </w:r>
        </w:p>
        <w:sdt>
          <w:sdtPr>
            <w:alias w:val="是否适用：母公司对联营、合营企业投资[双击切换]"/>
            <w:tag w:val="_GBC_0837f60a15fc4684b64085618adca8d2"/>
            <w:id w:val="-17230506"/>
            <w:lock w:val="sdtContentLocked"/>
            <w:placeholder>
              <w:docPart w:val="GBC22222222222222222222222222222"/>
            </w:placeholder>
          </w:sdtPr>
          <w:sdtEndPr/>
          <w:sdtContent>
            <w:p w14:paraId="2DC2D1AE"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长期股权投资的说明"/>
        <w:tag w:val="_GBC_1577b793bbce4a50b07decde0e07491e"/>
        <w:id w:val="196896396"/>
        <w:lock w:val="sdtLocked"/>
        <w:placeholder>
          <w:docPart w:val="GBC22222222222222222222222222222"/>
        </w:placeholder>
      </w:sdtPr>
      <w:sdtEndPr/>
      <w:sdtContent>
        <w:p w14:paraId="25F2C5AC" w14:textId="77777777" w:rsidR="00830E72" w:rsidRDefault="008344D8">
          <w:pPr>
            <w:rPr>
              <w:szCs w:val="21"/>
            </w:rPr>
          </w:pPr>
          <w:r>
            <w:rPr>
              <w:rFonts w:hint="eastAsia"/>
              <w:szCs w:val="21"/>
            </w:rPr>
            <w:t>其他说明：</w:t>
          </w:r>
        </w:p>
        <w:sdt>
          <w:sdtPr>
            <w:rPr>
              <w:szCs w:val="21"/>
            </w:rPr>
            <w:alias w:val="是否适用：母公司长期股权投资其他说明[双击切换]"/>
            <w:tag w:val="_GBC_8b70582854684459adc77f46cbf4aac7"/>
            <w:id w:val="990900888"/>
            <w:lock w:val="sdtContentLocked"/>
            <w:placeholder>
              <w:docPart w:val="GBC22222222222222222222222222222"/>
            </w:placeholder>
          </w:sdtPr>
          <w:sdtEndPr/>
          <w:sdtContent>
            <w:p w14:paraId="325FD7D2" w14:textId="048F262B" w:rsidR="00830E72" w:rsidRDefault="008344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1E76EC7" w14:textId="77777777" w:rsidR="00830E72" w:rsidRDefault="008344D8">
      <w:pPr>
        <w:pStyle w:val="Style99"/>
        <w:numPr>
          <w:ilvl w:val="0"/>
          <w:numId w:val="95"/>
        </w:numPr>
        <w:rPr>
          <w:rFonts w:ascii="宋体" w:hAnsi="宋体"/>
        </w:rPr>
      </w:pPr>
      <w:r>
        <w:rPr>
          <w:rFonts w:ascii="宋体" w:hAnsi="宋体" w:hint="eastAsia"/>
        </w:rPr>
        <w:t>营业收入和营业成本</w:t>
      </w:r>
    </w:p>
    <w:bookmarkStart w:id="237" w:name="_Hlk10548568" w:displacedByCustomXml="next"/>
    <w:sdt>
      <w:sdtPr>
        <w:rPr>
          <w:rFonts w:ascii="宋体" w:hAnsi="宋体" w:cs="宋体" w:hint="eastAsia"/>
          <w:b w:val="0"/>
          <w:bCs w:val="0"/>
          <w:kern w:val="0"/>
          <w:szCs w:val="24"/>
        </w:rPr>
        <w:alias w:val="模块:营业收入和营业成本情况"/>
        <w:tag w:val="_SEC_c20353238d924d35bff1a3e0cee4af4b"/>
        <w:id w:val="1625428555"/>
        <w:lock w:val="sdtLocked"/>
        <w:placeholder>
          <w:docPart w:val="GBC22222222222222222222222222222"/>
        </w:placeholder>
      </w:sdtPr>
      <w:sdtEndPr>
        <w:rPr>
          <w:rFonts w:hint="default"/>
          <w:szCs w:val="21"/>
        </w:rPr>
      </w:sdtEndPr>
      <w:sdtContent>
        <w:p w14:paraId="469199D1" w14:textId="77777777" w:rsidR="00830E72" w:rsidRDefault="008344D8">
          <w:pPr>
            <w:pStyle w:val="Style100"/>
            <w:numPr>
              <w:ilvl w:val="0"/>
              <w:numId w:val="99"/>
            </w:numPr>
            <w:rPr>
              <w:rFonts w:ascii="宋体" w:hAnsi="宋体"/>
            </w:rPr>
          </w:pPr>
          <w:r>
            <w:rPr>
              <w:rFonts w:ascii="宋体" w:hAnsi="宋体" w:hint="eastAsia"/>
            </w:rPr>
            <w:t>营业收入和营业成本情况</w:t>
          </w:r>
        </w:p>
        <w:sdt>
          <w:sdtPr>
            <w:alias w:val="是否适用：母公司营业收入和营业成本[双击切换]"/>
            <w:tag w:val="_GBC_f62d83b1068f4bfaae3a590b0ac9f4d7"/>
            <w:id w:val="-301381605"/>
            <w:lock w:val="sdtContentLocked"/>
            <w:placeholder>
              <w:docPart w:val="GBC22222222222222222222222222222"/>
            </w:placeholder>
          </w:sdtPr>
          <w:sdtEndPr/>
          <w:sdtContent>
            <w:p w14:paraId="5AC6B261"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3B609B5" w14:textId="77777777" w:rsidR="00830E72" w:rsidRDefault="008344D8">
          <w:pPr>
            <w:pStyle w:val="Style118"/>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40a730bb869a41578a25e9cb66f4e28e"/>
              <w:id w:val="19949953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1b6056b90b2c445a9b1bcdc97aa104ec"/>
              <w:id w:val="-8161029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bCs/>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896"/>
            <w:gridCol w:w="1896"/>
            <w:gridCol w:w="1896"/>
            <w:gridCol w:w="1896"/>
          </w:tblGrid>
          <w:tr w:rsidR="00830E72" w14:paraId="59722C7F" w14:textId="77777777">
            <w:sdt>
              <w:sdtPr>
                <w:tag w:val="_PLD_3dc9ae0da47e49d097992a176784945a"/>
                <w:id w:val="807829389"/>
                <w:lock w:val="sdtLocked"/>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14:paraId="499F2FC2" w14:textId="77777777" w:rsidR="00830E72" w:rsidRDefault="008344D8">
                    <w:pPr>
                      <w:jc w:val="center"/>
                      <w:rPr>
                        <w:szCs w:val="21"/>
                      </w:rPr>
                    </w:pPr>
                    <w:r>
                      <w:rPr>
                        <w:rFonts w:hint="eastAsia"/>
                        <w:szCs w:val="21"/>
                      </w:rPr>
                      <w:t>项目</w:t>
                    </w:r>
                  </w:p>
                </w:tc>
              </w:sdtContent>
            </w:sdt>
            <w:sdt>
              <w:sdtPr>
                <w:tag w:val="_PLD_b47efcaea8ca428781485b2625b4c252"/>
                <w:id w:val="179476394"/>
                <w:lock w:val="sdtLocked"/>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F7F87E" w14:textId="77777777" w:rsidR="00830E72" w:rsidRDefault="008344D8">
                    <w:pPr>
                      <w:jc w:val="center"/>
                      <w:rPr>
                        <w:szCs w:val="21"/>
                      </w:rPr>
                    </w:pPr>
                    <w:r>
                      <w:rPr>
                        <w:rFonts w:hint="eastAsia"/>
                        <w:szCs w:val="21"/>
                      </w:rPr>
                      <w:t>本期发生额</w:t>
                    </w:r>
                  </w:p>
                </w:tc>
              </w:sdtContent>
            </w:sdt>
            <w:sdt>
              <w:sdtPr>
                <w:tag w:val="_PLD_44320683f4394adcaf1711775bb320ef"/>
                <w:id w:val="-215662086"/>
                <w:lock w:val="sdtLocked"/>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0503DF" w14:textId="77777777" w:rsidR="00830E72" w:rsidRDefault="008344D8">
                    <w:pPr>
                      <w:jc w:val="center"/>
                      <w:rPr>
                        <w:szCs w:val="21"/>
                      </w:rPr>
                    </w:pPr>
                    <w:r>
                      <w:rPr>
                        <w:rFonts w:hint="eastAsia"/>
                        <w:szCs w:val="21"/>
                      </w:rPr>
                      <w:t>上期发生额</w:t>
                    </w:r>
                  </w:p>
                </w:tc>
              </w:sdtContent>
            </w:sdt>
          </w:tr>
          <w:tr w:rsidR="00830E72" w14:paraId="67A6BEEA" w14:textId="77777777">
            <w:tc>
              <w:tcPr>
                <w:tcW w:w="1570" w:type="pct"/>
                <w:vMerge/>
                <w:tcBorders>
                  <w:left w:val="single" w:sz="4" w:space="0" w:color="auto"/>
                  <w:bottom w:val="single" w:sz="4" w:space="0" w:color="auto"/>
                  <w:right w:val="single" w:sz="4" w:space="0" w:color="auto"/>
                </w:tcBorders>
                <w:shd w:val="clear" w:color="auto" w:fill="auto"/>
                <w:vAlign w:val="center"/>
              </w:tcPr>
              <w:p w14:paraId="0C21DD9B" w14:textId="77777777" w:rsidR="00830E72" w:rsidRDefault="00830E72">
                <w:pPr>
                  <w:jc w:val="center"/>
                  <w:rPr>
                    <w:szCs w:val="21"/>
                  </w:rPr>
                </w:pPr>
              </w:p>
            </w:tc>
            <w:sdt>
              <w:sdtPr>
                <w:tag w:val="_PLD_efb75dfbe3924c3a9f286eefd26b357f"/>
                <w:id w:val="-1073115297"/>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0A3F3224" w14:textId="77777777" w:rsidR="00830E72" w:rsidRDefault="008344D8">
                    <w:pPr>
                      <w:jc w:val="center"/>
                      <w:rPr>
                        <w:szCs w:val="21"/>
                      </w:rPr>
                    </w:pPr>
                    <w:r>
                      <w:rPr>
                        <w:rFonts w:hint="eastAsia"/>
                        <w:szCs w:val="21"/>
                      </w:rPr>
                      <w:t>收入</w:t>
                    </w:r>
                  </w:p>
                </w:tc>
              </w:sdtContent>
            </w:sdt>
            <w:sdt>
              <w:sdtPr>
                <w:tag w:val="_PLD_9ecc7b9050c24dcebd801ee01e950a91"/>
                <w:id w:val="-1301988872"/>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57356B6" w14:textId="77777777" w:rsidR="00830E72" w:rsidRDefault="008344D8">
                    <w:pPr>
                      <w:jc w:val="center"/>
                      <w:rPr>
                        <w:szCs w:val="21"/>
                      </w:rPr>
                    </w:pPr>
                    <w:r>
                      <w:rPr>
                        <w:rFonts w:hint="eastAsia"/>
                        <w:szCs w:val="21"/>
                      </w:rPr>
                      <w:t>成本</w:t>
                    </w:r>
                  </w:p>
                </w:tc>
              </w:sdtContent>
            </w:sdt>
            <w:sdt>
              <w:sdtPr>
                <w:tag w:val="_PLD_b2940b2f59f24f969eea718c85f99dda"/>
                <w:id w:val="73246378"/>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24D25079" w14:textId="77777777" w:rsidR="00830E72" w:rsidRDefault="008344D8">
                    <w:pPr>
                      <w:jc w:val="center"/>
                      <w:rPr>
                        <w:szCs w:val="21"/>
                      </w:rPr>
                    </w:pPr>
                    <w:r>
                      <w:rPr>
                        <w:rFonts w:hint="eastAsia"/>
                        <w:szCs w:val="21"/>
                      </w:rPr>
                      <w:t>收入</w:t>
                    </w:r>
                  </w:p>
                </w:tc>
              </w:sdtContent>
            </w:sdt>
            <w:sdt>
              <w:sdtPr>
                <w:tag w:val="_PLD_971c170c70c24975ba7524e53623bf00"/>
                <w:id w:val="1017970835"/>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3365E8F5" w14:textId="77777777" w:rsidR="00830E72" w:rsidRDefault="008344D8">
                    <w:pPr>
                      <w:jc w:val="center"/>
                      <w:rPr>
                        <w:szCs w:val="21"/>
                      </w:rPr>
                    </w:pPr>
                    <w:r>
                      <w:rPr>
                        <w:rFonts w:hint="eastAsia"/>
                        <w:szCs w:val="21"/>
                      </w:rPr>
                      <w:t>成本</w:t>
                    </w:r>
                  </w:p>
                </w:tc>
              </w:sdtContent>
            </w:sdt>
          </w:tr>
          <w:tr w:rsidR="00830E72" w14:paraId="07EAFC56" w14:textId="77777777">
            <w:sdt>
              <w:sdtPr>
                <w:tag w:val="_PLD_f2b4fe0479f44a60a5badd071c9f1f86"/>
                <w:id w:val="-1012369076"/>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02F714E4" w14:textId="77777777" w:rsidR="00830E72" w:rsidRDefault="008344D8">
                    <w:pP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5BE9284C" w14:textId="77777777" w:rsidR="00830E72" w:rsidRDefault="008344D8">
                <w:pPr>
                  <w:jc w:val="right"/>
                  <w:rPr>
                    <w:szCs w:val="21"/>
                  </w:rPr>
                </w:pPr>
                <w:r>
                  <w:rPr>
                    <w:szCs w:val="21"/>
                  </w:rPr>
                  <w:t>1,512,029,399.37</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1ABBD1AB" w14:textId="77777777" w:rsidR="00830E72" w:rsidRDefault="008344D8">
                <w:pPr>
                  <w:jc w:val="right"/>
                  <w:rPr>
                    <w:szCs w:val="21"/>
                  </w:rPr>
                </w:pPr>
                <w:r>
                  <w:rPr>
                    <w:szCs w:val="21"/>
                  </w:rPr>
                  <w:t>1,414,966,128.37</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32674060" w14:textId="77777777" w:rsidR="00830E72" w:rsidRDefault="008344D8">
                <w:pPr>
                  <w:jc w:val="right"/>
                  <w:rPr>
                    <w:szCs w:val="21"/>
                  </w:rPr>
                </w:pPr>
                <w:r>
                  <w:rPr>
                    <w:szCs w:val="21"/>
                  </w:rPr>
                  <w:t>1,170,456,015.29</w:t>
                </w: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3E1D5FA4" w14:textId="77777777" w:rsidR="00830E72" w:rsidRDefault="008344D8">
                <w:pPr>
                  <w:jc w:val="right"/>
                  <w:rPr>
                    <w:szCs w:val="21"/>
                  </w:rPr>
                </w:pPr>
                <w:r>
                  <w:rPr>
                    <w:szCs w:val="21"/>
                  </w:rPr>
                  <w:t>1,093,128,734.10</w:t>
                </w:r>
              </w:p>
            </w:tc>
          </w:tr>
          <w:tr w:rsidR="00830E72" w14:paraId="60DC3524" w14:textId="77777777">
            <w:sdt>
              <w:sdtPr>
                <w:tag w:val="_PLD_afc897eb0cea4fd1aa59bd1823fab728"/>
                <w:id w:val="-884793761"/>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5CDF15FB" w14:textId="77777777" w:rsidR="00830E72" w:rsidRDefault="008344D8">
                    <w:pP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755B1480" w14:textId="77777777" w:rsidR="00830E72" w:rsidRDefault="008344D8">
                <w:pPr>
                  <w:jc w:val="right"/>
                  <w:rPr>
                    <w:szCs w:val="21"/>
                  </w:rPr>
                </w:pPr>
                <w:r>
                  <w:rPr>
                    <w:szCs w:val="21"/>
                  </w:rPr>
                  <w:t>4,548,624.19</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422E55EE" w14:textId="77777777" w:rsidR="00830E72" w:rsidRDefault="008344D8">
                <w:pPr>
                  <w:jc w:val="right"/>
                  <w:rPr>
                    <w:szCs w:val="21"/>
                  </w:rPr>
                </w:pPr>
                <w:r>
                  <w:rPr>
                    <w:szCs w:val="21"/>
                  </w:rPr>
                  <w:t>1,794,254.76</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06A366CD" w14:textId="77777777" w:rsidR="00830E72" w:rsidRDefault="008344D8">
                <w:pPr>
                  <w:jc w:val="right"/>
                  <w:rPr>
                    <w:szCs w:val="21"/>
                  </w:rPr>
                </w:pPr>
                <w:r>
                  <w:rPr>
                    <w:szCs w:val="21"/>
                  </w:rPr>
                  <w:t>2,860,791.49</w:t>
                </w: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45AB8A0F" w14:textId="77777777" w:rsidR="00830E72" w:rsidRDefault="008344D8">
                <w:pPr>
                  <w:jc w:val="right"/>
                  <w:rPr>
                    <w:szCs w:val="21"/>
                  </w:rPr>
                </w:pPr>
                <w:r>
                  <w:rPr>
                    <w:szCs w:val="21"/>
                  </w:rPr>
                  <w:t>1,835,195.42</w:t>
                </w:r>
              </w:p>
            </w:tc>
          </w:tr>
          <w:tr w:rsidR="00830E72" w14:paraId="6D99B602" w14:textId="77777777">
            <w:sdt>
              <w:sdtPr>
                <w:tag w:val="_PLD_209c319d43f848d2a0456ecaa5150b62"/>
                <w:id w:val="-1270701475"/>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7AEFA228" w14:textId="77777777" w:rsidR="00830E72" w:rsidRDefault="008344D8">
                    <w:pPr>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562CD0F1" w14:textId="77777777" w:rsidR="00830E72" w:rsidRDefault="008344D8">
                <w:pPr>
                  <w:jc w:val="right"/>
                  <w:rPr>
                    <w:szCs w:val="21"/>
                  </w:rPr>
                </w:pPr>
                <w:r>
                  <w:rPr>
                    <w:szCs w:val="21"/>
                  </w:rPr>
                  <w:t>1,516,578,023.56</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1058837F" w14:textId="77777777" w:rsidR="00830E72" w:rsidRDefault="008344D8">
                <w:pPr>
                  <w:jc w:val="right"/>
                  <w:rPr>
                    <w:szCs w:val="21"/>
                  </w:rPr>
                </w:pPr>
                <w:r>
                  <w:rPr>
                    <w:szCs w:val="21"/>
                  </w:rPr>
                  <w:t>1,416,760,383.13</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2EB95FBA" w14:textId="77777777" w:rsidR="00830E72" w:rsidRDefault="008344D8">
                <w:pPr>
                  <w:jc w:val="right"/>
                  <w:rPr>
                    <w:szCs w:val="21"/>
                  </w:rPr>
                </w:pPr>
                <w:r>
                  <w:rPr>
                    <w:szCs w:val="21"/>
                  </w:rPr>
                  <w:t>1,173,316,806.78</w:t>
                </w: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189A2C14" w14:textId="77777777" w:rsidR="00830E72" w:rsidRDefault="008344D8">
                <w:pPr>
                  <w:jc w:val="right"/>
                  <w:rPr>
                    <w:szCs w:val="21"/>
                  </w:rPr>
                </w:pPr>
                <w:r>
                  <w:rPr>
                    <w:szCs w:val="21"/>
                  </w:rPr>
                  <w:t>1,094,963,929.52</w:t>
                </w:r>
              </w:p>
            </w:tc>
          </w:tr>
        </w:tbl>
      </w:sdtContent>
    </w:sdt>
    <w:bookmarkEnd w:id="237" w:displacedByCustomXml="next"/>
    <w:bookmarkStart w:id="238" w:name="_Hlk10548607" w:displacedByCustomXml="next"/>
    <w:sdt>
      <w:sdtPr>
        <w:rPr>
          <w:rFonts w:ascii="宋体" w:hAnsi="宋体" w:cs="宋体" w:hint="eastAsia"/>
          <w:b w:val="0"/>
          <w:bCs w:val="0"/>
          <w:kern w:val="0"/>
          <w:szCs w:val="21"/>
        </w:rPr>
        <w:alias w:val="模块:合同产生的收入情况："/>
        <w:tag w:val="_SEC_2713156f501a4b5a86eb4ab43bcaf25e"/>
        <w:id w:val="-996423672"/>
        <w:lock w:val="sdtLocked"/>
        <w:placeholder>
          <w:docPart w:val="GBC22222222222222222222222222222"/>
        </w:placeholder>
      </w:sdtPr>
      <w:sdtEndPr>
        <w:rPr>
          <w:rFonts w:ascii="Calibri" w:hAnsi="Calibri" w:cs="Times New Roman"/>
          <w:kern w:val="2"/>
        </w:rPr>
      </w:sdtEndPr>
      <w:sdtContent>
        <w:p w14:paraId="3CE85427" w14:textId="77777777" w:rsidR="00830E72" w:rsidRDefault="008344D8">
          <w:pPr>
            <w:pStyle w:val="Style100"/>
            <w:numPr>
              <w:ilvl w:val="0"/>
              <w:numId w:val="99"/>
            </w:numPr>
            <w:rPr>
              <w:rFonts w:ascii="宋体" w:hAnsi="宋体"/>
              <w:szCs w:val="21"/>
            </w:rPr>
          </w:pPr>
          <w:r>
            <w:rPr>
              <w:rFonts w:ascii="宋体" w:hAnsi="宋体" w:hint="eastAsia"/>
              <w:szCs w:val="21"/>
            </w:rPr>
            <w:t>合同产生的收入情况</w:t>
          </w:r>
        </w:p>
        <w:sdt>
          <w:sdtPr>
            <w:rPr>
              <w:rFonts w:ascii="宋体" w:hAnsi="宋体"/>
              <w:szCs w:val="21"/>
            </w:rPr>
            <w:alias w:val="是否适用：母公司合同产生的收入[双击切换]"/>
            <w:tag w:val="_GBC_f4f1c383538f4a76af749e49b3462b68"/>
            <w:id w:val="44877500"/>
            <w:lock w:val="sdtContentLocked"/>
            <w:placeholder>
              <w:docPart w:val="GBC22222222222222222222222222222"/>
            </w:placeholder>
          </w:sdtPr>
          <w:sdtEndPr/>
          <w:sdtContent>
            <w:p w14:paraId="37F12586" w14:textId="77777777" w:rsidR="00830E72" w:rsidRDefault="008344D8">
              <w:pPr>
                <w:pStyle w:val="Style118"/>
                <w:ind w:firstLineChars="0" w:firstLine="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sdtContent>
    </w:sdt>
    <w:bookmarkEnd w:id="238" w:displacedByCustomXml="next"/>
    <w:bookmarkStart w:id="239" w:name="_Hlk10548652" w:displacedByCustomXml="next"/>
    <w:bookmarkStart w:id="240" w:name="_Hlk10548661" w:displacedByCustomXml="next"/>
    <w:sdt>
      <w:sdtPr>
        <w:rPr>
          <w:rFonts w:ascii="宋体" w:hAnsi="宋体" w:cs="宋体" w:hint="eastAsia"/>
          <w:b w:val="0"/>
          <w:bCs w:val="0"/>
          <w:kern w:val="0"/>
          <w:szCs w:val="24"/>
        </w:rPr>
        <w:alias w:val="模块:履约义务的说明"/>
        <w:tag w:val="_SEC_53d5f13d55ef41a88538eb4a1cd87f53"/>
        <w:id w:val="155271071"/>
        <w:lock w:val="sdtLocked"/>
        <w:placeholder>
          <w:docPart w:val="GBC22222222222222222222222222222"/>
        </w:placeholder>
      </w:sdtPr>
      <w:sdtEndPr>
        <w:rPr>
          <w:rFonts w:hint="default"/>
          <w:szCs w:val="21"/>
        </w:rPr>
      </w:sdtEndPr>
      <w:sdtContent>
        <w:p w14:paraId="393958DA" w14:textId="77777777" w:rsidR="00830E72" w:rsidRDefault="008344D8">
          <w:pPr>
            <w:pStyle w:val="Style100"/>
            <w:numPr>
              <w:ilvl w:val="0"/>
              <w:numId w:val="99"/>
            </w:numPr>
            <w:rPr>
              <w:rFonts w:ascii="宋体" w:hAnsi="宋体"/>
            </w:rPr>
          </w:pPr>
          <w:r>
            <w:rPr>
              <w:rFonts w:ascii="宋体" w:hAnsi="宋体" w:hint="eastAsia"/>
            </w:rPr>
            <w:t>履约义务的说明</w:t>
          </w:r>
          <w:bookmarkEnd w:id="239"/>
        </w:p>
        <w:sdt>
          <w:sdtPr>
            <w:alias w:val="是否适用：母公司履约义务的说明[双击切换]"/>
            <w:tag w:val="_GBC_9fa12dfead42484a96c713de3deeb146"/>
            <w:id w:val="-1655679067"/>
            <w:lock w:val="sdtContentLocked"/>
            <w:placeholder>
              <w:docPart w:val="GBC22222222222222222222222222222"/>
            </w:placeholder>
          </w:sdtPr>
          <w:sdtEndPr/>
          <w:sdtContent>
            <w:p w14:paraId="68126E7F"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40" w:displacedByCustomXml="next"/>
    <w:bookmarkStart w:id="241" w:name="_Hlk10548677" w:displacedByCustomXml="next"/>
    <w:bookmarkStart w:id="242" w:name="_Hlk10548687" w:displacedByCustomXml="next"/>
    <w:sdt>
      <w:sdtPr>
        <w:rPr>
          <w:rFonts w:ascii="宋体" w:hAnsi="宋体" w:cs="宋体" w:hint="eastAsia"/>
          <w:b w:val="0"/>
          <w:bCs w:val="0"/>
          <w:kern w:val="0"/>
          <w:szCs w:val="24"/>
        </w:rPr>
        <w:alias w:val="模块:分摊至剩余履约义务的说明"/>
        <w:tag w:val="_SEC_70d7b3f4762b43eabe7e1ecc83c000d4"/>
        <w:id w:val="-124857674"/>
        <w:lock w:val="sdtLocked"/>
        <w:placeholder>
          <w:docPart w:val="GBC22222222222222222222222222222"/>
        </w:placeholder>
      </w:sdtPr>
      <w:sdtEndPr>
        <w:rPr>
          <w:rFonts w:hint="default"/>
          <w:szCs w:val="21"/>
        </w:rPr>
      </w:sdtEndPr>
      <w:sdtContent>
        <w:p w14:paraId="2625ED08" w14:textId="77777777" w:rsidR="00830E72" w:rsidRDefault="008344D8">
          <w:pPr>
            <w:pStyle w:val="Style100"/>
            <w:numPr>
              <w:ilvl w:val="0"/>
              <w:numId w:val="99"/>
            </w:numPr>
            <w:rPr>
              <w:rFonts w:ascii="宋体" w:hAnsi="宋体"/>
            </w:rPr>
          </w:pPr>
          <w:r>
            <w:rPr>
              <w:rFonts w:ascii="宋体" w:hAnsi="宋体" w:hint="eastAsia"/>
            </w:rPr>
            <w:t>分摊至剩余履约义务的说明</w:t>
          </w:r>
          <w:bookmarkEnd w:id="241"/>
        </w:p>
        <w:sdt>
          <w:sdtPr>
            <w:alias w:val="是否适用：母公司分摊至剩余履约义务的说明[双击切换]"/>
            <w:tag w:val="_GBC_ed475c258e94496384f686833dfaebba"/>
            <w:id w:val="-1070183144"/>
            <w:lock w:val="sdtContentLocked"/>
            <w:placeholder>
              <w:docPart w:val="GBC22222222222222222222222222222"/>
            </w:placeholder>
          </w:sdtPr>
          <w:sdtEndPr/>
          <w:sdtContent>
            <w:p w14:paraId="18031F28"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42" w:displacedByCustomXml="next"/>
    <w:bookmarkStart w:id="243" w:name="_Hlk10548739" w:displacedByCustomXml="next"/>
    <w:bookmarkEnd w:id="243" w:displacedByCustomXml="next"/>
    <w:bookmarkStart w:id="244" w:name="OLE_LINK6" w:displacedByCustomXml="next"/>
    <w:bookmarkStart w:id="245" w:name="_Hlk10720480" w:displacedByCustomXml="next"/>
    <w:sdt>
      <w:sdtPr>
        <w:rPr>
          <w:rFonts w:ascii="宋体" w:hAnsi="宋体" w:cs="宋体" w:hint="eastAsia"/>
          <w:b w:val="0"/>
          <w:bCs w:val="0"/>
          <w:kern w:val="0"/>
          <w:szCs w:val="21"/>
        </w:rPr>
        <w:alias w:val="模块:投资收益"/>
        <w:tag w:val="_SEC_69cb0c27d0a845f8ab1383f9a47646b6"/>
        <w:id w:val="-497818891"/>
        <w:lock w:val="sdtLocked"/>
        <w:placeholder>
          <w:docPart w:val="GBC22222222222222222222222222222"/>
        </w:placeholder>
      </w:sdtPr>
      <w:sdtEndPr>
        <w:rPr>
          <w:rFonts w:hint="default"/>
        </w:rPr>
      </w:sdtEndPr>
      <w:sdtContent>
        <w:p w14:paraId="7F77CC75" w14:textId="77777777" w:rsidR="00830E72" w:rsidRDefault="008344D8">
          <w:pPr>
            <w:pStyle w:val="Style99"/>
            <w:numPr>
              <w:ilvl w:val="0"/>
              <w:numId w:val="95"/>
            </w:numPr>
            <w:rPr>
              <w:rFonts w:ascii="宋体" w:hAnsi="宋体"/>
              <w:szCs w:val="21"/>
            </w:rPr>
          </w:pPr>
          <w:r>
            <w:rPr>
              <w:rFonts w:ascii="宋体" w:hAnsi="宋体" w:hint="eastAsia"/>
              <w:szCs w:val="21"/>
            </w:rPr>
            <w:t>投资收益</w:t>
          </w:r>
          <w:bookmarkEnd w:id="244"/>
        </w:p>
        <w:sdt>
          <w:sdtPr>
            <w:alias w:val="是否适用：母公司投资收益[双击切换]"/>
            <w:tag w:val="_GBC_bdba48f0322747499f6908fbbf78a16f"/>
            <w:id w:val="996769271"/>
            <w:lock w:val="sdtContentLocked"/>
            <w:placeholder>
              <w:docPart w:val="GBC22222222222222222222222222222"/>
            </w:placeholder>
          </w:sdtPr>
          <w:sdtEndPr/>
          <w:sdtContent>
            <w:p w14:paraId="31EB9E7D"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72BF029" w14:textId="77777777" w:rsidR="00830E72" w:rsidRDefault="00D44830">
          <w:pPr>
            <w:rPr>
              <w:szCs w:val="21"/>
            </w:rPr>
          </w:pPr>
        </w:p>
      </w:sdtContent>
    </w:sdt>
    <w:bookmarkEnd w:id="245" w:displacedByCustomXml="next"/>
    <w:sdt>
      <w:sdtPr>
        <w:rPr>
          <w:rFonts w:ascii="宋体" w:hAnsi="宋体" w:cs="宋体" w:hint="eastAsia"/>
          <w:b w:val="0"/>
          <w:bCs w:val="0"/>
          <w:kern w:val="0"/>
          <w:szCs w:val="21"/>
        </w:rPr>
        <w:alias w:val="模块:母公司会计报表附注的其他说明事项"/>
        <w:tag w:val="_GBC_23958e5452684882b98c8317e400c8d6"/>
        <w:id w:val="1498145017"/>
        <w:lock w:val="sdtLocked"/>
        <w:placeholder>
          <w:docPart w:val="GBC22222222222222222222222222222"/>
        </w:placeholder>
      </w:sdtPr>
      <w:sdtEndPr/>
      <w:sdtContent>
        <w:p w14:paraId="2BA92B10" w14:textId="77777777" w:rsidR="00830E72" w:rsidRDefault="008344D8">
          <w:pPr>
            <w:pStyle w:val="Style99"/>
            <w:numPr>
              <w:ilvl w:val="0"/>
              <w:numId w:val="95"/>
            </w:numPr>
            <w:rPr>
              <w:rFonts w:ascii="宋体" w:hAnsi="宋体"/>
              <w:szCs w:val="21"/>
            </w:rPr>
          </w:pPr>
          <w:r>
            <w:rPr>
              <w:rFonts w:ascii="宋体" w:hAnsi="宋体" w:hint="eastAsia"/>
              <w:szCs w:val="21"/>
            </w:rPr>
            <w:t>其他</w:t>
          </w:r>
        </w:p>
        <w:sdt>
          <w:sdtPr>
            <w:alias w:val="是否适用：母公司会计报表附注的其他说明事项[双击切换]"/>
            <w:tag w:val="_GBC_198503cdf8c8448ea7bb4de3243a4de8"/>
            <w:id w:val="-1567952244"/>
            <w:lock w:val="sdtContentLocked"/>
            <w:placeholder>
              <w:docPart w:val="GBC22222222222222222222222222222"/>
            </w:placeholder>
          </w:sdtPr>
          <w:sdtEndPr/>
          <w:sdtContent>
            <w:p w14:paraId="13E5DA4F"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3F4C5D6" w14:textId="77777777" w:rsidR="00830E72" w:rsidRDefault="00830E72">
      <w:pPr>
        <w:rPr>
          <w:szCs w:val="21"/>
        </w:rPr>
      </w:pPr>
    </w:p>
    <w:p w14:paraId="1056AB57" w14:textId="77777777" w:rsidR="00830E72" w:rsidRDefault="008344D8">
      <w:pPr>
        <w:pStyle w:val="2CharCharChar"/>
        <w:numPr>
          <w:ilvl w:val="0"/>
          <w:numId w:val="32"/>
        </w:numPr>
        <w:ind w:left="422" w:hanging="422"/>
        <w:rPr>
          <w:rFonts w:ascii="宋体" w:hAnsi="宋体"/>
        </w:rPr>
      </w:pPr>
      <w:r>
        <w:rPr>
          <w:rFonts w:ascii="宋体" w:hAnsi="宋体" w:hint="eastAsia"/>
        </w:rPr>
        <w:lastRenderedPageBreak/>
        <w:t>补充资料</w:t>
      </w:r>
    </w:p>
    <w:bookmarkStart w:id="246" w:name="_Hlk10548828" w:displacedByCustomXml="next"/>
    <w:sdt>
      <w:sdtPr>
        <w:rPr>
          <w:rFonts w:ascii="宋体" w:hAnsi="宋体" w:cs="宋体" w:hint="eastAsia"/>
          <w:b w:val="0"/>
          <w:bCs w:val="0"/>
          <w:kern w:val="0"/>
          <w:szCs w:val="21"/>
        </w:rPr>
        <w:alias w:val="模块:当期非经常性损益明细"/>
        <w:tag w:val="_GBC_08eb8d7076584daebd23121ab43f25e0"/>
        <w:id w:val="1841045238"/>
        <w:lock w:val="sdtLocked"/>
        <w:placeholder>
          <w:docPart w:val="GBC22222222222222222222222222222"/>
        </w:placeholder>
      </w:sdtPr>
      <w:sdtEndPr>
        <w:rPr>
          <w:szCs w:val="24"/>
        </w:rPr>
      </w:sdtEndPr>
      <w:sdtContent>
        <w:p w14:paraId="67F7E12D" w14:textId="77777777" w:rsidR="00830E72" w:rsidRDefault="008344D8">
          <w:pPr>
            <w:pStyle w:val="Style99"/>
            <w:numPr>
              <w:ilvl w:val="0"/>
              <w:numId w:val="100"/>
            </w:numPr>
            <w:rPr>
              <w:rFonts w:ascii="宋体" w:hAnsi="宋体"/>
              <w:szCs w:val="21"/>
            </w:rPr>
          </w:pPr>
          <w:r>
            <w:rPr>
              <w:rFonts w:ascii="宋体" w:hAnsi="宋体" w:hint="eastAsia"/>
              <w:szCs w:val="21"/>
            </w:rPr>
            <w:t>当期非经常性损益明细表</w:t>
          </w:r>
        </w:p>
        <w:sdt>
          <w:sdtPr>
            <w:alias w:val="是否适用：当期非经常性损益明细表[双击切换]"/>
            <w:tag w:val="_GBC_8fceb8da54a2446e9747e9ca62cb6a1a"/>
            <w:id w:val="-2090296748"/>
            <w:lock w:val="sdtContentLocked"/>
            <w:placeholder>
              <w:docPart w:val="GBC22222222222222222222222222222"/>
            </w:placeholder>
          </w:sdtPr>
          <w:sdtEndPr/>
          <w:sdtContent>
            <w:p w14:paraId="2B865A82"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C4AFAED" w14:textId="77777777" w:rsidR="00830E72" w:rsidRDefault="008344D8">
          <w:pPr>
            <w:jc w:val="right"/>
            <w:rPr>
              <w:szCs w:val="21"/>
            </w:rPr>
          </w:pPr>
          <w:r>
            <w:rPr>
              <w:rFonts w:hint="eastAsia"/>
              <w:szCs w:val="21"/>
            </w:rPr>
            <w:t>单位：</w:t>
          </w:r>
          <w:sdt>
            <w:sdtPr>
              <w:rPr>
                <w:rFonts w:hint="eastAsia"/>
                <w:szCs w:val="21"/>
              </w:rPr>
              <w:alias w:val="单位：扣除非经常性损益项目和金额"/>
              <w:tag w:val="_GBC_5c7a78a144ce4f78943f6ba4db018dd1"/>
              <w:id w:val="7052994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7871688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3"/>
            <w:gridCol w:w="1598"/>
            <w:gridCol w:w="1348"/>
          </w:tblGrid>
          <w:tr w:rsidR="00830E72" w14:paraId="7A44A0CC" w14:textId="77777777">
            <w:sdt>
              <w:sdtPr>
                <w:tag w:val="_PLD_4d447086960c4639856414679d1dbf26"/>
                <w:id w:val="-304089809"/>
                <w:lock w:val="sdtLocked"/>
              </w:sdtPr>
              <w:sdtEndPr/>
              <w:sdtContent>
                <w:tc>
                  <w:tcPr>
                    <w:tcW w:w="3371" w:type="pct"/>
                    <w:shd w:val="clear" w:color="auto" w:fill="auto"/>
                    <w:vAlign w:val="center"/>
                  </w:tcPr>
                  <w:p w14:paraId="43893DCC" w14:textId="77777777" w:rsidR="00830E72" w:rsidRDefault="008344D8">
                    <w:pPr>
                      <w:jc w:val="center"/>
                      <w:rPr>
                        <w:szCs w:val="21"/>
                      </w:rPr>
                    </w:pPr>
                    <w:r>
                      <w:rPr>
                        <w:rFonts w:hint="eastAsia"/>
                        <w:szCs w:val="21"/>
                      </w:rPr>
                      <w:t>项目</w:t>
                    </w:r>
                  </w:p>
                </w:tc>
              </w:sdtContent>
            </w:sdt>
            <w:sdt>
              <w:sdtPr>
                <w:tag w:val="_PLD_4124386579a74ebabf17d2fb03dfbacc"/>
                <w:id w:val="1816834580"/>
                <w:lock w:val="sdtLocked"/>
              </w:sdtPr>
              <w:sdtEndPr/>
              <w:sdtContent>
                <w:tc>
                  <w:tcPr>
                    <w:tcW w:w="883" w:type="pct"/>
                    <w:shd w:val="clear" w:color="auto" w:fill="auto"/>
                  </w:tcPr>
                  <w:p w14:paraId="0314A3F0" w14:textId="77777777" w:rsidR="00830E72" w:rsidRDefault="008344D8">
                    <w:pPr>
                      <w:jc w:val="center"/>
                      <w:rPr>
                        <w:szCs w:val="21"/>
                      </w:rPr>
                    </w:pPr>
                    <w:r>
                      <w:rPr>
                        <w:rFonts w:hint="eastAsia"/>
                        <w:szCs w:val="21"/>
                      </w:rPr>
                      <w:t>金额</w:t>
                    </w:r>
                  </w:p>
                </w:tc>
              </w:sdtContent>
            </w:sdt>
            <w:sdt>
              <w:sdtPr>
                <w:tag w:val="_PLD_d8bc4effaf7140f69603e5c1fdd518e2"/>
                <w:id w:val="-1604262292"/>
                <w:lock w:val="sdtLocked"/>
              </w:sdtPr>
              <w:sdtEndPr/>
              <w:sdtContent>
                <w:tc>
                  <w:tcPr>
                    <w:tcW w:w="745" w:type="pct"/>
                  </w:tcPr>
                  <w:p w14:paraId="49E1E615" w14:textId="77777777" w:rsidR="00830E72" w:rsidRDefault="008344D8">
                    <w:pPr>
                      <w:jc w:val="center"/>
                      <w:rPr>
                        <w:szCs w:val="21"/>
                      </w:rPr>
                    </w:pPr>
                    <w:r>
                      <w:rPr>
                        <w:rFonts w:hint="eastAsia"/>
                        <w:szCs w:val="21"/>
                      </w:rPr>
                      <w:t>说明</w:t>
                    </w:r>
                  </w:p>
                </w:tc>
              </w:sdtContent>
            </w:sdt>
          </w:tr>
          <w:tr w:rsidR="00830E72" w14:paraId="431ABB28" w14:textId="77777777">
            <w:sdt>
              <w:sdtPr>
                <w:tag w:val="_PLD_a4c284eee58641a284682b8ca51165ce"/>
                <w:id w:val="1276755699"/>
                <w:lock w:val="sdtLocked"/>
              </w:sdtPr>
              <w:sdtEndPr/>
              <w:sdtContent>
                <w:tc>
                  <w:tcPr>
                    <w:tcW w:w="3371" w:type="pct"/>
                    <w:shd w:val="clear" w:color="auto" w:fill="auto"/>
                    <w:vAlign w:val="center"/>
                  </w:tcPr>
                  <w:p w14:paraId="35D9BBE7" w14:textId="77777777" w:rsidR="00830E72" w:rsidRDefault="008344D8">
                    <w:pPr>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1851402051"/>
                <w:lock w:val="sdtLocked"/>
                <w:text/>
              </w:sdtPr>
              <w:sdtEndPr/>
              <w:sdtContent>
                <w:tc>
                  <w:tcPr>
                    <w:tcW w:w="883" w:type="pct"/>
                    <w:shd w:val="clear" w:color="auto" w:fill="auto"/>
                    <w:vAlign w:val="center"/>
                  </w:tcPr>
                  <w:p w14:paraId="7D0A6841" w14:textId="77777777" w:rsidR="00830E72" w:rsidRDefault="008344D8">
                    <w:pPr>
                      <w:jc w:val="right"/>
                      <w:rPr>
                        <w:szCs w:val="21"/>
                      </w:rPr>
                    </w:pPr>
                    <w:r>
                      <w:rPr>
                        <w:szCs w:val="21"/>
                      </w:rPr>
                      <w:t>27,259.01</w:t>
                    </w:r>
                  </w:p>
                </w:tc>
              </w:sdtContent>
            </w:sdt>
            <w:sdt>
              <w:sdtPr>
                <w:rPr>
                  <w:szCs w:val="21"/>
                </w:rPr>
                <w:alias w:val="非流动性资产处置损益，包括已计提资产减值准备的冲销部分的说明（非经常性损益项目）"/>
                <w:tag w:val="_GBC_dbf112280e8b447b803745e3222ebaab"/>
                <w:id w:val="-923570250"/>
                <w:lock w:val="sdtLocked"/>
                <w:showingPlcHdr/>
                <w:text/>
              </w:sdtPr>
              <w:sdtEndPr/>
              <w:sdtContent>
                <w:tc>
                  <w:tcPr>
                    <w:tcW w:w="745" w:type="pct"/>
                    <w:vAlign w:val="center"/>
                  </w:tcPr>
                  <w:p w14:paraId="134E6F91" w14:textId="77777777" w:rsidR="00830E72" w:rsidRDefault="008344D8">
                    <w:pPr>
                      <w:rPr>
                        <w:b/>
                        <w:szCs w:val="21"/>
                      </w:rPr>
                    </w:pPr>
                    <w:r>
                      <w:rPr>
                        <w:rFonts w:hint="eastAsia"/>
                        <w:color w:val="0000FF"/>
                        <w:szCs w:val="21"/>
                      </w:rPr>
                      <w:t xml:space="preserve">　</w:t>
                    </w:r>
                  </w:p>
                </w:tc>
              </w:sdtContent>
            </w:sdt>
          </w:tr>
          <w:tr w:rsidR="00830E72" w14:paraId="7B0242E3" w14:textId="77777777">
            <w:sdt>
              <w:sdtPr>
                <w:tag w:val="_PLD_1c23f9d3aa08475185cdc79972a7d629"/>
                <w:id w:val="-933053541"/>
                <w:lock w:val="sdtLocked"/>
              </w:sdtPr>
              <w:sdtEndPr/>
              <w:sdtContent>
                <w:tc>
                  <w:tcPr>
                    <w:tcW w:w="3371" w:type="pct"/>
                    <w:shd w:val="clear" w:color="auto" w:fill="auto"/>
                    <w:vAlign w:val="center"/>
                  </w:tcPr>
                  <w:p w14:paraId="738AD12F" w14:textId="77777777" w:rsidR="00830E72" w:rsidRDefault="008344D8">
                    <w:pPr>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经常性损"/>
                <w:tag w:val="_GBC_87d17071bbe748b28c703f8eaec85e23"/>
                <w:id w:val="1205597108"/>
                <w:lock w:val="sdtLocked"/>
                <w:text/>
              </w:sdtPr>
              <w:sdtEndPr/>
              <w:sdtContent>
                <w:tc>
                  <w:tcPr>
                    <w:tcW w:w="883" w:type="pct"/>
                    <w:shd w:val="clear" w:color="auto" w:fill="auto"/>
                    <w:vAlign w:val="center"/>
                  </w:tcPr>
                  <w:p w14:paraId="2F87E83E" w14:textId="77777777" w:rsidR="00830E72" w:rsidRDefault="008344D8">
                    <w:pPr>
                      <w:jc w:val="right"/>
                      <w:rPr>
                        <w:szCs w:val="21"/>
                      </w:rPr>
                    </w:pPr>
                    <w:r>
                      <w:rPr>
                        <w:szCs w:val="21"/>
                      </w:rPr>
                      <w:t>157,747.92</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1681200294"/>
                <w:lock w:val="sdtLocked"/>
                <w:showingPlcHdr/>
                <w:text/>
              </w:sdtPr>
              <w:sdtEndPr/>
              <w:sdtContent>
                <w:tc>
                  <w:tcPr>
                    <w:tcW w:w="745" w:type="pct"/>
                    <w:vAlign w:val="center"/>
                  </w:tcPr>
                  <w:p w14:paraId="0BE56938" w14:textId="77777777" w:rsidR="00830E72" w:rsidRDefault="008344D8">
                    <w:pPr>
                      <w:rPr>
                        <w:szCs w:val="21"/>
                      </w:rPr>
                    </w:pPr>
                    <w:r>
                      <w:rPr>
                        <w:rFonts w:hint="eastAsia"/>
                        <w:color w:val="0000FF"/>
                        <w:szCs w:val="21"/>
                      </w:rPr>
                      <w:t xml:space="preserve">　</w:t>
                    </w:r>
                  </w:p>
                </w:tc>
              </w:sdtContent>
            </w:sdt>
          </w:tr>
          <w:tr w:rsidR="00830E72" w14:paraId="2E0B0313" w14:textId="77777777">
            <w:sdt>
              <w:sdtPr>
                <w:tag w:val="_PLD_b0f68967a04b4a8a89df6132091b7461"/>
                <w:id w:val="-2011438295"/>
                <w:lock w:val="sdtLocked"/>
              </w:sdtPr>
              <w:sdtEndPr/>
              <w:sdtContent>
                <w:tc>
                  <w:tcPr>
                    <w:tcW w:w="3371" w:type="pct"/>
                    <w:shd w:val="clear" w:color="auto" w:fill="auto"/>
                    <w:vAlign w:val="center"/>
                  </w:tcPr>
                  <w:p w14:paraId="20CCEB7D" w14:textId="77777777" w:rsidR="00830E72" w:rsidRDefault="008344D8">
                    <w:pPr>
                      <w:rPr>
                        <w:szCs w:val="21"/>
                      </w:rPr>
                    </w:pPr>
                    <w:r>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585075226"/>
                <w:lock w:val="sdtLocked"/>
                <w:text/>
              </w:sdtPr>
              <w:sdtEndPr/>
              <w:sdtContent>
                <w:tc>
                  <w:tcPr>
                    <w:tcW w:w="883" w:type="pct"/>
                    <w:shd w:val="clear" w:color="auto" w:fill="auto"/>
                    <w:vAlign w:val="center"/>
                  </w:tcPr>
                  <w:p w14:paraId="7072D8F9" w14:textId="77777777" w:rsidR="00830E72" w:rsidRDefault="008344D8">
                    <w:pPr>
                      <w:jc w:val="right"/>
                      <w:rPr>
                        <w:szCs w:val="21"/>
                      </w:rPr>
                    </w:pPr>
                    <w:r>
                      <w:rPr>
                        <w:szCs w:val="21"/>
                      </w:rPr>
                      <w:t>-126,105.54</w:t>
                    </w:r>
                  </w:p>
                </w:tc>
              </w:sdtContent>
            </w:sdt>
            <w:sdt>
              <w:sdtPr>
                <w:rPr>
                  <w:szCs w:val="21"/>
                </w:rPr>
                <w:alias w:val="除上述各项之外的其他营业外收入和支出的说明（非经常性损益项目）"/>
                <w:tag w:val="_GBC_c4fc3e35307e455db3b9161cb811a087"/>
                <w:id w:val="537164935"/>
                <w:lock w:val="sdtLocked"/>
                <w:showingPlcHdr/>
                <w:text/>
              </w:sdtPr>
              <w:sdtEndPr/>
              <w:sdtContent>
                <w:tc>
                  <w:tcPr>
                    <w:tcW w:w="745" w:type="pct"/>
                    <w:vAlign w:val="center"/>
                  </w:tcPr>
                  <w:p w14:paraId="00FABC00" w14:textId="77777777" w:rsidR="00830E72" w:rsidRDefault="008344D8">
                    <w:pPr>
                      <w:rPr>
                        <w:szCs w:val="21"/>
                      </w:rPr>
                    </w:pPr>
                    <w:r>
                      <w:rPr>
                        <w:rFonts w:hint="eastAsia"/>
                        <w:color w:val="0000FF"/>
                        <w:szCs w:val="21"/>
                      </w:rPr>
                      <w:t xml:space="preserve">　</w:t>
                    </w:r>
                  </w:p>
                </w:tc>
              </w:sdtContent>
            </w:sdt>
          </w:tr>
          <w:tr w:rsidR="00830E72" w14:paraId="1DBE2709" w14:textId="77777777">
            <w:sdt>
              <w:sdtPr>
                <w:tag w:val="_PLD_659b510fa20e419f93068876515ea27a"/>
                <w:id w:val="-798299041"/>
                <w:lock w:val="sdtLocked"/>
              </w:sdtPr>
              <w:sdtEndPr/>
              <w:sdtContent>
                <w:tc>
                  <w:tcPr>
                    <w:tcW w:w="3371" w:type="pct"/>
                    <w:shd w:val="clear" w:color="auto" w:fill="auto"/>
                    <w:vAlign w:val="center"/>
                  </w:tcPr>
                  <w:p w14:paraId="7781B6C8" w14:textId="77777777" w:rsidR="00830E72" w:rsidRDefault="008344D8">
                    <w:pPr>
                      <w:rPr>
                        <w:szCs w:val="21"/>
                      </w:rPr>
                    </w:pPr>
                    <w:r>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1459992255"/>
                <w:lock w:val="sdtLocked"/>
                <w:text/>
              </w:sdtPr>
              <w:sdtEndPr/>
              <w:sdtContent>
                <w:tc>
                  <w:tcPr>
                    <w:tcW w:w="883" w:type="pct"/>
                    <w:shd w:val="clear" w:color="auto" w:fill="auto"/>
                    <w:vAlign w:val="center"/>
                  </w:tcPr>
                  <w:p w14:paraId="464E1BEB" w14:textId="77777777" w:rsidR="00830E72" w:rsidRDefault="008344D8">
                    <w:pPr>
                      <w:jc w:val="right"/>
                      <w:rPr>
                        <w:szCs w:val="21"/>
                      </w:rPr>
                    </w:pPr>
                    <w:r>
                      <w:rPr>
                        <w:szCs w:val="21"/>
                      </w:rPr>
                      <w:t>169,338.54</w:t>
                    </w:r>
                  </w:p>
                </w:tc>
              </w:sdtContent>
            </w:sdt>
            <w:sdt>
              <w:sdtPr>
                <w:rPr>
                  <w:rFonts w:hint="eastAsia"/>
                  <w:szCs w:val="21"/>
                </w:rPr>
                <w:alias w:val="其他符合非经常性损益定义的损益项目说明（非经常性损益项目）"/>
                <w:tag w:val="_GBC_88d5aaf5624d44b4a912d7c291f5337b"/>
                <w:id w:val="-1700228474"/>
                <w:lock w:val="sdtLocked"/>
                <w:showingPlcHdr/>
                <w:text/>
              </w:sdtPr>
              <w:sdtEndPr/>
              <w:sdtContent>
                <w:tc>
                  <w:tcPr>
                    <w:tcW w:w="745" w:type="pct"/>
                    <w:vAlign w:val="center"/>
                  </w:tcPr>
                  <w:p w14:paraId="3D91CEFA" w14:textId="77777777" w:rsidR="00830E72" w:rsidRDefault="008344D8">
                    <w:pPr>
                      <w:rPr>
                        <w:szCs w:val="21"/>
                      </w:rPr>
                    </w:pPr>
                    <w:r>
                      <w:rPr>
                        <w:rFonts w:hint="eastAsia"/>
                        <w:color w:val="0000FF"/>
                        <w:szCs w:val="21"/>
                      </w:rPr>
                      <w:t xml:space="preserve">　</w:t>
                    </w:r>
                  </w:p>
                </w:tc>
              </w:sdtContent>
            </w:sdt>
          </w:tr>
          <w:tr w:rsidR="00830E72" w14:paraId="0CE41285" w14:textId="77777777">
            <w:sdt>
              <w:sdtPr>
                <w:tag w:val="_PLD_8cbcd160f56e4221a63548c56021b209"/>
                <w:id w:val="451205681"/>
                <w:lock w:val="sdtLocked"/>
              </w:sdtPr>
              <w:sdtEndPr/>
              <w:sdtContent>
                <w:tc>
                  <w:tcPr>
                    <w:tcW w:w="3371" w:type="pct"/>
                    <w:shd w:val="clear" w:color="auto" w:fill="auto"/>
                    <w:vAlign w:val="center"/>
                  </w:tcPr>
                  <w:p w14:paraId="22EC526C" w14:textId="77777777" w:rsidR="00830E72" w:rsidRDefault="008344D8">
                    <w:pPr>
                      <w:rPr>
                        <w:szCs w:val="21"/>
                      </w:rPr>
                    </w:pPr>
                    <w:r>
                      <w:rPr>
                        <w:rFonts w:hint="eastAsia"/>
                        <w:szCs w:val="21"/>
                      </w:rPr>
                      <w:t>所得税影响额</w:t>
                    </w:r>
                  </w:p>
                </w:tc>
              </w:sdtContent>
            </w:sdt>
            <w:sdt>
              <w:sdtPr>
                <w:rPr>
                  <w:rFonts w:hint="eastAsia"/>
                  <w:szCs w:val="21"/>
                </w:rPr>
                <w:alias w:val="非经常性损益_对所得税的影响"/>
                <w:tag w:val="_GBC_7c06520ea03942669b02b787ffcbb214"/>
                <w:id w:val="-1473361220"/>
                <w:lock w:val="sdtLocked"/>
                <w:text/>
              </w:sdtPr>
              <w:sdtEndPr/>
              <w:sdtContent>
                <w:tc>
                  <w:tcPr>
                    <w:tcW w:w="883" w:type="pct"/>
                    <w:shd w:val="clear" w:color="auto" w:fill="auto"/>
                    <w:vAlign w:val="center"/>
                  </w:tcPr>
                  <w:p w14:paraId="5F22BE04" w14:textId="77777777" w:rsidR="00830E72" w:rsidRDefault="008344D8">
                    <w:pPr>
                      <w:jc w:val="right"/>
                      <w:rPr>
                        <w:szCs w:val="21"/>
                      </w:rPr>
                    </w:pPr>
                    <w:r>
                      <w:rPr>
                        <w:rFonts w:hint="eastAsia"/>
                        <w:szCs w:val="21"/>
                      </w:rPr>
                      <w:t>-</w:t>
                    </w:r>
                    <w:r>
                      <w:rPr>
                        <w:szCs w:val="21"/>
                      </w:rPr>
                      <w:t>55,731.81</w:t>
                    </w:r>
                  </w:p>
                </w:tc>
              </w:sdtContent>
            </w:sdt>
            <w:sdt>
              <w:sdtPr>
                <w:rPr>
                  <w:szCs w:val="21"/>
                </w:rPr>
                <w:alias w:val="所得税影响额的说明（非经常性损益项目）"/>
                <w:tag w:val="_GBC_7ed1b962000f41dc8da48b033f074791"/>
                <w:id w:val="1114789059"/>
                <w:lock w:val="sdtLocked"/>
                <w:showingPlcHdr/>
                <w:text/>
              </w:sdtPr>
              <w:sdtEndPr/>
              <w:sdtContent>
                <w:tc>
                  <w:tcPr>
                    <w:tcW w:w="745" w:type="pct"/>
                    <w:vAlign w:val="center"/>
                  </w:tcPr>
                  <w:p w14:paraId="52E095EA" w14:textId="77777777" w:rsidR="00830E72" w:rsidRDefault="008344D8">
                    <w:pPr>
                      <w:rPr>
                        <w:szCs w:val="21"/>
                      </w:rPr>
                    </w:pPr>
                    <w:r>
                      <w:rPr>
                        <w:rFonts w:hint="eastAsia"/>
                        <w:color w:val="0000FF"/>
                        <w:szCs w:val="21"/>
                      </w:rPr>
                      <w:t xml:space="preserve">　</w:t>
                    </w:r>
                  </w:p>
                </w:tc>
              </w:sdtContent>
            </w:sdt>
          </w:tr>
          <w:tr w:rsidR="00830E72" w14:paraId="74D129B2" w14:textId="77777777">
            <w:sdt>
              <w:sdtPr>
                <w:tag w:val="_PLD_f8bdffd50d284f23ab4d0b1e6b4b1b9e"/>
                <w:id w:val="1508630793"/>
                <w:lock w:val="sdtLocked"/>
              </w:sdtPr>
              <w:sdtEndPr/>
              <w:sdtContent>
                <w:tc>
                  <w:tcPr>
                    <w:tcW w:w="3371" w:type="pct"/>
                    <w:shd w:val="clear" w:color="auto" w:fill="auto"/>
                    <w:vAlign w:val="center"/>
                  </w:tcPr>
                  <w:p w14:paraId="24A729FF" w14:textId="77777777" w:rsidR="00830E72" w:rsidRDefault="008344D8">
                    <w:pPr>
                      <w:rPr>
                        <w:szCs w:val="21"/>
                      </w:rPr>
                    </w:pPr>
                    <w:r>
                      <w:rPr>
                        <w:rFonts w:hint="eastAsia"/>
                        <w:szCs w:val="21"/>
                      </w:rPr>
                      <w:t>少数股东权益影响额</w:t>
                    </w:r>
                  </w:p>
                </w:tc>
              </w:sdtContent>
            </w:sdt>
            <w:sdt>
              <w:sdtPr>
                <w:rPr>
                  <w:rFonts w:hint="eastAsia"/>
                  <w:szCs w:val="21"/>
                </w:rPr>
                <w:alias w:val="少数股东权益影响额（非经常性损益项目）"/>
                <w:tag w:val="_GBC_285f00e961c943a8a9d140a4d52403f1"/>
                <w:id w:val="-172964783"/>
                <w:lock w:val="sdtLocked"/>
                <w:text/>
              </w:sdtPr>
              <w:sdtEndPr/>
              <w:sdtContent>
                <w:tc>
                  <w:tcPr>
                    <w:tcW w:w="883" w:type="pct"/>
                    <w:shd w:val="clear" w:color="auto" w:fill="auto"/>
                    <w:vAlign w:val="center"/>
                  </w:tcPr>
                  <w:p w14:paraId="3C02DF86" w14:textId="77777777" w:rsidR="00830E72" w:rsidRDefault="008344D8">
                    <w:pPr>
                      <w:jc w:val="right"/>
                      <w:rPr>
                        <w:szCs w:val="21"/>
                      </w:rPr>
                    </w:pPr>
                    <w:r>
                      <w:rPr>
                        <w:rFonts w:hint="eastAsia"/>
                        <w:szCs w:val="21"/>
                      </w:rPr>
                      <w:t>-</w:t>
                    </w:r>
                    <w:r>
                      <w:rPr>
                        <w:szCs w:val="21"/>
                      </w:rPr>
                      <w:t>25,125.60</w:t>
                    </w:r>
                  </w:p>
                </w:tc>
              </w:sdtContent>
            </w:sdt>
            <w:sdt>
              <w:sdtPr>
                <w:rPr>
                  <w:szCs w:val="21"/>
                </w:rPr>
                <w:alias w:val="少数股东权益影响额的说明（非经常性损益项目）"/>
                <w:tag w:val="_GBC_c9a288fb29d348cbb8d20de9f399a549"/>
                <w:id w:val="1904327402"/>
                <w:lock w:val="sdtLocked"/>
                <w:showingPlcHdr/>
                <w:text/>
              </w:sdtPr>
              <w:sdtEndPr/>
              <w:sdtContent>
                <w:tc>
                  <w:tcPr>
                    <w:tcW w:w="745" w:type="pct"/>
                    <w:vAlign w:val="center"/>
                  </w:tcPr>
                  <w:p w14:paraId="5545E0E2" w14:textId="77777777" w:rsidR="00830E72" w:rsidRDefault="008344D8">
                    <w:pPr>
                      <w:rPr>
                        <w:szCs w:val="21"/>
                      </w:rPr>
                    </w:pPr>
                    <w:r>
                      <w:rPr>
                        <w:rFonts w:hint="eastAsia"/>
                        <w:color w:val="0000FF"/>
                        <w:szCs w:val="21"/>
                      </w:rPr>
                      <w:t xml:space="preserve">　</w:t>
                    </w:r>
                  </w:p>
                </w:tc>
              </w:sdtContent>
            </w:sdt>
          </w:tr>
          <w:tr w:rsidR="00830E72" w14:paraId="3F789DCB" w14:textId="77777777">
            <w:sdt>
              <w:sdtPr>
                <w:tag w:val="_PLD_f4375b3f262d423d9aed45796f2bf18d"/>
                <w:id w:val="-1384094473"/>
                <w:lock w:val="sdtLocked"/>
              </w:sdtPr>
              <w:sdtEndPr/>
              <w:sdtContent>
                <w:tc>
                  <w:tcPr>
                    <w:tcW w:w="3371" w:type="pct"/>
                    <w:shd w:val="clear" w:color="auto" w:fill="auto"/>
                    <w:vAlign w:val="center"/>
                  </w:tcPr>
                  <w:p w14:paraId="17398B93" w14:textId="77777777" w:rsidR="00830E72" w:rsidRDefault="008344D8">
                    <w:pPr>
                      <w:jc w:val="center"/>
                      <w:rPr>
                        <w:szCs w:val="21"/>
                      </w:rPr>
                    </w:pPr>
                    <w:r>
                      <w:rPr>
                        <w:rFonts w:hint="eastAsia"/>
                        <w:szCs w:val="21"/>
                      </w:rPr>
                      <w:t>合计</w:t>
                    </w:r>
                  </w:p>
                </w:tc>
              </w:sdtContent>
            </w:sdt>
            <w:sdt>
              <w:sdtPr>
                <w:rPr>
                  <w:rFonts w:hint="eastAsia"/>
                  <w:szCs w:val="21"/>
                </w:rPr>
                <w:alias w:val="扣除的非经常性损益合计"/>
                <w:tag w:val="_GBC_dbd56aa5278f45e1a3a0a62cc2b32d3d"/>
                <w:id w:val="1228576202"/>
                <w:lock w:val="sdtLocked"/>
                <w:text/>
              </w:sdtPr>
              <w:sdtEndPr/>
              <w:sdtContent>
                <w:tc>
                  <w:tcPr>
                    <w:tcW w:w="883" w:type="pct"/>
                    <w:shd w:val="clear" w:color="auto" w:fill="auto"/>
                    <w:vAlign w:val="center"/>
                  </w:tcPr>
                  <w:p w14:paraId="15AC4E43" w14:textId="77777777" w:rsidR="00830E72" w:rsidRDefault="008344D8">
                    <w:pPr>
                      <w:jc w:val="right"/>
                      <w:rPr>
                        <w:szCs w:val="21"/>
                      </w:rPr>
                    </w:pPr>
                    <w:r>
                      <w:rPr>
                        <w:szCs w:val="21"/>
                      </w:rPr>
                      <w:t>147,382.52</w:t>
                    </w:r>
                  </w:p>
                </w:tc>
              </w:sdtContent>
            </w:sdt>
            <w:sdt>
              <w:sdtPr>
                <w:rPr>
                  <w:rFonts w:hint="eastAsia"/>
                  <w:szCs w:val="21"/>
                </w:rPr>
                <w:alias w:val="扣除的非经常性损益合计说明"/>
                <w:tag w:val="_GBC_fd47d890fc7a493192e451b6575f5e8a"/>
                <w:id w:val="1847125388"/>
                <w:lock w:val="sdtLocked"/>
                <w:showingPlcHdr/>
                <w:text/>
              </w:sdtPr>
              <w:sdtEndPr/>
              <w:sdtContent>
                <w:tc>
                  <w:tcPr>
                    <w:tcW w:w="745" w:type="pct"/>
                    <w:vAlign w:val="center"/>
                  </w:tcPr>
                  <w:p w14:paraId="0E431B3D" w14:textId="77777777" w:rsidR="00830E72" w:rsidRDefault="008344D8">
                    <w:pPr>
                      <w:rPr>
                        <w:szCs w:val="21"/>
                      </w:rPr>
                    </w:pPr>
                    <w:r>
                      <w:rPr>
                        <w:rFonts w:hint="eastAsia"/>
                      </w:rPr>
                      <w:t xml:space="preserve">　</w:t>
                    </w:r>
                  </w:p>
                </w:tc>
              </w:sdtContent>
            </w:sdt>
          </w:tr>
        </w:tbl>
        <w:p w14:paraId="114A5C26" w14:textId="77777777" w:rsidR="00830E72" w:rsidRDefault="00D44830"/>
      </w:sdtContent>
    </w:sdt>
    <w:bookmarkEnd w:id="246" w:displacedByCustomXml="next"/>
    <w:sdt>
      <w:sdtPr>
        <w:rPr>
          <w:rFonts w:hint="eastAsia"/>
          <w:szCs w:val="21"/>
        </w:rPr>
        <w:alias w:val="模块:对公司根据《公开发行证券的公司信息披露解释性公告第1号——非..."/>
        <w:tag w:val="_GBC_7944e47348cd4cd186b958ba1902ea3f"/>
        <w:id w:val="936795807"/>
        <w:lock w:val="sdtLocked"/>
        <w:placeholder>
          <w:docPart w:val="GBC22222222222222222222222222222"/>
        </w:placeholder>
      </w:sdtPr>
      <w:sdtEndPr/>
      <w:sdtContent>
        <w:p w14:paraId="6CBDEAC1" w14:textId="77777777" w:rsidR="00830E72" w:rsidRDefault="008344D8">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p w14:paraId="4CE3DCDB" w14:textId="77777777" w:rsidR="00830E72" w:rsidRDefault="00D44830">
          <w:pPr>
            <w:rPr>
              <w:szCs w:val="21"/>
            </w:rPr>
          </w:pPr>
          <w:sdt>
            <w:sdtPr>
              <w:rPr>
                <w:szCs w:val="21"/>
              </w:rPr>
              <w:alias w:val="是否适用：将非经常性损益项目界定为经常性损益项目[双击切换]"/>
              <w:tag w:val="_GBC_5f8a059d4da1440d8ef10197ecd89cd6"/>
              <w:id w:val="2083175027"/>
              <w:lock w:val="sdtContentLocked"/>
              <w:placeholder>
                <w:docPart w:val="GBC22222222222222222222222222222"/>
              </w:placeholder>
            </w:sdtPr>
            <w:sdtEndPr/>
            <w:sdtContent>
              <w:r w:rsidR="008344D8">
                <w:rPr>
                  <w:szCs w:val="21"/>
                </w:rPr>
                <w:fldChar w:fldCharType="begin"/>
              </w:r>
              <w:r w:rsidR="008344D8">
                <w:rPr>
                  <w:szCs w:val="21"/>
                </w:rPr>
                <w:instrText xml:space="preserve"> MACROBUTTON  SnrToggleCheckbox □适用 </w:instrText>
              </w:r>
              <w:r w:rsidR="008344D8">
                <w:rPr>
                  <w:szCs w:val="21"/>
                </w:rPr>
                <w:fldChar w:fldCharType="end"/>
              </w:r>
              <w:r w:rsidR="008344D8">
                <w:rPr>
                  <w:szCs w:val="21"/>
                </w:rPr>
                <w:fldChar w:fldCharType="begin"/>
              </w:r>
              <w:r w:rsidR="008344D8">
                <w:rPr>
                  <w:szCs w:val="21"/>
                </w:rPr>
                <w:instrText xml:space="preserve"> MACROBUTTON  SnrToggleCheckbox √不适用 </w:instrText>
              </w:r>
              <w:r w:rsidR="008344D8">
                <w:rPr>
                  <w:szCs w:val="21"/>
                </w:rPr>
                <w:fldChar w:fldCharType="end"/>
              </w:r>
            </w:sdtContent>
          </w:sdt>
        </w:p>
      </w:sdtContent>
    </w:sdt>
    <w:sdt>
      <w:sdtPr>
        <w:rPr>
          <w:rFonts w:ascii="宋体" w:hAnsi="宋体" w:cs="宋体" w:hint="eastAsia"/>
          <w:b w:val="0"/>
          <w:bCs w:val="0"/>
          <w:kern w:val="0"/>
          <w:szCs w:val="21"/>
        </w:rPr>
        <w:alias w:val="模块:净资产收益率及每股收益"/>
        <w:tag w:val="_GBC_146d888914ac4591bea1ff0ea9e89617"/>
        <w:id w:val="-452484916"/>
        <w:lock w:val="sdtLocked"/>
        <w:placeholder>
          <w:docPart w:val="GBC22222222222222222222222222222"/>
        </w:placeholder>
      </w:sdtPr>
      <w:sdtEndPr/>
      <w:sdtContent>
        <w:p w14:paraId="5C9CA961" w14:textId="77777777" w:rsidR="00830E72" w:rsidRDefault="008344D8">
          <w:pPr>
            <w:pStyle w:val="Style99"/>
            <w:numPr>
              <w:ilvl w:val="0"/>
              <w:numId w:val="100"/>
            </w:numPr>
            <w:rPr>
              <w:rFonts w:ascii="宋体" w:hAnsi="宋体"/>
              <w:szCs w:val="21"/>
            </w:rPr>
          </w:pPr>
          <w:r>
            <w:rPr>
              <w:rFonts w:ascii="宋体" w:hAnsi="宋体" w:hint="eastAsia"/>
              <w:szCs w:val="21"/>
            </w:rPr>
            <w:t>净资产收益率及每股收益</w:t>
          </w:r>
        </w:p>
        <w:sdt>
          <w:sdtPr>
            <w:alias w:val="是否适用：净资产收益率及每股收益[双击切换]"/>
            <w:tag w:val="_GBC_75866ebc8d184cdd988e79330ad3b083"/>
            <w:id w:val="1984656281"/>
            <w:lock w:val="sdtContentLocked"/>
            <w:placeholder>
              <w:docPart w:val="GBC22222222222222222222222222222"/>
            </w:placeholder>
          </w:sdtPr>
          <w:sdtEndPr/>
          <w:sdtContent>
            <w:p w14:paraId="011AD6B1" w14:textId="77777777" w:rsidR="00830E72" w:rsidRDefault="008344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2693"/>
            <w:gridCol w:w="1558"/>
            <w:gridCol w:w="1571"/>
          </w:tblGrid>
          <w:tr w:rsidR="00830E72" w14:paraId="48706C10" w14:textId="77777777">
            <w:trPr>
              <w:trHeight w:val="270"/>
            </w:trPr>
            <w:sdt>
              <w:sdtPr>
                <w:tag w:val="_PLD_680a8ba0e71a45459c0939cd6c78c07f"/>
                <w:id w:val="-1061479940"/>
                <w:lock w:val="sdtLocked"/>
              </w:sdtPr>
              <w:sdtEndPr/>
              <w:sdtContent>
                <w:tc>
                  <w:tcPr>
                    <w:tcW w:w="1783" w:type="pct"/>
                    <w:vMerge w:val="restart"/>
                    <w:tcBorders>
                      <w:top w:val="single" w:sz="4" w:space="0" w:color="auto"/>
                      <w:left w:val="single" w:sz="4" w:space="0" w:color="auto"/>
                      <w:bottom w:val="single" w:sz="4" w:space="0" w:color="auto"/>
                      <w:right w:val="single" w:sz="4" w:space="0" w:color="auto"/>
                    </w:tcBorders>
                    <w:vAlign w:val="center"/>
                  </w:tcPr>
                  <w:p w14:paraId="7DAAFFB7" w14:textId="77777777" w:rsidR="00830E72" w:rsidRDefault="008344D8">
                    <w:pPr>
                      <w:jc w:val="center"/>
                      <w:rPr>
                        <w:szCs w:val="21"/>
                      </w:rPr>
                    </w:pPr>
                    <w:r>
                      <w:rPr>
                        <w:szCs w:val="21"/>
                      </w:rPr>
                      <w:t>报告期利润</w:t>
                    </w:r>
                  </w:p>
                </w:tc>
              </w:sdtContent>
            </w:sdt>
            <w:sdt>
              <w:sdtPr>
                <w:tag w:val="_PLD_608d0086e1154f8ca6d3c34247132ef0"/>
                <w:id w:val="986283970"/>
                <w:lock w:val="sdtLocked"/>
              </w:sdtPr>
              <w:sdtEndPr/>
              <w:sdtContent>
                <w:tc>
                  <w:tcPr>
                    <w:tcW w:w="1488" w:type="pct"/>
                    <w:vMerge w:val="restart"/>
                    <w:tcBorders>
                      <w:top w:val="single" w:sz="4" w:space="0" w:color="auto"/>
                      <w:left w:val="single" w:sz="4" w:space="0" w:color="auto"/>
                      <w:right w:val="single" w:sz="4" w:space="0" w:color="auto"/>
                    </w:tcBorders>
                    <w:vAlign w:val="center"/>
                  </w:tcPr>
                  <w:p w14:paraId="24211142" w14:textId="77777777" w:rsidR="00830E72" w:rsidRDefault="008344D8">
                    <w:pPr>
                      <w:jc w:val="center"/>
                      <w:rPr>
                        <w:szCs w:val="21"/>
                      </w:rPr>
                    </w:pPr>
                    <w:r>
                      <w:rPr>
                        <w:szCs w:val="21"/>
                      </w:rPr>
                      <w:t>加权平均净资产收益率（%）</w:t>
                    </w:r>
                  </w:p>
                </w:tc>
              </w:sdtContent>
            </w:sdt>
            <w:sdt>
              <w:sdtPr>
                <w:tag w:val="_PLD_8b4a0bf973be4a19862ac5168193db93"/>
                <w:id w:val="-2082660929"/>
                <w:lock w:val="sdtLocked"/>
              </w:sdtPr>
              <w:sdtEndPr/>
              <w:sdtContent>
                <w:tc>
                  <w:tcPr>
                    <w:tcW w:w="1729" w:type="pct"/>
                    <w:gridSpan w:val="2"/>
                    <w:tcBorders>
                      <w:top w:val="single" w:sz="4" w:space="0" w:color="auto"/>
                      <w:left w:val="single" w:sz="4" w:space="0" w:color="auto"/>
                      <w:bottom w:val="single" w:sz="4" w:space="0" w:color="auto"/>
                      <w:right w:val="single" w:sz="4" w:space="0" w:color="auto"/>
                    </w:tcBorders>
                    <w:vAlign w:val="center"/>
                  </w:tcPr>
                  <w:p w14:paraId="239FE712" w14:textId="77777777" w:rsidR="00830E72" w:rsidRDefault="008344D8">
                    <w:pPr>
                      <w:jc w:val="center"/>
                      <w:rPr>
                        <w:szCs w:val="21"/>
                      </w:rPr>
                    </w:pPr>
                    <w:r>
                      <w:rPr>
                        <w:szCs w:val="21"/>
                      </w:rPr>
                      <w:t>每股收益</w:t>
                    </w:r>
                  </w:p>
                </w:tc>
              </w:sdtContent>
            </w:sdt>
          </w:tr>
          <w:tr w:rsidR="00830E72" w14:paraId="15C23EF0" w14:textId="77777777">
            <w:trPr>
              <w:trHeight w:val="360"/>
            </w:trPr>
            <w:tc>
              <w:tcPr>
                <w:tcW w:w="1783" w:type="pct"/>
                <w:vMerge/>
                <w:tcBorders>
                  <w:top w:val="single" w:sz="4" w:space="0" w:color="auto"/>
                  <w:left w:val="single" w:sz="4" w:space="0" w:color="auto"/>
                  <w:bottom w:val="single" w:sz="4" w:space="0" w:color="auto"/>
                  <w:right w:val="single" w:sz="4" w:space="0" w:color="auto"/>
                </w:tcBorders>
                <w:vAlign w:val="center"/>
              </w:tcPr>
              <w:p w14:paraId="1BEE8971" w14:textId="77777777" w:rsidR="00830E72" w:rsidRDefault="00830E72">
                <w:pPr>
                  <w:jc w:val="center"/>
                  <w:rPr>
                    <w:szCs w:val="21"/>
                  </w:rPr>
                </w:pPr>
              </w:p>
            </w:tc>
            <w:tc>
              <w:tcPr>
                <w:tcW w:w="1488" w:type="pct"/>
                <w:vMerge/>
                <w:tcBorders>
                  <w:left w:val="single" w:sz="4" w:space="0" w:color="auto"/>
                  <w:bottom w:val="single" w:sz="4" w:space="0" w:color="auto"/>
                  <w:right w:val="single" w:sz="4" w:space="0" w:color="auto"/>
                </w:tcBorders>
                <w:vAlign w:val="center"/>
              </w:tcPr>
              <w:p w14:paraId="291B6F8C" w14:textId="77777777" w:rsidR="00830E72" w:rsidRDefault="00830E72">
                <w:pPr>
                  <w:jc w:val="center"/>
                  <w:rPr>
                    <w:szCs w:val="21"/>
                  </w:rPr>
                </w:pPr>
              </w:p>
            </w:tc>
            <w:sdt>
              <w:sdtPr>
                <w:tag w:val="_PLD_45472770a81744249d77e54c2efc412a"/>
                <w:id w:val="-770008651"/>
                <w:lock w:val="sdtLocked"/>
              </w:sdtPr>
              <w:sdtEndPr/>
              <w:sdtContent>
                <w:tc>
                  <w:tcPr>
                    <w:tcW w:w="861" w:type="pct"/>
                    <w:tcBorders>
                      <w:top w:val="single" w:sz="4" w:space="0" w:color="auto"/>
                      <w:left w:val="single" w:sz="4" w:space="0" w:color="auto"/>
                      <w:bottom w:val="single" w:sz="4" w:space="0" w:color="auto"/>
                      <w:right w:val="single" w:sz="4" w:space="0" w:color="auto"/>
                    </w:tcBorders>
                    <w:vAlign w:val="center"/>
                  </w:tcPr>
                  <w:p w14:paraId="1C9309E1" w14:textId="77777777" w:rsidR="00830E72" w:rsidRDefault="008344D8">
                    <w:pPr>
                      <w:jc w:val="center"/>
                      <w:rPr>
                        <w:szCs w:val="21"/>
                      </w:rPr>
                    </w:pPr>
                    <w:r>
                      <w:rPr>
                        <w:szCs w:val="21"/>
                      </w:rPr>
                      <w:t>基本每股收益</w:t>
                    </w:r>
                  </w:p>
                </w:tc>
              </w:sdtContent>
            </w:sdt>
            <w:sdt>
              <w:sdtPr>
                <w:tag w:val="_PLD_c4e5be0bbc134fa28e28895e1a12e02c"/>
                <w:id w:val="1515266464"/>
                <w:lock w:val="sdtLocked"/>
              </w:sdtPr>
              <w:sdtEndPr/>
              <w:sdtContent>
                <w:tc>
                  <w:tcPr>
                    <w:tcW w:w="868" w:type="pct"/>
                    <w:tcBorders>
                      <w:top w:val="single" w:sz="4" w:space="0" w:color="auto"/>
                      <w:left w:val="single" w:sz="4" w:space="0" w:color="auto"/>
                      <w:bottom w:val="single" w:sz="4" w:space="0" w:color="auto"/>
                      <w:right w:val="single" w:sz="4" w:space="0" w:color="auto"/>
                    </w:tcBorders>
                    <w:vAlign w:val="center"/>
                  </w:tcPr>
                  <w:p w14:paraId="4FEEC32C" w14:textId="77777777" w:rsidR="00830E72" w:rsidRDefault="008344D8">
                    <w:pPr>
                      <w:jc w:val="center"/>
                      <w:rPr>
                        <w:szCs w:val="21"/>
                      </w:rPr>
                    </w:pPr>
                    <w:r>
                      <w:rPr>
                        <w:szCs w:val="21"/>
                      </w:rPr>
                      <w:t>稀释每股收益</w:t>
                    </w:r>
                  </w:p>
                </w:tc>
              </w:sdtContent>
            </w:sdt>
          </w:tr>
          <w:tr w:rsidR="00830E72" w14:paraId="6D63D4B1" w14:textId="77777777">
            <w:trPr>
              <w:trHeight w:val="360"/>
            </w:trPr>
            <w:sdt>
              <w:sdtPr>
                <w:tag w:val="_PLD_c94607fd97d648bd8ca7517a2c7054ea"/>
                <w:id w:val="-1344387604"/>
                <w:lock w:val="sdtLocked"/>
              </w:sdtPr>
              <w:sdtEndPr/>
              <w:sdtContent>
                <w:tc>
                  <w:tcPr>
                    <w:tcW w:w="1783" w:type="pct"/>
                    <w:tcBorders>
                      <w:top w:val="single" w:sz="4" w:space="0" w:color="auto"/>
                      <w:left w:val="single" w:sz="4" w:space="0" w:color="auto"/>
                      <w:bottom w:val="single" w:sz="4" w:space="0" w:color="auto"/>
                      <w:right w:val="single" w:sz="4" w:space="0" w:color="auto"/>
                    </w:tcBorders>
                    <w:vAlign w:val="center"/>
                  </w:tcPr>
                  <w:p w14:paraId="57F52965" w14:textId="77777777" w:rsidR="00830E72" w:rsidRDefault="008344D8">
                    <w:pPr>
                      <w:rPr>
                        <w:szCs w:val="21"/>
                      </w:rPr>
                    </w:pPr>
                    <w:r>
                      <w:rPr>
                        <w:szCs w:val="21"/>
                      </w:rPr>
                      <w:t>归属于公司普通股股东的净利润</w:t>
                    </w:r>
                  </w:p>
                </w:tc>
              </w:sdtContent>
            </w:sdt>
            <w:tc>
              <w:tcPr>
                <w:tcW w:w="1488" w:type="pct"/>
                <w:tcBorders>
                  <w:top w:val="single" w:sz="4" w:space="0" w:color="auto"/>
                  <w:left w:val="single" w:sz="4" w:space="0" w:color="auto"/>
                  <w:bottom w:val="single" w:sz="4" w:space="0" w:color="auto"/>
                  <w:right w:val="single" w:sz="4" w:space="0" w:color="auto"/>
                </w:tcBorders>
                <w:vAlign w:val="center"/>
              </w:tcPr>
              <w:p w14:paraId="7341E7F9" w14:textId="77777777" w:rsidR="00830E72" w:rsidRDefault="008344D8">
                <w:pPr>
                  <w:jc w:val="right"/>
                  <w:rPr>
                    <w:szCs w:val="21"/>
                  </w:rPr>
                </w:pPr>
                <w:r>
                  <w:rPr>
                    <w:szCs w:val="21"/>
                  </w:rPr>
                  <w:t>4.31</w:t>
                </w:r>
              </w:p>
            </w:tc>
            <w:tc>
              <w:tcPr>
                <w:tcW w:w="861" w:type="pct"/>
                <w:tcBorders>
                  <w:top w:val="single" w:sz="4" w:space="0" w:color="auto"/>
                  <w:left w:val="single" w:sz="4" w:space="0" w:color="auto"/>
                  <w:bottom w:val="single" w:sz="4" w:space="0" w:color="auto"/>
                  <w:right w:val="single" w:sz="4" w:space="0" w:color="auto"/>
                </w:tcBorders>
                <w:vAlign w:val="center"/>
              </w:tcPr>
              <w:p w14:paraId="426D24F5" w14:textId="77777777" w:rsidR="00830E72" w:rsidRDefault="008344D8">
                <w:pPr>
                  <w:jc w:val="right"/>
                  <w:rPr>
                    <w:szCs w:val="21"/>
                  </w:rPr>
                </w:pPr>
                <w:r>
                  <w:rPr>
                    <w:rFonts w:hint="eastAsia"/>
                    <w:szCs w:val="21"/>
                  </w:rPr>
                  <w:t>0.08</w:t>
                </w:r>
              </w:p>
            </w:tc>
            <w:tc>
              <w:tcPr>
                <w:tcW w:w="868" w:type="pct"/>
                <w:tcBorders>
                  <w:top w:val="single" w:sz="4" w:space="0" w:color="auto"/>
                  <w:left w:val="single" w:sz="4" w:space="0" w:color="auto"/>
                  <w:bottom w:val="single" w:sz="4" w:space="0" w:color="auto"/>
                  <w:right w:val="single" w:sz="4" w:space="0" w:color="auto"/>
                </w:tcBorders>
                <w:vAlign w:val="center"/>
              </w:tcPr>
              <w:p w14:paraId="702F9B40" w14:textId="77777777" w:rsidR="00830E72" w:rsidRDefault="008344D8">
                <w:pPr>
                  <w:jc w:val="right"/>
                  <w:rPr>
                    <w:szCs w:val="21"/>
                  </w:rPr>
                </w:pPr>
                <w:r>
                  <w:rPr>
                    <w:rFonts w:hint="eastAsia"/>
                    <w:szCs w:val="21"/>
                  </w:rPr>
                  <w:t>0.08</w:t>
                </w:r>
              </w:p>
            </w:tc>
          </w:tr>
          <w:tr w:rsidR="00830E72" w14:paraId="20CF8C83" w14:textId="77777777">
            <w:trPr>
              <w:trHeight w:val="360"/>
            </w:trPr>
            <w:sdt>
              <w:sdtPr>
                <w:tag w:val="_PLD_0794afc706e94e77876df1281577a7d9"/>
                <w:id w:val="509885715"/>
                <w:lock w:val="sdtLocked"/>
              </w:sdtPr>
              <w:sdtEndPr/>
              <w:sdtContent>
                <w:tc>
                  <w:tcPr>
                    <w:tcW w:w="1783" w:type="pct"/>
                    <w:tcBorders>
                      <w:top w:val="single" w:sz="4" w:space="0" w:color="auto"/>
                      <w:left w:val="single" w:sz="4" w:space="0" w:color="auto"/>
                      <w:bottom w:val="single" w:sz="4" w:space="0" w:color="auto"/>
                      <w:right w:val="single" w:sz="4" w:space="0" w:color="auto"/>
                    </w:tcBorders>
                    <w:vAlign w:val="center"/>
                  </w:tcPr>
                  <w:p w14:paraId="29E3809D" w14:textId="77777777" w:rsidR="00830E72" w:rsidRDefault="008344D8">
                    <w:pPr>
                      <w:rPr>
                        <w:szCs w:val="21"/>
                      </w:rPr>
                    </w:pPr>
                    <w:r>
                      <w:rPr>
                        <w:szCs w:val="21"/>
                      </w:rPr>
                      <w:t>扣除非经常性损益后归属于公司普通股股东的净利润</w:t>
                    </w:r>
                  </w:p>
                </w:tc>
              </w:sdtContent>
            </w:sdt>
            <w:tc>
              <w:tcPr>
                <w:tcW w:w="1488" w:type="pct"/>
                <w:tcBorders>
                  <w:top w:val="single" w:sz="4" w:space="0" w:color="auto"/>
                  <w:left w:val="single" w:sz="4" w:space="0" w:color="auto"/>
                  <w:bottom w:val="single" w:sz="4" w:space="0" w:color="auto"/>
                  <w:right w:val="single" w:sz="4" w:space="0" w:color="auto"/>
                </w:tcBorders>
                <w:vAlign w:val="center"/>
              </w:tcPr>
              <w:p w14:paraId="17C9D9AF" w14:textId="77777777" w:rsidR="00830E72" w:rsidRDefault="008344D8">
                <w:pPr>
                  <w:jc w:val="right"/>
                  <w:rPr>
                    <w:szCs w:val="21"/>
                  </w:rPr>
                </w:pPr>
                <w:r>
                  <w:rPr>
                    <w:szCs w:val="21"/>
                  </w:rPr>
                  <w:t>4.29</w:t>
                </w:r>
              </w:p>
            </w:tc>
            <w:tc>
              <w:tcPr>
                <w:tcW w:w="861" w:type="pct"/>
                <w:tcBorders>
                  <w:top w:val="single" w:sz="4" w:space="0" w:color="auto"/>
                  <w:left w:val="single" w:sz="4" w:space="0" w:color="auto"/>
                  <w:bottom w:val="single" w:sz="4" w:space="0" w:color="auto"/>
                  <w:right w:val="single" w:sz="4" w:space="0" w:color="auto"/>
                </w:tcBorders>
                <w:vAlign w:val="center"/>
              </w:tcPr>
              <w:p w14:paraId="35B0CF77" w14:textId="77777777" w:rsidR="00830E72" w:rsidRDefault="008344D8">
                <w:pPr>
                  <w:jc w:val="right"/>
                  <w:rPr>
                    <w:szCs w:val="21"/>
                  </w:rPr>
                </w:pPr>
                <w:r>
                  <w:rPr>
                    <w:rFonts w:hint="eastAsia"/>
                    <w:szCs w:val="21"/>
                  </w:rPr>
                  <w:t>0.08</w:t>
                </w:r>
              </w:p>
            </w:tc>
            <w:tc>
              <w:tcPr>
                <w:tcW w:w="868" w:type="pct"/>
                <w:tcBorders>
                  <w:top w:val="single" w:sz="4" w:space="0" w:color="auto"/>
                  <w:left w:val="single" w:sz="4" w:space="0" w:color="auto"/>
                  <w:bottom w:val="single" w:sz="4" w:space="0" w:color="auto"/>
                  <w:right w:val="single" w:sz="4" w:space="0" w:color="auto"/>
                </w:tcBorders>
                <w:vAlign w:val="center"/>
              </w:tcPr>
              <w:p w14:paraId="5B13C73E" w14:textId="77777777" w:rsidR="00830E72" w:rsidRDefault="008344D8">
                <w:pPr>
                  <w:jc w:val="right"/>
                  <w:rPr>
                    <w:szCs w:val="21"/>
                  </w:rPr>
                </w:pPr>
                <w:r>
                  <w:rPr>
                    <w:rFonts w:hint="eastAsia"/>
                    <w:szCs w:val="21"/>
                  </w:rPr>
                  <w:t>0.08</w:t>
                </w:r>
              </w:p>
            </w:tc>
          </w:tr>
        </w:tbl>
        <w:p w14:paraId="554E4226" w14:textId="77777777" w:rsidR="00830E72" w:rsidRDefault="00D44830">
          <w:pPr>
            <w:rPr>
              <w:szCs w:val="21"/>
            </w:rPr>
          </w:pPr>
        </w:p>
      </w:sdtContent>
    </w:sdt>
    <w:p w14:paraId="364C8D5D" w14:textId="77777777" w:rsidR="00830E72" w:rsidRDefault="008344D8">
      <w:pPr>
        <w:pStyle w:val="Style99"/>
        <w:numPr>
          <w:ilvl w:val="0"/>
          <w:numId w:val="100"/>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3482333eff2948139884cfdd1debc958"/>
        <w:id w:val="-394817506"/>
        <w:lock w:val="sdtContentLocked"/>
        <w:placeholder>
          <w:docPart w:val="GBC22222222222222222222222222222"/>
        </w:placeholder>
      </w:sdtPr>
      <w:sdtEndPr/>
      <w:sdtContent>
        <w:p w14:paraId="31D7EF4B" w14:textId="77777777" w:rsidR="00830E72" w:rsidRDefault="008344D8">
          <w:pPr>
            <w:rPr>
              <w:rFonts w:cstheme="minorBidi"/>
              <w:kern w:val="2"/>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403E72A" w14:textId="77777777" w:rsidR="00830E72" w:rsidRDefault="00830E72">
      <w:pPr>
        <w:rPr>
          <w:szCs w:val="21"/>
        </w:rPr>
      </w:pPr>
    </w:p>
    <w:sdt>
      <w:sdtPr>
        <w:rPr>
          <w:rFonts w:ascii="宋体" w:hAnsi="宋体" w:cs="宋体"/>
          <w:b w:val="0"/>
          <w:bCs w:val="0"/>
          <w:kern w:val="0"/>
          <w:szCs w:val="21"/>
        </w:rPr>
        <w:alias w:val="模块:补充资料其他说明事项"/>
        <w:tag w:val="_GBC_a60672e5f86e422cbb864ef991c9106b"/>
        <w:id w:val="-1082601201"/>
        <w:lock w:val="sdtLocked"/>
        <w:placeholder>
          <w:docPart w:val="GBC22222222222222222222222222222"/>
        </w:placeholder>
      </w:sdtPr>
      <w:sdtEndPr/>
      <w:sdtContent>
        <w:p w14:paraId="64C804B5" w14:textId="77777777" w:rsidR="00830E72" w:rsidRDefault="008344D8">
          <w:pPr>
            <w:pStyle w:val="Style99"/>
            <w:numPr>
              <w:ilvl w:val="0"/>
              <w:numId w:val="100"/>
            </w:numPr>
            <w:rPr>
              <w:rFonts w:ascii="宋体" w:hAnsi="宋体"/>
              <w:szCs w:val="21"/>
            </w:rPr>
          </w:pPr>
          <w:r>
            <w:rPr>
              <w:rFonts w:ascii="宋体" w:hAnsi="宋体" w:hint="eastAsia"/>
              <w:szCs w:val="21"/>
            </w:rPr>
            <w:t>其他</w:t>
          </w:r>
        </w:p>
        <w:sdt>
          <w:sdtPr>
            <w:alias w:val="是否适用：补充资料其他说明事项[双击切换]"/>
            <w:tag w:val="_GBC_8954f89f8426424c966f1b658de53fe5"/>
            <w:id w:val="-1352624"/>
            <w:lock w:val="sdtContentLocked"/>
            <w:placeholder>
              <w:docPart w:val="GBC22222222222222222222222222222"/>
            </w:placeholder>
          </w:sdtPr>
          <w:sdtEndPr/>
          <w:sdtContent>
            <w:p w14:paraId="68697469" w14:textId="77777777" w:rsidR="00830E72" w:rsidRDefault="008344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0A3C620" w14:textId="77777777" w:rsidR="00830E72" w:rsidRDefault="00830E72"/>
    <w:bookmarkStart w:id="247" w:name="_Hlk76135020" w:displacedByCustomXml="next"/>
    <w:sdt>
      <w:sdtPr>
        <w:rPr>
          <w:b/>
          <w:bCs/>
          <w:sz w:val="24"/>
        </w:rPr>
        <w:alias w:val="模块:落款"/>
        <w:tag w:val="_SEC_05b1791af4454108ad401bb8a64cf5c6"/>
        <w:id w:val="398171388"/>
        <w:lock w:val="sdtLocked"/>
        <w:placeholder>
          <w:docPart w:val="GBC22222222222222222222222222222"/>
        </w:placeholder>
      </w:sdtPr>
      <w:sdtEndPr>
        <w:rPr>
          <w:b w:val="0"/>
          <w:bCs w:val="0"/>
          <w:sz w:val="21"/>
        </w:rPr>
      </w:sdtEndPr>
      <w:sdtContent>
        <w:p w14:paraId="15F47545" w14:textId="77777777" w:rsidR="00830E72" w:rsidRDefault="00830E72">
          <w:pPr>
            <w:spacing w:line="360" w:lineRule="exact"/>
            <w:ind w:right="5"/>
            <w:rPr>
              <w:b/>
              <w:bCs/>
              <w:sz w:val="24"/>
            </w:rPr>
          </w:pPr>
        </w:p>
        <w:p w14:paraId="5E43A205" w14:textId="19D555C3" w:rsidR="00830E72" w:rsidRDefault="008344D8">
          <w:pPr>
            <w:wordWrap w:val="0"/>
            <w:spacing w:line="360" w:lineRule="exact"/>
            <w:jc w:val="right"/>
            <w:rPr>
              <w:u w:val="single"/>
            </w:rPr>
          </w:pPr>
          <w:r>
            <w:t>董事长：</w:t>
          </w:r>
          <w:sdt>
            <w:sdtPr>
              <w:alias w:val="报告发布人"/>
              <w:tag w:val="_GBC_f07cbb7287a94e798691f7fcb5112f49"/>
              <w:id w:val="-1739239845"/>
              <w:lock w:val="sdtLocked"/>
              <w:placeholder>
                <w:docPart w:val="GBC22222222222222222222222222222"/>
              </w:placeholder>
            </w:sdtPr>
            <w:sdtEndPr/>
            <w:sdtContent>
              <w:r w:rsidR="00F757D1">
                <w:rPr>
                  <w:rFonts w:hint="eastAsia"/>
                </w:rPr>
                <w:t xml:space="preserve"> </w:t>
              </w:r>
              <w:r w:rsidR="00F757D1">
                <w:t xml:space="preserve">   </w:t>
              </w:r>
              <w:proofErr w:type="gramStart"/>
              <w:r w:rsidR="00E81D7E">
                <w:rPr>
                  <w:rFonts w:hint="eastAsia"/>
                </w:rPr>
                <w:t>胡先宽</w:t>
              </w:r>
              <w:proofErr w:type="gramEnd"/>
              <w:r w:rsidR="00F757D1">
                <w:t xml:space="preserve">       </w:t>
              </w:r>
            </w:sdtContent>
          </w:sdt>
          <w:r>
            <w:rPr>
              <w:rFonts w:hint="eastAsia"/>
            </w:rPr>
            <w:t xml:space="preserve"> </w:t>
          </w:r>
        </w:p>
        <w:p w14:paraId="63AB7E5E" w14:textId="77777777" w:rsidR="00830E72" w:rsidRDefault="008344D8">
          <w:pPr>
            <w:spacing w:line="360" w:lineRule="exact"/>
            <w:jc w:val="right"/>
          </w:pPr>
          <w:r>
            <w:t>董事会批准报送日期：</w:t>
          </w:r>
          <w:sdt>
            <w:sdtPr>
              <w:alias w:val="报告董事会批准报送日期"/>
              <w:tag w:val="_GBC_56d5d40e768a439aa604555fa2089c42"/>
              <w:id w:val="1165125912"/>
              <w:lock w:val="sdtLocked"/>
              <w:placeholder>
                <w:docPart w:val="GBC22222222222222222222222222222"/>
              </w:placeholder>
              <w:date w:fullDate="2021-08-26T00:00:00Z">
                <w:dateFormat w:val="yyyy'年'M'月'd'日'"/>
                <w:lid w:val="zh-CN"/>
                <w:storeMappedDataAs w:val="dateTime"/>
                <w:calendar w:val="gregorian"/>
              </w:date>
            </w:sdtPr>
            <w:sdtEndPr/>
            <w:sdtContent>
              <w:r>
                <w:rPr>
                  <w:rFonts w:hint="eastAsia"/>
                </w:rPr>
                <w:t>2021年8月26日</w:t>
              </w:r>
            </w:sdtContent>
          </w:sdt>
          <w:r>
            <w:rPr>
              <w:rFonts w:hint="eastAsia"/>
            </w:rPr>
            <w:t xml:space="preserve"> </w:t>
          </w:r>
        </w:p>
      </w:sdtContent>
    </w:sdt>
    <w:bookmarkEnd w:id="247"/>
    <w:p w14:paraId="451BD336" w14:textId="77777777" w:rsidR="00830E72" w:rsidRDefault="00830E72">
      <w:pPr>
        <w:spacing w:line="360" w:lineRule="exact"/>
        <w:ind w:right="5"/>
        <w:rPr>
          <w:u w:val="single"/>
        </w:rPr>
      </w:pPr>
    </w:p>
    <w:sdt>
      <w:sdtPr>
        <w:rPr>
          <w:sz w:val="24"/>
        </w:rPr>
        <w:alias w:val="模块:修订信息 "/>
        <w:tag w:val="_GBC_e51b54728b2e4e53b95b0611d0df9b06"/>
        <w:id w:val="-428740841"/>
        <w:lock w:val="sdtLocked"/>
        <w:placeholder>
          <w:docPart w:val="GBC22222222222222222222222222222"/>
        </w:placeholder>
      </w:sdtPr>
      <w:sdtEndPr>
        <w:rPr>
          <w:sz w:val="21"/>
        </w:rPr>
      </w:sdtEndPr>
      <w:sdtContent>
        <w:p w14:paraId="57828A25" w14:textId="77777777" w:rsidR="00830E72" w:rsidRDefault="008344D8">
          <w:pPr>
            <w:spacing w:line="360" w:lineRule="exact"/>
            <w:ind w:right="5"/>
            <w:rPr>
              <w:b/>
              <w:sz w:val="24"/>
            </w:rPr>
          </w:pPr>
          <w:r>
            <w:rPr>
              <w:b/>
              <w:sz w:val="24"/>
            </w:rPr>
            <w:t>修订信息</w:t>
          </w:r>
        </w:p>
        <w:sdt>
          <w:sdtPr>
            <w:rPr>
              <w:b/>
              <w:bCs/>
            </w:rPr>
            <w:alias w:val="是否适用：修订信息表[双击切换]"/>
            <w:tag w:val="_GBC_77b96fad3b8a43478db82cf4cb9686be"/>
            <w:id w:val="775678601"/>
            <w:lock w:val="sdtLocked"/>
            <w:placeholder>
              <w:docPart w:val="GBC22222222222222222222222222222"/>
            </w:placeholder>
          </w:sdtPr>
          <w:sdtEndPr>
            <w:rPr>
              <w:b w:val="0"/>
            </w:rPr>
          </w:sdtEndPr>
          <w:sdtContent>
            <w:p w14:paraId="45FA8AE0" w14:textId="77777777" w:rsidR="00830E72" w:rsidRDefault="008344D8">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sdtContent>
    </w:sdt>
    <w:p w14:paraId="37AEA09F" w14:textId="77777777" w:rsidR="00830E72" w:rsidRDefault="00830E72"/>
    <w:sectPr w:rsidR="00830E72">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BCDA0" w14:textId="77777777" w:rsidR="00770B84" w:rsidRDefault="00770B84">
      <w:r>
        <w:separator/>
      </w:r>
    </w:p>
  </w:endnote>
  <w:endnote w:type="continuationSeparator" w:id="0">
    <w:p w14:paraId="64ECC11F" w14:textId="77777777" w:rsidR="00770B84" w:rsidRDefault="00770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408834"/>
      <w:docPartObj>
        <w:docPartGallery w:val="AutoText"/>
      </w:docPartObj>
    </w:sdtPr>
    <w:sdtEndPr/>
    <w:sdtContent>
      <w:sdt>
        <w:sdtPr>
          <w:id w:val="98381352"/>
          <w:docPartObj>
            <w:docPartGallery w:val="AutoText"/>
          </w:docPartObj>
        </w:sdtPr>
        <w:sdtEndPr/>
        <w:sdtContent>
          <w:p w14:paraId="73BD3275" w14:textId="77777777" w:rsidR="008344D8" w:rsidRDefault="008344D8">
            <w:pPr>
              <w:pStyle w:val="af7"/>
              <w:jc w:val="center"/>
            </w:pPr>
            <w:r>
              <w:rPr>
                <w:b/>
                <w:bCs/>
                <w:sz w:val="24"/>
                <w:szCs w:val="24"/>
              </w:rPr>
              <w:fldChar w:fldCharType="begin"/>
            </w:r>
            <w:r>
              <w:rPr>
                <w:b/>
                <w:bCs/>
              </w:rPr>
              <w:instrText>PAGE</w:instrText>
            </w:r>
            <w:r>
              <w:rPr>
                <w:b/>
                <w:bCs/>
                <w:sz w:val="24"/>
                <w:szCs w:val="24"/>
              </w:rPr>
              <w:fldChar w:fldCharType="separate"/>
            </w:r>
            <w:r w:rsidR="00E064B9">
              <w:rPr>
                <w:b/>
                <w:bCs/>
                <w:noProof/>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E064B9">
              <w:rPr>
                <w:b/>
                <w:bCs/>
                <w:noProof/>
              </w:rPr>
              <w:t>11</w:t>
            </w:r>
            <w:r>
              <w:rPr>
                <w:b/>
                <w:bCs/>
                <w:sz w:val="24"/>
                <w:szCs w:val="24"/>
              </w:rPr>
              <w:fldChar w:fldCharType="end"/>
            </w:r>
          </w:p>
        </w:sdtContent>
      </w:sdt>
    </w:sdtContent>
  </w:sdt>
  <w:p w14:paraId="3C45B51B" w14:textId="77777777" w:rsidR="008344D8" w:rsidRDefault="008344D8">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21730" w14:textId="77777777" w:rsidR="00770B84" w:rsidRDefault="00770B84">
      <w:r>
        <w:separator/>
      </w:r>
    </w:p>
  </w:footnote>
  <w:footnote w:type="continuationSeparator" w:id="0">
    <w:p w14:paraId="16A659EA" w14:textId="77777777" w:rsidR="00770B84" w:rsidRDefault="00770B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0E144" w14:textId="77777777" w:rsidR="008344D8" w:rsidRDefault="008344D8">
    <w:pPr>
      <w:pStyle w:val="af9"/>
      <w:tabs>
        <w:tab w:val="clear" w:pos="8306"/>
        <w:tab w:val="left" w:pos="8364"/>
        <w:tab w:val="left" w:pos="8505"/>
      </w:tabs>
      <w:ind w:rightChars="10" w:right="21"/>
      <w:rPr>
        <w:b/>
      </w:rPr>
    </w:pPr>
    <w:r>
      <w:rPr>
        <w:rFonts w:hint="eastAsia"/>
      </w:rPr>
      <w:t>2021</w:t>
    </w:r>
    <w:r>
      <w:rPr>
        <w:rFonts w:hint="eastAsia"/>
      </w:rPr>
      <w:t>年半年度报告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3058"/>
    <w:multiLevelType w:val="multilevel"/>
    <w:tmpl w:val="00533058"/>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11C35CC"/>
    <w:multiLevelType w:val="multilevel"/>
    <w:tmpl w:val="011C35C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1C7576E"/>
    <w:multiLevelType w:val="multilevel"/>
    <w:tmpl w:val="01C7576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2633DB0"/>
    <w:multiLevelType w:val="multilevel"/>
    <w:tmpl w:val="02633DB0"/>
    <w:lvl w:ilvl="0">
      <w:start w:val="1"/>
      <w:numFmt w:val="decimal"/>
      <w:lvlText w:val="(%1)"/>
      <w:lvlJc w:val="left"/>
      <w:pPr>
        <w:ind w:left="420" w:hanging="420"/>
      </w:pPr>
      <w:rPr>
        <w:rFonts w:ascii="宋体" w:eastAsia="宋体" w:hAnsi="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4364DD5"/>
    <w:multiLevelType w:val="multilevel"/>
    <w:tmpl w:val="04364DD5"/>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918050B"/>
    <w:multiLevelType w:val="multilevel"/>
    <w:tmpl w:val="0918050B"/>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098731CB"/>
    <w:multiLevelType w:val="multilevel"/>
    <w:tmpl w:val="098731CB"/>
    <w:lvl w:ilvl="0">
      <w:start w:val="1"/>
      <w:numFmt w:val="decimal"/>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DD43CBD"/>
    <w:multiLevelType w:val="multilevel"/>
    <w:tmpl w:val="0DD43CBD"/>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15:restartNumberingAfterBreak="0">
    <w:nsid w:val="0E1F5ED2"/>
    <w:multiLevelType w:val="multilevel"/>
    <w:tmpl w:val="0E1F5ED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0EC24C1F"/>
    <w:multiLevelType w:val="multilevel"/>
    <w:tmpl w:val="0EC24C1F"/>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FB258AF"/>
    <w:multiLevelType w:val="multilevel"/>
    <w:tmpl w:val="0FB258A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10314E3A"/>
    <w:multiLevelType w:val="multilevel"/>
    <w:tmpl w:val="10314E3A"/>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15:restartNumberingAfterBreak="0">
    <w:nsid w:val="104977C1"/>
    <w:multiLevelType w:val="multilevel"/>
    <w:tmpl w:val="104977C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10A00340"/>
    <w:multiLevelType w:val="multilevel"/>
    <w:tmpl w:val="10A00340"/>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2696DF7"/>
    <w:multiLevelType w:val="multilevel"/>
    <w:tmpl w:val="12696DF7"/>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2EC0EF1"/>
    <w:multiLevelType w:val="multilevel"/>
    <w:tmpl w:val="12EC0EF1"/>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15:restartNumberingAfterBreak="0">
    <w:nsid w:val="15621257"/>
    <w:multiLevelType w:val="multilevel"/>
    <w:tmpl w:val="15621257"/>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15:restartNumberingAfterBreak="0">
    <w:nsid w:val="169A565E"/>
    <w:multiLevelType w:val="multilevel"/>
    <w:tmpl w:val="169A565E"/>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asciiTheme="minorEastAsia" w:eastAsiaTheme="minorEastAsia" w:hAnsiTheme="minorEastAsia" w:hint="eastAsia"/>
        <w:b/>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 w15:restartNumberingAfterBreak="0">
    <w:nsid w:val="17316F2F"/>
    <w:multiLevelType w:val="multilevel"/>
    <w:tmpl w:val="17316F2F"/>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15:restartNumberingAfterBreak="0">
    <w:nsid w:val="185F3408"/>
    <w:multiLevelType w:val="multilevel"/>
    <w:tmpl w:val="185F340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15:restartNumberingAfterBreak="0">
    <w:nsid w:val="19B61093"/>
    <w:multiLevelType w:val="multilevel"/>
    <w:tmpl w:val="19B61093"/>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1D11584D"/>
    <w:multiLevelType w:val="multilevel"/>
    <w:tmpl w:val="1D11584D"/>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1E235F8B"/>
    <w:multiLevelType w:val="multilevel"/>
    <w:tmpl w:val="1E235F8B"/>
    <w:lvl w:ilvl="0">
      <w:start w:val="1"/>
      <w:numFmt w:val="chineseCountingThousand"/>
      <w:lvlText w:val="第%1节"/>
      <w:lvlJc w:val="left"/>
      <w:pPr>
        <w:ind w:left="3785" w:hanging="425"/>
      </w:pPr>
      <w:rPr>
        <w:rFonts w:hint="eastAsia"/>
        <w:color w:val="auto"/>
        <w:sz w:val="28"/>
        <w:szCs w:val="28"/>
        <w:u w:val="none"/>
        <w:lang w:val="en-US"/>
      </w:rPr>
    </w:lvl>
    <w:lvl w:ilvl="1">
      <w:start w:val="1"/>
      <w:numFmt w:val="chineseCountingThousand"/>
      <w:lvlText w:val="%2、"/>
      <w:lvlJc w:val="left"/>
      <w:pPr>
        <w:ind w:left="1375" w:hanging="567"/>
      </w:pPr>
      <w:rPr>
        <w:rFonts w:hint="eastAsia"/>
        <w:color w:val="auto"/>
      </w:rPr>
    </w:lvl>
    <w:lvl w:ilvl="2">
      <w:start w:val="1"/>
      <w:numFmt w:val="decimal"/>
      <w:lvlText w:val="%1.%2.%3"/>
      <w:lvlJc w:val="left"/>
      <w:pPr>
        <w:ind w:left="2226" w:hanging="567"/>
      </w:pPr>
      <w:rPr>
        <w:rFonts w:hint="eastAsia"/>
      </w:rPr>
    </w:lvl>
    <w:lvl w:ilvl="3">
      <w:start w:val="1"/>
      <w:numFmt w:val="decimal"/>
      <w:lvlText w:val="%1.%2.%3.%4"/>
      <w:lvlJc w:val="left"/>
      <w:pPr>
        <w:ind w:left="2792" w:hanging="708"/>
      </w:pPr>
      <w:rPr>
        <w:rFonts w:hint="eastAsia"/>
      </w:rPr>
    </w:lvl>
    <w:lvl w:ilvl="4">
      <w:start w:val="1"/>
      <w:numFmt w:val="decimal"/>
      <w:lvlText w:val="%1.%2.%3.%4.%5"/>
      <w:lvlJc w:val="left"/>
      <w:pPr>
        <w:ind w:left="3359" w:hanging="850"/>
      </w:pPr>
      <w:rPr>
        <w:rFonts w:hint="eastAsia"/>
      </w:rPr>
    </w:lvl>
    <w:lvl w:ilvl="5">
      <w:start w:val="1"/>
      <w:numFmt w:val="decimal"/>
      <w:lvlText w:val="%1.%2.%3.%4.%5.%6"/>
      <w:lvlJc w:val="left"/>
      <w:pPr>
        <w:ind w:left="4068" w:hanging="1134"/>
      </w:pPr>
      <w:rPr>
        <w:rFonts w:hint="eastAsia"/>
      </w:rPr>
    </w:lvl>
    <w:lvl w:ilvl="6">
      <w:start w:val="1"/>
      <w:numFmt w:val="decimal"/>
      <w:lvlText w:val="%1.%2.%3.%4.%5.%6.%7"/>
      <w:lvlJc w:val="left"/>
      <w:pPr>
        <w:ind w:left="4635" w:hanging="1276"/>
      </w:pPr>
      <w:rPr>
        <w:rFonts w:hint="eastAsia"/>
      </w:rPr>
    </w:lvl>
    <w:lvl w:ilvl="7">
      <w:start w:val="1"/>
      <w:numFmt w:val="decimal"/>
      <w:lvlText w:val="%1.%2.%3.%4.%5.%6.%7.%8"/>
      <w:lvlJc w:val="left"/>
      <w:pPr>
        <w:ind w:left="5202" w:hanging="1418"/>
      </w:pPr>
      <w:rPr>
        <w:rFonts w:hint="eastAsia"/>
      </w:rPr>
    </w:lvl>
    <w:lvl w:ilvl="8">
      <w:start w:val="1"/>
      <w:numFmt w:val="decimal"/>
      <w:lvlText w:val="%1.%2.%3.%4.%5.%6.%7.%8.%9"/>
      <w:lvlJc w:val="left"/>
      <w:pPr>
        <w:ind w:left="5910" w:hanging="1700"/>
      </w:pPr>
      <w:rPr>
        <w:rFonts w:hint="eastAsia"/>
      </w:rPr>
    </w:lvl>
  </w:abstractNum>
  <w:abstractNum w:abstractNumId="23" w15:restartNumberingAfterBreak="0">
    <w:nsid w:val="1F7158DD"/>
    <w:multiLevelType w:val="multilevel"/>
    <w:tmpl w:val="1F7158DD"/>
    <w:lvl w:ilvl="0">
      <w:start w:val="1"/>
      <w:numFmt w:val="decimal"/>
      <w:lvlText w:val="(%1). "/>
      <w:lvlJc w:val="left"/>
      <w:pPr>
        <w:ind w:left="704"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F9677B9"/>
    <w:multiLevelType w:val="multilevel"/>
    <w:tmpl w:val="1F9677B9"/>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15:restartNumberingAfterBreak="0">
    <w:nsid w:val="1FD019D7"/>
    <w:multiLevelType w:val="multilevel"/>
    <w:tmpl w:val="1FD019D7"/>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15:restartNumberingAfterBreak="0">
    <w:nsid w:val="204F3B0A"/>
    <w:multiLevelType w:val="multilevel"/>
    <w:tmpl w:val="204F3B0A"/>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7" w15:restartNumberingAfterBreak="0">
    <w:nsid w:val="2121200C"/>
    <w:multiLevelType w:val="multilevel"/>
    <w:tmpl w:val="212120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21516057"/>
    <w:multiLevelType w:val="multilevel"/>
    <w:tmpl w:val="21516057"/>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21F9086D"/>
    <w:multiLevelType w:val="multilevel"/>
    <w:tmpl w:val="21F9086D"/>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15:restartNumberingAfterBreak="0">
    <w:nsid w:val="2AB9492A"/>
    <w:multiLevelType w:val="multilevel"/>
    <w:tmpl w:val="2AB9492A"/>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1" w15:restartNumberingAfterBreak="0">
    <w:nsid w:val="2ABA5091"/>
    <w:multiLevelType w:val="multilevel"/>
    <w:tmpl w:val="2ABA5091"/>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2AF651E5"/>
    <w:multiLevelType w:val="multilevel"/>
    <w:tmpl w:val="2AF651E5"/>
    <w:lvl w:ilvl="0">
      <w:start w:val="1"/>
      <w:numFmt w:val="decimal"/>
      <w:suff w:val="nothing"/>
      <w:lvlText w:val="(%1). "/>
      <w:lvlJc w:val="left"/>
      <w:pPr>
        <w:ind w:left="420" w:hanging="420"/>
      </w:pPr>
      <w:rPr>
        <w:rFonts w:ascii="宋体" w:eastAsia="宋体" w:hAnsi="宋体"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2B081EE9"/>
    <w:multiLevelType w:val="multilevel"/>
    <w:tmpl w:val="2B081EE9"/>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15:restartNumberingAfterBreak="0">
    <w:nsid w:val="2C7D045A"/>
    <w:multiLevelType w:val="multilevel"/>
    <w:tmpl w:val="2C7D045A"/>
    <w:lvl w:ilvl="0">
      <w:start w:val="1"/>
      <w:numFmt w:val="decimal"/>
      <w:suff w:val="nothing"/>
      <w:lvlText w:val="%1、 "/>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2E827FC5"/>
    <w:multiLevelType w:val="multilevel"/>
    <w:tmpl w:val="2E827FC5"/>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15:restartNumberingAfterBreak="0">
    <w:nsid w:val="2F300F94"/>
    <w:multiLevelType w:val="multilevel"/>
    <w:tmpl w:val="2F300F9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15:restartNumberingAfterBreak="0">
    <w:nsid w:val="30712312"/>
    <w:multiLevelType w:val="multilevel"/>
    <w:tmpl w:val="3071231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15:restartNumberingAfterBreak="0">
    <w:nsid w:val="321F7C35"/>
    <w:multiLevelType w:val="multilevel"/>
    <w:tmpl w:val="321F7C35"/>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9" w15:restartNumberingAfterBreak="0">
    <w:nsid w:val="333C38BB"/>
    <w:multiLevelType w:val="multilevel"/>
    <w:tmpl w:val="333C38BB"/>
    <w:lvl w:ilvl="0">
      <w:start w:val="1"/>
      <w:numFmt w:val="decimal"/>
      <w:lvlText w:val="(%1)"/>
      <w:lvlJc w:val="left"/>
      <w:pPr>
        <w:ind w:left="425" w:hanging="425"/>
      </w:pPr>
      <w:rPr>
        <w:rFonts w:ascii="宋体" w:eastAsia="宋体" w:hAnsi="宋体" w:hint="eastAsia"/>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15:restartNumberingAfterBreak="0">
    <w:nsid w:val="3438131C"/>
    <w:multiLevelType w:val="multilevel"/>
    <w:tmpl w:val="343813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15:restartNumberingAfterBreak="0">
    <w:nsid w:val="352D39A8"/>
    <w:multiLevelType w:val="multilevel"/>
    <w:tmpl w:val="352D39A8"/>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356C3B2A"/>
    <w:multiLevelType w:val="multilevel"/>
    <w:tmpl w:val="356C3B2A"/>
    <w:lvl w:ilvl="0">
      <w:start w:val="1"/>
      <w:numFmt w:val="decimal"/>
      <w:lvlText w:val="(%1)."/>
      <w:lvlJc w:val="left"/>
      <w:pPr>
        <w:ind w:left="420"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36214AF8"/>
    <w:multiLevelType w:val="multilevel"/>
    <w:tmpl w:val="36214AF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15:restartNumberingAfterBreak="0">
    <w:nsid w:val="37C3610E"/>
    <w:multiLevelType w:val="multilevel"/>
    <w:tmpl w:val="37C3610E"/>
    <w:lvl w:ilvl="0">
      <w:start w:val="1"/>
      <w:numFmt w:val="chineseCountingThousand"/>
      <w:lvlText w:val="%1、"/>
      <w:lvlJc w:val="left"/>
      <w:pPr>
        <w:ind w:left="704" w:hanging="420"/>
      </w:pPr>
      <w:rPr>
        <w:rFonts w:hint="default"/>
        <w:b/>
        <w:i w:val="0"/>
        <w:color w:val="auto"/>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383D41D3"/>
    <w:multiLevelType w:val="multilevel"/>
    <w:tmpl w:val="383D41D3"/>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6" w15:restartNumberingAfterBreak="0">
    <w:nsid w:val="3D2B6D0A"/>
    <w:multiLevelType w:val="multilevel"/>
    <w:tmpl w:val="3D2B6D0A"/>
    <w:lvl w:ilvl="0">
      <w:start w:val="1"/>
      <w:numFmt w:val="chineseCountingThousand"/>
      <w:lvlText w:val="(%1)"/>
      <w:lvlJc w:val="left"/>
      <w:pPr>
        <w:ind w:left="420" w:hanging="420"/>
      </w:pPr>
      <w:rPr>
        <w:rFonts w:asciiTheme="minorHAnsi" w:hAnsiTheme="minorHAnsi" w:hint="default"/>
      </w:r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3D620F38"/>
    <w:multiLevelType w:val="multilevel"/>
    <w:tmpl w:val="3D620F38"/>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3DC039A2"/>
    <w:multiLevelType w:val="multilevel"/>
    <w:tmpl w:val="3DC039A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15:restartNumberingAfterBreak="0">
    <w:nsid w:val="3E9941EA"/>
    <w:multiLevelType w:val="multilevel"/>
    <w:tmpl w:val="3E9941EA"/>
    <w:lvl w:ilvl="0">
      <w:start w:val="1"/>
      <w:numFmt w:val="decimal"/>
      <w:lvlText w:val="(%1). "/>
      <w:lvlJc w:val="left"/>
      <w:pPr>
        <w:ind w:left="84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3EA740FE"/>
    <w:multiLevelType w:val="multilevel"/>
    <w:tmpl w:val="3EA740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15:restartNumberingAfterBreak="0">
    <w:nsid w:val="41EC2B85"/>
    <w:multiLevelType w:val="multilevel"/>
    <w:tmpl w:val="41EC2B85"/>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15:restartNumberingAfterBreak="0">
    <w:nsid w:val="42F33200"/>
    <w:multiLevelType w:val="multilevel"/>
    <w:tmpl w:val="42F3320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448C6887"/>
    <w:multiLevelType w:val="multilevel"/>
    <w:tmpl w:val="448C6887"/>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15:restartNumberingAfterBreak="0">
    <w:nsid w:val="45D95701"/>
    <w:multiLevelType w:val="multilevel"/>
    <w:tmpl w:val="45D9570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15:restartNumberingAfterBreak="0">
    <w:nsid w:val="4802360A"/>
    <w:multiLevelType w:val="multilevel"/>
    <w:tmpl w:val="4802360A"/>
    <w:lvl w:ilvl="0">
      <w:start w:val="1"/>
      <w:numFmt w:val="decimal"/>
      <w:lvlText w:val="(%1)."/>
      <w:lvlJc w:val="left"/>
      <w:pPr>
        <w:ind w:left="420" w:hanging="420"/>
      </w:pPr>
      <w:rPr>
        <w:rFonts w:ascii="宋体" w:eastAsia="宋体" w:hAnsi="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4A125FEF"/>
    <w:multiLevelType w:val="multilevel"/>
    <w:tmpl w:val="4A125FEF"/>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4AC23DB8"/>
    <w:multiLevelType w:val="multilevel"/>
    <w:tmpl w:val="4AC23DB8"/>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4AF02474"/>
    <w:multiLevelType w:val="multilevel"/>
    <w:tmpl w:val="4AF0247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15:restartNumberingAfterBreak="0">
    <w:nsid w:val="4B8A1F74"/>
    <w:multiLevelType w:val="multilevel"/>
    <w:tmpl w:val="4B8A1F7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0" w15:restartNumberingAfterBreak="0">
    <w:nsid w:val="4B9423DA"/>
    <w:multiLevelType w:val="multilevel"/>
    <w:tmpl w:val="4B9423D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4D5D3C22"/>
    <w:multiLevelType w:val="multilevel"/>
    <w:tmpl w:val="4D5D3C22"/>
    <w:lvl w:ilvl="0">
      <w:start w:val="1"/>
      <w:numFmt w:val="decimal"/>
      <w:lvlText w:val="(%1)."/>
      <w:lvlJc w:val="left"/>
      <w:pPr>
        <w:ind w:left="420" w:hanging="420"/>
      </w:pPr>
      <w:rPr>
        <w:rFonts w:ascii="宋体" w:eastAsia="宋体" w:hAnsi="宋体" w:hint="eastAsia"/>
        <w:b/>
      </w:rPr>
    </w:lvl>
    <w:lvl w:ilvl="1">
      <w:start w:val="1"/>
      <w:numFmt w:val="decimalEnclosedCircle"/>
      <w:lvlText w:val="%2"/>
      <w:lvlJc w:val="left"/>
      <w:pPr>
        <w:ind w:left="780" w:hanging="360"/>
      </w:pPr>
      <w:rPr>
        <w:rFonts w:ascii="微软雅黑" w:eastAsia="微软雅黑" w:hAnsi="微软雅黑" w:hint="default"/>
        <w:color w:val="171A1D"/>
        <w:sz w:val="19"/>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4EAF4C3A"/>
    <w:multiLevelType w:val="multilevel"/>
    <w:tmpl w:val="4EAF4C3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15:restartNumberingAfterBreak="0">
    <w:nsid w:val="511727FE"/>
    <w:multiLevelType w:val="multilevel"/>
    <w:tmpl w:val="511727F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4" w15:restartNumberingAfterBreak="0">
    <w:nsid w:val="51265863"/>
    <w:multiLevelType w:val="multilevel"/>
    <w:tmpl w:val="51265863"/>
    <w:lvl w:ilvl="0">
      <w:start w:val="1"/>
      <w:numFmt w:val="chineseCountingThousand"/>
      <w:suff w:val="space"/>
      <w:lvlText w:val="(%1)"/>
      <w:lvlJc w:val="left"/>
      <w:pPr>
        <w:ind w:left="420" w:hanging="420"/>
      </w:pPr>
      <w:rPr>
        <w:rFonts w:hint="eastAsia"/>
      </w:rPr>
    </w:lvl>
    <w:lvl w:ilvl="1">
      <w:start w:val="1"/>
      <w:numFmt w:val="decimal"/>
      <w:lvlText w:val="(%2). "/>
      <w:lvlJc w:val="left"/>
      <w:pPr>
        <w:ind w:left="840" w:hanging="420"/>
      </w:pPr>
      <w:rPr>
        <w:rFonts w:ascii="宋体" w:eastAsia="宋体" w:hAnsi="宋体"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5141766E"/>
    <w:multiLevelType w:val="multilevel"/>
    <w:tmpl w:val="5141766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15:restartNumberingAfterBreak="0">
    <w:nsid w:val="542027AB"/>
    <w:multiLevelType w:val="multilevel"/>
    <w:tmpl w:val="542027AB"/>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54B577AB"/>
    <w:multiLevelType w:val="multilevel"/>
    <w:tmpl w:val="54B577A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15:restartNumberingAfterBreak="0">
    <w:nsid w:val="573E1F07"/>
    <w:multiLevelType w:val="multilevel"/>
    <w:tmpl w:val="573E1F07"/>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15:restartNumberingAfterBreak="0">
    <w:nsid w:val="57D70C03"/>
    <w:multiLevelType w:val="multilevel"/>
    <w:tmpl w:val="57D70C0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15:restartNumberingAfterBreak="0">
    <w:nsid w:val="58433A16"/>
    <w:multiLevelType w:val="multilevel"/>
    <w:tmpl w:val="58433A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15:restartNumberingAfterBreak="0">
    <w:nsid w:val="59862246"/>
    <w:multiLevelType w:val="multilevel"/>
    <w:tmpl w:val="5986224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15:restartNumberingAfterBreak="0">
    <w:nsid w:val="5A3A1DE7"/>
    <w:multiLevelType w:val="multilevel"/>
    <w:tmpl w:val="5A3A1DE7"/>
    <w:lvl w:ilvl="0">
      <w:start w:val="2"/>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5C673432"/>
    <w:multiLevelType w:val="multilevel"/>
    <w:tmpl w:val="5C67343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15:restartNumberingAfterBreak="0">
    <w:nsid w:val="5D7B027D"/>
    <w:multiLevelType w:val="multilevel"/>
    <w:tmpl w:val="5D7B027D"/>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60421A59"/>
    <w:multiLevelType w:val="multilevel"/>
    <w:tmpl w:val="60421A59"/>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63C25BDC"/>
    <w:multiLevelType w:val="multilevel"/>
    <w:tmpl w:val="63C25BDC"/>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15:restartNumberingAfterBreak="0">
    <w:nsid w:val="6505491D"/>
    <w:multiLevelType w:val="multilevel"/>
    <w:tmpl w:val="6505491D"/>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15:restartNumberingAfterBreak="0">
    <w:nsid w:val="66383DE2"/>
    <w:multiLevelType w:val="multilevel"/>
    <w:tmpl w:val="66383DE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9" w15:restartNumberingAfterBreak="0">
    <w:nsid w:val="66CA16A7"/>
    <w:multiLevelType w:val="multilevel"/>
    <w:tmpl w:val="66CA16A7"/>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0" w15:restartNumberingAfterBreak="0">
    <w:nsid w:val="69BA4BB7"/>
    <w:multiLevelType w:val="multilevel"/>
    <w:tmpl w:val="69BA4BB7"/>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1" w15:restartNumberingAfterBreak="0">
    <w:nsid w:val="6D7319EB"/>
    <w:multiLevelType w:val="multilevel"/>
    <w:tmpl w:val="6D7319EB"/>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15:restartNumberingAfterBreak="0">
    <w:nsid w:val="6E225922"/>
    <w:multiLevelType w:val="multilevel"/>
    <w:tmpl w:val="6E22592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3" w15:restartNumberingAfterBreak="0">
    <w:nsid w:val="6F111C3A"/>
    <w:multiLevelType w:val="multilevel"/>
    <w:tmpl w:val="6F111C3A"/>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4" w15:restartNumberingAfterBreak="0">
    <w:nsid w:val="701D5786"/>
    <w:multiLevelType w:val="multilevel"/>
    <w:tmpl w:val="701D578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5" w15:restartNumberingAfterBreak="0">
    <w:nsid w:val="70E42A22"/>
    <w:multiLevelType w:val="multilevel"/>
    <w:tmpl w:val="70E42A2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6" w15:restartNumberingAfterBreak="0">
    <w:nsid w:val="72487AEF"/>
    <w:multiLevelType w:val="multilevel"/>
    <w:tmpl w:val="72487AEF"/>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7" w15:restartNumberingAfterBreak="0">
    <w:nsid w:val="739563DA"/>
    <w:multiLevelType w:val="multilevel"/>
    <w:tmpl w:val="739563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8" w15:restartNumberingAfterBreak="0">
    <w:nsid w:val="750508FB"/>
    <w:multiLevelType w:val="multilevel"/>
    <w:tmpl w:val="750508FB"/>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9" w15:restartNumberingAfterBreak="0">
    <w:nsid w:val="75482B44"/>
    <w:multiLevelType w:val="multilevel"/>
    <w:tmpl w:val="75482B44"/>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0" w15:restartNumberingAfterBreak="0">
    <w:nsid w:val="76B4167B"/>
    <w:multiLevelType w:val="multilevel"/>
    <w:tmpl w:val="76B4167B"/>
    <w:lvl w:ilvl="0">
      <w:start w:val="1"/>
      <w:numFmt w:val="decimal"/>
      <w:lvlText w:val="%1、"/>
      <w:lvlJc w:val="left"/>
      <w:pPr>
        <w:ind w:left="420" w:hanging="420"/>
      </w:pPr>
      <w:rPr>
        <w:rFonts w:ascii="宋体" w:eastAsia="宋体" w:hAnsi="宋体"/>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1" w15:restartNumberingAfterBreak="0">
    <w:nsid w:val="77111D1D"/>
    <w:multiLevelType w:val="multilevel"/>
    <w:tmpl w:val="77111D1D"/>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15:restartNumberingAfterBreak="0">
    <w:nsid w:val="77194021"/>
    <w:multiLevelType w:val="multilevel"/>
    <w:tmpl w:val="7719402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99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3" w15:restartNumberingAfterBreak="0">
    <w:nsid w:val="787035DE"/>
    <w:multiLevelType w:val="multilevel"/>
    <w:tmpl w:val="787035D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4" w15:restartNumberingAfterBreak="0">
    <w:nsid w:val="7B1E025F"/>
    <w:multiLevelType w:val="multilevel"/>
    <w:tmpl w:val="7B1E025F"/>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5" w15:restartNumberingAfterBreak="0">
    <w:nsid w:val="7B606A2D"/>
    <w:multiLevelType w:val="multilevel"/>
    <w:tmpl w:val="7B606A2D"/>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6" w15:restartNumberingAfterBreak="0">
    <w:nsid w:val="7C0C1B4F"/>
    <w:multiLevelType w:val="multilevel"/>
    <w:tmpl w:val="7C0C1B4F"/>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7" w15:restartNumberingAfterBreak="0">
    <w:nsid w:val="7D07444B"/>
    <w:multiLevelType w:val="multilevel"/>
    <w:tmpl w:val="7D07444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15:restartNumberingAfterBreak="0">
    <w:nsid w:val="7E7E7E18"/>
    <w:multiLevelType w:val="multilevel"/>
    <w:tmpl w:val="7E7E7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9" w15:restartNumberingAfterBreak="0">
    <w:nsid w:val="7FCC199E"/>
    <w:multiLevelType w:val="multilevel"/>
    <w:tmpl w:val="7FCC199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4"/>
  </w:num>
  <w:num w:numId="2">
    <w:abstractNumId w:val="22"/>
  </w:num>
  <w:num w:numId="3">
    <w:abstractNumId w:val="14"/>
  </w:num>
  <w:num w:numId="4">
    <w:abstractNumId w:val="26"/>
  </w:num>
  <w:num w:numId="5">
    <w:abstractNumId w:val="12"/>
  </w:num>
  <w:num w:numId="6">
    <w:abstractNumId w:val="46"/>
  </w:num>
  <w:num w:numId="7">
    <w:abstractNumId w:val="17"/>
  </w:num>
  <w:num w:numId="8">
    <w:abstractNumId w:val="21"/>
  </w:num>
  <w:num w:numId="9">
    <w:abstractNumId w:val="60"/>
  </w:num>
  <w:num w:numId="10">
    <w:abstractNumId w:val="3"/>
  </w:num>
  <w:num w:numId="11">
    <w:abstractNumId w:val="68"/>
  </w:num>
  <w:num w:numId="12">
    <w:abstractNumId w:val="86"/>
  </w:num>
  <w:num w:numId="13">
    <w:abstractNumId w:val="30"/>
  </w:num>
  <w:num w:numId="14">
    <w:abstractNumId w:val="80"/>
  </w:num>
  <w:num w:numId="15">
    <w:abstractNumId w:val="4"/>
  </w:num>
  <w:num w:numId="16">
    <w:abstractNumId w:val="74"/>
  </w:num>
  <w:num w:numId="17">
    <w:abstractNumId w:val="25"/>
  </w:num>
  <w:num w:numId="18">
    <w:abstractNumId w:val="54"/>
  </w:num>
  <w:num w:numId="19">
    <w:abstractNumId w:val="94"/>
  </w:num>
  <w:num w:numId="20">
    <w:abstractNumId w:val="66"/>
  </w:num>
  <w:num w:numId="21">
    <w:abstractNumId w:val="47"/>
  </w:num>
  <w:num w:numId="22">
    <w:abstractNumId w:val="57"/>
  </w:num>
  <w:num w:numId="23">
    <w:abstractNumId w:val="56"/>
  </w:num>
  <w:num w:numId="24">
    <w:abstractNumId w:val="72"/>
  </w:num>
  <w:num w:numId="25">
    <w:abstractNumId w:val="31"/>
  </w:num>
  <w:num w:numId="26">
    <w:abstractNumId w:val="85"/>
  </w:num>
  <w:num w:numId="27">
    <w:abstractNumId w:val="73"/>
  </w:num>
  <w:num w:numId="28">
    <w:abstractNumId w:val="16"/>
  </w:num>
  <w:num w:numId="29">
    <w:abstractNumId w:val="29"/>
  </w:num>
  <w:num w:numId="30">
    <w:abstractNumId w:val="20"/>
  </w:num>
  <w:num w:numId="31">
    <w:abstractNumId w:val="9"/>
  </w:num>
  <w:num w:numId="32">
    <w:abstractNumId w:val="91"/>
  </w:num>
  <w:num w:numId="33">
    <w:abstractNumId w:val="52"/>
  </w:num>
  <w:num w:numId="34">
    <w:abstractNumId w:val="48"/>
  </w:num>
  <w:num w:numId="35">
    <w:abstractNumId w:val="2"/>
  </w:num>
  <w:num w:numId="36">
    <w:abstractNumId w:val="67"/>
  </w:num>
  <w:num w:numId="37">
    <w:abstractNumId w:val="37"/>
  </w:num>
  <w:num w:numId="38">
    <w:abstractNumId w:val="27"/>
  </w:num>
  <w:num w:numId="39">
    <w:abstractNumId w:val="83"/>
  </w:num>
  <w:num w:numId="40">
    <w:abstractNumId w:val="5"/>
  </w:num>
  <w:num w:numId="41">
    <w:abstractNumId w:val="24"/>
  </w:num>
  <w:num w:numId="42">
    <w:abstractNumId w:val="11"/>
  </w:num>
  <w:num w:numId="43">
    <w:abstractNumId w:val="36"/>
  </w:num>
  <w:num w:numId="44">
    <w:abstractNumId w:val="84"/>
  </w:num>
  <w:num w:numId="45">
    <w:abstractNumId w:val="90"/>
  </w:num>
  <w:num w:numId="46">
    <w:abstractNumId w:val="51"/>
  </w:num>
  <w:num w:numId="47">
    <w:abstractNumId w:val="19"/>
  </w:num>
  <w:num w:numId="48">
    <w:abstractNumId w:val="15"/>
  </w:num>
  <w:num w:numId="49">
    <w:abstractNumId w:val="87"/>
  </w:num>
  <w:num w:numId="50">
    <w:abstractNumId w:val="38"/>
  </w:num>
  <w:num w:numId="51">
    <w:abstractNumId w:val="82"/>
  </w:num>
  <w:num w:numId="52">
    <w:abstractNumId w:val="92"/>
  </w:num>
  <w:num w:numId="53">
    <w:abstractNumId w:val="98"/>
  </w:num>
  <w:num w:numId="54">
    <w:abstractNumId w:val="99"/>
  </w:num>
  <w:num w:numId="55">
    <w:abstractNumId w:val="39"/>
  </w:num>
  <w:num w:numId="56">
    <w:abstractNumId w:val="10"/>
  </w:num>
  <w:num w:numId="57">
    <w:abstractNumId w:val="7"/>
  </w:num>
  <w:num w:numId="58">
    <w:abstractNumId w:val="95"/>
  </w:num>
  <w:num w:numId="59">
    <w:abstractNumId w:val="18"/>
  </w:num>
  <w:num w:numId="60">
    <w:abstractNumId w:val="45"/>
  </w:num>
  <w:num w:numId="61">
    <w:abstractNumId w:val="88"/>
  </w:num>
  <w:num w:numId="62">
    <w:abstractNumId w:val="42"/>
  </w:num>
  <w:num w:numId="63">
    <w:abstractNumId w:val="93"/>
  </w:num>
  <w:num w:numId="64">
    <w:abstractNumId w:val="58"/>
  </w:num>
  <w:num w:numId="65">
    <w:abstractNumId w:val="76"/>
  </w:num>
  <w:num w:numId="66">
    <w:abstractNumId w:val="32"/>
  </w:num>
  <w:num w:numId="67">
    <w:abstractNumId w:val="97"/>
  </w:num>
  <w:num w:numId="68">
    <w:abstractNumId w:val="35"/>
  </w:num>
  <w:num w:numId="69">
    <w:abstractNumId w:val="96"/>
  </w:num>
  <w:num w:numId="70">
    <w:abstractNumId w:val="23"/>
  </w:num>
  <w:num w:numId="71">
    <w:abstractNumId w:val="13"/>
  </w:num>
  <w:num w:numId="72">
    <w:abstractNumId w:val="77"/>
  </w:num>
  <w:num w:numId="73">
    <w:abstractNumId w:val="41"/>
  </w:num>
  <w:num w:numId="74">
    <w:abstractNumId w:val="28"/>
  </w:num>
  <w:num w:numId="75">
    <w:abstractNumId w:val="55"/>
  </w:num>
  <w:num w:numId="76">
    <w:abstractNumId w:val="70"/>
  </w:num>
  <w:num w:numId="77">
    <w:abstractNumId w:val="61"/>
  </w:num>
  <w:num w:numId="78">
    <w:abstractNumId w:val="1"/>
  </w:num>
  <w:num w:numId="79">
    <w:abstractNumId w:val="75"/>
  </w:num>
  <w:num w:numId="80">
    <w:abstractNumId w:val="59"/>
  </w:num>
  <w:num w:numId="81">
    <w:abstractNumId w:val="63"/>
  </w:num>
  <w:num w:numId="82">
    <w:abstractNumId w:val="40"/>
  </w:num>
  <w:num w:numId="83">
    <w:abstractNumId w:val="8"/>
  </w:num>
  <w:num w:numId="84">
    <w:abstractNumId w:val="65"/>
  </w:num>
  <w:num w:numId="85">
    <w:abstractNumId w:val="81"/>
  </w:num>
  <w:num w:numId="86">
    <w:abstractNumId w:val="50"/>
  </w:num>
  <w:num w:numId="87">
    <w:abstractNumId w:val="69"/>
  </w:num>
  <w:num w:numId="88">
    <w:abstractNumId w:val="62"/>
  </w:num>
  <w:num w:numId="89">
    <w:abstractNumId w:val="78"/>
  </w:num>
  <w:num w:numId="90">
    <w:abstractNumId w:val="33"/>
  </w:num>
  <w:num w:numId="91">
    <w:abstractNumId w:val="71"/>
  </w:num>
  <w:num w:numId="92">
    <w:abstractNumId w:val="43"/>
  </w:num>
  <w:num w:numId="93">
    <w:abstractNumId w:val="6"/>
  </w:num>
  <w:num w:numId="94">
    <w:abstractNumId w:val="64"/>
  </w:num>
  <w:num w:numId="95">
    <w:abstractNumId w:val="0"/>
  </w:num>
  <w:num w:numId="96">
    <w:abstractNumId w:val="49"/>
  </w:num>
  <w:num w:numId="97">
    <w:abstractNumId w:val="53"/>
  </w:num>
  <w:num w:numId="98">
    <w:abstractNumId w:val="79"/>
  </w:num>
  <w:num w:numId="99">
    <w:abstractNumId w:val="89"/>
  </w:num>
  <w:num w:numId="100">
    <w:abstractNumId w:val="34"/>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isclosure_Version" w:val="true"/>
  </w:docVars>
  <w:rsids>
    <w:rsidRoot w:val="00DD256F"/>
    <w:rsid w:val="000005A6"/>
    <w:rsid w:val="000006AC"/>
    <w:rsid w:val="0000102D"/>
    <w:rsid w:val="0000104D"/>
    <w:rsid w:val="00001469"/>
    <w:rsid w:val="000015C9"/>
    <w:rsid w:val="00001B33"/>
    <w:rsid w:val="00001E8C"/>
    <w:rsid w:val="000021DD"/>
    <w:rsid w:val="0000230E"/>
    <w:rsid w:val="000023F5"/>
    <w:rsid w:val="00002545"/>
    <w:rsid w:val="000028BC"/>
    <w:rsid w:val="00002973"/>
    <w:rsid w:val="000033A6"/>
    <w:rsid w:val="000033CD"/>
    <w:rsid w:val="0000372D"/>
    <w:rsid w:val="00003C39"/>
    <w:rsid w:val="00003C5D"/>
    <w:rsid w:val="0000464C"/>
    <w:rsid w:val="000048B5"/>
    <w:rsid w:val="00004ADF"/>
    <w:rsid w:val="00004AF5"/>
    <w:rsid w:val="00004E58"/>
    <w:rsid w:val="00005071"/>
    <w:rsid w:val="0000568D"/>
    <w:rsid w:val="000061CF"/>
    <w:rsid w:val="00006354"/>
    <w:rsid w:val="00007207"/>
    <w:rsid w:val="00007BBD"/>
    <w:rsid w:val="00010147"/>
    <w:rsid w:val="0001033D"/>
    <w:rsid w:val="0001041D"/>
    <w:rsid w:val="0001046B"/>
    <w:rsid w:val="000110A4"/>
    <w:rsid w:val="000121BF"/>
    <w:rsid w:val="000122EE"/>
    <w:rsid w:val="00012469"/>
    <w:rsid w:val="00012702"/>
    <w:rsid w:val="00012AFC"/>
    <w:rsid w:val="000130AF"/>
    <w:rsid w:val="000133F7"/>
    <w:rsid w:val="000139E7"/>
    <w:rsid w:val="00013FF0"/>
    <w:rsid w:val="000140AF"/>
    <w:rsid w:val="000141F9"/>
    <w:rsid w:val="00014263"/>
    <w:rsid w:val="00014850"/>
    <w:rsid w:val="0001497A"/>
    <w:rsid w:val="00014DF5"/>
    <w:rsid w:val="000155A0"/>
    <w:rsid w:val="000159B6"/>
    <w:rsid w:val="00015DF7"/>
    <w:rsid w:val="00016321"/>
    <w:rsid w:val="00016625"/>
    <w:rsid w:val="00016D21"/>
    <w:rsid w:val="000176B6"/>
    <w:rsid w:val="00017D54"/>
    <w:rsid w:val="00020074"/>
    <w:rsid w:val="000203A5"/>
    <w:rsid w:val="000205AB"/>
    <w:rsid w:val="00020605"/>
    <w:rsid w:val="00020728"/>
    <w:rsid w:val="00020D46"/>
    <w:rsid w:val="00020DB9"/>
    <w:rsid w:val="0002110B"/>
    <w:rsid w:val="00021700"/>
    <w:rsid w:val="00021BD4"/>
    <w:rsid w:val="000224B7"/>
    <w:rsid w:val="000225C5"/>
    <w:rsid w:val="0002292A"/>
    <w:rsid w:val="00022EDA"/>
    <w:rsid w:val="0002301E"/>
    <w:rsid w:val="000231BD"/>
    <w:rsid w:val="000231DC"/>
    <w:rsid w:val="000232BB"/>
    <w:rsid w:val="000239D2"/>
    <w:rsid w:val="00023BEB"/>
    <w:rsid w:val="00023C73"/>
    <w:rsid w:val="00024B79"/>
    <w:rsid w:val="00025469"/>
    <w:rsid w:val="00025E29"/>
    <w:rsid w:val="00025EAF"/>
    <w:rsid w:val="0002612F"/>
    <w:rsid w:val="0002672E"/>
    <w:rsid w:val="00026A17"/>
    <w:rsid w:val="00027348"/>
    <w:rsid w:val="000275C9"/>
    <w:rsid w:val="0002798D"/>
    <w:rsid w:val="000301D0"/>
    <w:rsid w:val="00031700"/>
    <w:rsid w:val="000317CB"/>
    <w:rsid w:val="000317E9"/>
    <w:rsid w:val="00031868"/>
    <w:rsid w:val="00031B72"/>
    <w:rsid w:val="0003243D"/>
    <w:rsid w:val="00032BA9"/>
    <w:rsid w:val="00032FA8"/>
    <w:rsid w:val="0003337C"/>
    <w:rsid w:val="000337FB"/>
    <w:rsid w:val="00033EBB"/>
    <w:rsid w:val="0003408C"/>
    <w:rsid w:val="0003409A"/>
    <w:rsid w:val="00034289"/>
    <w:rsid w:val="000343F2"/>
    <w:rsid w:val="0003468B"/>
    <w:rsid w:val="00034C0D"/>
    <w:rsid w:val="00035352"/>
    <w:rsid w:val="00035464"/>
    <w:rsid w:val="0003626E"/>
    <w:rsid w:val="00036357"/>
    <w:rsid w:val="00036813"/>
    <w:rsid w:val="00037DB8"/>
    <w:rsid w:val="00037EBC"/>
    <w:rsid w:val="00040830"/>
    <w:rsid w:val="00040925"/>
    <w:rsid w:val="000411AF"/>
    <w:rsid w:val="0004146D"/>
    <w:rsid w:val="00041525"/>
    <w:rsid w:val="00041800"/>
    <w:rsid w:val="00041AC3"/>
    <w:rsid w:val="00042574"/>
    <w:rsid w:val="000429ED"/>
    <w:rsid w:val="00043326"/>
    <w:rsid w:val="00043335"/>
    <w:rsid w:val="000436FE"/>
    <w:rsid w:val="000438A3"/>
    <w:rsid w:val="00043C00"/>
    <w:rsid w:val="00043E96"/>
    <w:rsid w:val="00043EED"/>
    <w:rsid w:val="00044579"/>
    <w:rsid w:val="000446C9"/>
    <w:rsid w:val="00044B41"/>
    <w:rsid w:val="00044D1E"/>
    <w:rsid w:val="00044DDC"/>
    <w:rsid w:val="00044FE0"/>
    <w:rsid w:val="000451ED"/>
    <w:rsid w:val="000453CA"/>
    <w:rsid w:val="000453E7"/>
    <w:rsid w:val="00045DCB"/>
    <w:rsid w:val="00045F39"/>
    <w:rsid w:val="00046637"/>
    <w:rsid w:val="000468DA"/>
    <w:rsid w:val="00046B18"/>
    <w:rsid w:val="00046BF9"/>
    <w:rsid w:val="00046C4A"/>
    <w:rsid w:val="00046DD2"/>
    <w:rsid w:val="000474D7"/>
    <w:rsid w:val="00047621"/>
    <w:rsid w:val="00047AE9"/>
    <w:rsid w:val="000500E7"/>
    <w:rsid w:val="000501F1"/>
    <w:rsid w:val="00050236"/>
    <w:rsid w:val="00050420"/>
    <w:rsid w:val="000505C7"/>
    <w:rsid w:val="000506CB"/>
    <w:rsid w:val="000517E2"/>
    <w:rsid w:val="00051BE5"/>
    <w:rsid w:val="00051DBC"/>
    <w:rsid w:val="000526A4"/>
    <w:rsid w:val="00052B89"/>
    <w:rsid w:val="00052D38"/>
    <w:rsid w:val="00052FFA"/>
    <w:rsid w:val="0005335F"/>
    <w:rsid w:val="00053E2E"/>
    <w:rsid w:val="00053F3F"/>
    <w:rsid w:val="000544CE"/>
    <w:rsid w:val="00054612"/>
    <w:rsid w:val="0005486C"/>
    <w:rsid w:val="00054D34"/>
    <w:rsid w:val="00055534"/>
    <w:rsid w:val="00055816"/>
    <w:rsid w:val="00055C3F"/>
    <w:rsid w:val="000561D7"/>
    <w:rsid w:val="000562C7"/>
    <w:rsid w:val="00056347"/>
    <w:rsid w:val="000569CC"/>
    <w:rsid w:val="00056B8B"/>
    <w:rsid w:val="0005719E"/>
    <w:rsid w:val="000578C2"/>
    <w:rsid w:val="00057AD2"/>
    <w:rsid w:val="0006013C"/>
    <w:rsid w:val="00060342"/>
    <w:rsid w:val="000604A6"/>
    <w:rsid w:val="00060967"/>
    <w:rsid w:val="00060C85"/>
    <w:rsid w:val="00062017"/>
    <w:rsid w:val="000622D5"/>
    <w:rsid w:val="0006271B"/>
    <w:rsid w:val="0006271F"/>
    <w:rsid w:val="00062AA3"/>
    <w:rsid w:val="00062D8E"/>
    <w:rsid w:val="00063342"/>
    <w:rsid w:val="0006345E"/>
    <w:rsid w:val="000636DE"/>
    <w:rsid w:val="00063893"/>
    <w:rsid w:val="000639D3"/>
    <w:rsid w:val="00063A04"/>
    <w:rsid w:val="00063A13"/>
    <w:rsid w:val="00063EE6"/>
    <w:rsid w:val="0006463F"/>
    <w:rsid w:val="00064ADF"/>
    <w:rsid w:val="000658FD"/>
    <w:rsid w:val="00065914"/>
    <w:rsid w:val="00065B7B"/>
    <w:rsid w:val="00065D51"/>
    <w:rsid w:val="00066B5B"/>
    <w:rsid w:val="00066C7F"/>
    <w:rsid w:val="00066F8C"/>
    <w:rsid w:val="0006751E"/>
    <w:rsid w:val="00067AEB"/>
    <w:rsid w:val="00070D92"/>
    <w:rsid w:val="00070E4B"/>
    <w:rsid w:val="00071243"/>
    <w:rsid w:val="0007147E"/>
    <w:rsid w:val="00072361"/>
    <w:rsid w:val="0007246C"/>
    <w:rsid w:val="000729B8"/>
    <w:rsid w:val="00072D7F"/>
    <w:rsid w:val="0007305C"/>
    <w:rsid w:val="000730ED"/>
    <w:rsid w:val="000732D5"/>
    <w:rsid w:val="00073BC2"/>
    <w:rsid w:val="000745DB"/>
    <w:rsid w:val="00074C4E"/>
    <w:rsid w:val="0007507D"/>
    <w:rsid w:val="00075760"/>
    <w:rsid w:val="00075786"/>
    <w:rsid w:val="00075C45"/>
    <w:rsid w:val="00075E3A"/>
    <w:rsid w:val="00075E54"/>
    <w:rsid w:val="00076117"/>
    <w:rsid w:val="000764FD"/>
    <w:rsid w:val="00077397"/>
    <w:rsid w:val="000778E2"/>
    <w:rsid w:val="000778F7"/>
    <w:rsid w:val="0008036E"/>
    <w:rsid w:val="00080509"/>
    <w:rsid w:val="000805BB"/>
    <w:rsid w:val="000808F7"/>
    <w:rsid w:val="000808FF"/>
    <w:rsid w:val="0008095D"/>
    <w:rsid w:val="00080A0F"/>
    <w:rsid w:val="000816A2"/>
    <w:rsid w:val="00081D4A"/>
    <w:rsid w:val="0008231D"/>
    <w:rsid w:val="00082700"/>
    <w:rsid w:val="00082A1A"/>
    <w:rsid w:val="00082AB1"/>
    <w:rsid w:val="00082E5B"/>
    <w:rsid w:val="000830E6"/>
    <w:rsid w:val="0008328D"/>
    <w:rsid w:val="0008332B"/>
    <w:rsid w:val="000837F0"/>
    <w:rsid w:val="000839C3"/>
    <w:rsid w:val="00083C1E"/>
    <w:rsid w:val="00084008"/>
    <w:rsid w:val="000841ED"/>
    <w:rsid w:val="00084294"/>
    <w:rsid w:val="00084531"/>
    <w:rsid w:val="00084634"/>
    <w:rsid w:val="00084A03"/>
    <w:rsid w:val="00084A3C"/>
    <w:rsid w:val="00084F00"/>
    <w:rsid w:val="00085C6B"/>
    <w:rsid w:val="000866A2"/>
    <w:rsid w:val="000868AD"/>
    <w:rsid w:val="000872AC"/>
    <w:rsid w:val="00087446"/>
    <w:rsid w:val="00087492"/>
    <w:rsid w:val="000877EF"/>
    <w:rsid w:val="00087B6F"/>
    <w:rsid w:val="00090454"/>
    <w:rsid w:val="00090892"/>
    <w:rsid w:val="00090ADC"/>
    <w:rsid w:val="00090C35"/>
    <w:rsid w:val="00090DA2"/>
    <w:rsid w:val="0009141B"/>
    <w:rsid w:val="00091724"/>
    <w:rsid w:val="00091743"/>
    <w:rsid w:val="000918CD"/>
    <w:rsid w:val="00091930"/>
    <w:rsid w:val="00091E44"/>
    <w:rsid w:val="0009268B"/>
    <w:rsid w:val="000927B1"/>
    <w:rsid w:val="00092823"/>
    <w:rsid w:val="00092C1E"/>
    <w:rsid w:val="00092F5A"/>
    <w:rsid w:val="00092FCE"/>
    <w:rsid w:val="000930A1"/>
    <w:rsid w:val="0009325E"/>
    <w:rsid w:val="000932D6"/>
    <w:rsid w:val="000934F7"/>
    <w:rsid w:val="000938DF"/>
    <w:rsid w:val="00094040"/>
    <w:rsid w:val="0009494E"/>
    <w:rsid w:val="00094993"/>
    <w:rsid w:val="00094A55"/>
    <w:rsid w:val="00094FB5"/>
    <w:rsid w:val="00095082"/>
    <w:rsid w:val="000951D6"/>
    <w:rsid w:val="000952FD"/>
    <w:rsid w:val="00095382"/>
    <w:rsid w:val="00095388"/>
    <w:rsid w:val="000955B9"/>
    <w:rsid w:val="00095CD6"/>
    <w:rsid w:val="000960F5"/>
    <w:rsid w:val="00096133"/>
    <w:rsid w:val="00096746"/>
    <w:rsid w:val="00096E12"/>
    <w:rsid w:val="00097054"/>
    <w:rsid w:val="00097097"/>
    <w:rsid w:val="000974B2"/>
    <w:rsid w:val="000975B1"/>
    <w:rsid w:val="000976C1"/>
    <w:rsid w:val="00097B67"/>
    <w:rsid w:val="00097D61"/>
    <w:rsid w:val="00097E3C"/>
    <w:rsid w:val="000A04A2"/>
    <w:rsid w:val="000A0989"/>
    <w:rsid w:val="000A1026"/>
    <w:rsid w:val="000A11A5"/>
    <w:rsid w:val="000A1547"/>
    <w:rsid w:val="000A16A6"/>
    <w:rsid w:val="000A199C"/>
    <w:rsid w:val="000A1CBE"/>
    <w:rsid w:val="000A25F6"/>
    <w:rsid w:val="000A26EE"/>
    <w:rsid w:val="000A3714"/>
    <w:rsid w:val="000A3DD1"/>
    <w:rsid w:val="000A4309"/>
    <w:rsid w:val="000A4AE5"/>
    <w:rsid w:val="000A4C9E"/>
    <w:rsid w:val="000A5126"/>
    <w:rsid w:val="000A5162"/>
    <w:rsid w:val="000A568D"/>
    <w:rsid w:val="000A5A58"/>
    <w:rsid w:val="000A6410"/>
    <w:rsid w:val="000A67B6"/>
    <w:rsid w:val="000A69C3"/>
    <w:rsid w:val="000A6A70"/>
    <w:rsid w:val="000A6F48"/>
    <w:rsid w:val="000A700E"/>
    <w:rsid w:val="000A7216"/>
    <w:rsid w:val="000A74D2"/>
    <w:rsid w:val="000A76D3"/>
    <w:rsid w:val="000A78D8"/>
    <w:rsid w:val="000A799A"/>
    <w:rsid w:val="000A7C6A"/>
    <w:rsid w:val="000A7FB5"/>
    <w:rsid w:val="000B014F"/>
    <w:rsid w:val="000B0362"/>
    <w:rsid w:val="000B09B7"/>
    <w:rsid w:val="000B0EE6"/>
    <w:rsid w:val="000B1AD4"/>
    <w:rsid w:val="000B1DB7"/>
    <w:rsid w:val="000B2333"/>
    <w:rsid w:val="000B23C8"/>
    <w:rsid w:val="000B28AE"/>
    <w:rsid w:val="000B28F3"/>
    <w:rsid w:val="000B31E0"/>
    <w:rsid w:val="000B3557"/>
    <w:rsid w:val="000B363F"/>
    <w:rsid w:val="000B3C1D"/>
    <w:rsid w:val="000B4A82"/>
    <w:rsid w:val="000B4B18"/>
    <w:rsid w:val="000B4BDA"/>
    <w:rsid w:val="000B5098"/>
    <w:rsid w:val="000B5590"/>
    <w:rsid w:val="000B5882"/>
    <w:rsid w:val="000B5992"/>
    <w:rsid w:val="000B5B67"/>
    <w:rsid w:val="000B5C36"/>
    <w:rsid w:val="000B5F9A"/>
    <w:rsid w:val="000B67FF"/>
    <w:rsid w:val="000B6B2E"/>
    <w:rsid w:val="000B6BC7"/>
    <w:rsid w:val="000B6C66"/>
    <w:rsid w:val="000B717E"/>
    <w:rsid w:val="000C0038"/>
    <w:rsid w:val="000C01B8"/>
    <w:rsid w:val="000C0519"/>
    <w:rsid w:val="000C063C"/>
    <w:rsid w:val="000C0C72"/>
    <w:rsid w:val="000C0D45"/>
    <w:rsid w:val="000C0F63"/>
    <w:rsid w:val="000C1CEC"/>
    <w:rsid w:val="000C2197"/>
    <w:rsid w:val="000C25F5"/>
    <w:rsid w:val="000C26F5"/>
    <w:rsid w:val="000C2C2E"/>
    <w:rsid w:val="000C3232"/>
    <w:rsid w:val="000C37A8"/>
    <w:rsid w:val="000C3A06"/>
    <w:rsid w:val="000C3D52"/>
    <w:rsid w:val="000C40B3"/>
    <w:rsid w:val="000C4401"/>
    <w:rsid w:val="000C4768"/>
    <w:rsid w:val="000C4B1F"/>
    <w:rsid w:val="000C4C03"/>
    <w:rsid w:val="000C4CFF"/>
    <w:rsid w:val="000C5059"/>
    <w:rsid w:val="000C51AC"/>
    <w:rsid w:val="000C52A2"/>
    <w:rsid w:val="000C5A57"/>
    <w:rsid w:val="000C5B58"/>
    <w:rsid w:val="000C5B78"/>
    <w:rsid w:val="000C60FC"/>
    <w:rsid w:val="000C63C4"/>
    <w:rsid w:val="000C6560"/>
    <w:rsid w:val="000C698C"/>
    <w:rsid w:val="000C6A05"/>
    <w:rsid w:val="000C6DAE"/>
    <w:rsid w:val="000C7371"/>
    <w:rsid w:val="000C7691"/>
    <w:rsid w:val="000C7889"/>
    <w:rsid w:val="000C7C71"/>
    <w:rsid w:val="000C7D9C"/>
    <w:rsid w:val="000C7DF8"/>
    <w:rsid w:val="000C7F30"/>
    <w:rsid w:val="000D057C"/>
    <w:rsid w:val="000D0BE9"/>
    <w:rsid w:val="000D0E23"/>
    <w:rsid w:val="000D1028"/>
    <w:rsid w:val="000D14E3"/>
    <w:rsid w:val="000D15CB"/>
    <w:rsid w:val="000D1A34"/>
    <w:rsid w:val="000D1E55"/>
    <w:rsid w:val="000D26CD"/>
    <w:rsid w:val="000D28CF"/>
    <w:rsid w:val="000D29E2"/>
    <w:rsid w:val="000D2C5E"/>
    <w:rsid w:val="000D2F52"/>
    <w:rsid w:val="000D3B03"/>
    <w:rsid w:val="000D3B07"/>
    <w:rsid w:val="000D4964"/>
    <w:rsid w:val="000D49EB"/>
    <w:rsid w:val="000D5174"/>
    <w:rsid w:val="000D5454"/>
    <w:rsid w:val="000D55C3"/>
    <w:rsid w:val="000D5A34"/>
    <w:rsid w:val="000D5D3B"/>
    <w:rsid w:val="000D5D86"/>
    <w:rsid w:val="000D5DC0"/>
    <w:rsid w:val="000D61FD"/>
    <w:rsid w:val="000D636E"/>
    <w:rsid w:val="000D6B10"/>
    <w:rsid w:val="000D6BCB"/>
    <w:rsid w:val="000D6D8F"/>
    <w:rsid w:val="000D7213"/>
    <w:rsid w:val="000D7307"/>
    <w:rsid w:val="000D7617"/>
    <w:rsid w:val="000D77D1"/>
    <w:rsid w:val="000D7885"/>
    <w:rsid w:val="000D7ABF"/>
    <w:rsid w:val="000E0052"/>
    <w:rsid w:val="000E01A1"/>
    <w:rsid w:val="000E073D"/>
    <w:rsid w:val="000E0C83"/>
    <w:rsid w:val="000E0EB6"/>
    <w:rsid w:val="000E14B7"/>
    <w:rsid w:val="000E1521"/>
    <w:rsid w:val="000E15A7"/>
    <w:rsid w:val="000E165C"/>
    <w:rsid w:val="000E17B3"/>
    <w:rsid w:val="000E18FC"/>
    <w:rsid w:val="000E1ACA"/>
    <w:rsid w:val="000E1E69"/>
    <w:rsid w:val="000E1F6C"/>
    <w:rsid w:val="000E209E"/>
    <w:rsid w:val="000E24F4"/>
    <w:rsid w:val="000E27D2"/>
    <w:rsid w:val="000E2820"/>
    <w:rsid w:val="000E2BE4"/>
    <w:rsid w:val="000E32FE"/>
    <w:rsid w:val="000E34CD"/>
    <w:rsid w:val="000E35F2"/>
    <w:rsid w:val="000E3894"/>
    <w:rsid w:val="000E3BB8"/>
    <w:rsid w:val="000E3D2D"/>
    <w:rsid w:val="000E41A3"/>
    <w:rsid w:val="000E4352"/>
    <w:rsid w:val="000E4B54"/>
    <w:rsid w:val="000E518E"/>
    <w:rsid w:val="000E567C"/>
    <w:rsid w:val="000E56D0"/>
    <w:rsid w:val="000E5B46"/>
    <w:rsid w:val="000E686A"/>
    <w:rsid w:val="000E6C67"/>
    <w:rsid w:val="000E6CD7"/>
    <w:rsid w:val="000E6F8A"/>
    <w:rsid w:val="000E70DA"/>
    <w:rsid w:val="000E7291"/>
    <w:rsid w:val="000E7956"/>
    <w:rsid w:val="000E7A93"/>
    <w:rsid w:val="000E7F24"/>
    <w:rsid w:val="000F025D"/>
    <w:rsid w:val="000F0456"/>
    <w:rsid w:val="000F04EC"/>
    <w:rsid w:val="000F0542"/>
    <w:rsid w:val="000F0CF0"/>
    <w:rsid w:val="000F13B4"/>
    <w:rsid w:val="000F192B"/>
    <w:rsid w:val="000F262B"/>
    <w:rsid w:val="000F2990"/>
    <w:rsid w:val="000F2A73"/>
    <w:rsid w:val="000F3016"/>
    <w:rsid w:val="000F3044"/>
    <w:rsid w:val="000F3234"/>
    <w:rsid w:val="000F3A6E"/>
    <w:rsid w:val="000F42F3"/>
    <w:rsid w:val="000F438A"/>
    <w:rsid w:val="000F460F"/>
    <w:rsid w:val="000F49E8"/>
    <w:rsid w:val="000F509F"/>
    <w:rsid w:val="000F52DA"/>
    <w:rsid w:val="000F584A"/>
    <w:rsid w:val="000F58FD"/>
    <w:rsid w:val="000F59FB"/>
    <w:rsid w:val="000F5E14"/>
    <w:rsid w:val="000F6058"/>
    <w:rsid w:val="000F6939"/>
    <w:rsid w:val="000F6B1C"/>
    <w:rsid w:val="000F6E38"/>
    <w:rsid w:val="000F6EE3"/>
    <w:rsid w:val="000F7633"/>
    <w:rsid w:val="000F7CB8"/>
    <w:rsid w:val="000F7D3C"/>
    <w:rsid w:val="00100112"/>
    <w:rsid w:val="0010063A"/>
    <w:rsid w:val="001007FD"/>
    <w:rsid w:val="001012ED"/>
    <w:rsid w:val="00101376"/>
    <w:rsid w:val="0010187D"/>
    <w:rsid w:val="00101B38"/>
    <w:rsid w:val="001022D3"/>
    <w:rsid w:val="001026CF"/>
    <w:rsid w:val="0010345C"/>
    <w:rsid w:val="00103661"/>
    <w:rsid w:val="001036AD"/>
    <w:rsid w:val="001038D1"/>
    <w:rsid w:val="00103BDD"/>
    <w:rsid w:val="00104087"/>
    <w:rsid w:val="001044B7"/>
    <w:rsid w:val="001044EA"/>
    <w:rsid w:val="001048FE"/>
    <w:rsid w:val="00104DE5"/>
    <w:rsid w:val="00104F56"/>
    <w:rsid w:val="00105238"/>
    <w:rsid w:val="00105921"/>
    <w:rsid w:val="001059D2"/>
    <w:rsid w:val="001059DB"/>
    <w:rsid w:val="00105F72"/>
    <w:rsid w:val="00106740"/>
    <w:rsid w:val="00107599"/>
    <w:rsid w:val="00107A8E"/>
    <w:rsid w:val="00107CD9"/>
    <w:rsid w:val="00107F48"/>
    <w:rsid w:val="0011023E"/>
    <w:rsid w:val="0011042C"/>
    <w:rsid w:val="00110611"/>
    <w:rsid w:val="00110717"/>
    <w:rsid w:val="00110D00"/>
    <w:rsid w:val="001116D4"/>
    <w:rsid w:val="00111BAC"/>
    <w:rsid w:val="00111D4E"/>
    <w:rsid w:val="00111E23"/>
    <w:rsid w:val="00112302"/>
    <w:rsid w:val="001126AB"/>
    <w:rsid w:val="001127CC"/>
    <w:rsid w:val="001133FC"/>
    <w:rsid w:val="001137A6"/>
    <w:rsid w:val="001139E6"/>
    <w:rsid w:val="00113B8D"/>
    <w:rsid w:val="00114189"/>
    <w:rsid w:val="00114F3A"/>
    <w:rsid w:val="00115730"/>
    <w:rsid w:val="0011587B"/>
    <w:rsid w:val="00115CFE"/>
    <w:rsid w:val="00116051"/>
    <w:rsid w:val="001165AE"/>
    <w:rsid w:val="001167C6"/>
    <w:rsid w:val="001167C8"/>
    <w:rsid w:val="001167D2"/>
    <w:rsid w:val="00116934"/>
    <w:rsid w:val="00116B75"/>
    <w:rsid w:val="00116D81"/>
    <w:rsid w:val="001170FA"/>
    <w:rsid w:val="001173A8"/>
    <w:rsid w:val="00117404"/>
    <w:rsid w:val="00117599"/>
    <w:rsid w:val="00117BC3"/>
    <w:rsid w:val="00117EDA"/>
    <w:rsid w:val="0012016D"/>
    <w:rsid w:val="001203D4"/>
    <w:rsid w:val="0012063F"/>
    <w:rsid w:val="00120A6A"/>
    <w:rsid w:val="001214B4"/>
    <w:rsid w:val="00121512"/>
    <w:rsid w:val="0012158F"/>
    <w:rsid w:val="0012188F"/>
    <w:rsid w:val="00122A33"/>
    <w:rsid w:val="00122BA4"/>
    <w:rsid w:val="00123009"/>
    <w:rsid w:val="001230F3"/>
    <w:rsid w:val="0012321F"/>
    <w:rsid w:val="001234DF"/>
    <w:rsid w:val="00123F0A"/>
    <w:rsid w:val="00124C57"/>
    <w:rsid w:val="001252F2"/>
    <w:rsid w:val="00125470"/>
    <w:rsid w:val="00125B27"/>
    <w:rsid w:val="00125EEF"/>
    <w:rsid w:val="0012608D"/>
    <w:rsid w:val="00126125"/>
    <w:rsid w:val="00126CBD"/>
    <w:rsid w:val="00127157"/>
    <w:rsid w:val="001272F9"/>
    <w:rsid w:val="001273FD"/>
    <w:rsid w:val="00127E76"/>
    <w:rsid w:val="001304AD"/>
    <w:rsid w:val="0013060E"/>
    <w:rsid w:val="00130697"/>
    <w:rsid w:val="00130D6C"/>
    <w:rsid w:val="00130DE5"/>
    <w:rsid w:val="0013119E"/>
    <w:rsid w:val="00131652"/>
    <w:rsid w:val="001316B3"/>
    <w:rsid w:val="0013204C"/>
    <w:rsid w:val="001321A5"/>
    <w:rsid w:val="00132615"/>
    <w:rsid w:val="00132A09"/>
    <w:rsid w:val="00132A1B"/>
    <w:rsid w:val="0013309F"/>
    <w:rsid w:val="00133139"/>
    <w:rsid w:val="001332D2"/>
    <w:rsid w:val="0013379B"/>
    <w:rsid w:val="00133BDB"/>
    <w:rsid w:val="00133C1E"/>
    <w:rsid w:val="00133E33"/>
    <w:rsid w:val="00133F05"/>
    <w:rsid w:val="001346BE"/>
    <w:rsid w:val="0013488A"/>
    <w:rsid w:val="00134E3C"/>
    <w:rsid w:val="00135556"/>
    <w:rsid w:val="0013555C"/>
    <w:rsid w:val="0013565E"/>
    <w:rsid w:val="00135794"/>
    <w:rsid w:val="00135FBD"/>
    <w:rsid w:val="00136496"/>
    <w:rsid w:val="00136A9A"/>
    <w:rsid w:val="0013708F"/>
    <w:rsid w:val="001372F3"/>
    <w:rsid w:val="00137861"/>
    <w:rsid w:val="00137C75"/>
    <w:rsid w:val="00140099"/>
    <w:rsid w:val="00140271"/>
    <w:rsid w:val="001406FF"/>
    <w:rsid w:val="0014081B"/>
    <w:rsid w:val="00140BD7"/>
    <w:rsid w:val="00140D9B"/>
    <w:rsid w:val="00140E08"/>
    <w:rsid w:val="00141331"/>
    <w:rsid w:val="00141419"/>
    <w:rsid w:val="00141613"/>
    <w:rsid w:val="00141BE5"/>
    <w:rsid w:val="00142014"/>
    <w:rsid w:val="001420C3"/>
    <w:rsid w:val="0014231A"/>
    <w:rsid w:val="00142509"/>
    <w:rsid w:val="0014259C"/>
    <w:rsid w:val="001428B2"/>
    <w:rsid w:val="00142E7D"/>
    <w:rsid w:val="00143309"/>
    <w:rsid w:val="0014344C"/>
    <w:rsid w:val="00143975"/>
    <w:rsid w:val="00143D08"/>
    <w:rsid w:val="00143F15"/>
    <w:rsid w:val="00143F60"/>
    <w:rsid w:val="00143FDE"/>
    <w:rsid w:val="001441B6"/>
    <w:rsid w:val="001444F7"/>
    <w:rsid w:val="001445D9"/>
    <w:rsid w:val="0014483D"/>
    <w:rsid w:val="00144B78"/>
    <w:rsid w:val="00144BF1"/>
    <w:rsid w:val="0014520A"/>
    <w:rsid w:val="00145561"/>
    <w:rsid w:val="001455E9"/>
    <w:rsid w:val="0014596A"/>
    <w:rsid w:val="00145E82"/>
    <w:rsid w:val="001464BB"/>
    <w:rsid w:val="00146FA2"/>
    <w:rsid w:val="00147584"/>
    <w:rsid w:val="00147823"/>
    <w:rsid w:val="00147900"/>
    <w:rsid w:val="00147BFC"/>
    <w:rsid w:val="00147DB1"/>
    <w:rsid w:val="001508C9"/>
    <w:rsid w:val="00150E78"/>
    <w:rsid w:val="00150F67"/>
    <w:rsid w:val="001511B5"/>
    <w:rsid w:val="0015156E"/>
    <w:rsid w:val="0015159B"/>
    <w:rsid w:val="001516EE"/>
    <w:rsid w:val="00151EEF"/>
    <w:rsid w:val="00152156"/>
    <w:rsid w:val="001522E2"/>
    <w:rsid w:val="00152734"/>
    <w:rsid w:val="0015290B"/>
    <w:rsid w:val="00152B5E"/>
    <w:rsid w:val="00152FE0"/>
    <w:rsid w:val="0015304B"/>
    <w:rsid w:val="00153852"/>
    <w:rsid w:val="00153F4B"/>
    <w:rsid w:val="00154101"/>
    <w:rsid w:val="001541EB"/>
    <w:rsid w:val="001543D4"/>
    <w:rsid w:val="0015445C"/>
    <w:rsid w:val="0015450F"/>
    <w:rsid w:val="00154ACD"/>
    <w:rsid w:val="00154B6D"/>
    <w:rsid w:val="00154B81"/>
    <w:rsid w:val="00154E9A"/>
    <w:rsid w:val="0015523D"/>
    <w:rsid w:val="00155E3E"/>
    <w:rsid w:val="00155FB6"/>
    <w:rsid w:val="00156C03"/>
    <w:rsid w:val="00156F5B"/>
    <w:rsid w:val="00157106"/>
    <w:rsid w:val="00157457"/>
    <w:rsid w:val="0015748D"/>
    <w:rsid w:val="001575B8"/>
    <w:rsid w:val="001575F4"/>
    <w:rsid w:val="001578D8"/>
    <w:rsid w:val="00157BDB"/>
    <w:rsid w:val="00157BF7"/>
    <w:rsid w:val="00157CE3"/>
    <w:rsid w:val="00157DE4"/>
    <w:rsid w:val="00160787"/>
    <w:rsid w:val="00160818"/>
    <w:rsid w:val="001608C9"/>
    <w:rsid w:val="00160946"/>
    <w:rsid w:val="001614D4"/>
    <w:rsid w:val="00161A39"/>
    <w:rsid w:val="00161B38"/>
    <w:rsid w:val="00161CAF"/>
    <w:rsid w:val="0016204C"/>
    <w:rsid w:val="00162669"/>
    <w:rsid w:val="001626DD"/>
    <w:rsid w:val="0016283C"/>
    <w:rsid w:val="00162C8A"/>
    <w:rsid w:val="00163357"/>
    <w:rsid w:val="0016426E"/>
    <w:rsid w:val="00165081"/>
    <w:rsid w:val="0016523F"/>
    <w:rsid w:val="00165E4D"/>
    <w:rsid w:val="00165FED"/>
    <w:rsid w:val="001662C0"/>
    <w:rsid w:val="001667A9"/>
    <w:rsid w:val="00167185"/>
    <w:rsid w:val="00167739"/>
    <w:rsid w:val="00170327"/>
    <w:rsid w:val="0017040F"/>
    <w:rsid w:val="00170450"/>
    <w:rsid w:val="00170461"/>
    <w:rsid w:val="00170481"/>
    <w:rsid w:val="00170650"/>
    <w:rsid w:val="0017134C"/>
    <w:rsid w:val="001715BD"/>
    <w:rsid w:val="00172B99"/>
    <w:rsid w:val="00173271"/>
    <w:rsid w:val="00173329"/>
    <w:rsid w:val="00173583"/>
    <w:rsid w:val="00173821"/>
    <w:rsid w:val="00173F1A"/>
    <w:rsid w:val="0017499B"/>
    <w:rsid w:val="00174A05"/>
    <w:rsid w:val="001754A4"/>
    <w:rsid w:val="00175A98"/>
    <w:rsid w:val="00176294"/>
    <w:rsid w:val="00176395"/>
    <w:rsid w:val="0017692B"/>
    <w:rsid w:val="00176E6E"/>
    <w:rsid w:val="00176E78"/>
    <w:rsid w:val="00177133"/>
    <w:rsid w:val="00177D11"/>
    <w:rsid w:val="00177F7C"/>
    <w:rsid w:val="0018000D"/>
    <w:rsid w:val="001806CF"/>
    <w:rsid w:val="00180E29"/>
    <w:rsid w:val="00180F49"/>
    <w:rsid w:val="001815B8"/>
    <w:rsid w:val="001816A6"/>
    <w:rsid w:val="0018228D"/>
    <w:rsid w:val="00182367"/>
    <w:rsid w:val="001826DB"/>
    <w:rsid w:val="0018280C"/>
    <w:rsid w:val="00182BAC"/>
    <w:rsid w:val="0018313C"/>
    <w:rsid w:val="00183957"/>
    <w:rsid w:val="0018413C"/>
    <w:rsid w:val="001844E5"/>
    <w:rsid w:val="00184530"/>
    <w:rsid w:val="00184687"/>
    <w:rsid w:val="001847E6"/>
    <w:rsid w:val="00184EB1"/>
    <w:rsid w:val="00185085"/>
    <w:rsid w:val="001851BD"/>
    <w:rsid w:val="00185D0E"/>
    <w:rsid w:val="00186113"/>
    <w:rsid w:val="00186249"/>
    <w:rsid w:val="00186391"/>
    <w:rsid w:val="00186A2D"/>
    <w:rsid w:val="00186C23"/>
    <w:rsid w:val="00186F1C"/>
    <w:rsid w:val="00187328"/>
    <w:rsid w:val="00187855"/>
    <w:rsid w:val="00187858"/>
    <w:rsid w:val="001878D9"/>
    <w:rsid w:val="00187FB7"/>
    <w:rsid w:val="0019008D"/>
    <w:rsid w:val="0019022B"/>
    <w:rsid w:val="0019037D"/>
    <w:rsid w:val="001903E0"/>
    <w:rsid w:val="0019126B"/>
    <w:rsid w:val="00191C4F"/>
    <w:rsid w:val="00191CAC"/>
    <w:rsid w:val="001921F0"/>
    <w:rsid w:val="00192350"/>
    <w:rsid w:val="00192474"/>
    <w:rsid w:val="001926D5"/>
    <w:rsid w:val="00192CCC"/>
    <w:rsid w:val="00193278"/>
    <w:rsid w:val="001933C4"/>
    <w:rsid w:val="0019388E"/>
    <w:rsid w:val="00193C5E"/>
    <w:rsid w:val="001948EB"/>
    <w:rsid w:val="00194F95"/>
    <w:rsid w:val="00195857"/>
    <w:rsid w:val="00195A1C"/>
    <w:rsid w:val="00195DE7"/>
    <w:rsid w:val="00195DFE"/>
    <w:rsid w:val="00196123"/>
    <w:rsid w:val="00196E4C"/>
    <w:rsid w:val="00196F3D"/>
    <w:rsid w:val="0019711B"/>
    <w:rsid w:val="0019763C"/>
    <w:rsid w:val="001976BC"/>
    <w:rsid w:val="0019788A"/>
    <w:rsid w:val="0019799A"/>
    <w:rsid w:val="00197B91"/>
    <w:rsid w:val="00197C0F"/>
    <w:rsid w:val="00197C1F"/>
    <w:rsid w:val="001A02FE"/>
    <w:rsid w:val="001A0769"/>
    <w:rsid w:val="001A0BFC"/>
    <w:rsid w:val="001A0C34"/>
    <w:rsid w:val="001A0F7A"/>
    <w:rsid w:val="001A116E"/>
    <w:rsid w:val="001A1203"/>
    <w:rsid w:val="001A1A11"/>
    <w:rsid w:val="001A2056"/>
    <w:rsid w:val="001A2255"/>
    <w:rsid w:val="001A25C7"/>
    <w:rsid w:val="001A26F2"/>
    <w:rsid w:val="001A27A6"/>
    <w:rsid w:val="001A2AD1"/>
    <w:rsid w:val="001A2B2B"/>
    <w:rsid w:val="001A2D83"/>
    <w:rsid w:val="001A3215"/>
    <w:rsid w:val="001A3375"/>
    <w:rsid w:val="001A34C9"/>
    <w:rsid w:val="001A35C2"/>
    <w:rsid w:val="001A3637"/>
    <w:rsid w:val="001A37C6"/>
    <w:rsid w:val="001A3C77"/>
    <w:rsid w:val="001A409E"/>
    <w:rsid w:val="001A4780"/>
    <w:rsid w:val="001A4881"/>
    <w:rsid w:val="001A4B57"/>
    <w:rsid w:val="001A4F7F"/>
    <w:rsid w:val="001A5089"/>
    <w:rsid w:val="001A5C8D"/>
    <w:rsid w:val="001A6342"/>
    <w:rsid w:val="001A637E"/>
    <w:rsid w:val="001A652B"/>
    <w:rsid w:val="001A657D"/>
    <w:rsid w:val="001A6E76"/>
    <w:rsid w:val="001A7C88"/>
    <w:rsid w:val="001A7F1C"/>
    <w:rsid w:val="001B0143"/>
    <w:rsid w:val="001B0472"/>
    <w:rsid w:val="001B06B5"/>
    <w:rsid w:val="001B0B8E"/>
    <w:rsid w:val="001B0FA0"/>
    <w:rsid w:val="001B102B"/>
    <w:rsid w:val="001B11CD"/>
    <w:rsid w:val="001B1B4D"/>
    <w:rsid w:val="001B1D8E"/>
    <w:rsid w:val="001B20B4"/>
    <w:rsid w:val="001B21B7"/>
    <w:rsid w:val="001B25DC"/>
    <w:rsid w:val="001B2678"/>
    <w:rsid w:val="001B356F"/>
    <w:rsid w:val="001B40F8"/>
    <w:rsid w:val="001B4B35"/>
    <w:rsid w:val="001B531E"/>
    <w:rsid w:val="001B55DF"/>
    <w:rsid w:val="001B5CDA"/>
    <w:rsid w:val="001B5EAC"/>
    <w:rsid w:val="001B616C"/>
    <w:rsid w:val="001B627A"/>
    <w:rsid w:val="001B63F7"/>
    <w:rsid w:val="001B648A"/>
    <w:rsid w:val="001B6C5E"/>
    <w:rsid w:val="001B75FB"/>
    <w:rsid w:val="001B76F4"/>
    <w:rsid w:val="001B77C3"/>
    <w:rsid w:val="001B7CCD"/>
    <w:rsid w:val="001C0611"/>
    <w:rsid w:val="001C0653"/>
    <w:rsid w:val="001C0748"/>
    <w:rsid w:val="001C10CE"/>
    <w:rsid w:val="001C114E"/>
    <w:rsid w:val="001C1332"/>
    <w:rsid w:val="001C1BF1"/>
    <w:rsid w:val="001C1EEF"/>
    <w:rsid w:val="001C206C"/>
    <w:rsid w:val="001C243C"/>
    <w:rsid w:val="001C24BF"/>
    <w:rsid w:val="001C26A0"/>
    <w:rsid w:val="001C2748"/>
    <w:rsid w:val="001C2900"/>
    <w:rsid w:val="001C2BDA"/>
    <w:rsid w:val="001C2C05"/>
    <w:rsid w:val="001C2E70"/>
    <w:rsid w:val="001C2F81"/>
    <w:rsid w:val="001C302B"/>
    <w:rsid w:val="001C3C8B"/>
    <w:rsid w:val="001C3F9F"/>
    <w:rsid w:val="001C41F9"/>
    <w:rsid w:val="001C43BB"/>
    <w:rsid w:val="001C479F"/>
    <w:rsid w:val="001C499B"/>
    <w:rsid w:val="001C4AC0"/>
    <w:rsid w:val="001C4B0F"/>
    <w:rsid w:val="001C4F2F"/>
    <w:rsid w:val="001C5048"/>
    <w:rsid w:val="001C525E"/>
    <w:rsid w:val="001C5504"/>
    <w:rsid w:val="001C62B5"/>
    <w:rsid w:val="001C685A"/>
    <w:rsid w:val="001C6E80"/>
    <w:rsid w:val="001C70C3"/>
    <w:rsid w:val="001C7153"/>
    <w:rsid w:val="001C78B4"/>
    <w:rsid w:val="001C7937"/>
    <w:rsid w:val="001C7BD4"/>
    <w:rsid w:val="001C7CA1"/>
    <w:rsid w:val="001C7CD4"/>
    <w:rsid w:val="001D09D0"/>
    <w:rsid w:val="001D14AC"/>
    <w:rsid w:val="001D169E"/>
    <w:rsid w:val="001D19A9"/>
    <w:rsid w:val="001D1AF1"/>
    <w:rsid w:val="001D2208"/>
    <w:rsid w:val="001D25CB"/>
    <w:rsid w:val="001D272E"/>
    <w:rsid w:val="001D285A"/>
    <w:rsid w:val="001D2ABC"/>
    <w:rsid w:val="001D2C3C"/>
    <w:rsid w:val="001D2DA2"/>
    <w:rsid w:val="001D2EE3"/>
    <w:rsid w:val="001D3318"/>
    <w:rsid w:val="001D371D"/>
    <w:rsid w:val="001D38C2"/>
    <w:rsid w:val="001D46DF"/>
    <w:rsid w:val="001D48A4"/>
    <w:rsid w:val="001D5016"/>
    <w:rsid w:val="001D5589"/>
    <w:rsid w:val="001D599D"/>
    <w:rsid w:val="001D66F1"/>
    <w:rsid w:val="001D67F3"/>
    <w:rsid w:val="001D6C22"/>
    <w:rsid w:val="001D701F"/>
    <w:rsid w:val="001D70BF"/>
    <w:rsid w:val="001D7BCD"/>
    <w:rsid w:val="001E00D9"/>
    <w:rsid w:val="001E04DE"/>
    <w:rsid w:val="001E05B5"/>
    <w:rsid w:val="001E0A22"/>
    <w:rsid w:val="001E0A77"/>
    <w:rsid w:val="001E0F47"/>
    <w:rsid w:val="001E13C5"/>
    <w:rsid w:val="001E1874"/>
    <w:rsid w:val="001E18AC"/>
    <w:rsid w:val="001E1926"/>
    <w:rsid w:val="001E24B5"/>
    <w:rsid w:val="001E2729"/>
    <w:rsid w:val="001E27EC"/>
    <w:rsid w:val="001E2AC2"/>
    <w:rsid w:val="001E2E8E"/>
    <w:rsid w:val="001E3187"/>
    <w:rsid w:val="001E35BF"/>
    <w:rsid w:val="001E35D2"/>
    <w:rsid w:val="001E37CF"/>
    <w:rsid w:val="001E4B1D"/>
    <w:rsid w:val="001E5479"/>
    <w:rsid w:val="001E55CD"/>
    <w:rsid w:val="001E5737"/>
    <w:rsid w:val="001E5F29"/>
    <w:rsid w:val="001E6802"/>
    <w:rsid w:val="001E6B0E"/>
    <w:rsid w:val="001E6D5D"/>
    <w:rsid w:val="001E6EE1"/>
    <w:rsid w:val="001E7E60"/>
    <w:rsid w:val="001F018E"/>
    <w:rsid w:val="001F019F"/>
    <w:rsid w:val="001F07B9"/>
    <w:rsid w:val="001F09C2"/>
    <w:rsid w:val="001F0B04"/>
    <w:rsid w:val="001F0C13"/>
    <w:rsid w:val="001F126D"/>
    <w:rsid w:val="001F157A"/>
    <w:rsid w:val="001F1868"/>
    <w:rsid w:val="001F1A82"/>
    <w:rsid w:val="001F2449"/>
    <w:rsid w:val="001F2645"/>
    <w:rsid w:val="001F294E"/>
    <w:rsid w:val="001F2A1C"/>
    <w:rsid w:val="001F2A57"/>
    <w:rsid w:val="001F2DCA"/>
    <w:rsid w:val="001F30EE"/>
    <w:rsid w:val="001F3221"/>
    <w:rsid w:val="001F33A0"/>
    <w:rsid w:val="001F3AE4"/>
    <w:rsid w:val="001F3C0E"/>
    <w:rsid w:val="001F3C4B"/>
    <w:rsid w:val="001F3E2C"/>
    <w:rsid w:val="001F40B3"/>
    <w:rsid w:val="001F4B16"/>
    <w:rsid w:val="001F4C39"/>
    <w:rsid w:val="001F65A3"/>
    <w:rsid w:val="001F6856"/>
    <w:rsid w:val="001F73D9"/>
    <w:rsid w:val="001F7478"/>
    <w:rsid w:val="001F7EDD"/>
    <w:rsid w:val="001F7FCA"/>
    <w:rsid w:val="00200212"/>
    <w:rsid w:val="002008BE"/>
    <w:rsid w:val="0020111B"/>
    <w:rsid w:val="00201806"/>
    <w:rsid w:val="002019C7"/>
    <w:rsid w:val="00201E61"/>
    <w:rsid w:val="00201F2D"/>
    <w:rsid w:val="00201FE8"/>
    <w:rsid w:val="002024FC"/>
    <w:rsid w:val="0020264D"/>
    <w:rsid w:val="002027BD"/>
    <w:rsid w:val="00202936"/>
    <w:rsid w:val="00202AE4"/>
    <w:rsid w:val="00202D95"/>
    <w:rsid w:val="002031C1"/>
    <w:rsid w:val="00203830"/>
    <w:rsid w:val="00203C7C"/>
    <w:rsid w:val="00203D79"/>
    <w:rsid w:val="00204411"/>
    <w:rsid w:val="00204F44"/>
    <w:rsid w:val="002051D4"/>
    <w:rsid w:val="00205758"/>
    <w:rsid w:val="00205782"/>
    <w:rsid w:val="00205B56"/>
    <w:rsid w:val="00205C40"/>
    <w:rsid w:val="00205D66"/>
    <w:rsid w:val="00205EF7"/>
    <w:rsid w:val="0020640C"/>
    <w:rsid w:val="002069B7"/>
    <w:rsid w:val="00206B72"/>
    <w:rsid w:val="00206CE0"/>
    <w:rsid w:val="00206D84"/>
    <w:rsid w:val="00206E10"/>
    <w:rsid w:val="00206E87"/>
    <w:rsid w:val="00206F81"/>
    <w:rsid w:val="00207016"/>
    <w:rsid w:val="00207034"/>
    <w:rsid w:val="00207622"/>
    <w:rsid w:val="002104A6"/>
    <w:rsid w:val="00210673"/>
    <w:rsid w:val="00210D2D"/>
    <w:rsid w:val="0021164B"/>
    <w:rsid w:val="0021176B"/>
    <w:rsid w:val="00211CA5"/>
    <w:rsid w:val="002121E4"/>
    <w:rsid w:val="0021222A"/>
    <w:rsid w:val="002125F9"/>
    <w:rsid w:val="002125FF"/>
    <w:rsid w:val="00212C1C"/>
    <w:rsid w:val="00212E02"/>
    <w:rsid w:val="00212E37"/>
    <w:rsid w:val="00213330"/>
    <w:rsid w:val="00213371"/>
    <w:rsid w:val="002137DF"/>
    <w:rsid w:val="002139CB"/>
    <w:rsid w:val="00213D3C"/>
    <w:rsid w:val="00214143"/>
    <w:rsid w:val="0021448A"/>
    <w:rsid w:val="002146DA"/>
    <w:rsid w:val="00214773"/>
    <w:rsid w:val="00214FEB"/>
    <w:rsid w:val="002150BE"/>
    <w:rsid w:val="0021514C"/>
    <w:rsid w:val="00215773"/>
    <w:rsid w:val="00215B62"/>
    <w:rsid w:val="00216014"/>
    <w:rsid w:val="00216207"/>
    <w:rsid w:val="002167B0"/>
    <w:rsid w:val="002168AE"/>
    <w:rsid w:val="00216C14"/>
    <w:rsid w:val="00216E8F"/>
    <w:rsid w:val="00217811"/>
    <w:rsid w:val="00220B91"/>
    <w:rsid w:val="00220E16"/>
    <w:rsid w:val="00220FF5"/>
    <w:rsid w:val="00221055"/>
    <w:rsid w:val="00221421"/>
    <w:rsid w:val="00221450"/>
    <w:rsid w:val="002214C9"/>
    <w:rsid w:val="00221D4E"/>
    <w:rsid w:val="00221EF8"/>
    <w:rsid w:val="00221F4F"/>
    <w:rsid w:val="002224A3"/>
    <w:rsid w:val="00223A42"/>
    <w:rsid w:val="00224104"/>
    <w:rsid w:val="00224DB1"/>
    <w:rsid w:val="00225079"/>
    <w:rsid w:val="00225113"/>
    <w:rsid w:val="002251B7"/>
    <w:rsid w:val="002252F7"/>
    <w:rsid w:val="0022588B"/>
    <w:rsid w:val="0022609D"/>
    <w:rsid w:val="0022618F"/>
    <w:rsid w:val="00226386"/>
    <w:rsid w:val="0022648D"/>
    <w:rsid w:val="00226B61"/>
    <w:rsid w:val="00226C0B"/>
    <w:rsid w:val="00226CB0"/>
    <w:rsid w:val="0022705E"/>
    <w:rsid w:val="00227508"/>
    <w:rsid w:val="00227887"/>
    <w:rsid w:val="00227B03"/>
    <w:rsid w:val="00227F84"/>
    <w:rsid w:val="0023035E"/>
    <w:rsid w:val="002307B2"/>
    <w:rsid w:val="002308BC"/>
    <w:rsid w:val="002308E1"/>
    <w:rsid w:val="0023099B"/>
    <w:rsid w:val="002309E8"/>
    <w:rsid w:val="00230AC8"/>
    <w:rsid w:val="00230C63"/>
    <w:rsid w:val="002310A7"/>
    <w:rsid w:val="0023116F"/>
    <w:rsid w:val="00231FDB"/>
    <w:rsid w:val="002325FB"/>
    <w:rsid w:val="00232703"/>
    <w:rsid w:val="00232824"/>
    <w:rsid w:val="0023298F"/>
    <w:rsid w:val="002329B1"/>
    <w:rsid w:val="00232C59"/>
    <w:rsid w:val="00232D34"/>
    <w:rsid w:val="00232EC1"/>
    <w:rsid w:val="002331FD"/>
    <w:rsid w:val="0023329F"/>
    <w:rsid w:val="0023366B"/>
    <w:rsid w:val="0023372E"/>
    <w:rsid w:val="00233C8B"/>
    <w:rsid w:val="00233CC6"/>
    <w:rsid w:val="00233F8F"/>
    <w:rsid w:val="0023402A"/>
    <w:rsid w:val="00234111"/>
    <w:rsid w:val="002344EC"/>
    <w:rsid w:val="0023468B"/>
    <w:rsid w:val="00234AC1"/>
    <w:rsid w:val="00234B4B"/>
    <w:rsid w:val="00234BC2"/>
    <w:rsid w:val="00235448"/>
    <w:rsid w:val="0023599E"/>
    <w:rsid w:val="00235A3C"/>
    <w:rsid w:val="00235F58"/>
    <w:rsid w:val="002366DD"/>
    <w:rsid w:val="0023677E"/>
    <w:rsid w:val="00237721"/>
    <w:rsid w:val="00237BC1"/>
    <w:rsid w:val="0024010C"/>
    <w:rsid w:val="0024061C"/>
    <w:rsid w:val="002411E8"/>
    <w:rsid w:val="00241BC8"/>
    <w:rsid w:val="00241D41"/>
    <w:rsid w:val="0024280E"/>
    <w:rsid w:val="00243224"/>
    <w:rsid w:val="002434A7"/>
    <w:rsid w:val="00244291"/>
    <w:rsid w:val="00244882"/>
    <w:rsid w:val="00246851"/>
    <w:rsid w:val="002468AE"/>
    <w:rsid w:val="00246D02"/>
    <w:rsid w:val="00246D9D"/>
    <w:rsid w:val="0024734C"/>
    <w:rsid w:val="002477E9"/>
    <w:rsid w:val="00247828"/>
    <w:rsid w:val="00247C83"/>
    <w:rsid w:val="002509EE"/>
    <w:rsid w:val="00250D47"/>
    <w:rsid w:val="00251555"/>
    <w:rsid w:val="0025183D"/>
    <w:rsid w:val="00251ACE"/>
    <w:rsid w:val="00251FA9"/>
    <w:rsid w:val="00252017"/>
    <w:rsid w:val="00252036"/>
    <w:rsid w:val="00252B31"/>
    <w:rsid w:val="00252DC2"/>
    <w:rsid w:val="00253109"/>
    <w:rsid w:val="00253678"/>
    <w:rsid w:val="00253C48"/>
    <w:rsid w:val="002541D0"/>
    <w:rsid w:val="002546BB"/>
    <w:rsid w:val="002548B1"/>
    <w:rsid w:val="0025561E"/>
    <w:rsid w:val="002557C7"/>
    <w:rsid w:val="00256013"/>
    <w:rsid w:val="0025646B"/>
    <w:rsid w:val="00256704"/>
    <w:rsid w:val="00256E13"/>
    <w:rsid w:val="00257066"/>
    <w:rsid w:val="002578DF"/>
    <w:rsid w:val="002578F8"/>
    <w:rsid w:val="00257A5B"/>
    <w:rsid w:val="00260461"/>
    <w:rsid w:val="00260656"/>
    <w:rsid w:val="002606F8"/>
    <w:rsid w:val="00261101"/>
    <w:rsid w:val="0026165B"/>
    <w:rsid w:val="00261743"/>
    <w:rsid w:val="00261C6D"/>
    <w:rsid w:val="00261D4C"/>
    <w:rsid w:val="00261E20"/>
    <w:rsid w:val="00261E3C"/>
    <w:rsid w:val="00262F5B"/>
    <w:rsid w:val="00262F63"/>
    <w:rsid w:val="00263072"/>
    <w:rsid w:val="00263773"/>
    <w:rsid w:val="0026444D"/>
    <w:rsid w:val="00264562"/>
    <w:rsid w:val="00264752"/>
    <w:rsid w:val="00264787"/>
    <w:rsid w:val="002650E3"/>
    <w:rsid w:val="00265B1A"/>
    <w:rsid w:val="00265E58"/>
    <w:rsid w:val="002662C7"/>
    <w:rsid w:val="00266603"/>
    <w:rsid w:val="002674BC"/>
    <w:rsid w:val="00267C19"/>
    <w:rsid w:val="00267FCC"/>
    <w:rsid w:val="00270788"/>
    <w:rsid w:val="0027098C"/>
    <w:rsid w:val="00270A70"/>
    <w:rsid w:val="00270C5C"/>
    <w:rsid w:val="00270F23"/>
    <w:rsid w:val="002715EC"/>
    <w:rsid w:val="00271861"/>
    <w:rsid w:val="00271934"/>
    <w:rsid w:val="0027199B"/>
    <w:rsid w:val="002721B5"/>
    <w:rsid w:val="00272416"/>
    <w:rsid w:val="00272D29"/>
    <w:rsid w:val="00272E37"/>
    <w:rsid w:val="00273C7F"/>
    <w:rsid w:val="00273D0D"/>
    <w:rsid w:val="00273DE8"/>
    <w:rsid w:val="00273E61"/>
    <w:rsid w:val="002741A6"/>
    <w:rsid w:val="00274494"/>
    <w:rsid w:val="00274F06"/>
    <w:rsid w:val="002756F8"/>
    <w:rsid w:val="002759C5"/>
    <w:rsid w:val="00275D78"/>
    <w:rsid w:val="00275E59"/>
    <w:rsid w:val="002765F4"/>
    <w:rsid w:val="002769EA"/>
    <w:rsid w:val="00276BA1"/>
    <w:rsid w:val="00276EA0"/>
    <w:rsid w:val="00277B3D"/>
    <w:rsid w:val="002802DC"/>
    <w:rsid w:val="00280706"/>
    <w:rsid w:val="00280F8D"/>
    <w:rsid w:val="00281606"/>
    <w:rsid w:val="00281E5D"/>
    <w:rsid w:val="00281E84"/>
    <w:rsid w:val="00281EC3"/>
    <w:rsid w:val="00282592"/>
    <w:rsid w:val="00283084"/>
    <w:rsid w:val="00283251"/>
    <w:rsid w:val="002833CC"/>
    <w:rsid w:val="00283421"/>
    <w:rsid w:val="00283D22"/>
    <w:rsid w:val="0028412B"/>
    <w:rsid w:val="00284C17"/>
    <w:rsid w:val="00284EBB"/>
    <w:rsid w:val="00284F64"/>
    <w:rsid w:val="002851FB"/>
    <w:rsid w:val="0028552E"/>
    <w:rsid w:val="00286239"/>
    <w:rsid w:val="0028623E"/>
    <w:rsid w:val="00286461"/>
    <w:rsid w:val="0028663A"/>
    <w:rsid w:val="00286B0E"/>
    <w:rsid w:val="00286B4B"/>
    <w:rsid w:val="00286BD1"/>
    <w:rsid w:val="00287088"/>
    <w:rsid w:val="0028710A"/>
    <w:rsid w:val="00287283"/>
    <w:rsid w:val="0028732F"/>
    <w:rsid w:val="00287590"/>
    <w:rsid w:val="00287BFE"/>
    <w:rsid w:val="00287E08"/>
    <w:rsid w:val="00287F30"/>
    <w:rsid w:val="00287FE6"/>
    <w:rsid w:val="00290222"/>
    <w:rsid w:val="0029079D"/>
    <w:rsid w:val="00290C72"/>
    <w:rsid w:val="00290CE2"/>
    <w:rsid w:val="002913B9"/>
    <w:rsid w:val="00291524"/>
    <w:rsid w:val="002917E3"/>
    <w:rsid w:val="002919AB"/>
    <w:rsid w:val="00291A0A"/>
    <w:rsid w:val="00291BF2"/>
    <w:rsid w:val="00291C06"/>
    <w:rsid w:val="00291D71"/>
    <w:rsid w:val="00292313"/>
    <w:rsid w:val="00292442"/>
    <w:rsid w:val="00292614"/>
    <w:rsid w:val="00292C86"/>
    <w:rsid w:val="002930F5"/>
    <w:rsid w:val="00293C3E"/>
    <w:rsid w:val="00293F49"/>
    <w:rsid w:val="0029439C"/>
    <w:rsid w:val="0029493A"/>
    <w:rsid w:val="00294A4E"/>
    <w:rsid w:val="00294D6F"/>
    <w:rsid w:val="00295279"/>
    <w:rsid w:val="0029603B"/>
    <w:rsid w:val="0029641D"/>
    <w:rsid w:val="00296675"/>
    <w:rsid w:val="002967CF"/>
    <w:rsid w:val="00296A9E"/>
    <w:rsid w:val="00296E62"/>
    <w:rsid w:val="00296F1A"/>
    <w:rsid w:val="002972DF"/>
    <w:rsid w:val="0029765E"/>
    <w:rsid w:val="002A0633"/>
    <w:rsid w:val="002A0826"/>
    <w:rsid w:val="002A0DD3"/>
    <w:rsid w:val="002A0FC3"/>
    <w:rsid w:val="002A12F1"/>
    <w:rsid w:val="002A1346"/>
    <w:rsid w:val="002A1D39"/>
    <w:rsid w:val="002A1D74"/>
    <w:rsid w:val="002A1F07"/>
    <w:rsid w:val="002A2043"/>
    <w:rsid w:val="002A25CB"/>
    <w:rsid w:val="002A2BFE"/>
    <w:rsid w:val="002A2C89"/>
    <w:rsid w:val="002A2D73"/>
    <w:rsid w:val="002A339F"/>
    <w:rsid w:val="002A395B"/>
    <w:rsid w:val="002A431A"/>
    <w:rsid w:val="002A432B"/>
    <w:rsid w:val="002A4B7E"/>
    <w:rsid w:val="002A4BB1"/>
    <w:rsid w:val="002A4C04"/>
    <w:rsid w:val="002A4F95"/>
    <w:rsid w:val="002A5206"/>
    <w:rsid w:val="002A5403"/>
    <w:rsid w:val="002A56DA"/>
    <w:rsid w:val="002A571E"/>
    <w:rsid w:val="002A59FD"/>
    <w:rsid w:val="002A5DA0"/>
    <w:rsid w:val="002A65FE"/>
    <w:rsid w:val="002A6669"/>
    <w:rsid w:val="002A69BC"/>
    <w:rsid w:val="002A69C8"/>
    <w:rsid w:val="002A6DDE"/>
    <w:rsid w:val="002A7041"/>
    <w:rsid w:val="002A7272"/>
    <w:rsid w:val="002A7556"/>
    <w:rsid w:val="002A78E4"/>
    <w:rsid w:val="002A7E8B"/>
    <w:rsid w:val="002B0F56"/>
    <w:rsid w:val="002B13CB"/>
    <w:rsid w:val="002B16E0"/>
    <w:rsid w:val="002B1A2F"/>
    <w:rsid w:val="002B1B05"/>
    <w:rsid w:val="002B1D72"/>
    <w:rsid w:val="002B1E91"/>
    <w:rsid w:val="002B1EF1"/>
    <w:rsid w:val="002B22EF"/>
    <w:rsid w:val="002B278A"/>
    <w:rsid w:val="002B3111"/>
    <w:rsid w:val="002B32FC"/>
    <w:rsid w:val="002B3BCE"/>
    <w:rsid w:val="002B3E02"/>
    <w:rsid w:val="002B407B"/>
    <w:rsid w:val="002B417F"/>
    <w:rsid w:val="002B4496"/>
    <w:rsid w:val="002B468E"/>
    <w:rsid w:val="002B4AAD"/>
    <w:rsid w:val="002B4DA6"/>
    <w:rsid w:val="002B4F0D"/>
    <w:rsid w:val="002B5024"/>
    <w:rsid w:val="002B525E"/>
    <w:rsid w:val="002B5898"/>
    <w:rsid w:val="002B59CA"/>
    <w:rsid w:val="002B5BA7"/>
    <w:rsid w:val="002B5FB0"/>
    <w:rsid w:val="002B626A"/>
    <w:rsid w:val="002B69F7"/>
    <w:rsid w:val="002B6BE2"/>
    <w:rsid w:val="002B709D"/>
    <w:rsid w:val="002B70F6"/>
    <w:rsid w:val="002B7189"/>
    <w:rsid w:val="002B7900"/>
    <w:rsid w:val="002B7948"/>
    <w:rsid w:val="002C0060"/>
    <w:rsid w:val="002C0078"/>
    <w:rsid w:val="002C09D3"/>
    <w:rsid w:val="002C0B24"/>
    <w:rsid w:val="002C0B97"/>
    <w:rsid w:val="002C104D"/>
    <w:rsid w:val="002C10F7"/>
    <w:rsid w:val="002C1218"/>
    <w:rsid w:val="002C134A"/>
    <w:rsid w:val="002C1409"/>
    <w:rsid w:val="002C18B4"/>
    <w:rsid w:val="002C1E79"/>
    <w:rsid w:val="002C1E98"/>
    <w:rsid w:val="002C1E9C"/>
    <w:rsid w:val="002C2270"/>
    <w:rsid w:val="002C22E5"/>
    <w:rsid w:val="002C2532"/>
    <w:rsid w:val="002C2E51"/>
    <w:rsid w:val="002C2F4A"/>
    <w:rsid w:val="002C30A7"/>
    <w:rsid w:val="002C3896"/>
    <w:rsid w:val="002C3DB9"/>
    <w:rsid w:val="002C431F"/>
    <w:rsid w:val="002C4C80"/>
    <w:rsid w:val="002C5202"/>
    <w:rsid w:val="002C522F"/>
    <w:rsid w:val="002C6236"/>
    <w:rsid w:val="002C62A6"/>
    <w:rsid w:val="002C6444"/>
    <w:rsid w:val="002C6677"/>
    <w:rsid w:val="002C6813"/>
    <w:rsid w:val="002C6BA0"/>
    <w:rsid w:val="002C6F73"/>
    <w:rsid w:val="002C70A1"/>
    <w:rsid w:val="002C7C1A"/>
    <w:rsid w:val="002C7E63"/>
    <w:rsid w:val="002D0E5F"/>
    <w:rsid w:val="002D11A3"/>
    <w:rsid w:val="002D16DB"/>
    <w:rsid w:val="002D18FC"/>
    <w:rsid w:val="002D1953"/>
    <w:rsid w:val="002D19B4"/>
    <w:rsid w:val="002D1CC6"/>
    <w:rsid w:val="002D207E"/>
    <w:rsid w:val="002D20A7"/>
    <w:rsid w:val="002D20EC"/>
    <w:rsid w:val="002D21E4"/>
    <w:rsid w:val="002D22A0"/>
    <w:rsid w:val="002D2B57"/>
    <w:rsid w:val="002D2F09"/>
    <w:rsid w:val="002D33D6"/>
    <w:rsid w:val="002D34BC"/>
    <w:rsid w:val="002D35D0"/>
    <w:rsid w:val="002D3A99"/>
    <w:rsid w:val="002D3F35"/>
    <w:rsid w:val="002D4703"/>
    <w:rsid w:val="002D535D"/>
    <w:rsid w:val="002D548B"/>
    <w:rsid w:val="002D58E5"/>
    <w:rsid w:val="002D5F47"/>
    <w:rsid w:val="002D60FB"/>
    <w:rsid w:val="002D62EA"/>
    <w:rsid w:val="002D6996"/>
    <w:rsid w:val="002D6AB5"/>
    <w:rsid w:val="002D7D47"/>
    <w:rsid w:val="002E0263"/>
    <w:rsid w:val="002E0B8F"/>
    <w:rsid w:val="002E0C25"/>
    <w:rsid w:val="002E116E"/>
    <w:rsid w:val="002E149C"/>
    <w:rsid w:val="002E1AA5"/>
    <w:rsid w:val="002E1E43"/>
    <w:rsid w:val="002E26B3"/>
    <w:rsid w:val="002E2B95"/>
    <w:rsid w:val="002E2D95"/>
    <w:rsid w:val="002E31A4"/>
    <w:rsid w:val="002E4172"/>
    <w:rsid w:val="002E455D"/>
    <w:rsid w:val="002E45C6"/>
    <w:rsid w:val="002E652E"/>
    <w:rsid w:val="002E6559"/>
    <w:rsid w:val="002E685A"/>
    <w:rsid w:val="002E6ABC"/>
    <w:rsid w:val="002E72B2"/>
    <w:rsid w:val="002E75A6"/>
    <w:rsid w:val="002E75F5"/>
    <w:rsid w:val="002F00FF"/>
    <w:rsid w:val="002F03C5"/>
    <w:rsid w:val="002F0CC6"/>
    <w:rsid w:val="002F0D66"/>
    <w:rsid w:val="002F0FF8"/>
    <w:rsid w:val="002F11F3"/>
    <w:rsid w:val="002F148F"/>
    <w:rsid w:val="002F1911"/>
    <w:rsid w:val="002F1D8C"/>
    <w:rsid w:val="002F1EE5"/>
    <w:rsid w:val="002F2CDC"/>
    <w:rsid w:val="002F2D68"/>
    <w:rsid w:val="002F3349"/>
    <w:rsid w:val="002F3582"/>
    <w:rsid w:val="002F3C64"/>
    <w:rsid w:val="002F3F2F"/>
    <w:rsid w:val="002F43F5"/>
    <w:rsid w:val="002F460A"/>
    <w:rsid w:val="002F46E1"/>
    <w:rsid w:val="002F4D7C"/>
    <w:rsid w:val="002F50BA"/>
    <w:rsid w:val="002F52A7"/>
    <w:rsid w:val="002F540A"/>
    <w:rsid w:val="002F5C0F"/>
    <w:rsid w:val="002F6316"/>
    <w:rsid w:val="002F660C"/>
    <w:rsid w:val="002F6A62"/>
    <w:rsid w:val="002F6C84"/>
    <w:rsid w:val="002F6FE1"/>
    <w:rsid w:val="002F7171"/>
    <w:rsid w:val="002F79F4"/>
    <w:rsid w:val="002F7B8F"/>
    <w:rsid w:val="002F7FCB"/>
    <w:rsid w:val="0030063B"/>
    <w:rsid w:val="003006A0"/>
    <w:rsid w:val="003007B5"/>
    <w:rsid w:val="00300AA0"/>
    <w:rsid w:val="0030137B"/>
    <w:rsid w:val="0030172B"/>
    <w:rsid w:val="00301798"/>
    <w:rsid w:val="00301897"/>
    <w:rsid w:val="00301B2D"/>
    <w:rsid w:val="00301E85"/>
    <w:rsid w:val="00302084"/>
    <w:rsid w:val="00302635"/>
    <w:rsid w:val="00302826"/>
    <w:rsid w:val="00302CD5"/>
    <w:rsid w:val="00302EA9"/>
    <w:rsid w:val="00303552"/>
    <w:rsid w:val="0030383E"/>
    <w:rsid w:val="003038AA"/>
    <w:rsid w:val="00303ADC"/>
    <w:rsid w:val="00303AFA"/>
    <w:rsid w:val="00303B82"/>
    <w:rsid w:val="00304161"/>
    <w:rsid w:val="00304678"/>
    <w:rsid w:val="00304D95"/>
    <w:rsid w:val="00305763"/>
    <w:rsid w:val="00305947"/>
    <w:rsid w:val="00306732"/>
    <w:rsid w:val="00306A0B"/>
    <w:rsid w:val="00306B3D"/>
    <w:rsid w:val="00307010"/>
    <w:rsid w:val="003070FA"/>
    <w:rsid w:val="00307186"/>
    <w:rsid w:val="003077A5"/>
    <w:rsid w:val="00307F9B"/>
    <w:rsid w:val="00310188"/>
    <w:rsid w:val="003103BE"/>
    <w:rsid w:val="00310409"/>
    <w:rsid w:val="00310F45"/>
    <w:rsid w:val="00311460"/>
    <w:rsid w:val="00311E4A"/>
    <w:rsid w:val="003121A6"/>
    <w:rsid w:val="00312777"/>
    <w:rsid w:val="003127D5"/>
    <w:rsid w:val="00312878"/>
    <w:rsid w:val="00312881"/>
    <w:rsid w:val="00312B67"/>
    <w:rsid w:val="00312DFD"/>
    <w:rsid w:val="003131DA"/>
    <w:rsid w:val="00313290"/>
    <w:rsid w:val="003132D1"/>
    <w:rsid w:val="00313783"/>
    <w:rsid w:val="00313C71"/>
    <w:rsid w:val="00313C7C"/>
    <w:rsid w:val="00313D44"/>
    <w:rsid w:val="00314563"/>
    <w:rsid w:val="003148A8"/>
    <w:rsid w:val="003148D6"/>
    <w:rsid w:val="00314B9F"/>
    <w:rsid w:val="00314BF3"/>
    <w:rsid w:val="00314C6B"/>
    <w:rsid w:val="00314C8A"/>
    <w:rsid w:val="003155D2"/>
    <w:rsid w:val="003155D5"/>
    <w:rsid w:val="0031567F"/>
    <w:rsid w:val="00315A8B"/>
    <w:rsid w:val="00315F32"/>
    <w:rsid w:val="0031638C"/>
    <w:rsid w:val="0031643E"/>
    <w:rsid w:val="00316E30"/>
    <w:rsid w:val="003171D9"/>
    <w:rsid w:val="003174A2"/>
    <w:rsid w:val="003177F2"/>
    <w:rsid w:val="00317C18"/>
    <w:rsid w:val="00317DE3"/>
    <w:rsid w:val="00317E09"/>
    <w:rsid w:val="00320048"/>
    <w:rsid w:val="00320566"/>
    <w:rsid w:val="00320993"/>
    <w:rsid w:val="00320996"/>
    <w:rsid w:val="00320DBB"/>
    <w:rsid w:val="00320DE2"/>
    <w:rsid w:val="003211F1"/>
    <w:rsid w:val="00321823"/>
    <w:rsid w:val="00321887"/>
    <w:rsid w:val="003218FA"/>
    <w:rsid w:val="003223DE"/>
    <w:rsid w:val="003226F3"/>
    <w:rsid w:val="003228AC"/>
    <w:rsid w:val="003228EA"/>
    <w:rsid w:val="00322B57"/>
    <w:rsid w:val="00322FCD"/>
    <w:rsid w:val="0032310A"/>
    <w:rsid w:val="00323783"/>
    <w:rsid w:val="00323DC0"/>
    <w:rsid w:val="00323F7B"/>
    <w:rsid w:val="003240F6"/>
    <w:rsid w:val="00324208"/>
    <w:rsid w:val="0032458F"/>
    <w:rsid w:val="003245AA"/>
    <w:rsid w:val="00324AF7"/>
    <w:rsid w:val="003259A3"/>
    <w:rsid w:val="00325A7A"/>
    <w:rsid w:val="00325ABC"/>
    <w:rsid w:val="00325DDA"/>
    <w:rsid w:val="003266F4"/>
    <w:rsid w:val="0032670D"/>
    <w:rsid w:val="00326ED8"/>
    <w:rsid w:val="00326F1D"/>
    <w:rsid w:val="00327D35"/>
    <w:rsid w:val="00330385"/>
    <w:rsid w:val="003308AC"/>
    <w:rsid w:val="00330B40"/>
    <w:rsid w:val="00330B78"/>
    <w:rsid w:val="003311C4"/>
    <w:rsid w:val="0033180A"/>
    <w:rsid w:val="0033185B"/>
    <w:rsid w:val="00331FBE"/>
    <w:rsid w:val="0033211A"/>
    <w:rsid w:val="0033253F"/>
    <w:rsid w:val="003327A4"/>
    <w:rsid w:val="0033295D"/>
    <w:rsid w:val="0033296A"/>
    <w:rsid w:val="00332DFF"/>
    <w:rsid w:val="00332E65"/>
    <w:rsid w:val="00333128"/>
    <w:rsid w:val="00333223"/>
    <w:rsid w:val="003346CE"/>
    <w:rsid w:val="00334DF1"/>
    <w:rsid w:val="0033515F"/>
    <w:rsid w:val="00335467"/>
    <w:rsid w:val="00335474"/>
    <w:rsid w:val="003356C8"/>
    <w:rsid w:val="00335AFA"/>
    <w:rsid w:val="003367B9"/>
    <w:rsid w:val="00337797"/>
    <w:rsid w:val="003377BE"/>
    <w:rsid w:val="00340878"/>
    <w:rsid w:val="00340B7E"/>
    <w:rsid w:val="00340BFC"/>
    <w:rsid w:val="00340D15"/>
    <w:rsid w:val="00340D58"/>
    <w:rsid w:val="00341011"/>
    <w:rsid w:val="0034111B"/>
    <w:rsid w:val="00341440"/>
    <w:rsid w:val="003414D2"/>
    <w:rsid w:val="003416BB"/>
    <w:rsid w:val="003417AD"/>
    <w:rsid w:val="00341A8C"/>
    <w:rsid w:val="003422F0"/>
    <w:rsid w:val="0034257E"/>
    <w:rsid w:val="00342877"/>
    <w:rsid w:val="00342895"/>
    <w:rsid w:val="0034333F"/>
    <w:rsid w:val="00343DB9"/>
    <w:rsid w:val="00344502"/>
    <w:rsid w:val="0034538F"/>
    <w:rsid w:val="00345754"/>
    <w:rsid w:val="003459BC"/>
    <w:rsid w:val="00345A10"/>
    <w:rsid w:val="00345B71"/>
    <w:rsid w:val="0034689D"/>
    <w:rsid w:val="003469F1"/>
    <w:rsid w:val="00346A8C"/>
    <w:rsid w:val="00346C96"/>
    <w:rsid w:val="00346F98"/>
    <w:rsid w:val="00347009"/>
    <w:rsid w:val="0034733E"/>
    <w:rsid w:val="00347992"/>
    <w:rsid w:val="00347A62"/>
    <w:rsid w:val="00347D0F"/>
    <w:rsid w:val="00347E52"/>
    <w:rsid w:val="003501F6"/>
    <w:rsid w:val="00350E74"/>
    <w:rsid w:val="00351D3A"/>
    <w:rsid w:val="00352335"/>
    <w:rsid w:val="00352505"/>
    <w:rsid w:val="003528AE"/>
    <w:rsid w:val="00352904"/>
    <w:rsid w:val="00352A62"/>
    <w:rsid w:val="00352B17"/>
    <w:rsid w:val="0035309B"/>
    <w:rsid w:val="0035403B"/>
    <w:rsid w:val="0035452D"/>
    <w:rsid w:val="00354A12"/>
    <w:rsid w:val="00354FD7"/>
    <w:rsid w:val="00355116"/>
    <w:rsid w:val="00355379"/>
    <w:rsid w:val="00355AC5"/>
    <w:rsid w:val="0035613B"/>
    <w:rsid w:val="003561CB"/>
    <w:rsid w:val="00356253"/>
    <w:rsid w:val="00356756"/>
    <w:rsid w:val="00356AA4"/>
    <w:rsid w:val="003571FB"/>
    <w:rsid w:val="0035750A"/>
    <w:rsid w:val="0035764B"/>
    <w:rsid w:val="00357680"/>
    <w:rsid w:val="003576F7"/>
    <w:rsid w:val="00357982"/>
    <w:rsid w:val="00357D33"/>
    <w:rsid w:val="0036059C"/>
    <w:rsid w:val="003607C5"/>
    <w:rsid w:val="00360AD9"/>
    <w:rsid w:val="00360CF1"/>
    <w:rsid w:val="00360DA1"/>
    <w:rsid w:val="00360DAA"/>
    <w:rsid w:val="003611C4"/>
    <w:rsid w:val="003614B0"/>
    <w:rsid w:val="003617B8"/>
    <w:rsid w:val="003617B9"/>
    <w:rsid w:val="00361E66"/>
    <w:rsid w:val="00362919"/>
    <w:rsid w:val="00362B31"/>
    <w:rsid w:val="00362C4B"/>
    <w:rsid w:val="00362D1B"/>
    <w:rsid w:val="00363169"/>
    <w:rsid w:val="003634EA"/>
    <w:rsid w:val="00363A15"/>
    <w:rsid w:val="00363CDC"/>
    <w:rsid w:val="00363ECF"/>
    <w:rsid w:val="003646FB"/>
    <w:rsid w:val="00364B2A"/>
    <w:rsid w:val="00364C5E"/>
    <w:rsid w:val="00365560"/>
    <w:rsid w:val="00365701"/>
    <w:rsid w:val="0036573A"/>
    <w:rsid w:val="00365E23"/>
    <w:rsid w:val="0036635B"/>
    <w:rsid w:val="0036668C"/>
    <w:rsid w:val="003669A6"/>
    <w:rsid w:val="00366BFF"/>
    <w:rsid w:val="00367264"/>
    <w:rsid w:val="00367382"/>
    <w:rsid w:val="0036747E"/>
    <w:rsid w:val="003701AC"/>
    <w:rsid w:val="00370645"/>
    <w:rsid w:val="00370B30"/>
    <w:rsid w:val="00370CBF"/>
    <w:rsid w:val="00370F55"/>
    <w:rsid w:val="00371090"/>
    <w:rsid w:val="003716BA"/>
    <w:rsid w:val="00371A5B"/>
    <w:rsid w:val="003725BF"/>
    <w:rsid w:val="00372773"/>
    <w:rsid w:val="003728D7"/>
    <w:rsid w:val="0037312C"/>
    <w:rsid w:val="003731C3"/>
    <w:rsid w:val="00373F94"/>
    <w:rsid w:val="00374200"/>
    <w:rsid w:val="00374242"/>
    <w:rsid w:val="003742E9"/>
    <w:rsid w:val="00374549"/>
    <w:rsid w:val="00374761"/>
    <w:rsid w:val="0037484D"/>
    <w:rsid w:val="00374C13"/>
    <w:rsid w:val="003750C2"/>
    <w:rsid w:val="003756A8"/>
    <w:rsid w:val="00375AB6"/>
    <w:rsid w:val="0037647F"/>
    <w:rsid w:val="00376809"/>
    <w:rsid w:val="00376B6A"/>
    <w:rsid w:val="0037705C"/>
    <w:rsid w:val="0037744F"/>
    <w:rsid w:val="003777E2"/>
    <w:rsid w:val="00377A00"/>
    <w:rsid w:val="00377E05"/>
    <w:rsid w:val="0038054D"/>
    <w:rsid w:val="00380981"/>
    <w:rsid w:val="00381046"/>
    <w:rsid w:val="00381260"/>
    <w:rsid w:val="00381F15"/>
    <w:rsid w:val="0038207B"/>
    <w:rsid w:val="003821E7"/>
    <w:rsid w:val="00382326"/>
    <w:rsid w:val="003824DE"/>
    <w:rsid w:val="0038251E"/>
    <w:rsid w:val="00382526"/>
    <w:rsid w:val="0038258C"/>
    <w:rsid w:val="00382636"/>
    <w:rsid w:val="00382B87"/>
    <w:rsid w:val="00382BBA"/>
    <w:rsid w:val="00382F70"/>
    <w:rsid w:val="00382F73"/>
    <w:rsid w:val="003831BC"/>
    <w:rsid w:val="003832AD"/>
    <w:rsid w:val="00383731"/>
    <w:rsid w:val="003837CD"/>
    <w:rsid w:val="00383846"/>
    <w:rsid w:val="0038391C"/>
    <w:rsid w:val="00383BA8"/>
    <w:rsid w:val="0038461D"/>
    <w:rsid w:val="00384693"/>
    <w:rsid w:val="0038480A"/>
    <w:rsid w:val="00384AB5"/>
    <w:rsid w:val="00384C46"/>
    <w:rsid w:val="00384C92"/>
    <w:rsid w:val="00384D9B"/>
    <w:rsid w:val="00384DD8"/>
    <w:rsid w:val="00384F61"/>
    <w:rsid w:val="003852C5"/>
    <w:rsid w:val="0038555F"/>
    <w:rsid w:val="0038567B"/>
    <w:rsid w:val="00385912"/>
    <w:rsid w:val="00385979"/>
    <w:rsid w:val="00385C91"/>
    <w:rsid w:val="00385D3D"/>
    <w:rsid w:val="003861D5"/>
    <w:rsid w:val="00386D50"/>
    <w:rsid w:val="00387141"/>
    <w:rsid w:val="00387EAE"/>
    <w:rsid w:val="00387EC3"/>
    <w:rsid w:val="003900E9"/>
    <w:rsid w:val="0039064C"/>
    <w:rsid w:val="00390685"/>
    <w:rsid w:val="0039114E"/>
    <w:rsid w:val="00391591"/>
    <w:rsid w:val="00391716"/>
    <w:rsid w:val="0039191D"/>
    <w:rsid w:val="00391ABF"/>
    <w:rsid w:val="00391E30"/>
    <w:rsid w:val="00391E36"/>
    <w:rsid w:val="00392145"/>
    <w:rsid w:val="0039226A"/>
    <w:rsid w:val="003922C1"/>
    <w:rsid w:val="003924E4"/>
    <w:rsid w:val="0039291E"/>
    <w:rsid w:val="00392944"/>
    <w:rsid w:val="00392C57"/>
    <w:rsid w:val="003936DF"/>
    <w:rsid w:val="00393895"/>
    <w:rsid w:val="00393C62"/>
    <w:rsid w:val="00393CE6"/>
    <w:rsid w:val="00393EDF"/>
    <w:rsid w:val="00394211"/>
    <w:rsid w:val="0039436F"/>
    <w:rsid w:val="0039438A"/>
    <w:rsid w:val="00394791"/>
    <w:rsid w:val="003947BF"/>
    <w:rsid w:val="00395229"/>
    <w:rsid w:val="00395286"/>
    <w:rsid w:val="00395F99"/>
    <w:rsid w:val="00396437"/>
    <w:rsid w:val="0039687E"/>
    <w:rsid w:val="00396A34"/>
    <w:rsid w:val="00396DC3"/>
    <w:rsid w:val="0039769A"/>
    <w:rsid w:val="003A0277"/>
    <w:rsid w:val="003A0316"/>
    <w:rsid w:val="003A063D"/>
    <w:rsid w:val="003A090B"/>
    <w:rsid w:val="003A0E93"/>
    <w:rsid w:val="003A12D7"/>
    <w:rsid w:val="003A13DE"/>
    <w:rsid w:val="003A17C3"/>
    <w:rsid w:val="003A219B"/>
    <w:rsid w:val="003A21F8"/>
    <w:rsid w:val="003A24D1"/>
    <w:rsid w:val="003A284B"/>
    <w:rsid w:val="003A293A"/>
    <w:rsid w:val="003A2A56"/>
    <w:rsid w:val="003A2D67"/>
    <w:rsid w:val="003A3642"/>
    <w:rsid w:val="003A364B"/>
    <w:rsid w:val="003A36CE"/>
    <w:rsid w:val="003A444D"/>
    <w:rsid w:val="003A46E9"/>
    <w:rsid w:val="003A472D"/>
    <w:rsid w:val="003A4876"/>
    <w:rsid w:val="003A4C27"/>
    <w:rsid w:val="003A4F03"/>
    <w:rsid w:val="003A4FFA"/>
    <w:rsid w:val="003A5101"/>
    <w:rsid w:val="003A510B"/>
    <w:rsid w:val="003A53D3"/>
    <w:rsid w:val="003A550E"/>
    <w:rsid w:val="003A58DC"/>
    <w:rsid w:val="003A5C62"/>
    <w:rsid w:val="003A5CEA"/>
    <w:rsid w:val="003A5D6F"/>
    <w:rsid w:val="003A5D88"/>
    <w:rsid w:val="003A63DB"/>
    <w:rsid w:val="003A684C"/>
    <w:rsid w:val="003A6A5D"/>
    <w:rsid w:val="003A6EBC"/>
    <w:rsid w:val="003A76B9"/>
    <w:rsid w:val="003A77A6"/>
    <w:rsid w:val="003A7D3E"/>
    <w:rsid w:val="003B01FF"/>
    <w:rsid w:val="003B0B3A"/>
    <w:rsid w:val="003B0DB6"/>
    <w:rsid w:val="003B0E84"/>
    <w:rsid w:val="003B10A8"/>
    <w:rsid w:val="003B1280"/>
    <w:rsid w:val="003B1636"/>
    <w:rsid w:val="003B1814"/>
    <w:rsid w:val="003B197A"/>
    <w:rsid w:val="003B2537"/>
    <w:rsid w:val="003B3072"/>
    <w:rsid w:val="003B41FC"/>
    <w:rsid w:val="003B45C0"/>
    <w:rsid w:val="003B4634"/>
    <w:rsid w:val="003B4DB9"/>
    <w:rsid w:val="003B51ED"/>
    <w:rsid w:val="003B5958"/>
    <w:rsid w:val="003B61EE"/>
    <w:rsid w:val="003B6FEC"/>
    <w:rsid w:val="003B70FD"/>
    <w:rsid w:val="003B769E"/>
    <w:rsid w:val="003B7C0A"/>
    <w:rsid w:val="003C0190"/>
    <w:rsid w:val="003C021F"/>
    <w:rsid w:val="003C048B"/>
    <w:rsid w:val="003C0C33"/>
    <w:rsid w:val="003C0E9A"/>
    <w:rsid w:val="003C0FB8"/>
    <w:rsid w:val="003C105F"/>
    <w:rsid w:val="003C12B8"/>
    <w:rsid w:val="003C1304"/>
    <w:rsid w:val="003C2DBF"/>
    <w:rsid w:val="003C2EE3"/>
    <w:rsid w:val="003C2F67"/>
    <w:rsid w:val="003C30BF"/>
    <w:rsid w:val="003C33A6"/>
    <w:rsid w:val="003C37A3"/>
    <w:rsid w:val="003C41B5"/>
    <w:rsid w:val="003C43F9"/>
    <w:rsid w:val="003C4BBF"/>
    <w:rsid w:val="003C4C2D"/>
    <w:rsid w:val="003C4D39"/>
    <w:rsid w:val="003C521E"/>
    <w:rsid w:val="003C54A5"/>
    <w:rsid w:val="003C571A"/>
    <w:rsid w:val="003C590E"/>
    <w:rsid w:val="003C594E"/>
    <w:rsid w:val="003C6565"/>
    <w:rsid w:val="003C684F"/>
    <w:rsid w:val="003C7091"/>
    <w:rsid w:val="003C7212"/>
    <w:rsid w:val="003C733C"/>
    <w:rsid w:val="003C742A"/>
    <w:rsid w:val="003C7E88"/>
    <w:rsid w:val="003D04D6"/>
    <w:rsid w:val="003D0662"/>
    <w:rsid w:val="003D0685"/>
    <w:rsid w:val="003D068D"/>
    <w:rsid w:val="003D0AB5"/>
    <w:rsid w:val="003D0BAF"/>
    <w:rsid w:val="003D0C96"/>
    <w:rsid w:val="003D0D3C"/>
    <w:rsid w:val="003D1163"/>
    <w:rsid w:val="003D188F"/>
    <w:rsid w:val="003D1C3F"/>
    <w:rsid w:val="003D1E1C"/>
    <w:rsid w:val="003D1FF9"/>
    <w:rsid w:val="003D227F"/>
    <w:rsid w:val="003D2A68"/>
    <w:rsid w:val="003D2DC7"/>
    <w:rsid w:val="003D2FBE"/>
    <w:rsid w:val="003D3EC6"/>
    <w:rsid w:val="003D43F0"/>
    <w:rsid w:val="003D4881"/>
    <w:rsid w:val="003D583D"/>
    <w:rsid w:val="003D58FC"/>
    <w:rsid w:val="003D5A9B"/>
    <w:rsid w:val="003D5AB0"/>
    <w:rsid w:val="003D5E6C"/>
    <w:rsid w:val="003D5F07"/>
    <w:rsid w:val="003D5FAC"/>
    <w:rsid w:val="003D6A9A"/>
    <w:rsid w:val="003D6AE2"/>
    <w:rsid w:val="003D723B"/>
    <w:rsid w:val="003D771E"/>
    <w:rsid w:val="003D7742"/>
    <w:rsid w:val="003D7AE6"/>
    <w:rsid w:val="003E020B"/>
    <w:rsid w:val="003E039A"/>
    <w:rsid w:val="003E0406"/>
    <w:rsid w:val="003E0471"/>
    <w:rsid w:val="003E0988"/>
    <w:rsid w:val="003E10F4"/>
    <w:rsid w:val="003E126E"/>
    <w:rsid w:val="003E151E"/>
    <w:rsid w:val="003E1535"/>
    <w:rsid w:val="003E1C08"/>
    <w:rsid w:val="003E1C42"/>
    <w:rsid w:val="003E1DC0"/>
    <w:rsid w:val="003E2428"/>
    <w:rsid w:val="003E2D0C"/>
    <w:rsid w:val="003E31BE"/>
    <w:rsid w:val="003E35CF"/>
    <w:rsid w:val="003E3B0F"/>
    <w:rsid w:val="003E3CBD"/>
    <w:rsid w:val="003E3E94"/>
    <w:rsid w:val="003E3E9A"/>
    <w:rsid w:val="003E4721"/>
    <w:rsid w:val="003E5015"/>
    <w:rsid w:val="003E5158"/>
    <w:rsid w:val="003E526A"/>
    <w:rsid w:val="003E5405"/>
    <w:rsid w:val="003E5CDE"/>
    <w:rsid w:val="003E6423"/>
    <w:rsid w:val="003E6513"/>
    <w:rsid w:val="003E710B"/>
    <w:rsid w:val="003E7A91"/>
    <w:rsid w:val="003E7B17"/>
    <w:rsid w:val="003F12CE"/>
    <w:rsid w:val="003F1776"/>
    <w:rsid w:val="003F1843"/>
    <w:rsid w:val="003F1B52"/>
    <w:rsid w:val="003F20A4"/>
    <w:rsid w:val="003F20DE"/>
    <w:rsid w:val="003F23B4"/>
    <w:rsid w:val="003F2764"/>
    <w:rsid w:val="003F2CBA"/>
    <w:rsid w:val="003F3325"/>
    <w:rsid w:val="003F340D"/>
    <w:rsid w:val="003F3E40"/>
    <w:rsid w:val="003F3FAB"/>
    <w:rsid w:val="003F40D1"/>
    <w:rsid w:val="003F4F84"/>
    <w:rsid w:val="003F50E0"/>
    <w:rsid w:val="003F516E"/>
    <w:rsid w:val="003F5716"/>
    <w:rsid w:val="003F60C2"/>
    <w:rsid w:val="003F649F"/>
    <w:rsid w:val="003F698E"/>
    <w:rsid w:val="003F6A94"/>
    <w:rsid w:val="003F704B"/>
    <w:rsid w:val="003F74D8"/>
    <w:rsid w:val="003F76F6"/>
    <w:rsid w:val="003F7758"/>
    <w:rsid w:val="003F7B4F"/>
    <w:rsid w:val="004003C6"/>
    <w:rsid w:val="004008A0"/>
    <w:rsid w:val="00400E28"/>
    <w:rsid w:val="00401287"/>
    <w:rsid w:val="0040218F"/>
    <w:rsid w:val="00402274"/>
    <w:rsid w:val="004026AA"/>
    <w:rsid w:val="00402AD4"/>
    <w:rsid w:val="00403D3C"/>
    <w:rsid w:val="00403F36"/>
    <w:rsid w:val="004040FE"/>
    <w:rsid w:val="00404785"/>
    <w:rsid w:val="00404F2A"/>
    <w:rsid w:val="0040554F"/>
    <w:rsid w:val="00405706"/>
    <w:rsid w:val="00405FB4"/>
    <w:rsid w:val="004062D7"/>
    <w:rsid w:val="004063BD"/>
    <w:rsid w:val="00406B8E"/>
    <w:rsid w:val="00406E86"/>
    <w:rsid w:val="004071AA"/>
    <w:rsid w:val="004071E1"/>
    <w:rsid w:val="00407691"/>
    <w:rsid w:val="00407B1E"/>
    <w:rsid w:val="00407B24"/>
    <w:rsid w:val="00410386"/>
    <w:rsid w:val="004105C1"/>
    <w:rsid w:val="00410BBB"/>
    <w:rsid w:val="004115F5"/>
    <w:rsid w:val="00411607"/>
    <w:rsid w:val="00411C04"/>
    <w:rsid w:val="00411EB7"/>
    <w:rsid w:val="00411F9F"/>
    <w:rsid w:val="00412366"/>
    <w:rsid w:val="004123F4"/>
    <w:rsid w:val="00412488"/>
    <w:rsid w:val="00413DAA"/>
    <w:rsid w:val="00413FE1"/>
    <w:rsid w:val="00414424"/>
    <w:rsid w:val="00414636"/>
    <w:rsid w:val="00414936"/>
    <w:rsid w:val="00414D29"/>
    <w:rsid w:val="0041530D"/>
    <w:rsid w:val="00415552"/>
    <w:rsid w:val="0041560E"/>
    <w:rsid w:val="00415807"/>
    <w:rsid w:val="00416CB0"/>
    <w:rsid w:val="00416D3B"/>
    <w:rsid w:val="00416F71"/>
    <w:rsid w:val="00417431"/>
    <w:rsid w:val="0041773E"/>
    <w:rsid w:val="00417B83"/>
    <w:rsid w:val="00420984"/>
    <w:rsid w:val="00420A6E"/>
    <w:rsid w:val="00420BA9"/>
    <w:rsid w:val="004214FD"/>
    <w:rsid w:val="004216A1"/>
    <w:rsid w:val="004216E4"/>
    <w:rsid w:val="0042209B"/>
    <w:rsid w:val="0042213B"/>
    <w:rsid w:val="00422195"/>
    <w:rsid w:val="004226E7"/>
    <w:rsid w:val="00422C3B"/>
    <w:rsid w:val="00422DF0"/>
    <w:rsid w:val="00423689"/>
    <w:rsid w:val="004237D9"/>
    <w:rsid w:val="004237DE"/>
    <w:rsid w:val="00423847"/>
    <w:rsid w:val="0042391F"/>
    <w:rsid w:val="00423B1B"/>
    <w:rsid w:val="00423BCC"/>
    <w:rsid w:val="00423C0E"/>
    <w:rsid w:val="00423C21"/>
    <w:rsid w:val="00423D4D"/>
    <w:rsid w:val="004242E0"/>
    <w:rsid w:val="0042443E"/>
    <w:rsid w:val="0042466E"/>
    <w:rsid w:val="0042500C"/>
    <w:rsid w:val="004256F0"/>
    <w:rsid w:val="004257F8"/>
    <w:rsid w:val="004259BC"/>
    <w:rsid w:val="00425B7D"/>
    <w:rsid w:val="00425B9B"/>
    <w:rsid w:val="00425D6B"/>
    <w:rsid w:val="0042695B"/>
    <w:rsid w:val="004273AC"/>
    <w:rsid w:val="004276C1"/>
    <w:rsid w:val="00427CC2"/>
    <w:rsid w:val="00430244"/>
    <w:rsid w:val="00430804"/>
    <w:rsid w:val="00432EBC"/>
    <w:rsid w:val="0043363F"/>
    <w:rsid w:val="00434DF3"/>
    <w:rsid w:val="00434FF6"/>
    <w:rsid w:val="00435BDC"/>
    <w:rsid w:val="00435F03"/>
    <w:rsid w:val="00436A99"/>
    <w:rsid w:val="00436FF7"/>
    <w:rsid w:val="0043720F"/>
    <w:rsid w:val="00437592"/>
    <w:rsid w:val="00437B42"/>
    <w:rsid w:val="00437C27"/>
    <w:rsid w:val="00437C9C"/>
    <w:rsid w:val="0044008A"/>
    <w:rsid w:val="0044058B"/>
    <w:rsid w:val="0044102C"/>
    <w:rsid w:val="00441ABA"/>
    <w:rsid w:val="00441C5C"/>
    <w:rsid w:val="00441E22"/>
    <w:rsid w:val="00442016"/>
    <w:rsid w:val="00442327"/>
    <w:rsid w:val="004426ED"/>
    <w:rsid w:val="00442947"/>
    <w:rsid w:val="00442EB8"/>
    <w:rsid w:val="00442EC8"/>
    <w:rsid w:val="0044308C"/>
    <w:rsid w:val="00443F4D"/>
    <w:rsid w:val="0044400F"/>
    <w:rsid w:val="0044443D"/>
    <w:rsid w:val="00444B47"/>
    <w:rsid w:val="00444B5E"/>
    <w:rsid w:val="00445260"/>
    <w:rsid w:val="004456B2"/>
    <w:rsid w:val="004458E7"/>
    <w:rsid w:val="004459B3"/>
    <w:rsid w:val="00446087"/>
    <w:rsid w:val="0044611D"/>
    <w:rsid w:val="00446284"/>
    <w:rsid w:val="00446AF2"/>
    <w:rsid w:val="00446D39"/>
    <w:rsid w:val="00446FAD"/>
    <w:rsid w:val="00447064"/>
    <w:rsid w:val="0044726D"/>
    <w:rsid w:val="004476C3"/>
    <w:rsid w:val="00450428"/>
    <w:rsid w:val="0045082B"/>
    <w:rsid w:val="0045082C"/>
    <w:rsid w:val="0045099C"/>
    <w:rsid w:val="00450AF0"/>
    <w:rsid w:val="00450C2E"/>
    <w:rsid w:val="00450C3E"/>
    <w:rsid w:val="00450C9D"/>
    <w:rsid w:val="00450D05"/>
    <w:rsid w:val="00450FB6"/>
    <w:rsid w:val="004510C4"/>
    <w:rsid w:val="004519EA"/>
    <w:rsid w:val="00452A0A"/>
    <w:rsid w:val="00452B48"/>
    <w:rsid w:val="00452B89"/>
    <w:rsid w:val="00452EB4"/>
    <w:rsid w:val="004538E3"/>
    <w:rsid w:val="00453B5B"/>
    <w:rsid w:val="00453C6F"/>
    <w:rsid w:val="00453CC1"/>
    <w:rsid w:val="00453D49"/>
    <w:rsid w:val="004544DA"/>
    <w:rsid w:val="004546AB"/>
    <w:rsid w:val="0045476B"/>
    <w:rsid w:val="0045548A"/>
    <w:rsid w:val="00455A2B"/>
    <w:rsid w:val="00455A6D"/>
    <w:rsid w:val="00455C8B"/>
    <w:rsid w:val="00456124"/>
    <w:rsid w:val="00456237"/>
    <w:rsid w:val="0045644C"/>
    <w:rsid w:val="004568C0"/>
    <w:rsid w:val="00456A16"/>
    <w:rsid w:val="00456A88"/>
    <w:rsid w:val="00456CA0"/>
    <w:rsid w:val="00456E1F"/>
    <w:rsid w:val="004572B1"/>
    <w:rsid w:val="004577C7"/>
    <w:rsid w:val="00460850"/>
    <w:rsid w:val="00460B03"/>
    <w:rsid w:val="00460B37"/>
    <w:rsid w:val="00461694"/>
    <w:rsid w:val="0046177A"/>
    <w:rsid w:val="0046197F"/>
    <w:rsid w:val="00461ABB"/>
    <w:rsid w:val="0046305C"/>
    <w:rsid w:val="00463435"/>
    <w:rsid w:val="00463536"/>
    <w:rsid w:val="00463BE8"/>
    <w:rsid w:val="00463C56"/>
    <w:rsid w:val="00463D17"/>
    <w:rsid w:val="00463DA0"/>
    <w:rsid w:val="00464220"/>
    <w:rsid w:val="0046433D"/>
    <w:rsid w:val="00464399"/>
    <w:rsid w:val="00464E85"/>
    <w:rsid w:val="0046517B"/>
    <w:rsid w:val="00465293"/>
    <w:rsid w:val="00465503"/>
    <w:rsid w:val="00465C2D"/>
    <w:rsid w:val="00466490"/>
    <w:rsid w:val="004666A1"/>
    <w:rsid w:val="00466E88"/>
    <w:rsid w:val="004672E8"/>
    <w:rsid w:val="00467552"/>
    <w:rsid w:val="00467B5D"/>
    <w:rsid w:val="00467D56"/>
    <w:rsid w:val="00470144"/>
    <w:rsid w:val="00470802"/>
    <w:rsid w:val="00471044"/>
    <w:rsid w:val="0047110B"/>
    <w:rsid w:val="0047133A"/>
    <w:rsid w:val="0047136B"/>
    <w:rsid w:val="00471AFF"/>
    <w:rsid w:val="00472108"/>
    <w:rsid w:val="00472192"/>
    <w:rsid w:val="00472374"/>
    <w:rsid w:val="00472C8E"/>
    <w:rsid w:val="00472F0C"/>
    <w:rsid w:val="004730B6"/>
    <w:rsid w:val="0047333D"/>
    <w:rsid w:val="00473624"/>
    <w:rsid w:val="00473671"/>
    <w:rsid w:val="004738EA"/>
    <w:rsid w:val="00473CFC"/>
    <w:rsid w:val="00473E5F"/>
    <w:rsid w:val="0047429B"/>
    <w:rsid w:val="0047450B"/>
    <w:rsid w:val="0047467E"/>
    <w:rsid w:val="00474A51"/>
    <w:rsid w:val="00474B33"/>
    <w:rsid w:val="00474C30"/>
    <w:rsid w:val="00474D75"/>
    <w:rsid w:val="00475139"/>
    <w:rsid w:val="004751CA"/>
    <w:rsid w:val="00475935"/>
    <w:rsid w:val="00476132"/>
    <w:rsid w:val="004762B1"/>
    <w:rsid w:val="0047667D"/>
    <w:rsid w:val="004772AB"/>
    <w:rsid w:val="0047739F"/>
    <w:rsid w:val="00477E57"/>
    <w:rsid w:val="00480867"/>
    <w:rsid w:val="00481794"/>
    <w:rsid w:val="00481BA3"/>
    <w:rsid w:val="004822A7"/>
    <w:rsid w:val="0048239B"/>
    <w:rsid w:val="0048258F"/>
    <w:rsid w:val="00482834"/>
    <w:rsid w:val="00482BBD"/>
    <w:rsid w:val="00482C31"/>
    <w:rsid w:val="004831A3"/>
    <w:rsid w:val="004836FA"/>
    <w:rsid w:val="0048374D"/>
    <w:rsid w:val="00483758"/>
    <w:rsid w:val="004838CA"/>
    <w:rsid w:val="0048432C"/>
    <w:rsid w:val="004843F9"/>
    <w:rsid w:val="004848A1"/>
    <w:rsid w:val="00484FD5"/>
    <w:rsid w:val="004852D0"/>
    <w:rsid w:val="00485F83"/>
    <w:rsid w:val="004860B6"/>
    <w:rsid w:val="00486140"/>
    <w:rsid w:val="004861CD"/>
    <w:rsid w:val="004862DB"/>
    <w:rsid w:val="0048724E"/>
    <w:rsid w:val="0048770D"/>
    <w:rsid w:val="004877B8"/>
    <w:rsid w:val="00487C22"/>
    <w:rsid w:val="00487D34"/>
    <w:rsid w:val="004900D9"/>
    <w:rsid w:val="00490118"/>
    <w:rsid w:val="004905CA"/>
    <w:rsid w:val="00490BDA"/>
    <w:rsid w:val="00490D2A"/>
    <w:rsid w:val="004910DF"/>
    <w:rsid w:val="00491B2C"/>
    <w:rsid w:val="00491C77"/>
    <w:rsid w:val="00492045"/>
    <w:rsid w:val="0049239F"/>
    <w:rsid w:val="004925F0"/>
    <w:rsid w:val="00492AA2"/>
    <w:rsid w:val="00492F01"/>
    <w:rsid w:val="004930B1"/>
    <w:rsid w:val="00493172"/>
    <w:rsid w:val="00493ECF"/>
    <w:rsid w:val="004943BF"/>
    <w:rsid w:val="00494DB5"/>
    <w:rsid w:val="00495181"/>
    <w:rsid w:val="00495402"/>
    <w:rsid w:val="0049558A"/>
    <w:rsid w:val="00495834"/>
    <w:rsid w:val="00495A27"/>
    <w:rsid w:val="00495B68"/>
    <w:rsid w:val="00495E00"/>
    <w:rsid w:val="004960DF"/>
    <w:rsid w:val="00496263"/>
    <w:rsid w:val="0049685F"/>
    <w:rsid w:val="004974A2"/>
    <w:rsid w:val="0049770D"/>
    <w:rsid w:val="00497E2E"/>
    <w:rsid w:val="00497E65"/>
    <w:rsid w:val="00497F67"/>
    <w:rsid w:val="004A0B68"/>
    <w:rsid w:val="004A0D0A"/>
    <w:rsid w:val="004A1263"/>
    <w:rsid w:val="004A12BA"/>
    <w:rsid w:val="004A2129"/>
    <w:rsid w:val="004A2327"/>
    <w:rsid w:val="004A23DA"/>
    <w:rsid w:val="004A23DE"/>
    <w:rsid w:val="004A26AB"/>
    <w:rsid w:val="004A2ADC"/>
    <w:rsid w:val="004A2B24"/>
    <w:rsid w:val="004A2C55"/>
    <w:rsid w:val="004A2CA7"/>
    <w:rsid w:val="004A2E2E"/>
    <w:rsid w:val="004A37A5"/>
    <w:rsid w:val="004A3A7D"/>
    <w:rsid w:val="004A3C0E"/>
    <w:rsid w:val="004A3D2F"/>
    <w:rsid w:val="004A3E7A"/>
    <w:rsid w:val="004A488C"/>
    <w:rsid w:val="004A48E2"/>
    <w:rsid w:val="004A4F19"/>
    <w:rsid w:val="004A4F6D"/>
    <w:rsid w:val="004A4F80"/>
    <w:rsid w:val="004A522D"/>
    <w:rsid w:val="004A63A3"/>
    <w:rsid w:val="004A66BC"/>
    <w:rsid w:val="004A68E7"/>
    <w:rsid w:val="004A6A3E"/>
    <w:rsid w:val="004A6BFE"/>
    <w:rsid w:val="004A6D02"/>
    <w:rsid w:val="004A7491"/>
    <w:rsid w:val="004A7552"/>
    <w:rsid w:val="004B059F"/>
    <w:rsid w:val="004B0E6E"/>
    <w:rsid w:val="004B0F6F"/>
    <w:rsid w:val="004B1019"/>
    <w:rsid w:val="004B1282"/>
    <w:rsid w:val="004B1566"/>
    <w:rsid w:val="004B1638"/>
    <w:rsid w:val="004B19D0"/>
    <w:rsid w:val="004B1ECA"/>
    <w:rsid w:val="004B1F23"/>
    <w:rsid w:val="004B2396"/>
    <w:rsid w:val="004B24CB"/>
    <w:rsid w:val="004B2B7C"/>
    <w:rsid w:val="004B2EED"/>
    <w:rsid w:val="004B35F0"/>
    <w:rsid w:val="004B3729"/>
    <w:rsid w:val="004B3C43"/>
    <w:rsid w:val="004B3D3A"/>
    <w:rsid w:val="004B3F31"/>
    <w:rsid w:val="004B42EB"/>
    <w:rsid w:val="004B444F"/>
    <w:rsid w:val="004B44CB"/>
    <w:rsid w:val="004B4ABF"/>
    <w:rsid w:val="004B4BD8"/>
    <w:rsid w:val="004B4C91"/>
    <w:rsid w:val="004B4CF8"/>
    <w:rsid w:val="004B4E46"/>
    <w:rsid w:val="004B5765"/>
    <w:rsid w:val="004B5C7C"/>
    <w:rsid w:val="004B5DD7"/>
    <w:rsid w:val="004B62B2"/>
    <w:rsid w:val="004B7280"/>
    <w:rsid w:val="004B7AC0"/>
    <w:rsid w:val="004B7BA2"/>
    <w:rsid w:val="004B7CC1"/>
    <w:rsid w:val="004C03A3"/>
    <w:rsid w:val="004C04D9"/>
    <w:rsid w:val="004C05AD"/>
    <w:rsid w:val="004C0850"/>
    <w:rsid w:val="004C0857"/>
    <w:rsid w:val="004C0A1A"/>
    <w:rsid w:val="004C147B"/>
    <w:rsid w:val="004C1AB2"/>
    <w:rsid w:val="004C1F0F"/>
    <w:rsid w:val="004C29C0"/>
    <w:rsid w:val="004C3057"/>
    <w:rsid w:val="004C3C92"/>
    <w:rsid w:val="004C43DB"/>
    <w:rsid w:val="004C469A"/>
    <w:rsid w:val="004C47F9"/>
    <w:rsid w:val="004C4900"/>
    <w:rsid w:val="004C4C56"/>
    <w:rsid w:val="004C4CF6"/>
    <w:rsid w:val="004C5C3B"/>
    <w:rsid w:val="004C5C6B"/>
    <w:rsid w:val="004C6049"/>
    <w:rsid w:val="004C6114"/>
    <w:rsid w:val="004C6307"/>
    <w:rsid w:val="004C6751"/>
    <w:rsid w:val="004C6949"/>
    <w:rsid w:val="004C69CF"/>
    <w:rsid w:val="004C7495"/>
    <w:rsid w:val="004D0024"/>
    <w:rsid w:val="004D0614"/>
    <w:rsid w:val="004D0B12"/>
    <w:rsid w:val="004D13B9"/>
    <w:rsid w:val="004D16F6"/>
    <w:rsid w:val="004D19AD"/>
    <w:rsid w:val="004D1BE3"/>
    <w:rsid w:val="004D1F83"/>
    <w:rsid w:val="004D2158"/>
    <w:rsid w:val="004D21A7"/>
    <w:rsid w:val="004D255A"/>
    <w:rsid w:val="004D261C"/>
    <w:rsid w:val="004D2696"/>
    <w:rsid w:val="004D26DB"/>
    <w:rsid w:val="004D2837"/>
    <w:rsid w:val="004D3381"/>
    <w:rsid w:val="004D3610"/>
    <w:rsid w:val="004D390D"/>
    <w:rsid w:val="004D40C2"/>
    <w:rsid w:val="004D4540"/>
    <w:rsid w:val="004D4C00"/>
    <w:rsid w:val="004D52DC"/>
    <w:rsid w:val="004D59C6"/>
    <w:rsid w:val="004D5AE9"/>
    <w:rsid w:val="004D5C91"/>
    <w:rsid w:val="004D5F68"/>
    <w:rsid w:val="004D6533"/>
    <w:rsid w:val="004D67E4"/>
    <w:rsid w:val="004D6B48"/>
    <w:rsid w:val="004D6C5B"/>
    <w:rsid w:val="004D723D"/>
    <w:rsid w:val="004D7871"/>
    <w:rsid w:val="004D7ABB"/>
    <w:rsid w:val="004E000C"/>
    <w:rsid w:val="004E0699"/>
    <w:rsid w:val="004E1821"/>
    <w:rsid w:val="004E2195"/>
    <w:rsid w:val="004E2446"/>
    <w:rsid w:val="004E244D"/>
    <w:rsid w:val="004E2B62"/>
    <w:rsid w:val="004E2D6C"/>
    <w:rsid w:val="004E2D89"/>
    <w:rsid w:val="004E2E92"/>
    <w:rsid w:val="004E30D1"/>
    <w:rsid w:val="004E32ED"/>
    <w:rsid w:val="004E32FD"/>
    <w:rsid w:val="004E3677"/>
    <w:rsid w:val="004E3823"/>
    <w:rsid w:val="004E3D10"/>
    <w:rsid w:val="004E4013"/>
    <w:rsid w:val="004E41AF"/>
    <w:rsid w:val="004E41B1"/>
    <w:rsid w:val="004E47B0"/>
    <w:rsid w:val="004E49A5"/>
    <w:rsid w:val="004E4A0D"/>
    <w:rsid w:val="004E4B1E"/>
    <w:rsid w:val="004E4C1A"/>
    <w:rsid w:val="004E4DFC"/>
    <w:rsid w:val="004E502E"/>
    <w:rsid w:val="004E52AE"/>
    <w:rsid w:val="004E56B0"/>
    <w:rsid w:val="004E586C"/>
    <w:rsid w:val="004E5C32"/>
    <w:rsid w:val="004E5ECA"/>
    <w:rsid w:val="004E6DB4"/>
    <w:rsid w:val="004E6E17"/>
    <w:rsid w:val="004E71FB"/>
    <w:rsid w:val="004E75AC"/>
    <w:rsid w:val="004E789C"/>
    <w:rsid w:val="004E7A0E"/>
    <w:rsid w:val="004E7A65"/>
    <w:rsid w:val="004E7AEF"/>
    <w:rsid w:val="004E7F14"/>
    <w:rsid w:val="004F0486"/>
    <w:rsid w:val="004F0563"/>
    <w:rsid w:val="004F0A14"/>
    <w:rsid w:val="004F0C1C"/>
    <w:rsid w:val="004F10AF"/>
    <w:rsid w:val="004F1142"/>
    <w:rsid w:val="004F15FC"/>
    <w:rsid w:val="004F25D7"/>
    <w:rsid w:val="004F260D"/>
    <w:rsid w:val="004F2DF8"/>
    <w:rsid w:val="004F30C8"/>
    <w:rsid w:val="004F32DA"/>
    <w:rsid w:val="004F3359"/>
    <w:rsid w:val="004F38F7"/>
    <w:rsid w:val="004F3DC4"/>
    <w:rsid w:val="004F405D"/>
    <w:rsid w:val="004F42CB"/>
    <w:rsid w:val="004F448E"/>
    <w:rsid w:val="004F4600"/>
    <w:rsid w:val="004F4855"/>
    <w:rsid w:val="004F4A04"/>
    <w:rsid w:val="004F4C1D"/>
    <w:rsid w:val="004F4CD0"/>
    <w:rsid w:val="004F4D99"/>
    <w:rsid w:val="004F4F6D"/>
    <w:rsid w:val="004F4F84"/>
    <w:rsid w:val="004F50BF"/>
    <w:rsid w:val="004F5807"/>
    <w:rsid w:val="004F596C"/>
    <w:rsid w:val="004F5B10"/>
    <w:rsid w:val="004F601B"/>
    <w:rsid w:val="004F60FB"/>
    <w:rsid w:val="004F6387"/>
    <w:rsid w:val="004F649F"/>
    <w:rsid w:val="004F6AAD"/>
    <w:rsid w:val="004F6C98"/>
    <w:rsid w:val="004F78D8"/>
    <w:rsid w:val="004F7901"/>
    <w:rsid w:val="00500220"/>
    <w:rsid w:val="0050170E"/>
    <w:rsid w:val="00501A4C"/>
    <w:rsid w:val="00501FB0"/>
    <w:rsid w:val="00501FDE"/>
    <w:rsid w:val="005028D9"/>
    <w:rsid w:val="00502B2A"/>
    <w:rsid w:val="005030F5"/>
    <w:rsid w:val="00503394"/>
    <w:rsid w:val="00503CDD"/>
    <w:rsid w:val="00503D57"/>
    <w:rsid w:val="00503DB3"/>
    <w:rsid w:val="00503FD2"/>
    <w:rsid w:val="005047DA"/>
    <w:rsid w:val="00504CFC"/>
    <w:rsid w:val="00505979"/>
    <w:rsid w:val="00505E15"/>
    <w:rsid w:val="00506131"/>
    <w:rsid w:val="00506466"/>
    <w:rsid w:val="005067BD"/>
    <w:rsid w:val="00506B18"/>
    <w:rsid w:val="00507B8B"/>
    <w:rsid w:val="00507D3E"/>
    <w:rsid w:val="00507DFB"/>
    <w:rsid w:val="00510B81"/>
    <w:rsid w:val="00511241"/>
    <w:rsid w:val="00512072"/>
    <w:rsid w:val="0051299C"/>
    <w:rsid w:val="005129E1"/>
    <w:rsid w:val="00512D4C"/>
    <w:rsid w:val="00512F79"/>
    <w:rsid w:val="005130FA"/>
    <w:rsid w:val="00513872"/>
    <w:rsid w:val="005142BD"/>
    <w:rsid w:val="00514D63"/>
    <w:rsid w:val="005153DF"/>
    <w:rsid w:val="00515452"/>
    <w:rsid w:val="0051589A"/>
    <w:rsid w:val="00515E02"/>
    <w:rsid w:val="00515E0D"/>
    <w:rsid w:val="0051617A"/>
    <w:rsid w:val="00516AC0"/>
    <w:rsid w:val="00517010"/>
    <w:rsid w:val="0051720A"/>
    <w:rsid w:val="00517E80"/>
    <w:rsid w:val="005202C6"/>
    <w:rsid w:val="0052094C"/>
    <w:rsid w:val="00520B77"/>
    <w:rsid w:val="00520E13"/>
    <w:rsid w:val="00521089"/>
    <w:rsid w:val="00521302"/>
    <w:rsid w:val="005213BD"/>
    <w:rsid w:val="005215E0"/>
    <w:rsid w:val="0052254F"/>
    <w:rsid w:val="005225C4"/>
    <w:rsid w:val="00522A2D"/>
    <w:rsid w:val="00522A36"/>
    <w:rsid w:val="005230E3"/>
    <w:rsid w:val="00523956"/>
    <w:rsid w:val="00523D66"/>
    <w:rsid w:val="0052419D"/>
    <w:rsid w:val="00524627"/>
    <w:rsid w:val="00524C31"/>
    <w:rsid w:val="00524C4E"/>
    <w:rsid w:val="00524C5F"/>
    <w:rsid w:val="00524E8A"/>
    <w:rsid w:val="00525066"/>
    <w:rsid w:val="005250A4"/>
    <w:rsid w:val="005250EE"/>
    <w:rsid w:val="005257E0"/>
    <w:rsid w:val="005259F5"/>
    <w:rsid w:val="00525A58"/>
    <w:rsid w:val="00525ABA"/>
    <w:rsid w:val="005270B3"/>
    <w:rsid w:val="0052795F"/>
    <w:rsid w:val="00527DBD"/>
    <w:rsid w:val="00527E0E"/>
    <w:rsid w:val="00527F62"/>
    <w:rsid w:val="0053033B"/>
    <w:rsid w:val="005303FF"/>
    <w:rsid w:val="005310AB"/>
    <w:rsid w:val="00531481"/>
    <w:rsid w:val="00531898"/>
    <w:rsid w:val="00531C1D"/>
    <w:rsid w:val="0053208E"/>
    <w:rsid w:val="0053224B"/>
    <w:rsid w:val="005325AA"/>
    <w:rsid w:val="00532A7B"/>
    <w:rsid w:val="00532A9E"/>
    <w:rsid w:val="005330CC"/>
    <w:rsid w:val="005334BE"/>
    <w:rsid w:val="005336A8"/>
    <w:rsid w:val="00533BF8"/>
    <w:rsid w:val="00533D14"/>
    <w:rsid w:val="00534404"/>
    <w:rsid w:val="00534515"/>
    <w:rsid w:val="0053528F"/>
    <w:rsid w:val="00535F02"/>
    <w:rsid w:val="00535FF6"/>
    <w:rsid w:val="00536315"/>
    <w:rsid w:val="00536362"/>
    <w:rsid w:val="00536B42"/>
    <w:rsid w:val="00536C7B"/>
    <w:rsid w:val="00537775"/>
    <w:rsid w:val="00537781"/>
    <w:rsid w:val="005377EA"/>
    <w:rsid w:val="0053784B"/>
    <w:rsid w:val="00537BA9"/>
    <w:rsid w:val="005401AA"/>
    <w:rsid w:val="00540476"/>
    <w:rsid w:val="005404FE"/>
    <w:rsid w:val="00540BCA"/>
    <w:rsid w:val="00540E6E"/>
    <w:rsid w:val="0054148A"/>
    <w:rsid w:val="005414DA"/>
    <w:rsid w:val="00541825"/>
    <w:rsid w:val="00541D70"/>
    <w:rsid w:val="00541FC4"/>
    <w:rsid w:val="00542063"/>
    <w:rsid w:val="0054213F"/>
    <w:rsid w:val="005421E8"/>
    <w:rsid w:val="005428A2"/>
    <w:rsid w:val="00542B7D"/>
    <w:rsid w:val="00542C45"/>
    <w:rsid w:val="00542F75"/>
    <w:rsid w:val="0054344F"/>
    <w:rsid w:val="00543700"/>
    <w:rsid w:val="00543818"/>
    <w:rsid w:val="005441B0"/>
    <w:rsid w:val="00544569"/>
    <w:rsid w:val="00544655"/>
    <w:rsid w:val="00544A5D"/>
    <w:rsid w:val="00544BC9"/>
    <w:rsid w:val="00544DAE"/>
    <w:rsid w:val="005455C1"/>
    <w:rsid w:val="005457F0"/>
    <w:rsid w:val="0054585F"/>
    <w:rsid w:val="00545B21"/>
    <w:rsid w:val="00545B72"/>
    <w:rsid w:val="0054615F"/>
    <w:rsid w:val="00546427"/>
    <w:rsid w:val="0054674E"/>
    <w:rsid w:val="00546851"/>
    <w:rsid w:val="00546868"/>
    <w:rsid w:val="0054750A"/>
    <w:rsid w:val="00547893"/>
    <w:rsid w:val="00547A70"/>
    <w:rsid w:val="00547A8E"/>
    <w:rsid w:val="00547B35"/>
    <w:rsid w:val="0055006E"/>
    <w:rsid w:val="00550495"/>
    <w:rsid w:val="005507F2"/>
    <w:rsid w:val="00550B0A"/>
    <w:rsid w:val="00550B4C"/>
    <w:rsid w:val="00550D5E"/>
    <w:rsid w:val="00550FB6"/>
    <w:rsid w:val="00550FDD"/>
    <w:rsid w:val="00551695"/>
    <w:rsid w:val="00551D55"/>
    <w:rsid w:val="00551D5C"/>
    <w:rsid w:val="00551DAA"/>
    <w:rsid w:val="00551F5A"/>
    <w:rsid w:val="00551FC6"/>
    <w:rsid w:val="00552077"/>
    <w:rsid w:val="0055233C"/>
    <w:rsid w:val="00552374"/>
    <w:rsid w:val="005524DF"/>
    <w:rsid w:val="00552516"/>
    <w:rsid w:val="00552876"/>
    <w:rsid w:val="005529A0"/>
    <w:rsid w:val="00552ABE"/>
    <w:rsid w:val="00552D04"/>
    <w:rsid w:val="0055339A"/>
    <w:rsid w:val="005537A5"/>
    <w:rsid w:val="005538DB"/>
    <w:rsid w:val="00553949"/>
    <w:rsid w:val="0055406E"/>
    <w:rsid w:val="00554240"/>
    <w:rsid w:val="00554A8C"/>
    <w:rsid w:val="00554B01"/>
    <w:rsid w:val="00555873"/>
    <w:rsid w:val="0055619C"/>
    <w:rsid w:val="005562D5"/>
    <w:rsid w:val="005577EF"/>
    <w:rsid w:val="00557CAA"/>
    <w:rsid w:val="00557DC6"/>
    <w:rsid w:val="005607B6"/>
    <w:rsid w:val="00560CD6"/>
    <w:rsid w:val="005610B6"/>
    <w:rsid w:val="0056124D"/>
    <w:rsid w:val="00561263"/>
    <w:rsid w:val="00561AC7"/>
    <w:rsid w:val="00561B63"/>
    <w:rsid w:val="005621D4"/>
    <w:rsid w:val="00562922"/>
    <w:rsid w:val="00562950"/>
    <w:rsid w:val="005629E7"/>
    <w:rsid w:val="00562A24"/>
    <w:rsid w:val="00562CB0"/>
    <w:rsid w:val="00562FD5"/>
    <w:rsid w:val="00563059"/>
    <w:rsid w:val="00563685"/>
    <w:rsid w:val="005636C8"/>
    <w:rsid w:val="00563752"/>
    <w:rsid w:val="00563B99"/>
    <w:rsid w:val="00563BD3"/>
    <w:rsid w:val="00563EE6"/>
    <w:rsid w:val="00564199"/>
    <w:rsid w:val="005641EF"/>
    <w:rsid w:val="005642B4"/>
    <w:rsid w:val="0056430B"/>
    <w:rsid w:val="005644CD"/>
    <w:rsid w:val="00564918"/>
    <w:rsid w:val="0056555C"/>
    <w:rsid w:val="00565A76"/>
    <w:rsid w:val="0056637D"/>
    <w:rsid w:val="00566518"/>
    <w:rsid w:val="00566B1D"/>
    <w:rsid w:val="005671F2"/>
    <w:rsid w:val="0056780E"/>
    <w:rsid w:val="00567B0D"/>
    <w:rsid w:val="00567D9C"/>
    <w:rsid w:val="005703D9"/>
    <w:rsid w:val="00571100"/>
    <w:rsid w:val="0057113B"/>
    <w:rsid w:val="005719EB"/>
    <w:rsid w:val="00571AE6"/>
    <w:rsid w:val="00571E22"/>
    <w:rsid w:val="00571FBA"/>
    <w:rsid w:val="005720BF"/>
    <w:rsid w:val="00572729"/>
    <w:rsid w:val="005729BF"/>
    <w:rsid w:val="00572FE9"/>
    <w:rsid w:val="00573193"/>
    <w:rsid w:val="0057323E"/>
    <w:rsid w:val="00573521"/>
    <w:rsid w:val="0057385B"/>
    <w:rsid w:val="00573E58"/>
    <w:rsid w:val="0057428B"/>
    <w:rsid w:val="00574629"/>
    <w:rsid w:val="005748E7"/>
    <w:rsid w:val="00574FCA"/>
    <w:rsid w:val="0057514C"/>
    <w:rsid w:val="00575155"/>
    <w:rsid w:val="005757AF"/>
    <w:rsid w:val="0057630C"/>
    <w:rsid w:val="0057641E"/>
    <w:rsid w:val="00576678"/>
    <w:rsid w:val="005769A0"/>
    <w:rsid w:val="00576E45"/>
    <w:rsid w:val="00576FB0"/>
    <w:rsid w:val="0057734E"/>
    <w:rsid w:val="005777E2"/>
    <w:rsid w:val="005778ED"/>
    <w:rsid w:val="005809B6"/>
    <w:rsid w:val="005810DD"/>
    <w:rsid w:val="00581B40"/>
    <w:rsid w:val="00581E9D"/>
    <w:rsid w:val="0058205F"/>
    <w:rsid w:val="005820A2"/>
    <w:rsid w:val="0058226A"/>
    <w:rsid w:val="00582418"/>
    <w:rsid w:val="00582481"/>
    <w:rsid w:val="00582A25"/>
    <w:rsid w:val="00582C47"/>
    <w:rsid w:val="00583050"/>
    <w:rsid w:val="0058316E"/>
    <w:rsid w:val="005834C8"/>
    <w:rsid w:val="00583522"/>
    <w:rsid w:val="00583A60"/>
    <w:rsid w:val="0058454D"/>
    <w:rsid w:val="00584742"/>
    <w:rsid w:val="00584AEF"/>
    <w:rsid w:val="00584BC4"/>
    <w:rsid w:val="00585A6A"/>
    <w:rsid w:val="00585C46"/>
    <w:rsid w:val="00585EF3"/>
    <w:rsid w:val="00586078"/>
    <w:rsid w:val="005860FF"/>
    <w:rsid w:val="00586460"/>
    <w:rsid w:val="00586A14"/>
    <w:rsid w:val="00586E40"/>
    <w:rsid w:val="00587207"/>
    <w:rsid w:val="005873B3"/>
    <w:rsid w:val="005874FE"/>
    <w:rsid w:val="00587BC4"/>
    <w:rsid w:val="00587BDA"/>
    <w:rsid w:val="0059089C"/>
    <w:rsid w:val="005911E9"/>
    <w:rsid w:val="005912D3"/>
    <w:rsid w:val="0059135E"/>
    <w:rsid w:val="00591C6D"/>
    <w:rsid w:val="00592401"/>
    <w:rsid w:val="00592768"/>
    <w:rsid w:val="005932B0"/>
    <w:rsid w:val="005932EE"/>
    <w:rsid w:val="005933A4"/>
    <w:rsid w:val="00593B83"/>
    <w:rsid w:val="00593CD5"/>
    <w:rsid w:val="00593E9C"/>
    <w:rsid w:val="0059421A"/>
    <w:rsid w:val="005947B3"/>
    <w:rsid w:val="00594E86"/>
    <w:rsid w:val="00595004"/>
    <w:rsid w:val="00595A3A"/>
    <w:rsid w:val="00595C0F"/>
    <w:rsid w:val="00595E52"/>
    <w:rsid w:val="00596021"/>
    <w:rsid w:val="005960CB"/>
    <w:rsid w:val="005962BE"/>
    <w:rsid w:val="00596609"/>
    <w:rsid w:val="00596DC5"/>
    <w:rsid w:val="00597973"/>
    <w:rsid w:val="005A143F"/>
    <w:rsid w:val="005A22E4"/>
    <w:rsid w:val="005A2D39"/>
    <w:rsid w:val="005A2DF6"/>
    <w:rsid w:val="005A3049"/>
    <w:rsid w:val="005A3306"/>
    <w:rsid w:val="005A3406"/>
    <w:rsid w:val="005A38D6"/>
    <w:rsid w:val="005A4184"/>
    <w:rsid w:val="005A4780"/>
    <w:rsid w:val="005A4BCE"/>
    <w:rsid w:val="005A4D7F"/>
    <w:rsid w:val="005A5389"/>
    <w:rsid w:val="005A55CF"/>
    <w:rsid w:val="005A5856"/>
    <w:rsid w:val="005A585A"/>
    <w:rsid w:val="005A5AB2"/>
    <w:rsid w:val="005A5CA2"/>
    <w:rsid w:val="005A60EB"/>
    <w:rsid w:val="005A75B1"/>
    <w:rsid w:val="005A7681"/>
    <w:rsid w:val="005A7E78"/>
    <w:rsid w:val="005B020D"/>
    <w:rsid w:val="005B10CB"/>
    <w:rsid w:val="005B121D"/>
    <w:rsid w:val="005B150C"/>
    <w:rsid w:val="005B16DF"/>
    <w:rsid w:val="005B2635"/>
    <w:rsid w:val="005B2CF0"/>
    <w:rsid w:val="005B2E57"/>
    <w:rsid w:val="005B338D"/>
    <w:rsid w:val="005B39DF"/>
    <w:rsid w:val="005B3A75"/>
    <w:rsid w:val="005B3F08"/>
    <w:rsid w:val="005B40D8"/>
    <w:rsid w:val="005B486F"/>
    <w:rsid w:val="005B49F6"/>
    <w:rsid w:val="005B4FBB"/>
    <w:rsid w:val="005B5078"/>
    <w:rsid w:val="005B526F"/>
    <w:rsid w:val="005B5389"/>
    <w:rsid w:val="005B567D"/>
    <w:rsid w:val="005B5D50"/>
    <w:rsid w:val="005B613F"/>
    <w:rsid w:val="005B6C31"/>
    <w:rsid w:val="005B6DE4"/>
    <w:rsid w:val="005B6E88"/>
    <w:rsid w:val="005B7363"/>
    <w:rsid w:val="005B736B"/>
    <w:rsid w:val="005B76CF"/>
    <w:rsid w:val="005B7BBB"/>
    <w:rsid w:val="005B7F43"/>
    <w:rsid w:val="005C07E6"/>
    <w:rsid w:val="005C0E12"/>
    <w:rsid w:val="005C1159"/>
    <w:rsid w:val="005C2156"/>
    <w:rsid w:val="005C254C"/>
    <w:rsid w:val="005C25AC"/>
    <w:rsid w:val="005C2B04"/>
    <w:rsid w:val="005C3076"/>
    <w:rsid w:val="005C3215"/>
    <w:rsid w:val="005C3478"/>
    <w:rsid w:val="005C36ED"/>
    <w:rsid w:val="005C38AA"/>
    <w:rsid w:val="005C3A65"/>
    <w:rsid w:val="005C41CA"/>
    <w:rsid w:val="005C4406"/>
    <w:rsid w:val="005C44B9"/>
    <w:rsid w:val="005C46FB"/>
    <w:rsid w:val="005C4B55"/>
    <w:rsid w:val="005C4D49"/>
    <w:rsid w:val="005C5107"/>
    <w:rsid w:val="005C51EE"/>
    <w:rsid w:val="005C5E9F"/>
    <w:rsid w:val="005C61AE"/>
    <w:rsid w:val="005C64EE"/>
    <w:rsid w:val="005C6566"/>
    <w:rsid w:val="005C6ED4"/>
    <w:rsid w:val="005C6F0E"/>
    <w:rsid w:val="005C7123"/>
    <w:rsid w:val="005C747A"/>
    <w:rsid w:val="005C7718"/>
    <w:rsid w:val="005C779C"/>
    <w:rsid w:val="005C77AD"/>
    <w:rsid w:val="005C78B7"/>
    <w:rsid w:val="005C79A0"/>
    <w:rsid w:val="005C7B80"/>
    <w:rsid w:val="005D02DD"/>
    <w:rsid w:val="005D0834"/>
    <w:rsid w:val="005D0DFF"/>
    <w:rsid w:val="005D1436"/>
    <w:rsid w:val="005D149D"/>
    <w:rsid w:val="005D14F8"/>
    <w:rsid w:val="005D174B"/>
    <w:rsid w:val="005D1BB0"/>
    <w:rsid w:val="005D1EB4"/>
    <w:rsid w:val="005D200F"/>
    <w:rsid w:val="005D2675"/>
    <w:rsid w:val="005D27D1"/>
    <w:rsid w:val="005D2AD0"/>
    <w:rsid w:val="005D2B6F"/>
    <w:rsid w:val="005D2BB1"/>
    <w:rsid w:val="005D2BB5"/>
    <w:rsid w:val="005D2EE7"/>
    <w:rsid w:val="005D3D41"/>
    <w:rsid w:val="005D4904"/>
    <w:rsid w:val="005D4A0B"/>
    <w:rsid w:val="005D4A61"/>
    <w:rsid w:val="005D4AD6"/>
    <w:rsid w:val="005D55D3"/>
    <w:rsid w:val="005D5790"/>
    <w:rsid w:val="005D5C1C"/>
    <w:rsid w:val="005D646D"/>
    <w:rsid w:val="005D6614"/>
    <w:rsid w:val="005D68F3"/>
    <w:rsid w:val="005D6DC6"/>
    <w:rsid w:val="005D6DD6"/>
    <w:rsid w:val="005D6EE7"/>
    <w:rsid w:val="005D70A9"/>
    <w:rsid w:val="005D737F"/>
    <w:rsid w:val="005D7598"/>
    <w:rsid w:val="005D78F6"/>
    <w:rsid w:val="005D79E2"/>
    <w:rsid w:val="005D7A3A"/>
    <w:rsid w:val="005D7B99"/>
    <w:rsid w:val="005D7BD2"/>
    <w:rsid w:val="005D7D23"/>
    <w:rsid w:val="005D7FBF"/>
    <w:rsid w:val="005E0938"/>
    <w:rsid w:val="005E1786"/>
    <w:rsid w:val="005E1CEA"/>
    <w:rsid w:val="005E2129"/>
    <w:rsid w:val="005E2150"/>
    <w:rsid w:val="005E262D"/>
    <w:rsid w:val="005E2F8E"/>
    <w:rsid w:val="005E35B3"/>
    <w:rsid w:val="005E3BA1"/>
    <w:rsid w:val="005E3BB8"/>
    <w:rsid w:val="005E3C66"/>
    <w:rsid w:val="005E48AA"/>
    <w:rsid w:val="005E4BDC"/>
    <w:rsid w:val="005E51EC"/>
    <w:rsid w:val="005E536F"/>
    <w:rsid w:val="005E5652"/>
    <w:rsid w:val="005E5790"/>
    <w:rsid w:val="005E588A"/>
    <w:rsid w:val="005E5C7E"/>
    <w:rsid w:val="005E61FF"/>
    <w:rsid w:val="005E6B16"/>
    <w:rsid w:val="005E6E01"/>
    <w:rsid w:val="005E7032"/>
    <w:rsid w:val="005E7452"/>
    <w:rsid w:val="005F01FB"/>
    <w:rsid w:val="005F0B7D"/>
    <w:rsid w:val="005F0FB1"/>
    <w:rsid w:val="005F114E"/>
    <w:rsid w:val="005F13AB"/>
    <w:rsid w:val="005F2429"/>
    <w:rsid w:val="005F274F"/>
    <w:rsid w:val="005F285F"/>
    <w:rsid w:val="005F2E87"/>
    <w:rsid w:val="005F3050"/>
    <w:rsid w:val="005F321C"/>
    <w:rsid w:val="005F3350"/>
    <w:rsid w:val="005F34A4"/>
    <w:rsid w:val="005F3561"/>
    <w:rsid w:val="005F3920"/>
    <w:rsid w:val="005F41A2"/>
    <w:rsid w:val="005F4706"/>
    <w:rsid w:val="005F4A18"/>
    <w:rsid w:val="005F4C07"/>
    <w:rsid w:val="005F4D4A"/>
    <w:rsid w:val="005F52E4"/>
    <w:rsid w:val="005F536D"/>
    <w:rsid w:val="005F57E1"/>
    <w:rsid w:val="005F5AFE"/>
    <w:rsid w:val="005F5C22"/>
    <w:rsid w:val="005F5E57"/>
    <w:rsid w:val="005F5EDF"/>
    <w:rsid w:val="005F6183"/>
    <w:rsid w:val="005F62B6"/>
    <w:rsid w:val="005F6842"/>
    <w:rsid w:val="005F6ED8"/>
    <w:rsid w:val="005F7039"/>
    <w:rsid w:val="005F74BE"/>
    <w:rsid w:val="005F7809"/>
    <w:rsid w:val="005F783A"/>
    <w:rsid w:val="005F7B41"/>
    <w:rsid w:val="005F7F36"/>
    <w:rsid w:val="0060018B"/>
    <w:rsid w:val="00600371"/>
    <w:rsid w:val="00600462"/>
    <w:rsid w:val="006005CA"/>
    <w:rsid w:val="0060090C"/>
    <w:rsid w:val="00600E75"/>
    <w:rsid w:val="00600F2E"/>
    <w:rsid w:val="006011CA"/>
    <w:rsid w:val="006017BC"/>
    <w:rsid w:val="006017FE"/>
    <w:rsid w:val="00601A8A"/>
    <w:rsid w:val="00601B5D"/>
    <w:rsid w:val="00601CEB"/>
    <w:rsid w:val="00602099"/>
    <w:rsid w:val="006025A2"/>
    <w:rsid w:val="006029E9"/>
    <w:rsid w:val="00602AF4"/>
    <w:rsid w:val="00603633"/>
    <w:rsid w:val="00603696"/>
    <w:rsid w:val="0060373A"/>
    <w:rsid w:val="00603A0F"/>
    <w:rsid w:val="00603C76"/>
    <w:rsid w:val="00603DCC"/>
    <w:rsid w:val="00603E5F"/>
    <w:rsid w:val="006046D0"/>
    <w:rsid w:val="00604D7F"/>
    <w:rsid w:val="00604FFD"/>
    <w:rsid w:val="00605439"/>
    <w:rsid w:val="006055D6"/>
    <w:rsid w:val="00605C47"/>
    <w:rsid w:val="00605CBD"/>
    <w:rsid w:val="006061F9"/>
    <w:rsid w:val="006069D1"/>
    <w:rsid w:val="00606C49"/>
    <w:rsid w:val="00606E67"/>
    <w:rsid w:val="006078FA"/>
    <w:rsid w:val="00611445"/>
    <w:rsid w:val="00611BC7"/>
    <w:rsid w:val="00611F42"/>
    <w:rsid w:val="00611FC2"/>
    <w:rsid w:val="006122DF"/>
    <w:rsid w:val="006123FE"/>
    <w:rsid w:val="00612622"/>
    <w:rsid w:val="0061263E"/>
    <w:rsid w:val="006126E2"/>
    <w:rsid w:val="00612A69"/>
    <w:rsid w:val="00612BE6"/>
    <w:rsid w:val="00612E46"/>
    <w:rsid w:val="00613131"/>
    <w:rsid w:val="006132AD"/>
    <w:rsid w:val="006132B6"/>
    <w:rsid w:val="00613838"/>
    <w:rsid w:val="00613CB4"/>
    <w:rsid w:val="00613E94"/>
    <w:rsid w:val="00614245"/>
    <w:rsid w:val="00615141"/>
    <w:rsid w:val="00615609"/>
    <w:rsid w:val="00615882"/>
    <w:rsid w:val="006159EC"/>
    <w:rsid w:val="00615C61"/>
    <w:rsid w:val="00615DC5"/>
    <w:rsid w:val="0061656E"/>
    <w:rsid w:val="00616875"/>
    <w:rsid w:val="0061747B"/>
    <w:rsid w:val="006176E8"/>
    <w:rsid w:val="00617885"/>
    <w:rsid w:val="00620068"/>
    <w:rsid w:val="00620121"/>
    <w:rsid w:val="006201C8"/>
    <w:rsid w:val="00620541"/>
    <w:rsid w:val="006208F8"/>
    <w:rsid w:val="00620CBA"/>
    <w:rsid w:val="00620D68"/>
    <w:rsid w:val="006218AB"/>
    <w:rsid w:val="006218C5"/>
    <w:rsid w:val="0062248D"/>
    <w:rsid w:val="00622978"/>
    <w:rsid w:val="00622CE0"/>
    <w:rsid w:val="00622E40"/>
    <w:rsid w:val="00622ED3"/>
    <w:rsid w:val="00623146"/>
    <w:rsid w:val="00623C25"/>
    <w:rsid w:val="006240C0"/>
    <w:rsid w:val="0062480D"/>
    <w:rsid w:val="00624B0A"/>
    <w:rsid w:val="00624B65"/>
    <w:rsid w:val="006251CC"/>
    <w:rsid w:val="00625367"/>
    <w:rsid w:val="0062554B"/>
    <w:rsid w:val="00625F92"/>
    <w:rsid w:val="00626E22"/>
    <w:rsid w:val="00626E78"/>
    <w:rsid w:val="0062703F"/>
    <w:rsid w:val="006277F0"/>
    <w:rsid w:val="00627E1A"/>
    <w:rsid w:val="00630263"/>
    <w:rsid w:val="0063079A"/>
    <w:rsid w:val="00630BB7"/>
    <w:rsid w:val="006313F5"/>
    <w:rsid w:val="00631A22"/>
    <w:rsid w:val="00632098"/>
    <w:rsid w:val="0063210A"/>
    <w:rsid w:val="006326B6"/>
    <w:rsid w:val="00632A7C"/>
    <w:rsid w:val="006337CF"/>
    <w:rsid w:val="006339CF"/>
    <w:rsid w:val="00633DCA"/>
    <w:rsid w:val="00633EBC"/>
    <w:rsid w:val="0063407D"/>
    <w:rsid w:val="0063466E"/>
    <w:rsid w:val="006346DA"/>
    <w:rsid w:val="00634E6E"/>
    <w:rsid w:val="006350DD"/>
    <w:rsid w:val="006351FE"/>
    <w:rsid w:val="006359A0"/>
    <w:rsid w:val="0063607D"/>
    <w:rsid w:val="00636106"/>
    <w:rsid w:val="006368D9"/>
    <w:rsid w:val="00636E8C"/>
    <w:rsid w:val="00636EBB"/>
    <w:rsid w:val="006374D2"/>
    <w:rsid w:val="00637509"/>
    <w:rsid w:val="006377DF"/>
    <w:rsid w:val="006401DE"/>
    <w:rsid w:val="00640336"/>
    <w:rsid w:val="00640382"/>
    <w:rsid w:val="006404D3"/>
    <w:rsid w:val="00640515"/>
    <w:rsid w:val="006406C5"/>
    <w:rsid w:val="006407D9"/>
    <w:rsid w:val="006409BE"/>
    <w:rsid w:val="00640C41"/>
    <w:rsid w:val="00640E88"/>
    <w:rsid w:val="006410E4"/>
    <w:rsid w:val="0064117F"/>
    <w:rsid w:val="006412EE"/>
    <w:rsid w:val="00641630"/>
    <w:rsid w:val="00641B27"/>
    <w:rsid w:val="00641E96"/>
    <w:rsid w:val="00642308"/>
    <w:rsid w:val="0064262F"/>
    <w:rsid w:val="00642693"/>
    <w:rsid w:val="00642D37"/>
    <w:rsid w:val="00642E4F"/>
    <w:rsid w:val="00642F62"/>
    <w:rsid w:val="00642F6D"/>
    <w:rsid w:val="00643006"/>
    <w:rsid w:val="00643A18"/>
    <w:rsid w:val="00643BE2"/>
    <w:rsid w:val="00643D49"/>
    <w:rsid w:val="00644868"/>
    <w:rsid w:val="00644A3B"/>
    <w:rsid w:val="00644C14"/>
    <w:rsid w:val="00644C9F"/>
    <w:rsid w:val="00645472"/>
    <w:rsid w:val="00645637"/>
    <w:rsid w:val="006459E2"/>
    <w:rsid w:val="0064663C"/>
    <w:rsid w:val="006469D6"/>
    <w:rsid w:val="00646D13"/>
    <w:rsid w:val="00647BC9"/>
    <w:rsid w:val="00647D67"/>
    <w:rsid w:val="00650173"/>
    <w:rsid w:val="006502E3"/>
    <w:rsid w:val="00650588"/>
    <w:rsid w:val="0065101E"/>
    <w:rsid w:val="006512C1"/>
    <w:rsid w:val="006512CB"/>
    <w:rsid w:val="0065142A"/>
    <w:rsid w:val="00651688"/>
    <w:rsid w:val="0065178C"/>
    <w:rsid w:val="006518B7"/>
    <w:rsid w:val="00651AEA"/>
    <w:rsid w:val="00651B15"/>
    <w:rsid w:val="00652356"/>
    <w:rsid w:val="006527C9"/>
    <w:rsid w:val="00652FD7"/>
    <w:rsid w:val="006545D7"/>
    <w:rsid w:val="00654BAE"/>
    <w:rsid w:val="00654BDE"/>
    <w:rsid w:val="00654EF6"/>
    <w:rsid w:val="00655CCC"/>
    <w:rsid w:val="0065616D"/>
    <w:rsid w:val="006562D0"/>
    <w:rsid w:val="006563F3"/>
    <w:rsid w:val="006566AA"/>
    <w:rsid w:val="0065671C"/>
    <w:rsid w:val="00656F28"/>
    <w:rsid w:val="006573BE"/>
    <w:rsid w:val="0066038B"/>
    <w:rsid w:val="00660BFA"/>
    <w:rsid w:val="00661066"/>
    <w:rsid w:val="00661608"/>
    <w:rsid w:val="00662949"/>
    <w:rsid w:val="00662CA5"/>
    <w:rsid w:val="0066355E"/>
    <w:rsid w:val="00663580"/>
    <w:rsid w:val="00663607"/>
    <w:rsid w:val="00663DFF"/>
    <w:rsid w:val="00663E55"/>
    <w:rsid w:val="00663E99"/>
    <w:rsid w:val="00664277"/>
    <w:rsid w:val="006644BB"/>
    <w:rsid w:val="0066452B"/>
    <w:rsid w:val="00664AA1"/>
    <w:rsid w:val="00664FE6"/>
    <w:rsid w:val="0066581A"/>
    <w:rsid w:val="006659AB"/>
    <w:rsid w:val="006659D5"/>
    <w:rsid w:val="00665CD1"/>
    <w:rsid w:val="00665E22"/>
    <w:rsid w:val="0066673C"/>
    <w:rsid w:val="006669AB"/>
    <w:rsid w:val="00666D8E"/>
    <w:rsid w:val="0066721F"/>
    <w:rsid w:val="006672F9"/>
    <w:rsid w:val="00667310"/>
    <w:rsid w:val="006676A1"/>
    <w:rsid w:val="0066775D"/>
    <w:rsid w:val="00667EC1"/>
    <w:rsid w:val="0067002B"/>
    <w:rsid w:val="0067038F"/>
    <w:rsid w:val="00670C2F"/>
    <w:rsid w:val="00670F32"/>
    <w:rsid w:val="006712F9"/>
    <w:rsid w:val="006717F3"/>
    <w:rsid w:val="0067190B"/>
    <w:rsid w:val="00671994"/>
    <w:rsid w:val="00671EA0"/>
    <w:rsid w:val="00671EF1"/>
    <w:rsid w:val="00672307"/>
    <w:rsid w:val="006730F1"/>
    <w:rsid w:val="00673763"/>
    <w:rsid w:val="006738EC"/>
    <w:rsid w:val="00673905"/>
    <w:rsid w:val="006739B9"/>
    <w:rsid w:val="00673C8D"/>
    <w:rsid w:val="006750FE"/>
    <w:rsid w:val="00675229"/>
    <w:rsid w:val="0067525C"/>
    <w:rsid w:val="00675345"/>
    <w:rsid w:val="006754E0"/>
    <w:rsid w:val="00675504"/>
    <w:rsid w:val="0067554D"/>
    <w:rsid w:val="00675A2C"/>
    <w:rsid w:val="006765D1"/>
    <w:rsid w:val="006766BB"/>
    <w:rsid w:val="006767A3"/>
    <w:rsid w:val="00676984"/>
    <w:rsid w:val="0067704A"/>
    <w:rsid w:val="006772D2"/>
    <w:rsid w:val="006773DB"/>
    <w:rsid w:val="0067754A"/>
    <w:rsid w:val="00677650"/>
    <w:rsid w:val="00677A30"/>
    <w:rsid w:val="00677D1E"/>
    <w:rsid w:val="00677D90"/>
    <w:rsid w:val="006800A3"/>
    <w:rsid w:val="00680295"/>
    <w:rsid w:val="006806EE"/>
    <w:rsid w:val="0068092A"/>
    <w:rsid w:val="00680A23"/>
    <w:rsid w:val="00680E3C"/>
    <w:rsid w:val="006819B7"/>
    <w:rsid w:val="006820D2"/>
    <w:rsid w:val="00682544"/>
    <w:rsid w:val="006825B6"/>
    <w:rsid w:val="00682846"/>
    <w:rsid w:val="00682E3A"/>
    <w:rsid w:val="0068304D"/>
    <w:rsid w:val="006834D6"/>
    <w:rsid w:val="0068360F"/>
    <w:rsid w:val="006840E5"/>
    <w:rsid w:val="006843CF"/>
    <w:rsid w:val="00684486"/>
    <w:rsid w:val="00684686"/>
    <w:rsid w:val="0068474B"/>
    <w:rsid w:val="006854AB"/>
    <w:rsid w:val="006855BF"/>
    <w:rsid w:val="00685D68"/>
    <w:rsid w:val="00686786"/>
    <w:rsid w:val="00686C3D"/>
    <w:rsid w:val="006871EE"/>
    <w:rsid w:val="0068782D"/>
    <w:rsid w:val="00687A7F"/>
    <w:rsid w:val="00687AE3"/>
    <w:rsid w:val="00687CC2"/>
    <w:rsid w:val="00687E95"/>
    <w:rsid w:val="00690729"/>
    <w:rsid w:val="00690CB1"/>
    <w:rsid w:val="00690FC4"/>
    <w:rsid w:val="006910DB"/>
    <w:rsid w:val="0069138B"/>
    <w:rsid w:val="006913A8"/>
    <w:rsid w:val="006914A3"/>
    <w:rsid w:val="0069174B"/>
    <w:rsid w:val="00691E79"/>
    <w:rsid w:val="00692332"/>
    <w:rsid w:val="006926EB"/>
    <w:rsid w:val="00692D73"/>
    <w:rsid w:val="00693853"/>
    <w:rsid w:val="00693ABF"/>
    <w:rsid w:val="00693B86"/>
    <w:rsid w:val="00694E22"/>
    <w:rsid w:val="00695271"/>
    <w:rsid w:val="00695359"/>
    <w:rsid w:val="006959B5"/>
    <w:rsid w:val="00696061"/>
    <w:rsid w:val="0069699C"/>
    <w:rsid w:val="006969DB"/>
    <w:rsid w:val="00696A4A"/>
    <w:rsid w:val="00697554"/>
    <w:rsid w:val="006979BE"/>
    <w:rsid w:val="00697A80"/>
    <w:rsid w:val="00697CCF"/>
    <w:rsid w:val="00697CE8"/>
    <w:rsid w:val="00697DE5"/>
    <w:rsid w:val="00697FA5"/>
    <w:rsid w:val="006A07BD"/>
    <w:rsid w:val="006A092C"/>
    <w:rsid w:val="006A1646"/>
    <w:rsid w:val="006A175A"/>
    <w:rsid w:val="006A1BEB"/>
    <w:rsid w:val="006A24A8"/>
    <w:rsid w:val="006A29AB"/>
    <w:rsid w:val="006A3412"/>
    <w:rsid w:val="006A40A6"/>
    <w:rsid w:val="006A464C"/>
    <w:rsid w:val="006A4916"/>
    <w:rsid w:val="006A4B26"/>
    <w:rsid w:val="006A4C58"/>
    <w:rsid w:val="006A4CD3"/>
    <w:rsid w:val="006A5414"/>
    <w:rsid w:val="006A55A3"/>
    <w:rsid w:val="006A5DBD"/>
    <w:rsid w:val="006A5E6B"/>
    <w:rsid w:val="006A5EBB"/>
    <w:rsid w:val="006A61E9"/>
    <w:rsid w:val="006A6273"/>
    <w:rsid w:val="006A6605"/>
    <w:rsid w:val="006A668B"/>
    <w:rsid w:val="006A66BD"/>
    <w:rsid w:val="006A6962"/>
    <w:rsid w:val="006A6D1E"/>
    <w:rsid w:val="006A6DAE"/>
    <w:rsid w:val="006A7648"/>
    <w:rsid w:val="006A76A7"/>
    <w:rsid w:val="006A7800"/>
    <w:rsid w:val="006A789B"/>
    <w:rsid w:val="006A78D9"/>
    <w:rsid w:val="006B00D5"/>
    <w:rsid w:val="006B0358"/>
    <w:rsid w:val="006B0F30"/>
    <w:rsid w:val="006B11FA"/>
    <w:rsid w:val="006B1392"/>
    <w:rsid w:val="006B1855"/>
    <w:rsid w:val="006B231E"/>
    <w:rsid w:val="006B25A9"/>
    <w:rsid w:val="006B2877"/>
    <w:rsid w:val="006B2893"/>
    <w:rsid w:val="006B38FD"/>
    <w:rsid w:val="006B3CDF"/>
    <w:rsid w:val="006B3E5B"/>
    <w:rsid w:val="006B456F"/>
    <w:rsid w:val="006B49F1"/>
    <w:rsid w:val="006B5413"/>
    <w:rsid w:val="006B5414"/>
    <w:rsid w:val="006B5769"/>
    <w:rsid w:val="006B5F44"/>
    <w:rsid w:val="006B619C"/>
    <w:rsid w:val="006B61A4"/>
    <w:rsid w:val="006B61B8"/>
    <w:rsid w:val="006B6C73"/>
    <w:rsid w:val="006B7331"/>
    <w:rsid w:val="006B73D7"/>
    <w:rsid w:val="006B7491"/>
    <w:rsid w:val="006B7561"/>
    <w:rsid w:val="006B783F"/>
    <w:rsid w:val="006B7896"/>
    <w:rsid w:val="006B7AA0"/>
    <w:rsid w:val="006C0766"/>
    <w:rsid w:val="006C0E2F"/>
    <w:rsid w:val="006C0EC1"/>
    <w:rsid w:val="006C0F5D"/>
    <w:rsid w:val="006C1227"/>
    <w:rsid w:val="006C12B6"/>
    <w:rsid w:val="006C137C"/>
    <w:rsid w:val="006C1412"/>
    <w:rsid w:val="006C14DD"/>
    <w:rsid w:val="006C177D"/>
    <w:rsid w:val="006C1FDD"/>
    <w:rsid w:val="006C247C"/>
    <w:rsid w:val="006C2599"/>
    <w:rsid w:val="006C2E2C"/>
    <w:rsid w:val="006C3583"/>
    <w:rsid w:val="006C393A"/>
    <w:rsid w:val="006C3BD7"/>
    <w:rsid w:val="006C437E"/>
    <w:rsid w:val="006C4B18"/>
    <w:rsid w:val="006C4C17"/>
    <w:rsid w:val="006C5571"/>
    <w:rsid w:val="006C5904"/>
    <w:rsid w:val="006C5B9B"/>
    <w:rsid w:val="006C5CC4"/>
    <w:rsid w:val="006C6454"/>
    <w:rsid w:val="006C685E"/>
    <w:rsid w:val="006C6904"/>
    <w:rsid w:val="006C697F"/>
    <w:rsid w:val="006C6B15"/>
    <w:rsid w:val="006C6EC7"/>
    <w:rsid w:val="006C72DD"/>
    <w:rsid w:val="006C73D3"/>
    <w:rsid w:val="006C73E7"/>
    <w:rsid w:val="006C7507"/>
    <w:rsid w:val="006C7771"/>
    <w:rsid w:val="006C7BE5"/>
    <w:rsid w:val="006C7D05"/>
    <w:rsid w:val="006C7F94"/>
    <w:rsid w:val="006D0BDE"/>
    <w:rsid w:val="006D0CF1"/>
    <w:rsid w:val="006D0F26"/>
    <w:rsid w:val="006D0F7A"/>
    <w:rsid w:val="006D15FC"/>
    <w:rsid w:val="006D1B21"/>
    <w:rsid w:val="006D1BF5"/>
    <w:rsid w:val="006D20D6"/>
    <w:rsid w:val="006D245A"/>
    <w:rsid w:val="006D2624"/>
    <w:rsid w:val="006D276D"/>
    <w:rsid w:val="006D2795"/>
    <w:rsid w:val="006D289D"/>
    <w:rsid w:val="006D2984"/>
    <w:rsid w:val="006D29C4"/>
    <w:rsid w:val="006D2D35"/>
    <w:rsid w:val="006D3C38"/>
    <w:rsid w:val="006D3C67"/>
    <w:rsid w:val="006D3E32"/>
    <w:rsid w:val="006D4385"/>
    <w:rsid w:val="006D4A20"/>
    <w:rsid w:val="006D4B11"/>
    <w:rsid w:val="006D4CF0"/>
    <w:rsid w:val="006D4DFF"/>
    <w:rsid w:val="006D550F"/>
    <w:rsid w:val="006D5568"/>
    <w:rsid w:val="006D5571"/>
    <w:rsid w:val="006D5EDF"/>
    <w:rsid w:val="006D62B8"/>
    <w:rsid w:val="006D6525"/>
    <w:rsid w:val="006D759E"/>
    <w:rsid w:val="006D75DB"/>
    <w:rsid w:val="006D76E6"/>
    <w:rsid w:val="006D7819"/>
    <w:rsid w:val="006E00CA"/>
    <w:rsid w:val="006E05E3"/>
    <w:rsid w:val="006E097F"/>
    <w:rsid w:val="006E0F8D"/>
    <w:rsid w:val="006E159C"/>
    <w:rsid w:val="006E1FF5"/>
    <w:rsid w:val="006E22DB"/>
    <w:rsid w:val="006E2992"/>
    <w:rsid w:val="006E2CC6"/>
    <w:rsid w:val="006E2F1D"/>
    <w:rsid w:val="006E2F6C"/>
    <w:rsid w:val="006E301B"/>
    <w:rsid w:val="006E3113"/>
    <w:rsid w:val="006E38BA"/>
    <w:rsid w:val="006E38C9"/>
    <w:rsid w:val="006E3A3B"/>
    <w:rsid w:val="006E3FC3"/>
    <w:rsid w:val="006E4116"/>
    <w:rsid w:val="006E47E7"/>
    <w:rsid w:val="006E4980"/>
    <w:rsid w:val="006E4EC9"/>
    <w:rsid w:val="006E50B3"/>
    <w:rsid w:val="006E55DF"/>
    <w:rsid w:val="006E5CE9"/>
    <w:rsid w:val="006E5DF8"/>
    <w:rsid w:val="006E5E74"/>
    <w:rsid w:val="006E659F"/>
    <w:rsid w:val="006E6BCB"/>
    <w:rsid w:val="006E6CDD"/>
    <w:rsid w:val="006E7211"/>
    <w:rsid w:val="006E7383"/>
    <w:rsid w:val="006E758C"/>
    <w:rsid w:val="006E769B"/>
    <w:rsid w:val="006E77B9"/>
    <w:rsid w:val="006E79CE"/>
    <w:rsid w:val="006F01B1"/>
    <w:rsid w:val="006F0AF2"/>
    <w:rsid w:val="006F0F39"/>
    <w:rsid w:val="006F0F5C"/>
    <w:rsid w:val="006F0F97"/>
    <w:rsid w:val="006F0F9E"/>
    <w:rsid w:val="006F15FC"/>
    <w:rsid w:val="006F1B12"/>
    <w:rsid w:val="006F1D69"/>
    <w:rsid w:val="006F20F6"/>
    <w:rsid w:val="006F2283"/>
    <w:rsid w:val="006F22B9"/>
    <w:rsid w:val="006F26A9"/>
    <w:rsid w:val="006F2738"/>
    <w:rsid w:val="006F2B76"/>
    <w:rsid w:val="006F2C78"/>
    <w:rsid w:val="006F3100"/>
    <w:rsid w:val="006F325F"/>
    <w:rsid w:val="006F3367"/>
    <w:rsid w:val="006F3422"/>
    <w:rsid w:val="006F3593"/>
    <w:rsid w:val="006F383D"/>
    <w:rsid w:val="006F38A0"/>
    <w:rsid w:val="006F391B"/>
    <w:rsid w:val="006F3CE8"/>
    <w:rsid w:val="006F41AF"/>
    <w:rsid w:val="006F42DC"/>
    <w:rsid w:val="006F4714"/>
    <w:rsid w:val="006F4B59"/>
    <w:rsid w:val="006F5356"/>
    <w:rsid w:val="006F538D"/>
    <w:rsid w:val="006F577D"/>
    <w:rsid w:val="006F585E"/>
    <w:rsid w:val="006F7B86"/>
    <w:rsid w:val="006F7CD7"/>
    <w:rsid w:val="0070074B"/>
    <w:rsid w:val="0070088A"/>
    <w:rsid w:val="00700D8E"/>
    <w:rsid w:val="00700F26"/>
    <w:rsid w:val="00700F9A"/>
    <w:rsid w:val="007011C5"/>
    <w:rsid w:val="00701A32"/>
    <w:rsid w:val="00701C0D"/>
    <w:rsid w:val="00701C2C"/>
    <w:rsid w:val="00701ED8"/>
    <w:rsid w:val="00701EFE"/>
    <w:rsid w:val="0070227C"/>
    <w:rsid w:val="007027E3"/>
    <w:rsid w:val="007027E9"/>
    <w:rsid w:val="0070287F"/>
    <w:rsid w:val="00702FD5"/>
    <w:rsid w:val="007032CA"/>
    <w:rsid w:val="007035DC"/>
    <w:rsid w:val="007038F8"/>
    <w:rsid w:val="00703BAB"/>
    <w:rsid w:val="00703D6E"/>
    <w:rsid w:val="00704124"/>
    <w:rsid w:val="00704EFA"/>
    <w:rsid w:val="00704F37"/>
    <w:rsid w:val="00706419"/>
    <w:rsid w:val="00706638"/>
    <w:rsid w:val="007074BF"/>
    <w:rsid w:val="007100C5"/>
    <w:rsid w:val="00710166"/>
    <w:rsid w:val="007104B1"/>
    <w:rsid w:val="007108F4"/>
    <w:rsid w:val="007109A3"/>
    <w:rsid w:val="00710F38"/>
    <w:rsid w:val="00711410"/>
    <w:rsid w:val="007116C1"/>
    <w:rsid w:val="007117A0"/>
    <w:rsid w:val="00711F0F"/>
    <w:rsid w:val="007125A4"/>
    <w:rsid w:val="007125E4"/>
    <w:rsid w:val="00712889"/>
    <w:rsid w:val="007128DE"/>
    <w:rsid w:val="0071290D"/>
    <w:rsid w:val="00712B40"/>
    <w:rsid w:val="00712B9E"/>
    <w:rsid w:val="0071319A"/>
    <w:rsid w:val="00713E18"/>
    <w:rsid w:val="00714093"/>
    <w:rsid w:val="00714478"/>
    <w:rsid w:val="00714593"/>
    <w:rsid w:val="00714598"/>
    <w:rsid w:val="0071496E"/>
    <w:rsid w:val="00715076"/>
    <w:rsid w:val="00715326"/>
    <w:rsid w:val="0071538F"/>
    <w:rsid w:val="007153BB"/>
    <w:rsid w:val="00715799"/>
    <w:rsid w:val="00715B99"/>
    <w:rsid w:val="0071711A"/>
    <w:rsid w:val="0071791A"/>
    <w:rsid w:val="00717F14"/>
    <w:rsid w:val="00720002"/>
    <w:rsid w:val="00720008"/>
    <w:rsid w:val="0072024F"/>
    <w:rsid w:val="0072034F"/>
    <w:rsid w:val="0072054F"/>
    <w:rsid w:val="00720D17"/>
    <w:rsid w:val="00721099"/>
    <w:rsid w:val="007211E6"/>
    <w:rsid w:val="00721626"/>
    <w:rsid w:val="00721773"/>
    <w:rsid w:val="0072177B"/>
    <w:rsid w:val="00721925"/>
    <w:rsid w:val="00721C88"/>
    <w:rsid w:val="00721E9C"/>
    <w:rsid w:val="00721FED"/>
    <w:rsid w:val="00722237"/>
    <w:rsid w:val="00722543"/>
    <w:rsid w:val="00722915"/>
    <w:rsid w:val="00722EB4"/>
    <w:rsid w:val="00722EBA"/>
    <w:rsid w:val="00723170"/>
    <w:rsid w:val="00723504"/>
    <w:rsid w:val="00723B70"/>
    <w:rsid w:val="007244BA"/>
    <w:rsid w:val="00724E53"/>
    <w:rsid w:val="0072535D"/>
    <w:rsid w:val="00725689"/>
    <w:rsid w:val="007259EF"/>
    <w:rsid w:val="0072652D"/>
    <w:rsid w:val="00726F58"/>
    <w:rsid w:val="007270DE"/>
    <w:rsid w:val="007276FE"/>
    <w:rsid w:val="0073012E"/>
    <w:rsid w:val="00730518"/>
    <w:rsid w:val="007306CA"/>
    <w:rsid w:val="00730817"/>
    <w:rsid w:val="00730BA6"/>
    <w:rsid w:val="00730F79"/>
    <w:rsid w:val="007312E9"/>
    <w:rsid w:val="00731650"/>
    <w:rsid w:val="00732055"/>
    <w:rsid w:val="0073232E"/>
    <w:rsid w:val="007325BF"/>
    <w:rsid w:val="007326C6"/>
    <w:rsid w:val="00732BD7"/>
    <w:rsid w:val="007335E0"/>
    <w:rsid w:val="00733611"/>
    <w:rsid w:val="00733709"/>
    <w:rsid w:val="007337F7"/>
    <w:rsid w:val="0073399D"/>
    <w:rsid w:val="00733DFE"/>
    <w:rsid w:val="0073444E"/>
    <w:rsid w:val="00734496"/>
    <w:rsid w:val="007344C9"/>
    <w:rsid w:val="0073497F"/>
    <w:rsid w:val="00734A05"/>
    <w:rsid w:val="00734E0B"/>
    <w:rsid w:val="00734EEB"/>
    <w:rsid w:val="00734EF2"/>
    <w:rsid w:val="00734FA4"/>
    <w:rsid w:val="0073554E"/>
    <w:rsid w:val="00735786"/>
    <w:rsid w:val="007357AB"/>
    <w:rsid w:val="00735EAA"/>
    <w:rsid w:val="0073610B"/>
    <w:rsid w:val="00736944"/>
    <w:rsid w:val="00736A63"/>
    <w:rsid w:val="00736D76"/>
    <w:rsid w:val="00737085"/>
    <w:rsid w:val="00737AB0"/>
    <w:rsid w:val="007406E8"/>
    <w:rsid w:val="00740905"/>
    <w:rsid w:val="00740D08"/>
    <w:rsid w:val="0074132B"/>
    <w:rsid w:val="0074155B"/>
    <w:rsid w:val="00741B84"/>
    <w:rsid w:val="00741CA7"/>
    <w:rsid w:val="00741DB7"/>
    <w:rsid w:val="007421B8"/>
    <w:rsid w:val="00742419"/>
    <w:rsid w:val="007427BF"/>
    <w:rsid w:val="00742CE6"/>
    <w:rsid w:val="00743AE4"/>
    <w:rsid w:val="00743D6F"/>
    <w:rsid w:val="0074495E"/>
    <w:rsid w:val="007449A5"/>
    <w:rsid w:val="00744A17"/>
    <w:rsid w:val="00744C0B"/>
    <w:rsid w:val="00744E23"/>
    <w:rsid w:val="00744F08"/>
    <w:rsid w:val="00745192"/>
    <w:rsid w:val="00745421"/>
    <w:rsid w:val="00745502"/>
    <w:rsid w:val="00745F15"/>
    <w:rsid w:val="00745FC7"/>
    <w:rsid w:val="00746185"/>
    <w:rsid w:val="00746482"/>
    <w:rsid w:val="0074655C"/>
    <w:rsid w:val="00746634"/>
    <w:rsid w:val="00746A18"/>
    <w:rsid w:val="00746DCD"/>
    <w:rsid w:val="00747053"/>
    <w:rsid w:val="00747106"/>
    <w:rsid w:val="0074733C"/>
    <w:rsid w:val="00747F08"/>
    <w:rsid w:val="00747F28"/>
    <w:rsid w:val="00747F8A"/>
    <w:rsid w:val="00747FB9"/>
    <w:rsid w:val="007507AB"/>
    <w:rsid w:val="00750DBD"/>
    <w:rsid w:val="00751024"/>
    <w:rsid w:val="007512F4"/>
    <w:rsid w:val="00751FE8"/>
    <w:rsid w:val="007527D2"/>
    <w:rsid w:val="00752AC2"/>
    <w:rsid w:val="00752B9E"/>
    <w:rsid w:val="0075321D"/>
    <w:rsid w:val="00753FA6"/>
    <w:rsid w:val="007541E6"/>
    <w:rsid w:val="00754472"/>
    <w:rsid w:val="007547DE"/>
    <w:rsid w:val="00754C17"/>
    <w:rsid w:val="007554E8"/>
    <w:rsid w:val="00755890"/>
    <w:rsid w:val="00755B76"/>
    <w:rsid w:val="007563C9"/>
    <w:rsid w:val="0075662D"/>
    <w:rsid w:val="00756BA2"/>
    <w:rsid w:val="00756C45"/>
    <w:rsid w:val="007578FE"/>
    <w:rsid w:val="00757B85"/>
    <w:rsid w:val="00757CA5"/>
    <w:rsid w:val="00757E63"/>
    <w:rsid w:val="0076068E"/>
    <w:rsid w:val="0076072A"/>
    <w:rsid w:val="00760887"/>
    <w:rsid w:val="007608C3"/>
    <w:rsid w:val="00761B1E"/>
    <w:rsid w:val="007623EB"/>
    <w:rsid w:val="0076258B"/>
    <w:rsid w:val="00762CE9"/>
    <w:rsid w:val="00762F17"/>
    <w:rsid w:val="00763A71"/>
    <w:rsid w:val="007642C0"/>
    <w:rsid w:val="007656A8"/>
    <w:rsid w:val="00765759"/>
    <w:rsid w:val="00765F75"/>
    <w:rsid w:val="007662B2"/>
    <w:rsid w:val="007667A1"/>
    <w:rsid w:val="007669E0"/>
    <w:rsid w:val="00766DB0"/>
    <w:rsid w:val="00767B0F"/>
    <w:rsid w:val="00767CEB"/>
    <w:rsid w:val="00767D45"/>
    <w:rsid w:val="00767E82"/>
    <w:rsid w:val="00770179"/>
    <w:rsid w:val="007709DA"/>
    <w:rsid w:val="00770B47"/>
    <w:rsid w:val="00770B84"/>
    <w:rsid w:val="00770C53"/>
    <w:rsid w:val="00770E20"/>
    <w:rsid w:val="00771135"/>
    <w:rsid w:val="007713EE"/>
    <w:rsid w:val="007722A8"/>
    <w:rsid w:val="00772654"/>
    <w:rsid w:val="00772D23"/>
    <w:rsid w:val="00772FEB"/>
    <w:rsid w:val="0077344F"/>
    <w:rsid w:val="00773788"/>
    <w:rsid w:val="00773C2C"/>
    <w:rsid w:val="007741DB"/>
    <w:rsid w:val="00774441"/>
    <w:rsid w:val="00774B23"/>
    <w:rsid w:val="007752A9"/>
    <w:rsid w:val="007754A4"/>
    <w:rsid w:val="0077573C"/>
    <w:rsid w:val="00775746"/>
    <w:rsid w:val="007758E2"/>
    <w:rsid w:val="00775AAC"/>
    <w:rsid w:val="00775B76"/>
    <w:rsid w:val="00775F9F"/>
    <w:rsid w:val="00776211"/>
    <w:rsid w:val="00776590"/>
    <w:rsid w:val="0077677F"/>
    <w:rsid w:val="00776EE9"/>
    <w:rsid w:val="007778C5"/>
    <w:rsid w:val="007800A3"/>
    <w:rsid w:val="007800A6"/>
    <w:rsid w:val="007804F8"/>
    <w:rsid w:val="0078103E"/>
    <w:rsid w:val="007811CE"/>
    <w:rsid w:val="00781BDB"/>
    <w:rsid w:val="00781C30"/>
    <w:rsid w:val="007825C0"/>
    <w:rsid w:val="0078266A"/>
    <w:rsid w:val="007830EB"/>
    <w:rsid w:val="007835AF"/>
    <w:rsid w:val="007836FD"/>
    <w:rsid w:val="00783725"/>
    <w:rsid w:val="007837C5"/>
    <w:rsid w:val="0078384C"/>
    <w:rsid w:val="00783D36"/>
    <w:rsid w:val="007846A1"/>
    <w:rsid w:val="007849FE"/>
    <w:rsid w:val="00785009"/>
    <w:rsid w:val="007850CC"/>
    <w:rsid w:val="0078594D"/>
    <w:rsid w:val="00785B98"/>
    <w:rsid w:val="0078602F"/>
    <w:rsid w:val="00786288"/>
    <w:rsid w:val="007863E4"/>
    <w:rsid w:val="007867C4"/>
    <w:rsid w:val="00786FC1"/>
    <w:rsid w:val="0078797B"/>
    <w:rsid w:val="007905AE"/>
    <w:rsid w:val="007907AE"/>
    <w:rsid w:val="00790966"/>
    <w:rsid w:val="007909A2"/>
    <w:rsid w:val="00790F7F"/>
    <w:rsid w:val="00791055"/>
    <w:rsid w:val="00791068"/>
    <w:rsid w:val="00791663"/>
    <w:rsid w:val="00791ADB"/>
    <w:rsid w:val="00791C11"/>
    <w:rsid w:val="007921AC"/>
    <w:rsid w:val="007924C4"/>
    <w:rsid w:val="00792A77"/>
    <w:rsid w:val="00792C19"/>
    <w:rsid w:val="00792D43"/>
    <w:rsid w:val="007930C3"/>
    <w:rsid w:val="00793574"/>
    <w:rsid w:val="00793942"/>
    <w:rsid w:val="007939AE"/>
    <w:rsid w:val="00793A5A"/>
    <w:rsid w:val="00794A2E"/>
    <w:rsid w:val="00794AA0"/>
    <w:rsid w:val="00794EA4"/>
    <w:rsid w:val="00794FC8"/>
    <w:rsid w:val="007950E3"/>
    <w:rsid w:val="0079527C"/>
    <w:rsid w:val="0079545D"/>
    <w:rsid w:val="007954C1"/>
    <w:rsid w:val="00795694"/>
    <w:rsid w:val="0079574A"/>
    <w:rsid w:val="00795A6B"/>
    <w:rsid w:val="00795CC9"/>
    <w:rsid w:val="0079658D"/>
    <w:rsid w:val="007969A7"/>
    <w:rsid w:val="00796AA4"/>
    <w:rsid w:val="00796DBE"/>
    <w:rsid w:val="00797135"/>
    <w:rsid w:val="00797BD3"/>
    <w:rsid w:val="00797F24"/>
    <w:rsid w:val="007A015F"/>
    <w:rsid w:val="007A01DE"/>
    <w:rsid w:val="007A0A3B"/>
    <w:rsid w:val="007A13F1"/>
    <w:rsid w:val="007A143E"/>
    <w:rsid w:val="007A1619"/>
    <w:rsid w:val="007A1D8A"/>
    <w:rsid w:val="007A2778"/>
    <w:rsid w:val="007A2A31"/>
    <w:rsid w:val="007A2E9B"/>
    <w:rsid w:val="007A3837"/>
    <w:rsid w:val="007A3E3E"/>
    <w:rsid w:val="007A41A6"/>
    <w:rsid w:val="007A45EF"/>
    <w:rsid w:val="007A4896"/>
    <w:rsid w:val="007A5C98"/>
    <w:rsid w:val="007A5CA4"/>
    <w:rsid w:val="007A5E38"/>
    <w:rsid w:val="007A6005"/>
    <w:rsid w:val="007A6050"/>
    <w:rsid w:val="007A618F"/>
    <w:rsid w:val="007A63BE"/>
    <w:rsid w:val="007A688C"/>
    <w:rsid w:val="007A715D"/>
    <w:rsid w:val="007A721A"/>
    <w:rsid w:val="007A7446"/>
    <w:rsid w:val="007A7525"/>
    <w:rsid w:val="007A7E49"/>
    <w:rsid w:val="007A7E56"/>
    <w:rsid w:val="007A7E9B"/>
    <w:rsid w:val="007B02DA"/>
    <w:rsid w:val="007B03F4"/>
    <w:rsid w:val="007B0869"/>
    <w:rsid w:val="007B0C37"/>
    <w:rsid w:val="007B0CF4"/>
    <w:rsid w:val="007B103F"/>
    <w:rsid w:val="007B11D4"/>
    <w:rsid w:val="007B1478"/>
    <w:rsid w:val="007B1DF4"/>
    <w:rsid w:val="007B1F6F"/>
    <w:rsid w:val="007B2D9F"/>
    <w:rsid w:val="007B2F75"/>
    <w:rsid w:val="007B3489"/>
    <w:rsid w:val="007B39F5"/>
    <w:rsid w:val="007B3A96"/>
    <w:rsid w:val="007B3AC3"/>
    <w:rsid w:val="007B3D69"/>
    <w:rsid w:val="007B3DBB"/>
    <w:rsid w:val="007B3F6C"/>
    <w:rsid w:val="007B4685"/>
    <w:rsid w:val="007B468B"/>
    <w:rsid w:val="007B48AA"/>
    <w:rsid w:val="007B48AC"/>
    <w:rsid w:val="007B4AE7"/>
    <w:rsid w:val="007B4F6F"/>
    <w:rsid w:val="007B4FFA"/>
    <w:rsid w:val="007B5201"/>
    <w:rsid w:val="007B54D2"/>
    <w:rsid w:val="007B55D6"/>
    <w:rsid w:val="007B58BF"/>
    <w:rsid w:val="007B5A6D"/>
    <w:rsid w:val="007B5BBD"/>
    <w:rsid w:val="007B6092"/>
    <w:rsid w:val="007B66DA"/>
    <w:rsid w:val="007B6987"/>
    <w:rsid w:val="007B6B93"/>
    <w:rsid w:val="007B6F05"/>
    <w:rsid w:val="007B70F5"/>
    <w:rsid w:val="007B71A6"/>
    <w:rsid w:val="007B7398"/>
    <w:rsid w:val="007B772F"/>
    <w:rsid w:val="007B7960"/>
    <w:rsid w:val="007B7963"/>
    <w:rsid w:val="007B7A8B"/>
    <w:rsid w:val="007B7D17"/>
    <w:rsid w:val="007B7EA1"/>
    <w:rsid w:val="007C0076"/>
    <w:rsid w:val="007C0463"/>
    <w:rsid w:val="007C0DF2"/>
    <w:rsid w:val="007C1043"/>
    <w:rsid w:val="007C11E9"/>
    <w:rsid w:val="007C1293"/>
    <w:rsid w:val="007C1E6F"/>
    <w:rsid w:val="007C2157"/>
    <w:rsid w:val="007C236A"/>
    <w:rsid w:val="007C2429"/>
    <w:rsid w:val="007C2609"/>
    <w:rsid w:val="007C282B"/>
    <w:rsid w:val="007C28A6"/>
    <w:rsid w:val="007C28B1"/>
    <w:rsid w:val="007C32CF"/>
    <w:rsid w:val="007C32D4"/>
    <w:rsid w:val="007C334A"/>
    <w:rsid w:val="007C34C8"/>
    <w:rsid w:val="007C35E6"/>
    <w:rsid w:val="007C3C74"/>
    <w:rsid w:val="007C4317"/>
    <w:rsid w:val="007C4484"/>
    <w:rsid w:val="007C46C7"/>
    <w:rsid w:val="007C47CB"/>
    <w:rsid w:val="007C483E"/>
    <w:rsid w:val="007C4CBC"/>
    <w:rsid w:val="007C55B9"/>
    <w:rsid w:val="007C58AF"/>
    <w:rsid w:val="007C5D70"/>
    <w:rsid w:val="007C5F8D"/>
    <w:rsid w:val="007C5FC3"/>
    <w:rsid w:val="007C634C"/>
    <w:rsid w:val="007C651F"/>
    <w:rsid w:val="007C6543"/>
    <w:rsid w:val="007C688C"/>
    <w:rsid w:val="007C716F"/>
    <w:rsid w:val="007C73EA"/>
    <w:rsid w:val="007C794C"/>
    <w:rsid w:val="007C7FC9"/>
    <w:rsid w:val="007C7FCC"/>
    <w:rsid w:val="007D09E0"/>
    <w:rsid w:val="007D12C0"/>
    <w:rsid w:val="007D13F7"/>
    <w:rsid w:val="007D1805"/>
    <w:rsid w:val="007D1917"/>
    <w:rsid w:val="007D1EAC"/>
    <w:rsid w:val="007D29E3"/>
    <w:rsid w:val="007D29F7"/>
    <w:rsid w:val="007D2ACF"/>
    <w:rsid w:val="007D34E0"/>
    <w:rsid w:val="007D3A2E"/>
    <w:rsid w:val="007D3AAB"/>
    <w:rsid w:val="007D40B5"/>
    <w:rsid w:val="007D4641"/>
    <w:rsid w:val="007D57CD"/>
    <w:rsid w:val="007D5844"/>
    <w:rsid w:val="007D63C8"/>
    <w:rsid w:val="007D65A0"/>
    <w:rsid w:val="007D6AEE"/>
    <w:rsid w:val="007D6FED"/>
    <w:rsid w:val="007D7110"/>
    <w:rsid w:val="007D733F"/>
    <w:rsid w:val="007D7343"/>
    <w:rsid w:val="007D74B7"/>
    <w:rsid w:val="007D7A7C"/>
    <w:rsid w:val="007D7D82"/>
    <w:rsid w:val="007D7E2C"/>
    <w:rsid w:val="007D7FDB"/>
    <w:rsid w:val="007E013D"/>
    <w:rsid w:val="007E0233"/>
    <w:rsid w:val="007E08DF"/>
    <w:rsid w:val="007E0E82"/>
    <w:rsid w:val="007E124E"/>
    <w:rsid w:val="007E1703"/>
    <w:rsid w:val="007E18DB"/>
    <w:rsid w:val="007E1A61"/>
    <w:rsid w:val="007E1F52"/>
    <w:rsid w:val="007E2500"/>
    <w:rsid w:val="007E2961"/>
    <w:rsid w:val="007E31A2"/>
    <w:rsid w:val="007E3DF7"/>
    <w:rsid w:val="007E3F5C"/>
    <w:rsid w:val="007E4433"/>
    <w:rsid w:val="007E4530"/>
    <w:rsid w:val="007E509A"/>
    <w:rsid w:val="007E5332"/>
    <w:rsid w:val="007E53F0"/>
    <w:rsid w:val="007E562A"/>
    <w:rsid w:val="007E58C5"/>
    <w:rsid w:val="007E5958"/>
    <w:rsid w:val="007E5D35"/>
    <w:rsid w:val="007E5DA7"/>
    <w:rsid w:val="007E5F51"/>
    <w:rsid w:val="007E6AD8"/>
    <w:rsid w:val="007E7C28"/>
    <w:rsid w:val="007E7C34"/>
    <w:rsid w:val="007E7D4F"/>
    <w:rsid w:val="007E7DEE"/>
    <w:rsid w:val="007F0108"/>
    <w:rsid w:val="007F02E5"/>
    <w:rsid w:val="007F0439"/>
    <w:rsid w:val="007F04ED"/>
    <w:rsid w:val="007F0B5C"/>
    <w:rsid w:val="007F1042"/>
    <w:rsid w:val="007F11E4"/>
    <w:rsid w:val="007F144B"/>
    <w:rsid w:val="007F14F6"/>
    <w:rsid w:val="007F22BD"/>
    <w:rsid w:val="007F27A9"/>
    <w:rsid w:val="007F2EAE"/>
    <w:rsid w:val="007F2FDA"/>
    <w:rsid w:val="007F3353"/>
    <w:rsid w:val="007F3412"/>
    <w:rsid w:val="007F3847"/>
    <w:rsid w:val="007F38A5"/>
    <w:rsid w:val="007F3DD7"/>
    <w:rsid w:val="007F3E20"/>
    <w:rsid w:val="007F4991"/>
    <w:rsid w:val="007F4ABA"/>
    <w:rsid w:val="007F4CCE"/>
    <w:rsid w:val="007F4ED5"/>
    <w:rsid w:val="007F5575"/>
    <w:rsid w:val="007F590E"/>
    <w:rsid w:val="007F59E8"/>
    <w:rsid w:val="007F5E12"/>
    <w:rsid w:val="007F607E"/>
    <w:rsid w:val="007F62C7"/>
    <w:rsid w:val="007F630C"/>
    <w:rsid w:val="007F6397"/>
    <w:rsid w:val="007F63CC"/>
    <w:rsid w:val="007F6926"/>
    <w:rsid w:val="007F6A16"/>
    <w:rsid w:val="007F7532"/>
    <w:rsid w:val="007F7737"/>
    <w:rsid w:val="007F785F"/>
    <w:rsid w:val="007F7BB0"/>
    <w:rsid w:val="00800D74"/>
    <w:rsid w:val="008014F8"/>
    <w:rsid w:val="00801798"/>
    <w:rsid w:val="00801D3E"/>
    <w:rsid w:val="00801DDC"/>
    <w:rsid w:val="00802705"/>
    <w:rsid w:val="00802832"/>
    <w:rsid w:val="00802A9F"/>
    <w:rsid w:val="00802CA4"/>
    <w:rsid w:val="008030CA"/>
    <w:rsid w:val="008030D8"/>
    <w:rsid w:val="008031BA"/>
    <w:rsid w:val="00803278"/>
    <w:rsid w:val="00803317"/>
    <w:rsid w:val="0080347A"/>
    <w:rsid w:val="0080351E"/>
    <w:rsid w:val="00803792"/>
    <w:rsid w:val="00803AA5"/>
    <w:rsid w:val="00803BFA"/>
    <w:rsid w:val="00803C1E"/>
    <w:rsid w:val="00803FE1"/>
    <w:rsid w:val="00804092"/>
    <w:rsid w:val="00804242"/>
    <w:rsid w:val="00804441"/>
    <w:rsid w:val="0080457B"/>
    <w:rsid w:val="00804A51"/>
    <w:rsid w:val="00804C78"/>
    <w:rsid w:val="00804F7C"/>
    <w:rsid w:val="008057CD"/>
    <w:rsid w:val="00805D34"/>
    <w:rsid w:val="00805F9F"/>
    <w:rsid w:val="00805FEE"/>
    <w:rsid w:val="00806438"/>
    <w:rsid w:val="008066CB"/>
    <w:rsid w:val="008069EA"/>
    <w:rsid w:val="00806D82"/>
    <w:rsid w:val="00806F50"/>
    <w:rsid w:val="00807166"/>
    <w:rsid w:val="008072EF"/>
    <w:rsid w:val="0080732E"/>
    <w:rsid w:val="00807414"/>
    <w:rsid w:val="008077F3"/>
    <w:rsid w:val="00810220"/>
    <w:rsid w:val="00810479"/>
    <w:rsid w:val="0081062E"/>
    <w:rsid w:val="00810ACB"/>
    <w:rsid w:val="00811310"/>
    <w:rsid w:val="00811C9D"/>
    <w:rsid w:val="00811D74"/>
    <w:rsid w:val="0081209B"/>
    <w:rsid w:val="008121E3"/>
    <w:rsid w:val="00812D9E"/>
    <w:rsid w:val="00812E80"/>
    <w:rsid w:val="00812E9C"/>
    <w:rsid w:val="00813713"/>
    <w:rsid w:val="0081372B"/>
    <w:rsid w:val="008137A8"/>
    <w:rsid w:val="00814E53"/>
    <w:rsid w:val="00815058"/>
    <w:rsid w:val="00815271"/>
    <w:rsid w:val="008152E0"/>
    <w:rsid w:val="0081530C"/>
    <w:rsid w:val="00816152"/>
    <w:rsid w:val="0081675F"/>
    <w:rsid w:val="00816949"/>
    <w:rsid w:val="00816984"/>
    <w:rsid w:val="00817787"/>
    <w:rsid w:val="00820151"/>
    <w:rsid w:val="0082055C"/>
    <w:rsid w:val="008206FE"/>
    <w:rsid w:val="008220C9"/>
    <w:rsid w:val="0082287F"/>
    <w:rsid w:val="00822F1E"/>
    <w:rsid w:val="00822FAF"/>
    <w:rsid w:val="008237B4"/>
    <w:rsid w:val="00823BCC"/>
    <w:rsid w:val="00823C1F"/>
    <w:rsid w:val="00824FD2"/>
    <w:rsid w:val="008254FB"/>
    <w:rsid w:val="00825680"/>
    <w:rsid w:val="00825E8F"/>
    <w:rsid w:val="00825FD4"/>
    <w:rsid w:val="00826D9D"/>
    <w:rsid w:val="00827083"/>
    <w:rsid w:val="00827136"/>
    <w:rsid w:val="008275D5"/>
    <w:rsid w:val="00827A84"/>
    <w:rsid w:val="008302B3"/>
    <w:rsid w:val="008303C3"/>
    <w:rsid w:val="008304F7"/>
    <w:rsid w:val="00830D84"/>
    <w:rsid w:val="00830E72"/>
    <w:rsid w:val="008314E2"/>
    <w:rsid w:val="0083198D"/>
    <w:rsid w:val="00831BC2"/>
    <w:rsid w:val="00832C15"/>
    <w:rsid w:val="00832C19"/>
    <w:rsid w:val="00832D13"/>
    <w:rsid w:val="00832D9B"/>
    <w:rsid w:val="00833020"/>
    <w:rsid w:val="0083328B"/>
    <w:rsid w:val="00833425"/>
    <w:rsid w:val="00833957"/>
    <w:rsid w:val="00833AC6"/>
    <w:rsid w:val="00834200"/>
    <w:rsid w:val="008344D8"/>
    <w:rsid w:val="008347EA"/>
    <w:rsid w:val="00834EA9"/>
    <w:rsid w:val="008357E3"/>
    <w:rsid w:val="0083583A"/>
    <w:rsid w:val="00835903"/>
    <w:rsid w:val="00835BD3"/>
    <w:rsid w:val="0083619E"/>
    <w:rsid w:val="00836799"/>
    <w:rsid w:val="00836EFA"/>
    <w:rsid w:val="0083752B"/>
    <w:rsid w:val="008376EB"/>
    <w:rsid w:val="008402CC"/>
    <w:rsid w:val="0084076B"/>
    <w:rsid w:val="0084121E"/>
    <w:rsid w:val="00841923"/>
    <w:rsid w:val="00841B2E"/>
    <w:rsid w:val="0084237F"/>
    <w:rsid w:val="00842869"/>
    <w:rsid w:val="00842BE1"/>
    <w:rsid w:val="00842CD6"/>
    <w:rsid w:val="00842F01"/>
    <w:rsid w:val="008434FC"/>
    <w:rsid w:val="00844297"/>
    <w:rsid w:val="0084459A"/>
    <w:rsid w:val="008445B5"/>
    <w:rsid w:val="008446F3"/>
    <w:rsid w:val="008447BB"/>
    <w:rsid w:val="00844A9A"/>
    <w:rsid w:val="00844EDC"/>
    <w:rsid w:val="00844F8A"/>
    <w:rsid w:val="008453AD"/>
    <w:rsid w:val="008455CB"/>
    <w:rsid w:val="00845673"/>
    <w:rsid w:val="00846048"/>
    <w:rsid w:val="00846312"/>
    <w:rsid w:val="008463AC"/>
    <w:rsid w:val="00846654"/>
    <w:rsid w:val="008474C2"/>
    <w:rsid w:val="00847669"/>
    <w:rsid w:val="0084795A"/>
    <w:rsid w:val="00847A90"/>
    <w:rsid w:val="00847B64"/>
    <w:rsid w:val="00847E0D"/>
    <w:rsid w:val="00847F3D"/>
    <w:rsid w:val="008504C9"/>
    <w:rsid w:val="0085051B"/>
    <w:rsid w:val="00850EE9"/>
    <w:rsid w:val="0085101D"/>
    <w:rsid w:val="0085169D"/>
    <w:rsid w:val="00851A37"/>
    <w:rsid w:val="00851AA5"/>
    <w:rsid w:val="00852369"/>
    <w:rsid w:val="008526FA"/>
    <w:rsid w:val="00852887"/>
    <w:rsid w:val="00852BA9"/>
    <w:rsid w:val="00852C1E"/>
    <w:rsid w:val="00852E8E"/>
    <w:rsid w:val="00852ECE"/>
    <w:rsid w:val="008539A9"/>
    <w:rsid w:val="00853A9F"/>
    <w:rsid w:val="00853DE9"/>
    <w:rsid w:val="00853E14"/>
    <w:rsid w:val="00853EED"/>
    <w:rsid w:val="00854544"/>
    <w:rsid w:val="008547D1"/>
    <w:rsid w:val="008549AF"/>
    <w:rsid w:val="00855637"/>
    <w:rsid w:val="008557D6"/>
    <w:rsid w:val="00855A74"/>
    <w:rsid w:val="00855E2E"/>
    <w:rsid w:val="00855E33"/>
    <w:rsid w:val="008561F3"/>
    <w:rsid w:val="00856203"/>
    <w:rsid w:val="00856459"/>
    <w:rsid w:val="00857272"/>
    <w:rsid w:val="00857331"/>
    <w:rsid w:val="0085748B"/>
    <w:rsid w:val="00860077"/>
    <w:rsid w:val="0086020B"/>
    <w:rsid w:val="00860283"/>
    <w:rsid w:val="0086058E"/>
    <w:rsid w:val="00860C34"/>
    <w:rsid w:val="00861196"/>
    <w:rsid w:val="008616A5"/>
    <w:rsid w:val="00861DF7"/>
    <w:rsid w:val="0086263A"/>
    <w:rsid w:val="00862F65"/>
    <w:rsid w:val="00862FC7"/>
    <w:rsid w:val="0086342F"/>
    <w:rsid w:val="0086360A"/>
    <w:rsid w:val="008638F0"/>
    <w:rsid w:val="00863A21"/>
    <w:rsid w:val="00863B9C"/>
    <w:rsid w:val="00864041"/>
    <w:rsid w:val="00864760"/>
    <w:rsid w:val="00864A63"/>
    <w:rsid w:val="00864A7D"/>
    <w:rsid w:val="008658E1"/>
    <w:rsid w:val="00865C99"/>
    <w:rsid w:val="00865D9B"/>
    <w:rsid w:val="0086614C"/>
    <w:rsid w:val="0086638D"/>
    <w:rsid w:val="0086659C"/>
    <w:rsid w:val="008666EC"/>
    <w:rsid w:val="00867060"/>
    <w:rsid w:val="00867137"/>
    <w:rsid w:val="0086785E"/>
    <w:rsid w:val="00867997"/>
    <w:rsid w:val="00867FBB"/>
    <w:rsid w:val="0087073A"/>
    <w:rsid w:val="0087115D"/>
    <w:rsid w:val="008711EA"/>
    <w:rsid w:val="00871235"/>
    <w:rsid w:val="00871396"/>
    <w:rsid w:val="0087162B"/>
    <w:rsid w:val="00871C5A"/>
    <w:rsid w:val="00871CED"/>
    <w:rsid w:val="00871DC9"/>
    <w:rsid w:val="00871E74"/>
    <w:rsid w:val="00872119"/>
    <w:rsid w:val="008721DC"/>
    <w:rsid w:val="0087221C"/>
    <w:rsid w:val="0087262F"/>
    <w:rsid w:val="008726DF"/>
    <w:rsid w:val="00872BAD"/>
    <w:rsid w:val="00872F22"/>
    <w:rsid w:val="00872F59"/>
    <w:rsid w:val="00873133"/>
    <w:rsid w:val="00873403"/>
    <w:rsid w:val="00873909"/>
    <w:rsid w:val="0087404B"/>
    <w:rsid w:val="00874583"/>
    <w:rsid w:val="00874A5E"/>
    <w:rsid w:val="00874B4C"/>
    <w:rsid w:val="00874F29"/>
    <w:rsid w:val="00875351"/>
    <w:rsid w:val="0087541F"/>
    <w:rsid w:val="00875D4D"/>
    <w:rsid w:val="008764A6"/>
    <w:rsid w:val="00876903"/>
    <w:rsid w:val="00876AEB"/>
    <w:rsid w:val="00876E27"/>
    <w:rsid w:val="008779C5"/>
    <w:rsid w:val="00877C13"/>
    <w:rsid w:val="00880FA5"/>
    <w:rsid w:val="008811CC"/>
    <w:rsid w:val="0088175C"/>
    <w:rsid w:val="008818EB"/>
    <w:rsid w:val="00881E57"/>
    <w:rsid w:val="00882A3B"/>
    <w:rsid w:val="008839A8"/>
    <w:rsid w:val="00883F3D"/>
    <w:rsid w:val="00884539"/>
    <w:rsid w:val="008845B3"/>
    <w:rsid w:val="00884FAA"/>
    <w:rsid w:val="008851D2"/>
    <w:rsid w:val="00885467"/>
    <w:rsid w:val="00885BA7"/>
    <w:rsid w:val="008861A9"/>
    <w:rsid w:val="00886964"/>
    <w:rsid w:val="00886DC6"/>
    <w:rsid w:val="00886F07"/>
    <w:rsid w:val="00886F21"/>
    <w:rsid w:val="00890E77"/>
    <w:rsid w:val="00890E81"/>
    <w:rsid w:val="00890FE6"/>
    <w:rsid w:val="008910FD"/>
    <w:rsid w:val="008913E0"/>
    <w:rsid w:val="00891454"/>
    <w:rsid w:val="00891EEF"/>
    <w:rsid w:val="008920E9"/>
    <w:rsid w:val="008926DA"/>
    <w:rsid w:val="00892C82"/>
    <w:rsid w:val="00892CB0"/>
    <w:rsid w:val="00892E08"/>
    <w:rsid w:val="00892E89"/>
    <w:rsid w:val="008932D5"/>
    <w:rsid w:val="00893493"/>
    <w:rsid w:val="00893686"/>
    <w:rsid w:val="00893B79"/>
    <w:rsid w:val="00894190"/>
    <w:rsid w:val="0089431A"/>
    <w:rsid w:val="0089442D"/>
    <w:rsid w:val="00894E93"/>
    <w:rsid w:val="00895253"/>
    <w:rsid w:val="0089537D"/>
    <w:rsid w:val="00895896"/>
    <w:rsid w:val="008959BF"/>
    <w:rsid w:val="00895C85"/>
    <w:rsid w:val="00895CF0"/>
    <w:rsid w:val="0089630C"/>
    <w:rsid w:val="00896666"/>
    <w:rsid w:val="00896AB5"/>
    <w:rsid w:val="00897630"/>
    <w:rsid w:val="008977AF"/>
    <w:rsid w:val="008A004D"/>
    <w:rsid w:val="008A0B6B"/>
    <w:rsid w:val="008A10DB"/>
    <w:rsid w:val="008A11E3"/>
    <w:rsid w:val="008A1319"/>
    <w:rsid w:val="008A1855"/>
    <w:rsid w:val="008A1E33"/>
    <w:rsid w:val="008A1FAD"/>
    <w:rsid w:val="008A23E6"/>
    <w:rsid w:val="008A2B9F"/>
    <w:rsid w:val="008A3048"/>
    <w:rsid w:val="008A31C9"/>
    <w:rsid w:val="008A31DB"/>
    <w:rsid w:val="008A3C6A"/>
    <w:rsid w:val="008A3CFB"/>
    <w:rsid w:val="008A3D5E"/>
    <w:rsid w:val="008A3D9C"/>
    <w:rsid w:val="008A409C"/>
    <w:rsid w:val="008A48C5"/>
    <w:rsid w:val="008A5647"/>
    <w:rsid w:val="008A5DB5"/>
    <w:rsid w:val="008A5DEE"/>
    <w:rsid w:val="008A717A"/>
    <w:rsid w:val="008A721A"/>
    <w:rsid w:val="008A7866"/>
    <w:rsid w:val="008A7E22"/>
    <w:rsid w:val="008B008A"/>
    <w:rsid w:val="008B0368"/>
    <w:rsid w:val="008B0376"/>
    <w:rsid w:val="008B0414"/>
    <w:rsid w:val="008B0CDC"/>
    <w:rsid w:val="008B0F2C"/>
    <w:rsid w:val="008B1299"/>
    <w:rsid w:val="008B13D9"/>
    <w:rsid w:val="008B158E"/>
    <w:rsid w:val="008B171F"/>
    <w:rsid w:val="008B18B8"/>
    <w:rsid w:val="008B219F"/>
    <w:rsid w:val="008B2ECE"/>
    <w:rsid w:val="008B3041"/>
    <w:rsid w:val="008B3407"/>
    <w:rsid w:val="008B42B9"/>
    <w:rsid w:val="008B47F0"/>
    <w:rsid w:val="008B48DB"/>
    <w:rsid w:val="008B4B76"/>
    <w:rsid w:val="008B4BF0"/>
    <w:rsid w:val="008B4FDC"/>
    <w:rsid w:val="008B5078"/>
    <w:rsid w:val="008B51FF"/>
    <w:rsid w:val="008B521F"/>
    <w:rsid w:val="008B5235"/>
    <w:rsid w:val="008B56BB"/>
    <w:rsid w:val="008B598F"/>
    <w:rsid w:val="008B5B97"/>
    <w:rsid w:val="008B5C19"/>
    <w:rsid w:val="008B5EA8"/>
    <w:rsid w:val="008B5F06"/>
    <w:rsid w:val="008B6130"/>
    <w:rsid w:val="008B621E"/>
    <w:rsid w:val="008B6536"/>
    <w:rsid w:val="008B6735"/>
    <w:rsid w:val="008B6977"/>
    <w:rsid w:val="008B6B7F"/>
    <w:rsid w:val="008B710F"/>
    <w:rsid w:val="008B7129"/>
    <w:rsid w:val="008B72F8"/>
    <w:rsid w:val="008B7486"/>
    <w:rsid w:val="008B7683"/>
    <w:rsid w:val="008B7BD4"/>
    <w:rsid w:val="008C0C29"/>
    <w:rsid w:val="008C0F4C"/>
    <w:rsid w:val="008C1160"/>
    <w:rsid w:val="008C1510"/>
    <w:rsid w:val="008C1AAE"/>
    <w:rsid w:val="008C1F79"/>
    <w:rsid w:val="008C26B2"/>
    <w:rsid w:val="008C29DD"/>
    <w:rsid w:val="008C322F"/>
    <w:rsid w:val="008C3287"/>
    <w:rsid w:val="008C34B6"/>
    <w:rsid w:val="008C3773"/>
    <w:rsid w:val="008C3806"/>
    <w:rsid w:val="008C3AE0"/>
    <w:rsid w:val="008C3C72"/>
    <w:rsid w:val="008C3DBA"/>
    <w:rsid w:val="008C3F0B"/>
    <w:rsid w:val="008C3F7C"/>
    <w:rsid w:val="008C4844"/>
    <w:rsid w:val="008C5B54"/>
    <w:rsid w:val="008C5C83"/>
    <w:rsid w:val="008C64AD"/>
    <w:rsid w:val="008C6762"/>
    <w:rsid w:val="008C7537"/>
    <w:rsid w:val="008C7892"/>
    <w:rsid w:val="008C79B0"/>
    <w:rsid w:val="008C7C99"/>
    <w:rsid w:val="008C7CBE"/>
    <w:rsid w:val="008D09E4"/>
    <w:rsid w:val="008D119F"/>
    <w:rsid w:val="008D126E"/>
    <w:rsid w:val="008D129B"/>
    <w:rsid w:val="008D195A"/>
    <w:rsid w:val="008D19FC"/>
    <w:rsid w:val="008D208A"/>
    <w:rsid w:val="008D258E"/>
    <w:rsid w:val="008D2725"/>
    <w:rsid w:val="008D2732"/>
    <w:rsid w:val="008D2767"/>
    <w:rsid w:val="008D2C43"/>
    <w:rsid w:val="008D3242"/>
    <w:rsid w:val="008D3C38"/>
    <w:rsid w:val="008D3F63"/>
    <w:rsid w:val="008D4597"/>
    <w:rsid w:val="008D4656"/>
    <w:rsid w:val="008D4AE9"/>
    <w:rsid w:val="008D4F97"/>
    <w:rsid w:val="008D50F9"/>
    <w:rsid w:val="008D514B"/>
    <w:rsid w:val="008D5DEB"/>
    <w:rsid w:val="008D6382"/>
    <w:rsid w:val="008D6553"/>
    <w:rsid w:val="008D663D"/>
    <w:rsid w:val="008D6B90"/>
    <w:rsid w:val="008D6B9B"/>
    <w:rsid w:val="008D75D3"/>
    <w:rsid w:val="008D77E3"/>
    <w:rsid w:val="008D7B53"/>
    <w:rsid w:val="008D7E24"/>
    <w:rsid w:val="008E018E"/>
    <w:rsid w:val="008E05DB"/>
    <w:rsid w:val="008E06E8"/>
    <w:rsid w:val="008E0789"/>
    <w:rsid w:val="008E0A8C"/>
    <w:rsid w:val="008E0B9E"/>
    <w:rsid w:val="008E1600"/>
    <w:rsid w:val="008E1C2A"/>
    <w:rsid w:val="008E1E30"/>
    <w:rsid w:val="008E2493"/>
    <w:rsid w:val="008E2576"/>
    <w:rsid w:val="008E30B6"/>
    <w:rsid w:val="008E3533"/>
    <w:rsid w:val="008E3594"/>
    <w:rsid w:val="008E3637"/>
    <w:rsid w:val="008E3968"/>
    <w:rsid w:val="008E3AF1"/>
    <w:rsid w:val="008E4091"/>
    <w:rsid w:val="008E43CA"/>
    <w:rsid w:val="008E44D2"/>
    <w:rsid w:val="008E4761"/>
    <w:rsid w:val="008E4A8A"/>
    <w:rsid w:val="008E4B64"/>
    <w:rsid w:val="008E4D07"/>
    <w:rsid w:val="008E58B9"/>
    <w:rsid w:val="008E5A5A"/>
    <w:rsid w:val="008E5B41"/>
    <w:rsid w:val="008E5F5E"/>
    <w:rsid w:val="008E6483"/>
    <w:rsid w:val="008E66C1"/>
    <w:rsid w:val="008E6FA3"/>
    <w:rsid w:val="008E732D"/>
    <w:rsid w:val="008E74EE"/>
    <w:rsid w:val="008E78F4"/>
    <w:rsid w:val="008E7ABD"/>
    <w:rsid w:val="008E7C30"/>
    <w:rsid w:val="008E7CDF"/>
    <w:rsid w:val="008E7D53"/>
    <w:rsid w:val="008F00CC"/>
    <w:rsid w:val="008F02A3"/>
    <w:rsid w:val="008F054E"/>
    <w:rsid w:val="008F0AA6"/>
    <w:rsid w:val="008F0C8B"/>
    <w:rsid w:val="008F0FAE"/>
    <w:rsid w:val="008F1006"/>
    <w:rsid w:val="008F1761"/>
    <w:rsid w:val="008F1887"/>
    <w:rsid w:val="008F26A5"/>
    <w:rsid w:val="008F27DA"/>
    <w:rsid w:val="008F28BB"/>
    <w:rsid w:val="008F2B79"/>
    <w:rsid w:val="008F2DA1"/>
    <w:rsid w:val="008F3B8B"/>
    <w:rsid w:val="008F3FAC"/>
    <w:rsid w:val="008F4B52"/>
    <w:rsid w:val="008F4E09"/>
    <w:rsid w:val="008F53BA"/>
    <w:rsid w:val="008F546B"/>
    <w:rsid w:val="008F55B0"/>
    <w:rsid w:val="008F5B5D"/>
    <w:rsid w:val="008F6729"/>
    <w:rsid w:val="008F67F4"/>
    <w:rsid w:val="008F686A"/>
    <w:rsid w:val="008F6DC3"/>
    <w:rsid w:val="008F7515"/>
    <w:rsid w:val="008F7547"/>
    <w:rsid w:val="0090088A"/>
    <w:rsid w:val="009008A3"/>
    <w:rsid w:val="009008E8"/>
    <w:rsid w:val="00900B9A"/>
    <w:rsid w:val="00900DA2"/>
    <w:rsid w:val="009011AE"/>
    <w:rsid w:val="009011B7"/>
    <w:rsid w:val="00901D44"/>
    <w:rsid w:val="009021D7"/>
    <w:rsid w:val="0090269C"/>
    <w:rsid w:val="0090278B"/>
    <w:rsid w:val="00902B00"/>
    <w:rsid w:val="00902BCF"/>
    <w:rsid w:val="00903D2A"/>
    <w:rsid w:val="00904B95"/>
    <w:rsid w:val="00905146"/>
    <w:rsid w:val="009051D6"/>
    <w:rsid w:val="0090527B"/>
    <w:rsid w:val="0090532F"/>
    <w:rsid w:val="00905A4C"/>
    <w:rsid w:val="00905D62"/>
    <w:rsid w:val="00906319"/>
    <w:rsid w:val="00906775"/>
    <w:rsid w:val="009069CF"/>
    <w:rsid w:val="00906B53"/>
    <w:rsid w:val="00907024"/>
    <w:rsid w:val="00907703"/>
    <w:rsid w:val="00907EEB"/>
    <w:rsid w:val="009103F1"/>
    <w:rsid w:val="00911195"/>
    <w:rsid w:val="00911340"/>
    <w:rsid w:val="009114DD"/>
    <w:rsid w:val="00911B7D"/>
    <w:rsid w:val="00911C72"/>
    <w:rsid w:val="009123D2"/>
    <w:rsid w:val="00912B40"/>
    <w:rsid w:val="00912D86"/>
    <w:rsid w:val="009131B7"/>
    <w:rsid w:val="009131C5"/>
    <w:rsid w:val="0091381D"/>
    <w:rsid w:val="009138BF"/>
    <w:rsid w:val="00913942"/>
    <w:rsid w:val="00913A49"/>
    <w:rsid w:val="00913F55"/>
    <w:rsid w:val="00914201"/>
    <w:rsid w:val="0091433A"/>
    <w:rsid w:val="00914494"/>
    <w:rsid w:val="00914649"/>
    <w:rsid w:val="009152EC"/>
    <w:rsid w:val="009157F2"/>
    <w:rsid w:val="00915AAF"/>
    <w:rsid w:val="00915EE7"/>
    <w:rsid w:val="009165C1"/>
    <w:rsid w:val="00916814"/>
    <w:rsid w:val="0091691D"/>
    <w:rsid w:val="00917388"/>
    <w:rsid w:val="00917925"/>
    <w:rsid w:val="00917961"/>
    <w:rsid w:val="00920A39"/>
    <w:rsid w:val="00920F25"/>
    <w:rsid w:val="00921252"/>
    <w:rsid w:val="00921528"/>
    <w:rsid w:val="00921872"/>
    <w:rsid w:val="00921EC9"/>
    <w:rsid w:val="00921FF2"/>
    <w:rsid w:val="0092246D"/>
    <w:rsid w:val="00922919"/>
    <w:rsid w:val="00922A7C"/>
    <w:rsid w:val="00922C4B"/>
    <w:rsid w:val="00922EE3"/>
    <w:rsid w:val="00923082"/>
    <w:rsid w:val="0092322D"/>
    <w:rsid w:val="0092380B"/>
    <w:rsid w:val="00923C96"/>
    <w:rsid w:val="00924157"/>
    <w:rsid w:val="0092437C"/>
    <w:rsid w:val="0092479E"/>
    <w:rsid w:val="00924B1A"/>
    <w:rsid w:val="00924B5F"/>
    <w:rsid w:val="00924CF3"/>
    <w:rsid w:val="00924DFB"/>
    <w:rsid w:val="00924E58"/>
    <w:rsid w:val="00925F10"/>
    <w:rsid w:val="0092621F"/>
    <w:rsid w:val="0092692E"/>
    <w:rsid w:val="0092703A"/>
    <w:rsid w:val="00927516"/>
    <w:rsid w:val="00927930"/>
    <w:rsid w:val="0092797D"/>
    <w:rsid w:val="00927A37"/>
    <w:rsid w:val="0093008A"/>
    <w:rsid w:val="009302D5"/>
    <w:rsid w:val="00930394"/>
    <w:rsid w:val="00930488"/>
    <w:rsid w:val="00930674"/>
    <w:rsid w:val="0093129E"/>
    <w:rsid w:val="00931519"/>
    <w:rsid w:val="00931889"/>
    <w:rsid w:val="009318E2"/>
    <w:rsid w:val="00931DB8"/>
    <w:rsid w:val="00931E9A"/>
    <w:rsid w:val="00931EF6"/>
    <w:rsid w:val="00931EF8"/>
    <w:rsid w:val="009320B7"/>
    <w:rsid w:val="00932375"/>
    <w:rsid w:val="009323BE"/>
    <w:rsid w:val="009323D9"/>
    <w:rsid w:val="00932BFE"/>
    <w:rsid w:val="00932C1A"/>
    <w:rsid w:val="00932CEB"/>
    <w:rsid w:val="009330DF"/>
    <w:rsid w:val="00933656"/>
    <w:rsid w:val="00933B80"/>
    <w:rsid w:val="00933CB6"/>
    <w:rsid w:val="0093415B"/>
    <w:rsid w:val="009341A0"/>
    <w:rsid w:val="009341D8"/>
    <w:rsid w:val="0093508E"/>
    <w:rsid w:val="0093520C"/>
    <w:rsid w:val="0093552B"/>
    <w:rsid w:val="009358A9"/>
    <w:rsid w:val="00936218"/>
    <w:rsid w:val="009378CD"/>
    <w:rsid w:val="00937975"/>
    <w:rsid w:val="00940654"/>
    <w:rsid w:val="0094067B"/>
    <w:rsid w:val="00940C04"/>
    <w:rsid w:val="0094106C"/>
    <w:rsid w:val="00941297"/>
    <w:rsid w:val="00941BA3"/>
    <w:rsid w:val="00942798"/>
    <w:rsid w:val="00942BC1"/>
    <w:rsid w:val="00942DB0"/>
    <w:rsid w:val="009430EC"/>
    <w:rsid w:val="009433FC"/>
    <w:rsid w:val="009435B5"/>
    <w:rsid w:val="009436EA"/>
    <w:rsid w:val="009438A4"/>
    <w:rsid w:val="009438E3"/>
    <w:rsid w:val="0094411A"/>
    <w:rsid w:val="009444C2"/>
    <w:rsid w:val="009445D8"/>
    <w:rsid w:val="00944AE7"/>
    <w:rsid w:val="00944B5A"/>
    <w:rsid w:val="00944B7A"/>
    <w:rsid w:val="0094565C"/>
    <w:rsid w:val="00945D9A"/>
    <w:rsid w:val="009462BB"/>
    <w:rsid w:val="00946360"/>
    <w:rsid w:val="0094665B"/>
    <w:rsid w:val="00946B20"/>
    <w:rsid w:val="009473DA"/>
    <w:rsid w:val="00947464"/>
    <w:rsid w:val="00950077"/>
    <w:rsid w:val="0095015A"/>
    <w:rsid w:val="00950547"/>
    <w:rsid w:val="0095066B"/>
    <w:rsid w:val="00950DC6"/>
    <w:rsid w:val="00950EA7"/>
    <w:rsid w:val="009518F2"/>
    <w:rsid w:val="00951A3C"/>
    <w:rsid w:val="00951B60"/>
    <w:rsid w:val="00951CC7"/>
    <w:rsid w:val="00951FB0"/>
    <w:rsid w:val="009528A1"/>
    <w:rsid w:val="009528C9"/>
    <w:rsid w:val="00952CC5"/>
    <w:rsid w:val="00952CCE"/>
    <w:rsid w:val="009531BD"/>
    <w:rsid w:val="009532B7"/>
    <w:rsid w:val="009536B6"/>
    <w:rsid w:val="009536E6"/>
    <w:rsid w:val="0095387A"/>
    <w:rsid w:val="00953886"/>
    <w:rsid w:val="00953B99"/>
    <w:rsid w:val="00953F9D"/>
    <w:rsid w:val="009544CB"/>
    <w:rsid w:val="00955113"/>
    <w:rsid w:val="009554C1"/>
    <w:rsid w:val="009559B4"/>
    <w:rsid w:val="00955A63"/>
    <w:rsid w:val="00955A6B"/>
    <w:rsid w:val="00955B9C"/>
    <w:rsid w:val="00955E00"/>
    <w:rsid w:val="00955E61"/>
    <w:rsid w:val="009560B3"/>
    <w:rsid w:val="00956235"/>
    <w:rsid w:val="00956969"/>
    <w:rsid w:val="00956C16"/>
    <w:rsid w:val="00956ED4"/>
    <w:rsid w:val="0095710B"/>
    <w:rsid w:val="009575C4"/>
    <w:rsid w:val="009578AA"/>
    <w:rsid w:val="00957B07"/>
    <w:rsid w:val="009608AD"/>
    <w:rsid w:val="00960A50"/>
    <w:rsid w:val="00960B83"/>
    <w:rsid w:val="00961291"/>
    <w:rsid w:val="0096133D"/>
    <w:rsid w:val="0096227F"/>
    <w:rsid w:val="009623C9"/>
    <w:rsid w:val="00962651"/>
    <w:rsid w:val="00962EE1"/>
    <w:rsid w:val="00963ABD"/>
    <w:rsid w:val="00963ACA"/>
    <w:rsid w:val="00963BFA"/>
    <w:rsid w:val="0096447C"/>
    <w:rsid w:val="00964499"/>
    <w:rsid w:val="009644BF"/>
    <w:rsid w:val="00964E2F"/>
    <w:rsid w:val="0096527C"/>
    <w:rsid w:val="009654AF"/>
    <w:rsid w:val="0096566F"/>
    <w:rsid w:val="009659B2"/>
    <w:rsid w:val="00965B6D"/>
    <w:rsid w:val="00965D4F"/>
    <w:rsid w:val="009661AB"/>
    <w:rsid w:val="00966511"/>
    <w:rsid w:val="009669B0"/>
    <w:rsid w:val="00966CFF"/>
    <w:rsid w:val="00967793"/>
    <w:rsid w:val="00967C5E"/>
    <w:rsid w:val="00967DFA"/>
    <w:rsid w:val="0097038D"/>
    <w:rsid w:val="0097047C"/>
    <w:rsid w:val="00970627"/>
    <w:rsid w:val="00970C56"/>
    <w:rsid w:val="00970D04"/>
    <w:rsid w:val="009713FE"/>
    <w:rsid w:val="00971566"/>
    <w:rsid w:val="009719C1"/>
    <w:rsid w:val="00971E19"/>
    <w:rsid w:val="00972166"/>
    <w:rsid w:val="00972484"/>
    <w:rsid w:val="009725CE"/>
    <w:rsid w:val="00972DAD"/>
    <w:rsid w:val="00973047"/>
    <w:rsid w:val="009734E7"/>
    <w:rsid w:val="00973873"/>
    <w:rsid w:val="00973D52"/>
    <w:rsid w:val="00973E9B"/>
    <w:rsid w:val="00974A0D"/>
    <w:rsid w:val="00975374"/>
    <w:rsid w:val="009756A8"/>
    <w:rsid w:val="009756DC"/>
    <w:rsid w:val="009758A9"/>
    <w:rsid w:val="00975A47"/>
    <w:rsid w:val="00975E26"/>
    <w:rsid w:val="00976109"/>
    <w:rsid w:val="0097630B"/>
    <w:rsid w:val="0097664B"/>
    <w:rsid w:val="00976695"/>
    <w:rsid w:val="00977BC7"/>
    <w:rsid w:val="00980088"/>
    <w:rsid w:val="009802BE"/>
    <w:rsid w:val="00980680"/>
    <w:rsid w:val="00980797"/>
    <w:rsid w:val="00980AE9"/>
    <w:rsid w:val="00981022"/>
    <w:rsid w:val="009811B6"/>
    <w:rsid w:val="009812A4"/>
    <w:rsid w:val="009815ED"/>
    <w:rsid w:val="00981EE5"/>
    <w:rsid w:val="00981EF8"/>
    <w:rsid w:val="0098227B"/>
    <w:rsid w:val="00982413"/>
    <w:rsid w:val="0098252D"/>
    <w:rsid w:val="009826E4"/>
    <w:rsid w:val="00982C74"/>
    <w:rsid w:val="00982FB8"/>
    <w:rsid w:val="009830B8"/>
    <w:rsid w:val="00983300"/>
    <w:rsid w:val="009834C6"/>
    <w:rsid w:val="00983722"/>
    <w:rsid w:val="009837CE"/>
    <w:rsid w:val="009838B0"/>
    <w:rsid w:val="00983986"/>
    <w:rsid w:val="00983BB5"/>
    <w:rsid w:val="00984D06"/>
    <w:rsid w:val="00984DAA"/>
    <w:rsid w:val="00985131"/>
    <w:rsid w:val="0098699F"/>
    <w:rsid w:val="009869B5"/>
    <w:rsid w:val="00986C76"/>
    <w:rsid w:val="0098791E"/>
    <w:rsid w:val="00987C10"/>
    <w:rsid w:val="009901E7"/>
    <w:rsid w:val="00990290"/>
    <w:rsid w:val="0099060C"/>
    <w:rsid w:val="0099071D"/>
    <w:rsid w:val="00991369"/>
    <w:rsid w:val="009919CD"/>
    <w:rsid w:val="00991CD6"/>
    <w:rsid w:val="0099210B"/>
    <w:rsid w:val="009937D3"/>
    <w:rsid w:val="009939A1"/>
    <w:rsid w:val="00994057"/>
    <w:rsid w:val="00994286"/>
    <w:rsid w:val="009945AF"/>
    <w:rsid w:val="0099470F"/>
    <w:rsid w:val="00994D65"/>
    <w:rsid w:val="0099537E"/>
    <w:rsid w:val="00995A8A"/>
    <w:rsid w:val="009964EA"/>
    <w:rsid w:val="00996716"/>
    <w:rsid w:val="009967D6"/>
    <w:rsid w:val="00996B27"/>
    <w:rsid w:val="00996D56"/>
    <w:rsid w:val="00996DBB"/>
    <w:rsid w:val="0099766E"/>
    <w:rsid w:val="00997CBE"/>
    <w:rsid w:val="009A0794"/>
    <w:rsid w:val="009A07E9"/>
    <w:rsid w:val="009A0CB4"/>
    <w:rsid w:val="009A17FB"/>
    <w:rsid w:val="009A18C3"/>
    <w:rsid w:val="009A191D"/>
    <w:rsid w:val="009A1E12"/>
    <w:rsid w:val="009A39E8"/>
    <w:rsid w:val="009A3C7B"/>
    <w:rsid w:val="009A405A"/>
    <w:rsid w:val="009A4150"/>
    <w:rsid w:val="009A43FD"/>
    <w:rsid w:val="009A4A1D"/>
    <w:rsid w:val="009A4E04"/>
    <w:rsid w:val="009A5678"/>
    <w:rsid w:val="009A5751"/>
    <w:rsid w:val="009A583C"/>
    <w:rsid w:val="009A58B2"/>
    <w:rsid w:val="009A5D84"/>
    <w:rsid w:val="009A60D0"/>
    <w:rsid w:val="009A60D8"/>
    <w:rsid w:val="009A65CC"/>
    <w:rsid w:val="009A65D1"/>
    <w:rsid w:val="009A6671"/>
    <w:rsid w:val="009A6783"/>
    <w:rsid w:val="009A6CE5"/>
    <w:rsid w:val="009A6E7C"/>
    <w:rsid w:val="009A7810"/>
    <w:rsid w:val="009B0249"/>
    <w:rsid w:val="009B03E6"/>
    <w:rsid w:val="009B08A9"/>
    <w:rsid w:val="009B1151"/>
    <w:rsid w:val="009B18A7"/>
    <w:rsid w:val="009B1996"/>
    <w:rsid w:val="009B2949"/>
    <w:rsid w:val="009B2AF4"/>
    <w:rsid w:val="009B34C7"/>
    <w:rsid w:val="009B3592"/>
    <w:rsid w:val="009B3FD0"/>
    <w:rsid w:val="009B438C"/>
    <w:rsid w:val="009B43CA"/>
    <w:rsid w:val="009B4AAC"/>
    <w:rsid w:val="009B4B40"/>
    <w:rsid w:val="009B4BB8"/>
    <w:rsid w:val="009B4C32"/>
    <w:rsid w:val="009B4CF4"/>
    <w:rsid w:val="009B4F00"/>
    <w:rsid w:val="009B5263"/>
    <w:rsid w:val="009B6FF9"/>
    <w:rsid w:val="009B70CF"/>
    <w:rsid w:val="009B72CE"/>
    <w:rsid w:val="009C0245"/>
    <w:rsid w:val="009C0AC2"/>
    <w:rsid w:val="009C0D72"/>
    <w:rsid w:val="009C0E26"/>
    <w:rsid w:val="009C0E59"/>
    <w:rsid w:val="009C1AD3"/>
    <w:rsid w:val="009C1BA7"/>
    <w:rsid w:val="009C21F4"/>
    <w:rsid w:val="009C278B"/>
    <w:rsid w:val="009C2A92"/>
    <w:rsid w:val="009C2B18"/>
    <w:rsid w:val="009C332F"/>
    <w:rsid w:val="009C3688"/>
    <w:rsid w:val="009C3AD8"/>
    <w:rsid w:val="009C3DD3"/>
    <w:rsid w:val="009C4106"/>
    <w:rsid w:val="009C41CC"/>
    <w:rsid w:val="009C4268"/>
    <w:rsid w:val="009C4631"/>
    <w:rsid w:val="009C4C72"/>
    <w:rsid w:val="009C4C78"/>
    <w:rsid w:val="009C4FC1"/>
    <w:rsid w:val="009C55B3"/>
    <w:rsid w:val="009C574A"/>
    <w:rsid w:val="009C6966"/>
    <w:rsid w:val="009C6A0E"/>
    <w:rsid w:val="009C6A2C"/>
    <w:rsid w:val="009C6C76"/>
    <w:rsid w:val="009C6D2D"/>
    <w:rsid w:val="009C6FF8"/>
    <w:rsid w:val="009C7161"/>
    <w:rsid w:val="009C7A5C"/>
    <w:rsid w:val="009C7A61"/>
    <w:rsid w:val="009C7ED1"/>
    <w:rsid w:val="009C7EF3"/>
    <w:rsid w:val="009D035E"/>
    <w:rsid w:val="009D0A5C"/>
    <w:rsid w:val="009D0A99"/>
    <w:rsid w:val="009D0E73"/>
    <w:rsid w:val="009D17F5"/>
    <w:rsid w:val="009D19F9"/>
    <w:rsid w:val="009D2282"/>
    <w:rsid w:val="009D2551"/>
    <w:rsid w:val="009D34DF"/>
    <w:rsid w:val="009D34E7"/>
    <w:rsid w:val="009D355E"/>
    <w:rsid w:val="009D3B21"/>
    <w:rsid w:val="009D3BDB"/>
    <w:rsid w:val="009D3FC3"/>
    <w:rsid w:val="009D457B"/>
    <w:rsid w:val="009D483E"/>
    <w:rsid w:val="009D4BF2"/>
    <w:rsid w:val="009D4CFD"/>
    <w:rsid w:val="009D5985"/>
    <w:rsid w:val="009D5BA1"/>
    <w:rsid w:val="009D5E33"/>
    <w:rsid w:val="009D601F"/>
    <w:rsid w:val="009D632B"/>
    <w:rsid w:val="009D6648"/>
    <w:rsid w:val="009D6EEA"/>
    <w:rsid w:val="009D6FAD"/>
    <w:rsid w:val="009D749D"/>
    <w:rsid w:val="009D7A63"/>
    <w:rsid w:val="009D7DE9"/>
    <w:rsid w:val="009D7FD6"/>
    <w:rsid w:val="009E0411"/>
    <w:rsid w:val="009E077F"/>
    <w:rsid w:val="009E0BDC"/>
    <w:rsid w:val="009E0D93"/>
    <w:rsid w:val="009E134F"/>
    <w:rsid w:val="009E16A1"/>
    <w:rsid w:val="009E1B14"/>
    <w:rsid w:val="009E1DC4"/>
    <w:rsid w:val="009E203F"/>
    <w:rsid w:val="009E2064"/>
    <w:rsid w:val="009E2088"/>
    <w:rsid w:val="009E2401"/>
    <w:rsid w:val="009E3373"/>
    <w:rsid w:val="009E3506"/>
    <w:rsid w:val="009E3570"/>
    <w:rsid w:val="009E36A0"/>
    <w:rsid w:val="009E3CB6"/>
    <w:rsid w:val="009E48EB"/>
    <w:rsid w:val="009E4AA8"/>
    <w:rsid w:val="009E4D0E"/>
    <w:rsid w:val="009E5180"/>
    <w:rsid w:val="009E5380"/>
    <w:rsid w:val="009E5490"/>
    <w:rsid w:val="009E568A"/>
    <w:rsid w:val="009E58BD"/>
    <w:rsid w:val="009E5C2A"/>
    <w:rsid w:val="009E65B9"/>
    <w:rsid w:val="009E69AB"/>
    <w:rsid w:val="009E6ABC"/>
    <w:rsid w:val="009E7191"/>
    <w:rsid w:val="009E7AF4"/>
    <w:rsid w:val="009E7CEE"/>
    <w:rsid w:val="009E7CFF"/>
    <w:rsid w:val="009E7EC6"/>
    <w:rsid w:val="009E7F33"/>
    <w:rsid w:val="009F081B"/>
    <w:rsid w:val="009F0D0E"/>
    <w:rsid w:val="009F1267"/>
    <w:rsid w:val="009F1418"/>
    <w:rsid w:val="009F1A40"/>
    <w:rsid w:val="009F1EAA"/>
    <w:rsid w:val="009F20A2"/>
    <w:rsid w:val="009F243B"/>
    <w:rsid w:val="009F2A71"/>
    <w:rsid w:val="009F2CEC"/>
    <w:rsid w:val="009F2FC4"/>
    <w:rsid w:val="009F31C2"/>
    <w:rsid w:val="009F3292"/>
    <w:rsid w:val="009F37B5"/>
    <w:rsid w:val="009F3F39"/>
    <w:rsid w:val="009F418F"/>
    <w:rsid w:val="009F4407"/>
    <w:rsid w:val="009F4A6E"/>
    <w:rsid w:val="009F4DC0"/>
    <w:rsid w:val="009F4EFD"/>
    <w:rsid w:val="009F502C"/>
    <w:rsid w:val="009F50A5"/>
    <w:rsid w:val="009F5151"/>
    <w:rsid w:val="009F5AC0"/>
    <w:rsid w:val="009F634F"/>
    <w:rsid w:val="009F65B7"/>
    <w:rsid w:val="009F69B9"/>
    <w:rsid w:val="009F6C0F"/>
    <w:rsid w:val="009F7915"/>
    <w:rsid w:val="009F7F65"/>
    <w:rsid w:val="00A00D88"/>
    <w:rsid w:val="00A01108"/>
    <w:rsid w:val="00A01304"/>
    <w:rsid w:val="00A0164F"/>
    <w:rsid w:val="00A018AB"/>
    <w:rsid w:val="00A01CAF"/>
    <w:rsid w:val="00A01CF8"/>
    <w:rsid w:val="00A01F9F"/>
    <w:rsid w:val="00A02115"/>
    <w:rsid w:val="00A022FA"/>
    <w:rsid w:val="00A02667"/>
    <w:rsid w:val="00A02CAF"/>
    <w:rsid w:val="00A03205"/>
    <w:rsid w:val="00A034B4"/>
    <w:rsid w:val="00A036F4"/>
    <w:rsid w:val="00A037CA"/>
    <w:rsid w:val="00A037EC"/>
    <w:rsid w:val="00A0398B"/>
    <w:rsid w:val="00A03BCA"/>
    <w:rsid w:val="00A03E8F"/>
    <w:rsid w:val="00A0429A"/>
    <w:rsid w:val="00A046A3"/>
    <w:rsid w:val="00A04D4D"/>
    <w:rsid w:val="00A051A6"/>
    <w:rsid w:val="00A0544B"/>
    <w:rsid w:val="00A05CC0"/>
    <w:rsid w:val="00A05FB8"/>
    <w:rsid w:val="00A066C9"/>
    <w:rsid w:val="00A06775"/>
    <w:rsid w:val="00A06BED"/>
    <w:rsid w:val="00A07B83"/>
    <w:rsid w:val="00A10779"/>
    <w:rsid w:val="00A110AF"/>
    <w:rsid w:val="00A110CB"/>
    <w:rsid w:val="00A11A80"/>
    <w:rsid w:val="00A11AC5"/>
    <w:rsid w:val="00A11BC6"/>
    <w:rsid w:val="00A11D5F"/>
    <w:rsid w:val="00A11E9A"/>
    <w:rsid w:val="00A121B0"/>
    <w:rsid w:val="00A12367"/>
    <w:rsid w:val="00A124EF"/>
    <w:rsid w:val="00A12BF2"/>
    <w:rsid w:val="00A12C60"/>
    <w:rsid w:val="00A13154"/>
    <w:rsid w:val="00A13448"/>
    <w:rsid w:val="00A146EA"/>
    <w:rsid w:val="00A1478E"/>
    <w:rsid w:val="00A1495C"/>
    <w:rsid w:val="00A149E6"/>
    <w:rsid w:val="00A14C95"/>
    <w:rsid w:val="00A14EE6"/>
    <w:rsid w:val="00A14F77"/>
    <w:rsid w:val="00A14F88"/>
    <w:rsid w:val="00A14F8D"/>
    <w:rsid w:val="00A15090"/>
    <w:rsid w:val="00A1513E"/>
    <w:rsid w:val="00A155BB"/>
    <w:rsid w:val="00A15F91"/>
    <w:rsid w:val="00A15FD9"/>
    <w:rsid w:val="00A16145"/>
    <w:rsid w:val="00A1642B"/>
    <w:rsid w:val="00A1667B"/>
    <w:rsid w:val="00A167F5"/>
    <w:rsid w:val="00A1743B"/>
    <w:rsid w:val="00A17500"/>
    <w:rsid w:val="00A175FA"/>
    <w:rsid w:val="00A2007C"/>
    <w:rsid w:val="00A202ED"/>
    <w:rsid w:val="00A209FA"/>
    <w:rsid w:val="00A20AEA"/>
    <w:rsid w:val="00A20B3E"/>
    <w:rsid w:val="00A20B90"/>
    <w:rsid w:val="00A20BB9"/>
    <w:rsid w:val="00A210D8"/>
    <w:rsid w:val="00A21BA3"/>
    <w:rsid w:val="00A21DEA"/>
    <w:rsid w:val="00A21EC1"/>
    <w:rsid w:val="00A22495"/>
    <w:rsid w:val="00A224AE"/>
    <w:rsid w:val="00A224D9"/>
    <w:rsid w:val="00A22501"/>
    <w:rsid w:val="00A2255C"/>
    <w:rsid w:val="00A2257B"/>
    <w:rsid w:val="00A228DC"/>
    <w:rsid w:val="00A22B95"/>
    <w:rsid w:val="00A22C40"/>
    <w:rsid w:val="00A231C3"/>
    <w:rsid w:val="00A23A2A"/>
    <w:rsid w:val="00A23DDA"/>
    <w:rsid w:val="00A24828"/>
    <w:rsid w:val="00A24D10"/>
    <w:rsid w:val="00A24E85"/>
    <w:rsid w:val="00A250A2"/>
    <w:rsid w:val="00A25793"/>
    <w:rsid w:val="00A2583C"/>
    <w:rsid w:val="00A258BA"/>
    <w:rsid w:val="00A25D37"/>
    <w:rsid w:val="00A25E0F"/>
    <w:rsid w:val="00A25FA6"/>
    <w:rsid w:val="00A2609C"/>
    <w:rsid w:val="00A2630F"/>
    <w:rsid w:val="00A265DF"/>
    <w:rsid w:val="00A26770"/>
    <w:rsid w:val="00A268B0"/>
    <w:rsid w:val="00A26D6D"/>
    <w:rsid w:val="00A2742C"/>
    <w:rsid w:val="00A27501"/>
    <w:rsid w:val="00A30449"/>
    <w:rsid w:val="00A305C7"/>
    <w:rsid w:val="00A309C0"/>
    <w:rsid w:val="00A30CE6"/>
    <w:rsid w:val="00A30F5E"/>
    <w:rsid w:val="00A31196"/>
    <w:rsid w:val="00A317E2"/>
    <w:rsid w:val="00A319BC"/>
    <w:rsid w:val="00A31A4A"/>
    <w:rsid w:val="00A31C4C"/>
    <w:rsid w:val="00A31F25"/>
    <w:rsid w:val="00A32332"/>
    <w:rsid w:val="00A32C2C"/>
    <w:rsid w:val="00A32D11"/>
    <w:rsid w:val="00A32EF3"/>
    <w:rsid w:val="00A338DA"/>
    <w:rsid w:val="00A33D39"/>
    <w:rsid w:val="00A33E06"/>
    <w:rsid w:val="00A3404D"/>
    <w:rsid w:val="00A343BC"/>
    <w:rsid w:val="00A348CD"/>
    <w:rsid w:val="00A34BF7"/>
    <w:rsid w:val="00A34DE4"/>
    <w:rsid w:val="00A3507F"/>
    <w:rsid w:val="00A354C9"/>
    <w:rsid w:val="00A356FA"/>
    <w:rsid w:val="00A357E2"/>
    <w:rsid w:val="00A35807"/>
    <w:rsid w:val="00A35CE4"/>
    <w:rsid w:val="00A35EE4"/>
    <w:rsid w:val="00A3678C"/>
    <w:rsid w:val="00A374E1"/>
    <w:rsid w:val="00A376E6"/>
    <w:rsid w:val="00A3791D"/>
    <w:rsid w:val="00A37984"/>
    <w:rsid w:val="00A37AC9"/>
    <w:rsid w:val="00A37D52"/>
    <w:rsid w:val="00A4022B"/>
    <w:rsid w:val="00A405BA"/>
    <w:rsid w:val="00A4067F"/>
    <w:rsid w:val="00A40A25"/>
    <w:rsid w:val="00A40D2A"/>
    <w:rsid w:val="00A40F0D"/>
    <w:rsid w:val="00A41056"/>
    <w:rsid w:val="00A4149C"/>
    <w:rsid w:val="00A41857"/>
    <w:rsid w:val="00A41D88"/>
    <w:rsid w:val="00A41F8C"/>
    <w:rsid w:val="00A42132"/>
    <w:rsid w:val="00A42691"/>
    <w:rsid w:val="00A42CD1"/>
    <w:rsid w:val="00A43091"/>
    <w:rsid w:val="00A4347A"/>
    <w:rsid w:val="00A43945"/>
    <w:rsid w:val="00A439D0"/>
    <w:rsid w:val="00A43CE7"/>
    <w:rsid w:val="00A441EA"/>
    <w:rsid w:val="00A4466A"/>
    <w:rsid w:val="00A44ACC"/>
    <w:rsid w:val="00A44B23"/>
    <w:rsid w:val="00A453F3"/>
    <w:rsid w:val="00A45BDD"/>
    <w:rsid w:val="00A45CE8"/>
    <w:rsid w:val="00A46091"/>
    <w:rsid w:val="00A46391"/>
    <w:rsid w:val="00A470D1"/>
    <w:rsid w:val="00A470FB"/>
    <w:rsid w:val="00A4768D"/>
    <w:rsid w:val="00A4781D"/>
    <w:rsid w:val="00A47A32"/>
    <w:rsid w:val="00A50494"/>
    <w:rsid w:val="00A50B2E"/>
    <w:rsid w:val="00A50DA3"/>
    <w:rsid w:val="00A512D8"/>
    <w:rsid w:val="00A51441"/>
    <w:rsid w:val="00A51CB7"/>
    <w:rsid w:val="00A52B88"/>
    <w:rsid w:val="00A52DCC"/>
    <w:rsid w:val="00A52EC8"/>
    <w:rsid w:val="00A53039"/>
    <w:rsid w:val="00A530CB"/>
    <w:rsid w:val="00A53144"/>
    <w:rsid w:val="00A532E7"/>
    <w:rsid w:val="00A53819"/>
    <w:rsid w:val="00A53E58"/>
    <w:rsid w:val="00A544FE"/>
    <w:rsid w:val="00A545A7"/>
    <w:rsid w:val="00A545C1"/>
    <w:rsid w:val="00A54B42"/>
    <w:rsid w:val="00A54BB0"/>
    <w:rsid w:val="00A55981"/>
    <w:rsid w:val="00A55D6D"/>
    <w:rsid w:val="00A55FD3"/>
    <w:rsid w:val="00A56266"/>
    <w:rsid w:val="00A564E8"/>
    <w:rsid w:val="00A56EBD"/>
    <w:rsid w:val="00A5756B"/>
    <w:rsid w:val="00A5765C"/>
    <w:rsid w:val="00A57A37"/>
    <w:rsid w:val="00A57D38"/>
    <w:rsid w:val="00A60A1E"/>
    <w:rsid w:val="00A60C96"/>
    <w:rsid w:val="00A60D11"/>
    <w:rsid w:val="00A60E8E"/>
    <w:rsid w:val="00A60F2C"/>
    <w:rsid w:val="00A613B1"/>
    <w:rsid w:val="00A61773"/>
    <w:rsid w:val="00A62188"/>
    <w:rsid w:val="00A62699"/>
    <w:rsid w:val="00A62731"/>
    <w:rsid w:val="00A62C5D"/>
    <w:rsid w:val="00A636FC"/>
    <w:rsid w:val="00A6386C"/>
    <w:rsid w:val="00A638B5"/>
    <w:rsid w:val="00A63DF9"/>
    <w:rsid w:val="00A6486F"/>
    <w:rsid w:val="00A64FFD"/>
    <w:rsid w:val="00A6520F"/>
    <w:rsid w:val="00A652B3"/>
    <w:rsid w:val="00A6545D"/>
    <w:rsid w:val="00A65566"/>
    <w:rsid w:val="00A65A8E"/>
    <w:rsid w:val="00A6617D"/>
    <w:rsid w:val="00A66663"/>
    <w:rsid w:val="00A6706E"/>
    <w:rsid w:val="00A671B2"/>
    <w:rsid w:val="00A671F3"/>
    <w:rsid w:val="00A6733E"/>
    <w:rsid w:val="00A679D7"/>
    <w:rsid w:val="00A67D09"/>
    <w:rsid w:val="00A70077"/>
    <w:rsid w:val="00A70B34"/>
    <w:rsid w:val="00A70BF9"/>
    <w:rsid w:val="00A71583"/>
    <w:rsid w:val="00A71D4E"/>
    <w:rsid w:val="00A71E6A"/>
    <w:rsid w:val="00A71ED3"/>
    <w:rsid w:val="00A71FEF"/>
    <w:rsid w:val="00A724D9"/>
    <w:rsid w:val="00A733D7"/>
    <w:rsid w:val="00A73689"/>
    <w:rsid w:val="00A73B3F"/>
    <w:rsid w:val="00A73ECE"/>
    <w:rsid w:val="00A740B0"/>
    <w:rsid w:val="00A74B08"/>
    <w:rsid w:val="00A74C31"/>
    <w:rsid w:val="00A74F2B"/>
    <w:rsid w:val="00A7544B"/>
    <w:rsid w:val="00A764FD"/>
    <w:rsid w:val="00A76542"/>
    <w:rsid w:val="00A76A57"/>
    <w:rsid w:val="00A76AF3"/>
    <w:rsid w:val="00A76CA6"/>
    <w:rsid w:val="00A76D6A"/>
    <w:rsid w:val="00A771E7"/>
    <w:rsid w:val="00A77391"/>
    <w:rsid w:val="00A77435"/>
    <w:rsid w:val="00A7744B"/>
    <w:rsid w:val="00A77522"/>
    <w:rsid w:val="00A775DE"/>
    <w:rsid w:val="00A77B76"/>
    <w:rsid w:val="00A77D13"/>
    <w:rsid w:val="00A77F41"/>
    <w:rsid w:val="00A8030D"/>
    <w:rsid w:val="00A80650"/>
    <w:rsid w:val="00A80679"/>
    <w:rsid w:val="00A80739"/>
    <w:rsid w:val="00A80819"/>
    <w:rsid w:val="00A80B2F"/>
    <w:rsid w:val="00A80D05"/>
    <w:rsid w:val="00A810B2"/>
    <w:rsid w:val="00A8136E"/>
    <w:rsid w:val="00A815A3"/>
    <w:rsid w:val="00A81848"/>
    <w:rsid w:val="00A8204E"/>
    <w:rsid w:val="00A823C1"/>
    <w:rsid w:val="00A8247C"/>
    <w:rsid w:val="00A8254C"/>
    <w:rsid w:val="00A827C4"/>
    <w:rsid w:val="00A829FA"/>
    <w:rsid w:val="00A82FF1"/>
    <w:rsid w:val="00A831AB"/>
    <w:rsid w:val="00A846F4"/>
    <w:rsid w:val="00A84D67"/>
    <w:rsid w:val="00A84DFE"/>
    <w:rsid w:val="00A85036"/>
    <w:rsid w:val="00A85343"/>
    <w:rsid w:val="00A853A3"/>
    <w:rsid w:val="00A85766"/>
    <w:rsid w:val="00A85817"/>
    <w:rsid w:val="00A862BF"/>
    <w:rsid w:val="00A862F6"/>
    <w:rsid w:val="00A863B6"/>
    <w:rsid w:val="00A863E0"/>
    <w:rsid w:val="00A86682"/>
    <w:rsid w:val="00A869ED"/>
    <w:rsid w:val="00A86D8F"/>
    <w:rsid w:val="00A86FBA"/>
    <w:rsid w:val="00A87910"/>
    <w:rsid w:val="00A87B77"/>
    <w:rsid w:val="00A90783"/>
    <w:rsid w:val="00A90A42"/>
    <w:rsid w:val="00A90C4A"/>
    <w:rsid w:val="00A90D80"/>
    <w:rsid w:val="00A912F1"/>
    <w:rsid w:val="00A9146B"/>
    <w:rsid w:val="00A9196A"/>
    <w:rsid w:val="00A91CDF"/>
    <w:rsid w:val="00A9316B"/>
    <w:rsid w:val="00A93C7D"/>
    <w:rsid w:val="00A93ED0"/>
    <w:rsid w:val="00A943ED"/>
    <w:rsid w:val="00A9478B"/>
    <w:rsid w:val="00A949DB"/>
    <w:rsid w:val="00A94B3F"/>
    <w:rsid w:val="00A95004"/>
    <w:rsid w:val="00A950F2"/>
    <w:rsid w:val="00A953A4"/>
    <w:rsid w:val="00A958D5"/>
    <w:rsid w:val="00A95B32"/>
    <w:rsid w:val="00A95BC5"/>
    <w:rsid w:val="00A962A4"/>
    <w:rsid w:val="00A962E6"/>
    <w:rsid w:val="00A969BF"/>
    <w:rsid w:val="00A96C8A"/>
    <w:rsid w:val="00A974BB"/>
    <w:rsid w:val="00AA0121"/>
    <w:rsid w:val="00AA0268"/>
    <w:rsid w:val="00AA0DE7"/>
    <w:rsid w:val="00AA0EB9"/>
    <w:rsid w:val="00AA1075"/>
    <w:rsid w:val="00AA1809"/>
    <w:rsid w:val="00AA194B"/>
    <w:rsid w:val="00AA225E"/>
    <w:rsid w:val="00AA2272"/>
    <w:rsid w:val="00AA2382"/>
    <w:rsid w:val="00AA26AE"/>
    <w:rsid w:val="00AA390E"/>
    <w:rsid w:val="00AA3AE0"/>
    <w:rsid w:val="00AA3BF4"/>
    <w:rsid w:val="00AA413A"/>
    <w:rsid w:val="00AA4242"/>
    <w:rsid w:val="00AA42A2"/>
    <w:rsid w:val="00AA4344"/>
    <w:rsid w:val="00AA4702"/>
    <w:rsid w:val="00AA4887"/>
    <w:rsid w:val="00AA4899"/>
    <w:rsid w:val="00AA4D13"/>
    <w:rsid w:val="00AA4F2E"/>
    <w:rsid w:val="00AA4FC6"/>
    <w:rsid w:val="00AA5911"/>
    <w:rsid w:val="00AA59BF"/>
    <w:rsid w:val="00AA5C21"/>
    <w:rsid w:val="00AA5C4A"/>
    <w:rsid w:val="00AA5F38"/>
    <w:rsid w:val="00AA60C2"/>
    <w:rsid w:val="00AA6367"/>
    <w:rsid w:val="00AA63D2"/>
    <w:rsid w:val="00AA6893"/>
    <w:rsid w:val="00AA6C18"/>
    <w:rsid w:val="00AA72CF"/>
    <w:rsid w:val="00AA7A05"/>
    <w:rsid w:val="00AA7D67"/>
    <w:rsid w:val="00AB015C"/>
    <w:rsid w:val="00AB0569"/>
    <w:rsid w:val="00AB0D93"/>
    <w:rsid w:val="00AB0FF4"/>
    <w:rsid w:val="00AB103B"/>
    <w:rsid w:val="00AB132C"/>
    <w:rsid w:val="00AB152A"/>
    <w:rsid w:val="00AB18C2"/>
    <w:rsid w:val="00AB1FFB"/>
    <w:rsid w:val="00AB2716"/>
    <w:rsid w:val="00AB2A29"/>
    <w:rsid w:val="00AB33B6"/>
    <w:rsid w:val="00AB37BB"/>
    <w:rsid w:val="00AB395A"/>
    <w:rsid w:val="00AB3E57"/>
    <w:rsid w:val="00AB403C"/>
    <w:rsid w:val="00AB40DD"/>
    <w:rsid w:val="00AB4533"/>
    <w:rsid w:val="00AB4B3A"/>
    <w:rsid w:val="00AB4BE9"/>
    <w:rsid w:val="00AB4DB4"/>
    <w:rsid w:val="00AB4DF7"/>
    <w:rsid w:val="00AB4F84"/>
    <w:rsid w:val="00AB4FD6"/>
    <w:rsid w:val="00AB5357"/>
    <w:rsid w:val="00AB5FC2"/>
    <w:rsid w:val="00AB63A9"/>
    <w:rsid w:val="00AB641A"/>
    <w:rsid w:val="00AB68C4"/>
    <w:rsid w:val="00AB703B"/>
    <w:rsid w:val="00AB7378"/>
    <w:rsid w:val="00AB743B"/>
    <w:rsid w:val="00AB78CD"/>
    <w:rsid w:val="00AB792A"/>
    <w:rsid w:val="00AC0202"/>
    <w:rsid w:val="00AC0218"/>
    <w:rsid w:val="00AC041F"/>
    <w:rsid w:val="00AC064B"/>
    <w:rsid w:val="00AC0DF3"/>
    <w:rsid w:val="00AC1105"/>
    <w:rsid w:val="00AC1AF7"/>
    <w:rsid w:val="00AC1F50"/>
    <w:rsid w:val="00AC2226"/>
    <w:rsid w:val="00AC29F8"/>
    <w:rsid w:val="00AC2F8D"/>
    <w:rsid w:val="00AC34BD"/>
    <w:rsid w:val="00AC3976"/>
    <w:rsid w:val="00AC3E8A"/>
    <w:rsid w:val="00AC460D"/>
    <w:rsid w:val="00AC469E"/>
    <w:rsid w:val="00AC4921"/>
    <w:rsid w:val="00AC4E36"/>
    <w:rsid w:val="00AC50BE"/>
    <w:rsid w:val="00AC5299"/>
    <w:rsid w:val="00AC59C2"/>
    <w:rsid w:val="00AC5F49"/>
    <w:rsid w:val="00AC5FF4"/>
    <w:rsid w:val="00AC60E9"/>
    <w:rsid w:val="00AC698A"/>
    <w:rsid w:val="00AC75A7"/>
    <w:rsid w:val="00AC7FB9"/>
    <w:rsid w:val="00AD00E6"/>
    <w:rsid w:val="00AD02AF"/>
    <w:rsid w:val="00AD02D3"/>
    <w:rsid w:val="00AD03CF"/>
    <w:rsid w:val="00AD0470"/>
    <w:rsid w:val="00AD0493"/>
    <w:rsid w:val="00AD0530"/>
    <w:rsid w:val="00AD055C"/>
    <w:rsid w:val="00AD05DE"/>
    <w:rsid w:val="00AD06C3"/>
    <w:rsid w:val="00AD08DD"/>
    <w:rsid w:val="00AD0911"/>
    <w:rsid w:val="00AD0B88"/>
    <w:rsid w:val="00AD0E01"/>
    <w:rsid w:val="00AD11D4"/>
    <w:rsid w:val="00AD11FA"/>
    <w:rsid w:val="00AD1204"/>
    <w:rsid w:val="00AD139A"/>
    <w:rsid w:val="00AD15EE"/>
    <w:rsid w:val="00AD173A"/>
    <w:rsid w:val="00AD1E90"/>
    <w:rsid w:val="00AD1F8F"/>
    <w:rsid w:val="00AD2AFB"/>
    <w:rsid w:val="00AD2C41"/>
    <w:rsid w:val="00AD2FF3"/>
    <w:rsid w:val="00AD3371"/>
    <w:rsid w:val="00AD3A33"/>
    <w:rsid w:val="00AD44BD"/>
    <w:rsid w:val="00AD44EE"/>
    <w:rsid w:val="00AD4655"/>
    <w:rsid w:val="00AD4FFB"/>
    <w:rsid w:val="00AD550E"/>
    <w:rsid w:val="00AD5630"/>
    <w:rsid w:val="00AD5714"/>
    <w:rsid w:val="00AD59B0"/>
    <w:rsid w:val="00AD5B3C"/>
    <w:rsid w:val="00AD5BE7"/>
    <w:rsid w:val="00AD5F2F"/>
    <w:rsid w:val="00AD658E"/>
    <w:rsid w:val="00AD6E7C"/>
    <w:rsid w:val="00AD752B"/>
    <w:rsid w:val="00AD7A3A"/>
    <w:rsid w:val="00AD7D86"/>
    <w:rsid w:val="00AD7DC2"/>
    <w:rsid w:val="00AE05EF"/>
    <w:rsid w:val="00AE0798"/>
    <w:rsid w:val="00AE0A60"/>
    <w:rsid w:val="00AE0CB0"/>
    <w:rsid w:val="00AE0FC2"/>
    <w:rsid w:val="00AE1710"/>
    <w:rsid w:val="00AE1A9F"/>
    <w:rsid w:val="00AE1B44"/>
    <w:rsid w:val="00AE1D35"/>
    <w:rsid w:val="00AE1FB1"/>
    <w:rsid w:val="00AE20D0"/>
    <w:rsid w:val="00AE2386"/>
    <w:rsid w:val="00AE27DE"/>
    <w:rsid w:val="00AE2AEE"/>
    <w:rsid w:val="00AE30C8"/>
    <w:rsid w:val="00AE3A95"/>
    <w:rsid w:val="00AE3D09"/>
    <w:rsid w:val="00AE4F58"/>
    <w:rsid w:val="00AE596B"/>
    <w:rsid w:val="00AE5C10"/>
    <w:rsid w:val="00AE5D9C"/>
    <w:rsid w:val="00AE5EBB"/>
    <w:rsid w:val="00AE6012"/>
    <w:rsid w:val="00AE68E2"/>
    <w:rsid w:val="00AE6ADF"/>
    <w:rsid w:val="00AE703D"/>
    <w:rsid w:val="00AE7480"/>
    <w:rsid w:val="00AF005D"/>
    <w:rsid w:val="00AF041E"/>
    <w:rsid w:val="00AF04ED"/>
    <w:rsid w:val="00AF0690"/>
    <w:rsid w:val="00AF0A1D"/>
    <w:rsid w:val="00AF0CC6"/>
    <w:rsid w:val="00AF1BC5"/>
    <w:rsid w:val="00AF1C33"/>
    <w:rsid w:val="00AF1F2C"/>
    <w:rsid w:val="00AF2397"/>
    <w:rsid w:val="00AF2D3C"/>
    <w:rsid w:val="00AF3309"/>
    <w:rsid w:val="00AF364F"/>
    <w:rsid w:val="00AF36FD"/>
    <w:rsid w:val="00AF3761"/>
    <w:rsid w:val="00AF37E8"/>
    <w:rsid w:val="00AF39CE"/>
    <w:rsid w:val="00AF3E81"/>
    <w:rsid w:val="00AF43D5"/>
    <w:rsid w:val="00AF4654"/>
    <w:rsid w:val="00AF4661"/>
    <w:rsid w:val="00AF47E7"/>
    <w:rsid w:val="00AF4A5F"/>
    <w:rsid w:val="00AF4E7A"/>
    <w:rsid w:val="00AF4F56"/>
    <w:rsid w:val="00AF50DA"/>
    <w:rsid w:val="00AF554E"/>
    <w:rsid w:val="00AF570D"/>
    <w:rsid w:val="00AF5A12"/>
    <w:rsid w:val="00AF5DB7"/>
    <w:rsid w:val="00AF5F65"/>
    <w:rsid w:val="00AF5FA5"/>
    <w:rsid w:val="00AF630B"/>
    <w:rsid w:val="00AF6CA2"/>
    <w:rsid w:val="00AF6D72"/>
    <w:rsid w:val="00AF6F55"/>
    <w:rsid w:val="00AF6F57"/>
    <w:rsid w:val="00AF7A9D"/>
    <w:rsid w:val="00B00F85"/>
    <w:rsid w:val="00B00FBC"/>
    <w:rsid w:val="00B0122F"/>
    <w:rsid w:val="00B012F4"/>
    <w:rsid w:val="00B014A4"/>
    <w:rsid w:val="00B014D4"/>
    <w:rsid w:val="00B01532"/>
    <w:rsid w:val="00B016B8"/>
    <w:rsid w:val="00B01F39"/>
    <w:rsid w:val="00B03A5D"/>
    <w:rsid w:val="00B03F6E"/>
    <w:rsid w:val="00B0409E"/>
    <w:rsid w:val="00B0464D"/>
    <w:rsid w:val="00B04BAD"/>
    <w:rsid w:val="00B04F22"/>
    <w:rsid w:val="00B04FF0"/>
    <w:rsid w:val="00B054EA"/>
    <w:rsid w:val="00B05852"/>
    <w:rsid w:val="00B0735F"/>
    <w:rsid w:val="00B0746F"/>
    <w:rsid w:val="00B0776A"/>
    <w:rsid w:val="00B07D7C"/>
    <w:rsid w:val="00B07E63"/>
    <w:rsid w:val="00B108A6"/>
    <w:rsid w:val="00B108C5"/>
    <w:rsid w:val="00B11596"/>
    <w:rsid w:val="00B11D0C"/>
    <w:rsid w:val="00B120C1"/>
    <w:rsid w:val="00B12100"/>
    <w:rsid w:val="00B12889"/>
    <w:rsid w:val="00B12AAA"/>
    <w:rsid w:val="00B12C58"/>
    <w:rsid w:val="00B12D27"/>
    <w:rsid w:val="00B12F35"/>
    <w:rsid w:val="00B13141"/>
    <w:rsid w:val="00B131F5"/>
    <w:rsid w:val="00B13331"/>
    <w:rsid w:val="00B13B7E"/>
    <w:rsid w:val="00B13E87"/>
    <w:rsid w:val="00B1424B"/>
    <w:rsid w:val="00B142DE"/>
    <w:rsid w:val="00B14495"/>
    <w:rsid w:val="00B15202"/>
    <w:rsid w:val="00B15321"/>
    <w:rsid w:val="00B15684"/>
    <w:rsid w:val="00B1593E"/>
    <w:rsid w:val="00B15ABC"/>
    <w:rsid w:val="00B15E87"/>
    <w:rsid w:val="00B167BF"/>
    <w:rsid w:val="00B16A40"/>
    <w:rsid w:val="00B170D8"/>
    <w:rsid w:val="00B1732E"/>
    <w:rsid w:val="00B17440"/>
    <w:rsid w:val="00B176F5"/>
    <w:rsid w:val="00B17A42"/>
    <w:rsid w:val="00B17D52"/>
    <w:rsid w:val="00B2040C"/>
    <w:rsid w:val="00B2063E"/>
    <w:rsid w:val="00B20F73"/>
    <w:rsid w:val="00B21AA3"/>
    <w:rsid w:val="00B2248F"/>
    <w:rsid w:val="00B22599"/>
    <w:rsid w:val="00B22644"/>
    <w:rsid w:val="00B22C00"/>
    <w:rsid w:val="00B22D32"/>
    <w:rsid w:val="00B22E0A"/>
    <w:rsid w:val="00B22E59"/>
    <w:rsid w:val="00B23038"/>
    <w:rsid w:val="00B233E0"/>
    <w:rsid w:val="00B242A3"/>
    <w:rsid w:val="00B2467D"/>
    <w:rsid w:val="00B24E89"/>
    <w:rsid w:val="00B2592F"/>
    <w:rsid w:val="00B25E48"/>
    <w:rsid w:val="00B25E77"/>
    <w:rsid w:val="00B26C38"/>
    <w:rsid w:val="00B26FEF"/>
    <w:rsid w:val="00B274ED"/>
    <w:rsid w:val="00B2771D"/>
    <w:rsid w:val="00B279EA"/>
    <w:rsid w:val="00B307F6"/>
    <w:rsid w:val="00B30B7E"/>
    <w:rsid w:val="00B30C5F"/>
    <w:rsid w:val="00B30E80"/>
    <w:rsid w:val="00B3105D"/>
    <w:rsid w:val="00B31069"/>
    <w:rsid w:val="00B3149A"/>
    <w:rsid w:val="00B316D7"/>
    <w:rsid w:val="00B31901"/>
    <w:rsid w:val="00B31EBC"/>
    <w:rsid w:val="00B3228F"/>
    <w:rsid w:val="00B324D0"/>
    <w:rsid w:val="00B3344B"/>
    <w:rsid w:val="00B339AB"/>
    <w:rsid w:val="00B33D3B"/>
    <w:rsid w:val="00B33EFA"/>
    <w:rsid w:val="00B34CF7"/>
    <w:rsid w:val="00B34D60"/>
    <w:rsid w:val="00B35C88"/>
    <w:rsid w:val="00B3642C"/>
    <w:rsid w:val="00B3655A"/>
    <w:rsid w:val="00B36703"/>
    <w:rsid w:val="00B3677B"/>
    <w:rsid w:val="00B368FE"/>
    <w:rsid w:val="00B36AE3"/>
    <w:rsid w:val="00B3745E"/>
    <w:rsid w:val="00B375CF"/>
    <w:rsid w:val="00B37741"/>
    <w:rsid w:val="00B37873"/>
    <w:rsid w:val="00B40176"/>
    <w:rsid w:val="00B411AC"/>
    <w:rsid w:val="00B416C6"/>
    <w:rsid w:val="00B42586"/>
    <w:rsid w:val="00B42BC5"/>
    <w:rsid w:val="00B42D26"/>
    <w:rsid w:val="00B42F6B"/>
    <w:rsid w:val="00B431BD"/>
    <w:rsid w:val="00B4325E"/>
    <w:rsid w:val="00B43B7D"/>
    <w:rsid w:val="00B43D36"/>
    <w:rsid w:val="00B43FEC"/>
    <w:rsid w:val="00B441F3"/>
    <w:rsid w:val="00B4554E"/>
    <w:rsid w:val="00B45904"/>
    <w:rsid w:val="00B45A02"/>
    <w:rsid w:val="00B45B53"/>
    <w:rsid w:val="00B45C67"/>
    <w:rsid w:val="00B45CF8"/>
    <w:rsid w:val="00B45FD1"/>
    <w:rsid w:val="00B46006"/>
    <w:rsid w:val="00B4661A"/>
    <w:rsid w:val="00B46C25"/>
    <w:rsid w:val="00B46F16"/>
    <w:rsid w:val="00B5007C"/>
    <w:rsid w:val="00B504DA"/>
    <w:rsid w:val="00B50B32"/>
    <w:rsid w:val="00B50FC4"/>
    <w:rsid w:val="00B51611"/>
    <w:rsid w:val="00B5173B"/>
    <w:rsid w:val="00B51CED"/>
    <w:rsid w:val="00B5227A"/>
    <w:rsid w:val="00B5228A"/>
    <w:rsid w:val="00B52440"/>
    <w:rsid w:val="00B524F2"/>
    <w:rsid w:val="00B526F1"/>
    <w:rsid w:val="00B5274C"/>
    <w:rsid w:val="00B52B61"/>
    <w:rsid w:val="00B5317B"/>
    <w:rsid w:val="00B531A1"/>
    <w:rsid w:val="00B53D00"/>
    <w:rsid w:val="00B53D9A"/>
    <w:rsid w:val="00B53E2E"/>
    <w:rsid w:val="00B54496"/>
    <w:rsid w:val="00B54A6B"/>
    <w:rsid w:val="00B55334"/>
    <w:rsid w:val="00B5588A"/>
    <w:rsid w:val="00B55B94"/>
    <w:rsid w:val="00B55C61"/>
    <w:rsid w:val="00B5602E"/>
    <w:rsid w:val="00B56213"/>
    <w:rsid w:val="00B564F7"/>
    <w:rsid w:val="00B5664F"/>
    <w:rsid w:val="00B5677E"/>
    <w:rsid w:val="00B56F6D"/>
    <w:rsid w:val="00B570EE"/>
    <w:rsid w:val="00B5726B"/>
    <w:rsid w:val="00B572E1"/>
    <w:rsid w:val="00B57391"/>
    <w:rsid w:val="00B57791"/>
    <w:rsid w:val="00B57E69"/>
    <w:rsid w:val="00B61319"/>
    <w:rsid w:val="00B617B7"/>
    <w:rsid w:val="00B622BB"/>
    <w:rsid w:val="00B622D7"/>
    <w:rsid w:val="00B62687"/>
    <w:rsid w:val="00B627F2"/>
    <w:rsid w:val="00B62B13"/>
    <w:rsid w:val="00B62CAC"/>
    <w:rsid w:val="00B62FA3"/>
    <w:rsid w:val="00B632EE"/>
    <w:rsid w:val="00B63751"/>
    <w:rsid w:val="00B637DE"/>
    <w:rsid w:val="00B63D0B"/>
    <w:rsid w:val="00B63F83"/>
    <w:rsid w:val="00B64056"/>
    <w:rsid w:val="00B645FF"/>
    <w:rsid w:val="00B64646"/>
    <w:rsid w:val="00B65D1F"/>
    <w:rsid w:val="00B6681A"/>
    <w:rsid w:val="00B66ADF"/>
    <w:rsid w:val="00B66D11"/>
    <w:rsid w:val="00B6710F"/>
    <w:rsid w:val="00B67146"/>
    <w:rsid w:val="00B6722E"/>
    <w:rsid w:val="00B67607"/>
    <w:rsid w:val="00B67809"/>
    <w:rsid w:val="00B70F0F"/>
    <w:rsid w:val="00B710B7"/>
    <w:rsid w:val="00B711B7"/>
    <w:rsid w:val="00B712E9"/>
    <w:rsid w:val="00B71840"/>
    <w:rsid w:val="00B71B2C"/>
    <w:rsid w:val="00B71C28"/>
    <w:rsid w:val="00B71CD0"/>
    <w:rsid w:val="00B7216E"/>
    <w:rsid w:val="00B721C1"/>
    <w:rsid w:val="00B722E2"/>
    <w:rsid w:val="00B7237B"/>
    <w:rsid w:val="00B7295A"/>
    <w:rsid w:val="00B729ED"/>
    <w:rsid w:val="00B72C53"/>
    <w:rsid w:val="00B72CB5"/>
    <w:rsid w:val="00B73149"/>
    <w:rsid w:val="00B73154"/>
    <w:rsid w:val="00B731FE"/>
    <w:rsid w:val="00B73801"/>
    <w:rsid w:val="00B738B5"/>
    <w:rsid w:val="00B73E3F"/>
    <w:rsid w:val="00B742B7"/>
    <w:rsid w:val="00B74330"/>
    <w:rsid w:val="00B74755"/>
    <w:rsid w:val="00B74A4E"/>
    <w:rsid w:val="00B74B99"/>
    <w:rsid w:val="00B75217"/>
    <w:rsid w:val="00B75373"/>
    <w:rsid w:val="00B75D76"/>
    <w:rsid w:val="00B76283"/>
    <w:rsid w:val="00B76A77"/>
    <w:rsid w:val="00B775A2"/>
    <w:rsid w:val="00B77E22"/>
    <w:rsid w:val="00B80053"/>
    <w:rsid w:val="00B80B4B"/>
    <w:rsid w:val="00B81017"/>
    <w:rsid w:val="00B81A70"/>
    <w:rsid w:val="00B81C07"/>
    <w:rsid w:val="00B81CB9"/>
    <w:rsid w:val="00B820CA"/>
    <w:rsid w:val="00B826AE"/>
    <w:rsid w:val="00B82994"/>
    <w:rsid w:val="00B83046"/>
    <w:rsid w:val="00B83C1E"/>
    <w:rsid w:val="00B840D4"/>
    <w:rsid w:val="00B85392"/>
    <w:rsid w:val="00B8569B"/>
    <w:rsid w:val="00B85CED"/>
    <w:rsid w:val="00B85D54"/>
    <w:rsid w:val="00B86096"/>
    <w:rsid w:val="00B864B6"/>
    <w:rsid w:val="00B864CD"/>
    <w:rsid w:val="00B864E5"/>
    <w:rsid w:val="00B864F6"/>
    <w:rsid w:val="00B86585"/>
    <w:rsid w:val="00B865F0"/>
    <w:rsid w:val="00B8694B"/>
    <w:rsid w:val="00B86BAC"/>
    <w:rsid w:val="00B86C4D"/>
    <w:rsid w:val="00B873A6"/>
    <w:rsid w:val="00B87494"/>
    <w:rsid w:val="00B878FA"/>
    <w:rsid w:val="00B879C3"/>
    <w:rsid w:val="00B87F32"/>
    <w:rsid w:val="00B87F6D"/>
    <w:rsid w:val="00B90146"/>
    <w:rsid w:val="00B9086F"/>
    <w:rsid w:val="00B908BC"/>
    <w:rsid w:val="00B909E2"/>
    <w:rsid w:val="00B90A53"/>
    <w:rsid w:val="00B90B28"/>
    <w:rsid w:val="00B90E8B"/>
    <w:rsid w:val="00B91015"/>
    <w:rsid w:val="00B915C3"/>
    <w:rsid w:val="00B91DC2"/>
    <w:rsid w:val="00B921E4"/>
    <w:rsid w:val="00B92206"/>
    <w:rsid w:val="00B9230F"/>
    <w:rsid w:val="00B92320"/>
    <w:rsid w:val="00B92444"/>
    <w:rsid w:val="00B92750"/>
    <w:rsid w:val="00B92BC8"/>
    <w:rsid w:val="00B92CDE"/>
    <w:rsid w:val="00B93521"/>
    <w:rsid w:val="00B937EC"/>
    <w:rsid w:val="00B93D6C"/>
    <w:rsid w:val="00B946D9"/>
    <w:rsid w:val="00B94752"/>
    <w:rsid w:val="00B947BB"/>
    <w:rsid w:val="00B9485D"/>
    <w:rsid w:val="00B94A00"/>
    <w:rsid w:val="00B94EE5"/>
    <w:rsid w:val="00B94F30"/>
    <w:rsid w:val="00B94FA7"/>
    <w:rsid w:val="00B9507A"/>
    <w:rsid w:val="00B950A8"/>
    <w:rsid w:val="00B9510F"/>
    <w:rsid w:val="00B95244"/>
    <w:rsid w:val="00B95A41"/>
    <w:rsid w:val="00B95BD2"/>
    <w:rsid w:val="00B96269"/>
    <w:rsid w:val="00B96407"/>
    <w:rsid w:val="00B96468"/>
    <w:rsid w:val="00B96C1F"/>
    <w:rsid w:val="00B96FB0"/>
    <w:rsid w:val="00B970FC"/>
    <w:rsid w:val="00B977D0"/>
    <w:rsid w:val="00B97810"/>
    <w:rsid w:val="00B97BC3"/>
    <w:rsid w:val="00BA001D"/>
    <w:rsid w:val="00BA0360"/>
    <w:rsid w:val="00BA07DA"/>
    <w:rsid w:val="00BA12DD"/>
    <w:rsid w:val="00BA14D8"/>
    <w:rsid w:val="00BA155C"/>
    <w:rsid w:val="00BA16DC"/>
    <w:rsid w:val="00BA1C8A"/>
    <w:rsid w:val="00BA1CFA"/>
    <w:rsid w:val="00BA1EB8"/>
    <w:rsid w:val="00BA26D9"/>
    <w:rsid w:val="00BA3AC2"/>
    <w:rsid w:val="00BA3CD9"/>
    <w:rsid w:val="00BA3FAE"/>
    <w:rsid w:val="00BA416B"/>
    <w:rsid w:val="00BA4F09"/>
    <w:rsid w:val="00BA5077"/>
    <w:rsid w:val="00BA5453"/>
    <w:rsid w:val="00BA5B05"/>
    <w:rsid w:val="00BA5C56"/>
    <w:rsid w:val="00BA5D57"/>
    <w:rsid w:val="00BA6738"/>
    <w:rsid w:val="00BA77E9"/>
    <w:rsid w:val="00BA79B5"/>
    <w:rsid w:val="00BA7A2B"/>
    <w:rsid w:val="00BB00D2"/>
    <w:rsid w:val="00BB01A4"/>
    <w:rsid w:val="00BB03BF"/>
    <w:rsid w:val="00BB057E"/>
    <w:rsid w:val="00BB09C9"/>
    <w:rsid w:val="00BB0EE7"/>
    <w:rsid w:val="00BB1066"/>
    <w:rsid w:val="00BB119F"/>
    <w:rsid w:val="00BB1341"/>
    <w:rsid w:val="00BB141D"/>
    <w:rsid w:val="00BB1B0E"/>
    <w:rsid w:val="00BB1B11"/>
    <w:rsid w:val="00BB1EB6"/>
    <w:rsid w:val="00BB1FE1"/>
    <w:rsid w:val="00BB2479"/>
    <w:rsid w:val="00BB2A0F"/>
    <w:rsid w:val="00BB355C"/>
    <w:rsid w:val="00BB3B82"/>
    <w:rsid w:val="00BB3CDD"/>
    <w:rsid w:val="00BB41C9"/>
    <w:rsid w:val="00BB4350"/>
    <w:rsid w:val="00BB4553"/>
    <w:rsid w:val="00BB463E"/>
    <w:rsid w:val="00BB46A2"/>
    <w:rsid w:val="00BB4F2C"/>
    <w:rsid w:val="00BB5054"/>
    <w:rsid w:val="00BB521F"/>
    <w:rsid w:val="00BB58F3"/>
    <w:rsid w:val="00BB5C35"/>
    <w:rsid w:val="00BB5CE6"/>
    <w:rsid w:val="00BB62AF"/>
    <w:rsid w:val="00BB6393"/>
    <w:rsid w:val="00BB6883"/>
    <w:rsid w:val="00BB6A40"/>
    <w:rsid w:val="00BB73FD"/>
    <w:rsid w:val="00BB7629"/>
    <w:rsid w:val="00BB7E27"/>
    <w:rsid w:val="00BC083A"/>
    <w:rsid w:val="00BC0AE8"/>
    <w:rsid w:val="00BC13BD"/>
    <w:rsid w:val="00BC1B87"/>
    <w:rsid w:val="00BC1CB9"/>
    <w:rsid w:val="00BC1DEC"/>
    <w:rsid w:val="00BC2233"/>
    <w:rsid w:val="00BC266B"/>
    <w:rsid w:val="00BC279E"/>
    <w:rsid w:val="00BC2A03"/>
    <w:rsid w:val="00BC30C7"/>
    <w:rsid w:val="00BC3CF6"/>
    <w:rsid w:val="00BC3D7B"/>
    <w:rsid w:val="00BC40CA"/>
    <w:rsid w:val="00BC4273"/>
    <w:rsid w:val="00BC45DB"/>
    <w:rsid w:val="00BC49B6"/>
    <w:rsid w:val="00BC4E65"/>
    <w:rsid w:val="00BC4EAB"/>
    <w:rsid w:val="00BC5110"/>
    <w:rsid w:val="00BC54CF"/>
    <w:rsid w:val="00BC55CC"/>
    <w:rsid w:val="00BC5661"/>
    <w:rsid w:val="00BC586C"/>
    <w:rsid w:val="00BC5CD5"/>
    <w:rsid w:val="00BC629F"/>
    <w:rsid w:val="00BC650D"/>
    <w:rsid w:val="00BC6709"/>
    <w:rsid w:val="00BC6776"/>
    <w:rsid w:val="00BC7050"/>
    <w:rsid w:val="00BC707F"/>
    <w:rsid w:val="00BC71B2"/>
    <w:rsid w:val="00BC71D2"/>
    <w:rsid w:val="00BC720F"/>
    <w:rsid w:val="00BC726F"/>
    <w:rsid w:val="00BC7961"/>
    <w:rsid w:val="00BC7B34"/>
    <w:rsid w:val="00BC7C97"/>
    <w:rsid w:val="00BD006A"/>
    <w:rsid w:val="00BD012A"/>
    <w:rsid w:val="00BD1B09"/>
    <w:rsid w:val="00BD1BB7"/>
    <w:rsid w:val="00BD1F8B"/>
    <w:rsid w:val="00BD202B"/>
    <w:rsid w:val="00BD20E7"/>
    <w:rsid w:val="00BD26ED"/>
    <w:rsid w:val="00BD2A49"/>
    <w:rsid w:val="00BD2ED8"/>
    <w:rsid w:val="00BD3338"/>
    <w:rsid w:val="00BD3954"/>
    <w:rsid w:val="00BD3DF5"/>
    <w:rsid w:val="00BD4615"/>
    <w:rsid w:val="00BD46F3"/>
    <w:rsid w:val="00BD4BCC"/>
    <w:rsid w:val="00BD604B"/>
    <w:rsid w:val="00BD60A0"/>
    <w:rsid w:val="00BD6183"/>
    <w:rsid w:val="00BD6224"/>
    <w:rsid w:val="00BD6591"/>
    <w:rsid w:val="00BD659D"/>
    <w:rsid w:val="00BD6D2D"/>
    <w:rsid w:val="00BD7999"/>
    <w:rsid w:val="00BD7AB6"/>
    <w:rsid w:val="00BD7D14"/>
    <w:rsid w:val="00BD7DE3"/>
    <w:rsid w:val="00BE010F"/>
    <w:rsid w:val="00BE0906"/>
    <w:rsid w:val="00BE0B40"/>
    <w:rsid w:val="00BE180F"/>
    <w:rsid w:val="00BE1B91"/>
    <w:rsid w:val="00BE223F"/>
    <w:rsid w:val="00BE23EF"/>
    <w:rsid w:val="00BE2565"/>
    <w:rsid w:val="00BE25F2"/>
    <w:rsid w:val="00BE2EEF"/>
    <w:rsid w:val="00BE3041"/>
    <w:rsid w:val="00BE3B9C"/>
    <w:rsid w:val="00BE3E56"/>
    <w:rsid w:val="00BE45EE"/>
    <w:rsid w:val="00BE4764"/>
    <w:rsid w:val="00BE4EB9"/>
    <w:rsid w:val="00BE502D"/>
    <w:rsid w:val="00BE53FF"/>
    <w:rsid w:val="00BE5571"/>
    <w:rsid w:val="00BE57DB"/>
    <w:rsid w:val="00BE67D3"/>
    <w:rsid w:val="00BE6E8C"/>
    <w:rsid w:val="00BE7596"/>
    <w:rsid w:val="00BE7681"/>
    <w:rsid w:val="00BE78B9"/>
    <w:rsid w:val="00BF02F3"/>
    <w:rsid w:val="00BF0518"/>
    <w:rsid w:val="00BF0E98"/>
    <w:rsid w:val="00BF1466"/>
    <w:rsid w:val="00BF178F"/>
    <w:rsid w:val="00BF1A35"/>
    <w:rsid w:val="00BF1CCE"/>
    <w:rsid w:val="00BF1E82"/>
    <w:rsid w:val="00BF2E71"/>
    <w:rsid w:val="00BF3335"/>
    <w:rsid w:val="00BF3340"/>
    <w:rsid w:val="00BF33FD"/>
    <w:rsid w:val="00BF386B"/>
    <w:rsid w:val="00BF3B2C"/>
    <w:rsid w:val="00BF3E55"/>
    <w:rsid w:val="00BF42B9"/>
    <w:rsid w:val="00BF4654"/>
    <w:rsid w:val="00BF47D6"/>
    <w:rsid w:val="00BF4816"/>
    <w:rsid w:val="00BF49C5"/>
    <w:rsid w:val="00BF4E96"/>
    <w:rsid w:val="00BF4FF6"/>
    <w:rsid w:val="00BF5528"/>
    <w:rsid w:val="00BF5569"/>
    <w:rsid w:val="00BF6052"/>
    <w:rsid w:val="00BF6098"/>
    <w:rsid w:val="00BF643B"/>
    <w:rsid w:val="00BF6873"/>
    <w:rsid w:val="00BF69A5"/>
    <w:rsid w:val="00BF6CBD"/>
    <w:rsid w:val="00BF6E5C"/>
    <w:rsid w:val="00BF6FF1"/>
    <w:rsid w:val="00BF72AB"/>
    <w:rsid w:val="00BF7497"/>
    <w:rsid w:val="00BF770E"/>
    <w:rsid w:val="00BF7BC9"/>
    <w:rsid w:val="00BF7F78"/>
    <w:rsid w:val="00C00552"/>
    <w:rsid w:val="00C00891"/>
    <w:rsid w:val="00C00D48"/>
    <w:rsid w:val="00C0100F"/>
    <w:rsid w:val="00C01990"/>
    <w:rsid w:val="00C01F38"/>
    <w:rsid w:val="00C02147"/>
    <w:rsid w:val="00C0216B"/>
    <w:rsid w:val="00C021AE"/>
    <w:rsid w:val="00C0255B"/>
    <w:rsid w:val="00C028E8"/>
    <w:rsid w:val="00C0326B"/>
    <w:rsid w:val="00C0351A"/>
    <w:rsid w:val="00C03B71"/>
    <w:rsid w:val="00C04231"/>
    <w:rsid w:val="00C043C9"/>
    <w:rsid w:val="00C046A0"/>
    <w:rsid w:val="00C04927"/>
    <w:rsid w:val="00C04A07"/>
    <w:rsid w:val="00C052FF"/>
    <w:rsid w:val="00C0535A"/>
    <w:rsid w:val="00C055F4"/>
    <w:rsid w:val="00C05818"/>
    <w:rsid w:val="00C06951"/>
    <w:rsid w:val="00C06F96"/>
    <w:rsid w:val="00C07342"/>
    <w:rsid w:val="00C07553"/>
    <w:rsid w:val="00C07DCB"/>
    <w:rsid w:val="00C10831"/>
    <w:rsid w:val="00C10F01"/>
    <w:rsid w:val="00C11047"/>
    <w:rsid w:val="00C111A1"/>
    <w:rsid w:val="00C11A09"/>
    <w:rsid w:val="00C12105"/>
    <w:rsid w:val="00C125F5"/>
    <w:rsid w:val="00C126B6"/>
    <w:rsid w:val="00C126CB"/>
    <w:rsid w:val="00C12942"/>
    <w:rsid w:val="00C129DE"/>
    <w:rsid w:val="00C12ACC"/>
    <w:rsid w:val="00C12DCE"/>
    <w:rsid w:val="00C13031"/>
    <w:rsid w:val="00C13631"/>
    <w:rsid w:val="00C13734"/>
    <w:rsid w:val="00C13D56"/>
    <w:rsid w:val="00C140E0"/>
    <w:rsid w:val="00C147AC"/>
    <w:rsid w:val="00C1537A"/>
    <w:rsid w:val="00C1548A"/>
    <w:rsid w:val="00C15677"/>
    <w:rsid w:val="00C15FB8"/>
    <w:rsid w:val="00C15FBE"/>
    <w:rsid w:val="00C16672"/>
    <w:rsid w:val="00C168B2"/>
    <w:rsid w:val="00C16B84"/>
    <w:rsid w:val="00C16CF1"/>
    <w:rsid w:val="00C17233"/>
    <w:rsid w:val="00C17453"/>
    <w:rsid w:val="00C175F2"/>
    <w:rsid w:val="00C17942"/>
    <w:rsid w:val="00C1795B"/>
    <w:rsid w:val="00C179C4"/>
    <w:rsid w:val="00C179E6"/>
    <w:rsid w:val="00C17C40"/>
    <w:rsid w:val="00C17CE1"/>
    <w:rsid w:val="00C20097"/>
    <w:rsid w:val="00C20158"/>
    <w:rsid w:val="00C20369"/>
    <w:rsid w:val="00C20CBA"/>
    <w:rsid w:val="00C20CEC"/>
    <w:rsid w:val="00C20DAE"/>
    <w:rsid w:val="00C20E20"/>
    <w:rsid w:val="00C210C2"/>
    <w:rsid w:val="00C21146"/>
    <w:rsid w:val="00C215AA"/>
    <w:rsid w:val="00C21775"/>
    <w:rsid w:val="00C21784"/>
    <w:rsid w:val="00C21E30"/>
    <w:rsid w:val="00C22278"/>
    <w:rsid w:val="00C22325"/>
    <w:rsid w:val="00C2245D"/>
    <w:rsid w:val="00C22701"/>
    <w:rsid w:val="00C22EEC"/>
    <w:rsid w:val="00C23006"/>
    <w:rsid w:val="00C23090"/>
    <w:rsid w:val="00C2333D"/>
    <w:rsid w:val="00C23713"/>
    <w:rsid w:val="00C237EE"/>
    <w:rsid w:val="00C23AFC"/>
    <w:rsid w:val="00C23B06"/>
    <w:rsid w:val="00C23E99"/>
    <w:rsid w:val="00C2404A"/>
    <w:rsid w:val="00C24160"/>
    <w:rsid w:val="00C244D8"/>
    <w:rsid w:val="00C246D6"/>
    <w:rsid w:val="00C25316"/>
    <w:rsid w:val="00C25F3D"/>
    <w:rsid w:val="00C25F7F"/>
    <w:rsid w:val="00C26493"/>
    <w:rsid w:val="00C269F2"/>
    <w:rsid w:val="00C26BB6"/>
    <w:rsid w:val="00C27466"/>
    <w:rsid w:val="00C27697"/>
    <w:rsid w:val="00C27C9F"/>
    <w:rsid w:val="00C30A93"/>
    <w:rsid w:val="00C30ABC"/>
    <w:rsid w:val="00C30B7F"/>
    <w:rsid w:val="00C31EE5"/>
    <w:rsid w:val="00C320F2"/>
    <w:rsid w:val="00C322C9"/>
    <w:rsid w:val="00C322E5"/>
    <w:rsid w:val="00C32E68"/>
    <w:rsid w:val="00C3312E"/>
    <w:rsid w:val="00C33749"/>
    <w:rsid w:val="00C33797"/>
    <w:rsid w:val="00C33B9A"/>
    <w:rsid w:val="00C3474B"/>
    <w:rsid w:val="00C34901"/>
    <w:rsid w:val="00C34A6C"/>
    <w:rsid w:val="00C34AAE"/>
    <w:rsid w:val="00C34B7B"/>
    <w:rsid w:val="00C353D3"/>
    <w:rsid w:val="00C358B7"/>
    <w:rsid w:val="00C35AC4"/>
    <w:rsid w:val="00C35B58"/>
    <w:rsid w:val="00C35E80"/>
    <w:rsid w:val="00C35FA6"/>
    <w:rsid w:val="00C3635F"/>
    <w:rsid w:val="00C364C5"/>
    <w:rsid w:val="00C366E0"/>
    <w:rsid w:val="00C36739"/>
    <w:rsid w:val="00C368B9"/>
    <w:rsid w:val="00C36F1C"/>
    <w:rsid w:val="00C37A99"/>
    <w:rsid w:val="00C37F12"/>
    <w:rsid w:val="00C37F2D"/>
    <w:rsid w:val="00C400D0"/>
    <w:rsid w:val="00C40489"/>
    <w:rsid w:val="00C40D00"/>
    <w:rsid w:val="00C41190"/>
    <w:rsid w:val="00C414A0"/>
    <w:rsid w:val="00C41C47"/>
    <w:rsid w:val="00C42284"/>
    <w:rsid w:val="00C42A1F"/>
    <w:rsid w:val="00C42B0F"/>
    <w:rsid w:val="00C42B2F"/>
    <w:rsid w:val="00C42F7B"/>
    <w:rsid w:val="00C43293"/>
    <w:rsid w:val="00C43A0A"/>
    <w:rsid w:val="00C43B99"/>
    <w:rsid w:val="00C43BFE"/>
    <w:rsid w:val="00C43DE6"/>
    <w:rsid w:val="00C44018"/>
    <w:rsid w:val="00C442B6"/>
    <w:rsid w:val="00C449DE"/>
    <w:rsid w:val="00C44ABB"/>
    <w:rsid w:val="00C45077"/>
    <w:rsid w:val="00C4509C"/>
    <w:rsid w:val="00C454D4"/>
    <w:rsid w:val="00C45545"/>
    <w:rsid w:val="00C45B73"/>
    <w:rsid w:val="00C45C2F"/>
    <w:rsid w:val="00C45F38"/>
    <w:rsid w:val="00C4608B"/>
    <w:rsid w:val="00C46AF2"/>
    <w:rsid w:val="00C46C1A"/>
    <w:rsid w:val="00C46EB8"/>
    <w:rsid w:val="00C47193"/>
    <w:rsid w:val="00C471B9"/>
    <w:rsid w:val="00C47993"/>
    <w:rsid w:val="00C47C63"/>
    <w:rsid w:val="00C50106"/>
    <w:rsid w:val="00C50262"/>
    <w:rsid w:val="00C508C5"/>
    <w:rsid w:val="00C50AB2"/>
    <w:rsid w:val="00C50C30"/>
    <w:rsid w:val="00C510E8"/>
    <w:rsid w:val="00C513A8"/>
    <w:rsid w:val="00C5172F"/>
    <w:rsid w:val="00C51B4B"/>
    <w:rsid w:val="00C51DB6"/>
    <w:rsid w:val="00C51F32"/>
    <w:rsid w:val="00C51FDE"/>
    <w:rsid w:val="00C52079"/>
    <w:rsid w:val="00C527E5"/>
    <w:rsid w:val="00C52DAB"/>
    <w:rsid w:val="00C53460"/>
    <w:rsid w:val="00C5391F"/>
    <w:rsid w:val="00C5393E"/>
    <w:rsid w:val="00C53977"/>
    <w:rsid w:val="00C53DCD"/>
    <w:rsid w:val="00C54070"/>
    <w:rsid w:val="00C5448D"/>
    <w:rsid w:val="00C545D9"/>
    <w:rsid w:val="00C54BEA"/>
    <w:rsid w:val="00C54D15"/>
    <w:rsid w:val="00C55629"/>
    <w:rsid w:val="00C55BEB"/>
    <w:rsid w:val="00C564CB"/>
    <w:rsid w:val="00C5698E"/>
    <w:rsid w:val="00C56C9D"/>
    <w:rsid w:val="00C56CE0"/>
    <w:rsid w:val="00C5710C"/>
    <w:rsid w:val="00C57377"/>
    <w:rsid w:val="00C574BF"/>
    <w:rsid w:val="00C5758D"/>
    <w:rsid w:val="00C575D8"/>
    <w:rsid w:val="00C5763C"/>
    <w:rsid w:val="00C602B9"/>
    <w:rsid w:val="00C604D4"/>
    <w:rsid w:val="00C604DC"/>
    <w:rsid w:val="00C609ED"/>
    <w:rsid w:val="00C60B8C"/>
    <w:rsid w:val="00C60BCA"/>
    <w:rsid w:val="00C60CD5"/>
    <w:rsid w:val="00C610A7"/>
    <w:rsid w:val="00C6163F"/>
    <w:rsid w:val="00C61DDD"/>
    <w:rsid w:val="00C61F65"/>
    <w:rsid w:val="00C6231D"/>
    <w:rsid w:val="00C62577"/>
    <w:rsid w:val="00C62D57"/>
    <w:rsid w:val="00C63094"/>
    <w:rsid w:val="00C635F3"/>
    <w:rsid w:val="00C637EF"/>
    <w:rsid w:val="00C638DD"/>
    <w:rsid w:val="00C63F92"/>
    <w:rsid w:val="00C646DB"/>
    <w:rsid w:val="00C64FA6"/>
    <w:rsid w:val="00C64FBF"/>
    <w:rsid w:val="00C6531B"/>
    <w:rsid w:val="00C65505"/>
    <w:rsid w:val="00C656B5"/>
    <w:rsid w:val="00C65930"/>
    <w:rsid w:val="00C65A63"/>
    <w:rsid w:val="00C65A82"/>
    <w:rsid w:val="00C65A98"/>
    <w:rsid w:val="00C65FBD"/>
    <w:rsid w:val="00C666CA"/>
    <w:rsid w:val="00C67146"/>
    <w:rsid w:val="00C67501"/>
    <w:rsid w:val="00C67758"/>
    <w:rsid w:val="00C67AAB"/>
    <w:rsid w:val="00C70082"/>
    <w:rsid w:val="00C70250"/>
    <w:rsid w:val="00C704A4"/>
    <w:rsid w:val="00C707EA"/>
    <w:rsid w:val="00C707FA"/>
    <w:rsid w:val="00C70A5C"/>
    <w:rsid w:val="00C70BC8"/>
    <w:rsid w:val="00C70BFA"/>
    <w:rsid w:val="00C70C0D"/>
    <w:rsid w:val="00C7192B"/>
    <w:rsid w:val="00C71CC7"/>
    <w:rsid w:val="00C72141"/>
    <w:rsid w:val="00C72554"/>
    <w:rsid w:val="00C72B92"/>
    <w:rsid w:val="00C72EBB"/>
    <w:rsid w:val="00C7305F"/>
    <w:rsid w:val="00C7325E"/>
    <w:rsid w:val="00C735B9"/>
    <w:rsid w:val="00C7452A"/>
    <w:rsid w:val="00C749C9"/>
    <w:rsid w:val="00C74C29"/>
    <w:rsid w:val="00C75518"/>
    <w:rsid w:val="00C75896"/>
    <w:rsid w:val="00C76EAE"/>
    <w:rsid w:val="00C7714F"/>
    <w:rsid w:val="00C77152"/>
    <w:rsid w:val="00C77366"/>
    <w:rsid w:val="00C77627"/>
    <w:rsid w:val="00C77A33"/>
    <w:rsid w:val="00C77B1D"/>
    <w:rsid w:val="00C77FA9"/>
    <w:rsid w:val="00C8041C"/>
    <w:rsid w:val="00C80588"/>
    <w:rsid w:val="00C8067D"/>
    <w:rsid w:val="00C8078B"/>
    <w:rsid w:val="00C8106E"/>
    <w:rsid w:val="00C81A4D"/>
    <w:rsid w:val="00C81D76"/>
    <w:rsid w:val="00C8234F"/>
    <w:rsid w:val="00C823F2"/>
    <w:rsid w:val="00C826BE"/>
    <w:rsid w:val="00C8280A"/>
    <w:rsid w:val="00C82D1F"/>
    <w:rsid w:val="00C833D1"/>
    <w:rsid w:val="00C834F0"/>
    <w:rsid w:val="00C8396A"/>
    <w:rsid w:val="00C83AF2"/>
    <w:rsid w:val="00C83B15"/>
    <w:rsid w:val="00C84400"/>
    <w:rsid w:val="00C854F1"/>
    <w:rsid w:val="00C85774"/>
    <w:rsid w:val="00C85A2E"/>
    <w:rsid w:val="00C861A6"/>
    <w:rsid w:val="00C862BB"/>
    <w:rsid w:val="00C8670F"/>
    <w:rsid w:val="00C86CC9"/>
    <w:rsid w:val="00C86FD9"/>
    <w:rsid w:val="00C8717D"/>
    <w:rsid w:val="00C872E1"/>
    <w:rsid w:val="00C876B2"/>
    <w:rsid w:val="00C87A3F"/>
    <w:rsid w:val="00C87B97"/>
    <w:rsid w:val="00C90135"/>
    <w:rsid w:val="00C90337"/>
    <w:rsid w:val="00C904D6"/>
    <w:rsid w:val="00C905C7"/>
    <w:rsid w:val="00C91A09"/>
    <w:rsid w:val="00C91A7B"/>
    <w:rsid w:val="00C92804"/>
    <w:rsid w:val="00C92CCE"/>
    <w:rsid w:val="00C9320F"/>
    <w:rsid w:val="00C93A92"/>
    <w:rsid w:val="00C93EFA"/>
    <w:rsid w:val="00C9412E"/>
    <w:rsid w:val="00C94657"/>
    <w:rsid w:val="00C94955"/>
    <w:rsid w:val="00C94AE9"/>
    <w:rsid w:val="00C950E1"/>
    <w:rsid w:val="00C95800"/>
    <w:rsid w:val="00C959DF"/>
    <w:rsid w:val="00C95AE1"/>
    <w:rsid w:val="00C95B42"/>
    <w:rsid w:val="00C95EBC"/>
    <w:rsid w:val="00C965B2"/>
    <w:rsid w:val="00C96C86"/>
    <w:rsid w:val="00C96DF2"/>
    <w:rsid w:val="00C97183"/>
    <w:rsid w:val="00C97427"/>
    <w:rsid w:val="00C9742F"/>
    <w:rsid w:val="00C979C5"/>
    <w:rsid w:val="00C97F8D"/>
    <w:rsid w:val="00CA00D8"/>
    <w:rsid w:val="00CA0157"/>
    <w:rsid w:val="00CA05B3"/>
    <w:rsid w:val="00CA0DB9"/>
    <w:rsid w:val="00CA10B1"/>
    <w:rsid w:val="00CA148B"/>
    <w:rsid w:val="00CA178C"/>
    <w:rsid w:val="00CA1DD8"/>
    <w:rsid w:val="00CA2264"/>
    <w:rsid w:val="00CA2374"/>
    <w:rsid w:val="00CA2AFC"/>
    <w:rsid w:val="00CA2C80"/>
    <w:rsid w:val="00CA2E2B"/>
    <w:rsid w:val="00CA2F8A"/>
    <w:rsid w:val="00CA3BE7"/>
    <w:rsid w:val="00CA3F97"/>
    <w:rsid w:val="00CA3FF1"/>
    <w:rsid w:val="00CA40B6"/>
    <w:rsid w:val="00CA467D"/>
    <w:rsid w:val="00CA47C7"/>
    <w:rsid w:val="00CA4CD9"/>
    <w:rsid w:val="00CA4D54"/>
    <w:rsid w:val="00CA4D76"/>
    <w:rsid w:val="00CA4F92"/>
    <w:rsid w:val="00CA4FD1"/>
    <w:rsid w:val="00CA550F"/>
    <w:rsid w:val="00CA5666"/>
    <w:rsid w:val="00CA5BB7"/>
    <w:rsid w:val="00CA7297"/>
    <w:rsid w:val="00CA796E"/>
    <w:rsid w:val="00CA7A89"/>
    <w:rsid w:val="00CA7CD5"/>
    <w:rsid w:val="00CA7E99"/>
    <w:rsid w:val="00CB017E"/>
    <w:rsid w:val="00CB0AAA"/>
    <w:rsid w:val="00CB12EE"/>
    <w:rsid w:val="00CB187C"/>
    <w:rsid w:val="00CB1935"/>
    <w:rsid w:val="00CB1DC2"/>
    <w:rsid w:val="00CB1EDC"/>
    <w:rsid w:val="00CB217A"/>
    <w:rsid w:val="00CB2680"/>
    <w:rsid w:val="00CB3139"/>
    <w:rsid w:val="00CB3248"/>
    <w:rsid w:val="00CB3284"/>
    <w:rsid w:val="00CB35A0"/>
    <w:rsid w:val="00CB3756"/>
    <w:rsid w:val="00CB3C23"/>
    <w:rsid w:val="00CB3E76"/>
    <w:rsid w:val="00CB4273"/>
    <w:rsid w:val="00CB477D"/>
    <w:rsid w:val="00CB4A37"/>
    <w:rsid w:val="00CB4DFE"/>
    <w:rsid w:val="00CB50D4"/>
    <w:rsid w:val="00CB567B"/>
    <w:rsid w:val="00CB5EBF"/>
    <w:rsid w:val="00CB5FB2"/>
    <w:rsid w:val="00CB606B"/>
    <w:rsid w:val="00CB6099"/>
    <w:rsid w:val="00CB60BC"/>
    <w:rsid w:val="00CB63D6"/>
    <w:rsid w:val="00CB68F4"/>
    <w:rsid w:val="00CB6A1F"/>
    <w:rsid w:val="00CB6A51"/>
    <w:rsid w:val="00CB6DC2"/>
    <w:rsid w:val="00CB71EB"/>
    <w:rsid w:val="00CB7D73"/>
    <w:rsid w:val="00CB7E15"/>
    <w:rsid w:val="00CC028B"/>
    <w:rsid w:val="00CC05C4"/>
    <w:rsid w:val="00CC063C"/>
    <w:rsid w:val="00CC0763"/>
    <w:rsid w:val="00CC0B03"/>
    <w:rsid w:val="00CC0B8A"/>
    <w:rsid w:val="00CC1071"/>
    <w:rsid w:val="00CC10F9"/>
    <w:rsid w:val="00CC1155"/>
    <w:rsid w:val="00CC11DD"/>
    <w:rsid w:val="00CC12A1"/>
    <w:rsid w:val="00CC1469"/>
    <w:rsid w:val="00CC1C1A"/>
    <w:rsid w:val="00CC1D82"/>
    <w:rsid w:val="00CC296B"/>
    <w:rsid w:val="00CC2E9D"/>
    <w:rsid w:val="00CC342D"/>
    <w:rsid w:val="00CC369B"/>
    <w:rsid w:val="00CC41DD"/>
    <w:rsid w:val="00CC46AA"/>
    <w:rsid w:val="00CC4B60"/>
    <w:rsid w:val="00CC4D5B"/>
    <w:rsid w:val="00CC4E24"/>
    <w:rsid w:val="00CC53ED"/>
    <w:rsid w:val="00CC5665"/>
    <w:rsid w:val="00CC5A69"/>
    <w:rsid w:val="00CC664F"/>
    <w:rsid w:val="00CC6682"/>
    <w:rsid w:val="00CC6977"/>
    <w:rsid w:val="00CC6C7B"/>
    <w:rsid w:val="00CC71AB"/>
    <w:rsid w:val="00CC7C47"/>
    <w:rsid w:val="00CD0D77"/>
    <w:rsid w:val="00CD0FB3"/>
    <w:rsid w:val="00CD139C"/>
    <w:rsid w:val="00CD1705"/>
    <w:rsid w:val="00CD1B95"/>
    <w:rsid w:val="00CD1BDF"/>
    <w:rsid w:val="00CD1E04"/>
    <w:rsid w:val="00CD25F6"/>
    <w:rsid w:val="00CD2B5B"/>
    <w:rsid w:val="00CD3593"/>
    <w:rsid w:val="00CD3604"/>
    <w:rsid w:val="00CD3909"/>
    <w:rsid w:val="00CD435D"/>
    <w:rsid w:val="00CD498F"/>
    <w:rsid w:val="00CD4B8D"/>
    <w:rsid w:val="00CD4BB1"/>
    <w:rsid w:val="00CD4EB7"/>
    <w:rsid w:val="00CD5175"/>
    <w:rsid w:val="00CD550C"/>
    <w:rsid w:val="00CD5CB0"/>
    <w:rsid w:val="00CD5E5D"/>
    <w:rsid w:val="00CD62C6"/>
    <w:rsid w:val="00CD6440"/>
    <w:rsid w:val="00CD65E9"/>
    <w:rsid w:val="00CD6BD0"/>
    <w:rsid w:val="00CD6F3E"/>
    <w:rsid w:val="00CD77EA"/>
    <w:rsid w:val="00CE09C2"/>
    <w:rsid w:val="00CE0A59"/>
    <w:rsid w:val="00CE0A95"/>
    <w:rsid w:val="00CE0CE4"/>
    <w:rsid w:val="00CE0D8E"/>
    <w:rsid w:val="00CE0E56"/>
    <w:rsid w:val="00CE10A4"/>
    <w:rsid w:val="00CE112D"/>
    <w:rsid w:val="00CE17DD"/>
    <w:rsid w:val="00CE1A52"/>
    <w:rsid w:val="00CE1BEC"/>
    <w:rsid w:val="00CE1F85"/>
    <w:rsid w:val="00CE1FF3"/>
    <w:rsid w:val="00CE219F"/>
    <w:rsid w:val="00CE2448"/>
    <w:rsid w:val="00CE25E6"/>
    <w:rsid w:val="00CE2FF0"/>
    <w:rsid w:val="00CE32C6"/>
    <w:rsid w:val="00CE3322"/>
    <w:rsid w:val="00CE33A7"/>
    <w:rsid w:val="00CE3773"/>
    <w:rsid w:val="00CE3D6E"/>
    <w:rsid w:val="00CE420A"/>
    <w:rsid w:val="00CE4780"/>
    <w:rsid w:val="00CE5087"/>
    <w:rsid w:val="00CE5938"/>
    <w:rsid w:val="00CE5BC9"/>
    <w:rsid w:val="00CE6922"/>
    <w:rsid w:val="00CE720B"/>
    <w:rsid w:val="00CE7505"/>
    <w:rsid w:val="00CE7642"/>
    <w:rsid w:val="00CE7927"/>
    <w:rsid w:val="00CE7FCD"/>
    <w:rsid w:val="00CF05D5"/>
    <w:rsid w:val="00CF0715"/>
    <w:rsid w:val="00CF0E55"/>
    <w:rsid w:val="00CF0FBD"/>
    <w:rsid w:val="00CF17A6"/>
    <w:rsid w:val="00CF18D2"/>
    <w:rsid w:val="00CF1941"/>
    <w:rsid w:val="00CF263B"/>
    <w:rsid w:val="00CF294E"/>
    <w:rsid w:val="00CF29B6"/>
    <w:rsid w:val="00CF2A1A"/>
    <w:rsid w:val="00CF2ACE"/>
    <w:rsid w:val="00CF2C34"/>
    <w:rsid w:val="00CF3446"/>
    <w:rsid w:val="00CF3507"/>
    <w:rsid w:val="00CF3526"/>
    <w:rsid w:val="00CF3E93"/>
    <w:rsid w:val="00CF5012"/>
    <w:rsid w:val="00CF5AA9"/>
    <w:rsid w:val="00CF692D"/>
    <w:rsid w:val="00CF6BD3"/>
    <w:rsid w:val="00CF7110"/>
    <w:rsid w:val="00CF7220"/>
    <w:rsid w:val="00CF722A"/>
    <w:rsid w:val="00CF739C"/>
    <w:rsid w:val="00CF7630"/>
    <w:rsid w:val="00CF7788"/>
    <w:rsid w:val="00CF7BBE"/>
    <w:rsid w:val="00D00D39"/>
    <w:rsid w:val="00D00D87"/>
    <w:rsid w:val="00D011B6"/>
    <w:rsid w:val="00D0155A"/>
    <w:rsid w:val="00D018AA"/>
    <w:rsid w:val="00D01907"/>
    <w:rsid w:val="00D01FC0"/>
    <w:rsid w:val="00D02619"/>
    <w:rsid w:val="00D027CA"/>
    <w:rsid w:val="00D02945"/>
    <w:rsid w:val="00D029C6"/>
    <w:rsid w:val="00D02B57"/>
    <w:rsid w:val="00D02CE3"/>
    <w:rsid w:val="00D032E1"/>
    <w:rsid w:val="00D033A4"/>
    <w:rsid w:val="00D036D7"/>
    <w:rsid w:val="00D03AEC"/>
    <w:rsid w:val="00D04478"/>
    <w:rsid w:val="00D04546"/>
    <w:rsid w:val="00D046B5"/>
    <w:rsid w:val="00D049F9"/>
    <w:rsid w:val="00D04A4E"/>
    <w:rsid w:val="00D04AE8"/>
    <w:rsid w:val="00D052AB"/>
    <w:rsid w:val="00D0533D"/>
    <w:rsid w:val="00D054A7"/>
    <w:rsid w:val="00D054DD"/>
    <w:rsid w:val="00D05800"/>
    <w:rsid w:val="00D05BF2"/>
    <w:rsid w:val="00D05C53"/>
    <w:rsid w:val="00D061B4"/>
    <w:rsid w:val="00D0637F"/>
    <w:rsid w:val="00D0662D"/>
    <w:rsid w:val="00D06785"/>
    <w:rsid w:val="00D067B0"/>
    <w:rsid w:val="00D0724A"/>
    <w:rsid w:val="00D076BB"/>
    <w:rsid w:val="00D077F3"/>
    <w:rsid w:val="00D07C57"/>
    <w:rsid w:val="00D10061"/>
    <w:rsid w:val="00D101FA"/>
    <w:rsid w:val="00D10461"/>
    <w:rsid w:val="00D104DD"/>
    <w:rsid w:val="00D104E3"/>
    <w:rsid w:val="00D1089C"/>
    <w:rsid w:val="00D10A4D"/>
    <w:rsid w:val="00D10BE4"/>
    <w:rsid w:val="00D10C04"/>
    <w:rsid w:val="00D11029"/>
    <w:rsid w:val="00D11254"/>
    <w:rsid w:val="00D11557"/>
    <w:rsid w:val="00D11691"/>
    <w:rsid w:val="00D11784"/>
    <w:rsid w:val="00D11C2D"/>
    <w:rsid w:val="00D120DA"/>
    <w:rsid w:val="00D121FA"/>
    <w:rsid w:val="00D1272F"/>
    <w:rsid w:val="00D12B98"/>
    <w:rsid w:val="00D12FC5"/>
    <w:rsid w:val="00D13021"/>
    <w:rsid w:val="00D13AD2"/>
    <w:rsid w:val="00D13B7E"/>
    <w:rsid w:val="00D13B91"/>
    <w:rsid w:val="00D13E64"/>
    <w:rsid w:val="00D13FFE"/>
    <w:rsid w:val="00D14139"/>
    <w:rsid w:val="00D14B98"/>
    <w:rsid w:val="00D14F87"/>
    <w:rsid w:val="00D1526E"/>
    <w:rsid w:val="00D158D8"/>
    <w:rsid w:val="00D15DD9"/>
    <w:rsid w:val="00D160B8"/>
    <w:rsid w:val="00D164A3"/>
    <w:rsid w:val="00D165C4"/>
    <w:rsid w:val="00D166DA"/>
    <w:rsid w:val="00D16C91"/>
    <w:rsid w:val="00D16EAF"/>
    <w:rsid w:val="00D170CB"/>
    <w:rsid w:val="00D1712F"/>
    <w:rsid w:val="00D171B2"/>
    <w:rsid w:val="00D174FE"/>
    <w:rsid w:val="00D1763A"/>
    <w:rsid w:val="00D1786F"/>
    <w:rsid w:val="00D17A79"/>
    <w:rsid w:val="00D17AC2"/>
    <w:rsid w:val="00D17AF1"/>
    <w:rsid w:val="00D17DAC"/>
    <w:rsid w:val="00D17F9C"/>
    <w:rsid w:val="00D20700"/>
    <w:rsid w:val="00D207D8"/>
    <w:rsid w:val="00D20A1E"/>
    <w:rsid w:val="00D20FD4"/>
    <w:rsid w:val="00D2105C"/>
    <w:rsid w:val="00D21187"/>
    <w:rsid w:val="00D212BF"/>
    <w:rsid w:val="00D2131D"/>
    <w:rsid w:val="00D214DE"/>
    <w:rsid w:val="00D21523"/>
    <w:rsid w:val="00D219CE"/>
    <w:rsid w:val="00D21A24"/>
    <w:rsid w:val="00D21EBF"/>
    <w:rsid w:val="00D22203"/>
    <w:rsid w:val="00D23263"/>
    <w:rsid w:val="00D2345B"/>
    <w:rsid w:val="00D237E2"/>
    <w:rsid w:val="00D23A6F"/>
    <w:rsid w:val="00D24145"/>
    <w:rsid w:val="00D24191"/>
    <w:rsid w:val="00D24665"/>
    <w:rsid w:val="00D2467B"/>
    <w:rsid w:val="00D2483C"/>
    <w:rsid w:val="00D24968"/>
    <w:rsid w:val="00D2501F"/>
    <w:rsid w:val="00D25307"/>
    <w:rsid w:val="00D2539C"/>
    <w:rsid w:val="00D253F2"/>
    <w:rsid w:val="00D254E9"/>
    <w:rsid w:val="00D255CF"/>
    <w:rsid w:val="00D255ED"/>
    <w:rsid w:val="00D2678E"/>
    <w:rsid w:val="00D26863"/>
    <w:rsid w:val="00D2694C"/>
    <w:rsid w:val="00D271C9"/>
    <w:rsid w:val="00D276BB"/>
    <w:rsid w:val="00D27853"/>
    <w:rsid w:val="00D27CFD"/>
    <w:rsid w:val="00D301A2"/>
    <w:rsid w:val="00D301F6"/>
    <w:rsid w:val="00D30AE0"/>
    <w:rsid w:val="00D30AE8"/>
    <w:rsid w:val="00D30BB3"/>
    <w:rsid w:val="00D30FAA"/>
    <w:rsid w:val="00D3114C"/>
    <w:rsid w:val="00D31B21"/>
    <w:rsid w:val="00D32155"/>
    <w:rsid w:val="00D322BF"/>
    <w:rsid w:val="00D3239C"/>
    <w:rsid w:val="00D3296E"/>
    <w:rsid w:val="00D32D2D"/>
    <w:rsid w:val="00D3307C"/>
    <w:rsid w:val="00D331A9"/>
    <w:rsid w:val="00D331F1"/>
    <w:rsid w:val="00D33581"/>
    <w:rsid w:val="00D33AC0"/>
    <w:rsid w:val="00D3434A"/>
    <w:rsid w:val="00D34379"/>
    <w:rsid w:val="00D34500"/>
    <w:rsid w:val="00D34FB1"/>
    <w:rsid w:val="00D350AF"/>
    <w:rsid w:val="00D35339"/>
    <w:rsid w:val="00D3546A"/>
    <w:rsid w:val="00D358BB"/>
    <w:rsid w:val="00D35EFE"/>
    <w:rsid w:val="00D36107"/>
    <w:rsid w:val="00D36132"/>
    <w:rsid w:val="00D36A87"/>
    <w:rsid w:val="00D37058"/>
    <w:rsid w:val="00D376CF"/>
    <w:rsid w:val="00D37B46"/>
    <w:rsid w:val="00D37BDE"/>
    <w:rsid w:val="00D37F37"/>
    <w:rsid w:val="00D40B8D"/>
    <w:rsid w:val="00D40D1B"/>
    <w:rsid w:val="00D41040"/>
    <w:rsid w:val="00D411B3"/>
    <w:rsid w:val="00D4131F"/>
    <w:rsid w:val="00D413EC"/>
    <w:rsid w:val="00D41983"/>
    <w:rsid w:val="00D41BDF"/>
    <w:rsid w:val="00D41C99"/>
    <w:rsid w:val="00D41D11"/>
    <w:rsid w:val="00D41E44"/>
    <w:rsid w:val="00D42293"/>
    <w:rsid w:val="00D42591"/>
    <w:rsid w:val="00D42923"/>
    <w:rsid w:val="00D42DC8"/>
    <w:rsid w:val="00D4312C"/>
    <w:rsid w:val="00D433C8"/>
    <w:rsid w:val="00D4402D"/>
    <w:rsid w:val="00D440A8"/>
    <w:rsid w:val="00D44136"/>
    <w:rsid w:val="00D4421B"/>
    <w:rsid w:val="00D447BF"/>
    <w:rsid w:val="00D44830"/>
    <w:rsid w:val="00D44DC6"/>
    <w:rsid w:val="00D4542C"/>
    <w:rsid w:val="00D45F34"/>
    <w:rsid w:val="00D462E4"/>
    <w:rsid w:val="00D4689C"/>
    <w:rsid w:val="00D472FC"/>
    <w:rsid w:val="00D473AE"/>
    <w:rsid w:val="00D50510"/>
    <w:rsid w:val="00D50DED"/>
    <w:rsid w:val="00D511DD"/>
    <w:rsid w:val="00D516AB"/>
    <w:rsid w:val="00D5282D"/>
    <w:rsid w:val="00D52E71"/>
    <w:rsid w:val="00D5302B"/>
    <w:rsid w:val="00D5380F"/>
    <w:rsid w:val="00D53815"/>
    <w:rsid w:val="00D540FA"/>
    <w:rsid w:val="00D54599"/>
    <w:rsid w:val="00D54D41"/>
    <w:rsid w:val="00D551FD"/>
    <w:rsid w:val="00D55561"/>
    <w:rsid w:val="00D55B36"/>
    <w:rsid w:val="00D55CAA"/>
    <w:rsid w:val="00D55CED"/>
    <w:rsid w:val="00D5678D"/>
    <w:rsid w:val="00D56A30"/>
    <w:rsid w:val="00D56CA6"/>
    <w:rsid w:val="00D57701"/>
    <w:rsid w:val="00D5794B"/>
    <w:rsid w:val="00D57A61"/>
    <w:rsid w:val="00D57C03"/>
    <w:rsid w:val="00D60077"/>
    <w:rsid w:val="00D601E6"/>
    <w:rsid w:val="00D60296"/>
    <w:rsid w:val="00D60DE4"/>
    <w:rsid w:val="00D60E3E"/>
    <w:rsid w:val="00D6125B"/>
    <w:rsid w:val="00D613D5"/>
    <w:rsid w:val="00D61583"/>
    <w:rsid w:val="00D61F26"/>
    <w:rsid w:val="00D6224C"/>
    <w:rsid w:val="00D622F2"/>
    <w:rsid w:val="00D6239D"/>
    <w:rsid w:val="00D62412"/>
    <w:rsid w:val="00D62613"/>
    <w:rsid w:val="00D6267B"/>
    <w:rsid w:val="00D62FE0"/>
    <w:rsid w:val="00D634B7"/>
    <w:rsid w:val="00D635A7"/>
    <w:rsid w:val="00D63938"/>
    <w:rsid w:val="00D63D8D"/>
    <w:rsid w:val="00D63EEE"/>
    <w:rsid w:val="00D6438E"/>
    <w:rsid w:val="00D6441B"/>
    <w:rsid w:val="00D647A5"/>
    <w:rsid w:val="00D647B3"/>
    <w:rsid w:val="00D649DE"/>
    <w:rsid w:val="00D64D7A"/>
    <w:rsid w:val="00D64E6F"/>
    <w:rsid w:val="00D65148"/>
    <w:rsid w:val="00D65430"/>
    <w:rsid w:val="00D65C6F"/>
    <w:rsid w:val="00D66130"/>
    <w:rsid w:val="00D66A2A"/>
    <w:rsid w:val="00D66E79"/>
    <w:rsid w:val="00D67439"/>
    <w:rsid w:val="00D67515"/>
    <w:rsid w:val="00D67AD0"/>
    <w:rsid w:val="00D67C6B"/>
    <w:rsid w:val="00D67CAC"/>
    <w:rsid w:val="00D70C0A"/>
    <w:rsid w:val="00D717BB"/>
    <w:rsid w:val="00D718B4"/>
    <w:rsid w:val="00D71D41"/>
    <w:rsid w:val="00D7226F"/>
    <w:rsid w:val="00D722F2"/>
    <w:rsid w:val="00D72391"/>
    <w:rsid w:val="00D7279E"/>
    <w:rsid w:val="00D727F1"/>
    <w:rsid w:val="00D72902"/>
    <w:rsid w:val="00D72D42"/>
    <w:rsid w:val="00D73626"/>
    <w:rsid w:val="00D73795"/>
    <w:rsid w:val="00D73849"/>
    <w:rsid w:val="00D7389B"/>
    <w:rsid w:val="00D738D4"/>
    <w:rsid w:val="00D73926"/>
    <w:rsid w:val="00D73AE7"/>
    <w:rsid w:val="00D73B6D"/>
    <w:rsid w:val="00D74197"/>
    <w:rsid w:val="00D74352"/>
    <w:rsid w:val="00D74913"/>
    <w:rsid w:val="00D74EF0"/>
    <w:rsid w:val="00D752C0"/>
    <w:rsid w:val="00D755EE"/>
    <w:rsid w:val="00D75740"/>
    <w:rsid w:val="00D75B73"/>
    <w:rsid w:val="00D75DFA"/>
    <w:rsid w:val="00D76007"/>
    <w:rsid w:val="00D76A39"/>
    <w:rsid w:val="00D76FBD"/>
    <w:rsid w:val="00D77217"/>
    <w:rsid w:val="00D774A9"/>
    <w:rsid w:val="00D77582"/>
    <w:rsid w:val="00D801C7"/>
    <w:rsid w:val="00D80359"/>
    <w:rsid w:val="00D80BB0"/>
    <w:rsid w:val="00D80CC9"/>
    <w:rsid w:val="00D80ECF"/>
    <w:rsid w:val="00D80FF9"/>
    <w:rsid w:val="00D8148B"/>
    <w:rsid w:val="00D8184C"/>
    <w:rsid w:val="00D82110"/>
    <w:rsid w:val="00D823E4"/>
    <w:rsid w:val="00D82472"/>
    <w:rsid w:val="00D82AAF"/>
    <w:rsid w:val="00D83081"/>
    <w:rsid w:val="00D83A5E"/>
    <w:rsid w:val="00D8434E"/>
    <w:rsid w:val="00D84418"/>
    <w:rsid w:val="00D84527"/>
    <w:rsid w:val="00D84B36"/>
    <w:rsid w:val="00D84D13"/>
    <w:rsid w:val="00D84E86"/>
    <w:rsid w:val="00D8514E"/>
    <w:rsid w:val="00D85D8D"/>
    <w:rsid w:val="00D86127"/>
    <w:rsid w:val="00D862A5"/>
    <w:rsid w:val="00D86DAA"/>
    <w:rsid w:val="00D8705E"/>
    <w:rsid w:val="00D871A8"/>
    <w:rsid w:val="00D877B9"/>
    <w:rsid w:val="00D901B9"/>
    <w:rsid w:val="00D90386"/>
    <w:rsid w:val="00D90718"/>
    <w:rsid w:val="00D9090B"/>
    <w:rsid w:val="00D90961"/>
    <w:rsid w:val="00D90A7E"/>
    <w:rsid w:val="00D90D3F"/>
    <w:rsid w:val="00D90DAB"/>
    <w:rsid w:val="00D90E3F"/>
    <w:rsid w:val="00D9105E"/>
    <w:rsid w:val="00D911C5"/>
    <w:rsid w:val="00D912CC"/>
    <w:rsid w:val="00D915E4"/>
    <w:rsid w:val="00D915EC"/>
    <w:rsid w:val="00D9162B"/>
    <w:rsid w:val="00D917C7"/>
    <w:rsid w:val="00D91EAA"/>
    <w:rsid w:val="00D921F8"/>
    <w:rsid w:val="00D925B0"/>
    <w:rsid w:val="00D92AA1"/>
    <w:rsid w:val="00D92D12"/>
    <w:rsid w:val="00D92E04"/>
    <w:rsid w:val="00D93832"/>
    <w:rsid w:val="00D93C62"/>
    <w:rsid w:val="00D948E4"/>
    <w:rsid w:val="00D94BE4"/>
    <w:rsid w:val="00D9539F"/>
    <w:rsid w:val="00D953CC"/>
    <w:rsid w:val="00D953FD"/>
    <w:rsid w:val="00D95578"/>
    <w:rsid w:val="00D9568C"/>
    <w:rsid w:val="00D9623F"/>
    <w:rsid w:val="00D96415"/>
    <w:rsid w:val="00D9648C"/>
    <w:rsid w:val="00D964C0"/>
    <w:rsid w:val="00D9660B"/>
    <w:rsid w:val="00D966FB"/>
    <w:rsid w:val="00D96946"/>
    <w:rsid w:val="00D96BC1"/>
    <w:rsid w:val="00D96C63"/>
    <w:rsid w:val="00D96CD6"/>
    <w:rsid w:val="00D96EB1"/>
    <w:rsid w:val="00D9718F"/>
    <w:rsid w:val="00D971BC"/>
    <w:rsid w:val="00D972D1"/>
    <w:rsid w:val="00D97347"/>
    <w:rsid w:val="00D973CF"/>
    <w:rsid w:val="00DA0018"/>
    <w:rsid w:val="00DA0497"/>
    <w:rsid w:val="00DA0678"/>
    <w:rsid w:val="00DA0CDD"/>
    <w:rsid w:val="00DA1133"/>
    <w:rsid w:val="00DA1A47"/>
    <w:rsid w:val="00DA1C12"/>
    <w:rsid w:val="00DA2661"/>
    <w:rsid w:val="00DA2864"/>
    <w:rsid w:val="00DA2FAF"/>
    <w:rsid w:val="00DA356B"/>
    <w:rsid w:val="00DA3584"/>
    <w:rsid w:val="00DA3719"/>
    <w:rsid w:val="00DA39AF"/>
    <w:rsid w:val="00DA41D7"/>
    <w:rsid w:val="00DA4322"/>
    <w:rsid w:val="00DA49C7"/>
    <w:rsid w:val="00DA4BA5"/>
    <w:rsid w:val="00DA5848"/>
    <w:rsid w:val="00DA5E25"/>
    <w:rsid w:val="00DA5F3B"/>
    <w:rsid w:val="00DA5FC3"/>
    <w:rsid w:val="00DA6004"/>
    <w:rsid w:val="00DA6122"/>
    <w:rsid w:val="00DA68C4"/>
    <w:rsid w:val="00DA6CB0"/>
    <w:rsid w:val="00DA6D02"/>
    <w:rsid w:val="00DA6DB6"/>
    <w:rsid w:val="00DA7E90"/>
    <w:rsid w:val="00DB006F"/>
    <w:rsid w:val="00DB04A8"/>
    <w:rsid w:val="00DB0659"/>
    <w:rsid w:val="00DB0851"/>
    <w:rsid w:val="00DB0B74"/>
    <w:rsid w:val="00DB1447"/>
    <w:rsid w:val="00DB2612"/>
    <w:rsid w:val="00DB2745"/>
    <w:rsid w:val="00DB28C9"/>
    <w:rsid w:val="00DB2B5E"/>
    <w:rsid w:val="00DB334F"/>
    <w:rsid w:val="00DB33AC"/>
    <w:rsid w:val="00DB36B3"/>
    <w:rsid w:val="00DB36D3"/>
    <w:rsid w:val="00DB390C"/>
    <w:rsid w:val="00DB3EB7"/>
    <w:rsid w:val="00DB410A"/>
    <w:rsid w:val="00DB41E6"/>
    <w:rsid w:val="00DB46E1"/>
    <w:rsid w:val="00DB4A63"/>
    <w:rsid w:val="00DB5596"/>
    <w:rsid w:val="00DB5C18"/>
    <w:rsid w:val="00DB5C7A"/>
    <w:rsid w:val="00DB5D4E"/>
    <w:rsid w:val="00DB5F08"/>
    <w:rsid w:val="00DB60D5"/>
    <w:rsid w:val="00DB6122"/>
    <w:rsid w:val="00DB627F"/>
    <w:rsid w:val="00DB6463"/>
    <w:rsid w:val="00DB66D5"/>
    <w:rsid w:val="00DB69BB"/>
    <w:rsid w:val="00DB6ADD"/>
    <w:rsid w:val="00DB6B49"/>
    <w:rsid w:val="00DB7236"/>
    <w:rsid w:val="00DB7E87"/>
    <w:rsid w:val="00DC00C5"/>
    <w:rsid w:val="00DC0453"/>
    <w:rsid w:val="00DC0C44"/>
    <w:rsid w:val="00DC1550"/>
    <w:rsid w:val="00DC199A"/>
    <w:rsid w:val="00DC19D3"/>
    <w:rsid w:val="00DC2068"/>
    <w:rsid w:val="00DC231A"/>
    <w:rsid w:val="00DC2675"/>
    <w:rsid w:val="00DC2757"/>
    <w:rsid w:val="00DC28E0"/>
    <w:rsid w:val="00DC2CF9"/>
    <w:rsid w:val="00DC2E05"/>
    <w:rsid w:val="00DC2EF5"/>
    <w:rsid w:val="00DC2F7A"/>
    <w:rsid w:val="00DC30FF"/>
    <w:rsid w:val="00DC3147"/>
    <w:rsid w:val="00DC316E"/>
    <w:rsid w:val="00DC33A5"/>
    <w:rsid w:val="00DC342A"/>
    <w:rsid w:val="00DC3582"/>
    <w:rsid w:val="00DC3B80"/>
    <w:rsid w:val="00DC3F2C"/>
    <w:rsid w:val="00DC4385"/>
    <w:rsid w:val="00DC456C"/>
    <w:rsid w:val="00DC4CA6"/>
    <w:rsid w:val="00DC4DE8"/>
    <w:rsid w:val="00DC5174"/>
    <w:rsid w:val="00DC5A16"/>
    <w:rsid w:val="00DC5E34"/>
    <w:rsid w:val="00DC60CC"/>
    <w:rsid w:val="00DC6786"/>
    <w:rsid w:val="00DC6E69"/>
    <w:rsid w:val="00DC7040"/>
    <w:rsid w:val="00DC725F"/>
    <w:rsid w:val="00DC727A"/>
    <w:rsid w:val="00DC73DA"/>
    <w:rsid w:val="00DC78E1"/>
    <w:rsid w:val="00DC7D98"/>
    <w:rsid w:val="00DC7E68"/>
    <w:rsid w:val="00DD0368"/>
    <w:rsid w:val="00DD0860"/>
    <w:rsid w:val="00DD0FCD"/>
    <w:rsid w:val="00DD10AF"/>
    <w:rsid w:val="00DD17BD"/>
    <w:rsid w:val="00DD193F"/>
    <w:rsid w:val="00DD1C41"/>
    <w:rsid w:val="00DD1EEF"/>
    <w:rsid w:val="00DD1F49"/>
    <w:rsid w:val="00DD256F"/>
    <w:rsid w:val="00DD2D0E"/>
    <w:rsid w:val="00DD3406"/>
    <w:rsid w:val="00DD35F1"/>
    <w:rsid w:val="00DD401E"/>
    <w:rsid w:val="00DD47C9"/>
    <w:rsid w:val="00DD4A14"/>
    <w:rsid w:val="00DD4AB7"/>
    <w:rsid w:val="00DD50C0"/>
    <w:rsid w:val="00DD5E51"/>
    <w:rsid w:val="00DD63C8"/>
    <w:rsid w:val="00DD6BDF"/>
    <w:rsid w:val="00DD6D0E"/>
    <w:rsid w:val="00DD76EF"/>
    <w:rsid w:val="00DE0386"/>
    <w:rsid w:val="00DE0635"/>
    <w:rsid w:val="00DE1136"/>
    <w:rsid w:val="00DE1186"/>
    <w:rsid w:val="00DE120C"/>
    <w:rsid w:val="00DE1743"/>
    <w:rsid w:val="00DE19FA"/>
    <w:rsid w:val="00DE2320"/>
    <w:rsid w:val="00DE2958"/>
    <w:rsid w:val="00DE2AD2"/>
    <w:rsid w:val="00DE2D50"/>
    <w:rsid w:val="00DE2F92"/>
    <w:rsid w:val="00DE367F"/>
    <w:rsid w:val="00DE3829"/>
    <w:rsid w:val="00DE38AB"/>
    <w:rsid w:val="00DE3AA0"/>
    <w:rsid w:val="00DE3EE9"/>
    <w:rsid w:val="00DE417C"/>
    <w:rsid w:val="00DE4318"/>
    <w:rsid w:val="00DE476D"/>
    <w:rsid w:val="00DE5ABB"/>
    <w:rsid w:val="00DE64CA"/>
    <w:rsid w:val="00DE6649"/>
    <w:rsid w:val="00DE6A0E"/>
    <w:rsid w:val="00DE6F58"/>
    <w:rsid w:val="00DE7190"/>
    <w:rsid w:val="00DE7306"/>
    <w:rsid w:val="00DE788D"/>
    <w:rsid w:val="00DE79BA"/>
    <w:rsid w:val="00DE7CAA"/>
    <w:rsid w:val="00DE7D84"/>
    <w:rsid w:val="00DE7DEE"/>
    <w:rsid w:val="00DE7E8A"/>
    <w:rsid w:val="00DF019D"/>
    <w:rsid w:val="00DF0206"/>
    <w:rsid w:val="00DF0FC0"/>
    <w:rsid w:val="00DF12C9"/>
    <w:rsid w:val="00DF13E0"/>
    <w:rsid w:val="00DF1677"/>
    <w:rsid w:val="00DF1E3F"/>
    <w:rsid w:val="00DF2375"/>
    <w:rsid w:val="00DF271C"/>
    <w:rsid w:val="00DF273A"/>
    <w:rsid w:val="00DF2791"/>
    <w:rsid w:val="00DF279B"/>
    <w:rsid w:val="00DF2941"/>
    <w:rsid w:val="00DF2CBB"/>
    <w:rsid w:val="00DF2FEE"/>
    <w:rsid w:val="00DF35AC"/>
    <w:rsid w:val="00DF35B5"/>
    <w:rsid w:val="00DF3CEC"/>
    <w:rsid w:val="00DF3F04"/>
    <w:rsid w:val="00DF3F7E"/>
    <w:rsid w:val="00DF41D0"/>
    <w:rsid w:val="00DF44F1"/>
    <w:rsid w:val="00DF4698"/>
    <w:rsid w:val="00DF4808"/>
    <w:rsid w:val="00DF4D9C"/>
    <w:rsid w:val="00DF4E30"/>
    <w:rsid w:val="00DF54BA"/>
    <w:rsid w:val="00DF56C1"/>
    <w:rsid w:val="00DF583C"/>
    <w:rsid w:val="00DF596D"/>
    <w:rsid w:val="00DF5A38"/>
    <w:rsid w:val="00DF5D0E"/>
    <w:rsid w:val="00DF60FF"/>
    <w:rsid w:val="00DF6603"/>
    <w:rsid w:val="00DF6660"/>
    <w:rsid w:val="00DF666E"/>
    <w:rsid w:val="00DF6A01"/>
    <w:rsid w:val="00E00098"/>
    <w:rsid w:val="00E00733"/>
    <w:rsid w:val="00E00749"/>
    <w:rsid w:val="00E00863"/>
    <w:rsid w:val="00E00C2D"/>
    <w:rsid w:val="00E00F61"/>
    <w:rsid w:val="00E01322"/>
    <w:rsid w:val="00E0145F"/>
    <w:rsid w:val="00E01461"/>
    <w:rsid w:val="00E014D4"/>
    <w:rsid w:val="00E01786"/>
    <w:rsid w:val="00E01AD6"/>
    <w:rsid w:val="00E01F91"/>
    <w:rsid w:val="00E02134"/>
    <w:rsid w:val="00E021BF"/>
    <w:rsid w:val="00E0272B"/>
    <w:rsid w:val="00E027CF"/>
    <w:rsid w:val="00E02C35"/>
    <w:rsid w:val="00E033D2"/>
    <w:rsid w:val="00E033E5"/>
    <w:rsid w:val="00E038ED"/>
    <w:rsid w:val="00E03C28"/>
    <w:rsid w:val="00E03CB6"/>
    <w:rsid w:val="00E04537"/>
    <w:rsid w:val="00E045E4"/>
    <w:rsid w:val="00E047AF"/>
    <w:rsid w:val="00E04C46"/>
    <w:rsid w:val="00E04CA6"/>
    <w:rsid w:val="00E0561E"/>
    <w:rsid w:val="00E0574C"/>
    <w:rsid w:val="00E05880"/>
    <w:rsid w:val="00E06409"/>
    <w:rsid w:val="00E064B9"/>
    <w:rsid w:val="00E06615"/>
    <w:rsid w:val="00E06A7C"/>
    <w:rsid w:val="00E06FCB"/>
    <w:rsid w:val="00E07227"/>
    <w:rsid w:val="00E07CCC"/>
    <w:rsid w:val="00E1000D"/>
    <w:rsid w:val="00E1005D"/>
    <w:rsid w:val="00E10711"/>
    <w:rsid w:val="00E11264"/>
    <w:rsid w:val="00E116D2"/>
    <w:rsid w:val="00E118A2"/>
    <w:rsid w:val="00E11FC1"/>
    <w:rsid w:val="00E121A1"/>
    <w:rsid w:val="00E1246E"/>
    <w:rsid w:val="00E12579"/>
    <w:rsid w:val="00E125D4"/>
    <w:rsid w:val="00E128FD"/>
    <w:rsid w:val="00E12BA1"/>
    <w:rsid w:val="00E12C60"/>
    <w:rsid w:val="00E12F98"/>
    <w:rsid w:val="00E1301E"/>
    <w:rsid w:val="00E138F6"/>
    <w:rsid w:val="00E141A4"/>
    <w:rsid w:val="00E14302"/>
    <w:rsid w:val="00E14D8B"/>
    <w:rsid w:val="00E15851"/>
    <w:rsid w:val="00E15DE5"/>
    <w:rsid w:val="00E160D6"/>
    <w:rsid w:val="00E16109"/>
    <w:rsid w:val="00E16427"/>
    <w:rsid w:val="00E16805"/>
    <w:rsid w:val="00E170BD"/>
    <w:rsid w:val="00E176AF"/>
    <w:rsid w:val="00E17ED4"/>
    <w:rsid w:val="00E2002D"/>
    <w:rsid w:val="00E2032D"/>
    <w:rsid w:val="00E20BBC"/>
    <w:rsid w:val="00E20CB9"/>
    <w:rsid w:val="00E20E9A"/>
    <w:rsid w:val="00E21E83"/>
    <w:rsid w:val="00E22433"/>
    <w:rsid w:val="00E232E9"/>
    <w:rsid w:val="00E23537"/>
    <w:rsid w:val="00E2392C"/>
    <w:rsid w:val="00E23FA5"/>
    <w:rsid w:val="00E2432B"/>
    <w:rsid w:val="00E243D5"/>
    <w:rsid w:val="00E24790"/>
    <w:rsid w:val="00E24C59"/>
    <w:rsid w:val="00E24E26"/>
    <w:rsid w:val="00E24F16"/>
    <w:rsid w:val="00E25371"/>
    <w:rsid w:val="00E254E6"/>
    <w:rsid w:val="00E25819"/>
    <w:rsid w:val="00E25B68"/>
    <w:rsid w:val="00E261B2"/>
    <w:rsid w:val="00E26254"/>
    <w:rsid w:val="00E2651F"/>
    <w:rsid w:val="00E269D1"/>
    <w:rsid w:val="00E26C03"/>
    <w:rsid w:val="00E26CDF"/>
    <w:rsid w:val="00E27CEF"/>
    <w:rsid w:val="00E27D34"/>
    <w:rsid w:val="00E307B5"/>
    <w:rsid w:val="00E30A6F"/>
    <w:rsid w:val="00E30C61"/>
    <w:rsid w:val="00E30F62"/>
    <w:rsid w:val="00E30F75"/>
    <w:rsid w:val="00E31725"/>
    <w:rsid w:val="00E318E6"/>
    <w:rsid w:val="00E319A3"/>
    <w:rsid w:val="00E31AF9"/>
    <w:rsid w:val="00E31B50"/>
    <w:rsid w:val="00E32294"/>
    <w:rsid w:val="00E32699"/>
    <w:rsid w:val="00E327CC"/>
    <w:rsid w:val="00E32E2C"/>
    <w:rsid w:val="00E33140"/>
    <w:rsid w:val="00E333D8"/>
    <w:rsid w:val="00E336F1"/>
    <w:rsid w:val="00E33BD8"/>
    <w:rsid w:val="00E33C8A"/>
    <w:rsid w:val="00E33E29"/>
    <w:rsid w:val="00E33F61"/>
    <w:rsid w:val="00E34480"/>
    <w:rsid w:val="00E34E25"/>
    <w:rsid w:val="00E34F9E"/>
    <w:rsid w:val="00E35484"/>
    <w:rsid w:val="00E36708"/>
    <w:rsid w:val="00E36B77"/>
    <w:rsid w:val="00E36F20"/>
    <w:rsid w:val="00E37307"/>
    <w:rsid w:val="00E37A4F"/>
    <w:rsid w:val="00E37D9F"/>
    <w:rsid w:val="00E37DEB"/>
    <w:rsid w:val="00E40630"/>
    <w:rsid w:val="00E407DE"/>
    <w:rsid w:val="00E40A22"/>
    <w:rsid w:val="00E40CEE"/>
    <w:rsid w:val="00E40DAD"/>
    <w:rsid w:val="00E4167D"/>
    <w:rsid w:val="00E4171E"/>
    <w:rsid w:val="00E41853"/>
    <w:rsid w:val="00E418FF"/>
    <w:rsid w:val="00E41923"/>
    <w:rsid w:val="00E42757"/>
    <w:rsid w:val="00E42AC8"/>
    <w:rsid w:val="00E42B53"/>
    <w:rsid w:val="00E42BB6"/>
    <w:rsid w:val="00E42CB4"/>
    <w:rsid w:val="00E42FD6"/>
    <w:rsid w:val="00E43074"/>
    <w:rsid w:val="00E43FB3"/>
    <w:rsid w:val="00E441C3"/>
    <w:rsid w:val="00E445FC"/>
    <w:rsid w:val="00E44A7C"/>
    <w:rsid w:val="00E44EE9"/>
    <w:rsid w:val="00E44F95"/>
    <w:rsid w:val="00E45721"/>
    <w:rsid w:val="00E45B61"/>
    <w:rsid w:val="00E45BBC"/>
    <w:rsid w:val="00E45DA8"/>
    <w:rsid w:val="00E45E04"/>
    <w:rsid w:val="00E46574"/>
    <w:rsid w:val="00E465AD"/>
    <w:rsid w:val="00E46AC9"/>
    <w:rsid w:val="00E47CE8"/>
    <w:rsid w:val="00E50071"/>
    <w:rsid w:val="00E50651"/>
    <w:rsid w:val="00E50A0E"/>
    <w:rsid w:val="00E50B5D"/>
    <w:rsid w:val="00E50DB2"/>
    <w:rsid w:val="00E512FB"/>
    <w:rsid w:val="00E514C6"/>
    <w:rsid w:val="00E515F8"/>
    <w:rsid w:val="00E521D8"/>
    <w:rsid w:val="00E522B2"/>
    <w:rsid w:val="00E529C3"/>
    <w:rsid w:val="00E52B68"/>
    <w:rsid w:val="00E5340D"/>
    <w:rsid w:val="00E5363B"/>
    <w:rsid w:val="00E539DD"/>
    <w:rsid w:val="00E53DDA"/>
    <w:rsid w:val="00E54169"/>
    <w:rsid w:val="00E543E0"/>
    <w:rsid w:val="00E545C6"/>
    <w:rsid w:val="00E54AAC"/>
    <w:rsid w:val="00E54E65"/>
    <w:rsid w:val="00E5576B"/>
    <w:rsid w:val="00E5595E"/>
    <w:rsid w:val="00E55AF7"/>
    <w:rsid w:val="00E55E9A"/>
    <w:rsid w:val="00E55F17"/>
    <w:rsid w:val="00E56F6A"/>
    <w:rsid w:val="00E57056"/>
    <w:rsid w:val="00E5764A"/>
    <w:rsid w:val="00E57777"/>
    <w:rsid w:val="00E5793B"/>
    <w:rsid w:val="00E57B75"/>
    <w:rsid w:val="00E57D64"/>
    <w:rsid w:val="00E57E87"/>
    <w:rsid w:val="00E60CDD"/>
    <w:rsid w:val="00E60CF7"/>
    <w:rsid w:val="00E60DDF"/>
    <w:rsid w:val="00E61BEC"/>
    <w:rsid w:val="00E622C3"/>
    <w:rsid w:val="00E6250E"/>
    <w:rsid w:val="00E625CD"/>
    <w:rsid w:val="00E62952"/>
    <w:rsid w:val="00E62BE9"/>
    <w:rsid w:val="00E632BF"/>
    <w:rsid w:val="00E640D4"/>
    <w:rsid w:val="00E6453A"/>
    <w:rsid w:val="00E648C7"/>
    <w:rsid w:val="00E649E0"/>
    <w:rsid w:val="00E64D22"/>
    <w:rsid w:val="00E64DDF"/>
    <w:rsid w:val="00E6503E"/>
    <w:rsid w:val="00E650AC"/>
    <w:rsid w:val="00E65BB4"/>
    <w:rsid w:val="00E65C6C"/>
    <w:rsid w:val="00E66931"/>
    <w:rsid w:val="00E66F88"/>
    <w:rsid w:val="00E67342"/>
    <w:rsid w:val="00E67616"/>
    <w:rsid w:val="00E67853"/>
    <w:rsid w:val="00E67ADA"/>
    <w:rsid w:val="00E67B81"/>
    <w:rsid w:val="00E67D2A"/>
    <w:rsid w:val="00E70378"/>
    <w:rsid w:val="00E705CC"/>
    <w:rsid w:val="00E7099A"/>
    <w:rsid w:val="00E70B71"/>
    <w:rsid w:val="00E70DED"/>
    <w:rsid w:val="00E71220"/>
    <w:rsid w:val="00E71602"/>
    <w:rsid w:val="00E718C9"/>
    <w:rsid w:val="00E71B05"/>
    <w:rsid w:val="00E7244E"/>
    <w:rsid w:val="00E727D2"/>
    <w:rsid w:val="00E73258"/>
    <w:rsid w:val="00E73627"/>
    <w:rsid w:val="00E73768"/>
    <w:rsid w:val="00E73A5D"/>
    <w:rsid w:val="00E7461D"/>
    <w:rsid w:val="00E747AC"/>
    <w:rsid w:val="00E74A7C"/>
    <w:rsid w:val="00E74B50"/>
    <w:rsid w:val="00E754E4"/>
    <w:rsid w:val="00E7583A"/>
    <w:rsid w:val="00E75D52"/>
    <w:rsid w:val="00E76DDA"/>
    <w:rsid w:val="00E77038"/>
    <w:rsid w:val="00E774CF"/>
    <w:rsid w:val="00E77C00"/>
    <w:rsid w:val="00E77EB8"/>
    <w:rsid w:val="00E77F0A"/>
    <w:rsid w:val="00E800ED"/>
    <w:rsid w:val="00E80590"/>
    <w:rsid w:val="00E8072F"/>
    <w:rsid w:val="00E80D20"/>
    <w:rsid w:val="00E811DB"/>
    <w:rsid w:val="00E8171D"/>
    <w:rsid w:val="00E81877"/>
    <w:rsid w:val="00E81BA8"/>
    <w:rsid w:val="00E81D7E"/>
    <w:rsid w:val="00E8212C"/>
    <w:rsid w:val="00E823AB"/>
    <w:rsid w:val="00E82E5B"/>
    <w:rsid w:val="00E83209"/>
    <w:rsid w:val="00E835B4"/>
    <w:rsid w:val="00E836B2"/>
    <w:rsid w:val="00E83949"/>
    <w:rsid w:val="00E83BFB"/>
    <w:rsid w:val="00E83CFD"/>
    <w:rsid w:val="00E83E67"/>
    <w:rsid w:val="00E84598"/>
    <w:rsid w:val="00E848C5"/>
    <w:rsid w:val="00E84EF4"/>
    <w:rsid w:val="00E84FAC"/>
    <w:rsid w:val="00E852CF"/>
    <w:rsid w:val="00E8565A"/>
    <w:rsid w:val="00E85675"/>
    <w:rsid w:val="00E86939"/>
    <w:rsid w:val="00E86C3F"/>
    <w:rsid w:val="00E86CA8"/>
    <w:rsid w:val="00E8766F"/>
    <w:rsid w:val="00E90156"/>
    <w:rsid w:val="00E9042B"/>
    <w:rsid w:val="00E909D4"/>
    <w:rsid w:val="00E90E1D"/>
    <w:rsid w:val="00E91032"/>
    <w:rsid w:val="00E9112C"/>
    <w:rsid w:val="00E9136C"/>
    <w:rsid w:val="00E9149B"/>
    <w:rsid w:val="00E918B9"/>
    <w:rsid w:val="00E91DEC"/>
    <w:rsid w:val="00E91E40"/>
    <w:rsid w:val="00E92BB9"/>
    <w:rsid w:val="00E92BC1"/>
    <w:rsid w:val="00E92C0F"/>
    <w:rsid w:val="00E92C24"/>
    <w:rsid w:val="00E93069"/>
    <w:rsid w:val="00E934BF"/>
    <w:rsid w:val="00E93772"/>
    <w:rsid w:val="00E94187"/>
    <w:rsid w:val="00E9447C"/>
    <w:rsid w:val="00E94CC7"/>
    <w:rsid w:val="00E94D73"/>
    <w:rsid w:val="00E9503B"/>
    <w:rsid w:val="00E9535E"/>
    <w:rsid w:val="00E95695"/>
    <w:rsid w:val="00E95C7C"/>
    <w:rsid w:val="00E95D07"/>
    <w:rsid w:val="00E96351"/>
    <w:rsid w:val="00E9658E"/>
    <w:rsid w:val="00E9681B"/>
    <w:rsid w:val="00E96B58"/>
    <w:rsid w:val="00E96E5B"/>
    <w:rsid w:val="00E97754"/>
    <w:rsid w:val="00E97AC6"/>
    <w:rsid w:val="00E97BD4"/>
    <w:rsid w:val="00EA0135"/>
    <w:rsid w:val="00EA05D5"/>
    <w:rsid w:val="00EA0A5B"/>
    <w:rsid w:val="00EA10A5"/>
    <w:rsid w:val="00EA17B6"/>
    <w:rsid w:val="00EA18F1"/>
    <w:rsid w:val="00EA1945"/>
    <w:rsid w:val="00EA1B17"/>
    <w:rsid w:val="00EA1DBB"/>
    <w:rsid w:val="00EA1E33"/>
    <w:rsid w:val="00EA1E84"/>
    <w:rsid w:val="00EA25FF"/>
    <w:rsid w:val="00EA2AC6"/>
    <w:rsid w:val="00EA2B9F"/>
    <w:rsid w:val="00EA3382"/>
    <w:rsid w:val="00EA348D"/>
    <w:rsid w:val="00EA35C4"/>
    <w:rsid w:val="00EA3606"/>
    <w:rsid w:val="00EA369E"/>
    <w:rsid w:val="00EA3A34"/>
    <w:rsid w:val="00EA4424"/>
    <w:rsid w:val="00EA4475"/>
    <w:rsid w:val="00EA496E"/>
    <w:rsid w:val="00EA4B34"/>
    <w:rsid w:val="00EA5772"/>
    <w:rsid w:val="00EA5C88"/>
    <w:rsid w:val="00EA5F68"/>
    <w:rsid w:val="00EA619E"/>
    <w:rsid w:val="00EA6495"/>
    <w:rsid w:val="00EA68A4"/>
    <w:rsid w:val="00EA7284"/>
    <w:rsid w:val="00EA7960"/>
    <w:rsid w:val="00EA7C4C"/>
    <w:rsid w:val="00EA7E92"/>
    <w:rsid w:val="00EB0CC9"/>
    <w:rsid w:val="00EB0CDC"/>
    <w:rsid w:val="00EB0D9A"/>
    <w:rsid w:val="00EB0DC3"/>
    <w:rsid w:val="00EB1098"/>
    <w:rsid w:val="00EB1330"/>
    <w:rsid w:val="00EB1B98"/>
    <w:rsid w:val="00EB2188"/>
    <w:rsid w:val="00EB23AE"/>
    <w:rsid w:val="00EB2E0F"/>
    <w:rsid w:val="00EB2F03"/>
    <w:rsid w:val="00EB3135"/>
    <w:rsid w:val="00EB349D"/>
    <w:rsid w:val="00EB45A7"/>
    <w:rsid w:val="00EB4683"/>
    <w:rsid w:val="00EB4FB8"/>
    <w:rsid w:val="00EB543F"/>
    <w:rsid w:val="00EB56B1"/>
    <w:rsid w:val="00EB5A30"/>
    <w:rsid w:val="00EB5CF1"/>
    <w:rsid w:val="00EB68F8"/>
    <w:rsid w:val="00EB6A6A"/>
    <w:rsid w:val="00EB6FF2"/>
    <w:rsid w:val="00EB7B32"/>
    <w:rsid w:val="00EB7F43"/>
    <w:rsid w:val="00EC0A5C"/>
    <w:rsid w:val="00EC105F"/>
    <w:rsid w:val="00EC1675"/>
    <w:rsid w:val="00EC18E6"/>
    <w:rsid w:val="00EC243C"/>
    <w:rsid w:val="00EC25D8"/>
    <w:rsid w:val="00EC2929"/>
    <w:rsid w:val="00EC2A27"/>
    <w:rsid w:val="00EC33FA"/>
    <w:rsid w:val="00EC36C5"/>
    <w:rsid w:val="00EC3B8D"/>
    <w:rsid w:val="00EC3F4B"/>
    <w:rsid w:val="00EC41D2"/>
    <w:rsid w:val="00EC4379"/>
    <w:rsid w:val="00EC442A"/>
    <w:rsid w:val="00EC458C"/>
    <w:rsid w:val="00EC4C93"/>
    <w:rsid w:val="00EC58CD"/>
    <w:rsid w:val="00EC5988"/>
    <w:rsid w:val="00EC5CF9"/>
    <w:rsid w:val="00EC5EB6"/>
    <w:rsid w:val="00EC5F1F"/>
    <w:rsid w:val="00EC6474"/>
    <w:rsid w:val="00EC6530"/>
    <w:rsid w:val="00EC6B6B"/>
    <w:rsid w:val="00EC6BC1"/>
    <w:rsid w:val="00EC6C26"/>
    <w:rsid w:val="00EC6F12"/>
    <w:rsid w:val="00EC7257"/>
    <w:rsid w:val="00EC7329"/>
    <w:rsid w:val="00EC788E"/>
    <w:rsid w:val="00EC7C45"/>
    <w:rsid w:val="00ED0342"/>
    <w:rsid w:val="00ED0759"/>
    <w:rsid w:val="00ED10DF"/>
    <w:rsid w:val="00ED1239"/>
    <w:rsid w:val="00ED1806"/>
    <w:rsid w:val="00ED2C60"/>
    <w:rsid w:val="00ED3125"/>
    <w:rsid w:val="00ED31E8"/>
    <w:rsid w:val="00ED372A"/>
    <w:rsid w:val="00ED383D"/>
    <w:rsid w:val="00ED42B5"/>
    <w:rsid w:val="00ED44A3"/>
    <w:rsid w:val="00ED4814"/>
    <w:rsid w:val="00ED50DE"/>
    <w:rsid w:val="00ED53EB"/>
    <w:rsid w:val="00ED5637"/>
    <w:rsid w:val="00ED5C72"/>
    <w:rsid w:val="00ED5DFB"/>
    <w:rsid w:val="00ED5EA8"/>
    <w:rsid w:val="00ED7034"/>
    <w:rsid w:val="00ED7106"/>
    <w:rsid w:val="00ED71F7"/>
    <w:rsid w:val="00ED74A5"/>
    <w:rsid w:val="00ED7570"/>
    <w:rsid w:val="00ED759E"/>
    <w:rsid w:val="00ED75A9"/>
    <w:rsid w:val="00ED7EEA"/>
    <w:rsid w:val="00EE01DB"/>
    <w:rsid w:val="00EE039E"/>
    <w:rsid w:val="00EE0439"/>
    <w:rsid w:val="00EE0619"/>
    <w:rsid w:val="00EE0A56"/>
    <w:rsid w:val="00EE0AD6"/>
    <w:rsid w:val="00EE0B85"/>
    <w:rsid w:val="00EE0BAC"/>
    <w:rsid w:val="00EE1B6B"/>
    <w:rsid w:val="00EE1DA3"/>
    <w:rsid w:val="00EE252D"/>
    <w:rsid w:val="00EE2DDA"/>
    <w:rsid w:val="00EE2E1D"/>
    <w:rsid w:val="00EE300F"/>
    <w:rsid w:val="00EE3199"/>
    <w:rsid w:val="00EE3B57"/>
    <w:rsid w:val="00EE3E09"/>
    <w:rsid w:val="00EE4103"/>
    <w:rsid w:val="00EE42C3"/>
    <w:rsid w:val="00EE452E"/>
    <w:rsid w:val="00EE487A"/>
    <w:rsid w:val="00EE4DB1"/>
    <w:rsid w:val="00EE520D"/>
    <w:rsid w:val="00EE5AC7"/>
    <w:rsid w:val="00EE6137"/>
    <w:rsid w:val="00EE634C"/>
    <w:rsid w:val="00EE674B"/>
    <w:rsid w:val="00EE71C8"/>
    <w:rsid w:val="00EE737F"/>
    <w:rsid w:val="00EE767B"/>
    <w:rsid w:val="00EE767E"/>
    <w:rsid w:val="00EE76ED"/>
    <w:rsid w:val="00EE7B24"/>
    <w:rsid w:val="00EF0013"/>
    <w:rsid w:val="00EF0BC9"/>
    <w:rsid w:val="00EF11D4"/>
    <w:rsid w:val="00EF1526"/>
    <w:rsid w:val="00EF2092"/>
    <w:rsid w:val="00EF29FE"/>
    <w:rsid w:val="00EF2F49"/>
    <w:rsid w:val="00EF310B"/>
    <w:rsid w:val="00EF3A75"/>
    <w:rsid w:val="00EF3D0C"/>
    <w:rsid w:val="00EF450D"/>
    <w:rsid w:val="00EF45D7"/>
    <w:rsid w:val="00EF4611"/>
    <w:rsid w:val="00EF47C3"/>
    <w:rsid w:val="00EF48BC"/>
    <w:rsid w:val="00EF4967"/>
    <w:rsid w:val="00EF4B4A"/>
    <w:rsid w:val="00EF52D1"/>
    <w:rsid w:val="00EF541C"/>
    <w:rsid w:val="00EF5A9C"/>
    <w:rsid w:val="00EF5C74"/>
    <w:rsid w:val="00EF6FB7"/>
    <w:rsid w:val="00EF6FC3"/>
    <w:rsid w:val="00EF71BD"/>
    <w:rsid w:val="00EF72CB"/>
    <w:rsid w:val="00EF736B"/>
    <w:rsid w:val="00EF74A5"/>
    <w:rsid w:val="00EF7AA8"/>
    <w:rsid w:val="00F0039A"/>
    <w:rsid w:val="00F008B6"/>
    <w:rsid w:val="00F0093A"/>
    <w:rsid w:val="00F00CD6"/>
    <w:rsid w:val="00F00F8C"/>
    <w:rsid w:val="00F01233"/>
    <w:rsid w:val="00F017E4"/>
    <w:rsid w:val="00F01F50"/>
    <w:rsid w:val="00F02370"/>
    <w:rsid w:val="00F02871"/>
    <w:rsid w:val="00F029BA"/>
    <w:rsid w:val="00F02AC7"/>
    <w:rsid w:val="00F02C83"/>
    <w:rsid w:val="00F0301F"/>
    <w:rsid w:val="00F032DC"/>
    <w:rsid w:val="00F03DFF"/>
    <w:rsid w:val="00F03E8D"/>
    <w:rsid w:val="00F0422A"/>
    <w:rsid w:val="00F049F3"/>
    <w:rsid w:val="00F04AF2"/>
    <w:rsid w:val="00F04E85"/>
    <w:rsid w:val="00F04EE0"/>
    <w:rsid w:val="00F050AF"/>
    <w:rsid w:val="00F05C75"/>
    <w:rsid w:val="00F05E9D"/>
    <w:rsid w:val="00F066D7"/>
    <w:rsid w:val="00F0681C"/>
    <w:rsid w:val="00F06B37"/>
    <w:rsid w:val="00F06DF9"/>
    <w:rsid w:val="00F06F97"/>
    <w:rsid w:val="00F07174"/>
    <w:rsid w:val="00F0728D"/>
    <w:rsid w:val="00F07843"/>
    <w:rsid w:val="00F07882"/>
    <w:rsid w:val="00F07F57"/>
    <w:rsid w:val="00F10131"/>
    <w:rsid w:val="00F107B8"/>
    <w:rsid w:val="00F10BFD"/>
    <w:rsid w:val="00F10D66"/>
    <w:rsid w:val="00F10FBB"/>
    <w:rsid w:val="00F112BC"/>
    <w:rsid w:val="00F1166E"/>
    <w:rsid w:val="00F11952"/>
    <w:rsid w:val="00F11EC8"/>
    <w:rsid w:val="00F12084"/>
    <w:rsid w:val="00F12702"/>
    <w:rsid w:val="00F128CE"/>
    <w:rsid w:val="00F12C6F"/>
    <w:rsid w:val="00F13286"/>
    <w:rsid w:val="00F1478E"/>
    <w:rsid w:val="00F14A28"/>
    <w:rsid w:val="00F14A98"/>
    <w:rsid w:val="00F14C41"/>
    <w:rsid w:val="00F14C76"/>
    <w:rsid w:val="00F14CBB"/>
    <w:rsid w:val="00F15510"/>
    <w:rsid w:val="00F15596"/>
    <w:rsid w:val="00F15AD5"/>
    <w:rsid w:val="00F15F0F"/>
    <w:rsid w:val="00F161E1"/>
    <w:rsid w:val="00F1621C"/>
    <w:rsid w:val="00F164D6"/>
    <w:rsid w:val="00F16BFF"/>
    <w:rsid w:val="00F17518"/>
    <w:rsid w:val="00F17E92"/>
    <w:rsid w:val="00F20241"/>
    <w:rsid w:val="00F20D01"/>
    <w:rsid w:val="00F21296"/>
    <w:rsid w:val="00F21486"/>
    <w:rsid w:val="00F217FD"/>
    <w:rsid w:val="00F21906"/>
    <w:rsid w:val="00F2193C"/>
    <w:rsid w:val="00F21E9D"/>
    <w:rsid w:val="00F22117"/>
    <w:rsid w:val="00F221BC"/>
    <w:rsid w:val="00F2235F"/>
    <w:rsid w:val="00F22726"/>
    <w:rsid w:val="00F228E8"/>
    <w:rsid w:val="00F22D56"/>
    <w:rsid w:val="00F23340"/>
    <w:rsid w:val="00F23397"/>
    <w:rsid w:val="00F2356E"/>
    <w:rsid w:val="00F23D17"/>
    <w:rsid w:val="00F247C2"/>
    <w:rsid w:val="00F2482F"/>
    <w:rsid w:val="00F24FBC"/>
    <w:rsid w:val="00F25323"/>
    <w:rsid w:val="00F2554E"/>
    <w:rsid w:val="00F25BC2"/>
    <w:rsid w:val="00F2604A"/>
    <w:rsid w:val="00F26501"/>
    <w:rsid w:val="00F265E6"/>
    <w:rsid w:val="00F26675"/>
    <w:rsid w:val="00F2709B"/>
    <w:rsid w:val="00F27238"/>
    <w:rsid w:val="00F2765F"/>
    <w:rsid w:val="00F27875"/>
    <w:rsid w:val="00F279CE"/>
    <w:rsid w:val="00F301ED"/>
    <w:rsid w:val="00F302FE"/>
    <w:rsid w:val="00F303E3"/>
    <w:rsid w:val="00F30D13"/>
    <w:rsid w:val="00F30E8A"/>
    <w:rsid w:val="00F30F77"/>
    <w:rsid w:val="00F31123"/>
    <w:rsid w:val="00F3147C"/>
    <w:rsid w:val="00F320F1"/>
    <w:rsid w:val="00F3226F"/>
    <w:rsid w:val="00F32DAB"/>
    <w:rsid w:val="00F33051"/>
    <w:rsid w:val="00F33233"/>
    <w:rsid w:val="00F3371B"/>
    <w:rsid w:val="00F33744"/>
    <w:rsid w:val="00F33B90"/>
    <w:rsid w:val="00F33F0C"/>
    <w:rsid w:val="00F3431C"/>
    <w:rsid w:val="00F344DE"/>
    <w:rsid w:val="00F35D62"/>
    <w:rsid w:val="00F36097"/>
    <w:rsid w:val="00F36151"/>
    <w:rsid w:val="00F3664C"/>
    <w:rsid w:val="00F36754"/>
    <w:rsid w:val="00F36826"/>
    <w:rsid w:val="00F36AF3"/>
    <w:rsid w:val="00F37149"/>
    <w:rsid w:val="00F3745C"/>
    <w:rsid w:val="00F3748B"/>
    <w:rsid w:val="00F37B45"/>
    <w:rsid w:val="00F37C4B"/>
    <w:rsid w:val="00F400D4"/>
    <w:rsid w:val="00F40220"/>
    <w:rsid w:val="00F4046C"/>
    <w:rsid w:val="00F406F8"/>
    <w:rsid w:val="00F4077C"/>
    <w:rsid w:val="00F40D4A"/>
    <w:rsid w:val="00F40F3E"/>
    <w:rsid w:val="00F416A5"/>
    <w:rsid w:val="00F41BD5"/>
    <w:rsid w:val="00F41FAA"/>
    <w:rsid w:val="00F42366"/>
    <w:rsid w:val="00F42C90"/>
    <w:rsid w:val="00F42F9A"/>
    <w:rsid w:val="00F43508"/>
    <w:rsid w:val="00F43679"/>
    <w:rsid w:val="00F43826"/>
    <w:rsid w:val="00F43B18"/>
    <w:rsid w:val="00F43E2B"/>
    <w:rsid w:val="00F43F8B"/>
    <w:rsid w:val="00F442B1"/>
    <w:rsid w:val="00F44467"/>
    <w:rsid w:val="00F44806"/>
    <w:rsid w:val="00F44AA0"/>
    <w:rsid w:val="00F44C34"/>
    <w:rsid w:val="00F45303"/>
    <w:rsid w:val="00F456A8"/>
    <w:rsid w:val="00F459E9"/>
    <w:rsid w:val="00F45BD1"/>
    <w:rsid w:val="00F45C32"/>
    <w:rsid w:val="00F45CE2"/>
    <w:rsid w:val="00F45D39"/>
    <w:rsid w:val="00F4637F"/>
    <w:rsid w:val="00F46506"/>
    <w:rsid w:val="00F46726"/>
    <w:rsid w:val="00F4689B"/>
    <w:rsid w:val="00F46B54"/>
    <w:rsid w:val="00F46E96"/>
    <w:rsid w:val="00F4716A"/>
    <w:rsid w:val="00F472F6"/>
    <w:rsid w:val="00F475EE"/>
    <w:rsid w:val="00F4760C"/>
    <w:rsid w:val="00F47660"/>
    <w:rsid w:val="00F4777D"/>
    <w:rsid w:val="00F47A2C"/>
    <w:rsid w:val="00F5009E"/>
    <w:rsid w:val="00F50351"/>
    <w:rsid w:val="00F50478"/>
    <w:rsid w:val="00F508C1"/>
    <w:rsid w:val="00F50F36"/>
    <w:rsid w:val="00F512C3"/>
    <w:rsid w:val="00F5138E"/>
    <w:rsid w:val="00F517FD"/>
    <w:rsid w:val="00F51B4E"/>
    <w:rsid w:val="00F51E29"/>
    <w:rsid w:val="00F5204E"/>
    <w:rsid w:val="00F52181"/>
    <w:rsid w:val="00F529BF"/>
    <w:rsid w:val="00F53903"/>
    <w:rsid w:val="00F53C64"/>
    <w:rsid w:val="00F53DDB"/>
    <w:rsid w:val="00F5409B"/>
    <w:rsid w:val="00F545FE"/>
    <w:rsid w:val="00F54874"/>
    <w:rsid w:val="00F54942"/>
    <w:rsid w:val="00F54AF1"/>
    <w:rsid w:val="00F54E67"/>
    <w:rsid w:val="00F54EFC"/>
    <w:rsid w:val="00F55209"/>
    <w:rsid w:val="00F55344"/>
    <w:rsid w:val="00F55971"/>
    <w:rsid w:val="00F55C12"/>
    <w:rsid w:val="00F55EC6"/>
    <w:rsid w:val="00F55FF7"/>
    <w:rsid w:val="00F56754"/>
    <w:rsid w:val="00F56AF3"/>
    <w:rsid w:val="00F56D12"/>
    <w:rsid w:val="00F56DD4"/>
    <w:rsid w:val="00F56DFE"/>
    <w:rsid w:val="00F571F2"/>
    <w:rsid w:val="00F574A1"/>
    <w:rsid w:val="00F57B24"/>
    <w:rsid w:val="00F602AB"/>
    <w:rsid w:val="00F603CA"/>
    <w:rsid w:val="00F60852"/>
    <w:rsid w:val="00F60903"/>
    <w:rsid w:val="00F60E89"/>
    <w:rsid w:val="00F61DD1"/>
    <w:rsid w:val="00F61EE4"/>
    <w:rsid w:val="00F6318B"/>
    <w:rsid w:val="00F6377A"/>
    <w:rsid w:val="00F642F0"/>
    <w:rsid w:val="00F64703"/>
    <w:rsid w:val="00F647C9"/>
    <w:rsid w:val="00F64B4C"/>
    <w:rsid w:val="00F64E64"/>
    <w:rsid w:val="00F6572A"/>
    <w:rsid w:val="00F6615C"/>
    <w:rsid w:val="00F668DF"/>
    <w:rsid w:val="00F66B2E"/>
    <w:rsid w:val="00F67A7B"/>
    <w:rsid w:val="00F67D61"/>
    <w:rsid w:val="00F700D7"/>
    <w:rsid w:val="00F70486"/>
    <w:rsid w:val="00F7080E"/>
    <w:rsid w:val="00F70862"/>
    <w:rsid w:val="00F70B38"/>
    <w:rsid w:val="00F70F8D"/>
    <w:rsid w:val="00F710A1"/>
    <w:rsid w:val="00F7121D"/>
    <w:rsid w:val="00F712B8"/>
    <w:rsid w:val="00F7139E"/>
    <w:rsid w:val="00F7144B"/>
    <w:rsid w:val="00F71693"/>
    <w:rsid w:val="00F718A1"/>
    <w:rsid w:val="00F722D9"/>
    <w:rsid w:val="00F722FC"/>
    <w:rsid w:val="00F72744"/>
    <w:rsid w:val="00F73201"/>
    <w:rsid w:val="00F73505"/>
    <w:rsid w:val="00F735CD"/>
    <w:rsid w:val="00F736EB"/>
    <w:rsid w:val="00F73C3D"/>
    <w:rsid w:val="00F73CB4"/>
    <w:rsid w:val="00F73E18"/>
    <w:rsid w:val="00F74231"/>
    <w:rsid w:val="00F7437E"/>
    <w:rsid w:val="00F7438A"/>
    <w:rsid w:val="00F746AF"/>
    <w:rsid w:val="00F746FB"/>
    <w:rsid w:val="00F748FD"/>
    <w:rsid w:val="00F74B88"/>
    <w:rsid w:val="00F74F5C"/>
    <w:rsid w:val="00F751FD"/>
    <w:rsid w:val="00F757D1"/>
    <w:rsid w:val="00F75D5E"/>
    <w:rsid w:val="00F75F63"/>
    <w:rsid w:val="00F7606B"/>
    <w:rsid w:val="00F7637D"/>
    <w:rsid w:val="00F763F3"/>
    <w:rsid w:val="00F7691F"/>
    <w:rsid w:val="00F772D0"/>
    <w:rsid w:val="00F77630"/>
    <w:rsid w:val="00F779BA"/>
    <w:rsid w:val="00F77A1B"/>
    <w:rsid w:val="00F77C4D"/>
    <w:rsid w:val="00F77F4A"/>
    <w:rsid w:val="00F807C9"/>
    <w:rsid w:val="00F80B9E"/>
    <w:rsid w:val="00F80F70"/>
    <w:rsid w:val="00F813BA"/>
    <w:rsid w:val="00F81E30"/>
    <w:rsid w:val="00F821B2"/>
    <w:rsid w:val="00F82630"/>
    <w:rsid w:val="00F82C75"/>
    <w:rsid w:val="00F830D8"/>
    <w:rsid w:val="00F8347D"/>
    <w:rsid w:val="00F838EB"/>
    <w:rsid w:val="00F83A8A"/>
    <w:rsid w:val="00F83D4F"/>
    <w:rsid w:val="00F83F45"/>
    <w:rsid w:val="00F83FBE"/>
    <w:rsid w:val="00F847EA"/>
    <w:rsid w:val="00F848EF"/>
    <w:rsid w:val="00F849E3"/>
    <w:rsid w:val="00F852BD"/>
    <w:rsid w:val="00F852F4"/>
    <w:rsid w:val="00F85662"/>
    <w:rsid w:val="00F85CCF"/>
    <w:rsid w:val="00F85F59"/>
    <w:rsid w:val="00F86460"/>
    <w:rsid w:val="00F86526"/>
    <w:rsid w:val="00F866A0"/>
    <w:rsid w:val="00F866B1"/>
    <w:rsid w:val="00F8690F"/>
    <w:rsid w:val="00F870E3"/>
    <w:rsid w:val="00F874A9"/>
    <w:rsid w:val="00F877EA"/>
    <w:rsid w:val="00F90A38"/>
    <w:rsid w:val="00F90B95"/>
    <w:rsid w:val="00F913CB"/>
    <w:rsid w:val="00F91465"/>
    <w:rsid w:val="00F91683"/>
    <w:rsid w:val="00F9187E"/>
    <w:rsid w:val="00F91A45"/>
    <w:rsid w:val="00F91D9A"/>
    <w:rsid w:val="00F91E3F"/>
    <w:rsid w:val="00F91E8A"/>
    <w:rsid w:val="00F922F5"/>
    <w:rsid w:val="00F9259F"/>
    <w:rsid w:val="00F92A0C"/>
    <w:rsid w:val="00F92BBE"/>
    <w:rsid w:val="00F92C73"/>
    <w:rsid w:val="00F92E27"/>
    <w:rsid w:val="00F93325"/>
    <w:rsid w:val="00F93EE5"/>
    <w:rsid w:val="00F94B6A"/>
    <w:rsid w:val="00F94B93"/>
    <w:rsid w:val="00F9523F"/>
    <w:rsid w:val="00F958E3"/>
    <w:rsid w:val="00F959DB"/>
    <w:rsid w:val="00F95C16"/>
    <w:rsid w:val="00F95F51"/>
    <w:rsid w:val="00F96290"/>
    <w:rsid w:val="00F968AC"/>
    <w:rsid w:val="00F968C9"/>
    <w:rsid w:val="00F96B30"/>
    <w:rsid w:val="00F96FB5"/>
    <w:rsid w:val="00FA04FF"/>
    <w:rsid w:val="00FA0A3D"/>
    <w:rsid w:val="00FA106C"/>
    <w:rsid w:val="00FA12C0"/>
    <w:rsid w:val="00FA17DE"/>
    <w:rsid w:val="00FA1C96"/>
    <w:rsid w:val="00FA20B3"/>
    <w:rsid w:val="00FA2148"/>
    <w:rsid w:val="00FA2344"/>
    <w:rsid w:val="00FA2603"/>
    <w:rsid w:val="00FA2A61"/>
    <w:rsid w:val="00FA2A6E"/>
    <w:rsid w:val="00FA2DB9"/>
    <w:rsid w:val="00FA2E58"/>
    <w:rsid w:val="00FA3031"/>
    <w:rsid w:val="00FA331F"/>
    <w:rsid w:val="00FA3E1D"/>
    <w:rsid w:val="00FA46C1"/>
    <w:rsid w:val="00FA4B12"/>
    <w:rsid w:val="00FA4DD8"/>
    <w:rsid w:val="00FA4E1E"/>
    <w:rsid w:val="00FA5353"/>
    <w:rsid w:val="00FA5411"/>
    <w:rsid w:val="00FA54C8"/>
    <w:rsid w:val="00FA618C"/>
    <w:rsid w:val="00FA61D8"/>
    <w:rsid w:val="00FA6AFA"/>
    <w:rsid w:val="00FA6B30"/>
    <w:rsid w:val="00FA6B6A"/>
    <w:rsid w:val="00FA6DEA"/>
    <w:rsid w:val="00FA77A5"/>
    <w:rsid w:val="00FA7955"/>
    <w:rsid w:val="00FA7E79"/>
    <w:rsid w:val="00FB05E1"/>
    <w:rsid w:val="00FB0C6E"/>
    <w:rsid w:val="00FB125E"/>
    <w:rsid w:val="00FB150D"/>
    <w:rsid w:val="00FB165F"/>
    <w:rsid w:val="00FB1BAA"/>
    <w:rsid w:val="00FB20CD"/>
    <w:rsid w:val="00FB222A"/>
    <w:rsid w:val="00FB29F6"/>
    <w:rsid w:val="00FB2BA3"/>
    <w:rsid w:val="00FB2FD0"/>
    <w:rsid w:val="00FB33AC"/>
    <w:rsid w:val="00FB3400"/>
    <w:rsid w:val="00FB3509"/>
    <w:rsid w:val="00FB3688"/>
    <w:rsid w:val="00FB3D8A"/>
    <w:rsid w:val="00FB3E31"/>
    <w:rsid w:val="00FB43F0"/>
    <w:rsid w:val="00FB4913"/>
    <w:rsid w:val="00FB4BFE"/>
    <w:rsid w:val="00FB4EF8"/>
    <w:rsid w:val="00FB50A7"/>
    <w:rsid w:val="00FB5CF2"/>
    <w:rsid w:val="00FB5E10"/>
    <w:rsid w:val="00FB624E"/>
    <w:rsid w:val="00FB648A"/>
    <w:rsid w:val="00FB65F9"/>
    <w:rsid w:val="00FB6839"/>
    <w:rsid w:val="00FB6BC2"/>
    <w:rsid w:val="00FB6D52"/>
    <w:rsid w:val="00FB6DE2"/>
    <w:rsid w:val="00FB6F8A"/>
    <w:rsid w:val="00FB715E"/>
    <w:rsid w:val="00FB72E4"/>
    <w:rsid w:val="00FB73C0"/>
    <w:rsid w:val="00FB7784"/>
    <w:rsid w:val="00FB7F41"/>
    <w:rsid w:val="00FC0206"/>
    <w:rsid w:val="00FC0C72"/>
    <w:rsid w:val="00FC0D62"/>
    <w:rsid w:val="00FC0EB1"/>
    <w:rsid w:val="00FC1549"/>
    <w:rsid w:val="00FC1618"/>
    <w:rsid w:val="00FC18FD"/>
    <w:rsid w:val="00FC19B0"/>
    <w:rsid w:val="00FC1C79"/>
    <w:rsid w:val="00FC23DD"/>
    <w:rsid w:val="00FC2950"/>
    <w:rsid w:val="00FC330C"/>
    <w:rsid w:val="00FC37B9"/>
    <w:rsid w:val="00FC38B2"/>
    <w:rsid w:val="00FC3A49"/>
    <w:rsid w:val="00FC3B08"/>
    <w:rsid w:val="00FC42D3"/>
    <w:rsid w:val="00FC486B"/>
    <w:rsid w:val="00FC4C85"/>
    <w:rsid w:val="00FC520C"/>
    <w:rsid w:val="00FC534A"/>
    <w:rsid w:val="00FC54D5"/>
    <w:rsid w:val="00FC5540"/>
    <w:rsid w:val="00FC564A"/>
    <w:rsid w:val="00FC63EA"/>
    <w:rsid w:val="00FC6553"/>
    <w:rsid w:val="00FC6B4A"/>
    <w:rsid w:val="00FC6D1B"/>
    <w:rsid w:val="00FC7375"/>
    <w:rsid w:val="00FC7C90"/>
    <w:rsid w:val="00FD009B"/>
    <w:rsid w:val="00FD0142"/>
    <w:rsid w:val="00FD0291"/>
    <w:rsid w:val="00FD04B7"/>
    <w:rsid w:val="00FD0851"/>
    <w:rsid w:val="00FD0E93"/>
    <w:rsid w:val="00FD0EBA"/>
    <w:rsid w:val="00FD107E"/>
    <w:rsid w:val="00FD1D87"/>
    <w:rsid w:val="00FD2F0A"/>
    <w:rsid w:val="00FD33B5"/>
    <w:rsid w:val="00FD33D9"/>
    <w:rsid w:val="00FD35CC"/>
    <w:rsid w:val="00FD3F5B"/>
    <w:rsid w:val="00FD4191"/>
    <w:rsid w:val="00FD4426"/>
    <w:rsid w:val="00FD447A"/>
    <w:rsid w:val="00FD46A6"/>
    <w:rsid w:val="00FD4887"/>
    <w:rsid w:val="00FD5010"/>
    <w:rsid w:val="00FD508A"/>
    <w:rsid w:val="00FD546D"/>
    <w:rsid w:val="00FD549B"/>
    <w:rsid w:val="00FD57C2"/>
    <w:rsid w:val="00FD5A4D"/>
    <w:rsid w:val="00FD6286"/>
    <w:rsid w:val="00FD629F"/>
    <w:rsid w:val="00FD6458"/>
    <w:rsid w:val="00FD645D"/>
    <w:rsid w:val="00FD68DC"/>
    <w:rsid w:val="00FD76C3"/>
    <w:rsid w:val="00FD7B72"/>
    <w:rsid w:val="00FE0679"/>
    <w:rsid w:val="00FE07ED"/>
    <w:rsid w:val="00FE0844"/>
    <w:rsid w:val="00FE0CBA"/>
    <w:rsid w:val="00FE0F1B"/>
    <w:rsid w:val="00FE14CF"/>
    <w:rsid w:val="00FE172D"/>
    <w:rsid w:val="00FE1985"/>
    <w:rsid w:val="00FE199C"/>
    <w:rsid w:val="00FE1AA8"/>
    <w:rsid w:val="00FE1BE6"/>
    <w:rsid w:val="00FE1E3E"/>
    <w:rsid w:val="00FE2142"/>
    <w:rsid w:val="00FE21D2"/>
    <w:rsid w:val="00FE2375"/>
    <w:rsid w:val="00FE2B13"/>
    <w:rsid w:val="00FE2C1B"/>
    <w:rsid w:val="00FE2C2F"/>
    <w:rsid w:val="00FE2CBB"/>
    <w:rsid w:val="00FE31EB"/>
    <w:rsid w:val="00FE3AC9"/>
    <w:rsid w:val="00FE3BF0"/>
    <w:rsid w:val="00FE4037"/>
    <w:rsid w:val="00FE45C0"/>
    <w:rsid w:val="00FE4640"/>
    <w:rsid w:val="00FE4ED1"/>
    <w:rsid w:val="00FE5244"/>
    <w:rsid w:val="00FE5979"/>
    <w:rsid w:val="00FE5ACA"/>
    <w:rsid w:val="00FE5C42"/>
    <w:rsid w:val="00FE5D19"/>
    <w:rsid w:val="00FE6189"/>
    <w:rsid w:val="00FE6ACB"/>
    <w:rsid w:val="00FE6B3B"/>
    <w:rsid w:val="00FE6C5B"/>
    <w:rsid w:val="00FE7129"/>
    <w:rsid w:val="00FE767F"/>
    <w:rsid w:val="00FE78FD"/>
    <w:rsid w:val="00FE7BCC"/>
    <w:rsid w:val="00FF022D"/>
    <w:rsid w:val="00FF028A"/>
    <w:rsid w:val="00FF03F3"/>
    <w:rsid w:val="00FF08AB"/>
    <w:rsid w:val="00FF0EE5"/>
    <w:rsid w:val="00FF10F0"/>
    <w:rsid w:val="00FF122A"/>
    <w:rsid w:val="00FF13F1"/>
    <w:rsid w:val="00FF1869"/>
    <w:rsid w:val="00FF1D12"/>
    <w:rsid w:val="00FF1FCB"/>
    <w:rsid w:val="00FF2047"/>
    <w:rsid w:val="00FF26F6"/>
    <w:rsid w:val="00FF2C73"/>
    <w:rsid w:val="00FF30A0"/>
    <w:rsid w:val="00FF31F9"/>
    <w:rsid w:val="00FF3610"/>
    <w:rsid w:val="00FF3859"/>
    <w:rsid w:val="00FF3BA1"/>
    <w:rsid w:val="00FF433E"/>
    <w:rsid w:val="00FF4458"/>
    <w:rsid w:val="00FF4512"/>
    <w:rsid w:val="00FF4D52"/>
    <w:rsid w:val="00FF4F84"/>
    <w:rsid w:val="00FF55CD"/>
    <w:rsid w:val="00FF5A83"/>
    <w:rsid w:val="00FF618D"/>
    <w:rsid w:val="00FF6388"/>
    <w:rsid w:val="00FF64BD"/>
    <w:rsid w:val="00FF6869"/>
    <w:rsid w:val="00FF6C1C"/>
    <w:rsid w:val="00FF6CB1"/>
    <w:rsid w:val="00FF6F11"/>
    <w:rsid w:val="00FF7537"/>
    <w:rsid w:val="00FF75EC"/>
    <w:rsid w:val="74650A8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A9437A"/>
  <w15:docId w15:val="{16164289-D4C1-4404-806A-2A60237C2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1"/>
      <w:szCs w:val="24"/>
    </w:rPr>
  </w:style>
  <w:style w:type="paragraph" w:styleId="1">
    <w:name w:val="heading 1"/>
    <w:basedOn w:val="a"/>
    <w:next w:val="a"/>
    <w:link w:val="10"/>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basedOn w:val="a"/>
    <w:next w:val="a"/>
    <w:link w:val="20"/>
    <w:qFormat/>
    <w:pPr>
      <w:keepNext/>
      <w:keepLines/>
      <w:widowControl w:val="0"/>
      <w:spacing w:before="60" w:after="60"/>
      <w:ind w:left="200" w:hangingChars="200" w:hanging="200"/>
      <w:jc w:val="both"/>
      <w:outlineLvl w:val="1"/>
    </w:pPr>
    <w:rPr>
      <w:rFonts w:ascii="Arial" w:hAnsi="Arial" w:cs="Times New Roman"/>
      <w:b/>
      <w:bCs/>
      <w:kern w:val="2"/>
      <w:szCs w:val="21"/>
    </w:rPr>
  </w:style>
  <w:style w:type="paragraph" w:styleId="3">
    <w:name w:val="heading 3"/>
    <w:basedOn w:val="a"/>
    <w:next w:val="a"/>
    <w:link w:val="30"/>
    <w:uiPriority w:val="9"/>
    <w:qFormat/>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0"/>
    <w:uiPriority w:val="9"/>
    <w:qFormat/>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0"/>
    <w:uiPriority w:val="9"/>
    <w:qFormat/>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0"/>
    <w:uiPriority w:val="9"/>
    <w:unhideWhenUsed/>
    <w:qFormat/>
    <w:pPr>
      <w:keepNext/>
      <w:keepLines/>
      <w:spacing w:before="60" w:after="60"/>
      <w:outlineLvl w:val="5"/>
    </w:pPr>
    <w:rPr>
      <w:rFonts w:asciiTheme="majorHAnsi" w:hAnsiTheme="majorHAnsi" w:cstheme="majorBidi"/>
      <w:b/>
      <w:bCs/>
    </w:rPr>
  </w:style>
  <w:style w:type="paragraph" w:styleId="7">
    <w:name w:val="heading 7"/>
    <w:basedOn w:val="a"/>
    <w:next w:val="a"/>
    <w:link w:val="70"/>
    <w:uiPriority w:val="9"/>
    <w:unhideWhenUsed/>
    <w:qFormat/>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widowControl w:val="0"/>
      <w:ind w:leftChars="1200" w:left="2520"/>
      <w:jc w:val="both"/>
    </w:pPr>
    <w:rPr>
      <w:rFonts w:asciiTheme="minorHAnsi" w:eastAsiaTheme="minorEastAsia" w:hAnsiTheme="minorHAnsi" w:cstheme="minorBidi"/>
      <w:kern w:val="2"/>
      <w:szCs w:val="22"/>
    </w:rPr>
  </w:style>
  <w:style w:type="paragraph" w:styleId="a3">
    <w:name w:val="Note Heading"/>
    <w:basedOn w:val="a"/>
    <w:next w:val="a"/>
    <w:link w:val="a4"/>
    <w:uiPriority w:val="99"/>
    <w:pPr>
      <w:widowControl w:val="0"/>
      <w:jc w:val="center"/>
    </w:pPr>
    <w:rPr>
      <w:rFonts w:ascii="Times New Roman" w:hAnsi="Times New Roman" w:cs="Times New Roman"/>
      <w:kern w:val="2"/>
      <w:szCs w:val="21"/>
    </w:rPr>
  </w:style>
  <w:style w:type="paragraph" w:styleId="a5">
    <w:name w:val="Normal Indent"/>
    <w:basedOn w:val="a"/>
    <w:qFormat/>
    <w:pPr>
      <w:widowControl w:val="0"/>
      <w:ind w:firstLineChars="200" w:firstLine="420"/>
      <w:jc w:val="both"/>
    </w:pPr>
    <w:rPr>
      <w:rFonts w:ascii="Times New Roman" w:hAnsi="Times New Roman" w:cs="Times New Roman"/>
      <w:kern w:val="2"/>
      <w:szCs w:val="21"/>
    </w:rPr>
  </w:style>
  <w:style w:type="paragraph" w:styleId="a6">
    <w:name w:val="Document Map"/>
    <w:basedOn w:val="a"/>
    <w:link w:val="a7"/>
    <w:uiPriority w:val="99"/>
    <w:semiHidden/>
    <w:unhideWhenUsed/>
    <w:qFormat/>
    <w:pPr>
      <w:widowControl w:val="0"/>
      <w:jc w:val="both"/>
    </w:pPr>
    <w:rPr>
      <w:rFonts w:hAnsi="Calibri" w:cs="Times New Roman"/>
      <w:kern w:val="2"/>
      <w:sz w:val="18"/>
      <w:szCs w:val="18"/>
    </w:rPr>
  </w:style>
  <w:style w:type="paragraph" w:styleId="a8">
    <w:name w:val="toa heading"/>
    <w:basedOn w:val="a"/>
    <w:next w:val="a"/>
    <w:semiHidden/>
    <w:qFormat/>
    <w:pPr>
      <w:widowControl w:val="0"/>
      <w:spacing w:before="120"/>
      <w:jc w:val="both"/>
    </w:pPr>
    <w:rPr>
      <w:rFonts w:ascii="Arial" w:hAnsi="Arial" w:cs="Times New Roman"/>
      <w:b/>
      <w:bCs/>
      <w:kern w:val="2"/>
      <w:szCs w:val="21"/>
    </w:rPr>
  </w:style>
  <w:style w:type="paragraph" w:styleId="a9">
    <w:name w:val="annotation text"/>
    <w:basedOn w:val="a"/>
    <w:link w:val="aa"/>
    <w:qFormat/>
    <w:pPr>
      <w:widowControl w:val="0"/>
    </w:pPr>
    <w:rPr>
      <w:rFonts w:ascii="Times New Roman" w:hAnsi="Times New Roman" w:cs="Times New Roman"/>
      <w:kern w:val="2"/>
      <w:szCs w:val="21"/>
    </w:rPr>
  </w:style>
  <w:style w:type="paragraph" w:styleId="ab">
    <w:name w:val="Salutation"/>
    <w:basedOn w:val="a"/>
    <w:next w:val="a"/>
    <w:link w:val="ac"/>
    <w:uiPriority w:val="99"/>
    <w:pPr>
      <w:widowControl w:val="0"/>
      <w:jc w:val="both"/>
    </w:pPr>
    <w:rPr>
      <w:rFonts w:ascii="Times New Roman" w:hAnsi="Times New Roman" w:cs="Times New Roman"/>
      <w:kern w:val="2"/>
      <w:szCs w:val="21"/>
    </w:rPr>
  </w:style>
  <w:style w:type="paragraph" w:styleId="31">
    <w:name w:val="List Bullet 3"/>
    <w:basedOn w:val="a"/>
    <w:qFormat/>
    <w:pPr>
      <w:widowControl w:val="0"/>
      <w:tabs>
        <w:tab w:val="left" w:pos="1200"/>
      </w:tabs>
      <w:jc w:val="both"/>
    </w:pPr>
    <w:rPr>
      <w:rFonts w:ascii="Times New Roman" w:hAnsi="Times New Roman" w:cs="Times New Roman"/>
      <w:kern w:val="2"/>
      <w:szCs w:val="21"/>
    </w:rPr>
  </w:style>
  <w:style w:type="paragraph" w:styleId="ad">
    <w:name w:val="Body Text"/>
    <w:basedOn w:val="a"/>
    <w:link w:val="ae"/>
    <w:uiPriority w:val="99"/>
    <w:pPr>
      <w:widowControl w:val="0"/>
      <w:spacing w:after="120"/>
      <w:jc w:val="both"/>
    </w:pPr>
    <w:rPr>
      <w:rFonts w:ascii="Times New Roman" w:hAnsi="Times New Roman" w:cs="Times New Roman"/>
      <w:kern w:val="2"/>
      <w:szCs w:val="21"/>
    </w:rPr>
  </w:style>
  <w:style w:type="paragraph" w:styleId="TOC5">
    <w:name w:val="toc 5"/>
    <w:basedOn w:val="a"/>
    <w:next w:val="a"/>
    <w:uiPriority w:val="39"/>
    <w:unhideWhenUsed/>
    <w:pPr>
      <w:widowControl w:val="0"/>
      <w:ind w:leftChars="800" w:left="1680"/>
      <w:jc w:val="both"/>
    </w:pPr>
    <w:rPr>
      <w:rFonts w:asciiTheme="minorHAnsi" w:eastAsiaTheme="minorEastAsia" w:hAnsiTheme="minorHAnsi" w:cstheme="minorBidi"/>
      <w:kern w:val="2"/>
      <w:szCs w:val="22"/>
    </w:rPr>
  </w:style>
  <w:style w:type="paragraph" w:styleId="TOC3">
    <w:name w:val="toc 3"/>
    <w:basedOn w:val="a"/>
    <w:next w:val="a"/>
    <w:uiPriority w:val="39"/>
    <w:unhideWhenUsed/>
    <w:qFormat/>
    <w:pPr>
      <w:spacing w:after="100" w:line="276" w:lineRule="auto"/>
      <w:ind w:left="440"/>
    </w:pPr>
    <w:rPr>
      <w:rFonts w:ascii="Calibri" w:hAnsi="Calibri" w:cs="Times New Roman"/>
      <w:sz w:val="22"/>
      <w:szCs w:val="22"/>
    </w:rPr>
  </w:style>
  <w:style w:type="paragraph" w:styleId="af">
    <w:name w:val="Plain Text"/>
    <w:basedOn w:val="a"/>
    <w:link w:val="af0"/>
    <w:pPr>
      <w:widowControl w:val="0"/>
      <w:jc w:val="both"/>
    </w:pPr>
    <w:rPr>
      <w:rFonts w:hAnsi="Courier New" w:cs="Times New Roman"/>
      <w:kern w:val="2"/>
      <w:szCs w:val="20"/>
    </w:rPr>
  </w:style>
  <w:style w:type="paragraph" w:styleId="TOC8">
    <w:name w:val="toc 8"/>
    <w:basedOn w:val="a"/>
    <w:next w:val="a"/>
    <w:uiPriority w:val="39"/>
    <w:unhideWhenUsed/>
    <w:qFormat/>
    <w:pPr>
      <w:widowControl w:val="0"/>
      <w:ind w:leftChars="1400" w:left="2940"/>
      <w:jc w:val="both"/>
    </w:pPr>
    <w:rPr>
      <w:rFonts w:asciiTheme="minorHAnsi" w:eastAsiaTheme="minorEastAsia" w:hAnsiTheme="minorHAnsi" w:cstheme="minorBidi"/>
      <w:kern w:val="2"/>
      <w:szCs w:val="22"/>
    </w:rPr>
  </w:style>
  <w:style w:type="paragraph" w:styleId="af1">
    <w:name w:val="Date"/>
    <w:basedOn w:val="a"/>
    <w:next w:val="a"/>
    <w:link w:val="af2"/>
    <w:uiPriority w:val="99"/>
    <w:pPr>
      <w:widowControl w:val="0"/>
      <w:ind w:leftChars="2500" w:left="100"/>
      <w:jc w:val="both"/>
    </w:pPr>
    <w:rPr>
      <w:rFonts w:ascii="Times New Roman" w:hAnsi="Times New Roman" w:cs="Times New Roman"/>
      <w:kern w:val="2"/>
      <w:szCs w:val="21"/>
    </w:rPr>
  </w:style>
  <w:style w:type="paragraph" w:styleId="af3">
    <w:name w:val="endnote text"/>
    <w:basedOn w:val="a"/>
    <w:link w:val="af4"/>
    <w:uiPriority w:val="99"/>
    <w:semiHidden/>
    <w:unhideWhenUsed/>
    <w:pPr>
      <w:snapToGrid w:val="0"/>
    </w:pPr>
  </w:style>
  <w:style w:type="paragraph" w:styleId="af5">
    <w:name w:val="Balloon Text"/>
    <w:basedOn w:val="a"/>
    <w:link w:val="af6"/>
    <w:uiPriority w:val="99"/>
    <w:unhideWhenUsed/>
    <w:pPr>
      <w:widowControl w:val="0"/>
      <w:jc w:val="both"/>
    </w:pPr>
    <w:rPr>
      <w:rFonts w:ascii="Calibri" w:hAnsi="Calibri" w:cs="Times New Roman"/>
      <w:kern w:val="2"/>
      <w:sz w:val="18"/>
      <w:szCs w:val="18"/>
    </w:rPr>
  </w:style>
  <w:style w:type="paragraph" w:styleId="af7">
    <w:name w:val="footer"/>
    <w:basedOn w:val="a"/>
    <w:link w:val="af8"/>
    <w:uiPriority w:val="99"/>
    <w:unhideWhenUsed/>
    <w:pPr>
      <w:widowControl w:val="0"/>
      <w:tabs>
        <w:tab w:val="center" w:pos="4153"/>
        <w:tab w:val="right" w:pos="8306"/>
      </w:tabs>
      <w:snapToGrid w:val="0"/>
    </w:pPr>
    <w:rPr>
      <w:rFonts w:ascii="Calibri" w:hAnsi="Calibri" w:cs="Times New Roman"/>
      <w:kern w:val="2"/>
      <w:sz w:val="18"/>
      <w:szCs w:val="18"/>
    </w:rPr>
  </w:style>
  <w:style w:type="paragraph" w:styleId="af9">
    <w:name w:val="header"/>
    <w:basedOn w:val="a"/>
    <w:link w:val="afa"/>
    <w:uiPriority w:val="99"/>
    <w:unhideWhenUsed/>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styleId="TOC1">
    <w:name w:val="toc 1"/>
    <w:basedOn w:val="a"/>
    <w:next w:val="a"/>
    <w:uiPriority w:val="39"/>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TOC4">
    <w:name w:val="toc 4"/>
    <w:basedOn w:val="a"/>
    <w:next w:val="a"/>
    <w:uiPriority w:val="39"/>
    <w:unhideWhenUsed/>
    <w:qFormat/>
    <w:pPr>
      <w:widowControl w:val="0"/>
      <w:ind w:leftChars="600" w:left="1260"/>
      <w:jc w:val="both"/>
    </w:pPr>
    <w:rPr>
      <w:rFonts w:asciiTheme="minorHAnsi" w:eastAsiaTheme="minorEastAsia" w:hAnsiTheme="minorHAnsi" w:cstheme="minorBidi"/>
      <w:kern w:val="2"/>
      <w:szCs w:val="22"/>
    </w:rPr>
  </w:style>
  <w:style w:type="paragraph" w:styleId="TOC6">
    <w:name w:val="toc 6"/>
    <w:basedOn w:val="a"/>
    <w:next w:val="a"/>
    <w:uiPriority w:val="39"/>
    <w:unhideWhenUsed/>
    <w:qFormat/>
    <w:pPr>
      <w:widowControl w:val="0"/>
      <w:ind w:leftChars="1000" w:left="2100"/>
      <w:jc w:val="both"/>
    </w:pPr>
    <w:rPr>
      <w:rFonts w:asciiTheme="minorHAnsi" w:eastAsiaTheme="minorEastAsia" w:hAnsiTheme="minorHAnsi" w:cstheme="minorBidi"/>
      <w:kern w:val="2"/>
      <w:szCs w:val="22"/>
    </w:rPr>
  </w:style>
  <w:style w:type="paragraph" w:styleId="TOC2">
    <w:name w:val="toc 2"/>
    <w:basedOn w:val="a"/>
    <w:next w:val="a"/>
    <w:uiPriority w:val="39"/>
    <w:qFormat/>
    <w:pPr>
      <w:widowControl w:val="0"/>
      <w:ind w:leftChars="200" w:left="420"/>
      <w:jc w:val="both"/>
    </w:pPr>
    <w:rPr>
      <w:rFonts w:ascii="Times New Roman" w:hAnsi="Times New Roman" w:cs="Times New Roman"/>
      <w:kern w:val="2"/>
      <w:szCs w:val="21"/>
    </w:rPr>
  </w:style>
  <w:style w:type="paragraph" w:styleId="TOC9">
    <w:name w:val="toc 9"/>
    <w:basedOn w:val="a"/>
    <w:next w:val="a"/>
    <w:uiPriority w:val="39"/>
    <w:unhideWhenUsed/>
    <w:qFormat/>
    <w:pPr>
      <w:widowControl w:val="0"/>
      <w:ind w:leftChars="1600" w:left="3360"/>
      <w:jc w:val="both"/>
    </w:pPr>
    <w:rPr>
      <w:rFonts w:asciiTheme="minorHAnsi" w:eastAsiaTheme="minorEastAsia" w:hAnsiTheme="minorHAnsi" w:cstheme="minorBidi"/>
      <w:kern w:val="2"/>
      <w:szCs w:val="22"/>
    </w:rPr>
  </w:style>
  <w:style w:type="paragraph" w:styleId="afb">
    <w:name w:val="Normal (Web)"/>
    <w:basedOn w:val="a"/>
    <w:uiPriority w:val="99"/>
    <w:pPr>
      <w:spacing w:before="100" w:beforeAutospacing="1" w:after="100" w:afterAutospacing="1"/>
    </w:pPr>
    <w:rPr>
      <w:sz w:val="24"/>
    </w:rPr>
  </w:style>
  <w:style w:type="paragraph" w:styleId="11">
    <w:name w:val="index 1"/>
    <w:basedOn w:val="a"/>
    <w:next w:val="a"/>
    <w:semiHidden/>
    <w:qFormat/>
    <w:pPr>
      <w:ind w:firstLineChars="200" w:firstLine="420"/>
    </w:pPr>
    <w:rPr>
      <w:rFonts w:cs="Times New Roman"/>
      <w:color w:val="000000"/>
      <w:szCs w:val="21"/>
    </w:rPr>
  </w:style>
  <w:style w:type="paragraph" w:styleId="afc">
    <w:name w:val="Title"/>
    <w:basedOn w:val="a"/>
    <w:next w:val="a"/>
    <w:link w:val="afd"/>
    <w:uiPriority w:val="10"/>
    <w:qFormat/>
    <w:pPr>
      <w:widowControl w:val="0"/>
      <w:spacing w:before="240" w:after="60"/>
      <w:jc w:val="center"/>
      <w:outlineLvl w:val="0"/>
    </w:pPr>
    <w:rPr>
      <w:rFonts w:asciiTheme="majorHAnsi" w:hAnsiTheme="majorHAnsi" w:cstheme="majorBidi"/>
      <w:b/>
      <w:bCs/>
      <w:kern w:val="2"/>
      <w:sz w:val="32"/>
      <w:szCs w:val="32"/>
    </w:rPr>
  </w:style>
  <w:style w:type="paragraph" w:styleId="afe">
    <w:name w:val="annotation subject"/>
    <w:basedOn w:val="a9"/>
    <w:next w:val="a9"/>
    <w:link w:val="aff"/>
    <w:uiPriority w:val="99"/>
    <w:unhideWhenUsed/>
    <w:rPr>
      <w:rFonts w:ascii="Calibri" w:hAnsi="Calibri"/>
      <w:b/>
      <w:bCs/>
      <w:szCs w:val="22"/>
    </w:rPr>
  </w:style>
  <w:style w:type="table" w:styleId="aff0">
    <w:name w:val="Table Grid"/>
    <w:basedOn w:val="a1"/>
    <w:uiPriority w:val="59"/>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endnote reference"/>
    <w:basedOn w:val="a0"/>
    <w:uiPriority w:val="99"/>
    <w:semiHidden/>
    <w:unhideWhenUsed/>
    <w:rPr>
      <w:vertAlign w:val="superscript"/>
    </w:rPr>
  </w:style>
  <w:style w:type="character" w:styleId="aff2">
    <w:name w:val="Hyperlink"/>
    <w:basedOn w:val="a0"/>
    <w:uiPriority w:val="99"/>
    <w:rPr>
      <w:rFonts w:cs="Times New Roman"/>
      <w:color w:val="0000FF"/>
      <w:u w:val="single"/>
    </w:rPr>
  </w:style>
  <w:style w:type="character" w:styleId="aff3">
    <w:name w:val="annotation reference"/>
    <w:basedOn w:val="a0"/>
    <w:uiPriority w:val="99"/>
    <w:qFormat/>
    <w:rPr>
      <w:rFonts w:eastAsia="宋体" w:cs="Times New Roman"/>
      <w:kern w:val="2"/>
      <w:sz w:val="21"/>
      <w:szCs w:val="21"/>
      <w:lang w:val="en-US" w:eastAsia="zh-CN" w:bidi="ar-SA"/>
    </w:rPr>
  </w:style>
  <w:style w:type="character" w:customStyle="1" w:styleId="10">
    <w:name w:val="标题 1 字符"/>
    <w:basedOn w:val="a0"/>
    <w:link w:val="1"/>
    <w:uiPriority w:val="99"/>
    <w:rPr>
      <w:rFonts w:eastAsia="黑体"/>
      <w:b/>
      <w:bCs/>
      <w:kern w:val="44"/>
      <w:sz w:val="28"/>
      <w:szCs w:val="44"/>
    </w:rPr>
  </w:style>
  <w:style w:type="character" w:customStyle="1" w:styleId="20">
    <w:name w:val="标题 2 字符"/>
    <w:basedOn w:val="a0"/>
    <w:link w:val="2"/>
    <w:rPr>
      <w:rFonts w:ascii="Arial" w:hAnsi="Arial"/>
      <w:b/>
      <w:bCs/>
      <w:kern w:val="2"/>
      <w:sz w:val="21"/>
      <w:szCs w:val="21"/>
    </w:rPr>
  </w:style>
  <w:style w:type="character" w:customStyle="1" w:styleId="30">
    <w:name w:val="标题 3 字符"/>
    <w:basedOn w:val="a0"/>
    <w:link w:val="3"/>
    <w:uiPriority w:val="9"/>
    <w:rPr>
      <w:b/>
      <w:bCs/>
      <w:kern w:val="2"/>
      <w:sz w:val="21"/>
      <w:szCs w:val="32"/>
    </w:rPr>
  </w:style>
  <w:style w:type="character" w:customStyle="1" w:styleId="40">
    <w:name w:val="标题 4 字符"/>
    <w:basedOn w:val="a0"/>
    <w:link w:val="4"/>
    <w:uiPriority w:val="9"/>
    <w:rPr>
      <w:rFonts w:ascii="Cambria" w:hAnsi="Cambria"/>
      <w:b/>
      <w:bCs/>
      <w:kern w:val="2"/>
      <w:sz w:val="21"/>
      <w:szCs w:val="28"/>
    </w:rPr>
  </w:style>
  <w:style w:type="character" w:customStyle="1" w:styleId="50">
    <w:name w:val="标题 5 字符"/>
    <w:basedOn w:val="a0"/>
    <w:link w:val="5"/>
    <w:uiPriority w:val="9"/>
    <w:rPr>
      <w:b/>
      <w:bCs/>
      <w:kern w:val="2"/>
      <w:sz w:val="21"/>
      <w:szCs w:val="28"/>
    </w:rPr>
  </w:style>
  <w:style w:type="paragraph" w:customStyle="1" w:styleId="TOC10">
    <w:name w:val="TOC 标题1"/>
    <w:basedOn w:val="1"/>
    <w:next w:val="a"/>
    <w:uiPriority w:val="39"/>
    <w:qFormat/>
    <w:pPr>
      <w:widowControl/>
      <w:spacing w:before="480" w:after="0" w:line="276" w:lineRule="auto"/>
      <w:outlineLvl w:val="9"/>
    </w:pPr>
    <w:rPr>
      <w:rFonts w:ascii="Cambria" w:eastAsia="宋体" w:hAnsi="Cambria"/>
      <w:color w:val="365F91"/>
      <w:kern w:val="0"/>
      <w:szCs w:val="28"/>
    </w:rPr>
  </w:style>
  <w:style w:type="character" w:customStyle="1" w:styleId="aa">
    <w:name w:val="批注文字 字符"/>
    <w:basedOn w:val="a0"/>
    <w:link w:val="a9"/>
    <w:rPr>
      <w:rFonts w:ascii="Times New Roman" w:eastAsia="宋体" w:hAnsi="Times New Roman" w:cs="Times New Roman"/>
      <w:szCs w:val="21"/>
    </w:rPr>
  </w:style>
  <w:style w:type="character" w:customStyle="1" w:styleId="af6">
    <w:name w:val="批注框文本 字符"/>
    <w:basedOn w:val="a0"/>
    <w:link w:val="af5"/>
    <w:uiPriority w:val="99"/>
    <w:rPr>
      <w:rFonts w:ascii="Calibri" w:eastAsia="宋体" w:hAnsi="Calibri" w:cs="Times New Roman"/>
      <w:sz w:val="18"/>
      <w:szCs w:val="18"/>
    </w:rPr>
  </w:style>
  <w:style w:type="character" w:customStyle="1" w:styleId="ac">
    <w:name w:val="称呼 字符"/>
    <w:basedOn w:val="a0"/>
    <w:link w:val="ab"/>
    <w:uiPriority w:val="99"/>
    <w:rPr>
      <w:rFonts w:ascii="Times New Roman" w:eastAsia="宋体" w:hAnsi="Times New Roman" w:cs="Times New Roman"/>
      <w:szCs w:val="21"/>
    </w:rPr>
  </w:style>
  <w:style w:type="character" w:customStyle="1" w:styleId="notnullcss1">
    <w:name w:val="notnullcss1"/>
    <w:basedOn w:val="a0"/>
    <w:uiPriority w:val="99"/>
    <w:rPr>
      <w:rFonts w:eastAsia="宋体" w:cs="Times New Roman"/>
      <w:color w:val="FF0000"/>
      <w:kern w:val="2"/>
      <w:sz w:val="24"/>
      <w:szCs w:val="24"/>
      <w:lang w:val="en-US" w:eastAsia="zh-CN" w:bidi="ar-SA"/>
    </w:rPr>
  </w:style>
  <w:style w:type="paragraph" w:customStyle="1" w:styleId="xl61">
    <w:name w:val="xl61"/>
    <w:basedOn w:val="a"/>
    <w:uiPriority w:val="99"/>
    <w:pPr>
      <w:spacing w:before="100" w:after="100"/>
      <w:jc w:val="right"/>
    </w:pPr>
    <w:rPr>
      <w:rFonts w:ascii="Arial Unicode MS" w:eastAsia="Arial Unicode MS" w:hAnsi="Times New Roman" w:cs="Times New Roman"/>
      <w:sz w:val="18"/>
      <w:szCs w:val="18"/>
    </w:rPr>
  </w:style>
  <w:style w:type="paragraph" w:styleId="aff4">
    <w:name w:val="List Paragraph"/>
    <w:basedOn w:val="a"/>
    <w:link w:val="aff5"/>
    <w:uiPriority w:val="34"/>
    <w:qFormat/>
    <w:pPr>
      <w:widowControl w:val="0"/>
      <w:ind w:firstLineChars="200" w:firstLine="420"/>
      <w:jc w:val="both"/>
    </w:pPr>
    <w:rPr>
      <w:rFonts w:ascii="Calibri" w:hAnsi="Calibri" w:cs="Times New Roman"/>
      <w:kern w:val="2"/>
      <w:szCs w:val="22"/>
    </w:rPr>
  </w:style>
  <w:style w:type="character" w:customStyle="1" w:styleId="aff">
    <w:name w:val="批注主题 字符"/>
    <w:basedOn w:val="aa"/>
    <w:link w:val="afe"/>
    <w:uiPriority w:val="99"/>
    <w:rPr>
      <w:rFonts w:ascii="Calibri" w:eastAsia="宋体" w:hAnsi="Calibri" w:cs="Times New Roman"/>
      <w:b/>
      <w:bCs/>
      <w:szCs w:val="21"/>
    </w:rPr>
  </w:style>
  <w:style w:type="character" w:customStyle="1" w:styleId="afa">
    <w:name w:val="页眉 字符"/>
    <w:basedOn w:val="a0"/>
    <w:link w:val="af9"/>
    <w:uiPriority w:val="99"/>
    <w:rPr>
      <w:rFonts w:ascii="Calibri" w:eastAsia="宋体" w:hAnsi="Calibri" w:cs="Times New Roman"/>
      <w:sz w:val="18"/>
      <w:szCs w:val="18"/>
    </w:rPr>
  </w:style>
  <w:style w:type="character" w:customStyle="1" w:styleId="af8">
    <w:name w:val="页脚 字符"/>
    <w:basedOn w:val="a0"/>
    <w:link w:val="af7"/>
    <w:uiPriority w:val="99"/>
    <w:rPr>
      <w:rFonts w:ascii="Calibri" w:eastAsia="宋体" w:hAnsi="Calibri" w:cs="Times New Roman"/>
      <w:sz w:val="18"/>
      <w:szCs w:val="18"/>
    </w:rPr>
  </w:style>
  <w:style w:type="character" w:customStyle="1" w:styleId="af0">
    <w:name w:val="纯文本 字符"/>
    <w:basedOn w:val="a0"/>
    <w:link w:val="af"/>
    <w:rPr>
      <w:rFonts w:ascii="宋体" w:eastAsia="宋体" w:hAnsi="Courier New" w:cs="Times New Roman"/>
      <w:szCs w:val="20"/>
    </w:rPr>
  </w:style>
  <w:style w:type="character" w:customStyle="1" w:styleId="headline-content2">
    <w:name w:val="headline-content2"/>
    <w:basedOn w:val="a0"/>
    <w:rPr>
      <w:rFonts w:eastAsia="宋体" w:cs="Times New Roman"/>
      <w:kern w:val="2"/>
      <w:sz w:val="24"/>
      <w:szCs w:val="24"/>
      <w:lang w:val="en-US" w:eastAsia="zh-CN" w:bidi="ar-SA"/>
    </w:rPr>
  </w:style>
  <w:style w:type="character" w:customStyle="1" w:styleId="ae">
    <w:name w:val="正文文本 字符"/>
    <w:basedOn w:val="a0"/>
    <w:link w:val="ad"/>
    <w:uiPriority w:val="99"/>
    <w:rPr>
      <w:rFonts w:ascii="Times New Roman" w:eastAsia="宋体" w:hAnsi="Times New Roman" w:cs="Times New Roman"/>
      <w:szCs w:val="21"/>
    </w:rPr>
  </w:style>
  <w:style w:type="paragraph" w:customStyle="1" w:styleId="write2">
    <w:name w:val="write2"/>
    <w:basedOn w:val="a"/>
    <w:uiPriority w:val="99"/>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af2">
    <w:name w:val="日期 字符"/>
    <w:basedOn w:val="a0"/>
    <w:link w:val="af1"/>
    <w:uiPriority w:val="99"/>
    <w:rPr>
      <w:rFonts w:ascii="Times New Roman" w:eastAsia="宋体" w:hAnsi="Times New Roman" w:cs="Times New Roman"/>
      <w:szCs w:val="21"/>
    </w:rPr>
  </w:style>
  <w:style w:type="character" w:customStyle="1" w:styleId="a4">
    <w:name w:val="注释标题 字符"/>
    <w:basedOn w:val="a0"/>
    <w:link w:val="a3"/>
    <w:uiPriority w:val="99"/>
    <w:rPr>
      <w:rFonts w:ascii="Times New Roman" w:eastAsia="宋体" w:hAnsi="Times New Roman" w:cs="Times New Roman"/>
      <w:szCs w:val="21"/>
    </w:rPr>
  </w:style>
  <w:style w:type="paragraph" w:customStyle="1" w:styleId="51">
    <w:name w:val="标题5"/>
    <w:basedOn w:val="a"/>
    <w:pPr>
      <w:keepNext/>
      <w:keepLines/>
      <w:widowControl w:val="0"/>
      <w:spacing w:before="60" w:after="60"/>
      <w:ind w:hangingChars="200" w:hanging="420"/>
      <w:jc w:val="both"/>
      <w:outlineLvl w:val="4"/>
    </w:pPr>
    <w:rPr>
      <w:rFonts w:cs="Times New Roman"/>
      <w:b/>
      <w:bCs/>
      <w:kern w:val="2"/>
      <w:szCs w:val="21"/>
    </w:rPr>
  </w:style>
  <w:style w:type="paragraph" w:customStyle="1" w:styleId="12">
    <w:name w:val="修订1"/>
    <w:hidden/>
    <w:uiPriority w:val="99"/>
    <w:semiHidden/>
    <w:qFormat/>
    <w:rPr>
      <w:kern w:val="2"/>
      <w:sz w:val="21"/>
      <w:szCs w:val="22"/>
    </w:rPr>
  </w:style>
  <w:style w:type="character" w:customStyle="1" w:styleId="Char">
    <w:name w:val="正文的样式 Char"/>
    <w:basedOn w:val="a0"/>
    <w:link w:val="aff6"/>
    <w:qFormat/>
    <w:rPr>
      <w:kern w:val="2"/>
      <w:sz w:val="21"/>
      <w:szCs w:val="24"/>
    </w:rPr>
  </w:style>
  <w:style w:type="paragraph" w:customStyle="1" w:styleId="aff6">
    <w:name w:val="正文的样式"/>
    <w:basedOn w:val="a"/>
    <w:link w:val="Char"/>
    <w:qFormat/>
    <w:pPr>
      <w:widowControl w:val="0"/>
      <w:spacing w:before="100" w:after="100"/>
      <w:jc w:val="both"/>
    </w:pPr>
    <w:rPr>
      <w:rFonts w:ascii="Calibri" w:hAnsi="Calibri" w:cs="Times New Roman"/>
      <w:kern w:val="2"/>
    </w:rPr>
  </w:style>
  <w:style w:type="character" w:customStyle="1" w:styleId="a7">
    <w:name w:val="文档结构图 字符"/>
    <w:basedOn w:val="a0"/>
    <w:link w:val="a6"/>
    <w:uiPriority w:val="99"/>
    <w:semiHidden/>
    <w:rPr>
      <w:rFonts w:ascii="宋体"/>
      <w:kern w:val="2"/>
      <w:sz w:val="18"/>
      <w:szCs w:val="18"/>
    </w:rPr>
  </w:style>
  <w:style w:type="character" w:styleId="aff7">
    <w:name w:val="Placeholder Text"/>
    <w:basedOn w:val="a0"/>
    <w:uiPriority w:val="99"/>
    <w:semiHidden/>
    <w:qFormat/>
    <w:rPr>
      <w:color w:val="auto"/>
    </w:rPr>
  </w:style>
  <w:style w:type="character" w:customStyle="1" w:styleId="afd">
    <w:name w:val="标题 字符"/>
    <w:basedOn w:val="a0"/>
    <w:link w:val="afc"/>
    <w:uiPriority w:val="10"/>
    <w:rPr>
      <w:rFonts w:asciiTheme="majorHAnsi" w:hAnsiTheme="majorHAnsi" w:cstheme="majorBidi"/>
      <w:b/>
      <w:bCs/>
      <w:kern w:val="2"/>
      <w:sz w:val="32"/>
      <w:szCs w:val="32"/>
    </w:rPr>
  </w:style>
  <w:style w:type="paragraph" w:styleId="aff8">
    <w:name w:val="No Spacing"/>
    <w:uiPriority w:val="1"/>
    <w:qFormat/>
    <w:pPr>
      <w:widowControl w:val="0"/>
      <w:jc w:val="both"/>
    </w:pPr>
    <w:rPr>
      <w:kern w:val="2"/>
      <w:sz w:val="21"/>
      <w:szCs w:val="22"/>
    </w:rPr>
  </w:style>
  <w:style w:type="character" w:customStyle="1" w:styleId="60">
    <w:name w:val="标题 6 字符"/>
    <w:basedOn w:val="a0"/>
    <w:link w:val="6"/>
    <w:uiPriority w:val="9"/>
    <w:qFormat/>
    <w:rPr>
      <w:rFonts w:asciiTheme="majorHAnsi" w:hAnsiTheme="majorHAnsi" w:cstheme="majorBidi"/>
      <w:b/>
      <w:bCs/>
      <w:sz w:val="21"/>
      <w:szCs w:val="24"/>
    </w:rPr>
  </w:style>
  <w:style w:type="character" w:customStyle="1" w:styleId="af4">
    <w:name w:val="尾注文本 字符"/>
    <w:basedOn w:val="a0"/>
    <w:link w:val="af3"/>
    <w:uiPriority w:val="99"/>
    <w:semiHidden/>
    <w:qFormat/>
    <w:rPr>
      <w:rFonts w:ascii="宋体" w:hAnsi="宋体" w:cs="宋体"/>
      <w:sz w:val="21"/>
      <w:szCs w:val="24"/>
    </w:rPr>
  </w:style>
  <w:style w:type="character" w:customStyle="1" w:styleId="Char1">
    <w:name w:val="批注主题 Char1"/>
    <w:basedOn w:val="aa"/>
    <w:link w:val="Style120"/>
    <w:uiPriority w:val="99"/>
    <w:semiHidden/>
    <w:qFormat/>
    <w:rPr>
      <w:rFonts w:ascii="Times New Roman" w:eastAsia="宋体" w:hAnsi="Times New Roman" w:cs="Times New Roman"/>
      <w:b/>
      <w:bCs/>
      <w:szCs w:val="21"/>
    </w:rPr>
  </w:style>
  <w:style w:type="paragraph" w:customStyle="1" w:styleId="Style120">
    <w:name w:val="_Style 120"/>
    <w:basedOn w:val="Style111"/>
    <w:next w:val="a9"/>
    <w:link w:val="Char1"/>
    <w:uiPriority w:val="99"/>
    <w:unhideWhenUsed/>
    <w:rPr>
      <w:rFonts w:ascii="Calibri" w:hAnsi="Calibri"/>
      <w:b/>
      <w:bCs/>
      <w:szCs w:val="22"/>
    </w:rPr>
  </w:style>
  <w:style w:type="paragraph" w:customStyle="1" w:styleId="Style111">
    <w:name w:val="_Style 111"/>
    <w:basedOn w:val="a"/>
    <w:qFormat/>
    <w:pPr>
      <w:widowControl w:val="0"/>
    </w:pPr>
    <w:rPr>
      <w:rFonts w:ascii="Times New Roman" w:hAnsi="Times New Roman" w:cs="Times New Roman"/>
      <w:kern w:val="2"/>
      <w:szCs w:val="21"/>
    </w:rPr>
  </w:style>
  <w:style w:type="paragraph" w:customStyle="1" w:styleId="32">
    <w:name w:val="标题  3"/>
    <w:basedOn w:val="a"/>
    <w:next w:val="a"/>
    <w:link w:val="3Char"/>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qFormat/>
    <w:rPr>
      <w:rFonts w:ascii="Times New Roman" w:hAnsi="Times New Roman"/>
      <w:b/>
      <w:kern w:val="2"/>
      <w:sz w:val="21"/>
      <w:szCs w:val="24"/>
    </w:rPr>
  </w:style>
  <w:style w:type="character" w:customStyle="1" w:styleId="13">
    <w:name w:val="批注主题 字符1"/>
    <w:basedOn w:val="aa"/>
    <w:uiPriority w:val="99"/>
    <w:semiHidden/>
    <w:qFormat/>
    <w:rPr>
      <w:rFonts w:ascii="Times New Roman" w:eastAsia="宋体" w:hAnsi="Times New Roman" w:cs="Times New Roman"/>
      <w:b/>
      <w:bCs/>
      <w:szCs w:val="21"/>
    </w:rPr>
  </w:style>
  <w:style w:type="character" w:customStyle="1" w:styleId="70">
    <w:name w:val="标题 7 字符"/>
    <w:basedOn w:val="a0"/>
    <w:link w:val="7"/>
    <w:uiPriority w:val="9"/>
    <w:qFormat/>
    <w:rPr>
      <w:rFonts w:ascii="宋体" w:hAnsi="宋体" w:cs="宋体"/>
      <w:b/>
      <w:bCs/>
      <w:sz w:val="24"/>
      <w:szCs w:val="24"/>
    </w:rPr>
  </w:style>
  <w:style w:type="character" w:customStyle="1" w:styleId="span">
    <w:name w:val="span_"/>
    <w:basedOn w:val="a0"/>
  </w:style>
  <w:style w:type="character" w:customStyle="1" w:styleId="4Char">
    <w:name w:val="标题 4 Char"/>
    <w:uiPriority w:val="9"/>
    <w:qFormat/>
    <w:rPr>
      <w:rFonts w:ascii="Cambria" w:hAnsi="Cambria"/>
      <w:b/>
      <w:bCs/>
      <w:kern w:val="2"/>
      <w:sz w:val="21"/>
      <w:szCs w:val="28"/>
    </w:rPr>
  </w:style>
  <w:style w:type="paragraph" w:customStyle="1" w:styleId="41">
    <w:name w:val="4"/>
    <w:basedOn w:val="a"/>
    <w:next w:val="aff4"/>
    <w:uiPriority w:val="34"/>
    <w:qFormat/>
    <w:pPr>
      <w:widowControl w:val="0"/>
      <w:ind w:firstLineChars="200" w:firstLine="420"/>
      <w:jc w:val="both"/>
    </w:pPr>
    <w:rPr>
      <w:rFonts w:ascii="Calibri" w:hAnsi="Calibri" w:cs="Times New Roman"/>
      <w:kern w:val="2"/>
      <w:szCs w:val="22"/>
    </w:rPr>
  </w:style>
  <w:style w:type="paragraph" w:customStyle="1" w:styleId="33">
    <w:name w:val="3"/>
    <w:basedOn w:val="a"/>
    <w:next w:val="aff4"/>
    <w:uiPriority w:val="34"/>
    <w:qFormat/>
    <w:pPr>
      <w:widowControl w:val="0"/>
      <w:ind w:firstLineChars="200" w:firstLine="420"/>
      <w:jc w:val="both"/>
    </w:pPr>
    <w:rPr>
      <w:rFonts w:ascii="Calibri" w:hAnsi="Calibri" w:cs="Times New Roman"/>
      <w:kern w:val="2"/>
      <w:szCs w:val="22"/>
    </w:rPr>
  </w:style>
  <w:style w:type="character" w:customStyle="1" w:styleId="3Char0">
    <w:name w:val="标题 3 Char"/>
    <w:uiPriority w:val="9"/>
    <w:qFormat/>
    <w:rPr>
      <w:b/>
      <w:bCs/>
      <w:kern w:val="2"/>
      <w:sz w:val="21"/>
      <w:szCs w:val="32"/>
    </w:rPr>
  </w:style>
  <w:style w:type="paragraph" w:customStyle="1" w:styleId="21">
    <w:name w:val="2"/>
    <w:basedOn w:val="a"/>
    <w:next w:val="aff4"/>
    <w:uiPriority w:val="34"/>
    <w:qFormat/>
    <w:pPr>
      <w:widowControl w:val="0"/>
      <w:ind w:firstLineChars="200" w:firstLine="420"/>
      <w:jc w:val="both"/>
    </w:pPr>
    <w:rPr>
      <w:rFonts w:ascii="Calibri" w:hAnsi="Calibri" w:cs="Times New Roman"/>
      <w:kern w:val="2"/>
      <w:szCs w:val="22"/>
    </w:rPr>
  </w:style>
  <w:style w:type="paragraph" w:customStyle="1" w:styleId="14">
    <w:name w:val="1"/>
    <w:basedOn w:val="a"/>
    <w:next w:val="aff4"/>
    <w:uiPriority w:val="34"/>
    <w:qFormat/>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0">
    <w:name w:val="批注文字 Char"/>
    <w:link w:val="Style116"/>
    <w:uiPriority w:val="99"/>
    <w:qFormat/>
    <w:rPr>
      <w:rFonts w:ascii="Times New Roman" w:hAnsi="Times New Roman"/>
      <w:kern w:val="2"/>
      <w:sz w:val="21"/>
      <w:szCs w:val="21"/>
    </w:rPr>
  </w:style>
  <w:style w:type="paragraph" w:customStyle="1" w:styleId="Style116">
    <w:name w:val="_Style 116"/>
    <w:basedOn w:val="a"/>
    <w:next w:val="a"/>
    <w:link w:val="Char0"/>
    <w:uiPriority w:val="99"/>
    <w:pPr>
      <w:widowControl w:val="0"/>
      <w:jc w:val="both"/>
    </w:pPr>
    <w:rPr>
      <w:rFonts w:ascii="Times New Roman" w:hAnsi="Times New Roman" w:cs="Times New Roman"/>
      <w:kern w:val="2"/>
      <w:szCs w:val="21"/>
    </w:rPr>
  </w:style>
  <w:style w:type="character" w:customStyle="1" w:styleId="5Char">
    <w:name w:val="标题 5 Char"/>
    <w:uiPriority w:val="9"/>
    <w:qFormat/>
    <w:rPr>
      <w:b/>
      <w:bCs/>
      <w:kern w:val="2"/>
      <w:sz w:val="21"/>
      <w:szCs w:val="28"/>
    </w:rPr>
  </w:style>
  <w:style w:type="paragraph" w:customStyle="1" w:styleId="Style87">
    <w:name w:val="_Style 87"/>
    <w:basedOn w:val="a"/>
    <w:next w:val="aff4"/>
    <w:uiPriority w:val="34"/>
    <w:qFormat/>
    <w:pPr>
      <w:widowControl w:val="0"/>
      <w:ind w:firstLineChars="200" w:firstLine="420"/>
      <w:jc w:val="both"/>
    </w:pPr>
    <w:rPr>
      <w:rFonts w:ascii="Calibri" w:hAnsi="Calibri" w:cs="Times New Roman"/>
      <w:kern w:val="2"/>
      <w:szCs w:val="22"/>
    </w:rPr>
  </w:style>
  <w:style w:type="character" w:customStyle="1" w:styleId="Char10">
    <w:name w:val="批注文字 Char1"/>
    <w:qFormat/>
    <w:rPr>
      <w:rFonts w:ascii="Times New Roman" w:hAnsi="Times New Roman"/>
      <w:kern w:val="2"/>
      <w:sz w:val="21"/>
      <w:szCs w:val="21"/>
    </w:rPr>
  </w:style>
  <w:style w:type="character" w:customStyle="1" w:styleId="3Char1">
    <w:name w:val="标题 3 Char1"/>
    <w:uiPriority w:val="9"/>
    <w:qFormat/>
    <w:rPr>
      <w:b/>
      <w:bCs/>
      <w:kern w:val="2"/>
      <w:sz w:val="21"/>
      <w:szCs w:val="32"/>
    </w:rPr>
  </w:style>
  <w:style w:type="character" w:customStyle="1" w:styleId="2Char">
    <w:name w:val="标题 2 Char"/>
    <w:qFormat/>
    <w:rPr>
      <w:rFonts w:ascii="Arial" w:hAnsi="Arial"/>
      <w:b/>
      <w:bCs/>
      <w:kern w:val="2"/>
      <w:sz w:val="21"/>
      <w:szCs w:val="21"/>
    </w:rPr>
  </w:style>
  <w:style w:type="character" w:customStyle="1" w:styleId="4Char1">
    <w:name w:val="标题 4 Char1"/>
    <w:uiPriority w:val="9"/>
    <w:rPr>
      <w:rFonts w:ascii="Cambria" w:hAnsi="Cambria"/>
      <w:b/>
      <w:bCs/>
      <w:kern w:val="2"/>
      <w:sz w:val="21"/>
      <w:szCs w:val="28"/>
    </w:rPr>
  </w:style>
  <w:style w:type="character" w:customStyle="1" w:styleId="5Char1">
    <w:name w:val="标题 5 Char1"/>
    <w:uiPriority w:val="9"/>
    <w:qFormat/>
    <w:rPr>
      <w:b/>
      <w:bCs/>
      <w:kern w:val="2"/>
      <w:sz w:val="21"/>
      <w:szCs w:val="28"/>
    </w:rPr>
  </w:style>
  <w:style w:type="paragraph" w:customStyle="1" w:styleId="Style93">
    <w:name w:val="_Style 93"/>
    <w:basedOn w:val="a"/>
    <w:next w:val="aff4"/>
    <w:uiPriority w:val="34"/>
    <w:qFormat/>
    <w:pPr>
      <w:widowControl w:val="0"/>
      <w:ind w:firstLineChars="200" w:firstLine="420"/>
      <w:jc w:val="both"/>
    </w:pPr>
    <w:rPr>
      <w:rFonts w:ascii="Calibri" w:hAnsi="Calibri" w:cs="Times New Roman"/>
      <w:kern w:val="2"/>
      <w:szCs w:val="22"/>
    </w:rPr>
  </w:style>
  <w:style w:type="paragraph" w:customStyle="1" w:styleId="Style94">
    <w:name w:val="_Style 94"/>
    <w:basedOn w:val="a"/>
    <w:next w:val="a"/>
    <w:uiPriority w:val="39"/>
    <w:unhideWhenUsed/>
    <w:qFormat/>
    <w:pPr>
      <w:widowControl w:val="0"/>
      <w:ind w:leftChars="200" w:left="420"/>
      <w:jc w:val="both"/>
    </w:pPr>
    <w:rPr>
      <w:rFonts w:ascii="Times New Roman" w:hAnsi="Times New Roman" w:cs="Times New Roman"/>
      <w:kern w:val="2"/>
    </w:rPr>
  </w:style>
  <w:style w:type="table" w:customStyle="1" w:styleId="g1">
    <w:name w:val="g1"/>
    <w:uiPriority w:val="99"/>
    <w:semiHidden/>
    <w:unhideWhenUsed/>
    <w:qFormat/>
    <w:tblPr>
      <w:tblCellMar>
        <w:top w:w="0" w:type="dxa"/>
        <w:left w:w="108" w:type="dxa"/>
        <w:bottom w:w="0" w:type="dxa"/>
        <w:right w:w="108" w:type="dxa"/>
      </w:tblCellMar>
    </w:tblPr>
  </w:style>
  <w:style w:type="table" w:customStyle="1" w:styleId="g2">
    <w:name w:val="g2"/>
    <w:basedOn w:val="a1"/>
    <w:uiPriority w:val="5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7">
    <w:name w:val="_Style 97"/>
    <w:basedOn w:val="a"/>
    <w:next w:val="a"/>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
    <w:name w:val="标题 2 Char Char Char"/>
    <w:basedOn w:val="a"/>
    <w:next w:val="a"/>
    <w:qFormat/>
    <w:pPr>
      <w:keepNext/>
      <w:keepLines/>
      <w:widowControl w:val="0"/>
      <w:spacing w:before="60" w:after="60"/>
      <w:ind w:left="200" w:hangingChars="200" w:hanging="200"/>
      <w:jc w:val="both"/>
      <w:outlineLvl w:val="1"/>
    </w:pPr>
    <w:rPr>
      <w:rFonts w:ascii="Arial" w:hAnsi="Arial" w:cs="Times New Roman"/>
      <w:b/>
      <w:bCs/>
      <w:kern w:val="2"/>
      <w:szCs w:val="21"/>
    </w:rPr>
  </w:style>
  <w:style w:type="paragraph" w:customStyle="1" w:styleId="Style99">
    <w:name w:val="_Style 99"/>
    <w:basedOn w:val="a"/>
    <w:next w:val="a"/>
    <w:uiPriority w:val="9"/>
    <w:qFormat/>
    <w:pPr>
      <w:keepNext/>
      <w:keepLines/>
      <w:widowControl w:val="0"/>
      <w:spacing w:before="60" w:after="60"/>
      <w:jc w:val="both"/>
      <w:outlineLvl w:val="2"/>
    </w:pPr>
    <w:rPr>
      <w:rFonts w:ascii="Calibri" w:hAnsi="Calibri" w:cs="Times New Roman"/>
      <w:b/>
      <w:bCs/>
      <w:kern w:val="2"/>
      <w:szCs w:val="32"/>
    </w:rPr>
  </w:style>
  <w:style w:type="paragraph" w:customStyle="1" w:styleId="Style100">
    <w:name w:val="_Style 100"/>
    <w:basedOn w:val="a"/>
    <w:next w:val="a"/>
    <w:uiPriority w:val="9"/>
    <w:qFormat/>
    <w:pPr>
      <w:keepNext/>
      <w:keepLines/>
      <w:widowControl w:val="0"/>
      <w:spacing w:before="60" w:after="60"/>
      <w:jc w:val="both"/>
      <w:outlineLvl w:val="3"/>
    </w:pPr>
    <w:rPr>
      <w:rFonts w:ascii="Cambria" w:hAnsi="Cambria" w:cs="Times New Roman"/>
      <w:b/>
      <w:bCs/>
      <w:kern w:val="2"/>
      <w:szCs w:val="28"/>
    </w:rPr>
  </w:style>
  <w:style w:type="paragraph" w:customStyle="1" w:styleId="Style101">
    <w:name w:val="_Style 101"/>
    <w:basedOn w:val="a"/>
    <w:next w:val="a"/>
    <w:uiPriority w:val="9"/>
    <w:qFormat/>
    <w:pPr>
      <w:keepNext/>
      <w:keepLines/>
      <w:widowControl w:val="0"/>
      <w:spacing w:before="60" w:after="60"/>
      <w:jc w:val="both"/>
      <w:outlineLvl w:val="4"/>
    </w:pPr>
    <w:rPr>
      <w:rFonts w:ascii="Calibri" w:hAnsi="Calibri" w:cs="Times New Roman"/>
      <w:b/>
      <w:bCs/>
      <w:kern w:val="2"/>
      <w:szCs w:val="28"/>
    </w:rPr>
  </w:style>
  <w:style w:type="paragraph" w:customStyle="1" w:styleId="Style102">
    <w:name w:val="_Style 102"/>
    <w:basedOn w:val="a"/>
    <w:next w:val="a"/>
    <w:uiPriority w:val="9"/>
    <w:unhideWhenUsed/>
    <w:qFormat/>
    <w:pPr>
      <w:keepNext/>
      <w:keepLines/>
      <w:spacing w:before="60" w:after="60"/>
      <w:outlineLvl w:val="5"/>
    </w:pPr>
    <w:rPr>
      <w:rFonts w:asciiTheme="majorHAnsi" w:hAnsiTheme="majorHAnsi" w:cstheme="majorBidi"/>
      <w:b/>
      <w:bCs/>
    </w:rPr>
  </w:style>
  <w:style w:type="paragraph" w:customStyle="1" w:styleId="Style103">
    <w:name w:val="_Style 103"/>
    <w:basedOn w:val="a"/>
    <w:next w:val="a"/>
    <w:uiPriority w:val="9"/>
    <w:unhideWhenUsed/>
    <w:qFormat/>
    <w:pPr>
      <w:keepNext/>
      <w:keepLines/>
      <w:spacing w:before="240" w:after="64" w:line="320" w:lineRule="auto"/>
      <w:outlineLvl w:val="6"/>
    </w:pPr>
    <w:rPr>
      <w:b/>
      <w:bCs/>
      <w:sz w:val="24"/>
    </w:rPr>
  </w:style>
  <w:style w:type="character" w:customStyle="1" w:styleId="Style104">
    <w:name w:val="_Style 104"/>
    <w:basedOn w:val="a0"/>
    <w:uiPriority w:val="99"/>
    <w:qFormat/>
    <w:rPr>
      <w:rFonts w:eastAsia="黑体"/>
      <w:b/>
      <w:bCs/>
      <w:kern w:val="44"/>
      <w:sz w:val="28"/>
      <w:szCs w:val="44"/>
    </w:rPr>
  </w:style>
  <w:style w:type="character" w:customStyle="1" w:styleId="2CharCharCharChar1">
    <w:name w:val="标题 2 Char Char Char Char1"/>
    <w:basedOn w:val="a0"/>
    <w:rPr>
      <w:rFonts w:ascii="Arial" w:hAnsi="Arial"/>
      <w:b/>
      <w:bCs/>
      <w:kern w:val="2"/>
      <w:sz w:val="21"/>
      <w:szCs w:val="21"/>
    </w:rPr>
  </w:style>
  <w:style w:type="character" w:customStyle="1" w:styleId="Style106">
    <w:name w:val="_Style 106"/>
    <w:basedOn w:val="a0"/>
    <w:uiPriority w:val="9"/>
    <w:qFormat/>
    <w:rPr>
      <w:b/>
      <w:bCs/>
      <w:kern w:val="2"/>
      <w:sz w:val="21"/>
      <w:szCs w:val="32"/>
    </w:rPr>
  </w:style>
  <w:style w:type="character" w:customStyle="1" w:styleId="Style107">
    <w:name w:val="_Style 107"/>
    <w:basedOn w:val="a0"/>
    <w:uiPriority w:val="9"/>
    <w:qFormat/>
    <w:rPr>
      <w:rFonts w:ascii="Cambria" w:hAnsi="Cambria"/>
      <w:b/>
      <w:bCs/>
      <w:kern w:val="2"/>
      <w:sz w:val="21"/>
      <w:szCs w:val="28"/>
    </w:rPr>
  </w:style>
  <w:style w:type="character" w:customStyle="1" w:styleId="Style108">
    <w:name w:val="_Style 108"/>
    <w:basedOn w:val="a0"/>
    <w:uiPriority w:val="9"/>
    <w:rPr>
      <w:b/>
      <w:bCs/>
      <w:kern w:val="2"/>
      <w:sz w:val="21"/>
      <w:szCs w:val="28"/>
    </w:rPr>
  </w:style>
  <w:style w:type="paragraph" w:customStyle="1" w:styleId="Style109">
    <w:name w:val="_Style 109"/>
    <w:basedOn w:val="a"/>
    <w:next w:val="a"/>
    <w:uiPriority w:val="39"/>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Style110">
    <w:name w:val="_Style 110"/>
    <w:basedOn w:val="a"/>
    <w:next w:val="a"/>
    <w:uiPriority w:val="39"/>
    <w:qFormat/>
    <w:pPr>
      <w:widowControl w:val="0"/>
      <w:ind w:leftChars="200" w:left="420"/>
      <w:jc w:val="both"/>
    </w:pPr>
    <w:rPr>
      <w:rFonts w:ascii="Times New Roman" w:hAnsi="Times New Roman" w:cs="Times New Roman"/>
      <w:kern w:val="2"/>
      <w:szCs w:val="21"/>
    </w:rPr>
  </w:style>
  <w:style w:type="character" w:customStyle="1" w:styleId="Style112">
    <w:name w:val="_Style 112"/>
    <w:basedOn w:val="a0"/>
    <w:rPr>
      <w:rFonts w:ascii="Times New Roman" w:eastAsia="宋体" w:hAnsi="Times New Roman" w:cs="Times New Roman"/>
      <w:szCs w:val="21"/>
    </w:rPr>
  </w:style>
  <w:style w:type="table" w:customStyle="1" w:styleId="Style113">
    <w:name w:val="_Style 113"/>
    <w:basedOn w:val="a1"/>
    <w:uiPriority w:val="59"/>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4">
    <w:name w:val="_Style 114"/>
    <w:basedOn w:val="a"/>
    <w:uiPriority w:val="99"/>
    <w:unhideWhenUsed/>
    <w:pPr>
      <w:widowControl w:val="0"/>
      <w:jc w:val="both"/>
    </w:pPr>
    <w:rPr>
      <w:rFonts w:ascii="Calibri" w:hAnsi="Calibri" w:cs="Times New Roman"/>
      <w:kern w:val="2"/>
      <w:sz w:val="18"/>
      <w:szCs w:val="18"/>
    </w:rPr>
  </w:style>
  <w:style w:type="character" w:customStyle="1" w:styleId="Style115">
    <w:name w:val="_Style 115"/>
    <w:basedOn w:val="a0"/>
    <w:uiPriority w:val="99"/>
    <w:rPr>
      <w:rFonts w:ascii="Calibri" w:eastAsia="宋体" w:hAnsi="Calibri" w:cs="Times New Roman"/>
      <w:sz w:val="18"/>
      <w:szCs w:val="18"/>
    </w:rPr>
  </w:style>
  <w:style w:type="character" w:customStyle="1" w:styleId="Style117">
    <w:name w:val="_Style 117"/>
    <w:basedOn w:val="a0"/>
    <w:uiPriority w:val="99"/>
    <w:rPr>
      <w:rFonts w:ascii="Times New Roman" w:eastAsia="宋体" w:hAnsi="Times New Roman" w:cs="Times New Roman"/>
      <w:szCs w:val="21"/>
    </w:rPr>
  </w:style>
  <w:style w:type="paragraph" w:customStyle="1" w:styleId="Style118">
    <w:name w:val="_Style 118"/>
    <w:basedOn w:val="a"/>
    <w:uiPriority w:val="34"/>
    <w:qFormat/>
    <w:pPr>
      <w:widowControl w:val="0"/>
      <w:ind w:firstLineChars="200" w:firstLine="420"/>
      <w:jc w:val="both"/>
    </w:pPr>
    <w:rPr>
      <w:rFonts w:ascii="Calibri" w:hAnsi="Calibri" w:cs="Times New Roman"/>
      <w:kern w:val="2"/>
      <w:szCs w:val="22"/>
    </w:rPr>
  </w:style>
  <w:style w:type="character" w:customStyle="1" w:styleId="Style119">
    <w:name w:val="_Style 119"/>
    <w:basedOn w:val="Style112"/>
    <w:uiPriority w:val="99"/>
    <w:rPr>
      <w:rFonts w:ascii="Calibri" w:eastAsia="宋体" w:hAnsi="Calibri" w:cs="Times New Roman"/>
      <w:b/>
      <w:bCs/>
      <w:szCs w:val="21"/>
    </w:rPr>
  </w:style>
  <w:style w:type="paragraph" w:customStyle="1" w:styleId="Style121">
    <w:name w:val="_Style 121"/>
    <w:basedOn w:val="a"/>
    <w:next w:val="a"/>
    <w:uiPriority w:val="39"/>
    <w:unhideWhenUsed/>
    <w:qFormat/>
    <w:pPr>
      <w:spacing w:after="100" w:line="276" w:lineRule="auto"/>
      <w:ind w:left="440"/>
    </w:pPr>
    <w:rPr>
      <w:rFonts w:ascii="Calibri" w:hAnsi="Calibri" w:cs="Times New Roman"/>
      <w:sz w:val="22"/>
      <w:szCs w:val="22"/>
    </w:rPr>
  </w:style>
  <w:style w:type="paragraph" w:customStyle="1" w:styleId="Style122">
    <w:name w:val="_Style 122"/>
    <w:basedOn w:val="a"/>
    <w:uiPriority w:val="99"/>
    <w:unhideWhenUsed/>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Style123">
    <w:name w:val="_Style 123"/>
    <w:basedOn w:val="a0"/>
    <w:uiPriority w:val="99"/>
    <w:rPr>
      <w:rFonts w:ascii="Calibri" w:eastAsia="宋体" w:hAnsi="Calibri" w:cs="Times New Roman"/>
      <w:sz w:val="18"/>
      <w:szCs w:val="18"/>
    </w:rPr>
  </w:style>
  <w:style w:type="paragraph" w:customStyle="1" w:styleId="Style124">
    <w:name w:val="_Style 124"/>
    <w:basedOn w:val="a"/>
    <w:uiPriority w:val="99"/>
    <w:unhideWhenUsed/>
    <w:pPr>
      <w:widowControl w:val="0"/>
      <w:tabs>
        <w:tab w:val="center" w:pos="4153"/>
        <w:tab w:val="right" w:pos="8306"/>
      </w:tabs>
      <w:snapToGrid w:val="0"/>
    </w:pPr>
    <w:rPr>
      <w:rFonts w:ascii="Calibri" w:hAnsi="Calibri" w:cs="Times New Roman"/>
      <w:kern w:val="2"/>
      <w:sz w:val="18"/>
      <w:szCs w:val="18"/>
    </w:rPr>
  </w:style>
  <w:style w:type="character" w:customStyle="1" w:styleId="aff5">
    <w:name w:val="列表段落 字符"/>
    <w:basedOn w:val="a0"/>
    <w:link w:val="aff4"/>
    <w:uiPriority w:val="34"/>
    <w:rPr>
      <w:rFonts w:ascii="Calibri" w:eastAsia="宋体" w:hAnsi="Calibri" w:cs="Times New Roman"/>
      <w:sz w:val="18"/>
      <w:szCs w:val="18"/>
    </w:rPr>
  </w:style>
  <w:style w:type="paragraph" w:customStyle="1" w:styleId="Style126">
    <w:name w:val="_Style 126"/>
    <w:basedOn w:val="a"/>
    <w:pPr>
      <w:widowControl w:val="0"/>
      <w:jc w:val="both"/>
    </w:pPr>
    <w:rPr>
      <w:rFonts w:hAnsi="Courier New" w:cs="Times New Roman"/>
      <w:kern w:val="2"/>
      <w:szCs w:val="20"/>
    </w:rPr>
  </w:style>
  <w:style w:type="character" w:customStyle="1" w:styleId="Style127">
    <w:name w:val="_Style 127"/>
    <w:basedOn w:val="a0"/>
    <w:rPr>
      <w:rFonts w:ascii="宋体" w:eastAsia="宋体" w:hAnsi="Courier New" w:cs="Times New Roman"/>
      <w:szCs w:val="20"/>
    </w:rPr>
  </w:style>
  <w:style w:type="paragraph" w:customStyle="1" w:styleId="Style128">
    <w:name w:val="_Style 128"/>
    <w:basedOn w:val="a"/>
    <w:uiPriority w:val="99"/>
    <w:pPr>
      <w:widowControl w:val="0"/>
      <w:spacing w:after="120"/>
      <w:jc w:val="both"/>
    </w:pPr>
    <w:rPr>
      <w:rFonts w:ascii="Times New Roman" w:hAnsi="Times New Roman" w:cs="Times New Roman"/>
      <w:kern w:val="2"/>
      <w:szCs w:val="21"/>
    </w:rPr>
  </w:style>
  <w:style w:type="character" w:customStyle="1" w:styleId="Style129">
    <w:name w:val="_Style 129"/>
    <w:basedOn w:val="a0"/>
    <w:uiPriority w:val="99"/>
    <w:rPr>
      <w:rFonts w:ascii="Times New Roman" w:eastAsia="宋体" w:hAnsi="Times New Roman" w:cs="Times New Roman"/>
      <w:szCs w:val="21"/>
    </w:rPr>
  </w:style>
  <w:style w:type="paragraph" w:customStyle="1" w:styleId="Style130">
    <w:name w:val="_Style 130"/>
    <w:basedOn w:val="a"/>
    <w:next w:val="a"/>
    <w:uiPriority w:val="99"/>
    <w:pPr>
      <w:widowControl w:val="0"/>
      <w:ind w:leftChars="2500" w:left="100"/>
      <w:jc w:val="both"/>
    </w:pPr>
    <w:rPr>
      <w:rFonts w:ascii="Times New Roman" w:hAnsi="Times New Roman" w:cs="Times New Roman"/>
      <w:kern w:val="2"/>
      <w:szCs w:val="21"/>
    </w:rPr>
  </w:style>
  <w:style w:type="character" w:customStyle="1" w:styleId="Style131">
    <w:name w:val="_Style 131"/>
    <w:basedOn w:val="a0"/>
    <w:uiPriority w:val="99"/>
    <w:rPr>
      <w:rFonts w:ascii="Times New Roman" w:eastAsia="宋体" w:hAnsi="Times New Roman" w:cs="Times New Roman"/>
      <w:szCs w:val="21"/>
    </w:rPr>
  </w:style>
  <w:style w:type="paragraph" w:customStyle="1" w:styleId="Style132">
    <w:name w:val="_Style 132"/>
    <w:basedOn w:val="a"/>
    <w:next w:val="a"/>
    <w:uiPriority w:val="99"/>
    <w:pPr>
      <w:widowControl w:val="0"/>
      <w:jc w:val="center"/>
    </w:pPr>
    <w:rPr>
      <w:rFonts w:ascii="Times New Roman" w:hAnsi="Times New Roman" w:cs="Times New Roman"/>
      <w:kern w:val="2"/>
      <w:szCs w:val="21"/>
    </w:rPr>
  </w:style>
  <w:style w:type="character" w:customStyle="1" w:styleId="Style133">
    <w:name w:val="_Style 133"/>
    <w:basedOn w:val="a0"/>
    <w:uiPriority w:val="99"/>
    <w:rPr>
      <w:rFonts w:ascii="Times New Roman" w:eastAsia="宋体" w:hAnsi="Times New Roman" w:cs="Times New Roman"/>
      <w:szCs w:val="21"/>
    </w:rPr>
  </w:style>
  <w:style w:type="paragraph" w:customStyle="1" w:styleId="Style134">
    <w:name w:val="_Style 134"/>
    <w:basedOn w:val="a"/>
    <w:next w:val="a"/>
    <w:semiHidden/>
    <w:pPr>
      <w:widowControl w:val="0"/>
      <w:spacing w:before="120"/>
      <w:jc w:val="both"/>
    </w:pPr>
    <w:rPr>
      <w:rFonts w:ascii="Arial" w:hAnsi="Arial" w:cs="Times New Roman"/>
      <w:b/>
      <w:bCs/>
      <w:kern w:val="2"/>
      <w:szCs w:val="21"/>
    </w:rPr>
  </w:style>
  <w:style w:type="paragraph" w:customStyle="1" w:styleId="Style135">
    <w:name w:val="_Style 135"/>
    <w:basedOn w:val="a"/>
    <w:pPr>
      <w:keepNext/>
      <w:keepLines/>
      <w:widowControl w:val="0"/>
      <w:spacing w:before="60" w:after="60"/>
      <w:ind w:hangingChars="200" w:hanging="420"/>
      <w:jc w:val="both"/>
      <w:outlineLvl w:val="4"/>
    </w:pPr>
    <w:rPr>
      <w:rFonts w:cs="Times New Roman"/>
      <w:b/>
      <w:bCs/>
      <w:kern w:val="2"/>
      <w:szCs w:val="21"/>
    </w:rPr>
  </w:style>
  <w:style w:type="paragraph" w:customStyle="1" w:styleId="Style136">
    <w:name w:val="_Style 136"/>
    <w:hidden/>
    <w:uiPriority w:val="99"/>
    <w:semiHidden/>
    <w:rPr>
      <w:kern w:val="2"/>
      <w:sz w:val="21"/>
      <w:szCs w:val="22"/>
    </w:rPr>
  </w:style>
  <w:style w:type="character" w:customStyle="1" w:styleId="Style137">
    <w:name w:val="_Style 137"/>
    <w:basedOn w:val="a0"/>
    <w:qFormat/>
    <w:rPr>
      <w:kern w:val="2"/>
      <w:sz w:val="21"/>
      <w:szCs w:val="24"/>
    </w:rPr>
  </w:style>
  <w:style w:type="paragraph" w:customStyle="1" w:styleId="Style138">
    <w:name w:val="_Style 138"/>
    <w:basedOn w:val="a"/>
    <w:qFormat/>
    <w:pPr>
      <w:widowControl w:val="0"/>
      <w:spacing w:before="100" w:after="100"/>
      <w:jc w:val="both"/>
    </w:pPr>
    <w:rPr>
      <w:rFonts w:ascii="Calibri" w:hAnsi="Calibri" w:cs="Times New Roman"/>
      <w:kern w:val="2"/>
    </w:rPr>
  </w:style>
  <w:style w:type="paragraph" w:customStyle="1" w:styleId="Style139">
    <w:name w:val="_Style 139"/>
    <w:basedOn w:val="a"/>
    <w:uiPriority w:val="99"/>
    <w:semiHidden/>
    <w:unhideWhenUsed/>
    <w:qFormat/>
    <w:pPr>
      <w:widowControl w:val="0"/>
      <w:jc w:val="both"/>
    </w:pPr>
    <w:rPr>
      <w:rFonts w:hAnsi="Calibri" w:cs="Times New Roman"/>
      <w:kern w:val="2"/>
      <w:sz w:val="18"/>
      <w:szCs w:val="18"/>
    </w:rPr>
  </w:style>
  <w:style w:type="character" w:customStyle="1" w:styleId="Style140">
    <w:name w:val="_Style 140"/>
    <w:basedOn w:val="a0"/>
    <w:uiPriority w:val="99"/>
    <w:semiHidden/>
    <w:qFormat/>
    <w:rPr>
      <w:rFonts w:ascii="宋体"/>
      <w:kern w:val="2"/>
      <w:sz w:val="18"/>
      <w:szCs w:val="18"/>
    </w:rPr>
  </w:style>
  <w:style w:type="character" w:customStyle="1" w:styleId="Style141">
    <w:name w:val="_Style 141"/>
    <w:basedOn w:val="a0"/>
    <w:uiPriority w:val="99"/>
    <w:semiHidden/>
    <w:qFormat/>
    <w:rPr>
      <w:color w:val="auto"/>
    </w:rPr>
  </w:style>
  <w:style w:type="paragraph" w:customStyle="1" w:styleId="Style142">
    <w:name w:val="_Style 142"/>
    <w:basedOn w:val="a"/>
    <w:next w:val="a"/>
    <w:uiPriority w:val="10"/>
    <w:qFormat/>
    <w:pPr>
      <w:widowControl w:val="0"/>
      <w:spacing w:before="240" w:after="60"/>
      <w:jc w:val="center"/>
      <w:outlineLvl w:val="0"/>
    </w:pPr>
    <w:rPr>
      <w:rFonts w:asciiTheme="majorHAnsi" w:hAnsiTheme="majorHAnsi" w:cstheme="majorBidi"/>
      <w:b/>
      <w:bCs/>
      <w:kern w:val="2"/>
      <w:sz w:val="32"/>
      <w:szCs w:val="32"/>
    </w:rPr>
  </w:style>
  <w:style w:type="character" w:customStyle="1" w:styleId="Style143">
    <w:name w:val="_Style 143"/>
    <w:basedOn w:val="a0"/>
    <w:uiPriority w:val="10"/>
    <w:qFormat/>
    <w:rPr>
      <w:rFonts w:asciiTheme="majorHAnsi" w:hAnsiTheme="majorHAnsi" w:cstheme="majorBidi"/>
      <w:b/>
      <w:bCs/>
      <w:kern w:val="2"/>
      <w:sz w:val="32"/>
      <w:szCs w:val="32"/>
    </w:rPr>
  </w:style>
  <w:style w:type="paragraph" w:customStyle="1" w:styleId="Style144">
    <w:name w:val="_Style 144"/>
    <w:uiPriority w:val="1"/>
    <w:qFormat/>
    <w:pPr>
      <w:widowControl w:val="0"/>
      <w:jc w:val="both"/>
    </w:pPr>
    <w:rPr>
      <w:kern w:val="2"/>
      <w:sz w:val="21"/>
      <w:szCs w:val="22"/>
    </w:rPr>
  </w:style>
  <w:style w:type="paragraph" w:customStyle="1" w:styleId="Style145">
    <w:name w:val="_Style 145"/>
    <w:basedOn w:val="a"/>
    <w:next w:val="a"/>
    <w:uiPriority w:val="39"/>
    <w:unhideWhenUsed/>
    <w:pPr>
      <w:widowControl w:val="0"/>
      <w:ind w:leftChars="600" w:left="1260"/>
      <w:jc w:val="both"/>
    </w:pPr>
    <w:rPr>
      <w:rFonts w:asciiTheme="minorHAnsi" w:eastAsiaTheme="minorEastAsia" w:hAnsiTheme="minorHAnsi" w:cstheme="minorBidi"/>
      <w:kern w:val="2"/>
      <w:szCs w:val="22"/>
    </w:rPr>
  </w:style>
  <w:style w:type="paragraph" w:customStyle="1" w:styleId="Style146">
    <w:name w:val="_Style 146"/>
    <w:basedOn w:val="a"/>
    <w:next w:val="a"/>
    <w:uiPriority w:val="39"/>
    <w:unhideWhenUsed/>
    <w:qFormat/>
    <w:pPr>
      <w:widowControl w:val="0"/>
      <w:ind w:leftChars="800" w:left="1680"/>
      <w:jc w:val="both"/>
    </w:pPr>
    <w:rPr>
      <w:rFonts w:asciiTheme="minorHAnsi" w:eastAsiaTheme="minorEastAsia" w:hAnsiTheme="minorHAnsi" w:cstheme="minorBidi"/>
      <w:kern w:val="2"/>
      <w:szCs w:val="22"/>
    </w:rPr>
  </w:style>
  <w:style w:type="paragraph" w:customStyle="1" w:styleId="Style147">
    <w:name w:val="_Style 147"/>
    <w:basedOn w:val="a"/>
    <w:next w:val="a"/>
    <w:uiPriority w:val="39"/>
    <w:unhideWhenUsed/>
    <w:qFormat/>
    <w:pPr>
      <w:widowControl w:val="0"/>
      <w:ind w:leftChars="1000" w:left="2100"/>
      <w:jc w:val="both"/>
    </w:pPr>
    <w:rPr>
      <w:rFonts w:asciiTheme="minorHAnsi" w:eastAsiaTheme="minorEastAsia" w:hAnsiTheme="minorHAnsi" w:cstheme="minorBidi"/>
      <w:kern w:val="2"/>
      <w:szCs w:val="22"/>
    </w:rPr>
  </w:style>
  <w:style w:type="paragraph" w:customStyle="1" w:styleId="Style148">
    <w:name w:val="_Style 148"/>
    <w:basedOn w:val="a"/>
    <w:next w:val="a"/>
    <w:uiPriority w:val="39"/>
    <w:unhideWhenUsed/>
    <w:qFormat/>
    <w:pPr>
      <w:widowControl w:val="0"/>
      <w:ind w:leftChars="1200" w:left="2520"/>
      <w:jc w:val="both"/>
    </w:pPr>
    <w:rPr>
      <w:rFonts w:asciiTheme="minorHAnsi" w:eastAsiaTheme="minorEastAsia" w:hAnsiTheme="minorHAnsi" w:cstheme="minorBidi"/>
      <w:kern w:val="2"/>
      <w:szCs w:val="22"/>
    </w:rPr>
  </w:style>
  <w:style w:type="paragraph" w:customStyle="1" w:styleId="Style149">
    <w:name w:val="_Style 149"/>
    <w:basedOn w:val="a"/>
    <w:next w:val="a"/>
    <w:uiPriority w:val="39"/>
    <w:unhideWhenUsed/>
    <w:qFormat/>
    <w:pPr>
      <w:widowControl w:val="0"/>
      <w:ind w:leftChars="1400" w:left="2940"/>
      <w:jc w:val="both"/>
    </w:pPr>
    <w:rPr>
      <w:rFonts w:asciiTheme="minorHAnsi" w:eastAsiaTheme="minorEastAsia" w:hAnsiTheme="minorHAnsi" w:cstheme="minorBidi"/>
      <w:kern w:val="2"/>
      <w:szCs w:val="22"/>
    </w:rPr>
  </w:style>
  <w:style w:type="paragraph" w:customStyle="1" w:styleId="Style150">
    <w:name w:val="_Style 150"/>
    <w:basedOn w:val="a"/>
    <w:next w:val="a"/>
    <w:uiPriority w:val="39"/>
    <w:unhideWhenUsed/>
    <w:pPr>
      <w:widowControl w:val="0"/>
      <w:ind w:leftChars="1600" w:left="3360"/>
      <w:jc w:val="both"/>
    </w:pPr>
    <w:rPr>
      <w:rFonts w:asciiTheme="minorHAnsi" w:eastAsiaTheme="minorEastAsia" w:hAnsiTheme="minorHAnsi" w:cstheme="minorBidi"/>
      <w:kern w:val="2"/>
      <w:szCs w:val="22"/>
    </w:rPr>
  </w:style>
  <w:style w:type="character" w:customStyle="1" w:styleId="Style151">
    <w:name w:val="_Style 151"/>
    <w:basedOn w:val="a0"/>
    <w:uiPriority w:val="9"/>
    <w:qFormat/>
    <w:rPr>
      <w:rFonts w:asciiTheme="majorHAnsi" w:hAnsiTheme="majorHAnsi" w:cstheme="majorBidi"/>
      <w:b/>
      <w:bCs/>
      <w:sz w:val="21"/>
      <w:szCs w:val="24"/>
    </w:rPr>
  </w:style>
  <w:style w:type="paragraph" w:customStyle="1" w:styleId="Style152">
    <w:name w:val="_Style 152"/>
    <w:basedOn w:val="a"/>
    <w:uiPriority w:val="99"/>
    <w:pPr>
      <w:spacing w:before="100" w:beforeAutospacing="1" w:after="100" w:afterAutospacing="1"/>
    </w:pPr>
    <w:rPr>
      <w:sz w:val="24"/>
    </w:rPr>
  </w:style>
  <w:style w:type="paragraph" w:customStyle="1" w:styleId="Style153">
    <w:name w:val="_Style 153"/>
    <w:basedOn w:val="a"/>
    <w:uiPriority w:val="99"/>
    <w:semiHidden/>
    <w:unhideWhenUsed/>
    <w:pPr>
      <w:snapToGrid w:val="0"/>
    </w:pPr>
  </w:style>
  <w:style w:type="character" w:customStyle="1" w:styleId="Style154">
    <w:name w:val="_Style 154"/>
    <w:basedOn w:val="a0"/>
    <w:uiPriority w:val="99"/>
    <w:semiHidden/>
    <w:qFormat/>
    <w:rPr>
      <w:rFonts w:ascii="宋体" w:hAnsi="宋体" w:cs="宋体"/>
      <w:sz w:val="21"/>
      <w:szCs w:val="24"/>
    </w:rPr>
  </w:style>
  <w:style w:type="character" w:customStyle="1" w:styleId="Style155">
    <w:name w:val="_Style 155"/>
    <w:basedOn w:val="a0"/>
    <w:uiPriority w:val="99"/>
    <w:semiHidden/>
    <w:unhideWhenUsed/>
    <w:qFormat/>
    <w:rPr>
      <w:vertAlign w:val="superscript"/>
    </w:rPr>
  </w:style>
  <w:style w:type="character" w:customStyle="1" w:styleId="Style156">
    <w:name w:val="_Style 156"/>
    <w:basedOn w:val="Style112"/>
    <w:uiPriority w:val="99"/>
    <w:semiHidden/>
    <w:rPr>
      <w:rFonts w:ascii="Times New Roman" w:eastAsia="宋体" w:hAnsi="Times New Roman" w:cs="Times New Roman"/>
      <w:b/>
      <w:bCs/>
      <w:szCs w:val="21"/>
    </w:rPr>
  </w:style>
  <w:style w:type="character" w:customStyle="1" w:styleId="Style157">
    <w:name w:val="_Style 157"/>
    <w:basedOn w:val="Style112"/>
    <w:uiPriority w:val="99"/>
    <w:semiHidden/>
    <w:rPr>
      <w:rFonts w:ascii="Times New Roman" w:eastAsia="宋体" w:hAnsi="Times New Roman" w:cs="Times New Roman"/>
      <w:b/>
      <w:bCs/>
      <w:szCs w:val="21"/>
    </w:rPr>
  </w:style>
  <w:style w:type="character" w:customStyle="1" w:styleId="Style158">
    <w:name w:val="_Style 158"/>
    <w:basedOn w:val="a0"/>
    <w:uiPriority w:val="9"/>
    <w:qFormat/>
    <w:rPr>
      <w:rFonts w:ascii="宋体" w:hAnsi="宋体" w:cs="宋体"/>
      <w:b/>
      <w:bCs/>
      <w:sz w:val="24"/>
      <w:szCs w:val="24"/>
    </w:rPr>
  </w:style>
  <w:style w:type="paragraph" w:customStyle="1" w:styleId="Style159">
    <w:name w:val="_Style 159"/>
    <w:basedOn w:val="a"/>
    <w:qFormat/>
    <w:pPr>
      <w:widowControl w:val="0"/>
      <w:ind w:firstLineChars="200" w:firstLine="420"/>
      <w:jc w:val="both"/>
    </w:pPr>
    <w:rPr>
      <w:rFonts w:ascii="Times New Roman" w:hAnsi="Times New Roman" w:cs="Times New Roman"/>
      <w:kern w:val="2"/>
      <w:szCs w:val="21"/>
    </w:rPr>
  </w:style>
  <w:style w:type="paragraph" w:customStyle="1" w:styleId="Style160">
    <w:name w:val="_Style 160"/>
    <w:basedOn w:val="a"/>
    <w:uiPriority w:val="34"/>
    <w:qFormat/>
    <w:pPr>
      <w:widowControl w:val="0"/>
      <w:ind w:firstLineChars="200" w:firstLine="420"/>
      <w:jc w:val="both"/>
    </w:pPr>
    <w:rPr>
      <w:rFonts w:ascii="Calibri" w:hAnsi="Calibri" w:cs="Times New Roman"/>
      <w:kern w:val="2"/>
      <w:szCs w:val="22"/>
    </w:rPr>
  </w:style>
  <w:style w:type="paragraph" w:customStyle="1" w:styleId="Style161">
    <w:name w:val="_Style 161"/>
    <w:basedOn w:val="a"/>
    <w:uiPriority w:val="34"/>
    <w:qFormat/>
    <w:pPr>
      <w:widowControl w:val="0"/>
      <w:ind w:firstLineChars="200" w:firstLine="420"/>
      <w:jc w:val="both"/>
    </w:pPr>
    <w:rPr>
      <w:rFonts w:ascii="Calibri" w:hAnsi="Calibri" w:cs="Times New Roman"/>
      <w:kern w:val="2"/>
      <w:szCs w:val="22"/>
    </w:rPr>
  </w:style>
  <w:style w:type="paragraph" w:customStyle="1" w:styleId="Style162">
    <w:name w:val="_Style 162"/>
    <w:basedOn w:val="a"/>
    <w:uiPriority w:val="34"/>
    <w:qFormat/>
    <w:pPr>
      <w:widowControl w:val="0"/>
      <w:ind w:firstLineChars="200" w:firstLine="420"/>
      <w:jc w:val="both"/>
    </w:pPr>
    <w:rPr>
      <w:rFonts w:ascii="Calibri" w:hAnsi="Calibri" w:cs="Times New Roman"/>
      <w:kern w:val="2"/>
      <w:szCs w:val="22"/>
    </w:rPr>
  </w:style>
  <w:style w:type="paragraph" w:customStyle="1" w:styleId="Style163">
    <w:name w:val="_Style 163"/>
    <w:basedOn w:val="a"/>
    <w:uiPriority w:val="34"/>
    <w:qFormat/>
    <w:pPr>
      <w:widowControl w:val="0"/>
      <w:ind w:firstLineChars="200" w:firstLine="420"/>
      <w:jc w:val="both"/>
    </w:pPr>
    <w:rPr>
      <w:rFonts w:ascii="Calibri" w:hAnsi="Calibri" w:cs="Times New Roman"/>
      <w:kern w:val="2"/>
      <w:szCs w:val="22"/>
    </w:rPr>
  </w:style>
  <w:style w:type="character" w:customStyle="1" w:styleId="Style164">
    <w:name w:val="_Style 164"/>
    <w:uiPriority w:val="99"/>
    <w:qFormat/>
    <w:rPr>
      <w:rFonts w:ascii="Times New Roman" w:hAnsi="Times New Roman"/>
      <w:kern w:val="2"/>
      <w:sz w:val="21"/>
      <w:szCs w:val="21"/>
    </w:rPr>
  </w:style>
  <w:style w:type="paragraph" w:customStyle="1" w:styleId="Style165">
    <w:name w:val="_Style 165"/>
    <w:basedOn w:val="a"/>
    <w:uiPriority w:val="34"/>
    <w:qFormat/>
    <w:pPr>
      <w:widowControl w:val="0"/>
      <w:ind w:firstLineChars="200" w:firstLine="420"/>
      <w:jc w:val="both"/>
    </w:pPr>
    <w:rPr>
      <w:rFonts w:ascii="Calibri" w:hAnsi="Calibri" w:cs="Times New Roman"/>
      <w:kern w:val="2"/>
      <w:szCs w:val="22"/>
    </w:rPr>
  </w:style>
  <w:style w:type="character" w:customStyle="1" w:styleId="Style166">
    <w:name w:val="_Style 166"/>
    <w:qFormat/>
    <w:rPr>
      <w:rFonts w:ascii="Times New Roman" w:hAnsi="Times New Roman"/>
      <w:kern w:val="2"/>
      <w:sz w:val="21"/>
      <w:szCs w:val="21"/>
    </w:rPr>
  </w:style>
  <w:style w:type="paragraph" w:customStyle="1" w:styleId="Style167">
    <w:name w:val="_Style 167"/>
    <w:basedOn w:val="a"/>
    <w:uiPriority w:val="34"/>
    <w:qFormat/>
    <w:pPr>
      <w:widowControl w:val="0"/>
      <w:ind w:firstLineChars="200" w:firstLine="420"/>
      <w:jc w:val="both"/>
    </w:pPr>
    <w:rPr>
      <w:rFonts w:ascii="Calibri" w:hAnsi="Calibri" w:cs="Times New Roman"/>
      <w:kern w:val="2"/>
      <w:szCs w:val="22"/>
    </w:rPr>
  </w:style>
  <w:style w:type="paragraph" w:customStyle="1" w:styleId="56">
    <w:name w:val="56"/>
    <w:basedOn w:val="a"/>
    <w:uiPriority w:val="34"/>
    <w:qFormat/>
    <w:pPr>
      <w:widowControl w:val="0"/>
      <w:ind w:firstLineChars="200" w:firstLine="420"/>
      <w:jc w:val="both"/>
    </w:pPr>
    <w:rPr>
      <w:rFonts w:ascii="Calibri" w:hAnsi="Calibri" w:cs="Times New Roman"/>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519;&#29618;\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8F0424" w:rsidRDefault="008F0424">
          <w:r>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62653D1-13D4-4E4F-AD1C-ABDFC36FDDF6}"/>
      </w:docPartPr>
      <w:docPartBody>
        <w:p w:rsidR="008F0424" w:rsidRDefault="008F0424">
          <w:r>
            <w:rPr>
              <w:rStyle w:val="a3"/>
              <w:rFonts w:hint="eastAsia"/>
              <w:color w:val="333399"/>
              <w:u w:val="single"/>
            </w:rPr>
            <w:t xml:space="preserve">　　　</w:t>
          </w:r>
        </w:p>
      </w:docPartBody>
    </w:docPart>
    <w:docPart>
      <w:docPartPr>
        <w:name w:val="EB1B2F3150FA4C2F8DD3E08EA1D7EAAF"/>
        <w:category>
          <w:name w:val="常规"/>
          <w:gallery w:val="placeholder"/>
        </w:category>
        <w:types>
          <w:type w:val="bbPlcHdr"/>
        </w:types>
        <w:behaviors>
          <w:behavior w:val="content"/>
        </w:behaviors>
        <w:guid w:val="{57029B25-8F5E-407D-898B-34FA36046007}"/>
      </w:docPartPr>
      <w:docPartBody>
        <w:p w:rsidR="007A188A" w:rsidRDefault="00093E18" w:rsidP="00093E18">
          <w:pPr>
            <w:pStyle w:val="EB1B2F3150FA4C2F8DD3E08EA1D7EAAF"/>
          </w:pPr>
          <w:r>
            <w:rPr>
              <w:rStyle w:val="a3"/>
              <w:rFonts w:hint="eastAsia"/>
            </w:rPr>
            <w:t xml:space="preserve">　</w:t>
          </w:r>
        </w:p>
      </w:docPartBody>
    </w:docPart>
    <w:docPart>
      <w:docPartPr>
        <w:name w:val="8E7D240D199B45ABA521E2DEB64A9B68"/>
        <w:category>
          <w:name w:val="常规"/>
          <w:gallery w:val="placeholder"/>
        </w:category>
        <w:types>
          <w:type w:val="bbPlcHdr"/>
        </w:types>
        <w:behaviors>
          <w:behavior w:val="content"/>
        </w:behaviors>
        <w:guid w:val="{820ED2D8-5036-4FAA-86EA-016B0D7C64CA}"/>
      </w:docPartPr>
      <w:docPartBody>
        <w:p w:rsidR="00F54260" w:rsidRDefault="007A188A" w:rsidP="007A188A">
          <w:pPr>
            <w:pStyle w:val="8E7D240D199B45ABA521E2DEB64A9B68"/>
          </w:pPr>
          <w:r w:rsidRPr="002524F4">
            <w:rPr>
              <w:rStyle w:val="a3"/>
              <w:rFonts w:hint="eastAsia"/>
              <w:color w:val="333399"/>
              <w:u w:val="single"/>
            </w:rPr>
            <w:t xml:space="preserve">　　　</w:t>
          </w:r>
        </w:p>
      </w:docPartBody>
    </w:docPart>
    <w:docPart>
      <w:docPartPr>
        <w:name w:val="679A48F2730948F59DD990AD2D30EDB7"/>
        <w:category>
          <w:name w:val="常规"/>
          <w:gallery w:val="placeholder"/>
        </w:category>
        <w:types>
          <w:type w:val="bbPlcHdr"/>
        </w:types>
        <w:behaviors>
          <w:behavior w:val="content"/>
        </w:behaviors>
        <w:guid w:val="{58F066FC-C2D2-4D6A-B64C-DDF4EC667F7C}"/>
      </w:docPartPr>
      <w:docPartBody>
        <w:p w:rsidR="00F54260" w:rsidRDefault="007A188A" w:rsidP="007A188A">
          <w:pPr>
            <w:pStyle w:val="679A48F2730948F59DD990AD2D30EDB7"/>
          </w:pPr>
          <w:r>
            <w:rPr>
              <w:rStyle w:val="a3"/>
              <w:rFonts w:hint="eastAsia"/>
            </w:rPr>
            <w:t xml:space="preserve">　</w:t>
          </w:r>
        </w:p>
      </w:docPartBody>
    </w:docPart>
    <w:docPart>
      <w:docPartPr>
        <w:name w:val="8F02F315891A4EFF9C9AC627C9BCE525"/>
        <w:category>
          <w:name w:val="常规"/>
          <w:gallery w:val="placeholder"/>
        </w:category>
        <w:types>
          <w:type w:val="bbPlcHdr"/>
        </w:types>
        <w:behaviors>
          <w:behavior w:val="content"/>
        </w:behaviors>
        <w:guid w:val="{33BA3593-DF1A-4C61-BCED-FC5C712466F9}"/>
      </w:docPartPr>
      <w:docPartBody>
        <w:p w:rsidR="00F54260" w:rsidRDefault="007A188A" w:rsidP="007A188A">
          <w:pPr>
            <w:pStyle w:val="8F02F315891A4EFF9C9AC627C9BCE525"/>
          </w:pPr>
          <w:r>
            <w:rPr>
              <w:rStyle w:val="a3"/>
              <w:rFonts w:hint="eastAsia"/>
            </w:rPr>
            <w:t xml:space="preserve">　</w:t>
          </w:r>
        </w:p>
      </w:docPartBody>
    </w:docPart>
    <w:docPart>
      <w:docPartPr>
        <w:name w:val="A7D8F08A42BD41A4A204F68A7CA39DFD"/>
        <w:category>
          <w:name w:val="常规"/>
          <w:gallery w:val="placeholder"/>
        </w:category>
        <w:types>
          <w:type w:val="bbPlcHdr"/>
        </w:types>
        <w:behaviors>
          <w:behavior w:val="content"/>
        </w:behaviors>
        <w:guid w:val="{268A5B4C-24B5-422D-A351-CF6F4CFB3CBF}"/>
      </w:docPartPr>
      <w:docPartBody>
        <w:p w:rsidR="00F54260" w:rsidRDefault="007A188A" w:rsidP="007A188A">
          <w:pPr>
            <w:pStyle w:val="A7D8F08A42BD41A4A204F68A7CA39DFD"/>
          </w:pPr>
          <w:r w:rsidRPr="001852D3">
            <w:rPr>
              <w:rStyle w:val="a3"/>
              <w:rFonts w:hint="eastAsia"/>
            </w:rPr>
            <w:t xml:space="preserve">　</w:t>
          </w:r>
        </w:p>
      </w:docPartBody>
    </w:docPart>
    <w:docPart>
      <w:docPartPr>
        <w:name w:val="1E6F6AAF8ACE4718A24942FEE51F280C"/>
        <w:category>
          <w:name w:val="常规"/>
          <w:gallery w:val="placeholder"/>
        </w:category>
        <w:types>
          <w:type w:val="bbPlcHdr"/>
        </w:types>
        <w:behaviors>
          <w:behavior w:val="content"/>
        </w:behaviors>
        <w:guid w:val="{CCC942A0-E9DE-4802-8F9A-2984321C2F71}"/>
      </w:docPartPr>
      <w:docPartBody>
        <w:p w:rsidR="003C39E9" w:rsidRDefault="004F7445" w:rsidP="004F7445">
          <w:pPr>
            <w:pStyle w:val="1E6F6AAF8ACE4718A24942FEE51F280C"/>
          </w:pPr>
          <w:r w:rsidRPr="009B06E5">
            <w:rPr>
              <w:rStyle w:val="a3"/>
              <w:rFonts w:hint="eastAsia"/>
            </w:rPr>
            <w:t xml:space="preserve">　</w:t>
          </w:r>
        </w:p>
      </w:docPartBody>
    </w:docPart>
    <w:docPart>
      <w:docPartPr>
        <w:name w:val="E658D34BFEE347F38F254A14DCAB9C39"/>
        <w:category>
          <w:name w:val="常规"/>
          <w:gallery w:val="placeholder"/>
        </w:category>
        <w:types>
          <w:type w:val="bbPlcHdr"/>
        </w:types>
        <w:behaviors>
          <w:behavior w:val="content"/>
        </w:behaviors>
        <w:guid w:val="{BC1DFCE6-40C1-4691-A649-3FE4F9F1EAEA}"/>
      </w:docPartPr>
      <w:docPartBody>
        <w:p w:rsidR="003C39E9" w:rsidRDefault="004F7445" w:rsidP="004F7445">
          <w:pPr>
            <w:pStyle w:val="E658D34BFEE347F38F254A14DCAB9C39"/>
          </w:pPr>
          <w:r w:rsidRPr="009B06E5">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宋体-方正超大字符集">
    <w:altName w:val="宋体"/>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useWord2013TrackBottomHyphenation" w:uri="http://schemas.microsoft.com/office/word" w:val="1"/>
  </w:compat>
  <w:rsids>
    <w:rsidRoot w:val="00E50E43"/>
    <w:rsid w:val="0000161E"/>
    <w:rsid w:val="00002689"/>
    <w:rsid w:val="0000578B"/>
    <w:rsid w:val="00006480"/>
    <w:rsid w:val="00006B48"/>
    <w:rsid w:val="00011C18"/>
    <w:rsid w:val="00011E75"/>
    <w:rsid w:val="00012653"/>
    <w:rsid w:val="00012A0F"/>
    <w:rsid w:val="00013B71"/>
    <w:rsid w:val="00020357"/>
    <w:rsid w:val="00020D37"/>
    <w:rsid w:val="00021BC4"/>
    <w:rsid w:val="000234EA"/>
    <w:rsid w:val="0002361B"/>
    <w:rsid w:val="000236A0"/>
    <w:rsid w:val="0002605F"/>
    <w:rsid w:val="000278B2"/>
    <w:rsid w:val="00031EC1"/>
    <w:rsid w:val="00032504"/>
    <w:rsid w:val="00032ECB"/>
    <w:rsid w:val="000336AB"/>
    <w:rsid w:val="000353DC"/>
    <w:rsid w:val="0003608F"/>
    <w:rsid w:val="000373E9"/>
    <w:rsid w:val="000403D5"/>
    <w:rsid w:val="00040A6F"/>
    <w:rsid w:val="00044179"/>
    <w:rsid w:val="00044916"/>
    <w:rsid w:val="00045444"/>
    <w:rsid w:val="000554CD"/>
    <w:rsid w:val="00055561"/>
    <w:rsid w:val="000565A1"/>
    <w:rsid w:val="0005740A"/>
    <w:rsid w:val="00061F65"/>
    <w:rsid w:val="000633F4"/>
    <w:rsid w:val="00063874"/>
    <w:rsid w:val="00063CC6"/>
    <w:rsid w:val="00065B5A"/>
    <w:rsid w:val="000667C2"/>
    <w:rsid w:val="00067DCC"/>
    <w:rsid w:val="00070ACB"/>
    <w:rsid w:val="00070BF0"/>
    <w:rsid w:val="00076D57"/>
    <w:rsid w:val="0007717F"/>
    <w:rsid w:val="00077530"/>
    <w:rsid w:val="000802FD"/>
    <w:rsid w:val="00081D6E"/>
    <w:rsid w:val="00082580"/>
    <w:rsid w:val="00083A50"/>
    <w:rsid w:val="00083B00"/>
    <w:rsid w:val="00083C63"/>
    <w:rsid w:val="00084E8F"/>
    <w:rsid w:val="00085A90"/>
    <w:rsid w:val="00087193"/>
    <w:rsid w:val="00087F7B"/>
    <w:rsid w:val="0009029E"/>
    <w:rsid w:val="00090A6F"/>
    <w:rsid w:val="00091B0E"/>
    <w:rsid w:val="00093BE5"/>
    <w:rsid w:val="00093E18"/>
    <w:rsid w:val="000958C3"/>
    <w:rsid w:val="00096466"/>
    <w:rsid w:val="000A1F58"/>
    <w:rsid w:val="000A31F9"/>
    <w:rsid w:val="000B3464"/>
    <w:rsid w:val="000B5761"/>
    <w:rsid w:val="000B5C82"/>
    <w:rsid w:val="000B61BD"/>
    <w:rsid w:val="000C50BC"/>
    <w:rsid w:val="000C5E8F"/>
    <w:rsid w:val="000C5F2F"/>
    <w:rsid w:val="000C656D"/>
    <w:rsid w:val="000D0276"/>
    <w:rsid w:val="000E18BB"/>
    <w:rsid w:val="000E3728"/>
    <w:rsid w:val="000E5940"/>
    <w:rsid w:val="000E7091"/>
    <w:rsid w:val="000E7B4D"/>
    <w:rsid w:val="000F0BE1"/>
    <w:rsid w:val="000F147D"/>
    <w:rsid w:val="000F3B57"/>
    <w:rsid w:val="000F41A3"/>
    <w:rsid w:val="000F440D"/>
    <w:rsid w:val="000F597A"/>
    <w:rsid w:val="000F7993"/>
    <w:rsid w:val="001002C0"/>
    <w:rsid w:val="00101C5F"/>
    <w:rsid w:val="00101EE7"/>
    <w:rsid w:val="00103415"/>
    <w:rsid w:val="00105693"/>
    <w:rsid w:val="00105B3C"/>
    <w:rsid w:val="00110AE1"/>
    <w:rsid w:val="001111ED"/>
    <w:rsid w:val="00112E0D"/>
    <w:rsid w:val="001130FF"/>
    <w:rsid w:val="00114109"/>
    <w:rsid w:val="00114DC0"/>
    <w:rsid w:val="00114EE3"/>
    <w:rsid w:val="00117118"/>
    <w:rsid w:val="0011797F"/>
    <w:rsid w:val="001179BE"/>
    <w:rsid w:val="00122BB8"/>
    <w:rsid w:val="001279CA"/>
    <w:rsid w:val="00132C46"/>
    <w:rsid w:val="00133739"/>
    <w:rsid w:val="00140824"/>
    <w:rsid w:val="0014233D"/>
    <w:rsid w:val="00142487"/>
    <w:rsid w:val="001425FD"/>
    <w:rsid w:val="00142BBE"/>
    <w:rsid w:val="00143BEA"/>
    <w:rsid w:val="00144665"/>
    <w:rsid w:val="00151EE9"/>
    <w:rsid w:val="00152DC3"/>
    <w:rsid w:val="00152F0F"/>
    <w:rsid w:val="0015578A"/>
    <w:rsid w:val="00156761"/>
    <w:rsid w:val="00157128"/>
    <w:rsid w:val="00162B35"/>
    <w:rsid w:val="00165D2C"/>
    <w:rsid w:val="00167914"/>
    <w:rsid w:val="00167B4F"/>
    <w:rsid w:val="001705F9"/>
    <w:rsid w:val="001722CC"/>
    <w:rsid w:val="001812E2"/>
    <w:rsid w:val="00183634"/>
    <w:rsid w:val="00184093"/>
    <w:rsid w:val="0018427A"/>
    <w:rsid w:val="00186ABA"/>
    <w:rsid w:val="00190BFB"/>
    <w:rsid w:val="00191DA7"/>
    <w:rsid w:val="00191ED7"/>
    <w:rsid w:val="00192056"/>
    <w:rsid w:val="001940A4"/>
    <w:rsid w:val="001967D6"/>
    <w:rsid w:val="00197942"/>
    <w:rsid w:val="001A2D80"/>
    <w:rsid w:val="001A3E54"/>
    <w:rsid w:val="001A4390"/>
    <w:rsid w:val="001A4BF1"/>
    <w:rsid w:val="001A57A7"/>
    <w:rsid w:val="001A5C0B"/>
    <w:rsid w:val="001A79B6"/>
    <w:rsid w:val="001B1217"/>
    <w:rsid w:val="001B2FBB"/>
    <w:rsid w:val="001B3DB4"/>
    <w:rsid w:val="001B40F8"/>
    <w:rsid w:val="001B64A1"/>
    <w:rsid w:val="001B7441"/>
    <w:rsid w:val="001B7C3F"/>
    <w:rsid w:val="001C0CD4"/>
    <w:rsid w:val="001C18E2"/>
    <w:rsid w:val="001C2312"/>
    <w:rsid w:val="001C6758"/>
    <w:rsid w:val="001D02EF"/>
    <w:rsid w:val="001D261F"/>
    <w:rsid w:val="001D2ED1"/>
    <w:rsid w:val="001E2A87"/>
    <w:rsid w:val="001E7AC2"/>
    <w:rsid w:val="001F792E"/>
    <w:rsid w:val="001F7AEB"/>
    <w:rsid w:val="00202BF5"/>
    <w:rsid w:val="00203E4B"/>
    <w:rsid w:val="002040F5"/>
    <w:rsid w:val="002118F6"/>
    <w:rsid w:val="00214451"/>
    <w:rsid w:val="002157E5"/>
    <w:rsid w:val="002203AB"/>
    <w:rsid w:val="00222C1F"/>
    <w:rsid w:val="00223F84"/>
    <w:rsid w:val="002318AF"/>
    <w:rsid w:val="00235A03"/>
    <w:rsid w:val="00235CE8"/>
    <w:rsid w:val="00237E37"/>
    <w:rsid w:val="00237F24"/>
    <w:rsid w:val="002403A7"/>
    <w:rsid w:val="00240BD1"/>
    <w:rsid w:val="00240E59"/>
    <w:rsid w:val="00241AA2"/>
    <w:rsid w:val="002424E5"/>
    <w:rsid w:val="00242BA5"/>
    <w:rsid w:val="00245E71"/>
    <w:rsid w:val="00246DDB"/>
    <w:rsid w:val="00247189"/>
    <w:rsid w:val="0025162E"/>
    <w:rsid w:val="00252183"/>
    <w:rsid w:val="0025254C"/>
    <w:rsid w:val="00255510"/>
    <w:rsid w:val="0026700C"/>
    <w:rsid w:val="00267758"/>
    <w:rsid w:val="0027269C"/>
    <w:rsid w:val="00277A8A"/>
    <w:rsid w:val="002806A5"/>
    <w:rsid w:val="00282709"/>
    <w:rsid w:val="00291691"/>
    <w:rsid w:val="002939B4"/>
    <w:rsid w:val="00295B2D"/>
    <w:rsid w:val="00296AA3"/>
    <w:rsid w:val="002A01D2"/>
    <w:rsid w:val="002A047F"/>
    <w:rsid w:val="002A133C"/>
    <w:rsid w:val="002A1B3D"/>
    <w:rsid w:val="002A3D43"/>
    <w:rsid w:val="002A7833"/>
    <w:rsid w:val="002B0D5C"/>
    <w:rsid w:val="002B2E1D"/>
    <w:rsid w:val="002B6A1A"/>
    <w:rsid w:val="002B7219"/>
    <w:rsid w:val="002C052B"/>
    <w:rsid w:val="002C1384"/>
    <w:rsid w:val="002C1FA8"/>
    <w:rsid w:val="002C4EDD"/>
    <w:rsid w:val="002C60AD"/>
    <w:rsid w:val="002C74B0"/>
    <w:rsid w:val="002C7F45"/>
    <w:rsid w:val="002D1456"/>
    <w:rsid w:val="002D36DA"/>
    <w:rsid w:val="002D3F31"/>
    <w:rsid w:val="002D5902"/>
    <w:rsid w:val="002D6E4F"/>
    <w:rsid w:val="002D6EFF"/>
    <w:rsid w:val="002D76CF"/>
    <w:rsid w:val="002E3E1B"/>
    <w:rsid w:val="002E51D6"/>
    <w:rsid w:val="002E52A1"/>
    <w:rsid w:val="002E7DE3"/>
    <w:rsid w:val="002F1309"/>
    <w:rsid w:val="002F2BCD"/>
    <w:rsid w:val="003023FA"/>
    <w:rsid w:val="0030473E"/>
    <w:rsid w:val="003052E1"/>
    <w:rsid w:val="00305936"/>
    <w:rsid w:val="003076E0"/>
    <w:rsid w:val="003107C9"/>
    <w:rsid w:val="00311067"/>
    <w:rsid w:val="00313916"/>
    <w:rsid w:val="003145A5"/>
    <w:rsid w:val="003161CE"/>
    <w:rsid w:val="00321D6D"/>
    <w:rsid w:val="00323E29"/>
    <w:rsid w:val="0032625F"/>
    <w:rsid w:val="003262C7"/>
    <w:rsid w:val="00326ECB"/>
    <w:rsid w:val="003333AF"/>
    <w:rsid w:val="00335DE6"/>
    <w:rsid w:val="00342477"/>
    <w:rsid w:val="00343D04"/>
    <w:rsid w:val="00344D91"/>
    <w:rsid w:val="00353AE0"/>
    <w:rsid w:val="00356A92"/>
    <w:rsid w:val="00357D61"/>
    <w:rsid w:val="00363E3B"/>
    <w:rsid w:val="0037315D"/>
    <w:rsid w:val="00374D45"/>
    <w:rsid w:val="00377616"/>
    <w:rsid w:val="003804EA"/>
    <w:rsid w:val="00381BC0"/>
    <w:rsid w:val="00382F4F"/>
    <w:rsid w:val="00386864"/>
    <w:rsid w:val="0039064D"/>
    <w:rsid w:val="003908FA"/>
    <w:rsid w:val="0039324D"/>
    <w:rsid w:val="003962B1"/>
    <w:rsid w:val="003967B0"/>
    <w:rsid w:val="003A26AD"/>
    <w:rsid w:val="003A2DE3"/>
    <w:rsid w:val="003A34C2"/>
    <w:rsid w:val="003A4370"/>
    <w:rsid w:val="003A5ECC"/>
    <w:rsid w:val="003A61DE"/>
    <w:rsid w:val="003A738C"/>
    <w:rsid w:val="003B2E3D"/>
    <w:rsid w:val="003B4A6B"/>
    <w:rsid w:val="003B4D40"/>
    <w:rsid w:val="003C0C12"/>
    <w:rsid w:val="003C1982"/>
    <w:rsid w:val="003C1EE8"/>
    <w:rsid w:val="003C39E9"/>
    <w:rsid w:val="003C4A66"/>
    <w:rsid w:val="003C5569"/>
    <w:rsid w:val="003C56E7"/>
    <w:rsid w:val="003D0725"/>
    <w:rsid w:val="003D3FEC"/>
    <w:rsid w:val="003D4273"/>
    <w:rsid w:val="003D5E62"/>
    <w:rsid w:val="003D7851"/>
    <w:rsid w:val="003D7CE7"/>
    <w:rsid w:val="003E169C"/>
    <w:rsid w:val="003E29F3"/>
    <w:rsid w:val="003E3750"/>
    <w:rsid w:val="003E7481"/>
    <w:rsid w:val="003F10C8"/>
    <w:rsid w:val="003F1975"/>
    <w:rsid w:val="003F3961"/>
    <w:rsid w:val="003F3A03"/>
    <w:rsid w:val="003F61C2"/>
    <w:rsid w:val="0040196D"/>
    <w:rsid w:val="0040287B"/>
    <w:rsid w:val="004073B3"/>
    <w:rsid w:val="00410006"/>
    <w:rsid w:val="00410557"/>
    <w:rsid w:val="004140D9"/>
    <w:rsid w:val="00414CEC"/>
    <w:rsid w:val="004158B7"/>
    <w:rsid w:val="00415A60"/>
    <w:rsid w:val="004223B5"/>
    <w:rsid w:val="00424A0C"/>
    <w:rsid w:val="00425135"/>
    <w:rsid w:val="00430195"/>
    <w:rsid w:val="0043080F"/>
    <w:rsid w:val="00432A1F"/>
    <w:rsid w:val="00433405"/>
    <w:rsid w:val="004336EF"/>
    <w:rsid w:val="0043488A"/>
    <w:rsid w:val="00440F19"/>
    <w:rsid w:val="0044105B"/>
    <w:rsid w:val="00442316"/>
    <w:rsid w:val="00442E13"/>
    <w:rsid w:val="00447E3B"/>
    <w:rsid w:val="004506BE"/>
    <w:rsid w:val="004533D1"/>
    <w:rsid w:val="00455499"/>
    <w:rsid w:val="00455B73"/>
    <w:rsid w:val="00455C0C"/>
    <w:rsid w:val="004565C9"/>
    <w:rsid w:val="00457596"/>
    <w:rsid w:val="00462366"/>
    <w:rsid w:val="004629D5"/>
    <w:rsid w:val="00470F61"/>
    <w:rsid w:val="004714A5"/>
    <w:rsid w:val="004714D5"/>
    <w:rsid w:val="004719CF"/>
    <w:rsid w:val="0047340A"/>
    <w:rsid w:val="004808A5"/>
    <w:rsid w:val="00480CD1"/>
    <w:rsid w:val="00486659"/>
    <w:rsid w:val="0048763F"/>
    <w:rsid w:val="00491337"/>
    <w:rsid w:val="0049223A"/>
    <w:rsid w:val="00492496"/>
    <w:rsid w:val="00492A9F"/>
    <w:rsid w:val="00493BA3"/>
    <w:rsid w:val="00494271"/>
    <w:rsid w:val="004942F5"/>
    <w:rsid w:val="0049694C"/>
    <w:rsid w:val="004A0313"/>
    <w:rsid w:val="004A20D7"/>
    <w:rsid w:val="004A4D5A"/>
    <w:rsid w:val="004B03EC"/>
    <w:rsid w:val="004B2FA4"/>
    <w:rsid w:val="004B3148"/>
    <w:rsid w:val="004B325E"/>
    <w:rsid w:val="004B44B8"/>
    <w:rsid w:val="004B4CFF"/>
    <w:rsid w:val="004B54E9"/>
    <w:rsid w:val="004B59D6"/>
    <w:rsid w:val="004B6A92"/>
    <w:rsid w:val="004C0CD8"/>
    <w:rsid w:val="004C13E9"/>
    <w:rsid w:val="004C43A4"/>
    <w:rsid w:val="004C559B"/>
    <w:rsid w:val="004C7259"/>
    <w:rsid w:val="004C76CE"/>
    <w:rsid w:val="004D13C4"/>
    <w:rsid w:val="004D1741"/>
    <w:rsid w:val="004D20EE"/>
    <w:rsid w:val="004D2666"/>
    <w:rsid w:val="004D2E52"/>
    <w:rsid w:val="004D6AE4"/>
    <w:rsid w:val="004D7489"/>
    <w:rsid w:val="004D7840"/>
    <w:rsid w:val="004E04F7"/>
    <w:rsid w:val="004E19E9"/>
    <w:rsid w:val="004E3AF1"/>
    <w:rsid w:val="004E7288"/>
    <w:rsid w:val="004F009B"/>
    <w:rsid w:val="004F0706"/>
    <w:rsid w:val="004F1F2A"/>
    <w:rsid w:val="004F207A"/>
    <w:rsid w:val="004F2904"/>
    <w:rsid w:val="004F4B5A"/>
    <w:rsid w:val="004F6AED"/>
    <w:rsid w:val="004F7002"/>
    <w:rsid w:val="004F7445"/>
    <w:rsid w:val="005027B4"/>
    <w:rsid w:val="005027F0"/>
    <w:rsid w:val="00503995"/>
    <w:rsid w:val="00504773"/>
    <w:rsid w:val="00506383"/>
    <w:rsid w:val="005068BC"/>
    <w:rsid w:val="005127FE"/>
    <w:rsid w:val="00516D73"/>
    <w:rsid w:val="00520485"/>
    <w:rsid w:val="00522F6B"/>
    <w:rsid w:val="00523110"/>
    <w:rsid w:val="00523875"/>
    <w:rsid w:val="00524D62"/>
    <w:rsid w:val="00525721"/>
    <w:rsid w:val="00526766"/>
    <w:rsid w:val="005268E0"/>
    <w:rsid w:val="00527DB2"/>
    <w:rsid w:val="005313CD"/>
    <w:rsid w:val="005335BB"/>
    <w:rsid w:val="00533650"/>
    <w:rsid w:val="00533F72"/>
    <w:rsid w:val="00536A57"/>
    <w:rsid w:val="00537979"/>
    <w:rsid w:val="005422E3"/>
    <w:rsid w:val="00542A0E"/>
    <w:rsid w:val="0054615B"/>
    <w:rsid w:val="005472A5"/>
    <w:rsid w:val="00550C78"/>
    <w:rsid w:val="00550DEC"/>
    <w:rsid w:val="00551DFD"/>
    <w:rsid w:val="00552952"/>
    <w:rsid w:val="005534B1"/>
    <w:rsid w:val="00556A44"/>
    <w:rsid w:val="0055746E"/>
    <w:rsid w:val="00560A87"/>
    <w:rsid w:val="00562685"/>
    <w:rsid w:val="00564CD3"/>
    <w:rsid w:val="0056541D"/>
    <w:rsid w:val="005654AC"/>
    <w:rsid w:val="00565DA6"/>
    <w:rsid w:val="005670C9"/>
    <w:rsid w:val="00567462"/>
    <w:rsid w:val="00567CB4"/>
    <w:rsid w:val="00567D9E"/>
    <w:rsid w:val="00567F61"/>
    <w:rsid w:val="00571479"/>
    <w:rsid w:val="00573A32"/>
    <w:rsid w:val="005752A8"/>
    <w:rsid w:val="00575D97"/>
    <w:rsid w:val="00576019"/>
    <w:rsid w:val="005779AE"/>
    <w:rsid w:val="005821C1"/>
    <w:rsid w:val="005822A8"/>
    <w:rsid w:val="00582E12"/>
    <w:rsid w:val="005856BC"/>
    <w:rsid w:val="0058588D"/>
    <w:rsid w:val="0059545D"/>
    <w:rsid w:val="005A2E6F"/>
    <w:rsid w:val="005A6D6C"/>
    <w:rsid w:val="005A6ED8"/>
    <w:rsid w:val="005B2C3C"/>
    <w:rsid w:val="005B3CB6"/>
    <w:rsid w:val="005B5439"/>
    <w:rsid w:val="005C028E"/>
    <w:rsid w:val="005C2D90"/>
    <w:rsid w:val="005C4B09"/>
    <w:rsid w:val="005C5DA2"/>
    <w:rsid w:val="005D64A0"/>
    <w:rsid w:val="005D6837"/>
    <w:rsid w:val="005D6C4C"/>
    <w:rsid w:val="005E2D1E"/>
    <w:rsid w:val="005E3B88"/>
    <w:rsid w:val="005E4703"/>
    <w:rsid w:val="005E61F9"/>
    <w:rsid w:val="005E63F7"/>
    <w:rsid w:val="005E7C4C"/>
    <w:rsid w:val="005E7CE3"/>
    <w:rsid w:val="005F0430"/>
    <w:rsid w:val="005F1E03"/>
    <w:rsid w:val="005F3BA5"/>
    <w:rsid w:val="005F589F"/>
    <w:rsid w:val="006008DC"/>
    <w:rsid w:val="00601FDC"/>
    <w:rsid w:val="0060301F"/>
    <w:rsid w:val="006035FB"/>
    <w:rsid w:val="006126EC"/>
    <w:rsid w:val="00617EEA"/>
    <w:rsid w:val="0062450B"/>
    <w:rsid w:val="00624AF3"/>
    <w:rsid w:val="00626F2D"/>
    <w:rsid w:val="00626F33"/>
    <w:rsid w:val="006271F1"/>
    <w:rsid w:val="00627316"/>
    <w:rsid w:val="00632279"/>
    <w:rsid w:val="00640DE1"/>
    <w:rsid w:val="0064157C"/>
    <w:rsid w:val="006416B8"/>
    <w:rsid w:val="006433CC"/>
    <w:rsid w:val="00643FA8"/>
    <w:rsid w:val="0064473F"/>
    <w:rsid w:val="00644CC2"/>
    <w:rsid w:val="006506CB"/>
    <w:rsid w:val="00653689"/>
    <w:rsid w:val="00653904"/>
    <w:rsid w:val="00654ABD"/>
    <w:rsid w:val="0065606C"/>
    <w:rsid w:val="00664E7A"/>
    <w:rsid w:val="00665843"/>
    <w:rsid w:val="006679B5"/>
    <w:rsid w:val="00667ED8"/>
    <w:rsid w:val="0067183E"/>
    <w:rsid w:val="00671DB1"/>
    <w:rsid w:val="00672440"/>
    <w:rsid w:val="00674B33"/>
    <w:rsid w:val="0067564A"/>
    <w:rsid w:val="00675684"/>
    <w:rsid w:val="0067587E"/>
    <w:rsid w:val="00676119"/>
    <w:rsid w:val="0068287F"/>
    <w:rsid w:val="0069152F"/>
    <w:rsid w:val="00696D0B"/>
    <w:rsid w:val="006A05A7"/>
    <w:rsid w:val="006A20D1"/>
    <w:rsid w:val="006A2991"/>
    <w:rsid w:val="006A6E01"/>
    <w:rsid w:val="006A7E2E"/>
    <w:rsid w:val="006B1968"/>
    <w:rsid w:val="006B25FE"/>
    <w:rsid w:val="006B2F1C"/>
    <w:rsid w:val="006B2F7C"/>
    <w:rsid w:val="006B428F"/>
    <w:rsid w:val="006B5B2D"/>
    <w:rsid w:val="006B5E23"/>
    <w:rsid w:val="006B626E"/>
    <w:rsid w:val="006B6DE4"/>
    <w:rsid w:val="006C0371"/>
    <w:rsid w:val="006C425B"/>
    <w:rsid w:val="006C4D76"/>
    <w:rsid w:val="006C4F96"/>
    <w:rsid w:val="006C5037"/>
    <w:rsid w:val="006C59BD"/>
    <w:rsid w:val="006C7DE4"/>
    <w:rsid w:val="006C7EDF"/>
    <w:rsid w:val="006D0081"/>
    <w:rsid w:val="006D0624"/>
    <w:rsid w:val="006D0751"/>
    <w:rsid w:val="006D2E8E"/>
    <w:rsid w:val="006D61A3"/>
    <w:rsid w:val="006D7649"/>
    <w:rsid w:val="006E5795"/>
    <w:rsid w:val="006E6B2E"/>
    <w:rsid w:val="006E7EC9"/>
    <w:rsid w:val="006F09DE"/>
    <w:rsid w:val="006F13FA"/>
    <w:rsid w:val="006F39D6"/>
    <w:rsid w:val="006F4FF6"/>
    <w:rsid w:val="00703C57"/>
    <w:rsid w:val="00705C49"/>
    <w:rsid w:val="00710A14"/>
    <w:rsid w:val="00711502"/>
    <w:rsid w:val="00712509"/>
    <w:rsid w:val="0071327A"/>
    <w:rsid w:val="00731723"/>
    <w:rsid w:val="00732BBD"/>
    <w:rsid w:val="00734566"/>
    <w:rsid w:val="007355F3"/>
    <w:rsid w:val="00740175"/>
    <w:rsid w:val="00742B8F"/>
    <w:rsid w:val="007433AC"/>
    <w:rsid w:val="00743F53"/>
    <w:rsid w:val="0074600A"/>
    <w:rsid w:val="007534BD"/>
    <w:rsid w:val="00753789"/>
    <w:rsid w:val="0075396A"/>
    <w:rsid w:val="007571F3"/>
    <w:rsid w:val="00764A07"/>
    <w:rsid w:val="00765FF6"/>
    <w:rsid w:val="007675EA"/>
    <w:rsid w:val="007729B5"/>
    <w:rsid w:val="00772AF0"/>
    <w:rsid w:val="0077360B"/>
    <w:rsid w:val="0077366C"/>
    <w:rsid w:val="007737FB"/>
    <w:rsid w:val="00774E2F"/>
    <w:rsid w:val="00775421"/>
    <w:rsid w:val="00776D56"/>
    <w:rsid w:val="00780475"/>
    <w:rsid w:val="00781FC8"/>
    <w:rsid w:val="00782C46"/>
    <w:rsid w:val="00784D7A"/>
    <w:rsid w:val="0079002E"/>
    <w:rsid w:val="00790D3F"/>
    <w:rsid w:val="007945B6"/>
    <w:rsid w:val="00796069"/>
    <w:rsid w:val="007967C1"/>
    <w:rsid w:val="007A0A96"/>
    <w:rsid w:val="007A188A"/>
    <w:rsid w:val="007B135F"/>
    <w:rsid w:val="007B1B69"/>
    <w:rsid w:val="007B4384"/>
    <w:rsid w:val="007B5F58"/>
    <w:rsid w:val="007C0882"/>
    <w:rsid w:val="007C1043"/>
    <w:rsid w:val="007C4BE1"/>
    <w:rsid w:val="007C57B7"/>
    <w:rsid w:val="007D419F"/>
    <w:rsid w:val="007D6F29"/>
    <w:rsid w:val="007D735A"/>
    <w:rsid w:val="007E3A9C"/>
    <w:rsid w:val="007E4C54"/>
    <w:rsid w:val="007F0584"/>
    <w:rsid w:val="007F11B8"/>
    <w:rsid w:val="007F3ADC"/>
    <w:rsid w:val="007F3EEA"/>
    <w:rsid w:val="007F7625"/>
    <w:rsid w:val="007F776F"/>
    <w:rsid w:val="00801A03"/>
    <w:rsid w:val="00802845"/>
    <w:rsid w:val="00802CB7"/>
    <w:rsid w:val="00803299"/>
    <w:rsid w:val="00804F6D"/>
    <w:rsid w:val="00805068"/>
    <w:rsid w:val="00811EE1"/>
    <w:rsid w:val="008165EA"/>
    <w:rsid w:val="00816907"/>
    <w:rsid w:val="00816CF0"/>
    <w:rsid w:val="0081790A"/>
    <w:rsid w:val="008201BA"/>
    <w:rsid w:val="00821CF3"/>
    <w:rsid w:val="00822E96"/>
    <w:rsid w:val="00825D16"/>
    <w:rsid w:val="0083006E"/>
    <w:rsid w:val="00830A74"/>
    <w:rsid w:val="008325A3"/>
    <w:rsid w:val="008339EF"/>
    <w:rsid w:val="008348F3"/>
    <w:rsid w:val="00837A15"/>
    <w:rsid w:val="00842FF3"/>
    <w:rsid w:val="0084344B"/>
    <w:rsid w:val="00846C3B"/>
    <w:rsid w:val="00850ABF"/>
    <w:rsid w:val="00850C34"/>
    <w:rsid w:val="00850F04"/>
    <w:rsid w:val="008543E1"/>
    <w:rsid w:val="008549B6"/>
    <w:rsid w:val="00856596"/>
    <w:rsid w:val="0086068B"/>
    <w:rsid w:val="008620B4"/>
    <w:rsid w:val="008657EC"/>
    <w:rsid w:val="00865910"/>
    <w:rsid w:val="00870DBE"/>
    <w:rsid w:val="00873818"/>
    <w:rsid w:val="00873F7F"/>
    <w:rsid w:val="00874239"/>
    <w:rsid w:val="00877A6D"/>
    <w:rsid w:val="00882006"/>
    <w:rsid w:val="00884EC1"/>
    <w:rsid w:val="00886903"/>
    <w:rsid w:val="00890F00"/>
    <w:rsid w:val="00891373"/>
    <w:rsid w:val="0089283A"/>
    <w:rsid w:val="0089696C"/>
    <w:rsid w:val="00897A46"/>
    <w:rsid w:val="008A12DA"/>
    <w:rsid w:val="008A5DB2"/>
    <w:rsid w:val="008B1A1A"/>
    <w:rsid w:val="008B1FF2"/>
    <w:rsid w:val="008B231B"/>
    <w:rsid w:val="008B4371"/>
    <w:rsid w:val="008B4BFE"/>
    <w:rsid w:val="008B691B"/>
    <w:rsid w:val="008C255E"/>
    <w:rsid w:val="008D4FC7"/>
    <w:rsid w:val="008E0178"/>
    <w:rsid w:val="008E0994"/>
    <w:rsid w:val="008E42C5"/>
    <w:rsid w:val="008F0424"/>
    <w:rsid w:val="008F0B49"/>
    <w:rsid w:val="008F16CD"/>
    <w:rsid w:val="008F3574"/>
    <w:rsid w:val="008F4EA3"/>
    <w:rsid w:val="009036E4"/>
    <w:rsid w:val="00904A3E"/>
    <w:rsid w:val="00904B95"/>
    <w:rsid w:val="009050AC"/>
    <w:rsid w:val="009078EE"/>
    <w:rsid w:val="00907A65"/>
    <w:rsid w:val="00910497"/>
    <w:rsid w:val="00913362"/>
    <w:rsid w:val="00916593"/>
    <w:rsid w:val="00916DBA"/>
    <w:rsid w:val="009215B7"/>
    <w:rsid w:val="00921CE2"/>
    <w:rsid w:val="00922EF8"/>
    <w:rsid w:val="009242EA"/>
    <w:rsid w:val="00924381"/>
    <w:rsid w:val="0093045C"/>
    <w:rsid w:val="009314BE"/>
    <w:rsid w:val="00932281"/>
    <w:rsid w:val="00934D2C"/>
    <w:rsid w:val="00935407"/>
    <w:rsid w:val="009402A5"/>
    <w:rsid w:val="009406CA"/>
    <w:rsid w:val="00941728"/>
    <w:rsid w:val="009422D4"/>
    <w:rsid w:val="009450E7"/>
    <w:rsid w:val="009457DA"/>
    <w:rsid w:val="00945BA6"/>
    <w:rsid w:val="0095041C"/>
    <w:rsid w:val="00952BD6"/>
    <w:rsid w:val="00952EAE"/>
    <w:rsid w:val="009535A7"/>
    <w:rsid w:val="00953A46"/>
    <w:rsid w:val="0095529C"/>
    <w:rsid w:val="0096111A"/>
    <w:rsid w:val="00967C28"/>
    <w:rsid w:val="00974A56"/>
    <w:rsid w:val="00976D34"/>
    <w:rsid w:val="009779C3"/>
    <w:rsid w:val="009862E9"/>
    <w:rsid w:val="00986A33"/>
    <w:rsid w:val="00991F79"/>
    <w:rsid w:val="009966D6"/>
    <w:rsid w:val="00996906"/>
    <w:rsid w:val="00997435"/>
    <w:rsid w:val="009A550B"/>
    <w:rsid w:val="009A58AB"/>
    <w:rsid w:val="009A5B98"/>
    <w:rsid w:val="009A67AF"/>
    <w:rsid w:val="009A6C69"/>
    <w:rsid w:val="009A6CCE"/>
    <w:rsid w:val="009B293C"/>
    <w:rsid w:val="009B361D"/>
    <w:rsid w:val="009B3A1B"/>
    <w:rsid w:val="009B472A"/>
    <w:rsid w:val="009B652B"/>
    <w:rsid w:val="009C0F45"/>
    <w:rsid w:val="009C2F06"/>
    <w:rsid w:val="009C64EC"/>
    <w:rsid w:val="009D05C1"/>
    <w:rsid w:val="009D15B0"/>
    <w:rsid w:val="009D3FDD"/>
    <w:rsid w:val="009D6F4A"/>
    <w:rsid w:val="009E0E59"/>
    <w:rsid w:val="009E0F04"/>
    <w:rsid w:val="009E3402"/>
    <w:rsid w:val="009E3473"/>
    <w:rsid w:val="009E4101"/>
    <w:rsid w:val="009E4398"/>
    <w:rsid w:val="009E49FB"/>
    <w:rsid w:val="009E5DAB"/>
    <w:rsid w:val="009F0978"/>
    <w:rsid w:val="009F367F"/>
    <w:rsid w:val="009F5000"/>
    <w:rsid w:val="009F5450"/>
    <w:rsid w:val="009F7222"/>
    <w:rsid w:val="00A01D8D"/>
    <w:rsid w:val="00A02BBC"/>
    <w:rsid w:val="00A02CA0"/>
    <w:rsid w:val="00A02ED9"/>
    <w:rsid w:val="00A044B5"/>
    <w:rsid w:val="00A04892"/>
    <w:rsid w:val="00A04BB1"/>
    <w:rsid w:val="00A0534C"/>
    <w:rsid w:val="00A07390"/>
    <w:rsid w:val="00A0798E"/>
    <w:rsid w:val="00A10C4B"/>
    <w:rsid w:val="00A13335"/>
    <w:rsid w:val="00A15BB3"/>
    <w:rsid w:val="00A24107"/>
    <w:rsid w:val="00A24A10"/>
    <w:rsid w:val="00A262B8"/>
    <w:rsid w:val="00A270B9"/>
    <w:rsid w:val="00A27792"/>
    <w:rsid w:val="00A30A00"/>
    <w:rsid w:val="00A32526"/>
    <w:rsid w:val="00A3567A"/>
    <w:rsid w:val="00A41AB8"/>
    <w:rsid w:val="00A423C8"/>
    <w:rsid w:val="00A42B52"/>
    <w:rsid w:val="00A52BC4"/>
    <w:rsid w:val="00A5314E"/>
    <w:rsid w:val="00A54F3D"/>
    <w:rsid w:val="00A6203F"/>
    <w:rsid w:val="00A653BB"/>
    <w:rsid w:val="00A65574"/>
    <w:rsid w:val="00A677A4"/>
    <w:rsid w:val="00A70728"/>
    <w:rsid w:val="00A74CBD"/>
    <w:rsid w:val="00A75E22"/>
    <w:rsid w:val="00A76206"/>
    <w:rsid w:val="00A80295"/>
    <w:rsid w:val="00A80F35"/>
    <w:rsid w:val="00A83E9B"/>
    <w:rsid w:val="00A85F54"/>
    <w:rsid w:val="00A93100"/>
    <w:rsid w:val="00A93989"/>
    <w:rsid w:val="00AA11C1"/>
    <w:rsid w:val="00AA1E6B"/>
    <w:rsid w:val="00AA2031"/>
    <w:rsid w:val="00AA2955"/>
    <w:rsid w:val="00AA407F"/>
    <w:rsid w:val="00AA4A42"/>
    <w:rsid w:val="00AB3FDB"/>
    <w:rsid w:val="00AB431D"/>
    <w:rsid w:val="00AB49FC"/>
    <w:rsid w:val="00AB4F81"/>
    <w:rsid w:val="00AB7DCC"/>
    <w:rsid w:val="00AC3C53"/>
    <w:rsid w:val="00AC5F56"/>
    <w:rsid w:val="00AC65C2"/>
    <w:rsid w:val="00AC7870"/>
    <w:rsid w:val="00AD55AC"/>
    <w:rsid w:val="00AE09D4"/>
    <w:rsid w:val="00AE33B7"/>
    <w:rsid w:val="00AE4374"/>
    <w:rsid w:val="00AE47A4"/>
    <w:rsid w:val="00AF2026"/>
    <w:rsid w:val="00AF3746"/>
    <w:rsid w:val="00AF4E8C"/>
    <w:rsid w:val="00AF514D"/>
    <w:rsid w:val="00AF7CDE"/>
    <w:rsid w:val="00B00E2E"/>
    <w:rsid w:val="00B018BE"/>
    <w:rsid w:val="00B02D4F"/>
    <w:rsid w:val="00B0308E"/>
    <w:rsid w:val="00B0508A"/>
    <w:rsid w:val="00B0575F"/>
    <w:rsid w:val="00B10F3E"/>
    <w:rsid w:val="00B116E7"/>
    <w:rsid w:val="00B235ED"/>
    <w:rsid w:val="00B24F71"/>
    <w:rsid w:val="00B251A2"/>
    <w:rsid w:val="00B259FF"/>
    <w:rsid w:val="00B25A6D"/>
    <w:rsid w:val="00B2605C"/>
    <w:rsid w:val="00B269B5"/>
    <w:rsid w:val="00B27437"/>
    <w:rsid w:val="00B30435"/>
    <w:rsid w:val="00B314C5"/>
    <w:rsid w:val="00B331CF"/>
    <w:rsid w:val="00B355DA"/>
    <w:rsid w:val="00B35B8F"/>
    <w:rsid w:val="00B421E5"/>
    <w:rsid w:val="00B426EF"/>
    <w:rsid w:val="00B4425C"/>
    <w:rsid w:val="00B474C7"/>
    <w:rsid w:val="00B541D3"/>
    <w:rsid w:val="00B54516"/>
    <w:rsid w:val="00B56E85"/>
    <w:rsid w:val="00B57015"/>
    <w:rsid w:val="00B61173"/>
    <w:rsid w:val="00B627D0"/>
    <w:rsid w:val="00B6456B"/>
    <w:rsid w:val="00B64A90"/>
    <w:rsid w:val="00B657AC"/>
    <w:rsid w:val="00B703D9"/>
    <w:rsid w:val="00B705F1"/>
    <w:rsid w:val="00B71517"/>
    <w:rsid w:val="00B719E8"/>
    <w:rsid w:val="00B72BF0"/>
    <w:rsid w:val="00B730A9"/>
    <w:rsid w:val="00B75B52"/>
    <w:rsid w:val="00B80537"/>
    <w:rsid w:val="00B81440"/>
    <w:rsid w:val="00B81785"/>
    <w:rsid w:val="00B83890"/>
    <w:rsid w:val="00B84141"/>
    <w:rsid w:val="00B84645"/>
    <w:rsid w:val="00B85C61"/>
    <w:rsid w:val="00B917D9"/>
    <w:rsid w:val="00B93A29"/>
    <w:rsid w:val="00BA1623"/>
    <w:rsid w:val="00BA3F3A"/>
    <w:rsid w:val="00BA45EF"/>
    <w:rsid w:val="00BB2D98"/>
    <w:rsid w:val="00BB2FE6"/>
    <w:rsid w:val="00BB64AF"/>
    <w:rsid w:val="00BC285D"/>
    <w:rsid w:val="00BC37E4"/>
    <w:rsid w:val="00BC44A2"/>
    <w:rsid w:val="00BC6582"/>
    <w:rsid w:val="00BD038E"/>
    <w:rsid w:val="00BD1760"/>
    <w:rsid w:val="00BD272F"/>
    <w:rsid w:val="00BD2DA7"/>
    <w:rsid w:val="00BE0542"/>
    <w:rsid w:val="00BE5E61"/>
    <w:rsid w:val="00BF2714"/>
    <w:rsid w:val="00BF278F"/>
    <w:rsid w:val="00BF2A9F"/>
    <w:rsid w:val="00BF5D15"/>
    <w:rsid w:val="00BF7208"/>
    <w:rsid w:val="00C003A4"/>
    <w:rsid w:val="00C054C7"/>
    <w:rsid w:val="00C0767E"/>
    <w:rsid w:val="00C078B0"/>
    <w:rsid w:val="00C100A3"/>
    <w:rsid w:val="00C15DC5"/>
    <w:rsid w:val="00C16784"/>
    <w:rsid w:val="00C16A2C"/>
    <w:rsid w:val="00C20CD3"/>
    <w:rsid w:val="00C23E2C"/>
    <w:rsid w:val="00C23EC6"/>
    <w:rsid w:val="00C2637F"/>
    <w:rsid w:val="00C3021A"/>
    <w:rsid w:val="00C307D6"/>
    <w:rsid w:val="00C30B4B"/>
    <w:rsid w:val="00C31799"/>
    <w:rsid w:val="00C3290A"/>
    <w:rsid w:val="00C360F6"/>
    <w:rsid w:val="00C36EEA"/>
    <w:rsid w:val="00C371D5"/>
    <w:rsid w:val="00C41406"/>
    <w:rsid w:val="00C43F05"/>
    <w:rsid w:val="00C43FC2"/>
    <w:rsid w:val="00C4655D"/>
    <w:rsid w:val="00C508E4"/>
    <w:rsid w:val="00C52C02"/>
    <w:rsid w:val="00C53EF3"/>
    <w:rsid w:val="00C5468E"/>
    <w:rsid w:val="00C54E4F"/>
    <w:rsid w:val="00C62834"/>
    <w:rsid w:val="00C63576"/>
    <w:rsid w:val="00C63E3B"/>
    <w:rsid w:val="00C64B4D"/>
    <w:rsid w:val="00C653A2"/>
    <w:rsid w:val="00C66ECB"/>
    <w:rsid w:val="00C70C3B"/>
    <w:rsid w:val="00C746FA"/>
    <w:rsid w:val="00C82982"/>
    <w:rsid w:val="00C84339"/>
    <w:rsid w:val="00C846DB"/>
    <w:rsid w:val="00C85478"/>
    <w:rsid w:val="00C86AAC"/>
    <w:rsid w:val="00C87130"/>
    <w:rsid w:val="00C953FB"/>
    <w:rsid w:val="00C95553"/>
    <w:rsid w:val="00CA08D7"/>
    <w:rsid w:val="00CA2544"/>
    <w:rsid w:val="00CA2B37"/>
    <w:rsid w:val="00CA3008"/>
    <w:rsid w:val="00CB0F42"/>
    <w:rsid w:val="00CB18B0"/>
    <w:rsid w:val="00CB3D3E"/>
    <w:rsid w:val="00CB55CF"/>
    <w:rsid w:val="00CB5A04"/>
    <w:rsid w:val="00CC2B0C"/>
    <w:rsid w:val="00CC4686"/>
    <w:rsid w:val="00CC71B4"/>
    <w:rsid w:val="00CD1620"/>
    <w:rsid w:val="00CD4579"/>
    <w:rsid w:val="00CD477E"/>
    <w:rsid w:val="00CD6909"/>
    <w:rsid w:val="00CE1EAA"/>
    <w:rsid w:val="00CE47FD"/>
    <w:rsid w:val="00CE4FC8"/>
    <w:rsid w:val="00CE6A40"/>
    <w:rsid w:val="00CE6C5B"/>
    <w:rsid w:val="00CF1B4D"/>
    <w:rsid w:val="00CF3CEB"/>
    <w:rsid w:val="00CF5F3A"/>
    <w:rsid w:val="00D00B95"/>
    <w:rsid w:val="00D0472A"/>
    <w:rsid w:val="00D049E9"/>
    <w:rsid w:val="00D05F1A"/>
    <w:rsid w:val="00D13563"/>
    <w:rsid w:val="00D13C3D"/>
    <w:rsid w:val="00D162E1"/>
    <w:rsid w:val="00D21CC4"/>
    <w:rsid w:val="00D22C1E"/>
    <w:rsid w:val="00D27E80"/>
    <w:rsid w:val="00D31746"/>
    <w:rsid w:val="00D323FD"/>
    <w:rsid w:val="00D3384A"/>
    <w:rsid w:val="00D346A9"/>
    <w:rsid w:val="00D347F3"/>
    <w:rsid w:val="00D40381"/>
    <w:rsid w:val="00D40765"/>
    <w:rsid w:val="00D411E6"/>
    <w:rsid w:val="00D44153"/>
    <w:rsid w:val="00D443FF"/>
    <w:rsid w:val="00D46FDF"/>
    <w:rsid w:val="00D514A5"/>
    <w:rsid w:val="00D52307"/>
    <w:rsid w:val="00D57F45"/>
    <w:rsid w:val="00D658E6"/>
    <w:rsid w:val="00D7004A"/>
    <w:rsid w:val="00D70462"/>
    <w:rsid w:val="00D725E7"/>
    <w:rsid w:val="00D727F0"/>
    <w:rsid w:val="00D749EE"/>
    <w:rsid w:val="00D75C3F"/>
    <w:rsid w:val="00D76320"/>
    <w:rsid w:val="00D77C39"/>
    <w:rsid w:val="00D8279D"/>
    <w:rsid w:val="00D82E7A"/>
    <w:rsid w:val="00D8504A"/>
    <w:rsid w:val="00D866A6"/>
    <w:rsid w:val="00D87B29"/>
    <w:rsid w:val="00D94305"/>
    <w:rsid w:val="00D945A7"/>
    <w:rsid w:val="00D9517D"/>
    <w:rsid w:val="00D9649C"/>
    <w:rsid w:val="00DA16AE"/>
    <w:rsid w:val="00DA6EC7"/>
    <w:rsid w:val="00DA7FA8"/>
    <w:rsid w:val="00DB03AF"/>
    <w:rsid w:val="00DB1758"/>
    <w:rsid w:val="00DB2FA7"/>
    <w:rsid w:val="00DB64E6"/>
    <w:rsid w:val="00DC08D5"/>
    <w:rsid w:val="00DC1A6A"/>
    <w:rsid w:val="00DC1EB4"/>
    <w:rsid w:val="00DC1FE5"/>
    <w:rsid w:val="00DC28AC"/>
    <w:rsid w:val="00DC5A17"/>
    <w:rsid w:val="00DC639E"/>
    <w:rsid w:val="00DC7D1C"/>
    <w:rsid w:val="00DD0A6A"/>
    <w:rsid w:val="00DD4CDB"/>
    <w:rsid w:val="00DD6A35"/>
    <w:rsid w:val="00DD7C5E"/>
    <w:rsid w:val="00DE3145"/>
    <w:rsid w:val="00DE68D4"/>
    <w:rsid w:val="00DE7148"/>
    <w:rsid w:val="00DF0AA5"/>
    <w:rsid w:val="00DF64A7"/>
    <w:rsid w:val="00DF6DB3"/>
    <w:rsid w:val="00DF7366"/>
    <w:rsid w:val="00E00C93"/>
    <w:rsid w:val="00E02EBD"/>
    <w:rsid w:val="00E0415A"/>
    <w:rsid w:val="00E11CBA"/>
    <w:rsid w:val="00E1473C"/>
    <w:rsid w:val="00E1571C"/>
    <w:rsid w:val="00E15924"/>
    <w:rsid w:val="00E17B79"/>
    <w:rsid w:val="00E22970"/>
    <w:rsid w:val="00E22EA6"/>
    <w:rsid w:val="00E303DE"/>
    <w:rsid w:val="00E30789"/>
    <w:rsid w:val="00E3194B"/>
    <w:rsid w:val="00E33C52"/>
    <w:rsid w:val="00E33FB8"/>
    <w:rsid w:val="00E35136"/>
    <w:rsid w:val="00E370DD"/>
    <w:rsid w:val="00E40A31"/>
    <w:rsid w:val="00E40CE8"/>
    <w:rsid w:val="00E42BE9"/>
    <w:rsid w:val="00E45DB2"/>
    <w:rsid w:val="00E45E79"/>
    <w:rsid w:val="00E46646"/>
    <w:rsid w:val="00E50E43"/>
    <w:rsid w:val="00E525E5"/>
    <w:rsid w:val="00E533AE"/>
    <w:rsid w:val="00E54F00"/>
    <w:rsid w:val="00E6177C"/>
    <w:rsid w:val="00E66266"/>
    <w:rsid w:val="00E70071"/>
    <w:rsid w:val="00E71DB2"/>
    <w:rsid w:val="00E750F1"/>
    <w:rsid w:val="00E75506"/>
    <w:rsid w:val="00E80852"/>
    <w:rsid w:val="00E822A7"/>
    <w:rsid w:val="00E83CCB"/>
    <w:rsid w:val="00E86DC6"/>
    <w:rsid w:val="00E87146"/>
    <w:rsid w:val="00E91C6E"/>
    <w:rsid w:val="00E92645"/>
    <w:rsid w:val="00E928CB"/>
    <w:rsid w:val="00E93248"/>
    <w:rsid w:val="00EA35D2"/>
    <w:rsid w:val="00EA3BC2"/>
    <w:rsid w:val="00EA4000"/>
    <w:rsid w:val="00EA4F59"/>
    <w:rsid w:val="00EB0325"/>
    <w:rsid w:val="00EB03F0"/>
    <w:rsid w:val="00EB07C7"/>
    <w:rsid w:val="00EB271D"/>
    <w:rsid w:val="00EC07FA"/>
    <w:rsid w:val="00EC152B"/>
    <w:rsid w:val="00EC7F75"/>
    <w:rsid w:val="00ED1BD9"/>
    <w:rsid w:val="00ED27AA"/>
    <w:rsid w:val="00ED4CA9"/>
    <w:rsid w:val="00EE14AE"/>
    <w:rsid w:val="00EE425E"/>
    <w:rsid w:val="00EE58C6"/>
    <w:rsid w:val="00EF3680"/>
    <w:rsid w:val="00EF40AB"/>
    <w:rsid w:val="00EF5435"/>
    <w:rsid w:val="00EF5A56"/>
    <w:rsid w:val="00EF6749"/>
    <w:rsid w:val="00F002E1"/>
    <w:rsid w:val="00F00B5C"/>
    <w:rsid w:val="00F03828"/>
    <w:rsid w:val="00F04B76"/>
    <w:rsid w:val="00F06716"/>
    <w:rsid w:val="00F0728E"/>
    <w:rsid w:val="00F1025B"/>
    <w:rsid w:val="00F104E1"/>
    <w:rsid w:val="00F10C71"/>
    <w:rsid w:val="00F11BD4"/>
    <w:rsid w:val="00F12194"/>
    <w:rsid w:val="00F127D0"/>
    <w:rsid w:val="00F12DBC"/>
    <w:rsid w:val="00F15795"/>
    <w:rsid w:val="00F1774F"/>
    <w:rsid w:val="00F22B4D"/>
    <w:rsid w:val="00F23E66"/>
    <w:rsid w:val="00F24689"/>
    <w:rsid w:val="00F2506E"/>
    <w:rsid w:val="00F25976"/>
    <w:rsid w:val="00F303F9"/>
    <w:rsid w:val="00F37A07"/>
    <w:rsid w:val="00F42EEF"/>
    <w:rsid w:val="00F44285"/>
    <w:rsid w:val="00F45171"/>
    <w:rsid w:val="00F46653"/>
    <w:rsid w:val="00F476B3"/>
    <w:rsid w:val="00F47A33"/>
    <w:rsid w:val="00F51AA8"/>
    <w:rsid w:val="00F54260"/>
    <w:rsid w:val="00F548A8"/>
    <w:rsid w:val="00F55406"/>
    <w:rsid w:val="00F57480"/>
    <w:rsid w:val="00F6039B"/>
    <w:rsid w:val="00F703C2"/>
    <w:rsid w:val="00F71FBE"/>
    <w:rsid w:val="00F72BBA"/>
    <w:rsid w:val="00F74180"/>
    <w:rsid w:val="00F76512"/>
    <w:rsid w:val="00F77164"/>
    <w:rsid w:val="00F775FB"/>
    <w:rsid w:val="00F80652"/>
    <w:rsid w:val="00F81367"/>
    <w:rsid w:val="00F8351E"/>
    <w:rsid w:val="00F838AC"/>
    <w:rsid w:val="00F83F69"/>
    <w:rsid w:val="00F8494E"/>
    <w:rsid w:val="00F8531C"/>
    <w:rsid w:val="00F9117D"/>
    <w:rsid w:val="00F94EB2"/>
    <w:rsid w:val="00FA0FA6"/>
    <w:rsid w:val="00FA33ED"/>
    <w:rsid w:val="00FA410E"/>
    <w:rsid w:val="00FA5149"/>
    <w:rsid w:val="00FA5B12"/>
    <w:rsid w:val="00FB17A2"/>
    <w:rsid w:val="00FB1807"/>
    <w:rsid w:val="00FB2B02"/>
    <w:rsid w:val="00FB3E1B"/>
    <w:rsid w:val="00FB3EC4"/>
    <w:rsid w:val="00FB4311"/>
    <w:rsid w:val="00FB43DA"/>
    <w:rsid w:val="00FB5A3B"/>
    <w:rsid w:val="00FB73D8"/>
    <w:rsid w:val="00FC1107"/>
    <w:rsid w:val="00FC19AC"/>
    <w:rsid w:val="00FC2DFF"/>
    <w:rsid w:val="00FC30EB"/>
    <w:rsid w:val="00FC3C8C"/>
    <w:rsid w:val="00FC5034"/>
    <w:rsid w:val="00FC5619"/>
    <w:rsid w:val="00FC786E"/>
    <w:rsid w:val="00FC7A92"/>
    <w:rsid w:val="00FE03EB"/>
    <w:rsid w:val="00FE125F"/>
    <w:rsid w:val="00FF064B"/>
    <w:rsid w:val="00FF1A62"/>
    <w:rsid w:val="00FF24FC"/>
    <w:rsid w:val="00FF28D2"/>
    <w:rsid w:val="00FF584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sid w:val="004F7445"/>
    <w:rPr>
      <w:color w:val="auto"/>
    </w:rPr>
  </w:style>
  <w:style w:type="paragraph" w:customStyle="1" w:styleId="EB1B2F3150FA4C2F8DD3E08EA1D7EAAF">
    <w:name w:val="EB1B2F3150FA4C2F8DD3E08EA1D7EAAF"/>
    <w:rsid w:val="00093E18"/>
    <w:pPr>
      <w:widowControl w:val="0"/>
      <w:jc w:val="both"/>
    </w:pPr>
    <w:rPr>
      <w:kern w:val="2"/>
      <w:sz w:val="21"/>
      <w:szCs w:val="22"/>
    </w:rPr>
  </w:style>
  <w:style w:type="paragraph" w:customStyle="1" w:styleId="8E7D240D199B45ABA521E2DEB64A9B68">
    <w:name w:val="8E7D240D199B45ABA521E2DEB64A9B68"/>
    <w:rsid w:val="007A188A"/>
    <w:pPr>
      <w:widowControl w:val="0"/>
      <w:jc w:val="both"/>
    </w:pPr>
    <w:rPr>
      <w:kern w:val="2"/>
      <w:sz w:val="21"/>
      <w:szCs w:val="22"/>
    </w:rPr>
  </w:style>
  <w:style w:type="paragraph" w:customStyle="1" w:styleId="679A48F2730948F59DD990AD2D30EDB7">
    <w:name w:val="679A48F2730948F59DD990AD2D30EDB7"/>
    <w:rsid w:val="007A188A"/>
    <w:pPr>
      <w:widowControl w:val="0"/>
      <w:jc w:val="both"/>
    </w:pPr>
    <w:rPr>
      <w:kern w:val="2"/>
      <w:sz w:val="21"/>
      <w:szCs w:val="22"/>
    </w:rPr>
  </w:style>
  <w:style w:type="paragraph" w:customStyle="1" w:styleId="8F02F315891A4EFF9C9AC627C9BCE525">
    <w:name w:val="8F02F315891A4EFF9C9AC627C9BCE525"/>
    <w:rsid w:val="007A188A"/>
    <w:pPr>
      <w:widowControl w:val="0"/>
      <w:jc w:val="both"/>
    </w:pPr>
    <w:rPr>
      <w:kern w:val="2"/>
      <w:sz w:val="21"/>
      <w:szCs w:val="22"/>
    </w:rPr>
  </w:style>
  <w:style w:type="paragraph" w:customStyle="1" w:styleId="A7D8F08A42BD41A4A204F68A7CA39DFD">
    <w:name w:val="A7D8F08A42BD41A4A204F68A7CA39DFD"/>
    <w:rsid w:val="007A188A"/>
    <w:pPr>
      <w:widowControl w:val="0"/>
      <w:jc w:val="both"/>
    </w:pPr>
    <w:rPr>
      <w:kern w:val="2"/>
      <w:sz w:val="21"/>
      <w:szCs w:val="22"/>
    </w:rPr>
  </w:style>
  <w:style w:type="paragraph" w:customStyle="1" w:styleId="1E6F6AAF8ACE4718A24942FEE51F280C">
    <w:name w:val="1E6F6AAF8ACE4718A24942FEE51F280C"/>
    <w:rsid w:val="004F7445"/>
    <w:pPr>
      <w:widowControl w:val="0"/>
      <w:jc w:val="both"/>
    </w:pPr>
    <w:rPr>
      <w:kern w:val="2"/>
      <w:sz w:val="21"/>
      <w:szCs w:val="22"/>
    </w:rPr>
  </w:style>
  <w:style w:type="paragraph" w:customStyle="1" w:styleId="E658D34BFEE347F38F254A14DCAB9C39">
    <w:name w:val="E658D34BFEE347F38F254A14DCAB9C39"/>
    <w:rsid w:val="004F7445"/>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sections xmlns:sc="http://mapping.word.org/2014/section/customize"/>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4.xml><?xml version="1.0" encoding="utf-8"?>
<m:mapping xmlns:m="http://mapping.word.org/2012/mapping">
  <m:namespaceDeclare prefix="clcid-mr" namespaceURI="http://www.xbrl-cn.org/cn/lcid/rpt/mr/2006-12-31"/>
  <m:namespaceDeclare prefix="clcid-cgi" namespaceURI="http://www.xbrl-cn.org/cn/lcid/rpt/cgi/2006-12-31"/>
  <m:namespaceDeclare prefix="clcid-ar" namespaceURI="http://www.xbrl-cn.org/cn/lcid/rpt/ar/2006-12-31"/>
  <m:namespaceDeclare prefix="clcid-ci-ar" namespaceURI="http://www.xbrl-cn.org/cn/lcid/ci/ar/2008-12-31"/>
  <m:namespaceDeclare prefix="clcid-pte" namespaceURI="http://www.xbrl-cn.org/cn/lcid/common/pte/2006-12-31"/>
  <m:namespaceDeclare prefix="clcid-ie" namespaceURI="http://www.xbrl-cn.org/cn/lcid/rpt/ie/2006-12-31"/>
  <m:namespaceDeclare prefix="clcid-gcd" namespaceURI="http://www.xbrl-cn.org/cn/lcid/rpt/gcd/2006-12-31"/>
  <m:namespaceDeclare prefix="clcid-sce" namespaceURI="http://www.xbrl-cn.org/cn/lcid/fs/sce/2006-12-31"/>
  <m:document name="" version="0.1" optimized="true" originalVersion="0.1" taggingType="Axis" cryptoType="SM4" siblingTextSaved="true">
    <m:item xlName="_GBC_704b7b03ea3f4a93b8d4655a09b2ff61" concept="clcid-gcd:GongSiDaiMa" label="公司代码" keyCode="GONGSI_DAIMA" keyAction="5"/>
    <m:item xlName="_GBC_0384ae715a1e4b4894a29e4d27f5bef4" concept="clcid-gcd:GongSiJianCheng" label="公司简称" keyCode="GONGSI_JIANCHENG" keyAction="5"/>
    <m:item xlName="_GBC_ef279e32efc14c6bb521c62ff1f265ba" concept="clcid-cgi:GongSiFaDingZhongWenMingCheng" label="公司法定中文名称">
      <m:simpleRule dataType="Any" comparator="None" minOccurs="1"/>
    </m:item>
    <m:section xlName="_SEC_d5e0e82062cc4f3cb5a290078031cbd7" title="董事会及董事声明" checkKey="!无法保证" summaryGuid="_SEC_58e9ebeea20347aa8472ed52d3ebfb83" helpId="101001001" primarySection="_SEC_d5e0e82062cc4f3cb5a290078031cbd7" optionText="公司保证本报告内容的真实、准确、完整" optionGroupTitle="董事会及董事声明情况" afterEmptyParagraphs="1">
      <m:item xlName="_GBC_6c6da163383e4e4c92758ff24076a138" concept="clcid-mr:DongShiKuaiJiDongShiShengMing" label="董事会及董事声明"/>
    </m:section>
    <m:section xlName="_GBC_c39714d4523c4f26bc10a8bd552c9a0c" title="董事、监事、高级管理人员无法保证的声明" checkKey="无法保证" summaryGuid="_SEC_58e9ebeea20347aa8472ed52d3ebfb83" helpId="101001002" primarySection="_SEC_d5e0e82062cc4f3cb5a290078031cbd7" optionText="公司无法保证本报告内容的真实、准确、完整" optionGroupTitle="董事会及董事声明情况">
      <m:item xlName="_GBC_7a65fa08bc8543a7beefb0aa93647c7c" concept="clcid-mr:DuiBaoGaoCunZaiYiYiDeDongShiXingMing" label="对报告存在异议的董事姓名"/>
      <m:item xlName="_GBC_8d02449f005e4a57895ba32ea4dd914b" concept="clcid-mr:DongShiYiYiLiYou" label="董事异议理由"/>
    </m:section>
    <m:section xlName="_GBC_1b1325bf1ae840869be71054a10ad268" title="公司全体董事出席董事会会议。" checkKey="全体董事出席&amp;!未出席&amp;!未能出席&amp;!未亲自出席&amp;!委托" summaryGuid="_SEC_0200e9b183e741738a0cbf26f533dc77" helpId="101001003" helpText="注：如有董事未出席董事会，应当单独列示其姓名。这里的出席指的是亲自出席" primarySection="_GBC_1b1325bf1ae840869be71054a10ad268" optionText="全体出席" optionGroupTitle="董事会出席情况" afterEmptyParagraphs="1">
      <m:placeholder xlName="_GBC_2e0ee33ebae04a83b92e8b1aa6754169"/>
    </m:section>
    <m:section xlName="_GBC_782ae2efbebb4873980d40bd21713c00" title="未出席董事情况" checkKey="!全体出席" summaryGuid="_SEC_0200e9b183e741738a0cbf26f533dc77" helpId="101001003" helpText="注：如有董事未出席董事会，应当单独列示其姓名。这里的出席指的是亲自出席" primarySection="_GBC_1b1325bf1ae840869be71054a10ad268" optionText="有未出席情况" optionGroupTitle="董事会出席情况">
      <m:placeholder xlName="_PLD_4fd2187038c54a10891c6a02123e0bb0" addr="T0R0C0S1_1"/>
      <m:placeholder xlName="_PLD_6ef743c59f184a1e9f63d3748f6485f4" addr="T0R0C1S1_1"/>
      <m:placeholder xlName="_PLD_8b91f4fec321494b8910f926fe58f4eb" addr="T0R0C2S1_1"/>
      <m:placeholder xlName="_PLD_615ccae56dbb4425a397a07cb9449e78" addr="T0R0C3S1_1"/>
      <m:tuple xlName="_GBC_8c20f14c620b47e8b17eab91c975c05c" concept="clcid-mr:WeiChuXiDongShiQingKuang" default_row="2" addr="T0R1C">
        <m:item xlName="_GBC_e30e2702d06b45d5aed22a44824a9d37" concept="clcid-mr:WeiChuXiDongShiZhiWu" label="未出席董事职务" selectOptions="36777190428d496eaa304bd35e9c9698" addr="T0R1C0S1_1" controlType="Combobox" cellConvertType="1"/>
        <m:item xlName="_GBC_ff1c81eda2cf4c6bbc6a5b900111db55" concept="clcid-mr:WeiChuXiDongShiXingMing" label="未出席董事姓名" addr="T0R1C1S1_1"/>
        <m:item xlName="_GBC_47662188b3f4447fada8c6daf2ea527b" concept="clcid-mr:WeiChuXiDongShiDeShuoMing" label="未出席董事的说明" addr="T0R1C2S1_1"/>
        <m:item xlName="_GBC_6ad515df3779481d8ba1143747f854a0" concept="clcid-mr:BeiWeiTuoRenXingMing" label="被委托人姓名" addr="T0R1C3S1_1"/>
      </m:tuple>
    </m:section>
    <m:section xlName="_GBC_07370c6ee32a4bea8271133440d087fd" title="本年度报告未经审计。" checkKey="!带强调事项段或其他事项段的无保留意见&amp;!保留意见&amp;!无法表示意见&amp;!否定意见&amp;!标准无保留意见" summaryGuid="_SEC_6bd7e9a7daad491ca88a8b61c8ca9156" helpId="101001004" primarySection="_GBC_07370c6ee32a4bea8271133440d087fd" optionText="未经审计" activeContentOption="_GBC_07370c6ee32a4bea8271133440d087fd" optionGroupTitle="审计报告情况">
      <m:placeholder xlName="_GBC_be15b7a71d95430e82193d4cab461623"/>
    </m:section>
    <m:section xlName="_GBC_a3cb6d3de6c1425cb1ae504871e39a94" title="非标意见说明" checkKey="!标准无保留意见&amp;!未经审计" summaryGuid="_SEC_6bd7e9a7daad491ca88a8b61c8ca9156" helpId="101001004" primarySection="_GBC_07370c6ee32a4bea8271133440d087fd" optionText="非标意见" optionGroupTitle="审计报告情况">
      <m:item xlName="_GBC_c5939d6e2574427abc0522f8d8a91b7a" concept="clcid-cgi:GongSiPinQingDeJingNeiKuaiJiShiShiWuSuoMingCheng" label="公司聘请的境内会计师事务所名称"/>
      <m:item xlName="_GBC_a2982a98498f4228b277f43707288da5" concept="clcid-ar:ShenJiYiJianLeiXing" label="会计师事务所审计意见类型" selectOptions="dd75537e2ef54efdbfcad4442bb331b7" controlType="Combobox"/>
      <m:item xlName="_GBC_e99524b0dc684fc6b7a6d8038a5a522c" concept="clcid-mr:CaiWuBaoGaoShenJiQingKuangShuoMing" label="财务报告审计情况声明"/>
    </m:section>
    <m:section xlName="_GBC_03a09ae7cff4426393cc0d64b59cc810" title="事务所为本公司出具了标准无保留意见的审计报告。" checkKey="!带强调事项段或其他事项段的无保留意见&amp;!无法表示意见&amp;!否定意见&amp;!未经审计" summaryGuid="_SEC_6bd7e9a7daad491ca88a8b61c8ca9156" helpId="101001004" primarySection="_GBC_07370c6ee32a4bea8271133440d087fd" optionText="标准无保留意见" optionGroupTitle="审计报告情况">
      <m:item xlName="_GBC_fe7ca524cc9e410eaea22d2d83fa32c0" concept="clcid-cgi:GongSiPinQingDeJingNeiKuaiJiShiShiWuSuoMingCheng" label="公司聘请的境内会计师事务所名称"/>
      <m:item xlName="_GBC_dd093940e8da4c81bbf9f497e13bec3c" concept="clcid-ar:ShenJiYiJianLeiXing" label="会计师事务所审计意见类型" selectOptions="169036816290436b9cc418ab4cf2b5f3" controlType="Combobox"/>
    </m:section>
    <m:section xlName="_GBC_04b137e7f87b43b8812b2c33bd605e04" title="公司负责人等声明" helpId="101001005">
      <m:item xlName="_GBC_ee6b72f666bb497bbe8fc037096654d2" concept="clcid-mr:GongSiFuZeRenXingMing" label="公司负责人姓名" binding="true">
        <m:simpleRule dataType="Any" comparator="None" minOccurs="1"/>
      </m:item>
      <m:item xlName="_GBC_51ed55c6ff134dadaa6756998c964cdf" concept="clcid-mr:ZhuGuanKuaiJiGongZuoFuZeRenXingMing" label="主管会计工作负责人姓名" binding="true">
        <m:simpleRule dataType="Any" comparator="None" minOccurs="1"/>
      </m:item>
      <m:item xlName="_GBC_aa7d9e44d6e64b9abdcdefb4a3968427" concept="clcid-mr:KuaiJiJiGouFuZeRenXingMing" label="会计机构负责人姓名" binding="true">
        <m:simpleRule dataType="Any" comparator="None" minOccurs="1"/>
      </m:item>
    </m:section>
    <m:section xlName="_GBC_21c095fa67114a208ee8411405e3a22a" title="经董事会审议的报告期利润分配预案或公积金转增股本预案" convertSummaryRule="NoConvert" helpId="101001007">
      <m:item xlName="_GBC_7676626d447143468bebcc8d267ec746" concept="clcid-mr:JingDongShiHuiShenYiDeBaoGaoQiLiRunFenPeiYuAnHuoGongJiJinZhuanZengGuBenYuAn" label="经董事会审议的报告期利润分配预案或公积金转增股本预案" summaryGuid="_GBC_da435ac3abd24b2f95f66733e645daae"/>
    </m:section>
    <m:section xlName="_GBC_cc24ced211694e75b40a9765d2616e01" title="前瞻性陈述的风险声明" helpId="102001006" helpText="注：如半年度报告涉及未来计划等前瞻性陈述，同时附有相应的警示性陈述，则应当声明该计划不构成公司对投资者的实质承诺，请投资者注意投资风险。 ">
      <m:item xlName="_GBC_6a28949332914149bda7cc0225d614b7" concept="clcid-ci-ar:ShiFouShiYongQianZhanXingChenShuDeFengXianShengMing" label="是否适用：前瞻性陈述的风险声明" selectOptions="_buildInAppliance" controlType="CustomCheckbox" cRanges="{&quot;StartName&quot;:&quot;_GBC_6a28949332914149bda7cc0225d614b7&quot;,&quot;EndName&quot;:&quot;_GBC_6511b5aecc604062ad93b5fbd25fd19b&quot;,&quot;CType&quot;:1,&quot;DisplayText&quot;:null}"/>
      <m:item xlName="_GBC_6511b5aecc604062ad93b5fbd25fd19b" concept="clcid-mr:GongSiDuiBaoGaoSheJiWeiLaiJiHuaDengQianZhanXingChenShuDeShengMing" label="公司对报告涉及未来计划等前瞻性陈述的声明" appId="_GBC_6a28949332914149bda7cc0225d614b7"/>
    </m:section>
    <m:section xlName="_GBC_70f733efbc484640a48089ddc49bf2b9" title="是否存在被控股股东及其关联方非经营性占用资金情况">
      <m:item xlName="_GBC_a32400ff33ee44d89632e0d79a7f2c42" concept="clcid-mr:BenGongSiShiFouCunZaiDaGuDongZhanYongZiJinQingKuang" label="本公司是否存在大股东占用资金情况" selectOptions="_buildInYesNo" controlType="Combobox"/>
    </m:section>
    <m:section xlName="_GBC_0b5725dfa5c04f85874bece4083eddb4" title="是否存在违反规定决策程序对外提供担保的情况" convertSummaryRule="NoConvert">
      <m:item xlName="_GBC_3bc3f02bd342494aa2858bb9a39d8458" concept="clcid-mr:BenGongSiShiFouCunZaiWeiFanGuiDingJueCeChengXuDuiWaiTiGongDanBaoDeQingKuang" label="本公司是否存在违反规定决策程序对外提供担保的情况" selectOptions="_buildInYesNo" controlType="Combobox"/>
    </m:section>
    <m:section xlName="_SEC_f8924de2a90b4f29b727c0dcf0bfd58a" title="">
      <m:item xlName="_GBC_016ca2a0d8c2429a89679ee7fdc015c2" pickName="ShiFouCunZaiBanShuYiShangDongShiWuFaBaoZhengGongSiSuoPiLuNianDuBaoGaoDeZhenShiXingZhunQueXingHeWanZhengXing" concept="clcid-mr:ShiFouCunZaiBanShuYiShangDongShiWuFaBaoZhengGongSiSuoPiLuNianDuBaoGaoDeZhenShiXingZhunQueXingHeWanZhengXing" label="是否存在半数以上董事无法保证公司所披露年度报告的真实性、准确性和完整性" selectOptions="_buildInYesNo" controlType="Combobox" cRanges="[{&quot;StartName&quot;:&quot;_GBC_016ca2a0d8c2429a89679ee7fdc015c2&quot;,&quot;EndName&quot;:&quot;_PLD_09b4268811684f68b761277155cbfe04&quot;,&quot;CType&quot;:1}]">
        <m:simpleRule dataType="Any" comparator="None" level="Fatal" minOccurs="1"/>
      </m:item>
      <m:placeholder xlName="_PLD_09b4268811684f68b761277155cbfe04"/>
    </m:section>
    <m:section xlName="_SEC_765dd5e867e04417bfcc7ba07f902949" title="重大风险提示" helpId="112001203">
      <m:item xlName="_GBC_d0220f8592e64dd1b898937e183da1e3" concept="clcid-mr:ZhongDaFengXianTiShi" label="重大风险提示">
        <m:simpleRule dataType="Any" comparator="None" minOccurs="1"/>
      </m:item>
    </m:section>
    <m:section xlName="_GBC_b8bb35c675b44fbdaf150c1114447d89" title="重要提示的其他情况说明">
      <m:item xlName="_GBC_3a91363d913942688077b069148debc5" concept="clcid-ci-ar:ShiFouShiYongQiTaZhongYaoTiShi" label="是否适用：其他重要提示" selectOptions="_buildInAppliance" controlType="CustomCheckbox" cRanges="{&quot;StartName&quot;:&quot;_GBC_3a91363d913942688077b069148debc5&quot;,&quot;EndName&quot;:&quot;_GBC_d8e4ca6963364e3194f6533b437a5a96&quot;,&quot;CType&quot;:1,&quot;DisplayText&quot;:null}"/>
      <m:item xlName="_GBC_d8e4ca6963364e3194f6533b437a5a96" concept="clcid-mr:ZhongYaoTiShiDeQiTaQingKuangShuoMing" label="重要提示的其他情况说明" appId="_GBC_3a91363d913942688077b069148debc5"/>
    </m:section>
    <m:section xlName="_SEC_821e9eb80bde4a9883ae71815f226d98" title="备查文件目录" convertSummaryRule="NoConvert" helpId="110002018" helpText="载有公司负责人、主管会计工作负责人、会计机构负责人（会计主管人员）签名并盖章的财务报表。\n载有会计师事务所盖章、注册会计师签名并盖章的审计报告原件（如有）。\n报告期内公开披露过的所有公司文件的正本及公告的原稿。\n在其他证券市场公布的半年度报告。">
      <m:tuple xlName="_TUP_d1defbbd2758417a8ea21948dd35feef" concept="clcid-gcd:BeiChaWenJianQingKuang" default_row="3" usage="5" addr="T0R0C">
        <m:placeholder xlName="_PLD_4dedc5664132424db8ffece735208815" autoRowSpan="true" addr="T0R0C0S3_1"/>
        <m:item xlName="_GBC_b75b724a20654c669c9ce009a20dc247" concept="clcid-gcd:BeiChaWenJianMuLu" label="备查文件目录" addr="T0R0C1S1_1" tagAction="1"/>
      </m:tuple>
    </m:section>
    <m:section xlName="_GBC_5d2d156d1e654b289921f6ca279d0332" title="释义" ignorePeriod="1" convertSummaryRule="NoConvert" helpId="101001008">
      <m:placeholder xlName="_PLD_d73bff14187b49a1b1c86b56316c5e47" addr="T0R0C0S1_3"/>
      <m:tuple xlName="_GBC_ca5c2cb7a4e545e2b2d9d1b94b528746" concept="clcid-mr:ShiYi" default_row="2" addr="T0R1C">
        <m:item xlName="_GBC_c69fa7c1244840708cb11cdff80e2e4a" concept="clcid-mr:ChangYongCiYu" label="常用词语" addr="T0R1C0S1_1">
          <m:simpleRule dataType="Any" comparator="None" minOccurs="1"/>
        </m:item>
        <m:placeholder xlName="_PLD_289cf7e5c3a845d59c038a21dcd4a571" addr="T0R1C1S1_1"/>
        <m:item xlName="_GBC_b625dd71b03542c3b074c2ce59de70ad" concept="clcid-mr:ChangYongCiYuShiYi" label="常用词语释义" addr="T0R1C2S1_1" tagAction="1">
          <m:simpleRule dataType="Any" comparator="None" minOccurs="1"/>
        </m:item>
      </m:tuple>
    </m:section>
    <m:section xlName="_GBC_aa763dfc67ed4eac9000c019cc1ff258" title="公司信息" ignorePeriod="1" convertSummaryRule="NoConvert" helpId="102001001">
      <m:placeholder xlName="_PLD_372cd7a5ecc1420488735479d42bf939" addr="T0R0C0S1_1"/>
      <m:item xlName="_GBC_6f7f4fb261c84402a309f1371502ca4f" concept="clcid-cgi:GongSiFaDingZhongWenMingCheng" label="公司法定中文名称" addr="T0R0C1S1_1" tagAction="1" binding="true">
        <m:simpleRule dataType="Any" comparator="None" minOccurs="1"/>
      </m:item>
      <m:placeholder xlName="_PLD_8eb858f464044693a8d56b2fb5bf4064" addr="T0R1C0S1_1"/>
      <m:item xlName="_GBC_81d015910ffd41a79aab9b534ae23bf9" concept="clcid-cgi:GongSiFaDingZhongWenJianCheng" label="公司法定中文简称" addr="T0R1C1S1_1">
        <m:simpleRule dataType="Any" comparator="None" minOccurs="1"/>
      </m:item>
      <m:placeholder xlName="_PLD_d0fcb2dfd03a44bfb413f503945ba2fb" addr="T0R2C0S1_1"/>
      <m:item xlName="_GBC_76bb9d00facc46729fc189f07997be20" concept="clcid-cgi:GongSiFaDingYingWenMingCheng" label="公司法定英文名称" addr="T0R2C1S1_1" cellConvertType="1"/>
      <m:placeholder xlName="_PLD_b5f89c94b3dc4510b2035a96ac69493a" addr="T0R3C0S1_1"/>
      <m:item xlName="_GBC_9e3d2f7031f94463b9229ceb00e67a06" concept="clcid-cgi:GongSiFaDingYingWenMingChengSuoXie" label="公司法定英文名称缩写" addr="T0R3C1S1_1" cellConvertType="1"/>
      <m:placeholder xlName="_PLD_af8be2c600724acab3e545cfcbaa3ccf" addr="T0R4C0S1_1"/>
      <m:item xlName="_GBC_71327a0d8afa49e1aba9d42a68663413" concept="clcid-cgi:GongSiFaDingDaiBiaoRen" label="公司法定代表人" addr="T0R4C1S1_1" binding="true">
        <m:simpleRule dataType="Any" comparator="None" minOccurs="1"/>
      </m:item>
      <m:tuple xlName="_GBC_180acb8d9d6b4b3592bf8904e526f180" concept="clcid-cgi:GongSiJiBenQingKuangMingXi" default_row="2" addr="T0R5C">
        <m:item xlName="_GBC_77d63808bd3943a5b506b5dd3bbc40ad" concept="clcid-cgi:GongSiJiBenXinXiMingCheng" label="公司基本信息名称" addr="T0R5C0S1_1"/>
        <m:item xlName="_GBC_447d8d2998254838984ead54789ac4c4" concept="clcid-cgi:GongSiJiBenQingKuangNeiRong" label="公司基本情况内容" addr="T0R5C1S1_1"/>
      </m:tuple>
    </m:section>
    <m:section xlName="_GBC_c68db6bd18a148f3a9683d04b791123b" title="联系人和联系方式" ignorePeriod="1" convertSummaryRule="NoConvert" helpId="102001002">
      <m:placeholder xlName="_PLD_d0432012a3f249c3b4fdd759ff340e86" addr="T0R0C1S1_1"/>
      <m:placeholder xlName="_PLD_3a25396416c14d2cb0688ae0ac8a1d4d" addr="T0R0C2S1_1"/>
      <m:placeholder xlName="_PLD_c18fe8824f6a4cb6b9318e599fe71657" addr="T0R1C0S1_1"/>
      <m:item xlName="_GBC_cac0fb0ee4d0495699c4e8dd8009b5ca" concept="clcid-cgi:GongSiDongShiHuiMiShuXingMing" label="公司董事会秘书姓名" addr="T0R1C1S1_1" tupleRef="clcid-cgi:DongShiHuiMiShuQingKuang" cellConvertType="3"/>
      <m:item xlName="_GBC_70a26fa96d8a40d39d18f0eafbed4a17" concept="clcid-cgi:GongSiZhengQuanShiWuDaiBiaoXingMing" label="公司证券事务代表姓名" addr="T0R1C2S1_1" tupleRef="clcid-cgi:ZhengQuanShiWuDaiBiaoQingKuang" cellConvertType="3"/>
      <m:placeholder xlName="_PLD_7d3032f58380420991f3cbceac5e81fd" addr="T0R2C0S1_1"/>
      <m:item xlName="_GBC_da00edc9edfd4e12abfd953a8f45ecd1" concept="clcid-cgi:GongSiDongShiHuiMiShuLianXiDiZhi" label="公司董事会秘书联系地址" addr="T0R2C1S1_1" tupleRef="clcid-cgi:DongShiHuiMiShuQingKuang" cellConvertType="3"/>
      <m:item xlName="_GBC_3adcc9d1aa664f27a97cc756d390649c" concept="clcid-cgi:GongSiZhengQuanShiWuDaiBiaoLianXiDiZhi" label="公司证券事务代表联系地址" addr="T0R2C2S1_1" tupleRef="clcid-cgi:ZhengQuanShiWuDaiBiaoQingKuang" cellConvertType="3"/>
      <m:placeholder xlName="_PLD_84ed4619f9cd46ba8ed261c2524b976d" addr="T0R3C0S1_1"/>
      <m:item xlName="_GBC_a03b44a2aeb641db9208ad0940e9b248" concept="clcid-cgi:GongSiDongShiHuiMiShuDianHua" label="公司董事会秘书电话" addr="T0R3C1S1_1" tupleRef="clcid-cgi:DongShiHuiMiShuQingKuang" cellConvertType="3"/>
      <m:item xlName="_GBC_6902b4b9534e46ef906c46cc54c81432" concept="clcid-cgi:GongSiZhengQuanShiWuDaiBiaoDianHua" label="公司证券事务代表电话" addr="T0R3C2S1_1" tupleRef="clcid-cgi:ZhengQuanShiWuDaiBiaoQingKuang" cellConvertType="3"/>
      <m:placeholder xlName="_PLD_53ff1b9808534a99b3bbc1bc09dac246" addr="T0R4C0S1_1"/>
      <m:item xlName="_GBC_03560dc980424f4aa2d9832b0fb18d8d" concept="clcid-cgi:GongSiDongShiHuiMiShuChuanZhen" label="公司董事会秘书传真" addr="T0R4C1S1_1" tupleRef="clcid-cgi:DongShiHuiMiShuQingKuang" cellConvertType="3"/>
      <m:item xlName="_GBC_fa537b03ba9e4cb5a37f2170eae641b0" concept="clcid-cgi:GongSiZhengQuanShiWuDaiBiaoChuanZhen" label="公司证券事务代表传真" addr="T0R4C2S1_1" tupleRef="clcid-cgi:ZhengQuanShiWuDaiBiaoQingKuang" cellConvertType="3"/>
      <m:placeholder xlName="_PLD_18165b6e55e1423db094125dc7ac3ad0" addr="T0R5C0S1_1"/>
      <m:item xlName="_GBC_5f9d2117b526463192a29912849968c2" concept="clcid-cgi:GongSiDongShiHuiMiShuDianZiXinXiang" label="公司董事会秘书电子信箱" addr="T0R5C1S1_1" tupleRef="clcid-cgi:DongShiHuiMiShuQingKuang" cellConvertType="3"/>
      <m:item xlName="_GBC_bedfc63a281248468aa1efc5a07a5efb" concept="clcid-cgi:GongSiZhengQuanShiWuDaiBiaoDianZiXinXiang" label="公司证券事务代表电子信箱" addr="T0R5C2S1_1" tupleRef="clcid-cgi:ZhengQuanShiWuDaiBiaoQingKuang" cellConvertType="3"/>
      <m:virtualTuples>
        <m:virtualTuple id="7ed3504a-70ec-4378-915d-9c3be91aafcc" tupleRef="clcid-cgi:DongShiHuiMiShuQingKuang" defaultRows="0" extendDirection="2" splitWidth="1"/>
        <m:virtualTuple id="4dae452f-3358-4466-b139-adc8ec38f384" tupleRef="clcid-cgi:ZhengQuanShiWuDaiBiaoQingKuang" defaultRows="0" extendDirection="2" splitWidth="1"/>
      </m:virtualTuples>
    </m:section>
    <m:section xlName="_SEC_3b2e98069dfe4938a93e32b37561ce15" title="基本情况变更简介公司注册地址公司注册地址的邮政编码（..." helpId="102001003">
      <m:placeholder xlName="_PLD_85d89a4aa7974727a1dc32c53cb7ca26" addr="T0R0C0S1_1"/>
      <m:item xlName="_GBC_176149bee7bf41819b29097eb854f331" concept="clcid-cgi:GongSiZhuCeDiZhi" label="公司注册地址" addr="T0R0C1S1_1" tagAction="1" cellConvertType="1"/>
      <m:placeholder xlName="_PLD_86df6b07c3cb4a49842ab34107a073eb" addr="T0R1C0S1_1"/>
      <m:item xlName="_GBC_1ae6dbe87be04682949409d4dbd0335e" concept="clcid-cgi:GongSiZhuCeDiZhiDeLiShiBianGengQingKuang" label="公司注册地址的历史变更情况" addr="T0R1C1S1_1" tagAction="1"/>
      <m:placeholder xlName="_PLD_afb934b530604b0a8d7df0bf16875d49" addr="T0R2C0S1_1"/>
      <m:item xlName="_GBC_5d7ed1a91af0489a99a8b9a1eb39057e" concept="clcid-cgi:GongSiBanGongDiZhi" label="公司办公地址" addr="T0R2C1S1_1" tagAction="1" cellConvertType="1">
        <m:complexRule comparator="Eq" title="公司办公地址" id="Cd85c390e5c4e4644b59d1c1005b397a6"/>
      </m:item>
      <m:placeholder xlName="_PLD_0b92629df2db4d92969852a0afee64f9" addr="T0R3C0S1_1"/>
      <m:item xlName="_GBC_0b586d6a76e74eb5bfd69803dd5b3f21" concept="clcid-cgi:GongSiBanGongDiZhiYouZhengBianMa" label="公司办公地址邮政编码" addr="T0R3C1S1_1" tagAction="1" cellConvertType="1"/>
      <m:placeholder xlName="_PLD_0d67a69c3a1340c3a07767557b490fe5" addr="T0R4C0S1_1"/>
      <m:item xlName="_GBC_7230b5ca49734fc2ad410245ff685045" concept="clcid-cgi:GongSiGuoJiHuLianWangWangZhi" label="公司国际互联网网址" addr="T0R4C1S1_1" tagAction="1" cellConvertType="1"/>
      <m:placeholder xlName="_PLD_f90a226f402046c6b34fcce5cb28265b" addr="T0R5C0S1_1"/>
      <m:item xlName="_GBC_229dc578e23341bbaf9302c6a1aaeb1e" concept="clcid-cgi:GongSiDianZiXinXiang" label="公司电子信箱" addr="T0R5C1S1_1" tagAction="1" cellConvertType="1"/>
      <m:placeholder xlName="_PLD_780e327206de42a7a09f77e6debfb7d1" addr="T0R6C0S1_1"/>
      <m:item xlName="_GBC_faa254795096437fb73ed03d5cbc1c7e" concept="clcid-cgi:GongSiJiBenQingKuangBaoGaoQiNeiBianGengChaXunSuoYin" label="公司基本情况报告期内变更查询索引" addr="T0R6C1S1_1" tagAction="1" cellConvertType="1"/>
    </m:section>
    <m:section xlName="_GBC_20a39c6141734cc19616660ebf1a0dfa" title="信息披露及备置地点变更情况简介" ignorePeriod="1" convertSummaryRule="NoConvert" helpId="102001004">
      <m:placeholder xlName="_PLD_5a9e1277ac2b48eb8d7aa1b69c532d31" addr="T0R0C0S1_1"/>
      <m:item xlName="_GBC_ea25303a54e24033a0a9a380e9688e98" concept="clcid-cgi:GongSiXuanDingDeXinXiPiLuBaoZhiMingCheng" label="公司选定的信息披露报纸名称" addr="T0R0C1S1_1" tagAction="1" cellConvertType="1">
        <m:simpleRule dataType="Any" comparator="None" minOccurs="1"/>
      </m:item>
      <m:placeholder xlName="_PLD_34ad3e071c96488fa36dcc1913587c39" addr="T0R1C0S1_1"/>
      <m:item xlName="_GBC_4b6bb026dc8f4d8cbc0b758784efbc03" concept="clcid-cgi:DengZaiDingQiBaoGaoDeZhongGuoZhengJianHuiZhiDingWangZhanDeWangZhi" label="登载定期报告的中国证监会指定网站的网址" addr="T0R1C1S1_1" cellConvertType="1">
        <m:simpleRule dataType="Any" comparator="None" minOccurs="1"/>
      </m:item>
      <m:placeholder xlName="_PLD_533f230e5c504d15b6024014067b6306" addr="T0R2C0S1_1"/>
      <m:item xlName="_GBC_d97f7bcfbb644b17b1594081653d6090" concept="clcid-cgi:GongSiDingQiBaoGaoBeiZhiDiDian" label="公司定期报告备置地点" addr="T0R2C1S1_1" cellConvertType="1">
        <m:simpleRule dataType="Any" comparator="None" minOccurs="1"/>
      </m:item>
      <m:placeholder xlName="_PLD_71b3b22b33f543709c7346090ee03414" addr="T0R3C0S1_1"/>
      <m:item xlName="_GBC_13ebb9c022d044bab9ba38dcffdfaa76" concept="clcid-cgi:GongSiXinXiPiLuJiBeiZhiDiDianBaoGaoQiNeiBianGengChaXunSuoYin" label="公司信息披露及备置地点报告期内变更查询索引" addr="T0R3C1S1_1" cellConvertType="1"/>
    </m:section>
    <m:section xlName="_GBC_f73e31215837403db78d7a2ed15723c6" title="公司股票简况" ignorePeriod="1" helpId="102001005" helpText="注：本项可选填“A股”、“B股”、“H股”或其他。">
      <m:placeholder xlName="_PLD_136d907086394f5eaee0ec7d22ac5510" addr="T0R0C0S1_1"/>
      <m:placeholder xlName="_PLD_6a843bcbb5a24c0aa6b5fa899c00d11d" addr="T0R0C1S1_1"/>
      <m:placeholder xlName="_PLD_c012a58bb3cc4bbd9a7de1f52bd17553" addr="T0R0C2S1_1"/>
      <m:placeholder xlName="_PLD_9fa1e8781b094b29b21027138e9f63e8" addr="T0R0C3S1_1"/>
      <m:placeholder xlName="_PLD_38293dc771ef4460bd5252827867d07d" addr="T0R0C4S1_1"/>
      <m:tuple xlName="_GBC_4e064b55e0734b1d9be1e41379a353e2" concept="clcid-cgi:GongSiQiTaGuPiaoJianKuang" default_row="2" addr="T0R1C">
        <m:item xlName="_GBC_39e842effa7c4d36879e2defa2b42c0c" concept="clcid-cgi:GongSiQiTaGuPiaoZhongLei" label="公司其他股票种类" addr="T0R1C0S1_1">
          <m:simpleRule dataType="Any" comparator="None" minOccurs="1"/>
        </m:item>
        <m:item xlName="_GBC_18ca7462c09b4dbfb4cabde1756c4c5d" concept="clcid-cgi:GongSiQiTaGuPiaoShangShiJiaoYiSuo" label="公司其他股票上市交易所" addr="T0R1C1S1_1">
          <m:simpleRule dataType="Any" comparator="None" minOccurs="1"/>
        </m:item>
        <m:item xlName="_GBC_e51eba4f97844f8ea2e682a0d492b03a" concept="clcid-cgi:GongSiQiTaGuPiaoJianCheng" label="公司其他股票简称" addr="T0R1C2S1_1">
          <m:simpleRule dataType="Any" comparator="None" minOccurs="1"/>
        </m:item>
        <m:item xlName="_GBC_3e4a0e59d2fd4fff9887ff4ddb45d5a5" concept="clcid-cgi:GongSiQiTaGuPiaoDaiMa" label="公司其他股票代码" addr="T0R1C3S1_1">
          <m:simpleRule dataType="Any" comparator="None" minOccurs="1"/>
        </m:item>
        <m:item xlName="_GBC_ef40a95d971f4a9ca0632a6d9ddb5f09" concept="clcid-cgi:GongSiQiTaGuPiaoBianGengQianDeJianCheng" label="公司其他股票变更前的简称" addr="T0R1C4S1_1" cellConvertType="1"/>
      </m:tuple>
    </m:section>
    <m:section xlName="_GBC_cd186ef4acaf4e28b71fed998e691ebd" title="其他有关资料" ignorePeriod="1" convertSummaryRule="NoConvert" helpId="102001008">
      <m:item xlName="_GBC_78c3cc115c0d4dd3bf5e7c57142e5e68" concept="clcid-ci-ar:ShiFouShiYongQiTaYouGuanZiLiao" label="是否适用：其他有关资料" selectOptions="_buildInAppliance" controlType="CustomCheckbox" cRanges="{&quot;StartName&quot;:&quot;_GBC_78c3cc115c0d4dd3bf5e7c57142e5e68&quot;,&quot;EndName&quot;:&quot;_GBC_2e5f79011fd44589b010b5b927248a22&quot;,&quot;CType&quot;:1,&quot;DisplayText&quot;:null}"/>
      <m:item xlName="_GBC_2e5f79011fd44589b010b5b927248a22" concept="clcid-cgi:GongSiQiTaJiBenQingKuang" label="公司其他基本情况" appId="_GBC_78c3cc115c0d4dd3bf5e7c57142e5e68"/>
    </m:section>
    <m:item xlName="_GBC_c7cd0dd826b247dbba8cc8b1a811aefb" concept="clcid-ci-ar:DanWeiBaoGaoQiMoGongSiQianSanNianZhuYaoKuaiJiShuJuHeCaiWuZhiBiao" label="单位：报告期末公司前三年主要会计数据和财务指标" selectOptions="_buildInScales" controlType="Combobox" cellType="Scale"/>
    <m:item xlName="_GBC_2df6a5d441324c13bcf6c4c54ac41eb0" concept="clcid-ci-ar:BiZhongBaoGaoQiMoGongSiQianSanNianZhuYaoKuaiJiShuJuHeCaiWuZhiBiao" label="币种：报告期末公司前三年主要会计数据和财务指标" selectOptions="_buildInISO4217" controlType="Combobox" cellType="Measure"/>
    <m:section xlName="_GBC_aea1fefe2cc54d88a8a870982a41d97a" title="主要会计数据(无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无追溯调整" activeContentOption="_GBC_ae1e7c9f562c42d3b68129ca8edb8f91" optionGroupTitle="主要会计数据和财务指标情况" optionTargetConcept="clcid-ci-ar:ShiFouZhuiSuTiaoZheng" optionTargetConceptValue="无追溯调整" afterEmptyParagraphs="1">
      <m:placeholder xlName="_PLD_e63d02b963714237aa4678b1878c888d" addr="T0R0C0S1_1"/>
      <m:placeholder xlName="_PLD_913ae157f7e74eee947ea98d96be3599" addr="T0R0C1S1_1"/>
      <m:placeholder xlName="_PLD_0f32665f64034720b1ecd674058f4d8b" addr="T0R0C2S1_1"/>
      <m:placeholder xlName="_PLD_e634aa67fe8c44038b152224d8a245d6" addr="T0R0C3S1_1"/>
      <m:placeholder xlName="_PLD_601d7d8438f74f1c9abca1ce60a4f163" addr="T0R1C0S1_1"/>
      <m:item xlName="_GBC_710985d8bd6047cc9011fc334cf8089b" concept="clcid-pte:YingYeShouRu" label="营业收入" mulRef="_GBC_c7cd0dd826b247dbba8cc8b1a811aefb" unitRef="_GBC_2df6a5d441324c13bcf6c4c54ac41eb0" addr="T0R1C1S1_1" formatStyle="Comma"/>
      <m:item xlName="_GBC_7c5da886e3a04f318f97bf5b3df41719" concept="clcid-pte:YingYeShouRu" label="营业收入" periodRef="上年同期数" mulRef="_GBC_c7cd0dd826b247dbba8cc8b1a811aefb" unitRef="_GBC_2df6a5d441324c13bcf6c4c54ac41eb0" addr="T0R1C2S1_1" formatStyle="Comma"/>
      <m:item xlName="_GBC_56b732ec8d414b90b7d6ca5cf88091fd" concept="clcid-pte:YingYeShouRuBenQiBiShangQiZengJian" label="营业收入本期比上期增减" addr="T0R1C3S1_1" baseScale="0.01" formatStyle="Comma">
        <m:complexRule comparator="Eq" title="3.1_营业收入本期比上期增减" test=" (  $_GBC_710985d8bd6047cc9011fc334cf8089b -  $_GBC_7c5da886e3a04f318f97bf5b3df41719 )  /  $_GBC_7c5da886e3a04f318f97bf5b3df41719" id="C30c0bdf27890459a99c9160e19d23063" general="true" denoGt0="true">
          <m:precondition id="CON_2cc20ffeeb4f4bed80780ff8a970d94a" desc="营业收入_上期数大于0" test=" $_GBC_7c5da886e3a04f318f97bf5b3df41719 &gt;  0 "/>
        </m:complexRule>
      </m:item>
      <m:placeholder xlName="_PLD_1825ec6c60fc481f877063c3cecfffca" addr="T0R2C0S1_1"/>
      <m:item xlName="_GBC_27b2cd64da26423d8bb15f0785df93b0" concept="clcid-pte:GuiShuYuMuGongSiSuoYouZheDeJingLiRun" label="归属于母公司所有者的净利润" mulRef="_GBC_c7cd0dd826b247dbba8cc8b1a811aefb" unitRef="_GBC_2df6a5d441324c13bcf6c4c54ac41eb0" addr="T0R2C1S1_1" formatStyle="Comma"/>
      <m:item xlName="_GBC_3730fdab291446f69786b3732d6fa348" concept="clcid-pte:GuiShuYuMuGongSiSuoYouZheDeJingLiRun" label="归属于母公司所有者的净利润" periodRef="上年同期数" mulRef="_GBC_c7cd0dd826b247dbba8cc8b1a811aefb" unitRef="_GBC_2df6a5d441324c13bcf6c4c54ac41eb0" addr="T0R2C2S1_1" formatStyle="Comma"/>
      <m:item xlName="_GBC_eecdd10196e7480384e0632db98938d0" concept="clcid-pte:JingLiRunBenQiBiShangQiZengJian" label="净利润本期比上期增减" addr="T0R2C3S1_1" baseScale="0.01" formatStyle="Comma">
        <m:complexRule comparator="Eq" title="3.1_净利润 本期比上期增减" test=" (  $_GBC_27b2cd64da26423d8bb15f0785df93b0 -  $_GBC_3730fdab291446f69786b3732d6fa348 )  /  $_GBC_3730fdab291446f69786b3732d6fa348" id="Cb75b58efa0a34de7903c63d27a89c21a" general="true" denoGt0="true">
          <m:precondition id="CON_657ce831c12f4f5781f276dad93ed67d" desc="归属净利润大于0" test=" $_GBC_3730fdab291446f69786b3732d6fa348 &gt;  0 "/>
        </m:complexRule>
      </m:item>
      <m:placeholder xlName="_PLD_f59cc08add024388b79135816e85f0a1" addr="T0R3C0S1_1"/>
      <m:item xlName="_GBC_8519431eaa1d47388093b90a9296ce4c" concept="clcid-pte:KouChuFeiJingChangXingSunYiHouDeJingLiRun" label="扣除非经常性损益后的净利润" mulRef="_GBC_c7cd0dd826b247dbba8cc8b1a811aefb" unitRef="_GBC_2df6a5d441324c13bcf6c4c54ac41eb0" addr="T0R3C1S1_1" formatStyle="Comma">
        <m:complexRule comparator="Eq" title="3.1_扣除非经常性损益后的净利润" test=" $_GBC_27b2cd64da26423d8bb15f0785df93b0 -  $_GBC_e2cff98a6a8340f9a4fa5cbe44ef0eec" id="Cd014f493b5e54ee9aceac9b9388d8c37" general="true"/>
      </m:item>
      <m:item xlName="_GBC_9a2bb710bc064c538a123f1d4d9adca0" concept="clcid-pte:KouChuFeiJingChangXingSunYiHouDeJingLiRun" label="扣除非经常性损益后的净利润" periodRef="上年同期数" mulRef="_GBC_c7cd0dd826b247dbba8cc8b1a811aefb" unitRef="_GBC_2df6a5d441324c13bcf6c4c54ac41eb0" addr="T0R3C2S1_1" formatStyle="Comma"/>
      <m:item xlName="_GBC_1d13791dbbcf4bed92bb4394d4cea471" concept="clcid-pte:KouChuFeiJingChangXingSunYiDeJingLiRunBenQiBiShangQiZengJian" label="扣除非经常性损益的净利润本期比上期增减" addr="T0R3C3S1_1" baseScale="0.01" formatStyle="Comma">
        <m:complexRule comparator="Eq" title="3.1_扣除非经常性损益后的净利润本期比上期增减" test=" (  $_GBC_8519431eaa1d47388093b90a9296ce4c -  $_GBC_9a2bb710bc064c538a123f1d4d9adca0 )  /  $_GBC_9a2bb710bc064c538a123f1d4d9adca0" id="C9fc9a9d896e940cba7cee24f6496cd58" general="true" denoGt0="true">
          <m:precondition id="CON_6f9fe1fdf3be45bbaebeadd971a87dfa" desc="扣后净利润_上期数大于0" test=" $_GBC_9a2bb710bc064c538a123f1d4d9adca0 &gt;  0 "/>
        </m:complexRule>
      </m:item>
      <m:placeholder xlName="_PLD_895da6708d8042d69e93b2530ead8964" addr="T0R4C0S1_1"/>
      <m:item xlName="_GBC_18350a03bac449a8bf9de353501df757" concept="clcid-pte:JingYingHuoDongXianJinLiuLiangJingE" label="经营活动现金流量净额" mulRef="_GBC_c7cd0dd826b247dbba8cc8b1a811aefb" unitRef="_GBC_2df6a5d441324c13bcf6c4c54ac41eb0" addr="T0R4C1S1_1" formatStyle="Comma"/>
      <m:item xlName="_GBC_7e2906a118e24d74ad326fa7837a253e" concept="clcid-pte:JingYingHuoDongXianJinLiuLiangJingE" label="经营活动现金流量净额" periodRef="上年同期数" mulRef="_GBC_c7cd0dd826b247dbba8cc8b1a811aefb" unitRef="_GBC_2df6a5d441324c13bcf6c4c54ac41eb0" addr="T0R4C2S1_1" formatStyle="Comma"/>
      <m:item xlName="_GBC_bc517a22470b43708c54d8d84e53258d" concept="clcid-pte:JingYingHuoDongXianJinLiuLiangJingEBenQiBiShangQiZengJian" label="经营活动现金流量净额本期比上期增减" addr="T0R4C3S1_1" baseScale="0.01" formatStyle="Comma">
        <m:complexRule comparator="Eq" title="经营活动现金流量净额本期比上期增减" test=" (  $_GBC_18350a03bac449a8bf9de353501df757 -  $_GBC_7e2906a118e24d74ad326fa7837a253e )  /  $_GBC_7e2906a118e24d74ad326fa7837a253e" id="Ca7ada3e7ff7f47eea9c3577c3dea92cc" general="true" denoGt0="true">
          <m:precondition id="CON_1f24cc28d6644f418d0a01b59a545342" desc="经营现金流量_上期数大于0" test=" $_GBC_7e2906a118e24d74ad326fa7837a253e &gt;  0 "/>
        </m:complexRule>
      </m:item>
      <m:tuple xlName="_GBC_4b6455b0069141d59ef27889062d8c76" concept="clcid-pte:ZhuYaoShiQiShuKuaiJiShuJu" default_row="2" addr="T0R5C">
        <m:item xlName="_GBC_dac135d2d268405fb5642592e17b0f80" concept="clcid-pte:ZhuYaoShiQiShuKuaiJiShuJuKeMuMingCheng" label="主要时期数会计数据科目名称" addr="T0R5C0S1_1" cellConvertType="1"/>
        <m:item xlName="_GBC_620335aa90ba4c379283a93537351e10" concept="clcid-pte:ZhuYaoShiQiShuKuaiJiShuJuKeMuZhi" label="主要时期数会计数据科目值" mulRef="_GBC_c7cd0dd826b247dbba8cc8b1a811aefb" unitRef="_GBC_2df6a5d441324c13bcf6c4c54ac41eb0" addr="T0R5C1S1_1" formatStyle="Comma"/>
        <m:item xlName="_GBC_e8444c4c2a674a088a44e450b3c604be" concept="clcid-pte:ZhuYaoShiQiShuKuaiJiShuJuKeMuZhi" label="主要时期数会计数据科目值" periodRef="上年同期数" mulRef="_GBC_c7cd0dd826b247dbba8cc8b1a811aefb" unitRef="_GBC_2df6a5d441324c13bcf6c4c54ac41eb0" addr="T0R5C2S1_1" formatStyle="Comma"/>
        <m:item xlName="_GBC_f14580cc7efa4109b780021e843f3128" concept="clcid-pte:ZhuYaoShiQiShuKuaiJiShuJuKeMuZhiBenQiBiShangQiZengJian" label="主要时期数会计数据科目值本期比上期增减" addr="T0R5C3S1_1" baseScale="0.01" formatStyle="Comma">
          <m:complexRule comparator="Eq" title="主要时期数会计数据科目值本期比上期增减" test=" (  $_GBC_620335aa90ba4c379283a93537351e10 -  $_GBC_e8444c4c2a674a088a44e450b3c604be )  / abs (  $_GBC_e8444c4c2a674a088a44e450b3c604be ) " id="C2547fdc8cd9f4d2f9845d623e52f7632" denoGt0="true"/>
        </m:item>
      </m:tuple>
      <m:placeholder xlName="_PLD_b75e9aa554cc48539ab9de572d244f45" addr="T0R7C1S1_1"/>
      <m:placeholder xlName="_PLD_7425b2bc6a39452296814978a781ba72" addr="T0R7C2S1_1"/>
      <m:placeholder xlName="_PLD_7a1ba9a6d9b54e51bd320f47b6233184" addr="T0R7C3S1_1"/>
      <m:placeholder xlName="_PLD_c12ab31af03f46e4bd02eb659877c070" addr="T0R8C0S1_1"/>
      <m:item xlName="_GBC_c264e53177a646a89bab23ee6a122aac" concept="clcid-pte:GuiShuYuMuGongSiSuoYouZheQuanYiHeJi" label="归属于母公司所有者权益合计" mulRef="_GBC_c7cd0dd826b247dbba8cc8b1a811aefb" unitRef="_GBC_2df6a5d441324c13bcf6c4c54ac41eb0" addr="T0R8C1S1_1" formatStyle="Comma"/>
      <m:item xlName="_GBC_8d9460019b644ac19fb31e97c9b4647e" concept="clcid-pte:GuiShuYuMuGongSiSuoYouZheQuanYiHeJi" label="归属于母公司所有者权益合计" periodRef="上年度期末数" mulRef="_GBC_c7cd0dd826b247dbba8cc8b1a811aefb" unitRef="_GBC_2df6a5d441324c13bcf6c4c54ac41eb0" addr="T0R8C2S1_1" formatStyle="Comma"/>
      <m:item xlName="_GBC_4612e6cd36eb4c05848b0ee6de70a8ea" concept="clcid-pte:GuDongQuanYiBenQiBiShangQiZengJian" label="股东权益本期比上期增减" addr="T0R8C3S1_1" baseScale="0.01" formatStyle="Comma">
        <m:complexRule comparator="Eq" title="3.1_股东权益本期比上期增减" test=" (  $_GBC_c264e53177a646a89bab23ee6a122aac -  $_GBC_8d9460019b644ac19fb31e97c9b4647e )  /  $_GBC_8d9460019b644ac19fb31e97c9b4647e" id="C4d41f59b31614a37b1df2ae0c3b2fb7b" general="true" denoGt0="true">
          <m:precondition id="CON_197fec41ec98488498dfbe498be59a74" desc="股东权益上年末数大于0" test=" $_GBC_8d9460019b644ac19fb31e97c9b4647e &gt;  0 "/>
        </m:complexRule>
      </m:item>
      <m:placeholder xlName="_PLD_c9e79cad72304cada434a9145656a31f" addr="T0R9C0S1_1"/>
      <m:item xlName="_GBC_36328a382ae4482b8662418745db7d55" concept="clcid-pte:ZiChanZongJi" label="资产总计" mulRef="_GBC_c7cd0dd826b247dbba8cc8b1a811aefb" unitRef="_GBC_2df6a5d441324c13bcf6c4c54ac41eb0" addr="T0R9C1S1_1" formatStyle="Comma"/>
      <m:item xlName="_GBC_6c7912ed42714421ab5f733f008d5f76" concept="clcid-pte:ZiChanZongJi" label="资产总计" periodRef="上年度期末数" mulRef="_GBC_c7cd0dd826b247dbba8cc8b1a811aefb" unitRef="_GBC_2df6a5d441324c13bcf6c4c54ac41eb0" addr="T0R9C2S1_1" formatStyle="Comma"/>
      <m:item xlName="_GBC_791a4ce1c61443cd8010d235ccb5b010" concept="clcid-pte:ZongZiChanBenQiBiShangQiZengJian" label="总资产本期比上期增减" addr="T0R9C3S1_1" baseScale="0.01" formatStyle="Comma">
        <m:complexRule comparator="Eq" title="3.1_总资产本期比上期增减" test=" (  $_GBC_36328a382ae4482b8662418745db7d55 -  $_GBC_6c7912ed42714421ab5f733f008d5f76 )  /  $_GBC_6c7912ed42714421ab5f733f008d5f76" id="C8ac8f366582d48eeb7d8709c1df4e477" general="true" denoGt0="true">
          <m:precondition id="CON_af473f7d20304c22995363c757f6daf0" desc="资产上年末数大于0" test=" $_GBC_6c7912ed42714421ab5f733f008d5f76 &gt;  0 "/>
        </m:complexRule>
      </m:item>
      <m:tuple xlName="_GBC_877718f5f04343928e782034404a85ba" concept="clcid-pte:ZhuYaoShiDianShuKuaiJiShuJu" default_row="2" addr="T0R10C">
        <m:item xlName="_GBC_30dff8d648e1473483b3c0c61ff745ae" concept="clcid-pte:ZhuYaoShiDianShuKuaiJiShuJuKeMuMingCheng" label="主要时点数会计数据科目名称" addr="T0R10C0S1_1" cellConvertType="1"/>
        <m:item xlName="_GBC_53bba3fb73cd40b3b036feda929aff66" concept="clcid-pte:ZhuYaoShiDianShuKuaiJiShuJuKeMuZhi" label="主要时点数会计数据科目值" mulRef="_GBC_c7cd0dd826b247dbba8cc8b1a811aefb" unitRef="_GBC_2df6a5d441324c13bcf6c4c54ac41eb0" addr="T0R10C1S1_1" formatStyle="Comma"/>
        <m:item xlName="_GBC_75da7034bd44486895b7fea8af312d1d" concept="clcid-pte:ZhuYaoShiDianShuKuaiJiShuJuKeMuZhi" label="主要时点数会计数据科目值" periodRef="上年度期末数" mulRef="_GBC_c7cd0dd826b247dbba8cc8b1a811aefb" unitRef="_GBC_2df6a5d441324c13bcf6c4c54ac41eb0" addr="T0R10C2S1_1" formatStyle="Comma"/>
        <m:item xlName="_GBC_bde94a131e784a4d863f342d68b44711" concept="clcid-pte:ZhuYaoShiDianShuKuaiJiShuJuKeMuZhiBenQiBiShangQiZengJian" label="主要时点数会计数据科目值本期比上期增减" addr="T0R10C3S1_1" baseScale="0.01" formatStyle="Comma">
          <m:complexRule comparator="Eq" title="主要时点数会计数据科目值本期比上期增减" test=" (  $_GBC_53bba3fb73cd40b3b036feda929aff66 -  $_GBC_75da7034bd44486895b7fea8af312d1d )  / abs (  $_GBC_75da7034bd44486895b7fea8af312d1d ) " id="Ccda03d0dfaff442aa10a764a4dba1ca5" denoGt0="true"/>
        </m:item>
      </m:tuple>
    </m:section>
    <m:section xlName="_GBC_f3826dda988749e78931d3af98058157" title="主要会计数据(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追溯调整" optionGroupTitle="主要会计数据和财务指标情况" optionTargetConcept="clcid-ci-ar:ShiFouZhuiSuTiaoZheng" optionTargetConceptValue="追溯调整">
      <m:placeholder xlName="_PLD_9a892ddb7f784060a3faccb4c3beadce" addr="T0R0C0S2_1"/>
      <m:placeholder xlName="_PLD_c1037fd91103435795ea62def760a024" addr="T0R0C1S2_1"/>
      <m:placeholder xlName="_PLD_bab30e1b543c4fbf9c30f9a629245ebf" addr="T0R0C2S1_2"/>
      <m:placeholder xlName="_PLD_939281d443df430dae16ace9baf8e6ea" addr="T0R0C4S2_1"/>
      <m:placeholder xlName="_PLD_ea077e6e667b40c889b036ebdde32f06" addr="T0R1C2S1_1"/>
      <m:placeholder xlName="_PLD_8d00c2e24647428c8ce791bbc0b90f87" addr="T0R1C3S1_1"/>
      <m:placeholder xlName="_PLD_d6fe8f04567e4b74ba93eab901204586" addr="T0R2C0S1_1"/>
      <m:item xlName="_GBC_ab72ada34e3f4a13827283553d336eac" concept="clcid-pte:YingYeShouRu" label="营业收入" mulRef="_GBC_c7cd0dd826b247dbba8cc8b1a811aefb" unitRef="_GBC_2df6a5d441324c13bcf6c4c54ac41eb0" addr="T0R2C1S1_1" formatStyle="Comma"/>
      <m:item xlName="_GBC_e42c961372af4b4bb6aa2fccee064fd0" concept="clcid-pte:YingYeShouRu" label="营业收入" periodRef="上年同期数" mulRef="_GBC_c7cd0dd826b247dbba8cc8b1a811aefb" unitRef="_GBC_2df6a5d441324c13bcf6c4c54ac41eb0" addr="T0R2C2S1_1" formatStyle="Comma"/>
      <m:item xlName="_GBC_36f7a295b7fe4854a3ae47d7d1f730ad" concept="clcid-pte:YingYeShouRu" label="营业收入" periodRef="上年同期数" mulRef="_GBC_c7cd0dd826b247dbba8cc8b1a811aefb" unitRef="_GBC_2df6a5d441324c13bcf6c4c54ac41eb0" addr="T0R2C3S1_1" formatStyle="Comma">
        <m:axisValue occRef="调整前的值"/>
      </m:item>
      <m:item xlName="_GBC_0278e08996fe480ab1abe0c2db8aaf05" concept="clcid-pte:YingYeShouRuBenQiBiShangQiZengJian" label="营业收入本期比上期增减" addr="T0R2C4S1_1" baseScale="0.01" formatStyle="Comma">
        <m:complexRule comparator="Eq" title="营业收入本期比上期增减" id="Cd49dedf1f808463bbb133873c63e1d45" denoGt0="true"/>
      </m:item>
      <m:placeholder xlName="_PLD_992c24f1e02e446b8aefeb9054d25359" addr="T0R3C0S1_1"/>
      <m:item xlName="_GBC_89c0391bc1654de5bf4abb4576789a29" concept="clcid-pte:GuiShuYuMuGongSiSuoYouZheDeJingLiRun" label="归属于母公司所有者的净利润" mulRef="_GBC_c7cd0dd826b247dbba8cc8b1a811aefb" unitRef="_GBC_2df6a5d441324c13bcf6c4c54ac41eb0" addr="T0R3C1S1_1" formatStyle="Comma"/>
      <m:item xlName="_GBC_b1868fdbdeea4c0183c4b4976f1d651c" concept="clcid-pte:GuiShuYuMuGongSiSuoYouZheDeJingLiRun" label="归属于母公司所有者的净利润" periodRef="上年同期数" mulRef="_GBC_c7cd0dd826b247dbba8cc8b1a811aefb" unitRef="_GBC_2df6a5d441324c13bcf6c4c54ac41eb0" addr="T0R3C2S1_1" formatStyle="Comma"/>
      <m:item xlName="_GBC_f54fa42199e744aaaa0f5a0846cff821" concept="clcid-pte:GuiShuYuMuGongSiSuoYouZheDeJingLiRun" label="归属于母公司所有者的净利润" periodRef="上年同期数" mulRef="_GBC_c7cd0dd826b247dbba8cc8b1a811aefb" unitRef="_GBC_2df6a5d441324c13bcf6c4c54ac41eb0" addr="T0R3C3S1_1" formatStyle="Comma">
        <m:axisValue occRef="调整前的值"/>
      </m:item>
      <m:item xlName="_GBC_53f59bd097864e15b75684289d9439ca" concept="clcid-pte:JingLiRunBenQiBiShangQiZengJian" label="净利润本期比上期增减" addr="T0R3C4S1_1" baseScale="0.01" formatStyle="Comma">
        <m:complexRule comparator="Eq" title="净利润本期比上期增减" id="C237358fdfc3c47b89b087c4f4fa54de6" denoGt0="true"/>
      </m:item>
      <m:placeholder xlName="_PLD_5881cdcf54224948be30960900f28cf5" addr="T0R4C0S1_1"/>
      <m:item xlName="_GBC_bd931979bfd54c01b7c60c12c1c4352c" concept="clcid-pte:KouChuFeiJingChangXingSunYiHouDeJingLiRun" label="扣除非经常性损益后的净利润" mulRef="_GBC_c7cd0dd826b247dbba8cc8b1a811aefb" unitRef="_GBC_2df6a5d441324c13bcf6c4c54ac41eb0" addr="T0R4C1S1_1" formatStyle="Comma">
        <m:complexRule comparator="Eq" title="扣除非经常性损益后的净利润" test=" $_GBC_89c0391bc1654de5bf4abb4576789a29 -  $_GBC_e2cff98a6a8340f9a4fa5cbe44ef0eec" id="Cd5a320cd7ee04ddd916dc57bfe814dce"/>
      </m:item>
      <m:item xlName="_GBC_2db39bcb9d984e54a671cf0f318f75f0" concept="clcid-pte:KouChuFeiJingChangXingSunYiHouDeJingLiRun" label="扣除非经常性损益后的净利润" periodRef="上年同期数" mulRef="_GBC_c7cd0dd826b247dbba8cc8b1a811aefb" unitRef="_GBC_2df6a5d441324c13bcf6c4c54ac41eb0" addr="T0R4C2S1_1" formatStyle="Comma"/>
      <m:item xlName="_GBC_5c20ef8351ac4709a3a7ca3d2a8fdf87" concept="clcid-pte:KouChuFeiJingChangXingSunYiHouDeJingLiRun" label="扣除非经常性损益后的净利润" periodRef="上年同期数" mulRef="_GBC_c7cd0dd826b247dbba8cc8b1a811aefb" unitRef="_GBC_2df6a5d441324c13bcf6c4c54ac41eb0" addr="T0R4C3S1_1" formatStyle="Comma">
        <m:axisValue occRef="调整前的值"/>
      </m:item>
      <m:item xlName="_GBC_8371e4e2a8e44d5b8fe8d9245065babe" concept="clcid-pte:KouChuFeiJingChangXingSunYiDeJingLiRunBenQiBiShangQiZengJian" label="扣除非经常性损益的净利润本期比上期增减" addr="T0R4C4S1_1" baseScale="0.01" formatStyle="Comma">
        <m:complexRule comparator="Eq" title="扣除非经常性损益的净利润本期比上期增减" id="Cd8d52b280f5d4ce8bac7715f91b1a6d3" denoGt0="true"/>
      </m:item>
      <m:placeholder xlName="_PLD_dcc7a40166e74d48ae3a32c7262060e1" addr="T0R5C0S1_1"/>
      <m:item xlName="_GBC_f427913e78604eae8b80fc6fc53ed97a" concept="clcid-pte:JingYingHuoDongXianJinLiuLiangJingE" label="经营活动现金流量净额" mulRef="_GBC_c7cd0dd826b247dbba8cc8b1a811aefb" unitRef="_GBC_2df6a5d441324c13bcf6c4c54ac41eb0" addr="T0R5C1S1_1" formatStyle="Comma"/>
      <m:item xlName="_GBC_f787816728db4188ac8dac3ad2a1bc91" concept="clcid-pte:JingYingHuoDongXianJinLiuLiangJingE" label="经营活动现金流量净额" periodRef="上年同期数" mulRef="_GBC_c7cd0dd826b247dbba8cc8b1a811aefb" unitRef="_GBC_2df6a5d441324c13bcf6c4c54ac41eb0" addr="T0R5C2S1_1" formatStyle="Comma"/>
      <m:item xlName="_GBC_0ff6e71034b448f5ad76fd5794708b95" concept="clcid-pte:JingYingHuoDongXianJinLiuLiangJingE" label="经营活动现金流量净额" periodRef="上年同期数" mulRef="_GBC_c7cd0dd826b247dbba8cc8b1a811aefb" unitRef="_GBC_2df6a5d441324c13bcf6c4c54ac41eb0" addr="T0R5C3S1_1" formatStyle="Comma">
        <m:axisValue occRef="调整前的值"/>
      </m:item>
      <m:item xlName="_GBC_fdc589d330a94ca8817760ac8cd84700" concept="clcid-pte:JingYingHuoDongXianJinLiuLiangJingEBenQiBiShangQiZengJian" label="经营活动现金流量净额本期比上期增减" addr="T0R5C4S1_1" baseScale="0.01" formatStyle="Comma">
        <m:complexRule comparator="Eq" title="经营活动现金流量净额本期比上期增减" id="Caaaac4e792e1445dadacf1c05c81aa8d" denoGt0="true"/>
      </m:item>
      <m:tuple xlName="_GBC_70bc7d09018e4f488f2822fb56b2c224" concept="clcid-pte:ZhuYaoShiQiShuKuaiJiShuJu" default_row="2" addr="T0R6C">
        <m:item xlName="_GBC_9c2ac50be875486cac099dae4276b478" concept="clcid-pte:ZhuYaoShiQiShuKuaiJiShuJuKeMuMingCheng" label="主要时期数会计数据科目名称" addr="T0R6C0S1_1" cellConvertType="1"/>
        <m:item xlName="_GBC_51260db3555e496a9bc47b525374cce0" concept="clcid-pte:ZhuYaoShiQiShuKuaiJiShuJuKeMuZhi" label="主要时期数会计数据科目值" mulRef="_GBC_c7cd0dd826b247dbba8cc8b1a811aefb" unitRef="_GBC_2df6a5d441324c13bcf6c4c54ac41eb0" addr="T0R6C1S1_1" formatStyle="Comma"/>
        <m:item xlName="_GBC_ff8a9128335e425ab1d64d79d3dfcf7d" concept="clcid-pte:ZhuYaoShiQiShuKuaiJiShuJuKeMuZhi" label="主要时期数会计数据科目值" periodRef="上年同期数" mulRef="_GBC_c7cd0dd826b247dbba8cc8b1a811aefb" unitRef="_GBC_2df6a5d441324c13bcf6c4c54ac41eb0" addr="T0R6C2S1_1" formatStyle="Comma"/>
        <m:item xlName="_GBC_e717432211ae43758982f857d96654d5" concept="clcid-pte:ZhuYaoShiQiShuKuaiJiShuJuKeMuZhi" label="主要时期数会计数据科目值" periodRef="上年同期数" mulRef="_GBC_c7cd0dd826b247dbba8cc8b1a811aefb" unitRef="_GBC_2df6a5d441324c13bcf6c4c54ac41eb0" addr="T0R6C3S1_1" formatStyle="Comma">
          <m:axisValue occRef="调整前的值"/>
        </m:item>
        <m:item xlName="_GBC_f8a8071534504109ad4d2df876d87abd" concept="clcid-pte:ZhuYaoShiQiShuKuaiJiShuJuKeMuZhiBenQiBiShangQiZengJian" label="主要时期数会计数据科目值本期比上期增减" addr="T0R6C4S1_1" baseScale="0.01" formatStyle="Comma">
          <m:complexRule comparator="Eq" title="主要时期数会计数据科目值本期比上期增减" test=" (  $_GBC_51260db3555e496a9bc47b525374cce0 -  $_GBC_ff8a9128335e425ab1d64d79d3dfcf7d )  / abs (  $_GBC_ff8a9128335e425ab1d64d79d3dfcf7d ) " id="C13f26d4d6f484774aa6237ce35760c67" denoGt0="true"/>
        </m:item>
      </m:tuple>
      <m:placeholder xlName="_PLD_c7b7068cbc2d423f9bca32e0ef1279a4" addr="T0R8C1S2_1"/>
      <m:placeholder xlName="_PLD_8051a782c26646bb91b35d3d6e9b3f15" addr="T0R8C2S1_2"/>
      <m:placeholder xlName="_PLD_8358d5c4e2fb4bba98618c7ec8bb3fc2" addr="T0R8C4S2_1"/>
      <m:placeholder xlName="_PLD_afd37870086f47d9b2dbc63bd02cb0d5" addr="T0R9C2S1_1"/>
      <m:placeholder xlName="_PLD_5ac02f67d8c64007ab312248cec82d6d" addr="T0R9C3S1_1"/>
      <m:placeholder xlName="_PLD_649c619a12754e7e88c2829af2557897" addr="T0R10C0S1_1"/>
      <m:item xlName="_GBC_283652a974364496b1631f1db2b80c63" concept="clcid-pte:GuiShuYuMuGongSiSuoYouZheQuanYiHeJi" label="归属于母公司所有者权益合计" mulRef="_GBC_c7cd0dd826b247dbba8cc8b1a811aefb" unitRef="_GBC_2df6a5d441324c13bcf6c4c54ac41eb0" addr="T0R10C1S1_1" formatStyle="Comma"/>
      <m:item xlName="_GBC_622f442c326c4d76aa05bf29a561df59" concept="clcid-pte:GuiShuYuMuGongSiSuoYouZheQuanYiHeJi" label="归属于母公司所有者权益合计" periodRef="上年度期末数" mulRef="_GBC_c7cd0dd826b247dbba8cc8b1a811aefb" unitRef="_GBC_2df6a5d441324c13bcf6c4c54ac41eb0" addr="T0R10C2S1_1" formatStyle="Comma"/>
      <m:item xlName="_GBC_7f1e62a169be419b85ee2e494791f400" concept="clcid-pte:GuiShuYuMuGongSiSuoYouZheQuanYiHeJi" label="归属于母公司所有者权益合计" periodRef="上年度期末数" mulRef="_GBC_c7cd0dd826b247dbba8cc8b1a811aefb" unitRef="_GBC_2df6a5d441324c13bcf6c4c54ac41eb0" addr="T0R10C3S1_1" formatStyle="Comma">
        <m:axisValue occRef="调整前的值"/>
      </m:item>
      <m:item xlName="_GBC_525270a640e449a1894fe13b8114bb29" concept="clcid-pte:GuDongQuanYiBenQiBiShangQiZengJian" label="股东权益本期比上期增减" addr="T0R10C4S1_1" baseScale="0.01" formatStyle="Comma">
        <m:complexRule comparator="Eq" title="股东权益本期比上期增减" id="C44d1191f6ad2469299b618de78644c23" denoGt0="true"/>
      </m:item>
      <m:placeholder xlName="_PLD_8fe1d1223da1450492e298a0b1a56014" addr="T0R11C0S1_1"/>
      <m:item xlName="_GBC_63c24971794948bfaa16bfb0a4ef742c" concept="clcid-pte:ZiChanZongJi" label="资产总计" mulRef="_GBC_c7cd0dd826b247dbba8cc8b1a811aefb" unitRef="_GBC_2df6a5d441324c13bcf6c4c54ac41eb0" addr="T0R11C1S1_1" formatStyle="Comma"/>
      <m:item xlName="_GBC_688977bee3124bf895412334e5780af3" concept="clcid-pte:ZiChanZongJi" label="资产总计" periodRef="上年度期末数" mulRef="_GBC_c7cd0dd826b247dbba8cc8b1a811aefb" unitRef="_GBC_2df6a5d441324c13bcf6c4c54ac41eb0" addr="T0R11C2S1_1" formatStyle="Comma"/>
      <m:item xlName="_GBC_5813545ca80442d09e3ec0a105f85bbe" concept="clcid-pte:ZiChanZongJi" label="资产总计" periodRef="上年度期末数" mulRef="_GBC_c7cd0dd826b247dbba8cc8b1a811aefb" unitRef="_GBC_2df6a5d441324c13bcf6c4c54ac41eb0" addr="T0R11C3S1_1" formatStyle="Comma">
        <m:axisValue occRef="调整前的值"/>
      </m:item>
      <m:item xlName="_GBC_f5773c18784942a7be2003a08e37238d" concept="clcid-pte:ZongZiChanBenQiBiShangQiZengJian" label="总资产本期比上期增减" addr="T0R11C4S1_1" baseScale="0.01" formatStyle="Comma">
        <m:complexRule comparator="Eq" title="总资产本期比上期增减" id="Cc21a46aa62e043b38515f2237e10b43b" denoGt0="true"/>
      </m:item>
      <m:tuple xlName="_GBC_588da0966fef46ed8a96712f4b7c93bc" concept="clcid-pte:ZhuYaoShiDianShuKuaiJiShuJu" default_row="2" addr="T0R12C">
        <m:item xlName="_GBC_95fc1c201fb64997beee6a8fda83915f" concept="clcid-pte:ZhuYaoShiDianShuKuaiJiShuJuKeMuMingCheng" label="主要时点数会计数据科目名称" addr="T0R12C0S1_1" cellConvertType="1"/>
        <m:item xlName="_GBC_6502db17267c4ad6abae9fd54fd25724" concept="clcid-pte:ZhuYaoShiDianShuKuaiJiShuJuKeMuZhi" label="主要时点数会计数据科目值" mulRef="_GBC_c7cd0dd826b247dbba8cc8b1a811aefb" unitRef="_GBC_2df6a5d441324c13bcf6c4c54ac41eb0" addr="T0R12C1S1_1" formatStyle="Comma"/>
        <m:item xlName="_GBC_d12c8ca9dfb24e3cba310f2423cae94f" concept="clcid-pte:ZhuYaoShiDianShuKuaiJiShuJuKeMuZhi" label="主要时点数会计数据科目值" periodRef="上年度期末数" mulRef="_GBC_c7cd0dd826b247dbba8cc8b1a811aefb" unitRef="_GBC_2df6a5d441324c13bcf6c4c54ac41eb0" addr="T0R12C2S1_1" formatStyle="Comma"/>
        <m:item xlName="_GBC_41b965aeb7fd4cffbe5e96bd7e65a758" concept="clcid-pte:ZhuYaoShiDianShuKuaiJiShuJuKeMuZhi" label="主要时点数会计数据科目值" periodRef="上年度期末数" mulRef="_GBC_c7cd0dd826b247dbba8cc8b1a811aefb" unitRef="_GBC_2df6a5d441324c13bcf6c4c54ac41eb0" addr="T0R12C3S1_1" formatStyle="Comma">
          <m:axisValue occRef="调整前的值"/>
        </m:item>
        <m:item xlName="_GBC_ec6a2e2425094e51a1ddca336bf9bfb7" concept="clcid-pte:ZhuYaoShiDianShuKuaiJiShuJuKeMuZhiBenQiBiShangQiZengJian" label="主要时点数会计数据科目值本期比上期增减" addr="T0R12C4S1_1" baseScale="0.01" formatStyle="Comma">
          <m:complexRule comparator="Eq" title="主要时点数会计数据科目值本期比上期增减" test=" (  $_GBC_6502db17267c4ad6abae9fd54fd25724 -  $_GBC_d12c8ca9dfb24e3cba310f2423cae94f )  / abs (  $_GBC_d12c8ca9dfb24e3cba310f2423cae94f ) " id="Cbe8db81ba3fe4914bfaec3b0a1939027" denoGt0="true"/>
        </m:item>
      </m:tuple>
    </m:section>
    <m:section xlName="_GBC_b44cc48c2c094fe699f563d257345cf5" title="主要财务指标(无追溯)" rules="R2015_R2_001" checkKey="!调整" helpId="103004001" helpText="注1：涉及非经常性损益的，都应当按照《公开发行证券的公司信息披露解释性公告第1号-非经常性损益(2014)》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n注7：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 primarySection="_GBC_b44cc48c2c094fe699f563d257345cf5" optionText="无追溯调整" activeContentOption="_GBC_4758ff96ce404c01979372535152a8f5" optionGroupTitle="主要会计数据和财务指标情况" optionTargetConcept="clcid-ci-ar:ShiFouZhuiSuTiaoZheng" optionTargetConceptValue="无追溯调整">
      <m:placeholder xlName="_PLD_b12e929543994adfbc7a21fe743cd125" addr="T0R0C0S1_1"/>
      <m:placeholder xlName="_PLD_d04f89449ff14c5fa39e871117b7e9e2" addr="T0R0C1S1_1"/>
      <m:placeholder xlName="_PLD_bdb91a2a58254a0e945eecc5aef91521" addr="T0R0C2S1_1"/>
      <m:placeholder xlName="_PLD_08306889e5b040aa83784b3f6db386f1" addr="T0R0C3S1_1"/>
      <m:placeholder xlName="_PLD_089671b43cd048bda3f42f7ff187200a" addr="T0R1C0S1_1"/>
      <m:item xlName="_GBC_86b6918c0f8e42f3a3a51d625c5323d9" concept="clcid-pte:JiBenMeiGuShouYi" label="基本每股收益" unitRef="_GBC_2df6a5d441324c13bcf6c4c54ac41eb0" addr="T0R1C1S1_1" formatStyle="Comma" fixedType="EPS"/>
      <m:item xlName="_GBC_584729723e57485398b1976834ccf5b0" concept="clcid-pte:JiBenMeiGuShouYi" label="基本每股收益" periodRef="上年同期数" unitRef="_GBC_2df6a5d441324c13bcf6c4c54ac41eb0" addr="T0R1C2S1_1" formatStyle="Comma" fixedType="EPS"/>
      <m:item xlName="_GBC_0d000d5701d949d59919557aaf321501" concept="clcid-pte:JiBenMeiGuShouYiBenQiBiShangQiZengJian" label="基本每股收益本期比上期增减" addr="T0R1C3S1_1" baseScale="0.01" formatStyle="Comma">
        <m:complexRule comparator="Eq" title="3.1基本每股收益本期比上期增减" test=" (  $_GBC_86b6918c0f8e42f3a3a51d625c5323d9 -  $_GBC_584729723e57485398b1976834ccf5b0 )  /  $_GBC_584729723e57485398b1976834ccf5b0" id="Cc7747c819c964aa88a2de4068d426202" general="true" denoGt0="true">
          <m:precondition id="CON_ceb1e7fd6bcb47e1a04cca6f6c20ac51" desc="基本每股收益上期数大于0" test=" $_GBC_584729723e57485398b1976834ccf5b0 &gt;  0 "/>
        </m:complexRule>
      </m:item>
      <m:placeholder xlName="_PLD_b53c618810f6494198af9022cf5f9c92" addr="T0R2C0S1_1"/>
      <m:item xlName="_GBC_5479873b0db84b57b2c9109ebc6bff5d" concept="clcid-pte:XiShiMeiGuShouYi" label="稀释每股收益" unitRef="_GBC_2df6a5d441324c13bcf6c4c54ac41eb0" addr="T0R2C1S1_1" formatStyle="Comma" fixedType="EPS"/>
      <m:item xlName="_GBC_df6801dbb6554f788e5691b1275ddc0c" concept="clcid-pte:XiShiMeiGuShouYi" label="稀释每股收益" periodRef="上年同期数" unitRef="_GBC_2df6a5d441324c13bcf6c4c54ac41eb0" addr="T0R2C2S1_1" formatStyle="Comma" fixedType="EPS"/>
      <m:item xlName="_GBC_86627f486c5a49a1abb59e3a3e01b83b" concept="clcid-pte:XiShiMeiGuShouYiBenQiBiShangQiZengJian" label="稀释每股收益本期比上期增减" addr="T0R2C3S1_1" baseScale="0.01" formatStyle="Comma">
        <m:complexRule comparator="Eq" title="3.1稀释每股收益本期比上期增减" test=" (  $_GBC_5479873b0db84b57b2c9109ebc6bff5d -  $_GBC_df6801dbb6554f788e5691b1275ddc0c )  /  $_GBC_df6801dbb6554f788e5691b1275ddc0c" id="C7b695255b60e46f68ab417e345bfdf3e" general="true" denoGt0="true">
          <m:precondition id="CON_a61b951a5f0c465ba40b9b17e981dbcd" desc="稀释每股收益上期数大于0" test=" $_GBC_df6801dbb6554f788e5691b1275ddc0c &gt;  0 "/>
        </m:complexRule>
      </m:item>
      <m:placeholder xlName="_PLD_7995656a90ee4448a470f6a06fe39000" addr="T0R3C0S1_1"/>
      <m:item xlName="_GBC_6c577dfdf67549a0855d0bd22c06e2b0" concept="clcid-pte:KouChuFeiJingChangXingSunYiHouGuiShuYuGongSiPuTongGuGuDongDeJingLiRunJiBenMeiGuShouYi" label="扣除非经常性损益后归属于公司普通股股东的净利润基本每股收益" unitRef="_GBC_2df6a5d441324c13bcf6c4c54ac41eb0" addr="T0R3C1S1_1" formatStyle="Comma" fixedType="EPS"/>
      <m:item xlName="_GBC_b9acb6b637744de2b3a128c6e247d5bf" concept="clcid-pte:KouChuFeiJingChangXingSunYiHouGuiShuYuGongSiPuTongGuGuDongDeJingLiRunJiBenMeiGuShouYi" label="扣除非经常性损益后归属于公司普通股股东的净利润基本每股收益" periodRef="上年同期数" unitRef="_GBC_2df6a5d441324c13bcf6c4c54ac41eb0" addr="T0R3C2S1_1" formatStyle="Comma" fixedType="EPS"/>
      <m:item xlName="_GBC_dc6bbda91ee7417e99cf32335654cd50" concept="clcid-pte:KouChuFeiJingChangXingSunYiHouGuiShuYuGongSiPuTongGuGuDongDeJingLiRunJiBenMeiGuShouYiBenQiBiShangQiZengJian" label="扣除非经常性损益后归属于公司普通股股东的净利润基本每股收益本期比上期增减" addr="T0R3C3S1_1" baseScale="0.01" formatStyle="Comma">
        <m:complexRule comparator="Eq" title="3.1_扣除非经常性损益后归属于公司普通股股东的净利润基本每股收益本期比上期增减" test=" (  $_GBC_6c577dfdf67549a0855d0bd22c06e2b0 -  $_GBC_b9acb6b637744de2b3a128c6e247d5bf )  /  $_GBC_b9acb6b637744de2b3a128c6e247d5bf" id="Cedfc92e9f08449c9962cde5719f40ad3" general="true" denoGt0="true">
          <m:precondition id="CON_cb528b2dd3f44a8abfa014ef24c74987" desc="扣后基本每股收益上期数大于0" test=" $_GBC_b9acb6b637744de2b3a128c6e247d5bf &gt;  0 "/>
        </m:complexRule>
      </m:item>
      <m:placeholder xlName="_PLD_7ae3fa8992794ff1bdf49e4e770ce96d" addr="T0R4C0S1_1"/>
      <m:item xlName="_GBC_be8f2bb2db4c47da980cf7896fd83788" concept="clcid-pte:JingLiRunJiaQuanPingJunJingZiChanShouYiLv" label="净利润_加权平均_净资产收益率" addr="T0R4C1S1_1" baseScale="0.01" formatStyle="Comma"/>
      <m:item xlName="_GBC_6b55be276ca046f5a3dfe96bc442fd7b" concept="clcid-pte:JingLiRunJiaQuanPingJunJingZiChanShouYiLv" label="净利润_加权平均_净资产收益率" periodRef="上年同期数" addr="T0R4C2S1_1" baseScale="0.01" formatStyle="Comma"/>
      <m:item xlName="_GBC_468db081c149493781273a86261664a1" concept="clcid-pte:JingZiChanShouYiLvJiaQuanPingJunBenQiBiShangQiZengJian" label="净资产收益率加权平均本期比上期增减" addr="T0R4C3S1_1" baseScale="0.01" formatStyle="PercentChange">
        <m:complexRule comparator="Eq" title="3.1_净资产收益率加权平均本期比上期增减" test=" $_GBC_be8f2bb2db4c47da980cf7896fd83788 -  $_GBC_6b55be276ca046f5a3dfe96bc442fd7b" id="C81308c1d934446548ac5bcd5586d0e68" general="true" denoGt0="true"/>
      </m:item>
      <m:placeholder xlName="_PLD_37d92f3112bf450196ad8233f93a5237" addr="T0R5C0S1_1"/>
      <m:item xlName="_GBC_a0d55b6fada3443284a2ce51553f0c61" concept="clcid-pte:KouChuFeiJingChangXingSunYiDeJingLiRunDeJiaQuanPingJunJingZiChanShouYiLv" label="扣除非经常性损益的净利润的加权平均净资产收益率" addr="T0R5C1S1_1" baseScale="0.01" formatStyle="Comma"/>
      <m:item xlName="_GBC_6d7b28657fa541d989bda63824c9b1d4" concept="clcid-pte:KouChuFeiJingChangXingSunYiDeJingLiRunDeJiaQuanPingJunJingZiChanShouYiLv" label="扣除非经常性损益的净利润的加权平均净资产收益率" periodRef="上年同期数" addr="T0R5C2S1_1" baseScale="0.01" formatStyle="Comma"/>
      <m:item xlName="_GBC_56ff8a96a6e14e4dafd9a9f394541065" concept="clcid-pte:KouChuDeJingLiRunDeJingZiChanShouYiLvJiaQuanPingJunBenQiBiShangQiZengJian" label="扣除的净利润的净资产收益率加权平均本期比上期增减" addr="T0R5C3S1_1" baseScale="0.01" formatStyle="PercentChange">
        <m:complexRule comparator="Eq" title="3.1_扣除的净利润的净资产收益率加权平均本期比上期增减" test=" $_GBC_a0d55b6fada3443284a2ce51553f0c61 -  $_GBC_6d7b28657fa541d989bda63824c9b1d4" id="Cf68b6a64b0614c9891088c848e5934a2" general="true" denoGt0="true"/>
      </m:item>
      <m:tuple xlName="_GBC_f8966eaa1e1e407dbeb4d749d5193700" concept="clcid-pte:ZhuYaoCaiWuZhiBiao" default_row="2" addr="T0R6C">
        <m:item xlName="_GBC_c63a04ee0e744c85bc81aa013cc37974" concept="clcid-pte:ZhuYaoCaiWuZhiBiaoMingCheng" label="主要财务指标名称" addr="T0R6C0S1_1" cellConvertType="1"/>
        <m:item xlName="_GBC_23cea084586e4f9cb83fb7896c93da68" concept="clcid-pte:ZhuYaoCaiWuZhiBiaoZhi" label="主要财务指标值" unitRef="_GBC_2df6a5d441324c13bcf6c4c54ac41eb0" addr="T0R6C1S1_1" formatStyle="Comma"/>
        <m:item xlName="_GBC_2df29f006716426685136cf15f0c821b" concept="clcid-pte:ZhuYaoCaiWuZhiBiaoZhi" label="主要财务指标值" periodRef="上年同期数" unitRef="_GBC_2df6a5d441324c13bcf6c4c54ac41eb0" addr="T0R6C2S1_1" formatStyle="Comma"/>
        <m:item xlName="_GBC_8b14bde79db14f97b98b4c5d7edb7b9a" concept="clcid-pte:ZhuYaoCaiWuZhiBiaoZhiBenQiBiShangQiZengJian" label="主要财务指标值本期比上期增减" addr="T0R6C3S1_1" baseScale="0.01" formatStyle="Comma">
          <m:complexRule comparator="Eq" title="主要财务指标值本期比上期增减" id="Cda2c841418954ddda9e5e273285beda2" denoGt0="true"/>
        </m:item>
      </m:tuple>
    </m:section>
    <m:section xlName="_GBC_f2e015828f0e4c85978a15defdf078a0" title="主要财务指标(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b44cc48c2c094fe699f563d257345cf5" optionText="追溯调整" optionGroupTitle="主要会计数据和财务指标情况" optionTargetConcept="clcid-ci-ar:ShiFouZhuiSuTiaoZheng" optionTargetConceptValue="追溯调整">
      <m:placeholder xlName="_PLD_6d7b3bceaaf34a96ba27ea0ea25e3754" addr="T0R0C0S2_1"/>
      <m:placeholder xlName="_PLD_6cbdd89f333d439db5e4664ea2fa7505" addr="T0R0C1S2_1"/>
      <m:placeholder xlName="_PLD_e1230dd33a1d4fd998be9bc3948d5d04" addr="T0R0C2S1_2"/>
      <m:placeholder xlName="_PLD_aabe4942f79647c28adb31e2e1670f48" addr="T0R0C4S2_1"/>
      <m:placeholder xlName="_PLD_402d0455fb6c423a9b6175ae7803ccd9" addr="T0R1C2S1_1"/>
      <m:placeholder xlName="_PLD_6bfef4b21a324688ae42fb4419ff855c" addr="T0R1C3S1_1"/>
      <m:placeholder xlName="_PLD_92a9a64fe9c042fcaad92acda96451ea" addr="T0R2C0S1_1"/>
      <m:item xlName="_GBC_0ce7c6368e7446fda9639f0ff0b626e5" concept="clcid-pte:JiBenMeiGuShouYi" label="基本每股收益" unitRef="_GBC_2df6a5d441324c13bcf6c4c54ac41eb0" addr="T0R2C1S1_1" formatStyle="Comma" fixedType="EPS"/>
      <m:item xlName="_GBC_0d382039a2a3435cb3774e9f008f8989" concept="clcid-pte:JiBenMeiGuShouYi" label="基本每股收益" periodRef="上年同期数" unitRef="_GBC_2df6a5d441324c13bcf6c4c54ac41eb0" addr="T0R2C2S1_1" formatStyle="Comma" fixedType="EPS"/>
      <m:item xlName="_GBC_d0e2d8794ce046ae8c73dc174cb6c210" concept="clcid-pte:JiBenMeiGuShouYi" label="基本每股收益" periodRef="上年同期数" unitRef="_GBC_2df6a5d441324c13bcf6c4c54ac41eb0" addr="T0R2C3S1_1" formatStyle="Comma" fixedType="EPS">
        <m:axisValue occRef="调整前的值"/>
      </m:item>
      <m:item xlName="_GBC_036f0bd519ef47478e56a842af33349e" concept="clcid-pte:JiBenMeiGuShouYiBenQiBiShangQiZengJian" label="基本每股收益本期比上期增减" addr="T0R2C4S1_1" baseScale="0.01" formatStyle="Comma">
        <m:complexRule comparator="Eq" title="基本每股收益本期比上期增减" id="C9087348974e54ffaa3418a4c0728a2d0" denoGt0="true"/>
      </m:item>
      <m:placeholder xlName="_PLD_8c6b8202d696467bb8dec8c0454e4bc6" addr="T0R3C0S1_1"/>
      <m:item xlName="_GBC_9c4f539f15224a68912e057ae49517d6" concept="clcid-pte:XiShiMeiGuShouYi" label="稀释每股收益" unitRef="_GBC_2df6a5d441324c13bcf6c4c54ac41eb0" addr="T0R3C1S1_1" formatStyle="Comma" fixedType="EPS"/>
      <m:item xlName="_GBC_666e27f0ea1c49a2af24beddbfabae78" concept="clcid-pte:XiShiMeiGuShouYi" label="稀释每股收益" periodRef="上年同期数" unitRef="_GBC_2df6a5d441324c13bcf6c4c54ac41eb0" addr="T0R3C2S1_1" formatStyle="Comma" fixedType="EPS"/>
      <m:item xlName="_GBC_7ebc3ae6d4ac4d87bc83bfb6b15d3f1e" concept="clcid-pte:XiShiMeiGuShouYi" label="稀释每股收益" periodRef="上年同期数" unitRef="_GBC_2df6a5d441324c13bcf6c4c54ac41eb0" addr="T0R3C3S1_1" formatStyle="Comma" fixedType="EPS">
        <m:axisValue occRef="调整前的值"/>
      </m:item>
      <m:item xlName="_GBC_006cc35086d9473ba4f15ea66906a5f4" concept="clcid-pte:XiShiMeiGuShouYiBenQiBiShangQiZengJian" label="稀释每股收益本期比上期增减" addr="T0R3C4S1_1" baseScale="0.01" formatStyle="Comma">
        <m:complexRule comparator="Eq" title="稀释每股收益本期比上期增减" id="C6f303dfd6e334b7eb5f980d1bbfea351" denoGt0="true"/>
      </m:item>
      <m:placeholder xlName="_PLD_cfb315b9a9094f35b16230c45756d137" addr="T0R4C0S1_1"/>
      <m:item xlName="_GBC_1d0923a887cf4a8abdacdcbe60c525c2" concept="clcid-pte:KouChuFeiJingChangXingSunYiHouGuiShuYuGongSiPuTongGuGuDongDeJingLiRunJiBenMeiGuShouYi" label="扣除非经常性损益后归属于公司普通股股东的净利润基本每股收益" unitRef="_GBC_2df6a5d441324c13bcf6c4c54ac41eb0" addr="T0R4C1S1_1" formatStyle="Comma" fixedType="EPS"/>
      <m:item xlName="_GBC_14b939ee122e4162bb950783d56054f2" concept="clcid-pte:KouChuFeiJingChangXingSunYiHouGuiShuYuGongSiPuTongGuGuDongDeJingLiRunJiBenMeiGuShouYi" label="扣除非经常性损益后归属于公司普通股股东的净利润基本每股收益" periodRef="上年同期数" unitRef="_GBC_2df6a5d441324c13bcf6c4c54ac41eb0" addr="T0R4C2S1_1" formatStyle="Comma" fixedType="EPS"/>
      <m:item xlName="_GBC_cd710e2550bf43fd967ed07dd09d2092" concept="clcid-pte:KouChuFeiJingChangXingSunYiHouGuiShuYuGongSiPuTongGuGuDongDeJingLiRunJiBenMeiGuShouYi" label="扣除非经常性损益后归属于公司普通股股东的净利润基本每股收益" periodRef="上年同期数" unitRef="_GBC_2df6a5d441324c13bcf6c4c54ac41eb0" addr="T0R4C3S1_1" formatStyle="Comma" fixedType="EPS">
        <m:axisValue occRef="调整前的值"/>
      </m:item>
      <m:item xlName="_GBC_68ffc33d6a4f4d989c0025a76402b689" concept="clcid-pte:KouChuFeiJingChangXingSunYiHouGuiShuYuGongSiPuTongGuGuDongDeJingLiRunJiBenMeiGuShouYiBenQiBiShangQiZengJian" label="扣除非经常性损益后归属于公司普通股股东的净利润基本每股收益本期比上期增减" addr="T0R4C4S1_1" baseScale="0.01" formatStyle="Comma">
        <m:complexRule comparator="Eq" title="扣除非经常性损益后归属于公司普通股股东的净利润基本每股收益本期比上期增减" id="Cea417e719bfa43cc9c2bbd0cd3694c73" denoGt0="true"/>
      </m:item>
      <m:placeholder xlName="_PLD_418a1757a4d246178676bae5be46a7cc" addr="T0R5C0S1_1"/>
      <m:item xlName="_GBC_14ae5ca4e54b48d29651fac58edacd4d" concept="clcid-pte:JingLiRunJiaQuanPingJunJingZiChanShouYiLv" label="净利润_加权平均_净资产收益率" addr="T0R5C1S1_1" baseScale="0.01" formatStyle="Comma"/>
      <m:item xlName="_GBC_63d5307896f94957bbe8e9a53227ea39" concept="clcid-pte:JingLiRunJiaQuanPingJunJingZiChanShouYiLv" label="净利润_加权平均_净资产收益率" periodRef="上年同期数" addr="T0R5C2S1_1" baseScale="0.01" formatStyle="Comma"/>
      <m:item xlName="_GBC_568ce2f2cfc3428ebeb4fe1f440224d0" concept="clcid-pte:JingLiRunJiaQuanPingJunJingZiChanShouYiLv" label="净利润_加权平均_净资产收益率" periodRef="上年同期数" addr="T0R5C3S1_1" baseScale="0.01" formatStyle="Comma">
        <m:axisValue occRef="调整前的值"/>
      </m:item>
      <m:item xlName="_GBC_a696601b94914c81a817460c3e8d1ab8" concept="clcid-pte:JingZiChanShouYiLvJiaQuanPingJunBenQiBiShangQiZengJian" label="净资产收益率加权平均本期比上期增减" addr="T0R5C4S1_1" baseScale="0.01" formatStyle="PercentChange">
        <m:complexRule comparator="Eq" title="净资产收益率加权平均本期比上期增减" id="C97f4487f16044f38ad5157a4337c2c80" denoGt0="true"/>
      </m:item>
      <m:placeholder xlName="_PLD_49e03256cb984f7683140d10985296fd" addr="T0R6C0S1_1"/>
      <m:item xlName="_GBC_2802a86f5e634987a0db0cc1675361d5" concept="clcid-pte:KouChuFeiJingChangXingSunYiDeJingLiRunDeJiaQuanPingJunJingZiChanShouYiLv" label="扣除非经常性损益的净利润的加权平均净资产收益率" addr="T0R6C1S1_1" baseScale="0.01" formatStyle="Comma"/>
      <m:item xlName="_GBC_167b42b3b31f4b2eaa4e79a2ce9c3c37" concept="clcid-pte:KouChuFeiJingChangXingSunYiDeJingLiRunDeJiaQuanPingJunJingZiChanShouYiLv" label="扣除非经常性损益的净利润的加权平均净资产收益率" periodRef="上年同期数" addr="T0R6C2S1_1" baseScale="0.01" formatStyle="Comma"/>
      <m:item xlName="_GBC_9252ff053293456fb0d6a874d59dbc5d" concept="clcid-pte:KouChuFeiJingChangXingSunYiDeJingLiRunDeJiaQuanPingJunJingZiChanShouYiLv" label="扣除非经常性损益的净利润的加权平均净资产收益率" periodRef="上年同期数" addr="T0R6C3S1_1" baseScale="0.01" formatStyle="Comma">
        <m:axisValue occRef="调整前的值"/>
      </m:item>
      <m:item xlName="_GBC_e19e9e82edac4106b59e8075efc22804" concept="clcid-pte:KouChuDeJingLiRunDeJingZiChanShouYiLvJiaQuanPingJunBenQiBiShangQiZengJian" label="扣除的净利润的净资产收益率加权平均本期比上期增减" addr="T0R6C4S1_1" baseScale="0.01" formatStyle="PercentChange">
        <m:complexRule comparator="Eq" title="扣除的净利润的净资产收益率加权平均本期比上期增减" id="C7c935667f659446ab3170a873200a5ac" denoGt0="true"/>
      </m:item>
      <m:tuple xlName="_GBC_bc8f489aae1647998f6e3fa61d4c3653" concept="clcid-pte:ZhuYaoCaiWuZhiBiao" default_row="2" addr="T0R7C">
        <m:item xlName="_GBC_3eb71ed15094491e870fc41e7bf118b9" concept="clcid-pte:ZhuYaoCaiWuZhiBiaoMingCheng" label="主要财务指标名称" addr="T0R7C0S1_1" cellConvertType="1"/>
        <m:item xlName="_GBC_153dce1b59b44677adf72da116cf159b" concept="clcid-pte:ZhuYaoCaiWuZhiBiaoZhi" label="主要财务指标值" unitRef="_GBC_2df6a5d441324c13bcf6c4c54ac41eb0" addr="T0R7C1S1_1" formatStyle="Comma"/>
        <m:item xlName="_GBC_aca8332fdde94ce69babcf2843ae8717" concept="clcid-pte:ZhuYaoCaiWuZhiBiaoZhi" label="主要财务指标值" periodRef="上年同期数" unitRef="_GBC_2df6a5d441324c13bcf6c4c54ac41eb0" addr="T0R7C2S1_1" formatStyle="Comma"/>
        <m:item xlName="_GBC_f258ef88db3a411280c3a22672670ad1" concept="clcid-pte:ZhuYaoCaiWuZhiBiaoZhi" label="主要财务指标值" periodRef="上年同期数" unitRef="_GBC_2df6a5d441324c13bcf6c4c54ac41eb0" addr="T0R7C3S1_1" formatStyle="Comma">
          <m:axisValue occRef="调整前的值"/>
        </m:item>
        <m:item xlName="_GBC_39f5c8b1b83440888b9378b0ca00eee6" concept="clcid-pte:ZhuYaoCaiWuZhiBiaoZhiBenQiBiShangQiZengJian" label="主要财务指标值本期比上期增减" addr="T0R7C4S1_1" baseScale="0.01" formatStyle="Comma">
          <m:complexRule comparator="Eq" title="主要财务指标值本期比上期增减" id="C62da26f305354559aa2d128418abaef6" denoGt0="true"/>
        </m:item>
      </m:tuple>
    </m:section>
    <m:section xlName="_GBC_89dd4b4cf79140928f55be83e164f009" title="公司主要会计数据和财务指标的说明" rules="R2015_R2_001" convertSummaryRule="NoConvert" helpId="103004001">
      <m:item xlName="_GBC_cfe99dae5f804f6f8f02eb429483f98a" concept="clcid-ci-ar:ShiFouShiYongGongSiZhuYaoKuaiJiShuJuHeCaiWuZhiBiaoDeShuoMing" label="是否适用：公司主要会计数据和财务指标的说明" selectOptions="_buildInAppliance" controlType="CustomCheckbox" cRanges="{&quot;StartName&quot;:&quot;_GBC_cfe99dae5f804f6f8f02eb429483f98a&quot;,&quot;EndName&quot;:&quot;_GBC_97608ceee0dd4babbeaf5daeb2216ce1&quot;,&quot;CType&quot;:1,&quot;DisplayText&quot;:null}"/>
      <m:item xlName="_GBC_97608ceee0dd4babbeaf5daeb2216ce1" concept="clcid-pte:GongSiZhuYaoKuaiJiShuJuHeCaiWuZhiBiaoDeShuoMing" label="公司主要会计数据和财务指标的说明" appId="_GBC_cfe99dae5f804f6f8f02eb429483f98a"/>
    </m:section>
    <m:item xlName="_GBC_bdabc18d82504a7696c49b78e67b7ce4" concept="clcid-ci-ar:ShiFouShiYongJingNeiWaiHuiJiZhunZeXiaHuiJiShuJuChaYi" label="是否适用：境内外会计准则下会计数据差异" selectOptions="_buildInAppliance" controlType="CustomCheckbox" cRanges="{&quot;StartName&quot;:&quot;_GBC_bdabc18d82504a7696c49b78e67b7ce4&quot;,&quot;EndName&quot;:&quot;_GBC_b29c1fea910b4dfca31323fe84213a44&quot;,&quot;CType&quot;:1,&quot;DisplayText&quot;:null}"/>
    <m:section xlName="_GBC_088e8e183b6741d29b9f742440278698" title="同时按照国际会计准则与按中国会计准则披露的差异" rules="R2015_R2_002" convertSummaryRule="NoConvert" helpId="103002001">
      <m:item xlName="_GBC_5b46dcc1f6b14657b59c11801ec8e4a9" concept="clcid-ci-ar:ShiFouShiYongTongShiAnZhaoGuoJiKuaiJiZhunZeYuAnZhongGuoKuaiJiZhunZePiLuDeCaiWuBaoGaoZhongJingLiRunHeJingZiChanChaYiQingKuang" label="是否适用：同时按照国际会计准则与按中国会计准则披露的财务报告中净利润和净资产差异情况" selectOptions="_buildInAppliance" controlType="CustomCheckbox" cRanges="{&quot;StartName&quot;:&quot;_GBC_5b46dcc1f6b14657b59c11801ec8e4a9&quot;,&quot;EndName&quot;:&quot;_GBC_63f56145229c42249fb7f589115010ef&quot;,&quot;CType&quot;:1,&quot;DisplayText&quot;:null}"/>
      <m:item xlName="_GBC_c49fe527432143159bb93abb982605d3" concept="clcid-ci-ar:DanWeiTongShiAnZhaoGuoJiKuaiJiZhunZeYuAnZhongGuoKuaiJiZhunZePiLuDeCaiWuBaoGaoZhongJingLiRunHeJingZiChanChaYiQingKuang" label="单位：同时按照国际会计准则与按中国会计准则披露的财务报告中净利润和净资产差异情况" selectOptions="_buildInScales" controlType="Combobox" cellType="Scale" binding="true" appId="_GBC_5b46dcc1f6b14657b59c11801ec8e4a9"/>
      <m:item xlName="_GBC_69b863ee893e4df9a5e1cc38c34e63d9" concept="clcid-ci-ar:BiZhongTongShiAnZhaoGuoJiKuaiJiZhunZeYuAnZhongGuoKuaiJiZhunZePiLuDeCaiWuBaoGaoZhongJingLiRunHeJingZiChanChaYiQingKuang" label="币种：同时按照国际会计准则与按中国会计准则披露的财务报告中净利润和净资产差异情况" selectOptions="_buildInISO4217" controlType="Combobox" cellType="Measure" binding="true" appId="_GBC_5b46dcc1f6b14657b59c11801ec8e4a9"/>
      <m:placeholder xlName="_PLD_d728963507634cae9b655b4b50f781ca" addr="T0R0C1S1_2"/>
      <m:placeholder xlName="_PLD_c08de9b4c2c74f08a1a86ea3f7064954" addr="T0R0C3S1_2"/>
      <m:placeholder xlName="_PLD_4257e7e6f64b4670bc467051a4d524b3" addr="T0R1C1S1_1"/>
      <m:placeholder xlName="_PLD_aedb846cdc8c4565973cd18ae345f3f2" addr="T0R1C2S1_1"/>
      <m:placeholder xlName="_PLD_dc3a296a61374d01b17e1e28ef0934be" addr="T0R1C3S1_1"/>
      <m:placeholder xlName="_PLD_f6c7f5d7735b4a27ae6f6140f1d27666" addr="T0R1C4S1_1"/>
      <m:placeholder xlName="_PLD_1f4ddd2ee7c046aca6b08a319e21488f" addr="T0R2C0S1_1"/>
      <m:item xlName="_GBC_e78c1cc703ce443a9b929c60fbcc1c4e" concept="clcid-pte:GuiShuYuMuGongSiSuoYouZheDeJingLiRun" label="归属于母公司所有者的净利润" mulRef="_GBC_c49fe527432143159bb93abb982605d3" unitRef="_GBC_69b863ee893e4df9a5e1cc38c34e63d9" addr="T0R2C1S1_1" formatStyle="Comma" cellConvertType="8" appId="_GBC_5b46dcc1f6b14657b59c11801ec8e4a9"/>
      <m:item xlName="_GBC_4b1aa116fd484ce7b3b103ac70641108" concept="clcid-pte:GuiShuYuMuGongSiSuoYouZheDeJingLiRun" label="归属于母公司所有者的净利润" periodRef="上年同期数" mulRef="_GBC_c49fe527432143159bb93abb982605d3" unitRef="_GBC_69b863ee893e4df9a5e1cc38c34e63d9" addr="T0R2C2S1_1" formatStyle="Comma" appId="_GBC_5b46dcc1f6b14657b59c11801ec8e4a9"/>
      <m:item xlName="_GBC_9f76239c1d6742aeadb49f23a98f7e7f" concept="clcid-pte:GuiShuYuMuGongSiSuoYouZheQuanYiHeJi" label="归属于母公司所有者权益合计" mulRef="_GBC_c49fe527432143159bb93abb982605d3" unitRef="_GBC_69b863ee893e4df9a5e1cc38c34e63d9" addr="T0R2C3S1_1" formatStyle="Comma" appId="_GBC_5b46dcc1f6b14657b59c11801ec8e4a9"/>
      <m:item xlName="_GBC_42a8c89485b94df49c9a68108c7c6369" concept="clcid-pte:GuiShuYuMuGongSiSuoYouZheQuanYiHeJi" label="归属于母公司所有者权益合计" periodRef="本期期初数" mulRef="_GBC_c49fe527432143159bb93abb982605d3" unitRef="_GBC_69b863ee893e4df9a5e1cc38c34e63d9" addr="T0R2C4S1_1" formatStyle="Comma" appId="_GBC_5b46dcc1f6b14657b59c11801ec8e4a9"/>
      <m:placeholder xlName="_PLD_225d9d4e51bd45a7a5b1b61a9eead850" addr="T0R3C0S1_5"/>
      <m:tuple xlName="_GBC_235da7e256724849b20e66b43107dd7e" concept="clcid-pte:AnGuoJiKuaiJiZhunZeTiaoZhengDeJingLiRunHeGuDongQuanYiMingXi" default_row="2" primaryConcept="clcid-pte:AnGuoJiKuaiJiZhunZeTiaoZhengDeJingLiRunHeGuDongQuanYiMingXiXiangMu" addr="T0R4C">
        <m:item xlName="_GBC_2e7116150b45430bad193a0bf356e5d9" concept="clcid-pte:AnGuoJiKuaiJiZhunZeTiaoZhengDeJingLiRunHeGuDongQuanYiMingXiXiangMu" label="按国际会计准则调整的净利润和股东权益明细-项目" addr="T0R4C0S1_1" cellConvertType="1" appId="_GBC_5b46dcc1f6b14657b59c11801ec8e4a9"/>
        <m:item xlName="_GBC_73a56ce5e20743168bfb47dae3e161e3" concept="clcid-pte:AnGuoJiKuaiJiZhunZeTiaoZhengDeJingLiRunHeGuDongQuanYiMingXiJingLiRun" label="按国际会计准则调整的净利润和股东权益明细-净利润" mulRef="_GBC_c49fe527432143159bb93abb982605d3" unitRef="_GBC_69b863ee893e4df9a5e1cc38c34e63d9" addr="T0R4C1S1_1" formatStyle="Comma" appId="_GBC_5b46dcc1f6b14657b59c11801ec8e4a9"/>
        <m:item xlName="_GBC_4d232d1b05524769b1e8298485479111" concept="clcid-pte:AnGuoJiKuaiJiZhunZeTiaoZhengDeJingLiRunHeGuDongQuanYiMingXiJingLiRun" label="按国际会计准则调整的净利润和股东权益明细-净利润" periodRef="上年同期数" mulRef="_GBC_c49fe527432143159bb93abb982605d3" unitRef="_GBC_69b863ee893e4df9a5e1cc38c34e63d9" addr="T0R4C2S1_1" formatStyle="Comma" appId="_GBC_5b46dcc1f6b14657b59c11801ec8e4a9"/>
        <m:item xlName="_GBC_154f4c2a022d4f86b489d2d6eb2f0603" concept="clcid-pte:AnGuoJiKuaiJiZhunZeTiaoZhengDeJingLiRunHeGuDongQuanYiMingXiGuDongQuanYi" label="按国际会计准则调整的净利润和股东权益明细-股东权益" mulRef="_GBC_c49fe527432143159bb93abb982605d3" unitRef="_GBC_69b863ee893e4df9a5e1cc38c34e63d9" addr="T0R4C3S1_1" formatStyle="Comma" appId="_GBC_5b46dcc1f6b14657b59c11801ec8e4a9"/>
        <m:item xlName="_GBC_d95199641ea84d348bb871a4090fd893" concept="clcid-pte:AnGuoJiKuaiJiZhunZeTiaoZhengDeJingLiRunHeGuDongQuanYiMingXiGuDongQuanYi" label="按国际会计准则调整的净利润和股东权益明细-股东权益" periodRef="本期期初数" mulRef="_GBC_c49fe527432143159bb93abb982605d3" unitRef="_GBC_69b863ee893e4df9a5e1cc38c34e63d9" addr="T0R4C4S1_1" formatStyle="Comma" appId="_GBC_5b46dcc1f6b14657b59c11801ec8e4a9"/>
      </m:tuple>
      <m:placeholder xlName="_PLD_ba6cdca7ac7c4cd8a41587f1b9e598fc" addr="T0R6C0S1_1"/>
      <m:item xlName="_GBC_3ba828f9c7ed4d8fa4ec83e9ba838a0a" concept="clcid-pte:AnGuoJiKuaiJiZhunZeTiaoZhengDeJingLiRunHeJi" label="按国际会计准则调整的净利润合计" mulRef="_GBC_c49fe527432143159bb93abb982605d3" unitRef="_GBC_69b863ee893e4df9a5e1cc38c34e63d9" addr="T0R6C1S1_1" formatStyle="Comma" appId="_GBC_5b46dcc1f6b14657b59c11801ec8e4a9"/>
      <m:item xlName="_GBC_29b64037453b4237a991693ff98557ad" concept="clcid-pte:AnGuoJiKuaiJiZhunZeTiaoZhengDeJingLiRunHeJi" label="按国际会计准则调整的净利润合计" periodRef="上年同期数" mulRef="_GBC_c49fe527432143159bb93abb982605d3" unitRef="_GBC_69b863ee893e4df9a5e1cc38c34e63d9" addr="T0R6C2S1_1" formatStyle="Comma" appId="_GBC_5b46dcc1f6b14657b59c11801ec8e4a9"/>
      <m:item xlName="_GBC_c21cb9f5660645f986a886fb7c67baf8" concept="clcid-pte:AnGuoJiKuaiJiZhunZeTiaoZhengDeGuDongQuanYiHeJi" label="按国际会计准则调整的股东权益合计" mulRef="_GBC_c49fe527432143159bb93abb982605d3" unitRef="_GBC_69b863ee893e4df9a5e1cc38c34e63d9" addr="T0R6C3S1_1" formatStyle="Comma" appId="_GBC_5b46dcc1f6b14657b59c11801ec8e4a9"/>
      <m:item xlName="_GBC_63f56145229c42249fb7f589115010ef" concept="clcid-pte:AnGuoJiKuaiJiZhunZeTiaoZhengDeGuDongQuanYiHeJi" label="按国际会计准则调整的股东权益合计" periodRef="本期期初数" mulRef="_GBC_c49fe527432143159bb93abb982605d3" unitRef="_GBC_69b863ee893e4df9a5e1cc38c34e63d9" addr="T0R6C4S1_1" formatStyle="Comma" appId="_GBC_5b46dcc1f6b14657b59c11801ec8e4a9"/>
    </m:section>
    <m:section xlName="_GBC_2f705e4eae72458eb00a3440cec6f7c7" title="同时按照境外会计准则与按中国会计准则披露的差异" rules="R2015_R2_002" convertSummaryRule="NoConvert" helpId="103002001" helpText="注：境内外会计准则下会计数据差异填列合并报表数据。">
      <m:item xlName="_GBC_5c3657028afa4856ae676bad317ac6b1" concept="clcid-ci-ar:ShiFouShiYongTongShiAnZhaoJingWaiKuaiJiZhunZeYuAnZhongGuoKuaiJiZhunZePiLuDeCaiWuBaoGaoZhongJingLiRunHeJingZiChanChaYiQingKuang" label="是否适用：同时按照境外会计准则与按中国会计准则披露的财务报告中净利润和净资产差异情况" selectOptions="_buildInAppliance" controlType="CustomCheckbox" cRanges="{&quot;StartName&quot;:&quot;_GBC_5c3657028afa4856ae676bad317ac6b1&quot;,&quot;EndName&quot;:&quot;_GBC_7d47ce5b6391443a9fa8c072de2a9c33&quot;,&quot;CType&quot;:1,&quot;DisplayText&quot;:null}"/>
      <m:item xlName="_GBC_1b08d1fadf734079b379a0def3776845" concept="clcid-ci-ar:DanWeiTongShiAnZhaoJingWaiKuaiJiZhunZeYuAnZhongGuoKuaiJiZhunZePiLuDeCaiWuBaoGaoZhongJingLiRunHeJingZiChanChaYiQingKuang" label="单位：同时按照境外会计准则与按中国会计准则披露的财务报告中净利润和净资产差异情况" selectOptions="_buildInScales" controlType="Combobox" cellType="Scale" binding="true" appId="_GBC_5c3657028afa4856ae676bad317ac6b1"/>
      <m:item xlName="_GBC_d223b0f8325043ebbb2458910b204a51" concept="clcid-ci-ar:BiZhongTongShiAnZhaoJingWaiKuaiJiZhunZeYuAnZhongGuoKuaiJiZhunZePiLuDeCaiWuBaoGaoZhongJingLiRunHeJingZiChanChaYiQingKuang" label="币种：同时按照境外会计准则与按中国会计准则披露的财务报告中净利润和净资产差异情况" selectOptions="_buildInISO4217" controlType="Combobox" cellType="Measure" binding="true" appId="_GBC_5c3657028afa4856ae676bad317ac6b1"/>
      <m:placeholder xlName="_PLD_b48429a11e634047aaf4cfb31180c8ac" addr="T0R0C1S1_2"/>
      <m:placeholder xlName="_PLD_4893fe8975bf4db5873b6ef125ae5e6b" addr="T0R0C3S1_2"/>
      <m:placeholder xlName="_PLD_a5de4b0f63b34b46966a2f8dbd2aa917" addr="T0R1C1S1_1"/>
      <m:placeholder xlName="_PLD_d4f35502fe054738a92ae5001f338614" addr="T0R1C2S1_1"/>
      <m:placeholder xlName="_PLD_5e62397185474adca295890b22d3692a" addr="T0R1C3S1_1"/>
      <m:placeholder xlName="_PLD_bd597d279a534dac9d58d7aca1049afd" addr="T0R1C4S1_1"/>
      <m:placeholder xlName="_PLD_a84e7dad14d34c40ac6849c4cf2ec0bf" addr="T0R2C0S1_1"/>
      <m:item xlName="_GBC_8c824d07708348a99c48fbe63d7a3c80" concept="clcid-pte:GuiShuYuMuGongSiSuoYouZheDeJingLiRun" label="归属于母公司所有者的净利润" mulRef="_GBC_1b08d1fadf734079b379a0def3776845" unitRef="_GBC_d223b0f8325043ebbb2458910b204a51" addr="T0R2C1S1_1" formatStyle="Comma" cellConvertType="8" appId="_GBC_5c3657028afa4856ae676bad317ac6b1"/>
      <m:item xlName="_GBC_cde29b946a4b4d7ab2353db21ca0e4c1" concept="clcid-pte:GuiShuYuMuGongSiSuoYouZheDeJingLiRun" label="归属于母公司所有者的净利润" periodRef="上年同期数" mulRef="_GBC_1b08d1fadf734079b379a0def3776845" unitRef="_GBC_d223b0f8325043ebbb2458910b204a51" addr="T0R2C2S1_1" formatStyle="Comma" appId="_GBC_5c3657028afa4856ae676bad317ac6b1"/>
      <m:item xlName="_GBC_085269002ef14d5285779bfe2a3ae017" concept="clcid-pte:GuiShuYuMuGongSiSuoYouZheQuanYiHeJi" label="归属于母公司所有者权益合计" mulRef="_GBC_1b08d1fadf734079b379a0def3776845" unitRef="_GBC_d223b0f8325043ebbb2458910b204a51" addr="T0R2C3S1_1" formatStyle="Comma" appId="_GBC_5c3657028afa4856ae676bad317ac6b1"/>
      <m:item xlName="_GBC_4e6832bf2e1445e9be011488ec613956" concept="clcid-pte:GuiShuYuMuGongSiSuoYouZheQuanYiHeJi" label="归属于母公司所有者权益合计" periodRef="本期期初数" mulRef="_GBC_1b08d1fadf734079b379a0def3776845" unitRef="_GBC_d223b0f8325043ebbb2458910b204a51" addr="T0R2C4S1_1" formatStyle="Comma" appId="_GBC_5c3657028afa4856ae676bad317ac6b1"/>
      <m:placeholder xlName="_PLD_90b1a142d1dd449783d093826a907254" addr="T0R3C0S1_5"/>
      <m:tuple xlName="_GBC_a9fc82e89bd74509adabb40065df8b69" concept="clcid-pte:AnJingWaiKuaiJiZhunZeTiaoZhengDeJingLiRunHeGuDongQuanYi" default_row="2" primaryConcept="clcid-pte:GuoNeiWaiKuaiJiZhunZeChaYiTiaoZhengXiangMu" addr="T0R4C">
        <m:item xlName="_GBC_3b80226709124640a8d3ca260e485326" concept="clcid-pte:GuoNeiWaiKuaiJiZhunZeChaYiTiaoZhengXiangMu" label="国内外会计准则差异调整项目" addr="T0R4C0S1_1" appId="_GBC_5c3657028afa4856ae676bad317ac6b1"/>
        <m:item xlName="_GBC_43863937d23149a0895fe7a3ba2fdf82" concept="clcid-pte:AnJingWaiKuaiJiZhunZeTiaoZhengDeJingLiRun" label="按境外会计准则调整的净利润" mulRef="_GBC_1b08d1fadf734079b379a0def3776845" unitRef="_GBC_d223b0f8325043ebbb2458910b204a51" addr="T0R4C1S1_1" formatStyle="Comma" appId="_GBC_5c3657028afa4856ae676bad317ac6b1"/>
        <m:item xlName="_GBC_92b9b96097204efc85df4d3a9b51729b" concept="clcid-pte:AnJingWaiKuaiJiZhunZeTiaoZhengDeJingLiRun" label="按境外会计准则调整的净利润" periodRef="上年同期数" mulRef="_GBC_1b08d1fadf734079b379a0def3776845" unitRef="_GBC_d223b0f8325043ebbb2458910b204a51" addr="T0R4C2S1_1" formatStyle="Comma" appId="_GBC_5c3657028afa4856ae676bad317ac6b1"/>
        <m:item xlName="_GBC_e8d1eed205ba45a4b195f5cd5f6841e6" concept="clcid-pte:AnJingWaiKuaiJiZhunZeTiaoZhengDeGuDongQuanYi" label="按境外会计准则调整的股东权益" mulRef="_GBC_1b08d1fadf734079b379a0def3776845" unitRef="_GBC_d223b0f8325043ebbb2458910b204a51" addr="T0R4C3S1_1" formatStyle="Comma" appId="_GBC_5c3657028afa4856ae676bad317ac6b1"/>
        <m:item xlName="_GBC_cf751edb049e4832aa4fc66e9a9d5c36" concept="clcid-pte:AnJingWaiKuaiJiZhunZeTiaoZhengDeGuDongQuanYi" label="按境外会计准则调整的股东权益" periodRef="本期期初数" mulRef="_GBC_1b08d1fadf734079b379a0def3776845" unitRef="_GBC_d223b0f8325043ebbb2458910b204a51" addr="T0R4C4S1_1" formatStyle="Comma" appId="_GBC_5c3657028afa4856ae676bad317ac6b1"/>
      </m:tuple>
      <m:placeholder xlName="_PLD_127422ad98f14591b62c9511a6fb9023" addr="T0R6C0S1_1"/>
      <m:item xlName="_GBC_f6fc3ecaabc742bc89499ac2ecb8228e" concept="clcid-pte:AnJingWaiKuaiJiZhunZeTiaoZhengDeJingLiRunHeJi" label="按境外会计准则调整的净利润合计" mulRef="_GBC_1b08d1fadf734079b379a0def3776845" unitRef="_GBC_d223b0f8325043ebbb2458910b204a51" addr="T0R6C1S1_1" formatStyle="Comma" appId="_GBC_5c3657028afa4856ae676bad317ac6b1"/>
      <m:item xlName="_GBC_f8f50e8c812d454998f6522da05ba6b1" concept="clcid-pte:AnJingWaiKuaiJiZhunZeTiaoZhengDeJingLiRunHeJi" label="按境外会计准则调整的净利润合计" periodRef="上年同期数" mulRef="_GBC_1b08d1fadf734079b379a0def3776845" unitRef="_GBC_d223b0f8325043ebbb2458910b204a51" addr="T0R6C2S1_1" formatStyle="Comma" appId="_GBC_5c3657028afa4856ae676bad317ac6b1"/>
      <m:item xlName="_GBC_52d7c84c7d6642168916704da4d3078d" concept="clcid-pte:AnJingWaiKuaiJiZhunZeTiaoZhengDeGuDongQuanYiHeJi" label="按境外会计准则调整的股东权益合计" mulRef="_GBC_1b08d1fadf734079b379a0def3776845" unitRef="_GBC_d223b0f8325043ebbb2458910b204a51" addr="T0R6C3S1_1" formatStyle="Comma" appId="_GBC_5c3657028afa4856ae676bad317ac6b1"/>
      <m:item xlName="_GBC_7d47ce5b6391443a9fa8c072de2a9c33" concept="clcid-pte:AnJingWaiKuaiJiZhunZeTiaoZhengDeGuDongQuanYiHeJi" label="按境外会计准则调整的股东权益合计" periodRef="本期期初数" mulRef="_GBC_1b08d1fadf734079b379a0def3776845" unitRef="_GBC_d223b0f8325043ebbb2458910b204a51" addr="T0R6C4S1_1" formatStyle="Comma" appId="_GBC_5c3657028afa4856ae676bad317ac6b1"/>
    </m:section>
    <m:section xlName="_GBC_b29c1fea910b4dfca31323fe84213a44" title="境内外会计准则差异的说明" rules="R2015_R2_002" convertSummaryRule="NoConvert" helpId="103002001">
      <m:item xlName="_GBC_3d955fa1dbd946d48d6214dc2ab5669f" concept="clcid-ci-ar:ShiFouShiYongJingNeiWaiHuiJiZhunZeChaYiDeShuoMing" label="是否适用：境内外会计准则差异的说明" selectOptions="_buildInAppliance" controlType="CustomCheckbox" cRanges="{&quot;StartName&quot;:&quot;_GBC_3d955fa1dbd946d48d6214dc2ab5669f&quot;,&quot;EndName&quot;:&quot;_GBC_4504a362785b41d08475c32028895cba&quot;,&quot;CType&quot;:1,&quot;DisplayText&quot;:null}"/>
      <m:item xlName="_GBC_4504a362785b41d08475c32028895cba" concept="clcid-pte:GuoNeiWaiKuaiJiZhunZeChaYiDeShuoMing" label="国内外会计准则差异的说明" cellConvertType="8" appId="_GBC_3d955fa1dbd946d48d6214dc2ab5669f"/>
    </m:section>
    <m:section xlName="_GBC_cc768cb4b3324e91897639bcc1eabf3a" title="非经常性损益项目和金额" rules="R2015_R2_003" convertSummaryRule="NoConvert" helpId="103003001" helpText="注：1.公司在编报招股说明书、定期报告或发行证券的申报材料时，应对照非经常性损益的定义，综合考虑相关损益同公司正常经营业务的关联程度以及可持续性，结合自身实际情况做出合理判断，并做出充分披露。\n2.公司除应披露非经常性损益项目和金额外，还应当对重大非经常性损益项目的内容增加必要的附注说明。\n3.公司对“其他符合非经常性损益定义的损益项目”以及根据自身正常经营业务的性质和特点将《公开发行证券的公司信息披露解释性公告第1号——非经常性损益（2008）》列举的非经常性损益项目界定为经常性损益的项目，应当在附注中单独做出说明。\n4.公司计算同非经常性损益相关的财务指标时，如涉及少数股东损益和所得税影响的，应当予以扣除。 \n5. 注册会计师为公司招股说明书、定期报告、申请发行证券材料中的财务报告出具审计报告或审核报告时，应对非经常性损益项目、金额和附注说明予以充分关注，并对公司披露的非经常性损益及其说明的真实性、准确性、完整性及合理性进行核实。\n6.各非经常性损益项目按税前金额列示。\n7.非经常性损失以负数列示。">
      <m:item xlName="_GBC_73788dbb480b4eb4a9ce7ed83af2d844" concept="clcid-ci-ar:ShiFouShiYongKouChuFeiJingChangXingSunYiXiangMuHeJinE" label="是否适用：扣除非经常性损益项目和金额" selectOptions="_buildInAppliance" controlType="CustomCheckbox" cRanges="{&quot;StartName&quot;:&quot;_GBC_73788dbb480b4eb4a9ce7ed83af2d844&quot;,&quot;EndName&quot;:&quot;_GBC_edf1a6d8b1b1499cba1936783b9a9eb2&quot;,&quot;CType&quot;:1,&quot;DisplayText&quot;:null}"/>
      <m:item xlName="_GBC_4e9158759d174bf5a404e9d2ad2cb849" concept="clcid-ci-ar:DanWeiKouChuFeiJingChangXingSunYiXiangMuHeJinE" label="单位：扣除非经常性损益项目和金额" selectOptions="_buildInScales" controlType="Combobox" cellType="Scale" appId="_GBC_73788dbb480b4eb4a9ce7ed83af2d844"/>
      <m:item xlName="_GBC_afe0377f3c754b5092310bd32f09f447" concept="clcid-ci-ar:BiZhongKouChuFeiJingChangXingSunYiXiangMuHeJinE" label="币种：扣除非经常性损益项目和金额" selectOptions="_buildInISO4217" controlType="Combobox" cellType="Measure" appId="_GBC_73788dbb480b4eb4a9ce7ed83af2d844"/>
      <m:placeholder xlName="_PLD_46af532b652e45b49bf4f28412917df0" addr="T0R0C0S1_1"/>
      <m:placeholder xlName="_PLD_61b9b734635d488db996440c136563c8" addr="T0R0C1S1_1"/>
      <m:placeholder xlName="_PLD_9e5d4505fc224fa08bc94ae2dc6cd081" addr="T0R0C2S1_1"/>
      <m:placeholder xlName="_PLD_1ec9e925297d478d84779a68eec2bcd9" addr="T0R1C0S1_1"/>
      <m:item xlName="_GBC_88821ccd097941f39575cbe1924d6ffa" concept="clcid-pte:FeiLiuDongXingZiChanChuZhiSunYiBaoKuoYiJiTiZiChanJianZhiZhunBeiDeChongXiaoBuFenFeiJingChangXingSunYiXiangMu" label="非流动性资产处置损益，包括已计提资产减值准备的冲销部分（非经常性损益项目）" mulRef="_GBC_4e9158759d174bf5a404e9d2ad2cb849" unitRef="_GBC_afe0377f3c754b5092310bd32f09f447" addr="T0R1C1S1_1" formatStyle="Comma" appId="_GBC_73788dbb480b4eb4a9ce7ed83af2d844"/>
      <m:item xlName="_GBC_03a88d397472407b9cddc91938012a19" concept="clcid-pte:FeiLiuDongXingZiChanChuZhiSunYiBaoKuoYiJiTiZiChanJianZhiZhunBeiDeChongXiaoBuFenFeiJingChangXingSunYiXiangMuShuoMing" label="非流动性资产处置损益，包括已计提资产减值准备的冲销部分的说明（非经常性损益项目）" addr="T0R1C2S1_1" cellConvertType="3" appId="_GBC_73788dbb480b4eb4a9ce7ed83af2d844"/>
      <m:placeholder xlName="_PLD_69edea550024421a884da164740efd47" addr="T0R2C0S1_1"/>
      <m:item xlName="_GBC_b213faa2f39c4579a88a3c74badd3ac2" concept="clcid-pte:FeiJingChangXingSunYiZhongYueQuanShenPiHuoWuZhengShiPiZhunWenJianDeShuiShouFanHuanJianMian" label="越权审批，或无正式批准文件，或偶发性的税收返还、减免（非经常性损益项目）" mulRef="_GBC_4e9158759d174bf5a404e9d2ad2cb849" unitRef="_GBC_afe0377f3c754b5092310bd32f09f447" addr="T0R2C1S1_1" formatStyle="Comma" appId="_GBC_73788dbb480b4eb4a9ce7ed83af2d844"/>
      <m:item xlName="_GBC_0f4295777fd34af1841d620da05837c2" concept="clcid-pte:FeiJingChangXingSunYiZhongYueQuanShenPiHuoWuZhengShiPiZhunWenJianDeShuiShouFanHuanJianMianShuoMing" label="越权审批，或无正式批准文件，或偶发性的税收返还、减免的说明（非经常性损益项目）" addr="T0R2C2S1_1" cellConvertType="3" appId="_GBC_73788dbb480b4eb4a9ce7ed83af2d844"/>
      <m:placeholder xlName="_PLD_02595b9db1a84694900203cf9656bfe9" addr="T0R3C0S1_1"/>
      <m:item xlName="_GBC_6e41ae6b2113475b96b35e3172f6b4c8" concept="clcid-pte:FeiJingChangXingSunYiZhongGeZhongXingShiDeZhengFuBuTie" label="计入当期损益的政府补助，但与公司正常经营业务密切相关，符合国家政策规定、按照一定标准定额或定量持续享受的政府补助除外（非经常性损益项目）" mulRef="_GBC_4e9158759d174bf5a404e9d2ad2cb849" unitRef="_GBC_afe0377f3c754b5092310bd32f09f447" addr="T0R3C1S1_1" formatStyle="Comma" appId="_GBC_73788dbb480b4eb4a9ce7ed83af2d844"/>
      <m:item xlName="_GBC_249eff4ce6344c2c8cdaf6a59ebbd769" concept="clcid-pte:FeiJingChangXingSunYiZhongGeZhongXingShiDeZhengFuBuTieShuoMing" label="计入当期损益的政府补助，但与公司正常经营业务密切相关，符合国家政策规定、按照一定标准定额或定量持续享受的政府补助除外的说明（非经常性损益项目）" addr="T0R3C2S1_1" cellConvertType="3" appId="_GBC_73788dbb480b4eb4a9ce7ed83af2d844"/>
      <m:placeholder xlName="_PLD_e255b5bb064c4c0694bb65440d7bb1c2" addr="T0R4C0S1_1"/>
      <m:item xlName="_GBC_85722b772dd44f26b3bd0444ed36af69" concept="clcid-pte:JiRuDangQiSunYiDeDuiFeiJinRongQiYeShouQuDeZiJinZhanYongFeiFeiJingChangXingSunYiXiangMu" label="计入当期损益的对非金融企业收取的资金占用费（非经常性损益项目）" mulRef="_GBC_4e9158759d174bf5a404e9d2ad2cb849" unitRef="_GBC_afe0377f3c754b5092310bd32f09f447" addr="T0R4C1S1_1" formatStyle="Comma" appId="_GBC_73788dbb480b4eb4a9ce7ed83af2d844"/>
      <m:item xlName="_GBC_4748603d2a4d4f12b7a13a98d37598e7" concept="clcid-pte:JiRuDangQiSunYiDeDuiFeiJinRongQiYeShouQuDeZiJinZhanYongFeiFeiJingChangXingSunYiXiangMuShuoMing" label="计入当期损益的对非金融企业收取的资金占用费的说明（非经常性损益项目）" addr="T0R4C2S1_1" cellConvertType="3" appId="_GBC_73788dbb480b4eb4a9ce7ed83af2d844"/>
      <m:placeholder xlName="_PLD_09b4af3349af48359dce87b8be6a224a" addr="T0R5C0S1_1"/>
      <m:item xlName="_GBC_7279af5ac31e4c9b81944c270d7b5a1f" concept="clcid-pte:QiYeHeBingDeHeBingChengBenXiaoYuHeBingShiYingXiangYouBeiHeBingDanWeiKeBianRenJingZiChanGongYunJiaZhiChanShengDeSunYi" label="企业取得子公司、联营企业及合营企业的投资成本小于取得投资时应享有被投资单位可辨认净资产公允价值产生的收益（非经常性损益项目）" mulRef="_GBC_4e9158759d174bf5a404e9d2ad2cb849" unitRef="_GBC_afe0377f3c754b5092310bd32f09f447" addr="T0R5C1S1_1" formatStyle="Comma" appId="_GBC_73788dbb480b4eb4a9ce7ed83af2d844"/>
      <m:item xlName="_GBC_d119b9063f0c4a3597e8639f17bfcf72" concept="clcid-pte:QiYeHeBingDeHeBingChengBenXiaoYuHeBingShiYingXiangYouBeiHeBingDanWeiKeBianRenJingZiChanGongYunJiaZhiChanShengDeSunYiShuoMing" label="企业取得子公司、联营企业及合营企业的投资成本小于取得投资时应享有被投资单位可辨认净资产公允价值产生的收益的说明（非经常性损益项目）" addr="T0R5C2S1_1" cellConvertType="3" appId="_GBC_73788dbb480b4eb4a9ce7ed83af2d844"/>
      <m:placeholder xlName="_PLD_428e8a6b0f714a4895facab4d1ebbbd6" addr="T0R6C0S1_1"/>
      <m:item xlName="_GBC_c044bbcf53c849d38b2d48beb1fde5c5" concept="clcid-pte:FeiJingChangXingSunYiZhongZiChanZhiHuanSunYi" label="非货币性资产交换损益（非经常性损益项目）" mulRef="_GBC_4e9158759d174bf5a404e9d2ad2cb849" unitRef="_GBC_afe0377f3c754b5092310bd32f09f447" addr="T0R6C1S1_1" formatStyle="Comma" appId="_GBC_73788dbb480b4eb4a9ce7ed83af2d844"/>
      <m:item xlName="_GBC_9d95227087dd4145bea346744483b458" concept="clcid-pte:FeiJingChangXingSunYiZhongZiChanZhiHuanSunYiShuoMing" label="非货币性资产交换损益的说明（非经常性损益项目）" addr="T0R6C2S1_1" cellConvertType="3" appId="_GBC_73788dbb480b4eb4a9ce7ed83af2d844"/>
      <m:placeholder xlName="_PLD_9cc3804b94354fc1b0925734be3d281a" addr="T0R7C0S1_1"/>
      <m:item xlName="_GBC_444bbe3533064cb581dd069ab20c2fb7" concept="clcid-pte:WeiTuoTaRenTouZiHuoGuanLiZiChanDeSunYiFeiJingChangXingSunYiXiangMu" label="委托他人投资或管理资产的损益（非经常性损益项目）" mulRef="_GBC_4e9158759d174bf5a404e9d2ad2cb849" unitRef="_GBC_afe0377f3c754b5092310bd32f09f447" addr="T0R7C1S1_1" formatStyle="Comma" appId="_GBC_73788dbb480b4eb4a9ce7ed83af2d844"/>
      <m:item xlName="_GBC_866f0dd0bb4b423e926f7f9d4979cd0e" concept="clcid-pte:WeiTuoTaRenTouZiHuoGuanLiZiChanDeSunYiFeiJingChangXingSunYiXiangMuShuoMing" label="委托他人投资或管理资产的损益的说明（非经常性损益项目）" addr="T0R7C2S1_1" cellConvertType="3" appId="_GBC_73788dbb480b4eb4a9ce7ed83af2d844"/>
      <m:placeholder xlName="_PLD_fecca44b524c43b6a0e1f89ecfc4895f" addr="T0R8C0S1_1"/>
      <m:item xlName="_GBC_e140ba923da443428d7566d2018ea932" concept="clcid-pte:FeiJingChangXingSunYiZhongJiTiDeGeXiangZiChanJianZhiZhunBei" label="因不可抗力因素，如遭受自然灾害而计提的各项资产减值准备（非经常性损益项目）" mulRef="_GBC_4e9158759d174bf5a404e9d2ad2cb849" unitRef="_GBC_afe0377f3c754b5092310bd32f09f447" addr="T0R8C1S1_1" formatStyle="Comma" appId="_GBC_73788dbb480b4eb4a9ce7ed83af2d844"/>
      <m:item xlName="_GBC_5a4ada27e0f14f5e8b8791a49b539295" concept="clcid-pte:FeiJingChangXingSunYiZhongJiTiDeGeXiangZiChanJianZhiZhunBeiShuoMing" label="因不可抗力因素，如遭受自然灾害而计提的各项资产减值准备的说明（非经常性损益项目）" addr="T0R8C2S1_1" cellConvertType="3" appId="_GBC_73788dbb480b4eb4a9ce7ed83af2d844"/>
      <m:placeholder xlName="_PLD_c626abd827544a1fb3e7de188e0e31cd" addr="T0R9C0S1_1"/>
      <m:item xlName="_GBC_ff86fbdb028e464e86a0a4dfbfdf764a" concept="clcid-pte:FeiJingChangXingSunYiZhongZhaiWuZhongZuSunYi" label="债务重组损益（非经常性损益项目）" mulRef="_GBC_4e9158759d174bf5a404e9d2ad2cb849" unitRef="_GBC_afe0377f3c754b5092310bd32f09f447" addr="T0R9C1S1_1" formatStyle="Comma" appId="_GBC_73788dbb480b4eb4a9ce7ed83af2d844"/>
      <m:item xlName="_GBC_96b146956b3040f49daeec94b4e34026" concept="clcid-pte:FeiJingChangXingSunYiZhongZhaiWuZhongZuSunYiShuoMing" label="债务重组损益的说明（非经常性损益项目）" addr="T0R9C2S1_1" cellConvertType="3" appId="_GBC_73788dbb480b4eb4a9ce7ed83af2d844"/>
      <m:placeholder xlName="_PLD_ae9b12ee17354afbb6160dc193b1ac86" addr="T0R10C0S1_1"/>
      <m:item xlName="_GBC_697dd1c86cf546278160642c85935420" concept="clcid-pte:QiYeZhongZuFeiYongRuAnZhiZhiGongDeZhiChuZhengHeFeiYongDeng" label="企业重组费用，如安置职工的支出、整合费用等（非经常性损益项目）" mulRef="_GBC_4e9158759d174bf5a404e9d2ad2cb849" unitRef="_GBC_afe0377f3c754b5092310bd32f09f447" addr="T0R10C1S1_1" formatStyle="Comma" appId="_GBC_73788dbb480b4eb4a9ce7ed83af2d844"/>
      <m:item xlName="_GBC_545d2534afb3450eb168f9ba33ba1815" concept="clcid-pte:QiYeZhongZuFeiYongRuAnZhiZhiGongDeZhiChuZhengHeFeiYongDengShuoMing" label="企业重组费用，如安置职工的支出、整合费用等的说明（非经常性损益项目）" addr="T0R10C2S1_1" cellConvertType="3" appId="_GBC_73788dbb480b4eb4a9ce7ed83af2d844"/>
      <m:placeholder xlName="_PLD_d593e972b89d4f63b162bd30012b012a" addr="T0R11C0S1_1"/>
      <m:item xlName="_GBC_1bfc1cd589fc412bae81ea232e980705" concept="clcid-pte:FeiJingChangXingSunYiZhongJiaoYiJiaGeXianShiGongYunDeJiaoYiChanShengDeSunYi" label="交易价格显失公允的交易产生的超过公允价值部分的损益（非经常性损益项目）" mulRef="_GBC_4e9158759d174bf5a404e9d2ad2cb849" unitRef="_GBC_afe0377f3c754b5092310bd32f09f447" addr="T0R11C1S1_1" formatStyle="Comma" appId="_GBC_73788dbb480b4eb4a9ce7ed83af2d844"/>
      <m:item xlName="_GBC_879655eb1de045eeaa1ec843d77d8099" concept="clcid-pte:FeiJingChangXingSunYiZhongJiaoYiJiaGeXianShiGongYunDeJiaoYiChanShengDeSunYiShuoMing" label="交易价格显失公允的交易产生的超过公允价值部分的损益的说明（非经常性损益项目）" addr="T0R11C2S1_1" cellConvertType="3" appId="_GBC_73788dbb480b4eb4a9ce7ed83af2d844"/>
      <m:placeholder xlName="_PLD_d0759855140a42e887b44ac9b84eefb5" addr="T0R12C0S1_1"/>
      <m:item xlName="_GBC_6d647ebdb6654e49ba597cc5b61eef3d" concept="clcid-pte:TongYiKongZhiXiaQiYeHeBingChanShengDeZiGongSiQiChuZhiHeBingRiDeDangQiJingSunYi" label="同一控制下企业合并产生的子公司期初至合并日的当期净损益（非经常性损益项目）" mulRef="_GBC_4e9158759d174bf5a404e9d2ad2cb849" unitRef="_GBC_afe0377f3c754b5092310bd32f09f447" addr="T0R12C1S1_1" formatStyle="Comma" appId="_GBC_73788dbb480b4eb4a9ce7ed83af2d844"/>
      <m:item xlName="_GBC_a08161adfce749e5b8bae2be82854672" concept="clcid-pte:TongYiKongZhiXiaQiYeHeBingChanShengDeZiGongSiQiChuZhiHeBingRiDeDangQiJingSunYiShuoMing" label="同一控制下企业合并产生的子公司期初至合并日的当期净损益的说明（非经常性损益项目）" addr="T0R12C2S1_1" cellConvertType="3" appId="_GBC_73788dbb480b4eb4a9ce7ed83af2d844"/>
      <m:placeholder xlName="_PLD_0eefeb426a104d448899cf6f7c9f4fae" addr="T0R13C0S1_1"/>
      <m:item xlName="_GBC_698ae1d9bd294109b6e981c1fb6ab359" concept="clcid-pte:YuGongSiZhuYingYeWuWuGuanDeYuJiFuZhaiChanShengDeSunYi" label="与公司正常经营业务无关的或有事项产生的损益（非经常性损益项目）" mulRef="_GBC_4e9158759d174bf5a404e9d2ad2cb849" unitRef="_GBC_afe0377f3c754b5092310bd32f09f447" addr="T0R13C1S1_1" formatStyle="Comma" appId="_GBC_73788dbb480b4eb4a9ce7ed83af2d844"/>
      <m:item xlName="_GBC_562dcf4dc64d4a08b82ebd36237ea112" concept="clcid-pte:YuGongSiZhuYingYeWuWuGuanDeYuJiFuZhaiChanShengDeSunYiShuoMing" label="与公司正常经营业务无关的或有事项产生的损益的说明（非经常性损益项目）" addr="T0R13C2S1_1" cellConvertType="3" appId="_GBC_73788dbb480b4eb4a9ce7ed83af2d844"/>
      <m:placeholder xlName="_PLD_9013c99948ab4bafbc5ae7fb21987377" addr="T0R14C0S1_1"/>
      <m:item xlName="_GBC_b38a7514e15e499e918265b4672dd5b0"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非经常性损益项目）" mulRef="_GBC_4e9158759d174bf5a404e9d2ad2cb849" unitRef="_GBC_afe0377f3c754b5092310bd32f09f447" addr="T0R14C1S1_1" formatStyle="Comma" appId="_GBC_73788dbb480b4eb4a9ce7ed83af2d844"/>
      <m:item xlName="_GBC_20f04fd5178c4bcd8d1f2edc23c53c7b"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的说明（非经常性损益项目）" addr="T0R14C2S1_1" appId="_GBC_73788dbb480b4eb4a9ce7ed83af2d844"/>
      <m:placeholder xlName="_PLD_07983e73f75f4d6380526934b80f9026" addr="T0R15C0S1_1"/>
      <m:item xlName="_GBC_9b86d57df29547f18f953b0cc8c1c5e1" concept="clcid-pte:DanDuJinXingJianZhiCeShiDeYingShouKuanXiangHeTongZiChanJianZhiZhunBeiZhuanHuiFeiJingChangXingSunYiXiangMu" label="单独进行减值测试的应收款项、合同资产减值准备转回（非经常性损益项目） " mulRef="_GBC_4e9158759d174bf5a404e9d2ad2cb849" unitRef="_GBC_afe0377f3c754b5092310bd32f09f447" addr="T0R15C1S1_1" formatStyle="Comma" appId="_GBC_73788dbb480b4eb4a9ce7ed83af2d844"/>
      <m:item xlName="_GBC_bad7c98154a64afe8bf80aee3a621494" concept="clcid-pte:DanDuJinXingJianZhiCeShiDeYingShouKuanXiangHeTongZiChanJianZhiZhunBeiZhuanHuiDeShuoMingFeiJingChangXingSunYiXiangMu" label="单独进行减值测试的应收款项、合同资产减值准备转回的说明（非经常性损益项目）" addr="T0R15C2S1_1" binding="true" appId="_GBC_73788dbb480b4eb4a9ce7ed83af2d844"/>
      <m:placeholder xlName="_PLD_299f6d9f507d4cb48114acd837ad8359" addr="T0R16C0S1_1"/>
      <m:item xlName="_GBC_7e74538741214a9eb2fedaa1d2ce74c0" concept="clcid-pte:DuiWaiWeiTuoDaiKuanQuDeDeSunYi" label="对外委托贷款取得的损益（非经常性损益项目）" mulRef="_GBC_4e9158759d174bf5a404e9d2ad2cb849" unitRef="_GBC_afe0377f3c754b5092310bd32f09f447" addr="T0R16C1S1_1" formatStyle="Comma" appId="_GBC_73788dbb480b4eb4a9ce7ed83af2d844"/>
      <m:item xlName="_GBC_4418ea9c69e54870be1e6e6b08b332b5" concept="clcid-pte:DuiWaiWeiTuoDaiKuanQuDeDeSunYiShuoMing" label="对外委托贷款取得的损益的说明（非经常性损益项目）" addr="T0R16C2S1_1" cellConvertType="3" appId="_GBC_73788dbb480b4eb4a9ce7ed83af2d844"/>
      <m:placeholder xlName="_PLD_72cb907064dc458eba67ef7a85130648" addr="T0R17C0S1_1"/>
      <m:item xlName="_GBC_3018e09ee4db4cd5845e952d4a028c7f" concept="clcid-pte:CaiYongGongYunJiaZhiMoShiJinXingHouXuJiLiangDeTouZiXingFangDiChanGongYunJiaZhiBianDongChanShengDeSunYi" label="采用公允价值模式进行后续计量的投资性房地产公允价值变动产生的损益（非经常性损益项目）" mulRef="_GBC_4e9158759d174bf5a404e9d2ad2cb849" unitRef="_GBC_afe0377f3c754b5092310bd32f09f447" addr="T0R17C1S1_1" formatStyle="Comma" appId="_GBC_73788dbb480b4eb4a9ce7ed83af2d844"/>
      <m:item xlName="_GBC_282c7b6d565249bb9e7f718ceca89aeb" concept="clcid-pte:CaiYongGongYunJiaZhiMoShiJinXingHouXuJiLiangDeTouZiXingFangDiChanGongYunJiaZhiBianDongChanShengDeSunYiShuoMing" label="采用公允价值模式进行后续计量的投资性房地产公允价值变动产生的损益的说明（非经常性损益项目）" addr="T0R17C2S1_1" cellConvertType="3" appId="_GBC_73788dbb480b4eb4a9ce7ed83af2d844"/>
      <m:placeholder xlName="_PLD_aa0be028e1d94d7091c2fcdebb5010f4" addr="T0R18C0S1_1"/>
      <m:item xlName="_GBC_6dee0fe80b174238b8e062814d31156d" concept="clcid-pte:GenJuShuiShouKuaiJiDengFaLvFaGuiDeYaoQiuDuiDangQiSunYiJinXingYiCiXingTiaoZhengDuiDangQiSunYiDeYingXiang" label="根据税收、会计等法律、法规的要求对当期损益进行一次性调整对当期损益的影响（非经常性损益项目）" mulRef="_GBC_4e9158759d174bf5a404e9d2ad2cb849" unitRef="_GBC_afe0377f3c754b5092310bd32f09f447" addr="T0R18C1S1_1" formatStyle="Comma" appId="_GBC_73788dbb480b4eb4a9ce7ed83af2d844"/>
      <m:item xlName="_GBC_fcd636d859ad42b2853461c41e61666f" concept="clcid-pte:GenJuShuiShouKuaiJiDengFaLvFaGuiDeYaoQiuDuiDangQiSunYiJinXingYiCiXingTiaoZhengDuiDangQiSunYiDeYingXiangShuoMing" label="根据税收、会计等法律、法规的要求对当期损益进行一次性调整对当期损益的影响的说明（非经常性损益项目）" addr="T0R18C2S1_1" cellConvertType="3" appId="_GBC_73788dbb480b4eb4a9ce7ed83af2d844"/>
      <m:placeholder xlName="_PLD_c52efb594a7b40eeacf6cee54ea027cd" addr="T0R19C0S1_1"/>
      <m:item xlName="_GBC_65dea9b7ce82482d8f12efc6d8ed1e12" concept="clcid-pte:ShouTuoJingYingQuDeDeTuoGuanFeiShouRu" label="受托经营取得的托管费收入（非经常性损益项目）" mulRef="_GBC_4e9158759d174bf5a404e9d2ad2cb849" unitRef="_GBC_afe0377f3c754b5092310bd32f09f447" addr="T0R19C1S1_1" formatStyle="Comma" appId="_GBC_73788dbb480b4eb4a9ce7ed83af2d844"/>
      <m:item xlName="_GBC_a1cd5619597449e4a607fe158e8dbff4" concept="clcid-pte:ShouTuoJingYingQuDeDeTuoGuanFeiShouRuShuoMing" label="受托经营取得的托管费收入的说明（非经常性损益项目）" addr="T0R19C2S1_1" cellConvertType="3" appId="_GBC_73788dbb480b4eb4a9ce7ed83af2d844"/>
      <m:placeholder xlName="_PLD_65d777c46bf342c69b250c467e00507e" addr="T0R20C0S1_1"/>
      <m:item xlName="_GBC_cc1b0a9b75264bbcb78de9ddd6a76a28" concept="clcid-pte:ChuShangShuGeXiangZhiWaiDeQiTaYingYeWaiShouZhiJingE" label="除上述各项之外的其他营业外收入和支出（非经常性损益项目）" mulRef="_GBC_4e9158759d174bf5a404e9d2ad2cb849" unitRef="_GBC_afe0377f3c754b5092310bd32f09f447" addr="T0R20C1S1_1" formatStyle="Comma" appId="_GBC_73788dbb480b4eb4a9ce7ed83af2d844"/>
      <m:item xlName="_GBC_fd193c8a11244c6fb4035c0c2fda6aac" concept="clcid-pte:ChuShangShuGeXiangZhiWaiDeQiTaYingYeWaiShouZhiJingEShuoMing" label="除上述各项之外的其他营业外收入和支出的说明（非经常性损益项目）" addr="T0R20C2S1_1" cellConvertType="3" appId="_GBC_73788dbb480b4eb4a9ce7ed83af2d844"/>
      <m:placeholder xlName="_PLD_0bcc4b6356f34adeb11de3e851d72079" addr="T0R21C0S1_1"/>
      <m:item xlName="_GBC_3ac2127474964d1390647db1bace7057" concept="clcid-pte:QiTaFeiJingChangXingSunYiXiangMu" label="其他符合非经常性损益定义的损益项目（非经常性损益项目）" mulRef="_GBC_4e9158759d174bf5a404e9d2ad2cb849" unitRef="_GBC_afe0377f3c754b5092310bd32f09f447" addr="T0R21C1S1_1" formatStyle="Comma" appId="_GBC_73788dbb480b4eb4a9ce7ed83af2d844"/>
      <m:item xlName="_GBC_e2fbee6f26b6445d8f26ab5f501e125b" concept="clcid-pte:QiTaFeiJingChangXingSunYiXiangMuShuoMing" label="其他符合非经常性损益定义的损益项目说明（非经常性损益项目）" addr="T0R21C2S1_1" cellConvertType="3" appId="_GBC_73788dbb480b4eb4a9ce7ed83af2d844"/>
      <m:tuple xlName="_GBC_c3958f9f8abb422090b4451e6f5d9973" concept="clcid-pte:KouChuFeiJingChangXingSunYi" default_row="2" primaryConcept="clcid-pte:KouChuFeiJingChangXingSunYiXiangMu" addr="T0R22C">
        <m:item xlName="_GBC_2486a4a3c37142b487e3d6743ec0364d" concept="clcid-pte:KouChuFeiJingChangXingSunYiXiangMu" label="扣除的非经常性损益项目" addr="T0R22C0S1_1" appId="_GBC_73788dbb480b4eb4a9ce7ed83af2d844"/>
        <m:item xlName="_GBC_a722d12fc9864cb7918ab7a01aa02bda" concept="clcid-pte:KouChuFeiJingChangXingSunYiXiangMuJinE" label="扣除的非经常性损益项目金额" mulRef="_GBC_4e9158759d174bf5a404e9d2ad2cb849" unitRef="_GBC_afe0377f3c754b5092310bd32f09f447" addr="T0R22C1S1_1" formatStyle="Comma" appId="_GBC_73788dbb480b4eb4a9ce7ed83af2d844"/>
        <m:item xlName="_GBC_34c5094a320846d4a223741c11d086ff" concept="clcid-pte:KouChuFeiJingChangXingSunYiXiangMuShuoMing" label="扣除的非经常性损益明细－项目说明" addr="T0R22C2S1_1" cellConvertType="3" appId="_GBC_73788dbb480b4eb4a9ce7ed83af2d844"/>
      </m:tuple>
      <m:placeholder xlName="_PLD_4e0667d68c0b417b952eb294efd204d7" addr="T0R24C0S1_1"/>
      <m:item xlName="_GBC_9bc8066996cb441aaf92747b2bd12b25" concept="clcid-pte:FeiJingChangXingSunYiXiangMuZhongShaoShuGuDongQuanYiYingXiangE" label="少数股东权益影响额（非经常性损益项目）" mulRef="_GBC_4e9158759d174bf5a404e9d2ad2cb849" unitRef="_GBC_afe0377f3c754b5092310bd32f09f447" addr="T0R24C1S1_1" formatStyle="Comma" appId="_GBC_73788dbb480b4eb4a9ce7ed83af2d844"/>
      <m:item xlName="_GBC_097db8c8e0a84650a51b5bf3a7c6d590" concept="clcid-pte:FeiJingChangXingSunYiXiangMuZhongShaoShuGuDongQuanYiYingXiangEShuoMing" label="少数股东权益影响额的说明（非经常性损益项目）" addr="T0R24C2S1_1" cellConvertType="3" appId="_GBC_73788dbb480b4eb4a9ce7ed83af2d844"/>
      <m:placeholder xlName="_PLD_f67b3fcceba046d6ad67b7ce52c94054" addr="T0R25C0S1_1"/>
      <m:item xlName="_GBC_37fd12b4bcb240c98ae90e9738dc4a85" concept="clcid-pte:FeiJingChangXingSunYiDeKouChuXiangMuDuiSuoDeShuiDeYingXiang" label="非经常性损益_对所得税的影响" mulRef="_GBC_4e9158759d174bf5a404e9d2ad2cb849" unitRef="_GBC_afe0377f3c754b5092310bd32f09f447" addr="T0R25C1S1_1" formatStyle="Comma" appId="_GBC_73788dbb480b4eb4a9ce7ed83af2d844"/>
      <m:item xlName="_GBC_3d2b5ae70b0c4c5e8f5a4c63a727c8c9" concept="clcid-pte:FeiJingChangXingSunYiDeKouChuXiangMuDuiSuoDeShuiDeYingXiangShuoMing" label="所得税影响额的说明（非经常性损益项目）" addr="T0R25C2S1_1" cellConvertType="3" appId="_GBC_73788dbb480b4eb4a9ce7ed83af2d844"/>
      <m:placeholder xlName="_PLD_196ea10929cc45b2a25a10ce3f3fd3ad" addr="T0R26C0S1_1"/>
      <m:item xlName="_GBC_e2cff98a6a8340f9a4fa5cbe44ef0eec" concept="clcid-pte:KouChuDeFeiJingChangXingSunYiHeJi" label="扣除的非经常性损益合计" mulRef="_GBC_4e9158759d174bf5a404e9d2ad2cb849" unitRef="_GBC_afe0377f3c754b5092310bd32f09f447" addr="T0R26C1S1_1" formatStyle="Comma" appId="_GBC_73788dbb480b4eb4a9ce7ed83af2d844">
        <m:complexRule comparator="Eq" title="3.3_扣除的非经常性损益合计" test=" $_GBC_88821ccd097941f39575cbe1924d6ffa +  $_GBC_b213faa2f39c4579a88a3c74badd3ac2 +  $_GBC_6e41ae6b2113475b96b35e3172f6b4c8 +  $_GBC_85722b772dd44f26b3bd0444ed36af69 +  $_GBC_7279af5ac31e4c9b81944c270d7b5a1f +  $_GBC_c044bbcf53c849d38b2d48beb1fde5c5 +  $_GBC_444bbe3533064cb581dd069ab20c2fb7 +  $_GBC_e140ba923da443428d7566d2018ea932 +  $_GBC_ff86fbdb028e464e86a0a4dfbfdf764a +  $_GBC_697dd1c86cf546278160642c85935420 +  $_GBC_1bfc1cd589fc412bae81ea232e980705 +  $_GBC_6d647ebdb6654e49ba597cc5b61eef3d +  $_GBC_698ae1d9bd294109b6e981c1fb6ab359 +  $_GBC_b38a7514e15e499e918265b4672dd5b0 +  $_GBC_9b86d57df29547f18f953b0cc8c1c5e1 +  $_GBC_7e74538741214a9eb2fedaa1d2ce74c0 +  $_GBC_3018e09ee4db4cd5845e952d4a028c7f +  $_GBC_6dee0fe80b174238b8e062814d31156d +  $_GBC_65dea9b7ce82482d8f12efc6d8ed1e12 +  $_GBC_cc1b0a9b75264bbcb78de9ddd6a76a28 +  $_GBC_3ac2127474964d1390647db1bace7057 +  $_GBC_a722d12fc9864cb7918ab7a01aa02bda +  $_GBC_9bc8066996cb441aaf92747b2bd12b25 +  $_GBC_37fd12b4bcb240c98ae90e9738dc4a85" id="Cad041278ee9c4334b765b55cd0f2e2bb"/>
      </m:item>
      <m:item xlName="_GBC_edf1a6d8b1b1499cba1936783b9a9eb2" concept="clcid-pte:KouChuDeFeiJingChangXingSunYiHeJiShuoMing" label="扣除的非经常性损益合计说明" addr="T0R26C2S1_1" cellConvertType="3" appId="_GBC_73788dbb480b4eb4a9ce7ed83af2d844"/>
    </m:section>
    <m:section xlName="_GBC_129e81c113f94ab2b6af974b5d24abc6" title="其他财务和业务数据">
      <m:item xlName="_GBC_5b4104dc5c2c4501bc2420c70be30c2a" concept="clcid-ci-ar:ShiFouShiYongGongSiJianJieHeZhuYaoCaiWuZhiBiaoQiTaShuoMing" label="是否适用：公司简介和主要财务指标其他说明" selectOptions="_buildInAppliance" controlType="CustomCheckbox" cRanges="{&quot;StartName&quot;:&quot;_GBC_5b4104dc5c2c4501bc2420c70be30c2a&quot;,&quot;EndName&quot;:&quot;_GBC_079a076f06c24a76808f7d776c15e3c7&quot;,&quot;CType&quot;:1,&quot;DisplayText&quot;:null}"/>
      <m:item xlName="_GBC_079a076f06c24a76808f7d776c15e3c7" concept="clcid-pte:QiTaCaiWuHeYeWuShuJuZhaiYao" label="其他财务和业务数据摘要 " appId="_GBC_5b4104dc5c2c4501bc2420c70be30c2a"/>
    </m:section>
    <m:section xlName="_SEC_30613ac4c1d74a918acca2b58acc457d" title="报告期内公司所从事的主要业务、经营模式及行业情况说明" rules="R2015_R3_001" helpId="101001009" helpText="公司应当简要介绍报告期内公司所属行业发展情况、主要业务、主要产品及其用途、经营模式、市场地位、主要的业绩驱动因素等发生的主要变化情况。">
      <m:item xlName="_GBC_5c28d6f46eea48f892bed0c5fc99ab60" concept="clcid-mr:BaoGaoQiNeiGongSiSuoCongShiDeZhuYaoYeWuJingYingMoShiJiXingYeQingKuangShuoMing" label="报告期内公司所从事的主要业务、经营模式及行业情况说明">
        <m:simpleRule dataType="Any" comparator="None" minOccurs="1"/>
      </m:item>
    </m:section>
    <m:section xlName="_SEC_95fcc6373f8d4d92bdccbe04323713c4" title="报告期内核心竞争力分析" rules="R2015_R3_001" helpId="112001209" helpText="公司应当披露报告期内核心竞争力（包括核心管理团队、关键技术人员、专有设备、专利、非专利技术、特许经营权、土地使用权、水面养殖权、探矿权、采矿权、独特经营方式和盈利模式、允许他人使用自己所有的资源要素或作为被许可方使用他人资源要素等）的重要变化及对公司所产生的影响。发生因核心管理团队或关键技术人员离职、设备或技术升级换代、特许经营权丧失等导致公司核心竞争力受到严重影响的，公司应当详细分析，并说明拟采取的相应措施。">
      <m:item xlName="_GBC_f5e4beedb06c4dedb1da9c7f429d840e" concept="clcid-ci-ar:ShiFouShiYongBaoGaoQiNeiHeXinJingZhengLiFenXi" label="是否适用：报告期内核心竞争力分析" selectOptions="_buildInAppliance" controlType="CustomCheckbox" cRanges="{&quot;StartName&quot;:&quot;_GBC_f5e4beedb06c4dedb1da9c7f429d840e&quot;,&quot;EndName&quot;:&quot;_GBC_2aded0644185447a9ec788ba0b35ac4f&quot;,&quot;CType&quot;:1,&quot;DisplayText&quot;:null}"/>
      <m:item xlName="_GBC_2aded0644185447a9ec788ba0b35ac4f" concept="clcid-mr:BaoGaoQiNeiHeXinJingZhengLiFenXi" label="报告期内核心竞争力分析" appId="_GBC_f5e4beedb06c4dedb1da9c7f429d840e"/>
    </m:section>
    <m:section xlName="_GBC_ba3734a9f27a452095f3115c17f4b09e" title="经营情况的讨论与分析" convertSummaryRule="NoConvert" helpId="104001002">
      <m:item xlName="_GBC_886258ec69e240da99b57ac102afbda6" concept="clcid-mr:GuanLiCengTaoLunYuFenXi" label="管理层讨论与分析" summaryGuid="_GBC_d345fcc3bb074a82b96454f57cc985a6"/>
    </m:section>
    <m:section xlName="_SEC_5c790aea31ad48bb8832d20c53fcc625" title="报告期内公司经营情况的重大变化，以及报告期内发生的对公司经营..." helpId="110002108">
      <m:item xlName="_GBC_0f91ff55b5a9406ea662149119d7e23c" concept="clcid-ci-ar:ShiFouShiYongBaoGaoQiNeiGongSiJingYingQingKuangDeZhongDaBianHuaYiJiBaoGaoQiNeiFaShengDeDuiGongSiJingYingQingKuangYouZhongDaYingXiangHeYuJiWeiLaiHuiYouZhongDaYingXiangDeShiXiang" label="是否适用：报告期内公司经营情况的重大变化，以及报告期内发生的对公司经营情况有重大影响和预计未来会有重大影响的事项" selectOptions="_buildInAppliance" controlType="CustomCheckbox" cRanges="[{&quot;StartName&quot;:&quot;_GBC_0f91ff55b5a9406ea662149119d7e23c&quot;,&quot;EndName&quot;:&quot;_GBC_e4636f842a02478094c1ca76ec4b5282&quot;,&quot;CType&quot;:1}]"/>
      <m:item xlName="_GBC_e4636f842a02478094c1ca76ec4b5282" concept="clcid-mr:BaoGaoQiNeiGongSiJingYingQingKuangDeZhongDaBianHuaYiJiBaoGaoQiNeiFaShengDeDuiGongSiJingYingQingKuangYouZhongDaYingXiangHeYuJiWeiLaiHuiYouZhongDaYingXiangDeShiXiang" label="报告期内公司经营情况的重大变化，以及报告期内发生的对公司经营情况有重大影响和预计未来会有重大影响的事项" summaryGuid="_GBC_e007c872ba884e68a8ed406fa47d06da" appId="_GBC_0f91ff55b5a9406ea662149119d7e23c"/>
    </m:section>
    <m:section xlName="_GBC_281bf95299804381a41f7dd82e2c19f3" title="财务报表相关科目变动分析表" helpId="108001001" helpText="注1：科目来源合并利润表和合并现金流量表（除研发支出）。上市公司如有科目需要披露，请自行添加。\n注2：结合行业发展、业务经营等情况分析变化的原因。\n如需删除变动原因说明，请通过模块-删除段落进行删除。" editSection="_GBC_d946d01b34d4418f87d2ffa61f8ee353">
      <m:item xlName="_GBC_ece1a77905b94e6db0c76206578fe2db" concept="clcid-ci-ar:DanWeiLiRunBiaoJiXianJinLiuLiangBiaoXiangGuanKeMuBianDongFenXiBiao" label="单位：利润表及现金流量表相关科目变动分析表" selectOptions="_buildInScales" controlType="Combobox" cellType="Scale"/>
      <m:item xlName="_GBC_6c86f79f9e2349b09f37ad908cd43f73" concept="clcid-ci-ar:BiZhongLiRunBiaoJiXianJinLiuLiangBiaoXiangGuanKeMuBianDongFenXiBiao" label="币种：利润表及现金流量表相关科目变动分析表" selectOptions="_buildInISO4217" controlType="Combobox" cellType="Measure"/>
      <m:placeholder xlName="_PLD_2e2e0d1bb8d44a278061305ea6808979" addr="T0R0C0S1_1"/>
      <m:placeholder xlName="_PLD_37391874ab08430b841a55f53c4d20e6" addr="T0R0C1S1_1"/>
      <m:placeholder xlName="_PLD_d061bf6d7e824e93a5540d2e36feb15d" addr="T0R0C2S1_1"/>
      <m:placeholder xlName="_PLD_1792b71106c34c75af22292391c96e49" addr="T0R0C3S1_1"/>
      <m:placeholder xlName="_PLD_c7aabd73356d4df6ad6c67395e690823" addr="T0R1C0S1_1"/>
      <m:item xlName="_GBC_283b61edf59b4dbb9b63f6a06d12c146" concept="clcid-pte:YingYeShouRu" label="营业收入" mulRef="_GBC_ece1a77905b94e6db0c76206578fe2db" unitRef="_GBC_6c86f79f9e2349b09f37ad908cd43f73" addr="T0R1C1S1_1" formatStyle="Comma"/>
      <m:item xlName="_GBC_0e0abb8c6f85409f9d259fa06e0bf68f" concept="clcid-pte:YingYeShouRu" label="营业收入" periodRef="上年同期数" mulRef="_GBC_ece1a77905b94e6db0c76206578fe2db" unitRef="_GBC_6c86f79f9e2349b09f37ad908cd43f73" addr="T0R1C2S1_1" formatStyle="Comma"/>
      <m:item xlName="_GBC_093d8a02de794f0d9d718943636775de" concept="clcid-pte:YingYeShouRuBenQiBiShangQiZengJian" label="营业收入本期比上期增减" addr="T0R1C3S1_1" baseScale="0.01" formatStyle="Comma">
        <m:complexRule comparator="Eq" title="营业收入本期比上期增减" test=" (  $_GBC_283b61edf59b4dbb9b63f6a06d12c146 -  $_GBC_0e0abb8c6f85409f9d259fa06e0bf68f )  / abs (  $_GBC_0e0abb8c6f85409f9d259fa06e0bf68f ) " id="C335ee86123ba4b10ba27599f0a152545" denoGt0="true"/>
      </m:item>
      <m:placeholder xlName="_PLD_143930b444784190b0545eacad3472d8" addr="T0R2C0S1_1"/>
      <m:item xlName="_GBC_f54a70a804014d4abd28005001a963eb" concept="clcid-pte:YingYeChengBen" label="营业成本" mulRef="_GBC_ece1a77905b94e6db0c76206578fe2db" unitRef="_GBC_6c86f79f9e2349b09f37ad908cd43f73" addr="T0R2C1S1_1" formatStyle="Comma"/>
      <m:item xlName="_GBC_2c92b9cfbd8d40c4915f5be6161ee93e" concept="clcid-pte:YingYeChengBen" label="营业成本" periodRef="上年同期数" mulRef="_GBC_ece1a77905b94e6db0c76206578fe2db" unitRef="_GBC_6c86f79f9e2349b09f37ad908cd43f73" addr="T0R2C2S1_1" formatStyle="Comma"/>
      <m:item xlName="_GBC_263a2ed169e547d4ba0d6bc2bea8d4d9" concept="clcid-pte:YingYeChengBenBenQiBiShangQiZengJian" label="营业成本本期比上期增减" addr="T0R2C3S1_1" baseScale="0.01" formatStyle="Comma">
        <m:complexRule comparator="Eq" title="营业成本本期比上期增减" test=" (  $_GBC_f54a70a804014d4abd28005001a963eb -  $_GBC_2c92b9cfbd8d40c4915f5be6161ee93e )  / abs (  $_GBC_2c92b9cfbd8d40c4915f5be6161ee93e ) " id="Cdb612719f21948029e89bb9c875f3405" denoGt0="true"/>
      </m:item>
      <m:placeholder xlName="_PLD_3140de3631dd486996919c00b7b71b20" addr="T0R3C0S1_1"/>
      <m:item xlName="_GBC_c6823e89e06348839959d57edf210be4" concept="clcid-pte:XiaoShouFeiYong" label="销售费用" mulRef="_GBC_ece1a77905b94e6db0c76206578fe2db" unitRef="_GBC_6c86f79f9e2349b09f37ad908cd43f73" addr="T0R3C1S1_1" formatStyle="Comma"/>
      <m:item xlName="_GBC_2318ec79af8e475fbbdf13fa642a04e5" concept="clcid-pte:XiaoShouFeiYong" label="销售费用" periodRef="上年同期数" mulRef="_GBC_ece1a77905b94e6db0c76206578fe2db" unitRef="_GBC_6c86f79f9e2349b09f37ad908cd43f73" addr="T0R3C2S1_1" formatStyle="Comma"/>
      <m:item xlName="_GBC_cf5dfa2e5d5b4d4b89f011c5aeb118b0" concept="clcid-pte:XiaoShouFeiYongBenQiBiShangQiZengJian" label="销售费用本期比上期增减" addr="T0R3C3S1_1" baseScale="0.01" formatStyle="Comma">
        <m:complexRule comparator="Eq" title="销售费用本期比上期增减" test=" (  $_GBC_c6823e89e06348839959d57edf210be4 -  $_GBC_2318ec79af8e475fbbdf13fa642a04e5 )  / abs (  $_GBC_2318ec79af8e475fbbdf13fa642a04e5 ) " id="Cc6745b9f82bb47d5927462559224fb44" denoGt0="true"/>
      </m:item>
      <m:placeholder xlName="_PLD_6448b6c19be4461084a37286c6a46673" addr="T0R4C0S1_1"/>
      <m:item xlName="_GBC_00089b2a95df421f93517681aec1cee3" concept="clcid-pte:GuanLiFeiYong" label="管理费用" mulRef="_GBC_ece1a77905b94e6db0c76206578fe2db" unitRef="_GBC_6c86f79f9e2349b09f37ad908cd43f73" addr="T0R4C1S1_1" formatStyle="Comma"/>
      <m:item xlName="_GBC_0156f37ce44c44c18405916264b3e9e7" concept="clcid-pte:GuanLiFeiYong" label="管理费用" periodRef="上年同期数" mulRef="_GBC_ece1a77905b94e6db0c76206578fe2db" unitRef="_GBC_6c86f79f9e2349b09f37ad908cd43f73" addr="T0R4C2S1_1" formatStyle="Comma"/>
      <m:item xlName="_GBC_057d96f62ed246e69a846591ef421106" concept="clcid-pte:GuanLiFeiYongBenQiBiShangQiZengJian" label="管理费用本期比上期增减" addr="T0R4C3S1_1" baseScale="0.01" formatStyle="Comma">
        <m:complexRule comparator="Eq" title="管理费用本期比上期增减" test=" (  $_GBC_00089b2a95df421f93517681aec1cee3 -  $_GBC_0156f37ce44c44c18405916264b3e9e7 )  / abs (  $_GBC_0156f37ce44c44c18405916264b3e9e7 ) " id="Cb997020797b443fb89768155d2c9142a" denoGt0="true"/>
      </m:item>
      <m:placeholder xlName="_PLD_d989f363470245b8a8044d51af95f876" addr="T0R5C0S1_1"/>
      <m:item xlName="_GBC_4af543a2a63c4b0a875e17456442465d" concept="clcid-pte:CaiWuFeiYong" label="财务费用" mulRef="_GBC_ece1a77905b94e6db0c76206578fe2db" unitRef="_GBC_6c86f79f9e2349b09f37ad908cd43f73" addr="T0R5C1S1_1" formatStyle="Comma"/>
      <m:item xlName="_GBC_74c1e61030ce4f06aa939fdca298084c" concept="clcid-pte:CaiWuFeiYong" label="财务费用" periodRef="上年同期数" mulRef="_GBC_ece1a77905b94e6db0c76206578fe2db" unitRef="_GBC_6c86f79f9e2349b09f37ad908cd43f73" addr="T0R5C2S1_1" formatStyle="Comma"/>
      <m:item xlName="_GBC_d23ec654384d4f8f8421df66b462f2c0" concept="clcid-pte:CaiWuFeiYongBenQiBiShangQiZengJian" label="财务费用本期比上期增减" addr="T0R5C3S1_1" baseScale="0.01" formatStyle="Comma">
        <m:complexRule comparator="Eq" title="财务费用本期比上期增减" test=" (  $_GBC_4af543a2a63c4b0a875e17456442465d -  $_GBC_74c1e61030ce4f06aa939fdca298084c )  / abs (  $_GBC_74c1e61030ce4f06aa939fdca298084c ) " id="C6c0aa9d6a3104d7d8c0be296ee0259b7" denoGt0="true"/>
      </m:item>
      <m:placeholder xlName="_PLD_79aac573eb414fcbb6f291d963446057" addr="T0R6C0S1_1"/>
      <m:item xlName="_GBC_3127a5dab9e14d4091521f41345ce248" concept="clcid-pte:YanFaFeiYong" label="研发费用" mulRef="_GBC_ece1a77905b94e6db0c76206578fe2db" unitRef="_GBC_6c86f79f9e2349b09f37ad908cd43f73" addr="T0R6C1S1_1" formatStyle="Comma"/>
      <m:item xlName="_GBC_4584b85f5b0149c6b61cd6249ae8472b" concept="clcid-pte:YanFaFeiYong" label="研发费用" periodRef="上年同期数" mulRef="_GBC_ece1a77905b94e6db0c76206578fe2db" unitRef="_GBC_6c86f79f9e2349b09f37ad908cd43f73" addr="T0R6C2S1_1" formatStyle="Comma"/>
      <m:item xlName="_GBC_86673c67647148c190bfad96efd57800" concept="clcid-pte:YanFaFeiYongBenQiBiShangQiZengJian" label="研发费用本期比上期增减" addr="T0R6C3S1_1" baseScale="0.01" formatStyle="Comma">
        <m:complexRule comparator="Eq" title="研发支出本期比上期增减" test=" (  $_GBC_3127a5dab9e14d4091521f41345ce248 -  $_GBC_4584b85f5b0149c6b61cd6249ae8472b )  / abs (  $_GBC_4584b85f5b0149c6b61cd6249ae8472b ) " id="Cb732b7f594204327a63d45f4f5fa578e" denoGt0="true"/>
      </m:item>
      <m:placeholder xlName="_PLD_3e652539acb44f708b4f7202c302af4f" addr="T0R7C0S1_1"/>
      <m:item xlName="_GBC_314f2eca333f4bdfa9035ba05dcb0d16" concept="clcid-pte:JingYingHuoDongXianJinLiuLiangJingE" label="经营活动现金流量净额" mulRef="_GBC_ece1a77905b94e6db0c76206578fe2db" unitRef="_GBC_6c86f79f9e2349b09f37ad908cd43f73" addr="T0R7C1S1_1" formatStyle="Comma"/>
      <m:item xlName="_GBC_f7f2a915dbbc4320b70bb6d50fb898f1" concept="clcid-pte:JingYingHuoDongXianJinLiuLiangJingE" label="经营活动现金流量净额" periodRef="上年同期数" mulRef="_GBC_ece1a77905b94e6db0c76206578fe2db" unitRef="_GBC_6c86f79f9e2349b09f37ad908cd43f73" addr="T0R7C2S1_1" formatStyle="Comma"/>
      <m:item xlName="_GBC_cf159a552b5f4623b944d2393dec119c" concept="clcid-pte:JingYingHuoDongXianJinLiuLiangJingEBenQiBiShangQiZengJian" label="经营活动现金流量净额本期比上期增减" addr="T0R7C3S1_1" baseScale="0.01" formatStyle="Comma">
        <m:complexRule comparator="Eq" title="经营活动现金流量净额本期比上期增减" test=" (  $_GBC_314f2eca333f4bdfa9035ba05dcb0d16 -  $_GBC_f7f2a915dbbc4320b70bb6d50fb898f1 )  / abs (  $_GBC_f7f2a915dbbc4320b70bb6d50fb898f1 ) " id="Cfaaee81af6b746269f660bef46e5498d" denoGt0="true"/>
      </m:item>
      <m:placeholder xlName="_PLD_93331660aee640afb46a84edc7e2d2a4" addr="T0R8C0S1_1"/>
      <m:item xlName="_GBC_889c087d1e4a4e748af568203d735338" concept="clcid-pte:TouZiHuoDongChanShengDeXianJinLiuLiangJingE" label="投资活动产生的现金流量净额" mulRef="_GBC_ece1a77905b94e6db0c76206578fe2db" unitRef="_GBC_6c86f79f9e2349b09f37ad908cd43f73" addr="T0R8C1S1_1" formatStyle="Comma"/>
      <m:item xlName="_GBC_486dc36f18cb420ea295042488537484" concept="clcid-pte:TouZiHuoDongChanShengDeXianJinLiuLiangJingE" label="投资活动产生的现金流量净额" periodRef="上年同期数" mulRef="_GBC_ece1a77905b94e6db0c76206578fe2db" unitRef="_GBC_6c86f79f9e2349b09f37ad908cd43f73" addr="T0R8C2S1_1" formatStyle="Comma"/>
      <m:item xlName="_GBC_56d5b355d724434dbb3684e49a6a889d" concept="clcid-pte:TouZiHuoDongChanShengDeXianJinLiuLiangJingEBenQiBiShangQiZengJian" label="投资活动产生的现金流量净额本期比上期增减" addr="T0R8C3S1_1" baseScale="0.01" formatStyle="Comma">
        <m:complexRule comparator="Eq" title="投资活动产生的现金流量净额本期比上期增减" test=" (  $_GBC_889c087d1e4a4e748af568203d735338 -  $_GBC_486dc36f18cb420ea295042488537484 )  / abs (  $_GBC_486dc36f18cb420ea295042488537484 ) " id="C00ae245bb1fa4fd2855bd441f1b569c9" denoGt0="true"/>
      </m:item>
      <m:placeholder xlName="_PLD_8e32eafcb28041f58b5df53597b43172" addr="T0R9C0S1_1"/>
      <m:item xlName="_GBC_c2196bea72b9429396522dcaa0ee65ab" concept="clcid-pte:ChouZiHuoDongChanShengDeXianJinLiuLiangJingE" label="筹资活动产生的现金流量净额" mulRef="_GBC_ece1a77905b94e6db0c76206578fe2db" unitRef="_GBC_6c86f79f9e2349b09f37ad908cd43f73" addr="T0R9C1S1_1" formatStyle="Comma"/>
      <m:item xlName="_GBC_c13dcd3681454a1faa3144af4aafe590" concept="clcid-pte:ChouZiHuoDongChanShengDeXianJinLiuLiangJingE" label="筹资活动产生的现金流量净额" periodRef="上年同期数" mulRef="_GBC_ece1a77905b94e6db0c76206578fe2db" unitRef="_GBC_6c86f79f9e2349b09f37ad908cd43f73" addr="T0R9C2S1_1" formatStyle="Comma"/>
      <m:item xlName="_GBC_df074cc4ab0f4b61a28f33bbb86160c5" concept="clcid-pte:ChouZiHuoDongChanShengDeXianJinLiuLiangJingEBenQiBiShangQiZengJian" label="筹资活动产生的现金流量净额本期比上期增减" addr="T0R9C3S1_1" baseScale="0.01" formatStyle="Comma">
        <m:complexRule comparator="Eq" title="筹资活动产生的现金流量净额本期比上期增减" test=" (  $_GBC_c2196bea72b9429396522dcaa0ee65ab -  $_GBC_c13dcd3681454a1faa3144af4aafe590 )  / abs (  $_GBC_c13dcd3681454a1faa3144af4aafe590 ) " id="C2909e34cc9dc4b97a79e3144c897f129" denoGt0="true"/>
      </m:item>
      <m:tuple xlName="_GBC_9dad03000e404d87a1422bfe9c7debe2" concept="clcid-pte:LiRunBiaoJiXianJinLiuLiangBiaoXiangGuanKeMuBianDongFenXi" default_row="2" primaryConcept="clcid-pte:LiRunBiaoJiXianJinLiuLiangBiaoXiangGuanKeMuBianDongFenXiKeMuMingCheng" addr="T0R10C">
        <m:item xlName="_GBC_3934d8e5ff7745789b083fcb0be6e26b" concept="clcid-pte:LiRunBiaoJiXianJinLiuLiangBiaoXiangGuanKeMuBianDongFenXiKeMuMingCheng" label="利润表及现金流量表相关科目变动分析-科目名称" addr="T0R10C0S1_1" cellConvertType="1"/>
        <m:item xlName="_GBC_b9a7be035895422dbe3da1dbb65354a1" concept="clcid-pte:LiRunBiaoJiXianJinLiuLiangBiaoXiangGuanKeMuBianDongFenXiKeMuZhi" label="利润表及现金流量表相关科目变动分析-科目值" mulRef="_GBC_ece1a77905b94e6db0c76206578fe2db" unitRef="_GBC_6c86f79f9e2349b09f37ad908cd43f73" addr="T0R10C1S1_1" formatStyle="Comma"/>
        <m:item xlName="_GBC_93fab54661fd4017b0abd8f660665324" concept="clcid-pte:LiRunBiaoJiXianJinLiuLiangBiaoXiangGuanKeMuBianDongFenXiKeMuZhi" label="利润表及现金流量表相关科目变动分析-科目值" periodRef="上年同期数" mulRef="_GBC_ece1a77905b94e6db0c76206578fe2db" unitRef="_GBC_6c86f79f9e2349b09f37ad908cd43f73" addr="T0R10C2S1_1" formatStyle="Comma"/>
        <m:item xlName="_GBC_905f7606959d41bc80ce145eb9ae7e53" concept="clcid-pte:LiRunBiaoJiXianJinLiuLiangBiaoXiangGuanKeMuBianDongFenXiBenQiBiShangQiZengJian" label="利润表及现金流量表相关科目变动分析-本期比上期增减" addr="T0R10C3S1_1" baseScale="0.01" formatStyle="Comma">
          <m:complexRule comparator="Eq" title="利润表及现金流量表相关科目变动分析-本期比上期增减" test=" (  $_GBC_b9a7be035895422dbe3da1dbb65354a1 -  $_GBC_93fab54661fd4017b0abd8f660665324 )  / abs (  $_GBC_93fab54661fd4017b0abd8f660665324 ) " id="C6965c122db75422e8b56584dd56e4ffa" denoGt0="true"/>
        </m:item>
      </m:tuple>
      <m:item xlName="_GBC_f42c61e6c2ef46fe886ea6ecdd4ea15b" concept="clcid-pte:YingYeShouRuBianDongYuanYinShuoMing" label="营业收入变动原因说明" cellConvertType="1"/>
      <m:item xlName="_GBC_4ab47071f9844da58abe164f6bd272aa" concept="clcid-pte:YingYeChengBenBianDongYuanYinShuoMing" label="营业成本变动原因说明" cellConvertType="1"/>
      <m:item xlName="_GBC_d8f3d3236009445ca57b171f1c954fae" concept="clcid-pte:XiaoShouFeiYongBianDongYuanYinShuoMing" label="销售费用变动原因说明" cellConvertType="1"/>
      <m:item xlName="_GBC_13103bbe23ee4770b17eecdee03d38a1" concept="clcid-pte:GuanLiFeiYongBianDongYuanYinShuoMing" label="管理费用变动原因说明" cellConvertType="1"/>
      <m:item xlName="_GBC_2876360f1d844724b6ba84d6b9756580" concept="clcid-pte:CaiWuFeiYongBianDongYuanYinShuoMing" label="财务费用变动原因说明" cellConvertType="1"/>
      <m:item xlName="_GBC_b0b71742eb3f4715afa18751ce433454" concept="clcid-pte:YanFaFeiYongBianDongYuanYinShuoMing" label="研发费用变动原因说明"/>
      <m:item xlName="_GBC_309323bb8b0046e9bb6afe0231994d50" concept="clcid-pte:JingYingHuoDongChanShengDeXianJinLiuLiangJingEBianDongYuanYinShuoMing" label="经营活动产生的现金流量净额变动原因说明" cellConvertType="1"/>
      <m:item xlName="_GBC_981bcb9573814b8080b52fae435fb1b0" concept="clcid-pte:TouZiHuoDongChanShengDeXianJinLiuLiangJingEBianDongYuanYinShuoMing" label="投资活动产生的现金流量净额变动原因说明" cellConvertType="1"/>
      <m:item xlName="_GBC_900a9d8acfac4ec18a35c4034161c13e" concept="clcid-pte:ChouZiHuoDongChanShengDeXianJinLiuLiangJingEBianDongYuanYinShuoMing" label="筹资活动产生的现金流量净额变动原因说明" cellConvertType="1"/>
      <m:tuple xlName="_GBC_94f5ff32e4ce4847911acff5a0adb36c" concept="clcid-pte:LiRunBiaoJiXianJinLiuLiangBiaoXiangGuanKeMuBianDongFenXi" default_row="3" usage="3" primaryConcept="clcid-pte:LiRunBiaoJiXianJinLiuLiangBiaoXiangGuanKeMuBianDongFenXiKeMuMingCheng">
        <m:item xlName="_GBC_764a55650aaf4240a584071ddd35a587" concept="clcid-pte:LiRunBiaoJiXianJinLiuLiangBiaoXiangGuanKeMuBianDongFenXiKeMuMingCheng" label="利润表及现金流量表相关科目变动分析-科目名称" cellConvertType="1" emptyDecision="false"/>
        <m:item xlName="_GBC_1f225b75164341838c2f2de40a1ee736" concept="clcid-pte:LiRunBiaoJiXianJinLiuLiangBiaoXiangGuanKeMuBianDongFenXiBianDongYuanYinShuoMing" label="利润表及现金流量表相关科目变动分析-变动原因说明" cellConvertType="1"/>
      </m:tuple>
    </m:section>
    <m:section xlName="_GBC_2346c2f60a0d447bb4e68d1cdeb1ae6e" title="公司利润构成或利润来源发生重大变动的详细说明" convertSummaryRule="NoConvert" helpId="108001001">
      <m:item xlName="_GBC_cf62b49cb7b54052a77aa6c4ec7218c8" concept="clcid-ci-ar:ShiFouShiYongGongSiLiRunGouChengHuoLiRunLaiYuanFaShengZhongDaBianDongDeXiangXiShuoMing" label="是否适用：公司利润构成或利润来源发生重大变动的详细说明" selectOptions="_buildInAppliance" controlType="CustomCheckbox" cRanges="{&quot;StartName&quot;:&quot;_GBC_cf62b49cb7b54052a77aa6c4ec7218c8&quot;,&quot;EndName&quot;:&quot;_GBC_41b59ccce05a44b68f8d6cbcf3c41007&quot;,&quot;CType&quot;:1,&quot;DisplayText&quot;:null}"/>
      <m:item xlName="_GBC_41b59ccce05a44b68f8d6cbcf3c41007" concept="clcid-pte:ZhuYingYeWuGouChengQingKuangDeShuoMing" label="主营业务构成情况的说明" appId="_GBC_cf62b49cb7b54052a77aa6c4ec7218c8"/>
    </m:section>
    <m:section xlName="_SEC_8eca3e31ebef41f0bccb8c1e5fae0579" title="非主营业务导致利润重大变化的说明" helpId="108005007">
      <m:item xlName="_GBC_45f0580c6f114551af0270412b25ccd0" concept="clcid-ci-ar:ShiFouShiYongFeiZhuYingYeWuLaiYuanFenXi" label="是否适用：非主营业务来源分析" selectOptions="_buildInAppliance" controlType="CustomCheckbox" cRanges="{&quot;StartName&quot;:&quot;_GBC_45f0580c6f114551af0270412b25ccd0&quot;,&quot;EndName&quot;:&quot;_GBC_7dd535a8775b496390613215adb5a07f&quot;,&quot;CType&quot;:1,&quot;DisplayText&quot;:null}"/>
      <m:item xlName="_GBC_7dd535a8775b496390613215adb5a07f" concept="clcid-mr:FeiZhuYingYeWuLaiYuanFenXi" label="非主营业务来源分析" appId="_GBC_45f0580c6f114551af0270412b25ccd0"/>
    </m:section>
    <m:item xlName="_GBC_7e768f46f428417e8696bff3cfaf9902" concept="clcid-ci-ar:ShiFouShiYongZiChanFuZhaiQingKuangFenXi" label="是否适用：资产、负债情况分析" selectOptions="_buildInAppliance" controlType="CustomCheckbox" cRanges="{&quot;StartName&quot;:&quot;_GBC_7e768f46f428417e8696bff3cfaf9902&quot;,&quot;EndName&quot;:&quot;_SEC_a3069c29080242b4a4de48db80a4164e&quot;,&quot;CType&quot;:1,&quot;DisplayText&quot;:null}"/>
    <m:section xlName="_SEC_6223798588db4238825d68a423f52705" title="资产负债情况分析表" helpId="108005004">
      <m:item xlName="_GBC_21de4e2184d94baf8e19137a1d0d5b74" concept="clcid-ci-ar:DanWeiZiChanFuZhaiZhuangKuangFenXi" label="单位：资产负债状况分析" selectOptions="_buildInScales" controlType="Combobox" cellType="Scale" appId="_GBC_7e768f46f428417e8696bff3cfaf9902"/>
      <m:placeholder xlName="_PLD_d0f356a255cd4ad2a1d809f43b17afe4" addr="T0R0C0S1_1"/>
      <m:placeholder xlName="_PLD_908740cf286747d79d5abbe407fef2b5" addr="T0R0C1S1_1"/>
      <m:placeholder xlName="_PLD_329bbbc9fa484c0990e705c4343b8bd2" addr="T0R0C2S1_1"/>
      <m:placeholder xlName="_PLD_56ec8d815a204f39816e77d18cf2ac7e" addr="T0R0C3S1_1"/>
      <m:placeholder xlName="_PLD_4bc2806364aa476db7b5ac96d585ad18" addr="T0R0C4S1_1"/>
      <m:placeholder xlName="_PLD_4cfcbfaae8d94f2d87cb33b122df7a82" addr="T0R0C5S1_1"/>
      <m:placeholder xlName="_PLD_2acc4b359fa846d5bfb9939daf2ce46b" addr="T0R0C6S1_1"/>
      <m:placeholder xlName="_PLD_bd805733abd642d4a46b9e17e286e064" addr="T0R1C0S1_1"/>
      <m:item xlName="_GBC_02c52ac1bce64fa88febb01b46c2a654" concept="clcid-pte:HuoBiZiJin" label="货币资金" mulRef="_GBC_21de4e2184d94baf8e19137a1d0d5b74" addr="T0R1C1S1_1" formatStyle="Comma" appId="_GBC_7e768f46f428417e8696bff3cfaf9902"/>
      <m:item xlName="_GBC_fc565572e43548069d869b72f868296c" concept="clcid-mr:HuoBiZiJinZhanZongZiChanDeBiLi" label="货币资金占总资产的比例" addr="T0R1C2S1_1" baseScale="0.01" formatStyle="Comma" appId="_GBC_7e768f46f428417e8696bff3cfaf9902"/>
      <m:item xlName="_GBC_b8059e03156947bfb989b1fd24adf308" concept="clcid-pte:HuoBiZiJin" label="货币资金" periodRef="上年度期末数" mulRef="_GBC_21de4e2184d94baf8e19137a1d0d5b74" addr="T0R1C3S1_1" formatStyle="Comma" appId="_GBC_7e768f46f428417e8696bff3cfaf9902"/>
      <m:item xlName="_GBC_695b7c82a1924d7fbd8e2da59d64eb38" concept="clcid-mr:HuoBiZiJinZhanZongZiChanDeBiLi" label="货币资金占总资产的比例" periodRef="上年度期末数" addr="T0R1C4S1_1" baseScale="0.01" formatStyle="Comma" appId="_GBC_7e768f46f428417e8696bff3cfaf9902"/>
      <m:item xlName="_GBC_fe599d45a02149cea5e2e2757d11cb1a" concept="clcid-mr:HuoBiZiJinJiaoShangNianQiMoBianDongBiLi" label="货币资金较上年期末变动比例" addr="T0R1C5S1_1" baseScale="0.01" formatStyle="Comma" appId="_GBC_7e768f46f428417e8696bff3cfaf9902"/>
      <m:item xlName="_GBC_5456dc1e3bb248b2adde9d8376c0c1b9" concept="clcid-mr:HuoBiZiJinQingKuangShuoMing" label="货币资金情况说明" addr="T0R1C6S1_1" appId="_GBC_7e768f46f428417e8696bff3cfaf9902"/>
      <m:placeholder xlName="_PLD_83016d0ae87e402badd4e75ead61255b" addr="T0R2C0S1_1"/>
      <m:item xlName="_GBC_bf7e887d2eec44f4815dc3e9fab4aab0" concept="clcid-sce:YingShouKuanXiang" label="应收款项" mulRef="_GBC_21de4e2184d94baf8e19137a1d0d5b74" addr="T0R2C1S1_1" formatStyle="Comma" appId="_GBC_7e768f46f428417e8696bff3cfaf9902"/>
      <m:item xlName="_GBC_8dac04f926ca498c8abf591225c56b64" concept="clcid-mr:YingShouKuanXiangZhanZongZiChanDeBiLi" label="应收款项占总资产的比例" addr="T0R2C2S1_1" baseScale="0.01" formatStyle="Comma" appId="_GBC_7e768f46f428417e8696bff3cfaf9902"/>
      <m:item xlName="_GBC_25d4779ae4b94f5cacb0eff651c97847" concept="clcid-sce:YingShouKuanXiang" label="应收款项" periodRef="上年度期末数" mulRef="_GBC_21de4e2184d94baf8e19137a1d0d5b74" addr="T0R2C3S1_1" formatStyle="Comma" appId="_GBC_7e768f46f428417e8696bff3cfaf9902"/>
      <m:item xlName="_GBC_7ecc462aa1404cac995e2798a1bb5283" concept="clcid-mr:YingShouKuanXiangZhanZongZiChanDeBiLi" label="应收款项占总资产的比例" periodRef="上年度期末数" addr="T0R2C4S1_1" baseScale="0.01" formatStyle="Comma" appId="_GBC_7e768f46f428417e8696bff3cfaf9902"/>
      <m:item xlName="_GBC_f05f0a123a1147feadf3519392e00f00" concept="clcid-mr:YingShouKuanXiangJiaoShangNianQiMoBianDongBiLi" label="应收款项较上年期末变动比例" addr="T0R2C5S1_1" baseScale="0.01" formatStyle="Comma" appId="_GBC_7e768f46f428417e8696bff3cfaf9902"/>
      <m:item xlName="_GBC_b39964cfcbb6415a984944320660e335" concept="clcid-mr:YingShouKuanXiangQingKuangShuoMing" label="应收款项情况说明" addr="T0R2C6S1_1" appId="_GBC_7e768f46f428417e8696bff3cfaf9902"/>
      <m:placeholder xlName="_PLD_f58ed2d3d971460783470a9da569cb76" addr="T0R3C0S1_1"/>
      <m:item xlName="_GBC_fd7f7a3890a74db69a12224b64c92cb6" concept="clcid-pte:CunHuo" label="存货" mulRef="_GBC_21de4e2184d94baf8e19137a1d0d5b74" addr="T0R3C1S1_1" formatStyle="Comma" appId="_GBC_7e768f46f428417e8696bff3cfaf9902"/>
      <m:item xlName="_GBC_4d08e6363aa84fa7a7fbcb689ddc7b0f" concept="clcid-mr:CunHuoZhanZongZiChanDeBiLi" label="存货占总资产的比例" addr="T0R3C2S1_1" baseScale="0.01" formatStyle="Comma" appId="_GBC_7e768f46f428417e8696bff3cfaf9902"/>
      <m:item xlName="_GBC_0ed6910290454998bd66db825cac52d8" concept="clcid-pte:CunHuo" label="存货" periodRef="上年度期末数" mulRef="_GBC_21de4e2184d94baf8e19137a1d0d5b74" addr="T0R3C3S1_1" formatStyle="Comma" appId="_GBC_7e768f46f428417e8696bff3cfaf9902"/>
      <m:item xlName="_GBC_8760cae1ee2e4941ad2d164d3b25c353" concept="clcid-mr:CunHuoZhanZongZiChanDeBiLi" label="存货占总资产的比例" periodRef="上年度期末数" addr="T0R3C4S1_1" baseScale="0.01" formatStyle="Comma" appId="_GBC_7e768f46f428417e8696bff3cfaf9902"/>
      <m:item xlName="_GBC_697f2a9a12984b6eb04bcb755618b841" concept="clcid-mr:CunHuoJiaoShangNianQiMoBianDongBiLi" label="存货较上年期末变动比例" addr="T0R3C5S1_1" baseScale="0.01" formatStyle="Comma" appId="_GBC_7e768f46f428417e8696bff3cfaf9902"/>
      <m:item xlName="_GBC_8e8332fec92a44669538e7b5435c12a5" concept="clcid-mr:CunHuoQingKuangShuoMing" label="存货情况说明" addr="T0R3C6S1_1" appId="_GBC_7e768f46f428417e8696bff3cfaf9902"/>
      <m:placeholder xlName="_PLD_57663922a6a24b4b85c3301d559203fe" addr="T0R4C0S1_1"/>
      <m:item xlName="_GBC_8deb50f2639f4a9bb33fed8c934d2b99" concept="clcid-pte:HeTongZiChan" label="合同资产" mulRef="_GBC_21de4e2184d94baf8e19137a1d0d5b74" addr="T0R4C1S1_1" formatStyle="Comma" appId="_GBC_7e768f46f428417e8696bff3cfaf9902"/>
      <m:item xlName="_GBC_4aa3259de0ea4f8ebb33288013c08529" concept="clcid-mr:HeTongZiChanZhanZongZiChanDeBiLi" label="合同资产占总资产的比例" addr="T0R4C2S1_1" baseScale="0.01" formatStyle="Comma" appId="_GBC_7e768f46f428417e8696bff3cfaf9902"/>
      <m:item xlName="_GBC_82fab7f3ebbb48f1b72638d2d2318384" concept="clcid-pte:HeTongZiChan" label="合同资产" periodRef="上年度期末数" mulRef="_GBC_21de4e2184d94baf8e19137a1d0d5b74" addr="T0R4C3S1_1" formatStyle="Comma" appId="_GBC_7e768f46f428417e8696bff3cfaf9902"/>
      <m:item xlName="_GBC_b2d20953b6fc4daa8264cbb1be0ed22f" concept="clcid-mr:HeTongZiChanZhanZongZiChanDeBiLi" label="合同资产占总资产的比例" periodRef="上年度期末数" addr="T0R4C4S1_1" baseScale="0.01" formatStyle="Comma" appId="_GBC_7e768f46f428417e8696bff3cfaf9902"/>
      <m:item xlName="_GBC_f21fcf73baf24a7e8ddec8713bde3d35" concept="clcid-mr:HeTongZiChanJiaoShangNianQiMoBianDongBiLi" label="合同资产较上年期末变动比例" addr="T0R4C5S1_1" baseScale="0.01" formatStyle="Comma" appId="_GBC_7e768f46f428417e8696bff3cfaf9902"/>
      <m:item xlName="_GBC_d4a80d797bea448db1bf9bfbac567c15" concept="clcid-mr:HeTongZiChanQingKuangShuoMing" label="合同资产情况说明" addr="T0R4C6S1_1" appId="_GBC_7e768f46f428417e8696bff3cfaf9902"/>
      <m:placeholder xlName="_PLD_1d86113b0cf345198e18c9b37133f687" addr="T0R5C0S1_1"/>
      <m:item xlName="_GBC_63c0a4875d334db68908fee20615ca5b" concept="clcid-pte:TouZiXingFangDiChan" label="投资性房地产" mulRef="_GBC_21de4e2184d94baf8e19137a1d0d5b74" addr="T0R5C1S1_1" formatStyle="Comma" appId="_GBC_7e768f46f428417e8696bff3cfaf9902"/>
      <m:item xlName="_GBC_e6bd67fa656d4ea9b88f6ef98a5bafd8" concept="clcid-mr:TouZiXingFangDiChanZhanZongZiChanDeBiLi" label="投资性房地产占总资产的比例" addr="T0R5C2S1_1" baseScale="0.01" formatStyle="Comma" appId="_GBC_7e768f46f428417e8696bff3cfaf9902"/>
      <m:item xlName="_GBC_7c8e2962912346988a9483e012e5da16" concept="clcid-pte:TouZiXingFangDiChan" label="投资性房地产" periodRef="上年度期末数" mulRef="_GBC_21de4e2184d94baf8e19137a1d0d5b74" addr="T0R5C3S1_1" formatStyle="Comma" appId="_GBC_7e768f46f428417e8696bff3cfaf9902"/>
      <m:item xlName="_GBC_d9039cdba118422883021aa5184e35ac" concept="clcid-mr:TouZiXingFangDiChanZhanZongZiChanDeBiLi" label="投资性房地产占总资产的比例" periodRef="上年度期末数" addr="T0R5C4S1_1" baseScale="0.01" formatStyle="Comma" appId="_GBC_7e768f46f428417e8696bff3cfaf9902"/>
      <m:item xlName="_GBC_9197826ce33f4a628d0acfb7d80a9575" concept="clcid-mr:TouZiXingFangDiChanJiaoShangNianQiMoBianDongBiLi" label="投资性房地产较上年期末变动比例" addr="T0R5C5S1_1" baseScale="0.01" formatStyle="Comma" appId="_GBC_7e768f46f428417e8696bff3cfaf9902"/>
      <m:item xlName="_GBC_919477e0962749459a0a6b62340a6611" concept="clcid-mr:TouZiXingFangDiChanQingKuangShuoMing" label="投资性房地产情况说明" addr="T0R5C6S1_1" appId="_GBC_7e768f46f428417e8696bff3cfaf9902"/>
      <m:placeholder xlName="_PLD_4dcba10726184d979b4eb5d63c00a35b" addr="T0R6C0S1_1"/>
      <m:item xlName="_GBC_e8e4031427564ae1981ac798cfd49ec2" concept="clcid-pte:ChangQiGuQuanTouZi" label="长期股权投资" mulRef="_GBC_21de4e2184d94baf8e19137a1d0d5b74" addr="T0R6C1S1_1" formatStyle="Comma" appId="_GBC_7e768f46f428417e8696bff3cfaf9902"/>
      <m:item xlName="_GBC_ff189049893f48d68d253e8d6b638675" concept="clcid-mr:ChangQiGuQuanTouZiZhanZongZiChanDeBiLi" label="长期股权投资占总资产的比例" addr="T0R6C2S1_1" baseScale="0.01" formatStyle="Comma" appId="_GBC_7e768f46f428417e8696bff3cfaf9902"/>
      <m:item xlName="_GBC_b57f2e0806d6405cbd3ca4ac2010f92b" concept="clcid-pte:ChangQiGuQuanTouZi" label="长期股权投资" periodRef="上年度期末数" mulRef="_GBC_21de4e2184d94baf8e19137a1d0d5b74" addr="T0R6C3S1_1" formatStyle="Comma" appId="_GBC_7e768f46f428417e8696bff3cfaf9902"/>
      <m:item xlName="_GBC_b7183ec1e9cc4f6d992e05fc8234f4a4" concept="clcid-mr:ChangQiGuQuanTouZiZhanZongZiChanDeBiLi" label="长期股权投资占总资产的比例" periodRef="上年度期末数" addr="T0R6C4S1_1" baseScale="0.01" formatStyle="Comma" appId="_GBC_7e768f46f428417e8696bff3cfaf9902"/>
      <m:item xlName="_GBC_df2c247f45824170a6fe7eba4caee7ba" concept="clcid-mr:ChangQiGuQuanTouZiJiaoShangNianQiMoBianDongBiLi" label="长期股权投资较上年期末变动比例" addr="T0R6C5S1_1" baseScale="0.01" formatStyle="Comma" appId="_GBC_7e768f46f428417e8696bff3cfaf9902"/>
      <m:item xlName="_GBC_bf6422ce7dcb40f69a46b861605ac551" concept="clcid-mr:ChangQiGuQuanTouZiQingKuangShuoMing" label="长期股权投资情况说明" addr="T0R6C6S1_1" appId="_GBC_7e768f46f428417e8696bff3cfaf9902"/>
      <m:placeholder xlName="_PLD_9af079f59e584712a5340f1b91e61009" addr="T0R7C0S1_1"/>
      <m:item xlName="_GBC_831da1fd378f471db822e436d56185b1" concept="clcid-pte:GuDingZiChanJingE" label="固定资产净额" mulRef="_GBC_21de4e2184d94baf8e19137a1d0d5b74" addr="T0R7C1S1_1" formatStyle="Comma" appId="_GBC_7e768f46f428417e8696bff3cfaf9902"/>
      <m:item xlName="_GBC_9ce5665e023a444998920945d1c29b23" concept="clcid-mr:GuDingZiChanZhanZongZiChanDeBiLi" label="固定资产占总资产的比例" addr="T0R7C2S1_1" baseScale="0.01" formatStyle="Comma" appId="_GBC_7e768f46f428417e8696bff3cfaf9902"/>
      <m:item xlName="_GBC_a13a97820ac34c4db9e1af1e33eeb6e4" concept="clcid-pte:GuDingZiChanJingE" label="固定资产净额" periodRef="上年度期末数" mulRef="_GBC_21de4e2184d94baf8e19137a1d0d5b74" addr="T0R7C3S1_1" formatStyle="Comma" appId="_GBC_7e768f46f428417e8696bff3cfaf9902"/>
      <m:item xlName="_GBC_06d00d618aa043e9aa56001c8c4b6f17" concept="clcid-mr:GuDingZiChanZhanZongZiChanDeBiLi" label="固定资产占总资产的比例" periodRef="上年度期末数" addr="T0R7C4S1_1" baseScale="0.01" formatStyle="Comma" appId="_GBC_7e768f46f428417e8696bff3cfaf9902"/>
      <m:item xlName="_GBC_ba5a462aaa22471b9671e9e39c6e5101" concept="clcid-mr:GuDingZiChanJiaoShangNianQiMoBianDongBiLi" label="固定资产较上年期末变动比例" addr="T0R7C5S1_1" baseScale="0.01" formatStyle="Comma" appId="_GBC_7e768f46f428417e8696bff3cfaf9902"/>
      <m:item xlName="_GBC_47a445dd953d4bb5a34e1ac27ebc5251" concept="clcid-mr:GuDingZiChanQingKuangShuoMing" label="固定资产情况说明" addr="T0R7C6S1_1" appId="_GBC_7e768f46f428417e8696bff3cfaf9902"/>
      <m:placeholder xlName="_PLD_0ff1ee5cfded425b899baf2ffbfdc0f0" addr="T0R8C0S1_1"/>
      <m:item xlName="_GBC_f89489a3ebab4d4286add2d262a62606" concept="clcid-pte:ZaiJianGongCheng" label="在建工程" mulRef="_GBC_21de4e2184d94baf8e19137a1d0d5b74" addr="T0R8C1S1_1" formatStyle="Comma" appId="_GBC_7e768f46f428417e8696bff3cfaf9902"/>
      <m:item xlName="_GBC_3da213d582184391b664deb19b56828c" concept="clcid-mr:ZaiJianGongChengZhanZongZiChanDeBiLi" label="在建工程占总资产的比例" addr="T0R8C2S1_1" baseScale="0.01" formatStyle="Comma" appId="_GBC_7e768f46f428417e8696bff3cfaf9902"/>
      <m:item xlName="_GBC_98c9c671fd034be98d73d723ba8b6f50" concept="clcid-pte:ZaiJianGongCheng" label="在建工程" periodRef="上年度期末数" mulRef="_GBC_21de4e2184d94baf8e19137a1d0d5b74" addr="T0R8C3S1_1" formatStyle="Comma" appId="_GBC_7e768f46f428417e8696bff3cfaf9902"/>
      <m:item xlName="_GBC_03b0371f91134643a864615cc016e5dc" concept="clcid-mr:ZaiJianGongChengZhanZongZiChanDeBiLi" label="在建工程占总资产的比例" periodRef="上年度期末数" addr="T0R8C4S1_1" baseScale="0.01" formatStyle="Comma" appId="_GBC_7e768f46f428417e8696bff3cfaf9902"/>
      <m:item xlName="_GBC_088fc95eadab4030be02e62d03c3bd88" concept="clcid-mr:ZaiJianGongChengJiaoShangNianQiMoBianDongBiLi" label="在建工程较上年期末变动比例" addr="T0R8C5S1_1" baseScale="0.01" formatStyle="Comma" appId="_GBC_7e768f46f428417e8696bff3cfaf9902"/>
      <m:item xlName="_GBC_8dad5b8d0eab4deca1315a3d604382d3" concept="clcid-mr:ZaiJianGongChengQingKuangShuoMing" label="在建工程情况说明" addr="T0R8C6S1_1" appId="_GBC_7e768f46f428417e8696bff3cfaf9902"/>
      <m:placeholder xlName="_PLD_84192b5d6aaa46a4a5b491e7597c150a" addr="T0R9C0S1_1"/>
      <m:item xlName="_GBC_9cb4ed8bdeaa4a0091218adcc9a65fad" concept="clcid-pte:ShiYongQuanZiChan" label="使用权资产" mulRef="_GBC_21de4e2184d94baf8e19137a1d0d5b74" addr="T0R9C1S1_1" formatStyle="Comma" appId="_GBC_7e768f46f428417e8696bff3cfaf9902"/>
      <m:item xlName="_GBC_bc3699fd6531498ca5413b5dc7e7a83e" concept="clcid-mr:ShiYongQuanZiChanZhanZongZiChanDeBiLi" label="使用权资产占总资产的比例" addr="T0R9C2S1_1" baseScale="0.01" formatStyle="Comma" appId="_GBC_7e768f46f428417e8696bff3cfaf9902"/>
      <m:item xlName="_GBC_25a82b41661941398d9226ab88cd5fe9" concept="clcid-pte:ShiYongQuanZiChan" label="使用权资产" periodRef="上年度期末数" mulRef="_GBC_21de4e2184d94baf8e19137a1d0d5b74" addr="T0R9C3S1_1" formatStyle="Comma" appId="_GBC_7e768f46f428417e8696bff3cfaf9902"/>
      <m:item xlName="_GBC_a82b448e0dd145788fd2756dbd272719" concept="clcid-mr:ShiYongQuanZiChanZhanZongZiChanDeBiLi" label="使用权资产占总资产的比例" periodRef="上年度期末数" addr="T0R9C4S1_1" baseScale="0.01" formatStyle="Comma" appId="_GBC_7e768f46f428417e8696bff3cfaf9902"/>
      <m:item xlName="_GBC_1f5dc0b8d8e440728c525b255ae18d4e" concept="clcid-mr:ShiYongQuanZiChanJiaoShangNianQiMoBianDongBiLi" label="使用权资产较上年期末变动比例" addr="T0R9C5S1_1" baseScale="0.01" formatStyle="Comma" appId="_GBC_7e768f46f428417e8696bff3cfaf9902"/>
      <m:item xlName="_GBC_0d61bdb9356a4eb2aa1c567525942f4d" concept="clcid-mr:ShiYongQuanZiChanQingKuangShuoMing" label="使用权资产情况说明" addr="T0R9C6S1_1" appId="_GBC_7e768f46f428417e8696bff3cfaf9902"/>
      <m:placeholder xlName="_PLD_f446bfc0bdb7497b92f1f084f89862f6" addr="T0R10C0S1_1"/>
      <m:item xlName="_GBC_977a8878c4d048a7abee3a61acb15a99" concept="clcid-pte:DuanQiJieKuan" label="短期借款" mulRef="_GBC_21de4e2184d94baf8e19137a1d0d5b74" addr="T0R10C1S1_1" formatStyle="Comma" appId="_GBC_7e768f46f428417e8696bff3cfaf9902"/>
      <m:item xlName="_GBC_5c1c5acde9f248db902a944234aebf52" concept="clcid-mr:DuanQiJieKuanZhanZongZiChanDeBiLi" label="短期借款占总资产的比例" addr="T0R10C2S1_1" baseScale="0.01" formatStyle="Comma" appId="_GBC_7e768f46f428417e8696bff3cfaf9902"/>
      <m:item xlName="_GBC_d7ba279289314662ada19b79afed7f25" concept="clcid-pte:DuanQiJieKuan" label="短期借款" periodRef="上年度期末数" mulRef="_GBC_21de4e2184d94baf8e19137a1d0d5b74" addr="T0R10C3S1_1" formatStyle="Comma" appId="_GBC_7e768f46f428417e8696bff3cfaf9902"/>
      <m:item xlName="_GBC_ddc7fedefab842c8ae5dd8e20a4209e0" concept="clcid-mr:DuanQiJieKuanZhanZongZiChanDeBiLi" label="短期借款占总资产的比例" periodRef="上年度期末数" addr="T0R10C4S1_1" baseScale="0.01" formatStyle="Comma" appId="_GBC_7e768f46f428417e8696bff3cfaf9902"/>
      <m:item xlName="_GBC_c62a4f771cc2482e8280c15cb134f83e" concept="clcid-mr:DuanQiJieKuanJiaoShangNianQiMoBianDongBiLi" label="短期借款较上年期末变动比例" addr="T0R10C5S1_1" baseScale="0.01" formatStyle="Comma" appId="_GBC_7e768f46f428417e8696bff3cfaf9902"/>
      <m:item xlName="_GBC_0083f83c78b04c19835efa6ad7968342" concept="clcid-mr:DuanQiJieKuanQingKuangShuoMing" label="短期借款情况说明" addr="T0R10C6S1_1" appId="_GBC_7e768f46f428417e8696bff3cfaf9902"/>
      <m:placeholder xlName="_PLD_54417a664e7a481d9b4573aaf61d26a9" addr="T0R11C0S1_1"/>
      <m:item xlName="_GBC_dea24b64351a4ad68652c4d26eefd3d0" concept="clcid-pte:HeTongFuZhai" label="合同负债" mulRef="_GBC_21de4e2184d94baf8e19137a1d0d5b74" addr="T0R11C1S1_1" formatStyle="Comma" appId="_GBC_7e768f46f428417e8696bff3cfaf9902"/>
      <m:item xlName="_GBC_771cd5e2ca7d4954af48f311f0b66ed1" concept="clcid-mr:HeTongFuZhaiZhanZongZiChanDeBiLi" label="合同负债占总资产的比例" addr="T0R11C2S1_1" baseScale="0.01" formatStyle="Comma" appId="_GBC_7e768f46f428417e8696bff3cfaf9902"/>
      <m:item xlName="_GBC_a51ea713e76643d9bdc860367277cd06" concept="clcid-pte:HeTongFuZhai" label="合同负债" periodRef="上年度期末数" mulRef="_GBC_21de4e2184d94baf8e19137a1d0d5b74" addr="T0R11C3S1_1" formatStyle="Comma" appId="_GBC_7e768f46f428417e8696bff3cfaf9902"/>
      <m:item xlName="_GBC_94c2a0ba89274e8c957f94add363208a" concept="clcid-mr:HeTongFuZhaiZhanZongZiChanDeBiLi" label="合同负债占总资产的比例" periodRef="上年度期末数" addr="T0R11C4S1_1" baseScale="0.01" formatStyle="Comma" appId="_GBC_7e768f46f428417e8696bff3cfaf9902"/>
      <m:item xlName="_GBC_cb2d5e89b5ad4ee8b2fc99d48777281a" concept="clcid-mr:HeTongFuZhaiJiaoShangNianQiMoBianDongBiLi" label="合同负债较上年期末变动比例" addr="T0R11C5S1_1" baseScale="0.01" formatStyle="Comma" appId="_GBC_7e768f46f428417e8696bff3cfaf9902"/>
      <m:item xlName="_GBC_9c7be22dd0514310b54ed490bf4aa89a" concept="clcid-mr:HeTongFuZhaiQingKuangShuoMing" label="合同负债情况说明" addr="T0R11C6S1_1" appId="_GBC_7e768f46f428417e8696bff3cfaf9902"/>
      <m:placeholder xlName="_PLD_2994c1e41b5d486e9890bb70a9932412" addr="T0R12C0S1_1"/>
      <m:item xlName="_GBC_8ee015af9e7d49dc867c098b62076eee" concept="clcid-pte:ChangQiJieKuan" label="长期借款" mulRef="_GBC_21de4e2184d94baf8e19137a1d0d5b74" addr="T0R12C1S1_1" formatStyle="Comma" appId="_GBC_7e768f46f428417e8696bff3cfaf9902"/>
      <m:item xlName="_GBC_4aa5021b55e24dcaa9e13c69b451bf1d" concept="clcid-mr:ChangQiJieKuanZhanZongZiChanDeBiLi" label="长期借款占总资产的比例" addr="T0R12C2S1_1" baseScale="0.01" formatStyle="Comma" appId="_GBC_7e768f46f428417e8696bff3cfaf9902"/>
      <m:item xlName="_GBC_1827ae006d894c2fb8df39ed63c45e8e" concept="clcid-pte:ChangQiJieKuan" label="长期借款" periodRef="上年度期末数" mulRef="_GBC_21de4e2184d94baf8e19137a1d0d5b74" addr="T0R12C3S1_1" formatStyle="Comma" appId="_GBC_7e768f46f428417e8696bff3cfaf9902"/>
      <m:item xlName="_GBC_c536346661bc4fb483646a283d47827a" concept="clcid-mr:ChangQiJieKuanZhanZongZiChanDeBiLi" label="长期借款占总资产的比例" periodRef="上年度期末数" addr="T0R12C4S1_1" baseScale="0.01" formatStyle="Comma" appId="_GBC_7e768f46f428417e8696bff3cfaf9902"/>
      <m:item xlName="_GBC_8c7b51d59f164e94b33207f3e38665be" concept="clcid-mr:ChangQiJieKuanJiaoShangNianQiMoBianDongBiLi" label="长期借款较上年期末变动比例" addr="T0R12C5S1_1" baseScale="0.01" formatStyle="Comma" appId="_GBC_7e768f46f428417e8696bff3cfaf9902"/>
      <m:item xlName="_GBC_b9e074f77c0d4f83b42fb99e0bd3adad" concept="clcid-mr:ChangQiJieKuanQingKuangShuoMing" label="长期借款情况说明" addr="T0R12C6S1_1" appId="_GBC_7e768f46f428417e8696bff3cfaf9902"/>
      <m:placeholder xlName="_PLD_654b41a2ec1a4df0b42d03e29242e5c2" addr="T0R13C0S1_1"/>
      <m:item xlName="_GBC_00d0498ea1244b8d86f44c1af2d2db1b" concept="clcid-pte:ZuLinFuZhai" label="租赁负债" mulRef="_GBC_21de4e2184d94baf8e19137a1d0d5b74" addr="T0R13C1S1_1" formatStyle="Comma" appId="_GBC_7e768f46f428417e8696bff3cfaf9902"/>
      <m:item xlName="_GBC_d4609d164b924add84298f66ef7f4e57" concept="clcid-mr:ZuLinFuZhaiZhanZongZiChanDeBiLi" label="租赁负债占总资产的比例" addr="T0R13C2S1_1" baseScale="0.01" formatStyle="Comma" appId="_GBC_7e768f46f428417e8696bff3cfaf9902"/>
      <m:item xlName="_GBC_3f8d8cc6278246fdb271c260dcabb696" concept="clcid-pte:ZuLinFuZhai" label="租赁负债" periodRef="上年度期末数" mulRef="_GBC_21de4e2184d94baf8e19137a1d0d5b74" addr="T0R13C3S1_1" formatStyle="Comma" appId="_GBC_7e768f46f428417e8696bff3cfaf9902"/>
      <m:item xlName="_GBC_eb90f9ff8cb94adbbffb32aea8a02744" concept="clcid-mr:ZuLinFuZhaiZhanZongZiChanDeBiLi" label="租赁负债占总资产的比例" periodRef="上年度期末数" addr="T0R13C4S1_1" baseScale="0.01" formatStyle="Comma" appId="_GBC_7e768f46f428417e8696bff3cfaf9902"/>
      <m:item xlName="_GBC_35993109a05140299fe894cea0e6e2e8" concept="clcid-mr:ZuLinFuZhaiJiaoShangNianQiMoBianDongBiLi" label="租赁负债较上年期末变动比例" addr="T0R13C5S1_1" baseScale="0.01" formatStyle="Comma" appId="_GBC_7e768f46f428417e8696bff3cfaf9902"/>
      <m:item xlName="_GBC_dea826bdbb954df59984ea53e71a3b90" concept="clcid-mr:ZuLinFuZhaiQingKuangShuoMing" label="租赁负债情况说明" addr="T0R13C6S1_1" appId="_GBC_7e768f46f428417e8696bff3cfaf9902"/>
      <m:tuple xlName="_TUP_5b9451a24cf94bb19fcd924892517ec7" concept="clcid-mr:ZiChanFuZhaiZhuangKuangFenXi" default_row="2" addr="T0R14C">
        <m:item xlName="_GBC_4ec4d8169ffe414792b2c9594a8b817e" concept="clcid-mr:ZiChanFuZhaiZhuangKuangFenXiXiangMuMingCheng" label="资产负债状况分析-项目名称" addr="T0R14C0S1_1" appId="_GBC_7e768f46f428417e8696bff3cfaf9902"/>
        <m:item xlName="_GBC_af1079c36e714eb5b2ce80816190cdea" concept="clcid-mr:ZiChanFuZhaiZhuangKuangFenXiXiangMuJinE" label="资产负债状况分析-项目金额" mulRef="_GBC_21de4e2184d94baf8e19137a1d0d5b74" addr="T0R14C1S1_1" formatStyle="Comma" appId="_GBC_7e768f46f428417e8696bff3cfaf9902"/>
        <m:item xlName="_GBC_51106b25620245ee9f9df20de097f7e2" concept="clcid-mr:ZiChanFuZhaiZhuangKuangFenXiXiangMuJinEZhanZongZiChanDeBiLi" label="资产负债状况分析-项目金额占总资产的比例" addr="T0R14C2S1_1" baseScale="0.01" formatStyle="Comma" appId="_GBC_7e768f46f428417e8696bff3cfaf9902"/>
        <m:item xlName="_GBC_c677c6f76e98499b85a384a1fb7fecb7" concept="clcid-mr:ZiChanFuZhaiZhuangKuangFenXiXiangMuJinE" label="资产负债状况分析-项目金额" periodRef="上年度期末数" mulRef="_GBC_21de4e2184d94baf8e19137a1d0d5b74" addr="T0R14C3S1_1" formatStyle="Comma" appId="_GBC_7e768f46f428417e8696bff3cfaf9902"/>
        <m:item xlName="_GBC_5fc73a99cd6842c6b66a78d3bfb48148" concept="clcid-mr:ZiChanFuZhaiZhuangKuangFenXiXiangMuJinEZhanZongZiChanDeBiLi" label="资产负债状况分析-项目金额占总资产的比例" periodRef="上年度期末数" addr="T0R14C4S1_1" baseScale="0.01" formatStyle="Comma" appId="_GBC_7e768f46f428417e8696bff3cfaf9902"/>
        <m:item xlName="_GBC_c1c58c13462a47a1969d80cd43046e10" concept="clcid-mr:ZiChanFuZhaiZhuangKuangFenXiXiangMuJinEBenQiBiShangQiZengJianBiLi" label="资产负债状况分析-项目金额本期比上期增减比例" addr="T0R14C5S1_1" baseScale="0.01" formatStyle="Comma" appId="_GBC_7e768f46f428417e8696bff3cfaf9902"/>
        <m:item xlName="_GBC_da665a9358604f499688c9e914650128" concept="clcid-mr:ZiChanFuZhaiZhuangKuangFenXiQingKuangShuoMing" label="资产负债状况分析-情况说明" addr="T0R14C6S1_1" appId="_GBC_7e768f46f428417e8696bff3cfaf9902"/>
      </m:tuple>
      <m:item xlName="_GBC_cb3eda90e3e24589a444c633ca113f7e" concept="clcid-ci-ar:ZiChanJiFuZhaiZhuangKuangDeQiTaShuoMing" label="资产及负债状况的其他说明" appId="_GBC_7e768f46f428417e8696bff3cfaf9902"/>
    </m:section>
    <m:item xlName="_GBC_95d71e9a9dcd4966863ba2859a3bf0b7" concept="clcid-ci-ar:ShiFouShiYongJingWaiZiChanQingKuang" label="是否适用：境外资产情况 " selectOptions="_buildInAppliance" controlType="CustomCheckbox" cRanges="[{&quot;StartName&quot;:&quot;_GBC_95d71e9a9dcd4966863ba2859a3bf0b7&quot;,&quot;EndName&quot;:&quot;_SEC_c10c2b9d803e41e382e61ceacfe44d03&quot;,&quot;CType&quot;:1}]"/>
    <m:section xlName="_SEC_7f2308a9bb284441948806ea6c09c608" title="" helpId="108005004">
      <m:item xlName="_GBC_7edcbeb27a8a4dc89717cd882c719546" concept="clcid-mr:BaoGaoQiNeiGongSiJingWaiZiChanBianHua" label="报告期内公司境外资产变化" mulRef="_GBC_5372243019964ba2af35a9061c614f89" unitRef="_GBC_09b61176994d443a8e1c524c6afd9c93" formatStyle="Comma" appId="_GBC_7e768f46f428417e8696bff3cfaf9902"/>
      <m:item xlName="_GBC_5372243019964ba2af35a9061c614f89" concept="clcid-ci-ar:DanWeiBaoGaoQiNeiGongSiJingWaiZiChanBianHua" label="单位：报告期内公司境外资产变化" selectOptions="_buildInScales" controlType="Combobox" cellType="Scale" appId="_GBC_7e768f46f428417e8696bff3cfaf9902"/>
      <m:item xlName="_GBC_09b61176994d443a8e1c524c6afd9c93" concept="clcid-ci-ar:BiZhongBaoGaoQiNeiGongSiJingWaiZiChanBianHua" label="币种：报告期内公司境外资产变化" selectOptions="_buildInISO4217" controlType="Combobox" cellType="Measure" appId="_GBC_7e768f46f428417e8696bff3cfaf9902"/>
      <m:item xlName="_GBC_c83f06156a574d209e05b2246741ffae" concept="clcid-mr:BaoGaoQiNeiGongSiJingWaiZiChanBianHuaZhanZongZiChanDeBiLi" label="报告期内公司境外资产变化占总资产的比例" baseScale="0.01" formatStyle="Comma" appId="_GBC_7e768f46f428417e8696bff3cfaf9902"/>
    </m:section>
    <m:section xlName="_SEC_c10c2b9d803e41e382e61ceacfe44d03" title="境外资产相关说明  ____" helpId="108005004" helpText="若境外资产占比较高的，应当披露境外资产形成原因、运营模式、收益状况等。">
      <m:item xlName="_GBC_c53c446d7e72415fad4a28be09ecb0bc" concept="clcid-ci-ar:ShiFouShiYongJingWaiZiChanXiangGuanShuoMing" label="是否适用：境外资产相关说明 " selectOptions="_buildInAppliance" controlType="CustomCheckbox" cRanges="[{&quot;StartName&quot;:&quot;_GBC_c53c446d7e72415fad4a28be09ecb0bc&quot;,&quot;EndName&quot;:&quot;_GBC_84c142e17292456393c6f4cabb5c5528&quot;,&quot;CType&quot;:1}]"/>
      <m:item xlName="_GBC_84c142e17292456393c6f4cabb5c5528" concept="clcid-mr:JingWaiZiChanXiangGuanShuoMing" label="境外资产相关说明 " appId="_GBC_c53c446d7e72415fad4a28be09ecb0bc"/>
    </m:section>
    <m:section xlName="_SEC_390cddc4349f46b4bcccd468c3e69d14" title="截至报告期末主要资产受限情" helpId="108005004">
      <m:item xlName="_GBC_e9f1a2b3f13345eaac848c40837fffbb" concept="clcid-ci-ar:ShiFouShiYongZhuYaoZiChanShouXianQingKuang" label="是否适用：主要资产受限情况" selectOptions="_buildInAppliance" controlType="CustomCheckbox" cRanges="{&quot;StartName&quot;:&quot;_GBC_e9f1a2b3f13345eaac848c40837fffbb&quot;,&quot;EndName&quot;:&quot;_GBC_a45de9537ca94b758cc1d9c201a60b53&quot;,&quot;CType&quot;:1,&quot;DisplayText&quot;:null}"/>
      <m:item xlName="_GBC_a45de9537ca94b758cc1d9c201a60b53" concept="clcid-mr:ZhuYaoZiChanShouXianQingKuang" label="主要资产受限情况" appId="_GBC_e9f1a2b3f13345eaac848c40837fffbb"/>
    </m:section>
    <m:section xlName="_SEC_a3069c29080242b4a4de48db80a4164e" title="其他说明" helpId="108005004">
      <m:item xlName="_GBC_ba674147d80648fba521aedf33ce0b27" concept="clcid-ci-ar:ShiFouShiYongZiChanJiFuZhaiZhuangKuangDeQiTaShuoMing" label="是否适用：资产及负债状况的其他说明" selectOptions="_buildInAppliance" controlType="CustomCheckbox" cRanges="{&quot;StartName&quot;:&quot;_GBC_ba674147d80648fba521aedf33ce0b27&quot;,&quot;EndName&quot;:&quot;_GBC_c76402abcb084333912be41804c53ad0&quot;,&quot;CType&quot;:1,&quot;DisplayText&quot;:null}"/>
      <m:item xlName="_GBC_c76402abcb084333912be41804c53ad0" concept="clcid-mr:ZiChanJiFuZhaiZhuangKuangDeQiTaShuoMing" label="资产及负债状况的其他说明" appId="_GBC_ba674147d80648fba521aedf33ce0b27"/>
    </m:section>
    <m:section xlName="_SEC_e7a08c655c9844a8b5127e2ae800064c" title="对外股权投资总体分析" convertSummaryRule="NoConvert" helpId="108005001" helpText="公司应当介绍本半年度投资情况，分析报告期内公司投资额同比变化情况。">
      <m:item xlName="_GBC_d1852fb41d2a420f9f1d78c35235341a" concept="clcid-ci-ar:ShiFouShiYongDuiWaiGuQuanTouZiZongTiFenXi" label="是否适用：对外股权投资总体分析" selectOptions="_buildInAppliance" controlType="CustomCheckbox" cRanges="{&quot;StartName&quot;:&quot;_GBC_d1852fb41d2a420f9f1d78c35235341a&quot;,&quot;EndName&quot;:&quot;_GBC_cef6637b11fc44ed960eb269931b50e8&quot;,&quot;CType&quot;:1,&quot;DisplayText&quot;:null}"/>
      <m:item xlName="_GBC_cef6637b11fc44ed960eb269931b50e8" concept="clcid-mr:DuiWaiGuQuanTouZiZongTiFenXi" label="对外股权投资总体分析" appId="_GBC_d1852fb41d2a420f9f1d78c35235341a"/>
    </m:section>
    <m:section xlName="_SEC_72e4a7e3254a45e8898d094084d31b27" title="重大的股权投资" helpId="108005002" helpText="对报告期内获取的重大的股权投资，公司应当披露被投资公司名称、主要业务、投资份额和持股比例、资金来源、合作方、投资期限、产品类型、预计收益、本期投资盈亏、是否涉诉等信息。">
      <m:item xlName="_GBC_f8bfa224d9f34f9e99e6f78de51aa576" concept="clcid-ci-ar:ShiFouShiYongZhongDaDeGuQuanTouZi" label="是否适用：重大的股权投资" selectOptions="_buildInAppliance" controlType="CustomCheckbox" cRanges="{&quot;StartName&quot;:&quot;_GBC_f8bfa224d9f34f9e99e6f78de51aa576&quot;,&quot;EndName&quot;:&quot;_GBC_66534194d2ce4e8885ec7560835fd79f&quot;,&quot;CType&quot;:1,&quot;DisplayText&quot;:null}"/>
      <m:item xlName="_GBC_66534194d2ce4e8885ec7560835fd79f" concept="clcid-mr:ZhongDaDeGuQuanTouZiQingKuang" label="重大的股权投资情况" appId="_GBC_f8bfa224d9f34f9e99e6f78de51aa576"/>
    </m:section>
    <m:section xlName="_SEC_ac9932f6d2bb4e35b86dbcc496bca6c4" title="重大的非股权投资" helpId="108005003" helpText="对报告期内正在进行的重大的非股权投资，公司应当披露项目本半年度和累计实际投入情况、资金来源、项目的进度及预计收益。若项目已产生收益，应当说明收益情况；未达到计划进度和收益的，应当说明原因。">
      <m:item xlName="_GBC_ea7fdcb7583549f38c0db41e73af0a8b" concept="clcid-ci-ar:ShiFouShiYongZhongDaDeFeiGuQuanTouZi" label="是否适用：重大的非股权投资" selectOptions="_buildInAppliance" controlType="CustomCheckbox" cRanges="{&quot;StartName&quot;:&quot;_GBC_ea7fdcb7583549f38c0db41e73af0a8b&quot;,&quot;EndName&quot;:&quot;_GBC_d28e129cc391444a84f9be6de7f0cfa8&quot;,&quot;CType&quot;:1,&quot;DisplayText&quot;:null}"/>
      <m:item xlName="_GBC_d28e129cc391444a84f9be6de7f0cfa8" concept="clcid-mr:ZhongDaDeFeiGuQuanTouZiQingKuang" label="重大的非股权投资情况" appId="_GBC_ea7fdcb7583549f38c0db41e73af0a8b"/>
    </m:section>
    <m:section xlName="_SEC_e1149f3e433f42c9895dce036b5525db" title="以公允价值计量的金融资产" helpId="112001210" helpText="对报告期内持有的以公允价值计量的境内外股票、基金、债券、信托产品、期货、金融衍生工具等金融资产的初始投资成本、资金来源、报告期内购入或售出及投资收益情况、公允价值变动情况等进行披露。">
      <m:item xlName="_GBC_b79a1e16dad54b258983c3fa6da7033b" concept="clcid-ci-ar:ShiFouShiYongYiGongYunJiaZhiJiLiangDeJinRongZiChan" label="是否适用：以公允价值计量的金融资产" selectOptions="_buildInAppliance" controlType="CustomCheckbox" cRanges="{&quot;StartName&quot;:&quot;_GBC_b79a1e16dad54b258983c3fa6da7033b&quot;,&quot;EndName&quot;:&quot;_GBC_13d8538a1f944759907f2b446bfead94&quot;,&quot;CType&quot;:1,&quot;DisplayText&quot;:null}"/>
      <m:item xlName="_GBC_13d8538a1f944759907f2b446bfead94" concept="clcid-mr:YiGongYunJiaZhiJiLiangDeJinRongZiChanQingKuang" label="以公允价值计量的金融资产情况" appId="_GBC_b79a1e16dad54b258983c3fa6da7033b"/>
    </m:section>
    <m:section xlName="_SEC_04b9238e9d184f1bab78bd58a24f46ef" title="重大资产和股权出售" helpId="110005010" helpText="公司应当简要分析重大资产和股权出售事项对公司业务连续性、管理层稳定性的影响。公司应当说明上述事项是否按计划如期实施，如已实施完毕，应当说明其对财务状况和经营成果的影响，以及所涉及的金额及其占利润总额的比例；如未按计划实施，应当说明原因及公司已采取的措施。">
      <m:item xlName="_GBC_f566f251245e49238092032f065852be" concept="clcid-ci-ar:ShiFouShiYongZhongDaZiChanHeGuQuanChuShou" label="是否适用：重大资产和股权出售" selectOptions="_buildInAppliance" controlType="CustomCheckbox" cRanges="{&quot;StartName&quot;:&quot;_GBC_f566f251245e49238092032f065852be&quot;,&quot;EndName&quot;:&quot;_GBC_9cd8839732f849f198bbcd5d106cb7c4&quot;,&quot;CType&quot;:1,&quot;DisplayText&quot;:null}"/>
      <m:item xlName="_GBC_9cd8839732f849f198bbcd5d106cb7c4" concept="clcid-mr:ZhongDaZiChanHeGuQuanChuShouQingKuang" label="重大资产和股权出售情况" appId="_GBC_f566f251245e49238092032f065852be"/>
    </m:section>
    <m:section xlName="_SEC_2a2bbe84e5b044d9b42284613cdb120d" title="主要控股参股公司分析" convertSummaryRule="NoConvert" helpId="108005008" helpText="公司应当介绍主要子公司的主要业务、注册资本、总资产、净资产、净利润，本半年度取得和处置子公司的情况，包括取得和处置的方式及对公司整体生产经营和业绩的影响。如来源于单个子公司的净利润或单个参股公司的投资收益对公司净利润影响达到10%以上，还应当介绍该公司主营业务收入、主营业务利润等数据。若单个子公司或参股公司的经营业绩同比出现大幅波动，且对公司合并经营业绩造成重大影响的，公司应当对其业绩波动情况及其变动原因进行分析。\n若主要子公司或参股公司的经营业绩未出现大幅波动，但其资产规模、构成或其他主要财务指标出现显著变化，并可能在将来对公司业绩造成影响，也应当对变化情况和原因予以说明。">
      <m:item xlName="_GBC_3f3bd67865a44413bcd1143c0df7558d" concept="clcid-ci-ar:ShiFouShiYongZhuYaoKongGuCanGuGongSiFenXi" label="是否适用：主要控股参股公司分析" selectOptions="_buildInAppliance" controlType="CustomCheckbox" cRanges="{&quot;StartName&quot;:&quot;_GBC_3f3bd67865a44413bcd1143c0df7558d&quot;,&quot;EndName&quot;:&quot;_GBC_839e73df2f5d460cbcde577c1623d15c&quot;,&quot;CType&quot;:1,&quot;DisplayText&quot;:null}"/>
      <m:item xlName="_GBC_839e73df2f5d460cbcde577c1623d15c" concept="clcid-mr:ZhuYaoZiGongSiCanGuGongSiFenXi" label="主要子公司、参股公司分析" appId="_GBC_3f3bd67865a44413bcd1143c0df7558d"/>
    </m:section>
    <m:section xlName="_SEC_1ac5f271c9c14f569093b3be96ecc8d2" title="公司控制的结构化主体情况" helpId="112001211" helpText="公司存在其控制下的结构化主体时，应当介绍公司对其控制权方式和控制权内容，并说明公司从中可以获取的利益和对其所承担的风险。另外，公司还应当介绍结构化主体对其提供融资、商品或劳务以支持自身主要经营活动的相关情况。公司控制的结构化主体为《企业会计准则第41号——在其他主体中权益的披露》中所规定的“结构化主体”。">
      <m:item xlName="_GBC_6dee8f13bc9a4596ad3e5af6f90f0b8b" concept="clcid-ci-ar:ShiFouShiYongGongSiKongZhiDeJieGouHuaZhuTiQingKuang" label="是否适用：公司控制的结构化主体情况" selectOptions="_buildInAppliance" controlType="CustomCheckbox" cRanges="{&quot;StartName&quot;:&quot;_GBC_6dee8f13bc9a4596ad3e5af6f90f0b8b&quot;,&quot;EndName&quot;:&quot;_GBC_1272ff16a11e42f5b10c9b0499f093f9&quot;,&quot;CType&quot;:1,&quot;DisplayText&quot;:null}"/>
      <m:item xlName="_GBC_1272ff16a11e42f5b10c9b0499f093f9" concept="clcid-mr:GongSiKongZhiDeTeShuMuDeZhuTiQingKuang" label="公司控制的特殊目的主体情况" appId="_GBC_6dee8f13bc9a4596ad3e5af6f90f0b8b"/>
    </m:section>
    <m:section xlName="_SEC_81e2de17d1214ba3b0e3ff89b6c2b65d" title="可能面对的风险" helpId="104002005">
      <m:item xlName="_GBC_2a971d8ab5884d3eb5547ede4e1e17c9" concept="clcid-ci-ar:ShiFouShiYongKeNengMianDuiDeFengXian" label="是否适用：可能面对的风险" selectOptions="_buildInAppliance" controlType="CustomCheckbox" cRanges="{&quot;StartName&quot;:&quot;_GBC_2a971d8ab5884d3eb5547ede4e1e17c9&quot;,&quot;EndName&quot;:&quot;_GBC_6e03b01ba4f1453dbc563404b41bfdbc&quot;,&quot;CType&quot;:1,&quot;DisplayText&quot;:null}"/>
      <m:item xlName="_GBC_6e03b01ba4f1453dbc563404b41bfdbc" concept="clcid-mr:GongSiKeNengMianDuiDeFengXian" label="公司可能面对的风险" appId="_GBC_2a971d8ab5884d3eb5547ede4e1e17c9"/>
    </m:section>
    <m:section xlName="_SEC_2d00d0d8a1b7409b884a0beb6a447e0d" title="其他披露事项">
      <m:item xlName="_GBC_4bd5ba6bf4044aee9ecd40a0c2fc29bf" concept="clcid-ci-ar:ShiFouShiYongDongShiHuiQiTaXuYaoPiLuDeShiXiang" label="是否适用：董事会其他需要披露的事项" selectOptions="_buildInAppliance" controlType="CustomCheckbox" cRanges="{&quot;StartName&quot;:&quot;_GBC_4bd5ba6bf4044aee9ecd40a0c2fc29bf&quot;,&quot;EndName&quot;:&quot;_GBC_1751869900474e38a4456794ea384b7e&quot;,&quot;CType&quot;:1,&quot;DisplayText&quot;:null}"/>
      <m:item xlName="_GBC_1751869900474e38a4456794ea384b7e" concept="clcid-mr:DongShiHuiQiTaXuYaoPiLuDeShiXiang" label="董事会其他需要披露的事项" appId="_GBC_4bd5ba6bf4044aee9ecd40a0c2fc29bf"/>
    </m:section>
    <m:section xlName="_SEC_d8b5f940b6314e479198b8ccc086b98d" title="股东大会情况简介" helpId="110004001">
      <m:placeholder xlName="_PLD_22bc61a8a37f49b2b6002bda8044b00b" addr="T0R0C0S1_1"/>
      <m:placeholder xlName="_PLD_4d4c6f75c14e44a5ae87874c2dde133c" addr="T0R0C1S1_1"/>
      <m:placeholder xlName="_PLD_63dde22e2e0a412986c86439c3ed05c3" addr="T0R0C2S1_1"/>
      <m:placeholder xlName="_PLD_68e4d17d74f541f9b1d7075bcbb5b6c5" addr="T0R0C3S1_1"/>
      <m:tuple xlName="_TUP_4299ac0eb78c4c11ae0a1812edf5a2f1" concept="clcid-mr:NianDuGuDongDaHuiQingKuang" default_row="2" addr="T0R1C">
        <m:item xlName="_GBC_aa9ba21c30124cd9b6600bccd276e068" concept="clcid-mr:NianDuGuDongDaKuaiJieCi" label="股东大会届次" addr="T0R1C0S1_1"/>
        <m:item xlName="_GBC_abbbe16d10ca4a3e992a84d4b4f9d1ce" concept="clcid-mr:NianDuGuDongDaHuiZhaoKaiRiQi" label="股东大会召开日期" addr="T0R1C1S1_1" keyAction="38"/>
        <m:item xlName="_GBC_05fc14d9771c4e829be3a37b746a651e" concept="clcid-mr:NianDuGuDongDaHuiJueYiKanDengDeZhiDingWangZhanDeChaXunSuoYin" label="股东大会决议刊登的指定网站的查询索引" addr="T0R1C2S1_1"/>
        <m:item xlName="_GBC_9e78a38d15a04cf19520508036dd2792" concept="clcid-mr:NianDuGuDongDaHuiJueYiKanDengDeXinXiPiLuRiQi" label="股东大会决议刊登的信息披露日期" addr="T0R1C3S1_1" keyAction="38"/>
        <m:item xlName="_GBC_3c41329109f6425887c50dc78800a239" concept="clcid-mr:GuDongDaHuiHuiYiJueYi" label="股东大会会议决议" addr="T0R1C4S1_1"/>
      </m:tuple>
      <m:placeholder xlName="_PLD_d7d78aa5be2349bcb77c83b55ac046e4" addr="T0R0C4S1_1"/>
    </m:section>
    <m:section xlName="_SEC_d5dd00e8721a44d88174eb5aacf152b7" title="表决权恢复的优先股股东请求召开临时股东大会 " helpId="110004001">
      <m:item xlName="_GBC_07c9bc8db9ab4498ac0bfac48beddedc" concept="clcid-ci-ar:ShiFouShiYongBiaoJueQuanHuiFuDeYouXianGuGuDongQingQiuZhaoKaiLinShiGuDongDaHui" label="是否适用：表决权恢复的优先股股东请求召开临时股东大会" selectOptions="_buildInAppliance" controlType="CustomCheckbox" cRanges="[{&quot;StartName&quot;:&quot;_GBC_07c9bc8db9ab4498ac0bfac48beddedc&quot;,&quot;EndName&quot;:&quot;_GBC_94f1d67df1694a62b6cb28576686cae5&quot;,&quot;CType&quot;:1}]"/>
      <m:item xlName="_GBC_94f1d67df1694a62b6cb28576686cae5" concept="clcid-mr:BiaoJueQuanHuiFuDeYouXianGuGuDongQingQiuZhaoKaiLinShiGuDongDaHui" label="表决权恢复的优先股股东请求召开临时股东大会" appId="_GBC_07c9bc8db9ab4498ac0bfac48beddedc"/>
    </m:section>
    <m:section xlName="_SEC_bf1ce0d19a464ce2a3d1a1d438ffde42" title="股东大会情况说明" helpId="110004001">
      <m:item xlName="_GBC_bc06fc78c35044b0a848192606e2a5ad" concept="clcid-ci-ar:ShiFouShiYongGuDongDaHuiQingKuangShuoMing" label="是否适用：股东大会情况说明" selectOptions="_buildInAppliance" controlType="CustomCheckbox" cRanges="{&quot;StartName&quot;:&quot;_GBC_bc06fc78c35044b0a848192606e2a5ad&quot;,&quot;EndName&quot;:&quot;_GBC_f97651ca2866412b9255a1ff13fdc83d&quot;,&quot;CType&quot;:1,&quot;DisplayText&quot;:null}"/>
      <m:item xlName="_GBC_f97651ca2866412b9255a1ff13fdc83d" concept="clcid-mr:NianDuGuDongDaHuiQingKuangDeShuoMing" label="年度股东大会情况的说明" appId="_GBC_bc06fc78c35044b0a848192606e2a5ad"/>
    </m:section>
    <m:section xlName="_SEC_fe90051e8bfd40b8bb8541284a29b30e" title="公司董事、监事、高级管理人员变动情况" helpId="105001004" helpText="注：\n1、报告期内离任的董事、监事、高级管理人员，仍需按本章要求披露相关内容。\n2、报告期后新任的，董事、监事、高级管理人员可作附注说明。">
      <m:item xlName="_GBC_001d837207464f1aaa52a7fb8cd9d226" concept="clcid-ci-ar:ShiFouShiYongGongSiDongShiJianShiGaoJiGuanLiRenYuanBianDongQingKuang" label="是否适用：公司董事、监事、高级管理人员变动情况" selectOptions="_buildInAppliance" controlType="CustomCheckbox" cRanges="{&quot;StartName&quot;:&quot;_GBC_001d837207464f1aaa52a7fb8cd9d226&quot;,&quot;EndName&quot;:&quot;_GBC_466f24fb36cc4d949be4225fed8d37c7&quot;,&quot;CType&quot;:1,&quot;DisplayText&quot;:null}"/>
      <m:placeholder xlName="_PLD_8d21520223e04755b8822b634d237604" addr="T0R0C0S1_1"/>
      <m:placeholder xlName="_PLD_fbd3bf633b6f43caac5e618a32167462" addr="T0R0C1S1_1"/>
      <m:placeholder xlName="_PLD_32b7efb7e5ea42b9a9c73ad4470b3d12" addr="T0R0C2S1_1"/>
      <m:tuple xlName="_GBC_f8245c93a5574f05bb6e0a400a7c4f3b" concept="clcid-cgi:GongSiDongShiJianShiGaoJiGuanLiRenYuanBianDongQingKuang" default_row="2" addr="T0R1C">
        <m:item xlName="_GBC_d397c51f2d3a411c9f47f42464ed1868" concept="clcid-cgi:LiRenDeDongShiJianShiGaoJiGuanLiRenYuanXingMing" label="在报告期内离任的董事、监事、高级管理人员姓名" addr="T0R1C0S1_1" cellConvertType="1" appId="_GBC_001d837207464f1aaa52a7fb8cd9d226" keyAction="37"/>
        <m:item xlName="_GBC_aa77cd30b13947f0841f49b0b279211b" concept="clcid-cgi:LiRenDeDongShiJianShiGaoJiGuanLiRenYuanZhiWu" label="离任的董事监事高级管理人员职务" addr="T0R1C1S1_1" appId="_GBC_001d837207464f1aaa52a7fb8cd9d226"/>
        <m:item xlName="_GBC_466f24fb36cc4d949be4225fed8d37c7" concept="clcid-cgi:GongSiDongShiJianShiGaoJiGuanLiRenYuanDeBianDongQingXing" label="公司董事、监事、高级管理人员的变动情形" selectOptions="8b675857e16447efa57df9bec21bb7e9" addr="T0R1C2S1_1" controlType="Combobox" appId="_GBC_001d837207464f1aaa52a7fb8cd9d226"/>
      </m:tuple>
    </m:section>
    <m:section xlName="_SEC_9d764ab9e1c44e0e972e846b8ecf0813" title="公司董事、监事、高级管理人员变动的情况说明" helpId="105001004">
      <m:item xlName="_GBC_1eda708e71a542fa89f6ad1bb8abbf70" concept="clcid-ci-ar:ShiFouShiYongGongSiDongShiJianShiGaoJiGuanLiRenYuanBianDongDeQingKuangShuoMing" label="是否适用：公司董事、监事、高级管理人员变动的情况说明 " selectOptions="_buildInAppliance" controlType="CustomCheckbox" cRanges="{&quot;StartName&quot;:&quot;_GBC_1eda708e71a542fa89f6ad1bb8abbf70&quot;,&quot;EndName&quot;:&quot;_GBC_f2e7651aeda04cb8847fc3d49af6315f&quot;,&quot;CType&quot;:1,&quot;DisplayText&quot;:null}"/>
      <m:item xlName="_GBC_f2e7651aeda04cb8847fc3d49af6315f" concept="clcid-cgi:GongSiDongShiJianShiGaoJiGuanLiRenYuanBianDongDeQingKuangShuoMing" label="公司董事、监事、高级管理人员变动的情况说明" appId="_GBC_1eda708e71a542fa89f6ad1bb8abbf70"/>
    </m:section>
    <m:section xlName="_GBC_e4b48d016b974478b1fce3e8671a7227" title="半年度拟定的利润分配预案" rules="R2015_R5_001" helpId="108006001" helpText="公司董事会在审议半年度报告时拟定利润分配预案、资本公积金转增股本预案的，公司应当说明上述预案是否符合公司章程及审议程序的规定，是否充分保护中小投资者的合法权益，是否由独立董事发表意见。">
      <m:placeholder xlName="_PLD_dee68179c02c4ccc8a9b8d7e3f70f2c6" addr="T0R0C0S1_1"/>
      <m:item xlName="_GBC_1aa3bb539f35454da0536200efcc4f60" concept="clcid-mr:ShiFouFenPeiHuoZhuanZeng" label="是否分配或转增" selectOptions="_buildInYesNo" addr="T0R0C1S1_1" controlType="Combobox" tagAction="1">
        <m:simpleRule dataType="Any" comparator="None" minOccurs="1"/>
      </m:item>
      <m:placeholder xlName="_PLD_bd901803dd924026b7c6f59fdd31aad5" addr="T0R1C0S1_1"/>
      <m:item xlName="_GBC_54fb48b48c14430f8f30bee0cfcc8cb9" concept="clcid-mr:Mei10GuSongHongGuShu" label="每10股送红股数" addr="T0R1C1S1_1" formatStyle="Comma"/>
      <m:placeholder xlName="_PLD_6cbe2a97f01847b28eeb312b29d1d347" addr="T0R2C0S1_1"/>
      <m:item xlName="_GBC_299a7ab7d38741f6bb828dfda18f3f3b" concept="clcid-mr:Mei10GuPaiXiShuHanShui" label="每10股派息数（含税）" addr="T0R2C1S1_1" formatStyle="Comma"/>
      <m:placeholder xlName="_PLD_ea0844d0f72e40a392aba3e62b2e7e9c" addr="T0R3C0S1_1"/>
      <m:item xlName="_GBC_728534984b704837b292c32c939dab97" concept="clcid-mr:Mei10GuZhuanZengShu" label="每10股转增数" addr="T0R3C1S1_1" formatStyle="Comma"/>
      <m:placeholder xlName="_PLD_6f4b1db2793f4d00b5b11589fa8a57fc" addr="T0R4C0S1_2"/>
      <m:item xlName="_GBC_94bed1d7442547dda64f3e2963ffc525" concept="clcid-mr:LiRunFenPeiHuoZiBenGongJiJinZhuanZengYuAnXiangXiQingKuang" label="利润分配或资本公积金转增预案详细情况" addr="T0R5C0S1_2" tagAction="1"/>
    </m:section>
    <m:section xlName="_SEC_27d68d30f5fb4d008c2e762ac7309c77" title="相关股权激励事项已在临时公告披露且后续实施无进展或变化的" helpId="110005001">
      <m:item xlName="_GBC_3c43a5cea9ef47daa40f133532dcd63c" concept="clcid-ci-ar:ShiFouShiYongXiangGuanJiLiShiXiangYiZaiLinShiGongGaoPiLuQieHouXuShiShiWuJinZhanHuoBianHuaDe" label="是否适用：相关激励事项已在临时公告披露且后续实施无进展或变化的" selectOptions="_buildInAppliance" controlType="CustomCheckbox" cRanges="[{&quot;StartName&quot;:&quot;_GBC_3c43a5cea9ef47daa40f133532dcd63c&quot;,&quot;EndName&quot;:&quot;_GBC_39c3357938cf4704aecec00c261c7085&quot;,&quot;CType&quot;:1}]"/>
      <m:placeholder xlName="_PLD_ef812a0a3e304bed86eb0a29278eb98f" addr="T0R0C0S1_1"/>
      <m:placeholder xlName="_PLD_765d129d92594e59b6a30bc92f2cc4f2" addr="T0R0C1S1_1"/>
      <m:tuple xlName="_TUP_d28b788201a047e0b8ab66071b9dfae9" concept="clcid-ie:GuQuanJiLiShiXiangYiZaiLinShiBaoGaoPiLuQieHouXuShiShiWuJinZhanHuoBianHuaDe" default_row="2" addr="T0R1C">
        <m:item xlName="_GBC_6bfb9895eb9b496c81ee0483cceb1a7a" concept="clcid-ie:GuQuanJiLiShiXiangYiZaiLinShiBaoGaoPiLuQieHouXuShiShiWuJinZhanHuoBianHuaDeShiXiangGaiShu" label="股权激励事项已在临时报告披露且后续实施无进展或变化的-事项概述" addr="T0R1C0S1_1" appId="_GBC_3c43a5cea9ef47daa40f133532dcd63c"/>
        <m:item xlName="_GBC_39c3357938cf4704aecec00c261c7085" concept="clcid-ie:GuQuanJiLiShiXiangYiZaiLinShiBaoGaoPiLuQieHouXuShiShiWuJinZhanHuoBianHuaDeChaXunSuoYin" label="股权激励事项已在临时报告披露且后续实施无进展或变化的-查询索引" addr="T0R1C1S1_1" appId="_GBC_3c43a5cea9ef47daa40f133532dcd63c"/>
      </m:tuple>
    </m:section>
    <m:item xlName="_GBC_388221bc7be24cdca55be337256c8bc1" concept="clcid-ci-ar:ShiFouShiYongGuQuanJiLiQingKuang" label="是否适用：股权激励情况" selectOptions="_buildInAppliance" controlType="CustomCheckbox" cRanges="[{&quot;StartName&quot;:&quot;_GBC_388221bc7be24cdca55be337256c8bc1&quot;,&quot;EndName&quot;:&quot;_SEC_03192fc0d89a465d87224782dc1ad23d&quot;,&quot;CType&quot;:1}]"/>
    <m:section xlName="_SEC_03192fc0d89a465d87224782dc1ad23d" title="股权激励情况" rules="R2015_R5_008" repeatable="1" tupleConcept="clcid-ie:GuQuanJiLiJiHuaQingKuangMingXi" helpId="110005001" helpText="注：报告期内失效的权益总额以负数填列。">
      <m:item xlName="_GBC_2be8a18b4d5b45c385f4527a80458a60" concept="clcid-ie:GuQuanJiLiJiHuaNianFen" label="股权激励计划年份" appId="_GBC_388221bc7be24cdca55be337256c8bc1"/>
      <m:item xlName="_GBC_635f1eb71e684d8fa6d412cf1e9fbb4b" concept="clcid-ie:GuQuanJiLiJiHuaZhiXingCiShu" label="股权激励计划执行次数" appId="_GBC_388221bc7be24cdca55be337256c8bc1"/>
      <m:item xlName="_GBC_6bc329bc7aef419a865de6636cc7cf3e" concept="clcid-ie:GongSiGuQuanJiLiFangShi" label="公司股权激励方式" selectOptions="e0bb5fb7d79149c5b90dff58b3e1b883" controlType="Combobox" appId="_GBC_388221bc7be24cdca55be337256c8bc1"/>
      <m:item xlName="_GBC_2d5be467b7dc4ac0b64b8932a99620f0" concept="clcid-ie:GongSiGuQuanJiLiDeBiaoDiGuPiaoLaiYuan" label="公司股权激励的标的股票来源" selectOptions="c09e8ce720e644a3b4820b5b802bfc69" controlType="Combobox" appId="_GBC_388221bc7be24cdca55be337256c8bc1"/>
      <m:placeholder xlName="_PLD_2e387271b37540e5b7ba29c28fbd0994" addr="T0R0C0S1_1"/>
      <m:item xlName="_GBC_bbc051c4bcd04b6ba2b7b5a15c793746" concept="clcid-ie:GongSiGuQuanJiLiQuanYiGongJuGongYunJiaZhiDeJiLiangFangFaDeShuoMing" label="公司股权激励权益工具公允价值的计量方法的说明" addr="T0R0C1S1_1" tagAction="1" appId="_GBC_388221bc7be24cdca55be337256c8bc1"/>
      <m:placeholder xlName="_PLD_a0b9d9ffefe345a98362cac81df15505" addr="T0R1C0S1_1"/>
      <m:item xlName="_GBC_fba539e7e9724eb7a0b1173a7f6af7ec" concept="clcid-ie:GongSiGuQuanJiLiGuZhiJiShuCaiYongDeMoXingCanShuJiXuanQuBiaoZhunDeShuoMing" label="公司股权激励估值技术采用的参数说明" addr="T0R1C1S1_1" appId="_GBC_388221bc7be24cdca55be337256c8bc1"/>
      <m:placeholder xlName="_PLD_a6f3fd9df22a4b7db3850fe7636ebe18" addr="T0R2C0S1_1"/>
      <m:item xlName="_GBC_b292b7c491924507bd66d8c121d45ea3" concept="clcid-ie:GongSiGuQuanJiLiQuanYiGongJuGongYunJiaZhiDeFenTanQiJianJiJieGuoDeShuoMing" label="公司股权激励权益工具公允价值计量结果的说明" addr="T0R2C1S1_1" appId="_GBC_388221bc7be24cdca55be337256c8bc1"/>
    </m:section>
    <m:section xlName="_SEC_a417a9b40b6a4adeba436d511837e016" title="股权激励情况的说明" helpId="110005001">
      <m:item xlName="_GBC_e5a032ecd3e24335b29a38809f65a990" concept="clcid-ci-ar:ShiFouShiYongGuQuanJiLiQingKuangDeShuoMing" label="是否适用：股权激励情况的说明" selectOptions="_buildInAppliance" controlType="CustomCheckbox" cRanges="{&quot;StartName&quot;:&quot;_GBC_e5a032ecd3e24335b29a38809f65a990&quot;,&quot;EndName&quot;:&quot;_GBC_be9fb7d8997f40ba95ab4f85bf0f7784&quot;,&quot;CType&quot;:1,&quot;DisplayText&quot;:null}"/>
      <m:item xlName="_GBC_be9fb7d8997f40ba95ab4f85bf0f7784" concept="clcid-ie:GuQuanJiLiQingKuangDeShuoMing" label="股权激励情况的说明" appId="_GBC_e5a032ecd3e24335b29a38809f65a990"/>
    </m:section>
    <m:section xlName="_SEC_70861e225efc4a6aa2a87c82bdeffa60" title="员工持股计划情况" rules="R2015_R5_008" helpId="110005001">
      <m:item xlName="_GBC_60a13b60efda4715a83fed9c5960ee3b" concept="clcid-ci-ar:ShiFouShiYongYuanGongChiGuJiHuaQingKuang" label="是否适用：员工持股计划情况" selectOptions="_buildInAppliance" controlType="CustomCheckbox" cRanges="{&quot;StartName&quot;:&quot;_GBC_60a13b60efda4715a83fed9c5960ee3b&quot;,&quot;EndName&quot;:&quot;_GBC_6911b4679674421a905d46935917d77c&quot;,&quot;CType&quot;:1,&quot;DisplayText&quot;:null}"/>
      <m:item xlName="_GBC_6911b4679674421a905d46935917d77c" concept="clcid-ie:YuanGongChiGuJiHuaQingKuang" label="员工持股计划情况" appId="_GBC_60a13b60efda4715a83fed9c5960ee3b"/>
    </m:section>
    <m:section xlName="_SEC_63920368dc0b49e9a257b190129bf278" title="其他激励措施" rules="R2015_R5_008" helpId="110005001">
      <m:item xlName="_GBC_87e3c04518ac4bed97846d84cc8784e1" concept="clcid-ci-ar:ShiFouShiYongQiTaJiLiCuoShi" label="是否适用：其他激励措施" selectOptions="_buildInAppliance" controlType="CustomCheckbox" cRanges="{&quot;StartName&quot;:&quot;_GBC_87e3c04518ac4bed97846d84cc8784e1&quot;,&quot;EndName&quot;:&quot;_GBC_62a8eb113acf43f78cd82bf2a0509eb8&quot;,&quot;CType&quot;:1,&quot;DisplayText&quot;:null}"/>
      <m:item xlName="_GBC_62a8eb113acf43f78cd82bf2a0509eb8" concept="clcid-ie:QiTaJiLiCuoShi" label="其他激励措施" appId="_GBC_87e3c04518ac4bed97846d84cc8784e1"/>
    </m:section>
    <m:item xlName="_GBC_820250e25791459fb9ab9ed79c168408" concept="clcid-mr:ShiFouShiYongZhongDianPaiWuDanWeiHuanBaoQingKuang" label="是否适用：重点排污单位环保情况" selectOptions="_buildInAppliance" controlType="CustomCheckbox" cRanges="[{&quot;StartName&quot;:&quot;_GBC_820250e25791459fb9ab9ed79c168408&quot;,&quot;EndName&quot;:&quot;_SEC_c87c813c87604960a2e846d148a1280c&quot;,&quot;CType&quot;:1}]"/>
    <m:section xlName="_SEC_692004cb913244878ef4d9f391681f08" title="排污信息" helpId="104002008">
      <m:item xlName="_GBC_44bbf262c38141458fba6072b4e5b459" concept="clcid-mr:ShiFouShiYongPaiWuXinXi" label="是否适用：排污信息" selectOptions="_buildInAppliance" controlType="CustomCheckbox" cRanges="[{&quot;StartName&quot;:&quot;_GBC_44bbf262c38141458fba6072b4e5b459&quot;,&quot;EndName&quot;:&quot;_GBC_28890c46cf8446cc95bd08ae7c7a17dc&quot;,&quot;CType&quot;:1}]"/>
      <m:item xlName="_GBC_28890c46cf8446cc95bd08ae7c7a17dc" concept="clcid-mr:PaiWuXinXi" label="排污信息" appId="_GBC_44bbf262c38141458fba6072b4e5b459"/>
    </m:section>
    <m:section xlName="_SEC_9647358b46c84a02b09d75557c728419" title="防治污染设施的建设和运行情况" helpId="104002008">
      <m:item xlName="_GBC_e5a6ee71f2e449e58d9301e4ca07981f" concept="clcid-mr:ShiFouShiYongFangZhiWuRanSheShiDeJianSheHeYunHangQingKuang" label="是否适用：防治污染设施的建设和运行情况" selectOptions="_buildInAppliance" controlType="CustomCheckbox" cRanges="[{&quot;StartName&quot;:&quot;_GBC_e5a6ee71f2e449e58d9301e4ca07981f&quot;,&quot;EndName&quot;:&quot;_GBC_1c83977b65834eaa98d6c63b6e3074af&quot;,&quot;CType&quot;:1}]"/>
      <m:item xlName="_GBC_1c83977b65834eaa98d6c63b6e3074af" concept="clcid-mr:FangZhiWuRanSheShiDeJianSheHeYunHangQingKuang" label="防治污染设施的建设和运行情况" appId="_GBC_e5a6ee71f2e449e58d9301e4ca07981f"/>
    </m:section>
    <m:section xlName="_SEC_2708d5a25473420b9cd1646eac86c715" title="建设项目环境影响评价及其他环境保护行政许可情况" helpId="104002008">
      <m:item xlName="_GBC_3824fd66ff4141358cbb17c1d49124d4" concept="clcid-mr:ShiFouShiYongHuanJingYingXiangPingJiaJiQiTaHuanJingBaoHuXingZhengXuKe" label="是否适用：环境影响评价及其他环境保护行政许可" selectOptions="_buildInAppliance" controlType="CustomCheckbox" cRanges="[{&quot;StartName&quot;:&quot;_GBC_3824fd66ff4141358cbb17c1d49124d4&quot;,&quot;EndName&quot;:&quot;_GBC_8592b333277f43349f710f284bb4c167&quot;,&quot;CType&quot;:1}]"/>
      <m:item xlName="_GBC_8592b333277f43349f710f284bb4c167" concept="clcid-mr:HuanJingYingXiangPingJiaJiQiTaHuanJingBaoHuXingZhengXuKe" label="环境影响评价及其他环境保护行政许可" appId="_GBC_3824fd66ff4141358cbb17c1d49124d4"/>
    </m:section>
    <m:section xlName="_SEC_8a186947e6794ae7a56369fd5232b227" title="突发环境事件应急预案" helpId="104002008">
      <m:item xlName="_GBC_df8be27e0fe04478b8e2d99d253dbf26" concept="clcid-mr:ShiFouShiYongTuFaHuanJingShiJianYingJiYuAn" label="是否适用：突发环境事件应急预案" selectOptions="_buildInAppliance" controlType="CustomCheckbox" cRanges="[{&quot;StartName&quot;:&quot;_GBC_df8be27e0fe04478b8e2d99d253dbf26&quot;,&quot;EndName&quot;:&quot;_GBC_2185e6aced094c6c8ba2229f13fa085b&quot;,&quot;CType&quot;:1}]"/>
      <m:item xlName="_GBC_2185e6aced094c6c8ba2229f13fa085b" concept="clcid-mr:TuFaHuanJingShiJianYingJiYuAn" label="突发环境事件应急预案" appId="_GBC_df8be27e0fe04478b8e2d99d253dbf26"/>
    </m:section>
    <m:section xlName="_SEC_9756f3e7d2714d9788f7344c9c15bb49" title="环境自行监测方案" helpId="104002008">
      <m:item xlName="_GBC_8282bd073e454f33b6fa8f66542c0ea4" concept="clcid-mr:ShiFouShiYongHuanJingZiXingJianCeFangAn" label="是否适用：环境自行监测方案" selectOptions="_buildInAppliance" controlType="CustomCheckbox" cRanges="[{&quot;StartName&quot;:&quot;_GBC_8282bd073e454f33b6fa8f66542c0ea4&quot;,&quot;EndName&quot;:&quot;_GBC_fcc9259ff58741f496af8580b408371e&quot;,&quot;CType&quot;:1}]"/>
      <m:item xlName="_GBC_fcc9259ff58741f496af8580b408371e" concept="clcid-mr:HuanJingZiXingJianCeFangAn" label="环境自行监测方案" appId="_GBC_8282bd073e454f33b6fa8f66542c0ea4"/>
    </m:section>
    <m:section xlName="_SEC_d4d4f3aa551f4da6b52a96fc74100d07" title="报告期内因环境问题受到行政处罚的情况" helpId="104002008">
      <m:item xlName="_GBC_5f5b826efaf649958cd6c4a308bbb8f9" concept="clcid-ci-ar:ShiFouShiYongBaoGaoQiNeiYinHuanJingWenTiShouDaoXingZhengChuFaDeQingKuang" label="是否适用：报告期内因环境问题受到行政处罚的情况" selectOptions="_buildInAppliance" controlType="CustomCheckbox" cRanges="[{&quot;StartName&quot;:&quot;_GBC_5f5b826efaf649958cd6c4a308bbb8f9&quot;,&quot;EndName&quot;:&quot;_GBC_88a194d78c7546e58177d14d131ad8ba&quot;,&quot;CType&quot;:1}]"/>
      <m:item xlName="_GBC_88a194d78c7546e58177d14d131ad8ba" concept="clcid-mr:BaoGaoQiNeiYinHuanJingWenTiShouDaoXingZhengChuFaDeQingKuang" label="报告期内因环境问题受到行政处罚的情况" appId="_GBC_5f5b826efaf649958cd6c4a308bbb8f9"/>
    </m:section>
    <m:section xlName="_SEC_c87c813c87604960a2e846d148a1280c" title="其他应当公开的环境信息" helpId="104002008">
      <m:item xlName="_GBC_b667f965a34943718106b9347a0b30af" concept="clcid-mr:ShiFouShiYongQiTaYingDangGongKaiDeHuanJingXinXi" label="是否适用：其他应当公开的环境信息" selectOptions="_buildInAppliance" controlType="CustomCheckbox" cRanges="[{&quot;StartName&quot;:&quot;_GBC_b667f965a34943718106b9347a0b30af&quot;,&quot;EndName&quot;:&quot;_GBC_e8dd35c2f7204faaacb629f84279b445&quot;,&quot;CType&quot;:1}]"/>
      <m:item xlName="_GBC_e8dd35c2f7204faaacb629f84279b445" concept="clcid-mr:QiTaYingDangGongKaiDeHuanJingXinXi" label="其他应当公开的环境信息" appId="_GBC_b667f965a34943718106b9347a0b30af"/>
    </m:section>
    <m:item xlName="_GBC_5429e6d325df48abbf95eb4f87e71363" concept="clcid-mr:ShiFouShiYongZhongDianPaiWuDanWeiZhiWaiDeGongSiDeHuanBaoQingKuang" label="是否适用：重点排污单位之外的公司的环保情况" selectOptions="_buildInAppliance" controlType="CustomCheckbox" cRanges="[{&quot;StartName&quot;:&quot;_GBC_5429e6d325df48abbf95eb4f87e71363&quot;,&quot;EndName&quot;:&quot;_SEC_dbf114d9dfed451c943c0db36f9761bc&quot;,&quot;CType&quot;:1}]"/>
    <m:section xlName="_SEC_0394b08510244ffd8c8d1de70ffde99e" title="因环境问题受到行政处罚的情况  ____" helpId="104002008">
      <m:item xlName="_GBC_305b6bc67ef1434084d2e95288a4935d" concept="clcid-ci-ar:ShiFouShiYongZhongDianPaiWuDanWeiZhiWaiDeGongSiYinHuanJingWenTiShouDaoXingZhengChuFaDeQingKuang" label="是否适用：重点排污单位之外的公司因环境问题受到行政处罚的情况" selectOptions="_buildInAppliance" controlType="CustomCheckbox" cRanges="[{&quot;StartName&quot;:&quot;_GBC_305b6bc67ef1434084d2e95288a4935d&quot;,&quot;EndName&quot;:&quot;_GBC_c7d2ffa63351469b8f10c6330a00b87b&quot;,&quot;CType&quot;:1}]"/>
      <m:item xlName="_GBC_c7d2ffa63351469b8f10c6330a00b87b" concept="clcid-mr:ZhongDianPaiWuDanWeiZhiWaiDeGongSiYinHuanJingWenTiShouDaoXingZhengChuFaDeQingKuang" label="重点排污单位之外的公司因环境问题受到行政处罚的情况" appId="_GBC_305b6bc67ef1434084d2e95288a4935d"/>
    </m:section>
    <m:section xlName="_SEC_15a234e4f4924e908104a96ce6984e16" title="参照重点排污单位披露其它环境信息  ____" helpId="104002008">
      <m:item xlName="_GBC_9c01117420e34ec98e6c3270ab89a087" concept="clcid-ci-ar:ShiFouShiYongCanZhaoZhongDianPaiWuDanWeiPiLuQiTaHuanJingXinXi" label="是否适用：参照重点排污单位披露其它环境信息" selectOptions="_buildInAppliance" controlType="CustomCheckbox" cRanges="[{&quot;StartName&quot;:&quot;_GBC_9c01117420e34ec98e6c3270ab89a087&quot;,&quot;EndName&quot;:&quot;_GBC_d7868d84e7264843adc3176dd3298796&quot;,&quot;CType&quot;:1}]"/>
      <m:item xlName="_GBC_d7868d84e7264843adc3176dd3298796" concept="clcid-mr:CanZhaoZhongDianPaiWuDanWeiPiLuQiTaHuanJingXinXi" label="参照重点排污单位披露其它环境信息" appId="_GBC_9c01117420e34ec98e6c3270ab89a087"/>
    </m:section>
    <m:section xlName="_SEC_dbf114d9dfed451c943c0db36f9761bc" title="重点排污单位之外的公司未披露环境信息的原因说明" helpId="104002008">
      <m:item xlName="_GBC_31106daab34d41698243bfe90ff75054" concept="clcid-mr:ShiFouShiYongZhongDianPaiWuDanWeiZhiWaiDeGongSiWeiPiLuHuanJingXinXiDeYuanYin" label="是否适用：重点排污单位之外的公司未披露环境信息的原因" selectOptions="_buildInAppliance" controlType="CustomCheckbox" cRanges="[{&quot;StartName&quot;:&quot;_GBC_31106daab34d41698243bfe90ff75054&quot;,&quot;EndName&quot;:&quot;_GBC_0636d353cc134ffa96bbfa3feee9e11d&quot;,&quot;CType&quot;:1}]"/>
      <m:item xlName="_GBC_0636d353cc134ffa96bbfa3feee9e11d" concept="clcid-mr:ZhongDianPaiWuDanWeiZhiWaiDeGongSiWeiPiLuHuanJingXinXiDeYuanYin" label="重点排污单位之外的公司未披露环境信息的原因" appId="_GBC_31106daab34d41698243bfe90ff75054"/>
    </m:section>
    <m:section xlName="_SEC_3c63bb32177f4f368bb662e3b696830a" title="报告期内披露环境信息内容的后续进展或变化情况的说明" helpId="104002008">
      <m:item xlName="_GBC_451a415ae7344df7ba110ec71bce5279" concept="clcid-mr:ShiFouShiYongPiLuHuanJingXinXiNeiRongDeHouXuJinZhanHuoBianHuaQingKuang" label="是否适用：披露环境信息内容的后续进展或变化情况" selectOptions="_buildInAppliance" controlType="CustomCheckbox" cRanges="[{&quot;StartName&quot;:&quot;_GBC_451a415ae7344df7ba110ec71bce5279&quot;,&quot;EndName&quot;:&quot;_GBC_a3943679baef4c6dbfdc1d5fe9939452&quot;,&quot;CType&quot;:1}]"/>
      <m:item xlName="_GBC_a3943679baef4c6dbfdc1d5fe9939452" concept="clcid-mr:PiLuHuanJingXinXiNeiRongDeHouXuJinZhanHuoBianHuaQingKuang" label="披露环境信息内容的后续进展或变化情况" appId="_GBC_451a415ae7344df7ba110ec71bce5279"/>
    </m:section>
    <m:section xlName="_SEC_94dff50e6ff346df8df30ef5135f60ea" title="有利于保护生态、防治污染、履行环境责任的相关信息  __..." helpId="104002008">
      <m:item xlName="_GBC_1d95a0d39baa46e594806677748c6810" concept="clcid-ci-ar:ShiFouShiYongYouLiYuBaoHuShengTaiFangZhiWuRanLvXingHuanJingZeRenDeXiangGuanXinXi" label="是否适用：有利于保护生态、防治污染、履行环境责任的相关信息" selectOptions="_buildInAppliance" controlType="CustomCheckbox" cRanges="[{&quot;StartName&quot;:&quot;_GBC_1d95a0d39baa46e594806677748c6810&quot;,&quot;EndName&quot;:&quot;_GBC_a7d973127b43494bb6876b836c3ec06c&quot;,&quot;CType&quot;:1}]"/>
      <m:item xlName="_GBC_a7d973127b43494bb6876b836c3ec06c" concept="clcid-mr:YouLiYuBaoHuShengTaiFangZhiWuRanLvXingHuanJingZeRenDeXiangGuanXinXi" label="有利于保护生态、防治污染、履行环境责任的相关信息" appId="_GBC_1d95a0d39baa46e594806677748c6810"/>
    </m:section>
    <m:section xlName="_SEC_87628184e820413e96ce4b271e0a263e" title="在报告期内为减少其碳排放所采取的措施及效果" helpId="104002008">
      <m:item xlName="_GBC_ca569fabe8a9403daf36205eb0a0b1c9" concept="clcid-ci-ar:ShiFouShiYongZaiBaoGaoQiNeiWeiJianShaoQiTanPaiFangSuoCaiQuDeCuoShiJiXiaoGuo" label="是否适用：在报告期内为减少其碳排放所采取的措施及效果 " selectOptions="_buildInAppliance" controlType="CustomCheckbox" cRanges="[{&quot;StartName&quot;:&quot;_GBC_ca569fabe8a9403daf36205eb0a0b1c9&quot;,&quot;EndName&quot;:&quot;_GBC_221e39ea9306408396fdb801430670c9&quot;,&quot;CType&quot;:1}]"/>
      <m:item xlName="_GBC_221e39ea9306408396fdb801430670c9" concept="clcid-mr:ZaiBaoGaoQiNeiWeiJianShaoQiTanPaiFangSuoCaiQuDeCuoShiJiXiaoGuo" label="在报告期内为减少其碳排放所采取的措施及效果 " appId="_GBC_ca569fabe8a9403daf36205eb0a0b1c9"/>
    </m:section>
    <m:section xlName="_SEC_108ac2551a8348aa822912cd114d975d" title="巩固拓展脱贫攻坚成果、乡村振兴工作具体情况" helpId="104002004">
      <m:item xlName="_GBC_343d238938b047859f321e95ba7397a9" concept="clcid-ci-ar:ShiFouShiYongGongGuTuoZhanTuoPinGongJianChengGuoXiangCunZhenXingGongZuoJuTiQingKuang" label="是否适用：巩固拓展脱贫攻坚成果、乡村振兴工作具体情况" selectOptions="_buildInAppliance" controlType="CustomCheckbox" cRanges="[{&quot;StartName&quot;:&quot;_GBC_343d238938b047859f321e95ba7397a9&quot;,&quot;EndName&quot;:&quot;_GBC_d85322d97d5a43f2aa7d20954969492d&quot;,&quot;CType&quot;:1}]"/>
      <m:item xlName="_GBC_d85322d97d5a43f2aa7d20954969492d" concept="clcid-mr:GongGuTuoZhanTuoPinGongJianChengGuoXiangCunZhenXingGongZuoJuTiQingKuang" label="巩固拓展脱贫攻坚成果、乡村振兴工作具体情况" appId="_GBC_343d238938b047859f321e95ba7397a9"/>
    </m:section>
    <m:section xlName="_SEC_0b5886e57afd437b88c6e55a33dbccb9" title="公司实际控制人、股东、关联方、收购人以及公司等承诺相关方在报..." helpId="112001217" axisType="Column">
      <m:item xlName="_GBC_1f306de554d7473c98965061dbefd050" concept="clcid-ci-ar:ShiFouShiYongGongSiShiJiKongZhiRenGuDongGuanLianFangShouGouRenYiJiGongSiDengChengNuoXiangGuanFangZaiBaoGaoQiNeiHuoChiXuDaoBaoGaoQiNeiDeChengNuoShiXiang" label="是否适用：公司实际控制人、股东、关联方、收购人以及公司等承诺相关方在报告期内或持续到报告期内的承诺事项 " selectOptions="_buildInAppliance" controlType="CustomCheckbox" cRanges="[{&quot;StartName&quot;:&quot;_GBC_1f306de554d7473c98965061dbefd050&quot;,&quot;EndName&quot;:&quot;_GBC_ea5c4f56c11c451ebacc6466b6589903&quot;,&quot;CType&quot;:1}]"/>
      <m:placeholder xlName="_PLD_7cf4be735507474ea2ffb334536196ae" addr="T0R0C0S1_1"/>
      <m:placeholder xlName="_PLD_77809d9b500842ee846f5b9234afaf2c" addr="T0R0C1S1_1"/>
      <m:placeholder xlName="_PLD_d21f336f76d6499095ebb0491402a947" addr="T0R0C2S1_1"/>
      <m:placeholder xlName="_PLD_edc023441e514f09b2c6745eaeed4f1d" addr="T0R0C3S1_1"/>
      <m:placeholder xlName="_PLD_d398e2f412b141208b0742084901cc8c" addr="T0R0C4S1_1"/>
      <m:placeholder xlName="_PLD_1bb30cce0850445480f1557cc607067b" addr="T0R0C5S1_1"/>
      <m:placeholder xlName="_PLD_163d41dca4704f5ea4aae2d6d04db88e" addr="T0R0C6S1_1"/>
      <m:placeholder xlName="_PLD_f0ee8c5125074149961859e986fb6c43" addr="T0R0C7S1_1"/>
      <m:placeholder xlName="_PLD_a7e59e23ed90488abff575e2b4f10711" addr="T0R0C8S1_1"/>
      <m:tuple xlName="_TUP_bf6fe58158794936b4c20c6a46fe2e6a" concept="clcid-ie:YuGuGaiXiangGuanDeChengNuo" default_row="2" addr="T0R1C">
        <m:placeholder xlName="_PLD_0dc221deae3349fea77d3cfbadf8ef3d" autoRowSpan="true" addr="T0R1C0S2_1"/>
        <m:item xlName="_GBC_6a8b676678dd462dafb30b772ab92ae8" concept="clcid-ie:YuGuGaiXiangGuanDeChengNuoChengNuoLeiXing" label="与股改相关的承诺-承诺类型" selectOptions="004bc57b3f89403c92ad45ef1ca044f9" addr="T0R1C1S1_1" controlType="Combobox" appId="_GBC_1f306de554d7473c98965061dbefd050"/>
        <m:item xlName="_GBC_64c03044f94441dfb9f67907735b2188" concept="clcid-ie:YuGuGaiXiangGuanDeChengNuoChengNuoFang" label="与股改相关的承诺-承诺方" addr="T0R1C2S1_1" appId="_GBC_1f306de554d7473c98965061dbefd050"/>
        <m:item xlName="_GBC_f6bca930099941fca887e97f97e48ba5" concept="clcid-ie:YuGuGaiXiangGuanDeChengNuoChengNuoNeiRong" label="与股改相关的承诺-承诺内容" addr="T0R1C3S1_1" appId="_GBC_1f306de554d7473c98965061dbefd050"/>
        <m:item xlName="_GBC_9703fdab1e2c4606978de619019e897b" concept="clcid-ie:YuGuGaiXiangGuanDeChengNuoChengNuoShiJianJiQiXian" label="与股改相关的承诺-承诺时间及期限" addr="T0R1C4S1_1" appId="_GBC_1f306de554d7473c98965061dbefd050"/>
        <m:item xlName="_GBC_9d8147bb4e314c0a9d1b21d1473297d9" concept="clcid-ie:YuGuGaiXiangGuanDeChengNuoShiFouYouLvXingQiXian" label="与股改相关的承诺-是否有履行期限" selectOptions="_buildInYesNo" addr="T0R1C5S1_1" controlType="Combobox" appId="_GBC_1f306de554d7473c98965061dbefd050"/>
        <m:item xlName="_GBC_f7d744ce0b754e9ca908c8120cb7514b" concept="clcid-ie:YuGuGaiXiangGuanDeChengNuoShiFouJiShiYanGeLvXing" label="与股改相关的承诺-是否及时严格履行" selectOptions="_buildInYesNo" addr="T0R1C6S1_1" controlType="Combobox" appId="_GBC_1f306de554d7473c98965061dbefd050"/>
        <m:item xlName="_GBC_553aaa61197a4bdabec9dfc2e0f70db3" concept="clcid-ie:YuGuGaiXiangGuanDeChengNuoRuWeiNengJiShiLvXingYingShuoMingWeiWanChengLvXingDeJuTiYuanYin" label="与股改相关的承诺-如未能及时履行应说明未完成履行的具体原因" addr="T0R1C7S1_1" appId="_GBC_1f306de554d7473c98965061dbefd050"/>
        <m:item xlName="_GBC_4c5ad7cf54054ab9b3f605856a65da10" concept="clcid-ie:YuGuGaiXiangGuanDeChengNuoRuWeiNengJiShiLvXingYingShuoMingXiaYiBuJiHua" label="与股改相关的承诺-如未能及时履行应说明下一步计划" addr="T0R1C8S1_1" appId="_GBC_1f306de554d7473c98965061dbefd050"/>
      </m:tuple>
      <m:tuple xlName="_TUP_398700eccd054de5893161a2bf5cab9b" concept="clcid-ie:YuShouGouBaoGaoShuHuoQuanYiBianDongBaoGaoShuXiangGuanChengNuo" default_row="2" addr="T0R3C">
        <m:placeholder xlName="_PLD_2fee745b02784f188f1ebc20b737c886" autoRowSpan="true" addr="T0R3C0S2_1"/>
        <m:item xlName="_GBC_e85a2539ff6f4c0393f66f2fa3e6970d" concept="clcid-ie:YuShouGouBaoGaoShuHuoQuanYiBianDongBaoGaoShuXiangGuanChengNuoChengNuoLeiXing" label="与收购报告书或权益变动报告书相关承诺-承诺类型" selectOptions="004bc57b3f89403c92ad45ef1ca044f9" addr="T0R3C1S1_1" controlType="Combobox" appId="_GBC_1f306de554d7473c98965061dbefd050"/>
        <m:item xlName="_GBC_dfbe359eb33e46849180adc08acbc406" concept="clcid-ie:YuShouGouBaoGaoShuHuoQuanYiBianDongBaoGaoShuXiangGuanChengNuoChengNuoFang" label="与收购报告书或权益变动报告书相关承诺-承诺方" addr="T0R3C2S1_1" appId="_GBC_1f306de554d7473c98965061dbefd050"/>
        <m:item xlName="_GBC_2d5225133a854498a95a123f5572337a" concept="clcid-ie:YuShouGouBaoGaoShuHuoQuanYiBianDongBaoGaoShuXiangGuanChengNuoChengNuoNeiRong" label="与收购报告书或权益变动报告书相关承诺-承诺内容" addr="T0R3C3S1_1" appId="_GBC_1f306de554d7473c98965061dbefd050"/>
        <m:item xlName="_GBC_e05a9a1a7b1249e7a043944c6cc91265" concept="clcid-ie:YuShouGouBaoGaoShuHuoQuanYiBianDongBaoGaoShuXiangGuanChengNuoChengNuoShiJianJiQiXian" label="与收购报告书或权益变动报告书相关承诺-承诺时间及期限" addr="T0R3C4S1_1" appId="_GBC_1f306de554d7473c98965061dbefd050"/>
        <m:item xlName="_GBC_e3c53a81843746098b3d32e7645ee92f" concept="clcid-ie:YuShouGouBaoGaoShuHuoQuanYiBianDongBaoGaoShuXiangGuanChengNuoShiFouYouLvXingQiXian" label="与收购报告书或权益变动报告书相关承诺-是否有履行期限" selectOptions="_buildInYesNo" addr="T0R3C5S1_1" controlType="Combobox" appId="_GBC_1f306de554d7473c98965061dbefd050"/>
        <m:item xlName="_GBC_273adbc65ae043908b43ba0e0c47d626" concept="clcid-ie:YuShouGouBaoGaoShuHuoQuanYiBianDongBaoGaoShuXiangGuanChengNuoShiFouJiShiYanGeLvXing" label="与收购报告书或权益变动报告书相关承诺-是否及时严格履行" selectOptions="_buildInYesNo" addr="T0R3C6S1_1" controlType="Combobox" appId="_GBC_1f306de554d7473c98965061dbefd050"/>
        <m:item xlName="_GBC_e4e7c97aa91b49718b2096884a9c0fa1" concept="clcid-ie:YuShouGouBaoGaoShuHuoQuanYiBianDongBaoGaoShuXiangGuanChengNuoRuWeiNengJiShiLvXingYingShuoMingWeiWanChengLvXingDeJuTiYuanYin" label="与收购报告书或权益变动报告书相关承诺-如未能及时履行应说明未完成履行的具体原因" addr="T0R3C7S1_1" appId="_GBC_1f306de554d7473c98965061dbefd050"/>
        <m:item xlName="_GBC_1f91f9e8844241c1b5eb827e645abb11" concept="clcid-ie:YuShouGouBaoGaoShuHuoQuanYiBianDongBaoGaoShuXiangGuanChengNuoRuWeiNengJiShiLvXingYingShuoMingXiaYiBuJiHua" label="与收购报告书或权益变动报告书相关承诺-如未能及时履行应说明下一步计划" addr="T0R3C8S1_1" appId="_GBC_1f306de554d7473c98965061dbefd050"/>
      </m:tuple>
      <m:tuple xlName="_TUP_4c417fa2ad9d4d839a60365e09497e73" concept="clcid-ie:YuZhongDaZiChanZhongZuXiangGuanDeChengNuo" default_row="2" addr="T0R5C">
        <m:placeholder xlName="_PLD_7ff959e26b5741d09fa7dec10fcd2389" autoRowSpan="true" addr="T0R5C0S2_1"/>
        <m:item xlName="_GBC_c986a55468114c2fbf6186df07b763ce" concept="clcid-ie:YuZhongDaZiChanZhongZuXiangGuanDeChengNuoChengNuoLeiXing" label="与重大资产重组相关的承诺-承诺类型" selectOptions="004bc57b3f89403c92ad45ef1ca044f9" addr="T0R5C1S1_1" controlType="Combobox" appId="_GBC_1f306de554d7473c98965061dbefd050"/>
        <m:item xlName="_GBC_2bbff882ebe34d1fadfbb20525645734" concept="clcid-ie:YuZhongDaZiChanZhongZuXiangGuanDeChengNuoChengNuoFang" label="与重大资产重组相关的承诺-承诺方" addr="T0R5C2S1_1" appId="_GBC_1f306de554d7473c98965061dbefd050"/>
        <m:item xlName="_GBC_38381aa64a20446fbdac75a02dcea70c" concept="clcid-ie:YuZhongDaZiChanZhongZuXiangGuanDeChengNuoChengNuoNeiRong" label="与重大资产重组相关的承诺-承诺内容" addr="T0R5C3S1_1" appId="_GBC_1f306de554d7473c98965061dbefd050"/>
        <m:item xlName="_GBC_6013a3a0402547d5a92e329efac48310" concept="clcid-ie:YuZhongDaZiChanZhongZuXiangGuanDeChengNuoChengNuoShiJianJiQiXian" label="与重大资产重组相关的承诺-承诺时间及期限" addr="T0R5C4S1_1" appId="_GBC_1f306de554d7473c98965061dbefd050"/>
        <m:item xlName="_GBC_79e4c1ac8ad34fc58bc66e725cb673e1" concept="clcid-ie:YuZhongDaZiChanZhongZuXiangGuanDeChengNuoShiFouYouLvXingQiXian" label="与重大资产重组相关的承诺-是否有履行期限" selectOptions="_buildInYesNo" addr="T0R5C5S1_1" controlType="Combobox" appId="_GBC_1f306de554d7473c98965061dbefd050"/>
        <m:item xlName="_GBC_1aabacc96fa447b3965eabf1922b74c1" concept="clcid-ie:YuZhongDaZiChanZhongZuXiangGuanDeChengNuoShiFouJiShiYanGeLvXing" label="与重大资产重组相关的承诺-是否及时严格履行" selectOptions="_buildInYesNo" addr="T0R5C6S1_1" controlType="Combobox" appId="_GBC_1f306de554d7473c98965061dbefd050"/>
        <m:item xlName="_GBC_56d3e154177946d191fe6462add8eddb" concept="clcid-ie:YuZhongDaZiChanZhongZuXiangGuanDeChengNuoRuWeiNengJiShiLvXingYingShuoMingWeiWanChengLvXingDeJuTiYuanYin" label="与重大资产重组相关的承诺-如未能及时履行应说明未完成履行的具体原因" addr="T0R5C7S1_1" appId="_GBC_1f306de554d7473c98965061dbefd050"/>
        <m:item xlName="_GBC_8b3ef2da9e0246b5b788037e78568d83" concept="clcid-ie:YuZhongDaZiChanZhongZuXiangGuanDeChengNuoRuWeiNengJiShiLvXingYingShuoMingXiaYiBuJiHua" label="与重大资产重组相关的承诺-如未能及时履行应说明下一步计划" addr="T0R5C8S1_1" appId="_GBC_1f306de554d7473c98965061dbefd050"/>
      </m:tuple>
      <m:tuple xlName="_TUP_98b30934a40c44fe822f4cc26616e99c" concept="clcid-ie:YuShouCiGongKaiFaXingXiangGuanDeChengNuo" default_row="2" addr="T0R7C">
        <m:placeholder xlName="_PLD_a3bb0de076044bf4af956e5654049bfc" autoRowSpan="true" addr="T0R7C0S2_1"/>
        <m:item xlName="_GBC_f0b3976fba3f46e4affc4364f69d8f5a" concept="clcid-ie:YuShouCiGongKaiFaXingXiangGuanDeChengNuoChengNuoLeiXing" label="与首次公开发行相关的承诺-承诺类型" selectOptions="004bc57b3f89403c92ad45ef1ca044f9" addr="T0R7C1S1_1" controlType="Combobox" appId="_GBC_1f306de554d7473c98965061dbefd050"/>
        <m:item xlName="_GBC_b0d1268ae9044ac6bddad531b779c6e0" concept="clcid-ie:YuShouCiGongKaiFaXingXiangGuanDeChengNuoChengNuoFang" label="与首次公开发行相关的承诺-承诺方" addr="T0R7C2S1_1" appId="_GBC_1f306de554d7473c98965061dbefd050"/>
        <m:item xlName="_GBC_0317554a610a4423b66b98b24db5f3e7" concept="clcid-ie:YuShouCiGongKaiFaXingXiangGuanDeChengNuoChengNuoNeiRong" label="与首次公开发行相关的承诺-承诺内容" addr="T0R7C3S1_1" appId="_GBC_1f306de554d7473c98965061dbefd050"/>
        <m:item xlName="_GBC_40668689945045bfbf2e47e9883ac7ed" concept="clcid-ie:YuShouCiGongKaiFaXingXiangGuanDeChengNuoChengNuoShiJianJiQiXian" label="与首次公开发行相关的承诺-承诺时间及期限" addr="T0R7C4S1_1" appId="_GBC_1f306de554d7473c98965061dbefd050"/>
        <m:item xlName="_GBC_1a64033131a64daa8e3bdd128e9385c8" concept="clcid-ie:YuShouCiGongKaiFaXingXiangGuanDeChengNuoShiFouYouLvXingQiXian" label="与首次公开发行相关的承诺-是否有履行期限" selectOptions="_buildInYesNo" addr="T0R7C5S1_1" controlType="Combobox" appId="_GBC_1f306de554d7473c98965061dbefd050"/>
        <m:item xlName="_GBC_72e17878bcd24bdb95a1b0936940ee48" concept="clcid-ie:YuShouCiGongKaiFaXingXiangGuanDeChengNuoShiFouJiShiYanGeLvXing" label="与首次公开发行相关的承诺-是否及时严格履行" selectOptions="_buildInYesNo" addr="T0R7C6S1_1" controlType="Combobox" appId="_GBC_1f306de554d7473c98965061dbefd050"/>
        <m:item xlName="_GBC_20c3c2d6229b4dfcafe981e4608bc8c5" concept="clcid-ie:YuShouCiGongKaiFaXingXiangGuanDeChengNuoRuWeiNengJiShiLvXingYingShuoMingWeiWanChengLvXingDeJuTiYuanYin" label="与首次公开发行相关的承诺-如未能及时履行应说明未完成履行的具体原因" addr="T0R7C7S1_1" appId="_GBC_1f306de554d7473c98965061dbefd050"/>
        <m:item xlName="_GBC_b0e03e6bdf664c0995cf10e2c1d82987" concept="clcid-ie:YuShouCiGongKaiFaXingXiangGuanDeChengNuoRuWeiNengJiShiLvXingYingShuoMingXiaYiBuJiHua" label="与首次公开发行相关的承诺-如未能及时履行应说明下一步计划" addr="T0R7C8S1_1" appId="_GBC_1f306de554d7473c98965061dbefd050"/>
      </m:tuple>
      <m:tuple xlName="_TUP_0676323f2b9043339330c71dd933876a" concept="clcid-ie:YuZaiRongZiXiangGuanDeChengNuo" default_row="2" addr="T0R9C">
        <m:placeholder xlName="_PLD_e1964063cb86498486e1bb7869b34cad" autoRowSpan="true" addr="T0R9C0S2_1"/>
        <m:item xlName="_GBC_51fc7c8c3d5a45708a58624d814ebea4" concept="clcid-ie:YuZaiRongZiXiangGuanDeChengNuoChengNuoLeiXing" label="与再融资相关的承诺-承诺类型" selectOptions="004bc57b3f89403c92ad45ef1ca044f9" addr="T0R9C1S1_1" controlType="Combobox" appId="_GBC_1f306de554d7473c98965061dbefd050"/>
        <m:item xlName="_GBC_5428d6239c554a188e7184528d0a4629" concept="clcid-ie:YuZaiRongZiXiangGuanDeChengNuoChengNuoFang" label="与再融资相关的承诺-承诺方" addr="T0R9C2S1_1" appId="_GBC_1f306de554d7473c98965061dbefd050"/>
        <m:item xlName="_GBC_e9ef1cd33a6b4fa3b7e413660c4ae66a" concept="clcid-ie:YuZaiRongZiXiangGuanDeChengNuoChengNuoNeiRong" label="与再融资相关的承诺-承诺内容" addr="T0R9C3S1_1" appId="_GBC_1f306de554d7473c98965061dbefd050"/>
        <m:item xlName="_GBC_250f75b63c514c95985efd18ae7aec11" concept="clcid-ie:YuZaiRongZiXiangGuanDeChengNuoChengNuoShiJianJiQiXian" label="与再融资相关的承诺-承诺时间及期限" addr="T0R9C4S1_1" appId="_GBC_1f306de554d7473c98965061dbefd050"/>
        <m:item xlName="_GBC_61a129f65e5345a9a2449bccefe4fc4f" concept="clcid-ie:YuZaiRongZiXiangGuanDeChengNuoShiFouYouLvXingQiXian" label="与再融资相关的承诺-是否有履行期限" selectOptions="_buildInYesNo" addr="T0R9C5S1_1" controlType="Combobox" appId="_GBC_1f306de554d7473c98965061dbefd050"/>
        <m:item xlName="_GBC_b85129af82754ffea8b356787ace9197" concept="clcid-ie:YuZaiRongZiXiangGuanDeChengNuoShiFouJiShiYanGeLvXing" label="与再融资相关的承诺-是否及时严格履行" selectOptions="_buildInYesNo" addr="T0R9C6S1_1" controlType="Combobox" appId="_GBC_1f306de554d7473c98965061dbefd050"/>
        <m:item xlName="_GBC_a922257400544de8b5713cd1790903f7" concept="clcid-ie:YuZaiRongZiXiangGuanDeChengNuoRuWeiNengJiShiLvXingYingShuoMingWeiWanChengLvXingDeJuTiYuanYin" label="与再融资相关的承诺-如未能及时履行应说明未完成履行的具体原因" addr="T0R9C7S1_1" appId="_GBC_1f306de554d7473c98965061dbefd050"/>
        <m:item xlName="_GBC_19af48729b184ccd890869af53586640" concept="clcid-ie:YuZaiRongZiXiangGuanDeChengNuoRuWeiNengJiShiLvXingYingShuoMingXiaYiBuJiHua" label="与再融资相关的承诺-如未能及时履行应说明下一步计划" addr="T0R9C8S1_1" appId="_GBC_1f306de554d7473c98965061dbefd050"/>
      </m:tuple>
      <m:tuple xlName="_TUP_e138763c046443efa540bf5281cda933" concept="clcid-ie:YuGuQuanJiLiXiangGuanDeChengNuo" default_row="2" addr="T0R11C">
        <m:placeholder xlName="_PLD_15e1c21b94e24bdf967c3e671246d7e2" autoRowSpan="true" addr="T0R11C0S2_1"/>
        <m:item xlName="_GBC_9ba54e7567274866a1f4d04b9882cd3a" concept="clcid-ie:YuGuQuanJiLiXiangGuanDeChengNuoChengNuoLeiXing" label="与股权激励相关的承诺-承诺类型" selectOptions="004bc57b3f89403c92ad45ef1ca044f9" addr="T0R11C1S1_1" controlType="Combobox" appId="_GBC_1f306de554d7473c98965061dbefd050"/>
        <m:item xlName="_GBC_e22af9f26b86414199370478f4ce4677" concept="clcid-ie:YuGuQuanJiLiXiangGuanDeChengNuoChengNuoFang" label="与股权激励相关的承诺-承诺方" addr="T0R11C2S1_1" appId="_GBC_1f306de554d7473c98965061dbefd050"/>
        <m:item xlName="_GBC_5640c6d512e1481b90ac13c0aee97ed2" concept="clcid-ie:YuGuQuanJiLiXiangGuanDeChengNuoChengNuoNeiRong" label="与股权激励相关的承诺-承诺内容" addr="T0R11C3S1_1" appId="_GBC_1f306de554d7473c98965061dbefd050"/>
        <m:item xlName="_GBC_a093a208308b4cc5811bfbc327bdbb40" concept="clcid-ie:YuGuQuanJiLiXiangGuanDeChengNuoChengNuoShiJianJiQiXian" label="与股权激励相关的承诺-承诺时间及期限" addr="T0R11C4S1_1" appId="_GBC_1f306de554d7473c98965061dbefd050"/>
        <m:item xlName="_GBC_6d2982ad15394f19a8815f43af82f1c7" concept="clcid-ie:YuGuQuanJiLiXiangGuanDeChengNuoShiFouYouLvXingQiXian" label="与股权激励相关的承诺-是否有履行期限" selectOptions="_buildInYesNo" addr="T0R11C5S1_1" controlType="Combobox" appId="_GBC_1f306de554d7473c98965061dbefd050"/>
        <m:item xlName="_GBC_e5e6a81918f347e191ffd587f0c13d84" concept="clcid-ie:YuGuQuanJiLiXiangGuanDeChengNuoShiFouJiShiYanGeLvXing" label="与股权激励相关的承诺-是否及时严格履行" selectOptions="_buildInYesNo" addr="T0R11C6S1_1" controlType="Combobox" appId="_GBC_1f306de554d7473c98965061dbefd050"/>
        <m:item xlName="_GBC_3e1c29a6f1f549908f1b5e7d6efcfee3" concept="clcid-ie:YuGuQuanJiLiXiangGuanDeChengNuoRuWeiNengJiShiLvXingYingShuoMingWeiWanChengLvXingDeJuTiYuanYin" label="与股权激励相关的承诺-如未能及时履行应说明未完成履行的具体原因" addr="T0R11C7S1_1" appId="_GBC_1f306de554d7473c98965061dbefd050"/>
        <m:item xlName="_GBC_e388f8d0042e4ae3a4ab2a7aef633f62" concept="clcid-ie:YuGuQuanJiLiXiangGuanDeChengNuoRuWeiNengJiShiLvXingYingShuoMingXiaYiBuJiHua" label="与股权激励相关的承诺-如未能及时履行应说明下一步计划" addr="T0R11C8S1_1" appId="_GBC_1f306de554d7473c98965061dbefd050"/>
      </m:tuple>
      <m:tuple xlName="_TUP_d37484fd3478435aaca43f39c2accc88" concept="clcid-ie:QiTaChengNuo" default_row="2" addr="T0R13C">
        <m:placeholder xlName="_PLD_1880e70854ac45f797ec81268119acea" autoRowSpan="true" addr="T0R13C0S2_1"/>
        <m:item xlName="_GBC_e65a7213003a4f408d6fc1dfa824447a" concept="clcid-ie:QiTaChengNuoChengNuoLeiXing" label="其他对公司中小股东所作承诺-承诺类型" selectOptions="004bc57b3f89403c92ad45ef1ca044f9" addr="T0R13C1S1_1" controlType="Combobox" appId="_GBC_1f306de554d7473c98965061dbefd050"/>
        <m:item xlName="_GBC_b1b1230b74f54c1584af00087d06413d" concept="clcid-ie:QiTaChengNuoChengNuoFang" label="其他对公司中小股东所作承诺-承诺方" addr="T0R13C2S1_1" appId="_GBC_1f306de554d7473c98965061dbefd050"/>
        <m:item xlName="_GBC_fef7694367e9429eb5dbdb61435d02fa" concept="clcid-ie:QiTaChengNuoChengNuoNeiRong" label="其他对公司中小股东所作承诺-承诺内容" addr="T0R13C3S1_1" appId="_GBC_1f306de554d7473c98965061dbefd050"/>
        <m:item xlName="_GBC_c48b0bb26f874b71b384e08f57af49f8" concept="clcid-ie:QiTaChengNuoChengNuoShiJianJiQiXian" label="其他对公司中小股东所作承诺-承诺时间及期限" addr="T0R13C4S1_1" appId="_GBC_1f306de554d7473c98965061dbefd050"/>
        <m:item xlName="_GBC_2c33301a2baf45adb8f8c54a08a4d96d" concept="clcid-ie:QiTaChengNuoShiFouYouLvXingQiXian" label="其他对公司中小股东所作承诺-是否有履行期限" selectOptions="_buildInYesNo" addr="T0R13C5S1_1" controlType="Combobox" appId="_GBC_1f306de554d7473c98965061dbefd050"/>
        <m:item xlName="_GBC_2a38f73275314da0806f1a833da0d7a1" concept="clcid-ie:QiTaChengNuoShiFouJiShiYanGeLvXing" label="其他对公司中小股东所作承诺-是否及时严格履行" selectOptions="_buildInYesNo" addr="T0R13C6S1_1" controlType="Combobox" appId="_GBC_1f306de554d7473c98965061dbefd050"/>
        <m:item xlName="_GBC_8758b134eaac45cda8382c29ddfdc465" concept="clcid-ie:QiTaChengNuoRuWeiNengJiShiLvXingYingShuoMingWeiWanChengLvXingDeJuTiYuanYin" label="其他对公司中小股东所作承诺-如未能及时履行应说明未完成履行的具体原因" addr="T0R13C7S1_1" appId="_GBC_1f306de554d7473c98965061dbefd050"/>
        <m:item xlName="_GBC_35672fb2289d44ec942195a49e3213b7" concept="clcid-ie:QiTaChengNuoRuWeiNengJiShiLvXingYingShuoMingXiaYiBuJiHua" label="其他对公司中小股东所作承诺-如未能及时履行应说明下一步计划" addr="T0R13C8S1_1" appId="_GBC_1f306de554d7473c98965061dbefd050"/>
      </m:tuple>
      <m:tuple xlName="_TUP_9705181143b347298720d0a7d97dfb58" concept="clcid-ie:QiTaChengNuoXiangGuanFangDeChengNuoShiXiang" default_row="2" addr="T0R15C">
        <m:placeholder xlName="_PLD_f94ab0601f364d5da0d0ec9f11f2843c" keyCode="OTHER" keyAction="31" autoRowSpan="true" addr="T0R15C0S2_1"/>
        <m:item xlName="_GBC_f5c45f48e8c643ae90b289b4f3861c10" concept="clcid-ie:QiTaChengNuoXiangGuanFangDeChengNuoShiXiangChengNuoLeiXing" label="其他承诺相关方的承诺事项-承诺类型" selectOptions="004bc57b3f89403c92ad45ef1ca044f9" addr="T0R15C1S1_1" controlType="Combobox" appId="_GBC_1f306de554d7473c98965061dbefd050"/>
        <m:item xlName="_GBC_ece2c0ea7fdc4f019cdf37787ef89d1d" concept="clcid-ie:QiTaChengNuoXiangGuanFangDeChengNuoShiXiangChengNuoFang" label="其他承诺相关方的承诺事项-承诺方" addr="T0R15C2S1_1" appId="_GBC_1f306de554d7473c98965061dbefd050"/>
        <m:item xlName="_GBC_6c5b2650e5b74c2cac5e323ff95a34ae" concept="clcid-ie:QiTaChengNuoXiangGuanFangDeChengNuoShiXiangChengNuoNeiRong" label="其他承诺相关方的承诺事项-承诺内容" addr="T0R15C3S1_1" appId="_GBC_1f306de554d7473c98965061dbefd050"/>
        <m:item xlName="_GBC_87cae5e5e9fd4c87bfa15938f0ad40a6" concept="clcid-ie:QiTaChengNuoXiangGuanFangDeChengNuoShiXiangChengNuoShiJianJiQiXian" label="其他承诺相关方的承诺事项-承诺时间及期限" addr="T0R15C4S1_1" appId="_GBC_1f306de554d7473c98965061dbefd050"/>
        <m:item xlName="_GBC_eea426e94aa64e0d94c932b310318e95" concept="clcid-ie:QiTaChengNuoXiangGuanFangDeChengNuoShiXiangShiFouYouLvXingQiXian" label="其他承诺相关方的承诺事项-是否有履行期限" selectOptions="_buildInYesNo" addr="T0R15C5S1_1" controlType="Combobox" appId="_GBC_1f306de554d7473c98965061dbefd050"/>
        <m:item xlName="_GBC_77946a666c9a4f6a87209acb7df47051" concept="clcid-ie:QiTaChengNuoXiangGuanFangDeChengNuoShiXiangShiFouJiShiYanGeLvXing" label="其他承诺相关方的承诺事项-是否及时严格履行" selectOptions="_buildInYesNo" addr="T0R15C6S1_1" controlType="Combobox" appId="_GBC_1f306de554d7473c98965061dbefd050"/>
        <m:item xlName="_GBC_7d2ac55b77da4318b0255e301aacc93a" concept="clcid-ie:QiTaChengNuoXiangGuanFangDeChengNuoShiXiangRuWeiNengJiShiLvXingYingShuoMingWeiWanChengLvXingDeJuTiYuanYin" label="其他承诺相关方的承诺事项-如未能及时履行应说明未完成履行的具体原因" addr="T0R15C7S1_1" appId="_GBC_1f306de554d7473c98965061dbefd050"/>
        <m:item xlName="_GBC_ea5c4f56c11c451ebacc6466b6589903" concept="clcid-ie:QiTaChengNuoXiangGuanFangDeChengNuoShiXiangRuWeiNengJiShiLvXingYingShuoMingXiaYiBuJiHua" label="其他承诺相关方的承诺事项-如未能及时履行应说明下一步计划" addr="T0R15C8S1_1" appId="_GBC_1f306de554d7473c98965061dbefd050"/>
      </m:tuple>
    </m:section>
    <m:section xlName="_SEC_2f371a3cc949400ea818d66a836d5785" title="报告期内控股股东及其他关联方非经营性占用资金情况  单位..." helpId="110002101">
      <m:item xlName="_GBC_ae82394ae54d49eba71e8d8d6447c499" concept="clcid-ci-ar:ShiFouShiYongZiJinBeiZhanYongQingKuangJiQingQianJinZhanQingKuang" label="是否适用：资金被占用情况及清欠进展情况" selectOptions="_buildInAppliance" controlType="CustomCheckbox" cRanges="[{&quot;StartName&quot;:&quot;_GBC_ae82394ae54d49eba71e8d8d6447c499&quot;,&quot;EndName&quot;:&quot;_GBC_7e2b6b925eb545deb871ebe1a2e0d513&quot;,&quot;CType&quot;:1}]"/>
      <m:item xlName="_GBC_42553ad6ee7845a0abbc6877e529f1c9" concept="clcid-ci-ar:DanWeiBaoGaoQiNeiZiJinBeiZhanYongQingKuangJiQingQianJinZhanQingKuang" label="单位：报告期内资金被占用情况及清欠进展情况" selectOptions="_buildInScales" controlType="Combobox" cellType="Scale" appId="_GBC_ae82394ae54d49eba71e8d8d6447c499"/>
      <m:item xlName="_GBC_e30b30a8a60a471ba3443aef07d4cf01" concept="clcid-ci-ar:BiZhongBaoGaoQiNeiZiJinBeiZhanYongQingKuangJiQingQianJinZhanQingKuang" label="币种：报告期内资金被占用情况及清欠进展情况" selectOptions="_buildInISO4217" controlType="Combobox" cellType="Measure" appId="_GBC_ae82394ae54d49eba71e8d8d6447c499"/>
      <m:placeholder xlName="_PLD_b3948ce11f5046bcb84b53c4ecccd392" addr="T0R0C0S1_1"/>
      <m:placeholder xlName="_PLD_4c4096f01d8a47f1be3e890f0cd8c1ea" addr="T0R0C1S1_1"/>
      <m:placeholder xlName="_PLD_812a5048ef0d4e839b8cb16708ceac50" addr="T0R0C2S1_1"/>
      <m:placeholder xlName="_PLD_1fe34a6067104977a0a8f031fce9c50f" addr="T0R0C3S1_1"/>
      <m:placeholder xlName="_PLD_9cbc6cc34cdd4a708318f00286d652e4" addr="T0R0C4S1_1"/>
      <m:placeholder xlName="_PLD_13527cceea00443c8cc61ad1bf1ba6db" addr="T0R0C5S1_2"/>
      <m:placeholder xlName="_PLD_4d65139313f0432382547b3f4c60a3b9" addr="T0R0C7S1_1"/>
      <m:placeholder xlName="_PLD_f9e3a2d5155b44ef9741f5601272282c" addr="T0R0C8S1_1"/>
      <m:placeholder xlName="_PLD_ce95c31c972742d8a58ebce45bf1f601" addr="T0R0C9S1_1"/>
      <m:placeholder xlName="_PLD_1e5c2d93ca9a4201bf5e02bea413b102" addr="T0R0C10S1_1"/>
      <m:placeholder xlName="_PLD_722dd2ca59ca4af7bd7cc78f59ac88b4" addr="T0R0C11S1_1"/>
      <m:placeholder xlName="_PLD_e272030c91e84071805b7d42fbcbe401" addr="T0R0C12S1_1"/>
      <m:tuple xlName="_TUP_e075a35a210f4708b0b01b5b939841bf" concept="clcid-ie:BaoGaoQiNeiKongGuGuDongJiQiTaGuanLianFangFeiJingYingXingZhanYongShangShiGongSiZiJinDeFaShengEMingXi" default_row="2" addr="T0R1C">
        <m:item xlName="_GBC_04fa6231808d40e8bb893a023d3d82ee" concept="clcid-ie:BaoGaoQiNeiKongGuGuDongJiQiTaGuanLianFangFeiJingYingXingZhanYongShangShiGongSiZiJinDeFaShengEMingXiGuDongHuoGuanLianFangMingCheng" label="报告期内控股股东及其他关联方非经营性占用上市公司资金的发生额明细_股东或关联方名称" addr="T0R1C0S1_1" tagAction="1" appId="_GBC_ae82394ae54d49eba71e8d8d6447c499"/>
        <m:item xlName="_GBC_99a3f66ad57c496890f1ad68c8bf9d4a" concept="clcid-ie:BaoGaoQiNeiKongGuGuDongJiQiTaGuanLianFangFeiJingYingXingZhanYongShangShiGongSiZiJinDeFaShengEMingXiGuanLianGuanXi" label="报告期内控股股东及其他关联方非经营性占用上市公司资金的发生额明细_关联关系" selectOptions="16d47d6edad8459794379caabb94c6c5" addr="T0R1C1S1_1" controlType="Combobox" appId="_GBC_ae82394ae54d49eba71e8d8d6447c499"/>
        <m:item xlName="_GBC_f33c339350534beb819dcf239af7396a" concept="clcid-ie:BaoGaoQiNeiKongGuGuDongJiQiTaGuanLianFangFeiJingYingXingZhanYongShangShiGongSiZiJinDeFaShengEMingXi-FaShengShiJian" label="报告期内控股股东及其他关联方非经营性占用上市公司资金的发生额明细-占用时间" addr="T0R1C2S1_1" appId="_GBC_ae82394ae54d49eba71e8d8d6447c499"/>
        <m:item xlName="_GBC_cd4780fc56ae4ad1959a54df10acf2f2" concept="clcid-ie:BaoGaoQiNeiKongGuGuDongJiQiTaGuanLianFangFeiJingYingXingZhanYongShangShiGongSiZiJinDeFaShengEMingXi-ZhanYongYuanYin" label="报告期内控股股东及其他关联方非经营性占用上市公司资金的发生额明细-发生原因" addr="T0R1C3S1_1" appId="_GBC_ae82394ae54d49eba71e8d8d6447c499"/>
        <m:item xlName="_GBC_b49300dfc0ec42a889eb46dca50c1254" concept="clcid-ie:BaoGaoQiNeiKongGuGuDongJiQiTaGuanLianFangFeiJingYingXingZhanYongShangShiGongSiZiJinDeFaShengEMingXiZhanYongZiJinYuE" label="报告期内控股股东及其他关联方非经营性占用上市公司资金的发生额明细_占用资金余额" periodRef="本期期初数" mulRef="_GBC_42553ad6ee7845a0abbc6877e529f1c9" unitRef="_GBC_e30b30a8a60a471ba3443aef07d4cf01" addr="T0R1C4S1_1" formatStyle="Comma" appId="_GBC_ae82394ae54d49eba71e8d8d6447c499"/>
        <m:item xlName="_GBC_d6c6f144b6284b559fd078e92e650b46" concept="clcid-ie:BaoGaoQiNeiKongGuGuDongJiQiTaGuanLianFangFeiJingYingXingZhanYongShangShiGongSiZiJinDeFaShengEMingXiBaoGaoQiXinZengZhanYongJinE" label="报告期内控股股东及其他关联方非经营性占用上市公司资金的发生额明细_报告期新增占用金额" mulRef="_GBC_42553ad6ee7845a0abbc6877e529f1c9" unitRef="_GBC_e30b30a8a60a471ba3443aef07d4cf01" addr="T0R1C5S1_2" formatStyle="Comma" appId="_GBC_ae82394ae54d49eba71e8d8d6447c499"/>
        <m:item xlName="_GBC_6dd5cbe80f964b0cb02229dd3949e4ab" concept="clcid-ie:BaoGaoQiNeiKongGuGuDongJiQiTaGuanLianFangFeiJingYingXingZhanYongShangShiGongSiZiJinDeFaShengEMingXiBaoGaoQiChangHuanZongJinE" label="报告期内控股股东及其他关联方非经营性占用上市公司资金的发生额明细_报告期偿还总金额" mulRef="_GBC_42553ad6ee7845a0abbc6877e529f1c9" unitRef="_GBC_e30b30a8a60a471ba3443aef07d4cf01" addr="T0R1C7S1_1" formatStyle="Comma" appId="_GBC_ae82394ae54d49eba71e8d8d6447c499"/>
        <m:item xlName="_GBC_3a13e6344f874984a007167afb6c4498" concept="clcid-ie:BaoGaoQiNeiKongGuGuDongJiQiTaGuanLianFangFeiJingYingXingZhanYongShangShiGongSiZiJinDeFaShengEMingXiZhanYongZiJinYuE" label="报告期内控股股东及其他关联方非经营性占用上市公司资金的发生额明细_占用资金余额" mulRef="_GBC_42553ad6ee7845a0abbc6877e529f1c9" unitRef="_GBC_e30b30a8a60a471ba3443aef07d4cf01" addr="T0R1C8S1_1" formatStyle="Comma" appId="_GBC_ae82394ae54d49eba71e8d8d6447c499"/>
        <m:item xlName="_GBC_eb5e36ad66364afeb32a7176d7d075a1" concept="clcid-ie:BaoGaoQiNeiKongGuGuDongJiQiTaGuanLianFangFeiJingYingXingZhanYongShangShiGongSiZiJinDeFaShengEMingXiJieZhiBanNianBaoPiLuRiYuE" label="报告期内控股股东及其他关联方非经营性占用上市公司资金的发生额明细_截至半年报披露日余额" mulRef="_GBC_42553ad6ee7845a0abbc6877e529f1c9" unitRef="_GBC_e30b30a8a60a471ba3443aef07d4cf01" addr="T0R1C9S1_1" formatStyle="Comma" appId="_GBC_ae82394ae54d49eba71e8d8d6447c499"/>
        <m:item xlName="_GBC_255d2f9be1374881be81baa30dcc8a44" concept="clcid-ie:BaoGaoQiNeiKongGuGuDongJiQiTaGuanLianFangFeiJingYingXingZhanYongShangShiGongSiZiJinDeFaShengEMingXiYuJiChangHuanFangShi" label="报告期内控股股东及其他关联方非经营性占用上市公司资金的发生额明细_预计偿还方式" addr="T0R1C10S1_1" appId="_GBC_ae82394ae54d49eba71e8d8d6447c499"/>
        <m:item xlName="_GBC_85a6501c422849a0a99b137c08e0503f" concept="clcid-ie:BaoGaoQiNeiKongGuGuDongJiQiTaGuanLianFangFeiJingYingXingZhanYongShangShiGongSiZiJinDeFaShengEMingXiYuJiChangHuanJinE" label="报告期内控股股东及其他关联方非经营性占用上市公司资金的发生额明细_预计偿还金额" mulRef="_GBC_42553ad6ee7845a0abbc6877e529f1c9" unitRef="_GBC_e30b30a8a60a471ba3443aef07d4cf01" addr="T0R1C11S1_1" formatStyle="Comma" appId="_GBC_ae82394ae54d49eba71e8d8d6447c499"/>
        <m:item xlName="_GBC_6efbf8b0c3434d4bb224f434f28b8931" concept="clcid-ie:BaoGaoQiNeiKongGuGuDongJiQiTaGuanLianFangFeiJingYingXingZhanYongShangShiGongSiZiJinDeFaShengEMingXiYuJiChangHuanShiJian" label="报告期内控股股东及其他关联方非经营性占用上市公司资金的发生额明细_预计偿还时间" addr="T0R1C12S1_1" formatStyle="Comma" appId="_GBC_ae82394ae54d49eba71e8d8d6447c499"/>
      </m:tuple>
      <m:item xlName="_GBC_e9ba096b4c2a490facf1a16c22b86d4a" concept="clcid-ie:KongGuGuDongJiQiTaGuanLianFangFeiJingYingXingZhanYongZiJinYuEHeJi" label="控股股东及其他关联方非经营性占用资金余额合计" periodRef="本期期初数" mulRef="_GBC_42553ad6ee7845a0abbc6877e529f1c9" unitRef="_GBC_e30b30a8a60a471ba3443aef07d4cf01" addr="T0R3C4S1_1" formatStyle="Comma" appId="_GBC_ae82394ae54d49eba71e8d8d6447c499">
        <m:complexRule comparator="Eq" title="控股股东及其他关联方非经营性占用资金余额合计@本期期初数" test=" $_GBC_b49300dfc0ec42a889eb46dca50c1254" id="Cdd912cbef79d4e40b9cf7c72c1590fce"/>
      </m:item>
      <m:item xlName="_GBC_a379890d4f304f8f9254607819de2b95" concept="clcid-ie:BaoGaoQiNeiKongGuGuDongJiQiTaGuanLianFangFeiJingYingXingZhanYongXinZengJinEHeJi" label="报告期内控股股东及其他关联方非经营性占用新增金额合计" mulRef="_GBC_42553ad6ee7845a0abbc6877e529f1c9" unitRef="_GBC_e30b30a8a60a471ba3443aef07d4cf01" addr="T0R3C5S1_2" formatStyle="Comma" appId="_GBC_ae82394ae54d49eba71e8d8d6447c499">
        <m:complexRule comparator="Eq" title="报告期内控股股东及其他关联方非经营性占用新增金额合计" test=" $_GBC_d6c6f144b6284b559fd078e92e650b46" id="C8ea01be14041436a96e1a743f6a9c83a"/>
      </m:item>
      <m:item xlName="_GBC_7a7d853e0c4c4574a59917af8580c992" concept="clcid-ie:BaoGaoQiNeiKongGuGuDongJiQiTaGuanLianFangFeiJingYingXingZhanYongChangHuanZongJinEHeJi" label="报告期内控股股东及其他关联方非经营性占用偿还总金额合计" mulRef="_GBC_42553ad6ee7845a0abbc6877e529f1c9" unitRef="_GBC_e30b30a8a60a471ba3443aef07d4cf01" addr="T0R3C7S1_1" formatStyle="Comma" appId="_GBC_ae82394ae54d49eba71e8d8d6447c499">
        <m:complexRule comparator="Eq" title="报告期内控股股东及其他关联方非经营性占用偿还总金额合计" test=" $_GBC_6dd5cbe80f964b0cb02229dd3949e4ab" id="Cde4297792a904e79ae52a68148b449c2"/>
      </m:item>
      <m:item xlName="_GBC_b9d27243e3514e53a866255603902e7e" concept="clcid-ie:KongGuGuDongJiQiTaGuanLianFangFeiJingYingXingZhanYongZiJinYuEHeJi" label="控股股东及其他关联方非经营性占用资金余额合计" mulRef="_GBC_42553ad6ee7845a0abbc6877e529f1c9" unitRef="_GBC_e30b30a8a60a471ba3443aef07d4cf01" addr="T0R3C8S1_1" formatStyle="Comma" appId="_GBC_ae82394ae54d49eba71e8d8d6447c499">
        <m:complexRule comparator="Eq" title="控股股东及其他关联方非经营性占用资金余额合计" test=" $_GBC_3a13e6344f874984a007167afb6c4498" id="C5d0c2e2b53794a9ba64dcc5cbc9157e5"/>
      </m:item>
      <m:item xlName="_GBC_d3165f3556ba464f88f2e42b979c4dc8" concept="clcid-ie:JieZhiBanNianBaoPiLuRiKongGuGuDongJiQiTaGuanLianFangFeiJingYingXingZhanYongZiJinYuEHeJi" label="截至半年报披露日控股股东及其他关联方非经营性占用资金余额合计" mulRef="_GBC_42553ad6ee7845a0abbc6877e529f1c9" unitRef="_GBC_e30b30a8a60a471ba3443aef07d4cf01" addr="T0R3C9S1_1" formatStyle="Comma" appId="_GBC_ae82394ae54d49eba71e8d8d6447c499">
        <m:complexRule comparator="Eq" title="截至半年报披露日控股股东及其他关联方非经营性占用资金余额合计" test=" $_GBC_eb5e36ad66364afeb32a7176d7d075a1" id="C1b2accddd1514453ade0618d0774e651"/>
      </m:item>
      <m:item xlName="_GBC_2822e55daaf242b789eda2db6d1468db" concept="clcid-ie:KongGuGuDongJiQiTaGuanLianFangFeiJingYingXingZhanYongZiJinYuJiChangHuanJinEHeJi" label="控股股东及其他关联方非经营性占用资金预计偿还金额合计" mulRef="_GBC_42553ad6ee7845a0abbc6877e529f1c9" unitRef="_GBC_e30b30a8a60a471ba3443aef07d4cf01" addr="T0R3C11S1_1" formatStyle="Comma" appId="_GBC_ae82394ae54d49eba71e8d8d6447c499">
        <m:complexRule comparator="Eq" title="控股股东及其他关联方非经营性占用资金预计偿还金额合计" test=" $_GBC_85a6501c422849a0a99b137c08e0503f" id="Cd34a3dfa982547f2b9bc5bda124dce55"/>
      </m:item>
      <m:item xlName="_GBC_6a710d5382154d3d925d6b693000365c" concept="clcid-ie:QiMoHeJiZhiZhanZuiJinYiQiJingShenJiJingZiChanDeBiLi" label="期末合计值占最近一期经审计净资产的比例" addr="T0R4C6S1_7" formatStyle="Comma" appId="_GBC_ae82394ae54d49eba71e8d8d6447c499"/>
      <m:placeholder xlName="_PLD_10986c1e63ed47699c7a3303dc12efbd" addr="T0R5C0S1_6"/>
      <m:item xlName="_GBC_ce018a12d7294ca0beda088bc062af6d" concept="clcid-ie:KongGuGuDongJiQiGuanLianFangFeiJingYingXingZhanYongZiJinDeJueCeChengXu" label="控股股东及其关联方非经营性占用资金的决策程序" addr="T0R5C6S1_7" appId="_GBC_ae82394ae54d49eba71e8d8d6447c499"/>
      <m:item xlName="_GBC_0f2b05ecb1104586bdb3a5b0b1c00502" concept="clcid-ie:DangQiXinZengDaGuDongJiQiFuShuQiYeFeiJingYingXingZiJinZhanYongQingKuangDeYuanYinZeRenRenZhuiJiuJiDongShiHuiNiDingCaiQuCuoShiDeQingKuangShuoMing" label="当期新增大股东及其附属企业非经营性资金占用情况的原因、责任人追究及董事会拟定采取措施的情况说明" addr="T0R6C6S1_7" appId="_GBC_ae82394ae54d49eba71e8d8d6447c499"/>
      <m:item xlName="_GBC_1c9215cb51724a60b34874e174715922" concept="clcid-ie:WeiNengAnJiHuaQingChangFeiJingYingXingZiJinZhanYongDeYuanYinZeRenZhuiJiuQingKuangJiDongShiHuiNiDingCaiQuDeCuoShiShuoMing" label="未能按计划清偿非经营性资金占用的原因、责任追究情况及董事会拟定采取的措施说明" addr="T0R7C6S1_7" appId="_GBC_ae82394ae54d49eba71e8d8d6447c499"/>
      <m:item xlName="_GBC_7e2b6b925eb545deb871ebe1a2e0d513" concept="clcid-ie:ZhuCeHuiJiShiDuiZiJinZhanYongDeZhuanXiangShenHeYiJian" label="注册会计师对资金占用的专项审核意见" addr="T0R8C6S1_7" appId="_GBC_ae82394ae54d49eba71e8d8d6447c499"/>
      <m:placeholder xlName="_PLD_bff4ba8ac8aa4631966b67516539204d" addr="T0R3C0S1_1"/>
      <m:placeholder xlName="_PLD_e358a63b01e34f5780fde754d6072bb7" addr="T0R6C0S1_6"/>
      <m:placeholder xlName="_PLD_8f0d0bceaa1c4f06965e09646aaad6c1" addr="T0R7C0S1_6"/>
      <m:placeholder xlName="_PLD_5eebde96ff3b4e08a8c8fa0f6d3d14df" addr="T0R8C0S1_6"/>
    </m:section>
    <m:section xlName="_SEC_623f0c33c18d4979b146b229057a4e89" title="违规担保情况" helpId="110002102">
      <m:item xlName="_GBC_725722c7a37d40c28caf80b13d948933" concept="clcid-ci-ar:ShiFouShiYongWeiGuiDanBaoQingKuang" label="是否适用：违规担保情况" selectOptions="_buildInAppliance" controlType="CustomCheckbox" cRanges="[{&quot;StartName&quot;:&quot;_GBC_725722c7a37d40c28caf80b13d948933&quot;,&quot;EndName&quot;:&quot;_GBC_c25e12c417034ebf9dc0408f54138808&quot;,&quot;CType&quot;:1}]"/>
      <m:item xlName="_GBC_98ebb3efe5474b77a0642d880d4b5ee7" concept="clcid-ci-ar:DanWeiWeiGuiDanBaoQingKuang" label="单位：违规担保情况" selectOptions="_buildInScales" controlType="Combobox" cellType="Scale" appId="_GBC_725722c7a37d40c28caf80b13d948933"/>
      <m:item xlName="_GBC_6b48d53bf51541ffbe5fc8da995dca6b" concept="clcid-ci-ar:BiZhongWeiGuiDanBaoQingKuang" label="币种：违规担保情况" selectOptions="_buildInISO4217" controlType="Combobox" cellType="Measure" appId="_GBC_725722c7a37d40c28caf80b13d948933"/>
      <m:placeholder xlName="_PLD_f958b89d46c04471bbf9986f1183599f" addr="T0R0C0S1_1"/>
      <m:placeholder xlName="_PLD_3ac8ff278ca640f69092aa70d45197f8" addr="T0R0C1S1_1"/>
      <m:placeholder xlName="_PLD_752c63530eee48fc8d883496e7684d78" addr="T0R0C2S1_1"/>
      <m:tuple xlName="_TUP_6191b64e5efe4c96b26837fdcf0ad78e" concept="clcid-ie:WeiGuiDanBaoQingKuang" default_row="2" addr="T0R1C">
        <m:item xlName="_GBC_fd5e33399c76484aa28ce5219c9ac62d" concept="clcid-ie:WeiGuiDanBaoQingKuangMingXiDanBaoDuiXiang" label="违规担保情况明细_担保对象" addr="T0R1C0S1_1" appId="_GBC_725722c7a37d40c28caf80b13d948933"/>
        <m:item xlName="_GBC_1a097b4db6dd4eceb3bbc864b6c296fd" concept="clcid-ie:WeiGuiDanBaoQingKuangMingXiYuShangShiGongSiDeGuanXi" label="违规担保情况明细_与上市公司的关系" addr="T0R1C1S1_1" appId="_GBC_725722c7a37d40c28caf80b13d948933"/>
        <m:item xlName="_GBC_030ed05883cc4fe58b1451e99cbe3076" concept="clcid-ie:WeiGuiDanBaoQingKuangMingXiDanBaoJinE" label="违规担保情况明细_担保金额" mulRef="_GBC_98ebb3efe5474b77a0642d880d4b5ee7" unitRef="_GBC_6b48d53bf51541ffbe5fc8da995dca6b" addr="T0R1C2S1_1" formatStyle="Comma" appId="_GBC_725722c7a37d40c28caf80b13d948933"/>
        <m:item xlName="_GBC_e7c2ba94d34c46f7bf5612877f4cbe6b" concept="clcid-ie:WeiGuiDanBaoQingKuangMingXiWeiGuiDanBaoJinEZhanZuiJinYiQiJingShenJiJingZiChanDeBiLi" label="违规担保情况明细_违规担保金额占最近一期经审计净资产的比例" addr="T0R1C3S1_1" formatStyle="Comma" appId="_GBC_725722c7a37d40c28caf80b13d948933"/>
        <m:item xlName="_GBC_90d18ea94ad94fc8bfbd5faf65be0857" concept="clcid-ie:WeiGuiDanBaoQingKuangMingXiDanBaoLeiXing" label="违规担保情况明细_担保类型" addr="T0R1C4S1_1" appId="_GBC_725722c7a37d40c28caf80b13d948933"/>
        <m:item xlName="_GBC_2ee81815970d48dd91f5d5fd8cb39cdd" concept="clcid-ie:WeiGuiDanBaoQingKuangMingXiDanBaoQi" label="违规担保情况明细_担保期" addr="T0R1C5S1_1" appId="_GBC_725722c7a37d40c28caf80b13d948933"/>
        <m:item xlName="_GBC_dc6b28ffe8a448d69836dc5537d14b83" concept="clcid-ie:WeiGuiDanBaoQingKuangMingXiJieZhiBaoGaoQiMoWeiGuiDanBaoYuE" label="违规担保情况明细_截至报告期末违规担保余额" mulRef="_GBC_98ebb3efe5474b77a0642d880d4b5ee7" unitRef="_GBC_6b48d53bf51541ffbe5fc8da995dca6b" addr="T0R1C6S1_1" formatStyle="Comma" appId="_GBC_725722c7a37d40c28caf80b13d948933"/>
        <m:item xlName="_GBC_44522cee3c8e47299d5188805eb74398" concept="clcid-ie:WeiGuiDanBaoQingKuangMingXiJieZhiBaoGaoQiMoWeiGuiDanBaoYuEZhanZuiJinYiQiJingShenJiJingZiChanDeBiLi" label="违规担保情况明细_截至报告期末违规担保余额占最近一期经审计净资产的比例" addr="T0R1C7S1_1" formatStyle="Comma" appId="_GBC_725722c7a37d40c28caf80b13d948933"/>
        <m:item xlName="_GBC_df842f9119b74a50831293c69ef59200" concept="clcid-ie:WeiGuiDanBaoQingKuangMingXiYuJiJieChuFangShi" label="违规担保情况明细_预计解除方式" addr="T0R1C8S1_1" appId="_GBC_725722c7a37d40c28caf80b13d948933"/>
        <m:item xlName="_GBC_f6fdcbed22df41528d7cc7e3ee70ae4b" concept="clcid-ie:WeiGuiDanBaoQingKuangMingXiYuJiJieChuJinE" label="违规担保情况明细_预计解除金额" mulRef="_GBC_98ebb3efe5474b77a0642d880d4b5ee7" unitRef="_GBC_6b48d53bf51541ffbe5fc8da995dca6b" addr="T0R1C9S1_1" formatStyle="Comma" appId="_GBC_725722c7a37d40c28caf80b13d948933"/>
        <m:item xlName="_GBC_e9ca5131301643e48419ac8b625e6bbc" concept="clcid-ie:WeiGuiDanBaoQingKuangMingXiYuJiJieChuShiJian" label="违规担保情况明细_预计解除时间 " addr="T0R1C10S1_1" appId="_GBC_725722c7a37d40c28caf80b13d948933"/>
      </m:tuple>
      <m:placeholder xlName="_PLD_e5bc27111c99434f9df01b0abdbbde52" addr="T0R3C0S1_1"/>
      <m:item xlName="_GBC_d6388fe6a2bf47e3b659bb5e3f8a04c8" concept="clcid-ie:WeiGuiDanBaoJinEHeJi" label="违规担保金额合计" mulRef="_GBC_98ebb3efe5474b77a0642d880d4b5ee7" unitRef="_GBC_6b48d53bf51541ffbe5fc8da995dca6b" addr="T0R3C2S1_1" formatStyle="Comma" appId="_GBC_725722c7a37d40c28caf80b13d948933"/>
      <m:item xlName="_GBC_831942f674df482a8b9f5a510266545c" concept="clcid-ie:JieZhiBaoGaoQiMoWeiGuiDanBaoYuEHeJi" label="截至报告期末违规担保余额合计" mulRef="_GBC_98ebb3efe5474b77a0642d880d4b5ee7" unitRef="_GBC_6b48d53bf51541ffbe5fc8da995dca6b" addr="T0R3C6S1_1" formatStyle="Comma" appId="_GBC_725722c7a37d40c28caf80b13d948933"/>
      <m:item xlName="_GBC_6e9738ff02e14e019dbf250ff1d27dfd" concept="clcid-ie:YuJiJieChuJinEHeJi" label="预计解除金额合计" mulRef="_GBC_98ebb3efe5474b77a0642d880d4b5ee7" unitRef="_GBC_6b48d53bf51541ffbe5fc8da995dca6b" addr="T0R3C9S1_1" formatStyle="Comma" appId="_GBC_725722c7a37d40c28caf80b13d948933"/>
      <m:placeholder xlName="_PLD_852d183be1474b8dbe6994e49f650f6d" addr="T0R4C0S1_3"/>
      <m:item xlName="_GBC_c7834fa6010f46e783aad90101bd0bcd" concept="clcid-ie:WeiGuiYuanYin" label="违规原因" addr="T0R4C3S1_8" appId="_GBC_725722c7a37d40c28caf80b13d948933"/>
      <m:placeholder xlName="_PLD_815d7ed402f74934958ddd8cc7cfc89b" addr="T0R5C0S1_3"/>
      <m:item xlName="_GBC_c25e12c417034ebf9dc0408f54138808" concept="clcid-ie:YiCaiQuDeJieJueCuoShiJiJinZhan" label="已采取的解决措施及进展 " addr="T0R5C3S1_8" appId="_GBC_725722c7a37d40c28caf80b13d948933"/>
      <m:placeholder xlName="_PLD_ac9dc00e5c4e4413a0d1df1458215628" addr="T0R0C3S1_1"/>
      <m:placeholder xlName="_PLD_afc5198547e445a4af22628bad53141f" addr="T0R0C4S1_1"/>
      <m:placeholder xlName="_PLD_cf4a00b19287495fa0e869e8806670ff" addr="T0R0C5S1_1"/>
      <m:placeholder xlName="_PLD_34a24a13aa284da5b83c0074c9b5127b" addr="T0R0C6S1_1"/>
      <m:placeholder xlName="_PLD_8424f98ac0064e629bd48213123b16c8" addr="T0R0C7S1_1"/>
      <m:placeholder xlName="_PLD_d4c4cfec6b48446caa2b252c5464a0cd" addr="T0R0C8S1_1"/>
      <m:placeholder xlName="_PLD_d803c9bfa8ac4a24b84499b01275ddb1" addr="T0R0C9S1_1"/>
      <m:placeholder xlName="_PLD_21a0d904a4514270ab1e768568262aba" addr="T0R0C10S1_1"/>
    </m:section>
    <m:item xlName="_GBC_b2faf86be7fd4060a2a7ad4018aaf033" concept="clcid-ci-ar:ShiFouShiYongBanNianBaoShenJiQingKuang" label="是否适用：半年报审计情况  " selectOptions="_buildInAppliance" controlType="CustomCheckbox" cRanges="[{&quot;StartName&quot;:&quot;_GBC_b2faf86be7fd4060a2a7ad4018aaf033&quot;,&quot;EndName&quot;:&quot;_SEC_ff2ca8295db041209fe47eea7ae742aa&quot;,&quot;CType&quot;:1}]"/>
    <m:section xlName="_SEC_da98fea575804e4da57e6ed94a08807a" title="聘任、解聘会计师事务所的情况说明" helpId="110009001" helpText="公司半年度财务报告已经审计的，公司应当披露聘任审计半年度财务报告的会计师事务所的情况及报告期内支付给会计师事务所的报酬情况。更换会计师事务所的，公司应当披露解聘原会计师事务所的原因，以及是否履行了必要的程序。">
      <m:item xlName="_GBC_e563da3651274dd6a705d1da6434db17" concept="clcid-ci-ar:ShiFouShiYongPinRenJiePinHuiJiShiShiWuSuoQingKuang" label="是否适用：聘任、解聘会计师事务所情况" selectOptions="_buildInAppliance" controlType="CustomCheckbox" cRanges="{&quot;StartName&quot;:&quot;_GBC_e563da3651274dd6a705d1da6434db17&quot;,&quot;EndName&quot;:&quot;_GBC_710d2961b9534f8eb9adddf190fd9287&quot;,&quot;CType&quot;:1,&quot;DisplayText&quot;:null}"/>
      <m:item xlName="_GBC_710d2961b9534f8eb9adddf190fd9287" concept="clcid-ie:PinRenJiePinKuaiJiShiShiWuSuoQingKuangShuoMing" label="聘任、解聘会计师事务所情况说明" appId="_GBC_e563da3651274dd6a705d1da6434db17"/>
    </m:section>
    <m:section xlName="_SEC_39a839676dca47f595f0cbe05d986e81" title="审计期间改聘会计师事务所的情况说明" helpId="110009001" helpText="注：公司若改聘、解聘会计师事务所，则必须填写改聘、解聘的情况说明。">
      <m:item xlName="_GBC_b7e7dc4aa79c474aa3d686f172086ee6" concept="clcid-ci-ar:ShiFouShiYongShenJiQiJianGaiPinHuiJiShiShiWuSuoDeQingKuangShuoMing" label="是否适用：审计期间改聘会计师事务所的情况说明" selectOptions="_buildInAppliance" controlType="CustomCheckbox" cRanges="{&quot;StartName&quot;:&quot;_GBC_b7e7dc4aa79c474aa3d686f172086ee6&quot;,&quot;EndName&quot;:&quot;_GBC_0225559c1c3445c19aff63908379270a&quot;,&quot;CType&quot;:1,&quot;DisplayText&quot;:null}"/>
      <m:item xlName="_GBC_0225559c1c3445c19aff63908379270a" concept="clcid-ie:ZaiShenJiQiJianGaiPinJiePinKuaiJiShiShiWuSuoQingKuangShuoMing" label="在审计期间改聘、解聘会计师事务所情况说明" appId="_GBC_b7e7dc4aa79c474aa3d686f172086ee6"/>
    </m:section>
    <m:section xlName="_SEC_ff2ca8295db041209fe47eea7ae742aa" title="公司对会计师事务所“非标准审计报告”的说明" rules="R2015_R5_004" summaryGuid="_GBC_1950181a09c94d4aaf32bf57c794e652" helpId="110009001" helpText="公司半年度财务报告已经审计，并被出具非标准意见审计报告的，公司董事会应当按照《公开发行证券的公司信息披露编报规则第14号——非标准审计意见及其涉及事项的处理》规定，针对非标准意见涉及的事项作出专项说明。">
      <m:item xlName="_GBC_d326f269313b4caba360515f0154b27f" concept="clcid-ci-ar:ShiFouShiYongDongShiHuiDuiKuaiJiShiShiWuSuoFeiBiaoZhunShenJiBaoGaoDeShuoMing" label="是否适用：董事会对会计师事务所非标准审计报告的说明" selectOptions="_buildInAppliance" controlType="CustomCheckbox" cRanges="{&quot;StartName&quot;:&quot;_GBC_d326f269313b4caba360515f0154b27f&quot;,&quot;EndName&quot;:&quot;_GBC_e8ff717bd5aa48bfbf75fa49c414c87d&quot;,&quot;CType&quot;:1,&quot;DisplayText&quot;:null}"/>
      <m:item xlName="_GBC_e8ff717bd5aa48bfbf75fa49c414c87d" concept="clcid-mr:DongShiHuiDuiKuaiJiShiShiWuSuoFeiBiaoYiJianDeShuoMing" label="董事会对会计师事务所非标意见的说明" appId="_GBC_d326f269313b4caba360515f0154b27f"/>
    </m:section>
    <m:section xlName="_SEC_10be83ff0126440a8620e35536191767" title="公司对上年年度报告中的财务报告被注册会计师出具“非标准审计报..." helpId="110002109" helpText="上年年度报告中的财务报告被注册会计师出具非标准意见审计报告的，公司应当就所涉及事项的变化及处理情况作出说明。">
      <m:item xlName="_GBC_06e0811c47124b6da79369103f766350" concept="clcid-ci-ar:ShiFouShiYongGongSiDuiShangNianNianDuBaoGaoZhongDeCaiWuBaoGaoBeiZhuCeKuaiJiShiChuJuFeiBiaoZhunShenJiBaoGaoDeShuoMing" label="是否适用：公司对上年年度报告中的财务报告被注册会计师出具“非标准审计报告”的说明 " selectOptions="_buildInAppliance" controlType="CustomCheckbox" cRanges="{&quot;StartName&quot;:&quot;_GBC_06e0811c47124b6da79369103f766350&quot;,&quot;EndName&quot;:&quot;_GBC_0821c6178011428895cb6148d494dd66&quot;,&quot;CType&quot;:1,&quot;DisplayText&quot;:null}"/>
      <m:item xlName="_GBC_0821c6178011428895cb6148d494dd66" concept="clcid-ie:GongSiDuiShangNianNianDuBaoGaoZhongDeCaiWuBaoGaoBeiZhuCeKuaiJiShiChuJuFeiBiaoZhunShenJiBaoGaoDeShuoMing" label="公司对上年年度报告中的财务报告被注册会计师出具“非标准审计报告”的说明 " appId="_GBC_06e0811c47124b6da79369103f766350"/>
    </m:section>
    <m:section xlName="_SEC_1ae3a3f4b3c4484980120137749e19ed" title="破产重整相关事项" helpId="110002001" helpText="公司应当披露报告期内发生的破产重整相关事项，包括相关主体向法院申请重整、和解或破产清算，法院受理重整、和解或破产清算，以及公司重整期间发生的法院裁定结果及其他重大事项。执行重整计划的公司应当说明计划的具体内容及执行情况。">
      <m:item xlName="_GBC_c4fc8890d63b44b19353d2188a5bce59" concept="clcid-ci-ar:ShiFouShiYongPoChanZhongZhengXiangGuanShiXiang" label="是否适用：破产重整相关事项" selectOptions="_buildInAppliance" controlType="CustomCheckbox" cRanges="{&quot;StartName&quot;:&quot;_GBC_c4fc8890d63b44b19353d2188a5bce59&quot;,&quot;EndName&quot;:&quot;_GBC_f1419a433e274bdfbd6bfe049aa4b256&quot;,&quot;CType&quot;:1,&quot;DisplayText&quot;:null}"/>
      <m:item xlName="_GBC_f1419a433e274bdfbd6bfe049aa4b256" concept="clcid-ie:PoChanZhongZhengXiangGuanShiXiangDeShuoMing" label="破产重整相关事项的说明" appId="_GBC_c4fc8890d63b44b19353d2188a5bce59"/>
    </m:section>
    <m:item xlName="_GBC_0fcf1cd2d0814185bde747855edf5227" concept="clcid-mr:BenNianDuGongSiYouWuZhongDaSuSongZhongCaiShiXiang" label="本年度公司有无重大诉讼、仲裁事项" selectOptions="b57efa008b784297940d385751c4cb21" controlType="CustomCheckbox" cRanges="{&quot;StartName&quot;:&quot;_GBC_0fcf1cd2d0814185bde747855edf5227&quot;,&quot;EndName&quot;:&quot;_SEC_c92a88ec21204766afe5f9688cbd21bd&quot;,&quot;CType&quot;:1,&quot;DisplayText&quot;:null}"/>
    <m:section xlName="_SEC_902756a755994b00b80a02d3baa0ea44" title="诉讼、仲裁事项已在临时公告披露且无后续进展的" rules="R2015_R5_006" convertSummaryRule="NoConvert" helpId="110001001" helpText="注：如以上诉讼、仲裁或媒体质疑事项已在临时公告披露且无后续进展的，仅需披露该事项概述，并提供临时报告披露网站的查询索引。">
      <m:item xlName="_GBC_1c7697ff89954de38b9736575b9b7dc9" concept="clcid-ci-ar:ShiFouShiYongSuSongZhongCaiShiXiangYiZaiLinShiGongGaoPiLuQieWuHouXuJinZhanDe" label="是否适用：诉讼、仲裁事项已在临时公告披露且无后续进展的" selectOptions="_buildInAppliance" controlType="CustomCheckbox" cRanges="{&quot;StartName&quot;:&quot;_GBC_1c7697ff89954de38b9736575b9b7dc9&quot;,&quot;EndName&quot;:&quot;_GBC_3677486af5cc4df39dc47d837382909d&quot;,&quot;CType&quot;:1,&quot;DisplayText&quot;:null}"/>
      <m:placeholder xlName="_PLD_0c5dadb725f645e88d02a44ed41a1e46" addr="T0R0C0S1_1"/>
      <m:placeholder xlName="_PLD_13af72da876f4221b2dfc2f0cc421987" addr="T0R0C1S1_1"/>
      <m:tuple xlName="_TUP_823c9fa8ad8844c29d56b53bc326a27a" concept="clcid-ie:SuSongZhongCaiHuoMeiTiZhiYiShiXiangYiZaiLinShiBaoGaoPiLuQieWuHouXuJinZhanDe" default_row="2" addr="T0R1C">
        <m:item xlName="_GBC_053e169e6f1e4624ac3ac0ec495c470c" concept="clcid-ie:SuSongZhongCaiHuoMeiTiZhiYiShiXiangYiZaiLinShiBaoGaoPiLuQieWuHouXuJinZhanDeShiXiangGaiShuJiLeiXing" label="诉讼、仲裁或媒体质疑事项已在临时报告披露且无后续进展的-事项概述及类型" addr="T0R1C0S1_1" cellConvertType="1" appId="_GBC_1c7697ff89954de38b9736575b9b7dc9"/>
        <m:item xlName="_GBC_3677486af5cc4df39dc47d837382909d" concept="clcid-ie:SuSongZhongCaiHuoMeiTiZhiYiShiXiangYiZaiLinShiBaoGaoPiLuQieWuHouXuJinZhanDeChaXunSuoYin" label="诉讼、仲裁或媒体质疑事项已在临时报告披露且无后续进展的-查询索引" addr="T0R1C1S1_1" appId="_GBC_1c7697ff89954de38b9736575b9b7dc9"/>
      </m:tuple>
    </m:section>
    <m:section xlName="_SEC_85376178a04b46fb90efc5d6fa2e6a28" title="临时公告未披露或有后续进展的诉讼、仲裁情况" rules="R2015_R5_006" convertSummaryRule="NoConvert" helpId="110001001">
      <m:item xlName="_GBC_3f59cc6ee3354630821313bac686c029" concept="clcid-ci-ar:ShiFouShiYongLinShiGongGaoWeiPiLuHuoYouHouXuJinZhanDeSuSongZhongCaiQingKuang" label="是否适用：临时公告未披露或有后续进展的诉讼、仲裁情况" selectOptions="_buildInAppliance" controlType="CustomCheckbox" cRanges="{&quot;StartName&quot;:&quot;_GBC_3f59cc6ee3354630821313bac686c029&quot;,&quot;EndName&quot;:&quot;_GBC_6b11a31a915c466790c7d764a78c02aa&quot;,&quot;CType&quot;:1,&quot;DisplayText&quot;:null}"/>
      <m:item xlName="_GBC_ab5a46f4fd35408cba7d05de7b668fac" concept="clcid-ci-ar:DanWeiZhongDaSuSongZhongCaiShiXiang" label="单位：重大诉讼仲裁事项" selectOptions="_buildInScales" controlType="Combobox" cellType="Scale" appId="_GBC_3f59cc6ee3354630821313bac686c029"/>
      <m:item xlName="_GBC_67f8b933111740f4867b07d27cbb7862" concept="clcid-ci-ar:BiZhongZhongDaSuSongZhongCaiShiXiang" label="币种：重大诉讼仲裁事项" selectOptions="_buildInISO4217" controlType="Combobox" cellType="Measure" appId="_GBC_3f59cc6ee3354630821313bac686c029"/>
      <m:placeholder xlName="_PLD_542ec69aa4ef4bfab0931fd1db76a6ba" addr="T0R0C0S1_10"/>
      <m:placeholder xlName="_PLD_65530f9e2c974c4caf9f0a8143274a84" addr="T0R1C0S1_1"/>
      <m:placeholder xlName="_PLD_199b4615ac594ea49e4ae790f9604175" addr="T0R1C1S1_1"/>
      <m:placeholder xlName="_PLD_40e0da63dc8243ccadfed7bf52b93f8b" addr="T0R1C2S1_1"/>
      <m:placeholder xlName="_PLD_46f93380e03f45adbc91c2ab3774798c" addr="T0R1C3S1_1"/>
      <m:placeholder xlName="_PLD_29743bdc16de45d8a3449747b5605f16" addr="T0R1C4S1_1"/>
      <m:placeholder xlName="_PLD_cc4909272128469b9b9eb68f21f24563" addr="T0R1C5S1_1"/>
      <m:placeholder xlName="_PLD_314be9ce30c646b1a34851dbc8c947ff" addr="T0R1C6S1_1"/>
      <m:placeholder xlName="_PLD_27f3a3c3699f4caaa599fe2ff85e043a" addr="T0R1C7S1_1"/>
      <m:placeholder xlName="_PLD_670326cb24854b3a8bee381fa766735a" addr="T0R1C8S1_1"/>
      <m:placeholder xlName="_PLD_4b3c312c6ff54512a58be0ff5dc57e46" addr="T0R1C9S1_1"/>
      <m:tuple xlName="_TUP_234d07ec13744d019fad4109a2500e1c" concept="clcid-ie:ZhongDaSuSongZhongCaiShiXiang" default_row="2" addr="T0R2C">
        <m:item xlName="_GBC_fcf3f1cf8283484fa9a05babe3eee81d" concept="clcid-ie:QiSuShenQingFang" label="起诉（申请）方" addr="T0R2C0S1_1" cellConvertType="1" appId="_GBC_3f59cc6ee3354630821313bac686c029"/>
        <m:item xlName="_GBC_ff7b1124a16347f48f5ef95acc94609d" concept="clcid-ie:YingSuBeiShenQingFang" label="应诉（被申请）方" addr="T0R2C1S1_1" appId="_GBC_3f59cc6ee3354630821313bac686c029"/>
        <m:item xlName="_GBC_0b7b1baec5c9419192648d035c156bbe" concept="clcid-ie:ChengDanLianDaiZeRenFang" label="承担连带责任方" addr="T0R2C2S1_1" appId="_GBC_3f59cc6ee3354630821313bac686c029"/>
        <m:item xlName="_GBC_07908306a355454f8fb1fa8b65ebacc0" concept="clcid-ie:SuSongZhongCaiLeiXing" label="诉讼仲裁类型" addr="T0R2C3S1_1" appId="_GBC_3f59cc6ee3354630821313bac686c029"/>
        <m:item xlName="_GBC_43b0e51b774b4a4bb2f83a2f66b226a0" concept="clcid-ie:SuSongZhongCaiJiBenQingKuang" label="诉讼（仲裁）基本情况" addr="T0R2C4S1_1" appId="_GBC_3f59cc6ee3354630821313bac686c029"/>
        <m:item xlName="_GBC_c066bc9581d84296bf8effd1b3ef51f5" concept="clcid-ie:SuSongZhongCaiSheJiJinE" label="诉讼（仲裁）涉及金额" mulRef="_GBC_ab5a46f4fd35408cba7d05de7b668fac" unitRef="_GBC_67f8b933111740f4867b07d27cbb7862" addr="T0R2C5S1_1" formatStyle="Comma" appId="_GBC_3f59cc6ee3354630821313bac686c029"/>
        <m:item xlName="_GBC_bd971cc1872148c2a27b9e679d7e2a3f" concept="clcid-ie:SuSongZhongCaiShiFouXingChengYuJiFuZhaiJiJinE" label="诉讼(仲裁)是否形成预计负债及金额" addr="T0R2C6S1_1" appId="_GBC_3f59cc6ee3354630821313bac686c029"/>
        <m:item xlName="_GBC_ff66a90627f84c65827475e5cb3b2a89" concept="clcid-ie:SuSongZhongCaiJinZhan" label="诉讼（仲裁）进展" addr="T0R2C7S1_1" appId="_GBC_3f59cc6ee3354630821313bac686c029"/>
        <m:item xlName="_GBC_170318dc56d24ab39e3d3551b612726f" concept="clcid-ie:SuSongZhongCaiShenLiJieGuoJiYingXiang" label="诉讼（仲裁）审理结果及影响" addr="T0R2C8S1_1" appId="_GBC_3f59cc6ee3354630821313bac686c029"/>
        <m:item xlName="_GBC_6b11a31a915c466790c7d764a78c02aa" concept="clcid-ie:SuSongZhongCaiPanJueZhiXingQingKuang" label="诉讼（仲裁）判决执行情况" addr="T0R2C9S1_1" appId="_GBC_3f59cc6ee3354630821313bac686c029"/>
      </m:tuple>
    </m:section>
    <m:section xlName="_SEC_c92a88ec21204766afe5f9688cbd21bd" title="其他诉讼仲裁事项说明" rules="R2015_R5_006" convertSummaryRule="NoConvert" helpId="110001001">
      <m:item xlName="_GBC_d8d8aef394564199936be6639c0e21a5" concept="clcid-ci-ar:ShiFouShiYongZhongDaSuSongZhongCaiShiXiangQiTaShuoMing" label="是否适用：重大诉讼、仲裁事项其他说明" selectOptions="_buildInAppliance" controlType="CustomCheckbox" cRanges="{&quot;StartName&quot;:&quot;_GBC_d8d8aef394564199936be6639c0e21a5&quot;,&quot;EndName&quot;:&quot;_GBC_0377356c6b1e420bb624899b7886bbd1&quot;,&quot;CType&quot;:1,&quot;DisplayText&quot;:null}"/>
      <m:item xlName="_GBC_0377356c6b1e420bb624899b7886bbd1" concept="clcid-ie:ZhongDaSuSongZhongCaiShiXiangDeShuoMing" label="重大诉讼、仲裁事项的说明" appId="_GBC_d8d8aef394564199936be6639c0e21a5"/>
    </m:section>
    <m:section xlName="_SEC_61682565f6714c6a81ab8e6d05a5abaa" title="上市公司及其董事、监事、高级管理人员、控股股东、实际控制人、收购人处罚及整改情况" helpId="110010001" helpText="报告期内公司存在以下情形的，应当说明原因或结论：\n（一）公司涉嫌犯罪被依法立案调查，公司的控股股东、实际控制人、董事、监事、高级管理人员涉嫌犯罪被依法采取强制措施；\n（二）公司或者公司的控股股东、实际控制人、董事、监事、高级管理人员受到刑事处罚，涉嫌违法违规被中国证监会立案调查或者受到中国证监会行政处罚，或者受到其他有权机关重大行政处罚；\n（三）公司的控股股东、实际控制人、董事、监事、高级管理人员涉嫌严重违纪违法或者职务犯罪被纪检监察机关采取留置措施且影响其履行职责。\n（四）公司董事、监事、高级管理人员因涉嫌违法违规被其他有权机关采取强制措施且影响其履行职责。\n公司应当披露报告期内公司或者公司的控股股东、实际控制人、董事、监事、高级管理人员被中国证监会采取行政监管措施和被证券交易所采取纪律处分的情况,若涉及限期整改要求的，公司应当披露整改责任人、整改期限、整改措施、整改完成情况。">
      <m:item xlName="_GBC_05b097ae59254d13916df227f563a3ed" concept="clcid-ci-ar:ShiFouShiYongShangShiGongSiJiQiDongShiJianShiGaoJiGuanLiRenYuanChiYouYiShangGuFenDeGuDongShiJiKongZhiRenShouGouRenChuFaJiZhengGaiQingKuang" label="是否适用：上市公司及其董事、监事、高级管理人员、持有5%以上股份的股东、实际控制人、收购人处罚及整改情况" selectOptions="_buildInAppliance" controlType="CustomCheckbox" cRanges="{&quot;StartName&quot;:&quot;_GBC_05b097ae59254d13916df227f563a3ed&quot;,&quot;EndName&quot;:&quot;_GBC_cddddc4c26704f2a81b9c244e5424777&quot;,&quot;CType&quot;:1,&quot;DisplayText&quot;:null}"/>
      <m:item xlName="_GBC_cddddc4c26704f2a81b9c244e5424777" concept="clcid-ie:GongSiDongShiHuiDongShiShouChuFaJiZhengGaiQingKuang" label="公司、董事会、董事受处罚及整改情况" appId="_GBC_05b097ae59254d13916df227f563a3ed"/>
    </m:section>
    <m:section xlName="_SEC_b6520273283341408b24eceadfb999dd" title="报告期内公司及其控股股东、实际控制人诚信状况的说明" helpId="104002006" helpText="公司应当披露报告期内公司及其控股股东、实际控制人的诚信状况，包括但不限于：是否存在未履行法院生效法律文书确定的义务、所负数额较大的债务到期未清偿等情况。">
      <m:item xlName="_GBC_650ef1e21808426d806ee2024dd14590" concept="clcid-ci-ar:ShiFouShiYongBaoGaoQiNeiGongSiJiQiKongGuGuDongShiJiKongZhiRenChengXinZhuangKuangDeShuoMing" label="是否适用：报告期内公司及其控股股东、实际控制人诚信状况的说明" selectOptions="_buildInAppliance" controlType="CustomCheckbox" cRanges="{&quot;StartName&quot;:&quot;_GBC_650ef1e21808426d806ee2024dd14590&quot;,&quot;EndName&quot;:&quot;_GBC_29d7055c47724780994aca0175d8a9c8&quot;,&quot;CType&quot;:1,&quot;DisplayText&quot;:null}"/>
      <m:item xlName="_GBC_29d7055c47724780994aca0175d8a9c8" concept="clcid-ie:BaoGaoQiNeiGongSiJiQiKongGuGuDongShiJiKongZhiRenChengXinZhuangKuangDeShuoMing" label="报告期内公司及其控股股东、实际控制人诚信状况的说明" appId="_GBC_650ef1e21808426d806ee2024dd14590"/>
    </m:section>
    <m:section xlName="_SEC_b9489dd6b4c843e6be6e5a97de24b51b" title="已在临时公告披露且后续实施无进展或变化的事项" rules="R2015_R5_009" convertSummaryRule="NoConvert" helpId="110006001">
      <m:item xlName="_GBC_9cce66e2c46445bea6fd259dd8b5277c" concept="clcid-ci-ar:ShiFouShiYongYiZaiLinShiGongGaoPiLuQieHouXuShiShiWuJinZhanHuoBianHuaDeShiXiangYuRiChangJingYingXiangGuanDeGuanLianJiaoYi" label="是否适用：已在临时公告披露且后续实施无进展或变化的事项_与日常经营相关的关联交易" selectOptions="_buildInAppliance" controlType="CustomCheckbox" cRanges="{&quot;StartName&quot;:&quot;_GBC_9cce66e2c46445bea6fd259dd8b5277c&quot;,&quot;EndName&quot;:&quot;_GBC_f553e3eb262647018b1cb9d8fee7a927&quot;,&quot;CType&quot;:1,&quot;DisplayText&quot;:null}"/>
      <m:placeholder xlName="_PLD_3978b66ad729485ab420902ac1d8641a" addr="T0R0C0S1_1"/>
      <m:placeholder xlName="_PLD_28c260015cd145a7bdcdc3be1a2f9896" addr="T0R0C1S1_1"/>
      <m:tuple xlName="_TUP_9c260e6d68f140909c4bb894b803a95c" concept="clcid-ie:YuRiChangJingYingXiangGuanDeGuanLianJiaoYiShiXiangYiZaiLinShiBaoGaoPiLuQieHouXuShiShiWuJinZhanHuoBianHuaDe" default_row="2" addr="T0R1C">
        <m:item xlName="_GBC_f7bd19315a764c3b8447b244ce3a8d82" concept="clcid-ie:YuRiChangJingYingXiangGuanDeGuanLianJiaoYiShiXiangYiZaiLinShiBaoGaoPiLuQieHouXuShiShiWuJinZhanHuoBianHuaDeShiXiangGaiShu" label="与日常经营相关的关联交易事项已在临时报告披露且后续实施无进展或变化的-事项概述" addr="T0R1C0S1_1" cellConvertType="1" appId="_GBC_9cce66e2c46445bea6fd259dd8b5277c"/>
        <m:item xlName="_GBC_f553e3eb262647018b1cb9d8fee7a927" concept="clcid-ie:YuRiChangJingYingXiangGuanDeGuanLianJiaoYiShiXiangYiZaiLinShiBaoGaoPiLuQieHouXuShiShiWuJinZhanHuoBianHuaDeChaXunSuoYin" label="与日常经营相关的关联交易事项已在临时报告披露且后续实施无进展或变化的-查询索引" addr="T0R1C1S1_1" appId="_GBC_9cce66e2c46445bea6fd259dd8b5277c"/>
      </m:tuple>
    </m:section>
    <m:section xlName="_SEC_ec9777844cc44aa6b3f98c8af0a20f95" title="已在临时公告披露，但有后续实施的进展或变化的事项" rules="R2015_R5_009" convertSummaryRule="NoConvert" helpId="110006001">
      <m:item xlName="_GBC_3d236e76c44140259dd09a3aed77ca15" concept="clcid-ci-ar:ShiFouShiYongYiZaiLinShiGongGaoPiLuDanYouHouXuShiShiDeJinZhanHuoBianHuaDeShiXiangYuRiChangJingYingXiangGuanDeGuanLianJiaoYi" label="是否适用：已在临时公告披露，但有后续实施的进展或变化的事项_与日常经营相关的关联交易" selectOptions="_buildInAppliance" controlType="CustomCheckbox" cRanges="{&quot;StartName&quot;:&quot;_GBC_3d236e76c44140259dd09a3aed77ca15&quot;,&quot;EndName&quot;:&quot;_GBC_0a4da36928c04bc784d8c97bc6a4a9d9&quot;,&quot;CType&quot;:1,&quot;DisplayText&quot;:null}"/>
      <m:item xlName="_GBC_0a4da36928c04bc784d8c97bc6a4a9d9" concept="clcid-ie:YuRiChangJingYingXiangGuanDeGuanLianJiaoYiShiXiangYiZaiLinShiBaoGaoPiLuHouXuShiShiDeJinZhanHuoBianHua" label="与日常经营相关的关联交易事项已在临时报告披露，后续实施的进展或变化" appId="_GBC_3d236e76c44140259dd09a3aed77ca15"/>
    </m:section>
    <m:section xlName="_SEC_227a4feb5cd045acb20f0e655bf26ea8" title="临时公告未披露的事项" rules="R2015_R5_009" convertSummaryRule="NoConvert" helpId="110006001">
      <m:item xlName="_GBC_91ad548daaa84603a8faa6c0ce358499" concept="clcid-ci-ar:ShiFouShiYongYuRiChangJingYingXiangGuanDeGuanLianJiaoYiLinShiGongGaoWeiPiLuDeShiXiang" label="是否适用：与日常经营相关的关联交易_临时公告未披露的事项" selectOptions="_buildInAppliance" controlType="CustomCheckbox" cRanges="{&quot;StartName&quot;:&quot;_GBC_91ad548daaa84603a8faa6c0ce358499&quot;,&quot;EndName&quot;:&quot;_GBC_78d04779d91642c0bc291b2036dc2f0b&quot;,&quot;CType&quot;:1,&quot;DisplayText&quot;:null}"/>
      <m:item xlName="_GBC_9e8c714ed9bc4713a289824ec6ff931d" concept="clcid-ci-ar:DanWeiYuRiChangJingYingXiangGuanDeGuanLianJiaoYiZhiZhuanHuanQuanWen" label="单位：与日常经营相关的关联交易（只转换全文）" selectOptions="_buildInScales" controlType="Combobox" cellType="Scale" appId="_GBC_91ad548daaa84603a8faa6c0ce358499"/>
      <m:item xlName="_GBC_9eb3cdff7f6941118228167721a35ec1" concept="clcid-ci-ar:BiZhongYuRiChangJingYingXiangGuanDeGuanLianJiaoYiZhiZhuanHuanQuanWen" label="币种：与日常经营相关的关联交易（只转换全文）" selectOptions="_buildInISO4217" controlType="Combobox" cellType="Measure" appId="_GBC_91ad548daaa84603a8faa6c0ce358499"/>
      <m:placeholder xlName="_PLD_cdf8d4e38d1643b698f8c0ba37632dd0" addr="T0R0C0S1_1"/>
      <m:placeholder xlName="_PLD_36c874b218ff4a2b9cce1d518c239f78" addr="T0R0C1S1_1"/>
      <m:placeholder xlName="_PLD_59a5508e1a3f4a9581dde52c3a064d73" addr="T0R0C2S1_1"/>
      <m:placeholder xlName="_PLD_7df6f86957ca4a35ab60b0f54e4c0891" addr="T0R0C3S1_1"/>
      <m:placeholder xlName="_PLD_2de4ca6561d042369ebd53f7766f1af9" addr="T0R0C4S1_1"/>
      <m:placeholder xlName="_PLD_206732c7671b4c2fba589b2ae77e3831" addr="T0R0C5S1_1"/>
      <m:placeholder xlName="_PLD_d4129ba2ae1249adb239b1c1c27630c4" addr="T0R0C6S1_1"/>
      <m:placeholder xlName="_PLD_e11a969c518b411182ddd4afcfb0cbad" addr="T0R0C7S1_1"/>
      <m:placeholder xlName="_PLD_b97782d92e7d4c82b961e8d7e116943d" addr="T0R0C8S1_1"/>
      <m:placeholder xlName="_PLD_1b83f35cd79a4f998851d240bf692b4d" addr="T0R0C9S1_1"/>
      <m:placeholder xlName="_PLD_d16a25e7cbaa45718615a8e08f40e145" addr="T0R0C10S1_1"/>
      <m:tuple xlName="_TUP_850e8f79b29640989828ba4950d3b4dc" concept="clcid-ie:GouXiaoShangPinTiGongHeJieShouLaoWuDeZhongDaGuanLianJiaoYi" default_row="2" addr="T0R1C">
        <m:item xlName="_GBC_1c0794346a52415a831f67af9b406279" concept="clcid-ie:GouXiaoShangPinTiGongHeJieShouLaoWuDeZhongDaGuanLianJiaoYiDeGuanLianFangMingCheng" label="购销商品、提供和接受劳务的重大关联交易的关联方名称" addr="T0R1C0S1_1" cellConvertType="1" appId="_GBC_91ad548daaa84603a8faa6c0ce358499"/>
        <m:item xlName="_GBC_5a6422bd842644b888cea7a0e140e773" concept="clcid-ie:GouXiaoShangPinTiGongHeJieShouLaoWuDeZhongDaGuanLianJiaoYiDeGuanLianFangGuanXi" label="购销商品、提供和接受劳务的重大关联交易的关联方关系" selectOptions="995b2a43652a4ae6ae31062ffd6294a1" addr="T0R1C1S1_1" controlType="Combobox" appId="_GBC_91ad548daaa84603a8faa6c0ce358499" checkOption="Ignore"/>
        <m:item xlName="_GBC_1863ca5fbeef4356b5c008342d545508" concept="clcid-ie:GouXiaoShangPinTiGongHeJieShouLaoWuDeZhongDaGuanLianJiaoYiDeLeiXing" label="购销商品、提供和接受劳务的重大关联交易的类型" selectOptions="e9bd07df2e0143ddad2733ecc6de320e" addr="T0R1C2S1_1" controlType="Combobox" appId="_GBC_91ad548daaa84603a8faa6c0ce358499" checkOption="Ignore"/>
        <m:item xlName="_GBC_e0595014b0804213b968f748ad8d6c1d" concept="clcid-ie:GuanLianJiaoYiNeiRong" label="关联交易内容" addr="T0R1C3S1_1" appId="_GBC_91ad548daaa84603a8faa6c0ce358499"/>
        <m:item xlName="_GBC_b46588925cf44010a1a191093185c02e" concept="clcid-ie:GouXiaoShangPinTiGongHeJieShouLaoWuDeZhongDaGuanLianJiaoYiDeDingJiaYuanZe" label="购销商品、提供和接受劳务的重大关联交易的定价原则" addr="T0R1C4S1_1" appId="_GBC_91ad548daaa84603a8faa6c0ce358499"/>
        <m:item xlName="_GBC_f526ccd5000e48b4baf4493619def993" concept="clcid-ie:GuanLianJiaoYiDeJiaGe" label="关联交易的价格" addr="T0R1C5S1_1" appId="_GBC_91ad548daaa84603a8faa6c0ce358499"/>
        <m:item xlName="_GBC_9ba04efb244c446cb01c30c68244d64a" concept="clcid-ie:GouXiaoShangPinTiGongJieShouLaoWuDeZhongDaGuanLianJiaoYiJinE" label="购销商品提供接受劳务的重大关联交易金额" mulRef="_GBC_9e8c714ed9bc4713a289824ec6ff931d" unitRef="_GBC_9eb3cdff7f6941118228167721a35ec1" addr="T0R1C6S1_1" formatStyle="Comma" appId="_GBC_91ad548daaa84603a8faa6c0ce358499"/>
        <m:item xlName="_GBC_555ab4ea77c240efa6b027563482ed6e" concept="clcid-ie:GouXiaoShangPinTiGongHeJieShouLaoWuDeZhongDaGuanLianJiaoYiZhanTongLeiJiaoYiJinEDeBiLi" label="购销商品、提供和接受劳务的重大关联交易占同类交易金额的比例" addr="T0R1C7S1_1" baseScale="0.01" formatStyle="Comma" appId="_GBC_91ad548daaa84603a8faa6c0ce358499"/>
        <m:item xlName="_GBC_860b4163b6174b209984909cd4d0338e" concept="clcid-ie:GuanLianJiaoYiJieSuanFangShi" label="关联交易结算方式" addr="T0R1C8S1_1" appId="_GBC_91ad548daaa84603a8faa6c0ce358499"/>
        <m:item xlName="_GBC_c59170b5af8a4d7b94e0a67683611e45" concept="clcid-ie:ShiChangJiaGe" label="同类交易市场价格" mulRef="_GBC_9e8c714ed9bc4713a289824ec6ff931d" unitRef="_GBC_9eb3cdff7f6941118228167721a35ec1" addr="T0R1C9S1_1" formatStyle="Comma" appId="_GBC_91ad548daaa84603a8faa6c0ce358499"/>
        <m:item xlName="_GBC_6d1f6b2f6f364988bab711924312f928" concept="clcid-ie:JiaoYiJiaGeYuShiChangCanKaoJiaGeChaYiJiaoDaDeYuanYin" label="交易价格与市场参考价格差异较大的原因" addr="T0R1C10S1_1" appId="_GBC_91ad548daaa84603a8faa6c0ce358499"/>
      </m:tuple>
      <m:placeholder xlName="_PLD_3fe8a8a9fa2644e9ae04b4aaeb7f188a" addr="T0R3C0S1_4"/>
      <m:item xlName="_GBC_fad4acfdbd63457688afb3e2842bddb2" concept="clcid-ie:ZhongDaGuanLianJiaoYiJinEHeJi" label="重大关联交易金额合计" mulRef="_GBC_9e8c714ed9bc4713a289824ec6ff931d" unitRef="_GBC_9eb3cdff7f6941118228167721a35ec1" addr="T0R3C6S1_1" formatStyle="Comma" appId="_GBC_91ad548daaa84603a8faa6c0ce358499"/>
      <m:item xlName="_GBC_16746ac4ae5049679b55147cb1950320" concept="clcid-ie:ZhongDaGuanLianJiaoYiJinEZhanTongLeiJiaoYiJinEDeBiLiHeJi" label="重大关联交易金额占同类交易金额的比例合计" addr="T0R3C7S1_1" baseScale="0.01" formatStyle="Comma" appId="_GBC_91ad548daaa84603a8faa6c0ce358499"/>
      <m:placeholder xlName="_PLD_f5439dcb8af74d44977d23989e851cc8" addr="T0R4C0S1_5"/>
      <m:item xlName="_GBC_be87e4beeec84f88b734df75de5f2f79" concept="clcid-ie:DaEXiaoHuoTuiHuiDeXiangXiQingKuang" label="大额销货退回的详细情况" addr="T0R4C5S1_6" appId="_GBC_91ad548daaa84603a8faa6c0ce358499"/>
      <m:placeholder xlName="_PLD_c648a08cf0f94c3f830efa5bf4a65eb0" addr="T0R5C0S1_5"/>
      <m:item xlName="_GBC_78d04779d91642c0bc291b2036dc2f0b" concept="clcid-ie:GouXiaoShangPinTiGongHeJieShouLaoWuDeZhongDaGuanLianJiaoYiShuoMing" label="购销商品提供和接受劳务的重大关联交易说明" addr="T0R5C5S1_6" appId="_GBC_91ad548daaa84603a8faa6c0ce358499"/>
    </m:section>
    <m:section xlName="_SEC_bf9131838c5b421d81cb3165b3861506" title="已在临时公告披露且后续实施无进展或变化的事项" rules="R2015_R5_009" convertSummaryRule="NoConvert" helpId="110006003">
      <m:item xlName="_GBC_208b69178a984ade8f4f4dd7a3362ae3" concept="clcid-ci-ar:ShiFouShiYongYiZaiLinShiGongGaoPiLuQieHouXuShiShiWuJinZhanHuoBianHuaDeShiXiangZiChanHuoGuQuanShouGouChuShouFaShengDeGuanLianJiaoYi" label="是否适用：已在临时公告披露且后续实施无进展或变化的事项_资产或股权收购、出售发生的关联交易" selectOptions="_buildInAppliance" controlType="CustomCheckbox" cRanges="{&quot;StartName&quot;:&quot;_GBC_208b69178a984ade8f4f4dd7a3362ae3&quot;,&quot;EndName&quot;:&quot;_GBC_3e2cf0c7de2348b7a9d745824368394a&quot;,&quot;CType&quot;:1,&quot;DisplayText&quot;:null}"/>
      <m:placeholder xlName="_PLD_8c23fd3fbb5e4f64a3e8c04645a2ad17" addr="T0R0C0S1_1"/>
      <m:placeholder xlName="_PLD_33ab4723b35a485a88f0f87d615efe5f" addr="T0R0C1S1_1"/>
      <m:tuple xlName="_TUP_02b62502f0834ef584cdfe6ac293aa5a" concept="clcid-ie:ZiChanShouGouChuShouFaShengDeGuanLianJiaoYiShiXiangYiZaiLinShiBaoGaoPiLuQieHouXuShiShiWuJinZhanHuoBianHuaDe" default_row="2" addr="T0R1C">
        <m:item xlName="_GBC_a836f43b0a1640ce8cbbad47f35c49af" concept="clcid-ie:ZiChanShouGouChuShouFaShengDeGuanLianJiaoYiShiXiangYiZaiLinShiBaoGaoPiLuQieHouXuShiShiWuJinZhanHuoBianHuaDeShiXiangGaiShu" label="资产收购、出售发生的关联交易事项已在临时报告披露且后续实施无进展或变化的-事项概述" addr="T0R1C0S1_1" appId="_GBC_208b69178a984ade8f4f4dd7a3362ae3"/>
        <m:item xlName="_GBC_3e2cf0c7de2348b7a9d745824368394a" concept="clcid-ie:ZiChanShouGouChuShouFaShengDeGuanLianJiaoYiShiXiangYiZaiLinShiBaoGaoPiLuQieHouXuShiShiWuJinZhanHuoBianHuaDeChaXunSuoYin" label="资产收购、出售发生的关联交易事项已在临时报告披露且后续实施无进展或变化的-查询索引" addr="T0R1C1S1_1" appId="_GBC_208b69178a984ade8f4f4dd7a3362ae3"/>
      </m:tuple>
    </m:section>
    <m:section xlName="_SEC_f9a57b14408248c4bc6881cfd0e81074" title="已在临时公告披露，但有后续实施的进展或变化的事项" rules="R2015_R5_009" convertSummaryRule="NoConvert" helpId="110006003">
      <m:item xlName="_GBC_b72de17637e74020b42aa0636b393f25" concept="clcid-ci-ar:ShiFouShiYongYiZaiLinShiGongGaoPiLuDanYouHouXuShiShiDeJinZhanHuoBianHuaDeShiXiangZiChanHuoGuQuanShouGouChuShouFaShengDeGuanLianJiaoYi" label="是否适用：已在临时公告披露，但有后续实施的进展或变化的事项_资产或股权收购、出售发生的关联交易" selectOptions="_buildInAppliance" controlType="CustomCheckbox" cRanges="{&quot;StartName&quot;:&quot;_GBC_b72de17637e74020b42aa0636b393f25&quot;,&quot;EndName&quot;:&quot;_GBC_0ff587dffeb441f7a9a643284ad60301&quot;,&quot;CType&quot;:1,&quot;DisplayText&quot;:null}"/>
      <m:item xlName="_GBC_0ff587dffeb441f7a9a643284ad60301" concept="clcid-ie:ZiChanShouGouChuShouFaShengDeGuanLianJiaoYiShiXiangYiZaiLinShiBaoGaoPiLuHouXuShiShiDeJinZhanHuoBianHua" label="资产收购、出售发生的关联交易事项已在临时报告披露，后续实施的进展或变化" appId="_GBC_b72de17637e74020b42aa0636b393f25"/>
    </m:section>
    <m:section xlName="_SEC_a7b4eef2f39c4550974e81ee8caca798" title="临时公告未披露的事项" rules="R2015_R5_009" convertSummaryRule="NoConvert" helpId="110006003">
      <m:item xlName="_GBC_d3f1f3f5ce564209aee49197432643af" concept="clcid-ci-ar:ShiFouShiYongZiChanShouGouChuShouFaShengDeGuanLianJiaoYiLinShiGongGaoWeiPiLuDeShiXiang" label="是否适用：资产收购、出售发生的关联交易_临时公告未披露的事项" selectOptions="_buildInAppliance" controlType="CustomCheckbox" cRanges="{&quot;StartName&quot;:&quot;_GBC_d3f1f3f5ce564209aee49197432643af&quot;,&quot;EndName&quot;:&quot;_GBC_6590e52a53814fbab4167db2a0d6cd77&quot;,&quot;CType&quot;:1,&quot;DisplayText&quot;:null}"/>
      <m:item xlName="_GBC_9ab58a6bf0d047bb8c4fe95fb164156a" concept="clcid-ci-ar:DanWeiZiChanShouGouChuShouFaShengDeGuanLianJiaoYi" label="单位：资产收购、出售发生的关联交易" selectOptions="_buildInScales" controlType="Combobox" cellType="Scale" appId="_GBC_d3f1f3f5ce564209aee49197432643af"/>
      <m:item xlName="_GBC_43be71762fbf43aaadff32f2c5570eed" concept="clcid-ci-ar:BiZhongZiChanShouGouChuShouFaShengDeGuanLianJiaoYi" label="币种：资产收购、出售发生的关联交易" selectOptions="_buildInISO4217" controlType="Combobox" cellType="Measure" appId="_GBC_d3f1f3f5ce564209aee49197432643af"/>
      <m:placeholder xlName="_PLD_fe6d6ddcfb964766a6be63b7a5d2a94a" addr="T0R0C0S1_1"/>
      <m:placeholder xlName="_PLD_0312dca871f1486d8aba292d201f8728" addr="T0R0C1S1_1"/>
      <m:placeholder xlName="_PLD_6bea793eaf16421d9dadb6b12376a4aa" addr="T0R0C2S1_1"/>
      <m:placeholder xlName="_PLD_06a949e7889b4565b904b1198a2dd23a" addr="T0R0C3S1_1"/>
      <m:placeholder xlName="_PLD_03f2a75eb6b4455d8e599a839fa1e8df" addr="T0R0C4S1_1"/>
      <m:placeholder xlName="_PLD_4159a86884e94b14b5ba91efedefea5a" addr="T0R0C5S1_1"/>
      <m:placeholder xlName="_PLD_bb5bb5d356694ecf8cc5dc1b9f182ce2" addr="T0R0C6S1_1"/>
      <m:placeholder xlName="_PLD_b522453c929a4e8d8ebd116ea926c842" addr="T0R0C7S1_1"/>
      <m:placeholder xlName="_PLD_b63b339e15724f3b9126d1691efe0063" addr="T0R0C8S1_1"/>
      <m:placeholder xlName="_PLD_65c8b03234654e4689bdd8db8b725c6e" addr="T0R0C9S1_1"/>
      <m:placeholder xlName="_PLD_bd88c493e15f40418bf0a6177d297076" addr="T0R0C10S1_1"/>
      <m:placeholder xlName="_PLD_14c7cc1add744c2698ca799af8e26c21" addr="T0R0C11S1_1"/>
      <m:tuple xlName="_TUP_3861b4bb592f4d9bb549f6151b3c06ae" concept="clcid-ie:ZiChanGuQuanZhuanRangDeZhongDaGuanLianJiaoYi" default_row="2" addr="T0R1C">
        <m:item xlName="_GBC_1f50a90c2a5640f0b39de3bdbeba5581" concept="clcid-ie:ZiChanGuQuanZhuanRangDeZhongDaGuanLianJiaoYiDeGuanLianFangMingCheng" label="资产股权转让的重大关联交易的关联方名称" addr="T0R1C0S1_1" cellConvertType="1" appId="_GBC_d3f1f3f5ce564209aee49197432643af"/>
        <m:item xlName="_GBC_0c02378ba6354ac3ac45bc7cdceb866e" concept="clcid-ie:ZiChanGuQuanZhuanRangDeZhongDaGuanLianJiaoYiDeGuanLianFangGuanXi" label="资产股权转让的重大关联交易的关联方关系" selectOptions="219e5edd5d234b23ae31d5c09f9eec07" addr="T0R1C1S1_1" controlType="Combobox" appId="_GBC_d3f1f3f5ce564209aee49197432643af" checkOption="Ignore"/>
        <m:item xlName="_GBC_8cac743ec6a74d9b9c227f5d25804f73" concept="clcid-ie:ZiChanGuQuanZhuanRangDeZhongDaGuanLianJiaoYiDeLeiXing" label="资产股权转让的重大关联交易的类型" selectOptions="3e65a1bc5c0f483db0d1223cfe66568a" addr="T0R1C2S1_1" controlType="Combobox" appId="_GBC_d3f1f3f5ce564209aee49197432643af" checkOption="Ignore"/>
        <m:item xlName="_GBC_05331a930b254c5ba435ed1a5d0ec438" concept="clcid-ie:ZiChanGuQuanZhuanRangDeZhongDaGuanLianJiaoYiDeNeiRong" label="资产股权转让的重大关联交易的内容" addr="T0R1C3S1_1" appId="_GBC_d3f1f3f5ce564209aee49197432643af"/>
        <m:item xlName="_GBC_f74ca2bb92714e2982a53f58fe309ceb" concept="clcid-ie:ZiChanGuQuanZhuanRangDeZhongDaGuanLianJiaoYiDeDingJiaYuanZe" label="资产股权转让的重大关联交易的定价原则" addr="T0R1C4S1_1" appId="_GBC_d3f1f3f5ce564209aee49197432643af"/>
        <m:item xlName="_GBC_7dd72c1dad0147eb86fd2da3d9d32118" concept="clcid-ie:GuanLianJiaoYiZhuanRangZiChanDeZhangMianJiaZhi" label="关联交易转让资产的帐面价值" mulRef="_GBC_9ab58a6bf0d047bb8c4fe95fb164156a" unitRef="_GBC_43be71762fbf43aaadff32f2c5570eed" addr="T0R1C5S1_1" formatStyle="Comma" appId="_GBC_d3f1f3f5ce564209aee49197432643af"/>
        <m:item xlName="_GBC_f852d316f6a844e8a5dc6629d143c796" concept="clcid-ie:GuanLianJiaoYiZhuanRangZiChanDePingGuJiaZhi" label="关联交易转让资产的评估价值" mulRef="_GBC_9ab58a6bf0d047bb8c4fe95fb164156a" unitRef="_GBC_43be71762fbf43aaadff32f2c5570eed" addr="T0R1C6S1_1" formatStyle="Comma" appId="_GBC_d3f1f3f5ce564209aee49197432643af"/>
        <m:item xlName="_GBC_f1b53931dfbb45d5855aa8e2fb61fbae" concept="clcid-ie:ZiChanGuQuanZhuanRangDeZhongDaGuanLianJinE" label="资产、股权转让的重大关联金额" mulRef="_GBC_9ab58a6bf0d047bb8c4fe95fb164156a" unitRef="_GBC_43be71762fbf43aaadff32f2c5570eed" addr="T0R1C7S1_1" formatStyle="Comma" appId="_GBC_d3f1f3f5ce564209aee49197432643af"/>
        <m:item xlName="_GBC_4a28b708d9b640a989e2862c7ddbddf3" concept="clcid-ie:ZiChanGuQuanZhuanRangDeZhongDaGuanLianJiaoYiDeJieSuanFangShi" label="资产股权转让的重大关联交易的结算方式" addr="T0R1C8S1_1" appId="_GBC_d3f1f3f5ce564209aee49197432643af"/>
        <m:item xlName="_GBC_8c0fd8d52c8f4f0cbc0f0d85298b1b3c" concept="clcid-ie:GuanLianJiaoYiZhuanRangZiChanHuoDeDeShouYi" label="关联交易转让资产获得的收益" mulRef="_GBC_9ab58a6bf0d047bb8c4fe95fb164156a" unitRef="_GBC_43be71762fbf43aaadff32f2c5570eed" addr="T0R1C9S1_1" formatStyle="Comma" appId="_GBC_d3f1f3f5ce564209aee49197432643af"/>
        <m:item xlName="_GBC_f89ffb9802184f6d8493e4ccd88be20a" concept="clcid-ie:ZiChanGuQuanZhuanRangDeZhongDaGuanLianJiaoYiDuiGongSiJingYingChengGuoHeCaiWuZhuangKuangDeYingXiangQingKuang" label="资产股权转让的重大关联交易对公司经营成果和财务状况的影响情况" addr="T0R1C10S1_1" appId="_GBC_d3f1f3f5ce564209aee49197432643af"/>
        <m:item xlName="_GBC_5d36eedbdc09476abaa10812238a3883" concept="clcid-ie:ZhuanRangJiaGeYuZhangMianJiaZhiHuoPingGuJiaZhiChaYiJiaoDaDeYuanYin" label="转让价格与帐面价值或评估价值差异较大的原因" addr="T0R1C11S1_1" appId="_GBC_d3f1f3f5ce564209aee49197432643af"/>
      </m:tuple>
      <m:item xlName="_GBC_6590e52a53814fbab4167db2a0d6cd77" concept="clcid-ie:ZiChanGuQuanZhuanRangDeZhongDaGuanLianJiaoYiDeShuoMing" label="资产股权转让的重大关联交易的说明" appId="_GBC_d3f1f3f5ce564209aee49197432643af"/>
    </m:section>
    <m:section xlName="_SEC_e17a03ced9e54c92b773a7e185d85bd3" title="涉及业绩约定的，应当披露报告期内的业绩实现情况" helpId="110006003">
      <m:item xlName="_GBC_0640a8fc3526461ca1eed7810b087c23" concept="clcid-ci-ar:ShiFouShiYongSheJiYeJiYueDingDeYingDangPiLuBaoGaoQiNeiDeYeJiShiXianQingKuang" label="是否适用：涉及业绩约定的，应当披露报告期内的业绩实现情况" selectOptions="_buildInAppliance" controlType="CustomCheckbox" cRanges="{&quot;StartName&quot;:&quot;_GBC_0640a8fc3526461ca1eed7810b087c23&quot;,&quot;EndName&quot;:&quot;_GBC_3affd20c6ab742daaad823b4564d30b2&quot;,&quot;CType&quot;:1,&quot;DisplayText&quot;:null}"/>
      <m:item xlName="_GBC_3affd20c6ab742daaad823b4564d30b2" concept="clcid-ie:clcid-ie_SheJiYeJiYueDingDeYingDangPiLuBaoGaoQiNeiDeYeJiShiXianQingKuang" label="涉及业绩约定的，应当披露报告期内的业绩实现情况" appId="_GBC_0640a8fc3526461ca1eed7810b087c23"/>
    </m:section>
    <m:section xlName="_SEC_d9e67609bdab489e985efba8758860bd" title="已在临时公告披露且后续实施无进展或变化的事项" rules="R2015_R5_009" convertSummaryRule="NoConvert" helpId="110006004">
      <m:item xlName="_GBC_dda9192a67f44f8698afb5d0b3e3c767" concept="clcid-ci-ar:ShiFouShiYongYiZaiLinShiGongGaoPiLuQieHouXuShiShiWuJinZhanHuoBianHuaDeShiXiangGongTongDuiWaiTouZiDeZhongDaGuanLianJiaoYi" label="是否适用：已在临时公告披露且后续实施无进展或变化的事项_共同对外投资的重大关联交易" selectOptions="_buildInAppliance" controlType="CustomCheckbox" cRanges="{&quot;StartName&quot;:&quot;_GBC_dda9192a67f44f8698afb5d0b3e3c767&quot;,&quot;EndName&quot;:&quot;_GBC_25d6069722994d68a3e15b15accd6d5d&quot;,&quot;CType&quot;:1,&quot;DisplayText&quot;:null}"/>
      <m:placeholder xlName="_PLD_10cfd393590040a98ca84969d8fafe24" addr="T0R0C0S1_1"/>
      <m:placeholder xlName="_PLD_576f7fc87417448b9c783c39e628806a" addr="T0R0C1S1_1"/>
      <m:tuple xlName="_TUP_bc44d43b58344667966e60addfdff7e3" concept="clcid-ie:GongTongDuiWaiTouZiFaShengDeGuanLianJiaoYiShiXiangYiZaiLinShiBaoGaoPiLuQieHouXuShiShiWuJinZhanHuoBianHuaDe" default_row="2" addr="T0R1C">
        <m:item xlName="_GBC_b663564f34404143b4e2b54aab91fd93" concept="clcid-ie:GongTongDuiWaiTouZiFaShengDeGuanLianJiaoYiShiXiangYiZaiLinShiBaoGaoPiLuQieHouXuShiShiWuJinZhanHuoBianHuaDeShiXiangGaiShu" label="共同对外投资发生的关联交易事项已在临时报告披露且后续实施无进展或变化的-事项概述" addr="T0R1C0S1_1" appId="_GBC_dda9192a67f44f8698afb5d0b3e3c767"/>
        <m:item xlName="_GBC_25d6069722994d68a3e15b15accd6d5d" concept="clcid-ie:GongTongDuiWaiTouZiFaShengDeGuanLianJiaoYiShiXiangYiZaiLinShiBaoGaoPiLuQieHouXuShiShiWuJinZhanHuoBianHuaDeChaXunSuoYin" label="共同对外投资发生的关联交易事项已在临时报告披露且后续实施无进展或变化的-查询索引" addr="T0R1C1S1_1" appId="_GBC_dda9192a67f44f8698afb5d0b3e3c767"/>
      </m:tuple>
    </m:section>
    <m:section xlName="_SEC_53e4f8cd2c114fb1a1c9d74236ebd2fc" title="已在临时公告披露，但有后续实施的进展或变化的事项" rules="R2015_R5_009" convertSummaryRule="NoConvert" helpId="110006004">
      <m:item xlName="_GBC_f5354c189ecd4cad9ef1e263c325c0db" concept="clcid-ci-ar:ShiFouShiYongYiZaiLinShiGongGaoPiLuDanYouHouXuShiShiDeJinZhanHuoBianHuaDeShiXiangGongTongDuiWaiTouZiDeZhongDaGuanLianJiaoYi" label="是否适用：已在临时公告披露，但有后续实施的进展或变化的事项_共同对外投资的重大关联交易" selectOptions="_buildInAppliance" controlType="CustomCheckbox" cRanges="{&quot;StartName&quot;:&quot;_GBC_f5354c189ecd4cad9ef1e263c325c0db&quot;,&quot;EndName&quot;:&quot;_GBC_12c091332c97456ba0e3554abf44bc76&quot;,&quot;CType&quot;:1,&quot;DisplayText&quot;:null}"/>
      <m:item xlName="_GBC_12c091332c97456ba0e3554abf44bc76" concept="clcid-ie:GongTongDuiWaiTouZiFaShengDeGuanLianJiaoYiShiXiangYiZaiLinShiBaoGaoPiLuHouXuShiShiDeJinZhanHuoBianHua" label="共同对外投资发生的关联交易事项已在临时报告披露，后续实施的进展或变化" appId="_GBC_f5354c189ecd4cad9ef1e263c325c0db"/>
    </m:section>
    <m:section xlName="_SEC_25e347f9cbc546cbafdf30522b654328" title="临时公告未披露的事项" rules="R2015_R5_009" convertSummaryRule="NoConvert" helpId="110006004">
      <m:item xlName="_GBC_3ac28148c3754202ba544078ad581a24" concept="clcid-ci-ar:ShiFouShiYongGongTongDuiWaiTouZiDeZhongDaGuanLianJiaoYiLinShiGongGaoWeiPiLuDeShiXiang" label="是否适用：共同对外投资的重大关联交易_临时公告未披露的事项" selectOptions="_buildInAppliance" controlType="CustomCheckbox" cRanges="{&quot;StartName&quot;:&quot;_GBC_3ac28148c3754202ba544078ad581a24&quot;,&quot;EndName&quot;:&quot;_GBC_57879614d5864886be398fa462180f23&quot;,&quot;CType&quot;:1,&quot;DisplayText&quot;:null}"/>
      <m:item xlName="_GBC_56669012df974da088e6f407d1f3edef" concept="clcid-ci-ar:DanWeiGongTongDuiWaiTouZiDeZhongDaGuanLianJiaoYi" label="单位：共同对外投资的重大关联交易" selectOptions="_buildInScales" controlType="Combobox" cellType="Scale" appId="_GBC_3ac28148c3754202ba544078ad581a24"/>
      <m:item xlName="_GBC_fdde50aa0b454cd09c8305bd082a4e5d" concept="clcid-ci-ar:BiZhongGongTongDuiWaiTouZiDeZhongDaGuanLianJiaoYi" label="币种：共同对外投资的重大关联交易" selectOptions="_buildInISO4217" controlType="Combobox" cellType="Measure" appId="_GBC_3ac28148c3754202ba544078ad581a24"/>
      <m:placeholder xlName="_PLD_459124f21fc74aebb0e85a37501bcca7" addr="T0R0C0S1_1"/>
      <m:placeholder xlName="_PLD_87bec2ffe6694b2eab702e82869db544" addr="T0R0C1S1_1"/>
      <m:placeholder xlName="_PLD_07c7848292c04394b811bac68c91987f" addr="T0R0C2S1_1"/>
      <m:placeholder xlName="_PLD_32700ca20d6445949b48e99916faac5e" addr="T0R0C3S1_1"/>
      <m:placeholder xlName="_PLD_e9be4e02e8694fedac4fc0beef498147" addr="T0R0C4S1_1"/>
      <m:placeholder xlName="_PLD_b7cad56e5b40416b8e78bb4ddd0c032d" addr="T0R0C5S1_1"/>
      <m:placeholder xlName="_PLD_9a5992e56398496dbb27250544806868" addr="T0R0C6S1_1"/>
      <m:placeholder xlName="_PLD_b62aba7377f1446ba6d83b57a1d44749" addr="T0R0C7S1_1"/>
      <m:placeholder xlName="_PLD_3973b238758e47dd89d7fb6df4d1b30a" addr="T0R0C8S1_1"/>
      <m:tuple xlName="_TUP_67e1cf29193d4f02a6bbbd283b9da6e7" concept="clcid-ie:GongTongDuiWaiTouZiDeZhongDaGuanLianJiaoYi" default_row="2" addr="T0R1C">
        <m:item xlName="_GBC_906bf66e34034d2b939c4016b152b064" concept="clcid-ie:GongTongDuiWaiTouZiDeZhongDaGuanLianJiaoYiDeGuanLianFangMingCheng" label="共同对外投资的重大关联交易的关联方名称" addr="T0R1C0S1_1" appId="_GBC_3ac28148c3754202ba544078ad581a24"/>
        <m:item xlName="_GBC_97c85dd4cd204e8ea5f1b6a9150b0a29" concept="clcid-ie:GongTongDuiWaiTouZiDeZhongDaGuanLianJiaoYiDeGuanLianFangGuanXi" label="共同对外投资的重大关联交易的关联方关系" selectOptions="995b2a43652a4ae6ae31062ffd6294a1" addr="T0R1C1S1_1" controlType="Combobox" appId="_GBC_3ac28148c3754202ba544078ad581a24" checkOption="Ignore"/>
        <m:item xlName="_GBC_b7fac4937b074b9f976e46f485b18318" concept="clcid-ie:BeiTouZiQiYeDeMingCheng" label="被投资企业的名称" addr="T0R1C2S1_1" appId="_GBC_3ac28148c3754202ba544078ad581a24"/>
        <m:item xlName="_GBC_aae3ddbec90842d58431d7b7e23171c7" concept="clcid-ie:BeiTouZiQiYeDeZhuYingYeWu" label="被投资企业的主营业务" addr="T0R1C3S1_1" appId="_GBC_3ac28148c3754202ba544078ad581a24"/>
        <m:item xlName="_GBC_f6f5bd56d181462b8f4d1b30f57fe11b" concept="clcid-ie:BeiTouZiQiYeDeZhuCeZiBen" label="被投资企业的注册资本" mulRef="_GBC_56669012df974da088e6f407d1f3edef" unitRef="_GBC_fdde50aa0b454cd09c8305bd082a4e5d" addr="T0R1C4S1_1" formatStyle="Comma" appId="_GBC_3ac28148c3754202ba544078ad581a24"/>
        <m:item xlName="_GBC_2466a8963b7a42f5b9f7b072310acf77" concept="clcid-ie:BeiTouZiQiYeDeZongZiChan" label="被投资企业的总资产" mulRef="_GBC_56669012df974da088e6f407d1f3edef" unitRef="_GBC_fdde50aa0b454cd09c8305bd082a4e5d" addr="T0R1C5S1_1" formatStyle="Comma" appId="_GBC_3ac28148c3754202ba544078ad581a24"/>
        <m:item xlName="_GBC_0897d99abb69441a849f83e6f5803db7" concept="clcid-ie:BeiTouZiQiYeDeJingZiChan" label="被投资企业的净资产" mulRef="_GBC_56669012df974da088e6f407d1f3edef" unitRef="_GBC_fdde50aa0b454cd09c8305bd082a4e5d" addr="T0R1C6S1_1" formatStyle="Comma" appId="_GBC_3ac28148c3754202ba544078ad581a24"/>
        <m:item xlName="_GBC_8c8f3adcf2744e80b6b208585e7208b6" concept="clcid-ie:BeiTouZiQiYeDeJingLiRun" label="被投资企业的净利润" mulRef="_GBC_56669012df974da088e6f407d1f3edef" unitRef="_GBC_fdde50aa0b454cd09c8305bd082a4e5d" addr="T0R1C7S1_1" formatStyle="Comma" appId="_GBC_3ac28148c3754202ba544078ad581a24"/>
        <m:item xlName="_GBC_4b32906deefd4534a6374ddd94a11474" concept="clcid-ie:BeiTouZiQiYeDeZhongDaZaiJianXiangMuDeJinZhanQingKuang" label="被投资企业的重大在建项目的进展情况" addr="T0R1C8S1_1" appId="_GBC_3ac28148c3754202ba544078ad581a24"/>
      </m:tuple>
      <m:item xlName="_GBC_57879614d5864886be398fa462180f23" concept="clcid-ie:GongTongDuiWaiTouZiDeZhongDaGuanLianJiaoYiDeShuoMing" label="共同对外投资的重大关联交易的说明" appId="_GBC_3ac28148c3754202ba544078ad581a24"/>
    </m:section>
    <m:section xlName="_SEC_2fd4e717dd2949d2b4b4fb580dfce32a" title="已在临时公告披露且后续实施无进展或变化的事项" rules="R2015_R5_009" convertSummaryRule="NoConvert" helpId="110006005">
      <m:item xlName="_GBC_480ccdae6247445ca78cf6327eb0e24f" concept="clcid-ci-ar:ShiFouShiYongYiZaiLinShiGongGaoPiLuQieHouXuShiShiWuJinZhanHuoBianHuaDeShiXiangGuanLianZhaiQuanZhaiWuWangLai" label="是否适用：已在临时公告披露且后续实施无进展或变化的事项_关联债权债务往来" selectOptions="_buildInAppliance" controlType="CustomCheckbox" cRanges="{&quot;StartName&quot;:&quot;_GBC_480ccdae6247445ca78cf6327eb0e24f&quot;,&quot;EndName&quot;:&quot;_GBC_1dd0e7f3a7834627abaa33b1c6e5e9b5&quot;,&quot;CType&quot;:1,&quot;DisplayText&quot;:null}"/>
      <m:placeholder xlName="_PLD_641b1d616473417fb552300d6ca71fd6" addr="T0R0C0S1_1"/>
      <m:placeholder xlName="_PLD_f3cd8fe278c448b684f454e30de3ca1f" addr="T0R0C1S1_1"/>
      <m:tuple xlName="_TUP_6246e091e442453faab72c85d5135243" concept="clcid-ie:GuanLianZhaiQuanZhaiWuWangLaiShiXiangYiZaiLinShiBaoGaoPiLuQieHouXuShiShiWuJinZhanHuoBianHuaDe" default_row="2" addr="T0R1C">
        <m:item xlName="_GBC_70660166599f4bc4a05b0ae3d78b5d63" concept="clcid-ie:GuanLianZhaiQuanZhaiWuWangLaiShiXiangYiZaiLinShiBaoGaoPiLuQieHouXuShiShiWuJinZhanHuoBianHuaDeShiXiangGaiShu" label="关联债权债务往来事项已在临时报告披露且后续实施无进展或变化的-事项概述" addr="T0R1C0S1_1" appId="_GBC_480ccdae6247445ca78cf6327eb0e24f"/>
        <m:item xlName="_GBC_1dd0e7f3a7834627abaa33b1c6e5e9b5" concept="clcid-ie:GuanLianZhaiQuanZhaiWuWangLaiShiXiangYiZaiLinShiBaoGaoPiLuQieHouXuShiShiWuJinZhanHuoBianHuaDeChaXunSuoYin" label="关联债权债务往来事项已在临时报告披露且后续实施无进展或变化的-查询索引" addr="T0R1C1S1_1" appId="_GBC_480ccdae6247445ca78cf6327eb0e24f"/>
      </m:tuple>
    </m:section>
    <m:section xlName="_SEC_dcb3650518df4296931e576a9d6fdaf3" title="已在临时公告披露，但有后续实施的进展或变化的事项" rules="R2015_R5_009" convertSummaryRule="NoConvert" helpId="110006005">
      <m:item xlName="_GBC_06dcfbbd6aed49aa878ab07a09b2270b" concept="clcid-ci-ar:ShiFouShiYongYiZaiLinShiGongGaoPiLuDanYouHouXuShiShiDeJinZhanHuoBianHuaDeShiXiangGuanLianZhaiQuanZhaiWuWangLai" label="是否适用：已在临时公告披露，但有后续实施的进展或变化的事项_关联债权债务往来" selectOptions="_buildInAppliance" controlType="CustomCheckbox" cRanges="{&quot;StartName&quot;:&quot;_GBC_06dcfbbd6aed49aa878ab07a09b2270b&quot;,&quot;EndName&quot;:&quot;_GBC_06afb9a67e574eb8b4e25332894ac4b6&quot;,&quot;CType&quot;:1,&quot;DisplayText&quot;:null}"/>
      <m:item xlName="_GBC_06afb9a67e574eb8b4e25332894ac4b6" concept="clcid-ie:GuanLianZhaiQuanZhaiWuWangLaiShiXiangYiZaiLinShiBaoGaoPiLuHouXuShiShiDeJinZhanHuoBianHua" label="关联债权债务往来事项已在临时报告披露，后续实施的进展或变化" appId="_GBC_06dcfbbd6aed49aa878ab07a09b2270b"/>
    </m:section>
    <m:section xlName="_SEC_da19abf815bb4e3a97fcb901c6225551" title="临时公告未披露的事项" rules="R2015_R5_009" isPatch="true" convertSummaryRule="NoConvert" helpId="110006005" helpText="注：“关联债权债务往来”不包括本准则第三十九条（一）（二）（三）项中的交易事项，表格中“发生额”、“余额”应包括以下项目的加总：\n（1）“其他应收款”、“其他应付款”科目下的有关金额；\n（2）“应收账款”及“预付账款”科目中的代垫经营性费用及成本部分。">
      <m:item xlName="_GBC_0f4a6802ca704b49a413888379a91f0b" concept="clcid-ci-ar:ShiFouShiYongGuanLianZhaiQuanZhaiWuWangLaiLinShiGongGaoWeiPiLuDeShiXiang" label="是否适用：关联债权债务往来_临时公告未披露的事项" selectOptions="_buildInAppliance" controlType="CustomCheckbox" cRanges="{&quot;StartName&quot;:&quot;_GBC_0f4a6802ca704b49a413888379a91f0b&quot;,&quot;EndName&quot;:&quot;_GBC_b2138a8ac9394b25bf46f17c9daa5a92&quot;,&quot;CType&quot;:1,&quot;DisplayText&quot;:null}"/>
      <m:item xlName="_GBC_3d4746bf1eac4cb78b4d5e8f638c58a7" concept="clcid-ci-ar:DanWeiGuanLianZhaiQuanZhaiWuWangLai" label="单位：关联债权债务往来" selectOptions="_buildInScales" controlType="Combobox" cellType="Scale" appId="_GBC_0f4a6802ca704b49a413888379a91f0b"/>
      <m:item xlName="_GBC_5091a378d0114c298e9441456458f056" concept="clcid-ci-ar:BiZhongGuanLianZhaiQuanZhaiWuWangLai" label="币种：关联债权债务往来" selectOptions="_buildInISO4217" controlType="Combobox" cellType="Measure" appId="_GBC_0f4a6802ca704b49a413888379a91f0b"/>
      <m:placeholder xlName="_PLD_a03ab7dba8d64a3988ed93cc7ea7faec" addr="T0R0C0S2_1"/>
      <m:placeholder xlName="_PLD_fd7d9e6d29544e1f819ac61e5ffc7800" addr="T0R0C1S2_1"/>
      <m:placeholder xlName="_PLD_ab475f26ae1346059edb39a2aa01b7a0" addr="T0R0C2S1_3"/>
      <m:placeholder xlName="_PLD_563c35dec57c48f3b46f1f62e335b927" addr="T0R0C5S1_3"/>
      <m:placeholder xlName="_PLD_84c4eb576c0841edbba1a279db4bece5" addr="T0R1C2S1_1"/>
      <m:placeholder xlName="_PLD_a0465b18c711498aacc6643f88ec2071" addr="T0R1C3S1_1"/>
      <m:placeholder xlName="_PLD_50c7dd7dd5804b108bed028ac898954a" addr="T0R1C4S1_1"/>
      <m:placeholder xlName="_PLD_c6512bddd9054caeb41c5dab753be8c6" addr="T0R1C5S1_1"/>
      <m:placeholder xlName="_PLD_121e88852b0f4d04b04977cd52578513" addr="T0R1C6S1_1"/>
      <m:placeholder xlName="_PLD_656f31b560d642bdb30b1a1db50f1150" addr="T0R1C7S1_1"/>
      <m:tuple xlName="_TUP_6bcf9c3a79e549839fd3bf2cfdd9967e" concept="clcid-ie:GuanLianZhaiQuanZhaiWuWangLai" default_row="2" addr="T0R2C">
        <m:item xlName="_GBC_e2a25924cb6d4fdd9d1bf7bebc154722" concept="clcid-ie:GuanLianZhaiQuanZhaiWuWangLaiDeGuanLianFangMingCheng" label="关联债权债务往来的关联方名称" addr="T0R2C0S1_1" cellConvertType="1" appId="_GBC_0f4a6802ca704b49a413888379a91f0b"/>
        <m:item xlName="_GBC_679285fa5ad84826afdcbe28cc1f1421" concept="clcid-ie:GuanLianZhaiQuanZhaiWuWangLaiDeGuanLianFangGuanXi" label="关联债权债务往来的关联方关系" selectOptions="995b2a43652a4ae6ae31062ffd6294a1" addr="T0R2C1S1_1" controlType="Combobox" appId="_GBC_0f4a6802ca704b49a413888379a91f0b" checkOption="Ignore"/>
        <m:item xlName="_GBC_9698a79821e14e9cb1c203a6681f2d8c" concept="clcid-ie:XiangGuanLianFangTiGongZiJinYuE" label="向关联方提供资金余额" periodRef="本期期初数" mulRef="_GBC_3d4746bf1eac4cb78b4d5e8f638c58a7" unitRef="_GBC_5091a378d0114c298e9441456458f056" addr="T0R2C2S1_1" formatStyle="Comma" appId="_GBC_0f4a6802ca704b49a413888379a91f0b"/>
        <m:item xlName="_GBC_b0cf833c6ba74c879a0993833319c5ae" concept="clcid-ie:XiangGuanLianFangTiGongZiJinFaShengE" label="向关联方提供资金发生额" mulRef="_GBC_3d4746bf1eac4cb78b4d5e8f638c58a7" unitRef="_GBC_5091a378d0114c298e9441456458f056" addr="T0R2C3S1_1" formatStyle="Comma" appId="_GBC_0f4a6802ca704b49a413888379a91f0b"/>
        <m:item xlName="_GBC_f07f2f336c0e49b6bab9cb1afd6a5c99" concept="clcid-ie:XiangGuanLianFangTiGongZiJinYuE" label="向关联方提供资金余额" mulRef="_GBC_3d4746bf1eac4cb78b4d5e8f638c58a7" unitRef="_GBC_5091a378d0114c298e9441456458f056" addr="T0R2C4S1_1" formatStyle="Comma" appId="_GBC_0f4a6802ca704b49a413888379a91f0b"/>
        <m:item xlName="_GBC_20632358763e4e5d8912f35a6d7bb7b8" concept="clcid-ie:GuanLianFangXiangShangShiGongSiTiGongZiJinYuE" label="关联方向上市公司提供资金余额" periodRef="本期期初数" mulRef="_GBC_3d4746bf1eac4cb78b4d5e8f638c58a7" unitRef="_GBC_5091a378d0114c298e9441456458f056" addr="T0R2C5S1_1" formatStyle="Comma" appId="_GBC_0f4a6802ca704b49a413888379a91f0b"/>
        <m:item xlName="_GBC_14b2c1dd0fdf45cdad4d1506ac8844cc" concept="clcid-ie:GuanLianFangXiangShangShiGongSiTiGongZiJinFaShengE" label="关联方向上市公司提供资金发生额" mulRef="_GBC_3d4746bf1eac4cb78b4d5e8f638c58a7" unitRef="_GBC_5091a378d0114c298e9441456458f056" addr="T0R2C6S1_1" formatStyle="Comma" appId="_GBC_0f4a6802ca704b49a413888379a91f0b"/>
        <m:item xlName="_GBC_ceae9772c5504f35a15a7ac08517a616" concept="clcid-ie:GuanLianFangXiangShangShiGongSiTiGongZiJinYuE" label="关联方向上市公司提供资金余额" mulRef="_GBC_3d4746bf1eac4cb78b4d5e8f638c58a7" unitRef="_GBC_5091a378d0114c298e9441456458f056" addr="T0R2C7S1_1" formatStyle="Comma" appId="_GBC_0f4a6802ca704b49a413888379a91f0b"/>
      </m:tuple>
      <m:placeholder xlName="_PLD_4e6e1213c0fd4d7ea9bcbd8c87bfc6f1" addr="T0R4C0S1_2"/>
      <m:item xlName="_GBC_4d3ef239a3ac42859863597fefdf72b4" concept="clcid-ie:XiangGuanLianFangTiGongZiJinYuEHeJi" label="向关联方提供资金余额合计" periodRef="本期期初数" mulRef="_GBC_3d4746bf1eac4cb78b4d5e8f638c58a7" unitRef="_GBC_5091a378d0114c298e9441456458f056" addr="T0R4C2S1_1" formatStyle="Comma" appId="_GBC_0f4a6802ca704b49a413888379a91f0b"/>
      <m:item xlName="_GBC_82ce42e3b51742f3ba2e5bd8d6357350" concept="clcid-ie:XiangGuanLianFangTiGongZiJinFaShengEHeJi" label="向关联方提供资金发生额合计" mulRef="_GBC_3d4746bf1eac4cb78b4d5e8f638c58a7" unitRef="_GBC_5091a378d0114c298e9441456458f056" addr="T0R4C3S1_1" formatStyle="Comma" appId="_GBC_0f4a6802ca704b49a413888379a91f0b"/>
      <m:item xlName="_GBC_c00bf6a72204447f9dbeb72cf98862ca" concept="clcid-ie:XiangGuanLianFangTiGongZiJinYuEHeJi" label="向关联方提供资金余额合计" mulRef="_GBC_3d4746bf1eac4cb78b4d5e8f638c58a7" unitRef="_GBC_5091a378d0114c298e9441456458f056" addr="T0R4C4S1_1" formatStyle="Comma" appId="_GBC_0f4a6802ca704b49a413888379a91f0b"/>
      <m:item xlName="_GBC_1131bfae40f744909ef498bc65e5871b" concept="clcid-ie:GuanLianFangXiangShangShiGongSiTiGongZiJinYuEHeJi" label="关联方向上市公司提供资金余额合计" periodRef="本期期初数" mulRef="_GBC_3d4746bf1eac4cb78b4d5e8f638c58a7" unitRef="_GBC_5091a378d0114c298e9441456458f056" addr="T0R4C5S1_1" formatStyle="Comma" appId="_GBC_0f4a6802ca704b49a413888379a91f0b"/>
      <m:item xlName="_GBC_486634c3cb114df7a557aa81969e3100" concept="clcid-ie:GuanLianFangXiangShangShiGongSiTiGongZiJinFaShengEHeJi" label="关联方向上市公司提供资金发生额合计" mulRef="_GBC_3d4746bf1eac4cb78b4d5e8f638c58a7" unitRef="_GBC_5091a378d0114c298e9441456458f056" addr="T0R4C6S1_1" formatStyle="Comma" appId="_GBC_0f4a6802ca704b49a413888379a91f0b"/>
      <m:item xlName="_GBC_16208e9d466f478aa8f548c7afc4d157" concept="clcid-ie:GuanLianFangXiangShangShiGongSiTiGongZiJinYuEHeJi" label="关联方向上市公司提供资金余额合计" mulRef="_GBC_3d4746bf1eac4cb78b4d5e8f638c58a7" unitRef="_GBC_5091a378d0114c298e9441456458f056" addr="T0R4C7S1_1" formatStyle="Comma" appId="_GBC_0f4a6802ca704b49a413888379a91f0b"/>
      <m:placeholder xlName="_PLD_0ae9b8c1a1764adf98d6d650be3ad229" addr="T0R5C0S1_2"/>
      <m:item xlName="_GBC_141c258ed4aa4884a97b463a1d5233eb" concept="clcid-ie:GuanLianZhaiQuanZhaiWuXingChengYuanYin" label="关联债权债务形成原因" addr="T0R5C2S1_6" appId="_GBC_0f4a6802ca704b49a413888379a91f0b"/>
      <m:placeholder xlName="_PLD_824080e643bb4ac580353d38c3323862" addr="T0R6C0S1_2"/>
      <m:item xlName="_GBC_b2138a8ac9394b25bf46f17c9daa5a92" concept="clcid-ie:GuanLianZhaiQuanZhaiWuDuiGongSiJingYingChengGuoJiCaiWuZhuangKuangDeYingXiang" label="关联债权债务对公司经营成果及财务状况的影响" addr="T0R6C2S1_6" appId="_GBC_0f4a6802ca704b49a413888379a91f0b"/>
    </m:section>
    <m:item xlName="_GBC_918ef76103ad41b4a79075b59fdb8bf4" concept="clcid-ci-ar:ShiFouShiYongGongSiYuCunZaiGuanLianGuanXiDeCaiWuGongSiGongSiKongGuCaiWuGongSiYuGuanLianFangZhiJianDeJinRongYeWu" label="是否适用：公司与存在关联关系的财务公司、公司控股财务公司与关联方之间的金融业务 " selectOptions="_buildInAppliance" controlType="CustomCheckbox" cRanges="[{&quot;StartName&quot;:&quot;_GBC_918ef76103ad41b4a79075b59fdb8bf4&quot;,&quot;EndName&quot;:&quot;_SEC_ede026bdca864b809b90849751fe4fc0&quot;,&quot;CType&quot;:1}]"/>
    <m:section xlName="_SEC_fc426ce94f134c9ba4ffd1e1a862890e" title="存款业务" helpId="110002103">
      <m:item xlName="_GBC_f9224e59e79e4e7f90861dc9c88bbaf5" concept="clcid-ci-ar:ShiFouShiYongCunKuanYeWu" label="是否适用：存款业务" selectOptions="_buildInAppliance" controlType="CustomCheckbox" cRanges="[{&quot;StartName&quot;:&quot;_GBC_f9224e59e79e4e7f90861dc9c88bbaf5&quot;,&quot;EndName&quot;:&quot;_GBC_c5d007a940844b30bbb283275e1732d3&quot;,&quot;CType&quot;:1}]"/>
      <m:item xlName="_GBC_9ecd65a8331e452c98309d736d6493e0" concept="clcid-ci-ar:DanWeiCunKuanYeWuQingKuang" label="单位：存款业务情况" selectOptions="_buildInScales" controlType="Combobox" cellType="Scale" appId="_GBC_f9224e59e79e4e7f90861dc9c88bbaf5"/>
      <m:item xlName="_GBC_28238db17bf94957b134a53203001b6c" concept="clcid-ci-ar:BiZhongCunKuanYeWuQingKuang" label="币种：存款业务情况" selectOptions="_buildInISO4217" controlType="Combobox" cellType="Measure" appId="_GBC_f9224e59e79e4e7f90861dc9c88bbaf5"/>
      <m:placeholder xlName="_PLD_470b0a5b0dc0470c9aeccf1bfbd45266" addr="T0R0C0S1_1"/>
      <m:placeholder xlName="_PLD_3dc14f53588a413584649e392ba6f3f0" addr="T0R0C1S1_1"/>
      <m:placeholder xlName="_PLD_51177a01774b4451967f4c894b1e93b5" addr="T0R0C2S1_1"/>
      <m:placeholder xlName="_PLD_86a9802f1ed346a1925bad9eab75a4f2" addr="T0R0C3S1_1"/>
      <m:placeholder xlName="_PLD_41419108ab1549b6a1d115bb7a07d9c1" addr="T0R0C4S1_1"/>
      <m:placeholder xlName="_PLD_0ad3c3e2daa5488aa559822bd35521d1" addr="T0R0C5S1_1"/>
      <m:placeholder xlName="_PLD_737018fb2f2a4efcb88ed1db08ed8750" addr="T0R0C6S1_1"/>
      <m:tuple xlName="_TUP_70388364905c41dba0013503ab1c6a70" concept="clcid-ie:CunKuanYeWuQingKuang" default_row="2" addr="T0R1C">
        <m:item xlName="_GBC_e34990524c09449cb65b9f1981c01482" concept="clcid-ie:CunKuanYeWuQingKuangMingXiGuanLianFang" label="存款业务情况明细_关联方" addr="T0R1C0S1_1" appId="_GBC_f9224e59e79e4e7f90861dc9c88bbaf5"/>
        <m:item xlName="_GBC_9c7a2fd91683465fa834e89b716f389d" concept="clcid-ie:CunKuanYeWuQingKuangMingXiGuanLianGuanXi" label="存款业务情况明细_关联关系" addr="T0R1C1S1_1" appId="_GBC_f9224e59e79e4e7f90861dc9c88bbaf5"/>
        <m:item xlName="_GBC_794ab7f8d0e34972959673ba576a59f2" concept="clcid-ie:CunKuanYeWuQingKuangMingXiMeiRiZuiGaoCunKuanXianE" label="存款业务情况明细_每日最高存款限额" addr="T0R1C2S1_1" appId="_GBC_f9224e59e79e4e7f90861dc9c88bbaf5"/>
        <m:item xlName="_GBC_1e4197ce511f4dcab46f1f6bcadd5008" concept="clcid-ie:CunKuanYeWuQingKuangMingXiCunKuanLiLvFanWei" label="存款业务情况明细_存款利率范围" addr="T0R1C3S1_1" appId="_GBC_f9224e59e79e4e7f90861dc9c88bbaf5"/>
        <m:item xlName="_GBC_da02779b38b749058e9773bf49fe4b4f" concept="clcid-ie:CunKuanYeWuQingKuangMingXiYuE" label="存款业务情况明细_余额" periodRef="本期期初数" mulRef="_GBC_9ecd65a8331e452c98309d736d6493e0" unitRef="_GBC_28238db17bf94957b134a53203001b6c" addr="T0R1C4S1_1" formatStyle="Comma" appId="_GBC_f9224e59e79e4e7f90861dc9c88bbaf5"/>
        <m:item xlName="_GBC_6614780ba1d64e83b246dce2cabf949f" concept="clcid-ie:CunKuanYeWuQingKuangMingXiFaShengE" label="存款业务情况明细_发生额" mulRef="_GBC_9ecd65a8331e452c98309d736d6493e0" unitRef="_GBC_28238db17bf94957b134a53203001b6c" addr="T0R1C5S1_1" formatStyle="Comma" appId="_GBC_f9224e59e79e4e7f90861dc9c88bbaf5"/>
        <m:item xlName="_GBC_fc31f4a22b34472593dbc632ae68ebd9" concept="clcid-ie:CunKuanYeWuQingKuangMingXiYuE" label="存款业务情况明细_余额" mulRef="_GBC_9ecd65a8331e452c98309d736d6493e0" unitRef="_GBC_28238db17bf94957b134a53203001b6c" addr="T0R1C6S1_1" formatStyle="Comma" appId="_GBC_f9224e59e79e4e7f90861dc9c88bbaf5"/>
      </m:tuple>
      <m:item xlName="_GBC_488c08dbb73d487a8bac3d8e90d45ecc" concept="clcid-ie:CunKuanYeWuQingKuangYuEHeJi" label="存款业务情况_余额合计" periodRef="本期期初数" mulRef="_GBC_9ecd65a8331e452c98309d736d6493e0" unitRef="_GBC_28238db17bf94957b134a53203001b6c" addr="T0R3C4S1_1" formatStyle="Comma" appId="_GBC_f9224e59e79e4e7f90861dc9c88bbaf5"/>
      <m:item xlName="_GBC_4afd2205706a41008b578da60a8d5985" concept="clcid-ie:CunKuanYeWuQingKuangFaShengEHeJi" label="存款业务情况_发生额合计" mulRef="_GBC_9ecd65a8331e452c98309d736d6493e0" unitRef="_GBC_28238db17bf94957b134a53203001b6c" addr="T0R3C5S1_1" formatStyle="Comma" appId="_GBC_f9224e59e79e4e7f90861dc9c88bbaf5"/>
      <m:item xlName="_GBC_c5d007a940844b30bbb283275e1732d3" concept="clcid-ie:CunKuanYeWuQingKuangYuEHeJi" label="存款业务情况_余额合计" mulRef="_GBC_9ecd65a8331e452c98309d736d6493e0" unitRef="_GBC_28238db17bf94957b134a53203001b6c" addr="T0R3C6S1_1" formatStyle="Comma" appId="_GBC_f9224e59e79e4e7f90861dc9c88bbaf5"/>
      <m:placeholder xlName="_PLD_2b626a2e695f4676bbefd6e887a38557" addr="T0R3C0S1_1"/>
    </m:section>
    <m:section xlName="_SEC_45b8c1047ae846eebaed610686a59163" title="贷款业务" helpId="110002103">
      <m:item xlName="_GBC_15b9ec2cfd26471eb84f966164f4e1fa" concept="clcid-ci-ar:ShiFouShiYongDaiKuanYeWu" label="是否适用：贷款业务" selectOptions="_buildInAppliance" controlType="CustomCheckbox" cRanges="[{&quot;StartName&quot;:&quot;_GBC_15b9ec2cfd26471eb84f966164f4e1fa&quot;,&quot;EndName&quot;:&quot;_GBC_2843cf8f1971402c9001b519ae1f1940&quot;,&quot;CType&quot;:1}]"/>
      <m:item xlName="_GBC_00ad76cd7031486d9c7b9a4a4ddf886c" concept="clcid-ci-ar:DanWeiDaiKuanYeWuQingKuang" label="单位：贷款业务情况" selectOptions="_buildInScales" controlType="Combobox" cellType="Scale" appId="_GBC_918ef76103ad41b4a79075b59fdb8bf4"/>
      <m:item xlName="_GBC_2346ac86af354eb19e43f4e9b28e4376" concept="clcid-ci-ar:BiZhongDaiKuanYeWuQingKuang" label="币种：贷款业务情况" selectOptions="_buildInISO4217" controlType="Combobox" cellType="Measure" appId="_GBC_918ef76103ad41b4a79075b59fdb8bf4"/>
      <m:placeholder xlName="_PLD_074f7a289a4343259a8a2a7502c731e9" addr="T0R0C0S1_1"/>
      <m:placeholder xlName="_PLD_172f6b507183450b84a705cd60fe7b97" addr="T0R0C1S1_1"/>
      <m:placeholder xlName="_PLD_0dfc0f4bd86445a196591f4ed7a47770" addr="T0R0C2S1_1"/>
      <m:placeholder xlName="_PLD_13dfc57df9d14cc194de72dbb5155869" addr="T0R0C3S1_1"/>
      <m:placeholder xlName="_PLD_9a3560bcf448436cb61ee585afe24dab" addr="T0R0C4S1_1"/>
      <m:placeholder xlName="_PLD_db6575e1bbf54563a17a52842e7be9b3" addr="T0R0C5S1_1"/>
      <m:placeholder xlName="_PLD_1351607b939f4e1ab7bf932dfc588ae1" addr="T0R0C6S1_1"/>
      <m:tuple xlName="_TUP_062ec1002b6f4111a0accc8df46146ad" concept="clcid-ie:DaiKuanYeWuQingKuang" default_row="2" addr="T0R1C">
        <m:item xlName="_GBC_5203dc7ff9874df3aa3cf0d98acc1c62" concept="clcid-ie:DaiKuanYeWuQingKuangMingXiGuanLianFang" label="贷款业务情况明细_关联方" addr="T0R1C0S1_1" appId="_GBC_15b9ec2cfd26471eb84f966164f4e1fa"/>
        <m:item xlName="_GBC_bd932850f7fc4f99933277fa0e2db93e" concept="clcid-ie:DaiKuanYeWuQingKuangMingXiGuanLianGuanXi" label="贷款业务情况明细_关联关系" addr="T0R1C1S1_1" appId="_GBC_15b9ec2cfd26471eb84f966164f4e1fa"/>
        <m:item xlName="_GBC_aedcd6d712984be9b7814617190a95d8" concept="clcid-ie:DaiKuanYeWuQingKuangMingXiDaiKuanEDu" label="贷款业务情况明细_贷款额度" addr="T0R1C2S1_1" appId="_GBC_15b9ec2cfd26471eb84f966164f4e1fa"/>
        <m:item xlName="_GBC_78f5a59c90df45ec87627d9694bd58ec" concept="clcid-ie:DaiKuanYeWuQingKuangMingXiDaiKuanLiLvFanWei" label="贷款业务情况明细_贷款利率范围" addr="T0R1C3S1_1" appId="_GBC_15b9ec2cfd26471eb84f966164f4e1fa"/>
        <m:item xlName="_GBC_9cf9bcf10f0c459396b780b061f9e03d" concept="clcid-ie:DaiKuanYeWuQingKuangMingXiYuE" label="贷款业务情况明细_余额" periodRef="本期期初数" mulRef="_GBC_00ad76cd7031486d9c7b9a4a4ddf886c" unitRef="_GBC_2346ac86af354eb19e43f4e9b28e4376" addr="T0R1C4S1_1" formatStyle="Comma" appId="_GBC_15b9ec2cfd26471eb84f966164f4e1fa"/>
        <m:item xlName="_GBC_691d812e8d94499389ba36a82468d92c" concept="clcid-ie:DaiKuanYeWuQingKuangMingXiFaShengE" label="贷款业务情况明细_发生额" mulRef="_GBC_00ad76cd7031486d9c7b9a4a4ddf886c" unitRef="_GBC_2346ac86af354eb19e43f4e9b28e4376" addr="T0R1C5S1_1" formatStyle="Comma" appId="_GBC_15b9ec2cfd26471eb84f966164f4e1fa"/>
        <m:item xlName="_GBC_ca3e72bbc1be4998978233b8fa5e2160" concept="clcid-ie:DaiKuanYeWuQingKuangMingXiYuE" label="贷款业务情况明细_余额" mulRef="_GBC_00ad76cd7031486d9c7b9a4a4ddf886c" unitRef="_GBC_2346ac86af354eb19e43f4e9b28e4376" addr="T0R1C6S1_1" formatStyle="Comma" appId="_GBC_15b9ec2cfd26471eb84f966164f4e1fa"/>
      </m:tuple>
      <m:item xlName="_GBC_43b5d513bca446f0b3672b4a1e4066be" concept="clcid-ie:DaiKuanYeWuQingKuangYuEHeJi" label="贷款业务情况_余额合计" periodRef="本期期初数" mulRef="_GBC_00ad76cd7031486d9c7b9a4a4ddf886c" unitRef="_GBC_2346ac86af354eb19e43f4e9b28e4376" addr="T0R3C4S1_1" formatStyle="Comma" appId="_GBC_15b9ec2cfd26471eb84f966164f4e1fa"/>
      <m:item xlName="_GBC_c769743dd3ad430b844cfdc6b70845d1" concept="clcid-ie:DaiKuanYeWuQingKuangFaShengEHeJi" label="贷款业务情况_发生额合计" mulRef="_GBC_00ad76cd7031486d9c7b9a4a4ddf886c" unitRef="_GBC_2346ac86af354eb19e43f4e9b28e4376" addr="T0R3C5S1_1" formatStyle="Comma" appId="_GBC_15b9ec2cfd26471eb84f966164f4e1fa"/>
      <m:item xlName="_GBC_2843cf8f1971402c9001b519ae1f1940" concept="clcid-ie:DaiKuanYeWuQingKuangYuEHeJi" label="贷款业务情况_余额合计" mulRef="_GBC_00ad76cd7031486d9c7b9a4a4ddf886c" unitRef="_GBC_2346ac86af354eb19e43f4e9b28e4376" addr="T0R3C6S1_1" formatStyle="Comma" appId="_GBC_15b9ec2cfd26471eb84f966164f4e1fa"/>
      <m:placeholder xlName="_PLD_751e505c37cf40499be6a9df1bd06ac3" addr="T0R3C0S1_1"/>
    </m:section>
    <m:section xlName="_SEC_12af8280dba7414eaa58fcdd5ef5ac8d" title="3、授信业务或其他金融业务  单位：元币种：人民币关联..." helpId="110002103">
      <m:item xlName="_GBC_ed4458effe044108a44d95a5ced67408" concept="clcid-ci-ar:ShiFouShiYongShouXinYeWuHuoQiTaJinRongYeWu" label="是否适用：授信业务或其他金融业务" selectOptions="_buildInAppliance" controlType="CustomCheckbox" cRanges="[{&quot;StartName&quot;:&quot;_GBC_ed4458effe044108a44d95a5ced67408&quot;,&quot;EndName&quot;:&quot;_GBC_e93200b8bb474c3fb4e214aeb0d240f7&quot;,&quot;CType&quot;:1}]"/>
      <m:item xlName="_GBC_3d95de16365941ad9622303ec2c7f3f6" concept="clcid-ci-ar:DanWeiShouXinYeWuHuoQiTaJinRongYeWu" label="单位：授信业务或其他金融业务" selectOptions="_buildInScales" controlType="Combobox" cellType="Scale" appId="_GBC_ed4458effe044108a44d95a5ced67408"/>
      <m:item xlName="_GBC_ef34172f59714fa1aefa7b929c79d8bb" concept="clcid-ci-ar:BiZhongShouXinYeWuHuoQiTaJinRongYeWu" label="币种：授信业务或其他金融业务" selectOptions="_buildInISO4217" controlType="Combobox" cellType="Measure" appId="_GBC_ed4458effe044108a44d95a5ced67408"/>
      <m:placeholder xlName="_PLD_a1b48b1b7e60432da307374faf9e8683" addr="T0R0C0S1_1"/>
      <m:placeholder xlName="_PLD_b86a8753f83845749c8d70762f62d625" addr="T0R0C1S1_1"/>
      <m:placeholder xlName="_PLD_a803596e70994f4b8d0abc41b05df444" addr="T0R0C2S1_1"/>
      <m:placeholder xlName="_PLD_8b121a0dc9a44d87928d154453b446f7" addr="T0R0C3S1_1"/>
      <m:placeholder xlName="_PLD_c5506f4356ee44cdb9eaf0a1bef214c1" addr="T0R0C4S1_1"/>
      <m:tuple xlName="_TUP_843e63ff98b54ff68363982f88107346" concept="clcid-ie:ShouXinYeWuHuoQiTaJinRongYeWu" default_row="2" addr="T0R1C">
        <m:item xlName="_GBC_0e086334e9e446d1aa4749526f1232ba" concept="clcid-ie:ShouXinYeWuHuoQiTaJinRongYeWuMingXiGuanLianFang" label="授信业务或其他金融业务明细_关联方" addr="T0R1C0S1_1" appId="_GBC_ed4458effe044108a44d95a5ced67408"/>
        <m:item xlName="_GBC_1ff441d754484b4e87917755c1339aa7" concept="clcid-ie:ShouXinYeWuHuoQiTaJinRongYeWuMingXiGuanLianGuanXi" label="授信业务或其他金融业务明细_关联关系" addr="T0R1C1S1_1" appId="_GBC_ed4458effe044108a44d95a5ced67408"/>
        <m:item xlName="_GBC_2b366f2178234aa4a9246f344fc19fc7" concept="clcid-ie:ShouXinYeWuHuoQiTaJinRongYeWuMingXiYeWuLeiXing" label="授信业务或其他金融业务明细_业务类型" addr="T0R1C2S1_1" appId="_GBC_ed4458effe044108a44d95a5ced67408"/>
        <m:item xlName="_GBC_da9ec9459a8b4386b092ee44c87daa20" concept="clcid-ie:ShouXinYeWuHuoQiTaJinRongYeWuMingXiZongE" label="授信业务或其他金融业务明细_总额" mulRef="_GBC_3d95de16365941ad9622303ec2c7f3f6" unitRef="_GBC_ef34172f59714fa1aefa7b929c79d8bb" addr="T0R1C3S1_1" formatStyle="Comma" appId="_GBC_ed4458effe044108a44d95a5ced67408"/>
        <m:item xlName="_GBC_e93200b8bb474c3fb4e214aeb0d240f7" concept="clcid-ie:ShouXinYeWuHuoQiTaJinRongYeWuMingXiShiJiFaShengE" label="授信业务或其他金融业务明细_实际发生额" mulRef="_GBC_3d95de16365941ad9622303ec2c7f3f6" unitRef="_GBC_ef34172f59714fa1aefa7b929c79d8bb" addr="T0R1C4S1_1" formatStyle="Comma" appId="_GBC_ed4458effe044108a44d95a5ced67408"/>
      </m:tuple>
    </m:section>
    <m:section xlName="_SEC_ede026bdca864b809b90849751fe4fc0" title="其他说明">
      <m:item xlName="_GBC_784bbb2dab8c4fa58a94c1deef51e2c9" concept="clcid-ci-ar:ShiFouShiYongGongSiYuCunZaiGuanLianGuanXiDeCaiWuGongSiGongSiKongGuCaiWuGongSiYuGuanLianFangZhiJianDeJinRongYeWuDeQiTaShuoMing" label="是否适用：公司与存在关联关系的财务公司、公司控股财务公司与关联方之间的金融业务的其他说明" selectOptions="_buildInAppliance" controlType="CustomCheckbox" cRanges="[{&quot;StartName&quot;:&quot;_GBC_784bbb2dab8c4fa58a94c1deef51e2c9&quot;,&quot;EndName&quot;:&quot;_GBC_0c4c9c24d52140d9986c80246a5f6f0f&quot;,&quot;CType&quot;:1}]"/>
      <m:item xlName="_GBC_0c4c9c24d52140d9986c80246a5f6f0f" concept="clcid-ie:GongSiYuCunZaiGuanLianGuanXiDeCaiWuGongSiGongSiKongGuCaiWuGongSiYuGuanLianFangZhiJianDeJinRongYeWuDeQiTaShuoMing" label="公司与存在关联关系的财务公司、公司控股财务公司与关联方之间的金融业务的其他说明" appId="_GBC_784bbb2dab8c4fa58a94c1deef51e2c9"/>
    </m:section>
    <m:section xlName="_SEC_d0d528034450466db3d12315559a161a" title="(五) 其他重大关联交易" rules="R2015_R5_009" helpId="104002007">
      <m:item xlName="_GBC_7dd39ac420a244dcb8ea88c29ac07190" concept="clcid-ci-ar:ShiFouShiYongZhongDaGuanLianJiaoYiQiTaShuoMing" label="是否适用：重大关联交易其他说明" selectOptions="_buildInAppliance" controlType="CustomCheckbox" cRanges="{&quot;StartName&quot;:&quot;_GBC_7dd39ac420a244dcb8ea88c29ac07190&quot;,&quot;EndName&quot;:&quot;_GBC_9ac4ce3ff18a48b3ae438340435694a0&quot;,&quot;CType&quot;:1,&quot;DisplayText&quot;:null}"/>
      <m:item xlName="_GBC_9ac4ce3ff18a48b3ae438340435694a0" concept="clcid-ie:QiTaZhongYaoGuanLianJiaoYi" label="其他重要关联交易" appId="_GBC_7dd39ac420a244dcb8ea88c29ac07190"/>
    </m:section>
    <m:section xlName="_SEC_94b5dc0c50e04cae8442e9675bd15742" title="其他">
      <m:item xlName="_GBC_272061194cde466a9c566f0881c76d0d" concept="clcid-ci-ar:ShiFouShiYongZhongDaGuanLianJiaoYiShiXiangQiTaBuChongShuoMing" label="是否适用：重大关联交易事项其他补充说明" selectOptions="_buildInAppliance" controlType="CustomCheckbox" cRanges="{&quot;StartName&quot;:&quot;_GBC_272061194cde466a9c566f0881c76d0d&quot;,&quot;EndName&quot;:&quot;_GBC_d7e81bf863d04b53907fa1dfe08e9124&quot;,&quot;CType&quot;:1,&quot;DisplayText&quot;:null}"/>
      <m:item xlName="_GBC_d7e81bf863d04b53907fa1dfe08e9124" concept="clcid-ie:ZhongDaGuanLianJiaoYiShiXiangQiTaBuChongShuoMing" label="重大关联交易事项其他补充说明" appId="_GBC_272061194cde466a9c566f0881c76d0d"/>
    </m:section>
    <m:item xlName="_GBC_daed561e68674d828a348a97bffbc154" concept="clcid-ci-ar:ShiFouShiYongTuoGuanChengBaoZuLinShiXiang" label="是否适用：托管、承包、租赁事项" selectOptions="_buildInAppliance" controlType="CustomCheckbox" cRanges="{&quot;StartName&quot;:&quot;_GBC_daed561e68674d828a348a97bffbc154&quot;,&quot;EndName&quot;:&quot;_SEC_c517528524f046abb8a7c1e21d61ed7c&quot;,&quot;CType&quot;:1,&quot;DisplayText&quot;:null}"/>
    <m:section xlName="_SEC_9c01e84b84e4472699e6ea8e413814d7" title="托管情况" isSupervision="true" convertSummaryRule="NoConvert" helpId="110007001" helpText="注：为公司带来的利润达到公司本期利润总额10％以上（含10％）的托管、承包、租赁事项">
      <m:item xlName="_GBC_5f311928e67641ecb22c63cf8ecda62c" concept="clcid-ci-ar:ShiFouShiYongTuoGuanQingKuang" label="是否适用：托管情况" selectOptions="_buildInAppliance" controlType="CustomCheckbox" cRanges="{&quot;StartName&quot;:&quot;_GBC_5f311928e67641ecb22c63cf8ecda62c&quot;,&quot;EndName&quot;:&quot;_GBC_5eed16ec393348da89b5ea8bfec68130&quot;,&quot;CType&quot;:1,&quot;DisplayText&quot;:null}"/>
      <m:item xlName="_GBC_074fed5597514114ab85d136245235ba" concept="clcid-ci-ar:DanWeiTuoGuanQingKuang" label="单位：托管情况" selectOptions="_buildInScales" controlType="Combobox" cellType="Scale" appId="_GBC_daed561e68674d828a348a97bffbc154"/>
      <m:item xlName="_GBC_152c8298ced347eb9e48f1314b94ca0f" concept="clcid-ci-ar:BiZhongTuoGuanQingKuang" label="币种：托管情况" selectOptions="_buildInISO4217" controlType="Combobox" cellType="Measure" appId="_GBC_daed561e68674d828a348a97bffbc154"/>
      <m:placeholder xlName="_PLD_fcd07b9b2b194ebba67dfcab4ee60ab1" addr="T0R0C0S1_1"/>
      <m:placeholder xlName="_PLD_81ac11c89b33491cbeda1bd793e0422d" addr="T0R0C1S1_1"/>
      <m:placeholder xlName="_PLD_68bd90f498ee4185aa81bf3f8706f2f6" addr="T0R0C2S1_1"/>
      <m:placeholder xlName="_PLD_a41ab99ae2b84bc381cbf3f2aeffae9e" addr="T0R0C3S1_1"/>
      <m:placeholder xlName="_PLD_83e56192e6fb4063ac6daeca59f07ecf" addr="T0R0C4S1_1"/>
      <m:placeholder xlName="_PLD_f4fd4bca8a404904844f88fe93aa433d" addr="T0R0C5S1_1"/>
      <m:placeholder xlName="_PLD_e17e764bd7324555a25f89003e7bafdb" addr="T0R0C6S1_1"/>
      <m:placeholder xlName="_PLD_10470f65493b4afba8cdee6138d52e9b" addr="T0R0C7S1_1"/>
      <m:placeholder xlName="_PLD_6c27ebfece354472b693a7011dcc34c0" addr="T0R0C8S1_1"/>
      <m:placeholder xlName="_PLD_c9564edabc8b44b8a95cde135adf232b" addr="T0R0C9S1_1"/>
      <m:placeholder xlName="_PLD_014683419e4546998e86b66fb4ced004" addr="T0R0C10S1_1"/>
      <m:tuple xlName="_TUP_e35c8bff47a64ce49890442d97a6a1f8" concept="clcid-ie:TuoGuanQingKuang" default_row="2" addr="T0R1C">
        <m:item xlName="_GBC_02d05c1907be418ca04cda262ace115d" concept="clcid-ie:WeiTuoFangMingCheng" label="委托方名称" addr="T0R1C0S1_1" cellConvertType="1" appId="_GBC_5f311928e67641ecb22c63cf8ecda62c"/>
        <m:item xlName="_GBC_8f40652329d1426f8af490b0eb1b9e38" concept="clcid-ie:ShouTuoFangMingCheng" label="受托方名称" addr="T0R1C1S1_1" appId="_GBC_5f311928e67641ecb22c63cf8ecda62c"/>
        <m:item xlName="_GBC_8e9fb889128d44e7914087cb929c55db" concept="clcid-ie:TuoGuanZiChanQingKuang" label="托管资产情况" addr="T0R1C2S1_1" appId="_GBC_5f311928e67641ecb22c63cf8ecda62c"/>
        <m:item xlName="_GBC_1506a8634e5243059224bcfa38401946" concept="clcid-ie:TuoGuanZiChanSheJiJinE" label="托管资产涉及金额" mulRef="_GBC_074fed5597514114ab85d136245235ba" unitRef="_GBC_152c8298ced347eb9e48f1314b94ca0f" addr="T0R1C3S1_1" formatStyle="Comma" appId="_GBC_5f311928e67641ecb22c63cf8ecda62c"/>
        <m:item xlName="_GBC_4e4a4cdcf1e347b9bdb0b533e60fc2f1" concept="clcid-ie:TuoGuanQiShiRi" label="托管起始日" addr="T0R1C4S1_1" appId="_GBC_5f311928e67641ecb22c63cf8ecda62c" keyAction="38"/>
        <m:item xlName="_GBC_a074ed0faf534ad7bd4e5d9b23589f19" concept="clcid-ie:TuoGuanZhongZhiRi" label="托管终止日" addr="T0R1C5S1_1" appId="_GBC_5f311928e67641ecb22c63cf8ecda62c" keyAction="38"/>
        <m:item xlName="_GBC_bb11ac1fd33741939a377b5ffb4d1ffe" concept="clcid-ie:TuoGuanShouYi" label="托管收益" mulRef="_GBC_074fed5597514114ab85d136245235ba" unitRef="_GBC_152c8298ced347eb9e48f1314b94ca0f" addr="T0R1C6S1_1" formatStyle="Comma" appId="_GBC_5f311928e67641ecb22c63cf8ecda62c"/>
        <m:item xlName="_GBC_e8c2e44a26f34a2bbb4fb784390ddd4d" concept="clcid-ie:TuoGuanShouYiQueDingYiJu" label="托管收益确定依据" addr="T0R1C7S1_1" appId="_GBC_5f311928e67641ecb22c63cf8ecda62c"/>
        <m:item xlName="_GBC_44c9ed37a79d47c0894d38f69113fd95" concept="clcid-ie:TuoGuanShouYiDuiGongSiYingXiang" label="托管收益对公司影响" addr="T0R1C8S1_1" appId="_GBC_5f311928e67641ecb22c63cf8ecda62c"/>
        <m:item xlName="_GBC_7a610cdc756345d6823d86ff86c094b9" concept="clcid-ie:TuoGuanShiFouGuanLianJiaoYi" label="托管是否关联交易" selectOptions="_buildInYesNo" addr="T0R1C9S1_1" controlType="Combobox" appId="_GBC_5f311928e67641ecb22c63cf8ecda62c"/>
        <m:item xlName="_GBC_e3428408d99546baa5e58aed94e94f27" concept="clcid-ie:TuoGuanGuanLianGuanXi" label="托管中关联方与本公司关系" selectOptions="995b2a43652a4ae6ae31062ffd6294a1" addr="T0R1C10S1_1" controlType="Combobox" appId="_GBC_5f311928e67641ecb22c63cf8ecda62c" checkOption="Ignore"/>
      </m:tuple>
      <m:item xlName="_GBC_5eed16ec393348da89b5ea8bfec68130" concept="clcid-ie:TuoGuanQingKuangShuoMing" label="托管情况说明" appId="_GBC_5f311928e67641ecb22c63cf8ecda62c"/>
    </m:section>
    <m:section xlName="_SEC_37ed7d66ad1d401d8403e9b54bcb42bc" title="承包情况                         ..." convertSummaryRule="NoConvert" helpId="110007001" helpText="注：为公司带来的利润达到公司本期利润总额10％以上（含10％）的托管、承包、租赁事项">
      <m:item xlName="_GBC_6780ba385e1b4167bc4be5b432f0a825" concept="clcid-ci-ar:ShiFouShiYongChengBaoQingKuang" label="是否适用：承包情况" selectOptions="_buildInAppliance" controlType="CustomCheckbox" cRanges="{&quot;StartName&quot;:&quot;_GBC_6780ba385e1b4167bc4be5b432f0a825&quot;,&quot;EndName&quot;:&quot;_GBC_42530c48f7a5475a826ca9032bc55350&quot;,&quot;CType&quot;:1,&quot;DisplayText&quot;:null}"/>
      <m:item xlName="_GBC_f94203dfe6fd4d868d8d1429e04c1120" concept="clcid-ci-ar:DanWeiChengBaoQingKuang" label="单位：承包情况" selectOptions="_buildInScales" controlType="Combobox" cellType="Scale" appId="_GBC_daed561e68674d828a348a97bffbc154"/>
      <m:item xlName="_GBC_185442d99bb849849a6e8ebe19d081dd" concept="clcid-ci-ar:BiZhongChengBaoQingKuang" label="币种：承包情况" selectOptions="_buildInISO4217" controlType="Combobox" cellType="Measure" appId="_GBC_daed561e68674d828a348a97bffbc154"/>
      <m:placeholder xlName="_PLD_2463b777d532410fa98b33b298629b55" addr="T0R0C0S1_1"/>
      <m:placeholder xlName="_PLD_b5e94fd80a6e476fad3667de80f39919" addr="T0R0C1S1_1"/>
      <m:placeholder xlName="_PLD_7897778da28d42f9a45f058963714099" addr="T0R0C2S1_1"/>
      <m:placeholder xlName="_PLD_5c1674c7959c4ac692bb079e8bd0702d" addr="T0R0C3S1_1"/>
      <m:placeholder xlName="_PLD_ef18e9f0eaaa483cac332fe36cf94ba4" addr="T0R0C4S1_1"/>
      <m:placeholder xlName="_PLD_7fc11a26e4f04b51b95da64c0ccc80e0" addr="T0R0C5S1_1"/>
      <m:placeholder xlName="_PLD_81433c165f97420a84933c8384abd96e" addr="T0R0C6S1_1"/>
      <m:placeholder xlName="_PLD_fc67a39b886f4dd6a620b0aa20423d6a" addr="T0R0C7S1_1"/>
      <m:placeholder xlName="_PLD_1e1dfa6dd0cf49be8930ffd217a29656" addr="T0R0C8S1_1"/>
      <m:placeholder xlName="_PLD_98dec8fe4a024646b43c5016c759db6f" addr="T0R0C9S1_1"/>
      <m:placeholder xlName="_PLD_ff8f6309339e43f0a95286a738e6f2a5" addr="T0R0C10S1_1"/>
      <m:tuple xlName="_TUP_2dc5532d5e644c76b808ad100698fe33" concept="clcid-ie:ChengBaoQingKuang" default_row="2" addr="T0R1C">
        <m:item xlName="_GBC_1a02f3b71e2548b4b445bda500e130fe" concept="clcid-ie:ChuBaoFangMingCheng" label="出包方名称" addr="T0R1C0S1_1" appId="_GBC_6780ba385e1b4167bc4be5b432f0a825"/>
        <m:item xlName="_GBC_3ff89025f4354a21983a184edfe349d3" concept="clcid-ie:ChengBaoFangMingCheng" label="承包方名称" addr="T0R1C1S1_1" appId="_GBC_6780ba385e1b4167bc4be5b432f0a825"/>
        <m:item xlName="_GBC_77967c7b267d4ba3b578533cf8c17900" concept="clcid-ie:ChengBaoZiChanQingKuang" label="承包资产情况" addr="T0R1C2S1_1" appId="_GBC_6780ba385e1b4167bc4be5b432f0a825"/>
        <m:item xlName="_GBC_f03c42098f8f4954b7813464507d9114" concept="clcid-ie:ChengBaoZiChanSheJiJinE" label="承包资产涉及金额" mulRef="_GBC_f94203dfe6fd4d868d8d1429e04c1120" unitRef="_GBC_185442d99bb849849a6e8ebe19d081dd" addr="T0R1C3S1_1" formatStyle="Comma" appId="_GBC_6780ba385e1b4167bc4be5b432f0a825"/>
        <m:item xlName="_GBC_c56d4bd994404ff8ac17696be0a65865" concept="clcid-ie:ChengBaoQiShiRi" label="承包起始日" addr="T0R1C4S1_1" appId="_GBC_6780ba385e1b4167bc4be5b432f0a825" keyAction="38"/>
        <m:item xlName="_GBC_9428ff9e638d445384d97b7dedb10fb2" concept="clcid-ie:ChengBaoZhongZhiRi" label="承包终止日" addr="T0R1C5S1_1" appId="_GBC_6780ba385e1b4167bc4be5b432f0a825" keyAction="38"/>
        <m:item xlName="_GBC_de301245352c404a92e81e88165f6cb3" concept="clcid-ie:ChengBaoShouYi" label="承包收益" mulRef="_GBC_f94203dfe6fd4d868d8d1429e04c1120" unitRef="_GBC_185442d99bb849849a6e8ebe19d081dd" addr="T0R1C6S1_1" formatStyle="Comma" appId="_GBC_6780ba385e1b4167bc4be5b432f0a825"/>
        <m:item xlName="_GBC_f77a75e1340b463391e3f78879adbddc" concept="clcid-ie:ChengBaoShouYiQueDingYiJu" label="承包收益确定依据" addr="T0R1C7S1_1" appId="_GBC_6780ba385e1b4167bc4be5b432f0a825"/>
        <m:item xlName="_GBC_2167a08f71d2450fba8790c2dffaf587" concept="clcid-ie:ChengBaoShouYiDuiGongSiYingXiang" label="承包收益对公司影响" addr="T0R1C8S1_1" appId="_GBC_6780ba385e1b4167bc4be5b432f0a825"/>
        <m:item xlName="_GBC_5ee8518b37aa4c9db43ed0d1febc7c06" concept="clcid-ie:ChengBaoShiFouGuanLianJiaoYi" label="承包是否关联交易" selectOptions="_buildInYesNo" addr="T0R1C9S1_1" controlType="Combobox" appId="_GBC_6780ba385e1b4167bc4be5b432f0a825"/>
        <m:item xlName="_GBC_0a051d52d2774aa19c1427129e17c0c8" concept="clcid-ie:ChengBaoGuanLianGuanXi" label="承包中关联方与本公司关系" selectOptions="995b2a43652a4ae6ae31062ffd6294a1" addr="T0R1C10S1_1" controlType="Combobox" appId="_GBC_6780ba385e1b4167bc4be5b432f0a825" checkOption="Ignore"/>
      </m:tuple>
      <m:item xlName="_GBC_42530c48f7a5475a826ca9032bc55350" concept="clcid-ie:ChengBaoQingKuangShuoMing" label="承包情况说明" appId="_GBC_6780ba385e1b4167bc4be5b432f0a825"/>
    </m:section>
    <m:section xlName="_SEC_c517528524f046abb8a7c1e21d61ed7c" title="租赁情况                         ..." convertSummaryRule="NoConvert" helpId="110007001" helpText="注：为公司带来的利润达到公司本期利润总额10％以上（含10％）的托管、承包、租赁事项">
      <m:item xlName="_GBC_0f311154c0f24dc687b16bed59ae8dd2" concept="clcid-ci-ar:ShiFouShiYongZuLinQingKuang" label="是否适用：租赁情况" selectOptions="_buildInAppliance" controlType="CustomCheckbox" cRanges="{&quot;StartName&quot;:&quot;_GBC_0f311154c0f24dc687b16bed59ae8dd2&quot;,&quot;EndName&quot;:&quot;_GBC_78ed8f0e87184a74aa66d7c9fa59152f&quot;,&quot;CType&quot;:1,&quot;DisplayText&quot;:null}"/>
      <m:item xlName="_GBC_63fc2dfa865d4d9abcc589b6ffc804c0" concept="clcid-ci-ar:DanWeiZuLinQingKuang" label="单位：租赁情况" selectOptions="_buildInScales" controlType="Combobox" cellType="Scale" appId="_GBC_daed561e68674d828a348a97bffbc154"/>
      <m:item xlName="_GBC_31f3470dd3bc4fb5b3acbfac814f56b5" concept="clcid-ci-ar:BiZhongZuLinQingKuang" label="币种：租赁情况" selectOptions="_buildInISO4217" controlType="Combobox" cellType="Measure" appId="_GBC_daed561e68674d828a348a97bffbc154"/>
      <m:placeholder xlName="_PLD_a0c8bbdaddae456dbc6f9a3e5bac1db2" addr="T0R0C0S1_1"/>
      <m:placeholder xlName="_PLD_0c011e9d854249eab869b1b9d913f29d" addr="T0R0C1S1_1"/>
      <m:placeholder xlName="_PLD_281ffe553103424ea14fbe2c87302bde" addr="T0R0C2S1_1"/>
      <m:placeholder xlName="_PLD_0b54c65efcde49618ce3fd665d25360b" addr="T0R0C3S1_1"/>
      <m:placeholder xlName="_PLD_0f6ce51993ee4388ba1d45cca555803a" addr="T0R0C4S1_1"/>
      <m:placeholder xlName="_PLD_0f61648a121e4af78f37f9522cb3380a" addr="T0R0C5S1_1"/>
      <m:placeholder xlName="_PLD_0c8c3c9a2e7a4b0fb7b50eb8a124b65d" addr="T0R0C6S1_1"/>
      <m:placeholder xlName="_PLD_38f4620ed1294f27b9748bb6eb759b32" addr="T0R0C7S1_1"/>
      <m:placeholder xlName="_PLD_7dc799ddc6d4450dac2ce9f00c43299a" addr="T0R0C8S1_1"/>
      <m:placeholder xlName="_PLD_d56e14d9daef418abf4b6f4d1303506c" addr="T0R0C9S1_1"/>
      <m:placeholder xlName="_PLD_b1091c16f1144b24a6a1c37d24533150" addr="T0R0C10S1_1"/>
      <m:tuple xlName="_TUP_55486688f69543b68fa920b1a7c1af71" concept="clcid-ie:ZuLinQingKuang" default_row="2" addr="T0R1C">
        <m:item xlName="_GBC_820d292236ea496cb984818c5715081b" concept="clcid-ie:ChuZuFangMingCheng" label="出租方名称" addr="T0R1C0S1_1" appId="_GBC_0f311154c0f24dc687b16bed59ae8dd2"/>
        <m:item xlName="_GBC_f657f3739a1a4d0e83edcea87c4e74ed" concept="clcid-ie:ChengZuFangMingCheng" label="承租方名称" addr="T0R1C1S1_1" appId="_GBC_0f311154c0f24dc687b16bed59ae8dd2"/>
        <m:item xlName="_GBC_0862ed0f8243483186934fda077bd322" concept="clcid-ie:ZuLinZiChanQingKuang" label="租赁资产情况" addr="T0R1C2S1_1" appId="_GBC_0f311154c0f24dc687b16bed59ae8dd2"/>
        <m:item xlName="_GBC_3777d4ea25c947f38238bce95ccc3ad1" concept="clcid-ie:ZuLinZiChanSheJiJinE" label="租赁资产涉及金额" mulRef="_GBC_63fc2dfa865d4d9abcc589b6ffc804c0" unitRef="_GBC_31f3470dd3bc4fb5b3acbfac814f56b5" addr="T0R1C3S1_1" formatStyle="Comma" appId="_GBC_0f311154c0f24dc687b16bed59ae8dd2"/>
        <m:item xlName="_GBC_eeebe7289ce94f5792f623eabd0c1bfc" concept="clcid-ie:ZuLinQiShiRi" label="租赁起始日" addr="T0R1C4S1_1" appId="_GBC_0f311154c0f24dc687b16bed59ae8dd2" keyAction="38"/>
        <m:item xlName="_GBC_34b444f1dc84449e9783f501566e03e0" concept="clcid-ie:ZuLinZhongZhiRi" label="租赁终止日" addr="T0R1C5S1_1" appId="_GBC_0f311154c0f24dc687b16bed59ae8dd2" keyAction="38"/>
        <m:item xlName="_GBC_0e1740cca02a4909a1d279602194ba10" concept="clcid-ie:ZuLinShouYi" label="租赁收益" mulRef="_GBC_63fc2dfa865d4d9abcc589b6ffc804c0" unitRef="_GBC_31f3470dd3bc4fb5b3acbfac814f56b5" addr="T0R1C6S1_1" formatStyle="Comma" appId="_GBC_0f311154c0f24dc687b16bed59ae8dd2"/>
        <m:item xlName="_GBC_034bd9d1ef3d4e95a546d063cc2c4ec1" concept="clcid-ie:ZuLinShouYiQueDingYiJu" label="租赁收益确定依据" addr="T0R1C7S1_1" appId="_GBC_0f311154c0f24dc687b16bed59ae8dd2"/>
        <m:item xlName="_GBC_9b92f11be4d740ad8b3f1709be7b2101" concept="clcid-ie:ZuLinShouYiDuiGongSiYingXiang" label="租赁收益对公司影响" addr="T0R1C8S1_1" appId="_GBC_0f311154c0f24dc687b16bed59ae8dd2"/>
        <m:item xlName="_GBC_60d041c2218a435e9838147eb1555631" concept="clcid-ie:ZuLinShiFouGuanLianJiaoYi" label="租赁是否关联交易" selectOptions="_buildInYesNo" addr="T0R1C9S1_1" controlType="Combobox" appId="_GBC_0f311154c0f24dc687b16bed59ae8dd2"/>
        <m:item xlName="_GBC_a392a448b118438b858e7600ecdb0e73" concept="clcid-ie:ZuLinGuanLianGuanXi" label="租赁中关联方与本公司关系" selectOptions="995b2a43652a4ae6ae31062ffd6294a1" addr="T0R1C10S1_1" controlType="Combobox" appId="_GBC_0f311154c0f24dc687b16bed59ae8dd2" checkOption="Ignore"/>
      </m:tuple>
      <m:item xlName="_GBC_78ed8f0e87184a74aa66d7c9fa59152f" concept="clcid-ie:ZuLinQingKuangShuoMing" label="租赁情况说明" appId="_GBC_0f311154c0f24dc687b16bed59ae8dd2"/>
    </m:section>
    <m:item xlName="_GBC_aae98b3e30bd49e4b2e1d2643f200047" concept="clcid-ci-ar:ShiFouShiYongDanBaoQingKuang" label="是否适用：担保情况" selectOptions="_buildInAppliance" controlType="CustomCheckbox" cRanges="{&quot;StartName&quot;:&quot;_GBC_aae98b3e30bd49e4b2e1d2643f200047&quot;,&quot;EndName&quot;:&quot;_SEC_7252a26412904d92b0bddfc3266d9f75&quot;,&quot;CType&quot;:1,&quot;DisplayText&quot;:null}"/>
    <m:section xlName="_SEC_7252a26412904d92b0bddfc3266d9f75" title="担保情况" rules="R2015_R5_010" convertSummaryRule="NoConvert" helpId="110007002" helpText="注1：报告期内担保发生额和报告期末担保余额包括子公司的对外担保，其担保金额为该子公司对外担保金额乘以公司持有该公司的股份比例。公司及其子公司的对外担保应在此处填写明细情况。\n注2：担保总额为上述“报告期末担保余额合计（不包括对子公司的担保）”和“报告期末对子公司担保余额合计”两项的加总。 “上述三项担保金额合计”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 \n注3：重大担保。报告期内履行的及尚未履行完毕的担保合同，包括担保金额、担保期限、担保对象、担保类型（一般担保或连带责任担保）、担保物（如有）、反担保情况（如有）、担保的决策程序等。对于未到期担保合同，如果报告期内发生担保责任或有证据表明有可能承担连带清偿责任，应当明确说明。">
      <m:item xlName="_GBC_27c8b92380c14fd7885db4b4050dbded" concept="clcid-ci-ar:DanWeiDanBaoQingKuang" label="单位：担保情况" selectOptions="_buildInScales" controlType="Combobox" cellType="Scale" appId="_GBC_aae98b3e30bd49e4b2e1d2643f200047"/>
      <m:item xlName="_GBC_a5bed87537d146398206f22cc051cc03" concept="clcid-ci-ar:BiZhongDanBaoQingKuang" label="币种：担保情况" selectOptions="_buildInISO4217" controlType="Combobox" cellType="Measure" appId="_GBC_aae98b3e30bd49e4b2e1d2643f200047"/>
      <m:placeholder xlName="_PLD_e4c50adfca70424b94b9e8ceed3333ed" addr="T0R0C0S1_16"/>
      <m:placeholder xlName="_PLD_b5e3bfe83f5247d8b2e96e12bee8662f" addr="T0R1C0S1_1"/>
      <m:placeholder xlName="_PLD_11e8ec3aaba140989322530dbb4ee821" addr="T0R1C1S1_1"/>
      <m:placeholder xlName="_PLD_0a624167897e488eac102851cdaa2dd6" addr="T0R1C2S1_1"/>
      <m:placeholder xlName="_PLD_d74521a92aaa42b5808e61f4fb826446" addr="T0R1C3S1_1"/>
      <m:placeholder xlName="_PLD_6741824a509a46cebcb644a6151b055d" addr="T0R1C4S1_1"/>
      <m:placeholder xlName="_PLD_0e011a3a87e14e378e635db52fd873bd" addr="T0R1C5S1_1"/>
      <m:placeholder xlName="_PLD_938a1d93f58f4900b7afb7849e3e6a58" addr="T0R1C6S1_1"/>
      <m:placeholder xlName="_PLD_51fa31228c524c01adac764c60a6999c" addr="T0R1C7S1_1"/>
      <m:placeholder xlName="_PLD_a4bc1e9d84484ec38af3f5d7a2752067" addr="T0R1C10S1_1"/>
      <m:placeholder xlName="_PLD_3adcf1d50e504a54949358562441ef7b" addr="T0R1C11S1_1"/>
      <m:placeholder xlName="_PLD_3860b2e281fb4e30b2945d128cc96939" addr="T0R1C12S1_1"/>
      <m:placeholder xlName="_PLD_0f93b7a8a3684e3ba874246a93cd5173" addr="T0R1C14S1_1"/>
      <m:placeholder xlName="_PLD_fd1e6b8b28d64a7ea7816d45bcfc0699" addr="T0R1C15S1_1"/>
      <m:tuple xlName="_TUP_f2ca1cf969184747bfac782d8ffc60e4" concept="clcid-ie:DanBaoQingKuang" default_row="2" addr="T0R2C">
        <m:item xlName="_GBC_8d1e2b12f2074e9295989cbc44f50cc6" concept="clcid-ie:DanBaoFang" label="担保方" unitRef="_GBC_a5bed87537d146398206f22cc051cc03" addr="T0R2C0S1_1" appId="_GBC_aae98b3e30bd49e4b2e1d2643f200047"/>
        <m:item xlName="_GBC_314278e58f414ef59436a6ba610dfaef" concept="clcid-ie:DanBaoFangYuShangShiGongSiDeGuanXi" label="担保方与上市公司的关联关系" unitRef="_GBC_a5bed87537d146398206f22cc051cc03" selectOptions="19c7f17205c943858ffc12297a4f5be4" addr="T0R2C1S1_1" controlType="Combobox" appId="_GBC_aae98b3e30bd49e4b2e1d2643f200047"/>
        <m:item xlName="_GBC_36fe334032cc4001a1a61e66f7b9f1e4" concept="clcid-ie:BeiDanBaoFang" label="被担保方" unitRef="_GBC_a5bed87537d146398206f22cc051cc03" addr="T0R2C2S1_1" appId="_GBC_aae98b3e30bd49e4b2e1d2643f200047"/>
        <m:item xlName="_GBC_c7caeddbd36f4f86b6eb7add70baf797" concept="clcid-ie:DanBaoJinE" label="担保金额" mulRef="_GBC_27c8b92380c14fd7885db4b4050dbded" unitRef="_GBC_a5bed87537d146398206f22cc051cc03" addr="T0R2C3S1_1" formatStyle="Comma" appId="_GBC_aae98b3e30bd49e4b2e1d2643f200047"/>
        <m:item xlName="_GBC_90b46a61858d4feba67ca630f87b6605" concept="clcid-ie:DanBaoFaShengRiQi" label="担保发生日期" unitRef="_GBC_a5bed87537d146398206f22cc051cc03" addr="T0R2C4S1_1" appId="_GBC_aae98b3e30bd49e4b2e1d2643f200047" keyAction="38"/>
        <m:item xlName="_GBC_574e952c3ac344d0aaa2e575a96deb81" concept="clcid-ie:DanBaoQiShiRi" label="担保起始日" unitRef="_GBC_a5bed87537d146398206f22cc051cc03" addr="T0R2C5S1_1" appId="_GBC_aae98b3e30bd49e4b2e1d2643f200047" keyAction="38"/>
        <m:item xlName="_GBC_43bb93a6ffc84847bf76aec6bbece8d7" concept="clcid-ie:DanBaoDaoQiRi" label="担保到期日" unitRef="_GBC_a5bed87537d146398206f22cc051cc03" addr="T0R2C6S1_1" appId="_GBC_aae98b3e30bd49e4b2e1d2643f200047" keyAction="38"/>
        <m:item xlName="_GBC_5b7281c91f794ab38f9d7314134cce0e" concept="clcid-ie:DanBaoLeiXing" label="担保类型" unitRef="_GBC_a5bed87537d146398206f22cc051cc03" selectOptions="548b377aae8b40e9b01081c4a80f3529" addr="T0R2C7S1_1" controlType="Combobox" appId="_GBC_aae98b3e30bd49e4b2e1d2643f200047" checkOption="Ignore"/>
        <m:item xlName="_GBC_b79ec707e660488eb22f887810da93d0" concept="clcid-ie:ZhuZhaiWuQingKuang" label="主债务情况" addr="T0R2C8S1_1" appId="_GBC_aae98b3e30bd49e4b2e1d2643f200047"/>
        <m:item xlName="_GBC_1754eb073cb44960b022247d2f11a9ff" concept="clcid-ie:DanBaoWu" label="担保物" addr="T0R2C9S1_1" appId="_GBC_aae98b3e30bd49e4b2e1d2643f200047"/>
        <m:item xlName="_GBC_790379edf6c5464398bb5b16c5922675" concept="clcid-ie:DanBaoShiFouYiJingLvXingWanBi" label="担保是否已经履行完毕" unitRef="_GBC_a5bed87537d146398206f22cc051cc03" selectOptions="_buildInYesNo" addr="T0R2C10S1_1" controlType="Combobox" appId="_GBC_aae98b3e30bd49e4b2e1d2643f200047"/>
        <m:item xlName="_GBC_279128b9b4aa4b139c08ccdf093c3266" concept="clcid-ie:DanBaoShiFouYuQi" label="担保是否逾期" unitRef="_GBC_a5bed87537d146398206f22cc051cc03" selectOptions="_buildInYesNo" addr="T0R2C11S1_1" controlType="Combobox" appId="_GBC_aae98b3e30bd49e4b2e1d2643f200047"/>
        <m:item xlName="_GBC_867ac6e2c0f74151a997c24728ca3efc" concept="clcid-ie:DanBaoYuQiJinE" label="担保逾期金额" mulRef="_GBC_27c8b92380c14fd7885db4b4050dbded" unitRef="_GBC_a5bed87537d146398206f22cc051cc03" addr="T0R2C12S1_1" formatStyle="Comma" appId="_GBC_aae98b3e30bd49e4b2e1d2643f200047"/>
        <m:item xlName="_GBC_4a9abb8f266142f884bcbfa3c2581089" concept="clcid-ie:FanDanBaoQingKuang" label="反担保情况" addr="T0R2C13S1_1" appId="_GBC_aae98b3e30bd49e4b2e1d2643f200047"/>
        <m:item xlName="_GBC_2ed8d565e4a8488f94e2a908c31053b9" concept="clcid-ie:ShiFouWeiGuanLianFangDanBao" label="是否为关联方担保" unitRef="_GBC_a5bed87537d146398206f22cc051cc03" selectOptions="_buildInYesNo" addr="T0R2C14S1_1" controlType="Combobox" appId="_GBC_aae98b3e30bd49e4b2e1d2643f200047"/>
        <m:item xlName="_GBC_f42e2a714e404fb1856cdca85466ce88" concept="clcid-ie:DanBaoGuanLianGuanXi" label="担保中关联方与本公司关系" unitRef="_GBC_a5bed87537d146398206f22cc051cc03" selectOptions="995b2a43652a4ae6ae31062ffd6294a1" addr="T0R2C15S1_1" controlType="Combobox" appId="_GBC_aae98b3e30bd49e4b2e1d2643f200047" checkOption="Ignore"/>
      </m:tuple>
      <m:placeholder xlName="_PLD_d3f8496ab2aa4285bf776285bebe3438" addr="T0R4C0S1_7"/>
      <m:item xlName="_GBC_c1d92721aeba4ce9a854023b3b221245" concept="clcid-ie:BaoGaoQiNeiDanBaoFaShengEHeJi" label="报告期内担保发生额合计" mulRef="_GBC_27c8b92380c14fd7885db4b4050dbded" unitRef="_GBC_a5bed87537d146398206f22cc051cc03" addr="T0R4C7S1_9" formatStyle="Comma" appId="_GBC_aae98b3e30bd49e4b2e1d2643f200047"/>
      <m:placeholder xlName="_PLD_b55a1c0b2abc412094fcc159dfb3ecda" addr="T0R5C0S1_7"/>
      <m:item xlName="_GBC_0b37c63cd7844e409ade1e344a145d2d" concept="clcid-ie:BaoGaoQiMoDanBaoYuEHeJi" label="报告期末担保余额合计" mulRef="_GBC_27c8b92380c14fd7885db4b4050dbded" unitRef="_GBC_a5bed87537d146398206f22cc051cc03" addr="T0R5C7S1_9" formatStyle="Comma" appId="_GBC_aae98b3e30bd49e4b2e1d2643f200047"/>
      <m:placeholder xlName="_PLD_bd646052ed464f3aaf4411adbc884bb9" addr="T0R7C0S1_7"/>
      <m:item xlName="_GBC_271e17c8c01644739c620fdbdb274983" concept="clcid-ie:BaoGaoQiNeiDuiKongGuZiGongSiDanBaoFaShengEHeJi" label="报告期内对控股子公司担保发生额合计" mulRef="_GBC_27c8b92380c14fd7885db4b4050dbded" unitRef="_GBC_a5bed87537d146398206f22cc051cc03" addr="T0R7C7S1_9" formatStyle="Comma" appId="_GBC_aae98b3e30bd49e4b2e1d2643f200047"/>
      <m:placeholder xlName="_PLD_350c26e78409464a9a6fe0a9a4a2a65a" addr="T0R8C0S1_7"/>
      <m:item xlName="_GBC_71225f3b6c1b44fcbe149f35f084e589" concept="clcid-ie:BaoGaoQiMoDuiKongGuZiGongSiDanBaoYuEHeJi" label="报告期末对控股子公司担保余额合计" mulRef="_GBC_27c8b92380c14fd7885db4b4050dbded" unitRef="_GBC_a5bed87537d146398206f22cc051cc03" addr="T0R8C7S1_9" formatStyle="Comma" appId="_GBC_aae98b3e30bd49e4b2e1d2643f200047"/>
      <m:placeholder xlName="_PLD_7934b7db222a4b859de67adddfbf4ea4" addr="T0R9C0S1_16"/>
      <m:placeholder xlName="_PLD_6b0c4c002c694982b48e0ac72810185e" addr="T0R10C0S1_7"/>
      <m:item xlName="_GBC_d494f6f530414d2e9a47891356dbef30" concept="clcid-ie:DanBaoZongE" label="担保总额" mulRef="_GBC_27c8b92380c14fd7885db4b4050dbded" unitRef="_GBC_a5bed87537d146398206f22cc051cc03" addr="T0R10C7S1_9" formatStyle="Comma" appId="_GBC_aae98b3e30bd49e4b2e1d2643f200047">
        <m:complexRule comparator="Eq" title="担保总额" test=" $_GBC_0b37c63cd7844e409ade1e344a145d2d +  $_GBC_71225f3b6c1b44fcbe149f35f084e589" id="C905c05440aa342aca863693ea423d657"/>
      </m:item>
      <m:placeholder xlName="_PLD_2d0f72aea87f48239298404a726330f6" addr="T0R11C0S1_7"/>
      <m:item xlName="_GBC_e743377998d74bedbcfef4b72065e640" concept="clcid-ie:DanBaoZongEZhanGongSiJingZiChanDeBiLi" label="担保总额占公司净资产的比例" addr="T0R11C7S1_9" baseScale="0.01" formatStyle="Comma" appId="_GBC_aae98b3e30bd49e4b2e1d2643f200047"/>
      <m:placeholder xlName="_PLD_a773089c19754364bad6c8803a7c8022" addr="T0R12C0S1_16"/>
      <m:placeholder xlName="_PLD_2b478682f6824384b68d5b0029a80fac" addr="T0R13C0S1_7"/>
      <m:item xlName="_GBC_3e78558ca1ee4ab48757eb822b85f4e7" concept="clcid-ie:WeiGuDongShiJiKongZhiRenJiQiGuanLianFangTiGongDanBaoDeJinE" label="为股东、实际控制人及其关联方提供担保的金额" mulRef="_GBC_27c8b92380c14fd7885db4b4050dbded" unitRef="_GBC_a5bed87537d146398206f22cc051cc03" addr="T0R13C7S1_9" formatStyle="Comma" appId="_GBC_aae98b3e30bd49e4b2e1d2643f200047"/>
      <m:placeholder xlName="_PLD_bd548a5f7dc24a60aa38273913ff7b9c" addr="T0R14C0S1_7"/>
      <m:item xlName="_GBC_46863a2f45b6402b8328e4884444b745" concept="clcid-ie:ZhiJieHuoJianJieWeiZiChanFuZhaiLvChaoGuoBaiFenZhiQiShiDeBeiDanBaoDuiXiangTiGongDeZhaiWuDanBaoJinE" label="直接或间接为资产负债率超过70％的被担保对象提供的债务担保金额" mulRef="_GBC_27c8b92380c14fd7885db4b4050dbded" unitRef="_GBC_a5bed87537d146398206f22cc051cc03" addr="T0R14C7S1_9" formatStyle="Comma" appId="_GBC_aae98b3e30bd49e4b2e1d2643f200047"/>
      <m:placeholder xlName="_PLD_9d058e02099a4546a00404272905f4bd" addr="T0R15C0S1_7"/>
      <m:item xlName="_GBC_ca1214fc3c6347bd80a70452c87d0695" concept="clcid-ie:DanBaoZongEChaoGuoJingZiChanBaiFenZhiWuShiBuFenDeJinE" label="担保总额超过净资产50％部分的金额" mulRef="_GBC_27c8b92380c14fd7885db4b4050dbded" unitRef="_GBC_a5bed87537d146398206f22cc051cc03" addr="T0R15C7S1_9" formatStyle="Comma" appId="_GBC_aae98b3e30bd49e4b2e1d2643f200047"/>
      <m:placeholder xlName="_PLD_03da683ec4b5413c894077b5f513200f" addr="T0R16C0S1_7"/>
      <m:item xlName="_GBC_1ed809f90c4e4a57b7aac2e9d9f4281d" concept="clcid-ie:WeiGuiDanBaoZongE" label="违规担保总额" mulRef="_GBC_27c8b92380c14fd7885db4b4050dbded" unitRef="_GBC_a5bed87537d146398206f22cc051cc03" addr="T0R16C7S1_9" formatStyle="Comma" appId="_GBC_aae98b3e30bd49e4b2e1d2643f200047">
        <m:complexRule comparator="Eq" title="违规担保总额" test=" $_GBC_3e78558ca1ee4ab48757eb822b85f4e7 +  $_GBC_46863a2f45b6402b8328e4884444b745 +  $_GBC_ca1214fc3c6347bd80a70452c87d0695" id="Cb47bb3b145734ceda3bb9bf108cac4ab"/>
      </m:item>
      <m:placeholder xlName="_PLD_ae4f1a7cfa594de68497f7d16c7d80e5" addr="T0R17C0S1_7"/>
      <m:item xlName="_GBC_be66c45d473a487e8b8009b91a97f504" concept="clcid-ie:WeiDaoQiDanBaoKeNengChengDanLianDaiQingChangZeRenShuoMing" label="未到期担保可能承担连带清偿责任说明" unitRef="_GBC_a5bed87537d146398206f22cc051cc03" addr="T0R17C7S1_9" appId="_GBC_aae98b3e30bd49e4b2e1d2643f200047"/>
      <m:placeholder xlName="_PLD_88f88dacaff54d419c61ced0566505e9" addr="T0R18C0S1_7"/>
      <m:item xlName="_GBC_3066c7396c994432a5143d2f6d8caee0" concept="clcid-ie:DanBaoQingKuangShuoMing" label="担保情况说明" unitRef="_GBC_a5bed87537d146398206f22cc051cc03" addr="T0R18C7S1_9" appId="_GBC_aae98b3e30bd49e4b2e1d2643f200047"/>
      <m:placeholder xlName="_PLD_05f81595191b432fba2f5467a459f70b" addr="T0R6C0S1_16"/>
      <m:placeholder xlName="_PLD_1f3f8cca8d8c4b94a8d81954f7951552" addr="T0R1C8S1_1"/>
      <m:placeholder xlName="_PLD_cd7b5ab30a06466e9c30b0ca1035b8c8" addr="T0R1C9S1_1"/>
      <m:placeholder xlName="_PLD_63e29615db7e439fbe446447d9abc680" addr="T0R1C13S1_1"/>
    </m:section>
    <m:section xlName="_SEC_e046194a1b604165ab4ac9dbd406e6b1" title="其他重大合同" convertSummaryRule="NoConvert" helpId="110007004">
      <m:item xlName="_GBC_23289ac36e3b4aeeaff6a4f1df0c3165" concept="clcid-ci-ar:ShiFouShiYongQiTaZhongDaHeTong" label="是否适用：其他重大合同" selectOptions="_buildInAppliance" controlType="CustomCheckbox" cRanges="{&quot;StartName&quot;:&quot;_GBC_23289ac36e3b4aeeaff6a4f1df0c3165&quot;,&quot;EndName&quot;:&quot;_GBC_b4ae2f60305f4a668d9a371ab1679a83&quot;,&quot;CType&quot;:1,&quot;DisplayText&quot;:null}"/>
      <m:item xlName="_GBC_b4ae2f60305f4a668d9a371ab1679a83" concept="clcid-ie:QiTaZhongDaHeTong" label="其他重大合同" appId="_GBC_23289ac36e3b4aeeaff6a4f1df0c3165"/>
    </m:section>
    <m:section xlName="_SEC_82a7281a6dc544bea8ef97d430f7b6fc" title="" helpId="110011001">
      <m:item xlName="_GBC_60472543195d45309db4d042b8e09883" concept="clcid-ci-ar:ShiFouShiYongQiTaZhongDaShiXiangDeShuoMing" label="是否适用：其他重大事项的说明" selectOptions="_buildInAppliance" controlType="CustomCheckbox" cRanges="[{&quot;StartName&quot;:&quot;_GBC_60472543195d45309db4d042b8e09883&quot;,&quot;EndName&quot;:&quot;_GBC_2c1880a5abc34ba7be18fdf6374ac4c1&quot;,&quot;CType&quot;:1}]"/>
      <m:item xlName="_GBC_2c1880a5abc34ba7be18fdf6374ac4c1" concept="clcid-ie:QiTaZhongDaShiXiangShuoMing" label="其它重大事项说明" appId="_GBC_60472543195d45309db4d042b8e09883"/>
    </m:section>
    <m:section xlName="_GBC_dd8bc2a0b3ed4147a1e657cdc8573344" title="报告期内，公司股份总数及股本结构未发生变化。" checkKey="!变动增减" helpId="104001001" primarySection="_GBC_dd8bc2a0b3ed4147a1e657cdc8573344" optionText="股份未变化" activeContentOption="_GBC_689d6173d495495594274e2a0740daae" optionGroupTitle="公司股份变化情况" optionTargetConcept="clcid-ci-ar:ShiFouShiYongGuFenBianDongQingKuangBiao" optionTargetConceptValue="false" otherKeyActions="{&quot;KeyCode&quot;:&quot;SF_SSE&quot;,&quot;KeyAction&quot;:47,&quot;KeyActionTitle&quot;:null,&quot;OtherActions&quot;:null}"/>
    <m:section xlName="_GBC_872d4d405bf64e4d9c4e4ee9330ec2d5" title="股份变动情况表(未完成股改)" rules="R2015_R6_001" checkKey="!未发生变化&amp;!有限售条件股份" helpId="104001001" primarySection="_GBC_dd8bc2a0b3ed4147a1e657cdc8573344" optionText="股份有变化,未完成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item xlName="_GBC_31620f6bab3942ce8035db3856c88dd6" concept="clcid-ci-ar:DanWeiGuFenBianDongQingKuangBiao" label="单位：股份变动情况表" selectOptions="e5ff0938481c4e57a5dbc66853be82ef" controlType="Combobox" cellType="Scale"/>
      <m:placeholder xlName="_PLD_be3b667bf449461394d9ad150a3a057d" addr="T0R0C1S1_2"/>
      <m:placeholder xlName="_PLD_d8e819e95e714657bf85f76c80a93a39" addr="T0R0C3S1_5"/>
      <m:placeholder xlName="_PLD_03d8aae09c15497688d553725e549314" addr="T0R0C8S1_2"/>
      <m:placeholder xlName="_PLD_1f7e965d157f4c969deddd25acdad682" addr="T0R1C1S1_1"/>
      <m:placeholder xlName="_PLD_56231e057ebb4e7db7413883949bbb47" addr="T0R1C2S1_1"/>
      <m:placeholder xlName="_PLD_2c8d14f170b2442c8ffc5e309da401ef" addr="T0R1C3S1_1"/>
      <m:placeholder xlName="_PLD_6610cbc54c884bd0935962448d660a68" addr="T0R1C4S1_1"/>
      <m:placeholder xlName="_PLD_25c4c462023f4da18efbd73354ac6302" addr="T0R1C5S1_1"/>
      <m:placeholder xlName="_PLD_ef92847a01004e4d93cf8f47d3158ef2" addr="T0R1C6S1_1"/>
      <m:placeholder xlName="_PLD_6729e7fb59f348219b757fc8c07f6adb" addr="T0R1C7S1_1"/>
      <m:placeholder xlName="_PLD_bbec765bc8c7413a9e4945bd6294ff23" addr="T0R1C8S1_1"/>
      <m:placeholder xlName="_PLD_78ad2aeddbe0486db50fcb143d90d80f" addr="T0R1C9S1_1"/>
      <m:placeholder xlName="_PLD_c86a907fce254683807ae00221101410" addr="T0R2C0S1_1"/>
      <m:item xlName="_GBC_7ec34b2fea964c3994a08f7b2bbc54ce" concept="clcid-cgi:WeiShangShiLiuTongGuFenHeJi" label="未上市流通股份合计" periodRef="本期期初数" mulRef="_GBC_31620f6bab3942ce8035db3856c88dd6" addr="T0R2C1S1_1" formatStyle="Comma">
        <m:complexRule comparator="Eq" title="6.1_未上市流通股份合计_期初数_变动前" test=" $_GBC_58529acc04f14099bdefe978af6a4553 +  $_GBC_f00349d2036f43b1a9bbd61c448a1994 +  $_GBC_8d76a0ba95554c16b72f472ec1b44a45 +  $_GBC_5990badd92ef4c23bd7fd1718c1e2230" id="C20eedc943bd5420496727948ad95bfb6"/>
      </m:item>
      <m:item xlName="_GBC_d3b10c7d23b14251846fd1c9a54efcde" concept="clcid-cgi:GuQuanFenZhiGaiGeQianWeiShangShiLiuTongGuFenZhanZongGuBenBiLi" label="未上市流通股份占总股本比例" periodRef="本期期初数" addr="T0R2C2S1_1" baseScale="0.01" formatStyle="Comma">
        <m:complexRule comparator="Eq" title="未上市流通股份占总股本比例@本期期初数" test=" $_GBC_088857a8deb742a18b24cb72d17d9159 +  $_GBC_8508dcb735814773a65842004d995bcc +  $_GBC_e0fb2e2383a1463e8a9e9fb8ffd2f0ed +  $_GBC_aa088794331e4463943dd910506be1fe" id="C9bea2054246a4f7babc855cabe528095"/>
      </m:item>
      <m:item xlName="_GBC_df554446ac134fc9a71165877893a24c" concept="clcid-cgi:WeiShangShiLiuTongGuFenFaXingXinGuBianDongZengJian" label="未上市流通股份发行新股变动增减" mulRef="_GBC_31620f6bab3942ce8035db3856c88dd6" addr="T0R2C3S1_1" formatStyle="Comma">
        <m:complexRule comparator="Eq" title="未上市流通股份发行新股变动增减" test=" $_GBC_bbf93fb0b60043f9ba1379e07f7194c4 +  $_GBC_0f9e9fa0f10e42bf8e4bc8db86d594fa +  $_GBC_5bcd2a1fb27d405188ba25ec0c0eac5c +  $_GBC_f13d0f8eb443435a894ff1991afe2945" id="C41a62d763b324bd2a57454b783110162"/>
      </m:item>
      <m:item xlName="_GBC_dfbfe75d0e0d4848b22cd0c1c4ab890b" concept="clcid-cgi:WeiShangShiLiuTongGuFenSongGuBianDongZengJian" label="未上市流通股份送股变动增减" mulRef="_GBC_31620f6bab3942ce8035db3856c88dd6" addr="T0R2C4S1_1" formatStyle="Comma">
        <m:complexRule comparator="Eq" title="未上市流通股份送股变动增减" test=" $_GBC_b7712745b7f640ee93af1dcf8fb083f8 +  $_GBC_28299614a50040ad867f901886a7f4ed +  $_GBC_c06c36f5afca419a9a3067e8c471c447 +  $_GBC_d76a639b3a9b4f93a690093774a4f381" id="C0548186967fd44f2a81dc2d2914f8a17"/>
      </m:item>
      <m:item xlName="_GBC_e41e0f21ce6f4fb2852f661668e3cf53" concept="clcid-cgi:WeiShangShiLiuTongGuFenGongJiJinZhuanGuBianDongZengJian" label="未上市流通股份公积金转股变动增减" mulRef="_GBC_31620f6bab3942ce8035db3856c88dd6" addr="T0R2C5S1_1" formatStyle="Comma">
        <m:complexRule comparator="Eq" title="未上市流通股份公积金转股变动增减" test=" $_GBC_a488c1b2d2104a0aac20c0fba3d6fc8a +  $_GBC_ce21b1d4739c4c7f956976dd28d473d2 +  $_GBC_a65d96f66d7d4868bfc453ae19f31806 +  $_GBC_4349f5c0922848bca09c7a527cac9eef" id="C06aac403640b4b23ae6d5ba6382be055"/>
      </m:item>
      <m:item xlName="_GBC_42a6a141eeb4463997872b76e4963299" concept="clcid-cgi:WeiShangShiLiuTongGuFenQiTaBianDongZengJian" label="未上市流通股份其他变动增减" mulRef="_GBC_31620f6bab3942ce8035db3856c88dd6" addr="T0R2C6S1_1" formatStyle="Comma">
        <m:complexRule comparator="Eq" title="未上市流通股份其他变动增减" test=" $_GBC_9705352190934ec795d5287ff6f04dce +  $_GBC_a76b537ab7a546cf9d919149e9c16e9b +  $_GBC_79e132db6bd943e8ac5250db85bca1d2 +  $_GBC_aa1bedc943f749199eb0f53dbe031237" id="C265ba89caad0438cae1d8432d2ec58a5"/>
      </m:item>
      <m:item xlName="_GBC_982f43637a514dc48ea9193faed780a9" concept="clcid-cgi:WeiShangShiLiuTongGuFenBianDongZengJianXiaoJi" label="未上市流通股份变动增减小计" mulRef="_GBC_31620f6bab3942ce8035db3856c88dd6" addr="T0R2C7S1_1" formatStyle="Comma">
        <m:complexRule comparator="Eq" title="未上市流通股份变动增减小计" test=" $_GBC_ff2cb84063d942729232bb0842f976b3 +  $_GBC_5c464fcd3e7d4c4cbecf2af1bcfd6887 +  $_GBC_f795beb18d554c258559f5cd5212f99a +  $_GBC_997af581e1004b98a4ac24cba3fd3399" id="C23851c6bf3ba4161a73797a74cbccb65"/>
        <m:complexRule comparator="Eq" title="未上市流通股份变动增减小计_横向" test=" $_GBC_df554446ac134fc9a71165877893a24c +  $_GBC_dfbfe75d0e0d4848b22cd0c1c4ab890b +  $_GBC_e41e0f21ce6f4fb2852f661668e3cf53 +  $_GBC_42a6a141eeb4463997872b76e4963299" id="Ca8507d67a1b348e2b998370f50974548"/>
      </m:item>
      <m:item xlName="_GBC_1b69cb0353ec42f9ade75444a96dc975" concept="clcid-cgi:WeiShangShiLiuTongGuFenHeJi" label="未上市流通股份合计" mulRef="_GBC_31620f6bab3942ce8035db3856c88dd6" addr="T0R2C8S1_1" formatStyle="Comma">
        <m:complexRule comparator="Eq" title="6.1_未上市流通股份合计" test=" $_GBC_7ec34b2fea964c3994a08f7b2bbc54ce +  $_GBC_982f43637a514dc48ea9193faed780a9" id="Cc16ced88034b4b4f916882e7c557cdf4"/>
        <m:complexRule comparator="Eq" title="6.1_未上市流通股份合计_纵向" test=" $_GBC_ec334fde4fcd420aa9a61416ac8c9f39 +  $_GBC_6ce643fec874406086ac922cdf841a65 +  $_GBC_60a48cee3a7f4f16b1f6355d166d5357 +  $_GBC_a7a72d2ccb3f4f5e97dcd240329c624a" id="Cf1a636f93e7246d1adaed548fc1a7076"/>
      </m:item>
      <m:item xlName="_GBC_9b68ec991e844f8db3f9684dd10df6d5" concept="clcid-cgi:GuQuanFenZhiGaiGeQianWeiShangShiLiuTongGuFenZhanZongGuBenBiLi" label="未上市流通股份占总股本比例" addr="T0R2C9S1_1" baseScale="0.01" formatStyle="Comma">
        <m:complexRule comparator="Eq" title="未上市流通股份占总股本比例" test=" $_GBC_f4c0804dbbcc4c99abb7c89603626321 +  $_GBC_4120f399dafb4aafa204d0a049189222 +  $_GBC_46282649a8694f6992fbfe88fcd90ace +  $_GBC_142e2444ed6b49478cffb183c10c001f" id="Cc94fcd1965dd4743a282deadfe6c4469"/>
      </m:item>
      <m:placeholder xlName="_PLD_540394fce1cc49cc87cba552b2fde097" addr="T0R3C0S1_1"/>
      <m:item xlName="_GBC_58529acc04f14099bdefe978af6a4553" concept="clcid-cgi:FaQiRenGuFenShu" label="发起人股份数" periodRef="本期期初数" mulRef="_GBC_31620f6bab3942ce8035db3856c88dd6" addr="T0R3C1S1_1" formatStyle="Comma">
        <m:complexRule comparator="Eq" title="发起人股份数@本期期初数" test=" $_GBC_97ac0ff53a1246a89e456f1c4eb763a6 +  $_GBC_57549a2f657c4aa7b7e425285a484710 +  $_GBC_f8f16715e6e84d859f3916d3a0348cc0 +  $_GBC_02d7e7b88a65448880e018681697b20f" id="Ce21a05d6231148c6a9be53812e46e391"/>
      </m:item>
      <m:item xlName="_GBC_088857a8deb742a18b24cb72d17d9159" concept="clcid-cgi:GuQuanFenZhiGaiGeQianFaQiRenGuFenZhanZongGuBenBiLi" label="发起人股份占总股本比例" periodRef="本期期初数" addr="T0R3C2S1_1" baseScale="0.01" formatStyle="Comma">
        <m:complexRule comparator="Eq" title="发起人股份占总股本比例@本期期初数" test=" $_GBC_b59b4ccd7f2a4e70b52faf62d9ccceb8 +  $_GBC_a6dc89c5e5cd449d9df2474db70b7052 +  $_GBC_b48cb01d048049a89546c47204577a66 +  $_GBC_f54e90790a094d528b3ca80d97e16fb6" id="Cc399cf3618d24375b6918a1ab05740d8"/>
      </m:item>
      <m:item xlName="_GBC_bbf93fb0b60043f9ba1379e07f7194c4" concept="clcid-cgi:FaQiRenGuFenFaXingXinGuBianDongZengJian" label="发起人股份发行新股变动增减" mulRef="_GBC_31620f6bab3942ce8035db3856c88dd6" addr="T0R3C3S1_1" formatStyle="Comma">
        <m:complexRule comparator="Eq" title="发起人股份发行新股变动增减" test=" $_GBC_fdbd2413d71f4f0e8aa1756ace23896a +  $_GBC_24d2ae1ffd424b36a43863bb0a25eb6d +  $_GBC_47798944c0ef403eaae69d0ed9c4d770 +  $_GBC_a16bed9f59a447dab26a15f059dbb188" id="Cd69bd790ab344d7c97425ef32caa1bbb"/>
      </m:item>
      <m:item xlName="_GBC_b7712745b7f640ee93af1dcf8fb083f8" concept="clcid-cgi:FaQiRenGuFenSongGuBianDongZengJian" label="发起人股份送股变动增减" mulRef="_GBC_31620f6bab3942ce8035db3856c88dd6" addr="T0R3C4S1_1" formatStyle="Comma">
        <m:complexRule comparator="Eq" title="发起人股份送股变动增减" test=" $_GBC_719f1163561c41409946f70749721a4e +  $_GBC_51bd0d5a69864331b79abb0668979e2a +  $_GBC_694c903a763b4340b18501853ee84fe5 +  $_GBC_bfbb6ea9bad54e9c99d74990f8788c8d" id="C106e4b2a40fd43599e3163c37d75d646"/>
      </m:item>
      <m:item xlName="_GBC_a488c1b2d2104a0aac20c0fba3d6fc8a" concept="clcid-cgi:FaQiRenGuFenGongJiJinZhuanGuBianDongZengJian" label="发起人股份公积金转股变动增减" mulRef="_GBC_31620f6bab3942ce8035db3856c88dd6" addr="T0R3C5S1_1" formatStyle="Comma">
        <m:complexRule comparator="Eq" title="发起人股份公积金转股变动增减" test=" $_GBC_242d4200361b477587662fad9662dc61 +  $_GBC_0665ffa22cab48c5a0f3c74c745bd46d +  $_GBC_91e324ffdcf84005863c19a8efb21dfa +  $_GBC_c60aad9cf29d40f191e50818a0850a90" id="C9fe98a3de5814c5cbc9148f6c283a77b"/>
      </m:item>
      <m:item xlName="_GBC_9705352190934ec795d5287ff6f04dce" concept="clcid-cgi:FaQiRenGuFenQiTaBianDongZengJian" label="发起人股份其他变动增减" mulRef="_GBC_31620f6bab3942ce8035db3856c88dd6" addr="T0R3C6S1_1" formatStyle="Comma">
        <m:complexRule comparator="Eq" title="发起人股份其他变动增减" test=" $_GBC_86eda044ae404cecbb7e263547c21a8b +  $_GBC_61914d62f8da4cbbb8b1a5e494340963 +  $_GBC_c630f290234648ef9627db389a1cdf5b +  $_GBC_d067fb8f0506466fa02637c7f6923224" id="C177718492a96482cba2b0e7cf8c74738"/>
      </m:item>
      <m:item xlName="_GBC_ff2cb84063d942729232bb0842f976b3" concept="clcid-cgi:FaQiRenGuFenBianDongZengJianXiaoJi" label="发起人股份变动增减小计" mulRef="_GBC_31620f6bab3942ce8035db3856c88dd6" addr="T0R3C7S1_1" formatStyle="Comma">
        <m:complexRule comparator="Eq" title="发起人股份变动增减小计" test=" $_GBC_bbf93fb0b60043f9ba1379e07f7194c4 +  $_GBC_b7712745b7f640ee93af1dcf8fb083f8 +  $_GBC_a488c1b2d2104a0aac20c0fba3d6fc8a +  $_GBC_9705352190934ec795d5287ff6f04dce" id="Cf4d2eebe20ff4e0da805622e060bbef6"/>
        <m:complexRule comparator="Eq" title="发起人股份变动增减小计（纵向）" test=" $_GBC_cc80a718d8864a719db75f6b5b320887 +  $_GBC_1dc1951d43024ff2b06f685069c305d9 +  $_GBC_902fd35861754c2bbce53a7e93851c65 +  $_GBC_ffe24347649e4c609429b4673fa6784e" id="C6e2477602c6e443fa83299c3b2ae8a0e"/>
      </m:item>
      <m:item xlName="_GBC_ec334fde4fcd420aa9a61416ac8c9f39" concept="clcid-cgi:FaQiRenGuFenShu" label="发起人股份数" mulRef="_GBC_31620f6bab3942ce8035db3856c88dd6" addr="T0R3C8S1_1" formatStyle="Comma">
        <m:complexRule comparator="Eq" title="发起人股份数" test=" $_GBC_58529acc04f14099bdefe978af6a4553 +  $_GBC_ff2cb84063d942729232bb0842f976b3" id="C49708b2926af499b8324d28b5a374f24"/>
        <m:complexRule comparator="Eq" title="发起人股份数（纵向）" test=" $_GBC_4d9dd74e02ea4691ae775f3a429f27ac +  $_GBC_349c9416540942a1820980913e2a308a +  $_GBC_c0265a862a4e4232bb19c80f9a7d32b7 +  $_GBC_f0a26facf23e453190c48316872ece4f" id="Ca768f94d12064b65b047c2526d27bf5c"/>
      </m:item>
      <m:item xlName="_GBC_f4c0804dbbcc4c99abb7c89603626321" concept="clcid-cgi:GuQuanFenZhiGaiGeQianFaQiRenGuFenZhanZongGuBenBiLi" label="发起人股份占总股本比例" addr="T0R3C9S1_1" baseScale="0.01" formatStyle="Comma">
        <m:complexRule comparator="Eq" title="发起人股份占总股本比例" test=" $_GBC_391b6f338d134eb0b7cadc414c1b3ba0 +  $_GBC_e26f8abd36204ce3a1697c0686414321 +  $_GBC_fbf8ade3e2bc4eb4a54ac5a929c83625 +  $_GBC_975a0c448c5a413787b84c5a5fca1d43" id="Ce8b8a024b2e64c50a236d55a5ef69819"/>
      </m:item>
      <m:placeholder xlName="_PLD_2678edfca22049428b4236f8dc2ac95f" addr="T0R4C0S1_1"/>
      <m:placeholder xlName="_PLD_e904c39159394439a551a50fdf01110c" addr="T0R5C0S1_1"/>
      <m:item xlName="_GBC_97ac0ff53a1246a89e456f1c4eb763a6" concept="clcid-cgi:GuoJiaChiYouGuFenShu" label="国家持有股份数" periodRef="本期期初数" mulRef="_GBC_31620f6bab3942ce8035db3856c88dd6" addr="T0R5C1S1_1" formatStyle="Comma"/>
      <m:item xlName="_GBC_b59b4ccd7f2a4e70b52faf62d9ccceb8" concept="clcid-cgi:GuQuanFenZhiGaiGeQianGuoJiaChiYouGuFenZhanZongGuBenBiLi" label="国家持有股份占总股本比例" periodRef="本期期初数" addr="T0R5C2S1_1" baseScale="0.01" formatStyle="Comma"/>
      <m:item xlName="_GBC_fdbd2413d71f4f0e8aa1756ace23896a" concept="clcid-cgi:GuoJiaChiYouGuFenFaXingXinGuBianDongZengJian" label="国家持有股份发行新股变动增减" mulRef="_GBC_31620f6bab3942ce8035db3856c88dd6" addr="T0R5C3S1_1" formatStyle="Comma"/>
      <m:item xlName="_GBC_719f1163561c41409946f70749721a4e" concept="clcid-cgi:GuoJiaChiYouGuFenSongGuBianDongZengJian" label="国家持有股份送股变动增减" mulRef="_GBC_31620f6bab3942ce8035db3856c88dd6" addr="T0R5C4S1_1" formatStyle="Comma"/>
      <m:item xlName="_GBC_242d4200361b477587662fad9662dc61" concept="clcid-cgi:GuoJiaChiYouGuFenGongJiJinZhuanGuBianDongZengJian" label="国家持有股份公积金转股变动增减" mulRef="_GBC_31620f6bab3942ce8035db3856c88dd6" addr="T0R5C5S1_1" formatStyle="Comma"/>
      <m:item xlName="_GBC_86eda044ae404cecbb7e263547c21a8b" concept="clcid-cgi:GuoJiaChiYouGuFenQiTaBianDongZengJian" label="国家持有股份其他变动增减" mulRef="_GBC_31620f6bab3942ce8035db3856c88dd6" addr="T0R5C6S1_1" formatStyle="Comma"/>
      <m:item xlName="_GBC_cc80a718d8864a719db75f6b5b320887" concept="clcid-cgi:GuoJiaChiYouGuFenBianDongZengJianXiaoJi" label="国家持有股份变动增减小计" mulRef="_GBC_31620f6bab3942ce8035db3856c88dd6" addr="T0R5C7S1_1" formatStyle="Comma">
        <m:complexRule comparator="Eq" title="国家持有股份变动增减小计" test=" $_GBC_fdbd2413d71f4f0e8aa1756ace23896a +  $_GBC_719f1163561c41409946f70749721a4e +  $_GBC_242d4200361b477587662fad9662dc61 +  $_GBC_86eda044ae404cecbb7e263547c21a8b" id="C7ecc9104cd764ada81d23ed4b7684c4d"/>
      </m:item>
      <m:item xlName="_GBC_4d9dd74e02ea4691ae775f3a429f27ac" concept="clcid-cgi:GuoJiaChiYouGuFenShu" label="国家持有股份数" mulRef="_GBC_31620f6bab3942ce8035db3856c88dd6" addr="T0R5C8S1_1" formatStyle="Comma">
        <m:complexRule comparator="Eq" title="国家持有股份数" test=" $_GBC_cc80a718d8864a719db75f6b5b320887 +  $_GBC_97ac0ff53a1246a89e456f1c4eb763a6" id="Cc5d3eed34fc249778815bd2025973ebf"/>
      </m:item>
      <m:item xlName="_GBC_391b6f338d134eb0b7cadc414c1b3ba0" concept="clcid-cgi:GuQuanFenZhiGaiGeQianGuoJiaChiYouGuFenZhanZongGuBenBiLi" label="国家持有股份占总股本比例" addr="T0R5C9S1_1" baseScale="0.01" formatStyle="Comma"/>
      <m:placeholder xlName="_PLD_4dafc14ab56a49fea6515b347faa27c1" addr="T0R6C0S1_1"/>
      <m:item xlName="_GBC_57549a2f657c4aa7b7e425285a484710" concept="clcid-cgi:JingNeiFaRenChiYouGuFenShu" label="境内法人持有股份数" periodRef="本期期初数" mulRef="_GBC_31620f6bab3942ce8035db3856c88dd6" addr="T0R6C1S1_1" formatStyle="Comma"/>
      <m:item xlName="_GBC_a6dc89c5e5cd449d9df2474db70b7052" concept="clcid-cgi:GuQuanFenZhiGaiGeQianJingNeiFaRenChiYouGuFenZhanZongGuBenBiLi" label="境内法人持有股份占总股本比例" periodRef="本期期初数" addr="T0R6C2S1_1" baseScale="0.01" formatStyle="Comma"/>
      <m:item xlName="_GBC_24d2ae1ffd424b36a43863bb0a25eb6d" concept="clcid-cgi:JingNeiFaRenChiYouGuFenFaXingXinGuBianDongZengJian" label="境内法人持有股份发行新股变动增减" mulRef="_GBC_31620f6bab3942ce8035db3856c88dd6" addr="T0R6C3S1_1" formatStyle="Comma"/>
      <m:item xlName="_GBC_51bd0d5a69864331b79abb0668979e2a" concept="clcid-cgi:JingNeiFaRenChiYouGuFenSongGuBianDongZengJian" label="境内法人持有股份送股变动增减" mulRef="_GBC_31620f6bab3942ce8035db3856c88dd6" addr="T0R6C4S1_1" formatStyle="Comma"/>
      <m:item xlName="_GBC_0665ffa22cab48c5a0f3c74c745bd46d" concept="clcid-cgi:JingNeiFaRenChiYouGuFenGongJiJinZhuanGuBianDongZengJian" label="境内法人持有股份公积金转股变动增减" mulRef="_GBC_31620f6bab3942ce8035db3856c88dd6" addr="T0R6C5S1_1" formatStyle="Comma"/>
      <m:item xlName="_GBC_61914d62f8da4cbbb8b1a5e494340963" concept="clcid-cgi:JingNeiFaRenChiYouGuFenQiTaBianDongZengJian" label="境内法人持有股份其他变动增减" mulRef="_GBC_31620f6bab3942ce8035db3856c88dd6" addr="T0R6C6S1_1" formatStyle="Comma"/>
      <m:item xlName="_GBC_1dc1951d43024ff2b06f685069c305d9" concept="clcid-cgi:JingNeiFaRenChiYouGuFenBianDongZengJianXiaoJi" label="境内法人持有股份变动增减小计" mulRef="_GBC_31620f6bab3942ce8035db3856c88dd6" addr="T0R6C7S1_1" formatStyle="Comma">
        <m:complexRule comparator="Eq" title="境内法人持有股份变动增减小计" test=" $_GBC_24d2ae1ffd424b36a43863bb0a25eb6d +  $_GBC_51bd0d5a69864331b79abb0668979e2a +  $_GBC_0665ffa22cab48c5a0f3c74c745bd46d +  $_GBC_61914d62f8da4cbbb8b1a5e494340963" id="C66f91230be5a44c28b38696c907d2197"/>
      </m:item>
      <m:item xlName="_GBC_349c9416540942a1820980913e2a308a" concept="clcid-cgi:JingNeiFaRenChiYouGuFenShu" label="境内法人持有股份数" mulRef="_GBC_31620f6bab3942ce8035db3856c88dd6" addr="T0R6C8S1_1" formatStyle="Comma">
        <m:complexRule comparator="Eq" title="境内法人持有股份数" test=" $_GBC_57549a2f657c4aa7b7e425285a484710 +  $_GBC_1dc1951d43024ff2b06f685069c305d9" id="C39b506c4fc024afc8ff78fa3e1f6a242"/>
      </m:item>
      <m:item xlName="_GBC_e26f8abd36204ce3a1697c0686414321" concept="clcid-cgi:GuQuanFenZhiGaiGeQianJingNeiFaRenChiYouGuFenZhanZongGuBenBiLi" label="境内法人持有股份占总股本比例" addr="T0R6C9S1_1" baseScale="0.01" formatStyle="Comma"/>
      <m:placeholder xlName="_PLD_7e955a38ed524e8b86bfee0a1e152943" addr="T0R7C0S1_1"/>
      <m:item xlName="_GBC_f8f16715e6e84d859f3916d3a0348cc0" concept="clcid-cgi:JingWaiFaRenChiYouGuFenShu" label="境外法人持有股份数" periodRef="本期期初数" mulRef="_GBC_31620f6bab3942ce8035db3856c88dd6" addr="T0R7C1S1_1" formatStyle="Comma"/>
      <m:item xlName="_GBC_b48cb01d048049a89546c47204577a66" concept="clcid-cgi:GuQuanFenZhiGaiGeQianJingWaiFaRenChiYouGuFenZhanZongGuBenBiLi" label="境外法人持有股份占总股本比例" periodRef="本期期初数" addr="T0R7C2S1_1" baseScale="0.01" formatStyle="Comma"/>
      <m:item xlName="_GBC_47798944c0ef403eaae69d0ed9c4d770" concept="clcid-cgi:JingWaiFaRenChiYouGuFenFaXingXinGuBianDongZengJian" label="境外法人持有股份发行新股变动增减" mulRef="_GBC_31620f6bab3942ce8035db3856c88dd6" addr="T0R7C3S1_1" formatStyle="Comma"/>
      <m:item xlName="_GBC_694c903a763b4340b18501853ee84fe5" concept="clcid-cgi:JingWaiFaRenChiYouGuFenSongGuBianDongZengJian" label="境外法人持有股份送股变动增减" mulRef="_GBC_31620f6bab3942ce8035db3856c88dd6" addr="T0R7C4S1_1" formatStyle="Comma"/>
      <m:item xlName="_GBC_91e324ffdcf84005863c19a8efb21dfa" concept="clcid-cgi:JingWaiFaRenChiYouGuFenGongJiJinZhuanGuBianDongZengJian" label="境外法人持有股份公积金转股变动增减" mulRef="_GBC_31620f6bab3942ce8035db3856c88dd6" addr="T0R7C5S1_1" formatStyle="Comma"/>
      <m:item xlName="_GBC_c630f290234648ef9627db389a1cdf5b" concept="clcid-cgi:JingWaiFaRenChiYouGuFenQiTaBianDongZengJian" label="境外法人持有股份其他变动增减" mulRef="_GBC_31620f6bab3942ce8035db3856c88dd6" addr="T0R7C6S1_1" formatStyle="Comma"/>
      <m:item xlName="_GBC_902fd35861754c2bbce53a7e93851c65" concept="clcid-cgi:JingWaiFaRenChiYouGuFenBianDongZengJianXiaoJi" label="境外法人持有股份变动增减小计" mulRef="_GBC_31620f6bab3942ce8035db3856c88dd6" addr="T0R7C7S1_1" formatStyle="Comma">
        <m:complexRule comparator="Eq" title="境外法人持有股份变动增减小计" test=" $_GBC_47798944c0ef403eaae69d0ed9c4d770 +  $_GBC_694c903a763b4340b18501853ee84fe5 +  $_GBC_91e324ffdcf84005863c19a8efb21dfa +  $_GBC_c630f290234648ef9627db389a1cdf5b" id="C2f047a89afa944568dd8257d4ad77252"/>
      </m:item>
      <m:item xlName="_GBC_c0265a862a4e4232bb19c80f9a7d32b7" concept="clcid-cgi:JingWaiFaRenChiYouGuFenShu" label="境外法人持有股份数" mulRef="_GBC_31620f6bab3942ce8035db3856c88dd6" addr="T0R7C8S1_1" formatStyle="Comma">
        <m:complexRule comparator="Eq" title="境外法人持有股份数" test=" $_GBC_f8f16715e6e84d859f3916d3a0348cc0 +  $_GBC_902fd35861754c2bbce53a7e93851c65" id="C295006001d5747cb822b0b134f2b262e"/>
      </m:item>
      <m:item xlName="_GBC_fbf8ade3e2bc4eb4a54ac5a929c83625" concept="clcid-cgi:GuQuanFenZhiGaiGeQianJingWaiFaRenChiYouGuFenZhanZongGuBenBiLi" label="境外法人持有股份占总股本比例" addr="T0R7C9S1_1" baseScale="0.01" formatStyle="Comma"/>
      <m:placeholder xlName="_PLD_c508c572d893489cb7f11a5778f585a2" addr="T0R8C0S1_1"/>
      <m:item xlName="_GBC_02d7e7b88a65448880e018681697b20f" concept="clcid-cgi:QiTaFaQiRenGuFenShu" label="其他发起人股份数" periodRef="本期期初数" mulRef="_GBC_31620f6bab3942ce8035db3856c88dd6" addr="T0R8C1S1_1" formatStyle="Comma"/>
      <m:item xlName="_GBC_f54e90790a094d528b3ca80d97e16fb6" concept="clcid-cgi:GuQuanFenZhiGaiGeQianQiTaFaQiRenGuFenZhanZongGuBenBiLi" label="股权分置改革前其他发起人股份占总股本比例" periodRef="本期期初数" addr="T0R8C2S1_1" baseScale="0.01" formatStyle="Comma"/>
      <m:item xlName="_GBC_a16bed9f59a447dab26a15f059dbb188" concept="clcid-cgi:QiTaFaQiRenGuFenFaXingXinGuBianDongZengJian" label="其他发起人股份发行新股变动增减" mulRef="_GBC_31620f6bab3942ce8035db3856c88dd6" addr="T0R8C3S1_1" formatStyle="Comma"/>
      <m:item xlName="_GBC_bfbb6ea9bad54e9c99d74990f8788c8d" concept="clcid-cgi:QiTaFaQiRenGuFenSongGuBianDongZengJian" label="其他发起人股份送股变动增减" mulRef="_GBC_31620f6bab3942ce8035db3856c88dd6" addr="T0R8C4S1_1" formatStyle="Comma"/>
      <m:item xlName="_GBC_c60aad9cf29d40f191e50818a0850a90" concept="clcid-cgi:QiTaFaQiRenGuFenGongJiJinZhuanGuBianDongZengJian" label="其他发起人股份公积金转股变动增减" mulRef="_GBC_31620f6bab3942ce8035db3856c88dd6" addr="T0R8C5S1_1" formatStyle="Comma"/>
      <m:item xlName="_GBC_d067fb8f0506466fa02637c7f6923224" concept="clcid-cgi:QiTaFaQiRenGuFenQiTaBianDongZengJian" label="其他发起人股份其他变动增减" mulRef="_GBC_31620f6bab3942ce8035db3856c88dd6" addr="T0R8C6S1_1" formatStyle="Comma"/>
      <m:item xlName="_GBC_ffe24347649e4c609429b4673fa6784e" concept="clcid-cgi:QiTaFaQiRenGuFenBianDongZengJianXiaoJi" label="其他发起人股份变动增减小计" mulRef="_GBC_31620f6bab3942ce8035db3856c88dd6" addr="T0R8C7S1_1" formatStyle="Comma">
        <m:complexRule comparator="Eq" title="其他发起人股份变动增减小计" test=" $_GBC_a16bed9f59a447dab26a15f059dbb188 +  $_GBC_bfbb6ea9bad54e9c99d74990f8788c8d +  $_GBC_c60aad9cf29d40f191e50818a0850a90 +  $_GBC_d067fb8f0506466fa02637c7f6923224" id="C335fa4a2fed2498584f4b74615d6d6f6"/>
      </m:item>
      <m:item xlName="_GBC_f0a26facf23e453190c48316872ece4f" concept="clcid-cgi:QiTaFaQiRenGuFenShu" label="其他发起人股份数" mulRef="_GBC_31620f6bab3942ce8035db3856c88dd6" addr="T0R8C8S1_1" formatStyle="Comma">
        <m:complexRule comparator="Eq" title="其他发起人股份数" test=" $_GBC_02d7e7b88a65448880e018681697b20f +  $_GBC_ffe24347649e4c609429b4673fa6784e" id="Ce747261816134d59a98ac9f7bcb1c51f"/>
      </m:item>
      <m:item xlName="_GBC_975a0c448c5a413787b84c5a5fca1d43" concept="clcid-cgi:GuQuanFenZhiGaiGeQianQiTaFaQiRenGuFenZhanZongGuBenBiLi" label="股权分置改革前其他发起人股份占总股本比例" addr="T0R8C9S1_1" baseScale="0.01" formatStyle="Comma"/>
      <m:placeholder xlName="_PLD_f1e740560196441e8c96783426bd8523" addr="T0R9C0S1_1"/>
      <m:item xlName="_GBC_f00349d2036f43b1a9bbd61c448a1994" concept="clcid-cgi:MuJiFaRenGuFenShu" label="募集法人股份数" periodRef="本期期初数" mulRef="_GBC_31620f6bab3942ce8035db3856c88dd6" addr="T0R9C1S1_1" formatStyle="Comma"/>
      <m:item xlName="_GBC_8508dcb735814773a65842004d995bcc" concept="clcid-cgi:GuQuanFenZhiGaiGeQianMuJiFaRenGuFenZhanZongGuBenBiLi" label="募集法人股份占总股本比例" periodRef="本期期初数" addr="T0R9C2S1_1" baseScale="0.01" formatStyle="Comma"/>
      <m:item xlName="_GBC_0f9e9fa0f10e42bf8e4bc8db86d594fa" concept="clcid-cgi:MuJiFaRenGuFenFaXingXinGuBianDongZengJian" label="募集法人股份发行新股变动增减" mulRef="_GBC_31620f6bab3942ce8035db3856c88dd6" addr="T0R9C3S1_1" formatStyle="Comma"/>
      <m:item xlName="_GBC_28299614a50040ad867f901886a7f4ed" concept="clcid-cgi:MuJiFaRenGuFenSongGuBianDongZengJian" label="募集法人股份送股变动增减" mulRef="_GBC_31620f6bab3942ce8035db3856c88dd6" addr="T0R9C4S1_1" formatStyle="Comma"/>
      <m:item xlName="_GBC_ce21b1d4739c4c7f956976dd28d473d2" concept="clcid-cgi:MuJiFaRenGuFenGongJiJinZhuanGuBianDongZengJian" label="募集法人股份公积金转股变动增减" mulRef="_GBC_31620f6bab3942ce8035db3856c88dd6" addr="T0R9C5S1_1" formatStyle="Comma"/>
      <m:item xlName="_GBC_a76b537ab7a546cf9d919149e9c16e9b" concept="clcid-cgi:MuJiFaRenGuFenQiTaBianDongZengJian" label="募集法人股份其他变动增减" mulRef="_GBC_31620f6bab3942ce8035db3856c88dd6" addr="T0R9C6S1_1" formatStyle="Comma"/>
      <m:item xlName="_GBC_5c464fcd3e7d4c4cbecf2af1bcfd6887" concept="clcid-cgi:MuJiFaRenGuFenBianDongZengJianXiaoJi" label="募集法人股份变动增减小计" mulRef="_GBC_31620f6bab3942ce8035db3856c88dd6" addr="T0R9C7S1_1" formatStyle="Comma">
        <m:complexRule comparator="Eq" title="募集法人股份变动增减小计" test=" $_GBC_0f9e9fa0f10e42bf8e4bc8db86d594fa +  $_GBC_28299614a50040ad867f901886a7f4ed +  $_GBC_ce21b1d4739c4c7f956976dd28d473d2 +  $_GBC_a76b537ab7a546cf9d919149e9c16e9b" id="Cd2dcc420cbcb42a8b12ab019d935edb1"/>
      </m:item>
      <m:item xlName="_GBC_6ce643fec874406086ac922cdf841a65" concept="clcid-cgi:MuJiFaRenGuFenShu" label="募集法人股份数" mulRef="_GBC_31620f6bab3942ce8035db3856c88dd6" addr="T0R9C8S1_1" formatStyle="Comma">
        <m:complexRule comparator="Eq" title="6.1_募集法人股份数" test=" $_GBC_f00349d2036f43b1a9bbd61c448a1994 +  $_GBC_5c464fcd3e7d4c4cbecf2af1bcfd6887" id="Cc8289bb2ea3f4490be49797b48911e97"/>
      </m:item>
      <m:item xlName="_GBC_4120f399dafb4aafa204d0a049189222" concept="clcid-cgi:GuQuanFenZhiGaiGeQianMuJiFaRenGuFenZhanZongGuBenBiLi" label="募集法人股份占总股本比例" addr="T0R9C9S1_1" baseScale="0.01" formatStyle="Comma"/>
      <m:placeholder xlName="_PLD_8cd9ae4ce2d4423089b9ba07e674aed0" addr="T0R10C0S1_1"/>
      <m:item xlName="_GBC_8d76a0ba95554c16b72f472ec1b44a45" concept="clcid-cgi:NeiBuZhiGongGuShu" label="内部职工股数" periodRef="本期期初数" mulRef="_GBC_31620f6bab3942ce8035db3856c88dd6" addr="T0R10C1S1_1" formatStyle="Comma"/>
      <m:item xlName="_GBC_e0fb2e2383a1463e8a9e9fb8ffd2f0ed" concept="clcid-cgi:GuQuanFenZhiGaiGeQianNeiBuZhiGongGuZhanZongGuBenBiLi" label="内部职工股占总股本比例" periodRef="本期期初数" addr="T0R10C2S1_1" baseScale="0.01" formatStyle="Comma"/>
      <m:item xlName="_GBC_5bcd2a1fb27d405188ba25ec0c0eac5c" concept="clcid-cgi:NeiBuZhiGongGuFaXingXinGuBianDongZengJian" label="内部职工股发行新股变动增减" mulRef="_GBC_31620f6bab3942ce8035db3856c88dd6" addr="T0R10C3S1_1" formatStyle="Comma"/>
      <m:item xlName="_GBC_c06c36f5afca419a9a3067e8c471c447" concept="clcid-cgi:NeiBuZhiGongGuSongGuBianDongZengJian" label="内部职工股送股变动增减" mulRef="_GBC_31620f6bab3942ce8035db3856c88dd6" addr="T0R10C4S1_1" formatStyle="Comma"/>
      <m:item xlName="_GBC_a65d96f66d7d4868bfc453ae19f31806" concept="clcid-cgi:NeiBuZhiGongGuGongJiJinZhuanGuBianDongZengJian" label="内部职工股公积金转股变动增减" mulRef="_GBC_31620f6bab3942ce8035db3856c88dd6" addr="T0R10C5S1_1" formatStyle="Comma"/>
      <m:item xlName="_GBC_79e132db6bd943e8ac5250db85bca1d2" concept="clcid-cgi:NeiBuZhiGongGuQiTaBianDongZengJian" label="内部职工股其他变动增减" mulRef="_GBC_31620f6bab3942ce8035db3856c88dd6" addr="T0R10C6S1_1" formatStyle="Comma"/>
      <m:item xlName="_GBC_f795beb18d554c258559f5cd5212f99a" concept="clcid-cgi:NeiBuZhiGongGuBianDongZengJianXiaoJi" label="内部职工股变动增减小计" mulRef="_GBC_31620f6bab3942ce8035db3856c88dd6" addr="T0R10C7S1_1" formatStyle="Comma">
        <m:complexRule comparator="Eq" title="内部职工股变动增减小计" test=" $_GBC_5bcd2a1fb27d405188ba25ec0c0eac5c +  $_GBC_c06c36f5afca419a9a3067e8c471c447 +  $_GBC_a65d96f66d7d4868bfc453ae19f31806 +  $_GBC_79e132db6bd943e8ac5250db85bca1d2" id="Cb76cb1cb11a844c78bf04b6c8038f645"/>
      </m:item>
      <m:item xlName="_GBC_60a48cee3a7f4f16b1f6355d166d5357" concept="clcid-cgi:NeiBuZhiGongGuShu" label="内部职工股数" mulRef="_GBC_31620f6bab3942ce8035db3856c88dd6" addr="T0R10C8S1_1" formatStyle="Comma">
        <m:complexRule comparator="Eq" title="6.1_内部职工股数" test=" $_GBC_8d76a0ba95554c16b72f472ec1b44a45 +  $_GBC_f795beb18d554c258559f5cd5212f99a" id="C8f337902fc284eda98b35e070c590224"/>
      </m:item>
      <m:item xlName="_GBC_46282649a8694f6992fbfe88fcd90ace" concept="clcid-cgi:GuQuanFenZhiGaiGeQianNeiBuZhiGongGuZhanZongGuBenBiLi" label="内部职工股占总股本比例" addr="T0R10C9S1_1" baseScale="0.01" formatStyle="Comma"/>
      <m:placeholder xlName="_PLD_eab1e41572f343879e7511d6e1b72815" addr="T0R11C0S1_1"/>
      <m:item xlName="_GBC_5990badd92ef4c23bd7fd1718c1e2230" concept="clcid-cgi:YouXianGuHuoQiTaShu" label="优先股或其他数" periodRef="本期期初数" mulRef="_GBC_31620f6bab3942ce8035db3856c88dd6" addr="T0R11C1S1_1" formatStyle="Comma"/>
      <m:item xlName="_GBC_aa088794331e4463943dd910506be1fe" concept="clcid-cgi:GuQuanFenZhiGaiGeQianYouXianGuHuoQiTaZhanZongGuBenBiLi" label="优先股或其他占总股本比例" periodRef="本期期初数" addr="T0R11C2S1_1" baseScale="0.01" formatStyle="Comma"/>
      <m:item xlName="_GBC_f13d0f8eb443435a894ff1991afe2945" concept="clcid-cgi:YouXianGuHuoQiTaFaXingXinGuBianDongZengJian" label="优先股或其他发行新股变动增减" mulRef="_GBC_31620f6bab3942ce8035db3856c88dd6" addr="T0R11C3S1_1" formatStyle="Comma"/>
      <m:item xlName="_GBC_d76a639b3a9b4f93a690093774a4f381" concept="clcid-cgi:YouXianGuHuoQiTaSongGuBianDongZengJian" label="优先股或其他送股变动增减" mulRef="_GBC_31620f6bab3942ce8035db3856c88dd6" addr="T0R11C4S1_1" formatStyle="Comma"/>
      <m:item xlName="_GBC_4349f5c0922848bca09c7a527cac9eef" concept="clcid-cgi:YouXianGuHuoQiTaGongJiJinZhuanGuBianDongZengJian" label="优先股或其他公积金转股变动增减" mulRef="_GBC_31620f6bab3942ce8035db3856c88dd6" addr="T0R11C5S1_1" formatStyle="Comma"/>
      <m:item xlName="_GBC_aa1bedc943f749199eb0f53dbe031237" concept="clcid-cgi:YouXianGuHuoQiTaQiTaBianDongZengJian" label="优先股或其他其他变动增减" mulRef="_GBC_31620f6bab3942ce8035db3856c88dd6" addr="T0R11C6S1_1" formatStyle="Comma"/>
      <m:item xlName="_GBC_997af581e1004b98a4ac24cba3fd3399" concept="clcid-cgi:YouXianGuHuoQiTaBianDongZengJianXiaoJi" label="优先股或其他变动增减小计" mulRef="_GBC_31620f6bab3942ce8035db3856c88dd6" addr="T0R11C7S1_1" formatStyle="Comma">
        <m:complexRule comparator="Eq" title="优先股或其他变动增减小计" test=" $_GBC_f13d0f8eb443435a894ff1991afe2945 +  $_GBC_d76a639b3a9b4f93a690093774a4f381 +  $_GBC_4349f5c0922848bca09c7a527cac9eef +  $_GBC_aa1bedc943f749199eb0f53dbe031237" id="Ca1b7a6cc4fc14ff1a25ae56c84fa121e"/>
      </m:item>
      <m:item xlName="_GBC_a7a72d2ccb3f4f5e97dcd240329c624a" concept="clcid-cgi:YouXianGuHuoQiTaShu" label="优先股或其他数" mulRef="_GBC_31620f6bab3942ce8035db3856c88dd6" addr="T0R11C8S1_1" formatStyle="Comma">
        <m:complexRule comparator="Eq" title="6.1_优先股或其他数" test=" $_GBC_5990badd92ef4c23bd7fd1718c1e2230 +  $_GBC_997af581e1004b98a4ac24cba3fd3399" id="C75ee980b098d4c76a03ca1dd493a2668"/>
      </m:item>
      <m:item xlName="_GBC_142e2444ed6b49478cffb183c10c001f" concept="clcid-cgi:GuQuanFenZhiGaiGeQianYouXianGuHuoQiTaZhanZongGuBenBiLi" label="优先股或其他占总股本比例" addr="T0R11C9S1_1" baseScale="0.01" formatStyle="Comma"/>
      <m:placeholder xlName="_PLD_a80152f534024d9c9683383b26efca47" addr="T0R12C0S1_1"/>
      <m:item xlName="_GBC_31ac89c970ef4ae285da294c7da40233" concept="clcid-cgi:YiShangShiLiuTongGuFenHeJi" label="已上市流通股份合计" periodRef="本期期初数" mulRef="_GBC_31620f6bab3942ce8035db3856c88dd6" addr="T0R12C1S1_1" formatStyle="Comma">
        <m:complexRule comparator="Eq" title="6.1_已上市流通股份合计_变动前" test=" $_GBC_7701c60f97dc4d709c54f3517545fcd7 +  $_GBC_c3a29c7d335a4ac1971301cd8cda7f4d +  $_GBC_e1173b4c8dc9483db912dcf70d695ed2 +  $_GBC_61404952f9af49a8a1ac75e703dc45bc" id="Ca8d8ff3d74464cf3bccfed22d855d241"/>
      </m:item>
      <m:item xlName="_GBC_55aee02dc14a4a00b0c5e4d11eff3dba" concept="clcid-cgi:GuQuanFenZhiGaiGeQianYiShangShiLiuTongGuFenZhanZongGuBenBiLi" label="已上市流通股份占总股本比例" periodRef="本期期初数" addr="T0R12C2S1_1" baseScale="0.01" formatStyle="Comma">
        <m:complexRule comparator="Eq" title="已上市流通股份占总股本比例@本期期初数" test=" $_GBC_e3f5b18694c141daab2ba35f35d059b9 +  $_GBC_efd7bf47eff64f0e94a0b25233cea37a +  $_GBC_34cab0f292dc4954b2b65525cadc2fa4 +  $_GBC_d12620d25715417b9008315b4260759c" id="C4ac0a7628dac4476b3c2c90a83acd1e0"/>
      </m:item>
      <m:item xlName="_GBC_3dff46fa7cdf40fab64914e110477c8c" concept="clcid-cgi:YiShangShiLiuTongGuFenFaXingXinGuBianDongZengJian" label="已上市流通股份发行新股变动增减" mulRef="_GBC_31620f6bab3942ce8035db3856c88dd6" addr="T0R12C3S1_1" formatStyle="Comma">
        <m:complexRule comparator="Eq" title="已上市流通股份发行新股变动增减" test=" $_GBC_f1736cdcda2d41358e4ba9ed52d131e0 +  $_GBC_b5e34f826db04f569f00f914f4edbf3b +  $_GBC_cf45305ce3ae4bbfbef2e929ed90896f +  $_GBC_b316c818b48e40b188379d5d947ef827" id="C957cc8477ce74d6190493f9dd8217d54"/>
      </m:item>
      <m:item xlName="_GBC_b97c011198c54270a4eeca76cee8ff70" concept="clcid-cgi:YiShangShiLiuTongGuFenSongGuBianDongZengJian" label="已上市流通股份送股变动增减" mulRef="_GBC_31620f6bab3942ce8035db3856c88dd6" addr="T0R12C4S1_1" formatStyle="Comma">
        <m:complexRule comparator="Eq" title="已上市流通股份送股变动增减" test=" $_GBC_a25db8a0cb174191a8becffaa5bca1fe +  $_GBC_d35f557ddc1348d28050da35b0acb317 +  $_GBC_c6f609dfe29b4309b4d46a3cb044a461 +  $_GBC_1b40342a1f454ef7b6624cb46cffe8ef" id="C490f91062f76428eb6eb9b0a29db7b17"/>
      </m:item>
      <m:item xlName="_GBC_fce7590521b6406e8828eb5a665e424e" concept="clcid-cgi:YiShangShiLiuTongGuFenGongJiJinZhuanGuBianDongZengJian" label="已上市流通股份公积金转股变动增减" mulRef="_GBC_31620f6bab3942ce8035db3856c88dd6" addr="T0R12C5S1_1" formatStyle="Comma">
        <m:complexRule comparator="Eq" title="已上市流通股份公积金转股变动增减" test=" $_GBC_efdba62a84ef473a9c6e06c7cd7bdcc8 +  $_GBC_23244a37de5f42cbb6a13652ed24e58a +  $_GBC_4d0e435a23b5422788abdace78730c1f +  $_GBC_dda37cb36cf9425a97b45eeff1247b4f" id="C04271e91ed7e4a9d81dfcd1f3043740f"/>
      </m:item>
      <m:item xlName="_GBC_fdaf62522de94fda8d7fb1234f83135d" concept="clcid-cgi:YiShangShiLiuTongGuFenQiTaBianDongZengJian" label="已上市流通股份其他变动增减" mulRef="_GBC_31620f6bab3942ce8035db3856c88dd6" addr="T0R12C6S1_1" formatStyle="Comma">
        <m:complexRule comparator="Eq" title="已上市流通股份其他变动增减" test=" $_GBC_901e8ddcd4fc4d618f43c84c2241fbbd +  $_GBC_b72646e3a59c4d98a599e8506b5206b3 +  $_GBC_8dfea7454c91400a84098f0b84a9f8db +  $_GBC_b3a589aa13ef4a52850e65526c81cc53" id="C43ae48f061b44c24ae1ae336877f1064"/>
      </m:item>
      <m:item xlName="_GBC_0ba9b7dd723d4363b097c3d20c85d852" concept="clcid-cgi:YiShangShiLiuTongGuFenBianDongZengJianXiaoJi" label="已上市流通股份变动增减小计" mulRef="_GBC_31620f6bab3942ce8035db3856c88dd6" addr="T0R12C7S1_1" formatStyle="Comma">
        <m:complexRule comparator="Eq" title="已上市流通股份变动增减小计" test=" $_GBC_44c9bb06ddfc4b829e71d3b6d87a07b6 +  $_GBC_88abc5d02f224c1b8fd2a3b03ca6f63d +  $_GBC_79cc758a9ce942ccac743c493b0cee24 +  $_GBC_215117605dd345229e2c9280841f0fe1" id="C5ee5730f98e742d7a3b0d107cee390b5"/>
        <m:complexRule comparator="Eq" title="已上市流通股份变动增减小计2" test=" $_GBC_3dff46fa7cdf40fab64914e110477c8c +  $_GBC_b97c011198c54270a4eeca76cee8ff70 +  $_GBC_fce7590521b6406e8828eb5a665e424e +  $_GBC_fdaf62522de94fda8d7fb1234f83135d" id="Cc8313d555f6a4fe58f44594c3d1a0d4d"/>
      </m:item>
      <m:item xlName="_GBC_e94f5df2524f4bc7b8f1b97e0144ac95" concept="clcid-cgi:YiShangShiLiuTongGuFenHeJi" label="已上市流通股份合计" mulRef="_GBC_31620f6bab3942ce8035db3856c88dd6" addr="T0R12C8S1_1" formatStyle="Comma">
        <m:complexRule comparator="Eq" title="6.1_已上市流通股份合计" test=" $_GBC_31ac89c970ef4ae285da294c7da40233 +  $_GBC_0ba9b7dd723d4363b097c3d20c85d852" id="C984a28a2ff7a429098a5b347d077e607"/>
        <m:complexRule comparator="Eq" title="6.1_已上市流通股份合计_纵向" test=" $_GBC_ddff1d3d173a48f1b48ce9d44e0a13c7 +  $_GBC_866f3ab7e4dc46c3b54b5c462384cc02 +  $_GBC_7f4701050b6d409d9f07294ec9f2220a +  $_GBC_f1edc412e22f4a3387bd5d92b0bd7c56" id="Ccf6932ca58fd4092874869ae165af212"/>
      </m:item>
      <m:item xlName="_GBC_bfd9b87f8ac147a2b3fa3761d253a67c" concept="clcid-cgi:GuQuanFenZhiGaiGeQianYiShangShiLiuTongGuFenZhanZongGuBenBiLi" label="已上市流通股份占总股本比例" addr="T0R12C9S1_1" baseScale="0.01" formatStyle="Comma">
        <m:complexRule comparator="Eq" title="已上市流通股份占总股本比例" test=" $_GBC_af509d44d7764a3c92ce20a4368e02fd +  $_GBC_172831305ffd47448897189cd518520b +  $_GBC_33af9b81da6a48e4b32018a77bd7fa62 +  $_GBC_27fb935fd1534d21b1c2db684689d8b4" id="Ccdecf61ab2d84ff28d06f6e3e3888b81"/>
      </m:item>
      <m:placeholder xlName="_PLD_d3a6b503079a460692624979f451af24" addr="T0R13C0S1_1"/>
      <m:item xlName="_GBC_7701c60f97dc4d709c54f3517545fcd7" concept="clcid-cgi:RenMinBiPuTongGuShu" label="人民币普通股数" periodRef="本期期初数" mulRef="_GBC_31620f6bab3942ce8035db3856c88dd6" addr="T0R13C1S1_1" formatStyle="Comma"/>
      <m:item xlName="_GBC_e3f5b18694c141daab2ba35f35d059b9" concept="clcid-cgi:GuQuanFenZhiGaiGeQianRenMinBiPuTongGuZhanZongGuBenBiLi" label="人民币普通股占总股本比例" periodRef="本期期初数" addr="T0R13C2S1_1" baseScale="0.01" formatStyle="Comma"/>
      <m:item xlName="_GBC_f1736cdcda2d41358e4ba9ed52d131e0" concept="clcid-cgi:RenMinBiPuTongGuFaXingXinGuBianDongZengJian" label="人民币普通股发行新股变动增减" mulRef="_GBC_31620f6bab3942ce8035db3856c88dd6" addr="T0R13C3S1_1" formatStyle="Comma"/>
      <m:item xlName="_GBC_a25db8a0cb174191a8becffaa5bca1fe" concept="clcid-cgi:RenMinBiPuTongGuSongGuBianDongZengJian" label="人民币普通股送股变动增减" mulRef="_GBC_31620f6bab3942ce8035db3856c88dd6" addr="T0R13C4S1_1" formatStyle="Comma"/>
      <m:item xlName="_GBC_efdba62a84ef473a9c6e06c7cd7bdcc8" concept="clcid-cgi:RenMinBiPuTongGuGongJiJinZhuanGuBianDongZengJian" label="人民币普通股公积金转股变动增减" mulRef="_GBC_31620f6bab3942ce8035db3856c88dd6" addr="T0R13C5S1_1" formatStyle="Comma"/>
      <m:item xlName="_GBC_901e8ddcd4fc4d618f43c84c2241fbbd" concept="clcid-cgi:RenMinBiPuTongGuQiTaBianDongZengJian" label="人民币普通股其他变动增减" mulRef="_GBC_31620f6bab3942ce8035db3856c88dd6" addr="T0R13C6S1_1" formatStyle="Comma"/>
      <m:item xlName="_GBC_44c9bb06ddfc4b829e71d3b6d87a07b6" concept="clcid-cgi:RenMinBiPuTongGuBianDongZengJianXiaoJi" label="人民币普通股变动增减小计" mulRef="_GBC_31620f6bab3942ce8035db3856c88dd6" addr="T0R13C7S1_1" formatStyle="Comma">
        <m:complexRule comparator="Eq" title="人民币普通股变动增减小计" test=" $_GBC_f1736cdcda2d41358e4ba9ed52d131e0 +  $_GBC_a25db8a0cb174191a8becffaa5bca1fe +  $_GBC_efdba62a84ef473a9c6e06c7cd7bdcc8 +  $_GBC_901e8ddcd4fc4d618f43c84c2241fbbd" id="C86390717a8634027aadb04592845a93a"/>
      </m:item>
      <m:item xlName="_GBC_ddff1d3d173a48f1b48ce9d44e0a13c7" concept="clcid-cgi:RenMinBiPuTongGuShu" label="人民币普通股数" mulRef="_GBC_31620f6bab3942ce8035db3856c88dd6" addr="T0R13C8S1_1" formatStyle="Comma">
        <m:complexRule comparator="Eq" title="6.1_人民币普通股数" test=" $_GBC_7701c60f97dc4d709c54f3517545fcd7 +  $_GBC_44c9bb06ddfc4b829e71d3b6d87a07b6" id="Ce15e93b0a2c64fa2bde65f0bde3c735c"/>
      </m:item>
      <m:item xlName="_GBC_af509d44d7764a3c92ce20a4368e02fd" concept="clcid-cgi:GuQuanFenZhiGaiGeQianRenMinBiPuTongGuZhanZongGuBenBiLi" label="人民币普通股占总股本比例" addr="T0R13C9S1_1" baseScale="0.01" formatStyle="Comma"/>
      <m:placeholder xlName="_PLD_f8f963a0bcc34e7ba111ef23954cea57" addr="T0R14C0S1_1"/>
      <m:item xlName="_GBC_c3a29c7d335a4ac1971301cd8cda7f4d" concept="clcid-cgi:JingNeiShangShiDeWaiZiGuShu" label="境内上市的外资股数" periodRef="本期期初数" mulRef="_GBC_31620f6bab3942ce8035db3856c88dd6" addr="T0R14C1S1_1" formatStyle="Comma"/>
      <m:item xlName="_GBC_efd7bf47eff64f0e94a0b25233cea37a" concept="clcid-cgi:GuQuanFenZhiGaiGeQianJingNeiShangShiDeWaiZiGuZhanZongGuBenBiLi" label="境内上市的外资股占总股本比例" periodRef="本期期初数" addr="T0R14C2S1_1" baseScale="0.01" formatStyle="Comma"/>
      <m:item xlName="_GBC_b5e34f826db04f569f00f914f4edbf3b" concept="clcid-cgi:JingNeiShangShiDeWaiZiGuFaXingXinGuBianDongZengJian" label="境内上市的外资股发行新股变动增减" mulRef="_GBC_31620f6bab3942ce8035db3856c88dd6" addr="T0R14C3S1_1" formatStyle="Comma"/>
      <m:item xlName="_GBC_d35f557ddc1348d28050da35b0acb317" concept="clcid-cgi:JingNeiShangShiDeWaiZiGuSongGuBianDongZengJian" label="境内上市的外资股送股变动增减" mulRef="_GBC_31620f6bab3942ce8035db3856c88dd6" addr="T0R14C4S1_1" formatStyle="Comma"/>
      <m:item xlName="_GBC_23244a37de5f42cbb6a13652ed24e58a" concept="clcid-cgi:JingNeiShangShiDeWaiZiGuGongJiJinZhuanGuBianDongZengJian" label="境内上市的外资股公积金转股变动增减" mulRef="_GBC_31620f6bab3942ce8035db3856c88dd6" addr="T0R14C5S1_1" formatStyle="Comma"/>
      <m:item xlName="_GBC_b72646e3a59c4d98a599e8506b5206b3" concept="clcid-cgi:JingNeiShangShiDeWaiZiGuQiTaBianDongZengJian" label="境内上市的外资股其他变动增减" mulRef="_GBC_31620f6bab3942ce8035db3856c88dd6" addr="T0R14C6S1_1" formatStyle="Comma"/>
      <m:item xlName="_GBC_88abc5d02f224c1b8fd2a3b03ca6f63d" concept="clcid-cgi:JingNeiShangShiDeWaiZiGuBianDongZengJianXiaoJi" label="境内上市的外资股变动增减小计" mulRef="_GBC_31620f6bab3942ce8035db3856c88dd6" addr="T0R14C7S1_1" formatStyle="Comma">
        <m:complexRule comparator="Eq" title="境内上市的外资股变动增减小计" test=" $_GBC_b5e34f826db04f569f00f914f4edbf3b +  $_GBC_d35f557ddc1348d28050da35b0acb317 +  $_GBC_23244a37de5f42cbb6a13652ed24e58a +  $_GBC_b72646e3a59c4d98a599e8506b5206b3" id="Cebd4fef4112e4d3ba0b377b55edb24df"/>
      </m:item>
      <m:item xlName="_GBC_866f3ab7e4dc46c3b54b5c462384cc02" concept="clcid-cgi:JingNeiShangShiDeWaiZiGuShu" label="境内上市的外资股数" mulRef="_GBC_31620f6bab3942ce8035db3856c88dd6" addr="T0R14C8S1_1" formatStyle="Comma">
        <m:complexRule comparator="Eq" title="6.1_境内上市的外资股数" test=" $_GBC_c3a29c7d335a4ac1971301cd8cda7f4d +  $_GBC_88abc5d02f224c1b8fd2a3b03ca6f63d" id="C1887553eb6e148eeae01f6b4ee020ffa"/>
      </m:item>
      <m:item xlName="_GBC_172831305ffd47448897189cd518520b" concept="clcid-cgi:GuQuanFenZhiGaiGeQianJingNeiShangShiDeWaiZiGuZhanZongGuBenBiLi" label="境内上市的外资股占总股本比例" addr="T0R14C9S1_1" baseScale="0.01" formatStyle="Comma"/>
      <m:placeholder xlName="_PLD_fe094f7addec4ec1a56571fde78260ba" addr="T0R15C0S1_1"/>
      <m:item xlName="_GBC_e1173b4c8dc9483db912dcf70d695ed2" concept="clcid-cgi:JingWaiShangShiDeWaiZiGuShu" label="境外上市的外资股数" periodRef="本期期初数" mulRef="_GBC_31620f6bab3942ce8035db3856c88dd6" addr="T0R15C1S1_1" formatStyle="Comma"/>
      <m:item xlName="_GBC_34cab0f292dc4954b2b65525cadc2fa4" concept="clcid-cgi:GuQuanFenZhiGaiGeQianJingWaiShangShiDeWaiZiGuZhanZongGuBenBiLi" label="境外上市的外资股占总股本比例" periodRef="本期期初数" addr="T0R15C2S1_1" baseScale="0.01" formatStyle="Comma"/>
      <m:item xlName="_GBC_cf45305ce3ae4bbfbef2e929ed90896f" concept="clcid-cgi:JingWaiShangShiDeWaiZiGuFaXingXinGuBianDongZengJian" label="境外上市的外资股发行新股变动增减" mulRef="_GBC_31620f6bab3942ce8035db3856c88dd6" addr="T0R15C3S1_1" formatStyle="Comma"/>
      <m:item xlName="_GBC_c6f609dfe29b4309b4d46a3cb044a461" concept="clcid-cgi:JingWaiShangShiDeWaiZiGuSongGuBianDongZengJian" label="境外上市的外资股送股变动增减" mulRef="_GBC_31620f6bab3942ce8035db3856c88dd6" addr="T0R15C4S1_1" formatStyle="Comma"/>
      <m:item xlName="_GBC_4d0e435a23b5422788abdace78730c1f" concept="clcid-cgi:JingWaiShangShiDeWaiZiGuGongJiJinZhuanGuBianDongZengJian" label="境外上市的外资股公积金转股变动增减" mulRef="_GBC_31620f6bab3942ce8035db3856c88dd6" addr="T0R15C5S1_1" formatStyle="Comma"/>
      <m:item xlName="_GBC_8dfea7454c91400a84098f0b84a9f8db" concept="clcid-cgi:JingWaiShangShiDeWaiZiGuQiTaBianDongZengJian" label="境外上市的外资股其他变动增减" mulRef="_GBC_31620f6bab3942ce8035db3856c88dd6" addr="T0R15C6S1_1" formatStyle="Comma"/>
      <m:item xlName="_GBC_79cc758a9ce942ccac743c493b0cee24" concept="clcid-cgi:JingWaiShangShiDeWaiZiGuBianDongZengJianXiaoJi" label="境外上市的外资股变动增减小计" mulRef="_GBC_31620f6bab3942ce8035db3856c88dd6" addr="T0R15C7S1_1" formatStyle="Comma">
        <m:complexRule comparator="Eq" title="境外上市的外资股变动增减小计" test=" $_GBC_cf45305ce3ae4bbfbef2e929ed90896f +  $_GBC_c6f609dfe29b4309b4d46a3cb044a461 +  $_GBC_4d0e435a23b5422788abdace78730c1f +  $_GBC_8dfea7454c91400a84098f0b84a9f8db" id="C0460997938914e5794589765adf512a5"/>
      </m:item>
      <m:item xlName="_GBC_7f4701050b6d409d9f07294ec9f2220a" concept="clcid-cgi:JingWaiShangShiDeWaiZiGuShu" label="境外上市的外资股数" mulRef="_GBC_31620f6bab3942ce8035db3856c88dd6" addr="T0R15C8S1_1" formatStyle="Comma">
        <m:complexRule comparator="Eq" title="6.1_境外上市的外资股数" test=" $_GBC_e1173b4c8dc9483db912dcf70d695ed2 +  $_GBC_79cc758a9ce942ccac743c493b0cee24" id="Cec80195daf98494ba07025075e8f6eb2"/>
      </m:item>
      <m:item xlName="_GBC_33af9b81da6a48e4b32018a77bd7fa62" concept="clcid-cgi:GuQuanFenZhiGaiGeQianJingWaiShangShiDeWaiZiGuZhanZongGuBenBiLi" label="境外上市的外资股占总股本比例" addr="T0R15C9S1_1" baseScale="0.01" formatStyle="Comma"/>
      <m:placeholder xlName="_PLD_c4791473aa654449844b388f8c363d4e" addr="T0R16C0S1_1"/>
      <m:item xlName="_GBC_61404952f9af49a8a1ac75e703dc45bc" concept="clcid-cgi:QiTaYiShangShiLiuTongGuFenShu" label="其他已上市流通股份数" periodRef="本期期初数" mulRef="_GBC_31620f6bab3942ce8035db3856c88dd6" addr="T0R16C1S1_1" formatStyle="Comma"/>
      <m:item xlName="_GBC_d12620d25715417b9008315b4260759c" concept="clcid-cgi:GuQuanFenZhiGaiGeQianQiTaYiShangShiLiuTongGuFenZhanZongGuBenBiLi" label="其他已上市流通股份占总股本比例" periodRef="本期期初数" addr="T0R16C2S1_1" baseScale="0.01" formatStyle="Comma"/>
      <m:item xlName="_GBC_b316c818b48e40b188379d5d947ef827" concept="clcid-cgi:QiTaYiShangShiLiuTongGuFaXingXinGuBianDongZengJian" label="其他已上市流通股发行新股变动增减" mulRef="_GBC_31620f6bab3942ce8035db3856c88dd6" addr="T0R16C3S1_1" formatStyle="Comma"/>
      <m:item xlName="_GBC_1b40342a1f454ef7b6624cb46cffe8ef" concept="clcid-cgi:QiTaYiShangShiLiuTongGuSongGuBianDongZengJian" label="其他已上市流通股送股变动增减" mulRef="_GBC_31620f6bab3942ce8035db3856c88dd6" addr="T0R16C4S1_1" formatStyle="Comma"/>
      <m:item xlName="_GBC_dda37cb36cf9425a97b45eeff1247b4f" concept="clcid-cgi:QiTaYiShangShiLiuTongGuGongJiJinZhuanGuBianDongZengJian" label="其他已上市流通股公积金转股变动增减" mulRef="_GBC_31620f6bab3942ce8035db3856c88dd6" addr="T0R16C5S1_1" formatStyle="Comma"/>
      <m:item xlName="_GBC_b3a589aa13ef4a52850e65526c81cc53" concept="clcid-cgi:QiTaYiShangShiLiuTongGuQiTaBianDongZengJian" label="其他已上市流通股其他变动增减" mulRef="_GBC_31620f6bab3942ce8035db3856c88dd6" addr="T0R16C6S1_1" formatStyle="Comma"/>
      <m:item xlName="_GBC_215117605dd345229e2c9280841f0fe1" concept="clcid-cgi:QiTaYiShangShiLiuTongGuBianDongZengJianXiaoJi" label="其他已上市流通股变动增减小计" mulRef="_GBC_31620f6bab3942ce8035db3856c88dd6" addr="T0R16C7S1_1" formatStyle="Comma">
        <m:complexRule comparator="Eq" title="其他已上市流通股变动增减小计" test=" $_GBC_b316c818b48e40b188379d5d947ef827 +  $_GBC_1b40342a1f454ef7b6624cb46cffe8ef +  $_GBC_dda37cb36cf9425a97b45eeff1247b4f +  $_GBC_b3a589aa13ef4a52850e65526c81cc53" id="Cdfecb147e5fb481185130ef10f090e99"/>
      </m:item>
      <m:item xlName="_GBC_f1edc412e22f4a3387bd5d92b0bd7c56" concept="clcid-cgi:QiTaYiShangShiLiuTongGuFenShu" label="其他已上市流通股份数" mulRef="_GBC_31620f6bab3942ce8035db3856c88dd6" addr="T0R16C8S1_1" formatStyle="Comma">
        <m:complexRule comparator="Eq" title="6.1_其他已上市流通股份数" test=" $_GBC_61404952f9af49a8a1ac75e703dc45bc +  $_GBC_215117605dd345229e2c9280841f0fe1" id="C1b9ae8a3b68c47268a7746d3ad737e42"/>
      </m:item>
      <m:item xlName="_GBC_27fb935fd1534d21b1c2db684689d8b4" concept="clcid-cgi:GuQuanFenZhiGaiGeQianQiTaYiShangShiLiuTongGuFenZhanZongGuBenBiLi" label="其他已上市流通股份占总股本比例" addr="T0R16C9S1_1" baseScale="0.01" formatStyle="Comma"/>
      <m:placeholder xlName="_PLD_7b03585ffa53466eb935af0c9e5018f0" addr="T0R17C0S1_1"/>
      <m:item xlName="_GBC_58adda7a96e1436fafde0169c0b25682" concept="clcid-cgi:GuFenZongShu" label="股份总数" periodRef="本期期初数" mulRef="_GBC_31620f6bab3942ce8035db3856c88dd6" addr="T0R17C1S1_1" formatStyle="Comma">
        <m:complexRule comparator="Eq" title="6.1_股份总数_变动前_纵向" test=" $_GBC_7ec34b2fea964c3994a08f7b2bbc54ce +  $_GBC_31ac89c970ef4ae285da294c7da40233" id="Cde8c28af70eb4e18bd0f2f18f912cb9d"/>
      </m:item>
      <m:item xlName="_GBC_7a345fc2aee34462a7583a79f3df3b23" concept="clcid-cgi:GuFenZongShuZhanZongGuBenBiLi" label="股份总数占总股本比例" periodRef="本期期初数" addr="T0R17C2S1_1" baseScale="0.01" formatStyle="Comma">
        <m:complexRule comparator="Eq" title="股份总数占总股本比例@本期期初数" test=" $_GBC_d3b10c7d23b14251846fd1c9a54efcde +  $_GBC_55aee02dc14a4a00b0c5e4d11eff3dba" id="C4172bc656a22403e9d0d9343ef6f8da4"/>
      </m:item>
      <m:item xlName="_GBC_80117887e86349a8b04f19ca4bcffd99" concept="clcid-cgi:GuFenZongShuFaXingXinGuBianDongZengJian" label="股份总数发行新股变动增减" mulRef="_GBC_31620f6bab3942ce8035db3856c88dd6" addr="T0R17C3S1_1" formatStyle="Comma">
        <m:complexRule comparator="Eq" title="股份总数发行新股变动增减" test=" $_GBC_df554446ac134fc9a71165877893a24c +  $_GBC_3dff46fa7cdf40fab64914e110477c8c" id="Cae0b373929354940b980a351b6e7b1ac"/>
      </m:item>
      <m:item xlName="_GBC_d033f46eca8140d28fbbf236ee82310f" concept="clcid-cgi:GuFenZongShuSongGuBianDongZengJian" label="股份总数送股变动增减" mulRef="_GBC_31620f6bab3942ce8035db3856c88dd6" addr="T0R17C4S1_1" formatStyle="Comma">
        <m:complexRule comparator="Eq" title="股份总数送股变动增减" test=" $_GBC_dfbfe75d0e0d4848b22cd0c1c4ab890b +  $_GBC_b97c011198c54270a4eeca76cee8ff70" id="Cf73d7d8accd34c6c9e866ab6a1864c87"/>
      </m:item>
      <m:item xlName="_GBC_ac148b0e1d274706893b9baa9b67e555" concept="clcid-cgi:GuFenZongShuGongJiJinZhuanGuBianDongZengJian" label="股份总数公积金转股变动增减" mulRef="_GBC_31620f6bab3942ce8035db3856c88dd6" addr="T0R17C5S1_1" formatStyle="Comma">
        <m:complexRule comparator="Eq" title="股份总数公积金转股变动增减" test=" $_GBC_e41e0f21ce6f4fb2852f661668e3cf53 +  $_GBC_fce7590521b6406e8828eb5a665e424e" id="C7b55d3d1e2d54018a75f70b38ed9b0a8"/>
      </m:item>
      <m:item xlName="_GBC_49ca176f381d41d292d4c6daa3212de2" concept="clcid-cgi:GuFenZongShuQiTaBianDongZengJian" label="股份总数其他变动增减" mulRef="_GBC_31620f6bab3942ce8035db3856c88dd6" addr="T0R17C6S1_1" formatStyle="Comma">
        <m:complexRule comparator="Eq" title="股份总数其他变动增减" test=" $_GBC_42a6a141eeb4463997872b76e4963299 +  $_GBC_fdaf62522de94fda8d7fb1234f83135d" id="C3a9c2e36c1184597a9133939a6ca994d"/>
      </m:item>
      <m:item xlName="_GBC_ca7378bb84f543ca84999875769eba66" concept="clcid-cgi:GuFenZongShuBianDongZengJianXiaoJi" label="股份总数变动增减小计" mulRef="_GBC_31620f6bab3942ce8035db3856c88dd6" addr="T0R17C7S1_1" formatStyle="Comma">
        <m:complexRule comparator="Eq" title="股份总数变动增减小计_纵向" test=" $_GBC_982f43637a514dc48ea9193faed780a9 +  $_GBC_0ba9b7dd723d4363b097c3d20c85d852" id="C0b8329143a444fe1b2d1173ca28e771a"/>
        <m:complexRule comparator="Eq" title="股份总数变动增减小计_横向" test=" $_GBC_80117887e86349a8b04f19ca4bcffd99 +  $_GBC_d033f46eca8140d28fbbf236ee82310f +  $_GBC_ac148b0e1d274706893b9baa9b67e555 +  $_GBC_49ca176f381d41d292d4c6daa3212de2" id="C175a6bad53d442f38a55c4e5d8cbbb81"/>
      </m:item>
      <m:item xlName="_GBC_2010fcee14664a1c8aad167401f7fe6e" concept="clcid-cgi:GuFenZongShu" label="股份总数" mulRef="_GBC_31620f6bab3942ce8035db3856c88dd6" addr="T0R17C8S1_1" formatStyle="Comma">
        <m:complexRule comparator="Eq" title="6.1_股份总数" test=" $_GBC_58adda7a96e1436fafde0169c0b25682 +  $_GBC_ca7378bb84f543ca84999875769eba66" id="C8821490cd8794d6382e8dd65df52c545"/>
        <m:complexRule comparator="Eq" title="6.1_股份总数_纵向" test=" $_GBC_1b69cb0353ec42f9ade75444a96dc975 +  $_GBC_e94f5df2524f4bc7b8f1b97e0144ac95" id="Cd4ce3d70431c470fb6e1621eff1a30b7"/>
      </m:item>
      <m:item xlName="_GBC_8223b8e9136e4f69b22ed6c453b9ca59" concept="clcid-cgi:GuFenZongShuZhanZongGuBenBiLi" label="股份总数占总股本比例" addr="T0R17C9S1_1" baseScale="0.01" formatStyle="Comma">
        <m:complexRule comparator="Eq" title="股份总数占总股本比例" test=" $_GBC_9b68ec991e844f8db3f9684dd10df6d5 +  $_GBC_bfd9b87f8ac147a2b3fa3761d253a67c" id="Cb30efc5f3b2e43ff96506fcc12b59228"/>
      </m:item>
    </m:section>
    <m:section xlName="_GBC_f9397743097a41aeb54f7cc576d0c924" title="股份变动情况表(已完成或不涉及股改)" rules="R2015_R6_001" checkKey="!未发生变化&amp;!未上市流通股份" helpId="104001001" primarySection="_GBC_dd8bc2a0b3ed4147a1e657cdc8573344" optionText="股份有变化,已完成股权分置改革或不涉及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item xlName="_GBC_649f6bada42647f7be991e46e2b2e42d" concept="clcid-ci-ar:DanWeiGuFenBianDongQingKuangBiao" label="单位：股份变动情况表" selectOptions="e5ff0938481c4e57a5dbc66853be82ef" controlType="Combobox" cellType="Scale"/>
      <m:placeholder xlName="_PLD_1d3571976c514fb18cb081806befcec3" addr="T0R0C1S1_2"/>
      <m:placeholder xlName="_PLD_f954d926be3144c9ae3f8e8632aa9d60" addr="T0R0C3S1_5"/>
      <m:placeholder xlName="_PLD_cec7316485294778b9434173c325ba5e" addr="T0R0C8S1_2"/>
      <m:placeholder xlName="_PLD_988f8052801b48dbbfb8723a148d46cc" addr="T0R1C1S1_1"/>
      <m:placeholder xlName="_PLD_cc8dc17fd4d4489393b7d886bbaba2ae" addr="T0R1C2S1_1"/>
      <m:placeholder xlName="_PLD_819ab102e7454eaeaeeb2e735bb58a47" addr="T0R1C3S1_1"/>
      <m:placeholder xlName="_PLD_ca852324ba5846e4a03f00a70d2419b6" addr="T0R1C4S1_1"/>
      <m:placeholder xlName="_PLD_256901472d194e72bb27b5c58bda16f6" addr="T0R1C5S1_1"/>
      <m:placeholder xlName="_PLD_19719ecd361d42b8b1c40359981df642" addr="T0R1C6S1_1"/>
      <m:placeholder xlName="_PLD_3813d11427a043ca89700d021749eb26" addr="T0R1C7S1_1"/>
      <m:placeholder xlName="_PLD_8ff8f75dfeaa4bf2a6068460efe092f4" addr="T0R1C8S1_1"/>
      <m:placeholder xlName="_PLD_e100c0c8ad354419b737193b7eb5de7f" addr="T0R1C9S1_1"/>
      <m:placeholder xlName="_PLD_621a216776da4cfd878061824b8c5ef1" addr="T0R2C0S1_1"/>
      <m:item xlName="_GBC_be3140538cb84735bc9dec8642d6d5a4" concept="clcid-cgi:GuQuanFenZhiGaiGeHouYouXianShouTiaoJianLiuTongGuShu" label="有限售条件流通股数" periodRef="本期期初数" mulRef="_GBC_649f6bada42647f7be991e46e2b2e42d" addr="T0R2C1S1_1" formatStyle="Comma">
        <m:complexRule comparator="Eq" title="6.1_有限售条件流通股数_变动前_纵向" test=" $_GBC_69491d3eefe54154b83a3e251c5a60ba +  $_GBC_11dd80b515e94695af99644af0e9c5a6 +  $_GBC_dd9de4ffef2749b28afe37c7f4e4d740 +  $_GBC_a39742b13a7a47bc9eb535b437804c91" id="C370b12c4921e453fbd2c2455df594c65"/>
      </m:item>
      <m:item xlName="_GBC_abd816e9f72343b58aaeb6f2cfd323e6" concept="clcid-cgi:GuQuanFenZhiGaiGeHouYouXianShouTiaoJianLiuTongGuZhanZongGuBenBiLi" label="有限售条件流通股占总股本比例" periodRef="本期期初数" addr="T0R2C2S1_1" baseScale="0.01" formatStyle="Comma"/>
      <m:item xlName="_GBC_4369dc21935f4eb68107706f58019702" concept="clcid-cgi:GuQuanFenZhiGaiGeHouYouXianShouTiaoJianLiuTongGuFaXingXinGuBianDongZengJian" label="有限售条件流通股发行新股变动增减" mulRef="_GBC_649f6bada42647f7be991e46e2b2e42d" addr="T0R2C3S1_1" formatStyle="Comma"/>
      <m:item xlName="_GBC_99a171d3165c4a5f81939af504284a96" concept="clcid-cgi:GuQuanFenZhiGaiGeHouYouXianShouTiaoJianLiuTongGuSongGuBianDongZengJian" label="有限售条件流通股送股变动增减" mulRef="_GBC_649f6bada42647f7be991e46e2b2e42d" addr="T0R2C4S1_1" formatStyle="Comma"/>
      <m:item xlName="_GBC_f6d75e9c413348bea931984b8731f846" concept="clcid-cgi:GuQuanFenZhiGaiGeHouYouXianShouTiaoJianLiuTongGuGongJiJinZhuanGuBianDongZengJian" label="有限售条件流通股公积金转股变动增减" mulRef="_GBC_649f6bada42647f7be991e46e2b2e42d" addr="T0R2C5S1_1" formatStyle="Comma"/>
      <m:item xlName="_GBC_17bd3b30f37f427398cb86867782ae52" concept="clcid-cgi:GuQuanFenZhiGaiGeHouYouXianShouTiaoJianLiuTongGuQiTaBianDongZengJian" label="有限售条件流通股其他变动增减" mulRef="_GBC_649f6bada42647f7be991e46e2b2e42d" addr="T0R2C6S1_1" formatStyle="Comma"/>
      <m:item xlName="_GBC_b56b0c75ad8546548a7ae47ccf2e2ba7" concept="clcid-cgi:GuQuanFenZhiGaiGeHouYouXianShouTiaoJianLiuTongGuBianDongZengJianXiaoJi" label="有限售条件流通股变动增减小计" mulRef="_GBC_649f6bada42647f7be991e46e2b2e42d" addr="T0R2C7S1_1" formatStyle="Comma">
        <m:complexRule comparator="Eq" title="6.1_有限售条件流通股变动增减小计" test=" $_GBC_246880bcb0e14b3a843febcaabbb572f +  $_GBC_b91a5a80aa1d467a9cd89daaa931b8d9 +  $_GBC_be575c0774464b729cf709d6a8c5c0c4 +  $_GBC_e0b922d590ad4065bc7d10c9f8c34723" id="C4305e952fc4547f2a6b416489a4e9afb"/>
      </m:item>
      <m:item xlName="_GBC_1f300925417349a79f0cc13c7f1ab4d4" concept="clcid-cgi:GuQuanFenZhiGaiGeHouYouXianShouTiaoJianLiuTongGuShu" label="有限售条件流通股数" mulRef="_GBC_649f6bada42647f7be991e46e2b2e42d" addr="T0R2C8S1_1" formatStyle="Comma">
        <m:complexRule comparator="Eq" title="6.1_有限售条件流通股数" test=" $_GBC_be3140538cb84735bc9dec8642d6d5a4 +  $_GBC_b56b0c75ad8546548a7ae47ccf2e2ba7" id="Ca96774eeef054e42afd30aa8a1bc41aa"/>
        <m:complexRule comparator="Eq" title="6.1_有限售条件流通股_纵向" test=" $_GBC_346e059e28f045709731451cde70e728 +  $_GBC_c8fd746d01414c10a2d9a2055b8ba54e +  $_GBC_60ac4192fdef4de9a3a9d5dff3d5505c +  $_GBC_36566b7e600f410d9cc812107a886cbb" id="C7a323a27b46546009a1e040c549902f5"/>
      </m:item>
      <m:item xlName="_GBC_4f3a43d6423d42b69a0f1cb1a3d64cdc" concept="clcid-cgi:GuQuanFenZhiGaiGeHouYouXianShouTiaoJianLiuTongGuZhanZongGuBenBiLi" label="有限售条件流通股占总股本比例" addr="T0R2C9S1_1" baseScale="0.01" formatStyle="Comma"/>
      <m:placeholder xlName="_PLD_825e374a10b04cd8b646fb0b790744ee" addr="T0R3C0S1_1"/>
      <m:item xlName="_GBC_69491d3eefe54154b83a3e251c5a60ba" concept="clcid-cgi:GuQuanFenZhiGaiGeHouYouXianShouTiaoJianLiuTongGuGuoJiaChiYouGuFenShu" label="国家持有的有限售条件流通股份数" periodRef="本期期初数" mulRef="_GBC_649f6bada42647f7be991e46e2b2e42d" addr="T0R3C1S1_1" formatStyle="Comma"/>
      <m:item xlName="_GBC_edb1d3a774324d029a663effa408e7c2" concept="clcid-cgi:GuQuanFenZhiGaiGeHouYouXianShouTiaoJianLiuTongGuGuoJiaChiYouGuFenZhanZongGuBenBiLi" label="国家持有的有限售条件流通股份占总股本比例" periodRef="本期期初数" addr="T0R3C2S1_1" baseScale="0.01" formatStyle="Comma"/>
      <m:item xlName="_GBC_27bc426fa5d643fb990ee9a2a8f4f898" concept="clcid-cgi:GuQuanFenZhiGaiGeHouGuoJiaChiYouDeYouXianShouTiaoJianLiuTongGuFaXingXinGuBianDongZengJian" label="国家持有的有限售条件流通股发行新股变动增减" mulRef="_GBC_649f6bada42647f7be991e46e2b2e42d" addr="T0R3C3S1_1" formatStyle="Comma"/>
      <m:item xlName="_GBC_746c8aaf13654768b24a4ae5b8712b4b" concept="clcid-cgi:GuQuanFenZhiGaiGeHouGuoJiaChiYouDeYouXianShouTiaoJianLiuTongGuSongGuBianDongZengJian" label="国家持有的有限售条件流通股送股变动增减" mulRef="_GBC_649f6bada42647f7be991e46e2b2e42d" addr="T0R3C4S1_1" formatStyle="Comma"/>
      <m:item xlName="_GBC_e82b55ea8fcd4e70bc9a6dbf1e63ca26" concept="clcid-cgi:GuQuanFenZhiGaiGeHouGuoJiaChiYouDeYouXianShouTiaoJianLiuTongGuGongJiJinZhuanGuBianDongZengJian" label="国家持有的有限售条件流通股公积金转股变动增减" mulRef="_GBC_649f6bada42647f7be991e46e2b2e42d" addr="T0R3C5S1_1" formatStyle="Comma"/>
      <m:item xlName="_GBC_11d28d73bcd94a29bf177732cd83b3b1" concept="clcid-cgi:GuQuanFenZhiGaiGeHouGuoJiaChiYouDeYouXianShouTiaoJianLiuTongGuQiTaBianDongZengJian" label="国家持有的有限售条件流通股其他变动增减" mulRef="_GBC_649f6bada42647f7be991e46e2b2e42d" addr="T0R3C6S1_1" formatStyle="Comma"/>
      <m:item xlName="_GBC_246880bcb0e14b3a843febcaabbb572f" concept="clcid-cgi:GuQuanFenZhiGaiGeHouGuoJiaChiYouDeYouXianShouTiaoJianLiuTongGuBianDongZengJianXiaoJi" label="国家持有的有限售条件流通股变动增减小计" mulRef="_GBC_649f6bada42647f7be991e46e2b2e42d" addr="T0R3C7S1_1" formatStyle="Comma"/>
      <m:item xlName="_GBC_346e059e28f045709731451cde70e728" concept="clcid-cgi:GuQuanFenZhiGaiGeHouYouXianShouTiaoJianLiuTongGuGuoJiaChiYouGuFenShu" label="国家持有的有限售条件流通股份数" mulRef="_GBC_649f6bada42647f7be991e46e2b2e42d" addr="T0R3C8S1_1" formatStyle="Comma">
        <m:complexRule comparator="Eq" title="6.1_国家持有的有限售条件流通股份数" test=" $_GBC_69491d3eefe54154b83a3e251c5a60ba +  $_GBC_246880bcb0e14b3a843febcaabbb572f" id="C296f2db8879641cea653f73169374413"/>
      </m:item>
      <m:item xlName="_GBC_8b3e615a470a446e8ed4fe97d68dc4b0" concept="clcid-cgi:GuQuanFenZhiGaiGeHouYouXianShouTiaoJianLiuTongGuGuoJiaChiYouGuFenZhanZongGuBenBiLi" label="国家持有的有限售条件流通股份占总股本比例" addr="T0R3C9S1_1" baseScale="0.01" formatStyle="Comma"/>
      <m:placeholder xlName="_PLD_e9367609fbe840d5b2eaeeabe5e068f8" addr="T0R4C0S1_1"/>
      <m:item xlName="_GBC_11dd80b515e94695af99644af0e9c5a6" concept="clcid-cgi:GuQuanFenZhiGaiGeHouYouXianShouTiaoJianLiuTongGuGuoYouFaRenGuFenShu" label="国有法人持有的有限售条件流通股份数" periodRef="本期期初数" mulRef="_GBC_649f6bada42647f7be991e46e2b2e42d" addr="T0R4C1S1_1" formatStyle="Comma"/>
      <m:item xlName="_GBC_6509c1356f1744f0b7e9364826ce061e" concept="clcid-cgi:GuQuanFenZhiGaiGeHouYouXianShouTiaoJianLiuTongGuGuoYouFaRenGuFenZhanZongGuBenBiLi" label="国有法人持有的有限售条件流通股份占总股本比例" periodRef="本期期初数" addr="T0R4C2S1_1" baseScale="0.01" formatStyle="Comma"/>
      <m:item xlName="_GBC_e6636ad4e97f4f0cae16959cdc5d837e" concept="clcid-cgi:GuQuanFenZhiGaiGeHouGuoYouFaRenChiYouDeYouXianShouTiaoJianLiuTongGuFaXingXinGuBianDongZengJian" label="国有法人持有的有限售条件流通股发行新股变动增减" mulRef="_GBC_649f6bada42647f7be991e46e2b2e42d" addr="T0R4C3S1_1" formatStyle="Comma"/>
      <m:item xlName="_GBC_3f8dd12f1fe049848f7cd6b21e9a7825" concept="clcid-cgi:GuQuanFenZhiGaiGeHouGuoYouFaRenChiYouDeYouXianShouTiaoJianLiuTongGuSongGuBianDongZengJian" label="国有法人持有的有限售条件流通股送股变动增减" mulRef="_GBC_649f6bada42647f7be991e46e2b2e42d" addr="T0R4C4S1_1" formatStyle="Comma"/>
      <m:item xlName="_GBC_07e226d2935442dbaf58d6e5740825db" concept="clcid-cgi:GuQuanFenZhiGaiGeHouGuoYouFaRenChiYouDeYouXianShouTiaoJianLiuTongGuGongJiJinZhuanGuBianDongZengJian" label="国有法人持有的有限售条件流通股公积金转股变动增减" mulRef="_GBC_649f6bada42647f7be991e46e2b2e42d" addr="T0R4C5S1_1" formatStyle="Comma"/>
      <m:item xlName="_GBC_ae89dd6944e042419ba0ce66e21ef263" concept="clcid-cgi:GuQuanFenZhiGaiGeHouGuoYouFaRenChiYouDeYouXianShouTiaoJianLiuTongGuQiTaBianDongZengJian" label="国有法人持有的有限售条件流通股其他变动增减" mulRef="_GBC_649f6bada42647f7be991e46e2b2e42d" addr="T0R4C6S1_1" formatStyle="Comma"/>
      <m:item xlName="_GBC_b91a5a80aa1d467a9cd89daaa931b8d9" concept="clcid-cgi:GuQuanFenZhiGaiGeHouGuoYouFaRenChiYouDeYouXianShouTiaoJianLiuTongGuBianDongZengJianXiaoJi" label="国有法人持有的有限售条件流通股变动增减小计" mulRef="_GBC_649f6bada42647f7be991e46e2b2e42d" addr="T0R4C7S1_1" formatStyle="Comma"/>
      <m:item xlName="_GBC_c8fd746d01414c10a2d9a2055b8ba54e" concept="clcid-cgi:GuQuanFenZhiGaiGeHouYouXianShouTiaoJianLiuTongGuGuoYouFaRenGuFenShu" label="国有法人持有的有限售条件流通股份数" mulRef="_GBC_649f6bada42647f7be991e46e2b2e42d" addr="T0R4C8S1_1" formatStyle="Comma">
        <m:complexRule comparator="Eq" title="6.1_国有法人持有的有限售条件流通股份数" test=" $_GBC_11dd80b515e94695af99644af0e9c5a6 +  $_GBC_b91a5a80aa1d467a9cd89daaa931b8d9" id="Cb309327f5de045248e65026ad9cbb749"/>
      </m:item>
      <m:item xlName="_GBC_db1903b2940b4fe69278e1eaea02b88f" concept="clcid-cgi:GuQuanFenZhiGaiGeHouYouXianShouTiaoJianLiuTongGuGuoYouFaRenGuFenZhanZongGuBenBiLi" label="国有法人持有的有限售条件流通股份占总股本比例" addr="T0R4C9S1_1" baseScale="0.01" formatStyle="Comma"/>
      <m:placeholder xlName="_PLD_394e7d2a99854fa785f7d22ad2bcf2df" addr="T0R5C0S1_1"/>
      <m:item xlName="_GBC_dd9de4ffef2749b28afe37c7f4e4d740" concept="clcid-cgi:GuQuanFenZhiGaiGeHouYouXianShouTiaoJianLiuTongGuQiTaNeiZiGuFenShu" label="其他有限售条件的内资流通股份数" periodRef="本期期初数" mulRef="_GBC_649f6bada42647f7be991e46e2b2e42d" addr="T0R5C1S1_1" formatStyle="Comma"/>
      <m:item xlName="_GBC_bdf1c733901b4249b0428e72d6739a74" concept="clcid-cgi:GuQuanFenZhiGaiGeHouYouXianShouTiaoJianLiuTongGuQiTaNeiZiGuFenZhanZongGuBenBiLi" label="其他有限售条件的内资流通股份占总股本比例" periodRef="本期期初数" addr="T0R5C2S1_1" baseScale="0.01" formatStyle="Comma"/>
      <m:item xlName="_GBC_d9c40601c1434b5589643eb82b11c3f4" concept="clcid-cgi:GuQuanFenZhiGaiGeHouQiTaYouXianShouTiaoJianDeNeiZiLiuTongGuFaXingXinGuBianDongZengJian" label="其他有限售条件的内资流通股发行新股变动增减" mulRef="_GBC_649f6bada42647f7be991e46e2b2e42d" addr="T0R5C3S1_1" formatStyle="Comma"/>
      <m:item xlName="_GBC_8baa57575b3d4892ad321aa304e5cdfa" concept="clcid-cgi:GuQuanFenZhiGaiGeHouQiTaYouXianShouTiaoJianDeNeiZiLiuTongGuSongGuBianDongZengJian" label="其他有限售条件的内资流通股送股变动增减" mulRef="_GBC_649f6bada42647f7be991e46e2b2e42d" addr="T0R5C4S1_1" formatStyle="Comma"/>
      <m:item xlName="_GBC_7dc5256f7a0b4403bdb12c525a1494bc" concept="clcid-cgi:GuQuanFenZhiGaiGeHouQiTaYouXianShouTiaoJianDeNeiZiLiuTongGuGongJiJinZhuanGuBianDongZengJian" label="其他有限售条件的内资流通股公积金转股变动增减" mulRef="_GBC_649f6bada42647f7be991e46e2b2e42d" addr="T0R5C5S1_1" formatStyle="Comma"/>
      <m:item xlName="_GBC_1abefd7a8c3c40289bda5a8d9e8c8ec6" concept="clcid-cgi:GuQuanFenZhiGaiGeHouQiTaYouXianShouTiaoJianDeNeiZiLiuTongGuQiTaBianDongZengJian" label="其他有限售条件的内资流通股其他变动增减" mulRef="_GBC_649f6bada42647f7be991e46e2b2e42d" addr="T0R5C6S1_1" formatStyle="Comma"/>
      <m:item xlName="_GBC_be575c0774464b729cf709d6a8c5c0c4" concept="clcid-cgi:GuQuanFenZhiGaiGeHouQiTaYouXianShouTiaoJianDeNeiZiLiuTongGuBianDongZengJianXiaoJi" label="其他有限售条件的内资流通股变动增减小计" mulRef="_GBC_649f6bada42647f7be991e46e2b2e42d" addr="T0R5C7S1_1" formatStyle="Comma"/>
      <m:item xlName="_GBC_60ac4192fdef4de9a3a9d5dff3d5505c" concept="clcid-cgi:GuQuanFenZhiGaiGeHouYouXianShouTiaoJianLiuTongGuQiTaNeiZiGuFenShu" label="其他有限售条件的内资流通股份数" mulRef="_GBC_649f6bada42647f7be991e46e2b2e42d" addr="T0R5C8S1_1" formatStyle="Comma">
        <m:complexRule comparator="Eq" title="6.1_其他有限售条件的内资流通股份数" test=" $_GBC_dd9de4ffef2749b28afe37c7f4e4d740 +  $_GBC_be575c0774464b729cf709d6a8c5c0c4" id="C14f058673a2b473da4340d2873ca033f"/>
      </m:item>
      <m:item xlName="_GBC_4ac6d0eda5e44871b4257bbe38f30c9c" concept="clcid-cgi:GuQuanFenZhiGaiGeHouYouXianShouTiaoJianLiuTongGuQiTaNeiZiGuFenZhanZongGuBenBiLi" label="其他有限售条件的内资流通股份占总股本比例" addr="T0R5C9S1_1" baseScale="0.01" formatStyle="Comma"/>
      <m:placeholder xlName="_PLD_cab51a2eff7741aa91025aa3b6dca821" addr="T0R6C0S1_1"/>
      <m:item xlName="_GBC_a64c8bda42324108bd9eb1206074afcf" concept="clcid-cgi:GuQuanFenZhiGaiGeHouYouXianShouTiaoJianLiuTongGuJingNeiFaRenChiYouGuFenShu" label="境内法人持有的有限售条件流通股份数" periodRef="本期期初数" mulRef="_GBC_649f6bada42647f7be991e46e2b2e42d" addr="T0R6C1S1_1" formatStyle="Comma"/>
      <m:item xlName="_GBC_6a1025ded096412891912a80f221ce48" concept="clcid-cgi:GuQuanFenZhiGaiGeHouYouXianShouTiaoJianLiuTongGuJingNeiFaRenChiYouGuFenZhanZongGuBenBiLi" label="境内法人持有的有限售条件流通股份占总股本比例" periodRef="本期期初数" addr="T0R6C2S1_1" baseScale="0.01" formatStyle="Comma"/>
      <m:item xlName="_GBC_864464e0dfb143d8b790bedc0fdd788f" concept="clcid-cgi:GuQuanFenZhiGaiGeHouJingNeiFaRenChiYouDeYouXianShouTiaoJianLiuTongGuFaXingXinGuBianDongZengJian" label="境内法人持有的有限售条件流通股发行新股变动增减" mulRef="_GBC_649f6bada42647f7be991e46e2b2e42d" addr="T0R6C3S1_1" formatStyle="Comma"/>
      <m:item xlName="_GBC_1a871dd9a3814b238e5d5dfd0661fd2c" concept="clcid-cgi:GuQuanFenZhiGaiGeHouJingNeiFaRenChiYouDeYouXianShouTiaoJianLiuTongGuSongGuBianDongZengJian" label="境内法人持有的有限售条件流通股送股变动增减" mulRef="_GBC_649f6bada42647f7be991e46e2b2e42d" addr="T0R6C4S1_1" formatStyle="Comma"/>
      <m:item xlName="_GBC_30732455c6514e47897bcd8d909f65bf" concept="clcid-cgi:GuQuanFenZhiGaiGeHouJingNeiFaRenChiYouDeYouXianShouTiaoJianLiuTongGuGongJiJinZhuanGuBianDongZengJian" label="境内法人持有的有限售条件流通股公积金转股变动增减" mulRef="_GBC_649f6bada42647f7be991e46e2b2e42d" addr="T0R6C5S1_1" formatStyle="Comma"/>
      <m:item xlName="_GBC_47c6b1b2d093470b9ced0362d243c0d6" concept="clcid-cgi:GuQuanFenZhiGaiGeHouJingNeiFaRenChiYouDeYouXianShouTiaoJianLiuTongGuQiTaBianDongZengJian" label="境内法人持有的有限售条件流通股其他变动增减" mulRef="_GBC_649f6bada42647f7be991e46e2b2e42d" addr="T0R6C6S1_1" formatStyle="Comma"/>
      <m:item xlName="_GBC_b72860f93abb4ea6965806dd356f801e" concept="clcid-cgi:GuQuanFenZhiGaiGeHouJingNeiFaRenChiYouDeYouXianShouTiaoJianLiuTongGuBianDongZengJianXiaoJi" label="境内法人持有的有限售条件流通股变动增减小计" mulRef="_GBC_649f6bada42647f7be991e46e2b2e42d" addr="T0R6C7S1_1" formatStyle="Comma"/>
      <m:item xlName="_GBC_3117903f4be448e19a77a67ab6add802" concept="clcid-cgi:GuQuanFenZhiGaiGeHouYouXianShouTiaoJianLiuTongGuJingNeiFaRenChiYouGuFenShu" label="境内法人持有的有限售条件流通股份数" mulRef="_GBC_649f6bada42647f7be991e46e2b2e42d" addr="T0R6C8S1_1" formatStyle="Comma">
        <m:complexRule comparator="Eq" title="6.1_境内法人持有的有限售条件流通股份数" test=" $_GBC_a64c8bda42324108bd9eb1206074afcf +  $_GBC_b72860f93abb4ea6965806dd356f801e" id="Cf1c1ea6f02894c6e91f46310dd6130da"/>
      </m:item>
      <m:item xlName="_GBC_a03d8ea0b6834de69fd70cb16e628a33" concept="clcid-cgi:GuQuanFenZhiGaiGeHouYouXianShouTiaoJianLiuTongGuJingNeiFaRenChiYouGuFenZhanZongGuBenBiLi" label="境内法人持有的有限售条件流通股份占总股本比例" addr="T0R6C9S1_1" baseScale="0.01" formatStyle="Comma"/>
      <m:placeholder xlName="_PLD_80478013c74a49cf94d92f76bfd657a1" addr="T0R7C0S1_1"/>
      <m:item xlName="_GBC_88f131c1bfa847cdbd47752c9f11de61" concept="clcid-cgi:GuQuanFenZhiGaiGeHouYouXianShouTiaoJianLiuTongGuJingNeiZiRanRenChiYouGuFenShu" label="境内自然人持有的有限售条件流通股份数" periodRef="本期期初数" mulRef="_GBC_649f6bada42647f7be991e46e2b2e42d" addr="T0R7C1S1_1" formatStyle="Comma"/>
      <m:item xlName="_GBC_6ffd486af4954b15bdf934e76afa03e2" concept="clcid-cgi:GuQuanFenZhiGaiGeHouYouXianShouTiaoJianLiuTongGuJingNeiZiRanRenChiYouGuFenZhanZongGuBenBiLi" label="境内自然人持有的有限售条件流通股份占总股本比例" periodRef="本期期初数" addr="T0R7C2S1_1" baseScale="0.01" formatStyle="Comma"/>
      <m:item xlName="_GBC_0f79bf44d682471abe5d71f4ad9179e0" concept="clcid-cgi:GuQuanFenZhiGaiGeHouJingNeiZiRanRenChiYouDeYouXianShouTiaoJianLiuTongGuFaXingXinGuBianDongZengJian" label="境内自然人持有的有限售条件流通股发行新股变动增减" mulRef="_GBC_649f6bada42647f7be991e46e2b2e42d" addr="T0R7C3S1_1" formatStyle="Comma"/>
      <m:item xlName="_GBC_45b46e02405644f7836ec280672cbbba" concept="clcid-cgi:GuQuanFenZhiGaiGeHouJingNeiZiRanRenChiYouDeYouXianShouTiaoJianLiuTongGuSongGuBianDongZengJian" label="境内自然人持有的有限售条件流通股送股变动增减" mulRef="_GBC_649f6bada42647f7be991e46e2b2e42d" addr="T0R7C4S1_1" formatStyle="Comma"/>
      <m:item xlName="_GBC_b918d92e69fc467b810e6c0fcdb7cd53" concept="clcid-cgi:GuQuanFenZhiGaiGeHouJingNeiZiRanRenChiYouDeYouXianShouTiaoJianLiuTongGuGongJiJinZhuanGuBianDongZengJian" label="境内自然人持有的有限售条件流通股公积金转股变动增减" mulRef="_GBC_649f6bada42647f7be991e46e2b2e42d" addr="T0R7C5S1_1" formatStyle="Comma"/>
      <m:item xlName="_GBC_025ca07ea9504829bf2536560a77c729" concept="clcid-cgi:GuQuanFenZhiGaiGeHouJingNeiZiRanRenChiYouDeYouXianShouTiaoJianLiuTongGuQiTaBianDongZengJian" label="境内自然人持有的有限售条件流通股其他变动增减" mulRef="_GBC_649f6bada42647f7be991e46e2b2e42d" addr="T0R7C6S1_1" formatStyle="Comma"/>
      <m:item xlName="_GBC_66095cf0d63548b696b65fde6ac5db6c" concept="clcid-cgi:GuQuanFenZhiGaiGeHouJingNeiZiRanRenChiYouDeYouXianShouTiaoJianLiuTongGuBianDongZengJianXiaoJi" label="境内自然人持有的有限售条件流通股变动增减小计" mulRef="_GBC_649f6bada42647f7be991e46e2b2e42d" addr="T0R7C7S1_1" formatStyle="Comma"/>
      <m:item xlName="_GBC_1e7faca4c17c4b5ca9136f504641c7b6" concept="clcid-cgi:GuQuanFenZhiGaiGeHouYouXianShouTiaoJianLiuTongGuJingNeiZiRanRenChiYouGuFenShu" label="境内自然人持有的有限售条件流通股份数" mulRef="_GBC_649f6bada42647f7be991e46e2b2e42d" addr="T0R7C8S1_1" formatStyle="Comma">
        <m:complexRule comparator="Eq" title="6.1_境内自然人持有的有限售条件流通股份数" test=" $_GBC_88f131c1bfa847cdbd47752c9f11de61 +  $_GBC_66095cf0d63548b696b65fde6ac5db6c" id="C5f68e5a10f5942ffb2231e730b9b1ced"/>
      </m:item>
      <m:item xlName="_GBC_c04e014cc87446899ac8d82df58e5f5c" concept="clcid-cgi:GuQuanFenZhiGaiGeHouYouXianShouTiaoJianLiuTongGuJingNeiZiRanRenChiYouGuFenZhanZongGuBenBiLi" label="境内自然人持有的有限售条件流通股份占总股本比例" addr="T0R7C9S1_1" baseScale="0.01" formatStyle="Comma"/>
      <m:placeholder xlName="_PLD_3517f418e2dd48a9bda723f00556843a" addr="T0R8C0S1_1"/>
      <m:item xlName="_GBC_a39742b13a7a47bc9eb535b437804c91" concept="clcid-cgi:GuQuanFenZhiGaiGeHouYouXianShouTiaoJianLiuTongGuWaiZiGuFenShu" label="有限售条件的外资流通股份数" periodRef="本期期初数" mulRef="_GBC_649f6bada42647f7be991e46e2b2e42d" addr="T0R8C1S1_1" formatStyle="Comma"/>
      <m:item xlName="_GBC_639174d6d81b41148dd579910bc94683" concept="clcid-cgi:GuQuanFenZhiGaiGeHouYouXianShouTiaoJianLiuTongGuWaiZiGuFenZhanZongGuBenBiLi" label="有限售条件的外资流通股份占总股本比例" periodRef="本期期初数" addr="T0R8C2S1_1" baseScale="0.01" formatStyle="Comma"/>
      <m:item xlName="_GBC_141c17c22822405f8bbf62edd360673a" concept="clcid-cgi:GuQuanFenZhiGaiGeHouYouXianShouTiaoJianDeWaiZiLiuTongGuFaXingXinGuBianDongZengJian" label="有限售条件的外资流通股发行新股变动增减" mulRef="_GBC_649f6bada42647f7be991e46e2b2e42d" addr="T0R8C3S1_1" formatStyle="Comma"/>
      <m:item xlName="_GBC_3e1113e76645407fbc4d10d44c833b42" concept="clcid-cgi:GuQuanFenZhiGaiGeHouYouXianShouTiaoJianDeWaiZiLiuTongGuSongGuBianDongZengJian" label="有限售条件的外资流通股送股变动增减" mulRef="_GBC_649f6bada42647f7be991e46e2b2e42d" addr="T0R8C4S1_1" formatStyle="Comma"/>
      <m:item xlName="_GBC_d0bfefcd979043c99a42dadb48fb036e" concept="clcid-cgi:GuQuanFenZhiGaiGeHouYouXianShouTiaoJianDeWaiZiLiuTongGuGongJiJinZhuanGuBianDongZengJian" label="有限售条件的外资流通股公积金转股变动增减" mulRef="_GBC_649f6bada42647f7be991e46e2b2e42d" addr="T0R8C5S1_1" formatStyle="Comma"/>
      <m:item xlName="_GBC_2e06989f650f45b49edf54cf58a32c15" concept="clcid-cgi:GuQuanFenZhiGaiGeHouYouXianShouTiaoJianDeWaiZiLiuTongGuQiTaBianDongZengJian" label="有限售条件的外资流通股其他变动增减" mulRef="_GBC_649f6bada42647f7be991e46e2b2e42d" addr="T0R8C6S1_1" formatStyle="Comma"/>
      <m:item xlName="_GBC_e0b922d590ad4065bc7d10c9f8c34723" concept="clcid-cgi:GuQuanFenZhiGaiGeHouYouXianShouTiaoJianDeWaiZiLiuTongGuBianDongZengJianXiaoJi" label="有限售条件的外资流通股变动增减小计" mulRef="_GBC_649f6bada42647f7be991e46e2b2e42d" addr="T0R8C7S1_1" formatStyle="Comma"/>
      <m:item xlName="_GBC_36566b7e600f410d9cc812107a886cbb" concept="clcid-cgi:GuQuanFenZhiGaiGeHouYouXianShouTiaoJianLiuTongGuWaiZiGuFenShu" label="有限售条件的外资流通股份数" mulRef="_GBC_649f6bada42647f7be991e46e2b2e42d" addr="T0R8C8S1_1" formatStyle="Comma">
        <m:complexRule comparator="Eq" title="6.1_有限售条件的外资流通股份数" test=" $_GBC_a39742b13a7a47bc9eb535b437804c91 +  $_GBC_e0b922d590ad4065bc7d10c9f8c34723" id="C415741cf48854d00a2b8ac1d0f3766e6"/>
      </m:item>
      <m:item xlName="_GBC_7aeef1f55c334e5e87776cfe3878ece2" concept="clcid-cgi:GuQuanFenZhiGaiGeHouYouXianShouTiaoJianLiuTongGuWaiZiGuFenZhanZongGuBenBiLi" label="有限售条件的外资流通股份占总股本比例" addr="T0R8C9S1_1" baseScale="0.01" formatStyle="Comma"/>
      <m:placeholder xlName="_PLD_cf3d2363f23a4a3298302ad03b87e8ea" addr="T0R9C0S1_1"/>
      <m:item xlName="_GBC_6a8cbd4487fd448f9a909f65b1a08363" concept="clcid-cgi:GuQuanFenZhiGaiGeHouYouXianShouTiaoJianLiuTongGuJingWaiFaRenChiYouGuFenShu" label="境外法人持有的有限售条件流通股份数" periodRef="本期期初数" mulRef="_GBC_649f6bada42647f7be991e46e2b2e42d" addr="T0R9C1S1_1" formatStyle="Comma"/>
      <m:item xlName="_GBC_777ca066e6fc4a7dae93a5bee4289498" concept="clcid-cgi:GuQuanFenZhiGaiGeHouYouXianShouTiaoJianLiuTongGuJingWaiFaRenChiYouGuFenZhanZongGuBenBiLi" label="境外法人持有的有限售条件流通股份占总股本比例" periodRef="本期期初数" addr="T0R9C2S1_1" baseScale="0.01" formatStyle="Comma"/>
      <m:item xlName="_GBC_e03c854efec0449e904f155020ba206d" concept="clcid-cgi:GuQuanFenZhiGaiGeHouJingWaiFaRenChiYouDeYouXianShouTiaoJianLiuTongGuFaXingXinGuBianDongZengJian" label="境外法人持有的有限售条件流通股发行新股变动增减" mulRef="_GBC_649f6bada42647f7be991e46e2b2e42d" addr="T0R9C3S1_1" formatStyle="Comma"/>
      <m:item xlName="_GBC_12911d7a3319471cbb5c008fdc4f4230" concept="clcid-cgi:GuQuanFenZhiGaiGeHouJingWaiFaRenChiYouDeYouXianShouTiaoJianLiuTongGuSongGuBianDongZengJian" label="境外法人持有的有限售条件流通股送股变动增减" mulRef="_GBC_649f6bada42647f7be991e46e2b2e42d" addr="T0R9C4S1_1" formatStyle="Comma"/>
      <m:item xlName="_GBC_63a84c25947f400f83fe73a3beca7727" concept="clcid-cgi:GuQuanFenZhiGaiGeHouJingWaiFaRenChiYouDeYouXianShouTiaoJianLiuTongGuGongJiJinZhuanGuBianDongZengJian" label="境外法人持有的有限售条件流通股公积金转股变动增减" mulRef="_GBC_649f6bada42647f7be991e46e2b2e42d" addr="T0R9C5S1_1" formatStyle="Comma"/>
      <m:item xlName="_GBC_e181198df981435280eb172aaa1b6a2a" concept="clcid-cgi:GuQuanFenZhiGaiGeHouJingWaiFaRenChiYouDeYouXianShouTiaoJianLiuTongGuQiTaBianDongZengJian" label="境外法人持有的有限售条件流通股其他变动增减" mulRef="_GBC_649f6bada42647f7be991e46e2b2e42d" addr="T0R9C6S1_1" formatStyle="Comma"/>
      <m:item xlName="_GBC_3869de4b14eb4fbfb95d50543256091b" concept="clcid-cgi:GuQuanFenZhiGaiGeHouJingWaiFaRenChiYouDeYouXianShouTiaoJianLiuTongGuBianDongZengJianXiaoJi" label="境外法人持有的有限售条件流通股变动增减小计" mulRef="_GBC_649f6bada42647f7be991e46e2b2e42d" addr="T0R9C7S1_1" formatStyle="Comma"/>
      <m:item xlName="_GBC_725c00e3ec1f46e38ca7eac8afd54ed2" concept="clcid-cgi:GuQuanFenZhiGaiGeHouYouXianShouTiaoJianLiuTongGuJingWaiFaRenChiYouGuFenShu" label="境外法人持有的有限售条件流通股份数" mulRef="_GBC_649f6bada42647f7be991e46e2b2e42d" addr="T0R9C8S1_1" formatStyle="Comma">
        <m:complexRule comparator="Eq" title="6.1_境外法人持有的有限售条件流通股份数" test=" $_GBC_6a8cbd4487fd448f9a909f65b1a08363 +  $_GBC_3869de4b14eb4fbfb95d50543256091b" id="C9f26082f35684806bdcced024a06c963"/>
      </m:item>
      <m:item xlName="_GBC_37094fc4f5194235bee4ea6167cfffaa" concept="clcid-cgi:GuQuanFenZhiGaiGeHouYouXianShouTiaoJianLiuTongGuJingWaiFaRenChiYouGuFenZhanZongGuBenBiLi" label="境外法人持有的有限售条件流通股份占总股本比例" addr="T0R9C9S1_1" baseScale="0.01" formatStyle="Comma"/>
      <m:placeholder xlName="_PLD_97a2f177ac3442dbba0348247e7a0738" addr="T0R10C0S1_1"/>
      <m:item xlName="_GBC_7481132e797243f09708ffdfb308c0dc" concept="clcid-cgi:GuQuanFenZhiGaiGeHouYouXianShouTiaoJianLiuTongGuJingWaiZiRanRenChiYouGuFenShu" label="境外自然人持有的有限售条件流通股份数" periodRef="本期期初数" mulRef="_GBC_649f6bada42647f7be991e46e2b2e42d" addr="T0R10C1S1_1" formatStyle="Comma"/>
      <m:item xlName="_GBC_9a480da855b74c888b2d79fe892b8849" concept="clcid-cgi:GuQuanFenZhiGaiGeHouYouXianShouTiaoJianLiuTongGuJingWaiZiRanRenChiYouGuFenZhanZongGuBenBiLi" label="境外自然人持有的有限售条件流通股份占总股本比例" periodRef="本期期初数" addr="T0R10C2S1_1" baseScale="0.01" formatStyle="Comma"/>
      <m:item xlName="_GBC_6e1bcc99edf94c0697d671bff8307fab" concept="clcid-cgi:GuQuanFenZhiGaiGeHouJingWaiZiRanRenChiYouDeYouXianShouTiaoJianLiuTongGuFaXingXinGuBianDongZengJian" label="境外自然人持有的有限售条件流通股发行新股变动增减" mulRef="_GBC_649f6bada42647f7be991e46e2b2e42d" addr="T0R10C3S1_1" formatStyle="Comma"/>
      <m:item xlName="_GBC_677cd4d0eda44717a061d390fb9c8a90" concept="clcid-cgi:GuQuanFenZhiGaiGeHouJingWaiZiRanRenChiYouDeYouXianShouTiaoJianLiuTongGuSongGuBianDongZengJian" label="境外自然人持有的有限售条件流通股送股变动增减" mulRef="_GBC_649f6bada42647f7be991e46e2b2e42d" addr="T0R10C4S1_1" formatStyle="Comma"/>
      <m:item xlName="_GBC_c055d35a04f44734894814e180191f63" concept="clcid-cgi:GuQuanFenZhiGaiGeHouJingWaiZiRanRenChiYouDeYouXianShouTiaoJianLiuTongGuGongJiJinZhuanGuBianDongZengJian" label="境外自然人持有的有限售条件流通股公积金转股变动增减" mulRef="_GBC_649f6bada42647f7be991e46e2b2e42d" addr="T0R10C5S1_1" formatStyle="Comma"/>
      <m:item xlName="_GBC_059cffa5c56b4feebd429cddb3c1bd04" concept="clcid-cgi:GuQuanFenZhiGaiGeHouJingWaiZiRanRenChiYouDeYouXianShouTiaoJianLiuTongGuQiTaBianDongZengJian" label="境外自然人持有的有限售条件流通股其他变动增减" mulRef="_GBC_649f6bada42647f7be991e46e2b2e42d" addr="T0R10C6S1_1" formatStyle="Comma"/>
      <m:item xlName="_GBC_8aeb076abe3c4c7485c3a9190ac4f508" concept="clcid-cgi:GuQuanFenZhiGaiGeHouJingWaiZiRanRenChiYouDeYouXianShouTiaoJianLiuTongGuBianDongZengJianXiaoJi" label="境外自然人持有的有限售条件流通股变动增减小计" mulRef="_GBC_649f6bada42647f7be991e46e2b2e42d" addr="T0R10C7S1_1" formatStyle="Comma"/>
      <m:item xlName="_GBC_9dc08d31987447fb92bde3797e7ca833" concept="clcid-cgi:GuQuanFenZhiGaiGeHouYouXianShouTiaoJianLiuTongGuJingWaiZiRanRenChiYouGuFenShu" label="境外自然人持有的有限售条件流通股份数" mulRef="_GBC_649f6bada42647f7be991e46e2b2e42d" addr="T0R10C8S1_1" formatStyle="Comma">
        <m:complexRule comparator="Eq" title="6.1_境外自然人持有的有限售条件流通股份数" test=" $_GBC_7481132e797243f09708ffdfb308c0dc +  $_GBC_8aeb076abe3c4c7485c3a9190ac4f508" id="C62fc138727bc40c5a07dae5f734062fd"/>
      </m:item>
      <m:item xlName="_GBC_4f964672d5e94e3c80c9317961ddeac2" concept="clcid-cgi:GuQuanFenZhiGaiGeHouYouXianShouTiaoJianLiuTongGuJingWaiZiRanRenChiYouGuFenZhanZongGuBenBiLi" label="境外自然人持有的有限售条件流通股份占总股本比例" addr="T0R10C9S1_1" baseScale="0.01" formatStyle="Comma"/>
      <m:placeholder xlName="_PLD_96f1aa1935a04b8ab80a51c650206e0c" addr="T0R11C0S1_1"/>
      <m:item xlName="_GBC_faf747bcaa604bb99878196b92531b34" concept="clcid-cgi:WuXianShouTiaoJianLiuTongGuFenHeJi" label="无限售条件流通股份合计" periodRef="本期期初数" mulRef="_GBC_649f6bada42647f7be991e46e2b2e42d" addr="T0R11C1S1_1" formatStyle="Comma">
        <m:complexRule comparator="Eq" title="6.1_无限售条件流通股份合计_变动前_纵向" test=" $_GBC_145d49fc17c94759bd1f3c7ecb21136a +  $_GBC_deff71c39c3c44bb9852bb0d1a2851af +  $_GBC_f31b25dbd4de455981a1ac5ce66d0226 +  $_GBC_a03a63cc074a4ceab550ed2bc7988fa3" id="C32093ad10ceb4a409488f95f16b2d177"/>
      </m:item>
      <m:item xlName="_GBC_fcd75206b1184163bfda33c00ed9beeb" concept="clcid-cgi:GuQuanFenZhiGaiGeHouWuXianShouTiaoJianLiuTongGuZhanZongGuBenBiLi" label="无限售条件流通股占总股本比例" periodRef="本期期初数" addr="T0R11C2S1_1" baseScale="0.01" formatStyle="Comma"/>
      <m:item xlName="_GBC_9def6766c9014543a868906c83e9dacf" concept="clcid-cgi:WuXianShouTiaoJianLiuTongGuFenFaXingXinGuBianDongZengJian" label="无限售条件流通股份发行新股变动增减" mulRef="_GBC_649f6bada42647f7be991e46e2b2e42d" addr="T0R11C3S1_1" formatStyle="Comma"/>
      <m:item xlName="_GBC_24ad1e6dcc6f4dda90d69bcdf69a6aee" concept="clcid-cgi:WuXianShouTiaoJianLiuTongGuFenSongGuBianDongZengJian" label="无限售条件流通股份送股变动增减" mulRef="_GBC_649f6bada42647f7be991e46e2b2e42d" addr="T0R11C4S1_1" formatStyle="Comma"/>
      <m:item xlName="_GBC_75adc86ee25644439cbd334ee0ea89b4" concept="clcid-cgi:WuXianShouTiaoJianLiuTongGuFenGongJiJinZhuanGuBianDongZengJian" label="无限售条件流通股份公积金转股变动增减" mulRef="_GBC_649f6bada42647f7be991e46e2b2e42d" addr="T0R11C5S1_1" formatStyle="Comma"/>
      <m:item xlName="_GBC_7bf3212610d9433ca24381d5d7ad0e57" concept="clcid-cgi:WuXianShouTiaoJianLiuTongGuFenQiTaBianDongZengJian" label="无限售条件流通股份其他变动增减" mulRef="_GBC_649f6bada42647f7be991e46e2b2e42d" addr="T0R11C6S1_1" formatStyle="Comma"/>
      <m:item xlName="_GBC_9ccbf83ec3e044b99e3431fa1c45de38" concept="clcid-cgi:WuXianShouTiaoJianLiuTongGuFenBianDongZengJianXiaoJi" label="无限售条件流通股份变动增减小计" mulRef="_GBC_649f6bada42647f7be991e46e2b2e42d" addr="T0R11C7S1_1" formatStyle="Comma">
        <m:complexRule comparator="Eq" title="6.1_无限售条件流通股份变动增减小计_纵向" test=" $_GBC_760bd319b3974586a780e71607614760 +  $_GBC_8f7f38543e7f4893a4c3ecfce29e8831 +  $_GBC_172551870f914d329ee57b4e3ae1a73a +  $_GBC_2a1cc9be136e4c948346b9c7cf4074b4" id="C86918d3d17ac4931b64964665d0a402c"/>
      </m:item>
      <m:item xlName="_GBC_8d9f34b7bde64e3eb88ab97fbd417b3d" concept="clcid-cgi:WuXianShouTiaoJianLiuTongGuFenHeJi" label="无限售条件流通股份合计" mulRef="_GBC_649f6bada42647f7be991e46e2b2e42d" addr="T0R11C8S1_1" formatStyle="Comma">
        <m:complexRule comparator="Eq" title="6.1_无限售条件流通股合计_纵向" test=" $_GBC_83c57fe41bb642d283979cca8aaddfd0 +  $_GBC_fa2efe55230e4bdfbb99ed867fff112b +  $_GBC_a527a750ab8149be9986f78d4cd8db27 +  $_GBC_a03a90968fe04866a8c64829ea709c30" id="C228aad2ec37142bb83c00090dabb6dbe"/>
        <m:complexRule comparator="Eq" title="无限售条件流通股份合计" test=" $_GBC_faf747bcaa604bb99878196b92531b34 +  $_GBC_9ccbf83ec3e044b99e3431fa1c45de38" id="Cb3162ea7292a41ae9b7b283fce7fa9da"/>
      </m:item>
      <m:item xlName="_GBC_1524fd20f30f4cd591a8c195f2e5db8e" concept="clcid-cgi:GuQuanFenZhiGaiGeHouWuXianShouTiaoJianLiuTongGuZhanZongGuBenBiLi" label="无限售条件流通股占总股本比例" addr="T0R11C9S1_1" baseScale="0.01" formatStyle="Comma"/>
      <m:placeholder xlName="_PLD_f6699caa719d4738a70d214288990173" addr="T0R12C0S1_1"/>
      <m:item xlName="_GBC_145d49fc17c94759bd1f3c7ecb21136a" concept="clcid-cgi:WuXianShouTiaoJianLiuTongGuRenMinBiPuTongGuShu" label="无限售条件人民币普通股数" periodRef="本期期初数" mulRef="_GBC_649f6bada42647f7be991e46e2b2e42d" addr="T0R12C1S1_1" formatStyle="Comma"/>
      <m:item xlName="_GBC_de0c4292e07b45fabf9c3c3378d3e203" concept="clcid-cgi:GuQuanFenZhiGaiGeHouWuXianShouTiaoJianLiuTongGuRenMinBiPuTongGuZhanZongGuBenBiLi" label="无限售条件人民币普通股占总股本比例" periodRef="本期期初数" addr="T0R12C2S1_1" baseScale="0.01" formatStyle="Comma"/>
      <m:item xlName="_GBC_829625b566b149bea748df38c6a8dd83" concept="clcid-cgi:WuXianShouTiaoJianRenMinBiPuTongGuFaXingXinGuBianDongZengJian" label="无限售条件人民币普通股发行新股变动增减" mulRef="_GBC_649f6bada42647f7be991e46e2b2e42d" addr="T0R12C3S1_1" formatStyle="Comma"/>
      <m:item xlName="_GBC_6a6a8995a2f642a19599643456315fca" concept="clcid-cgi:WuXianShouTiaoJianLiuTongGuRenMinBiPuTongGuSongGuBianDongZengJian" label="无限售条件人民币普通股送股变动增减" mulRef="_GBC_649f6bada42647f7be991e46e2b2e42d" addr="T0R12C4S1_1" formatStyle="Comma"/>
      <m:item xlName="_GBC_656b21584e9244ab8b600f6253ca52f7" concept="clcid-cgi:WuXianShouTiaoJianLiuTongGuRenMinBiPuTongGuGongJiJinZhuanGuBianDongZengJian" label="无限售条件人民币普通股公积金转股变动增减" mulRef="_GBC_649f6bada42647f7be991e46e2b2e42d" addr="T0R12C5S1_1" formatStyle="Comma"/>
      <m:item xlName="_GBC_ed2616e6ff614ea5a67f48c67d246bbe" concept="clcid-cgi:WuXianShouTiaoJianLiuTongGuRenMinBiPuTongGuQiTaBianDongZengJian" label="无限售条件人民币普通股其他变动增减" mulRef="_GBC_649f6bada42647f7be991e46e2b2e42d" addr="T0R12C6S1_1" formatStyle="Comma"/>
      <m:item xlName="_GBC_760bd319b3974586a780e71607614760" concept="clcid-cgi:WuXianShouTiaoJianLiuTongGuRenMinBiPuTongGuBianDongZengJianXiaoJi" label="无限售条件人民币普通股变动增减小计" mulRef="_GBC_649f6bada42647f7be991e46e2b2e42d" addr="T0R12C7S1_1" formatStyle="Comma"/>
      <m:item xlName="_GBC_83c57fe41bb642d283979cca8aaddfd0" concept="clcid-cgi:WuXianShouTiaoJianLiuTongGuRenMinBiPuTongGuShu" label="无限售条件人民币普通股数" mulRef="_GBC_649f6bada42647f7be991e46e2b2e42d" addr="T0R12C8S1_1" formatStyle="Comma">
        <m:complexRule comparator="Eq" title="6.1_无限售条件人民币普通股数" test=" $_GBC_145d49fc17c94759bd1f3c7ecb21136a +  $_GBC_760bd319b3974586a780e71607614760" id="C37087a38266348d29d9adf8fff42965d"/>
      </m:item>
      <m:item xlName="_GBC_7b75c559c1a847208bd9ce8d25b5c266" concept="clcid-cgi:GuQuanFenZhiGaiGeHouWuXianShouTiaoJianLiuTongGuRenMinBiPuTongGuZhanZongGuBenBiLi" label="无限售条件人民币普通股占总股本比例" addr="T0R12C9S1_1" baseScale="0.01" formatStyle="Comma"/>
      <m:placeholder xlName="_PLD_738d7157b56d4720aa9fdbc02cd69609" addr="T0R13C0S1_1"/>
      <m:item xlName="_GBC_deff71c39c3c44bb9852bb0d1a2851af" concept="clcid-cgi:WuXianShouTiaoJianLiuTongGuJingNeiShangShiDeWaiZiGuShu" label="无限售条件境内上市的外资股数" periodRef="本期期初数" mulRef="_GBC_649f6bada42647f7be991e46e2b2e42d" addr="T0R13C1S1_1" formatStyle="Comma"/>
      <m:item xlName="_GBC_6335beac70e74e769a5cba8ecec3982e" concept="clcid-cgi:GuQuanFenZhiGaiGeHouWuXianShouTiaoJianLiuTongGuJingNeiShangShiDeWaiZiGuZhanZongGuBenBiLi" label="无限售条件境内上市的外资股占总股本比例" periodRef="本期期初数" addr="T0R13C2S1_1" baseScale="0.01" formatStyle="Comma"/>
      <m:item xlName="_GBC_ea42ea74573d4ab486547e3cc02d3dcd" concept="clcid-cgi:WuXianShouTiaoJianJingNeiShangShiDeWaiZiGuFaXingXinGuBianDongZengJian" label="无限售条件境内上市的外资股发行新股变动增减" mulRef="_GBC_649f6bada42647f7be991e46e2b2e42d" addr="T0R13C3S1_1" formatStyle="Comma"/>
      <m:item xlName="_GBC_f02af18bdc30487cbc3cebb8ab4acf19" concept="clcid-cgi:WuXianShouTiaoJianLiuTongGuJingNeiShangShiDeWaiZiGuSongGuBianDongZengJian" label="无限售条件境内上市的外资股送股变动增减" mulRef="_GBC_649f6bada42647f7be991e46e2b2e42d" addr="T0R13C4S1_1" formatStyle="Comma"/>
      <m:item xlName="_GBC_e0a9565d5a564a92a898ab63a4531249" concept="clcid-cgi:WuXianShouTiaoJianLiuTongGuJingNeiShangShiDeWaiZiGuGongJiJinZhuanGuBianDongZengJian" label="无限售条件境内上市的外资股公积金转股变动增减" mulRef="_GBC_649f6bada42647f7be991e46e2b2e42d" addr="T0R13C5S1_1" formatStyle="Comma"/>
      <m:item xlName="_GBC_39344e141a7449fa81b9abaafdf53fcf" concept="clcid-cgi:WuXianShouTiaoJianLiuTongGuJingNeiShangShiDeWaiZiGuQiTaBianDongZengJian" label="无限售条件境内上市的外资股其他变动增减" mulRef="_GBC_649f6bada42647f7be991e46e2b2e42d" addr="T0R13C6S1_1" formatStyle="Comma"/>
      <m:item xlName="_GBC_8f7f38543e7f4893a4c3ecfce29e8831" concept="clcid-cgi:WuXianShouTiaoJianLiuTongGuJingNeiShangShiDeWaiZiGuBianDongZengJianXiaoJi" label="无限售条件境内上市的外资股变动增减小计" mulRef="_GBC_649f6bada42647f7be991e46e2b2e42d" addr="T0R13C7S1_1" formatStyle="Comma"/>
      <m:item xlName="_GBC_fa2efe55230e4bdfbb99ed867fff112b" concept="clcid-cgi:WuXianShouTiaoJianLiuTongGuJingNeiShangShiDeWaiZiGuShu" label="无限售条件境内上市的外资股数" mulRef="_GBC_649f6bada42647f7be991e46e2b2e42d" addr="T0R13C8S1_1" formatStyle="Comma">
        <m:complexRule comparator="Eq" title="6.1_无限售条件境内上市的外资股数" test=" $_GBC_deff71c39c3c44bb9852bb0d1a2851af +  $_GBC_8f7f38543e7f4893a4c3ecfce29e8831" id="C78cd9b0f09534e0aa78df633cdabf046"/>
      </m:item>
      <m:item xlName="_GBC_dff9b8f87d504add806b393d864e56e7" concept="clcid-cgi:GuQuanFenZhiGaiGeHouWuXianShouTiaoJianLiuTongGuJingNeiShangShiDeWaiZiGuZhanZongGuBenBiLi" label="无限售条件境内上市的外资股占总股本比例" addr="T0R13C9S1_1" baseScale="0.01" formatStyle="Comma"/>
      <m:placeholder xlName="_PLD_d9ee6f8045fe47889045c1a68a75f2f9" addr="T0R14C0S1_1"/>
      <m:item xlName="_GBC_f31b25dbd4de455981a1ac5ce66d0226" concept="clcid-cgi:WuXianShouTiaoJianLiuTongGuJingWaiShangShiDeWaiZiGuShu" label="无限售条件境外上市的外资股数" periodRef="本期期初数" mulRef="_GBC_649f6bada42647f7be991e46e2b2e42d" addr="T0R14C1S1_1" formatStyle="Comma"/>
      <m:item xlName="_GBC_764aead5b1f841958868aa03b698b236" concept="clcid-cgi:GuQuanFenZhiGaiGeHouWuXianShouTiaoJianLiuTongGuJingWaiShangShiDeWaiZiGuZhanZongGuBenBiLi" label="无限售条件境外上市的外资股占总股本比例" periodRef="本期期初数" addr="T0R14C2S1_1" baseScale="0.01" formatStyle="Comma"/>
      <m:item xlName="_GBC_4bbb7ebe36624363a66aa6c1e5637dca" concept="clcid-cgi:WuXianShouTiaoJianJingWaiShangShiDeWaiZiGuFaXingXinGuBianDongZengJian" label="无限售条件境外上市的外资股发行新股变动增减" mulRef="_GBC_649f6bada42647f7be991e46e2b2e42d" addr="T0R14C3S1_1" formatStyle="Comma"/>
      <m:item xlName="_GBC_0aa76bb4fa7646f7afd38cc425c3c204" concept="clcid-cgi:WuXianShouTiaoJianLiuTongGuJingWaiShangShiDeWaiZiGuSongGuBianDongZengJian" label="无限售条件境外上市的外资股送股变动增减" mulRef="_GBC_649f6bada42647f7be991e46e2b2e42d" addr="T0R14C4S1_1" formatStyle="Comma"/>
      <m:item xlName="_GBC_af263a87c24f4573931eb6e1d623788c" concept="clcid-cgi:WuXianShouTiaoJianLiuTongGuJingWaiShangShiDeWaiZiGuGongJiJinZhuanGuBianDongZengJian" label="无限售条件境外上市的外资股公积金转股变动增减" mulRef="_GBC_649f6bada42647f7be991e46e2b2e42d" addr="T0R14C5S1_1" formatStyle="Comma"/>
      <m:item xlName="_GBC_0ca7e1d003e64d08afc6d3a6545bff5f" concept="clcid-cgi:WuXianShouTiaoJianLiuTongGuJingWaiShangShiDeWaiZiGuQiTaBianDongZengJian" label="无限售条件境外上市的外资股其他变动增减" mulRef="_GBC_649f6bada42647f7be991e46e2b2e42d" addr="T0R14C6S1_1" formatStyle="Comma"/>
      <m:item xlName="_GBC_172551870f914d329ee57b4e3ae1a73a" concept="clcid-cgi:WuXianShouTiaoJianLiuTongGuJingWaiShangShiDeWaiZiGuBianDongZengJianXiaoJi" label="无限售条件境外上市的外资股变动增减小计" mulRef="_GBC_649f6bada42647f7be991e46e2b2e42d" addr="T0R14C7S1_1" formatStyle="Comma"/>
      <m:item xlName="_GBC_a527a750ab8149be9986f78d4cd8db27" concept="clcid-cgi:WuXianShouTiaoJianLiuTongGuJingWaiShangShiDeWaiZiGuShu" label="无限售条件境外上市的外资股数" mulRef="_GBC_649f6bada42647f7be991e46e2b2e42d" addr="T0R14C8S1_1" formatStyle="Comma">
        <m:complexRule comparator="Eq" title="6.1_无限售条件境外上市的外资股数" test=" $_GBC_f31b25dbd4de455981a1ac5ce66d0226 +  $_GBC_172551870f914d329ee57b4e3ae1a73a" id="Cb5e6ef73e3bf4a548625116a346c86a5"/>
      </m:item>
      <m:item xlName="_GBC_fffef08f74f246adb40a6599851fd70b" concept="clcid-cgi:GuQuanFenZhiGaiGeHouWuXianShouTiaoJianLiuTongGuJingWaiShangShiDeWaiZiGuZhanZongGuBenBiLi" label="无限售条件境外上市的外资股占总股本比例" addr="T0R14C9S1_1" baseScale="0.01" formatStyle="Comma"/>
      <m:placeholder xlName="_PLD_7f62c3d54a4442729759c4c069c9a7c2" addr="T0R15C0S1_1"/>
      <m:item xlName="_GBC_a03a63cc074a4ceab550ed2bc7988fa3" concept="clcid-cgi:WuXianShouTiaoJianLiuTongGuQiTaYiShangShiLiuTongGuFenShu" label="其他无限售条件已上市流通股份数" periodRef="本期期初数" mulRef="_GBC_649f6bada42647f7be991e46e2b2e42d" addr="T0R15C1S1_1" formatStyle="Comma"/>
      <m:item xlName="_GBC_f3fbac31c362413798a6a06b06e272be" concept="clcid-cgi:GuQuanFenZhiGaiGeHouWuXianShouTiaoJianLiuTongGuQiTaYiShangShiLiuTongGuFenZhanZongGuBenBiLi" label="其他无限售条件已上市流通股份占总股本比例" periodRef="本期期初数" addr="T0R15C2S1_1" baseScale="0.01" formatStyle="Comma"/>
      <m:item xlName="_GBC_5213dbd412ce4a2ebd1c30771e720fb1" concept="clcid-cgi:QiTaWuXianShouTiaoJianYiShangShiLiuTongGuFaXingXinGuBianDongZengJian" label="其他无限售条件已上市流通股发行新股变动增减" mulRef="_GBC_649f6bada42647f7be991e46e2b2e42d" addr="T0R15C3S1_1" formatStyle="Comma"/>
      <m:item xlName="_GBC_f149d7c7ed8d488caadac518cc51068c" concept="clcid-cgi:WuXianShouTiaoJianLiuTongGuQiTaYiShangShiLiuTongGuSongGuBianDongZengJian" label="其他无限售条件已上市流通股送股变动增减" mulRef="_GBC_649f6bada42647f7be991e46e2b2e42d" addr="T0R15C4S1_1" formatStyle="Comma"/>
      <m:item xlName="_GBC_52a31ccb58834b1da17e0deb93eb6b5c" concept="clcid-cgi:WuXianShouTiaoJianLiuTongGuQiTaYiShangShiLiuTongGuGongJiJinZhuanGuBianDongZengJian" label="其他无限售条件已上市流通股公积金转股变动增减" mulRef="_GBC_649f6bada42647f7be991e46e2b2e42d" addr="T0R15C5S1_1" formatStyle="Comma"/>
      <m:item xlName="_GBC_7c47fdfc73a843d0b5b6a3c524a06d32" concept="clcid-cgi:WuXianShouTiaoJianLiuTongGuQiTaYiShangShiLiuTongGuQiTaBianDongZengJian" label="其他无限售条件已上市流通股其他变动增减" mulRef="_GBC_649f6bada42647f7be991e46e2b2e42d" addr="T0R15C6S1_1" formatStyle="Comma"/>
      <m:item xlName="_GBC_2a1cc9be136e4c948346b9c7cf4074b4" concept="clcid-cgi:WuXianShouTiaoJianLiuTongGuQiTaYiShangShiLiuTongGuBianDongZengJianXiaoJi" label="其他无限售条件已上市流通股变动增减小计" mulRef="_GBC_649f6bada42647f7be991e46e2b2e42d" addr="T0R15C7S1_1" formatStyle="Comma"/>
      <m:item xlName="_GBC_a03a90968fe04866a8c64829ea709c30" concept="clcid-cgi:WuXianShouTiaoJianLiuTongGuQiTaYiShangShiLiuTongGuFenShu" label="其他无限售条件已上市流通股份数" mulRef="_GBC_649f6bada42647f7be991e46e2b2e42d" addr="T0R15C8S1_1" formatStyle="Comma">
        <m:complexRule comparator="Eq" title="6.1_其他无限售条件已上市流通股份数" test=" $_GBC_a03a63cc074a4ceab550ed2bc7988fa3 +  $_GBC_2a1cc9be136e4c948346b9c7cf4074b4" id="C07dca9715de34f2eb75e07f9e53f7ed0"/>
      </m:item>
      <m:item xlName="_GBC_67ff388f8fc9438e8911cdbfdb75a2e8" concept="clcid-cgi:GuQuanFenZhiGaiGeHouWuXianShouTiaoJianLiuTongGuQiTaYiShangShiLiuTongGuFenZhanZongGuBenBiLi" label="其他无限售条件已上市流通股份占总股本比例" addr="T0R15C9S1_1" baseScale="0.01" formatStyle="Comma"/>
      <m:placeholder xlName="_PLD_18428e388059473180af7313fb539834" addr="T0R16C0S1_1"/>
      <m:item xlName="_GBC_9dbf559adc3345e79e5d0d79cd4e82c1" concept="clcid-cgi:GuFenZongShu" label="股份总数" periodRef="本期期初数" mulRef="_GBC_649f6bada42647f7be991e46e2b2e42d" addr="T0R16C1S1_1" formatStyle="Comma">
        <m:complexRule comparator="Eq" title="6.1_股份总数_变动前_纵向" test=" $_GBC_be3140538cb84735bc9dec8642d6d5a4 +  $_GBC_faf747bcaa604bb99878196b92531b34" id="Cf545bbd44ece4bc5a089bb0340ab0733"/>
      </m:item>
      <m:item xlName="_GBC_700a494e14714907a873e80d6d8866c0" concept="clcid-cgi:GuFenZongShuZhanZongGuBenBiLi" label="股份总数占总股本比例" periodRef="本期期初数" addr="T0R16C2S1_1" baseScale="0.01" formatStyle="Comma"/>
      <m:item xlName="_GBC_16b83cf91dc24d42b067bac6a6460fd1" concept="clcid-cgi:GuFenZongShuFaXingXinGuBianDongZengJian" label="股份总数发行新股变动增减" mulRef="_GBC_649f6bada42647f7be991e46e2b2e42d" addr="T0R16C3S1_1" formatStyle="Comma"/>
      <m:item xlName="_GBC_37e2a32511174d24b40fceadfea9ee3a" concept="clcid-cgi:GuFenZongShuSongGuBianDongZengJian" label="股份总数送股变动增减" mulRef="_GBC_649f6bada42647f7be991e46e2b2e42d" addr="T0R16C4S1_1" formatStyle="Comma"/>
      <m:item xlName="_GBC_ddffd65752a14fdc84476cb3d5ee54d0" concept="clcid-cgi:GuFenZongShuGongJiJinZhuanGuBianDongZengJian" label="股份总数公积金转股变动增减" mulRef="_GBC_649f6bada42647f7be991e46e2b2e42d" addr="T0R16C5S1_1" formatStyle="Comma"/>
      <m:item xlName="_GBC_56ae8364fa3d43f3ba196dd292174130" concept="clcid-cgi:GuFenZongShuQiTaBianDongZengJian" label="股份总数其他变动增减" mulRef="_GBC_649f6bada42647f7be991e46e2b2e42d" addr="T0R16C6S1_1" formatStyle="Comma"/>
      <m:item xlName="_GBC_ca0078b494784f29af1658804f1d4353" concept="clcid-cgi:GuFenZongShuBianDongZengJianXiaoJi" label="股份总数变动增减小计" mulRef="_GBC_649f6bada42647f7be991e46e2b2e42d" addr="T0R16C7S1_1" formatStyle="Comma">
        <m:complexRule comparator="Eq" title="6.1_股份总数变动增减小计_纵向" test=" $_GBC_b56b0c75ad8546548a7ae47ccf2e2ba7 +  $_GBC_9ccbf83ec3e044b99e3431fa1c45de38" id="C0228195450934572827f5f1af09fb203"/>
      </m:item>
      <m:item xlName="_GBC_0db4e9fd316e461b8276e2bce786bc0c" concept="clcid-cgi:GuFenZongShu" label="股份总数" mulRef="_GBC_649f6bada42647f7be991e46e2b2e42d" addr="T0R16C8S1_1" formatStyle="Comma">
        <m:complexRule comparator="Eq" title="6.1_股份总数" test=" $_GBC_9dbf559adc3345e79e5d0d79cd4e82c1 +  $_GBC_ca0078b494784f29af1658804f1d4353" id="Ca22284a3269e46309f964f6824e006d9"/>
        <m:complexRule comparator="Eq" title="6.1_股份总数_纵向" test=" $_GBC_1f300925417349a79f0cc13c7f1ab4d4 +  $_GBC_8d9f34b7bde64e3eb88ab97fbd417b3d" id="C4f7bf735c1364b87b4f0c0708baf7f99"/>
      </m:item>
      <m:item xlName="_GBC_a3dcabcaa65d4a7f8ff6852454d1db37" concept="clcid-cgi:GuFenZongShuZhanZongGuBenBiLi" label="股份总数占总股本比例" addr="T0R16C9S1_1" baseScale="0.01" formatStyle="Comma"/>
    </m:section>
    <m:section xlName="_GBC_11d26f58e47e4a1f997d73362074f464" title="股份变动情况说明" rules="R2015_R6_001" convertSummaryRule="NoConvert" helpId="104001001">
      <m:item xlName="_GBC_28994e6dc9c649e498c0ab9c340777bf" concept="clcid-ci-ar:ShiFouShiYongPuTongGuGuFenBianDongQingKuangShuoMing" label="是否适用：普通股股份变动情况说明" selectOptions="_buildInAppliance" controlType="CustomCheckbox" cRanges="{&quot;StartName&quot;:&quot;_GBC_28994e6dc9c649e498c0ab9c340777bf&quot;,&quot;EndName&quot;:&quot;_GBC_370febd389f14759b2ed3f1114b289a6&quot;,&quot;CType&quot;:1,&quot;DisplayText&quot;:null}"/>
      <m:item xlName="_GBC_370febd389f14759b2ed3f1114b289a6" concept="clcid-cgi:GuFenBianDongQingKuangShuoMing" label="股份变动情况说明" appId="_GBC_28994e6dc9c649e498c0ab9c340777bf"/>
    </m:section>
    <m:section xlName="_GBC_2c9eb79778814e39ab254196ba75dab3" title="报告期后到半年报披露日期间发生股份变动对每股收益等指标影响" rules="R2015_R6_001" convertSummaryRule="NoConvert" helpId="104001001">
      <m:item xlName="_GBC_bb0980f1589b4db8944ca5595f342bfe" concept="clcid-ci-ar:ShiFouShiYongPuTongGuGuFenBianDongDuiZuiJinYiNianHeZuiJinYiQiMeiGuShouYiMeiGuJingZiChanDengCaiWuZhiBiaoDeYingXiang" label="是否适用：普通股股份变动对最近一年和最近一期每股收益、每股净资产等财务指标的影响" selectOptions="_buildInAppliance" controlType="CustomCheckbox" cRanges="{&quot;StartName&quot;:&quot;_GBC_bb0980f1589b4db8944ca5595f342bfe&quot;,&quot;EndName&quot;:&quot;_GBC_357a4417afe34f56bf112d0f65cd7d39&quot;,&quot;CType&quot;:1,&quot;DisplayText&quot;:null}"/>
      <m:item xlName="_GBC_357a4417afe34f56bf112d0f65cd7d39" concept="clcid-cgi:GuFenBianDongDuiZuiJinYiNianHeZuiJinYiQiCaiWuZhiBiaoDeYingXiang" label="股份变动对最近一年和最近一期财务指标的影响" appId="_GBC_bb0980f1589b4db8944ca5595f342bfe"/>
    </m:section>
    <m:section xlName="_GBC_ea8cea8d08c04df4b51a4a58c86eadd2" title="公司认为必要或证券监管机构要求披露的其他内容" rules="R2015_R6_001" convertSummaryRule="NoConvert" helpId="104001001">
      <m:item xlName="_GBC_7554eed1e25047d282437f24056d532b" concept="clcid-ci-ar:ShiFouShiYongGongSiRenWeiBiYaoHuoZhengQuanJianGuanJiGouYaoQiuPiLuDeQiTaNeiRong" label="是否适用：公司认为必要或证券监管机构要求披露的其他内容" selectOptions="_buildInAppliance" controlType="CustomCheckbox" cRanges="{&quot;StartName&quot;:&quot;_GBC_7554eed1e25047d282437f24056d532b&quot;,&quot;EndName&quot;:&quot;_GBC_498688d3a046460faa5100f61cc25605&quot;,&quot;CType&quot;:1,&quot;DisplayText&quot;:null}"/>
      <m:item xlName="_GBC_498688d3a046460faa5100f61cc25605" concept="clcid-cgi:GuFenBianDongGongSiRenWeiBiYaoHuoZhengQuanJianGuanJiGouYaoQiuPiLuDeQiTaNeiRong" label="股份变动公司认为必要或证券监管机构要求披露的其他内容" appId="_GBC_7554eed1e25047d282437f24056d532b"/>
    </m:section>
    <m:section xlName="_SEC_71bda84d0fff4902850bfc37d3477fb7" title="限售股份变动情况" helpId="104001031" helpText="注：若同一股东因不同限售原因或限售期限持有几类限售股份的，应当区别不同的限售原因或解除限售日期填写上表。">
      <m:item xlName="_GBC_6f5978a50e224b6aa94189436cdee711" concept="clcid-ci-ar:ShiFouShiYongXianShouGuFenBianDongQingKuangBiao" label="是否适用：限售股份变动情况表" selectOptions="_buildInAppliance" controlType="CustomCheckbox" cRanges="[{&quot;StartName&quot;:&quot;_GBC_6f5978a50e224b6aa94189436cdee711&quot;,&quot;EndName&quot;:&quot;_SEC_71bda84d0fff4902850bfc37d3477fb7&quot;,&quot;CType&quot;:1}]"/>
      <m:item xlName="_GBC_bc29b2c9162c4de0949e481db63b6d68" concept="clcid-ci-ar:DanWeiXianShouGuFenBianDongQingKuangBiao" label="单位：限售股份变动情况表" selectOptions="e5ff0938481c4e57a5dbc66853be82ef" controlType="Combobox" cellType="Scale" appId="_GBC_6f5978a50e224b6aa94189436cdee711"/>
      <m:placeholder xlName="_PLD_8d75aaa1e1a6469c8b8d62739512a0d7" addr="T0R0C0S1_1"/>
      <m:placeholder xlName="_PLD_3634bb194c734c2696ff13517825df21" addr="T0R0C1S1_1"/>
      <m:placeholder xlName="_PLD_4755ca33c9824685a97cc3f88e193f67" addr="T0R0C2S1_1"/>
      <m:placeholder xlName="_PLD_49473502339e4181be770f8a2d8de8a4" addr="T0R0C3S1_1"/>
      <m:placeholder xlName="_PLD_c697098ebce54cc48717d1ac0dbb84dd" addr="T0R0C4S1_1"/>
      <m:placeholder xlName="_PLD_d0290f9781f3416fbffc73a7286c9b99" addr="T0R0C5S1_1"/>
      <m:placeholder xlName="_PLD_a14912db8c344a3b8e5608678863e824" addr="T0R0C6S1_1"/>
      <m:tuple xlName="_GBC_5bf5408e6ceb4fc586213de4206b6642" concept="clcid-cgi:XianShouGuFenBianDongQingKuangMingXi" default_row="2" addr="T0R1C">
        <m:item xlName="_GBC_dae4376f306f44ffaa3a49307dd64e98" concept="clcid-cgi:XianShouGuFenBianDongQingKuangMingXiGuDongMingCheng" label="限售股份变动情况明细－股东名称" addr="T0R1C0S1_1" appId="_GBC_6f5978a50e224b6aa94189436cdee711"/>
        <m:item xlName="_GBC_4880eba9356e43bfab941cab6fa35356" concept="clcid-cgi:XianShouGuFenBianDongQingKuangMingXiXianShouGuFenShuLiang" label="限售股份变动情况明细－限售股份数量" periodRef="本期期初数" mulRef="_GBC_bc29b2c9162c4de0949e481db63b6d68" addr="T0R1C1S1_1" formatStyle="Comma" appId="_GBC_6f5978a50e224b6aa94189436cdee711"/>
        <m:item xlName="_GBC_ac05718510a847ee8e7b845f822db90e" concept="clcid-cgi:XianShouGuFenBianDongQingKuangMingXiJieChuXianShouGuFenShuLiang" label="限售股份变动情况明细－解除限售股份数量" mulRef="_GBC_bc29b2c9162c4de0949e481db63b6d68" addr="T0R1C2S1_1" formatStyle="Comma" appId="_GBC_6f5978a50e224b6aa94189436cdee711" otherRowSpan="true"/>
        <m:item xlName="_GBC_78748364c7704b31a7223890a3f8b3aa" concept="clcid-cgi:XianShouGuFenBianDongQingKuangMingXiZengJiaXianShouGuFenShuLiang" label="限售股份变动情况明细－增加限售股份数量" mulRef="_GBC_bc29b2c9162c4de0949e481db63b6d68" addr="T0R1C3S1_1" formatStyle="Comma" appId="_GBC_6f5978a50e224b6aa94189436cdee711"/>
        <m:item xlName="_GBC_75bb7ea6ecd5455bb54d328048a9e7df" concept="clcid-cgi:XianShouGuFenBianDongQingKuangMingXiXianShouGuFenShuLiang" label="限售股份变动情况明细－限售股份数量" mulRef="_GBC_bc29b2c9162c4de0949e481db63b6d68" addr="T0R1C4S1_1" formatStyle="Comma" appId="_GBC_6f5978a50e224b6aa94189436cdee711"/>
        <m:item xlName="_GBC_dfddc3dc28fb4a20a8f39c647a7d7f78" concept="clcid-cgi:XianShouGuFenBianDongQingKuangMingXiXianShouYuanYin" label="限售股份变动情况明细－限售原因" addr="T0R1C5S1_1" appId="_GBC_6f5978a50e224b6aa94189436cdee711"/>
        <m:item xlName="_GBC_3ae9c182ddc545e5b58c934f275666d2" concept="clcid-cgi:XianShouGuFenBianDongQingKuangMingXiJieChuXianShouRiQi" label="限售股份变动情况明细－解除限售日期" addr="T0R1C6S1_1" appId="_GBC_6f5978a50e224b6aa94189436cdee711" keyAction="38"/>
      </m:tuple>
      <m:placeholder xlName="_PLD_9f2d18ccb03a46749847552c3ae44f2d" addr="T0R3C0S1_1"/>
      <m:item xlName="_GBC_14007e88a61d452ba98a9c5938684b3c" concept="clcid-cgi:XianShouGuFenBianDongQingKuangZhongDeXianShouGuFenShuLiangHeJi" label="限售股份变动情况中的限售股份数量合计" periodRef="本期期初数" mulRef="_GBC_bc29b2c9162c4de0949e481db63b6d68" addr="T0R3C1S1_1" formatStyle="Comma" appId="_GBC_6f5978a50e224b6aa94189436cdee711"/>
      <m:item xlName="_GBC_2920924a499a47a4855a08990db3519a" concept="clcid-cgi:JieChuXianShouGuFenShuLiangHeJi" label="解除限售股份数量合计" mulRef="_GBC_bc29b2c9162c4de0949e481db63b6d68" addr="T0R3C2S1_1" formatStyle="Comma" appId="_GBC_6f5978a50e224b6aa94189436cdee711"/>
      <m:item xlName="_GBC_3ae125cf2f354d4abede9a3b074e0ab6" concept="clcid-cgi:ZengJiaXianShouGuFenShuLiangHeJi" label="增加限售股份数量合计" mulRef="_GBC_bc29b2c9162c4de0949e481db63b6d68" addr="T0R3C3S1_1" formatStyle="Comma" appId="_GBC_6f5978a50e224b6aa94189436cdee711"/>
      <m:item xlName="_GBC_2e8e29f69d174c4f930ed3cd4679c47b" concept="clcid-cgi:XianShouGuFenBianDongQingKuangZhongDeXianShouGuFenShuLiangHeJi" label="限售股份变动情况中的限售股份数量合计" mulRef="_GBC_bc29b2c9162c4de0949e481db63b6d68" addr="T0R3C4S1_1" formatStyle="Comma" appId="_GBC_6f5978a50e224b6aa94189436cdee711"/>
    </m:section>
    <m:section xlName="_GBC_ba0ac3b5d31347c0a620e3662112fa62" title="股东总数" rules="R2015_R6_002" convertSummaryRule="NoConvert" helpId="104002001">
      <m:placeholder xlName="_PLD_9206d6884981495295105158630a6172" addr="T0R0C0S1_1"/>
      <m:item xlName="_GBC_9fd402ec66014f4e9716c7fdb0286bd2" concept="clcid-cgi:BaoGaoQiMoGuDongZongShu" label="报告期末股东总数" addr="T0R0C1S1_1" tagAction="1" formatStyle="Comma">
        <m:simpleRule dataType="Any" comparator="None" minOccurs="1"/>
      </m:item>
      <m:placeholder xlName="_PLD_40c51c13ddad420ab635010b5df15a40" addr="T0R1C0S1_1"/>
      <m:item xlName="_GBC_b41615ffc6ff4fa08ac28734990e5cff" concept="clcid-cgi:BaoGaoQiMoBiaoJueQuanHuiFuDeYouXianGuGuDongZongShu" label="报告期末表决权恢复的优先股股东总数" addr="T0R1C1S1_1" formatStyle="Comma"/>
    </m:section>
    <m:section xlName="_GBC_558dfa41ef4b4fa8adb57b3c9c0a2887" title="前十名股东持股情况(已完成或不涉及股改)" rules="R2015_R6_002" checkKey="!非流通股" helpId="104001032"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GBC_558dfa41ef4b4fa8adb57b3c9c0a2887" optionText="已完成股权分置改革或不涉及股权分置改革" optionGroupTitle="前十名股东持股情况" optionTargetConcept="clcid-cgi:GuQuanFenZhiGaiGeZhuangTai" optionTargetConceptValue="已完成股权分置改革" otherKeyActions="{&quot;KeyCode&quot;:&quot;SF_SSE&quot;,&quot;KeyAction&quot;:47,&quot;KeyActionTitle&quot;:null,&quot;OtherActions&quot;:null}">
      <m:item xlName="_GBC_9d020b31dcb449c980ed0856cf6dae82" concept="clcid-ci-ar:DanWeiQianShiMingGuDongChiGuQingKuang" label="单位：前十名股东持股情况" selectOptions="e5ff0938481c4e57a5dbc66853be82ef" controlType="Combobox" cellType="Scale"/>
      <m:placeholder xlName="_PLD_3038da138bad4905b589aeba821a8575" addr="T0R0C0S1_9"/>
      <m:placeholder xlName="_PLD_80eda5ca76254dc1b950ed7de7dc5885" addr="T0R1C0S2_1"/>
      <m:placeholder xlName="_PLD_ca2ffd3fc186426e98aac562ecc1ba54" addr="T0R1C1S2_1"/>
      <m:placeholder xlName="_PLD_084006d53bec42bea9418fc4576a1210" addr="T0R1C2S2_1"/>
      <m:placeholder xlName="_PLD_f27008de77ee4b27b35e2ae22d35699c" addr="T0R1C3S2_1"/>
      <m:placeholder xlName="_PLD_34fcc5fa9a414555bef1b48aa74c8135" addr="T0R1C4S2_1"/>
      <m:placeholder xlName="_PLD_94fbee67e09740e59eb90272af77b58a" addr="T0R1C5S1_3"/>
      <m:placeholder xlName="_PLD_2228ecf4db6a4362bff11fe1e2d3c903" addr="T0R1C8S2_1"/>
      <m:placeholder xlName="_PLD_45bf36a531de47beb596ebacadac576a" addr="T0R2C5S1_1"/>
      <m:placeholder xlName="_PLD_bea7397233604f859f8d14f2ae0a0417" addr="T0R2C6S1_2"/>
      <m:tuple xlName="_GBC_5fc8eaeeffc7456eb1a09687db3d4206" concept="clcid-cgi:QianShiMingGuDongChiGuQingKuang" default_row="10" addr="T0R3C">
        <m:item xlName="_GBC_8846839d232a4529b490cc7f8ba3425b" concept="clcid-cgi:QianShiMingGuDongMingCheng" label="前十名股东名称" addr="T0R3C0S1_1" cellConvertType="1"/>
        <m:item xlName="_GBC_dd82656118864f5fa58cbb732b2e3d44" concept="clcid-cgi:QianShiMingGuDongBaoGaoQiNeiZengJian" label="前十名股东报告期内增减" mulRef="_GBC_9d020b31dcb449c980ed0856cf6dae82" addr="T0R3C1S1_1" formatStyle="Comma"/>
        <m:item xlName="_GBC_21e721a8c42f4a7d9ae0210dfab58dc0" concept="clcid-cgi:GuDongChiYouGuFenShuLiang" label="股东持有股份数量" mulRef="_GBC_9d020b31dcb449c980ed0856cf6dae82" addr="T0R3C2S1_1" formatStyle="Comma"/>
        <m:item xlName="_GBC_af1e942e468b47a4afb89abcd0f832eb" concept="clcid-cgi:QianShiMingGuDongChiGuBiLi" label="前十名股东持股比例" addr="T0R3C3S1_1" baseScale="0.01" formatStyle="Comma"/>
        <m:item xlName="_GBC_eba1aeefd3564272b49eded8e8392686" concept="clcid-cgi:QianShiMingGuDongChiYouYouXianShouTiaoJianGuFenShuLiang" label="前十名股东持有有限售条件股份数量" mulRef="_GBC_9d020b31dcb449c980ed0856cf6dae82" addr="T0R3C4S1_1" formatStyle="Comma"/>
        <m:item xlName="_GBC_d5194108b2a8481e94140819dbdc5afe" concept="clcid-cgi:QianShiMingGuDongChiYouGuFenZhuangTai" label="前十名股东持有股份状态" selectOptions="6a50f97e0c674873ae4c0acd28a382bf" addr="T0R3C5S1_1" controlType="Combobox" tupleRef="clcid-cgi:QianShiMingGuDongZhiYaHuoDongJieQingKuang">
          <m:simpleRule dataType="Any" comparator="None" minOccurs="1"/>
        </m:item>
        <m:item xlName="_GBC_c5bdf1d3cef34caf9d7c35760892e906" concept="clcid-cgi:QianShiMingGuDongChiYouGuFenZhiYaHuoDongJieShuLiang" label="前十名股东持有股份质押或冻结数量" mulRef="_GBC_9d020b31dcb449c980ed0856cf6dae82" addr="T0R3C6S1_2" formatStyle="Comma" tupleRef="clcid-cgi:QianShiMingGuDongZhiYaHuoDongJieQingKuang"/>
        <m:item xlName="_GBC_71380bc899eb4b9781e95e37e7a1e221" concept="clcid-cgi:QianShiMingGuDongDeGuDongXingZhi" label="前十名股东的股东性质" selectOptions="f371909bbdae4d04a10e78aba57d12e7" addr="T0R3C8S1_1" controlType="Combobox">
          <m:simpleRule dataType="Any" comparator="None" minOccurs="1"/>
        </m:item>
      </m:tuple>
      <m:placeholder xlName="_PLD_6f36efd0621247ffb7b2462dd9753e27" addr="T0R13C0S1_9"/>
      <m:placeholder xlName="_PLD_6c8c7d50ba2b44858757eeaaa20b5499" addr="T0R14C0S2_2"/>
      <m:placeholder xlName="_PLD_e4987b1a07a6489c82ab5ef0aa3370ea" addr="T0R14C2S2_3"/>
      <m:placeholder xlName="_PLD_26ce78cac14a427ca05aa80b21b65936" addr="T0R14C5S1_4"/>
      <m:placeholder xlName="_PLD_05580a00e3f942c0b2da618818a84669" addr="T0R15C5S1_2"/>
      <m:placeholder xlName="_PLD_7f8ec6251e234192b411b34b07ccd732" addr="T0R15C7S1_2"/>
      <m:tuple xlName="_GBC_d4835fea183942b8823bf8913d1f2f26" concept="clcid-cgi:QianShiMingWuXianShouTiaoJianGuDongChiGuQingKuang" default_row="10" addr="T0R16C">
        <m:item xlName="_GBC_e7d3ea3aba0c41fea2694430b9776570" concept="clcid-cgi:QianShiMingWuXianShouTiaoJianGuDongDeMingCheng" label="前十名无限售条件股东的名称" addr="T0R16C0S1_2" cellConvertType="1"/>
        <m:item xlName="_GBC_3071796e0aaa4402bb4a49b9760a4842" concept="clcid-cgi:QianShiMingWuXianShouTiaoJianGuDongQiMoChiYouLiuTongGuDeShuLiang" label="前十名无限售条件股东期末持有流通股的数量" mulRef="_GBC_9d020b31dcb449c980ed0856cf6dae82" addr="T0R16C2S1_3" formatStyle="Comma"/>
        <m:item xlName="_GBC_5d0d3dfc3b8545ce906ab8a21728fb94" concept="clcid-cgi:QianShiMingWuXianShouTiaoJianGuDongQiMoChiYouLiuTongGuDeZhongLei" label="前十名无限售条件股东期末持有流通股的种类" selectOptions="16b5d517d72d4ea998fd9d66e4a5e3f3" addr="T0R16C5S1_2" controlType="Combobox" tupleRef="clcid-cgi:QianShiMingWuXianShouTiaoJianGuDongQiMoChiYouLiuTongGuDeFenZhongLeiQingKuang"/>
        <m:item xlName="_GBC_49a68b1046d5401996c621b7568b2c9e" concept="clcid-cgi:QianShiMingWuXianShouTiaoJianGuDongQiMoChiYouLiuTongGuDeZhongLeiShuLiang" label="前十名无限售条件股东期末持有流通股的种类数量" mulRef="_GBC_9d020b31dcb449c980ed0856cf6dae82" addr="T0R16C7S1_2" formatStyle="Comma" tupleRef="clcid-cgi:QianShiMingWuXianShouTiaoJianGuDongQiMoChiYouLiuTongGuDeFenZhongLeiQingKuang"/>
      </m:tuple>
      <m:placeholder xlName="_PLD_4b46a710569e470996b1037551fc02bf" addr="T0R26C0S1_2"/>
      <m:item xlName="_GBC_003d75e9e4fd4154ae2ca2a6f574c254" concept="clcid-cgi:QianShiMingGuDongZhongHuiGouZhuanHuQingKuangShuoMing" label="前十名股东中回购专户情况说明" addr="T0R26C2S1_7"/>
      <m:placeholder xlName="_PLD_bc2af940e93042a39994415f0e50380a" addr="T0R27C0S1_2"/>
      <m:item xlName="_GBC_52a6ba1f8c3e4371b2fc9dbfee72131b" concept="clcid-cgi:ShangShuGuDongWeiTuoBiaoJueQuanShouTuoBiaoJueQuanFangQiBiaoJueQuanDeShuoMing" label="上述股东委托表决权、受托表决权、放弃表决权的说明" addr="T0R27C2S1_7"/>
      <m:placeholder xlName="_PLD_7013809d29cf4718a9bcc3305f3a2fcd" addr="T0R28C0S1_2"/>
      <m:item xlName="_GBC_cc84e7803db74d7ab5204a71bbfd4c35" concept="clcid-cgi:GuDongGuanLianGuanXiHuoYiZhiXingDongDeShuoMing" label="股东关联关系或一致行动的说明" addr="T0R28C2S1_7"/>
      <m:placeholder xlName="_PLD_03a6639ad7fb4ac1a2cd145fe333146e" addr="T0R29C0S1_2"/>
      <m:item xlName="_GBC_3414803bdc594d62acc9cac898b36748" concept="clcid-cgi:BiaoJueQuanHuiFuDeYouXianGuGuDongJiChiGuShuLiangDeShuoMing" label="表决权恢复的优先股股东及持股数量的说明" addr="T0R29C2S1_7"/>
      <m:item xlName="_GBC_681c25d581914cb19d4b007c00511b6a" concept="clcid-ci-ar:ShiFouShiYongQianShiMingYouXianShouTiaoJianGuDongChiGuShuLiangJiXianShouTiaoJian" label="是否适用：前十名有限售条件股东持股数量及限售条件" selectOptions="_buildInAppliance" controlType="CustomCheckbox" cRanges="{&quot;StartName&quot;:&quot;_GBC_681c25d581914cb19d4b007c00511b6a&quot;,&quot;EndName&quot;:&quot;_GBC_8a2ba319ae1440deaf08c75a61298d5c&quot;,&quot;CType&quot;:1,&quot;DisplayText&quot;:null}"/>
      <m:item xlName="_GBC_e1f4dc77c6fe470d84a40ebf654565a1" concept="clcid-ci-ar:DanWeiQianShiMingYouXianShouTiaoJianGuDongChiGuShuLiangJiXianShouTiaoJian" label="单位：前十名有限售条件股东持股数量及限售条件" selectOptions="e5ff0938481c4e57a5dbc66853be82ef" controlType="Combobox" cellType="Scale" appId="_GBC_681c25d581914cb19d4b007c00511b6a"/>
      <m:placeholder xlName="_PLD_c92f9760fb844bdcbf137801edfe1487" addr="T1R0C0S2_1"/>
      <m:placeholder xlName="_PLD_f0351f96214540d48d3086df8f215bd8" addr="T1R0C1S2_1"/>
      <m:placeholder xlName="_PLD_0c27248bc4a349a5829f031d37409979" addr="T1R0C2S2_1"/>
      <m:placeholder xlName="_PLD_587ec775b6a04dd5a88413426813db47" addr="T1R0C3S1_2"/>
      <m:placeholder xlName="_PLD_0d2174cf11f94614b4639460c051a27a" addr="T1R0C5S2_1"/>
      <m:placeholder xlName="_PLD_b302119e40884c6483e7fa11ca891aa5" addr="T1R1C3S1_1"/>
      <m:placeholder xlName="_PLD_91e34be7fab047108c36f6a6d8a5ce0d" addr="T1R1C4S1_1"/>
      <m:tuple xlName="_GBC_62e0ab38d74544fd9d47241b6b823153" concept="clcid-cgi:QianShiMingYouXianShouTiaoJianGuDongChiGuShuLiangJiXianShouTiaoJianQingKuang" default_row="10" addr="T1R2C">
        <m:placeholder xlName="_GBC_f32d0bdb0c31457e83a46f73c1a5c98a" sequenceName="前十名有限售条件股东持股数量及限售条件" sequenceStep="1" addr="T1R2C0S1_1"/>
        <m:item xlName="_GBC_e9d47a27f6b640f7934495537fdd7876" concept="clcid-cgi:QianShiMingYouXianShouTiaoJianGuDongMingCheng" label="前十名有限售条件股东名称" addr="T1R2C1S1_1" cellConvertType="1" appId="_GBC_681c25d581914cb19d4b007c00511b6a"/>
        <m:item xlName="_GBC_ef7fcc20495a41db9d99a19cf2927e60" concept="clcid-cgi:QianShiMingYouXianShouTiaoJianGuDongChiYouDeYouXianShouTiaoJianGuFenShuLiang" label="前十名有限售条件股东持有的有限售条件股份数量" mulRef="_GBC_e1f4dc77c6fe470d84a40ebf654565a1" addr="T1R2C2S1_1" formatStyle="Comma" appId="_GBC_681c25d581914cb19d4b007c00511b6a"/>
        <m:item xlName="_GBC_b08285741b4540e0bd723640947a0d4b" concept="clcid-cgi:QianShiMingYouXianShouTiaoJianGuDongChiYouDeYouXianShouTiaoJianGuFenKeShangShiJiaoYiShiJian" label="前十名有限售条件股东持有的有限售条件股份可上市交易时间" addr="T1R2C3S1_1" tupleRef="clcid-cgi:QianShiMingYouXianShouTiaoJianGuDongChiYouDeYouXianShouTiaoJianGuFenKeShangShiJiaoYiQingKuang" appId="_GBC_681c25d581914cb19d4b007c00511b6a" keyAction="38"/>
        <m:item xlName="_GBC_e4f1dbfa1b714ff7bbcf0996dfb582c7" concept="clcid-cgi:QianShiMingYouXianShouTiaoJianGuDongXinZengKeShangShiJiaoYiGuFenShuLiang" label="前十名有限售条件股东新增可上市交易股份数量" mulRef="_GBC_e1f4dc77c6fe470d84a40ebf654565a1" addr="T1R2C4S1_1" formatStyle="Comma" tupleRef="clcid-cgi:QianShiMingYouXianShouTiaoJianGuDongChiYouDeYouXianShouTiaoJianGuFenKeShangShiJiaoYiQingKuang" appId="_GBC_681c25d581914cb19d4b007c00511b6a"/>
        <m:item xlName="_GBC_43b86de3500948e888426ac26fdd051a" concept="clcid-cgi:QianShiMingYouXianShouTiaoJianGuDongXianShouTiaoJian" label="前十名有限售条件股东限售条件" addr="T1R2C5S1_1" appId="_GBC_681c25d581914cb19d4b007c00511b6a"/>
      </m:tuple>
      <m:placeholder xlName="_PLD_36d7b2d69f1746d18d12a19b0bd1d57e" addr="T1R12C0S1_2"/>
      <m:item xlName="_GBC_8a2ba319ae1440deaf08c75a61298d5c" concept="clcid-cgi:YouXianShouTiaoJianGuDongGuanLianGuanXiHuoYiZhiXingDongDeShuoMing" label="有限售条件股东关联关系或一致行动的说明" addr="T1R12C2S1_4" appId="_GBC_681c25d581914cb19d4b007c00511b6a"/>
    </m:section>
    <m:section xlName="_GBC_4a9721209ff04ca9a1a9139d61e2a864" title="持有公司5%以上股份的前十名股东持股情况(未完成股改)" rules="R2015_R6_002" checkKey="!无限售" helpId="104001032"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GBC_558dfa41ef4b4fa8adb57b3c9c0a2887" optionText="未完成股权分置改革" optionGroupTitle="前十名股东持股情况" optionTargetConcept="clcid-cgi:GuQuanFenZhiGaiGeZhuangTai" optionTargetConceptValue="未完成股权分置改革" otherKeyActions="{&quot;KeyCode&quot;:&quot;SF_SSE&quot;,&quot;KeyAction&quot;:47,&quot;KeyActionTitle&quot;:null,&quot;OtherActions&quot;:null}">
      <m:item xlName="_GBC_efd6a562b6c346c98539a6c41dace4bb" concept="clcid-ci-ar:DanWeiQianShiMingGuDongChiGuQingKuang" label="单位：前十名股东持股情况" selectOptions="e5ff0938481c4e57a5dbc66853be82ef" controlType="Combobox" cellType="Scale"/>
      <m:placeholder xlName="_PLD_f34c3bad2c384b5a852674315a8be35c" addr="T0R0C0S1_9"/>
      <m:placeholder xlName="_PLD_3e4d58596c0740e2bccf3e9206c01b82" addr="T0R1C0S2_1"/>
      <m:placeholder xlName="_PLD_a19bc37e353447f1bd234d72c8ad17d2" addr="T0R1C1S2_1"/>
      <m:placeholder xlName="_PLD_97e3ca3e6531496082a3d582b0b9c843" addr="T0R1C2S2_1"/>
      <m:placeholder xlName="_PLD_467d4d830d4d4267968c0ad1dc54399f" addr="T0R1C3S2_1"/>
      <m:placeholder xlName="_PLD_f2bb9639d0e94bf393c019de9bd264f8" addr="T0R1C4S2_1"/>
      <m:placeholder xlName="_PLD_38700d39ed724279a57a2bd125bfc499" addr="T0R1C5S2_1"/>
      <m:placeholder xlName="_PLD_08227d2a36da4d4b82fddaa4517f5367" addr="T0R1C6S1_2"/>
      <m:placeholder xlName="_PLD_0b45bb5771474897944d82469ff59aca" addr="T0R1C8S2_1"/>
      <m:placeholder xlName="_PLD_ea4aeb9ba4994591bbe9a3ca6cbda2e4" addr="T0R2C6S1_1"/>
      <m:placeholder xlName="_PLD_1acfc4bacad241518497d254c99da3bb" addr="T0R2C7S1_1"/>
      <m:tuple xlName="_GBC_8086c9368e5e408cb2836c24a1ec468a" concept="clcid-cgi:QianShiMingGuDongChiGuQingKuang" default_row="10" addr="T0R3C">
        <m:item xlName="_GBC_00022b1567fd4437ae6fe2435be3f174" concept="clcid-cgi:QianShiMingGuDongMingCheng" label="前十名股东名称" addr="T0R3C0S1_1" cellConvertType="1"/>
        <m:item xlName="_GBC_02ea116deba64499bdf14582a19f16b4" concept="clcid-cgi:QianShiMingGuDongBaoGaoQiNeiZengJian" label="前十名股东报告期内增减" mulRef="_GBC_efd6a562b6c346c98539a6c41dace4bb" addr="T0R3C1S1_1" formatStyle="Comma"/>
        <m:item xlName="_GBC_93314af0b31d479e838bb5dd7f9e8b64" concept="clcid-cgi:GuDongChiYouGuFenShuLiang" label="股东持有股份数量" mulRef="_GBC_efd6a562b6c346c98539a6c41dace4bb" addr="T0R3C2S1_1" formatStyle="Comma"/>
        <m:item xlName="_GBC_183167afe3674dbf8f15f3d341637b37" concept="clcid-cgi:QianShiMingGuDongChiGuBiLi" label="前十名股东持股比例" addr="T0R3C3S1_1" baseScale="0.01" formatStyle="Comma"/>
        <m:item xlName="_GBC_3596a29b5f2d47839088259a5c93531d" concept="clcid-cgi:QianShiMingGuDongGuFenLeiBie" label="前十名股东股份类别" selectOptions="986123509c9a445180dce3281b45e3cf" addr="T0R3C4S1_1" controlType="Combobox"/>
        <m:item xlName="_GBC_12de54d132744888aa9dfef98cd0f84a" concept="clcid-cgi:QianShiMingGuDongChiYouFeiLiuTongGuShuLiang" label="前十名股东持有非流通股数量" mulRef="_GBC_efd6a562b6c346c98539a6c41dace4bb" addr="T0R3C5S1_1" formatStyle="Comma"/>
        <m:item xlName="_GBC_8c9d2f27327f46c2803df402e87edc22" concept="clcid-cgi:QianShiMingGuDongChiYouGuFenZhuangTai" label="前十名股东持有股份状态" selectOptions="6a50f97e0c674873ae4c0acd28a382bf" addr="T0R3C6S1_1" controlType="Combobox" tupleRef="clcid-cgi:QianShiMingGuDongZhiYaHuoDongJieQingKuang">
          <m:simpleRule dataType="Any" comparator="None" minOccurs="1"/>
        </m:item>
        <m:item xlName="_GBC_18c336a5598146cfb0175e4eafbc009d" concept="clcid-cgi:QianShiMingGuDongChiYouGuFenZhiYaHuoDongJieShuLiang" label="前十名股东持有股份质押或冻结数量" mulRef="_GBC_efd6a562b6c346c98539a6c41dace4bb" addr="T0R3C7S1_1" formatStyle="Comma" tupleRef="clcid-cgi:QianShiMingGuDongZhiYaHuoDongJieQingKuang"/>
        <m:item xlName="_GBC_1fa45f88378e4ec084637abc0ad932dc" concept="clcid-cgi:QianShiMingGuDongDeGuDongXingZhi" label="前十名股东的股东性质" selectOptions="f371909bbdae4d04a10e78aba57d12e7" addr="T0R3C8S1_1" controlType="Combobox"/>
      </m:tuple>
      <m:placeholder xlName="_PLD_123c24c513bb49e8be6e196a5042dee9" addr="T0R13C0S1_9"/>
      <m:placeholder xlName="_PLD_e3154d0742fa45d6b98703179bbcc388" addr="T0R14C0S2_2"/>
      <m:placeholder xlName="_PLD_76efcb3378d5451986557a888a5c6547" addr="T0R14C2S2_3"/>
      <m:placeholder xlName="_PLD_153a978f02314addb7a2c3393fcd3603" addr="T0R14C5S1_4"/>
      <m:placeholder xlName="_PLD_df2ad8823df0451aa9482e0fe5be9469" addr="T0R15C5S1_2"/>
      <m:placeholder xlName="_PLD_d24ab25e6acd4173b375a8ed8f00ba70" addr="T0R15C7S1_2"/>
      <m:tuple xlName="_GBC_717d510ef9e24c26bd8017e925fc841d" concept="clcid-cgi:QianShiMingLiuTongGuDongChiGuQingKuang" default_row="10" addr="T0R16C">
        <m:item xlName="_GBC_29151e0989e345d2beb52631abdf6c04" concept="clcid-cgi:QianShiMingLiuTongGuGuDongDeMingCheng" label="前十名流通股股东的名称" addr="T0R16C0S1_2" cellConvertType="1"/>
        <m:item xlName="_GBC_fdfd6c85f7fd4c148ba476d4513f0f4d" concept="clcid-cgi:QianShiMingLiuTongGuGuDongQiMoChiYouLiuTongGuDeShuLiang" label="前十名流通股股东期末持有流通股的数量" mulRef="_GBC_efd6a562b6c346c98539a6c41dace4bb" addr="T0R16C2S1_3" formatStyle="Comma"/>
        <m:item xlName="_GBC_8da055b25f8144bc9c8568f3f806d1d7" concept="clcid-cgi:QianShiMingLiuTongGuGuDongQiMoChiYouLiuTongGuDeZhongLei" label="前十名流通股股东期末持有流通股的种类" selectOptions="16b5d517d72d4ea998fd9d66e4a5e3f3" addr="T0R16C5S1_2" controlType="Combobox" tupleRef="clcid-cgi:QianShiMingLiuTongGuGuDongQiMoChiYouLiuTongGuFenZhongLeiQingKuang"/>
        <m:item xlName="_GBC_a0b8fc56fe1e431b8d1e318fee9b4e1d" concept="clcid-cgi:QianShiMingLiuTongGuGuDongQiMoChiYouLiuTongGuFenZhongLeiDeShuLiang" label="前十名流通股股东期末持有流通股分种类的具体数量" mulRef="_GBC_efd6a562b6c346c98539a6c41dace4bb" addr="T0R16C7S1_2" formatStyle="Comma" tupleRef="clcid-cgi:QianShiMingLiuTongGuGuDongQiMoChiYouLiuTongGuFenZhongLeiQingKuang"/>
      </m:tuple>
      <m:placeholder xlName="_PLD_c67dbef47b6a4af28402bde66e358416" addr="T0R26C0S1_2"/>
      <m:item xlName="_GBC_9c7ca9bfa1084138964f6d6356d2e84d" concept="clcid-cgi:BaoGaoQiMoChiYouTeBieBiaoJueQuanGuFenDeGuDongZongShu" label="报告期末持有特别表决权股份的股东总数" addr="T0R26C2S1_7" formatStyle="Comma"/>
      <m:placeholder xlName="_PLD_ed1cf178b8844d1dab56dfa423c6efde" addr="T0R27C0S1_2"/>
      <m:item xlName="_GBC_75c4e96c71c94deabe95883f5104da8d" concept="clcid-cgi:ShangShuGuDongWeiTuoBiaoJueQuanShouTuoBiaoJueQuanFangQiBiaoJueQuanDeShuoMing" label="上述股东委托表决权、受托表决权、放弃表决权的说明" addr="T0R27C2S1_7"/>
      <m:placeholder xlName="_PLD_6442a6568b034ebd97444b330409fdf6" addr="T0R28C0S1_2"/>
      <m:item xlName="_GBC_8c7c714ce3e5442e99fd943232d1baf5" concept="clcid-cgi:GuDongGuanLianGuanXiHuoYiZhiXingDongDeShuoMing" label="股东关联关系或一致行动的说明" addr="T0R28C2S1_7"/>
      <m:placeholder xlName="_PLD_994bbdc4368a47dd80ab2fed49c8dffe" addr="T0R29C0S1_2"/>
      <m:item xlName="_GBC_77033b7868844faaa0f60361279ef4f4" concept="clcid-cgi:BiaoJueQuanHuiFuDeYouXianGuGuDongJiChiGuShuLiangDeShuoMing" label="表决权恢复的优先股股东及持股数量的说明" addr="T0R29C2S1_7"/>
    </m:section>
    <m:section xlName="_GBC_e978a717352b4bf6852a761b15c1e95b" title="战略投资者或一般法人因配售新股成为前10名股东" rules="R2015_R6_002" convertSummaryRule="NoConvert" helpId="104001032">
      <m:item xlName="_GBC_fe7bdc72bd78490fb48d0f3eaca6248e" concept="clcid-ci-ar:ShiFouShiYongZhanLueTouZiZheHuoYiBanFaRenYinPeiShouXinGuChengWeiQianMingGuDong" label="是否适用：战略投资者或一般法人因配售新股成为前10名股东" selectOptions="_buildInAppliance" controlType="CustomCheckbox" cRanges="{&quot;StartName&quot;:&quot;_GBC_fe7bdc72bd78490fb48d0f3eaca6248e&quot;,&quot;EndName&quot;:&quot;_GBC_7d08f386794741b0a8e7202eabe9ffd9&quot;,&quot;CType&quot;:1,&quot;DisplayText&quot;:null}"/>
      <m:placeholder xlName="_PLD_b720b370cfc64e7f9d06f6ca11b76758" addr="T0R0C0S1_1"/>
      <m:placeholder xlName="_PLD_1763d66d974943fbb28281aaacc445c1" addr="T0R0C1S1_1"/>
      <m:placeholder xlName="_PLD_7fe7f879a4dc4a669c19a95107185aa0" addr="T0R0C2S1_1"/>
      <m:tuple xlName="_GBC_f3a536665a1248a180d42417489e0a24" concept="clcid-cgi:ZhanLueTouZiZheHuoYiBanFaRenCanYuPeiShouXinGuYueDingChiGuQiXianDeQingKuang" default_row="2" addr="T0R1C">
        <m:item xlName="_GBC_cc478f88393f4f7f9f3c3e5ee8c198da" concept="clcid-cgi:ZhanLueTouZiZheHuoYiBanFaRenDeMingCheng" label="战略投资者或一般法人的名称" addr="T0R1C0S1_1" appId="_GBC_fe7bdc72bd78490fb48d0f3eaca6248e"/>
        <m:item xlName="_GBC_8d10b1e311a94bf7a21e4025e0809a8e" concept="clcid-cgi:ZhanLueTouZiZheHuoYiBanFaRenYueDingChiGuQiShiRiQi" label="战略投资者或一般法人约定持股起始日期" addr="T0R1C1S1_1" appId="_GBC_fe7bdc72bd78490fb48d0f3eaca6248e" keyAction="38"/>
        <m:item xlName="_GBC_2441da6d9ead43f3841dcf1995669795" concept="clcid-cgi:ZhanLueTouZiZheHuoYiBanFaRenYueDingChiGuZhongZhiRiQi" label="战略投资者或一般法人约定持股终止日期" addr="T0R1C2S1_1" appId="_GBC_fe7bdc72bd78490fb48d0f3eaca6248e" keyAction="38"/>
      </m:tuple>
      <m:placeholder xlName="_PLD_c9441d52d6a8490fa4a5f278fb22496f" addr="T0R3C0S1_1"/>
      <m:item xlName="_GBC_7d08f386794741b0a8e7202eabe9ffd9" concept="clcid-cgi:ZhanLueTouZiZheHuoYiBanFaRenCanYuPeiShouXinGuYueDingChiGuQiXianDeShuoMing" label="战略投资者或一般法人参与配售新股约定持股期限的说明" addr="T0R3C1S1_2" appId="_GBC_fe7bdc72bd78490fb48d0f3eaca6248e"/>
    </m:section>
    <m:section xlName="_SEC_34f8808520ab47be851d00ee44fc510b" title="现任及报告期内离任董事、监事和高级管理人员持股变动情况 " helpId="105001001" helpText="注：\n1、报告期内离任的董事、监事、高级管理人员，仍需按本章要求披露相关内容。\n2、报告期后新任的，董事、监事、高级管理人员可作附注说明。\n注：职务如是独立董事，需单独注明。" axisType="Column">
      <m:item xlName="_GBC_e4aa9f89c24b4cbb80c479762adcf568" concept="clcid-ci-ar:ShiFouShiYongDongShiJianShiHeGaoJiGuanLiRenYuanChiGuBianDong" label="是否适用：董事、监事和高级管理人员持股变动" selectOptions="_buildInAppliance" controlType="CustomCheckbox" cRanges="[{&quot;StartName&quot;:&quot;_GBC_e4aa9f89c24b4cbb80c479762adcf568&quot;,&quot;EndName&quot;:&quot;_GBC_bef4923a7bcd49dea26bebe1805cf38e&quot;,&quot;CType&quot;:1}]"/>
      <m:item xlName="_GBC_87d809188f454ec0b46d64b3aa35bd40" concept="clcid-ci-ar:DanWeiDongShiJianShiGaoJiGuanLiRenYuanJiBenQingKuang" label="单位：董事、监事、高级管理人员基本情况" selectOptions="e5ff0938481c4e57a5dbc66853be82ef" controlType="Combobox" cellType="Scale" appId="_GBC_e4aa9f89c24b4cbb80c479762adcf568"/>
      <m:placeholder xlName="_PLD_1f7680f216a54f238a0fc6f41541ae82" addr="T0R0C0S1_1"/>
      <m:placeholder xlName="_PLD_f9cf95b77e9f44c08a598757ed99ae89" addr="T0R0C1S1_1"/>
      <m:placeholder xlName="_PLD_97b791fb142e4247b083ceff8590ac69" addr="T0R0C2S1_1"/>
      <m:placeholder xlName="_PLD_548f968bd4a54832b0fba78005a85b32" addr="T0R0C3S1_1"/>
      <m:placeholder xlName="_PLD_bbad2f3819564189adee6d267c1fd8e7" addr="T0R0C4S1_1"/>
      <m:placeholder xlName="_PLD_4dafa7f2d8e14e03aadd815fa6ee7ac6" addr="T0R0C5S1_1"/>
      <m:tuple xlName="_GBC_637f1e2e02a742e98479d730ea2f8e02" concept="clcid-cgi:DongShiJianShiGaoJiGuanLiRenYuanJiBenQingKuang" default_row="2" addr="T0R1C">
        <m:item xlName="_GBC_4ff68bf7b7a1489e85e4760f354f9cf6" concept="clcid-cgi:DongShiJianShiGaoJiGuanLiRenYuanXingMing" label="董事、监事、高级管理人员姓名" addr="T0R1C0S1_1" appId="_GBC_e4aa9f89c24b4cbb80c479762adcf568" keyAction="37"/>
        <m:item xlName="_GBC_adb15e3b887d44c2a04f8e548067c2dd" concept="clcid-cgi:DongShiJianShiGaoJiGuanLiRenYuanZhiWu" label="董事、监事、高级管理人员职务" selectOptions="13889f86fbdd4172ae29377326e4544f" addr="T0R1C1S1_1" controlType="Combobox" appId="_GBC_e4aa9f89c24b4cbb80c479762adcf568"/>
        <m:item xlName="_GBC_28f810aa06bf4d96bd490ba44936d994" concept="clcid-cgi:DongShiJianShiGaoJiGuanLiRenYuanChiGuShuLiang" label="董事、监事、高级管理人员持股数量" periodRef="本期期初数" mulRef="_GBC_87d809188f454ec0b46d64b3aa35bd40" addr="T0R1C2S1_1" formatStyle="Comma" appId="_GBC_e4aa9f89c24b4cbb80c479762adcf568"/>
        <m:item xlName="_GBC_9bbdc744004f45a1842f7da30d34443f" concept="clcid-cgi:DongShiJianShiGaoJiGuanLiRenYuanChiGuShuLiang" label="董事、监事、高级管理人员持股数量" mulRef="_GBC_87d809188f454ec0b46d64b3aa35bd40" addr="T0R1C3S1_1" formatStyle="Comma" appId="_GBC_e4aa9f89c24b4cbb80c479762adcf568"/>
        <m:item xlName="_GBC_d8a51939ddf74610bde6c4424169ef39" concept="clcid-cgi:DongShiJianShiGaoJiGuanLiRenYuanBaoGaoQiNeiGuFenZengJianBianDongLiang" label="董事、监事、高级管理人员报告期内股份增减变动量" mulRef="_GBC_87d809188f454ec0b46d64b3aa35bd40" addr="T0R1C4S1_1" formatStyle="Comma" appId="_GBC_e4aa9f89c24b4cbb80c479762adcf568"/>
        <m:item xlName="_GBC_bef4923a7bcd49dea26bebe1805cf38e" concept="clcid-cgi:DongShiJianShiGaoJiGuanLiRenYuanBaoGaoQiNeiGuFenZengJianBianDongDeYuanYin" label="董事、监事、高级管理人员报告期内股份增减变动的原因" addr="T0R1C5S1_1" appId="_GBC_e4aa9f89c24b4cbb80c479762adcf568"/>
      </m:tuple>
    </m:section>
    <m:section xlName="_SEC_ddbdd27d049d452a9d63bfa087a3f3c5" title="其它情况说明">
      <m:item xlName="_GBC_6604d619d6f94a81b12f8155637bb211" concept="clcid-ci-ar:ShiFouShiYongDongShiJianShiHeGaoJiGuanLiRenYuanChiGuBianDongJiBaoChouQingKuangQiTaQingKuangShuoMing" label="是否适用：董事、监事 和高级管理人员持股变动及报酬情况其他情况说明" selectOptions="_buildInAppliance" controlType="CustomCheckbox" cRanges="{&quot;StartName&quot;:&quot;_GBC_6604d619d6f94a81b12f8155637bb211&quot;,&quot;EndName&quot;:&quot;_GBC_520552c5760c4b59804fd199ba28d397&quot;,&quot;CType&quot;:1,&quot;DisplayText&quot;:null}"/>
      <m:item xlName="_GBC_520552c5760c4b59804fd199ba28d397" concept="clcid-cgi:DongShiJianShiHeGaoJiGuanLiRenYuanChiGuBianDongJiBaoChouQiTaQingKuangShuoMing" label="董事、监事和高级管理人员持股变动及报酬其他情况说明" appId="_GBC_6604d619d6f94a81b12f8155637bb211"/>
    </m:section>
    <m:section xlName="_SEC_e31f847e559a4ff7aa07914d45526543" title="董事、监事、高级管理人员报告期内被授予的股权激励情况" helpId="105001001" helpText="注：\n1、报告期内离任的董事、监事、高级管理人员，仍需按本章要求披露相关内容。\n2、报告期后新任的，董事、监事、高级管理人员可作附注说明。">
      <m:item xlName="_GBC_3c204ebee7cf4fc2a7c4a3ad63ffe1c4" concept="clcid-ci-ar:ShiFouShiYongDongShiJianShiGaoJiGuanLiRenYuanBaoGaoQiNeiBeiShouYuDeGuQuanJiLiQingKuang" label="是否适用：董事、监事、高级管理人员报告期内被授予的股权激励情况" selectOptions="_buildInAppliance" controlType="CustomCheckbox" cRanges="[{&quot;StartName&quot;:&quot;_GBC_3c204ebee7cf4fc2a7c4a3ad63ffe1c4&quot;,&quot;EndName&quot;:&quot;_GBC_414ef7d475ac4246b6e1c8e4dc78a058&quot;,&quot;CType&quot;:1}]"/>
      <m:item xlName="_GBC_495b8a2e2fb84c38bd252c034b6d6912" concept="clcid-ci-ar:DanWeiDongShiJianShiGaoJiGuanLiRenYuanBaoGaoQiNeiBeiShouYuDeGuQuanJiLiQingKuang" label="单位：董事、监事、高级管理人员报告期内被授予的股权激励情况" selectOptions="e5ff0938481c4e57a5dbc66853be82ef" controlType="Combobox" cellType="Scale" appId="_GBC_3c204ebee7cf4fc2a7c4a3ad63ffe1c4"/>
      <m:placeholder xlName="_PLD_d222a7742ae146abaef9ffd87c82b5b7" addr="T0R0C0S1_1"/>
      <m:placeholder xlName="_PLD_9142a9486353449898ce9fa156b22767" addr="T0R0C1S1_1"/>
      <m:placeholder xlName="_PLD_ba7243471f0b4660a9d2a99cba15755e" addr="T0R0C2S1_1"/>
      <m:placeholder xlName="_PLD_cf5a02e48e154dc6b5dae6e73e3bb8f7" addr="T0R0C3S1_1"/>
      <m:placeholder xlName="_PLD_8b03fdc541444f75a74b3e1421176f3c" addr="T0R0C4S1_1"/>
      <m:placeholder xlName="_PLD_f7dae67ded2c4498a4b7939b3a18f829" addr="T0R0C5S1_1"/>
      <m:placeholder xlName="_PLD_59b4b6f509b9422781e718c02517534b" addr="T0R0C6S1_1"/>
      <m:tuple xlName="_GBC_c3e34dc75db34cfd9d2a757df8c0026e" concept="clcid-cgi:DongShiJianShiGaoJiGuanLiRenYuanBeiShouYuDeGuQuanJiLiQingKuangMingXi" default_row="2" addr="T0R1C">
        <m:item xlName="_GBC_48e313cbb249493cbfd096170356b4ce" concept="clcid-cgi:DongShiJianShiGaoJiGuanLiRenYuanBeiShouYuDeGuQuanJiLiQingKuangMingXiXingMing" label="董事、监事、高级管理人员被授予的股权激励情况明细-姓名" addr="T0R1C0S1_1" cellConvertType="1" appId="_GBC_3c204ebee7cf4fc2a7c4a3ad63ffe1c4" keyAction="37"/>
        <m:item xlName="_GBC_eabe3aae92674932b1ad6090b5317acb" concept="clcid-cgi:DongShiJianShiGaoJiGuanLiRenYuanBeiShouYuDeGuQuanJiLiQingKuangMingXiZhiWu" label="董事、监事、高级管理人员被授予的股权激励情况明细-职务" selectOptions="13889f86fbdd4172ae29377326e4544f" addr="T0R1C1S1_1" controlType="Combobox" appId="_GBC_3c204ebee7cf4fc2a7c4a3ad63ffe1c4"/>
        <m:item xlName="_GBC_7b09960bd28e4d26975ea597649ed559" concept="clcid-cgi:DongShiJianShiGaoJiGuanLiRenYuanBeiShouYuDeGuQuanJiLiQingKuangMingXiChiYouGuPiaoQiQuanShuLiang" label="董事、监事、高级管理人员被授予的股权激励情况明细-持有股票期权数量" periodRef="本期期初数" mulRef="_GBC_495b8a2e2fb84c38bd252c034b6d6912" addr="T0R1C2S1_1" formatStyle="Comma" appId="_GBC_3c204ebee7cf4fc2a7c4a3ad63ffe1c4"/>
        <m:item xlName="_GBC_1392f6cf45204afda83f279bf27821b6" concept="clcid-cgi:DongShiJianShiGaoJiGuanLiRenYuanBeiShouYuDeGuQuanJiLiQingKuangMingXiXinShouYuGuPiaoQiQuanShuLiang" label="董事、监事、高级管理人员被授予的股权激励情况明细-新授予股票期权数量" mulRef="_GBC_495b8a2e2fb84c38bd252c034b6d6912" addr="T0R1C3S1_1" formatStyle="Comma" appId="_GBC_3c204ebee7cf4fc2a7c4a3ad63ffe1c4"/>
        <m:item xlName="_GBC_f11110d7d8d94d87a8801da03d634e3a" concept="clcid-cgi:DongShiJianShiGaoJiGuanLiRenYuanBeiShouYuDeGuQuanJiLiQingKuangMingXiKeXingQuanGuShu" label="董事、监事、高级管理人员被授予的股权激励情况明细-可行权股数" mulRef="_GBC_495b8a2e2fb84c38bd252c034b6d6912" addr="T0R1C4S1_1" formatStyle="Comma" appId="_GBC_3c204ebee7cf4fc2a7c4a3ad63ffe1c4"/>
        <m:item xlName="_GBC_d5971df8fe3c4f01b6de22c28eb172eb" concept="clcid-cgi:DongShiJianShiGaoJiGuanLiRenYuanBeiShouYuDeGuQuanJiLiQingKuangMingXiGuPiaoQiQuanXingQuanShuLiang" label="董事、监事、高级管理人员被授予的股权激励情况明细-股票期权行权数量" mulRef="_GBC_495b8a2e2fb84c38bd252c034b6d6912" addr="T0R1C5S1_1" formatStyle="Comma" appId="_GBC_3c204ebee7cf4fc2a7c4a3ad63ffe1c4"/>
        <m:item xlName="_GBC_c87996b457bb427c91c091c128ce95dc" concept="clcid-cgi:DongShiJianShiGaoJiGuanLiRenYuanBeiShouYuDeGuQuanJiLiQingKuangMingXiChiYouGuPiaoQiQuanShuLiang" label="董事、监事、高级管理人员被授予的股权激励情况明细-持有股票期权数量" mulRef="_GBC_495b8a2e2fb84c38bd252c034b6d6912" addr="T0R1C6S1_1" formatStyle="Comma" appId="_GBC_3c204ebee7cf4fc2a7c4a3ad63ffe1c4"/>
      </m:tuple>
      <m:placeholder xlName="_PLD_221ea6cdbdc24c7fa3d91092ef91ac17" addr="T0R3C0S1_1"/>
      <m:item xlName="_GBC_f95ec35fdd5d4eda8b763a9fa54887ec" concept="clcid-cgi:BeiShouYuGuQuanJiLiDeDongShiJianShiGaoJiGuanLiRenYuanChiYouGuPiaoQiQuanShuLiangHeJi" label="被授予股权激励的董事、监事、高级管理人员持有股票期权数量合计" periodRef="本期期初数" mulRef="_GBC_495b8a2e2fb84c38bd252c034b6d6912" addr="T0R3C2S1_1" formatStyle="Comma" appId="_GBC_3c204ebee7cf4fc2a7c4a3ad63ffe1c4">
        <m:complexRule comparator="Eq" title="被授予股权激励的董事、监事、高级管理人员持有股票期权数量合计@本期期初数" test=" $_GBC_7b09960bd28e4d26975ea597649ed559" id="C7bf8a8c7dbd04f39a651c1d326137d4d"/>
      </m:item>
      <m:item xlName="_GBC_6fa661147cc54e55bdd53e4e3eff2bd7" concept="clcid-cgi:BeiShouYuGuQuanJiLiDeDongShiJianShiGaoJiGuanLiRenYuanXinShouYuGuPiaoQiQuanShuLiangHeJi" label="被授予股权激励的董事、监事、高级管理人员新授予股票期权数量合计" mulRef="_GBC_495b8a2e2fb84c38bd252c034b6d6912" addr="T0R3C3S1_1" formatStyle="Comma" appId="_GBC_3c204ebee7cf4fc2a7c4a3ad63ffe1c4">
        <m:complexRule comparator="Eq" title="被授予股权激励的董事、监事、高级管理人员新授予股票期权数量合计" test=" $_GBC_1392f6cf45204afda83f279bf27821b6" id="Ce6b7b799d1d34d72b5e9db044aba6188"/>
      </m:item>
      <m:item xlName="_GBC_7d6bf00acd784a67815682991a2e138d" concept="clcid-cgi:BeiShouYuGuQuanJiLiDeDongShiJianShiGaoJiGuanLiRenYuanKeXingQuanGuShuHeJi" label="被授予股权激励的董事、监事、高级管理人员可行权股数合计" mulRef="_GBC_495b8a2e2fb84c38bd252c034b6d6912" addr="T0R3C4S1_1" formatStyle="Comma" appId="_GBC_3c204ebee7cf4fc2a7c4a3ad63ffe1c4">
        <m:complexRule comparator="Eq" title="被授予股权激励的董事、监事、高级管理人员可行权股数合计" test=" $_GBC_f11110d7d8d94d87a8801da03d634e3a" id="Cfa3a1d312d324b288c7c62777429bfcb"/>
      </m:item>
      <m:item xlName="_GBC_04fc2e7518e440e0b047c0542c6ea259" concept="clcid-cgi:BeiShouYuGuQuanJiLiDeDongShiJianShiGaoJiGuanLiRenYuanGuPiaoQiQuanXingQuanShuLiangHeJi" label="被授予股权激励的董事、监事、高级管理人员股票期权行权数量合计" mulRef="_GBC_495b8a2e2fb84c38bd252c034b6d6912" addr="T0R3C5S1_1" formatStyle="Comma" appId="_GBC_3c204ebee7cf4fc2a7c4a3ad63ffe1c4">
        <m:complexRule comparator="Eq" title="被授予股权激励的董事、监事、高级管理人员股票期权行权数量合计" test=" $_GBC_d5971df8fe3c4f01b6de22c28eb172eb" id="Cf23d438394fe4b7da2a4a02ad104a40e"/>
      </m:item>
      <m:item xlName="_GBC_414ef7d475ac4246b6e1c8e4dc78a058" concept="clcid-cgi:BeiShouYuGuQuanJiLiDeDongShiJianShiGaoJiGuanLiRenYuanChiYouGuPiaoQiQuanShuLiangHeJi" label="被授予股权激励的董事、监事、高级管理人员持有股票期权数量合计" mulRef="_GBC_495b8a2e2fb84c38bd252c034b6d6912" addr="T0R3C6S1_1" formatStyle="Comma" appId="_GBC_3c204ebee7cf4fc2a7c4a3ad63ffe1c4">
        <m:complexRule comparator="Eq" title="被授予股权激励的董事、监事、高级管理人员持有股票期权数量合计" test=" $_GBC_c87996b457bb427c91c091c128ce95dc" id="C63d4a55a85f7498eabd6cdfde5dafc59"/>
      </m:item>
    </m:section>
    <m:section xlName="_SEC_b5cd47f19fe24fecafd1039d3c1c6b51" title="董事、监事、高级管理人员报告期内被授予的股权激励情况表二" helpId="105001001" helpText="注：\n1、报告期内离任的董事、监事、高级管理人员，仍需按本章要求披露相关内容。\n2、报告期后新任的，董事、监事、高级管理人员可作附注说明。">
      <m:item xlName="_GBC_52038769d27b4379944f3c75f1cecf6b" concept="clcid-ci-ar:ShiFouShiYongDongShiJianShiGaoJiGuanLiRenYuanBaoGaoQiNeiBeiShouYuDeXianZhiXingGuPiaoJiLiQingKuang" label="是否适用：董事、监事、高级管理人员报告期内被授予的限制性股票激励情况" selectOptions="_buildInAppliance" controlType="CustomCheckbox" cRanges="[{&quot;StartName&quot;:&quot;_SEC_b5cd47f19fe24fecafd1039d3c1c6b51&quot;,&quot;EndName&quot;:&quot;_SEC_b5cd47f19fe24fecafd1039d3c1c6b51&quot;,&quot;CType&quot;:1}]"/>
      <m:item xlName="_GBC_ffc7e29281e742a7828cbfbfd4c9bffa" concept="clcid-ci-ar:DanWeiDongShiJianShiGaoJiGuanLiRenYuanBaoGaoQiNeiBeiShouYuDeGuQuanJiLiQingKuang" label="单位：董事、监事、高级管理人员报告期内被授予的股权激励情况" selectOptions="e5ff0938481c4e57a5dbc66853be82ef" controlType="Combobox" cellType="Scale" appId="_GBC_52038769d27b4379944f3c75f1cecf6b"/>
      <m:placeholder xlName="_PLD_5eb0dd83ba944b4fb78b28c9aff9f2be" addr="T0R0C0S1_1"/>
      <m:placeholder xlName="_PLD_e73cfe3bf876432eb5c177269bc18a94" addr="T0R0C1S1_1"/>
      <m:placeholder xlName="_PLD_4f4e0b6290c045f585b760c0a7feaaa3" addr="T0R0C2S1_1"/>
      <m:placeholder xlName="_PLD_7e51f9b6b9f649c5a3557a8f304cf9e3" addr="T0R0C3S1_1"/>
      <m:placeholder xlName="_PLD_61732133fb22409bb53b2b59064ff65c" addr="T0R0C4S1_1"/>
      <m:placeholder xlName="_PLD_0af488d1104747029eebb44d627d652e" addr="T0R0C5S1_1"/>
      <m:placeholder xlName="_PLD_b9d1f123743a4d9298560735aa199c9c" addr="T0R0C6S1_1"/>
      <m:tuple xlName="_GBC_ff93901df2904846b983762c82379208" concept="clcid-cgi:DongShiJianShiGaoJiGuanLiRenYuanBeiShouYuXianZhiXingGuPiaoQingKuangMingXi" default_row="2" addr="T0R1C">
        <m:item xlName="_GBC_7eb95379aa044ccda3827c89edafce13" concept="clcid-cgi:DongShiJianShiGaoJiGuanLiRenYuanBeiShouYuXianZhiXingGuPiaoQingKuangMingXiXingMing" label="董事、监事、高级管理人员被授予限制性股票情况明细-姓名" addr="T0R1C0S1_1" appId="_GBC_52038769d27b4379944f3c75f1cecf6b" keyAction="37"/>
        <m:item xlName="_GBC_3fb6ad4d2cb4467881009c3195fc47a1" concept="clcid-cgi:DongShiJianShiGaoJiGuanLiRenYuanBeiShouYuXianZhiXingGuPiaoQingKuangMingXiZhiWu" label="董事、监事、高级管理人员被授予限制性股票情况明细-职务" selectOptions="13889f86fbdd4172ae29377326e4544f" addr="T0R1C1S1_1" controlType="Combobox" appId="_GBC_52038769d27b4379944f3c75f1cecf6b"/>
        <m:item xlName="_GBC_008c06bdaecf428d943e3197419db667" concept="clcid-cgi:DongShiJianShiGaoJiGuanLiRenYuanBeiShouYuXianZhiXingGuPiaoQingKuangMingXiChiYouXianZhiXingGuPiaoShuLiang" label="董事、监事、高级管理人员被授予限制性股票情况明细-持有限制性股票数量" periodRef="本期期初数" mulRef="_GBC_ffc7e29281e742a7828cbfbfd4c9bffa" addr="T0R1C2S1_1" formatStyle="Comma" appId="_GBC_52038769d27b4379944f3c75f1cecf6b"/>
        <m:item xlName="_GBC_bab4f12630214578bbf5c33730a9c043" concept="clcid-cgi:DongShiJianShiGaoJiGuanLiRenYuanBeiShouYuXianZhiXingGuPiaoQingKuangMingXiXinShouYuXianZhiXingGuPiaoShuLiang" label="董事、监事、高级管理人员被授予限制性股票情况明细-新授予限制性股票数量" mulRef="_GBC_ffc7e29281e742a7828cbfbfd4c9bffa" addr="T0R1C3S1_1" formatStyle="Comma" appId="_GBC_52038769d27b4379944f3c75f1cecf6b"/>
        <m:item xlName="_GBC_fcfafe965bf8495f910ffa89c4db84ef" concept="clcid-cgi:DongShiJianShiGaoJiGuanLiRenYuanBeiShouYuXianZhiXingGuPiaoQingKuangMingXiYiJieSuoGuFen" label="董事、监事、高级管理人员被授予限制性股票情况明细-已解锁股份" mulRef="_GBC_495b8a2e2fb84c38bd252c034b6d6912" addr="T0R1C4S1_1" formatStyle="Comma" appId="_GBC_52038769d27b4379944f3c75f1cecf6b"/>
        <m:item xlName="_GBC_c783341cc418423fb0a41d96befaa943" concept="clcid-cgi:DongShiJianShiGaoJiGuanLiRenYuanBeiShouYuXianZhiXingGuPiaoQingKuangMingXiWeiJieSuoGuFen" label="董事、监事、高级管理人员被授予限制性股票情况明细-未解锁股份" mulRef="_GBC_495b8a2e2fb84c38bd252c034b6d6912" addr="T0R1C5S1_1" formatStyle="Comma" appId="_GBC_52038769d27b4379944f3c75f1cecf6b"/>
        <m:item xlName="_GBC_e4b47c0e503a456a910e114c17e30a4f" concept="clcid-cgi:DongShiJianShiGaoJiGuanLiRenYuanBeiShouYuXianZhiXingGuPiaoQingKuangMingXiChiYouXianZhiXingGuPiaoShuLiang" label="董事、监事、高级管理人员被授予限制性股票情况明细-持有限制性股票数量" mulRef="_GBC_ffc7e29281e742a7828cbfbfd4c9bffa" addr="T0R1C6S1_1" formatStyle="Comma" appId="_GBC_52038769d27b4379944f3c75f1cecf6b"/>
      </m:tuple>
      <m:placeholder xlName="_PLD_85bcc42d21e34a8e816ada109271124f" addr="T0R3C0S1_1"/>
      <m:item xlName="_GBC_564a7c03ca224f448f605f16ef124149" concept="clcid-cgi:BeiShouYuGuQuanJiLiDeDongShiJianShiGaoJiGuanLiRenYuanChiYouXianZhiXingGuPiaoShuLiangHeJi" label="被授予股权激励的董事、监事、高级管理人员持有限制性股票数量合计" periodRef="本期期初数" mulRef="_GBC_ffc7e29281e742a7828cbfbfd4c9bffa" addr="T0R3C2S1_1" formatStyle="Comma" appId="_GBC_52038769d27b4379944f3c75f1cecf6b">
        <m:complexRule comparator="Eq" title="被授予股权激励的董事、监事、高级管理人员持有限制性股票数量合计@本期期初数" test=" $_GBC_008c06bdaecf428d943e3197419db667" id="C041c84dba667475fb0f71eeb5736dc00"/>
      </m:item>
      <m:item xlName="_GBC_5ce7a6e39628458fa2f15825e34427e7" concept="clcid-cgi:BeiShouYuGuQuanJiLiDeDongShiJianShiGaoJiGuanLiRenYuanXinShouYuXianZhiXingGuPiaoShuLiangHeJi" label="被授予股权激励的董事、监事、高级管理人员新授予限制性股票数量合计" mulRef="_GBC_ffc7e29281e742a7828cbfbfd4c9bffa" addr="T0R3C3S1_1" formatStyle="Comma" appId="_GBC_52038769d27b4379944f3c75f1cecf6b">
        <m:complexRule comparator="Eq" title="被授予股权激励的董事、监事、高级管理人员新授予限制性股票数量合计" test=" $_GBC_bab4f12630214578bbf5c33730a9c043" id="C0981aaabca5d486eb6198e45d9fd2781"/>
      </m:item>
      <m:item xlName="_GBC_4b2f6f0f3b1649359987669ed91ca66d" concept="clcid-cgi:DongShiJianShiGaoJiGuanLiRenYuanBeiShouYuXianZhiXingGuPiaoYiJieSuoGuFenHeJi" label="董事、监事、高级管理人员被授予限制性股票已解锁股份合计" mulRef="_GBC_495b8a2e2fb84c38bd252c034b6d6912" addr="T0R3C4S1_1" formatStyle="Comma" appId="_GBC_52038769d27b4379944f3c75f1cecf6b">
        <m:complexRule comparator="Eq" title="董事、监事、高级管理人员被授予限制性股票已解锁股份合计" test=" $_GBC_fcfafe965bf8495f910ffa89c4db84ef" id="C38582dee013b41c0bbe864ef54f7a315"/>
      </m:item>
      <m:item xlName="_GBC_433aee8b6bcc4c188d116b5c45fdf49e" concept="clcid-cgi:DongShiJianShiGaoJiGuanLiRenYuanBeiShouYuXianZhiXingGuPiaoWeiJieSuoGuFenHeJi" label="董事、监事、高级管理人员被授予限制性股票未解锁股份合计" mulRef="_GBC_495b8a2e2fb84c38bd252c034b6d6912" addr="T0R3C5S1_1" formatStyle="Comma" appId="_GBC_52038769d27b4379944f3c75f1cecf6b">
        <m:complexRule comparator="Eq" title="董事、监事、高级管理人员被授予限制性股票未解锁股份合计" test=" $_GBC_c783341cc418423fb0a41d96befaa943" id="Cd7383a60d41249b49d1fc0deddc076d4"/>
      </m:item>
      <m:item xlName="_GBC_178583820e0d4895a6adfd309803f7eb" concept="clcid-cgi:BeiShouYuGuQuanJiLiDeDongShiJianShiGaoJiGuanLiRenYuanChiYouXianZhiXingGuPiaoShuLiangHeJi" label="被授予股权激励的董事、监事、高级管理人员持有限制性股票数量合计" mulRef="_GBC_ffc7e29281e742a7828cbfbfd4c9bffa" addr="T0R3C6S1_1" formatStyle="Comma" appId="_GBC_52038769d27b4379944f3c75f1cecf6b">
        <m:complexRule comparator="Eq" title="被授予股权激励的董事、监事、高级管理人员持有限制性股票数量合计" test=" $_GBC_e4b47c0e503a456a910e114c17e30a4f" id="Ca24194e8a9d647cebca84708503df6ca"/>
      </m:item>
    </m:section>
    <m:section xlName="_SEC_a1a4d90699494886b231030a7c17645b" title="其他董事、监事、高级管理人员和员工情况" rules="R2015_R8_001" helpText="注：\n1、报告期内离任的董事、监事、高级管理人员，仍需按本章要求披露相关内容。\n2、报告期后新任的，董事、监事、高级管理人员可作附注说明。">
      <m:item xlName="_GBC_8e7eb434c4c34c1b86cdb9f39b70c323" concept="clcid-ci-ar:ShiFouShiYongQiTaDongShiJianShiGaoJiGuanLiRenYuanQingKuangShuoMing" label="是否适用：其他董事、监事、高级管理人员情况说明" selectOptions="_buildInAppliance" controlType="CustomCheckbox" cRanges="[{&quot;StartName&quot;:&quot;_GBC_8e7eb434c4c34c1b86cdb9f39b70c323&quot;,&quot;EndName&quot;:&quot;_GBC_a5a4778a51ce40048f554d6cea81407d&quot;,&quot;CType&quot;:1}]"/>
      <m:item xlName="_GBC_a5a4778a51ce40048f554d6cea81407d" concept="clcid-cgi:QiTaDongShiJianShiGaoJiGuanLiRenYuanHeYuanGongQingKuang" label="其他董事、监事、高级管理人员和员工情况 " appId="_GBC_8e7eb434c4c34c1b86cdb9f39b70c323"/>
    </m:section>
    <m:section xlName="_GBC_2e7a202224f3494aa0093f3bd0f39d33" title="控股股东及实际控制人变更情况" rules="R2015_R6_003" convertSummaryRule="ConvertDefinedText" convertText="本报告期内公司控股股东或实际控制人没有发生变更。" helpId="104002003">
      <m:item xlName="_GBC_84ff369a3f714dbbbec5a13460906f4b" concept="clcid-ci-ar:ShiFouShiYongKongGuGuDongJiShiJiKongZhiRenBianGengQingKuang" label="是否适用：控股股东及实际控制人变更情况" selectOptions="_buildInAppliance" controlType="CustomCheckbox" cRanges="{&quot;StartName&quot;:&quot;_GBC_84ff369a3f714dbbbec5a13460906f4b&quot;,&quot;EndName&quot;:&quot;_GBC_db3293a3f4914ea99da4a950773b97c9&quot;,&quot;CType&quot;:1,&quot;DisplayText&quot;:null}"/>
      <m:placeholder xlName="_PLD_40d7aaa3ed984961a43c9fd08ec3bb43" addr="T0R0C0S1_1"/>
      <m:item xlName="_GBC_eed20957deba465f94e8b4992960e48e" concept="clcid-cgi:XinKongGuGuDongMingCheng" label="新控股股东名称" addr="T0R0C1S1_1" tagAction="1" appId="_GBC_84ff369a3f714dbbbec5a13460906f4b"/>
      <m:placeholder xlName="_PLD_f9da1f816ea842a197eedadc3a6ec937" addr="T0R1C0S1_1"/>
      <m:item xlName="_GBC_27fd7c3ebbd14af2911c90ae05c4aa49" concept="clcid-cgi:XinShiJiKongZhiRenMingCheng" label="新实际控制人名称" addr="T0R1C1S1_1" appId="_GBC_84ff369a3f714dbbbec5a13460906f4b"/>
      <m:placeholder xlName="_PLD_77d93c01292f4344b4bb2c108329c177" addr="T0R2C0S1_1"/>
      <m:item xlName="_GBC_6940332825534bbcbd86aa93ab24af32" concept="clcid-cgi:KongGuGuDongHuoShiJiKongZhiRenBianGengRiQi" label="控股股东或实际控制人变更日期" addr="T0R2C1S1_1" appId="_GBC_84ff369a3f714dbbbec5a13460906f4b" keyAction="38"/>
      <m:placeholder xlName="_PLD_5ce3d1c21d1c4ad9a115361c5d5c4c89" addr="T0R3C0S1_1"/>
      <m:item xlName="_GBC_db3293a3f4914ea99da4a950773b97c9" concept="clcid-cgi:KongGuGuDongHuoShiJiKongZhiRenBianGengZhiDingWangZhanChaXunSuoYinJiRiQi" label="控股股东或实际控制人变更指定网站查询索引及日期" addr="T0R3C1S1_1" appId="_GBC_84ff369a3f714dbbbec5a13460906f4b"/>
    </m:section>
    <m:item xlName="_GBC_2113adbee8464e1c828b3d6d35c60abf" concept="clcid-ci-ar:ShiFouShiYongYouXianGuXiangGuanQingKuang" label="是否适用：优先股相关情况" selectOptions="_buildInAppliance" controlType="CustomCheckbox" cRanges="{&quot;StartName&quot;:&quot;_GBC_2113adbee8464e1c828b3d6d35c60abf&quot;,&quot;EndName&quot;:&quot;_GBC_8fb06e980aee40a3b1b78ccabb3fc0e3&quot;,&quot;CType&quot;:1,&quot;DisplayText&quot;:null}"/>
    <m:section xlName="_GBC_038a92c2237240f0893f503bba7a03c0" title="报告期内优先股发行与上市情况" rules="R2015_R7_001" helpId="112001228">
      <m:item xlName="_GBC_25b0b48da6ad4a60a4bed2a61942b045" concept="clcid-ci-ar:DanWeiBaoGaoQiNeiYouXianGuFaXingYuShangShiQingKuang" label="单位：报告期内优先股发行与上市情况" selectOptions="d77b6f208ee14a709921a73c3dfde76d" controlType="Combobox" cellType="Scale" appId="_GBC_2113adbee8464e1c828b3d6d35c60abf"/>
      <m:placeholder xlName="_PLD_a58ddc26bb7d4f4797b5996702c0eb7c" addr="T0R0C0S1_1"/>
      <m:placeholder xlName="_PLD_e4d71577591b4c70826541c1393c8308" addr="T0R0C1S1_1"/>
      <m:placeholder xlName="_PLD_cfee354af7b84d45b4176da86b7c3fa0" addr="T0R0C2S1_1"/>
      <m:placeholder xlName="_PLD_d27edeb91197432eb76f637d8ec889b9" addr="T0R0C3S1_1"/>
      <m:placeholder xlName="_PLD_96b123e9c2eb4765b8edee3c452d822f" addr="T0R0C4S1_1"/>
      <m:placeholder xlName="_PLD_4ba91d37f08c430c95e5515d7aaa243d" addr="T0R0C5S1_1"/>
      <m:placeholder xlName="_PLD_4fa731a6a89544b0922f63ab296e38dd" addr="T0R0C6S1_1"/>
      <m:placeholder xlName="_PLD_4351353ae16c426994c8a788426966b7" addr="T0R0C7S1_1"/>
      <m:placeholder xlName="_PLD_94a6f216374e4d0f9bd21fe819a74ac8" addr="T0R0C8S1_1"/>
      <m:tuple xlName="_GBC_7a48564403dd4b888392453860718745" concept="clcid-cgi:YouXianGuFaXingYuShangShiQingKuangMingXi" default_row="2" addr="T0R1C">
        <m:item xlName="_GBC_66f719a08fe74eea833fe3650ebd0f63" concept="clcid-cgi:YouXianGuFaXingYuShangShiQingKuangMingXiYouXianGuDaiMa" label="优先股发行与上市情况明细-优先股代码" addr="T0R1C0S1_1" appId="_GBC_2113adbee8464e1c828b3d6d35c60abf"/>
        <m:item xlName="_GBC_a532ef8c49bc42a7ac267d42de8205b6" concept="clcid-cgi:YouXianGuFaXingYuShangShiQingKuangMingXiYouXianGuJianCheng" label="优先股发行与上市情况明细-优先股简称" addr="T0R1C1S1_1" appId="_GBC_2113adbee8464e1c828b3d6d35c60abf"/>
        <m:item xlName="_GBC_b46df565726a43199a3ef88eea33aa2b" concept="clcid-cgi:YouXianGuFaXingYuShangShiQingKuangMingXiFaXingRiQi" label="优先股发行与上市情况明细-发行日期" addr="T0R1C2S1_1" appId="_GBC_2113adbee8464e1c828b3d6d35c60abf" keyAction="38"/>
        <m:item xlName="_GBC_c7b5f75a861e41cdb5a73a2ededc4d09" concept="clcid-cgi:YouXianGuFaXingYuShangShiQingKuangMingXiFaXingJiaGe" label="优先股发行与上市情况明细-发行价格" addr="T0R1C3S1_1" formatStyle="Comma" appId="_GBC_2113adbee8464e1c828b3d6d35c60abf"/>
        <m:item xlName="_GBC_d1642d27baca485da55b067d5ae45cf1" concept="clcid-cgi:YouXianGuFaXingYuShangShiQingKuangMingXiPiaoMianGuXiLv" label="优先股发行与上市情况明细-票面股息率" addr="T0R1C4S1_1" baseScale="0.01" formatStyle="Comma" appId="_GBC_2113adbee8464e1c828b3d6d35c60abf"/>
        <m:item xlName="_GBC_2ac1b0c2105d467f97deee3f99bcd059" concept="clcid-cgi:YouXianGuFaXingYuShangShiQingKuangMingXiFaXingShuLiang" label="优先股发行与上市情况明细-发行数量" mulRef="_GBC_25b0b48da6ad4a60a4bed2a61942b045" addr="T0R1C5S1_1" formatStyle="Comma" appId="_GBC_2113adbee8464e1c828b3d6d35c60abf"/>
        <m:item xlName="_GBC_700b7fddf88340abbb77b80b11e9694b" concept="clcid-cgi:YouXianGuFaXingYuShangShiQingKuangMingXiShangShiRiQi" label="优先股发行与上市情况明细-上市日期" addr="T0R1C6S1_1" appId="_GBC_2113adbee8464e1c828b3d6d35c60abf" keyAction="38"/>
        <m:item xlName="_GBC_108df99d728e416cb67314523e57e7a0" concept="clcid-cgi:YouXianGuFaXingYuShangShiQingKuangMingXiHuoZhunShangShiJiaoYiShuLiang" label="优先股发行与上市情况明细-获准上市交易数量" mulRef="_GBC_25b0b48da6ad4a60a4bed2a61942b045" addr="T0R1C7S1_1" formatStyle="Comma" appId="_GBC_2113adbee8464e1c828b3d6d35c60abf"/>
        <m:item xlName="_GBC_136d303369d3418486b081085ddc87a3" concept="clcid-cgi:YouXianGuFaXingYuShangShiQingKuangMingXiZhongZhiShangShiRiQi" label="优先股发行与上市情况明细-终止上市日期" addr="T0R1C8S1_1" appId="_GBC_2113adbee8464e1c828b3d6d35c60abf" keyAction="38"/>
      </m:tuple>
      <m:placeholder xlName="_PLD_ccb6b2c846a34be7bc54f3d8c21c51ba" addr="T0R3C0S1_3"/>
      <m:item xlName="_GBC_fa6d6f04a10b4c8ea9bc963792d56454" concept="clcid-cgi:MuJiZiJinShiYongJinZhanJiBianGengQingKuang" label="募集资金使用进展及变更情况" addr="T0R3C3S1_6" appId="_GBC_2113adbee8464e1c828b3d6d35c60abf"/>
    </m:section>
    <m:section xlName="_SEC_09ecd5a571d64e909892f8249659d711" title="优先股股东情况" tupleConcept="clcid-cgi:QianShiMingYouXianGuGuDongQingKuangMingXi" repeatable="1" helpId="104002009">
      <m:placeholder xlName="_PLD_869f3e9d58224e3bba58417731327ff6" addr="T0R0C0S1_1"/>
      <m:item xlName="_GBC_6e92c6ed5ad54f86a4fd599d179d2d8d" concept="clcid-cgi:BaoGaoQiMoYouXianGuGuDongZongShu" label="报告期末优先股股东总数" addr="T0R0C1S1_1" tagAction="1" formatStyle="Comma" appId="_GBC_2113adbee8464e1c828b3d6d35c60abf"/>
      <m:item xlName="_GBC_98bd99ab8d9c407989a21acf83618632" concept="clcid-cgi:DanWeiChiYouGongSiBaiFenZhiWuYiShangYouXianGuGuFenDeQianShiMingGuDongQingKuang" label="单位：持有公司5%以上优先股股份的前十名股东情况" selectOptions="d77b6f208ee14a709921a73c3dfde76d" controlType="Combobox" cellType="Scale" appId="_GBC_2113adbee8464e1c828b3d6d35c60abf"/>
      <m:placeholder xlName="_PLD_b7ff5da165fa4b30a23f293a5c305430" addr="T1R0C0S1_8"/>
      <m:placeholder xlName="_PLD_9e8a08957ccd42218fd2c429d9faf37d" addr="T1R1C0S2_1"/>
      <m:placeholder xlName="_PLD_d8af46c1fea54ca8814001bc1fc03bf3" addr="T1R1C1S2_1"/>
      <m:placeholder xlName="_PLD_7232dfd9262048fb9e68b018fa7858ec" addr="T1R1C2S2_1"/>
      <m:placeholder xlName="_PLD_3e3c7f752f974a15aa7ea61adef2263b" addr="T1R1C3S2_1"/>
      <m:placeholder xlName="_PLD_5b5d6320dc6147418a1be70a7e67bff0" addr="T1R1C4S2_1"/>
      <m:placeholder xlName="_PLD_569d5ebde14546cd8ac2909e9dd5def2" addr="T1R1C5S1_2"/>
      <m:placeholder xlName="_PLD_00581796fd894867b4dceb4fc74cb146" addr="T1R1C7S2_1"/>
      <m:placeholder xlName="_PLD_49d9fd325dda4f9fa162b9a58c7bc711" addr="T1R2C5S1_1"/>
      <m:placeholder xlName="_PLD_034df3504eb749b2b41334eed9bb5d6e" addr="T1R2C6S1_1"/>
      <m:tuple xlName="_GBC_00e7a8c9e2e1422d8e52729c36ca93b0" concept="clcid-cgi:ChiYouGongSiBaiFenZhiWuYiShangYouXianGuGuFenDeQianShiMingGuDongQingKuang" default_row="10" addr="T1R3C">
        <m:item xlName="_GBC_b174fd9c73964e8cb3ded666b304c803" concept="clcid-cgi:ChiYouGongSiBaiFenZhiWuYiShangYouXianGuGuFenDeQianShiMingGuDongMingCheng" label="持有公司5%以上优先股股份的前十名股东名称" addr="T1R3C0S1_1" appId="_GBC_2113adbee8464e1c828b3d6d35c60abf"/>
        <m:item xlName="_GBC_7f94133e204f4adc8c330194f154d4aa" concept="clcid-cgi:ChiYouGongSiBaiFenZhiWuYiShangYouXianGuGuFenDeQianShiMingGuDongBaoGaoQiNeiGuFenZengJian" label="持有公司5%以上优先股股份的前十名股东报告期内股份增减" mulRef="_GBC_98bd99ab8d9c407989a21acf83618632" addr="T1R3C1S1_1" formatStyle="Comma" appId="_GBC_2113adbee8464e1c828b3d6d35c60abf"/>
        <m:item xlName="_GBC_8be28624eda1486d8545c274045376c3" concept="clcid-cgi:ChiYouGongSiBaiFenZhiWuYiShangYouXianGuGuFenDeQianShiMingGuDongChiYouGuFenShuLiang" label="持有公司5%以上优先股股份的前十名股东持有股份数量" mulRef="_GBC_98bd99ab8d9c407989a21acf83618632" addr="T1R3C2S1_1" formatStyle="Comma" appId="_GBC_2113adbee8464e1c828b3d6d35c60abf"/>
        <m:item xlName="_GBC_39ee4faa81674cce8c3f24102e422411" concept="clcid-cgi:ChiYouGongSiBaiFenZhiWuYiShangYouXianGuGuFenDeQianShiMingGuDongChiGuBiLi" label="持有公司5%以上优先股股份的前十名股东持股比例" addr="T1R3C3S1_1" baseScale="0.01" formatStyle="Comma" appId="_GBC_2113adbee8464e1c828b3d6d35c60abf"/>
        <m:item xlName="_GBC_ebda53481a52449ea70b43b5b57b275d" concept="clcid-cgi:ChiYouGongSiBaiFenZhiWuYiShangYouXianGuGuFenDeQianShiMingGuDongChiYouGuFenZhongLei" label="持有公司5%以上优先股股份的前十名股东持有股份种类" addr="T1R3C4S1_1" appId="_GBC_2113adbee8464e1c828b3d6d35c60abf"/>
        <m:item xlName="_GBC_4100bad373f145d783c1bbcd8dc3656f" concept="clcid-cgi:ChiYouGongSiBaiFenZhiWuYiShangYouXianGuGuFenDeQianShiMingGuDongChiYouGuFenZhuangTai" label="持有公司5%以上优先股股份的前十名股东持有股份状态" selectOptions="6a50f97e0c674873ae4c0acd28a382bf" addr="T1R3C5S1_1" controlType="Combobox" tupleRef="clcid-cgi:ChiYouGongSiBaiFenZhiWuYiShangYouXianGuGuFenDeQianShiMingGuDongZhiYaHuoDongJieQingKuang" appId="_GBC_2113adbee8464e1c828b3d6d35c60abf"/>
        <m:item xlName="_GBC_34c29611d151401aad9bec6f8ec08e39" concept="clcid-cgi:ChiYouGongSiBaiFenZhiWuYiShangYouXianGuGuFenDeQianShiMingGuDongChiYouGuFenZhiYaHuoDongJieShuLiang" label="持有公司5%以上优先股股份的前十名股东持有股份质押或冻结数量" mulRef="_GBC_98bd99ab8d9c407989a21acf83618632" addr="T1R3C6S1_1" formatStyle="Comma" tupleRef="clcid-cgi:ChiYouGongSiBaiFenZhiWuYiShangYouXianGuGuFenDeQianShiMingGuDongZhiYaHuoDongJieQingKuang" appId="_GBC_2113adbee8464e1c828b3d6d35c60abf"/>
        <m:item xlName="_GBC_e5594dc9e7564f678c0323068dafa7d1" concept="clcid-cgi:ChiYouGongSiBaiFenZhiWuYiShangYouXianGuGuFenDeQianShiMingGuDongXingZhi" label="持有公司5%以上优先股股份的前十名股东性质" selectOptions="7afad5edcbc647d29c3ff9e58d3cefd1" addr="T1R3C7S1_1" controlType="Combobox" appId="_GBC_2113adbee8464e1c828b3d6d35c60abf"/>
      </m:tuple>
      <m:placeholder xlName="_PLD_052fc430d08a467199c95aa306b46e92" addr="T1R13C0S1_3"/>
      <m:item xlName="_GBC_1d55d605aeb246beabaed9057347175f" concept="clcid-cgi:RuQianShiMingYouXianGuGuDongZhiJianShangShuGuDongYuQianShiMingPuTongGuGuDongZhiJianCunZaiGuanLianGuanXiHuoShuYuYiZhiXingDongRenDeYingYuShuoMing" label="如前十名优先股股东之间，上述股东与前十名普通股股东之间存在关联关系或属于一致行动人的说明" addr="T1R13C3S1_5" appId="_GBC_2113adbee8464e1c828b3d6d35c60abf"/>
    </m:section>
    <m:section xlName="_GBC_cdbecede1d44433785be1be860bc785b" title="其他优先股股东情况说明" rules="R2015_R7_001" helpId="110008001">
      <m:item xlName="_GBC_eb4084438deb4ca599023787e2249972" concept="clcid-ci-ar:ShiFouShiYongYouXianGuQiTaQingKuangShuoMing" label="是否适用：优先股其他情况说明" selectOptions="_buildInAppliance" controlType="CustomCheckbox" cRanges="{&quot;StartName&quot;:&quot;_GBC_eb4084438deb4ca599023787e2249972&quot;,&quot;EndName&quot;:&quot;_GBC_514cc815d98c4b46b944e95be78f18d5&quot;,&quot;CType&quot;:1,&quot;DisplayText&quot;:null}"/>
      <m:item xlName="_GBC_514cc815d98c4b46b944e95be78f18d5" concept="clcid-cgi:QiTaYouXianGuGuDongQingKuangDeShuoMing" label="其他优先股股东情况的说明" appId="_GBC_eb4084438deb4ca599023787e2249972"/>
    </m:section>
    <m:section xlName="_GBC_dd0252a8df9640e89dc854d849426857" title="回购情况" rules="R2015_R7_001" helpId="112001230">
      <m:item xlName="_GBC_2f9ff8f06b474273a023c313caa92b6e" concept="clcid-ci-ar:ShiFouShiYongHuiGouQingKuang" label="是否适用：回购情况" selectOptions="_buildInAppliance" controlType="CustomCheckbox" cRanges="{&quot;StartName&quot;:&quot;_GBC_2f9ff8f06b474273a023c313caa92b6e&quot;,&quot;EndName&quot;:&quot;_GBC_5eb9154a53a4451fa32bc03ccc39d0e1&quot;,&quot;CType&quot;:1,&quot;DisplayText&quot;:null}"/>
      <m:placeholder xlName="_PLD_305aa6a1d05d4ac586982235ed39bc0b" addr="T0R0C0S1_1"/>
      <m:placeholder xlName="_PLD_3a12bf9dc1124e7798478ed440ca2041" addr="T0R0C1S1_1"/>
      <m:placeholder xlName="_PLD_870d723184ef46c7993b6cd734b43f4f" addr="T0R0C2S1_1"/>
      <m:placeholder xlName="_PLD_5b3fa6644908460593cb997948fc3831" addr="T0R0C3S1_1"/>
      <m:placeholder xlName="_PLD_758ea0e1c1594e978fb7faaa671f7a73" addr="T0R0C4S1_1"/>
      <m:placeholder xlName="_PLD_f0d0906dbc204d30bcba654c5f034cc3" addr="T0R0C5S1_1"/>
      <m:placeholder xlName="_PLD_20b14b8befb74850be36e46b510e40de" addr="T0R0C6S1_1"/>
      <m:placeholder xlName="_PLD_43713e187d204e4dbf282f8bb5db7c5a" addr="T0R0C7S1_1"/>
      <m:placeholder xlName="_PLD_2414968d2337497b98c10e176d804b93" addr="T0R0C8S1_1"/>
      <m:placeholder xlName="_PLD_604be90d088840bf81755a8e5aae35c5" addr="T0R0C9S1_1"/>
      <m:placeholder xlName="_PLD_024aab2ac5314bc9a8e9fdaddb0c6692" addr="T0R0C10S1_1"/>
      <m:placeholder xlName="_PLD_9a4b04ee2a2544d589b934432a7dfc48" addr="T0R0C11S1_1"/>
      <m:tuple xlName="_GBC_6294da70ad06475c8f90b35c075d26f2" concept="clcid-cgi:YouXianGuHuiGouQingKuangMingXi" default_row="2" addr="T0R1C">
        <m:item xlName="_GBC_4e1d0857428740dcafc87fb0cb8f6888" concept="clcid-cgi:YouXianGuHuiGouQingKuangMingXiYouXianGuDaiMa" label="优先股回购情况明细-优先股代码" addr="T0R1C0S1_1" appId="_GBC_2f9ff8f06b474273a023c313caa92b6e"/>
        <m:item xlName="_GBC_8ae2334e61b54c17bff0b27b49655687" concept="clcid-cgi:YouXianGuHuiGouQingKuangMingXiYouXianGuJianCheng" label="优先股回购情况明细-优先股简称" addr="T0R1C1S1_1" appId="_GBC_2f9ff8f06b474273a023c313caa92b6e"/>
        <m:item xlName="_GBC_e9cfcca9d3f54be4ab9ac9bdcdf2d714" concept="clcid-cgi:YouXianGuHuiGouQingKuangMingXiHuiGouQiJian" label="优先股回购情况明细-回购期间" addr="T0R1C2S1_1" appId="_GBC_2f9ff8f06b474273a023c313caa92b6e"/>
        <m:item xlName="_GBC_3094c09fcba640e597c0e9ef28debfcf" concept="clcid-cgi:YouXianGuHuiGouQingKuangMingXiHuiGouJiaGe" label="优先股回购情况明细-回购价格" addr="T0R1C3S1_1" formatStyle="Comma" appId="_GBC_2f9ff8f06b474273a023c313caa92b6e"/>
        <m:item xlName="_GBC_a11e86e01bd0431c82427ecbe143521d" concept="clcid-cgi:YouXianGuHuiGouQingKuangMingXiDingJiaYuanZe" label="优先股回购情况明细-定价原则" addr="T0R1C4S1_1" appId="_GBC_2f9ff8f06b474273a023c313caa92b6e"/>
        <m:item xlName="_GBC_ee89a0a123534f3ea57a21f320280b9f" concept="clcid-cgi:YouXianGuHuiGouQingKuangMingXiHuiGouShuLiang" label="优先股回购情况明细-回购数量" addr="T0R1C5S1_1" formatStyle="Comma" appId="_GBC_2f9ff8f06b474273a023c313caa92b6e"/>
        <m:item xlName="_GBC_d54c6bf366fb4d5ea9c0bb1d0097ce24" concept="clcid-cgi:YouXianGuHuiGouQingKuangMingXiHuiGouBiLi" label="优先股回购情况明细-回购比例" addr="T0R1C6S1_1" baseScale="0.01" formatStyle="Comma" appId="_GBC_2f9ff8f06b474273a023c313caa92b6e"/>
        <m:item xlName="_GBC_e6f4a2cd736344d89aeac5c7b94b4c0d" concept="clcid-cgi:YouXianGuHuiGouQingKuangMingXiHuiGouZiJinZongE" label="优先股回购情况明细-回购资金总额" addr="T0R1C7S1_1" formatStyle="Comma" appId="_GBC_2f9ff8f06b474273a023c313caa92b6e"/>
        <m:item xlName="_GBC_8b6892dc8dd340be89c1737e490b468e" concept="clcid-cgi:YouXianGuHuiGouQingKuangMingXiHuiGouZiJinLaiYuan" label="优先股回购情况明细-回购资金来源" addr="T0R1C8S1_1" appId="_GBC_2f9ff8f06b474273a023c313caa92b6e"/>
        <m:item xlName="_GBC_132ed824dfe442148361067a2b173675" concept="clcid-cgi:YouXianGuHuiGouQingKuangMingXiHuiGouGuFenDeQiXian" label="优先股回购情况明细-回购股份的期限" addr="T0R1C9S1_1" appId="_GBC_2f9ff8f06b474273a023c313caa92b6e"/>
        <m:item xlName="_GBC_ecfcf4a56ef74ac3bb1e4b683840818c" concept="clcid-cgi:YouXianGuHuiGouQingKuangMingXiHuiGouXuanZeQuanDeXingShiZhuTi" label="优先股回购情况明细-回购选择权的行使主体" addr="T0R1C10S1_1" appId="_GBC_2f9ff8f06b474273a023c313caa92b6e"/>
        <m:item xlName="_GBC_7ae127409960416fabff4b3ef7c1f00a" concept="clcid-cgi:YouXianGuHuiGouQingKuangMingXiDuiGongSiGuBenDeYingXiang" label="优先股回购情况明细-对公司股本结构的影响" addr="T0R1C11S1_1" appId="_GBC_2f9ff8f06b474273a023c313caa92b6e"/>
      </m:tuple>
      <m:item xlName="_GBC_5eb9154a53a4451fa32bc03ccc39d0e1" concept="clcid-cgi:YouXianGuHuiGouShenYiChengXuDengQingKuangDeShuoMing" label="优先股回购审议程序等情况的说明" appId="_GBC_2f9ff8f06b474273a023c313caa92b6e"/>
    </m:section>
    <m:section xlName="_GBC_bfe4b4f422a94baaa8274d70ba44bfb9" title="转换情况" rules="R2015_R7_001" helpId="112001229">
      <m:item xlName="_GBC_212197cf1b0948f18e42c0d5ac9594b2" concept="clcid-ci-ar:ShiFouShiYongZhuanHuanQingKuang" label="是否适用：转换情况" selectOptions="_buildInAppliance" controlType="CustomCheckbox" cRanges="{&quot;StartName&quot;:&quot;_GBC_212197cf1b0948f18e42c0d5ac9594b2&quot;,&quot;EndName&quot;:&quot;_GBC_520c1a8990d34d898dc146231eb38648&quot;,&quot;CType&quot;:1,&quot;DisplayText&quot;:null}"/>
      <m:placeholder xlName="_PLD_9a3d30147c1f4fe1bc6814afd097c5ee" addr="T0R0C0S1_1"/>
      <m:placeholder xlName="_PLD_a4739edc06d1485c98bc74515a8ee80e" addr="T0R0C1S1_1"/>
      <m:placeholder xlName="_PLD_93fadb9415ae46eba3c1faa9d044ede6" addr="T0R0C2S1_1"/>
      <m:placeholder xlName="_PLD_cadd85f61389444cbca3698f7c2bb43b" addr="T0R0C3S1_1"/>
      <m:placeholder xlName="_PLD_07a7d401e8da4ea7a14802451b85108c" addr="T0R0C4S1_1"/>
      <m:placeholder xlName="_PLD_755700b722bb43cea4e3850e76b6e508" addr="T0R0C5S1_1"/>
      <m:placeholder xlName="_PLD_d112571d60124710bd3992c1f2ef336c" addr="T0R0C6S1_1"/>
      <m:placeholder xlName="_PLD_15b350e2702b416094719af45295b4a0" addr="T0R0C7S1_1"/>
      <m:tuple xlName="_GBC_9db17eacc7b44289a6dcc0f7d5e8b5be" concept="clcid-cgi:YouXianGuZhuanHuanQingKuangMingXi" default_row="2" addr="T0R1C">
        <m:item xlName="_GBC_ff049848c19348b286e63eb61f1efc60" concept="clcid-cgi:YouXianGuZhuanHuanQingKuangMingXiYouXianGuDaiMa" label="优先股转换情况明细-优先股代码" addr="T0R1C0S1_1" appId="_GBC_212197cf1b0948f18e42c0d5ac9594b2"/>
        <m:item xlName="_GBC_219ab6a36b254911bba63db18ddf5f9c" concept="clcid-cgi:YouXianGuZhuanHuanQingKuangMingXiYouXianGuJianCheng" label="优先股转换情况明细-优先股简称" addr="T0R1C1S1_1" appId="_GBC_212197cf1b0948f18e42c0d5ac9594b2"/>
        <m:item xlName="_GBC_14367822a2734dfe83d7cab8fdf7c07a" concept="clcid-cgi:YouXianGuZhuanHuanQingKuangMingXiZhuanGuTiaoJian" label="优先股转换情况明细-转股条件" addr="T0R1C2S1_1" appId="_GBC_212197cf1b0948f18e42c0d5ac9594b2"/>
        <m:item xlName="_GBC_bf16ba90bccd4829be6f76cf672999ba" concept="clcid-cgi:YouXianGuZhuanHuanQingKuangMingXiZhuanGuJiaGe" label="优先股转换情况明细-转股价格" addr="T0R1C3S1_1" formatStyle="Comma" appId="_GBC_212197cf1b0948f18e42c0d5ac9594b2"/>
        <m:item xlName="_GBC_d6e1951f5c604acba1f583a13ee5cfb2" concept="clcid-cgi:YouXianGuZhuanHuanQingKuangMingXiZhuanGuShuLiang" label="优先股转换情况明细-转股数量" addr="T0R1C4S1_1" formatStyle="Comma" appId="_GBC_212197cf1b0948f18e42c0d5ac9594b2"/>
        <m:item xlName="_GBC_9c0ed31ec237453398a6cb813ae92a82" concept="clcid-cgi:YouXianGuZhuanHuanQingKuangMingXiZhuanHuanBiLi" label="优先股转换情况明细-转换比例" addr="T0R1C5S1_1" baseScale="0.01" formatStyle="Comma" appId="_GBC_212197cf1b0948f18e42c0d5ac9594b2"/>
        <m:item xlName="_GBC_ee2b147085734b55a25031141ee0e41e" concept="clcid-cgi:YouXianGuZhuanHuanQingKuangMingXiZhuanHuanXuanZeQuanDeXingShiZhuTi" label="优先股转换情况明细-转换选择权的行使主体" addr="T0R1C6S1_1" appId="_GBC_212197cf1b0948f18e42c0d5ac9594b2"/>
        <m:item xlName="_GBC_61e0810d5f6949ef931db7137433c6ff" concept="clcid-cgi:YouXianGuZhuanHuanQingKuangMingXiDuiGongSiGuBenDeYingXiang" label="优先股转换情况明细-对公司股本结构的影响" addr="T0R1C7S1_1" appId="_GBC_212197cf1b0948f18e42c0d5ac9594b2"/>
      </m:tuple>
      <m:item xlName="_GBC_520c1a8990d34d898dc146231eb38648" concept="clcid-cgi:YouXianGuZhuanHuanShenYiChengXuDengQingKuangDeShuoMing" label="优先股转换审议程序等情况的说明" appId="_GBC_212197cf1b0948f18e42c0d5ac9594b2"/>
    </m:section>
    <m:section xlName="_GBC_ddb96eb7a92a4d6285f620d33674775f" title="报告期内存在优先股表决权恢复的，公司应当披露相关表决权的恢复情况" rules="R2015_R7_001" helpId="112001231">
      <m:item xlName="_GBC_2e38ae2684b04ca49b1f676f870dd2b5" concept="clcid-ci-ar:ShiFouShiYongBaoGaoQiNeiCunZaiYouXianGuBiaoJueQuanHuiFuDeGongSiYingDangPiLuXiangGuanBiaoJueQuanDeHuiFuXingShiQingKuang" label="是否适用：报告期内存在优先股表决权恢复的，公司应当披露相关表决权的恢复、行使情况" selectOptions="_buildInAppliance" controlType="CustomCheckbox" cRanges="{&quot;StartName&quot;:&quot;_GBC_2e38ae2684b04ca49b1f676f870dd2b5&quot;,&quot;EndName&quot;:&quot;_GBC_6156a521739a47bb8e3991055cef854b&quot;,&quot;CType&quot;:1,&quot;DisplayText&quot;:null}"/>
      <m:item xlName="_GBC_6156a521739a47bb8e3991055cef854b" concept="clcid-cgi:BaoGaoQiNeiYouXianGuBiaoJueQuanDeHuiFuXingShiQingKuangShuoMing" label="报告期内优先股表决权的恢复、行使情况说明" appId="_GBC_2e38ae2684b04ca49b1f676f870dd2b5"/>
    </m:section>
    <m:section xlName="_GBC_8c2b7a1d2d1b4786b4822d8ec9c8c28f" title="公司对优先股采取的会计政策及理由" rules="R2015_R7_001" helpId="112001232">
      <m:item xlName="_GBC_12f6536eb7d742189d939f43058ec430" concept="clcid-ci-ar:ShiFouShiYongGongSiDuiYouXianGuCaiQuDeHuiJiZhengCeJiLiYou" label="是否适用：公司对优先股采取的会计政策及理由" selectOptions="_buildInAppliance" controlType="CustomCheckbox" cRanges="{&quot;StartName&quot;:&quot;_GBC_12f6536eb7d742189d939f43058ec430&quot;,&quot;EndName&quot;:&quot;_GBC_aa4e54f11c3f4ba9a26c0199f93b1771&quot;,&quot;CType&quot;:1,&quot;DisplayText&quot;:null}"/>
      <m:item xlName="_GBC_aa4e54f11c3f4ba9a26c0199f93b1771" concept="clcid-cgi:DuiYouXianGuCaiQuDeKuaiJiZhengCeJiLiYou" label="对优先股采取的会计政策及理由" appId="_GBC_12f6536eb7d742189d939f43058ec430"/>
    </m:section>
    <m:section xlName="_GBC_8fb06e980aee40a3b1b78ccabb3fc0e3" title="其他优先股相关情况" rules="R2015_R7_001">
      <m:item xlName="_GBC_078cb390d131444bbf961b340883f36f" concept="clcid-ci-ar:ShiFouShiYongYouXianGuQiTaXiangGuanQingKuangShuoMing" label="是否适用：优先股其他相关情况说明" selectOptions="_buildInAppliance" controlType="CustomCheckbox" cRanges="{&quot;StartName&quot;:&quot;_GBC_078cb390d131444bbf961b340883f36f&quot;,&quot;EndName&quot;:&quot;_GBC_18c37e6311d54979981817836db177bf&quot;,&quot;CType&quot;:1,&quot;DisplayText&quot;:null}"/>
      <m:item xlName="_GBC_18c37e6311d54979981817836db177bf" concept="clcid-cgi:QiTaYouXianGuXiangGuanQingKuangDeShuoMing" label="其他优先股相关情况的说明" appId="_GBC_078cb390d131444bbf961b340883f36f"/>
    </m:section>
    <m:section xlName="_GBC_3c4b7d00409449a2b71d41277e7bd042" title="审计报告" helpId="112001005" helpText="注：公司应披露具有证券期货业务资格的会计师事务所盖章及由两名或两名以上注册会计师签名盖章的审计报告全文。请上市公司将审计报告全文填写在此文本框内。">
      <m:item xlName="_GBC_33dac3baf6634fba91e3026ebaaad280" concept="clcid-ci-ar:ShiFouShiYongShenJiBaoGao" label="是否适用：审计报告" selectOptions="_buildInAppliance" controlType="CustomCheckbox" cRanges="{&quot;StartName&quot;:&quot;_GBC_33dac3baf6634fba91e3026ebaaad280&quot;,&quot;EndName&quot;:&quot;_GBC_08aaee8d8997491cb4fc7ef77b493e65&quot;,&quot;CType&quot;:1,&quot;DisplayText&quot;:null}"/>
      <m:item xlName="_GBC_08aaee8d8997491cb4fc7ef77b493e65" concept="clcid-ar:ShenJiBaoGaoQuanWen" label="审计报告全文" appId="_GBC_33dac3baf6634fba91e3026ebaaad280"/>
    </m:section>
    <m:section xlName="_GBC_f3d43b26b5d34a4c88db3cb7d81650cc" title="需要编制合并报表" checkKey="合并" helpId="112001001" helpText="若2021年首次执行新会计准则调整首次执行当年年初财务报表相关项目的，则2020年12月31日列按照旧会计准则涉及科目填写；若首次执行新会计准则追溯调整前期比较数据的，则2020年12月31日列按照新会计准则涉及科目填写。若存在其他特殊情况的，请按照新会计准则的要求进行披露。由于上市公司开始执行新收入准则、新租赁准则的时间不同，请根据本企业实际执行情况进行填写。" primarySection="_GBC_f3d43b26b5d34a4c88db3cb7d81650cc" optionText="需要编制合并报表" activeContentOption="_GBC_f3d43b26b5d34a4c88db3cb7d81650cc" optionGroupTitle="是否需要合并报表" optionTargetConcept="clcid-ci-ar:ShiFouXuYaoHeBingBaoBiao" optionTargetConceptValue="true" keyAction="57">
      <m:region xlName="_GBC_b84409e42f904bdab44813a972d54149" title="合并资产负债表&#10;" helpId="112001001">
        <m:item xlName="_GBC_76dae7aa62d842859c05c05e750163c2" concept="clcid-cgi:GongSiFaDingZhongWenMingCheng" label="公司法定中文名称" binding="true"/>
        <m:item xlName="_GBC_710dced47e5943589779e071c78c5512" concept="clcid-ci-ar:DanWeiHeBingZiChanFuZhaiBiao" label="单位：合并资产负债表" selectOptions="_buildInScales" controlType="Combobox" cellType="Scale"/>
        <m:item xlName="_GBC_7e2679155b104d33ba04158c7414bcff" concept="clcid-ci-ar:BiZhongHeBingZiChanFuZhaiBiao" label="币种：合并资产负债表" selectOptions="_buildInISO4217" controlType="Combobox" cellType="Measure"/>
        <m:placeholder xlName="_PLD_1d3f74748a444e6ea0d191e81e54edca" addr="T0R0C0S1_1"/>
        <m:placeholder xlName="_PLD_da216b439a53487e85f12225916c5563" addr="T0R0C1S1_1"/>
        <m:placeholder xlName="_PLD_21df1d74f3114abf83688ef31bc4d9a7" addr="T0R0C2S1_1"/>
        <m:placeholder xlName="_PLD_d92c936206d34a64b4b2139999e7311b" addr="T0R0C3S1_1"/>
        <m:placeholder xlName="_PLD_c47a329e79ad491ca413bdaf35b1f19b" addr="T0R1C0S1_1"/>
        <m:placeholder xlName="_PLD_36a7056a6e314e22ba0fd39d033ba0ea" addr="T0R2C0S1_1"/>
        <m:item xlName="_GBC_b129bb68c07b4eafa56d63b40c518cd0" concept="clcid-ci-ar:FuZhu_HuoBiZiJin" label="附注_货币资金" addr="T0R2C1S1_1"/>
        <m:item xlName="_GBC_405321b51bdf4098912f70d96acd44da" concept="clcid-pte:HuoBiZiJin" label="货币资金" mulRef="_GBC_710dced47e5943589779e071c78c5512" unitRef="_GBC_7e2679155b104d33ba04158c7414bcff" addr="T0R2C2S1_1" formatStyle="Comma"/>
        <m:item xlName="_GBC_9a415952020e4e1fb6c4e1faf41143f8" concept="clcid-pte:HuoBiZiJin" label="货币资金" periodRef="上年期末数" mulRef="_GBC_710dced47e5943589779e071c78c5512" unitRef="_GBC_7e2679155b104d33ba04158c7414bcff" addr="T0R2C3S1_1" formatStyle="Comma"/>
        <m:placeholder xlName="_PLD_eeecea89787644c581a60f0ab1e1e353" addr="T0R3C0S1_1"/>
        <m:item xlName="_GBC_c6676cbd660643e496038ffdc8956a1f" concept="clcid-ci-ar:FuZhu_JieSuanBeiFuJin" label="附注_结算备付金" addr="T0R3C1S1_1"/>
        <m:item xlName="_GBC_5e22df72c8ac4a4bb82ace8f629d4c93" concept="clcid-pte:JieSuanBeiFuJin" label="结算备付金" mulRef="_GBC_710dced47e5943589779e071c78c5512" unitRef="_GBC_7e2679155b104d33ba04158c7414bcff" addr="T0R3C2S1_1" formatStyle="Comma"/>
        <m:item xlName="_GBC_29dcfc574c7244cb94bfbf12ecb7ef9c" concept="clcid-pte:JieSuanBeiFuJin" label="结算备付金" periodRef="上年期末数" mulRef="_GBC_710dced47e5943589779e071c78c5512" unitRef="_GBC_7e2679155b104d33ba04158c7414bcff" addr="T0R3C3S1_1" formatStyle="Comma"/>
        <m:placeholder xlName="_PLD_879bf785eb864905ac5a35d3fcf6fc5e" addr="T0R4C0S1_1"/>
        <m:item xlName="_GBC_a3822977219a408a809580849bcd3f65" concept="clcid-ci-ar:FuZhu_ChaiChuZiJin" label="附注_拆出资金" addr="T0R4C1S1_1"/>
        <m:item xlName="_GBC_f0ffab9724c1423a9e28a05347e07acb" concept="clcid-pte:ChaiChuZiJin" label="拆出资金" mulRef="_GBC_710dced47e5943589779e071c78c5512" unitRef="_GBC_7e2679155b104d33ba04158c7414bcff" addr="T0R4C2S1_1" formatStyle="Comma"/>
        <m:item xlName="_GBC_2b1d67b1ef0b4abaa6cb4ef42d93828c" concept="clcid-pte:ChaiChuZiJin" label="拆出资金" periodRef="上年期末数" mulRef="_GBC_710dced47e5943589779e071c78c5512" unitRef="_GBC_7e2679155b104d33ba04158c7414bcff" addr="T0R4C3S1_1" formatStyle="Comma"/>
        <m:placeholder xlName="_PLD_06d63ef987134b32b553402ba76eef23" addr="T0R5C0S1_1"/>
        <m:item xlName="_GBC_2a11b280ba2b475fada4f557fac076db" concept="clcid-ci-ar:FuZhu_JiaoYiXingJinRongZiChan" label="附注_交易性金融资产" addr="T0R5C1S1_1"/>
        <m:item xlName="_GBC_0d18f4503b4f4df5a4028ab736c3d0f0" concept="clcid-pte:JiaoYiXingJinRongZiChan" label="交易性金融资产" mulRef="_GBC_710dced47e5943589779e071c78c5512" unitRef="_GBC_7e2679155b104d33ba04158c7414bcff" addr="T0R5C2S1_1" formatStyle="Comma"/>
        <m:item xlName="_GBC_5518998d0307476c814dcb7e1c1eb0f7" concept="clcid-pte:JiaoYiXingJinRongZiChan" label="交易性金融资产" periodRef="上年期末数" mulRef="_GBC_710dced47e5943589779e071c78c5512" unitRef="_GBC_7e2679155b104d33ba04158c7414bcff" addr="T0R5C3S1_1" formatStyle="Comma"/>
        <m:placeholder xlName="_PLD_a2a2e8b160574a929568047f67b21dba" addr="T0R6C0S1_1"/>
        <m:item xlName="_GBC_26726865a3cc499db0c8546eec8ccd4a" concept="clcid-ci-ar:FuZhuYanShengJinRongZiChan" label="附注_衍生金融资产" addr="T0R6C1S1_1"/>
        <m:item xlName="_GBC_763af95e170e44849d50d9e816f3b1ed" concept="clcid-pte:YanShengJinRongZiChan" label="衍生金融资产" mulRef="_GBC_710dced47e5943589779e071c78c5512" unitRef="_GBC_7e2679155b104d33ba04158c7414bcff" addr="T0R6C2S1_1" formatStyle="Comma"/>
        <m:item xlName="_GBC_d547f422082f48de8d3dfff3b31d13d9" concept="clcid-pte:YanShengJinRongZiChan" label="衍生金融资产" periodRef="上年期末数" mulRef="_GBC_710dced47e5943589779e071c78c5512" unitRef="_GBC_7e2679155b104d33ba04158c7414bcff" addr="T0R6C3S1_1" formatStyle="Comma"/>
        <m:placeholder xlName="_PLD_b4275fbbd6c24380aaa849df8e4a5394" addr="T0R7C0S1_1"/>
        <m:item xlName="_GBC_299fd47da4e3470f816c912509737b6c" concept="clcid-ci-ar:FuZhu_YingShouPiaoJu" label="附注_应收票据" addr="T0R7C1S1_1"/>
        <m:item xlName="_GBC_50cc891bdd7a48228b9d44d8aff098c1" concept="clcid-pte:YingShouPiaoJu" label="应收票据" mulRef="_GBC_710dced47e5943589779e071c78c5512" unitRef="_GBC_7e2679155b104d33ba04158c7414bcff" addr="T0R7C2S1_1" formatStyle="Comma"/>
        <m:item xlName="_GBC_7dcb0d5708444614bea5c63e9fcddd41" concept="clcid-pte:YingShouPiaoJu" label="应收票据" periodRef="上年期末数" mulRef="_GBC_710dced47e5943589779e071c78c5512" unitRef="_GBC_7e2679155b104d33ba04158c7414bcff" addr="T0R7C3S1_1" formatStyle="Comma"/>
        <m:placeholder xlName="_PLD_916701d47616495dad873446e57f88f1" addr="T0R8C0S1_1"/>
        <m:item xlName="_GBC_22211e25151242c5801c5f9f31021f46" concept="clcid-ci-ar:FuZhu_YingShouZhangKuan" label="附注_应收帐款" addr="T0R8C1S1_1"/>
        <m:item xlName="_GBC_675190e8b1124e30b7187c65bfa389df" concept="clcid-pte:YingShouZhangKuan" label="应收帐款" mulRef="_GBC_710dced47e5943589779e071c78c5512" unitRef="_GBC_7e2679155b104d33ba04158c7414bcff" addr="T0R8C2S1_1" formatStyle="Comma"/>
        <m:item xlName="_GBC_2a1fdc7610b24747b70fe707220a4d06" concept="clcid-pte:YingShouZhangKuan" label="应收帐款" periodRef="上年期末数" mulRef="_GBC_710dced47e5943589779e071c78c5512" unitRef="_GBC_7e2679155b104d33ba04158c7414bcff" addr="T0R8C3S1_1" formatStyle="Comma"/>
        <m:placeholder xlName="_PLD_d1ffdf4cf3084797bec970e07c957549" addr="T0R9C0S1_1"/>
        <m:item xlName="_GBC_98cce5c55810473ca41b298500f2ad16" concept="clcid-ci-ar:FuZhu_YingShouKuanXiangRongZi" label="附注_应收款项融资" addr="T0R9C1S1_1"/>
        <m:item xlName="_GBC_03af4029252b4b48b3c51090b4f0ddf9" concept="clcid-pte:YingShouKuanXiangRongZi" label="应收款项融资" mulRef="_GBC_710dced47e5943589779e071c78c5512" unitRef="_GBC_7e2679155b104d33ba04158c7414bcff" addr="T0R9C2S1_1" formatStyle="Comma"/>
        <m:item xlName="_GBC_9ccb55ebb53f4255a715ed3ffd8bd741" concept="clcid-pte:YingShouKuanXiangRongZi" label="应收款项融资" periodRef="上年期末数" mulRef="_GBC_710dced47e5943589779e071c78c5512" unitRef="_GBC_7e2679155b104d33ba04158c7414bcff" addr="T0R9C3S1_1" formatStyle="Comma"/>
        <m:placeholder xlName="_PLD_eff32a719f7a407f8e2bd0fc67579696" addr="T0R10C0S1_1"/>
        <m:item xlName="_GBC_0dec3008dfd4451eb7629fa9673fc014" concept="clcid-ci-ar:FuZhu_YuFuZhangKuan" label="附注_预付帐款" addr="T0R10C1S1_1"/>
        <m:item xlName="_GBC_835b98cd0a184187ab66af6d5e50702b" concept="clcid-pte:YuFuZhangKuan" label="预付帐款" mulRef="_GBC_710dced47e5943589779e071c78c5512" unitRef="_GBC_7e2679155b104d33ba04158c7414bcff" addr="T0R10C2S1_1" formatStyle="Comma"/>
        <m:item xlName="_GBC_448f691a636344e0a17973c530dd4ad7" concept="clcid-pte:YuFuZhangKuan" label="预付帐款" periodRef="上年期末数" mulRef="_GBC_710dced47e5943589779e071c78c5512" unitRef="_GBC_7e2679155b104d33ba04158c7414bcff" addr="T0R10C3S1_1" formatStyle="Comma"/>
        <m:placeholder xlName="_PLD_a40cfdfb0ba6490cb057d30f2eced3ad" addr="T0R11C0S1_1"/>
        <m:item xlName="_GBC_93941c30b7404ad6bddba02cf64e9a4a" concept="clcid-ci-ar:FuZhu_YingShouBaoFei" label="附注_应收保费" addr="T0R11C1S1_1"/>
        <m:item xlName="_GBC_389cfba501c949e0b8468ff719a0b072" concept="clcid-pte:YingShouBaoFei" label="应收保费" mulRef="_GBC_710dced47e5943589779e071c78c5512" unitRef="_GBC_7e2679155b104d33ba04158c7414bcff" addr="T0R11C2S1_1" formatStyle="Comma"/>
        <m:item xlName="_GBC_530b0f3dcd6343f7bc93b08ded5d0c06" concept="clcid-pte:YingShouBaoFei" label="应收保费" periodRef="上年期末数" mulRef="_GBC_710dced47e5943589779e071c78c5512" unitRef="_GBC_7e2679155b104d33ba04158c7414bcff" addr="T0R11C3S1_1" formatStyle="Comma"/>
        <m:placeholder xlName="_PLD_78ae33502cc54f38ad943e4f0832ea8d" addr="T0R12C0S1_1"/>
        <m:item xlName="_GBC_bdaa2c064b4f4648ac10b7fe1f307df9" concept="clcid-ci-ar:FuZhu_YingShouFenBaoZhangKuan" label="附注_应收分保账款" addr="T0R12C1S1_1"/>
        <m:item xlName="_GBC_74e0cb47bdec48b894df50bd7089a3b2" concept="clcid-pte:YingShouFenBaoZhangKuan" label="应收分保账款" mulRef="_GBC_710dced47e5943589779e071c78c5512" unitRef="_GBC_7e2679155b104d33ba04158c7414bcff" addr="T0R12C2S1_1" formatStyle="Comma"/>
        <m:item xlName="_GBC_ac1801b93e3d4664921a526228904e99" concept="clcid-pte:YingShouFenBaoZhangKuan" label="应收分保账款" periodRef="上年期末数" mulRef="_GBC_710dced47e5943589779e071c78c5512" unitRef="_GBC_7e2679155b104d33ba04158c7414bcff" addr="T0R12C3S1_1" formatStyle="Comma"/>
        <m:placeholder xlName="_PLD_c81dfd1c51694e04be879fd98e2f222f" addr="T0R13C0S1_1"/>
        <m:item xlName="_GBC_284eeeba062f4c52b260760933f67d44" concept="clcid-ci-ar:FuZhu_YingShouFenBaoHeTongZhunBeiJin" label="附注_应收分保合同准备金" addr="T0R13C1S1_1"/>
        <m:item xlName="_GBC_e554b8b87f084caeb38c83cc16cc4853" concept="clcid-pte:YingShouFenBaoHeTongZhunBeiJin" label="应收分保合同准备金" mulRef="_GBC_710dced47e5943589779e071c78c5512" unitRef="_GBC_7e2679155b104d33ba04158c7414bcff" addr="T0R13C2S1_1" formatStyle="Comma"/>
        <m:item xlName="_GBC_12ad7b4c2c8b4c58b1e353591a6c81ad" concept="clcid-pte:YingShouFenBaoHeTongZhunBeiJin" label="应收分保合同准备金" periodRef="上年期末数" mulRef="_GBC_710dced47e5943589779e071c78c5512" unitRef="_GBC_7e2679155b104d33ba04158c7414bcff" addr="T0R13C3S1_1" formatStyle="Comma"/>
        <m:placeholder xlName="_PLD_14b6c1004ee94e9c86f6872629ce8ec5" addr="T0R14C0S1_1"/>
        <m:item xlName="_GBC_6441aecbe40646bb9357f36d6157337a" concept="clcid-ci-ar:FuZhu_QiTaYingShouKuan" label="附注_其他应收款" addr="T0R14C1S1_1"/>
        <m:item xlName="_GBC_331f9d2606af48bba9becb91b66d380d" concept="clcid-pte:QiTaYingShouKuan" label="其他应收款" mulRef="_GBC_710dced47e5943589779e071c78c5512" unitRef="_GBC_7e2679155b104d33ba04158c7414bcff" addr="T0R14C2S1_1" formatStyle="Comma"/>
        <m:item xlName="_GBC_b99d93bcb2664e34b566c0c2573517ad" concept="clcid-pte:QiTaYingShouKuan" label="其他应收款" periodRef="上年期末数" mulRef="_GBC_710dced47e5943589779e071c78c5512" unitRef="_GBC_7e2679155b104d33ba04158c7414bcff" addr="T0R14C3S1_1" formatStyle="Comma"/>
        <m:placeholder xlName="_PLD_f7b8b5cf09f34b18bdaa893a720147a3" addr="T0R15C0S1_1"/>
        <m:item xlName="_GBC_d6b10121db2441b69cca20db51cf560c" concept="clcid-ci-ar:FuZhu_YingShouLiXi" label="附注_应收利息" addr="T0R15C1S1_1"/>
        <m:item xlName="_GBC_bc464f2553a7476e9d7d3f73cace8e76" concept="clcid-pte:YingShouLiXi" label="应收利息" mulRef="_GBC_710dced47e5943589779e071c78c5512" unitRef="_GBC_7e2679155b104d33ba04158c7414bcff" addr="T0R15C2S1_1" formatStyle="Comma"/>
        <m:item xlName="_GBC_b4aafda7c13a43d0b5619ebf74fa297b" concept="clcid-pte:YingShouLiXi" label="应收利息" periodRef="上年期末数" mulRef="_GBC_710dced47e5943589779e071c78c5512" unitRef="_GBC_7e2679155b104d33ba04158c7414bcff" addr="T0R15C3S1_1" formatStyle="Comma"/>
        <m:placeholder xlName="_PLD_4d3fdbd13bd44399aedfc802cf2f5e84" addr="T0R16C0S1_1"/>
        <m:item xlName="_GBC_3274c8d289084c7a994f58b7efd5abeb" concept="clcid-ci-ar:FuZhu_YingShouGuLi" label="附注_应收股利" addr="T0R16C1S1_1"/>
        <m:item xlName="_GBC_b1e58aa531dd4d8c877c72630a013717" concept="clcid-pte:YingShouGuLi" label="应收股利" mulRef="_GBC_710dced47e5943589779e071c78c5512" unitRef="_GBC_7e2679155b104d33ba04158c7414bcff" addr="T0R16C2S1_1" formatStyle="Comma"/>
        <m:item xlName="_GBC_fd9046f2a6e441e69fae9ab0f105fadb" concept="clcid-pte:YingShouGuLi" label="应收股利" periodRef="上年期末数" mulRef="_GBC_710dced47e5943589779e071c78c5512" unitRef="_GBC_7e2679155b104d33ba04158c7414bcff" addr="T0R16C3S1_1" formatStyle="Comma"/>
        <m:placeholder xlName="_PLD_150565b75bcd4f3c8e385b838e4135fa" addr="T0R17C0S1_1"/>
        <m:item xlName="_GBC_8c90504b420c49668e1d2f3c316b780a" concept="clcid-ci-ar:FuZhu_MaiRuFanShouJinRongZiChan" label="附注_买入返售金融资产" addr="T0R17C1S1_1"/>
        <m:item xlName="_GBC_4ca5a41e56834ebcb195d162375db613" concept="clcid-pte:MaiRuFanShouJinRongZiChan" label="买入返售金融资产" mulRef="_GBC_710dced47e5943589779e071c78c5512" unitRef="_GBC_7e2679155b104d33ba04158c7414bcff" addr="T0R17C2S1_1" formatStyle="Comma"/>
        <m:item xlName="_GBC_e91a235778ab428d88650e62209cca72" concept="clcid-pte:MaiRuFanShouJinRongZiChan" label="买入返售金融资产" periodRef="上年期末数" mulRef="_GBC_710dced47e5943589779e071c78c5512" unitRef="_GBC_7e2679155b104d33ba04158c7414bcff" addr="T0R17C3S1_1" formatStyle="Comma"/>
        <m:placeholder xlName="_PLD_0967af437eee4294b4f611b5abd91937" addr="T0R18C0S1_1"/>
        <m:item xlName="_GBC_ad60a2e9b1cf496c8bb2aacc7ba50f2d" concept="clcid-ci-ar:FuZhu_CunHuo" label="附注_存货" addr="T0R18C1S1_1"/>
        <m:item xlName="_GBC_1c15d618709c44aba5187e70e6846bfb" concept="clcid-pte:CunHuo" label="存货" mulRef="_GBC_710dced47e5943589779e071c78c5512" unitRef="_GBC_7e2679155b104d33ba04158c7414bcff" addr="T0R18C2S1_1" formatStyle="Comma"/>
        <m:item xlName="_GBC_efbff5add04d4af4b53338cd8033fcae" concept="clcid-pte:CunHuo" label="存货" periodRef="上年期末数" mulRef="_GBC_710dced47e5943589779e071c78c5512" unitRef="_GBC_7e2679155b104d33ba04158c7414bcff" addr="T0R18C3S1_1" formatStyle="Comma"/>
        <m:placeholder xlName="_PLD_9ecfb75d6b6f43eaab87b9fe006ab819" addr="T0R19C0S1_1"/>
        <m:item xlName="_GBC_cceb8956570c4f7fa266a6c487528464" concept="clcid-ci-ar:FuZhu_HeTongZiChan" label="附注_合同资产" addr="T0R19C1S1_1"/>
        <m:item xlName="_GBC_e294ffb5155c4f2c8b03aadd848a3189" concept="clcid-pte:HeTongZiChan" label="合同资产" mulRef="_GBC_710dced47e5943589779e071c78c5512" unitRef="_GBC_7e2679155b104d33ba04158c7414bcff" addr="T0R19C2S1_1" formatStyle="Comma"/>
        <m:item xlName="_GBC_376b7334a9b8488f9bc94e34a2877694" concept="clcid-pte:HeTongZiChan" label="合同资产" periodRef="上年期末数" mulRef="_GBC_710dced47e5943589779e071c78c5512" unitRef="_GBC_7e2679155b104d33ba04158c7414bcff" addr="T0R19C3S1_1" formatStyle="Comma"/>
        <m:placeholder xlName="_PLD_20a26361e8f8463bbf996022971e66c0" addr="T0R20C0S1_1"/>
        <m:item xlName="_GBC_31bdf453fd3d4919a76e4d51964427ba" concept="clcid-ci-ar:FuZhuHuaFenWeiChiYouDaiShouDeZiChan" label="附注_划分为持有待售的资产" addr="T0R20C1S1_1"/>
        <m:item xlName="_GBC_3232b820dd2649e8bf5b1bd3bc6a587b" concept="clcid-pte:HuaFenWeiChiYouDaiShouDeZiChan" label="划分为持有待售的资产" mulRef="_GBC_710dced47e5943589779e071c78c5512" unitRef="_GBC_7e2679155b104d33ba04158c7414bcff" addr="T0R20C2S1_1" formatStyle="Comma"/>
        <m:item xlName="_GBC_a8f641ab3fbf43b38c47517a2283c3ef" concept="clcid-pte:HuaFenWeiChiYouDaiShouDeZiChan" label="划分为持有待售的资产" periodRef="上年期末数" mulRef="_GBC_710dced47e5943589779e071c78c5512" unitRef="_GBC_7e2679155b104d33ba04158c7414bcff" addr="T0R20C3S1_1" formatStyle="Comma"/>
        <m:placeholder xlName="_PLD_85034baf09ae473db2e4694be7430d29" addr="T0R21C0S1_1"/>
        <m:item xlName="_GBC_633cd6754ad346faad661dfc0aff710a" concept="clcid-ci-ar:FuZhu_YiNianNeiDaoQiDeFeiLiuDongZiChan" label="附注_一年内到期的非流动资产" addr="T0R21C1S1_1"/>
        <m:item xlName="_GBC_cff18044084f49a6b807ce11cbd59d7d" concept="clcid-pte:YiNianNeiDaoQiDeFeiLiuDongZiChan" label="一年内到期的非流动资产" mulRef="_GBC_710dced47e5943589779e071c78c5512" unitRef="_GBC_7e2679155b104d33ba04158c7414bcff" addr="T0R21C2S1_1" formatStyle="Comma"/>
        <m:item xlName="_GBC_598d7d3306c94d939428071c1e87b347" concept="clcid-pte:YiNianNeiDaoQiDeFeiLiuDongZiChan" label="一年内到期的非流动资产" periodRef="上年期末数" mulRef="_GBC_710dced47e5943589779e071c78c5512" unitRef="_GBC_7e2679155b104d33ba04158c7414bcff" addr="T0R21C3S1_1" formatStyle="Comma"/>
        <m:placeholder xlName="_PLD_59111301b0474503970c30d14c6c16c1" addr="T0R22C0S1_1"/>
        <m:item xlName="_GBC_c47ff333642f487eb742ddb651a9739a" concept="clcid-ci-ar:FuZhu_QiTaLiuDongZiChan" label="附注_其他流动资产" addr="T0R22C1S1_1"/>
        <m:item xlName="_GBC_bebe65c01a614357930856c38fc46dcf" concept="clcid-pte:QiTaLiuDongZiChan" label="其他流动资产" mulRef="_GBC_710dced47e5943589779e071c78c5512" unitRef="_GBC_7e2679155b104d33ba04158c7414bcff" addr="T0R22C2S1_1" formatStyle="Comma"/>
        <m:item xlName="_GBC_f6ec0b2f65f54ab5b066c767a9f9f731" concept="clcid-pte:QiTaLiuDongZiChan" label="其他流动资产" periodRef="上年期末数" mulRef="_GBC_710dced47e5943589779e071c78c5512" unitRef="_GBC_7e2679155b104d33ba04158c7414bcff" addr="T0R22C3S1_1" formatStyle="Comma"/>
        <m:placeholder xlName="_PLD_e89c5fc1115a4751868d93f96af78d12" addr="T0R23C0S1_1"/>
        <m:item xlName="_GBC_11499744e08143559b68042a841ecfdb" concept="clcid-ci-ar:FuZhu_LiuDongZiChanHeJi" label="附注_流动资产合计" addr="T0R23C1S1_1"/>
        <m:item xlName="_GBC_dc111c69eafc43819221194075daccb8" concept="clcid-pte:LiuDongZiChanHeJi" label="流动资产合计" mulRef="_GBC_710dced47e5943589779e071c78c5512" unitRef="_GBC_7e2679155b104d33ba04158c7414bcff" addr="T0R23C2S1_1" formatStyle="Comma">
          <m:complexRule comparator="Eq" title="流动资产合计" test=" $_GBC_405321b51bdf4098912f70d96acd44da +  $_GBC_5e22df72c8ac4a4bb82ace8f629d4c93 +  $_GBC_f0ffab9724c1423a9e28a05347e07acb +  $_GBC_0d18f4503b4f4df5a4028ab736c3d0f0 +  $_GBC_763af95e170e44849d50d9e816f3b1ed +  $_GBC_50cc891bdd7a48228b9d44d8aff098c1 +  $_GBC_675190e8b1124e30b7187c65bfa389df +  $_GBC_03af4029252b4b48b3c51090b4f0ddf9 +  $_GBC_835b98cd0a184187ab66af6d5e50702b +  $_GBC_389cfba501c949e0b8468ff719a0b072 +  $_GBC_74e0cb47bdec48b894df50bd7089a3b2 +  $_GBC_e554b8b87f084caeb38c83cc16cc4853 +  $_GBC_331f9d2606af48bba9becb91b66d380d +  $_GBC_4ca5a41e56834ebcb195d162375db613 +  $_GBC_1c15d618709c44aba5187e70e6846bfb +  $_GBC_e294ffb5155c4f2c8b03aadd848a3189 +  $_GBC_3232b820dd2649e8bf5b1bd3bc6a587b +  $_GBC_cff18044084f49a6b807ce11cbd59d7d +  $_GBC_bebe65c01a614357930856c38fc46dcf" id="Cb2fa0812e37743438c5d99b1a8c933aa"/>
        </m:item>
        <m:item xlName="_GBC_f75ac84f62bd4e088401c46cf82c6ce9" concept="clcid-pte:LiuDongZiChanHeJi" label="流动资产合计" periodRef="上年期末数" mulRef="_GBC_710dced47e5943589779e071c78c5512" unitRef="_GBC_7e2679155b104d33ba04158c7414bcff" addr="T0R23C3S1_1" formatStyle="Comma">
          <m:complexRule comparator="Eq" title="流动资产合计@上年期末数" test=" $_GBC_9a415952020e4e1fb6c4e1faf41143f8 +  $_GBC_29dcfc574c7244cb94bfbf12ecb7ef9c +  $_GBC_2b1d67b1ef0b4abaa6cb4ef42d93828c +  $_GBC_5518998d0307476c814dcb7e1c1eb0f7 +  $_GBC_d547f422082f48de8d3dfff3b31d13d9 +  $_GBC_7dcb0d5708444614bea5c63e9fcddd41 +  $_GBC_2a1fdc7610b24747b70fe707220a4d06 +  $_GBC_9ccb55ebb53f4255a715ed3ffd8bd741 +  $_GBC_448f691a636344e0a17973c530dd4ad7 +  $_GBC_530b0f3dcd6343f7bc93b08ded5d0c06 +  $_GBC_ac1801b93e3d4664921a526228904e99 +  $_GBC_12ad7b4c2c8b4c58b1e353591a6c81ad +  $_GBC_b99d93bcb2664e34b566c0c2573517ad +  $_GBC_e91a235778ab428d88650e62209cca72 +  $_GBC_efbff5add04d4af4b53338cd8033fcae +  $_GBC_376b7334a9b8488f9bc94e34a2877694 +  $_GBC_a8f641ab3fbf43b38c47517a2283c3ef +  $_GBC_598d7d3306c94d939428071c1e87b347 +  $_GBC_f6ec0b2f65f54ab5b066c767a9f9f731" id="C588cb6e7a1304a57bad745b7db72a8ae"/>
        </m:item>
        <m:placeholder xlName="_PLD_66ac6acc14e74939b5cc43190a3afd2b" addr="T0R24C0S1_1"/>
        <m:placeholder xlName="_PLD_22aa48a975974ca794a64ae94835362c" addr="T0R25C0S1_1"/>
        <m:item xlName="_GBC_43fbcc46c2ab431695dcb4116eaea1db" concept="clcid-ci-ar:FuZhu_FaFangDaiKuanJiDianKuan" label="附注_发放贷款及垫款" addr="T0R25C1S1_1"/>
        <m:item xlName="_GBC_ba6fcdca2eb344deb12090fca4a7fafe" concept="clcid-pte:FaFangDaiKuanHeDianKuan" label="发放贷款和垫款" mulRef="_GBC_710dced47e5943589779e071c78c5512" unitRef="_GBC_7e2679155b104d33ba04158c7414bcff" addr="T0R25C2S1_1" formatStyle="Comma"/>
        <m:item xlName="_GBC_497ef354674043f0a7aad5883dc1c6fd" concept="clcid-pte:FaFangDaiKuanHeDianKuan" label="发放贷款和垫款" periodRef="上年期末数" mulRef="_GBC_710dced47e5943589779e071c78c5512" unitRef="_GBC_7e2679155b104d33ba04158c7414bcff" addr="T0R25C3S1_1" formatStyle="Comma"/>
        <m:placeholder xlName="_PLD_bb4e85a6b3e74bac9cd4834b80365bf5" addr="T0R26C0S1_1"/>
        <m:item xlName="_GBC_ce01f4f56489496fb46202690cf1e0d9" concept="clcid-ci-ar:FuZhu_ZhaiQuanTouZi" label="附注_债权投资" addr="T0R26C1S1_1"/>
        <m:item xlName="_GBC_edefd4d48b2d48029e68a2fa35867340" concept="clcid-pte:ZhaiQuanTouZi" label="债权投资" mulRef="_GBC_710dced47e5943589779e071c78c5512" unitRef="_GBC_7e2679155b104d33ba04158c7414bcff" addr="T0R26C2S1_1" formatStyle="Comma"/>
        <m:item xlName="_GBC_9395cdbe363545aeaa06bea7f09bec20" concept="clcid-pte:ZhaiQuanTouZi" label="债权投资" periodRef="上年期末数" mulRef="_GBC_710dced47e5943589779e071c78c5512" unitRef="_GBC_7e2679155b104d33ba04158c7414bcff" addr="T0R26C3S1_1" formatStyle="Comma"/>
        <m:placeholder xlName="_PLD_1a42e80c658846cda83a637d16a3300f" addr="T0R27C0S1_1"/>
        <m:item xlName="_GBC_3fcbf18c83114c4d9f87199c1f27132c" concept="clcid-ci-ar:FuZhu_QiTaZhaiQuanTouZi" label="附注_其他债权投资" addr="T0R27C1S1_1"/>
        <m:item xlName="_GBC_8a78e08b4946474a87ee959c99479430" concept="clcid-pte:QiTaZhaiQuanTouZi" label="其他债权投资" mulRef="_GBC_710dced47e5943589779e071c78c5512" unitRef="_GBC_7e2679155b104d33ba04158c7414bcff" addr="T0R27C2S1_1" formatStyle="Comma"/>
        <m:item xlName="_GBC_80b9ea3fbfde4a74a795551c5978f171" concept="clcid-pte:QiTaZhaiQuanTouZi" label="其他债权投资" periodRef="上年期末数" mulRef="_GBC_710dced47e5943589779e071c78c5512" unitRef="_GBC_7e2679155b104d33ba04158c7414bcff" addr="T0R27C3S1_1" formatStyle="Comma"/>
        <m:placeholder xlName="_PLD_235e8def5b4b4c7abc05596f3566e5ca" addr="T0R28C0S1_1"/>
        <m:item xlName="_GBC_88339d75411a40799dac7cdb2a34ba95" concept="clcid-ci-ar:FuZhu_ChangQiYingShouKuan" label="附注_长期应收款" addr="T0R28C1S1_1"/>
        <m:item xlName="_GBC_41324c4bf3cd4c12a90b5eda3f3b6cea" concept="clcid-pte:ChangQiYingShouKuan" label="长期应收款" mulRef="_GBC_710dced47e5943589779e071c78c5512" unitRef="_GBC_7e2679155b104d33ba04158c7414bcff" addr="T0R28C2S1_1" formatStyle="Comma"/>
        <m:item xlName="_GBC_b58f0f6acdf940d589db071ddd8d3d97" concept="clcid-pte:ChangQiYingShouKuan" label="长期应收款" periodRef="上年期末数" mulRef="_GBC_710dced47e5943589779e071c78c5512" unitRef="_GBC_7e2679155b104d33ba04158c7414bcff" addr="T0R28C3S1_1" formatStyle="Comma"/>
        <m:placeholder xlName="_PLD_a03693997f484cfcaa912b0e71d5709d" addr="T0R29C0S1_1"/>
        <m:item xlName="_GBC_ea3bc2a988224408a6ffe6b633957a4f" concept="clcid-ci-ar:FuZhu_ChangQiGuQuanTouZi" label="附注_长期股权投资" addr="T0R29C1S1_1"/>
        <m:item xlName="_GBC_f18be2917e9c42dea6bafed8bbcab83e" concept="clcid-pte:ChangQiGuQuanTouZi" label="长期股权投资" mulRef="_GBC_710dced47e5943589779e071c78c5512" unitRef="_GBC_7e2679155b104d33ba04158c7414bcff" addr="T0R29C2S1_1" formatStyle="Comma"/>
        <m:item xlName="_GBC_5397a886f5f04a4c981d8ed07298edfb" concept="clcid-pte:ChangQiGuQuanTouZi" label="长期股权投资" periodRef="上年期末数" mulRef="_GBC_710dced47e5943589779e071c78c5512" unitRef="_GBC_7e2679155b104d33ba04158c7414bcff" addr="T0R29C3S1_1" formatStyle="Comma"/>
        <m:placeholder xlName="_PLD_3c57523e7f9d4490b8fc01da554e0edf" addr="T0R30C0S1_1"/>
        <m:item xlName="_GBC_ee2595cc09494398ab7255ee88952abc" concept="clcid-ci-ar:FuZhu_QiTaQuanYiGongJuTouZi" label="附注_其他权益工具投资" addr="T0R30C1S1_1"/>
        <m:item xlName="_GBC_22eaf9f5efb94f10abc827becfc06c01" concept="clcid-pte:QiTaQuanYiGongJuTouZi" label="其他权益工具投资" mulRef="_GBC_710dced47e5943589779e071c78c5512" unitRef="_GBC_7e2679155b104d33ba04158c7414bcff" addr="T0R30C2S1_1" formatStyle="Comma"/>
        <m:item xlName="_GBC_32ae8cebd63c42b8981eed9b36c8c41e" concept="clcid-pte:QiTaQuanYiGongJuTouZi" label="其他权益工具投资" periodRef="上年期末数" mulRef="_GBC_710dced47e5943589779e071c78c5512" unitRef="_GBC_7e2679155b104d33ba04158c7414bcff" addr="T0R30C3S1_1" formatStyle="Comma"/>
        <m:placeholder xlName="_PLD_989d47082a034512856b0d9af89eed72" addr="T0R31C0S1_1"/>
        <m:item xlName="_GBC_6fe6ec75ed914a45933b39e74ae95db1" concept="clcid-ci-ar:FuZhu_QiTaFeiLiuDongJinRongZiChan" label="附注_其他非流动金融资产" addr="T0R31C1S1_1"/>
        <m:item xlName="_GBC_c8c65f0af3c049e7b7362bd63adb9cf7" concept="clcid-pte:QiTaFeiLiuDongJinRongZiChan" label="其他非流动金融资产" mulRef="_GBC_710dced47e5943589779e071c78c5512" unitRef="_GBC_7e2679155b104d33ba04158c7414bcff" addr="T0R31C2S1_1" formatStyle="Comma"/>
        <m:item xlName="_GBC_e5ad6931b032432e852d176e61102eb2" concept="clcid-pte:QiTaFeiLiuDongJinRongZiChan" label="其他非流动金融资产" periodRef="上年期末数" mulRef="_GBC_710dced47e5943589779e071c78c5512" unitRef="_GBC_7e2679155b104d33ba04158c7414bcff" addr="T0R31C3S1_1" formatStyle="Comma"/>
        <m:placeholder xlName="_PLD_4684cd13f34942aabf4f5a55f1148c84" addr="T0R32C0S1_1"/>
        <m:item xlName="_GBC_db79fe9224c644d982d5521336f35bca" concept="clcid-ci-ar:FuZhu_TouZiXingFangDiChan" label="附注_投资性房地产" addr="T0R32C1S1_1"/>
        <m:item xlName="_GBC_650fc03ed65b483ebfbce58beff4a040" concept="clcid-pte:TouZiXingFangDiChan" label="投资性房地产" mulRef="_GBC_710dced47e5943589779e071c78c5512" unitRef="_GBC_7e2679155b104d33ba04158c7414bcff" addr="T0R32C2S1_1" formatStyle="Comma"/>
        <m:item xlName="_GBC_f227ff74bd504428b8eefeeb35b85dd5" concept="clcid-pte:TouZiXingFangDiChan" label="投资性房地产" periodRef="上年期末数" mulRef="_GBC_710dced47e5943589779e071c78c5512" unitRef="_GBC_7e2679155b104d33ba04158c7414bcff" addr="T0R32C3S1_1" formatStyle="Comma"/>
        <m:placeholder xlName="_PLD_ea85d42312a14428bf960d1d9ac28904" addr="T0R33C0S1_1"/>
        <m:item xlName="_GBC_f1d622eece2f4f079fe46532db9a0e1a" concept="clcid-ci-ar:FuZhu_GuDingZiChanJingE" label="附注_固定资产净额" addr="T0R33C1S1_1"/>
        <m:item xlName="_GBC_d070396dd75c4200ac6c5037b5dacb21" concept="clcid-pte:GuDingZiChanJingE" label="固定资产净额" mulRef="_GBC_710dced47e5943589779e071c78c5512" unitRef="_GBC_7e2679155b104d33ba04158c7414bcff" addr="T0R33C2S1_1" formatStyle="Comma"/>
        <m:item xlName="_GBC_ea69583fe19e4401a0d17f120b2a7c0d" concept="clcid-pte:GuDingZiChanJingE" label="固定资产净额" periodRef="上年期末数" mulRef="_GBC_710dced47e5943589779e071c78c5512" unitRef="_GBC_7e2679155b104d33ba04158c7414bcff" addr="T0R33C3S1_1" formatStyle="Comma"/>
        <m:placeholder xlName="_PLD_6572a20e6bfc4146a00336e842a92a6c" addr="T0R34C0S1_1"/>
        <m:item xlName="_GBC_ba00b2afb3a5416f8300d71d53549128" concept="clcid-ci-ar:FuZhu_ZaiJianGongCheng" label="附注_在建工程" addr="T0R34C1S1_1"/>
        <m:item xlName="_GBC_f280090492fe476581288324a7645bf7" concept="clcid-pte:ZaiJianGongCheng" label="在建工程" mulRef="_GBC_710dced47e5943589779e071c78c5512" unitRef="_GBC_7e2679155b104d33ba04158c7414bcff" addr="T0R34C2S1_1" formatStyle="Comma"/>
        <m:item xlName="_GBC_12611b95cffb4a0382051694f894579c" concept="clcid-pte:ZaiJianGongCheng" label="在建工程" periodRef="上年期末数" mulRef="_GBC_710dced47e5943589779e071c78c5512" unitRef="_GBC_7e2679155b104d33ba04158c7414bcff" addr="T0R34C3S1_1" formatStyle="Comma"/>
        <m:placeholder xlName="_PLD_681c8940563045f7a9114e64a64c0cbb" addr="T0R35C0S1_1"/>
        <m:item xlName="_GBC_3c8ee7f441f24e15ac5916bd6b8928f2" concept="clcid-ci-ar:FuZhu_ShengChanXingShengWuZiChan" label="附注_生产性生物资产" addr="T0R35C1S1_1"/>
        <m:item xlName="_GBC_2041aac9a2804f63910544419af09432" concept="clcid-pte:ShengChanXingShengWuZiChan" label="生产性生物资产" mulRef="_GBC_710dced47e5943589779e071c78c5512" unitRef="_GBC_7e2679155b104d33ba04158c7414bcff" addr="T0R35C2S1_1" formatStyle="Comma"/>
        <m:item xlName="_GBC_32ac7fecad9340f89be8f8b1b66d755c" concept="clcid-pte:ShengChanXingShengWuZiChan" label="生产性生物资产" periodRef="上年期末数" mulRef="_GBC_710dced47e5943589779e071c78c5512" unitRef="_GBC_7e2679155b104d33ba04158c7414bcff" addr="T0R35C3S1_1" formatStyle="Comma"/>
        <m:placeholder xlName="_PLD_86e2225c67a84720afd738287a9c2365" addr="T0R36C0S1_1"/>
        <m:item xlName="_GBC_d5ed5dca94ea4064bb6c1d9e67d3ff84" concept="clcid-ci-ar:FuZhu_YouQiZiChan" label="附注_油气资产" addr="T0R36C1S1_1"/>
        <m:item xlName="_GBC_dfa6a08f2a6241a892de9a7aa6010ae2" concept="clcid-pte:YouQiZiChan" label="油气资产" mulRef="_GBC_710dced47e5943589779e071c78c5512" unitRef="_GBC_7e2679155b104d33ba04158c7414bcff" addr="T0R36C2S1_1" formatStyle="Comma"/>
        <m:item xlName="_GBC_83de3c61d43f47a18e356ff42105f0c2" concept="clcid-pte:YouQiZiChan" label="油气资产" periodRef="上年期末数" mulRef="_GBC_710dced47e5943589779e071c78c5512" unitRef="_GBC_7e2679155b104d33ba04158c7414bcff" addr="T0R36C3S1_1" formatStyle="Comma"/>
        <m:placeholder xlName="_PLD_eb039fa9358a43b398f3274466785fc8" addr="T0R37C0S1_1"/>
        <m:item xlName="_GBC_b5df1a62c9a04df38d71efd61c12c40b" concept="clcid-ci-ar:FuZhu_ShiYongQuanZiChan" label="附注_使用权资产" addr="T0R37C1S1_1"/>
        <m:item xlName="_GBC_60b43fc03e014bf3bcf6ad191ccb87b9" concept="clcid-pte:ShiYongQuanZiChan" label="使用权资产" mulRef="_GBC_710dced47e5943589779e071c78c5512" unitRef="_GBC_7e2679155b104d33ba04158c7414bcff" addr="T0R37C2S1_1" formatStyle="Comma"/>
        <m:item xlName="_GBC_80dcb24939ec40efbc7b3f781842db06" concept="clcid-pte:ShiYongQuanZiChan" label="使用权资产" periodRef="上年期末数" mulRef="_GBC_710dced47e5943589779e071c78c5512" unitRef="_GBC_7e2679155b104d33ba04158c7414bcff" addr="T0R37C3S1_1" formatStyle="Comma"/>
        <m:placeholder xlName="_PLD_f9f0cc8ce8dc4387b1611032921da1ea" addr="T0R38C0S1_1"/>
        <m:item xlName="_GBC_1b2bad4bef0249c9bcb3fc2f9666d89d" concept="clcid-ci-ar:FuZhu_WuXingZiChan" label="附注_无形资产" addr="T0R38C1S1_1"/>
        <m:item xlName="_GBC_0bb05f6624784fbfb71bfba3b267ece3" concept="clcid-pte:WuXingZiChan" label="无形资产" mulRef="_GBC_710dced47e5943589779e071c78c5512" unitRef="_GBC_7e2679155b104d33ba04158c7414bcff" addr="T0R38C2S1_1" formatStyle="Comma"/>
        <m:item xlName="_GBC_d52216a8239c48268e3da9e8465f5a1f" concept="clcid-pte:WuXingZiChan" label="无形资产" periodRef="上年期末数" mulRef="_GBC_710dced47e5943589779e071c78c5512" unitRef="_GBC_7e2679155b104d33ba04158c7414bcff" addr="T0R38C3S1_1" formatStyle="Comma"/>
        <m:placeholder xlName="_PLD_9e19501f4749495c8e2c099358304536" addr="T0R39C0S1_1"/>
        <m:item xlName="_GBC_3d536a64bfe14912800ef0c1a10e77ec" concept="clcid-ci-ar:FuZhu_KaiFaZhiChu" label="附注_开发支出" addr="T0R39C1S1_1"/>
        <m:item xlName="_GBC_3e7bcbfb79474a44a0c806a49f0d4f2a" concept="clcid-pte:KaiFaZhiChu" label="开发支出" mulRef="_GBC_710dced47e5943589779e071c78c5512" unitRef="_GBC_7e2679155b104d33ba04158c7414bcff" addr="T0R39C2S1_1" formatStyle="Comma"/>
        <m:item xlName="_GBC_cb91824c65bb456c82de586c275a15a6" concept="clcid-pte:KaiFaZhiChu" label="开发支出" periodRef="上年期末数" mulRef="_GBC_710dced47e5943589779e071c78c5512" unitRef="_GBC_7e2679155b104d33ba04158c7414bcff" addr="T0R39C3S1_1" formatStyle="Comma"/>
        <m:placeholder xlName="_PLD_f8ed91a88675406ea5643bb20525ebab" addr="T0R40C0S1_1"/>
        <m:item xlName="_GBC_2e3dbe602f2f4da1bd18dd8a65e91df9" concept="clcid-ci-ar:FuZhu_ShangYu" label="附注_商誉" addr="T0R40C1S1_1"/>
        <m:item xlName="_GBC_56574edcf21341e18423741330a1a04b" concept="clcid-pte:ShangYu" label="商誉" mulRef="_GBC_710dced47e5943589779e071c78c5512" unitRef="_GBC_7e2679155b104d33ba04158c7414bcff" addr="T0R40C2S1_1" formatStyle="Comma"/>
        <m:item xlName="_GBC_0c00dbd7bd5f4dcdab6b2d77c77c956b" concept="clcid-pte:ShangYu" label="商誉" periodRef="上年期末数" mulRef="_GBC_710dced47e5943589779e071c78c5512" unitRef="_GBC_7e2679155b104d33ba04158c7414bcff" addr="T0R40C3S1_1" formatStyle="Comma"/>
        <m:placeholder xlName="_PLD_c7616aaf37e541948f0c2ca1f9b68af9" addr="T0R41C0S1_1"/>
        <m:item xlName="_GBC_6155bdc83d814d3fb12fd75d7a53904b" concept="clcid-ci-ar:FuZhu_ChangQiDaiTanFeiYong" label="附注_长期待摊费用" addr="T0R41C1S1_1"/>
        <m:item xlName="_GBC_3150ede79fd34d09a073af9d5de34061" concept="clcid-pte:ChangQiDaiTanFeiYong" label="长期待摊费用" mulRef="_GBC_710dced47e5943589779e071c78c5512" unitRef="_GBC_7e2679155b104d33ba04158c7414bcff" addr="T0R41C2S1_1" formatStyle="Comma"/>
        <m:item xlName="_GBC_8aad697a2b0a4dd6a3cf0bda419a6319" concept="clcid-pte:ChangQiDaiTanFeiYong" label="长期待摊费用" periodRef="上年期末数" mulRef="_GBC_710dced47e5943589779e071c78c5512" unitRef="_GBC_7e2679155b104d33ba04158c7414bcff" addr="T0R41C3S1_1" formatStyle="Comma"/>
        <m:placeholder xlName="_PLD_831746b98bdc4418bed3ce5f97331371" addr="T0R42C0S1_1"/>
        <m:item xlName="_GBC_bb162c6d9bac4e318556e24bd8415e0b" concept="clcid-ci-ar:FuZhu_DiYanShuiKuanJieXiangHeJi" label="附注_递延税款借项合计" addr="T0R42C1S1_1"/>
        <m:item xlName="_GBC_cc279e164e484f32b08ccb6ec317318f" concept="clcid-pte:DiYanShuiKuanJieXiangHeJi" label="递延税款借项合计" mulRef="_GBC_710dced47e5943589779e071c78c5512" unitRef="_GBC_7e2679155b104d33ba04158c7414bcff" addr="T0R42C2S1_1" formatStyle="Comma"/>
        <m:item xlName="_GBC_bec4421fb3964bb494230a137ffe1fc0" concept="clcid-pte:DiYanShuiKuanJieXiangHeJi" label="递延税款借项合计" periodRef="上年期末数" mulRef="_GBC_710dced47e5943589779e071c78c5512" unitRef="_GBC_7e2679155b104d33ba04158c7414bcff" addr="T0R42C3S1_1" formatStyle="Comma"/>
        <m:placeholder xlName="_PLD_b16d4dbbdf9e4712984ce3d90131c10b" addr="T0R43C0S1_1"/>
        <m:item xlName="_GBC_b95b09b9741348c493c82fef3ac3b406" concept="clcid-ci-ar:FuZhu_QiTaChangQiZiChan" label="附注_其他长期资产" addr="T0R43C1S1_1"/>
        <m:item xlName="_GBC_3fb2f8bb657f4ff0a9bbb5927331b613" concept="clcid-pte:QiTaChangQiZiChan" label="其他长期资产" mulRef="_GBC_710dced47e5943589779e071c78c5512" unitRef="_GBC_7e2679155b104d33ba04158c7414bcff" addr="T0R43C2S1_1" formatStyle="Comma"/>
        <m:item xlName="_GBC_82b858e59ff14a4daeea5d4b0abf36fb" concept="clcid-pte:QiTaChangQiZiChan" label="其他长期资产" periodRef="上年期末数" mulRef="_GBC_710dced47e5943589779e071c78c5512" unitRef="_GBC_7e2679155b104d33ba04158c7414bcff" addr="T0R43C3S1_1" formatStyle="Comma"/>
        <m:placeholder xlName="_PLD_244b63fab9214d849ab2fc2afd25f0a8" addr="T0R44C0S1_1"/>
        <m:item xlName="_GBC_23f8abdd7db142e5bda0d70e9ee6dd85" concept="clcid-ci-ar:FuZhu_FeiLiuDongZiChanHeJi" label="附注_非流动资产合计" addr="T0R44C1S1_1"/>
        <m:item xlName="_GBC_c487f2261b074feb85a7294cf46ffe73" concept="clcid-pte:FeiLiuDongZiChanHeJi" label="非流动资产合计" mulRef="_GBC_710dced47e5943589779e071c78c5512" unitRef="_GBC_7e2679155b104d33ba04158c7414bcff" addr="T0R44C2S1_1" formatStyle="Comma">
          <m:complexRule comparator="Eq" title="非流动资产合计" test=" $_GBC_ba6fcdca2eb344deb12090fca4a7fafe +  $_GBC_edefd4d48b2d48029e68a2fa35867340 +  $_GBC_8a78e08b4946474a87ee959c99479430 +  $_GBC_41324c4bf3cd4c12a90b5eda3f3b6cea +  $_GBC_f18be2917e9c42dea6bafed8bbcab83e +  $_GBC_22eaf9f5efb94f10abc827becfc06c01 +  $_GBC_c8c65f0af3c049e7b7362bd63adb9cf7 +  $_GBC_650fc03ed65b483ebfbce58beff4a040 +  $_GBC_d070396dd75c4200ac6c5037b5dacb21 +  $_GBC_f280090492fe476581288324a7645bf7 +  $_GBC_2041aac9a2804f63910544419af09432 +  $_GBC_dfa6a08f2a6241a892de9a7aa6010ae2 +  $_GBC_60b43fc03e014bf3bcf6ad191ccb87b9 +  $_GBC_0bb05f6624784fbfb71bfba3b267ece3 +  $_GBC_3e7bcbfb79474a44a0c806a49f0d4f2a +  $_GBC_56574edcf21341e18423741330a1a04b +  $_GBC_3150ede79fd34d09a073af9d5de34061 +  $_GBC_cc279e164e484f32b08ccb6ec317318f +  $_GBC_3fb2f8bb657f4ff0a9bbb5927331b613" id="C3bf5cd1aa7374c7183b8ef10dde3ebc7"/>
        </m:item>
        <m:item xlName="_GBC_26a36b103b874c209001c3df79eec9bc" concept="clcid-pte:FeiLiuDongZiChanHeJi" label="非流动资产合计" periodRef="上年期末数" mulRef="_GBC_710dced47e5943589779e071c78c5512" unitRef="_GBC_7e2679155b104d33ba04158c7414bcff" addr="T0R44C3S1_1" formatStyle="Comma">
          <m:complexRule comparator="Eq" title="非流动资产合计@上年期末数" test=" $_GBC_497ef354674043f0a7aad5883dc1c6fd +  $_GBC_9395cdbe363545aeaa06bea7f09bec20 +  $_GBC_80b9ea3fbfde4a74a795551c5978f171 +  $_GBC_b58f0f6acdf940d589db071ddd8d3d97 +  $_GBC_5397a886f5f04a4c981d8ed07298edfb +  $_GBC_32ae8cebd63c42b8981eed9b36c8c41e +  $_GBC_e5ad6931b032432e852d176e61102eb2 +  $_GBC_f227ff74bd504428b8eefeeb35b85dd5 +  $_GBC_ea69583fe19e4401a0d17f120b2a7c0d +  $_GBC_12611b95cffb4a0382051694f894579c +  $_GBC_32ac7fecad9340f89be8f8b1b66d755c +  $_GBC_83de3c61d43f47a18e356ff42105f0c2 +  $_GBC_80dcb24939ec40efbc7b3f781842db06 +  $_GBC_d52216a8239c48268e3da9e8465f5a1f +  $_GBC_cb91824c65bb456c82de586c275a15a6 +  $_GBC_0c00dbd7bd5f4dcdab6b2d77c77c956b +  $_GBC_8aad697a2b0a4dd6a3cf0bda419a6319 +  $_GBC_bec4421fb3964bb494230a137ffe1fc0 +  $_GBC_82b858e59ff14a4daeea5d4b0abf36fb" id="Cf425c5a078ba4d0c95c33423398460fb"/>
        </m:item>
        <m:placeholder xlName="_PLD_6e563319c2e4471398624f06f1db4a4e" addr="T0R45C0S1_1"/>
        <m:item xlName="_GBC_fec5c916b5f2453b9e3ca63fb831042f" concept="clcid-ci-ar:FuZhu_ZiChanZongJi" label="附注_资产总计" addr="T0R45C1S1_1"/>
        <m:item xlName="_GBC_818baf872bc741fc93539225845dada4" concept="clcid-pte:ZiChanZongJi" label="资产总计" mulRef="_GBC_710dced47e5943589779e071c78c5512" unitRef="_GBC_7e2679155b104d33ba04158c7414bcff" addr="T0R45C2S1_1" formatStyle="Comma">
          <m:complexRule comparator="Eq" test=" $_GBC_dc111c69eafc43819221194075daccb8 +  $_GBC_c487f2261b074feb85a7294cf46ffe73" id="Cee7cd141b1b649e397c512abeae099af"/>
          <m:complexRule comparator="Eq" test=" $_GBC_f23bf6303aab4537ba6a3dfae3647f7d" id="Ca661529ce8f640bd954b47e945a59e5d"/>
        </m:item>
        <m:item xlName="_GBC_11bc34435b5f4d448ad0096693e18480" concept="clcid-pte:ZiChanZongJi" label="资产总计" periodRef="上年期末数" mulRef="_GBC_710dced47e5943589779e071c78c5512" unitRef="_GBC_7e2679155b104d33ba04158c7414bcff" addr="T0R45C3S1_1" formatStyle="Comma">
          <m:complexRule comparator="Eq" test=" $_GBC_f75ac84f62bd4e088401c46cf82c6ce9 +  $_GBC_26a36b103b874c209001c3df79eec9bc" id="C45dbf2a5a2d44b6aaa034ac622ca3d8d"/>
          <m:complexRule comparator="Eq" test=" $_GBC_16090d37ea1642ada5d28b1d536be596" id="C72b9eb99da19466fba9b9c6542a0419c"/>
        </m:item>
        <m:placeholder xlName="_PLD_9375d0f637964c329fb26d2b4f648745" addr="T0R46C0S1_1"/>
        <m:placeholder xlName="_PLD_2fd37dc37d5e4c28b5b0dbe25be93232" addr="T0R47C0S1_1"/>
        <m:item xlName="_GBC_291459066b874e069e11ad6c785d3506" concept="clcid-ci-ar:FuZhu_DuanQiJieKuan" label="附注_短期借款" addr="T0R47C1S1_1"/>
        <m:item xlName="_GBC_727280fd38954a4da96253f60f652817" concept="clcid-pte:DuanQiJieKuan" label="短期借款" mulRef="_GBC_710dced47e5943589779e071c78c5512" unitRef="_GBC_7e2679155b104d33ba04158c7414bcff" addr="T0R47C2S1_1" formatStyle="Comma"/>
        <m:item xlName="_GBC_fd9f91d26a884230b8535b031e4881b5" concept="clcid-pte:DuanQiJieKuan" label="短期借款" periodRef="上年期末数" mulRef="_GBC_710dced47e5943589779e071c78c5512" unitRef="_GBC_7e2679155b104d33ba04158c7414bcff" addr="T0R47C3S1_1" formatStyle="Comma"/>
        <m:placeholder xlName="_PLD_d4d41992aeff449e841a25d78244a217" addr="T0R48C0S1_1"/>
        <m:item xlName="_GBC_56eedbe416314c7e959ba3b401c55de5" concept="clcid-ci-ar:FuZhu_XiangZhongYangYinHangJieKuan" label="附注_向中央银行借款" addr="T0R48C1S1_1"/>
        <m:item xlName="_GBC_7932df86c6d246e889441cc57d74feb8" concept="clcid-pte:XiangZhongYangYinHangJieKuan" label="向中央银行借款" mulRef="_GBC_710dced47e5943589779e071c78c5512" unitRef="_GBC_7e2679155b104d33ba04158c7414bcff" addr="T0R48C2S1_1" formatStyle="Comma"/>
        <m:item xlName="_GBC_5936dedc7baa43f4a872d950c33f22b7" concept="clcid-pte:XiangZhongYangYinHangJieKuan" label="向中央银行借款" periodRef="上年期末数" mulRef="_GBC_710dced47e5943589779e071c78c5512" unitRef="_GBC_7e2679155b104d33ba04158c7414bcff" addr="T0R48C3S1_1" formatStyle="Comma"/>
        <m:placeholder xlName="_PLD_aa8e7d1680b146519de30874741a7d72" addr="T0R49C0S1_1"/>
        <m:item xlName="_GBC_0d8bbaa09b2c4b75ae0afff8ca7721d0" concept="clcid-ci-ar:FuZhu_ChaiRuZiJin" label="附注_拆入资金" addr="T0R49C1S1_1"/>
        <m:item xlName="_GBC_b09233ce8e9c4f73bf34abee80bdb853" concept="clcid-pte:ChaiRuZiJin" label="拆入资金" mulRef="_GBC_710dced47e5943589779e071c78c5512" unitRef="_GBC_7e2679155b104d33ba04158c7414bcff" addr="T0R49C2S1_1" formatStyle="Comma"/>
        <m:item xlName="_GBC_480c90f6c938403eb3610e958571f71c" concept="clcid-pte:ChaiRuZiJin" label="拆入资金" periodRef="上年期末数" mulRef="_GBC_710dced47e5943589779e071c78c5512" unitRef="_GBC_7e2679155b104d33ba04158c7414bcff" addr="T0R49C3S1_1" formatStyle="Comma"/>
        <m:placeholder xlName="_PLD_e695121b86514004a89ae09bf4805868" addr="T0R50C0S1_1"/>
        <m:item xlName="_GBC_6ba18b596f9d4a4b876f2044d1070017" concept="clcid-ci-ar:FuZhu_JiaoYiXingJinRongFuZhai" label="附注_交易性金融负债" addr="T0R50C1S1_1"/>
        <m:item xlName="_GBC_b672351d9d9744f1a768b784a144c18b" concept="clcid-pte:JiaoYiXingJinRongFuZhai" label="交易性金融负债" mulRef="_GBC_710dced47e5943589779e071c78c5512" unitRef="_GBC_7e2679155b104d33ba04158c7414bcff" addr="T0R50C2S1_1" formatStyle="Comma"/>
        <m:item xlName="_GBC_6e10f46236e742aea26d5b43372c45ff" concept="clcid-pte:JiaoYiXingJinRongFuZhai" label="交易性金融负债" periodRef="上年期末数" mulRef="_GBC_710dced47e5943589779e071c78c5512" unitRef="_GBC_7e2679155b104d33ba04158c7414bcff" addr="T0R50C3S1_1" formatStyle="Comma"/>
        <m:placeholder xlName="_PLD_24e5d5bfa7f841d1bd60fddcb2e66c58" addr="T0R51C0S1_1"/>
        <m:item xlName="_GBC_671e37764a164b6e862244086a64e23c" concept="clcid-ci-ar:FuZhuYanShengJinRongFuZhai" label="附注_衍生金融负债" addr="T0R51C1S1_1"/>
        <m:item xlName="_GBC_2885f00532ca424ca0afe0f5be9b5971" concept="clcid-pte:YanShengJinRongFuZhai" label="衍生金融负债" mulRef="_GBC_710dced47e5943589779e071c78c5512" unitRef="_GBC_7e2679155b104d33ba04158c7414bcff" addr="T0R51C2S1_1" formatStyle="Comma"/>
        <m:item xlName="_GBC_7d424fbd67b64946a30fa95ce01d07fb" concept="clcid-pte:YanShengJinRongFuZhai" label="衍生金融负债" periodRef="上年期末数" mulRef="_GBC_710dced47e5943589779e071c78c5512" unitRef="_GBC_7e2679155b104d33ba04158c7414bcff" addr="T0R51C3S1_1" formatStyle="Comma"/>
        <m:placeholder xlName="_PLD_a1ccdf0c4f4443b685142442e1c3f8f6" addr="T0R52C0S1_1"/>
        <m:item xlName="_GBC_724709b5ddf445c493783c4a8d4d9d79" concept="clcid-ci-ar:FuZhu_YingFuPiaoJu" label="附注_应付票据" addr="T0R52C1S1_1"/>
        <m:item xlName="_GBC_5d6b364e58b84e11bdbca036572cfdfa" concept="clcid-pte:YingFuPiaoJu" label="应付票据" mulRef="_GBC_710dced47e5943589779e071c78c5512" unitRef="_GBC_7e2679155b104d33ba04158c7414bcff" addr="T0R52C2S1_1" formatStyle="Comma"/>
        <m:item xlName="_GBC_cb755f83d93344d6984f34ac6f696270" concept="clcid-pte:YingFuPiaoJu" label="应付票据" periodRef="上年期末数" mulRef="_GBC_710dced47e5943589779e071c78c5512" unitRef="_GBC_7e2679155b104d33ba04158c7414bcff" addr="T0R52C3S1_1" formatStyle="Comma"/>
        <m:placeholder xlName="_PLD_63f7bc90fdbe4fe9b76159c57157c382" addr="T0R53C0S1_1"/>
        <m:item xlName="_GBC_4cb082f193544caea44d3629551ded92" concept="clcid-ci-ar:FuZhu_YingFuZhangKuan" label="附注_应付帐款" addr="T0R53C1S1_1"/>
        <m:item xlName="_GBC_1174f3618f9a4d16b289ff0e9527c41b" concept="clcid-pte:YingFuZhangKuan" label="应付帐款" mulRef="_GBC_710dced47e5943589779e071c78c5512" unitRef="_GBC_7e2679155b104d33ba04158c7414bcff" addr="T0R53C2S1_1" formatStyle="Comma"/>
        <m:item xlName="_GBC_981a2f69542d443380e891fc8c21aec3" concept="clcid-pte:YingFuZhangKuan" label="应付帐款" periodRef="上年期末数" mulRef="_GBC_710dced47e5943589779e071c78c5512" unitRef="_GBC_7e2679155b104d33ba04158c7414bcff" addr="T0R53C3S1_1" formatStyle="Comma"/>
        <m:placeholder xlName="_PLD_3652c9d68fee4d45b2cd80abc417bcfd" addr="T0R54C0S1_1"/>
        <m:item xlName="_GBC_d336259807cd454f956ada72c6991d2f" concept="clcid-ci-ar:FuZhu_YuShouZhangKuan" label="附注_预收帐款" addr="T0R54C1S1_1"/>
        <m:item xlName="_GBC_9a95f1aedb394f27aa809290e6271b23" concept="clcid-pte:YuShouZhangKuan" label="预收帐款" mulRef="_GBC_710dced47e5943589779e071c78c5512" unitRef="_GBC_7e2679155b104d33ba04158c7414bcff" addr="T0R54C2S1_1" formatStyle="Comma"/>
        <m:item xlName="_GBC_8b8eaac32e55481e9264b9666fbc31f9" concept="clcid-pte:YuShouZhangKuan" label="预收帐款" periodRef="上年期末数" mulRef="_GBC_710dced47e5943589779e071c78c5512" unitRef="_GBC_7e2679155b104d33ba04158c7414bcff" addr="T0R54C3S1_1" formatStyle="Comma"/>
        <m:placeholder xlName="_PLD_be5eec398fb24e96b51c778e07be994c" addr="T0R56C0S1_1"/>
        <m:item xlName="_GBC_a835342e06574ec48337ae5c5be0c261" concept="clcid-ci-ar:FuZhu_MaiChuHuiGouJinRongZiChanKuan" label="附注_卖出回购金融资产款" addr="T0R56C1S1_1"/>
        <m:item xlName="_GBC_8cc2da1f100a45ac92780b441e605ff5" concept="clcid-pte:MaiChuHuiGouJinRongZiChanKuan" label="卖出回购金融资产款" mulRef="_GBC_710dced47e5943589779e071c78c5512" unitRef="_GBC_7e2679155b104d33ba04158c7414bcff" addr="T0R56C2S1_1" formatStyle="Comma"/>
        <m:item xlName="_GBC_0cc3edc04d8749aeaf1f9fd77d608ded" concept="clcid-pte:MaiChuHuiGouJinRongZiChanKuan" label="卖出回购金融资产款" periodRef="上年期末数" mulRef="_GBC_710dced47e5943589779e071c78c5512" unitRef="_GBC_7e2679155b104d33ba04158c7414bcff" addr="T0R56C3S1_1" formatStyle="Comma"/>
        <m:placeholder xlName="_PLD_c96881e9f0ab40769bcc86283e6097ff" addr="T0R57C0S1_1"/>
        <m:item xlName="_GBC_400e8794dd494dc8bb1beba38ac9c056" concept="clcid-ci-ar:FuZhu_XiShouCunKuanJiTongYeCunFang" label="附注_吸收存款及同业存放" addr="T0R57C1S1_1"/>
        <m:item xlName="_GBC_2a669c6a17f6423a8cd8604f4fffc076" concept="clcid-pte:XiShouCunKuanJiTongYeCunFang" label="吸收存款及同业存放" mulRef="_GBC_710dced47e5943589779e071c78c5512" unitRef="_GBC_7e2679155b104d33ba04158c7414bcff" addr="T0R57C2S1_1" formatStyle="Comma"/>
        <m:item xlName="_GBC_a0bb88bb7ce0403f9c876afb831dd7e5" concept="clcid-pte:XiShouCunKuanJiTongYeCunFang" label="吸收存款及同业存放" periodRef="上年期末数" mulRef="_GBC_710dced47e5943589779e071c78c5512" unitRef="_GBC_7e2679155b104d33ba04158c7414bcff" addr="T0R57C3S1_1" formatStyle="Comma"/>
        <m:placeholder xlName="_PLD_f52e1d03b4c642029c957ce402548b4d" addr="T0R58C0S1_1"/>
        <m:item xlName="_GBC_c6626e33f770489c9c68cc7c9c251285" concept="clcid-ci-ar:FuZhu_DaiLiMaiMaiZhengQuanKuan" label="附注_代理买卖证券款" addr="T0R58C1S1_1"/>
        <m:item xlName="_GBC_307d571b09d74feb8ba2d3ad3bc74759" concept="clcid-pte:DaiLiMaiMaiZhengQuanKuan" label="代理买卖证券款" mulRef="_GBC_710dced47e5943589779e071c78c5512" unitRef="_GBC_7e2679155b104d33ba04158c7414bcff" addr="T0R58C2S1_1" formatStyle="Comma"/>
        <m:item xlName="_GBC_ffc5589878f74aa691977ad98db8ace3" concept="clcid-pte:DaiLiMaiMaiZhengQuanKuan" label="代理买卖证券款" periodRef="上年期末数" mulRef="_GBC_710dced47e5943589779e071c78c5512" unitRef="_GBC_7e2679155b104d33ba04158c7414bcff" addr="T0R58C3S1_1" formatStyle="Comma"/>
        <m:placeholder xlName="_PLD_eac3eaf64a174f42beaddc0b3be0ef73" addr="T0R59C0S1_1"/>
        <m:item xlName="_GBC_4c3b3de3af8f4ba8b7d870c9551fc2c1" concept="clcid-ci-ar:FuZhu_DaiLiChengXiaoZhengQuanKuan" label="附注_代理承销证券款" addr="T0R59C1S1_1"/>
        <m:item xlName="_GBC_86674acf3fb74af2a4d3a625e9e7f883" concept="clcid-pte:DaiLiChengXiaoZhengQuanKuan" label="代理承销证券款" mulRef="_GBC_710dced47e5943589779e071c78c5512" unitRef="_GBC_7e2679155b104d33ba04158c7414bcff" addr="T0R59C2S1_1" formatStyle="Comma"/>
        <m:item xlName="_GBC_27a9a7e52ced47bfa5acc76727fa1702" concept="clcid-pte:DaiLiChengXiaoZhengQuanKuan" label="代理承销证券款" periodRef="上年期末数" mulRef="_GBC_710dced47e5943589779e071c78c5512" unitRef="_GBC_7e2679155b104d33ba04158c7414bcff" addr="T0R59C3S1_1" formatStyle="Comma"/>
        <m:placeholder xlName="_PLD_b46164c72e3e41ec9fc7c62554dc88df" addr="T0R60C0S1_1"/>
        <m:item xlName="_GBC_0cdd9788b61146bfa62e36d72f247d8c" concept="clcid-ci-ar:FuZhu_YingFuZhiGongXinChou" label="附注_应付职工薪酬" addr="T0R60C1S1_1"/>
        <m:item xlName="_GBC_c1321b650db14a4eb6677a1a8da2aaab" concept="clcid-pte:YingFuZhiGongXinChou" label="应付职工薪酬" mulRef="_GBC_710dced47e5943589779e071c78c5512" unitRef="_GBC_7e2679155b104d33ba04158c7414bcff" addr="T0R60C2S1_1" formatStyle="Comma"/>
        <m:item xlName="_GBC_d41cf3f6a28d40caa85a07ed6e6f93c2" concept="clcid-pte:YingFuZhiGongXinChou" label="应付职工薪酬" periodRef="上年期末数" mulRef="_GBC_710dced47e5943589779e071c78c5512" unitRef="_GBC_7e2679155b104d33ba04158c7414bcff" addr="T0R60C3S1_1" formatStyle="Comma"/>
        <m:placeholder xlName="_PLD_da4e94adb66d4e528e4e8867ce4f2302" addr="T0R61C0S1_1"/>
        <m:item xlName="_GBC_69396418e81f4da5ae887914bc85eb93" concept="clcid-ci-ar:FuZhu_YingJiaoShuiJin" label="附注_应交税金" addr="T0R61C1S1_1"/>
        <m:item xlName="_GBC_5382f54a58eb4bad8a5e399706ca0652" concept="clcid-pte:YingJiaoShuiJin" label="应交税金" mulRef="_GBC_710dced47e5943589779e071c78c5512" unitRef="_GBC_7e2679155b104d33ba04158c7414bcff" addr="T0R61C2S1_1" formatStyle="Comma"/>
        <m:item xlName="_GBC_03cd714a26a04e4bb164d25974a87371" concept="clcid-pte:YingJiaoShuiJin" label="应交税金" periodRef="上年期末数" mulRef="_GBC_710dced47e5943589779e071c78c5512" unitRef="_GBC_7e2679155b104d33ba04158c7414bcff" addr="T0R61C3S1_1" formatStyle="Comma"/>
        <m:placeholder xlName="_PLD_f1bb75ef275f4cabafc790de2f817512" addr="T0R62C0S1_1"/>
        <m:item xlName="_GBC_491fff510b484a9da4afb9a06407689a" concept="clcid-ci-ar:FuZhu_QiTaYingFuKuan" label="附注_其他应付款" addr="T0R62C1S1_1"/>
        <m:item xlName="_GBC_3f0e28eae6ed4ed3aa948e6885344be2" concept="clcid-pte:QiTaYingFuKuan" label="其他应付款" mulRef="_GBC_710dced47e5943589779e071c78c5512" unitRef="_GBC_7e2679155b104d33ba04158c7414bcff" addr="T0R62C2S1_1" formatStyle="Comma"/>
        <m:item xlName="_GBC_19240245110a43cd83f8bcbe8b0ad71d" concept="clcid-pte:QiTaYingFuKuan" label="其他应付款" periodRef="上年期末数" mulRef="_GBC_710dced47e5943589779e071c78c5512" unitRef="_GBC_7e2679155b104d33ba04158c7414bcff" addr="T0R62C3S1_1" formatStyle="Comma"/>
        <m:placeholder xlName="_PLD_c2d9be160e384569b83c6b4fa8a1aa71" addr="T0R63C0S1_1"/>
        <m:item xlName="_GBC_0b251d386d284bb39e78cdde209ac15d" concept="clcid-ci-ar:FuZhu_YingFuLiXi" label="附注_应付利息" addr="T0R63C1S1_1"/>
        <m:item xlName="_GBC_45208f5516214b39980b4d04b79de348" concept="clcid-pte:YingFuLiXi" label="应付利息" mulRef="_GBC_710dced47e5943589779e071c78c5512" unitRef="_GBC_7e2679155b104d33ba04158c7414bcff" addr="T0R63C2S1_1" formatStyle="Comma"/>
        <m:item xlName="_GBC_5c518184bc8c4cb48fb2e17192341685" concept="clcid-pte:YingFuLiXi" label="应付利息" periodRef="上年期末数" mulRef="_GBC_710dced47e5943589779e071c78c5512" unitRef="_GBC_7e2679155b104d33ba04158c7414bcff" addr="T0R63C3S1_1" formatStyle="Comma"/>
        <m:placeholder xlName="_PLD_d687f45d03d4450780c80600a9c2e9d5" addr="T0R64C0S1_1"/>
        <m:item xlName="_GBC_5847aa978d2440fc9443edc4b9ecc929" concept="clcid-ci-ar:FuZhu_YingFuGuLi" label="附注_应付股利" addr="T0R64C1S1_1"/>
        <m:item xlName="_GBC_bcbee0875864478e85c6fdcafcd44ab2" concept="clcid-pte:YingFuGuLi" label="应付股利" mulRef="_GBC_710dced47e5943589779e071c78c5512" unitRef="_GBC_7e2679155b104d33ba04158c7414bcff" addr="T0R64C2S1_1" formatStyle="Comma"/>
        <m:item xlName="_GBC_93d44944e21c411086d5ad11854d5d06" concept="clcid-pte:YingFuGuLi" label="应付股利" periodRef="上年期末数" mulRef="_GBC_710dced47e5943589779e071c78c5512" unitRef="_GBC_7e2679155b104d33ba04158c7414bcff" addr="T0R64C3S1_1" formatStyle="Comma"/>
        <m:placeholder xlName="_PLD_92ed0ec1441a49ed9ae726f88f149d23" addr="T0R65C0S1_1"/>
        <m:item xlName="_GBC_414a12eda5924c309f15373c7e257da3" concept="clcid-ci-ar:FuZhu_YingFuShouXuFeiJiYongJin" label="附注_应付手续费及佣金" addr="T0R65C1S1_1"/>
        <m:item xlName="_GBC_ea57f0c1458440d88db047136ad4a988" concept="clcid-pte:YingFuShouXuFeiJiYongJin" label="应付手续费及佣金" mulRef="_GBC_710dced47e5943589779e071c78c5512" unitRef="_GBC_7e2679155b104d33ba04158c7414bcff" addr="T0R65C2S1_1" formatStyle="Comma"/>
        <m:item xlName="_GBC_b91a9604e0194655a8f53576f0b795fb" concept="clcid-pte:YingFuShouXuFeiJiYongJin" label="应付手续费及佣金" periodRef="上年期末数" mulRef="_GBC_710dced47e5943589779e071c78c5512" unitRef="_GBC_7e2679155b104d33ba04158c7414bcff" addr="T0R65C3S1_1" formatStyle="Comma"/>
        <m:placeholder xlName="_PLD_3cd74a6b00ca416da58e99206b2a6150" addr="T0R66C0S1_1"/>
        <m:item xlName="_GBC_342cce3427a24e759df3afbf0acbcf49" concept="clcid-ci-ar:FuZhu_YingFuFenBaoZhangKuan" label="附注_应付分保账款" addr="T0R66C1S1_1"/>
        <m:item xlName="_GBC_b3dcbaf6e766466e9fb68e823b52833c" concept="clcid-pte:YingFuFenBaoZhangKuan" label="应付分保账款" mulRef="_GBC_710dced47e5943589779e071c78c5512" unitRef="_GBC_7e2679155b104d33ba04158c7414bcff" addr="T0R66C2S1_1" formatStyle="Comma"/>
        <m:item xlName="_GBC_fcd1aa399c2e4cb19e9ec0ff2d8505e6" concept="clcid-pte:YingFuFenBaoZhangKuan" label="应付分保账款" periodRef="上年期末数" mulRef="_GBC_710dced47e5943589779e071c78c5512" unitRef="_GBC_7e2679155b104d33ba04158c7414bcff" addr="T0R66C3S1_1" formatStyle="Comma"/>
        <m:placeholder xlName="_PLD_c16bfcfaac284e66b961859169968520" addr="T0R55C0S1_1"/>
        <m:item xlName="_GBC_65a089d530d541d0b38261443b067387" concept="clcid-ci-ar:FuZhu_HeTongFuZhai" label="附注_合同负债" addr="T0R55C1S1_1"/>
        <m:item xlName="_GBC_0e4bdea2b03c489fa7f799c2cbf72520" concept="clcid-pte:HeTongFuZhai" label="合同负债" mulRef="_GBC_710dced47e5943589779e071c78c5512" unitRef="_GBC_7e2679155b104d33ba04158c7414bcff" addr="T0R55C2S1_1" formatStyle="Comma"/>
        <m:item xlName="_GBC_764fff335ba643a09a58466777011682" concept="clcid-pte:HeTongFuZhai" label="合同负债" periodRef="上年期末数" mulRef="_GBC_710dced47e5943589779e071c78c5512" unitRef="_GBC_7e2679155b104d33ba04158c7414bcff" addr="T0R55C3S1_1" formatStyle="Comma"/>
        <m:placeholder xlName="_PLD_e2e76edca1004352bfa9fe9ea4f74480" addr="T0R67C0S1_1"/>
        <m:item xlName="_GBC_3bb88a463e7340eb855e1007be0f6595" concept="clcid-ci-ar:FuZhuHuaFenWeiChiYouDaiShouDeFuZhai" label="附注_划分为持有待售的负债" addr="T0R67C1S1_1"/>
        <m:item xlName="_GBC_c520dd227bbb47098f4fc05b885c31ef" concept="clcid-pte:HuaFenWeiChiYouDaiShouDeFuZhai" label="划分为持有待售的负债" mulRef="_GBC_710dced47e5943589779e071c78c5512" unitRef="_GBC_7e2679155b104d33ba04158c7414bcff" addr="T0R67C2S1_1" formatStyle="Comma"/>
        <m:item xlName="_GBC_1115ec1080784f34927f4d80768fd42c" concept="clcid-pte:HuaFenWeiChiYouDaiShouDeFuZhai" label="划分为持有待售的负债" periodRef="上年期末数" mulRef="_GBC_710dced47e5943589779e071c78c5512" unitRef="_GBC_7e2679155b104d33ba04158c7414bcff" addr="T0R67C3S1_1" formatStyle="Comma"/>
        <m:placeholder xlName="_PLD_3d84ac3419c14af1a70409a1e659bc33" addr="T0R68C0S1_1"/>
        <m:item xlName="_GBC_3b60f0e0c5584710994f5b0391d095dc" concept="clcid-ci-ar:FuZhu_YiNianNeiDaoQiDeChangQiFuZhai" label="附注_一年内到期的长期负债" addr="T0R68C1S1_1"/>
        <m:item xlName="_GBC_7da44e6eed0e4f72b8480d0118b9287b" concept="clcid-pte:YiNianNeiDaoQiDeChangQiFuZhai" label="一年内到期的长期负债" mulRef="_GBC_710dced47e5943589779e071c78c5512" unitRef="_GBC_7e2679155b104d33ba04158c7414bcff" addr="T0R68C2S1_1" formatStyle="Comma"/>
        <m:item xlName="_GBC_6fb9b5b1e27745cf8395f3bbde46c3fe" concept="clcid-pte:YiNianNeiDaoQiDeChangQiFuZhai" label="一年内到期的长期负债" periodRef="上年期末数" mulRef="_GBC_710dced47e5943589779e071c78c5512" unitRef="_GBC_7e2679155b104d33ba04158c7414bcff" addr="T0R68C3S1_1" formatStyle="Comma"/>
        <m:placeholder xlName="_PLD_d98d6b8169c447a0bc0b1ae069d60a30" addr="T0R69C0S1_1"/>
        <m:item xlName="_GBC_b23fb562ff2248d6a77ea5cde94eb6a9" concept="clcid-ci-ar:FuZhu_QiTaLiuDongFuZhai" label="附注_其他流动负债" addr="T0R69C1S1_1"/>
        <m:item xlName="_GBC_3a9508170942412281feb1560b4d61f8" concept="clcid-pte:QiTaLiuDongFuZhai" label="其他流动负债" mulRef="_GBC_710dced47e5943589779e071c78c5512" unitRef="_GBC_7e2679155b104d33ba04158c7414bcff" addr="T0R69C2S1_1" formatStyle="Comma"/>
        <m:item xlName="_GBC_6698fdc06763409190e7834d0f0d9d2a" concept="clcid-pte:QiTaLiuDongFuZhai" label="其他流动负债" periodRef="上年期末数" mulRef="_GBC_710dced47e5943589779e071c78c5512" unitRef="_GBC_7e2679155b104d33ba04158c7414bcff" addr="T0R69C3S1_1" formatStyle="Comma"/>
        <m:placeholder xlName="_PLD_d6387f8c45ce4f8599c26d4b88544573" addr="T0R70C0S1_1"/>
        <m:item xlName="_GBC_cc5c8476696647fd9d04f4ec6fe3d493" concept="clcid-ci-ar:FuZhu_LiuDongFuZhaiHeJi" label="附注_流动负债合计" addr="T0R70C1S1_1"/>
        <m:item xlName="_GBC_077ee38acbb145969711b796f5289147" concept="clcid-pte:LiuDongFuZhaiHeJi" label="流动负债合计" mulRef="_GBC_710dced47e5943589779e071c78c5512" unitRef="_GBC_7e2679155b104d33ba04158c7414bcff" addr="T0R70C2S1_1" formatStyle="Comma">
          <m:complexRule comparator="Eq" title="流动负债合计" test=" $_GBC_727280fd38954a4da96253f60f652817 +  $_GBC_7932df86c6d246e889441cc57d74feb8 +  $_GBC_b09233ce8e9c4f73bf34abee80bdb853 +  $_GBC_b672351d9d9744f1a768b784a144c18b +  $_GBC_2885f00532ca424ca0afe0f5be9b5971 +  $_GBC_5d6b364e58b84e11bdbca036572cfdfa +  $_GBC_1174f3618f9a4d16b289ff0e9527c41b +  $_GBC_9a95f1aedb394f27aa809290e6271b23 +  $_GBC_0e4bdea2b03c489fa7f799c2cbf72520 +  $_GBC_8cc2da1f100a45ac92780b441e605ff5 +  $_GBC_2a669c6a17f6423a8cd8604f4fffc076 +  $_GBC_307d571b09d74feb8ba2d3ad3bc74759 +  $_GBC_86674acf3fb74af2a4d3a625e9e7f883 +  $_GBC_c1321b650db14a4eb6677a1a8da2aaab +  $_GBC_5382f54a58eb4bad8a5e399706ca0652 +  $_GBC_3f0e28eae6ed4ed3aa948e6885344be2 +  $_GBC_ea57f0c1458440d88db047136ad4a988 +  $_GBC_b3dcbaf6e766466e9fb68e823b52833c +  $_GBC_c520dd227bbb47098f4fc05b885c31ef +  $_GBC_7da44e6eed0e4f72b8480d0118b9287b +  $_GBC_3a9508170942412281feb1560b4d61f8" id="C9eafe888999d434f889e6ba3af1225ee"/>
        </m:item>
        <m:item xlName="_GBC_0ee7399b10f240db9b3a1df3c56911ae" concept="clcid-pte:LiuDongFuZhaiHeJi" label="流动负债合计" periodRef="上年期末数" mulRef="_GBC_710dced47e5943589779e071c78c5512" unitRef="_GBC_7e2679155b104d33ba04158c7414bcff" addr="T0R70C3S1_1" formatStyle="Comma">
          <m:complexRule comparator="Eq" title="流动负债合计@上年期末数" test=" $_GBC_fd9f91d26a884230b8535b031e4881b5 +  $_GBC_5936dedc7baa43f4a872d950c33f22b7 +  $_GBC_480c90f6c938403eb3610e958571f71c +  $_GBC_6e10f46236e742aea26d5b43372c45ff +  $_GBC_7d424fbd67b64946a30fa95ce01d07fb +  $_GBC_cb755f83d93344d6984f34ac6f696270 +  $_GBC_981a2f69542d443380e891fc8c21aec3 +  $_GBC_8b8eaac32e55481e9264b9666fbc31f9 +  $_GBC_764fff335ba643a09a58466777011682 +  $_GBC_0cc3edc04d8749aeaf1f9fd77d608ded +  $_GBC_a0bb88bb7ce0403f9c876afb831dd7e5 +  $_GBC_ffc5589878f74aa691977ad98db8ace3 +  $_GBC_27a9a7e52ced47bfa5acc76727fa1702 +  $_GBC_d41cf3f6a28d40caa85a07ed6e6f93c2 +  $_GBC_03cd714a26a04e4bb164d25974a87371 +  $_GBC_19240245110a43cd83f8bcbe8b0ad71d +  $_GBC_b91a9604e0194655a8f53576f0b795fb +  $_GBC_fcd1aa399c2e4cb19e9ec0ff2d8505e6 +  $_GBC_1115ec1080784f34927f4d80768fd42c +  $_GBC_6fb9b5b1e27745cf8395f3bbde46c3fe +  $_GBC_6698fdc06763409190e7834d0f0d9d2a" id="Ceed17e62fb354ab6b4ae7f6e0605939e"/>
        </m:item>
        <m:placeholder xlName="_PLD_e92d79badc1945afbed8782cdacf599f" addr="T0R71C0S1_1"/>
        <m:placeholder xlName="_PLD_4515eae7d3ee403aac2fdade1a6ff71a" addr="T0R72C0S1_1"/>
        <m:item xlName="_GBC_d2959fc41b2a4afcb5e3a56ae166ba66" concept="clcid-ci-ar:FuZhu_BaoXianHeTongZhunBeiJin" label="附注_保险合同准备金" addr="T0R72C1S1_1"/>
        <m:item xlName="_GBC_b81d676808cb49e0811bc0e9526b4ce8" concept="clcid-pte:BaoXianHeTongZhunBeiJin" label="保险合同准备金" mulRef="_GBC_710dced47e5943589779e071c78c5512" unitRef="_GBC_7e2679155b104d33ba04158c7414bcff" addr="T0R72C2S1_1" formatStyle="Comma"/>
        <m:item xlName="_GBC_76f580e2287f4bc28841afafa3f9eb29" concept="clcid-pte:BaoXianHeTongZhunBeiJin" label="保险合同准备金" periodRef="上年期末数" mulRef="_GBC_710dced47e5943589779e071c78c5512" unitRef="_GBC_7e2679155b104d33ba04158c7414bcff" addr="T0R72C3S1_1" formatStyle="Comma"/>
        <m:placeholder xlName="_PLD_0b8d7682584443f4bae26e2ed50f8040" addr="T0R73C0S1_1"/>
        <m:item xlName="_GBC_12f4f6c01a194852b4a7f4f8f3098fe6" concept="clcid-ci-ar:FuZhu_ChangQiJieKuan" label="附注_长期借款" addr="T0R73C1S1_1"/>
        <m:item xlName="_GBC_c373487e8b034a1e9e2d28ec2cadf491" concept="clcid-pte:ChangQiJieKuan" label="长期借款" mulRef="_GBC_710dced47e5943589779e071c78c5512" unitRef="_GBC_7e2679155b104d33ba04158c7414bcff" addr="T0R73C2S1_1" formatStyle="Comma"/>
        <m:item xlName="_GBC_eca8afdc053749e4b519bf23d6549c1b" concept="clcid-pte:ChangQiJieKuan" label="长期借款" periodRef="上年期末数" mulRef="_GBC_710dced47e5943589779e071c78c5512" unitRef="_GBC_7e2679155b104d33ba04158c7414bcff" addr="T0R73C3S1_1" formatStyle="Comma"/>
        <m:placeholder xlName="_PLD_21503c6281dc48d19440b9f16f150ec0" addr="T0R74C0S1_1"/>
        <m:item xlName="_GBC_72b61abb90d94716829ca3ef62b23204" concept="clcid-ci-ar:FuZhu_YingFuZhaiQuan" label="附注_应付债券" addr="T0R74C1S1_1"/>
        <m:item xlName="_GBC_46fd7f40f7b3433ebbda0903b0feae4c" concept="clcid-pte:YingFuZhaiQuan" label="应付债券" mulRef="_GBC_710dced47e5943589779e071c78c5512" unitRef="_GBC_7e2679155b104d33ba04158c7414bcff" addr="T0R74C2S1_1" formatStyle="Comma"/>
        <m:item xlName="_GBC_aece512e352a4c42a7d5f58b8975e27a" concept="clcid-pte:YingFuZhaiQuan" label="应付债券" periodRef="上年期末数" mulRef="_GBC_710dced47e5943589779e071c78c5512" unitRef="_GBC_7e2679155b104d33ba04158c7414bcff" addr="T0R74C3S1_1" formatStyle="Comma"/>
        <m:placeholder xlName="_PLD_cfeff2e31a4d4689842e8f9ce5e8b342" addr="T0R75C0S1_1"/>
        <m:item xlName="_GBC_a09bc8b5feee4ffbbca605d0b80d7914" concept="clcid-ci-ar:FuZhuQiZhongYouXianGu" label="附注_其中：优先股" addr="T0R75C1S1_1"/>
        <m:item xlName="_GBC_08b2ca749b2a4487b6cc0e86ff63c6e1" concept="clcid-pte:QiZhongYouXianGu" label="其中：优先股" mulRef="_GBC_710dced47e5943589779e071c78c5512" unitRef="_GBC_7e2679155b104d33ba04158c7414bcff" addr="T0R75C2S1_1" formatStyle="Comma"/>
        <m:item xlName="_GBC_12294dd497024c3ca1a51d0172e89e93" concept="clcid-pte:QiZhongYouXianGu" label="其中：优先股" periodRef="上年期末数" mulRef="_GBC_710dced47e5943589779e071c78c5512" unitRef="_GBC_7e2679155b104d33ba04158c7414bcff" addr="T0R75C3S1_1" formatStyle="Comma"/>
        <m:placeholder xlName="_PLD_36b6cba673904261afdd80fbfbf5d1b4" addr="T0R76C0S1_1"/>
        <m:item xlName="_GBC_e85168910a9645dd90b57db485d23a18" concept="clcid-ci-ar:FuZhuYongXuZhai" label="附注_永续债" addr="T0R76C1S1_1"/>
        <m:item xlName="_GBC_d1b8331943d842a4b4a4a58e05afd907" concept="clcid-pte:YongXuZhai" label="永续债" mulRef="_GBC_710dced47e5943589779e071c78c5512" unitRef="_GBC_7e2679155b104d33ba04158c7414bcff" addr="T0R76C2S1_1" formatStyle="Comma"/>
        <m:item xlName="_GBC_d916809cf46540a3956f76c2af430e6c" concept="clcid-pte:YongXuZhai" label="永续债" periodRef="上年期末数" mulRef="_GBC_710dced47e5943589779e071c78c5512" unitRef="_GBC_7e2679155b104d33ba04158c7414bcff" addr="T0R76C3S1_1" formatStyle="Comma"/>
        <m:placeholder xlName="_PLD_35f24a143dea468283877b9adfce049b" addr="T0R77C0S1_1"/>
        <m:item xlName="_GBC_c72e5c206d49457588e2bcfe224e2c8e" concept="clcid-ci-ar:FuZhu_ZuLinFuZhai" label="附注_租赁负债" addr="T0R77C1S1_1"/>
        <m:item xlName="_GBC_ded3f05599a24aa38a8eecc8eae8952e" concept="clcid-pte:ZuLinFuZhai" label="租赁负债" mulRef="_GBC_710dced47e5943589779e071c78c5512" unitRef="_GBC_7e2679155b104d33ba04158c7414bcff" addr="T0R77C2S1_1" formatStyle="Comma"/>
        <m:item xlName="_GBC_0040cd2ecb7c47b29c393437d81902a4" concept="clcid-pte:ZuLinFuZhai" label="租赁负债" periodRef="上年期末数" mulRef="_GBC_710dced47e5943589779e071c78c5512" unitRef="_GBC_7e2679155b104d33ba04158c7414bcff" addr="T0R77C3S1_1" formatStyle="Comma"/>
        <m:placeholder xlName="_PLD_e7eb803a0fb248e2b8805e67dbe2336f" addr="T0R78C0S1_1"/>
        <m:item xlName="_GBC_701cbe6b3dfa4dee939d85d90d220382" concept="clcid-ci-ar:FuZhu_ChangQiYingFuKuan" label="附注_长期应付款" addr="T0R78C1S1_1"/>
        <m:item xlName="_GBC_58e83817ed604be5bd19f5597319ad86" concept="clcid-pte:ChangQiYingFuKuan" label="长期应付款" mulRef="_GBC_710dced47e5943589779e071c78c5512" unitRef="_GBC_7e2679155b104d33ba04158c7414bcff" addr="T0R78C2S1_1" formatStyle="Comma"/>
        <m:item xlName="_GBC_14cff56048f44c609cd30d2a1feae211" concept="clcid-pte:ChangQiYingFuKuan" label="长期应付款" periodRef="上年期末数" mulRef="_GBC_710dced47e5943589779e071c78c5512" unitRef="_GBC_7e2679155b104d33ba04158c7414bcff" addr="T0R78C3S1_1" formatStyle="Comma"/>
        <m:placeholder xlName="_PLD_5eafba3923544dfc81be450ef6e000ee" addr="T0R79C0S1_1"/>
        <m:item xlName="_GBC_7a20133c180447b78e4f551d06d70880" concept="clcid-ci-ar:FuZhu_ChangQiYingFuZhiGongXinChou" label="附注_长期应付职工薪酬" addr="T0R79C1S1_1"/>
        <m:item xlName="_GBC_d23e68400f2f40b9b45786409b22109f" concept="clcid-pte:ChangQiYingFuZhiGongXinChou" label="长期应付职工薪酬" mulRef="_GBC_710dced47e5943589779e071c78c5512" unitRef="_GBC_7e2679155b104d33ba04158c7414bcff" addr="T0R79C2S1_1" formatStyle="Comma"/>
        <m:item xlName="_GBC_baa230c7bf3a48149ecd91d27f9dbe37" concept="clcid-pte:ChangQiYingFuZhiGongXinChou" label="长期应付职工薪酬" periodRef="上年期末数" mulRef="_GBC_710dced47e5943589779e071c78c5512" unitRef="_GBC_7e2679155b104d33ba04158c7414bcff" addr="T0R79C3S1_1" formatStyle="Comma"/>
        <m:placeholder xlName="_PLD_ed2d2511d3684ed0ac593049a3abc203" addr="T0R80C0S1_1"/>
        <m:item xlName="_GBC_8c9cfe65446548219bbcb1fc9e84ecf9" concept="clcid-ci-ar:FuZhu_YuJiFuZhai" label="附注_预计负债" addr="T0R80C1S1_1"/>
        <m:item xlName="_GBC_3afb48e2d4ff4002a10d37b9f5c0c841" concept="clcid-pte:YuJiFuZhai" label="预计负债" mulRef="_GBC_710dced47e5943589779e071c78c5512" unitRef="_GBC_7e2679155b104d33ba04158c7414bcff" addr="T0R80C2S1_1" formatStyle="Comma"/>
        <m:item xlName="_GBC_99ee846933ba40e2ac24b19cd9c0ff5c" concept="clcid-pte:YuJiFuZhai" label="预计负债" periodRef="上年期末数" mulRef="_GBC_710dced47e5943589779e071c78c5512" unitRef="_GBC_7e2679155b104d33ba04158c7414bcff" addr="T0R80C3S1_1" formatStyle="Comma"/>
        <m:placeholder xlName="_PLD_ee1b0ee29ae24aa09d29da2690e141a2" addr="T0R81C0S1_1"/>
        <m:item xlName="_GBC_dc8706b689f843eeabdb28aa54235a1c" concept="clcid-ci-ar:FuZhuDiYanShouYi" label="附注_递延收益" addr="T0R81C1S1_1" formatStyle="Comma"/>
        <m:item xlName="_GBC_f4fa9226e95f460bac4e4f0e90f42c26" concept="clcid-pte:DiYanShouYi" label="递延收益" mulRef="_GBC_710dced47e5943589779e071c78c5512" unitRef="_GBC_7e2679155b104d33ba04158c7414bcff" addr="T0R81C2S1_1" formatStyle="Comma"/>
        <m:item xlName="_GBC_061994be48fb4229bb3a76ea7f337c8b" concept="clcid-pte:DiYanShouYi" label="递延收益" periodRef="上年期末数" mulRef="_GBC_710dced47e5943589779e071c78c5512" unitRef="_GBC_7e2679155b104d33ba04158c7414bcff" addr="T0R81C3S1_1" formatStyle="Comma"/>
        <m:placeholder xlName="_PLD_f6e51ce85b734d1984a9495c17250c42" addr="T0R82C0S1_1"/>
        <m:item xlName="_GBC_ba4da0b8123b42c28578ce74df908beb" concept="clcid-ci-ar:FuZhu_DiYanShuiKuanDaiXiangHeJi" label="附注_递延税款贷项合计" addr="T0R82C1S1_1"/>
        <m:item xlName="_GBC_8fa120f806e84ab4884f1794df5d381b" concept="clcid-pte:DiYanShuiKuanDaiXiangHeJi" label="递延税款贷项合计" mulRef="_GBC_710dced47e5943589779e071c78c5512" unitRef="_GBC_7e2679155b104d33ba04158c7414bcff" addr="T0R82C2S1_1" formatStyle="Comma"/>
        <m:item xlName="_GBC_e287cdfec78645e78a4ec65dab5906ff" concept="clcid-pte:DiYanShuiKuanDaiXiangHeJi" label="递延税款贷项合计" periodRef="上年期末数" mulRef="_GBC_710dced47e5943589779e071c78c5512" unitRef="_GBC_7e2679155b104d33ba04158c7414bcff" addr="T0R82C3S1_1" formatStyle="Comma"/>
        <m:placeholder xlName="_PLD_4811ce5907e64a868d871af763ddc347" addr="T0R83C0S1_1"/>
        <m:item xlName="_GBC_4e2ecd8dfc4b484d8a508992ca44928e" concept="clcid-ci-ar:FuZhu_QiTaChangQiFuZhai" label="附注_其他长期负债" addr="T0R83C1S1_1"/>
        <m:item xlName="_GBC_00e534abbb03489186fc467e32a5f810" concept="clcid-pte:QiTaChangQiFuZhai" label="其他长期负债" mulRef="_GBC_710dced47e5943589779e071c78c5512" unitRef="_GBC_7e2679155b104d33ba04158c7414bcff" addr="T0R83C2S1_1" formatStyle="Comma"/>
        <m:item xlName="_GBC_25992b244141417f862ca99a434fe373" concept="clcid-pte:QiTaChangQiFuZhai" label="其他长期负债" periodRef="上年期末数" mulRef="_GBC_710dced47e5943589779e071c78c5512" unitRef="_GBC_7e2679155b104d33ba04158c7414bcff" addr="T0R83C3S1_1" formatStyle="Comma"/>
        <m:placeholder xlName="_PLD_9a037ee272c84e11aebdce23c3e2fab7" addr="T0R84C0S1_1"/>
        <m:item xlName="_GBC_988c5a8703e940eea34e4f9a8c23841b" concept="clcid-ci-ar:FuZhu_ChangQiFuZhaiHeJi" label="附注_长期负债合计" addr="T0R84C1S1_1"/>
        <m:item xlName="_GBC_b0704b1d31b74e71b192afa3c58893e1" concept="clcid-pte:ChangQiFuZhaiHeJi" label="长期负债合计" mulRef="_GBC_710dced47e5943589779e071c78c5512" unitRef="_GBC_7e2679155b104d33ba04158c7414bcff" addr="T0R84C2S1_1" formatStyle="Comma">
          <m:complexRule comparator="Eq" title="长期负债合计" test=" $_GBC_b81d676808cb49e0811bc0e9526b4ce8 +  $_GBC_c373487e8b034a1e9e2d28ec2cadf491 +  $_GBC_46fd7f40f7b3433ebbda0903b0feae4c +  $_GBC_ded3f05599a24aa38a8eecc8eae8952e +  $_GBC_58e83817ed604be5bd19f5597319ad86 +  $_GBC_d23e68400f2f40b9b45786409b22109f +  $_GBC_3afb48e2d4ff4002a10d37b9f5c0c841 +  $_GBC_f4fa9226e95f460bac4e4f0e90f42c26 +  $_GBC_8fa120f806e84ab4884f1794df5d381b +  $_GBC_00e534abbb03489186fc467e32a5f810" id="C7758ae1894f8455882ac666792dc07f7"/>
        </m:item>
        <m:item xlName="_GBC_9ce03f1401284eb09bda8b70ba5a270e" concept="clcid-pte:ChangQiFuZhaiHeJi" label="长期负债合计" periodRef="上年期末数" mulRef="_GBC_710dced47e5943589779e071c78c5512" unitRef="_GBC_7e2679155b104d33ba04158c7414bcff" addr="T0R84C3S1_1" formatStyle="Comma">
          <m:complexRule comparator="Eq" title="长期负债合计@上年期末数" test=" $_GBC_76f580e2287f4bc28841afafa3f9eb29 +  $_GBC_eca8afdc053749e4b519bf23d6549c1b +  $_GBC_aece512e352a4c42a7d5f58b8975e27a +  $_GBC_0040cd2ecb7c47b29c393437d81902a4 +  $_GBC_14cff56048f44c609cd30d2a1feae211 +  $_GBC_baa230c7bf3a48149ecd91d27f9dbe37 +  $_GBC_99ee846933ba40e2ac24b19cd9c0ff5c +  $_GBC_061994be48fb4229bb3a76ea7f337c8b +  $_GBC_e287cdfec78645e78a4ec65dab5906ff +  $_GBC_25992b244141417f862ca99a434fe373" id="Cbab82fd26dca42faba82ebf662b67c8a"/>
        </m:item>
        <m:placeholder xlName="_PLD_233108162bf84d59baba5ef73da9dcd0" addr="T0R85C0S1_1"/>
        <m:item xlName="_GBC_4d3eb5805e9f4c39af01f78fa342f37e" concept="clcid-ci-ar:FuZhu_FuZhaiHeJi" label="附注_负债合计" addr="T0R85C1S1_1"/>
        <m:item xlName="_GBC_97f7c28ffb684630a4a64df7621b0667" concept="clcid-pte:FuZhaiHeJi" label="负债合计" mulRef="_GBC_710dced47e5943589779e071c78c5512" unitRef="_GBC_7e2679155b104d33ba04158c7414bcff" addr="T0R85C2S1_1" formatStyle="Comma">
          <m:complexRule comparator="Eq" test=" $_GBC_077ee38acbb145969711b796f5289147 +  $_GBC_b0704b1d31b74e71b192afa3c58893e1" id="Cf875e0e8ca494ae487eabd0c37fb2d03"/>
        </m:item>
        <m:item xlName="_GBC_2e95072946fb4cca8382374203e06593" concept="clcid-pte:FuZhaiHeJi" label="负债合计" periodRef="上年期末数" mulRef="_GBC_710dced47e5943589779e071c78c5512" unitRef="_GBC_7e2679155b104d33ba04158c7414bcff" addr="T0R85C3S1_1" formatStyle="Comma">
          <m:complexRule comparator="Eq" title="合并报表_年初_负债合计" test=" $_GBC_0ee7399b10f240db9b3a1df3c56911ae +  $_GBC_9ce03f1401284eb09bda8b70ba5a270e" id="Cbc7c2f1bdd8b47cf84bfd9791fd6eb11"/>
        </m:item>
        <m:placeholder xlName="_PLD_4fe68479676b4c8c840de2211f0c67b8" addr="T0R86C0S1_1"/>
        <m:placeholder xlName="_PLD_b456a8ee715b430f8ed57755440db66b" addr="T0R87C0S1_1"/>
        <m:item xlName="_GBC_353b4c2783ec4d8f989cdddce48220b3" concept="clcid-ci-ar:FuZhu_GuBen" label="附注_股本" addr="T0R87C1S1_1"/>
        <m:item xlName="_GBC_2ab8e3649d8d4af08b9051ebc8770278" concept="clcid-pte:GuBen" label="股本" mulRef="_GBC_710dced47e5943589779e071c78c5512" unitRef="_GBC_7e2679155b104d33ba04158c7414bcff" addr="T0R87C2S1_1" formatStyle="Comma"/>
        <m:item xlName="_GBC_d67aa1956eb14dd09305431ca9cf34db" concept="clcid-pte:GuBen" label="股本" periodRef="上年期末数" mulRef="_GBC_710dced47e5943589779e071c78c5512" unitRef="_GBC_7e2679155b104d33ba04158c7414bcff" addr="T0R87C3S1_1" formatStyle="Comma"/>
        <m:placeholder xlName="_PLD_f03411a9f0b84565a295b92424cbb955" addr="T0R88C0S1_1"/>
        <m:item xlName="_GBC_cf2b692d30c348859b13b3045a0c000c" concept="clcid-ci-ar:FuZhuQiTaQuanYiGongJu" label="附注_其他权益工具" addr="T0R88C1S1_1"/>
        <m:item xlName="_GBC_2ada24087c524a2bb5328b03473aa1f8" concept="clcid-pte:QiTaQuanYiGongJu" label="其他权益工具" mulRef="_GBC_710dced47e5943589779e071c78c5512" unitRef="_GBC_7e2679155b104d33ba04158c7414bcff" addr="T0R88C2S1_1" formatStyle="Comma"/>
        <m:item xlName="_GBC_7accd8a1deea401ea0ca0e266e543028" concept="clcid-pte:QiTaQuanYiGongJu" label="其他权益工具" periodRef="上年期末数" mulRef="_GBC_710dced47e5943589779e071c78c5512" unitRef="_GBC_7e2679155b104d33ba04158c7414bcff" addr="T0R88C3S1_1" formatStyle="Comma"/>
        <m:placeholder xlName="_PLD_c9ec7a87a13f488c86dc6eef623b59eb" addr="T0R89C0S1_1"/>
        <m:item xlName="_GBC_c235481858c24c079e90943e1dd73dc7" concept="clcid-ci-ar:FuZhuQiTaQuanYiGongJuQiZhongYouXianGu" label="附注_其他权益工具-其中：优先股" addr="T0R89C1S1_1"/>
        <m:item xlName="_GBC_f9cd133a50b7492185118e4d2a37e089" concept="clcid-pte:QiTaQuanYiGongJuQiZhongYouXianGu" label="其他权益工具-其中：优先股" mulRef="_GBC_710dced47e5943589779e071c78c5512" unitRef="_GBC_7e2679155b104d33ba04158c7414bcff" addr="T0R89C2S1_1" formatStyle="Comma"/>
        <m:item xlName="_GBC_cef8bfeeea4247d7b93e74acf3c55f8a" concept="clcid-pte:QiTaQuanYiGongJuQiZhongYouXianGu" label="其他权益工具-其中：优先股" periodRef="上年期末数" mulRef="_GBC_710dced47e5943589779e071c78c5512" unitRef="_GBC_7e2679155b104d33ba04158c7414bcff" addr="T0R89C3S1_1" formatStyle="Comma"/>
        <m:placeholder xlName="_PLD_cb955a4562374c1795f3fa8ff4b3341b" addr="T0R90C0S1_1"/>
        <m:item xlName="_GBC_b1a51f447a9544a1bde5c2c68b6232db" concept="clcid-ci-ar:FuZhuQiTaQuanYiGongJuYongXuZhai" label="附注_其他权益工具-永续债" addr="T0R90C1S1_1"/>
        <m:item xlName="_GBC_d22db856d24c46139232fc426fa92c7c" concept="clcid-pte:QiTaQuanYiGongJuYongXuZhai" label="其他权益工具-永续债" mulRef="_GBC_710dced47e5943589779e071c78c5512" unitRef="_GBC_7e2679155b104d33ba04158c7414bcff" addr="T0R90C2S1_1" formatStyle="Comma"/>
        <m:item xlName="_GBC_29e597fc77fd446fb3ac5aa0940f8218" concept="clcid-pte:QiTaQuanYiGongJuYongXuZhai" label="其他权益工具-永续债" periodRef="上年期末数" mulRef="_GBC_710dced47e5943589779e071c78c5512" unitRef="_GBC_7e2679155b104d33ba04158c7414bcff" addr="T0R90C3S1_1" formatStyle="Comma"/>
        <m:placeholder xlName="_PLD_e6837305adaf4d9aba334aa74c5bef79" addr="T0R91C0S1_1"/>
        <m:item xlName="_GBC_7eb90ee7ca02420a8c79cf6bdb9ebae7" concept="clcid-ci-ar:FuZhu_ZiBenGongJi" label="附注_资本公积" addr="T0R91C1S1_1"/>
        <m:item xlName="_GBC_809afcf40b3d4627bf4a34745d457b5a" concept="clcid-pte:ZiBenGongJi" label="资本公积" mulRef="_GBC_710dced47e5943589779e071c78c5512" unitRef="_GBC_7e2679155b104d33ba04158c7414bcff" addr="T0R91C2S1_1" formatStyle="Comma"/>
        <m:item xlName="_GBC_3a4050bdd9bf49fa8b53bb8b04eca01f" concept="clcid-pte:ZiBenGongJi" label="资本公积" periodRef="上年期末数" mulRef="_GBC_710dced47e5943589779e071c78c5512" unitRef="_GBC_7e2679155b104d33ba04158c7414bcff" addr="T0R91C3S1_1" formatStyle="Comma"/>
        <m:placeholder xlName="_PLD_a0bc7febf8c447638471a1616647725d" addr="T0R92C0S1_1"/>
        <m:item xlName="_GBC_b478c6152c8246df94eaec6f666ac729" concept="clcid-ci-ar:FuZhu_JianKuCunGu" label="附注_减：库存股" addr="T0R92C1S1_1"/>
        <m:item xlName="_GBC_a5dd07df480f4e97892c872b0710e91a" concept="clcid-pte:KuCunGu" label="库存股" mulRef="_GBC_710dced47e5943589779e071c78c5512" unitRef="_GBC_7e2679155b104d33ba04158c7414bcff" addr="T0R92C2S1_1" formatStyle="Comma"/>
        <m:item xlName="_GBC_ef83d2903fcc4163988a6860668d0061" concept="clcid-pte:KuCunGu" label="库存股" periodRef="上年期末数" mulRef="_GBC_710dced47e5943589779e071c78c5512" unitRef="_GBC_7e2679155b104d33ba04158c7414bcff" addr="T0R92C3S1_1" formatStyle="Comma"/>
        <m:placeholder xlName="_PLD_ed778b8c2aaa425cb45af63fe0d20a4d" addr="T0R93C0S1_1"/>
        <m:item xlName="_GBC_ba0c2c97f677495da2412322c51550fc" concept="clcid-ci-ar:FuZhuQiTaZongHeShouYiZiChanFuZhaiBiaoXiangMu" label="附注_其他综合收益（资产负债表项目）" addr="T0R93C1S1_1"/>
        <m:item xlName="_GBC_021fd7c06c9548979b547fc64e482006" concept="clcid-pte:QiTaZongHeShouYiZiChanFuZhaiBiaoXiangMu" label="其他综合收益（资产负债表项目）" mulRef="_GBC_710dced47e5943589779e071c78c5512" unitRef="_GBC_7e2679155b104d33ba04158c7414bcff" addr="T0R93C2S1_1" formatStyle="Comma"/>
        <m:item xlName="_GBC_500d881092ac42eeb87adc8eadfbc6ce" concept="clcid-pte:QiTaZongHeShouYiZiChanFuZhaiBiaoXiangMu" label="其他综合收益（资产负债表项目）" periodRef="上年期末数" mulRef="_GBC_710dced47e5943589779e071c78c5512" unitRef="_GBC_7e2679155b104d33ba04158c7414bcff" addr="T0R93C3S1_1" formatStyle="Comma"/>
        <m:placeholder xlName="_PLD_88ef3a1b7ae6448183de3fe2b91f7cd5" addr="T0R94C0S1_1"/>
        <m:item xlName="_GBC_08751f8a50b940d0a48f55715a1e0852" concept="clcid-ci-ar:FuZhu_ZhuanXiangChuBei" label="附注_专项储备" addr="T0R94C1S1_1"/>
        <m:item xlName="_GBC_b48391003e6941caadc7867c2c681c23" concept="clcid-pte:ZhuanXiangChuBei" label="专项储备" mulRef="_GBC_710dced47e5943589779e071c78c5512" unitRef="_GBC_7e2679155b104d33ba04158c7414bcff" addr="T0R94C2S1_1" formatStyle="Comma"/>
        <m:item xlName="_GBC_a4b681a8586e42fcb4dadf641e4cfd56" concept="clcid-pte:ZhuanXiangChuBei" label="专项储备" periodRef="上年期末数" mulRef="_GBC_710dced47e5943589779e071c78c5512" unitRef="_GBC_7e2679155b104d33ba04158c7414bcff" addr="T0R94C3S1_1" formatStyle="Comma"/>
        <m:placeholder xlName="_PLD_9f1157091e4b41f7b980273a3e11b2e5" addr="T0R95C0S1_1"/>
        <m:item xlName="_GBC_e3ad30b8a2054ab9b9614a2b585c2640" concept="clcid-ci-ar:FuZhu_YingYuGongJi" label="附注_盈余公积" addr="T0R95C1S1_1"/>
        <m:item xlName="_GBC_2ae939a3611c474680002fe1637c05b3" concept="clcid-pte:YingYuGongJi" label="盈余公积" mulRef="_GBC_710dced47e5943589779e071c78c5512" unitRef="_GBC_7e2679155b104d33ba04158c7414bcff" addr="T0R95C2S1_1" formatStyle="Comma"/>
        <m:item xlName="_GBC_f52de319583f436b87bb8111c0143994" concept="clcid-pte:YingYuGongJi" label="盈余公积" periodRef="上年期末数" mulRef="_GBC_710dced47e5943589779e071c78c5512" unitRef="_GBC_7e2679155b104d33ba04158c7414bcff" addr="T0R95C3S1_1" formatStyle="Comma"/>
        <m:placeholder xlName="_PLD_c223f5905b0e4651a5a022690a7a5a1c" addr="T0R96C0S1_1"/>
        <m:item xlName="_GBC_3414640c137e4b88a44b40ff409f4e3a" concept="clcid-ci-ar:FuZhu_YiBanFengXianZhunBei" label="附注_一般风险准备" addr="T0R96C1S1_1"/>
        <m:item xlName="_GBC_ed2e47e312e74bd89f5f74693ed91970" concept="clcid-pte:YiBanFengXianZhunBei" label="一般风险准备" mulRef="_GBC_710dced47e5943589779e071c78c5512" unitRef="_GBC_7e2679155b104d33ba04158c7414bcff" addr="T0R96C2S1_1" formatStyle="Comma"/>
        <m:item xlName="_GBC_7a509288b63a4ad493a7c281f9df021b" concept="clcid-pte:YiBanFengXianZhunBei" label="一般风险准备" periodRef="上年期末数" mulRef="_GBC_710dced47e5943589779e071c78c5512" unitRef="_GBC_7e2679155b104d33ba04158c7414bcff" addr="T0R96C3S1_1" formatStyle="Comma"/>
        <m:placeholder xlName="_PLD_c329719465d9412cab74b5424ac30bd4" addr="T0R97C0S1_1"/>
        <m:item xlName="_GBC_7a6d455ca66c467e962bcc940ab1a84f" concept="clcid-ci-ar:FuZhu_WeiFenPeiLiRun" label="附注_未分配利润" addr="T0R97C1S1_1"/>
        <m:item xlName="_GBC_fc8037a28f7242be9c9a373150496244" concept="clcid-pte:WeiFenPeiLiRun" label="未分配利润" mulRef="_GBC_710dced47e5943589779e071c78c5512" unitRef="_GBC_7e2679155b104d33ba04158c7414bcff" addr="T0R97C2S1_1" formatStyle="Comma"/>
        <m:item xlName="_GBC_8c8b8c6d963e435ab04baac5bd8e3ad4" concept="clcid-pte:WeiFenPeiLiRun" label="未分配利润" periodRef="上年期末数" mulRef="_GBC_710dced47e5943589779e071c78c5512" unitRef="_GBC_7e2679155b104d33ba04158c7414bcff" addr="T0R97C3S1_1" formatStyle="Comma"/>
        <m:placeholder xlName="_PLD_09fcb4ca82f14307ab214d34a90b9ef2" addr="T0R98C0S1_1"/>
        <m:item xlName="_GBC_d68124809a9a40cc9aa1bc15387b03e0" concept="clcid-ci-ar:FuZhu_GuiShuYuMuGongSiSuoYouZheQuanYiHeJi" label="附注_归属于母公司所有者权益合计" addr="T0R98C1S1_1"/>
        <m:item xlName="_GBC_dc395cc862f24b5eb885a53d7c84d856" concept="clcid-pte:GuiShuYuMuGongSiSuoYouZheQuanYiHeJi" label="归属于母公司所有者权益合计" mulRef="_GBC_710dced47e5943589779e071c78c5512" unitRef="_GBC_7e2679155b104d33ba04158c7414bcff" addr="T0R98C2S1_1" formatStyle="Comma">
          <m:complexRule comparator="Eq" title="归属于母公司所有者权益合计" test=" $_GBC_2ab8e3649d8d4af08b9051ebc8770278 +  $_GBC_2ada24087c524a2bb5328b03473aa1f8 +  $_GBC_809afcf40b3d4627bf4a34745d457b5a -  $_GBC_a5dd07df480f4e97892c872b0710e91a +  $_GBC_021fd7c06c9548979b547fc64e482006 +  $_GBC_b48391003e6941caadc7867c2c681c23 +  $_GBC_2ae939a3611c474680002fe1637c05b3 +  $_GBC_ed2e47e312e74bd89f5f74693ed91970 +  $_GBC_fc8037a28f7242be9c9a373150496244" id="Ca46a0b7af50041acb6344cd75baba1d8"/>
        </m:item>
        <m:item xlName="_GBC_5b4b43588aa242e48d56d5e095dcf09e" concept="clcid-pte:GuiShuYuMuGongSiSuoYouZheQuanYiHeJi" label="归属于母公司所有者权益合计" periodRef="上年期末数" mulRef="_GBC_710dced47e5943589779e071c78c5512" unitRef="_GBC_7e2679155b104d33ba04158c7414bcff" addr="T0R98C3S1_1" formatStyle="Comma">
          <m:complexRule comparator="Eq" title="归属于母公司所有者权益合计@上年期末数" test=" $_GBC_d67aa1956eb14dd09305431ca9cf34db +  $_GBC_7accd8a1deea401ea0ca0e266e543028 +  $_GBC_3a4050bdd9bf49fa8b53bb8b04eca01f -  $_GBC_ef83d2903fcc4163988a6860668d0061 +  $_GBC_500d881092ac42eeb87adc8eadfbc6ce +  $_GBC_a4b681a8586e42fcb4dadf641e4cfd56 +  $_GBC_f52de319583f436b87bb8111c0143994 +  $_GBC_7a509288b63a4ad493a7c281f9df021b +  $_GBC_8c8b8c6d963e435ab04baac5bd8e3ad4" id="Cb0fc628a601349c49893f14e0b3bb0fe"/>
        </m:item>
        <m:placeholder xlName="_PLD_ba9844f67b5f427c8b672b584512bc30" addr="T0R99C0S1_1"/>
        <m:item xlName="_GBC_df04df0d57424e278906a6cd927ca416" concept="clcid-ci-ar:FuZhu_ShaoShuGuDongQuanYi" label="附注_少数股东权益" addr="T0R99C1S1_1"/>
        <m:item xlName="_GBC_8624d16257614ebc928129adafec4b6c" concept="clcid-pte:ShaoShuGuDongQuanYi" label="少数股东权益" mulRef="_GBC_710dced47e5943589779e071c78c5512" unitRef="_GBC_7e2679155b104d33ba04158c7414bcff" addr="T0R99C2S1_1" formatStyle="Comma"/>
        <m:item xlName="_GBC_ea8735b735654176a31fbd66131995ee" concept="clcid-pte:ShaoShuGuDongQuanYi" label="少数股东权益" periodRef="上年期末数" mulRef="_GBC_710dced47e5943589779e071c78c5512" unitRef="_GBC_7e2679155b104d33ba04158c7414bcff" addr="T0R99C3S1_1" formatStyle="Comma"/>
        <m:placeholder xlName="_PLD_49d0693ecf324c179ed30b3065d9fd15" addr="T0R100C0S1_1"/>
        <m:item xlName="_GBC_a6e97780f35642f08f7fdbf7250a8124" concept="clcid-ci-ar:FuZhu_GuDongQuanYiHeJi" label="附注_股东权益合计" addr="T0R100C1S1_1"/>
        <m:item xlName="_GBC_7287ac05058e449e8b78660817c06b95" concept="clcid-pte:GuDongQuanYiHeJi" label="股东权益合计" mulRef="_GBC_710dced47e5943589779e071c78c5512" unitRef="_GBC_7e2679155b104d33ba04158c7414bcff" addr="T0R100C2S1_1" formatStyle="Comma">
          <m:complexRule comparator="Eq" title="股东权益合计" test=" $_GBC_dc395cc862f24b5eb885a53d7c84d856 +  $_GBC_8624d16257614ebc928129adafec4b6c" id="Cf44ea06dc2cd47a78303380387ac429c"/>
        </m:item>
        <m:item xlName="_GBC_1de94e2759f44905844b8a41ebbfb1d7" concept="clcid-pte:GuDongQuanYiHeJi" label="股东权益合计" periodRef="上年期末数" mulRef="_GBC_710dced47e5943589779e071c78c5512" unitRef="_GBC_7e2679155b104d33ba04158c7414bcff" addr="T0R100C3S1_1" formatStyle="Comma">
          <m:complexRule comparator="Eq" title="股东权益合计@上年期末数" test=" $_GBC_5b4b43588aa242e48d56d5e095dcf09e +  $_GBC_ea8735b735654176a31fbd66131995ee" id="C4952a8f58edd4d8aad388cf2c70cdbdd"/>
        </m:item>
        <m:placeholder xlName="_PLD_def9f9081ac845ec93bbb1e70817d650" addr="T0R101C0S1_1"/>
        <m:item xlName="_GBC_6824cd502dd0463e9909e8b172f27f11" concept="clcid-ci-ar:FuZhu_FuZhaiHeGuDongQuanYiHeJi" label="附注_负债和股东权益合计" addr="T0R101C1S1_1"/>
        <m:item xlName="_GBC_f23bf6303aab4537ba6a3dfae3647f7d" concept="clcid-pte:FuZhaiHeGuDongQuanYiHeJi" label="负债和股东权益合计" mulRef="_GBC_710dced47e5943589779e071c78c5512" unitRef="_GBC_7e2679155b104d33ba04158c7414bcff" addr="T0R101C2S1_1" formatStyle="Comma">
          <m:complexRule comparator="Eq" title="负债和股东权益合计" test=" $_GBC_97f7c28ffb684630a4a64df7621b0667 +  $_GBC_7287ac05058e449e8b78660817c06b95" id="Cb5815ec3541a4b9e9619247372994494"/>
        </m:item>
        <m:item xlName="_GBC_16090d37ea1642ada5d28b1d536be596" concept="clcid-pte:FuZhaiHeGuDongQuanYiHeJi" label="负债和股东权益合计" periodRef="上年期末数" mulRef="_GBC_710dced47e5943589779e071c78c5512" unitRef="_GBC_7e2679155b104d33ba04158c7414bcff" addr="T0R101C3S1_1" formatStyle="Comma">
          <m:complexRule comparator="Eq" title="负债和股东权益合计@上年期末数" test=" $_GBC_2e95072946fb4cca8382374203e06593 +  $_GBC_1de94e2759f44905844b8a41ebbfb1d7" id="C510fa37d609c44178cf3d9635dd213ca"/>
        </m:item>
        <m:item xlName="_GBC_82350876809b4479afe9f3c55db147dd" concept="clcid-mr:GongSiFuZeRenXingMing" label="公司负责人姓名" binding="true"/>
        <m:item xlName="_GBC_9caf2fff268b41a7b3fe74fc4a3d6533" concept="clcid-mr:ZhuGuanKuaiJiGongZuoFuZeRenXingMing" label="主管会计工作负责人姓名" binding="true"/>
        <m:item xlName="_GBC_8cacbe4a6fcc41699e67ce809516ec50" concept="clcid-mr:KuaiJiJiGouFuZeRenXingMing" label="会计机构负责人姓名" binding="true"/>
        <m:rowModel locationConcept="clcid-ci-ar:ZiDingYiKeMuWeiZhi" labelConcept="clcid-ci-ar:ZiDingYiKeMuMingCheng" conceptPrefix="合并资产负债表" presentationRole="http://www.xbrl-cn.org/cn/lcid/lr/role/ConsolidatedBalanceSheet" presentationParentConcept="clcid-pte:ZiChanFuZhaiBiao" tuplePrefix="项目"/>
      </m:region>
      <m:region xlName="_GBC_af8c8d1094d041008b00be724891aff3" title="母公司资产负债表 &#10;" helpId="112001001">
        <m:item xlName="_GBC_824a3e7402834e78aa66a9ee77d287bc" concept="clcid-cgi:GongSiFaDingZhongWenMingCheng" label="公司法定中文名称" binding="true"/>
        <m:item xlName="_GBC_7be010b1a07f4048a3805d40208ccda4" concept="clcid-ci-ar:DanWeiMuGongSiZiChanFuZhaiBiao" label="单位：母公司资产负债表" selectOptions="_buildInScales" controlType="Combobox" cellType="Scale"/>
        <m:item xlName="_GBC_ecd35f8ce6f84d6f8ad30e1e244c15ff" concept="clcid-ci-ar:BiZhongMuGongSiZiChanFuZhaiBiao" label="币种：母公司资产负债表" selectOptions="_buildInISO4217" controlType="Combobox" cellType="Measure"/>
        <m:placeholder xlName="_PLD_7b231a79acb54050b640bf23dd34ab8c" addr="T1R0C0S1_1"/>
        <m:placeholder xlName="_PLD_5e370aa08a144a709185abd9b2f11c20" addr="T1R0C1S1_1"/>
        <m:placeholder xlName="_PLD_0aa0a7a0cd4c45afa7cfb1bcfbba36c3" addr="T1R0C2S1_1"/>
        <m:placeholder xlName="_PLD_e986dda0dbc74346a9296e5a4646b696" addr="T1R0C3S1_1"/>
        <m:placeholder xlName="_PLD_64ae72669eea4837a1a220d585585bdf" addr="T1R1C0S1_1"/>
        <m:placeholder xlName="_PLD_9b78743cdab64576b5cd6da9a3a930fa" addr="T1R2C0S1_1"/>
        <m:item xlName="_GBC_6e0331d97f884d04809ce69e8479e6db" concept="clcid-ci-ar:FuZhu_HuoBiZiJin" label="附注_货币资金" addr="T1R2C1S1_1">
          <m:axisValue occRef="母公司"/>
        </m:item>
        <m:item xlName="_GBC_ec30a5604b9d46f3a76aceb728c079c6" concept="clcid-pte:HuoBiZiJin" label="货币资金" mulRef="_GBC_7be010b1a07f4048a3805d40208ccda4" unitRef="_GBC_ecd35f8ce6f84d6f8ad30e1e244c15ff" addr="T1R2C2S1_1" formatStyle="Comma">
          <m:axisValue occRef="母公司"/>
        </m:item>
        <m:item xlName="_GBC_81d70c7b40f74549a95d44eb2463b3c7" concept="clcid-pte:HuoBiZiJin" label="货币资金" periodRef="上年期末数" mulRef="_GBC_7be010b1a07f4048a3805d40208ccda4" unitRef="_GBC_ecd35f8ce6f84d6f8ad30e1e244c15ff" addr="T1R2C3S1_1" formatStyle="Comma">
          <m:axisValue occRef="母公司"/>
        </m:item>
        <m:placeholder xlName="_PLD_9110b32630da4518a6cd2897b5ab904c" addr="T1R3C0S1_1"/>
        <m:item xlName="_GBC_ea3b3ca8ccee4535ac232066a267f5a5" concept="clcid-ci-ar:FuZhu_JiaoYiXingJinRongZiChan" label="附注_交易性金融资产" addr="T1R3C1S1_1">
          <m:axisValue occRef="母公司"/>
        </m:item>
        <m:item xlName="_GBC_23e8c5643a044eee97e373643ab53f65" concept="clcid-pte:JiaoYiXingJinRongZiChan" label="交易性金融资产" mulRef="_GBC_7be010b1a07f4048a3805d40208ccda4" unitRef="_GBC_ecd35f8ce6f84d6f8ad30e1e244c15ff" addr="T1R3C2S1_1" formatStyle="Comma">
          <m:axisValue occRef="母公司"/>
        </m:item>
        <m:item xlName="_GBC_22c3883d0ba744b8b9c1bfa6196f4b5d" concept="clcid-pte:JiaoYiXingJinRongZiChan" label="交易性金融资产" periodRef="上年期末数" mulRef="_GBC_7be010b1a07f4048a3805d40208ccda4" unitRef="_GBC_ecd35f8ce6f84d6f8ad30e1e244c15ff" addr="T1R3C3S1_1" formatStyle="Comma">
          <m:axisValue occRef="母公司"/>
        </m:item>
        <m:placeholder xlName="_PLD_1bfca77991c7445a99252c547d869547" addr="T1R4C0S1_1"/>
        <m:item xlName="_GBC_4262b1ae57704a9b91c486033cb00919" concept="clcid-ci-ar:FuZhuYanShengJinRongZiChan" label="附注_衍生金融资产" addr="T1R4C1S1_1">
          <m:axisValue occRef="母公司"/>
        </m:item>
        <m:item xlName="_GBC_7340916e8e3d48d9acdd60677ea234e5" concept="clcid-pte:YanShengJinRongZiChan" label="衍生金融资产" mulRef="_GBC_7be010b1a07f4048a3805d40208ccda4" unitRef="_GBC_ecd35f8ce6f84d6f8ad30e1e244c15ff" addr="T1R4C2S1_1" formatStyle="Comma">
          <m:axisValue occRef="母公司"/>
        </m:item>
        <m:item xlName="_GBC_cb7c4d45a017416c9ededcd741afbe3c" concept="clcid-pte:YanShengJinRongZiChan" label="衍生金融资产" periodRef="上年期末数" mulRef="_GBC_7be010b1a07f4048a3805d40208ccda4" unitRef="_GBC_ecd35f8ce6f84d6f8ad30e1e244c15ff" addr="T1R4C3S1_1" formatStyle="Comma">
          <m:axisValue occRef="母公司"/>
        </m:item>
        <m:placeholder xlName="_PLD_ff993f326eb24b209c608805e7d5452d" addr="T1R5C0S1_1"/>
        <m:item xlName="_GBC_e12c6ededd1d4bce9fff523e5721b3e4" concept="clcid-ci-ar:FuZhu_YingShouPiaoJu" label="附注_应收票据" addr="T1R5C1S1_1">
          <m:axisValue occRef="母公司"/>
        </m:item>
        <m:item xlName="_GBC_68bc0b7641f5403ea3c993b1157756a5" concept="clcid-pte:YingShouPiaoJu" label="应收票据" mulRef="_GBC_7be010b1a07f4048a3805d40208ccda4" unitRef="_GBC_ecd35f8ce6f84d6f8ad30e1e244c15ff" addr="T1R5C2S1_1" formatStyle="Comma">
          <m:axisValue occRef="母公司"/>
        </m:item>
        <m:item xlName="_GBC_9a0294db638a484cbe9cf5037b516d09" concept="clcid-pte:YingShouPiaoJu" label="应收票据" periodRef="上年期末数" mulRef="_GBC_7be010b1a07f4048a3805d40208ccda4" unitRef="_GBC_ecd35f8ce6f84d6f8ad30e1e244c15ff" addr="T1R5C3S1_1" formatStyle="Comma">
          <m:axisValue occRef="母公司"/>
        </m:item>
        <m:placeholder xlName="_PLD_e1b51c42e6ff4b2b89ce73b84b0ca8c1" addr="T1R6C0S1_1"/>
        <m:item xlName="_GBC_33e512a291a943adb9bb2c24c4442104" concept="clcid-ci-ar:FuZhu_YingShouZhangKuan" label="附注_应收帐款" addr="T1R6C1S1_1">
          <m:axisValue occRef="母公司"/>
        </m:item>
        <m:item xlName="_GBC_a57f9ca94b2647e2b178451a28740b0b" concept="clcid-pte:YingShouZhangKuan" label="应收帐款" mulRef="_GBC_7be010b1a07f4048a3805d40208ccda4" unitRef="_GBC_ecd35f8ce6f84d6f8ad30e1e244c15ff" addr="T1R6C2S1_1" formatStyle="Comma">
          <m:axisValue occRef="母公司"/>
        </m:item>
        <m:item xlName="_GBC_a2dd69ad774b41ba9ebc98183dc7ce3d" concept="clcid-pte:YingShouZhangKuan" label="应收帐款" periodRef="上年期末数" mulRef="_GBC_7be010b1a07f4048a3805d40208ccda4" unitRef="_GBC_ecd35f8ce6f84d6f8ad30e1e244c15ff" addr="T1R6C3S1_1" formatStyle="Comma">
          <m:axisValue occRef="母公司"/>
        </m:item>
        <m:placeholder xlName="_PLD_a11cc65422d84c058777e9f23de9aaef" addr="T1R7C0S1_1"/>
        <m:item xlName="_GBC_6deae49dcd1c4fc2ad5caa480a7779bf" concept="clcid-ci-ar:FuZhu_YingShouKuanXiangRongZi" label="附注_应收款项融资" addr="T1R7C1S1_1">
          <m:axisValue occRef="母公司"/>
        </m:item>
        <m:item xlName="_GBC_cc554a3a14324485b701770af49500ec" concept="clcid-pte:YingShouKuanXiangRongZi" label="应收款项融资" mulRef="_GBC_7be010b1a07f4048a3805d40208ccda4" unitRef="_GBC_ecd35f8ce6f84d6f8ad30e1e244c15ff" addr="T1R7C2S1_1" formatStyle="Comma">
          <m:axisValue occRef="母公司"/>
        </m:item>
        <m:item xlName="_GBC_d395d352eb72429c812a368614af59e1" concept="clcid-pte:YingShouKuanXiangRongZi" label="应收款项融资" periodRef="上年期末数" mulRef="_GBC_7be010b1a07f4048a3805d40208ccda4" unitRef="_GBC_ecd35f8ce6f84d6f8ad30e1e244c15ff" addr="T1R7C3S1_1" formatStyle="Comma">
          <m:axisValue occRef="母公司"/>
        </m:item>
        <m:placeholder xlName="_PLD_805b2d340ad24fae990479b422656525" addr="T1R8C0S1_1"/>
        <m:item xlName="_GBC_6e030aab21f54118a1d725ab295a07cb" concept="clcid-ci-ar:FuZhu_YuFuZhangKuan" label="附注_预付帐款" addr="T1R8C1S1_1">
          <m:axisValue occRef="母公司"/>
        </m:item>
        <m:item xlName="_GBC_0dea1c4c75f843e7baea2d35063d5ae6" concept="clcid-pte:YuFuZhangKuan" label="预付帐款" mulRef="_GBC_7be010b1a07f4048a3805d40208ccda4" unitRef="_GBC_ecd35f8ce6f84d6f8ad30e1e244c15ff" addr="T1R8C2S1_1" formatStyle="Comma">
          <m:axisValue occRef="母公司"/>
        </m:item>
        <m:item xlName="_GBC_27d668447e50451688dea6cb21427331" concept="clcid-pte:YuFuZhangKuan" label="预付帐款" periodRef="上年期末数" mulRef="_GBC_7be010b1a07f4048a3805d40208ccda4" unitRef="_GBC_ecd35f8ce6f84d6f8ad30e1e244c15ff" addr="T1R8C3S1_1" formatStyle="Comma">
          <m:axisValue occRef="母公司"/>
        </m:item>
        <m:placeholder xlName="_PLD_cf9f116dabbb48b2a5a0f3ba0b4772cd" addr="T1R9C0S1_1"/>
        <m:item xlName="_GBC_17033d6659fc4e64bfdcc6c242133012" concept="clcid-ci-ar:FuZhu_QiTaYingShouKuan" label="附注_其他应收款" addr="T1R9C1S1_1">
          <m:axisValue occRef="母公司"/>
        </m:item>
        <m:item xlName="_GBC_de21d65c70ec4237b74adcba708ff6d2" concept="clcid-pte:QiTaYingShouKuan" label="其他应收款" mulRef="_GBC_7be010b1a07f4048a3805d40208ccda4" unitRef="_GBC_ecd35f8ce6f84d6f8ad30e1e244c15ff" addr="T1R9C2S1_1" formatStyle="Comma">
          <m:axisValue occRef="母公司"/>
        </m:item>
        <m:item xlName="_GBC_8edfc45c22ff48b89f5eee9632fd85dc" concept="clcid-pte:QiTaYingShouKuan" label="其他应收款" periodRef="上年期末数" mulRef="_GBC_7be010b1a07f4048a3805d40208ccda4" unitRef="_GBC_ecd35f8ce6f84d6f8ad30e1e244c15ff" addr="T1R9C3S1_1" formatStyle="Comma">
          <m:axisValue occRef="母公司"/>
        </m:item>
        <m:placeholder xlName="_PLD_b55f9182bb0f4ff099725b83128277f5" addr="T1R10C0S1_1"/>
        <m:item xlName="_GBC_81b6e925a5324172a6b05418c627df05" concept="clcid-ci-ar:FuZhu_YingShouLiXi" label="附注_应收利息" addr="T1R10C1S1_1">
          <m:axisValue occRef="母公司"/>
        </m:item>
        <m:item xlName="_GBC_b5eff6239c0e4e328c12fe0583644089" concept="clcid-pte:YingShouLiXi" label="应收利息" mulRef="_GBC_7be010b1a07f4048a3805d40208ccda4" unitRef="_GBC_ecd35f8ce6f84d6f8ad30e1e244c15ff" addr="T1R10C2S1_1" formatStyle="Comma">
          <m:axisValue occRef="母公司"/>
        </m:item>
        <m:item xlName="_GBC_619ec5823c394d3cb185212807d03b8e" concept="clcid-pte:YingShouLiXi" label="应收利息" periodRef="上年期末数" mulRef="_GBC_7be010b1a07f4048a3805d40208ccda4" unitRef="_GBC_ecd35f8ce6f84d6f8ad30e1e244c15ff" addr="T1R10C3S1_1" formatStyle="Comma">
          <m:axisValue occRef="母公司"/>
        </m:item>
        <m:placeholder xlName="_PLD_e9ef2df028eb46cbb98922f7b2e9c423" addr="T1R11C0S1_1"/>
        <m:item xlName="_GBC_0ffd46f212804d3ca5b9cb85f00e6bd9" concept="clcid-ci-ar:FuZhu_YingShouGuLi" label="附注_应收股利" addr="T1R11C1S1_1">
          <m:axisValue occRef="母公司"/>
        </m:item>
        <m:item xlName="_GBC_af45886a5f5b4e949dad5d0d7ec9d88c" concept="clcid-pte:YingShouGuLi" label="应收股利" mulRef="_GBC_7be010b1a07f4048a3805d40208ccda4" unitRef="_GBC_ecd35f8ce6f84d6f8ad30e1e244c15ff" addr="T1R11C2S1_1" formatStyle="Comma">
          <m:axisValue occRef="母公司"/>
        </m:item>
        <m:item xlName="_GBC_bffb1600d1d94499bc2ac28224dcbc4e" concept="clcid-pte:YingShouGuLi" label="应收股利" periodRef="上年期末数" mulRef="_GBC_7be010b1a07f4048a3805d40208ccda4" unitRef="_GBC_ecd35f8ce6f84d6f8ad30e1e244c15ff" addr="T1R11C3S1_1" formatStyle="Comma">
          <m:axisValue occRef="母公司"/>
        </m:item>
        <m:placeholder xlName="_PLD_6cc0aeaf59b04efabb1f01b5c63b990f" addr="T1R12C0S1_1"/>
        <m:item xlName="_GBC_a6370efb809c409e8b2f29d9965528b9" concept="clcid-ci-ar:FuZhu_CunHuo" label="附注_存货" addr="T1R12C1S1_1">
          <m:axisValue occRef="母公司"/>
        </m:item>
        <m:item xlName="_GBC_d64350e7541241b6b7c27ac45d999012" concept="clcid-pte:CunHuo" label="存货" mulRef="_GBC_7be010b1a07f4048a3805d40208ccda4" unitRef="_GBC_ecd35f8ce6f84d6f8ad30e1e244c15ff" addr="T1R12C2S1_1" formatStyle="Comma">
          <m:axisValue occRef="母公司"/>
        </m:item>
        <m:item xlName="_GBC_7f09b3bffe034f2d9fb3b5d6df815da3" concept="clcid-pte:CunHuo" label="存货" periodRef="上年期末数" mulRef="_GBC_7be010b1a07f4048a3805d40208ccda4" unitRef="_GBC_ecd35f8ce6f84d6f8ad30e1e244c15ff" addr="T1R12C3S1_1" formatStyle="Comma">
          <m:axisValue occRef="母公司"/>
        </m:item>
        <m:placeholder xlName="_PLD_de3d0e1008ca4d3b96e66b5c92068d38" addr="T1R13C0S1_1"/>
        <m:item xlName="_GBC_406c800e736a4f558c22968bbc7b775b" concept="clcid-ci-ar:FuZhu_HeTongZiChan" label="附注_合同资产" addr="T1R13C1S1_1">
          <m:axisValue occRef="母公司"/>
        </m:item>
        <m:item xlName="_GBC_d18bd28fea04483cb9239b566656284b" concept="clcid-pte:HeTongZiChan" label="合同资产" mulRef="_GBC_7be010b1a07f4048a3805d40208ccda4" unitRef="_GBC_ecd35f8ce6f84d6f8ad30e1e244c15ff" addr="T1R13C2S1_1" formatStyle="Comma">
          <m:axisValue occRef="母公司"/>
        </m:item>
        <m:item xlName="_GBC_c9a76f16a87441fb9f5d4bd17edf4072" concept="clcid-pte:HeTongZiChan" label="合同资产" periodRef="上年期末数" mulRef="_GBC_7be010b1a07f4048a3805d40208ccda4" unitRef="_GBC_ecd35f8ce6f84d6f8ad30e1e244c15ff" addr="T1R13C3S1_1" formatStyle="Comma">
          <m:axisValue occRef="母公司"/>
        </m:item>
        <m:placeholder xlName="_PLD_a0e80251eb49414f8ed0e4f3efcb5263" addr="T1R14C0S1_1"/>
        <m:item xlName="_GBC_633352faf986419cb3345d57e8e7371a" concept="clcid-ci-ar:FuZhuHuaFenWeiChiYouDaiShouDeZiChan" label="附注_划分为持有待售的资产" addr="T1R14C1S1_1">
          <m:axisValue occRef="母公司"/>
        </m:item>
        <m:item xlName="_GBC_152038e7b7fd497cbf07f31df1af516a" concept="clcid-pte:HuaFenWeiChiYouDaiShouDeZiChan" label="划分为持有待售的资产" mulRef="_GBC_7be010b1a07f4048a3805d40208ccda4" unitRef="_GBC_ecd35f8ce6f84d6f8ad30e1e244c15ff" addr="T1R14C2S1_1" formatStyle="Comma">
          <m:axisValue occRef="母公司"/>
        </m:item>
        <m:item xlName="_GBC_1197d758318b41de9d4f8c977074013b" concept="clcid-pte:HuaFenWeiChiYouDaiShouDeZiChan" label="划分为持有待售的资产" periodRef="上年期末数" mulRef="_GBC_7be010b1a07f4048a3805d40208ccda4" unitRef="_GBC_ecd35f8ce6f84d6f8ad30e1e244c15ff" addr="T1R14C3S1_1" formatStyle="Comma">
          <m:axisValue occRef="母公司"/>
        </m:item>
        <m:placeholder xlName="_PLD_b0b228c115df478088a29f03f8d7ad59" addr="T1R15C0S1_1"/>
        <m:item xlName="_GBC_c089d2cc31834923b04446a67fc435a0" concept="clcid-ci-ar:FuZhu_YiNianNeiDaoQiDeFeiLiuDongZiChan" label="附注_一年内到期的非流动资产" addr="T1R15C1S1_1">
          <m:axisValue occRef="母公司"/>
        </m:item>
        <m:item xlName="_GBC_0e5794ec9c3a4aa49ee7e612f4073b77" concept="clcid-pte:YiNianNeiDaoQiDeFeiLiuDongZiChan" label="一年内到期的非流动资产" mulRef="_GBC_7be010b1a07f4048a3805d40208ccda4" unitRef="_GBC_ecd35f8ce6f84d6f8ad30e1e244c15ff" addr="T1R15C2S1_1" formatStyle="Comma">
          <m:axisValue occRef="母公司"/>
        </m:item>
        <m:item xlName="_GBC_7688eec2b75746d086f48197dfd22006" concept="clcid-pte:YiNianNeiDaoQiDeFeiLiuDongZiChan" label="一年内到期的非流动资产" periodRef="上年期末数" mulRef="_GBC_7be010b1a07f4048a3805d40208ccda4" unitRef="_GBC_ecd35f8ce6f84d6f8ad30e1e244c15ff" addr="T1R15C3S1_1" formatStyle="Comma">
          <m:axisValue occRef="母公司"/>
        </m:item>
        <m:placeholder xlName="_PLD_62c79909426d483f990fd7869da0a773" addr="T1R16C0S1_1"/>
        <m:item xlName="_GBC_41bf3b99dcd34292b8ca219c3b9cf98d" concept="clcid-ci-ar:FuZhu_QiTaLiuDongZiChan" label="附注_其他流动资产" addr="T1R16C1S1_1">
          <m:axisValue occRef="母公司"/>
        </m:item>
        <m:item xlName="_GBC_d3041db831a1472eb22db1c12aeede0b" concept="clcid-pte:QiTaLiuDongZiChan" label="其他流动资产" mulRef="_GBC_7be010b1a07f4048a3805d40208ccda4" unitRef="_GBC_ecd35f8ce6f84d6f8ad30e1e244c15ff" addr="T1R16C2S1_1" formatStyle="Comma">
          <m:axisValue occRef="母公司"/>
        </m:item>
        <m:item xlName="_GBC_3f6c09b7e82f4203b3e26251c6dd3d4e" concept="clcid-pte:QiTaLiuDongZiChan" label="其他流动资产" periodRef="上年期末数" mulRef="_GBC_7be010b1a07f4048a3805d40208ccda4" unitRef="_GBC_ecd35f8ce6f84d6f8ad30e1e244c15ff" addr="T1R16C3S1_1" formatStyle="Comma">
          <m:axisValue occRef="母公司"/>
        </m:item>
        <m:placeholder xlName="_PLD_b5f1546085cd4f41ba16ec6a8b42ac7f" addr="T1R17C0S1_1"/>
        <m:item xlName="_GBC_c144a8bae69940feb445f26596b47915" concept="clcid-ci-ar:FuZhu_LiuDongZiChanHeJi" label="附注_流动资产合计" addr="T1R17C1S1_1">
          <m:axisValue occRef="母公司"/>
        </m:item>
        <m:item xlName="_GBC_ce16b1bc49d94465891d24cf2b36c365" concept="clcid-pte:LiuDongZiChanHeJi" label="流动资产合计" mulRef="_GBC_7be010b1a07f4048a3805d40208ccda4" unitRef="_GBC_ecd35f8ce6f84d6f8ad30e1e244c15ff" addr="T1R17C2S1_1" formatStyle="Comma">
          <m:complexRule comparator="Eq" title="流动资产合计" test=" $_GBC_ec30a5604b9d46f3a76aceb728c079c6 +  $_GBC_23e8c5643a044eee97e373643ab53f65 +  $_GBC_7340916e8e3d48d9acdd60677ea234e5 +  $_GBC_68bc0b7641f5403ea3c993b1157756a5 +  $_GBC_a57f9ca94b2647e2b178451a28740b0b +  $_GBC_cc554a3a14324485b701770af49500ec +  $_GBC_0dea1c4c75f843e7baea2d35063d5ae6 +  $_GBC_de21d65c70ec4237b74adcba708ff6d2 +  $_GBC_d64350e7541241b6b7c27ac45d999012 +  $_GBC_d18bd28fea04483cb9239b566656284b +  $_GBC_152038e7b7fd497cbf07f31df1af516a +  $_GBC_0e5794ec9c3a4aa49ee7e612f4073b77 +  $_GBC_d3041db831a1472eb22db1c12aeede0b" id="C33e1850f9c0144aaa83151a9cfe04506"/>
          <m:axisValue occRef="母公司"/>
        </m:item>
        <m:item xlName="_GBC_f037e3bf5cad4fa595ad935087a228ab" concept="clcid-pte:LiuDongZiChanHeJi" label="流动资产合计" periodRef="上年期末数" mulRef="_GBC_7be010b1a07f4048a3805d40208ccda4" unitRef="_GBC_ecd35f8ce6f84d6f8ad30e1e244c15ff" addr="T1R17C3S1_1" formatStyle="Comma">
          <m:complexRule comparator="Eq" title="流动资产合计@本期期初数" test=" $_GBC_81d70c7b40f74549a95d44eb2463b3c7 +  $_GBC_22c3883d0ba744b8b9c1bfa6196f4b5d +  $_GBC_cb7c4d45a017416c9ededcd741afbe3c +  $_GBC_9a0294db638a484cbe9cf5037b516d09 +  $_GBC_a2dd69ad774b41ba9ebc98183dc7ce3d +  $_GBC_d395d352eb72429c812a368614af59e1 +  $_GBC_27d668447e50451688dea6cb21427331 +  $_GBC_8edfc45c22ff48b89f5eee9632fd85dc +  $_GBC_7f09b3bffe034f2d9fb3b5d6df815da3 +  $_GBC_c9a76f16a87441fb9f5d4bd17edf4072 +  $_GBC_1197d758318b41de9d4f8c977074013b +  $_GBC_7688eec2b75746d086f48197dfd22006 +  $_GBC_3f6c09b7e82f4203b3e26251c6dd3d4e" id="C239d13c099c14182bbe9f268536e3f48"/>
          <m:axisValue occRef="母公司"/>
        </m:item>
        <m:placeholder xlName="_PLD_71f45ac7535d4ffeaa6273d6527bae0d" addr="T1R18C0S1_1"/>
        <m:placeholder xlName="_PLD_ac2fbd80d951495a9e6e271d71a458e3" addr="T1R19C0S1_1"/>
        <m:item xlName="_GBC_1b46f0b4698c4b21bfee94785e524a39" concept="clcid-ci-ar:FuZhu_ZhaiQuanTouZi" label="附注_债权投资" addr="T1R19C1S1_1">
          <m:axisValue occRef="母公司"/>
        </m:item>
        <m:item xlName="_GBC_421e80078ffa4b85bc860404f17ddf04" concept="clcid-pte:ZhaiQuanTouZi" label="债权投资" mulRef="_GBC_7be010b1a07f4048a3805d40208ccda4" unitRef="_GBC_ecd35f8ce6f84d6f8ad30e1e244c15ff" addr="T1R19C2S1_1" formatStyle="Comma">
          <m:axisValue occRef="母公司"/>
        </m:item>
        <m:item xlName="_GBC_97c956397d81438f86ad9c9f0b8ea6f5" concept="clcid-pte:ZhaiQuanTouZi" label="债权投资" periodRef="上年期末数" mulRef="_GBC_7be010b1a07f4048a3805d40208ccda4" unitRef="_GBC_ecd35f8ce6f84d6f8ad30e1e244c15ff" addr="T1R19C3S1_1" formatStyle="Comma">
          <m:axisValue occRef="母公司"/>
        </m:item>
        <m:placeholder xlName="_PLD_0e13bbca7370496690a32404c8d408c7" addr="T1R20C0S1_1"/>
        <m:item xlName="_GBC_410151fa51a5454688ccdfa6e0dcfa6a" concept="clcid-ci-ar:FuZhu_QiTaZhaiQuanTouZi" label="附注_其他债权投资" addr="T1R20C1S1_1">
          <m:axisValue occRef="母公司"/>
        </m:item>
        <m:item xlName="_GBC_e18cfd89e319444b8ba7c64774f205ff" concept="clcid-pte:QiTaZhaiQuanTouZi" label="其他债权投资" mulRef="_GBC_7be010b1a07f4048a3805d40208ccda4" unitRef="_GBC_ecd35f8ce6f84d6f8ad30e1e244c15ff" addr="T1R20C2S1_1" formatStyle="Comma">
          <m:axisValue occRef="母公司"/>
        </m:item>
        <m:item xlName="_GBC_e3818e37dd2d40dba48d4e5383d72aeb" concept="clcid-pte:QiTaZhaiQuanTouZi" label="其他债权投资" periodRef="上年期末数" mulRef="_GBC_7be010b1a07f4048a3805d40208ccda4" unitRef="_GBC_ecd35f8ce6f84d6f8ad30e1e244c15ff" addr="T1R20C3S1_1" formatStyle="Comma">
          <m:axisValue occRef="母公司"/>
        </m:item>
        <m:placeholder xlName="_PLD_6305d0ab634c4b40bd8df81ff23c8d0d" addr="T1R21C0S1_1"/>
        <m:item xlName="_GBC_411998d1adff49739d33397a2b216d2a" concept="clcid-ci-ar:FuZhu_ChangQiYingShouKuan" label="附注_长期应收款" addr="T1R21C1S1_1">
          <m:axisValue occRef="母公司"/>
        </m:item>
        <m:item xlName="_GBC_1a65f165458c46b296c049061289d950" concept="clcid-pte:ChangQiYingShouKuan" label="长期应收款" mulRef="_GBC_7be010b1a07f4048a3805d40208ccda4" unitRef="_GBC_ecd35f8ce6f84d6f8ad30e1e244c15ff" addr="T1R21C2S1_1" formatStyle="Comma">
          <m:axisValue occRef="母公司"/>
        </m:item>
        <m:item xlName="_GBC_e3b2799b01f44c3ca14e0fdfa6fea1ca" concept="clcid-pte:ChangQiYingShouKuan" label="长期应收款" periodRef="上年期末数" mulRef="_GBC_7be010b1a07f4048a3805d40208ccda4" unitRef="_GBC_ecd35f8ce6f84d6f8ad30e1e244c15ff" addr="T1R21C3S1_1" formatStyle="Comma">
          <m:axisValue occRef="母公司"/>
        </m:item>
        <m:placeholder xlName="_PLD_fa3d0d37a62a4d8890171550ab1664b1" addr="T1R22C0S1_1"/>
        <m:item xlName="_GBC_1815535049014044a29be3b7f7e677ae" concept="clcid-ci-ar:FuZhu_ChangQiGuQuanTouZi" label="附注_长期股权投资" addr="T1R22C1S1_1">
          <m:axisValue occRef="母公司"/>
        </m:item>
        <m:item xlName="_GBC_e8065ddd805c43d7b00c975804f23a15" concept="clcid-pte:ChangQiGuQuanTouZi" label="长期股权投资" mulRef="_GBC_7be010b1a07f4048a3805d40208ccda4" unitRef="_GBC_ecd35f8ce6f84d6f8ad30e1e244c15ff" addr="T1R22C2S1_1" formatStyle="Comma">
          <m:axisValue occRef="母公司"/>
        </m:item>
        <m:item xlName="_GBC_d936279aef594d928f0f66bbaee46535" concept="clcid-pte:ChangQiGuQuanTouZi" label="长期股权投资" periodRef="上年期末数" mulRef="_GBC_7be010b1a07f4048a3805d40208ccda4" unitRef="_GBC_ecd35f8ce6f84d6f8ad30e1e244c15ff" addr="T1R22C3S1_1" formatStyle="Comma">
          <m:axisValue occRef="母公司"/>
        </m:item>
        <m:placeholder xlName="_PLD_aff348e432d64b2db9dfbd6062b82eb5" addr="T1R23C0S1_1"/>
        <m:item xlName="_GBC_aebe3d32f4ff415bb901663d0914393b" concept="clcid-ci-ar:FuZhu_QiTaQuanYiGongJuTouZi" label="附注_其他权益工具投资" addr="T1R23C1S1_1">
          <m:axisValue occRef="母公司"/>
        </m:item>
        <m:item xlName="_GBC_74809966459f488f9ff62f1523025b66" concept="clcid-pte:QiTaQuanYiGongJuTouZi" label="其他权益工具投资" mulRef="_GBC_7be010b1a07f4048a3805d40208ccda4" unitRef="_GBC_ecd35f8ce6f84d6f8ad30e1e244c15ff" addr="T1R23C2S1_1" formatStyle="Comma">
          <m:axisValue occRef="母公司"/>
        </m:item>
        <m:item xlName="_GBC_bd1b51b7e52047dca0d092cc3f65b487" concept="clcid-pte:QiTaQuanYiGongJuTouZi" label="其他权益工具投资" periodRef="上年期末数" mulRef="_GBC_7be010b1a07f4048a3805d40208ccda4" unitRef="_GBC_ecd35f8ce6f84d6f8ad30e1e244c15ff" addr="T1R23C3S1_1" formatStyle="Comma">
          <m:axisValue occRef="母公司"/>
        </m:item>
        <m:placeholder xlName="_PLD_d3127ce1ff284582992a5980b440c217" addr="T1R24C0S1_1"/>
        <m:item xlName="_GBC_6c2e197bb440493a870859c56b74ad2c" concept="clcid-ci-ar:FuZhu_QiTaFeiLiuDongJinRongZiChan" label="附注_其他非流动金融资产" addr="T1R24C1S1_1">
          <m:axisValue occRef="母公司"/>
        </m:item>
        <m:item xlName="_GBC_d8e1be3055544e2c893b553bbdd36d97" concept="clcid-pte:QiTaFeiLiuDongJinRongZiChan" label="其他非流动金融资产" mulRef="_GBC_7be010b1a07f4048a3805d40208ccda4" unitRef="_GBC_ecd35f8ce6f84d6f8ad30e1e244c15ff" addr="T1R24C2S1_1" formatStyle="Comma">
          <m:axisValue occRef="母公司"/>
        </m:item>
        <m:item xlName="_GBC_b429f821f9df42978ed6dc690492c1dc" concept="clcid-pte:QiTaFeiLiuDongJinRongZiChan" label="其他非流动金融资产" periodRef="上年期末数" mulRef="_GBC_7be010b1a07f4048a3805d40208ccda4" unitRef="_GBC_ecd35f8ce6f84d6f8ad30e1e244c15ff" addr="T1R24C3S1_1" formatStyle="Comma">
          <m:axisValue occRef="母公司"/>
        </m:item>
        <m:placeholder xlName="_PLD_d598b192b9aa4c77b3dbe14be0a567ae" addr="T1R25C0S1_1"/>
        <m:item xlName="_GBC_991aac9298b249c1a038c5b7be06f090" concept="clcid-ci-ar:FuZhu_TouZiXingFangDiChan" label="附注_投资性房地产" addr="T1R25C1S1_1">
          <m:axisValue occRef="母公司"/>
        </m:item>
        <m:item xlName="_GBC_4db84045e9b24cd4b0d46766a044ebc1" concept="clcid-pte:TouZiXingFangDiChan" label="投资性房地产" mulRef="_GBC_7be010b1a07f4048a3805d40208ccda4" unitRef="_GBC_ecd35f8ce6f84d6f8ad30e1e244c15ff" addr="T1R25C2S1_1" formatStyle="Comma">
          <m:axisValue occRef="母公司"/>
        </m:item>
        <m:item xlName="_GBC_a5fe376f077e435f98ae561fbf5c506c" concept="clcid-pte:TouZiXingFangDiChan" label="投资性房地产" periodRef="上年期末数" mulRef="_GBC_7be010b1a07f4048a3805d40208ccda4" unitRef="_GBC_ecd35f8ce6f84d6f8ad30e1e244c15ff" addr="T1R25C3S1_1" formatStyle="Comma">
          <m:axisValue occRef="母公司"/>
        </m:item>
        <m:placeholder xlName="_PLD_36c5e0c04606490d92af21e793463b46" addr="T1R26C0S1_1"/>
        <m:item xlName="_GBC_15bcb0c787e747adbbed25ac0c13d359" concept="clcid-ci-ar:FuZhu_GuDingZiChanJingE" label="附注_固定资产净额" addr="T1R26C1S1_1">
          <m:axisValue occRef="母公司"/>
        </m:item>
        <m:item xlName="_GBC_6655ae96224c441aba9a16982b4e84f7" concept="clcid-pte:GuDingZiChanJingE" label="固定资产净额" mulRef="_GBC_7be010b1a07f4048a3805d40208ccda4" unitRef="_GBC_ecd35f8ce6f84d6f8ad30e1e244c15ff" addr="T1R26C2S1_1" formatStyle="Comma">
          <m:axisValue occRef="母公司"/>
        </m:item>
        <m:item xlName="_GBC_fe0f6f7d2fe24063b53099a555486cc2" concept="clcid-pte:GuDingZiChanJingE" label="固定资产净额" periodRef="上年期末数" mulRef="_GBC_7be010b1a07f4048a3805d40208ccda4" unitRef="_GBC_ecd35f8ce6f84d6f8ad30e1e244c15ff" addr="T1R26C3S1_1" formatStyle="Comma">
          <m:axisValue occRef="母公司"/>
        </m:item>
        <m:placeholder xlName="_PLD_81cd0ff44d5a4f0e8701c556dd24e59c" addr="T1R27C0S1_1"/>
        <m:item xlName="_GBC_9cfb4f2e8b5c4024933a537e117c38c7" concept="clcid-ci-ar:FuZhu_ZaiJianGongCheng" label="附注_在建工程" addr="T1R27C1S1_1">
          <m:axisValue occRef="母公司"/>
        </m:item>
        <m:item xlName="_GBC_89e52290b76742778f1e30ef07fb5a26" concept="clcid-pte:ZaiJianGongCheng" label="在建工程" mulRef="_GBC_7be010b1a07f4048a3805d40208ccda4" unitRef="_GBC_ecd35f8ce6f84d6f8ad30e1e244c15ff" addr="T1R27C2S1_1" formatStyle="Comma">
          <m:axisValue occRef="母公司"/>
        </m:item>
        <m:item xlName="_GBC_77c6804097214cb2bc9ea583c4887dce" concept="clcid-pte:ZaiJianGongCheng" label="在建工程" periodRef="上年期末数" mulRef="_GBC_7be010b1a07f4048a3805d40208ccda4" unitRef="_GBC_ecd35f8ce6f84d6f8ad30e1e244c15ff" addr="T1R27C3S1_1" formatStyle="Comma">
          <m:axisValue occRef="母公司"/>
        </m:item>
        <m:placeholder xlName="_PLD_74c33ad5ce6d42528b0c43102a02972c" addr="T1R28C0S1_1"/>
        <m:item xlName="_GBC_97f1c506cc434b1097206dfb09ea762a" concept="clcid-ci-ar:FuZhu_ShengChanXingShengWuZiChan" label="附注_生产性生物资产" addr="T1R28C1S1_1">
          <m:axisValue occRef="母公司"/>
        </m:item>
        <m:item xlName="_GBC_f0df30185c4a4250b898f0680cf91462" concept="clcid-pte:ShengChanXingShengWuZiChan" label="生产性生物资产" mulRef="_GBC_7be010b1a07f4048a3805d40208ccda4" unitRef="_GBC_ecd35f8ce6f84d6f8ad30e1e244c15ff" addr="T1R28C2S1_1" formatStyle="Comma">
          <m:axisValue occRef="母公司"/>
        </m:item>
        <m:item xlName="_GBC_2abf0ce7722a4ea9a56a683e308c1950" concept="clcid-pte:ShengChanXingShengWuZiChan" label="生产性生物资产" periodRef="上年期末数" mulRef="_GBC_7be010b1a07f4048a3805d40208ccda4" unitRef="_GBC_ecd35f8ce6f84d6f8ad30e1e244c15ff" addr="T1R28C3S1_1" formatStyle="Comma">
          <m:axisValue occRef="母公司"/>
        </m:item>
        <m:placeholder xlName="_PLD_edcc58c83399408895b0a6d09d9073f2" addr="T1R29C0S1_1"/>
        <m:item xlName="_GBC_07e2fe6bf519495b91d8fec1eaa45d73" concept="clcid-ci-ar:FuZhu_YouQiZiChan" label="附注_油气资产" addr="T1R29C1S1_1">
          <m:axisValue occRef="母公司"/>
        </m:item>
        <m:item xlName="_GBC_7db328e11f984d01a148035c43414959" concept="clcid-pte:YouQiZiChan" label="油气资产" mulRef="_GBC_7be010b1a07f4048a3805d40208ccda4" unitRef="_GBC_ecd35f8ce6f84d6f8ad30e1e244c15ff" addr="T1R29C2S1_1" formatStyle="Comma">
          <m:axisValue occRef="母公司"/>
        </m:item>
        <m:item xlName="_GBC_12967a746706412cb64bdfa98f631378" concept="clcid-pte:YouQiZiChan" label="油气资产" periodRef="上年期末数" mulRef="_GBC_7be010b1a07f4048a3805d40208ccda4" unitRef="_GBC_ecd35f8ce6f84d6f8ad30e1e244c15ff" addr="T1R29C3S1_1" formatStyle="Comma">
          <m:axisValue occRef="母公司"/>
        </m:item>
        <m:placeholder xlName="_PLD_ad2c3b675df54b0b89d82ab1b691d06c" addr="T1R30C0S1_1"/>
        <m:item xlName="_GBC_c9afe3b25bff4255bfaa7a466c471395" concept="clcid-ci-ar:FuZhu_ShiYongQuanZiChan" label="附注_使用权资产" addr="T1R30C1S1_1">
          <m:axisValue occRef="母公司"/>
        </m:item>
        <m:item xlName="_GBC_5559e30902ae460bac7b56fb26fca6e4" concept="clcid-pte:ShiYongQuanZiChan" label="使用权资产" mulRef="_GBC_7be010b1a07f4048a3805d40208ccda4" unitRef="_GBC_ecd35f8ce6f84d6f8ad30e1e244c15ff" addr="T1R30C2S1_1" formatStyle="Comma">
          <m:axisValue occRef="母公司"/>
        </m:item>
        <m:item xlName="_GBC_5b5ebfe06fea4835a0737f0a6092bc71" concept="clcid-pte:ShiYongQuanZiChan" label="使用权资产" periodRef="上年期末数" mulRef="_GBC_7be010b1a07f4048a3805d40208ccda4" unitRef="_GBC_ecd35f8ce6f84d6f8ad30e1e244c15ff" addr="T1R30C3S1_1" formatStyle="Comma">
          <m:axisValue occRef="母公司"/>
        </m:item>
        <m:placeholder xlName="_PLD_e97c32de07ca406c995520445e6dffbf" addr="T1R31C0S1_1"/>
        <m:item xlName="_GBC_80ce9801490e4274ac6aa410bc011219" concept="clcid-ci-ar:FuZhu_WuXingZiChan" label="附注_无形资产" addr="T1R31C1S1_1">
          <m:axisValue occRef="母公司"/>
        </m:item>
        <m:item xlName="_GBC_b4480b0f9c1a4f7eb818c1915e42bd93" concept="clcid-pte:WuXingZiChan" label="无形资产" mulRef="_GBC_7be010b1a07f4048a3805d40208ccda4" unitRef="_GBC_ecd35f8ce6f84d6f8ad30e1e244c15ff" addr="T1R31C2S1_1" formatStyle="Comma">
          <m:axisValue occRef="母公司"/>
        </m:item>
        <m:item xlName="_GBC_237a4f14de3e48d7b14c1135f166e1a4" concept="clcid-pte:WuXingZiChan" label="无形资产" periodRef="上年期末数" mulRef="_GBC_7be010b1a07f4048a3805d40208ccda4" unitRef="_GBC_ecd35f8ce6f84d6f8ad30e1e244c15ff" addr="T1R31C3S1_1" formatStyle="Comma">
          <m:axisValue occRef="母公司"/>
        </m:item>
        <m:placeholder xlName="_PLD_f4ffd10790ec4e6bb2e54090fd20cdea" addr="T1R32C0S1_1"/>
        <m:item xlName="_GBC_9725d790e9f84cb5ad755e01a3f756ea" concept="clcid-ci-ar:FuZhu_KaiFaZhiChu" label="附注_开发支出" addr="T1R32C1S1_1">
          <m:axisValue occRef="母公司"/>
        </m:item>
        <m:item xlName="_GBC_32c680832b2b43d2a6dacdc0fc3dd365" concept="clcid-pte:KaiFaZhiChu" label="开发支出" mulRef="_GBC_7be010b1a07f4048a3805d40208ccda4" unitRef="_GBC_ecd35f8ce6f84d6f8ad30e1e244c15ff" addr="T1R32C2S1_1" formatStyle="Comma">
          <m:axisValue occRef="母公司"/>
        </m:item>
        <m:item xlName="_GBC_698efe39e45d47d6ac95c2b417a3547c" concept="clcid-pte:KaiFaZhiChu" label="开发支出" periodRef="上年期末数" mulRef="_GBC_7be010b1a07f4048a3805d40208ccda4" unitRef="_GBC_ecd35f8ce6f84d6f8ad30e1e244c15ff" addr="T1R32C3S1_1" formatStyle="Comma">
          <m:axisValue occRef="母公司"/>
        </m:item>
        <m:placeholder xlName="_PLD_8ab7a8967dca44f3b2bd0ec65150e937" addr="T1R33C0S1_1"/>
        <m:item xlName="_GBC_cf73c916f65942c8b43e759316d07f0a" concept="clcid-ci-ar:FuZhu_ShangYu" label="附注_商誉" addr="T1R33C1S1_1">
          <m:axisValue occRef="母公司"/>
        </m:item>
        <m:item xlName="_GBC_8438b14b6fa74237ac0a5acd83882440" concept="clcid-pte:ShangYu" label="商誉" mulRef="_GBC_7be010b1a07f4048a3805d40208ccda4" unitRef="_GBC_ecd35f8ce6f84d6f8ad30e1e244c15ff" addr="T1R33C2S1_1" formatStyle="Comma">
          <m:axisValue occRef="母公司"/>
        </m:item>
        <m:item xlName="_GBC_7fd9da07c8d243d78fc29c33de687bb7" concept="clcid-pte:ShangYu" label="商誉" periodRef="上年期末数" mulRef="_GBC_7be010b1a07f4048a3805d40208ccda4" unitRef="_GBC_ecd35f8ce6f84d6f8ad30e1e244c15ff" addr="T1R33C3S1_1" formatStyle="Comma">
          <m:axisValue occRef="母公司"/>
        </m:item>
        <m:placeholder xlName="_PLD_c056001bc1b3464fb0b5268a537d7ec4" addr="T1R34C0S1_1"/>
        <m:item xlName="_GBC_825d1d53341142ad8f9057fc3d9a630f" concept="clcid-ci-ar:FuZhu_ChangQiDaiTanFeiYong" label="附注_长期待摊费用" addr="T1R34C1S1_1">
          <m:axisValue occRef="母公司"/>
        </m:item>
        <m:item xlName="_GBC_622a9ee459254239ad4d68a65fa84325" concept="clcid-pte:ChangQiDaiTanFeiYong" label="长期待摊费用" mulRef="_GBC_7be010b1a07f4048a3805d40208ccda4" unitRef="_GBC_ecd35f8ce6f84d6f8ad30e1e244c15ff" addr="T1R34C2S1_1" formatStyle="Comma">
          <m:axisValue occRef="母公司"/>
        </m:item>
        <m:item xlName="_GBC_4a7e76e20db148ce8d24aa0271d92831" concept="clcid-pte:ChangQiDaiTanFeiYong" label="长期待摊费用" periodRef="上年期末数" mulRef="_GBC_7be010b1a07f4048a3805d40208ccda4" unitRef="_GBC_ecd35f8ce6f84d6f8ad30e1e244c15ff" addr="T1R34C3S1_1" formatStyle="Comma">
          <m:axisValue occRef="母公司"/>
        </m:item>
        <m:placeholder xlName="_PLD_8c08fa756eba4bf89ad37621da0216df" addr="T1R35C0S1_1"/>
        <m:item xlName="_GBC_9af701c2047b4610905fb1caa3d7d966" concept="clcid-ci-ar:FuZhu_DiYanShuiKuanJieXiangHeJi" label="附注_递延税款借项合计" addr="T1R35C1S1_1">
          <m:axisValue occRef="母公司"/>
        </m:item>
        <m:item xlName="_GBC_8e6f4e671bf0443484019c01b851fcbd" concept="clcid-pte:DiYanShuiKuanJieXiangHeJi" label="递延税款借项合计" mulRef="_GBC_7be010b1a07f4048a3805d40208ccda4" unitRef="_GBC_ecd35f8ce6f84d6f8ad30e1e244c15ff" addr="T1R35C2S1_1" formatStyle="Comma">
          <m:axisValue occRef="母公司"/>
        </m:item>
        <m:item xlName="_GBC_f1134fd860444bb2bc335e8d45b81af7" concept="clcid-pte:DiYanShuiKuanJieXiangHeJi" label="递延税款借项合计" periodRef="上年期末数" mulRef="_GBC_7be010b1a07f4048a3805d40208ccda4" unitRef="_GBC_ecd35f8ce6f84d6f8ad30e1e244c15ff" addr="T1R35C3S1_1" formatStyle="Comma">
          <m:axisValue occRef="母公司"/>
        </m:item>
        <m:placeholder xlName="_PLD_2c72539456a6441ab49e4634f35d3b45" addr="T1R36C0S1_1"/>
        <m:item xlName="_GBC_296a24c0f32449cb98550c5167a28ef9" concept="clcid-ci-ar:FuZhu_QiTaChangQiZiChan" label="附注_其他长期资产" addr="T1R36C1S1_1">
          <m:axisValue occRef="母公司"/>
        </m:item>
        <m:item xlName="_GBC_3ea3ec73b78947d3aebbbca4c023550e" concept="clcid-pte:QiTaChangQiZiChan" label="其他长期资产" mulRef="_GBC_7be010b1a07f4048a3805d40208ccda4" unitRef="_GBC_ecd35f8ce6f84d6f8ad30e1e244c15ff" addr="T1R36C2S1_1" formatStyle="Comma">
          <m:axisValue occRef="母公司"/>
        </m:item>
        <m:item xlName="_GBC_c04f6443be6943ee96f0c2bd0014f544" concept="clcid-pte:QiTaChangQiZiChan" label="其他长期资产" periodRef="上年期末数" mulRef="_GBC_7be010b1a07f4048a3805d40208ccda4" unitRef="_GBC_ecd35f8ce6f84d6f8ad30e1e244c15ff" addr="T1R36C3S1_1" formatStyle="Comma">
          <m:axisValue occRef="母公司"/>
        </m:item>
        <m:placeholder xlName="_PLD_0584991385414bca8cca9a7a9f5fabfd" addr="T1R37C0S1_1"/>
        <m:item xlName="_GBC_4ba577a3c101490fbdd96c04c4e3962f" concept="clcid-ci-ar:FuZhu_FeiLiuDongZiChanHeJi" label="附注_非流动资产合计" addr="T1R37C1S1_1">
          <m:axisValue occRef="母公司"/>
        </m:item>
        <m:item xlName="_GBC_1cfb7f702200406a9adc05e75536f57b" concept="clcid-pte:FeiLiuDongZiChanHeJi" label="非流动资产合计" mulRef="_GBC_7be010b1a07f4048a3805d40208ccda4" unitRef="_GBC_ecd35f8ce6f84d6f8ad30e1e244c15ff" addr="T1R37C2S1_1" formatStyle="Comma">
          <m:complexRule comparator="Eq" title="非流动资产合计" test=" $_GBC_421e80078ffa4b85bc860404f17ddf04 +  $_GBC_e18cfd89e319444b8ba7c64774f205ff +  $_GBC_1a65f165458c46b296c049061289d950 +  $_GBC_e8065ddd805c43d7b00c975804f23a15 +  $_GBC_74809966459f488f9ff62f1523025b66 +  $_GBC_d8e1be3055544e2c893b553bbdd36d97 +  $_GBC_4db84045e9b24cd4b0d46766a044ebc1 +  $_GBC_6655ae96224c441aba9a16982b4e84f7 +  $_GBC_89e52290b76742778f1e30ef07fb5a26 +  $_GBC_f0df30185c4a4250b898f0680cf91462 +  $_GBC_7db328e11f984d01a148035c43414959 +  $_GBC_5559e30902ae460bac7b56fb26fca6e4 +  $_GBC_b4480b0f9c1a4f7eb818c1915e42bd93 +  $_GBC_32c680832b2b43d2a6dacdc0fc3dd365 +  $_GBC_8438b14b6fa74237ac0a5acd83882440 +  $_GBC_622a9ee459254239ad4d68a65fa84325 +  $_GBC_8e6f4e671bf0443484019c01b851fcbd +  $_GBC_3ea3ec73b78947d3aebbbca4c023550e" id="C99cd543f564846b283b187fe243ce1fa"/>
          <m:axisValue occRef="母公司"/>
        </m:item>
        <m:item xlName="_GBC_4ec7b96ea39c4f2cb40a90de283b9372" concept="clcid-pte:FeiLiuDongZiChanHeJi" label="非流动资产合计" periodRef="上年期末数" mulRef="_GBC_7be010b1a07f4048a3805d40208ccda4" unitRef="_GBC_ecd35f8ce6f84d6f8ad30e1e244c15ff" addr="T1R37C3S1_1" formatStyle="Comma">
          <m:complexRule comparator="Eq" title="非流动资产合计@本期期初数" test=" $_GBC_97c956397d81438f86ad9c9f0b8ea6f5 +  $_GBC_e3818e37dd2d40dba48d4e5383d72aeb +  $_GBC_e3b2799b01f44c3ca14e0fdfa6fea1ca +  $_GBC_d936279aef594d928f0f66bbaee46535 +  $_GBC_bd1b51b7e52047dca0d092cc3f65b487 +  $_GBC_b429f821f9df42978ed6dc690492c1dc +  $_GBC_a5fe376f077e435f98ae561fbf5c506c +  $_GBC_fe0f6f7d2fe24063b53099a555486cc2 +  $_GBC_77c6804097214cb2bc9ea583c4887dce +  $_GBC_2abf0ce7722a4ea9a56a683e308c1950 +  $_GBC_12967a746706412cb64bdfa98f631378 +  $_GBC_5b5ebfe06fea4835a0737f0a6092bc71 +  $_GBC_237a4f14de3e48d7b14c1135f166e1a4 +  $_GBC_698efe39e45d47d6ac95c2b417a3547c +  $_GBC_7fd9da07c8d243d78fc29c33de687bb7 +  $_GBC_4a7e76e20db148ce8d24aa0271d92831 +  $_GBC_f1134fd860444bb2bc335e8d45b81af7 +  $_GBC_c04f6443be6943ee96f0c2bd0014f544" id="C0a18dd6a41714555bad2caa79862b834"/>
          <m:axisValue occRef="母公司"/>
        </m:item>
        <m:placeholder xlName="_PLD_064f3b6fe172472c8abf2e1bf1a2b68a" addr="T1R38C0S1_1"/>
        <m:item xlName="_GBC_dfb93cfe84da4dbe9fbb3f99db0cd29a" concept="clcid-ci-ar:FuZhu_ZiChanZongJi" label="附注_资产总计" addr="T1R38C1S1_1">
          <m:axisValue occRef="母公司"/>
        </m:item>
        <m:item xlName="_GBC_d67a35f16f654188bb38388ee8e7c5bf" concept="clcid-pte:ZiChanZongJi" label="资产总计" mulRef="_GBC_7be010b1a07f4048a3805d40208ccda4" unitRef="_GBC_ecd35f8ce6f84d6f8ad30e1e244c15ff" addr="T1R38C2S1_1" formatStyle="Comma">
          <m:complexRule comparator="Eq" title="合并报表_期末_资产总计" test=" $_GBC_ce16b1bc49d94465891d24cf2b36c365 +  $_GBC_1cfb7f702200406a9adc05e75536f57b" id="C13d80b0b390247fb8ca92c00cf1059a7"/>
          <m:complexRule comparator="Eq" title="合并报表_期末_资产总计公式2" test=" $_GBC_b612d1ae0baf48518139b0bc71753075" id="Cedb9bf529d68468eac0366fba0c59dc6"/>
          <m:axisValue occRef="母公司"/>
        </m:item>
        <m:item xlName="_GBC_66f291ec5a4247be8e9436f16a06b23d" concept="clcid-pte:ZiChanZongJi" label="资产总计" periodRef="上年期末数" mulRef="_GBC_7be010b1a07f4048a3805d40208ccda4" unitRef="_GBC_ecd35f8ce6f84d6f8ad30e1e244c15ff" addr="T1R38C3S1_1" formatStyle="Comma">
          <m:complexRule comparator="Eq" title="合并报表_年初_资产总计" test=" $_GBC_f037e3bf5cad4fa595ad935087a228ab +  $_GBC_4ec7b96ea39c4f2cb40a90de283b9372" id="C1cc6fa935f6c4b55a2041423d37b6259"/>
          <m:complexRule comparator="Eq" title="合并报表_年初_资产总计公式2" test=" $_GBC_fa78ecb4ed904e5e9f53bd81b23ac1bc" id="Cfd28aea9ae7a49c68ab9127f7291960f"/>
          <m:axisValue occRef="母公司"/>
        </m:item>
        <m:placeholder xlName="_PLD_380943e088034c15ad8af33927d58d1b" addr="T1R39C0S1_1"/>
        <m:placeholder xlName="_PLD_43de8e9c3fff4ed09c99de434527ef0d" addr="T1R40C0S1_1"/>
        <m:item xlName="_GBC_51f616fecd094b07a013556a6fa41e52" concept="clcid-ci-ar:FuZhu_DuanQiJieKuan" label="附注_短期借款" addr="T1R40C1S1_1">
          <m:axisValue occRef="母公司"/>
        </m:item>
        <m:item xlName="_GBC_62336a2dd24b42feb7b92e1d3a2f8a16" concept="clcid-pte:DuanQiJieKuan" label="短期借款" mulRef="_GBC_7be010b1a07f4048a3805d40208ccda4" unitRef="_GBC_ecd35f8ce6f84d6f8ad30e1e244c15ff" addr="T1R40C2S1_1" formatStyle="Comma">
          <m:axisValue occRef="母公司"/>
        </m:item>
        <m:item xlName="_GBC_842b53c5dbf44c4eabf156246577dc25" concept="clcid-pte:DuanQiJieKuan" label="短期借款" periodRef="上年期末数" mulRef="_GBC_7be010b1a07f4048a3805d40208ccda4" unitRef="_GBC_ecd35f8ce6f84d6f8ad30e1e244c15ff" addr="T1R40C3S1_1" formatStyle="Comma">
          <m:axisValue occRef="母公司"/>
        </m:item>
        <m:placeholder xlName="_PLD_ec16a31b429943b78fc30663bc4be1b8" addr="T1R41C0S1_1"/>
        <m:item xlName="_GBC_2e2e9f2f13284eeead8b343b252b81bc" concept="clcid-ci-ar:FuZhu_JiaoYiXingJinRongFuZhai" label="附注_交易性金融负债" addr="T1R41C1S1_1">
          <m:axisValue occRef="母公司"/>
        </m:item>
        <m:item xlName="_GBC_0366d582e23243e7b9f9c27b10d61e75" concept="clcid-pte:JiaoYiXingJinRongFuZhai" label="交易性金融负债" mulRef="_GBC_7be010b1a07f4048a3805d40208ccda4" unitRef="_GBC_ecd35f8ce6f84d6f8ad30e1e244c15ff" addr="T1R41C2S1_1" formatStyle="Comma">
          <m:axisValue occRef="母公司"/>
        </m:item>
        <m:item xlName="_GBC_03a4da4fdca1412faab5054c5df9399a" concept="clcid-pte:JiaoYiXingJinRongFuZhai" label="交易性金融负债" periodRef="上年期末数" mulRef="_GBC_7be010b1a07f4048a3805d40208ccda4" unitRef="_GBC_ecd35f8ce6f84d6f8ad30e1e244c15ff" addr="T1R41C3S1_1" formatStyle="Comma">
          <m:axisValue occRef="母公司"/>
        </m:item>
        <m:placeholder xlName="_PLD_9ca7ab0d48474bdbb62e5ad7f94b7c27" addr="T1R42C0S1_1"/>
        <m:item xlName="_GBC_fcdc6768e2fb4c3f97012220cf3ffcc7" concept="clcid-ci-ar:FuZhuYanShengJinRongFuZhai" label="附注_衍生金融负债" addr="T1R42C1S1_1">
          <m:axisValue occRef="母公司"/>
        </m:item>
        <m:item xlName="_GBC_d39f202412f6490fb24a8f65970955e8" concept="clcid-pte:YanShengJinRongFuZhai" label="衍生金融负债" mulRef="_GBC_7be010b1a07f4048a3805d40208ccda4" unitRef="_GBC_ecd35f8ce6f84d6f8ad30e1e244c15ff" addr="T1R42C2S1_1" formatStyle="Comma">
          <m:axisValue occRef="母公司"/>
        </m:item>
        <m:item xlName="_GBC_44cab6005cd74c3eb94eca62c263418e" concept="clcid-pte:YanShengJinRongFuZhai" label="衍生金融负债" periodRef="上年期末数" mulRef="_GBC_7be010b1a07f4048a3805d40208ccda4" unitRef="_GBC_ecd35f8ce6f84d6f8ad30e1e244c15ff" addr="T1R42C3S1_1" formatStyle="Comma">
          <m:axisValue occRef="母公司"/>
        </m:item>
        <m:placeholder xlName="_PLD_ef54e09967474f6490bedae105a3d5af" addr="T1R43C0S1_1"/>
        <m:item xlName="_GBC_f117241caa424d8baa8cc4efdbd7f6ad" concept="clcid-ci-ar:FuZhu_YingFuPiaoJu" label="附注_应付票据" addr="T1R43C1S1_1">
          <m:axisValue occRef="母公司"/>
        </m:item>
        <m:item xlName="_GBC_6559d7c62bcf4fddb297db0a7ca194a3" concept="clcid-pte:YingFuPiaoJu" label="应付票据" mulRef="_GBC_7be010b1a07f4048a3805d40208ccda4" unitRef="_GBC_ecd35f8ce6f84d6f8ad30e1e244c15ff" addr="T1R43C2S1_1" formatStyle="Comma">
          <m:axisValue occRef="母公司"/>
        </m:item>
        <m:item xlName="_GBC_6252bc81347d448c81cb913b770a115b" concept="clcid-pte:YingFuPiaoJu" label="应付票据" periodRef="上年期末数" mulRef="_GBC_7be010b1a07f4048a3805d40208ccda4" unitRef="_GBC_ecd35f8ce6f84d6f8ad30e1e244c15ff" addr="T1R43C3S1_1" formatStyle="Comma">
          <m:axisValue occRef="母公司"/>
        </m:item>
        <m:placeholder xlName="_PLD_73f601396ff94f55ba0d9f4f04bea3f7" addr="T1R44C0S1_1"/>
        <m:item xlName="_GBC_1f1e7712212444b1ac638ac25174e9a6" concept="clcid-ci-ar:FuZhu_YingFuZhangKuan" label="附注_应付帐款" addr="T1R44C1S1_1">
          <m:axisValue occRef="母公司"/>
        </m:item>
        <m:item xlName="_GBC_bf28feb64f3c477e8e7a74ea5f88181a" concept="clcid-pte:YingFuZhangKuan" label="应付帐款" mulRef="_GBC_7be010b1a07f4048a3805d40208ccda4" unitRef="_GBC_ecd35f8ce6f84d6f8ad30e1e244c15ff" addr="T1R44C2S1_1" formatStyle="Comma">
          <m:axisValue occRef="母公司"/>
        </m:item>
        <m:item xlName="_GBC_be43d2a72c20477a9ae629edfde8aebb" concept="clcid-pte:YingFuZhangKuan" label="应付帐款" periodRef="上年期末数" mulRef="_GBC_7be010b1a07f4048a3805d40208ccda4" unitRef="_GBC_ecd35f8ce6f84d6f8ad30e1e244c15ff" addr="T1R44C3S1_1" formatStyle="Comma">
          <m:axisValue occRef="母公司"/>
        </m:item>
        <m:placeholder xlName="_PLD_8d33cba97f8f47758fee51d65c9dfe52" addr="T1R45C0S1_1"/>
        <m:item xlName="_GBC_5d2ce6ccf05c40b79e6908067d2fa1f7" concept="clcid-ci-ar:FuZhu_YuShouZhangKuan" label="附注_预收帐款" addr="T1R45C1S1_1">
          <m:axisValue occRef="母公司"/>
        </m:item>
        <m:item xlName="_GBC_37ff47ceb6524910a11ac92345a94452" concept="clcid-pte:YuShouZhangKuan" label="预收帐款" mulRef="_GBC_7be010b1a07f4048a3805d40208ccda4" unitRef="_GBC_ecd35f8ce6f84d6f8ad30e1e244c15ff" addr="T1R45C2S1_1" formatStyle="Comma">
          <m:axisValue occRef="母公司"/>
        </m:item>
        <m:item xlName="_GBC_b3c2bce51c444555bc1cab3f35eb79e9" concept="clcid-pte:YuShouZhangKuan" label="预收帐款" periodRef="上年期末数" mulRef="_GBC_7be010b1a07f4048a3805d40208ccda4" unitRef="_GBC_ecd35f8ce6f84d6f8ad30e1e244c15ff" addr="T1R45C3S1_1" formatStyle="Comma">
          <m:axisValue occRef="母公司"/>
        </m:item>
        <m:placeholder xlName="_PLD_57a9889c00684dd48ad945fce53e8274" addr="T1R46C0S1_1"/>
        <m:item xlName="_GBC_c274110cc82f4424aac790a8bab824c6" concept="clcid-ci-ar:FuZhu_HeTongFuZhai" label="附注_合同负债" addr="T1R46C1S1_1">
          <m:axisValue occRef="母公司"/>
        </m:item>
        <m:item xlName="_GBC_3f70af19c6e5495a9a3be78cb002392c" concept="clcid-pte:HeTongFuZhai" label="合同负债" mulRef="_GBC_7be010b1a07f4048a3805d40208ccda4" unitRef="_GBC_ecd35f8ce6f84d6f8ad30e1e244c15ff" addr="T1R46C2S1_1" formatStyle="Comma">
          <m:axisValue occRef="母公司"/>
        </m:item>
        <m:item xlName="_GBC_e47f7fc0519d4641b3d3e5a4a35541e3" concept="clcid-pte:HeTongFuZhai" label="合同负债" periodRef="上年期末数" mulRef="_GBC_7be010b1a07f4048a3805d40208ccda4" unitRef="_GBC_ecd35f8ce6f84d6f8ad30e1e244c15ff" addr="T1R46C3S1_1" formatStyle="Comma">
          <m:axisValue occRef="母公司"/>
        </m:item>
        <m:placeholder xlName="_PLD_5179db1f484045d98b88860edc153236" addr="T1R47C0S1_1"/>
        <m:item xlName="_GBC_85f5aec86dfd4fbc803ab4716257b313" concept="clcid-ci-ar:FuZhu_YingFuZhiGongXinChou" label="附注_应付职工薪酬" addr="T1R47C1S1_1">
          <m:axisValue occRef="母公司"/>
        </m:item>
        <m:item xlName="_GBC_afa012ac0e0b4f07ade3ff0b33ef7ee0" concept="clcid-pte:YingFuZhiGongXinChou" label="应付职工薪酬" mulRef="_GBC_7be010b1a07f4048a3805d40208ccda4" unitRef="_GBC_ecd35f8ce6f84d6f8ad30e1e244c15ff" addr="T1R47C2S1_1" formatStyle="Comma">
          <m:axisValue occRef="母公司"/>
        </m:item>
        <m:item xlName="_GBC_f4f169c96bd54569ae957c0cf697f1d5" concept="clcid-pte:YingFuZhiGongXinChou" label="应付职工薪酬" periodRef="上年期末数" mulRef="_GBC_7be010b1a07f4048a3805d40208ccda4" unitRef="_GBC_ecd35f8ce6f84d6f8ad30e1e244c15ff" addr="T1R47C3S1_1" formatStyle="Comma">
          <m:axisValue occRef="母公司"/>
        </m:item>
        <m:placeholder xlName="_PLD_f9c6f095658e40b2a72d3d8b778fd72b" addr="T1R48C0S1_1"/>
        <m:item xlName="_GBC_842c3dc2a4624043ac4837396347726e" concept="clcid-ci-ar:FuZhu_YingJiaoShuiJin" label="附注_应交税金" addr="T1R48C1S1_1">
          <m:axisValue occRef="母公司"/>
        </m:item>
        <m:item xlName="_GBC_315658adfc1f4dd18546ed0cb4d23864" concept="clcid-pte:YingJiaoShuiJin" label="应交税金" mulRef="_GBC_7be010b1a07f4048a3805d40208ccda4" unitRef="_GBC_ecd35f8ce6f84d6f8ad30e1e244c15ff" addr="T1R48C2S1_1" formatStyle="Comma">
          <m:axisValue occRef="母公司"/>
        </m:item>
        <m:item xlName="_GBC_08e50210cb6f43d7847a24eb416e3759" concept="clcid-pte:YingJiaoShuiJin" label="应交税金" periodRef="上年期末数" mulRef="_GBC_7be010b1a07f4048a3805d40208ccda4" unitRef="_GBC_ecd35f8ce6f84d6f8ad30e1e244c15ff" addr="T1R48C3S1_1" formatStyle="Comma">
          <m:axisValue occRef="母公司"/>
        </m:item>
        <m:placeholder xlName="_PLD_c490ad2cbccd426084cbcc4f5ffff983" addr="T1R49C0S1_1"/>
        <m:item xlName="_GBC_b35f6488f4674adbb5f90922b30d0e5c" concept="clcid-ci-ar:FuZhu_QiTaYingFuKuan" label="附注_其他应付款" addr="T1R49C1S1_1">
          <m:axisValue occRef="母公司"/>
        </m:item>
        <m:item xlName="_GBC_d7b0634853334ce9b6005eb33f580f40" concept="clcid-pte:QiTaYingFuKuan" label="其他应付款" mulRef="_GBC_7be010b1a07f4048a3805d40208ccda4" unitRef="_GBC_ecd35f8ce6f84d6f8ad30e1e244c15ff" addr="T1R49C2S1_1" formatStyle="Comma">
          <m:axisValue occRef="母公司"/>
        </m:item>
        <m:item xlName="_GBC_33d66508a20548118598e9d80ea9c18d" concept="clcid-pte:QiTaYingFuKuan" label="其他应付款" periodRef="上年期末数" mulRef="_GBC_7be010b1a07f4048a3805d40208ccda4" unitRef="_GBC_ecd35f8ce6f84d6f8ad30e1e244c15ff" addr="T1R49C3S1_1" formatStyle="Comma">
          <m:axisValue occRef="母公司"/>
        </m:item>
        <m:placeholder xlName="_PLD_33305757c71a4e02885ac4b4bd4dd023" addr="T1R50C0S1_1"/>
        <m:item xlName="_GBC_49d13eac15e74901b1439bb6711f3324" concept="clcid-ci-ar:FuZhu_YingFuLiXi" label="附注_应付利息" addr="T1R50C1S1_1">
          <m:axisValue occRef="母公司"/>
        </m:item>
        <m:item xlName="_GBC_c438f8285ec944ec896a8cdacf812e78" concept="clcid-pte:YingFuLiXi" label="应付利息" mulRef="_GBC_7be010b1a07f4048a3805d40208ccda4" unitRef="_GBC_ecd35f8ce6f84d6f8ad30e1e244c15ff" addr="T1R50C2S1_1" formatStyle="Comma">
          <m:axisValue occRef="母公司"/>
        </m:item>
        <m:item xlName="_GBC_92ab3e3729a146db8a473b90fe81bd1e" concept="clcid-pte:YingFuLiXi" label="应付利息" periodRef="上年期末数" mulRef="_GBC_7be010b1a07f4048a3805d40208ccda4" unitRef="_GBC_ecd35f8ce6f84d6f8ad30e1e244c15ff" addr="T1R50C3S1_1" formatStyle="Comma">
          <m:axisValue occRef="母公司"/>
        </m:item>
        <m:placeholder xlName="_PLD_af17ddcf0f4c41d7ad5d3631e95d7da2" addr="T1R51C0S1_1"/>
        <m:item xlName="_GBC_8df230e86c5646718f5f5ef536e1b86c" concept="clcid-ci-ar:FuZhu_YingFuGuLi" label="附注_应付股利" addr="T1R51C1S1_1">
          <m:axisValue occRef="母公司"/>
        </m:item>
        <m:item xlName="_GBC_f01ec43a0b90413ea479a60a573b3163" concept="clcid-pte:YingFuGuLi" label="应付股利" mulRef="_GBC_7be010b1a07f4048a3805d40208ccda4" unitRef="_GBC_ecd35f8ce6f84d6f8ad30e1e244c15ff" addr="T1R51C2S1_1" formatStyle="Comma">
          <m:axisValue occRef="母公司"/>
        </m:item>
        <m:item xlName="_GBC_3afe7a9f8ddc490ca37e1df43275e11a" concept="clcid-pte:YingFuGuLi" label="应付股利" periodRef="上年期末数" mulRef="_GBC_7be010b1a07f4048a3805d40208ccda4" unitRef="_GBC_ecd35f8ce6f84d6f8ad30e1e244c15ff" addr="T1R51C3S1_1" formatStyle="Comma">
          <m:axisValue occRef="母公司"/>
        </m:item>
        <m:placeholder xlName="_PLD_f77f7dcdf9d04cd9ae289b7b3f5b7b02" addr="T1R52C0S1_1"/>
        <m:item xlName="_GBC_c8a6b99b678c43fb9a698d9377d18b24" concept="clcid-ci-ar:FuZhuHuaFenWeiChiYouDaiShouDeFuZhai" label="附注_划分为持有待售的负债" addr="T1R52C1S1_1">
          <m:axisValue occRef="母公司"/>
        </m:item>
        <m:item xlName="_GBC_2cd17d65ce3a461581008333a69da982" concept="clcid-pte:HuaFenWeiChiYouDaiShouDeFuZhai" label="划分为持有待售的负债" mulRef="_GBC_7be010b1a07f4048a3805d40208ccda4" unitRef="_GBC_ecd35f8ce6f84d6f8ad30e1e244c15ff" addr="T1R52C2S1_1" formatStyle="Comma">
          <m:axisValue occRef="母公司"/>
        </m:item>
        <m:item xlName="_GBC_82f2fab076a146e4bad5c66f91669213" concept="clcid-pte:HuaFenWeiChiYouDaiShouDeFuZhai" label="划分为持有待售的负债" periodRef="上年期末数" mulRef="_GBC_7be010b1a07f4048a3805d40208ccda4" unitRef="_GBC_ecd35f8ce6f84d6f8ad30e1e244c15ff" addr="T1R52C3S1_1" formatStyle="Comma">
          <m:axisValue occRef="母公司"/>
        </m:item>
        <m:placeholder xlName="_PLD_a29046fb2b7d4844a6a2146909afbe96" addr="T1R53C0S1_1"/>
        <m:item xlName="_GBC_b5de71f5a9fa40399d029f21a00c989b" concept="clcid-ci-ar:FuZhu_YiNianNeiDaoQiDeChangQiFuZhai" label="附注_一年内到期的长期负债" addr="T1R53C1S1_1">
          <m:axisValue occRef="母公司"/>
        </m:item>
        <m:item xlName="_GBC_c3fc0c8137b040e6a9f73bbd8f818a66" concept="clcid-pte:YiNianNeiDaoQiDeChangQiFuZhai" label="一年内到期的长期负债" mulRef="_GBC_7be010b1a07f4048a3805d40208ccda4" unitRef="_GBC_ecd35f8ce6f84d6f8ad30e1e244c15ff" addr="T1R53C2S1_1" formatStyle="Comma">
          <m:axisValue occRef="母公司"/>
        </m:item>
        <m:item xlName="_GBC_6f6a3c16f2f94692b1471c74f1e8dcb1" concept="clcid-pte:YiNianNeiDaoQiDeChangQiFuZhai" label="一年内到期的长期负债" periodRef="上年期末数" mulRef="_GBC_7be010b1a07f4048a3805d40208ccda4" unitRef="_GBC_ecd35f8ce6f84d6f8ad30e1e244c15ff" addr="T1R53C3S1_1" formatStyle="Comma">
          <m:axisValue occRef="母公司"/>
        </m:item>
        <m:placeholder xlName="_PLD_29a119c77a3042f187a5aba37b5deecc" addr="T1R54C0S1_1"/>
        <m:item xlName="_GBC_d9c915642e3d44ad8d349a52c6721bf6" concept="clcid-ci-ar:FuZhu_QiTaLiuDongFuZhai" label="附注_其他流动负债" addr="T1R54C1S1_1">
          <m:axisValue occRef="母公司"/>
        </m:item>
        <m:item xlName="_GBC_adafd42482254a4280b9b3d7a74761b2" concept="clcid-pte:QiTaLiuDongFuZhai" label="其他流动负债" mulRef="_GBC_7be010b1a07f4048a3805d40208ccda4" unitRef="_GBC_ecd35f8ce6f84d6f8ad30e1e244c15ff" addr="T1R54C2S1_1" formatStyle="Comma">
          <m:axisValue occRef="母公司"/>
        </m:item>
        <m:item xlName="_GBC_6cc8d545f7af47e185e83e17c87e0b89" concept="clcid-pte:QiTaLiuDongFuZhai" label="其他流动负债" periodRef="上年期末数" mulRef="_GBC_7be010b1a07f4048a3805d40208ccda4" unitRef="_GBC_ecd35f8ce6f84d6f8ad30e1e244c15ff" addr="T1R54C3S1_1" formatStyle="Comma">
          <m:axisValue occRef="母公司"/>
        </m:item>
        <m:placeholder xlName="_PLD_fd497b996a3c46b99eb5112ec0f3d649" addr="T1R55C0S1_1"/>
        <m:item xlName="_GBC_7d987be008e54e92a812772df54b7a37" concept="clcid-ci-ar:FuZhu_LiuDongFuZhaiHeJi" label="附注_流动负债合计" addr="T1R55C1S1_1">
          <m:axisValue occRef="母公司"/>
        </m:item>
        <m:item xlName="_GBC_ffe4bb9696e5433eb2728cb4dd73bb9b" concept="clcid-pte:LiuDongFuZhaiHeJi" label="流动负债合计" mulRef="_GBC_7be010b1a07f4048a3805d40208ccda4" unitRef="_GBC_ecd35f8ce6f84d6f8ad30e1e244c15ff" addr="T1R55C2S1_1" formatStyle="Comma">
          <m:complexRule comparator="Eq" title="流动负债合计" test=" $_GBC_62336a2dd24b42feb7b92e1d3a2f8a16 +  $_GBC_0366d582e23243e7b9f9c27b10d61e75 +  $_GBC_d39f202412f6490fb24a8f65970955e8 +  $_GBC_6559d7c62bcf4fddb297db0a7ca194a3 +  $_GBC_bf28feb64f3c477e8e7a74ea5f88181a +  $_GBC_37ff47ceb6524910a11ac92345a94452 +  $_GBC_3f70af19c6e5495a9a3be78cb002392c +  $_GBC_afa012ac0e0b4f07ade3ff0b33ef7ee0 +  $_GBC_315658adfc1f4dd18546ed0cb4d23864 +  $_GBC_d7b0634853334ce9b6005eb33f580f40 +  $_GBC_2cd17d65ce3a461581008333a69da982 +  $_GBC_c3fc0c8137b040e6a9f73bbd8f818a66 +  $_GBC_adafd42482254a4280b9b3d7a74761b2" id="C005b05e61c0c4b2797b4b04793d42688"/>
          <m:axisValue occRef="母公司"/>
        </m:item>
        <m:item xlName="_GBC_eaf8447833a04672bb82ce33e22e58c4" concept="clcid-pte:LiuDongFuZhaiHeJi" label="流动负债合计" periodRef="上年期末数" mulRef="_GBC_7be010b1a07f4048a3805d40208ccda4" unitRef="_GBC_ecd35f8ce6f84d6f8ad30e1e244c15ff" addr="T1R55C3S1_1" formatStyle="Comma">
          <m:complexRule comparator="Eq" title="流动负债合计@本期期初数" test=" $_GBC_842b53c5dbf44c4eabf156246577dc25 +  $_GBC_03a4da4fdca1412faab5054c5df9399a +  $_GBC_44cab6005cd74c3eb94eca62c263418e +  $_GBC_6252bc81347d448c81cb913b770a115b +  $_GBC_be43d2a72c20477a9ae629edfde8aebb +  $_GBC_b3c2bce51c444555bc1cab3f35eb79e9 +  $_GBC_e47f7fc0519d4641b3d3e5a4a35541e3 +  $_GBC_f4f169c96bd54569ae957c0cf697f1d5 +  $_GBC_08e50210cb6f43d7847a24eb416e3759 +  $_GBC_33d66508a20548118598e9d80ea9c18d +  $_GBC_82f2fab076a146e4bad5c66f91669213 +  $_GBC_6f6a3c16f2f94692b1471c74f1e8dcb1 +  $_GBC_6cc8d545f7af47e185e83e17c87e0b89" id="C18ac8c99df4b4f12b4586690e8d43682"/>
          <m:axisValue occRef="母公司"/>
        </m:item>
        <m:placeholder xlName="_PLD_e62929b21cd4456494013c9cb0dc5b16" addr="T1R56C0S1_1"/>
        <m:placeholder xlName="_PLD_dc705bf824d14c06a0f0ff2183f061bb" addr="T1R57C0S1_1"/>
        <m:item xlName="_GBC_ac82998de0644de5b4af3319c0ff42ed" concept="clcid-ci-ar:FuZhu_ChangQiJieKuan" label="附注_长期借款" addr="T1R57C1S1_1">
          <m:axisValue occRef="母公司"/>
        </m:item>
        <m:item xlName="_GBC_91ee244e2eb14c47895384b6bc863ae5" concept="clcid-pte:ChangQiJieKuan" label="长期借款" mulRef="_GBC_7be010b1a07f4048a3805d40208ccda4" unitRef="_GBC_ecd35f8ce6f84d6f8ad30e1e244c15ff" addr="T1R57C2S1_1" formatStyle="Comma">
          <m:axisValue occRef="母公司"/>
        </m:item>
        <m:item xlName="_GBC_e712a47c2b1f4884b3159b58cc2997af" concept="clcid-pte:ChangQiJieKuan" label="长期借款" periodRef="上年期末数" mulRef="_GBC_7be010b1a07f4048a3805d40208ccda4" unitRef="_GBC_ecd35f8ce6f84d6f8ad30e1e244c15ff" addr="T1R57C3S1_1" formatStyle="Comma">
          <m:axisValue occRef="母公司"/>
        </m:item>
        <m:placeholder xlName="_PLD_338e61244aeb4a06b85c45422b5d2e25" addr="T1R58C0S1_1"/>
        <m:item xlName="_GBC_af7833ce92974c04b28cad91d232d5b5" concept="clcid-ci-ar:FuZhu_YingFuZhaiQuan" label="附注_应付债券" addr="T1R58C1S1_1">
          <m:axisValue occRef="母公司"/>
        </m:item>
        <m:item xlName="_GBC_4edb7a93e4df412eab13522131afa51c" concept="clcid-pte:YingFuZhaiQuan" label="应付债券" mulRef="_GBC_7be010b1a07f4048a3805d40208ccda4" unitRef="_GBC_ecd35f8ce6f84d6f8ad30e1e244c15ff" addr="T1R58C2S1_1" formatStyle="Comma">
          <m:axisValue occRef="母公司"/>
        </m:item>
        <m:item xlName="_GBC_a32f2ba01e534d708bd4730ca5111eed" concept="clcid-pte:YingFuZhaiQuan" label="应付债券" periodRef="上年期末数" mulRef="_GBC_7be010b1a07f4048a3805d40208ccda4" unitRef="_GBC_ecd35f8ce6f84d6f8ad30e1e244c15ff" addr="T1R58C3S1_1" formatStyle="Comma">
          <m:axisValue occRef="母公司"/>
        </m:item>
        <m:placeholder xlName="_PLD_314bd73553e7420a8c904cb2018c47e8" addr="T1R59C0S1_1"/>
        <m:item xlName="_GBC_1c8c7a8eb26c46969e2fbd956b69a769" concept="clcid-ci-ar:FuZhuQiZhongYouXianGu" label="附注_其中：优先股" addr="T1R59C1S1_1">
          <m:axisValue occRef="母公司"/>
        </m:item>
        <m:item xlName="_GBC_b5371ac1d12c4e67bd9061105559a1d8" concept="clcid-pte:QiZhongYouXianGu" label="其中：优先股" mulRef="_GBC_7be010b1a07f4048a3805d40208ccda4" unitRef="_GBC_ecd35f8ce6f84d6f8ad30e1e244c15ff" addr="T1R59C2S1_1" formatStyle="Comma">
          <m:axisValue occRef="母公司"/>
        </m:item>
        <m:item xlName="_GBC_ebe0006b60f24f38863eaa3979d980ca" concept="clcid-pte:QiZhongYouXianGu" label="其中：优先股" periodRef="上年期末数" mulRef="_GBC_7be010b1a07f4048a3805d40208ccda4" unitRef="_GBC_ecd35f8ce6f84d6f8ad30e1e244c15ff" addr="T1R59C3S1_1" formatStyle="Comma">
          <m:axisValue occRef="母公司"/>
        </m:item>
        <m:placeholder xlName="_PLD_5044e414e8a34f969372ff67406d75ff" addr="T1R60C0S1_1"/>
        <m:item xlName="_GBC_b77f33795c564e238a858f6cc2b18dc7" concept="clcid-ci-ar:FuZhuYongXuZhai" label="附注_永续债" addr="T1R60C1S1_1">
          <m:axisValue occRef="母公司"/>
        </m:item>
        <m:item xlName="_GBC_b4275e8aaa5742fd81d1b0a448cc29b5" concept="clcid-pte:YongXuZhai" label="永续债" mulRef="_GBC_7be010b1a07f4048a3805d40208ccda4" unitRef="_GBC_ecd35f8ce6f84d6f8ad30e1e244c15ff" addr="T1R60C2S1_1" formatStyle="Comma">
          <m:axisValue occRef="母公司"/>
        </m:item>
        <m:item xlName="_GBC_bb7272cb3b00499f81536d949776b5bc" concept="clcid-pte:YongXuZhai" label="永续债" periodRef="上年期末数" mulRef="_GBC_7be010b1a07f4048a3805d40208ccda4" unitRef="_GBC_ecd35f8ce6f84d6f8ad30e1e244c15ff" addr="T1R60C3S1_1" formatStyle="Comma">
          <m:axisValue occRef="母公司"/>
        </m:item>
        <m:placeholder xlName="_PLD_7b2441d86aba45d4ab5739ca0af69796" addr="T1R61C0S1_1"/>
        <m:item xlName="_GBC_b6f0865299f04e038b9965e460bcf3b0" concept="clcid-ci-ar:FuZhu_ZuLinFuZhai" label="附注_租赁负债" addr="T1R61C1S1_1">
          <m:axisValue occRef="母公司"/>
        </m:item>
        <m:item xlName="_GBC_969ee4b7364b4a9781cf641c9aa176cf" concept="clcid-pte:ZuLinFuZhai" label="租赁负债" mulRef="_GBC_7be010b1a07f4048a3805d40208ccda4" unitRef="_GBC_ecd35f8ce6f84d6f8ad30e1e244c15ff" addr="T1R61C2S1_1" formatStyle="Comma">
          <m:axisValue occRef="母公司"/>
        </m:item>
        <m:item xlName="_GBC_42f69fde69b24ab58fa62d9384035b6b" concept="clcid-pte:ZuLinFuZhai" label="租赁负债" periodRef="上年期末数" mulRef="_GBC_7be010b1a07f4048a3805d40208ccda4" unitRef="_GBC_ecd35f8ce6f84d6f8ad30e1e244c15ff" addr="T1R61C3S1_1" formatStyle="Comma">
          <m:axisValue occRef="母公司"/>
        </m:item>
        <m:placeholder xlName="_PLD_d268871ae8f24f1d920dd95b56180bba" addr="T1R62C0S1_1"/>
        <m:item xlName="_GBC_3758a72f6cf24d7cbe3b624dffd05d04" concept="clcid-ci-ar:FuZhu_ChangQiYingFuKuan" label="附注_长期应付款" addr="T1R62C1S1_1">
          <m:axisValue occRef="母公司"/>
        </m:item>
        <m:item xlName="_GBC_534976efb6b04d42907daacb765f4c0f" concept="clcid-pte:ChangQiYingFuKuan" label="长期应付款" mulRef="_GBC_7be010b1a07f4048a3805d40208ccda4" unitRef="_GBC_ecd35f8ce6f84d6f8ad30e1e244c15ff" addr="T1R62C2S1_1" formatStyle="Comma">
          <m:axisValue occRef="母公司"/>
        </m:item>
        <m:item xlName="_GBC_02e15f9b1e0743f39f60e3f1f38efd95" concept="clcid-pte:ChangQiYingFuKuan" label="长期应付款" periodRef="上年期末数" mulRef="_GBC_7be010b1a07f4048a3805d40208ccda4" unitRef="_GBC_ecd35f8ce6f84d6f8ad30e1e244c15ff" addr="T1R62C3S1_1" formatStyle="Comma">
          <m:axisValue occRef="母公司"/>
        </m:item>
        <m:placeholder xlName="_PLD_200b2b0412114e3b932260eef9b4c6fe" addr="T1R63C0S1_1"/>
        <m:item xlName="_GBC_2c137f1ca3944a358fa02b531eeb87ee" concept="clcid-ci-ar:FuZhu_ChangQiYingFuZhiGongXinChou" label="附注_长期应付职工薪酬" addr="T1R63C1S1_1">
          <m:axisValue occRef="母公司"/>
        </m:item>
        <m:item xlName="_GBC_1d1f51dd2b9d4229bce26dcd73d244bd" concept="clcid-pte:ChangQiYingFuZhiGongXinChou" label="长期应付职工薪酬" mulRef="_GBC_7be010b1a07f4048a3805d40208ccda4" unitRef="_GBC_ecd35f8ce6f84d6f8ad30e1e244c15ff" addr="T1R63C2S1_1" formatStyle="Comma">
          <m:axisValue occRef="母公司"/>
        </m:item>
        <m:item xlName="_GBC_0b8dc90522394e088ac9b53a7652de7d" concept="clcid-pte:ChangQiYingFuZhiGongXinChou" label="长期应付职工薪酬" periodRef="上年期末数" mulRef="_GBC_7be010b1a07f4048a3805d40208ccda4" unitRef="_GBC_ecd35f8ce6f84d6f8ad30e1e244c15ff" addr="T1R63C3S1_1" formatStyle="Comma">
          <m:axisValue occRef="母公司"/>
        </m:item>
        <m:placeholder xlName="_PLD_175206d9834f4332bb966826e2fc6cf7" addr="T1R64C0S1_1"/>
        <m:item xlName="_GBC_e0f651bd9ad1493b9efe371900c2907f" concept="clcid-ci-ar:FuZhu_YuJiFuZhai" label="附注_预计负债" addr="T1R64C1S1_1">
          <m:axisValue occRef="母公司"/>
        </m:item>
        <m:item xlName="_GBC_e5d3a15061314257be9b343f05945a45" concept="clcid-pte:YuJiFuZhai" label="预计负债" mulRef="_GBC_7be010b1a07f4048a3805d40208ccda4" unitRef="_GBC_ecd35f8ce6f84d6f8ad30e1e244c15ff" addr="T1R64C2S1_1" formatStyle="Comma">
          <m:axisValue occRef="母公司"/>
        </m:item>
        <m:item xlName="_GBC_71e387132cea41a08de3630c7caa9f5b" concept="clcid-pte:YuJiFuZhai" label="预计负债" periodRef="上年期末数" mulRef="_GBC_7be010b1a07f4048a3805d40208ccda4" unitRef="_GBC_ecd35f8ce6f84d6f8ad30e1e244c15ff" addr="T1R64C3S1_1" formatStyle="Comma">
          <m:axisValue occRef="母公司"/>
        </m:item>
        <m:placeholder xlName="_PLD_eab00dbf5a03497493b7cecfc307a4f7" addr="T1R65C0S1_1"/>
        <m:item xlName="_GBC_cebfff3d632a4a38a5fb285b0fbe42e7" concept="clcid-ci-ar:FuZhuDiYanShouYi" label="附注_递延收益" addr="T1R65C1S1_1" formatStyle="Comma">
          <m:axisValue occRef="母公司"/>
        </m:item>
        <m:item xlName="_GBC_b4853e8ab9174ce3821adb56d7a92ee4" concept="clcid-pte:DiYanShouYi" label="递延收益" mulRef="_GBC_7be010b1a07f4048a3805d40208ccda4" unitRef="_GBC_ecd35f8ce6f84d6f8ad30e1e244c15ff" addr="T1R65C2S1_1" formatStyle="Comma">
          <m:axisValue occRef="母公司"/>
        </m:item>
        <m:item xlName="_GBC_f4266c65e57a4191821df12e3af1338c" concept="clcid-pte:DiYanShouYi" label="递延收益" periodRef="上年期末数" mulRef="_GBC_7be010b1a07f4048a3805d40208ccda4" unitRef="_GBC_ecd35f8ce6f84d6f8ad30e1e244c15ff" addr="T1R65C3S1_1" formatStyle="Comma">
          <m:axisValue occRef="母公司"/>
        </m:item>
        <m:placeholder xlName="_PLD_b27860a290d6473991cd09d203f00279" addr="T1R66C0S1_1"/>
        <m:item xlName="_GBC_6c38e048965e4a54bc156877a62a5e15" concept="clcid-ci-ar:FuZhu_DiYanShuiKuanDaiXiangHeJi" label="附注_递延税款贷项合计" addr="T1R66C1S1_1">
          <m:axisValue occRef="母公司"/>
        </m:item>
        <m:item xlName="_GBC_b879e036b2d54647a29e4cfd43e9619d" concept="clcid-pte:DiYanShuiKuanDaiXiangHeJi" label="递延税款贷项合计" mulRef="_GBC_7be010b1a07f4048a3805d40208ccda4" unitRef="_GBC_ecd35f8ce6f84d6f8ad30e1e244c15ff" addr="T1R66C2S1_1" formatStyle="Comma">
          <m:axisValue occRef="母公司"/>
        </m:item>
        <m:item xlName="_GBC_21dbf90bccff45f6bfdbf613ef4282a9" concept="clcid-pte:DiYanShuiKuanDaiXiangHeJi" label="递延税款贷项合计" periodRef="上年期末数" mulRef="_GBC_7be010b1a07f4048a3805d40208ccda4" unitRef="_GBC_ecd35f8ce6f84d6f8ad30e1e244c15ff" addr="T1R66C3S1_1" formatStyle="Comma">
          <m:axisValue occRef="母公司"/>
        </m:item>
        <m:placeholder xlName="_PLD_4e68f69147854f91a45d2da03b70d4d5" addr="T1R67C0S1_1"/>
        <m:item xlName="_GBC_e826a0cfebe64b78956004e67c010820" concept="clcid-ci-ar:FuZhu_QiTaChangQiFuZhai" label="附注_其他长期负债" addr="T1R67C1S1_1">
          <m:axisValue occRef="母公司"/>
        </m:item>
        <m:item xlName="_GBC_f96b48298dfc43458c70cf200ae40214" concept="clcid-pte:QiTaChangQiFuZhai" label="其他长期负债" mulRef="_GBC_7be010b1a07f4048a3805d40208ccda4" unitRef="_GBC_ecd35f8ce6f84d6f8ad30e1e244c15ff" addr="T1R67C2S1_1" formatStyle="Comma">
          <m:axisValue occRef="母公司"/>
        </m:item>
        <m:item xlName="_GBC_c19a0a77711a4c6c94b0767fba595f04" concept="clcid-pte:QiTaChangQiFuZhai" label="其他长期负债" periodRef="上年期末数" mulRef="_GBC_7be010b1a07f4048a3805d40208ccda4" unitRef="_GBC_ecd35f8ce6f84d6f8ad30e1e244c15ff" addr="T1R67C3S1_1" formatStyle="Comma">
          <m:axisValue occRef="母公司"/>
        </m:item>
        <m:placeholder xlName="_PLD_2c899ef8da434424b5289e4324851489" addr="T1R68C0S1_1"/>
        <m:item xlName="_GBC_8da64a7871b24dcab1eb9dd74abfb702" concept="clcid-ci-ar:FuZhu_ChangQiFuZhaiHeJi" label="附注_长期负债合计" addr="T1R68C1S1_1">
          <m:axisValue occRef="母公司"/>
        </m:item>
        <m:item xlName="_GBC_7ad4992e90c345f4b559590c8f03e2ac" concept="clcid-pte:ChangQiFuZhaiHeJi" label="长期负债合计" mulRef="_GBC_7be010b1a07f4048a3805d40208ccda4" unitRef="_GBC_ecd35f8ce6f84d6f8ad30e1e244c15ff" addr="T1R68C2S1_1" formatStyle="Comma">
          <m:complexRule comparator="Eq" title="母公司长期负债合计" test=" $_GBC_91ee244e2eb14c47895384b6bc863ae5 +  $_GBC_4edb7a93e4df412eab13522131afa51c +  $_GBC_969ee4b7364b4a9781cf641c9aa176cf +  $_GBC_534976efb6b04d42907daacb765f4c0f +  $_GBC_1d1f51dd2b9d4229bce26dcd73d244bd +  $_GBC_e5d3a15061314257be9b343f05945a45 +  $_GBC_b4853e8ab9174ce3821adb56d7a92ee4 +  $_GBC_b879e036b2d54647a29e4cfd43e9619d +  $_GBC_f96b48298dfc43458c70cf200ae40214" id="C9b86de615391437690e62397fff89ca6"/>
          <m:axisValue occRef="母公司"/>
        </m:item>
        <m:item xlName="_GBC_c56d5a9f5f6a498c9e65a18a09c959a7" concept="clcid-pte:ChangQiFuZhaiHeJi" label="长期负债合计" periodRef="上年期末数" mulRef="_GBC_7be010b1a07f4048a3805d40208ccda4" unitRef="_GBC_ecd35f8ce6f84d6f8ad30e1e244c15ff" addr="T1R68C3S1_1" formatStyle="Comma">
          <m:complexRule comparator="Eq" title="母公司长期负债合计@上年期末数" test=" $_GBC_e712a47c2b1f4884b3159b58cc2997af +  $_GBC_a32f2ba01e534d708bd4730ca5111eed +  $_GBC_42f69fde69b24ab58fa62d9384035b6b +  $_GBC_02e15f9b1e0743f39f60e3f1f38efd95 +  $_GBC_0b8dc90522394e088ac9b53a7652de7d +  $_GBC_71e387132cea41a08de3630c7caa9f5b +  $_GBC_f4266c65e57a4191821df12e3af1338c +  $_GBC_21dbf90bccff45f6bfdbf613ef4282a9 +  $_GBC_c19a0a77711a4c6c94b0767fba595f04" id="C1a57260f68074994b3847d46a67b4094"/>
          <m:axisValue occRef="母公司"/>
        </m:item>
        <m:placeholder xlName="_PLD_e2102ad9792147f2bf11ec884c204033" addr="T1R69C0S1_1"/>
        <m:item xlName="_GBC_ca91e01ea7c7441e98e3dd1bb5fc9bd3" concept="clcid-ci-ar:FuZhu_FuZhaiHeJi" label="附注_负债合计" addr="T1R69C1S1_1">
          <m:axisValue occRef="母公司"/>
        </m:item>
        <m:item xlName="_GBC_b2b45c6778a74e739ba9c519f94f8ed6" concept="clcid-pte:FuZhaiHeJi" label="负债合计" mulRef="_GBC_7be010b1a07f4048a3805d40208ccda4" unitRef="_GBC_ecd35f8ce6f84d6f8ad30e1e244c15ff" addr="T1R69C2S1_1" formatStyle="Comma">
          <m:complexRule comparator="Eq" title="合并报表_期末_负债合计" test=" $_GBC_ffe4bb9696e5433eb2728cb4dd73bb9b +  $_GBC_7ad4992e90c345f4b559590c8f03e2ac" id="Cb77398c9528843e3a6b869cde09097db"/>
          <m:axisValue occRef="母公司"/>
        </m:item>
        <m:item xlName="_GBC_d35c2cc5db2942bd86cd412db203f99f" concept="clcid-pte:FuZhaiHeJi" label="负债合计" periodRef="上年期末数" mulRef="_GBC_7be010b1a07f4048a3805d40208ccda4" unitRef="_GBC_ecd35f8ce6f84d6f8ad30e1e244c15ff" addr="T1R69C3S1_1" formatStyle="Comma">
          <m:complexRule comparator="Eq" title="合并报表_年初_负债合计" test=" $_GBC_eaf8447833a04672bb82ce33e22e58c4 +  $_GBC_c56d5a9f5f6a498c9e65a18a09c959a7" id="C43b83d6497244d878f632f79b43862a7"/>
          <m:axisValue occRef="母公司"/>
        </m:item>
        <m:placeholder xlName="_PLD_b3c95ee428314f8b8091bd15dff2a83d" addr="T1R70C0S1_1"/>
        <m:placeholder xlName="_PLD_4dc50e71aa7b412096aaa176abd95e28" addr="T1R71C0S1_1"/>
        <m:item xlName="_GBC_247c957202284ec4acebc453b3e8ed85" concept="clcid-ci-ar:FuZhu_GuBen" label="附注_股本" addr="T1R71C1S1_1">
          <m:axisValue occRef="母公司"/>
        </m:item>
        <m:item xlName="_GBC_a27a847b75484abca7a8040317518381" concept="clcid-pte:GuBen" label="股本" mulRef="_GBC_7be010b1a07f4048a3805d40208ccda4" unitRef="_GBC_ecd35f8ce6f84d6f8ad30e1e244c15ff" addr="T1R71C2S1_1" formatStyle="Comma">
          <m:axisValue occRef="母公司"/>
        </m:item>
        <m:item xlName="_GBC_e4941b3f1eb0497c9ee1ce1c924158e9" concept="clcid-pte:GuBen" label="股本" periodRef="上年期末数" mulRef="_GBC_7be010b1a07f4048a3805d40208ccda4" unitRef="_GBC_ecd35f8ce6f84d6f8ad30e1e244c15ff" addr="T1R71C3S1_1" formatStyle="Comma">
          <m:axisValue occRef="母公司"/>
        </m:item>
        <m:placeholder xlName="_PLD_f36127e51236487893688b464544872d" addr="T1R72C0S1_1"/>
        <m:item xlName="_GBC_08fe6482d68447529b48833117ebe738" concept="clcid-ci-ar:FuZhuQiTaQuanYiGongJu" label="附注_其他权益工具" addr="T1R72C1S1_1">
          <m:axisValue occRef="母公司"/>
        </m:item>
        <m:item xlName="_GBC_942ff51010ea4bc38f5b8b2a074c05c3" concept="clcid-pte:QiTaQuanYiGongJu" label="其他权益工具" mulRef="_GBC_7be010b1a07f4048a3805d40208ccda4" unitRef="_GBC_ecd35f8ce6f84d6f8ad30e1e244c15ff" addr="T1R72C2S1_1" formatStyle="Comma">
          <m:axisValue occRef="母公司"/>
        </m:item>
        <m:item xlName="_GBC_cad33397f92e48d88cd5f056219af782" concept="clcid-pte:QiTaQuanYiGongJu" label="其他权益工具" periodRef="上年期末数" mulRef="_GBC_7be010b1a07f4048a3805d40208ccda4" unitRef="_GBC_ecd35f8ce6f84d6f8ad30e1e244c15ff" addr="T1R72C3S1_1" formatStyle="Comma">
          <m:axisValue occRef="母公司"/>
        </m:item>
        <m:placeholder xlName="_PLD_6ff9fed10f5e4421b4d017b86f339700" addr="T1R73C0S1_1"/>
        <m:item xlName="_GBC_efe7af5486484ae79b65088be0a44aa5" concept="clcid-ci-ar:FuZhuQiTaQuanYiGongJuQiZhongYouXianGu" label="附注_其他权益工具-其中：优先股" addr="T1R73C1S1_1">
          <m:axisValue occRef="母公司"/>
        </m:item>
        <m:item xlName="_GBC_6c1aded1bc6447e8ac9206d4dd3973a8" concept="clcid-pte:QiTaQuanYiGongJuQiZhongYouXianGu" label="其他权益工具-其中：优先股" mulRef="_GBC_7be010b1a07f4048a3805d40208ccda4" unitRef="_GBC_ecd35f8ce6f84d6f8ad30e1e244c15ff" addr="T1R73C2S1_1" formatStyle="Comma">
          <m:axisValue occRef="母公司"/>
        </m:item>
        <m:item xlName="_GBC_81eb4227406e4537bc9abec144eaf013" concept="clcid-pte:QiTaQuanYiGongJuQiZhongYouXianGu" label="其他权益工具-其中：优先股" periodRef="上年期末数" mulRef="_GBC_7be010b1a07f4048a3805d40208ccda4" unitRef="_GBC_ecd35f8ce6f84d6f8ad30e1e244c15ff" addr="T1R73C3S1_1" formatStyle="Comma">
          <m:axisValue occRef="母公司"/>
        </m:item>
        <m:placeholder xlName="_PLD_a53508683d034577843778ba9d06a615" addr="T1R74C0S1_1"/>
        <m:item xlName="_GBC_51c61d09026c4ba7a8e3da1cc8a6d159" concept="clcid-ci-ar:FuZhuQiTaQuanYiGongJuYongXuZhai" label="附注_其他权益工具-永续债" addr="T1R74C1S1_1">
          <m:axisValue occRef="母公司"/>
        </m:item>
        <m:item xlName="_GBC_489776e54aeb4df0965a9fabbf2d505e" concept="clcid-pte:QiTaQuanYiGongJuYongXuZhai" label="其他权益工具-永续债" mulRef="_GBC_7be010b1a07f4048a3805d40208ccda4" unitRef="_GBC_ecd35f8ce6f84d6f8ad30e1e244c15ff" addr="T1R74C2S1_1" formatStyle="Comma">
          <m:axisValue occRef="母公司"/>
        </m:item>
        <m:item xlName="_GBC_35dd4a04662f43c08dc662ddb12b2c12" concept="clcid-pte:QiTaQuanYiGongJuYongXuZhai" label="其他权益工具-永续债" periodRef="上年期末数" mulRef="_GBC_7be010b1a07f4048a3805d40208ccda4" unitRef="_GBC_ecd35f8ce6f84d6f8ad30e1e244c15ff" addr="T1R74C3S1_1" formatStyle="Comma">
          <m:axisValue occRef="母公司"/>
        </m:item>
        <m:placeholder xlName="_PLD_08724ab7c9244a1186a8219085238e9f" addr="T1R75C0S1_1"/>
        <m:item xlName="_GBC_30575200eef3455882f87a7948af26be" concept="clcid-ci-ar:FuZhu_ZiBenGongJi" label="附注_资本公积" addr="T1R75C1S1_1">
          <m:axisValue occRef="母公司"/>
        </m:item>
        <m:item xlName="_GBC_a11ec38a7d974c83af7c5acc62c76725" concept="clcid-pte:ZiBenGongJi" label="资本公积" mulRef="_GBC_7be010b1a07f4048a3805d40208ccda4" unitRef="_GBC_ecd35f8ce6f84d6f8ad30e1e244c15ff" addr="T1R75C2S1_1" formatStyle="Comma">
          <m:axisValue occRef="母公司"/>
        </m:item>
        <m:item xlName="_GBC_3f84526a366544c0893deb16b4317e96" concept="clcid-pte:ZiBenGongJi" label="资本公积" periodRef="上年期末数" mulRef="_GBC_7be010b1a07f4048a3805d40208ccda4" unitRef="_GBC_ecd35f8ce6f84d6f8ad30e1e244c15ff" addr="T1R75C3S1_1" formatStyle="Comma">
          <m:axisValue occRef="母公司"/>
        </m:item>
        <m:placeholder xlName="_PLD_acf5eb5023ce48a38a6314aa3a59978b" addr="T1R76C0S1_1"/>
        <m:item xlName="_GBC_88d33d8dac1841c7bf26ef33ca6f8522" concept="clcid-ci-ar:FuZhu_JianKuCunGu" label="附注_减：库存股" addr="T1R76C1S1_1">
          <m:axisValue occRef="母公司"/>
        </m:item>
        <m:item xlName="_GBC_680116aa994647068508157837c0af94" concept="clcid-pte:KuCunGu" label="库存股" mulRef="_GBC_7be010b1a07f4048a3805d40208ccda4" unitRef="_GBC_ecd35f8ce6f84d6f8ad30e1e244c15ff" addr="T1R76C2S1_1" formatStyle="Comma">
          <m:axisValue occRef="母公司"/>
        </m:item>
        <m:item xlName="_GBC_8c50494ac90048ddaaa34e553ca08339" concept="clcid-pte:KuCunGu" label="库存股" periodRef="上年期末数" mulRef="_GBC_7be010b1a07f4048a3805d40208ccda4" unitRef="_GBC_ecd35f8ce6f84d6f8ad30e1e244c15ff" addr="T1R76C3S1_1" formatStyle="Comma">
          <m:axisValue occRef="母公司"/>
        </m:item>
        <m:placeholder xlName="_PLD_b511319799ae49febdfc2f1e81f6d67c" addr="T1R77C0S1_1"/>
        <m:item xlName="_GBC_c6a76c8e1152499c9a4910716c521f40" concept="clcid-ci-ar:FuZhuQiTaZongHeShouYiZiChanFuZhaiBiaoXiangMu" label="附注_其他综合收益（资产负债表项目）" addr="T1R77C1S1_1">
          <m:axisValue occRef="母公司"/>
        </m:item>
        <m:item xlName="_GBC_d8c60b6c95e2494ba06a3a273bb2c106" concept="clcid-pte:QiTaZongHeShouYiZiChanFuZhaiBiaoXiangMu" label="其他综合收益（资产负债表项目）" mulRef="_GBC_7be010b1a07f4048a3805d40208ccda4" unitRef="_GBC_ecd35f8ce6f84d6f8ad30e1e244c15ff" addr="T1R77C2S1_1" formatStyle="Comma">
          <m:axisValue occRef="母公司"/>
        </m:item>
        <m:item xlName="_GBC_b09e7b015b8f4ccf8c48a74821982c02" concept="clcid-pte:QiTaZongHeShouYiZiChanFuZhaiBiaoXiangMu" label="其他综合收益（资产负债表项目）" periodRef="上年期末数" mulRef="_GBC_7be010b1a07f4048a3805d40208ccda4" unitRef="_GBC_ecd35f8ce6f84d6f8ad30e1e244c15ff" addr="T1R77C3S1_1" formatStyle="Comma">
          <m:axisValue occRef="母公司"/>
        </m:item>
        <m:placeholder xlName="_PLD_485864b6f1a24685a2635ee51b952005" addr="T1R78C0S1_1"/>
        <m:item xlName="_GBC_c515bcba9355449aafe05c1ff561315d" concept="clcid-ci-ar:FuZhu_ZhuanXiangChuBei" label="附注_专项储备" addr="T1R78C1S1_1">
          <m:axisValue occRef="母公司"/>
        </m:item>
        <m:item xlName="_GBC_4063f6b972c94ff9ab4f88c7b97bdcc2" concept="clcid-pte:ZhuanXiangChuBei" label="专项储备" mulRef="_GBC_7be010b1a07f4048a3805d40208ccda4" unitRef="_GBC_ecd35f8ce6f84d6f8ad30e1e244c15ff" addr="T1R78C2S1_1" formatStyle="Comma">
          <m:axisValue occRef="母公司"/>
        </m:item>
        <m:item xlName="_GBC_953cd77147f8487fa4b888671faae8b2" concept="clcid-pte:ZhuanXiangChuBei" label="专项储备" periodRef="上年期末数" mulRef="_GBC_7be010b1a07f4048a3805d40208ccda4" unitRef="_GBC_ecd35f8ce6f84d6f8ad30e1e244c15ff" addr="T1R78C3S1_1" formatStyle="Comma">
          <m:axisValue occRef="母公司"/>
        </m:item>
        <m:placeholder xlName="_PLD_81d459a1820947dd8bb91df8e71c615b" addr="T1R79C0S1_1"/>
        <m:item xlName="_GBC_860a9f80abe444fa8475460532449a25" concept="clcid-ci-ar:FuZhu_YingYuGongJi" label="附注_盈余公积" addr="T1R79C1S1_1">
          <m:axisValue occRef="母公司"/>
        </m:item>
        <m:item xlName="_GBC_e2337bfe8cc84bd784fea3e4a4a15d42" concept="clcid-pte:YingYuGongJi" label="盈余公积" mulRef="_GBC_7be010b1a07f4048a3805d40208ccda4" unitRef="_GBC_ecd35f8ce6f84d6f8ad30e1e244c15ff" addr="T1R79C2S1_1" formatStyle="Comma">
          <m:axisValue occRef="母公司"/>
        </m:item>
        <m:item xlName="_GBC_9414241703774580b1b23d7ddf9dfbc7" concept="clcid-pte:YingYuGongJi" label="盈余公积" periodRef="上年期末数" mulRef="_GBC_7be010b1a07f4048a3805d40208ccda4" unitRef="_GBC_ecd35f8ce6f84d6f8ad30e1e244c15ff" addr="T1R79C3S1_1" formatStyle="Comma">
          <m:axisValue occRef="母公司"/>
        </m:item>
        <m:placeholder xlName="_PLD_9bf3fa2bf87240889853d8e32c117a77" addr="T1R80C0S1_1"/>
        <m:item xlName="_GBC_66b2889187604285aba7751b5cdca472" concept="clcid-ci-ar:FuZhu_WeiFenPeiLiRun" label="附注_未分配利润" addr="T1R80C1S1_1">
          <m:axisValue occRef="母公司"/>
        </m:item>
        <m:item xlName="_GBC_315d5da91ce54ae896477d891b05b230" concept="clcid-pte:WeiFenPeiLiRun" label="未分配利润" mulRef="_GBC_7be010b1a07f4048a3805d40208ccda4" unitRef="_GBC_ecd35f8ce6f84d6f8ad30e1e244c15ff" addr="T1R80C2S1_1" formatStyle="Comma">
          <m:axisValue occRef="母公司"/>
        </m:item>
        <m:item xlName="_GBC_6b178ba756c64b0ca74aa675cbcd3ee4" concept="clcid-pte:WeiFenPeiLiRun" label="未分配利润" periodRef="上年期末数" mulRef="_GBC_7be010b1a07f4048a3805d40208ccda4" unitRef="_GBC_ecd35f8ce6f84d6f8ad30e1e244c15ff" addr="T1R80C3S1_1" formatStyle="Comma">
          <m:axisValue occRef="母公司"/>
        </m:item>
        <m:placeholder xlName="_PLD_a8e701b7d2f8447c8bb34870babce384" addr="T1R81C0S1_1"/>
        <m:item xlName="_GBC_3e00e6f698ec418289b6e0e06399a44a" concept="clcid-ci-ar:FuZhu_GuDongQuanYiHeJi" label="附注_股东权益合计" addr="T1R81C1S1_1">
          <m:axisValue occRef="母公司"/>
        </m:item>
        <m:item xlName="_GBC_a0c6b1a1f9ca43bdb76c3097b24f74b8" concept="clcid-pte:GuDongQuanYiHeJi" label="股东权益合计" mulRef="_GBC_7be010b1a07f4048a3805d40208ccda4" unitRef="_GBC_ecd35f8ce6f84d6f8ad30e1e244c15ff" addr="T1R81C2S1_1" formatStyle="Comma">
          <m:complexRule comparator="Eq" title="母公司股东权益合计" test=" $_GBC_a27a847b75484abca7a8040317518381 +  $_GBC_942ff51010ea4bc38f5b8b2a074c05c3 +  $_GBC_a11ec38a7d974c83af7c5acc62c76725 -  $_GBC_680116aa994647068508157837c0af94 +  $_GBC_d8c60b6c95e2494ba06a3a273bb2c106 +  $_GBC_4063f6b972c94ff9ab4f88c7b97bdcc2 +  $_GBC_e2337bfe8cc84bd784fea3e4a4a15d42 +  $_GBC_315d5da91ce54ae896477d891b05b230" id="C49c4feb0d690481db53e8c13f7d2a895"/>
          <m:axisValue occRef="母公司"/>
        </m:item>
        <m:item xlName="_GBC_6e584df3109a4f949d05ab19de0c8772" concept="clcid-pte:GuDongQuanYiHeJi" label="股东权益合计" periodRef="上年期末数" mulRef="_GBC_7be010b1a07f4048a3805d40208ccda4" unitRef="_GBC_ecd35f8ce6f84d6f8ad30e1e244c15ff" addr="T1R81C3S1_1" formatStyle="Comma">
          <m:complexRule comparator="Eq" title="母公司股东权益合计@上年期末数" test=" $_GBC_e4941b3f1eb0497c9ee1ce1c924158e9 +  $_GBC_cad33397f92e48d88cd5f056219af782 +  $_GBC_3f84526a366544c0893deb16b4317e96 -  $_GBC_8c50494ac90048ddaaa34e553ca08339 +  $_GBC_b09e7b015b8f4ccf8c48a74821982c02 +  $_GBC_953cd77147f8487fa4b888671faae8b2 +  $_GBC_9414241703774580b1b23d7ddf9dfbc7 +  $_GBC_6b178ba756c64b0ca74aa675cbcd3ee4" id="C2f188095034447bfa53d379f7c8a4ac6"/>
          <m:axisValue occRef="母公司"/>
        </m:item>
        <m:placeholder xlName="_PLD_448d7a5f1f6c488cb5525aa8d0d88441" addr="T1R82C0S1_1"/>
        <m:item xlName="_GBC_586551fd136d4cfc85c294ffa47b3c29" concept="clcid-ci-ar:FuZhu_FuZhaiHeGuDongQuanYiHeJi" label="附注_负债和股东权益合计" addr="T1R82C1S1_1">
          <m:axisValue occRef="母公司"/>
        </m:item>
        <m:item xlName="_GBC_b612d1ae0baf48518139b0bc71753075" concept="clcid-pte:FuZhaiHeGuDongQuanYiHeJi" label="负债和股东权益合计" mulRef="_GBC_7be010b1a07f4048a3805d40208ccda4" unitRef="_GBC_ecd35f8ce6f84d6f8ad30e1e244c15ff" addr="T1R82C2S1_1" formatStyle="Comma">
          <m:complexRule comparator="Eq" title="合并报表_期末_负债和所有者权益总计" test=" $_GBC_b2b45c6778a74e739ba9c519f94f8ed6 +  $_GBC_a0c6b1a1f9ca43bdb76c3097b24f74b8" id="C7ddb0c414f3e423ba2d7d7b102ae5da5"/>
          <m:axisValue occRef="母公司"/>
        </m:item>
        <m:item xlName="_GBC_fa78ecb4ed904e5e9f53bd81b23ac1bc" concept="clcid-pte:FuZhaiHeGuDongQuanYiHeJi" label="负债和股东权益合计" periodRef="上年期末数" mulRef="_GBC_7be010b1a07f4048a3805d40208ccda4" unitRef="_GBC_ecd35f8ce6f84d6f8ad30e1e244c15ff" addr="T1R82C3S1_1" formatStyle="Comma">
          <m:complexRule comparator="Eq" title="合并报表_年初_负债和所有者权益总计" test=" $_GBC_d35c2cc5db2942bd86cd412db203f99f +  $_GBC_6e584df3109a4f949d05ab19de0c8772" id="C1125c02ab44f48d48a0c3ed8ea2cc546"/>
          <m:axisValue occRef="母公司"/>
        </m:item>
        <m:item xlName="_GBC_f43f422c96ec4e009c3976ce8e58b778" concept="clcid-mr:GongSiFuZeRenXingMing" label="公司负责人姓名" binding="true"/>
        <m:item xlName="_GBC_3ac751c8378d4424bbdf4c74057683d9" concept="clcid-mr:ZhuGuanKuaiJiGongZuoFuZeRenXingMing" label="主管会计工作负责人姓名" binding="true"/>
        <m:item xlName="_GBC_182ff185180a4ea4b9c93bbd4b01de2c" concept="clcid-mr:KuaiJiJiGouFuZeRenXingMing" label="会计机构负责人姓名" binding="true"/>
        <m:rowModel locationConcept="clcid-ci-ar:ZiDingYiKeMuWeiZhi" labelConcept="clcid-ci-ar:ZiDingYiKeMuMingCheng" conceptPrefix="母公司资产负债表" presentationRole="http://www.xbrl-cn.org/cn/lcid/lr/role/BalanceSheetforCommercialandIndustrialCompanies" presentationParentConcept="clcid-pte:ZiChanFuZhaiBiao" tuplePrefix="项目"/>
      </m:region>
    </m:section>
    <m:section xlName="_GBC_1503eb297d3448c582e8e9dc7031b2c7" title="无需编制合并报表" checkKey="!合并" helpId="112001001" helpText="若2021年首次执行新会计准则调整首次执行当年年初财务报表相关项目的，则2020年12月31日列按照旧会计准则涉及科目填写；若首次执行新会计准则追溯调整前期比较数据的，则2020年12月31日列按照新会计准则涉及科目填写。若存在其他特殊情况的，请按照新会计准则的要求进行披露。由于上市公司开始执行新收入准则、新租赁准则的时间不同，请根据本企业实际执行情况进行填写。" primarySection="_GBC_f3d43b26b5d34a4c88db3cb7d81650cc" optionText="无需编制合并报表" optionGroupTitle="是否需要合并报表" optionTargetConcept="clcid-ci-ar:ShiFouXuYaoHeBingBaoBiao" optionTargetConceptValue="false" keyAction="57">
      <m:item xlName="_GBC_ca007c517fec4710928b9ee43c847e8b" concept="clcid-cgi:GongSiFaDingZhongWenMingCheng" label="公司法定中文名称" binding="true"/>
      <m:item xlName="_GBC_93410f9f0f51403686d6c566dbb4be50" concept="clcid-ci-ar:DanWeiMuGongSiZiChanFuZhaiBiao" label="单位：母公司资产负债表" selectOptions="_buildInScales" controlType="Combobox" cellType="Scale"/>
      <m:item xlName="_GBC_03019b8a6970478d9879831b9f35ad89" concept="clcid-ci-ar:BiZhongMuGongSiZiChanFuZhaiBiao" label="币种：母公司资产负债表" selectOptions="_buildInISO4217" controlType="Combobox" cellType="Measure"/>
      <m:placeholder xlName="_PLD_ad8299a6c3f642fbbc16dc72f9c49e28" addr="T0R0C0S1_1"/>
      <m:placeholder xlName="_PLD_51b18d94be67483ea556e16aad563288" addr="T0R0C1S1_1"/>
      <m:placeholder xlName="_PLD_816b8be63abc41dcb7fd2dca77d7199f" addr="T0R0C2S1_1"/>
      <m:placeholder xlName="_PLD_1c56c975edc141cf913c937d9078e84a" addr="T0R0C3S1_1"/>
      <m:placeholder xlName="_PLD_ecdb66c3e3c94250b7b78dc968a6598f" addr="T0R1C0S1_1"/>
      <m:placeholder xlName="_PLD_5afd81315c45457d9bb0993ef98cb75a" addr="T0R2C0S1_1"/>
      <m:item xlName="_GBC_9e9d25c9008e4275b1e68f05b21b24b8" concept="clcid-ci-ar:FuZhu_HuoBiZiJin" label="附注_货币资金" addr="T0R2C1S1_1"/>
      <m:item xlName="_GBC_bbcd3bbbdd86484dbe4e90825ffe9bce" concept="clcid-pte:HuoBiZiJin" label="货币资金" mulRef="_GBC_93410f9f0f51403686d6c566dbb4be50" unitRef="_GBC_03019b8a6970478d9879831b9f35ad89" addr="T0R2C2S1_1" formatStyle="Comma"/>
      <m:item xlName="_GBC_f7332f1a5409490f9a2177908d4cae0c" concept="clcid-pte:HuoBiZiJin" label="货币资金" periodRef="上年期末数" mulRef="_GBC_93410f9f0f51403686d6c566dbb4be50" unitRef="_GBC_03019b8a6970478d9879831b9f35ad89" addr="T0R2C3S1_1" formatStyle="Comma"/>
      <m:placeholder xlName="_PLD_0aad984f2da4436fb5adc8f9032e7d1d" addr="T0R3C0S1_1"/>
      <m:item xlName="_GBC_c6c9cb16bd9b488986efe462af454ef5" concept="clcid-ci-ar:FuZhu_JiaoYiXingJinRongZiChan" label="附注_交易性金融资产" addr="T0R3C1S1_1"/>
      <m:item xlName="_GBC_0c6797454c5841a28436be15a2d6eefc" concept="clcid-pte:JiaoYiXingJinRongZiChan" label="交易性金融资产" mulRef="_GBC_93410f9f0f51403686d6c566dbb4be50" unitRef="_GBC_03019b8a6970478d9879831b9f35ad89" addr="T0R3C2S1_1" formatStyle="Comma"/>
      <m:item xlName="_GBC_5ea490aba0b84343ab26285b479fdf4a" concept="clcid-pte:JiaoYiXingJinRongZiChan" label="交易性金融资产" periodRef="上年期末数" mulRef="_GBC_93410f9f0f51403686d6c566dbb4be50" unitRef="_GBC_03019b8a6970478d9879831b9f35ad89" addr="T0R3C3S1_1" formatStyle="Comma"/>
      <m:placeholder xlName="_PLD_69c1a88592ca44e08673a2b0edd192be" addr="T0R4C0S1_1"/>
      <m:item xlName="_GBC_e11486669b8c4777bc02ff0a9b829dca" concept="clcid-ci-ar:FuZhuYanShengJinRongZiChan" label="附注_衍生金融资产" addr="T0R4C1S1_1"/>
      <m:item xlName="_GBC_5201c809b8e44e04b2b1e2ac95443039" concept="clcid-pte:YanShengJinRongZiChan" label="衍生金融资产" mulRef="_GBC_93410f9f0f51403686d6c566dbb4be50" unitRef="_GBC_03019b8a6970478d9879831b9f35ad89" addr="T0R4C2S1_1" formatStyle="Comma"/>
      <m:item xlName="_GBC_f96ff7b662c0480aa18309b71c233bef" concept="clcid-pte:YanShengJinRongZiChan" label="衍生金融资产" periodRef="上年期末数" mulRef="_GBC_93410f9f0f51403686d6c566dbb4be50" unitRef="_GBC_03019b8a6970478d9879831b9f35ad89" addr="T0R4C3S1_1" formatStyle="Comma"/>
      <m:placeholder xlName="_PLD_730e85442aef4d2dbbedb7e41f5d610e" addr="T0R5C0S1_1"/>
      <m:item xlName="_GBC_3fff111bb44d458482b18f881a6c0c4a" concept="clcid-ci-ar:FuZhu_YingShouPiaoJu" label="附注_应收票据" addr="T0R5C1S1_1"/>
      <m:item xlName="_GBC_10ab8ca5725e483d99a8bc077ca37cfa" concept="clcid-pte:YingShouPiaoJu" label="应收票据" mulRef="_GBC_93410f9f0f51403686d6c566dbb4be50" unitRef="_GBC_03019b8a6970478d9879831b9f35ad89" addr="T0R5C2S1_1" formatStyle="Comma"/>
      <m:item xlName="_GBC_e1306ae244a54bc1bbb957d82e6c977a" concept="clcid-pte:YingShouPiaoJu" label="应收票据" periodRef="上年期末数" mulRef="_GBC_93410f9f0f51403686d6c566dbb4be50" unitRef="_GBC_03019b8a6970478d9879831b9f35ad89" addr="T0R5C3S1_1" formatStyle="Comma"/>
      <m:placeholder xlName="_PLD_4840ce9a702341d8a8bcaeb1f3e31580" addr="T0R6C0S1_1"/>
      <m:item xlName="_GBC_17a298e658004f1f87367c553f5abbad" concept="clcid-ci-ar:FuZhu_YingShouZhangKuan" label="附注_应收帐款" addr="T0R6C1S1_1"/>
      <m:item xlName="_GBC_f098b4dfa18a4de7b1db8e3a8930a7bd" concept="clcid-pte:YingShouZhangKuan" label="应收帐款" mulRef="_GBC_93410f9f0f51403686d6c566dbb4be50" unitRef="_GBC_03019b8a6970478d9879831b9f35ad89" addr="T0R6C2S1_1" formatStyle="Comma"/>
      <m:item xlName="_GBC_bc660306b309469e9aa26408159d3ce5" concept="clcid-pte:YingShouZhangKuan" label="应收帐款" periodRef="上年期末数" mulRef="_GBC_93410f9f0f51403686d6c566dbb4be50" unitRef="_GBC_03019b8a6970478d9879831b9f35ad89" addr="T0R6C3S1_1" formatStyle="Comma"/>
      <m:placeholder xlName="_PLD_437ba7095bc141328a9a1e02221f345a" addr="T0R7C0S1_1"/>
      <m:item xlName="_GBC_4353a0bf0227440e81e276a22e4927ee" concept="clcid-ci-ar:FuZhu_YingShouKuanXiangRongZi" label="附注_应收款项融资" addr="T0R7C1S1_1"/>
      <m:item xlName="_GBC_c5cc463dc34c4993b1571dcfeea86147" concept="clcid-pte:YingShouKuanXiangRongZi" label="应收款项融资" mulRef="_GBC_93410f9f0f51403686d6c566dbb4be50" unitRef="_GBC_03019b8a6970478d9879831b9f35ad89" addr="T0R7C2S1_1" formatStyle="Comma"/>
      <m:item xlName="_GBC_9814cbd95d42470e8cf661e496b709bc" concept="clcid-pte:YingShouKuanXiangRongZi" label="应收款项融资" periodRef="上年期末数" mulRef="_GBC_93410f9f0f51403686d6c566dbb4be50" unitRef="_GBC_03019b8a6970478d9879831b9f35ad89" addr="T0R7C3S1_1" formatStyle="Comma"/>
      <m:placeholder xlName="_PLD_117fd594bb554978aa1d00ede5bbc1d6" addr="T0R8C0S1_1"/>
      <m:item xlName="_GBC_16ff432abf1f444ea9287aa7a55f6208" concept="clcid-ci-ar:FuZhu_YuFuZhangKuan" label="附注_预付帐款" addr="T0R8C1S1_1"/>
      <m:item xlName="_GBC_99e272dcf7994b21abeccc187129320e" concept="clcid-pte:YuFuZhangKuan" label="预付帐款" mulRef="_GBC_93410f9f0f51403686d6c566dbb4be50" unitRef="_GBC_03019b8a6970478d9879831b9f35ad89" addr="T0R8C2S1_1" formatStyle="Comma"/>
      <m:item xlName="_GBC_72a40a0098ff4f2eb37b04c596b34e8b" concept="clcid-pte:YuFuZhangKuan" label="预付帐款" periodRef="上年期末数" mulRef="_GBC_93410f9f0f51403686d6c566dbb4be50" unitRef="_GBC_03019b8a6970478d9879831b9f35ad89" addr="T0R8C3S1_1" formatStyle="Comma"/>
      <m:placeholder xlName="_PLD_370f0f7a969941d29a8a24a015de6ae5" addr="T0R9C0S1_1"/>
      <m:item xlName="_GBC_660d9c68830449d4a6748fc050a25b92" concept="clcid-ci-ar:FuZhu_QiTaYingShouKuan" label="附注_其他应收款" addr="T0R9C1S1_1"/>
      <m:item xlName="_GBC_3b4305bd146a4674add665c471407ea8" concept="clcid-pte:QiTaYingShouKuan" label="其他应收款" mulRef="_GBC_93410f9f0f51403686d6c566dbb4be50" unitRef="_GBC_03019b8a6970478d9879831b9f35ad89" addr="T0R9C2S1_1" formatStyle="Comma"/>
      <m:item xlName="_GBC_bd347cd78dce419eb130001b30196010" concept="clcid-pte:QiTaYingShouKuan" label="其他应收款" periodRef="上年期末数" mulRef="_GBC_93410f9f0f51403686d6c566dbb4be50" unitRef="_GBC_03019b8a6970478d9879831b9f35ad89" addr="T0R9C3S1_1" formatStyle="Comma"/>
      <m:placeholder xlName="_PLD_047ad47d5c4846088c27c90f03f73892" addr="T0R10C0S1_1"/>
      <m:item xlName="_GBC_2e60489ead734a18960957f197dce2f5" concept="clcid-ci-ar:FuZhu_YingShouLiXi" label="附注_应收利息" addr="T0R10C1S1_1"/>
      <m:item xlName="_GBC_a1c713dd8fc24490ad041e17d7345e95" concept="clcid-pte:YingShouLiXi" label="应收利息" mulRef="_GBC_93410f9f0f51403686d6c566dbb4be50" unitRef="_GBC_03019b8a6970478d9879831b9f35ad89" addr="T0R10C2S1_1" formatStyle="Comma"/>
      <m:item xlName="_GBC_3e37bcf50bcc4afa80e3e55acc092399" concept="clcid-pte:YingShouLiXi" label="应收利息" periodRef="上年期末数" mulRef="_GBC_93410f9f0f51403686d6c566dbb4be50" unitRef="_GBC_03019b8a6970478d9879831b9f35ad89" addr="T0R10C3S1_1" formatStyle="Comma"/>
      <m:placeholder xlName="_PLD_c379780bdab04b7789d29b6b3b0f1ea8" addr="T0R11C0S1_1"/>
      <m:item xlName="_GBC_d434b3d0f7aa427683ccd2be4333a9ac" concept="clcid-ci-ar:FuZhu_YingShouGuLi" label="附注_应收股利" addr="T0R11C1S1_1"/>
      <m:item xlName="_GBC_f6d17e75ce3741d683dfab3766ae7e8e" concept="clcid-pte:YingShouGuLi" label="应收股利" mulRef="_GBC_93410f9f0f51403686d6c566dbb4be50" unitRef="_GBC_03019b8a6970478d9879831b9f35ad89" addr="T0R11C2S1_1" formatStyle="Comma"/>
      <m:item xlName="_GBC_7d5fd92ca5804966a843578212f3e095" concept="clcid-pte:YingShouGuLi" label="应收股利" periodRef="上年期末数" mulRef="_GBC_93410f9f0f51403686d6c566dbb4be50" unitRef="_GBC_03019b8a6970478d9879831b9f35ad89" addr="T0R11C3S1_1" formatStyle="Comma"/>
      <m:placeholder xlName="_PLD_4b506cdaf1c0468bae6bcd5fc04d8b5f" addr="T0R12C0S1_1"/>
      <m:item xlName="_GBC_0029dac80d8f4b88aa2ff392b969ab19" concept="clcid-ci-ar:FuZhu_CunHuo" label="附注_存货" addr="T0R12C1S1_1"/>
      <m:item xlName="_GBC_d740bad1ca274261a4abcfb562d1c330" concept="clcid-pte:CunHuo" label="存货" mulRef="_GBC_93410f9f0f51403686d6c566dbb4be50" unitRef="_GBC_03019b8a6970478d9879831b9f35ad89" addr="T0R12C2S1_1" formatStyle="Comma"/>
      <m:item xlName="_GBC_de592d9599ba4a3eb620dc280db29bbc" concept="clcid-pte:CunHuo" label="存货" periodRef="上年期末数" mulRef="_GBC_93410f9f0f51403686d6c566dbb4be50" unitRef="_GBC_03019b8a6970478d9879831b9f35ad89" addr="T0R12C3S1_1" formatStyle="Comma"/>
      <m:placeholder xlName="_PLD_3625d7c3eec84e15b488d7466ec8bbf2" addr="T0R13C0S1_1"/>
      <m:item xlName="_GBC_7dab647be85d44679cb9b49a700198d7" concept="clcid-ci-ar:FuZhu_HeTongZiChan" label="附注_合同资产" addr="T0R13C1S1_1"/>
      <m:item xlName="_GBC_6b145c574cd44db5a0d5313c28cf7095" concept="clcid-pte:HeTongZiChan" label="合同资产" mulRef="_GBC_93410f9f0f51403686d6c566dbb4be50" unitRef="_GBC_03019b8a6970478d9879831b9f35ad89" addr="T0R13C2S1_1" formatStyle="Comma"/>
      <m:item xlName="_GBC_f62f09ebe2234d5e8f39e1f2b0481a11" concept="clcid-pte:HeTongZiChan" label="合同资产" periodRef="上年期末数" mulRef="_GBC_93410f9f0f51403686d6c566dbb4be50" unitRef="_GBC_03019b8a6970478d9879831b9f35ad89" addr="T0R13C3S1_1" formatStyle="Comma"/>
      <m:placeholder xlName="_PLD_eae39802f33b4f23b59243d9367378e4" addr="T0R14C0S1_1"/>
      <m:item xlName="_GBC_48a3c6f3677e4808b20e80cf562ce9e8" concept="clcid-ci-ar:FuZhuHuaFenWeiChiYouDaiShouDeZiChan" label="附注_划分为持有待售的资产" addr="T0R14C1S1_1"/>
      <m:item xlName="_GBC_a28e610c40804133b555daf12c0bb1b4" concept="clcid-pte:HuaFenWeiChiYouDaiShouDeZiChan" label="划分为持有待售的资产" mulRef="_GBC_93410f9f0f51403686d6c566dbb4be50" unitRef="_GBC_03019b8a6970478d9879831b9f35ad89" addr="T0R14C2S1_1" formatStyle="Comma"/>
      <m:item xlName="_GBC_f116f00b86214a20bf65b6ef246bb690" concept="clcid-pte:HuaFenWeiChiYouDaiShouDeZiChan" label="划分为持有待售的资产" periodRef="上年期末数" mulRef="_GBC_93410f9f0f51403686d6c566dbb4be50" unitRef="_GBC_03019b8a6970478d9879831b9f35ad89" addr="T0R14C3S1_1" formatStyle="Comma"/>
      <m:placeholder xlName="_PLD_6bf51957d1c04743a2b494a3fb4a444a" addr="T0R15C0S1_1"/>
      <m:item xlName="_GBC_bfff563462dd43d3b44d846beb27a7f5" concept="clcid-ci-ar:FuZhu_YiNianNeiDaoQiDeFeiLiuDongZiChan" label="附注_一年内到期的非流动资产" addr="T0R15C1S1_1"/>
      <m:item xlName="_GBC_f44ee470f7d646b293d3f59aa862b85f" concept="clcid-pte:YiNianNeiDaoQiDeFeiLiuDongZiChan" label="一年内到期的非流动资产" mulRef="_GBC_93410f9f0f51403686d6c566dbb4be50" unitRef="_GBC_03019b8a6970478d9879831b9f35ad89" addr="T0R15C2S1_1" formatStyle="Comma"/>
      <m:item xlName="_GBC_15b8913d408240fa8c9ceee871f8a120" concept="clcid-pte:YiNianNeiDaoQiDeFeiLiuDongZiChan" label="一年内到期的非流动资产" periodRef="上年期末数" mulRef="_GBC_93410f9f0f51403686d6c566dbb4be50" unitRef="_GBC_03019b8a6970478d9879831b9f35ad89" addr="T0R15C3S1_1" formatStyle="Comma"/>
      <m:placeholder xlName="_PLD_894b91b39a604c66b255d96562a2b9d0" addr="T0R16C0S1_1"/>
      <m:item xlName="_GBC_5c7986fba9c1429f9e4cf109bc8c0eae" concept="clcid-ci-ar:FuZhu_QiTaLiuDongZiChan" label="附注_其他流动资产" addr="T0R16C1S1_1"/>
      <m:item xlName="_GBC_feb8885b283a4605810066220ee67505" concept="clcid-pte:QiTaLiuDongZiChan" label="其他流动资产" mulRef="_GBC_93410f9f0f51403686d6c566dbb4be50" unitRef="_GBC_03019b8a6970478d9879831b9f35ad89" addr="T0R16C2S1_1" formatStyle="Comma"/>
      <m:item xlName="_GBC_4b400be56b334a2cbb6dc280415d53cd" concept="clcid-pte:QiTaLiuDongZiChan" label="其他流动资产" periodRef="上年期末数" mulRef="_GBC_93410f9f0f51403686d6c566dbb4be50" unitRef="_GBC_03019b8a6970478d9879831b9f35ad89" addr="T0R16C3S1_1" formatStyle="Comma"/>
      <m:placeholder xlName="_PLD_154ec55ee4194ede881f7c7bea33c838" addr="T0R17C0S1_1"/>
      <m:item xlName="_GBC_b1baea6c828c4f569da5aa74a700ab0c" concept="clcid-ci-ar:FuZhu_LiuDongZiChanHeJi" label="附注_流动资产合计" addr="T0R17C1S1_1"/>
      <m:item xlName="_GBC_516d50f45d9f4f0fb1b4538041ad4475" concept="clcid-pte:LiuDongZiChanHeJi" label="流动资产合计" mulRef="_GBC_93410f9f0f51403686d6c566dbb4be50" unitRef="_GBC_03019b8a6970478d9879831b9f35ad89" addr="T0R17C2S1_1" formatStyle="Comma">
        <m:complexRule comparator="Eq" title="流动资产合计" test=" $_GBC_bbcd3bbbdd86484dbe4e90825ffe9bce +  $_GBC_0c6797454c5841a28436be15a2d6eefc +  $_GBC_5201c809b8e44e04b2b1e2ac95443039 +  $_GBC_10ab8ca5725e483d99a8bc077ca37cfa +  $_GBC_f098b4dfa18a4de7b1db8e3a8930a7bd +  $_GBC_c5cc463dc34c4993b1571dcfeea86147 +  $_GBC_99e272dcf7994b21abeccc187129320e +  $_GBC_3b4305bd146a4674add665c471407ea8 +  $_GBC_d740bad1ca274261a4abcfb562d1c330 +  $_GBC_6b145c574cd44db5a0d5313c28cf7095 +  $_GBC_a28e610c40804133b555daf12c0bb1b4 +  $_GBC_f44ee470f7d646b293d3f59aa862b85f +  $_GBC_feb8885b283a4605810066220ee67505" id="Cf44d13bb963b4d369dd16673e3e09b52"/>
      </m:item>
      <m:item xlName="_GBC_50074caf619a40879672e3176a59e6fa" concept="clcid-pte:LiuDongZiChanHeJi" label="流动资产合计" periodRef="上年期末数" mulRef="_GBC_93410f9f0f51403686d6c566dbb4be50" unitRef="_GBC_03019b8a6970478d9879831b9f35ad89" addr="T0R17C3S1_1" formatStyle="Comma">
        <m:complexRule comparator="Eq" title="流动资产合计@上年期末数" test=" $_GBC_f7332f1a5409490f9a2177908d4cae0c +  $_GBC_5ea490aba0b84343ab26285b479fdf4a +  $_GBC_f96ff7b662c0480aa18309b71c233bef +  $_GBC_e1306ae244a54bc1bbb957d82e6c977a +  $_GBC_bc660306b309469e9aa26408159d3ce5 +  $_GBC_9814cbd95d42470e8cf661e496b709bc +  $_GBC_72a40a0098ff4f2eb37b04c596b34e8b +  $_GBC_bd347cd78dce419eb130001b30196010 +  $_GBC_de592d9599ba4a3eb620dc280db29bbc +  $_GBC_f62f09ebe2234d5e8f39e1f2b0481a11 +  $_GBC_f116f00b86214a20bf65b6ef246bb690 +  $_GBC_15b8913d408240fa8c9ceee871f8a120 +  $_GBC_4b400be56b334a2cbb6dc280415d53cd" id="C99747898097249d78dfda1a2118498fc"/>
      </m:item>
      <m:placeholder xlName="_PLD_3e163770d3d54684a90d1dc1f6649873" addr="T0R18C0S1_1"/>
      <m:placeholder xlName="_PLD_8fe69f7e0c214f46a06cdb8f3278db14" addr="T0R19C0S1_1"/>
      <m:item xlName="_GBC_a7ad6ba85e224284ae86b521f90b1dec" concept="clcid-ci-ar:FuZhu_ZhaiQuanTouZi" label="附注_债权投资" addr="T0R19C1S1_1"/>
      <m:item xlName="_GBC_c8e34156f04c4c349d161466b21d6a6a" concept="clcid-pte:ZhaiQuanTouZi" label="债权投资" mulRef="_GBC_93410f9f0f51403686d6c566dbb4be50" unitRef="_GBC_03019b8a6970478d9879831b9f35ad89" addr="T0R19C2S1_1" formatStyle="Comma"/>
      <m:item xlName="_GBC_36f13d491e7e49c5bc0cca8a7d26bf6e" concept="clcid-pte:ZhaiQuanTouZi" label="债权投资" periodRef="上年期末数" mulRef="_GBC_93410f9f0f51403686d6c566dbb4be50" unitRef="_GBC_03019b8a6970478d9879831b9f35ad89" addr="T0R19C3S1_1" formatStyle="Comma"/>
      <m:placeholder xlName="_PLD_69872a2523d54f909ada3ebc7beaeaf2" addr="T0R20C0S1_1"/>
      <m:item xlName="_GBC_eb1a21fcbdef4949a2c5d701393f282f" concept="clcid-ci-ar:FuZhu_QiTaZhaiQuanTouZi" label="附注_其他债权投资" addr="T0R20C1S1_1"/>
      <m:item xlName="_GBC_22882acdf4aa4e5b8a9314713ccc9fdb" concept="clcid-pte:QiTaZhaiQuanTouZi" label="其他债权投资" mulRef="_GBC_93410f9f0f51403686d6c566dbb4be50" unitRef="_GBC_03019b8a6970478d9879831b9f35ad89" addr="T0R20C2S1_1" formatStyle="Comma"/>
      <m:item xlName="_GBC_f4a13160f41648b7a2c0a19ddcd2de61" concept="clcid-pte:QiTaZhaiQuanTouZi" label="其他债权投资" periodRef="上年期末数" mulRef="_GBC_93410f9f0f51403686d6c566dbb4be50" unitRef="_GBC_03019b8a6970478d9879831b9f35ad89" addr="T0R20C3S1_1" formatStyle="Comma"/>
      <m:placeholder xlName="_PLD_e0e7120129044c6dabb5a07c9ed5c4c9" addr="T0R21C0S1_1"/>
      <m:item xlName="_GBC_e81bd1b9269c4e9a8a0a55a289b74cd4" concept="clcid-ci-ar:FuZhu_ChangQiYingShouKuan" label="附注_长期应收款" addr="T0R21C1S1_1"/>
      <m:item xlName="_GBC_103e51eaae524881a1673fee9ead9f85" concept="clcid-pte:ChangQiYingShouKuan" label="长期应收款" mulRef="_GBC_93410f9f0f51403686d6c566dbb4be50" unitRef="_GBC_03019b8a6970478d9879831b9f35ad89" addr="T0R21C2S1_1" formatStyle="Comma"/>
      <m:item xlName="_GBC_6f9f71ce970c41b799a56256118e1a59" concept="clcid-pte:ChangQiYingShouKuan" label="长期应收款" periodRef="上年期末数" mulRef="_GBC_93410f9f0f51403686d6c566dbb4be50" unitRef="_GBC_03019b8a6970478d9879831b9f35ad89" addr="T0R21C3S1_1" formatStyle="Comma"/>
      <m:placeholder xlName="_PLD_e72149c309b34cd38581ff1282b11ab3" addr="T0R22C0S1_1"/>
      <m:item xlName="_GBC_cd864c95308e44c2aa8cbc5a9c7ec2d7" concept="clcid-ci-ar:FuZhu_ChangQiGuQuanTouZi" label="附注_长期股权投资" addr="T0R22C1S1_1"/>
      <m:item xlName="_GBC_1c123ff1753548a1bc108722726063c4" concept="clcid-pte:ChangQiGuQuanTouZi" label="长期股权投资" mulRef="_GBC_93410f9f0f51403686d6c566dbb4be50" unitRef="_GBC_03019b8a6970478d9879831b9f35ad89" addr="T0R22C2S1_1" formatStyle="Comma"/>
      <m:item xlName="_GBC_1039070d835344fb9acf8bb51a9b4b20" concept="clcid-pte:ChangQiGuQuanTouZi" label="长期股权投资" periodRef="上年期末数" mulRef="_GBC_93410f9f0f51403686d6c566dbb4be50" unitRef="_GBC_03019b8a6970478d9879831b9f35ad89" addr="T0R22C3S1_1" formatStyle="Comma"/>
      <m:placeholder xlName="_PLD_61559ead0e0a4fe4813ad5eb44e4c8dd" addr="T0R23C0S1_1"/>
      <m:item xlName="_GBC_5d0c5d9785e446158c6fa3444e6e6362" concept="clcid-ci-ar:FuZhu_QiTaQuanYiGongJuTouZi" label="附注_其他权益工具投资" addr="T0R23C1S1_1"/>
      <m:item xlName="_GBC_8379668b5ee14ef7a442d4d2a8579ec4" concept="clcid-pte:QiTaQuanYiGongJuTouZi" label="其他权益工具投资" mulRef="_GBC_93410f9f0f51403686d6c566dbb4be50" unitRef="_GBC_03019b8a6970478d9879831b9f35ad89" addr="T0R23C2S1_1" formatStyle="Comma"/>
      <m:item xlName="_GBC_f5709095127c4067ba9ac99bb97aa74f" concept="clcid-pte:QiTaQuanYiGongJuTouZi" label="其他权益工具投资" periodRef="上年期末数" mulRef="_GBC_93410f9f0f51403686d6c566dbb4be50" unitRef="_GBC_03019b8a6970478d9879831b9f35ad89" addr="T0R23C3S1_1" formatStyle="Comma"/>
      <m:placeholder xlName="_PLD_aead8e218acd4e709d879cfac2b90fa7" addr="T0R24C0S1_1"/>
      <m:item xlName="_GBC_68c8664839644f15b7be2b2c309c6b20" concept="clcid-ci-ar:FuZhu_QiTaFeiLiuDongJinRongZiChan" label="附注_其他非流动金融资产" addr="T0R24C1S1_1"/>
      <m:item xlName="_GBC_5313bbe4093647f8ae9660e1fd35bf93" concept="clcid-pte:QiTaFeiLiuDongJinRongZiChan" label="其他非流动金融资产" mulRef="_GBC_93410f9f0f51403686d6c566dbb4be50" unitRef="_GBC_03019b8a6970478d9879831b9f35ad89" addr="T0R24C2S1_1" formatStyle="Comma"/>
      <m:item xlName="_GBC_c2b4539617964e79ab0a6093649ce5bd" concept="clcid-pte:QiTaFeiLiuDongJinRongZiChan" label="其他非流动金融资产" periodRef="上年期末数" mulRef="_GBC_93410f9f0f51403686d6c566dbb4be50" unitRef="_GBC_03019b8a6970478d9879831b9f35ad89" addr="T0R24C3S1_1" formatStyle="Comma"/>
      <m:placeholder xlName="_PLD_daeede39cc4846e5a82bf4181e14ffc3" addr="T0R25C0S1_1"/>
      <m:item xlName="_GBC_0ea835db729044afbd303c3af068bd2a" concept="clcid-ci-ar:FuZhu_TouZiXingFangDiChan" label="附注_投资性房地产" addr="T0R25C1S1_1"/>
      <m:item xlName="_GBC_e164b90d5267410495f26b3b6f6cdb1f" concept="clcid-pte:TouZiXingFangDiChan" label="投资性房地产" mulRef="_GBC_93410f9f0f51403686d6c566dbb4be50" unitRef="_GBC_03019b8a6970478d9879831b9f35ad89" addr="T0R25C2S1_1" formatStyle="Comma"/>
      <m:item xlName="_GBC_2751c53ed92243088a91013d385ab568" concept="clcid-pte:TouZiXingFangDiChan" label="投资性房地产" periodRef="上年期末数" mulRef="_GBC_93410f9f0f51403686d6c566dbb4be50" unitRef="_GBC_03019b8a6970478d9879831b9f35ad89" addr="T0R25C3S1_1" formatStyle="Comma"/>
      <m:placeholder xlName="_PLD_b76a2a0330c8400cb7ee73b87bb86540" addr="T0R26C0S1_1"/>
      <m:item xlName="_GBC_2263d4ec500f48e98bb7c6ea4af7a7fb" concept="clcid-ci-ar:FuZhu_GuDingZiChanJingE" label="附注_固定资产净额" addr="T0R26C1S1_1"/>
      <m:item xlName="_GBC_20f7f21852b1438c97fd7f32b76f31c0" concept="clcid-pte:GuDingZiChanJingE" label="固定资产净额" mulRef="_GBC_93410f9f0f51403686d6c566dbb4be50" unitRef="_GBC_03019b8a6970478d9879831b9f35ad89" addr="T0R26C2S1_1" formatStyle="Comma"/>
      <m:item xlName="_GBC_77b700a24d94493f9a59794526620e64" concept="clcid-pte:GuDingZiChanJingE" label="固定资产净额" periodRef="上年期末数" mulRef="_GBC_93410f9f0f51403686d6c566dbb4be50" unitRef="_GBC_03019b8a6970478d9879831b9f35ad89" addr="T0R26C3S1_1" formatStyle="Comma"/>
      <m:placeholder xlName="_PLD_a974ca898a914fb2aa3e3bfad12a8c57" addr="T0R27C0S1_1"/>
      <m:item xlName="_GBC_542a7795bde445d68e53c31d7b83c48c" concept="clcid-ci-ar:FuZhu_ZaiJianGongCheng" label="附注_在建工程" addr="T0R27C1S1_1"/>
      <m:item xlName="_GBC_d662f1fadf114902afc0c6c7867e5f56" concept="clcid-pte:ZaiJianGongCheng" label="在建工程" mulRef="_GBC_93410f9f0f51403686d6c566dbb4be50" unitRef="_GBC_03019b8a6970478d9879831b9f35ad89" addr="T0R27C2S1_1" formatStyle="Comma"/>
      <m:item xlName="_GBC_b8a61e06072944c68e728a0c0008aa1e" concept="clcid-pte:ZaiJianGongCheng" label="在建工程" periodRef="上年期末数" mulRef="_GBC_93410f9f0f51403686d6c566dbb4be50" unitRef="_GBC_03019b8a6970478d9879831b9f35ad89" addr="T0R27C3S1_1" formatStyle="Comma"/>
      <m:placeholder xlName="_PLD_17609f7e0cf04c30a90c562339ab4cd0" addr="T0R28C0S1_1"/>
      <m:item xlName="_GBC_b2568a7250db40cdb41fd678e11256b2" concept="clcid-ci-ar:FuZhu_ShengChanXingShengWuZiChan" label="附注_生产性生物资产" addr="T0R28C1S1_1"/>
      <m:item xlName="_GBC_f2823dabb748427c9efe5d8d19ab2c4a" concept="clcid-pte:ShengChanXingShengWuZiChan" label="生产性生物资产" mulRef="_GBC_93410f9f0f51403686d6c566dbb4be50" unitRef="_GBC_03019b8a6970478d9879831b9f35ad89" addr="T0R28C2S1_1" formatStyle="Comma"/>
      <m:item xlName="_GBC_87a01f1e23514421a14b271573d435d7" concept="clcid-pte:ShengChanXingShengWuZiChan" label="生产性生物资产" periodRef="上年期末数" mulRef="_GBC_93410f9f0f51403686d6c566dbb4be50" unitRef="_GBC_03019b8a6970478d9879831b9f35ad89" addr="T0R28C3S1_1" formatStyle="Comma"/>
      <m:placeholder xlName="_PLD_38c49725962445a78932a6f1c165323a" addr="T0R29C0S1_1"/>
      <m:item xlName="_GBC_0b1dcf34da6e4e32935837618058d234" concept="clcid-ci-ar:FuZhu_YouQiZiChan" label="附注_油气资产" addr="T0R29C1S1_1"/>
      <m:item xlName="_GBC_edb119e295f94a5da1c10e7313811ddf" concept="clcid-pte:YouQiZiChan" label="油气资产" mulRef="_GBC_93410f9f0f51403686d6c566dbb4be50" unitRef="_GBC_03019b8a6970478d9879831b9f35ad89" addr="T0R29C2S1_1" formatStyle="Comma"/>
      <m:item xlName="_GBC_665206a484a04c4294ace21d5dd6f2a0" concept="clcid-pte:YouQiZiChan" label="油气资产" periodRef="上年期末数" mulRef="_GBC_93410f9f0f51403686d6c566dbb4be50" unitRef="_GBC_03019b8a6970478d9879831b9f35ad89" addr="T0R29C3S1_1" formatStyle="Comma"/>
      <m:placeholder xlName="_PLD_be9b3f2ccf404b25af674aaeee6a067b" addr="T0R30C0S1_1"/>
      <m:item xlName="_GBC_1682d18ba6a24e84bdc365680ac8aace" concept="clcid-ci-ar:FuZhu_ShiYongQuanZiChan" label="附注_使用权资产" addr="T0R30C1S1_1"/>
      <m:item xlName="_GBC_797a2ec499424da481a4d5f14ec72136" concept="clcid-pte:ShiYongQuanZiChan" label="使用权资产" mulRef="_GBC_93410f9f0f51403686d6c566dbb4be50" unitRef="_GBC_03019b8a6970478d9879831b9f35ad89" addr="T0R30C2S1_1" formatStyle="Comma"/>
      <m:item xlName="_GBC_14d16eddfd574afa9e095174af851e7d" concept="clcid-pte:ShiYongQuanZiChan" label="使用权资产" periodRef="上年期末数" mulRef="_GBC_93410f9f0f51403686d6c566dbb4be50" unitRef="_GBC_03019b8a6970478d9879831b9f35ad89" addr="T0R30C3S1_1" formatStyle="Comma"/>
      <m:placeholder xlName="_PLD_77d8ed0918404ad4b7c94cc8cafad9f6" addr="T0R31C0S1_1"/>
      <m:item xlName="_GBC_c61ceb3fbacc4e6a91ab4ed10940f4cb" concept="clcid-ci-ar:FuZhu_WuXingZiChan" label="附注_无形资产" addr="T0R31C1S1_1"/>
      <m:item xlName="_GBC_17c860cf769841a1a929b5d459664512" concept="clcid-pte:WuXingZiChan" label="无形资产" mulRef="_GBC_93410f9f0f51403686d6c566dbb4be50" unitRef="_GBC_03019b8a6970478d9879831b9f35ad89" addr="T0R31C2S1_1" formatStyle="Comma"/>
      <m:item xlName="_GBC_696f50e2a49f4b0fb9a02bb27b6cb50b" concept="clcid-pte:WuXingZiChan" label="无形资产" periodRef="上年期末数" mulRef="_GBC_93410f9f0f51403686d6c566dbb4be50" unitRef="_GBC_03019b8a6970478d9879831b9f35ad89" addr="T0R31C3S1_1" formatStyle="Comma"/>
      <m:placeholder xlName="_PLD_13c0359efaa04a1585567a9e23466080" addr="T0R32C0S1_1"/>
      <m:item xlName="_GBC_3a28b3f37a3147ec9359a903acf3e94e" concept="clcid-ci-ar:FuZhu_KaiFaZhiChu" label="附注_开发支出" addr="T0R32C1S1_1"/>
      <m:item xlName="_GBC_02725730b97045f3b58d9c58bba59e0b" concept="clcid-pte:KaiFaZhiChu" label="开发支出" mulRef="_GBC_93410f9f0f51403686d6c566dbb4be50" unitRef="_GBC_03019b8a6970478d9879831b9f35ad89" addr="T0R32C2S1_1" formatStyle="Comma"/>
      <m:item xlName="_GBC_a9b50cf2e4f9473f82bdced6f412fe8a" concept="clcid-pte:KaiFaZhiChu" label="开发支出" periodRef="上年期末数" mulRef="_GBC_93410f9f0f51403686d6c566dbb4be50" unitRef="_GBC_03019b8a6970478d9879831b9f35ad89" addr="T0R32C3S1_1" formatStyle="Comma"/>
      <m:placeholder xlName="_PLD_db23323cc9ba457aa2b1c74f01b651f3" addr="T0R33C0S1_1"/>
      <m:item xlName="_GBC_75d6ac0c7fb54175ba096fcf67671861" concept="clcid-ci-ar:FuZhu_ShangYu" label="附注_商誉" addr="T0R33C1S1_1"/>
      <m:item xlName="_GBC_d7e7dc9dbd164e2eb5380037341d9798" concept="clcid-pte:ShangYu" label="商誉" mulRef="_GBC_93410f9f0f51403686d6c566dbb4be50" unitRef="_GBC_03019b8a6970478d9879831b9f35ad89" addr="T0R33C2S1_1" formatStyle="Comma"/>
      <m:item xlName="_GBC_81ec13eb9cad4bebb7957a3be5fc1e98" concept="clcid-pte:ShangYu" label="商誉" periodRef="上年期末数" mulRef="_GBC_93410f9f0f51403686d6c566dbb4be50" unitRef="_GBC_03019b8a6970478d9879831b9f35ad89" addr="T0R33C3S1_1" formatStyle="Comma"/>
      <m:placeholder xlName="_PLD_84ce19029bf7466cb7414cfdd6421c09" addr="T0R34C0S1_1"/>
      <m:item xlName="_GBC_ce296c86c70e4fa4816e7ebb5e8072bc" concept="clcid-ci-ar:FuZhu_ChangQiDaiTanFeiYong" label="附注_长期待摊费用" addr="T0R34C1S1_1"/>
      <m:item xlName="_GBC_e6c7a46799244b2f8eddac3baaf4cf63" concept="clcid-pte:ChangQiDaiTanFeiYong" label="长期待摊费用" mulRef="_GBC_93410f9f0f51403686d6c566dbb4be50" unitRef="_GBC_03019b8a6970478d9879831b9f35ad89" addr="T0R34C2S1_1" formatStyle="Comma"/>
      <m:item xlName="_GBC_8bee3d31626249efbfa40d27dc713804" concept="clcid-pte:ChangQiDaiTanFeiYong" label="长期待摊费用" periodRef="上年期末数" mulRef="_GBC_93410f9f0f51403686d6c566dbb4be50" unitRef="_GBC_03019b8a6970478d9879831b9f35ad89" addr="T0R34C3S1_1" formatStyle="Comma"/>
      <m:placeholder xlName="_PLD_7b98326170894576892800d3239749e8" addr="T0R35C0S1_1"/>
      <m:item xlName="_GBC_4083249b12fe4882ae55d208ab26eb42" concept="clcid-ci-ar:FuZhu_DiYanShuiKuanJieXiangHeJi" label="附注_递延税款借项合计" addr="T0R35C1S1_1"/>
      <m:item xlName="_GBC_ac751ce8e2c74cdc9d2f0aa95aad6ce9" concept="clcid-pte:DiYanShuiKuanJieXiangHeJi" label="递延税款借项合计" mulRef="_GBC_93410f9f0f51403686d6c566dbb4be50" unitRef="_GBC_03019b8a6970478d9879831b9f35ad89" addr="T0R35C2S1_1" formatStyle="Comma"/>
      <m:item xlName="_GBC_81979a3e18334e69affc08f5004c2056" concept="clcid-pte:DiYanShuiKuanJieXiangHeJi" label="递延税款借项合计" periodRef="上年期末数" mulRef="_GBC_93410f9f0f51403686d6c566dbb4be50" unitRef="_GBC_03019b8a6970478d9879831b9f35ad89" addr="T0R35C3S1_1" formatStyle="Comma"/>
      <m:placeholder xlName="_PLD_115ae0dba1f74ad8bda1ccec43dbe01c" addr="T0R36C0S1_1"/>
      <m:item xlName="_GBC_859d84de315e45858fe9542d1111734c" concept="clcid-ci-ar:FuZhu_QiTaChangQiZiChan" label="附注_其他长期资产" addr="T0R36C1S1_1"/>
      <m:item xlName="_GBC_82ad9de229d04852a02518cf2ada554f" concept="clcid-pte:QiTaChangQiZiChan" label="其他长期资产" mulRef="_GBC_93410f9f0f51403686d6c566dbb4be50" unitRef="_GBC_03019b8a6970478d9879831b9f35ad89" addr="T0R36C2S1_1" formatStyle="Comma"/>
      <m:item xlName="_GBC_6f5f68c50e3a4d7c825674344ffa34a8" concept="clcid-pte:QiTaChangQiZiChan" label="其他长期资产" periodRef="上年期末数" mulRef="_GBC_93410f9f0f51403686d6c566dbb4be50" unitRef="_GBC_03019b8a6970478d9879831b9f35ad89" addr="T0R36C3S1_1" formatStyle="Comma"/>
      <m:placeholder xlName="_PLD_3b07f7b4ca40483f88457b3967eb6ce5" addr="T0R37C0S1_1"/>
      <m:item xlName="_GBC_09b63525c52d490baed74f6141dd52be" concept="clcid-ci-ar:FuZhu_FeiLiuDongZiChanHeJi" label="附注_非流动资产合计" addr="T0R37C1S1_1"/>
      <m:item xlName="_GBC_b37c3c591c1c479ea6554eb7de816862" concept="clcid-pte:FeiLiuDongZiChanHeJi" label="非流动资产合计" mulRef="_GBC_93410f9f0f51403686d6c566dbb4be50" unitRef="_GBC_03019b8a6970478d9879831b9f35ad89" addr="T0R37C2S1_1" formatStyle="Comma">
        <m:complexRule comparator="Eq" title="非流动资产合计" test=" $_GBC_c8e34156f04c4c349d161466b21d6a6a +  $_GBC_22882acdf4aa4e5b8a9314713ccc9fdb +  $_GBC_103e51eaae524881a1673fee9ead9f85 +  $_GBC_1c123ff1753548a1bc108722726063c4 +  $_GBC_8379668b5ee14ef7a442d4d2a8579ec4 +  $_GBC_5313bbe4093647f8ae9660e1fd35bf93 +  $_GBC_e164b90d5267410495f26b3b6f6cdb1f +  $_GBC_20f7f21852b1438c97fd7f32b76f31c0 +  $_GBC_d662f1fadf114902afc0c6c7867e5f56 +  $_GBC_f2823dabb748427c9efe5d8d19ab2c4a +  $_GBC_edb119e295f94a5da1c10e7313811ddf +  $_GBC_797a2ec499424da481a4d5f14ec72136 +  $_GBC_17c860cf769841a1a929b5d459664512 +  $_GBC_02725730b97045f3b58d9c58bba59e0b +  $_GBC_d7e7dc9dbd164e2eb5380037341d9798 +  $_GBC_e6c7a46799244b2f8eddac3baaf4cf63 +  $_GBC_ac751ce8e2c74cdc9d2f0aa95aad6ce9 +  $_GBC_82ad9de229d04852a02518cf2ada554f" id="C83e1410a8b794b4ebb6c2495ed5c8d64"/>
      </m:item>
      <m:item xlName="_GBC_17ece8c63c40483e99ac87ae56207c2a" concept="clcid-pte:FeiLiuDongZiChanHeJi" label="非流动资产合计" periodRef="上年期末数" mulRef="_GBC_93410f9f0f51403686d6c566dbb4be50" unitRef="_GBC_03019b8a6970478d9879831b9f35ad89" addr="T0R37C3S1_1" formatStyle="Comma">
        <m:complexRule comparator="Eq" title="非流动资产合计@上年期末数" test=" $_GBC_36f13d491e7e49c5bc0cca8a7d26bf6e +  $_GBC_f4a13160f41648b7a2c0a19ddcd2de61 +  $_GBC_6f9f71ce970c41b799a56256118e1a59 +  $_GBC_1039070d835344fb9acf8bb51a9b4b20 +  $_GBC_f5709095127c4067ba9ac99bb97aa74f +  $_GBC_c2b4539617964e79ab0a6093649ce5bd +  $_GBC_2751c53ed92243088a91013d385ab568 +  $_GBC_77b700a24d94493f9a59794526620e64 +  $_GBC_b8a61e06072944c68e728a0c0008aa1e +  $_GBC_87a01f1e23514421a14b271573d435d7 +  $_GBC_665206a484a04c4294ace21d5dd6f2a0 +  $_GBC_14d16eddfd574afa9e095174af851e7d +  $_GBC_696f50e2a49f4b0fb9a02bb27b6cb50b +  $_GBC_a9b50cf2e4f9473f82bdced6f412fe8a +  $_GBC_81ec13eb9cad4bebb7957a3be5fc1e98 +  $_GBC_8bee3d31626249efbfa40d27dc713804 +  $_GBC_81979a3e18334e69affc08f5004c2056 +  $_GBC_6f5f68c50e3a4d7c825674344ffa34a8" id="Cd9954683b12e4acca50cc3c9d7133646"/>
      </m:item>
      <m:placeholder xlName="_PLD_26f62e02eb844ec0943afadf2a3636b8" addr="T0R38C0S1_1"/>
      <m:item xlName="_GBC_0d6193a48018492f8151889204693753" concept="clcid-ci-ar:FuZhu_ZiChanZongJi" label="附注_资产总计" addr="T0R38C1S1_1"/>
      <m:item xlName="_GBC_170b7aa3cb724da8a12cb28e8a246274" concept="clcid-pte:ZiChanZongJi" label="资产总计" mulRef="_GBC_93410f9f0f51403686d6c566dbb4be50" unitRef="_GBC_03019b8a6970478d9879831b9f35ad89" addr="T0R38C2S1_1" formatStyle="Comma">
        <m:complexRule comparator="Eq" test=" $_GBC_516d50f45d9f4f0fb1b4538041ad4475 +  $_GBC_b37c3c591c1c479ea6554eb7de816862" id="Cdd651ef619054949aea6c851bf66dcad"/>
        <m:complexRule comparator="Eq" test=" $_GBC_ea8b08e8586b40399581c75eeb61452e" id="Cf5b1d0021f0c42da9bc551994d28f192"/>
      </m:item>
      <m:item xlName="_GBC_6d4edbc8fba4414ab0501f9e1c76a925" concept="clcid-pte:ZiChanZongJi" label="资产总计" periodRef="上年期末数" mulRef="_GBC_93410f9f0f51403686d6c566dbb4be50" unitRef="_GBC_03019b8a6970478d9879831b9f35ad89" addr="T0R38C3S1_1" formatStyle="Comma">
        <m:complexRule comparator="Eq" test=" $_GBC_50074caf619a40879672e3176a59e6fa +  $_GBC_17ece8c63c40483e99ac87ae56207c2a" id="Ce7e4f94494324bf3859a45d34a559718"/>
        <m:complexRule comparator="Eq" test=" $_GBC_978683121f774b28a31b0c5bfd5ff0d5" id="C12235d9c8d1048e4adbf164d5fd744a0"/>
      </m:item>
      <m:placeholder xlName="_PLD_a7ae1e3ddc6640b39cf5364848c34a1d" addr="T0R39C0S1_1"/>
      <m:placeholder xlName="_PLD_245a775d2713410c870d5bdbf2e7cceb" addr="T0R40C0S1_1"/>
      <m:item xlName="_GBC_38d72362293b4a589a9ec5b6bc059245" concept="clcid-ci-ar:FuZhu_DuanQiJieKuan" label="附注_短期借款" addr="T0R40C1S1_1"/>
      <m:item xlName="_GBC_67fa7fb66a394fbd9a181f2b8eb9cb93" concept="clcid-pte:DuanQiJieKuan" label="短期借款" mulRef="_GBC_93410f9f0f51403686d6c566dbb4be50" unitRef="_GBC_03019b8a6970478d9879831b9f35ad89" addr="T0R40C2S1_1" formatStyle="Comma"/>
      <m:item xlName="_GBC_e5ed73d4cfd8444f9baff57ee10c0457" concept="clcid-pte:DuanQiJieKuan" label="短期借款" periodRef="上年期末数" mulRef="_GBC_93410f9f0f51403686d6c566dbb4be50" unitRef="_GBC_03019b8a6970478d9879831b9f35ad89" addr="T0R40C3S1_1" formatStyle="Comma"/>
      <m:placeholder xlName="_PLD_d308ad10357344f5ac83886075651837" addr="T0R41C0S1_1"/>
      <m:item xlName="_GBC_d1099f268da9440689fe96b8f4a2eb24" concept="clcid-ci-ar:FuZhu_JiaoYiXingJinRongFuZhai" label="附注_交易性金融负债" addr="T0R41C1S1_1"/>
      <m:item xlName="_GBC_15070a24fc75433382231ff8205815ae" concept="clcid-pte:JiaoYiXingJinRongFuZhai" label="交易性金融负债" mulRef="_GBC_93410f9f0f51403686d6c566dbb4be50" unitRef="_GBC_03019b8a6970478d9879831b9f35ad89" addr="T0R41C2S1_1" formatStyle="Comma"/>
      <m:item xlName="_GBC_7035067dc8234f029a5a88c7954305a5" concept="clcid-pte:JiaoYiXingJinRongFuZhai" label="交易性金融负债" periodRef="上年期末数" mulRef="_GBC_93410f9f0f51403686d6c566dbb4be50" unitRef="_GBC_03019b8a6970478d9879831b9f35ad89" addr="T0R41C3S1_1" formatStyle="Comma"/>
      <m:placeholder xlName="_PLD_a8e9d38f48d14370b433a1928705b198" addr="T0R42C0S1_1"/>
      <m:item xlName="_GBC_28d148d54a504586be4e34b89a695dd4" concept="clcid-ci-ar:FuZhuYanShengJinRongFuZhai" label="附注_衍生金融负债" addr="T0R42C1S1_1"/>
      <m:item xlName="_GBC_da976cbdec354debada56d9df5f45d9d" concept="clcid-pte:YanShengJinRongFuZhai" label="衍生金融负债" mulRef="_GBC_93410f9f0f51403686d6c566dbb4be50" unitRef="_GBC_03019b8a6970478d9879831b9f35ad89" addr="T0R42C2S1_1" formatStyle="Comma"/>
      <m:item xlName="_GBC_6337f7a1919c475f9a1daa4a3a8b9f8e" concept="clcid-pte:YanShengJinRongFuZhai" label="衍生金融负债" periodRef="上年期末数" mulRef="_GBC_93410f9f0f51403686d6c566dbb4be50" unitRef="_GBC_03019b8a6970478d9879831b9f35ad89" addr="T0R42C3S1_1" formatStyle="Comma"/>
      <m:placeholder xlName="_PLD_eacb1247f8c2472da2d5baaf7483f788" addr="T0R43C0S1_1"/>
      <m:item xlName="_GBC_a86ec3a3734e464f957d3fd5e4443451" concept="clcid-ci-ar:FuZhu_YingFuPiaoJu" label="附注_应付票据" addr="T0R43C1S1_1"/>
      <m:item xlName="_GBC_5defbfd470c241b1b02e39b93941afeb" concept="clcid-pte:YingFuPiaoJu" label="应付票据" mulRef="_GBC_93410f9f0f51403686d6c566dbb4be50" unitRef="_GBC_03019b8a6970478d9879831b9f35ad89" addr="T0R43C2S1_1" formatStyle="Comma"/>
      <m:item xlName="_GBC_5c309c9839a54a60a63842fe35cc7713" concept="clcid-pte:YingFuPiaoJu" label="应付票据" periodRef="上年期末数" mulRef="_GBC_93410f9f0f51403686d6c566dbb4be50" unitRef="_GBC_03019b8a6970478d9879831b9f35ad89" addr="T0R43C3S1_1" formatStyle="Comma"/>
      <m:placeholder xlName="_PLD_9d9a4f7bd62d4728872e76c3b2d70732" addr="T0R44C0S1_1"/>
      <m:item xlName="_GBC_f4e3bdc5ef99463495340292ac914786" concept="clcid-ci-ar:FuZhu_YingFuZhangKuan" label="附注_应付帐款" addr="T0R44C1S1_1"/>
      <m:item xlName="_GBC_d1190e72629f496594d4449eeb66a585" concept="clcid-pte:YingFuZhangKuan" label="应付帐款" mulRef="_GBC_93410f9f0f51403686d6c566dbb4be50" unitRef="_GBC_03019b8a6970478d9879831b9f35ad89" addr="T0R44C2S1_1" formatStyle="Comma"/>
      <m:item xlName="_GBC_a12e0d5766cf44fc9abb687c4c03a061" concept="clcid-pte:YingFuZhangKuan" label="应付帐款" periodRef="上年期末数" mulRef="_GBC_93410f9f0f51403686d6c566dbb4be50" unitRef="_GBC_03019b8a6970478d9879831b9f35ad89" addr="T0R44C3S1_1" formatStyle="Comma"/>
      <m:placeholder xlName="_PLD_50a11ec01b8a40c19678b3c7dc9b89ab" addr="T0R45C0S1_1"/>
      <m:item xlName="_GBC_bae89ab0735047959b028f77faf2bc05" concept="clcid-ci-ar:FuZhu_YuShouZhangKuan" label="附注_预收帐款" addr="T0R45C1S1_1"/>
      <m:item xlName="_GBC_ddcb192046b84718b96aaf659b1ebb47" concept="clcid-pte:YuShouZhangKuan" label="预收帐款" mulRef="_GBC_93410f9f0f51403686d6c566dbb4be50" unitRef="_GBC_03019b8a6970478d9879831b9f35ad89" addr="T0R45C2S1_1" formatStyle="Comma"/>
      <m:item xlName="_GBC_606d9d9574214624a66db06f5fc58ae6" concept="clcid-pte:YuShouZhangKuan" label="预收帐款" periodRef="上年期末数" mulRef="_GBC_93410f9f0f51403686d6c566dbb4be50" unitRef="_GBC_03019b8a6970478d9879831b9f35ad89" addr="T0R45C3S1_1" formatStyle="Comma"/>
      <m:placeholder xlName="_PLD_b5b3e56f66d647269a03b878b0ffae60" addr="T0R46C0S1_1"/>
      <m:item xlName="_GBC_ba66c688619144bd8c3d7f29cf1332ed" concept="clcid-ci-ar:FuZhu_HeTongFuZhai" label="附注_合同负债" addr="T0R46C1S1_1"/>
      <m:item xlName="_GBC_a2ca8f46be52411084a8bc9038a74088" concept="clcid-pte:HeTongFuZhai" label="合同负债" mulRef="_GBC_93410f9f0f51403686d6c566dbb4be50" unitRef="_GBC_03019b8a6970478d9879831b9f35ad89" addr="T0R46C2S1_1" formatStyle="Comma"/>
      <m:item xlName="_GBC_a93e56de394b404aab1b6aded107bef1" concept="clcid-pte:HeTongFuZhai" label="合同负债" periodRef="上年期末数" mulRef="_GBC_93410f9f0f51403686d6c566dbb4be50" unitRef="_GBC_03019b8a6970478d9879831b9f35ad89" addr="T0R46C3S1_1" formatStyle="Comma"/>
      <m:placeholder xlName="_PLD_cfb20863651e4684b300f9298f4d2d0d" addr="T0R47C0S1_1"/>
      <m:item xlName="_GBC_777f7a4697834b94a58f73f931eff0fa" concept="clcid-ci-ar:FuZhu_YingFuZhiGongXinChou" label="附注_应付职工薪酬" addr="T0R47C1S1_1"/>
      <m:item xlName="_GBC_3a15be5aca454b4c9737a571b20950fc" concept="clcid-pte:YingFuZhiGongXinChou" label="应付职工薪酬" mulRef="_GBC_93410f9f0f51403686d6c566dbb4be50" unitRef="_GBC_03019b8a6970478d9879831b9f35ad89" addr="T0R47C2S1_1" formatStyle="Comma"/>
      <m:item xlName="_GBC_03fb34a2a3b2468e85e79cc3bf1961c6" concept="clcid-pte:YingFuZhiGongXinChou" label="应付职工薪酬" periodRef="上年期末数" mulRef="_GBC_93410f9f0f51403686d6c566dbb4be50" unitRef="_GBC_03019b8a6970478d9879831b9f35ad89" addr="T0R47C3S1_1" formatStyle="Comma"/>
      <m:placeholder xlName="_PLD_965b9e533de542d8b970ceb985db2a13" addr="T0R48C0S1_1"/>
      <m:item xlName="_GBC_3e13f7beeef14e8583a4ebc06e6fd4ed" concept="clcid-ci-ar:FuZhu_YingJiaoShuiJin" label="附注_应交税金" addr="T0R48C1S1_1"/>
      <m:item xlName="_GBC_187a3cb72c914b32b12681313b0a6b7f" concept="clcid-pte:YingJiaoShuiJin" label="应交税金" mulRef="_GBC_93410f9f0f51403686d6c566dbb4be50" unitRef="_GBC_03019b8a6970478d9879831b9f35ad89" addr="T0R48C2S1_1" formatStyle="Comma"/>
      <m:item xlName="_GBC_b82315a5387946ea83ce0598efb1f9c4" concept="clcid-pte:YingJiaoShuiJin" label="应交税金" periodRef="上年期末数" mulRef="_GBC_93410f9f0f51403686d6c566dbb4be50" unitRef="_GBC_03019b8a6970478d9879831b9f35ad89" addr="T0R48C3S1_1" formatStyle="Comma"/>
      <m:placeholder xlName="_PLD_4f134431101648d1bd47ae0a416c3243" addr="T0R49C0S1_1"/>
      <m:item xlName="_GBC_a0c2a13ecad4473f88dad7051a6e79db" concept="clcid-ci-ar:FuZhu_QiTaYingFuKuan" label="附注_其他应付款" addr="T0R49C1S1_1"/>
      <m:item xlName="_GBC_e7fb45ca78e24b8aad5a89f7f36286f4" concept="clcid-pte:QiTaYingFuKuan" label="其他应付款" mulRef="_GBC_93410f9f0f51403686d6c566dbb4be50" unitRef="_GBC_03019b8a6970478d9879831b9f35ad89" addr="T0R49C2S1_1" formatStyle="Comma"/>
      <m:item xlName="_GBC_2cee6af94744450ebd94bd8099dcf48b" concept="clcid-pte:QiTaYingFuKuan" label="其他应付款" periodRef="上年期末数" mulRef="_GBC_93410f9f0f51403686d6c566dbb4be50" unitRef="_GBC_03019b8a6970478d9879831b9f35ad89" addr="T0R49C3S1_1" formatStyle="Comma"/>
      <m:placeholder xlName="_PLD_4be8fe72123d400986e7555284a5187e" addr="T0R50C0S1_1"/>
      <m:item xlName="_GBC_af184315d16640a49785c5627475c463" concept="clcid-ci-ar:FuZhu_YingFuLiXi" label="附注_应付利息" addr="T0R50C1S1_1"/>
      <m:item xlName="_GBC_dc36c32ce6fd4a99b681de8d6255ccc4" concept="clcid-pte:YingFuLiXi" label="应付利息" mulRef="_GBC_93410f9f0f51403686d6c566dbb4be50" unitRef="_GBC_03019b8a6970478d9879831b9f35ad89" addr="T0R50C2S1_1" formatStyle="Comma"/>
      <m:item xlName="_GBC_a9ad7062e2d14a47a1a0180a348de499" concept="clcid-pte:YingFuLiXi" label="应付利息" periodRef="上年期末数" mulRef="_GBC_93410f9f0f51403686d6c566dbb4be50" unitRef="_GBC_03019b8a6970478d9879831b9f35ad89" addr="T0R50C3S1_1" formatStyle="Comma"/>
      <m:placeholder xlName="_PLD_4efa6d7c804e4dd58ba5ad94c40564ca" addr="T0R51C0S1_1"/>
      <m:item xlName="_GBC_0e4331414c15472088bce75f106a008a" concept="clcid-ci-ar:FuZhu_YingFuGuLi" label="附注_应付股利" addr="T0R51C1S1_1"/>
      <m:item xlName="_GBC_0274c37a27c64c3986b16df0ca33ac56" concept="clcid-pte:YingFuGuLi" label="应付股利" mulRef="_GBC_93410f9f0f51403686d6c566dbb4be50" unitRef="_GBC_03019b8a6970478d9879831b9f35ad89" addr="T0R51C2S1_1" formatStyle="Comma"/>
      <m:item xlName="_GBC_73ffa7fa9ab949438a01546b422b25a4" concept="clcid-pte:YingFuGuLi" label="应付股利" periodRef="上年期末数" mulRef="_GBC_93410f9f0f51403686d6c566dbb4be50" unitRef="_GBC_03019b8a6970478d9879831b9f35ad89" addr="T0R51C3S1_1" formatStyle="Comma"/>
      <m:placeholder xlName="_PLD_17049e5b36dc41bdb5a2f878020b211c" addr="T0R52C0S1_1"/>
      <m:item xlName="_GBC_a27976db8c1e4b639da54639e76f9602" concept="clcid-ci-ar:FuZhuHuaFenWeiChiYouDaiShouDeFuZhai" label="附注_划分为持有待售的负债" addr="T0R52C1S1_1"/>
      <m:item xlName="_GBC_595264e7123b4c06b502e137e598e6ac" concept="clcid-pte:HuaFenWeiChiYouDaiShouDeFuZhai" label="划分为持有待售的负债" mulRef="_GBC_93410f9f0f51403686d6c566dbb4be50" unitRef="_GBC_03019b8a6970478d9879831b9f35ad89" addr="T0R52C2S1_1" formatStyle="Comma"/>
      <m:item xlName="_GBC_4c176d67a6a84b65bd50e14d00d9f529" concept="clcid-pte:HuaFenWeiChiYouDaiShouDeFuZhai" label="划分为持有待售的负债" periodRef="上年期末数" mulRef="_GBC_93410f9f0f51403686d6c566dbb4be50" unitRef="_GBC_03019b8a6970478d9879831b9f35ad89" addr="T0R52C3S1_1" formatStyle="Comma"/>
      <m:placeholder xlName="_PLD_cc44a8eca8e645eeb0abe3f680b3ebbe" addr="T0R53C0S1_1"/>
      <m:item xlName="_GBC_bd7d713218714625826df3d5a3bcfca8" concept="clcid-ci-ar:FuZhu_YiNianNeiDaoQiDeChangQiFuZhai" label="附注_一年内到期的长期负债" addr="T0R53C1S1_1"/>
      <m:item xlName="_GBC_5393745a21b14fc0a0333d24d8947136" concept="clcid-pte:YiNianNeiDaoQiDeChangQiFuZhai" label="一年内到期的长期负债" mulRef="_GBC_93410f9f0f51403686d6c566dbb4be50" unitRef="_GBC_03019b8a6970478d9879831b9f35ad89" addr="T0R53C2S1_1" formatStyle="Comma"/>
      <m:item xlName="_GBC_564b81bfd7d143fba9d20477f26c39a1" concept="clcid-pte:YiNianNeiDaoQiDeChangQiFuZhai" label="一年内到期的长期负债" periodRef="上年期末数" mulRef="_GBC_93410f9f0f51403686d6c566dbb4be50" unitRef="_GBC_03019b8a6970478d9879831b9f35ad89" addr="T0R53C3S1_1" formatStyle="Comma"/>
      <m:placeholder xlName="_PLD_0b2a393d4ec640b3b30af0ad5e01a375" addr="T0R54C0S1_1"/>
      <m:item xlName="_GBC_98f82388b9f644489c873efa6e964b1b" concept="clcid-ci-ar:FuZhu_QiTaLiuDongFuZhai" label="附注_其他流动负债" addr="T0R54C1S1_1"/>
      <m:item xlName="_GBC_1a693973ad124d688380af4b148c6fdb" concept="clcid-pte:QiTaLiuDongFuZhai" label="其他流动负债" mulRef="_GBC_93410f9f0f51403686d6c566dbb4be50" unitRef="_GBC_03019b8a6970478d9879831b9f35ad89" addr="T0R54C2S1_1" formatStyle="Comma"/>
      <m:item xlName="_GBC_43fd79ed4a7445cf9346e51166f16382" concept="clcid-pte:QiTaLiuDongFuZhai" label="其他流动负债" periodRef="上年期末数" mulRef="_GBC_93410f9f0f51403686d6c566dbb4be50" unitRef="_GBC_03019b8a6970478d9879831b9f35ad89" addr="T0R54C3S1_1" formatStyle="Comma"/>
      <m:placeholder xlName="_PLD_97f7087256d645e09747ad768b53c901" addr="T0R55C0S1_1"/>
      <m:item xlName="_GBC_d63c300fd5244f6e8725a9d35673a742" concept="clcid-ci-ar:FuZhu_LiuDongFuZhaiHeJi" label="附注_流动负债合计" addr="T0R55C1S1_1"/>
      <m:item xlName="_GBC_97d3142046a7430cafcf3d85156be4b8" concept="clcid-pte:LiuDongFuZhaiHeJi" label="流动负债合计" mulRef="_GBC_93410f9f0f51403686d6c566dbb4be50" unitRef="_GBC_03019b8a6970478d9879831b9f35ad89" addr="T0R55C2S1_1" formatStyle="Comma">
        <m:complexRule comparator="Eq" title="流动负债合计" test=" $_GBC_67fa7fb66a394fbd9a181f2b8eb9cb93 +  $_GBC_15070a24fc75433382231ff8205815ae +  $_GBC_da976cbdec354debada56d9df5f45d9d +  $_GBC_5defbfd470c241b1b02e39b93941afeb +  $_GBC_d1190e72629f496594d4449eeb66a585 +  $_GBC_ddcb192046b84718b96aaf659b1ebb47 +  $_GBC_a2ca8f46be52411084a8bc9038a74088 +  $_GBC_3a15be5aca454b4c9737a571b20950fc +  $_GBC_187a3cb72c914b32b12681313b0a6b7f +  $_GBC_e7fb45ca78e24b8aad5a89f7f36286f4 +  $_GBC_595264e7123b4c06b502e137e598e6ac +  $_GBC_5393745a21b14fc0a0333d24d8947136 +  $_GBC_1a693973ad124d688380af4b148c6fdb" id="C8d011e3a06d54141a09a16d01463380d"/>
      </m:item>
      <m:item xlName="_GBC_8061d9fe1b014b249c69519ba740ec72" concept="clcid-pte:LiuDongFuZhaiHeJi" label="流动负债合计" periodRef="上年期末数" mulRef="_GBC_93410f9f0f51403686d6c566dbb4be50" unitRef="_GBC_03019b8a6970478d9879831b9f35ad89" addr="T0R55C3S1_1" formatStyle="Comma">
        <m:complexRule comparator="Eq" title="流动负债合计@上年期末数" test=" $_GBC_e5ed73d4cfd8444f9baff57ee10c0457 +  $_GBC_7035067dc8234f029a5a88c7954305a5 +  $_GBC_6337f7a1919c475f9a1daa4a3a8b9f8e +  $_GBC_5c309c9839a54a60a63842fe35cc7713 +  $_GBC_a12e0d5766cf44fc9abb687c4c03a061 +  $_GBC_606d9d9574214624a66db06f5fc58ae6 +  $_GBC_a93e56de394b404aab1b6aded107bef1 +  $_GBC_03fb34a2a3b2468e85e79cc3bf1961c6 +  $_GBC_b82315a5387946ea83ce0598efb1f9c4 +  $_GBC_2cee6af94744450ebd94bd8099dcf48b +  $_GBC_4c176d67a6a84b65bd50e14d00d9f529 +  $_GBC_564b81bfd7d143fba9d20477f26c39a1 +  $_GBC_43fd79ed4a7445cf9346e51166f16382" id="C83c0c66672644a7bb9c5699323c83f6f"/>
      </m:item>
      <m:placeholder xlName="_PLD_49d0c3a322474260b38240800906e014" addr="T0R56C0S1_1"/>
      <m:placeholder xlName="_PLD_51960b4f6a6f4b80ae2a2e3cbef567b1" addr="T0R57C0S1_1"/>
      <m:item xlName="_GBC_c0781a35a1184a16944b3f726b805621" concept="clcid-ci-ar:FuZhu_ChangQiJieKuan" label="附注_长期借款" addr="T0R57C1S1_1"/>
      <m:item xlName="_GBC_d71b6041cd7a434ca7f817824e7bf426" concept="clcid-pte:ChangQiJieKuan" label="长期借款" mulRef="_GBC_93410f9f0f51403686d6c566dbb4be50" unitRef="_GBC_03019b8a6970478d9879831b9f35ad89" addr="T0R57C2S1_1" formatStyle="Comma"/>
      <m:item xlName="_GBC_466f6e6c61e048d6a685ac64e839c209" concept="clcid-pte:ChangQiJieKuan" label="长期借款" periodRef="上年期末数" mulRef="_GBC_93410f9f0f51403686d6c566dbb4be50" unitRef="_GBC_03019b8a6970478d9879831b9f35ad89" addr="T0R57C3S1_1" formatStyle="Comma"/>
      <m:placeholder xlName="_PLD_7f1f145b6a89485ca211fe62d66d2981" addr="T0R58C0S1_1"/>
      <m:item xlName="_GBC_643986bc80d24b01aafa8bda198d88c6" concept="clcid-ci-ar:FuZhu_YingFuZhaiQuan" label="附注_应付债券" addr="T0R58C1S1_1"/>
      <m:item xlName="_GBC_f588f5a70e4243b2bfecc4fce14f69aa" concept="clcid-pte:YingFuZhaiQuan" label="应付债券" mulRef="_GBC_93410f9f0f51403686d6c566dbb4be50" unitRef="_GBC_03019b8a6970478d9879831b9f35ad89" addr="T0R58C2S1_1" formatStyle="Comma"/>
      <m:item xlName="_GBC_4d22f658754a408e82f985127f824daa" concept="clcid-pte:YingFuZhaiQuan" label="应付债券" periodRef="上年期末数" mulRef="_GBC_93410f9f0f51403686d6c566dbb4be50" unitRef="_GBC_03019b8a6970478d9879831b9f35ad89" addr="T0R58C3S1_1" formatStyle="Comma"/>
      <m:placeholder xlName="_PLD_c579cf57fa08459a86b423a4c41d29f1" addr="T0R59C0S1_1"/>
      <m:item xlName="_GBC_a0b45f1a1e5e4d71bf634aca7f441476" concept="clcid-ci-ar:FuZhuQiZhongYouXianGu" label="附注_其中：优先股" addr="T0R59C1S1_1"/>
      <m:item xlName="_GBC_2ee48c03548c42d281394f7c1840a2d8" concept="clcid-pte:QiZhongYouXianGu" label="其中：优先股" mulRef="_GBC_93410f9f0f51403686d6c566dbb4be50" unitRef="_GBC_03019b8a6970478d9879831b9f35ad89" addr="T0R59C2S1_1" formatStyle="Comma"/>
      <m:item xlName="_GBC_afeaa01a2bd546289ada5f03b72dde50" concept="clcid-pte:QiZhongYouXianGu" label="其中：优先股" periodRef="上年期末数" mulRef="_GBC_93410f9f0f51403686d6c566dbb4be50" unitRef="_GBC_03019b8a6970478d9879831b9f35ad89" addr="T0R59C3S1_1" formatStyle="Comma"/>
      <m:placeholder xlName="_PLD_97eef335caaf4f6280b8fe560f552114" addr="T0R60C0S1_1"/>
      <m:item xlName="_GBC_01e886f0d4d446929c926c01bb0e50f6" concept="clcid-ci-ar:FuZhuYongXuZhai" label="附注_永续债" addr="T0R60C1S1_1"/>
      <m:item xlName="_GBC_d6f2d558913d4d998ac0b0a6875fdea4" concept="clcid-pte:YongXuZhai" label="永续债" mulRef="_GBC_93410f9f0f51403686d6c566dbb4be50" unitRef="_GBC_03019b8a6970478d9879831b9f35ad89" addr="T0R60C2S1_1" formatStyle="Comma"/>
      <m:item xlName="_GBC_4aff5ce8bc8d40cfaa51da934b0201d1" concept="clcid-pte:YongXuZhai" label="永续债" periodRef="上年期末数" mulRef="_GBC_93410f9f0f51403686d6c566dbb4be50" unitRef="_GBC_03019b8a6970478d9879831b9f35ad89" addr="T0R60C3S1_1" formatStyle="Comma"/>
      <m:placeholder xlName="_PLD_41ab8199dac646ffb977a5d042e830f0" addr="T0R61C0S1_1"/>
      <m:item xlName="_GBC_6de8fb848adc40a79396dac5a1b1a4a6" concept="clcid-ci-ar:FuZhu_ZuLinFuZhai" label="附注_租赁负债" addr="T0R61C1S1_1"/>
      <m:item xlName="_GBC_22d1b9e25fd5491abb8bfae6269fe7a8" concept="clcid-pte:ZuLinFuZhai" label="租赁负债" mulRef="_GBC_93410f9f0f51403686d6c566dbb4be50" unitRef="_GBC_03019b8a6970478d9879831b9f35ad89" addr="T0R61C2S1_1" formatStyle="Comma"/>
      <m:item xlName="_GBC_3370ac46bc9748a5828c4f5f8f05be9b" concept="clcid-pte:ZuLinFuZhai" label="租赁负债" periodRef="上年期末数" mulRef="_GBC_93410f9f0f51403686d6c566dbb4be50" unitRef="_GBC_03019b8a6970478d9879831b9f35ad89" addr="T0R61C3S1_1" formatStyle="Comma"/>
      <m:placeholder xlName="_PLD_dac9c0c0507644bb986a71db7e16442e" addr="T0R62C0S1_1"/>
      <m:item xlName="_GBC_123aa4c379164bd38697484922cff823" concept="clcid-ci-ar:FuZhu_ChangQiYingFuKuan" label="附注_长期应付款" addr="T0R62C1S1_1"/>
      <m:item xlName="_GBC_8481a76a6d074ae680dba2d7ef9662c8" concept="clcid-pte:ChangQiYingFuKuan" label="长期应付款" mulRef="_GBC_93410f9f0f51403686d6c566dbb4be50" unitRef="_GBC_03019b8a6970478d9879831b9f35ad89" addr="T0R62C2S1_1" formatStyle="Comma"/>
      <m:item xlName="_GBC_f383dae3c9c74830a3e957afd8cfb8ef" concept="clcid-pte:ChangQiYingFuKuan" label="长期应付款" periodRef="上年期末数" mulRef="_GBC_93410f9f0f51403686d6c566dbb4be50" unitRef="_GBC_03019b8a6970478d9879831b9f35ad89" addr="T0R62C3S1_1" formatStyle="Comma"/>
      <m:placeholder xlName="_PLD_7ca3d691c4bb445d987b435cc923498d" addr="T0R63C0S1_1"/>
      <m:item xlName="_GBC_efc27220a7364141b8c6eb6b73ab91d2" concept="clcid-ci-ar:FuZhu_ChangQiYingFuZhiGongXinChou" label="附注_长期应付职工薪酬" addr="T0R63C1S1_1"/>
      <m:item xlName="_GBC_69b00437e61143fcbb48120b129a982a" concept="clcid-pte:ChangQiYingFuZhiGongXinChou" label="长期应付职工薪酬" mulRef="_GBC_93410f9f0f51403686d6c566dbb4be50" unitRef="_GBC_03019b8a6970478d9879831b9f35ad89" addr="T0R63C2S1_1" formatStyle="Comma"/>
      <m:item xlName="_GBC_8301e99e48f04986a3d5fae91fcd8540" concept="clcid-pte:ChangQiYingFuZhiGongXinChou" label="长期应付职工薪酬" periodRef="上年期末数" mulRef="_GBC_93410f9f0f51403686d6c566dbb4be50" unitRef="_GBC_03019b8a6970478d9879831b9f35ad89" addr="T0R63C3S1_1" formatStyle="Comma"/>
      <m:placeholder xlName="_PLD_5ef03772c31044a0ae66979c92546498" addr="T0R64C0S1_1"/>
      <m:item xlName="_GBC_ded34a3fee3c4e9e9ce388bf776d5e1f" concept="clcid-ci-ar:FuZhu_YuJiFuZhai" label="附注_预计负债" addr="T0R64C1S1_1"/>
      <m:item xlName="_GBC_16981749120d49fa884c31c2d71a610b" concept="clcid-pte:YuJiFuZhai" label="预计负债" mulRef="_GBC_93410f9f0f51403686d6c566dbb4be50" unitRef="_GBC_03019b8a6970478d9879831b9f35ad89" addr="T0R64C2S1_1" formatStyle="Comma"/>
      <m:item xlName="_GBC_0926d609da0f4090895107c04c49aaaa" concept="clcid-pte:YuJiFuZhai" label="预计负债" periodRef="上年期末数" mulRef="_GBC_93410f9f0f51403686d6c566dbb4be50" unitRef="_GBC_03019b8a6970478d9879831b9f35ad89" addr="T0R64C3S1_1" formatStyle="Comma"/>
      <m:placeholder xlName="_PLD_bc55ecc9f2e94e21a4479f854daab3d1" addr="T0R65C0S1_1"/>
      <m:item xlName="_GBC_476bdf6abc2740229657f8f9a1c8d30e" concept="clcid-ci-ar:FuZhuDiYanShouYi" label="附注_递延收益" addr="T0R65C1S1_1" formatStyle="Comma"/>
      <m:item xlName="_GBC_2788ef7125b945738a9f187ce60e1394" concept="clcid-pte:DiYanShouYi" label="递延收益" mulRef="_GBC_93410f9f0f51403686d6c566dbb4be50" unitRef="_GBC_03019b8a6970478d9879831b9f35ad89" addr="T0R65C2S1_1" formatStyle="Comma"/>
      <m:item xlName="_GBC_cfca2aa0411a40dda8878ff828fa9f29" concept="clcid-pte:DiYanShouYi" label="递延收益" periodRef="上年期末数" mulRef="_GBC_93410f9f0f51403686d6c566dbb4be50" unitRef="_GBC_03019b8a6970478d9879831b9f35ad89" addr="T0R65C3S1_1" formatStyle="Comma"/>
      <m:placeholder xlName="_PLD_c14f6997e887464193403db957749a14" addr="T0R66C0S1_1"/>
      <m:item xlName="_GBC_a63e47a407954ef4a8eb6ef1a5408428" concept="clcid-ci-ar:FuZhu_DiYanShuiKuanDaiXiangHeJi" label="附注_递延税款贷项合计" addr="T0R66C1S1_1"/>
      <m:item xlName="_GBC_df2c9d985a994a5796591912de2395cb" concept="clcid-pte:DiYanShuiKuanDaiXiangHeJi" label="递延税款贷项合计" mulRef="_GBC_93410f9f0f51403686d6c566dbb4be50" unitRef="_GBC_03019b8a6970478d9879831b9f35ad89" addr="T0R66C2S1_1" formatStyle="Comma"/>
      <m:item xlName="_GBC_3a753f15c2794427b76032b4210e617b" concept="clcid-pte:DiYanShuiKuanDaiXiangHeJi" label="递延税款贷项合计" periodRef="上年期末数" mulRef="_GBC_93410f9f0f51403686d6c566dbb4be50" unitRef="_GBC_03019b8a6970478d9879831b9f35ad89" addr="T0R66C3S1_1" formatStyle="Comma"/>
      <m:placeholder xlName="_PLD_9b678e67119f4c8c82b6f662daff6c28" addr="T0R67C0S1_1"/>
      <m:item xlName="_GBC_2a18ac7be3454c26a3bdde070fadf619" concept="clcid-ci-ar:FuZhu_QiTaChangQiFuZhai" label="附注_其他长期负债" addr="T0R67C1S1_1"/>
      <m:item xlName="_GBC_99b3e706013e4e11bd8e780cd7ab9ded" concept="clcid-pte:QiTaChangQiFuZhai" label="其他长期负债" mulRef="_GBC_93410f9f0f51403686d6c566dbb4be50" unitRef="_GBC_03019b8a6970478d9879831b9f35ad89" addr="T0R67C2S1_1" formatStyle="Comma"/>
      <m:item xlName="_GBC_10baf880f0a145b788bfc9ccf792ad9c" concept="clcid-pte:QiTaChangQiFuZhai" label="其他长期负债" periodRef="上年期末数" mulRef="_GBC_93410f9f0f51403686d6c566dbb4be50" unitRef="_GBC_03019b8a6970478d9879831b9f35ad89" addr="T0R67C3S1_1" formatStyle="Comma"/>
      <m:placeholder xlName="_PLD_ce66435b024e40e694bc897ac00062aa" addr="T0R68C0S1_1"/>
      <m:item xlName="_GBC_3b374852febd4dc0b74214fa2d232488" concept="clcid-ci-ar:FuZhu_ChangQiFuZhaiHeJi" label="附注_长期负债合计" addr="T0R68C1S1_1"/>
      <m:item xlName="_GBC_f4f4d1a2ef0b41e5878ebc00b59134a1" concept="clcid-pte:ChangQiFuZhaiHeJi" label="长期负债合计" mulRef="_GBC_93410f9f0f51403686d6c566dbb4be50" unitRef="_GBC_03019b8a6970478d9879831b9f35ad89" addr="T0R68C2S1_1" formatStyle="Comma">
        <m:complexRule comparator="Eq" title="长期负债合计" test=" $_GBC_d71b6041cd7a434ca7f817824e7bf426 +  $_GBC_f588f5a70e4243b2bfecc4fce14f69aa +  $_GBC_22d1b9e25fd5491abb8bfae6269fe7a8 +  $_GBC_8481a76a6d074ae680dba2d7ef9662c8 +  $_GBC_69b00437e61143fcbb48120b129a982a +  $_GBC_16981749120d49fa884c31c2d71a610b +  $_GBC_2788ef7125b945738a9f187ce60e1394 +  $_GBC_df2c9d985a994a5796591912de2395cb +  $_GBC_99b3e706013e4e11bd8e780cd7ab9ded" id="Cd3b965e20c3b48f08ed59c3e0a79fe27"/>
      </m:item>
      <m:item xlName="_GBC_7b7e5a1fbb3a42ca9f64f0bdca0872f2" concept="clcid-pte:ChangQiFuZhaiHeJi" label="长期负债合计" periodRef="上年期末数" mulRef="_GBC_93410f9f0f51403686d6c566dbb4be50" unitRef="_GBC_03019b8a6970478d9879831b9f35ad89" addr="T0R68C3S1_1" formatStyle="Comma">
        <m:complexRule comparator="Eq" title="长期负债合计@上年期末数" test=" $_GBC_466f6e6c61e048d6a685ac64e839c209 +  $_GBC_4d22f658754a408e82f985127f824daa +  $_GBC_3370ac46bc9748a5828c4f5f8f05be9b +  $_GBC_f383dae3c9c74830a3e957afd8cfb8ef +  $_GBC_8301e99e48f04986a3d5fae91fcd8540 +  $_GBC_0926d609da0f4090895107c04c49aaaa +  $_GBC_cfca2aa0411a40dda8878ff828fa9f29 +  $_GBC_3a753f15c2794427b76032b4210e617b +  $_GBC_10baf880f0a145b788bfc9ccf792ad9c" id="C0b6715f42a78413c8d3d189fd246d986"/>
      </m:item>
      <m:placeholder xlName="_PLD_0743c590808645dda421e25e2ecf433f" addr="T0R69C0S1_1"/>
      <m:item xlName="_GBC_a496238cfe4b4c77ad0de506fe6a2ba5" concept="clcid-ci-ar:FuZhu_FuZhaiHeJi" label="附注_负债合计" addr="T0R69C1S1_1"/>
      <m:item xlName="_GBC_cdb6f59bc75c4a72a6273b9cede092fc" concept="clcid-pte:FuZhaiHeJi" label="负债合计" mulRef="_GBC_93410f9f0f51403686d6c566dbb4be50" unitRef="_GBC_03019b8a6970478d9879831b9f35ad89" addr="T0R69C2S1_1" formatStyle="Comma">
        <m:complexRule comparator="Eq" title="负债合计" test=" $_GBC_97d3142046a7430cafcf3d85156be4b8 +  $_GBC_f4f4d1a2ef0b41e5878ebc00b59134a1" id="Cdf435adf05c54d2ba0da9252adf8b6e4"/>
      </m:item>
      <m:item xlName="_GBC_89f1c141771540ee8a49b141717c50e8" concept="clcid-pte:FuZhaiHeJi" label="负债合计" periodRef="上年期末数" mulRef="_GBC_93410f9f0f51403686d6c566dbb4be50" unitRef="_GBC_03019b8a6970478d9879831b9f35ad89" addr="T0R69C3S1_1" formatStyle="Comma">
        <m:complexRule comparator="Eq" title="负债合计@上年期末数" test=" $_GBC_8061d9fe1b014b249c69519ba740ec72 +  $_GBC_7b7e5a1fbb3a42ca9f64f0bdca0872f2" id="C47e970149cf44396a69f4b469c82e2be"/>
      </m:item>
      <m:placeholder xlName="_PLD_b5480890f3e74e1f8319641dcc8c7889" addr="T0R70C0S1_1"/>
      <m:placeholder xlName="_PLD_a99b335f08c74de5ab130a45a4f6cf3d" addr="T0R71C0S1_1"/>
      <m:item xlName="_GBC_86f47a55e2b24eec96faa06764b3eff5" concept="clcid-ci-ar:FuZhu_GuBen" label="附注_股本" addr="T0R71C1S1_1"/>
      <m:item xlName="_GBC_e92585d7d1c84495883233f9411fa66f" concept="clcid-pte:GuBen" label="股本" mulRef="_GBC_93410f9f0f51403686d6c566dbb4be50" unitRef="_GBC_03019b8a6970478d9879831b9f35ad89" addr="T0R71C2S1_1" formatStyle="Comma"/>
      <m:item xlName="_GBC_554e9ce4bfac437b86e662d56aef7494" concept="clcid-pte:GuBen" label="股本" periodRef="上年期末数" mulRef="_GBC_93410f9f0f51403686d6c566dbb4be50" unitRef="_GBC_03019b8a6970478d9879831b9f35ad89" addr="T0R71C3S1_1" formatStyle="Comma"/>
      <m:placeholder xlName="_PLD_2127fe17302841f0889cbb1d2ef8acfd" addr="T0R72C0S1_1"/>
      <m:item xlName="_GBC_4c46a79356914c388f1f42cc47c016ea" concept="clcid-ci-ar:FuZhuQiTaQuanYiGongJu" label="附注_其他权益工具" addr="T0R72C1S1_1"/>
      <m:item xlName="_GBC_9d92818115974914a94e31e23d13c2a2" concept="clcid-pte:QiTaQuanYiGongJu" label="其他权益工具" mulRef="_GBC_93410f9f0f51403686d6c566dbb4be50" unitRef="_GBC_03019b8a6970478d9879831b9f35ad89" addr="T0R72C2S1_1" formatStyle="Comma"/>
      <m:item xlName="_GBC_9a0dcc97c67f4cd3966f2fa9264e5fce" concept="clcid-pte:QiTaQuanYiGongJu" label="其他权益工具" periodRef="上年期末数" mulRef="_GBC_93410f9f0f51403686d6c566dbb4be50" unitRef="_GBC_03019b8a6970478d9879831b9f35ad89" addr="T0R72C3S1_1" formatStyle="Comma"/>
      <m:placeholder xlName="_PLD_5e1a280ea31b490fb03af54c17558b49" addr="T0R73C0S1_1"/>
      <m:item xlName="_GBC_bb9e9c7c4d2148f68949677bbdd8ecd1" concept="clcid-ci-ar:FuZhuQiTaQuanYiGongJuQiZhongYouXianGu" label="附注_其他权益工具-其中：优先股" addr="T0R73C1S1_1"/>
      <m:item xlName="_GBC_f415d9038d004f57b31e142093c4e074" concept="clcid-pte:QiTaQuanYiGongJuQiZhongYouXianGu" label="其他权益工具-其中：优先股" mulRef="_GBC_93410f9f0f51403686d6c566dbb4be50" unitRef="_GBC_03019b8a6970478d9879831b9f35ad89" addr="T0R73C2S1_1" formatStyle="Comma"/>
      <m:item xlName="_GBC_94449c609aa0427993cb7254ef71cb7f" concept="clcid-pte:QiTaQuanYiGongJuQiZhongYouXianGu" label="其他权益工具-其中：优先股" periodRef="上年期末数" mulRef="_GBC_93410f9f0f51403686d6c566dbb4be50" unitRef="_GBC_03019b8a6970478d9879831b9f35ad89" addr="T0R73C3S1_1" formatStyle="Comma"/>
      <m:placeholder xlName="_PLD_38cdd76d8ff448d4a63f7685a6073fd2" addr="T0R74C0S1_1"/>
      <m:item xlName="_GBC_b8369d122f4f487993fb64b4f71175ab" concept="clcid-ci-ar:FuZhuQiTaQuanYiGongJuYongXuZhai" label="附注_其他权益工具-永续债" addr="T0R74C1S1_1"/>
      <m:item xlName="_GBC_1a1cf62bef4248c2840cbff4449a7802" concept="clcid-pte:QiTaQuanYiGongJuYongXuZhai" label="其他权益工具-永续债" mulRef="_GBC_93410f9f0f51403686d6c566dbb4be50" unitRef="_GBC_03019b8a6970478d9879831b9f35ad89" addr="T0R74C2S1_1" formatStyle="Comma"/>
      <m:item xlName="_GBC_fcd5b443637346739e83837c6ca677e0" concept="clcid-pte:QiTaQuanYiGongJuYongXuZhai" label="其他权益工具-永续债" periodRef="上年期末数" mulRef="_GBC_93410f9f0f51403686d6c566dbb4be50" unitRef="_GBC_03019b8a6970478d9879831b9f35ad89" addr="T0R74C3S1_1" formatStyle="Comma"/>
      <m:placeholder xlName="_PLD_7907a3c4c9a146698636bdc9065d4809" addr="T0R75C0S1_1"/>
      <m:item xlName="_GBC_7bb603361a044106a965a51dd231ad1b" concept="clcid-ci-ar:FuZhu_ZiBenGongJi" label="附注_资本公积" addr="T0R75C1S1_1"/>
      <m:item xlName="_GBC_19a535803c4a424aa845364e30602ec6" concept="clcid-pte:ZiBenGongJi" label="资本公积" mulRef="_GBC_93410f9f0f51403686d6c566dbb4be50" unitRef="_GBC_03019b8a6970478d9879831b9f35ad89" addr="T0R75C2S1_1" formatStyle="Comma"/>
      <m:item xlName="_GBC_76b75d8bf7764e3098652b5648e8a6eb" concept="clcid-pte:ZiBenGongJi" label="资本公积" periodRef="上年期末数" mulRef="_GBC_93410f9f0f51403686d6c566dbb4be50" unitRef="_GBC_03019b8a6970478d9879831b9f35ad89" addr="T0R75C3S1_1" formatStyle="Comma"/>
      <m:placeholder xlName="_PLD_768375a39ab3485bbf4e75f8fef6cf4c" addr="T0R76C0S1_1"/>
      <m:item xlName="_GBC_4f1801fca4174ca990f0bf758fe8565a" concept="clcid-ci-ar:FuZhu_JianKuCunGu" label="附注_减：库存股" addr="T0R76C1S1_1"/>
      <m:item xlName="_GBC_a4d8cc0b305e4a789c3e3e34422a16bd" concept="clcid-pte:KuCunGu" label="库存股" mulRef="_GBC_93410f9f0f51403686d6c566dbb4be50" unitRef="_GBC_03019b8a6970478d9879831b9f35ad89" addr="T0R76C2S1_1" formatStyle="Comma"/>
      <m:item xlName="_GBC_5c9ee87f1c73483f88be28ece3353615" concept="clcid-pte:KuCunGu" label="库存股" periodRef="上年期末数" mulRef="_GBC_93410f9f0f51403686d6c566dbb4be50" unitRef="_GBC_03019b8a6970478d9879831b9f35ad89" addr="T0R76C3S1_1" formatStyle="Comma"/>
      <m:placeholder xlName="_PLD_3633769805cf46ae8a4e9f3d48952c95" addr="T0R77C0S1_1"/>
      <m:item xlName="_GBC_c0b76e6ff656442890859e001416582e" concept="clcid-ci-ar:FuZhuQiTaZongHeShouYiZiChanFuZhaiBiaoXiangMu" label="附注_其他综合收益（资产负债表项目）" addr="T0R77C1S1_1"/>
      <m:item xlName="_GBC_97082c67576747cd912e1bc91224d66d" concept="clcid-pte:QiTaZongHeShouYiZiChanFuZhaiBiaoXiangMu" label="其他综合收益（资产负债表项目）" mulRef="_GBC_93410f9f0f51403686d6c566dbb4be50" unitRef="_GBC_03019b8a6970478d9879831b9f35ad89" addr="T0R77C2S1_1" formatStyle="Comma"/>
      <m:item xlName="_GBC_80135c664a63485794475d0f5bcd68ce" concept="clcid-pte:QiTaZongHeShouYiZiChanFuZhaiBiaoXiangMu" label="其他综合收益（资产负债表项目）" periodRef="上年期末数" mulRef="_GBC_93410f9f0f51403686d6c566dbb4be50" unitRef="_GBC_03019b8a6970478d9879831b9f35ad89" addr="T0R77C3S1_1" formatStyle="Comma"/>
      <m:placeholder xlName="_PLD_af4f6b21ff5b4beea281ea103e092b80" addr="T0R78C0S1_1"/>
      <m:item xlName="_GBC_45b33cb36eb94728aff00f1c234fe510" concept="clcid-ci-ar:FuZhu_ZhuanXiangChuBei" label="附注_专项储备" addr="T0R78C1S1_1"/>
      <m:item xlName="_GBC_940535635b6c4f178132bf9ffb857826" concept="clcid-pte:ZhuanXiangChuBei" label="专项储备" mulRef="_GBC_93410f9f0f51403686d6c566dbb4be50" unitRef="_GBC_03019b8a6970478d9879831b9f35ad89" addr="T0R78C2S1_1" formatStyle="Comma"/>
      <m:item xlName="_GBC_fa94edc254504f1c96d0c443e1bb626c" concept="clcid-pte:ZhuanXiangChuBei" label="专项储备" periodRef="上年期末数" mulRef="_GBC_93410f9f0f51403686d6c566dbb4be50" unitRef="_GBC_03019b8a6970478d9879831b9f35ad89" addr="T0R78C3S1_1" formatStyle="Comma"/>
      <m:placeholder xlName="_PLD_bd3d7e23e018478ebc815abbb57882e7" addr="T0R79C0S1_1"/>
      <m:item xlName="_GBC_f1fe2b250bed4acb832e6ed34279b74e" concept="clcid-ci-ar:FuZhu_YingYuGongJi" label="附注_盈余公积" addr="T0R79C1S1_1"/>
      <m:item xlName="_GBC_80d90776b347495e9e3afe4efbd2ce6f" concept="clcid-pte:YingYuGongJi" label="盈余公积" mulRef="_GBC_93410f9f0f51403686d6c566dbb4be50" unitRef="_GBC_03019b8a6970478d9879831b9f35ad89" addr="T0R79C2S1_1" formatStyle="Comma"/>
      <m:item xlName="_GBC_062bc3d07f414596914ba7d8e0cad53b" concept="clcid-pte:YingYuGongJi" label="盈余公积" periodRef="上年期末数" mulRef="_GBC_93410f9f0f51403686d6c566dbb4be50" unitRef="_GBC_03019b8a6970478d9879831b9f35ad89" addr="T0R79C3S1_1" formatStyle="Comma"/>
      <m:placeholder xlName="_PLD_a65ea5fe50dd479792e4e274dd1278b0" addr="T0R80C0S1_1"/>
      <m:item xlName="_GBC_17d136cf93ca42439c62ac60e3cb37e0" concept="clcid-ci-ar:FuZhu_WeiFenPeiLiRun" label="附注_未分配利润" addr="T0R80C1S1_1"/>
      <m:item xlName="_GBC_adaea59392904366a4f33b81bdf7b570" concept="clcid-pte:WeiFenPeiLiRun" label="未分配利润" mulRef="_GBC_93410f9f0f51403686d6c566dbb4be50" unitRef="_GBC_03019b8a6970478d9879831b9f35ad89" addr="T0R80C2S1_1" formatStyle="Comma"/>
      <m:item xlName="_GBC_4f896587c8d24bc29fd39616437b34cf" concept="clcid-pte:WeiFenPeiLiRun" label="未分配利润" periodRef="上年期末数" mulRef="_GBC_93410f9f0f51403686d6c566dbb4be50" unitRef="_GBC_03019b8a6970478d9879831b9f35ad89" addr="T0R80C3S1_1" formatStyle="Comma"/>
      <m:placeholder xlName="_PLD_1b3d6775da41478eaafcdf4cb5a5168f" addr="T0R81C0S1_1"/>
      <m:item xlName="_GBC_602c0d88c185431298171b7612d0c2c1" concept="clcid-ci-ar:FuZhu_GuDongQuanYiHeJi" label="附注_股东权益合计" addr="T0R81C1S1_1"/>
      <m:item xlName="_GBC_18205091c0554f92b552a006aeecfead" concept="clcid-pte:GuDongQuanYiHeJi" label="股东权益合计" mulRef="_GBC_93410f9f0f51403686d6c566dbb4be50" unitRef="_GBC_03019b8a6970478d9879831b9f35ad89" addr="T0R81C2S1_1" formatStyle="Comma">
        <m:complexRule comparator="Eq" title="股东权益合计" test=" $_GBC_e92585d7d1c84495883233f9411fa66f +  $_GBC_9d92818115974914a94e31e23d13c2a2 +  $_GBC_19a535803c4a424aa845364e30602ec6 -  $_GBC_a4d8cc0b305e4a789c3e3e34422a16bd +  $_GBC_97082c67576747cd912e1bc91224d66d +  $_GBC_940535635b6c4f178132bf9ffb857826 +  $_GBC_80d90776b347495e9e3afe4efbd2ce6f +  $_GBC_adaea59392904366a4f33b81bdf7b570" id="Cd6d2394779904d12a8bb6b6e2e718334"/>
      </m:item>
      <m:item xlName="_GBC_2d3cfb78b631408eaa7f4b2e054b3771" concept="clcid-pte:GuDongQuanYiHeJi" label="股东权益合计" periodRef="上年期末数" mulRef="_GBC_93410f9f0f51403686d6c566dbb4be50" unitRef="_GBC_03019b8a6970478d9879831b9f35ad89" addr="T0R81C3S1_1" formatStyle="Comma">
        <m:complexRule comparator="Eq" title="股东权益合计@上年期末数" test=" $_GBC_554e9ce4bfac437b86e662d56aef7494 +  $_GBC_9a0dcc97c67f4cd3966f2fa9264e5fce +  $_GBC_76b75d8bf7764e3098652b5648e8a6eb -  $_GBC_5c9ee87f1c73483f88be28ece3353615 +  $_GBC_80135c664a63485794475d0f5bcd68ce +  $_GBC_fa94edc254504f1c96d0c443e1bb626c +  $_GBC_062bc3d07f414596914ba7d8e0cad53b +  $_GBC_4f896587c8d24bc29fd39616437b34cf" id="Ce34fe578daf0416c99d07f84a417222c"/>
      </m:item>
      <m:placeholder xlName="_PLD_a2bb78cfb02d43f485c86d2ff2541822" addr="T0R82C0S1_1"/>
      <m:item xlName="_GBC_9004945191504a09a6c38e2df53f4909" concept="clcid-ci-ar:FuZhu_FuZhaiHeGuDongQuanYiHeJi" label="附注_负债和股东权益合计" addr="T0R82C1S1_1"/>
      <m:item xlName="_GBC_ea8b08e8586b40399581c75eeb61452e" concept="clcid-pte:FuZhaiHeGuDongQuanYiHeJi" label="负债和股东权益合计" mulRef="_GBC_93410f9f0f51403686d6c566dbb4be50" unitRef="_GBC_03019b8a6970478d9879831b9f35ad89" addr="T0R82C2S1_1" formatStyle="Comma">
        <m:complexRule comparator="Eq" title="负债和股东权益合计" test=" $_GBC_cdb6f59bc75c4a72a6273b9cede092fc +  $_GBC_18205091c0554f92b552a006aeecfead" id="C8b84c3b24fc34085a5e9d5abf8394edb"/>
      </m:item>
      <m:item xlName="_GBC_978683121f774b28a31b0c5bfd5ff0d5" concept="clcid-pte:FuZhaiHeGuDongQuanYiHeJi" label="负债和股东权益合计" periodRef="上年期末数" mulRef="_GBC_93410f9f0f51403686d6c566dbb4be50" unitRef="_GBC_03019b8a6970478d9879831b9f35ad89" addr="T0R82C3S1_1" formatStyle="Comma">
        <m:complexRule comparator="Eq" title="负债和股东权益合计@上年期末数" test=" $_GBC_89f1c141771540ee8a49b141717c50e8 +  $_GBC_2d3cfb78b631408eaa7f4b2e054b3771" id="Cdf2ecb85531a44cb9ff5781f87919d0c"/>
      </m:item>
      <m:item xlName="_GBC_a8870336d3c140dbad30113f0782c9fe" concept="clcid-mr:GongSiFuZeRenXingMing" label="公司负责人姓名" binding="true"/>
      <m:item xlName="_GBC_9437e30593f649668dfd65b9a8ea89d5" concept="clcid-mr:ZhuGuanKuaiJiGongZuoFuZeRenXingMing" label="主管会计工作负责人姓名" binding="true"/>
      <m:item xlName="_GBC_8aa686c1e59046a6873a3e16ede05e4b" concept="clcid-mr:KuaiJiJiGouFuZeRenXingMing" label="会计机构负责人姓名" binding="true"/>
      <m:rowModel locationConcept="clcid-ci-ar:ZiDingYiKeMuWeiZhi" labelConcept="clcid-ci-ar:ZiDingYiKeMuMingCheng" conceptPrefix="资产负债表" presentationRole="http://www.xbrl-cn.org/cn/lcid/lr/role/BalanceSheetforCommercialandIndustrialCompanies" presentationParentConcept="clcid-pte:ZiChanFuZhaiBiao" tuplePrefix="项目"/>
    </m:section>
    <m:section xlName="_GBC_bf89afc47e17438594730edb3412d929" title="需要编制合并报表" checkKey="合并" helpId="112001001" primarySection="_GBC_bf89afc47e17438594730edb3412d929" optionText="需要编制合并报表" optionGroupTitle="是否需要合并报表" optionTargetConcept="clcid-ci-ar:ShiFouXuYaoHeBingBaoBiao" optionTargetConceptValue="true" keyAction="57">
      <m:region xlName="_GBC_cc363e9840a448cbaf363887668cbe2a" title="合并利润表&#10;" helpId="112001001" helpText="注：财务费用涉及金融业务需单独列示汇兑收益项目">
        <m:item xlName="_GBC_4fec24feb4834b768c484fe556046382" concept="clcid-ci-ar:DanWeiHeBingLiRunBiao" label="单位：合并利润表" selectOptions="_buildInScales" controlType="Combobox" cellType="Scale"/>
        <m:item xlName="_GBC_ae5c0d79e5694eb28ba1b8160e27a464" concept="clcid-ci-ar:BiZhongHeBingLiRunBiao" label="币种：合并利润表" selectOptions="_buildInISO4217" controlType="Combobox" cellType="Measure"/>
        <m:placeholder xlName="_PLD_ea01e0b0c9224fe59426c375515c2359" addr="T0R0C0S1_1"/>
        <m:placeholder xlName="_PLD_e4f45f42e79e4a4aba892e3a7a7b123d" addr="T0R0C1S1_1"/>
        <m:placeholder xlName="_PLD_41682cdf00e5450394986df99de953d1" addr="T0R0C2S1_1"/>
        <m:placeholder xlName="_PLD_f020215569a54a6db2bd3d5298280e01" addr="T0R0C3S1_1"/>
        <m:placeholder xlName="_PLD_2d877c352d5440b8bf7dcd1940d9f85b" addr="T0R1C0S1_1"/>
        <m:item xlName="_GBC_b0952c5a782e47c9809a7cb9462b03e7" concept="clcid-ci-ar:FuZhu_YingYeZongShouRu" label="附注_营业总收入" addr="T0R1C1S1_1"/>
        <m:item xlName="_GBC_b798ba3a36e8446bb48acd631928aae4" concept="clcid-pte:YingYeZongShouRu" label="营业总收入" mulRef="_GBC_4fec24feb4834b768c484fe556046382" unitRef="_GBC_ae5c0d79e5694eb28ba1b8160e27a464" addr="T0R1C2S1_1" formatStyle="Comma">
          <m:complexRule comparator="Eq" title="营业总收入" test=" $_GBC_5e31039f08544e8cbd23f8530c0a5f23 +  $_GBC_bb5504470b1240dc854365a8bb08b22b +  $_GBC_4107e28941ea4ca59c2c0f115ddbe16f +  $_GBC_527213a84d90436495c41f8e14000541" id="Cdb8287b5c2564d179615c17792533ee7"/>
        </m:item>
        <m:item xlName="_GBC_f7ccfe0076bc4dd586dc80eff396e3ed" concept="clcid-pte:YingYeZongShouRu" label="营业总收入" periodRef="上年同期数" mulRef="_GBC_4fec24feb4834b768c484fe556046382" unitRef="_GBC_ae5c0d79e5694eb28ba1b8160e27a464" addr="T0R1C3S1_1" formatStyle="Comma">
          <m:complexRule comparator="Eq" title="营业总收入@上年同期数" test=" $_GBC_2a5f624661334ab2b5b81bfb3364b098 +  $_GBC_4bc024a848bb487eb1402740fc25d234 +  $_GBC_ea7cfe82c50a4ce0b9ad10821f8ff8f2 +  $_GBC_4e1c1f1f0fe1462b9cbb99045ccabbd3" id="C5e3fcfd17a054d319f9e2fbea88f5aba"/>
        </m:item>
        <m:placeholder xlName="_PLD_7f7b1fb368014debb0a48d797b8c9159" addr="T0R2C0S1_1"/>
        <m:item xlName="_GBC_20eef41363704b0a9231e30f96f92d4f" concept="clcid-ci-ar:FuZhu_YingYeShouRu" label="附注_营业收入" addr="T0R2C1S1_1"/>
        <m:item xlName="_GBC_5e31039f08544e8cbd23f8530c0a5f23" concept="clcid-pte:YingYeShouRu" label="营业收入" mulRef="_GBC_4fec24feb4834b768c484fe556046382" unitRef="_GBC_ae5c0d79e5694eb28ba1b8160e27a464" addr="T0R2C2S1_1" formatStyle="Comma"/>
        <m:item xlName="_GBC_2a5f624661334ab2b5b81bfb3364b098" concept="clcid-pte:YingYeShouRu" label="营业收入" periodRef="上年同期数" mulRef="_GBC_4fec24feb4834b768c484fe556046382" unitRef="_GBC_ae5c0d79e5694eb28ba1b8160e27a464" addr="T0R2C3S1_1" formatStyle="Comma"/>
        <m:placeholder xlName="_PLD_4bb4a9195510467caafeb8cff0762036" addr="T0R3C0S1_1"/>
        <m:item xlName="_GBC_5e177e3c0d59463594fa419412006dda" concept="clcid-ci-ar:FuZhu_LiXiShouRu" label="附注_利息收入" addr="T0R3C1S1_1"/>
        <m:item xlName="_GBC_bb5504470b1240dc854365a8bb08b22b" concept="clcid-pte:JinRongZiChanLiXiShouRu" label="金融资产利息收入" mulRef="_GBC_4fec24feb4834b768c484fe556046382" unitRef="_GBC_ae5c0d79e5694eb28ba1b8160e27a464" addr="T0R3C2S1_1" formatStyle="Comma"/>
        <m:item xlName="_GBC_4bc024a848bb487eb1402740fc25d234" concept="clcid-pte:JinRongZiChanLiXiShouRu" label="金融资产利息收入" periodRef="上年同期数" mulRef="_GBC_4fec24feb4834b768c484fe556046382" unitRef="_GBC_ae5c0d79e5694eb28ba1b8160e27a464" addr="T0R3C3S1_1" formatStyle="Comma"/>
        <m:placeholder xlName="_PLD_30359468eba04ffa9f75eced8813c7f6" addr="T0R4C0S1_1"/>
        <m:item xlName="_GBC_080f6268ddb64375bdaa904267d1e13e" concept="clcid-ci-ar:FuZhu_YiZhuanBaoFei" label="附注_已赚保费" addr="T0R4C1S1_1"/>
        <m:item xlName="_GBC_4107e28941ea4ca59c2c0f115ddbe16f" concept="clcid-pte:YiZhuanBaoFei" label="已赚保费" mulRef="_GBC_4fec24feb4834b768c484fe556046382" unitRef="_GBC_ae5c0d79e5694eb28ba1b8160e27a464" addr="T0R4C2S1_1" formatStyle="Comma"/>
        <m:item xlName="_GBC_ea7cfe82c50a4ce0b9ad10821f8ff8f2" concept="clcid-pte:YiZhuanBaoFei" label="已赚保费" periodRef="上年同期数" mulRef="_GBC_4fec24feb4834b768c484fe556046382" unitRef="_GBC_ae5c0d79e5694eb28ba1b8160e27a464" addr="T0R4C3S1_1" formatStyle="Comma"/>
        <m:placeholder xlName="_PLD_b7b3fd7ce91b4e7e9b50735409fad4b2" addr="T0R5C0S1_1"/>
        <m:item xlName="_GBC_b859e6e7b3074d8bb19b32583f5ee0ab" concept="clcid-ci-ar:FuZhu_ShouXuFeiJiYongJinShouRu" label="附注_手续费及佣金收入" addr="T0R5C1S1_1"/>
        <m:item xlName="_GBC_527213a84d90436495c41f8e14000541" concept="clcid-pte:ShouXuFeiJiYongJinShouRu" label="手续费及佣金收入" mulRef="_GBC_4fec24feb4834b768c484fe556046382" unitRef="_GBC_ae5c0d79e5694eb28ba1b8160e27a464" addr="T0R5C2S1_1" formatStyle="Comma"/>
        <m:item xlName="_GBC_4e1c1f1f0fe1462b9cbb99045ccabbd3" concept="clcid-pte:ShouXuFeiJiYongJinShouRu" label="手续费及佣金收入" periodRef="上年同期数" mulRef="_GBC_4fec24feb4834b768c484fe556046382" unitRef="_GBC_ae5c0d79e5694eb28ba1b8160e27a464" addr="T0R5C3S1_1" formatStyle="Comma"/>
        <m:placeholder xlName="_PLD_f666055067944f82816d6d4acfa0eb4c" addr="T0R6C0S1_1"/>
        <m:item xlName="_GBC_00d2eeb84e774911a50853e1da70e714" concept="clcid-ci-ar:FuZhu_YingYeZongChengBen" label="附注_营业总成本" addr="T0R6C1S1_1"/>
        <m:item xlName="_GBC_c159383829ae44a7a582baabd440fa05" concept="clcid-pte:YingYeZongChengBen" label="营业总成本" mulRef="_GBC_4fec24feb4834b768c484fe556046382" unitRef="_GBC_ae5c0d79e5694eb28ba1b8160e27a464" addr="T0R6C2S1_1" baseScale="-1" formatStyle="Comma">
          <m:complexRule comparator="Eq" title="营业总成本" test=" $_GBC_37e86ba5c1204a6e8a12b452d3a88c36 +  $_GBC_c4790f21ed7045039bfc3d019ea989f4 +  $_GBC_5eacbc7df4504d36bb36779517d2a5dd +  $_GBC_f5c78be5f07240f7980e30c3a4df34b2 +  $_GBC_3173a73d4ee74daf86f57b968cbfdf2d +  $_GBC_2e45a0ec948f4a9fb099c9a26de139ad +  $_GBC_4513832d2629455a81533bf8b42d44fa +  $_GBC_99b950e3fc7a4c71b01afb84623cec4f +  $_GBC_d7bb0e9f23fe437d96ee8a2557fe1160 +  $_GBC_053f7648820d47c49ddf69c8bd1119a3 +  $_GBC_3c2f682b34d743b8a79c567f48eb2d91 +  $_GBC_edd8d46011284e759d30d6fe91f207d6 +  $_GBC_72f3507ca3784ac29942190b96ae1283" id="C1276e5df61f041aba555a52ed734ea15"/>
        </m:item>
        <m:item xlName="_GBC_c3c79df7441a481e9c5dcec64a0932ea" concept="clcid-pte:YingYeZongChengBen" label="营业总成本" periodRef="上年同期数" mulRef="_GBC_4fec24feb4834b768c484fe556046382" unitRef="_GBC_ae5c0d79e5694eb28ba1b8160e27a464" addr="T0R6C3S1_1" baseScale="-1" formatStyle="Comma">
          <m:complexRule comparator="Eq" title="营业总成本@上年同期数" test=" $_GBC_4f6ba239a4b9477fadca0a53f52d9cdc +  $_GBC_ea489da39eb34455a1f526ce82609f92 +  $_GBC_574a9a4f7231441bbb4a41e4050921e9 +  $_GBC_ee4ac72ac5b74f8eb8a582baf633c166 +  $_GBC_191dcf898abb44f5a950e7a6021067ea +  $_GBC_dfc191e93b5e4fcca59095d4d82dce14 +  $_GBC_2395a052e2ab4bfdae732e5de0381e0c +  $_GBC_22701a53aa94491f89cf465305093083 +  $_GBC_73c83f4ac1a6499c847c08690c5fd7b8 +  $_GBC_daa4bec1fec4439cb156e106a0eb717c +  $_GBC_469b681e96c24cba886b34ae9ac43f14 +  $_GBC_f278e603d4184260bb426591fd82f8a3 +  $_GBC_bdde57d510c145bfb63babdf14c71104" id="Ceadd1a7089f04136b3bc70817d69f7d2"/>
        </m:item>
        <m:placeholder xlName="_PLD_21171334ba69445a843af4e467f2f7b1" addr="T0R7C0S1_1"/>
        <m:item xlName="_GBC_6d60ddd61b1343ca8c6c8a7255b19335" concept="clcid-ci-ar:FuZhu_YingYeChengBen" label="附注_营业成本" addr="T0R7C1S1_1"/>
        <m:item xlName="_GBC_37e86ba5c1204a6e8a12b452d3a88c36" concept="clcid-pte:YingYeChengBen" label="营业成本" mulRef="_GBC_4fec24feb4834b768c484fe556046382" unitRef="_GBC_ae5c0d79e5694eb28ba1b8160e27a464" addr="T0R7C2S1_1" baseScale="-1" formatStyle="Comma"/>
        <m:item xlName="_GBC_4f6ba239a4b9477fadca0a53f52d9cdc" concept="clcid-pte:YingYeChengBen" label="营业成本" periodRef="上年同期数" mulRef="_GBC_4fec24feb4834b768c484fe556046382" unitRef="_GBC_ae5c0d79e5694eb28ba1b8160e27a464" addr="T0R7C3S1_1" baseScale="-1" formatStyle="Comma"/>
        <m:placeholder xlName="_PLD_63933a3d083f4e46896b598fd5ce81e0" addr="T0R8C0S1_1"/>
        <m:item xlName="_GBC_f8af8337befd48189b06297f8d607671" concept="clcid-ci-ar:FuZhu_LiXiZhiChu" label="附注_利息支出" addr="T0R8C1S1_1"/>
        <m:item xlName="_GBC_c4790f21ed7045039bfc3d019ea989f4" concept="clcid-pte:JinRongZiChanLiXiZhiChu" label="金融资产利息支出" mulRef="_GBC_4fec24feb4834b768c484fe556046382" unitRef="_GBC_ae5c0d79e5694eb28ba1b8160e27a464" addr="T0R8C2S1_1" baseScale="-1" formatStyle="Comma"/>
        <m:item xlName="_GBC_ea489da39eb34455a1f526ce82609f92" concept="clcid-pte:JinRongZiChanLiXiZhiChu" label="金融资产利息支出" periodRef="上年同期数" mulRef="_GBC_4fec24feb4834b768c484fe556046382" unitRef="_GBC_ae5c0d79e5694eb28ba1b8160e27a464" addr="T0R8C3S1_1" baseScale="-1" formatStyle="Comma"/>
        <m:placeholder xlName="_PLD_934fe982f64044ad97c0d08ecb41b364" addr="T0R9C0S1_1"/>
        <m:item xlName="_GBC_74629b5b405e48fa8fa328c52b56f8da" concept="clcid-ci-ar:FuZhu_ShouXuFeiJiYongJinZhiChu" label="附注_手续费及佣金支出" addr="T0R9C1S1_1"/>
        <m:item xlName="_GBC_5eacbc7df4504d36bb36779517d2a5dd" concept="clcid-pte:ShouXuFeiJiYongJinZhiChu" label="手续费及佣金支出" mulRef="_GBC_4fec24feb4834b768c484fe556046382" unitRef="_GBC_ae5c0d79e5694eb28ba1b8160e27a464" addr="T0R9C2S1_1" baseScale="-1" formatStyle="Comma"/>
        <m:item xlName="_GBC_574a9a4f7231441bbb4a41e4050921e9" concept="clcid-pte:ShouXuFeiJiYongJinZhiChu" label="手续费及佣金支出" periodRef="上年同期数" mulRef="_GBC_4fec24feb4834b768c484fe556046382" unitRef="_GBC_ae5c0d79e5694eb28ba1b8160e27a464" addr="T0R9C3S1_1" baseScale="-1" formatStyle="Comma"/>
        <m:placeholder xlName="_PLD_eaafee5ba2dd4351ac6567c52b90028d" addr="T0R10C0S1_1"/>
        <m:item xlName="_GBC_97e56cb7f6854abc9a9e04379b31ea96" concept="clcid-ci-ar:FuZhu_TuiBaoJin" label="附注_退保金" addr="T0R10C1S1_1"/>
        <m:item xlName="_GBC_f5c78be5f07240f7980e30c3a4df34b2" concept="clcid-pte:TuiBaoJin" label="退保金" mulRef="_GBC_4fec24feb4834b768c484fe556046382" unitRef="_GBC_ae5c0d79e5694eb28ba1b8160e27a464" addr="T0R10C2S1_1" baseScale="-1" formatStyle="Comma"/>
        <m:item xlName="_GBC_ee4ac72ac5b74f8eb8a582baf633c166" concept="clcid-pte:TuiBaoJin" label="退保金" periodRef="上年同期数" mulRef="_GBC_4fec24feb4834b768c484fe556046382" unitRef="_GBC_ae5c0d79e5694eb28ba1b8160e27a464" addr="T0R10C3S1_1" baseScale="-1" formatStyle="Comma"/>
        <m:placeholder xlName="_PLD_d2b12062f8d44ca990403c69bec23c10" addr="T0R11C0S1_1"/>
        <m:item xlName="_GBC_0b099ccfb192482397a2a08691f55db3" concept="clcid-ci-ar:FuZhu_PeiFuZhiChuJingE" label="附注_赔付支出净额" addr="T0R11C1S1_1"/>
        <m:item xlName="_GBC_3173a73d4ee74daf86f57b968cbfdf2d" concept="clcid-pte:PeiFuZhiChuJingE" label="赔付支出净额" mulRef="_GBC_4fec24feb4834b768c484fe556046382" unitRef="_GBC_ae5c0d79e5694eb28ba1b8160e27a464" addr="T0R11C2S1_1" baseScale="-1" formatStyle="Comma"/>
        <m:item xlName="_GBC_191dcf898abb44f5a950e7a6021067ea" concept="clcid-pte:PeiFuZhiChuJingE" label="赔付支出净额" periodRef="上年同期数" mulRef="_GBC_4fec24feb4834b768c484fe556046382" unitRef="_GBC_ae5c0d79e5694eb28ba1b8160e27a464" addr="T0R11C3S1_1" baseScale="-1" formatStyle="Comma"/>
        <m:placeholder xlName="_PLD_875c876824d140a6b5076aa4e7f82db5" addr="T0R12C0S1_1"/>
        <m:item xlName="_GBC_bfb7ed8d1bf54feb9e95cd7aca944f77" concept="clcid-ci-ar:FuZhu_TiQuBaoXianHeTongZhunBeiJinJingE" label="附注_提取保险合同准备金净额" addr="T0R12C1S1_1"/>
        <m:item xlName="_GBC_2e45a0ec948f4a9fb099c9a26de139ad" concept="clcid-pte:TiQuBaoXianHeTongZhunBeiJinJingE" label="提取保险合同准备金净额" mulRef="_GBC_4fec24feb4834b768c484fe556046382" unitRef="_GBC_ae5c0d79e5694eb28ba1b8160e27a464" addr="T0R12C2S1_1" baseScale="-1" formatStyle="Comma"/>
        <m:item xlName="_GBC_dfc191e93b5e4fcca59095d4d82dce14" concept="clcid-pte:TiQuBaoXianHeTongZhunBeiJinJingE" label="提取保险合同准备金净额" periodRef="上年同期数" mulRef="_GBC_4fec24feb4834b768c484fe556046382" unitRef="_GBC_ae5c0d79e5694eb28ba1b8160e27a464" addr="T0R12C3S1_1" baseScale="-1" formatStyle="Comma"/>
        <m:placeholder xlName="_PLD_9d4d1ca3123b4cdc816e88724acaf725" addr="T0R13C0S1_1"/>
        <m:item xlName="_GBC_f5899482a4924cf09d2d91f12829b512" concept="clcid-ci-ar:FuZhu_BaoDanHongLiZhiChu" label="附注_保单红利支出" addr="T0R13C1S1_1"/>
        <m:item xlName="_GBC_4513832d2629455a81533bf8b42d44fa" concept="clcid-pte:BaoDanHongLiZhiChu" label="保单红利支出" mulRef="_GBC_4fec24feb4834b768c484fe556046382" unitRef="_GBC_ae5c0d79e5694eb28ba1b8160e27a464" addr="T0R13C2S1_1" baseScale="-1" formatStyle="Comma"/>
        <m:item xlName="_GBC_2395a052e2ab4bfdae732e5de0381e0c" concept="clcid-pte:BaoDanHongLiZhiChu" label="保单红利支出" periodRef="上年同期数" mulRef="_GBC_4fec24feb4834b768c484fe556046382" unitRef="_GBC_ae5c0d79e5694eb28ba1b8160e27a464" addr="T0R13C3S1_1" baseScale="-1" formatStyle="Comma"/>
        <m:placeholder xlName="_PLD_c70ac86a67b244f1a170db9b0705b55a" addr="T0R14C0S1_1"/>
        <m:item xlName="_GBC_687abd9da9e446ef8f7a6ce422f087d2" concept="clcid-ci-ar:FuZhu_FenBaoFeiYong" label="附注_分保费用" addr="T0R14C1S1_1"/>
        <m:item xlName="_GBC_99b950e3fc7a4c71b01afb84623cec4f" concept="clcid-pte:FenBaoFeiYong" label="分保费用" mulRef="_GBC_4fec24feb4834b768c484fe556046382" unitRef="_GBC_ae5c0d79e5694eb28ba1b8160e27a464" addr="T0R14C2S1_1" baseScale="-1" formatStyle="Comma"/>
        <m:item xlName="_GBC_22701a53aa94491f89cf465305093083" concept="clcid-pte:FenBaoFeiYong" label="分保费用" periodRef="上年同期数" mulRef="_GBC_4fec24feb4834b768c484fe556046382" unitRef="_GBC_ae5c0d79e5694eb28ba1b8160e27a464" addr="T0R14C3S1_1" baseScale="-1" formatStyle="Comma"/>
        <m:placeholder xlName="_PLD_06c17ba723b44617ab108e2265705c9e" addr="T0R15C0S1_1"/>
        <m:item xlName="_GBC_748b8f57dc454be9bbcd013b07b504b0" concept="clcid-ci-ar:FuZhu_YingYeShuiJinJiFuJia" label="附注_税金及附加" addr="T0R15C1S1_1"/>
        <m:item xlName="_GBC_d7bb0e9f23fe437d96ee8a2557fe1160" concept="clcid-pte:YingYeShuiJinJiFuJia" label="税金及附加" mulRef="_GBC_4fec24feb4834b768c484fe556046382" unitRef="_GBC_ae5c0d79e5694eb28ba1b8160e27a464" addr="T0R15C2S1_1" baseScale="-1" formatStyle="Comma"/>
        <m:item xlName="_GBC_73c83f4ac1a6499c847c08690c5fd7b8" concept="clcid-pte:YingYeShuiJinJiFuJia" label="税金及附加" periodRef="上年同期数" mulRef="_GBC_4fec24feb4834b768c484fe556046382" unitRef="_GBC_ae5c0d79e5694eb28ba1b8160e27a464" addr="T0R15C3S1_1" baseScale="-1" formatStyle="Comma"/>
        <m:placeholder xlName="_PLD_a3b8d65ff4ec461aa0e45656973f9d4f" addr="T0R16C0S1_1"/>
        <m:item xlName="_GBC_044b239e5e5342129056b62292bfdf9f" concept="clcid-ci-ar:FuZhu_XiaoShouFeiYong" label="附注_销售费用" addr="T0R16C1S1_1"/>
        <m:item xlName="_GBC_053f7648820d47c49ddf69c8bd1119a3" concept="clcid-pte:XiaoShouFeiYong" label="销售费用" mulRef="_GBC_4fec24feb4834b768c484fe556046382" unitRef="_GBC_ae5c0d79e5694eb28ba1b8160e27a464" addr="T0R16C2S1_1" baseScale="-1" formatStyle="Comma"/>
        <m:item xlName="_GBC_daa4bec1fec4439cb156e106a0eb717c" concept="clcid-pte:XiaoShouFeiYong" label="销售费用" periodRef="上年同期数" mulRef="_GBC_4fec24feb4834b768c484fe556046382" unitRef="_GBC_ae5c0d79e5694eb28ba1b8160e27a464" addr="T0R16C3S1_1" baseScale="-1" formatStyle="Comma"/>
        <m:placeholder xlName="_PLD_bed77e0a08324462af3ef7a5005bb139" addr="T0R17C0S1_1"/>
        <m:item xlName="_GBC_41a333d1345b418e91a3cc1c453b3202" concept="clcid-ci-ar:FuZhu_GuanLiFeiYong" label="附注_管理费用" addr="T0R17C1S1_1"/>
        <m:item xlName="_GBC_3c2f682b34d743b8a79c567f48eb2d91" concept="clcid-pte:GuanLiFeiYong" label="管理费用" mulRef="_GBC_4fec24feb4834b768c484fe556046382" unitRef="_GBC_ae5c0d79e5694eb28ba1b8160e27a464" addr="T0R17C2S1_1" baseScale="-1" formatStyle="Comma"/>
        <m:item xlName="_GBC_469b681e96c24cba886b34ae9ac43f14" concept="clcid-pte:GuanLiFeiYong" label="管理费用" periodRef="上年同期数" mulRef="_GBC_4fec24feb4834b768c484fe556046382" unitRef="_GBC_ae5c0d79e5694eb28ba1b8160e27a464" addr="T0R17C3S1_1" baseScale="-1" formatStyle="Comma"/>
        <m:placeholder xlName="_PLD_016c8567363a4b4facb5a9c7d99f206b" addr="T0R18C0S1_1"/>
        <m:item xlName="_GBC_1f458b90fe104eeeb4a27da3dd093667" concept="clcid-ci-ar:FuZhu_YanFaFeiYong" label="附注_研发费用" addr="T0R18C1S1_1"/>
        <m:item xlName="_GBC_edd8d46011284e759d30d6fe91f207d6" concept="clcid-pte:YanFaFeiYong" label="研发费用" mulRef="_GBC_4fec24feb4834b768c484fe556046382" unitRef="_GBC_ae5c0d79e5694eb28ba1b8160e27a464" addr="T0R18C2S1_1" baseScale="-1" formatStyle="Comma"/>
        <m:item xlName="_GBC_f278e603d4184260bb426591fd82f8a3" concept="clcid-pte:YanFaFeiYong" label="研发费用" periodRef="上年同期数" mulRef="_GBC_4fec24feb4834b768c484fe556046382" unitRef="_GBC_ae5c0d79e5694eb28ba1b8160e27a464" addr="T0R18C3S1_1" baseScale="-1" formatStyle="Comma"/>
        <m:placeholder xlName="_PLD_6faf3cf39dfa4fd1925e0d9be4566671" addr="T0R19C0S1_1"/>
        <m:item xlName="_GBC_274244b0f84d46f69ae85b86df4a6f75" concept="clcid-ci-ar:FuZhu_CaiWuFeiYong" label="附注_财务费用" addr="T0R19C1S1_1"/>
        <m:item xlName="_GBC_72f3507ca3784ac29942190b96ae1283" concept="clcid-pte:CaiWuFeiYong" label="财务费用" mulRef="_GBC_4fec24feb4834b768c484fe556046382" unitRef="_GBC_ae5c0d79e5694eb28ba1b8160e27a464" addr="T0R19C2S1_1" baseScale="-1" formatStyle="Comma"/>
        <m:item xlName="_GBC_bdde57d510c145bfb63babdf14c71104" concept="clcid-pte:CaiWuFeiYong" label="财务费用" periodRef="上年同期数" mulRef="_GBC_4fec24feb4834b768c484fe556046382" unitRef="_GBC_ae5c0d79e5694eb28ba1b8160e27a464" addr="T0R19C3S1_1" baseScale="-1" formatStyle="Comma"/>
        <m:placeholder xlName="_PLD_d8e9b72af75c437aafc0c975b29e2a55" addr="T0R20C0S1_1"/>
        <m:item xlName="_GBC_e2d6fb533e664c0ba320652d9d041d32" concept="clcid-ci-ar:FuZhu_CaiWuFeiYongLiXiFeiYong" label="附注_财务费用利息费用" addr="T0R20C1S1_1"/>
        <m:item xlName="_GBC_3c723acf4a6245198cc9321546c9e391" concept="clcid-pte:LiXiZhiChu" label="利息支出" mulRef="_GBC_4fec24feb4834b768c484fe556046382" unitRef="_GBC_ae5c0d79e5694eb28ba1b8160e27a464" addr="T0R20C2S1_1" baseScale="-1" formatStyle="Comma"/>
        <m:item xlName="_GBC_bd1a1cbdd5f24e148599a121a0213d85" concept="clcid-pte:LiXiZhiChu" label="利息支出" periodRef="上年同期数" mulRef="_GBC_4fec24feb4834b768c484fe556046382" unitRef="_GBC_ae5c0d79e5694eb28ba1b8160e27a464" addr="T0R20C3S1_1" baseScale="-1" formatStyle="Comma"/>
        <m:placeholder xlName="_PLD_c9295ba98b84473595f32450ae66410e" addr="T0R21C0S1_1"/>
        <m:item xlName="_GBC_a84eadbf09ca44039e5ee9e7f5ca7b38" concept="clcid-ci-ar:FuZhu_CaiWuFeiYongLiXiShouRu" label="附注_财务费用利息收入" addr="T0R21C1S1_1"/>
        <m:item xlName="_GBC_3f87eaab8df549408109156ec0fadcac" concept="clcid-pte:LiXiShouRu" label="利息收入" mulRef="_GBC_4fec24feb4834b768c484fe556046382" unitRef="_GBC_ae5c0d79e5694eb28ba1b8160e27a464" addr="T0R21C2S1_1" baseScale="-1" formatStyle="Comma"/>
        <m:item xlName="_GBC_dcd4845ea62d4356ae4e0bf12a1b4e47" concept="clcid-pte:LiXiShouRu" label="利息收入" periodRef="上年同期数" mulRef="_GBC_4fec24feb4834b768c484fe556046382" unitRef="_GBC_ae5c0d79e5694eb28ba1b8160e27a464" addr="T0R21C3S1_1" baseScale="-1" formatStyle="Comma"/>
        <m:placeholder xlName="_PLD_c5148208867748028cb9d238ab2addb6" addr="T0R22C0S1_1"/>
        <m:item xlName="_GBC_2d6bf2a258c042e5b4f9e4f7e7d8f808" concept="clcid-ci-ar:FuZhuQiTaShouYi" label="附注_其他收益" addr="T0R22C1S1_1"/>
        <m:item xlName="_GBC_81d92773a6184161ab9fca59acdcdf47" concept="clcid-pte:QiTaShouYi" label="其他收益" mulRef="_GBC_4fec24feb4834b768c484fe556046382" unitRef="_GBC_ae5c0d79e5694eb28ba1b8160e27a464" addr="T0R22C2S1_1" formatStyle="Comma"/>
        <m:item xlName="_GBC_2c785e77c44b4bb5a1122364f84c75a3" concept="clcid-pte:QiTaShouYi" label="其他收益" periodRef="上年同期数" mulRef="_GBC_4fec24feb4834b768c484fe556046382" unitRef="_GBC_ae5c0d79e5694eb28ba1b8160e27a464" addr="T0R22C3S1_1" formatStyle="Comma"/>
        <m:placeholder xlName="_PLD_c58a027e2ee74b79b026fbba720ccf3a" addr="T0R23C0S1_1"/>
        <m:item xlName="_GBC_3244c530537b495bbcf0958ede754b20" concept="clcid-ci-ar:FuZhu_TouZiShouYi" label="附注_投资收益" addr="T0R23C1S1_1"/>
        <m:item xlName="_GBC_c46bbf200aff4fafa804ce44d194410b" concept="clcid-pte:TouZiShouYi" label="投资收益" mulRef="_GBC_4fec24feb4834b768c484fe556046382" unitRef="_GBC_ae5c0d79e5694eb28ba1b8160e27a464" addr="T0R23C2S1_1" formatStyle="Comma"/>
        <m:item xlName="_GBC_eb64401575454c0ba26f961f88d13672" concept="clcid-pte:TouZiShouYi" label="投资收益" periodRef="上年同期数" mulRef="_GBC_4fec24feb4834b768c484fe556046382" unitRef="_GBC_ae5c0d79e5694eb28ba1b8160e27a464" addr="T0R23C3S1_1" formatStyle="Comma"/>
        <m:placeholder xlName="_PLD_58f92dc598044243844972f7264dee3f" addr="T0R24C0S1_1"/>
        <m:item xlName="_GBC_1ecad343a2e6419da77bce5350d75299" concept="clcid-ci-ar:FuZhu_DuiLianYingQiYeHeHeYingQiYeDeTouZiShouYi" label="附注_对联营企业和合营企业的投资收益" addr="T0R24C1S1_1"/>
        <m:item xlName="_GBC_0f710c14183c41a893739edf2ad4907b" concept="clcid-pte:DuiLianYingQiYeHeHeYingQiYeDeTouZiShouYi" label="对联营企业和合营企业的投资收益" mulRef="_GBC_4fec24feb4834b768c484fe556046382" unitRef="_GBC_ae5c0d79e5694eb28ba1b8160e27a464" addr="T0R24C2S1_1" formatStyle="Comma"/>
        <m:item xlName="_GBC_06a70539c51f4e8997deb66a66586a0b" concept="clcid-pte:DuiLianYingQiYeHeHeYingQiYeDeTouZiShouYi" label="对联营企业和合营企业的投资收益" periodRef="上年同期数" mulRef="_GBC_4fec24feb4834b768c484fe556046382" unitRef="_GBC_ae5c0d79e5694eb28ba1b8160e27a464" addr="T0R24C3S1_1" formatStyle="Comma"/>
        <m:placeholder xlName="_PLD_f783ee8c18aa4ec6b0fe746603c1afc2" addr="T0R25C0S1_1"/>
        <m:item xlName="_GBC_9c30419737514f9ba114bc33496b0006" concept="clcid-ci-ar:FuZhu_YiTanYuChengBenJiLiangDeJinRongZiChanZhongZhiQueRenChanShengDeShouYi" label="附注_以摊余成本计量的金融资产终止确认产生的收益" addr="T0R25C1S1_1"/>
        <m:item xlName="_GBC_af317dd45c2f46c9a79b33640d03ac1a" concept="clcid-pte:YiTanYuChengBenJiLiangDeJinRongZiChanZhongZhiQueRenChanShengDeShouYi" label="以摊余成本计量的金融资产终止确认产生的收益" mulRef="_GBC_4fec24feb4834b768c484fe556046382" unitRef="_GBC_ae5c0d79e5694eb28ba1b8160e27a464" addr="T0R25C2S1_1" formatStyle="Comma"/>
        <m:item xlName="_GBC_e2f2f0207af944699fb768573fcea9aa" concept="clcid-pte:YiTanYuChengBenJiLiangDeJinRongZiChanZhongZhiQueRenChanShengDeShouYi" label="以摊余成本计量的金融资产终止确认产生的收益" periodRef="上年同期数" mulRef="_GBC_4fec24feb4834b768c484fe556046382" unitRef="_GBC_ae5c0d79e5694eb28ba1b8160e27a464" addr="T0R25C3S1_1" formatStyle="Comma"/>
        <m:placeholder xlName="_PLD_33855fc7ddf74a1b9f9c1dfc4ab34fc7" addr="T0R26C0S1_1"/>
        <m:item xlName="_GBC_838f0d58269041b2bf27b30fa3112baa" concept="clcid-ci-ar:FuZhu_HuiDuiShouYi" label="附注_汇兑收益" addr="T0R26C1S1_1"/>
        <m:item xlName="_GBC_79fb25d76c09409fa0361aa0dff6e285" concept="clcid-pte:HuiDuiShouYi" label="汇兑收益" mulRef="_GBC_4fec24feb4834b768c484fe556046382" unitRef="_GBC_ae5c0d79e5694eb28ba1b8160e27a464" addr="T0R26C2S1_1" formatStyle="Comma"/>
        <m:item xlName="_GBC_aedc4461795c4591a3881958f381c267" concept="clcid-pte:HuiDuiShouYi" label="汇兑收益" periodRef="上年同期数" mulRef="_GBC_4fec24feb4834b768c484fe556046382" unitRef="_GBC_ae5c0d79e5694eb28ba1b8160e27a464" addr="T0R26C3S1_1" formatStyle="Comma"/>
        <m:placeholder xlName="_PLD_6351bb9f9f034ce8b252cc8056810655" addr="T0R27C0S1_1"/>
        <m:item xlName="_GBC_f7c734b900154c489b1a59bc5002dc01" concept="clcid-ci-ar:FuZhu_JingChangKouTaoQiShouYi" label="附注_净敞口套期收益" addr="T0R27C1S1_1"/>
        <m:item xlName="_GBC_2aac53db514f48c288fd93f2a69e8962" concept="clcid-pte:JingChangKouTaoQiShouYi" label="净敞口套期收益" mulRef="_GBC_4fec24feb4834b768c484fe556046382" unitRef="_GBC_ae5c0d79e5694eb28ba1b8160e27a464" addr="T0R27C2S1_1" formatStyle="Comma"/>
        <m:item xlName="_GBC_8de46690fd9d46e283117e4f542868bc" concept="clcid-pte:JingChangKouTaoQiShouYi" label="净敞口套期收益" periodRef="上年同期数" mulRef="_GBC_4fec24feb4834b768c484fe556046382" unitRef="_GBC_ae5c0d79e5694eb28ba1b8160e27a464" addr="T0R27C3S1_1" formatStyle="Comma"/>
        <m:placeholder xlName="_PLD_e6e5f627ac054b8b8f91f930cd45c7d6" addr="T0R28C0S1_1"/>
        <m:item xlName="_GBC_271e9ac7e28c464b9be8a7019e3de5da" concept="clcid-ci-ar:FuZhu_GongYunJiaZhiBianDongShouYi" label="附注_公允价值变动收益" addr="T0R28C1S1_1"/>
        <m:item xlName="_GBC_148331dcb8a642d5ad31b7bcf932aafa" concept="clcid-pte:GongYunJiaZhiBianDongShouYi" label="公允价值变动收益" mulRef="_GBC_4fec24feb4834b768c484fe556046382" unitRef="_GBC_ae5c0d79e5694eb28ba1b8160e27a464" addr="T0R28C2S1_1" formatStyle="Comma"/>
        <m:item xlName="_GBC_c3e79408ff2542ab9022e718f8b9181b" concept="clcid-pte:GongYunJiaZhiBianDongShouYi" label="公允价值变动收益" periodRef="上年同期数" mulRef="_GBC_4fec24feb4834b768c484fe556046382" unitRef="_GBC_ae5c0d79e5694eb28ba1b8160e27a464" addr="T0R28C3S1_1" formatStyle="Comma"/>
        <m:placeholder xlName="_PLD_e30e32ac0eb74cccbe4261a78579a5ff" addr="T0R29C0S1_1"/>
        <m:item xlName="_GBC_5103130dda0d4a2991cd266eba3d247e" concept="clcid-ci-ar:FuZhu_XinYongJianZhiSunShi" label="附注_信用减值损失" addr="T0R29C1S1_1"/>
        <m:item xlName="_GBC_2f1be0074f2b4f9b9cfb6d825e6e716d" concept="clcid-pte:XinYongJianZhiSunShi" label="信用减值损失" mulRef="_GBC_4fec24feb4834b768c484fe556046382" unitRef="_GBC_ae5c0d79e5694eb28ba1b8160e27a464" addr="T0R29C2S1_1" formatStyle="Comma"/>
        <m:item xlName="_GBC_73ecaede37bb436896b169e8ec982ef1" concept="clcid-pte:XinYongJianZhiSunShi" label="信用减值损失" periodRef="上年同期数" mulRef="_GBC_4fec24feb4834b768c484fe556046382" unitRef="_GBC_ae5c0d79e5694eb28ba1b8160e27a464" addr="T0R29C3S1_1" formatStyle="Comma"/>
        <m:placeholder xlName="_PLD_fe82d7189b7a42a6ae64dd80ca9bbe80" addr="T0R30C0S1_1"/>
        <m:item xlName="_GBC_262d77d33027470cafc7e5618cf25605" concept="clcid-ci-ar:FuZhu_ZiChanJianZhiSunShi" label="附注_资产减值损失" addr="T0R30C1S1_1"/>
        <m:item xlName="_GBC_6a3762b17af34224ba308ef78217c41d" concept="clcid-pte:ZiChanJianZhiSunShi" label="资产减值损失" mulRef="_GBC_4fec24feb4834b768c484fe556046382" unitRef="_GBC_ae5c0d79e5694eb28ba1b8160e27a464" addr="T0R30C2S1_1" formatStyle="Comma"/>
        <m:item xlName="_GBC_e059c7036a23422f88cd0c8871a3894a" concept="clcid-pte:ZiChanJianZhiSunShi" label="资产减值损失" periodRef="上年同期数" mulRef="_GBC_4fec24feb4834b768c484fe556046382" unitRef="_GBC_ae5c0d79e5694eb28ba1b8160e27a464" addr="T0R30C3S1_1" formatStyle="Comma"/>
        <m:placeholder xlName="_PLD_60761ec4a82c4bc298a64deee215586d" addr="T0R31C0S1_1"/>
        <m:item xlName="_GBC_3fce9a2181ba4c67a5e685410bc3ead8" concept="clcid-ci-ar:FuZhu_ZiChanChuZhiSHouYi" label="附注_资产处置收益" addr="T0R31C1S1_1"/>
        <m:item xlName="_GBC_76eb01754ed347c0b7bc326fbc280212" concept="clcid-pte:ZiChanChuZhiSHouYi" label="资产处置收益" mulRef="_GBC_4fec24feb4834b768c484fe556046382" unitRef="_GBC_ae5c0d79e5694eb28ba1b8160e27a464" addr="T0R31C2S1_1" formatStyle="Comma"/>
        <m:item xlName="_GBC_5004129917df40a2ac6aa795e33d65e5" concept="clcid-pte:ZiChanChuZhiSHouYi" label="资产处置收益" periodRef="上年同期数" mulRef="_GBC_4fec24feb4834b768c484fe556046382" unitRef="_GBC_ae5c0d79e5694eb28ba1b8160e27a464" addr="T0R31C3S1_1" formatStyle="Comma"/>
        <m:placeholder xlName="_PLD_18d15c0eacb94678be3131e09c8d9904" addr="T0R32C0S1_1"/>
        <m:item xlName="_GBC_b2adff6ca3a84f64a3e21106b8c25b34" concept="clcid-ci-ar:FuZhu_YingYeLiRun" label="附注_营业利润" addr="T0R32C1S1_1"/>
        <m:item xlName="_GBC_3255aca0af7d413b8f2b03953f59dba7" concept="clcid-pte:YingYeLiRun" label="营业利润" mulRef="_GBC_4fec24feb4834b768c484fe556046382" unitRef="_GBC_ae5c0d79e5694eb28ba1b8160e27a464" addr="T0R32C2S1_1" formatStyle="Comma">
          <m:complexRule comparator="Eq" title="营业利润" test=" $_GBC_b798ba3a36e8446bb48acd631928aae4 -  $_GBC_c159383829ae44a7a582baabd440fa05 +  $_GBC_81d92773a6184161ab9fca59acdcdf47 +  $_GBC_c46bbf200aff4fafa804ce44d194410b +  $_GBC_79fb25d76c09409fa0361aa0dff6e285 +  $_GBC_2aac53db514f48c288fd93f2a69e8962 +  $_GBC_148331dcb8a642d5ad31b7bcf932aafa +  $_GBC_76eb01754ed347c0b7bc326fbc280212 +  $_GBC_2f1be0074f2b4f9b9cfb6d825e6e716d +  $_GBC_6a3762b17af34224ba308ef78217c41d" id="C2e78eb18ca0c47b79fe2aa616e381391"/>
        </m:item>
        <m:item xlName="_GBC_87279e5ec7a6440ca5c1a837aede000d" concept="clcid-pte:YingYeLiRun" label="营业利润" periodRef="上年同期数" mulRef="_GBC_4fec24feb4834b768c484fe556046382" unitRef="_GBC_ae5c0d79e5694eb28ba1b8160e27a464" addr="T0R32C3S1_1" formatStyle="Comma">
          <m:complexRule comparator="Eq" title="营业利润@上年同期数" test=" $_GBC_f7ccfe0076bc4dd586dc80eff396e3ed -  $_GBC_c3c79df7441a481e9c5dcec64a0932ea +  $_GBC_2c785e77c44b4bb5a1122364f84c75a3 +  $_GBC_eb64401575454c0ba26f961f88d13672 +  $_GBC_aedc4461795c4591a3881958f381c267 +  $_GBC_8de46690fd9d46e283117e4f542868bc +  $_GBC_c3e79408ff2542ab9022e718f8b9181b +  $_GBC_5004129917df40a2ac6aa795e33d65e5 +  $_GBC_73ecaede37bb436896b169e8ec982ef1 +  $_GBC_e059c7036a23422f88cd0c8871a3894a" id="C527ea5d9e07944c790f29a1191568497"/>
        </m:item>
        <m:placeholder xlName="_PLD_e328c8d559944bfd89e7332623e0aea3" addr="T0R33C0S1_1"/>
        <m:item xlName="_GBC_ccb5fd30192a4cbd89cff8f8954bb24c" concept="clcid-ci-ar:FuZhu_YingYeWaiShouRu" label="附注_营业外收入" addr="T0R33C1S1_1"/>
        <m:item xlName="_GBC_0c299a587eca4d34826c8eaee2f5f4ac" concept="clcid-pte:YingYeWaiShouRu" label="营业外收入" mulRef="_GBC_4fec24feb4834b768c484fe556046382" unitRef="_GBC_ae5c0d79e5694eb28ba1b8160e27a464" addr="T0R33C2S1_1" formatStyle="Comma"/>
        <m:item xlName="_GBC_f15d69246dcf48a6839cfccf835c2417" concept="clcid-pte:YingYeWaiShouRu" label="营业外收入" periodRef="上年同期数" mulRef="_GBC_4fec24feb4834b768c484fe556046382" unitRef="_GBC_ae5c0d79e5694eb28ba1b8160e27a464" addr="T0R33C3S1_1" formatStyle="Comma"/>
        <m:placeholder xlName="_PLD_862b6a23799a4cfdb3792bfc43248bcd" addr="T0R34C0S1_1"/>
        <m:item xlName="_GBC_115c67ad6a344201a110e3664683a241" concept="clcid-ci-ar:FuZhu_YingYeWaiZhiChu" label="附注_营业外支出" addr="T0R34C1S1_1"/>
        <m:item xlName="_GBC_83929c28de944e3280c3dfea5ba3441b" concept="clcid-pte:YingYeWaiZhiChu" label="营业外支出" mulRef="_GBC_4fec24feb4834b768c484fe556046382" unitRef="_GBC_ae5c0d79e5694eb28ba1b8160e27a464" addr="T0R34C2S1_1" baseScale="-1" formatStyle="Comma"/>
        <m:item xlName="_GBC_4ae05e317836409b8b1b0cb2bcbad1a9" concept="clcid-pte:YingYeWaiZhiChu" label="营业外支出" periodRef="上年同期数" mulRef="_GBC_4fec24feb4834b768c484fe556046382" unitRef="_GBC_ae5c0d79e5694eb28ba1b8160e27a464" addr="T0R34C3S1_1" baseScale="-1" formatStyle="Comma"/>
        <m:placeholder xlName="_PLD_91e0599aa02a45b39a5b0dfc801cbadf" addr="T0R35C0S1_1"/>
        <m:item xlName="_GBC_fa2c5fcca98840679d3daff7fc8d0b6c" concept="clcid-ci-ar:FuZhu_LiRunZongE" label="附注_利润总额" addr="T0R35C1S1_1"/>
        <m:item xlName="_GBC_a2dd758dd09b4a85ae6b4ccd278d4807" concept="clcid-pte:LiRunZongE" label="利润总额" mulRef="_GBC_4fec24feb4834b768c484fe556046382" unitRef="_GBC_ae5c0d79e5694eb28ba1b8160e27a464" addr="T0R35C2S1_1" formatStyle="Comma">
          <m:complexRule comparator="Eq" title="利润总额" test=" $_GBC_3255aca0af7d413b8f2b03953f59dba7 +  $_GBC_0c299a587eca4d34826c8eaee2f5f4ac -  $_GBC_83929c28de944e3280c3dfea5ba3441b" id="Cbcc1f46480634e8dad947c7dfd6a7ca9"/>
        </m:item>
        <m:item xlName="_GBC_c7f70b365db643bbbfc32199018d46c9" concept="clcid-pte:LiRunZongE" label="利润总额" periodRef="上年同期数" mulRef="_GBC_4fec24feb4834b768c484fe556046382" unitRef="_GBC_ae5c0d79e5694eb28ba1b8160e27a464" addr="T0R35C3S1_1" formatStyle="Comma">
          <m:complexRule comparator="Eq" title="利润总额@上年同期数" test=" $_GBC_87279e5ec7a6440ca5c1a837aede000d +  $_GBC_f15d69246dcf48a6839cfccf835c2417 -  $_GBC_4ae05e317836409b8b1b0cb2bcbad1a9" id="Cbbabc0a9fbf240ce84ba3d0f30913248"/>
        </m:item>
        <m:placeholder xlName="_PLD_068015dc8ea145fca7f54b4569a31184" addr="T0R36C0S1_1"/>
        <m:item xlName="_GBC_4ec76745ffe24bff8de1ae4215251bf8" concept="clcid-ci-ar:FuZhu_SuoDeShui" label="附注_所得税" addr="T0R36C1S1_1"/>
        <m:item xlName="_GBC_1e931dce5dea4fa1aff27879bd2db92c" concept="clcid-pte:SuoDeShui" label="所得税" mulRef="_GBC_4fec24feb4834b768c484fe556046382" unitRef="_GBC_ae5c0d79e5694eb28ba1b8160e27a464" addr="T0R36C2S1_1" baseScale="-1" formatStyle="Comma"/>
        <m:item xlName="_GBC_1a71001296614b668743b36dd5773a30" concept="clcid-pte:SuoDeShui" label="所得税" periodRef="上年同期数" mulRef="_GBC_4fec24feb4834b768c484fe556046382" unitRef="_GBC_ae5c0d79e5694eb28ba1b8160e27a464" addr="T0R36C3S1_1" baseScale="-1" formatStyle="Comma"/>
        <m:placeholder xlName="_PLD_355129e4ca9b4d29bd85d210d08f622f" addr="T0R37C0S1_1"/>
        <m:item xlName="_GBC_3311664b4085479f8b9e3c979a052c2f" concept="clcid-ci-ar:FuZhu_JingLiRun" label="附注_净利润" addr="T0R37C1S1_1"/>
        <m:item xlName="_GBC_c11ea2bc2419446f9a76751752ededee" concept="clcid-pte:JingLiRun" label="净利润" mulRef="_GBC_4fec24feb4834b768c484fe556046382" unitRef="_GBC_ae5c0d79e5694eb28ba1b8160e27a464" addr="T0R37C2S1_1" formatStyle="Comma">
          <m:complexRule comparator="Eq" test=" $_GBC_48078e0cb7e24c238f2c171867856f67 +  $_GBC_3533f237e48e4b30b75e56339c86788b" id="C334a3bb74ca64698bf862b69c3282ea5"/>
          <m:complexRule comparator="Eq" title="净利润" test=" $_GBC_a2dd758dd09b4a85ae6b4ccd278d4807 -  $_GBC_1e931dce5dea4fa1aff27879bd2db92c" id="C5fa8fccded654c7fbfc70b5ad19fdf3f"/>
          <m:complexRule comparator="Eq" test=" $_GBC_25f7588d30154f9ea1817e100ed82fc7 +  $_GBC_ba414d77a998452a8302a5fe006af3de" id="C6f7349d010574bcca350cfb9a7ca0f0d"/>
        </m:item>
        <m:item xlName="_GBC_4f029ef0f9e2416694c13bd8abf29231" concept="clcid-pte:JingLiRun" label="净利润" periodRef="上年同期数" mulRef="_GBC_4fec24feb4834b768c484fe556046382" unitRef="_GBC_ae5c0d79e5694eb28ba1b8160e27a464" addr="T0R37C3S1_1" formatStyle="Comma">
          <m:complexRule comparator="Eq" title="净利润@上年同期数" test=" $_GBC_c7f70b365db643bbbfc32199018d46c9 -  $_GBC_1a71001296614b668743b36dd5773a30" id="C83b68ab026b44c57a0b9a980f08eba49"/>
          <m:complexRule comparator="Eq" test=" $_GBC_cf194ecc090244408dd63c647732557a +  $_GBC_2890dd8b2e8342a48e639f4fd1cedd20" id="C54e7866ee372438f9d271a211f273f9f"/>
          <m:complexRule comparator="Eq" test=" $_GBC_0e8d7c0e9bed428ca57154051731e3f0 +  $_GBC_4a4038fe58694f558ab20ebd5208efcf" id="C496569a0f69a4892a48520bd7a1f3574"/>
        </m:item>
        <m:placeholder xlName="_PLD_c576a2f5fbec4ba2b1cc36d0a215ba5c" addr="T0R38C0S1_4"/>
        <m:placeholder xlName="_PLD_0cbbecfa36204e9cb4a8afb27df49afc" addr="T0R39C0S1_1"/>
        <m:item xlName="_GBC_69b350a12fa24fc4b06641dc7040066b" concept="clcid-ci-ar:FuZhu_ChiXuJingYingJingLiRun" label="附注_持续经营净利润" addr="T0R39C1S1_1" formatStyle="Comma"/>
        <m:item xlName="_GBC_48078e0cb7e24c238f2c171867856f67" concept="clcid-pte:ChiXuJingYingJingLiRun" label="持续经营净利润" mulRef="_GBC_4fec24feb4834b768c484fe556046382" unitRef="_GBC_ae5c0d79e5694eb28ba1b8160e27a464" addr="T0R39C2S1_1" formatStyle="Comma"/>
        <m:item xlName="_GBC_cf194ecc090244408dd63c647732557a" concept="clcid-pte:ChiXuJingYingJingLiRun" label="持续经营净利润" periodRef="上年同期数" mulRef="_GBC_4fec24feb4834b768c484fe556046382" unitRef="_GBC_ae5c0d79e5694eb28ba1b8160e27a464" addr="T0R39C3S1_1" formatStyle="Comma"/>
        <m:placeholder xlName="_PLD_52694b4d274c4f909bf793dd26abeda4" addr="T0R40C0S1_1"/>
        <m:item xlName="_GBC_dceb35b1dbf141bc8f2a227112a5c680" concept="clcid-ci-ar:FuZhu_ZhongZhiJingYingJingLiRun" label="附注_终止经营净利润" addr="T0R40C1S1_1" formatStyle="Comma"/>
        <m:item xlName="_GBC_3533f237e48e4b30b75e56339c86788b" concept="clcid-pte:ZhongZhiJingYingJingLiRun" label="终止经营净利润" mulRef="_GBC_4fec24feb4834b768c484fe556046382" unitRef="_GBC_ae5c0d79e5694eb28ba1b8160e27a464" addr="T0R40C2S1_1" formatStyle="Comma"/>
        <m:item xlName="_GBC_2890dd8b2e8342a48e639f4fd1cedd20" concept="clcid-pte:ZhongZhiJingYingJingLiRun" label="终止经营净利润" periodRef="上年同期数" mulRef="_GBC_4fec24feb4834b768c484fe556046382" unitRef="_GBC_ae5c0d79e5694eb28ba1b8160e27a464" addr="T0R40C3S1_1" formatStyle="Comma"/>
        <m:placeholder xlName="_PLD_5da729560f54464cbcc9ce762078f9ba" addr="T0R41C0S1_4"/>
        <m:placeholder xlName="_PLD_d4f7c178814a4729a89415435ac2aac1" addr="T0R42C0S1_1"/>
        <m:item xlName="_GBC_8731ab320b3846c7b00509af1b987365" concept="clcid-ci-ar:FuZhu_GuiShuYuMuGongSiSuoYouZheDeJingLiRun" label="附注_归属于母公司所有者的净利润" addr="T0R42C1S1_1"/>
        <m:item xlName="_GBC_25f7588d30154f9ea1817e100ed82fc7" concept="clcid-pte:GuiShuYuMuGongSiSuoYouZheDeJingLiRun" label="归属于母公司所有者的净利润" mulRef="_GBC_4fec24feb4834b768c484fe556046382" unitRef="_GBC_ae5c0d79e5694eb28ba1b8160e27a464" addr="T0R42C2S1_1" formatStyle="Comma"/>
        <m:item xlName="_GBC_0e8d7c0e9bed428ca57154051731e3f0" concept="clcid-pte:GuiShuYuMuGongSiSuoYouZheDeJingLiRun" label="归属于母公司所有者的净利润" periodRef="上年同期数" mulRef="_GBC_4fec24feb4834b768c484fe556046382" unitRef="_GBC_ae5c0d79e5694eb28ba1b8160e27a464" addr="T0R42C3S1_1" formatStyle="Comma"/>
        <m:placeholder xlName="_PLD_095b31d3979943dc85b47d9a42d89a91" addr="T0R43C0S1_1"/>
        <m:item xlName="_GBC_c0c833e7a7484335bcfb3b33dc0af6eb" concept="clcid-ci-ar:FuZhu_ShaoShuGuDongSunYi" label="附注_少数股东损益" addr="T0R43C1S1_1"/>
        <m:item xlName="_GBC_ba414d77a998452a8302a5fe006af3de" concept="clcid-pte:ShaoShuGuDongSunYi" label="少数股东损益" mulRef="_GBC_4fec24feb4834b768c484fe556046382" unitRef="_GBC_ae5c0d79e5694eb28ba1b8160e27a464" addr="T0R43C2S1_1" formatStyle="Comma"/>
        <m:item xlName="_GBC_4a4038fe58694f558ab20ebd5208efcf" concept="clcid-pte:ShaoShuGuDongSunYi" label="少数股东损益" periodRef="上年同期数" mulRef="_GBC_4fec24feb4834b768c484fe556046382" unitRef="_GBC_ae5c0d79e5694eb28ba1b8160e27a464" addr="T0R43C3S1_1" formatStyle="Comma"/>
        <m:placeholder xlName="_PLD_6a43e7f14d234c52a7ab5dff443252a7" addr="T0R44C0S1_1"/>
        <m:item xlName="_GBC_6bce8195acca44c19650471ece1b17e8" concept="clcid-ci-ar:FuZhuQiTaZongHeShouYiDeShuiHouJingE" label="附注_其他综合收益的税后净额" addr="T0R44C1S1_1"/>
        <m:item xlName="_GBC_7d2b2f9b6306442ba8f40aa692a33450" concept="clcid-pte:QiTaZongHeShouYiDeShuiHouJingE" label="其他综合收益的税后净额" mulRef="_GBC_4fec24feb4834b768c484fe556046382" unitRef="_GBC_ae5c0d79e5694eb28ba1b8160e27a464" addr="T0R44C2S1_1" formatStyle="Comma">
          <m:complexRule comparator="Eq" title="其他综合收益的税后净额" test=" $_GBC_80eb417b6aae46a7be60e660411e7c3d +  $_GBC_cd666e7188b74754b7bcb0672ec45f09" id="C48c7aa228d214977a8eaa44b4bf85cbb"/>
        </m:item>
        <m:item xlName="_GBC_2d385c0a85dd43ec82a3c74449903ae4" concept="clcid-pte:QiTaZongHeShouYiDeShuiHouJingE" label="其他综合收益的税后净额" periodRef="上年同期数" mulRef="_GBC_4fec24feb4834b768c484fe556046382" unitRef="_GBC_ae5c0d79e5694eb28ba1b8160e27a464" addr="T0R44C3S1_1" formatStyle="Comma">
          <m:complexRule comparator="Eq" title="其他综合收益的税后净额@上年同期数" test=" $_GBC_46f87c7373b3402eb78d34b563be1527 +  $_GBC_2e176bbdc49b40099041ab254f4fe940" id="Cd0b6ffdb3fcf4e2ebc902fd0a6ef6987"/>
        </m:item>
        <m:placeholder xlName="_PLD_402e48f41e92468e9ccfc9f5b154d698" addr="T0R45C0S1_1"/>
        <m:item xlName="_GBC_86f2322c7aed4f42b963ec834b7850a9" concept="clcid-ci-ar:FuZhuGuiShuMuGongSiSuoYouZheDeQiTaZongHeShouYiDeShuiHouJingE" label="附注_归属母公司所有者的其他综合收益的税后净额" addr="T0R45C1S1_1"/>
        <m:item xlName="_GBC_80eb417b6aae46a7be60e660411e7c3d" concept="clcid-pte:GuiShuMuGongSiSuoYouZheDeQiTaZongHeShouYiDeShuiHouJingE" label="归属母公司所有者的其他综合收益的税后净额" mulRef="_GBC_4fec24feb4834b768c484fe556046382" unitRef="_GBC_ae5c0d79e5694eb28ba1b8160e27a464" addr="T0R45C2S1_1" formatStyle="Comma">
          <m:complexRule comparator="Eq" title="归属母公司所有者的其他综合收益的税后净额" test=" $_GBC_048e7f1447d044b8ba49f8f3f116cae0 +  $_GBC_f70ce56eab554c0ba6246a594cd13059" id="Ccd72205931c84502b12bfc81b789e6a2"/>
        </m:item>
        <m:item xlName="_GBC_46f87c7373b3402eb78d34b563be1527" concept="clcid-pte:GuiShuMuGongSiSuoYouZheDeQiTaZongHeShouYiDeShuiHouJingE" label="归属母公司所有者的其他综合收益的税后净额" periodRef="上年同期数" mulRef="_GBC_4fec24feb4834b768c484fe556046382" unitRef="_GBC_ae5c0d79e5694eb28ba1b8160e27a464" addr="T0R45C3S1_1" formatStyle="Comma">
          <m:complexRule comparator="Eq" title="归属母公司所有者的其他综合收益的税后净额@上年同期数" test=" $_GBC_658c91ce6fa1457688407a17f9ebd321 +  $_GBC_d0fbdfa138bf4517856af15b8dbef122" id="C0d94ae95b9284ad59724a23b676ed081"/>
        </m:item>
        <m:placeholder xlName="_PLD_b367f8195cde49b4861d967effb0f541" addr="T0R46C0S1_1"/>
        <m:item xlName="_GBC_90991a6e00004a1c850768338ce46dcb" concept="clcid-ci-ar:FuZhuYiHouBuNengZhongFenLeiJinSunYiDeQiTaZongHeShouYi" label="附注_以后不能重分类进损益的其他综合收益" addr="T0R46C1S1_1"/>
        <m:item xlName="_GBC_048e7f1447d044b8ba49f8f3f116cae0" concept="clcid-pte:YiHouBuNengZhongFenLeiJinSunYiDeQiTaZongHeShouYi" label="以后不能重分类进损益的其他综合收益" mulRef="_GBC_4fec24feb4834b768c484fe556046382" unitRef="_GBC_ae5c0d79e5694eb28ba1b8160e27a464" addr="T0R46C2S1_1" formatStyle="Comma">
          <m:complexRule comparator="Eq" title="以后不能重分类进损益的其他综合收益" test="$_GBC_cb640cd41dd24c6482b037af9670eb5d+$_GBC_e412490117254f9ba97fd1be8ac14585+$_GBC_0437278ee21e4faf92c7bc4291d46867+$_GBC_f5b9477641a8465981beb4cbc9e7ee58" id="C013f298a50df47d78cff867004bc720e"/>
        </m:item>
        <m:item xlName="_GBC_658c91ce6fa1457688407a17f9ebd321" concept="clcid-pte:YiHouBuNengZhongFenLeiJinSunYiDeQiTaZongHeShouYi" label="以后不能重分类进损益的其他综合收益" periodRef="上年同期数" mulRef="_GBC_4fec24feb4834b768c484fe556046382" unitRef="_GBC_ae5c0d79e5694eb28ba1b8160e27a464" addr="T0R46C3S1_1" formatStyle="Comma">
          <m:complexRule comparator="Eq" title="以后不能重分类进损益的其他综合收益@上年同期数" test="$_GBC_e80b68f36c9f4996b2b2a4d36915602f+$_GBC_09bd40a05fe2430a8d3eea2934026bea+$_GBC_3ffbdd349c53467b86913ffdeac45fa6+$_GBC_1330c0a0a48943ac94a336f94ec61227" id="Cc5e4d0c42f164ac4853bc92fb7fbc8d0"/>
        </m:item>
        <m:placeholder xlName="_PLD_c1d0eb5a70bd4147bff8f5ac51104882" addr="T0R47C0S1_1"/>
        <m:item xlName="_GBC_275ccd6b3f324df782122fe660574311" concept="clcid-ci-ar:FuZhuZhongXinJiLiangSheDingShouYiJiHuaJingFuZhaiHuoJingZiChanDeBianDong" label="附注_重新计量设定受益计划净负债或净资产的变动" addr="T0R47C1S1_1"/>
        <m:item xlName="_GBC_cb640cd41dd24c6482b037af9670eb5d" concept="clcid-pte:ChongXinJiLiangSheDingShouYiJiHuaJingFuZhaiHuoJingZiChanDeBianDong" label="重新计量设定受益计划净负债或净资产的变动" mulRef="_GBC_4fec24feb4834b768c484fe556046382" unitRef="_GBC_ae5c0d79e5694eb28ba1b8160e27a464" addr="T0R47C2S1_1" formatStyle="Comma"/>
        <m:item xlName="_GBC_e80b68f36c9f4996b2b2a4d36915602f" concept="clcid-pte:ChongXinJiLiangSheDingShouYiJiHuaJingFuZhaiHuoJingZiChanDeBianDong" label="重新计量设定受益计划净负债或净资产的变动" periodRef="上年同期数" mulRef="_GBC_4fec24feb4834b768c484fe556046382" unitRef="_GBC_ae5c0d79e5694eb28ba1b8160e27a464" addr="T0R47C3S1_1" formatStyle="Comma"/>
        <m:placeholder xlName="_PLD_da98b29079a040128e53e7426fc30a60" addr="T0R48C0S1_1"/>
        <m:item xlName="_GBC_8c08c4d2b5a64f0c96d56811bab1ff92" concept="clcid-ci-ar:FuZhuQuanYiFaXiaZaiBeiTouZiDanWeiBuNengZhongFenLeiJinSunYiDeQiTaZongHeShouYiZhongXiangYouDeFenE" label="附注_权益法下在被投资单位不能重分类进损益的其他综合收益中享有的份额" addr="T0R48C1S1_1"/>
        <m:item xlName="_GBC_e412490117254f9ba97fd1be8ac14585" concept="clcid-pte:QuanYiFaXiaZaiBeiTouZiDanWeiBuNengZhongFenLeiJinSunYiDeQiTaZongHeShouYiZhongXiangYouDeFenE" label="权益法下在被投资单位不能重分类进损益的其他综合收益中享有的份额" mulRef="_GBC_4fec24feb4834b768c484fe556046382" unitRef="_GBC_ae5c0d79e5694eb28ba1b8160e27a464" addr="T0R48C2S1_1" formatStyle="Comma"/>
        <m:item xlName="_GBC_09bd40a05fe2430a8d3eea2934026bea" concept="clcid-pte:QuanYiFaXiaZaiBeiTouZiDanWeiBuNengZhongFenLeiJinSunYiDeQiTaZongHeShouYiZhongXiangYouDeFenE" label="权益法下在被投资单位不能重分类进损益的其他综合收益中享有的份额" periodRef="上年同期数" mulRef="_GBC_4fec24feb4834b768c484fe556046382" unitRef="_GBC_ae5c0d79e5694eb28ba1b8160e27a464" addr="T0R48C3S1_1" formatStyle="Comma"/>
        <m:placeholder xlName="_PLD_9346e4819ec34beabe92d365c497e001" addr="T0R49C0S1_1"/>
        <m:item xlName="_GBC_78dc1e521a2a42529450b9058fbd17c2" concept="clcid-ci-ar:FuZhu_QiTaQuanYiGongJuTouZiGongYunJiaZhiBianDong" label="附注_其他权益工具投资公允价值变动" addr="T0R49C1S1_1"/>
        <m:item xlName="_GBC_0437278ee21e4faf92c7bc4291d46867" concept="clcid-pte:QiTaQuanYiGongJuTouZiGongYunJiaZhiBianDong" label="其他权益工具投资公允价值变动" mulRef="_GBC_4fec24feb4834b768c484fe556046382" unitRef="_GBC_ae5c0d79e5694eb28ba1b8160e27a464" addr="T0R49C2S1_1" formatStyle="Comma"/>
        <m:item xlName="_GBC_3ffbdd349c53467b86913ffdeac45fa6" concept="clcid-pte:QiTaQuanYiGongJuTouZiGongYunJiaZhiBianDong" label="其他权益工具投资公允价值变动" periodRef="上年同期数" mulRef="_GBC_4fec24feb4834b768c484fe556046382" unitRef="_GBC_ae5c0d79e5694eb28ba1b8160e27a464" addr="T0R49C3S1_1" formatStyle="Comma"/>
        <m:placeholder xlName="_PLD_70f86b80dfa1468c8c481e18f675ad6a" addr="T0R50C0S1_1"/>
        <m:item xlName="_GBC_044dcc61b2174d299523df46431b05a6" concept="clcid-ci-ar:FuZhu_QiYeZiShenXinYongFengXianGongYunJiaZhiBianDong" label="附注_企业自身信用风险公允价值变动" addr="T0R50C1S1_1"/>
        <m:item xlName="_GBC_f5b9477641a8465981beb4cbc9e7ee58" concept="clcid-pte:QiYeZiShenXinYongFengXianGongYunJiaZhiBianDong" label="企业自身信用风险公允价值变动" mulRef="_GBC_4fec24feb4834b768c484fe556046382" unitRef="_GBC_ae5c0d79e5694eb28ba1b8160e27a464" addr="T0R50C2S1_1" formatStyle="Comma"/>
        <m:item xlName="_GBC_1330c0a0a48943ac94a336f94ec61227" concept="clcid-pte:QiYeZiShenXinYongFengXianGongYunJiaZhiBianDong" label="企业自身信用风险公允价值变动" periodRef="上年同期数" mulRef="_GBC_4fec24feb4834b768c484fe556046382" unitRef="_GBC_ae5c0d79e5694eb28ba1b8160e27a464" addr="T0R50C3S1_1" formatStyle="Comma"/>
        <m:placeholder xlName="_PLD_1d4c3625b1a9453f98b920131a00b22a" addr="T0R51C0S1_1"/>
        <m:item xlName="_GBC_a2e3466a960e4dda9edf7be5048ebc82" concept="clcid-ci-ar:FuZhuYiHouJiangZhongFenLeiJinSunYiDeQiTaZongHeShouYi" label="附注_以后将重分类进损益的其他综合收益" addr="T0R51C1S1_1"/>
        <m:item xlName="_GBC_f70ce56eab554c0ba6246a594cd13059" concept="clcid-pte:YiHouJiangZhongFenLeiJinSunYiDeQiTaZongHeShouYi" label="以后将重分类进损益的其他综合收益" mulRef="_GBC_4fec24feb4834b768c484fe556046382" unitRef="_GBC_ae5c0d79e5694eb28ba1b8160e27a464" addr="T0R51C2S1_1" formatStyle="Comma">
          <m:complexRule comparator="Eq" title="以后将重分类进损益的其他综合收益" test=" $_GBC_fcf6dfabba3a4a54a473bc159a46123c +  $_GBC_5d1190a8661c4ce8be7c50a00d314b81 +  $_GBC_1b654a29378f40969e0f97f5314295a5 +  $_GBC_fc8bb0293e5d45218f9947adfbafa7ed +  $_GBC_edb1eff98e27452da414242d68312e8e +  $_GBC_31da438ee7ae4a0ba94acd29c5494b92 +  $_GBC_f02e788339f04f70a4c4da83dfe86923" id="C8ba796238a1e4911b67c079f49cfdfdf"/>
        </m:item>
        <m:item xlName="_GBC_d0fbdfa138bf4517856af15b8dbef122" concept="clcid-pte:YiHouJiangZhongFenLeiJinSunYiDeQiTaZongHeShouYi" label="以后将重分类进损益的其他综合收益" periodRef="上年同期数" mulRef="_GBC_4fec24feb4834b768c484fe556046382" unitRef="_GBC_ae5c0d79e5694eb28ba1b8160e27a464" addr="T0R51C3S1_1" formatStyle="Comma">
          <m:complexRule comparator="Eq" title="以后将重分类进损益的其他综合收益@上年同期数" test=" $_GBC_6d9169a82add4e26bb5c980ff52ab328 +  $_GBC_e3758af372f04bfbaaa3b5f15ff10af7 +  $_GBC_3893795d41ed40f18672f3bc3c08aed8 +  $_GBC_2aa594f99e4f4b3587863bed2d25e200 +  $_GBC_56f52f314007427abacbee515a99f98f +  $_GBC_4a3a6403ee49435f84ffa6188ed80ede +  $_GBC_d6d23e6399724230aa3dc7a11a7493ff" id="C15e6f703861642bda64f6661297b1778"/>
        </m:item>
        <m:placeholder xlName="_PLD_e78255a0eaf548199db0c5a635c041ec" addr="T0R52C0S1_1"/>
        <m:item xlName="_GBC_fa56f67b972d46c087e5f876493357d9" concept="clcid-ci-ar:FuZhuQuanYiFaXiaZaiBeiTouZiDanWeiYiHouJiangZhongFenLeiJinSunYiDeQiTaZongHeShouYiZhongXiangYouDeFenE" label="附注_权益法下在被投资单位以后将重分类进损益的其他综合收益中享有的份额" addr="T0R52C1S1_1"/>
        <m:item xlName="_GBC_fcf6dfabba3a4a54a473bc159a46123c" concept="clcid-pte:QuanYiFaXiaZaiBeiTouZiDanWeiYiHouJiangZhongFenLeiJinSunYiDeQiTaZongHeShouYiZhongXiangYouDeFenE" label="权益法下在被投资单位以后将重分类进损益的其他综合收益中享有的份额" mulRef="_GBC_4fec24feb4834b768c484fe556046382" unitRef="_GBC_ae5c0d79e5694eb28ba1b8160e27a464" addr="T0R52C2S1_1" formatStyle="Comma"/>
        <m:item xlName="_GBC_6d9169a82add4e26bb5c980ff52ab328" concept="clcid-pte:QuanYiFaXiaZaiBeiTouZiDanWeiYiHouJiangZhongFenLeiJinSunYiDeQiTaZongHeShouYiZhongXiangYouDeFenE" label="权益法下在被投资单位以后将重分类进损益的其他综合收益中享有的份额" periodRef="上年同期数" mulRef="_GBC_4fec24feb4834b768c484fe556046382" unitRef="_GBC_ae5c0d79e5694eb28ba1b8160e27a464" addr="T0R52C3S1_1" formatStyle="Comma"/>
        <m:placeholder xlName="_PLD_a608a9b526b94d059af9488704db19ed" addr="T0R53C0S1_1"/>
        <m:item xlName="_GBC_116c365ed29f44c79a829175ef9b608f" concept="clcid-ci-ar:FuZhu_QiTaZhaiQuanTouZiGongYunJiaZhiBianDong" label="附注_其他债权投资公允价值变动" addr="T0R53C1S1_1"/>
        <m:item xlName="_GBC_5d1190a8661c4ce8be7c50a00d314b81" concept="clcid-pte:QiTaZhaiQuanTouZiGongYunJiaZhiBianDong" label="其他债权投资公允价值变动" mulRef="_GBC_4fec24feb4834b768c484fe556046382" unitRef="_GBC_ae5c0d79e5694eb28ba1b8160e27a464" addr="T0R53C2S1_1" formatStyle="Comma"/>
        <m:item xlName="_GBC_e3758af372f04bfbaaa3b5f15ff10af7" concept="clcid-pte:QiTaZhaiQuanTouZiGongYunJiaZhiBianDong" label="其他债权投资公允价值变动" periodRef="上年同期数" mulRef="_GBC_4fec24feb4834b768c484fe556046382" unitRef="_GBC_ae5c0d79e5694eb28ba1b8160e27a464" addr="T0R53C3S1_1" formatStyle="Comma"/>
        <m:placeholder xlName="_PLD_7a9ae8ab6d184d70b8bcabf893d29ffc" addr="T0R54C0S1_1"/>
        <m:item xlName="_GBC_44e72af3728048c083f3e15d616240b8" concept="clcid-ci-ar:FuZhu_JinRongZiChanChongFenLeiJiRuQiTaZongHeShouYiDeJinE" label="附注_金融资产重分类计入其他综合收益的金额" addr="T0R54C1S1_1"/>
        <m:item xlName="_GBC_1b654a29378f40969e0f97f5314295a5" concept="clcid-pte:JinRongZiChanChongFenLeiJiRuQiTaZongHeShouYiDeJinE" label="金融资产重分类计入其他综合收益的金额" mulRef="_GBC_4fec24feb4834b768c484fe556046382" unitRef="_GBC_ae5c0d79e5694eb28ba1b8160e27a464" addr="T0R54C2S1_1" formatStyle="Comma"/>
        <m:item xlName="_GBC_3893795d41ed40f18672f3bc3c08aed8" concept="clcid-pte:JinRongZiChanChongFenLeiJiRuQiTaZongHeShouYiDeJinE" label="金融资产重分类计入其他综合收益的金额" periodRef="上年同期数" mulRef="_GBC_4fec24feb4834b768c484fe556046382" unitRef="_GBC_ae5c0d79e5694eb28ba1b8160e27a464" addr="T0R54C3S1_1" formatStyle="Comma"/>
        <m:placeholder xlName="_PLD_45de4743667a48328a43f776b78669b0" addr="T0R55C0S1_1"/>
        <m:item xlName="_GBC_14adbcddc8d24db1bd677ba3b38de8e0" concept="clcid-ci-ar:FuZhu_QiTaZhaiQuanTouZiXinYongJianZhiZhunBei" label="附注_其他债权投资信用减值准备" addr="T0R55C1S1_1"/>
        <m:item xlName="_GBC_fc8bb0293e5d45218f9947adfbafa7ed" concept="clcid-pte:QiTaZhaiQuanTouZiXinYongJianZhiZhunBei" label="其他债权投资信用减值准备" mulRef="_GBC_4fec24feb4834b768c484fe556046382" unitRef="_GBC_ae5c0d79e5694eb28ba1b8160e27a464" addr="T0R55C2S1_1" formatStyle="Comma"/>
        <m:item xlName="_GBC_2aa594f99e4f4b3587863bed2d25e200" concept="clcid-pte:QiTaZhaiQuanTouZiXinYongJianZhiZhunBei" label="其他债权投资信用减值准备" periodRef="上年同期数" mulRef="_GBC_4fec24feb4834b768c484fe556046382" unitRef="_GBC_ae5c0d79e5694eb28ba1b8160e27a464" addr="T0R55C3S1_1" formatStyle="Comma"/>
        <m:placeholder xlName="_PLD_30eadfe5eb0b43159a484d6e9e241037" addr="T0R56C0S1_1"/>
        <m:item xlName="_GBC_eea26729a61c42e18cc78a3b0ed9b521" concept="clcid-ci-ar:FuZhuXianJinLiuLiangTaoQiSunYiDeYouXiaoBuFen" label="附注_现金流量套期损益的有效部分" addr="T0R56C1S1_1"/>
        <m:item xlName="_GBC_edb1eff98e27452da414242d68312e8e" concept="clcid-pte:XianJinLiuLiangTaoQiSunYiDeYouXiaoBuFen" label="现金流量套期损益的有效部分" mulRef="_GBC_4fec24feb4834b768c484fe556046382" unitRef="_GBC_ae5c0d79e5694eb28ba1b8160e27a464" addr="T0R56C2S1_1" formatStyle="Comma"/>
        <m:item xlName="_GBC_56f52f314007427abacbee515a99f98f" concept="clcid-pte:XianJinLiuLiangTaoQiSunYiDeYouXiaoBuFen" label="现金流量套期损益的有效部分" periodRef="上年同期数" mulRef="_GBC_4fec24feb4834b768c484fe556046382" unitRef="_GBC_ae5c0d79e5694eb28ba1b8160e27a464" addr="T0R56C3S1_1" formatStyle="Comma"/>
        <m:placeholder xlName="_PLD_a5d181921d264dc2857e201385fa2b90" addr="T0R57C0S1_1"/>
        <m:item xlName="_GBC_e0415207339e4deeb1eea6efba97995c" concept="clcid-ci-ar:FuZhuWaiBiCaiWuBaoBiaoZheSuanChaE" label="附注_外币财务报表折算差额" addr="T0R57C1S1_1"/>
        <m:item xlName="_GBC_31da438ee7ae4a0ba94acd29c5494b92" concept="clcid-pte:WaiBiCaiWuBaoBiaoZheSuanChaE" label="外币财务报表折算差额" mulRef="_GBC_4fec24feb4834b768c484fe556046382" unitRef="_GBC_ae5c0d79e5694eb28ba1b8160e27a464" addr="T0R57C2S1_1" formatStyle="Comma"/>
        <m:item xlName="_GBC_4a3a6403ee49435f84ffa6188ed80ede" concept="clcid-pte:WaiBiCaiWuBaoBiaoZheSuanChaE" label="外币财务报表折算差额" periodRef="上年同期数" mulRef="_GBC_4fec24feb4834b768c484fe556046382" unitRef="_GBC_ae5c0d79e5694eb28ba1b8160e27a464" addr="T0R57C3S1_1" formatStyle="Comma"/>
        <m:placeholder xlName="_PLD_efc9c8840682443ab9c10573fa124a4f" addr="T0R58C0S1_1"/>
        <m:item xlName="_GBC_46544e69fec648a5ac90f3ba3c7f7cee" concept="clcid-ci-ar:FuZhuYiHouJiangZhongFenLeiJinSunYiDeQiTaZongHeShouYiQiTa" label="附注_以后将重分类进损益的其他综合收益-其他" addr="T0R58C1S1_1"/>
        <m:item xlName="_GBC_f02e788339f04f70a4c4da83dfe86923" concept="clcid-pte:YiHouJiangZhongFenLeiJinSunYiDeQiTaZongHeShouYiQiTa" label="以后将重分类进损益的其他综合收益-其他" mulRef="_GBC_4fec24feb4834b768c484fe556046382" unitRef="_GBC_ae5c0d79e5694eb28ba1b8160e27a464" addr="T0R58C2S1_1" formatStyle="Comma"/>
        <m:item xlName="_GBC_d6d23e6399724230aa3dc7a11a7493ff" concept="clcid-pte:YiHouJiangZhongFenLeiJinSunYiDeQiTaZongHeShouYiQiTa" label="以后将重分类进损益的其他综合收益-其他" periodRef="上年同期数" mulRef="_GBC_4fec24feb4834b768c484fe556046382" unitRef="_GBC_ae5c0d79e5694eb28ba1b8160e27a464" addr="T0R58C3S1_1" formatStyle="Comma"/>
        <m:placeholder xlName="_PLD_4f19daa8ec184be19a8a0afe308c1896" addr="T0R59C0S1_1"/>
        <m:item xlName="_GBC_f3e798c7025c4d53b31484337b9eb047" concept="clcid-ci-ar:FuZhuGuiShuYuShaoShuGuDongDeQiTaZongHeShouYiDeShuiHouJingE" label="附注_归属于少数股东的其他综合收益的税后净额" addr="T0R59C1S1_1"/>
        <m:item xlName="_GBC_cd666e7188b74754b7bcb0672ec45f09" concept="clcid-pte:GuiShuYuShaoShuGuDongDeQiTaZongHeShouYiDeShuiHouJingE" label="归属于少数股东的其他综合收益的税后净额" mulRef="_GBC_4fec24feb4834b768c484fe556046382" unitRef="_GBC_ae5c0d79e5694eb28ba1b8160e27a464" addr="T0R59C2S1_1" formatStyle="Comma"/>
        <m:item xlName="_GBC_2e176bbdc49b40099041ab254f4fe940" concept="clcid-pte:GuiShuYuShaoShuGuDongDeQiTaZongHeShouYiDeShuiHouJingE" label="归属于少数股东的其他综合收益的税后净额" periodRef="上年同期数" mulRef="_GBC_4fec24feb4834b768c484fe556046382" unitRef="_GBC_ae5c0d79e5694eb28ba1b8160e27a464" addr="T0R59C3S1_1" formatStyle="Comma"/>
        <m:placeholder xlName="_PLD_29e4ab6c011f4b23961b002b616b19d8" addr="T0R60C0S1_1"/>
        <m:item xlName="_GBC_2b44b60206564876b8f8395349bba438" concept="clcid-ci-ar:FuZhu_ZongHeShouYiZongE" label="附注_综合收益总额" addr="T0R60C1S1_1"/>
        <m:item xlName="_GBC_9c016adec4294a128d3f431caff4bc3b" concept="clcid-pte:ZongHeShouYiZongE" label="综合收益总额" mulRef="_GBC_4fec24feb4834b768c484fe556046382" unitRef="_GBC_ae5c0d79e5694eb28ba1b8160e27a464" addr="T0R60C2S1_1" formatStyle="Comma">
          <m:complexRule comparator="Eq" title="综合收益总额" test=" $_GBC_f8c6b1d9a23149a38f604fd9514a912c +  $_GBC_fe088df00bda4bb8984076d9439b78c3" id="C287fc30e57164273b8dba7b2666c0bf0"/>
        </m:item>
        <m:item xlName="_GBC_e9b7b245abe147b2b976e6be95f9ed23" concept="clcid-pte:ZongHeShouYiZongE" label="综合收益总额" periodRef="上年同期数" mulRef="_GBC_4fec24feb4834b768c484fe556046382" unitRef="_GBC_ae5c0d79e5694eb28ba1b8160e27a464" addr="T0R60C3S1_1" formatStyle="Comma">
          <m:complexRule comparator="Eq" title="综合收益总额@上年同期数" test=" $_GBC_e6ccb1635a724b0987d422d36271cfc1 +  $_GBC_8d1863c7c12b471f8c5dda8c8aa8bfdc" id="Caef1bc2f303842e8aff8723cec4fe41e"/>
        </m:item>
        <m:placeholder xlName="_PLD_c6a40d405b9d4a8a8406c1d4ba16ad58" addr="T0R61C0S1_1"/>
        <m:item xlName="_GBC_d052a033ed1041368effea2add5bcaad" concept="clcid-ci-ar:FuZhu_GuiShuYuMuGongSiSuoYouZheDeZongHeShouYiZongE" label="附注_归属于母公司所有者的综合收益总额" addr="T0R61C1S1_1"/>
        <m:item xlName="_GBC_f8c6b1d9a23149a38f604fd9514a912c" concept="clcid-pte:GuiShuYuMuGongSiSuoYouZheDeZongHeShouYiZongE" label="归属于母公司所有者的综合收益总额" mulRef="_GBC_4fec24feb4834b768c484fe556046382" unitRef="_GBC_ae5c0d79e5694eb28ba1b8160e27a464" addr="T0R61C2S1_1" formatStyle="Comma"/>
        <m:item xlName="_GBC_e6ccb1635a724b0987d422d36271cfc1" concept="clcid-pte:GuiShuYuMuGongSiSuoYouZheDeZongHeShouYiZongE" label="归属于母公司所有者的综合收益总额" periodRef="上年同期数" mulRef="_GBC_4fec24feb4834b768c484fe556046382" unitRef="_GBC_ae5c0d79e5694eb28ba1b8160e27a464" addr="T0R61C3S1_1" formatStyle="Comma"/>
        <m:placeholder xlName="_PLD_a3f7a78de9cc4a0c8e2b3e050895da67" addr="T0R62C0S1_1"/>
        <m:item xlName="_GBC_bba03b5522814886a0f142aa099048a4" concept="clcid-ci-ar:FuZhu_GuiShuYuShaoShuGuDongDeZongHeShouYiZongE" label="附注_归属于少数股东的综合收益总额" addr="T0R62C1S1_1"/>
        <m:item xlName="_GBC_fe088df00bda4bb8984076d9439b78c3" concept="clcid-pte:GuiShuYuShaoShuGuDongDeZongHeShouYiZongE" label="归属于少数股东的综合收益总额" mulRef="_GBC_4fec24feb4834b768c484fe556046382" unitRef="_GBC_ae5c0d79e5694eb28ba1b8160e27a464" addr="T0R62C2S1_1" formatStyle="Comma"/>
        <m:item xlName="_GBC_8d1863c7c12b471f8c5dda8c8aa8bfdc" concept="clcid-pte:GuiShuYuShaoShuGuDongDeZongHeShouYiZongE" label="归属于少数股东的综合收益总额" periodRef="上年同期数" mulRef="_GBC_4fec24feb4834b768c484fe556046382" unitRef="_GBC_ae5c0d79e5694eb28ba1b8160e27a464" addr="T0R62C3S1_1" formatStyle="Comma"/>
        <m:placeholder xlName="_PLD_2faba48500f741229b3467bfe3ce2495" addr="T0R63C0S1_1"/>
        <m:placeholder xlName="_PLD_16d9b9d4e8c34e3b874fbdaedc915880" addr="T0R64C0S1_1"/>
        <m:item xlName="_GBC_1a0c5e83c63c47e89d8ca96e2f807a1e" concept="clcid-ci-ar:FuZhu_JiBenMeiGuShouYi" label="附注_基本每股收益" addr="T0R64C1S1_1"/>
        <m:item xlName="_GBC_2b9a8157880a41dd9d55db92bb36ebbb" concept="clcid-pte:JiBenMeiGuShouYi" label="基本每股收益" unitRef="_GBC_ae5c0d79e5694eb28ba1b8160e27a464" addr="T0R64C2S1_1" formatStyle="Comma" fixedType="EPS"/>
        <m:item xlName="_GBC_3381c7830a2544ef8341e246c1c2bc01" concept="clcid-pte:JiBenMeiGuShouYi" label="基本每股收益" periodRef="上年同期数" unitRef="_GBC_ae5c0d79e5694eb28ba1b8160e27a464" addr="T0R64C3S1_1" formatStyle="Comma" fixedType="EPS"/>
        <m:placeholder xlName="_PLD_ec4d9e148cba4e79bb3da0f8a0ddb92a" addr="T0R65C0S1_1"/>
        <m:item xlName="_GBC_b8ce9dda0f774d09a2c79f0e30d3ff32" concept="clcid-ci-ar:FuZhu_XiShiMeiGuShouYi" label="附注_稀释每股收益" addr="T0R65C1S1_1"/>
        <m:item xlName="_GBC_56702e20d5d249328fbb05737c276f33" concept="clcid-pte:XiShiMeiGuShouYi" label="稀释每股收益" unitRef="_GBC_ae5c0d79e5694eb28ba1b8160e27a464" addr="T0R65C2S1_1" formatStyle="Comma" fixedType="EPS"/>
        <m:item xlName="_GBC_8ff7244387f54854a9bc164cf7fab862" concept="clcid-pte:XiShiMeiGuShouYi" label="稀释每股收益" periodRef="上年同期数" unitRef="_GBC_ae5c0d79e5694eb28ba1b8160e27a464" addr="T0R65C3S1_1" formatStyle="Comma" fixedType="EPS"/>
        <m:item xlName="_GBC_0d3f3004d896427080339d4b0e2d499c" concept="clcid-pte:TongYiKongZhiXiaDeQiYeHeBingZhongBeiHeBingFangZaiHeBingQianShiXianDeJingLiRun" label="同一控制下的企业合并中被合并方在合并前实现的净利润" formatStyle="Comma"/>
        <m:item xlName="_GBC_7e8cf02e71b9434883c60dcb8fb33270" concept="clcid-pte:TongYiKongZhiXiaDeQiYeHeBingZhongBeiHeBingFangZaiHeBingQianShiXianDeJingLiRun" label="同一控制下的企业合并中被合并方在合并前实现的净利润" periodRef="上年同期数" formatStyle="Comma"/>
        <m:item xlName="_GBC_84d2ead02dbe49699dff5184a9cd1bd3" concept="clcid-mr:GongSiFuZeRenXingMing" label="公司负责人姓名" binding="true"/>
        <m:item xlName="_GBC_e958f3d59232458da90c4799548d15ea" concept="clcid-mr:ZhuGuanKuaiJiGongZuoFuZeRenXingMing" label="主管会计工作负责人姓名" binding="true"/>
        <m:item xlName="_GBC_83eea96809554a8b86e8c53c6e3da040" concept="clcid-mr:KuaiJiJiGouFuZeRenXingMing" label="会计机构负责人姓名" binding="true"/>
        <m:rowModel locationConcept="clcid-ci-ar:ZiDingYiKeMuWeiZhi" labelConcept="clcid-ci-ar:ZiDingYiKeMuMingCheng" conceptPrefix="合并利润表" presentationRole="http://www.xbrl-cn.org/cn/lcid/lr/role/ConsolidatedIncomeStatement" presentationParentConcept="clcid-pte:LiRunBiao" tuplePrefix="项目"/>
      </m:region>
      <m:region xlName="_GBC_fab740d2e6854481af171030c14673b7" title="母公司利润表&#10;" helpId="112001001" helpText="注：编制合并报表的公司无需在母公司利润表中披露基本每股收益和稀释每股收益。">
        <m:item xlName="_GBC_955732cd74ff4f1f9b098e70c1b85c60" concept="clcid-ci-ar:DanWeiMuGongSiLiRunBiao" label="单位：母公司利润表" selectOptions="_buildInScales" controlType="Combobox" cellType="Scale"/>
        <m:item xlName="_GBC_125a2547934143ccb384434361f57d37" concept="clcid-ci-ar:BiZhongMuGongSiLiRunBiao" label="币种：母公司利润表" selectOptions="_buildInISO4217" controlType="Combobox" cellType="Measure"/>
        <m:placeholder xlName="_PLD_2746da9ce382479bbcc34de94cc91419" addr="T1R0C0S1_1"/>
        <m:placeholder xlName="_PLD_353d1b95815e4cb9bce619c23384aae7" addr="T1R0C1S1_1"/>
        <m:placeholder xlName="_PLD_aa6da19e961f4f0aa9c1f47a5d8bdb21" addr="T1R0C2S1_1"/>
        <m:placeholder xlName="_PLD_fd6f3d63a7544a05b6f572cee64f39fb" addr="T1R0C3S1_1"/>
        <m:placeholder xlName="_PLD_064cf96d2f1c4cf0927ae1121cfbe089" addr="T1R1C0S1_1"/>
        <m:item xlName="_GBC_1ab8209ccc534dd28fb6b9da656d4f49" concept="clcid-ci-ar:FuZhu_YingYeShouRu" label="附注_营业收入" addr="T1R1C1S1_1">
          <m:axisValue occRef="母公司"/>
        </m:item>
        <m:item xlName="_GBC_55ca505945d4467eaa89949126ca6144" concept="clcid-pte:YingYeShouRu" label="营业收入" mulRef="_GBC_955732cd74ff4f1f9b098e70c1b85c60" unitRef="_GBC_125a2547934143ccb384434361f57d37" addr="T1R1C2S1_1" formatStyle="Comma">
          <m:axisValue occRef="母公司"/>
        </m:item>
        <m:item xlName="_GBC_ea59139a85d743249d34885c76abed75" concept="clcid-pte:YingYeShouRu" label="营业收入" periodRef="上年同期数" mulRef="_GBC_955732cd74ff4f1f9b098e70c1b85c60" unitRef="_GBC_125a2547934143ccb384434361f57d37" addr="T1R1C3S1_1" formatStyle="Comma">
          <m:axisValue occRef="母公司"/>
        </m:item>
        <m:placeholder xlName="_PLD_d41d97fe7493434d8f6c5694b95ac217" addr="T1R2C0S1_1"/>
        <m:item xlName="_GBC_0ace0936759a419198ca717b9a1ce5b1" concept="clcid-ci-ar:FuZhu_YingYeChengBen" label="附注_营业成本" addr="T1R2C1S1_1">
          <m:axisValue occRef="母公司"/>
        </m:item>
        <m:item xlName="_GBC_4e2702e8ca7c4feb9292103f65d52137" concept="clcid-pte:YingYeChengBen" label="营业成本" mulRef="_GBC_955732cd74ff4f1f9b098e70c1b85c60" unitRef="_GBC_125a2547934143ccb384434361f57d37" addr="T1R2C2S1_1" baseScale="-1" formatStyle="Comma">
          <m:axisValue occRef="母公司"/>
        </m:item>
        <m:item xlName="_GBC_ecf95d0826604cfc9ca2724b206fe6bd" concept="clcid-pte:YingYeChengBen" label="营业成本" periodRef="上年同期数" mulRef="_GBC_955732cd74ff4f1f9b098e70c1b85c60" unitRef="_GBC_125a2547934143ccb384434361f57d37" addr="T1R2C3S1_1" baseScale="-1" formatStyle="Comma">
          <m:axisValue occRef="母公司"/>
        </m:item>
        <m:placeholder xlName="_PLD_310d343d286f48cca8b82d2d78d02a7b" addr="T1R3C0S1_1"/>
        <m:item xlName="_GBC_a2747725905949b7b54fc9d7a96589d3" concept="clcid-ci-ar:FuZhu_YingYeShuiJinJiFuJia" label="附注_税金及附加" addr="T1R3C1S1_1">
          <m:axisValue occRef="母公司"/>
        </m:item>
        <m:item xlName="_GBC_959d7bac534a4854b664bb96f726260e" concept="clcid-pte:YingYeShuiJinJiFuJia" label="税金及附加" mulRef="_GBC_955732cd74ff4f1f9b098e70c1b85c60" unitRef="_GBC_125a2547934143ccb384434361f57d37" addr="T1R3C2S1_1" baseScale="-1" formatStyle="Comma">
          <m:axisValue occRef="母公司"/>
        </m:item>
        <m:item xlName="_GBC_e20824e9b3a8448398bd4e5fdda36e30" concept="clcid-pte:YingYeShuiJinJiFuJia" label="税金及附加" periodRef="上年同期数" mulRef="_GBC_955732cd74ff4f1f9b098e70c1b85c60" unitRef="_GBC_125a2547934143ccb384434361f57d37" addr="T1R3C3S1_1" baseScale="-1" formatStyle="Comma">
          <m:axisValue occRef="母公司"/>
        </m:item>
        <m:placeholder xlName="_PLD_991800b670f245798d81fceda321ab53" addr="T1R4C0S1_1"/>
        <m:item xlName="_GBC_e1d5162765274013a0ca542698b8c44e" concept="clcid-ci-ar:FuZhu_XiaoShouFeiYong" label="附注_销售费用" addr="T1R4C1S1_1">
          <m:axisValue occRef="母公司"/>
        </m:item>
        <m:item xlName="_GBC_71183df563bd4078b98ccda23ca9d76e" concept="clcid-pte:XiaoShouFeiYong" label="销售费用" mulRef="_GBC_955732cd74ff4f1f9b098e70c1b85c60" unitRef="_GBC_125a2547934143ccb384434361f57d37" addr="T1R4C2S1_1" baseScale="-1" formatStyle="Comma">
          <m:axisValue occRef="母公司"/>
        </m:item>
        <m:item xlName="_GBC_48b2598fef3f4d0fb8dda0d63e58f472" concept="clcid-pte:XiaoShouFeiYong" label="销售费用" periodRef="上年同期数" mulRef="_GBC_955732cd74ff4f1f9b098e70c1b85c60" unitRef="_GBC_125a2547934143ccb384434361f57d37" addr="T1R4C3S1_1" baseScale="-1" formatStyle="Comma">
          <m:axisValue occRef="母公司"/>
        </m:item>
        <m:placeholder xlName="_PLD_a0661646595b49dea568535f2a30949c" addr="T1R5C0S1_1"/>
        <m:item xlName="_GBC_6f9bde9228d14740a0555e3cba07276c" concept="clcid-ci-ar:FuZhu_GuanLiFeiYong" label="附注_管理费用" addr="T1R5C1S1_1">
          <m:axisValue occRef="母公司"/>
        </m:item>
        <m:item xlName="_GBC_f9a627f6cba543bd940d82496138bfcd" concept="clcid-pte:GuanLiFeiYong" label="管理费用" mulRef="_GBC_955732cd74ff4f1f9b098e70c1b85c60" unitRef="_GBC_125a2547934143ccb384434361f57d37" addr="T1R5C2S1_1" baseScale="-1" formatStyle="Comma">
          <m:axisValue occRef="母公司"/>
        </m:item>
        <m:item xlName="_GBC_1c4ac06f766c402b9c1ea8e33e8aa7b0" concept="clcid-pte:GuanLiFeiYong" label="管理费用" periodRef="上年同期数" mulRef="_GBC_955732cd74ff4f1f9b098e70c1b85c60" unitRef="_GBC_125a2547934143ccb384434361f57d37" addr="T1R5C3S1_1" baseScale="-1" formatStyle="Comma">
          <m:axisValue occRef="母公司"/>
        </m:item>
        <m:placeholder xlName="_PLD_69852ba9e79247049df3a6bc9ca51ca0" addr="T1R6C0S1_1"/>
        <m:item xlName="_GBC_c613614b311a4cdf877a9350e37aee98" concept="clcid-ci-ar:FuZhu_YanFaFeiYong" label="附注_研发费用" addr="T1R6C1S1_1">
          <m:axisValue occRef="母公司"/>
        </m:item>
        <m:item xlName="_GBC_4bfe7fe528f64a5d983b52fe4d3f65c1" concept="clcid-pte:YanFaFeiYong" label="研发费用" mulRef="_GBC_955732cd74ff4f1f9b098e70c1b85c60" unitRef="_GBC_125a2547934143ccb384434361f57d37" addr="T1R6C2S1_1" baseScale="-1" formatStyle="Comma">
          <m:axisValue occRef="母公司"/>
        </m:item>
        <m:item xlName="_GBC_16b1ea447a29482cb7f09a3f4d9e11e9" concept="clcid-pte:YanFaFeiYong" label="研发费用" periodRef="上年同期数" mulRef="_GBC_955732cd74ff4f1f9b098e70c1b85c60" unitRef="_GBC_125a2547934143ccb384434361f57d37" addr="T1R6C3S1_1" baseScale="-1" formatStyle="Comma">
          <m:axisValue occRef="母公司"/>
        </m:item>
        <m:placeholder xlName="_PLD_8d80afb387a7412cacbf6e23bf7e765d" addr="T1R7C0S1_1"/>
        <m:item xlName="_GBC_1465decd801d40d29af8154ca3bcd235" concept="clcid-ci-ar:FuZhu_CaiWuFeiYong" label="附注_财务费用" addr="T1R7C1S1_1">
          <m:axisValue occRef="母公司"/>
        </m:item>
        <m:item xlName="_GBC_14605160259742fd9e7c9c55340f8bf8" concept="clcid-pte:CaiWuFeiYong" label="财务费用" mulRef="_GBC_955732cd74ff4f1f9b098e70c1b85c60" unitRef="_GBC_125a2547934143ccb384434361f57d37" addr="T1R7C2S1_1" baseScale="-1" formatStyle="Comma">
          <m:axisValue occRef="母公司"/>
        </m:item>
        <m:item xlName="_GBC_d05b55aca5f94690be571bccfb07803a" concept="clcid-pte:CaiWuFeiYong" label="财务费用" periodRef="上年同期数" mulRef="_GBC_955732cd74ff4f1f9b098e70c1b85c60" unitRef="_GBC_125a2547934143ccb384434361f57d37" addr="T1R7C3S1_1" baseScale="-1" formatStyle="Comma">
          <m:axisValue occRef="母公司"/>
        </m:item>
        <m:placeholder xlName="_PLD_4b579b7cdda84cef98e4af379ba33cb2" addr="T1R8C0S1_1"/>
        <m:item xlName="_GBC_591d621f51e741a89481ba93216546a9" concept="clcid-ci-ar:FuZhu_CaiWuFeiYongLiXiFeiYong" label="附注_财务费用利息费用" addr="T1R8C1S1_1">
          <m:axisValue occRef="母公司"/>
        </m:item>
        <m:item xlName="_GBC_8100ac481bde43d88c0e52cade6ac022" concept="clcid-pte:LiXiZhiChu" label="利息支出" mulRef="_GBC_955732cd74ff4f1f9b098e70c1b85c60" unitRef="_GBC_125a2547934143ccb384434361f57d37" addr="T1R8C2S1_1" baseScale="-1" formatStyle="Comma">
          <m:axisValue occRef="母公司"/>
        </m:item>
        <m:item xlName="_GBC_28200eb3a08a40bd82d5eb76b0d0ec88" concept="clcid-pte:LiXiZhiChu" label="利息支出" periodRef="上年同期数" mulRef="_GBC_955732cd74ff4f1f9b098e70c1b85c60" unitRef="_GBC_125a2547934143ccb384434361f57d37" addr="T1R8C3S1_1" baseScale="-1" formatStyle="Comma">
          <m:axisValue occRef="母公司"/>
        </m:item>
        <m:placeholder xlName="_PLD_9935359bdf6941b58ec89fcbf4066014" addr="T1R9C0S1_1"/>
        <m:item xlName="_GBC_dd7054df547346978c77270f0a9e128f" concept="clcid-ci-ar:FuZhu_CaiWuFeiYongLiXiShouRu" label="附注_财务费用利息收入" addr="T1R9C1S1_1">
          <m:axisValue occRef="母公司"/>
        </m:item>
        <m:item xlName="_GBC_b7c6876121614fa697a902c7cd13282c" concept="clcid-pte:LiXiShouRu" label="利息收入" mulRef="_GBC_955732cd74ff4f1f9b098e70c1b85c60" unitRef="_GBC_125a2547934143ccb384434361f57d37" addr="T1R9C2S1_1" baseScale="-1" formatStyle="Comma">
          <m:axisValue occRef="母公司"/>
        </m:item>
        <m:item xlName="_GBC_ffff1165b5c64bb3b4c3d73629548966" concept="clcid-pte:LiXiShouRu" label="利息收入" periodRef="上年同期数" mulRef="_GBC_955732cd74ff4f1f9b098e70c1b85c60" unitRef="_GBC_125a2547934143ccb384434361f57d37" addr="T1R9C3S1_1" baseScale="-1" formatStyle="Comma">
          <m:axisValue occRef="母公司"/>
        </m:item>
        <m:placeholder xlName="_PLD_57b368ef9f204da9ac5a6e42b07d2fda" addr="T1R10C0S1_1"/>
        <m:item xlName="_GBC_6e06ae5ab928468eb2ba9a4e691009c7" concept="clcid-ci-ar:FuZhuQiTaShouYi" label="附注_其他收益" addr="T1R10C1S1_1">
          <m:axisValue occRef="母公司"/>
        </m:item>
        <m:item xlName="_GBC_82a51c024dd445248edf5efde8a3acc7" concept="clcid-pte:QiTaShouYi" label="其他收益" mulRef="_GBC_955732cd74ff4f1f9b098e70c1b85c60" unitRef="_GBC_125a2547934143ccb384434361f57d37" addr="T1R10C2S1_1" formatStyle="Comma">
          <m:axisValue occRef="母公司"/>
        </m:item>
        <m:item xlName="_GBC_6a2975a8be944524834ad31f1996eb3a" concept="clcid-pte:QiTaShouYi" label="其他收益" periodRef="上年同期数" mulRef="_GBC_955732cd74ff4f1f9b098e70c1b85c60" unitRef="_GBC_125a2547934143ccb384434361f57d37" addr="T1R10C3S1_1" formatStyle="Comma">
          <m:axisValue occRef="母公司"/>
        </m:item>
        <m:placeholder xlName="_PLD_16fd18eb434d4828b40716d17c61b068" addr="T1R11C0S1_1"/>
        <m:item xlName="_GBC_343497aeb0604caf96392f205f502f33" concept="clcid-ci-ar:FuZhu_TouZiShouYi" label="附注_投资收益" addr="T1R11C1S1_1">
          <m:axisValue occRef="母公司"/>
        </m:item>
        <m:item xlName="_GBC_4e57c666ba3f4754a165063ee7d18a46" concept="clcid-pte:TouZiShouYi" label="投资收益" mulRef="_GBC_955732cd74ff4f1f9b098e70c1b85c60" unitRef="_GBC_125a2547934143ccb384434361f57d37" addr="T1R11C2S1_1" formatStyle="Comma">
          <m:axisValue occRef="母公司"/>
        </m:item>
        <m:item xlName="_GBC_3a41294618f0422fafa3f2837693211d" concept="clcid-pte:TouZiShouYi" label="投资收益" periodRef="上年同期数" mulRef="_GBC_955732cd74ff4f1f9b098e70c1b85c60" unitRef="_GBC_125a2547934143ccb384434361f57d37" addr="T1R11C3S1_1" formatStyle="Comma">
          <m:axisValue occRef="母公司"/>
        </m:item>
        <m:placeholder xlName="_PLD_2bea34f5113c449e9a05ba733de8a76c" addr="T1R12C0S1_1"/>
        <m:item xlName="_GBC_e7a093dee41a40ce912d6ad7b9c09077" concept="clcid-ci-ar:FuZhu_DuiLianYingQiYeHeHeYingQiYeDeTouZiShouYi" label="附注_对联营企业和合营企业的投资收益" addr="T1R12C1S1_1">
          <m:axisValue occRef="母公司"/>
        </m:item>
        <m:item xlName="_GBC_3461a5afdc344c64b866c3e1d6150c71" concept="clcid-pte:DuiLianYingQiYeHeHeYingQiYeDeTouZiShouYi" label="对联营企业和合营企业的投资收益" mulRef="_GBC_955732cd74ff4f1f9b098e70c1b85c60" unitRef="_GBC_125a2547934143ccb384434361f57d37" addr="T1R12C2S1_1" formatStyle="Comma">
          <m:axisValue occRef="母公司"/>
        </m:item>
        <m:item xlName="_GBC_e02d3146a9d54de39b3687b4d5cb4bf7" concept="clcid-pte:DuiLianYingQiYeHeHeYingQiYeDeTouZiShouYi" label="对联营企业和合营企业的投资收益" periodRef="上年同期数" mulRef="_GBC_955732cd74ff4f1f9b098e70c1b85c60" unitRef="_GBC_125a2547934143ccb384434361f57d37" addr="T1R12C3S1_1" formatStyle="Comma">
          <m:axisValue occRef="母公司"/>
        </m:item>
        <m:placeholder xlName="_PLD_a015afefb87543308b983fbb12c6212d" addr="T1R13C0S1_1"/>
        <m:item xlName="_GBC_b2e0dd2d14374b979ec1272f8099c2ee" concept="clcid-ci-ar:FuZhu_YiTanYuChengBenJiLiangDeJinRongZiChanZhongZhiQueRenChanShengDeShouYi" label="附注_以摊余成本计量的金融资产终止确认产生的收益" addr="T1R13C1S1_1">
          <m:axisValue occRef="母公司"/>
        </m:item>
        <m:item xlName="_GBC_51f1492ec9f841059882a5586176faa2" concept="clcid-pte:YiTanYuChengBenJiLiangDeJinRongZiChanZhongZhiQueRenChanShengDeShouYi" label="以摊余成本计量的金融资产终止确认产生的收益" mulRef="_GBC_955732cd74ff4f1f9b098e70c1b85c60" unitRef="_GBC_125a2547934143ccb384434361f57d37" addr="T1R13C2S1_1" formatStyle="Comma">
          <m:axisValue occRef="母公司"/>
        </m:item>
        <m:item xlName="_GBC_d049963aef264af8859b3b94eb6941e8" concept="clcid-pte:YiTanYuChengBenJiLiangDeJinRongZiChanZhongZhiQueRenChanShengDeShouYi" label="以摊余成本计量的金融资产终止确认产生的收益" periodRef="上年同期数" mulRef="_GBC_955732cd74ff4f1f9b098e70c1b85c60" unitRef="_GBC_125a2547934143ccb384434361f57d37" addr="T1R13C3S1_1" formatStyle="Comma">
          <m:axisValue occRef="母公司"/>
        </m:item>
        <m:placeholder xlName="_PLD_dbcb300b294e416d865b2977935ac43a" addr="T1R14C0S1_1"/>
        <m:item xlName="_GBC_fe0dd374b780460aa1ab67dd00e9ecea" concept="clcid-ci-ar:FuZhu_JingChangKouTaoQiShouYi" label="附注_净敞口套期收益" addr="T1R14C1S1_1">
          <m:axisValue occRef="母公司"/>
        </m:item>
        <m:item xlName="_GBC_df471246219649bca0cb69a055a54c87" concept="clcid-pte:JingChangKouTaoQiShouYi" label="净敞口套期收益" mulRef="_GBC_955732cd74ff4f1f9b098e70c1b85c60" unitRef="_GBC_125a2547934143ccb384434361f57d37" addr="T1R14C2S1_1" formatStyle="Comma">
          <m:axisValue occRef="母公司"/>
        </m:item>
        <m:item xlName="_GBC_2caa33dca5fc4d668734d3180b67a30c" concept="clcid-pte:JingChangKouTaoQiShouYi" label="净敞口套期收益" periodRef="上年同期数" mulRef="_GBC_955732cd74ff4f1f9b098e70c1b85c60" unitRef="_GBC_125a2547934143ccb384434361f57d37" addr="T1R14C3S1_1" formatStyle="Comma">
          <m:axisValue occRef="母公司"/>
        </m:item>
        <m:placeholder xlName="_PLD_96dddecaabdb4c699853ad79ff8ce0c7" addr="T1R15C0S1_1"/>
        <m:item xlName="_GBC_2fd91b609c104e75857bfa043653e61f" concept="clcid-ci-ar:FuZhu_GongYunJiaZhiBianDongShouYi" label="附注_公允价值变动收益" addr="T1R15C1S1_1">
          <m:axisValue occRef="母公司"/>
        </m:item>
        <m:item xlName="_GBC_0fae486b92404d3eb306fc9568d85fa9" concept="clcid-pte:GongYunJiaZhiBianDongShouYi" label="公允价值变动收益" mulRef="_GBC_955732cd74ff4f1f9b098e70c1b85c60" unitRef="_GBC_125a2547934143ccb384434361f57d37" addr="T1R15C2S1_1" formatStyle="Comma">
          <m:axisValue occRef="母公司"/>
        </m:item>
        <m:item xlName="_GBC_f25f5c7b12f14eec81b3612f8f41eac6" concept="clcid-pte:GongYunJiaZhiBianDongShouYi" label="公允价值变动收益" periodRef="上年同期数" mulRef="_GBC_955732cd74ff4f1f9b098e70c1b85c60" unitRef="_GBC_125a2547934143ccb384434361f57d37" addr="T1R15C3S1_1" formatStyle="Comma">
          <m:axisValue occRef="母公司"/>
        </m:item>
        <m:placeholder xlName="_PLD_82ea4b74b8c74945853430e402c6958a" addr="T1R16C0S1_1"/>
        <m:item xlName="_GBC_eaa0549571b14b639a7b997eafcee4cf" concept="clcid-ci-ar:FuZhu_XinYongJianZhiSunShi" label="附注_信用减值损失" addr="T1R16C1S1_1">
          <m:axisValue occRef="母公司"/>
        </m:item>
        <m:item xlName="_GBC_cd8840ba99c34734972fed729a7e596f" concept="clcid-pte:XinYongJianZhiSunShi" label="信用减值损失" mulRef="_GBC_955732cd74ff4f1f9b098e70c1b85c60" unitRef="_GBC_125a2547934143ccb384434361f57d37" addr="T1R16C2S1_1" formatStyle="Comma">
          <m:axisValue occRef="母公司"/>
        </m:item>
        <m:item xlName="_GBC_c0b35ba812a247f7a16b3fe3c04243f9" concept="clcid-pte:XinYongJianZhiSunShi" label="信用减值损失" periodRef="上年同期数" mulRef="_GBC_955732cd74ff4f1f9b098e70c1b85c60" unitRef="_GBC_125a2547934143ccb384434361f57d37" addr="T1R16C3S1_1" formatStyle="Comma">
          <m:axisValue occRef="母公司"/>
        </m:item>
        <m:placeholder xlName="_PLD_16430dcabb93489da19dede13b679da4" addr="T1R17C0S1_1"/>
        <m:item xlName="_GBC_9b180baf4a6a4ea69be3e171a25a1b0f" concept="clcid-ci-ar:FuZhu_ZiChanJianZhiSunShi" label="附注_资产减值损失" addr="T1R17C1S1_1">
          <m:axisValue occRef="母公司"/>
        </m:item>
        <m:item xlName="_GBC_a2148ea37d7a40c6bd71500e3d30ba82" concept="clcid-pte:ZiChanJianZhiSunShi" label="资产减值损失" mulRef="_GBC_955732cd74ff4f1f9b098e70c1b85c60" unitRef="_GBC_125a2547934143ccb384434361f57d37" addr="T1R17C2S1_1" formatStyle="Comma">
          <m:axisValue occRef="母公司"/>
        </m:item>
        <m:item xlName="_GBC_f81bc1d92cca4d35a14d5cd701727312" concept="clcid-pte:ZiChanJianZhiSunShi" label="资产减值损失" periodRef="上年同期数" mulRef="_GBC_955732cd74ff4f1f9b098e70c1b85c60" unitRef="_GBC_125a2547934143ccb384434361f57d37" addr="T1R17C3S1_1" formatStyle="Comma">
          <m:axisValue occRef="母公司"/>
        </m:item>
        <m:placeholder xlName="_PLD_907d21105eff451b99c14b026296e12a" addr="T1R18C0S1_1"/>
        <m:item xlName="_GBC_6d88a1caab7d485a84597a60db08bcb2" concept="clcid-ci-ar:FuZhu_ZiChanChuZhiSHouYi" label="附注_资产处置收益" addr="T1R18C1S1_1">
          <m:axisValue occRef="母公司"/>
        </m:item>
        <m:item xlName="_GBC_102391ad044148559830788eceb97214" concept="clcid-pte:ZiChanChuZhiSHouYi" label="资产处置收益" mulRef="_GBC_955732cd74ff4f1f9b098e70c1b85c60" unitRef="_GBC_125a2547934143ccb384434361f57d37" addr="T1R18C2S1_1" formatStyle="Comma">
          <m:axisValue occRef="母公司"/>
        </m:item>
        <m:item xlName="_GBC_ec9c1356254245b9b12aa399314c4de5" concept="clcid-pte:ZiChanChuZhiSHouYi" label="资产处置收益" periodRef="上年同期数" mulRef="_GBC_955732cd74ff4f1f9b098e70c1b85c60" unitRef="_GBC_125a2547934143ccb384434361f57d37" addr="T1R18C3S1_1" formatStyle="Comma">
          <m:axisValue occRef="母公司"/>
        </m:item>
        <m:placeholder xlName="_PLD_107926df9ebd4b039128ab562ec28ff7" addr="T1R19C0S1_1"/>
        <m:item xlName="_GBC_e58a115d72f04c02a612faf075a41de1" concept="clcid-ci-ar:FuZhu_YingYeLiRun" label="附注_营业利润" addr="T1R19C1S1_1">
          <m:axisValue occRef="母公司"/>
        </m:item>
        <m:item xlName="_GBC_c38890d632774de9b2cb68a01ffb3a11" concept="clcid-pte:YingYeLiRun" label="营业利润" mulRef="_GBC_955732cd74ff4f1f9b098e70c1b85c60" unitRef="_GBC_125a2547934143ccb384434361f57d37" addr="T1R19C2S1_1" formatStyle="Comma">
          <m:complexRule comparator="Eq" title="母公司营业利润" test=" $_GBC_55ca505945d4467eaa89949126ca6144 -  $_GBC_4e2702e8ca7c4feb9292103f65d52137 -  $_GBC_959d7bac534a4854b664bb96f726260e -  $_GBC_71183df563bd4078b98ccda23ca9d76e -  $_GBC_f9a627f6cba543bd940d82496138bfcd -  $_GBC_4bfe7fe528f64a5d983b52fe4d3f65c1 -  $_GBC_14605160259742fd9e7c9c55340f8bf8 +  $_GBC_a2148ea37d7a40c6bd71500e3d30ba82 +  $_GBC_cd8840ba99c34734972fed729a7e596f +  $_GBC_0fae486b92404d3eb306fc9568d85fa9 +  $_GBC_4e57c666ba3f4754a165063ee7d18a46 +  $_GBC_df471246219649bca0cb69a055a54c87 +  $_GBC_102391ad044148559830788eceb97214 +  $_GBC_82a51c024dd445248edf5efde8a3acc7" id="C077996f887834c7b8364f7b591a521fd"/>
          <m:axisValue occRef="母公司"/>
        </m:item>
        <m:item xlName="_GBC_6225da5234f64dababdee628fa6727d9" concept="clcid-pte:YingYeLiRun" label="营业利润" periodRef="上年同期数" mulRef="_GBC_955732cd74ff4f1f9b098e70c1b85c60" unitRef="_GBC_125a2547934143ccb384434361f57d37" addr="T1R19C3S1_1" formatStyle="Comma">
          <m:complexRule comparator="Eq" title="母公司营业利润@上年同期数" test=" $_GBC_ea59139a85d743249d34885c76abed75 -  $_GBC_ecf95d0826604cfc9ca2724b206fe6bd -  $_GBC_e20824e9b3a8448398bd4e5fdda36e30 -  $_GBC_48b2598fef3f4d0fb8dda0d63e58f472 -  $_GBC_1c4ac06f766c402b9c1ea8e33e8aa7b0 -  $_GBC_16b1ea447a29482cb7f09a3f4d9e11e9 -  $_GBC_d05b55aca5f94690be571bccfb07803a +  $_GBC_f81bc1d92cca4d35a14d5cd701727312 +  $_GBC_c0b35ba812a247f7a16b3fe3c04243f9 +  $_GBC_f25f5c7b12f14eec81b3612f8f41eac6 +  $_GBC_3a41294618f0422fafa3f2837693211d +  $_GBC_2caa33dca5fc4d668734d3180b67a30c +  $_GBC_ec9c1356254245b9b12aa399314c4de5 +  $_GBC_6a2975a8be944524834ad31f1996eb3a" id="C5b5a994564124fc9977e5ee5e05e6daf"/>
          <m:axisValue occRef="母公司"/>
        </m:item>
        <m:placeholder xlName="_PLD_279fac843c63467da244e8b49f89e4dc" addr="T1R20C0S1_1"/>
        <m:item xlName="_GBC_609cdf75a8254208b500029778f97168" concept="clcid-ci-ar:FuZhu_YingYeWaiShouRu" label="附注_营业外收入" addr="T1R20C1S1_1">
          <m:axisValue occRef="母公司"/>
        </m:item>
        <m:item xlName="_GBC_517f578ac5ac4a4299d2e57e14f6a1e1" concept="clcid-pte:YingYeWaiShouRu" label="营业外收入" mulRef="_GBC_955732cd74ff4f1f9b098e70c1b85c60" unitRef="_GBC_125a2547934143ccb384434361f57d37" addr="T1R20C2S1_1" formatStyle="Comma">
          <m:axisValue occRef="母公司"/>
        </m:item>
        <m:item xlName="_GBC_f89bac6dfab04a20aeff11fa37c621bf" concept="clcid-pte:YingYeWaiShouRu" label="营业外收入" periodRef="上年同期数" mulRef="_GBC_955732cd74ff4f1f9b098e70c1b85c60" unitRef="_GBC_125a2547934143ccb384434361f57d37" addr="T1R20C3S1_1" formatStyle="Comma">
          <m:axisValue occRef="母公司"/>
        </m:item>
        <m:placeholder xlName="_PLD_f7c3a61b735644a1a4b866e88cef247a" addr="T1R21C0S1_1"/>
        <m:item xlName="_GBC_0ab4c7b261ed412e923986e7b5cb96fb" concept="clcid-ci-ar:FuZhu_YingYeWaiZhiChu" label="附注_营业外支出" addr="T1R21C1S1_1">
          <m:axisValue occRef="母公司"/>
        </m:item>
        <m:item xlName="_GBC_4d3b246891e34076a87fa6143b7a7b4f" concept="clcid-pte:YingYeWaiZhiChu" label="营业外支出" mulRef="_GBC_955732cd74ff4f1f9b098e70c1b85c60" unitRef="_GBC_125a2547934143ccb384434361f57d37" addr="T1R21C2S1_1" baseScale="-1" formatStyle="Comma">
          <m:axisValue occRef="母公司"/>
        </m:item>
        <m:item xlName="_GBC_d1dad9c4c37a47c89ebfa11a20f40302" concept="clcid-pte:YingYeWaiZhiChu" label="营业外支出" periodRef="上年同期数" mulRef="_GBC_955732cd74ff4f1f9b098e70c1b85c60" unitRef="_GBC_125a2547934143ccb384434361f57d37" addr="T1R21C3S1_1" baseScale="-1" formatStyle="Comma">
          <m:axisValue occRef="母公司"/>
        </m:item>
        <m:placeholder xlName="_PLD_5956406fbb5b47029f2bca13fce9359e" addr="T1R22C0S1_1"/>
        <m:item xlName="_GBC_ddcf78e155264ea6a380c8a9e3ccb9ae" concept="clcid-ci-ar:FuZhu_LiRunZongE" label="附注_利润总额" addr="T1R22C1S1_1">
          <m:axisValue occRef="母公司"/>
        </m:item>
        <m:item xlName="_GBC_cccbd9db0cad4dffa4cf7e833ca22db5" concept="clcid-pte:LiRunZongE" label="利润总额" mulRef="_GBC_955732cd74ff4f1f9b098e70c1b85c60" unitRef="_GBC_125a2547934143ccb384434361f57d37" addr="T1R22C2S1_1" formatStyle="Comma">
          <m:complexRule comparator="Eq" title="母公司利润总额" test=" $_GBC_c38890d632774de9b2cb68a01ffb3a11 +  $_GBC_517f578ac5ac4a4299d2e57e14f6a1e1 -  $_GBC_4d3b246891e34076a87fa6143b7a7b4f" id="C5053fa6dc90a47789d3e0b8b6408a07a"/>
          <m:axisValue occRef="母公司"/>
        </m:item>
        <m:item xlName="_GBC_1b98d147b42e494eb276da0d0e570225" concept="clcid-pte:LiRunZongE" label="利润总额" periodRef="上年同期数" mulRef="_GBC_955732cd74ff4f1f9b098e70c1b85c60" unitRef="_GBC_125a2547934143ccb384434361f57d37" addr="T1R22C3S1_1" formatStyle="Comma">
          <m:complexRule comparator="Eq" title="母公司利润总额@上年同期数" test=" $_GBC_6225da5234f64dababdee628fa6727d9 +  $_GBC_f89bac6dfab04a20aeff11fa37c621bf -  $_GBC_d1dad9c4c37a47c89ebfa11a20f40302" id="Ca209278269b74f07b2b02942aa3a8967"/>
          <m:axisValue occRef="母公司"/>
        </m:item>
        <m:placeholder xlName="_PLD_6de0aad305fe4960b4c088f68ada351b" addr="T1R23C0S1_1"/>
        <m:item xlName="_GBC_5e6fcc0fd722456789776b7e814d33d5" concept="clcid-ci-ar:FuZhu_SuoDeShui" label="附注_所得税" addr="T1R23C1S1_1">
          <m:axisValue occRef="母公司"/>
        </m:item>
        <m:item xlName="_GBC_ad471a9385ab4e5e9eb457b9a5d70c54" concept="clcid-pte:SuoDeShui" label="所得税" mulRef="_GBC_955732cd74ff4f1f9b098e70c1b85c60" unitRef="_GBC_125a2547934143ccb384434361f57d37" addr="T1R23C2S1_1" baseScale="-1" formatStyle="Comma">
          <m:axisValue occRef="母公司"/>
        </m:item>
        <m:item xlName="_GBC_5453e50f7614411ba6eb6feee9a29741" concept="clcid-pte:SuoDeShui" label="所得税" periodRef="上年同期数" mulRef="_GBC_955732cd74ff4f1f9b098e70c1b85c60" unitRef="_GBC_125a2547934143ccb384434361f57d37" addr="T1R23C3S1_1" baseScale="-1" formatStyle="Comma">
          <m:axisValue occRef="母公司"/>
        </m:item>
        <m:placeholder xlName="_PLD_7ab8a9f66eb1439ab50e43a032c9541e" addr="T1R24C0S1_1"/>
        <m:item xlName="_GBC_f8faa4057286417d84708f504f2185a7" concept="clcid-ci-ar:FuZhu_JingLiRun" label="附注_净利润" addr="T1R24C1S1_1">
          <m:axisValue occRef="母公司"/>
        </m:item>
        <m:item xlName="_GBC_0243d2c5b4bb414a9c177901d4940251" concept="clcid-pte:JingLiRun" label="净利润" mulRef="_GBC_955732cd74ff4f1f9b098e70c1b85c60" unitRef="_GBC_125a2547934143ccb384434361f57d37" addr="T1R24C2S1_1" formatStyle="Comma">
          <m:complexRule comparator="Eq" title="母公司净利润" test=" $_GBC_cccbd9db0cad4dffa4cf7e833ca22db5 -  $_GBC_ad471a9385ab4e5e9eb457b9a5d70c54" id="Cb87577d5405b49be866481aa0e0095db"/>
          <m:complexRule comparator="Eq" title="母公司净利纵向公式润" test=" $_GBC_b301397d9c3940f89a24a8635d944c10 +  $_GBC_e826c97671874cf78d9be80c071e247c" id="C3e21330f2b01446397cd5bc6988c95a5"/>
          <m:axisValue occRef="母公司"/>
        </m:item>
        <m:item xlName="_GBC_c7c5f5f04e14402fbba8a214ecc7b334" concept="clcid-pte:JingLiRun" label="净利润" periodRef="上年同期数" mulRef="_GBC_955732cd74ff4f1f9b098e70c1b85c60" unitRef="_GBC_125a2547934143ccb384434361f57d37" addr="T1R24C3S1_1" formatStyle="Comma">
          <m:complexRule comparator="Eq" title="母公司净利润@上年同期数" test=" $_GBC_1b98d147b42e494eb276da0d0e570225 -  $_GBC_5453e50f7614411ba6eb6feee9a29741" id="C0f6f46f8a24540a591cc029402c80fd8"/>
          <m:complexRule comparator="Eq" title="母公司净利润@上年同期数纵向公式润" test=" $_GBC_1304565f85c64744ac394549c8023759 +  $_GBC_214d1391505c433b841199053160d1e4" id="C209d6dd7c34e49f0b6f129cdc2dcb195"/>
          <m:axisValue occRef="母公司"/>
        </m:item>
        <m:placeholder xlName="_PLD_289ca01a050e4d34aae7f623dfff6058" addr="T1R25C0S1_1"/>
        <m:item xlName="_GBC_facfecd869034a1c8f2a2ce34d3676bb" concept="clcid-ci-ar:FuZhu_ChiXuJingYingJingLiRun" label="附注_持续经营净利润" addr="T1R25C1S1_1">
          <m:axisValue occRef="母公司"/>
        </m:item>
        <m:item xlName="_GBC_b301397d9c3940f89a24a8635d944c10" concept="clcid-pte:ChiXuJingYingJingLiRun" label="持续经营净利润" mulRef="_GBC_955732cd74ff4f1f9b098e70c1b85c60" unitRef="_GBC_125a2547934143ccb384434361f57d37" addr="T1R25C2S1_1" formatStyle="Comma">
          <m:axisValue occRef="母公司"/>
        </m:item>
        <m:item xlName="_GBC_1304565f85c64744ac394549c8023759" concept="clcid-pte:ChiXuJingYingJingLiRun" label="持续经营净利润" periodRef="上年同期数" mulRef="_GBC_955732cd74ff4f1f9b098e70c1b85c60" unitRef="_GBC_125a2547934143ccb384434361f57d37" addr="T1R25C3S1_1" formatStyle="Comma">
          <m:axisValue occRef="母公司"/>
        </m:item>
        <m:placeholder xlName="_PLD_3b2e8ef21ec246eaabe42c7024d8ce19" addr="T1R26C0S1_1"/>
        <m:item xlName="_GBC_1120a46265594a1a98a202b5470c5f7f" concept="clcid-ci-ar:FuZhu_ZhongZhiJingYingJingLiRun" label="附注_终止经营净利润" addr="T1R26C1S1_1">
          <m:axisValue occRef="母公司"/>
        </m:item>
        <m:item xlName="_GBC_e826c97671874cf78d9be80c071e247c" concept="clcid-pte:ZhongZhiJingYingJingLiRun" label="终止经营净利润" mulRef="_GBC_955732cd74ff4f1f9b098e70c1b85c60" unitRef="_GBC_125a2547934143ccb384434361f57d37" addr="T1R26C2S1_1" formatStyle="Comma">
          <m:axisValue occRef="母公司"/>
        </m:item>
        <m:item xlName="_GBC_214d1391505c433b841199053160d1e4" concept="clcid-pte:ZhongZhiJingYingJingLiRun" label="终止经营净利润" periodRef="上年同期数" mulRef="_GBC_955732cd74ff4f1f9b098e70c1b85c60" unitRef="_GBC_125a2547934143ccb384434361f57d37" addr="T1R26C3S1_1" formatStyle="Comma">
          <m:axisValue occRef="母公司"/>
        </m:item>
        <m:placeholder xlName="_PLD_843a2fab84a848319e89b43f4f5f13af" addr="T1R27C0S1_1"/>
        <m:item xlName="_GBC_1f1e08159aff47e9a529b98ca586626b" concept="clcid-ci-ar:FuZhuQiTaZongHeShouYiDeShuiHouJingE" label="附注_其他综合收益的税后净额" addr="T1R27C1S1_1">
          <m:axisValue occRef="母公司"/>
        </m:item>
        <m:item xlName="_GBC_3111fb4cb3aa4334b2531672ad804d89" concept="clcid-pte:QiTaZongHeShouYiDeShuiHouJingE" label="其他综合收益的税后净额" mulRef="_GBC_955732cd74ff4f1f9b098e70c1b85c60" unitRef="_GBC_125a2547934143ccb384434361f57d37" addr="T1R27C2S1_1" formatStyle="Comma">
          <m:complexRule comparator="Eq" title="母公司其他综合收益的税后净额" test=" $_GBC_f8d10aa712d444e6aa00731152da5be8 +  $_GBC_6560b50fbcff40499dda6655c736152b" id="C43a2c1fd1d6642e5b87b21a423e7b552"/>
          <m:axisValue occRef="母公司"/>
        </m:item>
        <m:item xlName="_GBC_58e1c45bab5044a4a749705c9c804ab9" concept="clcid-pte:QiTaZongHeShouYiDeShuiHouJingE" label="其他综合收益的税后净额" periodRef="上年同期数" mulRef="_GBC_955732cd74ff4f1f9b098e70c1b85c60" unitRef="_GBC_125a2547934143ccb384434361f57d37" addr="T1R27C3S1_1" formatStyle="Comma">
          <m:complexRule comparator="Eq" title="母公司其他综合收益的税后净额@上年同期数" test=" $_GBC_f3230447958c49568090a478a41d0ea5 +  $_GBC_0aefea4d44a9479485dee1842e566690" id="C360959783a6c4e18a7a02d8637178210"/>
          <m:axisValue occRef="母公司"/>
        </m:item>
        <m:placeholder xlName="_PLD_b8aa6d052de04d1a947a8cf96dde3fef" addr="T1R28C0S1_1"/>
        <m:item xlName="_GBC_4f2f3e268ecd4cf097cc0232eccb9539" concept="clcid-ci-ar:FuZhuYiHouBuNengZhongFenLeiJinSunYiDeQiTaZongHeShouYi" label="附注_以后不能重分类进损益的其他综合收益" addr="T1R28C1S1_1">
          <m:axisValue occRef="母公司"/>
        </m:item>
        <m:item xlName="_GBC_f8d10aa712d444e6aa00731152da5be8" concept="clcid-pte:YiHouBuNengZhongFenLeiJinSunYiDeQiTaZongHeShouYi" label="以后不能重分类进损益的其他综合收益" mulRef="_GBC_955732cd74ff4f1f9b098e70c1b85c60" unitRef="_GBC_125a2547934143ccb384434361f57d37" addr="T1R28C2S1_1" formatStyle="Comma">
          <m:complexRule comparator="Eq" title="母公司以后不能重分类进损益的其他综合收益" test=" $_GBC_d0f3b141e8da44febf205cc2481f8cdc +  $_GBC_a74d7e6fd87640ac8ebbab0ff23c55e1 +  $_GBC_bbf94bd8b5bc40599c15048ec5d0420b +  $_GBC_6a87c864212e496d8fff1ac9b07351fa" id="Cec62d4f8775f4478bb4f2f2c8f3300ce"/>
          <m:axisValue occRef="母公司"/>
        </m:item>
        <m:item xlName="_GBC_f3230447958c49568090a478a41d0ea5" concept="clcid-pte:YiHouBuNengZhongFenLeiJinSunYiDeQiTaZongHeShouYi" label="以后不能重分类进损益的其他综合收益" periodRef="上年同期数" mulRef="_GBC_955732cd74ff4f1f9b098e70c1b85c60" unitRef="_GBC_125a2547934143ccb384434361f57d37" addr="T1R28C3S1_1" formatStyle="Comma">
          <m:complexRule comparator="Eq" title="母公司以后不能重分类进损益的其他综合收益@上年同期数" test=" $_GBC_29160dcbe23546cb9c0076922df2fa28 +  $_GBC_804dafa83a434587b1c27b008c099e80 +  $_GBC_6f656ad5517e44459e3b24a4d7187a4f +  $_GBC_4d736db07eaa46b299580cb506f36dec" id="Cd499d4138ef547358de8b48e15988b9a"/>
          <m:axisValue occRef="母公司"/>
        </m:item>
        <m:placeholder xlName="_PLD_2f95025f3e0f4c69b258974fe8486517" addr="T1R29C0S1_1"/>
        <m:item xlName="_GBC_4708699a8c984dab85a0610d3987b9dd" concept="clcid-ci-ar:FuZhuZhongXinJiLiangSheDingShouYiJiHuaJingFuZhaiHuoJingZiChanDeBianDong" label="附注_重新计量设定受益计划净负债或净资产的变动" addr="T1R29C1S1_1">
          <m:axisValue occRef="母公司"/>
        </m:item>
        <m:item xlName="_GBC_a74d7e6fd87640ac8ebbab0ff23c55e1" concept="clcid-pte:ChongXinJiLiangSheDingShouYiJiHuaJingFuZhaiHuoJingZiChanDeBianDong" label="重新计量设定受益计划净负债或净资产的变动" mulRef="_GBC_955732cd74ff4f1f9b098e70c1b85c60" unitRef="_GBC_125a2547934143ccb384434361f57d37" addr="T1R29C2S1_1" formatStyle="Comma">
          <m:axisValue occRef="母公司"/>
        </m:item>
        <m:item xlName="_GBC_29160dcbe23546cb9c0076922df2fa28" concept="clcid-pte:ChongXinJiLiangSheDingShouYiJiHuaJingFuZhaiHuoJingZiChanDeBianDong" label="重新计量设定受益计划净负债或净资产的变动" periodRef="上年同期数" mulRef="_GBC_955732cd74ff4f1f9b098e70c1b85c60" unitRef="_GBC_125a2547934143ccb384434361f57d37" addr="T1R29C3S1_1" formatStyle="Comma">
          <m:axisValue occRef="母公司"/>
        </m:item>
        <m:placeholder xlName="_PLD_a1dd2af1863b4e3d917020633c99734c" addr="T1R30C0S1_1"/>
        <m:item xlName="_GBC_3c525b89addb4e378cf294a7a8e654a0" concept="clcid-ci-ar:FuZhuQuanYiFaXiaZaiBeiTouZiDanWeiBuNengZhongFenLeiJinSunYiDeQiTaZongHeShouYiZhongXiangYouDeFenE" label="附注_权益法下在被投资单位不能重分类进损益的其他综合收益中享有的份额" addr="T1R30C1S1_1">
          <m:axisValue occRef="母公司"/>
        </m:item>
        <m:item xlName="_GBC_d0f3b141e8da44febf205cc2481f8cdc" concept="clcid-pte:QuanYiFaXiaZaiBeiTouZiDanWeiBuNengZhongFenLeiJinSunYiDeQiTaZongHeShouYiZhongXiangYouDeFenE" label="权益法下在被投资单位不能重分类进损益的其他综合收益中享有的份额" mulRef="_GBC_955732cd74ff4f1f9b098e70c1b85c60" unitRef="_GBC_125a2547934143ccb384434361f57d37" addr="T1R30C2S1_1" formatStyle="Comma">
          <m:axisValue occRef="母公司"/>
        </m:item>
        <m:item xlName="_GBC_804dafa83a434587b1c27b008c099e80" concept="clcid-pte:QuanYiFaXiaZaiBeiTouZiDanWeiBuNengZhongFenLeiJinSunYiDeQiTaZongHeShouYiZhongXiangYouDeFenE" label="权益法下在被投资单位不能重分类进损益的其他综合收益中享有的份额" periodRef="上年同期数" mulRef="_GBC_955732cd74ff4f1f9b098e70c1b85c60" unitRef="_GBC_125a2547934143ccb384434361f57d37" addr="T1R30C3S1_1" formatStyle="Comma">
          <m:axisValue occRef="母公司"/>
        </m:item>
        <m:placeholder xlName="_PLD_db2b7892b44f4f818af9a0a288171043" addr="T1R31C0S1_1"/>
        <m:item xlName="_GBC_6bedbf9674b2436380f337808a263336" concept="clcid-ci-ar:FuZhu_QiTaQuanYiGongJuTouZiGongYunJiaZhiBianDong" label="附注_其他权益工具投资公允价值变动" addr="T1R31C1S1_1">
          <m:axisValue occRef="母公司"/>
        </m:item>
        <m:item xlName="_GBC_bbf94bd8b5bc40599c15048ec5d0420b" concept="clcid-pte:QiTaQuanYiGongJuTouZiGongYunJiaZhiBianDong" label="其他权益工具投资公允价值变动" mulRef="_GBC_955732cd74ff4f1f9b098e70c1b85c60" unitRef="_GBC_125a2547934143ccb384434361f57d37" addr="T1R31C2S1_1" formatStyle="Comma">
          <m:axisValue occRef="母公司"/>
        </m:item>
        <m:item xlName="_GBC_6f656ad5517e44459e3b24a4d7187a4f" concept="clcid-pte:QiTaQuanYiGongJuTouZiGongYunJiaZhiBianDong" label="其他权益工具投资公允价值变动" periodRef="上年同期数" mulRef="_GBC_955732cd74ff4f1f9b098e70c1b85c60" unitRef="_GBC_125a2547934143ccb384434361f57d37" addr="T1R31C3S1_1" formatStyle="Comma">
          <m:axisValue occRef="母公司"/>
        </m:item>
        <m:placeholder xlName="_PLD_2a0fa7e33fb34cd1bed8ba1525721e1e" addr="T1R32C0S1_1"/>
        <m:item xlName="_GBC_52c4ec2622e34d3fb664c4288ec737cb" concept="clcid-ci-ar:FuZhu_QiYeZiShenXinYongFengXianGongYunJiaZhiBianDong" label="附注_企业自身信用风险公允价值变动" addr="T1R32C1S1_1">
          <m:axisValue occRef="母公司"/>
        </m:item>
        <m:item xlName="_GBC_6a87c864212e496d8fff1ac9b07351fa" concept="clcid-pte:QiYeZiShenXinYongFengXianGongYunJiaZhiBianDong" label="企业自身信用风险公允价值变动" mulRef="_GBC_955732cd74ff4f1f9b098e70c1b85c60" unitRef="_GBC_125a2547934143ccb384434361f57d37" addr="T1R32C2S1_1" formatStyle="Comma">
          <m:axisValue occRef="母公司"/>
        </m:item>
        <m:item xlName="_GBC_4d736db07eaa46b299580cb506f36dec" concept="clcid-pte:QiYeZiShenXinYongFengXianGongYunJiaZhiBianDong" label="企业自身信用风险公允价值变动" periodRef="上年同期数" mulRef="_GBC_955732cd74ff4f1f9b098e70c1b85c60" unitRef="_GBC_125a2547934143ccb384434361f57d37" addr="T1R32C3S1_1" formatStyle="Comma">
          <m:axisValue occRef="母公司"/>
        </m:item>
        <m:placeholder xlName="_PLD_37e542b34b764230a84886c730eceb4b" addr="T1R33C0S1_1"/>
        <m:item xlName="_GBC_3fce96cbe1a3476fbac6ccd5061536bf" concept="clcid-ci-ar:FuZhuYiHouJiangZhongFenLeiJinSunYiDeQiTaZongHeShouYi" label="附注_以后将重分类进损益的其他综合收益" addr="T1R33C1S1_1">
          <m:axisValue occRef="母公司"/>
        </m:item>
        <m:item xlName="_GBC_6560b50fbcff40499dda6655c736152b" concept="clcid-pte:YiHouJiangZhongFenLeiJinSunYiDeQiTaZongHeShouYi" label="以后将重分类进损益的其他综合收益" mulRef="_GBC_955732cd74ff4f1f9b098e70c1b85c60" unitRef="_GBC_125a2547934143ccb384434361f57d37" addr="T1R33C2S1_1" formatStyle="Comma">
          <m:complexRule comparator="Eq" title="母公司以后将重分类进损益的其他综合收益" test=" $_GBC_42fdb502bd2240e1a59ea154bb8ba6c9 +  $_GBC_8220c2baf64e40de85b57f7e50f07eb2 +  $_GBC_8d8f7b06841544979da45708e1161437 +  $_GBC_c07cc93a1b63439182ae4441e473d87a +  $_GBC_01682853eb3c4d51a95664413a58d92e +  $_GBC_7ccb5d8513644772a63605fe2e46db7e +  $_GBC_0d7b8fafd3854ab09aa50b10ee950aa9" id="C537b2baae0254229a7898c209aa7070b"/>
          <m:axisValue occRef="母公司"/>
        </m:item>
        <m:item xlName="_GBC_0aefea4d44a9479485dee1842e566690" concept="clcid-pte:YiHouJiangZhongFenLeiJinSunYiDeQiTaZongHeShouYi" label="以后将重分类进损益的其他综合收益" periodRef="上年同期数" mulRef="_GBC_955732cd74ff4f1f9b098e70c1b85c60" unitRef="_GBC_125a2547934143ccb384434361f57d37" addr="T1R33C3S1_1" formatStyle="Comma">
          <m:complexRule comparator="Eq" title="母公司以后将重分类进损益的其他综合收益@上年同期数" test=" $_GBC_c1e7718eb53a4b7493991b87cb60ea29 +  $_GBC_fced03babb454a37a025f48f01a48999 +  $_GBC_dc068c335f754fb497dcd2e8dab0cb10 +  $_GBC_54e0fd0e598746c3b76d3978200d2d57 +  $_GBC_e6f678b958284de3bcdfc42f63e5b215 +  $_GBC_5098952a9f4441ff941b69b6f0ea8f28 +  $_GBC_21f424b756864166a0fac1a2e9e8b2c2" id="C68c67db0c81b4f31a7dbcf22fa11db46"/>
          <m:axisValue occRef="母公司"/>
        </m:item>
        <m:placeholder xlName="_PLD_d4ccf04d8d17419faa79e993ba558b97" addr="T1R34C0S1_1"/>
        <m:item xlName="_GBC_e52ea958af1e44ba94b5dda2ac48ae25" concept="clcid-ci-ar:FuZhuQuanYiFaXiaZaiBeiTouZiDanWeiYiHouJiangZhongFenLeiJinSunYiDeQiTaZongHeShouYiZhongXiangYouDeFenE" label="附注_权益法下在被投资单位以后将重分类进损益的其他综合收益中享有的份额" addr="T1R34C1S1_1">
          <m:axisValue occRef="母公司"/>
        </m:item>
        <m:item xlName="_GBC_42fdb502bd2240e1a59ea154bb8ba6c9" concept="clcid-pte:QuanYiFaXiaZaiBeiTouZiDanWeiYiHouJiangZhongFenLeiJinSunYiDeQiTaZongHeShouYiZhongXiangYouDeFenE" label="权益法下在被投资单位以后将重分类进损益的其他综合收益中享有的份额" mulRef="_GBC_955732cd74ff4f1f9b098e70c1b85c60" unitRef="_GBC_125a2547934143ccb384434361f57d37" addr="T1R34C2S1_1" formatStyle="Comma">
          <m:axisValue occRef="母公司"/>
        </m:item>
        <m:item xlName="_GBC_c1e7718eb53a4b7493991b87cb60ea29" concept="clcid-pte:QuanYiFaXiaZaiBeiTouZiDanWeiYiHouJiangZhongFenLeiJinSunYiDeQiTaZongHeShouYiZhongXiangYouDeFenE" label="权益法下在被投资单位以后将重分类进损益的其他综合收益中享有的份额" periodRef="上年同期数" mulRef="_GBC_955732cd74ff4f1f9b098e70c1b85c60" unitRef="_GBC_125a2547934143ccb384434361f57d37" addr="T1R34C3S1_1" formatStyle="Comma">
          <m:axisValue occRef="母公司"/>
        </m:item>
        <m:placeholder xlName="_PLD_93132456e42c443bbad89584529b2f0a" addr="T1R35C0S1_1"/>
        <m:item xlName="_GBC_735f3c805982436f937ee4cb9a2a0e63" concept="clcid-ci-ar:FuZhu_QiTaZhaiQuanTouZiGongYunJiaZhiBianDong" label="附注_其他债权投资公允价值变动" addr="T1R35C1S1_1">
          <m:axisValue occRef="母公司"/>
        </m:item>
        <m:item xlName="_GBC_8220c2baf64e40de85b57f7e50f07eb2" concept="clcid-pte:QiTaZhaiQuanTouZiGongYunJiaZhiBianDong" label="其他债权投资公允价值变动" mulRef="_GBC_955732cd74ff4f1f9b098e70c1b85c60" unitRef="_GBC_125a2547934143ccb384434361f57d37" addr="T1R35C2S1_1" formatStyle="Comma">
          <m:axisValue occRef="母公司"/>
        </m:item>
        <m:item xlName="_GBC_fced03babb454a37a025f48f01a48999" concept="clcid-pte:QiTaZhaiQuanTouZiGongYunJiaZhiBianDong" label="其他债权投资公允价值变动" periodRef="上年同期数" mulRef="_GBC_955732cd74ff4f1f9b098e70c1b85c60" unitRef="_GBC_125a2547934143ccb384434361f57d37" addr="T1R35C3S1_1" formatStyle="Comma">
          <m:axisValue occRef="母公司"/>
        </m:item>
        <m:placeholder xlName="_PLD_a743db4ee3c74304b756c0773ac46b11" addr="T1R36C0S1_1"/>
        <m:item xlName="_GBC_bd71630db5f04da6bc09947fc4d35eed" concept="clcid-ci-ar:FuZhu_JinRongZiChanChongFenLeiJiRuQiTaZongHeShouYiDeJinE" label="附注_金融资产重分类计入其他综合收益的金额" addr="T1R36C1S1_1">
          <m:axisValue occRef="母公司"/>
        </m:item>
        <m:item xlName="_GBC_8d8f7b06841544979da45708e1161437" concept="clcid-pte:JinRongZiChanChongFenLeiJiRuQiTaZongHeShouYiDeJinE" label="金融资产重分类计入其他综合收益的金额" mulRef="_GBC_955732cd74ff4f1f9b098e70c1b85c60" unitRef="_GBC_125a2547934143ccb384434361f57d37" addr="T1R36C2S1_1" formatStyle="Comma">
          <m:axisValue occRef="母公司"/>
        </m:item>
        <m:item xlName="_GBC_dc068c335f754fb497dcd2e8dab0cb10" concept="clcid-pte:JinRongZiChanChongFenLeiJiRuQiTaZongHeShouYiDeJinE" label="金融资产重分类计入其他综合收益的金额" periodRef="上年同期数" mulRef="_GBC_955732cd74ff4f1f9b098e70c1b85c60" unitRef="_GBC_125a2547934143ccb384434361f57d37" addr="T1R36C3S1_1" formatStyle="Comma">
          <m:axisValue occRef="母公司"/>
        </m:item>
        <m:placeholder xlName="_PLD_14b4f884fa314ceab81d81f32b566281" addr="T1R37C0S1_1"/>
        <m:item xlName="_GBC_f7fe60916f5a4c4496a1e300deb88c7b" concept="clcid-ci-ar:FuZhu_QiTaZhaiQuanTouZiXinYongJianZhiZhunBei" label="附注_其他债权投资信用减值准备" addr="T1R37C1S1_1">
          <m:axisValue occRef="母公司"/>
        </m:item>
        <m:item xlName="_GBC_c07cc93a1b63439182ae4441e473d87a" concept="clcid-pte:QiTaZhaiQuanTouZiXinYongJianZhiZhunBei" label="其他债权投资信用减值准备" mulRef="_GBC_955732cd74ff4f1f9b098e70c1b85c60" unitRef="_GBC_125a2547934143ccb384434361f57d37" addr="T1R37C2S1_1" formatStyle="Comma">
          <m:axisValue occRef="母公司"/>
        </m:item>
        <m:item xlName="_GBC_54e0fd0e598746c3b76d3978200d2d57" concept="clcid-pte:QiTaZhaiQuanTouZiXinYongJianZhiZhunBei" label="其他债权投资信用减值准备" periodRef="上年同期数" mulRef="_GBC_955732cd74ff4f1f9b098e70c1b85c60" unitRef="_GBC_125a2547934143ccb384434361f57d37" addr="T1R37C3S1_1" formatStyle="Comma">
          <m:axisValue occRef="母公司"/>
        </m:item>
        <m:placeholder xlName="_PLD_796032270909454aa844e29f93af9bfd" addr="T1R38C0S1_1"/>
        <m:item xlName="_GBC_1b04ba252be141fe92564bc8993f031b" concept="clcid-ci-ar:FuZhuXianJinLiuLiangTaoQiSunYiDeYouXiaoBuFen" label="附注_现金流量套期损益的有效部分" addr="T1R38C1S1_1">
          <m:axisValue occRef="母公司"/>
        </m:item>
        <m:item xlName="_GBC_01682853eb3c4d51a95664413a58d92e" concept="clcid-pte:XianJinLiuLiangTaoQiSunYiDeYouXiaoBuFen" label="现金流量套期损益的有效部分" mulRef="_GBC_955732cd74ff4f1f9b098e70c1b85c60" unitRef="_GBC_125a2547934143ccb384434361f57d37" addr="T1R38C2S1_1" formatStyle="Comma">
          <m:axisValue occRef="母公司"/>
        </m:item>
        <m:item xlName="_GBC_e6f678b958284de3bcdfc42f63e5b215" concept="clcid-pte:XianJinLiuLiangTaoQiSunYiDeYouXiaoBuFen" label="现金流量套期损益的有效部分" periodRef="上年同期数" mulRef="_GBC_955732cd74ff4f1f9b098e70c1b85c60" unitRef="_GBC_125a2547934143ccb384434361f57d37" addr="T1R38C3S1_1" formatStyle="Comma">
          <m:axisValue occRef="母公司"/>
        </m:item>
        <m:placeholder xlName="_PLD_323d275a987c439884f3d362a19ee65f" addr="T1R39C0S1_1"/>
        <m:item xlName="_GBC_2beb0f8552f1465ea5fa0f75565ecc95" concept="clcid-ci-ar:FuZhuWaiBiCaiWuBaoBiaoZheSuanChaE" label="附注_外币财务报表折算差额" addr="T1R39C1S1_1">
          <m:axisValue occRef="母公司"/>
        </m:item>
        <m:item xlName="_GBC_7ccb5d8513644772a63605fe2e46db7e" concept="clcid-pte:WaiBiCaiWuBaoBiaoZheSuanChaE" label="外币财务报表折算差额" mulRef="_GBC_955732cd74ff4f1f9b098e70c1b85c60" unitRef="_GBC_125a2547934143ccb384434361f57d37" addr="T1R39C2S1_1" formatStyle="Comma">
          <m:axisValue occRef="母公司"/>
        </m:item>
        <m:item xlName="_GBC_5098952a9f4441ff941b69b6f0ea8f28" concept="clcid-pte:WaiBiCaiWuBaoBiaoZheSuanChaE" label="外币财务报表折算差额" periodRef="上年同期数" mulRef="_GBC_955732cd74ff4f1f9b098e70c1b85c60" unitRef="_GBC_125a2547934143ccb384434361f57d37" addr="T1R39C3S1_1" formatStyle="Comma">
          <m:axisValue occRef="母公司"/>
        </m:item>
        <m:placeholder xlName="_PLD_4762e9ad5d4d4b7c9fc8455f2f975e7d" addr="T1R40C0S1_1"/>
        <m:item xlName="_GBC_04bd95d343e14559b633cf7af5bfe484" concept="clcid-ci-ar:FuZhuYiHouJiangZhongFenLeiJinSunYiDeQiTaZongHeShouYiQiTa" label="附注_以后将重分类进损益的其他综合收益-其他" addr="T1R40C1S1_1">
          <m:axisValue occRef="母公司"/>
        </m:item>
        <m:item xlName="_GBC_0d7b8fafd3854ab09aa50b10ee950aa9" concept="clcid-pte:YiHouJiangZhongFenLeiJinSunYiDeQiTaZongHeShouYiQiTa" label="以后将重分类进损益的其他综合收益-其他" mulRef="_GBC_955732cd74ff4f1f9b098e70c1b85c60" unitRef="_GBC_125a2547934143ccb384434361f57d37" addr="T1R40C2S1_1" formatStyle="Comma">
          <m:axisValue occRef="母公司"/>
        </m:item>
        <m:item xlName="_GBC_21f424b756864166a0fac1a2e9e8b2c2" concept="clcid-pte:YiHouJiangZhongFenLeiJinSunYiDeQiTaZongHeShouYiQiTa" label="以后将重分类进损益的其他综合收益-其他" periodRef="上年同期数" mulRef="_GBC_955732cd74ff4f1f9b098e70c1b85c60" unitRef="_GBC_125a2547934143ccb384434361f57d37" addr="T1R40C3S1_1" formatStyle="Comma">
          <m:axisValue occRef="母公司"/>
        </m:item>
        <m:placeholder xlName="_PLD_28547dbb231643aebb7e2c7f824bc757" addr="T1R41C0S1_1"/>
        <m:item xlName="_GBC_31ad722383724efb9d1c18dcfd771d72" concept="clcid-ci-ar:FuZhu_ZongHeShouYiZongE" label="附注_综合收益总额" addr="T1R41C1S1_1">
          <m:axisValue occRef="母公司"/>
        </m:item>
        <m:item xlName="_GBC_346aec3acf214141b499c743c94297d9" concept="clcid-pte:ZongHeShouYiZongE" label="综合收益总额" mulRef="_GBC_955732cd74ff4f1f9b098e70c1b85c60" unitRef="_GBC_125a2547934143ccb384434361f57d37" addr="T1R41C2S1_1" formatStyle="Comma">
          <m:axisValue occRef="母公司"/>
        </m:item>
        <m:item xlName="_GBC_a2d9fed21d964d5b861452516ce06c9d" concept="clcid-pte:ZongHeShouYiZongE" label="综合收益总额" periodRef="上年同期数" mulRef="_GBC_955732cd74ff4f1f9b098e70c1b85c60" unitRef="_GBC_125a2547934143ccb384434361f57d37" addr="T1R41C3S1_1" formatStyle="Comma">
          <m:axisValue occRef="母公司"/>
        </m:item>
        <m:placeholder xlName="_PLD_302a225367d84b88a766d8daaf22e468" addr="T1R42C0S1_1"/>
        <m:placeholder xlName="_PLD_02c58dc4adaa4ac0a7ec8d49dda16ebf" addr="T1R43C0S1_1"/>
        <m:item xlName="_GBC_75caadbdc2674d59b3b7f24eac57adcc" concept="clcid-ci-ar:FuZhu_JiBenMeiGuShouYi" label="附注_基本每股收益" addr="T1R43C1S1_1">
          <m:axisValue occRef="母公司"/>
        </m:item>
        <m:item xlName="_GBC_a16e5331af424ad39838a96c2b487fbb" concept="clcid-pte:JiBenMeiGuShouYi" label="基本每股收益" unitRef="_GBC_125a2547934143ccb384434361f57d37" addr="T1R43C2S1_1" formatStyle="Comma" fixedType="EPS">
          <m:axisValue occRef="母公司"/>
        </m:item>
        <m:item xlName="_GBC_c7a0e3df07294235b9519e36a66eb94e" concept="clcid-pte:JiBenMeiGuShouYi" label="基本每股收益" periodRef="上年同期数" unitRef="_GBC_125a2547934143ccb384434361f57d37" addr="T1R43C3S1_1" formatStyle="Comma" fixedType="EPS">
          <m:axisValue occRef="母公司"/>
        </m:item>
        <m:placeholder xlName="_PLD_59e8f40ed93e41f8a25596a736bf29e0" addr="T1R44C0S1_1"/>
        <m:item xlName="_GBC_7db3e768845a48cab44fc72d40a79305" concept="clcid-ci-ar:FuZhu_XiShiMeiGuShouYi" label="附注_稀释每股收益" addr="T1R44C1S1_1">
          <m:axisValue occRef="母公司"/>
        </m:item>
        <m:item xlName="_GBC_488129204c78483ea31095378501dc75" concept="clcid-pte:XiShiMeiGuShouYi" label="稀释每股收益" unitRef="_GBC_125a2547934143ccb384434361f57d37" addr="T1R44C2S1_1" formatStyle="Comma" fixedType="EPS">
          <m:axisValue occRef="母公司"/>
        </m:item>
        <m:item xlName="_GBC_b7ca07b207c94acabbb54870e95934cc" concept="clcid-pte:XiShiMeiGuShouYi" label="稀释每股收益" periodRef="上年同期数" unitRef="_GBC_125a2547934143ccb384434361f57d37" addr="T1R44C3S1_1" formatStyle="Comma" fixedType="EPS">
          <m:axisValue occRef="母公司"/>
        </m:item>
        <m:item xlName="_GBC_6be9c51ef68a40f0b60486f4414f2413" concept="clcid-mr:GongSiFuZeRenXingMing" label="公司负责人姓名" binding="true"/>
        <m:item xlName="_GBC_ac91a6c67f0a401ab312a449bd87b833" concept="clcid-mr:ZhuGuanKuaiJiGongZuoFuZeRenXingMing" label="主管会计工作负责人姓名" binding="true"/>
        <m:item xlName="_GBC_60f6b900783346cfad817de4d84acf5e" concept="clcid-mr:KuaiJiJiGouFuZeRenXingMing" label="会计机构负责人姓名" binding="true"/>
        <m:rowModel locationConcept="clcid-ci-ar:ZiDingYiKeMuWeiZhi" labelConcept="clcid-ci-ar:ZiDingYiKeMuMingCheng" conceptPrefix="母公司利润表" presentationRole="http://www.xbrl-cn.org/cn/lcid/lr/role/IncomeStatementforCommercialandIndustrialCompanies" presentationParentConcept="clcid-pte:LiRunBiao" tuplePrefix="项目"/>
      </m:region>
    </m:section>
    <m:section xlName="_GBC_3ad209fb8b5d433d8d91b39c5a1a6fe2" title="无需编制合并报表" checkKey="!合并" helpId="112001001" primarySection="_GBC_bf89afc47e17438594730edb3412d929" optionText="无需编制合并报表" optionGroupTitle="是否需要合并报表" optionTargetConcept="clcid-ci-ar:ShiFouXuYaoHeBingBaoBiao" optionTargetConceptValue="false" keyAction="57">
      <m:item xlName="_GBC_34e415c837e84eed8e46839f812af522" concept="clcid-ci-ar:DanWeiMuGongSiLiRunBiao" label="单位：母公司利润表" selectOptions="_buildInScales" controlType="Combobox" cellType="Scale"/>
      <m:item xlName="_GBC_f2660c2586654164b26a3e8fde13a87d" concept="clcid-ci-ar:BiZhongMuGongSiLiRunBiao" label="币种：母公司利润表" selectOptions="_buildInISO4217" controlType="Combobox" cellType="Measure"/>
      <m:placeholder xlName="_PLD_42c7124592634575bf1875a5f79c841e" addr="T0R0C0S1_1"/>
      <m:placeholder xlName="_PLD_878de5e7f2ca4197bfc1e7602a88d464" addr="T0R0C1S1_1"/>
      <m:placeholder xlName="_PLD_a43dd58a77a947378d6af01754c38b83" addr="T0R0C2S1_1"/>
      <m:placeholder xlName="_PLD_217f1b22ae8a433f8b90c4be999ff13e" addr="T0R0C3S1_1"/>
      <m:placeholder xlName="_PLD_dfc3610af5294a20b1b08f6bffd9ad36" addr="T0R1C0S1_1"/>
      <m:item xlName="_GBC_2ea01ca71df947aa846ffbdb85370a45" concept="clcid-ci-ar:FuZhu_YingYeShouRu" label="附注_营业收入" addr="T0R1C1S1_1"/>
      <m:item xlName="_GBC_0c94a738588b4283aad79c9e817c6112" concept="clcid-pte:YingYeShouRu" label="营业收入" mulRef="_GBC_34e415c837e84eed8e46839f812af522" unitRef="_GBC_f2660c2586654164b26a3e8fde13a87d" addr="T0R1C2S1_1" formatStyle="Comma"/>
      <m:item xlName="_GBC_87ee8e7acf164cb1bfdac617cc1e4401" concept="clcid-pte:YingYeShouRu" label="营业收入" periodRef="上年同期数" mulRef="_GBC_34e415c837e84eed8e46839f812af522" unitRef="_GBC_f2660c2586654164b26a3e8fde13a87d" addr="T0R1C3S1_1" formatStyle="Comma"/>
      <m:placeholder xlName="_PLD_d1944006b3f04f768d17bc13c73fedc6" addr="T0R2C0S1_1"/>
      <m:item xlName="_GBC_b367adbc03c747f7b7c48862a95a2bbc" concept="clcid-ci-ar:FuZhu_YingYeChengBen" label="附注_营业成本" addr="T0R2C1S1_1"/>
      <m:item xlName="_GBC_67f4b18a7cf44528a56f26a64bd053d0" concept="clcid-pte:YingYeChengBen" label="营业成本" mulRef="_GBC_34e415c837e84eed8e46839f812af522" unitRef="_GBC_f2660c2586654164b26a3e8fde13a87d" addr="T0R2C2S1_1" baseScale="-1" formatStyle="Comma"/>
      <m:item xlName="_GBC_6afb54b0059c43a7bb2844c9461f19b2" concept="clcid-pte:YingYeChengBen" label="营业成本" periodRef="上年同期数" mulRef="_GBC_34e415c837e84eed8e46839f812af522" unitRef="_GBC_f2660c2586654164b26a3e8fde13a87d" addr="T0R2C3S1_1" baseScale="-1" formatStyle="Comma"/>
      <m:placeholder xlName="_PLD_a7027b2d01dd4787ab95dddb0966bdef" addr="T0R3C0S1_1"/>
      <m:item xlName="_GBC_1553da5138a644d595c4abe06fd31bac" concept="clcid-ci-ar:FuZhu_YingYeShuiJinJiFuJia" label="附注_税金及附加" addr="T0R3C1S1_1"/>
      <m:item xlName="_GBC_ce0ab56da2d04f8a82d77400262fc8c6" concept="clcid-pte:YingYeShuiJinJiFuJia" label="税金及附加" mulRef="_GBC_34e415c837e84eed8e46839f812af522" unitRef="_GBC_f2660c2586654164b26a3e8fde13a87d" addr="T0R3C2S1_1" baseScale="-1" formatStyle="Comma"/>
      <m:item xlName="_GBC_172b9efc0d81428299a3454eb0ff31ee" concept="clcid-pte:YingYeShuiJinJiFuJia" label="税金及附加" periodRef="上年同期数" mulRef="_GBC_34e415c837e84eed8e46839f812af522" unitRef="_GBC_f2660c2586654164b26a3e8fde13a87d" addr="T0R3C3S1_1" baseScale="-1" formatStyle="Comma"/>
      <m:placeholder xlName="_PLD_ed06054af99742a59cb39381effddbc5" addr="T0R4C0S1_1"/>
      <m:item xlName="_GBC_6defc7e48d5a42f08b9a9dd5bec13043" concept="clcid-ci-ar:FuZhu_XiaoShouFeiYong" label="附注_销售费用" addr="T0R4C1S1_1"/>
      <m:item xlName="_GBC_c4d98e31cfae4b9dabff631631c45a8e" concept="clcid-pte:XiaoShouFeiYong" label="销售费用" mulRef="_GBC_34e415c837e84eed8e46839f812af522" unitRef="_GBC_f2660c2586654164b26a3e8fde13a87d" addr="T0R4C2S1_1" baseScale="-1" formatStyle="Comma"/>
      <m:item xlName="_GBC_7d7f418de9d94fb699256bc663ecf0e9" concept="clcid-pte:XiaoShouFeiYong" label="销售费用" periodRef="上年同期数" mulRef="_GBC_34e415c837e84eed8e46839f812af522" unitRef="_GBC_f2660c2586654164b26a3e8fde13a87d" addr="T0R4C3S1_1" baseScale="-1" formatStyle="Comma"/>
      <m:placeholder xlName="_PLD_112d68f42f104711a452b09b43bb0461" addr="T0R5C0S1_1"/>
      <m:item xlName="_GBC_f30f41f9034640e491b226c4e71af68c" concept="clcid-ci-ar:FuZhu_GuanLiFeiYong" label="附注_管理费用" addr="T0R5C1S1_1"/>
      <m:item xlName="_GBC_6c10ab4fa4b34a4ba641ab3ec37adb3f" concept="clcid-pte:GuanLiFeiYong" label="管理费用" mulRef="_GBC_34e415c837e84eed8e46839f812af522" unitRef="_GBC_f2660c2586654164b26a3e8fde13a87d" addr="T0R5C2S1_1" baseScale="-1" formatStyle="Comma"/>
      <m:item xlName="_GBC_a331d3d6326043aa9fe9ce6c22d9c2bc" concept="clcid-pte:GuanLiFeiYong" label="管理费用" periodRef="上年同期数" mulRef="_GBC_34e415c837e84eed8e46839f812af522" unitRef="_GBC_f2660c2586654164b26a3e8fde13a87d" addr="T0R5C3S1_1" baseScale="-1" formatStyle="Comma"/>
      <m:placeholder xlName="_PLD_7893e7b73b01492584ac85310855aadc" addr="T0R6C0S1_1"/>
      <m:item xlName="_GBC_ac2fdba955ad47e1a09f51b703f34e2d" concept="clcid-ci-ar:FuZhu_YanFaFeiYong" label="附注_研发费用" addr="T0R6C1S1_1"/>
      <m:item xlName="_GBC_ecf081bc6f644b9480c89b2b0165d28d" concept="clcid-pte:YanFaFeiYong" label="研发费用" mulRef="_GBC_34e415c837e84eed8e46839f812af522" unitRef="_GBC_f2660c2586654164b26a3e8fde13a87d" addr="T0R6C2S1_1" baseScale="-1" formatStyle="Comma"/>
      <m:item xlName="_GBC_0b5f5f32a42e477c867845aa59149eab" concept="clcid-pte:YanFaFeiYong" label="研发费用" periodRef="上年同期数" mulRef="_GBC_34e415c837e84eed8e46839f812af522" unitRef="_GBC_f2660c2586654164b26a3e8fde13a87d" addr="T0R6C3S1_1" baseScale="-1" formatStyle="Comma"/>
      <m:placeholder xlName="_PLD_395d95ea583c4b63871b7c92cea690c4" addr="T0R7C0S1_1"/>
      <m:item xlName="_GBC_f2fca7bbfc0040809840af8889f60460" concept="clcid-ci-ar:FuZhu_CaiWuFeiYong" label="附注_财务费用" addr="T0R7C1S1_1"/>
      <m:item xlName="_GBC_4d8dcdc00956496281fdf280eeb1cb5e" concept="clcid-pte:CaiWuFeiYong" label="财务费用" mulRef="_GBC_34e415c837e84eed8e46839f812af522" unitRef="_GBC_f2660c2586654164b26a3e8fde13a87d" addr="T0R7C2S1_1" baseScale="-1" formatStyle="Comma"/>
      <m:item xlName="_GBC_5916f1241a604221a623f8437ae666fb" concept="clcid-pte:CaiWuFeiYong" label="财务费用" periodRef="上年同期数" mulRef="_GBC_34e415c837e84eed8e46839f812af522" unitRef="_GBC_f2660c2586654164b26a3e8fde13a87d" addr="T0R7C3S1_1" baseScale="-1" formatStyle="Comma"/>
      <m:placeholder xlName="_PLD_b6a0f1127c3b48e6a42b271f40db72a1" addr="T0R8C0S1_1"/>
      <m:item xlName="_GBC_dd9aeb82c37841b6b8c0e1b2f56fe3a0" concept="clcid-ci-ar:FuZhu_CaiWuFeiYongLiXiFeiYong" label="附注_财务费用利息费用" addr="T0R8C1S1_1"/>
      <m:item xlName="_GBC_03106a48edec472eb50291a54b91b3c8" concept="clcid-pte:LiXiZhiChu" label="利息支出" mulRef="_GBC_34e415c837e84eed8e46839f812af522" unitRef="_GBC_f2660c2586654164b26a3e8fde13a87d" addr="T0R8C2S1_1" baseScale="-1" formatStyle="Comma"/>
      <m:item xlName="_GBC_62d27f8d305c4ca882e568ace7f57f92" concept="clcid-pte:LiXiZhiChu" label="利息支出" periodRef="上年同期数" mulRef="_GBC_34e415c837e84eed8e46839f812af522" unitRef="_GBC_f2660c2586654164b26a3e8fde13a87d" addr="T0R8C3S1_1" baseScale="-1" formatStyle="Comma"/>
      <m:placeholder xlName="_PLD_06d8dbe57ce54d95b7840e704db816ee" addr="T0R9C0S1_1"/>
      <m:item xlName="_GBC_b9fefff16aef4d3d90461d78126b4bb7" concept="clcid-ci-ar:FuZhu_CaiWuFeiYongLiXiShouRu" label="附注_财务费用利息收入" addr="T0R9C1S1_1"/>
      <m:item xlName="_GBC_a7d6222e5fda442a8fc34666b4e8d507" concept="clcid-pte:LiXiShouRu" label="利息收入" mulRef="_GBC_34e415c837e84eed8e46839f812af522" unitRef="_GBC_f2660c2586654164b26a3e8fde13a87d" addr="T0R9C2S1_1" baseScale="-1" formatStyle="Comma"/>
      <m:item xlName="_GBC_07a28a8ca4b843c280869debd1ad1882" concept="clcid-pte:LiXiShouRu" label="利息收入" periodRef="上年同期数" mulRef="_GBC_34e415c837e84eed8e46839f812af522" unitRef="_GBC_f2660c2586654164b26a3e8fde13a87d" addr="T0R9C3S1_1" baseScale="-1" formatStyle="Comma"/>
      <m:placeholder xlName="_PLD_b08f0510a9be49258be65ba76ea0bbac" addr="T0R10C0S1_1"/>
      <m:item xlName="_GBC_8e73a240602648c9950121b459d487bd" concept="clcid-ci-ar:FuZhuQiTaShouYi" label="附注_其他收益" addr="T0R10C1S1_1"/>
      <m:item xlName="_GBC_ec5a7e97cf4541e2b67c8ef67643c278" concept="clcid-pte:QiTaShouYi" label="其他收益" mulRef="_GBC_34e415c837e84eed8e46839f812af522" unitRef="_GBC_f2660c2586654164b26a3e8fde13a87d" addr="T0R10C2S1_1" formatStyle="Comma"/>
      <m:item xlName="_GBC_18b0df639ed74966ad72ec79dd3f06d0" concept="clcid-pte:QiTaShouYi" label="其他收益" periodRef="上年同期数" mulRef="_GBC_34e415c837e84eed8e46839f812af522" unitRef="_GBC_f2660c2586654164b26a3e8fde13a87d" addr="T0R10C3S1_1" formatStyle="Comma"/>
      <m:placeholder xlName="_PLD_64599bac50fe4c26978ea66ba255b69e" addr="T0R11C0S1_1"/>
      <m:item xlName="_GBC_95c7e9b406ba4001a4bc6cfcb2eb5598" concept="clcid-ci-ar:FuZhu_TouZiShouYi" label="附注_投资收益" addr="T0R11C1S1_1"/>
      <m:item xlName="_GBC_645d905bcdc847c6a02bc50e19fa2f06" concept="clcid-pte:TouZiShouYi" label="投资收益" mulRef="_GBC_34e415c837e84eed8e46839f812af522" unitRef="_GBC_f2660c2586654164b26a3e8fde13a87d" addr="T0R11C2S1_1" formatStyle="Comma"/>
      <m:item xlName="_GBC_e9e6e634426c413b9501f54e5f3e8d56" concept="clcid-pte:TouZiShouYi" label="投资收益" periodRef="上年同期数" mulRef="_GBC_34e415c837e84eed8e46839f812af522" unitRef="_GBC_f2660c2586654164b26a3e8fde13a87d" addr="T0R11C3S1_1" formatStyle="Comma"/>
      <m:placeholder xlName="_PLD_999f3c26118e410ab4f20376b56770c2" addr="T0R12C0S1_1"/>
      <m:item xlName="_GBC_d275cad80fcb42f5aa224fe2f1678456" concept="clcid-ci-ar:FuZhu_DuiLianYingQiYeHeHeYingQiYeDeTouZiShouYi" label="附注_对联营企业和合营企业的投资收益" addr="T0R12C1S1_1"/>
      <m:item xlName="_GBC_cd2e2de2fa334d59be4a2e9cf06d2c1b" concept="clcid-pte:DuiLianYingQiYeHeHeYingQiYeDeTouZiShouYi" label="对联营企业和合营企业的投资收益" mulRef="_GBC_34e415c837e84eed8e46839f812af522" unitRef="_GBC_f2660c2586654164b26a3e8fde13a87d" addr="T0R12C2S1_1" formatStyle="Comma"/>
      <m:item xlName="_GBC_f0f700463ee1408ea311ae75a1282048" concept="clcid-pte:DuiLianYingQiYeHeHeYingQiYeDeTouZiShouYi" label="对联营企业和合营企业的投资收益" periodRef="上年同期数" mulRef="_GBC_34e415c837e84eed8e46839f812af522" unitRef="_GBC_f2660c2586654164b26a3e8fde13a87d" addr="T0R12C3S1_1" formatStyle="Comma"/>
      <m:placeholder xlName="_PLD_39f79a6ced9845378419c6126ff4ba76" addr="T0R13C0S1_1"/>
      <m:item xlName="_GBC_f4338199477c4dada16a2d785c401341" concept="clcid-ci-ar:FuZhu_YiTanYuChengBenJiLiangDeJinRongZiChanZhongZhiQueRenChanShengDeShouYi" label="附注_以摊余成本计量的金融资产终止确认产生的收益" addr="T0R13C1S1_1"/>
      <m:item xlName="_GBC_4dc90490a3c34365b0a3984eb879ca71" concept="clcid-pte:YiTanYuChengBenJiLiangDeJinRongZiChanZhongZhiQueRenChanShengDeShouYi" label="以摊余成本计量的金融资产终止确认产生的收益" mulRef="_GBC_34e415c837e84eed8e46839f812af522" unitRef="_GBC_f2660c2586654164b26a3e8fde13a87d" addr="T0R13C2S1_1" formatStyle="Comma"/>
      <m:item xlName="_GBC_03347c417c834c25b6439fd21fe63c07" concept="clcid-pte:YiTanYuChengBenJiLiangDeJinRongZiChanZhongZhiQueRenChanShengDeShouYi" label="以摊余成本计量的金融资产终止确认产生的收益" periodRef="上年同期数" mulRef="_GBC_34e415c837e84eed8e46839f812af522" unitRef="_GBC_f2660c2586654164b26a3e8fde13a87d" addr="T0R13C3S1_1" formatStyle="Comma"/>
      <m:placeholder xlName="_PLD_67a5a52abbc947f5a6c2cbec1be51128" addr="T0R14C0S1_1"/>
      <m:item xlName="_GBC_ac488e844e5b405cbf0a2405956ee77e" concept="clcid-ci-ar:FuZhu_JingChangKouTaoQiShouYi" label="附注_净敞口套期收益" addr="T0R14C1S1_1"/>
      <m:item xlName="_GBC_44d85cbe2559458a8614065af11dfb52" concept="clcid-pte:JingChangKouTaoQiShouYi" label="净敞口套期收益" mulRef="_GBC_34e415c837e84eed8e46839f812af522" unitRef="_GBC_f2660c2586654164b26a3e8fde13a87d" addr="T0R14C2S1_1" formatStyle="Comma"/>
      <m:item xlName="_GBC_b923dc46d98c42c4b03127d8165d2895" concept="clcid-pte:JingChangKouTaoQiShouYi" label="净敞口套期收益" periodRef="上年同期数" mulRef="_GBC_34e415c837e84eed8e46839f812af522" unitRef="_GBC_f2660c2586654164b26a3e8fde13a87d" addr="T0R14C3S1_1" formatStyle="Comma"/>
      <m:placeholder xlName="_PLD_7f50e4e6ee3946c397a7f2c6d1011f3f" addr="T0R15C0S1_1"/>
      <m:item xlName="_GBC_a9ac401043c34686aeaf76713c499378" concept="clcid-ci-ar:FuZhu_GongYunJiaZhiBianDongShouYi" label="附注_公允价值变动收益" addr="T0R15C1S1_1"/>
      <m:item xlName="_GBC_45655da37e5840c99860b65a07d38eb4" concept="clcid-pte:GongYunJiaZhiBianDongShouYi" label="公允价值变动收益" mulRef="_GBC_34e415c837e84eed8e46839f812af522" unitRef="_GBC_f2660c2586654164b26a3e8fde13a87d" addr="T0R15C2S1_1" formatStyle="Comma"/>
      <m:item xlName="_GBC_d14a0db98bca42ad924dead6616e7fce" concept="clcid-pte:GongYunJiaZhiBianDongShouYi" label="公允价值变动收益" periodRef="上年同期数" mulRef="_GBC_34e415c837e84eed8e46839f812af522" unitRef="_GBC_f2660c2586654164b26a3e8fde13a87d" addr="T0R15C3S1_1" formatStyle="Comma"/>
      <m:placeholder xlName="_PLD_bbf77086302546e39a3b28942547e40d" addr="T0R16C0S1_1"/>
      <m:item xlName="_GBC_e7fb2bd5e0fa4be7b90d64f851dddc28" concept="clcid-ci-ar:FuZhu_XinYongJianZhiSunShi" label="附注_信用减值损失" addr="T0R16C1S1_1"/>
      <m:item xlName="_GBC_5b1e1d60bb4e40cf82d8f98ff3f87679" concept="clcid-pte:XinYongJianZhiSunShi" label="信用减值损失" mulRef="_GBC_34e415c837e84eed8e46839f812af522" unitRef="_GBC_f2660c2586654164b26a3e8fde13a87d" addr="T0R16C2S1_1" formatStyle="Comma"/>
      <m:item xlName="_GBC_d2130d4ad74c4b4aaaf0a2666b442fcb" concept="clcid-pte:XinYongJianZhiSunShi" label="信用减值损失" periodRef="上年同期数" mulRef="_GBC_34e415c837e84eed8e46839f812af522" unitRef="_GBC_f2660c2586654164b26a3e8fde13a87d" addr="T0R16C3S1_1" formatStyle="Comma"/>
      <m:placeholder xlName="_PLD_2db16ca959a14199ba6c302f65633f05" addr="T0R17C0S1_1"/>
      <m:item xlName="_GBC_ffab0db18a5b4c0cbe0225fe238cf1be" concept="clcid-ci-ar:FuZhu_ZiChanJianZhiSunShi" label="附注_资产减值损失" addr="T0R17C1S1_1"/>
      <m:item xlName="_GBC_8799e93d6fe647c682a19af23a2101d6" concept="clcid-pte:ZiChanJianZhiSunShi" label="资产减值损失" mulRef="_GBC_34e415c837e84eed8e46839f812af522" unitRef="_GBC_f2660c2586654164b26a3e8fde13a87d" addr="T0R17C2S1_1" formatStyle="Comma"/>
      <m:item xlName="_GBC_b703db0220c54ab0883fda89f66370c4" concept="clcid-pte:ZiChanJianZhiSunShi" label="资产减值损失" periodRef="上年同期数" mulRef="_GBC_34e415c837e84eed8e46839f812af522" unitRef="_GBC_f2660c2586654164b26a3e8fde13a87d" addr="T0R17C3S1_1" formatStyle="Comma"/>
      <m:placeholder xlName="_PLD_0da901017f4943e09f4423d7155d9c3d" addr="T0R18C0S1_1"/>
      <m:item xlName="_GBC_d37dec915f1440fe9e81493aba8f5a71" concept="clcid-ci-ar:FuZhu_ZiChanChuZhiSHouYi" label="附注_资产处置收益" addr="T0R18C1S1_1"/>
      <m:item xlName="_GBC_6523d35bb7c342e6ad1399026bb4d0e2" concept="clcid-pte:ZiChanChuZhiSHouYi" label="资产处置收益" mulRef="_GBC_34e415c837e84eed8e46839f812af522" unitRef="_GBC_f2660c2586654164b26a3e8fde13a87d" addr="T0R18C2S1_1" formatStyle="Comma"/>
      <m:item xlName="_GBC_761f27925ad449b6914373a324a2a984" concept="clcid-pte:ZiChanChuZhiSHouYi" label="资产处置收益" periodRef="上年同期数" mulRef="_GBC_34e415c837e84eed8e46839f812af522" unitRef="_GBC_f2660c2586654164b26a3e8fde13a87d" addr="T0R18C3S1_1" formatStyle="Comma"/>
      <m:placeholder xlName="_PLD_2896cb68b55b4be8b101bf791b9c8e7a" addr="T0R19C0S1_1"/>
      <m:item xlName="_GBC_905a930029664953b49fd0b631557869" concept="clcid-ci-ar:FuZhu_YingYeLiRun" label="附注_营业利润" addr="T0R19C1S1_1"/>
      <m:item xlName="_GBC_41ff04d32ce546a2ba90454ff0f776f8" concept="clcid-pte:YingYeLiRun" label="营业利润" mulRef="_GBC_34e415c837e84eed8e46839f812af522" unitRef="_GBC_f2660c2586654164b26a3e8fde13a87d" addr="T0R19C2S1_1" formatStyle="Comma">
        <m:complexRule comparator="Eq" title="营业利润" test=" $_GBC_0c94a738588b4283aad79c9e817c6112 -  $_GBC_67f4b18a7cf44528a56f26a64bd053d0 -  $_GBC_ce0ab56da2d04f8a82d77400262fc8c6 -  $_GBC_c4d98e31cfae4b9dabff631631c45a8e -  $_GBC_6c10ab4fa4b34a4ba641ab3ec37adb3f -  $_GBC_ecf081bc6f644b9480c89b2b0165d28d -  $_GBC_4d8dcdc00956496281fdf280eeb1cb5e +  $_GBC_8799e93d6fe647c682a19af23a2101d6 +  $_GBC_5b1e1d60bb4e40cf82d8f98ff3f87679 +  $_GBC_45655da37e5840c99860b65a07d38eb4 +  $_GBC_645d905bcdc847c6a02bc50e19fa2f06 +  $_GBC_6523d35bb7c342e6ad1399026bb4d0e2 +  $_GBC_ec5a7e97cf4541e2b67c8ef67643c278 +  $_GBC_44d85cbe2559458a8614065af11dfb52" id="Cd44417960b1a4f818b4d3f293c10f6e2"/>
      </m:item>
      <m:item xlName="_GBC_075cb5bb2cd5438aa898bd1647aa60f3" concept="clcid-pte:YingYeLiRun" label="营业利润" periodRef="上年同期数" mulRef="_GBC_34e415c837e84eed8e46839f812af522" unitRef="_GBC_f2660c2586654164b26a3e8fde13a87d" addr="T0R19C3S1_1" formatStyle="Comma">
        <m:complexRule comparator="Eq" title="营业利润@上年同期数" test=" $_GBC_87ee8e7acf164cb1bfdac617cc1e4401 -  $_GBC_6afb54b0059c43a7bb2844c9461f19b2 -  $_GBC_172b9efc0d81428299a3454eb0ff31ee -  $_GBC_7d7f418de9d94fb699256bc663ecf0e9 -  $_GBC_a331d3d6326043aa9fe9ce6c22d9c2bc -  $_GBC_0b5f5f32a42e477c867845aa59149eab -  $_GBC_5916f1241a604221a623f8437ae666fb +  $_GBC_b703db0220c54ab0883fda89f66370c4 +  $_GBC_d2130d4ad74c4b4aaaf0a2666b442fcb +  $_GBC_d14a0db98bca42ad924dead6616e7fce +  $_GBC_e9e6e634426c413b9501f54e5f3e8d56 +  $_GBC_761f27925ad449b6914373a324a2a984 +  $_GBC_18b0df639ed74966ad72ec79dd3f06d0 +  $_GBC_b923dc46d98c42c4b03127d8165d2895" id="Ca984aae4b19b4af6accec4a2707752ce"/>
      </m:item>
      <m:placeholder xlName="_PLD_f086f69ce54d475e8df59b16304563ea" addr="T0R20C0S1_1"/>
      <m:item xlName="_GBC_db8c06612e3043f7986c9c80ac66c72b" concept="clcid-ci-ar:FuZhu_YingYeWaiShouRu" label="附注_营业外收入" addr="T0R20C1S1_1"/>
      <m:item xlName="_GBC_618c2ad9d8a548939468ab2bed9e2cec" concept="clcid-pte:YingYeWaiShouRu" label="营业外收入" mulRef="_GBC_34e415c837e84eed8e46839f812af522" unitRef="_GBC_f2660c2586654164b26a3e8fde13a87d" addr="T0R20C2S1_1" formatStyle="Comma"/>
      <m:item xlName="_GBC_f7f93a60d0e249738d79d156197faa59" concept="clcid-pte:YingYeWaiShouRu" label="营业外收入" periodRef="上年同期数" mulRef="_GBC_34e415c837e84eed8e46839f812af522" unitRef="_GBC_f2660c2586654164b26a3e8fde13a87d" addr="T0R20C3S1_1" formatStyle="Comma"/>
      <m:placeholder xlName="_PLD_c12b38e6b1d4483a8ddb8cc8356c2aab" addr="T0R21C0S1_1"/>
      <m:item xlName="_GBC_5f1cd5a73732464ea194dadc3471a167" concept="clcid-ci-ar:FuZhu_YingYeWaiZhiChu" label="附注_营业外支出" addr="T0R21C1S1_1"/>
      <m:item xlName="_GBC_4a705f9f45b548b6aadfb55fd480d459" concept="clcid-pte:YingYeWaiZhiChu" label="营业外支出" mulRef="_GBC_34e415c837e84eed8e46839f812af522" unitRef="_GBC_f2660c2586654164b26a3e8fde13a87d" addr="T0R21C2S1_1" baseScale="-1" formatStyle="Comma"/>
      <m:item xlName="_GBC_086883be89054c6eaa18dd2ae5bab4d6" concept="clcid-pte:YingYeWaiZhiChu" label="营业外支出" periodRef="上年同期数" mulRef="_GBC_34e415c837e84eed8e46839f812af522" unitRef="_GBC_f2660c2586654164b26a3e8fde13a87d" addr="T0R21C3S1_1" baseScale="-1" formatStyle="Comma"/>
      <m:placeholder xlName="_PLD_2235e61337534d40b5056b8beaa230aa" addr="T0R22C0S1_1"/>
      <m:item xlName="_GBC_6a6b3d2284e24e9f8ebdeca546121e52" concept="clcid-ci-ar:FuZhu_LiRunZongE" label="附注_利润总额" addr="T0R22C1S1_1"/>
      <m:item xlName="_GBC_1cc6694e3a34411688470a4312787000" concept="clcid-pte:LiRunZongE" label="利润总额" mulRef="_GBC_34e415c837e84eed8e46839f812af522" unitRef="_GBC_f2660c2586654164b26a3e8fde13a87d" addr="T0R22C2S1_1" formatStyle="Comma">
        <m:complexRule comparator="Eq" title="利润总额" test=" $_GBC_41ff04d32ce546a2ba90454ff0f776f8 +  $_GBC_618c2ad9d8a548939468ab2bed9e2cec -  $_GBC_4a705f9f45b548b6aadfb55fd480d459" id="C599c893f33d848f3a31f746133e600f1"/>
      </m:item>
      <m:item xlName="_GBC_27329acb691842d6b53d71c4cb00a928" concept="clcid-pte:LiRunZongE" label="利润总额" periodRef="上年同期数" mulRef="_GBC_34e415c837e84eed8e46839f812af522" unitRef="_GBC_f2660c2586654164b26a3e8fde13a87d" addr="T0R22C3S1_1" formatStyle="Comma">
        <m:complexRule comparator="Eq" title="利润总额@上年同期数" test=" $_GBC_075cb5bb2cd5438aa898bd1647aa60f3 +  $_GBC_f7f93a60d0e249738d79d156197faa59 -  $_GBC_086883be89054c6eaa18dd2ae5bab4d6" id="C88147e4b71bc4e48a7039dc64f27a769"/>
      </m:item>
      <m:placeholder xlName="_PLD_8b411e04585846a2bfa8c9512ae426bd" addr="T0R23C0S1_1"/>
      <m:item xlName="_GBC_ee825a5079994ad19bb08d2148517f56" concept="clcid-ci-ar:FuZhu_SuoDeShui" label="附注_所得税" addr="T0R23C1S1_1"/>
      <m:item xlName="_GBC_3281acd611b3493eab8e9a92f1654bed" concept="clcid-pte:SuoDeShui" label="所得税" mulRef="_GBC_34e415c837e84eed8e46839f812af522" unitRef="_GBC_f2660c2586654164b26a3e8fde13a87d" addr="T0R23C2S1_1" baseScale="-1" formatStyle="Comma"/>
      <m:item xlName="_GBC_d4232ae8381043d89b5624610ce634c6" concept="clcid-pte:SuoDeShui" label="所得税" periodRef="上年同期数" mulRef="_GBC_34e415c837e84eed8e46839f812af522" unitRef="_GBC_f2660c2586654164b26a3e8fde13a87d" addr="T0R23C3S1_1" baseScale="-1" formatStyle="Comma"/>
      <m:placeholder xlName="_PLD_59dccf047b764f4ca443935735c169ae" addr="T0R24C0S1_1"/>
      <m:item xlName="_GBC_d28f9a41f81d42dc82d1ea1c245dbc04" concept="clcid-ci-ar:FuZhu_JingLiRun" label="附注_净利润" addr="T0R24C1S1_1"/>
      <m:item xlName="_GBC_0b1d0a12ef16473b85c4e2388d3339d6" concept="clcid-pte:JingLiRun" label="净利润" mulRef="_GBC_34e415c837e84eed8e46839f812af522" unitRef="_GBC_f2660c2586654164b26a3e8fde13a87d" addr="T0R24C2S1_1" formatStyle="Comma">
        <m:complexRule comparator="Eq" title="净利润" test=" $_GBC_1cc6694e3a34411688470a4312787000 -  $_GBC_3281acd611b3493eab8e9a92f1654bed" id="Caf9d5d66fb9942d9883fe836473d3fc0"/>
        <m:complexRule comparator="Eq" title="净利润纵向公式" test=" $_GBC_9be7e1af47894d248ee5eca5bd106824 +  $_GBC_e2a01cdbc8944b55a2a4d6935bdc6185" id="C6abe963ed3e544a8ad47c72dd166b68b"/>
      </m:item>
      <m:item xlName="_GBC_708e0a46243d419c9a46b5f76de03e96" concept="clcid-pte:JingLiRun" label="净利润" periodRef="上年同期数" mulRef="_GBC_34e415c837e84eed8e46839f812af522" unitRef="_GBC_f2660c2586654164b26a3e8fde13a87d" addr="T0R24C3S1_1" formatStyle="Comma">
        <m:complexRule comparator="Eq" title="净利润@上年同期数" test=" $_GBC_27329acb691842d6b53d71c4cb00a928 -  $_GBC_d4232ae8381043d89b5624610ce634c6" id="C8ed14bfc76ab44cebca07d4125a312e7"/>
        <m:complexRule comparator="Eq" title="净利润@上年同期数纵向公式" test=" $_GBC_6cdce91caee344df9db39ee53a6d4b68 +  $_GBC_3179ec2b531548f0bd52fb4272cb2c49" id="Ce04776a24c5f4b57967dd69ae06eb394"/>
      </m:item>
      <m:placeholder xlName="_PLD_725887e6bd744ca88b90f1eec942800d" addr="T0R25C0S1_1"/>
      <m:item xlName="_GBC_e0681443ce0941059acb9b3e923e1249" concept="clcid-ci-ar:FuZhu_ChiXuJingYingJingLiRun" label="附注_持续经营净利润" addr="T0R25C1S1_1"/>
      <m:item xlName="_GBC_9be7e1af47894d248ee5eca5bd106824" concept="clcid-pte:ChiXuJingYingJingLiRun" label="持续经营净利润" mulRef="_GBC_34e415c837e84eed8e46839f812af522" unitRef="_GBC_f2660c2586654164b26a3e8fde13a87d" addr="T0R25C2S1_1" formatStyle="Comma"/>
      <m:item xlName="_GBC_6cdce91caee344df9db39ee53a6d4b68" concept="clcid-pte:ChiXuJingYingJingLiRun" label="持续经营净利润" periodRef="上年同期数" mulRef="_GBC_34e415c837e84eed8e46839f812af522" unitRef="_GBC_f2660c2586654164b26a3e8fde13a87d" addr="T0R25C3S1_1" formatStyle="Comma"/>
      <m:placeholder xlName="_PLD_fc8c889230794bfca4bfb383f6c4a450" addr="T0R26C0S1_1"/>
      <m:item xlName="_GBC_30b5b82f850141ecba4f3dcb8ef202bc" concept="clcid-ci-ar:FuZhu_ZhongZhiJingYingJingLiRun" label="附注_终止经营净利润" addr="T0R26C1S1_1"/>
      <m:item xlName="_GBC_e2a01cdbc8944b55a2a4d6935bdc6185" concept="clcid-pte:ZhongZhiJingYingJingLiRun" label="终止经营净利润" mulRef="_GBC_34e415c837e84eed8e46839f812af522" unitRef="_GBC_f2660c2586654164b26a3e8fde13a87d" addr="T0R26C2S1_1" formatStyle="Comma"/>
      <m:item xlName="_GBC_3179ec2b531548f0bd52fb4272cb2c49" concept="clcid-pte:ZhongZhiJingYingJingLiRun" label="终止经营净利润" periodRef="上年同期数" mulRef="_GBC_34e415c837e84eed8e46839f812af522" unitRef="_GBC_f2660c2586654164b26a3e8fde13a87d" addr="T0R26C3S1_1" formatStyle="Comma"/>
      <m:placeholder xlName="_PLD_0ac1c35db0be40279d37827ea108dc2d" addr="T0R27C0S1_1"/>
      <m:item xlName="_GBC_c86517b05ab24db8970f52073e5a5af5" concept="clcid-ci-ar:FuZhuQiTaZongHeShouYiDeShuiHouJingE" label="附注_其他综合收益的税后净额" addr="T0R27C1S1_1"/>
      <m:item xlName="_GBC_725d40c986084f0bab6f21b2df16fbc8" concept="clcid-pte:QiTaZongHeShouYiDeShuiHouJingE" label="其他综合收益的税后净额" mulRef="_GBC_34e415c837e84eed8e46839f812af522" unitRef="_GBC_f2660c2586654164b26a3e8fde13a87d" addr="T0R27C2S1_1" formatStyle="Comma">
        <m:complexRule comparator="Eq" title="其他综合收益的税后净额" test=" $_GBC_41ded7f5369f499d9c0be33d2b0863bb +  $_GBC_b79452178597485fb895fe9948ced6d8" id="Ca22c9df885d44200a474399def67b737"/>
      </m:item>
      <m:item xlName="_GBC_62093512858b42189b86e146872201a8" concept="clcid-pte:QiTaZongHeShouYiDeShuiHouJingE" label="其他综合收益的税后净额" periodRef="上年同期数" mulRef="_GBC_34e415c837e84eed8e46839f812af522" unitRef="_GBC_f2660c2586654164b26a3e8fde13a87d" addr="T0R27C3S1_1" formatStyle="Comma">
        <m:complexRule comparator="Eq" title="其他综合收益的税后净额@上年同期数" test=" $_GBC_aea08a2b49a54c9fa29256409872481e +  $_GBC_fd13d6d834324587908c059cce925aa8" id="Cccaece1794924c308d23e0c6be5994fc"/>
      </m:item>
      <m:placeholder xlName="_PLD_b15de0347a9c4dceabcdd43d356bf8a5" addr="T0R28C0S1_1"/>
      <m:item xlName="_GBC_659c4d664b1347c0ac7c526799e45123" concept="clcid-ci-ar:FuZhuYiHouBuNengZhongFenLeiJinSunYiDeQiTaZongHeShouYi" label="附注_以后不能重分类进损益的其他综合收益" addr="T0R28C1S1_1"/>
      <m:item xlName="_GBC_41ded7f5369f499d9c0be33d2b0863bb" concept="clcid-pte:YiHouBuNengZhongFenLeiJinSunYiDeQiTaZongHeShouYi" label="以后不能重分类进损益的其他综合收益" mulRef="_GBC_34e415c837e84eed8e46839f812af522" unitRef="_GBC_f2660c2586654164b26a3e8fde13a87d" addr="T0R28C2S1_1" formatStyle="Comma">
        <m:complexRule comparator="Eq" title="以后不能重分类进损益的其他综合收益" test=" $_GBC_eaf8df8838f3478bb240c8bb34ff6876 +  $_GBC_3d1926f20e4442d3a36ddbb3b6a8c96b +  $_GBC_20762d23106c41a986677721fd7a1908 +  $_GBC_df2fcb146dcb49bc8b966b9d12cdd949" id="C573b450285cc44f29124ca81b1d51fc2"/>
      </m:item>
      <m:item xlName="_GBC_aea08a2b49a54c9fa29256409872481e" concept="clcid-pte:YiHouBuNengZhongFenLeiJinSunYiDeQiTaZongHeShouYi" label="以后不能重分类进损益的其他综合收益" periodRef="上年同期数" mulRef="_GBC_34e415c837e84eed8e46839f812af522" unitRef="_GBC_f2660c2586654164b26a3e8fde13a87d" addr="T0R28C3S1_1" formatStyle="Comma">
        <m:complexRule comparator="Eq" title="以后不能重分类进损益的其他综合收益@上年同期数" test=" $_GBC_ebb8295a29e846dca9efa8ee95fc5555 +  $_GBC_9bf0ed915ab9497fa7567d98602453cb +  $_GBC_e105af53662c4bfda41bab6cbb52182c +  $_GBC_3d258f75387e4c87a471a0ea68e6c0cf" id="Ce05dba4e0bf7432687dbd6c9f2d1a7cc"/>
      </m:item>
      <m:placeholder xlName="_PLD_f6892a1041254feca2cb5243222ae046" addr="T0R29C0S1_1"/>
      <m:item xlName="_GBC_1a39438f51dc4a91bc0613ed4f4ec77f" concept="clcid-ci-ar:FuZhuZhongXinJiLiangSheDingShouYiJiHuaJingFuZhaiHuoJingZiChanDeBianDong" label="附注_重新计量设定受益计划净负债或净资产的变动" addr="T0R29C1S1_1"/>
      <m:item xlName="_GBC_eaf8df8838f3478bb240c8bb34ff6876" concept="clcid-pte:ChongXinJiLiangSheDingShouYiJiHuaJingFuZhaiHuoJingZiChanDeBianDong" label="重新计量设定受益计划净负债或净资产的变动" mulRef="_GBC_34e415c837e84eed8e46839f812af522" unitRef="_GBC_f2660c2586654164b26a3e8fde13a87d" addr="T0R29C2S1_1" formatStyle="Comma"/>
      <m:item xlName="_GBC_ebb8295a29e846dca9efa8ee95fc5555" concept="clcid-pte:ChongXinJiLiangSheDingShouYiJiHuaJingFuZhaiHuoJingZiChanDeBianDong" label="重新计量设定受益计划净负债或净资产的变动" periodRef="上年同期数" mulRef="_GBC_34e415c837e84eed8e46839f812af522" unitRef="_GBC_f2660c2586654164b26a3e8fde13a87d" addr="T0R29C3S1_1" formatStyle="Comma"/>
      <m:placeholder xlName="_PLD_0a2c4dc69c4c430c995a908418af56dd" addr="T0R30C0S1_1"/>
      <m:item xlName="_GBC_feaf6367012845b89e373b49e1661afc" concept="clcid-ci-ar:FuZhuQuanYiFaXiaZaiBeiTouZiDanWeiBuNengZhongFenLeiJinSunYiDeQiTaZongHeShouYiZhongXiangYouDeFenE" label="附注_权益法下在被投资单位不能重分类进损益的其他综合收益中享有的份额" addr="T0R30C1S1_1"/>
      <m:item xlName="_GBC_3d1926f20e4442d3a36ddbb3b6a8c96b" concept="clcid-pte:QuanYiFaXiaZaiBeiTouZiDanWeiBuNengZhongFenLeiJinSunYiDeQiTaZongHeShouYiZhongXiangYouDeFenE" label="权益法下在被投资单位不能重分类进损益的其他综合收益中享有的份额" mulRef="_GBC_34e415c837e84eed8e46839f812af522" unitRef="_GBC_f2660c2586654164b26a3e8fde13a87d" addr="T0R30C2S1_1" formatStyle="Comma"/>
      <m:item xlName="_GBC_9bf0ed915ab9497fa7567d98602453cb" concept="clcid-pte:QuanYiFaXiaZaiBeiTouZiDanWeiBuNengZhongFenLeiJinSunYiDeQiTaZongHeShouYiZhongXiangYouDeFenE" label="权益法下在被投资单位不能重分类进损益的其他综合收益中享有的份额" periodRef="上年同期数" mulRef="_GBC_34e415c837e84eed8e46839f812af522" unitRef="_GBC_f2660c2586654164b26a3e8fde13a87d" addr="T0R30C3S1_1" formatStyle="Comma"/>
      <m:placeholder xlName="_PLD_76962e762f6a4bf1b0bed82972524958" addr="T0R31C0S1_1"/>
      <m:item xlName="_GBC_7262a446ad9a4f80be84850e1f68a81c" concept="clcid-ci-ar:FuZhu_QiTaQuanYiGongJuTouZiGongYunJiaZhiBianDong" label="附注_其他权益工具投资公允价值变动" addr="T0R31C1S1_1"/>
      <m:item xlName="_GBC_20762d23106c41a986677721fd7a1908" concept="clcid-pte:QiTaQuanYiGongJuTouZiGongYunJiaZhiBianDong" label="其他权益工具投资公允价值变动" mulRef="_GBC_34e415c837e84eed8e46839f812af522" unitRef="_GBC_f2660c2586654164b26a3e8fde13a87d" addr="T0R31C2S1_1" formatStyle="Comma"/>
      <m:item xlName="_GBC_e105af53662c4bfda41bab6cbb52182c" concept="clcid-pte:QiTaQuanYiGongJuTouZiGongYunJiaZhiBianDong" label="其他权益工具投资公允价值变动" periodRef="上年同期数" mulRef="_GBC_34e415c837e84eed8e46839f812af522" unitRef="_GBC_f2660c2586654164b26a3e8fde13a87d" addr="T0R31C3S1_1" formatStyle="Comma"/>
      <m:placeholder xlName="_PLD_d63f4e60a14d4625b078951960773edb" addr="T0R32C0S1_1"/>
      <m:item xlName="_GBC_633b0d9c53ca4ad0852310c358d2062a" concept="clcid-ci-ar:FuZhu_QiYeZiShenXinYongFengXianGongYunJiaZhiBianDong" label="附注_企业自身信用风险公允价值变动" addr="T0R32C1S1_1"/>
      <m:item xlName="_GBC_df2fcb146dcb49bc8b966b9d12cdd949" concept="clcid-pte:QiYeZiShenXinYongFengXianGongYunJiaZhiBianDong" label="企业自身信用风险公允价值变动" mulRef="_GBC_34e415c837e84eed8e46839f812af522" unitRef="_GBC_f2660c2586654164b26a3e8fde13a87d" addr="T0R32C2S1_1" formatStyle="Comma"/>
      <m:item xlName="_GBC_3d258f75387e4c87a471a0ea68e6c0cf" concept="clcid-pte:QiYeZiShenXinYongFengXianGongYunJiaZhiBianDong" label="企业自身信用风险公允价值变动" periodRef="上年同期数" mulRef="_GBC_34e415c837e84eed8e46839f812af522" unitRef="_GBC_f2660c2586654164b26a3e8fde13a87d" addr="T0R32C3S1_1" formatStyle="Comma"/>
      <m:placeholder xlName="_PLD_91309bb911f54967aaa215b2b868c3f4" addr="T0R33C0S1_1"/>
      <m:item xlName="_GBC_f9285d2fe2bf44aa8b7a829da4033937" concept="clcid-ci-ar:FuZhuYiHouJiangZhongFenLeiJinSunYiDeQiTaZongHeShouYi" label="附注_以后将重分类进损益的其他综合收益" addr="T0R33C1S1_1"/>
      <m:item xlName="_GBC_b79452178597485fb895fe9948ced6d8" concept="clcid-pte:YiHouJiangZhongFenLeiJinSunYiDeQiTaZongHeShouYi" label="以后将重分类进损益的其他综合收益" mulRef="_GBC_34e415c837e84eed8e46839f812af522" unitRef="_GBC_f2660c2586654164b26a3e8fde13a87d" addr="T0R33C2S1_1" formatStyle="Comma">
        <m:complexRule comparator="Eq" title="以后将重分类进损益的其他综合收益" test=" $_GBC_701d5838d922406eb050155987be39fa +  $_GBC_322599bd3ba84e44a6aa1cea77db747a +  $_GBC_29c3d491013a4bddb808865c7cf1a428 +  $_GBC_435eda10d027414c86f12240926c79bb +  $_GBC_e03f7e90971b402d89ee49cd7648490c +  $_GBC_6fe1ea6ee47945399a0393dd73e2924b +  $_GBC_240b11c6575b40b28bcf6d250d0910fe" id="C24edfd5b521543cb8be04df914944f49"/>
      </m:item>
      <m:item xlName="_GBC_fd13d6d834324587908c059cce925aa8" concept="clcid-pte:YiHouJiangZhongFenLeiJinSunYiDeQiTaZongHeShouYi" label="以后将重分类进损益的其他综合收益" periodRef="上年同期数" mulRef="_GBC_34e415c837e84eed8e46839f812af522" unitRef="_GBC_f2660c2586654164b26a3e8fde13a87d" addr="T0R33C3S1_1" formatStyle="Comma">
        <m:complexRule comparator="Eq" title="以后将重分类进损益的其他综合收益@上年同期数" test=" $_GBC_af7f498876a04ce6acae7ad3f173d864 +  $_GBC_fda596a561ed475b938ba6a9a125f66b +  $_GBC_78f297db256942ff8d44a442868b4258 +  $_GBC_03881a889c7d4022805da955c70bf745 +  $_GBC_725a149020a74ac599afb6ba8d7ff50a +  $_GBC_55e2d75ade764aba90fc16ebbf7c92fe +  $_GBC_5eea2ff9909a40308748879eb61f91ae" id="C69d2a15301c14ef48065c0a886ed3f48"/>
      </m:item>
      <m:placeholder xlName="_PLD_fac84df184f84681bb09df0beba12ed8" addr="T0R34C0S1_1"/>
      <m:item xlName="_GBC_15f1924bc33249738da00cc8a689e716" concept="clcid-ci-ar:FuZhuQuanYiFaXiaZaiBeiTouZiDanWeiYiHouJiangZhongFenLeiJinSunYiDeQiTaZongHeShouYiZhongXiangYouDeFenE" label="附注_权益法下在被投资单位以后将重分类进损益的其他综合收益中享有的份额" addr="T0R34C1S1_1"/>
      <m:item xlName="_GBC_701d5838d922406eb050155987be39fa" concept="clcid-pte:QuanYiFaXiaZaiBeiTouZiDanWeiYiHouJiangZhongFenLeiJinSunYiDeQiTaZongHeShouYiZhongXiangYouDeFenE" label="权益法下在被投资单位以后将重分类进损益的其他综合收益中享有的份额" mulRef="_GBC_34e415c837e84eed8e46839f812af522" unitRef="_GBC_f2660c2586654164b26a3e8fde13a87d" addr="T0R34C2S1_1" formatStyle="Comma"/>
      <m:item xlName="_GBC_af7f498876a04ce6acae7ad3f173d864" concept="clcid-pte:QuanYiFaXiaZaiBeiTouZiDanWeiYiHouJiangZhongFenLeiJinSunYiDeQiTaZongHeShouYiZhongXiangYouDeFenE" label="权益法下在被投资单位以后将重分类进损益的其他综合收益中享有的份额" periodRef="上年同期数" mulRef="_GBC_34e415c837e84eed8e46839f812af522" unitRef="_GBC_f2660c2586654164b26a3e8fde13a87d" addr="T0R34C3S1_1" formatStyle="Comma"/>
      <m:placeholder xlName="_PLD_85c4c3177d5e4028b90fe424d1deabc3" addr="T0R35C0S1_1"/>
      <m:item xlName="_GBC_d53f28f2ffe740119de1a466dfa549a9" concept="clcid-ci-ar:FuZhu_QiTaZhaiQuanTouZiGongYunJiaZhiBianDong" label="附注_其他债权投资公允价值变动" addr="T0R35C1S1_1"/>
      <m:item xlName="_GBC_322599bd3ba84e44a6aa1cea77db747a" concept="clcid-pte:QiTaZhaiQuanTouZiGongYunJiaZhiBianDong" label="其他债权投资公允价值变动" mulRef="_GBC_34e415c837e84eed8e46839f812af522" unitRef="_GBC_f2660c2586654164b26a3e8fde13a87d" addr="T0R35C2S1_1" formatStyle="Comma"/>
      <m:item xlName="_GBC_fda596a561ed475b938ba6a9a125f66b" concept="clcid-pte:QiTaZhaiQuanTouZiGongYunJiaZhiBianDong" label="其他债权投资公允价值变动" periodRef="上年同期数" mulRef="_GBC_34e415c837e84eed8e46839f812af522" unitRef="_GBC_f2660c2586654164b26a3e8fde13a87d" addr="T0R35C3S1_1" formatStyle="Comma"/>
      <m:placeholder xlName="_PLD_0f95411f0bca4aae92a720c3cb7defb1" addr="T0R36C0S1_1"/>
      <m:item xlName="_GBC_35986d052c2345f5b9bac677c5171c5a" concept="clcid-ci-ar:FuZhu_JinRongZiChanChongFenLeiJiRuQiTaZongHeShouYiDeJinE" label="附注_金融资产重分类计入其他综合收益的金额" addr="T0R36C1S1_1"/>
      <m:item xlName="_GBC_29c3d491013a4bddb808865c7cf1a428" concept="clcid-pte:JinRongZiChanChongFenLeiJiRuQiTaZongHeShouYiDeJinE" label="金融资产重分类计入其他综合收益的金额" mulRef="_GBC_34e415c837e84eed8e46839f812af522" unitRef="_GBC_f2660c2586654164b26a3e8fde13a87d" addr="T0R36C2S1_1" formatStyle="Comma"/>
      <m:item xlName="_GBC_78f297db256942ff8d44a442868b4258" concept="clcid-pte:JinRongZiChanChongFenLeiJiRuQiTaZongHeShouYiDeJinE" label="金融资产重分类计入其他综合收益的金额" periodRef="上年同期数" mulRef="_GBC_34e415c837e84eed8e46839f812af522" unitRef="_GBC_f2660c2586654164b26a3e8fde13a87d" addr="T0R36C3S1_1" formatStyle="Comma"/>
      <m:placeholder xlName="_PLD_40debdabc6224488ac054d508f4e8994" addr="T0R37C0S1_1"/>
      <m:item xlName="_GBC_f0a61aa1e1b14449b31c8981e5d231c5" concept="clcid-ci-ar:FuZhu_QiTaZhaiQuanTouZiXinYongJianZhiZhunBei" label="附注_其他债权投资信用减值准备" addr="T0R37C1S1_1"/>
      <m:item xlName="_GBC_435eda10d027414c86f12240926c79bb" concept="clcid-pte:QiTaZhaiQuanTouZiXinYongJianZhiZhunBei" label="其他债权投资信用减值准备" mulRef="_GBC_34e415c837e84eed8e46839f812af522" unitRef="_GBC_f2660c2586654164b26a3e8fde13a87d" addr="T0R37C2S1_1" formatStyle="Comma"/>
      <m:item xlName="_GBC_03881a889c7d4022805da955c70bf745" concept="clcid-pte:QiTaZhaiQuanTouZiXinYongJianZhiZhunBei" label="其他债权投资信用减值准备" periodRef="上年同期数" mulRef="_GBC_34e415c837e84eed8e46839f812af522" unitRef="_GBC_f2660c2586654164b26a3e8fde13a87d" addr="T0R37C3S1_1" formatStyle="Comma"/>
      <m:placeholder xlName="_PLD_ff358146787f48d08377e607183648e5" addr="T0R38C0S1_1"/>
      <m:item xlName="_GBC_a05bb4c8120f4fb6a24fed2fbaad26a0" concept="clcid-ci-ar:FuZhuXianJinLiuLiangTaoQiSunYiDeYouXiaoBuFen" label="附注_现金流量套期损益的有效部分" addr="T0R38C1S1_1"/>
      <m:item xlName="_GBC_e03f7e90971b402d89ee49cd7648490c" concept="clcid-pte:XianJinLiuLiangTaoQiSunYiDeYouXiaoBuFen" label="现金流量套期损益的有效部分" mulRef="_GBC_34e415c837e84eed8e46839f812af522" unitRef="_GBC_f2660c2586654164b26a3e8fde13a87d" addr="T0R38C2S1_1" formatStyle="Comma"/>
      <m:item xlName="_GBC_725a149020a74ac599afb6ba8d7ff50a" concept="clcid-pte:XianJinLiuLiangTaoQiSunYiDeYouXiaoBuFen" label="现金流量套期损益的有效部分" periodRef="上年同期数" mulRef="_GBC_34e415c837e84eed8e46839f812af522" unitRef="_GBC_f2660c2586654164b26a3e8fde13a87d" addr="T0R38C3S1_1" formatStyle="Comma"/>
      <m:placeholder xlName="_PLD_ce99240744f94443a12372f5bebcdc7d" addr="T0R39C0S1_1"/>
      <m:item xlName="_GBC_804270eadce64a4fa12a5b920f0fd4c9" concept="clcid-ci-ar:FuZhuWaiBiCaiWuBaoBiaoZheSuanChaE" label="附注_外币财务报表折算差额" addr="T0R39C1S1_1"/>
      <m:item xlName="_GBC_6fe1ea6ee47945399a0393dd73e2924b" concept="clcid-pte:WaiBiCaiWuBaoBiaoZheSuanChaE" label="外币财务报表折算差额" mulRef="_GBC_34e415c837e84eed8e46839f812af522" unitRef="_GBC_f2660c2586654164b26a3e8fde13a87d" addr="T0R39C2S1_1" formatStyle="Comma"/>
      <m:item xlName="_GBC_55e2d75ade764aba90fc16ebbf7c92fe" concept="clcid-pte:WaiBiCaiWuBaoBiaoZheSuanChaE" label="外币财务报表折算差额" periodRef="上年同期数" mulRef="_GBC_34e415c837e84eed8e46839f812af522" unitRef="_GBC_f2660c2586654164b26a3e8fde13a87d" addr="T0R39C3S1_1" formatStyle="Comma"/>
      <m:placeholder xlName="_PLD_f4eca88a48ed4bd89ba8d1a8e74e46d0" addr="T0R40C0S1_1"/>
      <m:item xlName="_GBC_0f343c5925094766ab38149f57878565" concept="clcid-ci-ar:FuZhuYiHouJiangZhongFenLeiJinSunYiDeQiTaZongHeShouYiQiTa" label="附注_以后将重分类进损益的其他综合收益-其他" addr="T0R40C1S1_1"/>
      <m:item xlName="_GBC_240b11c6575b40b28bcf6d250d0910fe" concept="clcid-pte:YiHouJiangZhongFenLeiJinSunYiDeQiTaZongHeShouYiQiTa" label="以后将重分类进损益的其他综合收益-其他" mulRef="_GBC_34e415c837e84eed8e46839f812af522" unitRef="_GBC_f2660c2586654164b26a3e8fde13a87d" addr="T0R40C2S1_1" formatStyle="Comma"/>
      <m:item xlName="_GBC_5eea2ff9909a40308748879eb61f91ae" concept="clcid-pte:YiHouJiangZhongFenLeiJinSunYiDeQiTaZongHeShouYiQiTa" label="以后将重分类进损益的其他综合收益-其他" periodRef="上年同期数" mulRef="_GBC_34e415c837e84eed8e46839f812af522" unitRef="_GBC_f2660c2586654164b26a3e8fde13a87d" addr="T0R40C3S1_1" formatStyle="Comma"/>
      <m:placeholder xlName="_PLD_706116c01cf64156a997a131153c4494" addr="T0R41C0S1_1"/>
      <m:item xlName="_GBC_4c00bfcd3a2f4e92b37452e44d9a68cb" concept="clcid-ci-ar:FuZhu_ZongHeShouYiZongE" label="附注_综合收益总额" addr="T0R41C1S1_1"/>
      <m:item xlName="_GBC_26b8e5fc98f6468aa87997f6cd48d625" concept="clcid-pte:ZongHeShouYiZongE" label="综合收益总额" mulRef="_GBC_34e415c837e84eed8e46839f812af522" unitRef="_GBC_f2660c2586654164b26a3e8fde13a87d" addr="T0R41C2S1_1" formatStyle="Comma"/>
      <m:item xlName="_GBC_12bd0fb623734840ad6657fe08a69a51" concept="clcid-pte:ZongHeShouYiZongE" label="综合收益总额" periodRef="上年同期数" mulRef="_GBC_34e415c837e84eed8e46839f812af522" unitRef="_GBC_f2660c2586654164b26a3e8fde13a87d" addr="T0R41C3S1_1" formatStyle="Comma"/>
      <m:placeholder xlName="_PLD_66ab9c261d1b4be9a4c22d7bcb216450" addr="T0R42C0S1_1"/>
      <m:placeholder xlName="_PLD_8585e9b578034e76a9a78cf0a1d79e08" addr="T0R43C0S1_1"/>
      <m:item xlName="_GBC_f7c54f3767ac464f9e112a13e8806e54" concept="clcid-ci-ar:FuZhu_JiBenMeiGuShouYi" label="附注_基本每股收益" addr="T0R43C1S1_1"/>
      <m:item xlName="_GBC_3d9c7e9e75094d38b6518c331f48f8e2" concept="clcid-pte:JiBenMeiGuShouYi" label="基本每股收益" unitRef="_GBC_125a2547934143ccb384434361f57d37" addr="T0R43C2S1_1" formatStyle="Comma" fixedType="EPS"/>
      <m:item xlName="_GBC_d7742a4b58b74b1f8aa3f205134bce04" concept="clcid-pte:JiBenMeiGuShouYi" label="基本每股收益" periodRef="上年同期数" unitRef="_GBC_125a2547934143ccb384434361f57d37" addr="T0R43C3S1_1" formatStyle="Comma" fixedType="EPS"/>
      <m:placeholder xlName="_PLD_1d01c68025744a66a934152331de3b45" addr="T0R44C0S1_1"/>
      <m:item xlName="_GBC_cfb074f41b664fdd826202b8478f3221" concept="clcid-ci-ar:FuZhu_XiShiMeiGuShouYi" label="附注_稀释每股收益" addr="T0R44C1S1_1"/>
      <m:item xlName="_GBC_e75cc435be0c44e68f635cce900e7217" concept="clcid-pte:XiShiMeiGuShouYi" label="稀释每股收益" unitRef="_GBC_125a2547934143ccb384434361f57d37" addr="T0R44C2S1_1" formatStyle="Comma" fixedType="EPS"/>
      <m:item xlName="_GBC_df818ea6b1864a8db2967ed4152c97df" concept="clcid-pte:XiShiMeiGuShouYi" label="稀释每股收益" periodRef="上年同期数" unitRef="_GBC_125a2547934143ccb384434361f57d37" addr="T0R44C3S1_1" formatStyle="Comma" fixedType="EPS"/>
      <m:item xlName="_GBC_9d6caf56e21745d3978217539d3945c2" concept="clcid-mr:GongSiFuZeRenXingMing" label="公司负责人姓名" binding="true"/>
      <m:item xlName="_GBC_f6ea3ac8976c47519c0433d2c66ed20f" concept="clcid-mr:ZhuGuanKuaiJiGongZuoFuZeRenXingMing" label="主管会计工作负责人姓名" binding="true"/>
      <m:item xlName="_GBC_014f49147db6456caf4538fd5d691051" concept="clcid-mr:KuaiJiJiGouFuZeRenXingMing" label="会计机构负责人姓名" binding="true"/>
      <m:rowModel locationConcept="clcid-ci-ar:ZiDingYiKeMuWeiZhi" labelConcept="clcid-ci-ar:ZiDingYiKeMuMingCheng" conceptPrefix="利润表" presentationRole="http://www.xbrl-cn.org/cn/lcid/lr/role/IncomeStatementforCommercialandIndustrialCompanies" presentationParentConcept="clcid-pte:LiRunBiao" tuplePrefix="项目"/>
    </m:section>
    <m:section xlName="_GBC_d6533048a32749eaa7738390457b7f24" title="需要编制合并报表" checkKey="合并" helpId="112001001" primarySection="_GBC_d6533048a32749eaa7738390457b7f24" optionText="需要编制合并报表" optionGroupTitle="是否需要合并报表" optionTargetConcept="clcid-ci-ar:ShiFouXuYaoHeBingBaoBiao" optionTargetConceptValue="true" keyAction="57">
      <m:region xlName="_GBC_17c43da24c7845d3aa093910aeaf2348" title="合并现金流量表" helpId="112001001">
        <m:item xlName="_GBC_7049413ddb8f4e5eac9cb9fb4f802433" concept="clcid-ci-ar:DanWeiHeBingXianJinLiuLiangBiao" label="单位：合并现金流量表" selectOptions="_buildInScales" controlType="Combobox" cellType="Scale"/>
        <m:item xlName="_GBC_5ab1c6e244484b228b8cdc6ee3840fd6" concept="clcid-ci-ar:BiZhongHeBingXianJinLiuLiangBiao" label="币种：合并现金流量表" selectOptions="_buildInISO4217" controlType="Combobox" cellType="Measure"/>
        <m:placeholder xlName="_PLD_2a3b6af3ab824e2db1022630f7a58e18" addr="T0R0C0S1_1"/>
        <m:placeholder xlName="_PLD_49df1a6f5a224085bdcd56671a898d47" addr="T0R0C1S1_1"/>
        <m:placeholder xlName="_PLD_aba5e14092764f689b78fdbe9892bc51" addr="T0R0C2S1_1"/>
        <m:placeholder xlName="_PLD_8cac70c6f00c4266a9b8cff482cc71cc" addr="T0R0C3S1_1"/>
        <m:placeholder xlName="_PLD_ffd119a1ffa641c1a00397806a78ee23" addr="T0R1C0S1_1"/>
        <m:placeholder xlName="_PLD_3737bef37bc541e2b41571186e0af02f" addr="T0R2C0S1_1"/>
        <m:item xlName="_GBC_0d66caffc6af4cdd994b7b72951be3c2" concept="clcid-ci-ar:FuZhu_XiaoShouShangPinTiGongLaoWuShouDaoDeXianJin" label="附注_销售商品提供劳务收到的现金" addr="T0R2C1S1_1"/>
        <m:item xlName="_GBC_7ab40d940bb64807bd31c946087af8c4" concept="clcid-pte:XiaoShouShangPinTiGongLaoWuShouDaoDeXianJin" label="销售商品提供劳务收到的现金" mulRef="_GBC_7049413ddb8f4e5eac9cb9fb4f802433" unitRef="_GBC_5ab1c6e244484b228b8cdc6ee3840fd6" addr="T0R2C2S1_1" formatStyle="Comma"/>
        <m:item xlName="_GBC_6f475d7dba5f4d5e9c26e2114344eeae" concept="clcid-pte:XiaoShouShangPinTiGongLaoWuShouDaoDeXianJin" label="销售商品提供劳务收到的现金" periodRef="上年同期数" mulRef="_GBC_7049413ddb8f4e5eac9cb9fb4f802433" unitRef="_GBC_5ab1c6e244484b228b8cdc6ee3840fd6" addr="T0R2C3S1_1" formatStyle="Comma"/>
        <m:placeholder xlName="_PLD_0e165cb86e9e42a0b268845ab2bfbc62" addr="T0R3C0S1_1"/>
        <m:item xlName="_GBC_58a0abfc23904a9eb47160ec293fb719" concept="clcid-ci-ar:FuZhu_KeHuCunKuanHeTongYeCunFangKuanXiangJingZengJiaE" label="附注_客户存款和同业存放款项净增加额" addr="T0R3C1S1_1"/>
        <m:item xlName="_GBC_78832cf26dbf4e3fbbd4f21a7ce98e92" concept="clcid-pte:KeHuCunKuanHeTongYeCunFangKuanXiangJingZengJiaE" label="客户存款和同业存放款项净增加额" mulRef="_GBC_7049413ddb8f4e5eac9cb9fb4f802433" unitRef="_GBC_5ab1c6e244484b228b8cdc6ee3840fd6" addr="T0R3C2S1_1" formatStyle="Comma"/>
        <m:item xlName="_GBC_519ff083307940a2b70982b3631f01ad" concept="clcid-pte:KeHuCunKuanHeTongYeCunFangKuanXiangJingZengJiaE" label="客户存款和同业存放款项净增加额" periodRef="上年同期数" mulRef="_GBC_7049413ddb8f4e5eac9cb9fb4f802433" unitRef="_GBC_5ab1c6e244484b228b8cdc6ee3840fd6" addr="T0R3C3S1_1" formatStyle="Comma"/>
        <m:placeholder xlName="_PLD_53ac9ac9881c4fd7a23a964afe0f5ab9" addr="T0R4C0S1_1"/>
        <m:item xlName="_GBC_29196455536a473bb55dfae1bc1375c1" concept="clcid-ci-ar:FuZhu_XiangZhongYangYinHangJieKuanJingZengJiaE" label="附注_向中央银行借款净增加额" addr="T0R4C1S1_1"/>
        <m:item xlName="_GBC_3ac39585d4b64c75a62d88bc509a7a87" concept="clcid-pte:XiangZhongYangYinHangJieKuanJingZengJiaE" label="向中央银行借款净增加额" mulRef="_GBC_7049413ddb8f4e5eac9cb9fb4f802433" unitRef="_GBC_5ab1c6e244484b228b8cdc6ee3840fd6" addr="T0R4C2S1_1" formatStyle="Comma"/>
        <m:item xlName="_GBC_29196d6084434b4a8dda191708632266" concept="clcid-pte:XiangZhongYangYinHangJieKuanJingZengJiaE" label="向中央银行借款净增加额" periodRef="上年同期数" mulRef="_GBC_7049413ddb8f4e5eac9cb9fb4f802433" unitRef="_GBC_5ab1c6e244484b228b8cdc6ee3840fd6" addr="T0R4C3S1_1" formatStyle="Comma"/>
        <m:placeholder xlName="_PLD_4fa5cd7231084d5e8d16a86dececd3b2" addr="T0R5C0S1_1"/>
        <m:item xlName="_GBC_f4fab4ae4ac44a98bfa8f6ba864aa2a7" concept="clcid-ci-ar:FuZhu_XiangQiTaJinRongJiGouChaiRuZiJinJingZengJiaE" label="附注_向其他金融机构拆入资金净增加额" addr="T0R5C1S1_1"/>
        <m:item xlName="_GBC_4ce078e9d9ba48e983bf211bdf7bf5cd" concept="clcid-pte:XiangQiTaJinRongJiGouChaiRuZiJinJingZengJiaE" label="向其他金融机构拆入资金净增加额" mulRef="_GBC_7049413ddb8f4e5eac9cb9fb4f802433" unitRef="_GBC_5ab1c6e244484b228b8cdc6ee3840fd6" addr="T0R5C2S1_1" formatStyle="Comma"/>
        <m:item xlName="_GBC_85834c84268946b3b1a9d68aa07b7889" concept="clcid-pte:XiangQiTaJinRongJiGouChaiRuZiJinJingZengJiaE" label="向其他金融机构拆入资金净增加额" periodRef="上年同期数" mulRef="_GBC_7049413ddb8f4e5eac9cb9fb4f802433" unitRef="_GBC_5ab1c6e244484b228b8cdc6ee3840fd6" addr="T0R5C3S1_1" formatStyle="Comma"/>
        <m:placeholder xlName="_PLD_ca0d502c0b574483ab47d4c8173169f9" addr="T0R6C0S1_1"/>
        <m:item xlName="_GBC_e2323a7a6cd944a8b3ac4ebfc0cf3375" concept="clcid-ci-ar:FuZhu_ShouDaoYuanBaoXianHeTongBaoFeiQuDeDeXianJin" label="附注_收到原保险合同保费取得的现金" addr="T0R6C1S1_1"/>
        <m:item xlName="_GBC_98cbe9124c50418ea7c6a8e23618d90a" concept="clcid-pte:ShouDaoYuanBaoXianHeTongBaoFeiQuDeDeXianJin" label="收到原保险合同保费取得的现金" mulRef="_GBC_7049413ddb8f4e5eac9cb9fb4f802433" unitRef="_GBC_5ab1c6e244484b228b8cdc6ee3840fd6" addr="T0R6C2S1_1" formatStyle="Comma"/>
        <m:item xlName="_GBC_d3ef421356f741b09dda4eb793b15456" concept="clcid-pte:ShouDaoYuanBaoXianHeTongBaoFeiQuDeDeXianJin" label="收到原保险合同保费取得的现金" periodRef="上年同期数" mulRef="_GBC_7049413ddb8f4e5eac9cb9fb4f802433" unitRef="_GBC_5ab1c6e244484b228b8cdc6ee3840fd6" addr="T0R6C3S1_1" formatStyle="Comma"/>
        <m:placeholder xlName="_PLD_27d3854b584b426e821112162a2315b7" addr="T0R7C0S1_1"/>
        <m:item xlName="_GBC_9fff928f9be549a8a84d76e3ffcf2c39" concept="clcid-ci-ar:FuZhu_ShouDaoZaiBaoXianYeWuXianJinJingE" label="附注_收到再保险业务现金净额" addr="T0R7C1S1_1"/>
        <m:item xlName="_GBC_b800f70086c6475db95e39ca8fee4bc8" concept="clcid-pte:ShouDaoZaiBaoXianYeWuXianJinJingE" label="收到再保险业务现金净额" mulRef="_GBC_7049413ddb8f4e5eac9cb9fb4f802433" unitRef="_GBC_5ab1c6e244484b228b8cdc6ee3840fd6" addr="T0R7C2S1_1" formatStyle="Comma"/>
        <m:item xlName="_GBC_d208676ad69f4e6faf41963e84712feb" concept="clcid-pte:ShouDaoZaiBaoXianYeWuXianJinJingE" label="收到再保险业务现金净额" periodRef="上年同期数" mulRef="_GBC_7049413ddb8f4e5eac9cb9fb4f802433" unitRef="_GBC_5ab1c6e244484b228b8cdc6ee3840fd6" addr="T0R7C3S1_1" formatStyle="Comma"/>
        <m:placeholder xlName="_PLD_9042657b6c95463292e1d70a9dcb4339" addr="T0R8C0S1_1"/>
        <m:item xlName="_GBC_b397a87caa354785ac4369756873ee4c" concept="clcid-ci-ar:FuZhu_BaoHuChuJinJiTouZiKuanJingZengJiaE" label="附注_保户储金及投资款净增加额" addr="T0R8C1S1_1"/>
        <m:item xlName="_GBC_5fe4d05371eb4beb93f480f8db95b28c" concept="clcid-pte:BaoHuChuJinJiTouZiKuanJingZengJiaE" label="保户储金及投资款净增加额" mulRef="_GBC_7049413ddb8f4e5eac9cb9fb4f802433" unitRef="_GBC_5ab1c6e244484b228b8cdc6ee3840fd6" addr="T0R8C2S1_1" formatStyle="Comma"/>
        <m:item xlName="_GBC_2389d80aee1a44fab607cc74f2b346d0" concept="clcid-pte:BaoHuChuJinJiTouZiKuanJingZengJiaE" label="保户储金及投资款净增加额" periodRef="上年同期数" mulRef="_GBC_7049413ddb8f4e5eac9cb9fb4f802433" unitRef="_GBC_5ab1c6e244484b228b8cdc6ee3840fd6" addr="T0R8C3S1_1" formatStyle="Comma"/>
        <m:placeholder xlName="_PLD_f2b940928e9a441385d0fbc1e03e9847" addr="T0R9C0S1_1"/>
        <m:item xlName="_GBC_5d8cfc05c31d4b22b0415d55dacb8d61" concept="clcid-ci-ar:FuZhu_ShouQuLiXiShouXuFeiJiYongJinDeXianJin" label="附注_收取利息、手续费及佣金的现金" addr="T0R9C1S1_1"/>
        <m:item xlName="_GBC_de919250bd0744ba9e7f5b6777e124cd" concept="clcid-pte:ShouQuLiXiShouXuFeiJiYongJinDeXianJin" label="收取利息、手续费及佣金的现金" mulRef="_GBC_7049413ddb8f4e5eac9cb9fb4f802433" unitRef="_GBC_5ab1c6e244484b228b8cdc6ee3840fd6" addr="T0R9C2S1_1" formatStyle="Comma"/>
        <m:item xlName="_GBC_df999b599f4a4adabe1db0a9325ebaf6" concept="clcid-pte:ShouQuLiXiShouXuFeiJiYongJinDeXianJin" label="收取利息、手续费及佣金的现金" periodRef="上年同期数" mulRef="_GBC_7049413ddb8f4e5eac9cb9fb4f802433" unitRef="_GBC_5ab1c6e244484b228b8cdc6ee3840fd6" addr="T0R9C3S1_1" formatStyle="Comma"/>
        <m:placeholder xlName="_PLD_fb8a102c0adb420b81df819e96f35605" addr="T0R10C0S1_1"/>
        <m:item xlName="_GBC_0d52ba36beba4692948f8b90f3839277" concept="clcid-ci-ar:FuZhu_ChaiRuZiJinJingZengJiaE" label="附注_拆入资金净增加额" addr="T0R10C1S1_1"/>
        <m:item xlName="_GBC_122dc39043ca47a3a79a05b1b8c501f6" concept="clcid-pte:ChaiRuZiJinJingZengJiaE" label="拆入资金净增加额" mulRef="_GBC_7049413ddb8f4e5eac9cb9fb4f802433" unitRef="_GBC_5ab1c6e244484b228b8cdc6ee3840fd6" addr="T0R10C2S1_1" formatStyle="Comma"/>
        <m:item xlName="_GBC_7e326758d68c4ae2846a02bd1b75cfa3" concept="clcid-pte:ChaiRuZiJinJingZengJiaE" label="拆入资金净增加额" periodRef="上年同期数" mulRef="_GBC_7049413ddb8f4e5eac9cb9fb4f802433" unitRef="_GBC_5ab1c6e244484b228b8cdc6ee3840fd6" addr="T0R10C3S1_1" formatStyle="Comma"/>
        <m:placeholder xlName="_PLD_ed524170a3b440c494db2f51afa02dae" addr="T0R11C0S1_1"/>
        <m:item xlName="_GBC_5c4c2dc1cfc44a929cea0f19d12e104e" concept="clcid-ci-ar:FuZhu_HuiGouYeWuZiJinJingZengJiaE" label="附注_回购业务资金净增加额" addr="T0R11C1S1_1"/>
        <m:item xlName="_GBC_1ac297f4fb8b4fdcb1e0276c40e93016" concept="clcid-pte:HuiGouYeWuZiJinJingZengJiaE" label="回购业务资金净增加额" mulRef="_GBC_7049413ddb8f4e5eac9cb9fb4f802433" unitRef="_GBC_5ab1c6e244484b228b8cdc6ee3840fd6" addr="T0R11C2S1_1" formatStyle="Comma"/>
        <m:item xlName="_GBC_05eed477ca7e4f498cdbe17fc13ebb08" concept="clcid-pte:HuiGouYeWuZiJinJingZengJiaE" label="回购业务资金净增加额" periodRef="上年同期数" mulRef="_GBC_7049413ddb8f4e5eac9cb9fb4f802433" unitRef="_GBC_5ab1c6e244484b228b8cdc6ee3840fd6" addr="T0R11C3S1_1" formatStyle="Comma"/>
        <m:placeholder xlName="_PLD_92047b241c2a4992afcdac105b616305" addr="T0R12C0S1_1"/>
        <m:item xlName="_GBC_19a8cf9ee7054738aef477fb2219a32e" concept="clcid-fste:FuZhu_DaiLiMaiMaiZhengQuanShouDaoDeXianJinJingE" label="附注_代理买卖证券收到的现金净额" addr="T0R12C1S1_1"/>
        <m:item xlName="_GBC_56aeee3026fa4af7ac048d22b2d6a830" concept="clcid-fste:DaiLiMaiMaiZhengQuanShouDaoDeXianJinJingE" label="代理买卖证券收到的现金净额" mulRef="_GBC_7049413ddb8f4e5eac9cb9fb4f802433" unitRef="_GBC_5ab1c6e244484b228b8cdc6ee3840fd6" addr="T0R12C2S1_1" formatStyle="Comma"/>
        <m:item xlName="_GBC_d8d4c37730ae44c592ed16c480847880" concept="clcid-fste:DaiLiMaiMaiZhengQuanShouDaoDeXianJinJingE" label="代理买卖证券收到的现金净额" periodRef="上年同期数" mulRef="_GBC_7049413ddb8f4e5eac9cb9fb4f802433" unitRef="_GBC_5ab1c6e244484b228b8cdc6ee3840fd6" addr="T0R12C3S1_1" formatStyle="Comma"/>
        <m:placeholder xlName="_PLD_64653926f1d7432aafc100b141947533" addr="T0R13C0S1_1"/>
        <m:item xlName="_GBC_01a0695b7abd481eb4becff9ba8f6d51" concept="clcid-ci-ar:FuZhu_ShouDaoDeShuiFeiFanHuan" label="附注_收到的税费返还" addr="T0R13C1S1_1"/>
        <m:item xlName="_GBC_052e7e6967ad4d23b51b8e909dc6d825" concept="clcid-pte:ShouDaoDeShuiFeiFanHuan" label="收到的税费返还" mulRef="_GBC_7049413ddb8f4e5eac9cb9fb4f802433" unitRef="_GBC_5ab1c6e244484b228b8cdc6ee3840fd6" addr="T0R13C2S1_1" formatStyle="Comma"/>
        <m:item xlName="_GBC_d98843d51b214a4eacacd57fa2e71f48" concept="clcid-pte:ShouDaoDeShuiFeiFanHuan" label="收到的税费返还" periodRef="上年同期数" mulRef="_GBC_7049413ddb8f4e5eac9cb9fb4f802433" unitRef="_GBC_5ab1c6e244484b228b8cdc6ee3840fd6" addr="T0R13C3S1_1" formatStyle="Comma"/>
        <m:placeholder xlName="_PLD_a5a847bd8381445cacfacf3bd061b567" addr="T0R14C0S1_1"/>
        <m:item xlName="_GBC_a3b9874e14f642fea48ad492479645dd" concept="clcid-ci-ar:FuZhu_ShouDaoDeQiTaYuJingYingHuoDongYouGuanDeXianJin" label="附注_收到的其他与经营活动有关的现金" addr="T0R14C1S1_1"/>
        <m:item xlName="_GBC_a5ef83c21b0f47efa8dca0a4737bc473" concept="clcid-pte:ShouDaoDeQiTaYuJingYingHuoDongYouGuanDeXianJin" label="收到的其他与经营活动有关的现金" mulRef="_GBC_7049413ddb8f4e5eac9cb9fb4f802433" unitRef="_GBC_5ab1c6e244484b228b8cdc6ee3840fd6" addr="T0R14C2S1_1" formatStyle="Comma"/>
        <m:item xlName="_GBC_202489fb165a4a5681b2cbbc4c705d31" concept="clcid-pte:ShouDaoDeQiTaYuJingYingHuoDongYouGuanDeXianJin" label="收到的其他与经营活动有关的现金" periodRef="上年同期数" mulRef="_GBC_7049413ddb8f4e5eac9cb9fb4f802433" unitRef="_GBC_5ab1c6e244484b228b8cdc6ee3840fd6" addr="T0R14C3S1_1" formatStyle="Comma"/>
        <m:placeholder xlName="_PLD_99ee67e244574f82a472dc4db883c019" addr="T0R15C0S1_1"/>
        <m:item xlName="_GBC_bf3f8155dce3484aa93291e518c8fb49" concept="clcid-ci-ar:FuZhu_JingYingHuoDongXianJinLiuRuXiaoJi" label="附注_经营活动现金流入小计" addr="T0R15C1S1_1"/>
        <m:item xlName="_GBC_57d8484b9ed14294805c86d551dbffc9" concept="clcid-pte:JingYingHuoDongXianJinLiuRuXiaoJi" label="经营活动现金流入小计" mulRef="_GBC_7049413ddb8f4e5eac9cb9fb4f802433" unitRef="_GBC_5ab1c6e244484b228b8cdc6ee3840fd6" addr="T0R15C2S1_1" formatStyle="Comma">
          <m:complexRule comparator="Eq" title="经营活动现金流入小计" test=" $_GBC_7ab40d940bb64807bd31c946087af8c4 +  $_GBC_78832cf26dbf4e3fbbd4f21a7ce98e92 +  $_GBC_3ac39585d4b64c75a62d88bc509a7a87 +  $_GBC_4ce078e9d9ba48e983bf211bdf7bf5cd +  $_GBC_98cbe9124c50418ea7c6a8e23618d90a +  $_GBC_b800f70086c6475db95e39ca8fee4bc8 +  $_GBC_5fe4d05371eb4beb93f480f8db95b28c +  $_GBC_de919250bd0744ba9e7f5b6777e124cd +  $_GBC_122dc39043ca47a3a79a05b1b8c501f6 +  $_GBC_1ac297f4fb8b4fdcb1e0276c40e93016 +  $_GBC_56aeee3026fa4af7ac048d22b2d6a830 +  $_GBC_052e7e6967ad4d23b51b8e909dc6d825 +  $_GBC_a5ef83c21b0f47efa8dca0a4737bc473" id="C4370723c98254f07837f603662279d9e" radius="0.0001"/>
        </m:item>
        <m:item xlName="_GBC_06cbd8f109fe4249ab66ea9b9d4c2464" concept="clcid-pte:JingYingHuoDongXianJinLiuRuXiaoJi" label="经营活动现金流入小计" periodRef="上年同期数" mulRef="_GBC_7049413ddb8f4e5eac9cb9fb4f802433" unitRef="_GBC_5ab1c6e244484b228b8cdc6ee3840fd6" addr="T0R15C3S1_1" formatStyle="Comma">
          <m:complexRule comparator="Eq" title="经营活动现金流入小计@上年同期数" test=" $_GBC_6f475d7dba5f4d5e9c26e2114344eeae +  $_GBC_519ff083307940a2b70982b3631f01ad +  $_GBC_29196d6084434b4a8dda191708632266 +  $_GBC_85834c84268946b3b1a9d68aa07b7889 +  $_GBC_d3ef421356f741b09dda4eb793b15456 +  $_GBC_d208676ad69f4e6faf41963e84712feb +  $_GBC_2389d80aee1a44fab607cc74f2b346d0 +  $_GBC_df999b599f4a4adabe1db0a9325ebaf6 +  $_GBC_7e326758d68c4ae2846a02bd1b75cfa3 +  $_GBC_05eed477ca7e4f498cdbe17fc13ebb08 +  $_GBC_d8d4c37730ae44c592ed16c480847880 +  $_GBC_d98843d51b214a4eacacd57fa2e71f48 +  $_GBC_202489fb165a4a5681b2cbbc4c705d31" id="Cbf0234c905a149748547b7e5ae4087a1" radius="0.0001"/>
        </m:item>
        <m:placeholder xlName="_PLD_7c898111c7fa4c2db82bbfa4cfade7b1" addr="T0R16C0S1_1"/>
        <m:item xlName="_GBC_28d4624a305b43f39c6e27876cc37cfd" concept="clcid-ci-ar:FuZhu_GouMaiShangPinJieShouLaoWuZhiFuDeXianJin" label="附注_购买商品接受劳务支付的现金" addr="T0R16C1S1_1"/>
        <m:item xlName="_GBC_54197ecd0ab64f90911e446aa05c816f" concept="clcid-pte:GouMaiShangPinJieShouLaoWuZhiFuDeXianJin" label="购买商品接受劳务支付的现金" mulRef="_GBC_7049413ddb8f4e5eac9cb9fb4f802433" unitRef="_GBC_5ab1c6e244484b228b8cdc6ee3840fd6" addr="T0R16C2S1_1" baseScale="-1" formatStyle="Comma"/>
        <m:item xlName="_GBC_6bacd510329d48f9b186155b107bb827" concept="clcid-pte:GouMaiShangPinJieShouLaoWuZhiFuDeXianJin" label="购买商品接受劳务支付的现金" periodRef="上年同期数" mulRef="_GBC_7049413ddb8f4e5eac9cb9fb4f802433" unitRef="_GBC_5ab1c6e244484b228b8cdc6ee3840fd6" addr="T0R16C3S1_1" baseScale="-1" formatStyle="Comma"/>
        <m:placeholder xlName="_PLD_f94c31d02a6a46e28ef866c8d8b1eb4f" addr="T0R17C0S1_1"/>
        <m:item xlName="_GBC_3663fbc18a724a07aea061ea2210b79a" concept="clcid-ci-ar:FuZhu_KeHuDaiKuanJiDianKuanJingZengJiaE" label="附注_客户贷款及垫款净增加额" addr="T0R17C1S1_1"/>
        <m:item xlName="_GBC_54937884d3764254b3d93f6314810555" concept="clcid-pte:KeHuDaiKuanJiDianKuanJingZengJiaE" label="客户贷款及垫款净增加额" mulRef="_GBC_7049413ddb8f4e5eac9cb9fb4f802433" unitRef="_GBC_5ab1c6e244484b228b8cdc6ee3840fd6" addr="T0R17C2S1_1" baseScale="-1" formatStyle="Comma"/>
        <m:item xlName="_GBC_023d590c5ff54ba8b001937a83729a1e" concept="clcid-pte:KeHuDaiKuanJiDianKuanJingZengJiaE" label="客户贷款及垫款净增加额" periodRef="上年同期数" mulRef="_GBC_7049413ddb8f4e5eac9cb9fb4f802433" unitRef="_GBC_5ab1c6e244484b228b8cdc6ee3840fd6" addr="T0R17C3S1_1" baseScale="-1" formatStyle="Comma"/>
        <m:placeholder xlName="_PLD_c930b8bdc14d4d048d2b903bf85928a6" addr="T0R18C0S1_1"/>
        <m:item xlName="_GBC_c166f458964443a29ce4dc6ec58062ad" concept="clcid-ci-ar:FuZhu_CunFangZhongYangYinHangHeTongYeKuanXiangJingZengJiaE" label="附注_存放中央银行和同业款项净增加额" addr="T0R18C1S1_1"/>
        <m:item xlName="_GBC_e0053379bd1748beac6af61454d55ffe" concept="clcid-pte:CunFangZhongYangYinHangHeTongYeKuanXiangJingZengJiaE" label="存放中央银行和同业款项净增加额" mulRef="_GBC_7049413ddb8f4e5eac9cb9fb4f802433" unitRef="_GBC_5ab1c6e244484b228b8cdc6ee3840fd6" addr="T0R18C2S1_1" baseScale="-1" formatStyle="Comma"/>
        <m:item xlName="_GBC_46ccf70bd7f74ba783d55cc7f21fa6ff" concept="clcid-pte:CunFangZhongYangYinHangHeTongYeKuanXiangJingZengJiaE" label="存放中央银行和同业款项净增加额" periodRef="上年同期数" mulRef="_GBC_7049413ddb8f4e5eac9cb9fb4f802433" unitRef="_GBC_5ab1c6e244484b228b8cdc6ee3840fd6" addr="T0R18C3S1_1" baseScale="-1" formatStyle="Comma"/>
        <m:placeholder xlName="_PLD_eb41952abbe741389032345de9aedbff" addr="T0R19C0S1_1"/>
        <m:item xlName="_GBC_816ecd7438eb4826ab6d7a4e34204b47" concept="clcid-ci-ar:FuZhu_ZhiFuYuanBaoXianHeTongPeiFuKuanXiangDeXianJin" label="附注_支付原保险合同赔付款项的现金" addr="T0R19C1S1_1"/>
        <m:item xlName="_GBC_31b4cf3159ee49fb8f198545a2f81716" concept="clcid-pte:ZhiFuYuanBaoXianHeTongPeiFuKuanXiangDeXianJin" label="支付原保险合同赔付款项的现金" mulRef="_GBC_7049413ddb8f4e5eac9cb9fb4f802433" unitRef="_GBC_5ab1c6e244484b228b8cdc6ee3840fd6" addr="T0R19C2S1_1" baseScale="-1" formatStyle="Comma"/>
        <m:item xlName="_GBC_9048417a36eb4e93a0fab7885c53e38c" concept="clcid-pte:ZhiFuYuanBaoXianHeTongPeiFuKuanXiangDeXianJin" label="支付原保险合同赔付款项的现金" periodRef="上年同期数" mulRef="_GBC_7049413ddb8f4e5eac9cb9fb4f802433" unitRef="_GBC_5ab1c6e244484b228b8cdc6ee3840fd6" addr="T0R19C3S1_1" baseScale="-1" formatStyle="Comma"/>
        <m:placeholder xlName="_PLD_22a8c5b88fa84ee5bb2a7df3c08dff78" addr="T0R20C0S1_1"/>
        <m:item xlName="_GBC_1c531f8f7cd843b396d31bde22654718" concept="clcid-ci-ar:FuZhu_ChaiChuZiJinJingZengJiaE" label="附注_拆出资金净增加额" addr="T0R20C1S1_1"/>
        <m:item xlName="_GBC_c6aa705312ad4ed38974f5b6292d65b9" concept="clcid-pte:ChaiChuZiJinJingZengJiaE" label="拆出资金净增加额" mulRef="_GBC_7049413ddb8f4e5eac9cb9fb4f802433" unitRef="_GBC_5ab1c6e244484b228b8cdc6ee3840fd6" addr="T0R20C2S1_1" formatStyle="Comma"/>
        <m:item xlName="_GBC_713bd54ea1a94994b5018b0c336201ae" concept="clcid-pte:ChaiChuZiJinJingZengJiaE" label="拆出资金净增加额" periodRef="上年同期数" mulRef="_GBC_7049413ddb8f4e5eac9cb9fb4f802433" unitRef="_GBC_5ab1c6e244484b228b8cdc6ee3840fd6" addr="T0R20C3S1_1" formatStyle="Comma"/>
        <m:placeholder xlName="_PLD_182352293eb948718bd2d2895af0d012" addr="T0R21C0S1_1"/>
        <m:item xlName="_GBC_cba23de9013f4ba6b99b44e7a6eee369" concept="clcid-ci-ar:FuZhu_ZhiFuLiXiShouXuFeiJiYongJinDeXianJin" label="附注_支付利息、手续费及佣金的现金" addr="T0R21C1S1_1"/>
        <m:item xlName="_GBC_9a8acaa417cd41e1b592f0926be1e0b9" concept="clcid-pte:ZhiFuLiXiShouXuFeiJiYongJinDeXianJin" label="支付利息、手续费及佣金的现金" mulRef="_GBC_7049413ddb8f4e5eac9cb9fb4f802433" unitRef="_GBC_5ab1c6e244484b228b8cdc6ee3840fd6" addr="T0R21C2S1_1" baseScale="-1" formatStyle="Comma"/>
        <m:item xlName="_GBC_b28c30eb8fbb47229a67c57a53b62420" concept="clcid-pte:ZhiFuLiXiShouXuFeiJiYongJinDeXianJin" label="支付利息、手续费及佣金的现金" periodRef="上年同期数" mulRef="_GBC_7049413ddb8f4e5eac9cb9fb4f802433" unitRef="_GBC_5ab1c6e244484b228b8cdc6ee3840fd6" addr="T0R21C3S1_1" baseScale="-1" formatStyle="Comma"/>
        <m:placeholder xlName="_PLD_c4e139d97f004b09b9ef784db1d19d92" addr="T0R22C0S1_1"/>
        <m:item xlName="_GBC_5287cd1f9f1a455d8fb24d797db340c7" concept="clcid-ci-ar:FuZhu_ZhiFuBaoDanHongLiDeXianJin" label="附注_支付保单红利的现金" addr="T0R22C1S1_1"/>
        <m:item xlName="_GBC_e8257dac50c74cd3b771ea1dddc3dc8b" concept="clcid-pte:ZhiFuBaoDanHongLiDeXianJin" label="支付保单红利的现金" mulRef="_GBC_7049413ddb8f4e5eac9cb9fb4f802433" unitRef="_GBC_5ab1c6e244484b228b8cdc6ee3840fd6" addr="T0R22C2S1_1" baseScale="-1" formatStyle="Comma"/>
        <m:item xlName="_GBC_510eb38b5ce5437e8be34947e0f5936d" concept="clcid-pte:ZhiFuBaoDanHongLiDeXianJin" label="支付保单红利的现金" periodRef="上年同期数" mulRef="_GBC_7049413ddb8f4e5eac9cb9fb4f802433" unitRef="_GBC_5ab1c6e244484b228b8cdc6ee3840fd6" addr="T0R22C3S1_1" baseScale="-1" formatStyle="Comma"/>
        <m:placeholder xlName="_PLD_1706e75cd4ec4004b26be27bc8d7bb92" addr="T0R23C0S1_1"/>
        <m:item xlName="_GBC_216c0083fda5422aa2c0b2937563c154" concept="clcid-ci-ar:FuZhu_ZhiFuGeiZhiGongYiJiWeiZhiGongZhiFuDeXianJin" label="附注_支付给职工以及为职工支付的现金" addr="T0R23C1S1_1"/>
        <m:item xlName="_GBC_66cac969132b4edabac8a6a4df309859" concept="clcid-pte:ZhiFuGeiZhiGongYiJiWeiZhiGongZhiFuDeXianJin" label="支付给职工以及为职工支付的现金" mulRef="_GBC_7049413ddb8f4e5eac9cb9fb4f802433" unitRef="_GBC_5ab1c6e244484b228b8cdc6ee3840fd6" addr="T0R23C2S1_1" baseScale="-1" formatStyle="Comma"/>
        <m:item xlName="_GBC_6029d36ab65a42bdb98d051e260aa49f" concept="clcid-pte:ZhiFuGeiZhiGongYiJiWeiZhiGongZhiFuDeXianJin" label="支付给职工以及为职工支付的现金" periodRef="上年同期数" mulRef="_GBC_7049413ddb8f4e5eac9cb9fb4f802433" unitRef="_GBC_5ab1c6e244484b228b8cdc6ee3840fd6" addr="T0R23C3S1_1" baseScale="-1" formatStyle="Comma"/>
        <m:placeholder xlName="_PLD_afa9119929c34433add5e6feaff13661" addr="T0R24C0S1_1"/>
        <m:item xlName="_GBC_36669b7f947c49108767534207cd1ce4" concept="clcid-ci-ar:FuZhu_ZhiFuDeGeXiangShuiFei" label="附注_支付的各项税费" addr="T0R24C1S1_1"/>
        <m:item xlName="_GBC_780825b23a354a79b6cbfee38b41b099" concept="clcid-pte:ZhiFuDeGeXiangShuiFei" label="支付的各项税费" mulRef="_GBC_7049413ddb8f4e5eac9cb9fb4f802433" unitRef="_GBC_5ab1c6e244484b228b8cdc6ee3840fd6" addr="T0R24C2S1_1" baseScale="-1" formatStyle="Comma"/>
        <m:item xlName="_GBC_02e7dd03c13e42ccb9d32f36ef55731d" concept="clcid-pte:ZhiFuDeGeXiangShuiFei" label="支付的各项税费" periodRef="上年同期数" mulRef="_GBC_7049413ddb8f4e5eac9cb9fb4f802433" unitRef="_GBC_5ab1c6e244484b228b8cdc6ee3840fd6" addr="T0R24C3S1_1" baseScale="-1" formatStyle="Comma"/>
        <m:placeholder xlName="_PLD_32d29e7e43cb4df78fb5562eda7075c6" addr="T0R25C0S1_1"/>
        <m:item xlName="_GBC_f16f9554d7b746438b7779f3217c8c9e" concept="clcid-ci-ar:FuZhu_ZhiFuDeQiTaYuJingYingHuoDongYouGuanDeXianJin" label="附注_支付的其他与经营活动有关的现金" addr="T0R25C1S1_1"/>
        <m:item xlName="_GBC_640895cce8e440cf8f99ae68f7db3323" concept="clcid-pte:ZhiFuDeQiTaYuJingYingHuoDongYouGuanDeXianJin" label="支付的其他与经营活动有关的现金" mulRef="_GBC_7049413ddb8f4e5eac9cb9fb4f802433" unitRef="_GBC_5ab1c6e244484b228b8cdc6ee3840fd6" addr="T0R25C2S1_1" baseScale="-1" formatStyle="Comma"/>
        <m:item xlName="_GBC_4fbb6c5c959846458b341495e09a0651" concept="clcid-pte:ZhiFuDeQiTaYuJingYingHuoDongYouGuanDeXianJin" label="支付的其他与经营活动有关的现金" periodRef="上年同期数" mulRef="_GBC_7049413ddb8f4e5eac9cb9fb4f802433" unitRef="_GBC_5ab1c6e244484b228b8cdc6ee3840fd6" addr="T0R25C3S1_1" baseScale="-1" formatStyle="Comma"/>
        <m:placeholder xlName="_PLD_1898b9e3495c4369a548071a900462f2" addr="T0R26C0S1_1"/>
        <m:item xlName="_GBC_d1e04975d3fc49c18db86d93931bab36" concept="clcid-ci-ar:FuZhu_JingYingHuoDongXianJinLiuChuXiaoJi" label="附注_经营活动现金流出小计" addr="T0R26C1S1_1"/>
        <m:item xlName="_GBC_15f2c1a51d7e49ddb8f204bb6f3f487a" concept="clcid-pte:JingYingHuoDongXianJinLiuChuXiaoJi" label="经营活动现金流出小计" mulRef="_GBC_7049413ddb8f4e5eac9cb9fb4f802433" unitRef="_GBC_5ab1c6e244484b228b8cdc6ee3840fd6" addr="T0R26C2S1_1" baseScale="-1" formatStyle="Comma">
          <m:complexRule comparator="Eq" title="经营活动现金流出小计" test=" $_GBC_54197ecd0ab64f90911e446aa05c816f +  $_GBC_54937884d3764254b3d93f6314810555 +  $_GBC_e0053379bd1748beac6af61454d55ffe +  $_GBC_31b4cf3159ee49fb8f198545a2f81716 +  $_GBC_c6aa705312ad4ed38974f5b6292d65b9 +  $_GBC_9a8acaa417cd41e1b592f0926be1e0b9 +  $_GBC_e8257dac50c74cd3b771ea1dddc3dc8b +  $_GBC_66cac969132b4edabac8a6a4df309859 +  $_GBC_780825b23a354a79b6cbfee38b41b099 +  $_GBC_640895cce8e440cf8f99ae68f7db3323" id="Ceffc4ab81a394ad9bc02f88fb2992e8f" radius="0.0001"/>
        </m:item>
        <m:item xlName="_GBC_d62ddd92aec9472a9d05368fea665bbe" concept="clcid-pte:JingYingHuoDongXianJinLiuChuXiaoJi" label="经营活动现金流出小计" periodRef="上年同期数" mulRef="_GBC_7049413ddb8f4e5eac9cb9fb4f802433" unitRef="_GBC_5ab1c6e244484b228b8cdc6ee3840fd6" addr="T0R26C3S1_1" baseScale="-1" formatStyle="Comma">
          <m:complexRule comparator="Eq" title="经营活动现金流出小计@上年同期数" test=" $_GBC_6bacd510329d48f9b186155b107bb827 +  $_GBC_023d590c5ff54ba8b001937a83729a1e +  $_GBC_46ccf70bd7f74ba783d55cc7f21fa6ff +  $_GBC_9048417a36eb4e93a0fab7885c53e38c +  $_GBC_713bd54ea1a94994b5018b0c336201ae +  $_GBC_b28c30eb8fbb47229a67c57a53b62420 +  $_GBC_510eb38b5ce5437e8be34947e0f5936d +  $_GBC_6029d36ab65a42bdb98d051e260aa49f +  $_GBC_02e7dd03c13e42ccb9d32f36ef55731d +  $_GBC_4fbb6c5c959846458b341495e09a0651" id="C445c91822ebd4e7d9571010bf3631a21" radius="0.0001"/>
        </m:item>
        <m:placeholder xlName="_PLD_3668436c46fe4d03bca9e7585b314b78" addr="T0R27C0S1_1"/>
        <m:item xlName="_GBC_5232a1f7df9b45a6972c48d9969d7d03" concept="clcid-ci-ar:FuZhu_JingYingHuoDongXianJinLiuLiangJingE" label="附注_经营活动现金流量净额" addr="T0R27C1S1_1"/>
        <m:item xlName="_GBC_5609384850934060a13ed10f2506bdb4" concept="clcid-pte:JingYingHuoDongXianJinLiuLiangJingE" label="经营活动现金流量净额" mulRef="_GBC_7049413ddb8f4e5eac9cb9fb4f802433" unitRef="_GBC_5ab1c6e244484b228b8cdc6ee3840fd6" addr="T0R27C2S1_1" formatStyle="Comma">
          <m:complexRule comparator="Eq" title="经营活动现金流量净额" test=" $_GBC_57d8484b9ed14294805c86d551dbffc9 -  $_GBC_15f2c1a51d7e49ddb8f204bb6f3f487a" id="C328d2b5095ff4e0382d5882dd27a74d6" radius="0.0001"/>
        </m:item>
        <m:item xlName="_GBC_4f94355a16984a6c9736ee6bd2fd022f" concept="clcid-pte:JingYingHuoDongXianJinLiuLiangJingE" label="经营活动现金流量净额" periodRef="上年同期数" mulRef="_GBC_7049413ddb8f4e5eac9cb9fb4f802433" unitRef="_GBC_5ab1c6e244484b228b8cdc6ee3840fd6" addr="T0R27C3S1_1" formatStyle="Comma">
          <m:complexRule comparator="Eq" title="经营活动现金流量净额@上年同期数" test=" $_GBC_06cbd8f109fe4249ab66ea9b9d4c2464 -  $_GBC_d62ddd92aec9472a9d05368fea665bbe" id="C8372465ab9314ad9b2c3a2b59fd4992b" radius="0.0001"/>
        </m:item>
        <m:placeholder xlName="_PLD_95b1c638e8714129b03173a0758b863f" addr="T0R28C0S1_1"/>
        <m:placeholder xlName="_PLD_95fbf0328fd24ef59c8541003255b0f4" addr="T0R29C0S1_1"/>
        <m:item xlName="_GBC_6f00c00530c744498d18c0e0c9638faf" concept="clcid-ci-ar:FuZhu_ShouHuiTouZiSuoShouDaoDeXianJin" label="附注_收回投资所收到的现金" addr="T0R29C1S1_1"/>
        <m:item xlName="_GBC_e8cf9bbd44d34429a1afa87b1b107e6b" concept="clcid-pte:ShouHuiTouZiSuoShouDaoDeXianJin" label="收回投资所收到的现金" mulRef="_GBC_7049413ddb8f4e5eac9cb9fb4f802433" unitRef="_GBC_5ab1c6e244484b228b8cdc6ee3840fd6" addr="T0R29C2S1_1" formatStyle="Comma"/>
        <m:item xlName="_GBC_f2fd8cf0a2664cfba019519026e388d2" concept="clcid-pte:ShouHuiTouZiSuoShouDaoDeXianJin" label="收回投资所收到的现金" periodRef="上年同期数" mulRef="_GBC_7049413ddb8f4e5eac9cb9fb4f802433" unitRef="_GBC_5ab1c6e244484b228b8cdc6ee3840fd6" addr="T0R29C3S1_1" formatStyle="Comma"/>
        <m:placeholder xlName="_PLD_35e4982400d84c73b6fc0f506a5d5376" addr="T0R30C0S1_1"/>
        <m:item xlName="_GBC_264f25af523e4085a40f9419c3d6ae43" concept="clcid-ci-ar:FuZhu_QuDeTouZiShouYiSuoShouDaoDeXianJin" label="附注_取得投资收益所收到的现金" addr="T0R30C1S1_1"/>
        <m:item xlName="_GBC_661e7e4869b44ab4a1c6caf67220f08a" concept="clcid-pte:QuDeTouZiShouYiSuoShouDaoDeXianJin" label="取得投资收益所收到的现金" mulRef="_GBC_7049413ddb8f4e5eac9cb9fb4f802433" unitRef="_GBC_5ab1c6e244484b228b8cdc6ee3840fd6" addr="T0R30C2S1_1" formatStyle="Comma"/>
        <m:item xlName="_GBC_8a77c9daa34846c3993e7ad2e3ccc8b6" concept="clcid-pte:QuDeTouZiShouYiSuoShouDaoDeXianJin" label="取得投资收益所收到的现金" periodRef="上年同期数" mulRef="_GBC_7049413ddb8f4e5eac9cb9fb4f802433" unitRef="_GBC_5ab1c6e244484b228b8cdc6ee3840fd6" addr="T0R30C3S1_1" formatStyle="Comma"/>
        <m:placeholder xlName="_PLD_7070e73d5e4b4f3ab454e8266545ce2f" addr="T0R31C0S1_1"/>
        <m:item xlName="_GBC_81e5a497ab724f14a3b2ec076e5a5f10" concept="clcid-ci-ar:FuZhu_ChuZhiGuDingZiChanWuXingZiChanHeQiTaChangQiZiChanErShouHuiDeXianJin" label="附注_处置固定资产无形资产和其他长期资产而收回的现金" addr="T0R31C1S1_1"/>
        <m:item xlName="_GBC_accf96968713486fa8332c39f4a6ec9d" concept="clcid-pte:ChuZhiGuDingZiChanWuXingZiChanHeQiTaChangQiZiChanErShouHuiDeXianJin" label="处置固定资产、无形资产和其他长期资产而收回的现金" mulRef="_GBC_7049413ddb8f4e5eac9cb9fb4f802433" unitRef="_GBC_5ab1c6e244484b228b8cdc6ee3840fd6" addr="T0R31C2S1_1" formatStyle="Comma"/>
        <m:item xlName="_GBC_d0d3d9a881fc4b98b6e5b4d32f621ece" concept="clcid-pte:ChuZhiGuDingZiChanWuXingZiChanHeQiTaChangQiZiChanErShouHuiDeXianJin" label="处置固定资产、无形资产和其他长期资产而收回的现金" periodRef="上年同期数" mulRef="_GBC_7049413ddb8f4e5eac9cb9fb4f802433" unitRef="_GBC_5ab1c6e244484b228b8cdc6ee3840fd6" addr="T0R31C3S1_1" formatStyle="Comma"/>
        <m:placeholder xlName="_PLD_c759f863222a4b86a2bd00d28adee545" addr="T0R32C0S1_1"/>
        <m:item xlName="_GBC_eb7e4f9124924fe9b94f6acbfb53535a" concept="clcid-ci-ar:FuZhu_ShouHuiTouZiSuoShouDaoDeXianJinZhongDeChuShouZiGongSiShouDaoDeXianJin" label="附注_收回投资所收到的现金中的出售子公司收到的现金" addr="T0R32C1S1_1"/>
        <m:item xlName="_GBC_5b7b197d6ff9495b95ccd46e3fe2646d" concept="clcid-pte:ShouHuiTouZiSuoShouDaoDeXianJinZhongDeChuShouZiGongSiShouDaoDeXianJin" label="收回投资所收到的现金中的出售子公司收到的现金" mulRef="_GBC_7049413ddb8f4e5eac9cb9fb4f802433" unitRef="_GBC_5ab1c6e244484b228b8cdc6ee3840fd6" addr="T0R32C2S1_1" formatStyle="Comma"/>
        <m:item xlName="_GBC_1af457a597634d91811daf0bc3897432" concept="clcid-pte:ShouHuiTouZiSuoShouDaoDeXianJinZhongDeChuShouZiGongSiShouDaoDeXianJin" label="收回投资所收到的现金中的出售子公司收到的现金" periodRef="上年同期数" mulRef="_GBC_7049413ddb8f4e5eac9cb9fb4f802433" unitRef="_GBC_5ab1c6e244484b228b8cdc6ee3840fd6" addr="T0R32C3S1_1" formatStyle="Comma"/>
        <m:placeholder xlName="_PLD_952d04204f8a403a94876043b8095de0" addr="T0R33C0S1_1"/>
        <m:item xlName="_GBC_0036116df8b24e0f8daa5a164258f4e0" concept="clcid-ci-ar:FuZhu_ShouDaoDeQiTaYuTouZiHuoDongYouGuanDeXianJin" label="附注_收到的其他与投资活动有关的现金" addr="T0R33C1S1_1"/>
        <m:item xlName="_GBC_97060eabf2c7406eaf8374db99599958" concept="clcid-pte:ShouDaoDeQiTaYuTouZiHuoDongYouGuanDeXianJin" label="收到的其他与投资活动有关的现金" mulRef="_GBC_7049413ddb8f4e5eac9cb9fb4f802433" unitRef="_GBC_5ab1c6e244484b228b8cdc6ee3840fd6" addr="T0R33C2S1_1" formatStyle="Comma"/>
        <m:item xlName="_GBC_4ff3ef04293145e396645af0e8471ec7" concept="clcid-pte:ShouDaoDeQiTaYuTouZiHuoDongYouGuanDeXianJin" label="收到的其他与投资活动有关的现金" periodRef="上年同期数" mulRef="_GBC_7049413ddb8f4e5eac9cb9fb4f802433" unitRef="_GBC_5ab1c6e244484b228b8cdc6ee3840fd6" addr="T0R33C3S1_1" formatStyle="Comma"/>
        <m:placeholder xlName="_PLD_64f8da16e041496994b857c4c1889283" addr="T0R34C0S1_1"/>
        <m:item xlName="_GBC_ef7eb3d2c57340c6b43c25563d0565e9" concept="clcid-ci-ar:FuZhu_TouZiHuoDongXianJinLiuRuXiaoJi" label="附注_投资活动现金流入小计" addr="T0R34C1S1_1"/>
        <m:item xlName="_GBC_717bf4e68a4e43558b4a711557ee9a2e" concept="clcid-pte:TouZiHuoDongXianJinLiuRuXiaoJi" label="投资活动现金流入小计" mulRef="_GBC_7049413ddb8f4e5eac9cb9fb4f802433" unitRef="_GBC_5ab1c6e244484b228b8cdc6ee3840fd6" addr="T0R34C2S1_1" formatStyle="Comma">
          <m:complexRule comparator="Eq" title="投资活动现金流入小计" test=" $_GBC_e8cf9bbd44d34429a1afa87b1b107e6b +  $_GBC_661e7e4869b44ab4a1c6caf67220f08a +  $_GBC_accf96968713486fa8332c39f4a6ec9d +  $_GBC_5b7b197d6ff9495b95ccd46e3fe2646d +  $_GBC_97060eabf2c7406eaf8374db99599958" id="C93adfabae30a4909a872b02a6365a052"/>
        </m:item>
        <m:item xlName="_GBC_71f182b8ffc6475f99fe72144e4b9b18" concept="clcid-pte:TouZiHuoDongXianJinLiuRuXiaoJi" label="投资活动现金流入小计" periodRef="上年同期数" mulRef="_GBC_7049413ddb8f4e5eac9cb9fb4f802433" unitRef="_GBC_5ab1c6e244484b228b8cdc6ee3840fd6" addr="T0R34C3S1_1" formatStyle="Comma">
          <m:complexRule comparator="Eq" title="投资活动现金流入小计@上年同期数" test=" $_GBC_f2fd8cf0a2664cfba019519026e388d2 +  $_GBC_8a77c9daa34846c3993e7ad2e3ccc8b6 +  $_GBC_d0d3d9a881fc4b98b6e5b4d32f621ece +  $_GBC_1af457a597634d91811daf0bc3897432 +  $_GBC_4ff3ef04293145e396645af0e8471ec7" id="C1e1f4322b4254736bd46988c136bbd35"/>
        </m:item>
        <m:placeholder xlName="_PLD_8ec533e5ae47447ca845ccd778baf9d2" addr="T0R35C0S1_1"/>
        <m:item xlName="_GBC_26d7f6e86b3a4f188093052a16cf3217" concept="clcid-ci-ar:FuZhu_GouJianGuDingZiChanWuXingZiChanHeQiTaChangQiZiChanSuoZhiFuDeXianJin" label="附注_购建固定资产无形资产和其他长期资产所支付的现金" addr="T0R35C1S1_1"/>
        <m:item xlName="_GBC_61e582d50be149379e7e6a20db7d2993" concept="clcid-pte:GouJianGuDingZiChanWuXingZiChanHeQiTaChangQiZiChanSuoZhiFuDeXianJin" label="购建固定资产、无形资产和其他长期资产所支付的现金" mulRef="_GBC_7049413ddb8f4e5eac9cb9fb4f802433" unitRef="_GBC_5ab1c6e244484b228b8cdc6ee3840fd6" addr="T0R35C2S1_1" baseScale="-1" formatStyle="Comma"/>
        <m:item xlName="_GBC_7dafe320503548afa6628e54d0b9b985" concept="clcid-pte:GouJianGuDingZiChanWuXingZiChanHeQiTaChangQiZiChanSuoZhiFuDeXianJin" label="购建固定资产、无形资产和其他长期资产所支付的现金" periodRef="上年同期数" mulRef="_GBC_7049413ddb8f4e5eac9cb9fb4f802433" unitRef="_GBC_5ab1c6e244484b228b8cdc6ee3840fd6" addr="T0R35C3S1_1" baseScale="-1" formatStyle="Comma"/>
        <m:placeholder xlName="_PLD_6cfa06cfb65e431588ea9f9c8c72d193" addr="T0R36C0S1_1"/>
        <m:item xlName="_GBC_2da145405ebb4eb6b2e2f0a2e4192edc" concept="clcid-ci-ar:FuZhu_TouZiSuoZhiFuDeXianJin" label="附注_投资所支付的现金" addr="T0R36C1S1_1"/>
        <m:item xlName="_GBC_c5faeb3bbffc49649304388e08b4c770" concept="clcid-pte:TouZiSuoZhiFuDeXianJin" label="投资所支付的现金" mulRef="_GBC_7049413ddb8f4e5eac9cb9fb4f802433" unitRef="_GBC_5ab1c6e244484b228b8cdc6ee3840fd6" addr="T0R36C2S1_1" baseScale="-1" formatStyle="Comma"/>
        <m:item xlName="_GBC_ccfa43af83df4af8b05c094f1c370bae" concept="clcid-pte:TouZiSuoZhiFuDeXianJin" label="投资所支付的现金" periodRef="上年同期数" mulRef="_GBC_7049413ddb8f4e5eac9cb9fb4f802433" unitRef="_GBC_5ab1c6e244484b228b8cdc6ee3840fd6" addr="T0R36C3S1_1" baseScale="-1" formatStyle="Comma"/>
        <m:placeholder xlName="_PLD_40c2de7357364683ba4aa78c10d20704" addr="T0R37C0S1_1"/>
        <m:item xlName="_GBC_3d2806a65c534f098bd536dc2188ac73" concept="clcid-ci-ar:FuZhu_ZhiYaDaiKuanJingZengJiaE" label="附注_质押贷款净增加额" addr="T0R37C1S1_1"/>
        <m:item xlName="_GBC_66d67275326641d0bfe7cbd488484ee9" concept="clcid-pte:ZhiYaDaiKuanJingZengJiaE" label="质押贷款净增加额" mulRef="_GBC_7049413ddb8f4e5eac9cb9fb4f802433" unitRef="_GBC_5ab1c6e244484b228b8cdc6ee3840fd6" addr="T0R37C2S1_1" baseScale="-1" formatStyle="Comma"/>
        <m:item xlName="_GBC_3cb6a8b50aaa4b7dbbcf64f784917b4a" concept="clcid-pte:ZhiYaDaiKuanJingZengJiaE" label="质押贷款净增加额" periodRef="上年同期数" mulRef="_GBC_7049413ddb8f4e5eac9cb9fb4f802433" unitRef="_GBC_5ab1c6e244484b228b8cdc6ee3840fd6" addr="T0R37C3S1_1" baseScale="-1" formatStyle="Comma"/>
        <m:placeholder xlName="_PLD_4d1b57b8ea74470da0c4e250ba5ee9ce" addr="T0R38C0S1_1"/>
        <m:item xlName="_GBC_aa0cd5be3dd3448ab62a047e71111d8b" concept="clcid-ci-ar:FuZhu_QuDeZiGongSiJiQiTaYingYeDanWeiZhiFuDeXianJinJingE" label="附注_取得子公司及其他营业单位支付的现金净额" addr="T0R38C1S1_1"/>
        <m:item xlName="_GBC_3bf992e0551c4078a65e8f82fa1263dc" concept="clcid-pte:QuDeZiGongSiJiQiTaYingYeDanWeiZhiFuDeXianJinJingE" label="取得子公司及其他营业单位支付的现金净额" mulRef="_GBC_7049413ddb8f4e5eac9cb9fb4f802433" unitRef="_GBC_5ab1c6e244484b228b8cdc6ee3840fd6" addr="T0R38C2S1_1" baseScale="-1" formatStyle="Comma"/>
        <m:item xlName="_GBC_4f7638710ba444d6b64c030968dd1b58" concept="clcid-pte:QuDeZiGongSiJiQiTaYingYeDanWeiZhiFuDeXianJinJingE" label="取得子公司及其他营业单位支付的现金净额" periodRef="上年同期数" mulRef="_GBC_7049413ddb8f4e5eac9cb9fb4f802433" unitRef="_GBC_5ab1c6e244484b228b8cdc6ee3840fd6" addr="T0R38C3S1_1" baseScale="-1" formatStyle="Comma"/>
        <m:placeholder xlName="_PLD_f53ecab3f93149519a6b0b08b3adf953" addr="T0R39C0S1_1"/>
        <m:item xlName="_GBC_31df87764a464581ad944d9972e73cdf" concept="clcid-ci-ar:FuZhu_ZhiFuDeQiTaYuTouZiHuoDongYouGuanDeXianJin" label="附注_支付的其他与投资活动有关的现金" addr="T0R39C1S1_1"/>
        <m:item xlName="_GBC_a3e74a24066b4b8faedfdc6e3dece7b4" concept="clcid-pte:ZhiFuDeQiTaYuTouZiHuoDongYouGuanDeXianJin" label="支付的其他与投资活动有关的现金" mulRef="_GBC_7049413ddb8f4e5eac9cb9fb4f802433" unitRef="_GBC_5ab1c6e244484b228b8cdc6ee3840fd6" addr="T0R39C2S1_1" baseScale="-1" formatStyle="Comma"/>
        <m:item xlName="_GBC_9f76f642dd8d45f39a7238814963c0f3" concept="clcid-pte:ZhiFuDeQiTaYuTouZiHuoDongYouGuanDeXianJin" label="支付的其他与投资活动有关的现金" periodRef="上年同期数" mulRef="_GBC_7049413ddb8f4e5eac9cb9fb4f802433" unitRef="_GBC_5ab1c6e244484b228b8cdc6ee3840fd6" addr="T0R39C3S1_1" baseScale="-1" formatStyle="Comma"/>
        <m:placeholder xlName="_PLD_00f03153fc624284b3402147ccc07698" addr="T0R40C0S1_1"/>
        <m:item xlName="_GBC_3e9f889078c8492f819d697e07ccaae2" concept="clcid-ci-ar:FuZhu_TouZiHuoDongXianJinLiuChuXiaoJi" label="附注_投资活动现金流出小计" addr="T0R40C1S1_1"/>
        <m:item xlName="_GBC_c4f23eae89f64b368f42482dab1a1ad0" concept="clcid-pte:TouZiHuoDongXianJinLiuChuXiaoJi" label="投资活动现金流出小计" mulRef="_GBC_7049413ddb8f4e5eac9cb9fb4f802433" unitRef="_GBC_5ab1c6e244484b228b8cdc6ee3840fd6" addr="T0R40C2S1_1" baseScale="-1" formatStyle="Comma">
          <m:complexRule comparator="Eq" title="投资活动现金流出小计" test=" $_GBC_61e582d50be149379e7e6a20db7d2993 +  $_GBC_c5faeb3bbffc49649304388e08b4c770 +  $_GBC_66d67275326641d0bfe7cbd488484ee9 +  $_GBC_3bf992e0551c4078a65e8f82fa1263dc +  $_GBC_a3e74a24066b4b8faedfdc6e3dece7b4" id="C1e3400b4ae4c4e9b847da1d59fba738f"/>
        </m:item>
        <m:item xlName="_GBC_7a7f451fcd94410e81457eca05c541a6" concept="clcid-pte:TouZiHuoDongXianJinLiuChuXiaoJi" label="投资活动现金流出小计" periodRef="上年同期数" mulRef="_GBC_7049413ddb8f4e5eac9cb9fb4f802433" unitRef="_GBC_5ab1c6e244484b228b8cdc6ee3840fd6" addr="T0R40C3S1_1" baseScale="-1" formatStyle="Comma">
          <m:complexRule comparator="Eq" title="投资活动现金流出小计@上年同期数" test=" $_GBC_7dafe320503548afa6628e54d0b9b985 +  $_GBC_ccfa43af83df4af8b05c094f1c370bae +  $_GBC_3cb6a8b50aaa4b7dbbcf64f784917b4a +  $_GBC_4f7638710ba444d6b64c030968dd1b58 +  $_GBC_9f76f642dd8d45f39a7238814963c0f3" id="C6d6fbbb0cb5b45779238beeb74b76534"/>
        </m:item>
        <m:placeholder xlName="_PLD_42db552946874e118fb4a5282ca23bcb" addr="T0R41C0S1_1"/>
        <m:item xlName="_GBC_841d591938fb42b0889c9f27b3a64d72" concept="clcid-ci-ar:FuZhu_TouZiHuoDongChanShengDeXianJinLiuLiangJingE" label="附注_投资活动产生的现金流量净额" addr="T0R41C1S1_1"/>
        <m:item xlName="_GBC_b7279a817f0f41ef826b89c9f11ef85a" concept="clcid-pte:TouZiHuoDongChanShengDeXianJinLiuLiangJingE" label="投资活动产生的现金流量净额" mulRef="_GBC_7049413ddb8f4e5eac9cb9fb4f802433" unitRef="_GBC_5ab1c6e244484b228b8cdc6ee3840fd6" addr="T0R41C2S1_1" formatStyle="Comma">
          <m:complexRule comparator="Eq" title="投资活动产生的现金流量净额" test=" $_GBC_717bf4e68a4e43558b4a711557ee9a2e -  $_GBC_c4f23eae89f64b368f42482dab1a1ad0" id="C7ebd969fedcc41298d901b4d560d7edc"/>
        </m:item>
        <m:item xlName="_GBC_b721b0203fa64035823423bc0f1142c0" concept="clcid-pte:TouZiHuoDongChanShengDeXianJinLiuLiangJingE" label="投资活动产生的现金流量净额" periodRef="上年同期数" mulRef="_GBC_7049413ddb8f4e5eac9cb9fb4f802433" unitRef="_GBC_5ab1c6e244484b228b8cdc6ee3840fd6" addr="T0R41C3S1_1" formatStyle="Comma">
          <m:complexRule comparator="Eq" title="投资活动产生的现金流量净额@上年同期数" test=" $_GBC_71f182b8ffc6475f99fe72144e4b9b18 -  $_GBC_7a7f451fcd94410e81457eca05c541a6" id="Cc0bd283e27aa4b9c9c4de39aabf81a7f"/>
        </m:item>
        <m:placeholder xlName="_PLD_0ebd9a8b5d8e4227a6bc3b0738379ef1" addr="T0R42C0S1_1"/>
        <m:placeholder xlName="_PLD_d87e16dcff524c8fab8d4804bc3560eb" addr="T0R43C0S1_1"/>
        <m:item xlName="_GBC_337b8dbe30464b279abd573147cd7c83" concept="clcid-ci-ar:FuZhu_XiShouTouZiSuoShouDaoDeXianJin" label="附注_吸收投资所收到的现金" addr="T0R43C1S1_1"/>
        <m:item xlName="_GBC_882c44b5e58a4201afb1ca3d89248d09" concept="clcid-pte:XiShouTouZiSuoShouDaoDeXianJin" label="吸收投资所收到的现金" mulRef="_GBC_7049413ddb8f4e5eac9cb9fb4f802433" unitRef="_GBC_5ab1c6e244484b228b8cdc6ee3840fd6" addr="T0R43C2S1_1" formatStyle="Comma"/>
        <m:item xlName="_GBC_a268c5a6c6034f9a80f8a9ed1a06da2d" concept="clcid-pte:XiShouTouZiSuoShouDaoDeXianJin" label="吸收投资所收到的现金" periodRef="上年同期数" mulRef="_GBC_7049413ddb8f4e5eac9cb9fb4f802433" unitRef="_GBC_5ab1c6e244484b228b8cdc6ee3840fd6" addr="T0R43C3S1_1" formatStyle="Comma"/>
        <m:placeholder xlName="_PLD_58fd8ee113014f9584611dc39886caf7" addr="T0R44C0S1_1"/>
        <m:item xlName="_GBC_a597e3b40cdf493dbb50346f6f86a127" concept="clcid-ci-ar:FuZhu_XiShouTouZiSuoShouDaoDeXianJinZhongDeZiGongSiXiShouShaoShuGuDongQuanYiXingTouZiShouDaoDeXianJin" label="附注_吸收投资所收到的现金中的子公司吸收少数股东权益性投资收到的现金" addr="T0R44C1S1_1"/>
        <m:item xlName="_GBC_2a2e27e7805444699c0565f1e2063177" concept="clcid-pte:XiShouTouZiSuoShouDaoDeXianJinZhongDeZiGongSiXiShouShaoShuGuDongQuanYiXingTouZiShouDaoDeXianJin" label="吸收投资所收到的现金中的子公司吸收少数股东权益性投资收到的现金" mulRef="_GBC_7049413ddb8f4e5eac9cb9fb4f802433" unitRef="_GBC_5ab1c6e244484b228b8cdc6ee3840fd6" addr="T0R44C2S1_1" formatStyle="Comma"/>
        <m:item xlName="_GBC_514d8a165e2a40de951e4f4b5267cd74" concept="clcid-pte:XiShouTouZiSuoShouDaoDeXianJinZhongDeZiGongSiXiShouShaoShuGuDongQuanYiXingTouZiShouDaoDeXianJin" label="吸收投资所收到的现金中的子公司吸收少数股东权益性投资收到的现金" periodRef="上年同期数" mulRef="_GBC_7049413ddb8f4e5eac9cb9fb4f802433" unitRef="_GBC_5ab1c6e244484b228b8cdc6ee3840fd6" addr="T0R44C3S1_1" formatStyle="Comma"/>
        <m:placeholder xlName="_PLD_10190b07f720484f9e0102359e7978d3" addr="T0R45C0S1_1"/>
        <m:item xlName="_GBC_6571e9a911784ed68714c1db8c7241d7" concept="clcid-ci-ar:FuZhu_JieKuanSuoShouDaoDeXianJin" label="附注_借款所收到的现金" addr="T0R45C1S1_1"/>
        <m:item xlName="_GBC_7ac2b393443f4b508d10f4bca492dc8a" concept="clcid-pte:JieKuanSuoShouDaoDeXianJin" label="借款所收到的现金" mulRef="_GBC_7049413ddb8f4e5eac9cb9fb4f802433" unitRef="_GBC_5ab1c6e244484b228b8cdc6ee3840fd6" addr="T0R45C2S1_1" formatStyle="Comma"/>
        <m:item xlName="_GBC_2795b00c4e3e40669c797ed256e56b44" concept="clcid-pte:JieKuanSuoShouDaoDeXianJin" label="借款所收到的现金" periodRef="上年同期数" mulRef="_GBC_7049413ddb8f4e5eac9cb9fb4f802433" unitRef="_GBC_5ab1c6e244484b228b8cdc6ee3840fd6" addr="T0R45C3S1_1" formatStyle="Comma"/>
        <m:placeholder xlName="_PLD_a7831604962849fb93fa8d17ab106c5b" addr="T0R46C0S1_1"/>
        <m:item xlName="_GBC_acf2d822857c4f8685250cfff8609b8e" concept="clcid-ci-ar:FuZhu_ShouDaoQiTaYuChouZiHuoDongYouGuanDeXianJin" label="附注_收到其他与筹资活动有关的现金" addr="T0R46C1S1_1"/>
        <m:item xlName="_GBC_bf370c9e078143b69b58c494ef4594f9" concept="clcid-pte:ShouDaoQiTaYuChouZiHuoDongYouGuanDeXianJin" label="收到其他与筹资活动有关的现金" mulRef="_GBC_7049413ddb8f4e5eac9cb9fb4f802433" unitRef="_GBC_5ab1c6e244484b228b8cdc6ee3840fd6" addr="T0R46C2S1_1" formatStyle="Comma"/>
        <m:item xlName="_GBC_8df135e7c3cd4582b06cbf0d7626355c" concept="clcid-pte:ShouDaoQiTaYuChouZiHuoDongYouGuanDeXianJin" label="收到其他与筹资活动有关的现金" periodRef="上年同期数" mulRef="_GBC_7049413ddb8f4e5eac9cb9fb4f802433" unitRef="_GBC_5ab1c6e244484b228b8cdc6ee3840fd6" addr="T0R46C3S1_1" formatStyle="Comma"/>
        <m:placeholder xlName="_PLD_c926a46349eb4b56bdbb2f2f944e8881" addr="T0R47C0S1_1"/>
        <m:item xlName="_GBC_2e4667b1b2f3466b9644f6f65e368d42" concept="clcid-ci-ar:FuZhu_ChouZiHuoDongXianJinLiuRuXiaoJi" label="附注_筹资活动现金流入小计" addr="T0R47C1S1_1"/>
        <m:item xlName="_GBC_210a8e6ac4814e99ae11f2059dfc80a6" concept="clcid-pte:ChouZiHuoDongXianJinLiuRuXiaoJi" label="筹资活动现金流入小计" mulRef="_GBC_7049413ddb8f4e5eac9cb9fb4f802433" unitRef="_GBC_5ab1c6e244484b228b8cdc6ee3840fd6" addr="T0R47C2S1_1" formatStyle="Comma">
          <m:complexRule comparator="Eq" title="筹资活动现金流入小计" test=" $_GBC_882c44b5e58a4201afb1ca3d89248d09 +  $_GBC_7ac2b393443f4b508d10f4bca492dc8a +  $_GBC_bf370c9e078143b69b58c494ef4594f9" id="C43c1a6673acc4670906f9493bb42a954"/>
        </m:item>
        <m:item xlName="_GBC_7ef97b3aa9634f1db60845d3468214c1" concept="clcid-pte:ChouZiHuoDongXianJinLiuRuXiaoJi" label="筹资活动现金流入小计" periodRef="上年同期数" mulRef="_GBC_7049413ddb8f4e5eac9cb9fb4f802433" unitRef="_GBC_5ab1c6e244484b228b8cdc6ee3840fd6" addr="T0R47C3S1_1" formatStyle="Comma">
          <m:complexRule comparator="Eq" title="筹资活动现金流入小计@上年同期数" test=" $_GBC_a268c5a6c6034f9a80f8a9ed1a06da2d +  $_GBC_2795b00c4e3e40669c797ed256e56b44 +  $_GBC_8df135e7c3cd4582b06cbf0d7626355c" id="Cad0c77a12a86495381f894951e4dd505"/>
        </m:item>
        <m:placeholder xlName="_PLD_7137864a3db342b2affb93d91fc42d1a" addr="T0R48C0S1_1"/>
        <m:item xlName="_GBC_5705d0e2dfb644fa973d411d7aa91b5b" concept="clcid-ci-ar:FuZhu_ChangHuanZhaiWuSuoZhiFuDeXianJin" label="附注_偿还债务所支付的现金" addr="T0R48C1S1_1"/>
        <m:item xlName="_GBC_1182eb2ac3ff4829b14a67d580589b48" concept="clcid-pte:ChangHuanZhaiWuSuoZhiFuDeXianJin" label="偿还债务所支付的现金" mulRef="_GBC_7049413ddb8f4e5eac9cb9fb4f802433" unitRef="_GBC_5ab1c6e244484b228b8cdc6ee3840fd6" addr="T0R48C2S1_1" baseScale="-1" formatStyle="Comma"/>
        <m:item xlName="_GBC_cf69c12ee56e4e59a18bb6298c4e4f66" concept="clcid-pte:ChangHuanZhaiWuSuoZhiFuDeXianJin" label="偿还债务所支付的现金" periodRef="上年同期数" mulRef="_GBC_7049413ddb8f4e5eac9cb9fb4f802433" unitRef="_GBC_5ab1c6e244484b228b8cdc6ee3840fd6" addr="T0R48C3S1_1" baseScale="-1" formatStyle="Comma"/>
        <m:placeholder xlName="_PLD_32a887dda27749eebf9088b00cfe1966" addr="T0R49C0S1_1"/>
        <m:item xlName="_GBC_5f6a1d09f75a40f8bae78bab05727a07" concept="clcid-ci-ar:FuZhu_FenPeiGuLiLiRunHuoChangFuLiXiSuoZhiFuDeXianJin" label="附注_分配股利利润或偿付利息所支付的现金" addr="T0R49C1S1_1"/>
        <m:item xlName="_GBC_b4aeb1ee77e74bfdb9e81676633e3568" concept="clcid-pte:FenPeiGuLiLiRunHuoChangFuLiXiSuoZhiFuDeXianJin" label="分配股利利润或偿付利息所支付的现金" mulRef="_GBC_7049413ddb8f4e5eac9cb9fb4f802433" unitRef="_GBC_5ab1c6e244484b228b8cdc6ee3840fd6" addr="T0R49C2S1_1" baseScale="-1" formatStyle="Comma"/>
        <m:item xlName="_GBC_dd2208affd884a55a8f7a49f7ae1eb21" concept="clcid-pte:FenPeiGuLiLiRunHuoChangFuLiXiSuoZhiFuDeXianJin" label="分配股利利润或偿付利息所支付的现金" periodRef="上年同期数" mulRef="_GBC_7049413ddb8f4e5eac9cb9fb4f802433" unitRef="_GBC_5ab1c6e244484b228b8cdc6ee3840fd6" addr="T0R49C3S1_1" baseScale="-1" formatStyle="Comma"/>
        <m:placeholder xlName="_PLD_0b8d07de199a4a5dbc96c42e4c1ed665" addr="T0R50C0S1_1"/>
        <m:item xlName="_GBC_3e133e63d4254bc6ad133316f97c8351" concept="clcid-ci-ar:FuZhu_FenPeiGuLiLiRunHuoChangFuLiXiSuoZhiFuDeXianJinZhongDeZhiFuShaoShuGuDongDeGuLi" label="附注_分配股利利润或偿付利息所支付的现金中的支付少数股东的股利" addr="T0R50C1S1_1"/>
        <m:item xlName="_GBC_cacb8d38d57e46508bf131f78da6313f" concept="clcid-pte:FenPeiGuLiLiRunHuoChangFuLiXiSuoZhiFuDeXianJinZhongDeZhiFuShaoShuGuDongDeGuLi" label="分配股利利润或偿付利息所支付的现金中的支付少数股东的股利" mulRef="_GBC_7049413ddb8f4e5eac9cb9fb4f802433" unitRef="_GBC_5ab1c6e244484b228b8cdc6ee3840fd6" addr="T0R50C2S1_1" baseScale="-1" formatStyle="Comma"/>
        <m:item xlName="_GBC_3dc57b057cc34d61ba9a5fb9c89ccb79" concept="clcid-pte:FenPeiGuLiLiRunHuoChangFuLiXiSuoZhiFuDeXianJinZhongDeZhiFuShaoShuGuDongDeGuLi" label="分配股利利润或偿付利息所支付的现金中的支付少数股东的股利" periodRef="上年同期数" mulRef="_GBC_7049413ddb8f4e5eac9cb9fb4f802433" unitRef="_GBC_5ab1c6e244484b228b8cdc6ee3840fd6" addr="T0R50C3S1_1" baseScale="-1" formatStyle="Comma"/>
        <m:placeholder xlName="_PLD_3fb96c1bc59a47a4b30f74aabd8d3bc1" addr="T0R51C0S1_1"/>
        <m:item xlName="_GBC_3836c55fe2724b5789681b9482b1f02c" concept="clcid-ci-ar:FuZhu_ZhiFuDeQiTaYuChouZiHuoDongYouGuanDeXianJin" label="附注_支付的其他与筹资活动有关的现金" addr="T0R51C1S1_1"/>
        <m:item xlName="_GBC_3f5eec8205e54935bc665962178368ab" concept="clcid-pte:ZhiFuDeQiTaYuChouZiHuoDongYouGuanDeXianJin" label="支付的其他与筹资活动有关的现金" mulRef="_GBC_7049413ddb8f4e5eac9cb9fb4f802433" unitRef="_GBC_5ab1c6e244484b228b8cdc6ee3840fd6" addr="T0R51C2S1_1" baseScale="-1" formatStyle="Comma"/>
        <m:item xlName="_GBC_046783fdcf8747b194c8b4035b9bd91b" concept="clcid-pte:ZhiFuDeQiTaYuChouZiHuoDongYouGuanDeXianJin" label="支付的其他与筹资活动有关的现金" periodRef="上年同期数" mulRef="_GBC_7049413ddb8f4e5eac9cb9fb4f802433" unitRef="_GBC_5ab1c6e244484b228b8cdc6ee3840fd6" addr="T0R51C3S1_1" baseScale="-1" formatStyle="Comma"/>
        <m:placeholder xlName="_PLD_b2e28ae5b48f44edbae325bc7a025b65" addr="T0R52C0S1_1"/>
        <m:item xlName="_GBC_a41e2b0c2b064de7a4cd66d595de849f" concept="clcid-ci-ar:FuZhu_ChouZiHuoDongXianJinLiuChuXiaoJi" label="附注_筹资活动现金流出小计" addr="T0R52C1S1_1"/>
        <m:item xlName="_GBC_3386ec765c9e4b65907cae3aab6c9408" concept="clcid-pte:ChouZiHuoDongXianJinLiuChuXiaoJi" label="筹资活动现金流出小计" mulRef="_GBC_7049413ddb8f4e5eac9cb9fb4f802433" unitRef="_GBC_5ab1c6e244484b228b8cdc6ee3840fd6" addr="T0R52C2S1_1" baseScale="-1" formatStyle="Comma">
          <m:complexRule comparator="Eq" title="筹资活动现金流出小计" test=" $_GBC_1182eb2ac3ff4829b14a67d580589b48 +  $_GBC_b4aeb1ee77e74bfdb9e81676633e3568 +  $_GBC_3f5eec8205e54935bc665962178368ab" id="C6b6b99202f424f7db2a8f65fc42616e3"/>
        </m:item>
        <m:item xlName="_GBC_382cb2b7b4fa4b60987369464f0cda05" concept="clcid-pte:ChouZiHuoDongXianJinLiuChuXiaoJi" label="筹资活动现金流出小计" periodRef="上年同期数" mulRef="_GBC_7049413ddb8f4e5eac9cb9fb4f802433" unitRef="_GBC_5ab1c6e244484b228b8cdc6ee3840fd6" addr="T0R52C3S1_1" baseScale="-1" formatStyle="Comma">
          <m:complexRule comparator="Eq" title="筹资活动现金流出小计@上年同期数" test=" $_GBC_cf69c12ee56e4e59a18bb6298c4e4f66 +  $_GBC_dd2208affd884a55a8f7a49f7ae1eb21 +  $_GBC_046783fdcf8747b194c8b4035b9bd91b" id="C1b1a17c5e95644bdba8e3819d9c0b2ad"/>
        </m:item>
        <m:placeholder xlName="_PLD_dacfeaab1df34490bc35dfb823671d84" addr="T0R53C0S1_1"/>
        <m:item xlName="_GBC_315145dcd43340dca843755e210f829e" concept="clcid-ci-ar:FuZhu_ChouZiHuoDongChanShengDeXianJinLiuLiangJingE" label="附注_筹资活动产生的现金流量净额" addr="T0R53C1S1_1"/>
        <m:item xlName="_GBC_d2c45051f3854acfbde749be9c30fb85" concept="clcid-pte:ChouZiHuoDongChanShengDeXianJinLiuLiangJingE" label="筹资活动产生的现金流量净额" mulRef="_GBC_7049413ddb8f4e5eac9cb9fb4f802433" unitRef="_GBC_5ab1c6e244484b228b8cdc6ee3840fd6" addr="T0R53C2S1_1" formatStyle="Comma">
          <m:complexRule comparator="Eq" title="筹资活动产生的现金流量净额" test=" $_GBC_210a8e6ac4814e99ae11f2059dfc80a6 -  $_GBC_3386ec765c9e4b65907cae3aab6c9408" id="Cd298690969a24934989d03ccd82e5080"/>
        </m:item>
        <m:item xlName="_GBC_ca1481d9fd784ce1a8f7b2f46c6e2e74" concept="clcid-pte:ChouZiHuoDongChanShengDeXianJinLiuLiangJingE" label="筹资活动产生的现金流量净额" periodRef="上年同期数" mulRef="_GBC_7049413ddb8f4e5eac9cb9fb4f802433" unitRef="_GBC_5ab1c6e244484b228b8cdc6ee3840fd6" addr="T0R53C3S1_1" formatStyle="Comma">
          <m:complexRule comparator="Eq" title="筹资活动产生的现金流量净额@上年同期数" test=" $_GBC_7ef97b3aa9634f1db60845d3468214c1 -  $_GBC_382cb2b7b4fa4b60987369464f0cda05" id="C7da7f36a2b7e488ea9234bdd4d88256c"/>
        </m:item>
        <m:placeholder xlName="_PLD_88d125642e41419d9843a71dc9472f51" addr="T0R54C0S1_1"/>
        <m:item xlName="_GBC_510dc90c78ab450092e175584af59440" concept="clcid-ci-ar:FuZhu_HuiLvBianDongDuiXianJinDeYingXiang" label="附注_汇率变动对现金的影响" addr="T0R54C1S1_1"/>
        <m:item xlName="_GBC_0b9b918eae77499d87e2aefb6578633d" concept="clcid-pte:HuiLvBianDongDuiXianJinDeYingXiang" label="汇率变动对现金的影响" mulRef="_GBC_7049413ddb8f4e5eac9cb9fb4f802433" unitRef="_GBC_5ab1c6e244484b228b8cdc6ee3840fd6" addr="T0R54C2S1_1" formatStyle="Comma"/>
        <m:item xlName="_GBC_50c5a388e400403ba1e93bf0d2f74bcf" concept="clcid-pte:HuiLvBianDongDuiXianJinDeYingXiang" label="汇率变动对现金的影响" periodRef="上年同期数" mulRef="_GBC_7049413ddb8f4e5eac9cb9fb4f802433" unitRef="_GBC_5ab1c6e244484b228b8cdc6ee3840fd6" addr="T0R54C3S1_1" formatStyle="Comma"/>
        <m:placeholder xlName="_PLD_fd66e1d9937544d090d0b7529065ff9b" addr="T0R55C0S1_1"/>
        <m:item xlName="_GBC_a20d0deb1b9c43c194dc81e3a1a68980" concept="clcid-ci-ar:FuZhu_XianJinJiXianJinDengJiaWuJingZengJiaE" label="附注_现金及现金等价物净增加额" addr="T0R55C1S1_1"/>
        <m:item xlName="_GBC_f0a61ec9d74648bda2332f8d2428bf1c" concept="clcid-pte:XianJinJiXianJinDengJiaWuJingZengJiaE" label="现金及现金等价物净增加额" mulRef="_GBC_7049413ddb8f4e5eac9cb9fb4f802433" unitRef="_GBC_5ab1c6e244484b228b8cdc6ee3840fd6" addr="T0R55C2S1_1" formatStyle="Comma">
          <m:complexRule comparator="Eq" title="现金及现金等价物净增加额" test=" $_GBC_5609384850934060a13ed10f2506bdb4 +  $_GBC_b7279a817f0f41ef826b89c9f11ef85a +  $_GBC_d2c45051f3854acfbde749be9c30fb85 +  $_GBC_0b9b918eae77499d87e2aefb6578633d" id="C7931bf0357d64bbb9a176f388d59327f"/>
        </m:item>
        <m:item xlName="_GBC_aca07a4f37d74f399f6d1d8a17d97f20" concept="clcid-pte:XianJinJiXianJinDengJiaWuJingZengJiaE" label="现金及现金等价物净增加额" periodRef="上年同期数" mulRef="_GBC_7049413ddb8f4e5eac9cb9fb4f802433" unitRef="_GBC_5ab1c6e244484b228b8cdc6ee3840fd6" addr="T0R55C3S1_1" formatStyle="Comma">
          <m:complexRule comparator="Eq" title="现金及现金等价物净增加额@上年同期数" test=" $_GBC_4f94355a16984a6c9736ee6bd2fd022f +  $_GBC_b721b0203fa64035823423bc0f1142c0 +  $_GBC_ca1481d9fd784ce1a8f7b2f46c6e2e74 +  $_GBC_50c5a388e400403ba1e93bf0d2f74bcf" id="C3d3e13d21015494082271f3290e26537"/>
        </m:item>
        <m:placeholder xlName="_PLD_c384e472db4a44618443173a520a565b" addr="T0R56C0S1_1"/>
        <m:item xlName="_GBC_9b738e0cfb984950b5b0f6ca540855bb" concept="clcid-ci-ar:FuZhu_XianJinJiXianJinDengJiaWuYuE" label="附注_现金及现金等价物余额" periodRef="本期期初数" addr="T0R56C1S1_1"/>
        <m:item xlName="_GBC_567113274d424fbc92227c8c261b075c" concept="clcid-pte:XianJinJiXianJinDengJiaWuYuE" label="现金及现金等价物余额" periodRef="本期期初数" mulRef="_GBC_7049413ddb8f4e5eac9cb9fb4f802433" unitRef="_GBC_5ab1c6e244484b228b8cdc6ee3840fd6" addr="T0R56C2S1_1" formatStyle="Comma"/>
        <m:item xlName="_GBC_ded6a2d8fa8540ff84bd5b8fb0c6a3aa" concept="clcid-pte:XianJinJiXianJinDengJiaWuYuE" label="现金及现金等价物余额" periodRef="上年同期期初数" mulRef="_GBC_7049413ddb8f4e5eac9cb9fb4f802433" unitRef="_GBC_5ab1c6e244484b228b8cdc6ee3840fd6" addr="T0R56C3S1_1" formatStyle="Comma"/>
        <m:placeholder xlName="_PLD_bb83b8f9db734a7cb83175f4e64ae363" addr="T0R57C0S1_1"/>
        <m:item xlName="_GBC_f35a9b8b742f4543bddbc63a4553cf4a" concept="clcid-ci-ar:FuZhu_XianJinJiXianJinDengJiaWuYuE" label="附注_现金及现金等价物余额" addr="T0R57C1S1_1"/>
        <m:item xlName="_GBC_34307f0728a24f2c9a6fc94aaa258f3f" concept="clcid-pte:XianJinJiXianJinDengJiaWuYuE" label="现金及现金等价物余额" mulRef="_GBC_7049413ddb8f4e5eac9cb9fb4f802433" unitRef="_GBC_5ab1c6e244484b228b8cdc6ee3840fd6" addr="T0R57C2S1_1" formatStyle="Comma">
          <m:complexRule comparator="Eq" title="现金及现金等价物余额" test=" $_GBC_f0a61ec9d74648bda2332f8d2428bf1c +  $_GBC_567113274d424fbc92227c8c261b075c" id="Cd39e8cab300e44c9ba11b1b0b784c8de"/>
        </m:item>
        <m:item xlName="_GBC_ad95c030a8cd4f5ca1889cef386b3461" concept="clcid-pte:XianJinJiXianJinDengJiaWuYuE" label="现金及现金等价物余额" periodRef="上年同期期末数" mulRef="_GBC_7049413ddb8f4e5eac9cb9fb4f802433" unitRef="_GBC_5ab1c6e244484b228b8cdc6ee3840fd6" addr="T0R57C3S1_1" formatStyle="Comma">
          <m:complexRule comparator="Eq" title="现金及现金等价物余额@上年同期期末数" test=" $_GBC_aca07a4f37d74f399f6d1d8a17d97f20 +  $_GBC_ded6a2d8fa8540ff84bd5b8fb0c6a3aa" id="C3ba6442c54cf4f1bb75716c2ad802f35"/>
        </m:item>
        <m:item xlName="_GBC_d1f7cb193ab444ff8482a06aad12f0db" concept="clcid-mr:GongSiFuZeRenXingMing" label="公司负责人姓名" binding="true"/>
        <m:item xlName="_GBC_45110b4746914613a7aad68cef7b1bed" concept="clcid-mr:ZhuGuanKuaiJiGongZuoFuZeRenXingMing" label="主管会计工作负责人姓名" binding="true"/>
        <m:item xlName="_GBC_e7d70223996e482d9871cfff87704452" concept="clcid-mr:KuaiJiJiGouFuZeRenXingMing" label="会计机构负责人姓名" binding="true"/>
        <m:rowModel locationConcept="clcid-ci-ar:ZiDingYiKeMuWeiZhi" labelConcept="clcid-ci-ar:ZiDingYiKeMuMingCheng" conceptPrefix="合并现金流量表" presentationRole="http://www.xbrl-cn.org/cn/lcid/lr/role/ConsolidatedCashFlowsStatement" presentationParentConcept="clcid-pte:XianJinLiuLiangBiao" tuplePrefix="项目"/>
      </m:region>
      <m:region xlName="_GBC_fa07832b39b14b348ba105d6cedbd7b8" title="母公司现金流量表&#10;" helpId="112001001">
        <m:item xlName="_GBC_993ead81b27a41dfaccaacfaec8b7c78" concept="clcid-ci-ar:DanWeiMuGongSiXianJinLiuLiangBiao" label="单位：母公司现金流量表" selectOptions="_buildInScales" controlType="Combobox" cellType="Scale"/>
        <m:item xlName="_GBC_2dd4b706d0a244a4b4c21166025356cc" concept="clcid-ci-ar:BiZhongMuGongSiXianJinLiuLiangBiao" label="币种：母公司现金流量表" selectOptions="_buildInISO4217" controlType="Combobox" cellType="Measure"/>
        <m:placeholder xlName="_PLD_20ae0904ed714106892a5beddfe5846a" addr="T1R0C0S1_1"/>
        <m:placeholder xlName="_PLD_9cb87427e0de42d2b7e58a286ff58290" addr="T1R0C1S1_1"/>
        <m:placeholder xlName="_PLD_514bbce28b6040e393e59c5ec50c3820" addr="T1R0C2S1_1"/>
        <m:placeholder xlName="_PLD_de39c3f730c74ecca3c9a890bc08a2c1" addr="T1R0C3S1_1"/>
        <m:placeholder xlName="_PLD_575fd724a7cb4261a6c80660162ce2fb" addr="T1R1C0S1_1"/>
        <m:placeholder xlName="_PLD_82863635c2aa4636ad77b92e44fbd77d" addr="T1R2C0S1_1"/>
        <m:item xlName="_GBC_9da5af1cbc1d41b786aaa6d7cbb1678c" concept="clcid-ci-ar:FuZhu_XiaoShouShangPinTiGongLaoWuShouDaoDeXianJin" label="附注_销售商品提供劳务收到的现金" addr="T1R2C1S1_1">
          <m:axisValue occRef="母公司"/>
        </m:item>
        <m:item xlName="_GBC_35379a9c6484452591f60b2f3e16e629" concept="clcid-pte:XiaoShouShangPinTiGongLaoWuShouDaoDeXianJin" label="销售商品提供劳务收到的现金" mulRef="_GBC_993ead81b27a41dfaccaacfaec8b7c78" unitRef="_GBC_2dd4b706d0a244a4b4c21166025356cc" addr="T1R2C2S1_1" formatStyle="Comma">
          <m:axisValue occRef="母公司"/>
        </m:item>
        <m:item xlName="_GBC_106349c7e6454102b071023aac6eedc8" concept="clcid-pte:XiaoShouShangPinTiGongLaoWuShouDaoDeXianJin" label="销售商品提供劳务收到的现金" periodRef="上年同期数" mulRef="_GBC_993ead81b27a41dfaccaacfaec8b7c78" unitRef="_GBC_2dd4b706d0a244a4b4c21166025356cc" addr="T1R2C3S1_1" formatStyle="Comma">
          <m:axisValue occRef="母公司"/>
        </m:item>
        <m:placeholder xlName="_PLD_6f6ba49a98924345bef562f06bfcb294" addr="T1R3C0S1_1"/>
        <m:item xlName="_GBC_d921770b41d34678be91679dde5ebc58" concept="clcid-ci-ar:FuZhu_ShouDaoDeShuiFeiFanHuan" label="附注_收到的税费返还" addr="T1R3C1S1_1">
          <m:axisValue occRef="母公司"/>
        </m:item>
        <m:item xlName="_GBC_0c07c22a1fce4626adc1411c31583998" concept="clcid-pte:ShouDaoDeShuiFeiFanHuan" label="收到的税费返还" mulRef="_GBC_993ead81b27a41dfaccaacfaec8b7c78" unitRef="_GBC_2dd4b706d0a244a4b4c21166025356cc" addr="T1R3C2S1_1" formatStyle="Comma">
          <m:axisValue occRef="母公司"/>
        </m:item>
        <m:item xlName="_GBC_2f6f9031ce54402d8f67d226196a0007" concept="clcid-pte:ShouDaoDeShuiFeiFanHuan" label="收到的税费返还" periodRef="上年同期数" mulRef="_GBC_993ead81b27a41dfaccaacfaec8b7c78" unitRef="_GBC_2dd4b706d0a244a4b4c21166025356cc" addr="T1R3C3S1_1" formatStyle="Comma">
          <m:axisValue occRef="母公司"/>
        </m:item>
        <m:placeholder xlName="_PLD_06639b4a021d45c5a9c028b0a988399d" addr="T1R4C0S1_1"/>
        <m:item xlName="_GBC_6e09bb63b3c84950abf8e1f07246c34d" concept="clcid-ci-ar:FuZhu_ShouDaoDeQiTaYuJingYingHuoDongYouGuanDeXianJin" label="附注_收到的其他与经营活动有关的现金" addr="T1R4C1S1_1">
          <m:axisValue occRef="母公司"/>
        </m:item>
        <m:item xlName="_GBC_e115283dff284c3e9c6e6264deba2cf6" concept="clcid-pte:ShouDaoDeQiTaYuJingYingHuoDongYouGuanDeXianJin" label="收到的其他与经营活动有关的现金" mulRef="_GBC_993ead81b27a41dfaccaacfaec8b7c78" unitRef="_GBC_2dd4b706d0a244a4b4c21166025356cc" addr="T1R4C2S1_1" formatStyle="Comma">
          <m:axisValue occRef="母公司"/>
        </m:item>
        <m:item xlName="_GBC_853c5f37c5464162afef0ae88931a680" concept="clcid-pte:ShouDaoDeQiTaYuJingYingHuoDongYouGuanDeXianJin" label="收到的其他与经营活动有关的现金" periodRef="上年同期数" mulRef="_GBC_993ead81b27a41dfaccaacfaec8b7c78" unitRef="_GBC_2dd4b706d0a244a4b4c21166025356cc" addr="T1R4C3S1_1" formatStyle="Comma">
          <m:axisValue occRef="母公司"/>
        </m:item>
        <m:placeholder xlName="_PLD_64de81055bc940a3b2e810f08ea30cd0" addr="T1R5C0S1_1"/>
        <m:item xlName="_GBC_fa9d4569100642f097199d72d8c67944" concept="clcid-ci-ar:FuZhu_JingYingHuoDongXianJinLiuRuXiaoJi" label="附注_经营活动现金流入小计" addr="T1R5C1S1_1">
          <m:axisValue occRef="母公司"/>
        </m:item>
        <m:item xlName="_GBC_84ccbadbca0244468cc6d0a874584ff1" concept="clcid-pte:JingYingHuoDongXianJinLiuRuXiaoJi" label="经营活动现金流入小计" mulRef="_GBC_993ead81b27a41dfaccaacfaec8b7c78" unitRef="_GBC_2dd4b706d0a244a4b4c21166025356cc" addr="T1R5C2S1_1" formatStyle="Comma">
          <m:complexRule comparator="Eq" title="母公司经营活动现金流入小计" test=" $_GBC_35379a9c6484452591f60b2f3e16e629 +  $_GBC_0c07c22a1fce4626adc1411c31583998 +  $_GBC_e115283dff284c3e9c6e6264deba2cf6" id="C4a2edf54c2974e4da206bb87cf5973d8"/>
          <m:axisValue occRef="母公司"/>
        </m:item>
        <m:item xlName="_GBC_3a13ba2aac67462e82ffb76d00976103" concept="clcid-pte:JingYingHuoDongXianJinLiuRuXiaoJi" label="经营活动现金流入小计" periodRef="上年同期数" mulRef="_GBC_993ead81b27a41dfaccaacfaec8b7c78" unitRef="_GBC_2dd4b706d0a244a4b4c21166025356cc" addr="T1R5C3S1_1" formatStyle="Comma">
          <m:complexRule comparator="Eq" title="母公司经营活动现金流入小计@上年同期数" test=" $_GBC_106349c7e6454102b071023aac6eedc8 +  $_GBC_2f6f9031ce54402d8f67d226196a0007 +  $_GBC_853c5f37c5464162afef0ae88931a680" id="C097a622a5908483a9dc9516e26824c89"/>
          <m:axisValue occRef="母公司"/>
        </m:item>
        <m:placeholder xlName="_PLD_9225a8e3c0d04e74be5259e8c6d2c503" addr="T1R6C0S1_1"/>
        <m:item xlName="_GBC_93d2b3983de7410aae6fef73f2b808f8" concept="clcid-ci-ar:FuZhu_GouMaiShangPinJieShouLaoWuZhiFuDeXianJin" label="附注_购买商品接受劳务支付的现金" addr="T1R6C1S1_1">
          <m:axisValue occRef="母公司"/>
        </m:item>
        <m:item xlName="_GBC_1b316009feec4fb7aab7dd5ae609f97d" concept="clcid-pte:GouMaiShangPinJieShouLaoWuZhiFuDeXianJin" label="购买商品接受劳务支付的现金" mulRef="_GBC_993ead81b27a41dfaccaacfaec8b7c78" unitRef="_GBC_2dd4b706d0a244a4b4c21166025356cc" addr="T1R6C2S1_1" baseScale="-1" formatStyle="Comma">
          <m:axisValue occRef="母公司"/>
        </m:item>
        <m:item xlName="_GBC_e20cff5bc6b24117b77c0c62493a9aea" concept="clcid-pte:GouMaiShangPinJieShouLaoWuZhiFuDeXianJin" label="购买商品接受劳务支付的现金" periodRef="上年同期数" mulRef="_GBC_993ead81b27a41dfaccaacfaec8b7c78" unitRef="_GBC_2dd4b706d0a244a4b4c21166025356cc" addr="T1R6C3S1_1" baseScale="-1" formatStyle="Comma">
          <m:axisValue occRef="母公司"/>
        </m:item>
        <m:placeholder xlName="_PLD_3bc74c61fa7a4ba98c9b2ee5eb59820e" addr="T1R7C0S1_1"/>
        <m:item xlName="_GBC_928f1c19186f49f784f0e3be6606e1f8" concept="clcid-ci-ar:FuZhu_ZhiFuGeiZhiGongYiJiWeiZhiGongZhiFuDeXianJin" label="附注_支付给职工以及为职工支付的现金" addr="T1R7C1S1_1">
          <m:axisValue occRef="母公司"/>
        </m:item>
        <m:item xlName="_GBC_d0bc0df10dfd47d8b3469bca8ee596a4" concept="clcid-pte:ZhiFuGeiZhiGongYiJiWeiZhiGongZhiFuDeXianJin" label="支付给职工以及为职工支付的现金" mulRef="_GBC_993ead81b27a41dfaccaacfaec8b7c78" unitRef="_GBC_2dd4b706d0a244a4b4c21166025356cc" addr="T1R7C2S1_1" baseScale="-1" formatStyle="Comma">
          <m:axisValue occRef="母公司"/>
        </m:item>
        <m:item xlName="_GBC_c78d193027034bac924ca2f479cfbf5e" concept="clcid-pte:ZhiFuGeiZhiGongYiJiWeiZhiGongZhiFuDeXianJin" label="支付给职工以及为职工支付的现金" periodRef="上年同期数" mulRef="_GBC_993ead81b27a41dfaccaacfaec8b7c78" unitRef="_GBC_2dd4b706d0a244a4b4c21166025356cc" addr="T1R7C3S1_1" baseScale="-1" formatStyle="Comma">
          <m:axisValue occRef="母公司"/>
        </m:item>
        <m:placeholder xlName="_PLD_336b8ff4ff8840c58c0c9f99f358310c" addr="T1R8C0S1_1"/>
        <m:item xlName="_GBC_7de1e865bb0d4658b4ceaafdd12c5ab5" concept="clcid-ci-ar:FuZhu_ZhiFuDeGeXiangShuiFei" label="附注_支付的各项税费" addr="T1R8C1S1_1">
          <m:axisValue occRef="母公司"/>
        </m:item>
        <m:item xlName="_GBC_15a9abff3dec4f698b7df5ae179ad52a" concept="clcid-pte:ZhiFuDeGeXiangShuiFei" label="支付的各项税费" mulRef="_GBC_993ead81b27a41dfaccaacfaec8b7c78" unitRef="_GBC_2dd4b706d0a244a4b4c21166025356cc" addr="T1R8C2S1_1" baseScale="-1" formatStyle="Comma">
          <m:axisValue occRef="母公司"/>
        </m:item>
        <m:item xlName="_GBC_deed8407551542fca5e47d8c1d734bc6" concept="clcid-pte:ZhiFuDeGeXiangShuiFei" label="支付的各项税费" periodRef="上年同期数" mulRef="_GBC_993ead81b27a41dfaccaacfaec8b7c78" unitRef="_GBC_2dd4b706d0a244a4b4c21166025356cc" addr="T1R8C3S1_1" baseScale="-1" formatStyle="Comma">
          <m:axisValue occRef="母公司"/>
        </m:item>
        <m:placeholder xlName="_PLD_6ca36b1e8aed4dcf8f2b3a0daeff07e6" addr="T1R9C0S1_1"/>
        <m:item xlName="_GBC_d654940d54da48e1bf44978ba3e81fdf" concept="clcid-ci-ar:FuZhu_ZhiFuDeQiTaYuJingYingHuoDongYouGuanDeXianJin" label="附注_支付的其他与经营活动有关的现金" addr="T1R9C1S1_1">
          <m:axisValue occRef="母公司"/>
        </m:item>
        <m:item xlName="_GBC_cf66e71fb7a6459480eb817300505b5c" concept="clcid-pte:ZhiFuDeQiTaYuJingYingHuoDongYouGuanDeXianJin" label="支付的其他与经营活动有关的现金" mulRef="_GBC_993ead81b27a41dfaccaacfaec8b7c78" unitRef="_GBC_2dd4b706d0a244a4b4c21166025356cc" addr="T1R9C2S1_1" baseScale="-1" formatStyle="Comma">
          <m:axisValue occRef="母公司"/>
        </m:item>
        <m:item xlName="_GBC_c6ba3f8cc3574cb1915b3e2f4bfaac67" concept="clcid-pte:ZhiFuDeQiTaYuJingYingHuoDongYouGuanDeXianJin" label="支付的其他与经营活动有关的现金" periodRef="上年同期数" mulRef="_GBC_993ead81b27a41dfaccaacfaec8b7c78" unitRef="_GBC_2dd4b706d0a244a4b4c21166025356cc" addr="T1R9C3S1_1" baseScale="-1" formatStyle="Comma">
          <m:axisValue occRef="母公司"/>
        </m:item>
        <m:placeholder xlName="_PLD_340429c1d7014fa58e9b7238e10cefc6" addr="T1R10C0S1_1"/>
        <m:item xlName="_GBC_ac7518a16acd4a73b3630651c7c3b224" concept="clcid-ci-ar:FuZhu_JingYingHuoDongXianJinLiuChuXiaoJi" label="附注_经营活动现金流出小计" addr="T1R10C1S1_1">
          <m:axisValue occRef="母公司"/>
        </m:item>
        <m:item xlName="_GBC_8b0c65e140754ca1a7e4e8495f453e5b" concept="clcid-pte:JingYingHuoDongXianJinLiuChuXiaoJi" label="经营活动现金流出小计" mulRef="_GBC_993ead81b27a41dfaccaacfaec8b7c78" unitRef="_GBC_2dd4b706d0a244a4b4c21166025356cc" addr="T1R10C2S1_1" baseScale="-1" formatStyle="Comma">
          <m:complexRule comparator="Eq" title="母公司经营活动现金流出小计" test=" $_GBC_1b316009feec4fb7aab7dd5ae609f97d +  $_GBC_d0bc0df10dfd47d8b3469bca8ee596a4 +  $_GBC_15a9abff3dec4f698b7df5ae179ad52a +  $_GBC_cf66e71fb7a6459480eb817300505b5c" id="C349f58f2e1d44aec9b94a709f42db75e"/>
          <m:axisValue occRef="母公司"/>
        </m:item>
        <m:item xlName="_GBC_51f50f609c7547ff9313b4d30d7b4c01" concept="clcid-pte:JingYingHuoDongXianJinLiuChuXiaoJi" label="经营活动现金流出小计" periodRef="上年同期数" mulRef="_GBC_993ead81b27a41dfaccaacfaec8b7c78" unitRef="_GBC_2dd4b706d0a244a4b4c21166025356cc" addr="T1R10C3S1_1" baseScale="-1" formatStyle="Comma">
          <m:complexRule comparator="Eq" title="母公司经营活动现金流出小计@上年同期数" test=" $_GBC_e20cff5bc6b24117b77c0c62493a9aea +  $_GBC_c78d193027034bac924ca2f479cfbf5e +  $_GBC_deed8407551542fca5e47d8c1d734bc6 +  $_GBC_c6ba3f8cc3574cb1915b3e2f4bfaac67" id="Cc7513953f5774bb3bf544726c33111fa"/>
          <m:axisValue occRef="母公司"/>
        </m:item>
        <m:placeholder xlName="_PLD_61f55569c4e04d6a8c94438f8ecb1122" addr="T1R11C0S1_1"/>
        <m:item xlName="_GBC_5fc3eb92526e4dfda76c0c5c2f89f929" concept="clcid-ci-ar:FuZhu_JingYingHuoDongXianJinLiuLiangJingE" label="附注_经营活动现金流量净额" addr="T1R11C1S1_1">
          <m:axisValue occRef="母公司"/>
        </m:item>
        <m:item xlName="_GBC_20d8f7ded63a41279ec7f8c5fdc18646" concept="clcid-pte:JingYingHuoDongXianJinLiuLiangJingE" label="经营活动现金流量净额" mulRef="_GBC_993ead81b27a41dfaccaacfaec8b7c78" unitRef="_GBC_2dd4b706d0a244a4b4c21166025356cc" addr="T1R11C2S1_1" formatStyle="Comma">
          <m:complexRule comparator="Eq" title="母公司经营活动现金流量净额" test=" $_GBC_84ccbadbca0244468cc6d0a874584ff1 -  $_GBC_8b0c65e140754ca1a7e4e8495f453e5b" id="Cb86d98384aef47c09346a7ef5fcfe0ab"/>
          <m:axisValue occRef="母公司"/>
        </m:item>
        <m:item xlName="_GBC_5437febad15c48e9b066717371d5de4e" concept="clcid-pte:JingYingHuoDongXianJinLiuLiangJingE" label="经营活动现金流量净额" periodRef="上年同期数" mulRef="_GBC_993ead81b27a41dfaccaacfaec8b7c78" unitRef="_GBC_2dd4b706d0a244a4b4c21166025356cc" addr="T1R11C3S1_1" formatStyle="Comma">
          <m:complexRule comparator="Eq" title="母公司经营活动现金流量净额@上年同期数" test=" $_GBC_3a13ba2aac67462e82ffb76d00976103 -  $_GBC_51f50f609c7547ff9313b4d30d7b4c01" id="C46514fbe2f0e4710b4643cdc43956923"/>
          <m:axisValue occRef="母公司"/>
        </m:item>
        <m:placeholder xlName="_PLD_8f9190ce4227402ab02ac6431a00b46e" addr="T1R12C0S1_1"/>
        <m:placeholder xlName="_PLD_beb5ade569574a3c87ebe15ef758047a" addr="T1R13C0S1_1"/>
        <m:item xlName="_GBC_376a5d3d38b74ffa906df348bc76e00c" concept="clcid-ci-ar:FuZhu_ShouHuiTouZiSuoShouDaoDeXianJin" label="附注_收回投资所收到的现金" addr="T1R13C1S1_1">
          <m:axisValue occRef="母公司"/>
        </m:item>
        <m:item xlName="_GBC_61f52b7a9a3840c6968ffeab3462da21" concept="clcid-pte:ShouHuiTouZiSuoShouDaoDeXianJin" label="收回投资所收到的现金" mulRef="_GBC_993ead81b27a41dfaccaacfaec8b7c78" unitRef="_GBC_2dd4b706d0a244a4b4c21166025356cc" addr="T1R13C2S1_1" formatStyle="Comma">
          <m:axisValue occRef="母公司"/>
        </m:item>
        <m:item xlName="_GBC_cb4af101dbd54476a923be383434a56c" concept="clcid-pte:ShouHuiTouZiSuoShouDaoDeXianJin" label="收回投资所收到的现金" periodRef="上年同期数" mulRef="_GBC_993ead81b27a41dfaccaacfaec8b7c78" unitRef="_GBC_2dd4b706d0a244a4b4c21166025356cc" addr="T1R13C3S1_1" formatStyle="Comma">
          <m:axisValue occRef="母公司"/>
        </m:item>
        <m:placeholder xlName="_PLD_3a0ffc6a5d6f4279bf5f479f6d37fa63" addr="T1R14C0S1_1"/>
        <m:item xlName="_GBC_ae51f132f39f4324b2487e9af3a7e12b" concept="clcid-ci-ar:FuZhu_QuDeTouZiShouYiSuoShouDaoDeXianJin" label="附注_取得投资收益所收到的现金" addr="T1R14C1S1_1">
          <m:axisValue occRef="母公司"/>
        </m:item>
        <m:item xlName="_GBC_5883825220f84b53ad2aa4fc525a6c5c" concept="clcid-pte:QuDeTouZiShouYiSuoShouDaoDeXianJin" label="取得投资收益所收到的现金" mulRef="_GBC_993ead81b27a41dfaccaacfaec8b7c78" unitRef="_GBC_2dd4b706d0a244a4b4c21166025356cc" addr="T1R14C2S1_1" formatStyle="Comma">
          <m:axisValue occRef="母公司"/>
        </m:item>
        <m:item xlName="_GBC_1bb0ed72c9294a0c81513a4431dcb2a3" concept="clcid-pte:QuDeTouZiShouYiSuoShouDaoDeXianJin" label="取得投资收益所收到的现金" periodRef="上年同期数" mulRef="_GBC_993ead81b27a41dfaccaacfaec8b7c78" unitRef="_GBC_2dd4b706d0a244a4b4c21166025356cc" addr="T1R14C3S1_1" formatStyle="Comma">
          <m:axisValue occRef="母公司"/>
        </m:item>
        <m:placeholder xlName="_PLD_ab86d628c73648de84f4c45b64cce1a7" addr="T1R15C0S1_1"/>
        <m:item xlName="_GBC_772a8479e35c4d868f6d6424c9c297b0" concept="clcid-ci-ar:FuZhu_ChuZhiGuDingZiChanWuXingZiChanHeQiTaChangQiZiChanErShouHuiDeXianJin" label="附注_处置固定资产无形资产和其他长期资产而收回的现金" addr="T1R15C1S1_1">
          <m:axisValue occRef="母公司"/>
        </m:item>
        <m:item xlName="_GBC_e61637cd8a9a4e0eaefdaeba05226063" concept="clcid-pte:ChuZhiGuDingZiChanWuXingZiChanHeQiTaChangQiZiChanErShouHuiDeXianJin" label="处置固定资产、无形资产和其他长期资产而收回的现金" mulRef="_GBC_993ead81b27a41dfaccaacfaec8b7c78" unitRef="_GBC_2dd4b706d0a244a4b4c21166025356cc" addr="T1R15C2S1_1" formatStyle="Comma">
          <m:axisValue occRef="母公司"/>
        </m:item>
        <m:item xlName="_GBC_3531bd766c6942e6bb4c93a6eea24b18" concept="clcid-pte:ChuZhiGuDingZiChanWuXingZiChanHeQiTaChangQiZiChanErShouHuiDeXianJin" label="处置固定资产、无形资产和其他长期资产而收回的现金" periodRef="上年同期数" mulRef="_GBC_993ead81b27a41dfaccaacfaec8b7c78" unitRef="_GBC_2dd4b706d0a244a4b4c21166025356cc" addr="T1R15C3S1_1" formatStyle="Comma">
          <m:axisValue occRef="母公司"/>
        </m:item>
        <m:placeholder xlName="_PLD_21334c9538694cfcadc2b7850ff168f3" addr="T1R16C0S1_1"/>
        <m:item xlName="_GBC_c63524d3dcbb4c9083648ca0e51ecb62" concept="clcid-ci-ar:FuZhu_ShouHuiTouZiSuoShouDaoDeXianJinZhongDeChuShouZiGongSiShouDaoDeXianJin" label="附注_收回投资所收到的现金中的出售子公司收到的现金" addr="T1R16C1S1_1">
          <m:axisValue occRef="母公司"/>
        </m:item>
        <m:item xlName="_GBC_b7dee17f0ae6443cbe8b2f915c999be8" concept="clcid-pte:ShouHuiTouZiSuoShouDaoDeXianJinZhongDeChuShouZiGongSiShouDaoDeXianJin" label="收回投资所收到的现金中的出售子公司收到的现金" mulRef="_GBC_993ead81b27a41dfaccaacfaec8b7c78" unitRef="_GBC_2dd4b706d0a244a4b4c21166025356cc" addr="T1R16C2S1_1" formatStyle="Comma">
          <m:axisValue occRef="母公司"/>
        </m:item>
        <m:item xlName="_GBC_ddc0e6becc7042c5935d511459b9c207" concept="clcid-pte:ShouHuiTouZiSuoShouDaoDeXianJinZhongDeChuShouZiGongSiShouDaoDeXianJin" label="收回投资所收到的现金中的出售子公司收到的现金" periodRef="上年同期数" mulRef="_GBC_993ead81b27a41dfaccaacfaec8b7c78" unitRef="_GBC_2dd4b706d0a244a4b4c21166025356cc" addr="T1R16C3S1_1" formatStyle="Comma">
          <m:axisValue occRef="母公司"/>
        </m:item>
        <m:placeholder xlName="_PLD_1bbc06129d1649f69097b53902bcb183" addr="T1R17C0S1_1"/>
        <m:item xlName="_GBC_e03eed0113524006a8427856f8f975d8" concept="clcid-ci-ar:FuZhu_ShouDaoDeQiTaYuTouZiHuoDongYouGuanDeXianJin" label="附注_收到的其他与投资活动有关的现金" addr="T1R17C1S1_1">
          <m:axisValue occRef="母公司"/>
        </m:item>
        <m:item xlName="_GBC_9d8051f1bb694d0581c4ded2b83e94a9" concept="clcid-pte:ShouDaoDeQiTaYuTouZiHuoDongYouGuanDeXianJin" label="收到的其他与投资活动有关的现金" mulRef="_GBC_993ead81b27a41dfaccaacfaec8b7c78" unitRef="_GBC_2dd4b706d0a244a4b4c21166025356cc" addr="T1R17C2S1_1" formatStyle="Comma">
          <m:axisValue occRef="母公司"/>
        </m:item>
        <m:item xlName="_GBC_7b30a7cd4407413395d9db4582b4e1b4" concept="clcid-pte:ShouDaoDeQiTaYuTouZiHuoDongYouGuanDeXianJin" label="收到的其他与投资活动有关的现金" periodRef="上年同期数" mulRef="_GBC_993ead81b27a41dfaccaacfaec8b7c78" unitRef="_GBC_2dd4b706d0a244a4b4c21166025356cc" addr="T1R17C3S1_1" formatStyle="Comma">
          <m:axisValue occRef="母公司"/>
        </m:item>
        <m:placeholder xlName="_PLD_7d740284844e4f809679ef6bb77b25bc" addr="T1R18C0S1_1"/>
        <m:item xlName="_GBC_27e4458eed4147c3bbcc7fefe7391a07" concept="clcid-ci-ar:FuZhu_TouZiHuoDongXianJinLiuRuXiaoJi" label="附注_投资活动现金流入小计" addr="T1R18C1S1_1">
          <m:axisValue occRef="母公司"/>
        </m:item>
        <m:item xlName="_GBC_26b0746d2c9f408e8ee3da2e94291ea4" concept="clcid-pte:TouZiHuoDongXianJinLiuRuXiaoJi" label="投资活动现金流入小计" mulRef="_GBC_993ead81b27a41dfaccaacfaec8b7c78" unitRef="_GBC_2dd4b706d0a244a4b4c21166025356cc" addr="T1R18C2S1_1" formatStyle="Comma">
          <m:complexRule comparator="Eq" title="母公司投资活动现金流入小计" test=" $_GBC_61f52b7a9a3840c6968ffeab3462da21 +  $_GBC_5883825220f84b53ad2aa4fc525a6c5c +  $_GBC_e61637cd8a9a4e0eaefdaeba05226063 +  $_GBC_b7dee17f0ae6443cbe8b2f915c999be8 +  $_GBC_9d8051f1bb694d0581c4ded2b83e94a9" id="Cb446da1a3aa44b38821b887b1fa61e5a"/>
          <m:axisValue occRef="母公司"/>
        </m:item>
        <m:item xlName="_GBC_34f6036f332b4950947b873455b4b83b" concept="clcid-pte:TouZiHuoDongXianJinLiuRuXiaoJi" label="投资活动现金流入小计" periodRef="上年同期数" mulRef="_GBC_993ead81b27a41dfaccaacfaec8b7c78" unitRef="_GBC_2dd4b706d0a244a4b4c21166025356cc" addr="T1R18C3S1_1" formatStyle="Comma">
          <m:complexRule comparator="Eq" title="母公司投资活动现金流入小计@上年同期数" test=" $_GBC_cb4af101dbd54476a923be383434a56c +  $_GBC_1bb0ed72c9294a0c81513a4431dcb2a3 +  $_GBC_3531bd766c6942e6bb4c93a6eea24b18 +  $_GBC_ddc0e6becc7042c5935d511459b9c207 +  $_GBC_7b30a7cd4407413395d9db4582b4e1b4" id="C987bf149d2b440dea9147efba667bc6a"/>
          <m:axisValue occRef="母公司"/>
        </m:item>
        <m:placeholder xlName="_PLD_62fef635400a49fdab7a94e37c70f56f" addr="T1R19C0S1_1"/>
        <m:item xlName="_GBC_1176e8ff19c9419c9fd60a71e97abd95" concept="clcid-ci-ar:FuZhu_GouJianGuDingZiChanWuXingZiChanHeQiTaChangQiZiChanSuoZhiFuDeXianJin" label="附注_购建固定资产无形资产和其他长期资产所支付的现金" addr="T1R19C1S1_1">
          <m:axisValue occRef="母公司"/>
        </m:item>
        <m:item xlName="_GBC_e4b5a713cae24de0aa96a6d65170ea5b" concept="clcid-pte:GouJianGuDingZiChanWuXingZiChanHeQiTaChangQiZiChanSuoZhiFuDeXianJin" label="购建固定资产、无形资产和其他长期资产所支付的现金" mulRef="_GBC_993ead81b27a41dfaccaacfaec8b7c78" unitRef="_GBC_2dd4b706d0a244a4b4c21166025356cc" addr="T1R19C2S1_1" baseScale="-1" formatStyle="Comma">
          <m:axisValue occRef="母公司"/>
        </m:item>
        <m:item xlName="_GBC_cf379bcf60ab4ebb8a01e3f6f70508a2" concept="clcid-pte:GouJianGuDingZiChanWuXingZiChanHeQiTaChangQiZiChanSuoZhiFuDeXianJin" label="购建固定资产、无形资产和其他长期资产所支付的现金" periodRef="上年同期数" mulRef="_GBC_993ead81b27a41dfaccaacfaec8b7c78" unitRef="_GBC_2dd4b706d0a244a4b4c21166025356cc" addr="T1R19C3S1_1" baseScale="-1" formatStyle="Comma">
          <m:axisValue occRef="母公司"/>
        </m:item>
        <m:placeholder xlName="_PLD_1ef5a0eb21854c7a9b13f6f3b7a8ebcc" addr="T1R20C0S1_1"/>
        <m:item xlName="_GBC_122f93342a61418c99462f5e148b42e3" concept="clcid-ci-ar:FuZhu_TouZiSuoZhiFuDeXianJin" label="附注_投资所支付的现金" addr="T1R20C1S1_1">
          <m:axisValue occRef="母公司"/>
        </m:item>
        <m:item xlName="_GBC_9bc65ba5016d43d3ada47e77dc2f2547" concept="clcid-pte:TouZiSuoZhiFuDeXianJin" label="投资所支付的现金" mulRef="_GBC_993ead81b27a41dfaccaacfaec8b7c78" unitRef="_GBC_2dd4b706d0a244a4b4c21166025356cc" addr="T1R20C2S1_1" baseScale="-1" formatStyle="Comma">
          <m:axisValue occRef="母公司"/>
        </m:item>
        <m:item xlName="_GBC_c82f6e64837e45e5b12f50c64c5b986f" concept="clcid-pte:TouZiSuoZhiFuDeXianJin" label="投资所支付的现金" periodRef="上年同期数" mulRef="_GBC_993ead81b27a41dfaccaacfaec8b7c78" unitRef="_GBC_2dd4b706d0a244a4b4c21166025356cc" addr="T1R20C3S1_1" baseScale="-1" formatStyle="Comma">
          <m:axisValue occRef="母公司"/>
        </m:item>
        <m:placeholder xlName="_PLD_7d0701b5e83d4159a4e201e3bfc27ba1" addr="T1R21C0S1_1"/>
        <m:item xlName="_GBC_4de4ae52ff204268ab2786fbaf9045bd" concept="clcid-ci-ar:FuZhu_QuDeZiGongSiJiQiTaYingYeDanWeiZhiFuDeXianJinJingE" label="附注_取得子公司及其他营业单位支付的现金净额" addr="T1R21C1S1_1">
          <m:axisValue occRef="母公司"/>
        </m:item>
        <m:item xlName="_GBC_4b7b25d1f33c4daf95b5bdc3440329fd" concept="clcid-pte:QuDeZiGongSiJiQiTaYingYeDanWeiZhiFuDeXianJinJingE" label="取得子公司及其他营业单位支付的现金净额" mulRef="_GBC_993ead81b27a41dfaccaacfaec8b7c78" unitRef="_GBC_2dd4b706d0a244a4b4c21166025356cc" addr="T1R21C2S1_1" baseScale="-1" formatStyle="Comma">
          <m:axisValue occRef="母公司"/>
        </m:item>
        <m:item xlName="_GBC_cd29a678bd8c47c9ae402ada2de140e8" concept="clcid-pte:QuDeZiGongSiJiQiTaYingYeDanWeiZhiFuDeXianJinJingE" label="取得子公司及其他营业单位支付的现金净额" periodRef="上年同期数" mulRef="_GBC_993ead81b27a41dfaccaacfaec8b7c78" unitRef="_GBC_2dd4b706d0a244a4b4c21166025356cc" addr="T1R21C3S1_1" baseScale="-1" formatStyle="Comma">
          <m:axisValue occRef="母公司"/>
        </m:item>
        <m:placeholder xlName="_PLD_813ddb5a043d48ffa883eb8db9d86449" addr="T1R22C0S1_1"/>
        <m:item xlName="_GBC_ee490828b2f048ae807da343e9161561" concept="clcid-ci-ar:FuZhu_ZhiFuDeQiTaYuTouZiHuoDongYouGuanDeXianJin" label="附注_支付的其他与投资活动有关的现金" addr="T1R22C1S1_1">
          <m:axisValue occRef="母公司"/>
        </m:item>
        <m:item xlName="_GBC_c5ccd43a98aa4221ad9714d4a265b71a" concept="clcid-pte:ZhiFuDeQiTaYuTouZiHuoDongYouGuanDeXianJin" label="支付的其他与投资活动有关的现金" mulRef="_GBC_993ead81b27a41dfaccaacfaec8b7c78" unitRef="_GBC_2dd4b706d0a244a4b4c21166025356cc" addr="T1R22C2S1_1" baseScale="-1" formatStyle="Comma">
          <m:axisValue occRef="母公司"/>
        </m:item>
        <m:item xlName="_GBC_f1e6e8b8ec4c41188b7b194f675985bc" concept="clcid-pte:ZhiFuDeQiTaYuTouZiHuoDongYouGuanDeXianJin" label="支付的其他与投资活动有关的现金" periodRef="上年同期数" mulRef="_GBC_993ead81b27a41dfaccaacfaec8b7c78" unitRef="_GBC_2dd4b706d0a244a4b4c21166025356cc" addr="T1R22C3S1_1" baseScale="-1" formatStyle="Comma">
          <m:axisValue occRef="母公司"/>
        </m:item>
        <m:placeholder xlName="_PLD_ebc63f66aafc42e49516dac116f4b4d5" addr="T1R23C0S1_1"/>
        <m:item xlName="_GBC_7a05fd378fc34440837ae54688170c02" concept="clcid-ci-ar:FuZhu_TouZiHuoDongXianJinLiuChuXiaoJi" label="附注_投资活动现金流出小计" addr="T1R23C1S1_1">
          <m:axisValue occRef="母公司"/>
        </m:item>
        <m:item xlName="_GBC_c385a639a6da4b39b610d84425913a49" concept="clcid-pte:TouZiHuoDongXianJinLiuChuXiaoJi" label="投资活动现金流出小计" mulRef="_GBC_993ead81b27a41dfaccaacfaec8b7c78" unitRef="_GBC_2dd4b706d0a244a4b4c21166025356cc" addr="T1R23C2S1_1" baseScale="-1" formatStyle="Comma">
          <m:complexRule comparator="Eq" title="母公司投资活动现金流出小计" test=" $_GBC_e4b5a713cae24de0aa96a6d65170ea5b +  $_GBC_9bc65ba5016d43d3ada47e77dc2f2547 +  $_GBC_4b7b25d1f33c4daf95b5bdc3440329fd +  $_GBC_c5ccd43a98aa4221ad9714d4a265b71a" id="Cd268eaa0af094b55b7e090cc36e6852e"/>
          <m:axisValue occRef="母公司"/>
        </m:item>
        <m:item xlName="_GBC_9e62f7b738a5495fa53e4460f9c00ef1" concept="clcid-pte:TouZiHuoDongXianJinLiuChuXiaoJi" label="投资活动现金流出小计" periodRef="上年同期数" mulRef="_GBC_993ead81b27a41dfaccaacfaec8b7c78" unitRef="_GBC_2dd4b706d0a244a4b4c21166025356cc" addr="T1R23C3S1_1" baseScale="-1" formatStyle="Comma">
          <m:complexRule comparator="Eq" title="母公司投资活动现金流出小计@上年同期数" test=" $_GBC_cf379bcf60ab4ebb8a01e3f6f70508a2 +  $_GBC_c82f6e64837e45e5b12f50c64c5b986f +  $_GBC_cd29a678bd8c47c9ae402ada2de140e8 +  $_GBC_f1e6e8b8ec4c41188b7b194f675985bc" id="C0040a5a788e04876b6dc9d8e258746bb"/>
          <m:axisValue occRef="母公司"/>
        </m:item>
        <m:placeholder xlName="_PLD_616b02a522724a558ecbae77fe729bdb" addr="T1R24C0S1_1"/>
        <m:item xlName="_GBC_a705753fe8df41b1a3f644fedcc4328c" concept="clcid-ci-ar:FuZhu_TouZiHuoDongChanShengDeXianJinLiuLiangJingE" label="附注_投资活动产生的现金流量净额" addr="T1R24C1S1_1">
          <m:axisValue occRef="母公司"/>
        </m:item>
        <m:item xlName="_GBC_0d20bf545cad44cab7b6928d6d7a4c80" concept="clcid-pte:TouZiHuoDongChanShengDeXianJinLiuLiangJingE" label="投资活动产生的现金流量净额" mulRef="_GBC_993ead81b27a41dfaccaacfaec8b7c78" unitRef="_GBC_2dd4b706d0a244a4b4c21166025356cc" addr="T1R24C2S1_1" formatStyle="Comma">
          <m:complexRule comparator="Eq" title="母公司投资活动产生的现金流量净额" test=" $_GBC_26b0746d2c9f408e8ee3da2e94291ea4 -  $_GBC_c385a639a6da4b39b610d84425913a49" id="C83f2007c76b24d128c63ebaf9c98dc76"/>
          <m:axisValue occRef="母公司"/>
        </m:item>
        <m:item xlName="_GBC_f37b6bcc35c6497d932d832f6fc2f52b" concept="clcid-pte:TouZiHuoDongChanShengDeXianJinLiuLiangJingE" label="投资活动产生的现金流量净额" periodRef="上年同期数" mulRef="_GBC_993ead81b27a41dfaccaacfaec8b7c78" unitRef="_GBC_2dd4b706d0a244a4b4c21166025356cc" addr="T1R24C3S1_1" formatStyle="Comma">
          <m:complexRule comparator="Eq" title="母公司投资活动产生的现金流量净额@上年同期数" test=" $_GBC_34f6036f332b4950947b873455b4b83b -  $_GBC_9e62f7b738a5495fa53e4460f9c00ef1" id="Ce16fea2eee644995abb5ad60fa25d2c3"/>
          <m:axisValue occRef="母公司"/>
        </m:item>
        <m:placeholder xlName="_PLD_7d68e34216d04af0934267b3078d3c35" addr="T1R25C0S1_1"/>
        <m:placeholder xlName="_PLD_12516ea91b664cd98125761df9d8009e" addr="T1R26C0S1_1"/>
        <m:item xlName="_GBC_97941990c71d4921ac4f5e3a109d2c9e" concept="clcid-ci-ar:FuZhu_XiShouTouZiSuoShouDaoDeXianJin" label="附注_吸收投资所收到的现金" addr="T1R26C1S1_1">
          <m:axisValue occRef="母公司"/>
        </m:item>
        <m:item xlName="_GBC_8c2a29b13f52428bb6d2f8bcc2daba75" concept="clcid-pte:XiShouTouZiSuoShouDaoDeXianJin" label="吸收投资所收到的现金" mulRef="_GBC_993ead81b27a41dfaccaacfaec8b7c78" unitRef="_GBC_2dd4b706d0a244a4b4c21166025356cc" addr="T1R26C2S1_1" formatStyle="Comma">
          <m:axisValue occRef="母公司"/>
        </m:item>
        <m:item xlName="_GBC_aa532e22e70a4ad28f51c75716a5d6a6" concept="clcid-pte:XiShouTouZiSuoShouDaoDeXianJin" label="吸收投资所收到的现金" periodRef="上年同期数" mulRef="_GBC_993ead81b27a41dfaccaacfaec8b7c78" unitRef="_GBC_2dd4b706d0a244a4b4c21166025356cc" addr="T1R26C3S1_1" formatStyle="Comma">
          <m:axisValue occRef="母公司"/>
        </m:item>
        <m:placeholder xlName="_PLD_29a78e59f2b441018bc188661adf1a5e" addr="T1R27C0S1_1"/>
        <m:item xlName="_GBC_62d31cddfdc14fe3b66336fe10620205" concept="clcid-ci-ar:FuZhu_JieKuanSuoShouDaoDeXianJin" label="附注_借款所收到的现金" addr="T1R27C1S1_1">
          <m:axisValue occRef="母公司"/>
        </m:item>
        <m:item xlName="_GBC_03427afe59e7497e9617663c32554417" concept="clcid-pte:JieKuanSuoShouDaoDeXianJin" label="借款所收到的现金" mulRef="_GBC_993ead81b27a41dfaccaacfaec8b7c78" unitRef="_GBC_2dd4b706d0a244a4b4c21166025356cc" addr="T1R27C2S1_1" formatStyle="Comma">
          <m:axisValue occRef="母公司"/>
        </m:item>
        <m:item xlName="_GBC_ee3913da35fc4cc0a4803d018427d4fa" concept="clcid-pte:JieKuanSuoShouDaoDeXianJin" label="借款所收到的现金" periodRef="上年同期数" mulRef="_GBC_993ead81b27a41dfaccaacfaec8b7c78" unitRef="_GBC_2dd4b706d0a244a4b4c21166025356cc" addr="T1R27C3S1_1" formatStyle="Comma">
          <m:axisValue occRef="母公司"/>
        </m:item>
        <m:placeholder xlName="_PLD_26d354b07ee94d2e97e821e5194c14a8" addr="T1R28C0S1_1"/>
        <m:item xlName="_GBC_e082ea2ff4b4477f89d336610d285411" concept="clcid-ci-ar:FuZhu_ShouDaoQiTaYuChouZiHuoDongYouGuanDeXianJin" label="附注_收到其他与筹资活动有关的现金" addr="T1R28C1S1_1">
          <m:axisValue occRef="母公司"/>
        </m:item>
        <m:item xlName="_GBC_248eb3d10403417ca512548e79b0d288" concept="clcid-pte:ShouDaoQiTaYuChouZiHuoDongYouGuanDeXianJin" label="收到其他与筹资活动有关的现金" mulRef="_GBC_993ead81b27a41dfaccaacfaec8b7c78" unitRef="_GBC_2dd4b706d0a244a4b4c21166025356cc" addr="T1R28C2S1_1" formatStyle="Comma">
          <m:axisValue occRef="母公司"/>
        </m:item>
        <m:item xlName="_GBC_cee347d47fca474898088ee2006e4e01" concept="clcid-pte:ShouDaoQiTaYuChouZiHuoDongYouGuanDeXianJin" label="收到其他与筹资活动有关的现金" periodRef="上年同期数" mulRef="_GBC_993ead81b27a41dfaccaacfaec8b7c78" unitRef="_GBC_2dd4b706d0a244a4b4c21166025356cc" addr="T1R28C3S1_1" formatStyle="Comma">
          <m:axisValue occRef="母公司"/>
        </m:item>
        <m:placeholder xlName="_PLD_63d48c10d6aa4cf680f8a0d28834aa5a" addr="T1R29C0S1_1"/>
        <m:item xlName="_GBC_8bb3aaeae25a4c5cae5f23946601b103" concept="clcid-ci-ar:FuZhu_ChouZiHuoDongXianJinLiuRuXiaoJi" label="附注_筹资活动现金流入小计" addr="T1R29C1S1_1">
          <m:axisValue occRef="母公司"/>
        </m:item>
        <m:item xlName="_GBC_12ec99af3bce498ebf31b7beb337a5a1" concept="clcid-pte:ChouZiHuoDongXianJinLiuRuXiaoJi" label="筹资活动现金流入小计" mulRef="_GBC_993ead81b27a41dfaccaacfaec8b7c78" unitRef="_GBC_2dd4b706d0a244a4b4c21166025356cc" addr="T1R29C2S1_1" formatStyle="Comma">
          <m:complexRule comparator="Eq" title="母公司筹资活动现金流入小计" test=" $_GBC_8c2a29b13f52428bb6d2f8bcc2daba75 +  $_GBC_03427afe59e7497e9617663c32554417 +  $_GBC_248eb3d10403417ca512548e79b0d288" id="C6b4e58ef0a3042ca98af6e79dc5a86b5"/>
          <m:axisValue occRef="母公司"/>
        </m:item>
        <m:item xlName="_GBC_35aa10c06cfe449493cd75d5ab2a1ff6" concept="clcid-pte:ChouZiHuoDongXianJinLiuRuXiaoJi" label="筹资活动现金流入小计" periodRef="上年同期数" mulRef="_GBC_993ead81b27a41dfaccaacfaec8b7c78" unitRef="_GBC_2dd4b706d0a244a4b4c21166025356cc" addr="T1R29C3S1_1" formatStyle="Comma">
          <m:complexRule comparator="Eq" title="母公司筹资活动现金流入小计@上年同期数" test=" $_GBC_aa532e22e70a4ad28f51c75716a5d6a6 +  $_GBC_ee3913da35fc4cc0a4803d018427d4fa +  $_GBC_cee347d47fca474898088ee2006e4e01" id="C3d17367810074a1aac45d8cb3b2c2cc7"/>
          <m:axisValue occRef="母公司"/>
        </m:item>
        <m:placeholder xlName="_PLD_8162d7f78ec54a5485f64b75ffbfce7d" addr="T1R30C0S1_1"/>
        <m:item xlName="_GBC_2689c7d483de41beaae032c93750fc10" concept="clcid-ci-ar:FuZhu_ChangHuanZhaiWuSuoZhiFuDeXianJin" label="附注_偿还债务所支付的现金" addr="T1R30C1S1_1">
          <m:axisValue occRef="母公司"/>
        </m:item>
        <m:item xlName="_GBC_9bfcb0bdfdd24835908dca9eed309bd6" concept="clcid-pte:ChangHuanZhaiWuSuoZhiFuDeXianJin" label="偿还债务所支付的现金" mulRef="_GBC_993ead81b27a41dfaccaacfaec8b7c78" unitRef="_GBC_2dd4b706d0a244a4b4c21166025356cc" addr="T1R30C2S1_1" baseScale="-1" formatStyle="Comma">
          <m:axisValue occRef="母公司"/>
        </m:item>
        <m:item xlName="_GBC_b00d0ee7e0014266a1a72627bed6d40e" concept="clcid-pte:ChangHuanZhaiWuSuoZhiFuDeXianJin" label="偿还债务所支付的现金" periodRef="上年同期数" mulRef="_GBC_993ead81b27a41dfaccaacfaec8b7c78" unitRef="_GBC_2dd4b706d0a244a4b4c21166025356cc" addr="T1R30C3S1_1" baseScale="-1" formatStyle="Comma">
          <m:axisValue occRef="母公司"/>
        </m:item>
        <m:placeholder xlName="_PLD_0b61ad2acef9490ba6b84477b3518635" addr="T1R31C0S1_1"/>
        <m:item xlName="_GBC_dab3fcdaeb194b018557556c3818ff4e" concept="clcid-ci-ar:FuZhu_FenPeiGuLiLiRunHuoChangFuLiXiSuoZhiFuDeXianJin" label="附注_分配股利利润或偿付利息所支付的现金" addr="T1R31C1S1_1">
          <m:axisValue occRef="母公司"/>
        </m:item>
        <m:item xlName="_GBC_b3e1175954804dcd8b270ed063c08c8d" concept="clcid-pte:FenPeiGuLiLiRunHuoChangFuLiXiSuoZhiFuDeXianJin" label="分配股利利润或偿付利息所支付的现金" mulRef="_GBC_993ead81b27a41dfaccaacfaec8b7c78" unitRef="_GBC_2dd4b706d0a244a4b4c21166025356cc" addr="T1R31C2S1_1" baseScale="-1" formatStyle="Comma">
          <m:axisValue occRef="母公司"/>
        </m:item>
        <m:item xlName="_GBC_88d62708f993446a91d2669ddc4ad7c2" concept="clcid-pte:FenPeiGuLiLiRunHuoChangFuLiXiSuoZhiFuDeXianJin" label="分配股利利润或偿付利息所支付的现金" periodRef="上年同期数" mulRef="_GBC_993ead81b27a41dfaccaacfaec8b7c78" unitRef="_GBC_2dd4b706d0a244a4b4c21166025356cc" addr="T1R31C3S1_1" baseScale="-1" formatStyle="Comma">
          <m:axisValue occRef="母公司"/>
        </m:item>
        <m:placeholder xlName="_PLD_871424c9704b4bd5aa50d3ae77d051a8" addr="T1R32C0S1_1"/>
        <m:item xlName="_GBC_fff1006cb2a24cc2a36d9f815df30e0a" concept="clcid-ci-ar:FuZhu_ZhiFuDeQiTaYuChouZiHuoDongYouGuanDeXianJin" label="附注_支付的其他与筹资活动有关的现金" addr="T1R32C1S1_1">
          <m:axisValue occRef="母公司"/>
        </m:item>
        <m:item xlName="_GBC_7fdd7db0fae24221808ea62ee16e2c35" concept="clcid-pte:ZhiFuDeQiTaYuChouZiHuoDongYouGuanDeXianJin" label="支付的其他与筹资活动有关的现金" mulRef="_GBC_993ead81b27a41dfaccaacfaec8b7c78" unitRef="_GBC_2dd4b706d0a244a4b4c21166025356cc" addr="T1R32C2S1_1" baseScale="-1" formatStyle="Comma">
          <m:axisValue occRef="母公司"/>
        </m:item>
        <m:item xlName="_GBC_00393008c8ac4672ac0b13ad50127fa2" concept="clcid-pte:ZhiFuDeQiTaYuChouZiHuoDongYouGuanDeXianJin" label="支付的其他与筹资活动有关的现金" periodRef="上年同期数" mulRef="_GBC_993ead81b27a41dfaccaacfaec8b7c78" unitRef="_GBC_2dd4b706d0a244a4b4c21166025356cc" addr="T1R32C3S1_1" baseScale="-1" formatStyle="Comma">
          <m:axisValue occRef="母公司"/>
        </m:item>
        <m:placeholder xlName="_PLD_9927c735ed5d4c919f65e1a111425aa6" addr="T1R33C0S1_1"/>
        <m:item xlName="_GBC_54d336b4f7af4491af85962afa245732" concept="clcid-ci-ar:FuZhu_ChouZiHuoDongXianJinLiuChuXiaoJi" label="附注_筹资活动现金流出小计" addr="T1R33C1S1_1">
          <m:axisValue occRef="母公司"/>
        </m:item>
        <m:item xlName="_GBC_c253002498cb41b3b10db29ab754ea5a" concept="clcid-pte:ChouZiHuoDongXianJinLiuChuXiaoJi" label="筹资活动现金流出小计" mulRef="_GBC_993ead81b27a41dfaccaacfaec8b7c78" unitRef="_GBC_2dd4b706d0a244a4b4c21166025356cc" addr="T1R33C2S1_1" baseScale="-1" formatStyle="Comma">
          <m:complexRule comparator="Eq" title="母公司筹资活动现金流出小计" test=" $_GBC_9bfcb0bdfdd24835908dca9eed309bd6 +  $_GBC_b3e1175954804dcd8b270ed063c08c8d +  $_GBC_7fdd7db0fae24221808ea62ee16e2c35" id="C2f8ea24323c3493286266247c1343c98"/>
          <m:axisValue occRef="母公司"/>
        </m:item>
        <m:item xlName="_GBC_b1b7dfccf2104614864b892f0ae1009a" concept="clcid-pte:ChouZiHuoDongXianJinLiuChuXiaoJi" label="筹资活动现金流出小计" periodRef="上年同期数" mulRef="_GBC_993ead81b27a41dfaccaacfaec8b7c78" unitRef="_GBC_2dd4b706d0a244a4b4c21166025356cc" addr="T1R33C3S1_1" baseScale="-1" formatStyle="Comma">
          <m:complexRule comparator="Eq" title="母公司筹资活动现金流出小计@上年同期数" test=" $_GBC_b00d0ee7e0014266a1a72627bed6d40e +  $_GBC_88d62708f993446a91d2669ddc4ad7c2 +  $_GBC_00393008c8ac4672ac0b13ad50127fa2" id="C5ab50dc71e274ff99f0e889d1c570f23"/>
          <m:axisValue occRef="母公司"/>
        </m:item>
        <m:placeholder xlName="_PLD_19be081a78e64a56ac141df3af5fc043" addr="T1R34C0S1_1"/>
        <m:item xlName="_GBC_afb1ad1b783045d5b60dac2689578773" concept="clcid-ci-ar:FuZhu_ChouZiHuoDongChanShengDeXianJinLiuLiangJingE" label="附注_筹资活动产生的现金流量净额" addr="T1R34C1S1_1">
          <m:axisValue occRef="母公司"/>
        </m:item>
        <m:item xlName="_GBC_089c47abcb964a2dab7bcad3c2fd96b3" concept="clcid-pte:ChouZiHuoDongChanShengDeXianJinLiuLiangJingE" label="筹资活动产生的现金流量净额" mulRef="_GBC_993ead81b27a41dfaccaacfaec8b7c78" unitRef="_GBC_2dd4b706d0a244a4b4c21166025356cc" addr="T1R34C2S1_1" formatStyle="Comma">
          <m:complexRule comparator="Eq" title="母公司筹资活动产生的现金流量净额" test=" $_GBC_12ec99af3bce498ebf31b7beb337a5a1 -  $_GBC_c253002498cb41b3b10db29ab754ea5a" id="Cb142c5d53a9e4bb7ac72adfc8bbf17ee"/>
          <m:axisValue occRef="母公司"/>
        </m:item>
        <m:item xlName="_GBC_062fe57dfb404c8c85753450aab72842" concept="clcid-pte:ChouZiHuoDongChanShengDeXianJinLiuLiangJingE" label="筹资活动产生的现金流量净额" periodRef="上年同期数" mulRef="_GBC_993ead81b27a41dfaccaacfaec8b7c78" unitRef="_GBC_2dd4b706d0a244a4b4c21166025356cc" addr="T1R34C3S1_1" formatStyle="Comma">
          <m:complexRule comparator="Eq" title="母公司筹资活动产生的现金流量净额@上年同期数" test=" $_GBC_35aa10c06cfe449493cd75d5ab2a1ff6 -  $_GBC_b1b7dfccf2104614864b892f0ae1009a" id="C23c86e91210c4c128cfef8a1aded651d"/>
          <m:axisValue occRef="母公司"/>
        </m:item>
        <m:placeholder xlName="_PLD_297da387d2e74132aff7cc22c8d8bb95" addr="T1R35C0S1_1"/>
        <m:item xlName="_GBC_8055898274bc41e389b29005757af425" concept="clcid-ci-ar:FuZhu_HuiLvBianDongDuiXianJinDeYingXiang" label="附注_汇率变动对现金的影响" addr="T1R35C1S1_1">
          <m:axisValue occRef="母公司"/>
        </m:item>
        <m:item xlName="_GBC_3e684e6e0bf74ea48f8035ac6e640705" concept="clcid-pte:HuiLvBianDongDuiXianJinDeYingXiang" label="汇率变动对现金的影响" mulRef="_GBC_993ead81b27a41dfaccaacfaec8b7c78" unitRef="_GBC_2dd4b706d0a244a4b4c21166025356cc" addr="T1R35C2S1_1" formatStyle="Comma">
          <m:axisValue occRef="母公司"/>
        </m:item>
        <m:item xlName="_GBC_d83cc05cb6a34da39649454459208577" concept="clcid-pte:HuiLvBianDongDuiXianJinDeYingXiang" label="汇率变动对现金的影响" periodRef="上年同期数" mulRef="_GBC_993ead81b27a41dfaccaacfaec8b7c78" unitRef="_GBC_2dd4b706d0a244a4b4c21166025356cc" addr="T1R35C3S1_1" formatStyle="Comma">
          <m:axisValue occRef="母公司"/>
        </m:item>
        <m:placeholder xlName="_PLD_088346aec88c4c41a0051140dc375359" addr="T1R36C0S1_1"/>
        <m:item xlName="_GBC_9995710225b048dfab50fb83fddc3514" concept="clcid-ci-ar:FuZhu_XianJinJiXianJinDengJiaWuJingZengJiaE" label="附注_现金及现金等价物净增加额" addr="T1R36C1S1_1">
          <m:axisValue occRef="母公司"/>
        </m:item>
        <m:item xlName="_GBC_1c65486ea24b426a972bd3a58288b201" concept="clcid-pte:XianJinJiXianJinDengJiaWuJingZengJiaE" label="现金及现金等价物净增加额" mulRef="_GBC_993ead81b27a41dfaccaacfaec8b7c78" unitRef="_GBC_2dd4b706d0a244a4b4c21166025356cc" addr="T1R36C2S1_1" formatStyle="Comma">
          <m:complexRule comparator="Eq" title="母公司现金及现金等价物净增加额" test=" $_GBC_20d8f7ded63a41279ec7f8c5fdc18646 +  $_GBC_0d20bf545cad44cab7b6928d6d7a4c80 +  $_GBC_089c47abcb964a2dab7bcad3c2fd96b3 +  $_GBC_3e684e6e0bf74ea48f8035ac6e640705" id="Ccfbc4c3d8c03463a977832476f3046ce"/>
          <m:axisValue occRef="母公司"/>
        </m:item>
        <m:item xlName="_GBC_49ee0409da944494a286abf3a6848fda" concept="clcid-pte:XianJinJiXianJinDengJiaWuJingZengJiaE" label="现金及现金等价物净增加额" periodRef="上年同期数" mulRef="_GBC_993ead81b27a41dfaccaacfaec8b7c78" unitRef="_GBC_2dd4b706d0a244a4b4c21166025356cc" addr="T1R36C3S1_1" formatStyle="Comma">
          <m:complexRule comparator="Eq" title="母公司现金及现金等价物净增加额@上年同期数" test=" $_GBC_5437febad15c48e9b066717371d5de4e +  $_GBC_f37b6bcc35c6497d932d832f6fc2f52b +  $_GBC_062fe57dfb404c8c85753450aab72842 +  $_GBC_d83cc05cb6a34da39649454459208577" id="C47a5ce65caae4869a1c349555be05e87"/>
          <m:axisValue occRef="母公司"/>
        </m:item>
        <m:placeholder xlName="_PLD_782deef70bc446e795d750d3d14aefbe" addr="T1R37C0S1_1"/>
        <m:item xlName="_GBC_3c3fbfe56bd5428789190bbf99994253" concept="clcid-ci-ar:FuZhu_XianJinJiXianJinDengJiaWuYuE" label="附注_现金及现金等价物余额" periodRef="本期期初数" addr="T1R37C1S1_1">
          <m:axisValue occRef="母公司"/>
        </m:item>
        <m:item xlName="_GBC_7f2ecdbc348e467988790f3a0b9b1c29" concept="clcid-pte:XianJinJiXianJinDengJiaWuYuE" label="现金及现金等价物余额" periodRef="本期期初数" mulRef="_GBC_993ead81b27a41dfaccaacfaec8b7c78" unitRef="_GBC_2dd4b706d0a244a4b4c21166025356cc" addr="T1R37C2S1_1" formatStyle="Comma">
          <m:axisValue occRef="母公司"/>
        </m:item>
        <m:item xlName="_GBC_063b638cba2e4cb59252dfdf7fa50e0d" concept="clcid-pte:XianJinJiXianJinDengJiaWuYuE" label="现金及现金等价物余额" periodRef="上年同期期初数" mulRef="_GBC_993ead81b27a41dfaccaacfaec8b7c78" unitRef="_GBC_2dd4b706d0a244a4b4c21166025356cc" addr="T1R37C3S1_1" formatStyle="Comma">
          <m:axisValue occRef="母公司"/>
        </m:item>
        <m:placeholder xlName="_PLD_ec70667dbbb64ee5a6d36588cda942f9" addr="T1R38C0S1_1"/>
        <m:item xlName="_GBC_9909fb4160874c099759cb9e56b31795" concept="clcid-ci-ar:FuZhu_XianJinJiXianJinDengJiaWuYuE" label="附注_现金及现金等价物余额" addr="T1R38C1S1_1">
          <m:axisValue occRef="母公司"/>
        </m:item>
        <m:item xlName="_GBC_969a6f5cc9b04a55ae86787f68b00715" concept="clcid-pte:XianJinJiXianJinDengJiaWuYuE" label="现金及现金等价物余额" mulRef="_GBC_993ead81b27a41dfaccaacfaec8b7c78" unitRef="_GBC_2dd4b706d0a244a4b4c21166025356cc" addr="T1R38C2S1_1" formatStyle="Comma">
          <m:complexRule comparator="Eq" title="母公司现金及现金等价物余额" test=" $_GBC_1c65486ea24b426a972bd3a58288b201 +  $_GBC_7f2ecdbc348e467988790f3a0b9b1c29" id="C400756cef1804cd5ad1eff269a399ee6"/>
          <m:axisValue occRef="母公司"/>
        </m:item>
        <m:item xlName="_GBC_02e7eff10f73480b8931c11e3dae8379" concept="clcid-pte:XianJinJiXianJinDengJiaWuYuE" label="现金及现金等价物余额" periodRef="上年同期期末数" mulRef="_GBC_993ead81b27a41dfaccaacfaec8b7c78" unitRef="_GBC_2dd4b706d0a244a4b4c21166025356cc" addr="T1R38C3S1_1" formatStyle="Comma">
          <m:complexRule comparator="Eq" title="母公司现金及现金等价物余额@上年同期期末数" test=" $_GBC_49ee0409da944494a286abf3a6848fda +  $_GBC_063b638cba2e4cb59252dfdf7fa50e0d" id="C317c6d67357540158f39c641d43dda1f"/>
          <m:axisValue occRef="母公司"/>
        </m:item>
        <m:item xlName="_GBC_b872f4b10a12453987b2d73dfe2a5ff9" concept="clcid-mr:GongSiFuZeRenXingMing" label="公司负责人姓名" binding="true"/>
        <m:item xlName="_GBC_29443dd8858043c68f8217b05d1e3346" concept="clcid-mr:ZhuGuanKuaiJiGongZuoFuZeRenXingMing" label="主管会计工作负责人姓名" binding="true"/>
        <m:item xlName="_GBC_952065710c0f41709539d877935c1903" concept="clcid-mr:KuaiJiJiGouFuZeRenXingMing" label="会计机构负责人姓名" binding="true"/>
        <m:rowModel locationConcept="clcid-ci-ar:ZiDingYiKeMuWeiZhi" labelConcept="clcid-ci-ar:ZiDingYiKeMuMingCheng" conceptPrefix="母公司现金流量表" presentationRole="http://www.xbrl-cn.org/cn/lcid/lr/role/CashFlowsStatementforCommercialandIndustrialCompanies" presentationParentConcept="clcid-pte:XianJinLiuLiangBiao" tuplePrefix="项目"/>
      </m:region>
    </m:section>
    <m:section xlName="_GBC_de8d3cfcf111414a940cf01324ef9389" title="无需编制合并报表" checkKey="!合并" helpId="112001001" primarySection="_GBC_d6533048a32749eaa7738390457b7f24" optionText="无需编制合并报表" optionGroupTitle="是否需要合并报表" optionTargetConcept="clcid-ci-ar:ShiFouXuYaoHeBingBaoBiao" optionTargetConceptValue="false" keyAction="57">
      <m:item xlName="_GBC_72a5fd28efa142459207d964e7abe8be" concept="clcid-ci-ar:DanWeiMuGongSiXianJinLiuLiangBiao" label="单位：母公司现金流量表" selectOptions="_buildInScales" controlType="Combobox" cellType="Scale"/>
      <m:item xlName="_GBC_7e7d8c5ee26d4ee886fa73f729cc8f8d" concept="clcid-ci-ar:BiZhongMuGongSiXianJinLiuLiangBiao" label="币种：母公司现金流量表" selectOptions="_buildInISO4217" controlType="Combobox" cellType="Measure"/>
      <m:placeholder xlName="_PLD_582279cbdaae4511a910f48f9e3dffa3" addr="T0R0C0S1_1"/>
      <m:placeholder xlName="_PLD_4014aed37d9d46cca4d66ef80014e8b7" addr="T0R0C1S1_1"/>
      <m:placeholder xlName="_PLD_d6ece740e8844ecdb51ff56d7f7ef2cd" addr="T0R0C2S1_1"/>
      <m:placeholder xlName="_PLD_1901f018b5294ca78c0b455e031d6731" addr="T0R0C3S1_1"/>
      <m:placeholder xlName="_PLD_d28755f4a0b44158a4a55fc1b01b3765" addr="T0R1C0S1_1"/>
      <m:placeholder xlName="_PLD_97f6445b38fe4e84bfb6923114bfadd9" addr="T0R2C0S1_1"/>
      <m:item xlName="_GBC_3a1b2dcd4eab47eb994323f3ac11a3f0" concept="clcid-ci-ar:FuZhu_XiaoShouShangPinTiGongLaoWuShouDaoDeXianJin" label="附注_销售商品提供劳务收到的现金" addr="T0R2C1S1_1"/>
      <m:item xlName="_GBC_1b70b3c1d618465e9bf933d03ac07122" concept="clcid-pte:XiaoShouShangPinTiGongLaoWuShouDaoDeXianJin" label="销售商品提供劳务收到的现金" mulRef="_GBC_72a5fd28efa142459207d964e7abe8be" unitRef="_GBC_7e7d8c5ee26d4ee886fa73f729cc8f8d" addr="T0R2C2S1_1" formatStyle="Comma"/>
      <m:item xlName="_GBC_4eaa16449e7c4591bbdc6a3440e02492" concept="clcid-pte:XiaoShouShangPinTiGongLaoWuShouDaoDeXianJin" label="销售商品提供劳务收到的现金" periodRef="上年同期数" mulRef="_GBC_72a5fd28efa142459207d964e7abe8be" unitRef="_GBC_7e7d8c5ee26d4ee886fa73f729cc8f8d" addr="T0R2C3S1_1" formatStyle="Comma"/>
      <m:placeholder xlName="_PLD_2d1c334884a64b22bfca56fcbfd287b1" addr="T0R3C0S1_1"/>
      <m:item xlName="_GBC_f771fd1bf8ca4c76930a4a10368d5b24" concept="clcid-ci-ar:FuZhu_ShouDaoDeShuiFeiFanHuan" label="附注_收到的税费返还" addr="T0R3C1S1_1"/>
      <m:item xlName="_GBC_5de61d793e03440fbbb20ab8589a3fe4" concept="clcid-pte:ShouDaoDeShuiFeiFanHuan" label="收到的税费返还" mulRef="_GBC_72a5fd28efa142459207d964e7abe8be" unitRef="_GBC_7e7d8c5ee26d4ee886fa73f729cc8f8d" addr="T0R3C2S1_1" formatStyle="Comma"/>
      <m:item xlName="_GBC_c4daf7b1db2a48eb99d4fb786b376ca8" concept="clcid-pte:ShouDaoDeShuiFeiFanHuan" label="收到的税费返还" periodRef="上年同期数" mulRef="_GBC_72a5fd28efa142459207d964e7abe8be" unitRef="_GBC_7e7d8c5ee26d4ee886fa73f729cc8f8d" addr="T0R3C3S1_1" formatStyle="Comma"/>
      <m:placeholder xlName="_PLD_c83dcb52974b4ad3b497e5d78da2a42b" addr="T0R4C0S1_1"/>
      <m:item xlName="_GBC_2dba4b40527b4ff78474822d565df42d" concept="clcid-ci-ar:FuZhu_ShouDaoDeQiTaYuJingYingHuoDongYouGuanDeXianJin" label="附注_收到的其他与经营活动有关的现金" addr="T0R4C1S1_1"/>
      <m:item xlName="_GBC_f501a984886d49dcb2cc3e921b543204" concept="clcid-pte:ShouDaoDeQiTaYuJingYingHuoDongYouGuanDeXianJin" label="收到的其他与经营活动有关的现金" mulRef="_GBC_72a5fd28efa142459207d964e7abe8be" unitRef="_GBC_7e7d8c5ee26d4ee886fa73f729cc8f8d" addr="T0R4C2S1_1" formatStyle="Comma"/>
      <m:item xlName="_GBC_2c21aa08a1e7476f9b35c66dfbed36de" concept="clcid-pte:ShouDaoDeQiTaYuJingYingHuoDongYouGuanDeXianJin" label="收到的其他与经营活动有关的现金" periodRef="上年同期数" mulRef="_GBC_72a5fd28efa142459207d964e7abe8be" unitRef="_GBC_7e7d8c5ee26d4ee886fa73f729cc8f8d" addr="T0R4C3S1_1" formatStyle="Comma"/>
      <m:placeholder xlName="_PLD_9b23dad44723489cbb7787e39753be7c" addr="T0R5C0S1_1"/>
      <m:item xlName="_GBC_1c2b886a90484cb9933c62fd6a4c51a9" concept="clcid-ci-ar:FuZhu_JingYingHuoDongXianJinLiuRuXiaoJi" label="附注_经营活动现金流入小计" addr="T0R5C1S1_1"/>
      <m:item xlName="_GBC_3aff201d39af4049b5120d333c5b5159" concept="clcid-pte:JingYingHuoDongXianJinLiuRuXiaoJi" label="经营活动现金流入小计" mulRef="_GBC_72a5fd28efa142459207d964e7abe8be" unitRef="_GBC_7e7d8c5ee26d4ee886fa73f729cc8f8d" addr="T0R5C2S1_1" formatStyle="Comma">
        <m:complexRule comparator="Eq" title="经营活动现金流入小计" test=" $_GBC_1b70b3c1d618465e9bf933d03ac07122 +  $_GBC_5de61d793e03440fbbb20ab8589a3fe4 +  $_GBC_f501a984886d49dcb2cc3e921b543204" id="C092bf20fa8b04dacb6c41c18bed4db02" radius="0.0001"/>
      </m:item>
      <m:item xlName="_GBC_6094279fa58544c6825cf406fc4b6282" concept="clcid-pte:JingYingHuoDongXianJinLiuRuXiaoJi" label="经营活动现金流入小计" periodRef="上年同期数" mulRef="_GBC_72a5fd28efa142459207d964e7abe8be" unitRef="_GBC_7e7d8c5ee26d4ee886fa73f729cc8f8d" addr="T0R5C3S1_1" formatStyle="Comma">
        <m:complexRule comparator="Eq" title="经营活动现金流入小计@上年同期数" test=" $_GBC_4eaa16449e7c4591bbdc6a3440e02492 +  $_GBC_c4daf7b1db2a48eb99d4fb786b376ca8 +  $_GBC_2c21aa08a1e7476f9b35c66dfbed36de" id="C9a90ffeb4d324292b4bbbfba980bf8b5" radius="0.0001"/>
      </m:item>
      <m:placeholder xlName="_PLD_24553cad381d48c09e0f2d5a3849a8cd" addr="T0R6C0S1_1"/>
      <m:item xlName="_GBC_1694cb1fb84c4b0eb8aa437a6fd2ca18" concept="clcid-ci-ar:FuZhu_GouMaiShangPinJieShouLaoWuZhiFuDeXianJin" label="附注_购买商品接受劳务支付的现金" addr="T0R6C1S1_1"/>
      <m:item xlName="_GBC_76e8288b0d0b48068ffc3b6c84ee624f" concept="clcid-pte:GouMaiShangPinJieShouLaoWuZhiFuDeXianJin" label="购买商品接受劳务支付的现金" mulRef="_GBC_72a5fd28efa142459207d964e7abe8be" unitRef="_GBC_7e7d8c5ee26d4ee886fa73f729cc8f8d" addr="T0R6C2S1_1" baseScale="-1" formatStyle="Comma"/>
      <m:item xlName="_GBC_2ce48ac55e06401ea348d6c813339a56" concept="clcid-pte:GouMaiShangPinJieShouLaoWuZhiFuDeXianJin" label="购买商品接受劳务支付的现金" periodRef="上年同期数" mulRef="_GBC_72a5fd28efa142459207d964e7abe8be" unitRef="_GBC_7e7d8c5ee26d4ee886fa73f729cc8f8d" addr="T0R6C3S1_1" baseScale="-1" formatStyle="Comma"/>
      <m:placeholder xlName="_PLD_2dce4b735147432e9a23049f9ed2ac6e" addr="T0R7C0S1_1"/>
      <m:item xlName="_GBC_e0e1a1bebac543dfa88c049f4323fda5" concept="clcid-ci-ar:FuZhu_ZhiFuGeiZhiGongYiJiWeiZhiGongZhiFuDeXianJin" label="附注_支付给职工以及为职工支付的现金" addr="T0R7C1S1_1"/>
      <m:item xlName="_GBC_1c316ce3ecf0478aafa72e8fc8643140" concept="clcid-pte:ZhiFuGeiZhiGongYiJiWeiZhiGongZhiFuDeXianJin" label="支付给职工以及为职工支付的现金" mulRef="_GBC_72a5fd28efa142459207d964e7abe8be" unitRef="_GBC_7e7d8c5ee26d4ee886fa73f729cc8f8d" addr="T0R7C2S1_1" baseScale="-1" formatStyle="Comma"/>
      <m:item xlName="_GBC_9ba9343e8ca9455e98058beb60f57fb0" concept="clcid-pte:ZhiFuGeiZhiGongYiJiWeiZhiGongZhiFuDeXianJin" label="支付给职工以及为职工支付的现金" periodRef="上年同期数" mulRef="_GBC_72a5fd28efa142459207d964e7abe8be" unitRef="_GBC_7e7d8c5ee26d4ee886fa73f729cc8f8d" addr="T0R7C3S1_1" baseScale="-1" formatStyle="Comma"/>
      <m:placeholder xlName="_PLD_a0208822de284354a6e95edb4e83b4fd" addr="T0R8C0S1_1"/>
      <m:item xlName="_GBC_611dcfc432c6467aa87b1a9715ef3a47" concept="clcid-ci-ar:FuZhu_ZhiFuDeGeXiangShuiFei" label="附注_支付的各项税费" addr="T0R8C1S1_1"/>
      <m:item xlName="_GBC_b3b2db08ac2e459ea46162c9dc6157d0" concept="clcid-pte:ZhiFuDeGeXiangShuiFei" label="支付的各项税费" mulRef="_GBC_72a5fd28efa142459207d964e7abe8be" unitRef="_GBC_7e7d8c5ee26d4ee886fa73f729cc8f8d" addr="T0R8C2S1_1" baseScale="-1" formatStyle="Comma"/>
      <m:item xlName="_GBC_e5c17189b64c4f438832b3af5c166e79" concept="clcid-pte:ZhiFuDeGeXiangShuiFei" label="支付的各项税费" periodRef="上年同期数" mulRef="_GBC_72a5fd28efa142459207d964e7abe8be" unitRef="_GBC_7e7d8c5ee26d4ee886fa73f729cc8f8d" addr="T0R8C3S1_1" baseScale="-1" formatStyle="Comma"/>
      <m:placeholder xlName="_PLD_42147e8896974d0f8d3cdacf2e9da3c3" addr="T0R9C0S1_1"/>
      <m:item xlName="_GBC_e9c2d460b4d6458389851b5bee33f36a" concept="clcid-ci-ar:FuZhu_ZhiFuDeQiTaYuJingYingHuoDongYouGuanDeXianJin" label="附注_支付的其他与经营活动有关的现金" addr="T0R9C1S1_1"/>
      <m:item xlName="_GBC_ffe0f3db9e0648f28cc834c46a18b95e" concept="clcid-pte:ZhiFuDeQiTaYuJingYingHuoDongYouGuanDeXianJin" label="支付的其他与经营活动有关的现金" mulRef="_GBC_72a5fd28efa142459207d964e7abe8be" unitRef="_GBC_7e7d8c5ee26d4ee886fa73f729cc8f8d" addr="T0R9C2S1_1" baseScale="-1" formatStyle="Comma"/>
      <m:item xlName="_GBC_69b2771c888043f88806697b64d60c24" concept="clcid-pte:ZhiFuDeQiTaYuJingYingHuoDongYouGuanDeXianJin" label="支付的其他与经营活动有关的现金" periodRef="上年同期数" mulRef="_GBC_72a5fd28efa142459207d964e7abe8be" unitRef="_GBC_7e7d8c5ee26d4ee886fa73f729cc8f8d" addr="T0R9C3S1_1" baseScale="-1" formatStyle="Comma"/>
      <m:placeholder xlName="_PLD_0fc91d68653d4c0884518659b433f5eb" addr="T0R10C0S1_1"/>
      <m:item xlName="_GBC_26e349df7a5043df91deedc08445e821" concept="clcid-ci-ar:FuZhu_JingYingHuoDongXianJinLiuChuXiaoJi" label="附注_经营活动现金流出小计" addr="T0R10C1S1_1"/>
      <m:item xlName="_GBC_b530f46f8ee94449aef78a5c72c2cbf5" concept="clcid-pte:JingYingHuoDongXianJinLiuChuXiaoJi" label="经营活动现金流出小计" mulRef="_GBC_72a5fd28efa142459207d964e7abe8be" unitRef="_GBC_7e7d8c5ee26d4ee886fa73f729cc8f8d" addr="T0R10C2S1_1" baseScale="-1" formatStyle="Comma">
        <m:complexRule comparator="Eq" title="经营活动现金流出小计" test=" $_GBC_76e8288b0d0b48068ffc3b6c84ee624f +  $_GBC_1c316ce3ecf0478aafa72e8fc8643140 +  $_GBC_b3b2db08ac2e459ea46162c9dc6157d0 +  $_GBC_ffe0f3db9e0648f28cc834c46a18b95e" id="Cb3de4845eedf4c8286985121437ca255" radius="0.0001"/>
      </m:item>
      <m:item xlName="_GBC_b23d50c6f9994ba28c6ff8c996977da0" concept="clcid-pte:JingYingHuoDongXianJinLiuChuXiaoJi" label="经营活动现金流出小计" periodRef="上年同期数" mulRef="_GBC_72a5fd28efa142459207d964e7abe8be" unitRef="_GBC_7e7d8c5ee26d4ee886fa73f729cc8f8d" addr="T0R10C3S1_1" baseScale="-1" formatStyle="Comma">
        <m:complexRule comparator="Eq" title="经营活动现金流出小计@上年同期数" test=" $_GBC_2ce48ac55e06401ea348d6c813339a56 +  $_GBC_9ba9343e8ca9455e98058beb60f57fb0 +  $_GBC_e5c17189b64c4f438832b3af5c166e79 +  $_GBC_69b2771c888043f88806697b64d60c24" id="C7629def2098b4ec0990b49764cd09c3a" radius="0.0001"/>
      </m:item>
      <m:placeholder xlName="_PLD_dafe981259d241a3a8630ec654d2fa40" addr="T0R11C0S1_1"/>
      <m:item xlName="_GBC_50d3589d66564e02b56d61f307d127b9" concept="clcid-ci-ar:FuZhu_JingYingHuoDongXianJinLiuLiangJingE" label="附注_经营活动现金流量净额" addr="T0R11C1S1_1"/>
      <m:item xlName="_GBC_be61c1f84b7d4ef493ba7eb40c0a738f" concept="clcid-pte:JingYingHuoDongXianJinLiuLiangJingE" label="经营活动现金流量净额" mulRef="_GBC_72a5fd28efa142459207d964e7abe8be" unitRef="_GBC_7e7d8c5ee26d4ee886fa73f729cc8f8d" addr="T0R11C2S1_1" formatStyle="Comma">
        <m:complexRule comparator="Eq" title="经营活动现金流量净额" test=" $_GBC_3aff201d39af4049b5120d333c5b5159 -  $_GBC_b530f46f8ee94449aef78a5c72c2cbf5" id="C6e66175597564898b46ac8a180c23dfa" radius="0.0001"/>
      </m:item>
      <m:item xlName="_GBC_80755df3e41b4045bbe32eb72e37355b" concept="clcid-pte:JingYingHuoDongXianJinLiuLiangJingE" label="经营活动现金流量净额" periodRef="上年同期数" mulRef="_GBC_72a5fd28efa142459207d964e7abe8be" unitRef="_GBC_7e7d8c5ee26d4ee886fa73f729cc8f8d" addr="T0R11C3S1_1" formatStyle="Comma">
        <m:complexRule comparator="Eq" title="经营活动现金流量净额@上年同期数" test=" $_GBC_6094279fa58544c6825cf406fc4b6282 -  $_GBC_b23d50c6f9994ba28c6ff8c996977da0" id="C3053a523e70d4d21bfd7b4aed94a1908" radius="0.0001"/>
      </m:item>
      <m:placeholder xlName="_PLD_b65f34da66e9479188f99629e36111a7" addr="T0R12C0S1_1"/>
      <m:placeholder xlName="_PLD_21aec0576a234d79bb9d774d3bb7f015" addr="T0R13C0S1_1"/>
      <m:item xlName="_GBC_7f9d38959f05467c9add119ea6f5488c" concept="clcid-ci-ar:FuZhu_ShouHuiTouZiSuoShouDaoDeXianJin" label="附注_收回投资所收到的现金" addr="T0R13C1S1_1"/>
      <m:item xlName="_GBC_8ee57aa45e4a48e8b0f192a358163a1a" concept="clcid-pte:ShouHuiTouZiSuoShouDaoDeXianJin" label="收回投资所收到的现金" mulRef="_GBC_72a5fd28efa142459207d964e7abe8be" unitRef="_GBC_7e7d8c5ee26d4ee886fa73f729cc8f8d" addr="T0R13C2S1_1" formatStyle="Comma"/>
      <m:item xlName="_GBC_c463a92bd9384548b3b9e8793e693b32" concept="clcid-pte:ShouHuiTouZiSuoShouDaoDeXianJin" label="收回投资所收到的现金" periodRef="上年同期数" mulRef="_GBC_72a5fd28efa142459207d964e7abe8be" unitRef="_GBC_7e7d8c5ee26d4ee886fa73f729cc8f8d" addr="T0R13C3S1_1" formatStyle="Comma"/>
      <m:placeholder xlName="_PLD_576d55ead546486786e72ff8e08d9869" addr="T0R14C0S1_1"/>
      <m:item xlName="_GBC_2a62198708d64fe786aa1137be969f05" concept="clcid-ci-ar:FuZhu_QuDeTouZiShouYiSuoShouDaoDeXianJin" label="附注_取得投资收益所收到的现金" addr="T0R14C1S1_1"/>
      <m:item xlName="_GBC_408e5fed25324d3a9bc2ed6872f61783" concept="clcid-pte:QuDeTouZiShouYiSuoShouDaoDeXianJin" label="取得投资收益所收到的现金" mulRef="_GBC_72a5fd28efa142459207d964e7abe8be" unitRef="_GBC_7e7d8c5ee26d4ee886fa73f729cc8f8d" addr="T0R14C2S1_1" formatStyle="Comma"/>
      <m:item xlName="_GBC_096bdb98741d470a9dd27179767e4d9b" concept="clcid-pte:QuDeTouZiShouYiSuoShouDaoDeXianJin" label="取得投资收益所收到的现金" periodRef="上年同期数" mulRef="_GBC_72a5fd28efa142459207d964e7abe8be" unitRef="_GBC_7e7d8c5ee26d4ee886fa73f729cc8f8d" addr="T0R14C3S1_1" formatStyle="Comma"/>
      <m:placeholder xlName="_PLD_642655cce6184d7ba734ec64e50b938b" addr="T0R15C0S1_1"/>
      <m:item xlName="_GBC_40083d78cd3d4df1a7d05eeebff6ebf0" concept="clcid-ci-ar:FuZhu_ChuZhiGuDingZiChanWuXingZiChanHeQiTaChangQiZiChanErShouHuiDeXianJin" label="附注_处置固定资产无形资产和其他长期资产而收回的现金" addr="T0R15C1S1_1"/>
      <m:item xlName="_GBC_72c4887db71e4b748081fbcd60bf2920" concept="clcid-pte:ChuZhiGuDingZiChanWuXingZiChanHeQiTaChangQiZiChanErShouHuiDeXianJin" label="处置固定资产、无形资产和其他长期资产而收回的现金" mulRef="_GBC_72a5fd28efa142459207d964e7abe8be" unitRef="_GBC_7e7d8c5ee26d4ee886fa73f729cc8f8d" addr="T0R15C2S1_1" formatStyle="Comma"/>
      <m:item xlName="_GBC_97f53e119f9a428dba1fcabdd7018731" concept="clcid-pte:ChuZhiGuDingZiChanWuXingZiChanHeQiTaChangQiZiChanErShouHuiDeXianJin" label="处置固定资产、无形资产和其他长期资产而收回的现金" periodRef="上年同期数" mulRef="_GBC_72a5fd28efa142459207d964e7abe8be" unitRef="_GBC_7e7d8c5ee26d4ee886fa73f729cc8f8d" addr="T0R15C3S1_1" formatStyle="Comma"/>
      <m:placeholder xlName="_PLD_72141d22dcec4159838e8163a779b221" addr="T0R16C0S1_1"/>
      <m:item xlName="_GBC_6be80551c4074418b5498ea0b29cc898" concept="clcid-ci-ar:FuZhu_ShouHuiTouZiSuoShouDaoDeXianJinZhongDeChuShouZiGongSiShouDaoDeXianJin" label="附注_收回投资所收到的现金中的出售子公司收到的现金" addr="T0R16C1S1_1"/>
      <m:item xlName="_GBC_bc040773fa384b27b9ad607f944614ac" concept="clcid-pte:ShouHuiTouZiSuoShouDaoDeXianJinZhongDeChuShouZiGongSiShouDaoDeXianJin" label="收回投资所收到的现金中的出售子公司收到的现金" mulRef="_GBC_72a5fd28efa142459207d964e7abe8be" unitRef="_GBC_7e7d8c5ee26d4ee886fa73f729cc8f8d" addr="T0R16C2S1_1" formatStyle="Comma"/>
      <m:item xlName="_GBC_d2fbffd3bc024663948bbce1c8655332" concept="clcid-pte:ShouHuiTouZiSuoShouDaoDeXianJinZhongDeChuShouZiGongSiShouDaoDeXianJin" label="收回投资所收到的现金中的出售子公司收到的现金" periodRef="上年同期数" mulRef="_GBC_72a5fd28efa142459207d964e7abe8be" unitRef="_GBC_7e7d8c5ee26d4ee886fa73f729cc8f8d" addr="T0R16C3S1_1" formatStyle="Comma"/>
      <m:placeholder xlName="_PLD_cb60df5bc16e490dbecbc6a592794e35" addr="T0R17C0S1_1"/>
      <m:item xlName="_GBC_aa0361137edd4a14a3054734b257303b" concept="clcid-ci-ar:FuZhu_ShouDaoDeQiTaYuTouZiHuoDongYouGuanDeXianJin" label="附注_收到的其他与投资活动有关的现金" addr="T0R17C1S1_1"/>
      <m:item xlName="_GBC_18cdcd6e8b5743d79321b890bbfbefc6" concept="clcid-pte:ShouDaoDeQiTaYuTouZiHuoDongYouGuanDeXianJin" label="收到的其他与投资活动有关的现金" mulRef="_GBC_72a5fd28efa142459207d964e7abe8be" unitRef="_GBC_7e7d8c5ee26d4ee886fa73f729cc8f8d" addr="T0R17C2S1_1" formatStyle="Comma"/>
      <m:item xlName="_GBC_7269ab800c4749b88e8d1255ca3db640" concept="clcid-pte:ShouDaoDeQiTaYuTouZiHuoDongYouGuanDeXianJin" label="收到的其他与投资活动有关的现金" periodRef="上年同期数" mulRef="_GBC_72a5fd28efa142459207d964e7abe8be" unitRef="_GBC_7e7d8c5ee26d4ee886fa73f729cc8f8d" addr="T0R17C3S1_1" formatStyle="Comma"/>
      <m:placeholder xlName="_PLD_8cc1d0ac5e464467b68487845419aff4" addr="T0R18C0S1_1"/>
      <m:item xlName="_GBC_036acb994e9d4ce09065aa842fcc7f91" concept="clcid-ci-ar:FuZhu_TouZiHuoDongXianJinLiuRuXiaoJi" label="附注_投资活动现金流入小计" addr="T0R18C1S1_1"/>
      <m:item xlName="_GBC_f55585a046704c768fdec935ce6df939" concept="clcid-pte:TouZiHuoDongXianJinLiuRuXiaoJi" label="投资活动现金流入小计" mulRef="_GBC_72a5fd28efa142459207d964e7abe8be" unitRef="_GBC_7e7d8c5ee26d4ee886fa73f729cc8f8d" addr="T0R18C2S1_1" formatStyle="Comma">
        <m:complexRule comparator="Eq" title="投资活动现金流入小计" test=" $_GBC_8ee57aa45e4a48e8b0f192a358163a1a +  $_GBC_408e5fed25324d3a9bc2ed6872f61783 +  $_GBC_72c4887db71e4b748081fbcd60bf2920 +  $_GBC_bc040773fa384b27b9ad607f944614ac +  $_GBC_18cdcd6e8b5743d79321b890bbfbefc6" id="Cac48011766804a56a12ca561669d6288" radius="0.0001"/>
      </m:item>
      <m:item xlName="_GBC_01d4506b3d644c1eba43d65b70556f46" concept="clcid-pte:TouZiHuoDongXianJinLiuRuXiaoJi" label="投资活动现金流入小计" periodRef="上年同期数" mulRef="_GBC_72a5fd28efa142459207d964e7abe8be" unitRef="_GBC_7e7d8c5ee26d4ee886fa73f729cc8f8d" addr="T0R18C3S1_1" formatStyle="Comma">
        <m:complexRule comparator="Eq" title="投资活动现金流入小计@上年同期数" test=" $_GBC_c463a92bd9384548b3b9e8793e693b32 +  $_GBC_096bdb98741d470a9dd27179767e4d9b +  $_GBC_97f53e119f9a428dba1fcabdd7018731 +  $_GBC_d2fbffd3bc024663948bbce1c8655332 +  $_GBC_7269ab800c4749b88e8d1255ca3db640" id="C7d8f39003c6b428d9ef261f0b066d683" radius="0.0001"/>
      </m:item>
      <m:placeholder xlName="_PLD_99a466adfeb34e39876eb9fa2eec52c3" addr="T0R19C0S1_1"/>
      <m:item xlName="_GBC_8f5882f106f14156ba046cb0480bbb0a" concept="clcid-ci-ar:FuZhu_GouJianGuDingZiChanWuXingZiChanHeQiTaChangQiZiChanSuoZhiFuDeXianJin" label="附注_购建固定资产无形资产和其他长期资产所支付的现金" addr="T0R19C1S1_1"/>
      <m:item xlName="_GBC_ae3d9eb25adf4305bdd8f9a0cdd7d17a" concept="clcid-pte:GouJianGuDingZiChanWuXingZiChanHeQiTaChangQiZiChanSuoZhiFuDeXianJin" label="购建固定资产、无形资产和其他长期资产所支付的现金" mulRef="_GBC_72a5fd28efa142459207d964e7abe8be" unitRef="_GBC_7e7d8c5ee26d4ee886fa73f729cc8f8d" addr="T0R19C2S1_1" baseScale="-1" formatStyle="Comma"/>
      <m:item xlName="_GBC_6184b5cee8454ea1b6c8f0777dbd51a8" concept="clcid-pte:GouJianGuDingZiChanWuXingZiChanHeQiTaChangQiZiChanSuoZhiFuDeXianJin" label="购建固定资产、无形资产和其他长期资产所支付的现金" periodRef="上年同期数" mulRef="_GBC_72a5fd28efa142459207d964e7abe8be" unitRef="_GBC_7e7d8c5ee26d4ee886fa73f729cc8f8d" addr="T0R19C3S1_1" baseScale="-1" formatStyle="Comma"/>
      <m:placeholder xlName="_PLD_b8938eecaf5b456c935c7d5ac6b817b2" addr="T0R20C0S1_1"/>
      <m:item xlName="_GBC_e2de975a85784da7b6ca18d55aea8cde" concept="clcid-ci-ar:FuZhu_TouZiSuoZhiFuDeXianJin" label="附注_投资所支付的现金" addr="T0R20C1S1_1"/>
      <m:item xlName="_GBC_014f76ad30e14b4581bf705f3e781ba5" concept="clcid-pte:TouZiSuoZhiFuDeXianJin" label="投资所支付的现金" mulRef="_GBC_72a5fd28efa142459207d964e7abe8be" unitRef="_GBC_7e7d8c5ee26d4ee886fa73f729cc8f8d" addr="T0R20C2S1_1" baseScale="-1" formatStyle="Comma"/>
      <m:item xlName="_GBC_3cdc11b3ebbf4768a05235ccd1a18b53" concept="clcid-pte:TouZiSuoZhiFuDeXianJin" label="投资所支付的现金" periodRef="上年同期数" mulRef="_GBC_72a5fd28efa142459207d964e7abe8be" unitRef="_GBC_7e7d8c5ee26d4ee886fa73f729cc8f8d" addr="T0R20C3S1_1" baseScale="-1" formatStyle="Comma"/>
      <m:placeholder xlName="_PLD_405f0e582b7147e2898034098f57f11a" addr="T0R21C0S1_1"/>
      <m:item xlName="_GBC_6bc8f105dea643dd8f7cf7c153db337d" concept="clcid-ci-ar:FuZhu_QuDeZiGongSiJiQiTaYingYeDanWeiZhiFuDeXianJinJingE" label="附注_取得子公司及其他营业单位支付的现金净额" addr="T0R21C1S1_1"/>
      <m:item xlName="_GBC_77951b24b0d549cb93cb0ff329785ca1" concept="clcid-pte:QuDeZiGongSiJiQiTaYingYeDanWeiZhiFuDeXianJinJingE" label="取得子公司及其他营业单位支付的现金净额" mulRef="_GBC_72a5fd28efa142459207d964e7abe8be" unitRef="_GBC_7e7d8c5ee26d4ee886fa73f729cc8f8d" addr="T0R21C2S1_1" baseScale="-1" formatStyle="Comma"/>
      <m:item xlName="_GBC_cf6c230ce1414b2a836ac447a1b87e95" concept="clcid-pte:QuDeZiGongSiJiQiTaYingYeDanWeiZhiFuDeXianJinJingE" label="取得子公司及其他营业单位支付的现金净额" periodRef="上年同期数" mulRef="_GBC_72a5fd28efa142459207d964e7abe8be" unitRef="_GBC_7e7d8c5ee26d4ee886fa73f729cc8f8d" addr="T0R21C3S1_1" baseScale="-1" formatStyle="Comma"/>
      <m:placeholder xlName="_PLD_ade8d1961a984621b7f8bf880628bb0a" addr="T0R22C0S1_1"/>
      <m:item xlName="_GBC_65858ae1b0cb49948c2730b030fa8a98" concept="clcid-ci-ar:FuZhu_ZhiFuDeQiTaYuTouZiHuoDongYouGuanDeXianJin" label="附注_支付的其他与投资活动有关的现金" addr="T0R22C1S1_1"/>
      <m:item xlName="_GBC_28b9ebab6de84f42a1d6e4528868ce2d" concept="clcid-pte:ZhiFuDeQiTaYuTouZiHuoDongYouGuanDeXianJin" label="支付的其他与投资活动有关的现金" mulRef="_GBC_72a5fd28efa142459207d964e7abe8be" unitRef="_GBC_7e7d8c5ee26d4ee886fa73f729cc8f8d" addr="T0R22C2S1_1" baseScale="-1" formatStyle="Comma"/>
      <m:item xlName="_GBC_d323366f3100413daa31a1023a7e9f32" concept="clcid-pte:ZhiFuDeQiTaYuTouZiHuoDongYouGuanDeXianJin" label="支付的其他与投资活动有关的现金" periodRef="上年同期数" mulRef="_GBC_72a5fd28efa142459207d964e7abe8be" unitRef="_GBC_7e7d8c5ee26d4ee886fa73f729cc8f8d" addr="T0R22C3S1_1" baseScale="-1" formatStyle="Comma"/>
      <m:placeholder xlName="_PLD_a13847526bcc465697141f60a5b0feb9" addr="T0R23C0S1_1"/>
      <m:item xlName="_GBC_876d35acfc0b4dddab6c759a2cedfe97" concept="clcid-ci-ar:FuZhu_TouZiHuoDongXianJinLiuChuXiaoJi" label="附注_投资活动现金流出小计" addr="T0R23C1S1_1"/>
      <m:item xlName="_GBC_139d7c653f794eaf83e82ad36b1d1a79" concept="clcid-pte:TouZiHuoDongXianJinLiuChuXiaoJi" label="投资活动现金流出小计" mulRef="_GBC_72a5fd28efa142459207d964e7abe8be" unitRef="_GBC_7e7d8c5ee26d4ee886fa73f729cc8f8d" addr="T0R23C2S1_1" baseScale="-1" formatStyle="Comma">
        <m:complexRule comparator="Eq" title="投资活动现金流出小计" test=" $_GBC_ae3d9eb25adf4305bdd8f9a0cdd7d17a +  $_GBC_014f76ad30e14b4581bf705f3e781ba5 +  $_GBC_77951b24b0d549cb93cb0ff329785ca1 +  $_GBC_28b9ebab6de84f42a1d6e4528868ce2d" id="C30507f3507074b77bce16325541e596c" radius="0.0001"/>
      </m:item>
      <m:item xlName="_GBC_515f5c031e944f0e99fd74dc21c81127" concept="clcid-pte:TouZiHuoDongXianJinLiuChuXiaoJi" label="投资活动现金流出小计" periodRef="上年同期数" mulRef="_GBC_72a5fd28efa142459207d964e7abe8be" unitRef="_GBC_7e7d8c5ee26d4ee886fa73f729cc8f8d" addr="T0R23C3S1_1" baseScale="-1" formatStyle="Comma">
        <m:complexRule comparator="Eq" title="投资活动现金流出小计@上年同期数" test=" $_GBC_6184b5cee8454ea1b6c8f0777dbd51a8 +  $_GBC_3cdc11b3ebbf4768a05235ccd1a18b53 +  $_GBC_cf6c230ce1414b2a836ac447a1b87e95 +  $_GBC_d323366f3100413daa31a1023a7e9f32" id="C47a3de8c6c0246f38a4d157a04083651" radius="0.0001"/>
      </m:item>
      <m:placeholder xlName="_PLD_e8f235f558474b018a62f4ae55a51158" addr="T0R24C0S1_1"/>
      <m:item xlName="_GBC_1f9c324cdf7c472ea094a0640c8f9cd8" concept="clcid-ci-ar:FuZhu_TouZiHuoDongChanShengDeXianJinLiuLiangJingE" label="附注_投资活动产生的现金流量净额" addr="T0R24C1S1_1"/>
      <m:item xlName="_GBC_9c91a8dcc0da411891e22566e80f90a4" concept="clcid-pte:TouZiHuoDongChanShengDeXianJinLiuLiangJingE" label="投资活动产生的现金流量净额" mulRef="_GBC_72a5fd28efa142459207d964e7abe8be" unitRef="_GBC_7e7d8c5ee26d4ee886fa73f729cc8f8d" addr="T0R24C2S1_1" formatStyle="Comma">
        <m:complexRule comparator="Eq" title="投资活动产生的现金流量净额" test=" $_GBC_f55585a046704c768fdec935ce6df939 -  $_GBC_139d7c653f794eaf83e82ad36b1d1a79" id="C0764484ceb2342ed8ab2d060fcf5d67d" radius="0.0001"/>
      </m:item>
      <m:item xlName="_GBC_041a27483ba246e8a58ec0040594ab5e" concept="clcid-pte:TouZiHuoDongChanShengDeXianJinLiuLiangJingE" label="投资活动产生的现金流量净额" periodRef="上年同期数" mulRef="_GBC_72a5fd28efa142459207d964e7abe8be" unitRef="_GBC_7e7d8c5ee26d4ee886fa73f729cc8f8d" addr="T0R24C3S1_1" formatStyle="Comma">
        <m:complexRule comparator="Eq" title="投资活动产生的现金流量净额@上年同期数" test=" $_GBC_01d4506b3d644c1eba43d65b70556f46 -  $_GBC_515f5c031e944f0e99fd74dc21c81127" id="C8086d1b49d154aef8fe9367226f88946" radius="0.0001"/>
      </m:item>
      <m:placeholder xlName="_PLD_2589efdecc964cd3ada15ef4753cd296" addr="T0R25C0S1_1"/>
      <m:placeholder xlName="_PLD_58050462e4dd44dc8f25c91afe603986" addr="T0R26C0S1_1"/>
      <m:item xlName="_GBC_9cdefe870c6e49e683a22bf325189071" concept="clcid-ci-ar:FuZhu_XiShouTouZiSuoShouDaoDeXianJin" label="附注_吸收投资所收到的现金" addr="T0R26C1S1_1"/>
      <m:item xlName="_GBC_1eba22c45de146fbac5fc3e1d6bf1cd9" concept="clcid-pte:XiShouTouZiSuoShouDaoDeXianJin" label="吸收投资所收到的现金" mulRef="_GBC_72a5fd28efa142459207d964e7abe8be" unitRef="_GBC_7e7d8c5ee26d4ee886fa73f729cc8f8d" addr="T0R26C2S1_1" formatStyle="Comma"/>
      <m:item xlName="_GBC_b4af50f6a5a94352914d34df75bef3cb" concept="clcid-pte:XiShouTouZiSuoShouDaoDeXianJin" label="吸收投资所收到的现金" periodRef="上年同期数" mulRef="_GBC_72a5fd28efa142459207d964e7abe8be" unitRef="_GBC_7e7d8c5ee26d4ee886fa73f729cc8f8d" addr="T0R26C3S1_1" formatStyle="Comma"/>
      <m:placeholder xlName="_PLD_acb1fe2d52794f538fc4610717bd7214" addr="T0R27C0S1_1"/>
      <m:item xlName="_GBC_3bd14bbd3a564332a5562af7baa8e1f1" concept="clcid-ci-ar:FuZhu_JieKuanSuoShouDaoDeXianJin" label="附注_借款所收到的现金" addr="T0R27C1S1_1"/>
      <m:item xlName="_GBC_388b7e4f0ef445cdacec95a4328d1046" concept="clcid-pte:JieKuanSuoShouDaoDeXianJin" label="借款所收到的现金" mulRef="_GBC_72a5fd28efa142459207d964e7abe8be" unitRef="_GBC_7e7d8c5ee26d4ee886fa73f729cc8f8d" addr="T0R27C2S1_1" formatStyle="Comma"/>
      <m:item xlName="_GBC_29920d0535e04c36bfa6fbe446e2f2e4" concept="clcid-pte:JieKuanSuoShouDaoDeXianJin" label="借款所收到的现金" periodRef="上年同期数" mulRef="_GBC_72a5fd28efa142459207d964e7abe8be" unitRef="_GBC_7e7d8c5ee26d4ee886fa73f729cc8f8d" addr="T0R27C3S1_1" formatStyle="Comma"/>
      <m:placeholder xlName="_PLD_e0d098508c9c403594b69ad220d3b4c8" addr="T0R28C0S1_1"/>
      <m:item xlName="_GBC_2fbf2a1fad5644f18438d8c59be8a8ee" concept="clcid-ci-ar:FuZhu_ShouDaoQiTaYuChouZiHuoDongYouGuanDeXianJin" label="附注_收到其他与筹资活动有关的现金" addr="T0R28C1S1_1"/>
      <m:item xlName="_GBC_8ee03c70bbdf4170be36e75f74635741" concept="clcid-pte:ShouDaoQiTaYuChouZiHuoDongYouGuanDeXianJin" label="收到其他与筹资活动有关的现金" mulRef="_GBC_72a5fd28efa142459207d964e7abe8be" unitRef="_GBC_7e7d8c5ee26d4ee886fa73f729cc8f8d" addr="T0R28C2S1_1" formatStyle="Comma"/>
      <m:item xlName="_GBC_ffb0708155d2433981708c65f442da16" concept="clcid-pte:ShouDaoQiTaYuChouZiHuoDongYouGuanDeXianJin" label="收到其他与筹资活动有关的现金" periodRef="上年同期数" mulRef="_GBC_72a5fd28efa142459207d964e7abe8be" unitRef="_GBC_7e7d8c5ee26d4ee886fa73f729cc8f8d" addr="T0R28C3S1_1" formatStyle="Comma"/>
      <m:placeholder xlName="_PLD_0643c9a6084c413ea72dc60c892dcc4f" addr="T0R29C0S1_1"/>
      <m:item xlName="_GBC_6fcde1a56c6f42518d86afa11e00fe8e" concept="clcid-ci-ar:FuZhu_ChouZiHuoDongXianJinLiuRuXiaoJi" label="附注_筹资活动现金流入小计" addr="T0R29C1S1_1"/>
      <m:item xlName="_GBC_be1e69e5446b42659d4b683baa89cdb2" concept="clcid-pte:ChouZiHuoDongXianJinLiuRuXiaoJi" label="筹资活动现金流入小计" mulRef="_GBC_72a5fd28efa142459207d964e7abe8be" unitRef="_GBC_7e7d8c5ee26d4ee886fa73f729cc8f8d" addr="T0R29C2S1_1" formatStyle="Comma">
        <m:complexRule comparator="Eq" title="筹资活动现金流入小计" test=" $_GBC_1eba22c45de146fbac5fc3e1d6bf1cd9 +  $_GBC_388b7e4f0ef445cdacec95a4328d1046 +  $_GBC_8ee03c70bbdf4170be36e75f74635741" id="C402265d930b3476da65a152069d868d0" radius="0.0001"/>
      </m:item>
      <m:item xlName="_GBC_f16acfc9a53d432aa9afe11beff1235c" concept="clcid-pte:ChouZiHuoDongXianJinLiuRuXiaoJi" label="筹资活动现金流入小计" periodRef="上年同期数" mulRef="_GBC_72a5fd28efa142459207d964e7abe8be" unitRef="_GBC_7e7d8c5ee26d4ee886fa73f729cc8f8d" addr="T0R29C3S1_1" formatStyle="Comma">
        <m:complexRule comparator="Eq" title="筹资活动现金流入小计@上年同期数" test=" $_GBC_b4af50f6a5a94352914d34df75bef3cb +  $_GBC_29920d0535e04c36bfa6fbe446e2f2e4 +  $_GBC_ffb0708155d2433981708c65f442da16" id="C5b2a7750a49b451e8461b047e9b00c56" radius="0.0001"/>
      </m:item>
      <m:placeholder xlName="_PLD_c04a379d54304c55958dee7d1f1a4ed4" addr="T0R30C0S1_1"/>
      <m:item xlName="_GBC_043593c50a17476bb219dfce1f7eb14b" concept="clcid-ci-ar:FuZhu_ChangHuanZhaiWuSuoZhiFuDeXianJin" label="附注_偿还债务所支付的现金" addr="T0R30C1S1_1"/>
      <m:item xlName="_GBC_d8a50db8db7148eaaf5681df605bd972" concept="clcid-pte:ChangHuanZhaiWuSuoZhiFuDeXianJin" label="偿还债务所支付的现金" mulRef="_GBC_72a5fd28efa142459207d964e7abe8be" unitRef="_GBC_7e7d8c5ee26d4ee886fa73f729cc8f8d" addr="T0R30C2S1_1" baseScale="-1" formatStyle="Comma"/>
      <m:item xlName="_GBC_8e1bc57085d648abafebe64355aedeb3" concept="clcid-pte:ChangHuanZhaiWuSuoZhiFuDeXianJin" label="偿还债务所支付的现金" periodRef="上年同期数" mulRef="_GBC_72a5fd28efa142459207d964e7abe8be" unitRef="_GBC_7e7d8c5ee26d4ee886fa73f729cc8f8d" addr="T0R30C3S1_1" baseScale="-1" formatStyle="Comma"/>
      <m:placeholder xlName="_PLD_b3c11959ecd9441cad73cf742461eec4" addr="T0R31C0S1_1"/>
      <m:item xlName="_GBC_06200e9f131349ba9cc408c725f52e51" concept="clcid-ci-ar:FuZhu_FenPeiGuLiLiRunHuoChangFuLiXiSuoZhiFuDeXianJin" label="附注_分配股利利润或偿付利息所支付的现金" addr="T0R31C1S1_1"/>
      <m:item xlName="_GBC_e124033e73b2492d889e63efa2cde172" concept="clcid-pte:FenPeiGuLiLiRunHuoChangFuLiXiSuoZhiFuDeXianJin" label="分配股利利润或偿付利息所支付的现金" mulRef="_GBC_72a5fd28efa142459207d964e7abe8be" unitRef="_GBC_7e7d8c5ee26d4ee886fa73f729cc8f8d" addr="T0R31C2S1_1" baseScale="-1" formatStyle="Comma"/>
      <m:item xlName="_GBC_1c111b8b9f1b4d87a8fac304d3af717c" concept="clcid-pte:FenPeiGuLiLiRunHuoChangFuLiXiSuoZhiFuDeXianJin" label="分配股利利润或偿付利息所支付的现金" periodRef="上年同期数" mulRef="_GBC_72a5fd28efa142459207d964e7abe8be" unitRef="_GBC_7e7d8c5ee26d4ee886fa73f729cc8f8d" addr="T0R31C3S1_1" baseScale="-1" formatStyle="Comma"/>
      <m:placeholder xlName="_PLD_f50aacd25549428bb4819ed22550500f" addr="T0R32C0S1_1"/>
      <m:item xlName="_GBC_dc1e655f715b43a499ce13b2ae1b8683" concept="clcid-ci-ar:FuZhu_ZhiFuDeQiTaYuChouZiHuoDongYouGuanDeXianJin" label="附注_支付的其他与筹资活动有关的现金" addr="T0R32C1S1_1"/>
      <m:item xlName="_GBC_2627c8d53e7c4116af88deae0f1815b1" concept="clcid-pte:ZhiFuDeQiTaYuChouZiHuoDongYouGuanDeXianJin" label="支付的其他与筹资活动有关的现金" mulRef="_GBC_72a5fd28efa142459207d964e7abe8be" unitRef="_GBC_7e7d8c5ee26d4ee886fa73f729cc8f8d" addr="T0R32C2S1_1" baseScale="-1" formatStyle="Comma"/>
      <m:item xlName="_GBC_0337a189f7a847fe81447772b93f2e7f" concept="clcid-pte:ZhiFuDeQiTaYuChouZiHuoDongYouGuanDeXianJin" label="支付的其他与筹资活动有关的现金" periodRef="上年同期数" mulRef="_GBC_72a5fd28efa142459207d964e7abe8be" unitRef="_GBC_7e7d8c5ee26d4ee886fa73f729cc8f8d" addr="T0R32C3S1_1" baseScale="-1" formatStyle="Comma"/>
      <m:placeholder xlName="_PLD_fed2d6c86e72415a842a1582fbeeacd1" addr="T0R33C0S1_1"/>
      <m:item xlName="_GBC_a21e822a2d454cfd86affaff681acefe" concept="clcid-ci-ar:FuZhu_ChouZiHuoDongXianJinLiuChuXiaoJi" label="附注_筹资活动现金流出小计" addr="T0R33C1S1_1"/>
      <m:item xlName="_GBC_bac7956f9889438883c6a017bed1da8e" concept="clcid-pte:ChouZiHuoDongXianJinLiuChuXiaoJi" label="筹资活动现金流出小计" mulRef="_GBC_72a5fd28efa142459207d964e7abe8be" unitRef="_GBC_7e7d8c5ee26d4ee886fa73f729cc8f8d" addr="T0R33C2S1_1" baseScale="-1" formatStyle="Comma">
        <m:complexRule comparator="Eq" title="筹资活动现金流出小计" test=" $_GBC_d8a50db8db7148eaaf5681df605bd972 +  $_GBC_e124033e73b2492d889e63efa2cde172 +  $_GBC_2627c8d53e7c4116af88deae0f1815b1" id="Ce5cd4549151a484db68cd063e8f723d1" radius="0.0001"/>
      </m:item>
      <m:item xlName="_GBC_472bede436ca4403ad649a7e7fe0a1e0" concept="clcid-pte:ChouZiHuoDongXianJinLiuChuXiaoJi" label="筹资活动现金流出小计" periodRef="上年同期数" mulRef="_GBC_72a5fd28efa142459207d964e7abe8be" unitRef="_GBC_7e7d8c5ee26d4ee886fa73f729cc8f8d" addr="T0R33C3S1_1" baseScale="-1" formatStyle="Comma">
        <m:complexRule comparator="Eq" title="筹资活动现金流出小计@上年同期数" test=" $_GBC_8e1bc57085d648abafebe64355aedeb3 +  $_GBC_1c111b8b9f1b4d87a8fac304d3af717c +  $_GBC_0337a189f7a847fe81447772b93f2e7f" id="C4f9401765ade4df29ce85b72944a9cfa" radius="0.0001"/>
      </m:item>
      <m:placeholder xlName="_PLD_870d5c04e3304041b4798a33945e3615" addr="T0R34C0S1_1"/>
      <m:item xlName="_GBC_e464bc9064ec4487af6261de363ebba0" concept="clcid-ci-ar:FuZhu_ChouZiHuoDongChanShengDeXianJinLiuLiangJingE" label="附注_筹资活动产生的现金流量净额" addr="T0R34C1S1_1"/>
      <m:item xlName="_GBC_9cfd3f2e341e4e6b80b78cc8aac7f2e2" concept="clcid-pte:ChouZiHuoDongChanShengDeXianJinLiuLiangJingE" label="筹资活动产生的现金流量净额" mulRef="_GBC_72a5fd28efa142459207d964e7abe8be" unitRef="_GBC_7e7d8c5ee26d4ee886fa73f729cc8f8d" addr="T0R34C2S1_1" formatStyle="Comma">
        <m:complexRule comparator="Eq" title="筹资活动产生的现金流量净额" test=" $_GBC_be1e69e5446b42659d4b683baa89cdb2 -  $_GBC_bac7956f9889438883c6a017bed1da8e" id="C03e9484f28ae41dfbe0c00322df11b5d" radius="0.0001"/>
      </m:item>
      <m:item xlName="_GBC_9c3866dd58464c049101c14993133403" concept="clcid-pte:ChouZiHuoDongChanShengDeXianJinLiuLiangJingE" label="筹资活动产生的现金流量净额" periodRef="上年同期数" mulRef="_GBC_72a5fd28efa142459207d964e7abe8be" unitRef="_GBC_7e7d8c5ee26d4ee886fa73f729cc8f8d" addr="T0R34C3S1_1" formatStyle="Comma">
        <m:complexRule comparator="Eq" title="筹资活动产生的现金流量净额@上年同期数" test=" $_GBC_f16acfc9a53d432aa9afe11beff1235c -  $_GBC_472bede436ca4403ad649a7e7fe0a1e0" id="Cbe901fff601e4123b9fb18cfb2a68d3c" radius="0.0001"/>
      </m:item>
      <m:placeholder xlName="_PLD_4612f56bc27d415b9da7abb51b638a37" addr="T0R35C0S1_1"/>
      <m:item xlName="_GBC_7f2549dcad3c4708982d6225465167df" concept="clcid-ci-ar:FuZhu_HuiLvBianDongDuiXianJinDeYingXiang" label="附注_汇率变动对现金的影响" addr="T0R35C1S1_1"/>
      <m:item xlName="_GBC_761a9857f6794588a360ed802cb6da99" concept="clcid-pte:HuiLvBianDongDuiXianJinDeYingXiang" label="汇率变动对现金的影响" mulRef="_GBC_72a5fd28efa142459207d964e7abe8be" unitRef="_GBC_7e7d8c5ee26d4ee886fa73f729cc8f8d" addr="T0R35C2S1_1" formatStyle="Comma"/>
      <m:item xlName="_GBC_209a488637654cc1ac4c6842b4d594cc" concept="clcid-pte:HuiLvBianDongDuiXianJinDeYingXiang" label="汇率变动对现金的影响" periodRef="上年同期数" mulRef="_GBC_72a5fd28efa142459207d964e7abe8be" unitRef="_GBC_7e7d8c5ee26d4ee886fa73f729cc8f8d" addr="T0R35C3S1_1" formatStyle="Comma"/>
      <m:placeholder xlName="_PLD_37fac1530fc84ad6ba0070c5a3df708d" addr="T0R36C0S1_1"/>
      <m:item xlName="_GBC_73bd54a91ce248fdbfc50ecc38a4e919" concept="clcid-ci-ar:FuZhu_XianJinJiXianJinDengJiaWuJingZengJiaE" label="附注_现金及现金等价物净增加额" addr="T0R36C1S1_1"/>
      <m:item xlName="_GBC_ac5b0140f81a4bb1aaf8ffd0c19386c7" concept="clcid-pte:XianJinJiXianJinDengJiaWuJingZengJiaE" label="现金及现金等价物净增加额" mulRef="_GBC_72a5fd28efa142459207d964e7abe8be" unitRef="_GBC_7e7d8c5ee26d4ee886fa73f729cc8f8d" addr="T0R36C2S1_1" formatStyle="Comma">
        <m:complexRule comparator="Eq" title="现金及现金等价物净增加额" test=" $_GBC_be61c1f84b7d4ef493ba7eb40c0a738f +  $_GBC_9c91a8dcc0da411891e22566e80f90a4 +  $_GBC_9cfd3f2e341e4e6b80b78cc8aac7f2e2 +  $_GBC_761a9857f6794588a360ed802cb6da99" id="C4048c3bab7aa4b9dbfe163c2dd50dd55" radius="0.0001"/>
      </m:item>
      <m:item xlName="_GBC_8047741ed8094dbbb195c0ffa984b762" concept="clcid-pte:XianJinJiXianJinDengJiaWuJingZengJiaE" label="现金及现金等价物净增加额" periodRef="上年同期数" mulRef="_GBC_72a5fd28efa142459207d964e7abe8be" unitRef="_GBC_7e7d8c5ee26d4ee886fa73f729cc8f8d" addr="T0R36C3S1_1" formatStyle="Comma">
        <m:complexRule comparator="Eq" title="现金及现金等价物净增加额@上年同期数" test=" $_GBC_80755df3e41b4045bbe32eb72e37355b +  $_GBC_041a27483ba246e8a58ec0040594ab5e +  $_GBC_9c3866dd58464c049101c14993133403 +  $_GBC_209a488637654cc1ac4c6842b4d594cc" id="C37d92cb9b8aa455794041ee142bbc641" radius="0.0001"/>
      </m:item>
      <m:placeholder xlName="_PLD_6567d2f1f02c456589f542cb3bfecd56" addr="T0R37C0S1_1"/>
      <m:item xlName="_GBC_0f3797bff7004e8bb1611fa68534ca5f" concept="clcid-ci-ar:FuZhu_XianJinJiXianJinDengJiaWuYuE" label="附注_现金及现金等价物余额" periodRef="本期期初数" addr="T0R37C1S1_1"/>
      <m:item xlName="_GBC_c199f5f82a5c46a8af894baf9e4f8bf7" concept="clcid-pte:XianJinJiXianJinDengJiaWuYuE" label="现金及现金等价物余额" periodRef="本期期初数" mulRef="_GBC_72a5fd28efa142459207d964e7abe8be" unitRef="_GBC_7e7d8c5ee26d4ee886fa73f729cc8f8d" addr="T0R37C2S1_1" formatStyle="Comma"/>
      <m:item xlName="_GBC_8904216bc75041c39104b2d957436873" concept="clcid-pte:XianJinJiXianJinDengJiaWuYuE" label="现金及现金等价物余额" periodRef="上年同期期初数" mulRef="_GBC_72a5fd28efa142459207d964e7abe8be" unitRef="_GBC_7e7d8c5ee26d4ee886fa73f729cc8f8d" addr="T0R37C3S1_1" formatStyle="Comma"/>
      <m:placeholder xlName="_PLD_48e1b4290559452c91aaeb95b80c1336" addr="T0R38C0S1_1"/>
      <m:item xlName="_GBC_2f2481be0784406e9f7ac29e22d2df3b" concept="clcid-ci-ar:FuZhu_XianJinJiXianJinDengJiaWuYuE" label="附注_现金及现金等价物余额" addr="T0R38C1S1_1"/>
      <m:item xlName="_GBC_ca8a755d332641f086d162c45c770e7e" concept="clcid-pte:XianJinJiXianJinDengJiaWuYuE" label="现金及现金等价物余额" mulRef="_GBC_72a5fd28efa142459207d964e7abe8be" unitRef="_GBC_7e7d8c5ee26d4ee886fa73f729cc8f8d" addr="T0R38C2S1_1" formatStyle="Comma">
        <m:complexRule comparator="Eq" title="现金及现金等价物余额" test=" $_GBC_ac5b0140f81a4bb1aaf8ffd0c19386c7 +  $_GBC_c199f5f82a5c46a8af894baf9e4f8bf7" id="Ca25e728a94ec4ed49157de66caf78a5a" radius="0.0001"/>
      </m:item>
      <m:item xlName="_GBC_993231b983b949be80df12d05bb6918f" concept="clcid-pte:XianJinJiXianJinDengJiaWuYuE" label="现金及现金等价物余额" periodRef="上年同期期末数" mulRef="_GBC_72a5fd28efa142459207d964e7abe8be" unitRef="_GBC_7e7d8c5ee26d4ee886fa73f729cc8f8d" addr="T0R38C3S1_1" formatStyle="Comma">
        <m:complexRule comparator="Eq" title="现金及现金等价物余额@上年同期期末数" test=" $_GBC_8047741ed8094dbbb195c0ffa984b762 +  $_GBC_8904216bc75041c39104b2d957436873" id="C8a62c0577d914eb893ea201320236ad7" radius="0.0001"/>
      </m:item>
      <m:item xlName="_GBC_9bcd12ca2dba4274a8524b6947572f4f" concept="clcid-mr:GongSiFuZeRenXingMing" label="公司负责人姓名" binding="true"/>
      <m:item xlName="_GBC_022a142fd48d40819683afa22a581788" concept="clcid-mr:ZhuGuanKuaiJiGongZuoFuZeRenXingMing" label="主管会计工作负责人姓名" binding="true"/>
      <m:item xlName="_GBC_51e7353d05124da587ebf3d4befbfee2" concept="clcid-mr:KuaiJiJiGouFuZeRenXingMing" label="会计机构负责人姓名" binding="true"/>
      <m:rowModel locationConcept="clcid-ci-ar:ZiDingYiKeMuWeiZhi" labelConcept="clcid-ci-ar:ZiDingYiKeMuMingCheng" conceptPrefix="现金流量表" presentationRole="http://www.xbrl-cn.org/cn/lcid/lr/role/CashFlowsStatementforCommercialandIndustrialCompanies" presentationParentConcept="clcid-pte:XianJinLiuLiangBiao" tuplePrefix="项目"/>
    </m:section>
    <m:section xlName="_GBC_3b1dcbfa33024cc0a5c2f3d693817342" title="需要编制合并报表" checkKey="合并" helpId="112001001" primarySection="_GBC_3b1dcbfa33024cc0a5c2f3d693817342" optionText="需要编制合并报表" activeContentOption="_GBC_3b1dcbfa33024cc0a5c2f3d693817342" optionGroupTitle="是否需要合并报表" optionTargetConcept="clcid-ci-ar:ShiFouXuYaoHeBingBaoBiao" optionTargetConceptValue="true" keyAction="57">
      <m:region xlName="_GBC_3eeab460b9b64d53b91f5e0ddcd3030f" title="合并所有者权益变动表&#10;" mandatory="false" helpId="112001001" matrix="true" matrixTablePrefix="合并所有者权益变动表">
        <m:item xlName="_GBC_57faea4e453e49ad93821b7dd6ce8bc4" concept="clcid-ci-ar:DanWeiHeBingGuDongQuanYiDiaoJieBiao" label="单位：合并股东权益调节表" selectOptions="_buildInScales" controlType="Combobox" cellType="Scale"/>
        <m:item xlName="_GBC_cef77704267643d794145c73763360e5" concept="clcid-ci-ar:BiZhongHeBingGuDongQuanYiDiaoJieBiao" label="币种：合并股东权益调节表" selectOptions="_buildInISO4217" controlType="Combobox" cellType="Measure"/>
        <m:placeholder xlName="_PLD_5bd68ed5796041328d1a003c1362ceaf" addr="T0R0C0S4_1"/>
        <m:placeholder xlName="_PLD_70c71cd0427542b1b96a0fa943173d3d" addr="T0R0C1S1_15"/>
        <m:placeholder xlName="_PLD_e146ec74496c4c03a714dcef40faa972" addr="T0R1C1S1_13"/>
        <m:placeholder xlName="_PLD_b1ca85c50c1341e59b4b412e92d87f2f" addr="T0R1C14S3_1"/>
        <m:placeholder xlName="_PLD_0e252e0d00f04386b93d4e3064ba423d" addr="T0R1C15S3_1"/>
        <m:placeholder xlName="_PLD_1605afb5a60946a9ba86cca783d492d3" addr="T0R2C1S2_1"/>
        <m:placeholder xlName="_PLD_78f5e518a65d422c99d27d23e96afb9e" addr="T0R2C2S1_3"/>
        <m:placeholder xlName="_PLD_f67d05ac9f6f4daaafdf90084911dcee" addr="T0R2C5S2_1"/>
        <m:placeholder xlName="_PLD_21df11f52b3443acacf7dd8421b5cc67" addr="T0R2C6S2_1"/>
        <m:placeholder xlName="_PLD_bdc12fd277ea4fbe9c90f9480d9ecddb" addr="T0R2C7S2_1"/>
        <m:placeholder xlName="_PLD_b4aa95f4be904a02958b77b5542bb78d" addr="T0R2C8S2_1"/>
        <m:placeholder xlName="_PLD_1ee8f47ee38e4000af64e781a1a0e729" addr="T0R2C9S2_1"/>
        <m:placeholder xlName="_PLD_b09258af0aa4494b8e88e711ca2dd7b8" addr="T0R2C10S2_1"/>
        <m:placeholder xlName="_PLD_f20054bead0a491aafe7bb5a5952f48f" addr="T0R2C11S2_1"/>
        <m:placeholder xlName="_PLD_ee763dfa69fd4fa3bec927cefa83eadc" addr="T0R2C12S2_1"/>
        <m:placeholder xlName="_PLD_97c92cf2be1e4f36880a16a2c16704b4" addr="T0R2C13S2_1"/>
        <m:placeholder xlName="_PLD_7b6493af25ff4e3986120f711cb3be4e" addr="T0R3C2S1_1"/>
        <m:placeholder xlName="_PLD_446c35c8857c4ad0bb648db82e104141" addr="T0R3C3S1_1"/>
        <m:placeholder xlName="_PLD_e8048d05ab294ec8a2a849ca1f70a7c9" addr="T0R3C4S1_1"/>
        <m:placeholder xlName="_PLD_1f22f69e67ea4292afb08dec65f863c7" addr="T0R4C0S1_1"/>
        <m:item xlName="_GBC_2a48cd3f70d94e34968adccf792039b2" concept="clcid-pte:GuBen" label="股本" periodRef="上年度期末数" mulRef="_GBC_57faea4e453e49ad93821b7dd6ce8bc4" unitRef="_GBC_cef77704267643d794145c73763360e5" addr="T0R4C1S1_1" formatStyle="Comma">
          <m:axisValue occRef="调整前的值"/>
        </m:item>
        <m:item xlName="_GBC_f35b3ab1eb4c4fa4879673cd9e9b3ace" concept="clcid-pte:QiTaQuanYiGongJuQiZhongYouXianGu" label="其他权益工具-其中：优先股" periodRef="上年度期末数" mulRef="_GBC_57faea4e453e49ad93821b7dd6ce8bc4" unitRef="_GBC_cef77704267643d794145c73763360e5" addr="T0R4C2S1_1" formatStyle="Comma">
          <m:axisValue occRef="调整前的值"/>
        </m:item>
        <m:item xlName="_GBC_a61a93441152475db9586a1c38419535" concept="clcid-pte:QiTaQuanYiGongJuYongXuZhai" label="其他权益工具-永续债" periodRef="上年度期末数" mulRef="_GBC_57faea4e453e49ad93821b7dd6ce8bc4" unitRef="_GBC_cef77704267643d794145c73763360e5" addr="T0R4C3S1_1" formatStyle="Comma">
          <m:axisValue occRef="调整前的值"/>
        </m:item>
        <m:item xlName="_GBC_c36369125339497b9d32bd74edae9f05" concept="clcid-pte:QiTaQuanYiGongJuQiTa" label="其他权益工具-其他" periodRef="上年度期末数" mulRef="_GBC_57faea4e453e49ad93821b7dd6ce8bc4" unitRef="_GBC_cef77704267643d794145c73763360e5" addr="T0R4C4S1_1" formatStyle="Comma">
          <m:axisValue occRef="调整前的值"/>
        </m:item>
        <m:item xlName="_GBC_5a28cd87b006409499b33fed193e92f9" concept="clcid-pte:ZiBenGongJi" label="资本公积" periodRef="上年度期末数" mulRef="_GBC_57faea4e453e49ad93821b7dd6ce8bc4" unitRef="_GBC_cef77704267643d794145c73763360e5" addr="T0R4C5S1_1" formatStyle="Comma">
          <m:axisValue occRef="调整前的值"/>
        </m:item>
        <m:item xlName="_GBC_787415b0f2ef4683a25f0141ac69f7eb" concept="clcid-pte:KuCunGu" label="库存股" periodRef="上年度期末数" mulRef="_GBC_57faea4e453e49ad93821b7dd6ce8bc4" unitRef="_GBC_cef77704267643d794145c73763360e5" addr="T0R4C6S1_1" formatStyle="Comma">
          <m:axisValue occRef="调整前的值"/>
        </m:item>
        <m:item xlName="_GBC_2638d85431704f6a94e82ae74bb1adf5" concept="clcid-pte:QiTaZongHeShouYiZiChanFuZhaiBiaoXiangMu" label="其他综合收益（资产负债表项目）" periodRef="上年度期末数" mulRef="_GBC_57faea4e453e49ad93821b7dd6ce8bc4" unitRef="_GBC_cef77704267643d794145c73763360e5" addr="T0R4C7S1_1" formatStyle="Comma">
          <m:axisValue occRef="调整前的值"/>
        </m:item>
        <m:item xlName="_GBC_aa6704accee44e90bf17ba6505171a25" concept="clcid-pte:ZhuanXiangChuBei" label="专项储备" periodRef="上年度期末数" mulRef="_GBC_57faea4e453e49ad93821b7dd6ce8bc4" unitRef="_GBC_cef77704267643d794145c73763360e5" addr="T0R4C8S1_1" formatStyle="Comma">
          <m:axisValue occRef="调整前的值"/>
        </m:item>
        <m:item xlName="_GBC_e5af2051e7c04d949ad388d8c59d4c71" concept="clcid-pte:YingYuGongJi" label="盈余公积" periodRef="上年度期末数" mulRef="_GBC_57faea4e453e49ad93821b7dd6ce8bc4" unitRef="_GBC_cef77704267643d794145c73763360e5" addr="T0R4C9S1_1" formatStyle="Comma">
          <m:axisValue occRef="调整前的值"/>
        </m:item>
        <m:item xlName="_GBC_929660d22f6e40369bba692eb395bba2" concept="clcid-pte:YiBanFengXianZhunBei" label="一般风险准备" periodRef="上年度期末数" mulRef="_GBC_57faea4e453e49ad93821b7dd6ce8bc4" unitRef="_GBC_cef77704267643d794145c73763360e5" addr="T0R4C10S1_1" formatStyle="Comma">
          <m:axisValue occRef="调整前的值"/>
        </m:item>
        <m:item xlName="_GBC_c7fcad78f5ec4ade955895585296c5cf" concept="clcid-pte:WeiFenPeiLiRun" label="未分配利润" periodRef="上年度期末数" mulRef="_GBC_57faea4e453e49ad93821b7dd6ce8bc4" unitRef="_GBC_cef77704267643d794145c73763360e5" addr="T0R4C11S1_1" formatStyle="Comma">
          <m:axisValue occRef="调整前的值"/>
        </m:item>
        <m:item xlName="_GBC_be48b137367e42c9b286e258e5a98e80" concept="clcid-pte:QiTaDeGuiShuYuMuGongSiSuoYouZheQuanYi" label="其他的归属于母公司所有者权益" periodRef="上年度期末数" mulRef="_GBC_57faea4e453e49ad93821b7dd6ce8bc4" unitRef="_GBC_cef77704267643d794145c73763360e5" addr="T0R4C12S1_1" formatStyle="Comma">
          <m:axisValue occRef="调整前的值"/>
        </m:item>
        <m:item xlName="_GBC_4c1f47baccb24c12b29170bd8daae272" concept="clcid-pte:GuiShuYuMuGongSiSuoYouZheQuanYiHeJi" label="归属于母公司所有者权益合计" periodRef="上年度期末数" mulRef="_GBC_57faea4e453e49ad93821b7dd6ce8bc4" unitRef="_GBC_cef77704267643d794145c73763360e5" addr="T0R4C13S1_1" formatStyle="Comma">
          <m:axisValue occRef="调整前的值"/>
        </m:item>
        <m:item xlName="_GBC_5fd8e2cca85649859a3610a4459c4cfe" concept="clcid-pte:ShaoShuGuDongQuanYi" label="少数股东权益" periodRef="上年度期末数" mulRef="_GBC_57faea4e453e49ad93821b7dd6ce8bc4" unitRef="_GBC_cef77704267643d794145c73763360e5" addr="T0R4C14S1_1" formatStyle="Comma">
          <m:axisValue occRef="调整前的值"/>
        </m:item>
        <m:item xlName="_GBC_3da432db294d4b91908f25c84b2b579a" concept="clcid-pte:GuDongQuanYiHeJi" label="股东权益合计" periodRef="上年度期末数" mulRef="_GBC_57faea4e453e49ad93821b7dd6ce8bc4" unitRef="_GBC_cef77704267643d794145c73763360e5" addr="T0R4C15S1_1" formatStyle="Comma">
          <m:axisValue occRef="调整前的值"/>
        </m:item>
        <m:placeholder xlName="_PLD_8753148a28244d68bf92b2fbad32f9b8" addr="T0R5C0S1_1"/>
        <m:item xlName="_GBC_4dcd5d84107d48829691bb41c460fcd6" concept="clcid-pte:KuaiJiZhengCeBianGengDaoZhiShiShouZiBenHuoGuBenJingEBianDongJinE" label="会计政策变更导致实收资本（或股本）净额变动金额" periodRef="本期期初数" mulRef="_GBC_57faea4e453e49ad93821b7dd6ce8bc4" unitRef="_GBC_cef77704267643d794145c73763360e5" addr="T0R5C1S1_1" formatStyle="Comma"/>
        <m:item xlName="_GBC_4b97fd793fe9426098404ea504e3d7eb" concept="clcid-pte:HuiJiZhengCeBianGengDaoZhiYouXianGuBianDongJinE" label="会计政策变更导致优先股变动金额" periodRef="本期期初数" mulRef="_GBC_57faea4e453e49ad93821b7dd6ce8bc4" unitRef="_GBC_cef77704267643d794145c73763360e5" addr="T0R5C2S1_1" formatStyle="Comma"/>
        <m:item xlName="_GBC_954c08590128459dae721f9baf64a3af" concept="clcid-pte:HuiJiZhengCeBianGengDaoZhiYongXuZhaiBianDongJinE" label="会计政策变更导致永续债变动金额" periodRef="本期期初数" mulRef="_GBC_57faea4e453e49ad93821b7dd6ce8bc4" unitRef="_GBC_cef77704267643d794145c73763360e5" addr="T0R5C3S1_1" formatStyle="Comma"/>
        <m:item xlName="_GBC_5769b4b779354943b6d4b13ae67bf1f4" concept="clcid-pte:HuiJiZhengCeBianGengDaoZhiQiTaQuanYiGongJuZhongDeQiTaBianDongJinE" label="会计政策变更导致其他权益工具中的其他变动金额" periodRef="本期期初数" mulRef="_GBC_57faea4e453e49ad93821b7dd6ce8bc4" unitRef="_GBC_cef77704267643d794145c73763360e5" addr="T0R5C4S1_1" formatStyle="Comma"/>
        <m:item xlName="_GBC_47d838519444468baa8f5578c223635d" concept="clcid-pte:KuaiJiZhengCeBianGengDaoZhiZiBenGongJiBianDongJinE" label="会计政策变更导致资本公积变动金额" periodRef="本期期初数" mulRef="_GBC_57faea4e453e49ad93821b7dd6ce8bc4" unitRef="_GBC_cef77704267643d794145c73763360e5" addr="T0R5C5S1_1" formatStyle="Comma"/>
        <m:item xlName="_GBC_7750a1204fdc4645b5dd1c8f7580d1ba" concept="clcid-pte:KuaiJiZhengCeBianGengDaoZhiKuCunGuBianDongJinE" label="会计政策变更导致库存股变动金额" periodRef="本期期初数" mulRef="_GBC_57faea4e453e49ad93821b7dd6ce8bc4" unitRef="_GBC_cef77704267643d794145c73763360e5" addr="T0R5C6S1_1" formatStyle="Comma"/>
        <m:item xlName="_GBC_44cc114c1e8f4f978d82c5f14365300b" concept="clcid-pte:HuiJiZhengCeBianGengDaoZhiQiTaZongHeShouYiBianDongJinE" label="会计政策变更导致其他综合收益变动金额" periodRef="本期期初数" mulRef="_GBC_57faea4e453e49ad93821b7dd6ce8bc4" unitRef="_GBC_cef77704267643d794145c73763360e5" addr="T0R5C7S1_1" formatStyle="Comma"/>
        <m:item xlName="_GBC_abbda9bc16554aaf867205803a74ae14" concept="clcid-pte:KuaiJiZhengCeBianGengDaoZhiZhuanXiangChuBeiBianDongJinE" label="会计政策变更导致专项储备变动金额" periodRef="本期期初数" mulRef="_GBC_57faea4e453e49ad93821b7dd6ce8bc4" unitRef="_GBC_cef77704267643d794145c73763360e5" addr="T0R5C8S1_1" formatStyle="Comma"/>
        <m:item xlName="_GBC_af5c61442f8e4d9da166c4bcab887ba9" concept="clcid-pte:KuaiJiZhengCeBianGengDaoZhiYingYuGongJiBianDongJinE" label="会计政策变更导致盈余公积变动金额" periodRef="本期期初数" mulRef="_GBC_57faea4e453e49ad93821b7dd6ce8bc4" unitRef="_GBC_cef77704267643d794145c73763360e5" addr="T0R5C9S1_1" formatStyle="Comma"/>
        <m:item xlName="_GBC_81f742bd68974b2ab3027cebdcf9e8c4" concept="clcid-pte:KuaiJiZhengCeBianGengDaoZhiYiBanFengXianZhunBeiBianDongJinE" label="会计政策变更导致一般风险准备变动金额" periodRef="本期期初数" mulRef="_GBC_57faea4e453e49ad93821b7dd6ce8bc4" unitRef="_GBC_cef77704267643d794145c73763360e5" addr="T0R5C10S1_1" formatStyle="Comma"/>
        <m:item xlName="_GBC_9b788a673d194d9ab2620c795e5c5ecf" concept="clcid-pte:KuaiJiZhengCeBianGengDaoZhiWeiFenPeiLiRunBianDongJinE" label="会计政策变更导致未分配利润变动金额" periodRef="本期期初数" mulRef="_GBC_57faea4e453e49ad93821b7dd6ce8bc4" unitRef="_GBC_cef77704267643d794145c73763360e5" addr="T0R5C11S1_1" formatStyle="Comma"/>
        <m:item xlName="_GBC_431997c0f3f540b2a0f2915d34a9d0d2" concept="clcid-pte:KuaiJiZhengCeBianGengDaoZhiQiTaDeGuiShuYuMuGongSiSuoYouZheQuanYiBianDongJinE" label="会计政策变更导致其他的归属于母公司所有者权益变动金额" periodRef="本期期初数" mulRef="_GBC_57faea4e453e49ad93821b7dd6ce8bc4" unitRef="_GBC_cef77704267643d794145c73763360e5" addr="T0R5C12S1_1" formatStyle="Comma"/>
        <m:item xlName="_GBC_e515f1378d8b4493955dda0e30924799" concept="clcid-pte:KuaiJiZhengCeBianGengDaoZhiGuiShuYuMuGongSiSuoYouZheQuanYiBianDongJinE" label="会计政策变更导致归属于母公司所有者权益变动金额" periodRef="本期期初数" mulRef="_GBC_57faea4e453e49ad93821b7dd6ce8bc4" unitRef="_GBC_cef77704267643d794145c73763360e5" addr="T0R5C13S1_1" formatStyle="Comma"/>
        <m:item xlName="_GBC_81e28c06ebb54bf3a4b2c6d032037d37" concept="clcid-pte:KuaiJiZhengCeBianGengDaoZhiShaoShuGuDongQuanYiBianDongJinE" label="会计政策变更导致少数股东权益变动金额" periodRef="本期期初数" mulRef="_GBC_57faea4e453e49ad93821b7dd6ce8bc4" unitRef="_GBC_cef77704267643d794145c73763360e5" addr="T0R5C14S1_1" formatStyle="Comma"/>
        <m:item xlName="_GBC_1d0377e6fe104a3dbff7b0d93142a4a9" concept="clcid-pte:KuaiJiZhengCeBianGengDaoZhiGuDongQuanYiHeJiBianDongJinE" label="会计政策变更导致股东权益合计变动金额" periodRef="本期期初数" mulRef="_GBC_57faea4e453e49ad93821b7dd6ce8bc4" unitRef="_GBC_cef77704267643d794145c73763360e5" addr="T0R5C15S1_1" formatStyle="Comma"/>
        <m:placeholder xlName="_PLD_291ece6b974e4962be6cec3c398fd5be" addr="T0R6C0S1_1"/>
        <m:item xlName="_GBC_052eb8c214ea494aa6a424858b98d449" concept="clcid-pte:QianQiChaCuoGengZhengDaoZhiShiShouZiBenHuoGuBenJingEBianDongJinE" label="前期差错更正导致实收资本（或股本）净额变动金额" periodRef="本期期初数" mulRef="_GBC_57faea4e453e49ad93821b7dd6ce8bc4" unitRef="_GBC_cef77704267643d794145c73763360e5" addr="T0R6C1S1_1" formatStyle="Comma"/>
        <m:item xlName="_GBC_9075a1534b294a91bcbbf354238fe8b7" concept="clcid-pte:QianQiChaCuoGengZhengDaoZhiYouXianGuBianDongJinE" label="前期差错更正导致优先股变动金额" periodRef="本期期初数" mulRef="_GBC_57faea4e453e49ad93821b7dd6ce8bc4" unitRef="_GBC_cef77704267643d794145c73763360e5" addr="T0R6C2S1_1" formatStyle="Comma"/>
        <m:item xlName="_GBC_3483a72025c7474ca89c0be607e9509f" concept="clcid-pte:QianQiChaCuoGengZhengDaoZhiYongXuZhaiBianDongJinE" label="前期差错更正导致永续债变动金额" periodRef="本期期初数" mulRef="_GBC_57faea4e453e49ad93821b7dd6ce8bc4" unitRef="_GBC_cef77704267643d794145c73763360e5" addr="T0R6C3S1_1" formatStyle="Comma"/>
        <m:item xlName="_GBC_e92fe496bce14022997a1beb2008def0" concept="clcid-pte:QianQiChaCuoGengZhengDaoZhiQiTaQuanYiGongJuZhongDeQiTaBianDongJinE" label="前期差错更正导致其他权益工具中的其他变动金额" periodRef="本期期初数" mulRef="_GBC_57faea4e453e49ad93821b7dd6ce8bc4" unitRef="_GBC_cef77704267643d794145c73763360e5" addr="T0R6C4S1_1" formatStyle="Comma"/>
        <m:item xlName="_GBC_29d82b4dcd5145748fbf8f7e50500315" concept="clcid-pte:QianQiChaCuoGengZhengDaoZhiZiBenGongJiBianDongJinE" label="前期差错更正导致资本公积变动金额" periodRef="本期期初数" mulRef="_GBC_57faea4e453e49ad93821b7dd6ce8bc4" unitRef="_GBC_cef77704267643d794145c73763360e5" addr="T0R6C5S1_1" formatStyle="Comma"/>
        <m:item xlName="_GBC_9f49a7a645e54562bfbc02ee2d8a9929" concept="clcid-pte:QianQiChaCuoGengZhengDaoZhiKuCunGuBianDongJinE" label="前期差错更正导致库存股变动金额" periodRef="本期期初数" mulRef="_GBC_57faea4e453e49ad93821b7dd6ce8bc4" unitRef="_GBC_cef77704267643d794145c73763360e5" addr="T0R6C6S1_1" formatStyle="Comma"/>
        <m:item xlName="_GBC_47e5b455db3047b1bb3ad946e1874bf5" concept="clcid-pte:QianQiChaCuoGengZhengDaoZhiQiTaZongHeShouYiBianDongJinE" label="前期差错更正导致其他综合收益变动金额" periodRef="本期期初数" mulRef="_GBC_57faea4e453e49ad93821b7dd6ce8bc4" unitRef="_GBC_cef77704267643d794145c73763360e5" addr="T0R6C7S1_1" formatStyle="Comma"/>
        <m:item xlName="_GBC_690cc5143c6145c3a6b9b6c9d07a1838" concept="clcid-pte:QianQiChaCuoGengZhengDaoZhiZhuanXiangChuBeiBianDongJinE" label="前期差错更正导致专项储备变动金额" periodRef="本期期初数" mulRef="_GBC_57faea4e453e49ad93821b7dd6ce8bc4" unitRef="_GBC_cef77704267643d794145c73763360e5" addr="T0R6C8S1_1" formatStyle="Comma"/>
        <m:item xlName="_GBC_8f80453163614b20b841579e7e971b61" concept="clcid-pte:QianQiChaCuoGengZhengDaoZhiYingYuGongJiBianDongJinE" label="前期差错更正导致盈余公积变动金额" periodRef="本期期初数" mulRef="_GBC_57faea4e453e49ad93821b7dd6ce8bc4" unitRef="_GBC_cef77704267643d794145c73763360e5" addr="T0R6C9S1_1" formatStyle="Comma"/>
        <m:item xlName="_GBC_c85d311425884cf4a1092a9183a2e2b0" concept="clcid-pte:QianQiChaCuoGengZhengDaoZhiYiBanFengXianZhunBeiBianDongJinE" label="前期差错更正导致一般风险准备变动金额" periodRef="本期期初数" mulRef="_GBC_57faea4e453e49ad93821b7dd6ce8bc4" unitRef="_GBC_cef77704267643d794145c73763360e5" addr="T0R6C10S1_1" formatStyle="Comma"/>
        <m:item xlName="_GBC_6d888b9f2ea24fdf98493273df708ac9" concept="clcid-pte:QianQiChaCuoGengZhengDaoZhiWeiFenPeiLiRunBianDongJinE" label="前期差错更正导致未分配利润变动金额" periodRef="本期期初数" mulRef="_GBC_57faea4e453e49ad93821b7dd6ce8bc4" unitRef="_GBC_cef77704267643d794145c73763360e5" addr="T0R6C11S1_1" formatStyle="Comma"/>
        <m:item xlName="_GBC_7a7e03a16525458397a9ba2d90b1516c" concept="clcid-pte:QianQiChaCuoGengZhengDaoZhiQiTaDeGuiShuYuMuGongSiSuoYouZheQuanYiBianDongJinE" label="前期差错更正导致其他的归属于母公司所有者权益变动金额" periodRef="本期期初数" mulRef="_GBC_57faea4e453e49ad93821b7dd6ce8bc4" unitRef="_GBC_cef77704267643d794145c73763360e5" addr="T0R6C12S1_1" formatStyle="Comma"/>
        <m:item xlName="_GBC_a047a98189dc488c9a600f4dcf70179b" concept="clcid-pte:QianQiChaCuoGengZhengDaoZhiGuiShuYuMuGongSiSuoYouZheQuanYiBianDongJinE" label="前期差错更正导致归属于母公司所有者权益变动金额" periodRef="本期期初数" mulRef="_GBC_57faea4e453e49ad93821b7dd6ce8bc4" unitRef="_GBC_cef77704267643d794145c73763360e5" addr="T0R6C13S1_1" formatStyle="Comma"/>
        <m:item xlName="_GBC_a64b0e4332ab4c1b84840bdfac52f5a3" concept="clcid-pte:QianQiChaCuoGengZhengDaoZhiShaoShuGuDongQuanYiBianDongJinE" label="前期差错更正导致少数股东权益变动金额" periodRef="本期期初数" mulRef="_GBC_57faea4e453e49ad93821b7dd6ce8bc4" unitRef="_GBC_cef77704267643d794145c73763360e5" addr="T0R6C14S1_1" formatStyle="Comma"/>
        <m:item xlName="_GBC_0859c5dffc1c45a181f68ebc8ef9a3cf" concept="clcid-pte:QianQiChaCuoGengZhengDaoZhiGuDongQuanYiHeJiBianDongJinE" label="前期差错更正导致股东权益合计变动金额" periodRef="本期期初数" mulRef="_GBC_57faea4e453e49ad93821b7dd6ce8bc4" unitRef="_GBC_cef77704267643d794145c73763360e5" addr="T0R6C15S1_1" formatStyle="Comma"/>
        <m:placeholder xlName="_PLD_1a5424a99ed44019a3f8a704efe4903d" addr="T0R7C0S1_1"/>
        <m:item xlName="_GBC_cbc5f0b439784ea0961c4ef83012d993" concept="clcid-pte:TongYiKongZhiXiaQiYeHeBingDaoZhiGuBenBianDongJinE" label="同一控制下企业合并导致股本变动金额" periodRef="本期期初数" mulRef="_GBC_57faea4e453e49ad93821b7dd6ce8bc4" unitRef="_GBC_cef77704267643d794145c73763360e5" addr="T0R7C1S1_1" formatStyle="Comma"/>
        <m:item xlName="_GBC_b69d9c175b31449291c55a7601d2bb38" concept="clcid-pte:TongYiKongZhiXiaQiYeHeBingDaoZhiYouXianGuBianDongJinE" label="同一控制下企业合并导致优先股变动金额" periodRef="本期期初数" mulRef="_GBC_57faea4e453e49ad93821b7dd6ce8bc4" unitRef="_GBC_cef77704267643d794145c73763360e5" addr="T0R7C2S1_1" formatStyle="Comma"/>
        <m:item xlName="_GBC_76a563d3727b4726b9f73b8bee492a94" concept="clcid-pte:TongYiKongZhiXiaQiYeHeBingDaoZhiYongXuZhaiBianDongJinE" label="同一控制下企业合并导致永续债变动金额" periodRef="本期期初数" mulRef="_GBC_57faea4e453e49ad93821b7dd6ce8bc4" unitRef="_GBC_cef77704267643d794145c73763360e5" addr="T0R7C3S1_1" formatStyle="Comma"/>
        <m:item xlName="_GBC_b0ec1285f85547aa9ceafde21335b8fa" concept="clcid-pte:TongYiKongZhiXiaQiYeHeBingDaoZhiQiTaQuanYiGongJuZhongDeQiTaBianDongJinE" label="同一控制下企业合并导致其他权益工具中的其他变动金额" periodRef="本期期初数" mulRef="_GBC_57faea4e453e49ad93821b7dd6ce8bc4" unitRef="_GBC_cef77704267643d794145c73763360e5" addr="T0R7C4S1_1" formatStyle="Comma"/>
        <m:item xlName="_GBC_23d3adeb98e4435db38ae0bc7bb29778" concept="clcid-pte:TongYiKongZhiXiaQiYeHeBingDaoZhiZiBenGongJiBianDongJinE" label="同一控制下企业合并导致资本公积变动金额" periodRef="本期期初数" mulRef="_GBC_57faea4e453e49ad93821b7dd6ce8bc4" unitRef="_GBC_cef77704267643d794145c73763360e5" addr="T0R7C5S1_1" formatStyle="Comma"/>
        <m:item xlName="_GBC_70f98de8716c497bb79539c471d1533a" concept="clcid-pte:TongYiKongZhiXiaQiYeHeBingDaoZhiKuCunGuBianDongJinE" label="同一控制下企业合并导致库存股变动金额" periodRef="本期期初数" mulRef="_GBC_57faea4e453e49ad93821b7dd6ce8bc4" unitRef="_GBC_cef77704267643d794145c73763360e5" addr="T0R7C6S1_1" formatStyle="Comma"/>
        <m:item xlName="_GBC_e81d2a447f5942dcb538807b60ffb9bc" concept="clcid-pte:TongYiKongZhiXiaQiYeHeBingDaoZhiQiTaZongHeShouYiBianDongJinE" label="同一控制下企业合并导致其他综合收益变动金额" periodRef="本期期初数" mulRef="_GBC_57faea4e453e49ad93821b7dd6ce8bc4" unitRef="_GBC_cef77704267643d794145c73763360e5" addr="T0R7C7S1_1" formatStyle="Comma"/>
        <m:item xlName="_GBC_0e89e46f23694e48bd678fdca653d966" concept="clcid-pte:TongYiKongZhiXiaQiYeHeBingDaoZhiZhuanXiangChuBeiBianDongJinE" label="同一控制下企业合并导致专项储备变动金额" periodRef="本期期初数" mulRef="_GBC_57faea4e453e49ad93821b7dd6ce8bc4" unitRef="_GBC_cef77704267643d794145c73763360e5" addr="T0R7C8S1_1" formatStyle="Comma"/>
        <m:item xlName="_GBC_aaf1f70dadfc48a5a042a37668a6a61f" concept="clcid-pte:TongYiKongZhiXiaQiYeHeBingDaoZhiYingYuGongJiBianDongJinE" label="同一控制下企业合并导致盈余公积变动金额" periodRef="本期期初数" mulRef="_GBC_57faea4e453e49ad93821b7dd6ce8bc4" unitRef="_GBC_cef77704267643d794145c73763360e5" addr="T0R7C9S1_1" formatStyle="Comma"/>
        <m:item xlName="_GBC_54de4bdd9d154d4384df7074b5a03409" concept="clcid-pte:TongYiKongZhiXiaQiYeHeBingDaoZhiYiBanFengXianZhunBeiBianDongJinE" label="同一控制下企业合并导致一般风险准备变动金额" periodRef="本期期初数" mulRef="_GBC_57faea4e453e49ad93821b7dd6ce8bc4" unitRef="_GBC_cef77704267643d794145c73763360e5" addr="T0R7C10S1_1" formatStyle="Comma"/>
        <m:item xlName="_GBC_9d8c1fbd5ec04e0ca4e5d18baba606ab" concept="clcid-pte:TongYiKongZhiXiaQiYeHeBingDaoZhiWeiFenPeiLiRunBianDongJinE" label="同一控制下企业合并导致未分配利润变动金额" periodRef="本期期初数" mulRef="_GBC_57faea4e453e49ad93821b7dd6ce8bc4" unitRef="_GBC_cef77704267643d794145c73763360e5" addr="T0R7C11S1_1" formatStyle="Comma"/>
        <m:item xlName="_GBC_571a23afe7ea41409ea8751ba4553d64" concept="clcid-pte:TongYiKongZhiXiaQiYeHeBingDaoZhiQiTaDeGuiShuYuMuGongSiSuoYouZheQuanYiBianDongJinE" label="同一控制下企业合并导致其他的归属于母公司所有者权益变动金额" periodRef="本期期初数" mulRef="_GBC_57faea4e453e49ad93821b7dd6ce8bc4" unitRef="_GBC_cef77704267643d794145c73763360e5" addr="T0R7C12S1_1" formatStyle="Comma"/>
        <m:item xlName="_GBC_9d3150f2c7784faaa1f365a9d766dad9" concept="clcid-pte:TongYiKongZhiXiaQiYeHeBingDaoZhiGuiShuYuMuGongSiSuoYouZheQuanYiBianDongJinE" label="同一控制下企业合并导致归属于母公司所有者权益变动金额" periodRef="本期期初数" mulRef="_GBC_57faea4e453e49ad93821b7dd6ce8bc4" unitRef="_GBC_cef77704267643d794145c73763360e5" addr="T0R7C13S1_1" formatStyle="Comma"/>
        <m:item xlName="_GBC_63c47ece2d35447abbcce78833f1efec" concept="clcid-pte:TongYiKongZhiXiaQiYeHeBingDaoZhiShaoShuGuDongQuanYiBianDongJinE" label="同一控制下企业合并导致少数股东权益变动金额" periodRef="本期期初数" mulRef="_GBC_57faea4e453e49ad93821b7dd6ce8bc4" unitRef="_GBC_cef77704267643d794145c73763360e5" addr="T0R7C14S1_1" formatStyle="Comma"/>
        <m:item xlName="_GBC_54e0ac6cd0ac4af7bc1ddea764bcfa09" concept="clcid-pte:TongYiKongZhiXiaQiYeHeBingDaoZhiGuDongQuanYiHeJiBianDongJinE" label="同一控制下企业合并导致股东权益合计变动金额" periodRef="本期期初数" mulRef="_GBC_57faea4e453e49ad93821b7dd6ce8bc4" unitRef="_GBC_cef77704267643d794145c73763360e5" addr="T0R7C15S1_1" formatStyle="Comma"/>
        <m:placeholder xlName="_PLD_7953fd87201b462ab8c42a4716d6cb65" addr="T0R8C0S1_1"/>
        <m:item xlName="_GBC_1f7f3ef32ffd4101b6e19456ebcb6356" concept="clcid-pte:QiTaZhuiSuTiaoZhengDaoZhiShiShouZiBenBianDongJinE" label="实收资本变动金额（其他追溯调整）" periodRef="本期期初数" mulRef="_GBC_57faea4e453e49ad93821b7dd6ce8bc4" unitRef="_GBC_cef77704267643d794145c73763360e5" addr="T0R8C1S1_1" formatStyle="Comma"/>
        <m:item xlName="_GBC_d5ce429341c84afc894139b7a3c57bf1" concept="clcid-pte:YouXianGuBianDongJinEQiTaZhuiSuDiaoZheng" label="优先股变动金额（其他追溯调整）" periodRef="本期期初数" mulRef="_GBC_57faea4e453e49ad93821b7dd6ce8bc4" unitRef="_GBC_cef77704267643d794145c73763360e5" addr="T0R8C2S1_1" formatStyle="Comma"/>
        <m:item xlName="_GBC_5425e71ce2af4b92b9710c429a8499a8" concept="clcid-pte:YongXuZhaiBianDongJinEQiTaZhuiSuDiaoZheng" label="永续债变动金额（其他追溯调整）" periodRef="本期期初数" mulRef="_GBC_57faea4e453e49ad93821b7dd6ce8bc4" unitRef="_GBC_cef77704267643d794145c73763360e5" addr="T0R8C3S1_1" formatStyle="Comma"/>
        <m:item xlName="_GBC_321663c4e3614687ad8842acddb57528" concept="clcid-pte:QiTaQuanYiGongJuZhongDeQiTaBianDongJinEQiTaZhuiSuDiaoZheng" label="其他权益工具中的其他变动金额（其他追溯调整）" periodRef="本期期初数" mulRef="_GBC_57faea4e453e49ad93821b7dd6ce8bc4" unitRef="_GBC_cef77704267643d794145c73763360e5" addr="T0R8C4S1_1" formatStyle="Comma"/>
        <m:item xlName="_GBC_bbd3b5d07bdd46e49236ee758ef23ace" concept="clcid-pte:QiTaZhuiSuTiaoZhengDaoZhiZiBenGongJiBianDongJinE" label="资本公积变动金额（其他追溯调整）" periodRef="本期期初数" mulRef="_GBC_57faea4e453e49ad93821b7dd6ce8bc4" unitRef="_GBC_cef77704267643d794145c73763360e5" addr="T0R8C5S1_1" formatStyle="Comma"/>
        <m:item xlName="_GBC_da9de58472c54cb6bcf465fd0a37e6be" concept="clcid-pte:QiTaZhuiSuTiaoZhengDaoZhiKuCunGuBianDongJinE" label="库存股变动金额（其他追溯调整）" periodRef="本期期初数" mulRef="_GBC_57faea4e453e49ad93821b7dd6ce8bc4" unitRef="_GBC_cef77704267643d794145c73763360e5" addr="T0R8C6S1_1" formatStyle="Comma"/>
        <m:item xlName="_GBC_67bafe935c474207ab3571207b042218" concept="clcid-pte:QiTaZongHeShouYiBianDongJinEQiTaZhuiSuDiaoZheng" label="其他综合收益变动金额（其他追溯调整）" periodRef="本期期初数" mulRef="_GBC_57faea4e453e49ad93821b7dd6ce8bc4" unitRef="_GBC_cef77704267643d794145c73763360e5" addr="T0R8C7S1_1" formatStyle="Comma"/>
        <m:item xlName="_GBC_01d3b01225ea4d7f83dbf7245c48672b" concept="clcid-pte:QiTaZhuiSuTiaoZhengDaoZhiZhuanXiangChuBeiBianDongJinE" label="专项储备变动金额（其他追溯调整）" periodRef="本期期初数" mulRef="_GBC_57faea4e453e49ad93821b7dd6ce8bc4" unitRef="_GBC_cef77704267643d794145c73763360e5" addr="T0R8C8S1_1" formatStyle="Comma"/>
        <m:item xlName="_GBC_b844e0863c894ef787bfdc1ae1ec3c51" concept="clcid-pte:QiTaZhuiSuTiaoZhengDaoZhiYingYuGongJiBianDongJinE" label="盈余公积变动金额（其他追溯调整）" periodRef="本期期初数" mulRef="_GBC_57faea4e453e49ad93821b7dd6ce8bc4" unitRef="_GBC_cef77704267643d794145c73763360e5" addr="T0R8C9S1_1" formatStyle="Comma"/>
        <m:item xlName="_GBC_96030994fa284dd6b8307a609d407fb9" concept="clcid-pte:QiTaZhuiSuTiaoZhengDaoZhiYiBanFengXianZhunBeiBianDongJinE" label="一般风险准备变动金额（其他追溯调整）" periodRef="本期期初数" mulRef="_GBC_57faea4e453e49ad93821b7dd6ce8bc4" unitRef="_GBC_cef77704267643d794145c73763360e5" addr="T0R8C10S1_1" formatStyle="Comma"/>
        <m:item xlName="_GBC_7d3a8a7d30b74e8fa260f7be851fee6a" concept="clcid-pte:QiTaZhuiSuTiaoZhengDaoZhiWeiFenPeiLiRunBianDongJinE" label="未分配利润变动金额（其他追溯调整）" periodRef="本期期初数" mulRef="_GBC_57faea4e453e49ad93821b7dd6ce8bc4" unitRef="_GBC_cef77704267643d794145c73763360e5" addr="T0R8C11S1_1" formatStyle="Comma"/>
        <m:item xlName="_GBC_1d766371e8a64b23a5479e8f00d7c981" concept="clcid-pte:QiTaZhuiSuTiaoZhengDaoZhiQiTaGuiShuYuMuGongSiSuoYouZheQuanYiBianDongJinE" label="其他归属于母公司所有者权益变动金额（其他追溯调整）" periodRef="本期期初数" mulRef="_GBC_57faea4e453e49ad93821b7dd6ce8bc4" unitRef="_GBC_cef77704267643d794145c73763360e5" addr="T0R8C12S1_1" formatStyle="Comma"/>
        <m:item xlName="_GBC_5238ec832edd435aa7b32eae394a36c0" concept="clcid-pte:QiTaZhuiSuTiaoZhengDaoZhiGuiShuYuMuGongSiSuoYouZheQuanYiBianDongJinE" label="归属于母公司所有者权益变动金额（其他追溯调整）" periodRef="本期期初数" mulRef="_GBC_57faea4e453e49ad93821b7dd6ce8bc4" unitRef="_GBC_cef77704267643d794145c73763360e5" addr="T0R8C13S1_1" formatStyle="Comma"/>
        <m:item xlName="_GBC_e239453a7b6e412d9e8540a6e2f66fd7" concept="clcid-pte:QiTaZhuiSuTiaoZhengDaoZhiShaoShuGuDongQuanYiBianDongJinE" label="少数股东权益变动金额（其他追溯调整）" periodRef="本期期初数" mulRef="_GBC_57faea4e453e49ad93821b7dd6ce8bc4" unitRef="_GBC_cef77704267643d794145c73763360e5" addr="T0R8C14S1_1" formatStyle="Comma"/>
        <m:item xlName="_GBC_5d0a4c60be364d0d995b9432b120d38d" concept="clcid-pte:QiTaZhuiSuTiaoZhengDaoZhiGuDongQuanYiBianDongJinE" label="股东权益变动金额（其他追溯调整）" periodRef="本期期初数" mulRef="_GBC_57faea4e453e49ad93821b7dd6ce8bc4" unitRef="_GBC_cef77704267643d794145c73763360e5" addr="T0R8C15S1_1" formatStyle="Comma"/>
        <m:placeholder xlName="_PLD_16d601e73dc14990b60ca53acf1371ba" addr="T0R9C0S1_1"/>
        <m:item xlName="_GBC_0c662007ff334bb781a6a3a735e723f7" concept="clcid-pte:GuBen" label="股本" periodRef="本期期初数" mulRef="_GBC_57faea4e453e49ad93821b7dd6ce8bc4" unitRef="_GBC_cef77704267643d794145c73763360e5" addr="T0R9C1S1_1" formatStyle="Comma">
          <m:complexRule comparator="Eq" title="股本@本期期初数" test=" $_GBC_2a48cd3f70d94e34968adccf792039b2 +  $_GBC_4dcd5d84107d48829691bb41c460fcd6 +  $_GBC_052eb8c214ea494aa6a424858b98d449 +  $_GBC_cbc5f0b439784ea0961c4ef83012d993 +  $_GBC_1f7f3ef32ffd4101b6e19456ebcb6356" id="C6db2ed0876ec40a4930438c3856235a5" radius="0.0001"/>
        </m:item>
        <m:item xlName="_GBC_c3677caf0e384a30b62aff570f4edd20" concept="clcid-pte:QiTaQuanYiGongJuQiZhongYouXianGu" label="其他权益工具-其中：优先股" periodRef="本期期初数" mulRef="_GBC_57faea4e453e49ad93821b7dd6ce8bc4" unitRef="_GBC_cef77704267643d794145c73763360e5" addr="T0R9C2S1_1" formatStyle="Comma">
          <m:complexRule comparator="Eq" title="其他权益工具-其中：优先股@本期期初数" test=" $_GBC_f35b3ab1eb4c4fa4879673cd9e9b3ace +  $_GBC_4b97fd793fe9426098404ea504e3d7eb +  $_GBC_9075a1534b294a91bcbbf354238fe8b7 +  $_GBC_b69d9c175b31449291c55a7601d2bb38 +  $_GBC_d5ce429341c84afc894139b7a3c57bf1" id="Cc80b264f8c6943a19288f8632df35207"/>
        </m:item>
        <m:item xlName="_GBC_885424eb670f4e9ab89ef8def1ef5ca2" concept="clcid-pte:QiTaQuanYiGongJuYongXuZhai" label="其他权益工具-永续债" periodRef="本期期初数" mulRef="_GBC_57faea4e453e49ad93821b7dd6ce8bc4" unitRef="_GBC_cef77704267643d794145c73763360e5" addr="T0R9C3S1_1" formatStyle="Comma">
          <m:complexRule comparator="Eq" title="其他权益工具-永续债@本期期初数" test=" $_GBC_a61a93441152475db9586a1c38419535 +  $_GBC_954c08590128459dae721f9baf64a3af +  $_GBC_3483a72025c7474ca89c0be607e9509f +  $_GBC_76a563d3727b4726b9f73b8bee492a94 +  $_GBC_5425e71ce2af4b92b9710c429a8499a8" id="Cb330e70e3de041e09a091f2a0ff9dcd4"/>
        </m:item>
        <m:item xlName="_GBC_2d71b862596249ccbec39ded5462fc34" concept="clcid-pte:QiTaQuanYiGongJuQiTa" label="其他权益工具-其他" periodRef="本期期初数" mulRef="_GBC_57faea4e453e49ad93821b7dd6ce8bc4" unitRef="_GBC_cef77704267643d794145c73763360e5" addr="T0R9C4S1_1" formatStyle="Comma">
          <m:complexRule comparator="Eq" title="其他权益工具-其他@本期期初数" test=" $_GBC_c36369125339497b9d32bd74edae9f05 +  $_GBC_5769b4b779354943b6d4b13ae67bf1f4 +  $_GBC_e92fe496bce14022997a1beb2008def0 +  $_GBC_b0ec1285f85547aa9ceafde21335b8fa +  $_GBC_321663c4e3614687ad8842acddb57528" id="Cf5148751853547a68372f7789e925df7"/>
        </m:item>
        <m:item xlName="_GBC_e7e04f7d01204105956d91f5c1571e28" concept="clcid-pte:ZiBenGongJi" label="资本公积" periodRef="本期期初数" mulRef="_GBC_57faea4e453e49ad93821b7dd6ce8bc4" unitRef="_GBC_cef77704267643d794145c73763360e5" addr="T0R9C5S1_1" formatStyle="Comma">
          <m:complexRule comparator="Eq" title="资本公积@本期期初数" test=" $_GBC_5a28cd87b006409499b33fed193e92f9 +  $_GBC_47d838519444468baa8f5578c223635d +  $_GBC_29d82b4dcd5145748fbf8f7e50500315 +  $_GBC_23d3adeb98e4435db38ae0bc7bb29778 +  $_GBC_bbd3b5d07bdd46e49236ee758ef23ace" id="C5acc761eed6742f9bba8d0ec0edbd2ca" radius="0.0001"/>
        </m:item>
        <m:item xlName="_GBC_9f2d69e7d06844c69ea1f80787d08bbf" concept="clcid-pte:KuCunGu" label="库存股" periodRef="本期期初数" mulRef="_GBC_57faea4e453e49ad93821b7dd6ce8bc4" unitRef="_GBC_cef77704267643d794145c73763360e5" addr="T0R9C6S1_1" formatStyle="Comma">
          <m:complexRule comparator="Eq" title="库存股@本期期初数" test=" $_GBC_787415b0f2ef4683a25f0141ac69f7eb +  $_GBC_7750a1204fdc4645b5dd1c8f7580d1ba +  $_GBC_9f49a7a645e54562bfbc02ee2d8a9929 +  $_GBC_70f98de8716c497bb79539c471d1533a +  $_GBC_da9de58472c54cb6bcf465fd0a37e6be" id="C4c1eb61326e14fd39637bc8a60343cf3" radius="0.0001"/>
        </m:item>
        <m:item xlName="_GBC_4a6bcd6c044c48fc98aae3ad1b8aa16e" concept="clcid-pte:QiTaZongHeShouYiZiChanFuZhaiBiaoXiangMu" label="其他综合收益（资产负债表项目）" periodRef="本期期初数" mulRef="_GBC_57faea4e453e49ad93821b7dd6ce8bc4" unitRef="_GBC_cef77704267643d794145c73763360e5" addr="T0R9C7S1_1" formatStyle="Comma">
          <m:complexRule comparator="Eq" title="其他综合收益（资产负债表项目）@本期期初数" test=" $_GBC_2638d85431704f6a94e82ae74bb1adf5 +  $_GBC_44cc114c1e8f4f978d82c5f14365300b +  $_GBC_47e5b455db3047b1bb3ad946e1874bf5 +  $_GBC_e81d2a447f5942dcb538807b60ffb9bc +  $_GBC_67bafe935c474207ab3571207b042218" id="Ca1bf9f4452244835a4a2d9a5e94b42bf"/>
        </m:item>
        <m:item xlName="_GBC_d49744c39d574e4ba85cc0b415a054e4" concept="clcid-pte:ZhuanXiangChuBei" label="专项储备" periodRef="本期期初数" mulRef="_GBC_57faea4e453e49ad93821b7dd6ce8bc4" unitRef="_GBC_cef77704267643d794145c73763360e5" addr="T0R9C8S1_1" formatStyle="Comma">
          <m:complexRule comparator="Eq" title="专项储备@本期期初数" test=" $_GBC_aa6704accee44e90bf17ba6505171a25 +  $_GBC_abbda9bc16554aaf867205803a74ae14 +  $_GBC_690cc5143c6145c3a6b9b6c9d07a1838 +  $_GBC_0e89e46f23694e48bd678fdca653d966 +  $_GBC_01d3b01225ea4d7f83dbf7245c48672b" id="C5a3e016b946c4b1c8af777d3316115d8" radius="0.0001"/>
        </m:item>
        <m:item xlName="_GBC_448e9d5c6c324c7b977e3120b163c949" concept="clcid-pte:YingYuGongJi" label="盈余公积" periodRef="本期期初数" mulRef="_GBC_57faea4e453e49ad93821b7dd6ce8bc4" unitRef="_GBC_cef77704267643d794145c73763360e5" addr="T0R9C9S1_1" formatStyle="Comma">
          <m:complexRule comparator="Eq" title="盈余公积@本期期初数" test=" $_GBC_e5af2051e7c04d949ad388d8c59d4c71 +  $_GBC_af5c61442f8e4d9da166c4bcab887ba9 +  $_GBC_8f80453163614b20b841579e7e971b61 +  $_GBC_aaf1f70dadfc48a5a042a37668a6a61f +  $_GBC_b844e0863c894ef787bfdc1ae1ec3c51" id="Cd7cd0b0813aa4844b6fa14e6ed19fb8f" radius="0.0001"/>
        </m:item>
        <m:item xlName="_GBC_76a84421833441ae8dacfed428ac73a7" concept="clcid-pte:YiBanFengXianZhunBei" label="一般风险准备" periodRef="本期期初数" mulRef="_GBC_57faea4e453e49ad93821b7dd6ce8bc4" unitRef="_GBC_cef77704267643d794145c73763360e5" addr="T0R9C10S1_1" formatStyle="Comma">
          <m:complexRule comparator="Eq" title="一般风险准备@本期期初数" test=" $_GBC_929660d22f6e40369bba692eb395bba2 +  $_GBC_81f742bd68974b2ab3027cebdcf9e8c4 +  $_GBC_c85d311425884cf4a1092a9183a2e2b0 +  $_GBC_54de4bdd9d154d4384df7074b5a03409 +  $_GBC_96030994fa284dd6b8307a609d407fb9" id="C374ba2b23d644918ab0831fa9d593068" radius="0.0001"/>
        </m:item>
        <m:item xlName="_GBC_0029fc559a9c4f1e97bf224794aa2515" concept="clcid-pte:WeiFenPeiLiRun" label="未分配利润" periodRef="本期期初数" mulRef="_GBC_57faea4e453e49ad93821b7dd6ce8bc4" unitRef="_GBC_cef77704267643d794145c73763360e5" addr="T0R9C11S1_1" formatStyle="Comma">
          <m:complexRule comparator="Eq" title="未分配利润@本期期初数" test=" $_GBC_c7fcad78f5ec4ade955895585296c5cf +  $_GBC_9b788a673d194d9ab2620c795e5c5ecf +  $_GBC_6d888b9f2ea24fdf98493273df708ac9 +  $_GBC_9d8c1fbd5ec04e0ca4e5d18baba606ab +  $_GBC_7d3a8a7d30b74e8fa260f7be851fee6a" id="C476dec66930c449f906f4d93ad33accf" radius="0.0001"/>
        </m:item>
        <m:item xlName="_GBC_6ec93edf5a144df1a0e7f56dbfeb4ff2" concept="clcid-pte:QiTaDeGuiShuYuMuGongSiSuoYouZheQuanYi" label="其他的归属于母公司所有者权益" periodRef="本期期初数" mulRef="_GBC_57faea4e453e49ad93821b7dd6ce8bc4" unitRef="_GBC_cef77704267643d794145c73763360e5" addr="T0R9C12S1_1" formatStyle="Comma">
          <m:complexRule comparator="Eq" title="其他的归属于母公司所有者权益@本期期初数" test=" $_GBC_be48b137367e42c9b286e258e5a98e80 +  $_GBC_431997c0f3f540b2a0f2915d34a9d0d2 +  $_GBC_7a7e03a16525458397a9ba2d90b1516c +  $_GBC_571a23afe7ea41409ea8751ba4553d64 +  $_GBC_1d766371e8a64b23a5479e8f00d7c981" id="C5c3f259243cc42a38920340dbed511cf"/>
        </m:item>
        <m:item xlName="_GBC_cc9ba51b117641a2bf7b77cee68b1f69" concept="clcid-pte:GuiShuYuMuGongSiSuoYouZheQuanYiHeJi" label="归属于母公司所有者权益合计" periodRef="本期期初数" mulRef="_GBC_57faea4e453e49ad93821b7dd6ce8bc4" unitRef="_GBC_cef77704267643d794145c73763360e5" addr="T0R9C13S1_1" formatStyle="Comma">
          <m:complexRule comparator="Eq" title="归属于母公司所有者权益合计@本期期初数" test=" $_GBC_4c1f47baccb24c12b29170bd8daae272 +  $_GBC_e515f1378d8b4493955dda0e30924799 +  $_GBC_a047a98189dc488c9a600f4dcf70179b +  $_GBC_9d3150f2c7784faaa1f365a9d766dad9 +  $_GBC_5238ec832edd435aa7b32eae394a36c0" id="C1a57fdcc682a4d9383d11bdd7b2367cd"/>
        </m:item>
        <m:item xlName="_GBC_5a51fde8d9bd442ea9614c5e602523a4" concept="clcid-pte:ShaoShuGuDongQuanYi" label="少数股东权益" periodRef="本期期初数" mulRef="_GBC_57faea4e453e49ad93821b7dd6ce8bc4" unitRef="_GBC_cef77704267643d794145c73763360e5" addr="T0R9C14S1_1" formatStyle="Comma">
          <m:complexRule comparator="Eq" title="少数股东权益@本期期初数" test=" $_GBC_5fd8e2cca85649859a3610a4459c4cfe +  $_GBC_81e28c06ebb54bf3a4b2c6d032037d37 +  $_GBC_a64b0e4332ab4c1b84840bdfac52f5a3 +  $_GBC_63c47ece2d35447abbcce78833f1efec +  $_GBC_e239453a7b6e412d9e8540a6e2f66fd7" id="Cd7b3ccf4bff04709887d66ffff630f0b"/>
        </m:item>
        <m:item xlName="_GBC_b247fe380cff44978c88ba0c44328776" concept="clcid-pte:GuDongQuanYiHeJi" label="股东权益合计" periodRef="本期期初数" mulRef="_GBC_57faea4e453e49ad93821b7dd6ce8bc4" unitRef="_GBC_cef77704267643d794145c73763360e5" addr="T0R9C15S1_1" formatStyle="Comma">
          <m:complexRule comparator="Eq" title="股东权益合计@本期期初数" test=" $_GBC_3da432db294d4b91908f25c84b2b579a +  $_GBC_1d0377e6fe104a3dbff7b0d93142a4a9 +  $_GBC_0859c5dffc1c45a181f68ebc8ef9a3cf +  $_GBC_54e0ac6cd0ac4af7bc1ddea764bcfa09 +  $_GBC_5d0a4c60be364d0d995b9432b120d38d" id="Ccc89ec0cf36b4736926690e24e699048"/>
        </m:item>
        <m:placeholder xlName="_PLD_60156dcb8ac241a7929015e75c8eef16" addr="T0R10C0S1_1"/>
        <m:item xlName="_GBC_3af7eb97d3514f10a23c0b89023752b4" concept="clcid-pte:ShiShouZiBenHuoGuBenJingEZengJianBianDongJinE" label="实收资本（或股本）净额增减变动金额" mulRef="_GBC_57faea4e453e49ad93821b7dd6ce8bc4" unitRef="_GBC_cef77704267643d794145c73763360e5" addr="T0R10C1S1_1" formatStyle="Comma">
          <m:complexRule comparator="Eq" title="实收资本（或股本）净额增减变动金额" test=" $_GBC_fb0e279f648742b2bde1fb4eb64ce027 +  $_GBC_53a2b0c45a35497ab0b00e30b4f387f1 +  $_GBC_3a0ff53b646f43a7a1f9c558b9fed774 +  $_GBC_158326596e364a8ebe7839d08241e207 +  $_GBC_5b133c420da349708e6643bb6b0c1e6e +  $_GBC_e5bb57182cb84c139313dd87a42549fc" id="C9c45a748e28d48d49d71e959c20da6f7" radius="0.0001"/>
        </m:item>
        <m:item xlName="_GBC_31de6e6e3245453bb81137017f32526d" concept="clcid-pte:QiTaQuanYiGongJuZhongDeYouXianGuZengJianBianDongJinE" label="其他权益工具中的优先股增减变动金额" mulRef="_GBC_57faea4e453e49ad93821b7dd6ce8bc4" unitRef="_GBC_cef77704267643d794145c73763360e5" addr="T0R10C2S1_1" formatStyle="Comma">
          <m:complexRule comparator="Eq" title="其他权益工具中的优先股增减变动金额" test=" $_GBC_c8b641490bcd40c4a0577f32e33573df +  $_GBC_7fd9608cc38643e38cad5ba261e018fd +  $_GBC_cef027cb84874282a4234d3d919e2525 +  $_GBC_48b490e8cc30489d90aea1c1433b16e3 +  $_GBC_df89eee61a754edfb5a05b61c5b1418c +  $_GBC_4cb17ac0318c46f5b906906cf31a388b" id="C199df6468b3a43319f4429d2671435bf"/>
        </m:item>
        <m:item xlName="_GBC_e17ba5ca57b44d3b979e1bcc360525f3" concept="clcid-pte:QiTaQuanYiGongJuZhongDeYongXuZhaiZengJianBianDongJinE" label="其他权益工具中的永续债增减变动金额" mulRef="_GBC_57faea4e453e49ad93821b7dd6ce8bc4" unitRef="_GBC_cef77704267643d794145c73763360e5" addr="T0R10C3S1_1" formatStyle="Comma">
          <m:complexRule comparator="Eq" title="其他权益工具中的永续债增减变动金额" test=" $_GBC_69f54da5019644068526258bac1b49c3 +  $_GBC_b35bfd334f564cf1ba7b2e56be61be8e +  $_GBC_a4434a7b99ac4c55bae83e1870dc0552 +  $_GBC_620dc73dc88947bf8ad75cf15acdfc67 +  $_GBC_9e23218859714c0e96d6c198c2cb79fd +  $_GBC_b99886cc2ef449ee9001767361d56946" id="Cb585e86146154585a90a853829030996"/>
        </m:item>
        <m:item xlName="_GBC_a543ecf27ae64d37802ba6b3403e63d5" concept="clcid-pte:QiTaQuanYiGongJuZhongDeQiTaZengJianBianDongJinE" label="其他权益工具中的其他增减变动金额" mulRef="_GBC_57faea4e453e49ad93821b7dd6ce8bc4" unitRef="_GBC_cef77704267643d794145c73763360e5" addr="T0R10C4S1_1" formatStyle="Comma">
          <m:complexRule comparator="Eq" title="其他权益工具中的其他增减变动金额" test=" $_GBC_c03d9e4b09334d93ac7e0c5997771e9b +  $_GBC_b71e186769444c249b00cd8fb9129429 +  $_GBC_d7a9f70ff8844eedbbc177b5ce7a14ac +  $_GBC_6ec80a2584f54a81b9b594ff2a5d0aa2 +  $_GBC_65b5aa8f1455448ead376358694d1dad +  $_GBC_115fc2853cdb4a3ea7f427dccb84c7f6" id="Cf4becb4b54bd4b4ba25532d1a051b66f"/>
        </m:item>
        <m:item xlName="_GBC_3627c41bf40e462c8620f1263ac7419f" concept="clcid-pte:ZiBenGongJiZengJianBianDongJinE" label="资本公积增减变动金额" mulRef="_GBC_57faea4e453e49ad93821b7dd6ce8bc4" unitRef="_GBC_cef77704267643d794145c73763360e5" addr="T0R10C5S1_1" formatStyle="Comma">
          <m:complexRule comparator="Eq" title="资本公积增减变动金额" test=" $_GBC_aae2902bbf6e49a697cbb0d08a8f2669 +  $_GBC_68ae165e612544e69387f63a3d007298 +  $_GBC_ca43e320938a425daa4d47c7ea4689d2 +  $_GBC_91fefaddee794da7b14ae368d4c4bcc7 +  $_GBC_c5668c5b9c4b4239b60b1a1e142c3572 +  $_GBC_f93f79cca9c642cba3f66db418f8b2c3" id="Cf2cb80bfb0d648d194613feb0f1ff6fb" radius="0.0001"/>
        </m:item>
        <m:item xlName="_GBC_cfb742bc65374c42aec857140a23c67b" concept="clcid-pte:KuCunGuZengJianBianDongJinE" label="库存股增减变动金额" mulRef="_GBC_57faea4e453e49ad93821b7dd6ce8bc4" unitRef="_GBC_cef77704267643d794145c73763360e5" addr="T0R10C6S1_1" formatStyle="Comma">
          <m:complexRule comparator="Eq" title="库存股增减变动金额" test=" $_GBC_4ffb9b03d5cc48f4acfde07216ec6b54 +  $_GBC_2213a42694074933a28a2a9943fd2d05 +  $_GBC_e9850772adf640108ea606c7effd2558 +  $_GBC_3a3e42b36589436990f828f15a5d24e2 +  $_GBC_6ce020937acc447bb5699bedc911da7e +  $_GBC_b057b3deaf984131a7982c200f385c4d" id="C7a15467ce5ca4f0092e12ee348f233df" radius="0.0001"/>
        </m:item>
        <m:item xlName="_GBC_22fc524f34c3429d8663894de117905f" concept="clcid-pte:QiTaZongHeShouYiZengJianBianDongJinE" label="其他综合收益增减变动金额" mulRef="_GBC_57faea4e453e49ad93821b7dd6ce8bc4" unitRef="_GBC_cef77704267643d794145c73763360e5" addr="T0R10C7S1_1" formatStyle="Comma">
          <m:complexRule comparator="Eq" title="其他综合收益增减变动金额" test=" $_GBC_8181639bbfa14fcdbdb232ee01aa29a1 +  $_GBC_35d117e617224e0188132c43674b2398 +  $_GBC_af21ec91ef5643488dfec3fec8c64520 +  $_GBC_74801f12253b4ffcadc9dc50e79a7c31 +  $_GBC_b2224b7668d74a5b89c2777235f7abbc +  $_GBC_31755b23bf0647ffad40c136225f52e3" id="C330cef28a9f847329739cc2a3277c1c6"/>
        </m:item>
        <m:item xlName="_GBC_96bb018f4932409099361a683927bf0f" concept="clcid-pte:ZhuanXiangChuBeiZengJianBianDongJinE" label="专项储备增减变动金额" mulRef="_GBC_57faea4e453e49ad93821b7dd6ce8bc4" unitRef="_GBC_cef77704267643d794145c73763360e5" addr="T0R10C8S1_1" formatStyle="Comma">
          <m:complexRule comparator="Eq" title="专项储备增减变动金额" test=" $_GBC_6ce5a42f614c4987a51cfb320dadb73a +  $_GBC_7f6c8c15ddca4891838ef233ae79987c +  $_GBC_f1779e1993f84d86b164fa733de9b714 +  $_GBC_8e2e37aeaf87454290b0faa72339d109 +  $_GBC_b63eebc4f8294c6cab43080ea2183269 +  $_GBC_bcdbc1209b754c2f98c23f4aca0c0ae2" id="C7c20a38eca00474880d15117e9b86bc0"/>
        </m:item>
        <m:item xlName="_GBC_c6732712698a45e4a89bee4861e3db6b" concept="clcid-pte:YingYuGongJiZengJianBianDongJinE" label="盈余公积增减变动金额" mulRef="_GBC_57faea4e453e49ad93821b7dd6ce8bc4" unitRef="_GBC_cef77704267643d794145c73763360e5" addr="T0R10C9S1_1" formatStyle="Comma">
          <m:complexRule comparator="Eq" title="盈余公积增减变动金额" test=" $_GBC_a017b9a7b7fd4aef80259d0feecf3577 +  $_GBC_cb0bdf6fb77444aa94cc975b71a0be3f +  $_GBC_31ba2b8a65ef499eb2c5d3c38b1eb730 +  $_GBC_78f6c7fbe15d42ba8efbe962e7c7161f +  $_GBC_03826d85012a4886ac133e89e44c70a4 +  $_GBC_342200a60246426fb3eab7fde28e53f0" id="C0ee064b73273434cbe72f9dc727305af"/>
        </m:item>
        <m:item xlName="_GBC_3b86797cd0ef43538ea94d1f6fe0fbe9" concept="clcid-pte:YiBanFengXianZhunBeiZengJianBianDongJinE" label="一般风险准备增减变动金额" mulRef="_GBC_57faea4e453e49ad93821b7dd6ce8bc4" unitRef="_GBC_cef77704267643d794145c73763360e5" addr="T0R10C10S1_1" formatStyle="Comma">
          <m:complexRule comparator="Eq" title="一般风险准备增减变动金额" test=" $_GBC_aa67cf36d71f4fd692a323409fc783d3 +  $_GBC_c9fca5cae4e64ab1bd43a0822a02689f +  $_GBC_a30aef806fe64f0e9e7646bf73a5cdbe +  $_GBC_0db3cfd387c34e5f9a8fbf3fd3a7ff06 +  $_GBC_edb79244254b409a98c43f26be77f9a2 +  $_GBC_66c87d17cb814231bab585cfb33549f4" id="C319583baf6ea45b49a0ea5ae17a9fa37"/>
        </m:item>
        <m:item xlName="_GBC_c725506b3ad84eccb3fac140c784126f" concept="clcid-pte:WeiFenPeiLiRunZengJianBianDongJinE" label="未分配利润增减变动金额" mulRef="_GBC_57faea4e453e49ad93821b7dd6ce8bc4" unitRef="_GBC_cef77704267643d794145c73763360e5" addr="T0R10C11S1_1" formatStyle="Comma">
          <m:complexRule comparator="Eq" title="未分配利润增减变动金额" test=" $_GBC_8c3566faf42144d797829c723441ea52 +  $_GBC_570dcbc2399941448f32034c03710f51 +  $_GBC_c6e745e9942c43bb813c139cdc55c224 +  $_GBC_0843778eede64550b36fc99966817c0a +  $_GBC_6f589e43d1be447a9260eb6c071a39b6 +  $_GBC_ec9db240ea72422e8db149aae16a8004" id="C640590654adb4b82ad123f233d250ddc"/>
        </m:item>
        <m:item xlName="_GBC_86e681f063cf4e4e8e042efca13c686d" concept="clcid-pte:QiTaDeGuiShuYuMuGongSiSuoYouZheQuanYiZengJianBianDongJinE" label="其他的归属于母公司所有者权益增减变动金额" mulRef="_GBC_57faea4e453e49ad93821b7dd6ce8bc4" unitRef="_GBC_cef77704267643d794145c73763360e5" addr="T0R10C12S1_1" formatStyle="Comma">
          <m:complexRule comparator="Eq" title="其他的归属于母公司所有者权益增减变动金额" test=" $_GBC_2134daa5e4544552b59d9dd0a32ac680 +  $_GBC_670bc241fcb84ad1b5450e74ac8d2698 +  $_GBC_80f2803156254bdbbe01c4b8dd7639e8 +  $_GBC_c3a1393bd87a4bdcb9e2f0168eb9738e +  $_GBC_bb40ec88bcc04b13aafb388066987c9f +  $_GBC_86f11dfca9a44f249ec66e84b57c1b44" id="C0a81c689400e4998aae742879835c72d"/>
        </m:item>
        <m:item xlName="_GBC_9b533eea753f42678e94aac87164c8f9" concept="clcid-pte:GuiShuYuMuGongSiSuoYouZheQuanYiZengJianBianDongJinE" label="归属于母公司所有者权益增减变动金额" mulRef="_GBC_57faea4e453e49ad93821b7dd6ce8bc4" unitRef="_GBC_cef77704267643d794145c73763360e5" addr="T0R10C13S1_1" formatStyle="Comma">
          <m:complexRule comparator="Eq" title="归属于母公司所有者权益变动金额小计变动金额" test=" $_GBC_0eb3f2e40d784151bdd725447d2a7881 +  $_GBC_5d71eeafa9084274ac16ab6bd869f6fb +  $_GBC_796410d10595447f9d384040b3836046 +  $_GBC_2ed846f10ca148fca67e10caa343a4b7 +  $_GBC_6bd3a7a569dd478fbc6d6829ce98fac6 +  $_GBC_cb0016cce8fe43e98003b2b13a1a8310" id="Cef43cef5e9f84fe9bf11f82680cde94e"/>
        </m:item>
        <m:item xlName="_GBC_c1baf9fd3a7c43e3b0765626d3f4786a" concept="clcid-pte:ShaoShuGuDongQuanYiZengJianBianDongJinE" label="少数股东权益增减变动金额" mulRef="_GBC_57faea4e453e49ad93821b7dd6ce8bc4" unitRef="_GBC_cef77704267643d794145c73763360e5" addr="T0R10C14S1_1" formatStyle="Comma">
          <m:complexRule comparator="Eq" title="少数股东权益增减变动金额" test=" $_GBC_149d893d54b049c0864237e6b4ac81a9 +  $_GBC_8b6817f804804532b66016470f7f7907 +  $_GBC_a9a30b0b9f8647d9b4ef82d45ad73fd9 +  $_GBC_6433a03aaf764c6bbb7fb28a263f4a75 +  $_GBC_8cab485a956f4ba2b7b46408d57ad6ed +  $_GBC_7ee4bb8a90ca4d6f876a811900bbf14f" id="C7f42180a5881473095103e854327725b"/>
        </m:item>
        <m:item xlName="_GBC_2aea7e65200c4636b30927f80555b840" concept="clcid-pte:GuDongQuanYiHeJiZengJianBianDongJinE" label="股东权益合计增减变动金额" mulRef="_GBC_57faea4e453e49ad93821b7dd6ce8bc4" unitRef="_GBC_cef77704267643d794145c73763360e5" addr="T0R10C15S1_1" formatStyle="Comma">
          <m:complexRule comparator="Eq" title="股东权益合计增减变动金额" test=" $_GBC_c8730066cf9a41769a95297ba550a73f +  $_GBC_910332ab8e674e6ea78bcb44729a6667 +  $_GBC_365bd934a2ad4f509a4b2e07a201b733 +  $_GBC_11ffe4abc91c475a9946d7350026712f +  $_GBC_2f85c153c72c4e148843c5f5780b7d6f +  $_GBC_e5424969832b49b886fcd601a1464e2b" id="Cc86835daef7c41cdb1af60ce55432adf"/>
        </m:item>
        <m:placeholder xlName="_PLD_b05dacde51ff43abaf7ec73bf9668d99" addr="T0R11C0S1_1"/>
        <m:item xlName="_GBC_fb0e279f648742b2bde1fb4eb64ce027" concept="clcid-pte:ZongHeShouYiZongEDaoZhiGuBenBianDongJinE" label="综合收益总额导致股本变动金额" mulRef="_GBC_57faea4e453e49ad93821b7dd6ce8bc4" unitRef="_GBC_cef77704267643d794145c73763360e5" addr="T0R11C1S1_1" formatStyle="Comma"/>
        <m:item xlName="_GBC_c8b641490bcd40c4a0577f32e33573df" concept="clcid-pte:ZongHeShouYiZongEDaoZhiYouXianGuBianDongJinE" label="综合收益总额导致优先股变动金额" mulRef="_GBC_57faea4e453e49ad93821b7dd6ce8bc4" unitRef="_GBC_cef77704267643d794145c73763360e5" addr="T0R11C2S1_1" formatStyle="Comma"/>
        <m:item xlName="_GBC_69f54da5019644068526258bac1b49c3" concept="clcid-pte:ZongHeShouYiZongEDaoZhiYongXuZhaiBianDongJinE" label="综合收益总额导致永续债变动金额" mulRef="_GBC_57faea4e453e49ad93821b7dd6ce8bc4" unitRef="_GBC_cef77704267643d794145c73763360e5" addr="T0R11C3S1_1" formatStyle="Comma"/>
        <m:item xlName="_GBC_c03d9e4b09334d93ac7e0c5997771e9b" concept="clcid-pte:ZongHeShouYiZongEDaoZhiQiTaQuanYiGongJuZhongDeQiTaBianDongJinE" label="综合收益总额导致其他权益工具中的其他变动金额" mulRef="_GBC_57faea4e453e49ad93821b7dd6ce8bc4" unitRef="_GBC_cef77704267643d794145c73763360e5" addr="T0R11C4S1_1" formatStyle="Comma"/>
        <m:item xlName="_GBC_aae2902bbf6e49a697cbb0d08a8f2669" concept="clcid-pte:ZongHeShouYiZongEDaoZhiZiBenGongJiBianDongJinE" label="综合收益总额导致资本公积变动金额" mulRef="_GBC_57faea4e453e49ad93821b7dd6ce8bc4" unitRef="_GBC_cef77704267643d794145c73763360e5" addr="T0R11C5S1_1" formatStyle="Comma"/>
        <m:item xlName="_GBC_4ffb9b03d5cc48f4acfde07216ec6b54" concept="clcid-pte:ZongHeShouYiZongEDaoZhiKuCunGuBianDongJinE" label="综合收益总额导致库存股变动金额" mulRef="_GBC_57faea4e453e49ad93821b7dd6ce8bc4" unitRef="_GBC_cef77704267643d794145c73763360e5" addr="T0R11C6S1_1" formatStyle="Comma"/>
        <m:item xlName="_GBC_8181639bbfa14fcdbdb232ee01aa29a1" concept="clcid-pte:ZongHeShouYiZongEDaoZhiQiTaZongHeShouYiBianDongJinE" label="综合收益总额导致其他综合收益变动金额" mulRef="_GBC_57faea4e453e49ad93821b7dd6ce8bc4" unitRef="_GBC_cef77704267643d794145c73763360e5" addr="T0R11C7S1_1" formatStyle="Comma"/>
        <m:item xlName="_GBC_6ce5a42f614c4987a51cfb320dadb73a" concept="clcid-pte:ZongHeShouYiZongEDaoZhiZhuanXiangChuBeiBianDongJinE" label="综合收益总额导致专项储备变动金额" mulRef="_GBC_57faea4e453e49ad93821b7dd6ce8bc4" unitRef="_GBC_cef77704267643d794145c73763360e5" addr="T0R11C8S1_1" formatStyle="Comma"/>
        <m:item xlName="_GBC_a017b9a7b7fd4aef80259d0feecf3577" concept="clcid-pte:ZongHeShouYiZongEDaoZhiYingYuGongJiBianDongJinE" label="综合收益总额导致盈余公积变动金额" mulRef="_GBC_57faea4e453e49ad93821b7dd6ce8bc4" unitRef="_GBC_cef77704267643d794145c73763360e5" addr="T0R11C9S1_1" formatStyle="Comma"/>
        <m:item xlName="_GBC_aa67cf36d71f4fd692a323409fc783d3" concept="clcid-pte:ZongHeShouYiZongEDaoZhiYiBanFengXianZhunBeiBianDongJinE" label="综合收益总额导致一般风险准备变动金额" mulRef="_GBC_57faea4e453e49ad93821b7dd6ce8bc4" unitRef="_GBC_cef77704267643d794145c73763360e5" addr="T0R11C10S1_1" formatStyle="Comma"/>
        <m:item xlName="_GBC_8c3566faf42144d797829c723441ea52" concept="clcid-pte:ZongHeShouYiZongEDaoZhiWeiFenPeiLiRunBianDongJinE" label="综合收益总额导致未分配利润变动金额" mulRef="_GBC_57faea4e453e49ad93821b7dd6ce8bc4" unitRef="_GBC_cef77704267643d794145c73763360e5" addr="T0R11C11S1_1" formatStyle="Comma"/>
        <m:item xlName="_GBC_2134daa5e4544552b59d9dd0a32ac680" concept="clcid-pte:ZongHeShouYiZongEDaoZhiQiTaDeGuiShuYuMuGongSiSuoYouZheQuanYiBianDongJinE" label="综合收益总额导致其他的归属于母公司所有者权益变动金额" mulRef="_GBC_57faea4e453e49ad93821b7dd6ce8bc4" unitRef="_GBC_cef77704267643d794145c73763360e5" addr="T0R11C12S1_1" formatStyle="Comma"/>
        <m:item xlName="_GBC_0eb3f2e40d784151bdd725447d2a7881" concept="clcid-pte:ZongHeShouYiZongEDaoZhiGuiShuYuMuGongSiSuoYouZheQuanYiBianDongJinE" label="综合收益总额导致归属于母公司所有者权益变动金额" mulRef="_GBC_57faea4e453e49ad93821b7dd6ce8bc4" unitRef="_GBC_cef77704267643d794145c73763360e5" addr="T0R11C13S1_1" formatStyle="Comma"/>
        <m:item xlName="_GBC_149d893d54b049c0864237e6b4ac81a9" concept="clcid-pte:ZongHeShouYiZongEDaoZhiShaoShuGuDongQuanYiBianDongJinE" label="综合收益总额导致少数股东权益变动金额" mulRef="_GBC_57faea4e453e49ad93821b7dd6ce8bc4" unitRef="_GBC_cef77704267643d794145c73763360e5" addr="T0R11C14S1_1" formatStyle="Comma"/>
        <m:item xlName="_GBC_c8730066cf9a41769a95297ba550a73f" concept="clcid-pte:ZongHeShouYiZongEDaoZhiGuDongQuanYiHeJiBianDongJinE" label="综合收益总额导致股东权益合计变动金额" mulRef="_GBC_57faea4e453e49ad93821b7dd6ce8bc4" unitRef="_GBC_cef77704267643d794145c73763360e5" addr="T0R11C15S1_1" formatStyle="Comma"/>
        <m:placeholder xlName="_PLD_f17921fb207340239c73a056e615d773" addr="T0R12C0S1_1"/>
        <m:item xlName="_GBC_53a2b0c45a35497ab0b00e30b4f387f1" concept="clcid-pte:SuoYouZheTouRuHeJianShaoZiBenDaoZhiShiShouZiBenHuoGuBenJingEBianDongJinE" label="所有者投入和减少资本导致实收资本（或股本）净额变动金额" mulRef="_GBC_57faea4e453e49ad93821b7dd6ce8bc4" unitRef="_GBC_cef77704267643d794145c73763360e5" addr="T0R12C1S1_1" formatStyle="Comma">
          <m:complexRule comparator="Eq" title="所有者投入和减少资本导致实收资本（或股本）净额变动金额" test=" $_GBC_1ef7499c294040618d3c638da4fc57e7 +  $_GBC_272ee4840cd344bc9b82789f5fcd2af0 +  $_GBC_5aa336b355e44669b7d9bb69d8f1726c +  $_GBC_413cbfd3c67448a986a99cfc9ab30e16" id="Cd591a3c2c2f34b0bb297447392a510ea" radius="0.0001"/>
        </m:item>
        <m:item xlName="_GBC_7fd9608cc38643e38cad5ba261e018fd" concept="clcid-pte:SuoYouZheTouRuHeJianShaoZiBenDaoZhiQiTaQuanYiGongJuZhongDeYouXianGuBianDongJinE" label="所有者投入和减少资本导致其他权益工具中的优先股变动金额" mulRef="_GBC_57faea4e453e49ad93821b7dd6ce8bc4" unitRef="_GBC_cef77704267643d794145c73763360e5" addr="T0R12C2S1_1" formatStyle="Comma">
          <m:complexRule comparator="Eq" title="所有者投入和减少资本导致其他权益工具中的优先股变动金额" test=" $_GBC_564c664bcfc94870ab4bfa9c0855b017 +  $_GBC_05009b1a8408429c87bbae95411b7e5a +  $_GBC_6f53131641444aaf892cf4884a81ccd0 +  $_GBC_7e65141db5644b258c8b0f100cae87ff" id="Cc68ce3e9da7f4c53808181efa306fc66"/>
        </m:item>
        <m:item xlName="_GBC_b35bfd334f564cf1ba7b2e56be61be8e" concept="clcid-pte:SuoYouZheTouRuHeJianShaoZiBenDaoZhiQiTaQuanYiGongJuZhongDeYongXuZhaiBianDongJinE" label="所有者投入和减少资本导致其他权益工具中的永续债变动金额" mulRef="_GBC_57faea4e453e49ad93821b7dd6ce8bc4" unitRef="_GBC_cef77704267643d794145c73763360e5" addr="T0R12C3S1_1" formatStyle="Comma">
          <m:complexRule comparator="Eq" title="所有者投入和减少资本导致其他权益工具中的永续债变动金额" test=" $_GBC_e0f146d847554ae083fd75e440464f31 +  $_GBC_d75cbd81d0a440b988dede0d218a30d2 +  $_GBC_436e13fa49e043b5a4d65883e1bc6875 +  $_GBC_e39f106386814522b56ed6538eafdb7a" id="Cba78498b74d44b5b8f4cf57a6145e8e8"/>
        </m:item>
        <m:item xlName="_GBC_b71e186769444c249b00cd8fb9129429" concept="clcid-pte:SuoYouZheTouRuHeJianShaoZiBenDaoZhiQiTaQuanYiGongJuZhongDeQiTaBianDongJinE" label="所有者投入和减少资本导致其他权益工具中的其他变动金额" mulRef="_GBC_57faea4e453e49ad93821b7dd6ce8bc4" unitRef="_GBC_cef77704267643d794145c73763360e5" addr="T0R12C4S1_1" formatStyle="Comma">
          <m:complexRule comparator="Eq" title="所有者投入和减少资本导致其他权益工具中的其他变动金额" test=" $_GBC_f322dbe37b144962a9f4c2ada45b18cd +  $_GBC_0205ed43c0aa40e5902e9ec02246b996 +  $_GBC_41df43579d714e22b9fbe776df8fabe7 +  $_GBC_679099b8063e45b2a91e69f7d25d0897" id="C184c9897ac284173b8d40c216a2afde5"/>
        </m:item>
        <m:item xlName="_GBC_68ae165e612544e69387f63a3d007298" concept="clcid-pte:SuoYouZheTouRuHeJianShaoZiBenDaoZhiZiBenGongJiBianDongJinE" label="所有者投入和减少资本导致资本公积变动金额" mulRef="_GBC_57faea4e453e49ad93821b7dd6ce8bc4" unitRef="_GBC_cef77704267643d794145c73763360e5" addr="T0R12C5S1_1" formatStyle="Comma">
          <m:complexRule comparator="Eq" title="所有者投入和减少资本导致资本公积变动金额" test=" $_GBC_2bcede48c6ac4e178a895c920987ad30 +  $_GBC_bd2a483d35ad4d709ed3ca65eaeb2a8d +  $_GBC_d47f62a223d1452c9e4e8ca146739fa3 +  $_GBC_5f9a76279e3f4bc49aaa082bb5bb8353" id="C05c49f82fe234a358ef6fb3ff263e232" radius="0.0001"/>
        </m:item>
        <m:item xlName="_GBC_2213a42694074933a28a2a9943fd2d05" concept="clcid-pte:SuoYouZheTouRuHeJianShaoZiBenDaoZhiKuCunGuBianDongJinE" label="所有者投入和减少资本导致库存股变动金额" mulRef="_GBC_57faea4e453e49ad93821b7dd6ce8bc4" unitRef="_GBC_cef77704267643d794145c73763360e5" addr="T0R12C6S1_1" formatStyle="Comma">
          <m:complexRule comparator="Eq" title="所有者投入和减少资本导致库存股变动金额" test=" $_GBC_3f94a46ad5b44639a3a0cdfe1533738f +  $_GBC_e32c55233b4940a38c32ee8c2b8dab6b +  $_GBC_b80cf70f484b47c9ade2811657c905f3 +  $_GBC_be92e6d49fb44efba098c3396c247bac" id="C511c16a3c9fb404a9fc4e88dc1de9092" radius="0.0001"/>
        </m:item>
        <m:item xlName="_GBC_35d117e617224e0188132c43674b2398" concept="clcid-pte:SuoYouZheTouRuHeJianShaoZiBenDaoZhiQiTaZongHeShouYiBianDongJinE" label="所有者投入和减少资本导致其他综合收益变动金额" mulRef="_GBC_57faea4e453e49ad93821b7dd6ce8bc4" unitRef="_GBC_cef77704267643d794145c73763360e5" addr="T0R12C7S1_1" formatStyle="Comma">
          <m:complexRule comparator="Eq" title="所有者投入和减少资本导致其他综合收益变动金额" test=" $_GBC_ad642a829d4240fb831e58f8abfdbd2e +  $_GBC_c2b70d17b87c4b51b95ad5c965d05ebc +  $_GBC_12693b9eddc946d9818a6e58730df957 +  $_GBC_4abe8b05268443a0b9973e0faecaf0bd" id="Cca11b6984b0a45bb9fdd6033c26c7180"/>
        </m:item>
        <m:item xlName="_GBC_7f6c8c15ddca4891838ef233ae79987c" concept="clcid-pte:SuoYouZheTouRuHeJianShaoZiBenDaoZhiZhuanXiangChuBeiBianDongJinE" label="所有者投入和减少资本导致专项储备变动金额" mulRef="_GBC_57faea4e453e49ad93821b7dd6ce8bc4" unitRef="_GBC_cef77704267643d794145c73763360e5" addr="T0R12C8S1_1" formatStyle="Comma">
          <m:complexRule comparator="Eq" title="所有者投入和减少资本导致专项储备变动金额" test=" $_GBC_c9b2988006ab46f9a1d81d654de240cd +  $_GBC_c36187945c3d4372b3d942cd50da8bb1 +  $_GBC_83ba1fa6a0b141f28d5af2c6ceb37a33 +  $_GBC_b9097087a7d54505b4d4e77c07ec527e" id="Cf606bbf3db1e46a094b9968c2ed3a32c"/>
        </m:item>
        <m:item xlName="_GBC_cb0bdf6fb77444aa94cc975b71a0be3f" concept="clcid-pte:SuoYouZheTouRuHeJianShaoZiBenDaoZhiYingYuGongJiBianDongJinE" label="所有者投入和减少资本导致盈余公积变动金额" mulRef="_GBC_57faea4e453e49ad93821b7dd6ce8bc4" unitRef="_GBC_cef77704267643d794145c73763360e5" addr="T0R12C9S1_1" formatStyle="Comma">
          <m:complexRule comparator="Eq" title="所有者投入和减少资本导致盈余公积变动金额" test=" $_GBC_e1f467b8121b4a7ca1585de7ed8b58ea +  $_GBC_8e595496005745fd8d0e1fc10c1adf21 +  $_GBC_253d78c0252e47f38eb6efcc5dcf9618 +  $_GBC_13bd847177c242ef9de5478e6ba9abee" id="Cda939feaf0c341c49959eea420e2120d"/>
        </m:item>
        <m:item xlName="_GBC_c9fca5cae4e64ab1bd43a0822a02689f" concept="clcid-pte:SuoYouZheTouRuHeJianShaoZiBenDaoZhiYiBanFengXianZhunBeiBianDongJinE" label="所有者投入和减少资本导致一般风险准备变动金额" mulRef="_GBC_57faea4e453e49ad93821b7dd6ce8bc4" unitRef="_GBC_cef77704267643d794145c73763360e5" addr="T0R12C10S1_1" formatStyle="Comma">
          <m:complexRule comparator="Eq" title="所有者投入和减少资本导致一般风险准备变动金额" test=" $_GBC_4d8fa6ab6e844813a829eb35e1a4d1c6 +  $_GBC_7be547304c304c889629f52be3d1cad8 +  $_GBC_85656b47b3784f8ead748b40ac28c0d4 +  $_GBC_5425ca8ca641484f8ea9c871fbcf0d91" id="Ceb910c6380b541668bfdfd413214393d"/>
        </m:item>
        <m:item xlName="_GBC_570dcbc2399941448f32034c03710f51" concept="clcid-pte:SuoYouZheTouRuHeJianShaoZiBenDaoZhiWeiFenPeiLiRunBianDongJinE" label="所有者投入和减少资本导致未分配利润变动金额" mulRef="_GBC_57faea4e453e49ad93821b7dd6ce8bc4" unitRef="_GBC_cef77704267643d794145c73763360e5" addr="T0R12C11S1_1" formatStyle="Comma">
          <m:complexRule comparator="Eq" title="所有者投入和减少资本导致未分配利润变动金额" test=" $_GBC_2e0166d98aa04a58b5a1c7806cbc91e7 +  $_GBC_7605bd7ecbbc4aa6a60307c61e22b15f +  $_GBC_892a6daff2f74efab8aa72f840d4121d +  $_GBC_71856d6351fd4e49b4d3001669b847fc" id="C1ac2c12ee6ab4edb9087c1602dda83dd"/>
        </m:item>
        <m:item xlName="_GBC_670bc241fcb84ad1b5450e74ac8d2698" concept="clcid-pte:SuoYouZheTouRuHeJianShaoZiBenDaoZhiQiTaDeGuiShuYuMuGongSiSuoYouZheQuanYiBianDongJinE" label="所有者投入和减少资本导致其他的归属于母公司所有者权益变动金额" mulRef="_GBC_57faea4e453e49ad93821b7dd6ce8bc4" unitRef="_GBC_cef77704267643d794145c73763360e5" addr="T0R12C12S1_1" formatStyle="Comma">
          <m:complexRule comparator="Eq" title="所有者投入资本导致其他的归属于母公司所有者权益变动金额" test=" $_GBC_f3e85c2e6f7242d0ba8071d98a4be9c8 +  $_GBC_f6cf1cc4eb224fa78b7fcb091d69b608 +  $_GBC_2743d59c1d5046a588a3dfb65da07425 +  $_GBC_0c643b8cfc8f4d48a3f3c40b3a412c34" id="C2139d836cdf948edb4966f5766849a97"/>
        </m:item>
        <m:item xlName="_GBC_5d71eeafa9084274ac16ab6bd869f6fb" concept="clcid-pte:SuoYouZheTouRuHeJianShaoZiBenDaoZhiGuiShuYuMuGongSiSuoYouZheQuanYiBianDongJinE" label="所有者投入和减少资本导致归属于母公司所有者权益变动金额" mulRef="_GBC_57faea4e453e49ad93821b7dd6ce8bc4" unitRef="_GBC_cef77704267643d794145c73763360e5" addr="T0R12C13S1_1" formatStyle="Comma">
          <m:complexRule comparator="Eq" title="所有者投入和减少资本导致归属于母公司所有者权益变动金额小计" test=" $_GBC_e2b1ffdf4d7449fbb6e63472a9626f50 +  $_GBC_a0cb6a71e9a34bf5b55f8ddbfbe9a47c +  $_GBC_a5e1c566e3064673b93874ea9cdd6cee +  $_GBC_eb3f6b79128148808e90ccf7ba38ac12" id="C1c339b859fe1450d8fdbebdfedcc33a4"/>
        </m:item>
        <m:item xlName="_GBC_8b6817f804804532b66016470f7f7907" concept="clcid-pte:SuoYouZheTouRuHeJianShaoZiBenDaoZhiShaoShuGuDongQuanYiBianDongJinE" label="所有者投入和减少资本导致少数股东权益变动金额" mulRef="_GBC_57faea4e453e49ad93821b7dd6ce8bc4" unitRef="_GBC_cef77704267643d794145c73763360e5" addr="T0R12C14S1_1" formatStyle="Comma">
          <m:complexRule comparator="Eq" title="所有者投入和减少资本导致少数股东权益变动金额" test=" $_GBC_2a71f61549cc4041be9cfe61766a129c +  $_GBC_87bdeae3080f4993ab0e6b1e4c0ce1b4 +  $_GBC_588beff2e16a40ea9494affb9ab9ddd7 +  $_GBC_533a50a063a9425690b28cb397b1f7cd" id="C722173a3f3d5494ca12212a47a08bfc6"/>
        </m:item>
        <m:item xlName="_GBC_910332ab8e674e6ea78bcb44729a6667" concept="clcid-pte:SuoYouZheTouRuHeJianShaoZiBenDaoZhiGuDongQuanYiHeJiBianDongJinE" label="所有者投入和减少资本导致股东权益合计变动金额" mulRef="_GBC_57faea4e453e49ad93821b7dd6ce8bc4" unitRef="_GBC_cef77704267643d794145c73763360e5" addr="T0R12C15S1_1" formatStyle="Comma">
          <m:complexRule comparator="Eq" title="所有者投入和减少资本导致股东权益合计变动金额" test=" $_GBC_60260638439c4bffba58f42d194b2232 +  $_GBC_8b6d24ab0c4349579bc399db7c565fd8 +  $_GBC_c5088b48142a44ffafdd56770eca4632 +  $_GBC_e593a456b1464949a46e8baa430887ea" id="C4b3335edd8fa40cf917e01f290e46ffe"/>
        </m:item>
        <m:placeholder xlName="_PLD_a4e5a1909d05445a88f8a664e237ae02" addr="T0R13C0S1_1"/>
        <m:item xlName="_GBC_1ef7499c294040618d3c638da4fc57e7" concept="clcid-pte:GuDongTouRuDePuTongGuDaoZhiGuBenBianDongJinE" label="股东投入的普通股导致股本变动金额" mulRef="_GBC_57faea4e453e49ad93821b7dd6ce8bc4" unitRef="_GBC_cef77704267643d794145c73763360e5" addr="T0R13C1S1_1" formatStyle="Comma"/>
        <m:item xlName="_GBC_564c664bcfc94870ab4bfa9c0855b017" concept="clcid-pte:GuDongTouRuDePuTongGuDaoZhiYouXianGuBianDongJinE" label="股东投入的普通股导致优先股变动金额" mulRef="_GBC_57faea4e453e49ad93821b7dd6ce8bc4" unitRef="_GBC_cef77704267643d794145c73763360e5" addr="T0R13C2S1_1" formatStyle="Comma"/>
        <m:item xlName="_GBC_e0f146d847554ae083fd75e440464f31" concept="clcid-pte:GuDongTouRuDePuTongGuDaoZhiYongXuZhaiBianDongJinE" label="股东投入的普通股导致永续债变动金额" mulRef="_GBC_57faea4e453e49ad93821b7dd6ce8bc4" unitRef="_GBC_cef77704267643d794145c73763360e5" addr="T0R13C3S1_1" formatStyle="Comma"/>
        <m:item xlName="_GBC_f322dbe37b144962a9f4c2ada45b18cd" concept="clcid-pte:GuDongTouRuDePuTongGuDaoZhiQiTaQuanYiGongJuZhongDeQiTaBianDongJinE" label="股东投入的普通股导致其他权益工具中的其他变动金额" mulRef="_GBC_57faea4e453e49ad93821b7dd6ce8bc4" unitRef="_GBC_cef77704267643d794145c73763360e5" addr="T0R13C4S1_1" formatStyle="Comma"/>
        <m:item xlName="_GBC_2bcede48c6ac4e178a895c920987ad30" concept="clcid-pte:GuDongTouRuDePuTongGuDaoZhiZiBenGongJiBianDongJinE" label="股东投入的普通股导致资本公积变动金额" mulRef="_GBC_57faea4e453e49ad93821b7dd6ce8bc4" unitRef="_GBC_cef77704267643d794145c73763360e5" addr="T0R13C5S1_1" formatStyle="Comma"/>
        <m:item xlName="_GBC_3f94a46ad5b44639a3a0cdfe1533738f" concept="clcid-pte:GuDongTouRuDePuTongGuDaoZhiKuCunGuBianDongJinE" label="股东投入的普通股导致库存股变动金额" mulRef="_GBC_57faea4e453e49ad93821b7dd6ce8bc4" unitRef="_GBC_cef77704267643d794145c73763360e5" addr="T0R13C6S1_1" formatStyle="Comma"/>
        <m:item xlName="_GBC_ad642a829d4240fb831e58f8abfdbd2e" concept="clcid-pte:GuDongTouRuDePuTongGuDaoZhiQiTaZongHeShouYiBianDongJinE" label="股东投入的普通股导致其他综合收益变动金额" mulRef="_GBC_57faea4e453e49ad93821b7dd6ce8bc4" unitRef="_GBC_cef77704267643d794145c73763360e5" addr="T0R13C7S1_1" formatStyle="Comma"/>
        <m:item xlName="_GBC_c9b2988006ab46f9a1d81d654de240cd" concept="clcid-pte:GuDongTouRuDePuTongGuDaoZhiZhuanXiangChuBeiBianDongJinE" label="股东投入的普通股导致专项储备变动金额" mulRef="_GBC_57faea4e453e49ad93821b7dd6ce8bc4" unitRef="_GBC_cef77704267643d794145c73763360e5" addr="T0R13C8S1_1" formatStyle="Comma"/>
        <m:item xlName="_GBC_e1f467b8121b4a7ca1585de7ed8b58ea" concept="clcid-pte:GuDongTouRuDePuTongGuDaoZhiYingYuGongJiBianDongJinE" label="股东投入的普通股导致盈余公积变动金额" mulRef="_GBC_57faea4e453e49ad93821b7dd6ce8bc4" unitRef="_GBC_cef77704267643d794145c73763360e5" addr="T0R13C9S1_1" formatStyle="Comma"/>
        <m:item xlName="_GBC_4d8fa6ab6e844813a829eb35e1a4d1c6" concept="clcid-pte:GuDongTouRuDePuTongGuDaoZhiYiBanFengXianZhunBeiBianDongJinE" label="股东投入的普通股导致一般风险准备变动金额" mulRef="_GBC_57faea4e453e49ad93821b7dd6ce8bc4" unitRef="_GBC_cef77704267643d794145c73763360e5" addr="T0R13C10S1_1" formatStyle="Comma"/>
        <m:item xlName="_GBC_2e0166d98aa04a58b5a1c7806cbc91e7" concept="clcid-pte:GuDongTouRuDePuTongGuDaoZhiWeiFenPeiLiRunBianDongJinE" label="股东投入的普通股导致未分配利润变动金额" mulRef="_GBC_57faea4e453e49ad93821b7dd6ce8bc4" unitRef="_GBC_cef77704267643d794145c73763360e5" addr="T0R13C11S1_1" formatStyle="Comma"/>
        <m:item xlName="_GBC_f3e85c2e6f7242d0ba8071d98a4be9c8" concept="clcid-pte:GuDongTouRuDePuTongGuDaoZhiQiTaDeGuiShuYuMuGongSiSuoYouZheQuanYiBianDongJinE" label="股东投入的普通股导致其他的归属于母公司所有者权益变动金额" mulRef="_GBC_57faea4e453e49ad93821b7dd6ce8bc4" unitRef="_GBC_cef77704267643d794145c73763360e5" addr="T0R13C12S1_1" formatStyle="Comma"/>
        <m:item xlName="_GBC_e2b1ffdf4d7449fbb6e63472a9626f50" concept="clcid-pte:GuDongTouRuDePuTongGuDaoZhiGuiShuYuMuGongSiSuoYouZheQuanYiBianDongJinE" label="股东投入的普通股导致归属于母公司所有者权益变动金额" mulRef="_GBC_57faea4e453e49ad93821b7dd6ce8bc4" unitRef="_GBC_cef77704267643d794145c73763360e5" addr="T0R13C13S1_1" formatStyle="Comma"/>
        <m:item xlName="_GBC_2a71f61549cc4041be9cfe61766a129c" concept="clcid-pte:GuDongTouRuDePuTongGuDaoZhiShaoShuGuDongQuanYiBianDongJinE" label="股东投入的普通股导致少数股东权益变动金额" mulRef="_GBC_57faea4e453e49ad93821b7dd6ce8bc4" unitRef="_GBC_cef77704267643d794145c73763360e5" addr="T0R13C14S1_1" formatStyle="Comma"/>
        <m:item xlName="_GBC_60260638439c4bffba58f42d194b2232" concept="clcid-pte:GuDongTouRuDePuTongGuDaoZhiGuDongQuanYiHeJiBianDongJinE" label="股东投入的普通股导致股东权益合计变动金额" mulRef="_GBC_57faea4e453e49ad93821b7dd6ce8bc4" unitRef="_GBC_cef77704267643d794145c73763360e5" addr="T0R13C15S1_1" formatStyle="Comma"/>
        <m:placeholder xlName="_PLD_00983bc5e4cc404f92b2fab2c532ec5f" addr="T0R14C0S1_1"/>
        <m:item xlName="_GBC_272ee4840cd344bc9b82789f5fcd2af0" concept="clcid-pte:QiTaQuanYiGongJuChiYouZheTouRuZiBenDaoZhiGuBenBianDongJinE" label="其他权益工具持有者投入资本导致股本变动金额" mulRef="_GBC_57faea4e453e49ad93821b7dd6ce8bc4" unitRef="_GBC_cef77704267643d794145c73763360e5" addr="T0R14C1S1_1" formatStyle="Comma"/>
        <m:item xlName="_GBC_05009b1a8408429c87bbae95411b7e5a" concept="clcid-pte:QiTaQuanYiGongJuChiYouZheTouRuZiBenDaoZhiYouXianGuBianDongJinE" label="其他权益工具持有者投入资本导致优先股变动金额" mulRef="_GBC_57faea4e453e49ad93821b7dd6ce8bc4" unitRef="_GBC_cef77704267643d794145c73763360e5" addr="T0R14C2S1_1" formatStyle="Comma"/>
        <m:item xlName="_GBC_d75cbd81d0a440b988dede0d218a30d2" concept="clcid-pte:QiTaQuanYiGongJuChiYouZheTouRuZiBenDaoZhiYongXuZhaiBianDongJinE" label="其他权益工具持有者投入资本导致永续债变动金额" mulRef="_GBC_57faea4e453e49ad93821b7dd6ce8bc4" unitRef="_GBC_cef77704267643d794145c73763360e5" addr="T0R14C3S1_1" formatStyle="Comma"/>
        <m:item xlName="_GBC_0205ed43c0aa40e5902e9ec02246b996" concept="clcid-pte:QiTaQuanYiGongJuChiYouZheTouRuZiBenDaoZhiQiTaQuanYiGongJuZhongDeQiTaBianDongJinE" label="其他权益工具持有者投入资本导致其他权益工具中的其他变动金额" mulRef="_GBC_57faea4e453e49ad93821b7dd6ce8bc4" unitRef="_GBC_cef77704267643d794145c73763360e5" addr="T0R14C4S1_1" formatStyle="Comma"/>
        <m:item xlName="_GBC_bd2a483d35ad4d709ed3ca65eaeb2a8d" concept="clcid-pte:QiTaQuanYiGongJuChiYouZheTouRuZiBenDaoZhiZiBenGongJiBianDongJinE" label="其他权益工具持有者投入资本导致资本公积变动金额" mulRef="_GBC_57faea4e453e49ad93821b7dd6ce8bc4" unitRef="_GBC_cef77704267643d794145c73763360e5" addr="T0R14C5S1_1" formatStyle="Comma"/>
        <m:item xlName="_GBC_e32c55233b4940a38c32ee8c2b8dab6b" concept="clcid-pte:QiTaQuanYiGongJuChiYouZheTouRuZiBenDaoZhiKuCunGuBianDongJinE" label="其他权益工具持有者投入资本导致库存股变动金额" mulRef="_GBC_57faea4e453e49ad93821b7dd6ce8bc4" unitRef="_GBC_cef77704267643d794145c73763360e5" addr="T0R14C6S1_1" formatStyle="Comma"/>
        <m:item xlName="_GBC_c2b70d17b87c4b51b95ad5c965d05ebc" concept="clcid-pte:QiTaQuanYiGongJuChiYouZheTouRuZiBenDaoZhiQiTaZongHeShouYiBianDongJinE" label="其他权益工具持有者投入资本导致其他综合收益变动金额" mulRef="_GBC_57faea4e453e49ad93821b7dd6ce8bc4" unitRef="_GBC_cef77704267643d794145c73763360e5" addr="T0R14C7S1_1" formatStyle="Comma"/>
        <m:item xlName="_GBC_c36187945c3d4372b3d942cd50da8bb1" concept="clcid-pte:QiTaQuanYiGongJuChiYouZheTouRuZiBenDaoZhiZhuanXiangChuBeiBianDongJinE" label="其他权益工具持有者投入资本导致专项储备变动金额" mulRef="_GBC_57faea4e453e49ad93821b7dd6ce8bc4" unitRef="_GBC_cef77704267643d794145c73763360e5" addr="T0R14C8S1_1" formatStyle="Comma"/>
        <m:item xlName="_GBC_8e595496005745fd8d0e1fc10c1adf21" concept="clcid-pte:QiTaQuanYiGongJuChiYouZheTouRuZiBenDaoZhiYingYuGongJiBianDongJinE" label="其他权益工具持有者投入资本导致盈余公积变动金额" mulRef="_GBC_57faea4e453e49ad93821b7dd6ce8bc4" unitRef="_GBC_cef77704267643d794145c73763360e5" addr="T0R14C9S1_1" formatStyle="Comma"/>
        <m:item xlName="_GBC_7be547304c304c889629f52be3d1cad8" concept="clcid-pte:QiTaQuanYiGongJuChiYouZheTouRuZiBenDaoZhiYiBanFengXianZhunBeiBianDongJinE" label="其他权益工具持有者投入资本导致一般风险准备变动金额" mulRef="_GBC_57faea4e453e49ad93821b7dd6ce8bc4" unitRef="_GBC_cef77704267643d794145c73763360e5" addr="T0R14C10S1_1" formatStyle="Comma"/>
        <m:item xlName="_GBC_7605bd7ecbbc4aa6a60307c61e22b15f" concept="clcid-pte:QiTaQuanYiGongJuChiYouZheTouRuZiBenDaoZhiWeiFenPeiLiRunBianDongJinE" label="其他权益工具持有者投入资本导致未分配利润变动金额" mulRef="_GBC_57faea4e453e49ad93821b7dd6ce8bc4" unitRef="_GBC_cef77704267643d794145c73763360e5" addr="T0R14C11S1_1" formatStyle="Comma"/>
        <m:item xlName="_GBC_f6cf1cc4eb224fa78b7fcb091d69b608" concept="clcid-pte:QiTaQuanYiGongJuChiYouZheTouRuZiBenDaoZhiQiTaDeGuiShuYuMuGongSiSuoYouZheQuanYiBianDongJinE" label="其他权益工具持有者投入资本导致其他的归属于母公司所有者权益变动金额" mulRef="_GBC_57faea4e453e49ad93821b7dd6ce8bc4" unitRef="_GBC_cef77704267643d794145c73763360e5" addr="T0R14C12S1_1" formatStyle="Comma"/>
        <m:item xlName="_GBC_a0cb6a71e9a34bf5b55f8ddbfbe9a47c" concept="clcid-pte:QiTaQuanYiGongJuChiYouZheTouRuZiBenDaoZhiGuiShuYuMuGongSiSuoYouZheQuanYiBianDongJinE" label="其他权益工具持有者投入资本导致归属于母公司所有者权益变动金额" mulRef="_GBC_57faea4e453e49ad93821b7dd6ce8bc4" unitRef="_GBC_cef77704267643d794145c73763360e5" addr="T0R14C13S1_1" formatStyle="Comma"/>
        <m:item xlName="_GBC_87bdeae3080f4993ab0e6b1e4c0ce1b4" concept="clcid-pte:QiTaQuanYiGongJuChiYouZheTouRuZiBenDaoZhiShaoShuGuDongQuanYiBianDongJinE" label="其他权益工具持有者投入资本导致少数股东权益变动金额" mulRef="_GBC_57faea4e453e49ad93821b7dd6ce8bc4" unitRef="_GBC_cef77704267643d794145c73763360e5" addr="T0R14C14S1_1" formatStyle="Comma"/>
        <m:item xlName="_GBC_8b6d24ab0c4349579bc399db7c565fd8" concept="clcid-pte:QiTaQuanYiGongJuChiYouZheTouRuZiBenDaoZhiGuDongQuanYiHeJiBianDongJinE" label="其他权益工具持有者投入资本导致股东权益合计变动金额" mulRef="_GBC_57faea4e453e49ad93821b7dd6ce8bc4" unitRef="_GBC_cef77704267643d794145c73763360e5" addr="T0R14C15S1_1" formatStyle="Comma"/>
        <m:placeholder xlName="_PLD_b945685508384f75ad9507566dd406a5" addr="T0R15C0S1_1"/>
        <m:item xlName="_GBC_5aa336b355e44669b7d9bb69d8f1726c" concept="clcid-pte:GuFenZhiFuJiRuSuoYouZheQuanYiDeJinEDaoZhiShiShouZiBenHuoGuBenJingEBianDongJinE" label="股份支付计入所有者权益的金额导致实收资本（或股本）净额变动金额" mulRef="_GBC_57faea4e453e49ad93821b7dd6ce8bc4" unitRef="_GBC_cef77704267643d794145c73763360e5" addr="T0R15C1S1_1" formatStyle="Comma"/>
        <m:item xlName="_GBC_6f53131641444aaf892cf4884a81ccd0" concept="clcid-pte:GuFenZhiFuJiRuSuoYouZheQuanYiDeJinEDaoZhiQiTaQuanYiGongJuZhongDeYouXianGuBianDongJinE" label="股份支付计入所有者权益的金额导致其他权益工具中的优先股变动金额" mulRef="_GBC_57faea4e453e49ad93821b7dd6ce8bc4" unitRef="_GBC_cef77704267643d794145c73763360e5" addr="T0R15C2S1_1" formatStyle="Comma"/>
        <m:item xlName="_GBC_436e13fa49e043b5a4d65883e1bc6875" concept="clcid-pte:GuFenZhiFuJiRuSuoYouZheQuanYiDeJinEDaoZhiQiTaQuanYiGongJuZhongDeYongXuZhaiBianDongJinE" label="股份支付计入所有者权益的金额导致其他权益工具中的永续债变动金额" mulRef="_GBC_57faea4e453e49ad93821b7dd6ce8bc4" unitRef="_GBC_cef77704267643d794145c73763360e5" addr="T0R15C3S1_1" formatStyle="Comma"/>
        <m:item xlName="_GBC_41df43579d714e22b9fbe776df8fabe7" concept="clcid-pte:GuFenZhiFuJiRuSuoYouZheQuanYiDeJinEDaoZhiQiTaQuanYiGongJuZhongDeQiTaBianDongJinE" label="股份支付计入所有者权益的金额导致其他权益工具中的其他变动金额" mulRef="_GBC_57faea4e453e49ad93821b7dd6ce8bc4" unitRef="_GBC_cef77704267643d794145c73763360e5" addr="T0R15C4S1_1" formatStyle="Comma"/>
        <m:item xlName="_GBC_d47f62a223d1452c9e4e8ca146739fa3" concept="clcid-pte:GuFenZhiFuJiRuSuoYouZheQuanYiDeJinEDaoZhiZiBenGongJiBianDongJinE" label="股份支付计入所有者权益的金额导致资本公积变动金额" mulRef="_GBC_57faea4e453e49ad93821b7dd6ce8bc4" unitRef="_GBC_cef77704267643d794145c73763360e5" addr="T0R15C5S1_1" formatStyle="Comma"/>
        <m:item xlName="_GBC_b80cf70f484b47c9ade2811657c905f3" concept="clcid-pte:GuFenZhiFuJiRuSuoYouZheQuanYiDeJinEDaoZhiKuCunGuBianDongJinE" label="股份支付计入所有者权益的金额导致库存股变动金额" mulRef="_GBC_57faea4e453e49ad93821b7dd6ce8bc4" unitRef="_GBC_cef77704267643d794145c73763360e5" addr="T0R15C6S1_1" formatStyle="Comma"/>
        <m:item xlName="_GBC_12693b9eddc946d9818a6e58730df957" concept="clcid-pte:GuFenZhiFuJiRuSuoYouZheQuanYiDeJinEDaoZhiQiTaZongHeShouYiBianDongJinE" label="股份支付计入所有者权益的金额导致其他综合收益变动金额" mulRef="_GBC_57faea4e453e49ad93821b7dd6ce8bc4" unitRef="_GBC_cef77704267643d794145c73763360e5" addr="T0R15C7S1_1" formatStyle="Comma"/>
        <m:item xlName="_GBC_83ba1fa6a0b141f28d5af2c6ceb37a33" concept="clcid-pte:GuFenZhiFuJiRuSuoYouZheQuanYiDeJinEDaoZhiZhuanXiangChuBeiBianDongJinE" label="股份支付计入所有者权益的金额导致专项储备变动金额" mulRef="_GBC_57faea4e453e49ad93821b7dd6ce8bc4" unitRef="_GBC_cef77704267643d794145c73763360e5" addr="T0R15C8S1_1" formatStyle="Comma"/>
        <m:item xlName="_GBC_253d78c0252e47f38eb6efcc5dcf9618" concept="clcid-pte:GuFenZhiFuJiRuSuoYouZheQuanYiDeJinEDaoZhiYingYuGongJiBianDongJinE" label="股份支付计入所有者权益的金额导致盈余公积变动金额" mulRef="_GBC_57faea4e453e49ad93821b7dd6ce8bc4" unitRef="_GBC_cef77704267643d794145c73763360e5" addr="T0R15C9S1_1" formatStyle="Comma"/>
        <m:item xlName="_GBC_85656b47b3784f8ead748b40ac28c0d4" concept="clcid-pte:GuFenZhiFuJiRuSuoYouZheQuanYiDeJinEDaoZhiYiBanFengXianZhunBeiBianDongJinE" label="股份支付计入所有者权益的金额导致一般风险准备变动金额" mulRef="_GBC_57faea4e453e49ad93821b7dd6ce8bc4" unitRef="_GBC_cef77704267643d794145c73763360e5" addr="T0R15C10S1_1" formatStyle="Comma"/>
        <m:item xlName="_GBC_892a6daff2f74efab8aa72f840d4121d" concept="clcid-pte:GuFenZhiFuJiRuSuoYouZheQuanYiDeJinEDaoZhiWeiFenPeiLiRunBianDongJinE" label="股份支付计入所有者权益的金额导致未分配利润变动金额" mulRef="_GBC_57faea4e453e49ad93821b7dd6ce8bc4" unitRef="_GBC_cef77704267643d794145c73763360e5" addr="T0R15C11S1_1" formatStyle="Comma"/>
        <m:item xlName="_GBC_2743d59c1d5046a588a3dfb65da07425" concept="clcid-pte:GuFenZhiFuJiRuSuoYouZheQuanYiDeJinEDaoZhiQiTaDeGuiShuYuMuGongSiSuoYouZheQuanYiBianDongJinE" label="股份支付计入所有者权益的金额导致其他的归属于母公司所有者权益变动金额" mulRef="_GBC_57faea4e453e49ad93821b7dd6ce8bc4" unitRef="_GBC_cef77704267643d794145c73763360e5" addr="T0R15C12S1_1" formatStyle="Comma"/>
        <m:item xlName="_GBC_a5e1c566e3064673b93874ea9cdd6cee" concept="clcid-pte:GuFenZhiFuJiRuSuoYouZheQuanYiDeJinEDaoZhiGuiShuYuMuGongSiSuoYouZheQuanYiBianDongJinE" label="股份支付计入所有者权益的金额导致归属于母公司所有者权益变动金额" mulRef="_GBC_57faea4e453e49ad93821b7dd6ce8bc4" unitRef="_GBC_cef77704267643d794145c73763360e5" addr="T0R15C13S1_1" formatStyle="Comma"/>
        <m:item xlName="_GBC_588beff2e16a40ea9494affb9ab9ddd7" concept="clcid-pte:GuFenZhiFuJiRuSuoYouZheQuanYiDeJinEDaoZhiShaoShuGuDongQuanYiBianDongJinE" label="股份支付计入所有者权益的金额导致少数股东权益变动金额" mulRef="_GBC_57faea4e453e49ad93821b7dd6ce8bc4" unitRef="_GBC_cef77704267643d794145c73763360e5" addr="T0R15C14S1_1" formatStyle="Comma"/>
        <m:item xlName="_GBC_c5088b48142a44ffafdd56770eca4632" concept="clcid-pte:GuFenZhiFuJiRuSuoYouZheQuanYiDeJinEDaoZhiGuDongQuanYiHeJiBianDongJinE" label="股份支付计入所有者权益的金额导致股东权益合计变动金额" mulRef="_GBC_57faea4e453e49ad93821b7dd6ce8bc4" unitRef="_GBC_cef77704267643d794145c73763360e5" addr="T0R15C15S1_1" formatStyle="Comma"/>
        <m:placeholder xlName="_PLD_86538f5d06744ca9be65b0b439b17643" addr="T0R16C0S1_1"/>
        <m:item xlName="_GBC_413cbfd3c67448a986a99cfc9ab30e16" concept="clcid-pte:QiTaSuoYouZheTouRuHeJianShaoZiBenDaoZhiShiShouZiBenHuoGuBenJingEBianDongJinE" label="其他所有者投入和减少资本导致实收资本（或股本）净额变动金额" mulRef="_GBC_57faea4e453e49ad93821b7dd6ce8bc4" unitRef="_GBC_cef77704267643d794145c73763360e5" addr="T0R16C1S1_1" formatStyle="Comma"/>
        <m:item xlName="_GBC_7e65141db5644b258c8b0f100cae87ff" concept="clcid-pte:QiTaSuoYouZheTouRuHeJianShaoZiBenDaoZhiQiTaQuanYiGongJuZhongDeYouXianGuBianDongJinE" label="其他所有者投入和减少资本导致其他权益工具中的优先股变动金额" mulRef="_GBC_57faea4e453e49ad93821b7dd6ce8bc4" unitRef="_GBC_cef77704267643d794145c73763360e5" addr="T0R16C2S1_1" formatStyle="Comma"/>
        <m:item xlName="_GBC_e39f106386814522b56ed6538eafdb7a" concept="clcid-pte:QiTaSuoYouZheTouRuHeJianShaoZiBenDaoZhiQiTaQuanYiGongJuZhongDeYongXuZhaiBianDongJinE" label="其他所有者投入和减少资本导致其他权益工具中的永续债变动金额" mulRef="_GBC_57faea4e453e49ad93821b7dd6ce8bc4" unitRef="_GBC_cef77704267643d794145c73763360e5" addr="T0R16C3S1_1" formatStyle="Comma"/>
        <m:item xlName="_GBC_679099b8063e45b2a91e69f7d25d0897" concept="clcid-pte:QiTaSuoYouZheTouRuHeJianShaoZiBenDaoZhiQiTaQuanYiGongJuZhongDeQiTaBianDongJinE" label="其他所有者投入和减少资本导致其他权益工具中的其他变动金额" mulRef="_GBC_57faea4e453e49ad93821b7dd6ce8bc4" unitRef="_GBC_cef77704267643d794145c73763360e5" addr="T0R16C4S1_1" formatStyle="Comma"/>
        <m:item xlName="_GBC_5f9a76279e3f4bc49aaa082bb5bb8353" concept="clcid-pte:QiTaSuoYouZheTouRuHeJianShaoZiBenDaoZhiZiBenGongJiBianDongJinE" label="其他所有者投入和减少资本导致资本公积变动金额" mulRef="_GBC_57faea4e453e49ad93821b7dd6ce8bc4" unitRef="_GBC_cef77704267643d794145c73763360e5" addr="T0R16C5S1_1" formatStyle="Comma"/>
        <m:item xlName="_GBC_be92e6d49fb44efba098c3396c247bac" concept="clcid-pte:QiTaSuoYouZheTouRuHeJianShaoZiBenDaoZhiKuCunGuBianDongJinE" label="其他所有者投入和减少资本导致库存股变动金额" mulRef="_GBC_57faea4e453e49ad93821b7dd6ce8bc4" unitRef="_GBC_cef77704267643d794145c73763360e5" addr="T0R16C6S1_1" formatStyle="Comma"/>
        <m:item xlName="_GBC_4abe8b05268443a0b9973e0faecaf0bd" concept="clcid-pte:QiTaSuoYouZheTouRuHeJianShaoZiBenDaoZhiQiTaZongHeShouYiBianDongJinE" label="其他所有者投入和减少资本导致其他综合收益变动金额" mulRef="_GBC_57faea4e453e49ad93821b7dd6ce8bc4" unitRef="_GBC_cef77704267643d794145c73763360e5" addr="T0R16C7S1_1" formatStyle="Comma"/>
        <m:item xlName="_GBC_b9097087a7d54505b4d4e77c07ec527e" concept="clcid-pte:QiTaSuoYouZheTouRuHeJianShaoZiBenDaoZhiZhuanXiangChuBeiBianDongJinE" label="其他所有者投入和减少资本导致专项储备变动金额" mulRef="_GBC_57faea4e453e49ad93821b7dd6ce8bc4" unitRef="_GBC_cef77704267643d794145c73763360e5" addr="T0R16C8S1_1" formatStyle="Comma"/>
        <m:item xlName="_GBC_13bd847177c242ef9de5478e6ba9abee" concept="clcid-pte:QiTaSuoYouZheTouRuHeJianShaoZiBenDaoZhiYingYuGongJiBianDongJinE" label="其他所有者投入和减少资本导致盈余公积变动金额" mulRef="_GBC_57faea4e453e49ad93821b7dd6ce8bc4" unitRef="_GBC_cef77704267643d794145c73763360e5" addr="T0R16C9S1_1" formatStyle="Comma"/>
        <m:item xlName="_GBC_5425ca8ca641484f8ea9c871fbcf0d91" concept="clcid-pte:QiTaSuoYouZheTouRuHeJianShaoZiBenDaoZhiYiBanFengXianZhunBeiBianDongJinE" label="其他所有者投入和减少资本导致一般风险准备变动金额" mulRef="_GBC_57faea4e453e49ad93821b7dd6ce8bc4" unitRef="_GBC_cef77704267643d794145c73763360e5" addr="T0R16C10S1_1" formatStyle="Comma"/>
        <m:item xlName="_GBC_71856d6351fd4e49b4d3001669b847fc" concept="clcid-pte:QiTaSuoYouZheTouRuHeJianShaoZiBenDaoZhiWeiFenPeiLiRunBianDongJinE" label="其他所有者投入和减少资本导致未分配利润变动金额" mulRef="_GBC_57faea4e453e49ad93821b7dd6ce8bc4" unitRef="_GBC_cef77704267643d794145c73763360e5" addr="T0R16C11S1_1" formatStyle="Comma"/>
        <m:item xlName="_GBC_0c643b8cfc8f4d48a3f3c40b3a412c34" concept="clcid-pte:QiTaSuoYouZheTouRuHeJianShaoZiBenDaoZhiQiTaDeGuiShuYuMuGongSiSuoYouZheQuanYiBianDongJinE" label="其他所有者投入和减少资本导致其他的归属于母公司所有者权益变动金额" mulRef="_GBC_57faea4e453e49ad93821b7dd6ce8bc4" unitRef="_GBC_cef77704267643d794145c73763360e5" addr="T0R16C12S1_1" formatStyle="Comma"/>
        <m:item xlName="_GBC_eb3f6b79128148808e90ccf7ba38ac12" concept="clcid-pte:QiTaSuoYouZheTouRuHeJianShaoZiBenDaoZhiGuiShuYuMuGongSiSuoYouZheQuanYiBianDongJinE" label="其他所有者投入和减少资本导致归属于母公司所有者权益变动金额" mulRef="_GBC_57faea4e453e49ad93821b7dd6ce8bc4" unitRef="_GBC_cef77704267643d794145c73763360e5" addr="T0R16C13S1_1" formatStyle="Comma"/>
        <m:item xlName="_GBC_533a50a063a9425690b28cb397b1f7cd" concept="clcid-pte:QiTaSuoYouZheTouRuHeJianShaoZiBenDaoZhiShaoShuGuDongQuanYiBianDongJinE" label="其他所有者投入和减少资本导致少数股东权益变动金额" mulRef="_GBC_57faea4e453e49ad93821b7dd6ce8bc4" unitRef="_GBC_cef77704267643d794145c73763360e5" addr="T0R16C14S1_1" formatStyle="Comma"/>
        <m:item xlName="_GBC_e593a456b1464949a46e8baa430887ea" concept="clcid-pte:QiTaSuoYouZheTouRuHeJianShaoZiBenDaoZhiGuDongQuanYiHeJiBianDongJinE" label="其他所有者投入和减少资本导致股东权益合计变动金额" mulRef="_GBC_57faea4e453e49ad93821b7dd6ce8bc4" unitRef="_GBC_cef77704267643d794145c73763360e5" addr="T0R16C15S1_1" formatStyle="Comma"/>
        <m:placeholder xlName="_PLD_8fb1d678e8ca4e3ba31e34bed05e6c58" addr="T0R17C0S1_1"/>
        <m:item xlName="_GBC_3a0ff53b646f43a7a1f9c558b9fed774" concept="clcid-pte:LiRunFenPeiDaoZhiShiShouZiBenHuoGuBenJingEBianDongJinE" label="利润分配导致实收资本（或股本）净额变动金额" mulRef="_GBC_57faea4e453e49ad93821b7dd6ce8bc4" unitRef="_GBC_cef77704267643d794145c73763360e5" addr="T0R17C1S1_1" formatStyle="Comma">
          <m:complexRule comparator="Eq" title="利润分配导致实收资本（或股本）净额变动金额" test=" $_GBC_3f6e5c11a3ae4b68aca339911ff726ea +  $_GBC_e43a77fbbb1941b2a5cf2739d76c0309 +  $_GBC_d009f6d1d17b499bbf8d21d417459d3c +  $_GBC_4131260b170a415987c556a0a5376084" id="Cbf5ef69fb5434a72b62645abfa92a1ac" radius="0.0001"/>
        </m:item>
        <m:item xlName="_GBC_cef027cb84874282a4234d3d919e2525" concept="clcid-pte:LiRunFenPeiDaoZhiQiTaQuanYiGongJuZhongDeYouXianGuBianDongJinE" label="利润分配导致其他权益工具中的优先股变动金额" mulRef="_GBC_57faea4e453e49ad93821b7dd6ce8bc4" unitRef="_GBC_cef77704267643d794145c73763360e5" addr="T0R17C2S1_1" formatStyle="Comma">
          <m:complexRule comparator="Eq" title="利润分配导致其他权益工具中的优先股变动金额" test=" $_GBC_a95d7af7382545d680d0e8f42047f710 +  $_GBC_2acee122f98444fab99175423d459938 +  $_GBC_dfddf7851fae4642885366e758577c06 +  $_GBC_5316ae2b43fc45e4876efa021061fc7e" id="C391228ce42ce406391a4841833282b62"/>
        </m:item>
        <m:item xlName="_GBC_a4434a7b99ac4c55bae83e1870dc0552" concept="clcid-pte:LiRunFenPeiDaoZhiQiTaQuanYiGongJuZhongDeYongXuZhaiBianDongJinE" label="利润分配导致其他权益工具中的永续债变动金额" mulRef="_GBC_57faea4e453e49ad93821b7dd6ce8bc4" unitRef="_GBC_cef77704267643d794145c73763360e5" addr="T0R17C3S1_1" formatStyle="Comma">
          <m:complexRule comparator="Eq" title="利润分配导致其他权益工具中的永续债变动金额" test=" $_GBC_ae2fcc451d684cfca73e5c68521cb901 +  $_GBC_71dd5fe63ad74932b5e12924a79d7f04 +  $_GBC_f2453533a2a34b21be140f6a22f18ac6 +  $_GBC_1ed545f4f3c147819f3209cf432455ba" id="C3d2c8873329144d89b9880ede26496cc"/>
        </m:item>
        <m:item xlName="_GBC_d7a9f70ff8844eedbbc177b5ce7a14ac" concept="clcid-pte:LiRunFenPeiDaoZhiQiTaQuanYiGongJuZhongDeQiTaBianDongJinE" label="利润分配导致其他权益工具中的其他变动金额" mulRef="_GBC_57faea4e453e49ad93821b7dd6ce8bc4" unitRef="_GBC_cef77704267643d794145c73763360e5" addr="T0R17C4S1_1" formatStyle="Comma">
          <m:complexRule comparator="Eq" title="利润分配导致其他权益工具中的其他变动金额" test=" $_GBC_f66920800f6444cd95ba0bf4dbad06e4 +  $_GBC_1e7376b65edc4adf9bf66a67e7b0009f +  $_GBC_180581dfaad34e41b0f7eec3d394c3df +  $_GBC_2034577d69af4f67a618d68f24347dee" id="C245f6d99d9aa47dbbfbcf8e197320874"/>
        </m:item>
        <m:item xlName="_GBC_ca43e320938a425daa4d47c7ea4689d2" concept="clcid-pte:LiRunFenPeiDaoZhiZiBenGongJiBianDongJinE" label="利润分配导致资本公积变动金额" mulRef="_GBC_57faea4e453e49ad93821b7dd6ce8bc4" unitRef="_GBC_cef77704267643d794145c73763360e5" addr="T0R17C5S1_1" formatStyle="Comma">
          <m:complexRule comparator="Eq" title="利润分配导致资本公积变动金额" test=" $_GBC_3a8c86ef8f3f45b0989a323955009a7a +  $_GBC_abba1ba09d954d2eae32237c4f0cc2f2 +  $_GBC_ff3817bf856e43e0918dc5fd83d073a4 +  $_GBC_9c37f333e345412a924ffec411909606" id="C770ff9215ddf4a3bb04fc6f42c9260be" radius="0.0001"/>
        </m:item>
        <m:item xlName="_GBC_e9850772adf640108ea606c7effd2558" concept="clcid-pte:LiRunFenPeiDaoZhiKuCunGuBianDongJinE" label="利润分配导致库存股变动金额" mulRef="_GBC_57faea4e453e49ad93821b7dd6ce8bc4" unitRef="_GBC_cef77704267643d794145c73763360e5" addr="T0R17C6S1_1" formatStyle="Comma">
          <m:complexRule comparator="Eq" title="利润分配导致库存股变动金额" test=" $_GBC_ddc03d26793d42bf8c07ff4e0e03ed43 +  $_GBC_5ab3dc3dafbc46bc8575c384395be90f +  $_GBC_a3ab75889e2b4a178ca5263ed2c74d4d +  $_GBC_5196cac1a57941fb995e3c7f3099e3ee" id="C5f170696218744e1804d39bd463c6561" radius="0.0001"/>
        </m:item>
        <m:item xlName="_GBC_af21ec91ef5643488dfec3fec8c64520" concept="clcid-pte:LiRunFenPeiDaoZhiQiTaZongHeShouYiBianDongJinE" label="利润分配导致其他综合收益变动金额" mulRef="_GBC_57faea4e453e49ad93821b7dd6ce8bc4" unitRef="_GBC_cef77704267643d794145c73763360e5" addr="T0R17C7S1_1" formatStyle="Comma">
          <m:complexRule comparator="Eq" title="利润分配导致其他综合收益变动金额" test=" $_GBC_824959113c654884a18e5469a89a701e +  $_GBC_30fe50d43b2c4a95b5915999784fc197 +  $_GBC_478b22ad1b1b4f1d94df8fdf93d06dea +  $_GBC_9a12750efabe4695885dee9c3af317c9" id="C7f632ffc144e41f7a2002deef264afa9"/>
        </m:item>
        <m:item xlName="_GBC_f1779e1993f84d86b164fa733de9b714" concept="clcid-pte:LiRunFenPeiDaoZhiZhuanXiangChuBeiBianDongJinE" label="利润分配导致专项储备变动金额" mulRef="_GBC_57faea4e453e49ad93821b7dd6ce8bc4" unitRef="_GBC_cef77704267643d794145c73763360e5" addr="T0R17C8S1_1" formatStyle="Comma">
          <m:complexRule comparator="Eq" title="利润分配导致专项储备变动金额" test=" $_GBC_e1dedad80ea54ba880019c858ac16eeb +  $_GBC_050ab230415a4e22a914ea46e5aaa5c9 +  $_GBC_327e15f952d34202b39ca129392c717c +  $_GBC_9ea3e8b6396c4f56b37dcecbd02f014a" id="C68a5dd1e22c843cdb5517f70e8ac36c2"/>
        </m:item>
        <m:item xlName="_GBC_31ba2b8a65ef499eb2c5d3c38b1eb730" concept="clcid-pte:LiRunFenPeiDaoZhiYingYuGongJiBianDongJinE" label="利润分配导致盈余公积变动金额" mulRef="_GBC_57faea4e453e49ad93821b7dd6ce8bc4" unitRef="_GBC_cef77704267643d794145c73763360e5" addr="T0R17C9S1_1" formatStyle="Comma">
          <m:complexRule comparator="Eq" title="利润分配导致盈余公积变动金额" test=" $_GBC_f10d6036dae8450e9f52f78c0b19b6b9 +  $_GBC_fe2654ee0bdb43fcb35831c58b6962c8 +  $_GBC_5805250422514792b2783b5a1e823a3e +  $_GBC_d399b5ed7c944055b7b4bc4e6ea2508d" id="C124267df303d49d4b379ae9157bad8ca"/>
        </m:item>
        <m:item xlName="_GBC_a30aef806fe64f0e9e7646bf73a5cdbe" concept="clcid-pte:LiRunFenPeiDaoZhiYiBanFengXianZhunBeiBianDongJinE" label="利润分配导致一般风险准备变动金额" mulRef="_GBC_57faea4e453e49ad93821b7dd6ce8bc4" unitRef="_GBC_cef77704267643d794145c73763360e5" addr="T0R17C10S1_1" formatStyle="Comma">
          <m:complexRule comparator="Eq" title="利润分配导致一般风险准备变动金额" test=" $_GBC_5dc9aabfd97e46f897b32bb13a60bce2 +  $_GBC_f807299a4ca54a259c17db01f7283e68 +  $_GBC_d6346daa01a9439f8b059d320ae759d3 +  $_GBC_1314b8084ad149e7a484bf8414c010f6" id="Cdff4bd3cf04742ec99b28d977304e5dc"/>
        </m:item>
        <m:item xlName="_GBC_c6e745e9942c43bb813c139cdc55c224" concept="clcid-pte:LiRunFenPeiDaoZhiWeiFenPeiLiRunBianDongJinE" label="利润分配导致未分配利润变动金额" mulRef="_GBC_57faea4e453e49ad93821b7dd6ce8bc4" unitRef="_GBC_cef77704267643d794145c73763360e5" addr="T0R17C11S1_1" formatStyle="Comma">
          <m:complexRule comparator="Eq" title="利润分配导致未分配利润变动金额" test=" $_GBC_6760be1abb2e42a1af646710775b8ca9 +  $_GBC_66f2bdb2b27a45e9bd44795d0e63c51d +  $_GBC_9749a88e14dc4eb883c2b676074dccf4 +  $_GBC_6d31524977144f4190db929b704cb3b0" id="C7443cc1484e34d31a6d8a3fea4a5d561"/>
        </m:item>
        <m:item xlName="_GBC_80f2803156254bdbbe01c4b8dd7639e8" concept="clcid-pte:LiRunFenPeiDaoZhiQiTaDeGuiShuYuMuGongSiSuoYouZheQuanYiBianDongJinE" label="利润分配导致其他的归属于母公司所有者权益变动金额" mulRef="_GBC_57faea4e453e49ad93821b7dd6ce8bc4" unitRef="_GBC_cef77704267643d794145c73763360e5" addr="T0R17C12S1_1" formatStyle="Comma">
          <m:complexRule comparator="Eq" title="利润分配导致其他的归属于母公司所有者权益变动金额" test=" $_GBC_45a3c5078da347ffa404237639c00b78 +  $_GBC_71a21548ec294be0ae0ae451c9356f3a +  $_GBC_12fe2c20fbb64af2adaef4f857e75f6b +  $_GBC_8f39966cdb3a420e911c5c4edb3f72b6" id="C7918ba8f826248299d5e976191acb3bd"/>
        </m:item>
        <m:item xlName="_GBC_796410d10595447f9d384040b3836046" concept="clcid-pte:LiRunFenPeiDaoZhiGuiShuYuMuGongSiSuoYouZheQuanYiBianDongJinE" label="利润分配导致归属于母公司所有者权益变动金额" mulRef="_GBC_57faea4e453e49ad93821b7dd6ce8bc4" unitRef="_GBC_cef77704267643d794145c73763360e5" addr="T0R17C13S1_1" formatStyle="Comma">
          <m:complexRule comparator="Eq" title="利润分配导致归属于母公司所有者权益变动金额小计" test=" $_GBC_25855867c8f44b0fb69e0ae1f8f6aeaa +  $_GBC_edbce23117bb4d58a77add6075fde8d3 +  $_GBC_6e1fbdf63a8c4f1dbd6706ad626edbdb +  $_GBC_603ded8ee3204db583bc42760010d59b" id="C8ca74ef1a32a49169c4f3e980b5926b3"/>
        </m:item>
        <m:item xlName="_GBC_a9a30b0b9f8647d9b4ef82d45ad73fd9" concept="clcid-pte:LiRunFenPeiDaoZhiShaoShuGuDongQuanYiBianDongJinE" label="利润分配导致少数股东权益变动金额" mulRef="_GBC_57faea4e453e49ad93821b7dd6ce8bc4" unitRef="_GBC_cef77704267643d794145c73763360e5" addr="T0R17C14S1_1" formatStyle="Comma">
          <m:complexRule comparator="Eq" title="利润分配导致少数股东权益变动金额" test=" $_GBC_e7ff1a3d1e8045cea6eeaaaffd21d431 +  $_GBC_52669936b71040e3b8fdfa0f773242b3 +  $_GBC_03f075ad55284efbb1adefbe67ddc46e +  $_GBC_c4f238bfc52b4c3bbef5730c1d478867" id="Ccda9783a3aa944a7bd71fb0e5032a767"/>
        </m:item>
        <m:item xlName="_GBC_365bd934a2ad4f509a4b2e07a201b733" concept="clcid-pte:LiRunFenPeiDaoZhiGuDongQuanYiHeJiBianDongJinE" label="利润分配导致股东权益合计变动金额" mulRef="_GBC_57faea4e453e49ad93821b7dd6ce8bc4" unitRef="_GBC_cef77704267643d794145c73763360e5" addr="T0R17C15S1_1" formatStyle="Comma">
          <m:complexRule comparator="Eq" title="利润分配导致股东权益合计变动金额" test=" $_GBC_12625232ded64732b494cf3d089eab03 +  $_GBC_d579c04304fe4446a66e68377e568c5f +  $_GBC_682d75836c1240238509bb0e48f4bd43 +  $_GBC_20d29620a6e441c0b17e7be1bf77e785" id="Cdc11a641bc71406c977b0a9f992f89e0"/>
        </m:item>
        <m:placeholder xlName="_PLD_5badbc22860d48e29f8d8d9a4a633d8c" addr="T0R18C0S1_1"/>
        <m:item xlName="_GBC_3f6e5c11a3ae4b68aca339911ff726ea" concept="clcid-pte:TiQuYingYuGongJiDaoZhiShiShouZiBenHuoGuBenJingEBianDongJinE" label="提取盈余公积导致实收资本（或股本）净额变动金额" mulRef="_GBC_57faea4e453e49ad93821b7dd6ce8bc4" unitRef="_GBC_cef77704267643d794145c73763360e5" addr="T0R18C1S1_1" formatStyle="Comma"/>
        <m:item xlName="_GBC_a95d7af7382545d680d0e8f42047f710" concept="clcid-pte:TiQuYingYuGongJiDaoZhiQiTaQuanYiGongJuZhongDeYouXianGuBianDongJinE" label="提取盈余公积导致其他权益工具中的优先股变动金额" mulRef="_GBC_57faea4e453e49ad93821b7dd6ce8bc4" unitRef="_GBC_cef77704267643d794145c73763360e5" addr="T0R18C2S1_1" formatStyle="Comma"/>
        <m:item xlName="_GBC_ae2fcc451d684cfca73e5c68521cb901" concept="clcid-pte:TiQuYingYuGongJiDaoZhiQiTaQuanYiGongJuZhongDeYongXuZhaiBianDongJinE" label="提取盈余公积导致其他权益工具中的永续债变动金额" mulRef="_GBC_57faea4e453e49ad93821b7dd6ce8bc4" unitRef="_GBC_cef77704267643d794145c73763360e5" addr="T0R18C3S1_1" formatStyle="Comma"/>
        <m:item xlName="_GBC_f66920800f6444cd95ba0bf4dbad06e4" concept="clcid-pte:TiQuYingYuGongJiDaoZhiQiTaQuanYiGongJuZhongDeQiTaBianDongJinE" label="提取盈余公积导致其他权益工具中的其他变动金额" mulRef="_GBC_57faea4e453e49ad93821b7dd6ce8bc4" unitRef="_GBC_cef77704267643d794145c73763360e5" addr="T0R18C4S1_1" formatStyle="Comma"/>
        <m:item xlName="_GBC_3a8c86ef8f3f45b0989a323955009a7a" concept="clcid-pte:TiQuYingYuGongJiDaoZhiZiBenGongJiBianDongJinE" label="提取盈余公积导致资本公积变动金额" mulRef="_GBC_57faea4e453e49ad93821b7dd6ce8bc4" unitRef="_GBC_cef77704267643d794145c73763360e5" addr="T0R18C5S1_1" formatStyle="Comma"/>
        <m:item xlName="_GBC_ddc03d26793d42bf8c07ff4e0e03ed43" concept="clcid-pte:TiQuYingYuGongJiDaoZhiKuCunGuBianDongJinE" label="提取盈余公积导致库存股变动金额" mulRef="_GBC_57faea4e453e49ad93821b7dd6ce8bc4" unitRef="_GBC_cef77704267643d794145c73763360e5" addr="T0R18C6S1_1" formatStyle="Comma"/>
        <m:item xlName="_GBC_824959113c654884a18e5469a89a701e" concept="clcid-pte:TiQuYingYuGongJiDaoZhiQiTaZongHeShouYiBianDongJinE" label="提取盈余公积导致其他综合收益变动金额" mulRef="_GBC_57faea4e453e49ad93821b7dd6ce8bc4" unitRef="_GBC_cef77704267643d794145c73763360e5" addr="T0R18C7S1_1" formatStyle="Comma"/>
        <m:item xlName="_GBC_e1dedad80ea54ba880019c858ac16eeb" concept="clcid-pte:TiQuYingYuGongJiDaoZhiZhuanXiangChuBeiBianDongJinE" label="提取盈余公积导致专项储备变动金额" mulRef="_GBC_57faea4e453e49ad93821b7dd6ce8bc4" unitRef="_GBC_cef77704267643d794145c73763360e5" addr="T0R18C8S1_1" formatStyle="Comma"/>
        <m:item xlName="_GBC_f10d6036dae8450e9f52f78c0b19b6b9" concept="clcid-pte:TiQuYingYuGongJiDaoZhiYingYuGongJiBianDongJinE" label="提取盈余公积导致盈余公积变动金额" mulRef="_GBC_57faea4e453e49ad93821b7dd6ce8bc4" unitRef="_GBC_cef77704267643d794145c73763360e5" addr="T0R18C9S1_1" formatStyle="Comma"/>
        <m:item xlName="_GBC_5dc9aabfd97e46f897b32bb13a60bce2" concept="clcid-pte:TiQuYingYuGongJiDaoZhiYiBanFengXianZhunBeiBianDongJinE" label="提取盈余公积导致一般风险准备变动金额" mulRef="_GBC_57faea4e453e49ad93821b7dd6ce8bc4" unitRef="_GBC_cef77704267643d794145c73763360e5" addr="T0R18C10S1_1" formatStyle="Comma"/>
        <m:item xlName="_GBC_6760be1abb2e42a1af646710775b8ca9" concept="clcid-pte:TiQuYingYuGongJiDaoZhiWeiFenPeiLiRunBianDongJinE" label="提取盈余公积导致未分配利润变动金额" mulRef="_GBC_57faea4e453e49ad93821b7dd6ce8bc4" unitRef="_GBC_cef77704267643d794145c73763360e5" addr="T0R18C11S1_1" formatStyle="Comma"/>
        <m:item xlName="_GBC_45a3c5078da347ffa404237639c00b78" concept="clcid-pte:TiQuYingYuGongJiDaoZhiQiTaDeGuiShuYuMuGongSiSuoYouZheQuanYiBianDongJinE" label="提取盈余公积导致其他的归属于母公司所有者权益变动金额" mulRef="_GBC_57faea4e453e49ad93821b7dd6ce8bc4" unitRef="_GBC_cef77704267643d794145c73763360e5" addr="T0R18C12S1_1" formatStyle="Comma"/>
        <m:item xlName="_GBC_25855867c8f44b0fb69e0ae1f8f6aeaa" concept="clcid-pte:TiQuYingYuGongJiDaoZhiGuiShuYuMuGongSiSuoYouZheQuanYiBianDongJinE" label="提取盈余公积导致归属于母公司所有者权益变动金额" mulRef="_GBC_57faea4e453e49ad93821b7dd6ce8bc4" unitRef="_GBC_cef77704267643d794145c73763360e5" addr="T0R18C13S1_1" formatStyle="Comma"/>
        <m:item xlName="_GBC_e7ff1a3d1e8045cea6eeaaaffd21d431" concept="clcid-pte:TiQuYingYuGongJiDaoZhiShaoShuGuDongQuanYiBianDongJinE" label="提取盈余公积导致少数股东权益变动金额" mulRef="_GBC_57faea4e453e49ad93821b7dd6ce8bc4" unitRef="_GBC_cef77704267643d794145c73763360e5" addr="T0R18C14S1_1" formatStyle="Comma"/>
        <m:item xlName="_GBC_12625232ded64732b494cf3d089eab03" concept="clcid-pte:TiQuYingYuGongJiDaoZhiGuDongQuanYiHeJiBianDongJinE" label="提取盈余公积导致股东权益合计变动金额" mulRef="_GBC_57faea4e453e49ad93821b7dd6ce8bc4" unitRef="_GBC_cef77704267643d794145c73763360e5" addr="T0R18C15S1_1" formatStyle="Comma"/>
        <m:placeholder xlName="_PLD_2c8b649d670044a9b5fda521dd40705d" addr="T0R19C0S1_1"/>
        <m:item xlName="_GBC_e43a77fbbb1941b2a5cf2739d76c0309" concept="clcid-pte:TiQuYiBanFengXianZhunBeiDaoZhiShiShouZiBenHuoGuBenJingEBianDongJinE" label="提取一般风险准备导致实收资本（或股本）净额变动金额" mulRef="_GBC_57faea4e453e49ad93821b7dd6ce8bc4" unitRef="_GBC_cef77704267643d794145c73763360e5" addr="T0R19C1S1_1" formatStyle="Comma"/>
        <m:item xlName="_GBC_2acee122f98444fab99175423d459938" concept="clcid-pte:TiQuYiBanFengXianZhunBeiDaoZhiQiTaQuanYiGongJuZhongDeYouXianGuBianDongJinE" label="提取一般风险准备导致其他权益工具中的优先股变动金额" mulRef="_GBC_57faea4e453e49ad93821b7dd6ce8bc4" unitRef="_GBC_cef77704267643d794145c73763360e5" addr="T0R19C2S1_1" formatStyle="Comma"/>
        <m:item xlName="_GBC_71dd5fe63ad74932b5e12924a79d7f04" concept="clcid-pte:TiQuYiBanFengXianZhunBeiDaoZhiQiTaQuanYiGongJuZhongDeYongXuZhaiBianDongJinE" label="提取一般风险准备导致其他权益工具中的永续债变动金额" mulRef="_GBC_57faea4e453e49ad93821b7dd6ce8bc4" unitRef="_GBC_cef77704267643d794145c73763360e5" addr="T0R19C3S1_1" formatStyle="Comma"/>
        <m:item xlName="_GBC_1e7376b65edc4adf9bf66a67e7b0009f" concept="clcid-pte:TiQuYiBanFengXianZhunBeiDaoZhiQiTaQuanYiGongJuZhongDeQiTaBianDongJinE" label="提取一般风险准备导致其他权益工具中的其他变动金额" mulRef="_GBC_57faea4e453e49ad93821b7dd6ce8bc4" unitRef="_GBC_cef77704267643d794145c73763360e5" addr="T0R19C4S1_1" formatStyle="Comma"/>
        <m:item xlName="_GBC_abba1ba09d954d2eae32237c4f0cc2f2" concept="clcid-pte:TiQuYiBanFengXianZhunBeiDaoZhiZiBenGongJiBianDongJinE" label="提取一般风险准备导致资本公积变动金额" mulRef="_GBC_57faea4e453e49ad93821b7dd6ce8bc4" unitRef="_GBC_cef77704267643d794145c73763360e5" addr="T0R19C5S1_1" formatStyle="Comma"/>
        <m:item xlName="_GBC_5ab3dc3dafbc46bc8575c384395be90f" concept="clcid-pte:TiQuYiBanFengXianZhunBeiDaoZhiKuCunGuBianDongJinE" label="提取一般风险准备导致库存股变动金额" mulRef="_GBC_57faea4e453e49ad93821b7dd6ce8bc4" unitRef="_GBC_cef77704267643d794145c73763360e5" addr="T0R19C6S1_1" formatStyle="Comma"/>
        <m:item xlName="_GBC_30fe50d43b2c4a95b5915999784fc197" concept="clcid-pte:TiQuYiBanFengXianZhunBeiDaoZhiQiTaZongHeShouYiBianDongJinE" label="提取一般风险准备导致其他综合收益变动金额" mulRef="_GBC_57faea4e453e49ad93821b7dd6ce8bc4" unitRef="_GBC_cef77704267643d794145c73763360e5" addr="T0R19C7S1_1" formatStyle="Comma"/>
        <m:item xlName="_GBC_050ab230415a4e22a914ea46e5aaa5c9" concept="clcid-pte:TiQuYiBanFengXianZhunBeiDaoZhiZhuanXiangChuBeiBianDongJinE" label="提取一般风险准备导致专项储备变动金额" mulRef="_GBC_57faea4e453e49ad93821b7dd6ce8bc4" unitRef="_GBC_cef77704267643d794145c73763360e5" addr="T0R19C8S1_1" formatStyle="Comma"/>
        <m:item xlName="_GBC_fe2654ee0bdb43fcb35831c58b6962c8" concept="clcid-pte:TiQuYiBanFengXianZhunBeiDaoZhiYingYuGongJiBianDongJinE" label="提取一般风险准备导致盈余公积变动金额" mulRef="_GBC_57faea4e453e49ad93821b7dd6ce8bc4" unitRef="_GBC_cef77704267643d794145c73763360e5" addr="T0R19C9S1_1" formatStyle="Comma"/>
        <m:item xlName="_GBC_f807299a4ca54a259c17db01f7283e68" concept="clcid-pte:TiQuYiBanFengXianZhunBeiDaoZhiYiBanFengXianZhunBeiBianDongJinE" label="提取一般风险准备导致一般风险准备变动金额" mulRef="_GBC_57faea4e453e49ad93821b7dd6ce8bc4" unitRef="_GBC_cef77704267643d794145c73763360e5" addr="T0R19C10S1_1" formatStyle="Comma"/>
        <m:item xlName="_GBC_66f2bdb2b27a45e9bd44795d0e63c51d" concept="clcid-pte:TiQuYiBanFengXianZhunBeiDaoZhiWeiFenPeiLiRunBianDongJinE" label="提取一般风险准备导致未分配利润变动金额" mulRef="_GBC_57faea4e453e49ad93821b7dd6ce8bc4" unitRef="_GBC_cef77704267643d794145c73763360e5" addr="T0R19C11S1_1" formatStyle="Comma"/>
        <m:item xlName="_GBC_71a21548ec294be0ae0ae451c9356f3a" concept="clcid-pte:TiQuYiBanFengXianZhunBeiDaoZhiQiTaDeGuiShuYuMuGongSiSuoYouZheQuanYiBianDongJinE" label="提取一般风险准备导致其他的归属于母公司所有者权益变动金额" mulRef="_GBC_57faea4e453e49ad93821b7dd6ce8bc4" unitRef="_GBC_cef77704267643d794145c73763360e5" addr="T0R19C12S1_1" formatStyle="Comma"/>
        <m:item xlName="_GBC_edbce23117bb4d58a77add6075fde8d3" concept="clcid-pte:TiQuYiBanFengXianZhunBeiDaoZhiGuiShuYuMuGongSiSuoYouZheQuanYiBianDongJinE" label="提取一般风险准备导致归属于母公司所有者权益变动金额" mulRef="_GBC_57faea4e453e49ad93821b7dd6ce8bc4" unitRef="_GBC_cef77704267643d794145c73763360e5" addr="T0R19C13S1_1" formatStyle="Comma"/>
        <m:item xlName="_GBC_52669936b71040e3b8fdfa0f773242b3" concept="clcid-pte:TiQuYiBanFengXianZhunBeiDaoZhiShaoShuGuDongQuanYiBianDongJinE" label="提取一般风险准备导致少数股东权益变动金额" mulRef="_GBC_57faea4e453e49ad93821b7dd6ce8bc4" unitRef="_GBC_cef77704267643d794145c73763360e5" addr="T0R19C14S1_1" formatStyle="Comma"/>
        <m:item xlName="_GBC_d579c04304fe4446a66e68377e568c5f" concept="clcid-pte:TiQuYiBanFengXianZhunBeiDaoZhiGuDongQuanYiHeJiBianDongJinE" label="提取一般风险准备导致股东权益合计变动金额" mulRef="_GBC_57faea4e453e49ad93821b7dd6ce8bc4" unitRef="_GBC_cef77704267643d794145c73763360e5" addr="T0R19C15S1_1" formatStyle="Comma"/>
        <m:placeholder xlName="_PLD_254428ff3bee49c2acd11ef634901543" addr="T0R20C0S1_1"/>
        <m:item xlName="_GBC_d009f6d1d17b499bbf8d21d417459d3c" concept="clcid-pte:DuiSuoYouZheHuoGuDongDeFenPeiDaoZhiShiShouZiBenHuoGuBenJingEBianDongJinE" label="对所有者（或股东）的分配导致实收资本（或股本）净额变动金额" mulRef="_GBC_57faea4e453e49ad93821b7dd6ce8bc4" unitRef="_GBC_cef77704267643d794145c73763360e5" addr="T0R20C1S1_1" formatStyle="Comma"/>
        <m:item xlName="_GBC_dfddf7851fae4642885366e758577c06" concept="clcid-pte:DuiSuoYouZheHuoGuDongDeFenPeiDaoZhiQiTaQuanYiGongJuZhongDeYouXianGuBianDongJinE" label="对所有者（或股东）的分配导致其他权益工具中的优先股变动金额" mulRef="_GBC_57faea4e453e49ad93821b7dd6ce8bc4" unitRef="_GBC_cef77704267643d794145c73763360e5" addr="T0R20C2S1_1" formatStyle="Comma"/>
        <m:item xlName="_GBC_f2453533a2a34b21be140f6a22f18ac6" concept="clcid-pte:DuiSuoYouZheHuoGuDongDeFenPeiDaoZhiQiTaQuanYiGongJuZhongDeYongXuZhaiBianDongJinE" label="对所有者（或股东）的分配导致其他权益工具中的永续债变动金额" mulRef="_GBC_57faea4e453e49ad93821b7dd6ce8bc4" unitRef="_GBC_cef77704267643d794145c73763360e5" addr="T0R20C3S1_1" formatStyle="Comma"/>
        <m:item xlName="_GBC_180581dfaad34e41b0f7eec3d394c3df" concept="clcid-pte:DuiSuoYouZheHuoGuDongDeFenPeiDaoZhiQiTaQuanYiGongJuZhongDeQiTaBianDongJinE" label="对所有者（或股东）的分配导致其他权益工具中的其他变动金额" mulRef="_GBC_57faea4e453e49ad93821b7dd6ce8bc4" unitRef="_GBC_cef77704267643d794145c73763360e5" addr="T0R20C4S1_1" formatStyle="Comma"/>
        <m:item xlName="_GBC_ff3817bf856e43e0918dc5fd83d073a4" concept="clcid-pte:DuiSuoYouZheHuoGuDongDeFenPeiDaoZhiZiBenGongJiBianDongJinE" label="对所有者（或股东）的分配导致资本公积变动金额" mulRef="_GBC_57faea4e453e49ad93821b7dd6ce8bc4" unitRef="_GBC_cef77704267643d794145c73763360e5" addr="T0R20C5S1_1" formatStyle="Comma"/>
        <m:item xlName="_GBC_a3ab75889e2b4a178ca5263ed2c74d4d" concept="clcid-pte:DuiSuoYouZheHuoGuDongDeFenPeiDaoZhiKuCunGuBianDongJinE" label="对所有者（或股东）的分配导致库存股变动金额" mulRef="_GBC_57faea4e453e49ad93821b7dd6ce8bc4" unitRef="_GBC_cef77704267643d794145c73763360e5" addr="T0R20C6S1_1" formatStyle="Comma"/>
        <m:item xlName="_GBC_478b22ad1b1b4f1d94df8fdf93d06dea" concept="clcid-pte:DuiSuoYouZheHuoGuDongDeFenPeiDaoZhiQiTaZongHeShouYiBianDongJinE" label="对所有者（或股东）的分配导致其他综合收益变动金额" mulRef="_GBC_57faea4e453e49ad93821b7dd6ce8bc4" unitRef="_GBC_cef77704267643d794145c73763360e5" addr="T0R20C7S1_1" formatStyle="Comma"/>
        <m:item xlName="_GBC_327e15f952d34202b39ca129392c717c" concept="clcid-pte:DuiSuoYouZheHuoGuDongDeFenPeiDaoZhiZhuanXiangChuBeiBianDongJinE" label="对所有者（或股东）的分配导致专项储备变动金额" mulRef="_GBC_57faea4e453e49ad93821b7dd6ce8bc4" unitRef="_GBC_cef77704267643d794145c73763360e5" addr="T0R20C8S1_1" formatStyle="Comma"/>
        <m:item xlName="_GBC_5805250422514792b2783b5a1e823a3e" concept="clcid-pte:DuiSuoYouZheHuoGuDongDeFenPeiDaoZhiYingYuGongJiBianDongJinE" label="对所有者（或股东）的分配导致盈余公积变动金额" mulRef="_GBC_57faea4e453e49ad93821b7dd6ce8bc4" unitRef="_GBC_cef77704267643d794145c73763360e5" addr="T0R20C9S1_1" formatStyle="Comma"/>
        <m:item xlName="_GBC_d6346daa01a9439f8b059d320ae759d3" concept="clcid-pte:DuiSuoYouZheHuoGuDongDeFenPeiDaoZhiYiBanFengXianZhunBeiBianDongJinE" label="对所有者（或股东）的分配导致一般风险准备变动金额" mulRef="_GBC_57faea4e453e49ad93821b7dd6ce8bc4" unitRef="_GBC_cef77704267643d794145c73763360e5" addr="T0R20C10S1_1" formatStyle="Comma"/>
        <m:item xlName="_GBC_9749a88e14dc4eb883c2b676074dccf4" concept="clcid-pte:DuiSuoYouZheHuoGuDongDeFenPeiDaoZhiWeiFenPeiLiRunBianDongJinE" label="对所有者（或股东）的分配导致未分配利润变动金额" mulRef="_GBC_57faea4e453e49ad93821b7dd6ce8bc4" unitRef="_GBC_cef77704267643d794145c73763360e5" addr="T0R20C11S1_1" formatStyle="Comma"/>
        <m:item xlName="_GBC_12fe2c20fbb64af2adaef4f857e75f6b" concept="clcid-pte:DuiSuoYouZheHuoGuDongDeFenPeiDaoZhiQiTaDeGuiShuYuMuGongSiSuoYouZheQuanYiBianDongJinE" label="对所有者（或股东）的分配导致其他的归属于母公司所有者权益变动金额" mulRef="_GBC_57faea4e453e49ad93821b7dd6ce8bc4" unitRef="_GBC_cef77704267643d794145c73763360e5" addr="T0R20C12S1_1" formatStyle="Comma"/>
        <m:item xlName="_GBC_6e1fbdf63a8c4f1dbd6706ad626edbdb" concept="clcid-pte:DuiSuoYouZheHuoGuDongDeFenPeiDaoZhiGuiShuYuMuGongSiSuoYouZheQuanYiBianDongJinE" label="对所有者（或股东）的分配导致归属于母公司所有者权益变动金额" mulRef="_GBC_57faea4e453e49ad93821b7dd6ce8bc4" unitRef="_GBC_cef77704267643d794145c73763360e5" addr="T0R20C13S1_1" formatStyle="Comma"/>
        <m:item xlName="_GBC_03f075ad55284efbb1adefbe67ddc46e" concept="clcid-pte:DuiSuoYouZheHuoGuDongDeFenPeiDaoZhiShaoShuGuDongQuanYiBianDongJinE" label="对所有者（或股东）的分配导致少数股东权益变动金额" mulRef="_GBC_57faea4e453e49ad93821b7dd6ce8bc4" unitRef="_GBC_cef77704267643d794145c73763360e5" addr="T0R20C14S1_1" formatStyle="Comma"/>
        <m:item xlName="_GBC_682d75836c1240238509bb0e48f4bd43" concept="clcid-pte:DuiSuoYouZheHuoGuDongDeFenPeiDaoZhiGuDongQuanYiHeJiBianDongJinE" label="对所有者（或股东）的分配导致股东权益合计变动金额" mulRef="_GBC_57faea4e453e49ad93821b7dd6ce8bc4" unitRef="_GBC_cef77704267643d794145c73763360e5" addr="T0R20C15S1_1" formatStyle="Comma"/>
        <m:placeholder xlName="_PLD_b3d350728a6c49ccaa6dbb4adf16c691" addr="T0R21C0S1_1"/>
        <m:item xlName="_GBC_4131260b170a415987c556a0a5376084" concept="clcid-pte:QiTaLiRunFenPeiDaoZhiShiShouZiBenHuoGuBenJingEBianDongJinE" label="其他利润分配导致实收资本（或股本）净额变动金额" mulRef="_GBC_57faea4e453e49ad93821b7dd6ce8bc4" unitRef="_GBC_cef77704267643d794145c73763360e5" addr="T0R21C1S1_1" formatStyle="Comma"/>
        <m:item xlName="_GBC_5316ae2b43fc45e4876efa021061fc7e" concept="clcid-pte:QiTaLiRunFenPeiDaoZhiQiTaQuanYiGongJuZhongDeYouXianGuBianDongJinE" label="其他利润分配导致其他权益工具中的优先股变动金额" mulRef="_GBC_57faea4e453e49ad93821b7dd6ce8bc4" unitRef="_GBC_cef77704267643d794145c73763360e5" addr="T0R21C2S1_1" formatStyle="Comma"/>
        <m:item xlName="_GBC_1ed545f4f3c147819f3209cf432455ba" concept="clcid-pte:QiTaLiRunFenPeiDaoZhiQiTaQuanYiGongJuZhongDeYongXuZhaiBianDongJinE" label="其他利润分配导致其他权益工具中的永续债变动金额" mulRef="_GBC_57faea4e453e49ad93821b7dd6ce8bc4" unitRef="_GBC_cef77704267643d794145c73763360e5" addr="T0R21C3S1_1" formatStyle="Comma"/>
        <m:item xlName="_GBC_2034577d69af4f67a618d68f24347dee" concept="clcid-pte:QiTaLiRunFenPeiDaoZhiQiTaQuanYiGongJuZhongDeQiTaBianDongJinE" label="其他利润分配导致其他权益工具中的其他变动金额" mulRef="_GBC_57faea4e453e49ad93821b7dd6ce8bc4" unitRef="_GBC_cef77704267643d794145c73763360e5" addr="T0R21C4S1_1" formatStyle="Comma"/>
        <m:item xlName="_GBC_9c37f333e345412a924ffec411909606" concept="clcid-pte:QiTaLiRunFenPeiDaoZhiZiBenGongJiBianDongJinE" label="其他利润分配导致资本公积变动金额" mulRef="_GBC_57faea4e453e49ad93821b7dd6ce8bc4" unitRef="_GBC_cef77704267643d794145c73763360e5" addr="T0R21C5S1_1" formatStyle="Comma"/>
        <m:item xlName="_GBC_5196cac1a57941fb995e3c7f3099e3ee" concept="clcid-pte:QiTaLiRunFenPeiDaoZhiKuCunGuBianDongJinE" label="其他利润分配导致库存股变动金额" mulRef="_GBC_57faea4e453e49ad93821b7dd6ce8bc4" unitRef="_GBC_cef77704267643d794145c73763360e5" addr="T0R21C6S1_1" formatStyle="Comma"/>
        <m:item xlName="_GBC_9a12750efabe4695885dee9c3af317c9" concept="clcid-pte:QiTaLiRunFenPeiDaoZhiQiTaZongHeShouYiBianDongJinE" label="其他利润分配导致其他综合收益变动金额" mulRef="_GBC_57faea4e453e49ad93821b7dd6ce8bc4" unitRef="_GBC_cef77704267643d794145c73763360e5" addr="T0R21C7S1_1" formatStyle="Comma"/>
        <m:item xlName="_GBC_9ea3e8b6396c4f56b37dcecbd02f014a" concept="clcid-pte:QiTaLiRunFenPeiDaoZhiZhuanXiangChuBeiBianDongJinE" label="其他利润分配导致专项储备变动金额" mulRef="_GBC_57faea4e453e49ad93821b7dd6ce8bc4" unitRef="_GBC_cef77704267643d794145c73763360e5" addr="T0R21C8S1_1" formatStyle="Comma"/>
        <m:item xlName="_GBC_d399b5ed7c944055b7b4bc4e6ea2508d" concept="clcid-pte:QiTaLiRunFenPeiDaoZhiYingYuGongJiBianDongJinE" label="其他利润分配导致盈余公积变动金额" mulRef="_GBC_57faea4e453e49ad93821b7dd6ce8bc4" unitRef="_GBC_cef77704267643d794145c73763360e5" addr="T0R21C9S1_1" formatStyle="Comma"/>
        <m:item xlName="_GBC_1314b8084ad149e7a484bf8414c010f6" concept="clcid-pte:QiTaLiRunFenPeiDaoZhiYiBanFengXianZhunBeiBianDongJinE" label="其他利润分配导致一般风险准备变动金额" mulRef="_GBC_57faea4e453e49ad93821b7dd6ce8bc4" unitRef="_GBC_cef77704267643d794145c73763360e5" addr="T0R21C10S1_1" formatStyle="Comma"/>
        <m:item xlName="_GBC_6d31524977144f4190db929b704cb3b0" concept="clcid-pte:QiTaLiRunFenPeiDaoZhiWeiFenPeiLiRunBianDongJinE" label="其他利润分配导致未分配利润变动金额" mulRef="_GBC_57faea4e453e49ad93821b7dd6ce8bc4" unitRef="_GBC_cef77704267643d794145c73763360e5" addr="T0R21C11S1_1" formatStyle="Comma"/>
        <m:item xlName="_GBC_8f39966cdb3a420e911c5c4edb3f72b6" concept="clcid-pte:QiTaLiRunFenPeiDaoZhiQiTaDeGuiShuYuMuGongSiSuoYouZheQuanYiBianDongJinE" label="其他利润分配导致其他的归属于母公司所有者权益变动金额" mulRef="_GBC_57faea4e453e49ad93821b7dd6ce8bc4" unitRef="_GBC_cef77704267643d794145c73763360e5" addr="T0R21C12S1_1" formatStyle="Comma"/>
        <m:item xlName="_GBC_603ded8ee3204db583bc42760010d59b" concept="clcid-pte:QiTaLiRunFenPeiDaoZhiGuiShuYuMuGongSiSuoYouZheQuanYiBianDongJinE" label="其他利润分配导致归属于母公司所有者权益变动金额" mulRef="_GBC_57faea4e453e49ad93821b7dd6ce8bc4" unitRef="_GBC_cef77704267643d794145c73763360e5" addr="T0R21C13S1_1" formatStyle="Comma"/>
        <m:item xlName="_GBC_c4f238bfc52b4c3bbef5730c1d478867" concept="clcid-pte:QiTaLiRunFenPeiDaoZhiShaoShuGuDongQuanYiBianDongJinE" label="其他利润分配导致少数股东权益变动金额" mulRef="_GBC_57faea4e453e49ad93821b7dd6ce8bc4" unitRef="_GBC_cef77704267643d794145c73763360e5" addr="T0R21C14S1_1" formatStyle="Comma"/>
        <m:item xlName="_GBC_20d29620a6e441c0b17e7be1bf77e785" concept="clcid-pte:QiTaLiRunFenPeiDaoZhiGuDongQuanYiHeJiBianDongJinE" label="其他利润分配导致股东权益合计变动金额" mulRef="_GBC_57faea4e453e49ad93821b7dd6ce8bc4" unitRef="_GBC_cef77704267643d794145c73763360e5" addr="T0R21C15S1_1" formatStyle="Comma"/>
        <m:placeholder xlName="_PLD_03ab84b7536c4ddcaaad4c99a2dd5fd3" addr="T0R22C0S1_1"/>
        <m:item xlName="_GBC_158326596e364a8ebe7839d08241e207" concept="clcid-pte:SuoYouZheQuanYiNeiBuJieZhuanDaoZhiShiShouZiBenHuoGuBenJingEBianDongJinE" label="所有者权益内部结转导致实收资本（或股本）净额变动金额" mulRef="_GBC_57faea4e453e49ad93821b7dd6ce8bc4" unitRef="_GBC_cef77704267643d794145c73763360e5" addr="T0R22C1S1_1" formatStyle="Comma">
          <m:complexRule comparator="Eq" title="所有者权益内部结转导致实收资本（或股本）净额变动金额" test=" $_GBC_2baeb3ec27164605b33e14db596cde4f +  $_GBC_d7d78d37a3b04a0d98af36d422e9a684 +  $_GBC_9c8384d262b144d0b93520878690286a +  $_GBC_5a84a409a3c240bdbb03d1c5c262f8ed +  $_GBC_194d2e17b8d741bb9682ae31654c0e73 +  $_GBC_f0606a6366874435a5d42807acb682be" id="Ca39c91f678d24dd49fc9edacba53639f" radius="0.0001"/>
        </m:item>
        <m:item xlName="_GBC_48b490e8cc30489d90aea1c1433b16e3" concept="clcid-pte:SuoYouZheQuanYiNeiBuJieZhuanDaoZhiQiTaQuanYiGongJuZhongDeYouXianGuBianDongJinE" label="所有者权益内部结转导致其他权益工具中的优先股变动金额" mulRef="_GBC_57faea4e453e49ad93821b7dd6ce8bc4" unitRef="_GBC_cef77704267643d794145c73763360e5" addr="T0R22C2S1_1" formatStyle="Comma">
          <m:complexRule comparator="Eq" title="所有者权益内部结转导致其他权益工具中的优先股变动金额" test=" $_GBC_06bfc76d4bae41f2a82745c2052c73c4 +  $_GBC_37ac11a45bfe424aa6a12d3db8ad0c64 +  $_GBC_9e6fac0b90754c92a6dff04fd76aea8d +  $_GBC_987a43e1e09d41db99465d816faced74 +  $_GBC_63d131c3ba0b4c5ab71b462daafd25eb +  $_GBC_7e6a0ac1b8cb41eeab0342709cf959ed" id="C621adede67494584aa7e7cdfa768dc1b"/>
        </m:item>
        <m:item xlName="_GBC_620dc73dc88947bf8ad75cf15acdfc67" concept="clcid-pte:SuoYouZheQuanYiNeiBuJieZhuanDaoZhiQiTaQuanYiGongJuZhongDeYongXuZhaiBianDongJinE" label="所有者权益内部结转导致其他权益工具中的永续债变动金额" mulRef="_GBC_57faea4e453e49ad93821b7dd6ce8bc4" unitRef="_GBC_cef77704267643d794145c73763360e5" addr="T0R22C3S1_1" formatStyle="Comma">
          <m:complexRule comparator="Eq" title="所有者权益内部结转导致其他权益工具中的永续债变动金额" test=" $_GBC_69b3b19ae9b14871b3c5e31094680dfe +  $_GBC_bb89e31041734188861212d0fe8bc3b3 +  $_GBC_3187ef1ffa7c4415bb6e644462489722 +  $_GBC_9974850986174aba8ff33c5831059d42 +  $_GBC_5dc9c7fe4c4a48e8ab61ebf77d67c17f +  $_GBC_077d9b5aa601495b93f4490c4786727c" id="Cc684a00a2f914b548664f56ba7b2f0ad"/>
        </m:item>
        <m:item xlName="_GBC_6ec80a2584f54a81b9b594ff2a5d0aa2" concept="clcid-pte:SuoYouZheQuanYiNeiBuJieZhuanDaoZhiQiTaQuanYiGongJuZhongDeQiTaBianDongJinE" label="所有者权益内部结转导致其他权益工具中的其他变动金额" mulRef="_GBC_57faea4e453e49ad93821b7dd6ce8bc4" unitRef="_GBC_cef77704267643d794145c73763360e5" addr="T0R22C4S1_1" formatStyle="Comma">
          <m:complexRule comparator="Eq" title="所有者权益内部结转导致其他权益工具中的其他变动金额" test=" $_GBC_6ac899b6c4d44e4ea6a3cab63561ab47 +  $_GBC_7a78435c2bb940c8893fd72c73e0910c +  $_GBC_c95ebda4053d400f87f7a864529828e2 +  $_GBC_56b3a0ba683c43f78c3b4c2af40d4d81 +  $_GBC_d7221329624641b699c59ac50434bca3 +  $_GBC_e2864e4b6f3c46cb8aa2e2ad75432cdb" id="C906c1477b4cc43929a8d5aaa5f69b74c"/>
        </m:item>
        <m:item xlName="_GBC_91fefaddee794da7b14ae368d4c4bcc7" concept="clcid-pte:SuoYouZheQuanYiNeiBuJieZhuanDaoZhiZiBenGongJiBianDongJinE" label="所有者权益内部结转导致资本公积变动金额" mulRef="_GBC_57faea4e453e49ad93821b7dd6ce8bc4" unitRef="_GBC_cef77704267643d794145c73763360e5" addr="T0R22C5S1_1" formatStyle="Comma">
          <m:complexRule comparator="Eq" title="所有者权益内部结转导致资本公积变动金额" test=" $_GBC_a2087025ec3648bc93f7955d23e58b00 +  $_GBC_57d124b745834bab92267c058fecd48a +  $_GBC_e30bc3fc8ebd427b92f202b6904b1ad2 +  $_GBC_076885d34c094644b90e6c0ff2f178f6 +  $_GBC_51f27f70df974aa7b5ec4bd489029bce +  $_GBC_4ea98f87a7a34b378e0a313ab882a2f7" id="C8b8a389b54bd41a19402dde46df3ddb0" radius="0.0001"/>
        </m:item>
        <m:item xlName="_GBC_3a3e42b36589436990f828f15a5d24e2" concept="clcid-pte:SuoYouZheQuanYiNeiBuJieZhuanDaoZhiKuCunGuBianDongJinE" label="所有者权益内部结转导致库存股变动金额" mulRef="_GBC_57faea4e453e49ad93821b7dd6ce8bc4" unitRef="_GBC_cef77704267643d794145c73763360e5" addr="T0R22C6S1_1" formatStyle="Comma">
          <m:complexRule comparator="Eq" title="所有者权益内部结转导致库存股变动金额" test=" $_GBC_9a27576d4f8e4e419045a31b51ff610d +  $_GBC_e5cd0aa5620f4a33804464ae674b9261 +  $_GBC_6dc8e09ac2de46eca15937686cccea60 +  $_GBC_990f8260e10f413a865e8299bf8c49b2 +  $_GBC_3253d1a77a03449bb5a26239e6ed998e +  $_GBC_990f8260e10f413a865e8299bf8c49b2" id="Cc041351e04964333b0aa0e86b7c6ccc2" radius="0.0001"/>
        </m:item>
        <m:item xlName="_GBC_74801f12253b4ffcadc9dc50e79a7c31" concept="clcid-pte:SuoYouZheQuanYiNeiBuJieZhuanDaoZhiQiTaZongHeShouYiBianDongJinE" label="所有者权益内部结转导致其他综合收益变动金额" mulRef="_GBC_57faea4e453e49ad93821b7dd6ce8bc4" unitRef="_GBC_cef77704267643d794145c73763360e5" addr="T0R22C7S1_1" formatStyle="Comma">
          <m:complexRule comparator="Eq" title="所有者权益内部结转导致其他综合收益变动金额" test=" $_GBC_df8db3849ca04ebb80a4455a50c54b22 +  $_GBC_18fc945fe234446484d30d040ca10fda +  $_GBC_0da3522e0c764f91a511a20d7d23372d +  $_GBC_c85cf04d62ab4beb92f448caef4da5a9 +  $_GBC_ed868be8974e4b4e804e9f5999d8a98c +  $_GBC_b07c6ea994c644fc9be8839066b8cb1a" id="C2e5f85e8837b4af2a87a39a25f49623c"/>
        </m:item>
        <m:item xlName="_GBC_8e2e37aeaf87454290b0faa72339d109" concept="clcid-pte:SuoYouZheQuanYiNeiBuJieZhuanDaoZhiZhuanXiangChuBeiBianDongJinE" label="所有者权益内部结转导致专项储备变动金额" mulRef="_GBC_57faea4e453e49ad93821b7dd6ce8bc4" unitRef="_GBC_cef77704267643d794145c73763360e5" addr="T0R22C8S1_1" formatStyle="Comma">
          <m:complexRule comparator="Eq" title="所有者权益内部结转导致专项储备变动金额" test=" $_GBC_57cedc7f70704631bbd70b3714daf22c +  $_GBC_dee7df95b91e42c7bb763a9d102faa17 +  $_GBC_0e7428ed7dea4bd5a480b1a672482df5 +  $_GBC_037a7d65d2714eeeaf389c9571a7c796 +  $_GBC_222e2d52d4e84881a46a3ba4ddca3d44 +  $_GBC_bc19adbd54394cf4990d64f3e83e3256" id="Ca875b356b91c4fc3b573926ae0dab914"/>
        </m:item>
        <m:item xlName="_GBC_78f6c7fbe15d42ba8efbe962e7c7161f" concept="clcid-pte:SuoYouZheQuanYiNeiBuJieZhuanDaoZhiYingYuGongJiBianDongJinE" label="所有者权益内部结转导致盈余公积变动金额" mulRef="_GBC_57faea4e453e49ad93821b7dd6ce8bc4" unitRef="_GBC_cef77704267643d794145c73763360e5" addr="T0R22C9S1_1" formatStyle="Comma">
          <m:complexRule comparator="Eq" title="所有者权益内部结转导致盈余公积变动金额" test=" $_GBC_e0fedf8c4aee4e05b4aa72e6cb4a16e6 +  $_GBC_19168d5fdc984fd1b1b2e985b3312f60 +  $_GBC_3192f22ca10943bda6736b4d79d65409 +  $_GBC_5665cd28811a4d85a2cd69c63952342e +  $_GBC_58f56e1c7484489681a0b8e17ded3f36 +  $_GBC_381a69b01bfd44f9887defbbe0cf1f51" id="C929959fd56bb44e1a1f8388f1407bbbe"/>
        </m:item>
        <m:item xlName="_GBC_0db3cfd387c34e5f9a8fbf3fd3a7ff06" concept="clcid-pte:SuoYouZheQuanYiNeiBuJieZhuanDaoZhiYiBanFengXianZhunBeiBianDongJinE" label="所有者权益内部结转导致一般风险准备变动金额" mulRef="_GBC_57faea4e453e49ad93821b7dd6ce8bc4" unitRef="_GBC_cef77704267643d794145c73763360e5" addr="T0R22C10S1_1" formatStyle="Comma">
          <m:complexRule comparator="Eq" title="所有者权益内部结转导致一般风险准备变动金额" test=" $_GBC_9d095efa8eef415d91688ca2363049aa +  $_GBC_d0e07a04929641409c3e26d19f896cad +  $_GBC_bfdd8e934dd24d308eb971db3faca063 +  $_GBC_698318c4a9d541dfbfbfa7ec7cfba155 +  $_GBC_d69e614ccd7a470a97edd07e82860b4a +  $_GBC_c328a8848b9741ccaa30b23f8208666c" id="Cd97f1a5c47ea44cc9692c9dffb84cdde"/>
        </m:item>
        <m:item xlName="_GBC_0843778eede64550b36fc99966817c0a" concept="clcid-pte:SuoYouZheQuanYiNeiBuJieZhuanDaoZhiWeiFenPeiLiRunBianDongJinE" label="所有者权益内部结转导致未分配利润变动金额" mulRef="_GBC_57faea4e453e49ad93821b7dd6ce8bc4" unitRef="_GBC_cef77704267643d794145c73763360e5" addr="T0R22C11S1_1" formatStyle="Comma">
          <m:complexRule comparator="Eq" title="所有者权益内部结转导致未分配利润变动金额" test=" $_GBC_5dde1e88dc554f659a123506fe9d8c6b +  $_GBC_e5688907dedd4e6694307f3a61d45a7f +  $_GBC_275c4803e4744aed87d9d7a428d0fd7b +  $_GBC_30cc501f07444c37ae240f456b093084 +  $_GBC_54c34312d52446d08167582b2c16531c +  $_GBC_3aaa9be33e854bfab5b2a35560347914" id="C544c74bf9a974e7aaed86ccc625f0458"/>
        </m:item>
        <m:item xlName="_GBC_c3a1393bd87a4bdcb9e2f0168eb9738e" concept="clcid-pte:SuoYouZheQuanYiNeiBuJieZhuanDaoZhiQiTaDeGuiShuYuMuGongSiSuoYouZheQuanYiBianDongJinE" label="所有者权益内部结转导致其他的归属于母公司所有者权益变动金额" mulRef="_GBC_57faea4e453e49ad93821b7dd6ce8bc4" unitRef="_GBC_cef77704267643d794145c73763360e5" addr="T0R22C12S1_1" formatStyle="Comma">
          <m:complexRule comparator="Eq" title="所有者权益内部结转导致其他的归属于母公司所有者权益变动金额" test=" $_GBC_5079cef49b9f4d959f964cc541d8a431 +  $_GBC_6d82d02e4dbb4b789e269c52e8c85023 +  $_GBC_7f8785dc8b6e424497543d74a0e75233 +  $_GBC_48eaf256d8eb40509e9a254c7103a0c3 +  $_GBC_9f90cb66f68b413e9541144c05a2e7c2 +  $_GBC_96f971902e484555ab3c05df4083a5e9" id="C79b05df5f5d948bbb37dfe0c452e4402"/>
        </m:item>
        <m:item xlName="_GBC_2ed846f10ca148fca67e10caa343a4b7" concept="clcid-pte:SuoYouZheQuanYiNeiBuJieZhuanDaoZhiGuiShuYuMuGongSiSuoYouZheQuanYiBianDongJinE" label="所有者权益内部结转导致归属于母公司所有者权益变动金额" mulRef="_GBC_57faea4e453e49ad93821b7dd6ce8bc4" unitRef="_GBC_cef77704267643d794145c73763360e5" addr="T0R22C13S1_1" formatStyle="Comma">
          <m:complexRule comparator="Eq" title="所有者权益内部结转导致归属于母公司所有者权益变动金额小计" test=" $_GBC_a147fdc4b0a34ba19a36857dc44c484f +  $_GBC_f7ec88b1cfc340ecbc2db715e9280106 +  $_GBC_a3542f17de8449a38b04228b98911c70 +  $_GBC_3da85d0a23a04236bf12e392f16cef68 +  $_GBC_f6a6ec6e0f9946828623e9aec7d201de +  $_GBC_21b2216ab5af47de9030208112dac275" id="Cee45d0b9328b4c9d8ef0a685df9f5970"/>
        </m:item>
        <m:item xlName="_GBC_6433a03aaf764c6bbb7fb28a263f4a75" concept="clcid-pte:SuoYouZheQuanYiNeiBuJieZhuanDaoZhiShaoShuGuDongQuanYiBianDongJinE" label="所有者权益内部结转导致少数股东权益变动金额" mulRef="_GBC_57faea4e453e49ad93821b7dd6ce8bc4" unitRef="_GBC_cef77704267643d794145c73763360e5" addr="T0R22C14S1_1" formatStyle="Comma">
          <m:complexRule comparator="Eq" title="所有者权益内部结转导致少数股东权益变动金额" test=" $_GBC_67e0a25ac3864454b0c40a9a5450e6e8 +  $_GBC_cae57e21b40548609dd8571177b6990a +  $_GBC_7bc3a7d08bd640288d142f80d272ac90 +  $_GBC_f9c86667170148c49351e362b0206c2f +  $_GBC_230e389e33e843b5822ec56da2d84c12 +  $_GBC_35abb63764394eb5b6fcbfb07d5ce6ec" id="C545f053fb6164e67a9f95432d5cf05a7"/>
        </m:item>
        <m:item xlName="_GBC_11ffe4abc91c475a9946d7350026712f" concept="clcid-pte:SuoYouZheQuanYiNeiBuJieZhuanDaoZhiGuDongQuanYiHeJiBianDongJinE" label="所有者权益内部结转导致股东权益合计变动金额" mulRef="_GBC_57faea4e453e49ad93821b7dd6ce8bc4" unitRef="_GBC_cef77704267643d794145c73763360e5" addr="T0R22C15S1_1" formatStyle="Comma">
          <m:complexRule comparator="Eq" title="所有者权益内部结转导致股东权益合计变动金额" test=" $_GBC_7a04c0847f9f4b7297ebab79977d22ac +  $_GBC_fbdf7bc724e740ac933d3b29a1bf7c0e +  $_GBC_34f99aa3436c47c39da8ceb9708d1add +  $_GBC_858de9a600cd473da4b3e97548e0ab4c +  $_GBC_167fdd27c19747d6aa10737ad54dad04 +  $_GBC_6f27f55a18fa432b92f760b42353ba9d" id="C74ce250f585d4e7b9a66d2babc9336c7"/>
        </m:item>
        <m:placeholder xlName="_PLD_88233f88b9ea4ceb82a1cc6cd7a5030d" addr="T0R23C0S1_1"/>
        <m:item xlName="_GBC_2baeb3ec27164605b33e14db596cde4f" concept="clcid-pte:ZiBenGongJiZhuanZengZiBenHuoGuBenDaoZhiShiShouZiBenHuoGuBenJingEBianDongJinE" label="资本公积转增资本（或股本）导致实收资本（或股本）净额变动金额" mulRef="_GBC_57faea4e453e49ad93821b7dd6ce8bc4" unitRef="_GBC_cef77704267643d794145c73763360e5" addr="T0R23C1S1_1" formatStyle="Comma"/>
        <m:item xlName="_GBC_06bfc76d4bae41f2a82745c2052c73c4" concept="clcid-pte:ZiBenGongJiZhuanZengZiBenHuoGuBenDaoZhiQiTaQuanYiGongJuZhongDeYouXianGuBianDongJinE" label="资本公积转增资本（或股本）导致其他权益工具中的优先股变动金额" mulRef="_GBC_57faea4e453e49ad93821b7dd6ce8bc4" unitRef="_GBC_cef77704267643d794145c73763360e5" addr="T0R23C2S1_1" formatStyle="Comma"/>
        <m:item xlName="_GBC_69b3b19ae9b14871b3c5e31094680dfe" concept="clcid-pte:ZiBenGongJiZhuanZengZiBenHuoGuBenDaoZhiQiTaQuanYiGongJuZhongDeYongXuZhaiBianDongJinE" label="资本公积转增资本（或股本）导致其他权益工具中的永续债变动金额" mulRef="_GBC_57faea4e453e49ad93821b7dd6ce8bc4" unitRef="_GBC_cef77704267643d794145c73763360e5" addr="T0R23C3S1_1" formatStyle="Comma"/>
        <m:item xlName="_GBC_6ac899b6c4d44e4ea6a3cab63561ab47" concept="clcid-pte:ZiBenGongJiZhuanZengZiBenHuoGuBenDaoZhiQiTaQuanYiGongJuZhongDeQiTaBianDongJinE" label="资本公积转增资本（或股本）导致其他权益工具中的其他变动金额" mulRef="_GBC_57faea4e453e49ad93821b7dd6ce8bc4" unitRef="_GBC_cef77704267643d794145c73763360e5" addr="T0R23C4S1_1" formatStyle="Comma"/>
        <m:item xlName="_GBC_a2087025ec3648bc93f7955d23e58b00" concept="clcid-pte:ZiBenGongJiZhuanZengZiBenHuoGuBenDaoZhiZiBenGongJiBianDongJinE" label="资本公积转增资本（或股本）导致资本公积变动金额" mulRef="_GBC_57faea4e453e49ad93821b7dd6ce8bc4" unitRef="_GBC_cef77704267643d794145c73763360e5" addr="T0R23C5S1_1" formatStyle="Comma"/>
        <m:item xlName="_GBC_9a27576d4f8e4e419045a31b51ff610d" concept="clcid-pte:ZiBenGongJiZhuanZengZiBenHuoGuBenDaoZhiKuCunGuBianDongJinE" label="资本公积转增资本（或股本）导致库存股变动金额" mulRef="_GBC_57faea4e453e49ad93821b7dd6ce8bc4" unitRef="_GBC_cef77704267643d794145c73763360e5" addr="T0R23C6S1_1" formatStyle="Comma"/>
        <m:item xlName="_GBC_df8db3849ca04ebb80a4455a50c54b22" concept="clcid-pte:ZiBenGongJiZhuanZengZiBenHuoGuBenDaoZhiQiTaZongHeShouYiBianDongJinE" label="资本公积转增资本（或股本）导致其他综合收益变动金额" mulRef="_GBC_57faea4e453e49ad93821b7dd6ce8bc4" unitRef="_GBC_cef77704267643d794145c73763360e5" addr="T0R23C7S1_1" formatStyle="Comma"/>
        <m:item xlName="_GBC_57cedc7f70704631bbd70b3714daf22c" concept="clcid-pte:ZiBenGongJiZhuanZengZiBenHuoGuBenDaoZhiZhuanXiangChuBeiBianDongJinE" label="资本公积转增资本（或股本）导致专项储备变动金额" mulRef="_GBC_57faea4e453e49ad93821b7dd6ce8bc4" unitRef="_GBC_cef77704267643d794145c73763360e5" addr="T0R23C8S1_1" formatStyle="Comma"/>
        <m:item xlName="_GBC_e0fedf8c4aee4e05b4aa72e6cb4a16e6" concept="clcid-pte:ZiBenGongJiZhuanZengZiBenHuoGuBenDaoZhiYingYuGongJiBianDongJinE" label="资本公积转增资本（或股本）导致盈余公积变动金额" mulRef="_GBC_57faea4e453e49ad93821b7dd6ce8bc4" unitRef="_GBC_cef77704267643d794145c73763360e5" addr="T0R23C9S1_1" formatStyle="Comma"/>
        <m:item xlName="_GBC_9d095efa8eef415d91688ca2363049aa" concept="clcid-pte:ZiBenGongJiZhuanZengZiBenHuoGuBenDaoZhiYiBanFengXianZhunBeiBianDongJinE" label="资本公积转增资本（或股本）导致一般风险准备变动金额" mulRef="_GBC_57faea4e453e49ad93821b7dd6ce8bc4" unitRef="_GBC_cef77704267643d794145c73763360e5" addr="T0R23C10S1_1" formatStyle="Comma"/>
        <m:item xlName="_GBC_5dde1e88dc554f659a123506fe9d8c6b" concept="clcid-pte:ZiBenGongJiZhuanZengZiBenHuoGuBenDaoZhiWeiFenPeiLiRunBianDongJinE" label="资本公积转增资本（或股本）导致未分配利润变动金额" mulRef="_GBC_57faea4e453e49ad93821b7dd6ce8bc4" unitRef="_GBC_cef77704267643d794145c73763360e5" addr="T0R23C11S1_1" formatStyle="Comma"/>
        <m:item xlName="_GBC_5079cef49b9f4d959f964cc541d8a431" concept="clcid-pte:ZiBenGongJiZhuanZengZiBenHuoGuBenDaoZhiQiTaDeGuiShuYuMuGongSiSuoYouZheQuanYiBianDongJinE" label="资本公积转增资本（或股本）导致其他的归属于母公司所有者权益变动金额" mulRef="_GBC_57faea4e453e49ad93821b7dd6ce8bc4" unitRef="_GBC_cef77704267643d794145c73763360e5" addr="T0R23C12S1_1" formatStyle="Comma"/>
        <m:item xlName="_GBC_a147fdc4b0a34ba19a36857dc44c484f" concept="clcid-pte:ZiBenGongJiZhuanZengZiBenHuoGuBenDaoZhiGuiShuYuMuGongSiSuoYouZheQuanYiBianDongJinE" label="资本公积转增资本（或股本）导致归属于母公司所有者权益变动金额" mulRef="_GBC_57faea4e453e49ad93821b7dd6ce8bc4" unitRef="_GBC_cef77704267643d794145c73763360e5" addr="T0R23C13S1_1" formatStyle="Comma"/>
        <m:item xlName="_GBC_67e0a25ac3864454b0c40a9a5450e6e8" concept="clcid-pte:ZiBenGongJiZhuanZengZiBenHuoGuBenDaoZhiShaoShuGuDongQuanYiBianDongJinE" label="资本公积转增资本（或股本）导致少数股东权益变动金额" mulRef="_GBC_57faea4e453e49ad93821b7dd6ce8bc4" unitRef="_GBC_cef77704267643d794145c73763360e5" addr="T0R23C14S1_1" formatStyle="Comma"/>
        <m:item xlName="_GBC_7a04c0847f9f4b7297ebab79977d22ac" concept="clcid-pte:ZiBenGongJiZhuanZengZiBenHuoGuBenDaoZhiGuDongQuanYiHeJiBianDongJinE" label="资本公积转增资本（或股本）导致股东权益合计变动金额" mulRef="_GBC_57faea4e453e49ad93821b7dd6ce8bc4" unitRef="_GBC_cef77704267643d794145c73763360e5" addr="T0R23C15S1_1" formatStyle="Comma"/>
        <m:placeholder xlName="_PLD_4a9492c5a232434296cfdef5eeded778" addr="T0R24C0S1_1"/>
        <m:item xlName="_GBC_d7d78d37a3b04a0d98af36d422e9a684" concept="clcid-pte:YingYuGongJiZhuanZengZiBenHuoGuBenDaoZhiShiShouZiBenHuoGuBenJingEBianDongJinE" label="盈余公积转增资本（或股本）导致实收资本（或股本）净额变动金额" mulRef="_GBC_57faea4e453e49ad93821b7dd6ce8bc4" unitRef="_GBC_cef77704267643d794145c73763360e5" addr="T0R24C1S1_1" formatStyle="Comma"/>
        <m:item xlName="_GBC_37ac11a45bfe424aa6a12d3db8ad0c64" concept="clcid-pte:YingYuGongJiZhuanZengZiBenHuoGuBenDaoZhiQiTaQuanYiGongJuZhongDeYouXianGuBianDongJinE" label="盈余公积转增资本（或股本）导致其他权益工具中的优先股变动金额" mulRef="_GBC_57faea4e453e49ad93821b7dd6ce8bc4" unitRef="_GBC_cef77704267643d794145c73763360e5" addr="T0R24C2S1_1" formatStyle="Comma"/>
        <m:item xlName="_GBC_bb89e31041734188861212d0fe8bc3b3" concept="clcid-pte:YingYuGongJiZhuanZengZiBenHuoGuBenDaoZhiQiTaQuanYiGongJuZhongDeYongXuZhaiBianDongJinE" label="盈余公积转增资本（或股本）导致其他权益工具中的永续债变动金额" mulRef="_GBC_57faea4e453e49ad93821b7dd6ce8bc4" unitRef="_GBC_cef77704267643d794145c73763360e5" addr="T0R24C3S1_1" formatStyle="Comma"/>
        <m:item xlName="_GBC_7a78435c2bb940c8893fd72c73e0910c" concept="clcid-pte:YingYuGongJiZhuanZengZiBenHuoGuBenDaoZhiQiTaQuanYiGongJuZhongDeQiTaBianDongJinE" label="盈余公积转增资本（或股本）导致其他权益工具中的其他变动金额" mulRef="_GBC_57faea4e453e49ad93821b7dd6ce8bc4" unitRef="_GBC_cef77704267643d794145c73763360e5" addr="T0R24C4S1_1" formatStyle="Comma"/>
        <m:item xlName="_GBC_57d124b745834bab92267c058fecd48a" concept="clcid-pte:YingYuGongJiZhuanZengZiBenHuoGuBenDaoZhiZiBenGongJiBianDongJinE" label="盈余公积转增资本（或股本）导致资本公积变动金额" mulRef="_GBC_57faea4e453e49ad93821b7dd6ce8bc4" unitRef="_GBC_cef77704267643d794145c73763360e5" addr="T0R24C5S1_1" formatStyle="Comma"/>
        <m:item xlName="_GBC_e5cd0aa5620f4a33804464ae674b9261" concept="clcid-pte:YingYuGongJiZhuanZengZiBenHuoGuBenDaoZhiKuCunGuBianDongJinE" label="盈余公积转增资本（或股本）导致库存股变动金额" mulRef="_GBC_57faea4e453e49ad93821b7dd6ce8bc4" unitRef="_GBC_cef77704267643d794145c73763360e5" addr="T0R24C6S1_1" formatStyle="Comma"/>
        <m:item xlName="_GBC_18fc945fe234446484d30d040ca10fda" concept="clcid-pte:YingYuGongJiZhuanZengZiBenHuoGuBenDaoZhiQiTaZongHeShouYiBianDongJinE" label="盈余公积转增资本（或股本）导致其他综合收益变动金额" mulRef="_GBC_57faea4e453e49ad93821b7dd6ce8bc4" unitRef="_GBC_cef77704267643d794145c73763360e5" addr="T0R24C7S1_1" formatStyle="Comma"/>
        <m:item xlName="_GBC_dee7df95b91e42c7bb763a9d102faa17" concept="clcid-pte:YingYuGongJiZhuanZengZiBenHuoGuBenDaoZhiZhuanXiangChuBeiBianDongJinE" label="盈余公积转增资本（或股本）导致专项储备变动金额" mulRef="_GBC_57faea4e453e49ad93821b7dd6ce8bc4" unitRef="_GBC_cef77704267643d794145c73763360e5" addr="T0R24C8S1_1" formatStyle="Comma"/>
        <m:item xlName="_GBC_19168d5fdc984fd1b1b2e985b3312f60" concept="clcid-pte:YingYuGongJiZhuanZengZiBenHuoGuBenDaoZhiYingYuGongJiBianDongJinE" label="盈余公积转增资本（或股本）导致盈余公积变动金额" mulRef="_GBC_57faea4e453e49ad93821b7dd6ce8bc4" unitRef="_GBC_cef77704267643d794145c73763360e5" addr="T0R24C9S1_1" formatStyle="Comma"/>
        <m:item xlName="_GBC_d0e07a04929641409c3e26d19f896cad" concept="clcid-pte:YingYuGongJiZhuanZengZiBenHuoGuBenDaoZhiYiBanFengXianZhunBeiBianDongJinE" label="盈余公积转增资本（或股本）导致一般风险准备变动金额" mulRef="_GBC_57faea4e453e49ad93821b7dd6ce8bc4" unitRef="_GBC_cef77704267643d794145c73763360e5" addr="T0R24C10S1_1" formatStyle="Comma"/>
        <m:item xlName="_GBC_e5688907dedd4e6694307f3a61d45a7f" concept="clcid-pte:YingYuGongJiZhuanZengZiBenHuoGuBenDaoZhiWeiFenPeiLiRunBianDongJinE" label="盈余公积转增资本（或股本）导致未分配利润变动金额" mulRef="_GBC_57faea4e453e49ad93821b7dd6ce8bc4" unitRef="_GBC_cef77704267643d794145c73763360e5" addr="T0R24C11S1_1" formatStyle="Comma"/>
        <m:item xlName="_GBC_6d82d02e4dbb4b789e269c52e8c85023" concept="clcid-pte:YingYuGongJiZhuanZengZiBenHuoGuBenDaoZhiQiTaDeGuiShuYuMuGongSiSuoYouZheQuanYiBianDongJinE" label="盈余公积转增资本（或股本）导致其他的归属于母公司所有者权益变动金额" mulRef="_GBC_57faea4e453e49ad93821b7dd6ce8bc4" unitRef="_GBC_cef77704267643d794145c73763360e5" addr="T0R24C12S1_1" formatStyle="Comma"/>
        <m:item xlName="_GBC_f7ec88b1cfc340ecbc2db715e9280106" concept="clcid-pte:YingYuGongJiZhuanZengZiBenHuoGuBenDaoZhiGuiShuYuMuGongSiSuoYouZheQuanYiBianDongJinE" label="盈余公积转增资本（或股本）导致归属于母公司所有者权益变动金额" mulRef="_GBC_57faea4e453e49ad93821b7dd6ce8bc4" unitRef="_GBC_cef77704267643d794145c73763360e5" addr="T0R24C13S1_1" formatStyle="Comma"/>
        <m:item xlName="_GBC_cae57e21b40548609dd8571177b6990a" concept="clcid-pte:YingYuGongJiZhuanZengZiBenHuoGuBenDaoZhiShaoShuGuDongQuanYiBianDongJinE" label="盈余公积转增资本（或股本）导致少数股东权益变动金额" mulRef="_GBC_57faea4e453e49ad93821b7dd6ce8bc4" unitRef="_GBC_cef77704267643d794145c73763360e5" addr="T0R24C14S1_1" formatStyle="Comma"/>
        <m:item xlName="_GBC_fbdf7bc724e740ac933d3b29a1bf7c0e" concept="clcid-pte:YingYuGongJiZhuanZengZiBenHuoGuBenDaoZhiGuDongQuanYiHeJiBianDongJinE" label="盈余公积转增资本（或股本）导致股东权益合计变动金额" mulRef="_GBC_57faea4e453e49ad93821b7dd6ce8bc4" unitRef="_GBC_cef77704267643d794145c73763360e5" addr="T0R24C15S1_1" formatStyle="Comma"/>
        <m:placeholder xlName="_PLD_25911664beff496799fc3193be7c3182" addr="T0R25C0S1_1"/>
        <m:item xlName="_GBC_9c8384d262b144d0b93520878690286a" concept="clcid-pte:YingYuGongJiMiBuKuiSunDaoZhiShiShouZiBenHuoGuBenJingEBianDongJinE" label="盈余公积弥补亏损导致实收资本（或股本）净额变动金额" mulRef="_GBC_57faea4e453e49ad93821b7dd6ce8bc4" unitRef="_GBC_cef77704267643d794145c73763360e5" addr="T0R25C1S1_1" formatStyle="Comma"/>
        <m:item xlName="_GBC_9e6fac0b90754c92a6dff04fd76aea8d" concept="clcid-pte:YingYuGongJiMiBuKuiSunDaoZhiQiTaQuanYiGongJuZhongDeYouXianGuBianDongJinE" label="盈余公积弥补亏损导致其他权益工具中的优先股变动金额" mulRef="_GBC_57faea4e453e49ad93821b7dd6ce8bc4" unitRef="_GBC_cef77704267643d794145c73763360e5" addr="T0R25C2S1_1" formatStyle="Comma"/>
        <m:item xlName="_GBC_3187ef1ffa7c4415bb6e644462489722" concept="clcid-pte:YingYuGongJiMiBuKuiSunDaoZhiQiTaQuanYiGongJuZhongDeYongXuZhaiBianDongJinE" label="盈余公积弥补亏损导致其他权益工具中的永续债变动金额" mulRef="_GBC_57faea4e453e49ad93821b7dd6ce8bc4" unitRef="_GBC_cef77704267643d794145c73763360e5" addr="T0R25C3S1_1" formatStyle="Comma"/>
        <m:item xlName="_GBC_c95ebda4053d400f87f7a864529828e2" concept="clcid-pte:YingYuGongJiMiBuKuiSunDaoZhiQiTaQuanYiGongJuZhongDeQiTaBianDongJinE" label="盈余公积弥补亏损导致其他权益工具中的其他变动金额" mulRef="_GBC_57faea4e453e49ad93821b7dd6ce8bc4" unitRef="_GBC_cef77704267643d794145c73763360e5" addr="T0R25C4S1_1" formatStyle="Comma"/>
        <m:item xlName="_GBC_e30bc3fc8ebd427b92f202b6904b1ad2" concept="clcid-pte:YingYuGongJiMiBuKuiSunDaoZhiZiBenGongJiBianDongJinE" label="盈余公积弥补亏损导致资本公积变动金额" mulRef="_GBC_57faea4e453e49ad93821b7dd6ce8bc4" unitRef="_GBC_cef77704267643d794145c73763360e5" addr="T0R25C5S1_1" formatStyle="Comma"/>
        <m:item xlName="_GBC_6dc8e09ac2de46eca15937686cccea60" concept="clcid-pte:YingYuGongJiMiBuKuiSunDaoZhiKuCunGuBianDongJinE" label="盈余公积弥补亏损导致库存股变动金额" mulRef="_GBC_57faea4e453e49ad93821b7dd6ce8bc4" unitRef="_GBC_cef77704267643d794145c73763360e5" addr="T0R25C6S1_1" formatStyle="Comma"/>
        <m:item xlName="_GBC_0da3522e0c764f91a511a20d7d23372d" concept="clcid-pte:YingYuGongJiMiBuKuiSunDaoZhiQiTaZongHeShouYiBianDongJinE" label="盈余公积弥补亏损导致其他综合收益变动金额" mulRef="_GBC_57faea4e453e49ad93821b7dd6ce8bc4" unitRef="_GBC_cef77704267643d794145c73763360e5" addr="T0R25C7S1_1" formatStyle="Comma"/>
        <m:item xlName="_GBC_0e7428ed7dea4bd5a480b1a672482df5" concept="clcid-pte:YingYuGongJiMiBuKuiSunDaoZhiZhuanXiangChuBeiBianDongJinE" label="盈余公积弥补亏损导致专项储备变动金额" mulRef="_GBC_57faea4e453e49ad93821b7dd6ce8bc4" unitRef="_GBC_cef77704267643d794145c73763360e5" addr="T0R25C8S1_1" formatStyle="Comma"/>
        <m:item xlName="_GBC_3192f22ca10943bda6736b4d79d65409" concept="clcid-pte:YingYuGongJiMiBuKuiSunDaoZhiYingYuGongJiBianDongJinE" label="盈余公积弥补亏损导致盈余公积变动金额" mulRef="_GBC_57faea4e453e49ad93821b7dd6ce8bc4" unitRef="_GBC_cef77704267643d794145c73763360e5" addr="T0R25C9S1_1" formatStyle="Comma"/>
        <m:item xlName="_GBC_bfdd8e934dd24d308eb971db3faca063" concept="clcid-pte:YingYuGongJiMiBuKuiSunDaoZhiYiBanFengXianZhunBeiBianDongJinE" label="盈余公积弥补亏损导致一般风险准备变动金额" mulRef="_GBC_57faea4e453e49ad93821b7dd6ce8bc4" unitRef="_GBC_cef77704267643d794145c73763360e5" addr="T0R25C10S1_1" formatStyle="Comma"/>
        <m:item xlName="_GBC_275c4803e4744aed87d9d7a428d0fd7b" concept="clcid-pte:YingYuGongJiMiBuKuiSunDaoZhiWeiFenPeiLiRunBianDongJinE" label="盈余公积弥补亏损导致未分配利润变动金额" mulRef="_GBC_57faea4e453e49ad93821b7dd6ce8bc4" unitRef="_GBC_cef77704267643d794145c73763360e5" addr="T0R25C11S1_1" formatStyle="Comma"/>
        <m:item xlName="_GBC_7f8785dc8b6e424497543d74a0e75233" concept="clcid-pte:YingYuGongJiMiBuKuiSunDaoZhiQiTaDeGuiShuYuMuGongSiSuoYouZheQuanYiBianDongJinE" label="盈余公积弥补亏损导致其他的归属于母公司所有者权益变动金额" mulRef="_GBC_57faea4e453e49ad93821b7dd6ce8bc4" unitRef="_GBC_cef77704267643d794145c73763360e5" addr="T0R25C12S1_1" formatStyle="Comma"/>
        <m:item xlName="_GBC_a3542f17de8449a38b04228b98911c70" concept="clcid-pte:YingYuGongJiMiBuKuiSunDaoZhiGuiShuYuMuGongSiSuoYouZheQuanYiBianDongJinE" label="盈余公积弥补亏损导致归属于母公司所有者权益变动金额" mulRef="_GBC_57faea4e453e49ad93821b7dd6ce8bc4" unitRef="_GBC_cef77704267643d794145c73763360e5" addr="T0R25C13S1_1" formatStyle="Comma"/>
        <m:item xlName="_GBC_7bc3a7d08bd640288d142f80d272ac90" concept="clcid-pte:YingYuGongJiMiBuKuiSunDaoZhiShaoShuGuDongQuanYiBianDongJinE" label="盈余公积弥补亏损导致少数股东权益变动金额" mulRef="_GBC_57faea4e453e49ad93821b7dd6ce8bc4" unitRef="_GBC_cef77704267643d794145c73763360e5" addr="T0R25C14S1_1" formatStyle="Comma"/>
        <m:item xlName="_GBC_34f99aa3436c47c39da8ceb9708d1add" concept="clcid-pte:YingYuGongJiMiBuKuiSunDaoZhiGuDongQuanYiHeJiBianDongJinE" label="盈余公积弥补亏损导致股东权益合计变动金额" mulRef="_GBC_57faea4e453e49ad93821b7dd6ce8bc4" unitRef="_GBC_cef77704267643d794145c73763360e5" addr="T0R25C15S1_1" formatStyle="Comma"/>
        <m:placeholder xlName="_PLD_c2918ada9b53437193e4f9cfffa064e3" addr="T0R26C0S1_1"/>
        <m:item xlName="_GBC_194d2e17b8d741bb9682ae31654c0e73" concept="clcid-pte:SheDingShouYiJiHuaBianDongEJieZhuanLiuCunShouYiDaoZhiShiShouZiBenHuoGuBenJingEBianDongJinE" label="设定受益计划变动额结转留存收益导致实收资本（或股本）净额变动金额" mulRef="_GBC_57faea4e453e49ad93821b7dd6ce8bc4" unitRef="_GBC_cef77704267643d794145c73763360e5" addr="T0R26C1S1_1" formatStyle="Comma"/>
        <m:item xlName="_GBC_63d131c3ba0b4c5ab71b462daafd25eb" concept="clcid-pte:SheDingShouYiJiHuaBianDongEJieZhuanLiuCunShouYiDaoZhiQiTaQuanYiGongJuZhongDeYouXianGuBianDongJinE" label="设定受益计划变动额结转留存收益导致其他权益工具中的优先股变动金额" mulRef="_GBC_57faea4e453e49ad93821b7dd6ce8bc4" unitRef="_GBC_cef77704267643d794145c73763360e5" addr="T0R26C2S1_1" formatStyle="Comma"/>
        <m:item xlName="_GBC_5dc9c7fe4c4a48e8ab61ebf77d67c17f" concept="clcid-pte:SheDingShouYiJiHuaBianDongEJieZhuanLiuCunShouYiDaoZhiQiTaQuanYiGongJuZhongDeYongXuZhaiBianDongJinE" label="设定受益计划变动额结转留存收益导致其他权益工具中的永续债变动金额" mulRef="_GBC_57faea4e453e49ad93821b7dd6ce8bc4" unitRef="_GBC_cef77704267643d794145c73763360e5" addr="T0R26C3S1_1" formatStyle="Comma"/>
        <m:item xlName="_GBC_d7221329624641b699c59ac50434bca3" concept="clcid-pte:SheDingShouYiJiHuaBianDongEJieZhuanLiuCunShouYiDaoZhiQiTaQuanYiGongJuZhongDeQiTaBianDongJinE" label="设定受益计划变动额结转留存收益导致其他权益工具中的其他变动金额" mulRef="_GBC_57faea4e453e49ad93821b7dd6ce8bc4" unitRef="_GBC_cef77704267643d794145c73763360e5" addr="T0R26C4S1_1" formatStyle="Comma"/>
        <m:item xlName="_GBC_51f27f70df974aa7b5ec4bd489029bce" concept="clcid-pte:SheDingShouYiJiHuaBianDongEJieZhuanLiuCunShouYiDaoZhiZiBenGongJiBianDongJinE" label="设定受益计划变动额结转留存收益导致资本公积变动金额" mulRef="_GBC_57faea4e453e49ad93821b7dd6ce8bc4" unitRef="_GBC_cef77704267643d794145c73763360e5" addr="T0R26C5S1_1" formatStyle="Comma"/>
        <m:item xlName="_GBC_3253d1a77a03449bb5a26239e6ed998e" concept="clcid-pte:SheDingShouYiJiHuaBianDongEJieZhuanLiuCunShouYiDaoZhiKuCunGuBianDongJinE" label="设定受益计划变动额结转留存收益导致库存股变动金额" mulRef="_GBC_57faea4e453e49ad93821b7dd6ce8bc4" unitRef="_GBC_cef77704267643d794145c73763360e5" addr="T0R26C6S1_1" formatStyle="Comma"/>
        <m:item xlName="_GBC_ed868be8974e4b4e804e9f5999d8a98c" concept="clcid-pte:SheDingShouYiJiHuaBianDongEJieZhuanLiuCunShouYiDaoZhiQiTaZongHeShouYiBianDongJinE" label="设定受益计划变动额结转留存收益导致其他综合收益变动金额" mulRef="_GBC_57faea4e453e49ad93821b7dd6ce8bc4" unitRef="_GBC_cef77704267643d794145c73763360e5" addr="T0R26C7S1_1" formatStyle="Comma"/>
        <m:item xlName="_GBC_222e2d52d4e84881a46a3ba4ddca3d44" concept="clcid-pte:SheDingShouYiJiHuaBianDongEJieZhuanLiuCunShouYiDaoZhiZhuanXiangChuBeiBianDongJinE" label="设定受益计划变动额结转留存收益导致专项储备变动金额" mulRef="_GBC_57faea4e453e49ad93821b7dd6ce8bc4" unitRef="_GBC_cef77704267643d794145c73763360e5" addr="T0R26C8S1_1" formatStyle="Comma"/>
        <m:item xlName="_GBC_58f56e1c7484489681a0b8e17ded3f36" concept="clcid-pte:SheDingShouYiJiHuaBianDongEJieZhuanLiuCunShouYiDaoZhiYingYuGongJiBianDongJinE" label="设定受益计划变动额结转留存收益导致盈余公积变动金额" mulRef="_GBC_57faea4e453e49ad93821b7dd6ce8bc4" unitRef="_GBC_cef77704267643d794145c73763360e5" addr="T0R26C9S1_1" formatStyle="Comma"/>
        <m:item xlName="_GBC_d69e614ccd7a470a97edd07e82860b4a" concept="clcid-pte:SheDingShouYiJiHuaBianDongEJieZhuanLiuCunShouYiDaoZhiYiBanFengXianZhunBeiBianDongJinE" label="设定受益计划变动额结转留存收益导致一般风险准备变动金额" mulRef="_GBC_57faea4e453e49ad93821b7dd6ce8bc4" unitRef="_GBC_cef77704267643d794145c73763360e5" addr="T0R26C10S1_1" formatStyle="Comma"/>
        <m:item xlName="_GBC_54c34312d52446d08167582b2c16531c" concept="clcid-pte:SheDingShouYiJiHuaBianDongEJieZhuanLiuCunShouYiDaoZhiWeiFenPeiLiRunBianDongJinE" label="设定受益计划变动额结转留存收益导致未分配利润变动金额" mulRef="_GBC_57faea4e453e49ad93821b7dd6ce8bc4" unitRef="_GBC_cef77704267643d794145c73763360e5" addr="T0R26C11S1_1" formatStyle="Comma"/>
        <m:item xlName="_GBC_48eaf256d8eb40509e9a254c7103a0c3" concept="clcid-pte:SheDingShouYiJiHuaBianDongEJieZhuanLiuCunShouYiDaoZhiQiTaDeGuiShuYuMuGongSiSuoYouZheQuanYiBianDongJinE" label="设定受益计划变动额结转留存收益导致其他的归属于母公司所有者权益变动金额" mulRef="_GBC_57faea4e453e49ad93821b7dd6ce8bc4" unitRef="_GBC_cef77704267643d794145c73763360e5" addr="T0R26C12S1_1" formatStyle="Comma"/>
        <m:item xlName="_GBC_3da85d0a23a04236bf12e392f16cef68" concept="clcid-pte:SheDingShouYiJiHuaBianDongEJieZhuanLiuCunShouYiDaoZhiGuiShuYuMuGongSiSuoYouZheQuanYiBianDongJinE" label="设定受益计划变动额结转留存收益导致归属于母公司所有者权益变动金额" mulRef="_GBC_57faea4e453e49ad93821b7dd6ce8bc4" unitRef="_GBC_cef77704267643d794145c73763360e5" addr="T0R26C13S1_1" formatStyle="Comma"/>
        <m:item xlName="_GBC_230e389e33e843b5822ec56da2d84c12" concept="clcid-pte:SheDingShouYiJiHuaBianDongEJieZhuanLiuCunShouYiDaoZhiShaoShuGuDongQuanYiBianDongJinE" label="设定受益计划变动额结转留存收益导致少数股东权益变动金额" mulRef="_GBC_57faea4e453e49ad93821b7dd6ce8bc4" unitRef="_GBC_cef77704267643d794145c73763360e5" addr="T0R26C14S1_1" formatStyle="Comma"/>
        <m:item xlName="_GBC_167fdd27c19747d6aa10737ad54dad04" concept="clcid-pte:SheDingShouYiJiHuaBianDongEJieZhuanLiuCunShouYiDaoZhiGuDongQuanYiHeJiBianDongJinE" label="设定受益计划变动额结转留存收益导致股东权益合计变动金额" mulRef="_GBC_57faea4e453e49ad93821b7dd6ce8bc4" unitRef="_GBC_cef77704267643d794145c73763360e5" addr="T0R26C15S1_1" formatStyle="Comma"/>
        <m:placeholder xlName="_PLD_ea153cdd99f74bf1b50bc1743d25f429" addr="T0R27C0S1_1" placeHolderType="1"/>
        <m:item xlName="_GBC_f0606a6366874435a5d42807acb682be" concept="clcid-pte:QiTaZongHeShouYiJieZhuanLiuCunShouYiDaoZhiShiShouZiBenHuoGuBenJingEBianDongJinE" label="其他综合收益结转留存收益导致实收资本（或股本）净额变动金额" mulRef="_GBC_57faea4e453e49ad93821b7dd6ce8bc4" unitRef="_GBC_cef77704267643d794145c73763360e5" addr="T0R27C1S1_1" formatStyle="Comma"/>
        <m:item xlName="_GBC_7e6a0ac1b8cb41eeab0342709cf959ed" concept="clcid-pte:QiTaZongHeShouYiJieZhuanLiuCunShouYiDaoZhiQiTaQuanYiGongJuZhongDeYouXianGuBianDongJinE" label="其他综合收益结转留存收益导致其他权益工具中的优先股变动金额" mulRef="_GBC_57faea4e453e49ad93821b7dd6ce8bc4" unitRef="_GBC_cef77704267643d794145c73763360e5" addr="T0R27C2S1_1" formatStyle="Comma"/>
        <m:item xlName="_GBC_077d9b5aa601495b93f4490c4786727c" concept="clcid-pte:QiTaZongHeShouYiJieZhuanLiuCunShouYiDaoZhiQiTaQuanYiGongJuZhongDeYongXuZhaiBianDongJinE" label="其他综合收益结转留存收益导致其他权益工具中的永续债变动金额" mulRef="_GBC_57faea4e453e49ad93821b7dd6ce8bc4" unitRef="_GBC_cef77704267643d794145c73763360e5" addr="T0R27C3S1_1" formatStyle="Comma"/>
        <m:item xlName="_GBC_e2864e4b6f3c46cb8aa2e2ad75432cdb" concept="clcid-pte:QiTaZongHeShouYiJieZhuanLiuCunShouYiDaoZhiQiTaQuanYiGongJuZhongDeQiTaBianDongJinE" label="其他综合收益结转留存收益导致其他权益工具中的其他变动金额" mulRef="_GBC_57faea4e453e49ad93821b7dd6ce8bc4" unitRef="_GBC_cef77704267643d794145c73763360e5" addr="T0R27C4S1_1" formatStyle="Comma"/>
        <m:item xlName="_GBC_4ea98f87a7a34b378e0a313ab882a2f7" concept="clcid-pte:QiTaZongHeShouYiJieZhuanLiuCunShouYiDaoZhiZiBenGongJiBianDongJinE" label="其他综合收益结转留存收益导致资本公积变动金额" mulRef="_GBC_57faea4e453e49ad93821b7dd6ce8bc4" unitRef="_GBC_cef77704267643d794145c73763360e5" addr="T0R27C5S1_1" formatStyle="Comma"/>
        <m:item xlName="_GBC_990f8260e10f413a865e8299bf8c49b2" concept="clcid-pte:QiTaZongHeShouYiJieZhuanLiuCunShouYiDaoZhiKuCunGuBianDongJinE" label="其他综合收益结转留存收益导致库存股变动金额" mulRef="_GBC_57faea4e453e49ad93821b7dd6ce8bc4" unitRef="_GBC_cef77704267643d794145c73763360e5" addr="T0R27C6S1_1" formatStyle="Comma"/>
        <m:item xlName="_GBC_b07c6ea994c644fc9be8839066b8cb1a" concept="clcid-pte:QiTaZongHeShouYiJieZhuanLiuCunShouYiDaoZhiQiTaZongHeShouYiBianDongJinE" label="其他综合收益结转留存收益导致其他综合收益变动金额" mulRef="_GBC_57faea4e453e49ad93821b7dd6ce8bc4" unitRef="_GBC_cef77704267643d794145c73763360e5" addr="T0R27C7S1_1" formatStyle="Comma"/>
        <m:item xlName="_GBC_bc19adbd54394cf4990d64f3e83e3256" concept="clcid-pte:QiTaZongHeShouYiJieZhuanLiuCunShouYiDaoZhiZhuanXiangChuBeiBianDongJinE" label="其他综合收益结转留存收益导致专项储备变动金额" mulRef="_GBC_57faea4e453e49ad93821b7dd6ce8bc4" unitRef="_GBC_cef77704267643d794145c73763360e5" addr="T0R27C8S1_1" formatStyle="Comma"/>
        <m:item xlName="_GBC_381a69b01bfd44f9887defbbe0cf1f51" concept="clcid-pte:QiTaZongHeShouYiJieZhuanLiuCunShouYiDaoZhiYingYuGongJiBianDongJinE" label="其他综合收益结转留存收益导致盈余公积变动金额" mulRef="_GBC_57faea4e453e49ad93821b7dd6ce8bc4" unitRef="_GBC_cef77704267643d794145c73763360e5" addr="T0R27C9S1_1" formatStyle="Comma"/>
        <m:item xlName="_GBC_c328a8848b9741ccaa30b23f8208666c" concept="clcid-pte:QiTaZongHeShouYiJieZhuanLiuCunShouYiDaoZhiYiBanFengXianZhunBeiBianDongJinE" label="其他综合收益结转留存收益导致一般风险准备变动金额" mulRef="_GBC_57faea4e453e49ad93821b7dd6ce8bc4" unitRef="_GBC_cef77704267643d794145c73763360e5" addr="T0R27C10S1_1" formatStyle="Comma"/>
        <m:item xlName="_GBC_3aaa9be33e854bfab5b2a35560347914" concept="clcid-pte:QiTaZongHeShouYiJieZhuanLiuCunShouYiDaoZhiWeiFenPeiLiRunBianDongJinE" label="其他综合收益结转留存收益导致未分配利润变动金额" mulRef="_GBC_57faea4e453e49ad93821b7dd6ce8bc4" unitRef="_GBC_cef77704267643d794145c73763360e5" addr="T0R27C11S1_1" formatStyle="Comma"/>
        <m:item xlName="_GBC_9f90cb66f68b413e9541144c05a2e7c2" concept="clcid-pte:QiTaZongHeShouYiJieZhuanLiuCunShouYiDaoZhiQiTaDeGuiShuYuMuGongSiSuoYouZheQuanYiBianDongJinE" label="其他综合收益结转留存收益导致其他的归属于母公司所有者权益变动金额" mulRef="_GBC_57faea4e453e49ad93821b7dd6ce8bc4" unitRef="_GBC_cef77704267643d794145c73763360e5" addr="T0R27C12S1_1" formatStyle="Comma"/>
        <m:item xlName="_GBC_f6a6ec6e0f9946828623e9aec7d201de" concept="clcid-pte:QiTaZongHeShouYiJieZhuanLiuCunShouYiDaoZhiGuiShuYuMuGongSiSuoYouZheQuanYiBianDongJinE" label="其他综合收益结转留存收益导致归属于母公司所有者权益变动金额" mulRef="_GBC_57faea4e453e49ad93821b7dd6ce8bc4" unitRef="_GBC_cef77704267643d794145c73763360e5" addr="T0R27C13S1_1" formatStyle="Comma"/>
        <m:item xlName="_GBC_35abb63764394eb5b6fcbfb07d5ce6ec" concept="clcid-pte:QiTaZongHeShouYiJieZhuanLiuCunShouYiDaoZhiShaoShuGuDongQuanYiBianDongJinE" label="其他综合收益结转留存收益导致少数股东权益变动金额" mulRef="_GBC_57faea4e453e49ad93821b7dd6ce8bc4" unitRef="_GBC_cef77704267643d794145c73763360e5" addr="T0R27C14S1_1" formatStyle="Comma"/>
        <m:item xlName="_GBC_6f27f55a18fa432b92f760b42353ba9d" concept="clcid-pte:QiTaZongHeShouYiJieZhuanLiuCunShouYiDaoZhiGuDongQuanYiHeJiBianDongJinE" label="其他综合收益结转留存收益导致股东权益合计变动金额" mulRef="_GBC_57faea4e453e49ad93821b7dd6ce8bc4" unitRef="_GBC_cef77704267643d794145c73763360e5" addr="T0R27C15S1_1" formatStyle="Comma"/>
        <m:placeholder xlName="_PLD_de42fced9d0547ecb946b8443ac4ea20" addr="T0R28C0S1_1"/>
        <m:item xlName="_GBC_5a84a409a3c240bdbb03d1c5c262f8ed" concept="clcid-pte:QiTaSuoYouZheQuanYiNeiBuJieZhuanDaoZhiShiShouZiBenHuoGuBenJingEBianDongJinE" label="其他所有者权益内部结转导致实收资本（或股本）净额变动金额" mulRef="_GBC_57faea4e453e49ad93821b7dd6ce8bc4" unitRef="_GBC_cef77704267643d794145c73763360e5" addr="T0R28C1S1_1" formatStyle="Comma"/>
        <m:item xlName="_GBC_987a43e1e09d41db99465d816faced74" concept="clcid-pte:QiTaSuoYouZheQuanYiNeiBuJieZhuanDaoZhiQiTaQuanYiGongJuZhongDeYouXianGuBianDongJinE" label="其他所有者权益内部结转导致其他权益工具中的优先股变动金额" mulRef="_GBC_57faea4e453e49ad93821b7dd6ce8bc4" unitRef="_GBC_cef77704267643d794145c73763360e5" addr="T0R28C2S1_1" formatStyle="Comma"/>
        <m:item xlName="_GBC_9974850986174aba8ff33c5831059d42" concept="clcid-pte:QiTaSuoYouZheQuanYiNeiBuJieZhuanDaoZhiQiTaQuanYiGongJuZhongDeYongXuZhaiBianDongJinE" label="其他所有者权益内部结转导致其他权益工具中的永续债变动金额" mulRef="_GBC_57faea4e453e49ad93821b7dd6ce8bc4" unitRef="_GBC_cef77704267643d794145c73763360e5" addr="T0R28C3S1_1" formatStyle="Comma"/>
        <m:item xlName="_GBC_56b3a0ba683c43f78c3b4c2af40d4d81" concept="clcid-pte:QiTaSuoYouZheQuanYiNeiBuJieZhuanDaoZhiQiTaQuanYiGongJuZhongDeQiTaBianDongJinE" label="其他所有者权益内部结转导致其他权益工具中的其他变动金额" mulRef="_GBC_57faea4e453e49ad93821b7dd6ce8bc4" unitRef="_GBC_cef77704267643d794145c73763360e5" addr="T0R28C4S1_1" formatStyle="Comma"/>
        <m:item xlName="_GBC_076885d34c094644b90e6c0ff2f178f6" concept="clcid-pte:QiTaSuoYouZheQuanYiNeiBuJieZhuanDaoZhiZiBenGongJiBianDongJinE" label="其他所有者权益内部结转导致资本公积变动金额" mulRef="_GBC_57faea4e453e49ad93821b7dd6ce8bc4" unitRef="_GBC_cef77704267643d794145c73763360e5" addr="T0R28C5S1_1" formatStyle="Comma"/>
        <m:item xlName="_GBC_bee4a4326544442884a282645d73a062" concept="clcid-pte:QiTaSuoYouZheQuanYiNeiBuJieZhuanDaoZhiKuCunGuBianDongJinE" label="其他所有者权益内部结转导致库存股变动金额" mulRef="_GBC_57faea4e453e49ad93821b7dd6ce8bc4" unitRef="_GBC_cef77704267643d794145c73763360e5" addr="T0R28C6S1_1" formatStyle="Comma"/>
        <m:item xlName="_GBC_c85cf04d62ab4beb92f448caef4da5a9" concept="clcid-pte:QiTaSuoYouZheQuanYiNeiBuJieZhuanDaoZhiQiTaZongHeShouYiBianDongJinE" label="其他所有者权益内部结转导致其他综合收益变动金额" mulRef="_GBC_57faea4e453e49ad93821b7dd6ce8bc4" unitRef="_GBC_cef77704267643d794145c73763360e5" addr="T0R28C7S1_1" formatStyle="Comma"/>
        <m:item xlName="_GBC_037a7d65d2714eeeaf389c9571a7c796" concept="clcid-pte:QiTaSuoYouZheQuanYiNeiBuJieZhuanDaoZhiZhuanXiangChuBeiBianDongJinE" label="其他所有者权益内部结转导致专项储备变动金额" mulRef="_GBC_57faea4e453e49ad93821b7dd6ce8bc4" unitRef="_GBC_cef77704267643d794145c73763360e5" addr="T0R28C8S1_1" formatStyle="Comma"/>
        <m:item xlName="_GBC_5665cd28811a4d85a2cd69c63952342e" concept="clcid-pte:QiTaSuoYouZheQuanYiNeiBuJieZhuanDaoZhiYingYuGongJiBianDongJinE" label="其他所有者权益内部结转导致盈余公积变动金额" mulRef="_GBC_57faea4e453e49ad93821b7dd6ce8bc4" unitRef="_GBC_cef77704267643d794145c73763360e5" addr="T0R28C9S1_1" formatStyle="Comma"/>
        <m:item xlName="_GBC_698318c4a9d541dfbfbfa7ec7cfba155" concept="clcid-pte:QiTaSuoYouZheQuanYiNeiBuJieZhuanDaoZhiYiBanFengXianZhunBeiBianDongJinE" label="其他所有者权益内部结转导致一般风险准备变动金额" mulRef="_GBC_57faea4e453e49ad93821b7dd6ce8bc4" unitRef="_GBC_cef77704267643d794145c73763360e5" addr="T0R28C10S1_1" formatStyle="Comma"/>
        <m:item xlName="_GBC_30cc501f07444c37ae240f456b093084" concept="clcid-pte:QiTaSuoYouZheQuanYiNeiBuJieZhuanDaoZhiWeiFenPeiLiRunBianDongJinE" label="其他所有者权益内部结转导致未分配利润变动金额" mulRef="_GBC_57faea4e453e49ad93821b7dd6ce8bc4" unitRef="_GBC_cef77704267643d794145c73763360e5" addr="T0R28C11S1_1" formatStyle="Comma"/>
        <m:item xlName="_GBC_96f971902e484555ab3c05df4083a5e9" concept="clcid-pte:QiTaSuoYouZheQuanYiNeiBuJieZhuanDaoZhiQiTaDeGuiShuYuMuGongSiSuoYouZheQuanYiBianDongJinE" label="其他所有者权益内部结转导致其他的归属于母公司所有者权益变动金额" mulRef="_GBC_57faea4e453e49ad93821b7dd6ce8bc4" unitRef="_GBC_cef77704267643d794145c73763360e5" addr="T0R28C12S1_1" formatStyle="Comma"/>
        <m:item xlName="_GBC_21b2216ab5af47de9030208112dac275" concept="clcid-pte:QiTaSuoYouZheQuanYiNeiBuJieZhuanDaoZhiGuiShuYuMuGongSiSuoYouZheQuanYiBianDongJinE" label="其他所有者权益内部结转导致归属于母公司所有者权益变动金额" mulRef="_GBC_57faea4e453e49ad93821b7dd6ce8bc4" unitRef="_GBC_cef77704267643d794145c73763360e5" addr="T0R28C13S1_1" formatStyle="Comma"/>
        <m:item xlName="_GBC_f9c86667170148c49351e362b0206c2f" concept="clcid-pte:QiTaSuoYouZheQuanYiNeiBuJieZhuanDaoZhiShaoShuGuDongQuanYiBianDongJinE" label="其他所有者权益内部结转导致少数股东权益变动金额" mulRef="_GBC_57faea4e453e49ad93821b7dd6ce8bc4" unitRef="_GBC_cef77704267643d794145c73763360e5" addr="T0R28C14S1_1" formatStyle="Comma"/>
        <m:item xlName="_GBC_858de9a600cd473da4b3e97548e0ab4c" concept="clcid-pte:QiTaSuoYouZheQuanYiNeiBuJieZhuanDaoZhiGuDongQuanYiHeJiBianDongJinE" label="其他所有者权益内部结转导致股东权益合计变动金额" mulRef="_GBC_57faea4e453e49ad93821b7dd6ce8bc4" unitRef="_GBC_cef77704267643d794145c73763360e5" addr="T0R28C15S1_1" formatStyle="Comma"/>
        <m:placeholder xlName="_PLD_14d25c6e75074c52a0f884581cc84dba" addr="T0R29C0S1_1"/>
        <m:item xlName="_GBC_5b133c420da349708e6643bb6b0c1e6e" concept="clcid-pte:ZhuanXiangChuBeiDaoZhiShiShouZiBenHuoGuBenJingEBianDongJinE" label="专项储备导致实收资本（或股本）净额变动金额" mulRef="_GBC_57faea4e453e49ad93821b7dd6ce8bc4" unitRef="_GBC_cef77704267643d794145c73763360e5" addr="T0R29C1S1_1" formatStyle="Comma">
          <m:complexRule comparator="Eq" title="专项储备导致实收资本（或股本）净额变动金额" test=" $_GBC_8964072fb57f42ef937e3f8d325229f7 -  $_GBC_2f7c9bb85ea84133bdc594735aa1b1ba" id="C8f83cc918bc046fba08345de502a29e2" radius="0.0001"/>
        </m:item>
        <m:item xlName="_GBC_df89eee61a754edfb5a05b61c5b1418c" concept="clcid-pte:ZhuanXiangChuBeiDaoZhiQiTaQuanYiGongJuZhongDeYouXianGuBianDongJinE" label="专项储备导致其他权益工具中的优先股变动金额" mulRef="_GBC_57faea4e453e49ad93821b7dd6ce8bc4" unitRef="_GBC_cef77704267643d794145c73763360e5" addr="T0R29C2S1_1" formatStyle="Comma">
          <m:complexRule comparator="Eq" title="专项储备导致其他权益工具中的优先股变动金额" test=" $_GBC_29c7ab9a8f3b4a688931d75ba05e0bba -  $_GBC_b0bf3ce60fc948d6af18ac2fcdd1f8bd" id="Cbd374c3c84414edc9c3052419c46d027"/>
        </m:item>
        <m:item xlName="_GBC_9e23218859714c0e96d6c198c2cb79fd" concept="clcid-pte:ZhuanXiangChuBeiDaoZhiQiTaQuanYiGongJuZhongDeYongXuZhaiBianDongJinE" label="专项储备导致其他权益工具中的永续债变动金额" mulRef="_GBC_57faea4e453e49ad93821b7dd6ce8bc4" unitRef="_GBC_cef77704267643d794145c73763360e5" addr="T0R29C3S1_1" formatStyle="Comma">
          <m:complexRule comparator="Eq" title="专项储备导致其他权益工具中的永续债变动金额" test=" $_GBC_5921692adf494af288f20d1dc9238164 -  $_GBC_f6404ea2c572439d9d6cbf4c07b1d82b" id="C22c6b3d48c1643fc97a9eabc9a268b98"/>
        </m:item>
        <m:item xlName="_GBC_65b5aa8f1455448ead376358694d1dad" concept="clcid-pte:ZhuanXiangChuBeiDaoZhiQiTaQuanYiGongJuZhongDeQiTaBianDongJinE" label="专项储备导致其他权益工具中的其他变动金额" mulRef="_GBC_57faea4e453e49ad93821b7dd6ce8bc4" unitRef="_GBC_cef77704267643d794145c73763360e5" addr="T0R29C4S1_1" formatStyle="Comma">
          <m:complexRule comparator="Eq" title="专项储备导致其他权益工具中的其他变动金额" test=" $_GBC_b284993882194eac991b971fcc8c134f -  $_GBC_fca65b95c3e44b9083a518862efbee3d" id="C4ced8588c9f64e6fbf65ad75beea6e33"/>
        </m:item>
        <m:item xlName="_GBC_c5668c5b9c4b4239b60b1a1e142c3572" concept="clcid-pte:ZhuanXiangChuBeiDaoZhiZiBenGongJiBianDongJinE" label="专项储备导致资本公积变动金额" mulRef="_GBC_57faea4e453e49ad93821b7dd6ce8bc4" unitRef="_GBC_cef77704267643d794145c73763360e5" addr="T0R29C5S1_1" formatStyle="Comma">
          <m:complexRule comparator="Eq" title="专项储备导致资本公积变动金额" test=" $_GBC_93895bad5ace4edb8d6c10b8a33c11cc -  $_GBC_d5952cc1209f4e008093ff10d55cce69" id="Ca0014209a8db42c78afee0ecfe7d6cbc" radius="0.0001"/>
        </m:item>
        <m:item xlName="_GBC_6ce020937acc447bb5699bedc911da7e" concept="clcid-pte:ZhuanXiangChuBeiDaoZhiKuCunGuBianDongJinE" label="专项储备导致库存股变动金额" mulRef="_GBC_57faea4e453e49ad93821b7dd6ce8bc4" unitRef="_GBC_cef77704267643d794145c73763360e5" addr="T0R29C6S1_1" formatStyle="Comma">
          <m:complexRule comparator="Eq" title="专项储备导致库存股变动金额" test=" $_GBC_25aa6ff9b9644890ac28809c1ae0eb36 -  $_GBC_446a66b1a07d43f9bd706f27fbd9f329" id="C7f58f7fb5ee747358db47511f8042956" radius="0.0001"/>
        </m:item>
        <m:item xlName="_GBC_b2224b7668d74a5b89c2777235f7abbc" concept="clcid-pte:ZhuanXiangChuBeiDaoZhiQiTaZongHeShouYiBianDongJinE" label="专项储备导致其他综合收益变动金额" mulRef="_GBC_57faea4e453e49ad93821b7dd6ce8bc4" unitRef="_GBC_cef77704267643d794145c73763360e5" addr="T0R29C7S1_1" formatStyle="Comma">
          <m:complexRule comparator="Eq" title="专项储备导致其他综合收益变动金额" test=" $_GBC_1cbd820ae56645e282e08eaa85c65bcb -  $_GBC_f20f9953fc6c445ebe537111300ec73f" id="Cff32badbe3354ed7bcbb3e0a89c12cbc"/>
        </m:item>
        <m:item xlName="_GBC_b63eebc4f8294c6cab43080ea2183269" concept="clcid-pte:ZhuanXiangChuBeiDaoZhiZhuanXiangChuBeiBianDongJinE" label="专项储备导致专项储备变动金额" mulRef="_GBC_57faea4e453e49ad93821b7dd6ce8bc4" unitRef="_GBC_cef77704267643d794145c73763360e5" addr="T0R29C8S1_1" formatStyle="Comma">
          <m:complexRule comparator="Eq" title="专项储备导致专项储备变动金额" test=" $_GBC_d8f597612c404ba9b876b31a429359f7 -  $_GBC_c8c9204fb3234e258e1bf22ac7ff1a42" id="Ccd898491c5ec4153905b8d14300bfbba"/>
        </m:item>
        <m:item xlName="_GBC_03826d85012a4886ac133e89e44c70a4" concept="clcid-pte:ZhuanXiangChuBeiDaoZhiYingYuGongJiBianDongJinE" label="专项储备导致盈余公积变动金额" mulRef="_GBC_57faea4e453e49ad93821b7dd6ce8bc4" unitRef="_GBC_cef77704267643d794145c73763360e5" addr="T0R29C9S1_1" formatStyle="Comma">
          <m:complexRule comparator="Eq" title="专项储备导致盈余公积变动金额" test=" $_GBC_5106b0433355474f8abb045f41eadd2c -  $_GBC_f02947827f5e47ee874a6b214d6821d6" id="C73567615102244ff8e7aa1fd35df122a"/>
        </m:item>
        <m:item xlName="_GBC_edb79244254b409a98c43f26be77f9a2" concept="clcid-pte:ZhuanXiangChuBeiDaoZhiYiBanFengXianZhunBeiBianDongJinE" label="专项储备导致一般风险准备变动金额" mulRef="_GBC_57faea4e453e49ad93821b7dd6ce8bc4" unitRef="_GBC_cef77704267643d794145c73763360e5" addr="T0R29C10S1_1" formatStyle="Comma">
          <m:complexRule comparator="Eq" title="专项储备导致一般风险准备变动金额" test=" $_GBC_54a40a22127f400e90ee1c0c1efc10bb -  $_GBC_3472b44b3e3c44559d8c004fde6b156f" id="C7617ce31613246859d1eef0a18b54ae7"/>
        </m:item>
        <m:item xlName="_GBC_6f589e43d1be447a9260eb6c071a39b6" concept="clcid-pte:ZhuanXiangChuBeiDaoZhiWeiFenPeiLiRunBianDongJinE" label="专项储备导致未分配利润变动金额" mulRef="_GBC_57faea4e453e49ad93821b7dd6ce8bc4" unitRef="_GBC_cef77704267643d794145c73763360e5" addr="T0R29C11S1_1" formatStyle="Comma">
          <m:complexRule comparator="Eq" title="专项储备导致未分配利润变动金额" test=" $_GBC_08816e8cdd1f41e8b9c3142889ccede7 -  $_GBC_293497fa73bf4eba8077a8b51f3746a0" id="Cd38b4fe5efb0420b93643b0e39992d54"/>
        </m:item>
        <m:item xlName="_GBC_bb40ec88bcc04b13aafb388066987c9f" concept="clcid-pte:ZhuanXiangChuBeiDaoZhiQiTaDeGuiShuYuMuGongSiSuoYouZheQuanYiBianDongJinE" label="专项储备导致其他的归属于母公司所有者权益变动金额" mulRef="_GBC_57faea4e453e49ad93821b7dd6ce8bc4" unitRef="_GBC_cef77704267643d794145c73763360e5" addr="T0R29C12S1_1" formatStyle="Comma">
          <m:complexRule comparator="Eq" title="专项储备导致其他的归属于母公司所有者权益变动金额" test=" $_GBC_282a4da7b03d4bc5a74a8e1867ffb63e -  $_GBC_b72759396f784ef282dbca7062b4f8d9" id="C1d1696ab58a54abb8b36b8568318c1b4"/>
        </m:item>
        <m:item xlName="_GBC_6bd3a7a569dd478fbc6d6829ce98fac6" concept="clcid-pte:ZhuanXiangChuBeiDaoZhiGuiShuYuMuGongSiSuoYouZheQuanYiBianDongJinE" label="专项储备导致归属于母公司所有者权益变动金额" mulRef="_GBC_57faea4e453e49ad93821b7dd6ce8bc4" unitRef="_GBC_cef77704267643d794145c73763360e5" addr="T0R29C13S1_1" formatStyle="Comma">
          <m:complexRule comparator="Eq" title="专项储备导致归属于母公司所有者权益变动金额小计" test=" $_GBC_26d21548ec5c4d609e33f7527b5c3b53 -  $_GBC_5325a1a7354f43e78ca03f7e4d505362" id="Ca947b0b13acb4b6cb2b4be6ec8995686"/>
        </m:item>
        <m:item xlName="_GBC_8cab485a956f4ba2b7b46408d57ad6ed" concept="clcid-pte:ZhuanXiangChuBeiDaoZhiShaoShuGuDongQuanYiBianDongJinE" label="专项储备导致少数股东权益变动金额" mulRef="_GBC_57faea4e453e49ad93821b7dd6ce8bc4" unitRef="_GBC_cef77704267643d794145c73763360e5" addr="T0R29C14S1_1" formatStyle="Comma">
          <m:complexRule comparator="Eq" title="专项储备导致少数股东权益变动金额" test=" $_GBC_0a425d925bc5441eb05d6245a3dffa89 -  $_GBC_338c6acd617044aa94afc4a15e515c64" id="C54187ecca5c24c44928ca1560890b1f4"/>
        </m:item>
        <m:item xlName="_GBC_2f85c153c72c4e148843c5f5780b7d6f" concept="clcid-pte:ZhuanXiangChuBeiDaoZhiGuDongQuanYiHeJiBianDongJinE" label="专项储备导致股东权益合计变动金额" mulRef="_GBC_57faea4e453e49ad93821b7dd6ce8bc4" unitRef="_GBC_cef77704267643d794145c73763360e5" addr="T0R29C15S1_1" formatStyle="Comma">
          <m:complexRule comparator="Eq" title="专项储备导致股东权益合计变动金额" test=" $_GBC_4dd0a237229f4c45ba0473a71039a89a -  $_GBC_2bba8b0d81aa4581bc41b19c2d03a128" id="Cb6265583e6e244bc991097b4b8fa7383"/>
        </m:item>
        <m:placeholder xlName="_PLD_672c666008dd4adfa2ab5933e9cd1671" addr="T0R30C0S1_1"/>
        <m:item xlName="_GBC_8964072fb57f42ef937e3f8d325229f7" concept="clcid-pte:TiQuDaoZhiShiShouZiBenHuoGuBenJingEBianDongJinE" label="提取导致实收资本（或股本）净额变动金额" mulRef="_GBC_57faea4e453e49ad93821b7dd6ce8bc4" unitRef="_GBC_cef77704267643d794145c73763360e5" addr="T0R30C1S1_1" formatStyle="Comma"/>
        <m:item xlName="_GBC_29c7ab9a8f3b4a688931d75ba05e0bba" concept="clcid-pte:TiQuDaoZhiQiTaQuanYiGongJuZhongDeYouXianGuBianDongJinE" label="提取导致其他权益工具中的优先股变动金额" mulRef="_GBC_57faea4e453e49ad93821b7dd6ce8bc4" unitRef="_GBC_cef77704267643d794145c73763360e5" addr="T0R30C2S1_1" formatStyle="Comma"/>
        <m:item xlName="_GBC_5921692adf494af288f20d1dc9238164" concept="clcid-pte:TiQuDaoZhiQiTaQuanYiGongJuZhongDeYongXuZhaiBianDongJinE" label="提取导致其他权益工具中的永续债变动金额" mulRef="_GBC_57faea4e453e49ad93821b7dd6ce8bc4" unitRef="_GBC_cef77704267643d794145c73763360e5" addr="T0R30C3S1_1" formatStyle="Comma"/>
        <m:item xlName="_GBC_b284993882194eac991b971fcc8c134f" concept="clcid-pte:TiQuDaoZhiQiTaQuanYiGongJuZhongDeQiTaBianDongJinE" label="提取导致其他权益工具中的其他变动金额" mulRef="_GBC_57faea4e453e49ad93821b7dd6ce8bc4" unitRef="_GBC_cef77704267643d794145c73763360e5" addr="T0R30C4S1_1" formatStyle="Comma"/>
        <m:item xlName="_GBC_93895bad5ace4edb8d6c10b8a33c11cc" concept="clcid-pte:TiQuDaoZhiZiBenGongJiBianDongJinE" label="提取导致资本公积变动金额" mulRef="_GBC_57faea4e453e49ad93821b7dd6ce8bc4" unitRef="_GBC_cef77704267643d794145c73763360e5" addr="T0R30C5S1_1" formatStyle="Comma"/>
        <m:item xlName="_GBC_25aa6ff9b9644890ac28809c1ae0eb36" concept="clcid-pte:TiQuDaoZhiKuCunGuBianDongJinE" label="提取导致库存股变动金额" mulRef="_GBC_57faea4e453e49ad93821b7dd6ce8bc4" unitRef="_GBC_cef77704267643d794145c73763360e5" addr="T0R30C6S1_1" formatStyle="Comma"/>
        <m:item xlName="_GBC_1cbd820ae56645e282e08eaa85c65bcb" concept="clcid-pte:TiQuDaoZhiQiTaZongHeShouYiBianDongJinE" label="提取导致其他综合收益变动金额" mulRef="_GBC_57faea4e453e49ad93821b7dd6ce8bc4" unitRef="_GBC_cef77704267643d794145c73763360e5" addr="T0R30C7S1_1" formatStyle="Comma"/>
        <m:item xlName="_GBC_d8f597612c404ba9b876b31a429359f7" concept="clcid-pte:TiQuDaoZhiZhuanXiangChuBeiBianDongJinE" label="提取导致专项储备变动金额" mulRef="_GBC_57faea4e453e49ad93821b7dd6ce8bc4" unitRef="_GBC_cef77704267643d794145c73763360e5" addr="T0R30C8S1_1" formatStyle="Comma"/>
        <m:item xlName="_GBC_5106b0433355474f8abb045f41eadd2c" concept="clcid-pte:TiQuDaoZhiYingYuGongJiBianDongJinE" label="提取导致盈余公积变动金额" mulRef="_GBC_57faea4e453e49ad93821b7dd6ce8bc4" unitRef="_GBC_cef77704267643d794145c73763360e5" addr="T0R30C9S1_1" formatStyle="Comma"/>
        <m:item xlName="_GBC_54a40a22127f400e90ee1c0c1efc10bb" concept="clcid-pte:TiQuDaoZhiYiBanFengXianZhunBeiBianDongJinE" label="提取导致一般风险准备变动金额" mulRef="_GBC_57faea4e453e49ad93821b7dd6ce8bc4" unitRef="_GBC_cef77704267643d794145c73763360e5" addr="T0R30C10S1_1" formatStyle="Comma"/>
        <m:item xlName="_GBC_08816e8cdd1f41e8b9c3142889ccede7" concept="clcid-pte:TiQuDaoZhiWeiFenPeiLiRunBianDongJinE" label="提取导致未分配利润变动金额" mulRef="_GBC_57faea4e453e49ad93821b7dd6ce8bc4" unitRef="_GBC_cef77704267643d794145c73763360e5" addr="T0R30C11S1_1" formatStyle="Comma"/>
        <m:item xlName="_GBC_282a4da7b03d4bc5a74a8e1867ffb63e" concept="clcid-pte:TiQuDaoZhiQiTaDeGuiShuYuMuGongSiSuoYouZheQuanYiBianDongJinE" label="提取导致其他的归属于母公司所有者权益变动金额" mulRef="_GBC_57faea4e453e49ad93821b7dd6ce8bc4" unitRef="_GBC_cef77704267643d794145c73763360e5" addr="T0R30C12S1_1" formatStyle="Comma"/>
        <m:item xlName="_GBC_26d21548ec5c4d609e33f7527b5c3b53" concept="clcid-pte:TiQuZhuanXiangChuBeiDaoZhiGuiShuYuMuGongSiSuoYouZheQuanYiBianDongJinE" label="提取专项储备导致归属于母公司所有者权益变动金额" mulRef="_GBC_57faea4e453e49ad93821b7dd6ce8bc4" unitRef="_GBC_cef77704267643d794145c73763360e5" addr="T0R30C13S1_1" formatStyle="Comma"/>
        <m:item xlName="_GBC_0a425d925bc5441eb05d6245a3dffa89" concept="clcid-pte:TiQuDaoZhiShaoShuGuDongQuanYiBianDongJinE" label="提取导致少数股东权益变动金额" mulRef="_GBC_57faea4e453e49ad93821b7dd6ce8bc4" unitRef="_GBC_cef77704267643d794145c73763360e5" addr="T0R30C14S1_1" formatStyle="Comma"/>
        <m:item xlName="_GBC_4dd0a237229f4c45ba0473a71039a89a" concept="clcid-pte:TiQuDaoZhiGuDongQuanYiHeJiBianDongJinE" label="提取导致股东权益合计变动金额" mulRef="_GBC_57faea4e453e49ad93821b7dd6ce8bc4" unitRef="_GBC_cef77704267643d794145c73763360e5" addr="T0R30C15S1_1" formatStyle="Comma"/>
        <m:placeholder xlName="_PLD_810ec2533aac40f59079e8e8d20e52c3" addr="T0R31C0S1_1"/>
        <m:item xlName="_GBC_2f7c9bb85ea84133bdc594735aa1b1ba" concept="clcid-pte:ShiYongDaoZhiShiShouZiBenHuoGuBenJingEBianDongJinE" label="使用导致实收资本（或股本）净额变动金额" mulRef="_GBC_57faea4e453e49ad93821b7dd6ce8bc4" unitRef="_GBC_cef77704267643d794145c73763360e5" addr="T0R31C1S1_1" formatStyle="Comma"/>
        <m:item xlName="_GBC_b0bf3ce60fc948d6af18ac2fcdd1f8bd" concept="clcid-pte:ShiYongDaoZhiQiTaQuanYiGongJuZhongDeYouXianGuBianDongJinE" label="使用导致其他权益工具中的优先股变动金额" mulRef="_GBC_57faea4e453e49ad93821b7dd6ce8bc4" unitRef="_GBC_cef77704267643d794145c73763360e5" addr="T0R31C2S1_1" formatStyle="Comma"/>
        <m:item xlName="_GBC_f6404ea2c572439d9d6cbf4c07b1d82b" concept="clcid-pte:ShiYongDaoZhiQiTaQuanYiGongJuZhongDeYongXuZhaiBianDongJinE" label="使用导致其他权益工具中的永续债变动金额" mulRef="_GBC_57faea4e453e49ad93821b7dd6ce8bc4" unitRef="_GBC_cef77704267643d794145c73763360e5" addr="T0R31C3S1_1" formatStyle="Comma"/>
        <m:item xlName="_GBC_fca65b95c3e44b9083a518862efbee3d" concept="clcid-pte:ShiYongDaoZhiQiTaQuanYiGongJuZhongDeQiTaBianDongJinE" label="使用导致其他权益工具中的其他变动金额" mulRef="_GBC_57faea4e453e49ad93821b7dd6ce8bc4" unitRef="_GBC_cef77704267643d794145c73763360e5" addr="T0R31C4S1_1" formatStyle="Comma"/>
        <m:item xlName="_GBC_d5952cc1209f4e008093ff10d55cce69" concept="clcid-pte:ShiYongDaoZhiZiBenGongJiBianDongJinE" label="使用导致资本公积变动金额" mulRef="_GBC_57faea4e453e49ad93821b7dd6ce8bc4" unitRef="_GBC_cef77704267643d794145c73763360e5" addr="T0R31C5S1_1" formatStyle="Comma"/>
        <m:item xlName="_GBC_446a66b1a07d43f9bd706f27fbd9f329" concept="clcid-pte:ShiYongDaoZhiKuCunGuBianDongJinE" label="使用导致库存股变动金额" mulRef="_GBC_57faea4e453e49ad93821b7dd6ce8bc4" unitRef="_GBC_cef77704267643d794145c73763360e5" addr="T0R31C6S1_1" formatStyle="Comma"/>
        <m:item xlName="_GBC_f20f9953fc6c445ebe537111300ec73f" concept="clcid-pte:ShiYongDaoZhiQiTaZongHeShouYiBianDongJinE" label="使用导致其他综合收益变动金额" mulRef="_GBC_57faea4e453e49ad93821b7dd6ce8bc4" unitRef="_GBC_cef77704267643d794145c73763360e5" addr="T0R31C7S1_1" formatStyle="Comma"/>
        <m:item xlName="_GBC_c8c9204fb3234e258e1bf22ac7ff1a42" concept="clcid-pte:ShiYongDaoZhiZhuanXiangChuBeiBianDongJinE" label="使用导致专项储备变动金额" mulRef="_GBC_57faea4e453e49ad93821b7dd6ce8bc4" unitRef="_GBC_cef77704267643d794145c73763360e5" addr="T0R31C8S1_1" formatStyle="Comma"/>
        <m:item xlName="_GBC_f02947827f5e47ee874a6b214d6821d6" concept="clcid-pte:ShiYongDaoZhiYingYuGongJiBianDongJinE" label="使用导致盈余公积变动金额" mulRef="_GBC_57faea4e453e49ad93821b7dd6ce8bc4" unitRef="_GBC_cef77704267643d794145c73763360e5" addr="T0R31C9S1_1" formatStyle="Comma"/>
        <m:item xlName="_GBC_3472b44b3e3c44559d8c004fde6b156f" concept="clcid-pte:ShiYongDaoZhiYiBanFengXianZhunBeiBianDongJinE" label="使用导致一般风险准备变动金额" mulRef="_GBC_57faea4e453e49ad93821b7dd6ce8bc4" unitRef="_GBC_cef77704267643d794145c73763360e5" addr="T0R31C10S1_1" formatStyle="Comma"/>
        <m:item xlName="_GBC_293497fa73bf4eba8077a8b51f3746a0" concept="clcid-pte:ShiYongDaoZhiWeiFenPeiLiRunBianDongJinE" label="使用导致未分配利润变动金额" mulRef="_GBC_57faea4e453e49ad93821b7dd6ce8bc4" unitRef="_GBC_cef77704267643d794145c73763360e5" addr="T0R31C11S1_1" formatStyle="Comma"/>
        <m:item xlName="_GBC_b72759396f784ef282dbca7062b4f8d9" concept="clcid-pte:ShiYongDaoZhiQiTaDeGuiShuYuMuGongSiSuoYouZheQuanYiBianDongJinE" label="使用导致其他的归属于母公司所有者权益变动金额" mulRef="_GBC_57faea4e453e49ad93821b7dd6ce8bc4" unitRef="_GBC_cef77704267643d794145c73763360e5" addr="T0R31C12S1_1" formatStyle="Comma"/>
        <m:item xlName="_GBC_5325a1a7354f43e78ca03f7e4d505362" concept="clcid-pte:ShiYongZhuanXiangChuBeiDaoZhiGuiShuYuMuGongSiSuoYouZheQuanYiBianDongJinE" label="使用专项储备导致归属于母公司所有者权益变动金额" mulRef="_GBC_57faea4e453e49ad93821b7dd6ce8bc4" unitRef="_GBC_cef77704267643d794145c73763360e5" addr="T0R31C13S1_1" formatStyle="Comma"/>
        <m:item xlName="_GBC_338c6acd617044aa94afc4a15e515c64" concept="clcid-pte:ShiYongDaoZhiShaoShuGuDongQuanYiBianDongJinE" label="使用导致少数股东权益变动金额" mulRef="_GBC_57faea4e453e49ad93821b7dd6ce8bc4" unitRef="_GBC_cef77704267643d794145c73763360e5" addr="T0R31C14S1_1" formatStyle="Comma"/>
        <m:item xlName="_GBC_2bba8b0d81aa4581bc41b19c2d03a128" concept="clcid-pte:ShiYongDaoZhiGuDongQuanYiHeJiBianDongJinE" label="使用导致股东权益合计变动金额" mulRef="_GBC_57faea4e453e49ad93821b7dd6ce8bc4" unitRef="_GBC_cef77704267643d794145c73763360e5" addr="T0R31C15S1_1" formatStyle="Comma"/>
        <m:placeholder xlName="_PLD_f4bc69f9c7d34151a4b7a0d89088f0ee" addr="T0R32C0S1_1"/>
        <m:item xlName="_GBC_e5bb57182cb84c139313dd87a42549fc" concept="clcid-pte:QiTaDaoZhiShiShouZiBenHuoGuBenJingEBianDongJinE" label="其他导致实收资本（或股本）净额变动金额" mulRef="_GBC_57faea4e453e49ad93821b7dd6ce8bc4" unitRef="_GBC_cef77704267643d794145c73763360e5" addr="T0R32C1S1_1" formatStyle="Comma"/>
        <m:item xlName="_GBC_4cb17ac0318c46f5b906906cf31a388b" concept="clcid-pte:QiTaDaoZhiQiTaQuanYiGongJuZhongDeYouXianGuBianDongJinE" label="其他导致其他权益工具中的优先股变动金额" mulRef="_GBC_57faea4e453e49ad93821b7dd6ce8bc4" unitRef="_GBC_cef77704267643d794145c73763360e5" addr="T0R32C2S1_1" formatStyle="Comma"/>
        <m:item xlName="_GBC_b99886cc2ef449ee9001767361d56946" concept="clcid-pte:QiTaDaoZhiQiTaQuanYiGongJuZhongDeYongXuZhaiBianDongJinE" label="其他导致其他权益工具中的永续债变动金额" mulRef="_GBC_57faea4e453e49ad93821b7dd6ce8bc4" unitRef="_GBC_cef77704267643d794145c73763360e5" addr="T0R32C3S1_1" formatStyle="Comma"/>
        <m:item xlName="_GBC_115fc2853cdb4a3ea7f427dccb84c7f6" concept="clcid-pte:QiTaDaoZhiQiTaQuanYiGongJuZhongDeQiTaBianDongJinE" label="其他导致其他权益工具中的其他变动金额" mulRef="_GBC_57faea4e453e49ad93821b7dd6ce8bc4" unitRef="_GBC_cef77704267643d794145c73763360e5" addr="T0R32C4S1_1" formatStyle="Comma"/>
        <m:item xlName="_GBC_f93f79cca9c642cba3f66db418f8b2c3" concept="clcid-pte:QiTaDaoZhiZiBenGongJiBianDongJinE" label="其他导致资本公积变动金额" mulRef="_GBC_57faea4e453e49ad93821b7dd6ce8bc4" unitRef="_GBC_cef77704267643d794145c73763360e5" addr="T0R32C5S1_1" formatStyle="Comma"/>
        <m:item xlName="_GBC_b057b3deaf984131a7982c200f385c4d" concept="clcid-pte:QiTaDaoZhiKuCunGuBianDongJinE" label="其他导致库存股变动金额" mulRef="_GBC_57faea4e453e49ad93821b7dd6ce8bc4" unitRef="_GBC_cef77704267643d794145c73763360e5" addr="T0R32C6S1_1" formatStyle="Comma"/>
        <m:item xlName="_GBC_31755b23bf0647ffad40c136225f52e3" concept="clcid-pte:QiTaDaoZhiQiTaZongHeShouYiBianDongJinE" label="其他导致其他综合收益变动金额" mulRef="_GBC_57faea4e453e49ad93821b7dd6ce8bc4" unitRef="_GBC_cef77704267643d794145c73763360e5" addr="T0R32C7S1_1" formatStyle="Comma"/>
        <m:item xlName="_GBC_bcdbc1209b754c2f98c23f4aca0c0ae2" concept="clcid-pte:QiTaDaoZhiZhuanXiangChuBeiBianDongJinE" label="其他导致专项储备变动金额" mulRef="_GBC_57faea4e453e49ad93821b7dd6ce8bc4" unitRef="_GBC_cef77704267643d794145c73763360e5" addr="T0R32C8S1_1" formatStyle="Comma"/>
        <m:item xlName="_GBC_342200a60246426fb3eab7fde28e53f0" concept="clcid-pte:QiTaDaoZhiYingYuGongJiBianDongJinE" label="其他导致盈余公积变动金额" mulRef="_GBC_57faea4e453e49ad93821b7dd6ce8bc4" unitRef="_GBC_cef77704267643d794145c73763360e5" addr="T0R32C9S1_1" formatStyle="Comma"/>
        <m:item xlName="_GBC_66c87d17cb814231bab585cfb33549f4" concept="clcid-pte:QiTaDaoZhiYiBanFengXianZhunBeiBianDongJinE" label="其他导致一般风险准备变动金额" mulRef="_GBC_57faea4e453e49ad93821b7dd6ce8bc4" unitRef="_GBC_cef77704267643d794145c73763360e5" addr="T0R32C10S1_1" formatStyle="Comma"/>
        <m:item xlName="_GBC_ec9db240ea72422e8db149aae16a8004" concept="clcid-pte:QiTaDaoZhiWeiFenPeiLiRunBianDongJinE" label="其他导致未分配利润变动金额" mulRef="_GBC_57faea4e453e49ad93821b7dd6ce8bc4" unitRef="_GBC_cef77704267643d794145c73763360e5" addr="T0R32C11S1_1" formatStyle="Comma"/>
        <m:item xlName="_GBC_86f11dfca9a44f249ec66e84b57c1b44" concept="clcid-pte:QiTaDaoZhiQiTaDeGuiShuYuMuGongSiSuoYouZheQuanYiBianDongJinE" label="其他导致其他的归属于母公司所有者权益变动金额" mulRef="_GBC_57faea4e453e49ad93821b7dd6ce8bc4" unitRef="_GBC_cef77704267643d794145c73763360e5" addr="T0R32C12S1_1" formatStyle="Comma"/>
        <m:item xlName="_GBC_cb0016cce8fe43e98003b2b13a1a8310" concept="clcid-pte:QiTaDaoZhiGuiShuYuMuGongSiSuoYouZheQuanYiBianDongJinE" label="其他导致归属于母公司所有者权益变动金额" mulRef="_GBC_57faea4e453e49ad93821b7dd6ce8bc4" unitRef="_GBC_cef77704267643d794145c73763360e5" addr="T0R32C13S1_1" formatStyle="Comma"/>
        <m:item xlName="_GBC_7ee4bb8a90ca4d6f876a811900bbf14f" concept="clcid-pte:QiTaDaoZhiShaoShuGuDongQuanYiBianDongJinE" label="其他导致少数股东权益变动金额" mulRef="_GBC_57faea4e453e49ad93821b7dd6ce8bc4" unitRef="_GBC_cef77704267643d794145c73763360e5" addr="T0R32C14S1_1" formatStyle="Comma"/>
        <m:item xlName="_GBC_e5424969832b49b886fcd601a1464e2b" concept="clcid-pte:QiTaDaoZhiGuDongQuanYiHeJiBianDongJinE" label="其他导致股东权益合计变动金额" mulRef="_GBC_57faea4e453e49ad93821b7dd6ce8bc4" unitRef="_GBC_cef77704267643d794145c73763360e5" addr="T0R32C15S1_1" formatStyle="Comma"/>
        <m:placeholder xlName="_PLD_033ca7ec3c1d4c1b905d0af57ca8a614" addr="T0R33C0S1_1"/>
        <m:item xlName="_GBC_9dc05927aafe4ee196c19ffd3a4696d1" concept="clcid-pte:GuBen" label="股本" mulRef="_GBC_57faea4e453e49ad93821b7dd6ce8bc4" unitRef="_GBC_cef77704267643d794145c73763360e5" addr="T0R33C1S1_1" formatStyle="Comma">
          <m:complexRule comparator="Eq" title="股本" test=" $_GBC_0c662007ff334bb781a6a3a735e723f7 +  $_GBC_3af7eb97d3514f10a23c0b89023752b4" id="C8be168ba389b4b26814f6c0bc3c7c0fa" radius="0.0001"/>
        </m:item>
        <m:item xlName="_GBC_5ad1876ce560442e8714eb302e93e8e9" concept="clcid-pte:QiTaQuanYiGongJuQiZhongYouXianGu" label="其他权益工具-其中：优先股" mulRef="_GBC_57faea4e453e49ad93821b7dd6ce8bc4" unitRef="_GBC_cef77704267643d794145c73763360e5" addr="T0R33C2S1_1" formatStyle="Comma">
          <m:complexRule comparator="Eq" title="其他权益工具-其中：优先股" test=" $_GBC_c3677caf0e384a30b62aff570f4edd20 +  $_GBC_31de6e6e3245453bb81137017f32526d" id="Cbb3b1f78d9244bd587545f732a750cef"/>
        </m:item>
        <m:item xlName="_GBC_56e159f7d5fe4df4bcad89d75aeb34ae" concept="clcid-pte:QiTaQuanYiGongJuYongXuZhai" label="其他权益工具-永续债" mulRef="_GBC_57faea4e453e49ad93821b7dd6ce8bc4" unitRef="_GBC_cef77704267643d794145c73763360e5" addr="T0R33C3S1_1" formatStyle="Comma">
          <m:complexRule comparator="Eq" title="其他权益工具-永续债" test=" $_GBC_885424eb670f4e9ab89ef8def1ef5ca2 +  $_GBC_e17ba5ca57b44d3b979e1bcc360525f3" id="C8fdf91ebf8054cab926c4db6117af80c"/>
        </m:item>
        <m:item xlName="_GBC_3349987ce0a54a13838c500a4c80696f" concept="clcid-pte:QiTaQuanYiGongJuQiTa" label="其他权益工具-其他" mulRef="_GBC_57faea4e453e49ad93821b7dd6ce8bc4" unitRef="_GBC_cef77704267643d794145c73763360e5" addr="T0R33C4S1_1" formatStyle="Comma">
          <m:complexRule comparator="Eq" title="其他权益工具-其他" test=" $_GBC_2d71b862596249ccbec39ded5462fc34 +  $_GBC_a543ecf27ae64d37802ba6b3403e63d5" id="C92e9cd6d899f4ca2807b8f2d360f8325"/>
        </m:item>
        <m:item xlName="_GBC_4b9b0e4135be4bce9e7a2e1b4c694fde" concept="clcid-pte:ZiBenGongJi" label="资本公积" mulRef="_GBC_57faea4e453e49ad93821b7dd6ce8bc4" unitRef="_GBC_cef77704267643d794145c73763360e5" addr="T0R33C5S1_1" formatStyle="Comma">
          <m:complexRule comparator="Eq" title="资本公积" test=" $_GBC_e7e04f7d01204105956d91f5c1571e28 +  $_GBC_3627c41bf40e462c8620f1263ac7419f" id="C578b337d0e8d4c07a06f8950ddeb39f5" radius="0.0001"/>
        </m:item>
        <m:item xlName="_GBC_58d5b4e7bf4d4cef96162b1c5c4219c4" concept="clcid-pte:KuCunGu" label="库存股" mulRef="_GBC_57faea4e453e49ad93821b7dd6ce8bc4" unitRef="_GBC_cef77704267643d794145c73763360e5" addr="T0R33C6S1_1" formatStyle="Comma">
          <m:complexRule comparator="Eq" title="库存股" test=" $_GBC_9f2d69e7d06844c69ea1f80787d08bbf +  $_GBC_cfb742bc65374c42aec857140a23c67b" id="Cd5c03eee161b4480ad44a31dadb2ee58" radius="0.0001"/>
        </m:item>
        <m:item xlName="_GBC_849fa937d1094f1199307eed74b112b2" concept="clcid-pte:QiTaZongHeShouYiZiChanFuZhaiBiaoXiangMu" label="其他综合收益（资产负债表项目）" mulRef="_GBC_57faea4e453e49ad93821b7dd6ce8bc4" unitRef="_GBC_cef77704267643d794145c73763360e5" addr="T0R33C7S1_1" formatStyle="Comma">
          <m:complexRule comparator="Eq" title="其他综合收益（资产负债表项目）" test=" $_GBC_4a6bcd6c044c48fc98aae3ad1b8aa16e +  $_GBC_22fc524f34c3429d8663894de117905f" id="C98dd7be260914eafa4f4504d678c7c9e"/>
        </m:item>
        <m:item xlName="_GBC_7088f12529cd421aa18cf348bb7fa8ea" concept="clcid-pte:ZhuanXiangChuBei" label="专项储备" mulRef="_GBC_57faea4e453e49ad93821b7dd6ce8bc4" unitRef="_GBC_cef77704267643d794145c73763360e5" addr="T0R33C8S1_1" formatStyle="Comma">
          <m:complexRule comparator="Eq" title="专项储备" test=" $_GBC_d49744c39d574e4ba85cc0b415a054e4 +  $_GBC_96bb018f4932409099361a683927bf0f" id="C9d9ed1eaafe74d679d7874f163db4a4b" radius="0.0001"/>
        </m:item>
        <m:item xlName="_GBC_86c522eda51b492da3b0173e60d366af" concept="clcid-pte:YingYuGongJi" label="盈余公积" mulRef="_GBC_57faea4e453e49ad93821b7dd6ce8bc4" unitRef="_GBC_cef77704267643d794145c73763360e5" addr="T0R33C9S1_1" formatStyle="Comma">
          <m:complexRule comparator="Eq" title="盈余公积" test=" $_GBC_448e9d5c6c324c7b977e3120b163c949 +  $_GBC_c6732712698a45e4a89bee4861e3db6b" id="C228575689f0849548b25293abb72645f"/>
        </m:item>
        <m:item xlName="_GBC_c523622b6a654605a82b7c2c65cce1e3" concept="clcid-pte:YiBanFengXianZhunBei" label="一般风险准备" mulRef="_GBC_57faea4e453e49ad93821b7dd6ce8bc4" unitRef="_GBC_cef77704267643d794145c73763360e5" addr="T0R33C10S1_1" formatStyle="Comma">
          <m:complexRule comparator="Eq" title="一般风险准备" test=" $_GBC_76a84421833441ae8dacfed428ac73a7 +  $_GBC_3b86797cd0ef43538ea94d1f6fe0fbe9" id="C869e591176f946879087880399f904bb"/>
        </m:item>
        <m:item xlName="_GBC_98bcc931f5194f8693b6a3f0393e6fa3" concept="clcid-pte:WeiFenPeiLiRun" label="未分配利润" mulRef="_GBC_57faea4e453e49ad93821b7dd6ce8bc4" unitRef="_GBC_cef77704267643d794145c73763360e5" addr="T0R33C11S1_1" formatStyle="Comma">
          <m:complexRule comparator="Eq" title="未分配利润" test=" $_GBC_0029fc559a9c4f1e97bf224794aa2515 +  $_GBC_c725506b3ad84eccb3fac140c784126f" id="Cbc9b4879331c489cb41a009af10b273f"/>
        </m:item>
        <m:item xlName="_GBC_a62fbd31daa84c91aecac59031c841ce" concept="clcid-pte:QiTaDeGuiShuYuMuGongSiSuoYouZheQuanYi" label="其他的归属于母公司所有者权益" mulRef="_GBC_57faea4e453e49ad93821b7dd6ce8bc4" unitRef="_GBC_cef77704267643d794145c73763360e5" addr="T0R33C12S1_1" formatStyle="Comma">
          <m:complexRule comparator="Eq" title="其他的归属于母公司所有者权益" test=" $_GBC_1d766371e8a64b23a5479e8f00d7c981 +  $_GBC_86e681f063cf4e4e8e042efca13c686d" id="Cb36578df0435426491cb31f8b1a33d1c"/>
        </m:item>
        <m:item xlName="_GBC_f67f5174b7ea4b4398f8d91d0767ab73" concept="clcid-pte:GuiShuYuMuGongSiSuoYouZheQuanYiHeJi" label="归属于母公司所有者权益合计" mulRef="_GBC_57faea4e453e49ad93821b7dd6ce8bc4" unitRef="_GBC_cef77704267643d794145c73763360e5" addr="T0R33C13S1_1" formatStyle="Comma">
          <m:complexRule comparator="Eq" title="归属于母公司所有者权益合计" test=" $_GBC_cc9ba51b117641a2bf7b77cee68b1f69 +  $_GBC_9b533eea753f42678e94aac87164c8f9" id="C7d8bd86519764c4aab476e1ad2cdd452"/>
        </m:item>
        <m:item xlName="_GBC_8c6fd9faa3a146e89c0c5b479ea25bae" concept="clcid-pte:ShaoShuGuDongQuanYi" label="少数股东权益" mulRef="_GBC_57faea4e453e49ad93821b7dd6ce8bc4" unitRef="_GBC_cef77704267643d794145c73763360e5" addr="T0R33C14S1_1" formatStyle="Comma">
          <m:complexRule comparator="Eq" title="少数股东权益" test=" $_GBC_5a51fde8d9bd442ea9614c5e602523a4 +  $_GBC_c1baf9fd3a7c43e3b0765626d3f4786a" id="Cc82e69a07fe0417faa1a6c5db1274daf"/>
        </m:item>
        <m:item xlName="_GBC_15bd00861a964a9cb380909eb91ed9b4" concept="clcid-pte:GuDongQuanYiHeJi" label="股东权益合计" mulRef="_GBC_57faea4e453e49ad93821b7dd6ce8bc4" unitRef="_GBC_cef77704267643d794145c73763360e5" addr="T0R33C15S1_1" formatStyle="Comma">
          <m:complexRule comparator="Eq" title="股东权益合计" test=" $_GBC_b247fe380cff44978c88ba0c44328776 +  $_GBC_2aea7e65200c4636b30927f80555b840" id="C9d1a0cba97554c1ba43dda49654a9225"/>
        </m:item>
        <m:placeholder xlName="_PLD_20eb9c9dd1e14fb0a0790f87b63a489d" addr="T1R0C0S4_1"/>
        <m:placeholder xlName="_PLD_95c0e6e5f75a49daa1b601f67b7dd704" addr="T1R0C1S1_15"/>
        <m:placeholder xlName="_PLD_3c5d65171933469ea16eac46afc03a54" addr="T1R1C1S1_13"/>
        <m:placeholder xlName="_PLD_ba7b1c99b1634f48939c500d6c46ce09" addr="T1R1C14S3_1"/>
        <m:placeholder xlName="_PLD_fb367567c5f141a5863649df07435b71" addr="T1R1C15S3_1"/>
        <m:placeholder xlName="_PLD_36b3a5c009c04b53b0bd25afc2596e7e" addr="T1R2C1S2_1"/>
        <m:placeholder xlName="_PLD_c0579a9940424a129a85d26955bb30bc" addr="T1R2C2S1_3"/>
        <m:placeholder xlName="_PLD_f728bf12d1d64c4fa04dfc828a7a0411" addr="T1R2C5S2_1"/>
        <m:placeholder xlName="_PLD_8c191e0685ac4367b113504c484a11e9" addr="T1R2C6S2_1"/>
        <m:placeholder xlName="_PLD_68ae3206209542ea8491f40d49bafeb7" addr="T1R2C7S2_1"/>
        <m:placeholder xlName="_PLD_6402f064d7a041d58973d8b8205096d0" addr="T1R2C8S2_1"/>
        <m:placeholder xlName="_PLD_b1d22d8686164205bfa14ef647cebfcd" addr="T1R2C9S2_1"/>
        <m:placeholder xlName="_PLD_c5c57d0195b14864b413898a9c76e89d" addr="T1R2C10S2_1"/>
        <m:placeholder xlName="_PLD_c9bffd2027d24ca1955db036ad79f5ea" addr="T1R2C11S2_1"/>
        <m:placeholder xlName="_PLD_de6da1e2128f48e49564e44af75ff7ab" addr="T1R2C12S2_1">
          <m:placeholder xlName="_PLD_ff5e808cf3794086a9aee4c489a9f6eb"/>
        </m:placeholder>
        <m:placeholder xlName="_PLD_e6df9793a438430a8df9730b2cdd8a99" addr="T1R2C13S2_1"/>
        <m:placeholder xlName="_PLD_052ae87eff474159aaedec0c5ce4bb50" addr="T1R3C2S1_1"/>
        <m:placeholder xlName="_PLD_f40d311f528a48d8a47457e11ad5ccd5" addr="T1R3C3S1_1"/>
        <m:placeholder xlName="_PLD_90f98adf8eaf44078005d57f570c4291" addr="T1R3C4S1_1"/>
        <m:placeholder xlName="_PLD_7e9607e7cfb34d74bf0fce08e0866d34" addr="T1R4C0S1_1"/>
        <m:item xlName="_GBC_03c5cfb554bf41ab890acf4e1d52232e" concept="clcid-pte:GuBen" label="股本" periodRef="上上年度期末数" mulRef="_GBC_57faea4e453e49ad93821b7dd6ce8bc4" unitRef="_GBC_cef77704267643d794145c73763360e5" addr="T1R4C1S1_1" formatStyle="Comma">
          <m:axisValue occRef="调整前的值"/>
        </m:item>
        <m:item xlName="_GBC_96fc1ba8ea3a43e0a868ac1b8a617ed1" concept="clcid-pte:QiTaQuanYiGongJuQiZhongYouXianGu" label="其他权益工具-其中：优先股" periodRef="上上年度期末数" mulRef="_GBC_57faea4e453e49ad93821b7dd6ce8bc4" unitRef="_GBC_cef77704267643d794145c73763360e5" addr="T1R4C2S1_1" formatStyle="Comma">
          <m:axisValue occRef="调整前的值"/>
        </m:item>
        <m:item xlName="_GBC_7eea436044ae46509888c4f305d57b25" concept="clcid-pte:QiTaQuanYiGongJuYongXuZhai" label="其他权益工具-永续债" periodRef="上上年度期末数" mulRef="_GBC_57faea4e453e49ad93821b7dd6ce8bc4" unitRef="_GBC_cef77704267643d794145c73763360e5" addr="T1R4C3S1_1" formatStyle="Comma">
          <m:axisValue occRef="调整前的值"/>
        </m:item>
        <m:item xlName="_GBC_e85d38b585c44491bd3c9c9523ae5370" concept="clcid-pte:QiTaQuanYiGongJuQiTa" label="其他权益工具-其他" periodRef="上上年度期末数" mulRef="_GBC_57faea4e453e49ad93821b7dd6ce8bc4" unitRef="_GBC_cef77704267643d794145c73763360e5" addr="T1R4C4S1_1" formatStyle="Comma">
          <m:axisValue occRef="调整前的值"/>
        </m:item>
        <m:item xlName="_GBC_dec44f60461549f3be1e73f4aeae5289" concept="clcid-pte:ZiBenGongJi" label="资本公积" periodRef="上上年度期末数" mulRef="_GBC_57faea4e453e49ad93821b7dd6ce8bc4" unitRef="_GBC_cef77704267643d794145c73763360e5" addr="T1R4C5S1_1" formatStyle="Comma">
          <m:axisValue occRef="调整前的值"/>
        </m:item>
        <m:item xlName="_GBC_fe26a4f475f74c9fa0b068cd3869ae67" concept="clcid-pte:KuCunGu" label="库存股" periodRef="上上年度期末数" mulRef="_GBC_57faea4e453e49ad93821b7dd6ce8bc4" unitRef="_GBC_cef77704267643d794145c73763360e5" addr="T1R4C6S1_1" formatStyle="Comma">
          <m:axisValue occRef="调整前的值"/>
        </m:item>
        <m:item xlName="_GBC_c4b282f6bdc44520a21dc165d784e9ca" concept="clcid-pte:QiTaZongHeShouYiZiChanFuZhaiBiaoXiangMu" label="其他综合收益（资产负债表项目）" periodRef="上上年度期末数" mulRef="_GBC_57faea4e453e49ad93821b7dd6ce8bc4" unitRef="_GBC_cef77704267643d794145c73763360e5" addr="T1R4C7S1_1" formatStyle="Comma">
          <m:axisValue occRef="调整前的值"/>
        </m:item>
        <m:item xlName="_GBC_a56a795ea53340228687a85f4206f4b5" concept="clcid-pte:ZhuanXiangChuBei" label="专项储备" periodRef="上上年度期末数" mulRef="_GBC_57faea4e453e49ad93821b7dd6ce8bc4" unitRef="_GBC_cef77704267643d794145c73763360e5" addr="T1R4C8S1_1" formatStyle="Comma">
          <m:axisValue occRef="调整前的值"/>
        </m:item>
        <m:item xlName="_GBC_664343ec5888483ea5cf6596a562f2f8" concept="clcid-pte:YingYuGongJi" label="盈余公积" periodRef="上上年度期末数" mulRef="_GBC_57faea4e453e49ad93821b7dd6ce8bc4" unitRef="_GBC_cef77704267643d794145c73763360e5" addr="T1R4C9S1_1" formatStyle="Comma">
          <m:axisValue occRef="调整前的值"/>
        </m:item>
        <m:item xlName="_GBC_50708f74fb2445dcb118885acdf81d3e" concept="clcid-pte:YiBanFengXianZhunBei" label="一般风险准备" periodRef="上上年度期末数" mulRef="_GBC_57faea4e453e49ad93821b7dd6ce8bc4" unitRef="_GBC_cef77704267643d794145c73763360e5" addr="T1R4C10S1_1" formatStyle="Comma">
          <m:axisValue occRef="调整前的值"/>
        </m:item>
        <m:item xlName="_GBC_fe4c74b5dad143278ceb8e58654833c5" concept="clcid-pte:WeiFenPeiLiRun" label="未分配利润" periodRef="上上年度期末数" mulRef="_GBC_57faea4e453e49ad93821b7dd6ce8bc4" unitRef="_GBC_cef77704267643d794145c73763360e5" addr="T1R4C11S1_1" formatStyle="Comma">
          <m:axisValue occRef="调整前的值"/>
        </m:item>
        <m:item xlName="_GBC_4d671feae64b4b4ebc18f7ed23cefb37" concept="clcid-pte:QiTaDeGuiShuYuMuGongSiSuoYouZheQuanYi" label="其他的归属于母公司所有者权益" periodRef="上上年度期末数" mulRef="_GBC_57faea4e453e49ad93821b7dd6ce8bc4" unitRef="_GBC_cef77704267643d794145c73763360e5" addr="T1R4C12S1_1" formatStyle="Comma">
          <m:axisValue occRef="调整前的值"/>
        </m:item>
        <m:item xlName="_GBC_af5e3f40a72541b1bf4a041c5523ac96" concept="clcid-pte:GuiShuYuMuGongSiSuoYouZheQuanYiHeJi" label="归属于母公司所有者权益合计" periodRef="上上年度期末数" mulRef="_GBC_57faea4e453e49ad93821b7dd6ce8bc4" unitRef="_GBC_cef77704267643d794145c73763360e5" addr="T1R4C13S1_1" formatStyle="Comma">
          <m:axisValue occRef="调整前的值"/>
        </m:item>
        <m:item xlName="_GBC_89ba5b10739d4ce3917108e88e495dd3" concept="clcid-pte:ShaoShuGuDongQuanYi" label="少数股东权益" periodRef="上上年度期末数" mulRef="_GBC_57faea4e453e49ad93821b7dd6ce8bc4" unitRef="_GBC_cef77704267643d794145c73763360e5" addr="T1R4C14S1_1" formatStyle="Comma">
          <m:axisValue occRef="调整前的值"/>
        </m:item>
        <m:item xlName="_GBC_f2c3f85fa9cd4305a289999283b486ee" concept="clcid-pte:GuDongQuanYiHeJi" label="股东权益合计" periodRef="上上年度期末数" mulRef="_GBC_57faea4e453e49ad93821b7dd6ce8bc4" unitRef="_GBC_cef77704267643d794145c73763360e5" addr="T1R4C15S1_1" formatStyle="Comma">
          <m:axisValue occRef="调整前的值"/>
        </m:item>
        <m:placeholder xlName="_PLD_fd33bb0caf614a75b319dc40c7515dcc" addr="T1R5C0S1_1"/>
        <m:item xlName="_GBC_cbb6c5b6139b4c23b673a773aef5d91c" concept="clcid-pte:KuaiJiZhengCeBianGengDaoZhiShiShouZiBenHuoGuBenJingEBianDongJinE" label="会计政策变更导致实收资本（或股本）净额变动金额" periodRef="上年同期期初数" mulRef="_GBC_57faea4e453e49ad93821b7dd6ce8bc4" unitRef="_GBC_cef77704267643d794145c73763360e5" addr="T1R5C1S1_1" formatStyle="Comma"/>
        <m:item xlName="_GBC_cdea65499cbb4e5399d7a632d5348341" concept="clcid-pte:HuiJiZhengCeBianGengDaoZhiYouXianGuBianDongJinE" label="会计政策变更导致优先股变动金额" periodRef="上年同期期初数" mulRef="_GBC_57faea4e453e49ad93821b7dd6ce8bc4" unitRef="_GBC_cef77704267643d794145c73763360e5" addr="T1R5C2S1_1" formatStyle="Comma"/>
        <m:item xlName="_GBC_0b4f15e6cd8f4253af247f98bc944f52" concept="clcid-pte:HuiJiZhengCeBianGengDaoZhiYongXuZhaiBianDongJinE" label="会计政策变更导致永续债变动金额" periodRef="上年同期期初数" mulRef="_GBC_57faea4e453e49ad93821b7dd6ce8bc4" unitRef="_GBC_cef77704267643d794145c73763360e5" addr="T1R5C3S1_1" formatStyle="Comma"/>
        <m:item xlName="_GBC_6647706ce50e46e6b20b1cc64cbba3ef" concept="clcid-pte:HuiJiZhengCeBianGengDaoZhiQiTaQuanYiGongJuZhongDeQiTaBianDongJinE" label="会计政策变更导致其他权益工具中的其他变动金额" periodRef="上年同期期初数" mulRef="_GBC_57faea4e453e49ad93821b7dd6ce8bc4" unitRef="_GBC_cef77704267643d794145c73763360e5" addr="T1R5C4S1_1" formatStyle="Comma"/>
        <m:item xlName="_GBC_7c17c286d32e497cbd9726c4e2e214e0" concept="clcid-pte:KuaiJiZhengCeBianGengDaoZhiZiBenGongJiBianDongJinE" label="会计政策变更导致资本公积变动金额" periodRef="上年同期期初数" mulRef="_GBC_57faea4e453e49ad93821b7dd6ce8bc4" unitRef="_GBC_cef77704267643d794145c73763360e5" addr="T1R5C5S1_1" formatStyle="Comma"/>
        <m:item xlName="_GBC_cf728a050d9d4295a2932ac26aee8087" concept="clcid-pte:KuaiJiZhengCeBianGengDaoZhiKuCunGuBianDongJinE" label="会计政策变更导致库存股变动金额" periodRef="上年同期期初数" mulRef="_GBC_57faea4e453e49ad93821b7dd6ce8bc4" unitRef="_GBC_cef77704267643d794145c73763360e5" addr="T1R5C6S1_1" formatStyle="Comma"/>
        <m:item xlName="_GBC_65a94a67a35749cea759f717d9ce1b59" concept="clcid-pte:HuiJiZhengCeBianGengDaoZhiQiTaZongHeShouYiBianDongJinE" label="会计政策变更导致其他综合收益变动金额" periodRef="上年同期期初数" mulRef="_GBC_57faea4e453e49ad93821b7dd6ce8bc4" unitRef="_GBC_cef77704267643d794145c73763360e5" addr="T1R5C7S1_1" formatStyle="Comma"/>
        <m:item xlName="_GBC_3cccbdce52d84ef48d7e82af0c52c4b3" concept="clcid-pte:KuaiJiZhengCeBianGengDaoZhiZhuanXiangChuBeiBianDongJinE" label="会计政策变更导致专项储备变动金额" periodRef="上年同期期初数" mulRef="_GBC_57faea4e453e49ad93821b7dd6ce8bc4" unitRef="_GBC_cef77704267643d794145c73763360e5" addr="T1R5C8S1_1" formatStyle="Comma"/>
        <m:item xlName="_GBC_c7c6d6f1cd9c4cab8074673df314696b" concept="clcid-pte:KuaiJiZhengCeBianGengDaoZhiYingYuGongJiBianDongJinE" label="会计政策变更导致盈余公积变动金额" periodRef="上年同期期初数" mulRef="_GBC_57faea4e453e49ad93821b7dd6ce8bc4" unitRef="_GBC_cef77704267643d794145c73763360e5" addr="T1R5C9S1_1" formatStyle="Comma"/>
        <m:item xlName="_GBC_1da9a3d2800340f3b3824c574a73339f" concept="clcid-pte:KuaiJiZhengCeBianGengDaoZhiYiBanFengXianZhunBeiBianDongJinE" label="会计政策变更导致一般风险准备变动金额" periodRef="上年同期期初数" mulRef="_GBC_57faea4e453e49ad93821b7dd6ce8bc4" unitRef="_GBC_cef77704267643d794145c73763360e5" addr="T1R5C10S1_1" formatStyle="Comma"/>
        <m:item xlName="_GBC_a7115342c53144f4a6953ca044b1d02e" concept="clcid-pte:KuaiJiZhengCeBianGengDaoZhiWeiFenPeiLiRunBianDongJinE" label="会计政策变更导致未分配利润变动金额" periodRef="上年同期期初数" mulRef="_GBC_57faea4e453e49ad93821b7dd6ce8bc4" unitRef="_GBC_cef77704267643d794145c73763360e5" addr="T1R5C11S1_1" formatStyle="Comma"/>
        <m:item xlName="_GBC_282634407f63431b9649e7e871b4a468" concept="clcid-pte:KuaiJiZhengCeBianGengDaoZhiQiTaDeGuiShuYuMuGongSiSuoYouZheQuanYiBianDongJinE" label="会计政策变更导致其他的归属于母公司所有者权益变动金额" periodRef="上年同期期初数" mulRef="_GBC_57faea4e453e49ad93821b7dd6ce8bc4" unitRef="_GBC_cef77704267643d794145c73763360e5" addr="T1R5C12S1_1" formatStyle="Comma"/>
        <m:item xlName="_GBC_63da0f51ec0d467e951154bd49806f3a" concept="clcid-pte:KuaiJiZhengCeBianGengDaoZhiGuiShuYuMuGongSiSuoYouZheQuanYiBianDongJinE" label="会计政策变更导致归属于母公司所有者权益变动金额" periodRef="上年同期期初数" mulRef="_GBC_57faea4e453e49ad93821b7dd6ce8bc4" unitRef="_GBC_cef77704267643d794145c73763360e5" addr="T1R5C13S1_1" formatStyle="Comma"/>
        <m:item xlName="_GBC_0538a95199c44a88989bf93b00e6c8af" concept="clcid-pte:KuaiJiZhengCeBianGengDaoZhiShaoShuGuDongQuanYiBianDongJinE" label="会计政策变更导致少数股东权益变动金额" periodRef="上年同期期初数" mulRef="_GBC_57faea4e453e49ad93821b7dd6ce8bc4" unitRef="_GBC_cef77704267643d794145c73763360e5" addr="T1R5C14S1_1" formatStyle="Comma"/>
        <m:item xlName="_GBC_ec6669d1b002490880daab099a7ca507" concept="clcid-pte:KuaiJiZhengCeBianGengDaoZhiGuDongQuanYiHeJiBianDongJinE" label="会计政策变更导致股东权益合计变动金额" periodRef="上年同期期初数" mulRef="_GBC_57faea4e453e49ad93821b7dd6ce8bc4" unitRef="_GBC_cef77704267643d794145c73763360e5" addr="T1R5C15S1_1" formatStyle="Comma"/>
        <m:placeholder xlName="_PLD_15b4364437fa4ad39040010f7c204056" addr="T1R6C0S1_1"/>
        <m:item xlName="_GBC_6402bc2dd768467faf3248711fd5706f" concept="clcid-pte:QianQiChaCuoGengZhengDaoZhiShiShouZiBenHuoGuBenJingEBianDongJinE" label="前期差错更正导致实收资本（或股本）净额变动金额" periodRef="上年同期期初数" mulRef="_GBC_57faea4e453e49ad93821b7dd6ce8bc4" unitRef="_GBC_cef77704267643d794145c73763360e5" addr="T1R6C1S1_1" formatStyle="Comma"/>
        <m:item xlName="_GBC_533c60ff0b7b49ad9c774e7aef07c6a6" concept="clcid-pte:QianQiChaCuoGengZhengDaoZhiYouXianGuBianDongJinE" label="前期差错更正导致优先股变动金额" periodRef="上年同期期初数" mulRef="_GBC_57faea4e453e49ad93821b7dd6ce8bc4" unitRef="_GBC_cef77704267643d794145c73763360e5" addr="T1R6C2S1_1" formatStyle="Comma"/>
        <m:item xlName="_GBC_2a592b212be749069542cdc7652b647b" concept="clcid-pte:QianQiChaCuoGengZhengDaoZhiYongXuZhaiBianDongJinE" label="前期差错更正导致永续债变动金额" periodRef="上年同期期初数" mulRef="_GBC_57faea4e453e49ad93821b7dd6ce8bc4" unitRef="_GBC_cef77704267643d794145c73763360e5" addr="T1R6C3S1_1" formatStyle="Comma"/>
        <m:item xlName="_GBC_842b17944268496e8dda5a1ea12e0ce8" concept="clcid-pte:QianQiChaCuoGengZhengDaoZhiQiTaQuanYiGongJuZhongDeQiTaBianDongJinE" label="前期差错更正导致其他权益工具中的其他变动金额" periodRef="上年同期期初数" mulRef="_GBC_57faea4e453e49ad93821b7dd6ce8bc4" unitRef="_GBC_cef77704267643d794145c73763360e5" addr="T1R6C4S1_1" formatStyle="Comma"/>
        <m:item xlName="_GBC_90791c4411ec41f69a37b2001a11bcad" concept="clcid-pte:QianQiChaCuoGengZhengDaoZhiZiBenGongJiBianDongJinE" label="前期差错更正导致资本公积变动金额" periodRef="上年同期期初数" mulRef="_GBC_57faea4e453e49ad93821b7dd6ce8bc4" unitRef="_GBC_cef77704267643d794145c73763360e5" addr="T1R6C5S1_1" formatStyle="Comma"/>
        <m:item xlName="_GBC_4754e5884be8435887c09872ce6b032d" concept="clcid-pte:QianQiChaCuoGengZhengDaoZhiKuCunGuBianDongJinE" label="前期差错更正导致库存股变动金额" periodRef="上年同期期初数" mulRef="_GBC_57faea4e453e49ad93821b7dd6ce8bc4" unitRef="_GBC_cef77704267643d794145c73763360e5" addr="T1R6C6S1_1" formatStyle="Comma"/>
        <m:item xlName="_GBC_afb904f12206429fb34ebb2b9b1e1fdf" concept="clcid-pte:QianQiChaCuoGengZhengDaoZhiQiTaZongHeShouYiBianDongJinE" label="前期差错更正导致其他综合收益变动金额" periodRef="上年同期期初数" mulRef="_GBC_57faea4e453e49ad93821b7dd6ce8bc4" unitRef="_GBC_cef77704267643d794145c73763360e5" addr="T1R6C7S1_1" formatStyle="Comma"/>
        <m:item xlName="_GBC_2f4dfcaa5c024f02827b7cc0c9aba6a3" concept="clcid-pte:QianQiChaCuoGengZhengDaoZhiZhuanXiangChuBeiBianDongJinE" label="前期差错更正导致专项储备变动金额" periodRef="上年同期期初数" mulRef="_GBC_57faea4e453e49ad93821b7dd6ce8bc4" unitRef="_GBC_cef77704267643d794145c73763360e5" addr="T1R6C8S1_1" formatStyle="Comma"/>
        <m:item xlName="_GBC_1f7c6ea4410349eaabc6ddcb3490cb0a" concept="clcid-pte:QianQiChaCuoGengZhengDaoZhiYingYuGongJiBianDongJinE" label="前期差错更正导致盈余公积变动金额" periodRef="上年同期期初数" mulRef="_GBC_57faea4e453e49ad93821b7dd6ce8bc4" unitRef="_GBC_cef77704267643d794145c73763360e5" addr="T1R6C9S1_1" formatStyle="Comma"/>
        <m:item xlName="_GBC_cf210726d28242a99ea33371c07fa423" concept="clcid-pte:QianQiChaCuoGengZhengDaoZhiYiBanFengXianZhunBeiBianDongJinE" label="前期差错更正导致一般风险准备变动金额" periodRef="上年同期期初数" mulRef="_GBC_57faea4e453e49ad93821b7dd6ce8bc4" unitRef="_GBC_cef77704267643d794145c73763360e5" addr="T1R6C10S1_1" formatStyle="Comma"/>
        <m:item xlName="_GBC_bd2e99f30ec24df1b9b66a8ce0288037" concept="clcid-pte:QianQiChaCuoGengZhengDaoZhiWeiFenPeiLiRunBianDongJinE" label="前期差错更正导致未分配利润变动金额" periodRef="上年同期期初数" mulRef="_GBC_57faea4e453e49ad93821b7dd6ce8bc4" unitRef="_GBC_cef77704267643d794145c73763360e5" addr="T1R6C11S1_1" formatStyle="Comma"/>
        <m:item xlName="_GBC_44abafb4085045c9b4c917931d870be6" concept="clcid-pte:QianQiChaCuoGengZhengDaoZhiQiTaDeGuiShuYuMuGongSiSuoYouZheQuanYiBianDongJinE" label="前期差错更正导致其他的归属于母公司所有者权益变动金额" periodRef="上年同期期初数" mulRef="_GBC_57faea4e453e49ad93821b7dd6ce8bc4" unitRef="_GBC_cef77704267643d794145c73763360e5" addr="T1R6C12S1_1" formatStyle="Comma"/>
        <m:item xlName="_GBC_4ec12afb11c045f08907816731f7b68b" concept="clcid-pte:QianQiChaCuoGengZhengDaoZhiGuiShuYuMuGongSiSuoYouZheQuanYiBianDongJinE" label="前期差错更正导致归属于母公司所有者权益变动金额" periodRef="上年同期期初数" mulRef="_GBC_57faea4e453e49ad93821b7dd6ce8bc4" unitRef="_GBC_cef77704267643d794145c73763360e5" addr="T1R6C13S1_1" formatStyle="Comma"/>
        <m:item xlName="_GBC_3072809418a749dd94b1d1e159a27064" concept="clcid-pte:QianQiChaCuoGengZhengDaoZhiShaoShuGuDongQuanYiBianDongJinE" label="前期差错更正导致少数股东权益变动金额" periodRef="上年同期期初数" mulRef="_GBC_57faea4e453e49ad93821b7dd6ce8bc4" unitRef="_GBC_cef77704267643d794145c73763360e5" addr="T1R6C14S1_1" formatStyle="Comma"/>
        <m:item xlName="_GBC_19cb9b2d447644ec8c344aa0bd417c5d" concept="clcid-pte:QianQiChaCuoGengZhengDaoZhiGuDongQuanYiHeJiBianDongJinE" label="前期差错更正导致股东权益合计变动金额" periodRef="上年同期期初数" mulRef="_GBC_57faea4e453e49ad93821b7dd6ce8bc4" unitRef="_GBC_cef77704267643d794145c73763360e5" addr="T1R6C15S1_1" formatStyle="Comma"/>
        <m:placeholder xlName="_PLD_800fb53c11a943e3b9b9bd49c8085679" addr="T1R7C0S1_1"/>
        <m:item xlName="_GBC_486359ba0ae94a4698a9587c7d800d44" concept="clcid-pte:TongYiKongZhiXiaQiYeHeBingDaoZhiGuBenBianDongJinE" label="同一控制下企业合并导致股本变动金额" periodRef="上年同期期初数" mulRef="_GBC_57faea4e453e49ad93821b7dd6ce8bc4" unitRef="_GBC_cef77704267643d794145c73763360e5" addr="T1R7C1S1_1" formatStyle="Comma"/>
        <m:item xlName="_GBC_0bf182acc8d1400384be3e307589f6ee" concept="clcid-pte:TongYiKongZhiXiaQiYeHeBingDaoZhiYouXianGuBianDongJinE" label="同一控制下企业合并导致优先股变动金额" periodRef="上年同期期初数" mulRef="_GBC_57faea4e453e49ad93821b7dd6ce8bc4" unitRef="_GBC_cef77704267643d794145c73763360e5" addr="T1R7C2S1_1" formatStyle="Comma"/>
        <m:item xlName="_GBC_b99c34bdf92c410a9b8b56fc1b38d0c5" concept="clcid-pte:TongYiKongZhiXiaQiYeHeBingDaoZhiYongXuZhaiBianDongJinE" label="同一控制下企业合并导致永续债变动金额" periodRef="上年同期期初数" mulRef="_GBC_57faea4e453e49ad93821b7dd6ce8bc4" unitRef="_GBC_cef77704267643d794145c73763360e5" addr="T1R7C3S1_1" formatStyle="Comma"/>
        <m:item xlName="_GBC_9230aa338cb546a6abb57e34eab9fef3" concept="clcid-pte:TongYiKongZhiXiaQiYeHeBingDaoZhiQiTaQuanYiGongJuZhongDeQiTaBianDongJinE" label="同一控制下企业合并导致其他权益工具中的其他变动金额" periodRef="上年同期期初数" mulRef="_GBC_57faea4e453e49ad93821b7dd6ce8bc4" unitRef="_GBC_cef77704267643d794145c73763360e5" addr="T1R7C4S1_1" formatStyle="Comma"/>
        <m:item xlName="_GBC_cc7c6924ca1b480ea521f796d0d20e29" concept="clcid-pte:TongYiKongZhiXiaQiYeHeBingDaoZhiZiBenGongJiBianDongJinE" label="同一控制下企业合并导致资本公积变动金额" periodRef="上年同期期初数" mulRef="_GBC_57faea4e453e49ad93821b7dd6ce8bc4" unitRef="_GBC_cef77704267643d794145c73763360e5" addr="T1R7C5S1_1" formatStyle="Comma"/>
        <m:item xlName="_GBC_9a40df19d8a54b24b4432e8f592117ef" concept="clcid-pte:TongYiKongZhiXiaQiYeHeBingDaoZhiKuCunGuBianDongJinE" label="同一控制下企业合并导致库存股变动金额" periodRef="上年同期期初数" mulRef="_GBC_57faea4e453e49ad93821b7dd6ce8bc4" unitRef="_GBC_cef77704267643d794145c73763360e5" addr="T1R7C6S1_1" formatStyle="Comma"/>
        <m:item xlName="_GBC_026d0b2fc5c54d85967b579dc93d8f9f" concept="clcid-pte:TongYiKongZhiXiaQiYeHeBingDaoZhiQiTaZongHeShouYiBianDongJinE" label="同一控制下企业合并导致其他综合收益变动金额" periodRef="上年同期期初数" mulRef="_GBC_57faea4e453e49ad93821b7dd6ce8bc4" unitRef="_GBC_cef77704267643d794145c73763360e5" addr="T1R7C7S1_1" formatStyle="Comma"/>
        <m:item xlName="_GBC_2b89303ec9ac4f428a2547b4d82cc692" concept="clcid-pte:TongYiKongZhiXiaQiYeHeBingDaoZhiZhuanXiangChuBeiBianDongJinE" label="同一控制下企业合并导致专项储备变动金额" periodRef="上年同期期初数" mulRef="_GBC_57faea4e453e49ad93821b7dd6ce8bc4" unitRef="_GBC_cef77704267643d794145c73763360e5" addr="T1R7C8S1_1" formatStyle="Comma"/>
        <m:item xlName="_GBC_170d9ab35326476781461bd5f796048a" concept="clcid-pte:TongYiKongZhiXiaQiYeHeBingDaoZhiYingYuGongJiBianDongJinE" label="同一控制下企业合并导致盈余公积变动金额" periodRef="上年同期期初数" mulRef="_GBC_57faea4e453e49ad93821b7dd6ce8bc4" unitRef="_GBC_cef77704267643d794145c73763360e5" addr="T1R7C9S1_1" formatStyle="Comma"/>
        <m:item xlName="_GBC_4c9febb0b5df4907b3c43320e1f8608a" concept="clcid-pte:TongYiKongZhiXiaQiYeHeBingDaoZhiYiBanFengXianZhunBeiBianDongJinE" label="同一控制下企业合并导致一般风险准备变动金额" periodRef="上年同期期初数" mulRef="_GBC_57faea4e453e49ad93821b7dd6ce8bc4" unitRef="_GBC_cef77704267643d794145c73763360e5" addr="T1R7C10S1_1" formatStyle="Comma"/>
        <m:item xlName="_GBC_82614e12cd794973b9d4b0fb8334abec" concept="clcid-pte:TongYiKongZhiXiaQiYeHeBingDaoZhiWeiFenPeiLiRunBianDongJinE" label="同一控制下企业合并导致未分配利润变动金额" periodRef="上年同期期初数" mulRef="_GBC_57faea4e453e49ad93821b7dd6ce8bc4" unitRef="_GBC_cef77704267643d794145c73763360e5" addr="T1R7C11S1_1" formatStyle="Comma"/>
        <m:item xlName="_GBC_2ac04bd1a36341ecbcebbf43fdae8002" concept="clcid-pte:TongYiKongZhiXiaQiYeHeBingDaoZhiQiTaDeGuiShuYuMuGongSiSuoYouZheQuanYiBianDongJinE" label="同一控制下企业合并导致其他的归属于母公司所有者权益变动金额" periodRef="上年同期期初数" mulRef="_GBC_57faea4e453e49ad93821b7dd6ce8bc4" unitRef="_GBC_cef77704267643d794145c73763360e5" addr="T1R7C12S1_1" formatStyle="Comma"/>
        <m:item xlName="_GBC_b45f71f8602e40cd8070462096d1a8fd" concept="clcid-pte:TongYiKongZhiXiaQiYeHeBingDaoZhiGuiShuYuMuGongSiSuoYouZheQuanYiBianDongJinE" label="同一控制下企业合并导致归属于母公司所有者权益变动金额" periodRef="上年同期期初数" mulRef="_GBC_57faea4e453e49ad93821b7dd6ce8bc4" unitRef="_GBC_cef77704267643d794145c73763360e5" addr="T1R7C13S1_1" formatStyle="Comma"/>
        <m:item xlName="_GBC_f040cd7d785c4469b29e21805903a54f" concept="clcid-pte:TongYiKongZhiXiaQiYeHeBingDaoZhiShaoShuGuDongQuanYiBianDongJinE" label="同一控制下企业合并导致少数股东权益变动金额" periodRef="上年同期期初数" mulRef="_GBC_57faea4e453e49ad93821b7dd6ce8bc4" unitRef="_GBC_cef77704267643d794145c73763360e5" addr="T1R7C14S1_1" formatStyle="Comma"/>
        <m:item xlName="_GBC_11b2c29c46bb419086bbbc1815e45312" concept="clcid-pte:TongYiKongZhiXiaQiYeHeBingDaoZhiGuDongQuanYiHeJiBianDongJinE" label="同一控制下企业合并导致股东权益合计变动金额" periodRef="上年同期期初数" mulRef="_GBC_57faea4e453e49ad93821b7dd6ce8bc4" unitRef="_GBC_cef77704267643d794145c73763360e5" addr="T1R7C15S1_1" formatStyle="Comma"/>
        <m:placeholder xlName="_PLD_87118e97730e486dbbcc5e072b67665f" addr="T1R8C0S1_1"/>
        <m:item xlName="_GBC_20538a9c712240c983e30f50639f5ec8" concept="clcid-pte:QiTaZhuiSuTiaoZhengDaoZhiShiShouZiBenBianDongJinE" label="实收资本变动金额（其他追溯调整）" periodRef="上年同期期初数" mulRef="_GBC_57faea4e453e49ad93821b7dd6ce8bc4" unitRef="_GBC_cef77704267643d794145c73763360e5" addr="T1R8C1S1_1" formatStyle="Comma"/>
        <m:item xlName="_GBC_02dc66cdaff44058a1951cdcfe8d8de0" concept="clcid-pte:YouXianGuBianDongJinEQiTaZhuiSuDiaoZheng" label="优先股变动金额（其他追溯调整）" periodRef="上年同期期初数" mulRef="_GBC_57faea4e453e49ad93821b7dd6ce8bc4" unitRef="_GBC_cef77704267643d794145c73763360e5" addr="T1R8C2S1_1" formatStyle="Comma"/>
        <m:item xlName="_GBC_0b6206bdbda44fba8bd9398a4f4527c1" concept="clcid-pte:YongXuZhaiBianDongJinEQiTaZhuiSuDiaoZheng" label="永续债变动金额（其他追溯调整）" periodRef="上年同期期初数" mulRef="_GBC_57faea4e453e49ad93821b7dd6ce8bc4" unitRef="_GBC_cef77704267643d794145c73763360e5" addr="T1R8C3S1_1" formatStyle="Comma"/>
        <m:item xlName="_GBC_b5bf697bac504def9c26f8ff65fa7391" concept="clcid-pte:QiTaQuanYiGongJuZhongDeQiTaBianDongJinEQiTaZhuiSuDiaoZheng" label="其他权益工具中的其他变动金额（其他追溯调整）" periodRef="上年同期期初数" mulRef="_GBC_57faea4e453e49ad93821b7dd6ce8bc4" unitRef="_GBC_cef77704267643d794145c73763360e5" addr="T1R8C4S1_1" formatStyle="Comma"/>
        <m:item xlName="_GBC_50383c62ee7048a6a302cbb560d030b3" concept="clcid-pte:QiTaZhuiSuTiaoZhengDaoZhiZiBenGongJiBianDongJinE" label="资本公积变动金额（其他追溯调整）" periodRef="上年同期期初数" mulRef="_GBC_57faea4e453e49ad93821b7dd6ce8bc4" unitRef="_GBC_cef77704267643d794145c73763360e5" addr="T1R8C5S1_1" formatStyle="Comma"/>
        <m:item xlName="_GBC_6234cc73c37f4a8d8ecbc76eeca00723" concept="clcid-pte:QiTaZhuiSuTiaoZhengDaoZhiKuCunGuBianDongJinE" label="库存股变动金额（其他追溯调整）" periodRef="上年同期期初数" mulRef="_GBC_57faea4e453e49ad93821b7dd6ce8bc4" unitRef="_GBC_cef77704267643d794145c73763360e5" addr="T1R8C6S1_1" formatStyle="Comma"/>
        <m:item xlName="_GBC_a20dc66ccb474cfea444f14c080543b9" concept="clcid-pte:QiTaZongHeShouYiBianDongJinEQiTaZhuiSuDiaoZheng" label="其他综合收益变动金额（其他追溯调整）" periodRef="上年同期期初数" mulRef="_GBC_57faea4e453e49ad93821b7dd6ce8bc4" unitRef="_GBC_cef77704267643d794145c73763360e5" addr="T1R8C7S1_1" formatStyle="Comma"/>
        <m:item xlName="_GBC_2683713a5d974a86865c7f301d2cc93e" concept="clcid-pte:QiTaZhuiSuTiaoZhengDaoZhiZhuanXiangChuBeiBianDongJinE" label="专项储备变动金额（其他追溯调整）" periodRef="上年同期期初数" mulRef="_GBC_57faea4e453e49ad93821b7dd6ce8bc4" unitRef="_GBC_cef77704267643d794145c73763360e5" addr="T1R8C8S1_1" formatStyle="Comma"/>
        <m:item xlName="_GBC_9d77ac6f539d468fb064f49c75ced935" concept="clcid-pte:QiTaZhuiSuTiaoZhengDaoZhiYingYuGongJiBianDongJinE" label="盈余公积变动金额（其他追溯调整）" periodRef="上年同期期初数" mulRef="_GBC_57faea4e453e49ad93821b7dd6ce8bc4" unitRef="_GBC_cef77704267643d794145c73763360e5" addr="T1R8C9S1_1" formatStyle="Comma"/>
        <m:item xlName="_GBC_523805662d15403ba6cae1dfe49ccad4" concept="clcid-pte:QiTaZhuiSuTiaoZhengDaoZhiYiBanFengXianZhunBeiBianDongJinE" label="一般风险准备变动金额（其他追溯调整）" periodRef="上年同期期初数" mulRef="_GBC_57faea4e453e49ad93821b7dd6ce8bc4" unitRef="_GBC_cef77704267643d794145c73763360e5" addr="T1R8C10S1_1" formatStyle="Comma"/>
        <m:item xlName="_GBC_7241d5b3eeab4fdeb3ed56214313b50d" concept="clcid-pte:QiTaZhuiSuTiaoZhengDaoZhiWeiFenPeiLiRunBianDongJinE" label="未分配利润变动金额（其他追溯调整）" periodRef="上年同期期初数" mulRef="_GBC_57faea4e453e49ad93821b7dd6ce8bc4" unitRef="_GBC_cef77704267643d794145c73763360e5" addr="T1R8C11S1_1" formatStyle="Comma"/>
        <m:item xlName="_GBC_16d94b3bade24b20998b869c69dc6d51" concept="clcid-pte:QiTaZhuiSuTiaoZhengDaoZhiQiTaGuiShuYuMuGongSiSuoYouZheQuanYiBianDongJinE" label="其他归属于母公司所有者权益变动金额（其他追溯调整）" periodRef="上年同期期初数" mulRef="_GBC_57faea4e453e49ad93821b7dd6ce8bc4" unitRef="_GBC_cef77704267643d794145c73763360e5" addr="T1R8C12S1_1" formatStyle="Comma"/>
        <m:item xlName="_GBC_8c951bcb3ca14ead9292b54e5465c61b" concept="clcid-pte:QiTaZhuiSuTiaoZhengDaoZhiGuiShuYuMuGongSiSuoYouZheQuanYiBianDongJinE" label="归属于母公司所有者权益变动金额（其他追溯调整）" periodRef="上年同期期初数" mulRef="_GBC_57faea4e453e49ad93821b7dd6ce8bc4" unitRef="_GBC_cef77704267643d794145c73763360e5" addr="T1R8C13S1_1" formatStyle="Comma"/>
        <m:item xlName="_GBC_6682b5e82bf4400e8bd428b55c43003c" concept="clcid-pte:QiTaZhuiSuTiaoZhengDaoZhiShaoShuGuDongQuanYiBianDongJinE" label="少数股东权益变动金额（其他追溯调整）" periodRef="上年同期期初数" mulRef="_GBC_57faea4e453e49ad93821b7dd6ce8bc4" unitRef="_GBC_cef77704267643d794145c73763360e5" addr="T1R8C14S1_1" formatStyle="Comma"/>
        <m:item xlName="_GBC_485b46324fb44b18842afbc8b03abd2a" concept="clcid-pte:QiTaZhuiSuTiaoZhengDaoZhiGuDongQuanYiBianDongJinE" label="股东权益变动金额（其他追溯调整）" periodRef="上年同期期初数" mulRef="_GBC_57faea4e453e49ad93821b7dd6ce8bc4" unitRef="_GBC_cef77704267643d794145c73763360e5" addr="T1R8C15S1_1" formatStyle="Comma"/>
        <m:placeholder xlName="_PLD_b579c38070f04b86951daea3037af89c" addr="T1R9C0S1_1"/>
        <m:item xlName="_GBC_463429ab366c4a0faabd8fd5c4eeb15c" concept="clcid-pte:GuBen" label="股本" periodRef="上年同期期初数" mulRef="_GBC_57faea4e453e49ad93821b7dd6ce8bc4" unitRef="_GBC_cef77704267643d794145c73763360e5" addr="T1R9C1S1_1" formatStyle="Comma">
          <m:complexRule comparator="Eq" title="股本@上年同期期初数" test=" $_GBC_03c5cfb554bf41ab890acf4e1d52232e +  $_GBC_cbb6c5b6139b4c23b673a773aef5d91c +  $_GBC_6402bc2dd768467faf3248711fd5706f +  $_GBC_486359ba0ae94a4698a9587c7d800d44 +  $_GBC_20538a9c712240c983e30f50639f5ec8" id="Cacadd4b996484f79a10f40a11121cd54" radius="0.0001"/>
        </m:item>
        <m:item xlName="_GBC_0fd8b540968644f4948b0a43dcc1580f" concept="clcid-pte:QiTaQuanYiGongJuQiZhongYouXianGu" label="其他权益工具-其中：优先股" periodRef="上年同期期初数" mulRef="_GBC_57faea4e453e49ad93821b7dd6ce8bc4" unitRef="_GBC_cef77704267643d794145c73763360e5" addr="T1R9C2S1_1" formatStyle="Comma">
          <m:complexRule comparator="Eq" title="其他权益工具-其中：优先股@上年同期期初数" test=" $_GBC_96fc1ba8ea3a43e0a868ac1b8a617ed1 +  $_GBC_cdea65499cbb4e5399d7a632d5348341 +  $_GBC_533c60ff0b7b49ad9c774e7aef07c6a6 +  $_GBC_0bf182acc8d1400384be3e307589f6ee +  $_GBC_02dc66cdaff44058a1951cdcfe8d8de0" id="C3ecf1ea3f36a4b19964c431ce5c3f6b7"/>
        </m:item>
        <m:item xlName="_GBC_8f96f4b9e9d5432b84f3d53bd2fbdaba" concept="clcid-pte:QiTaQuanYiGongJuYongXuZhai" label="其他权益工具-永续债" periodRef="上年同期期初数" mulRef="_GBC_57faea4e453e49ad93821b7dd6ce8bc4" unitRef="_GBC_cef77704267643d794145c73763360e5" addr="T1R9C3S1_1" formatStyle="Comma">
          <m:complexRule comparator="Eq" title="其他权益工具-永续债@上年同期期初数" test=" $_GBC_7eea436044ae46509888c4f305d57b25 +  $_GBC_0b4f15e6cd8f4253af247f98bc944f52 +  $_GBC_2a592b212be749069542cdc7652b647b +  $_GBC_b99c34bdf92c410a9b8b56fc1b38d0c5 +  $_GBC_0b6206bdbda44fba8bd9398a4f4527c1" id="Cbeb1deb87986402f8bc40b3775c7a656"/>
        </m:item>
        <m:item xlName="_GBC_6163291996f64057b05ad30337ffe9e0" concept="clcid-pte:QiTaQuanYiGongJuQiTa" label="其他权益工具-其他" periodRef="上年同期期初数" mulRef="_GBC_57faea4e453e49ad93821b7dd6ce8bc4" unitRef="_GBC_cef77704267643d794145c73763360e5" addr="T1R9C4S1_1" formatStyle="Comma">
          <m:complexRule comparator="Eq" title="其他权益工具-其他@上年同期期初数" test=" $_GBC_e85d38b585c44491bd3c9c9523ae5370 +  $_GBC_6647706ce50e46e6b20b1cc64cbba3ef +  $_GBC_842b17944268496e8dda5a1ea12e0ce8 +  $_GBC_9230aa338cb546a6abb57e34eab9fef3 +  $_GBC_b5bf697bac504def9c26f8ff65fa7391" id="C69d30ee5dfb6420ca69ac691e1b294df"/>
        </m:item>
        <m:item xlName="_GBC_8ad228b791ff43f5ad1561d7ca684671" concept="clcid-pte:ZiBenGongJi" label="资本公积" periodRef="上年同期期初数" mulRef="_GBC_57faea4e453e49ad93821b7dd6ce8bc4" unitRef="_GBC_cef77704267643d794145c73763360e5" addr="T1R9C5S1_1" formatStyle="Comma">
          <m:complexRule comparator="Eq" title="资本公积@上年同期期初数" test=" $_GBC_dec44f60461549f3be1e73f4aeae5289 +  $_GBC_7c17c286d32e497cbd9726c4e2e214e0 +  $_GBC_90791c4411ec41f69a37b2001a11bcad +  $_GBC_cc7c6924ca1b480ea521f796d0d20e29 +  $_GBC_50383c62ee7048a6a302cbb560d030b3" id="C218dd0d2edea4141b5991a882e34d59a" radius="0.0001"/>
        </m:item>
        <m:item xlName="_GBC_9abb5ce9cbd9452986403063087da14c" concept="clcid-pte:KuCunGu" label="库存股" periodRef="上年同期期初数" mulRef="_GBC_57faea4e453e49ad93821b7dd6ce8bc4" unitRef="_GBC_cef77704267643d794145c73763360e5" addr="T1R9C6S1_1" formatStyle="Comma">
          <m:complexRule comparator="Eq" title="库存股@上年同期期初数" test=" $_GBC_fe26a4f475f74c9fa0b068cd3869ae67 +  $_GBC_cf728a050d9d4295a2932ac26aee8087 +  $_GBC_4754e5884be8435887c09872ce6b032d +  $_GBC_9a40df19d8a54b24b4432e8f592117ef +  $_GBC_6234cc73c37f4a8d8ecbc76eeca00723" id="C72130a559c394f5ea371e437282caf23" radius="0.0001"/>
        </m:item>
        <m:item xlName="_GBC_717af8769d284587b4e0d85c55c54be4" concept="clcid-pte:QiTaZongHeShouYiZiChanFuZhaiBiaoXiangMu" label="其他综合收益（资产负债表项目）" periodRef="上年同期期初数" mulRef="_GBC_57faea4e453e49ad93821b7dd6ce8bc4" unitRef="_GBC_cef77704267643d794145c73763360e5" addr="T1R9C7S1_1" formatStyle="Comma">
          <m:complexRule comparator="Eq" title="其他综合收益（资产负债表项目）@上年同期期初数" test=" $_GBC_c4b282f6bdc44520a21dc165d784e9ca +  $_GBC_65a94a67a35749cea759f717d9ce1b59 +  $_GBC_afb904f12206429fb34ebb2b9b1e1fdf +  $_GBC_a20dc66ccb474cfea444f14c080543b9 +  $_GBC_026d0b2fc5c54d85967b579dc93d8f9f" id="Ca5abbf53a04a44a2af04950312e8bfc0"/>
        </m:item>
        <m:item xlName="_GBC_0dbc1d28380d4b48b03711d88ed56f1b" concept="clcid-pte:ZhuanXiangChuBei" label="专项储备" periodRef="上年同期期初数" mulRef="_GBC_57faea4e453e49ad93821b7dd6ce8bc4" unitRef="_GBC_cef77704267643d794145c73763360e5" addr="T1R9C8S1_1" formatStyle="Comma">
          <m:complexRule comparator="Eq" title="专项储备@上年同期期初数" test=" $_GBC_a56a795ea53340228687a85f4206f4b5 +  $_GBC_3cccbdce52d84ef48d7e82af0c52c4b3 +  $_GBC_2f4dfcaa5c024f02827b7cc0c9aba6a3 +  $_GBC_2b89303ec9ac4f428a2547b4d82cc692 +  $_GBC_2683713a5d974a86865c7f301d2cc93e" id="C56802032f03847ef9ae1e1a7b8fbb339" radius="0.0001"/>
        </m:item>
        <m:item xlName="_GBC_6931f14de9ae4e9db2c9b7f81f158218" concept="clcid-pte:YingYuGongJi" label="盈余公积" periodRef="上年同期期初数" mulRef="_GBC_57faea4e453e49ad93821b7dd6ce8bc4" unitRef="_GBC_cef77704267643d794145c73763360e5" addr="T1R9C9S1_1" formatStyle="Comma">
          <m:complexRule comparator="Eq" title="盈余公积@上年同期期初数" test=" $_GBC_664343ec5888483ea5cf6596a562f2f8 +  $_GBC_c7c6d6f1cd9c4cab8074673df314696b +  $_GBC_1f7c6ea4410349eaabc6ddcb3490cb0a +  $_GBC_170d9ab35326476781461bd5f796048a +  $_GBC_9d77ac6f539d468fb064f49c75ced935" id="C225e6835b0d44f15b00707521964718b" radius="0.0001"/>
        </m:item>
        <m:item xlName="_GBC_a4f1aa6de84044b6a6b3214765a7508e" concept="clcid-pte:YiBanFengXianZhunBei" label="一般风险准备" periodRef="上年同期期初数" mulRef="_GBC_57faea4e453e49ad93821b7dd6ce8bc4" unitRef="_GBC_cef77704267643d794145c73763360e5" addr="T1R9C10S1_1" formatStyle="Comma">
          <m:complexRule comparator="Eq" title="一般风险准备@上年同期期初数" test=" $_GBC_50708f74fb2445dcb118885acdf81d3e +  $_GBC_1da9a3d2800340f3b3824c574a73339f +  $_GBC_cf210726d28242a99ea33371c07fa423 +  $_GBC_4c9febb0b5df4907b3c43320e1f8608a +  $_GBC_523805662d15403ba6cae1dfe49ccad4" id="C03c8676aba364ecc8b63daadc24bc086" radius="0.0001"/>
        </m:item>
        <m:item xlName="_GBC_e78cfa47dbb84664a5ca613f752a1673" concept="clcid-pte:WeiFenPeiLiRun" label="未分配利润" periodRef="上年同期期初数" mulRef="_GBC_57faea4e453e49ad93821b7dd6ce8bc4" unitRef="_GBC_cef77704267643d794145c73763360e5" addr="T1R9C11S1_1" formatStyle="Comma">
          <m:complexRule comparator="Eq" title="未分配利润@上年同期期初数" test=" $_GBC_fe4c74b5dad143278ceb8e58654833c5 +  $_GBC_a7115342c53144f4a6953ca044b1d02e +  $_GBC_bd2e99f30ec24df1b9b66a8ce0288037 +  $_GBC_82614e12cd794973b9d4b0fb8334abec +  $_GBC_7241d5b3eeab4fdeb3ed56214313b50d" id="C2642b55a20c544059378e9f837771cee" radius="0.0001"/>
        </m:item>
        <m:item xlName="_GBC_be34bee636684ecba5f8a8345f1c13d8" concept="clcid-pte:QiTaDeGuiShuYuMuGongSiSuoYouZheQuanYi" label="其他的归属于母公司所有者权益" periodRef="上年同期期初数" mulRef="_GBC_57faea4e453e49ad93821b7dd6ce8bc4" unitRef="_GBC_cef77704267643d794145c73763360e5" addr="T1R9C12S1_1" formatStyle="Comma">
          <m:complexRule comparator="Eq" title="其他的归属于母公司所有者权益@上年同期期初数" test="$_GBC_4d671feae64b4b4ebc18f7ed23cefb37+$_GBC_282634407f63431b9649e7e871b4a468+$_GBC_44abafb4085045c9b4c917931d870be6+$_GBC_2ac04bd1a36341ecbcebbf43fdae8002+$_GBC_16d94b3bade24b20998b869c69dc6d51" id="C73b0eee979f944f8aef9e048395a605d"/>
        </m:item>
        <m:item xlName="_GBC_d37b2a094fd64c50b8c74275b2ea7c89" concept="clcid-pte:GuiShuYuMuGongSiSuoYouZheQuanYiHeJi" label="归属于母公司所有者权益合计" periodRef="上年同期期初数" mulRef="_GBC_57faea4e453e49ad93821b7dd6ce8bc4" unitRef="_GBC_cef77704267643d794145c73763360e5" addr="T1R9C13S1_1" formatStyle="Comma">
          <m:complexRule comparator="Eq" title="归属于母公司所有者权益合计@上年同期期初数" test="$_GBC_af5e3f40a72541b1bf4a041c5523ac96+$_GBC_63da0f51ec0d467e951154bd49806f3a+$_GBC_4ec12afb11c045f08907816731f7b68b+$_GBC_b45f71f8602e40cd8070462096d1a8fd+$_GBC_8c951bcb3ca14ead9292b54e5465c61b" id="C06ba9ba183434695bff0785a01479a4d"/>
        </m:item>
        <m:item xlName="_GBC_1cbab821d4a348188e555da7c3810735" concept="clcid-pte:ShaoShuGuDongQuanYi" label="少数股东权益" periodRef="上年同期期初数" mulRef="_GBC_57faea4e453e49ad93821b7dd6ce8bc4" unitRef="_GBC_cef77704267643d794145c73763360e5" addr="T1R9C14S1_1" formatStyle="Comma">
          <m:complexRule comparator="Eq" title="少数股东权益@上年同期期初数" test=" $_GBC_89ba5b10739d4ce3917108e88e495dd3 +  $_GBC_0538a95199c44a88989bf93b00e6c8af +  $_GBC_3072809418a749dd94b1d1e159a27064 +  $_GBC_f040cd7d785c4469b29e21805903a54f +  $_GBC_6682b5e82bf4400e8bd428b55c43003c" id="C1ac51bd18f764f409d3b9bbc4b277db8"/>
        </m:item>
        <m:item xlName="_GBC_b753d2879310430b85393d22ce74cca7" concept="clcid-pte:GuDongQuanYiHeJi" label="股东权益合计" periodRef="上年同期期初数" mulRef="_GBC_57faea4e453e49ad93821b7dd6ce8bc4" unitRef="_GBC_cef77704267643d794145c73763360e5" addr="T1R9C15S1_1" formatStyle="Comma">
          <m:complexRule comparator="Eq" title="股东权益合计@上年同期期初数" test=" $_GBC_f2c3f85fa9cd4305a289999283b486ee +  $_GBC_ec6669d1b002490880daab099a7ca507 +  $_GBC_19cb9b2d447644ec8c344aa0bd417c5d +  $_GBC_11b2c29c46bb419086bbbc1815e45312 +  $_GBC_485b46324fb44b18842afbc8b03abd2a" id="C01c517df19f44a95aceffdad39e09540"/>
        </m:item>
        <m:placeholder xlName="_PLD_186aec2424a047ee9af21797aa0ee0d8" addr="T1R10C0S1_1"/>
        <m:item xlName="_GBC_3ab306b1e7af486988948f50073e1e67" concept="clcid-pte:ShiShouZiBenHuoGuBenJingEZengJianBianDongJinE" label="实收资本（或股本）净额增减变动金额" periodRef="上年同期数" mulRef="_GBC_57faea4e453e49ad93821b7dd6ce8bc4" unitRef="_GBC_cef77704267643d794145c73763360e5" addr="T1R10C1S1_1" formatStyle="Comma">
          <m:complexRule comparator="Eq" title="实收资本（或股本）净额增减变动金额@上年同期数" test=" $_GBC_802c69e087664468a07e3b734b3e7330 +  $_GBC_a0579762ca92417caaf047cb2040bf0c +  $_GBC_8cff02e59f8948deb5ea81de506ed6dc +  $_GBC_430d37ec6126471183ece184d3516982 +  $_GBC_eab4d4a58623419d9efabdb8339f5e20 +  $_GBC_2676c42a988c46f6b5a9849d5eeef601" id="C53909bdf0b3141bebeae146fb585a9dc" radius="0.0001"/>
        </m:item>
        <m:item xlName="_GBC_a406be1c3baa4df6a5adc5e008b96345" concept="clcid-pte:QiTaQuanYiGongJuZhongDeYouXianGuZengJianBianDongJinE" label="其他权益工具中的优先股增减变动金额" periodRef="上年同期数" mulRef="_GBC_57faea4e453e49ad93821b7dd6ce8bc4" unitRef="_GBC_cef77704267643d794145c73763360e5" addr="T1R10C2S1_1" formatStyle="Comma">
          <m:complexRule comparator="Eq" title="其他权益工具中的优先股增减变动金额@上年同期数" test=" $_GBC_52eadeb19e3c441c8f85edab58469a44 +  $_GBC_952f29ff8a8f45f188783ccf48e71084 +  $_GBC_6dbdeadb2b3b4d9ba71df27224f26802 +  $_GBC_94fe73400621450cac12f08a1054f7d9 +  $_GBC_4b1c45a69ab94d19a6c532f02af9fd18 +  $_GBC_ae3ef5802f7446f0bcc22d4a78b16cd8" id="C520990ef75d14e8bb5dbbdbc1a4ecd3b"/>
        </m:item>
        <m:item xlName="_GBC_8e60ab9c28924845857bd1e82a8403e4" concept="clcid-pte:QiTaQuanYiGongJuZhongDeYongXuZhaiZengJianBianDongJinE" label="其他权益工具中的永续债增减变动金额" periodRef="上年同期数" mulRef="_GBC_57faea4e453e49ad93821b7dd6ce8bc4" unitRef="_GBC_cef77704267643d794145c73763360e5" addr="T1R10C3S1_1" formatStyle="Comma">
          <m:complexRule comparator="Eq" title="其他权益工具中的永续债增减变动金额@上年同期数" test=" $_GBC_3b9240c9c12f4c25855d092a5dee368b +  $_GBC_81ba35c21491471987f8073a505b252e +  $_GBC_44dce36183f44ecea2f0d5d0a3609d8f +  $_GBC_936c172f6a2644e29eef9fe3059a2874 +  $_GBC_d11afdb09ca14a31bc6beef23131529f +  $_GBC_c4e6b9f953a04e17ae3c32312cf2e1f7" id="C102f4f555d21473a8f12fac26a1e5c9f"/>
        </m:item>
        <m:item xlName="_GBC_dc6cc1a8b5fa4bf48da6ed469bff45b0" concept="clcid-pte:QiTaQuanYiGongJuZhongDeQiTaZengJianBianDongJinE" label="其他权益工具中的其他增减变动金额" periodRef="上年同期数" mulRef="_GBC_57faea4e453e49ad93821b7dd6ce8bc4" unitRef="_GBC_cef77704267643d794145c73763360e5" addr="T1R10C4S1_1" formatStyle="Comma">
          <m:complexRule comparator="Eq" title="其他权益工具中的其他增减变动金额@上年同期数" test=" $_GBC_acdac506a67e44d7a55f8fc0a02638f8 +  $_GBC_8d182ef8f62f44b1b7c0e0cadad7b881 +  $_GBC_f518f6f42b8a41bd81a235ebe8d92f16 +  $_GBC_c8e67d47d3ec4963a1d3e7865b30560f +  $_GBC_03e97aa6ea4a4b519ced030588aa471a +  $_GBC_27961524d7774e3f86ed7c4a22afb04a" id="C2727e6885de14f5d8bfbeb789d1440b1"/>
        </m:item>
        <m:item xlName="_GBC_8473cb7ae7f4427b8dd131df489fa36a" concept="clcid-pte:ZiBenGongJiZengJianBianDongJinE" label="资本公积增减变动金额" periodRef="上年同期数" mulRef="_GBC_57faea4e453e49ad93821b7dd6ce8bc4" unitRef="_GBC_cef77704267643d794145c73763360e5" addr="T1R10C5S1_1" formatStyle="Comma">
          <m:complexRule comparator="Eq" title="资本公积增减变动金额@上年同期数" test=" $_GBC_916928073d1d42609094dd23caca6bf8 +  $_GBC_806b3d8c93aa496eb49165610c3ab1ab +  $_GBC_7934e6fe9097456eba711b68c1b1d62a +  $_GBC_3ecde6efd34847ae98d6d9a11fcda816 +  $_GBC_123c502f45394be3933e710bc4539de6 +  $_GBC_c1db1f975a7c4e8faf299858942810aa" id="C072620ec64ff4869b3e67f8ebe36047b" radius="0.0001"/>
        </m:item>
        <m:item xlName="_GBC_7647911c99b747d2aa762d221138c9c4" concept="clcid-pte:KuCunGuZengJianBianDongJinE" label="库存股增减变动金额" periodRef="上年同期数" mulRef="_GBC_57faea4e453e49ad93821b7dd6ce8bc4" unitRef="_GBC_cef77704267643d794145c73763360e5" addr="T1R10C6S1_1" formatStyle="Comma">
          <m:complexRule comparator="Eq" title="库存股增减变动金额@上年同期数" test=" $_GBC_868ab14ce1df4dfe920b230da9d9c552 +  $_GBC_d92e4ed1fc8c4f2d9d7842540776c31e +  $_GBC_0cca19fbe18f458bbf003ea00b3d79e6 +  $_GBC_37d0d9ec3b4b4fa29f2ff16f15400d7e +  $_GBC_3b6659952c004368b0c7c6aff8663dfc +  $_GBC_81c186b80d8a44d2ad835db4dbde16cc" id="C77b824ccffcd47b7b5e7a8a2a530c0a9" radius="0.0001"/>
        </m:item>
        <m:item xlName="_GBC_54c2f06d10694c42b164f9f7c8c24c19" concept="clcid-pte:QiTaZongHeShouYiZengJianBianDongJinE" label="其他综合收益增减变动金额" periodRef="上年同期数" mulRef="_GBC_57faea4e453e49ad93821b7dd6ce8bc4" unitRef="_GBC_cef77704267643d794145c73763360e5" addr="T1R10C7S1_1" formatStyle="Comma">
          <m:complexRule comparator="Eq" title="其他综合收益增减变动金额@上年同期数" test=" $_GBC_e708d80e615845c6b5681de2185b0007 +  $_GBC_7804215cb69b4528966bc2b0a4f1814b +  $_GBC_4f4335680a2047c1899af03f368290a4 +  $_GBC_2e73d6ddb696406e96149c75c2c4fdda +  $_GBC_3d320060f9464615bead55bf1ca49dc4 +  $_GBC_c6a83ad34784471db367147a514c59e3" id="C99a3ae7b814f49dbb1f1f18a13920669"/>
        </m:item>
        <m:item xlName="_GBC_45c28bff7f2947e79a97e03816b44836" concept="clcid-pte:ZhuanXiangChuBeiZengJianBianDongJinE" label="专项储备增减变动金额" periodRef="上年同期数" mulRef="_GBC_57faea4e453e49ad93821b7dd6ce8bc4" unitRef="_GBC_cef77704267643d794145c73763360e5" addr="T1R10C8S1_1" formatStyle="Comma">
          <m:complexRule comparator="Eq" title="专项储备增减变动金额@上年同期数" test=" $_GBC_667e0af20faa4c74aba487c313fbf9e0 +  $_GBC_23e3d55860aa479bb06d190d1039eec0 +  $_GBC_5a43adf18f00498987cde669cf8d0c01 +  $_GBC_4ce5335277bd4d48a9d69ac5be9eebb0 +  $_GBC_95b00eb2bffd4944863b929b1b9f8b23 +  $_GBC_33324cdf575543d6987aa6f520f8714d" id="Cec021baa7d0d48688294ac0d3ea41a3a"/>
        </m:item>
        <m:item xlName="_GBC_5282e64d76064ff496bef9da7ba3cb38" concept="clcid-pte:YingYuGongJiZengJianBianDongJinE" label="盈余公积增减变动金额" periodRef="上年同期数" mulRef="_GBC_57faea4e453e49ad93821b7dd6ce8bc4" unitRef="_GBC_cef77704267643d794145c73763360e5" addr="T1R10C9S1_1" formatStyle="Comma">
          <m:complexRule comparator="Eq" title="盈余公积增减变动金额@上年同期数" test=" $_GBC_e27e9253381a44ada9c7782ab31d8907 +  $_GBC_24e1bb854a804ff1ba371eea8001ce3f +  $_GBC_735a55d211944938a2d263ddf68e530f +  $_GBC_c2fec544370340428694cbc22c7cee29 +  $_GBC_81aee495f58648c79fb2c06c1a8294b9 +  $_GBC_48beb7d2645f4bd8b828e39d20d114f7" id="C478fb58a135a41f3b60570b11f757248"/>
        </m:item>
        <m:item xlName="_GBC_aff81b712af942d1950df7bfb16184b1" concept="clcid-pte:YiBanFengXianZhunBeiZengJianBianDongJinE" label="一般风险准备增减变动金额" periodRef="上年同期数" mulRef="_GBC_57faea4e453e49ad93821b7dd6ce8bc4" unitRef="_GBC_cef77704267643d794145c73763360e5" addr="T1R10C10S1_1" formatStyle="Comma">
          <m:complexRule comparator="Eq" title="一般风险准备增减变动金额@上年同期数" test=" $_GBC_0359fcb6ac69444e8b71676cd2d2ff7f +  $_GBC_88201ca3f86140e49229a500777e62bc +  $_GBC_72931f17a7d1410882c66f7378bd2446 +  $_GBC_dfb42f2cfbb24873a0bfcf16281ed0db +  $_GBC_610d4f46b18b4115b1e7a898ab90bab2 +  $_GBC_022de88bf39d4c298dac658baa6860ba" id="C1734a8fe476c4e7dad6407937d6fc708"/>
        </m:item>
        <m:item xlName="_GBC_9b887145f03844beb15e2690e45ded4b" concept="clcid-pte:WeiFenPeiLiRunZengJianBianDongJinE" label="未分配利润增减变动金额" periodRef="上年同期数" mulRef="_GBC_57faea4e453e49ad93821b7dd6ce8bc4" unitRef="_GBC_cef77704267643d794145c73763360e5" addr="T1R10C11S1_1" formatStyle="Comma">
          <m:complexRule comparator="Eq" title="未分配利润增减变动金额@上年同期数" test=" $_GBC_174d255cf893431d87e2889c0ad5199f +  $_GBC_7ae77f219bd14664912830fece3defdf +  $_GBC_c6a210c669454df998a35bf4f4f9e735 +  $_GBC_ff8d4bcf07cf45b39cc669b82cad2f0d +  $_GBC_c987802dfc49480c807d397d5ace6d36 +  $_GBC_6ad7a628fd4a40f9a5c166bea7190b07" id="C5747f1d8763745d18be3b5309eb42dcd"/>
        </m:item>
        <m:item xlName="_GBC_721ced58af704b468077b49a45594ec0" concept="clcid-pte:QiTaDeGuiShuYuMuGongSiSuoYouZheQuanYiZengJianBianDongJinE" label="其他的归属于母公司所有者权益增减变动金额" periodRef="上年同期数" mulRef="_GBC_57faea4e453e49ad93821b7dd6ce8bc4" unitRef="_GBC_cef77704267643d794145c73763360e5" addr="T1R10C12S1_1" formatStyle="Comma">
          <m:complexRule comparator="Eq" title="其他的归属于母公司所有者权益增减变动金额@上年同期数" test=" $_GBC_f60eee346d6f4fe399814f9f840b7fb0 +  $_GBC_15bd914be84d464fb951582665b9d15a +  $_GBC_1f6c9e24eb314f7e845a2e9c6d5bbc88 +  $_GBC_0d008b73933a467cbd8659c4f5bd8043 +  $_GBC_c392cb7d6a93438795a5eb0adc871ed1 +  $_GBC_9146dc7852714f72859555c3a917811f" id="C889fc7ff749b4b81abc0d03402ac30b3"/>
        </m:item>
        <m:item xlName="_GBC_519747a00c6949a5bcc152eacbd03ac1" concept="clcid-pte:GuiShuYuMuGongSiSuoYouZheQuanYiZengJianBianDongJinE" label="归属于母公司所有者权益增减变动金额" periodRef="上年同期数" mulRef="_GBC_57faea4e453e49ad93821b7dd6ce8bc4" unitRef="_GBC_cef77704267643d794145c73763360e5" addr="T1R10C13S1_1" formatStyle="Comma">
          <m:complexRule comparator="Eq" title="归属于母公司所有者权益变动金额小计变动金额@上年同期数" test=" $_GBC_5ab6ff086fc54fad97be75e70fc3b662 +  $_GBC_882b6062a2a2475382acd8f785ad87f1 +  $_GBC_eef9846c4eb04edf9eec851ff3c8faa6 +  $_GBC_e71b72f9ef7d428a8dea9bcc77266085 +  $_GBC_fb7838c03552463eab0b3449e1123883 +  $_GBC_04961ef429474a9fb1c50cbe4d5f0f11" id="C0f038884a326499cb53793f83ebf32d8"/>
        </m:item>
        <m:item xlName="_GBC_380e1cfcc313459cae08cf7858170444" concept="clcid-pte:ShaoShuGuDongQuanYiZengJianBianDongJinE" label="少数股东权益增减变动金额" periodRef="上年同期数" mulRef="_GBC_57faea4e453e49ad93821b7dd6ce8bc4" unitRef="_GBC_cef77704267643d794145c73763360e5" addr="T1R10C14S1_1" formatStyle="Comma">
          <m:complexRule comparator="Eq" title="少数股东权益增减变动金额@上年同期数" test=" $_GBC_2b02821ed4154232b4102fd750268034 +  $_GBC_282d8d3d7ee243d59e5e3cc078d12bbf +  $_GBC_de1cf52aca904f13915a874a5b459013 +  $_GBC_ef98f3a8249e4a3897bb7f985d3f116f +  $_GBC_7b23cace12da44a69d75927ba5396346 +  $_GBC_7cca13db814d4298b7018c7e2dd9bc51" id="Cf367d758f8e0442aa2e4d71acce864be"/>
        </m:item>
        <m:item xlName="_GBC_7d38c3e4015b4306aa517461216f709f" concept="clcid-pte:GuDongQuanYiHeJiZengJianBianDongJinE" label="股东权益合计增减变动金额" periodRef="上年同期数" mulRef="_GBC_57faea4e453e49ad93821b7dd6ce8bc4" unitRef="_GBC_cef77704267643d794145c73763360e5" addr="T1R10C15S1_1" formatStyle="Comma">
          <m:complexRule comparator="Eq" title="股东权益合计增减变动金额@上年同期数" test=" $_GBC_e8d4f2f1d8884f1397ed576255c946d1 +  $_GBC_ec91a07899f34b3ea8f5859f0fce58c1 +  $_GBC_e9f3261b89304a5aa6fae80844a60013 +  $_GBC_947043cecdef4ed68860f917d334d9da +  $_GBC_1bb139523e184a629609d6d98aa70be7 +  $_GBC_c9027bfcd66641318c72f7e7633b96c5" id="Cbf43683071444fea9cfa42c26b62b5fc"/>
        </m:item>
        <m:placeholder xlName="_PLD_17bf1a1d144b41e18dbd63758cccc7b5" addr="T1R11C0S1_1"/>
        <m:item xlName="_GBC_802c69e087664468a07e3b734b3e7330" concept="clcid-pte:ZongHeShouYiZongEDaoZhiGuBenBianDongJinE" label="综合收益总额导致股本变动金额" periodRef="上年同期数" mulRef="_GBC_57faea4e453e49ad93821b7dd6ce8bc4" unitRef="_GBC_cef77704267643d794145c73763360e5" addr="T1R11C1S1_1" formatStyle="Comma"/>
        <m:item xlName="_GBC_52eadeb19e3c441c8f85edab58469a44" concept="clcid-pte:ZongHeShouYiZongEDaoZhiYouXianGuBianDongJinE" label="综合收益总额导致优先股变动金额" periodRef="上年同期数" mulRef="_GBC_57faea4e453e49ad93821b7dd6ce8bc4" unitRef="_GBC_cef77704267643d794145c73763360e5" addr="T1R11C2S1_1" formatStyle="Comma"/>
        <m:item xlName="_GBC_3b9240c9c12f4c25855d092a5dee368b" concept="clcid-pte:ZongHeShouYiZongEDaoZhiYongXuZhaiBianDongJinE" label="综合收益总额导致永续债变动金额" periodRef="上年同期数" mulRef="_GBC_57faea4e453e49ad93821b7dd6ce8bc4" unitRef="_GBC_cef77704267643d794145c73763360e5" addr="T1R11C3S1_1" formatStyle="Comma"/>
        <m:item xlName="_GBC_acdac506a67e44d7a55f8fc0a02638f8" concept="clcid-pte:ZongHeShouYiZongEDaoZhiQiTaQuanYiGongJuZhongDeQiTaBianDongJinE" label="综合收益总额导致其他权益工具中的其他变动金额" periodRef="上年同期数" mulRef="_GBC_57faea4e453e49ad93821b7dd6ce8bc4" unitRef="_GBC_cef77704267643d794145c73763360e5" addr="T1R11C4S1_1" formatStyle="Comma"/>
        <m:item xlName="_GBC_916928073d1d42609094dd23caca6bf8" concept="clcid-pte:ZongHeShouYiZongEDaoZhiZiBenGongJiBianDongJinE" label="综合收益总额导致资本公积变动金额" periodRef="上年同期数" mulRef="_GBC_57faea4e453e49ad93821b7dd6ce8bc4" unitRef="_GBC_cef77704267643d794145c73763360e5" addr="T1R11C5S1_1" formatStyle="Comma"/>
        <m:item xlName="_GBC_868ab14ce1df4dfe920b230da9d9c552" concept="clcid-pte:ZongHeShouYiZongEDaoZhiKuCunGuBianDongJinE" label="综合收益总额导致库存股变动金额" periodRef="上年同期数" mulRef="_GBC_57faea4e453e49ad93821b7dd6ce8bc4" unitRef="_GBC_cef77704267643d794145c73763360e5" addr="T1R11C6S1_1" formatStyle="Comma"/>
        <m:item xlName="_GBC_e708d80e615845c6b5681de2185b0007" concept="clcid-pte:ZongHeShouYiZongEDaoZhiQiTaZongHeShouYiBianDongJinE" label="综合收益总额导致其他综合收益变动金额" periodRef="上年同期数" mulRef="_GBC_57faea4e453e49ad93821b7dd6ce8bc4" unitRef="_GBC_cef77704267643d794145c73763360e5" addr="T1R11C7S1_1" formatStyle="Comma"/>
        <m:item xlName="_GBC_667e0af20faa4c74aba487c313fbf9e0" concept="clcid-pte:ZongHeShouYiZongEDaoZhiZhuanXiangChuBeiBianDongJinE" label="综合收益总额导致专项储备变动金额" periodRef="上年同期数" mulRef="_GBC_57faea4e453e49ad93821b7dd6ce8bc4" unitRef="_GBC_cef77704267643d794145c73763360e5" addr="T1R11C8S1_1" formatStyle="Comma"/>
        <m:item xlName="_GBC_e27e9253381a44ada9c7782ab31d8907" concept="clcid-pte:ZongHeShouYiZongEDaoZhiYingYuGongJiBianDongJinE" label="综合收益总额导致盈余公积变动金额" periodRef="上年同期数" mulRef="_GBC_57faea4e453e49ad93821b7dd6ce8bc4" unitRef="_GBC_cef77704267643d794145c73763360e5" addr="T1R11C9S1_1" formatStyle="Comma"/>
        <m:item xlName="_GBC_0359fcb6ac69444e8b71676cd2d2ff7f" concept="clcid-pte:ZongHeShouYiZongEDaoZhiYiBanFengXianZhunBeiBianDongJinE" label="综合收益总额导致一般风险准备变动金额" periodRef="上年同期数" mulRef="_GBC_57faea4e453e49ad93821b7dd6ce8bc4" unitRef="_GBC_cef77704267643d794145c73763360e5" addr="T1R11C10S1_1" formatStyle="Comma"/>
        <m:item xlName="_GBC_174d255cf893431d87e2889c0ad5199f" concept="clcid-pte:ZongHeShouYiZongEDaoZhiWeiFenPeiLiRunBianDongJinE" label="综合收益总额导致未分配利润变动金额" periodRef="上年同期数" mulRef="_GBC_57faea4e453e49ad93821b7dd6ce8bc4" unitRef="_GBC_cef77704267643d794145c73763360e5" addr="T1R11C11S1_1" formatStyle="Comma"/>
        <m:item xlName="_GBC_f60eee346d6f4fe399814f9f840b7fb0" concept="clcid-pte:ZongHeShouYiZongEDaoZhiQiTaDeGuiShuYuMuGongSiSuoYouZheQuanYiBianDongJinE" label="综合收益总额导致其他的归属于母公司所有者权益变动金额" periodRef="上年同期数" mulRef="_GBC_57faea4e453e49ad93821b7dd6ce8bc4" unitRef="_GBC_cef77704267643d794145c73763360e5" addr="T1R11C12S1_1" formatStyle="Comma"/>
        <m:item xlName="_GBC_5ab6ff086fc54fad97be75e70fc3b662" concept="clcid-pte:ZongHeShouYiZongEDaoZhiGuiShuYuMuGongSiSuoYouZheQuanYiBianDongJinE" label="综合收益总额导致归属于母公司所有者权益变动金额" periodRef="上年同期数" mulRef="_GBC_57faea4e453e49ad93821b7dd6ce8bc4" unitRef="_GBC_cef77704267643d794145c73763360e5" addr="T1R11C13S1_1" formatStyle="Comma"/>
        <m:item xlName="_GBC_2b02821ed4154232b4102fd750268034" concept="clcid-pte:ZongHeShouYiZongEDaoZhiShaoShuGuDongQuanYiBianDongJinE" label="综合收益总额导致少数股东权益变动金额" periodRef="上年同期数" mulRef="_GBC_57faea4e453e49ad93821b7dd6ce8bc4" unitRef="_GBC_cef77704267643d794145c73763360e5" addr="T1R11C14S1_1" formatStyle="Comma"/>
        <m:item xlName="_GBC_e8d4f2f1d8884f1397ed576255c946d1" concept="clcid-pte:ZongHeShouYiZongEDaoZhiGuDongQuanYiHeJiBianDongJinE" label="综合收益总额导致股东权益合计变动金额" periodRef="上年同期数" mulRef="_GBC_57faea4e453e49ad93821b7dd6ce8bc4" unitRef="_GBC_cef77704267643d794145c73763360e5" addr="T1R11C15S1_1" formatStyle="Comma"/>
        <m:placeholder xlName="_PLD_d55056423dbf4ac187d64bd43c03aca3" addr="T1R12C0S1_1"/>
        <m:item xlName="_GBC_a0579762ca92417caaf047cb2040bf0c" concept="clcid-pte:SuoYouZheTouRuHeJianShaoZiBenDaoZhiShiShouZiBenHuoGuBenJingEBianDongJinE" label="所有者投入和减少资本导致实收资本（或股本）净额变动金额" periodRef="上年同期数" mulRef="_GBC_57faea4e453e49ad93821b7dd6ce8bc4" unitRef="_GBC_cef77704267643d794145c73763360e5" addr="T1R12C1S1_1" formatStyle="Comma">
          <m:complexRule comparator="Eq" title="所有者投入和减少资本导致实收资本（或股本）净额变动金额@上年同期数" test=" $_GBC_ca6baab852ec4f198275214ba965c0f4 +  $_GBC_9108465a1b5c489fb37638632dcb0e0a +  $_GBC_f84d332240dc4b248a21eb60465f98c5 +  $_GBC_fbc723d0530841df9ca8a4f88b1baeb0" id="C5313d956f0c849dc9ffcdf8cc1fcb399" radius="0.0001"/>
        </m:item>
        <m:item xlName="_GBC_952f29ff8a8f45f188783ccf48e71084" concept="clcid-pte:SuoYouZheTouRuHeJianShaoZiBenDaoZhiQiTaQuanYiGongJuZhongDeYouXianGuBianDongJinE" label="所有者投入和减少资本导致其他权益工具中的优先股变动金额" periodRef="上年同期数" mulRef="_GBC_57faea4e453e49ad93821b7dd6ce8bc4" unitRef="_GBC_cef77704267643d794145c73763360e5" addr="T1R12C2S1_1" formatStyle="Comma">
          <m:complexRule comparator="Eq" title="所有者投入和减少资本导致其他权益工具中的优先股变动金额@上年同期数" test=" $_GBC_8afc9aa7f29649c8868107ef25af0d4b +  $_GBC_975f950347ee48ea8b534f2e5e94c9f1 +  $_GBC_2e06268a72434e7fada026cbb548fdaf +  $_GBC_c525c90052b244aaa5ca4ca778e04e2d" id="Cad7ead0a6e9f44339f1f17fdcf3ffbbf"/>
        </m:item>
        <m:item xlName="_GBC_81ba35c21491471987f8073a505b252e" concept="clcid-pte:SuoYouZheTouRuHeJianShaoZiBenDaoZhiQiTaQuanYiGongJuZhongDeYongXuZhaiBianDongJinE" label="所有者投入和减少资本导致其他权益工具中的永续债变动金额" periodRef="上年同期数" mulRef="_GBC_57faea4e453e49ad93821b7dd6ce8bc4" unitRef="_GBC_cef77704267643d794145c73763360e5" addr="T1R12C3S1_1" formatStyle="Comma">
          <m:complexRule comparator="Eq" title="所有者投入和减少资本导致其他权益工具中的永续债变动金额@上年同期数" test=" $_GBC_94969bd82e17487ab14f291bf17d5e40 +  $_GBC_824eaa6a19484117a66319b1cf14da52 +  $_GBC_a29d30d951394af4ad76a0535f339db1 +  $_GBC_89e8c27f0aa74d0e89c363a46fae7fd5" id="C90161a0e8be941d69e9339d576ecdc5b"/>
        </m:item>
        <m:item xlName="_GBC_8d182ef8f62f44b1b7c0e0cadad7b881" concept="clcid-pte:SuoYouZheTouRuHeJianShaoZiBenDaoZhiQiTaQuanYiGongJuZhongDeQiTaBianDongJinE" label="所有者投入和减少资本导致其他权益工具中的其他变动金额" periodRef="上年同期数" mulRef="_GBC_57faea4e453e49ad93821b7dd6ce8bc4" unitRef="_GBC_cef77704267643d794145c73763360e5" addr="T1R12C4S1_1" formatStyle="Comma">
          <m:complexRule comparator="Eq" title="所有者投入和减少资本导致其他权益工具中的其他变动金额@上年同期数" test=" $_GBC_bc24f4297f4a46ee85ddec50283e4c6f +  $_GBC_26dd46f784024ab2ac0221ec77e913a3 +  $_GBC_156fd6cf4b5c4786a15282f618c22e3d +  $_GBC_539d07c2c60a426a83b28573097b9381" id="C4b925acd6f34494ca5c388225b4141a9"/>
        </m:item>
        <m:item xlName="_GBC_806b3d8c93aa496eb49165610c3ab1ab" concept="clcid-pte:SuoYouZheTouRuHeJianShaoZiBenDaoZhiZiBenGongJiBianDongJinE" label="所有者投入和减少资本导致资本公积变动金额" periodRef="上年同期数" mulRef="_GBC_57faea4e453e49ad93821b7dd6ce8bc4" unitRef="_GBC_cef77704267643d794145c73763360e5" addr="T1R12C5S1_1" formatStyle="Comma">
          <m:complexRule comparator="Eq" title="所有者投入和减少资本导致资本公积变动金额@上年同期数" test=" $_GBC_9459eec2dc6740c59c791f59ba7d2f84 +  $_GBC_68f75ab59c6a4a0498b32628014823e1 +  $_GBC_9103c2ed730542e6b478c1333f235d44 +  $_GBC_83789e7fdefc4741bcd6c60fecebd0af" id="Cb61bd8aa3be04f1fa1e5d251f5fb79c8" radius="0.0001"/>
        </m:item>
        <m:item xlName="_GBC_d92e4ed1fc8c4f2d9d7842540776c31e" concept="clcid-pte:SuoYouZheTouRuHeJianShaoZiBenDaoZhiKuCunGuBianDongJinE" label="所有者投入和减少资本导致库存股变动金额" periodRef="上年同期数" mulRef="_GBC_57faea4e453e49ad93821b7dd6ce8bc4" unitRef="_GBC_cef77704267643d794145c73763360e5" addr="T1R12C6S1_1" formatStyle="Comma">
          <m:complexRule comparator="Eq" title="所有者投入和减少资本导致库存股变动金额@上年同期数" test=" $_GBC_0ee7cd7ac85642a8a1e5034f252ca9d2 +  $_GBC_bd6b57d04ee14a2ea1cc5a28549ffb93 +  $_GBC_63eefd0ca94b4e3a8e63e7a0a7cba44a +  $_GBC_333683fa00cd46b4b379e9866e44f2d2" id="C1b3fd37c07944c92b538005cb34db0a9" radius="0.0001"/>
        </m:item>
        <m:item xlName="_GBC_7804215cb69b4528966bc2b0a4f1814b" concept="clcid-pte:SuoYouZheTouRuHeJianShaoZiBenDaoZhiQiTaZongHeShouYiBianDongJinE" label="所有者投入和减少资本导致其他综合收益变动金额" periodRef="上年同期数" mulRef="_GBC_57faea4e453e49ad93821b7dd6ce8bc4" unitRef="_GBC_cef77704267643d794145c73763360e5" addr="T1R12C7S1_1" formatStyle="Comma">
          <m:complexRule comparator="Eq" title="所有者投入和减少资本导致其他综合收益变动金额@上年同期数" test=" $_GBC_920ee0a2c0d3493a85e149c9fd9b2de7 +  $_GBC_ef0f45029ee043fcb43641dffe988a62 +  $_GBC_6627c5b24e7f4ef98d6dbb5ef0bfdc91 +  $_GBC_12c8ed4b4b454e498a4f135204a8821f" id="Cf79293c7ba0c4f288a9adde1b6ed1b50"/>
        </m:item>
        <m:item xlName="_GBC_23e3d55860aa479bb06d190d1039eec0" concept="clcid-pte:SuoYouZheTouRuHeJianShaoZiBenDaoZhiZhuanXiangChuBeiBianDongJinE" label="所有者投入和减少资本导致专项储备变动金额" periodRef="上年同期数" mulRef="_GBC_57faea4e453e49ad93821b7dd6ce8bc4" unitRef="_GBC_cef77704267643d794145c73763360e5" addr="T1R12C8S1_1" formatStyle="Comma">
          <m:complexRule comparator="Eq" title="所有者投入和减少资本导致专项储备变动金额@上年同期数" test=" $_GBC_aafdf12eb7294c67896155049135d04e +  $_GBC_fef26d11c0d0485bb33fd93140da213e +  $_GBC_b64f7ca08d5b46cdb7ea27384fcdacaa +  $_GBC_ce9c57fb808c4a9e95599c44e09d5ee6" id="Cebfe86b976354692891b97f34329c101"/>
        </m:item>
        <m:item xlName="_GBC_24e1bb854a804ff1ba371eea8001ce3f" concept="clcid-pte:SuoYouZheTouRuHeJianShaoZiBenDaoZhiYingYuGongJiBianDongJinE" label="所有者投入和减少资本导致盈余公积变动金额" periodRef="上年同期数" mulRef="_GBC_57faea4e453e49ad93821b7dd6ce8bc4" unitRef="_GBC_cef77704267643d794145c73763360e5" addr="T1R12C9S1_1" formatStyle="Comma">
          <m:complexRule comparator="Eq" title="所有者投入和减少资本导致盈余公积变动金额@上年同期数" test=" $_GBC_f07cb5795c734e08857a09af6c38f38a +  $_GBC_8a336b417a2c470abe2a97509ac97f9a +  $_GBC_56f52488147b4ca68d869c67ceb9f6f7 +  $_GBC_51e1afe005204948a98b6439aa8d7fbc" id="Ca4a52ab7a60c4cb4b32641a45726d11f"/>
        </m:item>
        <m:item xlName="_GBC_88201ca3f86140e49229a500777e62bc" concept="clcid-pte:SuoYouZheTouRuHeJianShaoZiBenDaoZhiYiBanFengXianZhunBeiBianDongJinE" label="所有者投入和减少资本导致一般风险准备变动金额" periodRef="上年同期数" mulRef="_GBC_57faea4e453e49ad93821b7dd6ce8bc4" unitRef="_GBC_cef77704267643d794145c73763360e5" addr="T1R12C10S1_1" formatStyle="Comma">
          <m:complexRule comparator="Eq" title="所有者投入和减少资本导致一般风险准备变动金额@上年同期数" test=" $_GBC_cff5370505bc4323bc8745c345bed8de +  $_GBC_708e1efad4fb457cb182441ed9137b92 +  $_GBC_08840849e0bd4082b3deff5bb052b316 +  $_GBC_a0db3f2049024161997a08e49a268c57" id="C3ca09f67ff9448d4a7b8c2f74f506176"/>
        </m:item>
        <m:item xlName="_GBC_7ae77f219bd14664912830fece3defdf" concept="clcid-pte:SuoYouZheTouRuHeJianShaoZiBenDaoZhiWeiFenPeiLiRunBianDongJinE" label="所有者投入和减少资本导致未分配利润变动金额" periodRef="上年同期数" mulRef="_GBC_57faea4e453e49ad93821b7dd6ce8bc4" unitRef="_GBC_cef77704267643d794145c73763360e5" addr="T1R12C11S1_1" formatStyle="Comma">
          <m:complexRule comparator="Eq" title="所有者投入和减少资本导致未分配利润变动金额@上年同期数" test=" $_GBC_c038ae5e8e2a4804be7ea9a4bedf46e0 +  $_GBC_39f06864c6204dbca4cd4fbc2525a0f3 +  $_GBC_3f7351ae83d844bab493b5e50829c0c1 +  $_GBC_f3a9587ed49648509050a77eff7c7484" id="Ccb0e5390c3b64870a52f96a9a21ad222"/>
        </m:item>
        <m:item xlName="_GBC_15bd914be84d464fb951582665b9d15a" concept="clcid-pte:SuoYouZheTouRuHeJianShaoZiBenDaoZhiQiTaDeGuiShuYuMuGongSiSuoYouZheQuanYiBianDongJinE" label="所有者投入和减少资本导致其他的归属于母公司所有者权益变动金额" periodRef="上年同期数" mulRef="_GBC_57faea4e453e49ad93821b7dd6ce8bc4" unitRef="_GBC_cef77704267643d794145c73763360e5" addr="T1R12C12S1_1" formatStyle="Comma">
          <m:complexRule comparator="Eq" title="所有者投入资本导致其他的归属于母公司所有者权益变动金额@上年同期数" test=" $_GBC_5f8e09d1e5ae4258aea441912db886fe +  $_GBC_1e3eb6f0fce143068a98e771c41a89ff +  $_GBC_b67e1f9a773e49bca7ae2b391f1ff025 +  $_GBC_006131a602674a809ec07a76818bca9f" id="Cd8bf905bd2bb4a66b21f00650e5fa376"/>
        </m:item>
        <m:item xlName="_GBC_882b6062a2a2475382acd8f785ad87f1" concept="clcid-pte:SuoYouZheTouRuHeJianShaoZiBenDaoZhiGuiShuYuMuGongSiSuoYouZheQuanYiBianDongJinE" label="所有者投入和减少资本导致归属于母公司所有者权益变动金额" periodRef="上年同期数" mulRef="_GBC_57faea4e453e49ad93821b7dd6ce8bc4" unitRef="_GBC_cef77704267643d794145c73763360e5" addr="T1R12C13S1_1" formatStyle="Comma">
          <m:complexRule comparator="Eq" title="所有者投入和减少资本导致归属于母公司所有者权益变动金额小计@上年同期数" test=" $_GBC_e9f487fc08214c8d94bce453a50a4836 +  $_GBC_189ffcb8fdcc4f83928e465e56cbb851 +  $_GBC_80156df58ae3401d8e23f70dfc73c149 +  $_GBC_cc57d09de13745a9b29a8eec6135a9cc" id="Cc4d2195062c149a2b3d3386557f4c39b"/>
        </m:item>
        <m:item xlName="_GBC_282d8d3d7ee243d59e5e3cc078d12bbf" concept="clcid-pte:SuoYouZheTouRuHeJianShaoZiBenDaoZhiShaoShuGuDongQuanYiBianDongJinE" label="所有者投入和减少资本导致少数股东权益变动金额" periodRef="上年同期数" mulRef="_GBC_57faea4e453e49ad93821b7dd6ce8bc4" unitRef="_GBC_cef77704267643d794145c73763360e5" addr="T1R12C14S1_1" formatStyle="Comma">
          <m:complexRule comparator="Eq" title="所有者投入和减少资本导致少数股东权益变动金额@上年同期数" test=" $_GBC_3b54eca378434bb6a945064edefe7334 +  $_GBC_28989a233af64c0b9a9c7de51ab43e60 +  $_GBC_f37042e93b6446808275df5409a15bfe +  $_GBC_cb8f40edb77c48f9be79ead9a570419d" id="C5ecb6681d4a94268877f48770e91e255"/>
        </m:item>
        <m:item xlName="_GBC_ec91a07899f34b3ea8f5859f0fce58c1" concept="clcid-pte:SuoYouZheTouRuHeJianShaoZiBenDaoZhiGuDongQuanYiHeJiBianDongJinE" label="所有者投入和减少资本导致股东权益合计变动金额" periodRef="上年同期数" mulRef="_GBC_57faea4e453e49ad93821b7dd6ce8bc4" unitRef="_GBC_cef77704267643d794145c73763360e5" addr="T1R12C15S1_1" formatStyle="Comma">
          <m:complexRule comparator="Eq" title="所有者投入和减少资本导致股东权益合计变动金额@上年同期数" test=" $_GBC_a2dec3d0119c48f891244c5c36ef0717 +  $_GBC_3aaccfb1127e44b4a791afd447710638 +  $_GBC_cff48673eaa14a398b76db67bd2cf63f +  $_GBC_53227fa04a0c40a58406780c03dda291" id="C037bfef82dce441f80932095230ffd18"/>
        </m:item>
        <m:placeholder xlName="_PLD_284541025868477ca26973c13dd9ff9e" addr="T1R13C0S1_1"/>
        <m:item xlName="_GBC_ca6baab852ec4f198275214ba965c0f4" concept="clcid-pte:GuDongTouRuDePuTongGuDaoZhiGuBenBianDongJinE" label="股东投入的普通股导致股本变动金额" periodRef="上年同期数" mulRef="_GBC_57faea4e453e49ad93821b7dd6ce8bc4" unitRef="_GBC_cef77704267643d794145c73763360e5" addr="T1R13C1S1_1" formatStyle="Comma"/>
        <m:item xlName="_GBC_8afc9aa7f29649c8868107ef25af0d4b" concept="clcid-pte:GuDongTouRuDePuTongGuDaoZhiYouXianGuBianDongJinE" label="股东投入的普通股导致优先股变动金额" periodRef="上年同期数" mulRef="_GBC_57faea4e453e49ad93821b7dd6ce8bc4" unitRef="_GBC_cef77704267643d794145c73763360e5" addr="T1R13C2S1_1" formatStyle="Comma"/>
        <m:item xlName="_GBC_94969bd82e17487ab14f291bf17d5e40" concept="clcid-pte:GuDongTouRuDePuTongGuDaoZhiYongXuZhaiBianDongJinE" label="股东投入的普通股导致永续债变动金额" periodRef="上年同期数" mulRef="_GBC_57faea4e453e49ad93821b7dd6ce8bc4" unitRef="_GBC_cef77704267643d794145c73763360e5" addr="T1R13C3S1_1" formatStyle="Comma"/>
        <m:item xlName="_GBC_bc24f4297f4a46ee85ddec50283e4c6f" concept="clcid-pte:GuDongTouRuDePuTongGuDaoZhiQiTaQuanYiGongJuZhongDeQiTaBianDongJinE" label="股东投入的普通股导致其他权益工具中的其他变动金额" periodRef="上年同期数" mulRef="_GBC_57faea4e453e49ad93821b7dd6ce8bc4" unitRef="_GBC_cef77704267643d794145c73763360e5" addr="T1R13C4S1_1" formatStyle="Comma"/>
        <m:item xlName="_GBC_9459eec2dc6740c59c791f59ba7d2f84" concept="clcid-pte:GuDongTouRuDePuTongGuDaoZhiZiBenGongJiBianDongJinE" label="股东投入的普通股导致资本公积变动金额" periodRef="上年同期数" mulRef="_GBC_57faea4e453e49ad93821b7dd6ce8bc4" unitRef="_GBC_cef77704267643d794145c73763360e5" addr="T1R13C5S1_1" formatStyle="Comma"/>
        <m:item xlName="_GBC_0ee7cd7ac85642a8a1e5034f252ca9d2" concept="clcid-pte:GuDongTouRuDePuTongGuDaoZhiKuCunGuBianDongJinE" label="股东投入的普通股导致库存股变动金额" periodRef="上年同期数" mulRef="_GBC_57faea4e453e49ad93821b7dd6ce8bc4" unitRef="_GBC_cef77704267643d794145c73763360e5" addr="T1R13C6S1_1" formatStyle="Comma"/>
        <m:item xlName="_GBC_920ee0a2c0d3493a85e149c9fd9b2de7" concept="clcid-pte:GuDongTouRuDePuTongGuDaoZhiQiTaZongHeShouYiBianDongJinE" label="股东投入的普通股导致其他综合收益变动金额" periodRef="上年同期数" mulRef="_GBC_57faea4e453e49ad93821b7dd6ce8bc4" unitRef="_GBC_cef77704267643d794145c73763360e5" addr="T1R13C7S1_1" formatStyle="Comma"/>
        <m:item xlName="_GBC_aafdf12eb7294c67896155049135d04e" concept="clcid-pte:GuDongTouRuDePuTongGuDaoZhiZhuanXiangChuBeiBianDongJinE" label="股东投入的普通股导致专项储备变动金额" periodRef="上年同期数" mulRef="_GBC_57faea4e453e49ad93821b7dd6ce8bc4" unitRef="_GBC_cef77704267643d794145c73763360e5" addr="T1R13C8S1_1" formatStyle="Comma"/>
        <m:item xlName="_GBC_f07cb5795c734e08857a09af6c38f38a" concept="clcid-pte:GuDongTouRuDePuTongGuDaoZhiYingYuGongJiBianDongJinE" label="股东投入的普通股导致盈余公积变动金额" periodRef="上年同期数" mulRef="_GBC_57faea4e453e49ad93821b7dd6ce8bc4" unitRef="_GBC_cef77704267643d794145c73763360e5" addr="T1R13C9S1_1" formatStyle="Comma"/>
        <m:item xlName="_GBC_cff5370505bc4323bc8745c345bed8de" concept="clcid-pte:GuDongTouRuDePuTongGuDaoZhiYiBanFengXianZhunBeiBianDongJinE" label="股东投入的普通股导致一般风险准备变动金额" periodRef="上年同期数" mulRef="_GBC_57faea4e453e49ad93821b7dd6ce8bc4" unitRef="_GBC_cef77704267643d794145c73763360e5" addr="T1R13C10S1_1" formatStyle="Comma"/>
        <m:item xlName="_GBC_c038ae5e8e2a4804be7ea9a4bedf46e0" concept="clcid-pte:GuDongTouRuDePuTongGuDaoZhiWeiFenPeiLiRunBianDongJinE" label="股东投入的普通股导致未分配利润变动金额" periodRef="上年同期数" mulRef="_GBC_57faea4e453e49ad93821b7dd6ce8bc4" unitRef="_GBC_cef77704267643d794145c73763360e5" addr="T1R13C11S1_1" formatStyle="Comma"/>
        <m:item xlName="_GBC_5f8e09d1e5ae4258aea441912db886fe" concept="clcid-pte:GuDongTouRuDePuTongGuDaoZhiQiTaDeGuiShuYuMuGongSiSuoYouZheQuanYiBianDongJinE" label="股东投入的普通股导致其他的归属于母公司所有者权益变动金额" periodRef="上年同期数" mulRef="_GBC_57faea4e453e49ad93821b7dd6ce8bc4" unitRef="_GBC_cef77704267643d794145c73763360e5" addr="T1R13C12S1_1" formatStyle="Comma"/>
        <m:item xlName="_GBC_e9f487fc08214c8d94bce453a50a4836" concept="clcid-pte:GuDongTouRuDePuTongGuDaoZhiGuiShuYuMuGongSiSuoYouZheQuanYiBianDongJinE" label="股东投入的普通股导致归属于母公司所有者权益变动金额" periodRef="上年同期数" mulRef="_GBC_57faea4e453e49ad93821b7dd6ce8bc4" unitRef="_GBC_cef77704267643d794145c73763360e5" addr="T1R13C13S1_1" formatStyle="Comma"/>
        <m:item xlName="_GBC_3b54eca378434bb6a945064edefe7334" concept="clcid-pte:GuDongTouRuDePuTongGuDaoZhiShaoShuGuDongQuanYiBianDongJinE" label="股东投入的普通股导致少数股东权益变动金额" periodRef="上年同期数" mulRef="_GBC_57faea4e453e49ad93821b7dd6ce8bc4" unitRef="_GBC_cef77704267643d794145c73763360e5" addr="T1R13C14S1_1" formatStyle="Comma"/>
        <m:item xlName="_GBC_a2dec3d0119c48f891244c5c36ef0717" concept="clcid-pte:GuDongTouRuDePuTongGuDaoZhiGuDongQuanYiHeJiBianDongJinE" label="股东投入的普通股导致股东权益合计变动金额" periodRef="上年同期数" mulRef="_GBC_57faea4e453e49ad93821b7dd6ce8bc4" unitRef="_GBC_cef77704267643d794145c73763360e5" addr="T1R13C15S1_1" formatStyle="Comma"/>
        <m:placeholder xlName="_PLD_13b4ec8d0fe34f9797d68eab8f95768d" addr="T1R14C0S1_1"/>
        <m:item xlName="_GBC_9108465a1b5c489fb37638632dcb0e0a" concept="clcid-pte:QiTaQuanYiGongJuChiYouZheTouRuZiBenDaoZhiGuBenBianDongJinE" label="其他权益工具持有者投入资本导致股本变动金额" periodRef="上年同期数" mulRef="_GBC_57faea4e453e49ad93821b7dd6ce8bc4" unitRef="_GBC_cef77704267643d794145c73763360e5" addr="T1R14C1S1_1" formatStyle="Comma"/>
        <m:item xlName="_GBC_975f950347ee48ea8b534f2e5e94c9f1" concept="clcid-pte:QiTaQuanYiGongJuChiYouZheTouRuZiBenDaoZhiYouXianGuBianDongJinE" label="其他权益工具持有者投入资本导致优先股变动金额" periodRef="上年同期数" mulRef="_GBC_57faea4e453e49ad93821b7dd6ce8bc4" unitRef="_GBC_cef77704267643d794145c73763360e5" addr="T1R14C2S1_1" formatStyle="Comma"/>
        <m:item xlName="_GBC_824eaa6a19484117a66319b1cf14da52" concept="clcid-pte:QiTaQuanYiGongJuChiYouZheTouRuZiBenDaoZhiYongXuZhaiBianDongJinE" label="其他权益工具持有者投入资本导致永续债变动金额" periodRef="上年同期数" mulRef="_GBC_57faea4e453e49ad93821b7dd6ce8bc4" unitRef="_GBC_cef77704267643d794145c73763360e5" addr="T1R14C3S1_1" formatStyle="Comma"/>
        <m:item xlName="_GBC_26dd46f784024ab2ac0221ec77e913a3" concept="clcid-pte:QiTaQuanYiGongJuChiYouZheTouRuZiBenDaoZhiQiTaQuanYiGongJuZhongDeQiTaBianDongJinE" label="其他权益工具持有者投入资本导致其他权益工具中的其他变动金额" periodRef="上年同期数" mulRef="_GBC_57faea4e453e49ad93821b7dd6ce8bc4" unitRef="_GBC_cef77704267643d794145c73763360e5" addr="T1R14C4S1_1" formatStyle="Comma"/>
        <m:item xlName="_GBC_68f75ab59c6a4a0498b32628014823e1" concept="clcid-pte:QiTaQuanYiGongJuChiYouZheTouRuZiBenDaoZhiZiBenGongJiBianDongJinE" label="其他权益工具持有者投入资本导致资本公积变动金额" periodRef="上年同期数" mulRef="_GBC_57faea4e453e49ad93821b7dd6ce8bc4" unitRef="_GBC_cef77704267643d794145c73763360e5" addr="T1R14C5S1_1" formatStyle="Comma"/>
        <m:item xlName="_GBC_bd6b57d04ee14a2ea1cc5a28549ffb93" concept="clcid-pte:QiTaQuanYiGongJuChiYouZheTouRuZiBenDaoZhiKuCunGuBianDongJinE" label="其他权益工具持有者投入资本导致库存股变动金额" periodRef="上年同期数" mulRef="_GBC_57faea4e453e49ad93821b7dd6ce8bc4" unitRef="_GBC_cef77704267643d794145c73763360e5" addr="T1R14C6S1_1" formatStyle="Comma"/>
        <m:item xlName="_GBC_ef0f45029ee043fcb43641dffe988a62" concept="clcid-pte:QiTaQuanYiGongJuChiYouZheTouRuZiBenDaoZhiQiTaZongHeShouYiBianDongJinE" label="其他权益工具持有者投入资本导致其他综合收益变动金额" periodRef="上年同期数" mulRef="_GBC_57faea4e453e49ad93821b7dd6ce8bc4" unitRef="_GBC_cef77704267643d794145c73763360e5" addr="T1R14C7S1_1" formatStyle="Comma"/>
        <m:item xlName="_GBC_fef26d11c0d0485bb33fd93140da213e" concept="clcid-pte:QiTaQuanYiGongJuChiYouZheTouRuZiBenDaoZhiZhuanXiangChuBeiBianDongJinE" label="其他权益工具持有者投入资本导致专项储备变动金额" periodRef="上年同期数" mulRef="_GBC_57faea4e453e49ad93821b7dd6ce8bc4" unitRef="_GBC_cef77704267643d794145c73763360e5" addr="T1R14C8S1_1" formatStyle="Comma"/>
        <m:item xlName="_GBC_8a336b417a2c470abe2a97509ac97f9a" concept="clcid-pte:QiTaQuanYiGongJuChiYouZheTouRuZiBenDaoZhiYingYuGongJiBianDongJinE" label="其他权益工具持有者投入资本导致盈余公积变动金额" periodRef="上年同期数" mulRef="_GBC_57faea4e453e49ad93821b7dd6ce8bc4" unitRef="_GBC_cef77704267643d794145c73763360e5" addr="T1R14C9S1_1" formatStyle="Comma"/>
        <m:item xlName="_GBC_708e1efad4fb457cb182441ed9137b92" concept="clcid-pte:QiTaQuanYiGongJuChiYouZheTouRuZiBenDaoZhiYiBanFengXianZhunBeiBianDongJinE" label="其他权益工具持有者投入资本导致一般风险准备变动金额" periodRef="上年同期数" mulRef="_GBC_57faea4e453e49ad93821b7dd6ce8bc4" unitRef="_GBC_cef77704267643d794145c73763360e5" addr="T1R14C10S1_1" formatStyle="Comma"/>
        <m:item xlName="_GBC_39f06864c6204dbca4cd4fbc2525a0f3" concept="clcid-pte:QiTaQuanYiGongJuChiYouZheTouRuZiBenDaoZhiWeiFenPeiLiRunBianDongJinE" label="其他权益工具持有者投入资本导致未分配利润变动金额" periodRef="上年同期数" mulRef="_GBC_57faea4e453e49ad93821b7dd6ce8bc4" unitRef="_GBC_cef77704267643d794145c73763360e5" addr="T1R14C11S1_1" formatStyle="Comma"/>
        <m:item xlName="_GBC_1e3eb6f0fce143068a98e771c41a89ff" concept="clcid-pte:QiTaQuanYiGongJuChiYouZheTouRuZiBenDaoZhiQiTaDeGuiShuYuMuGongSiSuoYouZheQuanYiBianDongJinE" label="其他权益工具持有者投入资本导致其他的归属于母公司所有者权益变动金额" periodRef="上年同期数" mulRef="_GBC_57faea4e453e49ad93821b7dd6ce8bc4" unitRef="_GBC_cef77704267643d794145c73763360e5" addr="T1R14C12S1_1" formatStyle="Comma"/>
        <m:item xlName="_GBC_189ffcb8fdcc4f83928e465e56cbb851" concept="clcid-pte:QiTaQuanYiGongJuChiYouZheTouRuZiBenDaoZhiGuiShuYuMuGongSiSuoYouZheQuanYiBianDongJinE" label="其他权益工具持有者投入资本导致归属于母公司所有者权益变动金额" periodRef="上年同期数" mulRef="_GBC_57faea4e453e49ad93821b7dd6ce8bc4" unitRef="_GBC_cef77704267643d794145c73763360e5" addr="T1R14C13S1_1" formatStyle="Comma"/>
        <m:item xlName="_GBC_28989a233af64c0b9a9c7de51ab43e60" concept="clcid-pte:QiTaQuanYiGongJuChiYouZheTouRuZiBenDaoZhiShaoShuGuDongQuanYiBianDongJinE" label="其他权益工具持有者投入资本导致少数股东权益变动金额" periodRef="上年同期数" mulRef="_GBC_57faea4e453e49ad93821b7dd6ce8bc4" unitRef="_GBC_cef77704267643d794145c73763360e5" addr="T1R14C14S1_1" formatStyle="Comma"/>
        <m:item xlName="_GBC_3aaccfb1127e44b4a791afd447710638" concept="clcid-pte:QiTaQuanYiGongJuChiYouZheTouRuZiBenDaoZhiGuDongQuanYiHeJiBianDongJinE" label="其他权益工具持有者投入资本导致股东权益合计变动金额" periodRef="上年同期数" mulRef="_GBC_57faea4e453e49ad93821b7dd6ce8bc4" unitRef="_GBC_cef77704267643d794145c73763360e5" addr="T1R14C15S1_1" formatStyle="Comma"/>
        <m:placeholder xlName="_PLD_f1f3be9263a748c28f276e78f447b133" addr="T1R15C0S1_1"/>
        <m:item xlName="_GBC_f84d332240dc4b248a21eb60465f98c5" concept="clcid-pte:GuFenZhiFuJiRuSuoYouZheQuanYiDeJinEDaoZhiShiShouZiBenHuoGuBenJingEBianDongJinE" label="股份支付计入所有者权益的金额导致实收资本（或股本）净额变动金额" periodRef="上年同期数" mulRef="_GBC_57faea4e453e49ad93821b7dd6ce8bc4" unitRef="_GBC_cef77704267643d794145c73763360e5" addr="T1R15C1S1_1" formatStyle="Comma"/>
        <m:item xlName="_GBC_2e06268a72434e7fada026cbb548fdaf" concept="clcid-pte:GuFenZhiFuJiRuSuoYouZheQuanYiDeJinEDaoZhiQiTaQuanYiGongJuZhongDeYouXianGuBianDongJinE" label="股份支付计入所有者权益的金额导致其他权益工具中的优先股变动金额" periodRef="上年同期数" mulRef="_GBC_57faea4e453e49ad93821b7dd6ce8bc4" unitRef="_GBC_cef77704267643d794145c73763360e5" addr="T1R15C2S1_1" formatStyle="Comma"/>
        <m:item xlName="_GBC_a29d30d951394af4ad76a0535f339db1" concept="clcid-pte:GuFenZhiFuJiRuSuoYouZheQuanYiDeJinEDaoZhiQiTaQuanYiGongJuZhongDeYongXuZhaiBianDongJinE" label="股份支付计入所有者权益的金额导致其他权益工具中的永续债变动金额" periodRef="上年同期数" mulRef="_GBC_57faea4e453e49ad93821b7dd6ce8bc4" unitRef="_GBC_cef77704267643d794145c73763360e5" addr="T1R15C3S1_1" formatStyle="Comma"/>
        <m:item xlName="_GBC_156fd6cf4b5c4786a15282f618c22e3d" concept="clcid-pte:GuFenZhiFuJiRuSuoYouZheQuanYiDeJinEDaoZhiQiTaQuanYiGongJuZhongDeQiTaBianDongJinE" label="股份支付计入所有者权益的金额导致其他权益工具中的其他变动金额" periodRef="上年同期数" mulRef="_GBC_57faea4e453e49ad93821b7dd6ce8bc4" unitRef="_GBC_cef77704267643d794145c73763360e5" addr="T1R15C4S1_1" formatStyle="Comma"/>
        <m:item xlName="_GBC_9103c2ed730542e6b478c1333f235d44" concept="clcid-pte:GuFenZhiFuJiRuSuoYouZheQuanYiDeJinEDaoZhiZiBenGongJiBianDongJinE" label="股份支付计入所有者权益的金额导致资本公积变动金额" periodRef="上年同期数" mulRef="_GBC_57faea4e453e49ad93821b7dd6ce8bc4" unitRef="_GBC_cef77704267643d794145c73763360e5" addr="T1R15C5S1_1" formatStyle="Comma"/>
        <m:item xlName="_GBC_63eefd0ca94b4e3a8e63e7a0a7cba44a" concept="clcid-pte:GuFenZhiFuJiRuSuoYouZheQuanYiDeJinEDaoZhiKuCunGuBianDongJinE" label="股份支付计入所有者权益的金额导致库存股变动金额" periodRef="上年同期数" mulRef="_GBC_57faea4e453e49ad93821b7dd6ce8bc4" unitRef="_GBC_cef77704267643d794145c73763360e5" addr="T1R15C6S1_1" formatStyle="Comma"/>
        <m:item xlName="_GBC_6627c5b24e7f4ef98d6dbb5ef0bfdc91" concept="clcid-pte:GuFenZhiFuJiRuSuoYouZheQuanYiDeJinEDaoZhiQiTaZongHeShouYiBianDongJinE" label="股份支付计入所有者权益的金额导致其他综合收益变动金额" periodRef="上年同期数" mulRef="_GBC_57faea4e453e49ad93821b7dd6ce8bc4" unitRef="_GBC_cef77704267643d794145c73763360e5" addr="T1R15C7S1_1" formatStyle="Comma"/>
        <m:item xlName="_GBC_b64f7ca08d5b46cdb7ea27384fcdacaa" concept="clcid-pte:GuFenZhiFuJiRuSuoYouZheQuanYiDeJinEDaoZhiZhuanXiangChuBeiBianDongJinE" label="股份支付计入所有者权益的金额导致专项储备变动金额" periodRef="上年同期数" mulRef="_GBC_57faea4e453e49ad93821b7dd6ce8bc4" unitRef="_GBC_cef77704267643d794145c73763360e5" addr="T1R15C8S1_1" formatStyle="Comma"/>
        <m:item xlName="_GBC_56f52488147b4ca68d869c67ceb9f6f7" concept="clcid-pte:GuFenZhiFuJiRuSuoYouZheQuanYiDeJinEDaoZhiYingYuGongJiBianDongJinE" label="股份支付计入所有者权益的金额导致盈余公积变动金额" periodRef="上年同期数" mulRef="_GBC_57faea4e453e49ad93821b7dd6ce8bc4" unitRef="_GBC_cef77704267643d794145c73763360e5" addr="T1R15C9S1_1" formatStyle="Comma"/>
        <m:item xlName="_GBC_08840849e0bd4082b3deff5bb052b316" concept="clcid-pte:GuFenZhiFuJiRuSuoYouZheQuanYiDeJinEDaoZhiYiBanFengXianZhunBeiBianDongJinE" label="股份支付计入所有者权益的金额导致一般风险准备变动金额" periodRef="上年同期数" mulRef="_GBC_57faea4e453e49ad93821b7dd6ce8bc4" unitRef="_GBC_cef77704267643d794145c73763360e5" addr="T1R15C10S1_1" formatStyle="Comma"/>
        <m:item xlName="_GBC_3f7351ae83d844bab493b5e50829c0c1" concept="clcid-pte:GuFenZhiFuJiRuSuoYouZheQuanYiDeJinEDaoZhiWeiFenPeiLiRunBianDongJinE" label="股份支付计入所有者权益的金额导致未分配利润变动金额" periodRef="上年同期数" mulRef="_GBC_57faea4e453e49ad93821b7dd6ce8bc4" unitRef="_GBC_cef77704267643d794145c73763360e5" addr="T1R15C11S1_1" formatStyle="Comma"/>
        <m:item xlName="_GBC_b67e1f9a773e49bca7ae2b391f1ff025" concept="clcid-pte:GuFenZhiFuJiRuSuoYouZheQuanYiDeJinEDaoZhiQiTaDeGuiShuYuMuGongSiSuoYouZheQuanYiBianDongJinE" label="股份支付计入所有者权益的金额导致其他的归属于母公司所有者权益变动金额" periodRef="上年同期数" mulRef="_GBC_57faea4e453e49ad93821b7dd6ce8bc4" unitRef="_GBC_cef77704267643d794145c73763360e5" addr="T1R15C12S1_1" formatStyle="Comma"/>
        <m:item xlName="_GBC_80156df58ae3401d8e23f70dfc73c149" concept="clcid-pte:GuFenZhiFuJiRuSuoYouZheQuanYiDeJinEDaoZhiGuiShuYuMuGongSiSuoYouZheQuanYiBianDongJinE" label="股份支付计入所有者权益的金额导致归属于母公司所有者权益变动金额" periodRef="上年同期数" mulRef="_GBC_57faea4e453e49ad93821b7dd6ce8bc4" unitRef="_GBC_cef77704267643d794145c73763360e5" addr="T1R15C13S1_1" formatStyle="Comma"/>
        <m:item xlName="_GBC_f37042e93b6446808275df5409a15bfe" concept="clcid-pte:GuFenZhiFuJiRuSuoYouZheQuanYiDeJinEDaoZhiShaoShuGuDongQuanYiBianDongJinE" label="股份支付计入所有者权益的金额导致少数股东权益变动金额" periodRef="上年同期数" mulRef="_GBC_57faea4e453e49ad93821b7dd6ce8bc4" unitRef="_GBC_cef77704267643d794145c73763360e5" addr="T1R15C14S1_1" formatStyle="Comma"/>
        <m:item xlName="_GBC_cff48673eaa14a398b76db67bd2cf63f" concept="clcid-pte:GuFenZhiFuJiRuSuoYouZheQuanYiDeJinEDaoZhiGuDongQuanYiHeJiBianDongJinE" label="股份支付计入所有者权益的金额导致股东权益合计变动金额" periodRef="上年同期数" mulRef="_GBC_57faea4e453e49ad93821b7dd6ce8bc4" unitRef="_GBC_cef77704267643d794145c73763360e5" addr="T1R15C15S1_1" formatStyle="Comma"/>
        <m:placeholder xlName="_PLD_b361f3a237774bcd8ac416b2b21655eb" addr="T1R16C0S1_1"/>
        <m:item xlName="_GBC_fbc723d0530841df9ca8a4f88b1baeb0" concept="clcid-pte:QiTaSuoYouZheTouRuHeJianShaoZiBenDaoZhiShiShouZiBenHuoGuBenJingEBianDongJinE" label="其他所有者投入和减少资本导致实收资本（或股本）净额变动金额" periodRef="上年同期数" mulRef="_GBC_57faea4e453e49ad93821b7dd6ce8bc4" unitRef="_GBC_cef77704267643d794145c73763360e5" addr="T1R16C1S1_1" formatStyle="Comma"/>
        <m:item xlName="_GBC_c525c90052b244aaa5ca4ca778e04e2d" concept="clcid-pte:QiTaSuoYouZheTouRuHeJianShaoZiBenDaoZhiQiTaQuanYiGongJuZhongDeYouXianGuBianDongJinE" label="其他所有者投入和减少资本导致其他权益工具中的优先股变动金额" periodRef="上年同期数" mulRef="_GBC_57faea4e453e49ad93821b7dd6ce8bc4" unitRef="_GBC_cef77704267643d794145c73763360e5" addr="T1R16C2S1_1" formatStyle="Comma"/>
        <m:item xlName="_GBC_89e8c27f0aa74d0e89c363a46fae7fd5" concept="clcid-pte:QiTaSuoYouZheTouRuHeJianShaoZiBenDaoZhiQiTaQuanYiGongJuZhongDeYongXuZhaiBianDongJinE" label="其他所有者投入和减少资本导致其他权益工具中的永续债变动金额" periodRef="上年同期数" mulRef="_GBC_57faea4e453e49ad93821b7dd6ce8bc4" unitRef="_GBC_cef77704267643d794145c73763360e5" addr="T1R16C3S1_1" formatStyle="Comma"/>
        <m:item xlName="_GBC_539d07c2c60a426a83b28573097b9381" concept="clcid-pte:QiTaSuoYouZheTouRuHeJianShaoZiBenDaoZhiQiTaQuanYiGongJuZhongDeQiTaBianDongJinE" label="其他所有者投入和减少资本导致其他权益工具中的其他变动金额" periodRef="上年同期数" mulRef="_GBC_57faea4e453e49ad93821b7dd6ce8bc4" unitRef="_GBC_cef77704267643d794145c73763360e5" addr="T1R16C4S1_1" formatStyle="Comma"/>
        <m:item xlName="_GBC_83789e7fdefc4741bcd6c60fecebd0af" concept="clcid-pte:QiTaSuoYouZheTouRuHeJianShaoZiBenDaoZhiZiBenGongJiBianDongJinE" label="其他所有者投入和减少资本导致资本公积变动金额" periodRef="上年同期数" mulRef="_GBC_57faea4e453e49ad93821b7dd6ce8bc4" unitRef="_GBC_cef77704267643d794145c73763360e5" addr="T1R16C5S1_1" formatStyle="Comma"/>
        <m:item xlName="_GBC_333683fa00cd46b4b379e9866e44f2d2" concept="clcid-pte:QiTaSuoYouZheTouRuHeJianShaoZiBenDaoZhiKuCunGuBianDongJinE" label="其他所有者投入和减少资本导致库存股变动金额" periodRef="上年同期数" mulRef="_GBC_57faea4e453e49ad93821b7dd6ce8bc4" unitRef="_GBC_cef77704267643d794145c73763360e5" addr="T1R16C6S1_1" formatStyle="Comma"/>
        <m:item xlName="_GBC_12c8ed4b4b454e498a4f135204a8821f" concept="clcid-pte:QiTaSuoYouZheTouRuHeJianShaoZiBenDaoZhiQiTaZongHeShouYiBianDongJinE" label="其他所有者投入和减少资本导致其他综合收益变动金额" periodRef="上年同期数" mulRef="_GBC_57faea4e453e49ad93821b7dd6ce8bc4" unitRef="_GBC_cef77704267643d794145c73763360e5" addr="T1R16C7S1_1" formatStyle="Comma"/>
        <m:item xlName="_GBC_ce9c57fb808c4a9e95599c44e09d5ee6" concept="clcid-pte:QiTaSuoYouZheTouRuHeJianShaoZiBenDaoZhiZhuanXiangChuBeiBianDongJinE" label="其他所有者投入和减少资本导致专项储备变动金额" periodRef="上年同期数" mulRef="_GBC_57faea4e453e49ad93821b7dd6ce8bc4" unitRef="_GBC_cef77704267643d794145c73763360e5" addr="T1R16C8S1_1" formatStyle="Comma"/>
        <m:item xlName="_GBC_51e1afe005204948a98b6439aa8d7fbc" concept="clcid-pte:QiTaSuoYouZheTouRuHeJianShaoZiBenDaoZhiYingYuGongJiBianDongJinE" label="其他所有者投入和减少资本导致盈余公积变动金额" periodRef="上年同期数" mulRef="_GBC_57faea4e453e49ad93821b7dd6ce8bc4" unitRef="_GBC_cef77704267643d794145c73763360e5" addr="T1R16C9S1_1" formatStyle="Comma"/>
        <m:item xlName="_GBC_a0db3f2049024161997a08e49a268c57" concept="clcid-pte:QiTaSuoYouZheTouRuHeJianShaoZiBenDaoZhiYiBanFengXianZhunBeiBianDongJinE" label="其他所有者投入和减少资本导致一般风险准备变动金额" periodRef="上年同期数" mulRef="_GBC_57faea4e453e49ad93821b7dd6ce8bc4" unitRef="_GBC_cef77704267643d794145c73763360e5" addr="T1R16C10S1_1" formatStyle="Comma"/>
        <m:item xlName="_GBC_f3a9587ed49648509050a77eff7c7484" concept="clcid-pte:QiTaSuoYouZheTouRuHeJianShaoZiBenDaoZhiWeiFenPeiLiRunBianDongJinE" label="其他所有者投入和减少资本导致未分配利润变动金额" periodRef="上年同期数" mulRef="_GBC_57faea4e453e49ad93821b7dd6ce8bc4" unitRef="_GBC_cef77704267643d794145c73763360e5" addr="T1R16C11S1_1" formatStyle="Comma"/>
        <m:item xlName="_GBC_006131a602674a809ec07a76818bca9f" concept="clcid-pte:QiTaSuoYouZheTouRuHeJianShaoZiBenDaoZhiQiTaDeGuiShuYuMuGongSiSuoYouZheQuanYiBianDongJinE" label="其他所有者投入和减少资本导致其他的归属于母公司所有者权益变动金额" periodRef="上年同期数" mulRef="_GBC_57faea4e453e49ad93821b7dd6ce8bc4" unitRef="_GBC_cef77704267643d794145c73763360e5" addr="T1R16C12S1_1" formatStyle="Comma"/>
        <m:item xlName="_GBC_cc57d09de13745a9b29a8eec6135a9cc" concept="clcid-pte:QiTaSuoYouZheTouRuHeJianShaoZiBenDaoZhiGuiShuYuMuGongSiSuoYouZheQuanYiBianDongJinE" label="其他所有者投入和减少资本导致归属于母公司所有者权益变动金额" periodRef="上年同期数" mulRef="_GBC_57faea4e453e49ad93821b7dd6ce8bc4" unitRef="_GBC_cef77704267643d794145c73763360e5" addr="T1R16C13S1_1" formatStyle="Comma"/>
        <m:item xlName="_GBC_cb8f40edb77c48f9be79ead9a570419d" concept="clcid-pte:QiTaSuoYouZheTouRuHeJianShaoZiBenDaoZhiShaoShuGuDongQuanYiBianDongJinE" label="其他所有者投入和减少资本导致少数股东权益变动金额" periodRef="上年同期数" mulRef="_GBC_57faea4e453e49ad93821b7dd6ce8bc4" unitRef="_GBC_cef77704267643d794145c73763360e5" addr="T1R16C14S1_1" formatStyle="Comma"/>
        <m:item xlName="_GBC_53227fa04a0c40a58406780c03dda291" concept="clcid-pte:QiTaSuoYouZheTouRuHeJianShaoZiBenDaoZhiGuDongQuanYiHeJiBianDongJinE" label="其他所有者投入和减少资本导致股东权益合计变动金额" periodRef="上年同期数" mulRef="_GBC_57faea4e453e49ad93821b7dd6ce8bc4" unitRef="_GBC_cef77704267643d794145c73763360e5" addr="T1R16C15S1_1" formatStyle="Comma"/>
        <m:placeholder xlName="_PLD_a7e75a2d1ed049d9bbdb0ef093ac9478" addr="T1R17C0S1_1"/>
        <m:item xlName="_GBC_8cff02e59f8948deb5ea81de506ed6dc" concept="clcid-pte:LiRunFenPeiDaoZhiShiShouZiBenHuoGuBenJingEBianDongJinE" label="利润分配导致实收资本（或股本）净额变动金额" periodRef="上年同期数" mulRef="_GBC_57faea4e453e49ad93821b7dd6ce8bc4" unitRef="_GBC_cef77704267643d794145c73763360e5" addr="T1R17C1S1_1" formatStyle="Comma">
          <m:complexRule comparator="Eq" title="利润分配导致实收资本（或股本）净额变动金额@上年同期数" test=" $_GBC_1e8b4e4e6521461aa29b69819f4e314c +  $_GBC_a7f89ae428824c5382c9a6a97fb5fc53 +  $_GBC_3003f6166e484522945649c1cc43e1ba +  $_GBC_49a218b412d440d18c50034e3ac33cba" id="C61f23fed5a564527a2563126bf44d6e2" radius="0.0001"/>
        </m:item>
        <m:item xlName="_GBC_6dbdeadb2b3b4d9ba71df27224f26802" concept="clcid-pte:LiRunFenPeiDaoZhiQiTaQuanYiGongJuZhongDeYouXianGuBianDongJinE" label="利润分配导致其他权益工具中的优先股变动金额" periodRef="上年同期数" mulRef="_GBC_57faea4e453e49ad93821b7dd6ce8bc4" unitRef="_GBC_cef77704267643d794145c73763360e5" addr="T1R17C2S1_1" formatStyle="Comma">
          <m:complexRule comparator="Eq" title="利润分配导致其他权益工具中的优先股变动金额@上年同期数" test=" $_GBC_4ae6393180754f7c8b5f6927148f0bcc +  $_GBC_d3e313b8a07c42478fb6c61fecbef7c5 +  $_GBC_5be55735ceb543b8881f377d4ffd25ab +  $_GBC_287b3643fe9f4dd8ae3b570cd789c71d" id="C1ec7ed378f234847bbc724e41dc0847b"/>
        </m:item>
        <m:item xlName="_GBC_44dce36183f44ecea2f0d5d0a3609d8f" concept="clcid-pte:LiRunFenPeiDaoZhiQiTaQuanYiGongJuZhongDeYongXuZhaiBianDongJinE" label="利润分配导致其他权益工具中的永续债变动金额" periodRef="上年同期数" mulRef="_GBC_57faea4e453e49ad93821b7dd6ce8bc4" unitRef="_GBC_cef77704267643d794145c73763360e5" addr="T1R17C3S1_1" formatStyle="Comma">
          <m:complexRule comparator="Eq" title="利润分配导致其他权益工具中的永续债变动金额@上年同期数" test=" $_GBC_935160af0dff4f61b19e613190a9886e +  $_GBC_86b836fe78594e77b6f7a7d647b4cbb9 +  $_GBC_b69ec3ba321943cf96e6cce9293d7478 +  $_GBC_7a9878d497e6470abe05fb1ab441f4dd" id="C72ea128cb10942ee80dd71fae225ece0"/>
        </m:item>
        <m:item xlName="_GBC_f518f6f42b8a41bd81a235ebe8d92f16" concept="clcid-pte:LiRunFenPeiDaoZhiQiTaQuanYiGongJuZhongDeQiTaBianDongJinE" label="利润分配导致其他权益工具中的其他变动金额" periodRef="上年同期数" mulRef="_GBC_57faea4e453e49ad93821b7dd6ce8bc4" unitRef="_GBC_cef77704267643d794145c73763360e5" addr="T1R17C4S1_1" formatStyle="Comma">
          <m:complexRule comparator="Eq" title="利润分配导致其他权益工具中的其他变动金额@上年同期数" test=" $_GBC_49d82f884064488288fefd396fcf09cc +  $_GBC_6409f592632148bb918d1b3d0be90717 +  $_GBC_2a13264b2c004630afef4619ce26c2fe +  $_GBC_3acdd25e64a24e17a2d1ca28d182e6d1" id="C4a17a1d92e104ced98f1c053178221d9"/>
        </m:item>
        <m:item xlName="_GBC_7934e6fe9097456eba711b68c1b1d62a" concept="clcid-pte:LiRunFenPeiDaoZhiZiBenGongJiBianDongJinE" label="利润分配导致资本公积变动金额" periodRef="上年同期数" mulRef="_GBC_57faea4e453e49ad93821b7dd6ce8bc4" unitRef="_GBC_cef77704267643d794145c73763360e5" addr="T1R17C5S1_1" formatStyle="Comma">
          <m:complexRule comparator="Eq" title="利润分配导致资本公积变动金额@上年同期数" test=" $_GBC_aa394c51f338497e9ea19a2579b6e8d3 +  $_GBC_952eb7e4afb34abb9db3764a32407d2c +  $_GBC_5696e6a003164113bcdff8b0d1be437b +  $_GBC_af2a7a1252ac41e9bef6babfd762e41c" id="Cb88ab689000a49d0b9ddf63820e920d1" radius="0.0001"/>
        </m:item>
        <m:item xlName="_GBC_0cca19fbe18f458bbf003ea00b3d79e6" concept="clcid-pte:LiRunFenPeiDaoZhiKuCunGuBianDongJinE" label="利润分配导致库存股变动金额" periodRef="上年同期数" mulRef="_GBC_57faea4e453e49ad93821b7dd6ce8bc4" unitRef="_GBC_cef77704267643d794145c73763360e5" addr="T1R17C6S1_1" formatStyle="Comma">
          <m:complexRule comparator="Eq" title="利润分配导致库存股变动金额@上年同期数" test=" $_GBC_6ea742672e3048cd85a51ed53db2907e +  $_GBC_d7d2613373a344cd8c4d394821420ea8 +  $_GBC_0187f2c819764d38b8beaa22e179695d +  $_GBC_65e632c5b00d4ef7a7620d9b8713f8e5" id="C3e06a12809714f0fb1215a5e100052c3" radius="0.0001"/>
        </m:item>
        <m:item xlName="_GBC_4f4335680a2047c1899af03f368290a4" concept="clcid-pte:LiRunFenPeiDaoZhiQiTaZongHeShouYiBianDongJinE" label="利润分配导致其他综合收益变动金额" periodRef="上年同期数" mulRef="_GBC_57faea4e453e49ad93821b7dd6ce8bc4" unitRef="_GBC_cef77704267643d794145c73763360e5" addr="T1R17C7S1_1" formatStyle="Comma">
          <m:complexRule comparator="Eq" title="利润分配导致其他综合收益变动金额@上年同期数" test=" $_GBC_d252b325af8d4e3087396e6cea2a1c44 +  $_GBC_6bde1610cbd949a58dbdc60da9367839 +  $_GBC_ee0d088a36a4403ca0f85e52ad4fd818 +  $_GBC_61c3ee3a348a47b1ba6ac6c2b4d5cfc7" id="C3c98669b538d464fb97c76a0925b677e"/>
        </m:item>
        <m:item xlName="_GBC_5a43adf18f00498987cde669cf8d0c01" concept="clcid-pte:LiRunFenPeiDaoZhiZhuanXiangChuBeiBianDongJinE" label="利润分配导致专项储备变动金额" periodRef="上年同期数" mulRef="_GBC_57faea4e453e49ad93821b7dd6ce8bc4" unitRef="_GBC_cef77704267643d794145c73763360e5" addr="T1R17C8S1_1" formatStyle="Comma">
          <m:complexRule comparator="Eq" title="利润分配导致专项储备变动金额@上年同期数" test=" $_GBC_014ecfd05b0f42d5bf5b06bfdaddc2fc +  $_GBC_0784c6d1c5ce4f0cb1a86cdac5af5f91 +  $_GBC_02289b58a7564f9ab8258718078507ce +  $_GBC_1f67bd299ed94d4194f6d1d362c6a615" id="Ce899006157f54a5f948a63146a22f0de"/>
        </m:item>
        <m:item xlName="_GBC_735a55d211944938a2d263ddf68e530f" concept="clcid-pte:LiRunFenPeiDaoZhiYingYuGongJiBianDongJinE" label="利润分配导致盈余公积变动金额" periodRef="上年同期数" mulRef="_GBC_57faea4e453e49ad93821b7dd6ce8bc4" unitRef="_GBC_cef77704267643d794145c73763360e5" addr="T1R17C9S1_1" formatStyle="Comma">
          <m:complexRule comparator="Eq" title="利润分配导致盈余公积变动金额@上年同期数" test=" $_GBC_48b00a4dbffb477a94ca770d44992ade +  $_GBC_0ee556f1f37647f891568be346ba24d3 +  $_GBC_2337d820a173434e9ce28248d06889a1 +  $_GBC_afc9fb3d8ef14cf19d092708904ed019" id="C4e1f7b2ce0104c94ad7ff071986e31df"/>
        </m:item>
        <m:item xlName="_GBC_72931f17a7d1410882c66f7378bd2446" concept="clcid-pte:LiRunFenPeiDaoZhiYiBanFengXianZhunBeiBianDongJinE" label="利润分配导致一般风险准备变动金额" periodRef="上年同期数" mulRef="_GBC_57faea4e453e49ad93821b7dd6ce8bc4" unitRef="_GBC_cef77704267643d794145c73763360e5" addr="T1R17C10S1_1" formatStyle="Comma">
          <m:complexRule comparator="Eq" title="利润分配导致一般风险准备变动金额@上年同期数" test=" $_GBC_3ae9c91c7cfb435dae346625fd97ba77 +  $_GBC_94ee4ff2a44a4f54834af8c87eb8fb91 +  $_GBC_c6e060f617964a88bf533bbf44f3c126 +  $_GBC_58fdd24d1dad47a9b6ad6db366e2c23d" id="C5488486c8f944584a9d054e773750e55"/>
        </m:item>
        <m:item xlName="_GBC_c6a210c669454df998a35bf4f4f9e735" concept="clcid-pte:LiRunFenPeiDaoZhiWeiFenPeiLiRunBianDongJinE" label="利润分配导致未分配利润变动金额" periodRef="上年同期数" mulRef="_GBC_57faea4e453e49ad93821b7dd6ce8bc4" unitRef="_GBC_cef77704267643d794145c73763360e5" addr="T1R17C11S1_1" formatStyle="Comma">
          <m:complexRule comparator="Eq" title="利润分配导致未分配利润变动金额@上年同期数" test=" $_GBC_47567c73ef814c5db712b835a07094a3 +  $_GBC_f9c36577c937400ba03449fd7e178714 +  $_GBC_06663aea81954a448741795eff18882b +  $_GBC_26d360d5069c44458cc6f235b0624ee9" id="Cdfc8e98de40b497989de8760721884b9"/>
        </m:item>
        <m:item xlName="_GBC_1f6c9e24eb314f7e845a2e9c6d5bbc88" concept="clcid-pte:LiRunFenPeiDaoZhiQiTaDeGuiShuYuMuGongSiSuoYouZheQuanYiBianDongJinE" label="利润分配导致其他的归属于母公司所有者权益变动金额" periodRef="上年同期数" mulRef="_GBC_57faea4e453e49ad93821b7dd6ce8bc4" unitRef="_GBC_cef77704267643d794145c73763360e5" addr="T1R17C12S1_1" formatStyle="Comma">
          <m:complexRule comparator="Eq" title="利润分配导致其他的归属于母公司所有者权益变动金额@上年同期数" test=" $_GBC_6db71d37532645e58d862157dfcc7953 +  $_GBC_1a2045845ff7423ebaf5ebc7999ef4ba +  $_GBC_2007060cffe14ef481553ba4cccecaab +  $_GBC_8f4a1742dc334e05b5056ea80d66b9c8" id="Cf3ab5f0e102d48a7a919d703033b99e6"/>
        </m:item>
        <m:item xlName="_GBC_eef9846c4eb04edf9eec851ff3c8faa6" concept="clcid-pte:LiRunFenPeiDaoZhiGuiShuYuMuGongSiSuoYouZheQuanYiBianDongJinE" label="利润分配导致归属于母公司所有者权益变动金额" periodRef="上年同期数" mulRef="_GBC_57faea4e453e49ad93821b7dd6ce8bc4" unitRef="_GBC_cef77704267643d794145c73763360e5" addr="T1R17C13S1_1" formatStyle="Comma">
          <m:complexRule comparator="Eq" title="利润分配导致归属于母公司所有者权益变动金额小计@上年同期数" test=" $_GBC_f5dd5e57af5945888ad13f14efb2fde3 +  $_GBC_f7a1fc6d82b546af97d914be32614c07 +  $_GBC_6bc8ede00edc40e59f953361c92eb559 +  $_GBC_44c76e3b720b448e9594bb6d730138f7" id="C7b01681b10ae449fa9434d3e34f1adb9"/>
        </m:item>
        <m:item xlName="_GBC_de1cf52aca904f13915a874a5b459013" concept="clcid-pte:LiRunFenPeiDaoZhiShaoShuGuDongQuanYiBianDongJinE" label="利润分配导致少数股东权益变动金额" periodRef="上年同期数" mulRef="_GBC_57faea4e453e49ad93821b7dd6ce8bc4" unitRef="_GBC_cef77704267643d794145c73763360e5" addr="T1R17C14S1_1" formatStyle="Comma">
          <m:complexRule comparator="Eq" title="利润分配导致少数股东权益变动金额@上年同期数" test=" $_GBC_e901b5ea7f304905a601de66781579ee +  $_GBC_51a3b0d4c6b0486b84539b65e5a62abd +  $_GBC_80d74d2547154c35ae2d19c6c42a1b72 +  $_GBC_6909b66769724588afd860e8e453b2ff" id="C53e553207c6944c89aa0a231514b95a8"/>
        </m:item>
        <m:item xlName="_GBC_e9f3261b89304a5aa6fae80844a60013" concept="clcid-pte:LiRunFenPeiDaoZhiGuDongQuanYiHeJiBianDongJinE" label="利润分配导致股东权益合计变动金额" periodRef="上年同期数" mulRef="_GBC_57faea4e453e49ad93821b7dd6ce8bc4" unitRef="_GBC_cef77704267643d794145c73763360e5" addr="T1R17C15S1_1" formatStyle="Comma">
          <m:complexRule comparator="Eq" title="利润分配导致股东权益合计变动金额@上年同期数" test=" $_GBC_f8c6f31ea25446b28cf6cea7344eef89 +  $_GBC_06c8c7b57bdc4592bb44c707f646848a +  $_GBC_1174c85e38a44988b8ec9884cc5757e2 +  $_GBC_d58b6741cced4fe7806546c0229261d5" id="Ce33b6159c338499597f6bf256bce6538"/>
        </m:item>
        <m:placeholder xlName="_PLD_728c39864cdd4a7c93d6a2bae73ac47f" addr="T1R18C0S1_1"/>
        <m:item xlName="_GBC_1e8b4e4e6521461aa29b69819f4e314c" concept="clcid-pte:TiQuYingYuGongJiDaoZhiShiShouZiBenHuoGuBenJingEBianDongJinE" label="提取盈余公积导致实收资本（或股本）净额变动金额" periodRef="上年同期数" mulRef="_GBC_57faea4e453e49ad93821b7dd6ce8bc4" unitRef="_GBC_cef77704267643d794145c73763360e5" addr="T1R18C1S1_1" formatStyle="Comma"/>
        <m:item xlName="_GBC_4ae6393180754f7c8b5f6927148f0bcc" concept="clcid-pte:TiQuYingYuGongJiDaoZhiQiTaQuanYiGongJuZhongDeYouXianGuBianDongJinE" label="提取盈余公积导致其他权益工具中的优先股变动金额" periodRef="上年同期数" mulRef="_GBC_57faea4e453e49ad93821b7dd6ce8bc4" unitRef="_GBC_cef77704267643d794145c73763360e5" addr="T1R18C2S1_1" formatStyle="Comma"/>
        <m:item xlName="_GBC_935160af0dff4f61b19e613190a9886e" concept="clcid-pte:TiQuYingYuGongJiDaoZhiQiTaQuanYiGongJuZhongDeYongXuZhaiBianDongJinE" label="提取盈余公积导致其他权益工具中的永续债变动金额" periodRef="上年同期数" mulRef="_GBC_57faea4e453e49ad93821b7dd6ce8bc4" unitRef="_GBC_cef77704267643d794145c73763360e5" addr="T1R18C3S1_1" formatStyle="Comma"/>
        <m:item xlName="_GBC_49d82f884064488288fefd396fcf09cc" concept="clcid-pte:TiQuYingYuGongJiDaoZhiQiTaQuanYiGongJuZhongDeQiTaBianDongJinE" label="提取盈余公积导致其他权益工具中的其他变动金额" periodRef="上年同期数" mulRef="_GBC_57faea4e453e49ad93821b7dd6ce8bc4" unitRef="_GBC_cef77704267643d794145c73763360e5" addr="T1R18C4S1_1" formatStyle="Comma"/>
        <m:item xlName="_GBC_aa394c51f338497e9ea19a2579b6e8d3" concept="clcid-pte:TiQuYingYuGongJiDaoZhiZiBenGongJiBianDongJinE" label="提取盈余公积导致资本公积变动金额" periodRef="上年同期数" mulRef="_GBC_57faea4e453e49ad93821b7dd6ce8bc4" unitRef="_GBC_cef77704267643d794145c73763360e5" addr="T1R18C5S1_1" formatStyle="Comma"/>
        <m:item xlName="_GBC_6ea742672e3048cd85a51ed53db2907e" concept="clcid-pte:TiQuYingYuGongJiDaoZhiKuCunGuBianDongJinE" label="提取盈余公积导致库存股变动金额" periodRef="上年同期数" mulRef="_GBC_57faea4e453e49ad93821b7dd6ce8bc4" unitRef="_GBC_cef77704267643d794145c73763360e5" addr="T1R18C6S1_1" formatStyle="Comma"/>
        <m:item xlName="_GBC_d252b325af8d4e3087396e6cea2a1c44" concept="clcid-pte:TiQuYingYuGongJiDaoZhiQiTaZongHeShouYiBianDongJinE" label="提取盈余公积导致其他综合收益变动金额" periodRef="上年同期数" mulRef="_GBC_57faea4e453e49ad93821b7dd6ce8bc4" unitRef="_GBC_cef77704267643d794145c73763360e5" addr="T1R18C7S1_1" formatStyle="Comma"/>
        <m:item xlName="_GBC_014ecfd05b0f42d5bf5b06bfdaddc2fc" concept="clcid-pte:TiQuYingYuGongJiDaoZhiZhuanXiangChuBeiBianDongJinE" label="提取盈余公积导致专项储备变动金额" periodRef="上年同期数" mulRef="_GBC_57faea4e453e49ad93821b7dd6ce8bc4" unitRef="_GBC_cef77704267643d794145c73763360e5" addr="T1R18C8S1_1" formatStyle="Comma"/>
        <m:item xlName="_GBC_48b00a4dbffb477a94ca770d44992ade" concept="clcid-pte:TiQuYingYuGongJiDaoZhiYingYuGongJiBianDongJinE" label="提取盈余公积导致盈余公积变动金额" periodRef="上年同期数" mulRef="_GBC_57faea4e453e49ad93821b7dd6ce8bc4" unitRef="_GBC_cef77704267643d794145c73763360e5" addr="T1R18C9S1_1" formatStyle="Comma"/>
        <m:item xlName="_GBC_3ae9c91c7cfb435dae346625fd97ba77" concept="clcid-pte:TiQuYingYuGongJiDaoZhiYiBanFengXianZhunBeiBianDongJinE" label="提取盈余公积导致一般风险准备变动金额" periodRef="上年同期数" mulRef="_GBC_57faea4e453e49ad93821b7dd6ce8bc4" unitRef="_GBC_cef77704267643d794145c73763360e5" addr="T1R18C10S1_1" formatStyle="Comma"/>
        <m:item xlName="_GBC_47567c73ef814c5db712b835a07094a3" concept="clcid-pte:TiQuYingYuGongJiDaoZhiWeiFenPeiLiRunBianDongJinE" label="提取盈余公积导致未分配利润变动金额" periodRef="上年同期数" mulRef="_GBC_57faea4e453e49ad93821b7dd6ce8bc4" unitRef="_GBC_cef77704267643d794145c73763360e5" addr="T1R18C11S1_1" formatStyle="Comma"/>
        <m:item xlName="_GBC_6db71d37532645e58d862157dfcc7953" concept="clcid-pte:TiQuYingYuGongJiDaoZhiQiTaDeGuiShuYuMuGongSiSuoYouZheQuanYiBianDongJinE" label="提取盈余公积导致其他的归属于母公司所有者权益变动金额" periodRef="上年同期数" mulRef="_GBC_57faea4e453e49ad93821b7dd6ce8bc4" unitRef="_GBC_cef77704267643d794145c73763360e5" addr="T1R18C12S1_1" formatStyle="Comma"/>
        <m:item xlName="_GBC_f5dd5e57af5945888ad13f14efb2fde3" concept="clcid-pte:TiQuYingYuGongJiDaoZhiGuiShuYuMuGongSiSuoYouZheQuanYiBianDongJinE" label="提取盈余公积导致归属于母公司所有者权益变动金额" periodRef="上年同期数" mulRef="_GBC_57faea4e453e49ad93821b7dd6ce8bc4" unitRef="_GBC_cef77704267643d794145c73763360e5" addr="T1R18C13S1_1" formatStyle="Comma"/>
        <m:item xlName="_GBC_e901b5ea7f304905a601de66781579ee" concept="clcid-pte:TiQuYingYuGongJiDaoZhiShaoShuGuDongQuanYiBianDongJinE" label="提取盈余公积导致少数股东权益变动金额" periodRef="上年同期数" mulRef="_GBC_57faea4e453e49ad93821b7dd6ce8bc4" unitRef="_GBC_cef77704267643d794145c73763360e5" addr="T1R18C14S1_1" formatStyle="Comma"/>
        <m:item xlName="_GBC_f8c6f31ea25446b28cf6cea7344eef89" concept="clcid-pte:TiQuYingYuGongJiDaoZhiGuDongQuanYiHeJiBianDongJinE" label="提取盈余公积导致股东权益合计变动金额" periodRef="上年同期数" mulRef="_GBC_57faea4e453e49ad93821b7dd6ce8bc4" unitRef="_GBC_cef77704267643d794145c73763360e5" addr="T1R18C15S1_1" formatStyle="Comma"/>
        <m:placeholder xlName="_PLD_6d8c8a0de80b4f6a97fdb16b82b3a6ac" addr="T1R19C0S1_1"/>
        <m:item xlName="_GBC_a7f89ae428824c5382c9a6a97fb5fc53" concept="clcid-pte:TiQuYiBanFengXianZhunBeiDaoZhiShiShouZiBenHuoGuBenJingEBianDongJinE" label="提取一般风险准备导致实收资本（或股本）净额变动金额" periodRef="上年同期数" mulRef="_GBC_57faea4e453e49ad93821b7dd6ce8bc4" unitRef="_GBC_cef77704267643d794145c73763360e5" addr="T1R19C1S1_1" formatStyle="Comma"/>
        <m:item xlName="_GBC_d3e313b8a07c42478fb6c61fecbef7c5" concept="clcid-pte:TiQuYiBanFengXianZhunBeiDaoZhiQiTaQuanYiGongJuZhongDeYouXianGuBianDongJinE" label="提取一般风险准备导致其他权益工具中的优先股变动金额" periodRef="上年同期数" mulRef="_GBC_57faea4e453e49ad93821b7dd6ce8bc4" unitRef="_GBC_cef77704267643d794145c73763360e5" addr="T1R19C2S1_1" formatStyle="Comma"/>
        <m:item xlName="_GBC_86b836fe78594e77b6f7a7d647b4cbb9" concept="clcid-pte:TiQuYiBanFengXianZhunBeiDaoZhiQiTaQuanYiGongJuZhongDeYongXuZhaiBianDongJinE" label="提取一般风险准备导致其他权益工具中的永续债变动金额" periodRef="上年同期数" mulRef="_GBC_57faea4e453e49ad93821b7dd6ce8bc4" unitRef="_GBC_cef77704267643d794145c73763360e5" addr="T1R19C3S1_1" formatStyle="Comma"/>
        <m:item xlName="_GBC_6409f592632148bb918d1b3d0be90717" concept="clcid-pte:TiQuYiBanFengXianZhunBeiDaoZhiQiTaQuanYiGongJuZhongDeQiTaBianDongJinE" label="提取一般风险准备导致其他权益工具中的其他变动金额" periodRef="上年同期数" mulRef="_GBC_57faea4e453e49ad93821b7dd6ce8bc4" unitRef="_GBC_cef77704267643d794145c73763360e5" addr="T1R19C4S1_1" formatStyle="Comma"/>
        <m:item xlName="_GBC_952eb7e4afb34abb9db3764a32407d2c" concept="clcid-pte:TiQuYiBanFengXianZhunBeiDaoZhiZiBenGongJiBianDongJinE" label="提取一般风险准备导致资本公积变动金额" periodRef="上年同期数" mulRef="_GBC_57faea4e453e49ad93821b7dd6ce8bc4" unitRef="_GBC_cef77704267643d794145c73763360e5" addr="T1R19C5S1_1" formatStyle="Comma"/>
        <m:item xlName="_GBC_d7d2613373a344cd8c4d394821420ea8" concept="clcid-pte:TiQuYiBanFengXianZhunBeiDaoZhiKuCunGuBianDongJinE" label="提取一般风险准备导致库存股变动金额" periodRef="上年同期数" mulRef="_GBC_57faea4e453e49ad93821b7dd6ce8bc4" unitRef="_GBC_cef77704267643d794145c73763360e5" addr="T1R19C6S1_1" formatStyle="Comma"/>
        <m:item xlName="_GBC_6bde1610cbd949a58dbdc60da9367839" concept="clcid-pte:TiQuYiBanFengXianZhunBeiDaoZhiQiTaZongHeShouYiBianDongJinE" label="提取一般风险准备导致其他综合收益变动金额" periodRef="上年同期数" mulRef="_GBC_57faea4e453e49ad93821b7dd6ce8bc4" unitRef="_GBC_cef77704267643d794145c73763360e5" addr="T1R19C7S1_1" formatStyle="Comma"/>
        <m:item xlName="_GBC_0784c6d1c5ce4f0cb1a86cdac5af5f91" concept="clcid-pte:TiQuYiBanFengXianZhunBeiDaoZhiZhuanXiangChuBeiBianDongJinE" label="提取一般风险准备导致专项储备变动金额" periodRef="上年同期数" mulRef="_GBC_57faea4e453e49ad93821b7dd6ce8bc4" unitRef="_GBC_cef77704267643d794145c73763360e5" addr="T1R19C8S1_1" formatStyle="Comma"/>
        <m:item xlName="_GBC_0ee556f1f37647f891568be346ba24d3" concept="clcid-pte:TiQuYiBanFengXianZhunBeiDaoZhiYingYuGongJiBianDongJinE" label="提取一般风险准备导致盈余公积变动金额" periodRef="上年同期数" mulRef="_GBC_57faea4e453e49ad93821b7dd6ce8bc4" unitRef="_GBC_cef77704267643d794145c73763360e5" addr="T1R19C9S1_1" formatStyle="Comma"/>
        <m:item xlName="_GBC_94ee4ff2a44a4f54834af8c87eb8fb91" concept="clcid-pte:TiQuYiBanFengXianZhunBeiDaoZhiYiBanFengXianZhunBeiBianDongJinE" label="提取一般风险准备导致一般风险准备变动金额" periodRef="上年同期数" mulRef="_GBC_57faea4e453e49ad93821b7dd6ce8bc4" unitRef="_GBC_cef77704267643d794145c73763360e5" addr="T1R19C10S1_1" formatStyle="Comma"/>
        <m:item xlName="_GBC_f9c36577c937400ba03449fd7e178714" concept="clcid-pte:TiQuYiBanFengXianZhunBeiDaoZhiWeiFenPeiLiRunBianDongJinE" label="提取一般风险准备导致未分配利润变动金额" periodRef="上年同期数" mulRef="_GBC_57faea4e453e49ad93821b7dd6ce8bc4" unitRef="_GBC_cef77704267643d794145c73763360e5" addr="T1R19C11S1_1" formatStyle="Comma"/>
        <m:item xlName="_GBC_1a2045845ff7423ebaf5ebc7999ef4ba" concept="clcid-pte:TiQuYiBanFengXianZhunBeiDaoZhiQiTaDeGuiShuYuMuGongSiSuoYouZheQuanYiBianDongJinE" label="提取一般风险准备导致其他的归属于母公司所有者权益变动金额" periodRef="上年同期数" mulRef="_GBC_57faea4e453e49ad93821b7dd6ce8bc4" unitRef="_GBC_cef77704267643d794145c73763360e5" addr="T1R19C12S1_1" formatStyle="Comma"/>
        <m:item xlName="_GBC_f7a1fc6d82b546af97d914be32614c07" concept="clcid-pte:TiQuYiBanFengXianZhunBeiDaoZhiGuiShuYuMuGongSiSuoYouZheQuanYiBianDongJinE" label="提取一般风险准备导致归属于母公司所有者权益变动金额" periodRef="上年同期数" mulRef="_GBC_57faea4e453e49ad93821b7dd6ce8bc4" unitRef="_GBC_cef77704267643d794145c73763360e5" addr="T1R19C13S1_1" formatStyle="Comma"/>
        <m:item xlName="_GBC_51a3b0d4c6b0486b84539b65e5a62abd" concept="clcid-pte:TiQuYiBanFengXianZhunBeiDaoZhiShaoShuGuDongQuanYiBianDongJinE" label="提取一般风险准备导致少数股东权益变动金额" periodRef="上年同期数" mulRef="_GBC_57faea4e453e49ad93821b7dd6ce8bc4" unitRef="_GBC_cef77704267643d794145c73763360e5" addr="T1R19C14S1_1" formatStyle="Comma"/>
        <m:item xlName="_GBC_06c8c7b57bdc4592bb44c707f646848a" concept="clcid-pte:TiQuYiBanFengXianZhunBeiDaoZhiGuDongQuanYiHeJiBianDongJinE" label="提取一般风险准备导致股东权益合计变动金额" periodRef="上年同期数" mulRef="_GBC_57faea4e453e49ad93821b7dd6ce8bc4" unitRef="_GBC_cef77704267643d794145c73763360e5" addr="T1R19C15S1_1" formatStyle="Comma"/>
        <m:placeholder xlName="_PLD_a5531db3e1d84f3897cb962fdc73ab3d" addr="T1R20C0S1_1"/>
        <m:item xlName="_GBC_3003f6166e484522945649c1cc43e1ba" concept="clcid-pte:DuiSuoYouZheHuoGuDongDeFenPeiDaoZhiShiShouZiBenHuoGuBenJingEBianDongJinE" label="对所有者（或股东）的分配导致实收资本（或股本）净额变动金额" periodRef="上年同期数" mulRef="_GBC_57faea4e453e49ad93821b7dd6ce8bc4" unitRef="_GBC_cef77704267643d794145c73763360e5" addr="T1R20C1S1_1" formatStyle="Comma"/>
        <m:item xlName="_GBC_5be55735ceb543b8881f377d4ffd25ab" concept="clcid-pte:DuiSuoYouZheHuoGuDongDeFenPeiDaoZhiQiTaQuanYiGongJuZhongDeYouXianGuBianDongJinE" label="对所有者（或股东）的分配导致其他权益工具中的优先股变动金额" periodRef="上年同期数" mulRef="_GBC_57faea4e453e49ad93821b7dd6ce8bc4" unitRef="_GBC_cef77704267643d794145c73763360e5" addr="T1R20C2S1_1" formatStyle="Comma"/>
        <m:item xlName="_GBC_b69ec3ba321943cf96e6cce9293d7478" concept="clcid-pte:DuiSuoYouZheHuoGuDongDeFenPeiDaoZhiQiTaQuanYiGongJuZhongDeYongXuZhaiBianDongJinE" label="对所有者（或股东）的分配导致其他权益工具中的永续债变动金额" periodRef="上年同期数" mulRef="_GBC_57faea4e453e49ad93821b7dd6ce8bc4" unitRef="_GBC_cef77704267643d794145c73763360e5" addr="T1R20C3S1_1" formatStyle="Comma"/>
        <m:item xlName="_GBC_2a13264b2c004630afef4619ce26c2fe" concept="clcid-pte:DuiSuoYouZheHuoGuDongDeFenPeiDaoZhiQiTaQuanYiGongJuZhongDeQiTaBianDongJinE" label="对所有者（或股东）的分配导致其他权益工具中的其他变动金额" periodRef="上年同期数" mulRef="_GBC_57faea4e453e49ad93821b7dd6ce8bc4" unitRef="_GBC_cef77704267643d794145c73763360e5" addr="T1R20C4S1_1" formatStyle="Comma"/>
        <m:item xlName="_GBC_5696e6a003164113bcdff8b0d1be437b" concept="clcid-pte:DuiSuoYouZheHuoGuDongDeFenPeiDaoZhiZiBenGongJiBianDongJinE" label="对所有者（或股东）的分配导致资本公积变动金额" periodRef="上年同期数" mulRef="_GBC_57faea4e453e49ad93821b7dd6ce8bc4" unitRef="_GBC_cef77704267643d794145c73763360e5" addr="T1R20C5S1_1" formatStyle="Comma"/>
        <m:item xlName="_GBC_0187f2c819764d38b8beaa22e179695d" concept="clcid-pte:DuiSuoYouZheHuoGuDongDeFenPeiDaoZhiKuCunGuBianDongJinE" label="对所有者（或股东）的分配导致库存股变动金额" periodRef="上年同期数" mulRef="_GBC_57faea4e453e49ad93821b7dd6ce8bc4" unitRef="_GBC_cef77704267643d794145c73763360e5" addr="T1R20C6S1_1" formatStyle="Comma"/>
        <m:item xlName="_GBC_ee0d088a36a4403ca0f85e52ad4fd818" concept="clcid-pte:DuiSuoYouZheHuoGuDongDeFenPeiDaoZhiQiTaZongHeShouYiBianDongJinE" label="对所有者（或股东）的分配导致其他综合收益变动金额" periodRef="上年同期数" mulRef="_GBC_57faea4e453e49ad93821b7dd6ce8bc4" unitRef="_GBC_cef77704267643d794145c73763360e5" addr="T1R20C7S1_1" formatStyle="Comma"/>
        <m:item xlName="_GBC_02289b58a7564f9ab8258718078507ce" concept="clcid-pte:DuiSuoYouZheHuoGuDongDeFenPeiDaoZhiZhuanXiangChuBeiBianDongJinE" label="对所有者（或股东）的分配导致专项储备变动金额" periodRef="上年同期数" mulRef="_GBC_57faea4e453e49ad93821b7dd6ce8bc4" unitRef="_GBC_cef77704267643d794145c73763360e5" addr="T1R20C8S1_1" formatStyle="Comma"/>
        <m:item xlName="_GBC_2337d820a173434e9ce28248d06889a1" concept="clcid-pte:DuiSuoYouZheHuoGuDongDeFenPeiDaoZhiYingYuGongJiBianDongJinE" label="对所有者（或股东）的分配导致盈余公积变动金额" periodRef="上年同期数" mulRef="_GBC_57faea4e453e49ad93821b7dd6ce8bc4" unitRef="_GBC_cef77704267643d794145c73763360e5" addr="T1R20C9S1_1" formatStyle="Comma"/>
        <m:item xlName="_GBC_c6e060f617964a88bf533bbf44f3c126" concept="clcid-pte:DuiSuoYouZheHuoGuDongDeFenPeiDaoZhiYiBanFengXianZhunBeiBianDongJinE" label="对所有者（或股东）的分配导致一般风险准备变动金额" periodRef="上年同期数" mulRef="_GBC_57faea4e453e49ad93821b7dd6ce8bc4" unitRef="_GBC_cef77704267643d794145c73763360e5" addr="T1R20C10S1_1" formatStyle="Comma"/>
        <m:item xlName="_GBC_06663aea81954a448741795eff18882b" concept="clcid-pte:DuiSuoYouZheHuoGuDongDeFenPeiDaoZhiWeiFenPeiLiRunBianDongJinE" label="对所有者（或股东）的分配导致未分配利润变动金额" periodRef="上年同期数" mulRef="_GBC_57faea4e453e49ad93821b7dd6ce8bc4" unitRef="_GBC_cef77704267643d794145c73763360e5" addr="T1R20C11S1_1" formatStyle="Comma"/>
        <m:item xlName="_GBC_2007060cffe14ef481553ba4cccecaab" concept="clcid-pte:DuiSuoYouZheHuoGuDongDeFenPeiDaoZhiQiTaDeGuiShuYuMuGongSiSuoYouZheQuanYiBianDongJinE" label="对所有者（或股东）的分配导致其他的归属于母公司所有者权益变动金额" periodRef="上年同期数" mulRef="_GBC_57faea4e453e49ad93821b7dd6ce8bc4" unitRef="_GBC_cef77704267643d794145c73763360e5" addr="T1R20C12S1_1" formatStyle="Comma"/>
        <m:item xlName="_GBC_6bc8ede00edc40e59f953361c92eb559" concept="clcid-pte:DuiSuoYouZheHuoGuDongDeFenPeiDaoZhiGuiShuYuMuGongSiSuoYouZheQuanYiBianDongJinE" label="对所有者（或股东）的分配导致归属于母公司所有者权益变动金额" periodRef="上年同期数" mulRef="_GBC_57faea4e453e49ad93821b7dd6ce8bc4" unitRef="_GBC_cef77704267643d794145c73763360e5" addr="T1R20C13S1_1" formatStyle="Comma"/>
        <m:item xlName="_GBC_80d74d2547154c35ae2d19c6c42a1b72" concept="clcid-pte:DuiSuoYouZheHuoGuDongDeFenPeiDaoZhiShaoShuGuDongQuanYiBianDongJinE" label="对所有者（或股东）的分配导致少数股东权益变动金额" periodRef="上年同期数" mulRef="_GBC_57faea4e453e49ad93821b7dd6ce8bc4" unitRef="_GBC_cef77704267643d794145c73763360e5" addr="T1R20C14S1_1" formatStyle="Comma"/>
        <m:item xlName="_GBC_1174c85e38a44988b8ec9884cc5757e2" concept="clcid-pte:DuiSuoYouZheHuoGuDongDeFenPeiDaoZhiGuDongQuanYiHeJiBianDongJinE" label="对所有者（或股东）的分配导致股东权益合计变动金额" periodRef="上年同期数" mulRef="_GBC_57faea4e453e49ad93821b7dd6ce8bc4" unitRef="_GBC_cef77704267643d794145c73763360e5" addr="T1R20C15S1_1" formatStyle="Comma"/>
        <m:placeholder xlName="_PLD_f3206f8cddd54371b8a1b220dc836af8" addr="T1R21C0S1_1"/>
        <m:item xlName="_GBC_49a218b412d440d18c50034e3ac33cba" concept="clcid-pte:QiTaLiRunFenPeiDaoZhiShiShouZiBenHuoGuBenJingEBianDongJinE" label="其他利润分配导致实收资本（或股本）净额变动金额" periodRef="上年同期数" mulRef="_GBC_57faea4e453e49ad93821b7dd6ce8bc4" unitRef="_GBC_cef77704267643d794145c73763360e5" addr="T1R21C1S1_1" formatStyle="Comma"/>
        <m:item xlName="_GBC_287b3643fe9f4dd8ae3b570cd789c71d" concept="clcid-pte:QiTaLiRunFenPeiDaoZhiQiTaQuanYiGongJuZhongDeYouXianGuBianDongJinE" label="其他利润分配导致其他权益工具中的优先股变动金额" periodRef="上年同期数" mulRef="_GBC_57faea4e453e49ad93821b7dd6ce8bc4" unitRef="_GBC_cef77704267643d794145c73763360e5" addr="T1R21C2S1_1" formatStyle="Comma"/>
        <m:item xlName="_GBC_7a9878d497e6470abe05fb1ab441f4dd" concept="clcid-pte:QiTaLiRunFenPeiDaoZhiQiTaQuanYiGongJuZhongDeYongXuZhaiBianDongJinE" label="其他利润分配导致其他权益工具中的永续债变动金额" periodRef="上年同期数" mulRef="_GBC_57faea4e453e49ad93821b7dd6ce8bc4" unitRef="_GBC_cef77704267643d794145c73763360e5" addr="T1R21C3S1_1" formatStyle="Comma"/>
        <m:item xlName="_GBC_3acdd25e64a24e17a2d1ca28d182e6d1" concept="clcid-pte:QiTaLiRunFenPeiDaoZhiQiTaQuanYiGongJuZhongDeQiTaBianDongJinE" label="其他利润分配导致其他权益工具中的其他变动金额" periodRef="上年同期数" mulRef="_GBC_57faea4e453e49ad93821b7dd6ce8bc4" unitRef="_GBC_cef77704267643d794145c73763360e5" addr="T1R21C4S1_1" formatStyle="Comma"/>
        <m:item xlName="_GBC_af2a7a1252ac41e9bef6babfd762e41c" concept="clcid-pte:QiTaLiRunFenPeiDaoZhiZiBenGongJiBianDongJinE" label="其他利润分配导致资本公积变动金额" periodRef="上年同期数" mulRef="_GBC_57faea4e453e49ad93821b7dd6ce8bc4" unitRef="_GBC_cef77704267643d794145c73763360e5" addr="T1R21C5S1_1" formatStyle="Comma"/>
        <m:item xlName="_GBC_65e632c5b00d4ef7a7620d9b8713f8e5" concept="clcid-pte:QiTaLiRunFenPeiDaoZhiKuCunGuBianDongJinE" label="其他利润分配导致库存股变动金额" periodRef="上年同期数" mulRef="_GBC_57faea4e453e49ad93821b7dd6ce8bc4" unitRef="_GBC_cef77704267643d794145c73763360e5" addr="T1R21C6S1_1" formatStyle="Comma"/>
        <m:item xlName="_GBC_61c3ee3a348a47b1ba6ac6c2b4d5cfc7" concept="clcid-pte:QiTaLiRunFenPeiDaoZhiQiTaZongHeShouYiBianDongJinE" label="其他利润分配导致其他综合收益变动金额" periodRef="上年同期数" mulRef="_GBC_57faea4e453e49ad93821b7dd6ce8bc4" unitRef="_GBC_cef77704267643d794145c73763360e5" addr="T1R21C7S1_1" formatStyle="Comma"/>
        <m:item xlName="_GBC_1f67bd299ed94d4194f6d1d362c6a615" concept="clcid-pte:QiTaLiRunFenPeiDaoZhiZhuanXiangChuBeiBianDongJinE" label="其他利润分配导致专项储备变动金额" periodRef="上年同期数" mulRef="_GBC_57faea4e453e49ad93821b7dd6ce8bc4" unitRef="_GBC_cef77704267643d794145c73763360e5" addr="T1R21C8S1_1" formatStyle="Comma"/>
        <m:item xlName="_GBC_afc9fb3d8ef14cf19d092708904ed019" concept="clcid-pte:QiTaLiRunFenPeiDaoZhiYingYuGongJiBianDongJinE" label="其他利润分配导致盈余公积变动金额" periodRef="上年同期数" mulRef="_GBC_57faea4e453e49ad93821b7dd6ce8bc4" unitRef="_GBC_cef77704267643d794145c73763360e5" addr="T1R21C9S1_1" formatStyle="Comma"/>
        <m:item xlName="_GBC_58fdd24d1dad47a9b6ad6db366e2c23d" concept="clcid-pte:QiTaLiRunFenPeiDaoZhiYiBanFengXianZhunBeiBianDongJinE" label="其他利润分配导致一般风险准备变动金额" periodRef="上年同期数" mulRef="_GBC_57faea4e453e49ad93821b7dd6ce8bc4" unitRef="_GBC_cef77704267643d794145c73763360e5" addr="T1R21C10S1_1" formatStyle="Comma"/>
        <m:item xlName="_GBC_26d360d5069c44458cc6f235b0624ee9" concept="clcid-pte:QiTaLiRunFenPeiDaoZhiWeiFenPeiLiRunBianDongJinE" label="其他利润分配导致未分配利润变动金额" periodRef="上年同期数" mulRef="_GBC_57faea4e453e49ad93821b7dd6ce8bc4" unitRef="_GBC_cef77704267643d794145c73763360e5" addr="T1R21C11S1_1" formatStyle="Comma"/>
        <m:item xlName="_GBC_8f4a1742dc334e05b5056ea80d66b9c8" concept="clcid-pte:QiTaLiRunFenPeiDaoZhiQiTaDeGuiShuYuMuGongSiSuoYouZheQuanYiBianDongJinE" label="其他利润分配导致其他的归属于母公司所有者权益变动金额" periodRef="上年同期数" mulRef="_GBC_57faea4e453e49ad93821b7dd6ce8bc4" unitRef="_GBC_cef77704267643d794145c73763360e5" addr="T1R21C12S1_1" formatStyle="Comma"/>
        <m:item xlName="_GBC_44c76e3b720b448e9594bb6d730138f7" concept="clcid-pte:QiTaLiRunFenPeiDaoZhiGuiShuYuMuGongSiSuoYouZheQuanYiBianDongJinE" label="其他利润分配导致归属于母公司所有者权益变动金额" periodRef="上年同期数" mulRef="_GBC_57faea4e453e49ad93821b7dd6ce8bc4" unitRef="_GBC_cef77704267643d794145c73763360e5" addr="T1R21C13S1_1" formatStyle="Comma"/>
        <m:item xlName="_GBC_6909b66769724588afd860e8e453b2ff" concept="clcid-pte:QiTaLiRunFenPeiDaoZhiShaoShuGuDongQuanYiBianDongJinE" label="其他利润分配导致少数股东权益变动金额" periodRef="上年同期数" mulRef="_GBC_57faea4e453e49ad93821b7dd6ce8bc4" unitRef="_GBC_cef77704267643d794145c73763360e5" addr="T1R21C14S1_1" formatStyle="Comma"/>
        <m:item xlName="_GBC_d58b6741cced4fe7806546c0229261d5" concept="clcid-pte:QiTaLiRunFenPeiDaoZhiGuDongQuanYiHeJiBianDongJinE" label="其他利润分配导致股东权益合计变动金额" periodRef="上年同期数" mulRef="_GBC_57faea4e453e49ad93821b7dd6ce8bc4" unitRef="_GBC_cef77704267643d794145c73763360e5" addr="T1R21C15S1_1" formatStyle="Comma"/>
        <m:placeholder xlName="_PLD_c0c9652bd3724ad8b729d3650a0840d4" addr="T1R22C0S1_1"/>
        <m:item xlName="_GBC_430d37ec6126471183ece184d3516982" concept="clcid-pte:SuoYouZheQuanYiNeiBuJieZhuanDaoZhiShiShouZiBenHuoGuBenJingEBianDongJinE" label="所有者权益内部结转导致实收资本（或股本）净额变动金额" periodRef="上年同期数" mulRef="_GBC_57faea4e453e49ad93821b7dd6ce8bc4" unitRef="_GBC_cef77704267643d794145c73763360e5" addr="T1R22C1S1_1" formatStyle="Comma">
          <m:complexRule comparator="Eq" title="所有者权益内部结转导致实收资本（或股本）净额变动金额@上年同期数" test="$_GBC_bf04be8498d547e59a1185e2d46aa05b+$_GBC_eb63993f80ff4579a864af9645d114a0+$_GBC_d26d092affbd43a0b1c90581e7769e6c+$_GBC_0f4b3618500946cc83ef37cd55d83d7e+$_GBC_937abba58d3541e995a07871c147d5e6+$_GBC_ae5842fb36d0410cb539392af747b07a" id="C12d66cf7151d40feb4d8413eda8d7ec7"/>
        </m:item>
        <m:item xlName="_GBC_94fe73400621450cac12f08a1054f7d9" concept="clcid-pte:SuoYouZheQuanYiNeiBuJieZhuanDaoZhiQiTaQuanYiGongJuZhongDeYouXianGuBianDongJinE" label="所有者权益内部结转导致其他权益工具中的优先股变动金额" periodRef="上年同期数" mulRef="_GBC_57faea4e453e49ad93821b7dd6ce8bc4" unitRef="_GBC_cef77704267643d794145c73763360e5" addr="T1R22C2S1_1" formatStyle="Comma">
          <m:complexRule comparator="Eq" title="所有者权益内部结转导致其他权益工具中的优先股变动金额@上年同期数" test="$_GBC_9199b321dc514bc28c56e9040e3defb1+$_GBC_4136aa32eb084f848c77279e3ede1c1b+$_GBC_90b3b1714451496ea7e7ee0d61b848ca+$_GBC_2bb3f22e821449d696dffc7e6dd24dd1+$_GBC_970b72db13644cb0be5d37d6fd96a027+$_GBC_6c0ad08e91f74fb0a199ce4ee0043c1a" id="Cd1b067a7c417432291b73f1f87632f23"/>
        </m:item>
        <m:item xlName="_GBC_936c172f6a2644e29eef9fe3059a2874" concept="clcid-pte:SuoYouZheQuanYiNeiBuJieZhuanDaoZhiQiTaQuanYiGongJuZhongDeYongXuZhaiBianDongJinE" label="所有者权益内部结转导致其他权益工具中的永续债变动金额" periodRef="上年同期数" mulRef="_GBC_57faea4e453e49ad93821b7dd6ce8bc4" unitRef="_GBC_cef77704267643d794145c73763360e5" addr="T1R22C3S1_1" formatStyle="Comma">
          <m:complexRule comparator="Eq" title="所有者权益内部结转导致其他权益工具中的永续债变动金额@上年同期数" test="$_GBC_d733da77ac52492db3fbc7946a7ee42b+$_GBC_1344334d12ae457e9728a551f139d9d1+$_GBC_87799245699145b8bafec2718280bb27+$_GBC_053126ae18604890ab9e3e5b96ffbbe4+$_GBC_fb6ee8ee92ae431eb9ef99ca2a40d6f7+$_GBC_b5d9c584c167498bab1b94c554b6a079" id="C162de281af614100908cdd8825938790"/>
        </m:item>
        <m:item xlName="_GBC_c8e67d47d3ec4963a1d3e7865b30560f" concept="clcid-pte:SuoYouZheQuanYiNeiBuJieZhuanDaoZhiQiTaQuanYiGongJuZhongDeQiTaBianDongJinE" label="所有者权益内部结转导致其他权益工具中的其他变动金额" periodRef="上年同期数" mulRef="_GBC_57faea4e453e49ad93821b7dd6ce8bc4" unitRef="_GBC_cef77704267643d794145c73763360e5" addr="T1R22C4S1_1" formatStyle="Comma">
          <m:complexRule comparator="Eq" title="所有者权益内部结转导致其他权益工具中的其他变动金额@上年同期数" test="$_GBC_acc561dd655c4989bbae811acd4952c0+$_GBC_91ba1fe97fa54df9848eb466833b14bd+$_GBC_eaa55c1173454b8cada43f367c0e0082+$_GBC_6d88dad9a78a4048a1ac19fe21e8bfe7+$_GBC_c3bbe967210a4717b41a0c6a96189ec6+$_GBC_12c4e5f3a0444383aaf493f4ffc7a5e6" id="C982f483a17f04a9c8f652af6d2e70fba"/>
        </m:item>
        <m:item xlName="_GBC_3ecde6efd34847ae98d6d9a11fcda816" concept="clcid-pte:SuoYouZheQuanYiNeiBuJieZhuanDaoZhiZiBenGongJiBianDongJinE" label="所有者权益内部结转导致资本公积变动金额" periodRef="上年同期数" mulRef="_GBC_57faea4e453e49ad93821b7dd6ce8bc4" unitRef="_GBC_cef77704267643d794145c73763360e5" addr="T1R22C5S1_1" formatStyle="Comma">
          <m:complexRule comparator="Eq" title="所有者权益内部结转导致资本公积变动金额@上年同期数" test="$_GBC_ccbb29ef9a2047999b720f1e0b4e1d0d+$_GBC_afc890304eca464f8689b95d06afcd77+$_GBC_225b260231434c3d87cbfbd727351fde+$_GBC_98ea0a4011be495492820c1cbcc97b9b+$_GBC_385640e82d0242b88a0272f9c7cb923e+$_GBC_29348654486c4f0ea15f0c6ed9ca0cd2" id="Cf4cdc83dc44748fb92dc6217780ea5a7"/>
        </m:item>
        <m:item xlName="_GBC_37d0d9ec3b4b4fa29f2ff16f15400d7e" concept="clcid-pte:SuoYouZheQuanYiNeiBuJieZhuanDaoZhiKuCunGuBianDongJinE" label="所有者权益内部结转导致库存股变动金额" periodRef="上年同期数" mulRef="_GBC_57faea4e453e49ad93821b7dd6ce8bc4" unitRef="_GBC_cef77704267643d794145c73763360e5" addr="T1R22C6S1_1" formatStyle="Comma">
          <m:complexRule comparator="Eq" title="所有者权益内部结转导致库存股变动金额@上年同期数" test="$_GBC_f93caa586f7d415cabd5832002827c52+$_GBC_9e3b43f0c0c743db847fb5e22e5b15fb+$_GBC_2e36b5bf4f79489b8fc8e7f59c68ffd1+$_GBC_3eaf854c7f474c3fa18ab8734b869f23+$_GBC_6f5a9223aa7d45b5bc013c777fde5e6e+$_GBC_6b2960393e724312b89aed57d0f67b59" id="C8e6e73e70c0144f7a07d6bc86fdcf05a"/>
        </m:item>
        <m:item xlName="_GBC_2e73d6ddb696406e96149c75c2c4fdda" concept="clcid-pte:SuoYouZheQuanYiNeiBuJieZhuanDaoZhiQiTaZongHeShouYiBianDongJinE" label="所有者权益内部结转导致其他综合收益变动金额" periodRef="上年同期数" mulRef="_GBC_57faea4e453e49ad93821b7dd6ce8bc4" unitRef="_GBC_cef77704267643d794145c73763360e5" addr="T1R22C7S1_1" formatStyle="Comma">
          <m:complexRule comparator="Eq" title="所有者权益内部结转导致其他综合收益变动金额@上年同期数" test="$_GBC_afb7341c1ff649e6a368bce327a2b4fd+$_GBC_5c5b36f278b94cdea9411aaf4e97ec32+$_GBC_85576da5466645b2bbb0ab07ee457c13+$_GBC_d9a1c5a86b2a491daf8174d342854d75+$_GBC_1961f8b0faa146889b2cb2774d5c8f6e+$_GBC_4fa8fe1b687846b9a7a436d93bfc67e8" id="C44c14f33b389479ba3e45f44914fc5c4"/>
        </m:item>
        <m:item xlName="_GBC_4ce5335277bd4d48a9d69ac5be9eebb0" concept="clcid-pte:SuoYouZheQuanYiNeiBuJieZhuanDaoZhiZhuanXiangChuBeiBianDongJinE" label="所有者权益内部结转导致专项储备变动金额" periodRef="上年同期数" mulRef="_GBC_57faea4e453e49ad93821b7dd6ce8bc4" unitRef="_GBC_cef77704267643d794145c73763360e5" addr="T1R22C8S1_1" formatStyle="Comma">
          <m:complexRule comparator="Eq" title="所有者权益内部结转导致专项储备变动金额@上年同期数" test="$_GBC_accaf0d24bb64e8a9bd8c02e0dac0fb0+$_GBC_93b68f30dad94f13b973ef2ce2786f5f+$_GBC_4ab7b429222d4c1d8954867ab8bb7e0a+$_GBC_7590db42daeb416eb5d0cd0b63bb38bc+$_GBC_2c9e084b964342a08f0b6cb3805482bb+$_GBC_363d14d6cb7843be9501729881436ac6" id="C33242f8eb60649a290c100a42fd1491d"/>
        </m:item>
        <m:item xlName="_GBC_c2fec544370340428694cbc22c7cee29" concept="clcid-pte:SuoYouZheQuanYiNeiBuJieZhuanDaoZhiYingYuGongJiBianDongJinE" label="所有者权益内部结转导致盈余公积变动金额" periodRef="上年同期数" mulRef="_GBC_57faea4e453e49ad93821b7dd6ce8bc4" unitRef="_GBC_cef77704267643d794145c73763360e5" addr="T1R22C9S1_1" formatStyle="Comma">
          <m:complexRule comparator="Eq" title="所有者权益内部结转导致盈余公积变动金额@上年同期数" test="$_GBC_ebef1b6d3bcd4ebc8ccafb6a90c8f3ed+$_GBC_4fd253aa392843bebc34fc4e1d2db0a7+$_GBC_dc67aa2fc0934ef2815745af61082151+$_GBC_8aed8e1c89094099b5799a9187acd918+$_GBC_2e5e1fa5d5154e2bb58a71a13e2d924a+$_GBC_b36f662d63064d78a6a7204abf4ddbef" id="C54f018306e9e401f96ceaaaef4347046"/>
        </m:item>
        <m:item xlName="_GBC_dfb42f2cfbb24873a0bfcf16281ed0db" concept="clcid-pte:SuoYouZheQuanYiNeiBuJieZhuanDaoZhiYiBanFengXianZhunBeiBianDongJinE" label="所有者权益内部结转导致一般风险准备变动金额" periodRef="上年同期数" mulRef="_GBC_57faea4e453e49ad93821b7dd6ce8bc4" unitRef="_GBC_cef77704267643d794145c73763360e5" addr="T1R22C10S1_1" formatStyle="Comma">
          <m:complexRule comparator="Eq" title="所有者权益内部结转导致一般风险准备变动金额@上年同期数" test="$_GBC_d472b085a9784616ab6db2c2a8c88d9e+$_GBC_1af28c6b5a8e4a0cb0185bf95c848354+$_GBC_c702307c02bc4959bc84c6c6a7be22fc+$_GBC_816547e82f2e49a18d5031af465b73e9+$_GBC_1d239374c1cb4eaea35c50211a138ef3+$_GBC_208b6540442340de9e598ea7c0db0cee" id="Cb4c2770528f844808b3c97e9535d6458"/>
        </m:item>
        <m:item xlName="_GBC_ff8d4bcf07cf45b39cc669b82cad2f0d" concept="clcid-pte:SuoYouZheQuanYiNeiBuJieZhuanDaoZhiWeiFenPeiLiRunBianDongJinE" label="所有者权益内部结转导致未分配利润变动金额" periodRef="上年同期数" mulRef="_GBC_57faea4e453e49ad93821b7dd6ce8bc4" unitRef="_GBC_cef77704267643d794145c73763360e5" addr="T1R22C11S1_1" formatStyle="Comma">
          <m:complexRule comparator="Eq" title="所有者权益内部结转导致未分配利润变动金额@上年同期数" test="$_GBC_8e59015789774dd8a0d2b1ac6d65626e+$_GBC_ff2a5de4adba48a3bccffedeae19ab3f+$_GBC_32d95abc6f08486e9e0bb456d0f8556d+$_GBC_c816a46c7dc644ca98e040983fd16b9f+$_GBC_3e16df2a75614cf986f2bce2df5d9c14+$_GBC_fdf5dd7181d94849a5c3dbc073fe8696" id="C2972d4a91d5743ed851885e03bb78cb4"/>
        </m:item>
        <m:item xlName="_GBC_0d008b73933a467cbd8659c4f5bd8043" concept="clcid-pte:SuoYouZheQuanYiNeiBuJieZhuanDaoZhiQiTaDeGuiShuYuMuGongSiSuoYouZheQuanYiBianDongJinE" label="所有者权益内部结转导致其他的归属于母公司所有者权益变动金额" periodRef="上年同期数" mulRef="_GBC_57faea4e453e49ad93821b7dd6ce8bc4" unitRef="_GBC_cef77704267643d794145c73763360e5" addr="T1R22C12S1_1" formatStyle="Comma">
          <m:complexRule comparator="Eq" title="所有者权益内部结转导致其他的归属于母公司所有者权益变动金额@上年同期数" test="$_GBC_5e7b85fb01a8406b86df38a4233c8bf2+$_GBC_a29704f05df34e399f22f02305a3faff+$_GBC_794fd6cb546147c29222352e60f6a203+$_GBC_d0ba753231234813afb70cb8bbd7b7aa+$_GBC_29833085531b48f6a8771c35248c4faa+$_GBC_22c14178dbee40739a16b3406551c24b" id="Cb2b24c6f5d0b452f82cb711f6a28dc27"/>
        </m:item>
        <m:item xlName="_GBC_e71b72f9ef7d428a8dea9bcc77266085" concept="clcid-pte:SuoYouZheQuanYiNeiBuJieZhuanDaoZhiGuiShuYuMuGongSiSuoYouZheQuanYiBianDongJinE" label="所有者权益内部结转导致归属于母公司所有者权益变动金额" periodRef="上年同期数" mulRef="_GBC_57faea4e453e49ad93821b7dd6ce8bc4" unitRef="_GBC_cef77704267643d794145c73763360e5" addr="T1R22C13S1_1" formatStyle="Comma">
          <m:complexRule comparator="Eq" title="所有者权益内部结转导致归属于母公司所有者权益变动金额@上年同期数" test="$_GBC_a85b8ca137c546fe83d2702829a4a7dd+$_GBC_8d297b1c99a1477783760352c6e3262a+$_GBC_4d36b52c9826459dbfb2625d5d5f2102+$_GBC_ece7cc83c32f4aedbfbe05f68d9f8d33+$_GBC_942ac6651806465a852248c40fcc1d8b+$_GBC_458ba861a17b43ae939896906d5cce46" id="C6763e1279ffd474d9f01ce5ff9da00e5"/>
        </m:item>
        <m:item xlName="_GBC_ef98f3a8249e4a3897bb7f985d3f116f" concept="clcid-pte:SuoYouZheQuanYiNeiBuJieZhuanDaoZhiShaoShuGuDongQuanYiBianDongJinE" label="所有者权益内部结转导致少数股东权益变动金额" periodRef="上年同期数" mulRef="_GBC_57faea4e453e49ad93821b7dd6ce8bc4" unitRef="_GBC_cef77704267643d794145c73763360e5" addr="T1R22C14S1_1" formatStyle="Comma">
          <m:complexRule comparator="Eq" title="所有者权益内部结转导致少数股东权益变动金额@上年同期数" test="$_GBC_2c9ca9a6ea5744e8ba1a450fd22ce3e5+$_GBC_77b7c8d5762f43d7938ad4955d9ddc10+$_GBC_dd0e8b9a001e4f34a3e379c5614f782d+$_GBC_5e1a1dee8dc244008ae9bee11f27f7f1+$_GBC_0f6ffeb5377846099c76150ac426c2d6+$_GBC_309577731f3d400aa2a509e0fc061450" id="C090b974de3ec4f29989b55777c417a81"/>
        </m:item>
        <m:item xlName="_GBC_947043cecdef4ed68860f917d334d9da" concept="clcid-pte:SuoYouZheQuanYiNeiBuJieZhuanDaoZhiGuDongQuanYiHeJiBianDongJinE" label="所有者权益内部结转导致股东权益合计变动金额" periodRef="上年同期数" mulRef="_GBC_57faea4e453e49ad93821b7dd6ce8bc4" unitRef="_GBC_cef77704267643d794145c73763360e5" addr="T1R22C15S1_1" formatStyle="Comma">
          <m:complexRule comparator="Eq" title="所有者权益内部结转导致股东权益合计变动金额@上年同期数" test="$_GBC_e1d655f11a904ba186d3514897b4d61e+$_GBC_7f576144fca7409795c4b5e197352233+$_GBC_a505feb07267402fae4a5ff9725e32df+$_GBC_8caecef7cd2542e983587ff2e36acb73+$_GBC_3c77ebf54d7748cbbe3f15c96f110b0d+$_GBC_42b76103de594df2b912400e6d7b145d" id="C2bdf0e2885034c73b147453dd4514a19"/>
        </m:item>
        <m:placeholder xlName="_PLD_469a000ac571436189f1cb682bbe4ce7" addr="T1R23C0S1_1"/>
        <m:item xlName="_GBC_bf04be8498d547e59a1185e2d46aa05b" concept="clcid-pte:ZiBenGongJiZhuanZengZiBenHuoGuBenDaoZhiShiShouZiBenHuoGuBenJingEBianDongJinE" label="资本公积转增资本（或股本）导致实收资本（或股本）净额变动金额" periodRef="上年同期数" mulRef="_GBC_57faea4e453e49ad93821b7dd6ce8bc4" unitRef="_GBC_cef77704267643d794145c73763360e5" addr="T1R23C1S1_1" formatStyle="Comma"/>
        <m:item xlName="_GBC_9199b321dc514bc28c56e9040e3defb1" concept="clcid-pte:ZiBenGongJiZhuanZengZiBenHuoGuBenDaoZhiQiTaQuanYiGongJuZhongDeYouXianGuBianDongJinE" label="资本公积转增资本（或股本）导致其他权益工具中的优先股变动金额" periodRef="上年同期数" mulRef="_GBC_57faea4e453e49ad93821b7dd6ce8bc4" unitRef="_GBC_cef77704267643d794145c73763360e5" addr="T1R23C2S1_1" formatStyle="Comma"/>
        <m:item xlName="_GBC_d733da77ac52492db3fbc7946a7ee42b" concept="clcid-pte:ZiBenGongJiZhuanZengZiBenHuoGuBenDaoZhiQiTaQuanYiGongJuZhongDeYongXuZhaiBianDongJinE" label="资本公积转增资本（或股本）导致其他权益工具中的永续债变动金额" periodRef="上年同期数" mulRef="_GBC_57faea4e453e49ad93821b7dd6ce8bc4" unitRef="_GBC_cef77704267643d794145c73763360e5" addr="T1R23C3S1_1" formatStyle="Comma"/>
        <m:item xlName="_GBC_acc561dd655c4989bbae811acd4952c0" concept="clcid-pte:ZiBenGongJiZhuanZengZiBenHuoGuBenDaoZhiQiTaQuanYiGongJuZhongDeQiTaBianDongJinE" label="资本公积转增资本（或股本）导致其他权益工具中的其他变动金额" periodRef="上年同期数" mulRef="_GBC_57faea4e453e49ad93821b7dd6ce8bc4" unitRef="_GBC_cef77704267643d794145c73763360e5" addr="T1R23C4S1_1" formatStyle="Comma"/>
        <m:item xlName="_GBC_ccbb29ef9a2047999b720f1e0b4e1d0d" concept="clcid-pte:ZiBenGongJiZhuanZengZiBenHuoGuBenDaoZhiZiBenGongJiBianDongJinE" label="资本公积转增资本（或股本）导致资本公积变动金额" periodRef="上年同期数" mulRef="_GBC_57faea4e453e49ad93821b7dd6ce8bc4" unitRef="_GBC_cef77704267643d794145c73763360e5" addr="T1R23C5S1_1" formatStyle="Comma"/>
        <m:item xlName="_GBC_f93caa586f7d415cabd5832002827c52" concept="clcid-pte:ZiBenGongJiZhuanZengZiBenHuoGuBenDaoZhiKuCunGuBianDongJinE" label="资本公积转增资本（或股本）导致库存股变动金额" periodRef="上年同期数" mulRef="_GBC_57faea4e453e49ad93821b7dd6ce8bc4" unitRef="_GBC_cef77704267643d794145c73763360e5" addr="T1R23C6S1_1" formatStyle="Comma"/>
        <m:item xlName="_GBC_afb7341c1ff649e6a368bce327a2b4fd" concept="clcid-pte:ZiBenGongJiZhuanZengZiBenHuoGuBenDaoZhiQiTaZongHeShouYiBianDongJinE" label="资本公积转增资本（或股本）导致其他综合收益变动金额" periodRef="上年同期数" mulRef="_GBC_57faea4e453e49ad93821b7dd6ce8bc4" unitRef="_GBC_cef77704267643d794145c73763360e5" addr="T1R23C7S1_1" formatStyle="Comma"/>
        <m:item xlName="_GBC_accaf0d24bb64e8a9bd8c02e0dac0fb0" concept="clcid-pte:ZiBenGongJiZhuanZengZiBenHuoGuBenDaoZhiZhuanXiangChuBeiBianDongJinE" label="资本公积转增资本（或股本）导致专项储备变动金额" periodRef="上年同期数" mulRef="_GBC_57faea4e453e49ad93821b7dd6ce8bc4" unitRef="_GBC_cef77704267643d794145c73763360e5" addr="T1R23C8S1_1" formatStyle="Comma"/>
        <m:item xlName="_GBC_ebef1b6d3bcd4ebc8ccafb6a90c8f3ed" concept="clcid-pte:ZiBenGongJiZhuanZengZiBenHuoGuBenDaoZhiYingYuGongJiBianDongJinE" label="资本公积转增资本（或股本）导致盈余公积变动金额" periodRef="上年同期数" mulRef="_GBC_57faea4e453e49ad93821b7dd6ce8bc4" unitRef="_GBC_cef77704267643d794145c73763360e5" addr="T1R23C9S1_1" formatStyle="Comma"/>
        <m:item xlName="_GBC_d472b085a9784616ab6db2c2a8c88d9e" concept="clcid-pte:ZiBenGongJiZhuanZengZiBenHuoGuBenDaoZhiYiBanFengXianZhunBeiBianDongJinE" label="资本公积转增资本（或股本）导致一般风险准备变动金额" periodRef="上年同期数" mulRef="_GBC_57faea4e453e49ad93821b7dd6ce8bc4" unitRef="_GBC_cef77704267643d794145c73763360e5" addr="T1R23C10S1_1" formatStyle="Comma"/>
        <m:item xlName="_GBC_8e59015789774dd8a0d2b1ac6d65626e" concept="clcid-pte:ZiBenGongJiZhuanZengZiBenHuoGuBenDaoZhiWeiFenPeiLiRunBianDongJinE" label="资本公积转增资本（或股本）导致未分配利润变动金额" periodRef="上年同期数" mulRef="_GBC_57faea4e453e49ad93821b7dd6ce8bc4" unitRef="_GBC_cef77704267643d794145c73763360e5" addr="T1R23C11S1_1" formatStyle="Comma"/>
        <m:item xlName="_GBC_5e7b85fb01a8406b86df38a4233c8bf2" concept="clcid-pte:ZiBenGongJiZhuanZengZiBenHuoGuBenDaoZhiQiTaDeGuiShuYuMuGongSiSuoYouZheQuanYiBianDongJinE" label="资本公积转增资本（或股本）导致其他的归属于母公司所有者权益变动金额" periodRef="上年同期数" mulRef="_GBC_57faea4e453e49ad93821b7dd6ce8bc4" unitRef="_GBC_cef77704267643d794145c73763360e5" addr="T1R23C12S1_1" formatStyle="Comma"/>
        <m:item xlName="_GBC_a85b8ca137c546fe83d2702829a4a7dd" concept="clcid-pte:ZiBenGongJiZhuanZengZiBenHuoGuBenDaoZhiGuiShuYuMuGongSiSuoYouZheQuanYiBianDongJinE" label="资本公积转增资本（或股本）导致归属于母公司所有者权益变动金额" periodRef="上年同期数" mulRef="_GBC_57faea4e453e49ad93821b7dd6ce8bc4" unitRef="_GBC_cef77704267643d794145c73763360e5" addr="T1R23C13S1_1" formatStyle="Comma"/>
        <m:item xlName="_GBC_2c9ca9a6ea5744e8ba1a450fd22ce3e5" concept="clcid-pte:ZiBenGongJiZhuanZengZiBenHuoGuBenDaoZhiShaoShuGuDongQuanYiBianDongJinE" label="资本公积转增资本（或股本）导致少数股东权益变动金额" periodRef="上年同期数" mulRef="_GBC_57faea4e453e49ad93821b7dd6ce8bc4" unitRef="_GBC_cef77704267643d794145c73763360e5" addr="T1R23C14S1_1" formatStyle="Comma"/>
        <m:item xlName="_GBC_e1d655f11a904ba186d3514897b4d61e" concept="clcid-pte:ZiBenGongJiZhuanZengZiBenHuoGuBenDaoZhiGuDongQuanYiHeJiBianDongJinE" label="资本公积转增资本（或股本）导致股东权益合计变动金额" periodRef="上年同期数" mulRef="_GBC_57faea4e453e49ad93821b7dd6ce8bc4" unitRef="_GBC_cef77704267643d794145c73763360e5" addr="T1R23C15S1_1" formatStyle="Comma"/>
        <m:placeholder xlName="_PLD_8874e17dc09c419baab53299f7967f44" addr="T1R24C0S1_1"/>
        <m:item xlName="_GBC_eb63993f80ff4579a864af9645d114a0" concept="clcid-pte:YingYuGongJiZhuanZengZiBenHuoGuBenDaoZhiShiShouZiBenHuoGuBenJingEBianDongJinE" label="盈余公积转增资本（或股本）导致实收资本（或股本）净额变动金额" periodRef="上年同期数" mulRef="_GBC_57faea4e453e49ad93821b7dd6ce8bc4" unitRef="_GBC_cef77704267643d794145c73763360e5" addr="T1R24C1S1_1" formatStyle="Comma"/>
        <m:item xlName="_GBC_4136aa32eb084f848c77279e3ede1c1b" concept="clcid-pte:YingYuGongJiZhuanZengZiBenHuoGuBenDaoZhiQiTaQuanYiGongJuZhongDeYouXianGuBianDongJinE" label="盈余公积转增资本（或股本）导致其他权益工具中的优先股变动金额" periodRef="上年同期数" mulRef="_GBC_57faea4e453e49ad93821b7dd6ce8bc4" unitRef="_GBC_cef77704267643d794145c73763360e5" addr="T1R24C2S1_1" formatStyle="Comma"/>
        <m:item xlName="_GBC_1344334d12ae457e9728a551f139d9d1" concept="clcid-pte:YingYuGongJiZhuanZengZiBenHuoGuBenDaoZhiQiTaQuanYiGongJuZhongDeYongXuZhaiBianDongJinE" label="盈余公积转增资本（或股本）导致其他权益工具中的永续债变动金额" periodRef="上年同期数" mulRef="_GBC_57faea4e453e49ad93821b7dd6ce8bc4" unitRef="_GBC_cef77704267643d794145c73763360e5" addr="T1R24C3S1_1" formatStyle="Comma"/>
        <m:item xlName="_GBC_91ba1fe97fa54df9848eb466833b14bd" concept="clcid-pte:YingYuGongJiZhuanZengZiBenHuoGuBenDaoZhiQiTaQuanYiGongJuZhongDeQiTaBianDongJinE" label="盈余公积转增资本（或股本）导致其他权益工具中的其他变动金额" periodRef="上年同期数" mulRef="_GBC_57faea4e453e49ad93821b7dd6ce8bc4" unitRef="_GBC_cef77704267643d794145c73763360e5" addr="T1R24C4S1_1" formatStyle="Comma"/>
        <m:item xlName="_GBC_afc890304eca464f8689b95d06afcd77" concept="clcid-pte:YingYuGongJiZhuanZengZiBenHuoGuBenDaoZhiZiBenGongJiBianDongJinE" label="盈余公积转增资本（或股本）导致资本公积变动金额" periodRef="上年同期数" mulRef="_GBC_57faea4e453e49ad93821b7dd6ce8bc4" unitRef="_GBC_cef77704267643d794145c73763360e5" addr="T1R24C5S1_1" formatStyle="Comma"/>
        <m:item xlName="_GBC_9e3b43f0c0c743db847fb5e22e5b15fb" concept="clcid-pte:YingYuGongJiZhuanZengZiBenHuoGuBenDaoZhiKuCunGuBianDongJinE" label="盈余公积转增资本（或股本）导致库存股变动金额" periodRef="上年同期数" mulRef="_GBC_57faea4e453e49ad93821b7dd6ce8bc4" unitRef="_GBC_cef77704267643d794145c73763360e5" addr="T1R24C6S1_1" formatStyle="Comma"/>
        <m:item xlName="_GBC_5c5b36f278b94cdea9411aaf4e97ec32" concept="clcid-pte:YingYuGongJiZhuanZengZiBenHuoGuBenDaoZhiQiTaZongHeShouYiBianDongJinE" label="盈余公积转增资本（或股本）导致其他综合收益变动金额" periodRef="上年同期数" mulRef="_GBC_57faea4e453e49ad93821b7dd6ce8bc4" unitRef="_GBC_cef77704267643d794145c73763360e5" addr="T1R24C7S1_1" formatStyle="Comma"/>
        <m:item xlName="_GBC_93b68f30dad94f13b973ef2ce2786f5f" concept="clcid-pte:YingYuGongJiZhuanZengZiBenHuoGuBenDaoZhiZhuanXiangChuBeiBianDongJinE" label="盈余公积转增资本（或股本）导致专项储备变动金额" periodRef="上年同期数" mulRef="_GBC_57faea4e453e49ad93821b7dd6ce8bc4" unitRef="_GBC_cef77704267643d794145c73763360e5" addr="T1R24C8S1_1" formatStyle="Comma"/>
        <m:item xlName="_GBC_4fd253aa392843bebc34fc4e1d2db0a7" concept="clcid-pte:YingYuGongJiZhuanZengZiBenHuoGuBenDaoZhiYingYuGongJiBianDongJinE" label="盈余公积转增资本（或股本）导致盈余公积变动金额" periodRef="上年同期数" mulRef="_GBC_57faea4e453e49ad93821b7dd6ce8bc4" unitRef="_GBC_cef77704267643d794145c73763360e5" addr="T1R24C9S1_1" formatStyle="Comma"/>
        <m:item xlName="_GBC_1af28c6b5a8e4a0cb0185bf95c848354" concept="clcid-pte:YingYuGongJiZhuanZengZiBenHuoGuBenDaoZhiYiBanFengXianZhunBeiBianDongJinE" label="盈余公积转增资本（或股本）导致一般风险准备变动金额" periodRef="上年同期数" mulRef="_GBC_57faea4e453e49ad93821b7dd6ce8bc4" unitRef="_GBC_cef77704267643d794145c73763360e5" addr="T1R24C10S1_1" formatStyle="Comma"/>
        <m:item xlName="_GBC_ff2a5de4adba48a3bccffedeae19ab3f" concept="clcid-pte:YingYuGongJiZhuanZengZiBenHuoGuBenDaoZhiWeiFenPeiLiRunBianDongJinE" label="盈余公积转增资本（或股本）导致未分配利润变动金额" periodRef="上年同期数" mulRef="_GBC_57faea4e453e49ad93821b7dd6ce8bc4" unitRef="_GBC_cef77704267643d794145c73763360e5" addr="T1R24C11S1_1" formatStyle="Comma"/>
        <m:item xlName="_GBC_a29704f05df34e399f22f02305a3faff" concept="clcid-pte:YingYuGongJiZhuanZengZiBenHuoGuBenDaoZhiQiTaDeGuiShuYuMuGongSiSuoYouZheQuanYiBianDongJinE" label="盈余公积转增资本（或股本）导致其他的归属于母公司所有者权益变动金额" periodRef="上年同期数" mulRef="_GBC_57faea4e453e49ad93821b7dd6ce8bc4" unitRef="_GBC_cef77704267643d794145c73763360e5" addr="T1R24C12S1_1" formatStyle="Comma"/>
        <m:item xlName="_GBC_8d297b1c99a1477783760352c6e3262a" concept="clcid-pte:YingYuGongJiZhuanZengZiBenHuoGuBenDaoZhiGuiShuYuMuGongSiSuoYouZheQuanYiBianDongJinE" label="盈余公积转增资本（或股本）导致归属于母公司所有者权益变动金额" periodRef="上年同期数" mulRef="_GBC_57faea4e453e49ad93821b7dd6ce8bc4" unitRef="_GBC_cef77704267643d794145c73763360e5" addr="T1R24C13S1_1" formatStyle="Comma"/>
        <m:item xlName="_GBC_77b7c8d5762f43d7938ad4955d9ddc10" concept="clcid-pte:YingYuGongJiZhuanZengZiBenHuoGuBenDaoZhiShaoShuGuDongQuanYiBianDongJinE" label="盈余公积转增资本（或股本）导致少数股东权益变动金额" periodRef="上年同期数" mulRef="_GBC_57faea4e453e49ad93821b7dd6ce8bc4" unitRef="_GBC_cef77704267643d794145c73763360e5" addr="T1R24C14S1_1" formatStyle="Comma"/>
        <m:item xlName="_GBC_7f576144fca7409795c4b5e197352233" concept="clcid-pte:YingYuGongJiZhuanZengZiBenHuoGuBenDaoZhiGuDongQuanYiHeJiBianDongJinE" label="盈余公积转增资本（或股本）导致股东权益合计变动金额" periodRef="上年同期数" mulRef="_GBC_57faea4e453e49ad93821b7dd6ce8bc4" unitRef="_GBC_cef77704267643d794145c73763360e5" addr="T1R24C15S1_1" formatStyle="Comma"/>
        <m:placeholder xlName="_PLD_e3c6e2e078f649258bfa4dadb9266249" addr="T1R25C0S1_1"/>
        <m:item xlName="_GBC_d26d092affbd43a0b1c90581e7769e6c" concept="clcid-pte:YingYuGongJiMiBuKuiSunDaoZhiShiShouZiBenHuoGuBenJingEBianDongJinE" label="盈余公积弥补亏损导致实收资本（或股本）净额变动金额" periodRef="上年同期数" mulRef="_GBC_57faea4e453e49ad93821b7dd6ce8bc4" unitRef="_GBC_cef77704267643d794145c73763360e5" addr="T1R25C1S1_1" formatStyle="Comma"/>
        <m:item xlName="_GBC_90b3b1714451496ea7e7ee0d61b848ca" concept="clcid-pte:YingYuGongJiMiBuKuiSunDaoZhiQiTaQuanYiGongJuZhongDeYouXianGuBianDongJinE" label="盈余公积弥补亏损导致其他权益工具中的优先股变动金额" periodRef="上年同期数" mulRef="_GBC_57faea4e453e49ad93821b7dd6ce8bc4" unitRef="_GBC_cef77704267643d794145c73763360e5" addr="T1R25C2S1_1" formatStyle="Comma"/>
        <m:item xlName="_GBC_87799245699145b8bafec2718280bb27" concept="clcid-pte:YingYuGongJiMiBuKuiSunDaoZhiQiTaQuanYiGongJuZhongDeYongXuZhaiBianDongJinE" label="盈余公积弥补亏损导致其他权益工具中的永续债变动金额" periodRef="上年同期数" mulRef="_GBC_57faea4e453e49ad93821b7dd6ce8bc4" unitRef="_GBC_cef77704267643d794145c73763360e5" addr="T1R25C3S1_1" formatStyle="Comma"/>
        <m:item xlName="_GBC_eaa55c1173454b8cada43f367c0e0082" concept="clcid-pte:YingYuGongJiMiBuKuiSunDaoZhiQiTaQuanYiGongJuZhongDeQiTaBianDongJinE" label="盈余公积弥补亏损导致其他权益工具中的其他变动金额" periodRef="上年同期数" mulRef="_GBC_57faea4e453e49ad93821b7dd6ce8bc4" unitRef="_GBC_cef77704267643d794145c73763360e5" addr="T1R25C4S1_1" formatStyle="Comma"/>
        <m:item xlName="_GBC_225b260231434c3d87cbfbd727351fde" concept="clcid-pte:YingYuGongJiMiBuKuiSunDaoZhiZiBenGongJiBianDongJinE" label="盈余公积弥补亏损导致资本公积变动金额" periodRef="上年同期数" mulRef="_GBC_57faea4e453e49ad93821b7dd6ce8bc4" unitRef="_GBC_cef77704267643d794145c73763360e5" addr="T1R25C5S1_1" formatStyle="Comma"/>
        <m:item xlName="_GBC_2e36b5bf4f79489b8fc8e7f59c68ffd1" concept="clcid-pte:YingYuGongJiMiBuKuiSunDaoZhiKuCunGuBianDongJinE" label="盈余公积弥补亏损导致库存股变动金额" periodRef="上年同期数" mulRef="_GBC_57faea4e453e49ad93821b7dd6ce8bc4" unitRef="_GBC_cef77704267643d794145c73763360e5" addr="T1R25C6S1_1" formatStyle="Comma"/>
        <m:item xlName="_GBC_85576da5466645b2bbb0ab07ee457c13" concept="clcid-pte:YingYuGongJiMiBuKuiSunDaoZhiQiTaZongHeShouYiBianDongJinE" label="盈余公积弥补亏损导致其他综合收益变动金额" periodRef="上年同期数" mulRef="_GBC_57faea4e453e49ad93821b7dd6ce8bc4" unitRef="_GBC_cef77704267643d794145c73763360e5" addr="T1R25C7S1_1" formatStyle="Comma"/>
        <m:item xlName="_GBC_4ab7b429222d4c1d8954867ab8bb7e0a" concept="clcid-pte:YingYuGongJiMiBuKuiSunDaoZhiZhuanXiangChuBeiBianDongJinE" label="盈余公积弥补亏损导致专项储备变动金额" periodRef="上年同期数" mulRef="_GBC_57faea4e453e49ad93821b7dd6ce8bc4" unitRef="_GBC_cef77704267643d794145c73763360e5" addr="T1R25C8S1_1" formatStyle="Comma"/>
        <m:item xlName="_GBC_dc67aa2fc0934ef2815745af61082151" concept="clcid-pte:YingYuGongJiMiBuKuiSunDaoZhiYingYuGongJiBianDongJinE" label="盈余公积弥补亏损导致盈余公积变动金额" periodRef="上年同期数" mulRef="_GBC_57faea4e453e49ad93821b7dd6ce8bc4" unitRef="_GBC_cef77704267643d794145c73763360e5" addr="T1R25C9S1_1" formatStyle="Comma"/>
        <m:item xlName="_GBC_c702307c02bc4959bc84c6c6a7be22fc" concept="clcid-pte:YingYuGongJiMiBuKuiSunDaoZhiYiBanFengXianZhunBeiBianDongJinE" label="盈余公积弥补亏损导致一般风险准备变动金额" periodRef="上年同期数" mulRef="_GBC_57faea4e453e49ad93821b7dd6ce8bc4" unitRef="_GBC_cef77704267643d794145c73763360e5" addr="T1R25C10S1_1" formatStyle="Comma"/>
        <m:item xlName="_GBC_32d95abc6f08486e9e0bb456d0f8556d" concept="clcid-pte:YingYuGongJiMiBuKuiSunDaoZhiWeiFenPeiLiRunBianDongJinE" label="盈余公积弥补亏损导致未分配利润变动金额" periodRef="上年同期数" mulRef="_GBC_57faea4e453e49ad93821b7dd6ce8bc4" unitRef="_GBC_cef77704267643d794145c73763360e5" addr="T1R25C11S1_1" formatStyle="Comma"/>
        <m:item xlName="_GBC_794fd6cb546147c29222352e60f6a203" concept="clcid-pte:YingYuGongJiMiBuKuiSunDaoZhiQiTaDeGuiShuYuMuGongSiSuoYouZheQuanYiBianDongJinE" label="盈余公积弥补亏损导致其他的归属于母公司所有者权益变动金额" periodRef="上年同期数" mulRef="_GBC_57faea4e453e49ad93821b7dd6ce8bc4" unitRef="_GBC_cef77704267643d794145c73763360e5" addr="T1R25C12S1_1" formatStyle="Comma"/>
        <m:item xlName="_GBC_4d36b52c9826459dbfb2625d5d5f2102" concept="clcid-pte:YingYuGongJiMiBuKuiSunDaoZhiGuiShuYuMuGongSiSuoYouZheQuanYiBianDongJinE" label="盈余公积弥补亏损导致归属于母公司所有者权益变动金额" periodRef="上年同期数" mulRef="_GBC_57faea4e453e49ad93821b7dd6ce8bc4" unitRef="_GBC_cef77704267643d794145c73763360e5" addr="T1R25C13S1_1" formatStyle="Comma"/>
        <m:item xlName="_GBC_dd0e8b9a001e4f34a3e379c5614f782d" concept="clcid-pte:YingYuGongJiMiBuKuiSunDaoZhiShaoShuGuDongQuanYiBianDongJinE" label="盈余公积弥补亏损导致少数股东权益变动金额" periodRef="上年同期数" mulRef="_GBC_57faea4e453e49ad93821b7dd6ce8bc4" unitRef="_GBC_cef77704267643d794145c73763360e5" addr="T1R25C14S1_1" formatStyle="Comma"/>
        <m:item xlName="_GBC_a505feb07267402fae4a5ff9725e32df" concept="clcid-pte:YingYuGongJiMiBuKuiSunDaoZhiGuDongQuanYiHeJiBianDongJinE" label="盈余公积弥补亏损导致股东权益合计变动金额" periodRef="上年同期数" mulRef="_GBC_57faea4e453e49ad93821b7dd6ce8bc4" unitRef="_GBC_cef77704267643d794145c73763360e5" addr="T1R25C15S1_1" formatStyle="Comma"/>
        <m:placeholder xlName="_PLD_7a03b853b8c74c2fb2e89f59e327b578" addr="T1R26C0S1_1"/>
        <m:item xlName="_GBC_0f4b3618500946cc83ef37cd55d83d7e" concept="clcid-pte:SheDingShouYiJiHuaBianDongEJieZhuanLiuCunShouYiDaoZhiShiShouZiBenHuoGuBenJingEBianDongJinE" label="设定受益计划变动额结转留存收益导致实收资本（或股本）净额变动金额" periodRef="上年同期数" mulRef="_GBC_57faea4e453e49ad93821b7dd6ce8bc4" unitRef="_GBC_cef77704267643d794145c73763360e5" addr="T1R26C1S1_1" formatStyle="Comma"/>
        <m:item xlName="_GBC_2bb3f22e821449d696dffc7e6dd24dd1" concept="clcid-pte:SheDingShouYiJiHuaBianDongEJieZhuanLiuCunShouYiDaoZhiQiTaQuanYiGongJuZhongDeYouXianGuBianDongJinE" label="设定受益计划变动额结转留存收益导致其他权益工具中的优先股变动金额" periodRef="上年同期数" mulRef="_GBC_57faea4e453e49ad93821b7dd6ce8bc4" unitRef="_GBC_cef77704267643d794145c73763360e5" addr="T1R26C2S1_1" formatStyle="Comma"/>
        <m:item xlName="_GBC_053126ae18604890ab9e3e5b96ffbbe4" concept="clcid-pte:SheDingShouYiJiHuaBianDongEJieZhuanLiuCunShouYiDaoZhiQiTaQuanYiGongJuZhongDeYongXuZhaiBianDongJinE" label="设定受益计划变动额结转留存收益导致其他权益工具中的永续债变动金额" periodRef="上年同期数" mulRef="_GBC_57faea4e453e49ad93821b7dd6ce8bc4" unitRef="_GBC_cef77704267643d794145c73763360e5" addr="T1R26C3S1_1" formatStyle="Comma"/>
        <m:item xlName="_GBC_6d88dad9a78a4048a1ac19fe21e8bfe7" concept="clcid-pte:SheDingShouYiJiHuaBianDongEJieZhuanLiuCunShouYiDaoZhiQiTaQuanYiGongJuZhongDeQiTaBianDongJinE" label="设定受益计划变动额结转留存收益导致其他权益工具中的其他变动金额" periodRef="上年同期数" mulRef="_GBC_57faea4e453e49ad93821b7dd6ce8bc4" unitRef="_GBC_cef77704267643d794145c73763360e5" addr="T1R26C4S1_1" formatStyle="Comma"/>
        <m:item xlName="_GBC_98ea0a4011be495492820c1cbcc97b9b" concept="clcid-pte:SheDingShouYiJiHuaBianDongEJieZhuanLiuCunShouYiDaoZhiZiBenGongJiBianDongJinE" label="设定受益计划变动额结转留存收益导致资本公积变动金额" periodRef="上年同期数" mulRef="_GBC_57faea4e453e49ad93821b7dd6ce8bc4" unitRef="_GBC_cef77704267643d794145c73763360e5" addr="T1R26C5S1_1" formatStyle="Comma"/>
        <m:item xlName="_GBC_3eaf854c7f474c3fa18ab8734b869f23" concept="clcid-pte:SheDingShouYiJiHuaBianDongEJieZhuanLiuCunShouYiDaoZhiKuCunGuBianDongJinE" label="设定受益计划变动额结转留存收益导致库存股变动金额" periodRef="上年同期数" mulRef="_GBC_57faea4e453e49ad93821b7dd6ce8bc4" unitRef="_GBC_cef77704267643d794145c73763360e5" addr="T1R26C6S1_1" formatStyle="Comma"/>
        <m:item xlName="_GBC_d9a1c5a86b2a491daf8174d342854d75" concept="clcid-pte:SheDingShouYiJiHuaBianDongEJieZhuanLiuCunShouYiDaoZhiQiTaZongHeShouYiBianDongJinE" label="设定受益计划变动额结转留存收益导致其他综合收益变动金额" periodRef="上年同期数" mulRef="_GBC_57faea4e453e49ad93821b7dd6ce8bc4" unitRef="_GBC_cef77704267643d794145c73763360e5" addr="T1R26C7S1_1" formatStyle="Comma"/>
        <m:item xlName="_GBC_7590db42daeb416eb5d0cd0b63bb38bc" concept="clcid-pte:SheDingShouYiJiHuaBianDongEJieZhuanLiuCunShouYiDaoZhiZhuanXiangChuBeiBianDongJinE" label="设定受益计划变动额结转留存收益导致专项储备变动金额" periodRef="上年同期数" mulRef="_GBC_57faea4e453e49ad93821b7dd6ce8bc4" unitRef="_GBC_cef77704267643d794145c73763360e5" addr="T1R26C8S1_1" formatStyle="Comma"/>
        <m:item xlName="_GBC_8aed8e1c89094099b5799a9187acd918" concept="clcid-pte:SheDingShouYiJiHuaBianDongEJieZhuanLiuCunShouYiDaoZhiYingYuGongJiBianDongJinE" label="设定受益计划变动额结转留存收益导致盈余公积变动金额" periodRef="上年同期数" mulRef="_GBC_57faea4e453e49ad93821b7dd6ce8bc4" unitRef="_GBC_cef77704267643d794145c73763360e5" addr="T1R26C9S1_1" formatStyle="Comma"/>
        <m:item xlName="_GBC_816547e82f2e49a18d5031af465b73e9" concept="clcid-pte:SheDingShouYiJiHuaBianDongEJieZhuanLiuCunShouYiDaoZhiYiBanFengXianZhunBeiBianDongJinE" label="设定受益计划变动额结转留存收益导致一般风险准备变动金额" periodRef="上年同期数" mulRef="_GBC_57faea4e453e49ad93821b7dd6ce8bc4" unitRef="_GBC_cef77704267643d794145c73763360e5" addr="T1R26C10S1_1" formatStyle="Comma"/>
        <m:item xlName="_GBC_c816a46c7dc644ca98e040983fd16b9f" concept="clcid-pte:SheDingShouYiJiHuaBianDongEJieZhuanLiuCunShouYiDaoZhiWeiFenPeiLiRunBianDongJinE" label="设定受益计划变动额结转留存收益导致未分配利润变动金额" periodRef="上年同期数" mulRef="_GBC_57faea4e453e49ad93821b7dd6ce8bc4" unitRef="_GBC_cef77704267643d794145c73763360e5" addr="T1R26C11S1_1" formatStyle="Comma"/>
        <m:item xlName="_GBC_d0ba753231234813afb70cb8bbd7b7aa" concept="clcid-pte:SheDingShouYiJiHuaBianDongEJieZhuanLiuCunShouYiDaoZhiQiTaDeGuiShuYuMuGongSiSuoYouZheQuanYiBianDongJinE" label="设定受益计划变动额结转留存收益导致其他的归属于母公司所有者权益变动金额" periodRef="上年同期数" mulRef="_GBC_57faea4e453e49ad93821b7dd6ce8bc4" unitRef="_GBC_cef77704267643d794145c73763360e5" addr="T1R26C12S1_1" formatStyle="Comma"/>
        <m:item xlName="_GBC_ece7cc83c32f4aedbfbe05f68d9f8d33" concept="clcid-pte:SheDingShouYiJiHuaBianDongEJieZhuanLiuCunShouYiDaoZhiGuiShuYuMuGongSiSuoYouZheQuanYiBianDongJinE" label="设定受益计划变动额结转留存收益导致归属于母公司所有者权益变动金额" periodRef="上年同期数" mulRef="_GBC_57faea4e453e49ad93821b7dd6ce8bc4" unitRef="_GBC_cef77704267643d794145c73763360e5" addr="T1R26C13S1_1" formatStyle="Comma"/>
        <m:item xlName="_GBC_5e1a1dee8dc244008ae9bee11f27f7f1" concept="clcid-pte:SheDingShouYiJiHuaBianDongEJieZhuanLiuCunShouYiDaoZhiShaoShuGuDongQuanYiBianDongJinE" label="设定受益计划变动额结转留存收益导致少数股东权益变动金额" periodRef="上年同期数" mulRef="_GBC_57faea4e453e49ad93821b7dd6ce8bc4" unitRef="_GBC_cef77704267643d794145c73763360e5" addr="T1R26C14S1_1" formatStyle="Comma"/>
        <m:item xlName="_GBC_8caecef7cd2542e983587ff2e36acb73" concept="clcid-pte:SheDingShouYiJiHuaBianDongEJieZhuanLiuCunShouYiDaoZhiGuDongQuanYiHeJiBianDongJinE" label="设定受益计划变动额结转留存收益导致股东权益合计变动金额" periodRef="上年同期数" mulRef="_GBC_57faea4e453e49ad93821b7dd6ce8bc4" unitRef="_GBC_cef77704267643d794145c73763360e5" addr="T1R26C15S1_1" formatStyle="Comma"/>
        <m:placeholder xlName="_PLD_1db95d2c039e4fb6b41eae5a5c0aeb0a" addr="T1R27C0S1_1"/>
        <m:item xlName="_GBC_937abba58d3541e995a07871c147d5e6" concept="clcid-pte:QiTaZongHeShouYiJieZhuanLiuCunShouYiDaoZhiShiShouZiBenHuoGuBenJingEBianDongJinE" label="其他综合收益结转留存收益导致实收资本（或股本）净额变动金额" periodRef="上年同期数" mulRef="_GBC_57faea4e453e49ad93821b7dd6ce8bc4" unitRef="_GBC_cef77704267643d794145c73763360e5" addr="T1R27C1S1_1" formatStyle="Comma"/>
        <m:item xlName="_GBC_970b72db13644cb0be5d37d6fd96a027" concept="clcid-pte:QiTaZongHeShouYiJieZhuanLiuCunShouYiDaoZhiQiTaQuanYiGongJuZhongDeYouXianGuBianDongJinE" label="其他综合收益结转留存收益导致其他权益工具中的优先股变动金额" periodRef="上年同期数" mulRef="_GBC_57faea4e453e49ad93821b7dd6ce8bc4" unitRef="_GBC_cef77704267643d794145c73763360e5" addr="T1R27C2S1_1" formatStyle="Comma"/>
        <m:item xlName="_GBC_fb6ee8ee92ae431eb9ef99ca2a40d6f7" concept="clcid-pte:QiTaZongHeShouYiJieZhuanLiuCunShouYiDaoZhiQiTaQuanYiGongJuZhongDeYongXuZhaiBianDongJinE" label="其他综合收益结转留存收益导致其他权益工具中的永续债变动金额" periodRef="上年同期数" mulRef="_GBC_57faea4e453e49ad93821b7dd6ce8bc4" unitRef="_GBC_cef77704267643d794145c73763360e5" addr="T1R27C3S1_1" formatStyle="Comma"/>
        <m:item xlName="_GBC_c3bbe967210a4717b41a0c6a96189ec6" concept="clcid-pte:QiTaZongHeShouYiJieZhuanLiuCunShouYiDaoZhiQiTaQuanYiGongJuZhongDeQiTaBianDongJinE" label="其他综合收益结转留存收益导致其他权益工具中的其他变动金额" periodRef="上年同期数" mulRef="_GBC_57faea4e453e49ad93821b7dd6ce8bc4" unitRef="_GBC_cef77704267643d794145c73763360e5" addr="T1R27C4S1_1" formatStyle="Comma"/>
        <m:item xlName="_GBC_385640e82d0242b88a0272f9c7cb923e" concept="clcid-pte:QiTaZongHeShouYiJieZhuanLiuCunShouYiDaoZhiZiBenGongJiBianDongJinE" label="其他综合收益结转留存收益导致资本公积变动金额" periodRef="上年同期数" mulRef="_GBC_57faea4e453e49ad93821b7dd6ce8bc4" unitRef="_GBC_cef77704267643d794145c73763360e5" addr="T1R27C5S1_1" formatStyle="Comma"/>
        <m:item xlName="_GBC_6f5a9223aa7d45b5bc013c777fde5e6e" concept="clcid-pte:QiTaZongHeShouYiJieZhuanLiuCunShouYiDaoZhiKuCunGuBianDongJinE" label="其他综合收益结转留存收益导致库存股变动金额" periodRef="上年同期数" mulRef="_GBC_57faea4e453e49ad93821b7dd6ce8bc4" unitRef="_GBC_cef77704267643d794145c73763360e5" addr="T1R27C6S1_1" formatStyle="Comma"/>
        <m:item xlName="_GBC_1961f8b0faa146889b2cb2774d5c8f6e" concept="clcid-pte:QiTaZongHeShouYiJieZhuanLiuCunShouYiDaoZhiQiTaZongHeShouYiBianDongJinE" label="其他综合收益结转留存收益导致其他综合收益变动金额" periodRef="上年同期数" mulRef="_GBC_57faea4e453e49ad93821b7dd6ce8bc4" unitRef="_GBC_cef77704267643d794145c73763360e5" addr="T1R27C7S1_1" formatStyle="Comma"/>
        <m:item xlName="_GBC_2c9e084b964342a08f0b6cb3805482bb" concept="clcid-pte:QiTaZongHeShouYiJieZhuanLiuCunShouYiDaoZhiZhuanXiangChuBeiBianDongJinE" label="其他综合收益结转留存收益导致专项储备变动金额" periodRef="上年同期数" mulRef="_GBC_57faea4e453e49ad93821b7dd6ce8bc4" unitRef="_GBC_cef77704267643d794145c73763360e5" addr="T1R27C8S1_1" formatStyle="Comma"/>
        <m:item xlName="_GBC_2e5e1fa5d5154e2bb58a71a13e2d924a" concept="clcid-pte:QiTaZongHeShouYiJieZhuanLiuCunShouYiDaoZhiYingYuGongJiBianDongJinE" label="其他综合收益结转留存收益导致盈余公积变动金额" periodRef="上年同期数" mulRef="_GBC_57faea4e453e49ad93821b7dd6ce8bc4" unitRef="_GBC_cef77704267643d794145c73763360e5" addr="T1R27C9S1_1" formatStyle="Comma"/>
        <m:item xlName="_GBC_1d239374c1cb4eaea35c50211a138ef3" concept="clcid-pte:QiTaZongHeShouYiJieZhuanLiuCunShouYiDaoZhiYiBanFengXianZhunBeiBianDongJinE" label="其他综合收益结转留存收益导致一般风险准备变动金额" periodRef="上年同期数" mulRef="_GBC_57faea4e453e49ad93821b7dd6ce8bc4" unitRef="_GBC_cef77704267643d794145c73763360e5" addr="T1R27C10S1_1" formatStyle="Comma"/>
        <m:item xlName="_GBC_3e16df2a75614cf986f2bce2df5d9c14" concept="clcid-pte:QiTaZongHeShouYiJieZhuanLiuCunShouYiDaoZhiWeiFenPeiLiRunBianDongJinE" label="其他综合收益结转留存收益导致未分配利润变动金额" periodRef="上年同期数" mulRef="_GBC_57faea4e453e49ad93821b7dd6ce8bc4" unitRef="_GBC_cef77704267643d794145c73763360e5" addr="T1R27C11S1_1" formatStyle="Comma"/>
        <m:item xlName="_GBC_29833085531b48f6a8771c35248c4faa" concept="clcid-pte:QiTaZongHeShouYiJieZhuanLiuCunShouYiDaoZhiQiTaDeGuiShuYuMuGongSiSuoYouZheQuanYiBianDongJinE" label="其他综合收益结转留存收益导致其他的归属于母公司所有者权益变动金额" periodRef="上年同期数" mulRef="_GBC_57faea4e453e49ad93821b7dd6ce8bc4" unitRef="_GBC_cef77704267643d794145c73763360e5" addr="T1R27C12S1_1" formatStyle="Comma"/>
        <m:item xlName="_GBC_942ac6651806465a852248c40fcc1d8b" concept="clcid-pte:QiTaZongHeShouYiJieZhuanLiuCunShouYiDaoZhiGuiShuYuMuGongSiSuoYouZheQuanYiBianDongJinE" label="其他综合收益结转留存收益导致归属于母公司所有者权益变动金额" periodRef="上年同期数" mulRef="_GBC_57faea4e453e49ad93821b7dd6ce8bc4" unitRef="_GBC_cef77704267643d794145c73763360e5" addr="T1R27C13S1_1" formatStyle="Comma"/>
        <m:item xlName="_GBC_0f6ffeb5377846099c76150ac426c2d6" concept="clcid-pte:QiTaZongHeShouYiJieZhuanLiuCunShouYiDaoZhiShaoShuGuDongQuanYiBianDongJinE" label="其他综合收益结转留存收益导致少数股东权益变动金额" periodRef="上年同期数" mulRef="_GBC_57faea4e453e49ad93821b7dd6ce8bc4" unitRef="_GBC_cef77704267643d794145c73763360e5" addr="T1R27C14S1_1" formatStyle="Comma"/>
        <m:item xlName="_GBC_3c77ebf54d7748cbbe3f15c96f110b0d" concept="clcid-pte:QiTaZongHeShouYiJieZhuanLiuCunShouYiDaoZhiGuDongQuanYiHeJiBianDongJinE" label="其他综合收益结转留存收益导致股东权益合计变动金额" periodRef="上年同期数" mulRef="_GBC_57faea4e453e49ad93821b7dd6ce8bc4" unitRef="_GBC_cef77704267643d794145c73763360e5" addr="T1R27C15S1_1" formatStyle="Comma"/>
        <m:placeholder xlName="_PLD_44b366cf670e4514b5f91bc8cef97e27" addr="T1R28C0S1_1"/>
        <m:item xlName="_GBC_ae5842fb36d0410cb539392af747b07a" concept="clcid-pte:QiTaSuoYouZheQuanYiNeiBuJieZhuanDaoZhiShiShouZiBenHuoGuBenJingEBianDongJinE" label="其他所有者权益内部结转导致实收资本（或股本）净额变动金额" periodRef="上年同期数" mulRef="_GBC_57faea4e453e49ad93821b7dd6ce8bc4" unitRef="_GBC_cef77704267643d794145c73763360e5" addr="T1R28C1S1_1" formatStyle="Comma"/>
        <m:item xlName="_GBC_6c0ad08e91f74fb0a199ce4ee0043c1a" concept="clcid-pte:QiTaSuoYouZheQuanYiNeiBuJieZhuanDaoZhiQiTaQuanYiGongJuZhongDeYouXianGuBianDongJinE" label="其他所有者权益内部结转导致其他权益工具中的优先股变动金额" periodRef="上年同期数" mulRef="_GBC_57faea4e453e49ad93821b7dd6ce8bc4" unitRef="_GBC_cef77704267643d794145c73763360e5" addr="T1R28C2S1_1" formatStyle="Comma"/>
        <m:item xlName="_GBC_b5d9c584c167498bab1b94c554b6a079" concept="clcid-pte:QiTaSuoYouZheQuanYiNeiBuJieZhuanDaoZhiQiTaQuanYiGongJuZhongDeYongXuZhaiBianDongJinE" label="其他所有者权益内部结转导致其他权益工具中的永续债变动金额" periodRef="上年同期数" mulRef="_GBC_57faea4e453e49ad93821b7dd6ce8bc4" unitRef="_GBC_cef77704267643d794145c73763360e5" addr="T1R28C3S1_1" formatStyle="Comma"/>
        <m:item xlName="_GBC_12c4e5f3a0444383aaf493f4ffc7a5e6" concept="clcid-pte:QiTaSuoYouZheQuanYiNeiBuJieZhuanDaoZhiQiTaQuanYiGongJuZhongDeQiTaBianDongJinE" label="其他所有者权益内部结转导致其他权益工具中的其他变动金额" periodRef="上年同期数" mulRef="_GBC_57faea4e453e49ad93821b7dd6ce8bc4" unitRef="_GBC_cef77704267643d794145c73763360e5" addr="T1R28C4S1_1" formatStyle="Comma"/>
        <m:item xlName="_GBC_29348654486c4f0ea15f0c6ed9ca0cd2" concept="clcid-pte:QiTaSuoYouZheQuanYiNeiBuJieZhuanDaoZhiZiBenGongJiBianDongJinE" label="其他所有者权益内部结转导致资本公积变动金额" periodRef="上年同期数" mulRef="_GBC_57faea4e453e49ad93821b7dd6ce8bc4" unitRef="_GBC_cef77704267643d794145c73763360e5" addr="T1R28C5S1_1" formatStyle="Comma"/>
        <m:item xlName="_GBC_6b2960393e724312b89aed57d0f67b59" concept="clcid-pte:QiTaSuoYouZheQuanYiNeiBuJieZhuanDaoZhiKuCunGuBianDongJinE" label="其他所有者权益内部结转导致库存股变动金额" periodRef="上年同期数" mulRef="_GBC_57faea4e453e49ad93821b7dd6ce8bc4" unitRef="_GBC_cef77704267643d794145c73763360e5" addr="T1R28C6S1_1" formatStyle="Comma"/>
        <m:item xlName="_GBC_4fa8fe1b687846b9a7a436d93bfc67e8" concept="clcid-pte:QiTaSuoYouZheQuanYiNeiBuJieZhuanDaoZhiQiTaZongHeShouYiBianDongJinE" label="其他所有者权益内部结转导致其他综合收益变动金额" periodRef="上年同期数" mulRef="_GBC_57faea4e453e49ad93821b7dd6ce8bc4" unitRef="_GBC_cef77704267643d794145c73763360e5" addr="T1R28C7S1_1" formatStyle="Comma"/>
        <m:item xlName="_GBC_363d14d6cb7843be9501729881436ac6" concept="clcid-pte:QiTaSuoYouZheQuanYiNeiBuJieZhuanDaoZhiZhuanXiangChuBeiBianDongJinE" label="其他所有者权益内部结转导致专项储备变动金额" periodRef="上年同期数" mulRef="_GBC_57faea4e453e49ad93821b7dd6ce8bc4" unitRef="_GBC_cef77704267643d794145c73763360e5" addr="T1R28C8S1_1" formatStyle="Comma"/>
        <m:item xlName="_GBC_b36f662d63064d78a6a7204abf4ddbef" concept="clcid-pte:QiTaSuoYouZheQuanYiNeiBuJieZhuanDaoZhiYingYuGongJiBianDongJinE" label="其他所有者权益内部结转导致盈余公积变动金额" periodRef="上年同期数" mulRef="_GBC_57faea4e453e49ad93821b7dd6ce8bc4" unitRef="_GBC_cef77704267643d794145c73763360e5" addr="T1R28C9S1_1" formatStyle="Comma"/>
        <m:item xlName="_GBC_208b6540442340de9e598ea7c0db0cee" concept="clcid-pte:QiTaSuoYouZheQuanYiNeiBuJieZhuanDaoZhiYiBanFengXianZhunBeiBianDongJinE" label="其他所有者权益内部结转导致一般风险准备变动金额" periodRef="上年同期数" mulRef="_GBC_57faea4e453e49ad93821b7dd6ce8bc4" unitRef="_GBC_cef77704267643d794145c73763360e5" addr="T1R28C10S1_1" formatStyle="Comma"/>
        <m:item xlName="_GBC_fdf5dd7181d94849a5c3dbc073fe8696" concept="clcid-pte:QiTaSuoYouZheQuanYiNeiBuJieZhuanDaoZhiWeiFenPeiLiRunBianDongJinE" label="其他所有者权益内部结转导致未分配利润变动金额" periodRef="上年同期数" mulRef="_GBC_57faea4e453e49ad93821b7dd6ce8bc4" unitRef="_GBC_cef77704267643d794145c73763360e5" addr="T1R28C11S1_1" formatStyle="Comma"/>
        <m:item xlName="_GBC_22c14178dbee40739a16b3406551c24b" concept="clcid-pte:QiTaSuoYouZheQuanYiNeiBuJieZhuanDaoZhiQiTaDeGuiShuYuMuGongSiSuoYouZheQuanYiBianDongJinE" label="其他所有者权益内部结转导致其他的归属于母公司所有者权益变动金额" periodRef="上年同期数" mulRef="_GBC_57faea4e453e49ad93821b7dd6ce8bc4" unitRef="_GBC_cef77704267643d794145c73763360e5" addr="T1R28C12S1_1" formatStyle="Comma"/>
        <m:item xlName="_GBC_458ba861a17b43ae939896906d5cce46" concept="clcid-pte:QiTaSuoYouZheQuanYiNeiBuJieZhuanDaoZhiGuiShuYuMuGongSiSuoYouZheQuanYiBianDongJinE" label="其他所有者权益内部结转导致归属于母公司所有者权益变动金额" periodRef="上年同期数" mulRef="_GBC_57faea4e453e49ad93821b7dd6ce8bc4" unitRef="_GBC_cef77704267643d794145c73763360e5" addr="T1R28C13S1_1" formatStyle="Comma"/>
        <m:item xlName="_GBC_309577731f3d400aa2a509e0fc061450" concept="clcid-pte:QiTaSuoYouZheQuanYiNeiBuJieZhuanDaoZhiShaoShuGuDongQuanYiBianDongJinE" label="其他所有者权益内部结转导致少数股东权益变动金额" periodRef="上年同期数" mulRef="_GBC_57faea4e453e49ad93821b7dd6ce8bc4" unitRef="_GBC_cef77704267643d794145c73763360e5" addr="T1R28C14S1_1" formatStyle="Comma"/>
        <m:item xlName="_GBC_42b76103de594df2b912400e6d7b145d" concept="clcid-pte:QiTaSuoYouZheQuanYiNeiBuJieZhuanDaoZhiGuDongQuanYiHeJiBianDongJinE" label="其他所有者权益内部结转导致股东权益合计变动金额" periodRef="上年同期数" mulRef="_GBC_57faea4e453e49ad93821b7dd6ce8bc4" unitRef="_GBC_cef77704267643d794145c73763360e5" addr="T1R28C15S1_1" formatStyle="Comma"/>
        <m:placeholder xlName="_PLD_4c2ffccd1b8247f8b48874b508665dc1" addr="T1R29C0S1_1"/>
        <m:item xlName="_GBC_eab4d4a58623419d9efabdb8339f5e20" concept="clcid-pte:ZhuanXiangChuBeiDaoZhiShiShouZiBenHuoGuBenJingEBianDongJinE" label="专项储备导致实收资本（或股本）净额变动金额" periodRef="上年同期数" mulRef="_GBC_57faea4e453e49ad93821b7dd6ce8bc4" unitRef="_GBC_cef77704267643d794145c73763360e5" addr="T1R29C1S1_1" formatStyle="Comma">
          <m:complexRule comparator="Eq" title="专项储备导致实收资本（或股本）净额变动金额@上年同期数" test=" $_GBC_a85c70fc74bf454ebba721c53742c829 -  $_GBC_8beae39ad81341c4a253510fd537287b" id="C389b1749716e4b5eab687122968fc892" radius="0.0001"/>
        </m:item>
        <m:item xlName="_GBC_4b1c45a69ab94d19a6c532f02af9fd18" concept="clcid-pte:ZhuanXiangChuBeiDaoZhiQiTaQuanYiGongJuZhongDeYouXianGuBianDongJinE" label="专项储备导致其他权益工具中的优先股变动金额" periodRef="上年同期数" mulRef="_GBC_57faea4e453e49ad93821b7dd6ce8bc4" unitRef="_GBC_cef77704267643d794145c73763360e5" addr="T1R29C2S1_1" formatStyle="Comma">
          <m:complexRule comparator="Eq" title="专项储备导致其他权益工具中的优先股变动金额@上年同期数" test=" $_GBC_5e937e388776445795d8e702ba81c2c9 -  $_GBC_de0bc9e60d5f4a46b0adbc94de2b5751" id="Cf69cbbfe1877432ebc21251ae643fb9e"/>
        </m:item>
        <m:item xlName="_GBC_d11afdb09ca14a31bc6beef23131529f" concept="clcid-pte:ZhuanXiangChuBeiDaoZhiQiTaQuanYiGongJuZhongDeYongXuZhaiBianDongJinE" label="专项储备导致其他权益工具中的永续债变动金额" periodRef="上年同期数" mulRef="_GBC_57faea4e453e49ad93821b7dd6ce8bc4" unitRef="_GBC_cef77704267643d794145c73763360e5" addr="T1R29C3S1_1" formatStyle="Comma">
          <m:complexRule comparator="Eq" title="专项储备导致其他权益工具中的永续债变动金额@上年同期数" test=" $_GBC_f4f4bafc2f9e4b14979abf042af2284d -  $_GBC_9d8d8bdf23d548b08edf33a18477bf21" id="Cc7d845b792d44f4b822fb9c1d9e4ffdf"/>
        </m:item>
        <m:item xlName="_GBC_03e97aa6ea4a4b519ced030588aa471a" concept="clcid-pte:ZhuanXiangChuBeiDaoZhiQiTaQuanYiGongJuZhongDeQiTaBianDongJinE" label="专项储备导致其他权益工具中的其他变动金额" periodRef="上年同期数" mulRef="_GBC_57faea4e453e49ad93821b7dd6ce8bc4" unitRef="_GBC_cef77704267643d794145c73763360e5" addr="T1R29C4S1_1" formatStyle="Comma">
          <m:complexRule comparator="Eq" title="专项储备导致其他权益工具中的其他变动金额@上年同期数" test=" $_GBC_3007dbb786274840bc4fa4a48abdf483 -  $_GBC_be84b88270eb42feab48855714e851ad" id="C199cc9f3a07b4047bc4716e58efb0b5d"/>
        </m:item>
        <m:item xlName="_GBC_123c502f45394be3933e710bc4539de6" concept="clcid-pte:ZhuanXiangChuBeiDaoZhiZiBenGongJiBianDongJinE" label="专项储备导致资本公积变动金额" periodRef="上年同期数" mulRef="_GBC_57faea4e453e49ad93821b7dd6ce8bc4" unitRef="_GBC_cef77704267643d794145c73763360e5" addr="T1R29C5S1_1" formatStyle="Comma">
          <m:complexRule comparator="Eq" title="专项储备导致资本公积变动金额@上年同期数" test=" $_GBC_85e1ee5904a040aea5532001b3b87679 -  $_GBC_2972bc028dc244e1b148a8970a1c2df9" id="Cc82f8f514d204c24b74f1ff20220658f" radius="0.0001"/>
        </m:item>
        <m:item xlName="_GBC_3b6659952c004368b0c7c6aff8663dfc" concept="clcid-pte:ZhuanXiangChuBeiDaoZhiKuCunGuBianDongJinE" label="专项储备导致库存股变动金额" periodRef="上年同期数" mulRef="_GBC_57faea4e453e49ad93821b7dd6ce8bc4" unitRef="_GBC_cef77704267643d794145c73763360e5" addr="T1R29C6S1_1" formatStyle="Comma">
          <m:complexRule comparator="Eq" title="专项储备导致库存股变动金额@上年同期数" test=" $_GBC_2b60682356a84b46b4561756283c3ab5 -  $_GBC_c690b2eeecdf4c7b85a4fbe9d5ce602c" id="Ce0af9016408149048ca2b2cfabc346d5" radius="0.0001"/>
        </m:item>
        <m:item xlName="_GBC_3d320060f9464615bead55bf1ca49dc4" concept="clcid-pte:ZhuanXiangChuBeiDaoZhiQiTaZongHeShouYiBianDongJinE" label="专项储备导致其他综合收益变动金额" periodRef="上年同期数" mulRef="_GBC_57faea4e453e49ad93821b7dd6ce8bc4" unitRef="_GBC_cef77704267643d794145c73763360e5" addr="T1R29C7S1_1" formatStyle="Comma">
          <m:complexRule comparator="Eq" title="专项储备导致其他综合收益变动金额@上年同期数" test=" $_GBC_b5bb2cb078c3409a817fc6fa7c59e12b -  $_GBC_a20a6615113c4f948499aee5ebc821ff" id="C355d0f2086064a839a9c62c843767643"/>
        </m:item>
        <m:item xlName="_GBC_95b00eb2bffd4944863b929b1b9f8b23" concept="clcid-pte:ZhuanXiangChuBeiDaoZhiZhuanXiangChuBeiBianDongJinE" label="专项储备导致专项储备变动金额" periodRef="上年同期数" mulRef="_GBC_57faea4e453e49ad93821b7dd6ce8bc4" unitRef="_GBC_cef77704267643d794145c73763360e5" addr="T1R29C8S1_1" formatStyle="Comma">
          <m:complexRule comparator="Eq" title="专项储备导致专项储备变动金额@上年同期数" test=" $_GBC_b248c426426345f482b5568c5acd2033 -  $_GBC_c3cf9a94610c44f3818b34ea8d57a9f7" id="C6a8dcfae13ba427397da7a18299835b7"/>
        </m:item>
        <m:item xlName="_GBC_81aee495f58648c79fb2c06c1a8294b9" concept="clcid-pte:ZhuanXiangChuBeiDaoZhiYingYuGongJiBianDongJinE" label="专项储备导致盈余公积变动金额" periodRef="上年同期数" mulRef="_GBC_57faea4e453e49ad93821b7dd6ce8bc4" unitRef="_GBC_cef77704267643d794145c73763360e5" addr="T1R29C9S1_1" formatStyle="Comma">
          <m:complexRule comparator="Eq" title="专项储备导致盈余公积变动金额@上年同期数" test=" $_GBC_d4dc2d31423b46fea3c07e7c4524df5e -  $_GBC_5ccabffd56d244689235f10d7f810595" id="C05cdbf693080445cb769d0f18db3a4d5"/>
        </m:item>
        <m:item xlName="_GBC_610d4f46b18b4115b1e7a898ab90bab2" concept="clcid-pte:ZhuanXiangChuBeiDaoZhiYiBanFengXianZhunBeiBianDongJinE" label="专项储备导致一般风险准备变动金额" periodRef="上年同期数" mulRef="_GBC_57faea4e453e49ad93821b7dd6ce8bc4" unitRef="_GBC_cef77704267643d794145c73763360e5" addr="T1R29C10S1_1" formatStyle="Comma">
          <m:complexRule comparator="Eq" title="专项储备导致一般风险准备变动金额@上年同期数" test=" $_GBC_dd2eb12f7e464fe0ba81ba536c884fe7 -  $_GBC_5682b2f180d740d183e615b172d8b18e" id="C59642b4c93ac466fa1e49fcd98c51600"/>
        </m:item>
        <m:item xlName="_GBC_c987802dfc49480c807d397d5ace6d36" concept="clcid-pte:ZhuanXiangChuBeiDaoZhiWeiFenPeiLiRunBianDongJinE" label="专项储备导致未分配利润变动金额" periodRef="上年同期数" mulRef="_GBC_57faea4e453e49ad93821b7dd6ce8bc4" unitRef="_GBC_cef77704267643d794145c73763360e5" addr="T1R29C11S1_1" formatStyle="Comma">
          <m:complexRule comparator="Eq" title="专项储备导致未分配利润变动金额@上年同期数" test=" $_GBC_c1e587046f604ee8ba66fb6c8bb8a144 -  $_GBC_cbe9fed180ed4accbf80b4421a3b14d1" id="Ccde035e163fa431796baab355dd17530"/>
        </m:item>
        <m:item xlName="_GBC_c392cb7d6a93438795a5eb0adc871ed1" concept="clcid-pte:ZhuanXiangChuBeiDaoZhiQiTaDeGuiShuYuMuGongSiSuoYouZheQuanYiBianDongJinE" label="专项储备导致其他的归属于母公司所有者权益变动金额" periodRef="上年同期数" mulRef="_GBC_57faea4e453e49ad93821b7dd6ce8bc4" unitRef="_GBC_cef77704267643d794145c73763360e5" addr="T1R29C12S1_1" formatStyle="Comma">
          <m:complexRule comparator="Eq" title="专项储备导致其他的归属于母公司所有者权益变动金额@上年同期数" test=" $_GBC_fba31e06b8374488afb5c8e32dc920a8 -  $_GBC_2bde003808fd4a4a8d5a92db60568e7f" id="C2ac374a3541b4b008bdf8910a490e03d"/>
        </m:item>
        <m:item xlName="_GBC_fb7838c03552463eab0b3449e1123883" concept="clcid-pte:ZhuanXiangChuBeiDaoZhiGuiShuYuMuGongSiSuoYouZheQuanYiBianDongJinE" label="专项储备导致归属于母公司所有者权益变动金额" periodRef="上年同期数" mulRef="_GBC_57faea4e453e49ad93821b7dd6ce8bc4" unitRef="_GBC_cef77704267643d794145c73763360e5" addr="T1R29C13S1_1" formatStyle="Comma">
          <m:complexRule comparator="Eq" title="专项储备导致归属于母公司所有者权益变动金额小计@上年同期数" test=" $_GBC_1d1ae9ce74cc466ab594f03ba9a5bb71 -  $_GBC_936616ca2d1f46938813e49bff971bfe" id="Cfb0cc6c307ce41f1b6dcddb237a0efc2"/>
        </m:item>
        <m:item xlName="_GBC_7b23cace12da44a69d75927ba5396346" concept="clcid-pte:ZhuanXiangChuBeiDaoZhiShaoShuGuDongQuanYiBianDongJinE" label="专项储备导致少数股东权益变动金额" periodRef="上年同期数" mulRef="_GBC_57faea4e453e49ad93821b7dd6ce8bc4" unitRef="_GBC_cef77704267643d794145c73763360e5" addr="T1R29C14S1_1" formatStyle="Comma">
          <m:complexRule comparator="Eq" title="专项储备导致少数股东权益变动金额@上年同期数" test=" $_GBC_740a0889d6084626803c581db78c840d -  $_GBC_45cc33ff9c6442e0a45cfb9d0c17f349" id="Cd42b60d02e3e4a658d0703e1e9074c60"/>
        </m:item>
        <m:item xlName="_GBC_1bb139523e184a629609d6d98aa70be7" concept="clcid-pte:ZhuanXiangChuBeiDaoZhiGuDongQuanYiHeJiBianDongJinE" label="专项储备导致股东权益合计变动金额" periodRef="上年同期数" mulRef="_GBC_57faea4e453e49ad93821b7dd6ce8bc4" unitRef="_GBC_cef77704267643d794145c73763360e5" addr="T1R29C15S1_1" formatStyle="Comma">
          <m:complexRule comparator="Eq" title="专项储备导致股东权益合计变动金额@上年同期数" test=" $_GBC_8627424b15414944b3da2f5646ee8213 -  $_GBC_fd36f77b22e04dea8a481a25c009bc68" id="C982608635c7a4cb29ca7eb6c2c9b200e"/>
        </m:item>
        <m:placeholder xlName="_PLD_d7da1c1428f3471c9d74c89a582725d7" addr="T1R30C0S1_1"/>
        <m:item xlName="_GBC_a85c70fc74bf454ebba721c53742c829" concept="clcid-pte:TiQuDaoZhiShiShouZiBenHuoGuBenJingEBianDongJinE" label="提取导致实收资本（或股本）净额变动金额" periodRef="上年同期数" mulRef="_GBC_57faea4e453e49ad93821b7dd6ce8bc4" unitRef="_GBC_cef77704267643d794145c73763360e5" addr="T1R30C1S1_1" formatStyle="Comma"/>
        <m:item xlName="_GBC_5e937e388776445795d8e702ba81c2c9" concept="clcid-pte:TiQuDaoZhiQiTaQuanYiGongJuZhongDeYouXianGuBianDongJinE" label="提取导致其他权益工具中的优先股变动金额" periodRef="上年同期数" mulRef="_GBC_57faea4e453e49ad93821b7dd6ce8bc4" unitRef="_GBC_cef77704267643d794145c73763360e5" addr="T1R30C2S1_1" formatStyle="Comma"/>
        <m:item xlName="_GBC_f4f4bafc2f9e4b14979abf042af2284d" concept="clcid-pte:TiQuDaoZhiQiTaQuanYiGongJuZhongDeYongXuZhaiBianDongJinE" label="提取导致其他权益工具中的永续债变动金额" periodRef="上年同期数" mulRef="_GBC_57faea4e453e49ad93821b7dd6ce8bc4" unitRef="_GBC_cef77704267643d794145c73763360e5" addr="T1R30C3S1_1" formatStyle="Comma"/>
        <m:item xlName="_GBC_3007dbb786274840bc4fa4a48abdf483" concept="clcid-pte:TiQuDaoZhiQiTaQuanYiGongJuZhongDeQiTaBianDongJinE" label="提取导致其他权益工具中的其他变动金额" periodRef="上年同期数" mulRef="_GBC_57faea4e453e49ad93821b7dd6ce8bc4" unitRef="_GBC_cef77704267643d794145c73763360e5" addr="T1R30C4S1_1" formatStyle="Comma"/>
        <m:item xlName="_GBC_85e1ee5904a040aea5532001b3b87679" concept="clcid-pte:TiQuDaoZhiZiBenGongJiBianDongJinE" label="提取导致资本公积变动金额" periodRef="上年同期数" mulRef="_GBC_57faea4e453e49ad93821b7dd6ce8bc4" unitRef="_GBC_cef77704267643d794145c73763360e5" addr="T1R30C5S1_1" formatStyle="Comma"/>
        <m:item xlName="_GBC_2b60682356a84b46b4561756283c3ab5" concept="clcid-pte:TiQuDaoZhiKuCunGuBianDongJinE" label="提取导致库存股变动金额" periodRef="上年同期数" mulRef="_GBC_57faea4e453e49ad93821b7dd6ce8bc4" unitRef="_GBC_cef77704267643d794145c73763360e5" addr="T1R30C6S1_1" formatStyle="Comma"/>
        <m:item xlName="_GBC_b5bb2cb078c3409a817fc6fa7c59e12b" concept="clcid-pte:TiQuDaoZhiQiTaZongHeShouYiBianDongJinE" label="提取导致其他综合收益变动金额" periodRef="上年同期数" mulRef="_GBC_57faea4e453e49ad93821b7dd6ce8bc4" unitRef="_GBC_cef77704267643d794145c73763360e5" addr="T1R30C7S1_1" formatStyle="Comma"/>
        <m:item xlName="_GBC_b248c426426345f482b5568c5acd2033" concept="clcid-pte:TiQuDaoZhiZhuanXiangChuBeiBianDongJinE" label="提取导致专项储备变动金额" periodRef="上年同期数" mulRef="_GBC_57faea4e453e49ad93821b7dd6ce8bc4" unitRef="_GBC_cef77704267643d794145c73763360e5" addr="T1R30C8S1_1" formatStyle="Comma"/>
        <m:item xlName="_GBC_d4dc2d31423b46fea3c07e7c4524df5e" concept="clcid-pte:TiQuDaoZhiYingYuGongJiBianDongJinE" label="提取导致盈余公积变动金额" periodRef="上年同期数" mulRef="_GBC_57faea4e453e49ad93821b7dd6ce8bc4" unitRef="_GBC_cef77704267643d794145c73763360e5" addr="T1R30C9S1_1" formatStyle="Comma"/>
        <m:item xlName="_GBC_dd2eb12f7e464fe0ba81ba536c884fe7" concept="clcid-pte:TiQuDaoZhiYiBanFengXianZhunBeiBianDongJinE" label="提取导致一般风险准备变动金额" periodRef="上年同期数" mulRef="_GBC_57faea4e453e49ad93821b7dd6ce8bc4" unitRef="_GBC_cef77704267643d794145c73763360e5" addr="T1R30C10S1_1" formatStyle="Comma"/>
        <m:item xlName="_GBC_c1e587046f604ee8ba66fb6c8bb8a144" concept="clcid-pte:TiQuDaoZhiWeiFenPeiLiRunBianDongJinE" label="提取导致未分配利润变动金额" periodRef="上年同期数" mulRef="_GBC_57faea4e453e49ad93821b7dd6ce8bc4" unitRef="_GBC_cef77704267643d794145c73763360e5" addr="T1R30C11S1_1" formatStyle="Comma"/>
        <m:item xlName="_GBC_fba31e06b8374488afb5c8e32dc920a8" concept="clcid-pte:TiQuDaoZhiQiTaDeGuiShuYuMuGongSiSuoYouZheQuanYiBianDongJinE" label="提取导致其他的归属于母公司所有者权益变动金额" periodRef="上年同期数" mulRef="_GBC_57faea4e453e49ad93821b7dd6ce8bc4" unitRef="_GBC_cef77704267643d794145c73763360e5" addr="T1R30C12S1_1" formatStyle="Comma"/>
        <m:item xlName="_GBC_1d1ae9ce74cc466ab594f03ba9a5bb71" concept="clcid-pte:TiQuZhuanXiangChuBeiDaoZhiGuiShuYuMuGongSiSuoYouZheQuanYiBianDongJinE" label="提取专项储备导致归属于母公司所有者权益变动金额" periodRef="上年同期数" mulRef="_GBC_57faea4e453e49ad93821b7dd6ce8bc4" unitRef="_GBC_cef77704267643d794145c73763360e5" addr="T1R30C13S1_1" formatStyle="Comma"/>
        <m:item xlName="_GBC_740a0889d6084626803c581db78c840d" concept="clcid-pte:TiQuDaoZhiShaoShuGuDongQuanYiBianDongJinE" label="提取导致少数股东权益变动金额" periodRef="上年同期数" mulRef="_GBC_57faea4e453e49ad93821b7dd6ce8bc4" unitRef="_GBC_cef77704267643d794145c73763360e5" addr="T1R30C14S1_1" formatStyle="Comma"/>
        <m:item xlName="_GBC_8627424b15414944b3da2f5646ee8213" concept="clcid-pte:TiQuDaoZhiGuDongQuanYiHeJiBianDongJinE" label="提取导致股东权益合计变动金额" periodRef="上年同期数" mulRef="_GBC_57faea4e453e49ad93821b7dd6ce8bc4" unitRef="_GBC_cef77704267643d794145c73763360e5" addr="T1R30C15S1_1" formatStyle="Comma"/>
        <m:placeholder xlName="_PLD_f11a5c1cf32e432cb3dba158baca32fc" addr="T1R31C0S1_1"/>
        <m:item xlName="_GBC_8beae39ad81341c4a253510fd537287b" concept="clcid-pte:ShiYongDaoZhiShiShouZiBenHuoGuBenJingEBianDongJinE" label="使用导致实收资本（或股本）净额变动金额" periodRef="上年同期数" mulRef="_GBC_57faea4e453e49ad93821b7dd6ce8bc4" unitRef="_GBC_cef77704267643d794145c73763360e5" addr="T1R31C1S1_1" formatStyle="Comma"/>
        <m:item xlName="_GBC_de0bc9e60d5f4a46b0adbc94de2b5751" concept="clcid-pte:ShiYongDaoZhiQiTaQuanYiGongJuZhongDeYouXianGuBianDongJinE" label="使用导致其他权益工具中的优先股变动金额" periodRef="上年同期数" mulRef="_GBC_57faea4e453e49ad93821b7dd6ce8bc4" unitRef="_GBC_cef77704267643d794145c73763360e5" addr="T1R31C2S1_1" formatStyle="Comma"/>
        <m:item xlName="_GBC_9d8d8bdf23d548b08edf33a18477bf21" concept="clcid-pte:ShiYongDaoZhiQiTaQuanYiGongJuZhongDeYongXuZhaiBianDongJinE" label="使用导致其他权益工具中的永续债变动金额" periodRef="上年同期数" mulRef="_GBC_57faea4e453e49ad93821b7dd6ce8bc4" unitRef="_GBC_cef77704267643d794145c73763360e5" addr="T1R31C3S1_1" formatStyle="Comma"/>
        <m:item xlName="_GBC_be84b88270eb42feab48855714e851ad" concept="clcid-pte:ShiYongDaoZhiQiTaQuanYiGongJuZhongDeQiTaBianDongJinE" label="使用导致其他权益工具中的其他变动金额" periodRef="上年同期数" mulRef="_GBC_57faea4e453e49ad93821b7dd6ce8bc4" unitRef="_GBC_cef77704267643d794145c73763360e5" addr="T1R31C4S1_1" formatStyle="Comma"/>
        <m:item xlName="_GBC_2972bc028dc244e1b148a8970a1c2df9" concept="clcid-pte:ShiYongDaoZhiZiBenGongJiBianDongJinE" label="使用导致资本公积变动金额" periodRef="上年同期数" mulRef="_GBC_57faea4e453e49ad93821b7dd6ce8bc4" unitRef="_GBC_cef77704267643d794145c73763360e5" addr="T1R31C5S1_1" formatStyle="Comma"/>
        <m:item xlName="_GBC_c690b2eeecdf4c7b85a4fbe9d5ce602c" concept="clcid-pte:ShiYongDaoZhiKuCunGuBianDongJinE" label="使用导致库存股变动金额" periodRef="上年同期数" mulRef="_GBC_57faea4e453e49ad93821b7dd6ce8bc4" unitRef="_GBC_cef77704267643d794145c73763360e5" addr="T1R31C6S1_1" formatStyle="Comma"/>
        <m:item xlName="_GBC_a20a6615113c4f948499aee5ebc821ff" concept="clcid-pte:ShiYongDaoZhiQiTaZongHeShouYiBianDongJinE" label="使用导致其他综合收益变动金额" periodRef="上年同期数" mulRef="_GBC_57faea4e453e49ad93821b7dd6ce8bc4" unitRef="_GBC_cef77704267643d794145c73763360e5" addr="T1R31C7S1_1" formatStyle="Comma"/>
        <m:item xlName="_GBC_c3cf9a94610c44f3818b34ea8d57a9f7" concept="clcid-pte:ShiYongDaoZhiZhuanXiangChuBeiBianDongJinE" label="使用导致专项储备变动金额" periodRef="上年同期数" mulRef="_GBC_57faea4e453e49ad93821b7dd6ce8bc4" unitRef="_GBC_cef77704267643d794145c73763360e5" addr="T1R31C8S1_1" formatStyle="Comma"/>
        <m:item xlName="_GBC_5ccabffd56d244689235f10d7f810595" concept="clcid-pte:ShiYongDaoZhiYingYuGongJiBianDongJinE" label="使用导致盈余公积变动金额" periodRef="上年同期数" mulRef="_GBC_57faea4e453e49ad93821b7dd6ce8bc4" unitRef="_GBC_cef77704267643d794145c73763360e5" addr="T1R31C9S1_1" formatStyle="Comma"/>
        <m:item xlName="_GBC_5682b2f180d740d183e615b172d8b18e" concept="clcid-pte:ShiYongDaoZhiYiBanFengXianZhunBeiBianDongJinE" label="使用导致一般风险准备变动金额" periodRef="上年同期数" mulRef="_GBC_57faea4e453e49ad93821b7dd6ce8bc4" unitRef="_GBC_cef77704267643d794145c73763360e5" addr="T1R31C10S1_1" formatStyle="Comma"/>
        <m:item xlName="_GBC_cbe9fed180ed4accbf80b4421a3b14d1" concept="clcid-pte:ShiYongDaoZhiWeiFenPeiLiRunBianDongJinE" label="使用导致未分配利润变动金额" periodRef="上年同期数" mulRef="_GBC_57faea4e453e49ad93821b7dd6ce8bc4" unitRef="_GBC_cef77704267643d794145c73763360e5" addr="T1R31C11S1_1" formatStyle="Comma"/>
        <m:item xlName="_GBC_2bde003808fd4a4a8d5a92db60568e7f" concept="clcid-pte:ShiYongDaoZhiQiTaDeGuiShuYuMuGongSiSuoYouZheQuanYiBianDongJinE" label="使用导致其他的归属于母公司所有者权益变动金额" periodRef="上年同期数" mulRef="_GBC_57faea4e453e49ad93821b7dd6ce8bc4" unitRef="_GBC_cef77704267643d794145c73763360e5" addr="T1R31C12S1_1" formatStyle="Comma"/>
        <m:item xlName="_GBC_936616ca2d1f46938813e49bff971bfe" concept="clcid-pte:ShiYongZhuanXiangChuBeiDaoZhiGuiShuYuMuGongSiSuoYouZheQuanYiBianDongJinE" label="使用专项储备导致归属于母公司所有者权益变动金额" periodRef="上年同期数" mulRef="_GBC_57faea4e453e49ad93821b7dd6ce8bc4" unitRef="_GBC_cef77704267643d794145c73763360e5" addr="T1R31C13S1_1" formatStyle="Comma"/>
        <m:item xlName="_GBC_45cc33ff9c6442e0a45cfb9d0c17f349" concept="clcid-pte:ShiYongDaoZhiShaoShuGuDongQuanYiBianDongJinE" label="使用导致少数股东权益变动金额" periodRef="上年同期数" mulRef="_GBC_57faea4e453e49ad93821b7dd6ce8bc4" unitRef="_GBC_cef77704267643d794145c73763360e5" addr="T1R31C14S1_1" formatStyle="Comma"/>
        <m:item xlName="_GBC_fd36f77b22e04dea8a481a25c009bc68" concept="clcid-pte:ShiYongDaoZhiGuDongQuanYiHeJiBianDongJinE" label="使用导致股东权益合计变动金额" periodRef="上年同期数" mulRef="_GBC_57faea4e453e49ad93821b7dd6ce8bc4" unitRef="_GBC_cef77704267643d794145c73763360e5" addr="T1R31C15S1_1" formatStyle="Comma"/>
        <m:placeholder xlName="_PLD_749e92980f334c9cae023bb1dba136fc" addr="T1R32C0S1_1"/>
        <m:item xlName="_GBC_2676c42a988c46f6b5a9849d5eeef601" concept="clcid-pte:QiTaDaoZhiShiShouZiBenHuoGuBenJingEBianDongJinE" label="其他导致实收资本（或股本）净额变动金额" periodRef="上年同期数" mulRef="_GBC_57faea4e453e49ad93821b7dd6ce8bc4" unitRef="_GBC_cef77704267643d794145c73763360e5" addr="T1R32C1S1_1" formatStyle="Comma"/>
        <m:item xlName="_GBC_ae3ef5802f7446f0bcc22d4a78b16cd8" concept="clcid-pte:QiTaDaoZhiQiTaQuanYiGongJuZhongDeYouXianGuBianDongJinE" label="其他导致其他权益工具中的优先股变动金额" periodRef="上年同期数" mulRef="_GBC_57faea4e453e49ad93821b7dd6ce8bc4" unitRef="_GBC_cef77704267643d794145c73763360e5" addr="T1R32C2S1_1" formatStyle="Comma"/>
        <m:item xlName="_GBC_c4e6b9f953a04e17ae3c32312cf2e1f7" concept="clcid-pte:QiTaDaoZhiQiTaQuanYiGongJuZhongDeYongXuZhaiBianDongJinE" label="其他导致其他权益工具中的永续债变动金额" periodRef="上年同期数" mulRef="_GBC_57faea4e453e49ad93821b7dd6ce8bc4" unitRef="_GBC_cef77704267643d794145c73763360e5" addr="T1R32C3S1_1" formatStyle="Comma"/>
        <m:item xlName="_GBC_27961524d7774e3f86ed7c4a22afb04a" concept="clcid-pte:QiTaDaoZhiQiTaQuanYiGongJuZhongDeQiTaBianDongJinE" label="其他导致其他权益工具中的其他变动金额" periodRef="上年同期数" mulRef="_GBC_57faea4e453e49ad93821b7dd6ce8bc4" unitRef="_GBC_cef77704267643d794145c73763360e5" addr="T1R32C4S1_1" formatStyle="Comma"/>
        <m:item xlName="_GBC_c1db1f975a7c4e8faf299858942810aa" concept="clcid-pte:QiTaDaoZhiZiBenGongJiBianDongJinE" label="其他导致资本公积变动金额" periodRef="上年同期数" mulRef="_GBC_57faea4e453e49ad93821b7dd6ce8bc4" unitRef="_GBC_cef77704267643d794145c73763360e5" addr="T1R32C5S1_1" formatStyle="Comma"/>
        <m:item xlName="_GBC_81c186b80d8a44d2ad835db4dbde16cc" concept="clcid-pte:QiTaDaoZhiKuCunGuBianDongJinE" label="其他导致库存股变动金额" periodRef="上年同期数" mulRef="_GBC_57faea4e453e49ad93821b7dd6ce8bc4" unitRef="_GBC_cef77704267643d794145c73763360e5" addr="T1R32C6S1_1" formatStyle="Comma"/>
        <m:item xlName="_GBC_c6a83ad34784471db367147a514c59e3" concept="clcid-pte:QiTaDaoZhiQiTaZongHeShouYiBianDongJinE" label="其他导致其他综合收益变动金额" periodRef="上年同期数" mulRef="_GBC_57faea4e453e49ad93821b7dd6ce8bc4" unitRef="_GBC_cef77704267643d794145c73763360e5" addr="T1R32C7S1_1" formatStyle="Comma"/>
        <m:item xlName="_GBC_33324cdf575543d6987aa6f520f8714d" concept="clcid-pte:QiTaDaoZhiZhuanXiangChuBeiBianDongJinE" label="其他导致专项储备变动金额" periodRef="上年同期数" mulRef="_GBC_57faea4e453e49ad93821b7dd6ce8bc4" unitRef="_GBC_cef77704267643d794145c73763360e5" addr="T1R32C8S1_1" formatStyle="Comma"/>
        <m:item xlName="_GBC_48beb7d2645f4bd8b828e39d20d114f7" concept="clcid-pte:QiTaDaoZhiYingYuGongJiBianDongJinE" label="其他导致盈余公积变动金额" periodRef="上年同期数" mulRef="_GBC_57faea4e453e49ad93821b7dd6ce8bc4" unitRef="_GBC_cef77704267643d794145c73763360e5" addr="T1R32C9S1_1" formatStyle="Comma"/>
        <m:item xlName="_GBC_022de88bf39d4c298dac658baa6860ba" concept="clcid-pte:QiTaDaoZhiYiBanFengXianZhunBeiBianDongJinE" label="其他导致一般风险准备变动金额" periodRef="上年同期数" mulRef="_GBC_57faea4e453e49ad93821b7dd6ce8bc4" unitRef="_GBC_cef77704267643d794145c73763360e5" addr="T1R32C10S1_1" formatStyle="Comma"/>
        <m:item xlName="_GBC_6ad7a628fd4a40f9a5c166bea7190b07" concept="clcid-pte:QiTaDaoZhiWeiFenPeiLiRunBianDongJinE" label="其他导致未分配利润变动金额" periodRef="上年同期数" mulRef="_GBC_57faea4e453e49ad93821b7dd6ce8bc4" unitRef="_GBC_cef77704267643d794145c73763360e5" addr="T1R32C11S1_1" formatStyle="Comma"/>
        <m:item xlName="_GBC_9146dc7852714f72859555c3a917811f" concept="clcid-pte:QiTaDaoZhiQiTaDeGuiShuYuMuGongSiSuoYouZheQuanYiBianDongJinE" label="其他导致其他的归属于母公司所有者权益变动金额" periodRef="上年同期数" mulRef="_GBC_57faea4e453e49ad93821b7dd6ce8bc4" unitRef="_GBC_cef77704267643d794145c73763360e5" addr="T1R32C12S1_1" formatStyle="Comma"/>
        <m:item xlName="_GBC_04961ef429474a9fb1c50cbe4d5f0f11" concept="clcid-pte:QiTaDaoZhiGuiShuYuMuGongSiSuoYouZheQuanYiBianDongJinE" label="其他导致归属于母公司所有者权益变动金额" periodRef="上年同期数" mulRef="_GBC_57faea4e453e49ad93821b7dd6ce8bc4" unitRef="_GBC_cef77704267643d794145c73763360e5" addr="T1R32C13S1_1" formatStyle="Comma"/>
        <m:item xlName="_GBC_7cca13db814d4298b7018c7e2dd9bc51" concept="clcid-pte:QiTaDaoZhiShaoShuGuDongQuanYiBianDongJinE" label="其他导致少数股东权益变动金额" periodRef="上年同期数" mulRef="_GBC_57faea4e453e49ad93821b7dd6ce8bc4" unitRef="_GBC_cef77704267643d794145c73763360e5" addr="T1R32C14S1_1" formatStyle="Comma"/>
        <m:item xlName="_GBC_c9027bfcd66641318c72f7e7633b96c5" concept="clcid-pte:QiTaDaoZhiGuDongQuanYiHeJiBianDongJinE" label="其他导致股东权益合计变动金额" periodRef="上年同期数" mulRef="_GBC_57faea4e453e49ad93821b7dd6ce8bc4" unitRef="_GBC_cef77704267643d794145c73763360e5" addr="T1R32C15S1_1" formatStyle="Comma"/>
        <m:placeholder xlName="_PLD_e9c8435b637745858c6ad855ad7bbea0" addr="T1R33C0S1_1"/>
        <m:item xlName="_GBC_7eb44bdf2b8b4859af253e7579d54199" concept="clcid-pte:GuBen" label="股本" periodRef="上年同期期末数" mulRef="_GBC_57faea4e453e49ad93821b7dd6ce8bc4" unitRef="_GBC_cef77704267643d794145c73763360e5" addr="T1R33C1S1_1" formatStyle="Comma">
          <m:complexRule comparator="Eq" title="股本@上年同期期末数" test=" $_GBC_463429ab366c4a0faabd8fd5c4eeb15c +  $_GBC_3ab306b1e7af486988948f50073e1e67" id="C89033ad94ff54efabeb7a729c2ecaa3a" radius="0.0001"/>
        </m:item>
        <m:item xlName="_GBC_bea1f4801a4e497d88b193481d641092" concept="clcid-pte:QiTaQuanYiGongJuQiZhongYouXianGu" label="其他权益工具-其中：优先股" periodRef="上年同期期末数" mulRef="_GBC_57faea4e453e49ad93821b7dd6ce8bc4" unitRef="_GBC_cef77704267643d794145c73763360e5" addr="T1R33C2S1_1" formatStyle="Comma">
          <m:complexRule comparator="Eq" title="其他权益工具-其中：优先股@上年同期期末数" test=" $_GBC_0fd8b540968644f4948b0a43dcc1580f +  $_GBC_a406be1c3baa4df6a5adc5e008b96345" id="Ca4e2475ebb8947529204055b7dad3eca"/>
        </m:item>
        <m:item xlName="_GBC_c6defc2332ba467a869cd3809be2b287" concept="clcid-pte:QiTaQuanYiGongJuYongXuZhai" label="其他权益工具-永续债" periodRef="上年同期期末数" mulRef="_GBC_57faea4e453e49ad93821b7dd6ce8bc4" unitRef="_GBC_cef77704267643d794145c73763360e5" addr="T1R33C3S1_1" formatStyle="Comma">
          <m:complexRule comparator="Eq" title="其他权益工具-永续债@上年同期期末数" test=" $_GBC_8f96f4b9e9d5432b84f3d53bd2fbdaba +  $_GBC_8e60ab9c28924845857bd1e82a8403e4" id="Cf7b29952c13e4c5099ec7e60356ec65d"/>
        </m:item>
        <m:item xlName="_GBC_f2079c4e099049de85451d46ac8f32da" concept="clcid-pte:QiTaQuanYiGongJuQiTa" label="其他权益工具-其他" periodRef="上年同期期末数" mulRef="_GBC_57faea4e453e49ad93821b7dd6ce8bc4" unitRef="_GBC_cef77704267643d794145c73763360e5" addr="T1R33C4S1_1" formatStyle="Comma">
          <m:complexRule comparator="Eq" title="其他权益工具-其他@上年同期期末数" test=" $_GBC_6163291996f64057b05ad30337ffe9e0 +  $_GBC_dc6cc1a8b5fa4bf48da6ed469bff45b0" id="C750ae56979084ef6ae83b8c296ac4f01"/>
        </m:item>
        <m:item xlName="_GBC_0fecb488dad34fc2ac4cd822558963ec" concept="clcid-pte:ZiBenGongJi" label="资本公积" periodRef="上年同期期末数" mulRef="_GBC_57faea4e453e49ad93821b7dd6ce8bc4" unitRef="_GBC_cef77704267643d794145c73763360e5" addr="T1R33C5S1_1" formatStyle="Comma">
          <m:complexRule comparator="Eq" title="资本公积@上年同期期末数" test=" $_GBC_8ad228b791ff43f5ad1561d7ca684671 +  $_GBC_8473cb7ae7f4427b8dd131df489fa36a" id="C0f2fceeea6c54419afd7b05a442d79a4" radius="0.0001"/>
        </m:item>
        <m:item xlName="_GBC_bea769b36a464377a6bf2c1152808bd1" concept="clcid-pte:KuCunGu" label="库存股" periodRef="上年同期期末数" mulRef="_GBC_57faea4e453e49ad93821b7dd6ce8bc4" unitRef="_GBC_cef77704267643d794145c73763360e5" addr="T1R33C6S1_1" formatStyle="Comma">
          <m:complexRule comparator="Eq" title="库存股@上年同期期末数" test=" $_GBC_9abb5ce9cbd9452986403063087da14c +  $_GBC_7647911c99b747d2aa762d221138c9c4" id="C654167ed562b421e8342a6622fb68c88" radius="0.0001"/>
        </m:item>
        <m:item xlName="_GBC_d6c5b5c52c6646cb9df5587ce8b360a3" concept="clcid-pte:QiTaZongHeShouYiZiChanFuZhaiBiaoXiangMu" label="其他综合收益（资产负债表项目）" periodRef="上年同期期末数" mulRef="_GBC_57faea4e453e49ad93821b7dd6ce8bc4" unitRef="_GBC_cef77704267643d794145c73763360e5" addr="T1R33C7S1_1" formatStyle="Comma">
          <m:complexRule comparator="Eq" title="其他综合收益（资产负债表项目）@上年同期期末数" test=" $_GBC_717af8769d284587b4e0d85c55c54be4 +  $_GBC_54c2f06d10694c42b164f9f7c8c24c19" id="C088d66b96ea34ab88c75948db56a24fc"/>
        </m:item>
        <m:item xlName="_GBC_92eea6b4f9a04a21946c2faaeb61710b" concept="clcid-pte:ZhuanXiangChuBei" label="专项储备" periodRef="上年同期期末数" mulRef="_GBC_57faea4e453e49ad93821b7dd6ce8bc4" unitRef="_GBC_cef77704267643d794145c73763360e5" addr="T1R33C8S1_1" formatStyle="Comma">
          <m:complexRule comparator="Eq" title="专项储备@上年同期期末数" test=" $_GBC_0dbc1d28380d4b48b03711d88ed56f1b +  $_GBC_45c28bff7f2947e79a97e03816b44836" id="C119e5c19d1ac41fa903134375027014f" radius="0.0001"/>
        </m:item>
        <m:item xlName="_GBC_a35e560ac4364b7eaed002728f549847" concept="clcid-pte:YingYuGongJi" label="盈余公积" periodRef="上年同期期末数" mulRef="_GBC_57faea4e453e49ad93821b7dd6ce8bc4" unitRef="_GBC_cef77704267643d794145c73763360e5" addr="T1R33C9S1_1" formatStyle="Comma">
          <m:complexRule comparator="Eq" title="盈余公积@上年同期期末数" test=" $_GBC_6931f14de9ae4e9db2c9b7f81f158218 +  $_GBC_5282e64d76064ff496bef9da7ba3cb38" id="C7b5c5dc470134a0faa5634e0046cb776"/>
        </m:item>
        <m:item xlName="_GBC_92e2f15230dd4a8c8bb1a3863063fb32" concept="clcid-pte:YiBanFengXianZhunBei" label="一般风险准备" periodRef="上年同期期末数" mulRef="_GBC_57faea4e453e49ad93821b7dd6ce8bc4" unitRef="_GBC_cef77704267643d794145c73763360e5" addr="T1R33C10S1_1" formatStyle="Comma">
          <m:complexRule comparator="Eq" title="一般风险准备@上年同期期末数" test=" $_GBC_a4f1aa6de84044b6a6b3214765a7508e +  $_GBC_aff81b712af942d1950df7bfb16184b1" id="Cca55c06eeec4415e8f0f8db936a47363"/>
        </m:item>
        <m:item xlName="_GBC_8b96d618590a46ccacfbdcf492cc8634" concept="clcid-pte:WeiFenPeiLiRun" label="未分配利润" periodRef="上年同期期末数" mulRef="_GBC_57faea4e453e49ad93821b7dd6ce8bc4" unitRef="_GBC_cef77704267643d794145c73763360e5" addr="T1R33C11S1_1" formatStyle="Comma">
          <m:complexRule comparator="Eq" title="未分配利润@上年同期期末数" test=" $_GBC_e78cfa47dbb84664a5ca613f752a1673 +  $_GBC_9b887145f03844beb15e2690e45ded4b" id="Cd9b8f009fce54f9192f2c633f25e1bf4"/>
        </m:item>
        <m:item xlName="_GBC_4cf593472787413d876b79e9732c3e9d" concept="clcid-pte:QiTaDeGuiShuYuMuGongSiSuoYouZheQuanYi" label="其他的归属于母公司所有者权益" periodRef="上年同期期末数" mulRef="_GBC_57faea4e453e49ad93821b7dd6ce8bc4" unitRef="_GBC_cef77704267643d794145c73763360e5" addr="T1R33C12S1_1" formatStyle="Comma">
          <m:complexRule comparator="Eq" title="其他的归属于母公司所有者权益@上年同期期末数" test=" $_GBC_be34bee636684ecba5f8a8345f1c13d8 +  $_GBC_721ced58af704b468077b49a45594ec0" id="C3d44058508f24ac08dd0b1b462a58ff9"/>
        </m:item>
        <m:item xlName="_GBC_0acdbc5b983044479054b15ca68d2979" concept="clcid-pte:GuiShuYuMuGongSiSuoYouZheQuanYiHeJi" label="归属于母公司所有者权益合计" periodRef="上年同期期末数" mulRef="_GBC_57faea4e453e49ad93821b7dd6ce8bc4" unitRef="_GBC_cef77704267643d794145c73763360e5" addr="T1R33C13S1_1" formatStyle="Comma">
          <m:complexRule comparator="Eq" title="归属于母公司所有者权益合计@上年同期期末数" test=" $_GBC_d37b2a094fd64c50b8c74275b2ea7c89 +  $_GBC_519747a00c6949a5bcc152eacbd03ac1" id="C31e776daf88f40b0863e78a29aba83a3"/>
        </m:item>
        <m:item xlName="_GBC_0a1b1326dd2a43fda5f3faab39696304" concept="clcid-pte:ShaoShuGuDongQuanYi" label="少数股东权益" periodRef="上年同期期末数" mulRef="_GBC_57faea4e453e49ad93821b7dd6ce8bc4" unitRef="_GBC_cef77704267643d794145c73763360e5" addr="T1R33C14S1_1" formatStyle="Comma">
          <m:complexRule comparator="Eq" title="少数股东权益@上年同期期末数" test=" $_GBC_1cbab821d4a348188e555da7c3810735 +  $_GBC_380e1cfcc313459cae08cf7858170444" id="Cf81d66ee32d1440483997046fdfa4444"/>
        </m:item>
        <m:item xlName="_GBC_a76d478b7a47434f83ee62b5544b78f3" concept="clcid-pte:GuDongQuanYiHeJi" label="股东权益合计" periodRef="上年同期期末数" mulRef="_GBC_57faea4e453e49ad93821b7dd6ce8bc4" unitRef="_GBC_cef77704267643d794145c73763360e5" addr="T1R33C15S1_1" formatStyle="Comma">
          <m:complexRule comparator="Eq" title="股东权益合计@上年同期期末数" test=" $_GBC_b753d2879310430b85393d22ce74cca7 +  $_GBC_7d38c3e4015b4306aa517461216f709f" id="C7c400e50e33e4cfdad4511005789595d"/>
        </m:item>
        <m:item xlName="_GBC_076a4a0998a840bab20f0ed83e5bab3d" concept="clcid-mr:GongSiFuZeRenXingMing" label="公司负责人姓名" binding="true"/>
        <m:item xlName="_GBC_5b21002df9e248fa81a6770579ce76cd" concept="clcid-mr:ZhuGuanKuaiJiGongZuoFuZeRenXingMing" label="主管会计工作负责人姓名" binding="true"/>
        <m:item xlName="_GBC_6a446d6543174dc48c72d440eefb0b71" concept="clcid-mr:KuaiJiJiGouFuZeRenXingMing" label="会计机构负责人姓名" binding="true"/>
      </m:region>
      <m:region xlName="_GBC_24560eea01804b8b9d3678736eb60ca8" title="母公司所有者权益变动表&#10;" mandatory="false" helpId="112001001" matrix="true" matrixTablePrefix="母公司所有者权益变动表">
        <m:item xlName="_GBC_048773409e614c6bb753000b028316a5" concept="clcid-ci-ar:DanWeiMuGongSiGuDongQuanYiDiaoJieBiao" label="单位：母公司股东权益调节表" selectOptions="_buildInScales" controlType="Combobox" cellType="Scale"/>
        <m:item xlName="_GBC_5214b7a188334da286fc3038d017d072" concept="clcid-ci-ar:BiZhongMuGongSiGuDongQuanYiDiaoJieBiao" label="币种：母公司股东权益调节表" selectOptions="_buildInISO4217" controlType="Combobox" cellType="Measure"/>
        <m:placeholder xlName="_PLD_e16babcb874e4410be91226aac3d24db" addr="T2R0C0S3_1"/>
        <m:placeholder xlName="_PLD_f6e21c3ce66d4e148eea3bf743a653b8" addr="T2R0C1S1_11"/>
        <m:placeholder xlName="_PLD_0b6e9703ed65458cb162afd47e6cc9f5" addr="T2R1C1S2_1"/>
        <m:placeholder xlName="_PLD_385a3413585444238bb59d181b958311" addr="T2R1C2S1_3"/>
        <m:placeholder xlName="_PLD_670488de432c4150880353e82f6ebb21" addr="T2R1C5S2_1"/>
        <m:placeholder xlName="_PLD_c1c25c4e521b4e8aba5ccfef16a558c5" addr="T2R1C6S2_1"/>
        <m:placeholder xlName="_PLD_4ef83c170ca54a08ac6fcebc6a487dcd" addr="T2R1C7S2_1"/>
        <m:placeholder xlName="_PLD_5a42f2a835d44138928915520fc5e902" addr="T2R1C8S2_1"/>
        <m:placeholder xlName="_PLD_dbef0e1514f54b8ab8b43e975d3451b6" addr="T2R1C9S2_1"/>
        <m:placeholder xlName="_PLD_63b6c2969ec64e7abb1802f027c1069a" addr="T2R1C10S2_1"/>
        <m:placeholder xlName="_PLD_cdd38492b3a84e28b52c6700432babfd" addr="T2R1C11S2_1"/>
        <m:placeholder xlName="_PLD_90c1cf3c29414463ba491093caed23a7" addr="T2R2C2S1_1"/>
        <m:placeholder xlName="_PLD_7dac20c025664b94b7a2176be4c24d00" addr="T2R2C3S1_1"/>
        <m:placeholder xlName="_PLD_23829f284d5149ee92e64b94083b1ade" addr="T2R2C4S1_1"/>
        <m:placeholder xlName="_PLD_b5131b53bda244fcbd76916797d6b666" addr="T2R3C0S1_1"/>
        <m:item xlName="_GBC_cc625cf898204a919461d4578243eef7" concept="clcid-pte:GuBen" label="股本" periodRef="上年度期末数" mulRef="_GBC_048773409e614c6bb753000b028316a5" unitRef="_GBC_5214b7a188334da286fc3038d017d072" addr="T2R3C1S1_1" formatStyle="Comma">
          <m:axisValue occRef="调整前的值"/>
          <m:axisValue occRef="母公司"/>
        </m:item>
        <m:item xlName="_GBC_fdb89b10340b4c258db06f241229201f" concept="clcid-pte:QiTaQuanYiGongJuQiZhongYouXianGu" label="其他权益工具-其中：优先股" periodRef="上年度期末数" mulRef="_GBC_048773409e614c6bb753000b028316a5" unitRef="_GBC_5214b7a188334da286fc3038d017d072" addr="T2R3C2S1_1" formatStyle="Comma">
          <m:axisValue occRef="调整前的值"/>
          <m:axisValue occRef="母公司"/>
        </m:item>
        <m:item xlName="_GBC_07d105c6f1c1416ca3fd6df57b2b2f12" concept="clcid-pte:QiTaQuanYiGongJuYongXuZhai" label="其他权益工具-永续债" periodRef="上年度期末数" mulRef="_GBC_048773409e614c6bb753000b028316a5" unitRef="_GBC_5214b7a188334da286fc3038d017d072" addr="T2R3C3S1_1" formatStyle="Comma">
          <m:axisValue occRef="调整前的值"/>
          <m:axisValue occRef="母公司"/>
        </m:item>
        <m:item xlName="_GBC_386146902ff8485ba3c6c9d718c71576" concept="clcid-pte:QiTaQuanYiGongJuQiTa" label="其他权益工具-其他" periodRef="上年度期末数" mulRef="_GBC_048773409e614c6bb753000b028316a5" unitRef="_GBC_5214b7a188334da286fc3038d017d072" addr="T2R3C4S1_1" formatStyle="Comma">
          <m:axisValue occRef="调整前的值"/>
          <m:axisValue occRef="母公司"/>
        </m:item>
        <m:item xlName="_GBC_de8fb7bf082c45e0880256c003bc224a" concept="clcid-pte:ZiBenGongJi" label="资本公积" periodRef="上年度期末数" mulRef="_GBC_048773409e614c6bb753000b028316a5" unitRef="_GBC_5214b7a188334da286fc3038d017d072" addr="T2R3C5S1_1" formatStyle="Comma">
          <m:axisValue occRef="调整前的值"/>
          <m:axisValue occRef="母公司"/>
        </m:item>
        <m:item xlName="_GBC_c3c4805dff0044f59a880539deb85270" concept="clcid-pte:KuCunGu" label="库存股" periodRef="上年度期末数" mulRef="_GBC_048773409e614c6bb753000b028316a5" unitRef="_GBC_5214b7a188334da286fc3038d017d072" addr="T2R3C6S1_1" formatStyle="Comma">
          <m:axisValue occRef="调整前的值"/>
          <m:axisValue occRef="母公司"/>
        </m:item>
        <m:item xlName="_GBC_04b8c38c13634f59a03c45b91e6a2197" concept="clcid-pte:QiTaZongHeShouYiZiChanFuZhaiBiaoXiangMu" label="其他综合收益（资产负债表项目）" periodRef="上年度期末数" mulRef="_GBC_048773409e614c6bb753000b028316a5" unitRef="_GBC_5214b7a188334da286fc3038d017d072" addr="T2R3C7S1_1" formatStyle="Comma">
          <m:axisValue occRef="调整前的值"/>
          <m:axisValue occRef="母公司"/>
        </m:item>
        <m:item xlName="_GBC_3e3192905f5e4e7fa65153abca247ee6" concept="clcid-pte:ZhuanXiangChuBei" label="专项储备" periodRef="上年度期末数" mulRef="_GBC_048773409e614c6bb753000b028316a5" unitRef="_GBC_5214b7a188334da286fc3038d017d072" addr="T2R3C8S1_1" formatStyle="Comma">
          <m:axisValue occRef="调整前的值"/>
          <m:axisValue occRef="母公司"/>
        </m:item>
        <m:item xlName="_GBC_b314d612b70b41c58b60a84b8e96915b" concept="clcid-pte:YingYuGongJi" label="盈余公积" periodRef="上年度期末数" mulRef="_GBC_048773409e614c6bb753000b028316a5" unitRef="_GBC_5214b7a188334da286fc3038d017d072" addr="T2R3C9S1_1" formatStyle="Comma">
          <m:axisValue occRef="调整前的值"/>
          <m:axisValue occRef="母公司"/>
        </m:item>
        <m:item xlName="_GBC_03576e5b4c2c46179b503f63e6fe29e0" concept="clcid-pte:WeiFenPeiLiRun" label="未分配利润" periodRef="上年度期末数" mulRef="_GBC_048773409e614c6bb753000b028316a5" unitRef="_GBC_5214b7a188334da286fc3038d017d072" addr="T2R3C10S1_1" formatStyle="Comma">
          <m:axisValue occRef="调整前的值"/>
          <m:axisValue occRef="母公司"/>
        </m:item>
        <m:item xlName="_GBC_3031f9c299ae4ba3b3b6f9d39dcd72ba" concept="clcid-pte:GuDongQuanYiHeJi" label="股东权益合计" periodRef="上年度期末数" mulRef="_GBC_048773409e614c6bb753000b028316a5" unitRef="_GBC_5214b7a188334da286fc3038d017d072" addr="T2R3C11S1_1" formatStyle="Comma">
          <m:axisValue occRef="调整前的值"/>
          <m:axisValue occRef="母公司"/>
        </m:item>
        <m:placeholder xlName="_PLD_66de901175bd4e50a35a24f0fca7513d" addr="T2R4C0S1_1"/>
        <m:item xlName="_GBC_42cf02b25c1d4f5ea3574d5fb4ed5e49" concept="clcid-pte:KuaiJiZhengCeBianGengDaoZhiShiShouZiBenHuoGuBenJingEBianDongJinE" label="会计政策变更导致实收资本（或股本）净额变动金额" periodRef="本期期初数" mulRef="_GBC_048773409e614c6bb753000b028316a5" unitRef="_GBC_5214b7a188334da286fc3038d017d072" addr="T2R4C1S1_1" formatStyle="Comma">
          <m:axisValue occRef="母公司"/>
        </m:item>
        <m:item xlName="_GBC_87ebf33c3b1c454f8dde54b2d7b59428" concept="clcid-pte:HuiJiZhengCeBianGengDaoZhiYouXianGuBianDongJinE" label="会计政策变更导致优先股变动金额" periodRef="本期期初数" mulRef="_GBC_048773409e614c6bb753000b028316a5" unitRef="_GBC_5214b7a188334da286fc3038d017d072" addr="T2R4C2S1_1" formatStyle="Comma">
          <m:axisValue occRef="母公司"/>
        </m:item>
        <m:item xlName="_GBC_dffe6871d62645dcab0d6ede5c12c9ed" concept="clcid-pte:HuiJiZhengCeBianGengDaoZhiYongXuZhaiBianDongJinE" label="会计政策变更导致永续债变动金额" periodRef="本期期初数" mulRef="_GBC_048773409e614c6bb753000b028316a5" unitRef="_GBC_5214b7a188334da286fc3038d017d072" addr="T2R4C3S1_1" formatStyle="Comma">
          <m:axisValue occRef="母公司"/>
        </m:item>
        <m:item xlName="_GBC_2361def70b0c4b59a4b0d6a3c2f89ed1" concept="clcid-pte:HuiJiZhengCeBianGengDaoZhiQiTaQuanYiGongJuZhongDeQiTaBianDongJinE" label="会计政策变更导致其他权益工具中的其他变动金额" periodRef="本期期初数" mulRef="_GBC_048773409e614c6bb753000b028316a5" unitRef="_GBC_5214b7a188334da286fc3038d017d072" addr="T2R4C4S1_1" formatStyle="Comma">
          <m:axisValue occRef="母公司"/>
        </m:item>
        <m:item xlName="_GBC_d71a6a60f98c428d87f9df73c8134349" concept="clcid-pte:KuaiJiZhengCeBianGengDaoZhiZiBenGongJiBianDongJinE" label="会计政策变更导致资本公积变动金额" periodRef="本期期初数" mulRef="_GBC_048773409e614c6bb753000b028316a5" unitRef="_GBC_5214b7a188334da286fc3038d017d072" addr="T2R4C5S1_1" formatStyle="Comma">
          <m:axisValue occRef="母公司"/>
        </m:item>
        <m:item xlName="_GBC_e121f1b17ae245d8a3b2ab915e6dc29a" concept="clcid-pte:KuaiJiZhengCeBianGengDaoZhiKuCunGuBianDongJinE" label="会计政策变更导致库存股变动金额" periodRef="本期期初数" mulRef="_GBC_048773409e614c6bb753000b028316a5" unitRef="_GBC_5214b7a188334da286fc3038d017d072" addr="T2R4C6S1_1" formatStyle="Comma">
          <m:axisValue occRef="母公司"/>
        </m:item>
        <m:item xlName="_GBC_3aa0f4cb3fd24f17a2db6808f3f82d74" concept="clcid-pte:HuiJiZhengCeBianGengDaoZhiQiTaZongHeShouYiBianDongJinE" label="会计政策变更导致其他综合收益变动金额" periodRef="本期期初数" mulRef="_GBC_048773409e614c6bb753000b028316a5" unitRef="_GBC_5214b7a188334da286fc3038d017d072" addr="T2R4C7S1_1" formatStyle="Comma">
          <m:axisValue occRef="母公司"/>
        </m:item>
        <m:item xlName="_GBC_6b7d8a5d2abc4ef1bc671e165d780eed" concept="clcid-pte:KuaiJiZhengCeBianGengDaoZhiZhuanXiangChuBeiBianDongJinE" label="会计政策变更导致专项储备变动金额" periodRef="本期期初数" mulRef="_GBC_048773409e614c6bb753000b028316a5" unitRef="_GBC_5214b7a188334da286fc3038d017d072" addr="T2R4C8S1_1" formatStyle="Comma">
          <m:axisValue occRef="母公司"/>
        </m:item>
        <m:item xlName="_GBC_1b87389f7fa74712bb34bd031de8679d" concept="clcid-pte:KuaiJiZhengCeBianGengDaoZhiYingYuGongJiBianDongJinE" label="会计政策变更导致盈余公积变动金额" periodRef="本期期初数" mulRef="_GBC_048773409e614c6bb753000b028316a5" unitRef="_GBC_5214b7a188334da286fc3038d017d072" addr="T2R4C9S1_1" formatStyle="Comma">
          <m:axisValue occRef="母公司"/>
        </m:item>
        <m:item xlName="_GBC_14bdacb8504c464eaf8712b0f4939a2f" concept="clcid-pte:KuaiJiZhengCeBianGengDaoZhiWeiFenPeiLiRunBianDongJinE" label="会计政策变更导致未分配利润变动金额" periodRef="本期期初数" mulRef="_GBC_048773409e614c6bb753000b028316a5" unitRef="_GBC_5214b7a188334da286fc3038d017d072" addr="T2R4C10S1_1" formatStyle="Comma">
          <m:axisValue occRef="母公司"/>
        </m:item>
        <m:item xlName="_GBC_72b6d96ffb154813a58db31263d56881" concept="clcid-pte:KuaiJiZhengCeBianGengDaoZhiGuDongQuanYiHeJiBianDongJinE" label="会计政策变更导致股东权益合计变动金额" periodRef="本期期初数" mulRef="_GBC_048773409e614c6bb753000b028316a5" unitRef="_GBC_5214b7a188334da286fc3038d017d072" addr="T2R4C11S1_1" formatStyle="Comma">
          <m:axisValue occRef="母公司"/>
        </m:item>
        <m:placeholder xlName="_PLD_3bfc3b7951f4488f95a7180f02c989cf" addr="T2R5C0S1_1"/>
        <m:item xlName="_GBC_56b3e92bb36145f78e2377f60b4c06b7" concept="clcid-pte:QianQiChaCuoGengZhengDaoZhiShiShouZiBenHuoGuBenJingEBianDongJinE" label="前期差错更正导致实收资本（或股本）净额变动金额" periodRef="本期期初数" mulRef="_GBC_048773409e614c6bb753000b028316a5" unitRef="_GBC_5214b7a188334da286fc3038d017d072" addr="T2R5C1S1_1" formatStyle="Comma">
          <m:axisValue occRef="母公司"/>
        </m:item>
        <m:item xlName="_GBC_893b147b48ba44f08045e2630c9956ad" concept="clcid-pte:QianQiChaCuoGengZhengDaoZhiYouXianGuBianDongJinE" label="前期差错更正导致优先股变动金额" periodRef="本期期初数" mulRef="_GBC_048773409e614c6bb753000b028316a5" unitRef="_GBC_5214b7a188334da286fc3038d017d072" addr="T2R5C2S1_1" formatStyle="Comma">
          <m:axisValue occRef="母公司"/>
        </m:item>
        <m:item xlName="_GBC_4475808d26dd4f6184d7ed8cff00f9e4" concept="clcid-pte:QianQiChaCuoGengZhengDaoZhiYongXuZhaiBianDongJinE" label="前期差错更正导致永续债变动金额" periodRef="本期期初数" mulRef="_GBC_048773409e614c6bb753000b028316a5" unitRef="_GBC_5214b7a188334da286fc3038d017d072" addr="T2R5C3S1_1" formatStyle="Comma">
          <m:axisValue occRef="母公司"/>
        </m:item>
        <m:item xlName="_GBC_29aaf13003fe4c1e9785635e73bed9ce" concept="clcid-pte:QianQiChaCuoGengZhengDaoZhiQiTaQuanYiGongJuZhongDeQiTaBianDongJinE" label="前期差错更正导致其他权益工具中的其他变动金额" periodRef="本期期初数" mulRef="_GBC_048773409e614c6bb753000b028316a5" unitRef="_GBC_5214b7a188334da286fc3038d017d072" addr="T2R5C4S1_1" formatStyle="Comma">
          <m:axisValue occRef="母公司"/>
        </m:item>
        <m:item xlName="_GBC_184498442a114d1693b2cc6a823a3a7d" concept="clcid-pte:QianQiChaCuoGengZhengDaoZhiZiBenGongJiBianDongJinE" label="前期差错更正导致资本公积变动金额" periodRef="本期期初数" mulRef="_GBC_048773409e614c6bb753000b028316a5" unitRef="_GBC_5214b7a188334da286fc3038d017d072" addr="T2R5C5S1_1" formatStyle="Comma">
          <m:axisValue occRef="母公司"/>
        </m:item>
        <m:item xlName="_GBC_560baab250d940f08ae6f2c2627eb8c3" concept="clcid-pte:QianQiChaCuoGengZhengDaoZhiKuCunGuBianDongJinE" label="前期差错更正导致库存股变动金额" periodRef="本期期初数" mulRef="_GBC_048773409e614c6bb753000b028316a5" unitRef="_GBC_5214b7a188334da286fc3038d017d072" addr="T2R5C6S1_1" formatStyle="Comma">
          <m:axisValue occRef="母公司"/>
        </m:item>
        <m:item xlName="_GBC_e1a35126a405468199aff67b2756d145" concept="clcid-pte:QianQiChaCuoGengZhengDaoZhiQiTaZongHeShouYiBianDongJinE" label="前期差错更正导致其他综合收益变动金额" periodRef="本期期初数" mulRef="_GBC_048773409e614c6bb753000b028316a5" unitRef="_GBC_5214b7a188334da286fc3038d017d072" addr="T2R5C7S1_1" formatStyle="Comma">
          <m:axisValue occRef="母公司"/>
        </m:item>
        <m:item xlName="_GBC_44166282a2da4958927cac26cb5adc9f" concept="clcid-pte:QianQiChaCuoGengZhengDaoZhiZhuanXiangChuBeiBianDongJinE" label="前期差错更正导致专项储备变动金额" periodRef="本期期初数" mulRef="_GBC_048773409e614c6bb753000b028316a5" unitRef="_GBC_5214b7a188334da286fc3038d017d072" addr="T2R5C8S1_1" formatStyle="Comma">
          <m:axisValue occRef="母公司"/>
        </m:item>
        <m:item xlName="_GBC_58529cea90a5428a8a18b7de60847df0" concept="clcid-pte:QianQiChaCuoGengZhengDaoZhiYingYuGongJiBianDongJinE" label="前期差错更正导致盈余公积变动金额" periodRef="本期期初数" mulRef="_GBC_048773409e614c6bb753000b028316a5" unitRef="_GBC_5214b7a188334da286fc3038d017d072" addr="T2R5C9S1_1" formatStyle="Comma">
          <m:axisValue occRef="母公司"/>
        </m:item>
        <m:item xlName="_GBC_d852a19ca6804da6b1133b550e243e77" concept="clcid-pte:QianQiChaCuoGengZhengDaoZhiWeiFenPeiLiRunBianDongJinE" label="前期差错更正导致未分配利润变动金额" periodRef="本期期初数" mulRef="_GBC_048773409e614c6bb753000b028316a5" unitRef="_GBC_5214b7a188334da286fc3038d017d072" addr="T2R5C10S1_1" formatStyle="Comma">
          <m:axisValue occRef="母公司"/>
        </m:item>
        <m:item xlName="_GBC_4a12c1ecf41c4171bfe14446ef7af394" concept="clcid-pte:QianQiChaCuoGengZhengDaoZhiGuDongQuanYiHeJiBianDongJinE" label="前期差错更正导致股东权益合计变动金额" periodRef="本期期初数" mulRef="_GBC_048773409e614c6bb753000b028316a5" unitRef="_GBC_5214b7a188334da286fc3038d017d072" addr="T2R5C11S1_1" formatStyle="Comma">
          <m:axisValue occRef="母公司"/>
        </m:item>
        <m:placeholder xlName="_PLD_dc9b9aaf7e384b1eae7dcabb517c2b1e" addr="T2R6C0S1_1"/>
        <m:item xlName="_GBC_a4e50167b0234173b1e047cdce723fcf" concept="clcid-pte:QiTaZhuiSuTiaoZhengDaoZhiShiShouZiBenBianDongJinE" label="实收资本变动金额（其他追溯调整）" periodRef="本期期初数" mulRef="_GBC_048773409e614c6bb753000b028316a5" unitRef="_GBC_5214b7a188334da286fc3038d017d072" addr="T2R6C1S1_1" formatStyle="Comma">
          <m:axisValue occRef="母公司"/>
        </m:item>
        <m:item xlName="_GBC_b20c116230be4667a5054a719ba106a9" concept="clcid-pte:YouXianGuBianDongJinEQiTaZhuiSuDiaoZheng" label="优先股变动金额（其他追溯调整）" periodRef="本期期初数" mulRef="_GBC_048773409e614c6bb753000b028316a5" unitRef="_GBC_5214b7a188334da286fc3038d017d072" addr="T2R6C2S1_1" formatStyle="Comma">
          <m:axisValue occRef="母公司"/>
        </m:item>
        <m:item xlName="_GBC_b050b7d154134645b725462d713936e9" concept="clcid-pte:YongXuZhaiBianDongJinEQiTaZhuiSuDiaoZheng" label="永续债变动金额（其他追溯调整）" periodRef="本期期初数" mulRef="_GBC_048773409e614c6bb753000b028316a5" unitRef="_GBC_5214b7a188334da286fc3038d017d072" addr="T2R6C3S1_1" formatStyle="Comma">
          <m:axisValue occRef="母公司"/>
        </m:item>
        <m:item xlName="_GBC_67c49c05a94d45a39f5a6d2db97c0ecf" concept="clcid-pte:QiTaQuanYiGongJuZhongDeQiTaBianDongJinEQiTaZhuiSuDiaoZheng" label="其他权益工具中的其他变动金额（其他追溯调整）" periodRef="本期期初数" mulRef="_GBC_048773409e614c6bb753000b028316a5" unitRef="_GBC_5214b7a188334da286fc3038d017d072" addr="T2R6C4S1_1" formatStyle="Comma">
          <m:axisValue occRef="母公司"/>
        </m:item>
        <m:item xlName="_GBC_addef84ef97b49f69c8539767a5ced3e" concept="clcid-pte:QiTaZhuiSuTiaoZhengDaoZhiZiBenGongJiBianDongJinE" label="资本公积变动金额（其他追溯调整）" periodRef="本期期初数" mulRef="_GBC_048773409e614c6bb753000b028316a5" unitRef="_GBC_5214b7a188334da286fc3038d017d072" addr="T2R6C5S1_1" formatStyle="Comma">
          <m:axisValue occRef="母公司"/>
        </m:item>
        <m:item xlName="_GBC_0876a4a3903e42468a38c4f7f12b4707" concept="clcid-pte:QiTaZhuiSuTiaoZhengDaoZhiKuCunGuBianDongJinE" label="库存股变动金额（其他追溯调整）" periodRef="本期期初数" mulRef="_GBC_048773409e614c6bb753000b028316a5" unitRef="_GBC_5214b7a188334da286fc3038d017d072" addr="T2R6C6S1_1" formatStyle="Comma">
          <m:axisValue occRef="母公司"/>
        </m:item>
        <m:item xlName="_GBC_7989400e56554a8984bc4146fdf22a1b" concept="clcid-pte:QiTaZongHeShouYiBianDongJinEQiTaZhuiSuDiaoZheng" label="其他综合收益变动金额（其他追溯调整）" periodRef="本期期初数" mulRef="_GBC_048773409e614c6bb753000b028316a5" unitRef="_GBC_5214b7a188334da286fc3038d017d072" addr="T2R6C7S1_1" formatStyle="Comma">
          <m:axisValue occRef="母公司"/>
        </m:item>
        <m:item xlName="_GBC_f73e1ad0c9854d45b725bb22006b66dc" concept="clcid-pte:QiTaZhuiSuTiaoZhengDaoZhiZhuanXiangChuBeiBianDongJinE" label="专项储备变动金额（其他追溯调整）" periodRef="本期期初数" mulRef="_GBC_048773409e614c6bb753000b028316a5" unitRef="_GBC_5214b7a188334da286fc3038d017d072" addr="T2R6C8S1_1" formatStyle="Comma">
          <m:axisValue occRef="母公司"/>
        </m:item>
        <m:item xlName="_GBC_1e9945ade30742d7a98de3c11d756e09" concept="clcid-pte:QiTaZhuiSuTiaoZhengDaoZhiYingYuGongJiBianDongJinE" label="盈余公积变动金额（其他追溯调整）" periodRef="本期期初数" mulRef="_GBC_048773409e614c6bb753000b028316a5" unitRef="_GBC_5214b7a188334da286fc3038d017d072" addr="T2R6C9S1_1" formatStyle="Comma">
          <m:axisValue occRef="母公司"/>
        </m:item>
        <m:item xlName="_GBC_242b1b9d90284b4c9697a19e2b6327ae" concept="clcid-pte:QiTaZhuiSuTiaoZhengDaoZhiWeiFenPeiLiRunBianDongJinE" label="未分配利润变动金额（其他追溯调整）" periodRef="本期期初数" mulRef="_GBC_048773409e614c6bb753000b028316a5" unitRef="_GBC_5214b7a188334da286fc3038d017d072" addr="T2R6C10S1_1" formatStyle="Comma">
          <m:axisValue occRef="母公司"/>
        </m:item>
        <m:item xlName="_GBC_30dc8108177841619e48d3c1420b4bcd" concept="clcid-pte:QiTaZhuiSuTiaoZhengDaoZhiGuDongQuanYiBianDongJinE" label="股东权益变动金额（其他追溯调整）" periodRef="本期期初数" mulRef="_GBC_048773409e614c6bb753000b028316a5" unitRef="_GBC_5214b7a188334da286fc3038d017d072" addr="T2R6C11S1_1" formatStyle="Comma">
          <m:axisValue occRef="母公司"/>
        </m:item>
        <m:placeholder xlName="_PLD_345919472b384d0eb13471ef5f2f5e92" addr="T2R7C0S1_1"/>
        <m:item xlName="_GBC_85a6da49b03246b7abdc941be9570cba" concept="clcid-pte:GuBen" label="股本" periodRef="本期期初数" mulRef="_GBC_048773409e614c6bb753000b028316a5" unitRef="_GBC_5214b7a188334da286fc3038d017d072" addr="T2R7C1S1_1" formatStyle="Comma">
          <m:complexRule comparator="Eq" title="母公司股本@本期期初数" test=" $_GBC_cc625cf898204a919461d4578243eef7 +  $_GBC_42cf02b25c1d4f5ea3574d5fb4ed5e49 +  $_GBC_56b3e92bb36145f78e2377f60b4c06b7 +  $_GBC_a4e50167b0234173b1e047cdce723fcf" id="C36530b45b306424da5289597d0d4a5cf"/>
          <m:axisValue occRef="母公司"/>
        </m:item>
        <m:item xlName="_GBC_dccc9a57aaba41a881b16ea5df208c0d" concept="clcid-pte:QiTaQuanYiGongJuQiZhongYouXianGu" label="其他权益工具-其中：优先股" periodRef="本期期初数" mulRef="_GBC_048773409e614c6bb753000b028316a5" unitRef="_GBC_5214b7a188334da286fc3038d017d072" addr="T2R7C2S1_1" formatStyle="Comma">
          <m:complexRule comparator="Eq" title="母公司其他权益工具-其中：优先股@本期期初数" test=" $_GBC_fdb89b10340b4c258db06f241229201f +  $_GBC_87ebf33c3b1c454f8dde54b2d7b59428 +  $_GBC_893b147b48ba44f08045e2630c9956ad +  $_GBC_b20c116230be4667a5054a719ba106a9" id="C0d56876495794502a75e27390108e9cb"/>
          <m:axisValue occRef="母公司"/>
        </m:item>
        <m:item xlName="_GBC_3eb2a851039343f198cfa8fc00a422eb" concept="clcid-pte:QiTaQuanYiGongJuYongXuZhai" label="其他权益工具-永续债" periodRef="本期期初数" mulRef="_GBC_048773409e614c6bb753000b028316a5" unitRef="_GBC_5214b7a188334da286fc3038d017d072" addr="T2R7C3S1_1" formatStyle="Comma">
          <m:complexRule comparator="Eq" title="母公司其他权益工具-永续债@本期期初数" test=" $_GBC_07d105c6f1c1416ca3fd6df57b2b2f12 +  $_GBC_dffe6871d62645dcab0d6ede5c12c9ed +  $_GBC_4475808d26dd4f6184d7ed8cff00f9e4 +  $_GBC_b050b7d154134645b725462d713936e9" id="C653a5d17ff1d4d7fb976989fff05dfc7"/>
          <m:axisValue occRef="母公司"/>
        </m:item>
        <m:item xlName="_GBC_06ba62c1f35e4dd18f1a1c059e918481" concept="clcid-pte:QiTaQuanYiGongJuQiTa" label="其他权益工具-其他" periodRef="本期期初数" mulRef="_GBC_048773409e614c6bb753000b028316a5" unitRef="_GBC_5214b7a188334da286fc3038d017d072" addr="T2R7C4S1_1" formatStyle="Comma">
          <m:complexRule comparator="Eq" title="母公司其他权益工具-其他@本期期初数" test=" $_GBC_386146902ff8485ba3c6c9d718c71576 +  $_GBC_2361def70b0c4b59a4b0d6a3c2f89ed1 +  $_GBC_29aaf13003fe4c1e9785635e73bed9ce +  $_GBC_67c49c05a94d45a39f5a6d2db97c0ecf" id="Cd732f9ae3a674738b503f69c0e35015e"/>
          <m:axisValue occRef="母公司"/>
        </m:item>
        <m:item xlName="_GBC_87cd6e71dfd74e1d80635635d6d499e2" concept="clcid-pte:ZiBenGongJi" label="资本公积" periodRef="本期期初数" mulRef="_GBC_048773409e614c6bb753000b028316a5" unitRef="_GBC_5214b7a188334da286fc3038d017d072" addr="T2R7C5S1_1" formatStyle="Comma">
          <m:complexRule comparator="Eq" title="母公司资本公积@本期期初数" test=" $_GBC_de8fb7bf082c45e0880256c003bc224a +  $_GBC_d71a6a60f98c428d87f9df73c8134349 +  $_GBC_184498442a114d1693b2cc6a823a3a7d +  $_GBC_addef84ef97b49f69c8539767a5ced3e" id="C8f76daa10cd44cc9a0b447b12bd7ab40"/>
          <m:axisValue occRef="母公司"/>
        </m:item>
        <m:item xlName="_GBC_114922bd5cad4e92ba6d225e29c2cbcc" concept="clcid-pte:KuCunGu" label="库存股" periodRef="本期期初数" mulRef="_GBC_048773409e614c6bb753000b028316a5" unitRef="_GBC_5214b7a188334da286fc3038d017d072" addr="T2R7C6S1_1" formatStyle="Comma">
          <m:complexRule comparator="Eq" title="母公司库存股@本期期初数" test=" $_GBC_c3c4805dff0044f59a880539deb85270 +  $_GBC_e121f1b17ae245d8a3b2ab915e6dc29a +  $_GBC_560baab250d940f08ae6f2c2627eb8c3 +  $_GBC_0876a4a3903e42468a38c4f7f12b4707" id="C2a09503d9fe2418581c1edfe04a9f8a5"/>
          <m:axisValue occRef="母公司"/>
        </m:item>
        <m:item xlName="_GBC_0f6fcd7fbe464a35b4a293cab10be02b" concept="clcid-pte:QiTaZongHeShouYiZiChanFuZhaiBiaoXiangMu" label="其他综合收益（资产负债表项目）" periodRef="本期期初数" mulRef="_GBC_048773409e614c6bb753000b028316a5" unitRef="_GBC_5214b7a188334da286fc3038d017d072" addr="T2R7C7S1_1" formatStyle="Comma">
          <m:complexRule comparator="Eq" title="母公司其他综合收益（资产负债表项目）@本期期初数" test=" $_GBC_04b8c38c13634f59a03c45b91e6a2197 +  $_GBC_3aa0f4cb3fd24f17a2db6808f3f82d74 +  $_GBC_e1a35126a405468199aff67b2756d145 +  $_GBC_7989400e56554a8984bc4146fdf22a1b" id="C9f5d38dbc79845f684177f7df7d158fe"/>
          <m:axisValue occRef="母公司"/>
        </m:item>
        <m:item xlName="_GBC_b9de9b0acdaf45a8ba406572c22253ec" concept="clcid-pte:ZhuanXiangChuBei" label="专项储备" periodRef="本期期初数" mulRef="_GBC_048773409e614c6bb753000b028316a5" unitRef="_GBC_5214b7a188334da286fc3038d017d072" addr="T2R7C8S1_1" formatStyle="Comma">
          <m:complexRule comparator="Eq" title="母公司专项储备@本期期初数" test=" $_GBC_3e3192905f5e4e7fa65153abca247ee6 +  $_GBC_6b7d8a5d2abc4ef1bc671e165d780eed +  $_GBC_44166282a2da4958927cac26cb5adc9f +  $_GBC_f73e1ad0c9854d45b725bb22006b66dc" id="C967b77ae5adf47c387cf02ea22c43bc8"/>
          <m:axisValue occRef="母公司"/>
        </m:item>
        <m:item xlName="_GBC_c40ab025d2d441f2b2c94494e0d106ee" concept="clcid-pte:YingYuGongJi" label="盈余公积" periodRef="本期期初数" mulRef="_GBC_048773409e614c6bb753000b028316a5" unitRef="_GBC_5214b7a188334da286fc3038d017d072" addr="T2R7C9S1_1" formatStyle="Comma">
          <m:complexRule comparator="Eq" title="母公司盈余公积@本期期初数" test=" $_GBC_b314d612b70b41c58b60a84b8e96915b +  $_GBC_1b87389f7fa74712bb34bd031de8679d +  $_GBC_58529cea90a5428a8a18b7de60847df0 +  $_GBC_1e9945ade30742d7a98de3c11d756e09" id="C4ab247fb08364c7da30d36330323ac4b"/>
          <m:axisValue occRef="母公司"/>
        </m:item>
        <m:item xlName="_GBC_ffdbb6bb26a947938b38672ca5df4e68" concept="clcid-pte:WeiFenPeiLiRun" label="未分配利润" periodRef="本期期初数" mulRef="_GBC_048773409e614c6bb753000b028316a5" unitRef="_GBC_5214b7a188334da286fc3038d017d072" addr="T2R7C10S1_1" formatStyle="Comma">
          <m:complexRule comparator="Eq" title="母公司未分配利润@本期期初数" test=" $_GBC_03576e5b4c2c46179b503f63e6fe29e0 +  $_GBC_14bdacb8504c464eaf8712b0f4939a2f +  $_GBC_d852a19ca6804da6b1133b550e243e77 +  $_GBC_242b1b9d90284b4c9697a19e2b6327ae" id="C04e7872c0ce24a1692d6e0370555cd83"/>
          <m:axisValue occRef="母公司"/>
        </m:item>
        <m:item xlName="_GBC_437e9e5e45be47c2af464f3d199411f3" concept="clcid-pte:GuDongQuanYiHeJi" label="股东权益合计" periodRef="本期期初数" mulRef="_GBC_048773409e614c6bb753000b028316a5" unitRef="_GBC_5214b7a188334da286fc3038d017d072" addr="T2R7C11S1_1" formatStyle="Comma">
          <m:complexRule comparator="Eq" title="母公司股东权益合计@本期期初数" test=" $_GBC_3031f9c299ae4ba3b3b6f9d39dcd72ba +  $_GBC_72b6d96ffb154813a58db31263d56881 +  $_GBC_4a12c1ecf41c4171bfe14446ef7af394 +  $_GBC_30dc8108177841619e48d3c1420b4bcd" id="Ced03a79964164e19b829b51daddaac18"/>
          <m:axisValue occRef="母公司"/>
        </m:item>
        <m:placeholder xlName="_PLD_4eea4cc259884a6ab5f2fe018aec3d4e" addr="T2R8C0S1_1"/>
        <m:item xlName="_GBC_2485e08cb32d450a85efe22a3aa4da7b" concept="clcid-pte:ShiShouZiBenHuoGuBenJingEZengJianBianDongJinE" label="实收资本（或股本）净额增减变动金额" mulRef="_GBC_048773409e614c6bb753000b028316a5" unitRef="_GBC_5214b7a188334da286fc3038d017d072" addr="T2R8C1S1_1" formatStyle="Comma">
          <m:complexRule comparator="Eq" title="母公司实收资本（或股本）净额增减变动金额" test=" $_GBC_bafb887362134f71bc6ea7bf1a56e135 +  $_GBC_53124b0abc94408586386dcf21742d7d +  $_GBC_cbb7211cf05f40dfa328fabcaf4451ac +  $_GBC_f283c649fc1342198eff95dfe47a3805 +  $_GBC_2cbca74f80a744339bc2c82ccb3a5682 +  $_GBC_7c98f87bd16e47478f964cb740105704" id="C299bca0ea5094f2eb8f9c197106c9414"/>
          <m:axisValue occRef="母公司"/>
        </m:item>
        <m:item xlName="_GBC_f37d94262aab49bea3011e8de3bbd70f" concept="clcid-pte:QiTaQuanYiGongJuZhongDeYouXianGuZengJianBianDongJinE" label="其他权益工具中的优先股增减变动金额" mulRef="_GBC_048773409e614c6bb753000b028316a5" unitRef="_GBC_5214b7a188334da286fc3038d017d072" addr="T2R8C2S1_1" formatStyle="Comma">
          <m:complexRule comparator="Eq" title="母公司其他权益工具中的优先股增减变动金额" test=" $_GBC_bdb054bda43247959fdb490843b0dc7d +  $_GBC_04da6968053f4d92a694f8bbec91e45d +  $_GBC_7efc769dca144d748f3739c7952bb4b2 +  $_GBC_ef91efe5622b435aa7743a80121de833 +  $_GBC_ba1ea232086f49679eced5f9c476bd7d +  $_GBC_018b41c23e7440efae60bc74cd0e6ec1" id="C88d1742466fa47f6ab5a56258a299116"/>
          <m:axisValue occRef="母公司"/>
        </m:item>
        <m:item xlName="_GBC_fafb0b1b1d4b4b86ae4b5a9775402762" concept="clcid-pte:QiTaQuanYiGongJuZhongDeYongXuZhaiZengJianBianDongJinE" label="其他权益工具中的永续债增减变动金额" mulRef="_GBC_048773409e614c6bb753000b028316a5" unitRef="_GBC_5214b7a188334da286fc3038d017d072" addr="T2R8C3S1_1" formatStyle="Comma">
          <m:complexRule comparator="Eq" title="母公司其他权益工具中的永续债增减变动金额" test=" $_GBC_515f56f9ceb0425db3fc55587a878fe4 +  $_GBC_d8069e8e7ea94d5797a9d75fe2bc95b9 +  $_GBC_5490806b7ea342d6b7c3431d90cb5a5e +  $_GBC_4ac9c71994ac4ff799a55b82157015cb +  $_GBC_16754af9da4b47f2b1cc38d7856d8f8b +  $_GBC_964e15418f9e4ee9867ccd2056b9e409" id="C8291973eac6d42f99b152707146b9755"/>
          <m:axisValue occRef="母公司"/>
        </m:item>
        <m:item xlName="_GBC_764625b02cd94860af03adbd1c11a630" concept="clcid-pte:QiTaQuanYiGongJuZhongDeQiTaZengJianBianDongJinE" label="其他权益工具中的其他增减变动金额" mulRef="_GBC_048773409e614c6bb753000b028316a5" unitRef="_GBC_5214b7a188334da286fc3038d017d072" addr="T2R8C4S1_1" formatStyle="Comma">
          <m:complexRule comparator="Eq" title="母公司其他权益工具中的其他增减变动金额" test=" $_GBC_a55b7822b9ec430089892d845619c2a5 +  $_GBC_9f00dd6a190642b3b64721e10ebab6cb +  $_GBC_d54c713a1a36439d871e50b06644a07d +  $_GBC_f272c4ee43e34fa49fb65c1fea08629f +  $_GBC_96f1f37c2ebe4120bdb43159f84fc442 +  $_GBC_49bf533919214ab7bc94515751717793" id="C933b1d9c8a18492ca3086a1692286db9"/>
          <m:axisValue occRef="母公司"/>
        </m:item>
        <m:item xlName="_GBC_c44fedef97fd45b4900be8773a750464" concept="clcid-pte:ZiBenGongJiZengJianBianDongJinE" label="资本公积增减变动金额" mulRef="_GBC_048773409e614c6bb753000b028316a5" unitRef="_GBC_5214b7a188334da286fc3038d017d072" addr="T2R8C5S1_1" formatStyle="Comma">
          <m:complexRule comparator="Eq" title="母公司资本公积增减变动金额" test=" $_GBC_539884210628448b927f8a942713a833 +  $_GBC_1148945afee64297a169f2ac8b8cb89e +  $_GBC_68ab5139b8ff40ac80a4db45813c9477 +  $_GBC_0f6acc3ef97c4ecbbcfb5086e2d5da4f +  $_GBC_c971cbdcb4e7450ab76accb648f822a9 +  $_GBC_f6814972acb040cb8f8ce2db97e4c74f" id="Cd12576c64e37428f8e7ab3c3c1b645ff"/>
          <m:axisValue occRef="母公司"/>
        </m:item>
        <m:item xlName="_GBC_700156d9f1474bc8939b7e2126fc4b2d" concept="clcid-pte:KuCunGuZengJianBianDongJinE" label="库存股增减变动金额" mulRef="_GBC_048773409e614c6bb753000b028316a5" unitRef="_GBC_5214b7a188334da286fc3038d017d072" addr="T2R8C6S1_1" formatStyle="Comma">
          <m:complexRule comparator="Eq" title="母公司库存股增减变动金额" test=" $_GBC_3fb671fe204548e2a581048005b70e18 +  $_GBC_e2cd97163583414dba53674ff5b486c2 +  $_GBC_feafb3a59f2b4afaa0aa20611608ab05 +  $_GBC_0d9772d823c6492e8371be725cb8f5c2 +  $_GBC_08f333e1ae844c698c8198354620896b +  $_GBC_d3d5c9dbddbf4eb58b8734a6dc4a2589" id="C07f6ab1c094e486ca7a62ddbfeb33176"/>
          <m:axisValue occRef="母公司"/>
        </m:item>
        <m:item xlName="_GBC_10a50e00f7bc44ec8347b7b66f7414d2" concept="clcid-pte:QiTaZongHeShouYiZengJianBianDongJinE" label="其他综合收益增减变动金额" mulRef="_GBC_048773409e614c6bb753000b028316a5" unitRef="_GBC_5214b7a188334da286fc3038d017d072" addr="T2R8C7S1_1" formatStyle="Comma">
          <m:complexRule comparator="Eq" title="母公司其他综合收益增减变动金额" test=" $_GBC_1eb836189e4f4076a0c58969a56cb56f +  $_GBC_99a0fee938134a7e8f8935c722e5264f +  $_GBC_a4ae582c163a407bbe913ee1800bb956 +  $_GBC_05d4a4b3c8a74bbaa40c911fb4960c78 +  $_GBC_7aefe5a89f7941afba1423447c04e7b7 +  $_GBC_d28c4273adaa462489c3b6fc95c1fef7" id="C7a563c43bdbe4739a632aaefccf658d8"/>
          <m:axisValue occRef="母公司"/>
        </m:item>
        <m:item xlName="_GBC_9cf0737ee22247338dc303d03d64f6b4" concept="clcid-pte:ZhuanXiangChuBeiZengJianBianDongJinE" label="专项储备增减变动金额" mulRef="_GBC_048773409e614c6bb753000b028316a5" unitRef="_GBC_5214b7a188334da286fc3038d017d072" addr="T2R8C8S1_1" formatStyle="Comma">
          <m:complexRule comparator="Eq" title="母公司专项储备增减变动金额" test=" $_GBC_6134b274d09046249a60a70dd8187853 +  $_GBC_9d50d198419d4c6db3293a235197aa32 +  $_GBC_c4d7d58fa145478690e9e4209a44b3aa +  $_GBC_0b9cda03d7654088aaa463ecda825ec7 +  $_GBC_b20f61c7bfab4a5a92fc287469774e41 +  $_GBC_78ce8b687a624a4a8faf3d358624042b" id="Cd76a1807528e4ae4bed805d7ba7c516f"/>
          <m:axisValue occRef="母公司"/>
        </m:item>
        <m:item xlName="_GBC_80cd41b0fb664a6e967663873f0e2fa7" concept="clcid-pte:YingYuGongJiZengJianBianDongJinE" label="盈余公积增减变动金额" mulRef="_GBC_048773409e614c6bb753000b028316a5" unitRef="_GBC_5214b7a188334da286fc3038d017d072" addr="T2R8C9S1_1" formatStyle="Comma">
          <m:complexRule comparator="Eq" title="母公司盈余公积增减变动金额" test=" $_GBC_645716e9fd3e497a81a47f886522e214 +  $_GBC_a174ff1aaa75414ca2e158d78f744d3d +  $_GBC_a0349cbf8a064523a3b3dee7665a041e +  $_GBC_6462d048d6314f59bcaa1c66b7df4d48 +  $_GBC_d5f93c8d0480464ebd1ced2fce559cdd +  $_GBC_4bbf8246a8b54d4983e9cf776f7f1283" id="Cb2421ba1d50d4c64b6b26a3e21f4c9a3"/>
          <m:axisValue occRef="母公司"/>
        </m:item>
        <m:item xlName="_GBC_61d10a7845be4be1b7583a44f08f6dd8" concept="clcid-pte:WeiFenPeiLiRunZengJianBianDongJinE" label="未分配利润增减变动金额" mulRef="_GBC_048773409e614c6bb753000b028316a5" unitRef="_GBC_5214b7a188334da286fc3038d017d072" addr="T2R8C10S1_1" formatStyle="Comma">
          <m:complexRule comparator="Eq" title="母公司未分配利润增减变动金额" test=" $_GBC_2e12858fa16b42059ad0fda66e2eaeb0 +  $_GBC_820c892f101943bd807c5af51955ffd4 +  $_GBC_cba52aa78ab34012b0a801d66eb8a2e2 +  $_GBC_f46d5e57a018475f8082fc51dd15e49e +  $_GBC_2e8bc48548d041e6ac139f8ff05dab4e +  $_GBC_8f083dff6a524622ae71c02b51f6181b" id="C633ee37e327e4aae8a24456a12311dd8"/>
          <m:axisValue occRef="母公司"/>
        </m:item>
        <m:item xlName="_GBC_dd44f39ad16c493489dd5f338f6b2e42" concept="clcid-pte:GuDongQuanYiHeJiZengJianBianDongJinE" label="股东权益合计增减变动金额" mulRef="_GBC_048773409e614c6bb753000b028316a5" unitRef="_GBC_5214b7a188334da286fc3038d017d072" addr="T2R8C11S1_1" formatStyle="Comma">
          <m:complexRule comparator="Eq" title="母公司股东权益合计增减变动金额" test=" $_GBC_8da94b7e0cbc4da6a8df2743bfcbfcfe +  $_GBC_3a6bf7d4c5fe48f19485439583e14c69 +  $_GBC_dd847f4c5b6446e4ad29a7717e967fe4 +  $_GBC_782b87c6adc54716910c267017ad800a +  $_GBC_edde1be052f04992b611b072eec8d60b +  $_GBC_48a420d2abcf4babbfd864619f365e6e" id="C93e0e6598f614435a473bd83eaed513a"/>
          <m:axisValue occRef="母公司"/>
        </m:item>
        <m:placeholder xlName="_PLD_c2eb317db9474ea9b9513a40ba81d9f7" addr="T2R9C0S1_1"/>
        <m:item xlName="_GBC_bafb887362134f71bc6ea7bf1a56e135" concept="clcid-pte:ZongHeShouYiZongEDaoZhiGuBenBianDongJinE" label="综合收益总额导致股本变动金额" mulRef="_GBC_048773409e614c6bb753000b028316a5" unitRef="_GBC_5214b7a188334da286fc3038d017d072" addr="T2R9C1S1_1" formatStyle="Comma">
          <m:axisValue occRef="母公司"/>
        </m:item>
        <m:item xlName="_GBC_bdb054bda43247959fdb490843b0dc7d" concept="clcid-pte:ZongHeShouYiZongEDaoZhiYouXianGuBianDongJinE" label="综合收益总额导致优先股变动金额" mulRef="_GBC_048773409e614c6bb753000b028316a5" unitRef="_GBC_5214b7a188334da286fc3038d017d072" addr="T2R9C2S1_1" formatStyle="Comma">
          <m:axisValue occRef="母公司"/>
        </m:item>
        <m:item xlName="_GBC_515f56f9ceb0425db3fc55587a878fe4" concept="clcid-pte:ZongHeShouYiZongEDaoZhiYongXuZhaiBianDongJinE" label="综合收益总额导致永续债变动金额" mulRef="_GBC_048773409e614c6bb753000b028316a5" unitRef="_GBC_5214b7a188334da286fc3038d017d072" addr="T2R9C3S1_1" formatStyle="Comma">
          <m:axisValue occRef="母公司"/>
        </m:item>
        <m:item xlName="_GBC_a55b7822b9ec430089892d845619c2a5" concept="clcid-pte:ZongHeShouYiZongEDaoZhiQiTaQuanYiGongJuZhongDeQiTaBianDongJinE" label="综合收益总额导致其他权益工具中的其他变动金额" mulRef="_GBC_048773409e614c6bb753000b028316a5" unitRef="_GBC_5214b7a188334da286fc3038d017d072" addr="T2R9C4S1_1" formatStyle="Comma">
          <m:axisValue occRef="母公司"/>
        </m:item>
        <m:item xlName="_GBC_f6814972acb040cb8f8ce2db97e4c74f" concept="clcid-pte:ZongHeShouYiZongEDaoZhiZiBenGongJiBianDongJinE" label="综合收益总额导致资本公积变动金额" mulRef="_GBC_048773409e614c6bb753000b028316a5" unitRef="_GBC_5214b7a188334da286fc3038d017d072" addr="T2R9C5S1_1" formatStyle="Comma">
          <m:axisValue occRef="母公司"/>
        </m:item>
        <m:item xlName="_GBC_3fb671fe204548e2a581048005b70e18" concept="clcid-pte:ZongHeShouYiZongEDaoZhiKuCunGuBianDongJinE" label="综合收益总额导致库存股变动金额" mulRef="_GBC_048773409e614c6bb753000b028316a5" unitRef="_GBC_5214b7a188334da286fc3038d017d072" addr="T2R9C6S1_1" formatStyle="Comma">
          <m:axisValue occRef="母公司"/>
        </m:item>
        <m:item xlName="_GBC_1eb836189e4f4076a0c58969a56cb56f" concept="clcid-pte:ZongHeShouYiZongEDaoZhiQiTaZongHeShouYiBianDongJinE" label="综合收益总额导致其他综合收益变动金额" mulRef="_GBC_048773409e614c6bb753000b028316a5" unitRef="_GBC_5214b7a188334da286fc3038d017d072" addr="T2R9C7S1_1" formatStyle="Comma">
          <m:axisValue occRef="母公司"/>
        </m:item>
        <m:item xlName="_GBC_6134b274d09046249a60a70dd8187853" concept="clcid-pte:ZongHeShouYiZongEDaoZhiZhuanXiangChuBeiBianDongJinE" label="综合收益总额导致专项储备变动金额" mulRef="_GBC_048773409e614c6bb753000b028316a5" unitRef="_GBC_5214b7a188334da286fc3038d017d072" addr="T2R9C8S1_1" formatStyle="Comma">
          <m:axisValue occRef="母公司"/>
        </m:item>
        <m:item xlName="_GBC_645716e9fd3e497a81a47f886522e214" concept="clcid-pte:ZongHeShouYiZongEDaoZhiYingYuGongJiBianDongJinE" label="综合收益总额导致盈余公积变动金额" mulRef="_GBC_048773409e614c6bb753000b028316a5" unitRef="_GBC_5214b7a188334da286fc3038d017d072" addr="T2R9C9S1_1" formatStyle="Comma">
          <m:axisValue occRef="母公司"/>
        </m:item>
        <m:item xlName="_GBC_2e12858fa16b42059ad0fda66e2eaeb0" concept="clcid-pte:ZongHeShouYiZongEDaoZhiWeiFenPeiLiRunBianDongJinE" label="综合收益总额导致未分配利润变动金额" mulRef="_GBC_048773409e614c6bb753000b028316a5" unitRef="_GBC_5214b7a188334da286fc3038d017d072" addr="T2R9C10S1_1" formatStyle="Comma">
          <m:axisValue occRef="母公司"/>
        </m:item>
        <m:item xlName="_GBC_8da94b7e0cbc4da6a8df2743bfcbfcfe" concept="clcid-pte:ZongHeShouYiZongEDaoZhiGuDongQuanYiHeJiBianDongJinE" label="综合收益总额导致股东权益合计变动金额" mulRef="_GBC_048773409e614c6bb753000b028316a5" unitRef="_GBC_5214b7a188334da286fc3038d017d072" addr="T2R9C11S1_1" formatStyle="Comma">
          <m:axisValue occRef="母公司"/>
        </m:item>
        <m:placeholder xlName="_PLD_2c2c42255e12419d81111ac5d28c5859" addr="T2R10C0S1_1"/>
        <m:item xlName="_GBC_53124b0abc94408586386dcf21742d7d" concept="clcid-pte:SuoYouZheTouRuHeJianShaoZiBenDaoZhiShiShouZiBenHuoGuBenJingEBianDongJinE" label="所有者投入和减少资本导致实收资本（或股本）净额变动金额" mulRef="_GBC_048773409e614c6bb753000b028316a5" unitRef="_GBC_5214b7a188334da286fc3038d017d072" addr="T2R10C1S1_1" formatStyle="Comma">
          <m:complexRule comparator="Eq" title="母公司所有者投入和减少资本导致实收资本（或股本）净额变动金额" test=" $_GBC_490095990527426baf8587ee9a80b89e +  $_GBC_53d1510778814016aedabaf43b88165a +  $_GBC_8fd7590c472b42288cf31c98f648a512 +  $_GBC_f0926c3fb9cd4d90a6c27bdedbd5bba5" id="C0fedace92b964cc79744cabb924df97d"/>
          <m:axisValue occRef="母公司"/>
        </m:item>
        <m:item xlName="_GBC_04da6968053f4d92a694f8bbec91e45d" concept="clcid-pte:SuoYouZheTouRuHeJianShaoZiBenDaoZhiQiTaQuanYiGongJuZhongDeYouXianGuBianDongJinE" label="所有者投入和减少资本导致其他权益工具中的优先股变动金额" mulRef="_GBC_048773409e614c6bb753000b028316a5" unitRef="_GBC_5214b7a188334da286fc3038d017d072" addr="T2R10C2S1_1" formatStyle="Comma">
          <m:complexRule comparator="Eq" title="母公司所有者投入和减少资本导致其他权益工具中的优先股变动金额" test=" $_GBC_f5e70db646614901a7e353dcb2d8c53a +  $_GBC_7a1c5425db4d40319251a50e3cd524fc +  $_GBC_84c12b77cc3a4d21b206751902c55f2d +  $_GBC_03f42a49598b4e549843b8e726fd0db0" id="C332143f4e6074807a9fd19a0bfcfdc94"/>
          <m:axisValue occRef="母公司"/>
        </m:item>
        <m:item xlName="_GBC_d8069e8e7ea94d5797a9d75fe2bc95b9" concept="clcid-pte:SuoYouZheTouRuHeJianShaoZiBenDaoZhiQiTaQuanYiGongJuZhongDeYongXuZhaiBianDongJinE" label="所有者投入和减少资本导致其他权益工具中的永续债变动金额" mulRef="_GBC_048773409e614c6bb753000b028316a5" unitRef="_GBC_5214b7a188334da286fc3038d017d072" addr="T2R10C3S1_1" formatStyle="Comma">
          <m:complexRule comparator="Eq" title="母公司所有者投入和减少资本导致其他权益工具中的永续债变动金额" test=" $_GBC_70005958a69a4990ba26b3db015a49a2 +  $_GBC_71fcaf6e93874898861549e63c168feb +  $_GBC_19dbec8f6b8b45ee86f9cb2df62e3072 +  $_GBC_debe77108b5948c4bc0a65bc2c02341c" id="C29a43f7841ab4963b91d6d3442ef8472"/>
          <m:axisValue occRef="母公司"/>
        </m:item>
        <m:item xlName="_GBC_9f00dd6a190642b3b64721e10ebab6cb" concept="clcid-pte:SuoYouZheTouRuHeJianShaoZiBenDaoZhiQiTaQuanYiGongJuZhongDeQiTaBianDongJinE" label="所有者投入和减少资本导致其他权益工具中的其他变动金额" mulRef="_GBC_048773409e614c6bb753000b028316a5" unitRef="_GBC_5214b7a188334da286fc3038d017d072" addr="T2R10C4S1_1" formatStyle="Comma">
          <m:complexRule comparator="Eq" title="母公司所有者投入和减少资本导致其他权益工具中的其他变动金额" test=" $_GBC_a7ea1bb4838b4d1d93b44ab95a14b8d3 +  $_GBC_d47e14ceca3844cdbee6002a26639ffc +  $_GBC_7d564e9554aa4b3c829678baf73a5546 +  $_GBC_b81e528fddf1412db8aaf48e58d880d4" id="C552da636d729472f99b3b7bb120e1e99"/>
          <m:axisValue occRef="母公司"/>
        </m:item>
        <m:item xlName="_GBC_539884210628448b927f8a942713a833" concept="clcid-pte:SuoYouZheTouRuHeJianShaoZiBenDaoZhiZiBenGongJiBianDongJinE" label="所有者投入和减少资本导致资本公积变动金额" mulRef="_GBC_048773409e614c6bb753000b028316a5" unitRef="_GBC_5214b7a188334da286fc3038d017d072" addr="T2R10C5S1_1" formatStyle="Comma">
          <m:complexRule comparator="Eq" title="母公司所有者投入和减少资本导致资本公积变动金额" test=" $_GBC_c965bb4aa5f34cfb899ffb8a080a2c50 +  $_GBC_c2d517986e6445ca8dbb27d2fad0f18e +  $_GBC_5a0fe7bc619f4f738cc43a7d0090929f +  $_GBC_9a5faea965394aa18d5cc4a5fba00ffd" id="Cedaf99d17b5c4f2db48692dffc15275d"/>
          <m:axisValue occRef="母公司"/>
        </m:item>
        <m:item xlName="_GBC_e2cd97163583414dba53674ff5b486c2" concept="clcid-pte:SuoYouZheTouRuHeJianShaoZiBenDaoZhiKuCunGuBianDongJinE" label="所有者投入和减少资本导致库存股变动金额" mulRef="_GBC_048773409e614c6bb753000b028316a5" unitRef="_GBC_5214b7a188334da286fc3038d017d072" addr="T2R10C6S1_1" formatStyle="Comma">
          <m:complexRule comparator="Eq" title="母公司所有者投入和减少资本导致库存股变动金额" test=" $_GBC_e7ad749d698c40079ec08a98a0ad229b +  $_GBC_f813a28e7dfe42b5aaf6e002a8757e07 +  $_GBC_f517a56d61e64041b4e883267b43adae +  $_GBC_b90c309f04884e9988b47bb98249f2de" id="Ccf34cd3fdcdb4d5f89df56e056d581d8"/>
          <m:axisValue occRef="母公司"/>
        </m:item>
        <m:item xlName="_GBC_99a0fee938134a7e8f8935c722e5264f" concept="clcid-pte:SuoYouZheTouRuHeJianShaoZiBenDaoZhiQiTaZongHeShouYiBianDongJinE" label="所有者投入和减少资本导致其他综合收益变动金额" mulRef="_GBC_048773409e614c6bb753000b028316a5" unitRef="_GBC_5214b7a188334da286fc3038d017d072" addr="T2R10C7S1_1" formatStyle="Comma">
          <m:complexRule comparator="Eq" title="母公司所有者投入和减少资本导致其他综合收益变动金额" test=" $_GBC_8e9ad03ec6204f8da0f80e2b3890be27 +  $_GBC_76a1144f586948f3860f8326a6b0c752 +  $_GBC_dd7a15e33d304b4f96f31beb6a5dfe38 +  $_GBC_2b2322309d644f3ca704de4277ab5f3e" id="Ceb6143ffd98a4726ad7193a63f8149ba"/>
          <m:axisValue occRef="母公司"/>
        </m:item>
        <m:item xlName="_GBC_9d50d198419d4c6db3293a235197aa32" concept="clcid-pte:SuoYouZheTouRuHeJianShaoZiBenDaoZhiZhuanXiangChuBeiBianDongJinE" label="所有者投入和减少资本导致专项储备变动金额" mulRef="_GBC_048773409e614c6bb753000b028316a5" unitRef="_GBC_5214b7a188334da286fc3038d017d072" addr="T2R10C8S1_1" formatStyle="Comma">
          <m:complexRule comparator="Eq" title="母公司所有者投入和减少资本导致专项储备变动金额" test=" $_GBC_01beb63bab784be1a7d0837a6853205c +  $_GBC_aed16ca0e9ee4dd2b6f885fd1db1e57b +  $_GBC_846ae953547246858fa579f5558ab8c6 +  $_GBC_2344ce73ef7e4cf3bfc3bb6f1bbef86f" id="C8ad8c2fdff174461b900658d42ae31d9"/>
          <m:axisValue occRef="母公司"/>
        </m:item>
        <m:item xlName="_GBC_a174ff1aaa75414ca2e158d78f744d3d" concept="clcid-pte:SuoYouZheTouRuHeJianShaoZiBenDaoZhiYingYuGongJiBianDongJinE" label="所有者投入和减少资本导致盈余公积变动金额" mulRef="_GBC_048773409e614c6bb753000b028316a5" unitRef="_GBC_5214b7a188334da286fc3038d017d072" addr="T2R10C9S1_1" formatStyle="Comma">
          <m:complexRule comparator="Eq" title="母公司所有者投入和减少资本导致盈余公积变动金额" test=" $_GBC_77f8f27d66cc49108878e2cd0ecdafaa +  $_GBC_d6d225d958a842559f9699c692dfa508 +  $_GBC_7c251d346cfe47dab41d5e6b41c83bac +  $_GBC_a2b3dae456cb4e6ea136505703b2a062" id="C861ab033a6094c24ad075a01f4c8082f"/>
          <m:axisValue occRef="母公司"/>
        </m:item>
        <m:item xlName="_GBC_820c892f101943bd807c5af51955ffd4" concept="clcid-pte:SuoYouZheTouRuHeJianShaoZiBenDaoZhiWeiFenPeiLiRunBianDongJinE" label="所有者投入和减少资本导致未分配利润变动金额" mulRef="_GBC_048773409e614c6bb753000b028316a5" unitRef="_GBC_5214b7a188334da286fc3038d017d072" addr="T2R10C10S1_1" formatStyle="Comma">
          <m:complexRule comparator="Eq" title="母公司所有者投入和减少资本导致未分配利润变动金额" test=" $_GBC_5b914761e7034c97898c3ce2d6aa0b1b +  $_GBC_4490d9b66afa422389113eb0ca1135ad +  $_GBC_02cb2991c67447f3a17e6a57a6ed6c8a +  $_GBC_1dc61a1e42884168a980222bfbb01e5a" id="C2d30e007f78543faa6fb6aab1617ce96"/>
          <m:axisValue occRef="母公司"/>
        </m:item>
        <m:item xlName="_GBC_3a6bf7d4c5fe48f19485439583e14c69" concept="clcid-pte:SuoYouZheTouRuHeJianShaoZiBenDaoZhiGuDongQuanYiHeJiBianDongJinE" label="所有者投入和减少资本导致股东权益合计变动金额" mulRef="_GBC_048773409e614c6bb753000b028316a5" unitRef="_GBC_5214b7a188334da286fc3038d017d072" addr="T2R10C11S1_1" formatStyle="Comma">
          <m:complexRule comparator="Eq" title="母公司所有者投入和减少资本导致股东权益合计变动金额" test=" $_GBC_7b6a9b4c07b0446ea3be2542ddfa4a05 +  $_GBC_98492c21ebe94301aa20c939ba6cb861 +  $_GBC_e0cdc6f56f5643c5b68fd328dd85b1f0 +  $_GBC_7fb831404f46477bbc91b6f6f3a63509" id="C7c373ec2f30f4b27990d3552d120f595"/>
          <m:axisValue occRef="母公司"/>
        </m:item>
        <m:placeholder xlName="_PLD_ced9c335ab0c4ec8b683bd42730e309b" addr="T2R11C0S1_1"/>
        <m:item xlName="_GBC_490095990527426baf8587ee9a80b89e" concept="clcid-pte:GuDongTouRuDePuTongGuDaoZhiGuBenBianDongJinE" label="股东投入的普通股导致股本变动金额" mulRef="_GBC_048773409e614c6bb753000b028316a5" unitRef="_GBC_5214b7a188334da286fc3038d017d072" addr="T2R11C1S1_1" formatStyle="Comma">
          <m:axisValue occRef="母公司"/>
        </m:item>
        <m:item xlName="_GBC_f5e70db646614901a7e353dcb2d8c53a" concept="clcid-pte:GuDongTouRuDePuTongGuDaoZhiYouXianGuBianDongJinE" label="股东投入的普通股导致优先股变动金额" mulRef="_GBC_048773409e614c6bb753000b028316a5" unitRef="_GBC_5214b7a188334da286fc3038d017d072" addr="T2R11C2S1_1" formatStyle="Comma">
          <m:axisValue occRef="母公司"/>
        </m:item>
        <m:item xlName="_GBC_70005958a69a4990ba26b3db015a49a2" concept="clcid-pte:GuDongTouRuDePuTongGuDaoZhiYongXuZhaiBianDongJinE" label="股东投入的普通股导致永续债变动金额" mulRef="_GBC_048773409e614c6bb753000b028316a5" unitRef="_GBC_5214b7a188334da286fc3038d017d072" addr="T2R11C3S1_1" formatStyle="Comma">
          <m:axisValue occRef="母公司"/>
        </m:item>
        <m:item xlName="_GBC_a7ea1bb4838b4d1d93b44ab95a14b8d3" concept="clcid-pte:GuDongTouRuDePuTongGuDaoZhiQiTaQuanYiGongJuZhongDeQiTaBianDongJinE" label="股东投入的普通股导致其他权益工具中的其他变动金额" mulRef="_GBC_048773409e614c6bb753000b028316a5" unitRef="_GBC_5214b7a188334da286fc3038d017d072" addr="T2R11C4S1_1" formatStyle="Comma">
          <m:axisValue occRef="母公司"/>
        </m:item>
        <m:item xlName="_GBC_c965bb4aa5f34cfb899ffb8a080a2c50" concept="clcid-pte:GuDongTouRuDePuTongGuDaoZhiZiBenGongJiBianDongJinE" label="股东投入的普通股导致资本公积变动金额" mulRef="_GBC_048773409e614c6bb753000b028316a5" unitRef="_GBC_5214b7a188334da286fc3038d017d072" addr="T2R11C5S1_1" formatStyle="Comma">
          <m:axisValue occRef="母公司"/>
        </m:item>
        <m:item xlName="_GBC_e7ad749d698c40079ec08a98a0ad229b" concept="clcid-pte:GuDongTouRuDePuTongGuDaoZhiKuCunGuBianDongJinE" label="股东投入的普通股导致库存股变动金额" mulRef="_GBC_048773409e614c6bb753000b028316a5" unitRef="_GBC_5214b7a188334da286fc3038d017d072" addr="T2R11C6S1_1" formatStyle="Comma">
          <m:axisValue occRef="母公司"/>
        </m:item>
        <m:item xlName="_GBC_8e9ad03ec6204f8da0f80e2b3890be27" concept="clcid-pte:GuDongTouRuDePuTongGuDaoZhiQiTaZongHeShouYiBianDongJinE" label="股东投入的普通股导致其他综合收益变动金额" mulRef="_GBC_048773409e614c6bb753000b028316a5" unitRef="_GBC_5214b7a188334da286fc3038d017d072" addr="T2R11C7S1_1" formatStyle="Comma">
          <m:axisValue occRef="母公司"/>
        </m:item>
        <m:item xlName="_GBC_01beb63bab784be1a7d0837a6853205c" concept="clcid-pte:GuDongTouRuDePuTongGuDaoZhiZhuanXiangChuBeiBianDongJinE" label="股东投入的普通股导致专项储备变动金额" mulRef="_GBC_048773409e614c6bb753000b028316a5" unitRef="_GBC_5214b7a188334da286fc3038d017d072" addr="T2R11C8S1_1" formatStyle="Comma">
          <m:axisValue occRef="母公司"/>
        </m:item>
        <m:item xlName="_GBC_77f8f27d66cc49108878e2cd0ecdafaa" concept="clcid-pte:GuDongTouRuDePuTongGuDaoZhiYingYuGongJiBianDongJinE" label="股东投入的普通股导致盈余公积变动金额" mulRef="_GBC_048773409e614c6bb753000b028316a5" unitRef="_GBC_5214b7a188334da286fc3038d017d072" addr="T2R11C9S1_1" formatStyle="Comma">
          <m:axisValue occRef="母公司"/>
        </m:item>
        <m:item xlName="_GBC_5b914761e7034c97898c3ce2d6aa0b1b" concept="clcid-pte:GuDongTouRuDePuTongGuDaoZhiWeiFenPeiLiRunBianDongJinE" label="股东投入的普通股导致未分配利润变动金额" mulRef="_GBC_048773409e614c6bb753000b028316a5" unitRef="_GBC_5214b7a188334da286fc3038d017d072" addr="T2R11C10S1_1" formatStyle="Comma">
          <m:axisValue occRef="母公司"/>
        </m:item>
        <m:item xlName="_GBC_7b6a9b4c07b0446ea3be2542ddfa4a05" concept="clcid-pte:GuDongTouRuDePuTongGuDaoZhiGuDongQuanYiHeJiBianDongJinE" label="股东投入的普通股导致股东权益合计变动金额" mulRef="_GBC_048773409e614c6bb753000b028316a5" unitRef="_GBC_5214b7a188334da286fc3038d017d072" addr="T2R11C11S1_1" formatStyle="Comma">
          <m:axisValue occRef="母公司"/>
        </m:item>
        <m:placeholder xlName="_PLD_5db7714c048b45cb8fc2f783898126a2" addr="T2R12C0S1_1"/>
        <m:item xlName="_GBC_53d1510778814016aedabaf43b88165a" concept="clcid-pte:QiTaQuanYiGongJuChiYouZheTouRuZiBenDaoZhiGuBenBianDongJinE" label="其他权益工具持有者投入资本导致股本变动金额" mulRef="_GBC_048773409e614c6bb753000b028316a5" unitRef="_GBC_5214b7a188334da286fc3038d017d072" addr="T2R12C1S1_1" formatStyle="Comma">
          <m:axisValue occRef="母公司"/>
        </m:item>
        <m:item xlName="_GBC_7a1c5425db4d40319251a50e3cd524fc" concept="clcid-pte:QiTaQuanYiGongJuChiYouZheTouRuZiBenDaoZhiYouXianGuBianDongJinE" label="其他权益工具持有者投入资本导致优先股变动金额" mulRef="_GBC_048773409e614c6bb753000b028316a5" unitRef="_GBC_5214b7a188334da286fc3038d017d072" addr="T2R12C2S1_1" formatStyle="Comma">
          <m:axisValue occRef="母公司"/>
        </m:item>
        <m:item xlName="_GBC_71fcaf6e93874898861549e63c168feb" concept="clcid-pte:QiTaQuanYiGongJuChiYouZheTouRuZiBenDaoZhiYongXuZhaiBianDongJinE" label="其他权益工具持有者投入资本导致永续债变动金额" mulRef="_GBC_048773409e614c6bb753000b028316a5" unitRef="_GBC_5214b7a188334da286fc3038d017d072" addr="T2R12C3S1_1" formatStyle="Comma">
          <m:axisValue occRef="母公司"/>
        </m:item>
        <m:item xlName="_GBC_d47e14ceca3844cdbee6002a26639ffc" concept="clcid-pte:QiTaQuanYiGongJuChiYouZheTouRuZiBenDaoZhiQiTaQuanYiGongJuZhongDeQiTaBianDongJinE" label="其他权益工具持有者投入资本导致其他权益工具中的其他变动金额" mulRef="_GBC_048773409e614c6bb753000b028316a5" unitRef="_GBC_5214b7a188334da286fc3038d017d072" addr="T2R12C4S1_1" formatStyle="Comma">
          <m:axisValue occRef="母公司"/>
        </m:item>
        <m:item xlName="_GBC_c2d517986e6445ca8dbb27d2fad0f18e" concept="clcid-pte:QiTaQuanYiGongJuChiYouZheTouRuZiBenDaoZhiZiBenGongJiBianDongJinE" label="其他权益工具持有者投入资本导致资本公积变动金额" mulRef="_GBC_048773409e614c6bb753000b028316a5" unitRef="_GBC_5214b7a188334da286fc3038d017d072" addr="T2R12C5S1_1" formatStyle="Comma">
          <m:axisValue occRef="母公司"/>
        </m:item>
        <m:item xlName="_GBC_f813a28e7dfe42b5aaf6e002a8757e07" concept="clcid-pte:QiTaQuanYiGongJuChiYouZheTouRuZiBenDaoZhiKuCunGuBianDongJinE" label="其他权益工具持有者投入资本导致库存股变动金额" mulRef="_GBC_048773409e614c6bb753000b028316a5" unitRef="_GBC_5214b7a188334da286fc3038d017d072" addr="T2R12C6S1_1" formatStyle="Comma">
          <m:axisValue occRef="母公司"/>
        </m:item>
        <m:item xlName="_GBC_76a1144f586948f3860f8326a6b0c752" concept="clcid-pte:QiTaQuanYiGongJuChiYouZheTouRuZiBenDaoZhiQiTaZongHeShouYiBianDongJinE" label="其他权益工具持有者投入资本导致其他综合收益变动金额" mulRef="_GBC_048773409e614c6bb753000b028316a5" unitRef="_GBC_5214b7a188334da286fc3038d017d072" addr="T2R12C7S1_1" formatStyle="Comma">
          <m:axisValue occRef="母公司"/>
        </m:item>
        <m:item xlName="_GBC_aed16ca0e9ee4dd2b6f885fd1db1e57b" concept="clcid-pte:QiTaQuanYiGongJuChiYouZheTouRuZiBenDaoZhiZhuanXiangChuBeiBianDongJinE" label="其他权益工具持有者投入资本导致专项储备变动金额" mulRef="_GBC_048773409e614c6bb753000b028316a5" unitRef="_GBC_5214b7a188334da286fc3038d017d072" addr="T2R12C8S1_1" formatStyle="Comma">
          <m:axisValue occRef="母公司"/>
        </m:item>
        <m:item xlName="_GBC_d6d225d958a842559f9699c692dfa508" concept="clcid-pte:QiTaQuanYiGongJuChiYouZheTouRuZiBenDaoZhiYingYuGongJiBianDongJinE" label="其他权益工具持有者投入资本导致盈余公积变动金额" mulRef="_GBC_048773409e614c6bb753000b028316a5" unitRef="_GBC_5214b7a188334da286fc3038d017d072" addr="T2R12C9S1_1" formatStyle="Comma">
          <m:axisValue occRef="母公司"/>
        </m:item>
        <m:item xlName="_GBC_4490d9b66afa422389113eb0ca1135ad" concept="clcid-pte:QiTaQuanYiGongJuChiYouZheTouRuZiBenDaoZhiWeiFenPeiLiRunBianDongJinE" label="其他权益工具持有者投入资本导致未分配利润变动金额" mulRef="_GBC_048773409e614c6bb753000b028316a5" unitRef="_GBC_5214b7a188334da286fc3038d017d072" addr="T2R12C10S1_1" formatStyle="Comma">
          <m:axisValue occRef="母公司"/>
        </m:item>
        <m:item xlName="_GBC_98492c21ebe94301aa20c939ba6cb861" concept="clcid-pte:QiTaQuanYiGongJuChiYouZheTouRuZiBenDaoZhiGuDongQuanYiHeJiBianDongJinE" label="其他权益工具持有者投入资本导致股东权益合计变动金额" mulRef="_GBC_048773409e614c6bb753000b028316a5" unitRef="_GBC_5214b7a188334da286fc3038d017d072" addr="T2R12C11S1_1" formatStyle="Comma">
          <m:axisValue occRef="母公司"/>
        </m:item>
        <m:placeholder xlName="_PLD_0c8627dcaed14beabce3c3a65384cf01" addr="T2R13C0S1_1"/>
        <m:item xlName="_GBC_8fd7590c472b42288cf31c98f648a512" concept="clcid-pte:GuFenZhiFuJiRuSuoYouZheQuanYiDeJinEDaoZhiShiShouZiBenHuoGuBenJingEBianDongJinE" label="股份支付计入所有者权益的金额导致实收资本（或股本）净额变动金额" mulRef="_GBC_048773409e614c6bb753000b028316a5" unitRef="_GBC_5214b7a188334da286fc3038d017d072" addr="T2R13C1S1_1" formatStyle="Comma">
          <m:axisValue occRef="母公司"/>
        </m:item>
        <m:item xlName="_GBC_84c12b77cc3a4d21b206751902c55f2d" concept="clcid-pte:GuFenZhiFuJiRuSuoYouZheQuanYiDeJinEDaoZhiQiTaQuanYiGongJuZhongDeYouXianGuBianDongJinE" label="股份支付计入所有者权益的金额导致其他权益工具中的优先股变动金额" mulRef="_GBC_048773409e614c6bb753000b028316a5" unitRef="_GBC_5214b7a188334da286fc3038d017d072" addr="T2R13C2S1_1" formatStyle="Comma">
          <m:axisValue occRef="母公司"/>
        </m:item>
        <m:item xlName="_GBC_19dbec8f6b8b45ee86f9cb2df62e3072" concept="clcid-pte:GuFenZhiFuJiRuSuoYouZheQuanYiDeJinEDaoZhiQiTaQuanYiGongJuZhongDeYongXuZhaiBianDongJinE" label="股份支付计入所有者权益的金额导致其他权益工具中的永续债变动金额" mulRef="_GBC_048773409e614c6bb753000b028316a5" unitRef="_GBC_5214b7a188334da286fc3038d017d072" addr="T2R13C3S1_1" formatStyle="Comma">
          <m:axisValue occRef="母公司"/>
        </m:item>
        <m:item xlName="_GBC_7d564e9554aa4b3c829678baf73a5546" concept="clcid-pte:GuFenZhiFuJiRuSuoYouZheQuanYiDeJinEDaoZhiQiTaQuanYiGongJuZhongDeQiTaBianDongJinE" label="股份支付计入所有者权益的金额导致其他权益工具中的其他变动金额" mulRef="_GBC_048773409e614c6bb753000b028316a5" unitRef="_GBC_5214b7a188334da286fc3038d017d072" addr="T2R13C4S1_1" formatStyle="Comma">
          <m:axisValue occRef="母公司"/>
        </m:item>
        <m:item xlName="_GBC_5a0fe7bc619f4f738cc43a7d0090929f" concept="clcid-pte:GuFenZhiFuJiRuSuoYouZheQuanYiDeJinEDaoZhiZiBenGongJiBianDongJinE" label="股份支付计入所有者权益的金额导致资本公积变动金额" mulRef="_GBC_048773409e614c6bb753000b028316a5" unitRef="_GBC_5214b7a188334da286fc3038d017d072" addr="T2R13C5S1_1" formatStyle="Comma">
          <m:axisValue occRef="母公司"/>
        </m:item>
        <m:item xlName="_GBC_f517a56d61e64041b4e883267b43adae" concept="clcid-pte:GuFenZhiFuJiRuSuoYouZheQuanYiDeJinEDaoZhiKuCunGuBianDongJinE" label="股份支付计入所有者权益的金额导致库存股变动金额" mulRef="_GBC_048773409e614c6bb753000b028316a5" unitRef="_GBC_5214b7a188334da286fc3038d017d072" addr="T2R13C6S1_1" formatStyle="Comma">
          <m:axisValue occRef="母公司"/>
        </m:item>
        <m:item xlName="_GBC_dd7a15e33d304b4f96f31beb6a5dfe38" concept="clcid-pte:GuFenZhiFuJiRuSuoYouZheQuanYiDeJinEDaoZhiQiTaZongHeShouYiBianDongJinE" label="股份支付计入所有者权益的金额导致其他综合收益变动金额" mulRef="_GBC_048773409e614c6bb753000b028316a5" unitRef="_GBC_5214b7a188334da286fc3038d017d072" addr="T2R13C7S1_1" formatStyle="Comma">
          <m:axisValue occRef="母公司"/>
        </m:item>
        <m:item xlName="_GBC_846ae953547246858fa579f5558ab8c6" concept="clcid-pte:GuFenZhiFuJiRuSuoYouZheQuanYiDeJinEDaoZhiZhuanXiangChuBeiBianDongJinE" label="股份支付计入所有者权益的金额导致专项储备变动金额" mulRef="_GBC_048773409e614c6bb753000b028316a5" unitRef="_GBC_5214b7a188334da286fc3038d017d072" addr="T2R13C8S1_1" formatStyle="Comma">
          <m:axisValue occRef="母公司"/>
        </m:item>
        <m:item xlName="_GBC_7c251d346cfe47dab41d5e6b41c83bac" concept="clcid-pte:GuFenZhiFuJiRuSuoYouZheQuanYiDeJinEDaoZhiYingYuGongJiBianDongJinE" label="股份支付计入所有者权益的金额导致盈余公积变动金额" mulRef="_GBC_048773409e614c6bb753000b028316a5" unitRef="_GBC_5214b7a188334da286fc3038d017d072" addr="T2R13C9S1_1" formatStyle="Comma">
          <m:axisValue occRef="母公司"/>
        </m:item>
        <m:item xlName="_GBC_02cb2991c67447f3a17e6a57a6ed6c8a" concept="clcid-pte:GuFenZhiFuJiRuSuoYouZheQuanYiDeJinEDaoZhiWeiFenPeiLiRunBianDongJinE" label="股份支付计入所有者权益的金额导致未分配利润变动金额" mulRef="_GBC_048773409e614c6bb753000b028316a5" unitRef="_GBC_5214b7a188334da286fc3038d017d072" addr="T2R13C10S1_1" formatStyle="Comma">
          <m:axisValue occRef="母公司"/>
        </m:item>
        <m:item xlName="_GBC_e0cdc6f56f5643c5b68fd328dd85b1f0" concept="clcid-pte:GuFenZhiFuJiRuSuoYouZheQuanYiDeJinEDaoZhiGuDongQuanYiHeJiBianDongJinE" label="股份支付计入所有者权益的金额导致股东权益合计变动金额" mulRef="_GBC_048773409e614c6bb753000b028316a5" unitRef="_GBC_5214b7a188334da286fc3038d017d072" addr="T2R13C11S1_1" formatStyle="Comma">
          <m:axisValue occRef="母公司"/>
        </m:item>
        <m:placeholder xlName="_PLD_4815225e85794febad32622528b72229" addr="T2R14C0S1_1"/>
        <m:item xlName="_GBC_f0926c3fb9cd4d90a6c27bdedbd5bba5" concept="clcid-pte:QiTaSuoYouZheTouRuHeJianShaoZiBenDaoZhiShiShouZiBenHuoGuBenJingEBianDongJinE" label="其他所有者投入和减少资本导致实收资本（或股本）净额变动金额" mulRef="_GBC_048773409e614c6bb753000b028316a5" unitRef="_GBC_5214b7a188334da286fc3038d017d072" addr="T2R14C1S1_1" formatStyle="Comma">
          <m:axisValue occRef="母公司"/>
        </m:item>
        <m:item xlName="_GBC_03f42a49598b4e549843b8e726fd0db0" concept="clcid-pte:QiTaSuoYouZheTouRuHeJianShaoZiBenDaoZhiQiTaQuanYiGongJuZhongDeYouXianGuBianDongJinE" label="其他所有者投入和减少资本导致其他权益工具中的优先股变动金额" mulRef="_GBC_048773409e614c6bb753000b028316a5" unitRef="_GBC_5214b7a188334da286fc3038d017d072" addr="T2R14C2S1_1" formatStyle="Comma">
          <m:axisValue occRef="母公司"/>
        </m:item>
        <m:item xlName="_GBC_debe77108b5948c4bc0a65bc2c02341c" concept="clcid-pte:QiTaSuoYouZheTouRuHeJianShaoZiBenDaoZhiQiTaQuanYiGongJuZhongDeYongXuZhaiBianDongJinE" label="其他所有者投入和减少资本导致其他权益工具中的永续债变动金额" mulRef="_GBC_048773409e614c6bb753000b028316a5" unitRef="_GBC_5214b7a188334da286fc3038d017d072" addr="T2R14C3S1_1" formatStyle="Comma">
          <m:axisValue occRef="母公司"/>
        </m:item>
        <m:item xlName="_GBC_b81e528fddf1412db8aaf48e58d880d4" concept="clcid-pte:QiTaSuoYouZheTouRuHeJianShaoZiBenDaoZhiQiTaQuanYiGongJuZhongDeQiTaBianDongJinE" label="其他所有者投入和减少资本导致其他权益工具中的其他变动金额" mulRef="_GBC_048773409e614c6bb753000b028316a5" unitRef="_GBC_5214b7a188334da286fc3038d017d072" addr="T2R14C4S1_1" formatStyle="Comma">
          <m:axisValue occRef="母公司"/>
        </m:item>
        <m:item xlName="_GBC_9a5faea965394aa18d5cc4a5fba00ffd" concept="clcid-pte:QiTaSuoYouZheTouRuHeJianShaoZiBenDaoZhiZiBenGongJiBianDongJinE" label="其他所有者投入和减少资本导致资本公积变动金额" mulRef="_GBC_048773409e614c6bb753000b028316a5" unitRef="_GBC_5214b7a188334da286fc3038d017d072" addr="T2R14C5S1_1" formatStyle="Comma">
          <m:axisValue occRef="母公司"/>
        </m:item>
        <m:item xlName="_GBC_b90c309f04884e9988b47bb98249f2de" concept="clcid-pte:QiTaSuoYouZheTouRuHeJianShaoZiBenDaoZhiKuCunGuBianDongJinE" label="其他所有者投入和减少资本导致库存股变动金额" mulRef="_GBC_048773409e614c6bb753000b028316a5" unitRef="_GBC_5214b7a188334da286fc3038d017d072" addr="T2R14C6S1_1" formatStyle="Comma">
          <m:axisValue occRef="母公司"/>
        </m:item>
        <m:item xlName="_GBC_2b2322309d644f3ca704de4277ab5f3e" concept="clcid-pte:QiTaSuoYouZheTouRuHeJianShaoZiBenDaoZhiQiTaZongHeShouYiBianDongJinE" label="其他所有者投入和减少资本导致其他综合收益变动金额" mulRef="_GBC_048773409e614c6bb753000b028316a5" unitRef="_GBC_5214b7a188334da286fc3038d017d072" addr="T2R14C7S1_1" formatStyle="Comma">
          <m:axisValue occRef="母公司"/>
        </m:item>
        <m:item xlName="_GBC_2344ce73ef7e4cf3bfc3bb6f1bbef86f" concept="clcid-pte:QiTaSuoYouZheTouRuHeJianShaoZiBenDaoZhiZhuanXiangChuBeiBianDongJinE" label="其他所有者投入和减少资本导致专项储备变动金额" mulRef="_GBC_048773409e614c6bb753000b028316a5" unitRef="_GBC_5214b7a188334da286fc3038d017d072" addr="T2R14C8S1_1" formatStyle="Comma">
          <m:axisValue occRef="母公司"/>
        </m:item>
        <m:item xlName="_GBC_a2b3dae456cb4e6ea136505703b2a062" concept="clcid-pte:QiTaSuoYouZheTouRuHeJianShaoZiBenDaoZhiYingYuGongJiBianDongJinE" label="其他所有者投入和减少资本导致盈余公积变动金额" mulRef="_GBC_048773409e614c6bb753000b028316a5" unitRef="_GBC_5214b7a188334da286fc3038d017d072" addr="T2R14C9S1_1" formatStyle="Comma">
          <m:axisValue occRef="母公司"/>
        </m:item>
        <m:item xlName="_GBC_1dc61a1e42884168a980222bfbb01e5a" concept="clcid-pte:QiTaSuoYouZheTouRuHeJianShaoZiBenDaoZhiWeiFenPeiLiRunBianDongJinE" label="其他所有者投入和减少资本导致未分配利润变动金额" mulRef="_GBC_048773409e614c6bb753000b028316a5" unitRef="_GBC_5214b7a188334da286fc3038d017d072" addr="T2R14C10S1_1" formatStyle="Comma">
          <m:axisValue occRef="母公司"/>
        </m:item>
        <m:item xlName="_GBC_7fb831404f46477bbc91b6f6f3a63509" concept="clcid-pte:QiTaSuoYouZheTouRuHeJianShaoZiBenDaoZhiGuDongQuanYiHeJiBianDongJinE" label="其他所有者投入和减少资本导致股东权益合计变动金额" mulRef="_GBC_048773409e614c6bb753000b028316a5" unitRef="_GBC_5214b7a188334da286fc3038d017d072" addr="T2R14C11S1_1" formatStyle="Comma">
          <m:axisValue occRef="母公司"/>
        </m:item>
        <m:placeholder xlName="_PLD_1277678c10f343d5a55853e3552c21df" addr="T2R15C0S1_1"/>
        <m:item xlName="_GBC_cbb7211cf05f40dfa328fabcaf4451ac" concept="clcid-pte:LiRunFenPeiDaoZhiShiShouZiBenHuoGuBenJingEBianDongJinE" label="利润分配导致实收资本（或股本）净额变动金额" mulRef="_GBC_048773409e614c6bb753000b028316a5" unitRef="_GBC_5214b7a188334da286fc3038d017d072" addr="T2R15C1S1_1" formatStyle="Comma">
          <m:complexRule comparator="Eq" title="母公司利润分配导致实收资本（或股本）净额变动金额" test=" $_GBC_feeeea3419114619a6494ffa3e9752c9 +  $_GBC_d96095d4d2f24ac2b2cdf303cab55a79 +  $_GBC_9c81f8e1c30c4827a5af9fbfaa3e74b2" id="Ce09aad75c9104571b9629896dbfbda70"/>
          <m:axisValue occRef="母公司"/>
        </m:item>
        <m:item xlName="_GBC_7efc769dca144d748f3739c7952bb4b2" concept="clcid-pte:LiRunFenPeiDaoZhiQiTaQuanYiGongJuZhongDeYouXianGuBianDongJinE" label="利润分配导致其他权益工具中的优先股变动金额" mulRef="_GBC_048773409e614c6bb753000b028316a5" unitRef="_GBC_5214b7a188334da286fc3038d017d072" addr="T2R15C2S1_1" formatStyle="Comma">
          <m:complexRule comparator="Eq" title="母公司利润分配导致其他权益工具中的优先股变动金额" test=" $_GBC_4fe62927c2cf42cc881d6e03430a5250 +  $_GBC_1fe13bb5afc14bb2bc44d46effb7eb77 +  $_GBC_370a21dbc89f4b02a96727e397b1c347" id="C4311992d721540098cc47db7d754d64b"/>
          <m:axisValue occRef="母公司"/>
        </m:item>
        <m:item xlName="_GBC_5490806b7ea342d6b7c3431d90cb5a5e" concept="clcid-pte:LiRunFenPeiDaoZhiQiTaQuanYiGongJuZhongDeYongXuZhaiBianDongJinE" label="利润分配导致其他权益工具中的永续债变动金额" mulRef="_GBC_048773409e614c6bb753000b028316a5" unitRef="_GBC_5214b7a188334da286fc3038d017d072" addr="T2R15C3S1_1" formatStyle="Comma">
          <m:complexRule comparator="Eq" title="母公司利润分配导致其他权益工具中的永续债变动金额" test=" $_GBC_37cbdecbaa654d90bebf829bb946944e +  $_GBC_15e58494f9af4ce68727e57c50dda544 +  $_GBC_0cc3210c3ea14d2ca3946cbdd5811bb4" id="C7cdc6c23e42e47d5b2759e44225cff1a"/>
          <m:axisValue occRef="母公司"/>
        </m:item>
        <m:item xlName="_GBC_d54c713a1a36439d871e50b06644a07d" concept="clcid-pte:LiRunFenPeiDaoZhiQiTaQuanYiGongJuZhongDeQiTaBianDongJinE" label="利润分配导致其他权益工具中的其他变动金额" mulRef="_GBC_048773409e614c6bb753000b028316a5" unitRef="_GBC_5214b7a188334da286fc3038d017d072" addr="T2R15C4S1_1" formatStyle="Comma">
          <m:complexRule comparator="Eq" title="母公司利润分配导致其他权益工具中的其他变动金额" test=" $_GBC_47ed555566794b61bf0a20f6358fc40a +  $_GBC_cbb2df7cb7eb4705bcda41dc2e3994a6 +  $_GBC_c61a966bf0e049f1a7f0534baa372a46" id="Cbbe62d9f7357443292ad920984b00163"/>
          <m:axisValue occRef="母公司"/>
        </m:item>
        <m:item xlName="_GBC_1148945afee64297a169f2ac8b8cb89e" concept="clcid-pte:LiRunFenPeiDaoZhiZiBenGongJiBianDongJinE" label="利润分配导致资本公积变动金额" mulRef="_GBC_048773409e614c6bb753000b028316a5" unitRef="_GBC_5214b7a188334da286fc3038d017d072" addr="T2R15C5S1_1" formatStyle="Comma">
          <m:complexRule comparator="Eq" title="母公司利润分配导致资本公积变动金额" test=" $_GBC_5f2ef038c65d4f7d9d5db02c380b6b77 +  $_GBC_f6464f507560469bb752361a2180ed5d +  $_GBC_bcd3ab2e57f54c3d8e52b6df982d6ce4" id="Cd94f2d849c414c30b369f7cc7ba32fe0"/>
          <m:axisValue occRef="母公司"/>
        </m:item>
        <m:item xlName="_GBC_feafb3a59f2b4afaa0aa20611608ab05" concept="clcid-pte:LiRunFenPeiDaoZhiKuCunGuBianDongJinE" label="利润分配导致库存股变动金额" mulRef="_GBC_048773409e614c6bb753000b028316a5" unitRef="_GBC_5214b7a188334da286fc3038d017d072" addr="T2R15C6S1_1" formatStyle="Comma">
          <m:complexRule comparator="Eq" title="母公司利润分配导致库存股变动金额" test=" $_GBC_4ff785245e684e959cf32d4769d98c42 +  $_GBC_83e74a6d469b4c2bbbc38d66fbbca44d +  $_GBC_a33335797d7849cc88c6aec74eba0ad9" id="Caeebe7394cf84e458880c8a0bfa0ffbd"/>
          <m:axisValue occRef="母公司"/>
        </m:item>
        <m:item xlName="_GBC_a4ae582c163a407bbe913ee1800bb956" concept="clcid-pte:LiRunFenPeiDaoZhiQiTaZongHeShouYiBianDongJinE" label="利润分配导致其他综合收益变动金额" mulRef="_GBC_048773409e614c6bb753000b028316a5" unitRef="_GBC_5214b7a188334da286fc3038d017d072" addr="T2R15C7S1_1" formatStyle="Comma">
          <m:complexRule comparator="Eq" title="母公司利润分配导致其他综合收益变动金额" test=" $_GBC_d4a19312956e4304870740336224c1c4 +  $_GBC_838627a4922d4e429d54f3d31b9fcd8c +  $_GBC_00c07da66c6c401390659d32216262dc" id="C66c309a964244f9cb3591e670fefc517"/>
          <m:axisValue occRef="母公司"/>
        </m:item>
        <m:item xlName="_GBC_c4d7d58fa145478690e9e4209a44b3aa" concept="clcid-pte:LiRunFenPeiDaoZhiZhuanXiangChuBeiBianDongJinE" label="利润分配导致专项储备变动金额" mulRef="_GBC_048773409e614c6bb753000b028316a5" unitRef="_GBC_5214b7a188334da286fc3038d017d072" addr="T2R15C8S1_1" formatStyle="Comma">
          <m:complexRule comparator="Eq" title="母公司利润分配导致专项储备变动金额" test=" $_GBC_150dedf0d4554600ba70802f710a97b7 +  $_GBC_530fe6917df2495f9c65b7cb243756b9 +  $_GBC_ebb35207d12549048ff6890031842373" id="Cc67c47ef1abd42519185333749949577"/>
          <m:axisValue occRef="母公司"/>
        </m:item>
        <m:item xlName="_GBC_a0349cbf8a064523a3b3dee7665a041e" concept="clcid-pte:LiRunFenPeiDaoZhiYingYuGongJiBianDongJinE" label="利润分配导致盈余公积变动金额" mulRef="_GBC_048773409e614c6bb753000b028316a5" unitRef="_GBC_5214b7a188334da286fc3038d017d072" addr="T2R15C9S1_1" formatStyle="Comma">
          <m:complexRule comparator="Eq" title="母公司利润分配导致盈余公积变动金额" test=" $_GBC_8503b60b9ced4c8bb29ec6a4935876e7 +  $_GBC_ae98f906162c477faf3a89fd08e6a5aa +  $_GBC_7a71958ae8bc437f93eab2b423dc51f5" id="Cc9b4c5ef9e004fa8a034f4afadc5d577"/>
          <m:axisValue occRef="母公司"/>
        </m:item>
        <m:item xlName="_GBC_cba52aa78ab34012b0a801d66eb8a2e2" concept="clcid-pte:LiRunFenPeiDaoZhiWeiFenPeiLiRunBianDongJinE" label="利润分配导致未分配利润变动金额" mulRef="_GBC_048773409e614c6bb753000b028316a5" unitRef="_GBC_5214b7a188334da286fc3038d017d072" addr="T2R15C10S1_1" formatStyle="Comma">
          <m:complexRule comparator="Eq" title="母公司利润分配导致未分配利润变动金额" test=" $_GBC_3aa5f30fe134494aa575bfdeea794634 +  $_GBC_d1a33d14771947aba52989eb97795687 +  $_GBC_68eec89c6141467d987a7b9ff58d8c9b" id="C34fece529395450082e3b0e41d4b3d65"/>
          <m:axisValue occRef="母公司"/>
        </m:item>
        <m:item xlName="_GBC_dd847f4c5b6446e4ad29a7717e967fe4" concept="clcid-pte:LiRunFenPeiDaoZhiGuDongQuanYiHeJiBianDongJinE" label="利润分配导致股东权益合计变动金额" mulRef="_GBC_048773409e614c6bb753000b028316a5" unitRef="_GBC_5214b7a188334da286fc3038d017d072" addr="T2R15C11S1_1" formatStyle="Comma">
          <m:complexRule comparator="Eq" title="母公司利润分配导致股东权益合计变动金额" test=" $_GBC_4c22c9ed997d477a9f33b60f8d0e6bea +  $_GBC_bbdd561c54d948dbbc668cc7d0592b7f +  $_GBC_7f21d78e4a24457881b86248092595bf" id="Cc82069c4ec4b4867b3911a58a6ceea88"/>
          <m:axisValue occRef="母公司"/>
        </m:item>
        <m:placeholder xlName="_PLD_6be0f6b7609247d98f239c435a57bdf2" addr="T2R16C0S1_1"/>
        <m:item xlName="_GBC_feeeea3419114619a6494ffa3e9752c9" concept="clcid-pte:TiQuYingYuGongJiDaoZhiShiShouZiBenHuoGuBenJingEBianDongJinE" label="提取盈余公积导致实收资本（或股本）净额变动金额" mulRef="_GBC_048773409e614c6bb753000b028316a5" unitRef="_GBC_5214b7a188334da286fc3038d017d072" addr="T2R16C1S1_1" formatStyle="Comma">
          <m:axisValue occRef="母公司"/>
        </m:item>
        <m:item xlName="_GBC_4fe62927c2cf42cc881d6e03430a5250" concept="clcid-pte:TiQuYingYuGongJiDaoZhiQiTaQuanYiGongJuZhongDeYouXianGuBianDongJinE" label="提取盈余公积导致其他权益工具中的优先股变动金额" mulRef="_GBC_048773409e614c6bb753000b028316a5" unitRef="_GBC_5214b7a188334da286fc3038d017d072" addr="T2R16C2S1_1" formatStyle="Comma">
          <m:axisValue occRef="母公司"/>
        </m:item>
        <m:item xlName="_GBC_37cbdecbaa654d90bebf829bb946944e" concept="clcid-pte:TiQuYingYuGongJiDaoZhiQiTaQuanYiGongJuZhongDeYongXuZhaiBianDongJinE" label="提取盈余公积导致其他权益工具中的永续债变动金额" mulRef="_GBC_048773409e614c6bb753000b028316a5" unitRef="_GBC_5214b7a188334da286fc3038d017d072" addr="T2R16C3S1_1" formatStyle="Comma">
          <m:axisValue occRef="母公司"/>
        </m:item>
        <m:item xlName="_GBC_47ed555566794b61bf0a20f6358fc40a" concept="clcid-pte:TiQuYingYuGongJiDaoZhiQiTaQuanYiGongJuZhongDeQiTaBianDongJinE" label="提取盈余公积导致其他权益工具中的其他变动金额" mulRef="_GBC_048773409e614c6bb753000b028316a5" unitRef="_GBC_5214b7a188334da286fc3038d017d072" addr="T2R16C4S1_1" formatStyle="Comma">
          <m:axisValue occRef="母公司"/>
        </m:item>
        <m:item xlName="_GBC_5f2ef038c65d4f7d9d5db02c380b6b77" concept="clcid-pte:TiQuYingYuGongJiDaoZhiZiBenGongJiBianDongJinE" label="提取盈余公积导致资本公积变动金额" mulRef="_GBC_048773409e614c6bb753000b028316a5" unitRef="_GBC_5214b7a188334da286fc3038d017d072" addr="T2R16C5S1_1" formatStyle="Comma">
          <m:axisValue occRef="母公司"/>
        </m:item>
        <m:item xlName="_GBC_4ff785245e684e959cf32d4769d98c42" concept="clcid-pte:TiQuYingYuGongJiDaoZhiKuCunGuBianDongJinE" label="提取盈余公积导致库存股变动金额" mulRef="_GBC_048773409e614c6bb753000b028316a5" unitRef="_GBC_5214b7a188334da286fc3038d017d072" addr="T2R16C6S1_1" formatStyle="Comma">
          <m:axisValue occRef="母公司"/>
        </m:item>
        <m:item xlName="_GBC_d4a19312956e4304870740336224c1c4" concept="clcid-pte:TiQuYingYuGongJiDaoZhiQiTaZongHeShouYiBianDongJinE" label="提取盈余公积导致其他综合收益变动金额" mulRef="_GBC_048773409e614c6bb753000b028316a5" unitRef="_GBC_5214b7a188334da286fc3038d017d072" addr="T2R16C7S1_1" formatStyle="Comma">
          <m:axisValue occRef="母公司"/>
        </m:item>
        <m:item xlName="_GBC_150dedf0d4554600ba70802f710a97b7" concept="clcid-pte:TiQuYingYuGongJiDaoZhiZhuanXiangChuBeiBianDongJinE" label="提取盈余公积导致专项储备变动金额" mulRef="_GBC_048773409e614c6bb753000b028316a5" unitRef="_GBC_5214b7a188334da286fc3038d017d072" addr="T2R16C8S1_1" formatStyle="Comma">
          <m:axisValue occRef="母公司"/>
        </m:item>
        <m:item xlName="_GBC_8503b60b9ced4c8bb29ec6a4935876e7" concept="clcid-pte:TiQuYingYuGongJiDaoZhiYingYuGongJiBianDongJinE" label="提取盈余公积导致盈余公积变动金额" mulRef="_GBC_048773409e614c6bb753000b028316a5" unitRef="_GBC_5214b7a188334da286fc3038d017d072" addr="T2R16C9S1_1" formatStyle="Comma">
          <m:axisValue occRef="母公司"/>
        </m:item>
        <m:item xlName="_GBC_3aa5f30fe134494aa575bfdeea794634" concept="clcid-pte:TiQuYingYuGongJiDaoZhiWeiFenPeiLiRunBianDongJinE" label="提取盈余公积导致未分配利润变动金额" mulRef="_GBC_048773409e614c6bb753000b028316a5" unitRef="_GBC_5214b7a188334da286fc3038d017d072" addr="T2R16C10S1_1" formatStyle="Comma">
          <m:axisValue occRef="母公司"/>
        </m:item>
        <m:item xlName="_GBC_4c22c9ed997d477a9f33b60f8d0e6bea" concept="clcid-pte:TiQuYingYuGongJiDaoZhiGuDongQuanYiHeJiBianDongJinE" label="提取盈余公积导致股东权益合计变动金额" mulRef="_GBC_048773409e614c6bb753000b028316a5" unitRef="_GBC_5214b7a188334da286fc3038d017d072" addr="T2R16C11S1_1" formatStyle="Comma">
          <m:axisValue occRef="母公司"/>
        </m:item>
        <m:placeholder xlName="_PLD_b4a66855afc2407cbaf93baeafe0ad7f" addr="T2R17C0S1_1"/>
        <m:item xlName="_GBC_d96095d4d2f24ac2b2cdf303cab55a79" concept="clcid-pte:DuiSuoYouZheHuoGuDongDeFenPeiDaoZhiShiShouZiBenHuoGuBenJingEBianDongJinE" label="对所有者（或股东）的分配导致实收资本（或股本）净额变动金额" mulRef="_GBC_048773409e614c6bb753000b028316a5" unitRef="_GBC_5214b7a188334da286fc3038d017d072" addr="T2R17C1S1_1" formatStyle="Comma">
          <m:axisValue occRef="母公司"/>
        </m:item>
        <m:item xlName="_GBC_1fe13bb5afc14bb2bc44d46effb7eb77" concept="clcid-pte:DuiSuoYouZheHuoGuDongDeFenPeiDaoZhiQiTaQuanYiGongJuZhongDeYouXianGuBianDongJinE" label="对所有者（或股东）的分配导致其他权益工具中的优先股变动金额" mulRef="_GBC_048773409e614c6bb753000b028316a5" unitRef="_GBC_5214b7a188334da286fc3038d017d072" addr="T2R17C2S1_1" formatStyle="Comma">
          <m:axisValue occRef="母公司"/>
        </m:item>
        <m:item xlName="_GBC_15e58494f9af4ce68727e57c50dda544" concept="clcid-pte:DuiSuoYouZheHuoGuDongDeFenPeiDaoZhiQiTaQuanYiGongJuZhongDeYongXuZhaiBianDongJinE" label="对所有者（或股东）的分配导致其他权益工具中的永续债变动金额" mulRef="_GBC_048773409e614c6bb753000b028316a5" unitRef="_GBC_5214b7a188334da286fc3038d017d072" addr="T2R17C3S1_1" formatStyle="Comma">
          <m:axisValue occRef="母公司"/>
        </m:item>
        <m:item xlName="_GBC_cbb2df7cb7eb4705bcda41dc2e3994a6" concept="clcid-pte:DuiSuoYouZheHuoGuDongDeFenPeiDaoZhiQiTaQuanYiGongJuZhongDeQiTaBianDongJinE" label="对所有者（或股东）的分配导致其他权益工具中的其他变动金额" mulRef="_GBC_048773409e614c6bb753000b028316a5" unitRef="_GBC_5214b7a188334da286fc3038d017d072" addr="T2R17C4S1_1" formatStyle="Comma">
          <m:axisValue occRef="母公司"/>
        </m:item>
        <m:item xlName="_GBC_f6464f507560469bb752361a2180ed5d" concept="clcid-pte:DuiSuoYouZheHuoGuDongDeFenPeiDaoZhiZiBenGongJiBianDongJinE" label="对所有者（或股东）的分配导致资本公积变动金额" mulRef="_GBC_048773409e614c6bb753000b028316a5" unitRef="_GBC_5214b7a188334da286fc3038d017d072" addr="T2R17C5S1_1" formatStyle="Comma">
          <m:axisValue occRef="母公司"/>
        </m:item>
        <m:item xlName="_GBC_83e74a6d469b4c2bbbc38d66fbbca44d" concept="clcid-pte:DuiSuoYouZheHuoGuDongDeFenPeiDaoZhiKuCunGuBianDongJinE" label="对所有者（或股东）的分配导致库存股变动金额" mulRef="_GBC_048773409e614c6bb753000b028316a5" unitRef="_GBC_5214b7a188334da286fc3038d017d072" addr="T2R17C6S1_1" formatStyle="Comma">
          <m:axisValue occRef="母公司"/>
        </m:item>
        <m:item xlName="_GBC_838627a4922d4e429d54f3d31b9fcd8c" concept="clcid-pte:DuiSuoYouZheHuoGuDongDeFenPeiDaoZhiQiTaZongHeShouYiBianDongJinE" label="对所有者（或股东）的分配导致其他综合收益变动金额" mulRef="_GBC_048773409e614c6bb753000b028316a5" unitRef="_GBC_5214b7a188334da286fc3038d017d072" addr="T2R17C7S1_1" formatStyle="Comma">
          <m:axisValue occRef="母公司"/>
        </m:item>
        <m:item xlName="_GBC_530fe6917df2495f9c65b7cb243756b9" concept="clcid-pte:DuiSuoYouZheHuoGuDongDeFenPeiDaoZhiZhuanXiangChuBeiBianDongJinE" label="对所有者（或股东）的分配导致专项储备变动金额" mulRef="_GBC_048773409e614c6bb753000b028316a5" unitRef="_GBC_5214b7a188334da286fc3038d017d072" addr="T2R17C8S1_1" formatStyle="Comma">
          <m:axisValue occRef="母公司"/>
        </m:item>
        <m:item xlName="_GBC_ae98f906162c477faf3a89fd08e6a5aa" concept="clcid-pte:DuiSuoYouZheHuoGuDongDeFenPeiDaoZhiYingYuGongJiBianDongJinE" label="对所有者（或股东）的分配导致盈余公积变动金额" mulRef="_GBC_048773409e614c6bb753000b028316a5" unitRef="_GBC_5214b7a188334da286fc3038d017d072" addr="T2R17C9S1_1" formatStyle="Comma">
          <m:axisValue occRef="母公司"/>
        </m:item>
        <m:item xlName="_GBC_d1a33d14771947aba52989eb97795687" concept="clcid-pte:DuiSuoYouZheHuoGuDongDeFenPeiDaoZhiWeiFenPeiLiRunBianDongJinE" label="对所有者（或股东）的分配导致未分配利润变动金额" mulRef="_GBC_048773409e614c6bb753000b028316a5" unitRef="_GBC_5214b7a188334da286fc3038d017d072" addr="T2R17C10S1_1" formatStyle="Comma">
          <m:axisValue occRef="母公司"/>
        </m:item>
        <m:item xlName="_GBC_bbdd561c54d948dbbc668cc7d0592b7f" concept="clcid-pte:DuiSuoYouZheHuoGuDongDeFenPeiDaoZhiGuDongQuanYiHeJiBianDongJinE" label="对所有者（或股东）的分配导致股东权益合计变动金额" mulRef="_GBC_048773409e614c6bb753000b028316a5" unitRef="_GBC_5214b7a188334da286fc3038d017d072" addr="T2R17C11S1_1" formatStyle="Comma">
          <m:axisValue occRef="母公司"/>
        </m:item>
        <m:placeholder xlName="_PLD_f35184bd1aa14b32a781b0ed9b526ffe" addr="T2R18C0S1_1"/>
        <m:item xlName="_GBC_9c81f8e1c30c4827a5af9fbfaa3e74b2" concept="clcid-pte:QiTaLiRunFenPeiDaoZhiShiShouZiBenHuoGuBenJingEBianDongJinE" label="其他利润分配导致实收资本（或股本）净额变动金额" mulRef="_GBC_048773409e614c6bb753000b028316a5" unitRef="_GBC_5214b7a188334da286fc3038d017d072" addr="T2R18C1S1_1" formatStyle="Comma">
          <m:axisValue occRef="母公司"/>
        </m:item>
        <m:item xlName="_GBC_370a21dbc89f4b02a96727e397b1c347" concept="clcid-pte:QiTaLiRunFenPeiDaoZhiQiTaQuanYiGongJuZhongDeYouXianGuBianDongJinE" label="其他利润分配导致其他权益工具中的优先股变动金额" mulRef="_GBC_048773409e614c6bb753000b028316a5" unitRef="_GBC_5214b7a188334da286fc3038d017d072" addr="T2R18C2S1_1" formatStyle="Comma">
          <m:axisValue occRef="母公司"/>
        </m:item>
        <m:item xlName="_GBC_0cc3210c3ea14d2ca3946cbdd5811bb4" concept="clcid-pte:QiTaLiRunFenPeiDaoZhiQiTaQuanYiGongJuZhongDeYongXuZhaiBianDongJinE" label="其他利润分配导致其他权益工具中的永续债变动金额" mulRef="_GBC_048773409e614c6bb753000b028316a5" unitRef="_GBC_5214b7a188334da286fc3038d017d072" addr="T2R18C3S1_1" formatStyle="Comma">
          <m:axisValue occRef="母公司"/>
        </m:item>
        <m:item xlName="_GBC_c61a966bf0e049f1a7f0534baa372a46" concept="clcid-pte:QiTaLiRunFenPeiDaoZhiQiTaQuanYiGongJuZhongDeQiTaBianDongJinE" label="其他利润分配导致其他权益工具中的其他变动金额" mulRef="_GBC_048773409e614c6bb753000b028316a5" unitRef="_GBC_5214b7a188334da286fc3038d017d072" addr="T2R18C4S1_1" formatStyle="Comma">
          <m:axisValue occRef="母公司"/>
        </m:item>
        <m:item xlName="_GBC_bcd3ab2e57f54c3d8e52b6df982d6ce4" concept="clcid-pte:QiTaLiRunFenPeiDaoZhiZiBenGongJiBianDongJinE" label="其他利润分配导致资本公积变动金额" mulRef="_GBC_048773409e614c6bb753000b028316a5" unitRef="_GBC_5214b7a188334da286fc3038d017d072" addr="T2R18C5S1_1" formatStyle="Comma">
          <m:axisValue occRef="母公司"/>
        </m:item>
        <m:item xlName="_GBC_a33335797d7849cc88c6aec74eba0ad9" concept="clcid-pte:QiTaLiRunFenPeiDaoZhiKuCunGuBianDongJinE" label="其他利润分配导致库存股变动金额" mulRef="_GBC_048773409e614c6bb753000b028316a5" unitRef="_GBC_5214b7a188334da286fc3038d017d072" addr="T2R18C6S1_1" formatStyle="Comma">
          <m:axisValue occRef="母公司"/>
        </m:item>
        <m:item xlName="_GBC_00c07da66c6c401390659d32216262dc" concept="clcid-pte:QiTaLiRunFenPeiDaoZhiQiTaZongHeShouYiBianDongJinE" label="其他利润分配导致其他综合收益变动金额" mulRef="_GBC_048773409e614c6bb753000b028316a5" unitRef="_GBC_5214b7a188334da286fc3038d017d072" addr="T2R18C7S1_1" formatStyle="Comma">
          <m:axisValue occRef="母公司"/>
        </m:item>
        <m:item xlName="_GBC_ebb35207d12549048ff6890031842373" concept="clcid-pte:QiTaLiRunFenPeiDaoZhiZhuanXiangChuBeiBianDongJinE" label="其他利润分配导致专项储备变动金额" mulRef="_GBC_048773409e614c6bb753000b028316a5" unitRef="_GBC_5214b7a188334da286fc3038d017d072" addr="T2R18C8S1_1" formatStyle="Comma">
          <m:axisValue occRef="母公司"/>
        </m:item>
        <m:item xlName="_GBC_7a71958ae8bc437f93eab2b423dc51f5" concept="clcid-pte:QiTaLiRunFenPeiDaoZhiYingYuGongJiBianDongJinE" label="其他利润分配导致盈余公积变动金额" mulRef="_GBC_048773409e614c6bb753000b028316a5" unitRef="_GBC_5214b7a188334da286fc3038d017d072" addr="T2R18C9S1_1" formatStyle="Comma">
          <m:axisValue occRef="母公司"/>
        </m:item>
        <m:item xlName="_GBC_68eec89c6141467d987a7b9ff58d8c9b" concept="clcid-pte:QiTaLiRunFenPeiDaoZhiWeiFenPeiLiRunBianDongJinE" label="其他利润分配导致未分配利润变动金额" mulRef="_GBC_048773409e614c6bb753000b028316a5" unitRef="_GBC_5214b7a188334da286fc3038d017d072" addr="T2R18C10S1_1" formatStyle="Comma">
          <m:axisValue occRef="母公司"/>
        </m:item>
        <m:item xlName="_GBC_7f21d78e4a24457881b86248092595bf" concept="clcid-pte:QiTaLiRunFenPeiDaoZhiGuDongQuanYiHeJiBianDongJinE" label="其他利润分配导致股东权益合计变动金额" mulRef="_GBC_048773409e614c6bb753000b028316a5" unitRef="_GBC_5214b7a188334da286fc3038d017d072" addr="T2R18C11S1_1" formatStyle="Comma">
          <m:axisValue occRef="母公司"/>
        </m:item>
        <m:placeholder xlName="_PLD_377c539e51b74e8689b49d91a30d6a9f" addr="T2R19C0S1_1"/>
        <m:item xlName="_GBC_f283c649fc1342198eff95dfe47a3805" concept="clcid-pte:SuoYouZheQuanYiNeiBuJieZhuanDaoZhiShiShouZiBenHuoGuBenJingEBianDongJinE" label="所有者权益内部结转导致实收资本（或股本）净额变动金额" mulRef="_GBC_048773409e614c6bb753000b028316a5" unitRef="_GBC_5214b7a188334da286fc3038d017d072" addr="T2R19C1S1_1" formatStyle="Comma">
          <m:complexRule comparator="Eq" title="母公司所有者权益内部结转导致实收资本（或股本）净额变动金额" test="$_GBC_58e16a89cb334df6bde452133339f7c1+$_GBC_1fdac46518d7477ab877041b22a6d61c+$_GBC_c54e4bd0b2d84fac979c4c4d228e2e8a+$_GBC_8c37033b30b74558aa6065788e32a378+$_GBC_2831ad7f38664a089db9f59a15ccd79c+$_GBC_c12c8acbe8ca43959d18fbc507ee415e" id="C91a66aa409ff48e5a584c480cddf8a4d"/>
          <m:axisValue occRef="母公司"/>
        </m:item>
        <m:item xlName="_GBC_ef91efe5622b435aa7743a80121de833" concept="clcid-pte:SuoYouZheQuanYiNeiBuJieZhuanDaoZhiQiTaQuanYiGongJuZhongDeYouXianGuBianDongJinE" label="所有者权益内部结转导致其他权益工具中的优先股变动金额" mulRef="_GBC_048773409e614c6bb753000b028316a5" unitRef="_GBC_5214b7a188334da286fc3038d017d072" addr="T2R19C2S1_1" formatStyle="Comma">
          <m:complexRule comparator="Eq" title="母公司所有者权益内部结转导致其他权益工具中的优先股变动金额" test="$_GBC_cfd9fd1971514caebfa1eb7b12bbc135+$_GBC_a935445166a44771960ac8a575396f3c+$_GBC_85bfb4fb437245fda8edede67c1c1eb6+$_GBC_5678bed2a31249e58c6462a59c03fd8c+$_GBC_36877258ffdb48908aaedd593bf4a5ae+$_GBC_c249770cec1e46849339600174f46cb8" id="C824580a714ae4b10aeb41bfe56eb986b"/>
          <m:axisValue occRef="母公司"/>
        </m:item>
        <m:item xlName="_GBC_4ac9c71994ac4ff799a55b82157015cb" concept="clcid-pte:SuoYouZheQuanYiNeiBuJieZhuanDaoZhiQiTaQuanYiGongJuZhongDeYongXuZhaiBianDongJinE" label="所有者权益内部结转导致其他权益工具中的永续债变动金额" mulRef="_GBC_048773409e614c6bb753000b028316a5" unitRef="_GBC_5214b7a188334da286fc3038d017d072" addr="T2R19C3S1_1" formatStyle="Comma">
          <m:complexRule comparator="Eq" title="母公司所有者权益内部结转导致其他权益工具中的永续债变动金额" test="$_GBC_ce8c23bcc7b54f2aa52e9cc42c64691e+$_GBC_776b3538616c492f8df9dfe67acb2712+$_GBC_97b75454cad74ef49a0ba703e2c25e70+$_GBC_4ebc387767c24233ae39d6ebfb88ac92+$_GBC_eea7c5f794f7484093d707819ba00ec3+$_GBC_9763a0172a6242e49a00331b096d8b18" id="C6d176f2fdad4486f9676fdfd709e9d9e"/>
          <m:axisValue occRef="母公司"/>
        </m:item>
        <m:item xlName="_GBC_f272c4ee43e34fa49fb65c1fea08629f" concept="clcid-pte:SuoYouZheQuanYiNeiBuJieZhuanDaoZhiQiTaQuanYiGongJuZhongDeQiTaBianDongJinE" label="所有者权益内部结转导致其他权益工具中的其他变动金额" mulRef="_GBC_048773409e614c6bb753000b028316a5" unitRef="_GBC_5214b7a188334da286fc3038d017d072" addr="T2R19C4S1_1" formatStyle="Comma">
          <m:complexRule comparator="Eq" title="母公司所有者权益内部结转导致其他权益工具中的其他变动金额" test="$_GBC_fcd2e337b72c4dc8bad9575275429152+$_GBC_455af898706e45a39b78f1414832364d+$_GBC_983e14819fd5410a8b3568095d141cd0+$_GBC_2cab6b90697b46dfa55a20605b207d59+$_GBC_3a30205bfc544591afc0d5698537e14c+$_GBC_9f99d2c8f43a47ef9288572b8e455f72" id="C8fc1884059e042b4ba5c91bf78e79273"/>
          <m:axisValue occRef="母公司"/>
        </m:item>
        <m:item xlName="_GBC_68ab5139b8ff40ac80a4db45813c9477" concept="clcid-pte:SuoYouZheQuanYiNeiBuJieZhuanDaoZhiZiBenGongJiBianDongJinE" label="所有者权益内部结转导致资本公积变动金额" mulRef="_GBC_048773409e614c6bb753000b028316a5" unitRef="_GBC_5214b7a188334da286fc3038d017d072" addr="T2R19C5S1_1" formatStyle="Comma">
          <m:complexRule comparator="Eq" title="母公司所有者权益内部结转导致资本公积变动金额" test="$_GBC_e0ad59720f4e47b494007fe6876fbc0e+$_GBC_7dfb56e12a2245e5aad652e911e55347+$_GBC_924b9ed3e89c4b4988309dddf304a82b+$_GBC_4d0414e659e44a3e9aa4eefc72d15c05+$_GBC_9383cb5696f0403386bfc18f9d424d59+$_GBC_79ae5c7f33b64ca4854b078e711edf01" id="C96df0ad95b6547f28d289a4fd164e53d"/>
          <m:axisValue occRef="母公司"/>
        </m:item>
        <m:item xlName="_GBC_0d9772d823c6492e8371be725cb8f5c2" concept="clcid-pte:SuoYouZheQuanYiNeiBuJieZhuanDaoZhiKuCunGuBianDongJinE" label="所有者权益内部结转导致库存股变动金额" mulRef="_GBC_048773409e614c6bb753000b028316a5" unitRef="_GBC_5214b7a188334da286fc3038d017d072" addr="T2R19C6S1_1" formatStyle="Comma">
          <m:complexRule comparator="Eq" title="母公司所有者权益内部结转导致库存股变动金额" test="$_GBC_4755507aa7964f16bb664ac0a262b7b7+$_GBC_af0da898a3474b5ca139b28085132708+$_GBC_483deb59b0834d4b99cd7e92931b423b+$_GBC_5a20cc1f54d64045a18af024d677b3c7+$_GBC_ec1c7c4c475045689832c4e379519a44+$_GBC_ef4e073754fd4089b309769be7ff3d60" id="Cb695f38034b84dd7b1c25894950c6f40"/>
          <m:axisValue occRef="母公司"/>
        </m:item>
        <m:item xlName="_GBC_05d4a4b3c8a74bbaa40c911fb4960c78" concept="clcid-pte:SuoYouZheQuanYiNeiBuJieZhuanDaoZhiQiTaZongHeShouYiBianDongJinE" label="所有者权益内部结转导致其他综合收益变动金额" mulRef="_GBC_048773409e614c6bb753000b028316a5" unitRef="_GBC_5214b7a188334da286fc3038d017d072" addr="T2R19C7S1_1" formatStyle="Comma">
          <m:complexRule comparator="Eq" title="母公司所有者权益内部结转导致其他综合收益变动金额" test="$_GBC_20edbf362b5d43348992e88104f59531+$_GBC_fe4fc7f67d5a4d029cfea78ffc62d01c+$_GBC_42dbc1c15cec4889afebe0ddd03cb7d3+$_GBC_f50f3442bfe547ae92bb996ca9d26c1b+$_GBC_088ac970636c4ea98a07c1b1cdeebea1+$_GBC_aaf8581bfdea43afaab1107686c116d8" id="C5171fb6fda8449d79cb6db90abad59ba"/>
          <m:axisValue occRef="母公司"/>
        </m:item>
        <m:item xlName="_GBC_0b9cda03d7654088aaa463ecda825ec7" concept="clcid-pte:SuoYouZheQuanYiNeiBuJieZhuanDaoZhiZhuanXiangChuBeiBianDongJinE" label="所有者权益内部结转导致专项储备变动金额" mulRef="_GBC_048773409e614c6bb753000b028316a5" unitRef="_GBC_5214b7a188334da286fc3038d017d072" addr="T2R19C8S1_1" formatStyle="Comma">
          <m:complexRule comparator="Eq" title="母公司所有者权益内部结转导致专项储备变动金额" test="$_GBC_f6435db4715a45bdbdbf9a21508ab7b9+$_GBC_2bae1d1e231b4f9aa8e389ee91eab0ee+$_GBC_993268c981684cb98568145fd9d89460+$_GBC_29a943528604451489cfa1d36e848933+$_GBC_2e0b2a1e4479461fb045eb537ae580f8+$_GBC_c6eb678860644dcc87f23eeb61e99952" id="Cefe3bfb364ca48df9f25c1b7a1bae5bd"/>
          <m:axisValue occRef="母公司"/>
        </m:item>
        <m:item xlName="_GBC_6462d048d6314f59bcaa1c66b7df4d48" concept="clcid-pte:SuoYouZheQuanYiNeiBuJieZhuanDaoZhiYingYuGongJiBianDongJinE" label="所有者权益内部结转导致盈余公积变动金额" mulRef="_GBC_048773409e614c6bb753000b028316a5" unitRef="_GBC_5214b7a188334da286fc3038d017d072" addr="T2R19C9S1_1" formatStyle="Comma">
          <m:complexRule comparator="Eq" title="母公司所有者权益内部结转导致盈余公积变动金额" test="$_GBC_36bbbdcb9de248e6a40628399781e505+$_GBC_1a4224c4dd1547deb0fd234f1ac656c9+$_GBC_84424461371947aea90a893e959ac322+$_GBC_b039644f00184625a549e959f210cb46+$_GBC_a716d544a2ed4618ab191115bd92a8b0+$_GBC_17268790310846b2b3ce86c1a4c983f4" id="C1bef75341f804b33b7aceaaafb7ddde6"/>
          <m:axisValue occRef="母公司"/>
        </m:item>
        <m:item xlName="_GBC_f46d5e57a018475f8082fc51dd15e49e" concept="clcid-pte:SuoYouZheQuanYiNeiBuJieZhuanDaoZhiWeiFenPeiLiRunBianDongJinE" label="所有者权益内部结转导致未分配利润变动金额" mulRef="_GBC_048773409e614c6bb753000b028316a5" unitRef="_GBC_5214b7a188334da286fc3038d017d072" addr="T2R19C10S1_1" formatStyle="Comma">
          <m:complexRule comparator="Eq" title="母公司所有者权益内部结转导致未分配利润变动金额" test="$_GBC_627bc2b3f6d54560b9d8f555f635f1f4+$_GBC_d34e10ee0bfc4af280f7cfe03bf43988+$_GBC_c639475c0bd141ef8ee6e289371f4383+$_GBC_10a33ffe495e4bdc836f6b2fad54e579+$_GBC_054808ba1d714ccca4dd30e09c36f00f+$_GBC_1ed45a0f2d844379a6480cc4f7cdfaff" id="C8ad8354c7545469aa75cdb8c01362a6b"/>
          <m:axisValue occRef="母公司"/>
        </m:item>
        <m:item xlName="_GBC_782b87c6adc54716910c267017ad800a" concept="clcid-pte:SuoYouZheQuanYiNeiBuJieZhuanDaoZhiGuDongQuanYiHeJiBianDongJinE" label="所有者权益内部结转导致股东权益合计变动金额" mulRef="_GBC_048773409e614c6bb753000b028316a5" unitRef="_GBC_5214b7a188334da286fc3038d017d072" addr="T2R19C11S1_1" formatStyle="Comma">
          <m:complexRule comparator="Eq" title="母公司所有者权益内部结转导致股东权益合计变动金额" test="$_GBC_d2e67ae1f8e1435e9ef44bcb508c9e71+$_GBC_dda47fa6bf4146f38be7631f0378638a+$_GBC_1516326ef156473e99c322b58b2722da+$_GBC_ed06713e4211446b9aa0bda1635d9412+$_GBC_21b161c66a4c488c8d852ceb78f37ad1+$_GBC_0122523930f844f9818e88f8be8bc749" id="C8f8b2c2818c14429813f3c139a74b386"/>
          <m:axisValue occRef="母公司"/>
        </m:item>
        <m:placeholder xlName="_PLD_9d82304ad85542d89ad56bdebdedd7c5" addr="T2R20C0S1_1"/>
        <m:item xlName="_GBC_58e16a89cb334df6bde452133339f7c1" concept="clcid-pte:ZiBenGongJiZhuanZengZiBenHuoGuBenDaoZhiShiShouZiBenHuoGuBenJingEBianDongJinE" label="资本公积转增资本（或股本）导致实收资本（或股本）净额变动金额" mulRef="_GBC_048773409e614c6bb753000b028316a5" unitRef="_GBC_5214b7a188334da286fc3038d017d072" addr="T2R20C1S1_1" formatStyle="Comma">
          <m:axisValue occRef="母公司"/>
        </m:item>
        <m:item xlName="_GBC_cfd9fd1971514caebfa1eb7b12bbc135" concept="clcid-pte:ZiBenGongJiZhuanZengZiBenHuoGuBenDaoZhiQiTaQuanYiGongJuZhongDeYouXianGuBianDongJinE" label="资本公积转增资本（或股本）导致其他权益工具中的优先股变动金额" mulRef="_GBC_048773409e614c6bb753000b028316a5" unitRef="_GBC_5214b7a188334da286fc3038d017d072" addr="T2R20C2S1_1" formatStyle="Comma">
          <m:axisValue occRef="母公司"/>
        </m:item>
        <m:item xlName="_GBC_ce8c23bcc7b54f2aa52e9cc42c64691e" concept="clcid-pte:ZiBenGongJiZhuanZengZiBenHuoGuBenDaoZhiQiTaQuanYiGongJuZhongDeYongXuZhaiBianDongJinE" label="资本公积转增资本（或股本）导致其他权益工具中的永续债变动金额" mulRef="_GBC_048773409e614c6bb753000b028316a5" unitRef="_GBC_5214b7a188334da286fc3038d017d072" addr="T2R20C3S1_1" formatStyle="Comma">
          <m:axisValue occRef="母公司"/>
        </m:item>
        <m:item xlName="_GBC_fcd2e337b72c4dc8bad9575275429152" concept="clcid-pte:ZiBenGongJiZhuanZengZiBenHuoGuBenDaoZhiQiTaQuanYiGongJuZhongDeQiTaBianDongJinE" label="资本公积转增资本（或股本）导致其他权益工具中的其他变动金额" mulRef="_GBC_048773409e614c6bb753000b028316a5" unitRef="_GBC_5214b7a188334da286fc3038d017d072" addr="T2R20C4S1_1" formatStyle="Comma">
          <m:axisValue occRef="母公司"/>
        </m:item>
        <m:item xlName="_GBC_e0ad59720f4e47b494007fe6876fbc0e" concept="clcid-pte:ZiBenGongJiZhuanZengZiBenHuoGuBenDaoZhiZiBenGongJiBianDongJinE" label="资本公积转增资本（或股本）导致资本公积变动金额" mulRef="_GBC_048773409e614c6bb753000b028316a5" unitRef="_GBC_5214b7a188334da286fc3038d017d072" addr="T2R20C5S1_1" formatStyle="Comma">
          <m:axisValue occRef="母公司"/>
        </m:item>
        <m:item xlName="_GBC_4755507aa7964f16bb664ac0a262b7b7" concept="clcid-pte:ZiBenGongJiZhuanZengZiBenHuoGuBenDaoZhiKuCunGuBianDongJinE" label="资本公积转增资本（或股本）导致库存股变动金额" mulRef="_GBC_048773409e614c6bb753000b028316a5" unitRef="_GBC_5214b7a188334da286fc3038d017d072" addr="T2R20C6S1_1" formatStyle="Comma">
          <m:axisValue occRef="母公司"/>
        </m:item>
        <m:item xlName="_GBC_20edbf362b5d43348992e88104f59531" concept="clcid-pte:ZiBenGongJiZhuanZengZiBenHuoGuBenDaoZhiQiTaZongHeShouYiBianDongJinE" label="资本公积转增资本（或股本）导致其他综合收益变动金额" mulRef="_GBC_048773409e614c6bb753000b028316a5" unitRef="_GBC_5214b7a188334da286fc3038d017d072" addr="T2R20C7S1_1" formatStyle="Comma">
          <m:axisValue occRef="母公司"/>
        </m:item>
        <m:item xlName="_GBC_f6435db4715a45bdbdbf9a21508ab7b9" concept="clcid-pte:ZiBenGongJiZhuanZengZiBenHuoGuBenDaoZhiZhuanXiangChuBeiBianDongJinE" label="资本公积转增资本（或股本）导致专项储备变动金额" mulRef="_GBC_048773409e614c6bb753000b028316a5" unitRef="_GBC_5214b7a188334da286fc3038d017d072" addr="T2R20C8S1_1" formatStyle="Comma">
          <m:axisValue occRef="母公司"/>
        </m:item>
        <m:item xlName="_GBC_36bbbdcb9de248e6a40628399781e505" concept="clcid-pte:ZiBenGongJiZhuanZengZiBenHuoGuBenDaoZhiYingYuGongJiBianDongJinE" label="资本公积转增资本（或股本）导致盈余公积变动金额" mulRef="_GBC_048773409e614c6bb753000b028316a5" unitRef="_GBC_5214b7a188334da286fc3038d017d072" addr="T2R20C9S1_1" formatStyle="Comma">
          <m:axisValue occRef="母公司"/>
        </m:item>
        <m:item xlName="_GBC_627bc2b3f6d54560b9d8f555f635f1f4" concept="clcid-pte:ZiBenGongJiZhuanZengZiBenHuoGuBenDaoZhiWeiFenPeiLiRunBianDongJinE" label="资本公积转增资本（或股本）导致未分配利润变动金额" mulRef="_GBC_048773409e614c6bb753000b028316a5" unitRef="_GBC_5214b7a188334da286fc3038d017d072" addr="T2R20C10S1_1" formatStyle="Comma">
          <m:axisValue occRef="母公司"/>
        </m:item>
        <m:item xlName="_GBC_d2e67ae1f8e1435e9ef44bcb508c9e71" concept="clcid-pte:ZiBenGongJiZhuanZengZiBenHuoGuBenDaoZhiGuDongQuanYiHeJiBianDongJinE" label="资本公积转增资本（或股本）导致股东权益合计变动金额" mulRef="_GBC_048773409e614c6bb753000b028316a5" unitRef="_GBC_5214b7a188334da286fc3038d017d072" addr="T2R20C11S1_1" formatStyle="Comma">
          <m:axisValue occRef="母公司"/>
        </m:item>
        <m:placeholder xlName="_PLD_ba5c81951f1c4ff0a188b55532ed96a5" addr="T2R21C0S1_1"/>
        <m:item xlName="_GBC_1fdac46518d7477ab877041b22a6d61c" concept="clcid-pte:YingYuGongJiZhuanZengZiBenHuoGuBenDaoZhiShiShouZiBenHuoGuBenJingEBianDongJinE" label="盈余公积转增资本（或股本）导致实收资本（或股本）净额变动金额" mulRef="_GBC_048773409e614c6bb753000b028316a5" unitRef="_GBC_5214b7a188334da286fc3038d017d072" addr="T2R21C1S1_1" formatStyle="Comma">
          <m:axisValue occRef="母公司"/>
        </m:item>
        <m:item xlName="_GBC_a935445166a44771960ac8a575396f3c" concept="clcid-pte:YingYuGongJiZhuanZengZiBenHuoGuBenDaoZhiQiTaQuanYiGongJuZhongDeYouXianGuBianDongJinE" label="盈余公积转增资本（或股本）导致其他权益工具中的优先股变动金额" mulRef="_GBC_048773409e614c6bb753000b028316a5" unitRef="_GBC_5214b7a188334da286fc3038d017d072" addr="T2R21C2S1_1" formatStyle="Comma">
          <m:axisValue occRef="母公司"/>
        </m:item>
        <m:item xlName="_GBC_776b3538616c492f8df9dfe67acb2712" concept="clcid-pte:YingYuGongJiZhuanZengZiBenHuoGuBenDaoZhiQiTaQuanYiGongJuZhongDeYongXuZhaiBianDongJinE" label="盈余公积转增资本（或股本）导致其他权益工具中的永续债变动金额" mulRef="_GBC_048773409e614c6bb753000b028316a5" unitRef="_GBC_5214b7a188334da286fc3038d017d072" addr="T2R21C3S1_1" formatStyle="Comma">
          <m:axisValue occRef="母公司"/>
        </m:item>
        <m:item xlName="_GBC_455af898706e45a39b78f1414832364d" concept="clcid-pte:YingYuGongJiZhuanZengZiBenHuoGuBenDaoZhiQiTaQuanYiGongJuZhongDeQiTaBianDongJinE" label="盈余公积转增资本（或股本）导致其他权益工具中的其他变动金额" mulRef="_GBC_048773409e614c6bb753000b028316a5" unitRef="_GBC_5214b7a188334da286fc3038d017d072" addr="T2R21C4S1_1" formatStyle="Comma">
          <m:axisValue occRef="母公司"/>
        </m:item>
        <m:item xlName="_GBC_7dfb56e12a2245e5aad652e911e55347" concept="clcid-pte:YingYuGongJiZhuanZengZiBenHuoGuBenDaoZhiZiBenGongJiBianDongJinE" label="盈余公积转增资本（或股本）导致资本公积变动金额" mulRef="_GBC_048773409e614c6bb753000b028316a5" unitRef="_GBC_5214b7a188334da286fc3038d017d072" addr="T2R21C5S1_1" formatStyle="Comma">
          <m:axisValue occRef="母公司"/>
        </m:item>
        <m:item xlName="_GBC_af0da898a3474b5ca139b28085132708" concept="clcid-pte:YingYuGongJiZhuanZengZiBenHuoGuBenDaoZhiKuCunGuBianDongJinE" label="盈余公积转增资本（或股本）导致库存股变动金额" mulRef="_GBC_048773409e614c6bb753000b028316a5" unitRef="_GBC_5214b7a188334da286fc3038d017d072" addr="T2R21C6S1_1" formatStyle="Comma">
          <m:axisValue occRef="母公司"/>
        </m:item>
        <m:item xlName="_GBC_fe4fc7f67d5a4d029cfea78ffc62d01c" concept="clcid-pte:YingYuGongJiZhuanZengZiBenHuoGuBenDaoZhiQiTaZongHeShouYiBianDongJinE" label="盈余公积转增资本（或股本）导致其他综合收益变动金额" mulRef="_GBC_048773409e614c6bb753000b028316a5" unitRef="_GBC_5214b7a188334da286fc3038d017d072" addr="T2R21C7S1_1" formatStyle="Comma">
          <m:axisValue occRef="母公司"/>
        </m:item>
        <m:item xlName="_GBC_2bae1d1e231b4f9aa8e389ee91eab0ee" concept="clcid-pte:YingYuGongJiZhuanZengZiBenHuoGuBenDaoZhiZhuanXiangChuBeiBianDongJinE" label="盈余公积转增资本（或股本）导致专项储备变动金额" mulRef="_GBC_048773409e614c6bb753000b028316a5" unitRef="_GBC_5214b7a188334da286fc3038d017d072" addr="T2R21C8S1_1" formatStyle="Comma">
          <m:axisValue occRef="母公司"/>
        </m:item>
        <m:item xlName="_GBC_1a4224c4dd1547deb0fd234f1ac656c9" concept="clcid-pte:YingYuGongJiZhuanZengZiBenHuoGuBenDaoZhiYingYuGongJiBianDongJinE" label="盈余公积转增资本（或股本）导致盈余公积变动金额" mulRef="_GBC_048773409e614c6bb753000b028316a5" unitRef="_GBC_5214b7a188334da286fc3038d017d072" addr="T2R21C9S1_1" formatStyle="Comma">
          <m:axisValue occRef="母公司"/>
        </m:item>
        <m:item xlName="_GBC_d34e10ee0bfc4af280f7cfe03bf43988" concept="clcid-pte:YingYuGongJiZhuanZengZiBenHuoGuBenDaoZhiWeiFenPeiLiRunBianDongJinE" label="盈余公积转增资本（或股本）导致未分配利润变动金额" mulRef="_GBC_048773409e614c6bb753000b028316a5" unitRef="_GBC_5214b7a188334da286fc3038d017d072" addr="T2R21C10S1_1" formatStyle="Comma">
          <m:axisValue occRef="母公司"/>
        </m:item>
        <m:item xlName="_GBC_dda47fa6bf4146f38be7631f0378638a" concept="clcid-pte:YingYuGongJiZhuanZengZiBenHuoGuBenDaoZhiGuDongQuanYiHeJiBianDongJinE" label="盈余公积转增资本（或股本）导致股东权益合计变动金额" mulRef="_GBC_048773409e614c6bb753000b028316a5" unitRef="_GBC_5214b7a188334da286fc3038d017d072" addr="T2R21C11S1_1" formatStyle="Comma">
          <m:axisValue occRef="母公司"/>
        </m:item>
        <m:placeholder xlName="_PLD_81b068c4cdf2482a9438450e52e9b3b4" addr="T2R22C0S1_1"/>
        <m:item xlName="_GBC_c54e4bd0b2d84fac979c4c4d228e2e8a" concept="clcid-pte:YingYuGongJiMiBuKuiSunDaoZhiShiShouZiBenHuoGuBenJingEBianDongJinE" label="盈余公积弥补亏损导致实收资本（或股本）净额变动金额" mulRef="_GBC_048773409e614c6bb753000b028316a5" unitRef="_GBC_5214b7a188334da286fc3038d017d072" addr="T2R22C1S1_1" formatStyle="Comma">
          <m:axisValue occRef="母公司"/>
        </m:item>
        <m:item xlName="_GBC_85bfb4fb437245fda8edede67c1c1eb6" concept="clcid-pte:YingYuGongJiMiBuKuiSunDaoZhiQiTaQuanYiGongJuZhongDeYouXianGuBianDongJinE" label="盈余公积弥补亏损导致其他权益工具中的优先股变动金额" mulRef="_GBC_048773409e614c6bb753000b028316a5" unitRef="_GBC_5214b7a188334da286fc3038d017d072" addr="T2R22C2S1_1" formatStyle="Comma">
          <m:axisValue occRef="母公司"/>
        </m:item>
        <m:item xlName="_GBC_97b75454cad74ef49a0ba703e2c25e70" concept="clcid-pte:YingYuGongJiMiBuKuiSunDaoZhiQiTaQuanYiGongJuZhongDeYongXuZhaiBianDongJinE" label="盈余公积弥补亏损导致其他权益工具中的永续债变动金额" mulRef="_GBC_048773409e614c6bb753000b028316a5" unitRef="_GBC_5214b7a188334da286fc3038d017d072" addr="T2R22C3S1_1" formatStyle="Comma">
          <m:axisValue occRef="母公司"/>
        </m:item>
        <m:item xlName="_GBC_983e14819fd5410a8b3568095d141cd0" concept="clcid-pte:YingYuGongJiMiBuKuiSunDaoZhiQiTaQuanYiGongJuZhongDeQiTaBianDongJinE" label="盈余公积弥补亏损导致其他权益工具中的其他变动金额" mulRef="_GBC_048773409e614c6bb753000b028316a5" unitRef="_GBC_5214b7a188334da286fc3038d017d072" addr="T2R22C4S1_1" formatStyle="Comma">
          <m:axisValue occRef="母公司"/>
        </m:item>
        <m:item xlName="_GBC_924b9ed3e89c4b4988309dddf304a82b" concept="clcid-pte:YingYuGongJiMiBuKuiSunDaoZhiZiBenGongJiBianDongJinE" label="盈余公积弥补亏损导致资本公积变动金额" mulRef="_GBC_048773409e614c6bb753000b028316a5" unitRef="_GBC_5214b7a188334da286fc3038d017d072" addr="T2R22C5S1_1" formatStyle="Comma">
          <m:axisValue occRef="母公司"/>
        </m:item>
        <m:item xlName="_GBC_483deb59b0834d4b99cd7e92931b423b" concept="clcid-pte:YingYuGongJiMiBuKuiSunDaoZhiKuCunGuBianDongJinE" label="盈余公积弥补亏损导致库存股变动金额" mulRef="_GBC_048773409e614c6bb753000b028316a5" unitRef="_GBC_5214b7a188334da286fc3038d017d072" addr="T2R22C6S1_1" formatStyle="Comma">
          <m:axisValue occRef="母公司"/>
        </m:item>
        <m:item xlName="_GBC_42dbc1c15cec4889afebe0ddd03cb7d3" concept="clcid-pte:YingYuGongJiMiBuKuiSunDaoZhiQiTaZongHeShouYiBianDongJinE" label="盈余公积弥补亏损导致其他综合收益变动金额" mulRef="_GBC_048773409e614c6bb753000b028316a5" unitRef="_GBC_5214b7a188334da286fc3038d017d072" addr="T2R22C7S1_1" formatStyle="Comma">
          <m:axisValue occRef="母公司"/>
        </m:item>
        <m:item xlName="_GBC_993268c981684cb98568145fd9d89460" concept="clcid-pte:YingYuGongJiMiBuKuiSunDaoZhiZhuanXiangChuBeiBianDongJinE" label="盈余公积弥补亏损导致专项储备变动金额" mulRef="_GBC_048773409e614c6bb753000b028316a5" unitRef="_GBC_5214b7a188334da286fc3038d017d072" addr="T2R22C8S1_1" formatStyle="Comma">
          <m:axisValue occRef="母公司"/>
        </m:item>
        <m:item xlName="_GBC_84424461371947aea90a893e959ac322" concept="clcid-pte:YingYuGongJiMiBuKuiSunDaoZhiYingYuGongJiBianDongJinE" label="盈余公积弥补亏损导致盈余公积变动金额" mulRef="_GBC_048773409e614c6bb753000b028316a5" unitRef="_GBC_5214b7a188334da286fc3038d017d072" addr="T2R22C9S1_1" formatStyle="Comma">
          <m:axisValue occRef="母公司"/>
        </m:item>
        <m:item xlName="_GBC_c639475c0bd141ef8ee6e289371f4383" concept="clcid-pte:YingYuGongJiMiBuKuiSunDaoZhiWeiFenPeiLiRunBianDongJinE" label="盈余公积弥补亏损导致未分配利润变动金额" mulRef="_GBC_048773409e614c6bb753000b028316a5" unitRef="_GBC_5214b7a188334da286fc3038d017d072" addr="T2R22C10S1_1" formatStyle="Comma">
          <m:axisValue occRef="母公司"/>
        </m:item>
        <m:item xlName="_GBC_1516326ef156473e99c322b58b2722da" concept="clcid-pte:YingYuGongJiMiBuKuiSunDaoZhiGuDongQuanYiHeJiBianDongJinE" label="盈余公积弥补亏损导致股东权益合计变动金额" mulRef="_GBC_048773409e614c6bb753000b028316a5" unitRef="_GBC_5214b7a188334da286fc3038d017d072" addr="T2R22C11S1_1" formatStyle="Comma">
          <m:axisValue occRef="母公司"/>
        </m:item>
        <m:placeholder xlName="_PLD_0e7647effaeb42219d706b118465bdec" addr="T2R23C0S1_1"/>
        <m:item xlName="_GBC_8c37033b30b74558aa6065788e32a378" concept="clcid-pte:SheDingShouYiJiHuaBianDongEJieZhuanLiuCunShouYiDaoZhiShiShouZiBenHuoGuBenJingEBianDongJinE" label="设定受益计划变动额结转留存收益导致实收资本（或股本）净额变动金额" mulRef="_GBC_048773409e614c6bb753000b028316a5" unitRef="_GBC_5214b7a188334da286fc3038d017d072" addr="T2R23C1S1_1" formatStyle="Comma">
          <m:axisValue occRef="母公司"/>
        </m:item>
        <m:item xlName="_GBC_5678bed2a31249e58c6462a59c03fd8c" concept="clcid-pte:SheDingShouYiJiHuaBianDongEJieZhuanLiuCunShouYiDaoZhiQiTaQuanYiGongJuZhongDeYouXianGuBianDongJinE" label="设定受益计划变动额结转留存收益导致其他权益工具中的优先股变动金额" mulRef="_GBC_048773409e614c6bb753000b028316a5" unitRef="_GBC_5214b7a188334da286fc3038d017d072" addr="T2R23C2S1_1" formatStyle="Comma">
          <m:axisValue occRef="母公司"/>
        </m:item>
        <m:item xlName="_GBC_4ebc387767c24233ae39d6ebfb88ac92" concept="clcid-pte:SheDingShouYiJiHuaBianDongEJieZhuanLiuCunShouYiDaoZhiQiTaQuanYiGongJuZhongDeYongXuZhaiBianDongJinE" label="设定受益计划变动额结转留存收益导致其他权益工具中的永续债变动金额" mulRef="_GBC_048773409e614c6bb753000b028316a5" unitRef="_GBC_5214b7a188334da286fc3038d017d072" addr="T2R23C3S1_1" formatStyle="Comma">
          <m:axisValue occRef="母公司"/>
        </m:item>
        <m:item xlName="_GBC_2cab6b90697b46dfa55a20605b207d59" concept="clcid-pte:SheDingShouYiJiHuaBianDongEJieZhuanLiuCunShouYiDaoZhiQiTaQuanYiGongJuZhongDeQiTaBianDongJinE" label="设定受益计划变动额结转留存收益导致其他权益工具中的其他变动金额" mulRef="_GBC_048773409e614c6bb753000b028316a5" unitRef="_GBC_5214b7a188334da286fc3038d017d072" addr="T2R23C4S1_1" formatStyle="Comma">
          <m:axisValue occRef="母公司"/>
        </m:item>
        <m:item xlName="_GBC_4d0414e659e44a3e9aa4eefc72d15c05" concept="clcid-pte:SheDingShouYiJiHuaBianDongEJieZhuanLiuCunShouYiDaoZhiZiBenGongJiBianDongJinE" label="设定受益计划变动额结转留存收益导致资本公积变动金额" mulRef="_GBC_048773409e614c6bb753000b028316a5" unitRef="_GBC_5214b7a188334da286fc3038d017d072" addr="T2R23C5S1_1" formatStyle="Comma">
          <m:axisValue occRef="母公司"/>
        </m:item>
        <m:item xlName="_GBC_5a20cc1f54d64045a18af024d677b3c7" concept="clcid-pte:SheDingShouYiJiHuaBianDongEJieZhuanLiuCunShouYiDaoZhiKuCunGuBianDongJinE" label="设定受益计划变动额结转留存收益导致库存股变动金额" mulRef="_GBC_048773409e614c6bb753000b028316a5" unitRef="_GBC_5214b7a188334da286fc3038d017d072" addr="T2R23C6S1_1" formatStyle="Comma">
          <m:axisValue occRef="母公司"/>
        </m:item>
        <m:item xlName="_GBC_f50f3442bfe547ae92bb996ca9d26c1b" concept="clcid-pte:SheDingShouYiJiHuaBianDongEJieZhuanLiuCunShouYiDaoZhiQiTaZongHeShouYiBianDongJinE" label="设定受益计划变动额结转留存收益导致其他综合收益变动金额" mulRef="_GBC_048773409e614c6bb753000b028316a5" unitRef="_GBC_5214b7a188334da286fc3038d017d072" addr="T2R23C7S1_1" formatStyle="Comma">
          <m:axisValue occRef="母公司"/>
        </m:item>
        <m:item xlName="_GBC_29a943528604451489cfa1d36e848933" concept="clcid-pte:SheDingShouYiJiHuaBianDongEJieZhuanLiuCunShouYiDaoZhiZhuanXiangChuBeiBianDongJinE" label="设定受益计划变动额结转留存收益导致专项储备变动金额" mulRef="_GBC_048773409e614c6bb753000b028316a5" unitRef="_GBC_5214b7a188334da286fc3038d017d072" addr="T2R23C8S1_1" formatStyle="Comma">
          <m:axisValue occRef="母公司"/>
        </m:item>
        <m:item xlName="_GBC_b039644f00184625a549e959f210cb46" concept="clcid-pte:SheDingShouYiJiHuaBianDongEJieZhuanLiuCunShouYiDaoZhiYingYuGongJiBianDongJinE" label="设定受益计划变动额结转留存收益导致盈余公积变动金额" mulRef="_GBC_048773409e614c6bb753000b028316a5" unitRef="_GBC_5214b7a188334da286fc3038d017d072" addr="T2R23C9S1_1" formatStyle="Comma">
          <m:axisValue occRef="母公司"/>
        </m:item>
        <m:item xlName="_GBC_10a33ffe495e4bdc836f6b2fad54e579" concept="clcid-pte:SheDingShouYiJiHuaBianDongEJieZhuanLiuCunShouYiDaoZhiWeiFenPeiLiRunBianDongJinE" label="设定受益计划变动额结转留存收益导致未分配利润变动金额" mulRef="_GBC_048773409e614c6bb753000b028316a5" unitRef="_GBC_5214b7a188334da286fc3038d017d072" addr="T2R23C10S1_1" formatStyle="Comma">
          <m:axisValue occRef="母公司"/>
        </m:item>
        <m:item xlName="_GBC_ed06713e4211446b9aa0bda1635d9412" concept="clcid-pte:SheDingShouYiJiHuaBianDongEJieZhuanLiuCunShouYiDaoZhiGuDongQuanYiHeJiBianDongJinE" label="设定受益计划变动额结转留存收益导致股东权益合计变动金额" mulRef="_GBC_048773409e614c6bb753000b028316a5" unitRef="_GBC_5214b7a188334da286fc3038d017d072" addr="T2R23C11S1_1" formatStyle="Comma">
          <m:axisValue occRef="母公司"/>
        </m:item>
        <m:placeholder xlName="_PLD_1c8ba4a0bb224c1d891e628390545199" addr="T2R24C0S1_1"/>
        <m:item xlName="_GBC_2831ad7f38664a089db9f59a15ccd79c" concept="clcid-pte:QiTaZongHeShouYiJieZhuanLiuCunShouYiDaoZhiShiShouZiBenHuoGuBenJingEBianDongJinE" label="其他综合收益结转留存收益导致实收资本（或股本）净额变动金额" mulRef="_GBC_048773409e614c6bb753000b028316a5" unitRef="_GBC_5214b7a188334da286fc3038d017d072" addr="T2R24C1S1_1" formatStyle="Comma">
          <m:axisValue occRef="母公司"/>
        </m:item>
        <m:item xlName="_GBC_36877258ffdb48908aaedd593bf4a5ae" concept="clcid-pte:QiTaZongHeShouYiJieZhuanLiuCunShouYiDaoZhiQiTaQuanYiGongJuZhongDeYouXianGuBianDongJinE" label="其他综合收益结转留存收益导致其他权益工具中的优先股变动金额" mulRef="_GBC_048773409e614c6bb753000b028316a5" unitRef="_GBC_5214b7a188334da286fc3038d017d072" addr="T2R24C2S1_1" formatStyle="Comma">
          <m:axisValue occRef="母公司"/>
        </m:item>
        <m:item xlName="_GBC_eea7c5f794f7484093d707819ba00ec3" concept="clcid-pte:QiTaZongHeShouYiJieZhuanLiuCunShouYiDaoZhiQiTaQuanYiGongJuZhongDeYongXuZhaiBianDongJinE" label="其他综合收益结转留存收益导致其他权益工具中的永续债变动金额" mulRef="_GBC_048773409e614c6bb753000b028316a5" unitRef="_GBC_5214b7a188334da286fc3038d017d072" addr="T2R24C3S1_1" formatStyle="Comma">
          <m:axisValue occRef="母公司"/>
        </m:item>
        <m:item xlName="_GBC_3a30205bfc544591afc0d5698537e14c" concept="clcid-pte:QiTaZongHeShouYiJieZhuanLiuCunShouYiDaoZhiQiTaQuanYiGongJuZhongDeQiTaBianDongJinE" label="其他综合收益结转留存收益导致其他权益工具中的其他变动金额" mulRef="_GBC_048773409e614c6bb753000b028316a5" unitRef="_GBC_5214b7a188334da286fc3038d017d072" addr="T2R24C4S1_1" formatStyle="Comma">
          <m:axisValue occRef="母公司"/>
        </m:item>
        <m:item xlName="_GBC_9383cb5696f0403386bfc18f9d424d59" concept="clcid-pte:QiTaZongHeShouYiJieZhuanLiuCunShouYiDaoZhiZiBenGongJiBianDongJinE" label="其他综合收益结转留存收益导致资本公积变动金额" mulRef="_GBC_048773409e614c6bb753000b028316a5" unitRef="_GBC_5214b7a188334da286fc3038d017d072" addr="T2R24C5S1_1" formatStyle="Comma">
          <m:axisValue occRef="母公司"/>
        </m:item>
        <m:item xlName="_GBC_ec1c7c4c475045689832c4e379519a44" concept="clcid-pte:QiTaZongHeShouYiJieZhuanLiuCunShouYiDaoZhiKuCunGuBianDongJinE" label="其他综合收益结转留存收益导致库存股变动金额" mulRef="_GBC_048773409e614c6bb753000b028316a5" unitRef="_GBC_5214b7a188334da286fc3038d017d072" addr="T2R24C6S1_1" formatStyle="Comma">
          <m:axisValue occRef="母公司"/>
        </m:item>
        <m:item xlName="_GBC_088ac970636c4ea98a07c1b1cdeebea1" concept="clcid-pte:QiTaZongHeShouYiJieZhuanLiuCunShouYiDaoZhiQiTaZongHeShouYiBianDongJinE" label="其他综合收益结转留存收益导致其他综合收益变动金额" mulRef="_GBC_048773409e614c6bb753000b028316a5" unitRef="_GBC_5214b7a188334da286fc3038d017d072" addr="T2R24C7S1_1" formatStyle="Comma">
          <m:axisValue occRef="母公司"/>
        </m:item>
        <m:item xlName="_GBC_2e0b2a1e4479461fb045eb537ae580f8" concept="clcid-pte:QiTaZongHeShouYiJieZhuanLiuCunShouYiDaoZhiZhuanXiangChuBeiBianDongJinE" label="其他综合收益结转留存收益导致专项储备变动金额" mulRef="_GBC_048773409e614c6bb753000b028316a5" unitRef="_GBC_5214b7a188334da286fc3038d017d072" addr="T2R24C8S1_1" formatStyle="Comma">
          <m:axisValue occRef="母公司"/>
        </m:item>
        <m:item xlName="_GBC_a716d544a2ed4618ab191115bd92a8b0" concept="clcid-pte:QiTaZongHeShouYiJieZhuanLiuCunShouYiDaoZhiYingYuGongJiBianDongJinE" label="其他综合收益结转留存收益导致盈余公积变动金额" mulRef="_GBC_048773409e614c6bb753000b028316a5" unitRef="_GBC_5214b7a188334da286fc3038d017d072" addr="T2R24C9S1_1" formatStyle="Comma">
          <m:axisValue occRef="母公司"/>
        </m:item>
        <m:item xlName="_GBC_054808ba1d714ccca4dd30e09c36f00f" concept="clcid-pte:QiTaZongHeShouYiJieZhuanLiuCunShouYiDaoZhiWeiFenPeiLiRunBianDongJinE" label="其他综合收益结转留存收益导致未分配利润变动金额" mulRef="_GBC_048773409e614c6bb753000b028316a5" unitRef="_GBC_5214b7a188334da286fc3038d017d072" addr="T2R24C10S1_1" formatStyle="Comma">
          <m:axisValue occRef="母公司"/>
        </m:item>
        <m:item xlName="_GBC_21b161c66a4c488c8d852ceb78f37ad1" concept="clcid-pte:QiTaZongHeShouYiJieZhuanLiuCunShouYiDaoZhiGuDongQuanYiHeJiBianDongJinE" label="其他综合收益结转留存收益导致股东权益合计变动金额" mulRef="_GBC_048773409e614c6bb753000b028316a5" unitRef="_GBC_5214b7a188334da286fc3038d017d072" addr="T2R24C11S1_1" formatStyle="Comma">
          <m:axisValue occRef="母公司"/>
        </m:item>
        <m:placeholder xlName="_PLD_69d4adb536bf498a8a9d97dda9d31e75" addr="T2R25C0S1_1"/>
        <m:item xlName="_GBC_c12c8acbe8ca43959d18fbc507ee415e" concept="clcid-pte:QiTaSuoYouZheQuanYiNeiBuJieZhuanDaoZhiShiShouZiBenHuoGuBenJingEBianDongJinE" label="其他所有者权益内部结转导致实收资本（或股本）净额变动金额" mulRef="_GBC_048773409e614c6bb753000b028316a5" unitRef="_GBC_5214b7a188334da286fc3038d017d072" addr="T2R25C1S1_1" formatStyle="Comma">
          <m:axisValue occRef="母公司"/>
        </m:item>
        <m:item xlName="_GBC_c249770cec1e46849339600174f46cb8" concept="clcid-pte:QiTaSuoYouZheQuanYiNeiBuJieZhuanDaoZhiQiTaQuanYiGongJuZhongDeYouXianGuBianDongJinE" label="其他所有者权益内部结转导致其他权益工具中的优先股变动金额" mulRef="_GBC_048773409e614c6bb753000b028316a5" unitRef="_GBC_5214b7a188334da286fc3038d017d072" addr="T2R25C2S1_1" formatStyle="Comma">
          <m:axisValue occRef="母公司"/>
        </m:item>
        <m:item xlName="_GBC_9763a0172a6242e49a00331b096d8b18" concept="clcid-pte:QiTaSuoYouZheQuanYiNeiBuJieZhuanDaoZhiQiTaQuanYiGongJuZhongDeYongXuZhaiBianDongJinE" label="其他所有者权益内部结转导致其他权益工具中的永续债变动金额" mulRef="_GBC_048773409e614c6bb753000b028316a5" unitRef="_GBC_5214b7a188334da286fc3038d017d072" addr="T2R25C3S1_1" formatStyle="Comma">
          <m:axisValue occRef="母公司"/>
        </m:item>
        <m:item xlName="_GBC_9f99d2c8f43a47ef9288572b8e455f72" concept="clcid-pte:QiTaSuoYouZheQuanYiNeiBuJieZhuanDaoZhiQiTaQuanYiGongJuZhongDeQiTaBianDongJinE" label="其他所有者权益内部结转导致其他权益工具中的其他变动金额" mulRef="_GBC_048773409e614c6bb753000b028316a5" unitRef="_GBC_5214b7a188334da286fc3038d017d072" addr="T2R25C4S1_1" formatStyle="Comma">
          <m:axisValue occRef="母公司"/>
        </m:item>
        <m:item xlName="_GBC_79ae5c7f33b64ca4854b078e711edf01" concept="clcid-pte:QiTaSuoYouZheQuanYiNeiBuJieZhuanDaoZhiZiBenGongJiBianDongJinE" label="其他所有者权益内部结转导致资本公积变动金额" mulRef="_GBC_048773409e614c6bb753000b028316a5" unitRef="_GBC_5214b7a188334da286fc3038d017d072" addr="T2R25C5S1_1" formatStyle="Comma">
          <m:axisValue occRef="母公司"/>
        </m:item>
        <m:item xlName="_GBC_ef4e073754fd4089b309769be7ff3d60" concept="clcid-pte:QiTaSuoYouZheQuanYiNeiBuJieZhuanDaoZhiKuCunGuBianDongJinE" label="其他所有者权益内部结转导致库存股变动金额" mulRef="_GBC_048773409e614c6bb753000b028316a5" unitRef="_GBC_5214b7a188334da286fc3038d017d072" addr="T2R25C6S1_1" formatStyle="Comma">
          <m:axisValue occRef="母公司"/>
        </m:item>
        <m:item xlName="_GBC_aaf8581bfdea43afaab1107686c116d8" concept="clcid-pte:QiTaSuoYouZheQuanYiNeiBuJieZhuanDaoZhiQiTaZongHeShouYiBianDongJinE" label="其他所有者权益内部结转导致其他综合收益变动金额" mulRef="_GBC_048773409e614c6bb753000b028316a5" unitRef="_GBC_5214b7a188334da286fc3038d017d072" addr="T2R25C7S1_1" formatStyle="Comma">
          <m:axisValue occRef="母公司"/>
        </m:item>
        <m:item xlName="_GBC_c6eb678860644dcc87f23eeb61e99952" concept="clcid-pte:QiTaSuoYouZheQuanYiNeiBuJieZhuanDaoZhiZhuanXiangChuBeiBianDongJinE" label="其他所有者权益内部结转导致专项储备变动金额" mulRef="_GBC_048773409e614c6bb753000b028316a5" unitRef="_GBC_5214b7a188334da286fc3038d017d072" addr="T2R25C8S1_1" formatStyle="Comma">
          <m:axisValue occRef="母公司"/>
        </m:item>
        <m:item xlName="_GBC_17268790310846b2b3ce86c1a4c983f4" concept="clcid-pte:QiTaSuoYouZheQuanYiNeiBuJieZhuanDaoZhiYingYuGongJiBianDongJinE" label="其他所有者权益内部结转导致盈余公积变动金额" mulRef="_GBC_048773409e614c6bb753000b028316a5" unitRef="_GBC_5214b7a188334da286fc3038d017d072" addr="T2R25C9S1_1" formatStyle="Comma">
          <m:axisValue occRef="母公司"/>
        </m:item>
        <m:item xlName="_GBC_1ed45a0f2d844379a6480cc4f7cdfaff" concept="clcid-pte:QiTaSuoYouZheQuanYiNeiBuJieZhuanDaoZhiWeiFenPeiLiRunBianDongJinE" label="其他所有者权益内部结转导致未分配利润变动金额" mulRef="_GBC_048773409e614c6bb753000b028316a5" unitRef="_GBC_5214b7a188334da286fc3038d017d072" addr="T2R25C10S1_1" formatStyle="Comma">
          <m:axisValue occRef="母公司"/>
        </m:item>
        <m:item xlName="_GBC_0122523930f844f9818e88f8be8bc749" concept="clcid-pte:QiTaSuoYouZheQuanYiNeiBuJieZhuanDaoZhiGuDongQuanYiHeJiBianDongJinE" label="其他所有者权益内部结转导致股东权益合计变动金额" mulRef="_GBC_048773409e614c6bb753000b028316a5" unitRef="_GBC_5214b7a188334da286fc3038d017d072" addr="T2R25C11S1_1" formatStyle="Comma">
          <m:axisValue occRef="母公司"/>
        </m:item>
        <m:placeholder xlName="_PLD_2ae06251c01740e284196240776af550" addr="T2R26C0S1_1"/>
        <m:item xlName="_GBC_2cbca74f80a744339bc2c82ccb3a5682" concept="clcid-pte:ZhuanXiangChuBeiDaoZhiShiShouZiBenHuoGuBenJingEBianDongJinE" label="专项储备导致实收资本（或股本）净额变动金额" mulRef="_GBC_048773409e614c6bb753000b028316a5" unitRef="_GBC_5214b7a188334da286fc3038d017d072" addr="T2R26C1S1_1" formatStyle="Comma">
          <m:complexRule comparator="Eq" title="母公司专项储备导致实收资本（或股本）净额变动金额" test=" $_GBC_609b8996eaae49a69b9ae21f36756619 -  $_GBC_227b0aa17b1a4450aef2d630dde5deec" id="C46d2d9af59d84f93ba6805c1ca04c467"/>
          <m:axisValue occRef="母公司"/>
        </m:item>
        <m:item xlName="_GBC_ba1ea232086f49679eced5f9c476bd7d" concept="clcid-pte:ZhuanXiangChuBeiDaoZhiQiTaQuanYiGongJuZhongDeYouXianGuBianDongJinE" label="专项储备导致其他权益工具中的优先股变动金额" mulRef="_GBC_048773409e614c6bb753000b028316a5" unitRef="_GBC_5214b7a188334da286fc3038d017d072" addr="T2R26C2S1_1" formatStyle="Comma">
          <m:complexRule comparator="Eq" title="母公司专项储备导致其他权益工具中的优先股变动金额" test=" $_GBC_500382823a69410fab4a1984e4ab2d7b -  $_GBC_a122c95ffa4543388c9f01e41359fad0" id="C3a953aca8d524a6dae981078a15ed2c9"/>
          <m:axisValue occRef="母公司"/>
        </m:item>
        <m:item xlName="_GBC_16754af9da4b47f2b1cc38d7856d8f8b" concept="clcid-pte:ZhuanXiangChuBeiDaoZhiQiTaQuanYiGongJuZhongDeYongXuZhaiBianDongJinE" label="专项储备导致其他权益工具中的永续债变动金额" mulRef="_GBC_048773409e614c6bb753000b028316a5" unitRef="_GBC_5214b7a188334da286fc3038d017d072" addr="T2R26C3S1_1" formatStyle="Comma">
          <m:complexRule comparator="Eq" title="母公司专项储备导致其他权益工具中的永续债变动金额" test=" $_GBC_6da5f5a93e3c491f80875c63a0a773be -  $_GBC_cba56aacf7a84ad2826c298a9593b3f5" id="C0a4d48f32b4c4b6e846bcd1bb7152a87"/>
          <m:axisValue occRef="母公司"/>
        </m:item>
        <m:item xlName="_GBC_96f1f37c2ebe4120bdb43159f84fc442" concept="clcid-pte:ZhuanXiangChuBeiDaoZhiQiTaQuanYiGongJuZhongDeQiTaBianDongJinE" label="专项储备导致其他权益工具中的其他变动金额" mulRef="_GBC_048773409e614c6bb753000b028316a5" unitRef="_GBC_5214b7a188334da286fc3038d017d072" addr="T2R26C4S1_1" formatStyle="Comma">
          <m:complexRule comparator="Eq" title="母公司专项储备导致其他权益工具中的其他变动金额" test=" $_GBC_6de22e6de98441679055db12113e5720 -  $_GBC_7ae086a2b0dc43ff8f4abd2e84d0e509" id="C31a51b5139f044b28e409cea30c80663"/>
          <m:axisValue occRef="母公司"/>
        </m:item>
        <m:item xlName="_GBC_0f6acc3ef97c4ecbbcfb5086e2d5da4f" concept="clcid-pte:ZhuanXiangChuBeiDaoZhiZiBenGongJiBianDongJinE" label="专项储备导致资本公积变动金额" mulRef="_GBC_048773409e614c6bb753000b028316a5" unitRef="_GBC_5214b7a188334da286fc3038d017d072" addr="T2R26C5S1_1" formatStyle="Comma">
          <m:complexRule comparator="Eq" title="母公司专项储备导致资本公积变动金额" test=" $_GBC_0eab8a0b3d764021aeb2494b69fd22cb -  $_GBC_6af3edd8331140b4b3d6d0df6c0cbb57" id="C01263de0ec0b48e2810c05760feb1450"/>
          <m:axisValue occRef="母公司"/>
        </m:item>
        <m:item xlName="_GBC_08f333e1ae844c698c8198354620896b" concept="clcid-pte:ZhuanXiangChuBeiDaoZhiKuCunGuBianDongJinE" label="专项储备导致库存股变动金额" mulRef="_GBC_048773409e614c6bb753000b028316a5" unitRef="_GBC_5214b7a188334da286fc3038d017d072" addr="T2R26C6S1_1" formatStyle="Comma">
          <m:complexRule comparator="Eq" title="母公司专项储备导致库存股变动金额" test=" $_GBC_81ea7ebe82fd4a9590d7415ecb680e5d -  $_GBC_8e7e95d3b3124787ac5f59f3844f558e" id="C3039af4182444fabb978297c2745c3b3"/>
          <m:axisValue occRef="母公司"/>
        </m:item>
        <m:item xlName="_GBC_7aefe5a89f7941afba1423447c04e7b7" concept="clcid-pte:ZhuanXiangChuBeiDaoZhiQiTaZongHeShouYiBianDongJinE" label="专项储备导致其他综合收益变动金额" mulRef="_GBC_048773409e614c6bb753000b028316a5" unitRef="_GBC_5214b7a188334da286fc3038d017d072" addr="T2R26C7S1_1" formatStyle="Comma">
          <m:complexRule comparator="Eq" title="母公司专项储备导致其他综合收益变动金额" test=" $_GBC_5c720558caf24dae878a518de64724da -  $_GBC_ed5c34c6cf044c0bacf31b0a291acd54" id="Cb285c82ff313449d86d08a292cad214a"/>
          <m:axisValue occRef="母公司"/>
        </m:item>
        <m:item xlName="_GBC_b20f61c7bfab4a5a92fc287469774e41" concept="clcid-pte:ZhuanXiangChuBeiDaoZhiZhuanXiangChuBeiBianDongJinE" label="专项储备导致专项储备变动金额" mulRef="_GBC_048773409e614c6bb753000b028316a5" unitRef="_GBC_5214b7a188334da286fc3038d017d072" addr="T2R26C8S1_1" formatStyle="Comma">
          <m:complexRule comparator="Eq" title="母公司专项储备导致专项储备变动金额" test=" $_GBC_17b2e9dcff534967888a2f1563f604f1 -  $_GBC_8ac97954c71b484da78ebe43d98db0f0" id="Cd95d2dbd50ab4221942352a58a83ad97"/>
          <m:axisValue occRef="母公司"/>
        </m:item>
        <m:item xlName="_GBC_d5f93c8d0480464ebd1ced2fce559cdd" concept="clcid-pte:ZhuanXiangChuBeiDaoZhiYingYuGongJiBianDongJinE" label="专项储备导致盈余公积变动金额" mulRef="_GBC_048773409e614c6bb753000b028316a5" unitRef="_GBC_5214b7a188334da286fc3038d017d072" addr="T2R26C9S1_1" formatStyle="Comma">
          <m:complexRule comparator="Eq" title="母公司专项储备导致盈余公积变动金额" test=" $_GBC_6dd17078b995424ba601066cdfca5793 -  $_GBC_98ffaeea39d24a60872fd8720a651652" id="Cd26a143cd4124d0ba24bd200213a8678"/>
          <m:axisValue occRef="母公司"/>
        </m:item>
        <m:item xlName="_GBC_2e8bc48548d041e6ac139f8ff05dab4e" concept="clcid-pte:ZhuanXiangChuBeiDaoZhiWeiFenPeiLiRunBianDongJinE" label="专项储备导致未分配利润变动金额" mulRef="_GBC_048773409e614c6bb753000b028316a5" unitRef="_GBC_5214b7a188334da286fc3038d017d072" addr="T2R26C10S1_1" formatStyle="Comma">
          <m:complexRule comparator="Eq" title="母公司专项储备导致未分配利润变动金额" test=" $_GBC_8b4f2e4c26ab46198a8bff3c2e52d7b2 -  $_GBC_99eb8cff7ec846a3bd9c06b8f490c2c5" id="Cd061e588ea204f8db0c6bbbba539bb0d"/>
          <m:axisValue occRef="母公司"/>
        </m:item>
        <m:item xlName="_GBC_edde1be052f04992b611b072eec8d60b" concept="clcid-pte:ZhuanXiangChuBeiDaoZhiGuDongQuanYiHeJiBianDongJinE" label="专项储备导致股东权益合计变动金额" mulRef="_GBC_048773409e614c6bb753000b028316a5" unitRef="_GBC_5214b7a188334da286fc3038d017d072" addr="T2R26C11S1_1" formatStyle="Comma">
          <m:complexRule comparator="Eq" title="母公司专项储备导致股东权益合计变动金额" test=" $_GBC_de3cf85d66be4c788f928137460ad47c -  $_GBC_509d65276b6a4dfcb57a9cf6ef40317a" id="C59baa5f197b543c2982233a04f0db842"/>
          <m:axisValue occRef="母公司"/>
        </m:item>
        <m:placeholder xlName="_PLD_6c9c274129814a4ea45296335d45791b" addr="T2R27C0S1_1"/>
        <m:item xlName="_GBC_609b8996eaae49a69b9ae21f36756619" concept="clcid-pte:TiQuDaoZhiShiShouZiBenHuoGuBenJingEBianDongJinE" label="提取导致实收资本（或股本）净额变动金额" mulRef="_GBC_048773409e614c6bb753000b028316a5" unitRef="_GBC_5214b7a188334da286fc3038d017d072" addr="T2R27C1S1_1" formatStyle="Comma">
          <m:axisValue occRef="母公司"/>
        </m:item>
        <m:item xlName="_GBC_500382823a69410fab4a1984e4ab2d7b" concept="clcid-pte:TiQuDaoZhiQiTaQuanYiGongJuZhongDeYouXianGuBianDongJinE" label="提取导致其他权益工具中的优先股变动金额" mulRef="_GBC_048773409e614c6bb753000b028316a5" unitRef="_GBC_5214b7a188334da286fc3038d017d072" addr="T2R27C2S1_1" formatStyle="Comma">
          <m:axisValue occRef="母公司"/>
        </m:item>
        <m:item xlName="_GBC_6da5f5a93e3c491f80875c63a0a773be" concept="clcid-pte:TiQuDaoZhiQiTaQuanYiGongJuZhongDeYongXuZhaiBianDongJinE" label="提取导致其他权益工具中的永续债变动金额" mulRef="_GBC_048773409e614c6bb753000b028316a5" unitRef="_GBC_5214b7a188334da286fc3038d017d072" addr="T2R27C3S1_1" formatStyle="Comma">
          <m:axisValue occRef="母公司"/>
        </m:item>
        <m:item xlName="_GBC_6de22e6de98441679055db12113e5720" concept="clcid-pte:TiQuDaoZhiQiTaQuanYiGongJuZhongDeQiTaBianDongJinE" label="提取导致其他权益工具中的其他变动金额" mulRef="_GBC_048773409e614c6bb753000b028316a5" unitRef="_GBC_5214b7a188334da286fc3038d017d072" addr="T2R27C4S1_1" formatStyle="Comma">
          <m:axisValue occRef="母公司"/>
        </m:item>
        <m:item xlName="_GBC_0eab8a0b3d764021aeb2494b69fd22cb" concept="clcid-pte:TiQuDaoZhiZiBenGongJiBianDongJinE" label="提取导致资本公积变动金额" mulRef="_GBC_048773409e614c6bb753000b028316a5" unitRef="_GBC_5214b7a188334da286fc3038d017d072" addr="T2R27C5S1_1" formatStyle="Comma">
          <m:axisValue occRef="母公司"/>
        </m:item>
        <m:item xlName="_GBC_81ea7ebe82fd4a9590d7415ecb680e5d" concept="clcid-pte:TiQuDaoZhiKuCunGuBianDongJinE" label="提取导致库存股变动金额" mulRef="_GBC_048773409e614c6bb753000b028316a5" unitRef="_GBC_5214b7a188334da286fc3038d017d072" addr="T2R27C6S1_1" formatStyle="Comma">
          <m:axisValue occRef="母公司"/>
        </m:item>
        <m:item xlName="_GBC_5c720558caf24dae878a518de64724da" concept="clcid-pte:TiQuDaoZhiQiTaZongHeShouYiBianDongJinE" label="提取导致其他综合收益变动金额" mulRef="_GBC_048773409e614c6bb753000b028316a5" unitRef="_GBC_5214b7a188334da286fc3038d017d072" addr="T2R27C7S1_1" formatStyle="Comma">
          <m:axisValue occRef="母公司"/>
        </m:item>
        <m:item xlName="_GBC_17b2e9dcff534967888a2f1563f604f1" concept="clcid-pte:TiQuDaoZhiZhuanXiangChuBeiBianDongJinE" label="提取导致专项储备变动金额" mulRef="_GBC_048773409e614c6bb753000b028316a5" unitRef="_GBC_5214b7a188334da286fc3038d017d072" addr="T2R27C8S1_1" formatStyle="Comma">
          <m:axisValue occRef="母公司"/>
        </m:item>
        <m:item xlName="_GBC_6dd17078b995424ba601066cdfca5793" concept="clcid-pte:TiQuDaoZhiYingYuGongJiBianDongJinE" label="提取导致盈余公积变动金额" mulRef="_GBC_048773409e614c6bb753000b028316a5" unitRef="_GBC_5214b7a188334da286fc3038d017d072" addr="T2R27C9S1_1" formatStyle="Comma">
          <m:axisValue occRef="母公司"/>
        </m:item>
        <m:item xlName="_GBC_8b4f2e4c26ab46198a8bff3c2e52d7b2" concept="clcid-pte:TiQuDaoZhiWeiFenPeiLiRunBianDongJinE" label="提取导致未分配利润变动金额" mulRef="_GBC_048773409e614c6bb753000b028316a5" unitRef="_GBC_5214b7a188334da286fc3038d017d072" addr="T2R27C10S1_1" formatStyle="Comma">
          <m:axisValue occRef="母公司"/>
        </m:item>
        <m:item xlName="_GBC_de3cf85d66be4c788f928137460ad47c" concept="clcid-pte:TiQuDaoZhiGuDongQuanYiHeJiBianDongJinE" label="提取导致股东权益合计变动金额" mulRef="_GBC_048773409e614c6bb753000b028316a5" unitRef="_GBC_5214b7a188334da286fc3038d017d072" addr="T2R27C11S1_1" formatStyle="Comma">
          <m:axisValue occRef="母公司"/>
        </m:item>
        <m:placeholder xlName="_PLD_14398e4dd6ed4c74869a974323e2137e" addr="T2R28C0S1_1"/>
        <m:item xlName="_GBC_227b0aa17b1a4450aef2d630dde5deec" concept="clcid-pte:ShiYongDaoZhiShiShouZiBenHuoGuBenJingEBianDongJinE" label="使用导致实收资本（或股本）净额变动金额" mulRef="_GBC_048773409e614c6bb753000b028316a5" unitRef="_GBC_5214b7a188334da286fc3038d017d072" addr="T2R28C1S1_1" formatStyle="Comma">
          <m:axisValue occRef="母公司"/>
        </m:item>
        <m:item xlName="_GBC_a122c95ffa4543388c9f01e41359fad0" concept="clcid-pte:ShiYongDaoZhiQiTaQuanYiGongJuZhongDeYouXianGuBianDongJinE" label="使用导致其他权益工具中的优先股变动金额" mulRef="_GBC_048773409e614c6bb753000b028316a5" unitRef="_GBC_5214b7a188334da286fc3038d017d072" addr="T2R28C2S1_1" formatStyle="Comma">
          <m:axisValue occRef="母公司"/>
        </m:item>
        <m:item xlName="_GBC_cba56aacf7a84ad2826c298a9593b3f5" concept="clcid-pte:ShiYongDaoZhiQiTaQuanYiGongJuZhongDeYongXuZhaiBianDongJinE" label="使用导致其他权益工具中的永续债变动金额" mulRef="_GBC_048773409e614c6bb753000b028316a5" unitRef="_GBC_5214b7a188334da286fc3038d017d072" addr="T2R28C3S1_1" formatStyle="Comma">
          <m:axisValue occRef="母公司"/>
        </m:item>
        <m:item xlName="_GBC_7ae086a2b0dc43ff8f4abd2e84d0e509" concept="clcid-pte:ShiYongDaoZhiQiTaQuanYiGongJuZhongDeQiTaBianDongJinE" label="使用导致其他权益工具中的其他变动金额" mulRef="_GBC_048773409e614c6bb753000b028316a5" unitRef="_GBC_5214b7a188334da286fc3038d017d072" addr="T2R28C4S1_1" formatStyle="Comma">
          <m:axisValue occRef="母公司"/>
        </m:item>
        <m:item xlName="_GBC_6af3edd8331140b4b3d6d0df6c0cbb57" concept="clcid-pte:ShiYongDaoZhiZiBenGongJiBianDongJinE" label="使用导致资本公积变动金额" mulRef="_GBC_048773409e614c6bb753000b028316a5" unitRef="_GBC_5214b7a188334da286fc3038d017d072" addr="T2R28C5S1_1" formatStyle="Comma">
          <m:axisValue occRef="母公司"/>
        </m:item>
        <m:item xlName="_GBC_8e7e95d3b3124787ac5f59f3844f558e" concept="clcid-pte:ShiYongDaoZhiKuCunGuBianDongJinE" label="使用导致库存股变动金额" mulRef="_GBC_048773409e614c6bb753000b028316a5" unitRef="_GBC_5214b7a188334da286fc3038d017d072" addr="T2R28C6S1_1" formatStyle="Comma">
          <m:axisValue occRef="母公司"/>
        </m:item>
        <m:item xlName="_GBC_ed5c34c6cf044c0bacf31b0a291acd54" concept="clcid-pte:ShiYongDaoZhiQiTaZongHeShouYiBianDongJinE" label="使用导致其他综合收益变动金额" mulRef="_GBC_048773409e614c6bb753000b028316a5" unitRef="_GBC_5214b7a188334da286fc3038d017d072" addr="T2R28C7S1_1" formatStyle="Comma">
          <m:axisValue occRef="母公司"/>
        </m:item>
        <m:item xlName="_GBC_8ac97954c71b484da78ebe43d98db0f0" concept="clcid-pte:ShiYongDaoZhiZhuanXiangChuBeiBianDongJinE" label="使用导致专项储备变动金额" mulRef="_GBC_048773409e614c6bb753000b028316a5" unitRef="_GBC_5214b7a188334da286fc3038d017d072" addr="T2R28C8S1_1" formatStyle="Comma">
          <m:axisValue occRef="母公司"/>
        </m:item>
        <m:item xlName="_GBC_98ffaeea39d24a60872fd8720a651652" concept="clcid-pte:ShiYongDaoZhiYingYuGongJiBianDongJinE" label="使用导致盈余公积变动金额" mulRef="_GBC_048773409e614c6bb753000b028316a5" unitRef="_GBC_5214b7a188334da286fc3038d017d072" addr="T2R28C9S1_1" formatStyle="Comma">
          <m:axisValue occRef="母公司"/>
        </m:item>
        <m:item xlName="_GBC_99eb8cff7ec846a3bd9c06b8f490c2c5" concept="clcid-pte:ShiYongDaoZhiWeiFenPeiLiRunBianDongJinE" label="使用导致未分配利润变动金额" mulRef="_GBC_048773409e614c6bb753000b028316a5" unitRef="_GBC_5214b7a188334da286fc3038d017d072" addr="T2R28C10S1_1" formatStyle="Comma">
          <m:axisValue occRef="母公司"/>
        </m:item>
        <m:item xlName="_GBC_509d65276b6a4dfcb57a9cf6ef40317a" concept="clcid-pte:ShiYongDaoZhiGuDongQuanYiHeJiBianDongJinE" label="使用导致股东权益合计变动金额" mulRef="_GBC_048773409e614c6bb753000b028316a5" unitRef="_GBC_5214b7a188334da286fc3038d017d072" addr="T2R28C11S1_1" formatStyle="Comma">
          <m:axisValue occRef="母公司"/>
        </m:item>
        <m:placeholder xlName="_PLD_224fa1ebe84a4d40b88b89a97997e311" addr="T2R29C0S1_1"/>
        <m:item xlName="_GBC_7c98f87bd16e47478f964cb740105704" concept="clcid-pte:QiTaDaoZhiShiShouZiBenHuoGuBenJingEBianDongJinE" label="其他导致实收资本（或股本）净额变动金额" mulRef="_GBC_048773409e614c6bb753000b028316a5" unitRef="_GBC_5214b7a188334da286fc3038d017d072" addr="T2R29C1S1_1" formatStyle="Comma">
          <m:axisValue occRef="母公司"/>
        </m:item>
        <m:item xlName="_GBC_018b41c23e7440efae60bc74cd0e6ec1" concept="clcid-pte:QiTaDaoZhiQiTaQuanYiGongJuZhongDeYouXianGuBianDongJinE" label="其他导致其他权益工具中的优先股变动金额" mulRef="_GBC_048773409e614c6bb753000b028316a5" unitRef="_GBC_5214b7a188334da286fc3038d017d072" addr="T2R29C2S1_1" formatStyle="Comma">
          <m:axisValue occRef="母公司"/>
        </m:item>
        <m:item xlName="_GBC_964e15418f9e4ee9867ccd2056b9e409" concept="clcid-pte:QiTaDaoZhiQiTaQuanYiGongJuZhongDeYongXuZhaiBianDongJinE" label="其他导致其他权益工具中的永续债变动金额" mulRef="_GBC_048773409e614c6bb753000b028316a5" unitRef="_GBC_5214b7a188334da286fc3038d017d072" addr="T2R29C3S1_1" formatStyle="Comma">
          <m:axisValue occRef="母公司"/>
        </m:item>
        <m:item xlName="_GBC_49bf533919214ab7bc94515751717793" concept="clcid-pte:QiTaDaoZhiQiTaQuanYiGongJuZhongDeQiTaBianDongJinE" label="其他导致其他权益工具中的其他变动金额" mulRef="_GBC_048773409e614c6bb753000b028316a5" unitRef="_GBC_5214b7a188334da286fc3038d017d072" addr="T2R29C4S1_1" formatStyle="Comma">
          <m:axisValue occRef="母公司"/>
        </m:item>
        <m:item xlName="_GBC_c971cbdcb4e7450ab76accb648f822a9" concept="clcid-pte:QiTaDaoZhiZiBenGongJiBianDongJinE" label="其他导致资本公积变动金额" mulRef="_GBC_048773409e614c6bb753000b028316a5" unitRef="_GBC_5214b7a188334da286fc3038d017d072" addr="T2R29C5S1_1" formatStyle="Comma">
          <m:axisValue occRef="母公司"/>
        </m:item>
        <m:item xlName="_GBC_d3d5c9dbddbf4eb58b8734a6dc4a2589" concept="clcid-pte:QiTaDaoZhiKuCunGuBianDongJinE" label="其他导致库存股变动金额" mulRef="_GBC_048773409e614c6bb753000b028316a5" unitRef="_GBC_5214b7a188334da286fc3038d017d072" addr="T2R29C6S1_1" formatStyle="Comma">
          <m:axisValue occRef="母公司"/>
        </m:item>
        <m:item xlName="_GBC_d28c4273adaa462489c3b6fc95c1fef7" concept="clcid-pte:QiTaDaoZhiQiTaZongHeShouYiBianDongJinE" label="其他导致其他综合收益变动金额" mulRef="_GBC_048773409e614c6bb753000b028316a5" unitRef="_GBC_5214b7a188334da286fc3038d017d072" addr="T2R29C7S1_1" formatStyle="Comma">
          <m:axisValue occRef="母公司"/>
        </m:item>
        <m:item xlName="_GBC_78ce8b687a624a4a8faf3d358624042b" concept="clcid-pte:QiTaDaoZhiZhuanXiangChuBeiBianDongJinE" label="其他导致专项储备变动金额" mulRef="_GBC_048773409e614c6bb753000b028316a5" unitRef="_GBC_5214b7a188334da286fc3038d017d072" addr="T2R29C8S1_1" formatStyle="Comma">
          <m:axisValue occRef="母公司"/>
        </m:item>
        <m:item xlName="_GBC_4bbf8246a8b54d4983e9cf776f7f1283" concept="clcid-pte:QiTaDaoZhiYingYuGongJiBianDongJinE" label="其他导致盈余公积变动金额" mulRef="_GBC_048773409e614c6bb753000b028316a5" unitRef="_GBC_5214b7a188334da286fc3038d017d072" addr="T2R29C9S1_1" formatStyle="Comma">
          <m:axisValue occRef="母公司"/>
        </m:item>
        <m:item xlName="_GBC_8f083dff6a524622ae71c02b51f6181b" concept="clcid-pte:QiTaDaoZhiWeiFenPeiLiRunBianDongJinE" label="其他导致未分配利润变动金额" mulRef="_GBC_048773409e614c6bb753000b028316a5" unitRef="_GBC_5214b7a188334da286fc3038d017d072" addr="T2R29C10S1_1" formatStyle="Comma">
          <m:axisValue occRef="母公司"/>
        </m:item>
        <m:item xlName="_GBC_48a420d2abcf4babbfd864619f365e6e" concept="clcid-pte:QiTaDaoZhiGuDongQuanYiHeJiBianDongJinE" label="其他导致股东权益合计变动金额" mulRef="_GBC_048773409e614c6bb753000b028316a5" unitRef="_GBC_5214b7a188334da286fc3038d017d072" addr="T2R29C11S1_1" formatStyle="Comma">
          <m:axisValue occRef="母公司"/>
        </m:item>
        <m:placeholder xlName="_PLD_fe962ef732004aec94edafee7e0bef94" addr="T2R30C0S1_1"/>
        <m:item xlName="_GBC_5a3570706d4d49b5906dffc738b508d8" concept="clcid-pte:GuBen" label="股本" mulRef="_GBC_048773409e614c6bb753000b028316a5" unitRef="_GBC_5214b7a188334da286fc3038d017d072" addr="T2R30C1S1_1" formatStyle="Comma">
          <m:complexRule comparator="Eq" title="母公司股本" test=" $_GBC_85a6da49b03246b7abdc941be9570cba +  $_GBC_2485e08cb32d450a85efe22a3aa4da7b" id="C54508a78e66c4545a3330faf88d7e2c4"/>
          <m:axisValue occRef="母公司"/>
        </m:item>
        <m:item xlName="_GBC_cb19df38b01342f1905f665d06a74d32" concept="clcid-pte:QiTaQuanYiGongJuQiZhongYouXianGu" label="其他权益工具-其中：优先股" mulRef="_GBC_048773409e614c6bb753000b028316a5" unitRef="_GBC_5214b7a188334da286fc3038d017d072" addr="T2R30C2S1_1" formatStyle="Comma">
          <m:complexRule comparator="Eq" title="母公司其他权益工具-其中：优先股" test=" $_GBC_dccc9a57aaba41a881b16ea5df208c0d +  $_GBC_f37d94262aab49bea3011e8de3bbd70f" id="C4c4ee2779cf64db3a7850e0aafb6d22f"/>
          <m:axisValue occRef="母公司"/>
        </m:item>
        <m:item xlName="_GBC_5b83bd28462e4cc4b3c421e8e3af188f" concept="clcid-pte:QiTaQuanYiGongJuYongXuZhai" label="其他权益工具-永续债" mulRef="_GBC_048773409e614c6bb753000b028316a5" unitRef="_GBC_5214b7a188334da286fc3038d017d072" addr="T2R30C3S1_1" formatStyle="Comma">
          <m:complexRule comparator="Eq" title="母公司其他权益工具-永续债" test=" $_GBC_3eb2a851039343f198cfa8fc00a422eb +  $_GBC_fafb0b1b1d4b4b86ae4b5a9775402762" id="C7140cb5fcdfe47d7a3ae8d7307c17317"/>
          <m:axisValue occRef="母公司"/>
        </m:item>
        <m:item xlName="_GBC_19c7bb42d9e241a3ba28058ef6c466f7" concept="clcid-pte:QiTaQuanYiGongJuQiTa" label="其他权益工具-其他" mulRef="_GBC_048773409e614c6bb753000b028316a5" unitRef="_GBC_5214b7a188334da286fc3038d017d072" addr="T2R30C4S1_1" formatStyle="Comma">
          <m:complexRule comparator="Eq" title="母公司其他权益工具-其他" test=" $_GBC_06ba62c1f35e4dd18f1a1c059e918481 +  $_GBC_764625b02cd94860af03adbd1c11a630" id="C55436f2dd443422daea68e7901dd3e2f"/>
          <m:axisValue occRef="母公司"/>
        </m:item>
        <m:item xlName="_GBC_a42d6e1a8595406f8179104b91650607" concept="clcid-pte:ZiBenGongJi" label="资本公积" mulRef="_GBC_048773409e614c6bb753000b028316a5" unitRef="_GBC_5214b7a188334da286fc3038d017d072" addr="T2R30C5S1_1" formatStyle="Comma">
          <m:complexRule comparator="Eq" title="母公司资本公积" test=" $_GBC_87cd6e71dfd74e1d80635635d6d499e2 +  $_GBC_c44fedef97fd45b4900be8773a750464" id="C411fd4aa849c45a2b539880abb473ac6"/>
          <m:axisValue occRef="母公司"/>
        </m:item>
        <m:item xlName="_GBC_6ac9c2e32a284033804124edcc51e6ac" concept="clcid-pte:KuCunGu" label="库存股" mulRef="_GBC_048773409e614c6bb753000b028316a5" unitRef="_GBC_5214b7a188334da286fc3038d017d072" addr="T2R30C6S1_1" formatStyle="Comma">
          <m:complexRule comparator="Eq" title="母公司库存股" test=" $_GBC_114922bd5cad4e92ba6d225e29c2cbcc +  $_GBC_700156d9f1474bc8939b7e2126fc4b2d" id="Cd7f2367b488642208d3a0b13d8fe0844"/>
          <m:axisValue occRef="母公司"/>
        </m:item>
        <m:item xlName="_GBC_bd56a402e6d74668a4614cabb22cff10" concept="clcid-pte:QiTaZongHeShouYiZiChanFuZhaiBiaoXiangMu" label="其他综合收益（资产负债表项目）" mulRef="_GBC_048773409e614c6bb753000b028316a5" unitRef="_GBC_5214b7a188334da286fc3038d017d072" addr="T2R30C7S1_1" formatStyle="Comma">
          <m:complexRule comparator="Eq" title="母公司其他综合收益（资产负债表项目）" test=" $_GBC_0f6fcd7fbe464a35b4a293cab10be02b +  $_GBC_10a50e00f7bc44ec8347b7b66f7414d2" id="C0b6c41269b7b4df292cbed57b8d7ed20"/>
          <m:axisValue occRef="母公司"/>
        </m:item>
        <m:item xlName="_GBC_a9ae3b1d2432427e90afde79e299d064" concept="clcid-pte:ZhuanXiangChuBei" label="专项储备" mulRef="_GBC_048773409e614c6bb753000b028316a5" unitRef="_GBC_5214b7a188334da286fc3038d017d072" addr="T2R30C8S1_1" formatStyle="Comma">
          <m:complexRule comparator="Eq" title="母公司专项储备" test=" $_GBC_b9de9b0acdaf45a8ba406572c22253ec +  $_GBC_9cf0737ee22247338dc303d03d64f6b4" id="Cc6bff7af41c24baea5a90d609ee12cf3"/>
          <m:axisValue occRef="母公司"/>
        </m:item>
        <m:item xlName="_GBC_43bc51d2147645edbdeb4cac7d9b6f0e" concept="clcid-pte:YingYuGongJi" label="盈余公积" mulRef="_GBC_048773409e614c6bb753000b028316a5" unitRef="_GBC_5214b7a188334da286fc3038d017d072" addr="T2R30C9S1_1" formatStyle="Comma">
          <m:complexRule comparator="Eq" title="母公司盈余公积" test=" $_GBC_c40ab025d2d441f2b2c94494e0d106ee +  $_GBC_80cd41b0fb664a6e967663873f0e2fa7" id="C4f5a152a8b0b48339b2acf49b7e8b34e"/>
          <m:axisValue occRef="母公司"/>
        </m:item>
        <m:item xlName="_GBC_0ec3e790a4a44110ae1a2bf1aa9e434f" concept="clcid-pte:WeiFenPeiLiRun" label="未分配利润" mulRef="_GBC_048773409e614c6bb753000b028316a5" unitRef="_GBC_5214b7a188334da286fc3038d017d072" addr="T2R30C10S1_1" formatStyle="Comma">
          <m:complexRule comparator="Eq" title="母公司未分配利润" test=" $_GBC_ffdbb6bb26a947938b38672ca5df4e68 +  $_GBC_61d10a7845be4be1b7583a44f08f6dd8" id="C96bb92454aea49f6bb400b56df4f101c"/>
          <m:axisValue occRef="母公司"/>
        </m:item>
        <m:item xlName="_GBC_a0cb44b0dd124cc899064b9a8a4195e9" concept="clcid-pte:GuDongQuanYiHeJi" label="股东权益合计" mulRef="_GBC_048773409e614c6bb753000b028316a5" unitRef="_GBC_5214b7a188334da286fc3038d017d072" addr="T2R30C11S1_1" formatStyle="Comma">
          <m:complexRule comparator="Eq" title="母公司股东权益合计" test=" $_GBC_437e9e5e45be47c2af464f3d199411f3 +  $_GBC_dd44f39ad16c493489dd5f338f6b2e42" id="Cf5b37f4a0ad24966a390b5bbadd210f3"/>
          <m:axisValue occRef="母公司"/>
        </m:item>
        <m:placeholder xlName="_PLD_312727f4b56147c2b646c0fb68a4b58b" addr="T3R0C0S3_1"/>
        <m:placeholder xlName="_PLD_35246b22171846ac8ef46c5dfa1d1663" addr="T3R0C1S1_11"/>
        <m:placeholder xlName="_PLD_5da9900c5a9e46a085487ea972f44796" addr="T3R1C1S2_1"/>
        <m:placeholder xlName="_PLD_fc0bce3be00144ff950606755a048a76" addr="T3R1C2S1_3"/>
        <m:placeholder xlName="_PLD_b31d07f97db344b1b180738b22a76467" addr="T3R1C5S2_1"/>
        <m:placeholder xlName="_PLD_244676dcaf4245bd9119f474a4e885f9" addr="T3R1C6S2_1"/>
        <m:placeholder xlName="_PLD_01eab1b775574165b2820a19e72d2ad0" addr="T3R1C7S2_1"/>
        <m:placeholder xlName="_PLD_13f17e2c8a7a404da876af1bac2ae6d1" addr="T3R1C8S2_1"/>
        <m:placeholder xlName="_PLD_9578f3812cf04a34965a5bdc9ee82115" addr="T3R1C9S2_1"/>
        <m:placeholder xlName="_PLD_5d835cd98ccc4304aec553a0b6a56628" addr="T3R1C10S2_1"/>
        <m:placeholder xlName="_PLD_1cbb8af374a54430ad1f29ed83c69cd0" addr="T3R1C11S2_1"/>
        <m:placeholder xlName="_PLD_dcc9ba0f815c4a99a7c4c9fe219d232e" addr="T3R2C2S1_1"/>
        <m:placeholder xlName="_PLD_42f56a6e995041a8b03e0979c7b2350c" addr="T3R2C3S1_1"/>
        <m:placeholder xlName="_PLD_30aa853463c54004a69a2235554ee8fd" addr="T3R2C4S1_1"/>
        <m:placeholder xlName="_PLD_b00b327c7ecc4ad1bfafd8f9c1a6ce86" addr="T3R3C0S1_1"/>
        <m:item xlName="_GBC_49106771ac9e4dd8b91bf12c6e7a262a" concept="clcid-pte:GuBen" label="股本" periodRef="上上年度期末数" mulRef="_GBC_048773409e614c6bb753000b028316a5" unitRef="_GBC_5214b7a188334da286fc3038d017d072" addr="T3R3C1S1_1" formatStyle="Comma">
          <m:axisValue occRef="调整前的值"/>
          <m:axisValue occRef="母公司"/>
        </m:item>
        <m:item xlName="_GBC_a23ef05d9bf94b9f903aaef95363c8c1" concept="clcid-pte:QiTaQuanYiGongJuQiZhongYouXianGu" label="其他权益工具-其中：优先股" periodRef="上上年度期末数" mulRef="_GBC_048773409e614c6bb753000b028316a5" unitRef="_GBC_5214b7a188334da286fc3038d017d072" addr="T3R3C2S1_1" formatStyle="Comma">
          <m:axisValue occRef="调整前的值"/>
          <m:axisValue occRef="母公司"/>
        </m:item>
        <m:item xlName="_GBC_f0477b8000b14bb8b123ff2e05bb5814" concept="clcid-pte:QiTaQuanYiGongJuYongXuZhai" label="其他权益工具-永续债" periodRef="上上年度期末数" mulRef="_GBC_048773409e614c6bb753000b028316a5" unitRef="_GBC_5214b7a188334da286fc3038d017d072" addr="T3R3C3S1_1" formatStyle="Comma">
          <m:axisValue occRef="调整前的值"/>
          <m:axisValue occRef="母公司"/>
        </m:item>
        <m:item xlName="_GBC_9ab2b43f10b843378333aad8cb31a39f" concept="clcid-pte:QiTaQuanYiGongJuQiTa" label="其他权益工具-其他" periodRef="上上年度期末数" mulRef="_GBC_048773409e614c6bb753000b028316a5" unitRef="_GBC_5214b7a188334da286fc3038d017d072" addr="T3R3C4S1_1" formatStyle="Comma">
          <m:axisValue occRef="调整前的值"/>
          <m:axisValue occRef="母公司"/>
        </m:item>
        <m:item xlName="_GBC_b25d6ba8d03b4103abd63238c9a7e24e" concept="clcid-pte:ZiBenGongJi" label="资本公积" periodRef="上上年度期末数" mulRef="_GBC_048773409e614c6bb753000b028316a5" unitRef="_GBC_5214b7a188334da286fc3038d017d072" addr="T3R3C5S1_1" formatStyle="Comma">
          <m:axisValue occRef="调整前的值"/>
          <m:axisValue occRef="母公司"/>
        </m:item>
        <m:item xlName="_GBC_1beb7c656916491991769889d4d0df58" concept="clcid-pte:KuCunGu" label="库存股" periodRef="上上年度期末数" mulRef="_GBC_048773409e614c6bb753000b028316a5" unitRef="_GBC_5214b7a188334da286fc3038d017d072" addr="T3R3C6S1_1" formatStyle="Comma">
          <m:axisValue occRef="调整前的值"/>
          <m:axisValue occRef="母公司"/>
        </m:item>
        <m:item xlName="_GBC_7092f53c54bb4d39bd6dfd52dbb88384" concept="clcid-pte:QiTaZongHeShouYiZiChanFuZhaiBiaoXiangMu" label="其他综合收益（资产负债表项目）" periodRef="上上年度期末数" mulRef="_GBC_048773409e614c6bb753000b028316a5" unitRef="_GBC_5214b7a188334da286fc3038d017d072" addr="T3R3C7S1_1" formatStyle="Comma">
          <m:axisValue occRef="调整前的值"/>
          <m:axisValue occRef="母公司"/>
        </m:item>
        <m:item xlName="_GBC_00db0f65663146aca05a020a72e4db2b" concept="clcid-pte:ZhuanXiangChuBei" label="专项储备" periodRef="上上年度期末数" mulRef="_GBC_048773409e614c6bb753000b028316a5" unitRef="_GBC_5214b7a188334da286fc3038d017d072" addr="T3R3C8S1_1" formatStyle="Comma">
          <m:axisValue occRef="调整前的值"/>
          <m:axisValue occRef="母公司"/>
        </m:item>
        <m:item xlName="_GBC_e773ef374d42468aae8760d21fabffe3" concept="clcid-pte:YingYuGongJi" label="盈余公积" periodRef="上上年度期末数" mulRef="_GBC_048773409e614c6bb753000b028316a5" unitRef="_GBC_5214b7a188334da286fc3038d017d072" addr="T3R3C9S1_1" formatStyle="Comma">
          <m:axisValue occRef="调整前的值"/>
          <m:axisValue occRef="母公司"/>
        </m:item>
        <m:item xlName="_GBC_2fa2152533124f8790eea6862937998b" concept="clcid-pte:WeiFenPeiLiRun" label="未分配利润" periodRef="上上年度期末数" mulRef="_GBC_048773409e614c6bb753000b028316a5" unitRef="_GBC_5214b7a188334da286fc3038d017d072" addr="T3R3C10S1_1" formatStyle="Comma">
          <m:axisValue occRef="调整前的值"/>
          <m:axisValue occRef="母公司"/>
        </m:item>
        <m:item xlName="_GBC_3dc83c6f98c44475ad93eb623f0ae58c" concept="clcid-pte:GuDongQuanYiHeJi" label="股东权益合计" periodRef="上上年度期末数" mulRef="_GBC_048773409e614c6bb753000b028316a5" unitRef="_GBC_5214b7a188334da286fc3038d017d072" addr="T3R3C11S1_1" formatStyle="Comma">
          <m:axisValue occRef="调整前的值"/>
          <m:axisValue occRef="母公司"/>
        </m:item>
        <m:placeholder xlName="_PLD_87ad1d45ba9b40488fdf5165b8168def" addr="T3R4C0S1_1"/>
        <m:item xlName="_GBC_2dc3f02e73a34990b2261157211d5d86" concept="clcid-pte:KuaiJiZhengCeBianGengDaoZhiShiShouZiBenHuoGuBenJingEBianDongJinE" label="会计政策变更导致实收资本（或股本）净额变动金额" periodRef="上年同期期初数" mulRef="_GBC_048773409e614c6bb753000b028316a5" unitRef="_GBC_5214b7a188334da286fc3038d017d072" addr="T3R4C1S1_1" formatStyle="Comma">
          <m:axisValue occRef="母公司"/>
        </m:item>
        <m:item xlName="_GBC_d0b6bca25d0d4f01a07a7746f1571175" concept="clcid-pte:HuiJiZhengCeBianGengDaoZhiYouXianGuBianDongJinE" label="会计政策变更导致优先股变动金额" periodRef="上年同期期初数" mulRef="_GBC_048773409e614c6bb753000b028316a5" unitRef="_GBC_5214b7a188334da286fc3038d017d072" addr="T3R4C2S1_1" formatStyle="Comma">
          <m:axisValue occRef="母公司"/>
        </m:item>
        <m:item xlName="_GBC_8ddde9aade974eeb95a3bfc91c60111a" concept="clcid-pte:HuiJiZhengCeBianGengDaoZhiYongXuZhaiBianDongJinE" label="会计政策变更导致永续债变动金额" periodRef="上年同期期初数" mulRef="_GBC_048773409e614c6bb753000b028316a5" unitRef="_GBC_5214b7a188334da286fc3038d017d072" addr="T3R4C3S1_1" formatStyle="Comma">
          <m:axisValue occRef="母公司"/>
        </m:item>
        <m:item xlName="_GBC_363830bcdae74e32a1a9ecac20940ec7" concept="clcid-pte:HuiJiZhengCeBianGengDaoZhiQiTaQuanYiGongJuZhongDeQiTaBianDongJinE" label="会计政策变更导致其他权益工具中的其他变动金额" periodRef="上年同期期初数" mulRef="_GBC_048773409e614c6bb753000b028316a5" unitRef="_GBC_5214b7a188334da286fc3038d017d072" addr="T3R4C4S1_1" formatStyle="Comma">
          <m:axisValue occRef="母公司"/>
        </m:item>
        <m:item xlName="_GBC_52c1ab40fed947d298a53fb062dc500c" concept="clcid-pte:KuaiJiZhengCeBianGengDaoZhiZiBenGongJiBianDongJinE" label="会计政策变更导致资本公积变动金额" periodRef="上年同期期初数" mulRef="_GBC_048773409e614c6bb753000b028316a5" unitRef="_GBC_5214b7a188334da286fc3038d017d072" addr="T3R4C5S1_1" formatStyle="Comma">
          <m:axisValue occRef="母公司"/>
        </m:item>
        <m:item xlName="_GBC_2b0798f53d2f4ccda2db197aa7d59924" concept="clcid-pte:KuaiJiZhengCeBianGengDaoZhiKuCunGuBianDongJinE" label="会计政策变更导致库存股变动金额" periodRef="上年同期期初数" mulRef="_GBC_048773409e614c6bb753000b028316a5" unitRef="_GBC_5214b7a188334da286fc3038d017d072" addr="T3R4C6S1_1" formatStyle="Comma">
          <m:axisValue occRef="母公司"/>
        </m:item>
        <m:item xlName="_GBC_d525641e92474097a5552e18db7e4ea1" concept="clcid-pte:HuiJiZhengCeBianGengDaoZhiQiTaZongHeShouYiBianDongJinE" label="会计政策变更导致其他综合收益变动金额" periodRef="上年同期期初数" mulRef="_GBC_048773409e614c6bb753000b028316a5" unitRef="_GBC_5214b7a188334da286fc3038d017d072" addr="T3R4C7S1_1" formatStyle="Comma">
          <m:axisValue occRef="母公司"/>
        </m:item>
        <m:item xlName="_GBC_f88d41045dd94e328a7dc17674aca742" concept="clcid-pte:KuaiJiZhengCeBianGengDaoZhiZhuanXiangChuBeiBianDongJinE" label="会计政策变更导致专项储备变动金额" periodRef="上年同期期初数" mulRef="_GBC_048773409e614c6bb753000b028316a5" unitRef="_GBC_5214b7a188334da286fc3038d017d072" addr="T3R4C8S1_1" formatStyle="Comma">
          <m:axisValue occRef="母公司"/>
        </m:item>
        <m:item xlName="_GBC_9599731027a14e5788b2c7baa9a35293" concept="clcid-pte:KuaiJiZhengCeBianGengDaoZhiYingYuGongJiBianDongJinE" label="会计政策变更导致盈余公积变动金额" periodRef="上年同期期初数" mulRef="_GBC_048773409e614c6bb753000b028316a5" unitRef="_GBC_5214b7a188334da286fc3038d017d072" addr="T3R4C9S1_1" formatStyle="Comma">
          <m:axisValue occRef="母公司"/>
        </m:item>
        <m:item xlName="_GBC_8108f572bf8342e883ddf3eb263d6393" concept="clcid-pte:KuaiJiZhengCeBianGengDaoZhiWeiFenPeiLiRunBianDongJinE" label="会计政策变更导致未分配利润变动金额" periodRef="上年同期期初数" mulRef="_GBC_048773409e614c6bb753000b028316a5" unitRef="_GBC_5214b7a188334da286fc3038d017d072" addr="T3R4C10S1_1" formatStyle="Comma">
          <m:axisValue occRef="母公司"/>
        </m:item>
        <m:item xlName="_GBC_97c01fcbbcb3489a8308381e72be62c8" concept="clcid-pte:KuaiJiZhengCeBianGengDaoZhiGuDongQuanYiHeJiBianDongJinE" label="会计政策变更导致股东权益合计变动金额" periodRef="上年同期期初数" mulRef="_GBC_048773409e614c6bb753000b028316a5" unitRef="_GBC_5214b7a188334da286fc3038d017d072" addr="T3R4C11S1_1" formatStyle="Comma">
          <m:axisValue occRef="母公司"/>
        </m:item>
        <m:placeholder xlName="_PLD_494f8b7216f946d9a09f6954da6ee226" addr="T3R5C0S1_1"/>
        <m:item xlName="_GBC_4e0ba8c9bfaf4347861d9ed87f5b373d" concept="clcid-pte:QianQiChaCuoGengZhengDaoZhiShiShouZiBenHuoGuBenJingEBianDongJinE" label="前期差错更正导致实收资本（或股本）净额变动金额" periodRef="上年同期期初数" mulRef="_GBC_048773409e614c6bb753000b028316a5" unitRef="_GBC_5214b7a188334da286fc3038d017d072" addr="T3R5C1S1_1" formatStyle="Comma">
          <m:axisValue occRef="母公司"/>
        </m:item>
        <m:item xlName="_GBC_510088217865457d8e9cbff8c8a9cd59" concept="clcid-pte:QianQiChaCuoGengZhengDaoZhiYouXianGuBianDongJinE" label="前期差错更正导致优先股变动金额" periodRef="上年同期期初数" mulRef="_GBC_048773409e614c6bb753000b028316a5" unitRef="_GBC_5214b7a188334da286fc3038d017d072" addr="T3R5C2S1_1" formatStyle="Comma">
          <m:axisValue occRef="母公司"/>
        </m:item>
        <m:item xlName="_GBC_acf92a80b78043488ed814b9b1e420df" concept="clcid-pte:QianQiChaCuoGengZhengDaoZhiYongXuZhaiBianDongJinE" label="前期差错更正导致永续债变动金额" periodRef="上年同期期初数" mulRef="_GBC_048773409e614c6bb753000b028316a5" unitRef="_GBC_5214b7a188334da286fc3038d017d072" addr="T3R5C3S1_1" formatStyle="Comma">
          <m:axisValue occRef="母公司"/>
        </m:item>
        <m:item xlName="_GBC_4890bf76d59b4fbf920db05dc1cc4696" concept="clcid-pte:QianQiChaCuoGengZhengDaoZhiQiTaQuanYiGongJuZhongDeQiTaBianDongJinE" label="前期差错更正导致其他权益工具中的其他变动金额" periodRef="上年同期期初数" mulRef="_GBC_048773409e614c6bb753000b028316a5" unitRef="_GBC_5214b7a188334da286fc3038d017d072" addr="T3R5C4S1_1" formatStyle="Comma">
          <m:axisValue occRef="母公司"/>
        </m:item>
        <m:item xlName="_GBC_a45be81f75444e4bac31f9e3949d890d" concept="clcid-pte:QianQiChaCuoGengZhengDaoZhiZiBenGongJiBianDongJinE" label="前期差错更正导致资本公积变动金额" periodRef="上年同期期初数" mulRef="_GBC_048773409e614c6bb753000b028316a5" unitRef="_GBC_5214b7a188334da286fc3038d017d072" addr="T3R5C5S1_1" formatStyle="Comma">
          <m:axisValue occRef="母公司"/>
        </m:item>
        <m:item xlName="_GBC_f32a7915aacd405e85dac8391dcda5b7" concept="clcid-pte:QianQiChaCuoGengZhengDaoZhiKuCunGuBianDongJinE" label="前期差错更正导致库存股变动金额" periodRef="上年同期期初数" mulRef="_GBC_048773409e614c6bb753000b028316a5" unitRef="_GBC_5214b7a188334da286fc3038d017d072" addr="T3R5C6S1_1" formatStyle="Comma">
          <m:axisValue occRef="母公司"/>
        </m:item>
        <m:item xlName="_GBC_6c5d450093ab4d38899de26682b548fd" concept="clcid-pte:QianQiChaCuoGengZhengDaoZhiQiTaZongHeShouYiBianDongJinE" label="前期差错更正导致其他综合收益变动金额" periodRef="上年同期期初数" mulRef="_GBC_048773409e614c6bb753000b028316a5" unitRef="_GBC_5214b7a188334da286fc3038d017d072" addr="T3R5C7S1_1" formatStyle="Comma">
          <m:axisValue occRef="母公司"/>
        </m:item>
        <m:item xlName="_GBC_128212b6ea2a46bab6aba0d5d9a0e43c" concept="clcid-pte:QianQiChaCuoGengZhengDaoZhiZhuanXiangChuBeiBianDongJinE" label="前期差错更正导致专项储备变动金额" periodRef="上年同期期初数" mulRef="_GBC_048773409e614c6bb753000b028316a5" unitRef="_GBC_5214b7a188334da286fc3038d017d072" addr="T3R5C8S1_1" formatStyle="Comma">
          <m:axisValue occRef="母公司"/>
        </m:item>
        <m:item xlName="_GBC_bf292c36eca44470b79730d4ed4d6eaa" concept="clcid-pte:QianQiChaCuoGengZhengDaoZhiYingYuGongJiBianDongJinE" label="前期差错更正导致盈余公积变动金额" periodRef="上年同期期初数" mulRef="_GBC_048773409e614c6bb753000b028316a5" unitRef="_GBC_5214b7a188334da286fc3038d017d072" addr="T3R5C9S1_1" formatStyle="Comma">
          <m:axisValue occRef="母公司"/>
        </m:item>
        <m:item xlName="_GBC_91952f977b04455284140b8d9de244e2" concept="clcid-pte:QianQiChaCuoGengZhengDaoZhiWeiFenPeiLiRunBianDongJinE" label="前期差错更正导致未分配利润变动金额" periodRef="上年同期期初数" mulRef="_GBC_048773409e614c6bb753000b028316a5" unitRef="_GBC_5214b7a188334da286fc3038d017d072" addr="T3R5C10S1_1" formatStyle="Comma">
          <m:axisValue occRef="母公司"/>
        </m:item>
        <m:item xlName="_GBC_b72b3e4adb564e10b21cf12183ac85b7" concept="clcid-pte:QianQiChaCuoGengZhengDaoZhiGuDongQuanYiHeJiBianDongJinE" label="前期差错更正导致股东权益合计变动金额" periodRef="上年同期期初数" mulRef="_GBC_048773409e614c6bb753000b028316a5" unitRef="_GBC_5214b7a188334da286fc3038d017d072" addr="T3R5C11S1_1" formatStyle="Comma">
          <m:axisValue occRef="母公司"/>
        </m:item>
        <m:placeholder xlName="_PLD_cdd9f72b38894c3eb70b005a61432c29" addr="T3R6C0S1_1"/>
        <m:item xlName="_GBC_577c52744ded4b7cabab716700c8452d" concept="clcid-pte:QiTaZhuiSuTiaoZhengDaoZhiShiShouZiBenBianDongJinE" label="实收资本变动金额（其他追溯调整）" periodRef="上年同期期初数" mulRef="_GBC_048773409e614c6bb753000b028316a5" unitRef="_GBC_5214b7a188334da286fc3038d017d072" addr="T3R6C1S1_1" formatStyle="Comma">
          <m:axisValue occRef="母公司"/>
        </m:item>
        <m:item xlName="_GBC_c825e090c7454ae1bdf77fbae975c5a3" concept="clcid-pte:YouXianGuBianDongJinEQiTaZhuiSuDiaoZheng" label="优先股变动金额（其他追溯调整）" periodRef="上年同期期初数" mulRef="_GBC_048773409e614c6bb753000b028316a5" unitRef="_GBC_5214b7a188334da286fc3038d017d072" addr="T3R6C2S1_1" formatStyle="Comma">
          <m:axisValue occRef="母公司"/>
        </m:item>
        <m:item xlName="_GBC_84e2883d37cf4795a3fa1bc3e0d6522d" concept="clcid-pte:YongXuZhaiBianDongJinEQiTaZhuiSuDiaoZheng" label="永续债变动金额（其他追溯调整）" periodRef="上年同期期初数" mulRef="_GBC_048773409e614c6bb753000b028316a5" unitRef="_GBC_5214b7a188334da286fc3038d017d072" addr="T3R6C3S1_1" formatStyle="Comma">
          <m:axisValue occRef="母公司"/>
        </m:item>
        <m:item xlName="_GBC_0b7d596e53da49099a0dcbbb0d6cb130" concept="clcid-pte:QiTaQuanYiGongJuZhongDeQiTaBianDongJinEQiTaZhuiSuDiaoZheng" label="其他权益工具中的其他变动金额（其他追溯调整）" periodRef="上年同期期初数" mulRef="_GBC_048773409e614c6bb753000b028316a5" unitRef="_GBC_5214b7a188334da286fc3038d017d072" addr="T3R6C4S1_1" formatStyle="Comma">
          <m:axisValue occRef="母公司"/>
        </m:item>
        <m:item xlName="_GBC_00d2362f691b47458f57f86b2b9f5d45" concept="clcid-pte:QiTaZhuiSuTiaoZhengDaoZhiZiBenGongJiBianDongJinE" label="资本公积变动金额（其他追溯调整）" periodRef="上年同期期初数" mulRef="_GBC_048773409e614c6bb753000b028316a5" unitRef="_GBC_5214b7a188334da286fc3038d017d072" addr="T3R6C5S1_1" formatStyle="Comma">
          <m:axisValue occRef="母公司"/>
        </m:item>
        <m:item xlName="_GBC_6afaa4acafc846ada1cc65821fb73359" concept="clcid-pte:QiTaZhuiSuTiaoZhengDaoZhiKuCunGuBianDongJinE" label="库存股变动金额（其他追溯调整）" periodRef="上年同期期初数" mulRef="_GBC_048773409e614c6bb753000b028316a5" unitRef="_GBC_5214b7a188334da286fc3038d017d072" addr="T3R6C6S1_1" formatStyle="Comma">
          <m:axisValue occRef="母公司"/>
        </m:item>
        <m:item xlName="_GBC_29c18457cb1a4ba286150b55a22c4cef" concept="clcid-pte:QiTaZongHeShouYiBianDongJinEQiTaZhuiSuDiaoZheng" label="其他综合收益变动金额（其他追溯调整）" periodRef="上年同期期初数" mulRef="_GBC_048773409e614c6bb753000b028316a5" unitRef="_GBC_5214b7a188334da286fc3038d017d072" addr="T3R6C7S1_1" formatStyle="Comma">
          <m:axisValue occRef="母公司"/>
        </m:item>
        <m:item xlName="_GBC_c807fff2fe8f4d6bb556514e57c16a5c" concept="clcid-pte:QiTaZhuiSuTiaoZhengDaoZhiZhuanXiangChuBeiBianDongJinE" label="专项储备变动金额（其他追溯调整）" periodRef="上年同期期初数" mulRef="_GBC_048773409e614c6bb753000b028316a5" unitRef="_GBC_5214b7a188334da286fc3038d017d072" addr="T3R6C8S1_1" formatStyle="Comma">
          <m:axisValue occRef="母公司"/>
        </m:item>
        <m:item xlName="_GBC_9db8a6b75b97469f8c2116db3db535c2" concept="clcid-pte:QiTaZhuiSuTiaoZhengDaoZhiYingYuGongJiBianDongJinE" label="盈余公积变动金额（其他追溯调整）" periodRef="上年同期期初数" mulRef="_GBC_048773409e614c6bb753000b028316a5" unitRef="_GBC_5214b7a188334da286fc3038d017d072" addr="T3R6C9S1_1" formatStyle="Comma">
          <m:axisValue occRef="母公司"/>
        </m:item>
        <m:item xlName="_GBC_98481e84f1d144348366014ff4845e43" concept="clcid-pte:QiTaZhuiSuTiaoZhengDaoZhiWeiFenPeiLiRunBianDongJinE" label="未分配利润变动金额（其他追溯调整）" periodRef="上年同期期初数" mulRef="_GBC_048773409e614c6bb753000b028316a5" unitRef="_GBC_5214b7a188334da286fc3038d017d072" addr="T3R6C10S1_1" formatStyle="Comma">
          <m:axisValue occRef="母公司"/>
        </m:item>
        <m:item xlName="_GBC_56f77628123a4516a83e9793bde7f31d" concept="clcid-pte:QiTaZhuiSuTiaoZhengDaoZhiGuDongQuanYiBianDongJinE" label="股东权益变动金额（其他追溯调整）" periodRef="上年同期期初数" mulRef="_GBC_048773409e614c6bb753000b028316a5" unitRef="_GBC_5214b7a188334da286fc3038d017d072" addr="T3R6C11S1_1" formatStyle="Comma">
          <m:axisValue occRef="母公司"/>
        </m:item>
        <m:placeholder xlName="_PLD_8593e1735c664981bacefcb1a0cab245" addr="T3R7C0S1_1"/>
        <m:item xlName="_GBC_81506e84492f4f00af4a9f4816ac595d" concept="clcid-pte:GuBen" label="股本" periodRef="上年同期期初数" mulRef="_GBC_048773409e614c6bb753000b028316a5" unitRef="_GBC_5214b7a188334da286fc3038d017d072" addr="T3R7C1S1_1" formatStyle="Comma">
          <m:complexRule comparator="Eq" title="母公司股本@上年同期期初数" test=" $_GBC_49106771ac9e4dd8b91bf12c6e7a262a +  $_GBC_2dc3f02e73a34990b2261157211d5d86 +  $_GBC_4e0ba8c9bfaf4347861d9ed87f5b373d +  $_GBC_577c52744ded4b7cabab716700c8452d" id="C18291de0dab441a9b8f9c15908c1e519"/>
          <m:axisValue occRef="母公司"/>
        </m:item>
        <m:item xlName="_GBC_8cd15523ec994dd1888d18acda49f79a" concept="clcid-pte:QiTaQuanYiGongJuQiZhongYouXianGu" label="其他权益工具-其中：优先股" periodRef="上年同期期初数" mulRef="_GBC_048773409e614c6bb753000b028316a5" unitRef="_GBC_5214b7a188334da286fc3038d017d072" addr="T3R7C2S1_1" formatStyle="Comma">
          <m:complexRule comparator="Eq" title="母公司其他权益工具-其中：优先股@上年同期期初数" test=" $_GBC_a23ef05d9bf94b9f903aaef95363c8c1 +  $_GBC_d0b6bca25d0d4f01a07a7746f1571175 +  $_GBC_510088217865457d8e9cbff8c8a9cd59 +  $_GBC_c825e090c7454ae1bdf77fbae975c5a3" id="Ca08a2fbcde244822aca7a7b4e8f6159b"/>
          <m:axisValue occRef="母公司"/>
        </m:item>
        <m:item xlName="_GBC_e0ee0f96384f4731ac9b26ea29553277" concept="clcid-pte:QiTaQuanYiGongJuYongXuZhai" label="其他权益工具-永续债" periodRef="上年同期期初数" mulRef="_GBC_048773409e614c6bb753000b028316a5" unitRef="_GBC_5214b7a188334da286fc3038d017d072" addr="T3R7C3S1_1" formatStyle="Comma">
          <m:complexRule comparator="Eq" title="母公司其他权益工具-永续债@上年同期期初数" test=" $_GBC_f0477b8000b14bb8b123ff2e05bb5814 +  $_GBC_8ddde9aade974eeb95a3bfc91c60111a +  $_GBC_acf92a80b78043488ed814b9b1e420df +  $_GBC_84e2883d37cf4795a3fa1bc3e0d6522d" id="Ce40c359919f240d3bf145cacd822bfaa"/>
          <m:axisValue occRef="母公司"/>
        </m:item>
        <m:item xlName="_GBC_edc14c2fd7df48949f7f8547e0057d52" concept="clcid-pte:QiTaQuanYiGongJuQiTa" label="其他权益工具-其他" periodRef="上年同期期初数" mulRef="_GBC_048773409e614c6bb753000b028316a5" unitRef="_GBC_5214b7a188334da286fc3038d017d072" addr="T3R7C4S1_1" formatStyle="Comma">
          <m:complexRule comparator="Eq" title="母公司其他权益工具-其他@上年同期期初数" test=" $_GBC_9ab2b43f10b843378333aad8cb31a39f +  $_GBC_363830bcdae74e32a1a9ecac20940ec7 +  $_GBC_4890bf76d59b4fbf920db05dc1cc4696 +  $_GBC_0b7d596e53da49099a0dcbbb0d6cb130" id="Cee4d565878d34177bcb270ddcef2f859"/>
          <m:axisValue occRef="母公司"/>
        </m:item>
        <m:item xlName="_GBC_dc911e1c0c0140beaadeea0c7f9cb99b" concept="clcid-pte:ZiBenGongJi" label="资本公积" periodRef="上年同期期初数" mulRef="_GBC_048773409e614c6bb753000b028316a5" unitRef="_GBC_5214b7a188334da286fc3038d017d072" addr="T3R7C5S1_1" formatStyle="Comma">
          <m:complexRule comparator="Eq" title="母公司资本公积@上年同期期初数" test=" $_GBC_b25d6ba8d03b4103abd63238c9a7e24e +  $_GBC_52c1ab40fed947d298a53fb062dc500c +  $_GBC_a45be81f75444e4bac31f9e3949d890d +  $_GBC_00d2362f691b47458f57f86b2b9f5d45" id="C361bcef371aa4438b3cf759c5e713330"/>
          <m:axisValue occRef="母公司"/>
        </m:item>
        <m:item xlName="_GBC_d87b9676c83649d39a619c314692dcaf" concept="clcid-pte:KuCunGu" label="库存股" periodRef="上年同期期初数" mulRef="_GBC_048773409e614c6bb753000b028316a5" unitRef="_GBC_5214b7a188334da286fc3038d017d072" addr="T3R7C6S1_1" formatStyle="Comma">
          <m:complexRule comparator="Eq" title="母公司库存股@上年同期期初数" test=" $_GBC_1beb7c656916491991769889d4d0df58 +  $_GBC_2b0798f53d2f4ccda2db197aa7d59924 +  $_GBC_f32a7915aacd405e85dac8391dcda5b7 +  $_GBC_6afaa4acafc846ada1cc65821fb73359" id="C94b32fe026434333b8adfd7ba25c7de7"/>
          <m:axisValue occRef="母公司"/>
        </m:item>
        <m:item xlName="_GBC_6d145d9657f44521aa3d46c7b6321381" concept="clcid-pte:QiTaZongHeShouYiZiChanFuZhaiBiaoXiangMu" label="其他综合收益（资产负债表项目）" periodRef="上年同期期初数" mulRef="_GBC_048773409e614c6bb753000b028316a5" unitRef="_GBC_5214b7a188334da286fc3038d017d072" addr="T3R7C7S1_1" formatStyle="Comma">
          <m:complexRule comparator="Eq" title="母公司其他综合收益（资产负债表项目）@上年同期期初数" test=" $_GBC_7092f53c54bb4d39bd6dfd52dbb88384 +  $_GBC_d525641e92474097a5552e18db7e4ea1 +  $_GBC_6c5d450093ab4d38899de26682b548fd +  $_GBC_29c18457cb1a4ba286150b55a22c4cef" id="C517f77953178439f831fdb4700f55575"/>
          <m:axisValue occRef="母公司"/>
        </m:item>
        <m:item xlName="_GBC_b2bd2eeb6e644fc4a095222b2af9aaf4" concept="clcid-pte:ZhuanXiangChuBei" label="专项储备" periodRef="上年同期期初数" mulRef="_GBC_048773409e614c6bb753000b028316a5" unitRef="_GBC_5214b7a188334da286fc3038d017d072" addr="T3R7C8S1_1" formatStyle="Comma">
          <m:complexRule comparator="Eq" title="母公司专项储备@上年同期期初数" test=" $_GBC_00db0f65663146aca05a020a72e4db2b +  $_GBC_f88d41045dd94e328a7dc17674aca742 +  $_GBC_128212b6ea2a46bab6aba0d5d9a0e43c +  $_GBC_c807fff2fe8f4d6bb556514e57c16a5c" id="C8cf8fe8af6524b7b91a12245e3778606"/>
          <m:axisValue occRef="母公司"/>
        </m:item>
        <m:item xlName="_GBC_65eeed92e2b14ea5883fcb0487da19f1" concept="clcid-pte:YingYuGongJi" label="盈余公积" periodRef="上年同期期初数" mulRef="_GBC_048773409e614c6bb753000b028316a5" unitRef="_GBC_5214b7a188334da286fc3038d017d072" addr="T3R7C9S1_1" formatStyle="Comma">
          <m:complexRule comparator="Eq" title="母公司盈余公积@上年同期期初数" test=" $_GBC_e773ef374d42468aae8760d21fabffe3 +  $_GBC_9599731027a14e5788b2c7baa9a35293 +  $_GBC_bf292c36eca44470b79730d4ed4d6eaa +  $_GBC_9db8a6b75b97469f8c2116db3db535c2" id="C2fc37d55d6c14792b90658a40fda8476"/>
          <m:axisValue occRef="母公司"/>
        </m:item>
        <m:item xlName="_GBC_4048bba00d6a48acb1daaa86900788d8" concept="clcid-pte:WeiFenPeiLiRun" label="未分配利润" periodRef="上年同期期初数" mulRef="_GBC_048773409e614c6bb753000b028316a5" unitRef="_GBC_5214b7a188334da286fc3038d017d072" addr="T3R7C10S1_1" formatStyle="Comma">
          <m:complexRule comparator="Eq" title="母公司未分配利润@上年同期期初数" test=" $_GBC_2fa2152533124f8790eea6862937998b +  $_GBC_8108f572bf8342e883ddf3eb263d6393 +  $_GBC_91952f977b04455284140b8d9de244e2 +  $_GBC_98481e84f1d144348366014ff4845e43" id="C25082d73d3814c748a1aaa54132d4fcf"/>
          <m:axisValue occRef="母公司"/>
        </m:item>
        <m:item xlName="_GBC_5982de2520b94f22aaf4cd2c9647effb" concept="clcid-pte:GuDongQuanYiHeJi" label="股东权益合计" periodRef="上年同期期初数" mulRef="_GBC_048773409e614c6bb753000b028316a5" unitRef="_GBC_5214b7a188334da286fc3038d017d072" addr="T3R7C11S1_1" formatStyle="Comma">
          <m:complexRule comparator="Eq" title="母公司股东权益合计@上年同期期初数" test=" $_GBC_3dc83c6f98c44475ad93eb623f0ae58c +  $_GBC_97c01fcbbcb3489a8308381e72be62c8 +  $_GBC_b72b3e4adb564e10b21cf12183ac85b7 +  $_GBC_56f77628123a4516a83e9793bde7f31d" id="Ccb9d0f840eca449db0dbbd09cf881813"/>
          <m:axisValue occRef="母公司"/>
        </m:item>
        <m:placeholder xlName="_PLD_9ce2d31f4fd34371930cec7fd79a4318" addr="T3R8C0S1_1"/>
        <m:item xlName="_GBC_36cec33ba91447efb182a6f911901adb" concept="clcid-pte:ShiShouZiBenHuoGuBenJingEZengJianBianDongJinE" label="实收资本（或股本）净额增减变动金额" periodRef="上年同期数" mulRef="_GBC_048773409e614c6bb753000b028316a5" unitRef="_GBC_5214b7a188334da286fc3038d017d072" addr="T3R8C1S1_1" formatStyle="Comma">
          <m:complexRule comparator="Eq" title="母公司实收资本（或股本）净额增减变动金额@上年同期数" test=" $_GBC_82467fa519b342ab86c8a7f44f39d12d +  $_GBC_8cbe3412300f45eb8b23ad01e70e5c5d +  $_GBC_d20d161c26b74ad7978d5a5df63ac72b +  $_GBC_5647fda6a4d648e58b77890cd27b0d73 +  $_GBC_c52bf0c19ee6412a88ed16e4ccdd58e9 +  $_GBC_3c285f62d1fd458d96196ec4a0dd2268" id="C9272c093fdcf45c895d82f8a717bf6dc"/>
          <m:axisValue occRef="母公司"/>
        </m:item>
        <m:item xlName="_GBC_58b09a3e602042bdac8dc874ff691577" concept="clcid-pte:QiTaQuanYiGongJuZhongDeYouXianGuZengJianBianDongJinE" label="其他权益工具中的优先股增减变动金额" periodRef="上年同期数" mulRef="_GBC_048773409e614c6bb753000b028316a5" unitRef="_GBC_5214b7a188334da286fc3038d017d072" addr="T3R8C2S1_1" formatStyle="Comma">
          <m:complexRule comparator="Eq" title="母公司其他权益工具中的优先股增减变动金额@上年同期数" test=" $_GBC_3e68c303ba764392938beeb53b261a55 +  $_GBC_a697aec9c79e42b3bdede08dacc810c0 +  $_GBC_dbb78b77a1fb43fc9743f9647fbe0099 +  $_GBC_98572a5d210c4ef3875a72067bd5d4c1 +  $_GBC_aafadb71fa4649b7bc0423c67af5fbf7 +  $_GBC_772dec252ad7498ba73abd9cba9e2cda" id="C24ea77cb399f4ef08f7ecff5570721cc"/>
          <m:axisValue occRef="母公司"/>
        </m:item>
        <m:item xlName="_GBC_3bb7a843ff114e069d024217dc575989" concept="clcid-pte:QiTaQuanYiGongJuZhongDeYongXuZhaiZengJianBianDongJinE" label="其他权益工具中的永续债增减变动金额" periodRef="上年同期数" mulRef="_GBC_048773409e614c6bb753000b028316a5" unitRef="_GBC_5214b7a188334da286fc3038d017d072" addr="T3R8C3S1_1" formatStyle="Comma">
          <m:complexRule comparator="Eq" title="母公司其他权益工具中的永续债增减变动金额@上年同期数" test=" $_GBC_5e91cc75ddb6408e83816137acb6bb27 +  $_GBC_817d7b5062ba4451880366ab1b1bba4f +  $_GBC_43412ba7a0f346839e1eab15fd44f008 +  $_GBC_450f68f45ee84fa6a0945728fe10e844 +  $_GBC_38525638055440c4aea25d3464d1e1d1 +  $_GBC_c82eafb679454f0cbdb2076cddbc2f9c" id="Ca999fd8a37ee471fa5c1bda63a8dec90"/>
          <m:axisValue occRef="母公司"/>
        </m:item>
        <m:item xlName="_GBC_20204f10729243a5870e4153ec76b379" concept="clcid-pte:QiTaQuanYiGongJuZhongDeQiTaZengJianBianDongJinE" label="其他权益工具中的其他增减变动金额" periodRef="上年同期数" mulRef="_GBC_048773409e614c6bb753000b028316a5" unitRef="_GBC_5214b7a188334da286fc3038d017d072" addr="T3R8C4S1_1" formatStyle="Comma">
          <m:complexRule comparator="Eq" title="母公司其他权益工具中的其他增减变动金额@上年同期数" test=" $_GBC_06a05c766c044b5a9a842c1a7f7db1b0 +  $_GBC_4d10a4b59cf1469eb6e4b0f55b21e126 +  $_GBC_b6e54a5f7ed14e3c88cda23e3184787c +  $_GBC_62b57d65e352446bbdf19b5311174e1c +  $_GBC_c037fba370a14bfa8f56d6d99f94c984 +  $_GBC_d61c39eee25e4f3fa9612a3274abdf60" id="C9ca5060258434856b4789685088b9d8b"/>
          <m:axisValue occRef="母公司"/>
        </m:item>
        <m:item xlName="_GBC_bd0dc3c162cc425798a8258cbaadbe24" concept="clcid-pte:ZiBenGongJiZengJianBianDongJinE" label="资本公积增减变动金额" periodRef="上年同期数" mulRef="_GBC_048773409e614c6bb753000b028316a5" unitRef="_GBC_5214b7a188334da286fc3038d017d072" addr="T3R8C5S1_1" formatStyle="Comma">
          <m:complexRule comparator="Eq" title="母公司资本公积增减变动金额@上年同期数" test=" $_GBC_531ac753268a47f2baa1101df1192e56 +  $_GBC_d83cf016d2194a3b817fbc98a4265ff3 +  $_GBC_cdbc69ae1c9942418689b6af08cd5343 +  $_GBC_70b2b80f35eb4584ab7795855880b29e +  $_GBC_756e5e6e4d094fb4a12ad31f5984e025 +  $_GBC_481f5de20bd049c28a207fba11a8e658" id="Cd5f24afdbbd846798a86a0818cc7e147"/>
          <m:axisValue occRef="母公司"/>
        </m:item>
        <m:item xlName="_GBC_c6d4bb32519a478594bcfef3ceda4b3d" concept="clcid-pte:KuCunGuZengJianBianDongJinE" label="库存股增减变动金额" periodRef="上年同期数" mulRef="_GBC_048773409e614c6bb753000b028316a5" unitRef="_GBC_5214b7a188334da286fc3038d017d072" addr="T3R8C6S1_1" formatStyle="Comma">
          <m:complexRule comparator="Eq" title="母公司库存股增减变动金额@上年同期数" test=" $_GBC_9296353c42334f2ea0ab9f589468311d +  $_GBC_6a11a446e2cd4540907f4b9258feb87e +  $_GBC_3c6bbb3738284b6a917a6ec17270fca4 +  $_GBC_71b87e2bc67741e2b1d2d9d07910c043 +  $_GBC_11d87fe6c0fb438d92d1b164f44c0b19 +  $_GBC_b5e2532c5fe543ac8d95ce36ccf22143" id="C8b17eae03b1e4f5c8c937c76442d5475"/>
          <m:axisValue occRef="母公司"/>
        </m:item>
        <m:item xlName="_GBC_2b7963fe413c4b099dba1e05f4059834" concept="clcid-pte:QiTaZongHeShouYiZengJianBianDongJinE" label="其他综合收益增减变动金额" periodRef="上年同期数" mulRef="_GBC_048773409e614c6bb753000b028316a5" unitRef="_GBC_5214b7a188334da286fc3038d017d072" addr="T3R8C7S1_1" formatStyle="Comma">
          <m:complexRule comparator="Eq" title="母公司其他综合收益增减变动金额@上年同期数" test=" $_GBC_e59f46d4baa741ae80e74710a89f5c26 +  $_GBC_04c64412f62141ffa636f4f2d57eb7f6 +  $_GBC_d7dba48b1c0146b78a6322523685998f +  $_GBC_cbadfc6c2c0d47af8d1269604c1d4ced +  $_GBC_77d0990376fa4c3dba4853bc80e6f32b +  $_GBC_66ed8695d4ae47e1b13e54cbac7750cd" id="C44be46e7f1244b9b9604a1fd5c3f6442"/>
          <m:axisValue occRef="母公司"/>
        </m:item>
        <m:item xlName="_GBC_70d76e6f2aa5405a90a77991ef7fc0b9" concept="clcid-pte:ZhuanXiangChuBeiZengJianBianDongJinE" label="专项储备增减变动金额" periodRef="上年同期数" mulRef="_GBC_048773409e614c6bb753000b028316a5" unitRef="_GBC_5214b7a188334da286fc3038d017d072" addr="T3R8C8S1_1" formatStyle="Comma">
          <m:complexRule comparator="Eq" title="母公司专项储备增减变动金额@上年同期数" test=" $_GBC_e25d0ae2a0654eab8955bd66d514e2d1 +  $_GBC_a3b4cf624fa44477adbd516eeb00a68f +  $_GBC_31aa9a69190c4f209ab76b20cde458b8 +  $_GBC_64933a58fd3a463491f35b3e1f19d96c +  $_GBC_b35e7e3ee1e7405f98172f70fde0a158 +  $_GBC_abee7fadd6d243ffaea451a622ca8e50" id="Ce5e94a733b44432f8ba65a3b8c84fc35"/>
          <m:axisValue occRef="母公司"/>
        </m:item>
        <m:item xlName="_GBC_fd9fe83281aa406d803bd31275d27802" concept="clcid-pte:YingYuGongJiZengJianBianDongJinE" label="盈余公积增减变动金额" periodRef="上年同期数" mulRef="_GBC_048773409e614c6bb753000b028316a5" unitRef="_GBC_5214b7a188334da286fc3038d017d072" addr="T3R8C9S1_1" formatStyle="Comma">
          <m:complexRule comparator="Eq" title="母公司盈余公积增减变动金额@上年同期数" test=" $_GBC_fbb8255e3cc748afa8eb37083244a624 +  $_GBC_7866656632cb4f41803a0d960d1503da +  $_GBC_b5b44f3d2622421aacf913b06a1120fc +  $_GBC_9d6bbcaf8a2e4da5a5cc410f3e5b43e0 +  $_GBC_ce70cc6f414d4ff6935f0d37fc8a6e4b +  $_GBC_e7fe91bead664d42a0e34d8d38894644" id="C24038faea1b74d1b95de7f07084e85a9"/>
          <m:axisValue occRef="母公司"/>
        </m:item>
        <m:item xlName="_GBC_dafcc9b9aeb54231a52703e43a511e04" concept="clcid-pte:WeiFenPeiLiRunZengJianBianDongJinE" label="未分配利润增减变动金额" periodRef="上年同期数" mulRef="_GBC_048773409e614c6bb753000b028316a5" unitRef="_GBC_5214b7a188334da286fc3038d017d072" addr="T3R8C10S1_1" formatStyle="Comma">
          <m:complexRule comparator="Eq" title="母公司未分配利润增减变动金额@上年同期数" test=" $_GBC_808583767376421ab8debb0a7719cc7c +  $_GBC_4ed163c8e7a546c381731861558975c0 +  $_GBC_183a94db427349b9b54d0f0ef81c7bdc +  $_GBC_a7ede5662ff442438cf3799ae0501aaa +  $_GBC_49396ff2dd9c4cdb91081c6bcfb7c444 +  $_GBC_aafaad1fc12040c7a3ce232d35d0dbcf" id="Cf30c8b1956b64e7895fea954959f1814"/>
          <m:axisValue occRef="母公司"/>
        </m:item>
        <m:item xlName="_GBC_5214dbf793d44c1ba8b0e418270c91c0" concept="clcid-pte:GuDongQuanYiHeJiZengJianBianDongJinE" label="股东权益合计增减变动金额" periodRef="上年同期数" mulRef="_GBC_048773409e614c6bb753000b028316a5" unitRef="_GBC_5214b7a188334da286fc3038d017d072" addr="T3R8C11S1_1" formatStyle="Comma">
          <m:complexRule comparator="Eq" title="母公司股东权益合计增减变动金额@上年同期数" test=" $_GBC_981a226e3b5e4e02b42330dbf31f988b +  $_GBC_f0e6f84578534e9cb15503981a3412bb +  $_GBC_e86e0e1724d74c1cab885ebd31eda94b +  $_GBC_b587d819d31441c1bdd2387ee0941830 +  $_GBC_4c59ca81fd0c4a5b8a5dac703c8fbde6 +  $_GBC_6fe2dc27a4bc44a29a0b64474033d343" id="Cdeab2d1dd9bf453bb4cfc2991d4066b0"/>
          <m:axisValue occRef="母公司"/>
        </m:item>
        <m:placeholder xlName="_PLD_8e61c9577cd8495fb0815773685b00bb" addr="T3R9C0S1_1"/>
        <m:item xlName="_GBC_82467fa519b342ab86c8a7f44f39d12d" concept="clcid-pte:ZongHeShouYiZongEDaoZhiGuBenBianDongJinE" label="综合收益总额导致股本变动金额" periodRef="上年同期数" mulRef="_GBC_048773409e614c6bb753000b028316a5" unitRef="_GBC_5214b7a188334da286fc3038d017d072" addr="T3R9C1S1_1" formatStyle="Comma">
          <m:axisValue occRef="母公司"/>
        </m:item>
        <m:item xlName="_GBC_3e68c303ba764392938beeb53b261a55" concept="clcid-pte:ZongHeShouYiZongEDaoZhiYouXianGuBianDongJinE" label="综合收益总额导致优先股变动金额" periodRef="上年同期数" mulRef="_GBC_048773409e614c6bb753000b028316a5" unitRef="_GBC_5214b7a188334da286fc3038d017d072" addr="T3R9C2S1_1" formatStyle="Comma">
          <m:axisValue occRef="母公司"/>
        </m:item>
        <m:item xlName="_GBC_5e91cc75ddb6408e83816137acb6bb27" concept="clcid-pte:ZongHeShouYiZongEDaoZhiYongXuZhaiBianDongJinE" label="综合收益总额导致永续债变动金额" periodRef="上年同期数" mulRef="_GBC_048773409e614c6bb753000b028316a5" unitRef="_GBC_5214b7a188334da286fc3038d017d072" addr="T3R9C3S1_1" formatStyle="Comma">
          <m:axisValue occRef="母公司"/>
        </m:item>
        <m:item xlName="_GBC_06a05c766c044b5a9a842c1a7f7db1b0" concept="clcid-pte:ZongHeShouYiZongEDaoZhiQiTaQuanYiGongJuZhongDeQiTaBianDongJinE" label="综合收益总额导致其他权益工具中的其他变动金额" periodRef="上年同期数" mulRef="_GBC_048773409e614c6bb753000b028316a5" unitRef="_GBC_5214b7a188334da286fc3038d017d072" addr="T3R9C4S1_1" formatStyle="Comma">
          <m:axisValue occRef="母公司"/>
        </m:item>
        <m:item xlName="_GBC_531ac753268a47f2baa1101df1192e56" concept="clcid-pte:ZongHeShouYiZongEDaoZhiZiBenGongJiBianDongJinE" label="综合收益总额导致资本公积变动金额" periodRef="上年同期数" mulRef="_GBC_048773409e614c6bb753000b028316a5" unitRef="_GBC_5214b7a188334da286fc3038d017d072" addr="T3R9C5S1_1" formatStyle="Comma">
          <m:axisValue occRef="母公司"/>
        </m:item>
        <m:item xlName="_GBC_9296353c42334f2ea0ab9f589468311d" concept="clcid-pte:ZongHeShouYiZongEDaoZhiKuCunGuBianDongJinE" label="综合收益总额导致库存股变动金额" periodRef="上年同期数" mulRef="_GBC_048773409e614c6bb753000b028316a5" unitRef="_GBC_5214b7a188334da286fc3038d017d072" addr="T3R9C6S1_1" formatStyle="Comma">
          <m:axisValue occRef="母公司"/>
        </m:item>
        <m:item xlName="_GBC_e59f46d4baa741ae80e74710a89f5c26" concept="clcid-pte:ZongHeShouYiZongEDaoZhiQiTaZongHeShouYiBianDongJinE" label="综合收益总额导致其他综合收益变动金额" periodRef="上年同期数" mulRef="_GBC_048773409e614c6bb753000b028316a5" unitRef="_GBC_5214b7a188334da286fc3038d017d072" addr="T3R9C7S1_1" formatStyle="Comma">
          <m:axisValue occRef="母公司"/>
        </m:item>
        <m:item xlName="_GBC_e25d0ae2a0654eab8955bd66d514e2d1" concept="clcid-pte:ZongHeShouYiZongEDaoZhiZhuanXiangChuBeiBianDongJinE" label="综合收益总额导致专项储备变动金额" periodRef="上年同期数" mulRef="_GBC_048773409e614c6bb753000b028316a5" unitRef="_GBC_5214b7a188334da286fc3038d017d072" addr="T3R9C8S1_1" formatStyle="Comma">
          <m:axisValue occRef="母公司"/>
        </m:item>
        <m:item xlName="_GBC_fbb8255e3cc748afa8eb37083244a624" concept="clcid-pte:ZongHeShouYiZongEDaoZhiYingYuGongJiBianDongJinE" label="综合收益总额导致盈余公积变动金额" periodRef="上年同期数" mulRef="_GBC_048773409e614c6bb753000b028316a5" unitRef="_GBC_5214b7a188334da286fc3038d017d072" addr="T3R9C9S1_1" formatStyle="Comma">
          <m:axisValue occRef="母公司"/>
        </m:item>
        <m:item xlName="_GBC_808583767376421ab8debb0a7719cc7c" concept="clcid-pte:ZongHeShouYiZongEDaoZhiWeiFenPeiLiRunBianDongJinE" label="综合收益总额导致未分配利润变动金额" periodRef="上年同期数" mulRef="_GBC_048773409e614c6bb753000b028316a5" unitRef="_GBC_5214b7a188334da286fc3038d017d072" addr="T3R9C10S1_1" formatStyle="Comma">
          <m:axisValue occRef="母公司"/>
        </m:item>
        <m:item xlName="_GBC_981a226e3b5e4e02b42330dbf31f988b" concept="clcid-pte:ZongHeShouYiZongEDaoZhiGuDongQuanYiHeJiBianDongJinE" label="综合收益总额导致股东权益合计变动金额" periodRef="上年同期数" mulRef="_GBC_048773409e614c6bb753000b028316a5" unitRef="_GBC_5214b7a188334da286fc3038d017d072" addr="T3R9C11S1_1" formatStyle="Comma">
          <m:axisValue occRef="母公司"/>
        </m:item>
        <m:placeholder xlName="_PLD_e11fbdac72bf4f84a5635701204e5724" addr="T3R10C0S1_1"/>
        <m:item xlName="_GBC_8cbe3412300f45eb8b23ad01e70e5c5d" concept="clcid-pte:SuoYouZheTouRuHeJianShaoZiBenDaoZhiShiShouZiBenHuoGuBenJingEBianDongJinE" label="所有者投入和减少资本导致实收资本（或股本）净额变动金额" periodRef="上年同期数" mulRef="_GBC_048773409e614c6bb753000b028316a5" unitRef="_GBC_5214b7a188334da286fc3038d017d072" addr="T3R10C1S1_1" formatStyle="Comma">
          <m:complexRule comparator="Eq" title="母公司所有者投入和减少资本导致实收资本（或股本）净额变动金额@上年同期数" test=" $_GBC_58bb05c0df6d465bb880c64b14578589 +  $_GBC_69d687ddef8540bfad29d2144b412f53 +  $_GBC_b704670d7c89435194910d107697735f +  $_GBC_e282088ea3a941acb4619c405bc7ff0e" id="Cbd3e987c00df4ec3ab8f19db17e39a72"/>
          <m:axisValue occRef="母公司"/>
        </m:item>
        <m:item xlName="_GBC_a697aec9c79e42b3bdede08dacc810c0" concept="clcid-pte:SuoYouZheTouRuHeJianShaoZiBenDaoZhiQiTaQuanYiGongJuZhongDeYouXianGuBianDongJinE" label="所有者投入和减少资本导致其他权益工具中的优先股变动金额" periodRef="上年同期数" mulRef="_GBC_048773409e614c6bb753000b028316a5" unitRef="_GBC_5214b7a188334da286fc3038d017d072" addr="T3R10C2S1_1" formatStyle="Comma">
          <m:complexRule comparator="Eq" title="母公司所有者投入和减少资本导致其他权益工具中的优先股变动金额@上年同期数" test=" $_GBC_5bfea40a79084f61921c9baa07ebc34d +  $_GBC_c66decfb0440449fa71badefdb77e397 +  $_GBC_283c619dbe704a31a4213d5f20ed64d9 +  $_GBC_5fb5b18ef4e84145bf40c734dc970b8a" id="Ca67369f21b3c4bfc9fc4be532c7f9614"/>
          <m:axisValue occRef="母公司"/>
        </m:item>
        <m:item xlName="_GBC_817d7b5062ba4451880366ab1b1bba4f" concept="clcid-pte:SuoYouZheTouRuHeJianShaoZiBenDaoZhiQiTaQuanYiGongJuZhongDeYongXuZhaiBianDongJinE" label="所有者投入和减少资本导致其他权益工具中的永续债变动金额" periodRef="上年同期数" mulRef="_GBC_048773409e614c6bb753000b028316a5" unitRef="_GBC_5214b7a188334da286fc3038d017d072" addr="T3R10C3S1_1" formatStyle="Comma">
          <m:complexRule comparator="Eq" title="母公司所有者投入和减少资本导致其他权益工具中的永续债变动金额@上年同期数" test=" $_GBC_e88f6cce456742bc853670be68aa97a7 +  $_GBC_386ea106e2784cda9c192fdb0251818e +  $_GBC_39b1ee1571d74dab8372e2aa016b797d +  $_GBC_fc897014986f44aa8d7000ab9149b89a" id="Cdf79ec0d8fba4e82a4e7862292f7bc6a"/>
          <m:axisValue occRef="母公司"/>
        </m:item>
        <m:item xlName="_GBC_4d10a4b59cf1469eb6e4b0f55b21e126" concept="clcid-pte:SuoYouZheTouRuHeJianShaoZiBenDaoZhiQiTaQuanYiGongJuZhongDeQiTaBianDongJinE" label="所有者投入和减少资本导致其他权益工具中的其他变动金额" periodRef="上年同期数" mulRef="_GBC_048773409e614c6bb753000b028316a5" unitRef="_GBC_5214b7a188334da286fc3038d017d072" addr="T3R10C4S1_1" formatStyle="Comma">
          <m:complexRule comparator="Eq" title="母公司所有者投入和减少资本导致其他权益工具中的其他变动金额@上年同期数" test=" $_GBC_98d98ff19e6e46c0ad5db4c454c35ca0 +  $_GBC_06ebf02b6ae14754818193812a014559 +  $_GBC_1171e0a836ba484daaf27f834d3826cd +  $_GBC_27f9a7f11dd549d29413a881a3355d9a" id="Cbfd7d9e7e6344f96bf73584899a8776e"/>
          <m:axisValue occRef="母公司"/>
        </m:item>
        <m:item xlName="_GBC_d83cf016d2194a3b817fbc98a4265ff3" concept="clcid-pte:SuoYouZheTouRuHeJianShaoZiBenDaoZhiZiBenGongJiBianDongJinE" label="所有者投入和减少资本导致资本公积变动金额" periodRef="上年同期数" mulRef="_GBC_048773409e614c6bb753000b028316a5" unitRef="_GBC_5214b7a188334da286fc3038d017d072" addr="T3R10C5S1_1" formatStyle="Comma">
          <m:complexRule comparator="Eq" title="母公司所有者投入和减少资本导致资本公积变动金额@上年同期数" test=" $_GBC_7115d9370a41456c8d5e90e33d7eba99 +  $_GBC_553f32b380c946098f3f149c8fa42b8c +  $_GBC_9210e78d25a046328838f6d615649b0f +  $_GBC_9799bd5ef9364ff0b861d16fb09a9f68" id="C4660e31495da49c1981609ac4fd8cfe4"/>
          <m:axisValue occRef="母公司"/>
        </m:item>
        <m:item xlName="_GBC_6a11a446e2cd4540907f4b9258feb87e" concept="clcid-pte:SuoYouZheTouRuHeJianShaoZiBenDaoZhiKuCunGuBianDongJinE" label="所有者投入和减少资本导致库存股变动金额" periodRef="上年同期数" mulRef="_GBC_048773409e614c6bb753000b028316a5" unitRef="_GBC_5214b7a188334da286fc3038d017d072" addr="T3R10C6S1_1" formatStyle="Comma">
          <m:complexRule comparator="Eq" title="母公司所有者投入和减少资本导致库存股变动金额@上年同期数" test=" $_GBC_62bd14047d774267b5169b960fa7b8e4 +  $_GBC_f22d8b62fce54375b0627f91979d8051 +  $_GBC_3220f2c7297c48ebbfe28b9713c111d7 +  $_GBC_90b5f1c2650c4a268f0bfe3393fd8aa8" id="C7bafc3f18cc848b9be3a9a225ea89e10"/>
          <m:axisValue occRef="母公司"/>
        </m:item>
        <m:item xlName="_GBC_04c64412f62141ffa636f4f2d57eb7f6" concept="clcid-pte:SuoYouZheTouRuHeJianShaoZiBenDaoZhiQiTaZongHeShouYiBianDongJinE" label="所有者投入和减少资本导致其他综合收益变动金额" periodRef="上年同期数" mulRef="_GBC_048773409e614c6bb753000b028316a5" unitRef="_GBC_5214b7a188334da286fc3038d017d072" addr="T3R10C7S1_1" formatStyle="Comma">
          <m:complexRule comparator="Eq" title="母公司所有者投入和减少资本导致其他综合收益变动金额@上年同期数" test=" $_GBC_5eaa3941ee024377bd86a4e9ee8fa941 +  $_GBC_71b64f349a614e53aab1c3c806db07b0 +  $_GBC_5755c5e1222943238543206b578d588a +  $_GBC_9a52d31076294f168067b97d572e6f30" id="C2b1f653f843e44f79fd1ed38a33c5981"/>
          <m:axisValue occRef="母公司"/>
        </m:item>
        <m:item xlName="_GBC_a3b4cf624fa44477adbd516eeb00a68f" concept="clcid-pte:SuoYouZheTouRuHeJianShaoZiBenDaoZhiZhuanXiangChuBeiBianDongJinE" label="所有者投入和减少资本导致专项储备变动金额" periodRef="上年同期数" mulRef="_GBC_048773409e614c6bb753000b028316a5" unitRef="_GBC_5214b7a188334da286fc3038d017d072" addr="T3R10C8S1_1" formatStyle="Comma">
          <m:complexRule comparator="Eq" title="母公司所有者投入和减少资本导致专项储备变动金额@上年同期数" test=" $_GBC_96dc59529295405c97611714e56f6c0e +  $_GBC_2e7f46493d944f748f3f0edb42db1fbe +  $_GBC_cf2e85f37e184308906f6edeb591f855 +  $_GBC_1c0a39e8bdc14941bba1c69a8e3c4a9b" id="Cffbd85e03872457884eaec03bc719373"/>
          <m:axisValue occRef="母公司"/>
        </m:item>
        <m:item xlName="_GBC_7866656632cb4f41803a0d960d1503da" concept="clcid-pte:SuoYouZheTouRuHeJianShaoZiBenDaoZhiYingYuGongJiBianDongJinE" label="所有者投入和减少资本导致盈余公积变动金额" periodRef="上年同期数" mulRef="_GBC_048773409e614c6bb753000b028316a5" unitRef="_GBC_5214b7a188334da286fc3038d017d072" addr="T3R10C9S1_1" formatStyle="Comma">
          <m:complexRule comparator="Eq" title="母公司所有者投入和减少资本导致盈余公积变动金额@上年同期数" test=" $_GBC_923f36c9eb8844699be600c3c505bdde +  $_GBC_e783e3ef0a4242eaa4d82db149fe8ed0 +  $_GBC_47f33b9bc2254d64bcd7a55b88a06c4f +  $_GBC_248b17908ab14e8cb9cdcbb639c6be70" id="Cefff3894ff59428cb02378a6821f6ed9"/>
          <m:axisValue occRef="母公司"/>
        </m:item>
        <m:item xlName="_GBC_4ed163c8e7a546c381731861558975c0" concept="clcid-pte:SuoYouZheTouRuHeJianShaoZiBenDaoZhiWeiFenPeiLiRunBianDongJinE" label="所有者投入和减少资本导致未分配利润变动金额" periodRef="上年同期数" mulRef="_GBC_048773409e614c6bb753000b028316a5" unitRef="_GBC_5214b7a188334da286fc3038d017d072" addr="T3R10C10S1_1" formatStyle="Comma">
          <m:complexRule comparator="Eq" title="母公司所有者投入和减少资本导致未分配利润变动金额@上年同期数" test=" $_GBC_e8c638b42c734358a1d6e013e5e9190a +  $_GBC_94768ec03ab94d558d3f3ef56806130d +  $_GBC_039c26dfb1124b4d9cb4b077fa2e0dae +  $_GBC_12941ce9735d420f839e27610f49c0b1" id="C2c00dd7f15cd45eb954c0c440bedbc65"/>
          <m:axisValue occRef="母公司"/>
        </m:item>
        <m:item xlName="_GBC_f0e6f84578534e9cb15503981a3412bb" concept="clcid-pte:SuoYouZheTouRuHeJianShaoZiBenDaoZhiGuDongQuanYiHeJiBianDongJinE" label="所有者投入和减少资本导致股东权益合计变动金额" periodRef="上年同期数" mulRef="_GBC_048773409e614c6bb753000b028316a5" unitRef="_GBC_5214b7a188334da286fc3038d017d072" addr="T3R10C11S1_1" formatStyle="Comma">
          <m:complexRule comparator="Eq" title="母公司所有者投入和减少资本导致股东权益合计变动金额@上年同期数" test=" $_GBC_332fd49b6d1a40c0acfb97e534236af9 +  $_GBC_52a206eae5df4d9f92eb24cfd4153065 +  $_GBC_9bad6c18a5b645d8ba04b74843bbf3a7 +  $_GBC_d2791a0a471b42cab5ad06d9303d15c3" id="C6b2a6376b3524981a8daf39d7903f992"/>
          <m:axisValue occRef="母公司"/>
        </m:item>
        <m:placeholder xlName="_PLD_7b195f652f0542a9b8fb6e62990feb42" addr="T3R11C0S1_1"/>
        <m:item xlName="_GBC_58bb05c0df6d465bb880c64b14578589" concept="clcid-pte:GuDongTouRuDePuTongGuDaoZhiGuBenBianDongJinE" label="股东投入的普通股导致股本变动金额" periodRef="上年同期数" mulRef="_GBC_048773409e614c6bb753000b028316a5" unitRef="_GBC_5214b7a188334da286fc3038d017d072" addr="T3R11C1S1_1" formatStyle="Comma">
          <m:axisValue occRef="母公司"/>
        </m:item>
        <m:item xlName="_GBC_5bfea40a79084f61921c9baa07ebc34d" concept="clcid-pte:GuDongTouRuDePuTongGuDaoZhiYouXianGuBianDongJinE" label="股东投入的普通股导致优先股变动金额" periodRef="上年同期数" mulRef="_GBC_048773409e614c6bb753000b028316a5" unitRef="_GBC_5214b7a188334da286fc3038d017d072" addr="T3R11C2S1_1" formatStyle="Comma">
          <m:axisValue occRef="母公司"/>
        </m:item>
        <m:item xlName="_GBC_e88f6cce456742bc853670be68aa97a7" concept="clcid-pte:GuDongTouRuDePuTongGuDaoZhiYongXuZhaiBianDongJinE" label="股东投入的普通股导致永续债变动金额" periodRef="上年同期数" mulRef="_GBC_048773409e614c6bb753000b028316a5" unitRef="_GBC_5214b7a188334da286fc3038d017d072" addr="T3R11C3S1_1" formatStyle="Comma">
          <m:axisValue occRef="母公司"/>
        </m:item>
        <m:item xlName="_GBC_98d98ff19e6e46c0ad5db4c454c35ca0" concept="clcid-pte:GuDongTouRuDePuTongGuDaoZhiQiTaQuanYiGongJuZhongDeQiTaBianDongJinE" label="股东投入的普通股导致其他权益工具中的其他变动金额" periodRef="上年同期数" mulRef="_GBC_048773409e614c6bb753000b028316a5" unitRef="_GBC_5214b7a188334da286fc3038d017d072" addr="T3R11C4S1_1" formatStyle="Comma">
          <m:axisValue occRef="母公司"/>
        </m:item>
        <m:item xlName="_GBC_7115d9370a41456c8d5e90e33d7eba99" concept="clcid-pte:GuDongTouRuDePuTongGuDaoZhiZiBenGongJiBianDongJinE" label="股东投入的普通股导致资本公积变动金额" periodRef="上年同期数" mulRef="_GBC_048773409e614c6bb753000b028316a5" unitRef="_GBC_5214b7a188334da286fc3038d017d072" addr="T3R11C5S1_1" formatStyle="Comma">
          <m:axisValue occRef="母公司"/>
        </m:item>
        <m:item xlName="_GBC_62bd14047d774267b5169b960fa7b8e4" concept="clcid-pte:GuDongTouRuDePuTongGuDaoZhiKuCunGuBianDongJinE" label="股东投入的普通股导致库存股变动金额" periodRef="上年同期数" mulRef="_GBC_048773409e614c6bb753000b028316a5" unitRef="_GBC_5214b7a188334da286fc3038d017d072" addr="T3R11C6S1_1" formatStyle="Comma">
          <m:axisValue occRef="母公司"/>
        </m:item>
        <m:item xlName="_GBC_5eaa3941ee024377bd86a4e9ee8fa941" concept="clcid-pte:GuDongTouRuDePuTongGuDaoZhiQiTaZongHeShouYiBianDongJinE" label="股东投入的普通股导致其他综合收益变动金额" periodRef="上年同期数" mulRef="_GBC_048773409e614c6bb753000b028316a5" unitRef="_GBC_5214b7a188334da286fc3038d017d072" addr="T3R11C7S1_1" formatStyle="Comma">
          <m:axisValue occRef="母公司"/>
        </m:item>
        <m:item xlName="_GBC_96dc59529295405c97611714e56f6c0e" concept="clcid-pte:GuDongTouRuDePuTongGuDaoZhiZhuanXiangChuBeiBianDongJinE" label="股东投入的普通股导致专项储备变动金额" periodRef="上年同期数" mulRef="_GBC_048773409e614c6bb753000b028316a5" unitRef="_GBC_5214b7a188334da286fc3038d017d072" addr="T3R11C8S1_1" formatStyle="Comma">
          <m:axisValue occRef="母公司"/>
        </m:item>
        <m:item xlName="_GBC_923f36c9eb8844699be600c3c505bdde" concept="clcid-pte:GuDongTouRuDePuTongGuDaoZhiYingYuGongJiBianDongJinE" label="股东投入的普通股导致盈余公积变动金额" periodRef="上年同期数" mulRef="_GBC_048773409e614c6bb753000b028316a5" unitRef="_GBC_5214b7a188334da286fc3038d017d072" addr="T3R11C9S1_1" formatStyle="Comma">
          <m:axisValue occRef="母公司"/>
        </m:item>
        <m:item xlName="_GBC_e8c638b42c734358a1d6e013e5e9190a" concept="clcid-pte:GuDongTouRuDePuTongGuDaoZhiWeiFenPeiLiRunBianDongJinE" label="股东投入的普通股导致未分配利润变动金额" periodRef="上年同期数" mulRef="_GBC_048773409e614c6bb753000b028316a5" unitRef="_GBC_5214b7a188334da286fc3038d017d072" addr="T3R11C10S1_1" formatStyle="Comma">
          <m:axisValue occRef="母公司"/>
        </m:item>
        <m:item xlName="_GBC_332fd49b6d1a40c0acfb97e534236af9" concept="clcid-pte:GuDongTouRuDePuTongGuDaoZhiGuDongQuanYiHeJiBianDongJinE" label="股东投入的普通股导致股东权益合计变动金额" periodRef="上年同期数" mulRef="_GBC_048773409e614c6bb753000b028316a5" unitRef="_GBC_5214b7a188334da286fc3038d017d072" addr="T3R11C11S1_1" formatStyle="Comma">
          <m:axisValue occRef="母公司"/>
        </m:item>
        <m:placeholder xlName="_PLD_4873337789fc42b5ae8485de96f3dad3" addr="T3R12C0S1_1"/>
        <m:item xlName="_GBC_69d687ddef8540bfad29d2144b412f53" concept="clcid-pte:QiTaQuanYiGongJuChiYouZheTouRuZiBenDaoZhiGuBenBianDongJinE" label="其他权益工具持有者投入资本导致股本变动金额" periodRef="上年同期数" mulRef="_GBC_048773409e614c6bb753000b028316a5" unitRef="_GBC_5214b7a188334da286fc3038d017d072" addr="T3R12C1S1_1" formatStyle="Comma">
          <m:axisValue occRef="母公司"/>
        </m:item>
        <m:item xlName="_GBC_c66decfb0440449fa71badefdb77e397" concept="clcid-pte:QiTaQuanYiGongJuChiYouZheTouRuZiBenDaoZhiYouXianGuBianDongJinE" label="其他权益工具持有者投入资本导致优先股变动金额" periodRef="上年同期数" mulRef="_GBC_048773409e614c6bb753000b028316a5" unitRef="_GBC_5214b7a188334da286fc3038d017d072" addr="T3R12C2S1_1" formatStyle="Comma">
          <m:axisValue occRef="母公司"/>
        </m:item>
        <m:item xlName="_GBC_386ea106e2784cda9c192fdb0251818e" concept="clcid-pte:QiTaQuanYiGongJuChiYouZheTouRuZiBenDaoZhiYongXuZhaiBianDongJinE" label="其他权益工具持有者投入资本导致永续债变动金额" periodRef="上年同期数" mulRef="_GBC_048773409e614c6bb753000b028316a5" unitRef="_GBC_5214b7a188334da286fc3038d017d072" addr="T3R12C3S1_1" formatStyle="Comma">
          <m:axisValue occRef="母公司"/>
        </m:item>
        <m:item xlName="_GBC_06ebf02b6ae14754818193812a014559" concept="clcid-pte:QiTaQuanYiGongJuChiYouZheTouRuZiBenDaoZhiQiTaQuanYiGongJuZhongDeQiTaBianDongJinE" label="其他权益工具持有者投入资本导致其他权益工具中的其他变动金额" periodRef="上年同期数" mulRef="_GBC_048773409e614c6bb753000b028316a5" unitRef="_GBC_5214b7a188334da286fc3038d017d072" addr="T3R12C4S1_1" formatStyle="Comma">
          <m:axisValue occRef="母公司"/>
        </m:item>
        <m:item xlName="_GBC_553f32b380c946098f3f149c8fa42b8c" concept="clcid-pte:QiTaQuanYiGongJuChiYouZheTouRuZiBenDaoZhiZiBenGongJiBianDongJinE" label="其他权益工具持有者投入资本导致资本公积变动金额" periodRef="上年同期数" mulRef="_GBC_048773409e614c6bb753000b028316a5" unitRef="_GBC_5214b7a188334da286fc3038d017d072" addr="T3R12C5S1_1" formatStyle="Comma">
          <m:axisValue occRef="母公司"/>
        </m:item>
        <m:item xlName="_GBC_f22d8b62fce54375b0627f91979d8051" concept="clcid-pte:QiTaQuanYiGongJuChiYouZheTouRuZiBenDaoZhiKuCunGuBianDongJinE" label="其他权益工具持有者投入资本导致库存股变动金额" periodRef="上年同期数" mulRef="_GBC_048773409e614c6bb753000b028316a5" unitRef="_GBC_5214b7a188334da286fc3038d017d072" addr="T3R12C6S1_1" formatStyle="Comma">
          <m:axisValue occRef="母公司"/>
        </m:item>
        <m:item xlName="_GBC_71b64f349a614e53aab1c3c806db07b0" concept="clcid-pte:QiTaQuanYiGongJuChiYouZheTouRuZiBenDaoZhiQiTaZongHeShouYiBianDongJinE" label="其他权益工具持有者投入资本导致其他综合收益变动金额" periodRef="上年同期数" mulRef="_GBC_048773409e614c6bb753000b028316a5" unitRef="_GBC_5214b7a188334da286fc3038d017d072" addr="T3R12C7S1_1" formatStyle="Comma">
          <m:axisValue occRef="母公司"/>
        </m:item>
        <m:item xlName="_GBC_2e7f46493d944f748f3f0edb42db1fbe" concept="clcid-pte:QiTaQuanYiGongJuChiYouZheTouRuZiBenDaoZhiZhuanXiangChuBeiBianDongJinE" label="其他权益工具持有者投入资本导致专项储备变动金额" periodRef="上年同期数" mulRef="_GBC_048773409e614c6bb753000b028316a5" unitRef="_GBC_5214b7a188334da286fc3038d017d072" addr="T3R12C8S1_1" formatStyle="Comma">
          <m:axisValue occRef="母公司"/>
        </m:item>
        <m:item xlName="_GBC_e783e3ef0a4242eaa4d82db149fe8ed0" concept="clcid-pte:QiTaQuanYiGongJuChiYouZheTouRuZiBenDaoZhiYingYuGongJiBianDongJinE" label="其他权益工具持有者投入资本导致盈余公积变动金额" periodRef="上年同期数" mulRef="_GBC_048773409e614c6bb753000b028316a5" unitRef="_GBC_5214b7a188334da286fc3038d017d072" addr="T3R12C9S1_1" formatStyle="Comma">
          <m:axisValue occRef="母公司"/>
        </m:item>
        <m:item xlName="_GBC_94768ec03ab94d558d3f3ef56806130d" concept="clcid-pte:QiTaQuanYiGongJuChiYouZheTouRuZiBenDaoZhiWeiFenPeiLiRunBianDongJinE" label="其他权益工具持有者投入资本导致未分配利润变动金额" periodRef="上年同期数" mulRef="_GBC_048773409e614c6bb753000b028316a5" unitRef="_GBC_5214b7a188334da286fc3038d017d072" addr="T3R12C10S1_1" formatStyle="Comma">
          <m:axisValue occRef="母公司"/>
        </m:item>
        <m:item xlName="_GBC_52a206eae5df4d9f92eb24cfd4153065" concept="clcid-pte:QiTaQuanYiGongJuChiYouZheTouRuZiBenDaoZhiGuDongQuanYiHeJiBianDongJinE" label="其他权益工具持有者投入资本导致股东权益合计变动金额" periodRef="上年同期数" mulRef="_GBC_048773409e614c6bb753000b028316a5" unitRef="_GBC_5214b7a188334da286fc3038d017d072" addr="T3R12C11S1_1" formatStyle="Comma">
          <m:axisValue occRef="母公司"/>
        </m:item>
        <m:placeholder xlName="_PLD_83c73c5580c0412189f697f05780f9af" addr="T3R13C0S1_1"/>
        <m:item xlName="_GBC_b704670d7c89435194910d107697735f" concept="clcid-pte:GuFenZhiFuJiRuSuoYouZheQuanYiDeJinEDaoZhiShiShouZiBenHuoGuBenJingEBianDongJinE" label="股份支付计入所有者权益的金额导致实收资本（或股本）净额变动金额" periodRef="上年同期数" mulRef="_GBC_048773409e614c6bb753000b028316a5" unitRef="_GBC_5214b7a188334da286fc3038d017d072" addr="T3R13C1S1_1" formatStyle="Comma">
          <m:axisValue occRef="母公司"/>
        </m:item>
        <m:item xlName="_GBC_283c619dbe704a31a4213d5f20ed64d9" concept="clcid-pte:GuFenZhiFuJiRuSuoYouZheQuanYiDeJinEDaoZhiQiTaQuanYiGongJuZhongDeYouXianGuBianDongJinE" label="股份支付计入所有者权益的金额导致其他权益工具中的优先股变动金额" periodRef="上年同期数" mulRef="_GBC_048773409e614c6bb753000b028316a5" unitRef="_GBC_5214b7a188334da286fc3038d017d072" addr="T3R13C2S1_1" formatStyle="Comma">
          <m:axisValue occRef="母公司"/>
        </m:item>
        <m:item xlName="_GBC_39b1ee1571d74dab8372e2aa016b797d" concept="clcid-pte:GuFenZhiFuJiRuSuoYouZheQuanYiDeJinEDaoZhiQiTaQuanYiGongJuZhongDeYongXuZhaiBianDongJinE" label="股份支付计入所有者权益的金额导致其他权益工具中的永续债变动金额" periodRef="上年同期数" mulRef="_GBC_048773409e614c6bb753000b028316a5" unitRef="_GBC_5214b7a188334da286fc3038d017d072" addr="T3R13C3S1_1" formatStyle="Comma">
          <m:axisValue occRef="母公司"/>
        </m:item>
        <m:item xlName="_GBC_1171e0a836ba484daaf27f834d3826cd" concept="clcid-pte:GuFenZhiFuJiRuSuoYouZheQuanYiDeJinEDaoZhiQiTaQuanYiGongJuZhongDeQiTaBianDongJinE" label="股份支付计入所有者权益的金额导致其他权益工具中的其他变动金额" periodRef="上年同期数" mulRef="_GBC_048773409e614c6bb753000b028316a5" unitRef="_GBC_5214b7a188334da286fc3038d017d072" addr="T3R13C4S1_1" formatStyle="Comma">
          <m:axisValue occRef="母公司"/>
        </m:item>
        <m:item xlName="_GBC_9210e78d25a046328838f6d615649b0f" concept="clcid-pte:GuFenZhiFuJiRuSuoYouZheQuanYiDeJinEDaoZhiZiBenGongJiBianDongJinE" label="股份支付计入所有者权益的金额导致资本公积变动金额" periodRef="上年同期数" mulRef="_GBC_048773409e614c6bb753000b028316a5" unitRef="_GBC_5214b7a188334da286fc3038d017d072" addr="T3R13C5S1_1" formatStyle="Comma">
          <m:axisValue occRef="母公司"/>
        </m:item>
        <m:item xlName="_GBC_3220f2c7297c48ebbfe28b9713c111d7" concept="clcid-pte:GuFenZhiFuJiRuSuoYouZheQuanYiDeJinEDaoZhiKuCunGuBianDongJinE" label="股份支付计入所有者权益的金额导致库存股变动金额" periodRef="上年同期数" mulRef="_GBC_048773409e614c6bb753000b028316a5" unitRef="_GBC_5214b7a188334da286fc3038d017d072" addr="T3R13C6S1_1" formatStyle="Comma">
          <m:axisValue occRef="母公司"/>
        </m:item>
        <m:item xlName="_GBC_5755c5e1222943238543206b578d588a" concept="clcid-pte:GuFenZhiFuJiRuSuoYouZheQuanYiDeJinEDaoZhiQiTaZongHeShouYiBianDongJinE" label="股份支付计入所有者权益的金额导致其他综合收益变动金额" periodRef="上年同期数" mulRef="_GBC_048773409e614c6bb753000b028316a5" unitRef="_GBC_5214b7a188334da286fc3038d017d072" addr="T3R13C7S1_1" formatStyle="Comma">
          <m:axisValue occRef="母公司"/>
        </m:item>
        <m:item xlName="_GBC_cf2e85f37e184308906f6edeb591f855" concept="clcid-pte:GuFenZhiFuJiRuSuoYouZheQuanYiDeJinEDaoZhiZhuanXiangChuBeiBianDongJinE" label="股份支付计入所有者权益的金额导致专项储备变动金额" periodRef="上年同期数" mulRef="_GBC_048773409e614c6bb753000b028316a5" unitRef="_GBC_5214b7a188334da286fc3038d017d072" addr="T3R13C8S1_1" formatStyle="Comma">
          <m:axisValue occRef="母公司"/>
        </m:item>
        <m:item xlName="_GBC_47f33b9bc2254d64bcd7a55b88a06c4f" concept="clcid-pte:GuFenZhiFuJiRuSuoYouZheQuanYiDeJinEDaoZhiYingYuGongJiBianDongJinE" label="股份支付计入所有者权益的金额导致盈余公积变动金额" periodRef="上年同期数" mulRef="_GBC_048773409e614c6bb753000b028316a5" unitRef="_GBC_5214b7a188334da286fc3038d017d072" addr="T3R13C9S1_1" formatStyle="Comma">
          <m:axisValue occRef="母公司"/>
        </m:item>
        <m:item xlName="_GBC_039c26dfb1124b4d9cb4b077fa2e0dae" concept="clcid-pte:GuFenZhiFuJiRuSuoYouZheQuanYiDeJinEDaoZhiWeiFenPeiLiRunBianDongJinE" label="股份支付计入所有者权益的金额导致未分配利润变动金额" periodRef="上年同期数" mulRef="_GBC_048773409e614c6bb753000b028316a5" unitRef="_GBC_5214b7a188334da286fc3038d017d072" addr="T3R13C10S1_1" formatStyle="Comma">
          <m:axisValue occRef="母公司"/>
        </m:item>
        <m:item xlName="_GBC_9bad6c18a5b645d8ba04b74843bbf3a7" concept="clcid-pte:GuFenZhiFuJiRuSuoYouZheQuanYiDeJinEDaoZhiGuDongQuanYiHeJiBianDongJinE" label="股份支付计入所有者权益的金额导致股东权益合计变动金额" periodRef="上年同期数" mulRef="_GBC_048773409e614c6bb753000b028316a5" unitRef="_GBC_5214b7a188334da286fc3038d017d072" addr="T3R13C11S1_1" formatStyle="Comma">
          <m:axisValue occRef="母公司"/>
        </m:item>
        <m:placeholder xlName="_PLD_b328cbc349734354ae3aacf675414174" addr="T3R14C0S1_1"/>
        <m:item xlName="_GBC_e282088ea3a941acb4619c405bc7ff0e" concept="clcid-pte:QiTaSuoYouZheTouRuHeJianShaoZiBenDaoZhiShiShouZiBenHuoGuBenJingEBianDongJinE" label="其他所有者投入和减少资本导致实收资本（或股本）净额变动金额" periodRef="上年同期数" mulRef="_GBC_048773409e614c6bb753000b028316a5" unitRef="_GBC_5214b7a188334da286fc3038d017d072" addr="T3R14C1S1_1" formatStyle="Comma">
          <m:axisValue occRef="母公司"/>
        </m:item>
        <m:item xlName="_GBC_5fb5b18ef4e84145bf40c734dc970b8a" concept="clcid-pte:QiTaSuoYouZheTouRuHeJianShaoZiBenDaoZhiQiTaQuanYiGongJuZhongDeYouXianGuBianDongJinE" label="其他所有者投入和减少资本导致其他权益工具中的优先股变动金额" periodRef="上年同期数" mulRef="_GBC_048773409e614c6bb753000b028316a5" unitRef="_GBC_5214b7a188334da286fc3038d017d072" addr="T3R14C2S1_1" formatStyle="Comma">
          <m:axisValue occRef="母公司"/>
        </m:item>
        <m:item xlName="_GBC_fc897014986f44aa8d7000ab9149b89a" concept="clcid-pte:QiTaSuoYouZheTouRuHeJianShaoZiBenDaoZhiQiTaQuanYiGongJuZhongDeYongXuZhaiBianDongJinE" label="其他所有者投入和减少资本导致其他权益工具中的永续债变动金额" periodRef="上年同期数" mulRef="_GBC_048773409e614c6bb753000b028316a5" unitRef="_GBC_5214b7a188334da286fc3038d017d072" addr="T3R14C3S1_1" formatStyle="Comma">
          <m:axisValue occRef="母公司"/>
        </m:item>
        <m:item xlName="_GBC_27f9a7f11dd549d29413a881a3355d9a" concept="clcid-pte:QiTaSuoYouZheTouRuHeJianShaoZiBenDaoZhiQiTaQuanYiGongJuZhongDeQiTaBianDongJinE" label="其他所有者投入和减少资本导致其他权益工具中的其他变动金额" periodRef="上年同期数" mulRef="_GBC_048773409e614c6bb753000b028316a5" unitRef="_GBC_5214b7a188334da286fc3038d017d072" addr="T3R14C4S1_1" formatStyle="Comma">
          <m:axisValue occRef="母公司"/>
        </m:item>
        <m:item xlName="_GBC_9799bd5ef9364ff0b861d16fb09a9f68" concept="clcid-pte:QiTaSuoYouZheTouRuHeJianShaoZiBenDaoZhiZiBenGongJiBianDongJinE" label="其他所有者投入和减少资本导致资本公积变动金额" periodRef="上年同期数" mulRef="_GBC_048773409e614c6bb753000b028316a5" unitRef="_GBC_5214b7a188334da286fc3038d017d072" addr="T3R14C5S1_1" formatStyle="Comma">
          <m:axisValue occRef="母公司"/>
        </m:item>
        <m:item xlName="_GBC_90b5f1c2650c4a268f0bfe3393fd8aa8" concept="clcid-pte:QiTaSuoYouZheTouRuHeJianShaoZiBenDaoZhiKuCunGuBianDongJinE" label="其他所有者投入和减少资本导致库存股变动金额" periodRef="上年同期数" mulRef="_GBC_048773409e614c6bb753000b028316a5" unitRef="_GBC_5214b7a188334da286fc3038d017d072" addr="T3R14C6S1_1" formatStyle="Comma">
          <m:axisValue occRef="母公司"/>
        </m:item>
        <m:item xlName="_GBC_9a52d31076294f168067b97d572e6f30" concept="clcid-pte:QiTaSuoYouZheTouRuHeJianShaoZiBenDaoZhiQiTaZongHeShouYiBianDongJinE" label="其他所有者投入和减少资本导致其他综合收益变动金额" periodRef="上年同期数" mulRef="_GBC_048773409e614c6bb753000b028316a5" unitRef="_GBC_5214b7a188334da286fc3038d017d072" addr="T3R14C7S1_1" formatStyle="Comma">
          <m:axisValue occRef="母公司"/>
        </m:item>
        <m:item xlName="_GBC_1c0a39e8bdc14941bba1c69a8e3c4a9b" concept="clcid-pte:QiTaSuoYouZheTouRuHeJianShaoZiBenDaoZhiZhuanXiangChuBeiBianDongJinE" label="其他所有者投入和减少资本导致专项储备变动金额" periodRef="上年同期数" mulRef="_GBC_048773409e614c6bb753000b028316a5" unitRef="_GBC_5214b7a188334da286fc3038d017d072" addr="T3R14C8S1_1" formatStyle="Comma">
          <m:axisValue occRef="母公司"/>
        </m:item>
        <m:item xlName="_GBC_248b17908ab14e8cb9cdcbb639c6be70" concept="clcid-pte:QiTaSuoYouZheTouRuHeJianShaoZiBenDaoZhiYingYuGongJiBianDongJinE" label="其他所有者投入和减少资本导致盈余公积变动金额" periodRef="上年同期数" mulRef="_GBC_048773409e614c6bb753000b028316a5" unitRef="_GBC_5214b7a188334da286fc3038d017d072" addr="T3R14C9S1_1" formatStyle="Comma">
          <m:axisValue occRef="母公司"/>
        </m:item>
        <m:item xlName="_GBC_12941ce9735d420f839e27610f49c0b1" concept="clcid-pte:QiTaSuoYouZheTouRuHeJianShaoZiBenDaoZhiWeiFenPeiLiRunBianDongJinE" label="其他所有者投入和减少资本导致未分配利润变动金额" periodRef="上年同期数" mulRef="_GBC_048773409e614c6bb753000b028316a5" unitRef="_GBC_5214b7a188334da286fc3038d017d072" addr="T3R14C10S1_1" formatStyle="Comma">
          <m:axisValue occRef="母公司"/>
        </m:item>
        <m:item xlName="_GBC_d2791a0a471b42cab5ad06d9303d15c3" concept="clcid-pte:QiTaSuoYouZheTouRuHeJianShaoZiBenDaoZhiGuDongQuanYiHeJiBianDongJinE" label="其他所有者投入和减少资本导致股东权益合计变动金额" periodRef="上年同期数" mulRef="_GBC_048773409e614c6bb753000b028316a5" unitRef="_GBC_5214b7a188334da286fc3038d017d072" addr="T3R14C11S1_1" formatStyle="Comma">
          <m:axisValue occRef="母公司"/>
        </m:item>
        <m:placeholder xlName="_PLD_9773183e97be44a1a360188937e7fe10" addr="T3R15C0S1_1"/>
        <m:item xlName="_GBC_d20d161c26b74ad7978d5a5df63ac72b" concept="clcid-pte:LiRunFenPeiDaoZhiShiShouZiBenHuoGuBenJingEBianDongJinE" label="利润分配导致实收资本（或股本）净额变动金额" periodRef="上年同期数" mulRef="_GBC_048773409e614c6bb753000b028316a5" unitRef="_GBC_5214b7a188334da286fc3038d017d072" addr="T3R15C1S1_1" formatStyle="Comma">
          <m:complexRule comparator="Eq" title="母公司利润分配导致实收资本（或股本）净额变动金额@上年同期数" test=" $_GBC_e05bfd0f90c54b4e9125113cfd71447f +  $_GBC_48c3818ca7254c25a0acafecc6a0a771 +  $_GBC_2a3bc25e220343a1979739f7a4deba00" id="Cfa2a444b86464c11ade339bfe538a3ce"/>
          <m:axisValue occRef="母公司"/>
        </m:item>
        <m:item xlName="_GBC_dbb78b77a1fb43fc9743f9647fbe0099" concept="clcid-pte:LiRunFenPeiDaoZhiQiTaQuanYiGongJuZhongDeYouXianGuBianDongJinE" label="利润分配导致其他权益工具中的优先股变动金额" periodRef="上年同期数" mulRef="_GBC_048773409e614c6bb753000b028316a5" unitRef="_GBC_5214b7a188334da286fc3038d017d072" addr="T3R15C2S1_1" formatStyle="Comma">
          <m:complexRule comparator="Eq" title="母公司利润分配导致其他权益工具中的优先股变动金额@上年同期数" test=" $_GBC_2542796b4bce4a00bf35c3208f61535e +  $_GBC_b53ac52b198b499dae271e0b7ba05241 +  $_GBC_40876b8d138a4f2d800d97a22227e8a3" id="C26f0fb8174f94c1695d01b8462b70355"/>
          <m:axisValue occRef="母公司"/>
        </m:item>
        <m:item xlName="_GBC_43412ba7a0f346839e1eab15fd44f008" concept="clcid-pte:LiRunFenPeiDaoZhiQiTaQuanYiGongJuZhongDeYongXuZhaiBianDongJinE" label="利润分配导致其他权益工具中的永续债变动金额" periodRef="上年同期数" mulRef="_GBC_048773409e614c6bb753000b028316a5" unitRef="_GBC_5214b7a188334da286fc3038d017d072" addr="T3R15C3S1_1" formatStyle="Comma">
          <m:complexRule comparator="Eq" title="母公司利润分配导致其他权益工具中的永续债变动金额@上年同期数" test=" $_GBC_6dc00a65e68b457b87f25cc981eee0d5 +  $_GBC_4b04efc53f4443d4ac387d60a4efff4e +  $_GBC_8cdbe9633da1446190f1c54e28b01818" id="C9e2b8de4c6da42feb99e9dc286f61b8d"/>
          <m:axisValue occRef="母公司"/>
        </m:item>
        <m:item xlName="_GBC_b6e54a5f7ed14e3c88cda23e3184787c" concept="clcid-pte:LiRunFenPeiDaoZhiQiTaQuanYiGongJuZhongDeQiTaBianDongJinE" label="利润分配导致其他权益工具中的其他变动金额" periodRef="上年同期数" mulRef="_GBC_048773409e614c6bb753000b028316a5" unitRef="_GBC_5214b7a188334da286fc3038d017d072" addr="T3R15C4S1_1" formatStyle="Comma">
          <m:complexRule comparator="Eq" title="母公司利润分配导致其他权益工具中的其他变动金额@上年同期数" test=" $_GBC_bd7111ba1813479d88db0fedd0e93dee +  $_GBC_9611ccce87624efcb3b4a6c2bcc64958 +  $_GBC_334000809d3b4f0c929262b00b760ded" id="C00ef223a819e44b8afeb39cfed23e795"/>
          <m:axisValue occRef="母公司"/>
        </m:item>
        <m:item xlName="_GBC_cdbc69ae1c9942418689b6af08cd5343" concept="clcid-pte:LiRunFenPeiDaoZhiZiBenGongJiBianDongJinE" label="利润分配导致资本公积变动金额" periodRef="上年同期数" mulRef="_GBC_048773409e614c6bb753000b028316a5" unitRef="_GBC_5214b7a188334da286fc3038d017d072" addr="T3R15C5S1_1" formatStyle="Comma">
          <m:complexRule comparator="Eq" title="母公司利润分配导致资本公积变动金额@上年同期数" test=" $_GBC_2a8692122e30462aad0e96d3120b3248 +  $_GBC_566d5553fedc4e19bc20d76a4fb0c837 +  $_GBC_46a794d7c39543109d62421d8e967179" id="C521b4a8df39e47ffafa116dd9a9e0910"/>
          <m:axisValue occRef="母公司"/>
        </m:item>
        <m:item xlName="_GBC_3c6bbb3738284b6a917a6ec17270fca4" concept="clcid-pte:LiRunFenPeiDaoZhiKuCunGuBianDongJinE" label="利润分配导致库存股变动金额" periodRef="上年同期数" mulRef="_GBC_048773409e614c6bb753000b028316a5" unitRef="_GBC_5214b7a188334da286fc3038d017d072" addr="T3R15C6S1_1" formatStyle="Comma">
          <m:complexRule comparator="Eq" title="母公司利润分配导致库存股变动金额@上年同期数" test=" $_GBC_7131170d0bf34860819f92e9370293ac +  $_GBC_5896274feeda4be3ba195ab3d23fd126 +  $_GBC_50aa74685d6e490e981de9349999678a" id="Cdce616afb1904b208bb2810d858b94bd"/>
          <m:axisValue occRef="母公司"/>
        </m:item>
        <m:item xlName="_GBC_d7dba48b1c0146b78a6322523685998f" concept="clcid-pte:LiRunFenPeiDaoZhiQiTaZongHeShouYiBianDongJinE" label="利润分配导致其他综合收益变动金额" periodRef="上年同期数" mulRef="_GBC_048773409e614c6bb753000b028316a5" unitRef="_GBC_5214b7a188334da286fc3038d017d072" addr="T3R15C7S1_1" formatStyle="Comma">
          <m:complexRule comparator="Eq" title="母公司利润分配导致其他综合收益变动金额@上年同期数" test=" $_GBC_c0d02f5e530640aeb5ce5e86087332f1 +  $_GBC_4b536d67335f4ee4963e5e4dd93843ef +  $_GBC_5d9b86a3e7634b67870d4c447fa117c9" id="C9ee50422df844d778004d364aa8d9ad0"/>
          <m:axisValue occRef="母公司"/>
        </m:item>
        <m:item xlName="_GBC_31aa9a69190c4f209ab76b20cde458b8" concept="clcid-pte:LiRunFenPeiDaoZhiZhuanXiangChuBeiBianDongJinE" label="利润分配导致专项储备变动金额" periodRef="上年同期数" mulRef="_GBC_048773409e614c6bb753000b028316a5" unitRef="_GBC_5214b7a188334da286fc3038d017d072" addr="T3R15C8S1_1" formatStyle="Comma">
          <m:complexRule comparator="Eq" title="母公司利润分配导致专项储备变动金额@上年同期数" test=" $_GBC_87f29e8c38d848dbb63d95c4a5793984 +  $_GBC_843ca12ec7b141cfad55e263f7d17fbe +  $_GBC_524fa5be2b1648a48b8c46e424ac4524" id="C300a7b3474f841e7a36e837e36c651ef"/>
          <m:axisValue occRef="母公司"/>
        </m:item>
        <m:item xlName="_GBC_b5b44f3d2622421aacf913b06a1120fc" concept="clcid-pte:LiRunFenPeiDaoZhiYingYuGongJiBianDongJinE" label="利润分配导致盈余公积变动金额" periodRef="上年同期数" mulRef="_GBC_048773409e614c6bb753000b028316a5" unitRef="_GBC_5214b7a188334da286fc3038d017d072" addr="T3R15C9S1_1" formatStyle="Comma">
          <m:complexRule comparator="Eq" title="母公司利润分配导致盈余公积变动金额@上年同期数" test=" $_GBC_4f4560db68a54c85908090fafd83a3a1 +  $_GBC_3a81c31f1abd4a3ba6f79f5add78f6ce +  $_GBC_14e24cbb59594243b8078d0978c7bb4b" id="C163b92cfbc1d4a0783efad3ee9741e2e"/>
          <m:axisValue occRef="母公司"/>
        </m:item>
        <m:item xlName="_GBC_183a94db427349b9b54d0f0ef81c7bdc" concept="clcid-pte:LiRunFenPeiDaoZhiWeiFenPeiLiRunBianDongJinE" label="利润分配导致未分配利润变动金额" periodRef="上年同期数" mulRef="_GBC_048773409e614c6bb753000b028316a5" unitRef="_GBC_5214b7a188334da286fc3038d017d072" addr="T3R15C10S1_1" formatStyle="Comma">
          <m:complexRule comparator="Eq" title="母公司利润分配导致未分配利润变动金额@上年同期数" test=" $_GBC_da1f675e43a146c3b0c1db26591a8f03 +  $_GBC_28cfe2138eb3404b9581d08fce91f04f +  $_GBC_12bd6c1c6fd34bbe9cfac31a4cca5749" id="C78f311be2f90408aa2a29ba65615009a"/>
          <m:axisValue occRef="母公司"/>
        </m:item>
        <m:item xlName="_GBC_e86e0e1724d74c1cab885ebd31eda94b" concept="clcid-pte:LiRunFenPeiDaoZhiGuDongQuanYiHeJiBianDongJinE" label="利润分配导致股东权益合计变动金额" periodRef="上年同期数" mulRef="_GBC_048773409e614c6bb753000b028316a5" unitRef="_GBC_5214b7a188334da286fc3038d017d072" addr="T3R15C11S1_1" formatStyle="Comma">
          <m:complexRule comparator="Eq" title="母公司利润分配导致股东权益合计变动金额@上年同期数" test=" $_GBC_e2766ed713444eaf853e2d30ee6a70fe +  $_GBC_b7a83962fd0c4ffab165dfe7bf96638f +  $_GBC_19ca48af6d4a4fb2abed675b8d186c63" id="Cf1640564fc874b8f97da03a3c29c5b9d"/>
          <m:axisValue occRef="母公司"/>
        </m:item>
        <m:placeholder xlName="_PLD_49d633deae854098a44173514bb3a7b3" addr="T3R16C0S1_1"/>
        <m:item xlName="_GBC_e05bfd0f90c54b4e9125113cfd71447f" concept="clcid-pte:TiQuYingYuGongJiDaoZhiShiShouZiBenHuoGuBenJingEBianDongJinE" label="提取盈余公积导致实收资本（或股本）净额变动金额" periodRef="上年同期数" mulRef="_GBC_048773409e614c6bb753000b028316a5" unitRef="_GBC_5214b7a188334da286fc3038d017d072" addr="T3R16C1S1_1" formatStyle="Comma">
          <m:axisValue occRef="母公司"/>
        </m:item>
        <m:item xlName="_GBC_2542796b4bce4a00bf35c3208f61535e" concept="clcid-pte:TiQuYingYuGongJiDaoZhiQiTaQuanYiGongJuZhongDeYouXianGuBianDongJinE" label="提取盈余公积导致其他权益工具中的优先股变动金额" periodRef="上年同期数" mulRef="_GBC_048773409e614c6bb753000b028316a5" unitRef="_GBC_5214b7a188334da286fc3038d017d072" addr="T3R16C2S1_1" formatStyle="Comma">
          <m:axisValue occRef="母公司"/>
        </m:item>
        <m:item xlName="_GBC_6dc00a65e68b457b87f25cc981eee0d5" concept="clcid-pte:TiQuYingYuGongJiDaoZhiQiTaQuanYiGongJuZhongDeYongXuZhaiBianDongJinE" label="提取盈余公积导致其他权益工具中的永续债变动金额" periodRef="上年同期数" mulRef="_GBC_048773409e614c6bb753000b028316a5" unitRef="_GBC_5214b7a188334da286fc3038d017d072" addr="T3R16C3S1_1" formatStyle="Comma">
          <m:axisValue occRef="母公司"/>
        </m:item>
        <m:item xlName="_GBC_bd7111ba1813479d88db0fedd0e93dee" concept="clcid-pte:TiQuYingYuGongJiDaoZhiQiTaQuanYiGongJuZhongDeQiTaBianDongJinE" label="提取盈余公积导致其他权益工具中的其他变动金额" periodRef="上年同期数" mulRef="_GBC_048773409e614c6bb753000b028316a5" unitRef="_GBC_5214b7a188334da286fc3038d017d072" addr="T3R16C4S1_1" formatStyle="Comma">
          <m:axisValue occRef="母公司"/>
        </m:item>
        <m:item xlName="_GBC_2a8692122e30462aad0e96d3120b3248" concept="clcid-pte:TiQuYingYuGongJiDaoZhiZiBenGongJiBianDongJinE" label="提取盈余公积导致资本公积变动金额" periodRef="上年同期数" mulRef="_GBC_048773409e614c6bb753000b028316a5" unitRef="_GBC_5214b7a188334da286fc3038d017d072" addr="T3R16C5S1_1" formatStyle="Comma">
          <m:axisValue occRef="母公司"/>
        </m:item>
        <m:item xlName="_GBC_7131170d0bf34860819f92e9370293ac" concept="clcid-pte:TiQuYingYuGongJiDaoZhiKuCunGuBianDongJinE" label="提取盈余公积导致库存股变动金额" periodRef="上年同期数" mulRef="_GBC_048773409e614c6bb753000b028316a5" unitRef="_GBC_5214b7a188334da286fc3038d017d072" addr="T3R16C6S1_1" formatStyle="Comma">
          <m:axisValue occRef="母公司"/>
        </m:item>
        <m:item xlName="_GBC_c0d02f5e530640aeb5ce5e86087332f1" concept="clcid-pte:TiQuYingYuGongJiDaoZhiQiTaZongHeShouYiBianDongJinE" label="提取盈余公积导致其他综合收益变动金额" periodRef="上年同期数" mulRef="_GBC_048773409e614c6bb753000b028316a5" unitRef="_GBC_5214b7a188334da286fc3038d017d072" addr="T3R16C7S1_1" formatStyle="Comma">
          <m:axisValue occRef="母公司"/>
        </m:item>
        <m:item xlName="_GBC_87f29e8c38d848dbb63d95c4a5793984" concept="clcid-pte:TiQuYingYuGongJiDaoZhiZhuanXiangChuBeiBianDongJinE" label="提取盈余公积导致专项储备变动金额" periodRef="上年同期数" mulRef="_GBC_048773409e614c6bb753000b028316a5" unitRef="_GBC_5214b7a188334da286fc3038d017d072" addr="T3R16C8S1_1" formatStyle="Comma">
          <m:axisValue occRef="母公司"/>
        </m:item>
        <m:item xlName="_GBC_4f4560db68a54c85908090fafd83a3a1" concept="clcid-pte:TiQuYingYuGongJiDaoZhiYingYuGongJiBianDongJinE" label="提取盈余公积导致盈余公积变动金额" periodRef="上年同期数" mulRef="_GBC_048773409e614c6bb753000b028316a5" unitRef="_GBC_5214b7a188334da286fc3038d017d072" addr="T3R16C9S1_1" formatStyle="Comma">
          <m:axisValue occRef="母公司"/>
        </m:item>
        <m:item xlName="_GBC_da1f675e43a146c3b0c1db26591a8f03" concept="clcid-pte:TiQuYingYuGongJiDaoZhiWeiFenPeiLiRunBianDongJinE" label="提取盈余公积导致未分配利润变动金额" periodRef="上年同期数" mulRef="_GBC_048773409e614c6bb753000b028316a5" unitRef="_GBC_5214b7a188334da286fc3038d017d072" addr="T3R16C10S1_1" formatStyle="Comma">
          <m:axisValue occRef="母公司"/>
        </m:item>
        <m:item xlName="_GBC_e2766ed713444eaf853e2d30ee6a70fe" concept="clcid-pte:TiQuYingYuGongJiDaoZhiGuDongQuanYiHeJiBianDongJinE" label="提取盈余公积导致股东权益合计变动金额" periodRef="上年同期数" mulRef="_GBC_048773409e614c6bb753000b028316a5" unitRef="_GBC_5214b7a188334da286fc3038d017d072" addr="T3R16C11S1_1" formatStyle="Comma">
          <m:axisValue occRef="母公司"/>
        </m:item>
        <m:placeholder xlName="_PLD_97bd41fffab4497fb1be0b345aef17bd" addr="T3R17C0S1_1"/>
        <m:item xlName="_GBC_48c3818ca7254c25a0acafecc6a0a771" concept="clcid-pte:DuiSuoYouZheHuoGuDongDeFenPeiDaoZhiShiShouZiBenHuoGuBenJingEBianDongJinE" label="对所有者（或股东）的分配导致实收资本（或股本）净额变动金额" periodRef="上年同期数" mulRef="_GBC_048773409e614c6bb753000b028316a5" unitRef="_GBC_5214b7a188334da286fc3038d017d072" addr="T3R17C1S1_1" formatStyle="Comma">
          <m:axisValue occRef="母公司"/>
        </m:item>
        <m:item xlName="_GBC_b53ac52b198b499dae271e0b7ba05241" concept="clcid-pte:DuiSuoYouZheHuoGuDongDeFenPeiDaoZhiQiTaQuanYiGongJuZhongDeYouXianGuBianDongJinE" label="对所有者（或股东）的分配导致其他权益工具中的优先股变动金额" periodRef="上年同期数" mulRef="_GBC_048773409e614c6bb753000b028316a5" unitRef="_GBC_5214b7a188334da286fc3038d017d072" addr="T3R17C2S1_1" formatStyle="Comma">
          <m:axisValue occRef="母公司"/>
        </m:item>
        <m:item xlName="_GBC_4b04efc53f4443d4ac387d60a4efff4e" concept="clcid-pte:DuiSuoYouZheHuoGuDongDeFenPeiDaoZhiQiTaQuanYiGongJuZhongDeYongXuZhaiBianDongJinE" label="对所有者（或股东）的分配导致其他权益工具中的永续债变动金额" periodRef="上年同期数" mulRef="_GBC_048773409e614c6bb753000b028316a5" unitRef="_GBC_5214b7a188334da286fc3038d017d072" addr="T3R17C3S1_1" formatStyle="Comma">
          <m:axisValue occRef="母公司"/>
        </m:item>
        <m:item xlName="_GBC_9611ccce87624efcb3b4a6c2bcc64958" concept="clcid-pte:DuiSuoYouZheHuoGuDongDeFenPeiDaoZhiQiTaQuanYiGongJuZhongDeQiTaBianDongJinE" label="对所有者（或股东）的分配导致其他权益工具中的其他变动金额" periodRef="上年同期数" mulRef="_GBC_048773409e614c6bb753000b028316a5" unitRef="_GBC_5214b7a188334da286fc3038d017d072" addr="T3R17C4S1_1" formatStyle="Comma">
          <m:axisValue occRef="母公司"/>
        </m:item>
        <m:item xlName="_GBC_566d5553fedc4e19bc20d76a4fb0c837" concept="clcid-pte:DuiSuoYouZheHuoGuDongDeFenPeiDaoZhiZiBenGongJiBianDongJinE" label="对所有者（或股东）的分配导致资本公积变动金额" periodRef="上年同期数" mulRef="_GBC_048773409e614c6bb753000b028316a5" unitRef="_GBC_5214b7a188334da286fc3038d017d072" addr="T3R17C5S1_1" formatStyle="Comma">
          <m:axisValue occRef="母公司"/>
        </m:item>
        <m:item xlName="_GBC_5896274feeda4be3ba195ab3d23fd126" concept="clcid-pte:DuiSuoYouZheHuoGuDongDeFenPeiDaoZhiKuCunGuBianDongJinE" label="对所有者（或股东）的分配导致库存股变动金额" periodRef="上年同期数" mulRef="_GBC_048773409e614c6bb753000b028316a5" unitRef="_GBC_5214b7a188334da286fc3038d017d072" addr="T3R17C6S1_1" formatStyle="Comma">
          <m:axisValue occRef="母公司"/>
        </m:item>
        <m:item xlName="_GBC_4b536d67335f4ee4963e5e4dd93843ef" concept="clcid-pte:DuiSuoYouZheHuoGuDongDeFenPeiDaoZhiQiTaZongHeShouYiBianDongJinE" label="对所有者（或股东）的分配导致其他综合收益变动金额" periodRef="上年同期数" mulRef="_GBC_048773409e614c6bb753000b028316a5" unitRef="_GBC_5214b7a188334da286fc3038d017d072" addr="T3R17C7S1_1" formatStyle="Comma">
          <m:axisValue occRef="母公司"/>
        </m:item>
        <m:item xlName="_GBC_843ca12ec7b141cfad55e263f7d17fbe" concept="clcid-pte:DuiSuoYouZheHuoGuDongDeFenPeiDaoZhiZhuanXiangChuBeiBianDongJinE" label="对所有者（或股东）的分配导致专项储备变动金额" periodRef="上年同期数" mulRef="_GBC_048773409e614c6bb753000b028316a5" unitRef="_GBC_5214b7a188334da286fc3038d017d072" addr="T3R17C8S1_1" formatStyle="Comma">
          <m:axisValue occRef="母公司"/>
        </m:item>
        <m:item xlName="_GBC_3a81c31f1abd4a3ba6f79f5add78f6ce" concept="clcid-pte:DuiSuoYouZheHuoGuDongDeFenPeiDaoZhiYingYuGongJiBianDongJinE" label="对所有者（或股东）的分配导致盈余公积变动金额" periodRef="上年同期数" mulRef="_GBC_048773409e614c6bb753000b028316a5" unitRef="_GBC_5214b7a188334da286fc3038d017d072" addr="T3R17C9S1_1" formatStyle="Comma">
          <m:axisValue occRef="母公司"/>
        </m:item>
        <m:item xlName="_GBC_28cfe2138eb3404b9581d08fce91f04f" concept="clcid-pte:DuiSuoYouZheHuoGuDongDeFenPeiDaoZhiWeiFenPeiLiRunBianDongJinE" label="对所有者（或股东）的分配导致未分配利润变动金额" periodRef="上年同期数" mulRef="_GBC_048773409e614c6bb753000b028316a5" unitRef="_GBC_5214b7a188334da286fc3038d017d072" addr="T3R17C10S1_1" formatStyle="Comma">
          <m:axisValue occRef="母公司"/>
        </m:item>
        <m:item xlName="_GBC_b7a83962fd0c4ffab165dfe7bf96638f" concept="clcid-pte:DuiSuoYouZheHuoGuDongDeFenPeiDaoZhiGuDongQuanYiHeJiBianDongJinE" label="对所有者（或股东）的分配导致股东权益合计变动金额" periodRef="上年同期数" mulRef="_GBC_048773409e614c6bb753000b028316a5" unitRef="_GBC_5214b7a188334da286fc3038d017d072" addr="T3R17C11S1_1" formatStyle="Comma">
          <m:axisValue occRef="母公司"/>
        </m:item>
        <m:placeholder xlName="_PLD_a5c6789730e84b389ee95f39091419a8" addr="T3R18C0S1_1"/>
        <m:item xlName="_GBC_2a3bc25e220343a1979739f7a4deba00" concept="clcid-pte:QiTaLiRunFenPeiDaoZhiShiShouZiBenHuoGuBenJingEBianDongJinE" label="其他利润分配导致实收资本（或股本）净额变动金额" periodRef="上年同期数" mulRef="_GBC_048773409e614c6bb753000b028316a5" unitRef="_GBC_5214b7a188334da286fc3038d017d072" addr="T3R18C1S1_1" formatStyle="Comma">
          <m:axisValue occRef="母公司"/>
        </m:item>
        <m:item xlName="_GBC_40876b8d138a4f2d800d97a22227e8a3" concept="clcid-pte:QiTaLiRunFenPeiDaoZhiQiTaQuanYiGongJuZhongDeYouXianGuBianDongJinE" label="其他利润分配导致其他权益工具中的优先股变动金额" periodRef="上年同期数" mulRef="_GBC_048773409e614c6bb753000b028316a5" unitRef="_GBC_5214b7a188334da286fc3038d017d072" addr="T3R18C2S1_1" formatStyle="Comma">
          <m:axisValue occRef="母公司"/>
        </m:item>
        <m:item xlName="_GBC_8cdbe9633da1446190f1c54e28b01818" concept="clcid-pte:QiTaLiRunFenPeiDaoZhiQiTaQuanYiGongJuZhongDeYongXuZhaiBianDongJinE" label="其他利润分配导致其他权益工具中的永续债变动金额" periodRef="上年同期数" mulRef="_GBC_048773409e614c6bb753000b028316a5" unitRef="_GBC_5214b7a188334da286fc3038d017d072" addr="T3R18C3S1_1" formatStyle="Comma">
          <m:axisValue occRef="母公司"/>
        </m:item>
        <m:item xlName="_GBC_334000809d3b4f0c929262b00b760ded" concept="clcid-pte:QiTaLiRunFenPeiDaoZhiQiTaQuanYiGongJuZhongDeQiTaBianDongJinE" label="其他利润分配导致其他权益工具中的其他变动金额" periodRef="上年同期数" mulRef="_GBC_048773409e614c6bb753000b028316a5" unitRef="_GBC_5214b7a188334da286fc3038d017d072" addr="T3R18C4S1_1" formatStyle="Comma">
          <m:axisValue occRef="母公司"/>
        </m:item>
        <m:item xlName="_GBC_46a794d7c39543109d62421d8e967179" concept="clcid-pte:QiTaLiRunFenPeiDaoZhiZiBenGongJiBianDongJinE" label="其他利润分配导致资本公积变动金额" periodRef="上年同期数" mulRef="_GBC_048773409e614c6bb753000b028316a5" unitRef="_GBC_5214b7a188334da286fc3038d017d072" addr="T3R18C5S1_1" formatStyle="Comma">
          <m:axisValue occRef="母公司"/>
        </m:item>
        <m:item xlName="_GBC_50aa74685d6e490e981de9349999678a" concept="clcid-pte:QiTaLiRunFenPeiDaoZhiKuCunGuBianDongJinE" label="其他利润分配导致库存股变动金额" periodRef="上年同期数" mulRef="_GBC_048773409e614c6bb753000b028316a5" unitRef="_GBC_5214b7a188334da286fc3038d017d072" addr="T3R18C6S1_1" formatStyle="Comma">
          <m:axisValue occRef="母公司"/>
        </m:item>
        <m:item xlName="_GBC_5d9b86a3e7634b67870d4c447fa117c9" concept="clcid-pte:QiTaLiRunFenPeiDaoZhiQiTaZongHeShouYiBianDongJinE" label="其他利润分配导致其他综合收益变动金额" periodRef="上年同期数" mulRef="_GBC_048773409e614c6bb753000b028316a5" unitRef="_GBC_5214b7a188334da286fc3038d017d072" addr="T3R18C7S1_1" formatStyle="Comma">
          <m:axisValue occRef="母公司"/>
        </m:item>
        <m:item xlName="_GBC_524fa5be2b1648a48b8c46e424ac4524" concept="clcid-pte:QiTaLiRunFenPeiDaoZhiZhuanXiangChuBeiBianDongJinE" label="其他利润分配导致专项储备变动金额" periodRef="上年同期数" mulRef="_GBC_048773409e614c6bb753000b028316a5" unitRef="_GBC_5214b7a188334da286fc3038d017d072" addr="T3R18C8S1_1" formatStyle="Comma">
          <m:axisValue occRef="母公司"/>
        </m:item>
        <m:item xlName="_GBC_14e24cbb59594243b8078d0978c7bb4b" concept="clcid-pte:QiTaLiRunFenPeiDaoZhiYingYuGongJiBianDongJinE" label="其他利润分配导致盈余公积变动金额" periodRef="上年同期数" mulRef="_GBC_048773409e614c6bb753000b028316a5" unitRef="_GBC_5214b7a188334da286fc3038d017d072" addr="T3R18C9S1_1" formatStyle="Comma">
          <m:axisValue occRef="母公司"/>
        </m:item>
        <m:item xlName="_GBC_12bd6c1c6fd34bbe9cfac31a4cca5749" concept="clcid-pte:QiTaLiRunFenPeiDaoZhiWeiFenPeiLiRunBianDongJinE" label="其他利润分配导致未分配利润变动金额" periodRef="上年同期数" mulRef="_GBC_048773409e614c6bb753000b028316a5" unitRef="_GBC_5214b7a188334da286fc3038d017d072" addr="T3R18C10S1_1" formatStyle="Comma">
          <m:axisValue occRef="母公司"/>
        </m:item>
        <m:item xlName="_GBC_19ca48af6d4a4fb2abed675b8d186c63" concept="clcid-pte:QiTaLiRunFenPeiDaoZhiGuDongQuanYiHeJiBianDongJinE" label="其他利润分配导致股东权益合计变动金额" periodRef="上年同期数" mulRef="_GBC_048773409e614c6bb753000b028316a5" unitRef="_GBC_5214b7a188334da286fc3038d017d072" addr="T3R18C11S1_1" formatStyle="Comma">
          <m:axisValue occRef="母公司"/>
        </m:item>
        <m:placeholder xlName="_PLD_9c529a92f12642ed93c3ac5d7c5ef52b" addr="T3R19C0S1_1"/>
        <m:item xlName="_GBC_5647fda6a4d648e58b77890cd27b0d73" concept="clcid-pte:SuoYouZheQuanYiNeiBuJieZhuanDaoZhiShiShouZiBenHuoGuBenJingEBianDongJinE" label="所有者权益内部结转导致实收资本（或股本）净额变动金额" periodRef="上年同期数" mulRef="_GBC_048773409e614c6bb753000b028316a5" unitRef="_GBC_5214b7a188334da286fc3038d017d072" addr="T3R19C1S1_1" formatStyle="Comma">
          <m:complexRule comparator="Eq" title="母公司所有者权益内部结转导致实收资本（或股本）净额变动金额@上年同期数" test="$_GBC_605502b6ae5c4cc9a0d76e0db8c698e2+$_GBC_292282139e2d44c8a37ae75704b59e70+$_GBC_9d75b29648e7431bb92dacc0d883768f+$_GBC_7ebcf4fd398a4980ad29c5823d83cad7+$_GBC_a54ecc5f30f14881ad562154d58df7ea+$_GBC_d3affa4c8f4e41589d73e645ef44a54b" id="C27621569a91b46ffb988e3d4cfb67b87"/>
          <m:axisValue occRef="母公司"/>
        </m:item>
        <m:item xlName="_GBC_98572a5d210c4ef3875a72067bd5d4c1" concept="clcid-pte:SuoYouZheQuanYiNeiBuJieZhuanDaoZhiQiTaQuanYiGongJuZhongDeYouXianGuBianDongJinE" label="所有者权益内部结转导致其他权益工具中的优先股变动金额" periodRef="上年同期数" mulRef="_GBC_048773409e614c6bb753000b028316a5" unitRef="_GBC_5214b7a188334da286fc3038d017d072" addr="T3R19C2S1_1" formatStyle="Comma">
          <m:complexRule comparator="Eq" title="母公司所有者权益内部结转导致其他权益工具中的优先股变动金额@上年同期数" test="$_GBC_03ced7dc7a78435fbced5d272c72b299+$_GBC_6d29c5f693354893be8cebade67f628e+$_GBC_404c7cf63ee5455a9c751a3531c5ea9c+$_GBC_781c0040b4bf431bab92455abac41dfe+$_GBC_39d031ca4feb4a43944d469c85b377ed+$_GBC_94cd06be499d4853b0def85b05548836" id="C3be28d8784e64e7c92ed09d4f19a1d98"/>
          <m:axisValue occRef="母公司"/>
        </m:item>
        <m:item xlName="_GBC_450f68f45ee84fa6a0945728fe10e844" concept="clcid-pte:SuoYouZheQuanYiNeiBuJieZhuanDaoZhiQiTaQuanYiGongJuZhongDeYongXuZhaiBianDongJinE" label="所有者权益内部结转导致其他权益工具中的永续债变动金额" periodRef="上年同期数" mulRef="_GBC_048773409e614c6bb753000b028316a5" unitRef="_GBC_5214b7a188334da286fc3038d017d072" addr="T3R19C3S1_1" formatStyle="Comma">
          <m:complexRule comparator="Eq" title="母公司所有者权益内部结转导致其他权益工具中的永续债变动金额@上年同期数" test="$_GBC_586a1b91abf4401a94770900e89b603c+$_GBC_d0f0b537223c4ede87ee38eb98073f63+$_GBC_020f80fc128641f6bcfa8413ca435547+$_GBC_6acc20a1aefd45f89a8951ed5653c40b+$_GBC_dce95e4bbe4848e78df6f7d9c2958858+$_GBC_65b61ab8204d4f05874839c8bcbe72a6" id="C4120d7cd319a4df9b0223782fc68a3a9"/>
          <m:axisValue occRef="母公司"/>
        </m:item>
        <m:item xlName="_GBC_62b57d65e352446bbdf19b5311174e1c" concept="clcid-pte:SuoYouZheQuanYiNeiBuJieZhuanDaoZhiQiTaQuanYiGongJuZhongDeQiTaBianDongJinE" label="所有者权益内部结转导致其他权益工具中的其他变动金额" periodRef="上年同期数" mulRef="_GBC_048773409e614c6bb753000b028316a5" unitRef="_GBC_5214b7a188334da286fc3038d017d072" addr="T3R19C4S1_1" formatStyle="Comma">
          <m:complexRule comparator="Eq" title="母公司所有者权益内部结转导致其他权益工具中的其他变动金额@上年同期数" test="$_GBC_dd4909fd3f684bffaa3fa19bb0e17c4a+$_GBC_c99780e8f71e42beab9f9919984ea1e8+$_GBC_72ca4671ba6a42b08d2c82810e8bb231+$_GBC_9128c329ae21440aa73e706b92be86ac+$_GBC_1c840d4d1f9b433097eb2f18e9ab29f7+$_GBC_4b4070b97f014614b2aa2d847b78e596" id="Cb3ed311e02c740c6a8e636049c14a921"/>
          <m:axisValue occRef="母公司"/>
        </m:item>
        <m:item xlName="_GBC_70b2b80f35eb4584ab7795855880b29e" concept="clcid-pte:SuoYouZheQuanYiNeiBuJieZhuanDaoZhiZiBenGongJiBianDongJinE" label="所有者权益内部结转导致资本公积变动金额" periodRef="上年同期数" mulRef="_GBC_048773409e614c6bb753000b028316a5" unitRef="_GBC_5214b7a188334da286fc3038d017d072" addr="T3R19C5S1_1" formatStyle="Comma">
          <m:complexRule comparator="Eq" title="母公司所有者权益内部结转导致资本公积变动金额@上年同期数" test="$_GBC_7527ccba15024384b5c2bb60e1e617a0+$_GBC_ebc8b5f22eee4ef398167c8c12f89543+$_GBC_ec67b00acfad481796734066bb652a56+$_GBC_ef57e98dfd12466c9d1eaa318f934d56+$_GBC_d0d0f7f50a094801843d3a8016a88929+$_GBC_45f6d36c262c4c728865fb0bd099127c" id="C8972c82ef42e48b4adfb089463c934f1"/>
          <m:axisValue occRef="母公司"/>
        </m:item>
        <m:item xlName="_GBC_71b87e2bc67741e2b1d2d9d07910c043" concept="clcid-pte:SuoYouZheQuanYiNeiBuJieZhuanDaoZhiKuCunGuBianDongJinE" label="所有者权益内部结转导致库存股变动金额" periodRef="上年同期数" mulRef="_GBC_048773409e614c6bb753000b028316a5" unitRef="_GBC_5214b7a188334da286fc3038d017d072" addr="T3R19C6S1_1" formatStyle="Comma">
          <m:complexRule comparator="Eq" title="母公司所有者权益内部结转导致库存股变动金额@上年同期数" test="$_GBC_2024aad3936e4f759f2caf8d4865b6d7+$_GBC_2b7f73558011479cb96a31e6ad817a74+$_GBC_7c679dfe9c494886b7865f3bcb661b9c+$_GBC_d36e59f053544e2ca092f02ac4870ad3+$_GBC_a16de1577f564abf928ab03868f366c9+$_GBC_bae6cdb6344e4ca99abbf10aff60fff1" id="C4c12bf2f20344d17a9976aac4946800d"/>
          <m:axisValue occRef="母公司"/>
        </m:item>
        <m:item xlName="_GBC_cbadfc6c2c0d47af8d1269604c1d4ced" concept="clcid-pte:SuoYouZheQuanYiNeiBuJieZhuanDaoZhiQiTaZongHeShouYiBianDongJinE" label="所有者权益内部结转导致其他综合收益变动金额" periodRef="上年同期数" mulRef="_GBC_048773409e614c6bb753000b028316a5" unitRef="_GBC_5214b7a188334da286fc3038d017d072" addr="T3R19C7S1_1" formatStyle="Comma">
          <m:complexRule comparator="Eq" title="母公司所有者权益内部结转导致其他综合收益变动金额@上年同期数" test="$_GBC_bb7b4037bbd6418c9e84d5bf0c7312d8+$_GBC_6d5d97ef6f6f4bf48dff8bb35c35d83c+$_GBC_c56ad70d9685424e8666953654181e11+$_GBC_fac4f462a72641df8a151695c8c20ef6+$_GBC_2f41a6d495714745bfc852f5838d772a+$_GBC_11c045219f23455085a9fc6688ad4af5" id="C18bb1b4adbac4b43a59465008709c560"/>
          <m:axisValue occRef="母公司"/>
        </m:item>
        <m:item xlName="_GBC_64933a58fd3a463491f35b3e1f19d96c" concept="clcid-pte:SuoYouZheQuanYiNeiBuJieZhuanDaoZhiZhuanXiangChuBeiBianDongJinE" label="所有者权益内部结转导致专项储备变动金额" periodRef="上年同期数" mulRef="_GBC_048773409e614c6bb753000b028316a5" unitRef="_GBC_5214b7a188334da286fc3038d017d072" addr="T3R19C8S1_1" formatStyle="Comma">
          <m:complexRule comparator="Eq" title="母公司所有者权益内部结转导致专项储备变动金额@上年同期数" test="$_GBC_87c8addfc6ee4b5facb835f9564bc978+$_GBC_f586acade7fa47a4946eb91b46448e7e+$_GBC_2cd4630af24b4c12ae01ad70a9bbc778+$_GBC_115c9b6476c34c3da6f16fb94f869fb0+$_GBC_08dc9f8d2392445ead63bf000d73d2fa+$_GBC_962951c708d843e8842b0ba3585945af" id="Cd0813508a2e440bd8d17159083ef156c"/>
          <m:axisValue occRef="母公司"/>
        </m:item>
        <m:item xlName="_GBC_9d6bbcaf8a2e4da5a5cc410f3e5b43e0" concept="clcid-pte:SuoYouZheQuanYiNeiBuJieZhuanDaoZhiYingYuGongJiBianDongJinE" label="所有者权益内部结转导致盈余公积变动金额" periodRef="上年同期数" mulRef="_GBC_048773409e614c6bb753000b028316a5" unitRef="_GBC_5214b7a188334da286fc3038d017d072" addr="T3R19C9S1_1" formatStyle="Comma">
          <m:complexRule comparator="Eq" title="母公司所有者权益内部结转导致盈余公积变动金额@上年同期数" test="$_GBC_dd780a4a65a44212bbdd003478fc19fa+$_GBC_bf4f6dc9a55c4092923fd2eb6bf769f6+$_GBC_40a2f9b5769841058d412e3124561d5b+$_GBC_d4bf88a2855a48928fe4f909b24f7479+$_GBC_733ae184a5df48d7aa9385e46af4a602+$_GBC_bafb613ec7724ffda45f85dd71cbbb0c" id="C195bad6117e240028866cc033f0c08dc"/>
          <m:axisValue occRef="母公司"/>
        </m:item>
        <m:item xlName="_GBC_a7ede5662ff442438cf3799ae0501aaa" concept="clcid-pte:SuoYouZheQuanYiNeiBuJieZhuanDaoZhiWeiFenPeiLiRunBianDongJinE" label="所有者权益内部结转导致未分配利润变动金额" periodRef="上年同期数" mulRef="_GBC_048773409e614c6bb753000b028316a5" unitRef="_GBC_5214b7a188334da286fc3038d017d072" addr="T3R19C10S1_1" formatStyle="Comma">
          <m:complexRule comparator="Eq" title="母公司所有者权益内部结转导致未分配利润变动金额@上年同期数" test="$_GBC_29a408f98d10476aad2eef5b65e53647+$_GBC_6d9f8839912d4772bc28722f458ac0ee+$_GBC_8b5b5a1339e9459d8fd85e710f68df76+$_GBC_341d4c1fff73405ebc8d8233f0a8a2b6+$_GBC_eb2176accd0046b99596ef0fe2eb7954+$_GBC_ccb4d4deb7f3462f8328e10b914ae571" id="Cf0552806893f447db4e550f7a20b379e"/>
          <m:axisValue occRef="母公司"/>
        </m:item>
        <m:item xlName="_GBC_b587d819d31441c1bdd2387ee0941830" concept="clcid-pte:SuoYouZheQuanYiNeiBuJieZhuanDaoZhiGuDongQuanYiHeJiBianDongJinE" label="所有者权益内部结转导致股东权益合计变动金额" periodRef="上年同期数" mulRef="_GBC_048773409e614c6bb753000b028316a5" unitRef="_GBC_5214b7a188334da286fc3038d017d072" addr="T3R19C11S1_1" formatStyle="Comma">
          <m:complexRule comparator="Eq" title="母公司所有者权益内部结转导致股东权益合计变动金额@上年同期数" test="$_GBC_7d97bfd3ff2a420ca667bb3accf56347+$_GBC_c8ab3b75a8ef40a0b3dfdf79c0b6d7c3+$_GBC_5ad99d35cef24992844230792ac215e3+$_GBC_3e4bbad919494225afc557bf6949aa2a+$_GBC_13d06ab51ed54c5abc79a65175180284+$_GBC_df53ca6cef314a4d93fe2ad4c9b266b5" id="C1f4094a4f08a45de8749ede8900c2a66"/>
          <m:axisValue occRef="母公司"/>
        </m:item>
        <m:placeholder xlName="_PLD_084a56709ef243f89e8f0aead886c10d" addr="T3R20C0S1_1"/>
        <m:item xlName="_GBC_605502b6ae5c4cc9a0d76e0db8c698e2" concept="clcid-pte:ZiBenGongJiZhuanZengZiBenHuoGuBenDaoZhiShiShouZiBenHuoGuBenJingEBianDongJinE" label="资本公积转增资本（或股本）导致实收资本（或股本）净额变动金额" periodRef="上年同期数" mulRef="_GBC_048773409e614c6bb753000b028316a5" unitRef="_GBC_5214b7a188334da286fc3038d017d072" addr="T3R20C1S1_1" formatStyle="Comma">
          <m:axisValue occRef="母公司"/>
        </m:item>
        <m:item xlName="_GBC_03ced7dc7a78435fbced5d272c72b299" concept="clcid-pte:ZiBenGongJiZhuanZengZiBenHuoGuBenDaoZhiQiTaQuanYiGongJuZhongDeYouXianGuBianDongJinE" label="资本公积转增资本（或股本）导致其他权益工具中的优先股变动金额" periodRef="上年同期数" mulRef="_GBC_048773409e614c6bb753000b028316a5" unitRef="_GBC_5214b7a188334da286fc3038d017d072" addr="T3R20C2S1_1" formatStyle="Comma">
          <m:axisValue occRef="母公司"/>
        </m:item>
        <m:item xlName="_GBC_586a1b91abf4401a94770900e89b603c" concept="clcid-pte:ZiBenGongJiZhuanZengZiBenHuoGuBenDaoZhiQiTaQuanYiGongJuZhongDeYongXuZhaiBianDongJinE" label="资本公积转增资本（或股本）导致其他权益工具中的永续债变动金额" periodRef="上年同期数" mulRef="_GBC_048773409e614c6bb753000b028316a5" unitRef="_GBC_5214b7a188334da286fc3038d017d072" addr="T3R20C3S1_1" formatStyle="Comma">
          <m:axisValue occRef="母公司"/>
        </m:item>
        <m:item xlName="_GBC_dd4909fd3f684bffaa3fa19bb0e17c4a" concept="clcid-pte:ZiBenGongJiZhuanZengZiBenHuoGuBenDaoZhiQiTaQuanYiGongJuZhongDeQiTaBianDongJinE" label="资本公积转增资本（或股本）导致其他权益工具中的其他变动金额" periodRef="上年同期数" mulRef="_GBC_048773409e614c6bb753000b028316a5" unitRef="_GBC_5214b7a188334da286fc3038d017d072" addr="T3R20C4S1_1" formatStyle="Comma">
          <m:axisValue occRef="母公司"/>
        </m:item>
        <m:item xlName="_GBC_7527ccba15024384b5c2bb60e1e617a0" concept="clcid-pte:ZiBenGongJiZhuanZengZiBenHuoGuBenDaoZhiZiBenGongJiBianDongJinE" label="资本公积转增资本（或股本）导致资本公积变动金额" periodRef="上年同期数" mulRef="_GBC_048773409e614c6bb753000b028316a5" unitRef="_GBC_5214b7a188334da286fc3038d017d072" addr="T3R20C5S1_1" formatStyle="Comma">
          <m:axisValue occRef="母公司"/>
        </m:item>
        <m:item xlName="_GBC_2024aad3936e4f759f2caf8d4865b6d7" concept="clcid-pte:ZiBenGongJiZhuanZengZiBenHuoGuBenDaoZhiKuCunGuBianDongJinE" label="资本公积转增资本（或股本）导致库存股变动金额" periodRef="上年同期数" mulRef="_GBC_048773409e614c6bb753000b028316a5" unitRef="_GBC_5214b7a188334da286fc3038d017d072" addr="T3R20C6S1_1" formatStyle="Comma">
          <m:axisValue occRef="母公司"/>
        </m:item>
        <m:item xlName="_GBC_bb7b4037bbd6418c9e84d5bf0c7312d8" concept="clcid-pte:ZiBenGongJiZhuanZengZiBenHuoGuBenDaoZhiQiTaZongHeShouYiBianDongJinE" label="资本公积转增资本（或股本）导致其他综合收益变动金额" periodRef="上年同期数" mulRef="_GBC_048773409e614c6bb753000b028316a5" unitRef="_GBC_5214b7a188334da286fc3038d017d072" addr="T3R20C7S1_1" formatStyle="Comma">
          <m:axisValue occRef="母公司"/>
        </m:item>
        <m:item xlName="_GBC_87c8addfc6ee4b5facb835f9564bc978" concept="clcid-pte:ZiBenGongJiZhuanZengZiBenHuoGuBenDaoZhiZhuanXiangChuBeiBianDongJinE" label="资本公积转增资本（或股本）导致专项储备变动金额" periodRef="上年同期数" mulRef="_GBC_048773409e614c6bb753000b028316a5" unitRef="_GBC_5214b7a188334da286fc3038d017d072" addr="T3R20C8S1_1" formatStyle="Comma">
          <m:axisValue occRef="母公司"/>
        </m:item>
        <m:item xlName="_GBC_dd780a4a65a44212bbdd003478fc19fa" concept="clcid-pte:ZiBenGongJiZhuanZengZiBenHuoGuBenDaoZhiYingYuGongJiBianDongJinE" label="资本公积转增资本（或股本）导致盈余公积变动金额" periodRef="上年同期数" mulRef="_GBC_048773409e614c6bb753000b028316a5" unitRef="_GBC_5214b7a188334da286fc3038d017d072" addr="T3R20C9S1_1" formatStyle="Comma">
          <m:axisValue occRef="母公司"/>
        </m:item>
        <m:item xlName="_GBC_29a408f98d10476aad2eef5b65e53647" concept="clcid-pte:ZiBenGongJiZhuanZengZiBenHuoGuBenDaoZhiWeiFenPeiLiRunBianDongJinE" label="资本公积转增资本（或股本）导致未分配利润变动金额" periodRef="上年同期数" mulRef="_GBC_048773409e614c6bb753000b028316a5" unitRef="_GBC_5214b7a188334da286fc3038d017d072" addr="T3R20C10S1_1" formatStyle="Comma">
          <m:axisValue occRef="母公司"/>
        </m:item>
        <m:item xlName="_GBC_7d97bfd3ff2a420ca667bb3accf56347" concept="clcid-pte:ZiBenGongJiZhuanZengZiBenHuoGuBenDaoZhiGuDongQuanYiHeJiBianDongJinE" label="资本公积转增资本（或股本）导致股东权益合计变动金额" periodRef="上年同期数" mulRef="_GBC_048773409e614c6bb753000b028316a5" unitRef="_GBC_5214b7a188334da286fc3038d017d072" addr="T3R20C11S1_1" formatStyle="Comma">
          <m:axisValue occRef="母公司"/>
        </m:item>
        <m:placeholder xlName="_PLD_22df50d156334ad9a740cc6d62e17f0b" addr="T3R21C0S1_1"/>
        <m:item xlName="_GBC_292282139e2d44c8a37ae75704b59e70" concept="clcid-pte:YingYuGongJiZhuanZengZiBenHuoGuBenDaoZhiShiShouZiBenHuoGuBenJingEBianDongJinE" label="盈余公积转增资本（或股本）导致实收资本（或股本）净额变动金额" periodRef="上年同期数" mulRef="_GBC_048773409e614c6bb753000b028316a5" unitRef="_GBC_5214b7a188334da286fc3038d017d072" addr="T3R21C1S1_1" formatStyle="Comma">
          <m:axisValue occRef="母公司"/>
        </m:item>
        <m:item xlName="_GBC_6d29c5f693354893be8cebade67f628e" concept="clcid-pte:YingYuGongJiZhuanZengZiBenHuoGuBenDaoZhiQiTaQuanYiGongJuZhongDeYouXianGuBianDongJinE" label="盈余公积转增资本（或股本）导致其他权益工具中的优先股变动金额" periodRef="上年同期数" mulRef="_GBC_048773409e614c6bb753000b028316a5" unitRef="_GBC_5214b7a188334da286fc3038d017d072" addr="T3R21C2S1_1" formatStyle="Comma">
          <m:axisValue occRef="母公司"/>
        </m:item>
        <m:item xlName="_GBC_d0f0b537223c4ede87ee38eb98073f63" concept="clcid-pte:YingYuGongJiZhuanZengZiBenHuoGuBenDaoZhiQiTaQuanYiGongJuZhongDeYongXuZhaiBianDongJinE" label="盈余公积转增资本（或股本）导致其他权益工具中的永续债变动金额" periodRef="上年同期数" mulRef="_GBC_048773409e614c6bb753000b028316a5" unitRef="_GBC_5214b7a188334da286fc3038d017d072" addr="T3R21C3S1_1" formatStyle="Comma">
          <m:axisValue occRef="母公司"/>
        </m:item>
        <m:item xlName="_GBC_c99780e8f71e42beab9f9919984ea1e8" concept="clcid-pte:YingYuGongJiZhuanZengZiBenHuoGuBenDaoZhiQiTaQuanYiGongJuZhongDeQiTaBianDongJinE" label="盈余公积转增资本（或股本）导致其他权益工具中的其他变动金额" periodRef="上年同期数" mulRef="_GBC_048773409e614c6bb753000b028316a5" unitRef="_GBC_5214b7a188334da286fc3038d017d072" addr="T3R21C4S1_1" formatStyle="Comma">
          <m:axisValue occRef="母公司"/>
        </m:item>
        <m:item xlName="_GBC_ebc8b5f22eee4ef398167c8c12f89543" concept="clcid-pte:YingYuGongJiZhuanZengZiBenHuoGuBenDaoZhiZiBenGongJiBianDongJinE" label="盈余公积转增资本（或股本）导致资本公积变动金额" periodRef="上年同期数" mulRef="_GBC_048773409e614c6bb753000b028316a5" unitRef="_GBC_5214b7a188334da286fc3038d017d072" addr="T3R21C5S1_1" formatStyle="Comma">
          <m:axisValue occRef="母公司"/>
        </m:item>
        <m:item xlName="_GBC_2b7f73558011479cb96a31e6ad817a74" concept="clcid-pte:YingYuGongJiZhuanZengZiBenHuoGuBenDaoZhiKuCunGuBianDongJinE" label="盈余公积转增资本（或股本）导致库存股变动金额" periodRef="上年同期数" mulRef="_GBC_048773409e614c6bb753000b028316a5" unitRef="_GBC_5214b7a188334da286fc3038d017d072" addr="T3R21C6S1_1" formatStyle="Comma">
          <m:axisValue occRef="母公司"/>
        </m:item>
        <m:item xlName="_GBC_6d5d97ef6f6f4bf48dff8bb35c35d83c" concept="clcid-pte:YingYuGongJiZhuanZengZiBenHuoGuBenDaoZhiQiTaZongHeShouYiBianDongJinE" label="盈余公积转增资本（或股本）导致其他综合收益变动金额" periodRef="上年同期数" mulRef="_GBC_048773409e614c6bb753000b028316a5" unitRef="_GBC_5214b7a188334da286fc3038d017d072" addr="T3R21C7S1_1" formatStyle="Comma">
          <m:axisValue occRef="母公司"/>
        </m:item>
        <m:item xlName="_GBC_f586acade7fa47a4946eb91b46448e7e" concept="clcid-pte:YingYuGongJiZhuanZengZiBenHuoGuBenDaoZhiZhuanXiangChuBeiBianDongJinE" label="盈余公积转增资本（或股本）导致专项储备变动金额" periodRef="上年同期数" mulRef="_GBC_048773409e614c6bb753000b028316a5" unitRef="_GBC_5214b7a188334da286fc3038d017d072" addr="T3R21C8S1_1" formatStyle="Comma">
          <m:axisValue occRef="母公司"/>
        </m:item>
        <m:item xlName="_GBC_bf4f6dc9a55c4092923fd2eb6bf769f6" concept="clcid-pte:YingYuGongJiZhuanZengZiBenHuoGuBenDaoZhiYingYuGongJiBianDongJinE" label="盈余公积转增资本（或股本）导致盈余公积变动金额" periodRef="上年同期数" mulRef="_GBC_048773409e614c6bb753000b028316a5" unitRef="_GBC_5214b7a188334da286fc3038d017d072" addr="T3R21C9S1_1" formatStyle="Comma">
          <m:axisValue occRef="母公司"/>
        </m:item>
        <m:item xlName="_GBC_6d9f8839912d4772bc28722f458ac0ee" concept="clcid-pte:YingYuGongJiZhuanZengZiBenHuoGuBenDaoZhiWeiFenPeiLiRunBianDongJinE" label="盈余公积转增资本（或股本）导致未分配利润变动金额" periodRef="上年同期数" mulRef="_GBC_048773409e614c6bb753000b028316a5" unitRef="_GBC_5214b7a188334da286fc3038d017d072" addr="T3R21C10S1_1" formatStyle="Comma">
          <m:axisValue occRef="母公司"/>
        </m:item>
        <m:item xlName="_GBC_c8ab3b75a8ef40a0b3dfdf79c0b6d7c3" concept="clcid-pte:YingYuGongJiZhuanZengZiBenHuoGuBenDaoZhiGuDongQuanYiHeJiBianDongJinE" label="盈余公积转增资本（或股本）导致股东权益合计变动金额" periodRef="上年同期数" mulRef="_GBC_048773409e614c6bb753000b028316a5" unitRef="_GBC_5214b7a188334da286fc3038d017d072" addr="T3R21C11S1_1" formatStyle="Comma">
          <m:axisValue occRef="母公司"/>
        </m:item>
        <m:placeholder xlName="_PLD_4846580862224d1a9e17a9af1fe14d07" addr="T3R22C0S1_1"/>
        <m:item xlName="_GBC_9d75b29648e7431bb92dacc0d883768f" concept="clcid-pte:YingYuGongJiMiBuKuiSunDaoZhiShiShouZiBenHuoGuBenJingEBianDongJinE" label="盈余公积弥补亏损导致实收资本（或股本）净额变动金额" periodRef="上年同期数" mulRef="_GBC_048773409e614c6bb753000b028316a5" unitRef="_GBC_5214b7a188334da286fc3038d017d072" addr="T3R22C1S1_1" formatStyle="Comma">
          <m:axisValue occRef="母公司"/>
        </m:item>
        <m:item xlName="_GBC_404c7cf63ee5455a9c751a3531c5ea9c" concept="clcid-pte:YingYuGongJiMiBuKuiSunDaoZhiQiTaQuanYiGongJuZhongDeYouXianGuBianDongJinE" label="盈余公积弥补亏损导致其他权益工具中的优先股变动金额" periodRef="上年同期数" mulRef="_GBC_048773409e614c6bb753000b028316a5" unitRef="_GBC_5214b7a188334da286fc3038d017d072" addr="T3R22C2S1_1" formatStyle="Comma">
          <m:axisValue occRef="母公司"/>
        </m:item>
        <m:item xlName="_GBC_020f80fc128641f6bcfa8413ca435547" concept="clcid-pte:YingYuGongJiMiBuKuiSunDaoZhiQiTaQuanYiGongJuZhongDeYongXuZhaiBianDongJinE" label="盈余公积弥补亏损导致其他权益工具中的永续债变动金额" periodRef="上年同期数" mulRef="_GBC_048773409e614c6bb753000b028316a5" unitRef="_GBC_5214b7a188334da286fc3038d017d072" addr="T3R22C3S1_1" formatStyle="Comma">
          <m:axisValue occRef="母公司"/>
        </m:item>
        <m:item xlName="_GBC_72ca4671ba6a42b08d2c82810e8bb231" concept="clcid-pte:YingYuGongJiMiBuKuiSunDaoZhiQiTaQuanYiGongJuZhongDeQiTaBianDongJinE" label="盈余公积弥补亏损导致其他权益工具中的其他变动金额" periodRef="上年同期数" mulRef="_GBC_048773409e614c6bb753000b028316a5" unitRef="_GBC_5214b7a188334da286fc3038d017d072" addr="T3R22C4S1_1" formatStyle="Comma">
          <m:axisValue occRef="母公司"/>
        </m:item>
        <m:item xlName="_GBC_ec67b00acfad481796734066bb652a56" concept="clcid-pte:YingYuGongJiMiBuKuiSunDaoZhiZiBenGongJiBianDongJinE" label="盈余公积弥补亏损导致资本公积变动金额" periodRef="上年同期数" mulRef="_GBC_048773409e614c6bb753000b028316a5" unitRef="_GBC_5214b7a188334da286fc3038d017d072" addr="T3R22C5S1_1" formatStyle="Comma">
          <m:axisValue occRef="母公司"/>
        </m:item>
        <m:item xlName="_GBC_7c679dfe9c494886b7865f3bcb661b9c" concept="clcid-pte:YingYuGongJiMiBuKuiSunDaoZhiKuCunGuBianDongJinE" label="盈余公积弥补亏损导致库存股变动金额" periodRef="上年同期数" mulRef="_GBC_048773409e614c6bb753000b028316a5" unitRef="_GBC_5214b7a188334da286fc3038d017d072" addr="T3R22C6S1_1" formatStyle="Comma">
          <m:axisValue occRef="母公司"/>
        </m:item>
        <m:item xlName="_GBC_c56ad70d9685424e8666953654181e11" concept="clcid-pte:YingYuGongJiMiBuKuiSunDaoZhiQiTaZongHeShouYiBianDongJinE" label="盈余公积弥补亏损导致其他综合收益变动金额" periodRef="上年同期数" mulRef="_GBC_048773409e614c6bb753000b028316a5" unitRef="_GBC_5214b7a188334da286fc3038d017d072" addr="T3R22C7S1_1" formatStyle="Comma">
          <m:axisValue occRef="母公司"/>
        </m:item>
        <m:item xlName="_GBC_2cd4630af24b4c12ae01ad70a9bbc778" concept="clcid-pte:YingYuGongJiMiBuKuiSunDaoZhiZhuanXiangChuBeiBianDongJinE" label="盈余公积弥补亏损导致专项储备变动金额" periodRef="上年同期数" mulRef="_GBC_048773409e614c6bb753000b028316a5" unitRef="_GBC_5214b7a188334da286fc3038d017d072" addr="T3R22C8S1_1" formatStyle="Comma">
          <m:axisValue occRef="母公司"/>
        </m:item>
        <m:item xlName="_GBC_40a2f9b5769841058d412e3124561d5b" concept="clcid-pte:YingYuGongJiMiBuKuiSunDaoZhiYingYuGongJiBianDongJinE" label="盈余公积弥补亏损导致盈余公积变动金额" periodRef="上年同期数" mulRef="_GBC_048773409e614c6bb753000b028316a5" unitRef="_GBC_5214b7a188334da286fc3038d017d072" addr="T3R22C9S1_1" formatStyle="Comma">
          <m:axisValue occRef="母公司"/>
        </m:item>
        <m:item xlName="_GBC_8b5b5a1339e9459d8fd85e710f68df76" concept="clcid-pte:YingYuGongJiMiBuKuiSunDaoZhiWeiFenPeiLiRunBianDongJinE" label="盈余公积弥补亏损导致未分配利润变动金额" periodRef="上年同期数" mulRef="_GBC_048773409e614c6bb753000b028316a5" unitRef="_GBC_5214b7a188334da286fc3038d017d072" addr="T3R22C10S1_1" formatStyle="Comma">
          <m:axisValue occRef="母公司"/>
        </m:item>
        <m:item xlName="_GBC_5ad99d35cef24992844230792ac215e3" concept="clcid-pte:YingYuGongJiMiBuKuiSunDaoZhiGuDongQuanYiHeJiBianDongJinE" label="盈余公积弥补亏损导致股东权益合计变动金额" periodRef="上年同期数" mulRef="_GBC_048773409e614c6bb753000b028316a5" unitRef="_GBC_5214b7a188334da286fc3038d017d072" addr="T3R22C11S1_1" formatStyle="Comma">
          <m:axisValue occRef="母公司"/>
        </m:item>
        <m:placeholder xlName="_PLD_a2566358e2dc4d0b9e534ee13a2b1a26" addr="T3R23C0S1_1"/>
        <m:item xlName="_GBC_7ebcf4fd398a4980ad29c5823d83cad7" concept="clcid-pte:SheDingShouYiJiHuaBianDongEJieZhuanLiuCunShouYiDaoZhiShiShouZiBenHuoGuBenJingEBianDongJinE" label="设定受益计划变动额结转留存收益导致实收资本（或股本）净额变动金额" periodRef="上年同期数" mulRef="_GBC_048773409e614c6bb753000b028316a5" unitRef="_GBC_5214b7a188334da286fc3038d017d072" addr="T3R23C1S1_1" formatStyle="Comma">
          <m:axisValue occRef="母公司"/>
        </m:item>
        <m:item xlName="_GBC_781c0040b4bf431bab92455abac41dfe" concept="clcid-pte:SheDingShouYiJiHuaBianDongEJieZhuanLiuCunShouYiDaoZhiQiTaQuanYiGongJuZhongDeYouXianGuBianDongJinE" label="设定受益计划变动额结转留存收益导致其他权益工具中的优先股变动金额" periodRef="上年同期数" mulRef="_GBC_048773409e614c6bb753000b028316a5" unitRef="_GBC_5214b7a188334da286fc3038d017d072" addr="T3R23C2S1_1" formatStyle="Comma">
          <m:axisValue occRef="母公司"/>
        </m:item>
        <m:item xlName="_GBC_6acc20a1aefd45f89a8951ed5653c40b" concept="clcid-pte:SheDingShouYiJiHuaBianDongEJieZhuanLiuCunShouYiDaoZhiQiTaQuanYiGongJuZhongDeYongXuZhaiBianDongJinE" label="设定受益计划变动额结转留存收益导致其他权益工具中的永续债变动金额" periodRef="上年同期数" mulRef="_GBC_048773409e614c6bb753000b028316a5" unitRef="_GBC_5214b7a188334da286fc3038d017d072" addr="T3R23C3S1_1" formatStyle="Comma">
          <m:axisValue occRef="母公司"/>
        </m:item>
        <m:item xlName="_GBC_9128c329ae21440aa73e706b92be86ac" concept="clcid-pte:SheDingShouYiJiHuaBianDongEJieZhuanLiuCunShouYiDaoZhiQiTaQuanYiGongJuZhongDeQiTaBianDongJinE" label="设定受益计划变动额结转留存收益导致其他权益工具中的其他变动金额" periodRef="上年同期数" mulRef="_GBC_048773409e614c6bb753000b028316a5" unitRef="_GBC_5214b7a188334da286fc3038d017d072" addr="T3R23C4S1_1" formatStyle="Comma">
          <m:axisValue occRef="母公司"/>
        </m:item>
        <m:item xlName="_GBC_ef57e98dfd12466c9d1eaa318f934d56" concept="clcid-pte:SheDingShouYiJiHuaBianDongEJieZhuanLiuCunShouYiDaoZhiZiBenGongJiBianDongJinE" label="设定受益计划变动额结转留存收益导致资本公积变动金额" periodRef="上年同期数" mulRef="_GBC_048773409e614c6bb753000b028316a5" unitRef="_GBC_5214b7a188334da286fc3038d017d072" addr="T3R23C5S1_1" formatStyle="Comma">
          <m:axisValue occRef="母公司"/>
        </m:item>
        <m:item xlName="_GBC_d36e59f053544e2ca092f02ac4870ad3" concept="clcid-pte:SheDingShouYiJiHuaBianDongEJieZhuanLiuCunShouYiDaoZhiKuCunGuBianDongJinE" label="设定受益计划变动额结转留存收益导致库存股变动金额" periodRef="上年同期数" mulRef="_GBC_048773409e614c6bb753000b028316a5" unitRef="_GBC_5214b7a188334da286fc3038d017d072" addr="T3R23C6S1_1" formatStyle="Comma">
          <m:axisValue occRef="母公司"/>
        </m:item>
        <m:item xlName="_GBC_fac4f462a72641df8a151695c8c20ef6" concept="clcid-pte:SheDingShouYiJiHuaBianDongEJieZhuanLiuCunShouYiDaoZhiQiTaZongHeShouYiBianDongJinE" label="设定受益计划变动额结转留存收益导致其他综合收益变动金额" periodRef="上年同期数" mulRef="_GBC_048773409e614c6bb753000b028316a5" unitRef="_GBC_5214b7a188334da286fc3038d017d072" addr="T3R23C7S1_1" formatStyle="Comma">
          <m:axisValue occRef="母公司"/>
        </m:item>
        <m:item xlName="_GBC_115c9b6476c34c3da6f16fb94f869fb0" concept="clcid-pte:SheDingShouYiJiHuaBianDongEJieZhuanLiuCunShouYiDaoZhiZhuanXiangChuBeiBianDongJinE" label="设定受益计划变动额结转留存收益导致专项储备变动金额" periodRef="上年同期数" mulRef="_GBC_048773409e614c6bb753000b028316a5" unitRef="_GBC_5214b7a188334da286fc3038d017d072" addr="T3R23C8S1_1" formatStyle="Comma">
          <m:axisValue occRef="母公司"/>
        </m:item>
        <m:item xlName="_GBC_d4bf88a2855a48928fe4f909b24f7479" concept="clcid-pte:SheDingShouYiJiHuaBianDongEJieZhuanLiuCunShouYiDaoZhiYingYuGongJiBianDongJinE" label="设定受益计划变动额结转留存收益导致盈余公积变动金额" periodRef="上年同期数" mulRef="_GBC_048773409e614c6bb753000b028316a5" unitRef="_GBC_5214b7a188334da286fc3038d017d072" addr="T3R23C9S1_1" formatStyle="Comma">
          <m:axisValue occRef="母公司"/>
        </m:item>
        <m:item xlName="_GBC_341d4c1fff73405ebc8d8233f0a8a2b6" concept="clcid-pte:SheDingShouYiJiHuaBianDongEJieZhuanLiuCunShouYiDaoZhiWeiFenPeiLiRunBianDongJinE" label="设定受益计划变动额结转留存收益导致未分配利润变动金额" periodRef="上年同期数" mulRef="_GBC_048773409e614c6bb753000b028316a5" unitRef="_GBC_5214b7a188334da286fc3038d017d072" addr="T3R23C10S1_1" formatStyle="Comma">
          <m:axisValue occRef="母公司"/>
        </m:item>
        <m:item xlName="_GBC_3e4bbad919494225afc557bf6949aa2a" concept="clcid-pte:SheDingShouYiJiHuaBianDongEJieZhuanLiuCunShouYiDaoZhiGuDongQuanYiHeJiBianDongJinE" label="设定受益计划变动额结转留存收益导致股东权益合计变动金额" periodRef="上年同期数" mulRef="_GBC_048773409e614c6bb753000b028316a5" unitRef="_GBC_5214b7a188334da286fc3038d017d072" addr="T3R23C11S1_1" formatStyle="Comma">
          <m:axisValue occRef="母公司"/>
        </m:item>
        <m:placeholder xlName="_PLD_659907ea90ce4ac18323403c6e02efd1" addr="T3R24C0S1_1"/>
        <m:item xlName="_GBC_a54ecc5f30f14881ad562154d58df7ea" concept="clcid-pte:QiTaZongHeShouYiJieZhuanLiuCunShouYiDaoZhiShiShouZiBenHuoGuBenJingEBianDongJinE" label="其他综合收益结转留存收益导致实收资本（或股本）净额变动金额" periodRef="上年同期数" mulRef="_GBC_048773409e614c6bb753000b028316a5" unitRef="_GBC_5214b7a188334da286fc3038d017d072" addr="T3R24C1S1_1" formatStyle="Comma">
          <m:axisValue occRef="母公司"/>
        </m:item>
        <m:item xlName="_GBC_39d031ca4feb4a43944d469c85b377ed" concept="clcid-pte:QiTaZongHeShouYiJieZhuanLiuCunShouYiDaoZhiQiTaQuanYiGongJuZhongDeYouXianGuBianDongJinE" label="其他综合收益结转留存收益导致其他权益工具中的优先股变动金额" periodRef="上年同期数" mulRef="_GBC_048773409e614c6bb753000b028316a5" unitRef="_GBC_5214b7a188334da286fc3038d017d072" addr="T3R24C2S1_1" formatStyle="Comma">
          <m:axisValue occRef="母公司"/>
        </m:item>
        <m:item xlName="_GBC_dce95e4bbe4848e78df6f7d9c2958858" concept="clcid-pte:QiTaZongHeShouYiJieZhuanLiuCunShouYiDaoZhiQiTaQuanYiGongJuZhongDeYongXuZhaiBianDongJinE" label="其他综合收益结转留存收益导致其他权益工具中的永续债变动金额" periodRef="上年同期数" mulRef="_GBC_048773409e614c6bb753000b028316a5" unitRef="_GBC_5214b7a188334da286fc3038d017d072" addr="T3R24C3S1_1" formatStyle="Comma">
          <m:axisValue occRef="母公司"/>
        </m:item>
        <m:item xlName="_GBC_1c840d4d1f9b433097eb2f18e9ab29f7" concept="clcid-pte:QiTaZongHeShouYiJieZhuanLiuCunShouYiDaoZhiQiTaQuanYiGongJuZhongDeQiTaBianDongJinE" label="其他综合收益结转留存收益导致其他权益工具中的其他变动金额" periodRef="上年同期数" mulRef="_GBC_048773409e614c6bb753000b028316a5" unitRef="_GBC_5214b7a188334da286fc3038d017d072" addr="T3R24C4S1_1" formatStyle="Comma">
          <m:axisValue occRef="母公司"/>
        </m:item>
        <m:item xlName="_GBC_d0d0f7f50a094801843d3a8016a88929" concept="clcid-pte:QiTaZongHeShouYiJieZhuanLiuCunShouYiDaoZhiZiBenGongJiBianDongJinE" label="其他综合收益结转留存收益导致资本公积变动金额" periodRef="上年同期数" mulRef="_GBC_048773409e614c6bb753000b028316a5" unitRef="_GBC_5214b7a188334da286fc3038d017d072" addr="T3R24C5S1_1" formatStyle="Comma">
          <m:axisValue occRef="母公司"/>
        </m:item>
        <m:item xlName="_GBC_a16de1577f564abf928ab03868f366c9" concept="clcid-pte:QiTaZongHeShouYiJieZhuanLiuCunShouYiDaoZhiKuCunGuBianDongJinE" label="其他综合收益结转留存收益导致库存股变动金额" periodRef="上年同期数" mulRef="_GBC_048773409e614c6bb753000b028316a5" unitRef="_GBC_5214b7a188334da286fc3038d017d072" addr="T3R24C6S1_1" formatStyle="Comma">
          <m:axisValue occRef="母公司"/>
        </m:item>
        <m:item xlName="_GBC_2f41a6d495714745bfc852f5838d772a" concept="clcid-pte:QiTaZongHeShouYiJieZhuanLiuCunShouYiDaoZhiQiTaZongHeShouYiBianDongJinE" label="其他综合收益结转留存收益导致其他综合收益变动金额" periodRef="上年同期数" mulRef="_GBC_048773409e614c6bb753000b028316a5" unitRef="_GBC_5214b7a188334da286fc3038d017d072" addr="T3R24C7S1_1" formatStyle="Comma">
          <m:axisValue occRef="母公司"/>
        </m:item>
        <m:item xlName="_GBC_08dc9f8d2392445ead63bf000d73d2fa" concept="clcid-pte:QiTaZongHeShouYiJieZhuanLiuCunShouYiDaoZhiZhuanXiangChuBeiBianDongJinE" label="其他综合收益结转留存收益导致专项储备变动金额" periodRef="上年同期数" mulRef="_GBC_048773409e614c6bb753000b028316a5" unitRef="_GBC_5214b7a188334da286fc3038d017d072" addr="T3R24C8S1_1" formatStyle="Comma">
          <m:axisValue occRef="母公司"/>
        </m:item>
        <m:item xlName="_GBC_733ae184a5df48d7aa9385e46af4a602" concept="clcid-pte:QiTaZongHeShouYiJieZhuanLiuCunShouYiDaoZhiYingYuGongJiBianDongJinE" label="其他综合收益结转留存收益导致盈余公积变动金额" periodRef="上年同期数" mulRef="_GBC_048773409e614c6bb753000b028316a5" unitRef="_GBC_5214b7a188334da286fc3038d017d072" addr="T3R24C9S1_1" formatStyle="Comma">
          <m:axisValue occRef="母公司"/>
        </m:item>
        <m:item xlName="_GBC_eb2176accd0046b99596ef0fe2eb7954" concept="clcid-pte:QiTaZongHeShouYiJieZhuanLiuCunShouYiDaoZhiWeiFenPeiLiRunBianDongJinE" label="其他综合收益结转留存收益导致未分配利润变动金额" periodRef="上年同期数" mulRef="_GBC_048773409e614c6bb753000b028316a5" unitRef="_GBC_5214b7a188334da286fc3038d017d072" addr="T3R24C10S1_1" formatStyle="Comma">
          <m:axisValue occRef="母公司"/>
        </m:item>
        <m:item xlName="_GBC_13d06ab51ed54c5abc79a65175180284" concept="clcid-pte:QiTaZongHeShouYiJieZhuanLiuCunShouYiDaoZhiGuDongQuanYiHeJiBianDongJinE" label="其他综合收益结转留存收益导致股东权益合计变动金额" periodRef="上年同期数" mulRef="_GBC_048773409e614c6bb753000b028316a5" unitRef="_GBC_5214b7a188334da286fc3038d017d072" addr="T3R24C11S1_1" formatStyle="Comma">
          <m:axisValue occRef="母公司"/>
        </m:item>
        <m:placeholder xlName="_PLD_811577c623d04471a27af10d35119258" addr="T3R25C0S1_1"/>
        <m:item xlName="_GBC_d3affa4c8f4e41589d73e645ef44a54b" concept="clcid-pte:QiTaSuoYouZheQuanYiNeiBuJieZhuanDaoZhiShiShouZiBenHuoGuBenJingEBianDongJinE" label="其他所有者权益内部结转导致实收资本（或股本）净额变动金额" periodRef="上年同期数" mulRef="_GBC_048773409e614c6bb753000b028316a5" unitRef="_GBC_5214b7a188334da286fc3038d017d072" addr="T3R25C1S1_1" formatStyle="Comma">
          <m:axisValue occRef="母公司"/>
        </m:item>
        <m:item xlName="_GBC_94cd06be499d4853b0def85b05548836" concept="clcid-pte:QiTaSuoYouZheQuanYiNeiBuJieZhuanDaoZhiQiTaQuanYiGongJuZhongDeYouXianGuBianDongJinE" label="其他所有者权益内部结转导致其他权益工具中的优先股变动金额" periodRef="上年同期数" mulRef="_GBC_048773409e614c6bb753000b028316a5" unitRef="_GBC_5214b7a188334da286fc3038d017d072" addr="T3R25C2S1_1" formatStyle="Comma">
          <m:axisValue occRef="母公司"/>
        </m:item>
        <m:item xlName="_GBC_65b61ab8204d4f05874839c8bcbe72a6" concept="clcid-pte:QiTaSuoYouZheQuanYiNeiBuJieZhuanDaoZhiQiTaQuanYiGongJuZhongDeYongXuZhaiBianDongJinE" label="其他所有者权益内部结转导致其他权益工具中的永续债变动金额" periodRef="上年同期数" mulRef="_GBC_048773409e614c6bb753000b028316a5" unitRef="_GBC_5214b7a188334da286fc3038d017d072" addr="T3R25C3S1_1" formatStyle="Comma">
          <m:axisValue occRef="母公司"/>
        </m:item>
        <m:item xlName="_GBC_4b4070b97f014614b2aa2d847b78e596" concept="clcid-pte:QiTaSuoYouZheQuanYiNeiBuJieZhuanDaoZhiQiTaQuanYiGongJuZhongDeQiTaBianDongJinE" label="其他所有者权益内部结转导致其他权益工具中的其他变动金额" periodRef="上年同期数" mulRef="_GBC_048773409e614c6bb753000b028316a5" unitRef="_GBC_5214b7a188334da286fc3038d017d072" addr="T3R25C4S1_1" formatStyle="Comma">
          <m:axisValue occRef="母公司"/>
        </m:item>
        <m:item xlName="_GBC_45f6d36c262c4c728865fb0bd099127c" concept="clcid-pte:QiTaSuoYouZheQuanYiNeiBuJieZhuanDaoZhiZiBenGongJiBianDongJinE" label="其他所有者权益内部结转导致资本公积变动金额" periodRef="上年同期数" mulRef="_GBC_048773409e614c6bb753000b028316a5" unitRef="_GBC_5214b7a188334da286fc3038d017d072" addr="T3R25C5S1_1" formatStyle="Comma">
          <m:axisValue occRef="母公司"/>
        </m:item>
        <m:item xlName="_GBC_bae6cdb6344e4ca99abbf10aff60fff1" concept="clcid-pte:QiTaSuoYouZheQuanYiNeiBuJieZhuanDaoZhiKuCunGuBianDongJinE" label="其他所有者权益内部结转导致库存股变动金额" periodRef="上年同期数" mulRef="_GBC_048773409e614c6bb753000b028316a5" unitRef="_GBC_5214b7a188334da286fc3038d017d072" addr="T3R25C6S1_1" formatStyle="Comma">
          <m:axisValue occRef="母公司"/>
        </m:item>
        <m:item xlName="_GBC_11c045219f23455085a9fc6688ad4af5" concept="clcid-pte:QiTaSuoYouZheQuanYiNeiBuJieZhuanDaoZhiQiTaZongHeShouYiBianDongJinE" label="其他所有者权益内部结转导致其他综合收益变动金额" periodRef="上年同期数" mulRef="_GBC_048773409e614c6bb753000b028316a5" unitRef="_GBC_5214b7a188334da286fc3038d017d072" addr="T3R25C7S1_1" formatStyle="Comma">
          <m:axisValue occRef="母公司"/>
        </m:item>
        <m:item xlName="_GBC_962951c708d843e8842b0ba3585945af" concept="clcid-pte:QiTaSuoYouZheQuanYiNeiBuJieZhuanDaoZhiZhuanXiangChuBeiBianDongJinE" label="其他所有者权益内部结转导致专项储备变动金额" periodRef="上年同期数" mulRef="_GBC_048773409e614c6bb753000b028316a5" unitRef="_GBC_5214b7a188334da286fc3038d017d072" addr="T3R25C8S1_1" formatStyle="Comma">
          <m:axisValue occRef="母公司"/>
        </m:item>
        <m:item xlName="_GBC_bafb613ec7724ffda45f85dd71cbbb0c" concept="clcid-pte:QiTaSuoYouZheQuanYiNeiBuJieZhuanDaoZhiYingYuGongJiBianDongJinE" label="其他所有者权益内部结转导致盈余公积变动金额" periodRef="上年同期数" mulRef="_GBC_048773409e614c6bb753000b028316a5" unitRef="_GBC_5214b7a188334da286fc3038d017d072" addr="T3R25C9S1_1" formatStyle="Comma">
          <m:axisValue occRef="母公司"/>
        </m:item>
        <m:item xlName="_GBC_ccb4d4deb7f3462f8328e10b914ae571" concept="clcid-pte:QiTaSuoYouZheQuanYiNeiBuJieZhuanDaoZhiWeiFenPeiLiRunBianDongJinE" label="其他所有者权益内部结转导致未分配利润变动金额" periodRef="上年同期数" mulRef="_GBC_048773409e614c6bb753000b028316a5" unitRef="_GBC_5214b7a188334da286fc3038d017d072" addr="T3R25C10S1_1" formatStyle="Comma">
          <m:axisValue occRef="母公司"/>
        </m:item>
        <m:item xlName="_GBC_df53ca6cef314a4d93fe2ad4c9b266b5" concept="clcid-pte:QiTaSuoYouZheQuanYiNeiBuJieZhuanDaoZhiGuDongQuanYiHeJiBianDongJinE" label="其他所有者权益内部结转导致股东权益合计变动金额" periodRef="上年同期数" mulRef="_GBC_048773409e614c6bb753000b028316a5" unitRef="_GBC_5214b7a188334da286fc3038d017d072" addr="T3R25C11S1_1" formatStyle="Comma">
          <m:axisValue occRef="母公司"/>
        </m:item>
        <m:placeholder xlName="_PLD_2a0b15de13474fe285b68b48e29b688f" addr="T3R26C0S1_1"/>
        <m:item xlName="_GBC_c52bf0c19ee6412a88ed16e4ccdd58e9" concept="clcid-pte:ZhuanXiangChuBeiDaoZhiShiShouZiBenHuoGuBenJingEBianDongJinE" label="专项储备导致实收资本（或股本）净额变动金额" periodRef="上年同期数" mulRef="_GBC_048773409e614c6bb753000b028316a5" unitRef="_GBC_5214b7a188334da286fc3038d017d072" addr="T3R26C1S1_1" formatStyle="Comma">
          <m:complexRule comparator="Eq" title="母公司专项储备导致实收资本（或股本）净额变动金额@上年同期数" test=" $_GBC_81f1264fc0044e75a3b6b408a40360af -  $_GBC_f8c7548eb89d45b7ab33b07f6ecc654f" id="Ca560d89d631544d1a73a73ce915df11c"/>
          <m:axisValue occRef="母公司"/>
        </m:item>
        <m:item xlName="_GBC_aafadb71fa4649b7bc0423c67af5fbf7" concept="clcid-pte:ZhuanXiangChuBeiDaoZhiQiTaQuanYiGongJuZhongDeYouXianGuBianDongJinE" label="专项储备导致其他权益工具中的优先股变动金额" periodRef="上年同期数" mulRef="_GBC_048773409e614c6bb753000b028316a5" unitRef="_GBC_5214b7a188334da286fc3038d017d072" addr="T3R26C2S1_1" formatStyle="Comma">
          <m:complexRule comparator="Eq" title="母公司专项储备导致其他权益工具中的优先股变动金额@上年同期数" test=" $_GBC_dafc4090cc9f4c9f8558d695cbb77af1 -  $_GBC_27e744a9e41f4852a58c90a5ea7b3467" id="Ce5f9bb7d3ead4d5c90a6a163ad2b486a"/>
          <m:axisValue occRef="母公司"/>
        </m:item>
        <m:item xlName="_GBC_38525638055440c4aea25d3464d1e1d1" concept="clcid-pte:ZhuanXiangChuBeiDaoZhiQiTaQuanYiGongJuZhongDeYongXuZhaiBianDongJinE" label="专项储备导致其他权益工具中的永续债变动金额" periodRef="上年同期数" mulRef="_GBC_048773409e614c6bb753000b028316a5" unitRef="_GBC_5214b7a188334da286fc3038d017d072" addr="T3R26C3S1_1" formatStyle="Comma">
          <m:complexRule comparator="Eq" title="母公司专项储备导致其他权益工具中的永续债变动金额@上年同期数" test=" $_GBC_ac299294980f4191880e0ecc05159511 -  $_GBC_0b09af4bd9e042beb2b78aa9068b7096" id="Cd310cfabff1e45a49054fd733c158bac"/>
          <m:axisValue occRef="母公司"/>
        </m:item>
        <m:item xlName="_GBC_c037fba370a14bfa8f56d6d99f94c984" concept="clcid-pte:ZhuanXiangChuBeiDaoZhiQiTaQuanYiGongJuZhongDeQiTaBianDongJinE" label="专项储备导致其他权益工具中的其他变动金额" periodRef="上年同期数" mulRef="_GBC_048773409e614c6bb753000b028316a5" unitRef="_GBC_5214b7a188334da286fc3038d017d072" addr="T3R26C4S1_1" formatStyle="Comma">
          <m:complexRule comparator="Eq" title="母公司专项储备导致其他权益工具中的其他变动金额@上年同期数" test=" $_GBC_a60a8f2154354686a40da8e7b91b888c -  $_GBC_0d3b5e202117414381cf43e3f1f1bf87" id="C5cbd9b8caf2e4111a56440156b256c5a"/>
          <m:axisValue occRef="母公司"/>
        </m:item>
        <m:item xlName="_GBC_756e5e6e4d094fb4a12ad31f5984e025" concept="clcid-pte:ZhuanXiangChuBeiDaoZhiZiBenGongJiBianDongJinE" label="专项储备导致资本公积变动金额" periodRef="上年同期数" mulRef="_GBC_048773409e614c6bb753000b028316a5" unitRef="_GBC_5214b7a188334da286fc3038d017d072" addr="T3R26C5S1_1" formatStyle="Comma">
          <m:complexRule comparator="Eq" title="母公司专项储备导致资本公积变动金额@上年同期数" test=" $_GBC_62699a3b4faa43b4a8eab6196229c9a1 -  $_GBC_ed52ff12317143ceb93cdb2609848e01" id="C26d9d0329b554bc28b247d0ecb37b722"/>
          <m:axisValue occRef="母公司"/>
        </m:item>
        <m:item xlName="_GBC_11d87fe6c0fb438d92d1b164f44c0b19" concept="clcid-pte:ZhuanXiangChuBeiDaoZhiKuCunGuBianDongJinE" label="专项储备导致库存股变动金额" periodRef="上年同期数" mulRef="_GBC_048773409e614c6bb753000b028316a5" unitRef="_GBC_5214b7a188334da286fc3038d017d072" addr="T3R26C6S1_1" formatStyle="Comma">
          <m:complexRule comparator="Eq" title="母公司专项储备导致库存股变动金额@上年同期数" test=" $_GBC_d758b3e08f7b405a9bce1d312e545c30 -  $_GBC_92b060f42a9740b3bbeb10d19d9177f5" id="Cdff7b37b161b45c58c708732e56db3fc"/>
          <m:axisValue occRef="母公司"/>
        </m:item>
        <m:item xlName="_GBC_77d0990376fa4c3dba4853bc80e6f32b" concept="clcid-pte:ZhuanXiangChuBeiDaoZhiQiTaZongHeShouYiBianDongJinE" label="专项储备导致其他综合收益变动金额" periodRef="上年同期数" mulRef="_GBC_048773409e614c6bb753000b028316a5" unitRef="_GBC_5214b7a188334da286fc3038d017d072" addr="T3R26C7S1_1" formatStyle="Comma">
          <m:complexRule comparator="Eq" title="母公司专项储备导致其他综合收益变动金额@上年同期数" test=" $_GBC_be434594a7f34efb952f4c4ac1f6f79c -  $_GBC_506e65458ee64e43a798bd4f26c59f5a" id="C07c72226a4a44b589aa885d16c1af303"/>
          <m:axisValue occRef="母公司"/>
        </m:item>
        <m:item xlName="_GBC_b35e7e3ee1e7405f98172f70fde0a158" concept="clcid-pte:ZhuanXiangChuBeiDaoZhiZhuanXiangChuBeiBianDongJinE" label="专项储备导致专项储备变动金额" periodRef="上年同期数" mulRef="_GBC_048773409e614c6bb753000b028316a5" unitRef="_GBC_5214b7a188334da286fc3038d017d072" addr="T3R26C8S1_1" formatStyle="Comma">
          <m:complexRule comparator="Eq" title="母公司专项储备导致专项储备变动金额@上年同期数" test=" $_GBC_6df4ff1711914caab3765c8d65fc67b0 -  $_GBC_e7c1cd92516540039dd7465c92001061" id="Cfa10f102448646a7b508dcab67802acb"/>
          <m:axisValue occRef="母公司"/>
        </m:item>
        <m:item xlName="_GBC_ce70cc6f414d4ff6935f0d37fc8a6e4b" concept="clcid-pte:ZhuanXiangChuBeiDaoZhiYingYuGongJiBianDongJinE" label="专项储备导致盈余公积变动金额" periodRef="上年同期数" mulRef="_GBC_048773409e614c6bb753000b028316a5" unitRef="_GBC_5214b7a188334da286fc3038d017d072" addr="T3R26C9S1_1" formatStyle="Comma">
          <m:complexRule comparator="Eq" title="母公司专项储备导致盈余公积变动金额@上年同期数" test=" $_GBC_e1644560e6a542cabf3c247a5545c84f -  $_GBC_dfc115b8bdc7496e8929676dfe2a9689" id="C00967702215b42d1bb701f53043004e4"/>
          <m:axisValue occRef="母公司"/>
        </m:item>
        <m:item xlName="_GBC_49396ff2dd9c4cdb91081c6bcfb7c444" concept="clcid-pte:ZhuanXiangChuBeiDaoZhiWeiFenPeiLiRunBianDongJinE" label="专项储备导致未分配利润变动金额" periodRef="上年同期数" mulRef="_GBC_048773409e614c6bb753000b028316a5" unitRef="_GBC_5214b7a188334da286fc3038d017d072" addr="T3R26C10S1_1" formatStyle="Comma">
          <m:complexRule comparator="Eq" title="母公司专项储备导致未分配利润变动金额@上年同期数" test=" $_GBC_faacab5c969e49aa80dbac048c9bd1dd -  $_GBC_a3f6b48ada8d47da98db12c8e94a15e5" id="C34e4482451664145a0d0e732eafcb798"/>
          <m:axisValue occRef="母公司"/>
        </m:item>
        <m:item xlName="_GBC_4c59ca81fd0c4a5b8a5dac703c8fbde6" concept="clcid-pte:ZhuanXiangChuBeiDaoZhiGuDongQuanYiHeJiBianDongJinE" label="专项储备导致股东权益合计变动金额" periodRef="上年同期数" mulRef="_GBC_048773409e614c6bb753000b028316a5" unitRef="_GBC_5214b7a188334da286fc3038d017d072" addr="T3R26C11S1_1" formatStyle="Comma">
          <m:complexRule comparator="Eq" title="母公司专项储备导致股东权益合计变动金额@上年同期数" test=" $_GBC_6126d958224e4e48b165883179556a07 -  $_GBC_8646267600474d4683582d6860639a19" id="C84e7e42408cd43fbbb4dcd5a91527357"/>
          <m:axisValue occRef="母公司"/>
        </m:item>
        <m:placeholder xlName="_PLD_8be2fdb078fc42cdaebf61e81ed6d67b" addr="T3R27C0S1_1"/>
        <m:item xlName="_GBC_81f1264fc0044e75a3b6b408a40360af" concept="clcid-pte:TiQuDaoZhiShiShouZiBenHuoGuBenJingEBianDongJinE" label="提取导致实收资本（或股本）净额变动金额" periodRef="上年同期数" mulRef="_GBC_048773409e614c6bb753000b028316a5" unitRef="_GBC_5214b7a188334da286fc3038d017d072" addr="T3R27C1S1_1" formatStyle="Comma">
          <m:axisValue occRef="母公司"/>
        </m:item>
        <m:item xlName="_GBC_dafc4090cc9f4c9f8558d695cbb77af1" concept="clcid-pte:TiQuDaoZhiQiTaQuanYiGongJuZhongDeYouXianGuBianDongJinE" label="提取导致其他权益工具中的优先股变动金额" periodRef="上年同期数" mulRef="_GBC_048773409e614c6bb753000b028316a5" unitRef="_GBC_5214b7a188334da286fc3038d017d072" addr="T3R27C2S1_1" formatStyle="Comma">
          <m:axisValue occRef="母公司"/>
        </m:item>
        <m:item xlName="_GBC_ac299294980f4191880e0ecc05159511" concept="clcid-pte:TiQuDaoZhiQiTaQuanYiGongJuZhongDeYongXuZhaiBianDongJinE" label="提取导致其他权益工具中的永续债变动金额" periodRef="上年同期数" mulRef="_GBC_048773409e614c6bb753000b028316a5" unitRef="_GBC_5214b7a188334da286fc3038d017d072" addr="T3R27C3S1_1" formatStyle="Comma">
          <m:axisValue occRef="母公司"/>
        </m:item>
        <m:item xlName="_GBC_a60a8f2154354686a40da8e7b91b888c" concept="clcid-pte:TiQuDaoZhiQiTaQuanYiGongJuZhongDeQiTaBianDongJinE" label="提取导致其他权益工具中的其他变动金额" periodRef="上年同期数" mulRef="_GBC_048773409e614c6bb753000b028316a5" unitRef="_GBC_5214b7a188334da286fc3038d017d072" addr="T3R27C4S1_1" formatStyle="Comma">
          <m:axisValue occRef="母公司"/>
        </m:item>
        <m:item xlName="_GBC_62699a3b4faa43b4a8eab6196229c9a1" concept="clcid-pte:TiQuDaoZhiZiBenGongJiBianDongJinE" label="提取导致资本公积变动金额" periodRef="上年同期数" mulRef="_GBC_048773409e614c6bb753000b028316a5" unitRef="_GBC_5214b7a188334da286fc3038d017d072" addr="T3R27C5S1_1" formatStyle="Comma">
          <m:axisValue occRef="母公司"/>
        </m:item>
        <m:item xlName="_GBC_d758b3e08f7b405a9bce1d312e545c30" concept="clcid-pte:TiQuDaoZhiKuCunGuBianDongJinE" label="提取导致库存股变动金额" periodRef="上年同期数" mulRef="_GBC_048773409e614c6bb753000b028316a5" unitRef="_GBC_5214b7a188334da286fc3038d017d072" addr="T3R27C6S1_1" formatStyle="Comma">
          <m:axisValue occRef="母公司"/>
        </m:item>
        <m:item xlName="_GBC_be434594a7f34efb952f4c4ac1f6f79c" concept="clcid-pte:TiQuDaoZhiQiTaZongHeShouYiBianDongJinE" label="提取导致其他综合收益变动金额" periodRef="上年同期数" mulRef="_GBC_048773409e614c6bb753000b028316a5" unitRef="_GBC_5214b7a188334da286fc3038d017d072" addr="T3R27C7S1_1" formatStyle="Comma">
          <m:axisValue occRef="母公司"/>
        </m:item>
        <m:item xlName="_GBC_6df4ff1711914caab3765c8d65fc67b0" concept="clcid-pte:TiQuDaoZhiZhuanXiangChuBeiBianDongJinE" label="提取导致专项储备变动金额" periodRef="上年同期数" mulRef="_GBC_048773409e614c6bb753000b028316a5" unitRef="_GBC_5214b7a188334da286fc3038d017d072" addr="T3R27C8S1_1" formatStyle="Comma">
          <m:axisValue occRef="母公司"/>
        </m:item>
        <m:item xlName="_GBC_e1644560e6a542cabf3c247a5545c84f" concept="clcid-pte:TiQuDaoZhiYingYuGongJiBianDongJinE" label="提取导致盈余公积变动金额" periodRef="上年同期数" mulRef="_GBC_048773409e614c6bb753000b028316a5" unitRef="_GBC_5214b7a188334da286fc3038d017d072" addr="T3R27C9S1_1" formatStyle="Comma">
          <m:axisValue occRef="母公司"/>
        </m:item>
        <m:item xlName="_GBC_faacab5c969e49aa80dbac048c9bd1dd" concept="clcid-pte:TiQuDaoZhiWeiFenPeiLiRunBianDongJinE" label="提取导致未分配利润变动金额" periodRef="上年同期数" mulRef="_GBC_048773409e614c6bb753000b028316a5" unitRef="_GBC_5214b7a188334da286fc3038d017d072" addr="T3R27C10S1_1" formatStyle="Comma">
          <m:axisValue occRef="母公司"/>
        </m:item>
        <m:item xlName="_GBC_6126d958224e4e48b165883179556a07" concept="clcid-pte:TiQuDaoZhiGuDongQuanYiHeJiBianDongJinE" label="提取导致股东权益合计变动金额" periodRef="上年同期数" mulRef="_GBC_048773409e614c6bb753000b028316a5" unitRef="_GBC_5214b7a188334da286fc3038d017d072" addr="T3R27C11S1_1" formatStyle="Comma">
          <m:axisValue occRef="母公司"/>
        </m:item>
        <m:placeholder xlName="_PLD_12344832238e442d9f64388fa2af60f1" addr="T3R28C0S1_1"/>
        <m:item xlName="_GBC_f8c7548eb89d45b7ab33b07f6ecc654f" concept="clcid-pte:ShiYongDaoZhiShiShouZiBenHuoGuBenJingEBianDongJinE" label="使用导致实收资本（或股本）净额变动金额" periodRef="上年同期数" mulRef="_GBC_048773409e614c6bb753000b028316a5" unitRef="_GBC_5214b7a188334da286fc3038d017d072" addr="T3R28C1S1_1" formatStyle="Comma">
          <m:axisValue occRef="母公司"/>
        </m:item>
        <m:item xlName="_GBC_27e744a9e41f4852a58c90a5ea7b3467" concept="clcid-pte:ShiYongDaoZhiQiTaQuanYiGongJuZhongDeYouXianGuBianDongJinE" label="使用导致其他权益工具中的优先股变动金额" periodRef="上年同期数" mulRef="_GBC_048773409e614c6bb753000b028316a5" unitRef="_GBC_5214b7a188334da286fc3038d017d072" addr="T3R28C2S1_1" formatStyle="Comma">
          <m:axisValue occRef="母公司"/>
        </m:item>
        <m:item xlName="_GBC_0b09af4bd9e042beb2b78aa9068b7096" concept="clcid-pte:ShiYongDaoZhiQiTaQuanYiGongJuZhongDeYongXuZhaiBianDongJinE" label="使用导致其他权益工具中的永续债变动金额" periodRef="上年同期数" mulRef="_GBC_048773409e614c6bb753000b028316a5" unitRef="_GBC_5214b7a188334da286fc3038d017d072" addr="T3R28C3S1_1" formatStyle="Comma">
          <m:axisValue occRef="母公司"/>
        </m:item>
        <m:item xlName="_GBC_0d3b5e202117414381cf43e3f1f1bf87" concept="clcid-pte:ShiYongDaoZhiQiTaQuanYiGongJuZhongDeQiTaBianDongJinE" label="使用导致其他权益工具中的其他变动金额" periodRef="上年同期数" mulRef="_GBC_048773409e614c6bb753000b028316a5" unitRef="_GBC_5214b7a188334da286fc3038d017d072" addr="T3R28C4S1_1" formatStyle="Comma">
          <m:axisValue occRef="母公司"/>
        </m:item>
        <m:item xlName="_GBC_ed52ff12317143ceb93cdb2609848e01" concept="clcid-pte:ShiYongDaoZhiZiBenGongJiBianDongJinE" label="使用导致资本公积变动金额" periodRef="上年同期数" mulRef="_GBC_048773409e614c6bb753000b028316a5" unitRef="_GBC_5214b7a188334da286fc3038d017d072" addr="T3R28C5S1_1" formatStyle="Comma">
          <m:axisValue occRef="母公司"/>
        </m:item>
        <m:item xlName="_GBC_92b060f42a9740b3bbeb10d19d9177f5" concept="clcid-pte:ShiYongDaoZhiKuCunGuBianDongJinE" label="使用导致库存股变动金额" periodRef="上年同期数" mulRef="_GBC_048773409e614c6bb753000b028316a5" unitRef="_GBC_5214b7a188334da286fc3038d017d072" addr="T3R28C6S1_1" formatStyle="Comma">
          <m:axisValue occRef="母公司"/>
        </m:item>
        <m:item xlName="_GBC_506e65458ee64e43a798bd4f26c59f5a" concept="clcid-pte:ShiYongDaoZhiQiTaZongHeShouYiBianDongJinE" label="使用导致其他综合收益变动金额" periodRef="上年同期数" mulRef="_GBC_048773409e614c6bb753000b028316a5" unitRef="_GBC_5214b7a188334da286fc3038d017d072" addr="T3R28C7S1_1" formatStyle="Comma">
          <m:axisValue occRef="母公司"/>
        </m:item>
        <m:item xlName="_GBC_e7c1cd92516540039dd7465c92001061" concept="clcid-pte:ShiYongDaoZhiZhuanXiangChuBeiBianDongJinE" label="使用导致专项储备变动金额" periodRef="上年同期数" mulRef="_GBC_048773409e614c6bb753000b028316a5" unitRef="_GBC_5214b7a188334da286fc3038d017d072" addr="T3R28C8S1_1" formatStyle="Comma">
          <m:axisValue occRef="母公司"/>
        </m:item>
        <m:item xlName="_GBC_dfc115b8bdc7496e8929676dfe2a9689" concept="clcid-pte:ShiYongDaoZhiYingYuGongJiBianDongJinE" label="使用导致盈余公积变动金额" periodRef="上年同期数" mulRef="_GBC_048773409e614c6bb753000b028316a5" unitRef="_GBC_5214b7a188334da286fc3038d017d072" addr="T3R28C9S1_1" formatStyle="Comma">
          <m:axisValue occRef="母公司"/>
        </m:item>
        <m:item xlName="_GBC_a3f6b48ada8d47da98db12c8e94a15e5" concept="clcid-pte:ShiYongDaoZhiWeiFenPeiLiRunBianDongJinE" label="使用导致未分配利润变动金额" periodRef="上年同期数" mulRef="_GBC_048773409e614c6bb753000b028316a5" unitRef="_GBC_5214b7a188334da286fc3038d017d072" addr="T3R28C10S1_1" formatStyle="Comma">
          <m:axisValue occRef="母公司"/>
        </m:item>
        <m:item xlName="_GBC_8646267600474d4683582d6860639a19" concept="clcid-pte:ShiYongDaoZhiGuDongQuanYiHeJiBianDongJinE" label="使用导致股东权益合计变动金额" periodRef="上年同期数" mulRef="_GBC_048773409e614c6bb753000b028316a5" unitRef="_GBC_5214b7a188334da286fc3038d017d072" addr="T3R28C11S1_1" formatStyle="Comma">
          <m:axisValue occRef="母公司"/>
        </m:item>
        <m:placeholder xlName="_PLD_adc6cb0ad3a14129b7edac5f396c8fd5" addr="T3R29C0S1_1"/>
        <m:item xlName="_GBC_3c285f62d1fd458d96196ec4a0dd2268" concept="clcid-pte:QiTaDaoZhiShiShouZiBenHuoGuBenJingEBianDongJinE" label="其他导致实收资本（或股本）净额变动金额" periodRef="上年同期数" mulRef="_GBC_048773409e614c6bb753000b028316a5" unitRef="_GBC_5214b7a188334da286fc3038d017d072" addr="T3R29C1S1_1" formatStyle="Comma">
          <m:axisValue occRef="母公司"/>
        </m:item>
        <m:item xlName="_GBC_772dec252ad7498ba73abd9cba9e2cda" concept="clcid-pte:QiTaDaoZhiQiTaQuanYiGongJuZhongDeYouXianGuBianDongJinE" label="其他导致其他权益工具中的优先股变动金额" periodRef="上年同期数" mulRef="_GBC_048773409e614c6bb753000b028316a5" unitRef="_GBC_5214b7a188334da286fc3038d017d072" addr="T3R29C2S1_1" formatStyle="Comma">
          <m:axisValue occRef="母公司"/>
        </m:item>
        <m:item xlName="_GBC_c82eafb679454f0cbdb2076cddbc2f9c" concept="clcid-pte:QiTaDaoZhiQiTaQuanYiGongJuZhongDeYongXuZhaiBianDongJinE" label="其他导致其他权益工具中的永续债变动金额" periodRef="上年同期数" mulRef="_GBC_048773409e614c6bb753000b028316a5" unitRef="_GBC_5214b7a188334da286fc3038d017d072" addr="T3R29C3S1_1" formatStyle="Comma">
          <m:axisValue occRef="母公司"/>
        </m:item>
        <m:item xlName="_GBC_d61c39eee25e4f3fa9612a3274abdf60" concept="clcid-pte:QiTaDaoZhiQiTaQuanYiGongJuZhongDeQiTaBianDongJinE" label="其他导致其他权益工具中的其他变动金额" periodRef="上年同期数" mulRef="_GBC_048773409e614c6bb753000b028316a5" unitRef="_GBC_5214b7a188334da286fc3038d017d072" addr="T3R29C4S1_1" formatStyle="Comma">
          <m:axisValue occRef="母公司"/>
        </m:item>
        <m:item xlName="_GBC_481f5de20bd049c28a207fba11a8e658" concept="clcid-pte:QiTaDaoZhiZiBenGongJiBianDongJinE" label="其他导致资本公积变动金额" periodRef="上年同期数" mulRef="_GBC_048773409e614c6bb753000b028316a5" unitRef="_GBC_5214b7a188334da286fc3038d017d072" addr="T3R29C5S1_1" formatStyle="Comma">
          <m:axisValue occRef="母公司"/>
        </m:item>
        <m:item xlName="_GBC_b5e2532c5fe543ac8d95ce36ccf22143" concept="clcid-pte:QiTaDaoZhiKuCunGuBianDongJinE" label="其他导致库存股变动金额" periodRef="上年同期数" mulRef="_GBC_048773409e614c6bb753000b028316a5" unitRef="_GBC_5214b7a188334da286fc3038d017d072" addr="T3R29C6S1_1" formatStyle="Comma">
          <m:axisValue occRef="母公司"/>
        </m:item>
        <m:item xlName="_GBC_66ed8695d4ae47e1b13e54cbac7750cd" concept="clcid-pte:QiTaDaoZhiQiTaZongHeShouYiBianDongJinE" label="其他导致其他综合收益变动金额" periodRef="上年同期数" mulRef="_GBC_048773409e614c6bb753000b028316a5" unitRef="_GBC_5214b7a188334da286fc3038d017d072" addr="T3R29C7S1_1" formatStyle="Comma">
          <m:axisValue occRef="母公司"/>
        </m:item>
        <m:item xlName="_GBC_abee7fadd6d243ffaea451a622ca8e50" concept="clcid-pte:QiTaDaoZhiZhuanXiangChuBeiBianDongJinE" label="其他导致专项储备变动金额" periodRef="上年同期数" mulRef="_GBC_048773409e614c6bb753000b028316a5" unitRef="_GBC_5214b7a188334da286fc3038d017d072" addr="T3R29C8S1_1" formatStyle="Comma">
          <m:axisValue occRef="母公司"/>
        </m:item>
        <m:item xlName="_GBC_e7fe91bead664d42a0e34d8d38894644" concept="clcid-pte:QiTaDaoZhiYingYuGongJiBianDongJinE" label="其他导致盈余公积变动金额" periodRef="上年同期数" mulRef="_GBC_048773409e614c6bb753000b028316a5" unitRef="_GBC_5214b7a188334da286fc3038d017d072" addr="T3R29C9S1_1" formatStyle="Comma">
          <m:axisValue occRef="母公司"/>
        </m:item>
        <m:item xlName="_GBC_aafaad1fc12040c7a3ce232d35d0dbcf" concept="clcid-pte:QiTaDaoZhiWeiFenPeiLiRunBianDongJinE" label="其他导致未分配利润变动金额" periodRef="上年同期数" mulRef="_GBC_048773409e614c6bb753000b028316a5" unitRef="_GBC_5214b7a188334da286fc3038d017d072" addr="T3R29C10S1_1" formatStyle="Comma">
          <m:axisValue occRef="母公司"/>
        </m:item>
        <m:item xlName="_GBC_6fe2dc27a4bc44a29a0b64474033d343" concept="clcid-pte:QiTaDaoZhiGuDongQuanYiHeJiBianDongJinE" label="其他导致股东权益合计变动金额" periodRef="上年同期数" mulRef="_GBC_048773409e614c6bb753000b028316a5" unitRef="_GBC_5214b7a188334da286fc3038d017d072" addr="T3R29C11S1_1" formatStyle="Comma">
          <m:axisValue occRef="母公司"/>
        </m:item>
        <m:placeholder xlName="_PLD_0009c8b4e5ca4d7083f8b2619f6a4584" addr="T3R30C0S1_1"/>
        <m:item xlName="_GBC_1bc2d4d04c454e65b06e6a038ad01c54" concept="clcid-pte:GuBen" label="股本" periodRef="上年同期期末数" mulRef="_GBC_048773409e614c6bb753000b028316a5" unitRef="_GBC_5214b7a188334da286fc3038d017d072" addr="T3R30C1S1_1" formatStyle="Comma">
          <m:complexRule comparator="Eq" title="母公司股本@上年同期期末数" test=" $_GBC_81506e84492f4f00af4a9f4816ac595d +  $_GBC_36cec33ba91447efb182a6f911901adb" id="C0cb3089385f1422e8fe68cd3508350f0"/>
          <m:axisValue occRef="母公司"/>
        </m:item>
        <m:item xlName="_GBC_6573d70498224d0a830cc55d3d0b8e92" concept="clcid-pte:QiTaQuanYiGongJuQiZhongYouXianGu" label="其他权益工具-其中：优先股" periodRef="上年同期期末数" mulRef="_GBC_048773409e614c6bb753000b028316a5" unitRef="_GBC_5214b7a188334da286fc3038d017d072" addr="T3R30C2S1_1" formatStyle="Comma">
          <m:complexRule comparator="Eq" title="母公司其他权益工具-其中：优先股@上年同期期末数" test=" $_GBC_8cd15523ec994dd1888d18acda49f79a +  $_GBC_58b09a3e602042bdac8dc874ff691577" id="C3d7a149ea15b4d01b8045e916ad99d74"/>
          <m:axisValue occRef="母公司"/>
        </m:item>
        <m:item xlName="_GBC_ec3051b0de8c481db2db3cb95bd06201" concept="clcid-pte:QiTaQuanYiGongJuYongXuZhai" label="其他权益工具-永续债" periodRef="上年同期期末数" mulRef="_GBC_048773409e614c6bb753000b028316a5" unitRef="_GBC_5214b7a188334da286fc3038d017d072" addr="T3R30C3S1_1" formatStyle="Comma">
          <m:complexRule comparator="Eq" title="母公司其他权益工具-永续债@上年同期期末数" test=" $_GBC_e0ee0f96384f4731ac9b26ea29553277 +  $_GBC_3bb7a843ff114e069d024217dc575989" id="C810e370258a1411cac496181ae7df19b"/>
          <m:axisValue occRef="母公司"/>
        </m:item>
        <m:item xlName="_GBC_592c7acdcdc448bab6a42a9d9b84672f" concept="clcid-pte:QiTaQuanYiGongJuQiTa" label="其他权益工具-其他" periodRef="上年同期期末数" mulRef="_GBC_048773409e614c6bb753000b028316a5" unitRef="_GBC_5214b7a188334da286fc3038d017d072" addr="T3R30C4S1_1" formatStyle="Comma">
          <m:complexRule comparator="Eq" title="母公司其他权益工具-其他@上年同期期末数" test=" $_GBC_edc14c2fd7df48949f7f8547e0057d52 +  $_GBC_20204f10729243a5870e4153ec76b379" id="C3881dc8bcf87406e8efa998b28a2e318"/>
          <m:axisValue occRef="母公司"/>
        </m:item>
        <m:item xlName="_GBC_1a2aa8a3a5bc40ddb865c114902ab04f" concept="clcid-pte:ZiBenGongJi" label="资本公积" periodRef="上年同期期末数" mulRef="_GBC_048773409e614c6bb753000b028316a5" unitRef="_GBC_5214b7a188334da286fc3038d017d072" addr="T3R30C5S1_1" formatStyle="Comma">
          <m:complexRule comparator="Eq" title="母公司资本公积@上年同期期末数" test=" $_GBC_dc911e1c0c0140beaadeea0c7f9cb99b +  $_GBC_bd0dc3c162cc425798a8258cbaadbe24" id="C1bd648f0595e4adc89d675bd1037abb3"/>
          <m:axisValue occRef="母公司"/>
        </m:item>
        <m:item xlName="_GBC_179ae4a9431d4edfa4d1ffbd3603ca68" concept="clcid-pte:KuCunGu" label="库存股" periodRef="上年同期期末数" mulRef="_GBC_048773409e614c6bb753000b028316a5" unitRef="_GBC_5214b7a188334da286fc3038d017d072" addr="T3R30C6S1_1" formatStyle="Comma">
          <m:complexRule comparator="Eq" title="母公司库存股@上年同期期末数" test=" $_GBC_d87b9676c83649d39a619c314692dcaf +  $_GBC_c6d4bb32519a478594bcfef3ceda4b3d" id="C9c70932e916b4487afeec50a16b74795"/>
          <m:axisValue occRef="母公司"/>
        </m:item>
        <m:item xlName="_GBC_3a052738b3f642c3ae8273f11c3134dc" concept="clcid-pte:QiTaZongHeShouYiZiChanFuZhaiBiaoXiangMu" label="其他综合收益（资产负债表项目）" periodRef="上年同期期末数" mulRef="_GBC_048773409e614c6bb753000b028316a5" unitRef="_GBC_5214b7a188334da286fc3038d017d072" addr="T3R30C7S1_1" formatStyle="Comma">
          <m:complexRule comparator="Eq" title="母公司其他综合收益（资产负债表项目）@上年同期期末数" test=" $_GBC_6d145d9657f44521aa3d46c7b6321381 +  $_GBC_2b7963fe413c4b099dba1e05f4059834" id="C206cb43f2e02429fb102af3ae8e8f3dd"/>
          <m:axisValue occRef="母公司"/>
        </m:item>
        <m:item xlName="_GBC_5ef06ad7fd034355b46fed863141a8ad" concept="clcid-pte:ZhuanXiangChuBei" label="专项储备" periodRef="上年同期期末数" mulRef="_GBC_048773409e614c6bb753000b028316a5" unitRef="_GBC_5214b7a188334da286fc3038d017d072" addr="T3R30C8S1_1" formatStyle="Comma">
          <m:complexRule comparator="Eq" title="母公司专项储备@上年同期期末数" test=" $_GBC_b2bd2eeb6e644fc4a095222b2af9aaf4 +  $_GBC_70d76e6f2aa5405a90a77991ef7fc0b9" id="C91b623a7a6064af6a5de3cbad8cfbb9a"/>
          <m:axisValue occRef="母公司"/>
        </m:item>
        <m:item xlName="_GBC_808569e60b76440aa45b976c2e92b9f5" concept="clcid-pte:YingYuGongJi" label="盈余公积" periodRef="上年同期期末数" mulRef="_GBC_048773409e614c6bb753000b028316a5" unitRef="_GBC_5214b7a188334da286fc3038d017d072" addr="T3R30C9S1_1" formatStyle="Comma">
          <m:complexRule comparator="Eq" title="母公司盈余公积@上年同期期末数" test=" $_GBC_65eeed92e2b14ea5883fcb0487da19f1 +  $_GBC_fd9fe83281aa406d803bd31275d27802" id="Cb1d94a8fe21b4e1fbb001df6c0c12bc3"/>
          <m:axisValue occRef="母公司"/>
        </m:item>
        <m:item xlName="_GBC_5e435f0c89ce4a1d8e107018bb999f71" concept="clcid-pte:WeiFenPeiLiRun" label="未分配利润" periodRef="上年同期期末数" mulRef="_GBC_048773409e614c6bb753000b028316a5" unitRef="_GBC_5214b7a188334da286fc3038d017d072" addr="T3R30C10S1_1" formatStyle="Comma">
          <m:complexRule comparator="Eq" title="母公司未分配利润@上年同期期末数" test=" $_GBC_4048bba00d6a48acb1daaa86900788d8 +  $_GBC_dafcc9b9aeb54231a52703e43a511e04" id="C269b928ce04d4a93a7363b3e6ee2761e"/>
          <m:axisValue occRef="母公司"/>
        </m:item>
        <m:item xlName="_GBC_0e03429644864a3ca54f947ac7a03d97" concept="clcid-pte:GuDongQuanYiHeJi" label="股东权益合计" periodRef="上年同期期末数" mulRef="_GBC_048773409e614c6bb753000b028316a5" unitRef="_GBC_5214b7a188334da286fc3038d017d072" addr="T3R30C11S1_1" formatStyle="Comma">
          <m:complexRule comparator="Eq" title="母公司股东权益合计@上年同期期末数" test=" $_GBC_5982de2520b94f22aaf4cd2c9647effb +  $_GBC_5214dbf793d44c1ba8b0e418270c91c0" id="C1044b99dd1c84e528346791f55787b02"/>
          <m:axisValue occRef="母公司"/>
        </m:item>
        <m:item xlName="_GBC_6042a2c12168484781348969a4da3e4c" concept="clcid-mr:GongSiFuZeRenXingMing" label="公司负责人姓名" binding="true"/>
        <m:item xlName="_GBC_3008dab61aca43f0a6d82ef192943e79" concept="clcid-mr:ZhuGuanKuaiJiGongZuoFuZeRenXingMing" label="主管会计工作负责人姓名" binding="true"/>
        <m:item xlName="_GBC_e6c21b270080402ca8dbdc0cab514bde" concept="clcid-mr:KuaiJiJiGouFuZeRenXingMing" label="会计机构负责人姓名" binding="true"/>
      </m:region>
    </m:section>
    <m:section xlName="_GBC_f6396333f93949a599b3a170d5a7962b" title="无需编制合并报表" checkKey="!合并" helpId="112001001" primarySection="_GBC_3b1dcbfa33024cc0a5c2f3d693817342" optionText="无需编制合并报表" activeContentOption="_GBC_f6396333f93949a599b3a170d5a7962b" optionGroupTitle="是否需要合并报表" optionTargetConcept="clcid-ci-ar:ShiFouXuYaoHeBingBaoBiao" optionTargetConceptValue="false" matrix="true" matrixTablePrefix="所有者权益变动表" keyAction="57">
      <m:item xlName="_GBC_375aa5b655854a6fa4ef44766a5a9d36" concept="clcid-ci-ar:DanWeiMuGongSiGuDongQuanYiDiaoJieBiao" label="单位：母公司股东权益调节表" selectOptions="_buildInScales" controlType="Combobox" cellType="Scale"/>
      <m:item xlName="_GBC_6053d48a4e214ab7b17d03b28b93cb76" concept="clcid-ci-ar:BiZhongMuGongSiGuDongQuanYiDiaoJieBiao" label="币种：母公司股东权益调节表" selectOptions="_buildInISO4217" controlType="Combobox" cellType="Measure"/>
      <m:placeholder xlName="_PLD_9c6708a7002d422c916d211ae5f9b279" addr="T0R0C0S3_1"/>
      <m:placeholder xlName="_PLD_4ddaa2873c264a53989f6da1b300c62a" addr="T0R0C1S1_11"/>
      <m:placeholder xlName="_PLD_a7cb908850c4471f9f52788d082f4c90" addr="T0R1C1S2_1"/>
      <m:placeholder xlName="_PLD_14d5a7dd4f6f44479172333c00d3204a" addr="T0R1C2S1_3"/>
      <m:placeholder xlName="_PLD_110c333252644e3f8210e1f30c0911de" addr="T0R1C5S2_1"/>
      <m:placeholder xlName="_PLD_580ebc98acda4879acd4a2c40ab1e2f6" addr="T0R1C6S2_1"/>
      <m:placeholder xlName="_PLD_bb2eecef1d164cf6bee211fc7ee697ad" addr="T0R1C7S2_1"/>
      <m:placeholder xlName="_PLD_848377f1c7c74a22ad498cca750eac77" addr="T0R1C8S2_1"/>
      <m:placeholder xlName="_PLD_aaca0bab6b584caa8af7e631d5c7c617" addr="T0R1C9S2_1"/>
      <m:placeholder xlName="_PLD_8f583b3c039540af9aae044b94430096" addr="T0R1C10S2_1"/>
      <m:placeholder xlName="_PLD_cd2c91ba227a49098fb783bbd66f216a" addr="T0R1C11S2_1"/>
      <m:placeholder xlName="_PLD_4b29ec2da49c4657aa87dd5b01b68ed8" addr="T0R2C2S1_1"/>
      <m:placeholder xlName="_PLD_af71df91aad041ee987803f63137eb06" addr="T0R2C3S1_1"/>
      <m:placeholder xlName="_PLD_424f66ec64c946639e27f275624cbe42" addr="T0R2C4S1_1"/>
      <m:placeholder xlName="_PLD_0d87c15f05744da78334fba21043a12e" addr="T0R3C0S1_1"/>
      <m:item xlName="_GBC_23568514de5b454f892a18ef4e365d97" concept="clcid-pte:GuBen" label="股本" periodRef="上年度期末数" mulRef="_GBC_375aa5b655854a6fa4ef44766a5a9d36" unitRef="_GBC_6053d48a4e214ab7b17d03b28b93cb76" addr="T0R3C1S1_1" formatStyle="Comma">
        <m:axisValue occRef="调整前的值"/>
      </m:item>
      <m:item xlName="_GBC_c34a20865d884b79a7b607bb57556bd0" concept="clcid-pte:QiTaQuanYiGongJuQiZhongYouXianGu" label="其他权益工具-其中：优先股" periodRef="上年度期末数" mulRef="_GBC_375aa5b655854a6fa4ef44766a5a9d36" unitRef="_GBC_6053d48a4e214ab7b17d03b28b93cb76" addr="T0R3C2S1_1" formatStyle="Comma">
        <m:axisValue occRef="调整前的值"/>
      </m:item>
      <m:item xlName="_GBC_33807ab593324748b5c45fcc58c3f75f" concept="clcid-pte:QiTaQuanYiGongJuYongXuZhai" label="其他权益工具-永续债" periodRef="上年度期末数" mulRef="_GBC_375aa5b655854a6fa4ef44766a5a9d36" unitRef="_GBC_6053d48a4e214ab7b17d03b28b93cb76" addr="T0R3C3S1_1" formatStyle="Comma">
        <m:axisValue occRef="调整前的值"/>
      </m:item>
      <m:item xlName="_GBC_fd503e0613444b0fa06d6471c06c460c" concept="clcid-pte:QiTaQuanYiGongJuQiTa" label="其他权益工具-其他" periodRef="上年度期末数" mulRef="_GBC_375aa5b655854a6fa4ef44766a5a9d36" unitRef="_GBC_6053d48a4e214ab7b17d03b28b93cb76" addr="T0R3C4S1_1" formatStyle="Comma">
        <m:axisValue occRef="调整前的值"/>
      </m:item>
      <m:item xlName="_GBC_39e95eda4c45445c9c61fdb63976df90" concept="clcid-pte:ZiBenGongJi" label="资本公积" periodRef="上年度期末数" mulRef="_GBC_375aa5b655854a6fa4ef44766a5a9d36" unitRef="_GBC_6053d48a4e214ab7b17d03b28b93cb76" addr="T0R3C5S1_1" formatStyle="Comma">
        <m:axisValue occRef="调整前的值"/>
      </m:item>
      <m:item xlName="_GBC_86efe48c81a04c18917d40e58153ecab" concept="clcid-pte:KuCunGu" label="库存股" periodRef="上年度期末数" mulRef="_GBC_375aa5b655854a6fa4ef44766a5a9d36" unitRef="_GBC_6053d48a4e214ab7b17d03b28b93cb76" addr="T0R3C6S1_1" formatStyle="Comma">
        <m:axisValue occRef="调整前的值"/>
      </m:item>
      <m:item xlName="_GBC_0d21dbde91b74c1cba93a246300f22e9" concept="clcid-pte:QiTaZongHeShouYiZiChanFuZhaiBiaoXiangMu" label="其他综合收益（资产负债表项目）" periodRef="上年度期末数" mulRef="_GBC_375aa5b655854a6fa4ef44766a5a9d36" unitRef="_GBC_6053d48a4e214ab7b17d03b28b93cb76" addr="T0R3C7S1_1" formatStyle="Comma">
        <m:axisValue occRef="调整前的值"/>
      </m:item>
      <m:item xlName="_GBC_de31d06e15454fda8270bf171d6505fb" concept="clcid-pte:ZhuanXiangChuBei" label="专项储备" periodRef="上年度期末数" mulRef="_GBC_375aa5b655854a6fa4ef44766a5a9d36" unitRef="_GBC_6053d48a4e214ab7b17d03b28b93cb76" addr="T0R3C8S1_1" formatStyle="Comma">
        <m:axisValue occRef="调整前的值"/>
      </m:item>
      <m:item xlName="_GBC_0ab8dc4570a04620818a2023dd1aa95c" concept="clcid-pte:YingYuGongJi" label="盈余公积" periodRef="上年度期末数" mulRef="_GBC_375aa5b655854a6fa4ef44766a5a9d36" unitRef="_GBC_6053d48a4e214ab7b17d03b28b93cb76" addr="T0R3C9S1_1" formatStyle="Comma">
        <m:axisValue occRef="调整前的值"/>
      </m:item>
      <m:item xlName="_GBC_d99a05751c6b44988a1ee25001d06794" concept="clcid-pte:WeiFenPeiLiRun" label="未分配利润" periodRef="上年度期末数" mulRef="_GBC_375aa5b655854a6fa4ef44766a5a9d36" unitRef="_GBC_6053d48a4e214ab7b17d03b28b93cb76" addr="T0R3C10S1_1" formatStyle="Comma">
        <m:axisValue occRef="调整前的值"/>
      </m:item>
      <m:item xlName="_GBC_5447b2b0fbd14a6ea3e6dcdfaa8f64c7" concept="clcid-pte:GuDongQuanYiHeJi" label="股东权益合计" periodRef="上年度期末数" mulRef="_GBC_375aa5b655854a6fa4ef44766a5a9d36" unitRef="_GBC_6053d48a4e214ab7b17d03b28b93cb76" addr="T0R3C11S1_1" formatStyle="Comma">
        <m:axisValue occRef="调整前的值"/>
      </m:item>
      <m:placeholder xlName="_PLD_55b8300613d44d3ea3180f56a4d54c61" addr="T0R4C0S1_1"/>
      <m:item xlName="_GBC_cb6c5f7249224098888b4e4e291e1780" concept="clcid-pte:KuaiJiZhengCeBianGengDaoZhiShiShouZiBenHuoGuBenJingEBianDongJinE" label="会计政策变更导致实收资本（或股本）净额变动金额" periodRef="本期期初数" mulRef="_GBC_375aa5b655854a6fa4ef44766a5a9d36" unitRef="_GBC_6053d48a4e214ab7b17d03b28b93cb76" addr="T0R4C1S1_1" formatStyle="Comma"/>
      <m:item xlName="_GBC_2736dd3976c8447f98e6fd78c293db7a" concept="clcid-pte:HuiJiZhengCeBianGengDaoZhiYouXianGuBianDongJinE" label="会计政策变更导致优先股变动金额" periodRef="本期期初数" mulRef="_GBC_375aa5b655854a6fa4ef44766a5a9d36" unitRef="_GBC_6053d48a4e214ab7b17d03b28b93cb76" addr="T0R4C2S1_1" formatStyle="Comma"/>
      <m:item xlName="_GBC_76f20ac865bc4dccbf4fad725f42310c" concept="clcid-pte:HuiJiZhengCeBianGengDaoZhiYongXuZhaiBianDongJinE" label="会计政策变更导致永续债变动金额" periodRef="本期期初数" mulRef="_GBC_375aa5b655854a6fa4ef44766a5a9d36" unitRef="_GBC_6053d48a4e214ab7b17d03b28b93cb76" addr="T0R4C3S1_1" formatStyle="Comma"/>
      <m:item xlName="_GBC_351959fb28ba4e05b552decc8030bb4b" concept="clcid-pte:HuiJiZhengCeBianGengDaoZhiQiTaQuanYiGongJuZhongDeQiTaBianDongJinE" label="会计政策变更导致其他权益工具中的其他变动金额" periodRef="本期期初数" mulRef="_GBC_375aa5b655854a6fa4ef44766a5a9d36" unitRef="_GBC_6053d48a4e214ab7b17d03b28b93cb76" addr="T0R4C4S1_1" formatStyle="Comma"/>
      <m:item xlName="_GBC_05b83dea315f4bfdae7dedba928d4a44" concept="clcid-pte:KuaiJiZhengCeBianGengDaoZhiZiBenGongJiBianDongJinE" label="会计政策变更导致资本公积变动金额" periodRef="本期期初数" mulRef="_GBC_375aa5b655854a6fa4ef44766a5a9d36" unitRef="_GBC_6053d48a4e214ab7b17d03b28b93cb76" addr="T0R4C5S1_1" formatStyle="Comma"/>
      <m:item xlName="_GBC_bdb7cb6651ff493a83894b39c35f7e7c" concept="clcid-pte:KuaiJiZhengCeBianGengDaoZhiKuCunGuBianDongJinE" label="会计政策变更导致库存股变动金额" periodRef="本期期初数" mulRef="_GBC_375aa5b655854a6fa4ef44766a5a9d36" unitRef="_GBC_6053d48a4e214ab7b17d03b28b93cb76" addr="T0R4C6S1_1" formatStyle="Comma"/>
      <m:item xlName="_GBC_684ff774441d4faebb782582bc8f0aa2" concept="clcid-pte:HuiJiZhengCeBianGengDaoZhiQiTaZongHeShouYiBianDongJinE" label="会计政策变更导致其他综合收益变动金额" periodRef="本期期初数" mulRef="_GBC_375aa5b655854a6fa4ef44766a5a9d36" unitRef="_GBC_6053d48a4e214ab7b17d03b28b93cb76" addr="T0R4C7S1_1" formatStyle="Comma"/>
      <m:item xlName="_GBC_22ffa690d66b4fe1a01c5a0f3d723e1f" concept="clcid-pte:KuaiJiZhengCeBianGengDaoZhiZhuanXiangChuBeiBianDongJinE" label="会计政策变更导致专项储备变动金额" periodRef="本期期初数" mulRef="_GBC_375aa5b655854a6fa4ef44766a5a9d36" unitRef="_GBC_6053d48a4e214ab7b17d03b28b93cb76" addr="T0R4C8S1_1" formatStyle="Comma"/>
      <m:item xlName="_GBC_fcdb9594b57c4382bd28fc75f260b6e8" concept="clcid-pte:KuaiJiZhengCeBianGengDaoZhiYingYuGongJiBianDongJinE" label="会计政策变更导致盈余公积变动金额" periodRef="本期期初数" mulRef="_GBC_375aa5b655854a6fa4ef44766a5a9d36" unitRef="_GBC_6053d48a4e214ab7b17d03b28b93cb76" addr="T0R4C9S1_1" formatStyle="Comma"/>
      <m:item xlName="_GBC_edb7f3197dd14593856e7511c60cf7ae" concept="clcid-pte:KuaiJiZhengCeBianGengDaoZhiWeiFenPeiLiRunBianDongJinE" label="会计政策变更导致未分配利润变动金额" periodRef="本期期初数" mulRef="_GBC_375aa5b655854a6fa4ef44766a5a9d36" unitRef="_GBC_6053d48a4e214ab7b17d03b28b93cb76" addr="T0R4C10S1_1" formatStyle="Comma"/>
      <m:item xlName="_GBC_2524f873be8a4b54ac8de2ee8a5a7722" concept="clcid-pte:KuaiJiZhengCeBianGengDaoZhiGuDongQuanYiHeJiBianDongJinE" label="会计政策变更导致股东权益合计变动金额" periodRef="本期期初数" mulRef="_GBC_375aa5b655854a6fa4ef44766a5a9d36" unitRef="_GBC_6053d48a4e214ab7b17d03b28b93cb76" addr="T0R4C11S1_1" formatStyle="Comma"/>
      <m:placeholder xlName="_PLD_4e339f4515754044a20256ab0334c6ac" addr="T0R5C0S1_1"/>
      <m:item xlName="_GBC_84afcadaf68044e682e49a25eea052d9" concept="clcid-pte:QianQiChaCuoGengZhengDaoZhiShiShouZiBenHuoGuBenJingEBianDongJinE" label="前期差错更正导致实收资本（或股本）净额变动金额" periodRef="本期期初数" mulRef="_GBC_375aa5b655854a6fa4ef44766a5a9d36" unitRef="_GBC_6053d48a4e214ab7b17d03b28b93cb76" addr="T0R5C1S1_1" formatStyle="Comma"/>
      <m:item xlName="_GBC_9e34c2fbaedc41348f8a92c18fdeb484" concept="clcid-pte:QianQiChaCuoGengZhengDaoZhiYouXianGuBianDongJinE" label="前期差错更正导致优先股变动金额" periodRef="本期期初数" mulRef="_GBC_375aa5b655854a6fa4ef44766a5a9d36" unitRef="_GBC_6053d48a4e214ab7b17d03b28b93cb76" addr="T0R5C2S1_1" formatStyle="Comma"/>
      <m:item xlName="_GBC_0f7e9739c6f9406a97ed9d87eb2aa580" concept="clcid-pte:QianQiChaCuoGengZhengDaoZhiYongXuZhaiBianDongJinE" label="前期差错更正导致永续债变动金额" periodRef="本期期初数" mulRef="_GBC_375aa5b655854a6fa4ef44766a5a9d36" unitRef="_GBC_6053d48a4e214ab7b17d03b28b93cb76" addr="T0R5C3S1_1" formatStyle="Comma"/>
      <m:item xlName="_GBC_c09a7191e564486883198444730ec26e" concept="clcid-pte:QianQiChaCuoGengZhengDaoZhiQiTaQuanYiGongJuZhongDeQiTaBianDongJinE" label="前期差错更正导致其他权益工具中的其他变动金额" periodRef="本期期初数" mulRef="_GBC_375aa5b655854a6fa4ef44766a5a9d36" unitRef="_GBC_6053d48a4e214ab7b17d03b28b93cb76" addr="T0R5C4S1_1" formatStyle="Comma"/>
      <m:item xlName="_GBC_81f6663dd5f04cb69e6ada2d35d2ec3a" concept="clcid-pte:QianQiChaCuoGengZhengDaoZhiZiBenGongJiBianDongJinE" label="前期差错更正导致资本公积变动金额" periodRef="本期期初数" mulRef="_GBC_375aa5b655854a6fa4ef44766a5a9d36" unitRef="_GBC_6053d48a4e214ab7b17d03b28b93cb76" addr="T0R5C5S1_1" formatStyle="Comma"/>
      <m:item xlName="_GBC_6286ad2d5ffb44038feec5aba61982e2" concept="clcid-pte:QianQiChaCuoGengZhengDaoZhiKuCunGuBianDongJinE" label="前期差错更正导致库存股变动金额" periodRef="本期期初数" mulRef="_GBC_375aa5b655854a6fa4ef44766a5a9d36" unitRef="_GBC_6053d48a4e214ab7b17d03b28b93cb76" addr="T0R5C6S1_1" formatStyle="Comma"/>
      <m:item xlName="_GBC_ae1eee33aa574cdf9588dcec8276869c" concept="clcid-pte:QianQiChaCuoGengZhengDaoZhiQiTaZongHeShouYiBianDongJinE" label="前期差错更正导致其他综合收益变动金额" periodRef="本期期初数" mulRef="_GBC_375aa5b655854a6fa4ef44766a5a9d36" unitRef="_GBC_6053d48a4e214ab7b17d03b28b93cb76" addr="T0R5C7S1_1" formatStyle="Comma"/>
      <m:item xlName="_GBC_8d1ef808fba54f7d948ab5e20315f4f7" concept="clcid-pte:QianQiChaCuoGengZhengDaoZhiZhuanXiangChuBeiBianDongJinE" label="前期差错更正导致专项储备变动金额" periodRef="本期期初数" mulRef="_GBC_375aa5b655854a6fa4ef44766a5a9d36" unitRef="_GBC_6053d48a4e214ab7b17d03b28b93cb76" addr="T0R5C8S1_1" formatStyle="Comma"/>
      <m:item xlName="_GBC_d4426cf7248e4f9093a099de53dd1da2" concept="clcid-pte:QianQiChaCuoGengZhengDaoZhiYingYuGongJiBianDongJinE" label="前期差错更正导致盈余公积变动金额" periodRef="本期期初数" mulRef="_GBC_375aa5b655854a6fa4ef44766a5a9d36" unitRef="_GBC_6053d48a4e214ab7b17d03b28b93cb76" addr="T0R5C9S1_1" formatStyle="Comma"/>
      <m:item xlName="_GBC_fc123b0733d84ef5a2b9e127c8ad84f5" concept="clcid-pte:QianQiChaCuoGengZhengDaoZhiWeiFenPeiLiRunBianDongJinE" label="前期差错更正导致未分配利润变动金额" periodRef="本期期初数" mulRef="_GBC_375aa5b655854a6fa4ef44766a5a9d36" unitRef="_GBC_6053d48a4e214ab7b17d03b28b93cb76" addr="T0R5C10S1_1" formatStyle="Comma"/>
      <m:item xlName="_GBC_abbde7119e814e84b924c8fe4784ec03" concept="clcid-pte:QianQiChaCuoGengZhengDaoZhiGuDongQuanYiHeJiBianDongJinE" label="前期差错更正导致股东权益合计变动金额" periodRef="本期期初数" mulRef="_GBC_375aa5b655854a6fa4ef44766a5a9d36" unitRef="_GBC_6053d48a4e214ab7b17d03b28b93cb76" addr="T0R5C11S1_1" formatStyle="Comma"/>
      <m:placeholder xlName="_PLD_be807341d82f49d284531ccfec3a2d1b" addr="T0R6C0S1_1"/>
      <m:item xlName="_GBC_9e3831a92e074e7b9bf3ef964e790dff" concept="clcid-pte:QiTaZhuiSuTiaoZhengDaoZhiShiShouZiBenBianDongJinE" label="实收资本变动金额（其他追溯调整）" periodRef="本期期初数" mulRef="_GBC_375aa5b655854a6fa4ef44766a5a9d36" unitRef="_GBC_6053d48a4e214ab7b17d03b28b93cb76" addr="T0R6C1S1_1" formatStyle="Comma"/>
      <m:item xlName="_GBC_23e87c7c2b264289b98cd2fa772969d8" concept="clcid-pte:YouXianGuBianDongJinEQiTaZhuiSuDiaoZheng" label="优先股变动金额（其他追溯调整）" periodRef="本期期初数" mulRef="_GBC_375aa5b655854a6fa4ef44766a5a9d36" unitRef="_GBC_6053d48a4e214ab7b17d03b28b93cb76" addr="T0R6C2S1_1" formatStyle="Comma"/>
      <m:item xlName="_GBC_73a4d821c0aa42e8aa2d3ee36f252a88" concept="clcid-pte:YongXuZhaiBianDongJinEQiTaZhuiSuDiaoZheng" label="永续债变动金额（其他追溯调整）" periodRef="本期期初数" mulRef="_GBC_375aa5b655854a6fa4ef44766a5a9d36" unitRef="_GBC_6053d48a4e214ab7b17d03b28b93cb76" addr="T0R6C3S1_1" formatStyle="Comma"/>
      <m:item xlName="_GBC_568140ca0a104009ab66816821a63d1e" concept="clcid-pte:QiTaQuanYiGongJuZhongDeQiTaBianDongJinEQiTaZhuiSuDiaoZheng" label="其他权益工具中的其他变动金额（其他追溯调整）" periodRef="本期期初数" mulRef="_GBC_375aa5b655854a6fa4ef44766a5a9d36" unitRef="_GBC_6053d48a4e214ab7b17d03b28b93cb76" addr="T0R6C4S1_1" formatStyle="Comma"/>
      <m:item xlName="_GBC_e8dd8117e9704b1981d63478bcb3dc5f" concept="clcid-pte:QiTaZhuiSuTiaoZhengDaoZhiZiBenGongJiBianDongJinE" label="资本公积变动金额（其他追溯调整）" periodRef="本期期初数" mulRef="_GBC_375aa5b655854a6fa4ef44766a5a9d36" unitRef="_GBC_6053d48a4e214ab7b17d03b28b93cb76" addr="T0R6C5S1_1" formatStyle="Comma"/>
      <m:item xlName="_GBC_4901a4a3c8e64061b9bb65218703ae2d" concept="clcid-pte:QiTaZhuiSuTiaoZhengDaoZhiKuCunGuBianDongJinE" label="库存股变动金额（其他追溯调整）" periodRef="本期期初数" mulRef="_GBC_375aa5b655854a6fa4ef44766a5a9d36" unitRef="_GBC_6053d48a4e214ab7b17d03b28b93cb76" addr="T0R6C6S1_1" formatStyle="Comma"/>
      <m:item xlName="_GBC_8c29a0c58c484c65b42774f0399fbc74" concept="clcid-pte:QiTaZongHeShouYiBianDongJinEQiTaZhuiSuDiaoZheng" label="其他综合收益变动金额（其他追溯调整）" periodRef="本期期初数" mulRef="_GBC_375aa5b655854a6fa4ef44766a5a9d36" unitRef="_GBC_6053d48a4e214ab7b17d03b28b93cb76" addr="T0R6C7S1_1" formatStyle="Comma"/>
      <m:item xlName="_GBC_a4d0a14f0d8241109bd8501a8331f223" concept="clcid-pte:QiTaZhuiSuTiaoZhengDaoZhiZhuanXiangChuBeiBianDongJinE" label="专项储备变动金额（其他追溯调整）" periodRef="本期期初数" mulRef="_GBC_375aa5b655854a6fa4ef44766a5a9d36" unitRef="_GBC_6053d48a4e214ab7b17d03b28b93cb76" addr="T0R6C8S1_1" formatStyle="Comma"/>
      <m:item xlName="_GBC_6a3329ee461f4c1a8a21ed64a683ea46" concept="clcid-pte:QiTaZhuiSuTiaoZhengDaoZhiYingYuGongJiBianDongJinE" label="盈余公积变动金额（其他追溯调整）" periodRef="本期期初数" mulRef="_GBC_375aa5b655854a6fa4ef44766a5a9d36" unitRef="_GBC_6053d48a4e214ab7b17d03b28b93cb76" addr="T0R6C9S1_1" formatStyle="Comma"/>
      <m:item xlName="_GBC_b5893a78e63a488ca67e075cc0ed6749" concept="clcid-pte:QiTaZhuiSuTiaoZhengDaoZhiWeiFenPeiLiRunBianDongJinE" label="未分配利润变动金额（其他追溯调整）" periodRef="本期期初数" mulRef="_GBC_375aa5b655854a6fa4ef44766a5a9d36" unitRef="_GBC_6053d48a4e214ab7b17d03b28b93cb76" addr="T0R6C10S1_1" formatStyle="Comma"/>
      <m:item xlName="_GBC_320e9c03896b46b09bae3f3a43aa4ec2" concept="clcid-pte:QiTaZhuiSuTiaoZhengDaoZhiGuDongQuanYiBianDongJinE" label="股东权益变动金额（其他追溯调整）" periodRef="本期期初数" mulRef="_GBC_375aa5b655854a6fa4ef44766a5a9d36" unitRef="_GBC_6053d48a4e214ab7b17d03b28b93cb76" addr="T0R6C11S1_1" formatStyle="Comma"/>
      <m:placeholder xlName="_PLD_eebe87779d734963a90e4cb624783829" addr="T0R7C0S1_1"/>
      <m:item xlName="_GBC_d12936e8e22e496680bfe639b9b1299b" concept="clcid-pte:GuBen" label="股本" periodRef="本期期初数" mulRef="_GBC_375aa5b655854a6fa4ef44766a5a9d36" unitRef="_GBC_6053d48a4e214ab7b17d03b28b93cb76" addr="T0R7C1S1_1" formatStyle="Comma">
        <m:complexRule comparator="Eq" title="股本@本期期初数" test=" $_GBC_23568514de5b454f892a18ef4e365d97 +  $_GBC_cb6c5f7249224098888b4e4e291e1780 +  $_GBC_84afcadaf68044e682e49a25eea052d9 +  $_GBC_9e3831a92e074e7b9bf3ef964e790dff" id="C24ac10fc5765430883e78760bf6b991a"/>
      </m:item>
      <m:item xlName="_GBC_601e5586a3294aa69348a921e57be185" concept="clcid-pte:QiTaQuanYiGongJuQiZhongYouXianGu" label="其他权益工具-其中：优先股" periodRef="本期期初数" mulRef="_GBC_375aa5b655854a6fa4ef44766a5a9d36" unitRef="_GBC_6053d48a4e214ab7b17d03b28b93cb76" addr="T0R7C2S1_1" formatStyle="Comma">
        <m:complexRule comparator="Eq" title="其他权益工具-其中：优先股@本期期初数" test=" $_GBC_c34a20865d884b79a7b607bb57556bd0 +  $_GBC_2736dd3976c8447f98e6fd78c293db7a +  $_GBC_9e34c2fbaedc41348f8a92c18fdeb484 +  $_GBC_23e87c7c2b264289b98cd2fa772969d8" id="C32a5f886119747c9ac16ffa447c6090b"/>
      </m:item>
      <m:item xlName="_GBC_836a78ae20854c08bbee94bd431102f1" concept="clcid-pte:QiTaQuanYiGongJuYongXuZhai" label="其他权益工具-永续债" periodRef="本期期初数" mulRef="_GBC_375aa5b655854a6fa4ef44766a5a9d36" unitRef="_GBC_6053d48a4e214ab7b17d03b28b93cb76" addr="T0R7C3S1_1" formatStyle="Comma">
        <m:complexRule comparator="Eq" title="其他权益工具-永续债@本期期初数" test=" $_GBC_33807ab593324748b5c45fcc58c3f75f +  $_GBC_76f20ac865bc4dccbf4fad725f42310c +  $_GBC_0f7e9739c6f9406a97ed9d87eb2aa580 +  $_GBC_73a4d821c0aa42e8aa2d3ee36f252a88" id="Ce35f7be517eb4532b0db9f5eeea61b44"/>
      </m:item>
      <m:item xlName="_GBC_8e4b6ed172cc4da0ab3d432af5d28ed4" concept="clcid-pte:QiTaQuanYiGongJuQiTa" label="其他权益工具-其他" periodRef="本期期初数" mulRef="_GBC_375aa5b655854a6fa4ef44766a5a9d36" unitRef="_GBC_6053d48a4e214ab7b17d03b28b93cb76" addr="T0R7C4S1_1" formatStyle="Comma">
        <m:complexRule comparator="Eq" title="其他权益工具-其他@本期期初数" test=" $_GBC_fd503e0613444b0fa06d6471c06c460c +  $_GBC_351959fb28ba4e05b552decc8030bb4b +  $_GBC_c09a7191e564486883198444730ec26e +  $_GBC_568140ca0a104009ab66816821a63d1e" id="Ced5b758f075346e88876fe2b39395257"/>
      </m:item>
      <m:item xlName="_GBC_e9f25233de5e48c2bbc214424560101c" concept="clcid-pte:ZiBenGongJi" label="资本公积" periodRef="本期期初数" mulRef="_GBC_375aa5b655854a6fa4ef44766a5a9d36" unitRef="_GBC_6053d48a4e214ab7b17d03b28b93cb76" addr="T0R7C5S1_1" formatStyle="Comma">
        <m:complexRule comparator="Eq" title="资本公积@本期期初数" test=" $_GBC_39e95eda4c45445c9c61fdb63976df90 +  $_GBC_05b83dea315f4bfdae7dedba928d4a44 +  $_GBC_81f6663dd5f04cb69e6ada2d35d2ec3a +  $_GBC_e8dd8117e9704b1981d63478bcb3dc5f" id="C87bf3a91a2c44f00b081962854c15e81"/>
      </m:item>
      <m:item xlName="_GBC_822ae18f0d2a4bab94a9778e9c42668f" concept="clcid-pte:KuCunGu" label="库存股" periodRef="本期期初数" mulRef="_GBC_375aa5b655854a6fa4ef44766a5a9d36" unitRef="_GBC_6053d48a4e214ab7b17d03b28b93cb76" addr="T0R7C6S1_1" formatStyle="Comma">
        <m:complexRule comparator="Eq" title="库存股@本期期初数" test=" $_GBC_86efe48c81a04c18917d40e58153ecab +  $_GBC_bdb7cb6651ff493a83894b39c35f7e7c +  $_GBC_6286ad2d5ffb44038feec5aba61982e2 +  $_GBC_4901a4a3c8e64061b9bb65218703ae2d" id="C1a98531299b9409c8f28cf5bd71870f5"/>
      </m:item>
      <m:item xlName="_GBC_8f3fd69c3ef841269eaf2300a3cdae72" concept="clcid-pte:QiTaZongHeShouYiZiChanFuZhaiBiaoXiangMu" label="其他综合收益（资产负债表项目）" periodRef="本期期初数" mulRef="_GBC_375aa5b655854a6fa4ef44766a5a9d36" unitRef="_GBC_6053d48a4e214ab7b17d03b28b93cb76" addr="T0R7C7S1_1" formatStyle="Comma">
        <m:complexRule comparator="Eq" title="其他综合收益（资产负债表项目）@本期期初数" test=" $_GBC_0d21dbde91b74c1cba93a246300f22e9 +  $_GBC_684ff774441d4faebb782582bc8f0aa2 +  $_GBC_ae1eee33aa574cdf9588dcec8276869c +  $_GBC_8c29a0c58c484c65b42774f0399fbc74" id="C85e677e4bf6445efb88db78bbb6bf097"/>
      </m:item>
      <m:item xlName="_GBC_f6108c36759f4739b89b699df117de6e" concept="clcid-pte:ZhuanXiangChuBei" label="专项储备" periodRef="本期期初数" mulRef="_GBC_375aa5b655854a6fa4ef44766a5a9d36" unitRef="_GBC_6053d48a4e214ab7b17d03b28b93cb76" addr="T0R7C8S1_1" formatStyle="Comma">
        <m:complexRule comparator="Eq" title="专项储备@本期期初数" test=" $_GBC_de31d06e15454fda8270bf171d6505fb +  $_GBC_22ffa690d66b4fe1a01c5a0f3d723e1f +  $_GBC_8d1ef808fba54f7d948ab5e20315f4f7 +  $_GBC_a4d0a14f0d8241109bd8501a8331f223" id="C4870eb5431944f1f923e73573f63c63a"/>
      </m:item>
      <m:item xlName="_GBC_6df3bacdabf24f63a7412eea261be55b" concept="clcid-pte:YingYuGongJi" label="盈余公积" periodRef="本期期初数" mulRef="_GBC_375aa5b655854a6fa4ef44766a5a9d36" unitRef="_GBC_6053d48a4e214ab7b17d03b28b93cb76" addr="T0R7C9S1_1" formatStyle="Comma">
        <m:complexRule comparator="Eq" title="盈余公积@本期期初数" test=" $_GBC_0ab8dc4570a04620818a2023dd1aa95c +  $_GBC_fcdb9594b57c4382bd28fc75f260b6e8 +  $_GBC_d4426cf7248e4f9093a099de53dd1da2 +  $_GBC_6a3329ee461f4c1a8a21ed64a683ea46" id="Cff065af33d234533b4ba2a33aa319efb"/>
      </m:item>
      <m:item xlName="_GBC_0613a1fead3441c199b03f9b2931538a" concept="clcid-pte:WeiFenPeiLiRun" label="未分配利润" periodRef="本期期初数" mulRef="_GBC_375aa5b655854a6fa4ef44766a5a9d36" unitRef="_GBC_6053d48a4e214ab7b17d03b28b93cb76" addr="T0R7C10S1_1" formatStyle="Comma">
        <m:complexRule comparator="Eq" title="未分配利润@本期期初数" test=" $_GBC_d99a05751c6b44988a1ee25001d06794 +  $_GBC_edb7f3197dd14593856e7511c60cf7ae +  $_GBC_fc123b0733d84ef5a2b9e127c8ad84f5 +  $_GBC_b5893a78e63a488ca67e075cc0ed6749" id="C287c577889ed4b9c9292b69dcb8c9e4b"/>
      </m:item>
      <m:item xlName="_GBC_c4dbd281faa347f7b7916cc55e9f465c" concept="clcid-pte:GuDongQuanYiHeJi" label="股东权益合计" periodRef="本期期初数" mulRef="_GBC_375aa5b655854a6fa4ef44766a5a9d36" unitRef="_GBC_6053d48a4e214ab7b17d03b28b93cb76" addr="T0R7C11S1_1" formatStyle="Comma">
        <m:complexRule comparator="Eq" title="股东权益合计@本期期初数" test=" $_GBC_5447b2b0fbd14a6ea3e6dcdfaa8f64c7 +  $_GBC_2524f873be8a4b54ac8de2ee8a5a7722 +  $_GBC_abbde7119e814e84b924c8fe4784ec03 +  $_GBC_320e9c03896b46b09bae3f3a43aa4ec2" id="C78f649fc5f984608bdd3b75eb041d2dc"/>
      </m:item>
      <m:placeholder xlName="_PLD_7556ae6e86924c778b1c2bbbc04797e1" addr="T0R8C0S1_1"/>
      <m:item xlName="_GBC_ba3a0d6c7d374c6eb6dd959316360ab7" concept="clcid-pte:ShiShouZiBenHuoGuBenJingEZengJianBianDongJinE" label="实收资本（或股本）净额增减变动金额" mulRef="_GBC_375aa5b655854a6fa4ef44766a5a9d36" unitRef="_GBC_6053d48a4e214ab7b17d03b28b93cb76" addr="T0R8C1S1_1" formatStyle="Comma">
        <m:complexRule comparator="Eq" title="实收资本（或股本）净额增减变动金额" test=" $_GBC_4cbd3a1fa1064f3ea2d137bed6d217d3 +  $_GBC_e987abcca56c48ceb2d06301df3c57d8 +  $_GBC_6b105a342197442b95dd406e73392c41 +  $_GBC_a36fa024612c4f1f8d1cff14a4afb89b +  $_GBC_1cda7744763e4d66aa9f02d0333e63ea +  $_GBC_3528a1dd6df6476186b38986f8394587" id="C5abe531600c342b8bd389a9a6bb2a42f"/>
      </m:item>
      <m:item xlName="_GBC_d04fc2b721d445aeb9b16d0cb24c29b1" concept="clcid-pte:QiTaQuanYiGongJuZhongDeYouXianGuZengJianBianDongJinE" label="其他权益工具中的优先股增减变动金额" mulRef="_GBC_375aa5b655854a6fa4ef44766a5a9d36" unitRef="_GBC_6053d48a4e214ab7b17d03b28b93cb76" addr="T0R8C2S1_1" formatStyle="Comma">
        <m:complexRule comparator="Eq" title="其他权益工具中的优先股增减变动金额" test=" $_GBC_6b66ddea2fc749ea92713526d1f0de01 +  $_GBC_a33abc47762d4fe69bb1201a97e51eda +  $_GBC_784b6a37199f4028b93e4f05dda5799d +  $_GBC_7a3ee2b77b184b0ab579602b3534acd2 +  $_GBC_6e27022d26d24fd88db2d1c3fb65d735 +  $_GBC_4cbc1352fcb34ac9b1fab0948bae2283" id="C100c7073d847427c864dcbae5848c74a"/>
      </m:item>
      <m:item xlName="_GBC_a10de934ef0f46c0981398a834499dc6" concept="clcid-pte:QiTaQuanYiGongJuZhongDeYongXuZhaiZengJianBianDongJinE" label="其他权益工具中的永续债增减变动金额" mulRef="_GBC_375aa5b655854a6fa4ef44766a5a9d36" unitRef="_GBC_6053d48a4e214ab7b17d03b28b93cb76" addr="T0R8C3S1_1" formatStyle="Comma">
        <m:complexRule comparator="Eq" title="其他权益工具中的永续债增减变动金额" test=" $_GBC_8495e58c3a1d4f45a9af34ffe578c152 +  $_GBC_5ff9de74e8684ad88f4387503a5f01db +  $_GBC_e87afe27ff6d446aa3c709ecff4eecd6 +  $_GBC_4e9c00ccf69d497c8dfcf5082c414f90 +  $_GBC_df78ddf6c22e46c1a5817cbc43b21618 +  $_GBC_0daa97dbcffc4acfb57675ed8c11d852" id="C4906b09f6572491085e2ede071e554c9"/>
      </m:item>
      <m:item xlName="_GBC_75e8e45c8c084f7fa05027cfbbeb49a9" concept="clcid-pte:QiTaQuanYiGongJuZhongDeQiTaZengJianBianDongJinE" label="其他权益工具中的其他增减变动金额" mulRef="_GBC_375aa5b655854a6fa4ef44766a5a9d36" unitRef="_GBC_6053d48a4e214ab7b17d03b28b93cb76" addr="T0R8C4S1_1" formatStyle="Comma">
        <m:complexRule comparator="Eq" title="其他权益工具中的其他增减变动金额" test=" $_GBC_90375b112f584398a5ff64c177eb4dc6 +  $_GBC_c569f58abae24c66861c15a10d84674e +  $_GBC_2de6c99db11c4ac688df168bfda60547 +  $_GBC_ae977af92b684c44bdf338b0507515d2 +  $_GBC_cf503f21da614ca8950eeb5d62fed06d +  $_GBC_d49c108f09ec4ed8955de5be2acd1444" id="Ca7fed60228ac41bd956ea13f5130b8c2"/>
      </m:item>
      <m:item xlName="_GBC_d6e2bf1bb1f547178f86fdb2e81bea01" concept="clcid-pte:ZiBenGongJiZengJianBianDongJinE" label="资本公积增减变动金额" mulRef="_GBC_375aa5b655854a6fa4ef44766a5a9d36" unitRef="_GBC_6053d48a4e214ab7b17d03b28b93cb76" addr="T0R8C5S1_1" formatStyle="Comma">
        <m:complexRule comparator="Eq" title="资本公积增减变动金额" test=" $_GBC_f39d782282e8473ebea7a1aad1564a8d +  $_GBC_4059a2d18a1c4f2aba62bf34dc4536fb +  $_GBC_b05b4e7b3bb543b5a76ead7b367bc73c +  $_GBC_5f926490ade5412d9a77c297b45fbf73 +  $_GBC_e599f55d658343a783b2a12304305844 +  $_GBC_8935d5c4d75f497e804819e0a17060d4" id="C2b23b9777597445f8d94b93dc622ff36"/>
      </m:item>
      <m:item xlName="_GBC_740d59c820794f33bd00782914697ea1" concept="clcid-pte:KuCunGuZengJianBianDongJinE" label="库存股增减变动金额" mulRef="_GBC_375aa5b655854a6fa4ef44766a5a9d36" unitRef="_GBC_6053d48a4e214ab7b17d03b28b93cb76" addr="T0R8C6S1_1" formatStyle="Comma">
        <m:complexRule comparator="Eq" title="库存股增减变动金额" test=" $_GBC_0671ffb4a69946039a36943d4a3d9efb +  $_GBC_6e97719fb4a14eb2b2c7d5d45ca56eb6 +  $_GBC_87442702c7b442c4bc588d4efb6f2a84 +  $_GBC_a7f0c6e13bd34921b1f72186a6051ee3 +  $_GBC_f2ae66a9a3284d1ab2fdf1bca44d13a8 +  $_GBC_56e1caf39e1b4d9090dfaf8d66523905" id="Cff5bf38bdf3c4015969cbb97079e6e5c"/>
      </m:item>
      <m:item xlName="_GBC_07271d90a63b46eaad1a5122cbce9331" concept="clcid-pte:QiTaZongHeShouYiZengJianBianDongJinE" label="其他综合收益增减变动金额" mulRef="_GBC_375aa5b655854a6fa4ef44766a5a9d36" unitRef="_GBC_6053d48a4e214ab7b17d03b28b93cb76" addr="T0R8C7S1_1" formatStyle="Comma">
        <m:complexRule comparator="Eq" title="其他综合收益增减变动金额" test=" $_GBC_252347d00d9e4bbb8ba4901a4e6520cf +  $_GBC_917424a18757406da66fccf9987ce462 +  $_GBC_2bb973c188404964a33b84558243654c +  $_GBC_cdde0602f9354035ada898e7c4307caf +  $_GBC_863c74b9c11c404086044a4ff6016717 +  $_GBC_b7b033edb1e94ecb8512ec1b9cb7fa18" id="C5cf0cddfdc8545159b298b332e2d4ceb"/>
      </m:item>
      <m:item xlName="_GBC_43c8359de72447e59cf49e009fced8fe" concept="clcid-pte:ZhuanXiangChuBeiZengJianBianDongJinE" label="专项储备增减变动金额" mulRef="_GBC_375aa5b655854a6fa4ef44766a5a9d36" unitRef="_GBC_6053d48a4e214ab7b17d03b28b93cb76" addr="T0R8C8S1_1" formatStyle="Comma">
        <m:complexRule comparator="Eq" title="专项储备增减变动金额" test=" $_GBC_f5287a59a2e84f5ea5e9a99a9df22303 +  $_GBC_b82048cf64e74990adbb44ab3d46893a +  $_GBC_d30274d906ed4f48b8024a9ad09c0a12 +  $_GBC_608958c908994401bd17136a118121ae +  $_GBC_ffefd3d3cf6b42b39654b846b4eb5524 +  $_GBC_0aac65ba71d54447bce3ce4d84ad309a" id="C7b58bc953b3447849f2bd74e477a7f25"/>
      </m:item>
      <m:item xlName="_GBC_62e634a4f43b4bfb853224e1c71ac0cb" concept="clcid-pte:YingYuGongJiZengJianBianDongJinE" label="盈余公积增减变动金额" mulRef="_GBC_375aa5b655854a6fa4ef44766a5a9d36" unitRef="_GBC_6053d48a4e214ab7b17d03b28b93cb76" addr="T0R8C9S1_1" formatStyle="Comma">
        <m:complexRule comparator="Eq" title="盈余公积增减变动金额" test=" $_GBC_0c6b0ece4ca3456e898b3adb0f76a3e7 +  $_GBC_3ddd384933744021b232467263336d80 +  $_GBC_40a46a8e959247189730bd50f64ddf04 +  $_GBC_4dd8d9b006b74bdeb3da672c82a23e4d +  $_GBC_49fededab3164c96bbc4956692cb1deb +  $_GBC_cc0f967b4f214ae18a49bc71751fd967" id="Ca36d6586715b4bf0af4f836a7ea03369"/>
      </m:item>
      <m:item xlName="_GBC_f2b8116812324e43a6776da3eb366106" concept="clcid-pte:WeiFenPeiLiRunZengJianBianDongJinE" label="未分配利润增减变动金额" mulRef="_GBC_375aa5b655854a6fa4ef44766a5a9d36" unitRef="_GBC_6053d48a4e214ab7b17d03b28b93cb76" addr="T0R8C10S1_1" formatStyle="Comma">
        <m:complexRule comparator="Eq" title="未分配利润增减变动金额" test=" $_GBC_670b83bc7cbe4e669aee8a4486a1480f +  $_GBC_748ce735e299444caad96bb928e9e8e1 +  $_GBC_14ddc1b72d224d8cb631f204c12e0e7b +  $_GBC_ca1ffdd628204eac9c010d2b56a8b418 +  $_GBC_a12ec3b82eb44b799b8099894f960c9e +  $_GBC_79b45aa72adf4e9682398fac705787cf" id="C8e50098ef86f40ea9905238b14003908"/>
      </m:item>
      <m:item xlName="_GBC_05cad73814084fbdb65718569e03bf5f" concept="clcid-pte:GuDongQuanYiHeJiZengJianBianDongJinE" label="股东权益合计增减变动金额" mulRef="_GBC_375aa5b655854a6fa4ef44766a5a9d36" unitRef="_GBC_6053d48a4e214ab7b17d03b28b93cb76" addr="T0R8C11S1_1" formatStyle="Comma">
        <m:complexRule comparator="Eq" title="股东权益合计增减变动金额" test=" $_GBC_fdd5cb737e2f4fc3a2a08fe7891aca04 +  $_GBC_805a3e8121a04265976e834a5299d1e3 +  $_GBC_60a15e732c8b4502b3a9e77633de1d86 +  $_GBC_f38b59b2f1d748e2a5480639c30a964e +  $_GBC_0a490045e6a040b699e2b5d552fa20cd +  $_GBC_1267314c0762456ca0f986543c3cd151" id="C343958a2e4994adda0e1ecf234ed8c9a"/>
      </m:item>
      <m:placeholder xlName="_PLD_f5625f77aa0e4d6a86f3588d1c84e3d6" addr="T0R9C0S1_1"/>
      <m:item xlName="_GBC_4cbd3a1fa1064f3ea2d137bed6d217d3" concept="clcid-pte:ZongHeShouYiZongEDaoZhiGuBenBianDongJinE" label="综合收益总额导致股本变动金额" mulRef="_GBC_375aa5b655854a6fa4ef44766a5a9d36" unitRef="_GBC_6053d48a4e214ab7b17d03b28b93cb76" addr="T0R9C1S1_1" formatStyle="Comma"/>
      <m:item xlName="_GBC_6b66ddea2fc749ea92713526d1f0de01" concept="clcid-pte:ZongHeShouYiZongEDaoZhiYouXianGuBianDongJinE" label="综合收益总额导致优先股变动金额" mulRef="_GBC_375aa5b655854a6fa4ef44766a5a9d36" unitRef="_GBC_6053d48a4e214ab7b17d03b28b93cb76" addr="T0R9C2S1_1" formatStyle="Comma"/>
      <m:item xlName="_GBC_8495e58c3a1d4f45a9af34ffe578c152" concept="clcid-pte:ZongHeShouYiZongEDaoZhiYongXuZhaiBianDongJinE" label="综合收益总额导致永续债变动金额" mulRef="_GBC_375aa5b655854a6fa4ef44766a5a9d36" unitRef="_GBC_6053d48a4e214ab7b17d03b28b93cb76" addr="T0R9C3S1_1" formatStyle="Comma"/>
      <m:item xlName="_GBC_90375b112f584398a5ff64c177eb4dc6" concept="clcid-pte:ZongHeShouYiZongEDaoZhiQiTaQuanYiGongJuZhongDeQiTaBianDongJinE" label="综合收益总额导致其他权益工具中的其他变动金额" mulRef="_GBC_375aa5b655854a6fa4ef44766a5a9d36" unitRef="_GBC_6053d48a4e214ab7b17d03b28b93cb76" addr="T0R9C4S1_1" formatStyle="Comma"/>
      <m:item xlName="_GBC_f39d782282e8473ebea7a1aad1564a8d" concept="clcid-pte:ZongHeShouYiZongEDaoZhiZiBenGongJiBianDongJinE" label="综合收益总额导致资本公积变动金额" mulRef="_GBC_375aa5b655854a6fa4ef44766a5a9d36" unitRef="_GBC_6053d48a4e214ab7b17d03b28b93cb76" addr="T0R9C5S1_1" formatStyle="Comma"/>
      <m:item xlName="_GBC_0671ffb4a69946039a36943d4a3d9efb" concept="clcid-pte:ZongHeShouYiZongEDaoZhiKuCunGuBianDongJinE" label="综合收益总额导致库存股变动金额" mulRef="_GBC_375aa5b655854a6fa4ef44766a5a9d36" unitRef="_GBC_6053d48a4e214ab7b17d03b28b93cb76" addr="T0R9C6S1_1" formatStyle="Comma"/>
      <m:item xlName="_GBC_252347d00d9e4bbb8ba4901a4e6520cf" concept="clcid-pte:ZongHeShouYiZongEDaoZhiQiTaZongHeShouYiBianDongJinE" label="综合收益总额导致其他综合收益变动金额" mulRef="_GBC_375aa5b655854a6fa4ef44766a5a9d36" unitRef="_GBC_6053d48a4e214ab7b17d03b28b93cb76" addr="T0R9C7S1_1" formatStyle="Comma"/>
      <m:item xlName="_GBC_f5287a59a2e84f5ea5e9a99a9df22303" concept="clcid-pte:ZongHeShouYiZongEDaoZhiZhuanXiangChuBeiBianDongJinE" label="综合收益总额导致专项储备变动金额" mulRef="_GBC_375aa5b655854a6fa4ef44766a5a9d36" unitRef="_GBC_6053d48a4e214ab7b17d03b28b93cb76" addr="T0R9C8S1_1" formatStyle="Comma"/>
      <m:item xlName="_GBC_0c6b0ece4ca3456e898b3adb0f76a3e7" concept="clcid-pte:ZongHeShouYiZongEDaoZhiYingYuGongJiBianDongJinE" label="综合收益总额导致盈余公积变动金额" mulRef="_GBC_375aa5b655854a6fa4ef44766a5a9d36" unitRef="_GBC_6053d48a4e214ab7b17d03b28b93cb76" addr="T0R9C9S1_1" formatStyle="Comma"/>
      <m:item xlName="_GBC_670b83bc7cbe4e669aee8a4486a1480f" concept="clcid-pte:ZongHeShouYiZongEDaoZhiWeiFenPeiLiRunBianDongJinE" label="综合收益总额导致未分配利润变动金额" mulRef="_GBC_375aa5b655854a6fa4ef44766a5a9d36" unitRef="_GBC_6053d48a4e214ab7b17d03b28b93cb76" addr="T0R9C10S1_1" formatStyle="Comma"/>
      <m:item xlName="_GBC_fdd5cb737e2f4fc3a2a08fe7891aca04" concept="clcid-pte:ZongHeShouYiZongEDaoZhiGuDongQuanYiHeJiBianDongJinE" label="综合收益总额导致股东权益合计变动金额" mulRef="_GBC_375aa5b655854a6fa4ef44766a5a9d36" unitRef="_GBC_6053d48a4e214ab7b17d03b28b93cb76" addr="T0R9C11S1_1" formatStyle="Comma"/>
      <m:placeholder xlName="_PLD_8e4ba029527848aca94e23bbc2204451" addr="T0R10C0S1_1"/>
      <m:item xlName="_GBC_e987abcca56c48ceb2d06301df3c57d8" concept="clcid-pte:SuoYouZheTouRuHeJianShaoZiBenDaoZhiShiShouZiBenHuoGuBenJingEBianDongJinE" label="所有者投入和减少资本导致实收资本（或股本）净额变动金额" mulRef="_GBC_375aa5b655854a6fa4ef44766a5a9d36" unitRef="_GBC_6053d48a4e214ab7b17d03b28b93cb76" addr="T0R10C1S1_1" formatStyle="Comma">
        <m:complexRule comparator="Eq" title="所有者投入和减少资本导致实收资本（或股本）净额变动金额" test=" $_GBC_6cf7bf30e28c46598a70ec63565b7731 +  $_GBC_0b86d3c3d1954aceb34e60a6b95e8bb1 +  $_GBC_b75c02f359284ac0bfa7d4b517bf8fe4 +  $_GBC_34fd3f3ee298490797a4d58d502944f9" id="C256d33f25e834c7b9fbbb1cc5577563e"/>
      </m:item>
      <m:item xlName="_GBC_a33abc47762d4fe69bb1201a97e51eda" concept="clcid-pte:SuoYouZheTouRuHeJianShaoZiBenDaoZhiQiTaQuanYiGongJuZhongDeYouXianGuBianDongJinE" label="所有者投入和减少资本导致其他权益工具中的优先股变动金额" mulRef="_GBC_375aa5b655854a6fa4ef44766a5a9d36" unitRef="_GBC_6053d48a4e214ab7b17d03b28b93cb76" addr="T0R10C2S1_1" formatStyle="Comma">
        <m:complexRule comparator="Eq" title="所有者投入和减少资本导致其他权益工具中的优先股变动金额" test=" $_GBC_cb716fe9c6c943a88ff010d4744aec05 +  $_GBC_69256fe266f44a9dbd47328b0dfeb8a0 +  $_GBC_10b2f3bc231943bbb3bd0d23efc183a5 +  $_GBC_5124a0fd40c9404e84c52d51ff13d290" id="Caeab840abb3740ba99630e2fbce4771c"/>
      </m:item>
      <m:item xlName="_GBC_5ff9de74e8684ad88f4387503a5f01db" concept="clcid-pte:SuoYouZheTouRuHeJianShaoZiBenDaoZhiQiTaQuanYiGongJuZhongDeYongXuZhaiBianDongJinE" label="所有者投入和减少资本导致其他权益工具中的永续债变动金额" mulRef="_GBC_375aa5b655854a6fa4ef44766a5a9d36" unitRef="_GBC_6053d48a4e214ab7b17d03b28b93cb76" addr="T0R10C3S1_1" formatStyle="Comma">
        <m:complexRule comparator="Eq" title="所有者投入和减少资本导致其他权益工具中的永续债变动金额" test=" $_GBC_1a86ca92f4c1427ca480aeb8c5c575db +  $_GBC_e5f2636b3dde46f5b74a93a43db9c2d2 +  $_GBC_93c7d3f14c7b4a4a84dc879d227c8b43 +  $_GBC_bc80feac6d8e40adbb2f04cce9cb4e13" id="C17b682cc68b74a3c9502e4ebb5d58b36"/>
      </m:item>
      <m:item xlName="_GBC_c569f58abae24c66861c15a10d84674e" concept="clcid-pte:SuoYouZheTouRuHeJianShaoZiBenDaoZhiQiTaQuanYiGongJuZhongDeQiTaBianDongJinE" label="所有者投入和减少资本导致其他权益工具中的其他变动金额" mulRef="_GBC_375aa5b655854a6fa4ef44766a5a9d36" unitRef="_GBC_6053d48a4e214ab7b17d03b28b93cb76" addr="T0R10C4S1_1" formatStyle="Comma">
        <m:complexRule comparator="Eq" title="所有者投入和减少资本导致其他权益工具中的其他变动金额" test=" $_GBC_3e31b4561b174c78be0439051e894cba +  $_GBC_e0af570acd834466afce0713e70be3cb +  $_GBC_bd2f41ebddab43c49c4024dec26b94ff +  $_GBC_ae48bff1778647fe925ac23e662b45c3" id="C770776b8a1244d07b8bfe0ad5bc0a122"/>
      </m:item>
      <m:item xlName="_GBC_4059a2d18a1c4f2aba62bf34dc4536fb" concept="clcid-pte:SuoYouZheTouRuHeJianShaoZiBenDaoZhiZiBenGongJiBianDongJinE" label="所有者投入和减少资本导致资本公积变动金额" mulRef="_GBC_375aa5b655854a6fa4ef44766a5a9d36" unitRef="_GBC_6053d48a4e214ab7b17d03b28b93cb76" addr="T0R10C5S1_1" formatStyle="Comma">
        <m:complexRule comparator="Eq" title="所有者投入和减少资本导致资本公积变动金额" test=" $_GBC_bf507b0f322e4be19d7181ca0fa75e1d +  $_GBC_6e88fdea664643d3b5a0367ed1196e0a +  $_GBC_c9405d0e79754ac09c1f92b532dac6fc +  $_GBC_54ea9c0af0a64ba08f99f1ba5b3174e8" id="C1889243e9227446ba8f5372271ec867c"/>
      </m:item>
      <m:item xlName="_GBC_6e97719fb4a14eb2b2c7d5d45ca56eb6" concept="clcid-pte:SuoYouZheTouRuHeJianShaoZiBenDaoZhiKuCunGuBianDongJinE" label="所有者投入和减少资本导致库存股变动金额" mulRef="_GBC_375aa5b655854a6fa4ef44766a5a9d36" unitRef="_GBC_6053d48a4e214ab7b17d03b28b93cb76" addr="T0R10C6S1_1" formatStyle="Comma">
        <m:complexRule comparator="Eq" title="所有者投入和减少资本导致库存股变动金额" test=" $_GBC_ffa7d612019540fcbe0351c50c4799c8 +  $_GBC_e42f82800d924998b52c991b52447a79 +  $_GBC_554f1934a568422c8a968a4eec4d3340 +  $_GBC_abb162725337422b96d0d58d97f56fd3" id="Cb5e0e837499d440db64bc0a38be5945b"/>
      </m:item>
      <m:item xlName="_GBC_917424a18757406da66fccf9987ce462" concept="clcid-pte:SuoYouZheTouRuHeJianShaoZiBenDaoZhiQiTaZongHeShouYiBianDongJinE" label="所有者投入和减少资本导致其他综合收益变动金额" mulRef="_GBC_375aa5b655854a6fa4ef44766a5a9d36" unitRef="_GBC_6053d48a4e214ab7b17d03b28b93cb76" addr="T0R10C7S1_1" formatStyle="Comma">
        <m:complexRule comparator="Eq" title="所有者投入和减少资本导致其他综合收益变动金额" test=" $_GBC_e68402aab2a34a5d8c5fcdaf69e8235a +  $_GBC_1b3c0d59ca054a8f811f4ee52825488e +  $_GBC_5e07c0e720c84ff9ae4a866bd6de2f2b +  $_GBC_c6a1c6cc1c2647c397d619eb8c920664" id="Cb0bd26b2bf9f44f29699f8c41591d8f5"/>
      </m:item>
      <m:item xlName="_GBC_b82048cf64e74990adbb44ab3d46893a" concept="clcid-pte:SuoYouZheTouRuHeJianShaoZiBenDaoZhiZhuanXiangChuBeiBianDongJinE" label="所有者投入和减少资本导致专项储备变动金额" mulRef="_GBC_375aa5b655854a6fa4ef44766a5a9d36" unitRef="_GBC_6053d48a4e214ab7b17d03b28b93cb76" addr="T0R10C8S1_1" formatStyle="Comma">
        <m:complexRule comparator="Eq" title="所有者投入和减少资本导致专项储备变动金额" test=" $_GBC_e905cbe047854dc6a178029d2fb1fb7c +  $_GBC_1739ef3b441e42a3bc4076ec515fbb05 +  $_GBC_14ee58c3ecdf451eb678be46b8d6acbb +  $_GBC_12d2d9f04fb240dc9b494c54b5b0365e" id="C91f2f02bebfc48a282d3e33feb7acc19"/>
      </m:item>
      <m:item xlName="_GBC_3ddd384933744021b232467263336d80" concept="clcid-pte:SuoYouZheTouRuHeJianShaoZiBenDaoZhiYingYuGongJiBianDongJinE" label="所有者投入和减少资本导致盈余公积变动金额" mulRef="_GBC_375aa5b655854a6fa4ef44766a5a9d36" unitRef="_GBC_6053d48a4e214ab7b17d03b28b93cb76" addr="T0R10C9S1_1" formatStyle="Comma">
        <m:complexRule comparator="Eq" title="所有者投入和减少资本导致盈余公积变动金额" test=" $_GBC_5ca0e846ac024ae6bcbcba4c8499ebeb +  $_GBC_613b261cd6764a11aaada0a8ff63169f +  $_GBC_12394ba1196f4ff3a985135f52778cef +  $_GBC_7d3c71ac03d04f00a0d9ea75dfb6fc2c" id="Caebd779e175842a8a53daf9d301afe6a"/>
      </m:item>
      <m:item xlName="_GBC_748ce735e299444caad96bb928e9e8e1" concept="clcid-pte:SuoYouZheTouRuHeJianShaoZiBenDaoZhiWeiFenPeiLiRunBianDongJinE" label="所有者投入和减少资本导致未分配利润变动金额" mulRef="_GBC_375aa5b655854a6fa4ef44766a5a9d36" unitRef="_GBC_6053d48a4e214ab7b17d03b28b93cb76" addr="T0R10C10S1_1" formatStyle="Comma">
        <m:complexRule comparator="Eq" title="所有者投入和减少资本导致未分配利润变动金额" test=" $_GBC_77044cf15d324c059cd2ac1125fd1d8c +  $_GBC_5621479378e94492806f0a8f8aa87db7 +  $_GBC_158c04df51da4038ac953f7b3f120920 +  $_GBC_e40c72d6f48e4b0f91994c9dd6ef4ea7" id="Cb4b30e8ffab74ac68487a2543cc0af0e"/>
      </m:item>
      <m:item xlName="_GBC_805a3e8121a04265976e834a5299d1e3" concept="clcid-pte:SuoYouZheTouRuHeJianShaoZiBenDaoZhiGuDongQuanYiHeJiBianDongJinE" label="所有者投入和减少资本导致股东权益合计变动金额" mulRef="_GBC_375aa5b655854a6fa4ef44766a5a9d36" unitRef="_GBC_6053d48a4e214ab7b17d03b28b93cb76" addr="T0R10C11S1_1" formatStyle="Comma">
        <m:complexRule comparator="Eq" title="所有者投入和减少资本导致股东权益合计变动金额" test=" $_GBC_09621d1261df48f48c4c3fcdea3d7f96 +  $_GBC_0b044e992a244500b9070ebc3ac678fd +  $_GBC_aa4dafdc7faf4604866bea3dc7d1727a +  $_GBC_effa9c2e776547079c82a55a138feef0" id="C9d7f6dc602ad47ba9cb9ebc6b74e4e6e"/>
      </m:item>
      <m:placeholder xlName="_PLD_783d26573ecc48e6a0103ac30f6bfc54" addr="T0R11C0S1_1"/>
      <m:item xlName="_GBC_6cf7bf30e28c46598a70ec63565b7731" concept="clcid-pte:GuDongTouRuDePuTongGuDaoZhiGuBenBianDongJinE" label="股东投入的普通股导致股本变动金额" mulRef="_GBC_375aa5b655854a6fa4ef44766a5a9d36" unitRef="_GBC_6053d48a4e214ab7b17d03b28b93cb76" addr="T0R11C1S1_1" formatStyle="Comma"/>
      <m:item xlName="_GBC_cb716fe9c6c943a88ff010d4744aec05" concept="clcid-pte:GuDongTouRuDePuTongGuDaoZhiYouXianGuBianDongJinE" label="股东投入的普通股导致优先股变动金额" mulRef="_GBC_375aa5b655854a6fa4ef44766a5a9d36" unitRef="_GBC_6053d48a4e214ab7b17d03b28b93cb76" addr="T0R11C2S1_1" formatStyle="Comma"/>
      <m:item xlName="_GBC_1a86ca92f4c1427ca480aeb8c5c575db" concept="clcid-pte:GuDongTouRuDePuTongGuDaoZhiYongXuZhaiBianDongJinE" label="股东投入的普通股导致永续债变动金额" mulRef="_GBC_375aa5b655854a6fa4ef44766a5a9d36" unitRef="_GBC_6053d48a4e214ab7b17d03b28b93cb76" addr="T0R11C3S1_1" formatStyle="Comma"/>
      <m:item xlName="_GBC_3e31b4561b174c78be0439051e894cba" concept="clcid-pte:GuDongTouRuDePuTongGuDaoZhiQiTaQuanYiGongJuZhongDeQiTaBianDongJinE" label="股东投入的普通股导致其他权益工具中的其他变动金额" mulRef="_GBC_375aa5b655854a6fa4ef44766a5a9d36" unitRef="_GBC_6053d48a4e214ab7b17d03b28b93cb76" addr="T0R11C4S1_1" formatStyle="Comma"/>
      <m:item xlName="_GBC_bf507b0f322e4be19d7181ca0fa75e1d" concept="clcid-pte:GuDongTouRuDePuTongGuDaoZhiZiBenGongJiBianDongJinE" label="股东投入的普通股导致资本公积变动金额" mulRef="_GBC_375aa5b655854a6fa4ef44766a5a9d36" unitRef="_GBC_6053d48a4e214ab7b17d03b28b93cb76" addr="T0R11C5S1_1" formatStyle="Comma"/>
      <m:item xlName="_GBC_ffa7d612019540fcbe0351c50c4799c8" concept="clcid-pte:GuDongTouRuDePuTongGuDaoZhiKuCunGuBianDongJinE" label="股东投入的普通股导致库存股变动金额" mulRef="_GBC_375aa5b655854a6fa4ef44766a5a9d36" unitRef="_GBC_6053d48a4e214ab7b17d03b28b93cb76" addr="T0R11C6S1_1" formatStyle="Comma"/>
      <m:item xlName="_GBC_e68402aab2a34a5d8c5fcdaf69e8235a" concept="clcid-pte:GuDongTouRuDePuTongGuDaoZhiQiTaZongHeShouYiBianDongJinE" label="股东投入的普通股导致其他综合收益变动金额" mulRef="_GBC_375aa5b655854a6fa4ef44766a5a9d36" unitRef="_GBC_6053d48a4e214ab7b17d03b28b93cb76" addr="T0R11C7S1_1" formatStyle="Comma"/>
      <m:item xlName="_GBC_e905cbe047854dc6a178029d2fb1fb7c" concept="clcid-pte:GuDongTouRuDePuTongGuDaoZhiZhuanXiangChuBeiBianDongJinE" label="股东投入的普通股导致专项储备变动金额" mulRef="_GBC_375aa5b655854a6fa4ef44766a5a9d36" unitRef="_GBC_6053d48a4e214ab7b17d03b28b93cb76" addr="T0R11C8S1_1" formatStyle="Comma"/>
      <m:item xlName="_GBC_5ca0e846ac024ae6bcbcba4c8499ebeb" concept="clcid-pte:GuDongTouRuDePuTongGuDaoZhiYingYuGongJiBianDongJinE" label="股东投入的普通股导致盈余公积变动金额" mulRef="_GBC_375aa5b655854a6fa4ef44766a5a9d36" unitRef="_GBC_6053d48a4e214ab7b17d03b28b93cb76" addr="T0R11C9S1_1" formatStyle="Comma"/>
      <m:item xlName="_GBC_77044cf15d324c059cd2ac1125fd1d8c" concept="clcid-pte:GuDongTouRuDePuTongGuDaoZhiWeiFenPeiLiRunBianDongJinE" label="股东投入的普通股导致未分配利润变动金额" mulRef="_GBC_375aa5b655854a6fa4ef44766a5a9d36" unitRef="_GBC_6053d48a4e214ab7b17d03b28b93cb76" addr="T0R11C10S1_1" formatStyle="Comma"/>
      <m:item xlName="_GBC_09621d1261df48f48c4c3fcdea3d7f96" concept="clcid-pte:GuDongTouRuDePuTongGuDaoZhiGuDongQuanYiHeJiBianDongJinE" label="股东投入的普通股导致股东权益合计变动金额" mulRef="_GBC_375aa5b655854a6fa4ef44766a5a9d36" unitRef="_GBC_6053d48a4e214ab7b17d03b28b93cb76" addr="T0R11C11S1_1" formatStyle="Comma"/>
      <m:placeholder xlName="_PLD_d36bbe3060a34cf585782aba53171501" addr="T0R12C0S1_1"/>
      <m:item xlName="_GBC_0b86d3c3d1954aceb34e60a6b95e8bb1" concept="clcid-pte:QiTaQuanYiGongJuChiYouZheTouRuZiBenDaoZhiGuBenBianDongJinE" label="其他权益工具持有者投入资本导致股本变动金额" mulRef="_GBC_375aa5b655854a6fa4ef44766a5a9d36" unitRef="_GBC_6053d48a4e214ab7b17d03b28b93cb76" addr="T0R12C1S1_1" formatStyle="Comma"/>
      <m:item xlName="_GBC_69256fe266f44a9dbd47328b0dfeb8a0" concept="clcid-pte:QiTaQuanYiGongJuChiYouZheTouRuZiBenDaoZhiYouXianGuBianDongJinE" label="其他权益工具持有者投入资本导致优先股变动金额" mulRef="_GBC_375aa5b655854a6fa4ef44766a5a9d36" unitRef="_GBC_6053d48a4e214ab7b17d03b28b93cb76" addr="T0R12C2S1_1" formatStyle="Comma"/>
      <m:item xlName="_GBC_e5f2636b3dde46f5b74a93a43db9c2d2" concept="clcid-pte:QiTaQuanYiGongJuChiYouZheTouRuZiBenDaoZhiYongXuZhaiBianDongJinE" label="其他权益工具持有者投入资本导致永续债变动金额" mulRef="_GBC_375aa5b655854a6fa4ef44766a5a9d36" unitRef="_GBC_6053d48a4e214ab7b17d03b28b93cb76" addr="T0R12C3S1_1" formatStyle="Comma"/>
      <m:item xlName="_GBC_e0af570acd834466afce0713e70be3cb" concept="clcid-pte:QiTaQuanYiGongJuChiYouZheTouRuZiBenDaoZhiQiTaQuanYiGongJuZhongDeQiTaBianDongJinE" label="其他权益工具持有者投入资本导致其他权益工具中的其他变动金额" mulRef="_GBC_375aa5b655854a6fa4ef44766a5a9d36" unitRef="_GBC_6053d48a4e214ab7b17d03b28b93cb76" addr="T0R12C4S1_1" formatStyle="Comma"/>
      <m:item xlName="_GBC_6e88fdea664643d3b5a0367ed1196e0a" concept="clcid-pte:QiTaQuanYiGongJuChiYouZheTouRuZiBenDaoZhiZiBenGongJiBianDongJinE" label="其他权益工具持有者投入资本导致资本公积变动金额" mulRef="_GBC_375aa5b655854a6fa4ef44766a5a9d36" unitRef="_GBC_6053d48a4e214ab7b17d03b28b93cb76" addr="T0R12C5S1_1" formatStyle="Comma"/>
      <m:item xlName="_GBC_e42f82800d924998b52c991b52447a79" concept="clcid-pte:QiTaQuanYiGongJuChiYouZheTouRuZiBenDaoZhiKuCunGuBianDongJinE" label="其他权益工具持有者投入资本导致库存股变动金额" mulRef="_GBC_375aa5b655854a6fa4ef44766a5a9d36" unitRef="_GBC_6053d48a4e214ab7b17d03b28b93cb76" addr="T0R12C6S1_1" formatStyle="Comma"/>
      <m:item xlName="_GBC_1b3c0d59ca054a8f811f4ee52825488e" concept="clcid-pte:QiTaQuanYiGongJuChiYouZheTouRuZiBenDaoZhiQiTaZongHeShouYiBianDongJinE" label="其他权益工具持有者投入资本导致其他综合收益变动金额" mulRef="_GBC_375aa5b655854a6fa4ef44766a5a9d36" unitRef="_GBC_6053d48a4e214ab7b17d03b28b93cb76" addr="T0R12C7S1_1" formatStyle="Comma"/>
      <m:item xlName="_GBC_1739ef3b441e42a3bc4076ec515fbb05" concept="clcid-pte:QiTaQuanYiGongJuChiYouZheTouRuZiBenDaoZhiZhuanXiangChuBeiBianDongJinE" label="其他权益工具持有者投入资本导致专项储备变动金额" mulRef="_GBC_375aa5b655854a6fa4ef44766a5a9d36" unitRef="_GBC_6053d48a4e214ab7b17d03b28b93cb76" addr="T0R12C8S1_1" formatStyle="Comma"/>
      <m:item xlName="_GBC_613b261cd6764a11aaada0a8ff63169f" concept="clcid-pte:QiTaQuanYiGongJuChiYouZheTouRuZiBenDaoZhiYingYuGongJiBianDongJinE" label="其他权益工具持有者投入资本导致盈余公积变动金额" mulRef="_GBC_375aa5b655854a6fa4ef44766a5a9d36" unitRef="_GBC_6053d48a4e214ab7b17d03b28b93cb76" addr="T0R12C9S1_1" formatStyle="Comma"/>
      <m:item xlName="_GBC_5621479378e94492806f0a8f8aa87db7" concept="clcid-pte:QiTaQuanYiGongJuChiYouZheTouRuZiBenDaoZhiWeiFenPeiLiRunBianDongJinE" label="其他权益工具持有者投入资本导致未分配利润变动金额" mulRef="_GBC_375aa5b655854a6fa4ef44766a5a9d36" unitRef="_GBC_6053d48a4e214ab7b17d03b28b93cb76" addr="T0R12C10S1_1" formatStyle="Comma"/>
      <m:item xlName="_GBC_0b044e992a244500b9070ebc3ac678fd" concept="clcid-pte:QiTaQuanYiGongJuChiYouZheTouRuZiBenDaoZhiGuDongQuanYiHeJiBianDongJinE" label="其他权益工具持有者投入资本导致股东权益合计变动金额" mulRef="_GBC_375aa5b655854a6fa4ef44766a5a9d36" unitRef="_GBC_6053d48a4e214ab7b17d03b28b93cb76" addr="T0R12C11S1_1" formatStyle="Comma"/>
      <m:placeholder xlName="_PLD_1821dddd3bfb4816b7692a66c691e0cc" addr="T0R13C0S1_1"/>
      <m:item xlName="_GBC_b75c02f359284ac0bfa7d4b517bf8fe4" concept="clcid-pte:GuFenZhiFuJiRuSuoYouZheQuanYiDeJinEDaoZhiShiShouZiBenHuoGuBenJingEBianDongJinE" label="股份支付计入所有者权益的金额导致实收资本（或股本）净额变动金额" mulRef="_GBC_375aa5b655854a6fa4ef44766a5a9d36" unitRef="_GBC_6053d48a4e214ab7b17d03b28b93cb76" addr="T0R13C1S1_1" formatStyle="Comma"/>
      <m:item xlName="_GBC_10b2f3bc231943bbb3bd0d23efc183a5" concept="clcid-pte:GuFenZhiFuJiRuSuoYouZheQuanYiDeJinEDaoZhiQiTaQuanYiGongJuZhongDeYouXianGuBianDongJinE" label="股份支付计入所有者权益的金额导致其他权益工具中的优先股变动金额" mulRef="_GBC_375aa5b655854a6fa4ef44766a5a9d36" unitRef="_GBC_6053d48a4e214ab7b17d03b28b93cb76" addr="T0R13C2S1_1" formatStyle="Comma"/>
      <m:item xlName="_GBC_93c7d3f14c7b4a4a84dc879d227c8b43" concept="clcid-pte:GuFenZhiFuJiRuSuoYouZheQuanYiDeJinEDaoZhiQiTaQuanYiGongJuZhongDeYongXuZhaiBianDongJinE" label="股份支付计入所有者权益的金额导致其他权益工具中的永续债变动金额" mulRef="_GBC_375aa5b655854a6fa4ef44766a5a9d36" unitRef="_GBC_6053d48a4e214ab7b17d03b28b93cb76" addr="T0R13C3S1_1" formatStyle="Comma"/>
      <m:item xlName="_GBC_bd2f41ebddab43c49c4024dec26b94ff" concept="clcid-pte:GuFenZhiFuJiRuSuoYouZheQuanYiDeJinEDaoZhiQiTaQuanYiGongJuZhongDeQiTaBianDongJinE" label="股份支付计入所有者权益的金额导致其他权益工具中的其他变动金额" mulRef="_GBC_375aa5b655854a6fa4ef44766a5a9d36" unitRef="_GBC_6053d48a4e214ab7b17d03b28b93cb76" addr="T0R13C4S1_1" formatStyle="Comma"/>
      <m:item xlName="_GBC_c9405d0e79754ac09c1f92b532dac6fc" concept="clcid-pte:GuFenZhiFuJiRuSuoYouZheQuanYiDeJinEDaoZhiZiBenGongJiBianDongJinE" label="股份支付计入所有者权益的金额导致资本公积变动金额" mulRef="_GBC_375aa5b655854a6fa4ef44766a5a9d36" unitRef="_GBC_6053d48a4e214ab7b17d03b28b93cb76" addr="T0R13C5S1_1" formatStyle="Comma"/>
      <m:item xlName="_GBC_554f1934a568422c8a968a4eec4d3340" concept="clcid-pte:GuFenZhiFuJiRuSuoYouZheQuanYiDeJinEDaoZhiKuCunGuBianDongJinE" label="股份支付计入所有者权益的金额导致库存股变动金额" mulRef="_GBC_375aa5b655854a6fa4ef44766a5a9d36" unitRef="_GBC_6053d48a4e214ab7b17d03b28b93cb76" addr="T0R13C6S1_1" formatStyle="Comma"/>
      <m:item xlName="_GBC_5e07c0e720c84ff9ae4a866bd6de2f2b" concept="clcid-pte:GuFenZhiFuJiRuSuoYouZheQuanYiDeJinEDaoZhiQiTaZongHeShouYiBianDongJinE" label="股份支付计入所有者权益的金额导致其他综合收益变动金额" mulRef="_GBC_375aa5b655854a6fa4ef44766a5a9d36" unitRef="_GBC_6053d48a4e214ab7b17d03b28b93cb76" addr="T0R13C7S1_1" formatStyle="Comma"/>
      <m:item xlName="_GBC_14ee58c3ecdf451eb678be46b8d6acbb" concept="clcid-pte:GuFenZhiFuJiRuSuoYouZheQuanYiDeJinEDaoZhiZhuanXiangChuBeiBianDongJinE" label="股份支付计入所有者权益的金额导致专项储备变动金额" mulRef="_GBC_375aa5b655854a6fa4ef44766a5a9d36" unitRef="_GBC_6053d48a4e214ab7b17d03b28b93cb76" addr="T0R13C8S1_1" formatStyle="Comma"/>
      <m:item xlName="_GBC_12394ba1196f4ff3a985135f52778cef" concept="clcid-pte:GuFenZhiFuJiRuSuoYouZheQuanYiDeJinEDaoZhiYingYuGongJiBianDongJinE" label="股份支付计入所有者权益的金额导致盈余公积变动金额" mulRef="_GBC_375aa5b655854a6fa4ef44766a5a9d36" unitRef="_GBC_6053d48a4e214ab7b17d03b28b93cb76" addr="T0R13C9S1_1" formatStyle="Comma"/>
      <m:item xlName="_GBC_158c04df51da4038ac953f7b3f120920" concept="clcid-pte:GuFenZhiFuJiRuSuoYouZheQuanYiDeJinEDaoZhiWeiFenPeiLiRunBianDongJinE" label="股份支付计入所有者权益的金额导致未分配利润变动金额" mulRef="_GBC_375aa5b655854a6fa4ef44766a5a9d36" unitRef="_GBC_6053d48a4e214ab7b17d03b28b93cb76" addr="T0R13C10S1_1" formatStyle="Comma"/>
      <m:item xlName="_GBC_aa4dafdc7faf4604866bea3dc7d1727a" concept="clcid-pte:GuFenZhiFuJiRuSuoYouZheQuanYiDeJinEDaoZhiGuDongQuanYiHeJiBianDongJinE" label="股份支付计入所有者权益的金额导致股东权益合计变动金额" mulRef="_GBC_375aa5b655854a6fa4ef44766a5a9d36" unitRef="_GBC_6053d48a4e214ab7b17d03b28b93cb76" addr="T0R13C11S1_1" formatStyle="Comma"/>
      <m:placeholder xlName="_PLD_542fcbb713d641459b721e99a18c18b5" addr="T0R14C0S1_1"/>
      <m:item xlName="_GBC_34fd3f3ee298490797a4d58d502944f9" concept="clcid-pte:QiTaSuoYouZheTouRuHeJianShaoZiBenDaoZhiShiShouZiBenHuoGuBenJingEBianDongJinE" label="其他所有者投入和减少资本导致实收资本（或股本）净额变动金额" mulRef="_GBC_375aa5b655854a6fa4ef44766a5a9d36" unitRef="_GBC_6053d48a4e214ab7b17d03b28b93cb76" addr="T0R14C1S1_1" formatStyle="Comma"/>
      <m:item xlName="_GBC_5124a0fd40c9404e84c52d51ff13d290" concept="clcid-pte:QiTaSuoYouZheTouRuHeJianShaoZiBenDaoZhiQiTaQuanYiGongJuZhongDeYouXianGuBianDongJinE" label="其他所有者投入和减少资本导致其他权益工具中的优先股变动金额" mulRef="_GBC_375aa5b655854a6fa4ef44766a5a9d36" unitRef="_GBC_6053d48a4e214ab7b17d03b28b93cb76" addr="T0R14C2S1_1" formatStyle="Comma"/>
      <m:item xlName="_GBC_bc80feac6d8e40adbb2f04cce9cb4e13" concept="clcid-pte:QiTaSuoYouZheTouRuHeJianShaoZiBenDaoZhiQiTaQuanYiGongJuZhongDeYongXuZhaiBianDongJinE" label="其他所有者投入和减少资本导致其他权益工具中的永续债变动金额" mulRef="_GBC_375aa5b655854a6fa4ef44766a5a9d36" unitRef="_GBC_6053d48a4e214ab7b17d03b28b93cb76" addr="T0R14C3S1_1" formatStyle="Comma"/>
      <m:item xlName="_GBC_ae48bff1778647fe925ac23e662b45c3" concept="clcid-pte:QiTaSuoYouZheTouRuHeJianShaoZiBenDaoZhiQiTaQuanYiGongJuZhongDeQiTaBianDongJinE" label="其他所有者投入和减少资本导致其他权益工具中的其他变动金额" mulRef="_GBC_375aa5b655854a6fa4ef44766a5a9d36" unitRef="_GBC_6053d48a4e214ab7b17d03b28b93cb76" addr="T0R14C4S1_1" formatStyle="Comma"/>
      <m:item xlName="_GBC_54ea9c0af0a64ba08f99f1ba5b3174e8" concept="clcid-pte:QiTaSuoYouZheTouRuHeJianShaoZiBenDaoZhiZiBenGongJiBianDongJinE" label="其他所有者投入和减少资本导致资本公积变动金额" mulRef="_GBC_375aa5b655854a6fa4ef44766a5a9d36" unitRef="_GBC_6053d48a4e214ab7b17d03b28b93cb76" addr="T0R14C5S1_1" formatStyle="Comma"/>
      <m:item xlName="_GBC_abb162725337422b96d0d58d97f56fd3" concept="clcid-pte:QiTaSuoYouZheTouRuHeJianShaoZiBenDaoZhiKuCunGuBianDongJinE" label="其他所有者投入和减少资本导致库存股变动金额" mulRef="_GBC_375aa5b655854a6fa4ef44766a5a9d36" unitRef="_GBC_6053d48a4e214ab7b17d03b28b93cb76" addr="T0R14C6S1_1" formatStyle="Comma"/>
      <m:item xlName="_GBC_c6a1c6cc1c2647c397d619eb8c920664" concept="clcid-pte:QiTaSuoYouZheTouRuHeJianShaoZiBenDaoZhiQiTaZongHeShouYiBianDongJinE" label="其他所有者投入和减少资本导致其他综合收益变动金额" mulRef="_GBC_375aa5b655854a6fa4ef44766a5a9d36" unitRef="_GBC_6053d48a4e214ab7b17d03b28b93cb76" addr="T0R14C7S1_1" formatStyle="Comma"/>
      <m:item xlName="_GBC_12d2d9f04fb240dc9b494c54b5b0365e" concept="clcid-pte:QiTaSuoYouZheTouRuHeJianShaoZiBenDaoZhiZhuanXiangChuBeiBianDongJinE" label="其他所有者投入和减少资本导致专项储备变动金额" mulRef="_GBC_375aa5b655854a6fa4ef44766a5a9d36" unitRef="_GBC_6053d48a4e214ab7b17d03b28b93cb76" addr="T0R14C8S1_1" formatStyle="Comma"/>
      <m:item xlName="_GBC_7d3c71ac03d04f00a0d9ea75dfb6fc2c" concept="clcid-pte:QiTaSuoYouZheTouRuHeJianShaoZiBenDaoZhiYingYuGongJiBianDongJinE" label="其他所有者投入和减少资本导致盈余公积变动金额" mulRef="_GBC_375aa5b655854a6fa4ef44766a5a9d36" unitRef="_GBC_6053d48a4e214ab7b17d03b28b93cb76" addr="T0R14C9S1_1" formatStyle="Comma"/>
      <m:item xlName="_GBC_e40c72d6f48e4b0f91994c9dd6ef4ea7" concept="clcid-pte:QiTaSuoYouZheTouRuHeJianShaoZiBenDaoZhiWeiFenPeiLiRunBianDongJinE" label="其他所有者投入和减少资本导致未分配利润变动金额" mulRef="_GBC_375aa5b655854a6fa4ef44766a5a9d36" unitRef="_GBC_6053d48a4e214ab7b17d03b28b93cb76" addr="T0R14C10S1_1" formatStyle="Comma"/>
      <m:item xlName="_GBC_effa9c2e776547079c82a55a138feef0" concept="clcid-pte:QiTaSuoYouZheTouRuHeJianShaoZiBenDaoZhiGuDongQuanYiHeJiBianDongJinE" label="其他所有者投入和减少资本导致股东权益合计变动金额" mulRef="_GBC_375aa5b655854a6fa4ef44766a5a9d36" unitRef="_GBC_6053d48a4e214ab7b17d03b28b93cb76" addr="T0R14C11S1_1" formatStyle="Comma"/>
      <m:placeholder xlName="_PLD_04a7d4766dbf4992953be7bc20ff01a9" addr="T0R15C0S1_1"/>
      <m:item xlName="_GBC_6b105a342197442b95dd406e73392c41" concept="clcid-pte:LiRunFenPeiDaoZhiShiShouZiBenHuoGuBenJingEBianDongJinE" label="利润分配导致实收资本（或股本）净额变动金额" mulRef="_GBC_375aa5b655854a6fa4ef44766a5a9d36" unitRef="_GBC_6053d48a4e214ab7b17d03b28b93cb76" addr="T0R15C1S1_1" formatStyle="Comma">
        <m:complexRule comparator="Eq" title="利润分配导致实收资本（或股本）净额变动金额" test=" $_GBC_d8bc311574494262bb740d4f2bcededd +  $_GBC_b09cbfde7f264652885dea6b7d0aa184 +  $_GBC_b8caa29cb27845719743c25572d8001e" id="Cb6dfe341b9b64cb29254b9c892f1944e"/>
      </m:item>
      <m:item xlName="_GBC_784b6a37199f4028b93e4f05dda5799d" concept="clcid-pte:LiRunFenPeiDaoZhiQiTaQuanYiGongJuZhongDeYouXianGuBianDongJinE" label="利润分配导致其他权益工具中的优先股变动金额" mulRef="_GBC_375aa5b655854a6fa4ef44766a5a9d36" unitRef="_GBC_6053d48a4e214ab7b17d03b28b93cb76" addr="T0R15C2S1_1" formatStyle="Comma">
        <m:complexRule comparator="Eq" title="利润分配导致其他权益工具中的优先股变动金额" test=" $_GBC_b3fd25c542444e4182240207cee5008e +  $_GBC_25383360baf64eafb0762fa8e6ace9b3 +  $_GBC_86ecb0a462ae471e8805c9f39256b505" id="Ced70a216bbb64f62b9d0802aafecd14d"/>
      </m:item>
      <m:item xlName="_GBC_e87afe27ff6d446aa3c709ecff4eecd6" concept="clcid-pte:LiRunFenPeiDaoZhiQiTaQuanYiGongJuZhongDeYongXuZhaiBianDongJinE" label="利润分配导致其他权益工具中的永续债变动金额" mulRef="_GBC_375aa5b655854a6fa4ef44766a5a9d36" unitRef="_GBC_6053d48a4e214ab7b17d03b28b93cb76" addr="T0R15C3S1_1" formatStyle="Comma">
        <m:complexRule comparator="Eq" title="利润分配导致其他权益工具中的永续债变动金额" test=" $_GBC_6ab9137c5ebc4c55b934a7125a59f175 +  $_GBC_ef7d0a93c28e4306833d7ab1b79641a6 +  $_GBC_13f8d2a177c94ec6a768f3d02888f297" id="C61ff635face04589b761cc500f485def"/>
      </m:item>
      <m:item xlName="_GBC_2de6c99db11c4ac688df168bfda60547" concept="clcid-pte:LiRunFenPeiDaoZhiQiTaQuanYiGongJuZhongDeQiTaBianDongJinE" label="利润分配导致其他权益工具中的其他变动金额" mulRef="_GBC_375aa5b655854a6fa4ef44766a5a9d36" unitRef="_GBC_6053d48a4e214ab7b17d03b28b93cb76" addr="T0R15C4S1_1" formatStyle="Comma">
        <m:complexRule comparator="Eq" title="利润分配导致其他权益工具中的其他变动金额" test=" $_GBC_2e52cd209e6f405981d7c265137d4d51 +  $_GBC_dfc4c4c50f8442cb9de04f4e27742cff +  $_GBC_77946b5baecc47c38f3ed38abb4dc9b6" id="C4eb907ab55ca4b869785f6b1bf97d7d8"/>
      </m:item>
      <m:item xlName="_GBC_b05b4e7b3bb543b5a76ead7b367bc73c" concept="clcid-pte:LiRunFenPeiDaoZhiZiBenGongJiBianDongJinE" label="利润分配导致资本公积变动金额" mulRef="_GBC_375aa5b655854a6fa4ef44766a5a9d36" unitRef="_GBC_6053d48a4e214ab7b17d03b28b93cb76" addr="T0R15C5S1_1" formatStyle="Comma">
        <m:complexRule comparator="Eq" title="利润分配导致资本公积变动金额" test=" $_GBC_08cca1da49b1470ca71f3e949d0cd28f +  $_GBC_eec3b6c4fa4c4241bde3bb16efcf97c8 +  $_GBC_506c9537baa84a61b6f1b675c528c721" id="C2dc0cdb3cd174e36a21fd7b528c5c4c1"/>
      </m:item>
      <m:item xlName="_GBC_87442702c7b442c4bc588d4efb6f2a84" concept="clcid-pte:LiRunFenPeiDaoZhiKuCunGuBianDongJinE" label="利润分配导致库存股变动金额" mulRef="_GBC_375aa5b655854a6fa4ef44766a5a9d36" unitRef="_GBC_6053d48a4e214ab7b17d03b28b93cb76" addr="T0R15C6S1_1" formatStyle="Comma">
        <m:complexRule comparator="Eq" title="利润分配导致库存股变动金额" test=" $_GBC_663d8036678d4ba09a62b278428eb528 +  $_GBC_622a0f258c1841af987a5e2a7dbe6877 +  $_GBC_503d51ead3fa4568a231c95dabb6df74" id="Ce2f1bedc45fe4373ab2e7dc4f79ebf09"/>
      </m:item>
      <m:item xlName="_GBC_2bb973c188404964a33b84558243654c" concept="clcid-pte:LiRunFenPeiDaoZhiQiTaZongHeShouYiBianDongJinE" label="利润分配导致其他综合收益变动金额" mulRef="_GBC_375aa5b655854a6fa4ef44766a5a9d36" unitRef="_GBC_6053d48a4e214ab7b17d03b28b93cb76" addr="T0R15C7S1_1" formatStyle="Comma">
        <m:complexRule comparator="Eq" title="利润分配导致其他综合收益变动金额" test=" $_GBC_234f9538e1d14e4c888c5d1517b2b8d8 +  $_GBC_fcfe00cd02f5415ca0218d8db7d284db +  $_GBC_7809131f515f457f9efdb3a5cd0c3833" id="C059f054cc24d4c078a341612b010d567"/>
      </m:item>
      <m:item xlName="_GBC_d30274d906ed4f48b8024a9ad09c0a12" concept="clcid-pte:LiRunFenPeiDaoZhiZhuanXiangChuBeiBianDongJinE" label="利润分配导致专项储备变动金额" mulRef="_GBC_375aa5b655854a6fa4ef44766a5a9d36" unitRef="_GBC_6053d48a4e214ab7b17d03b28b93cb76" addr="T0R15C8S1_1" formatStyle="Comma">
        <m:complexRule comparator="Eq" title="利润分配导致专项储备变动金额" test=" $_GBC_c5bb42b05b254777a0267dfa4565cf85 +  $_GBC_3348843f2f7d4bec8b9f3b4f03aa5845 +  $_GBC_74f977e143b3431ea92545b3d8ab31ca" id="C973c0ee6443843af8e475ea8a389f06b"/>
      </m:item>
      <m:item xlName="_GBC_40a46a8e959247189730bd50f64ddf04" concept="clcid-pte:LiRunFenPeiDaoZhiYingYuGongJiBianDongJinE" label="利润分配导致盈余公积变动金额" mulRef="_GBC_375aa5b655854a6fa4ef44766a5a9d36" unitRef="_GBC_6053d48a4e214ab7b17d03b28b93cb76" addr="T0R15C9S1_1" formatStyle="Comma">
        <m:complexRule comparator="Eq" title="利润分配导致盈余公积变动金额" test=" $_GBC_6fc22582ad0e41efbd92db89e32f0c27 +  $_GBC_bb19ded61b514aed9e9edbbc1dd7d86e +  $_GBC_b1c66f5ad5df4c74bb4e3937265f40b6" id="C353f681857bb418d817759b18abd8ea1"/>
      </m:item>
      <m:item xlName="_GBC_14ddc1b72d224d8cb631f204c12e0e7b" concept="clcid-pte:LiRunFenPeiDaoZhiWeiFenPeiLiRunBianDongJinE" label="利润分配导致未分配利润变动金额" mulRef="_GBC_375aa5b655854a6fa4ef44766a5a9d36" unitRef="_GBC_6053d48a4e214ab7b17d03b28b93cb76" addr="T0R15C10S1_1" formatStyle="Comma">
        <m:complexRule comparator="Eq" title="利润分配导致未分配利润变动金额" test=" $_GBC_6e73d9aa75bf48d4bc0ae6b87b28418f +  $_GBC_5a90e57a296e45f19cf97e7d8040eac5 +  $_GBC_d372233802824215bb7f46b06a46a5ce" id="C11fee2b52b9d43e68cb60f87c3dcc5dd"/>
      </m:item>
      <m:item xlName="_GBC_60a15e732c8b4502b3a9e77633de1d86" concept="clcid-pte:LiRunFenPeiDaoZhiGuDongQuanYiHeJiBianDongJinE" label="利润分配导致股东权益合计变动金额" mulRef="_GBC_375aa5b655854a6fa4ef44766a5a9d36" unitRef="_GBC_6053d48a4e214ab7b17d03b28b93cb76" addr="T0R15C11S1_1" formatStyle="Comma">
        <m:complexRule comparator="Eq" title="利润分配导致股东权益合计变动金额" test=" $_GBC_b1b13438710940b091e49bde4df7e5ea +  $_GBC_df3890e140dd4c71b3e13826750cbfd7 +  $_GBC_ba887f5602d9485c888c179d326071d2" id="Cd91526fa19804269ae99fe8aca2f8a28"/>
      </m:item>
      <m:placeholder xlName="_PLD_9e9b8c98cff043eda1536a692c00db6a" addr="T0R16C0S1_1"/>
      <m:item xlName="_GBC_d8bc311574494262bb740d4f2bcededd" concept="clcid-pte:TiQuYingYuGongJiDaoZhiShiShouZiBenHuoGuBenJingEBianDongJinE" label="提取盈余公积导致实收资本（或股本）净额变动金额" mulRef="_GBC_375aa5b655854a6fa4ef44766a5a9d36" unitRef="_GBC_6053d48a4e214ab7b17d03b28b93cb76" addr="T0R16C1S1_1" formatStyle="Comma"/>
      <m:item xlName="_GBC_b3fd25c542444e4182240207cee5008e" concept="clcid-pte:TiQuYingYuGongJiDaoZhiQiTaQuanYiGongJuZhongDeYouXianGuBianDongJinE" label="提取盈余公积导致其他权益工具中的优先股变动金额" mulRef="_GBC_375aa5b655854a6fa4ef44766a5a9d36" unitRef="_GBC_6053d48a4e214ab7b17d03b28b93cb76" addr="T0R16C2S1_1" formatStyle="Comma"/>
      <m:item xlName="_GBC_6ab9137c5ebc4c55b934a7125a59f175" concept="clcid-pte:TiQuYingYuGongJiDaoZhiQiTaQuanYiGongJuZhongDeYongXuZhaiBianDongJinE" label="提取盈余公积导致其他权益工具中的永续债变动金额" mulRef="_GBC_375aa5b655854a6fa4ef44766a5a9d36" unitRef="_GBC_6053d48a4e214ab7b17d03b28b93cb76" addr="T0R16C3S1_1" formatStyle="Comma"/>
      <m:item xlName="_GBC_2e52cd209e6f405981d7c265137d4d51" concept="clcid-pte:TiQuYingYuGongJiDaoZhiQiTaQuanYiGongJuZhongDeQiTaBianDongJinE" label="提取盈余公积导致其他权益工具中的其他变动金额" mulRef="_GBC_375aa5b655854a6fa4ef44766a5a9d36" unitRef="_GBC_6053d48a4e214ab7b17d03b28b93cb76" addr="T0R16C4S1_1" formatStyle="Comma"/>
      <m:item xlName="_GBC_08cca1da49b1470ca71f3e949d0cd28f" concept="clcid-pte:TiQuYingYuGongJiDaoZhiZiBenGongJiBianDongJinE" label="提取盈余公积导致资本公积变动金额" mulRef="_GBC_375aa5b655854a6fa4ef44766a5a9d36" unitRef="_GBC_6053d48a4e214ab7b17d03b28b93cb76" addr="T0R16C5S1_1" formatStyle="Comma"/>
      <m:item xlName="_GBC_663d8036678d4ba09a62b278428eb528" concept="clcid-pte:TiQuYingYuGongJiDaoZhiKuCunGuBianDongJinE" label="提取盈余公积导致库存股变动金额" mulRef="_GBC_375aa5b655854a6fa4ef44766a5a9d36" unitRef="_GBC_6053d48a4e214ab7b17d03b28b93cb76" addr="T0R16C6S1_1" formatStyle="Comma"/>
      <m:item xlName="_GBC_234f9538e1d14e4c888c5d1517b2b8d8" concept="clcid-pte:TiQuYingYuGongJiDaoZhiQiTaZongHeShouYiBianDongJinE" label="提取盈余公积导致其他综合收益变动金额" mulRef="_GBC_375aa5b655854a6fa4ef44766a5a9d36" unitRef="_GBC_6053d48a4e214ab7b17d03b28b93cb76" addr="T0R16C7S1_1" formatStyle="Comma"/>
      <m:item xlName="_GBC_c5bb42b05b254777a0267dfa4565cf85" concept="clcid-pte:TiQuYingYuGongJiDaoZhiZhuanXiangChuBeiBianDongJinE" label="提取盈余公积导致专项储备变动金额" mulRef="_GBC_375aa5b655854a6fa4ef44766a5a9d36" unitRef="_GBC_6053d48a4e214ab7b17d03b28b93cb76" addr="T0R16C8S1_1" formatStyle="Comma"/>
      <m:item xlName="_GBC_6fc22582ad0e41efbd92db89e32f0c27" concept="clcid-pte:TiQuYingYuGongJiDaoZhiYingYuGongJiBianDongJinE" label="提取盈余公积导致盈余公积变动金额" mulRef="_GBC_375aa5b655854a6fa4ef44766a5a9d36" unitRef="_GBC_6053d48a4e214ab7b17d03b28b93cb76" addr="T0R16C9S1_1" formatStyle="Comma"/>
      <m:item xlName="_GBC_6e73d9aa75bf48d4bc0ae6b87b28418f" concept="clcid-pte:TiQuYingYuGongJiDaoZhiWeiFenPeiLiRunBianDongJinE" label="提取盈余公积导致未分配利润变动金额" mulRef="_GBC_375aa5b655854a6fa4ef44766a5a9d36" unitRef="_GBC_6053d48a4e214ab7b17d03b28b93cb76" addr="T0R16C10S1_1" formatStyle="Comma"/>
      <m:item xlName="_GBC_b1b13438710940b091e49bde4df7e5ea" concept="clcid-pte:TiQuYingYuGongJiDaoZhiGuDongQuanYiHeJiBianDongJinE" label="提取盈余公积导致股东权益合计变动金额" mulRef="_GBC_375aa5b655854a6fa4ef44766a5a9d36" unitRef="_GBC_6053d48a4e214ab7b17d03b28b93cb76" addr="T0R16C11S1_1" formatStyle="Comma"/>
      <m:placeholder xlName="_PLD_fcad247a79d04842b4e7afa47d3934b8" addr="T0R17C0S1_1"/>
      <m:item xlName="_GBC_b09cbfde7f264652885dea6b7d0aa184" concept="clcid-pte:DuiSuoYouZheHuoGuDongDeFenPeiDaoZhiShiShouZiBenHuoGuBenJingEBianDongJinE" label="对所有者（或股东）的分配导致实收资本（或股本）净额变动金额" mulRef="_GBC_375aa5b655854a6fa4ef44766a5a9d36" unitRef="_GBC_6053d48a4e214ab7b17d03b28b93cb76" addr="T0R17C1S1_1" formatStyle="Comma"/>
      <m:item xlName="_GBC_25383360baf64eafb0762fa8e6ace9b3" concept="clcid-pte:DuiSuoYouZheHuoGuDongDeFenPeiDaoZhiQiTaQuanYiGongJuZhongDeYouXianGuBianDongJinE" label="对所有者（或股东）的分配导致其他权益工具中的优先股变动金额" mulRef="_GBC_375aa5b655854a6fa4ef44766a5a9d36" unitRef="_GBC_6053d48a4e214ab7b17d03b28b93cb76" addr="T0R17C2S1_1" formatStyle="Comma"/>
      <m:item xlName="_GBC_ef7d0a93c28e4306833d7ab1b79641a6" concept="clcid-pte:DuiSuoYouZheHuoGuDongDeFenPeiDaoZhiQiTaQuanYiGongJuZhongDeYongXuZhaiBianDongJinE" label="对所有者（或股东）的分配导致其他权益工具中的永续债变动金额" mulRef="_GBC_375aa5b655854a6fa4ef44766a5a9d36" unitRef="_GBC_6053d48a4e214ab7b17d03b28b93cb76" addr="T0R17C3S1_1" formatStyle="Comma"/>
      <m:item xlName="_GBC_dfc4c4c50f8442cb9de04f4e27742cff" concept="clcid-pte:DuiSuoYouZheHuoGuDongDeFenPeiDaoZhiQiTaQuanYiGongJuZhongDeQiTaBianDongJinE" label="对所有者（或股东）的分配导致其他权益工具中的其他变动金额" mulRef="_GBC_375aa5b655854a6fa4ef44766a5a9d36" unitRef="_GBC_6053d48a4e214ab7b17d03b28b93cb76" addr="T0R17C4S1_1" formatStyle="Comma"/>
      <m:item xlName="_GBC_eec3b6c4fa4c4241bde3bb16efcf97c8" concept="clcid-pte:DuiSuoYouZheHuoGuDongDeFenPeiDaoZhiZiBenGongJiBianDongJinE" label="对所有者（或股东）的分配导致资本公积变动金额" mulRef="_GBC_375aa5b655854a6fa4ef44766a5a9d36" unitRef="_GBC_6053d48a4e214ab7b17d03b28b93cb76" addr="T0R17C5S1_1" formatStyle="Comma"/>
      <m:item xlName="_GBC_622a0f258c1841af987a5e2a7dbe6877" concept="clcid-pte:DuiSuoYouZheHuoGuDongDeFenPeiDaoZhiKuCunGuBianDongJinE" label="对所有者（或股东）的分配导致库存股变动金额" mulRef="_GBC_375aa5b655854a6fa4ef44766a5a9d36" unitRef="_GBC_6053d48a4e214ab7b17d03b28b93cb76" addr="T0R17C6S1_1" formatStyle="Comma"/>
      <m:item xlName="_GBC_fcfe00cd02f5415ca0218d8db7d284db" concept="clcid-pte:DuiSuoYouZheHuoGuDongDeFenPeiDaoZhiQiTaZongHeShouYiBianDongJinE" label="对所有者（或股东）的分配导致其他综合收益变动金额" mulRef="_GBC_375aa5b655854a6fa4ef44766a5a9d36" unitRef="_GBC_6053d48a4e214ab7b17d03b28b93cb76" addr="T0R17C7S1_1" formatStyle="Comma"/>
      <m:item xlName="_GBC_3348843f2f7d4bec8b9f3b4f03aa5845" concept="clcid-pte:DuiSuoYouZheHuoGuDongDeFenPeiDaoZhiZhuanXiangChuBeiBianDongJinE" label="对所有者（或股东）的分配导致专项储备变动金额" mulRef="_GBC_375aa5b655854a6fa4ef44766a5a9d36" unitRef="_GBC_6053d48a4e214ab7b17d03b28b93cb76" addr="T0R17C8S1_1" formatStyle="Comma"/>
      <m:item xlName="_GBC_bb19ded61b514aed9e9edbbc1dd7d86e" concept="clcid-pte:DuiSuoYouZheHuoGuDongDeFenPeiDaoZhiYingYuGongJiBianDongJinE" label="对所有者（或股东）的分配导致盈余公积变动金额" mulRef="_GBC_375aa5b655854a6fa4ef44766a5a9d36" unitRef="_GBC_6053d48a4e214ab7b17d03b28b93cb76" addr="T0R17C9S1_1" formatStyle="Comma"/>
      <m:item xlName="_GBC_5a90e57a296e45f19cf97e7d8040eac5" concept="clcid-pte:DuiSuoYouZheHuoGuDongDeFenPeiDaoZhiWeiFenPeiLiRunBianDongJinE" label="对所有者（或股东）的分配导致未分配利润变动金额" mulRef="_GBC_375aa5b655854a6fa4ef44766a5a9d36" unitRef="_GBC_6053d48a4e214ab7b17d03b28b93cb76" addr="T0R17C10S1_1" formatStyle="Comma"/>
      <m:item xlName="_GBC_df3890e140dd4c71b3e13826750cbfd7" concept="clcid-pte:DuiSuoYouZheHuoGuDongDeFenPeiDaoZhiGuDongQuanYiHeJiBianDongJinE" label="对所有者（或股东）的分配导致股东权益合计变动金额" mulRef="_GBC_375aa5b655854a6fa4ef44766a5a9d36" unitRef="_GBC_6053d48a4e214ab7b17d03b28b93cb76" addr="T0R17C11S1_1" formatStyle="Comma"/>
      <m:placeholder xlName="_PLD_85c02828ea504114a094ae2458971a07" addr="T0R18C0S1_1"/>
      <m:item xlName="_GBC_b8caa29cb27845719743c25572d8001e" concept="clcid-pte:QiTaLiRunFenPeiDaoZhiShiShouZiBenHuoGuBenJingEBianDongJinE" label="其他利润分配导致实收资本（或股本）净额变动金额" mulRef="_GBC_375aa5b655854a6fa4ef44766a5a9d36" unitRef="_GBC_6053d48a4e214ab7b17d03b28b93cb76" addr="T0R18C1S1_1" formatStyle="Comma"/>
      <m:item xlName="_GBC_86ecb0a462ae471e8805c9f39256b505" concept="clcid-pte:QiTaLiRunFenPeiDaoZhiQiTaQuanYiGongJuZhongDeYouXianGuBianDongJinE" label="其他利润分配导致其他权益工具中的优先股变动金额" mulRef="_GBC_375aa5b655854a6fa4ef44766a5a9d36" unitRef="_GBC_6053d48a4e214ab7b17d03b28b93cb76" addr="T0R18C2S1_1" formatStyle="Comma"/>
      <m:item xlName="_GBC_13f8d2a177c94ec6a768f3d02888f297" concept="clcid-pte:QiTaLiRunFenPeiDaoZhiQiTaQuanYiGongJuZhongDeYongXuZhaiBianDongJinE" label="其他利润分配导致其他权益工具中的永续债变动金额" mulRef="_GBC_375aa5b655854a6fa4ef44766a5a9d36" unitRef="_GBC_6053d48a4e214ab7b17d03b28b93cb76" addr="T0R18C3S1_1" formatStyle="Comma"/>
      <m:item xlName="_GBC_77946b5baecc47c38f3ed38abb4dc9b6" concept="clcid-pte:QiTaLiRunFenPeiDaoZhiQiTaQuanYiGongJuZhongDeQiTaBianDongJinE" label="其他利润分配导致其他权益工具中的其他变动金额" mulRef="_GBC_375aa5b655854a6fa4ef44766a5a9d36" unitRef="_GBC_6053d48a4e214ab7b17d03b28b93cb76" addr="T0R18C4S1_1" formatStyle="Comma"/>
      <m:item xlName="_GBC_506c9537baa84a61b6f1b675c528c721" concept="clcid-pte:QiTaLiRunFenPeiDaoZhiZiBenGongJiBianDongJinE" label="其他利润分配导致资本公积变动金额" mulRef="_GBC_375aa5b655854a6fa4ef44766a5a9d36" unitRef="_GBC_6053d48a4e214ab7b17d03b28b93cb76" addr="T0R18C5S1_1" formatStyle="Comma"/>
      <m:item xlName="_GBC_503d51ead3fa4568a231c95dabb6df74" concept="clcid-pte:QiTaLiRunFenPeiDaoZhiKuCunGuBianDongJinE" label="其他利润分配导致库存股变动金额" mulRef="_GBC_375aa5b655854a6fa4ef44766a5a9d36" unitRef="_GBC_6053d48a4e214ab7b17d03b28b93cb76" addr="T0R18C6S1_1" formatStyle="Comma"/>
      <m:item xlName="_GBC_7809131f515f457f9efdb3a5cd0c3833" concept="clcid-pte:QiTaLiRunFenPeiDaoZhiQiTaZongHeShouYiBianDongJinE" label="其他利润分配导致其他综合收益变动金额" mulRef="_GBC_375aa5b655854a6fa4ef44766a5a9d36" unitRef="_GBC_6053d48a4e214ab7b17d03b28b93cb76" addr="T0R18C7S1_1" formatStyle="Comma"/>
      <m:item xlName="_GBC_74f977e143b3431ea92545b3d8ab31ca" concept="clcid-pte:QiTaLiRunFenPeiDaoZhiZhuanXiangChuBeiBianDongJinE" label="其他利润分配导致专项储备变动金额" mulRef="_GBC_375aa5b655854a6fa4ef44766a5a9d36" unitRef="_GBC_6053d48a4e214ab7b17d03b28b93cb76" addr="T0R18C8S1_1" formatStyle="Comma"/>
      <m:item xlName="_GBC_b1c66f5ad5df4c74bb4e3937265f40b6" concept="clcid-pte:QiTaLiRunFenPeiDaoZhiYingYuGongJiBianDongJinE" label="其他利润分配导致盈余公积变动金额" mulRef="_GBC_375aa5b655854a6fa4ef44766a5a9d36" unitRef="_GBC_6053d48a4e214ab7b17d03b28b93cb76" addr="T0R18C9S1_1" formatStyle="Comma"/>
      <m:item xlName="_GBC_d372233802824215bb7f46b06a46a5ce" concept="clcid-pte:QiTaLiRunFenPeiDaoZhiWeiFenPeiLiRunBianDongJinE" label="其他利润分配导致未分配利润变动金额" mulRef="_GBC_375aa5b655854a6fa4ef44766a5a9d36" unitRef="_GBC_6053d48a4e214ab7b17d03b28b93cb76" addr="T0R18C10S1_1" formatStyle="Comma"/>
      <m:item xlName="_GBC_ba887f5602d9485c888c179d326071d2" concept="clcid-pte:QiTaLiRunFenPeiDaoZhiGuDongQuanYiHeJiBianDongJinE" label="其他利润分配导致股东权益合计变动金额" mulRef="_GBC_375aa5b655854a6fa4ef44766a5a9d36" unitRef="_GBC_6053d48a4e214ab7b17d03b28b93cb76" addr="T0R18C11S1_1" formatStyle="Comma"/>
      <m:placeholder xlName="_PLD_c3be67cae9e74853ba9a120fabb0f553" addr="T0R19C0S1_1"/>
      <m:item xlName="_GBC_a36fa024612c4f1f8d1cff14a4afb89b" concept="clcid-pte:SuoYouZheQuanYiNeiBuJieZhuanDaoZhiShiShouZiBenHuoGuBenJingEBianDongJinE" label="所有者权益内部结转导致实收资本（或股本）净额变动金额" mulRef="_GBC_375aa5b655854a6fa4ef44766a5a9d36" unitRef="_GBC_6053d48a4e214ab7b17d03b28b93cb76" addr="T0R19C1S1_1" formatStyle="Comma">
        <m:complexRule comparator="Eq" title="所有者权益内部结转导致实收资本（或股本）净额变动金额" test="$_GBC_b37dd2b7e3e0484399228a51af4ca955+$_GBC_305e4f8a723841259b999a63492de912+$_GBC_8ee5cdee88c64553a32abbbedd28a285+$_GBC_538241c523764e7f9081600e14a9f4e6+$_GBC_2a782142c84943f08fbaf2f221610866+$_GBC_1af00afe837e4aafa9687101a2e842b7" id="C52f6cca463044a6aaec39d65ca0b5fad"/>
      </m:item>
      <m:item xlName="_GBC_7a3ee2b77b184b0ab579602b3534acd2" concept="clcid-pte:SuoYouZheQuanYiNeiBuJieZhuanDaoZhiQiTaQuanYiGongJuZhongDeYouXianGuBianDongJinE" label="所有者权益内部结转导致其他权益工具中的优先股变动金额" mulRef="_GBC_375aa5b655854a6fa4ef44766a5a9d36" unitRef="_GBC_6053d48a4e214ab7b17d03b28b93cb76" addr="T0R19C2S1_1" formatStyle="Comma">
        <m:complexRule comparator="Eq" title="所有者权益内部结转导致其他权益工具中的优先股变动金额" test="$_GBC_70ce4270a3e248478ff2cfd737cd3f65+$_GBC_9f965b654082407880da0631fcc48b4f+$_GBC_df8ad92bf96d447ea916f0452edcead1+$_GBC_5a4616f27a824d32affd8dbc4b18e857+$_GBC_ad5338e2ecb845f5b4563c1e2def3c5a+$_GBC_b3b5882dbbd34de88ea6bc6c8cae4cd6" id="C71ea0a55f3aa414f86a4bbd5b6f6436a"/>
      </m:item>
      <m:item xlName="_GBC_4e9c00ccf69d497c8dfcf5082c414f90" concept="clcid-pte:SuoYouZheQuanYiNeiBuJieZhuanDaoZhiQiTaQuanYiGongJuZhongDeYongXuZhaiBianDongJinE" label="所有者权益内部结转导致其他权益工具中的永续债变动金额" mulRef="_GBC_375aa5b655854a6fa4ef44766a5a9d36" unitRef="_GBC_6053d48a4e214ab7b17d03b28b93cb76" addr="T0R19C3S1_1" formatStyle="Comma">
        <m:complexRule comparator="Eq" title="所有者权益内部结转导致其他权益工具中的永续债变动金额" test="$_GBC_1fb4ef474b1146d39ea6e7cbc134ccd3+$_GBC_fb6d1f09b92f4ba6ba1341c54378f7f6+$_GBC_85f353149ff5444a85bfb925f3b193ef+$_GBC_65ab1102c7a440769553693cdfb2871e+$_GBC_d3796268021b4b4f8b4ad23a315252e2+$_GBC_68e2dcae8f80411287a67604980d370c" id="C148ec1b100404ee9806389dc3a71da69"/>
      </m:item>
      <m:item xlName="_GBC_ae977af92b684c44bdf338b0507515d2" concept="clcid-pte:SuoYouZheQuanYiNeiBuJieZhuanDaoZhiQiTaQuanYiGongJuZhongDeQiTaBianDongJinE" label="所有者权益内部结转导致其他权益工具中的其他变动金额" mulRef="_GBC_375aa5b655854a6fa4ef44766a5a9d36" unitRef="_GBC_6053d48a4e214ab7b17d03b28b93cb76" addr="T0R19C4S1_1" formatStyle="Comma">
        <m:complexRule comparator="Eq" title="所有者权益内部结转导致其他权益工具中的其他变动金额" test="$_GBC_ab53882405144967aa6c7a76bf8211b0+$_GBC_f72fb90fc39741b9a949dee4aa5cc1ec+$_GBC_915af9f7b19341aea93418efd914e5d0+$_GBC_8bc38e044b45405eaa89545ebb70d176+$_GBC_1f1ac4006e904282b76a2ae6f51774d8+$_GBC_4d1f7a8f40ff45bba70cc248523cddd8" id="C77351fda3b1c49aeb387afb6083b14c1"/>
      </m:item>
      <m:item xlName="_GBC_5f926490ade5412d9a77c297b45fbf73" concept="clcid-pte:SuoYouZheQuanYiNeiBuJieZhuanDaoZhiZiBenGongJiBianDongJinE" label="所有者权益内部结转导致资本公积变动金额" mulRef="_GBC_375aa5b655854a6fa4ef44766a5a9d36" unitRef="_GBC_6053d48a4e214ab7b17d03b28b93cb76" addr="T0R19C5S1_1" formatStyle="Comma">
        <m:complexRule comparator="Eq" title="所有者权益内部结转导致资本公积变动金额" test="$_GBC_a997f4e1d1e046b49520e6542ff98399+$_GBC_ecb3f8e590dc43db895573d19e2ea376+$_GBC_a1225d3f66cf4a53a5ce20577974bcaa+$_GBC_21e87021bfc84d71b300351066d42cbf+$_GBC_f6e71ec80bc9477c8d881ee8344f7392+$_GBC_6af2eb372f8b4cd5ad50c3b1a76a185b" id="Caea9d7a65ae44ddcb1c2ca507acc377a"/>
      </m:item>
      <m:item xlName="_GBC_a7f0c6e13bd34921b1f72186a6051ee3" concept="clcid-pte:SuoYouZheQuanYiNeiBuJieZhuanDaoZhiKuCunGuBianDongJinE" label="所有者权益内部结转导致库存股变动金额" mulRef="_GBC_375aa5b655854a6fa4ef44766a5a9d36" unitRef="_GBC_6053d48a4e214ab7b17d03b28b93cb76" addr="T0R19C6S1_1" formatStyle="Comma">
        <m:complexRule comparator="Eq" title="所有者权益内部结转导致库存股变动金额" test="$_GBC_c9666fffa3f84148b66ac4291ecc334c+$_GBC_ddcd906cbd98438ebde77f9199b207cb+$_GBC_644456d8d5d34a2ea51c4b112415ad26+$_GBC_08683b762621445c83bc34d8f27cf8d0+$_GBC_5ee0b29150224583bd8bc23005cab887+$_GBC_1f20017ee5d145f2bc0640f3d08dcb83" id="C18d67624a39145c293dbaa49d280cdfc"/>
      </m:item>
      <m:item xlName="_GBC_cdde0602f9354035ada898e7c4307caf" concept="clcid-pte:SuoYouZheQuanYiNeiBuJieZhuanDaoZhiQiTaZongHeShouYiBianDongJinE" label="所有者权益内部结转导致其他综合收益变动金额" mulRef="_GBC_375aa5b655854a6fa4ef44766a5a9d36" unitRef="_GBC_6053d48a4e214ab7b17d03b28b93cb76" addr="T0R19C7S1_1" formatStyle="Comma">
        <m:complexRule comparator="Eq" title="所有者权益内部结转导致其他综合收益变动金额" test="$_GBC_104cb078ad724c639c85c88ff586687a+$_GBC_a51338e6363545f6b4481a694ebb7f03+$_GBC_1bdf3936aab043cca62f1ff969cea8ea+$_GBC_06f2ff67e485434b9e579c2d60122fd6+$_GBC_d1f080691a6f4b4e8524954835821c5e+$_GBC_55a0fefced38408dbe178e553543b824" id="C9aee8f1672d3467bad4080486160d2fc"/>
      </m:item>
      <m:item xlName="_GBC_608958c908994401bd17136a118121ae" concept="clcid-pte:SuoYouZheQuanYiNeiBuJieZhuanDaoZhiZhuanXiangChuBeiBianDongJinE" label="所有者权益内部结转导致专项储备变动金额" mulRef="_GBC_375aa5b655854a6fa4ef44766a5a9d36" unitRef="_GBC_6053d48a4e214ab7b17d03b28b93cb76" addr="T0R19C8S1_1" formatStyle="Comma">
        <m:complexRule comparator="Eq" title="所有者权益内部结转导致专项储备变动金额" test="$_GBC_e1e92cd7917f48c499910a406120eb12+$_GBC_36cce676368441ba8daea53407300819+$_GBC_a7d06456bb834027bdbc659f4418af0c+$_GBC_7acf044c96a948ef99f5a9f2c23c7074+$_GBC_56a9698254e349528564ae6afb101e99+$_GBC_4f8431347a504740a9770d76650ac2f0" id="Cdd79a59f1af54257826721722ec07122"/>
      </m:item>
      <m:item xlName="_GBC_4dd8d9b006b74bdeb3da672c82a23e4d" concept="clcid-pte:SuoYouZheQuanYiNeiBuJieZhuanDaoZhiYingYuGongJiBianDongJinE" label="所有者权益内部结转导致盈余公积变动金额" mulRef="_GBC_375aa5b655854a6fa4ef44766a5a9d36" unitRef="_GBC_6053d48a4e214ab7b17d03b28b93cb76" addr="T0R19C9S1_1" formatStyle="Comma">
        <m:complexRule comparator="Eq" title="所有者权益内部结转导致盈余公积变动金额" test="$_GBC_75325d62e8b34d54b47ae533ff105dd9+$_GBC_cc9189e3fe8044d8b8cb9cc581828cc6+$_GBC_f972136d3ad14ba09df8844fe5c092ab+$_GBC_27ed319d81c34bab95e3437210b71c5d+$_GBC_3d4aefff8d344f23b6a3dcd5d66d0c5a+$_GBC_0b0a83dcbb584a149c6239b8ded61c73" id="C110bdee2c06d471a9c7e3d200a2d3e3d"/>
      </m:item>
      <m:item xlName="_GBC_ca1ffdd628204eac9c010d2b56a8b418" concept="clcid-pte:SuoYouZheQuanYiNeiBuJieZhuanDaoZhiWeiFenPeiLiRunBianDongJinE" label="所有者权益内部结转导致未分配利润变动金额" mulRef="_GBC_375aa5b655854a6fa4ef44766a5a9d36" unitRef="_GBC_6053d48a4e214ab7b17d03b28b93cb76" addr="T0R19C10S1_1" formatStyle="Comma">
        <m:complexRule comparator="Eq" title="所有者权益内部结转导致未分配利润变动金额" test="$_GBC_c81f1885483c4f268580de6396258f15+$_GBC_7c053148526b44c1be94991f24f7dd9d+$_GBC_b6375f1431fd4ef4b0d78b19dfa5219a+$_GBC_69e9eea09cda44a58d90389ad4c7c858+$_GBC_49db7d45de3a42f6b3df92247bdb41f2+$_GBC_2110322da6794fe8b4e2de9c406787aa" id="C0e6a4ca486614caaaa2a7ce32dcdc522"/>
      </m:item>
      <m:item xlName="_GBC_f38b59b2f1d748e2a5480639c30a964e" concept="clcid-pte:SuoYouZheQuanYiNeiBuJieZhuanDaoZhiGuDongQuanYiHeJiBianDongJinE" label="所有者权益内部结转导致股东权益合计变动金额" mulRef="_GBC_375aa5b655854a6fa4ef44766a5a9d36" unitRef="_GBC_6053d48a4e214ab7b17d03b28b93cb76" addr="T0R19C11S1_1" formatStyle="Comma">
        <m:complexRule comparator="Eq" title="所有者权益内部结转导致股东权益合计变动金额" test="$_GBC_1e374e55101b4450917c000544eb8f6d+$_GBC_7afa813c0e324c458894ad30f1be95b3+$_GBC_08d8e2161c014371b90b2a4707bd7b89+$_GBC_7e8ec15a42ca49ef81a824fda2ef405a+$_GBC_5001a59e5d1a4f6c94ebef0af5cfdf03+$_GBC_2052396c10334ede88fb8cae686eb089" id="C0c5ef7b440e44f8c88095c6ed72b316b"/>
      </m:item>
      <m:placeholder xlName="_PLD_75ad473081fe4f2a999e7cc7ffc253c7" addr="T0R20C0S1_1"/>
      <m:item xlName="_GBC_b37dd2b7e3e0484399228a51af4ca955" concept="clcid-pte:ZiBenGongJiZhuanZengZiBenHuoGuBenDaoZhiShiShouZiBenHuoGuBenJingEBianDongJinE" label="资本公积转增资本（或股本）导致实收资本（或股本）净额变动金额" mulRef="_GBC_375aa5b655854a6fa4ef44766a5a9d36" unitRef="_GBC_6053d48a4e214ab7b17d03b28b93cb76" addr="T0R20C1S1_1" formatStyle="Comma"/>
      <m:item xlName="_GBC_70ce4270a3e248478ff2cfd737cd3f65" concept="clcid-pte:ZiBenGongJiZhuanZengZiBenHuoGuBenDaoZhiQiTaQuanYiGongJuZhongDeYouXianGuBianDongJinE" label="资本公积转增资本（或股本）导致其他权益工具中的优先股变动金额" mulRef="_GBC_375aa5b655854a6fa4ef44766a5a9d36" unitRef="_GBC_6053d48a4e214ab7b17d03b28b93cb76" addr="T0R20C2S1_1" formatStyle="Comma"/>
      <m:item xlName="_GBC_1fb4ef474b1146d39ea6e7cbc134ccd3" concept="clcid-pte:ZiBenGongJiZhuanZengZiBenHuoGuBenDaoZhiQiTaQuanYiGongJuZhongDeYongXuZhaiBianDongJinE" label="资本公积转增资本（或股本）导致其他权益工具中的永续债变动金额" mulRef="_GBC_375aa5b655854a6fa4ef44766a5a9d36" unitRef="_GBC_6053d48a4e214ab7b17d03b28b93cb76" addr="T0R20C3S1_1" formatStyle="Comma"/>
      <m:item xlName="_GBC_ab53882405144967aa6c7a76bf8211b0" concept="clcid-pte:ZiBenGongJiZhuanZengZiBenHuoGuBenDaoZhiQiTaQuanYiGongJuZhongDeQiTaBianDongJinE" label="资本公积转增资本（或股本）导致其他权益工具中的其他变动金额" mulRef="_GBC_375aa5b655854a6fa4ef44766a5a9d36" unitRef="_GBC_6053d48a4e214ab7b17d03b28b93cb76" addr="T0R20C4S1_1" formatStyle="Comma"/>
      <m:item xlName="_GBC_a997f4e1d1e046b49520e6542ff98399" concept="clcid-pte:ZiBenGongJiZhuanZengZiBenHuoGuBenDaoZhiZiBenGongJiBianDongJinE" label="资本公积转增资本（或股本）导致资本公积变动金额" mulRef="_GBC_375aa5b655854a6fa4ef44766a5a9d36" unitRef="_GBC_6053d48a4e214ab7b17d03b28b93cb76" addr="T0R20C5S1_1" formatStyle="Comma"/>
      <m:item xlName="_GBC_c9666fffa3f84148b66ac4291ecc334c" concept="clcid-pte:ZiBenGongJiZhuanZengZiBenHuoGuBenDaoZhiKuCunGuBianDongJinE" label="资本公积转增资本（或股本）导致库存股变动金额" mulRef="_GBC_375aa5b655854a6fa4ef44766a5a9d36" unitRef="_GBC_6053d48a4e214ab7b17d03b28b93cb76" addr="T0R20C6S1_1" formatStyle="Comma"/>
      <m:item xlName="_GBC_104cb078ad724c639c85c88ff586687a" concept="clcid-pte:ZiBenGongJiZhuanZengZiBenHuoGuBenDaoZhiQiTaZongHeShouYiBianDongJinE" label="资本公积转增资本（或股本）导致其他综合收益变动金额" mulRef="_GBC_375aa5b655854a6fa4ef44766a5a9d36" unitRef="_GBC_6053d48a4e214ab7b17d03b28b93cb76" addr="T0R20C7S1_1" formatStyle="Comma"/>
      <m:item xlName="_GBC_e1e92cd7917f48c499910a406120eb12" concept="clcid-pte:ZiBenGongJiZhuanZengZiBenHuoGuBenDaoZhiZhuanXiangChuBeiBianDongJinE" label="资本公积转增资本（或股本）导致专项储备变动金额" mulRef="_GBC_375aa5b655854a6fa4ef44766a5a9d36" unitRef="_GBC_6053d48a4e214ab7b17d03b28b93cb76" addr="T0R20C8S1_1" formatStyle="Comma"/>
      <m:item xlName="_GBC_75325d62e8b34d54b47ae533ff105dd9" concept="clcid-pte:ZiBenGongJiZhuanZengZiBenHuoGuBenDaoZhiYingYuGongJiBianDongJinE" label="资本公积转增资本（或股本）导致盈余公积变动金额" mulRef="_GBC_375aa5b655854a6fa4ef44766a5a9d36" unitRef="_GBC_6053d48a4e214ab7b17d03b28b93cb76" addr="T0R20C9S1_1" formatStyle="Comma"/>
      <m:item xlName="_GBC_c81f1885483c4f268580de6396258f15" concept="clcid-pte:ZiBenGongJiZhuanZengZiBenHuoGuBenDaoZhiWeiFenPeiLiRunBianDongJinE" label="资本公积转增资本（或股本）导致未分配利润变动金额" mulRef="_GBC_375aa5b655854a6fa4ef44766a5a9d36" unitRef="_GBC_6053d48a4e214ab7b17d03b28b93cb76" addr="T0R20C10S1_1" formatStyle="Comma"/>
      <m:item xlName="_GBC_1e374e55101b4450917c000544eb8f6d" concept="clcid-pte:ZiBenGongJiZhuanZengZiBenHuoGuBenDaoZhiGuDongQuanYiHeJiBianDongJinE" label="资本公积转增资本（或股本）导致股东权益合计变动金额" mulRef="_GBC_375aa5b655854a6fa4ef44766a5a9d36" unitRef="_GBC_6053d48a4e214ab7b17d03b28b93cb76" addr="T0R20C11S1_1" formatStyle="Comma"/>
      <m:placeholder xlName="_PLD_ca73cb424253495c8d90ce7ad04a1839" addr="T0R21C0S1_1"/>
      <m:item xlName="_GBC_305e4f8a723841259b999a63492de912" concept="clcid-pte:YingYuGongJiZhuanZengZiBenHuoGuBenDaoZhiShiShouZiBenHuoGuBenJingEBianDongJinE" label="盈余公积转增资本（或股本）导致实收资本（或股本）净额变动金额" mulRef="_GBC_375aa5b655854a6fa4ef44766a5a9d36" unitRef="_GBC_6053d48a4e214ab7b17d03b28b93cb76" addr="T0R21C1S1_1" formatStyle="Comma"/>
      <m:item xlName="_GBC_9f965b654082407880da0631fcc48b4f" concept="clcid-pte:YingYuGongJiZhuanZengZiBenHuoGuBenDaoZhiQiTaQuanYiGongJuZhongDeYouXianGuBianDongJinE" label="盈余公积转增资本（或股本）导致其他权益工具中的优先股变动金额" mulRef="_GBC_375aa5b655854a6fa4ef44766a5a9d36" unitRef="_GBC_6053d48a4e214ab7b17d03b28b93cb76" addr="T0R21C2S1_1" formatStyle="Comma"/>
      <m:item xlName="_GBC_fb6d1f09b92f4ba6ba1341c54378f7f6" concept="clcid-pte:YingYuGongJiZhuanZengZiBenHuoGuBenDaoZhiQiTaQuanYiGongJuZhongDeYongXuZhaiBianDongJinE" label="盈余公积转增资本（或股本）导致其他权益工具中的永续债变动金额" mulRef="_GBC_375aa5b655854a6fa4ef44766a5a9d36" unitRef="_GBC_6053d48a4e214ab7b17d03b28b93cb76" addr="T0R21C3S1_1" formatStyle="Comma"/>
      <m:item xlName="_GBC_f72fb90fc39741b9a949dee4aa5cc1ec" concept="clcid-pte:YingYuGongJiZhuanZengZiBenHuoGuBenDaoZhiQiTaQuanYiGongJuZhongDeQiTaBianDongJinE" label="盈余公积转增资本（或股本）导致其他权益工具中的其他变动金额" mulRef="_GBC_375aa5b655854a6fa4ef44766a5a9d36" unitRef="_GBC_6053d48a4e214ab7b17d03b28b93cb76" addr="T0R21C4S1_1" formatStyle="Comma"/>
      <m:item xlName="_GBC_ecb3f8e590dc43db895573d19e2ea376" concept="clcid-pte:YingYuGongJiZhuanZengZiBenHuoGuBenDaoZhiZiBenGongJiBianDongJinE" label="盈余公积转增资本（或股本）导致资本公积变动金额" mulRef="_GBC_375aa5b655854a6fa4ef44766a5a9d36" unitRef="_GBC_6053d48a4e214ab7b17d03b28b93cb76" addr="T0R21C5S1_1" formatStyle="Comma"/>
      <m:item xlName="_GBC_ddcd906cbd98438ebde77f9199b207cb" concept="clcid-pte:YingYuGongJiZhuanZengZiBenHuoGuBenDaoZhiKuCunGuBianDongJinE" label="盈余公积转增资本（或股本）导致库存股变动金额" mulRef="_GBC_375aa5b655854a6fa4ef44766a5a9d36" unitRef="_GBC_6053d48a4e214ab7b17d03b28b93cb76" addr="T0R21C6S1_1" formatStyle="Comma"/>
      <m:item xlName="_GBC_a51338e6363545f6b4481a694ebb7f03" concept="clcid-pte:YingYuGongJiZhuanZengZiBenHuoGuBenDaoZhiQiTaZongHeShouYiBianDongJinE" label="盈余公积转增资本（或股本）导致其他综合收益变动金额" mulRef="_GBC_375aa5b655854a6fa4ef44766a5a9d36" unitRef="_GBC_6053d48a4e214ab7b17d03b28b93cb76" addr="T0R21C7S1_1" formatStyle="Comma"/>
      <m:item xlName="_GBC_36cce676368441ba8daea53407300819" concept="clcid-pte:YingYuGongJiZhuanZengZiBenHuoGuBenDaoZhiZhuanXiangChuBeiBianDongJinE" label="盈余公积转增资本（或股本）导致专项储备变动金额" mulRef="_GBC_375aa5b655854a6fa4ef44766a5a9d36" unitRef="_GBC_6053d48a4e214ab7b17d03b28b93cb76" addr="T0R21C8S1_1" formatStyle="Comma"/>
      <m:item xlName="_GBC_cc9189e3fe8044d8b8cb9cc581828cc6" concept="clcid-pte:YingYuGongJiZhuanZengZiBenHuoGuBenDaoZhiYingYuGongJiBianDongJinE" label="盈余公积转增资本（或股本）导致盈余公积变动金额" mulRef="_GBC_375aa5b655854a6fa4ef44766a5a9d36" unitRef="_GBC_6053d48a4e214ab7b17d03b28b93cb76" addr="T0R21C9S1_1" formatStyle="Comma"/>
      <m:item xlName="_GBC_7c053148526b44c1be94991f24f7dd9d" concept="clcid-pte:YingYuGongJiZhuanZengZiBenHuoGuBenDaoZhiWeiFenPeiLiRunBianDongJinE" label="盈余公积转增资本（或股本）导致未分配利润变动金额" mulRef="_GBC_375aa5b655854a6fa4ef44766a5a9d36" unitRef="_GBC_6053d48a4e214ab7b17d03b28b93cb76" addr="T0R21C10S1_1" formatStyle="Comma"/>
      <m:item xlName="_GBC_7afa813c0e324c458894ad30f1be95b3" concept="clcid-pte:YingYuGongJiZhuanZengZiBenHuoGuBenDaoZhiGuDongQuanYiHeJiBianDongJinE" label="盈余公积转增资本（或股本）导致股东权益合计变动金额" mulRef="_GBC_375aa5b655854a6fa4ef44766a5a9d36" unitRef="_GBC_6053d48a4e214ab7b17d03b28b93cb76" addr="T0R21C11S1_1" formatStyle="Comma"/>
      <m:placeholder xlName="_PLD_113975ccc28d48e68ca44d41c04949c4" addr="T0R22C0S1_1"/>
      <m:item xlName="_GBC_8ee5cdee88c64553a32abbbedd28a285" concept="clcid-pte:YingYuGongJiMiBuKuiSunDaoZhiShiShouZiBenHuoGuBenJingEBianDongJinE" label="盈余公积弥补亏损导致实收资本（或股本）净额变动金额" mulRef="_GBC_375aa5b655854a6fa4ef44766a5a9d36" unitRef="_GBC_6053d48a4e214ab7b17d03b28b93cb76" addr="T0R22C1S1_1" formatStyle="Comma"/>
      <m:item xlName="_GBC_df8ad92bf96d447ea916f0452edcead1" concept="clcid-pte:YingYuGongJiMiBuKuiSunDaoZhiQiTaQuanYiGongJuZhongDeYouXianGuBianDongJinE" label="盈余公积弥补亏损导致其他权益工具中的优先股变动金额" mulRef="_GBC_375aa5b655854a6fa4ef44766a5a9d36" unitRef="_GBC_6053d48a4e214ab7b17d03b28b93cb76" addr="T0R22C2S1_1" formatStyle="Comma"/>
      <m:item xlName="_GBC_85f353149ff5444a85bfb925f3b193ef" concept="clcid-pte:YingYuGongJiMiBuKuiSunDaoZhiQiTaQuanYiGongJuZhongDeYongXuZhaiBianDongJinE" label="盈余公积弥补亏损导致其他权益工具中的永续债变动金额" mulRef="_GBC_375aa5b655854a6fa4ef44766a5a9d36" unitRef="_GBC_6053d48a4e214ab7b17d03b28b93cb76" addr="T0R22C3S1_1" formatStyle="Comma"/>
      <m:item xlName="_GBC_915af9f7b19341aea93418efd914e5d0" concept="clcid-pte:YingYuGongJiMiBuKuiSunDaoZhiQiTaQuanYiGongJuZhongDeQiTaBianDongJinE" label="盈余公积弥补亏损导致其他权益工具中的其他变动金额" mulRef="_GBC_375aa5b655854a6fa4ef44766a5a9d36" unitRef="_GBC_6053d48a4e214ab7b17d03b28b93cb76" addr="T0R22C4S1_1" formatStyle="Comma"/>
      <m:item xlName="_GBC_a1225d3f66cf4a53a5ce20577974bcaa" concept="clcid-pte:YingYuGongJiMiBuKuiSunDaoZhiZiBenGongJiBianDongJinE" label="盈余公积弥补亏损导致资本公积变动金额" mulRef="_GBC_375aa5b655854a6fa4ef44766a5a9d36" unitRef="_GBC_6053d48a4e214ab7b17d03b28b93cb76" addr="T0R22C5S1_1" formatStyle="Comma"/>
      <m:item xlName="_GBC_644456d8d5d34a2ea51c4b112415ad26" concept="clcid-pte:YingYuGongJiMiBuKuiSunDaoZhiKuCunGuBianDongJinE" label="盈余公积弥补亏损导致库存股变动金额" mulRef="_GBC_375aa5b655854a6fa4ef44766a5a9d36" unitRef="_GBC_6053d48a4e214ab7b17d03b28b93cb76" addr="T0R22C6S1_1" formatStyle="Comma"/>
      <m:item xlName="_GBC_1bdf3936aab043cca62f1ff969cea8ea" concept="clcid-pte:YingYuGongJiMiBuKuiSunDaoZhiQiTaZongHeShouYiBianDongJinE" label="盈余公积弥补亏损导致其他综合收益变动金额" mulRef="_GBC_375aa5b655854a6fa4ef44766a5a9d36" unitRef="_GBC_6053d48a4e214ab7b17d03b28b93cb76" addr="T0R22C7S1_1" formatStyle="Comma"/>
      <m:item xlName="_GBC_a7d06456bb834027bdbc659f4418af0c" concept="clcid-pte:YingYuGongJiMiBuKuiSunDaoZhiZhuanXiangChuBeiBianDongJinE" label="盈余公积弥补亏损导致专项储备变动金额" mulRef="_GBC_375aa5b655854a6fa4ef44766a5a9d36" unitRef="_GBC_6053d48a4e214ab7b17d03b28b93cb76" addr="T0R22C8S1_1" formatStyle="Comma"/>
      <m:item xlName="_GBC_f972136d3ad14ba09df8844fe5c092ab" concept="clcid-pte:YingYuGongJiMiBuKuiSunDaoZhiYingYuGongJiBianDongJinE" label="盈余公积弥补亏损导致盈余公积变动金额" mulRef="_GBC_375aa5b655854a6fa4ef44766a5a9d36" unitRef="_GBC_6053d48a4e214ab7b17d03b28b93cb76" addr="T0R22C9S1_1" formatStyle="Comma"/>
      <m:item xlName="_GBC_b6375f1431fd4ef4b0d78b19dfa5219a" concept="clcid-pte:YingYuGongJiMiBuKuiSunDaoZhiWeiFenPeiLiRunBianDongJinE" label="盈余公积弥补亏损导致未分配利润变动金额" mulRef="_GBC_375aa5b655854a6fa4ef44766a5a9d36" unitRef="_GBC_6053d48a4e214ab7b17d03b28b93cb76" addr="T0R22C10S1_1" formatStyle="Comma"/>
      <m:item xlName="_GBC_08d8e2161c014371b90b2a4707bd7b89" concept="clcid-pte:YingYuGongJiMiBuKuiSunDaoZhiGuDongQuanYiHeJiBianDongJinE" label="盈余公积弥补亏损导致股东权益合计变动金额" mulRef="_GBC_375aa5b655854a6fa4ef44766a5a9d36" unitRef="_GBC_6053d48a4e214ab7b17d03b28b93cb76" addr="T0R22C11S1_1" formatStyle="Comma"/>
      <m:placeholder xlName="_PLD_f6fd3c5869ad484b9081a5f816c79c15" addr="T0R23C0S1_1"/>
      <m:item xlName="_GBC_538241c523764e7f9081600e14a9f4e6" concept="clcid-pte:SheDingShouYiJiHuaBianDongEJieZhuanLiuCunShouYiDaoZhiShiShouZiBenHuoGuBenJingEBianDongJinE" label="设定受益计划变动额结转留存收益导致实收资本（或股本）净额变动金额" mulRef="_GBC_375aa5b655854a6fa4ef44766a5a9d36" unitRef="_GBC_6053d48a4e214ab7b17d03b28b93cb76" addr="T0R23C1S1_1" formatStyle="Comma"/>
      <m:item xlName="_GBC_5a4616f27a824d32affd8dbc4b18e857" concept="clcid-pte:SheDingShouYiJiHuaBianDongEJieZhuanLiuCunShouYiDaoZhiQiTaQuanYiGongJuZhongDeYouXianGuBianDongJinE" label="设定受益计划变动额结转留存收益导致其他权益工具中的优先股变动金额" mulRef="_GBC_375aa5b655854a6fa4ef44766a5a9d36" unitRef="_GBC_6053d48a4e214ab7b17d03b28b93cb76" addr="T0R23C2S1_1" formatStyle="Comma"/>
      <m:item xlName="_GBC_65ab1102c7a440769553693cdfb2871e" concept="clcid-pte:SheDingShouYiJiHuaBianDongEJieZhuanLiuCunShouYiDaoZhiQiTaQuanYiGongJuZhongDeYongXuZhaiBianDongJinE" label="设定受益计划变动额结转留存收益导致其他权益工具中的永续债变动金额" mulRef="_GBC_375aa5b655854a6fa4ef44766a5a9d36" unitRef="_GBC_6053d48a4e214ab7b17d03b28b93cb76" addr="T0R23C3S1_1" formatStyle="Comma"/>
      <m:item xlName="_GBC_8bc38e044b45405eaa89545ebb70d176" concept="clcid-pte:SheDingShouYiJiHuaBianDongEJieZhuanLiuCunShouYiDaoZhiQiTaQuanYiGongJuZhongDeQiTaBianDongJinE" label="设定受益计划变动额结转留存收益导致其他权益工具中的其他变动金额" mulRef="_GBC_375aa5b655854a6fa4ef44766a5a9d36" unitRef="_GBC_6053d48a4e214ab7b17d03b28b93cb76" addr="T0R23C4S1_1" formatStyle="Comma"/>
      <m:item xlName="_GBC_21e87021bfc84d71b300351066d42cbf" concept="clcid-pte:SheDingShouYiJiHuaBianDongEJieZhuanLiuCunShouYiDaoZhiZiBenGongJiBianDongJinE" label="设定受益计划变动额结转留存收益导致资本公积变动金额" mulRef="_GBC_375aa5b655854a6fa4ef44766a5a9d36" unitRef="_GBC_6053d48a4e214ab7b17d03b28b93cb76" addr="T0R23C5S1_1" formatStyle="Comma"/>
      <m:item xlName="_GBC_08683b762621445c83bc34d8f27cf8d0" concept="clcid-pte:SheDingShouYiJiHuaBianDongEJieZhuanLiuCunShouYiDaoZhiKuCunGuBianDongJinE" label="设定受益计划变动额结转留存收益导致库存股变动金额" mulRef="_GBC_375aa5b655854a6fa4ef44766a5a9d36" unitRef="_GBC_6053d48a4e214ab7b17d03b28b93cb76" addr="T0R23C6S1_1" formatStyle="Comma"/>
      <m:item xlName="_GBC_06f2ff67e485434b9e579c2d60122fd6" concept="clcid-pte:SheDingShouYiJiHuaBianDongEJieZhuanLiuCunShouYiDaoZhiQiTaZongHeShouYiBianDongJinE" label="设定受益计划变动额结转留存收益导致其他综合收益变动金额" mulRef="_GBC_375aa5b655854a6fa4ef44766a5a9d36" unitRef="_GBC_6053d48a4e214ab7b17d03b28b93cb76" addr="T0R23C7S1_1" formatStyle="Comma"/>
      <m:item xlName="_GBC_7acf044c96a948ef99f5a9f2c23c7074" concept="clcid-pte:SheDingShouYiJiHuaBianDongEJieZhuanLiuCunShouYiDaoZhiZhuanXiangChuBeiBianDongJinE" label="设定受益计划变动额结转留存收益导致专项储备变动金额" mulRef="_GBC_375aa5b655854a6fa4ef44766a5a9d36" unitRef="_GBC_6053d48a4e214ab7b17d03b28b93cb76" addr="T0R23C8S1_1" formatStyle="Comma"/>
      <m:item xlName="_GBC_27ed319d81c34bab95e3437210b71c5d" concept="clcid-pte:SheDingShouYiJiHuaBianDongEJieZhuanLiuCunShouYiDaoZhiYingYuGongJiBianDongJinE" label="设定受益计划变动额结转留存收益导致盈余公积变动金额" mulRef="_GBC_375aa5b655854a6fa4ef44766a5a9d36" unitRef="_GBC_6053d48a4e214ab7b17d03b28b93cb76" addr="T0R23C9S1_1" formatStyle="Comma"/>
      <m:item xlName="_GBC_69e9eea09cda44a58d90389ad4c7c858" concept="clcid-pte:SheDingShouYiJiHuaBianDongEJieZhuanLiuCunShouYiDaoZhiWeiFenPeiLiRunBianDongJinE" label="设定受益计划变动额结转留存收益导致未分配利润变动金额" mulRef="_GBC_375aa5b655854a6fa4ef44766a5a9d36" unitRef="_GBC_6053d48a4e214ab7b17d03b28b93cb76" addr="T0R23C10S1_1" formatStyle="Comma"/>
      <m:item xlName="_GBC_7e8ec15a42ca49ef81a824fda2ef405a" concept="clcid-pte:SheDingShouYiJiHuaBianDongEJieZhuanLiuCunShouYiDaoZhiGuDongQuanYiHeJiBianDongJinE" label="设定受益计划变动额结转留存收益导致股东权益合计变动金额" mulRef="_GBC_375aa5b655854a6fa4ef44766a5a9d36" unitRef="_GBC_6053d48a4e214ab7b17d03b28b93cb76" addr="T0R23C11S1_1" formatStyle="Comma"/>
      <m:placeholder xlName="_PLD_2f303a649f0347059a68f52a12ec37a1" addr="T0R24C0S1_1"/>
      <m:item xlName="_GBC_2a782142c84943f08fbaf2f221610866" concept="clcid-pte:QiTaZongHeShouYiJieZhuanLiuCunShouYiDaoZhiShiShouZiBenHuoGuBenJingEBianDongJinE" label="其他综合收益结转留存收益导致实收资本（或股本）净额变动金额" mulRef="_GBC_375aa5b655854a6fa4ef44766a5a9d36" unitRef="_GBC_6053d48a4e214ab7b17d03b28b93cb76" addr="T0R24C1S1_1" formatStyle="Comma"/>
      <m:item xlName="_GBC_ad5338e2ecb845f5b4563c1e2def3c5a" concept="clcid-pte:QiTaZongHeShouYiJieZhuanLiuCunShouYiDaoZhiQiTaQuanYiGongJuZhongDeYouXianGuBianDongJinE" label="其他综合收益结转留存收益导致其他权益工具中的优先股变动金额" mulRef="_GBC_375aa5b655854a6fa4ef44766a5a9d36" unitRef="_GBC_6053d48a4e214ab7b17d03b28b93cb76" addr="T0R24C2S1_1" formatStyle="Comma"/>
      <m:item xlName="_GBC_d3796268021b4b4f8b4ad23a315252e2" concept="clcid-pte:QiTaZongHeShouYiJieZhuanLiuCunShouYiDaoZhiQiTaQuanYiGongJuZhongDeYongXuZhaiBianDongJinE" label="其他综合收益结转留存收益导致其他权益工具中的永续债变动金额" mulRef="_GBC_375aa5b655854a6fa4ef44766a5a9d36" unitRef="_GBC_6053d48a4e214ab7b17d03b28b93cb76" addr="T0R24C3S1_1" formatStyle="Comma"/>
      <m:item xlName="_GBC_1f1ac4006e904282b76a2ae6f51774d8" concept="clcid-pte:QiTaZongHeShouYiJieZhuanLiuCunShouYiDaoZhiQiTaQuanYiGongJuZhongDeQiTaBianDongJinE" label="其他综合收益结转留存收益导致其他权益工具中的其他变动金额" mulRef="_GBC_375aa5b655854a6fa4ef44766a5a9d36" unitRef="_GBC_6053d48a4e214ab7b17d03b28b93cb76" addr="T0R24C4S1_1" formatStyle="Comma"/>
      <m:item xlName="_GBC_f6e71ec80bc9477c8d881ee8344f7392" concept="clcid-pte:QiTaZongHeShouYiJieZhuanLiuCunShouYiDaoZhiZiBenGongJiBianDongJinE" label="其他综合收益结转留存收益导致资本公积变动金额" mulRef="_GBC_375aa5b655854a6fa4ef44766a5a9d36" unitRef="_GBC_6053d48a4e214ab7b17d03b28b93cb76" addr="T0R24C5S1_1" formatStyle="Comma"/>
      <m:item xlName="_GBC_5ee0b29150224583bd8bc23005cab887" concept="clcid-pte:QiTaZongHeShouYiJieZhuanLiuCunShouYiDaoZhiKuCunGuBianDongJinE" label="其他综合收益结转留存收益导致库存股变动金额" mulRef="_GBC_375aa5b655854a6fa4ef44766a5a9d36" unitRef="_GBC_6053d48a4e214ab7b17d03b28b93cb76" addr="T0R24C6S1_1" formatStyle="Comma"/>
      <m:item xlName="_GBC_d1f080691a6f4b4e8524954835821c5e" concept="clcid-pte:QiTaZongHeShouYiJieZhuanLiuCunShouYiDaoZhiQiTaZongHeShouYiBianDongJinE" label="其他综合收益结转留存收益导致其他综合收益变动金额" mulRef="_GBC_375aa5b655854a6fa4ef44766a5a9d36" unitRef="_GBC_6053d48a4e214ab7b17d03b28b93cb76" addr="T0R24C7S1_1" formatStyle="Comma"/>
      <m:item xlName="_GBC_56a9698254e349528564ae6afb101e99" concept="clcid-pte:QiTaZongHeShouYiJieZhuanLiuCunShouYiDaoZhiZhuanXiangChuBeiBianDongJinE" label="其他综合收益结转留存收益导致专项储备变动金额" mulRef="_GBC_375aa5b655854a6fa4ef44766a5a9d36" unitRef="_GBC_6053d48a4e214ab7b17d03b28b93cb76" addr="T0R24C8S1_1" formatStyle="Comma"/>
      <m:item xlName="_GBC_3d4aefff8d344f23b6a3dcd5d66d0c5a" concept="clcid-pte:QiTaZongHeShouYiJieZhuanLiuCunShouYiDaoZhiYingYuGongJiBianDongJinE" label="其他综合收益结转留存收益导致盈余公积变动金额" mulRef="_GBC_375aa5b655854a6fa4ef44766a5a9d36" unitRef="_GBC_6053d48a4e214ab7b17d03b28b93cb76" addr="T0R24C9S1_1" formatStyle="Comma"/>
      <m:item xlName="_GBC_49db7d45de3a42f6b3df92247bdb41f2" concept="clcid-pte:QiTaZongHeShouYiJieZhuanLiuCunShouYiDaoZhiWeiFenPeiLiRunBianDongJinE" label="其他综合收益结转留存收益导致未分配利润变动金额" mulRef="_GBC_375aa5b655854a6fa4ef44766a5a9d36" unitRef="_GBC_6053d48a4e214ab7b17d03b28b93cb76" addr="T0R24C10S1_1" formatStyle="Comma"/>
      <m:item xlName="_GBC_5001a59e5d1a4f6c94ebef0af5cfdf03" concept="clcid-pte:QiTaZongHeShouYiJieZhuanLiuCunShouYiDaoZhiGuDongQuanYiHeJiBianDongJinE" label="其他综合收益结转留存收益导致股东权益合计变动金额" mulRef="_GBC_375aa5b655854a6fa4ef44766a5a9d36" unitRef="_GBC_6053d48a4e214ab7b17d03b28b93cb76" addr="T0R24C11S1_1" formatStyle="Comma"/>
      <m:placeholder xlName="_PLD_28161533c8114f39bcc326830b0e2068" addr="T0R25C0S1_1"/>
      <m:item xlName="_GBC_1af00afe837e4aafa9687101a2e842b7" concept="clcid-pte:QiTaSuoYouZheQuanYiNeiBuJieZhuanDaoZhiShiShouZiBenHuoGuBenJingEBianDongJinE" label="其他所有者权益内部结转导致实收资本（或股本）净额变动金额" mulRef="_GBC_375aa5b655854a6fa4ef44766a5a9d36" unitRef="_GBC_6053d48a4e214ab7b17d03b28b93cb76" addr="T0R25C1S1_1" formatStyle="Comma"/>
      <m:item xlName="_GBC_b3b5882dbbd34de88ea6bc6c8cae4cd6" concept="clcid-pte:QiTaSuoYouZheQuanYiNeiBuJieZhuanDaoZhiQiTaQuanYiGongJuZhongDeYouXianGuBianDongJinE" label="其他所有者权益内部结转导致其他权益工具中的优先股变动金额" mulRef="_GBC_375aa5b655854a6fa4ef44766a5a9d36" unitRef="_GBC_6053d48a4e214ab7b17d03b28b93cb76" addr="T0R25C2S1_1" formatStyle="Comma"/>
      <m:item xlName="_GBC_68e2dcae8f80411287a67604980d370c" concept="clcid-pte:QiTaSuoYouZheQuanYiNeiBuJieZhuanDaoZhiQiTaQuanYiGongJuZhongDeYongXuZhaiBianDongJinE" label="其他所有者权益内部结转导致其他权益工具中的永续债变动金额" mulRef="_GBC_375aa5b655854a6fa4ef44766a5a9d36" unitRef="_GBC_6053d48a4e214ab7b17d03b28b93cb76" addr="T0R25C3S1_1" formatStyle="Comma"/>
      <m:item xlName="_GBC_4d1f7a8f40ff45bba70cc248523cddd8" concept="clcid-pte:QiTaSuoYouZheQuanYiNeiBuJieZhuanDaoZhiQiTaQuanYiGongJuZhongDeQiTaBianDongJinE" label="其他所有者权益内部结转导致其他权益工具中的其他变动金额" mulRef="_GBC_375aa5b655854a6fa4ef44766a5a9d36" unitRef="_GBC_6053d48a4e214ab7b17d03b28b93cb76" addr="T0R25C4S1_1" formatStyle="Comma"/>
      <m:item xlName="_GBC_6af2eb372f8b4cd5ad50c3b1a76a185b" concept="clcid-pte:QiTaSuoYouZheQuanYiNeiBuJieZhuanDaoZhiZiBenGongJiBianDongJinE" label="其他所有者权益内部结转导致资本公积变动金额" mulRef="_GBC_375aa5b655854a6fa4ef44766a5a9d36" unitRef="_GBC_6053d48a4e214ab7b17d03b28b93cb76" addr="T0R25C5S1_1" formatStyle="Comma"/>
      <m:item xlName="_GBC_1f20017ee5d145f2bc0640f3d08dcb83" concept="clcid-pte:QiTaSuoYouZheQuanYiNeiBuJieZhuanDaoZhiKuCunGuBianDongJinE" label="其他所有者权益内部结转导致库存股变动金额" mulRef="_GBC_375aa5b655854a6fa4ef44766a5a9d36" unitRef="_GBC_6053d48a4e214ab7b17d03b28b93cb76" addr="T0R25C6S1_1" formatStyle="Comma"/>
      <m:item xlName="_GBC_55a0fefced38408dbe178e553543b824" concept="clcid-pte:QiTaSuoYouZheQuanYiNeiBuJieZhuanDaoZhiQiTaZongHeShouYiBianDongJinE" label="其他所有者权益内部结转导致其他综合收益变动金额" mulRef="_GBC_375aa5b655854a6fa4ef44766a5a9d36" unitRef="_GBC_6053d48a4e214ab7b17d03b28b93cb76" addr="T0R25C7S1_1" formatStyle="Comma"/>
      <m:item xlName="_GBC_4f8431347a504740a9770d76650ac2f0" concept="clcid-pte:QiTaSuoYouZheQuanYiNeiBuJieZhuanDaoZhiZhuanXiangChuBeiBianDongJinE" label="其他所有者权益内部结转导致专项储备变动金额" mulRef="_GBC_375aa5b655854a6fa4ef44766a5a9d36" unitRef="_GBC_6053d48a4e214ab7b17d03b28b93cb76" addr="T0R25C8S1_1" formatStyle="Comma"/>
      <m:item xlName="_GBC_0b0a83dcbb584a149c6239b8ded61c73" concept="clcid-pte:QiTaSuoYouZheQuanYiNeiBuJieZhuanDaoZhiYingYuGongJiBianDongJinE" label="其他所有者权益内部结转导致盈余公积变动金额" mulRef="_GBC_375aa5b655854a6fa4ef44766a5a9d36" unitRef="_GBC_6053d48a4e214ab7b17d03b28b93cb76" addr="T0R25C9S1_1" formatStyle="Comma"/>
      <m:item xlName="_GBC_2110322da6794fe8b4e2de9c406787aa" concept="clcid-pte:QiTaSuoYouZheQuanYiNeiBuJieZhuanDaoZhiWeiFenPeiLiRunBianDongJinE" label="其他所有者权益内部结转导致未分配利润变动金额" mulRef="_GBC_375aa5b655854a6fa4ef44766a5a9d36" unitRef="_GBC_6053d48a4e214ab7b17d03b28b93cb76" addr="T0R25C10S1_1" formatStyle="Comma"/>
      <m:item xlName="_GBC_2052396c10334ede88fb8cae686eb089" concept="clcid-pte:QiTaSuoYouZheQuanYiNeiBuJieZhuanDaoZhiGuDongQuanYiHeJiBianDongJinE" label="其他所有者权益内部结转导致股东权益合计变动金额" mulRef="_GBC_375aa5b655854a6fa4ef44766a5a9d36" unitRef="_GBC_6053d48a4e214ab7b17d03b28b93cb76" addr="T0R25C11S1_1" formatStyle="Comma"/>
      <m:placeholder xlName="_PLD_7128a3651c424daea231f9011504b39f" addr="T0R26C0S1_1"/>
      <m:item xlName="_GBC_1cda7744763e4d66aa9f02d0333e63ea" concept="clcid-pte:ZhuanXiangChuBeiDaoZhiShiShouZiBenHuoGuBenJingEBianDongJinE" label="专项储备导致实收资本（或股本）净额变动金额" mulRef="_GBC_375aa5b655854a6fa4ef44766a5a9d36" unitRef="_GBC_6053d48a4e214ab7b17d03b28b93cb76" addr="T0R26C1S1_1" formatStyle="Comma">
        <m:complexRule comparator="Eq" title="专项储备导致实收资本（或股本）净额变动金额" test=" $_GBC_db7adff7155341bca464f9a838602032 -  $_GBC_f8bb0532ecfc4185ac90021df6d94e76" id="Cf55a2e1ecd204a1da02c46bbfc77a079"/>
      </m:item>
      <m:item xlName="_GBC_6e27022d26d24fd88db2d1c3fb65d735" concept="clcid-pte:ZhuanXiangChuBeiDaoZhiQiTaQuanYiGongJuZhongDeYouXianGuBianDongJinE" label="专项储备导致其他权益工具中的优先股变动金额" mulRef="_GBC_375aa5b655854a6fa4ef44766a5a9d36" unitRef="_GBC_6053d48a4e214ab7b17d03b28b93cb76" addr="T0R26C2S1_1" formatStyle="Comma">
        <m:complexRule comparator="Eq" title="专项储备导致其他权益工具中的优先股变动金额" test=" $_GBC_951f7c260ac24b478022f5ee1ed1c3c3 -  $_GBC_8c941d7013f74389baa868fcfcd3b780" id="C659bfbcde03f438483c8a6bf6c920169"/>
      </m:item>
      <m:item xlName="_GBC_df78ddf6c22e46c1a5817cbc43b21618" concept="clcid-pte:ZhuanXiangChuBeiDaoZhiQiTaQuanYiGongJuZhongDeYongXuZhaiBianDongJinE" label="专项储备导致其他权益工具中的永续债变动金额" mulRef="_GBC_375aa5b655854a6fa4ef44766a5a9d36" unitRef="_GBC_6053d48a4e214ab7b17d03b28b93cb76" addr="T0R26C3S1_1" formatStyle="Comma">
        <m:complexRule comparator="Eq" title="专项储备导致其他权益工具中的永续债变动金额" test=" $_GBC_8cd2f50e3dc84a49a943dca599f9471d -  $_GBC_e86ef0afefdb492889310f23a49fb81b" id="Cb61f7b93093e4ae6991834dcb8cadeac"/>
      </m:item>
      <m:item xlName="_GBC_cf503f21da614ca8950eeb5d62fed06d" concept="clcid-pte:ZhuanXiangChuBeiDaoZhiQiTaQuanYiGongJuZhongDeQiTaBianDongJinE" label="专项储备导致其他权益工具中的其他变动金额" mulRef="_GBC_375aa5b655854a6fa4ef44766a5a9d36" unitRef="_GBC_6053d48a4e214ab7b17d03b28b93cb76" addr="T0R26C4S1_1" formatStyle="Comma">
        <m:complexRule comparator="Eq" title="专项储备导致其他权益工具中的其他变动金额" test=" $_GBC_986b1244288545b4b6da238f37c09bed -  $_GBC_740827cb599c40bc999cc34803e113fb" id="Ca6ea9a125302490592afa6fe307a75d9"/>
      </m:item>
      <m:item xlName="_GBC_e599f55d658343a783b2a12304305844" concept="clcid-pte:ZhuanXiangChuBeiDaoZhiZiBenGongJiBianDongJinE" label="专项储备导致资本公积变动金额" mulRef="_GBC_375aa5b655854a6fa4ef44766a5a9d36" unitRef="_GBC_6053d48a4e214ab7b17d03b28b93cb76" addr="T0R26C5S1_1" formatStyle="Comma">
        <m:complexRule comparator="Eq" title="专项储备导致资本公积变动金额" test=" $_GBC_d2831e6021c74154b8a4fd557f839cf1 -  $_GBC_57ca46b10949437e8bbeca2c9df7c5be" id="Cb4760f0c2c00490789f6c0c0fec8128c"/>
      </m:item>
      <m:item xlName="_GBC_f2ae66a9a3284d1ab2fdf1bca44d13a8" concept="clcid-pte:ZhuanXiangChuBeiDaoZhiKuCunGuBianDongJinE" label="专项储备导致库存股变动金额" mulRef="_GBC_375aa5b655854a6fa4ef44766a5a9d36" unitRef="_GBC_6053d48a4e214ab7b17d03b28b93cb76" addr="T0R26C6S1_1" formatStyle="Comma">
        <m:complexRule comparator="Eq" title="专项储备导致库存股变动金额" test=" $_GBC_4f60029451364e97b99fbb5444528910 -  $_GBC_486e1bbab1e944c2b5a067998ad1592b" id="C802db30ade844225a45174cfd3501344"/>
      </m:item>
      <m:item xlName="_GBC_863c74b9c11c404086044a4ff6016717" concept="clcid-pte:ZhuanXiangChuBeiDaoZhiQiTaZongHeShouYiBianDongJinE" label="专项储备导致其他综合收益变动金额" mulRef="_GBC_375aa5b655854a6fa4ef44766a5a9d36" unitRef="_GBC_6053d48a4e214ab7b17d03b28b93cb76" addr="T0R26C7S1_1" formatStyle="Comma">
        <m:complexRule comparator="Eq" title="专项储备导致其他综合收益变动金额" test=" $_GBC_24c3d4d29ff1479096dd68284306bfab -  $_GBC_b7b033edb1e94ecb8512ec1b9cb7fa18" id="C055f712dfb4646049d38af78ad88fcc4"/>
      </m:item>
      <m:item xlName="_GBC_ffefd3d3cf6b42b39654b846b4eb5524" concept="clcid-pte:ZhuanXiangChuBeiDaoZhiZhuanXiangChuBeiBianDongJinE" label="专项储备导致专项储备变动金额" mulRef="_GBC_375aa5b655854a6fa4ef44766a5a9d36" unitRef="_GBC_6053d48a4e214ab7b17d03b28b93cb76" addr="T0R26C8S1_1" formatStyle="Comma">
        <m:complexRule comparator="Eq" title="专项储备导致专项储备变动金额" test=" $_GBC_0a69771ca7c24307b3e7d27a7eecafed -  $_GBC_6865053468d2443095ac8cef5bd74bf7" id="Cad1215dbe0b14666bfc965d5b6a002d1"/>
      </m:item>
      <m:item xlName="_GBC_49fededab3164c96bbc4956692cb1deb" concept="clcid-pte:ZhuanXiangChuBeiDaoZhiYingYuGongJiBianDongJinE" label="专项储备导致盈余公积变动金额" mulRef="_GBC_375aa5b655854a6fa4ef44766a5a9d36" unitRef="_GBC_6053d48a4e214ab7b17d03b28b93cb76" addr="T0R26C9S1_1" formatStyle="Comma">
        <m:complexRule comparator="Eq" title="专项储备导致盈余公积变动金额" test=" $_GBC_000045ed7dc544febadb716e323e0074 -  $_GBC_0e4c213f74824be6a910c040a87ac0f8" id="Cfdd46d702f514c00924b12a0f0102cb1"/>
      </m:item>
      <m:item xlName="_GBC_a12ec3b82eb44b799b8099894f960c9e" concept="clcid-pte:ZhuanXiangChuBeiDaoZhiWeiFenPeiLiRunBianDongJinE" label="专项储备导致未分配利润变动金额" mulRef="_GBC_375aa5b655854a6fa4ef44766a5a9d36" unitRef="_GBC_6053d48a4e214ab7b17d03b28b93cb76" addr="T0R26C10S1_1" formatStyle="Comma">
        <m:complexRule comparator="Eq" title="专项储备导致未分配利润变动金额" test=" $_GBC_8ac93acbede74c82ab18ba5a8c396c7e -  $_GBC_76aa956540aa4c28956468c34c23ea78" id="Cea508a1cdb2d4a7fa91fab6186989a22"/>
      </m:item>
      <m:item xlName="_GBC_0a490045e6a040b699e2b5d552fa20cd" concept="clcid-pte:ZhuanXiangChuBeiDaoZhiGuDongQuanYiHeJiBianDongJinE" label="专项储备导致股东权益合计变动金额" mulRef="_GBC_375aa5b655854a6fa4ef44766a5a9d36" unitRef="_GBC_6053d48a4e214ab7b17d03b28b93cb76" addr="T0R26C11S1_1" formatStyle="Comma">
        <m:complexRule comparator="Eq" title="专项储备导致股东权益合计变动金额" test=" $_GBC_61aa1bc9e88048fb944c98ad35a22926 -  $_GBC_51898930bbd849a984d86d25e6e244f6" id="Cd575ffc34e5d4efcbded3ba8203761b3"/>
      </m:item>
      <m:placeholder xlName="_PLD_d841ec79074541e883cbcfadf2e154f1" addr="T0R27C0S1_1"/>
      <m:item xlName="_GBC_db7adff7155341bca464f9a838602032" concept="clcid-pte:TiQuDaoZhiShiShouZiBenHuoGuBenJingEBianDongJinE" label="提取导致实收资本（或股本）净额变动金额" mulRef="_GBC_375aa5b655854a6fa4ef44766a5a9d36" unitRef="_GBC_6053d48a4e214ab7b17d03b28b93cb76" addr="T0R27C1S1_1" formatStyle="Comma"/>
      <m:item xlName="_GBC_951f7c260ac24b478022f5ee1ed1c3c3" concept="clcid-pte:TiQuDaoZhiQiTaQuanYiGongJuZhongDeYouXianGuBianDongJinE" label="提取导致其他权益工具中的优先股变动金额" mulRef="_GBC_375aa5b655854a6fa4ef44766a5a9d36" unitRef="_GBC_6053d48a4e214ab7b17d03b28b93cb76" addr="T0R27C2S1_1" formatStyle="Comma"/>
      <m:item xlName="_GBC_8cd2f50e3dc84a49a943dca599f9471d" concept="clcid-pte:TiQuDaoZhiQiTaQuanYiGongJuZhongDeYongXuZhaiBianDongJinE" label="提取导致其他权益工具中的永续债变动金额" mulRef="_GBC_375aa5b655854a6fa4ef44766a5a9d36" unitRef="_GBC_6053d48a4e214ab7b17d03b28b93cb76" addr="T0R27C3S1_1" formatStyle="Comma"/>
      <m:item xlName="_GBC_986b1244288545b4b6da238f37c09bed" concept="clcid-pte:TiQuDaoZhiQiTaQuanYiGongJuZhongDeQiTaBianDongJinE" label="提取导致其他权益工具中的其他变动金额" mulRef="_GBC_375aa5b655854a6fa4ef44766a5a9d36" unitRef="_GBC_6053d48a4e214ab7b17d03b28b93cb76" addr="T0R27C4S1_1" formatStyle="Comma"/>
      <m:item xlName="_GBC_d2831e6021c74154b8a4fd557f839cf1" concept="clcid-pte:TiQuDaoZhiZiBenGongJiBianDongJinE" label="提取导致资本公积变动金额" mulRef="_GBC_375aa5b655854a6fa4ef44766a5a9d36" unitRef="_GBC_6053d48a4e214ab7b17d03b28b93cb76" addr="T0R27C5S1_1" formatStyle="Comma"/>
      <m:item xlName="_GBC_4f60029451364e97b99fbb5444528910" concept="clcid-pte:TiQuDaoZhiKuCunGuBianDongJinE" label="提取导致库存股变动金额" mulRef="_GBC_375aa5b655854a6fa4ef44766a5a9d36" unitRef="_GBC_6053d48a4e214ab7b17d03b28b93cb76" addr="T0R27C6S1_1" formatStyle="Comma"/>
      <m:item xlName="_GBC_24c3d4d29ff1479096dd68284306bfab" concept="clcid-pte:TiQuDaoZhiQiTaZongHeShouYiBianDongJinE" label="提取导致其他综合收益变动金额" mulRef="_GBC_375aa5b655854a6fa4ef44766a5a9d36" unitRef="_GBC_6053d48a4e214ab7b17d03b28b93cb76" addr="T0R27C7S1_1" formatStyle="Comma"/>
      <m:item xlName="_GBC_0a69771ca7c24307b3e7d27a7eecafed" concept="clcid-pte:TiQuDaoZhiZhuanXiangChuBeiBianDongJinE" label="提取导致专项储备变动金额" mulRef="_GBC_375aa5b655854a6fa4ef44766a5a9d36" unitRef="_GBC_6053d48a4e214ab7b17d03b28b93cb76" addr="T0R27C8S1_1" formatStyle="Comma"/>
      <m:item xlName="_GBC_000045ed7dc544febadb716e323e0074" concept="clcid-pte:TiQuDaoZhiYingYuGongJiBianDongJinE" label="提取导致盈余公积变动金额" mulRef="_GBC_375aa5b655854a6fa4ef44766a5a9d36" unitRef="_GBC_6053d48a4e214ab7b17d03b28b93cb76" addr="T0R27C9S1_1" formatStyle="Comma"/>
      <m:item xlName="_GBC_8ac93acbede74c82ab18ba5a8c396c7e" concept="clcid-pte:TiQuDaoZhiWeiFenPeiLiRunBianDongJinE" label="提取导致未分配利润变动金额" mulRef="_GBC_375aa5b655854a6fa4ef44766a5a9d36" unitRef="_GBC_6053d48a4e214ab7b17d03b28b93cb76" addr="T0R27C10S1_1" formatStyle="Comma"/>
      <m:item xlName="_GBC_61aa1bc9e88048fb944c98ad35a22926" concept="clcid-pte:TiQuDaoZhiGuDongQuanYiHeJiBianDongJinE" label="提取导致股东权益合计变动金额" mulRef="_GBC_375aa5b655854a6fa4ef44766a5a9d36" unitRef="_GBC_6053d48a4e214ab7b17d03b28b93cb76" addr="T0R27C11S1_1" formatStyle="Comma"/>
      <m:placeholder xlName="_PLD_44f8d6cb554a472eb4220cff36ff0cf6" addr="T0R28C0S1_1"/>
      <m:item xlName="_GBC_f8bb0532ecfc4185ac90021df6d94e76" concept="clcid-pte:ShiYongDaoZhiShiShouZiBenHuoGuBenJingEBianDongJinE" label="使用导致实收资本（或股本）净额变动金额" mulRef="_GBC_375aa5b655854a6fa4ef44766a5a9d36" unitRef="_GBC_6053d48a4e214ab7b17d03b28b93cb76" addr="T0R28C1S1_1" formatStyle="Comma"/>
      <m:item xlName="_GBC_8c941d7013f74389baa868fcfcd3b780" concept="clcid-pte:ShiYongDaoZhiQiTaQuanYiGongJuZhongDeYouXianGuBianDongJinE" label="使用导致其他权益工具中的优先股变动金额" mulRef="_GBC_375aa5b655854a6fa4ef44766a5a9d36" unitRef="_GBC_6053d48a4e214ab7b17d03b28b93cb76" addr="T0R28C2S1_1" formatStyle="Comma"/>
      <m:item xlName="_GBC_e86ef0afefdb492889310f23a49fb81b" concept="clcid-pte:ShiYongDaoZhiQiTaQuanYiGongJuZhongDeYongXuZhaiBianDongJinE" label="使用导致其他权益工具中的永续债变动金额" mulRef="_GBC_375aa5b655854a6fa4ef44766a5a9d36" unitRef="_GBC_6053d48a4e214ab7b17d03b28b93cb76" addr="T0R28C3S1_1" formatStyle="Comma"/>
      <m:item xlName="_GBC_740827cb599c40bc999cc34803e113fb" concept="clcid-pte:ShiYongDaoZhiQiTaQuanYiGongJuZhongDeQiTaBianDongJinE" label="使用导致其他权益工具中的其他变动金额" mulRef="_GBC_375aa5b655854a6fa4ef44766a5a9d36" unitRef="_GBC_6053d48a4e214ab7b17d03b28b93cb76" addr="T0R28C4S1_1" formatStyle="Comma"/>
      <m:item xlName="_GBC_57ca46b10949437e8bbeca2c9df7c5be" concept="clcid-pte:ShiYongDaoZhiZiBenGongJiBianDongJinE" label="使用导致资本公积变动金额" mulRef="_GBC_375aa5b655854a6fa4ef44766a5a9d36" unitRef="_GBC_6053d48a4e214ab7b17d03b28b93cb76" addr="T0R28C5S1_1" formatStyle="Comma"/>
      <m:item xlName="_GBC_486e1bbab1e944c2b5a067998ad1592b" concept="clcid-pte:ShiYongDaoZhiKuCunGuBianDongJinE" label="使用导致库存股变动金额" mulRef="_GBC_375aa5b655854a6fa4ef44766a5a9d36" unitRef="_GBC_6053d48a4e214ab7b17d03b28b93cb76" addr="T0R28C6S1_1" formatStyle="Comma"/>
      <m:item xlName="_GBC_520c218a224e4beda4e596b0a45b01b3" concept="clcid-pte:ShiYongDaoZhiQiTaZongHeShouYiBianDongJinE" label="使用导致其他综合收益变动金额" mulRef="_GBC_375aa5b655854a6fa4ef44766a5a9d36" unitRef="_GBC_6053d48a4e214ab7b17d03b28b93cb76" addr="T0R28C7S1_1" formatStyle="Comma"/>
      <m:item xlName="_GBC_6865053468d2443095ac8cef5bd74bf7" concept="clcid-pte:ShiYongDaoZhiZhuanXiangChuBeiBianDongJinE" label="使用导致专项储备变动金额" mulRef="_GBC_375aa5b655854a6fa4ef44766a5a9d36" unitRef="_GBC_6053d48a4e214ab7b17d03b28b93cb76" addr="T0R28C8S1_1" formatStyle="Comma"/>
      <m:item xlName="_GBC_0e4c213f74824be6a910c040a87ac0f8" concept="clcid-pte:ShiYongDaoZhiYingYuGongJiBianDongJinE" label="使用导致盈余公积变动金额" mulRef="_GBC_375aa5b655854a6fa4ef44766a5a9d36" unitRef="_GBC_6053d48a4e214ab7b17d03b28b93cb76" addr="T0R28C9S1_1" formatStyle="Comma"/>
      <m:item xlName="_GBC_76aa956540aa4c28956468c34c23ea78" concept="clcid-pte:ShiYongDaoZhiWeiFenPeiLiRunBianDongJinE" label="使用导致未分配利润变动金额" mulRef="_GBC_375aa5b655854a6fa4ef44766a5a9d36" unitRef="_GBC_6053d48a4e214ab7b17d03b28b93cb76" addr="T0R28C10S1_1" formatStyle="Comma"/>
      <m:item xlName="_GBC_51898930bbd849a984d86d25e6e244f6" concept="clcid-pte:ShiYongDaoZhiGuDongQuanYiHeJiBianDongJinE" label="使用导致股东权益合计变动金额" mulRef="_GBC_375aa5b655854a6fa4ef44766a5a9d36" unitRef="_GBC_6053d48a4e214ab7b17d03b28b93cb76" addr="T0R28C11S1_1" formatStyle="Comma"/>
      <m:placeholder xlName="_PLD_c43269f873724864b6d1b3fe9c1d9494" addr="T0R29C0S1_1"/>
      <m:item xlName="_GBC_3528a1dd6df6476186b38986f8394587" concept="clcid-pte:QiTaDaoZhiShiShouZiBenHuoGuBenJingEBianDongJinE" label="其他导致实收资本（或股本）净额变动金额" mulRef="_GBC_375aa5b655854a6fa4ef44766a5a9d36" unitRef="_GBC_6053d48a4e214ab7b17d03b28b93cb76" addr="T0R29C1S1_1" formatStyle="Comma"/>
      <m:item xlName="_GBC_4cbc1352fcb34ac9b1fab0948bae2283" concept="clcid-pte:QiTaDaoZhiQiTaQuanYiGongJuZhongDeYouXianGuBianDongJinE" label="其他导致其他权益工具中的优先股变动金额" mulRef="_GBC_375aa5b655854a6fa4ef44766a5a9d36" unitRef="_GBC_6053d48a4e214ab7b17d03b28b93cb76" addr="T0R29C2S1_1" formatStyle="Comma"/>
      <m:item xlName="_GBC_0daa97dbcffc4acfb57675ed8c11d852" concept="clcid-pte:QiTaDaoZhiQiTaQuanYiGongJuZhongDeYongXuZhaiBianDongJinE" label="其他导致其他权益工具中的永续债变动金额" mulRef="_GBC_375aa5b655854a6fa4ef44766a5a9d36" unitRef="_GBC_6053d48a4e214ab7b17d03b28b93cb76" addr="T0R29C3S1_1" formatStyle="Comma"/>
      <m:item xlName="_GBC_d49c108f09ec4ed8955de5be2acd1444" concept="clcid-pte:QiTaDaoZhiQiTaQuanYiGongJuZhongDeQiTaBianDongJinE" label="其他导致其他权益工具中的其他变动金额" mulRef="_GBC_375aa5b655854a6fa4ef44766a5a9d36" unitRef="_GBC_6053d48a4e214ab7b17d03b28b93cb76" addr="T0R29C4S1_1" formatStyle="Comma"/>
      <m:item xlName="_GBC_8935d5c4d75f497e804819e0a17060d4" concept="clcid-pte:QiTaDaoZhiZiBenGongJiBianDongJinE" label="其他导致资本公积变动金额" mulRef="_GBC_375aa5b655854a6fa4ef44766a5a9d36" unitRef="_GBC_6053d48a4e214ab7b17d03b28b93cb76" addr="T0R29C5S1_1" formatStyle="Comma"/>
      <m:item xlName="_GBC_56e1caf39e1b4d9090dfaf8d66523905" concept="clcid-pte:QiTaDaoZhiKuCunGuBianDongJinE" label="其他导致库存股变动金额" mulRef="_GBC_375aa5b655854a6fa4ef44766a5a9d36" unitRef="_GBC_6053d48a4e214ab7b17d03b28b93cb76" addr="T0R29C6S1_1" formatStyle="Comma"/>
      <m:item xlName="_GBC_b7b033edb1e94ecb8512ec1b9cb7fa18" concept="clcid-pte:QiTaDaoZhiQiTaZongHeShouYiBianDongJinE" label="其他导致其他综合收益变动金额" mulRef="_GBC_375aa5b655854a6fa4ef44766a5a9d36" unitRef="_GBC_6053d48a4e214ab7b17d03b28b93cb76" addr="T0R29C7S1_1" formatStyle="Comma"/>
      <m:item xlName="_GBC_0aac65ba71d54447bce3ce4d84ad309a" concept="clcid-pte:QiTaDaoZhiZhuanXiangChuBeiBianDongJinE" label="其他导致专项储备变动金额" mulRef="_GBC_375aa5b655854a6fa4ef44766a5a9d36" unitRef="_GBC_6053d48a4e214ab7b17d03b28b93cb76" addr="T0R29C8S1_1" formatStyle="Comma"/>
      <m:item xlName="_GBC_cc0f967b4f214ae18a49bc71751fd967" concept="clcid-pte:QiTaDaoZhiYingYuGongJiBianDongJinE" label="其他导致盈余公积变动金额" mulRef="_GBC_375aa5b655854a6fa4ef44766a5a9d36" unitRef="_GBC_6053d48a4e214ab7b17d03b28b93cb76" addr="T0R29C9S1_1" formatStyle="Comma"/>
      <m:item xlName="_GBC_79b45aa72adf4e9682398fac705787cf" concept="clcid-pte:QiTaDaoZhiWeiFenPeiLiRunBianDongJinE" label="其他导致未分配利润变动金额" mulRef="_GBC_375aa5b655854a6fa4ef44766a5a9d36" unitRef="_GBC_6053d48a4e214ab7b17d03b28b93cb76" addr="T0R29C10S1_1" formatStyle="Comma"/>
      <m:item xlName="_GBC_1267314c0762456ca0f986543c3cd151" concept="clcid-pte:QiTaDaoZhiGuDongQuanYiHeJiBianDongJinE" label="其他导致股东权益合计变动金额" mulRef="_GBC_375aa5b655854a6fa4ef44766a5a9d36" unitRef="_GBC_6053d48a4e214ab7b17d03b28b93cb76" addr="T0R29C11S1_1" formatStyle="Comma"/>
      <m:placeholder xlName="_PLD_cf5de05731e34ef7bac4d631f7e88feb" addr="T0R30C0S1_1"/>
      <m:item xlName="_GBC_ddf9bab422904d09ad316abf9b0b5565" concept="clcid-pte:GuBen" label="股本" mulRef="_GBC_375aa5b655854a6fa4ef44766a5a9d36" unitRef="_GBC_6053d48a4e214ab7b17d03b28b93cb76" addr="T0R30C1S1_1" formatStyle="Comma">
        <m:complexRule comparator="Eq" title="股本" test=" $_GBC_d12936e8e22e496680bfe639b9b1299b +  $_GBC_ba3a0d6c7d374c6eb6dd959316360ab7" id="C409661cac48c482da0c54eab139b161c"/>
      </m:item>
      <m:item xlName="_GBC_56a01137e8ec471db398b1a455cf4b3a" concept="clcid-pte:QiTaQuanYiGongJuQiZhongYouXianGu" label="其他权益工具-其中：优先股" mulRef="_GBC_375aa5b655854a6fa4ef44766a5a9d36" unitRef="_GBC_6053d48a4e214ab7b17d03b28b93cb76" addr="T0R30C2S1_1" formatStyle="Comma">
        <m:complexRule comparator="Eq" title="其他权益工具-其中：优先股" test=" $_GBC_601e5586a3294aa69348a921e57be185 +  $_GBC_d04fc2b721d445aeb9b16d0cb24c29b1" id="C7a54128bd6b040e08628f02dfbcc13dd"/>
      </m:item>
      <m:item xlName="_GBC_32271e306a594e41bb9f0a916eef7896" concept="clcid-pte:QiTaQuanYiGongJuYongXuZhai" label="其他权益工具-永续债" mulRef="_GBC_375aa5b655854a6fa4ef44766a5a9d36" unitRef="_GBC_6053d48a4e214ab7b17d03b28b93cb76" addr="T0R30C3S1_1" formatStyle="Comma">
        <m:complexRule comparator="Eq" title="其他权益工具-永续债" test=" $_GBC_836a78ae20854c08bbee94bd431102f1 +  $_GBC_a10de934ef0f46c0981398a834499dc6" id="C1ee27bc1ca194bdb8833ff3a87491ff2"/>
      </m:item>
      <m:item xlName="_GBC_fed889528b0b46d2b7995c0a443df62a" concept="clcid-pte:QiTaQuanYiGongJuQiTa" label="其他权益工具-其他" mulRef="_GBC_375aa5b655854a6fa4ef44766a5a9d36" unitRef="_GBC_6053d48a4e214ab7b17d03b28b93cb76" addr="T0R30C4S1_1" formatStyle="Comma">
        <m:complexRule comparator="Eq" title="其他权益工具-其他" test=" $_GBC_8e4b6ed172cc4da0ab3d432af5d28ed4 +  $_GBC_75e8e45c8c084f7fa05027cfbbeb49a9" id="Cbc8eae1dc3bb47729f042f69d3964c8d"/>
      </m:item>
      <m:item xlName="_GBC_dea3e857a5064960a71cf80a8aa4f3be" concept="clcid-pte:ZiBenGongJi" label="资本公积" mulRef="_GBC_375aa5b655854a6fa4ef44766a5a9d36" unitRef="_GBC_6053d48a4e214ab7b17d03b28b93cb76" addr="T0R30C5S1_1" formatStyle="Comma">
        <m:complexRule comparator="Eq" title="资本公积" test=" $_GBC_e9f25233de5e48c2bbc214424560101c +  $_GBC_d6e2bf1bb1f547178f86fdb2e81bea01" id="C7dee292515124769b7600e4886a18c1c"/>
      </m:item>
      <m:item xlName="_GBC_d71a4048127945c88a106237f4e04b39" concept="clcid-pte:KuCunGu" label="库存股" mulRef="_GBC_375aa5b655854a6fa4ef44766a5a9d36" unitRef="_GBC_6053d48a4e214ab7b17d03b28b93cb76" addr="T0R30C6S1_1" formatStyle="Comma">
        <m:complexRule comparator="Eq" title="库存股" test=" $_GBC_822ae18f0d2a4bab94a9778e9c42668f +  $_GBC_740d59c820794f33bd00782914697ea1" id="Cce1460b4869a4e6d9403f294836d34a1"/>
      </m:item>
      <m:item xlName="_GBC_900f483b38ce43e289478711fb789e71" concept="clcid-pte:QiTaZongHeShouYiZiChanFuZhaiBiaoXiangMu" label="其他综合收益（资产负债表项目）" mulRef="_GBC_375aa5b655854a6fa4ef44766a5a9d36" unitRef="_GBC_6053d48a4e214ab7b17d03b28b93cb76" addr="T0R30C7S1_1" formatStyle="Comma">
        <m:complexRule comparator="Eq" title="其他综合收益（资产负债表项目）" test=" $_GBC_8f3fd69c3ef841269eaf2300a3cdae72 +  $_GBC_07271d90a63b46eaad1a5122cbce9331" id="C0dc30e8e4e8c4cb881dd94232c97513a"/>
      </m:item>
      <m:item xlName="_GBC_76d5768c93ac4c3683f77612e99473dd" concept="clcid-pte:ZhuanXiangChuBei" label="专项储备" mulRef="_GBC_375aa5b655854a6fa4ef44766a5a9d36" unitRef="_GBC_6053d48a4e214ab7b17d03b28b93cb76" addr="T0R30C8S1_1" formatStyle="Comma">
        <m:complexRule comparator="Eq" title="专项储备" test=" $_GBC_f6108c36759f4739b89b699df117de6e +  $_GBC_43c8359de72447e59cf49e009fced8fe" id="Cd9f5473c772e46d9be3f432388b3717b"/>
      </m:item>
      <m:item xlName="_GBC_aa61430af9394b7bab0debbe2068fe4f" concept="clcid-pte:YingYuGongJi" label="盈余公积" mulRef="_GBC_375aa5b655854a6fa4ef44766a5a9d36" unitRef="_GBC_6053d48a4e214ab7b17d03b28b93cb76" addr="T0R30C9S1_1" formatStyle="Comma">
        <m:complexRule comparator="Eq" title="盈余公积" test=" $_GBC_6df3bacdabf24f63a7412eea261be55b +  $_GBC_62e634a4f43b4bfb853224e1c71ac0cb" id="C793e6204dfde4123ba220f259ce8a59a"/>
      </m:item>
      <m:item xlName="_GBC_a3abb017ee9944a8952acade5f156767" concept="clcid-pte:WeiFenPeiLiRun" label="未分配利润" mulRef="_GBC_375aa5b655854a6fa4ef44766a5a9d36" unitRef="_GBC_6053d48a4e214ab7b17d03b28b93cb76" addr="T0R30C10S1_1" formatStyle="Comma">
        <m:complexRule comparator="Eq" title="未分配利润" test=" $_GBC_0613a1fead3441c199b03f9b2931538a +  $_GBC_f2b8116812324e43a6776da3eb366106" id="Ce4edc7cbcf7e4a1c97eafab1b773da59"/>
      </m:item>
      <m:item xlName="_GBC_0144ec417556407f8fdfc5f86c10bcae" concept="clcid-pte:GuDongQuanYiHeJi" label="股东权益合计" mulRef="_GBC_375aa5b655854a6fa4ef44766a5a9d36" unitRef="_GBC_6053d48a4e214ab7b17d03b28b93cb76" addr="T0R30C11S1_1" formatStyle="Comma">
        <m:complexRule comparator="Eq" title="股东权益合计" test=" $_GBC_c4dbd281faa347f7b7916cc55e9f465c +  $_GBC_05cad73814084fbdb65718569e03bf5f" id="Cca50bf2899434428a8dbcc0071f50180"/>
      </m:item>
      <m:placeholder xlName="_PLD_13d5f85138bd418a9259aa1d58c0c42b" addr="T1R0C0S3_1"/>
      <m:placeholder xlName="_PLD_51f93e7fadff434cb8fff3792fa73c0a" addr="T1R0C1S1_11"/>
      <m:placeholder xlName="_PLD_024a5f81a79a4592958478af7f96749a" addr="T1R1C1S2_1"/>
      <m:placeholder xlName="_PLD_18912ea4827f4cd5affb2ca92061cd36" addr="T1R1C2S1_3"/>
      <m:placeholder xlName="_PLD_b1fb26aeb03347e59dab53b6ba72c7c7" addr="T1R1C5S2_1"/>
      <m:placeholder xlName="_PLD_2ed7cb5cac034c318c85838ea5c161a3" addr="T1R1C6S2_1"/>
      <m:placeholder xlName="_PLD_c830e321039143d790927ecf7b993698" addr="T1R1C7S2_1"/>
      <m:placeholder xlName="_PLD_f9a2bad84247474da30135b668de767d" addr="T1R1C8S2_1"/>
      <m:placeholder xlName="_PLD_e548e52ec0554a639a44d16518e49474" addr="T1R1C9S2_1"/>
      <m:placeholder xlName="_PLD_99530d2df58f41a888608ab9f07bac08" addr="T1R1C10S2_1"/>
      <m:placeholder xlName="_PLD_634bbd300395475fbc775470a30e40b8" addr="T1R1C11S2_1"/>
      <m:placeholder xlName="_PLD_270844e398714819aa329ef9a3ea74e6" addr="T1R2C2S1_1"/>
      <m:placeholder xlName="_PLD_18da4fcafd0b424bac20482499485c6c" addr="T1R2C3S1_1"/>
      <m:placeholder xlName="_PLD_520eff40d6494895981f63e3263f50f9" addr="T1R2C4S1_1"/>
      <m:placeholder xlName="_PLD_d2dc166e479b4415ad5d5ef28a3c6c62" addr="T1R3C0S1_1"/>
      <m:item xlName="_GBC_790cce9c908f441ca9f4b974a2833a80" concept="clcid-pte:GuBen" label="股本" periodRef="上上年度期末数" mulRef="_GBC_375aa5b655854a6fa4ef44766a5a9d36" unitRef="_GBC_6053d48a4e214ab7b17d03b28b93cb76" addr="T1R3C1S1_1" formatStyle="Comma">
        <m:axisValue occRef="调整前的值"/>
      </m:item>
      <m:item xlName="_GBC_7bfa4351bc8648bb982325a2d4bac34c" concept="clcid-pte:QiTaQuanYiGongJuQiZhongYouXianGu" label="其他权益工具-其中：优先股" periodRef="上上年度期末数" mulRef="_GBC_375aa5b655854a6fa4ef44766a5a9d36" unitRef="_GBC_6053d48a4e214ab7b17d03b28b93cb76" addr="T1R3C2S1_1" formatStyle="Comma">
        <m:axisValue occRef="调整前的值"/>
      </m:item>
      <m:item xlName="_GBC_0dd21262e718482cbe18689390cb66fd" concept="clcid-pte:QiTaQuanYiGongJuYongXuZhai" label="其他权益工具-永续债" periodRef="上上年度期末数" mulRef="_GBC_375aa5b655854a6fa4ef44766a5a9d36" unitRef="_GBC_6053d48a4e214ab7b17d03b28b93cb76" addr="T1R3C3S1_1" formatStyle="Comma">
        <m:axisValue occRef="调整前的值"/>
      </m:item>
      <m:item xlName="_GBC_eb97cd556cc44339a20013ca4ef01d9b" concept="clcid-pte:QiTaQuanYiGongJuQiTa" label="其他权益工具-其他" periodRef="上上年度期末数" mulRef="_GBC_375aa5b655854a6fa4ef44766a5a9d36" unitRef="_GBC_6053d48a4e214ab7b17d03b28b93cb76" addr="T1R3C4S1_1" formatStyle="Comma">
        <m:axisValue occRef="调整前的值"/>
      </m:item>
      <m:item xlName="_GBC_e826a68eb3ba4d1e9c55c3ed3116bcfc" concept="clcid-pte:ZiBenGongJi" label="资本公积" periodRef="上上年度期末数" mulRef="_GBC_375aa5b655854a6fa4ef44766a5a9d36" unitRef="_GBC_6053d48a4e214ab7b17d03b28b93cb76" addr="T1R3C5S1_1" formatStyle="Comma">
        <m:axisValue occRef="调整前的值"/>
      </m:item>
      <m:item xlName="_GBC_67a79eb29a0a446f9e42677fe22ba787" concept="clcid-pte:KuCunGu" label="库存股" periodRef="上上年度期末数" mulRef="_GBC_375aa5b655854a6fa4ef44766a5a9d36" unitRef="_GBC_6053d48a4e214ab7b17d03b28b93cb76" addr="T1R3C6S1_1" formatStyle="Comma">
        <m:axisValue occRef="调整前的值"/>
      </m:item>
      <m:item xlName="_GBC_e66c3faf036946a8a1513684c31f93b6" concept="clcid-pte:QiTaZongHeShouYiZiChanFuZhaiBiaoXiangMu" label="其他综合收益（资产负债表项目）" periodRef="上上年度期末数" mulRef="_GBC_375aa5b655854a6fa4ef44766a5a9d36" unitRef="_GBC_6053d48a4e214ab7b17d03b28b93cb76" addr="T1R3C7S1_1" formatStyle="Comma">
        <m:axisValue occRef="调整前的值"/>
      </m:item>
      <m:item xlName="_GBC_e7a9483f8d7846c0af438f8c4a5c4c5f" concept="clcid-pte:ZhuanXiangChuBei" label="专项储备" periodRef="上上年度期末数" mulRef="_GBC_375aa5b655854a6fa4ef44766a5a9d36" unitRef="_GBC_6053d48a4e214ab7b17d03b28b93cb76" addr="T1R3C8S1_1" formatStyle="Comma">
        <m:axisValue occRef="调整前的值"/>
      </m:item>
      <m:item xlName="_GBC_2ed07d9ebe884f2e8d2ac02d9b02fd9f" concept="clcid-pte:YingYuGongJi" label="盈余公积" periodRef="上上年度期末数" mulRef="_GBC_375aa5b655854a6fa4ef44766a5a9d36" unitRef="_GBC_6053d48a4e214ab7b17d03b28b93cb76" addr="T1R3C9S1_1" formatStyle="Comma">
        <m:axisValue occRef="调整前的值"/>
      </m:item>
      <m:item xlName="_GBC_134512d9f9fa414ea0417f650e4455ed" concept="clcid-pte:WeiFenPeiLiRun" label="未分配利润" periodRef="上上年度期末数" mulRef="_GBC_375aa5b655854a6fa4ef44766a5a9d36" unitRef="_GBC_6053d48a4e214ab7b17d03b28b93cb76" addr="T1R3C10S1_1" formatStyle="Comma">
        <m:axisValue occRef="调整前的值"/>
      </m:item>
      <m:item xlName="_GBC_b71e6b22087c44849b9ba6139badf22f" concept="clcid-pte:GuDongQuanYiHeJi" label="股东权益合计" periodRef="上上年度期末数" mulRef="_GBC_375aa5b655854a6fa4ef44766a5a9d36" unitRef="_GBC_6053d48a4e214ab7b17d03b28b93cb76" addr="T1R3C11S1_1" formatStyle="Comma">
        <m:axisValue occRef="调整前的值"/>
      </m:item>
      <m:placeholder xlName="_PLD_32757b94e95046e384a30c9cd83ddddd" addr="T1R4C0S1_1"/>
      <m:item xlName="_GBC_21a77af7768243d8b7a69816ddbe0c89" concept="clcid-pte:KuaiJiZhengCeBianGengDaoZhiShiShouZiBenHuoGuBenJingEBianDongJinE" label="会计政策变更导致实收资本（或股本）净额变动金额" periodRef="上年同期期初数" mulRef="_GBC_375aa5b655854a6fa4ef44766a5a9d36" unitRef="_GBC_6053d48a4e214ab7b17d03b28b93cb76" addr="T1R4C1S1_1" formatStyle="Comma"/>
      <m:item xlName="_GBC_c47233a4eceb4ec6898adbf5652ea410" concept="clcid-pte:HuiJiZhengCeBianGengDaoZhiYouXianGuBianDongJinE" label="会计政策变更导致优先股变动金额" periodRef="上年同期期初数" mulRef="_GBC_375aa5b655854a6fa4ef44766a5a9d36" unitRef="_GBC_6053d48a4e214ab7b17d03b28b93cb76" addr="T1R4C2S1_1" formatStyle="Comma"/>
      <m:item xlName="_GBC_6e322b8f473f4e17bdebcfe262f27bc2" concept="clcid-pte:HuiJiZhengCeBianGengDaoZhiYongXuZhaiBianDongJinE" label="会计政策变更导致永续债变动金额" periodRef="上年同期期初数" mulRef="_GBC_375aa5b655854a6fa4ef44766a5a9d36" unitRef="_GBC_6053d48a4e214ab7b17d03b28b93cb76" addr="T1R4C3S1_1" formatStyle="Comma"/>
      <m:item xlName="_GBC_bfaf7f8decd34bedad6fa1c9024a511d" concept="clcid-pte:HuiJiZhengCeBianGengDaoZhiQiTaQuanYiGongJuZhongDeQiTaBianDongJinE" label="会计政策变更导致其他权益工具中的其他变动金额" periodRef="上年同期期初数" mulRef="_GBC_375aa5b655854a6fa4ef44766a5a9d36" unitRef="_GBC_6053d48a4e214ab7b17d03b28b93cb76" addr="T1R4C4S1_1" formatStyle="Comma"/>
      <m:item xlName="_GBC_ab7c38bba1204055bfd5a931a9149ce3" concept="clcid-pte:KuaiJiZhengCeBianGengDaoZhiZiBenGongJiBianDongJinE" label="会计政策变更导致资本公积变动金额" periodRef="上年同期期初数" mulRef="_GBC_375aa5b655854a6fa4ef44766a5a9d36" unitRef="_GBC_6053d48a4e214ab7b17d03b28b93cb76" addr="T1R4C5S1_1" formatStyle="Comma"/>
      <m:item xlName="_GBC_121623186e864ded8962096896395fed" concept="clcid-pte:KuaiJiZhengCeBianGengDaoZhiKuCunGuBianDongJinE" label="会计政策变更导致库存股变动金额" periodRef="上年同期期初数" mulRef="_GBC_375aa5b655854a6fa4ef44766a5a9d36" unitRef="_GBC_6053d48a4e214ab7b17d03b28b93cb76" addr="T1R4C6S1_1" formatStyle="Comma"/>
      <m:item xlName="_GBC_47954fc74e6e420b8269f697c09321f5" concept="clcid-pte:HuiJiZhengCeBianGengDaoZhiQiTaZongHeShouYiBianDongJinE" label="会计政策变更导致其他综合收益变动金额" periodRef="上年同期期初数" mulRef="_GBC_375aa5b655854a6fa4ef44766a5a9d36" unitRef="_GBC_6053d48a4e214ab7b17d03b28b93cb76" addr="T1R4C7S1_1" formatStyle="Comma"/>
      <m:item xlName="_GBC_e113aa3213a3474498f4bed2b577ed21" concept="clcid-pte:KuaiJiZhengCeBianGengDaoZhiZhuanXiangChuBeiBianDongJinE" label="会计政策变更导致专项储备变动金额" periodRef="上年同期期初数" mulRef="_GBC_375aa5b655854a6fa4ef44766a5a9d36" unitRef="_GBC_6053d48a4e214ab7b17d03b28b93cb76" addr="T1R4C8S1_1" formatStyle="Comma"/>
      <m:item xlName="_GBC_389f59c97f4043858ed5986deb489203" concept="clcid-pte:KuaiJiZhengCeBianGengDaoZhiYingYuGongJiBianDongJinE" label="会计政策变更导致盈余公积变动金额" periodRef="上年同期期初数" mulRef="_GBC_375aa5b655854a6fa4ef44766a5a9d36" unitRef="_GBC_6053d48a4e214ab7b17d03b28b93cb76" addr="T1R4C9S1_1" formatStyle="Comma"/>
      <m:item xlName="_GBC_b0f9f485a9b140e0a7ffe252b3cc0831" concept="clcid-pte:KuaiJiZhengCeBianGengDaoZhiWeiFenPeiLiRunBianDongJinE" label="会计政策变更导致未分配利润变动金额" periodRef="上年同期期初数" mulRef="_GBC_375aa5b655854a6fa4ef44766a5a9d36" unitRef="_GBC_6053d48a4e214ab7b17d03b28b93cb76" addr="T1R4C10S1_1" formatStyle="Comma"/>
      <m:item xlName="_GBC_64b6e5761c184ebdb52880faf05c8898" concept="clcid-pte:KuaiJiZhengCeBianGengDaoZhiGuDongQuanYiHeJiBianDongJinE" label="会计政策变更导致股东权益合计变动金额" periodRef="上年同期期初数" mulRef="_GBC_375aa5b655854a6fa4ef44766a5a9d36" unitRef="_GBC_6053d48a4e214ab7b17d03b28b93cb76" addr="T1R4C11S1_1" formatStyle="Comma"/>
      <m:placeholder xlName="_PLD_c254581bfa564d21b6e66ec55e49c128" addr="T1R5C0S1_1"/>
      <m:item xlName="_GBC_abeac182dcae4b698d866b6a8820a444" concept="clcid-pte:QianQiChaCuoGengZhengDaoZhiShiShouZiBenHuoGuBenJingEBianDongJinE" label="前期差错更正导致实收资本（或股本）净额变动金额" periodRef="上年同期期初数" mulRef="_GBC_375aa5b655854a6fa4ef44766a5a9d36" unitRef="_GBC_6053d48a4e214ab7b17d03b28b93cb76" addr="T1R5C1S1_1" formatStyle="Comma"/>
      <m:item xlName="_GBC_6302bccb70fe4f60b05c07530cc1b379" concept="clcid-pte:QianQiChaCuoGengZhengDaoZhiYouXianGuBianDongJinE" label="前期差错更正导致优先股变动金额" periodRef="上年同期期初数" mulRef="_GBC_375aa5b655854a6fa4ef44766a5a9d36" unitRef="_GBC_6053d48a4e214ab7b17d03b28b93cb76" addr="T1R5C2S1_1" formatStyle="Comma"/>
      <m:item xlName="_GBC_74a73b2d0a9d47389359a65d625cbe14" concept="clcid-pte:QianQiChaCuoGengZhengDaoZhiYongXuZhaiBianDongJinE" label="前期差错更正导致永续债变动金额" periodRef="上年同期期初数" mulRef="_GBC_375aa5b655854a6fa4ef44766a5a9d36" unitRef="_GBC_6053d48a4e214ab7b17d03b28b93cb76" addr="T1R5C3S1_1" formatStyle="Comma"/>
      <m:item xlName="_GBC_770d927ff2ae4be0902c20a757ecb74a" concept="clcid-pte:QianQiChaCuoGengZhengDaoZhiQiTaQuanYiGongJuZhongDeQiTaBianDongJinE" label="前期差错更正导致其他权益工具中的其他变动金额" periodRef="上年同期期初数" mulRef="_GBC_375aa5b655854a6fa4ef44766a5a9d36" unitRef="_GBC_6053d48a4e214ab7b17d03b28b93cb76" addr="T1R5C4S1_1" formatStyle="Comma"/>
      <m:item xlName="_GBC_7e01211779b44d51a5c3963fcfe1ddec" concept="clcid-pte:QianQiChaCuoGengZhengDaoZhiZiBenGongJiBianDongJinE" label="前期差错更正导致资本公积变动金额" periodRef="上年同期期初数" mulRef="_GBC_375aa5b655854a6fa4ef44766a5a9d36" unitRef="_GBC_6053d48a4e214ab7b17d03b28b93cb76" addr="T1R5C5S1_1" formatStyle="Comma"/>
      <m:item xlName="_GBC_2bc6d3f6a37e476e9a38fbe1f60d6cd2" concept="clcid-pte:QianQiChaCuoGengZhengDaoZhiKuCunGuBianDongJinE" label="前期差错更正导致库存股变动金额" periodRef="上年同期期初数" mulRef="_GBC_375aa5b655854a6fa4ef44766a5a9d36" unitRef="_GBC_6053d48a4e214ab7b17d03b28b93cb76" addr="T1R5C6S1_1" formatStyle="Comma"/>
      <m:item xlName="_GBC_04895e05906e4215afe765139b35d1f3" concept="clcid-pte:QianQiChaCuoGengZhengDaoZhiQiTaZongHeShouYiBianDongJinE" label="前期差错更正导致其他综合收益变动金额" periodRef="上年同期期初数" mulRef="_GBC_375aa5b655854a6fa4ef44766a5a9d36" unitRef="_GBC_6053d48a4e214ab7b17d03b28b93cb76" addr="T1R5C7S1_1" formatStyle="Comma"/>
      <m:item xlName="_GBC_a15b1ed44297456fa7529a6be8aa2959" concept="clcid-pte:QianQiChaCuoGengZhengDaoZhiZhuanXiangChuBeiBianDongJinE" label="前期差错更正导致专项储备变动金额" periodRef="上年同期期初数" mulRef="_GBC_375aa5b655854a6fa4ef44766a5a9d36" unitRef="_GBC_6053d48a4e214ab7b17d03b28b93cb76" addr="T1R5C8S1_1" formatStyle="Comma"/>
      <m:item xlName="_GBC_ef20f81169e047089ef1a61d12582154" concept="clcid-pte:QianQiChaCuoGengZhengDaoZhiYingYuGongJiBianDongJinE" label="前期差错更正导致盈余公积变动金额" periodRef="上年同期期初数" mulRef="_GBC_375aa5b655854a6fa4ef44766a5a9d36" unitRef="_GBC_6053d48a4e214ab7b17d03b28b93cb76" addr="T1R5C9S1_1" formatStyle="Comma"/>
      <m:item xlName="_GBC_e9f9d3b98d3e4082a160f5ffc645ec6d" concept="clcid-pte:QianQiChaCuoGengZhengDaoZhiWeiFenPeiLiRunBianDongJinE" label="前期差错更正导致未分配利润变动金额" periodRef="上年同期期初数" mulRef="_GBC_375aa5b655854a6fa4ef44766a5a9d36" unitRef="_GBC_6053d48a4e214ab7b17d03b28b93cb76" addr="T1R5C10S1_1" formatStyle="Comma"/>
      <m:item xlName="_GBC_cf62b49cc5544ea288be0a299a252204" concept="clcid-pte:QianQiChaCuoGengZhengDaoZhiGuDongQuanYiHeJiBianDongJinE" label="前期差错更正导致股东权益合计变动金额" periodRef="上年同期期初数" mulRef="_GBC_375aa5b655854a6fa4ef44766a5a9d36" unitRef="_GBC_6053d48a4e214ab7b17d03b28b93cb76" addr="T1R5C11S1_1" formatStyle="Comma"/>
      <m:placeholder xlName="_PLD_bebed8425fe64eeaa28ab5a4881743c3" addr="T1R6C0S1_1"/>
      <m:item xlName="_GBC_bfd8386292d84fd5b7bb747c490961a3" concept="clcid-pte:QiTaZhuiSuTiaoZhengDaoZhiShiShouZiBenBianDongJinE" label="实收资本变动金额（其他追溯调整）" periodRef="上年同期期初数" mulRef="_GBC_375aa5b655854a6fa4ef44766a5a9d36" unitRef="_GBC_6053d48a4e214ab7b17d03b28b93cb76" addr="T1R6C1S1_1" formatStyle="Comma"/>
      <m:item xlName="_GBC_47708927326c4c0091893a67df7e8122" concept="clcid-pte:YouXianGuBianDongJinEQiTaZhuiSuDiaoZheng" label="优先股变动金额（其他追溯调整）" periodRef="上年同期期初数" mulRef="_GBC_375aa5b655854a6fa4ef44766a5a9d36" unitRef="_GBC_6053d48a4e214ab7b17d03b28b93cb76" addr="T1R6C2S1_1" formatStyle="Comma"/>
      <m:item xlName="_GBC_250ba860421c48408d4d223661dc2d86" concept="clcid-pte:YongXuZhaiBianDongJinEQiTaZhuiSuDiaoZheng" label="永续债变动金额（其他追溯调整）" periodRef="上年同期期初数" mulRef="_GBC_375aa5b655854a6fa4ef44766a5a9d36" unitRef="_GBC_6053d48a4e214ab7b17d03b28b93cb76" addr="T1R6C3S1_1" formatStyle="Comma"/>
      <m:item xlName="_GBC_5f9422fd1fc541ab93441f590dd12652" concept="clcid-pte:QiTaQuanYiGongJuZhongDeQiTaBianDongJinEQiTaZhuiSuDiaoZheng" label="其他权益工具中的其他变动金额（其他追溯调整）" periodRef="上年同期期初数" mulRef="_GBC_375aa5b655854a6fa4ef44766a5a9d36" unitRef="_GBC_6053d48a4e214ab7b17d03b28b93cb76" addr="T1R6C4S1_1" formatStyle="Comma"/>
      <m:item xlName="_GBC_9df974b8c1954a3f9d6ee33aa41afa61" concept="clcid-pte:QiTaZhuiSuTiaoZhengDaoZhiZiBenGongJiBianDongJinE" label="资本公积变动金额（其他追溯调整）" periodRef="上年同期期初数" mulRef="_GBC_375aa5b655854a6fa4ef44766a5a9d36" unitRef="_GBC_6053d48a4e214ab7b17d03b28b93cb76" addr="T1R6C5S1_1" formatStyle="Comma"/>
      <m:item xlName="_GBC_693c6b0cd0654c589e5060ca196e420e" concept="clcid-pte:QiTaZhuiSuTiaoZhengDaoZhiKuCunGuBianDongJinE" label="库存股变动金额（其他追溯调整）" periodRef="上年同期期初数" mulRef="_GBC_375aa5b655854a6fa4ef44766a5a9d36" unitRef="_GBC_6053d48a4e214ab7b17d03b28b93cb76" addr="T1R6C6S1_1" formatStyle="Comma"/>
      <m:item xlName="_GBC_1acf3236fe0b4e76a5f0957a3bc29168" concept="clcid-pte:QiTaZongHeShouYiBianDongJinEQiTaZhuiSuDiaoZheng" label="其他综合收益变动金额（其他追溯调整）" periodRef="上年同期期初数" mulRef="_GBC_375aa5b655854a6fa4ef44766a5a9d36" unitRef="_GBC_6053d48a4e214ab7b17d03b28b93cb76" addr="T1R6C7S1_1" formatStyle="Comma"/>
      <m:item xlName="_GBC_877310c591574f4f8bc64f3c21d1d468" concept="clcid-pte:QiTaZhuiSuTiaoZhengDaoZhiZhuanXiangChuBeiBianDongJinE" label="专项储备变动金额（其他追溯调整）" periodRef="上年同期期初数" mulRef="_GBC_375aa5b655854a6fa4ef44766a5a9d36" unitRef="_GBC_6053d48a4e214ab7b17d03b28b93cb76" addr="T1R6C8S1_1" formatStyle="Comma"/>
      <m:item xlName="_GBC_1566a00048c347b99ca60797291a5b0d" concept="clcid-pte:QiTaZhuiSuTiaoZhengDaoZhiYingYuGongJiBianDongJinE" label="盈余公积变动金额（其他追溯调整）" periodRef="上年同期期初数" mulRef="_GBC_375aa5b655854a6fa4ef44766a5a9d36" unitRef="_GBC_6053d48a4e214ab7b17d03b28b93cb76" addr="T1R6C9S1_1" formatStyle="Comma"/>
      <m:item xlName="_GBC_2f353f9de680407a88dbd1b11d840e6a" concept="clcid-pte:QiTaZhuiSuTiaoZhengDaoZhiWeiFenPeiLiRunBianDongJinE" label="未分配利润变动金额（其他追溯调整）" periodRef="上年同期期初数" mulRef="_GBC_375aa5b655854a6fa4ef44766a5a9d36" unitRef="_GBC_6053d48a4e214ab7b17d03b28b93cb76" addr="T1R6C10S1_1" formatStyle="Comma"/>
      <m:item xlName="_GBC_a62bc4ee91a4415aa9353e961a6a8883" concept="clcid-pte:QiTaZhuiSuTiaoZhengDaoZhiGuDongQuanYiBianDongJinE" label="股东权益变动金额（其他追溯调整）" periodRef="上年同期期初数" mulRef="_GBC_375aa5b655854a6fa4ef44766a5a9d36" unitRef="_GBC_6053d48a4e214ab7b17d03b28b93cb76" addr="T1R6C11S1_1" formatStyle="Comma"/>
      <m:placeholder xlName="_PLD_422e4d21bbcf4e4dba739c7dc3edc168" addr="T1R7C0S1_1"/>
      <m:item xlName="_GBC_64af9c9dd2c34b9eb34295b3c5c38442" concept="clcid-pte:GuBen" label="股本" periodRef="上年同期期初数" mulRef="_GBC_375aa5b655854a6fa4ef44766a5a9d36" unitRef="_GBC_6053d48a4e214ab7b17d03b28b93cb76" addr="T1R7C1S1_1" formatStyle="Comma">
        <m:complexRule comparator="Eq" title="股本@上年同期期初数" test=" $_GBC_790cce9c908f441ca9f4b974a2833a80 +  $_GBC_21a77af7768243d8b7a69816ddbe0c89 +  $_GBC_abeac182dcae4b698d866b6a8820a444 +  $_GBC_bfd8386292d84fd5b7bb747c490961a3" id="C10100727388c475296ca2aeb0b0d07a2"/>
      </m:item>
      <m:item xlName="_GBC_5414879d5d1f48ed9990290373895c7d" concept="clcid-pte:QiTaQuanYiGongJuQiZhongYouXianGu" label="其他权益工具-其中：优先股" periodRef="上年同期期初数" mulRef="_GBC_375aa5b655854a6fa4ef44766a5a9d36" unitRef="_GBC_6053d48a4e214ab7b17d03b28b93cb76" addr="T1R7C2S1_1" formatStyle="Comma">
        <m:complexRule comparator="Eq" title="其他权益工具-其中：优先股@上年同期期初数" test=" $_GBC_7bfa4351bc8648bb982325a2d4bac34c +  $_GBC_c47233a4eceb4ec6898adbf5652ea410 +  $_GBC_6302bccb70fe4f60b05c07530cc1b379 +  $_GBC_47708927326c4c0091893a67df7e8122" id="Cf491a58d164749d9be8d91c9f8b14d3c"/>
      </m:item>
      <m:item xlName="_GBC_db14aa9a8b32428a999a5b2dbac8d0ed" concept="clcid-pte:QiTaQuanYiGongJuYongXuZhai" label="其他权益工具-永续债" periodRef="上年同期期初数" mulRef="_GBC_375aa5b655854a6fa4ef44766a5a9d36" unitRef="_GBC_6053d48a4e214ab7b17d03b28b93cb76" addr="T1R7C3S1_1" formatStyle="Comma">
        <m:complexRule comparator="Eq" title="其他权益工具-永续债@上年同期期初数" test=" $_GBC_0dd21262e718482cbe18689390cb66fd +  $_GBC_6e322b8f473f4e17bdebcfe262f27bc2 +  $_GBC_74a73b2d0a9d47389359a65d625cbe14 +  $_GBC_250ba860421c48408d4d223661dc2d86" id="C26db97f26b144d529a6f9c0191944be4"/>
      </m:item>
      <m:item xlName="_GBC_c4261e81263e431bb657e0440482ce49" concept="clcid-pte:QiTaQuanYiGongJuQiTa" label="其他权益工具-其他" periodRef="上年同期期初数" mulRef="_GBC_375aa5b655854a6fa4ef44766a5a9d36" unitRef="_GBC_6053d48a4e214ab7b17d03b28b93cb76" addr="T1R7C4S1_1" formatStyle="Comma">
        <m:complexRule comparator="Eq" title="其他权益工具-其他@上年同期期初数" test=" $_GBC_eb97cd556cc44339a20013ca4ef01d9b +  $_GBC_bfaf7f8decd34bedad6fa1c9024a511d +  $_GBC_770d927ff2ae4be0902c20a757ecb74a +  $_GBC_5f9422fd1fc541ab93441f590dd12652" id="C2921c1320cc4411a87c5f3301ada331f"/>
      </m:item>
      <m:item xlName="_GBC_db782dfd2bae45d396a0e0fef2f61a58" concept="clcid-pte:ZiBenGongJi" label="资本公积" periodRef="上年同期期初数" mulRef="_GBC_375aa5b655854a6fa4ef44766a5a9d36" unitRef="_GBC_6053d48a4e214ab7b17d03b28b93cb76" addr="T1R7C5S1_1" formatStyle="Comma">
        <m:complexRule comparator="Eq" title="资本公积@上年同期期初数" test=" $_GBC_e826a68eb3ba4d1e9c55c3ed3116bcfc +  $_GBC_ab7c38bba1204055bfd5a931a9149ce3 +  $_GBC_7e01211779b44d51a5c3963fcfe1ddec +  $_GBC_9df974b8c1954a3f9d6ee33aa41afa61" id="C027fbedd9ef344089f457b2a5fc2269e"/>
      </m:item>
      <m:item xlName="_GBC_97131a0dce19455facc205df4ca5a400" concept="clcid-pte:KuCunGu" label="库存股" periodRef="上年同期期初数" mulRef="_GBC_375aa5b655854a6fa4ef44766a5a9d36" unitRef="_GBC_6053d48a4e214ab7b17d03b28b93cb76" addr="T1R7C6S1_1" formatStyle="Comma">
        <m:complexRule comparator="Eq" title="库存股@上年同期期初数" test=" $_GBC_67a79eb29a0a446f9e42677fe22ba787 +  $_GBC_121623186e864ded8962096896395fed +  $_GBC_2bc6d3f6a37e476e9a38fbe1f60d6cd2 +  $_GBC_693c6b0cd0654c589e5060ca196e420e" id="C9d1816d23a2b4099b8568696bf71a500"/>
      </m:item>
      <m:item xlName="_GBC_5ce2fdb56aeb4150b6b0e26da9c6f244" concept="clcid-pte:QiTaZongHeShouYiZiChanFuZhaiBiaoXiangMu" label="其他综合收益（资产负债表项目）" periodRef="上年同期期初数" mulRef="_GBC_375aa5b655854a6fa4ef44766a5a9d36" unitRef="_GBC_6053d48a4e214ab7b17d03b28b93cb76" addr="T1R7C7S1_1" formatStyle="Comma">
        <m:complexRule comparator="Eq" title="其他综合收益（资产负债表项目）@上年同期期初数" test=" $_GBC_e66c3faf036946a8a1513684c31f93b6 +  $_GBC_47954fc74e6e420b8269f697c09321f5 +  $_GBC_04895e05906e4215afe765139b35d1f3 +  $_GBC_1acf3236fe0b4e76a5f0957a3bc29168" id="C6196993639b94820a088014deb8af622"/>
      </m:item>
      <m:item xlName="_GBC_a91a55653c76489ab7f160dcf2f9ba0d" concept="clcid-pte:ZhuanXiangChuBei" label="专项储备" periodRef="上年同期期初数" mulRef="_GBC_375aa5b655854a6fa4ef44766a5a9d36" unitRef="_GBC_6053d48a4e214ab7b17d03b28b93cb76" addr="T1R7C8S1_1" formatStyle="Comma">
        <m:complexRule comparator="Eq" title="专项储备@上年同期期初数" test=" $_GBC_e7a9483f8d7846c0af438f8c4a5c4c5f +  $_GBC_e113aa3213a3474498f4bed2b577ed21 +  $_GBC_a15b1ed44297456fa7529a6be8aa2959 +  $_GBC_877310c591574f4f8bc64f3c21d1d468" id="C00b59e3e4d5e4be1944366d8aca9afb9"/>
      </m:item>
      <m:item xlName="_GBC_7e2304643380463cbca662749b0c790e" concept="clcid-pte:YingYuGongJi" label="盈余公积" periodRef="上年同期期初数" mulRef="_GBC_375aa5b655854a6fa4ef44766a5a9d36" unitRef="_GBC_6053d48a4e214ab7b17d03b28b93cb76" addr="T1R7C9S1_1" formatStyle="Comma">
        <m:complexRule comparator="Eq" title="盈余公积@上年同期期初数" test=" $_GBC_2ed07d9ebe884f2e8d2ac02d9b02fd9f +  $_GBC_389f59c97f4043858ed5986deb489203 +  $_GBC_ef20f81169e047089ef1a61d12582154 +  $_GBC_1566a00048c347b99ca60797291a5b0d" id="Cc257fb55138d4b7494e865026c56b97b"/>
      </m:item>
      <m:item xlName="_GBC_bb7c8abbcc634403bfc379fe31f87f40" concept="clcid-pte:WeiFenPeiLiRun" label="未分配利润" periodRef="上年同期期初数" mulRef="_GBC_375aa5b655854a6fa4ef44766a5a9d36" unitRef="_GBC_6053d48a4e214ab7b17d03b28b93cb76" addr="T1R7C10S1_1" formatStyle="Comma">
        <m:complexRule comparator="Eq" title="未分配利润@上年同期期初数" test=" $_GBC_134512d9f9fa414ea0417f650e4455ed +  $_GBC_b0f9f485a9b140e0a7ffe252b3cc0831 +  $_GBC_e9f9d3b98d3e4082a160f5ffc645ec6d +  $_GBC_2f353f9de680407a88dbd1b11d840e6a" id="Ce5a77a24a00e46f09242b61b2a50cb0d"/>
      </m:item>
      <m:item xlName="_GBC_b74c9f872b7d4b5f8d697a8dfc72012e" concept="clcid-pte:GuDongQuanYiHeJi" label="股东权益合计" periodRef="上年同期期初数" mulRef="_GBC_375aa5b655854a6fa4ef44766a5a9d36" unitRef="_GBC_6053d48a4e214ab7b17d03b28b93cb76" addr="T1R7C11S1_1" formatStyle="Comma">
        <m:complexRule comparator="Eq" title="股东权益合计@上年同期期初数" test=" $_GBC_b71e6b22087c44849b9ba6139badf22f +  $_GBC_64b6e5761c184ebdb52880faf05c8898 +  $_GBC_cf62b49cc5544ea288be0a299a252204 +  $_GBC_a62bc4ee91a4415aa9353e961a6a8883" id="C4a6d8648fd96494faa683a22e12d8837"/>
      </m:item>
      <m:placeholder xlName="_PLD_575c20e6dc91491cb25a743b66daa15e" addr="T1R8C0S1_1"/>
      <m:item xlName="_GBC_4632b070e6cd423c8a67e0fd30fc59d9" concept="clcid-pte:ShiShouZiBenHuoGuBenJingEZengJianBianDongJinE" label="实收资本（或股本）净额增减变动金额" periodRef="上年同期数" mulRef="_GBC_375aa5b655854a6fa4ef44766a5a9d36" unitRef="_GBC_6053d48a4e214ab7b17d03b28b93cb76" addr="T1R8C1S1_1" formatStyle="Comma">
        <m:complexRule comparator="Eq" title="实收资本（或股本）净额增减变动金额@上年同期数" test=" $_GBC_2892f80677ed496bb3d7f72ec49d79b9 +  $_GBC_41d567e5f0604eebaf533b2028e70a7b +  $_GBC_a2f75c6494704f6fa9b38aeb100187be +  $_GBC_deeeaffa86744a999c7982346bbb8047 +  $_GBC_5ccd917c435143ffb689bea20171bf84 +  $_GBC_152fc8a431174e9bb3580244827a78b7" id="C112d8093db27475380c52e579c05b586"/>
      </m:item>
      <m:item xlName="_GBC_7d40071ac5d14d978b2598f956174cf4" concept="clcid-pte:QiTaQuanYiGongJuZhongDeYouXianGuZengJianBianDongJinE" label="其他权益工具中的优先股增减变动金额" periodRef="上年同期数" mulRef="_GBC_375aa5b655854a6fa4ef44766a5a9d36" unitRef="_GBC_6053d48a4e214ab7b17d03b28b93cb76" addr="T1R8C2S1_1" formatStyle="Comma">
        <m:complexRule comparator="Eq" title="其他权益工具中的优先股增减变动金额@上年同期数" test=" $_GBC_4a2aa70d6da240ccb096bcd7c62b4685 +  $_GBC_f5b1de65fc05410bb0593b738271a4d4 +  $_GBC_83f2812de66b48409b06e875a958a1e2 +  $_GBC_3ce1205f8dcc41a3be49d8fcab6feb87 +  $_GBC_722216750e364e9291456f7f2c9a7b52 +  $_GBC_b6808a7fa8b942deb4ee0bfaa3092b13" id="C91f603fc41864d5f88430cbb38928455"/>
      </m:item>
      <m:item xlName="_GBC_3f699d2795d44e41a659654f2560a4d8" concept="clcid-pte:QiTaQuanYiGongJuZhongDeYongXuZhaiZengJianBianDongJinE" label="其他权益工具中的永续债增减变动金额" periodRef="上年同期数" mulRef="_GBC_375aa5b655854a6fa4ef44766a5a9d36" unitRef="_GBC_6053d48a4e214ab7b17d03b28b93cb76" addr="T1R8C3S1_1" formatStyle="Comma">
        <m:complexRule comparator="Eq" title="其他权益工具中的永续债增减变动金额@上年同期数" test=" $_GBC_39cd3c2e050e4500a4f616f2d9466946 +  $_GBC_4003022a52954cbbb815fa7e9aa5390e +  $_GBC_1146331d3d4344b1a4e2e9dcafe0b09d +  $_GBC_6c9c4781647a465d956201573df817e2 +  $_GBC_4c0ad0b1f8084594adfdddfd9d11b255 +  $_GBC_a61fd4810b784b80a5c8f2d723b1df2a" id="C2c0059d72477487999cb581cd100c3e5"/>
      </m:item>
      <m:item xlName="_GBC_15c11a29d0d145af970a854f513e6c1f" concept="clcid-pte:QiTaQuanYiGongJuZhongDeQiTaZengJianBianDongJinE" label="其他权益工具中的其他增减变动金额" periodRef="上年同期数" mulRef="_GBC_375aa5b655854a6fa4ef44766a5a9d36" unitRef="_GBC_6053d48a4e214ab7b17d03b28b93cb76" addr="T1R8C4S1_1" formatStyle="Comma">
        <m:complexRule comparator="Eq" title="其他权益工具中的其他增减变动金额@上年同期数" test=" $_GBC_9703ddaa5398402e835003a6fd4abc9e +  $_GBC_80e8f3a48a0a4b8fb8b1871d0b6e7757 +  $_GBC_2b9709a4d60b4d5ba80d5f46e540bf61 +  $_GBC_39fda005591246d68e56f5bbef7bfa49 +  $_GBC_b3ed8c3db4ec42978cf5eb95c1f748ac +  $_GBC_95813de16a7e4c719b0196e8c683e758" id="Caa9b27e92a584639aa87f34bd9dc1f70"/>
      </m:item>
      <m:item xlName="_GBC_153cb689e384495c8dbbe4cdad581f26" concept="clcid-pte:ZiBenGongJiZengJianBianDongJinE" label="资本公积增减变动金额" periodRef="上年同期数" mulRef="_GBC_375aa5b655854a6fa4ef44766a5a9d36" unitRef="_GBC_6053d48a4e214ab7b17d03b28b93cb76" addr="T1R8C5S1_1" formatStyle="Comma">
        <m:complexRule comparator="Eq" title="资本公积增减变动金额@上年同期数" test=" $_GBC_8c00f504c192491ca83cd17fdc45b279 +  $_GBC_a4674e89b53d4b8189aaf0807dcc3b28 +  $_GBC_2c5f20087899460882b1649adf7dce88 +  $_GBC_10ad6e3161204e30be33be9dae8c5ecb +  $_GBC_0e3650254e5e4859b9159233dbc92aa4 +  $_GBC_fc56918d24d24005a1668ccae0df5e5b" id="C7751e9ac9a424f808528a0a70ae2c0b8"/>
      </m:item>
      <m:item xlName="_GBC_11812d49465e4d00ab2dce0312776272" concept="clcid-pte:KuCunGuZengJianBianDongJinE" label="库存股增减变动金额" periodRef="上年同期数" mulRef="_GBC_375aa5b655854a6fa4ef44766a5a9d36" unitRef="_GBC_6053d48a4e214ab7b17d03b28b93cb76" addr="T1R8C6S1_1" formatStyle="Comma">
        <m:complexRule comparator="Eq" title="库存股增减变动金额@上年同期数" test=" $_GBC_c1e89b5e83d2441481e9f62cf8bf36e1 +  $_GBC_9b49554677cf4f3fa67b94e962205d18 +  $_GBC_09eb7202caf841c98cd53f3fa65afe84 +  $_GBC_34c53ea6bd7b4251b98b2467bd9e6ae1 +  $_GBC_33852a180fcb452fa274b580b5669596 +  $_GBC_c00d228790d647b8a4c31635fb659ba1" id="C204906dab7a8483ca313eccfc4a32d90"/>
      </m:item>
      <m:item xlName="_GBC_a76bbf5cca184f4e9730df79b64b1bbc" concept="clcid-pte:QiTaZongHeShouYiZengJianBianDongJinE" label="其他综合收益增减变动金额" periodRef="上年同期数" mulRef="_GBC_375aa5b655854a6fa4ef44766a5a9d36" unitRef="_GBC_6053d48a4e214ab7b17d03b28b93cb76" addr="T1R8C7S1_1" formatStyle="Comma">
        <m:complexRule comparator="Eq" title="其他综合收益增减变动金额@上年同期数" test=" $_GBC_7ea0b586e4ac4e329c0207a851d66145 +  $_GBC_337b1390975e4a80a7e6263a38f817e3 +  $_GBC_e5d740dcaeb5493d8a251fbcff6338e6 +  $_GBC_edb15b0ed5534331b9a8182e5115432d +  $_GBC_3162b534a9e4408ea5b388292f5b8fc4 +  $_GBC_4994353ccbdf47f9b9719b1484111bed" id="Ca1516eccdac04eac86a59e7a271d9df5"/>
      </m:item>
      <m:item xlName="_GBC_2fe7145f225c4ba494a58c098bc28b39" concept="clcid-pte:ZhuanXiangChuBeiZengJianBianDongJinE" label="专项储备增减变动金额" periodRef="上年同期数" mulRef="_GBC_375aa5b655854a6fa4ef44766a5a9d36" unitRef="_GBC_6053d48a4e214ab7b17d03b28b93cb76" addr="T1R8C8S1_1" formatStyle="Comma">
        <m:complexRule comparator="Eq" title="专项储备增减变动金额@上年同期数" test=" $_GBC_54b6277dff2841b08fec532756272e01 +  $_GBC_6bb1ae663ac34197994f6df1ce23d632 +  $_GBC_eb6fa047c7514172a30b87200d81f96f +  $_GBC_23fcb462ec074fdc8723949c46072dfd +  $_GBC_ee7b4b94027442c5baca639370f4f254 +  $_GBC_0ec199af41f9457fb29981454e41a6e5" id="Cb6e75d86f89b463ba31edc98f7cbdc8e"/>
      </m:item>
      <m:item xlName="_GBC_a778918dd9c046d9aeea8c0081a957ed" concept="clcid-pte:YingYuGongJiZengJianBianDongJinE" label="盈余公积增减变动金额" periodRef="上年同期数" mulRef="_GBC_375aa5b655854a6fa4ef44766a5a9d36" unitRef="_GBC_6053d48a4e214ab7b17d03b28b93cb76" addr="T1R8C9S1_1" formatStyle="Comma">
        <m:complexRule comparator="Eq" title="盈余公积增减变动金额@上年同期数" test=" $_GBC_8639b74462a3488ebe4a4e24880b6754 +  $_GBC_83852ac53a3646218042c85d82ed2601 +  $_GBC_1c07886a9bf341cf9d53adf2da2c62c6 +  $_GBC_2d8bda8d7b214a8e91165670e0f23bdd +  $_GBC_9cf19b3fc7844c76950cf20cc635c318 +  $_GBC_91c9d9a60100466ba2b3f5a91aaa7ef4" id="C23eaff9dd13f41dcb1de112a9182f338"/>
      </m:item>
      <m:item xlName="_GBC_66a7795a07724631b91b6f58d5aa4ff8" concept="clcid-pte:WeiFenPeiLiRunZengJianBianDongJinE" label="未分配利润增减变动金额" periodRef="上年同期数" mulRef="_GBC_375aa5b655854a6fa4ef44766a5a9d36" unitRef="_GBC_6053d48a4e214ab7b17d03b28b93cb76" addr="T1R8C10S1_1" formatStyle="Comma">
        <m:complexRule comparator="Eq" title="未分配利润增减变动金额@上年同期数" test=" $_GBC_7b7c1258be4f4f368c6b59f3aeff63c5 +  $_GBC_59e1584e662642189dafc2ef6f89f299 +  $_GBC_b69ded4e747540be8c40cae8dfc623be +  $_GBC_de71243253ef4048b2f40827938e51bc +  $_GBC_6935588e80ce4065b9e12ec79dfd14ad +  $_GBC_46d7b23c085c49c483c11ba7bfefff2a" id="C0636e6cab5024e4a99580015377a44e8"/>
      </m:item>
      <m:item xlName="_GBC_f459f68e03564ab09751a863e95f1441" concept="clcid-pte:GuDongQuanYiHeJiZengJianBianDongJinE" label="股东权益合计增减变动金额" periodRef="上年同期数" mulRef="_GBC_375aa5b655854a6fa4ef44766a5a9d36" unitRef="_GBC_6053d48a4e214ab7b17d03b28b93cb76" addr="T1R8C11S1_1" formatStyle="Comma">
        <m:complexRule comparator="Eq" title="股东权益合计增减变动金额@上年同期数" test=" $_GBC_0e3ddbd1be7a4b95b89ef691f7d00cf4 +  $_GBC_d038aa4244504e69839ff2e7c908eb78 +  $_GBC_02a11e8faf82407a8e1048fc636c9364 +  $_GBC_6f2ead75b86c4131b907328590dd9bf0 +  $_GBC_b6cae47f9b834bef982107154bdde7cb +  $_GBC_1c6d3b4dc83f4ae4a05ca332a7d6fd7f" id="C7716dc5cc5a14a7e8772be9a5280b003"/>
      </m:item>
      <m:placeholder xlName="_PLD_b5c171f4f94043988b7c341329feab45" addr="T1R9C0S1_1"/>
      <m:item xlName="_GBC_2892f80677ed496bb3d7f72ec49d79b9" concept="clcid-pte:ZongHeShouYiZongEDaoZhiGuBenBianDongJinE" label="综合收益总额导致股本变动金额" periodRef="上年同期数" mulRef="_GBC_375aa5b655854a6fa4ef44766a5a9d36" unitRef="_GBC_6053d48a4e214ab7b17d03b28b93cb76" addr="T1R9C1S1_1" formatStyle="Comma"/>
      <m:item xlName="_GBC_4a2aa70d6da240ccb096bcd7c62b4685" concept="clcid-pte:ZongHeShouYiZongEDaoZhiYouXianGuBianDongJinE" label="综合收益总额导致优先股变动金额" periodRef="上年同期数" mulRef="_GBC_375aa5b655854a6fa4ef44766a5a9d36" unitRef="_GBC_6053d48a4e214ab7b17d03b28b93cb76" addr="T1R9C2S1_1" formatStyle="Comma"/>
      <m:item xlName="_GBC_39cd3c2e050e4500a4f616f2d9466946" concept="clcid-pte:ZongHeShouYiZongEDaoZhiYongXuZhaiBianDongJinE" label="综合收益总额导致永续债变动金额" periodRef="上年同期数" mulRef="_GBC_375aa5b655854a6fa4ef44766a5a9d36" unitRef="_GBC_6053d48a4e214ab7b17d03b28b93cb76" addr="T1R9C3S1_1" formatStyle="Comma"/>
      <m:item xlName="_GBC_9703ddaa5398402e835003a6fd4abc9e" concept="clcid-pte:ZongHeShouYiZongEDaoZhiQiTaQuanYiGongJuZhongDeQiTaBianDongJinE" label="综合收益总额导致其他权益工具中的其他变动金额" periodRef="上年同期数" mulRef="_GBC_375aa5b655854a6fa4ef44766a5a9d36" unitRef="_GBC_6053d48a4e214ab7b17d03b28b93cb76" addr="T1R9C4S1_1" formatStyle="Comma"/>
      <m:item xlName="_GBC_8c00f504c192491ca83cd17fdc45b279" concept="clcid-pte:ZongHeShouYiZongEDaoZhiZiBenGongJiBianDongJinE" label="综合收益总额导致资本公积变动金额" periodRef="上年同期数" mulRef="_GBC_375aa5b655854a6fa4ef44766a5a9d36" unitRef="_GBC_6053d48a4e214ab7b17d03b28b93cb76" addr="T1R9C5S1_1" formatStyle="Comma"/>
      <m:item xlName="_GBC_c1e89b5e83d2441481e9f62cf8bf36e1" concept="clcid-pte:ZongHeShouYiZongEDaoZhiKuCunGuBianDongJinE" label="综合收益总额导致库存股变动金额" periodRef="上年同期数" mulRef="_GBC_375aa5b655854a6fa4ef44766a5a9d36" unitRef="_GBC_6053d48a4e214ab7b17d03b28b93cb76" addr="T1R9C6S1_1" formatStyle="Comma"/>
      <m:item xlName="_GBC_7ea0b586e4ac4e329c0207a851d66145" concept="clcid-pte:ZongHeShouYiZongEDaoZhiQiTaZongHeShouYiBianDongJinE" label="综合收益总额导致其他综合收益变动金额" periodRef="上年同期数" mulRef="_GBC_375aa5b655854a6fa4ef44766a5a9d36" unitRef="_GBC_6053d48a4e214ab7b17d03b28b93cb76" addr="T1R9C7S1_1" formatStyle="Comma"/>
      <m:item xlName="_GBC_54b6277dff2841b08fec532756272e01" concept="clcid-pte:ZongHeShouYiZongEDaoZhiZhuanXiangChuBeiBianDongJinE" label="综合收益总额导致专项储备变动金额" periodRef="上年同期数" mulRef="_GBC_375aa5b655854a6fa4ef44766a5a9d36" unitRef="_GBC_6053d48a4e214ab7b17d03b28b93cb76" addr="T1R9C8S1_1" formatStyle="Comma"/>
      <m:item xlName="_GBC_8639b74462a3488ebe4a4e24880b6754" concept="clcid-pte:ZongHeShouYiZongEDaoZhiYingYuGongJiBianDongJinE" label="综合收益总额导致盈余公积变动金额" periodRef="上年同期数" mulRef="_GBC_375aa5b655854a6fa4ef44766a5a9d36" unitRef="_GBC_6053d48a4e214ab7b17d03b28b93cb76" addr="T1R9C9S1_1" formatStyle="Comma"/>
      <m:item xlName="_GBC_7b7c1258be4f4f368c6b59f3aeff63c5" concept="clcid-pte:ZongHeShouYiZongEDaoZhiWeiFenPeiLiRunBianDongJinE" label="综合收益总额导致未分配利润变动金额" periodRef="上年同期数" mulRef="_GBC_375aa5b655854a6fa4ef44766a5a9d36" unitRef="_GBC_6053d48a4e214ab7b17d03b28b93cb76" addr="T1R9C10S1_1" formatStyle="Comma"/>
      <m:item xlName="_GBC_0e3ddbd1be7a4b95b89ef691f7d00cf4" concept="clcid-pte:ZongHeShouYiZongEDaoZhiGuDongQuanYiHeJiBianDongJinE" label="综合收益总额导致股东权益合计变动金额" periodRef="上年同期数" mulRef="_GBC_375aa5b655854a6fa4ef44766a5a9d36" unitRef="_GBC_6053d48a4e214ab7b17d03b28b93cb76" addr="T1R9C11S1_1" formatStyle="Comma"/>
      <m:placeholder xlName="_PLD_0b53ce7a3d2044b2bb58f3499f89ecc9" addr="T1R10C0S1_1"/>
      <m:item xlName="_GBC_41d567e5f0604eebaf533b2028e70a7b" concept="clcid-pte:SuoYouZheTouRuHeJianShaoZiBenDaoZhiShiShouZiBenHuoGuBenJingEBianDongJinE" label="所有者投入和减少资本导致实收资本（或股本）净额变动金额" periodRef="上年同期数" mulRef="_GBC_375aa5b655854a6fa4ef44766a5a9d36" unitRef="_GBC_6053d48a4e214ab7b17d03b28b93cb76" addr="T1R10C1S1_1" formatStyle="Comma">
        <m:complexRule comparator="Eq" title="所有者投入和减少资本导致实收资本（或股本）净额变动金额@上年同期数" test=" $_GBC_d7430467dce643b8a5fb18bfb9db00b1 +  $_GBC_08763337cfb84f9692ff8cd1f532b001 +  $_GBC_5088408e8a4a447f9baf897808ba768e +  $_GBC_6eb48174a8d34ec2ae806b660f83d94e" id="C81ace5efd89d4a598863d925cbfb52f6"/>
      </m:item>
      <m:item xlName="_GBC_f5b1de65fc05410bb0593b738271a4d4" concept="clcid-pte:SuoYouZheTouRuHeJianShaoZiBenDaoZhiQiTaQuanYiGongJuZhongDeYouXianGuBianDongJinE" label="所有者投入和减少资本导致其他权益工具中的优先股变动金额" periodRef="上年同期数" mulRef="_GBC_375aa5b655854a6fa4ef44766a5a9d36" unitRef="_GBC_6053d48a4e214ab7b17d03b28b93cb76" addr="T1R10C2S1_1" formatStyle="Comma">
        <m:complexRule comparator="Eq" title="所有者投入和减少资本导致其他权益工具中的优先股变动金额@上年同期数" test=" $_GBC_316dac0916fb45a0b4d1d5d23dcf91c9 +  $_GBC_9e82125b4aba4ae8ad9a19a6caf09e16 +  $_GBC_079ad6f945e1430e8464dc501d34d411 +  $_GBC_4c8acb992ac04e8b815a27ec6acae2e7" id="C8621f90712234ad0bacb2cce3d3ab38f"/>
      </m:item>
      <m:item xlName="_GBC_4003022a52954cbbb815fa7e9aa5390e" concept="clcid-pte:SuoYouZheTouRuHeJianShaoZiBenDaoZhiQiTaQuanYiGongJuZhongDeYongXuZhaiBianDongJinE" label="所有者投入和减少资本导致其他权益工具中的永续债变动金额" periodRef="上年同期数" mulRef="_GBC_375aa5b655854a6fa4ef44766a5a9d36" unitRef="_GBC_6053d48a4e214ab7b17d03b28b93cb76" addr="T1R10C3S1_1" formatStyle="Comma">
        <m:complexRule comparator="Eq" title="所有者投入和减少资本导致其他权益工具中的永续债变动金额@上年同期数" test=" $_GBC_7753d1183e8847979c0a629bfd063555 +  $_GBC_6dc58bd3231441fdbed1fae37eb573df +  $_GBC_c25af45c5d5d461e8fc882541282cb73 +  $_GBC_57b598d9858f4f269d6ffeba75aa3c58" id="C6d96856971884606b11b1a3e4d48efab"/>
      </m:item>
      <m:item xlName="_GBC_80e8f3a48a0a4b8fb8b1871d0b6e7757" concept="clcid-pte:SuoYouZheTouRuHeJianShaoZiBenDaoZhiQiTaQuanYiGongJuZhongDeQiTaBianDongJinE" label="所有者投入和减少资本导致其他权益工具中的其他变动金额" periodRef="上年同期数" mulRef="_GBC_375aa5b655854a6fa4ef44766a5a9d36" unitRef="_GBC_6053d48a4e214ab7b17d03b28b93cb76" addr="T1R10C4S1_1" formatStyle="Comma">
        <m:complexRule comparator="Eq" title="所有者投入和减少资本导致其他权益工具中的其他变动金额@上年同期数" test=" $_GBC_985acc5aca0f4f91bfbe7ef58a5d85df +  $_GBC_b27badddb2484389afd752fb7f108979 +  $_GBC_4a9ed69e185b4e70a918f8a5e437277a +  $_GBC_2b8dbdf68df14c50ac6404a6d3b8b7c5" id="C4c01f74809ac471cab6eab1d86e568ed"/>
      </m:item>
      <m:item xlName="_GBC_a4674e89b53d4b8189aaf0807dcc3b28" concept="clcid-pte:SuoYouZheTouRuHeJianShaoZiBenDaoZhiZiBenGongJiBianDongJinE" label="所有者投入和减少资本导致资本公积变动金额" periodRef="上年同期数" mulRef="_GBC_375aa5b655854a6fa4ef44766a5a9d36" unitRef="_GBC_6053d48a4e214ab7b17d03b28b93cb76" addr="T1R10C5S1_1" formatStyle="Comma">
        <m:complexRule comparator="Eq" title="所有者投入和减少资本导致资本公积变动金额@上年同期数" test=" $_GBC_2a402a12db754279b16aee17f3d9f524 +  $_GBC_f19becf955c24816863244aeb3b9b189 +  $_GBC_a12ba4967df84db1976c312a508ae074 +  $_GBC_80d83ca4b1494055891753bb2e40cb49" id="C7bdff0e99ad4481d83955181c972b9dd"/>
      </m:item>
      <m:item xlName="_GBC_9b49554677cf4f3fa67b94e962205d18" concept="clcid-pte:SuoYouZheTouRuHeJianShaoZiBenDaoZhiKuCunGuBianDongJinE" label="所有者投入和减少资本导致库存股变动金额" periodRef="上年同期数" mulRef="_GBC_375aa5b655854a6fa4ef44766a5a9d36" unitRef="_GBC_6053d48a4e214ab7b17d03b28b93cb76" addr="T1R10C6S1_1" formatStyle="Comma">
        <m:complexRule comparator="Eq" title="所有者投入和减少资本导致库存股变动金额@上年同期数" test=" $_GBC_443452fcf68245a58eddc5b8d98ea19f +  $_GBC_9692b8b495704dc598207de4fde36b12 +  $_GBC_2886e78c87ba414aab1f5b9241c08e34 +  $_GBC_cdfd075f4c1b4e1697fece2f0f17a8c7" id="C3b0a6fc4b04241d2a18eb56a8d7d5d9e"/>
      </m:item>
      <m:item xlName="_GBC_337b1390975e4a80a7e6263a38f817e3" concept="clcid-pte:SuoYouZheTouRuHeJianShaoZiBenDaoZhiQiTaZongHeShouYiBianDongJinE" label="所有者投入和减少资本导致其他综合收益变动金额" periodRef="上年同期数" mulRef="_GBC_375aa5b655854a6fa4ef44766a5a9d36" unitRef="_GBC_6053d48a4e214ab7b17d03b28b93cb76" addr="T1R10C7S1_1" formatStyle="Comma">
        <m:complexRule comparator="Eq" title="所有者投入和减少资本导致其他综合收益变动金额@上年同期数" test=" $_GBC_38c0be2566c74133ab38b6be561ff97a +  $_GBC_6cabad98c99a4bb3acfb194aff21714a +  $_GBC_7188b948d01d445d958bf9dd643e3522 +  $_GBC_4e3fa8f94f704bf383fa8a6cc1b957f6" id="C6a7311f5a61c44289e210a5fb2ef81b6"/>
      </m:item>
      <m:item xlName="_GBC_6bb1ae663ac34197994f6df1ce23d632" concept="clcid-pte:SuoYouZheTouRuHeJianShaoZiBenDaoZhiZhuanXiangChuBeiBianDongJinE" label="所有者投入和减少资本导致专项储备变动金额" periodRef="上年同期数" mulRef="_GBC_375aa5b655854a6fa4ef44766a5a9d36" unitRef="_GBC_6053d48a4e214ab7b17d03b28b93cb76" addr="T1R10C8S1_1" formatStyle="Comma">
        <m:complexRule comparator="Eq" title="所有者投入和减少资本导致专项储备变动金额@上年同期数" test=" $_GBC_eb7845c6827c44f6b67148883cbac3cf +  $_GBC_4a75325684a0433eb32c2cee658083f1 +  $_GBC_5282f698fe5341ab941bca0aed6abe80 +  $_GBC_e89524ed0e8e44d59bcc9bb24fd70348" id="Ca036ebfe5415498f9c32da3a23aa10ce"/>
      </m:item>
      <m:item xlName="_GBC_83852ac53a3646218042c85d82ed2601" concept="clcid-pte:SuoYouZheTouRuHeJianShaoZiBenDaoZhiYingYuGongJiBianDongJinE" label="所有者投入和减少资本导致盈余公积变动金额" periodRef="上年同期数" mulRef="_GBC_375aa5b655854a6fa4ef44766a5a9d36" unitRef="_GBC_6053d48a4e214ab7b17d03b28b93cb76" addr="T1R10C9S1_1" formatStyle="Comma">
        <m:complexRule comparator="Eq" title="所有者投入和减少资本导致盈余公积变动金额@上年同期数" test=" $_GBC_6c33fceff84c4c4a80cc75af02212282 +  $_GBC_f286d1e4eeff48728b0b3cf3a031a6b0 +  $_GBC_0323ecb36ea644e282537b6b0cc87013 +  $_GBC_d4db81ae350a4cfbb9386bd99f920604" id="C8543fe1022d547ebaa35b586ca507b23"/>
      </m:item>
      <m:item xlName="_GBC_59e1584e662642189dafc2ef6f89f299" concept="clcid-pte:SuoYouZheTouRuHeJianShaoZiBenDaoZhiWeiFenPeiLiRunBianDongJinE" label="所有者投入和减少资本导致未分配利润变动金额" periodRef="上年同期数" mulRef="_GBC_375aa5b655854a6fa4ef44766a5a9d36" unitRef="_GBC_6053d48a4e214ab7b17d03b28b93cb76" addr="T1R10C10S1_1" formatStyle="Comma">
        <m:complexRule comparator="Eq" title="所有者投入和减少资本导致未分配利润变动金额@上年同期数" test=" $_GBC_24d933b941194907a23f7b8a3d6a3a31 +  $_GBC_edb973ecda5b4ef7bd6f58ac54e70fc8 +  $_GBC_8499c8255b9c4e08856ffc59756ab6f4 +  $_GBC_7d6d1a6e5bb449fd9b2fd38bec1b5ba1" id="C1bdd3789b4f34ee5a10e91bb3d14dd86"/>
      </m:item>
      <m:item xlName="_GBC_d038aa4244504e69839ff2e7c908eb78" concept="clcid-pte:SuoYouZheTouRuHeJianShaoZiBenDaoZhiGuDongQuanYiHeJiBianDongJinE" label="所有者投入和减少资本导致股东权益合计变动金额" periodRef="上年同期数" mulRef="_GBC_375aa5b655854a6fa4ef44766a5a9d36" unitRef="_GBC_6053d48a4e214ab7b17d03b28b93cb76" addr="T1R10C11S1_1" formatStyle="Comma">
        <m:complexRule comparator="Eq" title="所有者投入和减少资本导致股东权益合计变动金额@上年同期数" test=" $_GBC_28cbed1064df4a89ae4de664a574c515 +  $_GBC_fe955b7c89184575a76bb67df4131a28 +  $_GBC_c1f2541c6e4740dfa32751193551f27b +  $_GBC_a6482641c8a34518b0d71d52d7643750" id="Cb7fc81848f0d4ce8845e65411b7aff51"/>
      </m:item>
      <m:placeholder xlName="_PLD_73aa07b01b61441e918ea2ac1e1bccbd" addr="T1R11C0S1_1"/>
      <m:item xlName="_GBC_d7430467dce643b8a5fb18bfb9db00b1" concept="clcid-pte:GuDongTouRuDePuTongGuDaoZhiGuBenBianDongJinE" label="股东投入的普通股导致股本变动金额" periodRef="上年同期数" mulRef="_GBC_375aa5b655854a6fa4ef44766a5a9d36" unitRef="_GBC_6053d48a4e214ab7b17d03b28b93cb76" addr="T1R11C1S1_1" formatStyle="Comma"/>
      <m:item xlName="_GBC_316dac0916fb45a0b4d1d5d23dcf91c9" concept="clcid-pte:GuDongTouRuDePuTongGuDaoZhiYouXianGuBianDongJinE" label="股东投入的普通股导致优先股变动金额" periodRef="上年同期数" mulRef="_GBC_375aa5b655854a6fa4ef44766a5a9d36" unitRef="_GBC_6053d48a4e214ab7b17d03b28b93cb76" addr="T1R11C2S1_1" formatStyle="Comma"/>
      <m:item xlName="_GBC_7753d1183e8847979c0a629bfd063555" concept="clcid-pte:GuDongTouRuDePuTongGuDaoZhiYongXuZhaiBianDongJinE" label="股东投入的普通股导致永续债变动金额" periodRef="上年同期数" mulRef="_GBC_375aa5b655854a6fa4ef44766a5a9d36" unitRef="_GBC_6053d48a4e214ab7b17d03b28b93cb76" addr="T1R11C3S1_1" formatStyle="Comma"/>
      <m:item xlName="_GBC_985acc5aca0f4f91bfbe7ef58a5d85df" concept="clcid-pte:GuDongTouRuDePuTongGuDaoZhiQiTaQuanYiGongJuZhongDeQiTaBianDongJinE" label="股东投入的普通股导致其他权益工具中的其他变动金额" periodRef="上年同期数" mulRef="_GBC_375aa5b655854a6fa4ef44766a5a9d36" unitRef="_GBC_6053d48a4e214ab7b17d03b28b93cb76" addr="T1R11C4S1_1" formatStyle="Comma"/>
      <m:item xlName="_GBC_2a402a12db754279b16aee17f3d9f524" concept="clcid-pte:GuDongTouRuDePuTongGuDaoZhiZiBenGongJiBianDongJinE" label="股东投入的普通股导致资本公积变动金额" periodRef="上年同期数" mulRef="_GBC_375aa5b655854a6fa4ef44766a5a9d36" unitRef="_GBC_6053d48a4e214ab7b17d03b28b93cb76" addr="T1R11C5S1_1" formatStyle="Comma"/>
      <m:item xlName="_GBC_443452fcf68245a58eddc5b8d98ea19f" concept="clcid-pte:GuDongTouRuDePuTongGuDaoZhiKuCunGuBianDongJinE" label="股东投入的普通股导致库存股变动金额" periodRef="上年同期数" mulRef="_GBC_375aa5b655854a6fa4ef44766a5a9d36" unitRef="_GBC_6053d48a4e214ab7b17d03b28b93cb76" addr="T1R11C6S1_1" formatStyle="Comma"/>
      <m:item xlName="_GBC_38c0be2566c74133ab38b6be561ff97a" concept="clcid-pte:GuDongTouRuDePuTongGuDaoZhiQiTaZongHeShouYiBianDongJinE" label="股东投入的普通股导致其他综合收益变动金额" periodRef="上年同期数" mulRef="_GBC_375aa5b655854a6fa4ef44766a5a9d36" unitRef="_GBC_6053d48a4e214ab7b17d03b28b93cb76" addr="T1R11C7S1_1" formatStyle="Comma"/>
      <m:item xlName="_GBC_eb7845c6827c44f6b67148883cbac3cf" concept="clcid-pte:GuDongTouRuDePuTongGuDaoZhiZhuanXiangChuBeiBianDongJinE" label="股东投入的普通股导致专项储备变动金额" periodRef="上年同期数" mulRef="_GBC_375aa5b655854a6fa4ef44766a5a9d36" unitRef="_GBC_6053d48a4e214ab7b17d03b28b93cb76" addr="T1R11C8S1_1" formatStyle="Comma"/>
      <m:item xlName="_GBC_6c33fceff84c4c4a80cc75af02212282" concept="clcid-pte:GuDongTouRuDePuTongGuDaoZhiYingYuGongJiBianDongJinE" label="股东投入的普通股导致盈余公积变动金额" periodRef="上年同期数" mulRef="_GBC_375aa5b655854a6fa4ef44766a5a9d36" unitRef="_GBC_6053d48a4e214ab7b17d03b28b93cb76" addr="T1R11C9S1_1" formatStyle="Comma"/>
      <m:item xlName="_GBC_24d933b941194907a23f7b8a3d6a3a31" concept="clcid-pte:GuDongTouRuDePuTongGuDaoZhiWeiFenPeiLiRunBianDongJinE" label="股东投入的普通股导致未分配利润变动金额" periodRef="上年同期数" mulRef="_GBC_375aa5b655854a6fa4ef44766a5a9d36" unitRef="_GBC_6053d48a4e214ab7b17d03b28b93cb76" addr="T1R11C10S1_1" formatStyle="Comma"/>
      <m:item xlName="_GBC_28cbed1064df4a89ae4de664a574c515" concept="clcid-pte:GuDongTouRuDePuTongGuDaoZhiGuDongQuanYiHeJiBianDongJinE" label="股东投入的普通股导致股东权益合计变动金额" periodRef="上年同期数" mulRef="_GBC_375aa5b655854a6fa4ef44766a5a9d36" unitRef="_GBC_6053d48a4e214ab7b17d03b28b93cb76" addr="T1R11C11S1_1" formatStyle="Comma"/>
      <m:placeholder xlName="_PLD_4608a67717054986954d0fb15dc8ec88" addr="T1R12C0S1_1"/>
      <m:item xlName="_GBC_08763337cfb84f9692ff8cd1f532b001" concept="clcid-pte:QiTaQuanYiGongJuChiYouZheTouRuZiBenDaoZhiGuBenBianDongJinE" label="其他权益工具持有者投入资本导致股本变动金额" periodRef="上年同期数" mulRef="_GBC_375aa5b655854a6fa4ef44766a5a9d36" unitRef="_GBC_6053d48a4e214ab7b17d03b28b93cb76" addr="T1R12C1S1_1" formatStyle="Comma"/>
      <m:item xlName="_GBC_9e82125b4aba4ae8ad9a19a6caf09e16" concept="clcid-pte:QiTaQuanYiGongJuChiYouZheTouRuZiBenDaoZhiYouXianGuBianDongJinE" label="其他权益工具持有者投入资本导致优先股变动金额" periodRef="上年同期数" mulRef="_GBC_375aa5b655854a6fa4ef44766a5a9d36" unitRef="_GBC_6053d48a4e214ab7b17d03b28b93cb76" addr="T1R12C2S1_1" formatStyle="Comma"/>
      <m:item xlName="_GBC_6dc58bd3231441fdbed1fae37eb573df" concept="clcid-pte:QiTaQuanYiGongJuChiYouZheTouRuZiBenDaoZhiYongXuZhaiBianDongJinE" label="其他权益工具持有者投入资本导致永续债变动金额" periodRef="上年同期数" mulRef="_GBC_375aa5b655854a6fa4ef44766a5a9d36" unitRef="_GBC_6053d48a4e214ab7b17d03b28b93cb76" addr="T1R12C3S1_1" formatStyle="Comma"/>
      <m:item xlName="_GBC_b27badddb2484389afd752fb7f108979" concept="clcid-pte:QiTaQuanYiGongJuChiYouZheTouRuZiBenDaoZhiQiTaQuanYiGongJuZhongDeQiTaBianDongJinE" label="其他权益工具持有者投入资本导致其他权益工具中的其他变动金额" periodRef="上年同期数" mulRef="_GBC_375aa5b655854a6fa4ef44766a5a9d36" unitRef="_GBC_6053d48a4e214ab7b17d03b28b93cb76" addr="T1R12C4S1_1" formatStyle="Comma"/>
      <m:item xlName="_GBC_f19becf955c24816863244aeb3b9b189" concept="clcid-pte:QiTaQuanYiGongJuChiYouZheTouRuZiBenDaoZhiZiBenGongJiBianDongJinE" label="其他权益工具持有者投入资本导致资本公积变动金额" periodRef="上年同期数" mulRef="_GBC_375aa5b655854a6fa4ef44766a5a9d36" unitRef="_GBC_6053d48a4e214ab7b17d03b28b93cb76" addr="T1R12C5S1_1" formatStyle="Comma"/>
      <m:item xlName="_GBC_9692b8b495704dc598207de4fde36b12" concept="clcid-pte:QiTaQuanYiGongJuChiYouZheTouRuZiBenDaoZhiKuCunGuBianDongJinE" label="其他权益工具持有者投入资本导致库存股变动金额" periodRef="上年同期数" mulRef="_GBC_375aa5b655854a6fa4ef44766a5a9d36" unitRef="_GBC_6053d48a4e214ab7b17d03b28b93cb76" addr="T1R12C6S1_1" formatStyle="Comma"/>
      <m:item xlName="_GBC_6cabad98c99a4bb3acfb194aff21714a" concept="clcid-pte:QiTaQuanYiGongJuChiYouZheTouRuZiBenDaoZhiQiTaZongHeShouYiBianDongJinE" label="其他权益工具持有者投入资本导致其他综合收益变动金额" periodRef="上年同期数" mulRef="_GBC_375aa5b655854a6fa4ef44766a5a9d36" unitRef="_GBC_6053d48a4e214ab7b17d03b28b93cb76" addr="T1R12C7S1_1" formatStyle="Comma"/>
      <m:item xlName="_GBC_4a75325684a0433eb32c2cee658083f1" concept="clcid-pte:QiTaQuanYiGongJuChiYouZheTouRuZiBenDaoZhiZhuanXiangChuBeiBianDongJinE" label="其他权益工具持有者投入资本导致专项储备变动金额" periodRef="上年同期数" mulRef="_GBC_375aa5b655854a6fa4ef44766a5a9d36" unitRef="_GBC_6053d48a4e214ab7b17d03b28b93cb76" addr="T1R12C8S1_1" formatStyle="Comma"/>
      <m:item xlName="_GBC_f286d1e4eeff48728b0b3cf3a031a6b0" concept="clcid-pte:QiTaQuanYiGongJuChiYouZheTouRuZiBenDaoZhiYingYuGongJiBianDongJinE" label="其他权益工具持有者投入资本导致盈余公积变动金额" periodRef="上年同期数" mulRef="_GBC_375aa5b655854a6fa4ef44766a5a9d36" unitRef="_GBC_6053d48a4e214ab7b17d03b28b93cb76" addr="T1R12C9S1_1" formatStyle="Comma"/>
      <m:item xlName="_GBC_edb973ecda5b4ef7bd6f58ac54e70fc8" concept="clcid-pte:QiTaQuanYiGongJuChiYouZheTouRuZiBenDaoZhiWeiFenPeiLiRunBianDongJinE" label="其他权益工具持有者投入资本导致未分配利润变动金额" periodRef="上年同期数" mulRef="_GBC_375aa5b655854a6fa4ef44766a5a9d36" unitRef="_GBC_6053d48a4e214ab7b17d03b28b93cb76" addr="T1R12C10S1_1" formatStyle="Comma"/>
      <m:item xlName="_GBC_fe955b7c89184575a76bb67df4131a28" concept="clcid-pte:QiTaQuanYiGongJuChiYouZheTouRuZiBenDaoZhiGuDongQuanYiHeJiBianDongJinE" label="其他权益工具持有者投入资本导致股东权益合计变动金额" periodRef="上年同期数" mulRef="_GBC_375aa5b655854a6fa4ef44766a5a9d36" unitRef="_GBC_6053d48a4e214ab7b17d03b28b93cb76" addr="T1R12C11S1_1" formatStyle="Comma"/>
      <m:placeholder xlName="_PLD_a2a740dcabb74d96903a32fad6615d12" addr="T1R13C0S1_1"/>
      <m:item xlName="_GBC_5088408e8a4a447f9baf897808ba768e" concept="clcid-pte:GuFenZhiFuJiRuSuoYouZheQuanYiDeJinEDaoZhiShiShouZiBenHuoGuBenJingEBianDongJinE" label="股份支付计入所有者权益的金额导致实收资本（或股本）净额变动金额" periodRef="上年同期数" mulRef="_GBC_375aa5b655854a6fa4ef44766a5a9d36" unitRef="_GBC_6053d48a4e214ab7b17d03b28b93cb76" addr="T1R13C1S1_1" formatStyle="Comma"/>
      <m:item xlName="_GBC_079ad6f945e1430e8464dc501d34d411" concept="clcid-pte:GuFenZhiFuJiRuSuoYouZheQuanYiDeJinEDaoZhiQiTaQuanYiGongJuZhongDeYouXianGuBianDongJinE" label="股份支付计入所有者权益的金额导致其他权益工具中的优先股变动金额" periodRef="上年同期数" mulRef="_GBC_375aa5b655854a6fa4ef44766a5a9d36" unitRef="_GBC_6053d48a4e214ab7b17d03b28b93cb76" addr="T1R13C2S1_1" formatStyle="Comma"/>
      <m:item xlName="_GBC_c25af45c5d5d461e8fc882541282cb73" concept="clcid-pte:GuFenZhiFuJiRuSuoYouZheQuanYiDeJinEDaoZhiQiTaQuanYiGongJuZhongDeYongXuZhaiBianDongJinE" label="股份支付计入所有者权益的金额导致其他权益工具中的永续债变动金额" periodRef="上年同期数" mulRef="_GBC_375aa5b655854a6fa4ef44766a5a9d36" unitRef="_GBC_6053d48a4e214ab7b17d03b28b93cb76" addr="T1R13C3S1_1" formatStyle="Comma"/>
      <m:item xlName="_GBC_4a9ed69e185b4e70a918f8a5e437277a" concept="clcid-pte:GuFenZhiFuJiRuSuoYouZheQuanYiDeJinEDaoZhiQiTaQuanYiGongJuZhongDeQiTaBianDongJinE" label="股份支付计入所有者权益的金额导致其他权益工具中的其他变动金额" periodRef="上年同期数" mulRef="_GBC_375aa5b655854a6fa4ef44766a5a9d36" unitRef="_GBC_6053d48a4e214ab7b17d03b28b93cb76" addr="T1R13C4S1_1" formatStyle="Comma"/>
      <m:item xlName="_GBC_a12ba4967df84db1976c312a508ae074" concept="clcid-pte:GuFenZhiFuJiRuSuoYouZheQuanYiDeJinEDaoZhiZiBenGongJiBianDongJinE" label="股份支付计入所有者权益的金额导致资本公积变动金额" periodRef="上年同期数" mulRef="_GBC_375aa5b655854a6fa4ef44766a5a9d36" unitRef="_GBC_6053d48a4e214ab7b17d03b28b93cb76" addr="T1R13C5S1_1" formatStyle="Comma"/>
      <m:item xlName="_GBC_2886e78c87ba414aab1f5b9241c08e34" concept="clcid-pte:GuFenZhiFuJiRuSuoYouZheQuanYiDeJinEDaoZhiKuCunGuBianDongJinE" label="股份支付计入所有者权益的金额导致库存股变动金额" periodRef="上年同期数" mulRef="_GBC_375aa5b655854a6fa4ef44766a5a9d36" unitRef="_GBC_6053d48a4e214ab7b17d03b28b93cb76" addr="T1R13C6S1_1" formatStyle="Comma"/>
      <m:item xlName="_GBC_7188b948d01d445d958bf9dd643e3522" concept="clcid-pte:GuFenZhiFuJiRuSuoYouZheQuanYiDeJinEDaoZhiQiTaZongHeShouYiBianDongJinE" label="股份支付计入所有者权益的金额导致其他综合收益变动金额" periodRef="上年同期数" mulRef="_GBC_375aa5b655854a6fa4ef44766a5a9d36" unitRef="_GBC_6053d48a4e214ab7b17d03b28b93cb76" addr="T1R13C7S1_1" formatStyle="Comma"/>
      <m:item xlName="_GBC_5282f698fe5341ab941bca0aed6abe80" concept="clcid-pte:GuFenZhiFuJiRuSuoYouZheQuanYiDeJinEDaoZhiZhuanXiangChuBeiBianDongJinE" label="股份支付计入所有者权益的金额导致专项储备变动金额" periodRef="上年同期数" mulRef="_GBC_375aa5b655854a6fa4ef44766a5a9d36" unitRef="_GBC_6053d48a4e214ab7b17d03b28b93cb76" addr="T1R13C8S1_1" formatStyle="Comma"/>
      <m:item xlName="_GBC_0323ecb36ea644e282537b6b0cc87013" concept="clcid-pte:GuFenZhiFuJiRuSuoYouZheQuanYiDeJinEDaoZhiYingYuGongJiBianDongJinE" label="股份支付计入所有者权益的金额导致盈余公积变动金额" periodRef="上年同期数" mulRef="_GBC_375aa5b655854a6fa4ef44766a5a9d36" unitRef="_GBC_6053d48a4e214ab7b17d03b28b93cb76" addr="T1R13C9S1_1" formatStyle="Comma"/>
      <m:item xlName="_GBC_8499c8255b9c4e08856ffc59756ab6f4" concept="clcid-pte:GuFenZhiFuJiRuSuoYouZheQuanYiDeJinEDaoZhiWeiFenPeiLiRunBianDongJinE" label="股份支付计入所有者权益的金额导致未分配利润变动金额" periodRef="上年同期数" mulRef="_GBC_375aa5b655854a6fa4ef44766a5a9d36" unitRef="_GBC_6053d48a4e214ab7b17d03b28b93cb76" addr="T1R13C10S1_1" formatStyle="Comma"/>
      <m:item xlName="_GBC_c1f2541c6e4740dfa32751193551f27b" concept="clcid-pte:GuFenZhiFuJiRuSuoYouZheQuanYiDeJinEDaoZhiGuDongQuanYiHeJiBianDongJinE" label="股份支付计入所有者权益的金额导致股东权益合计变动金额" periodRef="上年同期数" mulRef="_GBC_375aa5b655854a6fa4ef44766a5a9d36" unitRef="_GBC_6053d48a4e214ab7b17d03b28b93cb76" addr="T1R13C11S1_1" formatStyle="Comma"/>
      <m:placeholder xlName="_PLD_39f55cfa11b64ba8861d78b4bcd816e6" addr="T1R14C0S1_1"/>
      <m:item xlName="_GBC_6eb48174a8d34ec2ae806b660f83d94e" concept="clcid-pte:QiTaSuoYouZheTouRuHeJianShaoZiBenDaoZhiShiShouZiBenHuoGuBenJingEBianDongJinE" label="其他所有者投入和减少资本导致实收资本（或股本）净额变动金额" periodRef="上年同期数" mulRef="_GBC_375aa5b655854a6fa4ef44766a5a9d36" unitRef="_GBC_6053d48a4e214ab7b17d03b28b93cb76" addr="T1R14C1S1_1" formatStyle="Comma"/>
      <m:item xlName="_GBC_4c8acb992ac04e8b815a27ec6acae2e7" concept="clcid-pte:QiTaSuoYouZheTouRuHeJianShaoZiBenDaoZhiQiTaQuanYiGongJuZhongDeYouXianGuBianDongJinE" label="其他所有者投入和减少资本导致其他权益工具中的优先股变动金额" periodRef="上年同期数" mulRef="_GBC_375aa5b655854a6fa4ef44766a5a9d36" unitRef="_GBC_6053d48a4e214ab7b17d03b28b93cb76" addr="T1R14C2S1_1" formatStyle="Comma"/>
      <m:item xlName="_GBC_57b598d9858f4f269d6ffeba75aa3c58" concept="clcid-pte:QiTaSuoYouZheTouRuHeJianShaoZiBenDaoZhiQiTaQuanYiGongJuZhongDeYongXuZhaiBianDongJinE" label="其他所有者投入和减少资本导致其他权益工具中的永续债变动金额" periodRef="上年同期数" mulRef="_GBC_375aa5b655854a6fa4ef44766a5a9d36" unitRef="_GBC_6053d48a4e214ab7b17d03b28b93cb76" addr="T1R14C3S1_1" formatStyle="Comma"/>
      <m:item xlName="_GBC_2b8dbdf68df14c50ac6404a6d3b8b7c5" concept="clcid-pte:QiTaSuoYouZheTouRuHeJianShaoZiBenDaoZhiQiTaQuanYiGongJuZhongDeQiTaBianDongJinE" label="其他所有者投入和减少资本导致其他权益工具中的其他变动金额" periodRef="上年同期数" mulRef="_GBC_375aa5b655854a6fa4ef44766a5a9d36" unitRef="_GBC_6053d48a4e214ab7b17d03b28b93cb76" addr="T1R14C4S1_1" formatStyle="Comma"/>
      <m:item xlName="_GBC_80d83ca4b1494055891753bb2e40cb49" concept="clcid-pte:QiTaSuoYouZheTouRuHeJianShaoZiBenDaoZhiZiBenGongJiBianDongJinE" label="其他所有者投入和减少资本导致资本公积变动金额" periodRef="上年同期数" mulRef="_GBC_375aa5b655854a6fa4ef44766a5a9d36" unitRef="_GBC_6053d48a4e214ab7b17d03b28b93cb76" addr="T1R14C5S1_1" formatStyle="Comma"/>
      <m:item xlName="_GBC_cdfd075f4c1b4e1697fece2f0f17a8c7" concept="clcid-pte:QiTaSuoYouZheTouRuHeJianShaoZiBenDaoZhiKuCunGuBianDongJinE" label="其他所有者投入和减少资本导致库存股变动金额" periodRef="上年同期数" mulRef="_GBC_375aa5b655854a6fa4ef44766a5a9d36" unitRef="_GBC_6053d48a4e214ab7b17d03b28b93cb76" addr="T1R14C6S1_1" formatStyle="Comma"/>
      <m:item xlName="_GBC_4e3fa8f94f704bf383fa8a6cc1b957f6" concept="clcid-pte:QiTaSuoYouZheTouRuHeJianShaoZiBenDaoZhiQiTaZongHeShouYiBianDongJinE" label="其他所有者投入和减少资本导致其他综合收益变动金额" periodRef="上年同期数" mulRef="_GBC_375aa5b655854a6fa4ef44766a5a9d36" unitRef="_GBC_6053d48a4e214ab7b17d03b28b93cb76" addr="T1R14C7S1_1" formatStyle="Comma"/>
      <m:item xlName="_GBC_e89524ed0e8e44d59bcc9bb24fd70348" concept="clcid-pte:QiTaSuoYouZheTouRuHeJianShaoZiBenDaoZhiZhuanXiangChuBeiBianDongJinE" label="其他所有者投入和减少资本导致专项储备变动金额" periodRef="上年同期数" mulRef="_GBC_375aa5b655854a6fa4ef44766a5a9d36" unitRef="_GBC_6053d48a4e214ab7b17d03b28b93cb76" addr="T1R14C8S1_1" formatStyle="Comma"/>
      <m:item xlName="_GBC_d4db81ae350a4cfbb9386bd99f920604" concept="clcid-pte:QiTaSuoYouZheTouRuHeJianShaoZiBenDaoZhiYingYuGongJiBianDongJinE" label="其他所有者投入和减少资本导致盈余公积变动金额" periodRef="上年同期数" mulRef="_GBC_375aa5b655854a6fa4ef44766a5a9d36" unitRef="_GBC_6053d48a4e214ab7b17d03b28b93cb76" addr="T1R14C9S1_1" formatStyle="Comma"/>
      <m:item xlName="_GBC_7d6d1a6e5bb449fd9b2fd38bec1b5ba1" concept="clcid-pte:QiTaSuoYouZheTouRuHeJianShaoZiBenDaoZhiWeiFenPeiLiRunBianDongJinE" label="其他所有者投入和减少资本导致未分配利润变动金额" periodRef="上年同期数" mulRef="_GBC_375aa5b655854a6fa4ef44766a5a9d36" unitRef="_GBC_6053d48a4e214ab7b17d03b28b93cb76" addr="T1R14C10S1_1" formatStyle="Comma"/>
      <m:item xlName="_GBC_a6482641c8a34518b0d71d52d7643750" concept="clcid-pte:QiTaSuoYouZheTouRuHeJianShaoZiBenDaoZhiGuDongQuanYiHeJiBianDongJinE" label="其他所有者投入和减少资本导致股东权益合计变动金额" periodRef="上年同期数" mulRef="_GBC_375aa5b655854a6fa4ef44766a5a9d36" unitRef="_GBC_6053d48a4e214ab7b17d03b28b93cb76" addr="T1R14C11S1_1" formatStyle="Comma"/>
      <m:placeholder xlName="_PLD_c9441762df184843aaf2512ba995688e" addr="T1R15C0S1_1"/>
      <m:item xlName="_GBC_a2f75c6494704f6fa9b38aeb100187be" concept="clcid-pte:LiRunFenPeiDaoZhiShiShouZiBenHuoGuBenJingEBianDongJinE" label="利润分配导致实收资本（或股本）净额变动金额" periodRef="上年同期数" mulRef="_GBC_375aa5b655854a6fa4ef44766a5a9d36" unitRef="_GBC_6053d48a4e214ab7b17d03b28b93cb76" addr="T1R15C1S1_1" formatStyle="Comma">
        <m:complexRule comparator="Eq" title="利润分配导致实收资本（或股本）净额变动金额@上年同期数" test=" $_GBC_c1730a1528554467912ca775200505aa +  $_GBC_731631deea2348b88970452927286401 +  $_GBC_528ec424cfee455985f246a4321c6aa9" id="Cef4b2d742ee546419fe5ab5950251e1b"/>
      </m:item>
      <m:item xlName="_GBC_83f2812de66b48409b06e875a958a1e2" concept="clcid-pte:LiRunFenPeiDaoZhiQiTaQuanYiGongJuZhongDeYouXianGuBianDongJinE" label="利润分配导致其他权益工具中的优先股变动金额" periodRef="上年同期数" mulRef="_GBC_375aa5b655854a6fa4ef44766a5a9d36" unitRef="_GBC_6053d48a4e214ab7b17d03b28b93cb76" addr="T1R15C2S1_1" formatStyle="Comma">
        <m:complexRule comparator="Eq" title="利润分配导致其他权益工具中的优先股变动金额@上年同期数" test=" $_GBC_43b3919f6d854ae4a493ba10cc8a761f +  $_GBC_dc0f26f6d0f442d789305f6d1be21ad8 +  $_GBC_f71151a73e27400bac0a21dace9af92d" id="C770bb915e8744ed4a3556f6a44acd490"/>
      </m:item>
      <m:item xlName="_GBC_1146331d3d4344b1a4e2e9dcafe0b09d" concept="clcid-pte:LiRunFenPeiDaoZhiQiTaQuanYiGongJuZhongDeYongXuZhaiBianDongJinE" label="利润分配导致其他权益工具中的永续债变动金额" periodRef="上年同期数" mulRef="_GBC_375aa5b655854a6fa4ef44766a5a9d36" unitRef="_GBC_6053d48a4e214ab7b17d03b28b93cb76" addr="T1R15C3S1_1" formatStyle="Comma">
        <m:complexRule comparator="Eq" title="利润分配导致其他权益工具中的永续债变动金额@上年同期数" test=" $_GBC_619d6a356dc74b2fb97b47c09f2e8aa1 +  $_GBC_c7716f9ceb9542adad34f2e1f4fac18d +  $_GBC_d3d6ae4aabc944b49fae3838de366a08" id="C4ae9cf40ed864857bc3068342f4373c6"/>
      </m:item>
      <m:item xlName="_GBC_2b9709a4d60b4d5ba80d5f46e540bf61" concept="clcid-pte:LiRunFenPeiDaoZhiQiTaQuanYiGongJuZhongDeQiTaBianDongJinE" label="利润分配导致其他权益工具中的其他变动金额" periodRef="上年同期数" mulRef="_GBC_375aa5b655854a6fa4ef44766a5a9d36" unitRef="_GBC_6053d48a4e214ab7b17d03b28b93cb76" addr="T1R15C4S1_1" formatStyle="Comma">
        <m:complexRule comparator="Eq" title="利润分配导致其他权益工具中的其他变动金额@上年同期数" test=" $_GBC_a991ad1b51d74c8faf3d2974d6ded284 +  $_GBC_9e0a91ad5858451a8a140b6cbd6b569d +  $_GBC_40725482328a4df0ad7dcb9c84b0c613" id="C8e91eba481cd4fd09922edbc2304b659"/>
      </m:item>
      <m:item xlName="_GBC_2c5f20087899460882b1649adf7dce88" concept="clcid-pte:LiRunFenPeiDaoZhiZiBenGongJiBianDongJinE" label="利润分配导致资本公积变动金额" periodRef="上年同期数" mulRef="_GBC_375aa5b655854a6fa4ef44766a5a9d36" unitRef="_GBC_6053d48a4e214ab7b17d03b28b93cb76" addr="T1R15C5S1_1" formatStyle="Comma">
        <m:complexRule comparator="Eq" title="利润分配导致资本公积变动金额@上年同期数" test=" $_GBC_ddc4aa6bdd1044cfbed5f5f1ac451b4f +  $_GBC_b6517e6056674d7d953ad295771de7b6 +  $_GBC_35c843d73724444684fcbc538505cca3" id="C7333b4cc14ae44f2811450918169c7c4"/>
      </m:item>
      <m:item xlName="_GBC_09eb7202caf841c98cd53f3fa65afe84" concept="clcid-pte:LiRunFenPeiDaoZhiKuCunGuBianDongJinE" label="利润分配导致库存股变动金额" periodRef="上年同期数" mulRef="_GBC_375aa5b655854a6fa4ef44766a5a9d36" unitRef="_GBC_6053d48a4e214ab7b17d03b28b93cb76" addr="T1R15C6S1_1" formatStyle="Comma">
        <m:complexRule comparator="Eq" title="利润分配导致库存股变动金额@上年同期数" test=" $_GBC_fa02c334770d46f79ca962d7c0a44856 +  $_GBC_bbf417c505e7424b96ccea89b6d748af +  $_GBC_101a78d3e01f43c5bb806208288b63e1" id="Cfab54f7a2e60488295b4236389133953"/>
      </m:item>
      <m:item xlName="_GBC_e5d740dcaeb5493d8a251fbcff6338e6" concept="clcid-pte:LiRunFenPeiDaoZhiQiTaZongHeShouYiBianDongJinE" label="利润分配导致其他综合收益变动金额" periodRef="上年同期数" mulRef="_GBC_375aa5b655854a6fa4ef44766a5a9d36" unitRef="_GBC_6053d48a4e214ab7b17d03b28b93cb76" addr="T1R15C7S1_1" formatStyle="Comma">
        <m:complexRule comparator="Eq" title="利润分配导致其他综合收益变动金额@上年同期数" test=" $_GBC_6a275f307adb40aa818ccc8a988f5946 +  $_GBC_9738995c21f1406c9ea24e7a8dcbef86 +  $_GBC_974968c2e4a648fcbed653591eeab7a2" id="C4bdaecbf80e64d9f87b1b16e9830bd41"/>
      </m:item>
      <m:item xlName="_GBC_eb6fa047c7514172a30b87200d81f96f" concept="clcid-pte:LiRunFenPeiDaoZhiZhuanXiangChuBeiBianDongJinE" label="利润分配导致专项储备变动金额" periodRef="上年同期数" mulRef="_GBC_375aa5b655854a6fa4ef44766a5a9d36" unitRef="_GBC_6053d48a4e214ab7b17d03b28b93cb76" addr="T1R15C8S1_1" formatStyle="Comma">
        <m:complexRule comparator="Eq" title="利润分配导致专项储备变动金额@上年同期数" test=" $_GBC_32c2bb59505541e4a312ef41114b39ea +  $_GBC_4fae31a1fb53442f92afb561fee4cf6d +  $_GBC_8abd4482f8744ad5a5d8b7735b084700" id="C66731709ca634d03a6f8abfb6b25fd89"/>
      </m:item>
      <m:item xlName="_GBC_1c07886a9bf341cf9d53adf2da2c62c6" concept="clcid-pte:LiRunFenPeiDaoZhiYingYuGongJiBianDongJinE" label="利润分配导致盈余公积变动金额" periodRef="上年同期数" mulRef="_GBC_375aa5b655854a6fa4ef44766a5a9d36" unitRef="_GBC_6053d48a4e214ab7b17d03b28b93cb76" addr="T1R15C9S1_1" formatStyle="Comma">
        <m:complexRule comparator="Eq" title="利润分配导致盈余公积变动金额@上年同期数" test=" $_GBC_91eca9126a774e22b64b51fc83cdea53 +  $_GBC_be461e90161242239cf73e25904ddf3f +  $_GBC_d3db7c1e320843a0b01009c7a74981e7" id="Ca4c85c1650024f84905191fdf3a6e596"/>
      </m:item>
      <m:item xlName="_GBC_b69ded4e747540be8c40cae8dfc623be" concept="clcid-pte:LiRunFenPeiDaoZhiWeiFenPeiLiRunBianDongJinE" label="利润分配导致未分配利润变动金额" periodRef="上年同期数" mulRef="_GBC_375aa5b655854a6fa4ef44766a5a9d36" unitRef="_GBC_6053d48a4e214ab7b17d03b28b93cb76" addr="T1R15C10S1_1" formatStyle="Comma">
        <m:complexRule comparator="Eq" title="利润分配导致未分配利润变动金额@上年同期数" test=" $_GBC_26af10bf54eb40d5a3e9e45a723ac25d +  $_GBC_91728d0499944b86bef79e5e5544df43 +  $_GBC_61b71e28b8b54e26983a1ae655230df7" id="C4595275ab83b4c078ba4c6bd7a9ff2eb"/>
      </m:item>
      <m:item xlName="_GBC_02a11e8faf82407a8e1048fc636c9364" concept="clcid-pte:LiRunFenPeiDaoZhiGuDongQuanYiHeJiBianDongJinE" label="利润分配导致股东权益合计变动金额" periodRef="上年同期数" mulRef="_GBC_375aa5b655854a6fa4ef44766a5a9d36" unitRef="_GBC_6053d48a4e214ab7b17d03b28b93cb76" addr="T1R15C11S1_1" formatStyle="Comma">
        <m:complexRule comparator="Eq" title="利润分配导致股东权益合计变动金额@上年同期数" test=" $_GBC_3d687d4b34634d40a8373b9c6b2b4d0a +  $_GBC_8b4297ad26c3493f866aa33eaef86fd7 +  $_GBC_61240fad331949a2b4de39f6d7a69fbc" id="C5fe85d4642d24749a41de8a97a944c46"/>
      </m:item>
      <m:placeholder xlName="_PLD_d87dd075163640c3ae567d4bc3179e04" addr="T1R16C0S1_1"/>
      <m:item xlName="_GBC_c1730a1528554467912ca775200505aa" concept="clcid-pte:TiQuYingYuGongJiDaoZhiShiShouZiBenHuoGuBenJingEBianDongJinE" label="提取盈余公积导致实收资本（或股本）净额变动金额" periodRef="上年同期数" mulRef="_GBC_375aa5b655854a6fa4ef44766a5a9d36" unitRef="_GBC_6053d48a4e214ab7b17d03b28b93cb76" addr="T1R16C1S1_1" formatStyle="Comma"/>
      <m:item xlName="_GBC_43b3919f6d854ae4a493ba10cc8a761f" concept="clcid-pte:TiQuYingYuGongJiDaoZhiQiTaQuanYiGongJuZhongDeYouXianGuBianDongJinE" label="提取盈余公积导致其他权益工具中的优先股变动金额" periodRef="上年同期数" mulRef="_GBC_375aa5b655854a6fa4ef44766a5a9d36" unitRef="_GBC_6053d48a4e214ab7b17d03b28b93cb76" addr="T1R16C2S1_1" formatStyle="Comma"/>
      <m:item xlName="_GBC_619d6a356dc74b2fb97b47c09f2e8aa1" concept="clcid-pte:TiQuYingYuGongJiDaoZhiQiTaQuanYiGongJuZhongDeYongXuZhaiBianDongJinE" label="提取盈余公积导致其他权益工具中的永续债变动金额" periodRef="上年同期数" mulRef="_GBC_375aa5b655854a6fa4ef44766a5a9d36" unitRef="_GBC_6053d48a4e214ab7b17d03b28b93cb76" addr="T1R16C3S1_1" formatStyle="Comma"/>
      <m:item xlName="_GBC_a991ad1b51d74c8faf3d2974d6ded284" concept="clcid-pte:TiQuYingYuGongJiDaoZhiQiTaQuanYiGongJuZhongDeQiTaBianDongJinE" label="提取盈余公积导致其他权益工具中的其他变动金额" periodRef="上年同期数" mulRef="_GBC_375aa5b655854a6fa4ef44766a5a9d36" unitRef="_GBC_6053d48a4e214ab7b17d03b28b93cb76" addr="T1R16C4S1_1" formatStyle="Comma"/>
      <m:item xlName="_GBC_ddc4aa6bdd1044cfbed5f5f1ac451b4f" concept="clcid-pte:TiQuYingYuGongJiDaoZhiZiBenGongJiBianDongJinE" label="提取盈余公积导致资本公积变动金额" periodRef="上年同期数" mulRef="_GBC_375aa5b655854a6fa4ef44766a5a9d36" unitRef="_GBC_6053d48a4e214ab7b17d03b28b93cb76" addr="T1R16C5S1_1" formatStyle="Comma"/>
      <m:item xlName="_GBC_fa02c334770d46f79ca962d7c0a44856" concept="clcid-pte:TiQuYingYuGongJiDaoZhiKuCunGuBianDongJinE" label="提取盈余公积导致库存股变动金额" periodRef="上年同期数" mulRef="_GBC_375aa5b655854a6fa4ef44766a5a9d36" unitRef="_GBC_6053d48a4e214ab7b17d03b28b93cb76" addr="T1R16C6S1_1" formatStyle="Comma"/>
      <m:item xlName="_GBC_6a275f307adb40aa818ccc8a988f5946" concept="clcid-pte:TiQuYingYuGongJiDaoZhiQiTaZongHeShouYiBianDongJinE" label="提取盈余公积导致其他综合收益变动金额" periodRef="上年同期数" mulRef="_GBC_375aa5b655854a6fa4ef44766a5a9d36" unitRef="_GBC_6053d48a4e214ab7b17d03b28b93cb76" addr="T1R16C7S1_1" formatStyle="Comma"/>
      <m:item xlName="_GBC_32c2bb59505541e4a312ef41114b39ea" concept="clcid-pte:TiQuYingYuGongJiDaoZhiZhuanXiangChuBeiBianDongJinE" label="提取盈余公积导致专项储备变动金额" periodRef="上年同期数" mulRef="_GBC_375aa5b655854a6fa4ef44766a5a9d36" unitRef="_GBC_6053d48a4e214ab7b17d03b28b93cb76" addr="T1R16C8S1_1" formatStyle="Comma"/>
      <m:item xlName="_GBC_91eca9126a774e22b64b51fc83cdea53" concept="clcid-pte:TiQuYingYuGongJiDaoZhiYingYuGongJiBianDongJinE" label="提取盈余公积导致盈余公积变动金额" periodRef="上年同期数" mulRef="_GBC_375aa5b655854a6fa4ef44766a5a9d36" unitRef="_GBC_6053d48a4e214ab7b17d03b28b93cb76" addr="T1R16C9S1_1" formatStyle="Comma"/>
      <m:item xlName="_GBC_26af10bf54eb40d5a3e9e45a723ac25d" concept="clcid-pte:TiQuYingYuGongJiDaoZhiWeiFenPeiLiRunBianDongJinE" label="提取盈余公积导致未分配利润变动金额" periodRef="上年同期数" mulRef="_GBC_375aa5b655854a6fa4ef44766a5a9d36" unitRef="_GBC_6053d48a4e214ab7b17d03b28b93cb76" addr="T1R16C10S1_1" formatStyle="Comma"/>
      <m:item xlName="_GBC_3d687d4b34634d40a8373b9c6b2b4d0a" concept="clcid-pte:TiQuYingYuGongJiDaoZhiGuDongQuanYiHeJiBianDongJinE" label="提取盈余公积导致股东权益合计变动金额" periodRef="上年同期数" mulRef="_GBC_375aa5b655854a6fa4ef44766a5a9d36" unitRef="_GBC_6053d48a4e214ab7b17d03b28b93cb76" addr="T1R16C11S1_1" formatStyle="Comma"/>
      <m:placeholder xlName="_PLD_e9329e7292da4914ace5b19d064ed448" addr="T1R17C0S1_1"/>
      <m:item xlName="_GBC_731631deea2348b88970452927286401" concept="clcid-pte:DuiSuoYouZheHuoGuDongDeFenPeiDaoZhiShiShouZiBenHuoGuBenJingEBianDongJinE" label="对所有者（或股东）的分配导致实收资本（或股本）净额变动金额" periodRef="上年同期数" mulRef="_GBC_375aa5b655854a6fa4ef44766a5a9d36" unitRef="_GBC_6053d48a4e214ab7b17d03b28b93cb76" addr="T1R17C1S1_1" formatStyle="Comma"/>
      <m:item xlName="_GBC_dc0f26f6d0f442d789305f6d1be21ad8" concept="clcid-pte:DuiSuoYouZheHuoGuDongDeFenPeiDaoZhiQiTaQuanYiGongJuZhongDeYouXianGuBianDongJinE" label="对所有者（或股东）的分配导致其他权益工具中的优先股变动金额" periodRef="上年同期数" mulRef="_GBC_375aa5b655854a6fa4ef44766a5a9d36" unitRef="_GBC_6053d48a4e214ab7b17d03b28b93cb76" addr="T1R17C2S1_1" formatStyle="Comma"/>
      <m:item xlName="_GBC_c7716f9ceb9542adad34f2e1f4fac18d" concept="clcid-pte:DuiSuoYouZheHuoGuDongDeFenPeiDaoZhiQiTaQuanYiGongJuZhongDeYongXuZhaiBianDongJinE" label="对所有者（或股东）的分配导致其他权益工具中的永续债变动金额" periodRef="上年同期数" mulRef="_GBC_375aa5b655854a6fa4ef44766a5a9d36" unitRef="_GBC_6053d48a4e214ab7b17d03b28b93cb76" addr="T1R17C3S1_1" formatStyle="Comma"/>
      <m:item xlName="_GBC_9e0a91ad5858451a8a140b6cbd6b569d" concept="clcid-pte:DuiSuoYouZheHuoGuDongDeFenPeiDaoZhiQiTaQuanYiGongJuZhongDeQiTaBianDongJinE" label="对所有者（或股东）的分配导致其他权益工具中的其他变动金额" periodRef="上年同期数" mulRef="_GBC_375aa5b655854a6fa4ef44766a5a9d36" unitRef="_GBC_6053d48a4e214ab7b17d03b28b93cb76" addr="T1R17C4S1_1" formatStyle="Comma"/>
      <m:item xlName="_GBC_b6517e6056674d7d953ad295771de7b6" concept="clcid-pte:DuiSuoYouZheHuoGuDongDeFenPeiDaoZhiZiBenGongJiBianDongJinE" label="对所有者（或股东）的分配导致资本公积变动金额" periodRef="上年同期数" mulRef="_GBC_375aa5b655854a6fa4ef44766a5a9d36" unitRef="_GBC_6053d48a4e214ab7b17d03b28b93cb76" addr="T1R17C5S1_1" formatStyle="Comma"/>
      <m:item xlName="_GBC_bbf417c505e7424b96ccea89b6d748af" concept="clcid-pte:DuiSuoYouZheHuoGuDongDeFenPeiDaoZhiKuCunGuBianDongJinE" label="对所有者（或股东）的分配导致库存股变动金额" periodRef="上年同期数" mulRef="_GBC_375aa5b655854a6fa4ef44766a5a9d36" unitRef="_GBC_6053d48a4e214ab7b17d03b28b93cb76" addr="T1R17C6S1_1" formatStyle="Comma"/>
      <m:item xlName="_GBC_9738995c21f1406c9ea24e7a8dcbef86" concept="clcid-pte:DuiSuoYouZheHuoGuDongDeFenPeiDaoZhiQiTaZongHeShouYiBianDongJinE" label="对所有者（或股东）的分配导致其他综合收益变动金额" periodRef="上年同期数" mulRef="_GBC_375aa5b655854a6fa4ef44766a5a9d36" unitRef="_GBC_6053d48a4e214ab7b17d03b28b93cb76" addr="T1R17C7S1_1" formatStyle="Comma"/>
      <m:item xlName="_GBC_4fae31a1fb53442f92afb561fee4cf6d" concept="clcid-pte:DuiSuoYouZheHuoGuDongDeFenPeiDaoZhiZhuanXiangChuBeiBianDongJinE" label="对所有者（或股东）的分配导致专项储备变动金额" periodRef="上年同期数" mulRef="_GBC_375aa5b655854a6fa4ef44766a5a9d36" unitRef="_GBC_6053d48a4e214ab7b17d03b28b93cb76" addr="T1R17C8S1_1" formatStyle="Comma"/>
      <m:item xlName="_GBC_be461e90161242239cf73e25904ddf3f" concept="clcid-pte:DuiSuoYouZheHuoGuDongDeFenPeiDaoZhiYingYuGongJiBianDongJinE" label="对所有者（或股东）的分配导致盈余公积变动金额" periodRef="上年同期数" mulRef="_GBC_375aa5b655854a6fa4ef44766a5a9d36" unitRef="_GBC_6053d48a4e214ab7b17d03b28b93cb76" addr="T1R17C9S1_1" formatStyle="Comma"/>
      <m:item xlName="_GBC_91728d0499944b86bef79e5e5544df43" concept="clcid-pte:DuiSuoYouZheHuoGuDongDeFenPeiDaoZhiWeiFenPeiLiRunBianDongJinE" label="对所有者（或股东）的分配导致未分配利润变动金额" periodRef="上年同期数" mulRef="_GBC_375aa5b655854a6fa4ef44766a5a9d36" unitRef="_GBC_6053d48a4e214ab7b17d03b28b93cb76" addr="T1R17C10S1_1" formatStyle="Comma"/>
      <m:item xlName="_GBC_8b4297ad26c3493f866aa33eaef86fd7" concept="clcid-pte:DuiSuoYouZheHuoGuDongDeFenPeiDaoZhiGuDongQuanYiHeJiBianDongJinE" label="对所有者（或股东）的分配导致股东权益合计变动金额" periodRef="上年同期数" mulRef="_GBC_375aa5b655854a6fa4ef44766a5a9d36" unitRef="_GBC_6053d48a4e214ab7b17d03b28b93cb76" addr="T1R17C11S1_1" formatStyle="Comma"/>
      <m:placeholder xlName="_PLD_55973683bce44ed1924649a83df19c20" addr="T1R18C0S1_1"/>
      <m:item xlName="_GBC_528ec424cfee455985f246a4321c6aa9" concept="clcid-pte:QiTaLiRunFenPeiDaoZhiShiShouZiBenHuoGuBenJingEBianDongJinE" label="其他利润分配导致实收资本（或股本）净额变动金额" periodRef="上年同期数" mulRef="_GBC_375aa5b655854a6fa4ef44766a5a9d36" unitRef="_GBC_6053d48a4e214ab7b17d03b28b93cb76" addr="T1R18C1S1_1" formatStyle="Comma"/>
      <m:item xlName="_GBC_f71151a73e27400bac0a21dace9af92d" concept="clcid-pte:QiTaLiRunFenPeiDaoZhiQiTaQuanYiGongJuZhongDeYouXianGuBianDongJinE" label="其他利润分配导致其他权益工具中的优先股变动金额" periodRef="上年同期数" mulRef="_GBC_375aa5b655854a6fa4ef44766a5a9d36" unitRef="_GBC_6053d48a4e214ab7b17d03b28b93cb76" addr="T1R18C2S1_1" formatStyle="Comma"/>
      <m:item xlName="_GBC_d3d6ae4aabc944b49fae3838de366a08" concept="clcid-pte:QiTaLiRunFenPeiDaoZhiQiTaQuanYiGongJuZhongDeYongXuZhaiBianDongJinE" label="其他利润分配导致其他权益工具中的永续债变动金额" periodRef="上年同期数" mulRef="_GBC_375aa5b655854a6fa4ef44766a5a9d36" unitRef="_GBC_6053d48a4e214ab7b17d03b28b93cb76" addr="T1R18C3S1_1" formatStyle="Comma"/>
      <m:item xlName="_GBC_40725482328a4df0ad7dcb9c84b0c613" concept="clcid-pte:QiTaLiRunFenPeiDaoZhiQiTaQuanYiGongJuZhongDeQiTaBianDongJinE" label="其他利润分配导致其他权益工具中的其他变动金额" periodRef="上年同期数" mulRef="_GBC_375aa5b655854a6fa4ef44766a5a9d36" unitRef="_GBC_6053d48a4e214ab7b17d03b28b93cb76" addr="T1R18C4S1_1" formatStyle="Comma"/>
      <m:item xlName="_GBC_35c843d73724444684fcbc538505cca3" concept="clcid-pte:QiTaLiRunFenPeiDaoZhiZiBenGongJiBianDongJinE" label="其他利润分配导致资本公积变动金额" periodRef="上年同期数" mulRef="_GBC_375aa5b655854a6fa4ef44766a5a9d36" unitRef="_GBC_6053d48a4e214ab7b17d03b28b93cb76" addr="T1R18C5S1_1" formatStyle="Comma"/>
      <m:item xlName="_GBC_101a78d3e01f43c5bb806208288b63e1" concept="clcid-pte:QiTaLiRunFenPeiDaoZhiKuCunGuBianDongJinE" label="其他利润分配导致库存股变动金额" periodRef="上年同期数" mulRef="_GBC_375aa5b655854a6fa4ef44766a5a9d36" unitRef="_GBC_6053d48a4e214ab7b17d03b28b93cb76" addr="T1R18C6S1_1" formatStyle="Comma"/>
      <m:item xlName="_GBC_974968c2e4a648fcbed653591eeab7a2" concept="clcid-pte:QiTaLiRunFenPeiDaoZhiQiTaZongHeShouYiBianDongJinE" label="其他利润分配导致其他综合收益变动金额" periodRef="上年同期数" mulRef="_GBC_375aa5b655854a6fa4ef44766a5a9d36" unitRef="_GBC_6053d48a4e214ab7b17d03b28b93cb76" addr="T1R18C7S1_1" formatStyle="Comma"/>
      <m:item xlName="_GBC_8abd4482f8744ad5a5d8b7735b084700" concept="clcid-pte:QiTaLiRunFenPeiDaoZhiZhuanXiangChuBeiBianDongJinE" label="其他利润分配导致专项储备变动金额" periodRef="上年同期数" mulRef="_GBC_375aa5b655854a6fa4ef44766a5a9d36" unitRef="_GBC_6053d48a4e214ab7b17d03b28b93cb76" addr="T1R18C8S1_1" formatStyle="Comma"/>
      <m:item xlName="_GBC_d3db7c1e320843a0b01009c7a74981e7" concept="clcid-pte:QiTaLiRunFenPeiDaoZhiYingYuGongJiBianDongJinE" label="其他利润分配导致盈余公积变动金额" periodRef="上年同期数" mulRef="_GBC_375aa5b655854a6fa4ef44766a5a9d36" unitRef="_GBC_6053d48a4e214ab7b17d03b28b93cb76" addr="T1R18C9S1_1" formatStyle="Comma"/>
      <m:item xlName="_GBC_61b71e28b8b54e26983a1ae655230df7" concept="clcid-pte:QiTaLiRunFenPeiDaoZhiShaoShuGuDongQuanYiBianDongJinE" label="其他利润分配导致少数股东权益变动金额" periodRef="上年同期数" mulRef="_GBC_375aa5b655854a6fa4ef44766a5a9d36" unitRef="_GBC_6053d48a4e214ab7b17d03b28b93cb76" addr="T1R18C10S1_1" formatStyle="Comma"/>
      <m:item xlName="_GBC_61240fad331949a2b4de39f6d7a69fbc" concept="clcid-pte:QiTaLiRunFenPeiDaoZhiGuDongQuanYiHeJiBianDongJinE" label="其他利润分配导致股东权益合计变动金额" periodRef="上年同期数" mulRef="_GBC_375aa5b655854a6fa4ef44766a5a9d36" unitRef="_GBC_6053d48a4e214ab7b17d03b28b93cb76" addr="T1R18C11S1_1" formatStyle="Comma"/>
      <m:placeholder xlName="_PLD_ab9adc99d6bf448fbe46cf9da78c46a0" addr="T1R19C0S1_1"/>
      <m:item xlName="_GBC_deeeaffa86744a999c7982346bbb8047" concept="clcid-pte:SuoYouZheQuanYiNeiBuJieZhuanDaoZhiShiShouZiBenHuoGuBenJingEBianDongJinE" label="所有者权益内部结转导致实收资本（或股本）净额变动金额" periodRef="上年同期数" mulRef="_GBC_375aa5b655854a6fa4ef44766a5a9d36" unitRef="_GBC_6053d48a4e214ab7b17d03b28b93cb76" addr="T1R19C1S1_1" formatStyle="Comma">
        <m:complexRule comparator="Eq" title="所有者权益内部结转导致实收资本（或股本）净额变动金额@上年同期数" test="$_GBC_11b5e9a77cef477a9a29a63bd26fefe6+$_GBC_fcc953b17ddb4375b868692db92d736c+$_GBC_8c658b1f29e341b4a5cdb2850f5bb509+$_GBC_3401aed4cf7645c688d2628b5617cf12+$_GBC_290c7785ede54cf98918b61ef454279a+$_GBC_46d4566df1c748f899191ee5bc491159" id="C4b7629ff5daa431fb53104ffea94ae4d"/>
      </m:item>
      <m:item xlName="_GBC_3ce1205f8dcc41a3be49d8fcab6feb87" concept="clcid-pte:SuoYouZheQuanYiNeiBuJieZhuanDaoZhiQiTaQuanYiGongJuZhongDeYouXianGuBianDongJinE" label="所有者权益内部结转导致其他权益工具中的优先股变动金额" periodRef="上年同期数" mulRef="_GBC_375aa5b655854a6fa4ef44766a5a9d36" unitRef="_GBC_6053d48a4e214ab7b17d03b28b93cb76" addr="T1R19C2S1_1" formatStyle="Comma">
        <m:complexRule comparator="Eq" title="所有者权益内部结转导致其他权益工具中的优先股变动金额@上年同期数" test="$_GBC_b39c16c0fc024ecba8b9e9cf3b3c1334+$_GBC_15c735c189664e90b128bfc292a7cc0a+$_GBC_935038e15d044c30a102fbf9822d014b+$_GBC_50a19bf6904f4924ba9a9a96b6966c6b+$_GBC_9e4919878fe24749be13bfb7f772c8d1+$_GBC_c13bf3c46f77405292ce2da77f841c3a" id="C074452d951eb4d2988f3eaa6d2910574"/>
      </m:item>
      <m:item xlName="_GBC_6c9c4781647a465d956201573df817e2" concept="clcid-pte:SuoYouZheQuanYiNeiBuJieZhuanDaoZhiQiTaQuanYiGongJuZhongDeYongXuZhaiBianDongJinE" label="所有者权益内部结转导致其他权益工具中的永续债变动金额" periodRef="上年同期数" mulRef="_GBC_375aa5b655854a6fa4ef44766a5a9d36" unitRef="_GBC_6053d48a4e214ab7b17d03b28b93cb76" addr="T1R19C3S1_1" formatStyle="Comma">
        <m:complexRule comparator="Eq" title="所有者权益内部结转导致其他权益工具中的永续债变动金额@上年同期数" test="$_GBC_19ea632af751457c876b0eab9971b25f+$_GBC_74d9b3fdba7943c38ab94959def460c6+$_GBC_bbd2e639abed4c398609bdb19d598a3d+$_GBC_a46fa3b41d4949c4995b6c9bc7e9f8b1+$_GBC_393e007b380f49c9a73e6e65b6520861+$_GBC_e9d95dc690024ae5996d0b36d123c7b8" id="Cdc4587379032468e9a12fe4006023468"/>
      </m:item>
      <m:item xlName="_GBC_39fda005591246d68e56f5bbef7bfa49" concept="clcid-pte:SuoYouZheQuanYiNeiBuJieZhuanDaoZhiQiTaQuanYiGongJuZhongDeQiTaBianDongJinE" label="所有者权益内部结转导致其他权益工具中的其他变动金额" periodRef="上年同期数" mulRef="_GBC_375aa5b655854a6fa4ef44766a5a9d36" unitRef="_GBC_6053d48a4e214ab7b17d03b28b93cb76" addr="T1R19C4S1_1" formatStyle="Comma">
        <m:complexRule comparator="Eq" title="所有者权益内部结转导致其他权益工具中的其他变动金额@上年同期数" test="$_GBC_18b73b594ff24730b5a1f62c33097b06+$_GBC_7c4012c43e674cec8207f6e14580c86b+$_GBC_4989dd8e9e8c4af09f7890720e8d74fc+$_GBC_bff32cda50b34b01865fb98ad714490f+$_GBC_342d8d7784e04f57844ae3aff7ab30d9+$_GBC_71c4d37a30f64b9c804170e506e17d3a" id="C2973561348574a61976eeda65cb0ff75"/>
      </m:item>
      <m:item xlName="_GBC_10ad6e3161204e30be33be9dae8c5ecb" concept="clcid-pte:SuoYouZheQuanYiNeiBuJieZhuanDaoZhiZiBenGongJiBianDongJinE" label="所有者权益内部结转导致资本公积变动金额" periodRef="上年同期数" mulRef="_GBC_375aa5b655854a6fa4ef44766a5a9d36" unitRef="_GBC_6053d48a4e214ab7b17d03b28b93cb76" addr="T1R19C5S1_1" formatStyle="Comma">
        <m:complexRule comparator="Eq" title="所有者权益内部结转导致资本公积变动金额@上年同期数" test="$_GBC_5c469c9457c449e1b42fafe8284c145e+$_GBC_ac6d72e98b4646e882512c484295434f+$_GBC_c8e113c2df16458c9c43f56a2bea14d3+$_GBC_ea3a76152f5e4f2c9ccd977b4aeeb5cf+$_GBC_2306967e95e8494aa937b0483a940580+$_GBC_610de9092122489c810de46b59449d93" id="C189fbe3e7f154e348af1620e6d1b1225"/>
      </m:item>
      <m:item xlName="_GBC_34c53ea6bd7b4251b98b2467bd9e6ae1" concept="clcid-pte:SuoYouZheQuanYiNeiBuJieZhuanDaoZhiKuCunGuBianDongJinE" label="所有者权益内部结转导致库存股变动金额" periodRef="上年同期数" mulRef="_GBC_375aa5b655854a6fa4ef44766a5a9d36" unitRef="_GBC_6053d48a4e214ab7b17d03b28b93cb76" addr="T1R19C6S1_1" formatStyle="Comma">
        <m:complexRule comparator="Eq" title="所有者权益内部结转导致库存股变动金额@上年同期数" test="$_GBC_e95afe76c29d47c4b4edef455c4cf60f+$_GBC_41df2fdd189248e4a3f7da42202508b5+$_GBC_4c9557d5fdff43a3b4b7fba23d140ff7+$_GBC_1f869b4c6813446f83bf29c9a1d41191+$_GBC_9c5be5707e4f4a6e873ce2f5fbc294e5+$_GBC_6c1fd16301a34f0ab458049d2c270744" id="Cb00e12ec927e437ca7e3de1f631081fe"/>
      </m:item>
      <m:item xlName="_GBC_edb15b0ed5534331b9a8182e5115432d" concept="clcid-pte:SuoYouZheQuanYiNeiBuJieZhuanDaoZhiQiTaZongHeShouYiBianDongJinE" label="所有者权益内部结转导致其他综合收益变动金额" periodRef="上年同期数" mulRef="_GBC_375aa5b655854a6fa4ef44766a5a9d36" unitRef="_GBC_6053d48a4e214ab7b17d03b28b93cb76" addr="T1R19C7S1_1" formatStyle="Comma">
        <m:complexRule comparator="Eq" title="所有者权益内部结转导致其他综合收益变动金额@上年同期数" test="$_GBC_ff0a417574b9431ebdc90c82cf6d4084+$_GBC_18229ce26e5d47579f8a792c13089e3d+$_GBC_5501828ddaa44771be75a40748dd91be+$_GBC_6792b80c4b784b3aac76053b15eacd7f+$_GBC_ae6975a1be3c4db6968dd1a0577506b6+$_GBC_f9317df42e4c47949ec94175bcd99004" id="Ca47b08dbfcfc4c08b4240d4975da49ae"/>
      </m:item>
      <m:item xlName="_GBC_23fcb462ec074fdc8723949c46072dfd" concept="clcid-pte:SuoYouZheQuanYiNeiBuJieZhuanDaoZhiZhuanXiangChuBeiBianDongJinE" label="所有者权益内部结转导致专项储备变动金额" periodRef="上年同期数" mulRef="_GBC_375aa5b655854a6fa4ef44766a5a9d36" unitRef="_GBC_6053d48a4e214ab7b17d03b28b93cb76" addr="T1R19C8S1_1" formatStyle="Comma">
        <m:complexRule comparator="Eq" title="所有者权益内部结转导致专项储备变动金额@上年同期数" test="$_GBC_2486ba6fcdd3486ca481038350636bd8+$_GBC_8e81ac01076f4cdcaf8c430ab14862d6+$_GBC_be7a81a3ace449cfac5ac0684d2d8118+$_GBC_3b9725f1dc714932948ad14b36978d64+$_GBC_20f3c91bd5044f96a8e19177a5e5bad4+$_GBC_f60ab977dee64dfcab2230bf60b5068a" id="C6df336e0764f4b4e8f6821d7b09a0c10"/>
      </m:item>
      <m:item xlName="_GBC_2d8bda8d7b214a8e91165670e0f23bdd" concept="clcid-pte:SuoYouZheQuanYiNeiBuJieZhuanDaoZhiYingYuGongJiBianDongJinE" label="所有者权益内部结转导致盈余公积变动金额" periodRef="上年同期数" mulRef="_GBC_375aa5b655854a6fa4ef44766a5a9d36" unitRef="_GBC_6053d48a4e214ab7b17d03b28b93cb76" addr="T1R19C9S1_1" formatStyle="Comma">
        <m:complexRule comparator="Eq" title="所有者权益内部结转导致盈余公积变动金额@上年同期数" test="$_GBC_df81c712caf34ed1b05e7c885a4432fb+$_GBC_165e4220e7d3439f95a07a8bad69288c+$_GBC_46d3861dd60748e1ad5b36076b7a8e81+$_GBC_af0cbc56571d432c8a4c9d86dbc492f2+$_GBC_a747fec0951041ffa1e39a6a6282fa6f+$_GBC_ab98cd8099024e58950f56819b818a3d" id="Cb9f222072b9b4701861c95c457ba35b9"/>
      </m:item>
      <m:item xlName="_GBC_de71243253ef4048b2f40827938e51bc" concept="clcid-pte:SuoYouZheQuanYiNeiBuJieZhuanDaoZhiWeiFenPeiLiRunBianDongJinE" label="所有者权益内部结转导致未分配利润变动金额" periodRef="上年同期数" mulRef="_GBC_375aa5b655854a6fa4ef44766a5a9d36" unitRef="_GBC_6053d48a4e214ab7b17d03b28b93cb76" addr="T1R19C10S1_1" formatStyle="Comma">
        <m:complexRule comparator="Eq" title="所有者权益内部结转导致未分配利润变动金额@上年同期数" test="$_GBC_f3a8f62c79734c369028a9e0a94ffd3c+$_GBC_a7cd8867a5ed41fa900e116994365938+$_GBC_c7ccc40a6eb8483e80059a491db07b83+$_GBC_2070d9055ac843bb8fddc66192520ea0+$_GBC_8e6b6c8d371c45abbcbdb3141cc525ad+$_GBC_7e341195f967482eac129c454e8cef16" id="C702dd4ad6ad14dac83820b936ca68a5e"/>
      </m:item>
      <m:item xlName="_GBC_6f2ead75b86c4131b907328590dd9bf0" concept="clcid-pte:SuoYouZheQuanYiNeiBuJieZhuanDaoZhiGuDongQuanYiHeJiBianDongJinE" label="所有者权益内部结转导致股东权益合计变动金额" periodRef="上年同期数" mulRef="_GBC_375aa5b655854a6fa4ef44766a5a9d36" unitRef="_GBC_6053d48a4e214ab7b17d03b28b93cb76" addr="T1R19C11S1_1" formatStyle="Comma">
        <m:complexRule comparator="Eq" title="所有者权益内部结转导致股东权益合计变动金额@上年同期数" test="$_GBC_66d14f1c0d0f41c8b22382a1f7a4e49a+$_GBC_01c5ec9d5ecf4e60b8df8cd2d68b1894+$_GBC_4c521d2e66a14dc08a770cdc49356a34+$_GBC_b244d56bb82d4b4e9988429e13b02c3e+$_GBC_83e9562abc364135ac388120b5ed9b78+$_GBC_1387062fa99942b29fef45d6a3ce3cdb" id="C1afc8c610d394f408ed0f9187d8e11dc"/>
      </m:item>
      <m:placeholder xlName="_PLD_181e5500f988481a841dd1b3a97bf56d" addr="T1R20C0S1_1"/>
      <m:item xlName="_GBC_11b5e9a77cef477a9a29a63bd26fefe6" concept="clcid-pte:ZiBenGongJiZhuanZengZiBenHuoGuBenDaoZhiShiShouZiBenHuoGuBenJingEBianDongJinE" label="资本公积转增资本（或股本）导致实收资本（或股本）净额变动金额" periodRef="上年同期数" mulRef="_GBC_375aa5b655854a6fa4ef44766a5a9d36" unitRef="_GBC_6053d48a4e214ab7b17d03b28b93cb76" addr="T1R20C1S1_1" formatStyle="Comma"/>
      <m:item xlName="_GBC_b39c16c0fc024ecba8b9e9cf3b3c1334" concept="clcid-pte:ZiBenGongJiZhuanZengZiBenHuoGuBenDaoZhiQiTaQuanYiGongJuZhongDeYouXianGuBianDongJinE" label="资本公积转增资本（或股本）导致其他权益工具中的优先股变动金额" periodRef="上年同期数" mulRef="_GBC_375aa5b655854a6fa4ef44766a5a9d36" unitRef="_GBC_6053d48a4e214ab7b17d03b28b93cb76" addr="T1R20C2S1_1" formatStyle="Comma"/>
      <m:item xlName="_GBC_19ea632af751457c876b0eab9971b25f" concept="clcid-pte:ZiBenGongJiZhuanZengZiBenHuoGuBenDaoZhiQiTaQuanYiGongJuZhongDeYongXuZhaiBianDongJinE" label="资本公积转增资本（或股本）导致其他权益工具中的永续债变动金额" periodRef="上年同期数" mulRef="_GBC_375aa5b655854a6fa4ef44766a5a9d36" unitRef="_GBC_6053d48a4e214ab7b17d03b28b93cb76" addr="T1R20C3S1_1" formatStyle="Comma"/>
      <m:item xlName="_GBC_18b73b594ff24730b5a1f62c33097b06" concept="clcid-pte:ZiBenGongJiZhuanZengZiBenHuoGuBenDaoZhiQiTaQuanYiGongJuZhongDeQiTaBianDongJinE" label="资本公积转增资本（或股本）导致其他权益工具中的其他变动金额" periodRef="上年同期数" mulRef="_GBC_375aa5b655854a6fa4ef44766a5a9d36" unitRef="_GBC_6053d48a4e214ab7b17d03b28b93cb76" addr="T1R20C4S1_1" formatStyle="Comma"/>
      <m:item xlName="_GBC_5c469c9457c449e1b42fafe8284c145e" concept="clcid-pte:ZiBenGongJiZhuanZengZiBenHuoGuBenDaoZhiZiBenGongJiBianDongJinE" label="资本公积转增资本（或股本）导致资本公积变动金额" periodRef="上年同期数" mulRef="_GBC_375aa5b655854a6fa4ef44766a5a9d36" unitRef="_GBC_6053d48a4e214ab7b17d03b28b93cb76" addr="T1R20C5S1_1" formatStyle="Comma"/>
      <m:item xlName="_GBC_e95afe76c29d47c4b4edef455c4cf60f" concept="clcid-pte:ZiBenGongJiZhuanZengZiBenHuoGuBenDaoZhiKuCunGuBianDongJinE" label="资本公积转增资本（或股本）导致库存股变动金额" periodRef="上年同期数" mulRef="_GBC_375aa5b655854a6fa4ef44766a5a9d36" unitRef="_GBC_6053d48a4e214ab7b17d03b28b93cb76" addr="T1R20C6S1_1" formatStyle="Comma"/>
      <m:item xlName="_GBC_ff0a417574b9431ebdc90c82cf6d4084" concept="clcid-pte:ZiBenGongJiZhuanZengZiBenHuoGuBenDaoZhiQiTaZongHeShouYiBianDongJinE" label="资本公积转增资本（或股本）导致其他综合收益变动金额" periodRef="上年同期数" mulRef="_GBC_375aa5b655854a6fa4ef44766a5a9d36" unitRef="_GBC_6053d48a4e214ab7b17d03b28b93cb76" addr="T1R20C7S1_1" formatStyle="Comma"/>
      <m:item xlName="_GBC_2486ba6fcdd3486ca481038350636bd8" concept="clcid-pte:ZiBenGongJiZhuanZengZiBenHuoGuBenDaoZhiZhuanXiangChuBeiBianDongJinE" label="资本公积转增资本（或股本）导致专项储备变动金额" periodRef="上年同期数" mulRef="_GBC_375aa5b655854a6fa4ef44766a5a9d36" unitRef="_GBC_6053d48a4e214ab7b17d03b28b93cb76" addr="T1R20C8S1_1" formatStyle="Comma"/>
      <m:item xlName="_GBC_df81c712caf34ed1b05e7c885a4432fb" concept="clcid-pte:ZiBenGongJiZhuanZengZiBenHuoGuBenDaoZhiYingYuGongJiBianDongJinE" label="资本公积转增资本（或股本）导致盈余公积变动金额" periodRef="上年同期数" mulRef="_GBC_375aa5b655854a6fa4ef44766a5a9d36" unitRef="_GBC_6053d48a4e214ab7b17d03b28b93cb76" addr="T1R20C9S1_1" formatStyle="Comma"/>
      <m:item xlName="_GBC_f3a8f62c79734c369028a9e0a94ffd3c" concept="clcid-pte:ZiBenGongJiZhuanZengZiBenHuoGuBenDaoZhiWeiFenPeiLiRunBianDongJinE" label="资本公积转增资本（或股本）导致未分配利润变动金额" periodRef="上年同期数" mulRef="_GBC_375aa5b655854a6fa4ef44766a5a9d36" unitRef="_GBC_6053d48a4e214ab7b17d03b28b93cb76" addr="T1R20C10S1_1" formatStyle="Comma"/>
      <m:item xlName="_GBC_66d14f1c0d0f41c8b22382a1f7a4e49a" concept="clcid-pte:ZiBenGongJiZhuanZengZiBenHuoGuBenDaoZhiGuDongQuanYiHeJiBianDongJinE" label="资本公积转增资本（或股本）导致股东权益合计变动金额" periodRef="上年同期数" mulRef="_GBC_375aa5b655854a6fa4ef44766a5a9d36" unitRef="_GBC_6053d48a4e214ab7b17d03b28b93cb76" addr="T1R20C11S1_1" formatStyle="Comma"/>
      <m:placeholder xlName="_PLD_aa3413d02af44aee801c9519e1242634" addr="T1R21C0S1_1"/>
      <m:item xlName="_GBC_fcc953b17ddb4375b868692db92d736c" concept="clcid-pte:YingYuGongJiZhuanZengZiBenHuoGuBenDaoZhiShiShouZiBenHuoGuBenJingEBianDongJinE" label="盈余公积转增资本（或股本）导致实收资本（或股本）净额变动金额" periodRef="上年同期数" mulRef="_GBC_375aa5b655854a6fa4ef44766a5a9d36" unitRef="_GBC_6053d48a4e214ab7b17d03b28b93cb76" addr="T1R21C1S1_1" formatStyle="Comma"/>
      <m:item xlName="_GBC_15c735c189664e90b128bfc292a7cc0a" concept="clcid-pte:YingYuGongJiZhuanZengZiBenHuoGuBenDaoZhiQiTaQuanYiGongJuZhongDeYouXianGuBianDongJinE" label="盈余公积转增资本（或股本）导致其他权益工具中的优先股变动金额" periodRef="上年同期数" mulRef="_GBC_375aa5b655854a6fa4ef44766a5a9d36" unitRef="_GBC_6053d48a4e214ab7b17d03b28b93cb76" addr="T1R21C2S1_1" formatStyle="Comma"/>
      <m:item xlName="_GBC_74d9b3fdba7943c38ab94959def460c6" concept="clcid-pte:YingYuGongJiZhuanZengZiBenHuoGuBenDaoZhiQiTaQuanYiGongJuZhongDeYongXuZhaiBianDongJinE" label="盈余公积转增资本（或股本）导致其他权益工具中的永续债变动金额" periodRef="上年同期数" mulRef="_GBC_375aa5b655854a6fa4ef44766a5a9d36" unitRef="_GBC_6053d48a4e214ab7b17d03b28b93cb76" addr="T1R21C3S1_1" formatStyle="Comma"/>
      <m:item xlName="_GBC_7c4012c43e674cec8207f6e14580c86b" concept="clcid-pte:YingYuGongJiZhuanZengZiBenHuoGuBenDaoZhiQiTaQuanYiGongJuZhongDeQiTaBianDongJinE" label="盈余公积转增资本（或股本）导致其他权益工具中的其他变动金额" periodRef="上年同期数" mulRef="_GBC_375aa5b655854a6fa4ef44766a5a9d36" unitRef="_GBC_6053d48a4e214ab7b17d03b28b93cb76" addr="T1R21C4S1_1" formatStyle="Comma"/>
      <m:item xlName="_GBC_ac6d72e98b4646e882512c484295434f" concept="clcid-pte:YingYuGongJiZhuanZengZiBenHuoGuBenDaoZhiZiBenGongJiBianDongJinE" label="盈余公积转增资本（或股本）导致资本公积变动金额" periodRef="上年同期数" mulRef="_GBC_375aa5b655854a6fa4ef44766a5a9d36" unitRef="_GBC_6053d48a4e214ab7b17d03b28b93cb76" addr="T1R21C5S1_1" formatStyle="Comma"/>
      <m:item xlName="_GBC_41df2fdd189248e4a3f7da42202508b5" concept="clcid-pte:YingYuGongJiZhuanZengZiBenHuoGuBenDaoZhiKuCunGuBianDongJinE" label="盈余公积转增资本（或股本）导致库存股变动金额" periodRef="上年同期数" mulRef="_GBC_375aa5b655854a6fa4ef44766a5a9d36" unitRef="_GBC_6053d48a4e214ab7b17d03b28b93cb76" addr="T1R21C6S1_1" formatStyle="Comma"/>
      <m:item xlName="_GBC_18229ce26e5d47579f8a792c13089e3d" concept="clcid-pte:YingYuGongJiZhuanZengZiBenHuoGuBenDaoZhiQiTaZongHeShouYiBianDongJinE" label="盈余公积转增资本（或股本）导致其他综合收益变动金额" periodRef="上年同期数" mulRef="_GBC_375aa5b655854a6fa4ef44766a5a9d36" unitRef="_GBC_6053d48a4e214ab7b17d03b28b93cb76" addr="T1R21C7S1_1" formatStyle="Comma"/>
      <m:item xlName="_GBC_8e81ac01076f4cdcaf8c430ab14862d6" concept="clcid-pte:YingYuGongJiZhuanZengZiBenHuoGuBenDaoZhiZhuanXiangChuBeiBianDongJinE" label="盈余公积转增资本（或股本）导致专项储备变动金额" periodRef="上年同期数" mulRef="_GBC_375aa5b655854a6fa4ef44766a5a9d36" unitRef="_GBC_6053d48a4e214ab7b17d03b28b93cb76" addr="T1R21C8S1_1" formatStyle="Comma"/>
      <m:item xlName="_GBC_165e4220e7d3439f95a07a8bad69288c" concept="clcid-pte:YingYuGongJiZhuanZengZiBenHuoGuBenDaoZhiYingYuGongJiBianDongJinE" label="盈余公积转增资本（或股本）导致盈余公积变动金额" periodRef="上年同期数" mulRef="_GBC_375aa5b655854a6fa4ef44766a5a9d36" unitRef="_GBC_6053d48a4e214ab7b17d03b28b93cb76" addr="T1R21C9S1_1" formatStyle="Comma"/>
      <m:item xlName="_GBC_a7cd8867a5ed41fa900e116994365938" concept="clcid-pte:YingYuGongJiZhuanZengZiBenHuoGuBenDaoZhiWeiFenPeiLiRunBianDongJinE" label="盈余公积转增资本（或股本）导致未分配利润变动金额" periodRef="上年同期数" mulRef="_GBC_375aa5b655854a6fa4ef44766a5a9d36" unitRef="_GBC_6053d48a4e214ab7b17d03b28b93cb76" addr="T1R21C10S1_1" formatStyle="Comma"/>
      <m:item xlName="_GBC_01c5ec9d5ecf4e60b8df8cd2d68b1894" concept="clcid-pte:YingYuGongJiZhuanZengZiBenHuoGuBenDaoZhiGuDongQuanYiHeJiBianDongJinE" label="盈余公积转增资本（或股本）导致股东权益合计变动金额" periodRef="上年同期数" mulRef="_GBC_375aa5b655854a6fa4ef44766a5a9d36" unitRef="_GBC_6053d48a4e214ab7b17d03b28b93cb76" addr="T1R21C11S1_1" formatStyle="Comma"/>
      <m:placeholder xlName="_PLD_c1ed45a152bb4685838c37394a2a4e66" addr="T1R22C0S1_1"/>
      <m:item xlName="_GBC_8c658b1f29e341b4a5cdb2850f5bb509" concept="clcid-pte:YingYuGongJiMiBuKuiSunDaoZhiShiShouZiBenHuoGuBenJingEBianDongJinE" label="盈余公积弥补亏损导致实收资本（或股本）净额变动金额" periodRef="上年同期数" mulRef="_GBC_375aa5b655854a6fa4ef44766a5a9d36" unitRef="_GBC_6053d48a4e214ab7b17d03b28b93cb76" addr="T1R22C1S1_1" formatStyle="Comma"/>
      <m:item xlName="_GBC_935038e15d044c30a102fbf9822d014b" concept="clcid-pte:YingYuGongJiMiBuKuiSunDaoZhiQiTaQuanYiGongJuZhongDeYouXianGuBianDongJinE" label="盈余公积弥补亏损导致其他权益工具中的优先股变动金额" periodRef="上年同期数" mulRef="_GBC_375aa5b655854a6fa4ef44766a5a9d36" unitRef="_GBC_6053d48a4e214ab7b17d03b28b93cb76" addr="T1R22C2S1_1" formatStyle="Comma"/>
      <m:item xlName="_GBC_bbd2e639abed4c398609bdb19d598a3d" concept="clcid-pte:YingYuGongJiMiBuKuiSunDaoZhiQiTaQuanYiGongJuZhongDeYongXuZhaiBianDongJinE" label="盈余公积弥补亏损导致其他权益工具中的永续债变动金额" periodRef="上年同期数" mulRef="_GBC_375aa5b655854a6fa4ef44766a5a9d36" unitRef="_GBC_6053d48a4e214ab7b17d03b28b93cb76" addr="T1R22C3S1_1" formatStyle="Comma"/>
      <m:item xlName="_GBC_4989dd8e9e8c4af09f7890720e8d74fc" concept="clcid-pte:YingYuGongJiMiBuKuiSunDaoZhiQiTaQuanYiGongJuZhongDeQiTaBianDongJinE" label="盈余公积弥补亏损导致其他权益工具中的其他变动金额" periodRef="上年同期数" mulRef="_GBC_375aa5b655854a6fa4ef44766a5a9d36" unitRef="_GBC_6053d48a4e214ab7b17d03b28b93cb76" addr="T1R22C4S1_1" formatStyle="Comma"/>
      <m:item xlName="_GBC_c8e113c2df16458c9c43f56a2bea14d3" concept="clcid-pte:YingYuGongJiMiBuKuiSunDaoZhiZiBenGongJiBianDongJinE" label="盈余公积弥补亏损导致资本公积变动金额" periodRef="上年同期数" mulRef="_GBC_375aa5b655854a6fa4ef44766a5a9d36" unitRef="_GBC_6053d48a4e214ab7b17d03b28b93cb76" addr="T1R22C5S1_1" formatStyle="Comma"/>
      <m:item xlName="_GBC_4c9557d5fdff43a3b4b7fba23d140ff7" concept="clcid-pte:YingYuGongJiMiBuKuiSunDaoZhiKuCunGuBianDongJinE" label="盈余公积弥补亏损导致库存股变动金额" periodRef="上年同期数" mulRef="_GBC_375aa5b655854a6fa4ef44766a5a9d36" unitRef="_GBC_6053d48a4e214ab7b17d03b28b93cb76" addr="T1R22C6S1_1" formatStyle="Comma"/>
      <m:item xlName="_GBC_5501828ddaa44771be75a40748dd91be" concept="clcid-pte:YingYuGongJiMiBuKuiSunDaoZhiQiTaZongHeShouYiBianDongJinE" label="盈余公积弥补亏损导致其他综合收益变动金额" periodRef="上年同期数" mulRef="_GBC_375aa5b655854a6fa4ef44766a5a9d36" unitRef="_GBC_6053d48a4e214ab7b17d03b28b93cb76" addr="T1R22C7S1_1" formatStyle="Comma"/>
      <m:item xlName="_GBC_be7a81a3ace449cfac5ac0684d2d8118" concept="clcid-pte:YingYuGongJiMiBuKuiSunDaoZhiZhuanXiangChuBeiBianDongJinE" label="盈余公积弥补亏损导致专项储备变动金额" periodRef="上年同期数" mulRef="_GBC_375aa5b655854a6fa4ef44766a5a9d36" unitRef="_GBC_6053d48a4e214ab7b17d03b28b93cb76" addr="T1R22C8S1_1" formatStyle="Comma"/>
      <m:item xlName="_GBC_46d3861dd60748e1ad5b36076b7a8e81" concept="clcid-pte:YingYuGongJiMiBuKuiSunDaoZhiYingYuGongJiBianDongJinE" label="盈余公积弥补亏损导致盈余公积变动金额" periodRef="上年同期数" mulRef="_GBC_375aa5b655854a6fa4ef44766a5a9d36" unitRef="_GBC_6053d48a4e214ab7b17d03b28b93cb76" addr="T1R22C9S1_1" formatStyle="Comma"/>
      <m:item xlName="_GBC_c7ccc40a6eb8483e80059a491db07b83" concept="clcid-pte:YingYuGongJiMiBuKuiSunDaoZhiWeiFenPeiLiRunBianDongJinE" label="盈余公积弥补亏损导致未分配利润变动金额" periodRef="上年同期数" mulRef="_GBC_375aa5b655854a6fa4ef44766a5a9d36" unitRef="_GBC_6053d48a4e214ab7b17d03b28b93cb76" addr="T1R22C10S1_1" formatStyle="Comma"/>
      <m:item xlName="_GBC_4c521d2e66a14dc08a770cdc49356a34" concept="clcid-pte:YingYuGongJiMiBuKuiSunDaoZhiGuDongQuanYiHeJiBianDongJinE" label="盈余公积弥补亏损导致股东权益合计变动金额" periodRef="上年同期数" mulRef="_GBC_375aa5b655854a6fa4ef44766a5a9d36" unitRef="_GBC_6053d48a4e214ab7b17d03b28b93cb76" addr="T1R22C11S1_1" formatStyle="Comma"/>
      <m:placeholder xlName="_PLD_a706f1497dda41e89fb985405491b0ea" addr="T1R23C0S1_1"/>
      <m:item xlName="_GBC_3401aed4cf7645c688d2628b5617cf12" concept="clcid-pte:SheDingShouYiJiHuaBianDongEJieZhuanLiuCunShouYiDaoZhiShiShouZiBenHuoGuBenJingEBianDongJinE" label="设定受益计划变动额结转留存收益导致实收资本（或股本）净额变动金额" periodRef="上年同期数" mulRef="_GBC_375aa5b655854a6fa4ef44766a5a9d36" unitRef="_GBC_6053d48a4e214ab7b17d03b28b93cb76" addr="T1R23C1S1_1" formatStyle="Comma"/>
      <m:item xlName="_GBC_50a19bf6904f4924ba9a9a96b6966c6b" concept="clcid-pte:SheDingShouYiJiHuaBianDongEJieZhuanLiuCunShouYiDaoZhiQiTaQuanYiGongJuZhongDeYouXianGuBianDongJinE" label="设定受益计划变动额结转留存收益导致其他权益工具中的优先股变动金额" periodRef="上年同期数" mulRef="_GBC_375aa5b655854a6fa4ef44766a5a9d36" unitRef="_GBC_6053d48a4e214ab7b17d03b28b93cb76" addr="T1R23C2S1_1" formatStyle="Comma"/>
      <m:item xlName="_GBC_a46fa3b41d4949c4995b6c9bc7e9f8b1" concept="clcid-pte:SheDingShouYiJiHuaBianDongEJieZhuanLiuCunShouYiDaoZhiQiTaQuanYiGongJuZhongDeYongXuZhaiBianDongJinE" label="设定受益计划变动额结转留存收益导致其他权益工具中的永续债变动金额" periodRef="上年同期数" mulRef="_GBC_375aa5b655854a6fa4ef44766a5a9d36" unitRef="_GBC_6053d48a4e214ab7b17d03b28b93cb76" addr="T1R23C3S1_1" formatStyle="Comma"/>
      <m:item xlName="_GBC_bff32cda50b34b01865fb98ad714490f" concept="clcid-pte:SheDingShouYiJiHuaBianDongEJieZhuanLiuCunShouYiDaoZhiQiTaQuanYiGongJuZhongDeQiTaBianDongJinE" label="设定受益计划变动额结转留存收益导致其他权益工具中的其他变动金额" periodRef="上年同期数" mulRef="_GBC_375aa5b655854a6fa4ef44766a5a9d36" unitRef="_GBC_6053d48a4e214ab7b17d03b28b93cb76" addr="T1R23C4S1_1" formatStyle="Comma"/>
      <m:item xlName="_GBC_ea3a76152f5e4f2c9ccd977b4aeeb5cf" concept="clcid-pte:SheDingShouYiJiHuaBianDongEJieZhuanLiuCunShouYiDaoZhiZiBenGongJiBianDongJinE" label="设定受益计划变动额结转留存收益导致资本公积变动金额" periodRef="上年同期数" mulRef="_GBC_375aa5b655854a6fa4ef44766a5a9d36" unitRef="_GBC_6053d48a4e214ab7b17d03b28b93cb76" addr="T1R23C5S1_1" formatStyle="Comma"/>
      <m:item xlName="_GBC_1f869b4c6813446f83bf29c9a1d41191" concept="clcid-pte:SheDingShouYiJiHuaBianDongEJieZhuanLiuCunShouYiDaoZhiKuCunGuBianDongJinE" label="设定受益计划变动额结转留存收益导致库存股变动金额" periodRef="上年同期数" mulRef="_GBC_375aa5b655854a6fa4ef44766a5a9d36" unitRef="_GBC_6053d48a4e214ab7b17d03b28b93cb76" addr="T1R23C6S1_1" formatStyle="Comma"/>
      <m:item xlName="_GBC_6792b80c4b784b3aac76053b15eacd7f" concept="clcid-pte:SheDingShouYiJiHuaBianDongEJieZhuanLiuCunShouYiDaoZhiQiTaZongHeShouYiBianDongJinE" label="设定受益计划变动额结转留存收益导致其他综合收益变动金额" periodRef="上年同期数" mulRef="_GBC_375aa5b655854a6fa4ef44766a5a9d36" unitRef="_GBC_6053d48a4e214ab7b17d03b28b93cb76" addr="T1R23C7S1_1" formatStyle="Comma"/>
      <m:item xlName="_GBC_3b9725f1dc714932948ad14b36978d64" concept="clcid-pte:SheDingShouYiJiHuaBianDongEJieZhuanLiuCunShouYiDaoZhiZhuanXiangChuBeiBianDongJinE" label="设定受益计划变动额结转留存收益导致专项储备变动金额" periodRef="上年同期数" mulRef="_GBC_375aa5b655854a6fa4ef44766a5a9d36" unitRef="_GBC_6053d48a4e214ab7b17d03b28b93cb76" addr="T1R23C8S1_1" formatStyle="Comma"/>
      <m:item xlName="_GBC_af0cbc56571d432c8a4c9d86dbc492f2" concept="clcid-pte:SheDingShouYiJiHuaBianDongEJieZhuanLiuCunShouYiDaoZhiYingYuGongJiBianDongJinE" label="设定受益计划变动额结转留存收益导致盈余公积变动金额" periodRef="上年同期数" mulRef="_GBC_375aa5b655854a6fa4ef44766a5a9d36" unitRef="_GBC_6053d48a4e214ab7b17d03b28b93cb76" addr="T1R23C9S1_1" formatStyle="Comma"/>
      <m:item xlName="_GBC_2070d9055ac843bb8fddc66192520ea0" concept="clcid-pte:SheDingShouYiJiHuaBianDongEJieZhuanLiuCunShouYiDaoZhiWeiFenPeiLiRunBianDongJinE" label="设定受益计划变动额结转留存收益导致未分配利润变动金额" periodRef="上年同期数" mulRef="_GBC_375aa5b655854a6fa4ef44766a5a9d36" unitRef="_GBC_6053d48a4e214ab7b17d03b28b93cb76" addr="T1R23C10S1_1" formatStyle="Comma"/>
      <m:item xlName="_GBC_b244d56bb82d4b4e9988429e13b02c3e" concept="clcid-pte:SheDingShouYiJiHuaBianDongEJieZhuanLiuCunShouYiDaoZhiGuDongQuanYiHeJiBianDongJinE" label="设定受益计划变动额结转留存收益导致股东权益合计变动金额" periodRef="上年同期数" mulRef="_GBC_375aa5b655854a6fa4ef44766a5a9d36" unitRef="_GBC_6053d48a4e214ab7b17d03b28b93cb76" addr="T1R23C11S1_1" formatStyle="Comma"/>
      <m:placeholder xlName="_PLD_fe254484eb8a4baf939050bc327244a8" addr="T1R24C0S1_1"/>
      <m:item xlName="_GBC_290c7785ede54cf98918b61ef454279a" concept="clcid-pte:QiTaZongHeShouYiJieZhuanLiuCunShouYiDaoZhiShiShouZiBenHuoGuBenJingEBianDongJinE" label="其他综合收益结转留存收益导致实收资本（或股本）净额变动金额" periodRef="上年同期数" mulRef="_GBC_375aa5b655854a6fa4ef44766a5a9d36" unitRef="_GBC_6053d48a4e214ab7b17d03b28b93cb76" addr="T1R24C1S1_1" formatStyle="Comma"/>
      <m:item xlName="_GBC_9e4919878fe24749be13bfb7f772c8d1" concept="clcid-pte:QiTaZongHeShouYiJieZhuanLiuCunShouYiDaoZhiQiTaQuanYiGongJuZhongDeYouXianGuBianDongJinE" label="其他综合收益结转留存收益导致其他权益工具中的优先股变动金额" periodRef="上年同期数" mulRef="_GBC_375aa5b655854a6fa4ef44766a5a9d36" unitRef="_GBC_6053d48a4e214ab7b17d03b28b93cb76" addr="T1R24C2S1_1" formatStyle="Comma"/>
      <m:item xlName="_GBC_393e007b380f49c9a73e6e65b6520861" concept="clcid-pte:QiTaZongHeShouYiJieZhuanLiuCunShouYiDaoZhiQiTaQuanYiGongJuZhongDeYongXuZhaiBianDongJinE" label="其他综合收益结转留存收益导致其他权益工具中的永续债变动金额" periodRef="上年同期数" mulRef="_GBC_375aa5b655854a6fa4ef44766a5a9d36" unitRef="_GBC_6053d48a4e214ab7b17d03b28b93cb76" addr="T1R24C3S1_1" formatStyle="Comma"/>
      <m:item xlName="_GBC_342d8d7784e04f57844ae3aff7ab30d9" concept="clcid-pte:QiTaZongHeShouYiJieZhuanLiuCunShouYiDaoZhiQiTaQuanYiGongJuZhongDeQiTaBianDongJinE" label="其他综合收益结转留存收益导致其他权益工具中的其他变动金额" periodRef="上年同期数" mulRef="_GBC_375aa5b655854a6fa4ef44766a5a9d36" unitRef="_GBC_6053d48a4e214ab7b17d03b28b93cb76" addr="T1R24C4S1_1" formatStyle="Comma"/>
      <m:item xlName="_GBC_2306967e95e8494aa937b0483a940580" concept="clcid-pte:QiTaZongHeShouYiJieZhuanLiuCunShouYiDaoZhiZiBenGongJiBianDongJinE" label="其他综合收益结转留存收益导致资本公积变动金额" periodRef="上年同期数" mulRef="_GBC_375aa5b655854a6fa4ef44766a5a9d36" unitRef="_GBC_6053d48a4e214ab7b17d03b28b93cb76" addr="T1R24C5S1_1" formatStyle="Comma"/>
      <m:item xlName="_GBC_9c5be5707e4f4a6e873ce2f5fbc294e5" concept="clcid-pte:QiTaZongHeShouYiJieZhuanLiuCunShouYiDaoZhiKuCunGuBianDongJinE" label="其他综合收益结转留存收益导致库存股变动金额" periodRef="上年同期数" mulRef="_GBC_375aa5b655854a6fa4ef44766a5a9d36" unitRef="_GBC_6053d48a4e214ab7b17d03b28b93cb76" addr="T1R24C6S1_1" formatStyle="Comma"/>
      <m:item xlName="_GBC_ae6975a1be3c4db6968dd1a0577506b6" concept="clcid-pte:QiTaZongHeShouYiJieZhuanLiuCunShouYiDaoZhiQiTaZongHeShouYiBianDongJinE" label="其他综合收益结转留存收益导致其他综合收益变动金额" periodRef="上年同期数" mulRef="_GBC_375aa5b655854a6fa4ef44766a5a9d36" unitRef="_GBC_6053d48a4e214ab7b17d03b28b93cb76" addr="T1R24C7S1_1" formatStyle="Comma"/>
      <m:item xlName="_GBC_20f3c91bd5044f96a8e19177a5e5bad4" concept="clcid-pte:QiTaZongHeShouYiJieZhuanLiuCunShouYiDaoZhiZhuanXiangChuBeiBianDongJinE" label="其他综合收益结转留存收益导致专项储备变动金额" periodRef="上年同期数" mulRef="_GBC_375aa5b655854a6fa4ef44766a5a9d36" unitRef="_GBC_6053d48a4e214ab7b17d03b28b93cb76" addr="T1R24C8S1_1" formatStyle="Comma"/>
      <m:item xlName="_GBC_a747fec0951041ffa1e39a6a6282fa6f" concept="clcid-pte:QiTaZongHeShouYiJieZhuanLiuCunShouYiDaoZhiYingYuGongJiBianDongJinE" label="其他综合收益结转留存收益导致盈余公积变动金额" periodRef="上年同期数" mulRef="_GBC_375aa5b655854a6fa4ef44766a5a9d36" unitRef="_GBC_6053d48a4e214ab7b17d03b28b93cb76" addr="T1R24C9S1_1" formatStyle="Comma"/>
      <m:item xlName="_GBC_8e6b6c8d371c45abbcbdb3141cc525ad" concept="clcid-pte:QiTaZongHeShouYiJieZhuanLiuCunShouYiDaoZhiWeiFenPeiLiRunBianDongJinE" label="其他综合收益结转留存收益导致未分配利润变动金额" periodRef="上年同期数" mulRef="_GBC_375aa5b655854a6fa4ef44766a5a9d36" unitRef="_GBC_6053d48a4e214ab7b17d03b28b93cb76" addr="T1R24C10S1_1" formatStyle="Comma"/>
      <m:item xlName="_GBC_83e9562abc364135ac388120b5ed9b78" concept="clcid-pte:QiTaZongHeShouYiJieZhuanLiuCunShouYiDaoZhiGuDongQuanYiHeJiBianDongJinE" label="其他综合收益结转留存收益导致股东权益合计变动金额" periodRef="上年同期数" mulRef="_GBC_375aa5b655854a6fa4ef44766a5a9d36" unitRef="_GBC_6053d48a4e214ab7b17d03b28b93cb76" addr="T1R24C11S1_1" formatStyle="Comma"/>
      <m:placeholder xlName="_PLD_d9711a6aba384cc4abd4af1fb22f36f8" addr="T1R25C0S1_1"/>
      <m:item xlName="_GBC_46d4566df1c748f899191ee5bc491159" concept="clcid-pte:QiTaSuoYouZheQuanYiNeiBuJieZhuanDaoZhiShiShouZiBenHuoGuBenJingEBianDongJinE" label="其他所有者权益内部结转导致实收资本（或股本）净额变动金额" periodRef="上年同期数" mulRef="_GBC_375aa5b655854a6fa4ef44766a5a9d36" unitRef="_GBC_6053d48a4e214ab7b17d03b28b93cb76" addr="T1R25C1S1_1" formatStyle="Comma"/>
      <m:item xlName="_GBC_c13bf3c46f77405292ce2da77f841c3a" concept="clcid-pte:QiTaSuoYouZheQuanYiNeiBuJieZhuanDaoZhiQiTaQuanYiGongJuZhongDeYouXianGuBianDongJinE" label="其他所有者权益内部结转导致其他权益工具中的优先股变动金额" periodRef="上年同期数" mulRef="_GBC_375aa5b655854a6fa4ef44766a5a9d36" unitRef="_GBC_6053d48a4e214ab7b17d03b28b93cb76" addr="T1R25C2S1_1" formatStyle="Comma"/>
      <m:item xlName="_GBC_e9d95dc690024ae5996d0b36d123c7b8" concept="clcid-pte:QiTaSuoYouZheQuanYiNeiBuJieZhuanDaoZhiQiTaQuanYiGongJuZhongDeYongXuZhaiBianDongJinE" label="其他所有者权益内部结转导致其他权益工具中的永续债变动金额" periodRef="上年同期数" mulRef="_GBC_375aa5b655854a6fa4ef44766a5a9d36" unitRef="_GBC_6053d48a4e214ab7b17d03b28b93cb76" addr="T1R25C3S1_1" formatStyle="Comma"/>
      <m:item xlName="_GBC_71c4d37a30f64b9c804170e506e17d3a" concept="clcid-pte:QiTaSuoYouZheQuanYiNeiBuJieZhuanDaoZhiQiTaQuanYiGongJuZhongDeQiTaBianDongJinE" label="其他所有者权益内部结转导致其他权益工具中的其他变动金额" periodRef="上年同期数" mulRef="_GBC_375aa5b655854a6fa4ef44766a5a9d36" unitRef="_GBC_6053d48a4e214ab7b17d03b28b93cb76" addr="T1R25C4S1_1" formatStyle="Comma"/>
      <m:item xlName="_GBC_610de9092122489c810de46b59449d93" concept="clcid-pte:QiTaSuoYouZheQuanYiNeiBuJieZhuanDaoZhiZiBenGongJiBianDongJinE" label="其他所有者权益内部结转导致资本公积变动金额" periodRef="上年同期数" mulRef="_GBC_375aa5b655854a6fa4ef44766a5a9d36" unitRef="_GBC_6053d48a4e214ab7b17d03b28b93cb76" addr="T1R25C5S1_1" formatStyle="Comma"/>
      <m:item xlName="_GBC_6c1fd16301a34f0ab458049d2c270744" concept="clcid-pte:QiTaSuoYouZheQuanYiNeiBuJieZhuanDaoZhiKuCunGuBianDongJinE" label="其他所有者权益内部结转导致库存股变动金额" periodRef="上年同期数" mulRef="_GBC_375aa5b655854a6fa4ef44766a5a9d36" unitRef="_GBC_6053d48a4e214ab7b17d03b28b93cb76" addr="T1R25C6S1_1" formatStyle="Comma"/>
      <m:item xlName="_GBC_f9317df42e4c47949ec94175bcd99004" concept="clcid-pte:QiTaSuoYouZheQuanYiNeiBuJieZhuanDaoZhiQiTaZongHeShouYiBianDongJinE" label="其他所有者权益内部结转导致其他综合收益变动金额" periodRef="上年同期数" mulRef="_GBC_375aa5b655854a6fa4ef44766a5a9d36" unitRef="_GBC_6053d48a4e214ab7b17d03b28b93cb76" addr="T1R25C7S1_1" formatStyle="Comma"/>
      <m:item xlName="_GBC_f60ab977dee64dfcab2230bf60b5068a" concept="clcid-pte:QiTaSuoYouZheQuanYiNeiBuJieZhuanDaoZhiZhuanXiangChuBeiBianDongJinE" label="其他所有者权益内部结转导致专项储备变动金额" periodRef="上年同期数" mulRef="_GBC_375aa5b655854a6fa4ef44766a5a9d36" unitRef="_GBC_6053d48a4e214ab7b17d03b28b93cb76" addr="T1R25C8S1_1" formatStyle="Comma"/>
      <m:item xlName="_GBC_ab98cd8099024e58950f56819b818a3d" concept="clcid-pte:QiTaSuoYouZheQuanYiNeiBuJieZhuanDaoZhiYingYuGongJiBianDongJinE" label="其他所有者权益内部结转导致盈余公积变动金额" periodRef="上年同期数" mulRef="_GBC_375aa5b655854a6fa4ef44766a5a9d36" unitRef="_GBC_6053d48a4e214ab7b17d03b28b93cb76" addr="T1R25C9S1_1" formatStyle="Comma"/>
      <m:item xlName="_GBC_7e341195f967482eac129c454e8cef16" concept="clcid-pte:QiTaSuoYouZheQuanYiNeiBuJieZhuanDaoZhiWeiFenPeiLiRunBianDongJinE" label="其他所有者权益内部结转导致未分配利润变动金额" periodRef="上年同期数" mulRef="_GBC_375aa5b655854a6fa4ef44766a5a9d36" unitRef="_GBC_6053d48a4e214ab7b17d03b28b93cb76" addr="T1R25C10S1_1" formatStyle="Comma"/>
      <m:item xlName="_GBC_1387062fa99942b29fef45d6a3ce3cdb" concept="clcid-pte:QiTaSuoYouZheQuanYiNeiBuJieZhuanDaoZhiGuDongQuanYiHeJiBianDongJinE" label="其他所有者权益内部结转导致股东权益合计变动金额" periodRef="上年同期数" mulRef="_GBC_375aa5b655854a6fa4ef44766a5a9d36" unitRef="_GBC_6053d48a4e214ab7b17d03b28b93cb76" addr="T1R25C11S1_1" formatStyle="Comma"/>
      <m:placeholder xlName="_PLD_c9744530102e4c9b8cc5eb84b38ea627" addr="T1R26C0S1_1"/>
      <m:item xlName="_GBC_5ccd917c435143ffb689bea20171bf84" concept="clcid-pte:ZhuanXiangChuBeiDaoZhiShiShouZiBenHuoGuBenJingEBianDongJinE" label="专项储备导致实收资本（或股本）净额变动金额" periodRef="上年同期数" mulRef="_GBC_375aa5b655854a6fa4ef44766a5a9d36" unitRef="_GBC_6053d48a4e214ab7b17d03b28b93cb76" addr="T1R26C1S1_1" formatStyle="Comma">
        <m:complexRule comparator="Eq" title="专项储备导致实收资本（或股本）净额变动金额@上年同期数" test=" $_GBC_c458b1083d1949d0bf89a0f4e1f9bd94 -  $_GBC_0f4633358e154abeb89d925ee29e48e3" id="Cf77570de90f34d8db4df04543156d1c3"/>
      </m:item>
      <m:item xlName="_GBC_722216750e364e9291456f7f2c9a7b52" concept="clcid-pte:ZhuanXiangChuBeiDaoZhiQiTaQuanYiGongJuZhongDeYouXianGuBianDongJinE" label="专项储备导致其他权益工具中的优先股变动金额" periodRef="上年同期数" mulRef="_GBC_375aa5b655854a6fa4ef44766a5a9d36" unitRef="_GBC_6053d48a4e214ab7b17d03b28b93cb76" addr="T1R26C2S1_1" formatStyle="Comma">
        <m:complexRule comparator="Eq" title="专项储备导致其他权益工具中的优先股变动金额@上年同期数" test=" $_GBC_160fcad2caca4eb4b9d345cf0095ecbd -  $_GBC_901fe116f463442cbe36c34cb0a4a27b" id="C13020a1ae92a4c0387dd2d8c26585a53"/>
      </m:item>
      <m:item xlName="_GBC_4c0ad0b1f8084594adfdddfd9d11b255" concept="clcid-pte:ZhuanXiangChuBeiDaoZhiQiTaQuanYiGongJuZhongDeYongXuZhaiBianDongJinE" label="专项储备导致其他权益工具中的永续债变动金额" periodRef="上年同期数" mulRef="_GBC_375aa5b655854a6fa4ef44766a5a9d36" unitRef="_GBC_6053d48a4e214ab7b17d03b28b93cb76" addr="T1R26C3S1_1" formatStyle="Comma">
        <m:complexRule comparator="Eq" title="专项储备导致其他权益工具中的永续债变动金额@上年同期数" test=" $_GBC_eb6357459087479b8603236897a01193 -  $_GBC_ceda1b4d3a4149748655dc6d13607fd4" id="Ccb2d49a8d9e14168a988fbc543c17ed1"/>
      </m:item>
      <m:item xlName="_GBC_b3ed8c3db4ec42978cf5eb95c1f748ac" concept="clcid-pte:ZhuanXiangChuBeiDaoZhiQiTaQuanYiGongJuZhongDeQiTaBianDongJinE" label="专项储备导致其他权益工具中的其他变动金额" periodRef="上年同期数" mulRef="_GBC_375aa5b655854a6fa4ef44766a5a9d36" unitRef="_GBC_6053d48a4e214ab7b17d03b28b93cb76" addr="T1R26C4S1_1" formatStyle="Comma">
        <m:complexRule comparator="Eq" title="专项储备导致其他权益工具中的其他变动金额@上年同期数" test=" $_GBC_9a2b33e390a6483b95ab540b06605bd0 -  $_GBC_60fe795a740345a2ab23e2db8f370be1" id="C8ba7ecd81da549d88e8b001cb4e8efa3"/>
      </m:item>
      <m:item xlName="_GBC_0e3650254e5e4859b9159233dbc92aa4" concept="clcid-pte:ZhuanXiangChuBeiDaoZhiZiBenGongJiBianDongJinE" label="专项储备导致资本公积变动金额" periodRef="上年同期数" mulRef="_GBC_375aa5b655854a6fa4ef44766a5a9d36" unitRef="_GBC_6053d48a4e214ab7b17d03b28b93cb76" addr="T1R26C5S1_1" formatStyle="Comma">
        <m:complexRule comparator="Eq" title="专项储备导致资本公积变动金额@上年同期数" test=" $_GBC_8ce5c4ac413d43c1a4fedd8276b4f51a -  $_GBC_bbaed526ad3f4fdc9238cba3bd792ffa" id="C3f3050b8d42045248751f4c2c22ebeb7"/>
      </m:item>
      <m:item xlName="_GBC_33852a180fcb452fa274b580b5669596" concept="clcid-pte:ZhuanXiangChuBeiDaoZhiKuCunGuBianDongJinE" label="专项储备导致库存股变动金额" periodRef="上年同期数" mulRef="_GBC_375aa5b655854a6fa4ef44766a5a9d36" unitRef="_GBC_6053d48a4e214ab7b17d03b28b93cb76" addr="T1R26C6S1_1" formatStyle="Comma">
        <m:complexRule comparator="Eq" title="专项储备导致库存股变动金额@上年同期数" test=" $_GBC_c898f5b0d913480a9b4bf368d7967562 -  $_GBC_54c3fbc8f66f43af9e93da6f311a17c2" id="Cdbbbb7e937d84e3ca76557e5a9152ac3"/>
      </m:item>
      <m:item xlName="_GBC_3162b534a9e4408ea5b388292f5b8fc4" concept="clcid-pte:ZhuanXiangChuBeiDaoZhiQiTaZongHeShouYiBianDongJinE" label="专项储备导致其他综合收益变动金额" periodRef="上年同期数" mulRef="_GBC_375aa5b655854a6fa4ef44766a5a9d36" unitRef="_GBC_6053d48a4e214ab7b17d03b28b93cb76" addr="T1R26C7S1_1" formatStyle="Comma">
        <m:complexRule comparator="Eq" title="专项储备导致其他综合收益变动金额@上年同期数" test=" $_GBC_515f57066cc84478854f675fe8daeed1 -  $_GBC_1fe6395ab99745019526392194217ac3" id="C315632a312fd4f65b91545e07bb2339a"/>
      </m:item>
      <m:item xlName="_GBC_ee7b4b94027442c5baca639370f4f254" concept="clcid-pte:ZhuanXiangChuBeiDaoZhiZhuanXiangChuBeiBianDongJinE" label="专项储备导致专项储备变动金额" periodRef="上年同期数" mulRef="_GBC_375aa5b655854a6fa4ef44766a5a9d36" unitRef="_GBC_6053d48a4e214ab7b17d03b28b93cb76" addr="T1R26C8S1_1" formatStyle="Comma">
        <m:complexRule comparator="Eq" title="专项储备导致专项储备变动金额@上年同期数" test=" $_GBC_7a1ef57b6745475c95d9cc769a8aeb61 -  $_GBC_e6d28ab7880f4b4fa4b80981f48bca61" id="Cfcc775a8053e46238e06b798d2109120"/>
      </m:item>
      <m:item xlName="_GBC_9cf19b3fc7844c76950cf20cc635c318" concept="clcid-pte:ZhuanXiangChuBeiDaoZhiYingYuGongJiBianDongJinE" label="专项储备导致盈余公积变动金额" periodRef="上年同期数" mulRef="_GBC_375aa5b655854a6fa4ef44766a5a9d36" unitRef="_GBC_6053d48a4e214ab7b17d03b28b93cb76" addr="T1R26C9S1_1" formatStyle="Comma">
        <m:complexRule comparator="Eq" title="专项储备导致盈余公积变动金额@上年同期数" test=" $_GBC_dec480f704ae4b229f4499fa2476c0d4 -  $_GBC_8d1e2f5925db4bef8f96008d4561a0b2" id="C5a0db2c272de4524b1b29e2c9eec53ce"/>
      </m:item>
      <m:item xlName="_GBC_6935588e80ce4065b9e12ec79dfd14ad" concept="clcid-pte:ZhuanXiangChuBeiDaoZhiWeiFenPeiLiRunBianDongJinE" label="专项储备导致未分配利润变动金额" periodRef="上年同期数" mulRef="_GBC_375aa5b655854a6fa4ef44766a5a9d36" unitRef="_GBC_6053d48a4e214ab7b17d03b28b93cb76" addr="T1R26C10S1_1" formatStyle="Comma">
        <m:complexRule comparator="Eq" title="专项储备导致未分配利润变动金额@上年同期数" test=" $_GBC_8760d194d9de4571b5819b21c70ce533 -  $_GBC_e15adffe3baa4bc2b25a7ca435aacc06" id="C5bf56ba764bb429f993b4300034e804c"/>
      </m:item>
      <m:item xlName="_GBC_b6cae47f9b834bef982107154bdde7cb" concept="clcid-pte:ZhuanXiangChuBeiDaoZhiGuDongQuanYiHeJiBianDongJinE" label="专项储备导致股东权益合计变动金额" periodRef="上年同期数" mulRef="_GBC_375aa5b655854a6fa4ef44766a5a9d36" unitRef="_GBC_6053d48a4e214ab7b17d03b28b93cb76" addr="T1R26C11S1_1" formatStyle="Comma">
        <m:complexRule comparator="Eq" title="专项储备导致股东权益合计变动金额@上年同期数" test=" $_GBC_5071c9bee4474e68930cd3520b2fecbb -  $_GBC_40ac708789904de98136e5e660c86796" id="C3ba83abdf6b747a5a7a406d45874f13e"/>
      </m:item>
      <m:placeholder xlName="_PLD_a29878b2055540dca452b78c217c1ad2" addr="T1R27C0S1_1"/>
      <m:item xlName="_GBC_c458b1083d1949d0bf89a0f4e1f9bd94" concept="clcid-pte:TiQuDaoZhiShiShouZiBenHuoGuBenJingEBianDongJinE" label="提取导致实收资本（或股本）净额变动金额" periodRef="上年同期数" mulRef="_GBC_375aa5b655854a6fa4ef44766a5a9d36" unitRef="_GBC_6053d48a4e214ab7b17d03b28b93cb76" addr="T1R27C1S1_1" formatStyle="Comma"/>
      <m:item xlName="_GBC_160fcad2caca4eb4b9d345cf0095ecbd" concept="clcid-pte:TiQuDaoZhiQiTaQuanYiGongJuZhongDeYouXianGuBianDongJinE" label="提取导致其他权益工具中的优先股变动金额" periodRef="上年同期数" mulRef="_GBC_375aa5b655854a6fa4ef44766a5a9d36" unitRef="_GBC_6053d48a4e214ab7b17d03b28b93cb76" addr="T1R27C2S1_1" formatStyle="Comma"/>
      <m:item xlName="_GBC_eb6357459087479b8603236897a01193" concept="clcid-pte:TiQuDaoZhiQiTaQuanYiGongJuZhongDeYongXuZhaiBianDongJinE" label="提取导致其他权益工具中的永续债变动金额" periodRef="上年同期数" mulRef="_GBC_375aa5b655854a6fa4ef44766a5a9d36" unitRef="_GBC_6053d48a4e214ab7b17d03b28b93cb76" addr="T1R27C3S1_1" formatStyle="Comma"/>
      <m:item xlName="_GBC_9a2b33e390a6483b95ab540b06605bd0" concept="clcid-pte:TiQuDaoZhiQiTaQuanYiGongJuZhongDeQiTaBianDongJinE" label="提取导致其他权益工具中的其他变动金额" periodRef="上年同期数" mulRef="_GBC_375aa5b655854a6fa4ef44766a5a9d36" unitRef="_GBC_6053d48a4e214ab7b17d03b28b93cb76" addr="T1R27C4S1_1" formatStyle="Comma"/>
      <m:item xlName="_GBC_8ce5c4ac413d43c1a4fedd8276b4f51a" concept="clcid-pte:TiQuDaoZhiZiBenGongJiBianDongJinE" label="提取导致资本公积变动金额" periodRef="上年同期数" mulRef="_GBC_375aa5b655854a6fa4ef44766a5a9d36" unitRef="_GBC_6053d48a4e214ab7b17d03b28b93cb76" addr="T1R27C5S1_1" formatStyle="Comma"/>
      <m:item xlName="_GBC_c898f5b0d913480a9b4bf368d7967562" concept="clcid-pte:TiQuDaoZhiKuCunGuBianDongJinE" label="提取导致库存股变动金额" periodRef="上年同期数" mulRef="_GBC_375aa5b655854a6fa4ef44766a5a9d36" unitRef="_GBC_6053d48a4e214ab7b17d03b28b93cb76" addr="T1R27C6S1_1" formatStyle="Comma"/>
      <m:item xlName="_GBC_515f57066cc84478854f675fe8daeed1" concept="clcid-pte:TiQuDaoZhiQiTaZongHeShouYiBianDongJinE" label="提取导致其他综合收益变动金额" periodRef="上年同期数" mulRef="_GBC_375aa5b655854a6fa4ef44766a5a9d36" unitRef="_GBC_6053d48a4e214ab7b17d03b28b93cb76" addr="T1R27C7S1_1" formatStyle="Comma"/>
      <m:item xlName="_GBC_7a1ef57b6745475c95d9cc769a8aeb61" concept="clcid-pte:TiQuDaoZhiZhuanXiangChuBeiBianDongJinE" label="提取导致专项储备变动金额" periodRef="上年同期数" mulRef="_GBC_375aa5b655854a6fa4ef44766a5a9d36" unitRef="_GBC_6053d48a4e214ab7b17d03b28b93cb76" addr="T1R27C8S1_1" formatStyle="Comma"/>
      <m:item xlName="_GBC_dec480f704ae4b229f4499fa2476c0d4" concept="clcid-pte:TiQuDaoZhiYingYuGongJiBianDongJinE" label="提取导致盈余公积变动金额" periodRef="上年同期数" mulRef="_GBC_375aa5b655854a6fa4ef44766a5a9d36" unitRef="_GBC_6053d48a4e214ab7b17d03b28b93cb76" addr="T1R27C9S1_1" formatStyle="Comma"/>
      <m:item xlName="_GBC_8760d194d9de4571b5819b21c70ce533" concept="clcid-pte:TiQuDaoZhiWeiFenPeiLiRunBianDongJinE" label="提取导致未分配利润变动金额" periodRef="上年同期数" mulRef="_GBC_375aa5b655854a6fa4ef44766a5a9d36" unitRef="_GBC_6053d48a4e214ab7b17d03b28b93cb76" addr="T1R27C10S1_1" formatStyle="Comma"/>
      <m:item xlName="_GBC_5071c9bee4474e68930cd3520b2fecbb" concept="clcid-pte:TiQuDaoZhiGuDongQuanYiHeJiBianDongJinE" label="提取导致股东权益合计变动金额" periodRef="上年同期数" mulRef="_GBC_375aa5b655854a6fa4ef44766a5a9d36" unitRef="_GBC_6053d48a4e214ab7b17d03b28b93cb76" addr="T1R27C11S1_1" formatStyle="Comma"/>
      <m:placeholder xlName="_PLD_35f335e717a244d4a0e58cb726b983f6" addr="T1R28C0S1_1"/>
      <m:item xlName="_GBC_0f4633358e154abeb89d925ee29e48e3" concept="clcid-pte:ShiYongDaoZhiShiShouZiBenHuoGuBenJingEBianDongJinE" label="使用导致实收资本（或股本）净额变动金额" periodRef="上年同期数" mulRef="_GBC_375aa5b655854a6fa4ef44766a5a9d36" unitRef="_GBC_6053d48a4e214ab7b17d03b28b93cb76" addr="T1R28C1S1_1" formatStyle="Comma"/>
      <m:item xlName="_GBC_901fe116f463442cbe36c34cb0a4a27b" concept="clcid-pte:ShiYongDaoZhiQiTaQuanYiGongJuZhongDeYouXianGuBianDongJinE" label="使用导致其他权益工具中的优先股变动金额" periodRef="上年同期数" mulRef="_GBC_375aa5b655854a6fa4ef44766a5a9d36" unitRef="_GBC_6053d48a4e214ab7b17d03b28b93cb76" addr="T1R28C2S1_1" formatStyle="Comma"/>
      <m:item xlName="_GBC_ceda1b4d3a4149748655dc6d13607fd4" concept="clcid-pte:ShiYongDaoZhiQiTaQuanYiGongJuZhongDeYongXuZhaiBianDongJinE" label="使用导致其他权益工具中的永续债变动金额" periodRef="上年同期数" mulRef="_GBC_375aa5b655854a6fa4ef44766a5a9d36" unitRef="_GBC_6053d48a4e214ab7b17d03b28b93cb76" addr="T1R28C3S1_1" formatStyle="Comma"/>
      <m:item xlName="_GBC_60fe795a740345a2ab23e2db8f370be1" concept="clcid-pte:ShiYongDaoZhiQiTaQuanYiGongJuZhongDeQiTaBianDongJinE" label="使用导致其他权益工具中的其他变动金额" periodRef="上年同期数" mulRef="_GBC_375aa5b655854a6fa4ef44766a5a9d36" unitRef="_GBC_6053d48a4e214ab7b17d03b28b93cb76" addr="T1R28C4S1_1" formatStyle="Comma"/>
      <m:item xlName="_GBC_bbaed526ad3f4fdc9238cba3bd792ffa" concept="clcid-pte:ShiYongDaoZhiZiBenGongJiBianDongJinE" label="使用导致资本公积变动金额" periodRef="上年同期数" mulRef="_GBC_375aa5b655854a6fa4ef44766a5a9d36" unitRef="_GBC_6053d48a4e214ab7b17d03b28b93cb76" addr="T1R28C5S1_1" formatStyle="Comma"/>
      <m:item xlName="_GBC_54c3fbc8f66f43af9e93da6f311a17c2" concept="clcid-pte:ShiYongDaoZhiKuCunGuBianDongJinE" label="使用导致库存股变动金额" periodRef="上年同期数" mulRef="_GBC_375aa5b655854a6fa4ef44766a5a9d36" unitRef="_GBC_6053d48a4e214ab7b17d03b28b93cb76" addr="T1R28C6S1_1" formatStyle="Comma"/>
      <m:item xlName="_GBC_1fe6395ab99745019526392194217ac3" concept="clcid-pte:ShiYongDaoZhiQiTaZongHeShouYiBianDongJinE" label="使用导致其他综合收益变动金额" periodRef="上年同期数" mulRef="_GBC_375aa5b655854a6fa4ef44766a5a9d36" unitRef="_GBC_6053d48a4e214ab7b17d03b28b93cb76" addr="T1R28C7S1_1" formatStyle="Comma"/>
      <m:item xlName="_GBC_e6d28ab7880f4b4fa4b80981f48bca61" concept="clcid-pte:ShiYongDaoZhiZhuanXiangChuBeiBianDongJinE" label="使用导致专项储备变动金额" periodRef="上年同期数" mulRef="_GBC_375aa5b655854a6fa4ef44766a5a9d36" unitRef="_GBC_6053d48a4e214ab7b17d03b28b93cb76" addr="T1R28C8S1_1" formatStyle="Comma"/>
      <m:item xlName="_GBC_8d1e2f5925db4bef8f96008d4561a0b2" concept="clcid-pte:ShiYongDaoZhiYingYuGongJiBianDongJinE" label="使用导致盈余公积变动金额" periodRef="上年同期数" mulRef="_GBC_375aa5b655854a6fa4ef44766a5a9d36" unitRef="_GBC_6053d48a4e214ab7b17d03b28b93cb76" addr="T1R28C9S1_1" formatStyle="Comma"/>
      <m:item xlName="_GBC_e15adffe3baa4bc2b25a7ca435aacc06" concept="clcid-pte:ShiYongDaoZhiWeiFenPeiLiRunBianDongJinE" label="使用导致未分配利润变动金额" periodRef="上年同期数" mulRef="_GBC_375aa5b655854a6fa4ef44766a5a9d36" unitRef="_GBC_6053d48a4e214ab7b17d03b28b93cb76" addr="T1R28C10S1_1" formatStyle="Comma"/>
      <m:item xlName="_GBC_40ac708789904de98136e5e660c86796" concept="clcid-pte:ShiYongDaoZhiGuDongQuanYiHeJiBianDongJinE" label="使用导致股东权益合计变动金额" periodRef="上年同期数" mulRef="_GBC_375aa5b655854a6fa4ef44766a5a9d36" unitRef="_GBC_6053d48a4e214ab7b17d03b28b93cb76" addr="T1R28C11S1_1" formatStyle="Comma"/>
      <m:placeholder xlName="_PLD_958b3d85247646cea7c0fb7c4b37e1be" addr="T1R29C0S1_1"/>
      <m:item xlName="_GBC_152fc8a431174e9bb3580244827a78b7" concept="clcid-pte:QiTaDaoZhiShiShouZiBenHuoGuBenJingEBianDongJinE" label="其他导致实收资本（或股本）净额变动金额" periodRef="上年同期数" mulRef="_GBC_375aa5b655854a6fa4ef44766a5a9d36" unitRef="_GBC_6053d48a4e214ab7b17d03b28b93cb76" addr="T1R29C1S1_1" formatStyle="Comma"/>
      <m:item xlName="_GBC_b6808a7fa8b942deb4ee0bfaa3092b13" concept="clcid-pte:QiTaDaoZhiQiTaQuanYiGongJuZhongDeYouXianGuBianDongJinE" label="其他导致其他权益工具中的优先股变动金额" periodRef="上年同期数" mulRef="_GBC_375aa5b655854a6fa4ef44766a5a9d36" unitRef="_GBC_6053d48a4e214ab7b17d03b28b93cb76" addr="T1R29C2S1_1" formatStyle="Comma"/>
      <m:item xlName="_GBC_a61fd4810b784b80a5c8f2d723b1df2a" concept="clcid-pte:QiTaDaoZhiQiTaQuanYiGongJuZhongDeYongXuZhaiBianDongJinE" label="其他导致其他权益工具中的永续债变动金额" periodRef="上年同期数" mulRef="_GBC_375aa5b655854a6fa4ef44766a5a9d36" unitRef="_GBC_6053d48a4e214ab7b17d03b28b93cb76" addr="T1R29C3S1_1" formatStyle="Comma"/>
      <m:item xlName="_GBC_95813de16a7e4c719b0196e8c683e758" concept="clcid-pte:QiTaDaoZhiQiTaQuanYiGongJuZhongDeQiTaBianDongJinE" label="其他导致其他权益工具中的其他变动金额" periodRef="上年同期数" mulRef="_GBC_375aa5b655854a6fa4ef44766a5a9d36" unitRef="_GBC_6053d48a4e214ab7b17d03b28b93cb76" addr="T1R29C4S1_1" formatStyle="Comma"/>
      <m:item xlName="_GBC_fc56918d24d24005a1668ccae0df5e5b" concept="clcid-pte:QiTaDaoZhiZiBenGongJiBianDongJinE" label="其他导致资本公积变动金额" periodRef="上年同期数" mulRef="_GBC_375aa5b655854a6fa4ef44766a5a9d36" unitRef="_GBC_6053d48a4e214ab7b17d03b28b93cb76" addr="T1R29C5S1_1" formatStyle="Comma"/>
      <m:item xlName="_GBC_c00d228790d647b8a4c31635fb659ba1" concept="clcid-pte:QiTaDaoZhiKuCunGuBianDongJinE" label="其他导致库存股变动金额" periodRef="上年同期数" mulRef="_GBC_375aa5b655854a6fa4ef44766a5a9d36" unitRef="_GBC_6053d48a4e214ab7b17d03b28b93cb76" addr="T1R29C6S1_1" formatStyle="Comma"/>
      <m:item xlName="_GBC_4994353ccbdf47f9b9719b1484111bed" concept="clcid-pte:QiTaDaoZhiQiTaZongHeShouYiBianDongJinE" label="其他导致其他综合收益变动金额" periodRef="上年同期数" mulRef="_GBC_375aa5b655854a6fa4ef44766a5a9d36" unitRef="_GBC_6053d48a4e214ab7b17d03b28b93cb76" addr="T1R29C7S1_1" formatStyle="Comma"/>
      <m:item xlName="_GBC_0ec199af41f9457fb29981454e41a6e5" concept="clcid-pte:QiTaDaoZhiZhuanXiangChuBeiBianDongJinE" label="其他导致专项储备变动金额" periodRef="上年同期数" mulRef="_GBC_375aa5b655854a6fa4ef44766a5a9d36" unitRef="_GBC_6053d48a4e214ab7b17d03b28b93cb76" addr="T1R29C8S1_1" formatStyle="Comma"/>
      <m:item xlName="_GBC_91c9d9a60100466ba2b3f5a91aaa7ef4" concept="clcid-pte:QiTaDaoZhiYingYuGongJiBianDongJinE" label="其他导致盈余公积变动金额" periodRef="上年同期数" mulRef="_GBC_375aa5b655854a6fa4ef44766a5a9d36" unitRef="_GBC_6053d48a4e214ab7b17d03b28b93cb76" addr="T1R29C9S1_1" formatStyle="Comma"/>
      <m:item xlName="_GBC_46d7b23c085c49c483c11ba7bfefff2a" concept="clcid-pte:QiTaDaoZhiWeiFenPeiLiRunBianDongJinE" label="其他导致未分配利润变动金额" periodRef="上年同期数" mulRef="_GBC_375aa5b655854a6fa4ef44766a5a9d36" unitRef="_GBC_6053d48a4e214ab7b17d03b28b93cb76" addr="T1R29C10S1_1" formatStyle="Comma"/>
      <m:item xlName="_GBC_1c6d3b4dc83f4ae4a05ca332a7d6fd7f" concept="clcid-pte:QiTaDaoZhiGuDongQuanYiHeJiBianDongJinE" label="其他导致股东权益合计变动金额" periodRef="上年同期数" mulRef="_GBC_375aa5b655854a6fa4ef44766a5a9d36" unitRef="_GBC_6053d48a4e214ab7b17d03b28b93cb76" addr="T1R29C11S1_1" formatStyle="Comma"/>
      <m:placeholder xlName="_PLD_2ab46175bfff4e6ba56c4cf6a9432cba" addr="T1R30C0S1_1"/>
      <m:item xlName="_GBC_61e1483787614945b29d1485e8914f3b" concept="clcid-pte:GuBen" label="股本" periodRef="上年同期期末数" mulRef="_GBC_375aa5b655854a6fa4ef44766a5a9d36" unitRef="_GBC_6053d48a4e214ab7b17d03b28b93cb76" addr="T1R30C1S1_1" formatStyle="Comma">
        <m:complexRule comparator="Eq" title="股本@上年同期期末数" test=" $_GBC_64af9c9dd2c34b9eb34295b3c5c38442 +  $_GBC_4632b070e6cd423c8a67e0fd30fc59d9" id="C2578a9ec54b845f4ad37bc40dd612bac"/>
      </m:item>
      <m:item xlName="_GBC_2cc18d1037bf41178429f7f9e98b54a1" concept="clcid-pte:QiTaQuanYiGongJuQiZhongYouXianGu" label="其他权益工具-其中：优先股" periodRef="上年同期期末数" mulRef="_GBC_375aa5b655854a6fa4ef44766a5a9d36" unitRef="_GBC_6053d48a4e214ab7b17d03b28b93cb76" addr="T1R30C2S1_1" formatStyle="Comma">
        <m:complexRule comparator="Eq" title="其他权益工具-其中：优先股@上年同期期末数" test=" $_GBC_7d40071ac5d14d978b2598f956174cf4 +  $_GBC_5414879d5d1f48ed9990290373895c7d" id="C74a600b1e28146ac8f965e1ed22266f0"/>
      </m:item>
      <m:item xlName="_GBC_e95bb64131e247a89cc4e0f6bc67befd" concept="clcid-pte:QiTaQuanYiGongJuYongXuZhai" label="其他权益工具-永续债" periodRef="上年同期期末数" mulRef="_GBC_375aa5b655854a6fa4ef44766a5a9d36" unitRef="_GBC_6053d48a4e214ab7b17d03b28b93cb76" addr="T1R30C3S1_1" formatStyle="Comma">
        <m:complexRule comparator="Eq" title="其他权益工具-永续债@上年同期期末数" test=" $_GBC_db14aa9a8b32428a999a5b2dbac8d0ed +  $_GBC_3f699d2795d44e41a659654f2560a4d8" id="C6e81621fc50f471499fea4d21abfc35b"/>
      </m:item>
      <m:item xlName="_GBC_26ed5b56029c4bb0b668962c0b176893" concept="clcid-pte:QiTaQuanYiGongJuQiTa" label="其他权益工具-其他" periodRef="上年同期期末数" mulRef="_GBC_375aa5b655854a6fa4ef44766a5a9d36" unitRef="_GBC_6053d48a4e214ab7b17d03b28b93cb76" addr="T1R30C4S1_1" formatStyle="Comma">
        <m:complexRule comparator="Eq" title="其他权益工具-其他@上年同期期末数" test=" $_GBC_c4261e81263e431bb657e0440482ce49 +  $_GBC_15c11a29d0d145af970a854f513e6c1f" id="C3ab166944371457f909103732b54ce36"/>
      </m:item>
      <m:item xlName="_GBC_427dacf1aeb84468acc1b0de02dc1bf7" concept="clcid-pte:ZiBenGongJi" label="资本公积" periodRef="上年同期期末数" mulRef="_GBC_375aa5b655854a6fa4ef44766a5a9d36" unitRef="_GBC_6053d48a4e214ab7b17d03b28b93cb76" addr="T1R30C5S1_1" formatStyle="Comma">
        <m:complexRule comparator="Eq" title="资本公积@上年同期期末数" test=" $_GBC_db782dfd2bae45d396a0e0fef2f61a58 +  $_GBC_153cb689e384495c8dbbe4cdad581f26" id="C58c2d800ab9b4d5380798b50436bb2a6"/>
      </m:item>
      <m:item xlName="_GBC_f246a5e75e71468aa5af2a1dec44d0a9" concept="clcid-pte:KuCunGu" label="库存股" periodRef="上年同期期末数" mulRef="_GBC_375aa5b655854a6fa4ef44766a5a9d36" unitRef="_GBC_6053d48a4e214ab7b17d03b28b93cb76" addr="T1R30C6S1_1" formatStyle="Comma">
        <m:complexRule comparator="Eq" title="库存股@上年同期期末数" test=" $_GBC_97131a0dce19455facc205df4ca5a400 +  $_GBC_11812d49465e4d00ab2dce0312776272" id="C30d4713b5dc1443086efcc459ed03577"/>
      </m:item>
      <m:item xlName="_GBC_fd4e8a62ed004ba9ac00a0285a2e4f85" concept="clcid-pte:QiTaZongHeShouYiZiChanFuZhaiBiaoXiangMu" label="其他综合收益（资产负债表项目）" periodRef="上年同期期末数" mulRef="_GBC_375aa5b655854a6fa4ef44766a5a9d36" unitRef="_GBC_6053d48a4e214ab7b17d03b28b93cb76" addr="T1R30C7S1_1" formatStyle="Comma">
        <m:complexRule comparator="Eq" title="其他综合收益（资产负债表项目）@上年同期期末数" test=" $_GBC_5ce2fdb56aeb4150b6b0e26da9c6f244 +  $_GBC_a76bbf5cca184f4e9730df79b64b1bbc" id="C48d1357c3ed445aeb77092ea1c103aa5"/>
      </m:item>
      <m:item xlName="_GBC_e7be11552c2d405d9f838a67fe7411e8" concept="clcid-pte:ZhuanXiangChuBei" label="专项储备" periodRef="上年同期期末数" mulRef="_GBC_375aa5b655854a6fa4ef44766a5a9d36" unitRef="_GBC_6053d48a4e214ab7b17d03b28b93cb76" addr="T1R30C8S1_1" formatStyle="Comma">
        <m:complexRule comparator="Eq" title="专项储备@上年同期期末数" test=" $_GBC_a91a55653c76489ab7f160dcf2f9ba0d +  $_GBC_2fe7145f225c4ba494a58c098bc28b39" id="Ca9e7db6e04c943c694ae8947ab5741df"/>
      </m:item>
      <m:item xlName="_GBC_5ae4d6a3bf5d4303b080363bdb2157d4" concept="clcid-pte:YingYuGongJi" label="盈余公积" periodRef="上年同期期末数" mulRef="_GBC_375aa5b655854a6fa4ef44766a5a9d36" unitRef="_GBC_6053d48a4e214ab7b17d03b28b93cb76" addr="T1R30C9S1_1" formatStyle="Comma">
        <m:complexRule comparator="Eq" title="盈余公积@上年同期期末数" test=" $_GBC_7e2304643380463cbca662749b0c790e +  $_GBC_a778918dd9c046d9aeea8c0081a957ed" id="C44efb54211914aa19ed236c787063f58"/>
      </m:item>
      <m:item xlName="_GBC_0771790bde2d4530bcce788e1c67c652" concept="clcid-pte:WeiFenPeiLiRun" label="未分配利润" periodRef="上年同期期末数" mulRef="_GBC_375aa5b655854a6fa4ef44766a5a9d36" unitRef="_GBC_6053d48a4e214ab7b17d03b28b93cb76" addr="T1R30C10S1_1" formatStyle="Comma">
        <m:complexRule comparator="Eq" title="未分配利润@上年同期期末数" test=" $_GBC_bb7c8abbcc634403bfc379fe31f87f40 +  $_GBC_66a7795a07724631b91b6f58d5aa4ff8" id="Caf1794e3bcf043128b0a198eac1ced40"/>
      </m:item>
      <m:item xlName="_GBC_15ee50e0f71f4e5e87f6c2c54b1cf19b" concept="clcid-pte:GuDongQuanYiHeJi" label="股东权益合计" periodRef="上年同期期末数" mulRef="_GBC_375aa5b655854a6fa4ef44766a5a9d36" unitRef="_GBC_6053d48a4e214ab7b17d03b28b93cb76" addr="T1R30C11S1_1" formatStyle="Comma">
        <m:complexRule comparator="Eq" title="股东权益合计@上年同期期末数" test=" $_GBC_b74c9f872b7d4b5f8d697a8dfc72012e +  $_GBC_f459f68e03564ab09751a863e95f1441" id="Ca33818759b644652af1212c2a151007f"/>
      </m:item>
      <m:item xlName="_GBC_a003c6ca7ced435f875f75f166523520" concept="clcid-mr:GongSiFuZeRenXingMing" label="公司负责人姓名" binding="true"/>
      <m:item xlName="_GBC_eb01d1da334f4e8c9bd9fc6f62c15e98" concept="clcid-mr:ZhuGuanKuaiJiGongZuoFuZeRenXingMing" label="主管会计工作负责人姓名" binding="true"/>
      <m:item xlName="_GBC_4fecf9c6979f43bdb70043d3f9c804d2" concept="clcid-mr:KuaiJiJiGouFuZeRenXingMing" label="会计机构负责人姓名" binding="true"/>
      <m:rowModel/>
    </m:section>
    <m:section xlName="_GBC_c49d72d4b04e4ead97addb731e9b6458" title="公司基本情况" convertSummaryRule="NoConvert" summaryGuid="_GBC_ead62fec9ac245fe95069bd393ba35da" helpId="112001003" helpText="注：说明公司注册地、总部地址、业务性质、主要经营活动以及财务报告批准报出日。 \n注：简要说明本期的合并财务报表范围及其变化情况，并与“本附注八合并范围的变更” 、“本附注九、在其他主体中的权益”索引。\n注：根据《公开发行证券的公司信息披露内容与格式准则第2号——年度报告的内容与格式（2014年修订）》第六十七条，公司应当分析财务报表合并范围变化的原因和影响。">
      <m:item xlName="_GBC_2e5fe5b3ed964f468989da49e4242039" concept="clcid-ci-ar:ShiFouShiYongGongSiGaiKuang" label="是否适用：公司概况" selectOptions="_buildInAppliance" controlType="CustomCheckbox" cRanges="{&quot;StartName&quot;:&quot;_GBC_2e5fe5b3ed964f468989da49e4242039&quot;,&quot;EndName&quot;:&quot;_GBC_dfec127af3a7441dade8cb0f67119e66&quot;,&quot;CType&quot;:1,&quot;DisplayText&quot;:null}"/>
      <m:item xlName="_GBC_dfec127af3a7441dade8cb0f67119e66" concept="clcid-pte:GongSiGaiKuang" label="公司概况" appId="_GBC_2e5fe5b3ed964f468989da49e4242039"/>
      <m:item xlName="_GBC_ea2f3ec3b347465c8c563d4599124150" concept="clcid-ci-ar:ShiFouShiYongHeBingCaiWuBaoBiaoFanWei" label="是否适用：合并财务报表范围" selectOptions="_buildInAppliance" controlType="CustomCheckbox" cRanges="{&quot;StartName&quot;:&quot;_GBC_ea2f3ec3b347465c8c563d4599124150&quot;,&quot;EndName&quot;:&quot;_GBC_696c121eead146fba6371fa5b371b2fc&quot;,&quot;CType&quot;:1,&quot;DisplayText&quot;:null}"/>
      <m:item xlName="_GBC_696c121eead146fba6371fa5b371b2fc" concept="clcid-pte:BenNianDuHeBingCaiWuBaoBiaoFanWei" label="本年度合并财务报表范围" appId="_GBC_ea2f3ec3b347465c8c563d4599124150"/>
    </m:section>
    <m:section xlName="_GBC_6d12949d3695402592266a78137dcfb5" title="财务报表的编制基础" helpId="112001007">
      <m:item xlName="_GBC_1dc2375ed7ab49628f5badf2d5006405" concept="clcid-pte:CaiWuBaoBiaoDeBianZhiJiChu" label="财务报表的编制基础"/>
    </m:section>
    <m:section xlName="_GBC_69ae6baeacb44e8fa17b0b984abbf6ab" title="持续经营" helpId="112001008" helpText="注：公司应评价自报告期末起12个月的持续经营能力。评价结果表明对持续能力产生重大怀疑的，公司应披露导致对持续经营能力产生重大怀疑的因素以及公司拟采取的改善措施。">
      <m:item xlName="_GBC_7a7bd82392314f508ef1adfe80947192" concept="clcid-ci-ar:ShiFouShiYongChiXuJingYing" label="是否适用：持续经营" selectOptions="_buildInAppliance" controlType="CustomCheckbox" cRanges="{&quot;StartName&quot;:&quot;_GBC_7a7bd82392314f508ef1adfe80947192&quot;,&quot;EndName&quot;:&quot;_GBC_dc876c24006b428987a041949eb554f3&quot;,&quot;CType&quot;:1,&quot;DisplayText&quot;:null}"/>
      <m:item xlName="_GBC_dc876c24006b428987a041949eb554f3" concept="clcid-pte:ChiXuJingYing" label="持续经营" appId="_GBC_7a7bd82392314f508ef1adfe80947192"/>
    </m:section>
    <m:section xlName="_GBC_03d97fea34d045cb980749ccc6860a5a" title="具体会计政策和会计估计提示" rules="R2015_R11_001" helpId="112001010" helpText="注：公司根据实际生产经营特点制定的具体会计政策和会计估计，应在本节开始部分对相关事项进行提示。">
      <m:item xlName="_GBC_77c62823e3884e1fbfb236cea1f9f425" concept="clcid-ci-ar:ShiFouShiYongJuTiHuiJiZhengCeHeHuiJiGuJiTiShi" label="是否适用：具体会计政策和会计估计提示" selectOptions="_buildInAppliance" controlType="CustomCheckbox" cRanges="{&quot;StartName&quot;:&quot;_GBC_77c62823e3884e1fbfb236cea1f9f425&quot;,&quot;EndName&quot;:&quot;_GBC_caddaeaf0d1a454ab0bede37f0db7782&quot;,&quot;CType&quot;:1,&quot;DisplayText&quot;:null}"/>
      <m:item xlName="_GBC_caddaeaf0d1a454ab0bede37f0db7782" concept="clcid-pte:JuTiHuiJiZhengCeHeHuiJiGuJiTiShi" label="具体会计政策和会计估计提示" appId="_GBC_77c62823e3884e1fbfb236cea1f9f425"/>
    </m:section>
    <m:section xlName="_GBC_a0afbb5b3a444bce84ee78a2a282cb28" title="遵循企业会计准则的声明" helpId="112001010">
      <m:item xlName="_GBC_a350b889163a4ef3bb500c021e6a6b47" concept="clcid-pte:KuaiJiZhunZeHeKuaiJiZhiDu" label="会计准则和会计制度"/>
    </m:section>
    <m:section xlName="_GBC_2d7f332501c8461ea731797db5588ee5" title="会计期间" helpId="112001010">
      <m:item xlName="_GBC_fc896fba50b143f8a06984831f5d5600" concept="clcid-pte:KuaiJiNianDu" label="会计年度"/>
    </m:section>
    <m:section xlName="_GBC_b045784ca7904d52a060134ffec0d88c" title="营业周期" ignorePeriod="1" helpId="112001012" helpText="注：公司对营业周期不同于12个月，并以营业周期作为资产和负债的流动性划分标准的，应说明营业周期及确定依据。">
      <m:item xlName="_GBC_1668f7f497234cf886206b57711c4c87" concept="clcid-ci-ar:ShiFouShiYongYingYeZhouQi" label="是否适用：营业周期" selectOptions="_buildInAppliance" controlType="CustomCheckbox" cRanges="{&quot;StartName&quot;:&quot;_GBC_1668f7f497234cf886206b57711c4c87&quot;,&quot;EndName&quot;:&quot;_GBC_e145e43187d9463889884f48e9e0b234&quot;,&quot;CType&quot;:1,&quot;DisplayText&quot;:null}"/>
      <m:item xlName="_GBC_e145e43187d9463889884f48e9e0b234" concept="clcid-pte:YingYeZhouQi" label="营业周期" appId="_GBC_1668f7f497234cf886206b57711c4c87"/>
    </m:section>
    <m:section xlName="_GBC_13b1061968754e20bebf2099281ed54f" title="记账本位币" helpId="112001010">
      <m:item xlName="_GBC_3749a2357eba44e8b968cb41cda75ff1" concept="clcid-pte:JiZhangBenWeiBi" label="记账本位币"/>
    </m:section>
    <m:section xlName="_GBC_f44e1e76b2a3457ea36bc088adcbb4c3" title="同一控制下和非同一控制下企业合并的会计处理方法" ignorePeriod="1" convertSummaryRule="NoConvert" helpId="112001010">
      <m:item xlName="_GBC_15953b39483a4ce1a5c96869e4a0ae9c" concept="clcid-ci-ar:ShiFouShiYongTongYiKongZhiXiaHeFeiTongYiKongZhiXiaQiYeHeBingDeHuiJiChuLiFangFa" label="是否适用：同一控制下和非同一控制下企业合并的会计处理方法" selectOptions="_buildInAppliance" controlType="CustomCheckbox" cRanges="{&quot;StartName&quot;:&quot;_GBC_15953b39483a4ce1a5c96869e4a0ae9c&quot;,&quot;EndName&quot;:&quot;_GBC_ef4b9a8d4ac34f45a0f61a23267bcbb8&quot;,&quot;CType&quot;:1,&quot;DisplayText&quot;:null}"/>
      <m:item xlName="_GBC_ef4b9a8d4ac34f45a0f61a23267bcbb8" concept="clcid-pte:TongYiKongZhiXiaHeFeiTongYiKongZhiXiaQiYeHeBingDeKuaiJiChuLiFangFa" label="同一控制下和非同一控制下企业合并的会计处理方法" appId="_GBC_15953b39483a4ce1a5c96869e4a0ae9c"/>
    </m:section>
    <m:section xlName="_GBC_c23be25e527044f689b710dabd312b04" title="合并财务报表的编制方法" ignorePeriod="1" helpId="112001010">
      <m:item xlName="_GBC_dad2e053cc8c4461a681b3e4926c48a6" concept="clcid-ci-ar:ShiFouShiYongHeBingCaiWuBaoBiaoDeBianZhiFangFa" label="是否适用：合并财务报表的编制方法" selectOptions="_buildInAppliance" controlType="CustomCheckbox" cRanges="{&quot;StartName&quot;:&quot;_GBC_dad2e053cc8c4461a681b3e4926c48a6&quot;,&quot;EndName&quot;:&quot;_GBC_5201beca0c0944939b4a0d8d100d6fcf&quot;,&quot;CType&quot;:1,&quot;DisplayText&quot;:null}"/>
      <m:item xlName="_GBC_5201beca0c0944939b4a0d8d100d6fcf" concept="clcid-pte:QiYeHeBingJiHeBingCaiWuBaoBiaoDeShuoMing" label="企业合并及合并财务报表的说明" appId="_GBC_dad2e053cc8c4461a681b3e4926c48a6"/>
    </m:section>
    <m:section xlName="_GBC_a6643877dd0341e39dee12c064dc6fdc" title="合营安排分类及共同经营会计处理方法" ignorePeriod="1" helpId="112001010">
      <m:item xlName="_GBC_f94c8519453541fe9de852d3064d61d5" concept="clcid-ci-ar:ShiFouShiYongHeYingAnPaiFenLeiJiGongTongJingYingHuiJiChuLiFangFa" label="是否适用：合营安排分类及共同经营会计处理方法" selectOptions="_buildInAppliance" controlType="CustomCheckbox" cRanges="{&quot;StartName&quot;:&quot;_GBC_f94c8519453541fe9de852d3064d61d5&quot;,&quot;EndName&quot;:&quot;_GBC_cf67ede4230c4056b34792c6a0db55e2&quot;,&quot;CType&quot;:1,&quot;DisplayText&quot;:null}"/>
      <m:item xlName="_GBC_cf67ede4230c4056b34792c6a0db55e2" concept="clcid-pte:HeYingAnPaiFenLeiJiGongTongJingYingHuiJiChuLiFangFa" label="合营安排分类及共同经营会计处理方法" appId="_GBC_f94c8519453541fe9de852d3064d61d5"/>
    </m:section>
    <m:section xlName="_GBC_9f2dfe6521c4434b9ad3e7bb1a8a52b7" title="现金及现金等价物的确定标准" helpId="112001010">
      <m:item xlName="_GBC_54f6bc3e44e840bc85cb3872600823b5" concept="clcid-pte:XianJinJiXianJinDengJiaWuDeQueDingBiaoZhun" label="现金及现金等价物的确定标准"/>
    </m:section>
    <m:section xlName="_GBC_cff1e1487c3242a8a1be0ce9c2b7a554" title="外币业务和外币报表折算" ignorePeriod="1" convertSummaryRule="NoConvert" helpId="112001013" helpText="注：说明发生外币交易时折算汇率的确定方法、在资产负债表日外币货币性项目采用的折算方法、汇兑损益的处理方法以及外币报表折算的会计处理方法。">
      <m:item xlName="_GBC_cd1fc5c05f5e49ed9ea2fffe41d0d113" concept="clcid-ci-ar:ShiFouShiYongWaiBiYeWuHeWaiBiBaoBiaoZheSuan" label="是否适用：外币业务和外币报表折算" selectOptions="_buildInAppliance" controlType="CustomCheckbox" cRanges="{&quot;StartName&quot;:&quot;_GBC_cd1fc5c05f5e49ed9ea2fffe41d0d113&quot;,&quot;EndName&quot;:&quot;_GBC_1703fe5fc56b42a8972c0906a4ac6d6b&quot;,&quot;CType&quot;:1,&quot;DisplayText&quot;:null}"/>
      <m:item xlName="_GBC_1703fe5fc56b42a8972c0906a4ac6d6b" concept="clcid-pte:WaiBiYeWuHeSuanFangFa" label="外币业务核算方法" appId="_GBC_cd1fc5c05f5e49ed9ea2fffe41d0d113"/>
    </m:section>
    <m:section xlName="_GBC_4b3a058b038b41689d379e6a2726a904" title="金融工具" ignorePeriod="1" helpId="112001014" helpText="注：说明金融工具的分类、确认依据和计量方法，金融资产转移的确认依据和计量方法，金融负债终止确认条件，金融资产和金融负债的公允价值确定方法，金融资产（此处不含应收款项）减值的测试方法及会计处理方法。">
      <m:item xlName="_GBC_285bdf73a629411f9c5d05731712b876" concept="clcid-ci-ar:ShiFouShiYongJinRongGongJuZhongYaoHuiJiZhengCeHeGuJi" label="是否适用：金融工具_重要会计政策和估计" selectOptions="_buildInAppliance" controlType="CustomCheckbox" cRanges="{&quot;StartName&quot;:&quot;_GBC_285bdf73a629411f9c5d05731712b876&quot;,&quot;EndName&quot;:&quot;_GBC_b358067bbe2a49bf880c383a5db50d8a&quot;,&quot;CType&quot;:1,&quot;DisplayText&quot;:null}"/>
      <m:item xlName="_GBC_b358067bbe2a49bf880c383a5db50d8a" concept="clcid-pte:JinRongZiChanHeJinRongFuZhaiDeHeSuanFangFa" label="金融资产和金融负债的核算方法" appId="_GBC_285bdf73a629411f9c5d05731712b876"/>
    </m:section>
    <m:section xlName="_SEC_fe6dfe1a730f4d3183b25ca057cb8f6a" title="应收票据应收票据的预期信用损失的确定方法及会计处理方法" ignorePeriod="1">
      <m:item xlName="_GBC_ba8bc88e72f44e2da5528a3b21ae6dd5" concept="clcid-ci-ar:ShiFouShiYongYingShouPiaoJuDeYuQiXinYongSunShiDeQueDingFangFaJiKuaiJiChuLiFangFa" label="是否适用：应收票据的预期信用损失的确定方法及会计处理方法" selectOptions="_buildInAppliance" controlType="CustomCheckbox" cRanges="[{&quot;StartName&quot;:&quot;_GBC_ba8bc88e72f44e2da5528a3b21ae6dd5&quot;,&quot;EndName&quot;:&quot;_GBC_f420e4838a724012bb788c3daa8cb419&quot;,&quot;CType&quot;:1}]"/>
      <m:item xlName="_GBC_f420e4838a724012bb788c3daa8cb419" concept="clcid-pte:YingShouPiaoJuDeYuQiXinYongSunShiDeQueDingFangFaJiKuaiJiChuLiFangFa" label="应收票据的预期信用损失的确定方法及会计处理方法" appId="_GBC_ba8bc88e72f44e2da5528a3b21ae6dd5"/>
    </m:section>
    <m:section xlName="_SEC_6a9a70c8b5914d5d85ea9b8f86eb6ec8" title="应收账款应收账款的预期信用损失的确定方法及会计处理方法" ignorePeriod="1">
      <m:item xlName="_GBC_85321f727b7446de9dc351948c740baa" concept="clcid-ci-ar:ShiFouShiYongYingShouZhangKuanDeYuQiXinYongSunShiDeQueDingFangFaJiKuaiJiChuLiFangFa" label="是否适用：应收账款的预期信用损失的确定方法及会计处理方法" selectOptions="_buildInAppliance" controlType="CustomCheckbox" cRanges="[{&quot;StartName&quot;:&quot;_GBC_85321f727b7446de9dc351948c740baa&quot;,&quot;EndName&quot;:&quot;_GBC_36dd56898f2645fc967bf4d53ee8ecdb&quot;,&quot;CType&quot;:1}]"/>
      <m:item xlName="_GBC_36dd56898f2645fc967bf4d53ee8ecdb" concept="clcid-pte:YingShouZhangKuanDeYuQiXinYongSunShiDeQueDingFangFaJiKuaiJiChuLiFangFa" label="应收账款的预期信用损失的确定方法及会计处理方法" appId="_GBC_85321f727b7446de9dc351948c740baa"/>
    </m:section>
    <m:section xlName="_SEC_6779da9334294ce2a6d1ffc1b4a6e588" title="应收款项融资" ignorePeriod="1">
      <m:item xlName="_GBC_02210df6587d4e47b6149386c3665a46" concept="clcid-ci-ar:ShiFouShiYongYingShouKuanXiangRongZiZhongYaoKuaiJiZhengCeHeGuJi" label="是否适用：应收款项融资_重要会计政策和估计" selectOptions="_buildInAppliance" controlType="CustomCheckbox" cRanges="[{&quot;StartName&quot;:&quot;_GBC_02210df6587d4e47b6149386c3665a46&quot;,&quot;EndName&quot;:&quot;_GBC_3d9742ff6b694e4d9e006762ef5f07f0&quot;,&quot;CType&quot;:1}]"/>
      <m:item xlName="_GBC_3d9742ff6b694e4d9e006762ef5f07f0" concept="clcid-pte:YingShouKuanXiangRongZiDeHeSuanFangFa" label="应收款项融资的核算方法" appId="_GBC_02210df6587d4e47b6149386c3665a46"/>
    </m:section>
    <m:section xlName="_SEC_225822c587b74cc6b807038a0533c4e3" title="其他应收款" ignorePeriod="1">
      <m:item xlName="_GBC_1ba082baa43e450992b52fcf687a8134" concept="clcid-ci-ar:ShiFouShiYongQiTaYingShouKuanYuQiXinYongSunShiDeQueDingFangFaJiKuaiJiChuLiFangFa" label="是否适用：其他应收款预期信用损失的确定方法及会计处理方法" selectOptions="_buildInAppliance" controlType="CustomCheckbox" cRanges="[{&quot;StartName&quot;:&quot;_GBC_1ba082baa43e450992b52fcf687a8134&quot;,&quot;EndName&quot;:&quot;_GBC_7e531bd2a2f947b3a00ec81ad0969c5e&quot;,&quot;CType&quot;:1}]"/>
      <m:item xlName="_GBC_7e531bd2a2f947b3a00ec81ad0969c5e" concept="clcid-pte:QiTaYingShouKuanYuQiXinYongSunShiDeQueDingFangFaJiKuaiJiChuLiFangFa" label="其他应收款预期信用损失的确定方法及会计处理方法" appId="_GBC_1ba082baa43e450992b52fcf687a8134"/>
    </m:section>
    <m:section xlName="_GBC_b0f90fdf6c7749dbb9bd3cde55d5c0c3" title="存货" ignorePeriod="1" helpId="112001016" helpText="注：说明存货类别，发出存货的计价方法，确定不同类别存货可变现净值的依据，存货的盘存制度以及低值易耗品和包装物的摊销方法。">
      <m:item xlName="_GBC_5c493df9664440ecbc3f3fa5d917221a" concept="clcid-ci-ar:ShiFouShiYongCunHuoZhongYaoHuiJiZhengCeHeGuJi" label="是否适用：存货_重要会计政策和估计" selectOptions="_buildInAppliance" controlType="CustomCheckbox" cRanges="{&quot;StartName&quot;:&quot;_GBC_5c493df9664440ecbc3f3fa5d917221a&quot;,&quot;EndName&quot;:&quot;_GBC_553fb8cba06d4979b05ae3dabe788fa6&quot;,&quot;CType&quot;:1,&quot;DisplayText&quot;:null}"/>
      <m:item xlName="_GBC_553fb8cba06d4979b05ae3dabe788fa6" concept="clcid-pte:CunHuoDeHeSuanFangFa" label="存货的核算方法" appId="_GBC_5c493df9664440ecbc3f3fa5d917221a"/>
    </m:section>
    <m:section xlName="_SEC_c8278ca8e95a4a1fb97258ed9c2842ff" title="合同资产" ignorePeriod="1">
      <m:item xlName="_GBC_9daae386f9a94543beb70aace93dc36d" concept="clcid-ci-ar:ShiFouShiYongHeTongZiChanDeQueDingFangFaTanXiaoFangFaHeJianZhiCeShiFangFa" label="是否适用：合同资产的确定方法、摊销方法和减值测试方法" selectOptions="_buildInAppliance" controlType="CustomCheckbox" cRanges="[{&quot;StartName&quot;:&quot;_GBC_9daae386f9a94543beb70aace93dc36d&quot;,&quot;EndName&quot;:&quot;_GBC_509139300ad14da0961ff5023dc7e8f7&quot;,&quot;CType&quot;:1}]"/>
      <m:item xlName="_GBC_509139300ad14da0961ff5023dc7e8f7" concept="clcid-pte:HeTongZiChanDeQueDingFangFaTanXiaoFangFaHeJianZhiCeShiFangFa" label="合同资产的确定方法、摊销方法和减值测试方法" appId="_GBC_9daae386f9a94543beb70aace93dc36d"/>
    </m:section>
    <m:section xlName="_SEC_c2bb2c97fdb4423db069686155694c4c" title="合同资产预期信用损失的确定方法及会计处理方法" ignorePeriod="1">
      <m:item xlName="_GBC_c1227cf6e2f0432a85c32b611a40fa7f" concept="clcid-ci-ar:ShiFouShiYongHeTongZiChanYuQiXinYongSunShiDeQueDingFangFaJiKuaiJiChuLiFangFa" label="是否适用：合同资产预期信用损失的确定方法及会计处理方法" selectOptions="_buildInAppliance" controlType="CustomCheckbox" cRanges="[{&quot;StartName&quot;:&quot;_GBC_c1227cf6e2f0432a85c32b611a40fa7f&quot;,&quot;EndName&quot;:&quot;_GBC_ec035a84f2ae41b08fe408f3623243ab&quot;,&quot;CType&quot;:1}]"/>
      <m:item xlName="_GBC_ec035a84f2ae41b08fe408f3623243ab" concept="clcid-pte:HeTongZiChanYuQiXinYongSunShiDeQueDingFangFaJiKuaiJiChuLiFangFa" label="合同资产预期信用损失的确定方法及会计处理方法" appId="_GBC_c1227cf6e2f0432a85c32b611a40fa7f"/>
    </m:section>
    <m:section xlName="_GBC_a1a86a762feb43c3bed478ce8a19ae7c" title="划分为持有待售资产" ignorePeriod="1" helpId="112001017" helpText="注：说明划分为持有待售资产的确认标准。">
      <m:item xlName="_GBC_7d21fae1fb15414bac10a5567ebb7aca" concept="clcid-ci-ar:ShiFouShiYongHuaFenWeiChiYouDaiShouZiChanZhongYaoHuiJiZhengCeHeGuJi" label="是否适用：划分为持有待售资产_重要会计政策和估计" selectOptions="_buildInAppliance" controlType="CustomCheckbox" cRanges="{&quot;StartName&quot;:&quot;_GBC_7d21fae1fb15414bac10a5567ebb7aca&quot;,&quot;EndName&quot;:&quot;_GBC_d8726eddbed2465794ccdff8edd6a7cc&quot;,&quot;CType&quot;:1,&quot;DisplayText&quot;:null}"/>
      <m:item xlName="_GBC_d8726eddbed2465794ccdff8edd6a7cc" concept="clcid-pte:HuaFenWeiChiYouDaiShouZiChanDeQueRenBiaoZhun" label="划分为持有待售资产的确认标准" appId="_GBC_7d21fae1fb15414bac10a5567ebb7aca"/>
    </m:section>
    <m:section xlName="_SEC_64972cc74e5349aa855fec98c6609582" title="债权投资" ignorePeriod="1">
      <m:item xlName="_GBC_acf0a46e8a8248e9a7f548194ba5ca2d" concept="clcid-ci-ar:ShiFouShiYongZhaiQuanTouZiYuQiXinYongSunShiDeQueDingFangFaJiKuaiJiChuLiFangFa" label="是否适用：债权投资预期信用损失的确定方法及会计处理方法" selectOptions="_buildInAppliance" controlType="CustomCheckbox" cRanges="[{&quot;StartName&quot;:&quot;_GBC_acf0a46e8a8248e9a7f548194ba5ca2d&quot;,&quot;EndName&quot;:&quot;_GBC_a17d0b9c6dbb44f898ff06167e0b197e&quot;,&quot;CType&quot;:1}]"/>
      <m:item xlName="_GBC_a17d0b9c6dbb44f898ff06167e0b197e" concept="clcid-pte:ZhaiQuanTouZiYuQiXinYongSunShiDeQueDingFangFaJiKuaiJiChuLiFangFa" label="债权投资预期信用损失的确定方法及会计处理方法" appId="_GBC_acf0a46e8a8248e9a7f548194ba5ca2d"/>
    </m:section>
    <m:section xlName="_SEC_41586dd479b54f07aeed675230b384c8" title="其他债权投资" ignorePeriod="1">
      <m:item xlName="_GBC_c8b7f631f3734e4e873d374c0e3e2936" concept="clcid-ci-ar:ShiFouShiYongQiTaZhaiQuanTouZiYuQiXinYongSunShiDeQueDingFangFaJiKuaiJiChuLiFangFa" label="是否适用：其他债权投资预期信用损失的确定方法及会计处理方法" selectOptions="_buildInAppliance" controlType="CustomCheckbox" cRanges="[{&quot;StartName&quot;:&quot;_GBC_c8b7f631f3734e4e873d374c0e3e2936&quot;,&quot;EndName&quot;:&quot;_GBC_86a4188f80854b7fb0167793548d71e2&quot;,&quot;CType&quot;:1}]"/>
      <m:item xlName="_GBC_86a4188f80854b7fb0167793548d71e2" concept="clcid-pte:QiTaZhaiQuanTouZiYuQiXinYongSunShiDeQueDingFangFaJiKuaiJiChuLiFangFa" label="其他债权投资预期信用损失的确定方法及会计处理方法" appId="_GBC_c8b7f631f3734e4e873d374c0e3e2936"/>
    </m:section>
    <m:section xlName="_SEC_ef0b5e87e2254c638e2a6672bcd1eac8" title="长期应收款" ignorePeriod="1">
      <m:item xlName="_GBC_9cf76ec2aae6484cbb983cf468a375bc" concept="clcid-ci-ar:ShiFouShiYongChangQiYingShouKuanYuQiXinYongSunShiDeQueDingFangFaJiKuaiJiChuLiFangFa" label="是否适用：长期应收款预期信用损失的确定方法及会计处理方法" selectOptions="_buildInAppliance" controlType="CustomCheckbox" cRanges="[{&quot;StartName&quot;:&quot;_GBC_9cf76ec2aae6484cbb983cf468a375bc&quot;,&quot;EndName&quot;:&quot;_GBC_9325ee65dfbd4ae48e56465d290e3a50&quot;,&quot;CType&quot;:1}]"/>
      <m:item xlName="_GBC_9325ee65dfbd4ae48e56465d290e3a50" concept="clcid-pte:ChangQiYingShouKuanYuQiXinYongSunShiDeQueDingFangFaJiKuaiJiChuLiFangFa" label="长期应收款预期信用损失的确定方法及会计处理方法" appId="_GBC_9cf76ec2aae6484cbb983cf468a375bc"/>
    </m:section>
    <m:section xlName="_GBC_d82c12cf13554acd90dfb7880244798c" title="长期股权投资" ignorePeriod="1" helpId="112001018" helpText="注：说明共同控制、重要影响的判断标准，长期股权投资的初始投资成本确定、后续计量及损益确认方法。">
      <m:item xlName="_GBC_a2b657853ac547afaaad118dec96d0e1" concept="clcid-ci-ar:ShiFouShiYongChangQiGuQuanTouZiZhongYaoHuiJiZhengCeHeGuJi" label="是否适用：长期股权投资_重要会计政策和估计" selectOptions="_buildInAppliance" controlType="CustomCheckbox" cRanges="{&quot;StartName&quot;:&quot;_GBC_a2b657853ac547afaaad118dec96d0e1&quot;,&quot;EndName&quot;:&quot;_GBC_3e77074cd50946b1bccdff9bc1c9556f&quot;,&quot;CType&quot;:1,&quot;DisplayText&quot;:null}"/>
      <m:item xlName="_GBC_3e77074cd50946b1bccdff9bc1c9556f" concept="clcid-pte:ChangQiGuQuanTouZiDeHeSuanFangFa" label="长期股权投资的核算方法" appId="_GBC_a2b657853ac547afaaad118dec96d0e1"/>
    </m:section>
    <m:section xlName="_GBC_20b1c487c1e348188269523d7d980194" title="成本计量模式" checkKey="!公允价值计量&amp;!不适用" ignorePeriod="1" helpId="112001010" primarySection="_GBC_20b1c487c1e348188269523d7d980194" optionText="成本计量模式" activeContentOption="_GBC_20b1c487c1e348188269523d7d980194" optionGroupTitle="投资性房地产计量模式" optionTargetConcept="clcid-pte:TouZiXingFangDiChanJiLiangMoShi" optionTargetConceptValue="成本计量模式" afterEmptyParagraphs="1">
      <m:item xlName="_GBC_5b2898357289426780691d99ea19aa67" concept="clcid-pte:CaiYongChengBenJiLiangMoShiDeZheJiuHuoTanXiaoFangFa" label="采用成本计量模式的折旧或摊销方法"/>
    </m:section>
    <m:section xlName="_GBC_6983d9e24ed54c18a335cb0386f36c2c" title="不适用" checkKey="!公允价值计量&amp;!成本计量" helpId="112001010" primarySection="_GBC_20b1c487c1e348188269523d7d980194" optionText="不适用" optionGroupTitle="投资性房地产计量模式" optionTargetConcept="clcid-pte:TouZiXingFangDiChanJiLiangMoShi" optionTargetConceptValue="不适用">
      <m:placeholder xlName="_PLD_2184b7576e914eab9a60f92a290f95d2"/>
    </m:section>
    <m:section xlName="_GBC_2b2036270bc84711804cd256998442a6" title="公允价值计量模式" checkKey="!成本计量&amp;!不适用" ignorePeriod="1" helpId="112001010" primarySection="_GBC_20b1c487c1e348188269523d7d980194" optionText="公允价值计量模式" activeContentOption="_GBC_2b2036270bc84711804cd256998442a6" optionGroupTitle="投资性房地产计量模式" optionTargetConcept="clcid-pte:TouZiXingFangDiChanJiLiangMoShi" optionTargetConceptValue="公允价值计量模式">
      <m:item xlName="_GBC_3923e55fa36348df898ac65ec0c9f5a3" concept="clcid-pte:CaiYongGongYunJiaZhiJiLiangMoShiDeXuanZeYiJu" label="采用公允价值计量模式的选择依据"/>
    </m:section>
    <m:section xlName="_GBC_662771796da549e1b2a02fb7d497f077" title="固定资产确认条件" ignorePeriod="1" helpId="112001019">
      <m:item xlName="_GBC_45cce032cd1f43bfad18a80dd94e9cc4" concept="clcid-ci-ar:ShiFouShiYongGuDingZiChanQueRenTiaoJian" label="是否适用：固定资产确认条件" selectOptions="_buildInAppliance" controlType="CustomCheckbox" cRanges="{&quot;StartName&quot;:&quot;_GBC_45cce032cd1f43bfad18a80dd94e9cc4&quot;,&quot;EndName&quot;:&quot;_GBC_3044d53470b143fa9477fa34b85d4ec5&quot;,&quot;CType&quot;:1,&quot;DisplayText&quot;:null}"/>
      <m:item xlName="_GBC_3044d53470b143fa9477fa34b85d4ec5" concept="clcid-pte:GuDingZiChanQueRenTiaoJian" label="固定资产确认条件" appId="_GBC_45cce032cd1f43bfad18a80dd94e9cc4"/>
    </m:section>
    <m:section xlName="_GBC_7c749a57d4094b3386978c34c3487e2a" title="固定资产折旧方法" isSupervision="true" helpId="112001019" helpText="注：公司根据自身实际情况确定类别，一般包括房屋及建筑物、机器设备、电子设备、运输设备等。折旧方法有年限平均法、工作量法、双倍余额递减法、年数总和法，其他。如选择其他，请在文本框中说明。">
      <m:item xlName="_GBC_c221ef38ff6a4242aab725946697311c" concept="clcid-ci-ar:ShiFouShiYongGuDingZiChanZheJiuFangFa" label="是否适用：固定资产折旧方法" selectOptions="_buildInAppliance" controlType="CustomCheckbox" cRanges="{&quot;StartName&quot;:&quot;_GBC_c221ef38ff6a4242aab725946697311c&quot;,&quot;EndName&quot;:&quot;_GBC_58d98c7dc02f49118e0a3b88e17eda01&quot;,&quot;CType&quot;:1,&quot;DisplayText&quot;:null}"/>
      <m:placeholder xlName="_PLD_d39db65ac15c4d7583d7fe75cb893517" addr="T0R0C0S1_1"/>
      <m:placeholder xlName="_PLD_1b5147121b9948e5a115c7a4d6c95995" addr="T0R0C1S1_1"/>
      <m:placeholder xlName="_PLD_65441224aa3f4fd3be4ca0650b16b1aa" addr="T0R0C2S1_1"/>
      <m:placeholder xlName="_PLD_1c82a37539a842289bf80f2937f33bee" addr="T0R0C3S1_1"/>
      <m:placeholder xlName="_PLD_a67e8338c181496fa22b9944b63ec82c" addr="T0R0C4S1_1"/>
      <m:tuple xlName="_GBC_f1ad6125c5d74d2a98f593d2ba574474" concept="clcid-pte:QiTaGuDingZiChanJiJiaZheJiuJianZhiFangFa" default_row="2" addr="T0R1C">
        <m:item xlName="_GBC_a35d877f25bc40f3994d41d8763e2a50" concept="clcid-pte:GuDingZiChanLeiBie" label="固定资产类别" addr="T0R1C0S1_1" appId="_GBC_c221ef38ff6a4242aab725946697311c"/>
        <m:item xlName="_GBC_9b84b623c81948d4be1abe781ca5da73" concept="clcid-pte:GuDingZiChanZheJiuFangFa" label="固定资产折旧方法" addr="T0R1C1S1_1" appId="_GBC_c221ef38ff6a4242aab725946697311c"/>
        <m:item xlName="_GBC_3b6f8ca8242140bca158d6718f6e4a67" concept="clcid-pte:GuDingZiChanLeiBieDeZheJiuNianXian" label="固定资产类别的折旧年限" addr="T0R1C2S1_1" appId="_GBC_c221ef38ff6a4242aab725946697311c"/>
        <m:item xlName="_GBC_76af0d0da53c455f9b0a413f033af92e" concept="clcid-pte:GuDingZiChanLeiBieDeCanZhiLv" label="固定资产类别的残值率" addr="T0R1C3S1_1" formatStyle="Comma" appId="_GBC_c221ef38ff6a4242aab725946697311c"/>
        <m:item xlName="_GBC_58d98c7dc02f49118e0a3b88e17eda01" concept="clcid-pte:GuDingZiChanLeiBieDeNianZheJiuLv" label="固定资产类别的年折旧率" addr="T0R1C4S1_1" appId="_GBC_c221ef38ff6a4242aab725946697311c"/>
      </m:tuple>
    </m:section>
    <m:section xlName="_GBC_a1560089c32f441f92e145c3cdc25289" title="固定资产计价和折旧方法及减值准备的计提方法" convertSummaryRule="NoConvert" helpId="112001019" helpText="未执行新租赁准则的公司填写">
      <m:item xlName="_GBC_16fcfe6546324a2bb6bf5a46c9363b25" concept="clcid-ci-ar:ShiFouShiYongRongZiZuRuGuDingZiChanDeRenDingYiJuJiJiaHeZheJiuFangFa" label="是否适用：融资租入固定资产的认定依据、计价和折旧方法" selectOptions="_buildInAppliance" controlType="CustomCheckbox" cRanges="{&quot;StartName&quot;:&quot;_GBC_16fcfe6546324a2bb6bf5a46c9363b25&quot;,&quot;EndName&quot;:&quot;_GBC_42d68e0aaa744ab7aaa46e6c7964e66f&quot;,&quot;CType&quot;:1,&quot;DisplayText&quot;:null}"/>
      <m:item xlName="_GBC_42d68e0aaa744ab7aaa46e6c7964e66f" concept="clcid-pte:GuDingZiChanJiJiaHeZheJiuFangFaJiJianZhiZhunBeiDeJiTiFangFa" label="固定资产计价和折旧方法及减值准备的计提方法" appId="_GBC_16fcfe6546324a2bb6bf5a46c9363b25"/>
    </m:section>
    <m:section xlName="_GBC_3eb5f960df3e47f0a4bf3af0bc67ca96" title="在建工程会计处理方法" ignorePeriod="1" convertSummaryRule="NoConvert" helpId="112001020" helpText="注：说明在建工程结转为固定资产的标准和时点。">
      <m:item xlName="_GBC_d9803b41f65e4a7fbebb412a259d9bf9" concept="clcid-ci-ar:ShiFouShiYongZaiJianGongChengZhongYaoHuiJiZhengCeHeGuJi" label="是否适用：在建工程_重要会计政策和估计" selectOptions="_buildInAppliance" controlType="CustomCheckbox" cRanges="{&quot;StartName&quot;:&quot;_GBC_d9803b41f65e4a7fbebb412a259d9bf9&quot;,&quot;EndName&quot;:&quot;_GBC_ed79f983df814c58add61776fe84c76e&quot;,&quot;CType&quot;:1,&quot;DisplayText&quot;:null}"/>
      <m:item xlName="_GBC_ed79f983df814c58add61776fe84c76e" concept="clcid-pte:ZaiJianGongChengHeSuanFangFa" label="在建工程核算方法" appId="_GBC_d9803b41f65e4a7fbebb412a259d9bf9"/>
    </m:section>
    <m:section xlName="_GBC_e3e4d07ea08d4589a9293563ea655b42" title="借款费用会计处理方法" ignorePeriod="1" convertSummaryRule="NoConvert" helpId="112001021" helpText="注：说明借款费用资本化的确认原则、资本化期间、暂停资本化期间、借款费用资本化率以及资本化金额的计算方法。">
      <m:item xlName="_GBC_3f3db73e5cb247009b3840143b5e6627" concept="clcid-ci-ar:ShiFouShiYongJieKuanFeiYongZhongYaoHuiJiZhengCeHeGuJi" label="是否适用：借款费用_重要会计政策和估计" selectOptions="_buildInAppliance" controlType="CustomCheckbox" cRanges="{&quot;StartName&quot;:&quot;_GBC_3f3db73e5cb247009b3840143b5e6627&quot;,&quot;EndName&quot;:&quot;_GBC_2101c32d32c64f39a8b8fcd2b72dbb0a&quot;,&quot;CType&quot;:1,&quot;DisplayText&quot;:null}"/>
      <m:item xlName="_GBC_2101c32d32c64f39a8b8fcd2b72dbb0a" concept="clcid-pte:JieKuanFeiYongDeKuaiJiChuLiFangFa" label="借款费用的会计处理方法" appId="_GBC_3f3db73e5cb247009b3840143b5e6627"/>
    </m:section>
    <m:section xlName="_GBC_0b83f813710f436286429917c8c39567" title="生物资产会计处理方法" ignorePeriod="1" convertSummaryRule="NoConvert" helpId="112001022" helpText="注：说明生物资产的分类及确定标准。各类生产性生物资产的使用寿命和预计净残值及其确定依据、折旧方法。采用公允价值模式的，说明选择公允价值计量的依据。">
      <m:item xlName="_GBC_3c525bb9dd0340978b83e74317a40315" concept="clcid-ci-ar:ShiFouShiYongShengWuZiChanZhongYaoHuiJiZhengCeHeGuJi" label="是否适用：生物资产_重要会计政策和估计" selectOptions="_buildInAppliance" controlType="CustomCheckbox" cRanges="{&quot;StartName&quot;:&quot;_GBC_3c525bb9dd0340978b83e74317a40315&quot;,&quot;EndName&quot;:&quot;_GBC_803a1acb18364df5935823f466cbe845&quot;,&quot;CType&quot;:1,&quot;DisplayText&quot;:null}"/>
      <m:item xlName="_GBC_803a1acb18364df5935823f466cbe845" concept="clcid-pte:ShengWuZiChanDeHeSuanFangFa" label="生物资产的核算方法" appId="_GBC_3c525bb9dd0340978b83e74317a40315"/>
    </m:section>
    <m:section xlName="_GBC_ed738d1d51d04aad8efd3fb3e88bf021" title="油气资产会计处理方法" ignorePeriod="1" convertSummaryRule="NoConvert" helpId="112001023" helpText="注：说明与各类油气资产相关支出的资本化标准，各类油气资产的折耗或摊销方法，采矿许可证等执照费用的会计处理方法以及油气储量估计的判断依据等。">
      <m:item xlName="_GBC_60d99a70431c4b868b6e953077cbfe88" concept="clcid-ci-ar:ShiFouShiYongYouQiZiChanZhongYaoHuiJiZhengCeHeGuJi" label="是否适用：油气资产_重要会计政策和估计" selectOptions="_buildInAppliance" controlType="CustomCheckbox" cRanges="{&quot;StartName&quot;:&quot;_GBC_60d99a70431c4b868b6e953077cbfe88&quot;,&quot;EndName&quot;:&quot;_GBC_f5ee74c30627469eb7b966796985b90e&quot;,&quot;CType&quot;:1,&quot;DisplayText&quot;:null}"/>
      <m:item xlName="_GBC_f5ee74c30627469eb7b966796985b90e" concept="clcid-pte:YouQiZiChanDeHeSuanFangFa" label="油气资产的核算方法" appId="_GBC_60d99a70431c4b868b6e953077cbfe88"/>
    </m:section>
    <m:section xlName="_SEC_90a021f24056469493c41c33bb5760c5" title="使用权资产" ignorePeriod="1">
      <m:item xlName="_GBC_bbd2545b6bca43cea34e43a28caeae1a" concept="clcid-ci-ar:ShiFouShiYongShiYongQuanZiChanZhongYaoKuaiJiZhengCeHeGuJi" label="是否适用：使用权资产_重要会计政策和估计" selectOptions="_buildInAppliance" controlType="CustomCheckbox" cRanges="[{&quot;StartName&quot;:&quot;_GBC_bbd2545b6bca43cea34e43a28caeae1a&quot;,&quot;EndName&quot;:&quot;_GBC_3bb46fd024784bf2b06e4f7d7b903751&quot;,&quot;CType&quot;:1}]"/>
      <m:item xlName="_GBC_3bb46fd024784bf2b06e4f7d7b903751" concept="clcid-pte:ShiYongQuanZiChanDeHeSuanFangFa" label="使用权资产的核算方法" appId="_GBC_bbd2545b6bca43cea34e43a28caeae1a"/>
    </m:section>
    <m:section xlName="_GBC_0a8b293ff9e94173b2e385f4ef2a8c89" title="无形资产会计处理方法" ignorePeriod="1" convertSummaryRule="NoConvert" helpId="112001024">
      <m:item xlName="_GBC_a82698fb1ffd4e75b46a9c35938b4cf4" concept="clcid-ci-ar:ShiFouShiYongWuXingZiChanJiJiaFangFaShiYongShouMingJianZhiCeShi" label="是否适用：无形资产计价方法、使用寿命、减值测试" selectOptions="_buildInAppliance" controlType="CustomCheckbox" cRanges="{&quot;StartName&quot;:&quot;_GBC_a82698fb1ffd4e75b46a9c35938b4cf4&quot;,&quot;EndName&quot;:&quot;_GBC_a9e64b18f452482eb6674ec605618dcc&quot;,&quot;CType&quot;:1,&quot;DisplayText&quot;:null}"/>
      <m:item xlName="_GBC_a9e64b18f452482eb6674ec605618dcc" concept="clcid-pte:WuXingZiChanJiJiaFangFaShiYongShouMingJianZhiCeShi" label="无形资产计价方法、使用寿命、减值测试" helpText="注：说明无形资产的计价方法。使用寿命有限的无形资产，说明其使用寿命估计情况。使用寿命不确定的无形资产，说明其使用寿命不确定的判断依据以及对其使用寿命进行复核的程序。" appId="_GBC_a82698fb1ffd4e75b46a9c35938b4cf4"/>
      <m:item xlName="_GBC_c3cef4c9f19749b8a53b7f49d3b7bac3" concept="clcid-ci-ar:ShiFouShiYongWuXingZiChanNeiBuYanJiuKaiFaZhiChuHuiJiZhengCe" label="是否适用：无形资产内部研究开发支出会计政策" selectOptions="_buildInAppliance" controlType="CustomCheckbox" cRanges="{&quot;StartName&quot;:&quot;_GBC_c3cef4c9f19749b8a53b7f49d3b7bac3&quot;,&quot;EndName&quot;:&quot;_GBC_af7b1338d88344dfb8cd34ed66bfe672&quot;,&quot;CType&quot;:1,&quot;DisplayText&quot;:null}"/>
      <m:item xlName="_GBC_af7b1338d88344dfb8cd34ed66bfe672" concept="clcid-pte:WuXingZiChanNeiBuYanJiuKaiFaZhiChuKuaiJiZhengCe" label="无形资产内部研究、开发支出会计政策" helpText="注：结合公司内部研究开发项目特点，说明划分研究阶段和开发阶段的具体标准，以及开发阶段支出资本化的具体条件。" appId="_GBC_c3cef4c9f19749b8a53b7f49d3b7bac3"/>
    </m:section>
    <m:section xlName="_SEC_c11b0580b6b040ca9dbb882b383dfc03" title="长期资产减值">
      <m:item xlName="_GBC_d0feb744f96144ffa5335cd194c6cdf9" concept="clcid-ci-ar:ShiFouShiYongChangQiZiChanJianZhiZhongYaoHuiJiZhengCeHeGuJi" label="是否适用：长期资产减值_重要会计政策和估计" selectOptions="_buildInAppliance" controlType="CustomCheckbox" cRanges="[{&quot;StartName&quot;:&quot;_GBC_d0feb744f96144ffa5335cd194c6cdf9&quot;,&quot;EndName&quot;:&quot;_GBC_e8cb396d7101453b9e9cd1bc11b8633e&quot;,&quot;CType&quot;:1}]"/>
      <m:item xlName="_GBC_e8cb396d7101453b9e9cd1bc11b8633e" concept="clcid-pte:FeiJinRongChangQiZiChanJianZhiCeShiFangFaJiKuaiJiChuLiFangFa" label="非金融长期资产减值测试方法及会计处理方法" appId="_GBC_d0feb744f96144ffa5335cd194c6cdf9"/>
    </m:section>
    <m:section xlName="_SEC_716e5dd4aef549d9b8815a4e1474e63d" title="长期待摊费用">
      <m:item xlName="_GBC_75739ccc62204f0490525060b33e330f" concept="clcid-ci-ar:ShiFouShiYongChangQiDaiTanFeiYongZhongYaoHuiJiZhengCeHeGuJi" label="是否适用：长期待摊费用_重要会计政策和估计" selectOptions="_buildInAppliance" controlType="CustomCheckbox" cRanges="[{&quot;StartName&quot;:&quot;_GBC_75739ccc62204f0490525060b33e330f&quot;,&quot;EndName&quot;:&quot;_GBC_e4e695ce4aea4c878acb6f8ad7190139&quot;,&quot;CType&quot;:1}]"/>
      <m:item xlName="_GBC_e4e695ce4aea4c878acb6f8ad7190139" concept="clcid-pte:KaiBanFeiChangQiDaiTanFeiYongTanXiaoFangFa" label="开办费、长期待摊费用摊销方法" appId="_GBC_75739ccc62204f0490525060b33e330f"/>
    </m:section>
    <m:section xlName="_SEC_2988762bdf3a48178e0180a615cb7705" title="合同负债" ignorePeriod="1">
      <m:item xlName="_GBC_f210968f2ea04a338a3253827b172c25" concept="clcid-ci-ar:ShiFouShiYongHeTongFuZhaiDeQueDingFangFaTanXiaoFangFaHeJianZhiCeShiFangFa" label="是否适用：合同负债的确定方法、摊销方法和减值测试方法" selectOptions="_buildInAppliance" controlType="CustomCheckbox" cRanges="[{&quot;StartName&quot;:&quot;_GBC_f210968f2ea04a338a3253827b172c25&quot;,&quot;EndName&quot;:&quot;_GBC_adbfb902bae348178906cb42c1932267&quot;,&quot;CType&quot;:1}]"/>
      <m:item xlName="_GBC_adbfb902bae348178906cb42c1932267" concept="clcid-pte:HeTongFuZhaiDeQueDingFangFaTanXiaoFangFaHeJianZhiCeShiFangFa" label="合同负债的确定方法、摊销方法和减值测试方法" appId="_GBC_f210968f2ea04a338a3253827b172c25"/>
    </m:section>
    <m:section xlName="_GBC_8ec8855eb4d5447ab785e4bd4b0b73aa" title="职工薪酬" ignorePeriod="1" helpId="112001010">
      <m:item xlName="_GBC_eefed2a465e349b6a35598930bd9541d" concept="clcid-ci-ar:ShiFouShiYongDuanQiXinChouDeHuiJiChuLiFangFa" label="是否适用：短期薪酬的会计处理方法" selectOptions="_buildInAppliance" controlType="CustomCheckbox" cRanges="{&quot;StartName&quot;:&quot;_GBC_eefed2a465e349b6a35598930bd9541d&quot;,&quot;EndName&quot;:&quot;_GBC_8fdf44b194ac45fb945d36b9896df796&quot;,&quot;CType&quot;:1,&quot;DisplayText&quot;:null}"/>
      <m:item xlName="_GBC_8fdf44b194ac45fb945d36b9896df796" concept="clcid-pte:DuanQiXinChouDeKuaiJiChuLiFangFa" label="短期薪酬的会计处理方法" appId="_GBC_eefed2a465e349b6a35598930bd9541d"/>
      <m:item xlName="_GBC_35bbae299fda438d9e595058bbecbcdc" concept="clcid-ci-ar:ShiFouShiYongLiZhiHouFuLiDeHuiJiChuLiFangFa" label="是否适用：离职后福利的会计处理方法" selectOptions="_buildInAppliance" controlType="CustomCheckbox" cRanges="{&quot;StartName&quot;:&quot;_GBC_35bbae299fda438d9e595058bbecbcdc&quot;,&quot;EndName&quot;:&quot;_GBC_3b0bafa6ef784ba99c829e2f60cf828e&quot;,&quot;CType&quot;:1,&quot;DisplayText&quot;:null}"/>
      <m:item xlName="_GBC_3b0bafa6ef784ba99c829e2f60cf828e" concept="clcid-pte:LiZhiHouFuLiDeKuaiJiChuLiFangFa" label="离职后福利的会计处理方法" appId="_GBC_35bbae299fda438d9e595058bbecbcdc"/>
      <m:item xlName="_GBC_b6be1c30b6144d54b0e20b3cb9d3a691" concept="clcid-ci-ar:ShiFouShiYongCiTuiFuLiDeHuiJiChuLiFangFa" label="是否适用：辞退福利的会计处理方法" selectOptions="_buildInAppliance" controlType="CustomCheckbox" cRanges="{&quot;StartName&quot;:&quot;_GBC_b6be1c30b6144d54b0e20b3cb9d3a691&quot;,&quot;EndName&quot;:&quot;_GBC_a93705fb60b24bceb25c88a68ed87432&quot;,&quot;CType&quot;:1,&quot;DisplayText&quot;:null}"/>
      <m:item xlName="_GBC_a93705fb60b24bceb25c88a68ed87432" concept="clcid-pte:CiTuiFuLiDeKuaiJiChuLiFangFa" label="辞退福利的会计处理方法" appId="_GBC_b6be1c30b6144d54b0e20b3cb9d3a691"/>
      <m:item xlName="_GBC_6650f3bc6a474b318e05b9d60314cb7f" concept="clcid-ci-ar:ShiFouShiYongQiTaChangQiZhiGongFuLiDeHuiJiChuLiFangFa" label="是否适用：其他长期职工福利的会计处理方法" selectOptions="_buildInAppliance" controlType="CustomCheckbox" cRanges="{&quot;StartName&quot;:&quot;_GBC_6650f3bc6a474b318e05b9d60314cb7f&quot;,&quot;EndName&quot;:&quot;_GBC_0e549e9400284de7b64ddf6ecc255dea&quot;,&quot;CType&quot;:1,&quot;DisplayText&quot;:null}"/>
      <m:item xlName="_GBC_0e549e9400284de7b64ddf6ecc255dea" concept="clcid-pte:QiTaChangQiZhiGongFuLiDeKuaiJiChuLiFangFa" label="其他长期职工福利的会计处理方法" appId="_GBC_6650f3bc6a474b318e05b9d60314cb7f"/>
    </m:section>
    <m:section xlName="_SEC_d8e7208bcd04489eb6a8b588ac7c08d7" title="租赁负债" ignorePeriod="1">
      <m:item xlName="_GBC_34c8994db6c04aa0821b8100fc152679" concept="clcid-ci-ar:ShiFouShiYongZuLinFuZhaiZhongYaoKuaiJiZhengCeHeGuJi" label="是否适用：租赁负债_重要会计政策和估计" selectOptions="_buildInAppliance" controlType="CustomCheckbox" cRanges="[{&quot;StartName&quot;:&quot;_GBC_34c8994db6c04aa0821b8100fc152679&quot;,&quot;EndName&quot;:&quot;_GBC_f93840fd38604e669d3682eeebba46a7&quot;,&quot;CType&quot;:1}]"/>
      <m:item xlName="_GBC_f93840fd38604e669d3682eeebba46a7" concept="clcid-pte:ZuLinFuZhaiDeHeSuanFangFa" label="租赁负债的核算方法" appId="_GBC_34c8994db6c04aa0821b8100fc152679"/>
    </m:section>
    <m:section xlName="_GBC_b5b71a4d3cc1425c80f55e751e7e18c2" title="预计负债会计处理方法" ignorePeriod="1" convertSummaryRule="NoConvert" helpId="112001027" helpText="注：说明预计负债的确认标准和各类预计负债的计量方法。">
      <m:item xlName="_GBC_60f7f598e5d5458986c0f06775dc38fd" concept="clcid-ci-ar:ShiFouShiYongYuJiFuZhaiZhongYaoHuiJiZhengCeHeGuJi" label="是否适用：预计负债_重要会计政策和估计" selectOptions="_buildInAppliance" controlType="CustomCheckbox" cRanges="{&quot;StartName&quot;:&quot;_GBC_60f7f598e5d5458986c0f06775dc38fd&quot;,&quot;EndName&quot;:&quot;_GBC_d6934772e41e485d9e00e349486f9d7e&quot;,&quot;CType&quot;:1,&quot;DisplayText&quot;:null}"/>
      <m:item xlName="_GBC_d6934772e41e485d9e00e349486f9d7e" concept="clcid-pte:YuJiFuZhaiDeHeSuanFangFa" label="预计负债的核算方法" appId="_GBC_60f7f598e5d5458986c0f06775dc38fd"/>
    </m:section>
    <m:section xlName="_GBC_5300d3ce4b5f4c1690fe13bde0a610e3" title="股份支付" ignorePeriod="1" helpId="112001028" helpText="注：说明股份支付计划的会计处理方法，包括修改或终止股份支付计划的相关会计处理。">
      <m:item xlName="_GBC_cfe00a6b35f24950855f2412f34bcf7a" concept="clcid-ci-ar:ShiFouShiYongGuFenZhiFuZhongYaoHuiJiZhengCeHeGuJi" label="是否适用：股份支付_重要会计政策和估计" selectOptions="_buildInAppliance" controlType="CustomCheckbox" cRanges="{&quot;StartName&quot;:&quot;_GBC_cfe00a6b35f24950855f2412f34bcf7a&quot;,&quot;EndName&quot;:&quot;_GBC_99e197c555ed4cf8aa00bbd5da2fe98b&quot;,&quot;CType&quot;:1,&quot;DisplayText&quot;:null}"/>
      <m:item xlName="_GBC_99e197c555ed4cf8aa00bbd5da2fe98b" concept="clcid-pte:GuFenZhiFuDeHeSuanFangFa" label="股份支付的核算方法" appId="_GBC_cfe00a6b35f24950855f2412f34bcf7a"/>
    </m:section>
    <m:section xlName="_GBC_d3c9524999e647d78f354bb216cfb1aa" title="优先股、永续债" ignorePeriod="1" helpId="112001029" helpText="注：说明优先股、永续债等其他金融工具的会计处理方法">
      <m:item xlName="_GBC_34eb80e2168144958293aa1351780303" concept="clcid-ci-ar:ShiFouShiYongYouXianGuYongXuZhaiDengQiTaJinRongGongJu" label="是否适用：优先股、永续债等其他金融工具" selectOptions="_buildInAppliance" controlType="CustomCheckbox" cRanges="{&quot;StartName&quot;:&quot;_GBC_34eb80e2168144958293aa1351780303&quot;,&quot;EndName&quot;:&quot;_GBC_4d72f974ad08467694c4c547d6e1f03b&quot;,&quot;CType&quot;:1,&quot;DisplayText&quot;:null}"/>
      <m:item xlName="_GBC_4d72f974ad08467694c4c547d6e1f03b" concept="clcid-pte:YouXianGuYongXuZhaiDengQiTaJinRongGongJuDeHeSuanFangFa" label="优先股、永续债等其他金融工具的核算方法" appId="_GBC_34eb80e2168144958293aa1351780303"/>
    </m:section>
    <m:section xlName="_GBC_19704df9fd714cad895419bf4903f70e" title="收入会计处理方法" ignorePeriod="1" convertSummaryRule="NoConvert" helpId="112001030" helpText="注：说明收入确认原则和计量方法。公司应结合实际生产经营特点制定收入确认会计政策，说明具体收入确认时点及计量方法，同类业务采用不同经营模式在不同时点确认收入的，应当分别说明。按完工百分比法确认提供劳务和建造合同收入的收入的，说明确定合同完工进度的依据和方法。">
      <m:item xlName="_GBC_b6eb71cc057645f3b05fb68d8273c681" concept="clcid-ci-ar:ShiFouShiYongShouRuQueRenHeJiLiangSuoCaiYongDeKuaiJiZhengCe" label="是否适用：收入确认和计量所采用的会计政策" selectOptions="_buildInAppliance" controlType="CustomCheckbox" cRanges="[{&quot;StartName&quot;:&quot;_GBC_b6eb71cc057645f3b05fb68d8273c681&quot;,&quot;EndName&quot;:&quot;_GBC_c9c2b3029c08405387c460d2d7eacc7d&quot;,&quot;CType&quot;:1}]"/>
      <m:item xlName="_GBC_c9c2b3029c08405387c460d2d7eacc7d" concept="clcid-pte:ShouRuQueRenHeJiLiangSuoCaiYongDeKuaiJiZhengCe" label="收入确认和计量所采用的会计政策" appId="_GBC_b6eb71cc057645f3b05fb68d8273c681"/>
    </m:section>
    <m:section xlName="_SEC_d90e7184f27046ff9caab68c045539c7" title="同类业务采用不同经营模式导致收入确认会计政策存在差异的情况" ignorePeriod="1">
      <m:item xlName="_GBC_f4f4337356c44180a833322bec4248a8" concept="clcid-ci-ar:ShiFouShiYongTongLeiYeWuCaiYongBuTongJingYingMoShiDaoZhiShouRuQueRenKuaiJiZhengCeCunZaiChaYiDeQingKuang" label="是否适用：同类业务采用不同经营模式导致收入确认会计政策存在差异的情况" selectOptions="_buildInAppliance" controlType="CustomCheckbox" cRanges="[{&quot;StartName&quot;:&quot;_GBC_f4f4337356c44180a833322bec4248a8&quot;,&quot;EndName&quot;:&quot;_GBC_7acccdb5c4b74eea966ff1844cb85072&quot;,&quot;CType&quot;:1}]"/>
      <m:item xlName="_GBC_7acccdb5c4b74eea966ff1844cb85072" concept="clcid-pte:TongLeiYeWuCaiYongBuTongJingYingMoShiDaoZhiShouRuQueRenKuaiJiZhengCeCunZaiChaYiDeQingKuang" label="同类业务采用不同经营模式导致收入确认会计政策存在差异的情况" appId="_GBC_f4f4337356c44180a833322bec4248a8"/>
    </m:section>
    <m:section xlName="_SEC_1a8f2a657b9d471d80373f3b25cb1dfe" title="合同成本" ignorePeriod="1">
      <m:item xlName="_GBC_d7752b20e4914f04bf87bad019929fe8" concept="clcid-ci-ar:ShiFouShiYongHeTongChengBenZhongYaoKuaiJiZhengCeHeGuJi" label="是否适用：合同成本_重要会计政策和估计" selectOptions="_buildInAppliance" controlType="CustomCheckbox" cRanges="[{&quot;StartName&quot;:&quot;_GBC_d7752b20e4914f04bf87bad019929fe8&quot;,&quot;EndName&quot;:&quot;_GBC_6936a4a013d94bae8da35405dbef11fd&quot;,&quot;CType&quot;:1}]"/>
      <m:item xlName="_GBC_6936a4a013d94bae8da35405dbef11fd" concept="clcid-pte:HeTongChengBenZhongYaoKuaiJiZhengCeHeGuJi" label="合同成本_重要会计政策和估计" appId="_GBC_d7752b20e4914f04bf87bad019929fe8"/>
    </m:section>
    <m:section xlName="_GBC_b03bd816e50b42ae97b660897ca33234" title="政府补助会计处理方法" ignorePeriod="1" convertSummaryRule="NoConvert" helpId="112001010">
      <m:item xlName="_GBC_09d5ec3540ea4d9a8e10c93326c490a0" concept="clcid-ci-ar:ShiFouShiYongZhengFuBuZhuZhongYaoKuaiJiZhengCeHeGuJi" label="是否适用：政府补助_重要会计政策和估计" selectOptions="_buildInAppliance" controlType="CustomCheckbox" cRanges="[{&quot;StartName&quot;:&quot;_GBC_09d5ec3540ea4d9a8e10c93326c490a0&quot;,&quot;EndName&quot;:&quot;_GBC_f313a7b8b81b4ed0845a3af1ac57e5e8&quot;,&quot;CType&quot;:1}]"/>
      <m:item xlName="_GBC_f313a7b8b81b4ed0845a3af1ac57e5e8" concept="clcid-pte:ZhengFuBuZhuZhongYaoKuaiJiZhengCeHeGuJi" label="政府补助_重要会计政策和估计" appId="_GBC_09d5ec3540ea4d9a8e10c93326c490a0"/>
    </m:section>
    <m:section xlName="_GBC_01f1973e44f24cd99b90200f8205be13" title="递延所得税资产/递延所得税负债会计处理方法" ignorePeriod="1" convertSummaryRule="NoConvert" helpId="112001031" helpText="注：说明递延所得税资产和递延所得税负债的确认依据。">
      <m:item xlName="_GBC_3e4bb828d17944599248216201e65683" concept="clcid-ci-ar:ShiFouShiYongSuoDeShuiDeHuiJiChuLiFangFa" label="是否适用：所得税的会计处理方法" selectOptions="_buildInAppliance" controlType="CustomCheckbox" cRanges="{&quot;StartName&quot;:&quot;_GBC_3e4bb828d17944599248216201e65683&quot;,&quot;EndName&quot;:&quot;_GBC_545dd84ed2b9458fa5e2b87aa1e1cc1c&quot;,&quot;CType&quot;:1,&quot;DisplayText&quot;:null}"/>
      <m:item xlName="_GBC_545dd84ed2b9458fa5e2b87aa1e1cc1c" concept="clcid-pte:SuoDeShuiDeKuaiJiChuLiFangFa" label="所得税的会计处理方法" appId="_GBC_3e4bb828d17944599248216201e65683"/>
    </m:section>
    <m:section xlName="_GBC_f9ff4c1b9d1748b8854889b1fd9b076c" title="经营租赁、融资租赁会计处理方法" ignorePeriod="1" convertSummaryRule="NoConvert" helpId="112001010" helpText="未执行新租赁准则的公司填写">
      <m:item xlName="_GBC_e2074b0f384d4bba80c32083627e5bdd" concept="clcid-ci-ar:ShiFouShiYongJingYingZuLinDeHuiJiChuLiFangFa" label="是否适用：经营租赁的会计处理方法" selectOptions="_buildInAppliance" controlType="CustomCheckbox" cRanges="{&quot;StartName&quot;:&quot;_GBC_e2074b0f384d4bba80c32083627e5bdd&quot;,&quot;EndName&quot;:&quot;_GBC_95879bb481f644fd959d3a5843c3b06a&quot;,&quot;CType&quot;:1,&quot;DisplayText&quot;:null}"/>
      <m:item xlName="_GBC_95879bb481f644fd959d3a5843c3b06a" concept="clcid-pte:JingYingZuLinDeKuaiJiChuLiFangFa" label="经营租赁的会计处理方法" appId="_GBC_e2074b0f384d4bba80c32083627e5bdd"/>
      <m:item xlName="_GBC_e6743f781bfc4763acf7f9821c740304" concept="clcid-ci-ar:ShiFouShiYongRongZiZuLinDeHuiJiChuLiFangFa" label="是否适用：融资租赁的会计处理方法" selectOptions="_buildInAppliance" controlType="CustomCheckbox" cRanges="{&quot;StartName&quot;:&quot;_GBC_e6743f781bfc4763acf7f9821c740304&quot;,&quot;EndName&quot;:&quot;_GBC_b569fbdb600447ad8fef8d88dedd81cc&quot;,&quot;CType&quot;:1,&quot;DisplayText&quot;:null}"/>
      <m:item xlName="_GBC_b569fbdb600447ad8fef8d88dedd81cc" concept="clcid-pte:RongZiZuLinDeKuaiJiChuLiFangFa" label="融资租赁的会计处理方法" appId="_GBC_e6743f781bfc4763acf7f9821c740304"/>
    </m:section>
    <m:section xlName="_SEC_8bc58354e42542c7bbad4c16498c3080" title="新租赁准则下租赁的确定方法及会计处理方法">
      <m:item xlName="_GBC_9214d33ec34c41b68ccb23415b029371" concept="clcid-ci-ar:ShiFouShiYongXinZuLinZhunZeXiaZuLinDeQueDingFangFaJiHuiJiChuLiFangFa" label="是否适用：新租赁准则下租赁的确定方法及会计处理方法" selectOptions="_buildInAppliance" controlType="CustomCheckbox" cRanges="[{&quot;StartName&quot;:&quot;_GBC_9214d33ec34c41b68ccb23415b029371&quot;,&quot;EndName&quot;:&quot;_GBC_ccaa4235b3124a2f9a3b351187d42720&quot;,&quot;CType&quot;:1}]"/>
      <m:item xlName="_GBC_ccaa4235b3124a2f9a3b351187d42720" concept="clcid-pte:XinZuLinZhunZeXiaZuLinDeQueDingFangFaJiHuiJiChuLiFangFaDeShuoMing" label="新租赁准则下租赁的确定方法及会计处理方法的说明 " appId="_GBC_9214d33ec34c41b68ccb23415b029371"/>
    </m:section>
    <m:section xlName="_GBC_208440ea3a0f4676970b3672c3cdf96f" title="其他重要的会计政策和会计估计" ignorePeriod="1" helpId="112001032" helpText="注：说明其他重要的会计政策和会计估计，包括但不限于：终止经营的确认标准、会计处理方法，采用套期会计的依据、会计处理方法，与回购公司股份相关的会计处理方法，资产证券化业务的会计处理方法等。">
      <m:item xlName="_GBC_b4281f4538de4623a036697d3903e1f8" concept="clcid-ci-ar:ShiFouShiYongQiTaZhongYaoDeHuiJiZhengCeHeHuiJiGuJi" label="是否适用：其他重要的会计政策和会计估计" selectOptions="_buildInAppliance" controlType="CustomCheckbox" cRanges="{&quot;StartName&quot;:&quot;_GBC_b4281f4538de4623a036697d3903e1f8&quot;,&quot;EndName&quot;:&quot;_GBC_5cf318d9d3d148c4af010cce77bc955d&quot;,&quot;CType&quot;:1,&quot;DisplayText&quot;:null}"/>
      <m:item xlName="_GBC_5cf318d9d3d148c4af010cce77bc955d" concept="clcid-pte:QiTaZhuYaoKuaiJiZhengCeKuaiJiGuJiHeKuaiJiBaoBiaoDeBianZhiFangFa" label="其他主要会计政策会计估计和会计报表的编制方法" appId="_GBC_b4281f4538de4623a036697d3903e1f8"/>
    </m:section>
    <m:item xlName="_GBC_f1ebc580f60c4d30a80747190ffbec4f" concept="clcid-pte:ShiFouShiYongZhongYaoKuaiJiZhengCeBianGeng" label="是否适用：重要会计政策变更" selectOptions="_buildInAppliance" controlType="CustomCheckbox" cRanges="{&quot;StartName&quot;:&quot;_GBC_f1ebc580f60c4d30a80747190ffbec4f&quot;,&quot;EndName&quot;:&quot;_GBC_0e06dc657bb8435eb065c6bd60685496&quot;,&quot;CType&quot;:1,&quot;DisplayText&quot;:null}"/>
    <m:section xlName="_GBC_0e06dc657bb8435eb065c6bd60685496" title="会计政策变更" convertSummaryRule="ConvertDefinedText" convertText="无" helpId="112001033" helpText="注：说明受重要影响的报表项目名称和金额。">
      <m:placeholder xlName="_PLD_daa059e86d644c38a64c2363d44d41a6" addr="T0R0C0S1_1"/>
      <m:placeholder xlName="_PLD_1a94328f786e442083b01d246c327f25" addr="T0R0C1S1_1"/>
      <m:placeholder xlName="_PLD_de432e748e8c4df0b4c141bfafe34ee9" addr="T0R0C2S1_1"/>
      <m:tuple xlName="_GBC_3ee3045c350e4d52ab819ea497aaf2f3" concept="clcid-pte:KuaiJiZhengCeDeBianGeng" default_row="2" addr="T0R1C">
        <m:item xlName="_GBC_f40e86f15aac4e81960be4e742b5eaf7" concept="clcid-pte:KuaiJiZhengCeBianGengDeNeiRongHeLiYou" label="会计政策变更的内容和理由" addr="T0R1C0S1_1" appId="_GBC_f1ebc580f60c4d30a80747190ffbec4f"/>
        <m:item xlName="_GBC_738a89d298434c05820936c2d5ce24a6" concept="clcid-pte:KuaiJiZhengCeDeBianGengShenPiChengXu" label="会计政策的变更-审批程序" addr="T0R1C1S1_1" appId="_GBC_f1ebc580f60c4d30a80747190ffbec4f"/>
        <m:item xlName="_GBC_b444cb5e47d542aca4406f49e63a945f" concept="clcid-pte:KuaiJiZhengCeDeBianGengBeiZhu" label="会计政策的变更-备注" addr="T0R1C2S1_1" appId="_GBC_f1ebc580f60c4d30a80747190ffbec4f"/>
      </m:tuple>
      <m:item xlName="_GBC_93e2fc5a38cb45958eae783eee8d98c3" concept="clcid-pte:KuaiJiZhengCeDeBianGengDeQiTaShuoMing" label="会计政策的变更的其他说明" appId="_GBC_f1ebc580f60c4d30a80747190ffbec4f"/>
    </m:section>
    <m:item xlName="_GBC_902f08bd36774074945386d2d1f9b67d" concept="clcid-pte:ShiFouShiYongZhongYaoKuaiJiGuJiBianGeng" label="是否适用：重要会计估计变更" selectOptions="_buildInAppliance" controlType="CustomCheckbox" cRanges="{&quot;StartName&quot;:&quot;_GBC_902f08bd36774074945386d2d1f9b67d&quot;,&quot;EndName&quot;:&quot;_GBC_a657a03221464003b54e3c1dc1675cb2&quot;,&quot;CType&quot;:1,&quot;DisplayText&quot;:null}"/>
    <m:section xlName="_GBC_a657a03221464003b54e3c1dc1675cb2" title="会计估计变更" helpId="112001033" helpText="注：说明受重要影响的报表项目名称和金额。">
      <m:placeholder xlName="_PLD_7f079622e1e34eb393a5870ddaff9840" addr="T0R0C0S1_1"/>
      <m:placeholder xlName="_PLD_5dbcb8bfab534f5588117c58d685f2ea" addr="T0R0C1S1_1"/>
      <m:placeholder xlName="_PLD_cdb554b4a0cd4f2eb0ac87dab62d09f5" addr="T0R0C2S1_1"/>
      <m:placeholder xlName="_PLD_1ddcfa9feb874e6aa6dd3d67bb6f4b4b" addr="T0R0C3S1_1"/>
      <m:tuple xlName="_GBC_8e0c16d0b81e4bf081d014194942ee86" concept="clcid-pte:KuaiJiGuJiDeBianGeng" default_row="2" addr="T0R1C">
        <m:item xlName="_GBC_e5cac8e07e244d12a7e8a8347fb22108" concept="clcid-pte:KuaiJiGuJiBianGengDeNeiRongHeLiYou" label="会计估计变更的内容和理由" addr="T0R1C0S1_1" appId="_GBC_902f08bd36774074945386d2d1f9b67d"/>
        <m:item xlName="_GBC_acf7eb0bc5b14419a550ec6192733063" concept="clcid-pte:KuaiJiGuJiDeBianGengShenPiChengXu" label="会计估计的变更-审批程序" addr="T0R1C1S1_1" appId="_GBC_902f08bd36774074945386d2d1f9b67d"/>
        <m:item xlName="_GBC_4ac605eccc76456d8295995a7ac1e6fa" concept="clcid-pte:KuaiJiGuJiDeBianGengKaiShiShiYongDeShiDian" label="会计估计的变更-开始适用的时点" addr="T0R1C2S1_1" appId="_GBC_902f08bd36774074945386d2d1f9b67d"/>
        <m:item xlName="_GBC_e0574c906b644dc8af553bc83dbb4172" concept="clcid-pte:KuaiJiGuJiDeBianGengBeiZhu" label="会计估计的变更-备注" addr="T0R1C3S1_1" formatStyle="Comma" appId="_GBC_902f08bd36774074945386d2d1f9b67d"/>
      </m:tuple>
      <m:item xlName="_GBC_3eb14b79700f4ec8a99bc143c5b8016c" concept="clcid-pte:KuaiJiGuJiDeBianGengDeQiTaShuoMing" label="会计估计的变更的其他说明" appId="_GBC_902f08bd36774074945386d2d1f9b67d"/>
    </m:section>
    <m:section xlName="_SEC_e1c98e5fd61d48c4bc25ea1a7cf45164" title="首次执行新金融工具准则、新收入准则、新租赁准则调整首次执行当..." helpText="自2021年1月1日起，所有境内上市企业开始执行新租赁准则。根据新会计准则的相关规定，上市公司需对首次执行上述新准则对财务报表的影响数进行追溯调整。对于采用修改的追溯调整法进行调整的公司，应填写下附资产负债表调节表，将资产负债表2020年12月31日数据调整为2021年1月1日数据。" primarySection="_SEC_e1c98e5fd61d48c4bc25ea1a7cf45164" optionText="需要编制合并报表" optionGroupTitle="是否需要合并报表" optionTargetConcept="clcid-ci-ar:ShiFouXuYaoHeBingBaoBiao" optionTargetConceptValue="true">
      <m:item xlName="_GBC_5ea888705f7c4c0f98e8769d2197c0de" concept="clcid-ci-ar:ShiFouShiYongShouCiZhiXingXinJinRongGongJuZhunZeHuoXinShouRuZhunZeTiaoZhengShouCiZhiXingDangNianNianChuCaiWuBaoBiaoXiangGuanXiangMuQingKuang" label="是否适用：首次执行新金融工具准则或新收入准则调整首次执行当年年初财务报表相关项目情况" selectOptions="_buildInAppliance" controlType="CustomCheckbox" cRanges="[{&quot;StartName&quot;:&quot;_GBC_5ea888705f7c4c0f98e8769d2197c0de&quot;,&quot;EndName&quot;:&quot;_GBC_d0fbabdfa28a42cc85d9e88c82f80510&quot;,&quot;CType&quot;:1}]"/>
      <m:region xlName="_SEC_41a4f1020a3c418c935a7cb510dee401" title="合并资产负债表&#10;">
        <m:item xlName="_GBC_d28e3b675fc048afb747681dc6d939c2" concept="clcid-ci-ar:DanWeiHeBingZiChanFuZhaiBiao" label="单位：合并资产负债表" selectOptions="_buildInScales" controlType="Combobox" cellType="Scale" appId="_GBC_5ea888705f7c4c0f98e8769d2197c0de"/>
        <m:item xlName="_GBC_e3316f7d89b24ba1bb4a783fd180bf77" concept="clcid-ci-ar:BiZhongHeBingZiChanFuZhaiBiao" label="币种：合并资产负债表" selectOptions="_buildInISO4217" controlType="Combobox" cellType="Measure" appId="_GBC_5ea888705f7c4c0f98e8769d2197c0de"/>
        <m:placeholder xlName="_PLD_f722f6dfc20745adb2d46c44c80bfac1" addr="T0R0C0S1_1"/>
        <m:placeholder xlName="_PLD_f4bb71216cbe4aa2b7c307a16214d769" addr="T0R0C1S1_1"/>
        <m:placeholder xlName="_PLD_117c3036ee174d36950551d0e65ed7fe" addr="T0R0C2S1_1"/>
        <m:placeholder xlName="_PLD_81596488beb14108bcc1a644f7064c86" addr="T0R0C3S1_1"/>
        <m:placeholder xlName="_PLD_56fc53346a344cb18c42cf14da6a0ab8" addr="T0R1C0S1_1"/>
        <m:placeholder xlName="_PLD_4275c997fab34b31bdc237110f7ac4b5" addr="T0R2C0S1_1"/>
        <m:item xlName="_GBC_03d75a16da894a4fb45128b4c4e6087c" concept="clcid-pte:HuoBiZiJin" label="货币资金" periodRef="上年期末数" mulRef="_GBC_d28e3b675fc048afb747681dc6d939c2" unitRef="_GBC_e3316f7d89b24ba1bb4a783fd180bf77" addr="T0R2C1S1_1" formatStyle="Comma" appId="_GBC_5ea888705f7c4c0f98e8769d2197c0de"/>
        <m:item xlName="_GBC_696630dfedcd4b708e381fc19ebffd9f" concept="clcid-pte:HuoBiZiJin" label="货币资金" periodRef="本期期初数" mulRef="_GBC_d28e3b675fc048afb747681dc6d939c2" unitRef="_GBC_e3316f7d89b24ba1bb4a783fd180bf77" addr="T0R2C2S1_1" formatStyle="Comma" appId="_GBC_5ea888705f7c4c0f98e8769d2197c0de">
          <m:complexRule comparator="Eq" title="货币资金@本期期初数" test=" $_GBC_03d75a16da894a4fb45128b4c4e6087c +  $_GBC_8d10e7cf6d6e41098697ca73190a6393" id="Cfd167edc7535494587a084aa0a573056"/>
        </m:item>
        <m:item xlName="_GBC_8d10e7cf6d6e41098697ca73190a6393" concept="clcid-pte:HuoBiZiJin" label="货币资金" mulRef="_GBC_d28e3b675fc048afb747681dc6d939c2" unitRef="_GBC_e3316f7d89b24ba1bb4a783fd180bf77" addr="T0R2C3S1_1" formatStyle="Comma" appId="_GBC_5ea888705f7c4c0f98e8769d2197c0de">
          <m:axisValue occRef="调整数"/>
        </m:item>
        <m:placeholder xlName="_PLD_cfb3ce8aaf844f20bade494f8de16d9c" addr="T0R3C0S1_1"/>
        <m:item xlName="_GBC_4daa5532164348eaa242beea4d640659" concept="clcid-pte:JieSuanBeiFuJin" label="结算备付金" periodRef="上年期末数" mulRef="_GBC_d28e3b675fc048afb747681dc6d939c2" unitRef="_GBC_e3316f7d89b24ba1bb4a783fd180bf77" addr="T0R3C1S1_1" formatStyle="Comma" appId="_GBC_5ea888705f7c4c0f98e8769d2197c0de"/>
        <m:item xlName="_GBC_9b0b4d43971b4aea83e09105c5ac515d" concept="clcid-pte:JieSuanBeiFuJin" label="结算备付金" periodRef="本期期初数" mulRef="_GBC_d28e3b675fc048afb747681dc6d939c2" unitRef="_GBC_e3316f7d89b24ba1bb4a783fd180bf77" addr="T0R3C2S1_1" formatStyle="Comma" appId="_GBC_5ea888705f7c4c0f98e8769d2197c0de">
          <m:complexRule comparator="Eq" title="结算备付金@本期期初数" test="$_GBC_4daa5532164348eaa242beea4d640659 + $_GBC_15bf9d66100b4b09b82d3a1b3909aeb7" id="C3bba505a20f947c5b5763e8175bd32d8"/>
        </m:item>
        <m:item xlName="_GBC_15bf9d66100b4b09b82d3a1b3909aeb7" concept="clcid-pte:JieSuanBeiFuJin" label="结算备付金" mulRef="_GBC_d28e3b675fc048afb747681dc6d939c2" unitRef="_GBC_e3316f7d89b24ba1bb4a783fd180bf77" addr="T0R3C3S1_1" formatStyle="Comma" appId="_GBC_5ea888705f7c4c0f98e8769d2197c0de">
          <m:axisValue occRef="调整数"/>
        </m:item>
        <m:placeholder xlName="_PLD_73f305bc0dad42a48574344b88169c52" addr="T0R4C0S1_1"/>
        <m:item xlName="_GBC_6a55fe81a23f47fdb9c67f17289b68b9" concept="clcid-pte:ChaiChuZiJin" label="拆出资金" periodRef="上年期末数" mulRef="_GBC_d28e3b675fc048afb747681dc6d939c2" unitRef="_GBC_e3316f7d89b24ba1bb4a783fd180bf77" addr="T0R4C1S1_1" formatStyle="Comma" appId="_GBC_5ea888705f7c4c0f98e8769d2197c0de"/>
        <m:item xlName="_GBC_ecc632a93ec84d49ba2c323073d02fb2" concept="clcid-pte:ChaiChuZiJin" label="拆出资金" periodRef="本期期初数" mulRef="_GBC_d28e3b675fc048afb747681dc6d939c2" unitRef="_GBC_e3316f7d89b24ba1bb4a783fd180bf77" addr="T0R4C2S1_1" formatStyle="Comma" appId="_GBC_5ea888705f7c4c0f98e8769d2197c0de">
          <m:complexRule comparator="Eq" title="拆出资金@本期期初数" test="$_GBC_6a55fe81a23f47fdb9c67f17289b68b9 + $_GBC_cd91fae2679f40f5aa2c4860b3b82b3e" id="C25a22949428947f18af7893a38753b22"/>
        </m:item>
        <m:item xlName="_GBC_cd91fae2679f40f5aa2c4860b3b82b3e" concept="clcid-pte:ChaiChuZiJin" label="拆出资金" mulRef="_GBC_d28e3b675fc048afb747681dc6d939c2" unitRef="_GBC_e3316f7d89b24ba1bb4a783fd180bf77" addr="T0R4C3S1_1" formatStyle="Comma" appId="_GBC_5ea888705f7c4c0f98e8769d2197c0de">
          <m:axisValue occRef="调整数"/>
        </m:item>
        <m:placeholder xlName="_PLD_e9406744239a488ea72665c240337f9e" addr="T0R5C0S1_1"/>
        <m:item xlName="_GBC_a8cc3f5deb664e5e953bca4d151ca733" concept="clcid-pte:JiaoYiXingJinRongZiChan" label="交易性金融资产" periodRef="上年期末数" mulRef="_GBC_d28e3b675fc048afb747681dc6d939c2" unitRef="_GBC_e3316f7d89b24ba1bb4a783fd180bf77" addr="T0R5C1S1_1" formatStyle="Comma" appId="_GBC_5ea888705f7c4c0f98e8769d2197c0de"/>
        <m:item xlName="_GBC_58dfb8912e1e41918ecf1e96e6965264" concept="clcid-pte:JiaoYiXingJinRongZiChan" label="交易性金融资产" periodRef="本期期初数" mulRef="_GBC_d28e3b675fc048afb747681dc6d939c2" unitRef="_GBC_e3316f7d89b24ba1bb4a783fd180bf77" addr="T0R5C2S1_1" formatStyle="Comma" appId="_GBC_5ea888705f7c4c0f98e8769d2197c0de">
          <m:complexRule comparator="Eq" title="交易性金融资产@本期期初数" test="$_GBC_a8cc3f5deb664e5e953bca4d151ca733 + $_GBC_64f194011f964c1e820b816761f03dd6" id="C728ff9400b3b43aab915106b56ebd153"/>
        </m:item>
        <m:item xlName="_GBC_64f194011f964c1e820b816761f03dd6" concept="clcid-pte:JiaoYiXingJinRongZiChan" label="交易性金融资产" mulRef="_GBC_d28e3b675fc048afb747681dc6d939c2" unitRef="_GBC_e3316f7d89b24ba1bb4a783fd180bf77" addr="T0R5C3S1_1" formatStyle="Comma" appId="_GBC_5ea888705f7c4c0f98e8769d2197c0de">
          <m:axisValue occRef="调整数"/>
        </m:item>
        <m:placeholder xlName="_PLD_f2ca4ecabe52459c89f3b3b833b28992" addr="T0R6C0S1_1"/>
        <m:item xlName="_GBC_21c0bf05c0b545e284aa830f1209cce4" concept="clcid-pte:YanShengJinRongZiChan" label="衍生金融资产" periodRef="上年期末数" mulRef="_GBC_d28e3b675fc048afb747681dc6d939c2" unitRef="_GBC_e3316f7d89b24ba1bb4a783fd180bf77" addr="T0R6C1S1_1" formatStyle="Comma" appId="_GBC_5ea888705f7c4c0f98e8769d2197c0de"/>
        <m:item xlName="_GBC_0689165167b54b64a7afc709a6054458" concept="clcid-pte:YanShengJinRongZiChan" label="衍生金融资产" periodRef="本期期初数" mulRef="_GBC_d28e3b675fc048afb747681dc6d939c2" unitRef="_GBC_e3316f7d89b24ba1bb4a783fd180bf77" addr="T0R6C2S1_1" formatStyle="Comma" appId="_GBC_5ea888705f7c4c0f98e8769d2197c0de">
          <m:complexRule comparator="Eq" title="衍生金融资产@本期期初数" test=" $_GBC_21c0bf05c0b545e284aa830f1209cce4 +  $_GBC_3051186b5108409a81df3f08eba72ffb" id="C33aa08eb6e094e2795d2278d6b987796"/>
        </m:item>
        <m:item xlName="_GBC_3051186b5108409a81df3f08eba72ffb" concept="clcid-pte:YanShengJinRongZiChan" label="衍生金融资产" mulRef="_GBC_d28e3b675fc048afb747681dc6d939c2" unitRef="_GBC_e3316f7d89b24ba1bb4a783fd180bf77" addr="T0R6C3S1_1" formatStyle="Comma" appId="_GBC_5ea888705f7c4c0f98e8769d2197c0de">
          <m:axisValue occRef="调整数"/>
        </m:item>
        <m:placeholder xlName="_PLD_404cf6ab6df04bccadc6e50b430c5ad1" addr="T0R7C0S1_1"/>
        <m:item xlName="_GBC_7a7677dac68e44ce8af4f7050070f2bb" concept="clcid-pte:YingShouPiaoJu" label="应收票据" periodRef="上年期末数" mulRef="_GBC_d28e3b675fc048afb747681dc6d939c2" unitRef="_GBC_e3316f7d89b24ba1bb4a783fd180bf77" addr="T0R7C1S1_1" formatStyle="Comma" appId="_GBC_5ea888705f7c4c0f98e8769d2197c0de"/>
        <m:item xlName="_GBC_8bb51793356948e2bb9ed906cf61d8ab" concept="clcid-pte:YingShouPiaoJu" label="应收票据" periodRef="本期期初数" mulRef="_GBC_d28e3b675fc048afb747681dc6d939c2" unitRef="_GBC_e3316f7d89b24ba1bb4a783fd180bf77" addr="T0R7C2S1_1" formatStyle="Comma" appId="_GBC_5ea888705f7c4c0f98e8769d2197c0de">
          <m:complexRule comparator="Eq" title="应收票据@本期期初数" test="$_GBC_7a7677dac68e44ce8af4f7050070f2bb + $_GBC_64ad04846ead4575af32c8103c2b208c" id="Ca205ae7e37874054bd122616e50c78f5"/>
        </m:item>
        <m:item xlName="_GBC_64ad04846ead4575af32c8103c2b208c" concept="clcid-pte:YingShouPiaoJu" label="应收票据" mulRef="_GBC_d28e3b675fc048afb747681dc6d939c2" unitRef="_GBC_e3316f7d89b24ba1bb4a783fd180bf77" addr="T0R7C3S1_1" formatStyle="Comma" appId="_GBC_5ea888705f7c4c0f98e8769d2197c0de">
          <m:axisValue occRef="调整数"/>
        </m:item>
        <m:placeholder xlName="_PLD_60c7fd7f05404a5aa4d1bd82df1525bf" addr="T0R8C0S1_1"/>
        <m:item xlName="_GBC_a030850c519443d6acb7eb74ee812c1c" concept="clcid-pte:YingShouZhangKuan" label="应收帐款" periodRef="上年期末数" mulRef="_GBC_d28e3b675fc048afb747681dc6d939c2" unitRef="_GBC_e3316f7d89b24ba1bb4a783fd180bf77" addr="T0R8C1S1_1" formatStyle="Comma" appId="_GBC_5ea888705f7c4c0f98e8769d2197c0de"/>
        <m:item xlName="_GBC_acbe26e873314e369486b624c4c38ea1" concept="clcid-pte:YingShouZhangKuan" label="应收帐款" periodRef="本期期初数" mulRef="_GBC_d28e3b675fc048afb747681dc6d939c2" unitRef="_GBC_e3316f7d89b24ba1bb4a783fd180bf77" addr="T0R8C2S1_1" formatStyle="Comma" appId="_GBC_5ea888705f7c4c0f98e8769d2197c0de">
          <m:complexRule comparator="Eq" title="应收帐款@本期期初数" test="$_GBC_a030850c519443d6acb7eb74ee812c1c + $_GBC_ea943f82faae4e7aa5fa5a46c605a791" id="C905acfecb93e46c9a06a155ceade879e"/>
        </m:item>
        <m:item xlName="_GBC_ea943f82faae4e7aa5fa5a46c605a791" concept="clcid-pte:YingShouZhangKuan" label="应收帐款" mulRef="_GBC_d28e3b675fc048afb747681dc6d939c2" unitRef="_GBC_e3316f7d89b24ba1bb4a783fd180bf77" addr="T0R8C3S1_1" formatStyle="Comma" appId="_GBC_5ea888705f7c4c0f98e8769d2197c0de">
          <m:axisValue occRef="调整数"/>
        </m:item>
        <m:placeholder xlName="_PLD_dfda8af118d94152a3fe4a70f28db8ca" addr="T0R9C0S1_1"/>
        <m:item xlName="_GBC_6ec383a84a8b4dbea29277e51847c5da" concept="clcid-pte:YingShouKuanXiangRongZi" label="应收款项融资" periodRef="上年期末数" mulRef="_GBC_d28e3b675fc048afb747681dc6d939c2" unitRef="_GBC_e3316f7d89b24ba1bb4a783fd180bf77" addr="T0R9C1S1_1" formatStyle="Comma" appId="_GBC_5ea888705f7c4c0f98e8769d2197c0de"/>
        <m:item xlName="_GBC_9d5c248e75764e94a06be9d62c1c92a3" concept="clcid-pte:YingShouKuanXiangRongZi" label="应收款项融资" periodRef="本期期初数" mulRef="_GBC_d28e3b675fc048afb747681dc6d939c2" unitRef="_GBC_e3316f7d89b24ba1bb4a783fd180bf77" addr="T0R9C2S1_1" formatStyle="Comma" appId="_GBC_5ea888705f7c4c0f98e8769d2197c0de"/>
        <m:item xlName="_GBC_a84d30f6d5f348ee95733cccf1d451a1" concept="clcid-pte:YingShouKuanXiangRongZi" label="应收款项融资" mulRef="_GBC_d28e3b675fc048afb747681dc6d939c2" unitRef="_GBC_e3316f7d89b24ba1bb4a783fd180bf77" addr="T0R9C3S1_1" formatStyle="Comma" appId="_GBC_5ea888705f7c4c0f98e8769d2197c0de">
          <m:axisValue occRef="调整数"/>
        </m:item>
        <m:placeholder xlName="_PLD_932119a1f2724f0296ba583a176a5b7f" addr="T0R10C0S1_1"/>
        <m:item xlName="_GBC_e5dfd58448674c7e9cb95f726336c36a" concept="clcid-pte:YuFuZhangKuan" label="预付帐款" periodRef="上年期末数" mulRef="_GBC_d28e3b675fc048afb747681dc6d939c2" unitRef="_GBC_e3316f7d89b24ba1bb4a783fd180bf77" addr="T0R10C1S1_1" formatStyle="Comma" appId="_GBC_5ea888705f7c4c0f98e8769d2197c0de"/>
        <m:item xlName="_GBC_95bde15a905f44dd82ef005dfd6829e1" concept="clcid-pte:YuFuZhangKuan" label="预付帐款" periodRef="本期期初数" mulRef="_GBC_d28e3b675fc048afb747681dc6d939c2" unitRef="_GBC_e3316f7d89b24ba1bb4a783fd180bf77" addr="T0R10C2S1_1" formatStyle="Comma" appId="_GBC_5ea888705f7c4c0f98e8769d2197c0de">
          <m:complexRule comparator="Eq" title="预付帐款@本期期初数" test="$_GBC_e5dfd58448674c7e9cb95f726336c36a + $_GBC_9985055e891241d49fcfaff3f9c8c9bd" id="Cc9712b1a4fef4f36b021b4884314cb7e"/>
        </m:item>
        <m:item xlName="_GBC_9985055e891241d49fcfaff3f9c8c9bd" concept="clcid-pte:YuFuZhangKuan" label="预付帐款" mulRef="_GBC_d28e3b675fc048afb747681dc6d939c2" unitRef="_GBC_e3316f7d89b24ba1bb4a783fd180bf77" addr="T0R10C3S1_1" formatStyle="Comma" appId="_GBC_5ea888705f7c4c0f98e8769d2197c0de">
          <m:axisValue occRef="调整数"/>
        </m:item>
        <m:placeholder xlName="_PLD_9890145bbb06470fbff7552efd27f5cb" addr="T0R11C0S1_1"/>
        <m:item xlName="_GBC_eb698764d94043eba4fc7c8632d70cdf" concept="clcid-pte:YingShouBaoFei" label="应收保费" periodRef="上年期末数" mulRef="_GBC_d28e3b675fc048afb747681dc6d939c2" unitRef="_GBC_e3316f7d89b24ba1bb4a783fd180bf77" addr="T0R11C1S1_1" formatStyle="Comma" appId="_GBC_5ea888705f7c4c0f98e8769d2197c0de"/>
        <m:item xlName="_GBC_64db3d2c4c944f4bb78787dcba19742b" concept="clcid-pte:YingShouBaoFei" label="应收保费" periodRef="本期期初数" mulRef="_GBC_d28e3b675fc048afb747681dc6d939c2" unitRef="_GBC_e3316f7d89b24ba1bb4a783fd180bf77" addr="T0R11C2S1_1" formatStyle="Comma" appId="_GBC_5ea888705f7c4c0f98e8769d2197c0de">
          <m:complexRule comparator="Eq" title="应收保费@本期期初数" test="$_GBC_eb698764d94043eba4fc7c8632d70cdf + $_GBC_975d52506b3e41a9abb859a48c94e820" id="Ca8a89f842d9e47e69eca71a8737bcf98"/>
        </m:item>
        <m:item xlName="_GBC_975d52506b3e41a9abb859a48c94e820" concept="clcid-pte:YingShouBaoFei" label="应收保费" mulRef="_GBC_d28e3b675fc048afb747681dc6d939c2" unitRef="_GBC_e3316f7d89b24ba1bb4a783fd180bf77" addr="T0R11C3S1_1" formatStyle="Comma" appId="_GBC_5ea888705f7c4c0f98e8769d2197c0de">
          <m:axisValue occRef="调整数"/>
        </m:item>
        <m:placeholder xlName="_PLD_adbed6db890948269b00aa5269ca43ef" addr="T0R12C0S1_1"/>
        <m:item xlName="_GBC_0b55ac670fac43af87b4c5d5a3a39d2f" concept="clcid-pte:YingShouFenBaoZhangKuan" label="应收分保账款" periodRef="上年期末数" mulRef="_GBC_d28e3b675fc048afb747681dc6d939c2" unitRef="_GBC_e3316f7d89b24ba1bb4a783fd180bf77" addr="T0R12C1S1_1" formatStyle="Comma" appId="_GBC_5ea888705f7c4c0f98e8769d2197c0de"/>
        <m:item xlName="_GBC_f939d86352bd4974ab7e0bd065d05ef0" concept="clcid-pte:YingShouFenBaoZhangKuan" label="应收分保账款" periodRef="本期期初数" mulRef="_GBC_d28e3b675fc048afb747681dc6d939c2" unitRef="_GBC_e3316f7d89b24ba1bb4a783fd180bf77" addr="T0R12C2S1_1" formatStyle="Comma" appId="_GBC_5ea888705f7c4c0f98e8769d2197c0de">
          <m:complexRule comparator="Eq" title="应收分保账款@本期期初数" test="$_GBC_0b55ac670fac43af87b4c5d5a3a39d2f + $_GBC_f51b1633ff894157bc987704f1791599" id="C155db93a5b4b43ffb010d81315017b23"/>
        </m:item>
        <m:item xlName="_GBC_f51b1633ff894157bc987704f1791599" concept="clcid-pte:YingShouFenBaoZhangKuan" label="应收分保账款" mulRef="_GBC_d28e3b675fc048afb747681dc6d939c2" unitRef="_GBC_e3316f7d89b24ba1bb4a783fd180bf77" addr="T0R12C3S1_1" formatStyle="Comma" appId="_GBC_5ea888705f7c4c0f98e8769d2197c0de">
          <m:axisValue occRef="调整数"/>
        </m:item>
        <m:placeholder xlName="_PLD_8d39fe01970f447399435e529e8f3c76" addr="T0R13C0S1_1"/>
        <m:item xlName="_GBC_b6b500fe6e72411cbc584d897340d142" concept="clcid-pte:YingShouFenBaoHeTongZhunBeiJin" label="应收分保合同准备金" periodRef="上年期末数" mulRef="_GBC_d28e3b675fc048afb747681dc6d939c2" unitRef="_GBC_e3316f7d89b24ba1bb4a783fd180bf77" addr="T0R13C1S1_1" formatStyle="Comma" appId="_GBC_5ea888705f7c4c0f98e8769d2197c0de"/>
        <m:item xlName="_GBC_80cb33f499c6439f9148c99a5ae9c0a0" concept="clcid-pte:YingShouFenBaoHeTongZhunBeiJin" label="应收分保合同准备金" periodRef="本期期初数" mulRef="_GBC_d28e3b675fc048afb747681dc6d939c2" unitRef="_GBC_e3316f7d89b24ba1bb4a783fd180bf77" addr="T0R13C2S1_1" formatStyle="Comma" appId="_GBC_5ea888705f7c4c0f98e8769d2197c0de">
          <m:complexRule comparator="Eq" title="应收分保合同准备金@本期期初数" test="$_GBC_b6b500fe6e72411cbc584d897340d142 + $_GBC_a859d1526ad84039af4a18584787f736" id="C33fa4f60110a45d895f9993331aa65e2"/>
        </m:item>
        <m:item xlName="_GBC_a859d1526ad84039af4a18584787f736" concept="clcid-pte:YingShouFenBaoHeTongZhunBeiJin" label="应收分保合同准备金" mulRef="_GBC_d28e3b675fc048afb747681dc6d939c2" unitRef="_GBC_e3316f7d89b24ba1bb4a783fd180bf77" addr="T0R13C3S1_1" formatStyle="Comma" appId="_GBC_5ea888705f7c4c0f98e8769d2197c0de">
          <m:axisValue occRef="调整数"/>
        </m:item>
        <m:placeholder xlName="_PLD_1c11d90f36904ee99e2d2614e1985d9f" addr="T0R14C0S1_1"/>
        <m:item xlName="_GBC_48831c2e79be421ca6de75ea61e753f0" concept="clcid-pte:QiTaYingShouKuan" label="其他应收款" periodRef="上年期末数" mulRef="_GBC_d28e3b675fc048afb747681dc6d939c2" unitRef="_GBC_e3316f7d89b24ba1bb4a783fd180bf77" addr="T0R14C1S1_1" formatStyle="Comma" appId="_GBC_5ea888705f7c4c0f98e8769d2197c0de"/>
        <m:item xlName="_GBC_347fe48152974baabe3fc62eaaec6a34" concept="clcid-pte:QiTaYingShouKuan" label="其他应收款" periodRef="本期期初数" mulRef="_GBC_d28e3b675fc048afb747681dc6d939c2" unitRef="_GBC_e3316f7d89b24ba1bb4a783fd180bf77" addr="T0R14C2S1_1" formatStyle="Comma" appId="_GBC_5ea888705f7c4c0f98e8769d2197c0de">
          <m:complexRule comparator="Eq" title="其他应收款@本期期初数" test="$_GBC_48831c2e79be421ca6de75ea61e753f0 + $_GBC_9a3113b1c60d4b48807b39dc657c1e9f" id="C0f974d6b92f84e5fa0c9ebc805a3e00c"/>
        </m:item>
        <m:item xlName="_GBC_9a3113b1c60d4b48807b39dc657c1e9f" concept="clcid-pte:QiTaYingShouKuan" label="其他应收款" mulRef="_GBC_d28e3b675fc048afb747681dc6d939c2" unitRef="_GBC_e3316f7d89b24ba1bb4a783fd180bf77" addr="T0R14C3S1_1" formatStyle="Comma" appId="_GBC_5ea888705f7c4c0f98e8769d2197c0de">
          <m:axisValue occRef="调整数"/>
        </m:item>
        <m:placeholder xlName="_PLD_b725da7877314ffbb440022473aa4771" addr="T0R15C0S1_1"/>
        <m:item xlName="_GBC_5b4a70a9bd2640149ccd379a380ecea4" concept="clcid-pte:YingShouLiXi" label="应收利息" periodRef="上年期末数" mulRef="_GBC_d28e3b675fc048afb747681dc6d939c2" unitRef="_GBC_e3316f7d89b24ba1bb4a783fd180bf77" addr="T0R15C1S1_1" formatStyle="Comma" appId="_GBC_5ea888705f7c4c0f98e8769d2197c0de"/>
        <m:item xlName="_GBC_9d85e65f8e49405694d700411f38a607" concept="clcid-pte:YingShouLiXi" label="应收利息" periodRef="本期期初数" mulRef="_GBC_d28e3b675fc048afb747681dc6d939c2" unitRef="_GBC_e3316f7d89b24ba1bb4a783fd180bf77" addr="T0R15C2S1_1" formatStyle="Comma" appId="_GBC_5ea888705f7c4c0f98e8769d2197c0de">
          <m:complexRule comparator="Eq" title="应收利息@本期期初数" test="$_GBC_5b4a70a9bd2640149ccd379a380ecea4 + $_GBC_52c20f2575e64c71a6bb36a99b09e12a" id="C541163c6d96441dc9225d449bb070737"/>
        </m:item>
        <m:item xlName="_GBC_52c20f2575e64c71a6bb36a99b09e12a" concept="clcid-pte:YingShouLiXi" label="应收利息" mulRef="_GBC_d28e3b675fc048afb747681dc6d939c2" unitRef="_GBC_e3316f7d89b24ba1bb4a783fd180bf77" addr="T0R15C3S1_1" formatStyle="Comma" appId="_GBC_5ea888705f7c4c0f98e8769d2197c0de">
          <m:axisValue occRef="调整数"/>
        </m:item>
        <m:placeholder xlName="_PLD_c5bd1b6582fc46a4af5fd9ca75d2de9e" addr="T0R16C0S1_1"/>
        <m:item xlName="_GBC_18bc53cdab9945eaa86eba9afa760ed2" concept="clcid-pte:YingShouGuLi" label="应收股利" periodRef="上年期末数" mulRef="_GBC_d28e3b675fc048afb747681dc6d939c2" unitRef="_GBC_e3316f7d89b24ba1bb4a783fd180bf77" addr="T0R16C1S1_1" formatStyle="Comma" appId="_GBC_5ea888705f7c4c0f98e8769d2197c0de"/>
        <m:item xlName="_GBC_b23320f7788841acbe0df7bfbd5eb158" concept="clcid-pte:YingShouGuLi" label="应收股利" periodRef="本期期初数" mulRef="_GBC_d28e3b675fc048afb747681dc6d939c2" unitRef="_GBC_e3316f7d89b24ba1bb4a783fd180bf77" addr="T0R16C2S1_1" formatStyle="Comma" appId="_GBC_5ea888705f7c4c0f98e8769d2197c0de">
          <m:complexRule comparator="Eq" title="应收股利@本期期初数" test="$_GBC_18bc53cdab9945eaa86eba9afa760ed2 + $_GBC_6e78213e865542c9af21f92ef4c45c43" id="Cc75a61bd8a224a5e850137c296a74e39"/>
        </m:item>
        <m:item xlName="_GBC_6e78213e865542c9af21f92ef4c45c43" concept="clcid-pte:YingShouGuLi" label="应收股利" mulRef="_GBC_d28e3b675fc048afb747681dc6d939c2" unitRef="_GBC_e3316f7d89b24ba1bb4a783fd180bf77" addr="T0R16C3S1_1" formatStyle="Comma" appId="_GBC_5ea888705f7c4c0f98e8769d2197c0de">
          <m:axisValue occRef="调整数"/>
        </m:item>
        <m:placeholder xlName="_PLD_bd9b6785a63f4b75a55acaea5b3931e8" addr="T0R17C0S1_1"/>
        <m:item xlName="_GBC_bbbf866a7bd14ba986a6197dd11ba515" concept="clcid-pte:MaiRuFanShouJinRongZiChan" label="买入返售金融资产" periodRef="上年期末数" mulRef="_GBC_d28e3b675fc048afb747681dc6d939c2" unitRef="_GBC_e3316f7d89b24ba1bb4a783fd180bf77" addr="T0R17C1S1_1" formatStyle="Comma" appId="_GBC_5ea888705f7c4c0f98e8769d2197c0de"/>
        <m:item xlName="_GBC_e0465f6f65ef483c8c09ba171b8ca1c2" concept="clcid-pte:MaiRuFanShouJinRongZiChan" label="买入返售金融资产" periodRef="本期期初数" mulRef="_GBC_d28e3b675fc048afb747681dc6d939c2" unitRef="_GBC_e3316f7d89b24ba1bb4a783fd180bf77" addr="T0R17C2S1_1" formatStyle="Comma" appId="_GBC_5ea888705f7c4c0f98e8769d2197c0de">
          <m:complexRule comparator="Eq" title="买入返售金融资产@本期期初数" test="$_GBC_bbbf866a7bd14ba986a6197dd11ba515 + $_GBC_9fcbc440d4d4449d92fa6b437ed55abc" id="C5dfa157333934694a384863acfde007e"/>
        </m:item>
        <m:item xlName="_GBC_9fcbc440d4d4449d92fa6b437ed55abc" concept="clcid-pte:MaiRuFanShouJinRongZiChan" label="买入返售金融资产" mulRef="_GBC_d28e3b675fc048afb747681dc6d939c2" unitRef="_GBC_e3316f7d89b24ba1bb4a783fd180bf77" addr="T0R17C3S1_1" formatStyle="Comma" appId="_GBC_5ea888705f7c4c0f98e8769d2197c0de">
          <m:axisValue occRef="调整数"/>
        </m:item>
        <m:placeholder xlName="_PLD_1b93e8fafaee4160b39625362d84eff2" addr="T0R18C0S1_1"/>
        <m:item xlName="_GBC_973b78aa04204b01909bc6c8c801e09c" concept="clcid-pte:CunHuo" label="存货" periodRef="上年期末数" mulRef="_GBC_d28e3b675fc048afb747681dc6d939c2" unitRef="_GBC_e3316f7d89b24ba1bb4a783fd180bf77" addr="T0R18C1S1_1" formatStyle="Comma" appId="_GBC_5ea888705f7c4c0f98e8769d2197c0de"/>
        <m:item xlName="_GBC_40db3bdf53b8492194acd93541971f8c" concept="clcid-pte:CunHuo" label="存货" periodRef="本期期初数" mulRef="_GBC_d28e3b675fc048afb747681dc6d939c2" unitRef="_GBC_e3316f7d89b24ba1bb4a783fd180bf77" addr="T0R18C2S1_1" formatStyle="Comma" appId="_GBC_5ea888705f7c4c0f98e8769d2197c0de">
          <m:complexRule comparator="Eq" title="存货@本期期初数" test="$_GBC_973b78aa04204b01909bc6c8c801e09c + $_GBC_7cfeb2340ba747359a1bbe31f867c6f0" id="C722b3a5c4b344c749df6a8bda62e639e"/>
        </m:item>
        <m:item xlName="_GBC_7cfeb2340ba747359a1bbe31f867c6f0" concept="clcid-pte:CunHuo" label="存货" mulRef="_GBC_d28e3b675fc048afb747681dc6d939c2" unitRef="_GBC_e3316f7d89b24ba1bb4a783fd180bf77" addr="T0R18C3S1_1" formatStyle="Comma" appId="_GBC_5ea888705f7c4c0f98e8769d2197c0de">
          <m:axisValue occRef="调整数"/>
        </m:item>
        <m:placeholder xlName="_PLD_2d2ee0df5ae54e54a7746259b5f3c9e7" addr="T0R19C0S1_1"/>
        <m:item xlName="_GBC_2cf4e44f09d3458783dce8cb568de20f" concept="clcid-pte:HeTongZiChan" label="合同资产" periodRef="上年期末数" mulRef="_GBC_d28e3b675fc048afb747681dc6d939c2" unitRef="_GBC_e3316f7d89b24ba1bb4a783fd180bf77" addr="T0R19C1S1_1" formatStyle="Comma" appId="_GBC_5ea888705f7c4c0f98e8769d2197c0de"/>
        <m:item xlName="_GBC_d41de0fa89844c24b8b1b1dc237add0c" concept="clcid-pte:HeTongZiChan" label="合同资产" periodRef="本期期初数" mulRef="_GBC_d28e3b675fc048afb747681dc6d939c2" unitRef="_GBC_e3316f7d89b24ba1bb4a783fd180bf77" addr="T0R19C2S1_1" formatStyle="Comma" appId="_GBC_5ea888705f7c4c0f98e8769d2197c0de">
          <m:complexRule comparator="Eq" title="合同资产@本期期初数" test="$_GBC_2cf4e44f09d3458783dce8cb568de20f + $_GBC_68c70571541d42f2b76bc6d3006cb01d" id="C8a261b2b3fd2471ab17523263d47441c"/>
        </m:item>
        <m:item xlName="_GBC_68c70571541d42f2b76bc6d3006cb01d" concept="clcid-pte:HeTongZiChan" label="合同资产" mulRef="_GBC_d28e3b675fc048afb747681dc6d939c2" unitRef="_GBC_e3316f7d89b24ba1bb4a783fd180bf77" addr="T0R19C3S1_1" formatStyle="Comma" appId="_GBC_5ea888705f7c4c0f98e8769d2197c0de">
          <m:axisValue occRef="调整数"/>
        </m:item>
        <m:placeholder xlName="_PLD_8a57b7a7a7634e5a9125443734f3650f" addr="T0R20C0S1_1"/>
        <m:item xlName="_GBC_1adff851afc44f3abdb4dfb7dacf66d7" concept="clcid-pte:HuaFenWeiChiYouDaiShouDeZiChan" label="划分为持有待售的资产" periodRef="上年期末数" mulRef="_GBC_d28e3b675fc048afb747681dc6d939c2" unitRef="_GBC_e3316f7d89b24ba1bb4a783fd180bf77" addr="T0R20C1S1_1" formatStyle="Comma" appId="_GBC_5ea888705f7c4c0f98e8769d2197c0de"/>
        <m:item xlName="_GBC_3122a59395e54b8995c8543e7abd757f" concept="clcid-pte:HuaFenWeiChiYouDaiShouDeZiChan" label="划分为持有待售的资产" periodRef="本期期初数" mulRef="_GBC_d28e3b675fc048afb747681dc6d939c2" unitRef="_GBC_e3316f7d89b24ba1bb4a783fd180bf77" addr="T0R20C2S1_1" formatStyle="Comma" appId="_GBC_5ea888705f7c4c0f98e8769d2197c0de">
          <m:complexRule comparator="Eq" title="划分为持有待售的资产@本期期初数" test="$_GBC_1adff851afc44f3abdb4dfb7dacf66d7 + $_GBC_4b668ee9d63b4599a666192148f92fc5" id="C812d323105b14b75a8c50a1be979af77"/>
        </m:item>
        <m:item xlName="_GBC_4b668ee9d63b4599a666192148f92fc5" concept="clcid-pte:HuaFenWeiChiYouDaiShouDeZiChan" label="划分为持有待售的资产" mulRef="_GBC_d28e3b675fc048afb747681dc6d939c2" unitRef="_GBC_e3316f7d89b24ba1bb4a783fd180bf77" addr="T0R20C3S1_1" formatStyle="Comma" appId="_GBC_5ea888705f7c4c0f98e8769d2197c0de">
          <m:axisValue occRef="调整数"/>
        </m:item>
        <m:placeholder xlName="_PLD_d43a546c640541ada3d4b1513dd8e53e" addr="T0R21C0S1_1"/>
        <m:item xlName="_GBC_5b4e88e0dd894a6db39d571ebc89843a" concept="clcid-pte:YiNianNeiDaoQiDeFeiLiuDongZiChan" label="一年内到期的非流动资产" periodRef="上年期末数" mulRef="_GBC_d28e3b675fc048afb747681dc6d939c2" unitRef="_GBC_e3316f7d89b24ba1bb4a783fd180bf77" addr="T0R21C1S1_1" formatStyle="Comma" appId="_GBC_5ea888705f7c4c0f98e8769d2197c0de"/>
        <m:item xlName="_GBC_d4c4812be698462489099e05583e2fe7" concept="clcid-pte:YiNianNeiDaoQiDeFeiLiuDongZiChan" label="一年内到期的非流动资产" periodRef="本期期初数" mulRef="_GBC_d28e3b675fc048afb747681dc6d939c2" unitRef="_GBC_e3316f7d89b24ba1bb4a783fd180bf77" addr="T0R21C2S1_1" formatStyle="Comma" appId="_GBC_5ea888705f7c4c0f98e8769d2197c0de">
          <m:complexRule comparator="Eq" title="一年内到期的非流动资产@本期期初数" test="$_GBC_5b4e88e0dd894a6db39d571ebc89843a + $_GBC_b1dce1d72c5049aab2c5b3a6a8476811" id="Cccbf67a0a6ab403889449875b3275ce8"/>
        </m:item>
        <m:item xlName="_GBC_b1dce1d72c5049aab2c5b3a6a8476811" concept="clcid-pte:YiNianNeiDaoQiDeFeiLiuDongZiChan" label="一年内到期的非流动资产" mulRef="_GBC_d28e3b675fc048afb747681dc6d939c2" unitRef="_GBC_e3316f7d89b24ba1bb4a783fd180bf77" addr="T0R21C3S1_1" formatStyle="Comma" appId="_GBC_5ea888705f7c4c0f98e8769d2197c0de">
          <m:axisValue occRef="调整数"/>
        </m:item>
        <m:placeholder xlName="_PLD_c639adcbe40b4a05b0dabb81fab2af29" addr="T0R22C0S1_1"/>
        <m:item xlName="_GBC_9b0bde90ae2543d4a3c2589a1fd27f8d" concept="clcid-pte:QiTaLiuDongZiChan" label="其他流动资产" periodRef="上年期末数" mulRef="_GBC_d28e3b675fc048afb747681dc6d939c2" unitRef="_GBC_e3316f7d89b24ba1bb4a783fd180bf77" addr="T0R22C1S1_1" formatStyle="Comma" appId="_GBC_5ea888705f7c4c0f98e8769d2197c0de"/>
        <m:item xlName="_GBC_c638a8eab3194e5a907ff2d3661692db" concept="clcid-pte:QiTaLiuDongZiChan" label="其他流动资产" periodRef="本期期初数" mulRef="_GBC_d28e3b675fc048afb747681dc6d939c2" unitRef="_GBC_e3316f7d89b24ba1bb4a783fd180bf77" addr="T0R22C2S1_1" formatStyle="Comma" appId="_GBC_5ea888705f7c4c0f98e8769d2197c0de">
          <m:complexRule comparator="Eq" title="其他流动资产@本期期初数" test="$_GBC_9b0bde90ae2543d4a3c2589a1fd27f8d + $_GBC_b68a8f8dab6a41f0b312f623cfb682b9" id="C75cf4d908bb8482eb75f81b492e481a4"/>
        </m:item>
        <m:item xlName="_GBC_b68a8f8dab6a41f0b312f623cfb682b9" concept="clcid-pte:QiTaLiuDongZiChan" label="其他流动资产" mulRef="_GBC_d28e3b675fc048afb747681dc6d939c2" unitRef="_GBC_e3316f7d89b24ba1bb4a783fd180bf77" addr="T0R22C3S1_1" formatStyle="Comma" appId="_GBC_5ea888705f7c4c0f98e8769d2197c0de">
          <m:axisValue occRef="调整数"/>
        </m:item>
        <m:placeholder xlName="_PLD_e3f264539b5943aeb4e53e3500a11c95" addr="T0R23C0S1_1"/>
        <m:item xlName="_GBC_b314cf5b723c440f857428dcdf96689c" concept="clcid-pte:LiuDongZiChanHeJi" label="流动资产合计" periodRef="上年期末数" mulRef="_GBC_d28e3b675fc048afb747681dc6d939c2" unitRef="_GBC_e3316f7d89b24ba1bb4a783fd180bf77" addr="T0R23C1S1_1" formatStyle="Comma" appId="_GBC_5ea888705f7c4c0f98e8769d2197c0de">
          <m:complexRule comparator="Eq" title="流动资产合计@上年期末数" test=" $_GBC_03d75a16da894a4fb45128b4c4e6087c +  $_GBC_4daa5532164348eaa242beea4d640659 +  $_GBC_6a55fe81a23f47fdb9c67f17289b68b9 +  $_GBC_a8cc3f5deb664e5e953bca4d151ca733 +  $_GBC_21c0bf05c0b545e284aa830f1209cce4 +  $_GBC_7a7677dac68e44ce8af4f7050070f2bb +  $_GBC_a030850c519443d6acb7eb74ee812c1c +  $_GBC_6ec383a84a8b4dbea29277e51847c5da +  $_GBC_e5dfd58448674c7e9cb95f726336c36a +  $_GBC_eb698764d94043eba4fc7c8632d70cdf +  $_GBC_0b55ac670fac43af87b4c5d5a3a39d2f +  $_GBC_b6b500fe6e72411cbc584d897340d142 +  $_GBC_48831c2e79be421ca6de75ea61e753f0 +  $_GBC_bbbf866a7bd14ba986a6197dd11ba515 +  $_GBC_973b78aa04204b01909bc6c8c801e09c +  $_GBC_2cf4e44f09d3458783dce8cb568de20f +  $_GBC_1adff851afc44f3abdb4dfb7dacf66d7 +  $_GBC_5b4e88e0dd894a6db39d571ebc89843a +  $_GBC_9b0bde90ae2543d4a3c2589a1fd27f8d" id="Cd1e4b35df4084b2487619b6fa992fbea"/>
        </m:item>
        <m:item xlName="_GBC_6cbb9a16f96b46c4bc8445f1c233a911" concept="clcid-pte:LiuDongZiChanHeJi" label="流动资产合计" periodRef="本期期初数" mulRef="_GBC_d28e3b675fc048afb747681dc6d939c2" unitRef="_GBC_e3316f7d89b24ba1bb4a783fd180bf77" addr="T0R23C2S1_1" formatStyle="Comma" appId="_GBC_5ea888705f7c4c0f98e8769d2197c0de">
          <m:complexRule comparator="Eq" title="流动资产合计@本期期初数" test=" $_GBC_696630dfedcd4b708e381fc19ebffd9f +  $_GBC_9b0b4d43971b4aea83e09105c5ac515d +  $_GBC_ecc632a93ec84d49ba2c323073d02fb2 +  $_GBC_58dfb8912e1e41918ecf1e96e6965264 +  $_GBC_0689165167b54b64a7afc709a6054458 +  $_GBC_8bb51793356948e2bb9ed906cf61d8ab +  $_GBC_acbe26e873314e369486b624c4c38ea1 +  $_GBC_9d5c248e75764e94a06be9d62c1c92a3 +  $_GBC_95bde15a905f44dd82ef005dfd6829e1 +  $_GBC_64db3d2c4c944f4bb78787dcba19742b +  $_GBC_f939d86352bd4974ab7e0bd065d05ef0 +  $_GBC_80cb33f499c6439f9148c99a5ae9c0a0 +  $_GBC_347fe48152974baabe3fc62eaaec6a34 +  $_GBC_e0465f6f65ef483c8c09ba171b8ca1c2 +  $_GBC_40db3bdf53b8492194acd93541971f8c +  $_GBC_d41de0fa89844c24b8b1b1dc237add0c +  $_GBC_3122a59395e54b8995c8543e7abd757f +  $_GBC_d4c4812be698462489099e05583e2fe7 +  $_GBC_c638a8eab3194e5a907ff2d3661692db" id="C9add787e214f447382c3f9db766a84ab"/>
        </m:item>
        <m:item xlName="_GBC_7d0a35b6ac0145dabf906bae67731567" concept="clcid-pte:LiuDongZiChanHeJi" label="流动资产合计" mulRef="_GBC_d28e3b675fc048afb747681dc6d939c2" unitRef="_GBC_e3316f7d89b24ba1bb4a783fd180bf77" addr="T0R23C3S1_1" formatStyle="Comma" appId="_GBC_5ea888705f7c4c0f98e8769d2197c0de">
          <m:complexRule comparator="Eq" title="流动资产合计(调整数)" test=" $_GBC_8d10e7cf6d6e41098697ca73190a6393 +  $_GBC_15bf9d66100b4b09b82d3a1b3909aeb7 +  $_GBC_cd91fae2679f40f5aa2c4860b3b82b3e +  $_GBC_64f194011f964c1e820b816761f03dd6 +  $_GBC_3051186b5108409a81df3f08eba72ffb +  $_GBC_64ad04846ead4575af32c8103c2b208c +  $_GBC_ea943f82faae4e7aa5fa5a46c605a791 +  $_GBC_a84d30f6d5f348ee95733cccf1d451a1 +  $_GBC_9985055e891241d49fcfaff3f9c8c9bd +  $_GBC_975d52506b3e41a9abb859a48c94e820 +  $_GBC_f51b1633ff894157bc987704f1791599 +  $_GBC_a859d1526ad84039af4a18584787f736 +  $_GBC_9a3113b1c60d4b48807b39dc657c1e9f +  $_GBC_9fcbc440d4d4449d92fa6b437ed55abc +  $_GBC_7cfeb2340ba747359a1bbe31f867c6f0 +  $_GBC_68c70571541d42f2b76bc6d3006cb01d +  $_GBC_4b668ee9d63b4599a666192148f92fc5 +  $_GBC_b1dce1d72c5049aab2c5b3a6a8476811 +  $_GBC_b68a8f8dab6a41f0b312f623cfb682b9" id="C370d997ea7074f6ab93bd1dec5786bbc"/>
          <m:axisValue occRef="调整数"/>
        </m:item>
        <m:placeholder xlName="_PLD_caf9cfa49da24a91b1a36ce2bbed2585" addr="T0R24C0S1_4"/>
        <m:placeholder xlName="_PLD_385c89a19e074f6b802c0fb55810b9de" addr="T0R25C0S1_1"/>
        <m:item xlName="_GBC_7172d9fa99754bcbae6d4fc5d8168a93" concept="clcid-pte:FaFangDaiKuanHeDianKuan" label="发放贷款和垫款" periodRef="上年期末数" mulRef="_GBC_d28e3b675fc048afb747681dc6d939c2" unitRef="_GBC_e3316f7d89b24ba1bb4a783fd180bf77" addr="T0R25C1S1_1" formatStyle="Comma" appId="_GBC_5ea888705f7c4c0f98e8769d2197c0de"/>
        <m:item xlName="_GBC_79a2bf1b4d304dca8f38dc5ca7b1f244" concept="clcid-pte:FaFangDaiKuanHeDianKuan" label="发放贷款和垫款" periodRef="本期期初数" mulRef="_GBC_d28e3b675fc048afb747681dc6d939c2" unitRef="_GBC_e3316f7d89b24ba1bb4a783fd180bf77" addr="T0R25C2S1_1" formatStyle="Comma" appId="_GBC_5ea888705f7c4c0f98e8769d2197c0de"/>
        <m:item xlName="_GBC_57715b0e5f294712812177585fc949df" concept="clcid-pte:FaFangDaiKuanHeDianKuan" label="发放贷款和垫款" mulRef="_GBC_d28e3b675fc048afb747681dc6d939c2" unitRef="_GBC_e3316f7d89b24ba1bb4a783fd180bf77" addr="T0R25C3S1_1" formatStyle="Comma" appId="_GBC_5ea888705f7c4c0f98e8769d2197c0de">
          <m:axisValue occRef="调整数"/>
        </m:item>
        <m:placeholder xlName="_PLD_4902c7da17da47d69102fd6a56432b9c" addr="T0R26C0S1_1"/>
        <m:item xlName="_GBC_e813384c9dfe4ef68b80ab2c9fed10f6" concept="clcid-pte:ZhaiQuanTouZi" label="债权投资" periodRef="上年期末数" mulRef="_GBC_d28e3b675fc048afb747681dc6d939c2" unitRef="_GBC_e3316f7d89b24ba1bb4a783fd180bf77" addr="T0R26C1S1_1" formatStyle="Comma" appId="_GBC_5ea888705f7c4c0f98e8769d2197c0de"/>
        <m:item xlName="_GBC_39fc7046a5794161a26d4aa1a4ea806c" concept="clcid-pte:ZhaiQuanTouZi" label="债权投资" periodRef="本期期初数" mulRef="_GBC_d28e3b675fc048afb747681dc6d939c2" unitRef="_GBC_e3316f7d89b24ba1bb4a783fd180bf77" addr="T0R26C2S1_1" formatStyle="Comma" appId="_GBC_5ea888705f7c4c0f98e8769d2197c0de"/>
        <m:item xlName="_GBC_2f43ed99e7574ae1bc3eceb78cfb477e" concept="clcid-pte:ZhaiQuanTouZi" label="债权投资" mulRef="_GBC_d28e3b675fc048afb747681dc6d939c2" unitRef="_GBC_e3316f7d89b24ba1bb4a783fd180bf77" addr="T0R26C3S1_1" formatStyle="Comma" appId="_GBC_5ea888705f7c4c0f98e8769d2197c0de">
          <m:axisValue occRef="调整数"/>
        </m:item>
        <m:placeholder xlName="_PLD_db45365dadf84c00bea18ec23cf0f117" addr="T0R27C0S1_1"/>
        <m:item xlName="_GBC_a44556e55b524517b6df8fa21ce232ec" concept="clcid-pte:QiTaZhaiQuanTouZi" label="其他债权投资" periodRef="上年期末数" mulRef="_GBC_d28e3b675fc048afb747681dc6d939c2" unitRef="_GBC_e3316f7d89b24ba1bb4a783fd180bf77" addr="T0R27C1S1_1" formatStyle="Comma" appId="_GBC_5ea888705f7c4c0f98e8769d2197c0de"/>
        <m:item xlName="_GBC_e7bc8b8ba58043e1ae846c354fa572f6" concept="clcid-pte:QiTaZhaiQuanTouZi" label="其他债权投资" periodRef="本期期初数" mulRef="_GBC_d28e3b675fc048afb747681dc6d939c2" unitRef="_GBC_e3316f7d89b24ba1bb4a783fd180bf77" addr="T0R27C2S1_1" formatStyle="Comma" appId="_GBC_5ea888705f7c4c0f98e8769d2197c0de"/>
        <m:item xlName="_GBC_6ba0c5c70a394b6ab186afdf708b9b4f" concept="clcid-pte:QiTaZhaiQuanTouZi" label="其他债权投资" mulRef="_GBC_d28e3b675fc048afb747681dc6d939c2" unitRef="_GBC_e3316f7d89b24ba1bb4a783fd180bf77" addr="T0R27C3S1_1" formatStyle="Comma" appId="_GBC_5ea888705f7c4c0f98e8769d2197c0de">
          <m:axisValue occRef="调整数"/>
        </m:item>
        <m:placeholder xlName="_PLD_27a33778347f497ca160519a6e6b8c7c" addr="T0R28C0S1_1"/>
        <m:item xlName="_GBC_6fe4bb2d79ae43d185077fe1eee8e133" concept="clcid-pte:ChangQiYingShouKuan" label="长期应收款" periodRef="上年期末数" mulRef="_GBC_d28e3b675fc048afb747681dc6d939c2" unitRef="_GBC_e3316f7d89b24ba1bb4a783fd180bf77" addr="T0R28C1S1_1" formatStyle="Comma" appId="_GBC_5ea888705f7c4c0f98e8769d2197c0de"/>
        <m:item xlName="_GBC_d30024d374864147a0ee0e1aba22fed8" concept="clcid-pte:ChangQiYingShouKuan" label="长期应收款" periodRef="本期期初数" mulRef="_GBC_d28e3b675fc048afb747681dc6d939c2" unitRef="_GBC_e3316f7d89b24ba1bb4a783fd180bf77" addr="T0R28C2S1_1" formatStyle="Comma" appId="_GBC_5ea888705f7c4c0f98e8769d2197c0de"/>
        <m:item xlName="_GBC_a86c299fad95429d9e519a0aaf7b2810" concept="clcid-pte:ChangQiYingShouKuan" label="长期应收款" mulRef="_GBC_d28e3b675fc048afb747681dc6d939c2" unitRef="_GBC_e3316f7d89b24ba1bb4a783fd180bf77" addr="T0R28C3S1_1" formatStyle="Comma" appId="_GBC_5ea888705f7c4c0f98e8769d2197c0de">
          <m:axisValue occRef="调整数"/>
        </m:item>
        <m:placeholder xlName="_PLD_2c2f80b155914d9cbb35f3ee70f3962e" addr="T0R29C0S1_1"/>
        <m:item xlName="_GBC_07002c09351741f39eb5903a12d17bf6" concept="clcid-pte:ChangQiGuQuanTouZi" label="长期股权投资" periodRef="上年期末数" mulRef="_GBC_d28e3b675fc048afb747681dc6d939c2" unitRef="_GBC_e3316f7d89b24ba1bb4a783fd180bf77" addr="T0R29C1S1_1" formatStyle="Comma" appId="_GBC_5ea888705f7c4c0f98e8769d2197c0de"/>
        <m:item xlName="_GBC_8ca4a9ec77ff41779f87fe483c010699" concept="clcid-pte:ChangQiGuQuanTouZi" label="长期股权投资" periodRef="本期期初数" mulRef="_GBC_d28e3b675fc048afb747681dc6d939c2" unitRef="_GBC_e3316f7d89b24ba1bb4a783fd180bf77" addr="T0R29C2S1_1" formatStyle="Comma" appId="_GBC_5ea888705f7c4c0f98e8769d2197c0de"/>
        <m:item xlName="_GBC_a42fb9f1319b469e8d80200d1d7784f4" concept="clcid-pte:ChangQiGuQuanTouZi" label="长期股权投资" mulRef="_GBC_d28e3b675fc048afb747681dc6d939c2" unitRef="_GBC_e3316f7d89b24ba1bb4a783fd180bf77" addr="T0R29C3S1_1" formatStyle="Comma" appId="_GBC_5ea888705f7c4c0f98e8769d2197c0de">
          <m:axisValue occRef="调整数"/>
        </m:item>
        <m:placeholder xlName="_PLD_5236fe62569441f3928324583015cc4a" addr="T0R30C0S1_1"/>
        <m:item xlName="_GBC_5639565a30274598be1b77a14cc2e018" concept="clcid-pte:QiTaQuanYiGongJuTouZi" label="其他权益工具投资" periodRef="上年期末数" mulRef="_GBC_d28e3b675fc048afb747681dc6d939c2" unitRef="_GBC_e3316f7d89b24ba1bb4a783fd180bf77" addr="T0R30C1S1_1" formatStyle="Comma" appId="_GBC_5ea888705f7c4c0f98e8769d2197c0de"/>
        <m:item xlName="_GBC_c42241a866924592abbf1bb2a352e44d" concept="clcid-pte:QiTaQuanYiGongJuTouZi" label="其他权益工具投资" periodRef="本期期初数" mulRef="_GBC_d28e3b675fc048afb747681dc6d939c2" unitRef="_GBC_e3316f7d89b24ba1bb4a783fd180bf77" addr="T0R30C2S1_1" formatStyle="Comma" appId="_GBC_5ea888705f7c4c0f98e8769d2197c0de"/>
        <m:item xlName="_GBC_95ef79245ecf404da5ab64f9c073e7bf" concept="clcid-pte:QiTaQuanYiGongJuTouZi" label="其他权益工具投资" mulRef="_GBC_d28e3b675fc048afb747681dc6d939c2" unitRef="_GBC_e3316f7d89b24ba1bb4a783fd180bf77" addr="T0R30C3S1_1" formatStyle="Comma" appId="_GBC_5ea888705f7c4c0f98e8769d2197c0de">
          <m:axisValue occRef="调整数"/>
        </m:item>
        <m:placeholder xlName="_PLD_7c34d68c92104ce0a76208c820a73f6e" addr="T0R31C0S1_1"/>
        <m:item xlName="_GBC_5d3244097a3a4dd696b2f40fa56cea7e" concept="clcid-pte:QiTaFeiLiuDongJinRongZiChan" label="其他非流动金融资产" periodRef="上年期末数" mulRef="_GBC_d28e3b675fc048afb747681dc6d939c2" unitRef="_GBC_e3316f7d89b24ba1bb4a783fd180bf77" addr="T0R31C1S1_1" formatStyle="Comma" appId="_GBC_5ea888705f7c4c0f98e8769d2197c0de"/>
        <m:item xlName="_GBC_440f53772f0e4c81b6d5430494433c11" concept="clcid-pte:QiTaFeiLiuDongJinRongZiChan" label="其他非流动金融资产" periodRef="本期期初数" mulRef="_GBC_d28e3b675fc048afb747681dc6d939c2" unitRef="_GBC_e3316f7d89b24ba1bb4a783fd180bf77" addr="T0R31C2S1_1" formatStyle="Comma" appId="_GBC_5ea888705f7c4c0f98e8769d2197c0de"/>
        <m:item xlName="_GBC_a99ce940d7a14bb181e0d165aeeaf0f3" concept="clcid-pte:QiTaFeiLiuDongJinRongZiChan" label="其他非流动金融资产" mulRef="_GBC_d28e3b675fc048afb747681dc6d939c2" unitRef="_GBC_e3316f7d89b24ba1bb4a783fd180bf77" addr="T0R31C3S1_1" formatStyle="Comma" appId="_GBC_5ea888705f7c4c0f98e8769d2197c0de">
          <m:axisValue occRef="调整数"/>
        </m:item>
        <m:placeholder xlName="_PLD_20779687e71044edbf48bf6d72fd659d" addr="T0R32C0S1_1"/>
        <m:item xlName="_GBC_6f7a37ab308748e39780f270e459c673" concept="clcid-pte:TouZiXingFangDiChan" label="投资性房地产" periodRef="上年期末数" mulRef="_GBC_d28e3b675fc048afb747681dc6d939c2" unitRef="_GBC_e3316f7d89b24ba1bb4a783fd180bf77" addr="T0R32C1S1_1" formatStyle="Comma" appId="_GBC_5ea888705f7c4c0f98e8769d2197c0de"/>
        <m:item xlName="_GBC_d6c3969793744d429830650c6c4bf387" concept="clcid-pte:TouZiXingFangDiChan" label="投资性房地产" periodRef="本期期初数" mulRef="_GBC_d28e3b675fc048afb747681dc6d939c2" unitRef="_GBC_e3316f7d89b24ba1bb4a783fd180bf77" addr="T0R32C2S1_1" formatStyle="Comma" appId="_GBC_5ea888705f7c4c0f98e8769d2197c0de"/>
        <m:item xlName="_GBC_5937315a0fba4c1889bfa2e3a01045cc" concept="clcid-pte:TouZiXingFangDiChan" label="投资性房地产" mulRef="_GBC_d28e3b675fc048afb747681dc6d939c2" unitRef="_GBC_e3316f7d89b24ba1bb4a783fd180bf77" addr="T0R32C3S1_1" formatStyle="Comma" appId="_GBC_5ea888705f7c4c0f98e8769d2197c0de">
          <m:axisValue occRef="调整数"/>
        </m:item>
        <m:placeholder xlName="_PLD_b4d3d3f9c80a46518df6b927f85638a8" addr="T0R33C0S1_1"/>
        <m:item xlName="_GBC_07726f42a8254627ac5d03afb69be452" concept="clcid-pte:GuDingZiChanJingE" label="固定资产净额" periodRef="上年期末数" mulRef="_GBC_d28e3b675fc048afb747681dc6d939c2" unitRef="_GBC_e3316f7d89b24ba1bb4a783fd180bf77" addr="T0R33C1S1_1" formatStyle="Comma" appId="_GBC_5ea888705f7c4c0f98e8769d2197c0de"/>
        <m:item xlName="_GBC_0a0bda28d00b4f18b4ddca17842aa538" concept="clcid-pte:GuDingZiChanJingE" label="固定资产净额" periodRef="本期期初数" mulRef="_GBC_d28e3b675fc048afb747681dc6d939c2" unitRef="_GBC_e3316f7d89b24ba1bb4a783fd180bf77" addr="T0R33C2S1_1" formatStyle="Comma" appId="_GBC_5ea888705f7c4c0f98e8769d2197c0de"/>
        <m:item xlName="_GBC_71f7748f2bd24d47801e5e8addbf9dd4" concept="clcid-pte:GuDingZiChanJingE" label="固定资产净额" mulRef="_GBC_d28e3b675fc048afb747681dc6d939c2" unitRef="_GBC_e3316f7d89b24ba1bb4a783fd180bf77" addr="T0R33C3S1_1" formatStyle="Comma" appId="_GBC_5ea888705f7c4c0f98e8769d2197c0de">
          <m:axisValue occRef="调整数"/>
        </m:item>
        <m:placeholder xlName="_PLD_0b3a7e34c3ee4ba5a49df4a07c4c3528" addr="T0R34C0S1_1"/>
        <m:item xlName="_GBC_961905c4fdfe438cb01f4778b2bdc971" concept="clcid-pte:ZaiJianGongCheng" label="在建工程" periodRef="上年期末数" mulRef="_GBC_d28e3b675fc048afb747681dc6d939c2" unitRef="_GBC_e3316f7d89b24ba1bb4a783fd180bf77" addr="T0R34C1S1_1" formatStyle="Comma" appId="_GBC_5ea888705f7c4c0f98e8769d2197c0de"/>
        <m:item xlName="_GBC_00e5f4dfe1144e479871008f7bfbcd42" concept="clcid-pte:ZaiJianGongCheng" label="在建工程" periodRef="本期期初数" mulRef="_GBC_d28e3b675fc048afb747681dc6d939c2" unitRef="_GBC_e3316f7d89b24ba1bb4a783fd180bf77" addr="T0R34C2S1_1" formatStyle="Comma" appId="_GBC_5ea888705f7c4c0f98e8769d2197c0de"/>
        <m:item xlName="_GBC_7c0f7f1fa4a146718822f0b99c9a08b3" concept="clcid-pte:ZaiJianGongCheng" label="在建工程" mulRef="_GBC_d28e3b675fc048afb747681dc6d939c2" unitRef="_GBC_e3316f7d89b24ba1bb4a783fd180bf77" addr="T0R34C3S1_1" formatStyle="Comma" appId="_GBC_5ea888705f7c4c0f98e8769d2197c0de">
          <m:axisValue occRef="调整数"/>
        </m:item>
        <m:placeholder xlName="_PLD_10586227ba0045bda765cf5dffd72833" addr="T0R35C0S1_1"/>
        <m:item xlName="_GBC_fa66c4be70da485c95e485dde92dab7e" concept="clcid-pte:ShengChanXingShengWuZiChan" label="生产性生物资产" periodRef="上年期末数" mulRef="_GBC_d28e3b675fc048afb747681dc6d939c2" unitRef="_GBC_e3316f7d89b24ba1bb4a783fd180bf77" addr="T0R35C1S1_1" formatStyle="Comma" appId="_GBC_5ea888705f7c4c0f98e8769d2197c0de"/>
        <m:item xlName="_GBC_6a53c8c33b014fa5b3e4928cfc2c34f0" concept="clcid-pte:ShengChanXingShengWuZiChan" label="生产性生物资产" periodRef="本期期初数" mulRef="_GBC_d28e3b675fc048afb747681dc6d939c2" unitRef="_GBC_e3316f7d89b24ba1bb4a783fd180bf77" addr="T0R35C2S1_1" formatStyle="Comma" appId="_GBC_5ea888705f7c4c0f98e8769d2197c0de"/>
        <m:item xlName="_GBC_838da63fe22b48b0a98d46b6395bc3de" concept="clcid-pte:ShengChanXingShengWuZiChan" label="生产性生物资产" mulRef="_GBC_d28e3b675fc048afb747681dc6d939c2" unitRef="_GBC_e3316f7d89b24ba1bb4a783fd180bf77" addr="T0R35C3S1_1" formatStyle="Comma" appId="_GBC_5ea888705f7c4c0f98e8769d2197c0de">
          <m:axisValue occRef="调整数"/>
        </m:item>
        <m:placeholder xlName="_PLD_30a8780f1a6a40ed8bd7c72fd4e95a58" addr="T0R36C0S1_1"/>
        <m:item xlName="_GBC_40f78642a409495a841827510738afe8" concept="clcid-pte:YouQiZiChan" label="油气资产" periodRef="上年期末数" mulRef="_GBC_d28e3b675fc048afb747681dc6d939c2" unitRef="_GBC_e3316f7d89b24ba1bb4a783fd180bf77" addr="T0R36C1S1_1" formatStyle="Comma" appId="_GBC_5ea888705f7c4c0f98e8769d2197c0de"/>
        <m:item xlName="_GBC_08dd59e9ae674ec4a285b635e006bf18" concept="clcid-pte:YouQiZiChan" label="油气资产" periodRef="本期期初数" mulRef="_GBC_d28e3b675fc048afb747681dc6d939c2" unitRef="_GBC_e3316f7d89b24ba1bb4a783fd180bf77" addr="T0R36C2S1_1" formatStyle="Comma" appId="_GBC_5ea888705f7c4c0f98e8769d2197c0de"/>
        <m:item xlName="_GBC_da5673e2697c4bbab5881f42259a8ad6" concept="clcid-pte:YouQiZiChan" label="油气资产" mulRef="_GBC_d28e3b675fc048afb747681dc6d939c2" unitRef="_GBC_e3316f7d89b24ba1bb4a783fd180bf77" addr="T0R36C3S1_1" formatStyle="Comma" appId="_GBC_5ea888705f7c4c0f98e8769d2197c0de">
          <m:axisValue occRef="调整数"/>
        </m:item>
        <m:placeholder xlName="_PLD_78155493935647008a2703b03dfc7652" addr="T0R37C0S1_1"/>
        <m:item xlName="_GBC_a7cefe07988e4a62be40298e0bd19f1a" concept="clcid-pte:ShiYongQuanZiChan" label="使用权资产" periodRef="上年期末数" mulRef="_GBC_d28e3b675fc048afb747681dc6d939c2" unitRef="_GBC_e3316f7d89b24ba1bb4a783fd180bf77" addr="T0R37C1S1_1" formatStyle="Comma" appId="_GBC_5ea888705f7c4c0f98e8769d2197c0de"/>
        <m:item xlName="_GBC_d10eb0ef770644fea27894b609d2a898" concept="clcid-pte:ShiYongQuanZiChan" label="使用权资产" periodRef="本期期初数" mulRef="_GBC_d28e3b675fc048afb747681dc6d939c2" unitRef="_GBC_e3316f7d89b24ba1bb4a783fd180bf77" addr="T0R37C2S1_1" formatStyle="Comma" appId="_GBC_5ea888705f7c4c0f98e8769d2197c0de"/>
        <m:item xlName="_GBC_ed5f9d841950435b8d25c028afd80238" concept="clcid-pte:ShiYongQuanZiChan" label="使用权资产" mulRef="_GBC_d28e3b675fc048afb747681dc6d939c2" unitRef="_GBC_e3316f7d89b24ba1bb4a783fd180bf77" addr="T0R37C3S1_1" formatStyle="Comma" appId="_GBC_5ea888705f7c4c0f98e8769d2197c0de">
          <m:axisValue occRef="调整数"/>
        </m:item>
        <m:placeholder xlName="_PLD_e197206e3cda421f90e7c968c373824e" addr="T0R38C0S1_1"/>
        <m:item xlName="_GBC_35a14fe3068744b1aff2ccb1057d66a0" concept="clcid-pte:WuXingZiChan" label="无形资产" periodRef="上年期末数" mulRef="_GBC_d28e3b675fc048afb747681dc6d939c2" unitRef="_GBC_e3316f7d89b24ba1bb4a783fd180bf77" addr="T0R38C1S1_1" formatStyle="Comma" appId="_GBC_5ea888705f7c4c0f98e8769d2197c0de"/>
        <m:item xlName="_GBC_7652f53997a54b2890dc6be2ee1be309" concept="clcid-pte:WuXingZiChan" label="无形资产" periodRef="本期期初数" mulRef="_GBC_d28e3b675fc048afb747681dc6d939c2" unitRef="_GBC_e3316f7d89b24ba1bb4a783fd180bf77" addr="T0R38C2S1_1" formatStyle="Comma" appId="_GBC_5ea888705f7c4c0f98e8769d2197c0de"/>
        <m:item xlName="_GBC_1b666aec67a44fc0bdc95f4c524e5a66" concept="clcid-pte:WuXingZiChan" label="无形资产" mulRef="_GBC_d28e3b675fc048afb747681dc6d939c2" unitRef="_GBC_e3316f7d89b24ba1bb4a783fd180bf77" addr="T0R38C3S1_1" formatStyle="Comma" appId="_GBC_5ea888705f7c4c0f98e8769d2197c0de">
          <m:axisValue occRef="调整数"/>
        </m:item>
        <m:placeholder xlName="_PLD_9507736e67ff483cad3c4777f5e536b4" addr="T0R39C0S1_1"/>
        <m:item xlName="_GBC_2824d6ab98c74c6484d6714198609192" concept="clcid-pte:KaiFaZhiChu" label="开发支出" periodRef="上年期末数" mulRef="_GBC_d28e3b675fc048afb747681dc6d939c2" unitRef="_GBC_e3316f7d89b24ba1bb4a783fd180bf77" addr="T0R39C1S1_1" formatStyle="Comma" appId="_GBC_5ea888705f7c4c0f98e8769d2197c0de"/>
        <m:item xlName="_GBC_1f7bbaffcaaf43c9987f088ae97d5876" concept="clcid-pte:KaiFaZhiChu" label="开发支出" periodRef="本期期初数" mulRef="_GBC_d28e3b675fc048afb747681dc6d939c2" unitRef="_GBC_e3316f7d89b24ba1bb4a783fd180bf77" addr="T0R39C2S1_1" formatStyle="Comma" appId="_GBC_5ea888705f7c4c0f98e8769d2197c0de"/>
        <m:item xlName="_GBC_235e8c07f0984f5994e118f640e99146" concept="clcid-pte:KaiFaZhiChu" label="开发支出" mulRef="_GBC_d28e3b675fc048afb747681dc6d939c2" unitRef="_GBC_e3316f7d89b24ba1bb4a783fd180bf77" addr="T0R39C3S1_1" formatStyle="Comma" appId="_GBC_5ea888705f7c4c0f98e8769d2197c0de">
          <m:axisValue occRef="调整数"/>
        </m:item>
        <m:placeholder xlName="_PLD_6db764bcb49749d8ae12e0b82de90e57" addr="T0R40C0S1_1"/>
        <m:item xlName="_GBC_5c4a4873648b46beb688d2d85a15ac02" concept="clcid-pte:ShangYu" label="商誉" periodRef="上年期末数" mulRef="_GBC_d28e3b675fc048afb747681dc6d939c2" unitRef="_GBC_e3316f7d89b24ba1bb4a783fd180bf77" addr="T0R40C1S1_1" formatStyle="Comma" appId="_GBC_5ea888705f7c4c0f98e8769d2197c0de"/>
        <m:item xlName="_GBC_237f0d92092a4ce6bc4686d00f6755c8" concept="clcid-pte:ShangYu" label="商誉" periodRef="本期期初数" mulRef="_GBC_d28e3b675fc048afb747681dc6d939c2" unitRef="_GBC_e3316f7d89b24ba1bb4a783fd180bf77" addr="T0R40C2S1_1" formatStyle="Comma" appId="_GBC_5ea888705f7c4c0f98e8769d2197c0de"/>
        <m:item xlName="_GBC_cb39dbef62d04b80b1f74b98ee9d95b0" concept="clcid-pte:ShangYu" label="商誉" mulRef="_GBC_d28e3b675fc048afb747681dc6d939c2" unitRef="_GBC_e3316f7d89b24ba1bb4a783fd180bf77" addr="T0R40C3S1_1" formatStyle="Comma" appId="_GBC_5ea888705f7c4c0f98e8769d2197c0de">
          <m:axisValue occRef="调整数"/>
        </m:item>
        <m:placeholder xlName="_PLD_ee338cdcd96a4fe9aa3a900a05d86d62" addr="T0R41C0S1_1"/>
        <m:item xlName="_GBC_e6787165c9414402a7632418dffb1bc1" concept="clcid-pte:ChangQiDaiTanFeiYong" label="长期待摊费用" periodRef="上年期末数" mulRef="_GBC_d28e3b675fc048afb747681dc6d939c2" unitRef="_GBC_e3316f7d89b24ba1bb4a783fd180bf77" addr="T0R41C1S1_1" formatStyle="Comma" appId="_GBC_5ea888705f7c4c0f98e8769d2197c0de"/>
        <m:item xlName="_GBC_d55d70c91ea843418ef9ce8932d6cb05" concept="clcid-pte:ChangQiDaiTanFeiYong" label="长期待摊费用" periodRef="本期期初数" mulRef="_GBC_d28e3b675fc048afb747681dc6d939c2" unitRef="_GBC_e3316f7d89b24ba1bb4a783fd180bf77" addr="T0R41C2S1_1" formatStyle="Comma" appId="_GBC_5ea888705f7c4c0f98e8769d2197c0de"/>
        <m:item xlName="_GBC_256e0f6055be4d2eba887d421a578edc" concept="clcid-pte:ChangQiDaiTanFeiYong" label="长期待摊费用" mulRef="_GBC_d28e3b675fc048afb747681dc6d939c2" unitRef="_GBC_e3316f7d89b24ba1bb4a783fd180bf77" addr="T0R41C3S1_1" formatStyle="Comma" appId="_GBC_5ea888705f7c4c0f98e8769d2197c0de">
          <m:axisValue occRef="调整数"/>
        </m:item>
        <m:placeholder xlName="_PLD_ff748a0e2f2a4598b0245a7b2a5f8cb9" addr="T0R42C0S1_1"/>
        <m:item xlName="_GBC_77bab0bcf10248cf8a61337b24fb6641" concept="clcid-pte:DiYanShuiKuanJieXiangHeJi" label="递延税款借项合计" periodRef="上年期末数" mulRef="_GBC_d28e3b675fc048afb747681dc6d939c2" unitRef="_GBC_e3316f7d89b24ba1bb4a783fd180bf77" addr="T0R42C1S1_1" formatStyle="Comma" appId="_GBC_5ea888705f7c4c0f98e8769d2197c0de"/>
        <m:item xlName="_GBC_db1da4e688ee47b3af76cd6a381bb500" concept="clcid-pte:DiYanShuiKuanJieXiangHeJi" label="递延税款借项合计" periodRef="本期期初数" mulRef="_GBC_d28e3b675fc048afb747681dc6d939c2" unitRef="_GBC_e3316f7d89b24ba1bb4a783fd180bf77" addr="T0R42C2S1_1" formatStyle="Comma" appId="_GBC_5ea888705f7c4c0f98e8769d2197c0de"/>
        <m:item xlName="_GBC_9b2199b23e714b0388040e2a803e266b" concept="clcid-pte:DiYanShuiKuanJieXiangHeJi" label="递延税款借项合计" mulRef="_GBC_d28e3b675fc048afb747681dc6d939c2" unitRef="_GBC_e3316f7d89b24ba1bb4a783fd180bf77" addr="T0R42C3S1_1" formatStyle="Comma" appId="_GBC_5ea888705f7c4c0f98e8769d2197c0de">
          <m:axisValue occRef="调整数"/>
        </m:item>
        <m:placeholder xlName="_PLD_58edba0eddc644959242154db461c42a" addr="T0R43C0S1_1"/>
        <m:item xlName="_GBC_05c32b288b1445ff89879dd9ec06e085" concept="clcid-pte:QiTaChangQiZiChan" label="其他长期资产" periodRef="上年期末数" mulRef="_GBC_d28e3b675fc048afb747681dc6d939c2" unitRef="_GBC_e3316f7d89b24ba1bb4a783fd180bf77" addr="T0R43C1S1_1" formatStyle="Comma" appId="_GBC_5ea888705f7c4c0f98e8769d2197c0de"/>
        <m:item xlName="_GBC_1b1a16fd63994d28b446d9c827c6d9e1" concept="clcid-pte:QiTaChangQiZiChan" label="其他长期资产" periodRef="本期期初数" mulRef="_GBC_d28e3b675fc048afb747681dc6d939c2" unitRef="_GBC_e3316f7d89b24ba1bb4a783fd180bf77" addr="T0R43C2S1_1" formatStyle="Comma" appId="_GBC_5ea888705f7c4c0f98e8769d2197c0de"/>
        <m:item xlName="_GBC_425044b1d6c540f2a4771fdf6346d382" concept="clcid-pte:QiTaChangQiZiChan" label="其他长期资产" mulRef="_GBC_d28e3b675fc048afb747681dc6d939c2" unitRef="_GBC_e3316f7d89b24ba1bb4a783fd180bf77" addr="T0R43C3S1_1" formatStyle="Comma" appId="_GBC_5ea888705f7c4c0f98e8769d2197c0de">
          <m:axisValue occRef="调整数"/>
        </m:item>
        <m:placeholder xlName="_PLD_a381a26adc92401cacf197178c3d49bb" addr="T0R44C0S1_1"/>
        <m:item xlName="_GBC_886d1ffb4a2a4760a878feadc4f12b3d" concept="clcid-pte:FeiLiuDongZiChanHeJi" label="非流动资产合计" periodRef="上年期末数" mulRef="_GBC_d28e3b675fc048afb747681dc6d939c2" unitRef="_GBC_e3316f7d89b24ba1bb4a783fd180bf77" addr="T0R44C1S1_1" formatStyle="Comma" appId="_GBC_5ea888705f7c4c0f98e8769d2197c0de">
          <m:complexRule comparator="Eq" title="非流动资产合计" test=" $_GBC_7172d9fa99754bcbae6d4fc5d8168a93 +  $_GBC_e813384c9dfe4ef68b80ab2c9fed10f6 +  $_GBC_a44556e55b524517b6df8fa21ce232ec +  $_GBC_6fe4bb2d79ae43d185077fe1eee8e133 +  $_GBC_07002c09351741f39eb5903a12d17bf6 +  $_GBC_5639565a30274598be1b77a14cc2e018 +  $_GBC_5d3244097a3a4dd696b2f40fa56cea7e +  $_GBC_6f7a37ab308748e39780f270e459c673 +  $_GBC_07726f42a8254627ac5d03afb69be452 +  $_GBC_961905c4fdfe438cb01f4778b2bdc971 +  $_GBC_fa66c4be70da485c95e485dde92dab7e +  $_GBC_40f78642a409495a841827510738afe8 +  $_GBC_a7cefe07988e4a62be40298e0bd19f1a +  $_GBC_35a14fe3068744b1aff2ccb1057d66a0 +  $_GBC_2824d6ab98c74c6484d6714198609192 +  $_GBC_5c4a4873648b46beb688d2d85a15ac02 +  $_GBC_e6787165c9414402a7632418dffb1bc1 +  $_GBC_77bab0bcf10248cf8a61337b24fb6641 +  $_GBC_05c32b288b1445ff89879dd9ec06e085" id="Cc02f5c833949461f81889ed9b05a0d5d"/>
        </m:item>
        <m:item xlName="_GBC_9e5da8f84e20400fafc32225833d2a2d" concept="clcid-pte:FeiLiuDongZiChanHeJi" label="非流动资产合计" periodRef="本期期初数" mulRef="_GBC_d28e3b675fc048afb747681dc6d939c2" unitRef="_GBC_e3316f7d89b24ba1bb4a783fd180bf77" addr="T0R44C2S1_1" formatStyle="Comma" appId="_GBC_5ea888705f7c4c0f98e8769d2197c0de">
          <m:complexRule comparator="Eq" title="非流动资产合计@本期期初数" test=" $_GBC_79a2bf1b4d304dca8f38dc5ca7b1f244 +  $_GBC_39fc7046a5794161a26d4aa1a4ea806c +  $_GBC_e7bc8b8ba58043e1ae846c354fa572f6 +  $_GBC_d30024d374864147a0ee0e1aba22fed8 +  $_GBC_8ca4a9ec77ff41779f87fe483c010699 +  $_GBC_c42241a866924592abbf1bb2a352e44d +  $_GBC_440f53772f0e4c81b6d5430494433c11 +  $_GBC_d6c3969793744d429830650c6c4bf387 +  $_GBC_0a0bda28d00b4f18b4ddca17842aa538 +  $_GBC_00e5f4dfe1144e479871008f7bfbcd42 +  $_GBC_6a53c8c33b014fa5b3e4928cfc2c34f0 +  $_GBC_08dd59e9ae674ec4a285b635e006bf18 +  $_GBC_d10eb0ef770644fea27894b609d2a898 +  $_GBC_7652f53997a54b2890dc6be2ee1be309 +  $_GBC_1f7bbaffcaaf43c9987f088ae97d5876 +  $_GBC_237f0d92092a4ce6bc4686d00f6755c8 +  $_GBC_d55d70c91ea843418ef9ce8932d6cb05 +  $_GBC_db1da4e688ee47b3af76cd6a381bb500 +  $_GBC_1b1a16fd63994d28b446d9c827c6d9e1" id="C5d03422015da405fa5a18a7508629019"/>
        </m:item>
        <m:item xlName="_GBC_77c7d3eda5fe481b8faac2b9e9a19dc5" concept="clcid-pte:FeiLiuDongZiChanHeJi" label="非流动资产合计" mulRef="_GBC_d28e3b675fc048afb747681dc6d939c2" unitRef="_GBC_e3316f7d89b24ba1bb4a783fd180bf77" addr="T0R44C3S1_1" formatStyle="Comma" appId="_GBC_5ea888705f7c4c0f98e8769d2197c0de">
          <m:complexRule comparator="Eq" title="非流动资产合计" test=" $_GBC_57715b0e5f294712812177585fc949df +  $_GBC_2f43ed99e7574ae1bc3eceb78cfb477e +  $_GBC_6ba0c5c70a394b6ab186afdf708b9b4f +  $_GBC_a86c299fad95429d9e519a0aaf7b2810 +  $_GBC_a42fb9f1319b469e8d80200d1d7784f4 +  $_GBC_95ef79245ecf404da5ab64f9c073e7bf +  $_GBC_a99ce940d7a14bb181e0d165aeeaf0f3 +  $_GBC_5937315a0fba4c1889bfa2e3a01045cc +  $_GBC_71f7748f2bd24d47801e5e8addbf9dd4 +  $_GBC_7c0f7f1fa4a146718822f0b99c9a08b3 +  $_GBC_838da63fe22b48b0a98d46b6395bc3de +  $_GBC_da5673e2697c4bbab5881f42259a8ad6 +  $_GBC_ed5f9d841950435b8d25c028afd80238 +  $_GBC_1b666aec67a44fc0bdc95f4c524e5a66 +  $_GBC_235e8c07f0984f5994e118f640e99146 +  $_GBC_cb39dbef62d04b80b1f74b98ee9d95b0 +  $_GBC_256e0f6055be4d2eba887d421a578edc +  $_GBC_9b2199b23e714b0388040e2a803e266b +  $_GBC_425044b1d6c540f2a4771fdf6346d382" id="C535a6bd5097447c39d08e09f16ab0e5e"/>
          <m:axisValue occRef="调整数"/>
        </m:item>
        <m:placeholder xlName="_PLD_fe9d973bac6b4be6b5d2293c60039e19" addr="T0R45C0S1_1"/>
        <m:item xlName="_GBC_ab2327b13fe1408e95575e9c958f0eb1" concept="clcid-pte:ZiChanZongJi" label="资产总计" periodRef="上年期末数" mulRef="_GBC_d28e3b675fc048afb747681dc6d939c2" unitRef="_GBC_e3316f7d89b24ba1bb4a783fd180bf77" addr="T0R45C1S1_1" formatStyle="Comma" appId="_GBC_5ea888705f7c4c0f98e8769d2197c0de">
          <m:complexRule comparator="Eq" title="资产总计" test=" $_GBC_b314cf5b723c440f857428dcdf96689c +  $_GBC_886d1ffb4a2a4760a878feadc4f12b3d" id="C7164e478c66d4ef494b6fa96972a596e"/>
          <m:complexRule comparator="Eq" title="资产总计" test=" $_GBC_3d592c467ea84c04be00c5c02d541fc2" id="C0702c20da66d4bc2a9773424174397e7"/>
        </m:item>
        <m:item xlName="_GBC_106694ddacf64c648398b5cd8b0161ac" concept="clcid-pte:ZiChanZongJi" label="资产总计" periodRef="本期期初数" mulRef="_GBC_d28e3b675fc048afb747681dc6d939c2" unitRef="_GBC_e3316f7d89b24ba1bb4a783fd180bf77" addr="T0R45C2S1_1" formatStyle="Comma" appId="_GBC_5ea888705f7c4c0f98e8769d2197c0de">
          <m:complexRule comparator="Eq" title="资产总计@本期期初数" test=" $_GBC_6cbb9a16f96b46c4bc8445f1c233a911 +  $_GBC_9e5da8f84e20400fafc32225833d2a2d" id="C34d2488d8f0741c78a11eb5270b30d06"/>
          <m:complexRule comparator="Eq" title="资产总计@本期期初数" test=" $_GBC_3feec9bdf0784fb28552fb0bde233da6" id="C55066534e63942c0a1d01e3cba4f30dd"/>
        </m:item>
        <m:item xlName="_GBC_6b4e152b8f154c70bfbbd58c838d920b" concept="clcid-pte:ZiChanZongJi" label="资产总计" mulRef="_GBC_d28e3b675fc048afb747681dc6d939c2" unitRef="_GBC_e3316f7d89b24ba1bb4a783fd180bf77" addr="T0R45C3S1_1" formatStyle="Comma" appId="_GBC_5ea888705f7c4c0f98e8769d2197c0de">
          <m:complexRule comparator="Eq" title="资产总计" test=" $_GBC_c71cb5adf2fc4a1682e72f45665b658b" id="Cb8d2106e52304e0b9b5e3b6b4f4a6e9f"/>
          <m:complexRule comparator="Eq" title="资产总计" test=" $_GBC_77c7d3eda5fe481b8faac2b9e9a19dc5 +  $_GBC_7d0a35b6ac0145dabf906bae67731567" id="Cb7cf9506a5564fc19b5be0db8ed2662a"/>
          <m:axisValue occRef="调整数"/>
        </m:item>
        <m:placeholder xlName="_PLD_882c67f0356e4caa843229106fd31aac" addr="T0R46C0S1_4"/>
        <m:placeholder xlName="_PLD_0efba9adef604cadac8599fe5a7c8c43" addr="T0R47C0S1_1"/>
        <m:item xlName="_GBC_8ad8d985f42d44cc8d644aee0c215710" concept="clcid-pte:DuanQiJieKuan" label="短期借款" periodRef="上年期末数" mulRef="_GBC_d28e3b675fc048afb747681dc6d939c2" unitRef="_GBC_e3316f7d89b24ba1bb4a783fd180bf77" addr="T0R47C1S1_1" formatStyle="Comma" appId="_GBC_5ea888705f7c4c0f98e8769d2197c0de"/>
        <m:item xlName="_GBC_a3bbc645626e4d24ae16a8db87ccc9b7" concept="clcid-pte:DuanQiJieKuan" label="短期借款" periodRef="本期期初数" mulRef="_GBC_d28e3b675fc048afb747681dc6d939c2" unitRef="_GBC_e3316f7d89b24ba1bb4a783fd180bf77" addr="T0R47C2S1_1" formatStyle="Comma" appId="_GBC_5ea888705f7c4c0f98e8769d2197c0de"/>
        <m:item xlName="_GBC_ac229029fa314a52a9b196611bf06f11" concept="clcid-pte:DuanQiJieKuan" label="短期借款" mulRef="_GBC_d28e3b675fc048afb747681dc6d939c2" unitRef="_GBC_e3316f7d89b24ba1bb4a783fd180bf77" addr="T0R47C3S1_1" formatStyle="Comma" appId="_GBC_5ea888705f7c4c0f98e8769d2197c0de">
          <m:axisValue occRef="调整数"/>
        </m:item>
        <m:placeholder xlName="_PLD_372c190edf714f90bd9700557e8da87c" addr="T0R48C0S1_1"/>
        <m:item xlName="_GBC_28ec40d7f36346f6aa7960bb22bf78ec" concept="clcid-pte:XiangZhongYangYinHangJieKuan" label="向中央银行借款" periodRef="上年期末数" mulRef="_GBC_d28e3b675fc048afb747681dc6d939c2" unitRef="_GBC_e3316f7d89b24ba1bb4a783fd180bf77" addr="T0R48C1S1_1" formatStyle="Comma" appId="_GBC_5ea888705f7c4c0f98e8769d2197c0de"/>
        <m:item xlName="_GBC_7a976dee19b84b39a7c6af1d6db4381c" concept="clcid-pte:XiangZhongYangYinHangJieKuan" label="向中央银行借款" periodRef="本期期初数" mulRef="_GBC_d28e3b675fc048afb747681dc6d939c2" unitRef="_GBC_e3316f7d89b24ba1bb4a783fd180bf77" addr="T0R48C2S1_1" formatStyle="Comma" appId="_GBC_5ea888705f7c4c0f98e8769d2197c0de"/>
        <m:item xlName="_GBC_317624156b00482f95afa46f243bd2b1" concept="clcid-pte:XiangZhongYangYinHangJieKuan" label="向中央银行借款" mulRef="_GBC_d28e3b675fc048afb747681dc6d939c2" unitRef="_GBC_e3316f7d89b24ba1bb4a783fd180bf77" addr="T0R48C3S1_1" formatStyle="Comma" appId="_GBC_5ea888705f7c4c0f98e8769d2197c0de">
          <m:axisValue occRef="调整数"/>
        </m:item>
        <m:placeholder xlName="_PLD_61ae2c221b6e47ecbeeeeba07bff4d7f" addr="T0R49C0S1_1"/>
        <m:item xlName="_GBC_4cd08543374e4dd9906c474ee72c06aa" concept="clcid-pte:ChaiRuZiJin" label="拆入资金" periodRef="上年期末数" mulRef="_GBC_d28e3b675fc048afb747681dc6d939c2" unitRef="_GBC_e3316f7d89b24ba1bb4a783fd180bf77" addr="T0R49C1S1_1" formatStyle="Comma" appId="_GBC_5ea888705f7c4c0f98e8769d2197c0de"/>
        <m:item xlName="_GBC_9897b4563e494198a511c3276c21d8d2" concept="clcid-pte:ChaiRuZiJin" label="拆入资金" periodRef="本期期初数" mulRef="_GBC_d28e3b675fc048afb747681dc6d939c2" unitRef="_GBC_e3316f7d89b24ba1bb4a783fd180bf77" addr="T0R49C2S1_1" formatStyle="Comma" appId="_GBC_5ea888705f7c4c0f98e8769d2197c0de"/>
        <m:item xlName="_GBC_2d05854a8d274b99b93e412e3b2e420d" concept="clcid-pte:ChaiRuZiJin" label="拆入资金" mulRef="_GBC_d28e3b675fc048afb747681dc6d939c2" unitRef="_GBC_e3316f7d89b24ba1bb4a783fd180bf77" addr="T0R49C3S1_1" formatStyle="Comma" appId="_GBC_5ea888705f7c4c0f98e8769d2197c0de">
          <m:axisValue occRef="调整数"/>
        </m:item>
        <m:placeholder xlName="_PLD_97398b5d39b54be687530653a38c8f3f" addr="T0R50C0S1_1"/>
        <m:item xlName="_GBC_d80fdef7b9654972b761ab2dd1298e84" concept="clcid-pte:JiaoYiXingJinRongFuZhai" label="交易性金融负债" periodRef="上年期末数" mulRef="_GBC_d28e3b675fc048afb747681dc6d939c2" unitRef="_GBC_e3316f7d89b24ba1bb4a783fd180bf77" addr="T0R50C1S1_1" formatStyle="Comma" appId="_GBC_5ea888705f7c4c0f98e8769d2197c0de"/>
        <m:item xlName="_GBC_97a63b6265a0466d9027a4a94531afe3" concept="clcid-pte:JiaoYiXingJinRongFuZhai" label="交易性金融负债" periodRef="本期期初数" mulRef="_GBC_d28e3b675fc048afb747681dc6d939c2" unitRef="_GBC_e3316f7d89b24ba1bb4a783fd180bf77" addr="T0R50C2S1_1" formatStyle="Comma" appId="_GBC_5ea888705f7c4c0f98e8769d2197c0de"/>
        <m:item xlName="_GBC_a973da9a40ca4d0f9f49352c3cee73ef" concept="clcid-pte:JiaoYiXingJinRongFuZhai" label="交易性金融负债" mulRef="_GBC_d28e3b675fc048afb747681dc6d939c2" unitRef="_GBC_e3316f7d89b24ba1bb4a783fd180bf77" addr="T0R50C3S1_1" formatStyle="Comma" appId="_GBC_5ea888705f7c4c0f98e8769d2197c0de">
          <m:axisValue occRef="调整数"/>
        </m:item>
        <m:placeholder xlName="_PLD_6ce332098ad34f168a7fed2abb15b157" addr="T0R51C0S1_1"/>
        <m:item xlName="_GBC_cceb3bdcde68421f907dab1269440b00" concept="clcid-pte:YanShengJinRongFuZhai" label="衍生金融负债" periodRef="上年期末数" mulRef="_GBC_d28e3b675fc048afb747681dc6d939c2" unitRef="_GBC_e3316f7d89b24ba1bb4a783fd180bf77" addr="T0R51C1S1_1" formatStyle="Comma" appId="_GBC_5ea888705f7c4c0f98e8769d2197c0de"/>
        <m:item xlName="_GBC_d9e4f3abafd2484cb7812b94b6eaf3c2" concept="clcid-pte:YanShengJinRongFuZhai" label="衍生金融负债" periodRef="本期期初数" mulRef="_GBC_d28e3b675fc048afb747681dc6d939c2" unitRef="_GBC_e3316f7d89b24ba1bb4a783fd180bf77" addr="T0R51C2S1_1" formatStyle="Comma" appId="_GBC_5ea888705f7c4c0f98e8769d2197c0de"/>
        <m:item xlName="_GBC_d718ae256b2940b9a9ee3f190cffa4a4" concept="clcid-pte:YanShengJinRongFuZhai" label="衍生金融负债" mulRef="_GBC_d28e3b675fc048afb747681dc6d939c2" unitRef="_GBC_e3316f7d89b24ba1bb4a783fd180bf77" addr="T0R51C3S1_1" formatStyle="Comma" appId="_GBC_5ea888705f7c4c0f98e8769d2197c0de">
          <m:axisValue occRef="调整数"/>
        </m:item>
        <m:placeholder xlName="_PLD_9cd44978a5d84ceaa422cb600962bad4" addr="T0R52C0S1_1"/>
        <m:item xlName="_GBC_57f813da285743e285f22fd2caca35fe" concept="clcid-pte:YingFuPiaoJu" label="应付票据" periodRef="上年期末数" mulRef="_GBC_d28e3b675fc048afb747681dc6d939c2" unitRef="_GBC_e3316f7d89b24ba1bb4a783fd180bf77" addr="T0R52C1S1_1" formatStyle="Comma" appId="_GBC_5ea888705f7c4c0f98e8769d2197c0de"/>
        <m:item xlName="_GBC_5720f2b7a15f4acfbb614e707bae685b" concept="clcid-pte:YingFuPiaoJu" label="应付票据" periodRef="本期期初数" mulRef="_GBC_d28e3b675fc048afb747681dc6d939c2" unitRef="_GBC_e3316f7d89b24ba1bb4a783fd180bf77" addr="T0R52C2S1_1" formatStyle="Comma" appId="_GBC_5ea888705f7c4c0f98e8769d2197c0de"/>
        <m:item xlName="_GBC_c3829925f9314603b1e3a6ac9b5a5462" concept="clcid-pte:YingFuPiaoJu" label="应付票据" mulRef="_GBC_d28e3b675fc048afb747681dc6d939c2" unitRef="_GBC_e3316f7d89b24ba1bb4a783fd180bf77" addr="T0R52C3S1_1" formatStyle="Comma" appId="_GBC_5ea888705f7c4c0f98e8769d2197c0de">
          <m:axisValue occRef="调整数"/>
        </m:item>
        <m:placeholder xlName="_PLD_7fa39fd4bb1d4ff29a7f4c24bbfc9eec" addr="T0R53C0S1_1"/>
        <m:item xlName="_GBC_3677e9a263dd4b569e0db0aac43a1309" concept="clcid-pte:YingFuZhangKuan" label="应付帐款" periodRef="上年期末数" mulRef="_GBC_d28e3b675fc048afb747681dc6d939c2" unitRef="_GBC_e3316f7d89b24ba1bb4a783fd180bf77" addr="T0R53C1S1_1" formatStyle="Comma" appId="_GBC_5ea888705f7c4c0f98e8769d2197c0de"/>
        <m:item xlName="_GBC_7e1251bbf2eb43c4bd5dec74c370d446" concept="clcid-pte:YingFuZhangKuan" label="应付帐款" periodRef="本期期初数" mulRef="_GBC_d28e3b675fc048afb747681dc6d939c2" unitRef="_GBC_e3316f7d89b24ba1bb4a783fd180bf77" addr="T0R53C2S1_1" formatStyle="Comma" appId="_GBC_5ea888705f7c4c0f98e8769d2197c0de"/>
        <m:item xlName="_GBC_20cdf36063a9444daa28a17833147d66" concept="clcid-pte:YingFuZhangKuan" label="应付帐款" mulRef="_GBC_d28e3b675fc048afb747681dc6d939c2" unitRef="_GBC_e3316f7d89b24ba1bb4a783fd180bf77" addr="T0R53C3S1_1" formatStyle="Comma" appId="_GBC_5ea888705f7c4c0f98e8769d2197c0de">
          <m:axisValue occRef="调整数"/>
        </m:item>
        <m:placeholder xlName="_PLD_f40c73421eb94e3bb75da0dba5756c7b" addr="T0R54C0S1_1"/>
        <m:item xlName="_GBC_b9068be1ae57441882f49706c28e1fc9" concept="clcid-pte:YuShouZhangKuan" label="预收帐款" periodRef="上年期末数" mulRef="_GBC_d28e3b675fc048afb747681dc6d939c2" unitRef="_GBC_e3316f7d89b24ba1bb4a783fd180bf77" addr="T0R54C1S1_1" formatStyle="Comma" appId="_GBC_5ea888705f7c4c0f98e8769d2197c0de"/>
        <m:item xlName="_GBC_0210e28a3d46430aaf64368d3a2f3a8e" concept="clcid-pte:YuShouZhangKuan" label="预收帐款" periodRef="本期期初数" mulRef="_GBC_d28e3b675fc048afb747681dc6d939c2" unitRef="_GBC_e3316f7d89b24ba1bb4a783fd180bf77" addr="T0R54C2S1_1" formatStyle="Comma" appId="_GBC_5ea888705f7c4c0f98e8769d2197c0de"/>
        <m:item xlName="_GBC_c3797111ed0a404eb9d5cf7c74460581" concept="clcid-pte:YuShouZhangKuan" label="预收帐款" mulRef="_GBC_d28e3b675fc048afb747681dc6d939c2" unitRef="_GBC_e3316f7d89b24ba1bb4a783fd180bf77" addr="T0R54C3S1_1" formatStyle="Comma" appId="_GBC_5ea888705f7c4c0f98e8769d2197c0de">
          <m:axisValue occRef="调整数"/>
        </m:item>
        <m:placeholder xlName="_PLD_e022b367ef5841dba277837ed003eacd" addr="T0R56C0S1_1"/>
        <m:item xlName="_GBC_ff7d87572b344738bf6310d1e0873559" concept="clcid-pte:MaiChuHuiGouJinRongZiChanKuan" label="卖出回购金融资产款" periodRef="上年期末数" mulRef="_GBC_d28e3b675fc048afb747681dc6d939c2" unitRef="_GBC_e3316f7d89b24ba1bb4a783fd180bf77" addr="T0R56C1S1_1" formatStyle="Comma" appId="_GBC_5ea888705f7c4c0f98e8769d2197c0de"/>
        <m:item xlName="_GBC_90c2bd1eebde4c95835d3ac31845908a" concept="clcid-pte:MaiChuHuiGouJinRongZiChanKuan" label="卖出回购金融资产款" periodRef="本期期初数" mulRef="_GBC_d28e3b675fc048afb747681dc6d939c2" unitRef="_GBC_e3316f7d89b24ba1bb4a783fd180bf77" addr="T0R56C2S1_1" formatStyle="Comma" appId="_GBC_5ea888705f7c4c0f98e8769d2197c0de"/>
        <m:item xlName="_GBC_46530a3666f049ff8e3b7fe130e3ff8c" concept="clcid-pte:MaiChuHuiGouJinRongZiChanKuan" label="卖出回购金融资产款" mulRef="_GBC_d28e3b675fc048afb747681dc6d939c2" unitRef="_GBC_e3316f7d89b24ba1bb4a783fd180bf77" addr="T0R56C3S1_1" formatStyle="Comma" appId="_GBC_5ea888705f7c4c0f98e8769d2197c0de">
          <m:axisValue occRef="调整数"/>
        </m:item>
        <m:placeholder xlName="_PLD_74d4dc9a763540cf9519a67b2a7b02ae" addr="T0R57C0S1_1"/>
        <m:item xlName="_GBC_c5a0a9e4ea8640398f188d3dbf56a49a" concept="clcid-pte:XiShouCunKuanJiTongYeCunFang" label="吸收存款及同业存放" periodRef="上年期末数" mulRef="_GBC_d28e3b675fc048afb747681dc6d939c2" unitRef="_GBC_e3316f7d89b24ba1bb4a783fd180bf77" addr="T0R57C1S1_1" formatStyle="Comma" appId="_GBC_5ea888705f7c4c0f98e8769d2197c0de"/>
        <m:item xlName="_GBC_1b0c4aba5ed94cae99933a32213efc65" concept="clcid-pte:XiShouCunKuanJiTongYeCunFang" label="吸收存款及同业存放" periodRef="本期期初数" mulRef="_GBC_d28e3b675fc048afb747681dc6d939c2" unitRef="_GBC_e3316f7d89b24ba1bb4a783fd180bf77" addr="T0R57C2S1_1" formatStyle="Comma" appId="_GBC_5ea888705f7c4c0f98e8769d2197c0de"/>
        <m:item xlName="_GBC_dc9bccea97e74a76a2a8c129c03554a9" concept="clcid-pte:XiShouCunKuanJiTongYeCunFang" label="吸收存款及同业存放" mulRef="_GBC_d28e3b675fc048afb747681dc6d939c2" unitRef="_GBC_e3316f7d89b24ba1bb4a783fd180bf77" addr="T0R57C3S1_1" formatStyle="Comma" appId="_GBC_5ea888705f7c4c0f98e8769d2197c0de">
          <m:axisValue occRef="调整数"/>
        </m:item>
        <m:placeholder xlName="_PLD_3c7f7227298a479f925e3109384a9004" addr="T0R58C0S1_1"/>
        <m:item xlName="_GBC_1b8c94bea861487ea7d23465001ccd57" concept="clcid-pte:DaiLiMaiMaiZhengQuanKuan" label="代理买卖证券款" periodRef="上年期末数" mulRef="_GBC_d28e3b675fc048afb747681dc6d939c2" unitRef="_GBC_e3316f7d89b24ba1bb4a783fd180bf77" addr="T0R58C1S1_1" formatStyle="Comma" appId="_GBC_5ea888705f7c4c0f98e8769d2197c0de"/>
        <m:item xlName="_GBC_718ddad2c74b4c6daf7aede5b5cf4abb" concept="clcid-pte:DaiLiMaiMaiZhengQuanKuan" label="代理买卖证券款" periodRef="本期期初数" mulRef="_GBC_d28e3b675fc048afb747681dc6d939c2" unitRef="_GBC_e3316f7d89b24ba1bb4a783fd180bf77" addr="T0R58C2S1_1" formatStyle="Comma" appId="_GBC_5ea888705f7c4c0f98e8769d2197c0de"/>
        <m:item xlName="_GBC_d8b85fe7489d4f88a032890fe228fe14" concept="clcid-pte:DaiLiMaiMaiZhengQuanKuan" label="代理买卖证券款" mulRef="_GBC_d28e3b675fc048afb747681dc6d939c2" unitRef="_GBC_e3316f7d89b24ba1bb4a783fd180bf77" addr="T0R58C3S1_1" formatStyle="Comma" appId="_GBC_5ea888705f7c4c0f98e8769d2197c0de">
          <m:axisValue occRef="调整数"/>
        </m:item>
        <m:placeholder xlName="_PLD_c753a74c55b14657b44ff96fd1a588c5" addr="T0R59C0S1_1"/>
        <m:item xlName="_GBC_8a014837c6c74296b741694e81fb3811" concept="clcid-pte:DaiLiChengXiaoZhengQuanKuan" label="代理承销证券款" periodRef="上年期末数" mulRef="_GBC_d28e3b675fc048afb747681dc6d939c2" unitRef="_GBC_e3316f7d89b24ba1bb4a783fd180bf77" addr="T0R59C1S1_1" formatStyle="Comma" appId="_GBC_5ea888705f7c4c0f98e8769d2197c0de"/>
        <m:item xlName="_GBC_8bfb4bb234db4d37b71a77b86b25fb21" concept="clcid-pte:DaiLiChengXiaoZhengQuanKuan" label="代理承销证券款" periodRef="本期期初数" mulRef="_GBC_d28e3b675fc048afb747681dc6d939c2" unitRef="_GBC_e3316f7d89b24ba1bb4a783fd180bf77" addr="T0R59C2S1_1" formatStyle="Comma" appId="_GBC_5ea888705f7c4c0f98e8769d2197c0de"/>
        <m:item xlName="_GBC_80767c1ecdde445cacc5e517080a6e93" concept="clcid-pte:DaiLiChengXiaoZhengQuanKuan" label="代理承销证券款" mulRef="_GBC_d28e3b675fc048afb747681dc6d939c2" unitRef="_GBC_e3316f7d89b24ba1bb4a783fd180bf77" addr="T0R59C3S1_1" formatStyle="Comma" appId="_GBC_5ea888705f7c4c0f98e8769d2197c0de">
          <m:axisValue occRef="调整数"/>
        </m:item>
        <m:placeholder xlName="_PLD_645872124b78478895ac8ca50bf1fb8a" addr="T0R60C0S1_1"/>
        <m:item xlName="_GBC_acaaf004bfc44eb0a3012e4b041fdca8" concept="clcid-pte:YingFuZhiGongXinChou" label="应付职工薪酬" periodRef="上年期末数" mulRef="_GBC_d28e3b675fc048afb747681dc6d939c2" unitRef="_GBC_e3316f7d89b24ba1bb4a783fd180bf77" addr="T0R60C1S1_1" formatStyle="Comma" appId="_GBC_5ea888705f7c4c0f98e8769d2197c0de"/>
        <m:item xlName="_GBC_981a0d33cd1946ad94e04e3145a99732" concept="clcid-pte:YingFuZhiGongXinChou" label="应付职工薪酬" periodRef="本期期初数" mulRef="_GBC_d28e3b675fc048afb747681dc6d939c2" unitRef="_GBC_e3316f7d89b24ba1bb4a783fd180bf77" addr="T0R60C2S1_1" formatStyle="Comma" appId="_GBC_5ea888705f7c4c0f98e8769d2197c0de"/>
        <m:item xlName="_GBC_191b7918e37548beb8b5ee08e81895e4" concept="clcid-pte:YingFuZhiGongXinChou" label="应付职工薪酬" mulRef="_GBC_d28e3b675fc048afb747681dc6d939c2" unitRef="_GBC_e3316f7d89b24ba1bb4a783fd180bf77" addr="T0R60C3S1_1" formatStyle="Comma" appId="_GBC_5ea888705f7c4c0f98e8769d2197c0de">
          <m:axisValue occRef="调整数"/>
        </m:item>
        <m:placeholder xlName="_PLD_d3c044defc17425daa2954955510acc7" addr="T0R61C0S1_1"/>
        <m:item xlName="_GBC_56c50505ff7a42bfa3a78eb175b1de1c" concept="clcid-pte:YingJiaoShuiJin" label="应交税金" periodRef="上年期末数" mulRef="_GBC_d28e3b675fc048afb747681dc6d939c2" unitRef="_GBC_e3316f7d89b24ba1bb4a783fd180bf77" addr="T0R61C1S1_1" formatStyle="Comma" appId="_GBC_5ea888705f7c4c0f98e8769d2197c0de"/>
        <m:item xlName="_GBC_607d7318553a4f1d8c701497ff1e4d69" concept="clcid-pte:YingJiaoShuiJin" label="应交税金" periodRef="本期期初数" mulRef="_GBC_d28e3b675fc048afb747681dc6d939c2" unitRef="_GBC_e3316f7d89b24ba1bb4a783fd180bf77" addr="T0R61C2S1_1" formatStyle="Comma" appId="_GBC_5ea888705f7c4c0f98e8769d2197c0de"/>
        <m:item xlName="_GBC_087e1e277a444256aa95cd2a66bbe942" concept="clcid-pte:YingJiaoShuiJin" label="应交税金" mulRef="_GBC_d28e3b675fc048afb747681dc6d939c2" unitRef="_GBC_e3316f7d89b24ba1bb4a783fd180bf77" addr="T0R61C3S1_1" formatStyle="Comma" appId="_GBC_5ea888705f7c4c0f98e8769d2197c0de">
          <m:axisValue occRef="调整数"/>
        </m:item>
        <m:placeholder xlName="_PLD_2463a98e91ab4940a86070ef84c09928" addr="T0R62C0S1_1"/>
        <m:item xlName="_GBC_f47b982a9ef344f9a1a9c3895bd76dde" concept="clcid-pte:QiTaYingFuKuan" label="其他应付款" periodRef="上年期末数" mulRef="_GBC_d28e3b675fc048afb747681dc6d939c2" unitRef="_GBC_e3316f7d89b24ba1bb4a783fd180bf77" addr="T0R62C1S1_1" formatStyle="Comma" appId="_GBC_5ea888705f7c4c0f98e8769d2197c0de"/>
        <m:item xlName="_GBC_7f9f969c96a246ccab2c0e59d956ffaf" concept="clcid-pte:QiTaYingFuKuan" label="其他应付款" periodRef="本期期初数" mulRef="_GBC_d28e3b675fc048afb747681dc6d939c2" unitRef="_GBC_e3316f7d89b24ba1bb4a783fd180bf77" addr="T0R62C2S1_1" formatStyle="Comma" appId="_GBC_5ea888705f7c4c0f98e8769d2197c0de"/>
        <m:item xlName="_GBC_a4bbc5f686444b0294a29febf4b89a12" concept="clcid-pte:QiTaYingFuKuan" label="其他应付款" mulRef="_GBC_d28e3b675fc048afb747681dc6d939c2" unitRef="_GBC_e3316f7d89b24ba1bb4a783fd180bf77" addr="T0R62C3S1_1" formatStyle="Comma" appId="_GBC_5ea888705f7c4c0f98e8769d2197c0de">
          <m:axisValue occRef="调整数"/>
        </m:item>
        <m:placeholder xlName="_PLD_1e3b5010b1644b86a63caa38200d9fc7" addr="T0R63C0S1_1"/>
        <m:item xlName="_GBC_246efa35563a4883bb359e5d64e95c35" concept="clcid-pte:YingFuLiXi" label="应付利息" periodRef="上年期末数" mulRef="_GBC_d28e3b675fc048afb747681dc6d939c2" unitRef="_GBC_e3316f7d89b24ba1bb4a783fd180bf77" addr="T0R63C1S1_1" formatStyle="Comma" appId="_GBC_5ea888705f7c4c0f98e8769d2197c0de"/>
        <m:item xlName="_GBC_e55c34dd53914517b7df87a32026ac5e" concept="clcid-pte:YingFuLiXi" label="应付利息" periodRef="本期期初数" mulRef="_GBC_d28e3b675fc048afb747681dc6d939c2" unitRef="_GBC_e3316f7d89b24ba1bb4a783fd180bf77" addr="T0R63C2S1_1" formatStyle="Comma" appId="_GBC_5ea888705f7c4c0f98e8769d2197c0de"/>
        <m:item xlName="_GBC_39653654bdaf4a7eaa22847d8886cb80" concept="clcid-pte:YingFuLiXi" label="应付利息" mulRef="_GBC_d28e3b675fc048afb747681dc6d939c2" unitRef="_GBC_e3316f7d89b24ba1bb4a783fd180bf77" addr="T0R63C3S1_1" formatStyle="Comma" appId="_GBC_5ea888705f7c4c0f98e8769d2197c0de">
          <m:axisValue occRef="调整数"/>
        </m:item>
        <m:placeholder xlName="_PLD_bb0dd0f249ab4ec4b35a1769f3ab804c" addr="T0R64C0S1_1"/>
        <m:item xlName="_GBC_6165c679466a44d28cf2239216340684" concept="clcid-pte:YingFuGuLi" label="应付股利" periodRef="上年期末数" mulRef="_GBC_d28e3b675fc048afb747681dc6d939c2" unitRef="_GBC_e3316f7d89b24ba1bb4a783fd180bf77" addr="T0R64C1S1_1" formatStyle="Comma" appId="_GBC_5ea888705f7c4c0f98e8769d2197c0de"/>
        <m:item xlName="_GBC_c8bb07a9f3b440c48b41dcda681774e5" concept="clcid-pte:YingFuGuLi" label="应付股利" periodRef="本期期初数" mulRef="_GBC_d28e3b675fc048afb747681dc6d939c2" unitRef="_GBC_e3316f7d89b24ba1bb4a783fd180bf77" addr="T0R64C2S1_1" formatStyle="Comma" appId="_GBC_5ea888705f7c4c0f98e8769d2197c0de"/>
        <m:item xlName="_GBC_0a4eadb205f3424ea6005b56ebe0461b" concept="clcid-pte:YingFuGuLi" label="应付股利" mulRef="_GBC_d28e3b675fc048afb747681dc6d939c2" unitRef="_GBC_e3316f7d89b24ba1bb4a783fd180bf77" addr="T0R64C3S1_1" formatStyle="Comma" appId="_GBC_5ea888705f7c4c0f98e8769d2197c0de">
          <m:axisValue occRef="调整数"/>
        </m:item>
        <m:placeholder xlName="_PLD_69732c7544d04b9b9f9cd67ef9c67522" addr="T0R65C0S1_1"/>
        <m:item xlName="_GBC_057b3f8c272c4e5bb04370f20ac4b850" concept="clcid-pte:YingFuShouXuFeiJiYongJin" label="应付手续费及佣金" periodRef="上年期末数" mulRef="_GBC_d28e3b675fc048afb747681dc6d939c2" unitRef="_GBC_e3316f7d89b24ba1bb4a783fd180bf77" addr="T0R65C1S1_1" formatStyle="Comma" appId="_GBC_5ea888705f7c4c0f98e8769d2197c0de"/>
        <m:item xlName="_GBC_6050f722201d4ce29037815cf214c3e9" concept="clcid-pte:YingFuShouXuFeiJiYongJin" label="应付手续费及佣金" periodRef="本期期初数" mulRef="_GBC_d28e3b675fc048afb747681dc6d939c2" unitRef="_GBC_e3316f7d89b24ba1bb4a783fd180bf77" addr="T0R65C2S1_1" formatStyle="Comma" appId="_GBC_5ea888705f7c4c0f98e8769d2197c0de"/>
        <m:item xlName="_GBC_8d5a8139a88341f292be2ca51ff41208" concept="clcid-pte:YingFuShouXuFeiJiYongJin" label="应付手续费及佣金" mulRef="_GBC_d28e3b675fc048afb747681dc6d939c2" unitRef="_GBC_e3316f7d89b24ba1bb4a783fd180bf77" addr="T0R65C3S1_1" formatStyle="Comma" appId="_GBC_5ea888705f7c4c0f98e8769d2197c0de">
          <m:axisValue occRef="调整数"/>
        </m:item>
        <m:placeholder xlName="_PLD_722fcf0c82c847e58fe7dabb21c96fbe" addr="T0R66C0S1_1"/>
        <m:item xlName="_GBC_806cd105d2ff489497c87985e7a80c5d" concept="clcid-pte:YingFuFenBaoZhangKuan" label="应付分保账款" periodRef="上年期末数" mulRef="_GBC_d28e3b675fc048afb747681dc6d939c2" unitRef="_GBC_e3316f7d89b24ba1bb4a783fd180bf77" addr="T0R66C1S1_1" formatStyle="Comma" appId="_GBC_5ea888705f7c4c0f98e8769d2197c0de"/>
        <m:item xlName="_GBC_9ea963d2b8384486899d40e464bb7adc" concept="clcid-pte:YingFuFenBaoZhangKuan" label="应付分保账款" periodRef="本期期初数" mulRef="_GBC_d28e3b675fc048afb747681dc6d939c2" unitRef="_GBC_e3316f7d89b24ba1bb4a783fd180bf77" addr="T0R66C2S1_1" formatStyle="Comma" appId="_GBC_5ea888705f7c4c0f98e8769d2197c0de"/>
        <m:item xlName="_GBC_f5659078471b4f118172d1eed283b6b3" concept="clcid-pte:YingFuFenBaoZhangKuan" label="应付分保账款" mulRef="_GBC_d28e3b675fc048afb747681dc6d939c2" unitRef="_GBC_e3316f7d89b24ba1bb4a783fd180bf77" addr="T0R66C3S1_1" formatStyle="Comma" appId="_GBC_5ea888705f7c4c0f98e8769d2197c0de">
          <m:axisValue occRef="调整数"/>
        </m:item>
        <m:placeholder xlName="_PLD_e962ca996b5d4bcca79fbcae92731704" addr="T0R55C0S1_1"/>
        <m:item xlName="_GBC_d4542f4c9566433a996da805cef4d563" concept="clcid-pte:HeTongFuZhai" label="合同负债" periodRef="上年期末数" mulRef="_GBC_d28e3b675fc048afb747681dc6d939c2" unitRef="_GBC_e3316f7d89b24ba1bb4a783fd180bf77" addr="T0R55C1S1_1" formatStyle="Comma" appId="_GBC_5ea888705f7c4c0f98e8769d2197c0de"/>
        <m:item xlName="_GBC_2922c63b6f2b4eed95a5e23b824bc469" concept="clcid-pte:HeTongFuZhai" label="合同负债" periodRef="本期期初数" mulRef="_GBC_d28e3b675fc048afb747681dc6d939c2" unitRef="_GBC_e3316f7d89b24ba1bb4a783fd180bf77" addr="T0R55C2S1_1" formatStyle="Comma" appId="_GBC_5ea888705f7c4c0f98e8769d2197c0de"/>
        <m:item xlName="_GBC_79cf61f4e15a4c629ed5306d68d0fd8a" concept="clcid-pte:HeTongFuZhai" label="合同负债" mulRef="_GBC_d28e3b675fc048afb747681dc6d939c2" unitRef="_GBC_e3316f7d89b24ba1bb4a783fd180bf77" addr="T0R55C3S1_1" formatStyle="Comma" appId="_GBC_5ea888705f7c4c0f98e8769d2197c0de">
          <m:axisValue occRef="调整数"/>
        </m:item>
        <m:placeholder xlName="_PLD_3425e5f47d8444608e19b97651415166" addr="T0R67C0S1_1"/>
        <m:item xlName="_GBC_8268e38331bc4c528f591cc350f20f38" concept="clcid-pte:HuaFenWeiChiYouDaiShouDeFuZhai" label="划分为持有待售的负债" periodRef="上年期末数" mulRef="_GBC_d28e3b675fc048afb747681dc6d939c2" unitRef="_GBC_e3316f7d89b24ba1bb4a783fd180bf77" addr="T0R67C1S1_1" formatStyle="Comma" appId="_GBC_5ea888705f7c4c0f98e8769d2197c0de"/>
        <m:item xlName="_GBC_d5737e8adde64ec58fa8289199c49764" concept="clcid-pte:HuaFenWeiChiYouDaiShouDeFuZhai" label="划分为持有待售的负债" periodRef="本期期初数" mulRef="_GBC_d28e3b675fc048afb747681dc6d939c2" unitRef="_GBC_e3316f7d89b24ba1bb4a783fd180bf77" addr="T0R67C2S1_1" formatStyle="Comma" appId="_GBC_5ea888705f7c4c0f98e8769d2197c0de"/>
        <m:item xlName="_GBC_d5627c924b3f4e6f9a6761c49bf0eaf2" concept="clcid-pte:HuaFenWeiChiYouDaiShouDeFuZhai" label="划分为持有待售的负债" mulRef="_GBC_d28e3b675fc048afb747681dc6d939c2" unitRef="_GBC_e3316f7d89b24ba1bb4a783fd180bf77" addr="T0R67C3S1_1" formatStyle="Comma" appId="_GBC_5ea888705f7c4c0f98e8769d2197c0de">
          <m:axisValue occRef="调整数"/>
        </m:item>
        <m:placeholder xlName="_PLD_184262582d204a07b7c7b039008d30a1" addr="T0R68C0S1_1"/>
        <m:item xlName="_GBC_22e2301f55c74bd6bbf76d054af17a8c" concept="clcid-pte:YiNianNeiDaoQiDeChangQiFuZhai" label="一年内到期的长期负债" periodRef="上年期末数" mulRef="_GBC_d28e3b675fc048afb747681dc6d939c2" unitRef="_GBC_e3316f7d89b24ba1bb4a783fd180bf77" addr="T0R68C1S1_1" formatStyle="Comma" appId="_GBC_5ea888705f7c4c0f98e8769d2197c0de"/>
        <m:item xlName="_GBC_9d451dabfb6a46668e85c1ab23f14fa1" concept="clcid-pte:YiNianNeiDaoQiDeChangQiFuZhai" label="一年内到期的长期负债" periodRef="本期期初数" mulRef="_GBC_d28e3b675fc048afb747681dc6d939c2" unitRef="_GBC_e3316f7d89b24ba1bb4a783fd180bf77" addr="T0R68C2S1_1" formatStyle="Comma" appId="_GBC_5ea888705f7c4c0f98e8769d2197c0de"/>
        <m:item xlName="_GBC_1061cd306b194a0f8822176033baac13" concept="clcid-pte:YiNianNeiDaoQiDeChangQiFuZhai" label="一年内到期的长期负债" mulRef="_GBC_d28e3b675fc048afb747681dc6d939c2" unitRef="_GBC_e3316f7d89b24ba1bb4a783fd180bf77" addr="T0R68C3S1_1" formatStyle="Comma" appId="_GBC_5ea888705f7c4c0f98e8769d2197c0de">
          <m:axisValue occRef="调整数"/>
        </m:item>
        <m:placeholder xlName="_PLD_af93e4b207a64595bfc64c7f72b1187a" addr="T0R69C0S1_1"/>
        <m:item xlName="_GBC_ac9b2e73eae84532b13ac71e58de8c70" concept="clcid-pte:QiTaLiuDongFuZhai" label="其他流动负债" periodRef="上年期末数" mulRef="_GBC_d28e3b675fc048afb747681dc6d939c2" unitRef="_GBC_e3316f7d89b24ba1bb4a783fd180bf77" addr="T0R69C1S1_1" formatStyle="Comma" appId="_GBC_5ea888705f7c4c0f98e8769d2197c0de"/>
        <m:item xlName="_GBC_0ce0290b845f48a687fd4982e50b80be" concept="clcid-pte:QiTaLiuDongFuZhai" label="其他流动负债" periodRef="本期期初数" mulRef="_GBC_d28e3b675fc048afb747681dc6d939c2" unitRef="_GBC_e3316f7d89b24ba1bb4a783fd180bf77" addr="T0R69C2S1_1" formatStyle="Comma" appId="_GBC_5ea888705f7c4c0f98e8769d2197c0de"/>
        <m:item xlName="_GBC_e58fcb33c84a4a50b347d86b4c628537" concept="clcid-pte:QiTaLiuDongFuZhai" label="其他流动负债" mulRef="_GBC_d28e3b675fc048afb747681dc6d939c2" unitRef="_GBC_e3316f7d89b24ba1bb4a783fd180bf77" addr="T0R69C3S1_1" formatStyle="Comma" appId="_GBC_5ea888705f7c4c0f98e8769d2197c0de">
          <m:axisValue occRef="调整数"/>
        </m:item>
        <m:placeholder xlName="_PLD_9a3d3ca1f3174615bf9ff36a589d6783" addr="T0R70C0S1_1"/>
        <m:item xlName="_GBC_6e409cd0deda411ebc62ef9da0ad49d5" concept="clcid-pte:LiuDongFuZhaiHeJi" label="流动负债合计" periodRef="上年期末数" mulRef="_GBC_d28e3b675fc048afb747681dc6d939c2" unitRef="_GBC_e3316f7d89b24ba1bb4a783fd180bf77" addr="T0R70C1S1_1" formatStyle="Comma" appId="_GBC_5ea888705f7c4c0f98e8769d2197c0de">
          <m:complexRule comparator="Eq" title="流动负债合计@上年期末数" test=" $_GBC_8ad8d985f42d44cc8d644aee0c215710 +  $_GBC_28ec40d7f36346f6aa7960bb22bf78ec +  $_GBC_4cd08543374e4dd9906c474ee72c06aa +  $_GBC_d80fdef7b9654972b761ab2dd1298e84 +  $_GBC_cceb3bdcde68421f907dab1269440b00 +  $_GBC_57f813da285743e285f22fd2caca35fe +  $_GBC_3677e9a263dd4b569e0db0aac43a1309 +  $_GBC_b9068be1ae57441882f49706c28e1fc9 +  $_GBC_d4542f4c9566433a996da805cef4d563 +  $_GBC_ff7d87572b344738bf6310d1e0873559 +  $_GBC_c5a0a9e4ea8640398f188d3dbf56a49a +  $_GBC_1b8c94bea861487ea7d23465001ccd57 +  $_GBC_8a014837c6c74296b741694e81fb3811 +  $_GBC_acaaf004bfc44eb0a3012e4b041fdca8 +  $_GBC_56c50505ff7a42bfa3a78eb175b1de1c +  $_GBC_f47b982a9ef344f9a1a9c3895bd76dde +  $_GBC_057b3f8c272c4e5bb04370f20ac4b850 +  $_GBC_806cd105d2ff489497c87985e7a80c5d +  $_GBC_8268e38331bc4c528f591cc350f20f38 +  $_GBC_22e2301f55c74bd6bbf76d054af17a8c +  $_GBC_ac9b2e73eae84532b13ac71e58de8c70" id="C51a885efd00347518fbbba14cdd74b4a"/>
        </m:item>
        <m:item xlName="_GBC_052fabb0632d4eda9f1b98589d5e442d" concept="clcid-pte:LiuDongFuZhaiHeJi" label="流动负债合计" periodRef="本期期初数" mulRef="_GBC_d28e3b675fc048afb747681dc6d939c2" unitRef="_GBC_e3316f7d89b24ba1bb4a783fd180bf77" addr="T0R70C2S1_1" formatStyle="Comma" appId="_GBC_5ea888705f7c4c0f98e8769d2197c0de">
          <m:complexRule comparator="Eq" title="流动负债合计@本期期初数" test=" $_GBC_a3bbc645626e4d24ae16a8db87ccc9b7 +  $_GBC_7a976dee19b84b39a7c6af1d6db4381c +  $_GBC_9897b4563e494198a511c3276c21d8d2 +  $_GBC_97a63b6265a0466d9027a4a94531afe3 +  $_GBC_d9e4f3abafd2484cb7812b94b6eaf3c2 +  $_GBC_5720f2b7a15f4acfbb614e707bae685b +  $_GBC_7e1251bbf2eb43c4bd5dec74c370d446 +  $_GBC_0210e28a3d46430aaf64368d3a2f3a8e +  $_GBC_2922c63b6f2b4eed95a5e23b824bc469 +  $_GBC_90c2bd1eebde4c95835d3ac31845908a +  $_GBC_1b0c4aba5ed94cae99933a32213efc65 +  $_GBC_718ddad2c74b4c6daf7aede5b5cf4abb +  $_GBC_8bfb4bb234db4d37b71a77b86b25fb21 +  $_GBC_981a0d33cd1946ad94e04e3145a99732 +  $_GBC_607d7318553a4f1d8c701497ff1e4d69 +  $_GBC_7f9f969c96a246ccab2c0e59d956ffaf +  $_GBC_6050f722201d4ce29037815cf214c3e9 +  $_GBC_9ea963d2b8384486899d40e464bb7adc +  $_GBC_d5737e8adde64ec58fa8289199c49764 +  $_GBC_9d451dabfb6a46668e85c1ab23f14fa1 +  $_GBC_0ce0290b845f48a687fd4982e50b80be" id="C66a7b341d56c48848f0a59a225693d28"/>
        </m:item>
        <m:item xlName="_GBC_5bbfbe5369f847b5a4af207d46c4306f" concept="clcid-pte:LiuDongFuZhaiHeJi" label="流动负债合计" mulRef="_GBC_d28e3b675fc048afb747681dc6d939c2" unitRef="_GBC_e3316f7d89b24ba1bb4a783fd180bf77" addr="T0R70C3S1_1" formatStyle="Comma" appId="_GBC_5ea888705f7c4c0f98e8769d2197c0de">
          <m:complexRule comparator="Eq" title="流动负债合计(调整数)" test=" $_GBC_ac229029fa314a52a9b196611bf06f11 +  $_GBC_317624156b00482f95afa46f243bd2b1 +  $_GBC_2d05854a8d274b99b93e412e3b2e420d +  $_GBC_a973da9a40ca4d0f9f49352c3cee73ef +  $_GBC_d718ae256b2940b9a9ee3f190cffa4a4 +  $_GBC_c3829925f9314603b1e3a6ac9b5a5462 +  $_GBC_20cdf36063a9444daa28a17833147d66 +  $_GBC_c3797111ed0a404eb9d5cf7c74460581 +  $_GBC_79cf61f4e15a4c629ed5306d68d0fd8a +  $_GBC_46530a3666f049ff8e3b7fe130e3ff8c +  $_GBC_dc9bccea97e74a76a2a8c129c03554a9 +  $_GBC_d8b85fe7489d4f88a032890fe228fe14 +  $_GBC_80767c1ecdde445cacc5e517080a6e93 +  $_GBC_191b7918e37548beb8b5ee08e81895e4 +  $_GBC_087e1e277a444256aa95cd2a66bbe942 +  $_GBC_a4bbc5f686444b0294a29febf4b89a12 +  $_GBC_8d5a8139a88341f292be2ca51ff41208 +  $_GBC_f5659078471b4f118172d1eed283b6b3 +  $_GBC_d5627c924b3f4e6f9a6761c49bf0eaf2 +  $_GBC_1061cd306b194a0f8822176033baac13 +  $_GBC_e58fcb33c84a4a50b347d86b4c628537" id="Cac4f136076df4f9e9e9514bff0f3d0e6"/>
          <m:axisValue occRef="调整数"/>
        </m:item>
        <m:placeholder xlName="_PLD_a08e21293f134b168255e7186cb648ba" addr="T0R71C0S1_4"/>
        <m:placeholder xlName="_PLD_4b1c734d983f434b821c521fc2870fe8" addr="T0R72C0S1_1"/>
        <m:item xlName="_GBC_261a0da93f944e0d980de913bcfb9e0b" concept="clcid-pte:BaoXianHeTongZhunBeiJin" label="保险合同准备金" periodRef="上年期末数" mulRef="_GBC_d28e3b675fc048afb747681dc6d939c2" unitRef="_GBC_e3316f7d89b24ba1bb4a783fd180bf77" addr="T0R72C1S1_1" formatStyle="Comma" appId="_GBC_5ea888705f7c4c0f98e8769d2197c0de"/>
        <m:item xlName="_GBC_2e3eb66067ee46a8bf6fcae420dc1f60" concept="clcid-pte:BaoXianHeTongZhunBeiJin" label="保险合同准备金" periodRef="本期期初数" mulRef="_GBC_d28e3b675fc048afb747681dc6d939c2" unitRef="_GBC_e3316f7d89b24ba1bb4a783fd180bf77" addr="T0R72C2S1_1" formatStyle="Comma" appId="_GBC_5ea888705f7c4c0f98e8769d2197c0de"/>
        <m:item xlName="_GBC_c872c6c9a687494c868fb536e792f7bb" concept="clcid-pte:BaoXianHeTongZhunBeiJin" label="保险合同准备金" mulRef="_GBC_d28e3b675fc048afb747681dc6d939c2" unitRef="_GBC_e3316f7d89b24ba1bb4a783fd180bf77" addr="T0R72C3S1_1" formatStyle="Comma" appId="_GBC_5ea888705f7c4c0f98e8769d2197c0de">
          <m:axisValue occRef="调整数"/>
        </m:item>
        <m:placeholder xlName="_PLD_1d1cee5b720049af960e79c80ab30479" addr="T0R73C0S1_1"/>
        <m:item xlName="_GBC_4158134243a34151ba7430f4f2e45b5c" concept="clcid-pte:ChangQiJieKuan" label="长期借款" periodRef="上年期末数" mulRef="_GBC_d28e3b675fc048afb747681dc6d939c2" unitRef="_GBC_e3316f7d89b24ba1bb4a783fd180bf77" addr="T0R73C1S1_1" formatStyle="Comma" appId="_GBC_5ea888705f7c4c0f98e8769d2197c0de"/>
        <m:item xlName="_GBC_98ab61992cf04c4198637079cbff01f8" concept="clcid-pte:ChangQiJieKuan" label="长期借款" periodRef="本期期初数" mulRef="_GBC_d28e3b675fc048afb747681dc6d939c2" unitRef="_GBC_e3316f7d89b24ba1bb4a783fd180bf77" addr="T0R73C2S1_1" formatStyle="Comma" appId="_GBC_5ea888705f7c4c0f98e8769d2197c0de"/>
        <m:item xlName="_GBC_54e2a889e3a14906a8003e2813a70aca" concept="clcid-pte:ChangQiJieKuan" label="长期借款" mulRef="_GBC_d28e3b675fc048afb747681dc6d939c2" unitRef="_GBC_e3316f7d89b24ba1bb4a783fd180bf77" addr="T0R73C3S1_1" formatStyle="Comma" appId="_GBC_5ea888705f7c4c0f98e8769d2197c0de">
          <m:axisValue occRef="调整数"/>
        </m:item>
        <m:placeholder xlName="_PLD_023f317ab6034563a761b5d2ed98eeae" addr="T0R74C0S1_1"/>
        <m:item xlName="_GBC_647a498fa3524a47b368032bf944aa65" concept="clcid-pte:YingFuZhaiQuan" label="应付债券" periodRef="上年期末数" mulRef="_GBC_d28e3b675fc048afb747681dc6d939c2" unitRef="_GBC_e3316f7d89b24ba1bb4a783fd180bf77" addr="T0R74C1S1_1" formatStyle="Comma" appId="_GBC_5ea888705f7c4c0f98e8769d2197c0de"/>
        <m:item xlName="_GBC_1ef8d0f9f3654184be074aa6380ecd77" concept="clcid-pte:YingFuZhaiQuan" label="应付债券" periodRef="本期期初数" mulRef="_GBC_d28e3b675fc048afb747681dc6d939c2" unitRef="_GBC_e3316f7d89b24ba1bb4a783fd180bf77" addr="T0R74C2S1_1" formatStyle="Comma" appId="_GBC_5ea888705f7c4c0f98e8769d2197c0de"/>
        <m:item xlName="_GBC_1eb79922a764412da79de42028510fe6" concept="clcid-pte:YingFuZhaiQuan" label="应付债券" mulRef="_GBC_d28e3b675fc048afb747681dc6d939c2" unitRef="_GBC_e3316f7d89b24ba1bb4a783fd180bf77" addr="T0R74C3S1_1" formatStyle="Comma" appId="_GBC_5ea888705f7c4c0f98e8769d2197c0de">
          <m:axisValue occRef="调整数"/>
        </m:item>
        <m:placeholder xlName="_PLD_3b3edb5f36134af39020a332792fb060" addr="T0R75C0S1_1"/>
        <m:item xlName="_GBC_a08eb71ac00042c08c0276b2ac140c96" concept="clcid-pte:QiZhongYouXianGu" label="其中：优先股" periodRef="上年期末数" mulRef="_GBC_d28e3b675fc048afb747681dc6d939c2" unitRef="_GBC_e3316f7d89b24ba1bb4a783fd180bf77" addr="T0R75C1S1_1" formatStyle="Comma" appId="_GBC_5ea888705f7c4c0f98e8769d2197c0de"/>
        <m:item xlName="_GBC_4e2c6a7a10ed456ea52be03d3e83a8bf" concept="clcid-pte:QiZhongYouXianGu" label="其中：优先股" periodRef="本期期初数" mulRef="_GBC_d28e3b675fc048afb747681dc6d939c2" unitRef="_GBC_e3316f7d89b24ba1bb4a783fd180bf77" addr="T0R75C2S1_1" formatStyle="Comma" appId="_GBC_5ea888705f7c4c0f98e8769d2197c0de"/>
        <m:item xlName="_GBC_3ee19ee3e1f1440ba3c2c82aa2d947e3" concept="clcid-pte:QiZhongYouXianGu" label="其中：优先股" mulRef="_GBC_d28e3b675fc048afb747681dc6d939c2" unitRef="_GBC_e3316f7d89b24ba1bb4a783fd180bf77" addr="T0R75C3S1_1" formatStyle="Comma" appId="_GBC_5ea888705f7c4c0f98e8769d2197c0de">
          <m:axisValue occRef="调整数"/>
        </m:item>
        <m:placeholder xlName="_PLD_d9d94d502e044d5c83dc48388d17f72c" addr="T0R76C0S1_1"/>
        <m:item xlName="_GBC_5717e48dab974a4787bb935fc8893b48" concept="clcid-pte:YongXuZhai" label="永续债" periodRef="上年期末数" mulRef="_GBC_d28e3b675fc048afb747681dc6d939c2" unitRef="_GBC_e3316f7d89b24ba1bb4a783fd180bf77" addr="T0R76C1S1_1" formatStyle="Comma" appId="_GBC_5ea888705f7c4c0f98e8769d2197c0de"/>
        <m:item xlName="_GBC_432d713e85f7433e9f8b7ecf81e600ac" concept="clcid-pte:YongXuZhai" label="永续债" periodRef="本期期初数" mulRef="_GBC_d28e3b675fc048afb747681dc6d939c2" unitRef="_GBC_e3316f7d89b24ba1bb4a783fd180bf77" addr="T0R76C2S1_1" formatStyle="Comma" appId="_GBC_5ea888705f7c4c0f98e8769d2197c0de"/>
        <m:item xlName="_GBC_e9b6b394c15244788cf30551573e2fdf" concept="clcid-pte:YongXuZhai" label="永续债" mulRef="_GBC_d28e3b675fc048afb747681dc6d939c2" unitRef="_GBC_e3316f7d89b24ba1bb4a783fd180bf77" addr="T0R76C3S1_1" formatStyle="Comma" appId="_GBC_5ea888705f7c4c0f98e8769d2197c0de">
          <m:axisValue occRef="调整数"/>
        </m:item>
        <m:placeholder xlName="_PLD_93d73c87b7e3475991fcc1cef4eb2477" addr="T0R77C0S1_1"/>
        <m:item xlName="_GBC_98c6df2f1e1c4f79b84303232f23aefc" concept="clcid-pte:ZuLinFuZhai" label="租赁负债" periodRef="上年期末数" mulRef="_GBC_d28e3b675fc048afb747681dc6d939c2" unitRef="_GBC_e3316f7d89b24ba1bb4a783fd180bf77" addr="T0R77C1S1_1" formatStyle="Comma" appId="_GBC_5ea888705f7c4c0f98e8769d2197c0de"/>
        <m:item xlName="_GBC_60e657d177854dda9dd640b40e086595" concept="clcid-pte:ZuLinFuZhai" label="租赁负债" periodRef="本期期初数" mulRef="_GBC_d28e3b675fc048afb747681dc6d939c2" unitRef="_GBC_e3316f7d89b24ba1bb4a783fd180bf77" addr="T0R77C2S1_1" formatStyle="Comma" appId="_GBC_5ea888705f7c4c0f98e8769d2197c0de"/>
        <m:item xlName="_GBC_fa682e3fe2aa460a99108f7964dfac11" concept="clcid-pte:ZuLinFuZhai" label="租赁负债" mulRef="_GBC_d28e3b675fc048afb747681dc6d939c2" unitRef="_GBC_e3316f7d89b24ba1bb4a783fd180bf77" addr="T0R77C3S1_1" formatStyle="Comma" appId="_GBC_5ea888705f7c4c0f98e8769d2197c0de">
          <m:axisValue occRef="调整数"/>
        </m:item>
        <m:placeholder xlName="_PLD_543dfbcc13f7467bbe938ed47fd08f27" addr="T0R78C0S1_1"/>
        <m:item xlName="_GBC_36add380294b4262b889495537577cab" concept="clcid-pte:ChangQiYingFuKuan" label="长期应付款" periodRef="上年期末数" mulRef="_GBC_d28e3b675fc048afb747681dc6d939c2" unitRef="_GBC_e3316f7d89b24ba1bb4a783fd180bf77" addr="T0R78C1S1_1" formatStyle="Comma" appId="_GBC_5ea888705f7c4c0f98e8769d2197c0de"/>
        <m:item xlName="_GBC_811fb7de8b7741fdae0fa0244cb90489" concept="clcid-pte:ChangQiYingFuKuan" label="长期应付款" periodRef="本期期初数" mulRef="_GBC_d28e3b675fc048afb747681dc6d939c2" unitRef="_GBC_e3316f7d89b24ba1bb4a783fd180bf77" addr="T0R78C2S1_1" formatStyle="Comma" appId="_GBC_5ea888705f7c4c0f98e8769d2197c0de"/>
        <m:item xlName="_GBC_cfb1a8f1ec9c47389ce72d693d221db8" concept="clcid-pte:ChangQiYingFuKuan" label="长期应付款" mulRef="_GBC_d28e3b675fc048afb747681dc6d939c2" unitRef="_GBC_e3316f7d89b24ba1bb4a783fd180bf77" addr="T0R78C3S1_1" formatStyle="Comma" appId="_GBC_5ea888705f7c4c0f98e8769d2197c0de">
          <m:axisValue occRef="调整数"/>
        </m:item>
        <m:placeholder xlName="_PLD_247910bb42db46d9bbfa7a6ba34ed159" addr="T0R79C0S1_1"/>
        <m:item xlName="_GBC_5873592bee6b4d21b4a7c870af113ad2" concept="clcid-pte:ChangQiYingFuZhiGongXinChou" label="长期应付职工薪酬" periodRef="上年期末数" mulRef="_GBC_d28e3b675fc048afb747681dc6d939c2" unitRef="_GBC_e3316f7d89b24ba1bb4a783fd180bf77" addr="T0R79C1S1_1" formatStyle="Comma" appId="_GBC_5ea888705f7c4c0f98e8769d2197c0de"/>
        <m:item xlName="_GBC_ffa59e9a7f604552bfe456b8ec42ee3a" concept="clcid-pte:ChangQiYingFuZhiGongXinChou" label="长期应付职工薪酬" periodRef="本期期初数" mulRef="_GBC_d28e3b675fc048afb747681dc6d939c2" unitRef="_GBC_e3316f7d89b24ba1bb4a783fd180bf77" addr="T0R79C2S1_1" formatStyle="Comma" appId="_GBC_5ea888705f7c4c0f98e8769d2197c0de"/>
        <m:item xlName="_GBC_7c41b328c09043daa1053b906edb0641" concept="clcid-pte:ChangQiYingFuZhiGongXinChou" label="长期应付职工薪酬" mulRef="_GBC_d28e3b675fc048afb747681dc6d939c2" unitRef="_GBC_e3316f7d89b24ba1bb4a783fd180bf77" addr="T0R79C3S1_1" formatStyle="Comma" appId="_GBC_5ea888705f7c4c0f98e8769d2197c0de">
          <m:axisValue occRef="调整数"/>
        </m:item>
        <m:placeholder xlName="_PLD_4b983db901be4c5b82741ed5d0c63202" addr="T0R80C0S1_1"/>
        <m:item xlName="_GBC_6e6767f7b68646528c08ac4db8c580e2" concept="clcid-pte:YuJiFuZhai" label="预计负债" periodRef="上年期末数" mulRef="_GBC_d28e3b675fc048afb747681dc6d939c2" unitRef="_GBC_e3316f7d89b24ba1bb4a783fd180bf77" addr="T0R80C1S1_1" formatStyle="Comma" appId="_GBC_5ea888705f7c4c0f98e8769d2197c0de"/>
        <m:item xlName="_GBC_2431cd90a437487ab191cf0ed762072e" concept="clcid-pte:YuJiFuZhai" label="预计负债" periodRef="本期期初数" mulRef="_GBC_d28e3b675fc048afb747681dc6d939c2" unitRef="_GBC_e3316f7d89b24ba1bb4a783fd180bf77" addr="T0R80C2S1_1" formatStyle="Comma" appId="_GBC_5ea888705f7c4c0f98e8769d2197c0de"/>
        <m:item xlName="_GBC_28595d7eb9f548608ba5279bbffcd604" concept="clcid-pte:YuJiFuZhai" label="预计负债" mulRef="_GBC_d28e3b675fc048afb747681dc6d939c2" unitRef="_GBC_e3316f7d89b24ba1bb4a783fd180bf77" addr="T0R80C3S1_1" formatStyle="Comma" appId="_GBC_5ea888705f7c4c0f98e8769d2197c0de">
          <m:axisValue occRef="调整数"/>
        </m:item>
        <m:placeholder xlName="_PLD_3166959a76864d06b969fe5246da4a21" addr="T0R81C0S1_1"/>
        <m:item xlName="_GBC_af367785428d445b88b008836cc13c10" concept="clcid-pte:DiYanShouYi" label="递延收益" periodRef="上年期末数" mulRef="_GBC_d28e3b675fc048afb747681dc6d939c2" unitRef="_GBC_e3316f7d89b24ba1bb4a783fd180bf77" addr="T0R81C1S1_1" formatStyle="Comma" appId="_GBC_5ea888705f7c4c0f98e8769d2197c0de"/>
        <m:item xlName="_GBC_2bf71a7e3a3f44abb4db1c33f42c0d4d" concept="clcid-pte:DiYanShouYi" label="递延收益" periodRef="本期期初数" mulRef="_GBC_d28e3b675fc048afb747681dc6d939c2" unitRef="_GBC_e3316f7d89b24ba1bb4a783fd180bf77" addr="T0R81C2S1_1" formatStyle="Comma" appId="_GBC_5ea888705f7c4c0f98e8769d2197c0de"/>
        <m:item xlName="_GBC_d17ad5d3f8db43808e9c7e1609fb2f4f" concept="clcid-pte:DiYanShouYi" label="递延收益" mulRef="_GBC_d28e3b675fc048afb747681dc6d939c2" unitRef="_GBC_e3316f7d89b24ba1bb4a783fd180bf77" addr="T0R81C3S1_1" formatStyle="Comma" appId="_GBC_5ea888705f7c4c0f98e8769d2197c0de">
          <m:axisValue occRef="调整数"/>
        </m:item>
        <m:placeholder xlName="_PLD_60af60b77da940acae56c08bb05a1240" addr="T0R82C0S1_1"/>
        <m:item xlName="_GBC_0d3a12c85eb444eca54a8123d54e7dcf" concept="clcid-pte:DiYanShuiKuanDaiXiangHeJi" label="递延税款贷项合计" periodRef="上年期末数" mulRef="_GBC_d28e3b675fc048afb747681dc6d939c2" unitRef="_GBC_e3316f7d89b24ba1bb4a783fd180bf77" addr="T0R82C1S1_1" formatStyle="Comma" appId="_GBC_5ea888705f7c4c0f98e8769d2197c0de"/>
        <m:item xlName="_GBC_2233c421c55f41658fb8858f1c616ac9" concept="clcid-pte:DiYanShuiKuanDaiXiangHeJi" label="递延税款贷项合计" periodRef="本期期初数" mulRef="_GBC_d28e3b675fc048afb747681dc6d939c2" unitRef="_GBC_e3316f7d89b24ba1bb4a783fd180bf77" addr="T0R82C2S1_1" formatStyle="Comma" appId="_GBC_5ea888705f7c4c0f98e8769d2197c0de"/>
        <m:item xlName="_GBC_c934a2bb4c8a4c538062a16e8785b754" concept="clcid-pte:DiYanShuiKuanDaiXiangHeJi" label="递延税款贷项合计" mulRef="_GBC_d28e3b675fc048afb747681dc6d939c2" unitRef="_GBC_e3316f7d89b24ba1bb4a783fd180bf77" addr="T0R82C3S1_1" formatStyle="Comma" appId="_GBC_5ea888705f7c4c0f98e8769d2197c0de">
          <m:axisValue occRef="调整数"/>
        </m:item>
        <m:placeholder xlName="_PLD_ab4f0b1cb85d41959d54d3d841246bca" addr="T0R83C0S1_1"/>
        <m:item xlName="_GBC_a29f17e9cb2b4469bca6cc782bc44548" concept="clcid-pte:QiTaChangQiFuZhai" label="其他长期负债" periodRef="上年期末数" mulRef="_GBC_d28e3b675fc048afb747681dc6d939c2" unitRef="_GBC_e3316f7d89b24ba1bb4a783fd180bf77" addr="T0R83C1S1_1" formatStyle="Comma" appId="_GBC_5ea888705f7c4c0f98e8769d2197c0de"/>
        <m:item xlName="_GBC_5fac086c7fe142b189010c169903705c" concept="clcid-pte:QiTaChangQiFuZhai" label="其他长期负债" periodRef="本期期初数" mulRef="_GBC_d28e3b675fc048afb747681dc6d939c2" unitRef="_GBC_e3316f7d89b24ba1bb4a783fd180bf77" addr="T0R83C2S1_1" formatStyle="Comma" appId="_GBC_5ea888705f7c4c0f98e8769d2197c0de"/>
        <m:item xlName="_GBC_556b4bf9381c461a901f5c1b96b7f0c2" concept="clcid-pte:QiTaChangQiFuZhai" label="其他长期负债" mulRef="_GBC_d28e3b675fc048afb747681dc6d939c2" unitRef="_GBC_e3316f7d89b24ba1bb4a783fd180bf77" addr="T0R83C3S1_1" formatStyle="Comma" appId="_GBC_5ea888705f7c4c0f98e8769d2197c0de">
          <m:axisValue occRef="调整数"/>
        </m:item>
        <m:placeholder xlName="_PLD_70c7b2aa7d7a4f77a7e65d8722de302c" addr="T0R84C0S1_1"/>
        <m:item xlName="_GBC_bcca34a8a616485daa93027ae181455f" concept="clcid-pte:ChangQiFuZhaiHeJi" label="长期负债合计" periodRef="上年期末数" mulRef="_GBC_d28e3b675fc048afb747681dc6d939c2" unitRef="_GBC_e3316f7d89b24ba1bb4a783fd180bf77" addr="T0R84C1S1_1" formatStyle="Comma" appId="_GBC_5ea888705f7c4c0f98e8769d2197c0de">
          <m:complexRule comparator="Eq" title="长期负债合计" test=" $_GBC_261a0da93f944e0d980de913bcfb9e0b +  $_GBC_4158134243a34151ba7430f4f2e45b5c +  $_GBC_647a498fa3524a47b368032bf944aa65 +  $_GBC_36add380294b4262b889495537577cab +  $_GBC_6e6767f7b68646528c08ac4db8c580e2 +  $_GBC_98c6df2f1e1c4f79b84303232f23aefc +  $_GBC_0d3a12c85eb444eca54a8123d54e7dcf +  $_GBC_a29f17e9cb2b4469bca6cc782bc44548 +  $_GBC_af367785428d445b88b008836cc13c10 +  $_GBC_5873592bee6b4d21b4a7c870af113ad2" id="C65fe01939b4f43a790b2a6bd2b357be1"/>
        </m:item>
        <m:item xlName="_GBC_f761f18af1ef4dd0bbd16e3267a50a7b" concept="clcid-pte:ChangQiFuZhaiHeJi" label="长期负债合计" periodRef="本期期初数" mulRef="_GBC_d28e3b675fc048afb747681dc6d939c2" unitRef="_GBC_e3316f7d89b24ba1bb4a783fd180bf77" addr="T0R84C2S1_1" formatStyle="Comma" appId="_GBC_5ea888705f7c4c0f98e8769d2197c0de">
          <m:complexRule comparator="Eq" title="长期负债合计@本期期初数" test=" $_GBC_2e3eb66067ee46a8bf6fcae420dc1f60 +  $_GBC_98ab61992cf04c4198637079cbff01f8 +  $_GBC_1ef8d0f9f3654184be074aa6380ecd77 +  $_GBC_811fb7de8b7741fdae0fa0244cb90489 +  $_GBC_2431cd90a437487ab191cf0ed762072e +  $_GBC_60e657d177854dda9dd640b40e086595 +  $_GBC_2233c421c55f41658fb8858f1c616ac9 +  $_GBC_5fac086c7fe142b189010c169903705c +  $_GBC_2bf71a7e3a3f44abb4db1c33f42c0d4d +  $_GBC_ffa59e9a7f604552bfe456b8ec42ee3a" id="Cda6feae8d2994b7f8ca6844a7389ba70"/>
        </m:item>
        <m:item xlName="_GBC_8d340a08faa84454bff6a821c1e27adc" concept="clcid-pte:ChangQiFuZhaiHeJi" label="长期负债合计" mulRef="_GBC_d28e3b675fc048afb747681dc6d939c2" unitRef="_GBC_e3316f7d89b24ba1bb4a783fd180bf77" addr="T0R84C3S1_1" formatStyle="Comma" appId="_GBC_5ea888705f7c4c0f98e8769d2197c0de">
          <m:complexRule comparator="Eq" title="长期负债合计(调整数)" test=" $_GBC_c872c6c9a687494c868fb536e792f7bb +  $_GBC_54e2a889e3a14906a8003e2813a70aca +  $_GBC_1eb79922a764412da79de42028510fe6 +  $_GBC_cfb1a8f1ec9c47389ce72d693d221db8 +  $_GBC_7c41b328c09043daa1053b906edb0641 +  $_GBC_28595d7eb9f548608ba5279bbffcd604 +  $_GBC_fa682e3fe2aa460a99108f7964dfac11 +  $_GBC_d17ad5d3f8db43808e9c7e1609fb2f4f +  $_GBC_c934a2bb4c8a4c538062a16e8785b754 +  $_GBC_556b4bf9381c461a901f5c1b96b7f0c2" id="C6d0386bcafe040dbabb1c1f8cccf3d44"/>
          <m:axisValue occRef="调整数"/>
        </m:item>
        <m:placeholder xlName="_PLD_b5b63f46391c494fa54363a343e3a61a" addr="T0R85C0S1_1"/>
        <m:item xlName="_GBC_b776363b31514154ad2aef776e6ca993" concept="clcid-pte:FuZhaiHeJi" label="负债合计" periodRef="上年期末数" mulRef="_GBC_d28e3b675fc048afb747681dc6d939c2" unitRef="_GBC_e3316f7d89b24ba1bb4a783fd180bf77" addr="T0R85C1S1_1" formatStyle="Comma" appId="_GBC_5ea888705f7c4c0f98e8769d2197c0de">
          <m:complexRule comparator="Eq" title="负债合计" test=" $_GBC_6e409cd0deda411ebc62ef9da0ad49d5 +  $_GBC_bcca34a8a616485daa93027ae181455f" id="C6c4196ee5a0549db8e511456e8d586e0"/>
        </m:item>
        <m:item xlName="_GBC_93d39d75a242473e8a48e612a19cf74b" concept="clcid-pte:FuZhaiHeJi" label="负债合计" periodRef="本期期初数" mulRef="_GBC_d28e3b675fc048afb747681dc6d939c2" unitRef="_GBC_e3316f7d89b24ba1bb4a783fd180bf77" addr="T0R85C2S1_1" formatStyle="Comma" appId="_GBC_5ea888705f7c4c0f98e8769d2197c0de">
          <m:complexRule comparator="Eq" title="负债合计@本期期初数" test=" $_GBC_052fabb0632d4eda9f1b98589d5e442d +  $_GBC_f761f18af1ef4dd0bbd16e3267a50a7b" id="Ced6575b7d04544b0931a03018acd3441"/>
        </m:item>
        <m:item xlName="_GBC_7d29c7c4fa3640bba8a63739a7b9d36e" concept="clcid-pte:FuZhaiHeJi" label="负债合计" mulRef="_GBC_d28e3b675fc048afb747681dc6d939c2" unitRef="_GBC_e3316f7d89b24ba1bb4a783fd180bf77" addr="T0R85C3S1_1" formatStyle="Comma" appId="_GBC_5ea888705f7c4c0f98e8769d2197c0de">
          <m:complexRule comparator="Eq" title="负债合计(调整数)" test=" $_GBC_5bbfbe5369f847b5a4af207d46c4306f +  $_GBC_8d340a08faa84454bff6a821c1e27adc" id="C7af924537c124887a71d236d8c859b54"/>
          <m:axisValue occRef="调整数"/>
        </m:item>
        <m:placeholder xlName="_PLD_e8b17808d1b64bcb8659e50a22f17c53" addr="T0R86C0S1_4"/>
        <m:placeholder xlName="_PLD_9010fa9626ed4c1786f7a701883f8faf" addr="T0R87C0S1_1"/>
        <m:item xlName="_GBC_f5e8acb1bc124be486f7613349033cfb" concept="clcid-pte:GuBen" label="股本" periodRef="上年期末数" mulRef="_GBC_d28e3b675fc048afb747681dc6d939c2" unitRef="_GBC_e3316f7d89b24ba1bb4a783fd180bf77" addr="T0R87C1S1_1" formatStyle="Comma" appId="_GBC_5ea888705f7c4c0f98e8769d2197c0de"/>
        <m:item xlName="_GBC_27d8955d34d2457b8e5100aa17520ab9" concept="clcid-pte:GuBen" label="股本" periodRef="本期期初数" mulRef="_GBC_d28e3b675fc048afb747681dc6d939c2" unitRef="_GBC_e3316f7d89b24ba1bb4a783fd180bf77" addr="T0R87C2S1_1" formatStyle="Comma" appId="_GBC_5ea888705f7c4c0f98e8769d2197c0de"/>
        <m:item xlName="_GBC_5cb631e6f0644f078fef55b9c92a5777" concept="clcid-pte:GuBen" label="股本" mulRef="_GBC_d28e3b675fc048afb747681dc6d939c2" unitRef="_GBC_e3316f7d89b24ba1bb4a783fd180bf77" addr="T0R87C3S1_1" formatStyle="Comma" appId="_GBC_5ea888705f7c4c0f98e8769d2197c0de">
          <m:axisValue occRef="调整数"/>
        </m:item>
        <m:placeholder xlName="_PLD_01098027632846aa9c0c57ce79714549" addr="T0R88C0S1_1"/>
        <m:item xlName="_GBC_570d27736cca471493be878ffcfe313d" concept="clcid-pte:QiTaQuanYiGongJu" label="其他权益工具" periodRef="上年期末数" mulRef="_GBC_d28e3b675fc048afb747681dc6d939c2" unitRef="_GBC_e3316f7d89b24ba1bb4a783fd180bf77" addr="T0R88C1S1_1" formatStyle="Comma" appId="_GBC_5ea888705f7c4c0f98e8769d2197c0de"/>
        <m:item xlName="_GBC_0a214afb85324ecb97e02113a4d544e0" concept="clcid-pte:QiTaQuanYiGongJu" label="其他权益工具" periodRef="本期期初数" mulRef="_GBC_d28e3b675fc048afb747681dc6d939c2" unitRef="_GBC_e3316f7d89b24ba1bb4a783fd180bf77" addr="T0R88C2S1_1" formatStyle="Comma" appId="_GBC_5ea888705f7c4c0f98e8769d2197c0de"/>
        <m:item xlName="_GBC_98b313ff8a114ba29d869a9b23298ff5" concept="clcid-pte:QiTaQuanYiGongJu" label="其他权益工具" mulRef="_GBC_d28e3b675fc048afb747681dc6d939c2" unitRef="_GBC_e3316f7d89b24ba1bb4a783fd180bf77" addr="T0R88C3S1_1" formatStyle="Comma" appId="_GBC_5ea888705f7c4c0f98e8769d2197c0de">
          <m:axisValue occRef="调整数"/>
        </m:item>
        <m:placeholder xlName="_PLD_576e62fa6e5a4609989bccbe014f951c" addr="T0R89C0S1_1"/>
        <m:item xlName="_GBC_8703e7a9564b44d3beeae4aeab306a07" concept="clcid-pte:QiTaQuanYiGongJuQiZhongYouXianGu" label="其他权益工具-其中：优先股" periodRef="上年期末数" mulRef="_GBC_d28e3b675fc048afb747681dc6d939c2" unitRef="_GBC_e3316f7d89b24ba1bb4a783fd180bf77" addr="T0R89C1S1_1" formatStyle="Comma" appId="_GBC_5ea888705f7c4c0f98e8769d2197c0de"/>
        <m:item xlName="_GBC_8674af8c5a644b2c9d8e9259d4c20416" concept="clcid-pte:QiTaQuanYiGongJuQiZhongYouXianGu" label="其他权益工具-其中：优先股" periodRef="本期期初数" mulRef="_GBC_d28e3b675fc048afb747681dc6d939c2" unitRef="_GBC_e3316f7d89b24ba1bb4a783fd180bf77" addr="T0R89C2S1_1" formatStyle="Comma" appId="_GBC_5ea888705f7c4c0f98e8769d2197c0de"/>
        <m:item xlName="_GBC_14cf5f3dd4394edbab85e90d58bd15db" concept="clcid-pte:QiTaQuanYiGongJuQiZhongYouXianGu" label="其他权益工具-其中：优先股" mulRef="_GBC_d28e3b675fc048afb747681dc6d939c2" unitRef="_GBC_e3316f7d89b24ba1bb4a783fd180bf77" addr="T0R89C3S1_1" formatStyle="Comma" appId="_GBC_5ea888705f7c4c0f98e8769d2197c0de">
          <m:axisValue occRef="调整数"/>
        </m:item>
        <m:placeholder xlName="_PLD_d231468da9dc4ca99a885c73ca1d80e6" addr="T0R90C0S1_1"/>
        <m:item xlName="_GBC_c2bf99080ba543779d3ff3c4872494fa" concept="clcid-pte:QiTaQuanYiGongJuYongXuZhai" label="其他权益工具-永续债" periodRef="上年期末数" mulRef="_GBC_d28e3b675fc048afb747681dc6d939c2" unitRef="_GBC_e3316f7d89b24ba1bb4a783fd180bf77" addr="T0R90C1S1_1" formatStyle="Comma" appId="_GBC_5ea888705f7c4c0f98e8769d2197c0de"/>
        <m:item xlName="_GBC_ab4a7339ac1c4d22b6451bb5ee1758d8" concept="clcid-pte:QiTaQuanYiGongJuYongXuZhai" label="其他权益工具-永续债" periodRef="本期期初数" mulRef="_GBC_d28e3b675fc048afb747681dc6d939c2" unitRef="_GBC_e3316f7d89b24ba1bb4a783fd180bf77" addr="T0R90C2S1_1" formatStyle="Comma" appId="_GBC_5ea888705f7c4c0f98e8769d2197c0de"/>
        <m:item xlName="_GBC_9dbf0991c2974f6994920d5b2993378b" concept="clcid-pte:QiTaQuanYiGongJuYongXuZhai" label="其他权益工具-永续债" mulRef="_GBC_d28e3b675fc048afb747681dc6d939c2" unitRef="_GBC_e3316f7d89b24ba1bb4a783fd180bf77" addr="T0R90C3S1_1" formatStyle="Comma" appId="_GBC_5ea888705f7c4c0f98e8769d2197c0de">
          <m:axisValue occRef="调整数"/>
        </m:item>
        <m:placeholder xlName="_PLD_67b70496c75d40f19a3cf648170a89dc" addr="T0R91C0S1_1"/>
        <m:item xlName="_GBC_d2dd060e15834f3c83e00c5d6d082832" concept="clcid-pte:ZiBenGongJi" label="资本公积" periodRef="上年期末数" mulRef="_GBC_d28e3b675fc048afb747681dc6d939c2" unitRef="_GBC_e3316f7d89b24ba1bb4a783fd180bf77" addr="T0R91C1S1_1" formatStyle="Comma" appId="_GBC_5ea888705f7c4c0f98e8769d2197c0de"/>
        <m:item xlName="_GBC_2aa70390a28740c286dbd6f43f84f2c8" concept="clcid-pte:ZiBenGongJi" label="资本公积" periodRef="本期期初数" mulRef="_GBC_d28e3b675fc048afb747681dc6d939c2" unitRef="_GBC_e3316f7d89b24ba1bb4a783fd180bf77" addr="T0R91C2S1_1" formatStyle="Comma" appId="_GBC_5ea888705f7c4c0f98e8769d2197c0de"/>
        <m:item xlName="_GBC_70e72686b5804f85a2db0de3789decdd" concept="clcid-pte:ZiBenGongJi" label="资本公积" mulRef="_GBC_d28e3b675fc048afb747681dc6d939c2" unitRef="_GBC_e3316f7d89b24ba1bb4a783fd180bf77" addr="T0R91C3S1_1" formatStyle="Comma" appId="_GBC_5ea888705f7c4c0f98e8769d2197c0de">
          <m:axisValue occRef="调整数"/>
        </m:item>
        <m:placeholder xlName="_PLD_0ecc8c5ac5f64e66aae115c103be5d27" addr="T0R92C0S1_1"/>
        <m:item xlName="_GBC_b37e918ba7054f6c995389d3dfd3fef0" concept="clcid-pte:KuCunGu" label="库存股" periodRef="上年期末数" mulRef="_GBC_d28e3b675fc048afb747681dc6d939c2" unitRef="_GBC_e3316f7d89b24ba1bb4a783fd180bf77" addr="T0R92C1S1_1" formatStyle="Comma" appId="_GBC_5ea888705f7c4c0f98e8769d2197c0de"/>
        <m:item xlName="_GBC_334c4214833c44b787916b406f9ba24e" concept="clcid-pte:KuCunGu" label="库存股" periodRef="本期期初数" mulRef="_GBC_d28e3b675fc048afb747681dc6d939c2" unitRef="_GBC_e3316f7d89b24ba1bb4a783fd180bf77" addr="T0R92C2S1_1" formatStyle="Comma" appId="_GBC_5ea888705f7c4c0f98e8769d2197c0de"/>
        <m:item xlName="_GBC_1b878300347d46a686d84c55fd0049e2" concept="clcid-pte:KuCunGu" label="库存股" mulRef="_GBC_d28e3b675fc048afb747681dc6d939c2" unitRef="_GBC_e3316f7d89b24ba1bb4a783fd180bf77" addr="T0R92C3S1_1" formatStyle="Comma" appId="_GBC_5ea888705f7c4c0f98e8769d2197c0de">
          <m:axisValue occRef="调整数"/>
        </m:item>
        <m:placeholder xlName="_PLD_f8576e43e2ba482da272b161656c0523" addr="T0R93C0S1_1"/>
        <m:item xlName="_GBC_0d70a99476fe4821870aaa178ebe2fda" concept="clcid-pte:QiTaZongHeShouYiZiChanFuZhaiBiaoXiangMu" label="其他综合收益（资产负债表项目）" periodRef="上年期末数" mulRef="_GBC_d28e3b675fc048afb747681dc6d939c2" unitRef="_GBC_e3316f7d89b24ba1bb4a783fd180bf77" addr="T0R93C1S1_1" formatStyle="Comma" appId="_GBC_5ea888705f7c4c0f98e8769d2197c0de"/>
        <m:item xlName="_GBC_f6f75c0bcb6e411e850adc6e8c69d4fb" concept="clcid-pte:QiTaZongHeShouYiZiChanFuZhaiBiaoXiangMu" label="其他综合收益（资产负债表项目）" periodRef="本期期初数" mulRef="_GBC_d28e3b675fc048afb747681dc6d939c2" unitRef="_GBC_e3316f7d89b24ba1bb4a783fd180bf77" addr="T0R93C2S1_1" formatStyle="Comma" appId="_GBC_5ea888705f7c4c0f98e8769d2197c0de"/>
        <m:item xlName="_GBC_2f430818e1174116ae55b6c90d9d4a6d" concept="clcid-pte:QiTaZongHeShouYiZiChanFuZhaiBiaoXiangMu" label="其他综合收益（资产负债表项目）" mulRef="_GBC_d28e3b675fc048afb747681dc6d939c2" unitRef="_GBC_e3316f7d89b24ba1bb4a783fd180bf77" addr="T0R93C3S1_1" formatStyle="Comma" appId="_GBC_5ea888705f7c4c0f98e8769d2197c0de">
          <m:axisValue occRef="调整数"/>
        </m:item>
        <m:placeholder xlName="_PLD_4012b20126624690826c37f7fe5375f3" addr="T0R94C0S1_1"/>
        <m:item xlName="_GBC_bd65fae99943417294c56baf75daadff" concept="clcid-pte:ZhuanXiangChuBei" label="专项储备" periodRef="上年期末数" mulRef="_GBC_d28e3b675fc048afb747681dc6d939c2" unitRef="_GBC_e3316f7d89b24ba1bb4a783fd180bf77" addr="T0R94C1S1_1" formatStyle="Comma" appId="_GBC_5ea888705f7c4c0f98e8769d2197c0de"/>
        <m:item xlName="_GBC_49093eec6d7f4681b73939613fdca294" concept="clcid-pte:ZhuanXiangChuBei" label="专项储备" periodRef="本期期初数" mulRef="_GBC_d28e3b675fc048afb747681dc6d939c2" unitRef="_GBC_e3316f7d89b24ba1bb4a783fd180bf77" addr="T0R94C2S1_1" formatStyle="Comma" appId="_GBC_5ea888705f7c4c0f98e8769d2197c0de"/>
        <m:item xlName="_GBC_bd2cc45a237847a586e30bf56b221bb2" concept="clcid-pte:ZhuanXiangChuBei" label="专项储备" mulRef="_GBC_d28e3b675fc048afb747681dc6d939c2" unitRef="_GBC_e3316f7d89b24ba1bb4a783fd180bf77" addr="T0R94C3S1_1" formatStyle="Comma" appId="_GBC_5ea888705f7c4c0f98e8769d2197c0de">
          <m:axisValue occRef="调整数"/>
        </m:item>
        <m:placeholder xlName="_PLD_f00af6e50b2746e6a098293b64c1d537" addr="T0R95C0S1_1"/>
        <m:item xlName="_GBC_43a4140f3a76484596d8d0145b926ab4" concept="clcid-pte:YingYuGongJi" label="盈余公积" periodRef="上年期末数" mulRef="_GBC_d28e3b675fc048afb747681dc6d939c2" unitRef="_GBC_e3316f7d89b24ba1bb4a783fd180bf77" addr="T0R95C1S1_1" formatStyle="Comma" appId="_GBC_5ea888705f7c4c0f98e8769d2197c0de"/>
        <m:item xlName="_GBC_a1708d5b95e54da99868f68a408a7dc7" concept="clcid-pte:YingYuGongJi" label="盈余公积" periodRef="本期期初数" mulRef="_GBC_d28e3b675fc048afb747681dc6d939c2" unitRef="_GBC_e3316f7d89b24ba1bb4a783fd180bf77" addr="T0R95C2S1_1" formatStyle="Comma" appId="_GBC_5ea888705f7c4c0f98e8769d2197c0de"/>
        <m:item xlName="_GBC_01d5e0b941e04c2e9ca33f5279a0d091" concept="clcid-pte:YingYuGongJi" label="盈余公积" mulRef="_GBC_d28e3b675fc048afb747681dc6d939c2" unitRef="_GBC_e3316f7d89b24ba1bb4a783fd180bf77" addr="T0R95C3S1_1" formatStyle="Comma" appId="_GBC_5ea888705f7c4c0f98e8769d2197c0de">
          <m:axisValue occRef="调整数"/>
        </m:item>
        <m:placeholder xlName="_PLD_2675126dfcc04ee595fa740c9e46f1b6" addr="T0R96C0S1_1"/>
        <m:item xlName="_GBC_bb488e1c603642a6afb1fb52c99c54db" concept="clcid-pte:YiBanFengXianZhunBei" label="一般风险准备" periodRef="上年期末数" mulRef="_GBC_d28e3b675fc048afb747681dc6d939c2" unitRef="_GBC_e3316f7d89b24ba1bb4a783fd180bf77" addr="T0R96C1S1_1" formatStyle="Comma" appId="_GBC_5ea888705f7c4c0f98e8769d2197c0de"/>
        <m:item xlName="_GBC_d5917144ed4649e293a40232b5226dd6" concept="clcid-pte:YiBanFengXianZhunBei" label="一般风险准备" periodRef="本期期初数" mulRef="_GBC_d28e3b675fc048afb747681dc6d939c2" unitRef="_GBC_e3316f7d89b24ba1bb4a783fd180bf77" addr="T0R96C2S1_1" formatStyle="Comma" appId="_GBC_5ea888705f7c4c0f98e8769d2197c0de"/>
        <m:item xlName="_GBC_5030f64791174841a5eda47c667b6bfd" concept="clcid-pte:YiBanFengXianZhunBei" label="一般风险准备" mulRef="_GBC_d28e3b675fc048afb747681dc6d939c2" unitRef="_GBC_e3316f7d89b24ba1bb4a783fd180bf77" addr="T0R96C3S1_1" formatStyle="Comma" appId="_GBC_5ea888705f7c4c0f98e8769d2197c0de">
          <m:axisValue occRef="调整数"/>
        </m:item>
        <m:placeholder xlName="_PLD_69e49e8e03b24f49a4f7055dd6cfe7af" addr="T0R97C0S1_1"/>
        <m:item xlName="_GBC_f5aba0915ea34e859673dda896f483c2" concept="clcid-pte:WeiFenPeiLiRun" label="未分配利润" periodRef="上年期末数" mulRef="_GBC_d28e3b675fc048afb747681dc6d939c2" unitRef="_GBC_e3316f7d89b24ba1bb4a783fd180bf77" addr="T0R97C1S1_1" formatStyle="Comma" appId="_GBC_5ea888705f7c4c0f98e8769d2197c0de"/>
        <m:item xlName="_GBC_511758cc692c41a4b7df13656ba4fc88" concept="clcid-pte:WeiFenPeiLiRun" label="未分配利润" periodRef="本期期初数" mulRef="_GBC_d28e3b675fc048afb747681dc6d939c2" unitRef="_GBC_e3316f7d89b24ba1bb4a783fd180bf77" addr="T0R97C2S1_1" formatStyle="Comma" appId="_GBC_5ea888705f7c4c0f98e8769d2197c0de"/>
        <m:item xlName="_GBC_1664fbc9f14e4ddea0290f8205a7fbd1" concept="clcid-pte:WeiFenPeiLiRun" label="未分配利润" mulRef="_GBC_d28e3b675fc048afb747681dc6d939c2" unitRef="_GBC_e3316f7d89b24ba1bb4a783fd180bf77" addr="T0R97C3S1_1" formatStyle="Comma" appId="_GBC_5ea888705f7c4c0f98e8769d2197c0de">
          <m:axisValue occRef="调整数"/>
        </m:item>
        <m:placeholder xlName="_PLD_51025073495f439fbd66352253d45d1a" addr="T0R98C0S1_1"/>
        <m:item xlName="_GBC_4cbbf22a79ad4d00914758dcaea5a50a" concept="clcid-pte:GuiShuYuMuGongSiSuoYouZheQuanYiHeJi" label="归属于母公司所有者权益合计" periodRef="上年期末数" mulRef="_GBC_d28e3b675fc048afb747681dc6d939c2" unitRef="_GBC_e3316f7d89b24ba1bb4a783fd180bf77" addr="T0R98C1S1_1" formatStyle="Comma" appId="_GBC_5ea888705f7c4c0f98e8769d2197c0de">
          <m:complexRule comparator="Eq" title="归属于母公司所有者权益合计" test=" $_GBC_f5e8acb1bc124be486f7613349033cfb +  $_GBC_d2dd060e15834f3c83e00c5d6d082832 -  $_GBC_b37e918ba7054f6c995389d3dfd3fef0 +  $_GBC_bd65fae99943417294c56baf75daadff +  $_GBC_43a4140f3a76484596d8d0145b926ab4 +  $_GBC_bb488e1c603642a6afb1fb52c99c54db +  $_GBC_f5aba0915ea34e859673dda896f483c2 +  $_GBC_570d27736cca471493be878ffcfe313d +  $_GBC_0d70a99476fe4821870aaa178ebe2fda" id="Ced23daa1cef0465a90f2b6f6dc5beba4"/>
        </m:item>
        <m:item xlName="_GBC_ed6cd6e838bf49bc8c790484573e4a99" concept="clcid-pte:GuiShuYuMuGongSiSuoYouZheQuanYiHeJi" label="归属于母公司所有者权益合计" periodRef="本期期初数" mulRef="_GBC_d28e3b675fc048afb747681dc6d939c2" unitRef="_GBC_e3316f7d89b24ba1bb4a783fd180bf77" addr="T0R98C2S1_1" formatStyle="Comma" appId="_GBC_5ea888705f7c4c0f98e8769d2197c0de">
          <m:complexRule comparator="Eq" title="归属于母公司所有者权益合计@本期期初数" test=" $_GBC_27d8955d34d2457b8e5100aa17520ab9 +  $_GBC_2aa70390a28740c286dbd6f43f84f2c8 -  $_GBC_334c4214833c44b787916b406f9ba24e +  $_GBC_49093eec6d7f4681b73939613fdca294 +  $_GBC_a1708d5b95e54da99868f68a408a7dc7 +  $_GBC_d5917144ed4649e293a40232b5226dd6 +  $_GBC_511758cc692c41a4b7df13656ba4fc88 +  $_GBC_0a214afb85324ecb97e02113a4d544e0 +  $_GBC_f6f75c0bcb6e411e850adc6e8c69d4fb" id="C005d68aeb1f94ab5b2378a49527dc1f3"/>
        </m:item>
        <m:item xlName="_GBC_d34506f3999d4ee09068a74f9a6adab7" concept="clcid-pte:GuiShuYuMuGongSiSuoYouZheQuanYiHeJi" label="归属于母公司所有者权益合计" mulRef="_GBC_d28e3b675fc048afb747681dc6d939c2" unitRef="_GBC_e3316f7d89b24ba1bb4a783fd180bf77" addr="T0R98C3S1_1" formatStyle="Comma" appId="_GBC_5ea888705f7c4c0f98e8769d2197c0de">
          <m:complexRule comparator="Eq" title="归属于母公司所有者权益合计(调整数)" test=" $_GBC_5cb631e6f0644f078fef55b9c92a5777 +  $_GBC_98b313ff8a114ba29d869a9b23298ff5 +  $_GBC_70e72686b5804f85a2db0de3789decdd -  $_GBC_1b878300347d46a686d84c55fd0049e2 +  $_GBC_2f430818e1174116ae55b6c90d9d4a6d +  $_GBC_bd2cc45a237847a586e30bf56b221bb2 +  $_GBC_01d5e0b941e04c2e9ca33f5279a0d091 +  $_GBC_5030f64791174841a5eda47c667b6bfd +  $_GBC_1664fbc9f14e4ddea0290f8205a7fbd1" id="C3fa5e96f30834775b9af18a4ec922518"/>
          <m:axisValue occRef="调整数"/>
        </m:item>
        <m:placeholder xlName="_PLD_9e2a49afb3b740edb7325551ffea197e" addr="T0R99C0S1_1"/>
        <m:item xlName="_GBC_07cb15d77a404d8e839bdd9e40442fc1" concept="clcid-pte:ShaoShuGuDongQuanYi" label="少数股东权益" periodRef="上年期末数" mulRef="_GBC_d28e3b675fc048afb747681dc6d939c2" unitRef="_GBC_e3316f7d89b24ba1bb4a783fd180bf77" addr="T0R99C1S1_1" formatStyle="Comma" appId="_GBC_5ea888705f7c4c0f98e8769d2197c0de"/>
        <m:item xlName="_GBC_60d5eb8fa3ed4abfb4d4f5e0fc4d229a" concept="clcid-pte:ShaoShuGuDongQuanYi" label="少数股东权益" periodRef="本期期初数" mulRef="_GBC_d28e3b675fc048afb747681dc6d939c2" unitRef="_GBC_e3316f7d89b24ba1bb4a783fd180bf77" addr="T0R99C2S1_1" formatStyle="Comma" appId="_GBC_5ea888705f7c4c0f98e8769d2197c0de"/>
        <m:item xlName="_GBC_064d00431d9949b5891db397b884882e" concept="clcid-pte:ShaoShuGuDongQuanYi" label="少数股东权益" mulRef="_GBC_d28e3b675fc048afb747681dc6d939c2" unitRef="_GBC_e3316f7d89b24ba1bb4a783fd180bf77" addr="T0R99C3S1_1" formatStyle="Comma" appId="_GBC_5ea888705f7c4c0f98e8769d2197c0de">
          <m:axisValue occRef="调整数"/>
        </m:item>
        <m:placeholder xlName="_PLD_c8a5be1c81bf40a0b01cb817c0b0e1b9" addr="T0R100C0S1_1"/>
        <m:item xlName="_GBC_6568210ac7214b81bd635d825f73fdd7" concept="clcid-pte:GuDongQuanYiHeJi" label="股东权益合计" periodRef="上年期末数" mulRef="_GBC_d28e3b675fc048afb747681dc6d939c2" unitRef="_GBC_e3316f7d89b24ba1bb4a783fd180bf77" addr="T0R100C1S1_1" formatStyle="Comma" appId="_GBC_5ea888705f7c4c0f98e8769d2197c0de">
          <m:complexRule comparator="Eq" title="股东权益合计" test=" $_GBC_4cbbf22a79ad4d00914758dcaea5a50a +  $_GBC_07cb15d77a404d8e839bdd9e40442fc1" id="C5d52cc86a6d84487a2212721f83800f0"/>
        </m:item>
        <m:item xlName="_GBC_551f6d7162f140bd84ee9f2b41671788" concept="clcid-pte:GuDongQuanYiHeJi" label="股东权益合计" periodRef="本期期初数" mulRef="_GBC_d28e3b675fc048afb747681dc6d939c2" unitRef="_GBC_e3316f7d89b24ba1bb4a783fd180bf77" addr="T0R100C2S1_1" formatStyle="Comma" appId="_GBC_5ea888705f7c4c0f98e8769d2197c0de">
          <m:complexRule comparator="Eq" title="股东权益合计@本期期初数" test=" $_GBC_ed6cd6e838bf49bc8c790484573e4a99 +  $_GBC_60d5eb8fa3ed4abfb4d4f5e0fc4d229a" id="C49d1f1643bc74660acfbd792f8e07a54"/>
        </m:item>
        <m:item xlName="_GBC_ecacb0e8d5204220a0a7f66746150526" concept="clcid-pte:GuDongQuanYiHeJi" label="股东权益合计" mulRef="_GBC_d28e3b675fc048afb747681dc6d939c2" unitRef="_GBC_e3316f7d89b24ba1bb4a783fd180bf77" addr="T0R100C3S1_1" formatStyle="Comma" appId="_GBC_5ea888705f7c4c0f98e8769d2197c0de">
          <m:complexRule comparator="Eq" title="股东权益合计(调整数)" test=" $_GBC_d34506f3999d4ee09068a74f9a6adab7 +  $_GBC_064d00431d9949b5891db397b884882e" id="Cdb5f0917e6da4953acd3bc809718fa1c"/>
          <m:axisValue occRef="调整数"/>
        </m:item>
        <m:placeholder xlName="_PLD_bd6eda07bb8b42c19118fdb7c86bb62b" addr="T0R101C0S1_1"/>
        <m:item xlName="_GBC_3d592c467ea84c04be00c5c02d541fc2" concept="clcid-pte:FuZhaiHeGuDongQuanYiHeJi" label="负债和股东权益合计" periodRef="上年期末数" mulRef="_GBC_d28e3b675fc048afb747681dc6d939c2" unitRef="_GBC_e3316f7d89b24ba1bb4a783fd180bf77" addr="T0R101C1S1_1" formatStyle="Comma" appId="_GBC_5ea888705f7c4c0f98e8769d2197c0de">
          <m:complexRule comparator="Eq" title="负债和股东权益合计" test=" $_GBC_b776363b31514154ad2aef776e6ca993 +  $_GBC_6568210ac7214b81bd635d825f73fdd7" id="C551c5439e6c74c57959b8d4de6cf9ace"/>
        </m:item>
        <m:item xlName="_GBC_3feec9bdf0784fb28552fb0bde233da6" concept="clcid-pte:FuZhaiHeGuDongQuanYiHeJi" label="负债和股东权益合计" periodRef="本期期初数" mulRef="_GBC_d28e3b675fc048afb747681dc6d939c2" unitRef="_GBC_e3316f7d89b24ba1bb4a783fd180bf77" addr="T0R101C2S1_1" formatStyle="Comma" appId="_GBC_5ea888705f7c4c0f98e8769d2197c0de">
          <m:complexRule comparator="Eq" title="负债和股东权益合计@本期期初数" test=" $_GBC_93d39d75a242473e8a48e612a19cf74b +  $_GBC_551f6d7162f140bd84ee9f2b41671788" id="C8e6dbff46fff47f481a5b7c7503b2eaf"/>
        </m:item>
        <m:item xlName="_GBC_c71cb5adf2fc4a1682e72f45665b658b" concept="clcid-pte:FuZhaiHeGuDongQuanYiHeJi" label="负债和股东权益合计" mulRef="_GBC_d28e3b675fc048afb747681dc6d939c2" unitRef="_GBC_e3316f7d89b24ba1bb4a783fd180bf77" addr="T0R101C3S1_1" formatStyle="Comma" appId="_GBC_5ea888705f7c4c0f98e8769d2197c0de">
          <m:complexRule comparator="Eq" title="负债和股东权益合计(调整数)" test=" $_GBC_7d29c7c4fa3640bba8a63739a7b9d36e +  $_GBC_ecacb0e8d5204220a0a7f66746150526" id="Cd468ec9f0ff6405e8e070f595bc6ba76"/>
          <m:axisValue occRef="调整数"/>
        </m:item>
        <m:item xlName="_GBC_78cdedcde0e54953bd93f6d9bfb220a2" concept="clcid-ci-ar:ShiFouShiYongZiChanFuZhaiBiaoGeXiangMuTiaoZhengQingKuangDeShuoMing" label="是否适用：资产负债表各项目调整情况的说明" selectOptions="_buildInAppliance" controlType="CustomCheckbox" cRanges="[{&quot;StartName&quot;:&quot;_GBC_78cdedcde0e54953bd93f6d9bfb220a2&quot;,&quot;EndName&quot;:&quot;_GBC_75838eb883a94dccb56b0a9e60c0074d&quot;,&quot;CType&quot;:1}]"/>
        <m:item xlName="_GBC_75838eb883a94dccb56b0a9e60c0074d" concept="clcid-pte:ZiChanFuZhaiBiaoGeXiangMuTiaoZhengQingKuangDeShuoMing" label="资产负债表各项目调整情况的说明" appId="_GBC_78cdedcde0e54953bd93f6d9bfb220a2"/>
        <m:rowModel locationConcept="clcid-ci-ar:ZiDingYiKeMuWeiZhi" labelConcept="clcid-ci-ar:ZiDingYiKeMuMingCheng" conceptPrefix="合并资产负债表" presentationRole="http://www.xbrl-cn.org/cn/lcid/lr/role/ConsolidatedBalanceSheet" presentationParentConcept="clcid-pte:ZiChanFuZhaiBiao" tuplePrefix="项目"/>
      </m:region>
      <m:region xlName="_SEC_42ac31f2b4fa4fd6a9f6f2a4dec4d231" title="母公司资产负债表 &#10;">
        <m:item xlName="_GBC_12bdcba29eb54af2b8443a5d65e13487" concept="clcid-ci-ar:DanWeiMuGongSiZiChanFuZhaiBiao" label="单位：母公司资产负债表" selectOptions="_buildInScales" controlType="Combobox" cellType="Scale" appId="_GBC_5ea888705f7c4c0f98e8769d2197c0de"/>
        <m:item xlName="_GBC_5ae5b2f3e4c64e05b223351f52f762b8" concept="clcid-ci-ar:BiZhongMuGongSiZiChanFuZhaiBiao" label="币种：母公司资产负债表" selectOptions="_buildInISO4217" controlType="Combobox" cellType="Measure" appId="_GBC_5ea888705f7c4c0f98e8769d2197c0de"/>
        <m:placeholder xlName="_PLD_1862792538844cfebbd7412e518cc3a1" addr="T1R0C0S1_1"/>
        <m:placeholder xlName="_PLD_490733515ea04b4585d8f94ac2bde396" addr="T1R0C1S1_1"/>
        <m:placeholder xlName="_PLD_e87e7f82c0ce4a00b4c3c32f679e366a" addr="T1R0C2S1_1"/>
        <m:placeholder xlName="_PLD_183442aef00f452987866abd92d323be" addr="T1R0C3S1_1"/>
        <m:placeholder xlName="_PLD_d3873035b3234fe09b962abf0385995a" addr="T1R1C0S1_4"/>
        <m:placeholder xlName="_PLD_74d515e6d6184499b93a2f64ac76312a" addr="T1R2C0S1_1"/>
        <m:item xlName="_GBC_5fde2e13b4ae43b09724fd20720b1ff8" concept="clcid-pte:HuoBiZiJin" label="货币资金" periodRef="上年期末数" mulRef="_GBC_12bdcba29eb54af2b8443a5d65e13487" unitRef="_GBC_5ae5b2f3e4c64e05b223351f52f762b8" addr="T1R2C1S1_1" formatStyle="Comma" appId="_GBC_5ea888705f7c4c0f98e8769d2197c0de">
          <m:axisValue occRef="母公司"/>
        </m:item>
        <m:item xlName="_GBC_4faabbd9495540e195ea7ef64486e186" concept="clcid-pte:HuoBiZiJin" label="货币资金" periodRef="本期期初数" mulRef="_GBC_12bdcba29eb54af2b8443a5d65e13487" unitRef="_GBC_5ae5b2f3e4c64e05b223351f52f762b8" addr="T1R2C2S1_1" formatStyle="Comma" appId="_GBC_5ea888705f7c4c0f98e8769d2197c0de">
          <m:axisValue occRef="母公司"/>
        </m:item>
        <m:item xlName="_GBC_69418568306644a8bf38c971faa01e64" concept="clcid-pte:HuoBiZiJin" label="货币资金" mulRef="_GBC_12bdcba29eb54af2b8443a5d65e13487" unitRef="_GBC_5ae5b2f3e4c64e05b223351f52f762b8" addr="T1R2C3S1_1" formatStyle="Comma" appId="_GBC_5ea888705f7c4c0f98e8769d2197c0de">
          <m:axisValue occRef="调整数"/>
          <m:axisValue occRef="母公司"/>
        </m:item>
        <m:placeholder xlName="_PLD_7bce670f2a4240eeaa8e481be0a277f1" addr="T1R3C0S1_1"/>
        <m:item xlName="_GBC_3044cc135ea948978c39c68d807b7dab" concept="clcid-pte:JiaoYiXingJinRongZiChan" label="交易性金融资产" periodRef="上年期末数" mulRef="_GBC_12bdcba29eb54af2b8443a5d65e13487" unitRef="_GBC_5ae5b2f3e4c64e05b223351f52f762b8" addr="T1R3C1S1_1" formatStyle="Comma" appId="_GBC_5ea888705f7c4c0f98e8769d2197c0de">
          <m:axisValue occRef="母公司"/>
        </m:item>
        <m:item xlName="_GBC_266516d23ae64475a8a3e6c2d13bd722" concept="clcid-pte:JiaoYiXingJinRongZiChan" label="交易性金融资产" periodRef="本期期初数" mulRef="_GBC_12bdcba29eb54af2b8443a5d65e13487" unitRef="_GBC_5ae5b2f3e4c64e05b223351f52f762b8" addr="T1R3C2S1_1" formatStyle="Comma" appId="_GBC_5ea888705f7c4c0f98e8769d2197c0de">
          <m:axisValue occRef="母公司"/>
        </m:item>
        <m:item xlName="_GBC_84645aa89696404b920c04f1fa57508a" concept="clcid-pte:JiaoYiXingJinRongZiChan" label="交易性金融资产" mulRef="_GBC_12bdcba29eb54af2b8443a5d65e13487" unitRef="_GBC_5ae5b2f3e4c64e05b223351f52f762b8" addr="T1R3C3S1_1" formatStyle="Comma" appId="_GBC_5ea888705f7c4c0f98e8769d2197c0de">
          <m:axisValue occRef="调整数"/>
          <m:axisValue occRef="母公司"/>
        </m:item>
        <m:placeholder xlName="_PLD_ae75f8d2f5c14936a6818948d6cc2951" addr="T1R4C0S1_1"/>
        <m:item xlName="_GBC_d38502d16200402295ac83b6bae08aff" concept="clcid-pte:YanShengJinRongZiChan" label="衍生金融资产" periodRef="上年期末数" mulRef="_GBC_12bdcba29eb54af2b8443a5d65e13487" unitRef="_GBC_5ae5b2f3e4c64e05b223351f52f762b8" addr="T1R4C1S1_1" formatStyle="Comma" appId="_GBC_5ea888705f7c4c0f98e8769d2197c0de">
          <m:axisValue occRef="母公司"/>
        </m:item>
        <m:item xlName="_GBC_497eac1863cc4974807f1fd23a174e84" concept="clcid-pte:YanShengJinRongZiChan" label="衍生金融资产" periodRef="本期期初数" mulRef="_GBC_12bdcba29eb54af2b8443a5d65e13487" unitRef="_GBC_5ae5b2f3e4c64e05b223351f52f762b8" addr="T1R4C2S1_1" formatStyle="Comma" appId="_GBC_5ea888705f7c4c0f98e8769d2197c0de">
          <m:axisValue occRef="母公司"/>
        </m:item>
        <m:item xlName="_GBC_3cc2a049afb34dc59f66b33ba007b824" concept="clcid-pte:YanShengJinRongZiChan" label="衍生金融资产" mulRef="_GBC_12bdcba29eb54af2b8443a5d65e13487" unitRef="_GBC_5ae5b2f3e4c64e05b223351f52f762b8" addr="T1R4C3S1_1" formatStyle="Comma" appId="_GBC_5ea888705f7c4c0f98e8769d2197c0de">
          <m:axisValue occRef="调整数"/>
          <m:axisValue occRef="母公司"/>
        </m:item>
        <m:placeholder xlName="_PLD_d38796d2735e412fbb2b548202f4f87a" addr="T1R5C0S1_1"/>
        <m:item xlName="_GBC_284748580272466e8a47ad48436d347c" concept="clcid-pte:YingShouPiaoJu" label="应收票据" periodRef="上年期末数" mulRef="_GBC_12bdcba29eb54af2b8443a5d65e13487" unitRef="_GBC_5ae5b2f3e4c64e05b223351f52f762b8" addr="T1R5C1S1_1" formatStyle="Comma" appId="_GBC_5ea888705f7c4c0f98e8769d2197c0de">
          <m:axisValue occRef="母公司"/>
        </m:item>
        <m:item xlName="_GBC_f307345fede24794b181faf4f5b0aa75" concept="clcid-pte:YingShouPiaoJu" label="应收票据" periodRef="本期期初数" mulRef="_GBC_12bdcba29eb54af2b8443a5d65e13487" unitRef="_GBC_5ae5b2f3e4c64e05b223351f52f762b8" addr="T1R5C2S1_1" formatStyle="Comma" appId="_GBC_5ea888705f7c4c0f98e8769d2197c0de">
          <m:axisValue occRef="母公司"/>
        </m:item>
        <m:item xlName="_GBC_bdb9d54f8e984910ac271c3e865795b8" concept="clcid-pte:YingShouPiaoJu" label="应收票据" mulRef="_GBC_12bdcba29eb54af2b8443a5d65e13487" unitRef="_GBC_5ae5b2f3e4c64e05b223351f52f762b8" addr="T1R5C3S1_1" formatStyle="Comma" appId="_GBC_5ea888705f7c4c0f98e8769d2197c0de">
          <m:axisValue occRef="调整数"/>
          <m:axisValue occRef="母公司"/>
        </m:item>
        <m:placeholder xlName="_PLD_330335623c744c63b1ff8fbca1c82725" addr="T1R6C0S1_1"/>
        <m:item xlName="_GBC_80eb2b1d88c6402bb8186cb4757c199c" concept="clcid-pte:YingShouZhangKuan" label="应收帐款" periodRef="上年期末数" mulRef="_GBC_12bdcba29eb54af2b8443a5d65e13487" unitRef="_GBC_5ae5b2f3e4c64e05b223351f52f762b8" addr="T1R6C1S1_1" formatStyle="Comma" appId="_GBC_5ea888705f7c4c0f98e8769d2197c0de">
          <m:axisValue occRef="母公司"/>
        </m:item>
        <m:item xlName="_GBC_b81c2bc5734a49c39bb29d1aeaf81857" concept="clcid-pte:YingShouZhangKuan" label="应收帐款" periodRef="本期期初数" mulRef="_GBC_12bdcba29eb54af2b8443a5d65e13487" unitRef="_GBC_5ae5b2f3e4c64e05b223351f52f762b8" addr="T1R6C2S1_1" formatStyle="Comma" appId="_GBC_5ea888705f7c4c0f98e8769d2197c0de">
          <m:axisValue occRef="母公司"/>
        </m:item>
        <m:item xlName="_GBC_999cdc6a021b4eaf95794dfd8f60b6aa" concept="clcid-pte:YingShouZhangKuan" label="应收帐款" mulRef="_GBC_12bdcba29eb54af2b8443a5d65e13487" unitRef="_GBC_5ae5b2f3e4c64e05b223351f52f762b8" addr="T1R6C3S1_1" formatStyle="Comma" appId="_GBC_5ea888705f7c4c0f98e8769d2197c0de">
          <m:axisValue occRef="调整数"/>
          <m:axisValue occRef="母公司"/>
        </m:item>
        <m:placeholder xlName="_PLD_d9488865268f46f29f059c2d0282e38e" addr="T1R7C0S1_1"/>
        <m:item xlName="_GBC_96448732a05844339020b154b92a1c9b" concept="clcid-pte:YingShouKuanXiangRongZi" label="应收款项融资" periodRef="上年期末数" mulRef="_GBC_12bdcba29eb54af2b8443a5d65e13487" unitRef="_GBC_5ae5b2f3e4c64e05b223351f52f762b8" addr="T1R7C1S1_1" formatStyle="Comma" appId="_GBC_5ea888705f7c4c0f98e8769d2197c0de">
          <m:axisValue occRef="母公司"/>
        </m:item>
        <m:item xlName="_GBC_76ca75dec7f346708e052f2d423db2d2" concept="clcid-pte:YingShouKuanXiangRongZi" label="应收款项融资" periodRef="本期期初数" mulRef="_GBC_12bdcba29eb54af2b8443a5d65e13487" unitRef="_GBC_5ae5b2f3e4c64e05b223351f52f762b8" addr="T1R7C2S1_1" formatStyle="Comma" appId="_GBC_5ea888705f7c4c0f98e8769d2197c0de">
          <m:axisValue occRef="母公司"/>
        </m:item>
        <m:item xlName="_GBC_9dcf750654ce452495c71208de07ca9c" concept="clcid-pte:YingShouKuanXiangRongZi" label="应收款项融资" mulRef="_GBC_12bdcba29eb54af2b8443a5d65e13487" unitRef="_GBC_5ae5b2f3e4c64e05b223351f52f762b8" addr="T1R7C3S1_1" formatStyle="Comma" appId="_GBC_5ea888705f7c4c0f98e8769d2197c0de">
          <m:axisValue occRef="调整数"/>
          <m:axisValue occRef="母公司"/>
        </m:item>
        <m:placeholder xlName="_PLD_075402e44a9d4fec8c80849345f9a7ff" addr="T1R8C0S1_1"/>
        <m:item xlName="_GBC_1053d2ced59d46c38bfbb085e2b8ca7e" concept="clcid-pte:YuFuZhangKuan" label="预付帐款" periodRef="上年期末数" mulRef="_GBC_12bdcba29eb54af2b8443a5d65e13487" unitRef="_GBC_5ae5b2f3e4c64e05b223351f52f762b8" addr="T1R8C1S1_1" formatStyle="Comma" appId="_GBC_5ea888705f7c4c0f98e8769d2197c0de">
          <m:axisValue occRef="母公司"/>
        </m:item>
        <m:item xlName="_GBC_348de190de9f4c8ebe4d26de11f771f2" concept="clcid-pte:YuFuZhangKuan" label="预付帐款" periodRef="本期期初数" mulRef="_GBC_12bdcba29eb54af2b8443a5d65e13487" unitRef="_GBC_5ae5b2f3e4c64e05b223351f52f762b8" addr="T1R8C2S1_1" formatStyle="Comma" appId="_GBC_5ea888705f7c4c0f98e8769d2197c0de">
          <m:axisValue occRef="母公司"/>
        </m:item>
        <m:item xlName="_GBC_d8795d98dd2a46b4b7231d8f5cfee071" concept="clcid-pte:YuFuZhangKuan" label="预付帐款" mulRef="_GBC_12bdcba29eb54af2b8443a5d65e13487" unitRef="_GBC_5ae5b2f3e4c64e05b223351f52f762b8" addr="T1R8C3S1_1" formatStyle="Comma" appId="_GBC_5ea888705f7c4c0f98e8769d2197c0de">
          <m:axisValue occRef="调整数"/>
          <m:axisValue occRef="母公司"/>
        </m:item>
        <m:placeholder xlName="_PLD_c2d0a7a6a8e64d7e876eef520833ed71" addr="T1R9C0S1_1"/>
        <m:item xlName="_GBC_1cd747e06c304f67a36d72ac085b67ea" concept="clcid-pte:QiTaYingShouKuan" label="其他应收款" periodRef="上年期末数" mulRef="_GBC_12bdcba29eb54af2b8443a5d65e13487" unitRef="_GBC_5ae5b2f3e4c64e05b223351f52f762b8" addr="T1R9C1S1_1" formatStyle="Comma" appId="_GBC_5ea888705f7c4c0f98e8769d2197c0de">
          <m:axisValue occRef="母公司"/>
        </m:item>
        <m:item xlName="_GBC_6fc782fbb6e74bf5b0a32f6173cfd713" concept="clcid-pte:QiTaYingShouKuan" label="其他应收款" periodRef="本期期初数" mulRef="_GBC_12bdcba29eb54af2b8443a5d65e13487" unitRef="_GBC_5ae5b2f3e4c64e05b223351f52f762b8" addr="T1R9C2S1_1" formatStyle="Comma" appId="_GBC_5ea888705f7c4c0f98e8769d2197c0de">
          <m:axisValue occRef="母公司"/>
        </m:item>
        <m:item xlName="_GBC_fd5e1a317d8c498e8150f8a16ca02e83" concept="clcid-pte:QiTaYingShouKuan" label="其他应收款" mulRef="_GBC_12bdcba29eb54af2b8443a5d65e13487" unitRef="_GBC_5ae5b2f3e4c64e05b223351f52f762b8" addr="T1R9C3S1_1" formatStyle="Comma" appId="_GBC_5ea888705f7c4c0f98e8769d2197c0de">
          <m:axisValue occRef="调整数"/>
          <m:axisValue occRef="母公司"/>
        </m:item>
        <m:placeholder xlName="_PLD_f4aedbe1c37746bd94298a5fa1ce694d" addr="T1R10C0S1_1"/>
        <m:item xlName="_GBC_04c408d850cd41a5bcec207f02e76a98" concept="clcid-pte:YingShouLiXi" label="应收利息" periodRef="上年期末数" mulRef="_GBC_12bdcba29eb54af2b8443a5d65e13487" unitRef="_GBC_5ae5b2f3e4c64e05b223351f52f762b8" addr="T1R10C1S1_1" formatStyle="Comma" appId="_GBC_5ea888705f7c4c0f98e8769d2197c0de">
          <m:axisValue occRef="母公司"/>
        </m:item>
        <m:item xlName="_GBC_d8732a4f24f248059579e5e094323314" concept="clcid-pte:YingShouLiXi" label="应收利息" periodRef="本期期初数" mulRef="_GBC_12bdcba29eb54af2b8443a5d65e13487" unitRef="_GBC_5ae5b2f3e4c64e05b223351f52f762b8" addr="T1R10C2S1_1" formatStyle="Comma" appId="_GBC_5ea888705f7c4c0f98e8769d2197c0de">
          <m:axisValue occRef="母公司"/>
        </m:item>
        <m:item xlName="_GBC_c3c798af5d2d45f98562b95746ae62ca" concept="clcid-pte:YingShouLiXi" label="应收利息" mulRef="_GBC_12bdcba29eb54af2b8443a5d65e13487" unitRef="_GBC_5ae5b2f3e4c64e05b223351f52f762b8" addr="T1R10C3S1_1" formatStyle="Comma" appId="_GBC_5ea888705f7c4c0f98e8769d2197c0de">
          <m:axisValue occRef="调整数"/>
          <m:axisValue occRef="母公司"/>
        </m:item>
        <m:placeholder xlName="_PLD_52de14b1293c4f25af2be3d116cf9e85" addr="T1R11C0S1_1"/>
        <m:item xlName="_GBC_4edaaeb5e19a459cbac2c1dae03d7415" concept="clcid-pte:YingShouGuLi" label="应收股利" periodRef="上年期末数" mulRef="_GBC_12bdcba29eb54af2b8443a5d65e13487" unitRef="_GBC_5ae5b2f3e4c64e05b223351f52f762b8" addr="T1R11C1S1_1" formatStyle="Comma" appId="_GBC_5ea888705f7c4c0f98e8769d2197c0de">
          <m:axisValue occRef="母公司"/>
        </m:item>
        <m:item xlName="_GBC_7837d963c1d843b5845fd3078ee63bf5" concept="clcid-pte:YingShouGuLi" label="应收股利" periodRef="本期期初数" mulRef="_GBC_12bdcba29eb54af2b8443a5d65e13487" unitRef="_GBC_5ae5b2f3e4c64e05b223351f52f762b8" addr="T1R11C2S1_1" formatStyle="Comma" appId="_GBC_5ea888705f7c4c0f98e8769d2197c0de">
          <m:axisValue occRef="母公司"/>
        </m:item>
        <m:item xlName="_GBC_3276efcac5164596b61b8f1257e4dec0" concept="clcid-pte:YingShouGuLi" label="应收股利" mulRef="_GBC_12bdcba29eb54af2b8443a5d65e13487" unitRef="_GBC_5ae5b2f3e4c64e05b223351f52f762b8" addr="T1R11C3S1_1" formatStyle="Comma" appId="_GBC_5ea888705f7c4c0f98e8769d2197c0de">
          <m:axisValue occRef="调整数"/>
          <m:axisValue occRef="母公司"/>
        </m:item>
        <m:placeholder xlName="_PLD_c7b0b124530948fbb30e06a409fd5565" addr="T1R12C0S1_1"/>
        <m:item xlName="_GBC_6d71d66f17b14e7db99c0173f48d6497" concept="clcid-pte:CunHuo" label="存货" periodRef="上年期末数" mulRef="_GBC_12bdcba29eb54af2b8443a5d65e13487" unitRef="_GBC_5ae5b2f3e4c64e05b223351f52f762b8" addr="T1R12C1S1_1" formatStyle="Comma" appId="_GBC_5ea888705f7c4c0f98e8769d2197c0de">
          <m:axisValue occRef="母公司"/>
        </m:item>
        <m:item xlName="_GBC_99ac839dba814c90928ea17b04f67acb" concept="clcid-pte:CunHuo" label="存货" periodRef="本期期初数" mulRef="_GBC_12bdcba29eb54af2b8443a5d65e13487" unitRef="_GBC_5ae5b2f3e4c64e05b223351f52f762b8" addr="T1R12C2S1_1" formatStyle="Comma" appId="_GBC_5ea888705f7c4c0f98e8769d2197c0de">
          <m:axisValue occRef="母公司"/>
        </m:item>
        <m:item xlName="_GBC_6c12261b1a504de9b9b0def416a1cea5" concept="clcid-pte:CunHuo" label="存货" mulRef="_GBC_12bdcba29eb54af2b8443a5d65e13487" unitRef="_GBC_5ae5b2f3e4c64e05b223351f52f762b8" addr="T1R12C3S1_1" formatStyle="Comma" appId="_GBC_5ea888705f7c4c0f98e8769d2197c0de">
          <m:axisValue occRef="调整数"/>
          <m:axisValue occRef="母公司"/>
        </m:item>
        <m:placeholder xlName="_PLD_c9161e7eb66949c8ae57a598e14e7c20" addr="T1R13C0S1_1"/>
        <m:item xlName="_GBC_f15cb24f3897408a967198a70c550178" concept="clcid-pte:HeTongZiChan" label="合同资产" periodRef="上年期末数" mulRef="_GBC_12bdcba29eb54af2b8443a5d65e13487" unitRef="_GBC_5ae5b2f3e4c64e05b223351f52f762b8" addr="T1R13C1S1_1" formatStyle="Comma" appId="_GBC_5ea888705f7c4c0f98e8769d2197c0de">
          <m:axisValue occRef="母公司"/>
        </m:item>
        <m:item xlName="_GBC_69c4922432904d69933ed9ae7ac6d09d" concept="clcid-pte:HeTongZiChan" label="合同资产" periodRef="本期期初数" mulRef="_GBC_12bdcba29eb54af2b8443a5d65e13487" unitRef="_GBC_5ae5b2f3e4c64e05b223351f52f762b8" addr="T1R13C2S1_1" formatStyle="Comma" appId="_GBC_5ea888705f7c4c0f98e8769d2197c0de">
          <m:axisValue occRef="母公司"/>
        </m:item>
        <m:item xlName="_GBC_a1ac757265164c17acd316412db8dee8" concept="clcid-pte:HeTongZiChan" label="合同资产" mulRef="_GBC_12bdcba29eb54af2b8443a5d65e13487" unitRef="_GBC_5ae5b2f3e4c64e05b223351f52f762b8" addr="T1R13C3S1_1" formatStyle="Comma" appId="_GBC_5ea888705f7c4c0f98e8769d2197c0de">
          <m:axisValue occRef="调整数"/>
          <m:axisValue occRef="母公司"/>
        </m:item>
        <m:placeholder xlName="_PLD_425e5328b0a240e59b878c6d6e9636a3" addr="T1R14C0S1_1"/>
        <m:item xlName="_GBC_cce23ae9f3124f8badff777a4f9c26d3" concept="clcid-pte:HuaFenWeiChiYouDaiShouDeZiChan" label="划分为持有待售的资产" periodRef="上年期末数" mulRef="_GBC_12bdcba29eb54af2b8443a5d65e13487" unitRef="_GBC_5ae5b2f3e4c64e05b223351f52f762b8" addr="T1R14C1S1_1" formatStyle="Comma" appId="_GBC_5ea888705f7c4c0f98e8769d2197c0de">
          <m:axisValue occRef="母公司"/>
        </m:item>
        <m:item xlName="_GBC_a6777573a50849ada33e78b716f58e23" concept="clcid-pte:HuaFenWeiChiYouDaiShouDeZiChan" label="划分为持有待售的资产" periodRef="本期期初数" mulRef="_GBC_12bdcba29eb54af2b8443a5d65e13487" unitRef="_GBC_5ae5b2f3e4c64e05b223351f52f762b8" addr="T1R14C2S1_1" formatStyle="Comma" appId="_GBC_5ea888705f7c4c0f98e8769d2197c0de">
          <m:axisValue occRef="母公司"/>
        </m:item>
        <m:item xlName="_GBC_f23df41fc1a648ab90bc38a961f31cd6" concept="clcid-pte:HuaFenWeiChiYouDaiShouDeZiChan" label="划分为持有待售的资产" mulRef="_GBC_12bdcba29eb54af2b8443a5d65e13487" unitRef="_GBC_5ae5b2f3e4c64e05b223351f52f762b8" addr="T1R14C3S1_1" formatStyle="Comma" appId="_GBC_5ea888705f7c4c0f98e8769d2197c0de">
          <m:axisValue occRef="调整数"/>
          <m:axisValue occRef="母公司"/>
        </m:item>
        <m:placeholder xlName="_PLD_632efccee98548b68b34b43db7e78ee1" addr="T1R15C0S1_1"/>
        <m:item xlName="_GBC_5df882e78fbf461d8f0ae5efa434a0af" concept="clcid-pte:YiNianNeiDaoQiDeFeiLiuDongZiChan" label="一年内到期的非流动资产" periodRef="上年期末数" mulRef="_GBC_12bdcba29eb54af2b8443a5d65e13487" unitRef="_GBC_5ae5b2f3e4c64e05b223351f52f762b8" addr="T1R15C1S1_1" formatStyle="Comma" appId="_GBC_5ea888705f7c4c0f98e8769d2197c0de">
          <m:axisValue occRef="母公司"/>
        </m:item>
        <m:item xlName="_GBC_75747c614fe3431e93f3c6c43ecf8e10" concept="clcid-pte:YiNianNeiDaoQiDeFeiLiuDongZiChan" label="一年内到期的非流动资产" periodRef="本期期初数" mulRef="_GBC_12bdcba29eb54af2b8443a5d65e13487" unitRef="_GBC_5ae5b2f3e4c64e05b223351f52f762b8" addr="T1R15C2S1_1" formatStyle="Comma" appId="_GBC_5ea888705f7c4c0f98e8769d2197c0de">
          <m:axisValue occRef="母公司"/>
        </m:item>
        <m:item xlName="_GBC_154c211360f4485e88582514d39a74a8" concept="clcid-pte:YiNianNeiDaoQiDeFeiLiuDongZiChan" label="一年内到期的非流动资产" mulRef="_GBC_12bdcba29eb54af2b8443a5d65e13487" unitRef="_GBC_5ae5b2f3e4c64e05b223351f52f762b8" addr="T1R15C3S1_1" formatStyle="Comma" appId="_GBC_5ea888705f7c4c0f98e8769d2197c0de">
          <m:axisValue occRef="调整数"/>
          <m:axisValue occRef="母公司"/>
        </m:item>
        <m:placeholder xlName="_PLD_1f0292fdc6a84de4bb5b1513e1206a77" addr="T1R16C0S1_1"/>
        <m:item xlName="_GBC_d9886fa58b8141f4bbda162d4f03cbe5" concept="clcid-pte:QiTaLiuDongZiChan" label="其他流动资产" periodRef="上年期末数" mulRef="_GBC_12bdcba29eb54af2b8443a5d65e13487" unitRef="_GBC_5ae5b2f3e4c64e05b223351f52f762b8" addr="T1R16C1S1_1" formatStyle="Comma" appId="_GBC_5ea888705f7c4c0f98e8769d2197c0de">
          <m:axisValue occRef="母公司"/>
        </m:item>
        <m:item xlName="_GBC_6d76f4b8ac584b659d8055f5065dbdad" concept="clcid-pte:QiTaLiuDongZiChan" label="其他流动资产" periodRef="本期期初数" mulRef="_GBC_12bdcba29eb54af2b8443a5d65e13487" unitRef="_GBC_5ae5b2f3e4c64e05b223351f52f762b8" addr="T1R16C2S1_1" formatStyle="Comma" appId="_GBC_5ea888705f7c4c0f98e8769d2197c0de">
          <m:axisValue occRef="母公司"/>
        </m:item>
        <m:item xlName="_GBC_884c56b06a2f46ed80291956fa6cc26f" concept="clcid-pte:QiTaLiuDongZiChan" label="其他流动资产" mulRef="_GBC_12bdcba29eb54af2b8443a5d65e13487" unitRef="_GBC_5ae5b2f3e4c64e05b223351f52f762b8" addr="T1R16C3S1_1" formatStyle="Comma" appId="_GBC_5ea888705f7c4c0f98e8769d2197c0de">
          <m:axisValue occRef="调整数"/>
          <m:axisValue occRef="母公司"/>
        </m:item>
        <m:placeholder xlName="_PLD_18bb3148590e45af9975783b03139934" addr="T1R17C0S1_1"/>
        <m:item xlName="_GBC_a44f68c4261248ab944f95ab8dda2c7c" concept="clcid-pte:LiuDongZiChanHeJi" label="流动资产合计" periodRef="上年期末数" mulRef="_GBC_12bdcba29eb54af2b8443a5d65e13487" unitRef="_GBC_5ae5b2f3e4c64e05b223351f52f762b8" addr="T1R17C1S1_1" formatStyle="Comma" appId="_GBC_5ea888705f7c4c0f98e8769d2197c0de">
          <m:complexRule comparator="Eq" title="母公司流动资产合计@上年期末数" test=" $_GBC_5fde2e13b4ae43b09724fd20720b1ff8 +  $_GBC_3044cc135ea948978c39c68d807b7dab +  $_GBC_d38502d16200402295ac83b6bae08aff +  $_GBC_284748580272466e8a47ad48436d347c +  $_GBC_80eb2b1d88c6402bb8186cb4757c199c +  $_GBC_96448732a05844339020b154b92a1c9b +  $_GBC_1053d2ced59d46c38bfbb085e2b8ca7e +  $_GBC_1cd747e06c304f67a36d72ac085b67ea +  $_GBC_6d71d66f17b14e7db99c0173f48d6497 +  $_GBC_f15cb24f3897408a967198a70c550178 +  $_GBC_cce23ae9f3124f8badff777a4f9c26d3 +  $_GBC_5df882e78fbf461d8f0ae5efa434a0af +  $_GBC_d9886fa58b8141f4bbda162d4f03cbe5" id="Cbcf9e3500fba473788c59797c473df0e"/>
          <m:axisValue occRef="母公司"/>
        </m:item>
        <m:item xlName="_GBC_9aabc75772744bc19cd24a7d4c481b8c" concept="clcid-pte:LiuDongZiChanHeJi" label="流动资产合计" periodRef="本期期初数" mulRef="_GBC_12bdcba29eb54af2b8443a5d65e13487" unitRef="_GBC_5ae5b2f3e4c64e05b223351f52f762b8" addr="T1R17C2S1_1" formatStyle="Comma" appId="_GBC_5ea888705f7c4c0f98e8769d2197c0de">
          <m:complexRule comparator="Eq" title="母公司流动资产合计@本期期初数" test=" $_GBC_4faabbd9495540e195ea7ef64486e186 +  $_GBC_266516d23ae64475a8a3e6c2d13bd722 +  $_GBC_497eac1863cc4974807f1fd23a174e84 +  $_GBC_f307345fede24794b181faf4f5b0aa75 +  $_GBC_b81c2bc5734a49c39bb29d1aeaf81857 +  $_GBC_76ca75dec7f346708e052f2d423db2d2 +  $_GBC_348de190de9f4c8ebe4d26de11f771f2 +  $_GBC_6fc782fbb6e74bf5b0a32f6173cfd713 +  $_GBC_99ac839dba814c90928ea17b04f67acb +  $_GBC_69c4922432904d69933ed9ae7ac6d09d +  $_GBC_a6777573a50849ada33e78b716f58e23 +  $_GBC_75747c614fe3431e93f3c6c43ecf8e10 +  $_GBC_6d76f4b8ac584b659d8055f5065dbdad" id="Ca91e96fff56b4c6b852e36d757e31439"/>
          <m:axisValue occRef="母公司"/>
        </m:item>
        <m:item xlName="_GBC_ddbd33f78d5d4171bcbea4359e03731d" concept="clcid-pte:LiuDongZiChanHeJi" label="流动资产合计" mulRef="_GBC_12bdcba29eb54af2b8443a5d65e13487" unitRef="_GBC_5ae5b2f3e4c64e05b223351f52f762b8" addr="T1R17C3S1_1" formatStyle="Comma" appId="_GBC_5ea888705f7c4c0f98e8769d2197c0de">
          <m:complexRule comparator="Eq" title="母公司流动资产合计(调整数)" test=" $_GBC_69418568306644a8bf38c971faa01e64 +  $_GBC_84645aa89696404b920c04f1fa57508a +  $_GBC_3cc2a049afb34dc59f66b33ba007b824 +  $_GBC_bdb9d54f8e984910ac271c3e865795b8 +  $_GBC_999cdc6a021b4eaf95794dfd8f60b6aa +  $_GBC_9dcf750654ce452495c71208de07ca9c +  $_GBC_d8795d98dd2a46b4b7231d8f5cfee071 +  $_GBC_fd5e1a317d8c498e8150f8a16ca02e83 +  $_GBC_6c12261b1a504de9b9b0def416a1cea5 +  $_GBC_a1ac757265164c17acd316412db8dee8 +  $_GBC_f23df41fc1a648ab90bc38a961f31cd6 +  $_GBC_154c211360f4485e88582514d39a74a8 +  $_GBC_884c56b06a2f46ed80291956fa6cc26f" id="C53a2809cca2547bea613480cfc1c5e9c"/>
          <m:axisValue occRef="调整数"/>
          <m:axisValue occRef="母公司"/>
        </m:item>
        <m:placeholder xlName="_PLD_32045b1e965f45488a253d2d0cb1dd0d" addr="T1R18C0S1_4"/>
        <m:placeholder xlName="_PLD_bbd781a1b9664fec8afde1775d5cd963" addr="T1R19C0S1_1"/>
        <m:item xlName="_GBC_815c0b5b2b794626ab7c4092ebbaa6d8" concept="clcid-pte:ZhaiQuanTouZi" label="债权投资" periodRef="上年期末数" mulRef="_GBC_12bdcba29eb54af2b8443a5d65e13487" unitRef="_GBC_5ae5b2f3e4c64e05b223351f52f762b8" addr="T1R19C1S1_1" formatStyle="Comma" appId="_GBC_5ea888705f7c4c0f98e8769d2197c0de">
          <m:axisValue occRef="母公司"/>
        </m:item>
        <m:item xlName="_GBC_f396aa0d01014dc0b72dcd0954b88f4c" concept="clcid-pte:ZhaiQuanTouZi" label="债权投资" periodRef="本期期初数" mulRef="_GBC_12bdcba29eb54af2b8443a5d65e13487" unitRef="_GBC_5ae5b2f3e4c64e05b223351f52f762b8" addr="T1R19C2S1_1" formatStyle="Comma" appId="_GBC_5ea888705f7c4c0f98e8769d2197c0de">
          <m:axisValue occRef="母公司"/>
        </m:item>
        <m:item xlName="_GBC_200f67a03f2342b99bfab6435e24d081" concept="clcid-pte:ZhaiQuanTouZi" label="债权投资" mulRef="_GBC_12bdcba29eb54af2b8443a5d65e13487" unitRef="_GBC_5ae5b2f3e4c64e05b223351f52f762b8" addr="T1R19C3S1_1" formatStyle="Comma" appId="_GBC_5ea888705f7c4c0f98e8769d2197c0de">
          <m:axisValue occRef="调整数"/>
          <m:axisValue occRef="母公司"/>
        </m:item>
        <m:placeholder xlName="_PLD_a2f6e093da4342b6984f0c97e8feb021" addr="T1R20C0S1_1"/>
        <m:item xlName="_GBC_9c01b03d6ddb47c081941f5598b17994" concept="clcid-pte:QiTaZhaiQuanTouZi" label="其他债权投资" periodRef="上年期末数" mulRef="_GBC_12bdcba29eb54af2b8443a5d65e13487" unitRef="_GBC_5ae5b2f3e4c64e05b223351f52f762b8" addr="T1R20C1S1_1" formatStyle="Comma" appId="_GBC_5ea888705f7c4c0f98e8769d2197c0de">
          <m:axisValue occRef="母公司"/>
        </m:item>
        <m:item xlName="_GBC_4676e00d051e48d0bf0360fc196d6267" concept="clcid-pte:QiTaZhaiQuanTouZi" label="其他债权投资" periodRef="本期期初数" mulRef="_GBC_12bdcba29eb54af2b8443a5d65e13487" unitRef="_GBC_5ae5b2f3e4c64e05b223351f52f762b8" addr="T1R20C2S1_1" formatStyle="Comma" appId="_GBC_5ea888705f7c4c0f98e8769d2197c0de">
          <m:axisValue occRef="母公司"/>
        </m:item>
        <m:item xlName="_GBC_db0562b7b6f94bc8bb20c40f0cc61b79" concept="clcid-pte:QiTaZhaiQuanTouZi" label="其他债权投资" mulRef="_GBC_12bdcba29eb54af2b8443a5d65e13487" unitRef="_GBC_5ae5b2f3e4c64e05b223351f52f762b8" addr="T1R20C3S1_1" formatStyle="Comma" appId="_GBC_5ea888705f7c4c0f98e8769d2197c0de">
          <m:axisValue occRef="调整数"/>
          <m:axisValue occRef="母公司"/>
        </m:item>
        <m:placeholder xlName="_PLD_b5e78a65ad3e4a80bf6991e93db7bf56" addr="T1R21C0S1_1"/>
        <m:item xlName="_GBC_cd8ecd7bbb9c407cb2c04dba9e7c8fc5" concept="clcid-pte:ChangQiYingShouKuan" label="长期应收款" periodRef="上年期末数" mulRef="_GBC_12bdcba29eb54af2b8443a5d65e13487" unitRef="_GBC_5ae5b2f3e4c64e05b223351f52f762b8" addr="T1R21C1S1_1" formatStyle="Comma" appId="_GBC_5ea888705f7c4c0f98e8769d2197c0de">
          <m:axisValue occRef="母公司"/>
        </m:item>
        <m:item xlName="_GBC_fa4bebe41959400289c4a86b1c79021f" concept="clcid-pte:ChangQiYingShouKuan" label="长期应收款" periodRef="本期期初数" mulRef="_GBC_12bdcba29eb54af2b8443a5d65e13487" unitRef="_GBC_5ae5b2f3e4c64e05b223351f52f762b8" addr="T1R21C2S1_1" formatStyle="Comma" appId="_GBC_5ea888705f7c4c0f98e8769d2197c0de">
          <m:axisValue occRef="母公司"/>
        </m:item>
        <m:item xlName="_GBC_eb3e604b3a434ad8951af380b55717bf" concept="clcid-pte:ChangQiYingShouKuan" label="长期应收款" mulRef="_GBC_12bdcba29eb54af2b8443a5d65e13487" unitRef="_GBC_5ae5b2f3e4c64e05b223351f52f762b8" addr="T1R21C3S1_1" formatStyle="Comma" appId="_GBC_5ea888705f7c4c0f98e8769d2197c0de">
          <m:axisValue occRef="调整数"/>
          <m:axisValue occRef="母公司"/>
        </m:item>
        <m:placeholder xlName="_PLD_977fb30cb6c9428e94fad6ae22cf3201" addr="T1R22C0S1_1"/>
        <m:item xlName="_GBC_69bf262396284a8d8ad62beef3ba3f2d" concept="clcid-pte:ChangQiGuQuanTouZi" label="长期股权投资" periodRef="上年期末数" mulRef="_GBC_12bdcba29eb54af2b8443a5d65e13487" unitRef="_GBC_5ae5b2f3e4c64e05b223351f52f762b8" addr="T1R22C1S1_1" formatStyle="Comma" appId="_GBC_5ea888705f7c4c0f98e8769d2197c0de">
          <m:axisValue occRef="母公司"/>
        </m:item>
        <m:item xlName="_GBC_d314344f83d04a15851b1f5cad8ae4f5" concept="clcid-pte:ChangQiGuQuanTouZi" label="长期股权投资" periodRef="本期期初数" mulRef="_GBC_12bdcba29eb54af2b8443a5d65e13487" unitRef="_GBC_5ae5b2f3e4c64e05b223351f52f762b8" addr="T1R22C2S1_1" formatStyle="Comma" appId="_GBC_5ea888705f7c4c0f98e8769d2197c0de">
          <m:axisValue occRef="母公司"/>
        </m:item>
        <m:item xlName="_GBC_a89421e2c48c42329098bdc600466553" concept="clcid-pte:ChangQiGuQuanTouZi" label="长期股权投资" mulRef="_GBC_12bdcba29eb54af2b8443a5d65e13487" unitRef="_GBC_5ae5b2f3e4c64e05b223351f52f762b8" addr="T1R22C3S1_1" formatStyle="Comma" appId="_GBC_5ea888705f7c4c0f98e8769d2197c0de">
          <m:axisValue occRef="调整数"/>
          <m:axisValue occRef="母公司"/>
        </m:item>
        <m:placeholder xlName="_PLD_8fa4799edfb2488aa60a2aa44ca44c75" addr="T1R23C0S1_1"/>
        <m:item xlName="_GBC_2287f720be1946aa9bca4cc9e1ffa565" concept="clcid-pte:QiTaQuanYiGongJuTouZi" label="其他权益工具投资" periodRef="上年期末数" mulRef="_GBC_12bdcba29eb54af2b8443a5d65e13487" unitRef="_GBC_5ae5b2f3e4c64e05b223351f52f762b8" addr="T1R23C1S1_1" formatStyle="Comma" appId="_GBC_5ea888705f7c4c0f98e8769d2197c0de">
          <m:axisValue occRef="母公司"/>
        </m:item>
        <m:item xlName="_GBC_6b7650ad9e444a77b71174c1c7aabe57" concept="clcid-pte:QiTaQuanYiGongJuTouZi" label="其他权益工具投资" periodRef="本期期初数" mulRef="_GBC_12bdcba29eb54af2b8443a5d65e13487" unitRef="_GBC_5ae5b2f3e4c64e05b223351f52f762b8" addr="T1R23C2S1_1" formatStyle="Comma" appId="_GBC_5ea888705f7c4c0f98e8769d2197c0de">
          <m:axisValue occRef="母公司"/>
        </m:item>
        <m:item xlName="_GBC_c79eae8b36394b82985ffb682bec7bca" concept="clcid-pte:QiTaQuanYiGongJuTouZi" label="其他权益工具投资" mulRef="_GBC_12bdcba29eb54af2b8443a5d65e13487" unitRef="_GBC_5ae5b2f3e4c64e05b223351f52f762b8" addr="T1R23C3S1_1" formatStyle="Comma" appId="_GBC_5ea888705f7c4c0f98e8769d2197c0de">
          <m:axisValue occRef="调整数"/>
          <m:axisValue occRef="母公司"/>
        </m:item>
        <m:placeholder xlName="_PLD_e61844f1a7304fd6b2a6710353978835" addr="T1R24C0S1_1"/>
        <m:item xlName="_GBC_a472a967591c4355af9c4f1657074832" concept="clcid-pte:QiTaFeiLiuDongJinRongZiChan" label="其他非流动金融资产" periodRef="上年期末数" mulRef="_GBC_12bdcba29eb54af2b8443a5d65e13487" unitRef="_GBC_5ae5b2f3e4c64e05b223351f52f762b8" addr="T1R24C1S1_1" formatStyle="Comma" appId="_GBC_5ea888705f7c4c0f98e8769d2197c0de">
          <m:axisValue occRef="母公司"/>
        </m:item>
        <m:item xlName="_GBC_45dd13a89ae54db38210c4783a9a6fad" concept="clcid-pte:QiTaFeiLiuDongJinRongZiChan" label="其他非流动金融资产" periodRef="本期期初数" mulRef="_GBC_12bdcba29eb54af2b8443a5d65e13487" unitRef="_GBC_5ae5b2f3e4c64e05b223351f52f762b8" addr="T1R24C2S1_1" formatStyle="Comma" appId="_GBC_5ea888705f7c4c0f98e8769d2197c0de">
          <m:axisValue occRef="母公司"/>
        </m:item>
        <m:item xlName="_GBC_b2ec0125020c4cfab0ac84bebd87e48b" concept="clcid-pte:QiTaFeiLiuDongJinRongZiChan" label="其他非流动金融资产" mulRef="_GBC_12bdcba29eb54af2b8443a5d65e13487" unitRef="_GBC_5ae5b2f3e4c64e05b223351f52f762b8" addr="T1R24C3S1_1" formatStyle="Comma" appId="_GBC_5ea888705f7c4c0f98e8769d2197c0de">
          <m:axisValue occRef="调整数"/>
          <m:axisValue occRef="母公司"/>
        </m:item>
        <m:placeholder xlName="_PLD_923eb7718b5b46499e26c674a192c4ff" addr="T1R25C0S1_1"/>
        <m:item xlName="_GBC_2d4e96da89134025ace2e9e7583541c1" concept="clcid-pte:TouZiXingFangDiChan" label="投资性房地产" periodRef="上年期末数" mulRef="_GBC_12bdcba29eb54af2b8443a5d65e13487" unitRef="_GBC_5ae5b2f3e4c64e05b223351f52f762b8" addr="T1R25C1S1_1" formatStyle="Comma" appId="_GBC_5ea888705f7c4c0f98e8769d2197c0de">
          <m:axisValue occRef="母公司"/>
        </m:item>
        <m:item xlName="_GBC_b0f27bf57aa04f64aee905e83661831d" concept="clcid-pte:TouZiXingFangDiChan" label="投资性房地产" periodRef="本期期初数" mulRef="_GBC_12bdcba29eb54af2b8443a5d65e13487" unitRef="_GBC_5ae5b2f3e4c64e05b223351f52f762b8" addr="T1R25C2S1_1" formatStyle="Comma" appId="_GBC_5ea888705f7c4c0f98e8769d2197c0de">
          <m:axisValue occRef="母公司"/>
        </m:item>
        <m:item xlName="_GBC_8ea24d7ce863460c9eafca8675a17b9f" concept="clcid-pte:TouZiXingFangDiChan" label="投资性房地产" mulRef="_GBC_12bdcba29eb54af2b8443a5d65e13487" unitRef="_GBC_5ae5b2f3e4c64e05b223351f52f762b8" addr="T1R25C3S1_1" formatStyle="Comma" appId="_GBC_5ea888705f7c4c0f98e8769d2197c0de">
          <m:axisValue occRef="调整数"/>
          <m:axisValue occRef="母公司"/>
        </m:item>
        <m:placeholder xlName="_PLD_f782e0f6f8eb4d55b6200e2b80225924" addr="T1R26C0S1_1"/>
        <m:item xlName="_GBC_8ce4aea4f77248239e42fc603cefdd04" concept="clcid-pte:GuDingZiChanJingE" label="固定资产净额" periodRef="上年期末数" mulRef="_GBC_12bdcba29eb54af2b8443a5d65e13487" unitRef="_GBC_5ae5b2f3e4c64e05b223351f52f762b8" addr="T1R26C1S1_1" formatStyle="Comma" appId="_GBC_5ea888705f7c4c0f98e8769d2197c0de">
          <m:axisValue occRef="母公司"/>
        </m:item>
        <m:item xlName="_GBC_3ecc474ccdb44512ba5102a3bb466080" concept="clcid-pte:GuDingZiChanJingE" label="固定资产净额" periodRef="本期期初数" mulRef="_GBC_12bdcba29eb54af2b8443a5d65e13487" unitRef="_GBC_5ae5b2f3e4c64e05b223351f52f762b8" addr="T1R26C2S1_1" formatStyle="Comma" appId="_GBC_5ea888705f7c4c0f98e8769d2197c0de">
          <m:axisValue occRef="母公司"/>
        </m:item>
        <m:item xlName="_GBC_70c736369e884aefaa51ab906427fb97" concept="clcid-pte:GuDingZiChanJingE" label="固定资产净额" mulRef="_GBC_12bdcba29eb54af2b8443a5d65e13487" unitRef="_GBC_5ae5b2f3e4c64e05b223351f52f762b8" addr="T1R26C3S1_1" formatStyle="Comma" appId="_GBC_5ea888705f7c4c0f98e8769d2197c0de">
          <m:axisValue occRef="调整数"/>
          <m:axisValue occRef="母公司"/>
        </m:item>
        <m:placeholder xlName="_PLD_9888fe85522948d98e1ac835c1f1dd6c" addr="T1R27C0S1_1"/>
        <m:item xlName="_GBC_a845ab59716e432db383f18ab5bb6238" concept="clcid-pte:ZaiJianGongCheng" label="在建工程" periodRef="上年期末数" mulRef="_GBC_12bdcba29eb54af2b8443a5d65e13487" unitRef="_GBC_5ae5b2f3e4c64e05b223351f52f762b8" addr="T1R27C1S1_1" formatStyle="Comma" appId="_GBC_5ea888705f7c4c0f98e8769d2197c0de">
          <m:axisValue occRef="母公司"/>
        </m:item>
        <m:item xlName="_GBC_a3c05253fc824c62b77f9a7d53cb2bbb" concept="clcid-pte:ZaiJianGongCheng" label="在建工程" periodRef="本期期初数" mulRef="_GBC_12bdcba29eb54af2b8443a5d65e13487" unitRef="_GBC_5ae5b2f3e4c64e05b223351f52f762b8" addr="T1R27C2S1_1" formatStyle="Comma" appId="_GBC_5ea888705f7c4c0f98e8769d2197c0de">
          <m:axisValue occRef="母公司"/>
        </m:item>
        <m:item xlName="_GBC_446f7bd881ae4c60a9dc257da4090e60" concept="clcid-pte:ZaiJianGongCheng" label="在建工程" mulRef="_GBC_12bdcba29eb54af2b8443a5d65e13487" unitRef="_GBC_5ae5b2f3e4c64e05b223351f52f762b8" addr="T1R27C3S1_1" formatStyle="Comma" appId="_GBC_5ea888705f7c4c0f98e8769d2197c0de">
          <m:axisValue occRef="调整数"/>
          <m:axisValue occRef="母公司"/>
        </m:item>
        <m:placeholder xlName="_PLD_94a792f6bcab460c9b29439620066ee2" addr="T1R28C0S1_1"/>
        <m:item xlName="_GBC_e14dcd20ec3e400a8a961c077f6e8fed" concept="clcid-pte:ShengChanXingShengWuZiChan" label="生产性生物资产" periodRef="上年期末数" mulRef="_GBC_12bdcba29eb54af2b8443a5d65e13487" unitRef="_GBC_5ae5b2f3e4c64e05b223351f52f762b8" addr="T1R28C1S1_1" formatStyle="Comma" appId="_GBC_5ea888705f7c4c0f98e8769d2197c0de">
          <m:axisValue occRef="母公司"/>
        </m:item>
        <m:item xlName="_GBC_92d4a2a12b8a4535ae618bb0ff60c2a9" concept="clcid-pte:ShengChanXingShengWuZiChan" label="生产性生物资产" periodRef="本期期初数" mulRef="_GBC_12bdcba29eb54af2b8443a5d65e13487" unitRef="_GBC_5ae5b2f3e4c64e05b223351f52f762b8" addr="T1R28C2S1_1" formatStyle="Comma" appId="_GBC_5ea888705f7c4c0f98e8769d2197c0de">
          <m:axisValue occRef="母公司"/>
        </m:item>
        <m:item xlName="_GBC_cdb2f70cec6445bfb000bcaf4bd245be" concept="clcid-pte:ShengChanXingShengWuZiChan" label="生产性生物资产" mulRef="_GBC_12bdcba29eb54af2b8443a5d65e13487" unitRef="_GBC_5ae5b2f3e4c64e05b223351f52f762b8" addr="T1R28C3S1_1" formatStyle="Comma" appId="_GBC_5ea888705f7c4c0f98e8769d2197c0de">
          <m:axisValue occRef="调整数"/>
          <m:axisValue occRef="母公司"/>
        </m:item>
        <m:placeholder xlName="_PLD_ac72a00d096e4d379112e9698d90becc" addr="T1R29C0S1_1"/>
        <m:item xlName="_GBC_5758dbbc83714aa789e943c7fc45eace" concept="clcid-pte:YouQiZiChan" label="油气资产" periodRef="上年期末数" mulRef="_GBC_12bdcba29eb54af2b8443a5d65e13487" unitRef="_GBC_5ae5b2f3e4c64e05b223351f52f762b8" addr="T1R29C1S1_1" formatStyle="Comma" appId="_GBC_5ea888705f7c4c0f98e8769d2197c0de">
          <m:axisValue occRef="母公司"/>
        </m:item>
        <m:item xlName="_GBC_af9ba839163a4cb1932f040a7fd0ec28" concept="clcid-pte:YouQiZiChan" label="油气资产" periodRef="本期期初数" mulRef="_GBC_12bdcba29eb54af2b8443a5d65e13487" unitRef="_GBC_5ae5b2f3e4c64e05b223351f52f762b8" addr="T1R29C2S1_1" formatStyle="Comma" appId="_GBC_5ea888705f7c4c0f98e8769d2197c0de">
          <m:axisValue occRef="母公司"/>
        </m:item>
        <m:item xlName="_GBC_8fedfa0ddf4d4a0a94e9546f3c0d43b8" concept="clcid-pte:YouQiZiChan" label="油气资产" mulRef="_GBC_12bdcba29eb54af2b8443a5d65e13487" unitRef="_GBC_5ae5b2f3e4c64e05b223351f52f762b8" addr="T1R29C3S1_1" formatStyle="Comma" appId="_GBC_5ea888705f7c4c0f98e8769d2197c0de">
          <m:axisValue occRef="调整数"/>
          <m:axisValue occRef="母公司"/>
        </m:item>
        <m:placeholder xlName="_PLD_952b828b5bb84ee7a90fc8e5ec358171" addr="T1R30C0S1_1"/>
        <m:item xlName="_GBC_86cf8c5e2f2a468e8cdfead5f47f3497" concept="clcid-pte:ShiYongQuanZiChan" label="使用权资产" periodRef="上年期末数" mulRef="_GBC_12bdcba29eb54af2b8443a5d65e13487" unitRef="_GBC_5ae5b2f3e4c64e05b223351f52f762b8" addr="T1R30C1S1_1" formatStyle="Comma" appId="_GBC_5ea888705f7c4c0f98e8769d2197c0de">
          <m:axisValue occRef="母公司"/>
        </m:item>
        <m:item xlName="_GBC_fbcb636696714300b3931241b81e25d8" concept="clcid-pte:ShiYongQuanZiChan" label="使用权资产" periodRef="本期期初数" mulRef="_GBC_12bdcba29eb54af2b8443a5d65e13487" unitRef="_GBC_5ae5b2f3e4c64e05b223351f52f762b8" addr="T1R30C2S1_1" formatStyle="Comma" appId="_GBC_5ea888705f7c4c0f98e8769d2197c0de">
          <m:axisValue occRef="母公司"/>
        </m:item>
        <m:item xlName="_GBC_fd11cc49db474182b796c0ad19a0bd4d" concept="clcid-pte:ShiYongQuanZiChan" label="使用权资产" mulRef="_GBC_12bdcba29eb54af2b8443a5d65e13487" unitRef="_GBC_5ae5b2f3e4c64e05b223351f52f762b8" addr="T1R30C3S1_1" formatStyle="Comma" appId="_GBC_5ea888705f7c4c0f98e8769d2197c0de">
          <m:axisValue occRef="调整数"/>
          <m:axisValue occRef="母公司"/>
        </m:item>
        <m:placeholder xlName="_PLD_d3dfcf3e9c1e4ba1a222b98847f77185" addr="T1R31C0S1_1"/>
        <m:item xlName="_GBC_d2f6bfc8af324fedbfa10fb60991c330" concept="clcid-pte:WuXingZiChan" label="无形资产" periodRef="上年期末数" mulRef="_GBC_12bdcba29eb54af2b8443a5d65e13487" unitRef="_GBC_5ae5b2f3e4c64e05b223351f52f762b8" addr="T1R31C1S1_1" formatStyle="Comma" appId="_GBC_5ea888705f7c4c0f98e8769d2197c0de">
          <m:axisValue occRef="母公司"/>
        </m:item>
        <m:item xlName="_GBC_c898ea04d6824cf2a8beb7961e37711b" concept="clcid-pte:WuXingZiChan" label="无形资产" periodRef="本期期初数" mulRef="_GBC_12bdcba29eb54af2b8443a5d65e13487" unitRef="_GBC_5ae5b2f3e4c64e05b223351f52f762b8" addr="T1R31C2S1_1" formatStyle="Comma" appId="_GBC_5ea888705f7c4c0f98e8769d2197c0de">
          <m:axisValue occRef="母公司"/>
        </m:item>
        <m:item xlName="_GBC_091244164bb64e30a6db1f429dc0098a" concept="clcid-pte:WuXingZiChan" label="无形资产" mulRef="_GBC_12bdcba29eb54af2b8443a5d65e13487" unitRef="_GBC_5ae5b2f3e4c64e05b223351f52f762b8" addr="T1R31C3S1_1" formatStyle="Comma" appId="_GBC_5ea888705f7c4c0f98e8769d2197c0de">
          <m:axisValue occRef="调整数"/>
          <m:axisValue occRef="母公司"/>
        </m:item>
        <m:placeholder xlName="_PLD_d8aaf9fbcb124c8883d1d27dcea819e2" addr="T1R32C0S1_1"/>
        <m:item xlName="_GBC_241ace2b87d44790bb1a7ffb0dc3f3e8" concept="clcid-pte:KaiFaZhiChu" label="开发支出" periodRef="上年期末数" mulRef="_GBC_12bdcba29eb54af2b8443a5d65e13487" unitRef="_GBC_5ae5b2f3e4c64e05b223351f52f762b8" addr="T1R32C1S1_1" formatStyle="Comma" appId="_GBC_5ea888705f7c4c0f98e8769d2197c0de">
          <m:axisValue occRef="母公司"/>
        </m:item>
        <m:item xlName="_GBC_0cf4babe72294fad82dfef7012f44e26" concept="clcid-pte:KaiFaZhiChu" label="开发支出" periodRef="本期期初数" mulRef="_GBC_12bdcba29eb54af2b8443a5d65e13487" unitRef="_GBC_5ae5b2f3e4c64e05b223351f52f762b8" addr="T1R32C2S1_1" formatStyle="Comma" appId="_GBC_5ea888705f7c4c0f98e8769d2197c0de">
          <m:axisValue occRef="母公司"/>
        </m:item>
        <m:item xlName="_GBC_bef3c36c5f0341fdb5ff7007a2557659" concept="clcid-pte:KaiFaZhiChu" label="开发支出" mulRef="_GBC_12bdcba29eb54af2b8443a5d65e13487" unitRef="_GBC_5ae5b2f3e4c64e05b223351f52f762b8" addr="T1R32C3S1_1" formatStyle="Comma" appId="_GBC_5ea888705f7c4c0f98e8769d2197c0de">
          <m:axisValue occRef="调整数"/>
          <m:axisValue occRef="母公司"/>
        </m:item>
        <m:placeholder xlName="_PLD_72f3e515cd2543c59ab69795181cf131" addr="T1R33C0S1_1"/>
        <m:item xlName="_GBC_3596e9cf5117418ca83b62457ebbaf58" concept="clcid-pte:ShangYu" label="商誉" periodRef="上年期末数" mulRef="_GBC_12bdcba29eb54af2b8443a5d65e13487" unitRef="_GBC_5ae5b2f3e4c64e05b223351f52f762b8" addr="T1R33C1S1_1" formatStyle="Comma" appId="_GBC_5ea888705f7c4c0f98e8769d2197c0de">
          <m:axisValue occRef="母公司"/>
        </m:item>
        <m:item xlName="_GBC_f72093b864c442969b1e25c26d01711a" concept="clcid-pte:ShangYu" label="商誉" periodRef="本期期初数" mulRef="_GBC_12bdcba29eb54af2b8443a5d65e13487" unitRef="_GBC_5ae5b2f3e4c64e05b223351f52f762b8" addr="T1R33C2S1_1" formatStyle="Comma" appId="_GBC_5ea888705f7c4c0f98e8769d2197c0de">
          <m:axisValue occRef="母公司"/>
        </m:item>
        <m:item xlName="_GBC_b173e4c04cff4c6791c7bd7965ef589a" concept="clcid-pte:ShangYu" label="商誉" mulRef="_GBC_12bdcba29eb54af2b8443a5d65e13487" unitRef="_GBC_5ae5b2f3e4c64e05b223351f52f762b8" addr="T1R33C3S1_1" formatStyle="Comma" appId="_GBC_5ea888705f7c4c0f98e8769d2197c0de">
          <m:axisValue occRef="调整数"/>
          <m:axisValue occRef="母公司"/>
        </m:item>
        <m:placeholder xlName="_PLD_8c2976ac40f54cd396b19fa300ed8008" addr="T1R34C0S1_1"/>
        <m:item xlName="_GBC_a74ffe7523c749c1a0bdad0cfadafa84" concept="clcid-pte:ChangQiDaiTanFeiYong" label="长期待摊费用" periodRef="上年期末数" mulRef="_GBC_12bdcba29eb54af2b8443a5d65e13487" unitRef="_GBC_5ae5b2f3e4c64e05b223351f52f762b8" addr="T1R34C1S1_1" formatStyle="Comma" appId="_GBC_5ea888705f7c4c0f98e8769d2197c0de">
          <m:axisValue occRef="母公司"/>
        </m:item>
        <m:item xlName="_GBC_ee97d2d04c6f4d95b4c4363b301c1469" concept="clcid-pte:ChangQiDaiTanFeiYong" label="长期待摊费用" periodRef="本期期初数" mulRef="_GBC_12bdcba29eb54af2b8443a5d65e13487" unitRef="_GBC_5ae5b2f3e4c64e05b223351f52f762b8" addr="T1R34C2S1_1" formatStyle="Comma" appId="_GBC_5ea888705f7c4c0f98e8769d2197c0de">
          <m:axisValue occRef="母公司"/>
        </m:item>
        <m:item xlName="_GBC_16910ca6eff34c74a969825b5dd331a0" concept="clcid-pte:ChangQiDaiTanFeiYong" label="长期待摊费用" mulRef="_GBC_12bdcba29eb54af2b8443a5d65e13487" unitRef="_GBC_5ae5b2f3e4c64e05b223351f52f762b8" addr="T1R34C3S1_1" formatStyle="Comma" appId="_GBC_5ea888705f7c4c0f98e8769d2197c0de">
          <m:axisValue occRef="调整数"/>
          <m:axisValue occRef="母公司"/>
        </m:item>
        <m:placeholder xlName="_PLD_53d257ee3505443db4987c29f2554910" addr="T1R35C0S1_1"/>
        <m:item xlName="_GBC_4f89ec6dba14421caf9d52f4e6b55a8d" concept="clcid-pte:DiYanShuiKuanJieXiangHeJi" label="递延税款借项合计" periodRef="上年期末数" mulRef="_GBC_12bdcba29eb54af2b8443a5d65e13487" unitRef="_GBC_5ae5b2f3e4c64e05b223351f52f762b8" addr="T1R35C1S1_1" formatStyle="Comma" appId="_GBC_5ea888705f7c4c0f98e8769d2197c0de">
          <m:axisValue occRef="母公司"/>
        </m:item>
        <m:item xlName="_GBC_aea2ab3fb17049faa009dbb98f4ca6ef" concept="clcid-pte:DiYanShuiKuanJieXiangHeJi" label="递延税款借项合计" periodRef="本期期初数" mulRef="_GBC_12bdcba29eb54af2b8443a5d65e13487" unitRef="_GBC_5ae5b2f3e4c64e05b223351f52f762b8" addr="T1R35C2S1_1" formatStyle="Comma" appId="_GBC_5ea888705f7c4c0f98e8769d2197c0de">
          <m:axisValue occRef="母公司"/>
        </m:item>
        <m:item xlName="_GBC_e7c910a69f7f4f948367ce5a90e35922" concept="clcid-pte:DiYanShuiKuanJieXiangHeJi" label="递延税款借项合计" mulRef="_GBC_12bdcba29eb54af2b8443a5d65e13487" unitRef="_GBC_5ae5b2f3e4c64e05b223351f52f762b8" addr="T1R35C3S1_1" formatStyle="Comma" appId="_GBC_5ea888705f7c4c0f98e8769d2197c0de">
          <m:axisValue occRef="调整数"/>
          <m:axisValue occRef="母公司"/>
        </m:item>
        <m:placeholder xlName="_PLD_919069c92934428fbcfd69549ecd9bfe" addr="T1R36C0S1_1"/>
        <m:item xlName="_GBC_e2b44e3cbc634c368a98665b3266f154" concept="clcid-pte:QiTaChangQiZiChan" label="其他长期资产" periodRef="上年期末数" mulRef="_GBC_12bdcba29eb54af2b8443a5d65e13487" unitRef="_GBC_5ae5b2f3e4c64e05b223351f52f762b8" addr="T1R36C1S1_1" formatStyle="Comma" appId="_GBC_5ea888705f7c4c0f98e8769d2197c0de">
          <m:axisValue occRef="母公司"/>
        </m:item>
        <m:item xlName="_GBC_0f0bb1adbbf84aaabad596273ac26344" concept="clcid-pte:QiTaChangQiZiChan" label="其他长期资产" periodRef="本期期初数" mulRef="_GBC_12bdcba29eb54af2b8443a5d65e13487" unitRef="_GBC_5ae5b2f3e4c64e05b223351f52f762b8" addr="T1R36C2S1_1" formatStyle="Comma" appId="_GBC_5ea888705f7c4c0f98e8769d2197c0de">
          <m:axisValue occRef="母公司"/>
        </m:item>
        <m:item xlName="_GBC_29c05747eccd4d0e8d9f9daf463925a8" concept="clcid-pte:QiTaChangQiZiChan" label="其他长期资产" mulRef="_GBC_12bdcba29eb54af2b8443a5d65e13487" unitRef="_GBC_5ae5b2f3e4c64e05b223351f52f762b8" addr="T1R36C3S1_1" formatStyle="Comma" appId="_GBC_5ea888705f7c4c0f98e8769d2197c0de">
          <m:axisValue occRef="调整数"/>
          <m:axisValue occRef="母公司"/>
        </m:item>
        <m:placeholder xlName="_PLD_f24ecc71dadc469a9a36c98fcc2789eb" addr="T1R37C0S1_1"/>
        <m:item xlName="_GBC_8e13195de19c41069d3c2b38bf7f1fda" concept="clcid-pte:FeiLiuDongZiChanHeJi" label="非流动资产合计" periodRef="上年期末数" mulRef="_GBC_12bdcba29eb54af2b8443a5d65e13487" unitRef="_GBC_5ae5b2f3e4c64e05b223351f52f762b8" addr="T1R37C1S1_1" formatStyle="Comma" appId="_GBC_5ea888705f7c4c0f98e8769d2197c0de">
          <m:complexRule comparator="Eq" title="母公司非流动资产合计" test=" $_GBC_cd8ecd7bbb9c407cb2c04dba9e7c8fc5 +  $_GBC_69bf262396284a8d8ad62beef3ba3f2d +  $_GBC_2d4e96da89134025ace2e9e7583541c1 +  $_GBC_8ce4aea4f77248239e42fc603cefdd04 +  $_GBC_a845ab59716e432db383f18ab5bb6238 +  $_GBC_e14dcd20ec3e400a8a961c077f6e8fed +  $_GBC_5758dbbc83714aa789e943c7fc45eace +  $_GBC_86cf8c5e2f2a468e8cdfead5f47f3497 +  $_GBC_d2f6bfc8af324fedbfa10fb60991c330 +  $_GBC_241ace2b87d44790bb1a7ffb0dc3f3e8 +  $_GBC_3596e9cf5117418ca83b62457ebbaf58 +  $_GBC_a74ffe7523c749c1a0bdad0cfadafa84 +  $_GBC_4f89ec6dba14421caf9d52f4e6b55a8d +  $_GBC_e2b44e3cbc634c368a98665b3266f154 +  $_GBC_815c0b5b2b794626ab7c4092ebbaa6d8 +  $_GBC_9c01b03d6ddb47c081941f5598b17994 +  $_GBC_2287f720be1946aa9bca4cc9e1ffa565 +  $_GBC_a472a967591c4355af9c4f1657074832" id="C913704989cdd449e800e13177f752bb9"/>
          <m:axisValue occRef="母公司"/>
        </m:item>
        <m:item xlName="_GBC_d6604809fbcd444587384b35d4b41d44" concept="clcid-pte:FeiLiuDongZiChanHeJi" label="非流动资产合计" periodRef="本期期初数" mulRef="_GBC_12bdcba29eb54af2b8443a5d65e13487" unitRef="_GBC_5ae5b2f3e4c64e05b223351f52f762b8" addr="T1R37C2S1_1" formatStyle="Comma" appId="_GBC_5ea888705f7c4c0f98e8769d2197c0de">
          <m:complexRule comparator="Eq" title="母公司非流动资产合计@本期期初数" test=" $_GBC_fa4bebe41959400289c4a86b1c79021f +  $_GBC_d314344f83d04a15851b1f5cad8ae4f5 +  $_GBC_b0f27bf57aa04f64aee905e83661831d +  $_GBC_3ecc474ccdb44512ba5102a3bb466080 +  $_GBC_a3c05253fc824c62b77f9a7d53cb2bbb +  $_GBC_92d4a2a12b8a4535ae618bb0ff60c2a9 +  $_GBC_af9ba839163a4cb1932f040a7fd0ec28 +  $_GBC_fbcb636696714300b3931241b81e25d8 +  $_GBC_c898ea04d6824cf2a8beb7961e37711b +  $_GBC_0cf4babe72294fad82dfef7012f44e26 +  $_GBC_f72093b864c442969b1e25c26d01711a +  $_GBC_ee97d2d04c6f4d95b4c4363b301c1469 +  $_GBC_aea2ab3fb17049faa009dbb98f4ca6ef +  $_GBC_0f0bb1adbbf84aaabad596273ac26344 +  $_GBC_f396aa0d01014dc0b72dcd0954b88f4c +  $_GBC_4676e00d051e48d0bf0360fc196d6267 +  $_GBC_6b7650ad9e444a77b71174c1c7aabe57 +  $_GBC_45dd13a89ae54db38210c4783a9a6fad" id="C6b4e6bdb6e444fceb409f3459a5dc883"/>
          <m:axisValue occRef="母公司"/>
        </m:item>
        <m:item xlName="_GBC_6094449c854047a5ad47e970860161f5" concept="clcid-pte:FeiLiuDongZiChanHeJi" label="非流动资产合计" mulRef="_GBC_12bdcba29eb54af2b8443a5d65e13487" unitRef="_GBC_5ae5b2f3e4c64e05b223351f52f762b8" addr="T1R37C3S1_1" formatStyle="Comma" appId="_GBC_5ea888705f7c4c0f98e8769d2197c0de">
          <m:complexRule comparator="Eq" title="母公司非流动资产合计(调整数)" test=" $_GBC_200f67a03f2342b99bfab6435e24d081 +  $_GBC_db0562b7b6f94bc8bb20c40f0cc61b79 +  $_GBC_eb3e604b3a434ad8951af380b55717bf +  $_GBC_a89421e2c48c42329098bdc600466553 +  $_GBC_c79eae8b36394b82985ffb682bec7bca +  $_GBC_b2ec0125020c4cfab0ac84bebd87e48b +  $_GBC_8ea24d7ce863460c9eafca8675a17b9f +  $_GBC_70c736369e884aefaa51ab906427fb97 +  $_GBC_446f7bd881ae4c60a9dc257da4090e60 +  $_GBC_cdb2f70cec6445bfb000bcaf4bd245be +  $_GBC_8fedfa0ddf4d4a0a94e9546f3c0d43b8 +  $_GBC_fd11cc49db474182b796c0ad19a0bd4d +  $_GBC_091244164bb64e30a6db1f429dc0098a +  $_GBC_bef3c36c5f0341fdb5ff7007a2557659 +  $_GBC_b173e4c04cff4c6791c7bd7965ef589a +  $_GBC_16910ca6eff34c74a969825b5dd331a0 +  $_GBC_e7c910a69f7f4f948367ce5a90e35922 +  $_GBC_29c05747eccd4d0e8d9f9daf463925a8" id="C0370a43bc3d844f499bbaa788a919b19"/>
          <m:axisValue occRef="调整数"/>
          <m:axisValue occRef="母公司"/>
        </m:item>
        <m:placeholder xlName="_PLD_51977f8ffa3f40279adeb2efeb9bc455" addr="T1R38C0S1_1"/>
        <m:item xlName="_GBC_a3d6e2aeac7a46f8aae046939df6e3cb" concept="clcid-pte:ZiChanZongJi" label="资产总计" periodRef="上年期末数" mulRef="_GBC_12bdcba29eb54af2b8443a5d65e13487" unitRef="_GBC_5ae5b2f3e4c64e05b223351f52f762b8" addr="T1R38C1S1_1" formatStyle="Comma" appId="_GBC_5ea888705f7c4c0f98e8769d2197c0de">
          <m:complexRule comparator="Eq" title="母公司资产总计" test=" $_GBC_a44f68c4261248ab944f95ab8dda2c7c +  $_GBC_8e13195de19c41069d3c2b38bf7f1fda" id="C044d9638710341029a75c1243ce337d1"/>
          <m:complexRule comparator="Eq" title="母公司资产总计" test=" $_GBC_6bb244d4058942ef8ae216ab7fec1d0e" id="Ccd1076495450478e9151d8d542a72a86"/>
          <m:axisValue occRef="母公司"/>
        </m:item>
        <m:item xlName="_GBC_15203444041f4be7b8f4f83e78e5e0b0" concept="clcid-pte:ZiChanZongJi" label="资产总计" periodRef="本期期初数" mulRef="_GBC_12bdcba29eb54af2b8443a5d65e13487" unitRef="_GBC_5ae5b2f3e4c64e05b223351f52f762b8" addr="T1R38C2S1_1" formatStyle="Comma" appId="_GBC_5ea888705f7c4c0f98e8769d2197c0de">
          <m:complexRule comparator="Eq" title="母公司资产总计@本期期初数" test=" $_GBC_9aabc75772744bc19cd24a7d4c481b8c +  $_GBC_d6604809fbcd444587384b35d4b41d44" id="C922dea47b8b043f991398a26c91dc027"/>
          <m:complexRule comparator="Eq" title="母公司资产总计@本期期初数" test=" $_GBC_7623a9795af54305a03d4f79eda01341" id="Cd1ec8a0a1a5b419da7c0495cd8817fc9"/>
          <m:axisValue occRef="母公司"/>
        </m:item>
        <m:item xlName="_GBC_ece840054ffc4c15baa5b64f8cec7db1" concept="clcid-pte:ZiChanZongJi" label="资产总计" mulRef="_GBC_12bdcba29eb54af2b8443a5d65e13487" unitRef="_GBC_5ae5b2f3e4c64e05b223351f52f762b8" addr="T1R38C3S1_1" formatStyle="Comma" appId="_GBC_5ea888705f7c4c0f98e8769d2197c0de">
          <m:complexRule comparator="Eq" title="母公司资产总计(调整数)" test=" $_GBC_ddbd33f78d5d4171bcbea4359e03731d +  $_GBC_6094449c854047a5ad47e970860161f5" id="C48ee318bb7e642b9a9b0a65ae65f5e42"/>
          <m:complexRule comparator="Eq" test=" $_GBC_36e5ba49af9b494d9904ced285d0fac3" id="Cc8cba99a16674e41bba82ce504e7f6fb"/>
          <m:axisValue occRef="调整数"/>
          <m:axisValue occRef="母公司"/>
        </m:item>
        <m:placeholder xlName="_PLD_db8d96c989354c3296a1eda26de6ec79" addr="T1R39C0S1_4"/>
        <m:placeholder xlName="_PLD_3e2e2cae5fe54175954842f21e380792" addr="T1R40C0S1_1"/>
        <m:item xlName="_GBC_77658ae104dc4929b9246c3d94e49a6e" concept="clcid-pte:DuanQiJieKuan" label="短期借款" periodRef="上年期末数" mulRef="_GBC_12bdcba29eb54af2b8443a5d65e13487" unitRef="_GBC_5ae5b2f3e4c64e05b223351f52f762b8" addr="T1R40C1S1_1" formatStyle="Comma" appId="_GBC_5ea888705f7c4c0f98e8769d2197c0de">
          <m:axisValue occRef="母公司"/>
        </m:item>
        <m:item xlName="_GBC_dfd8e5073c5045c98903c14c682e1724" concept="clcid-pte:DuanQiJieKuan" label="短期借款" periodRef="本期期初数" mulRef="_GBC_12bdcba29eb54af2b8443a5d65e13487" unitRef="_GBC_5ae5b2f3e4c64e05b223351f52f762b8" addr="T1R40C2S1_1" formatStyle="Comma" appId="_GBC_5ea888705f7c4c0f98e8769d2197c0de">
          <m:axisValue occRef="母公司"/>
        </m:item>
        <m:item xlName="_GBC_40a89a1144f548d0b4392f2e8dfc4ee6" concept="clcid-pte:DuanQiJieKuan" label="短期借款" mulRef="_GBC_12bdcba29eb54af2b8443a5d65e13487" unitRef="_GBC_5ae5b2f3e4c64e05b223351f52f762b8" addr="T1R40C3S1_1" formatStyle="Comma" appId="_GBC_5ea888705f7c4c0f98e8769d2197c0de">
          <m:axisValue occRef="调整数"/>
          <m:axisValue occRef="母公司"/>
        </m:item>
        <m:placeholder xlName="_PLD_cc94fe40b83d49bf83fb122751e1d1bb" addr="T1R41C0S1_1"/>
        <m:item xlName="_GBC_5ad718bd52ed429fbc25b26aa0425289" concept="clcid-pte:JiaoYiXingJinRongFuZhai" label="交易性金融负债" periodRef="上年期末数" mulRef="_GBC_12bdcba29eb54af2b8443a5d65e13487" unitRef="_GBC_5ae5b2f3e4c64e05b223351f52f762b8" addr="T1R41C1S1_1" formatStyle="Comma" appId="_GBC_5ea888705f7c4c0f98e8769d2197c0de">
          <m:axisValue occRef="母公司"/>
        </m:item>
        <m:item xlName="_GBC_cb96993a8e0e4db692a331fdb6385aa5" concept="clcid-pte:JiaoYiXingJinRongFuZhai" label="交易性金融负债" periodRef="本期期初数" mulRef="_GBC_12bdcba29eb54af2b8443a5d65e13487" unitRef="_GBC_5ae5b2f3e4c64e05b223351f52f762b8" addr="T1R41C2S1_1" formatStyle="Comma" appId="_GBC_5ea888705f7c4c0f98e8769d2197c0de">
          <m:axisValue occRef="母公司"/>
        </m:item>
        <m:item xlName="_GBC_d8fcb9b97b334449b32d0f089d377ac7" concept="clcid-pte:JiaoYiXingJinRongFuZhai" label="交易性金融负债" mulRef="_GBC_12bdcba29eb54af2b8443a5d65e13487" unitRef="_GBC_5ae5b2f3e4c64e05b223351f52f762b8" addr="T1R41C3S1_1" formatStyle="Comma" appId="_GBC_5ea888705f7c4c0f98e8769d2197c0de">
          <m:axisValue occRef="调整数"/>
          <m:axisValue occRef="母公司"/>
        </m:item>
        <m:placeholder xlName="_PLD_c66d4d28400f430283766247212b1db5" addr="T1R42C0S1_1"/>
        <m:item xlName="_GBC_4a7097331c294513b2a2d1cf4ed4e60c" concept="clcid-pte:YanShengJinRongFuZhai" label="衍生金融负债" periodRef="上年期末数" mulRef="_GBC_12bdcba29eb54af2b8443a5d65e13487" unitRef="_GBC_5ae5b2f3e4c64e05b223351f52f762b8" addr="T1R42C1S1_1" formatStyle="Comma" appId="_GBC_5ea888705f7c4c0f98e8769d2197c0de">
          <m:axisValue occRef="母公司"/>
        </m:item>
        <m:item xlName="_GBC_5a788aa9dc844f778121f5ab9b012f74" concept="clcid-pte:YanShengJinRongFuZhai" label="衍生金融负债" periodRef="本期期初数" mulRef="_GBC_12bdcba29eb54af2b8443a5d65e13487" unitRef="_GBC_5ae5b2f3e4c64e05b223351f52f762b8" addr="T1R42C2S1_1" formatStyle="Comma" appId="_GBC_5ea888705f7c4c0f98e8769d2197c0de">
          <m:axisValue occRef="母公司"/>
        </m:item>
        <m:item xlName="_GBC_476bb8d2e74f432cb70bbbb75fe02571" concept="clcid-pte:YanShengJinRongFuZhai" label="衍生金融负债" mulRef="_GBC_12bdcba29eb54af2b8443a5d65e13487" unitRef="_GBC_5ae5b2f3e4c64e05b223351f52f762b8" addr="T1R42C3S1_1" formatStyle="Comma" appId="_GBC_5ea888705f7c4c0f98e8769d2197c0de">
          <m:axisValue occRef="调整数"/>
          <m:axisValue occRef="母公司"/>
        </m:item>
        <m:placeholder xlName="_PLD_6f67648c9cf84e82a7a20c798fe25ca4" addr="T1R43C0S1_1"/>
        <m:item xlName="_GBC_64f19fad12fc48dd8d8f8e58f8550645" concept="clcid-pte:YingFuPiaoJu" label="应付票据" periodRef="上年期末数" mulRef="_GBC_12bdcba29eb54af2b8443a5d65e13487" unitRef="_GBC_5ae5b2f3e4c64e05b223351f52f762b8" addr="T1R43C1S1_1" formatStyle="Comma" appId="_GBC_5ea888705f7c4c0f98e8769d2197c0de">
          <m:axisValue occRef="母公司"/>
        </m:item>
        <m:item xlName="_GBC_93a697695de747bdaa160ee777091333" concept="clcid-pte:YingFuPiaoJu" label="应付票据" periodRef="本期期初数" mulRef="_GBC_12bdcba29eb54af2b8443a5d65e13487" unitRef="_GBC_5ae5b2f3e4c64e05b223351f52f762b8" addr="T1R43C2S1_1" formatStyle="Comma" appId="_GBC_5ea888705f7c4c0f98e8769d2197c0de">
          <m:axisValue occRef="母公司"/>
        </m:item>
        <m:item xlName="_GBC_2514c581f5a048469a4fb8c20eaca209" concept="clcid-pte:YingFuPiaoJu" label="应付票据" mulRef="_GBC_12bdcba29eb54af2b8443a5d65e13487" unitRef="_GBC_5ae5b2f3e4c64e05b223351f52f762b8" addr="T1R43C3S1_1" formatStyle="Comma" appId="_GBC_5ea888705f7c4c0f98e8769d2197c0de">
          <m:axisValue occRef="调整数"/>
          <m:axisValue occRef="母公司"/>
        </m:item>
        <m:placeholder xlName="_PLD_120db261af8f49df8aaf60cf2fb46c78" addr="T1R44C0S1_1"/>
        <m:item xlName="_GBC_ccc75fb65f524684be81e57569a908ef" concept="clcid-pte:YingFuZhangKuan" label="应付帐款" periodRef="上年期末数" mulRef="_GBC_12bdcba29eb54af2b8443a5d65e13487" unitRef="_GBC_5ae5b2f3e4c64e05b223351f52f762b8" addr="T1R44C1S1_1" formatStyle="Comma" appId="_GBC_5ea888705f7c4c0f98e8769d2197c0de">
          <m:axisValue occRef="母公司"/>
        </m:item>
        <m:item xlName="_GBC_a93e966a96e14547b0bf9ab0bc9132ea" concept="clcid-pte:YingFuZhangKuan" label="应付帐款" periodRef="本期期初数" mulRef="_GBC_12bdcba29eb54af2b8443a5d65e13487" unitRef="_GBC_5ae5b2f3e4c64e05b223351f52f762b8" addr="T1R44C2S1_1" formatStyle="Comma" appId="_GBC_5ea888705f7c4c0f98e8769d2197c0de">
          <m:axisValue occRef="母公司"/>
        </m:item>
        <m:item xlName="_GBC_8c7ddb5ec86944f89597055da1de1bba" concept="clcid-pte:YingFuZhangKuan" label="应付帐款" mulRef="_GBC_12bdcba29eb54af2b8443a5d65e13487" unitRef="_GBC_5ae5b2f3e4c64e05b223351f52f762b8" addr="T1R44C3S1_1" formatStyle="Comma" appId="_GBC_5ea888705f7c4c0f98e8769d2197c0de">
          <m:axisValue occRef="调整数"/>
          <m:axisValue occRef="母公司"/>
        </m:item>
        <m:placeholder xlName="_PLD_d034864597704b55a5f3f7f998469d5b" addr="T1R45C0S1_1"/>
        <m:item xlName="_GBC_f4c1b18432774dff91567b96dc425f64" concept="clcid-pte:YuShouZhangKuan" label="预收帐款" periodRef="上年期末数" mulRef="_GBC_12bdcba29eb54af2b8443a5d65e13487" unitRef="_GBC_5ae5b2f3e4c64e05b223351f52f762b8" addr="T1R45C1S1_1" formatStyle="Comma" appId="_GBC_5ea888705f7c4c0f98e8769d2197c0de">
          <m:axisValue occRef="母公司"/>
        </m:item>
        <m:item xlName="_GBC_511f0be2aa9d42fe88f8ea05cb405ada" concept="clcid-pte:YuShouZhangKuan" label="预收帐款" periodRef="本期期初数" mulRef="_GBC_12bdcba29eb54af2b8443a5d65e13487" unitRef="_GBC_5ae5b2f3e4c64e05b223351f52f762b8" addr="T1R45C2S1_1" formatStyle="Comma" appId="_GBC_5ea888705f7c4c0f98e8769d2197c0de">
          <m:axisValue occRef="母公司"/>
        </m:item>
        <m:item xlName="_GBC_f85bc95b314d42aaa2281df222edebd0" concept="clcid-pte:YuShouZhangKuan" label="预收帐款" mulRef="_GBC_12bdcba29eb54af2b8443a5d65e13487" unitRef="_GBC_5ae5b2f3e4c64e05b223351f52f762b8" addr="T1R45C3S1_1" formatStyle="Comma" appId="_GBC_5ea888705f7c4c0f98e8769d2197c0de">
          <m:axisValue occRef="调整数"/>
          <m:axisValue occRef="母公司"/>
        </m:item>
        <m:placeholder xlName="_PLD_8561f0d0a0a34a85828d80c58f692fff" addr="T1R46C0S1_1"/>
        <m:item xlName="_GBC_c11211d5aa6a45ec8af495714b39644a" concept="clcid-pte:HeTongFuZhai" label="合同负债" periodRef="上年期末数" mulRef="_GBC_12bdcba29eb54af2b8443a5d65e13487" unitRef="_GBC_5ae5b2f3e4c64e05b223351f52f762b8" addr="T1R46C1S1_1" formatStyle="Comma" appId="_GBC_5ea888705f7c4c0f98e8769d2197c0de">
          <m:axisValue occRef="母公司"/>
        </m:item>
        <m:item xlName="_GBC_43ae9415b8824e1abadda73d5b15c0af" concept="clcid-pte:HeTongFuZhai" label="合同负债" periodRef="本期期初数" mulRef="_GBC_12bdcba29eb54af2b8443a5d65e13487" unitRef="_GBC_5ae5b2f3e4c64e05b223351f52f762b8" addr="T1R46C2S1_1" formatStyle="Comma" appId="_GBC_5ea888705f7c4c0f98e8769d2197c0de">
          <m:axisValue occRef="母公司"/>
        </m:item>
        <m:item xlName="_GBC_e7e660e5fe844f6fb433f3f66608edaa" concept="clcid-pte:HeTongFuZhai" label="合同负债" mulRef="_GBC_12bdcba29eb54af2b8443a5d65e13487" unitRef="_GBC_5ae5b2f3e4c64e05b223351f52f762b8" addr="T1R46C3S1_1" formatStyle="Comma" appId="_GBC_5ea888705f7c4c0f98e8769d2197c0de">
          <m:axisValue occRef="调整数"/>
          <m:axisValue occRef="母公司"/>
        </m:item>
        <m:placeholder xlName="_PLD_fe577d9706c54cc5a0e6f7a4f5604308" addr="T1R47C0S1_1"/>
        <m:item xlName="_GBC_da5c7643f49a4a4195d0f10d2bcc8b74" concept="clcid-pte:YingFuZhiGongXinChou" label="应付职工薪酬" periodRef="上年期末数" mulRef="_GBC_12bdcba29eb54af2b8443a5d65e13487" unitRef="_GBC_5ae5b2f3e4c64e05b223351f52f762b8" addr="T1R47C1S1_1" formatStyle="Comma" appId="_GBC_5ea888705f7c4c0f98e8769d2197c0de">
          <m:axisValue occRef="母公司"/>
        </m:item>
        <m:item xlName="_GBC_a93b5e0376f74b2190cef3af8a156750" concept="clcid-pte:YingFuZhiGongXinChou" label="应付职工薪酬" periodRef="本期期初数" mulRef="_GBC_12bdcba29eb54af2b8443a5d65e13487" unitRef="_GBC_5ae5b2f3e4c64e05b223351f52f762b8" addr="T1R47C2S1_1" formatStyle="Comma" appId="_GBC_5ea888705f7c4c0f98e8769d2197c0de">
          <m:axisValue occRef="母公司"/>
        </m:item>
        <m:item xlName="_GBC_f380bed82f494837a3dfc584778cfdeb" concept="clcid-pte:YingFuZhiGongXinChou" label="应付职工薪酬" mulRef="_GBC_12bdcba29eb54af2b8443a5d65e13487" unitRef="_GBC_5ae5b2f3e4c64e05b223351f52f762b8" addr="T1R47C3S1_1" formatStyle="Comma" appId="_GBC_5ea888705f7c4c0f98e8769d2197c0de">
          <m:axisValue occRef="调整数"/>
          <m:axisValue occRef="母公司"/>
        </m:item>
        <m:placeholder xlName="_PLD_51b9a6704bb24333afd79a9e810f3762" addr="T1R48C0S1_1"/>
        <m:item xlName="_GBC_5cf3014009684c6784661dcffdb80af8" concept="clcid-pte:YingJiaoShuiJin" label="应交税金" periodRef="上年期末数" mulRef="_GBC_12bdcba29eb54af2b8443a5d65e13487" unitRef="_GBC_5ae5b2f3e4c64e05b223351f52f762b8" addr="T1R48C1S1_1" formatStyle="Comma" appId="_GBC_5ea888705f7c4c0f98e8769d2197c0de">
          <m:axisValue occRef="母公司"/>
        </m:item>
        <m:item xlName="_GBC_aed2626d4e6547daad144c3a2032a735" concept="clcid-pte:YingJiaoShuiJin" label="应交税金" periodRef="本期期初数" mulRef="_GBC_12bdcba29eb54af2b8443a5d65e13487" unitRef="_GBC_5ae5b2f3e4c64e05b223351f52f762b8" addr="T1R48C2S1_1" formatStyle="Comma" appId="_GBC_5ea888705f7c4c0f98e8769d2197c0de">
          <m:axisValue occRef="母公司"/>
        </m:item>
        <m:item xlName="_GBC_82e08704aa07443abe42ff6cfeb58bbd" concept="clcid-pte:YingJiaoShuiJin" label="应交税金" mulRef="_GBC_12bdcba29eb54af2b8443a5d65e13487" unitRef="_GBC_5ae5b2f3e4c64e05b223351f52f762b8" addr="T1R48C3S1_1" formatStyle="Comma" appId="_GBC_5ea888705f7c4c0f98e8769d2197c0de">
          <m:axisValue occRef="调整数"/>
          <m:axisValue occRef="母公司"/>
        </m:item>
        <m:placeholder xlName="_PLD_6c899088837047b59f06e1ea234d6e77" addr="T1R49C0S1_1"/>
        <m:item xlName="_GBC_09a274c86274410ab3b0f6369bee9b7b" concept="clcid-pte:QiTaYingFuKuan" label="其他应付款" periodRef="上年期末数" mulRef="_GBC_12bdcba29eb54af2b8443a5d65e13487" unitRef="_GBC_5ae5b2f3e4c64e05b223351f52f762b8" addr="T1R49C1S1_1" formatStyle="Comma" appId="_GBC_5ea888705f7c4c0f98e8769d2197c0de">
          <m:axisValue occRef="母公司"/>
        </m:item>
        <m:item xlName="_GBC_5deffa41350d4d32b1bcc87f28310323" concept="clcid-pte:QiTaYingFuKuan" label="其他应付款" periodRef="本期期初数" mulRef="_GBC_12bdcba29eb54af2b8443a5d65e13487" unitRef="_GBC_5ae5b2f3e4c64e05b223351f52f762b8" addr="T1R49C2S1_1" formatStyle="Comma" appId="_GBC_5ea888705f7c4c0f98e8769d2197c0de">
          <m:axisValue occRef="母公司"/>
        </m:item>
        <m:item xlName="_GBC_291b606f7a33471daafa22fc87a03db3" concept="clcid-pte:QiTaYingFuKuan" label="其他应付款" mulRef="_GBC_12bdcba29eb54af2b8443a5d65e13487" unitRef="_GBC_5ae5b2f3e4c64e05b223351f52f762b8" addr="T1R49C3S1_1" formatStyle="Comma" appId="_GBC_5ea888705f7c4c0f98e8769d2197c0de">
          <m:axisValue occRef="调整数"/>
          <m:axisValue occRef="母公司"/>
        </m:item>
        <m:placeholder xlName="_PLD_32cf39725ac848019b8f693468e6c1df" addr="T1R50C0S1_1"/>
        <m:item xlName="_GBC_d4e3d3c51c6141fab89b0f58c4007247" concept="clcid-pte:YingFuLiXi" label="应付利息" periodRef="上年期末数" mulRef="_GBC_12bdcba29eb54af2b8443a5d65e13487" unitRef="_GBC_5ae5b2f3e4c64e05b223351f52f762b8" addr="T1R50C1S1_1" formatStyle="Comma" appId="_GBC_5ea888705f7c4c0f98e8769d2197c0de">
          <m:axisValue occRef="母公司"/>
        </m:item>
        <m:item xlName="_GBC_30ced8a32a8d45d1b7937c01bd331101" concept="clcid-pte:YingFuLiXi" label="应付利息" periodRef="本期期初数" mulRef="_GBC_12bdcba29eb54af2b8443a5d65e13487" unitRef="_GBC_5ae5b2f3e4c64e05b223351f52f762b8" addr="T1R50C2S1_1" formatStyle="Comma" appId="_GBC_5ea888705f7c4c0f98e8769d2197c0de">
          <m:axisValue occRef="母公司"/>
        </m:item>
        <m:item xlName="_GBC_b6fdacb0139149c38cc6660ec567765c" concept="clcid-pte:YingFuLiXi" label="应付利息" mulRef="_GBC_12bdcba29eb54af2b8443a5d65e13487" unitRef="_GBC_5ae5b2f3e4c64e05b223351f52f762b8" addr="T1R50C3S1_1" formatStyle="Comma" appId="_GBC_5ea888705f7c4c0f98e8769d2197c0de">
          <m:axisValue occRef="调整数"/>
          <m:axisValue occRef="母公司"/>
        </m:item>
        <m:placeholder xlName="_PLD_d6b3a45e82e14416b52097ea23c99d71" addr="T1R51C0S1_1"/>
        <m:item xlName="_GBC_a5d53072d4be40329fc333580a529a84" concept="clcid-pte:YingFuGuLi" label="应付股利" periodRef="上年期末数" mulRef="_GBC_12bdcba29eb54af2b8443a5d65e13487" unitRef="_GBC_5ae5b2f3e4c64e05b223351f52f762b8" addr="T1R51C1S1_1" formatStyle="Comma" appId="_GBC_5ea888705f7c4c0f98e8769d2197c0de">
          <m:axisValue occRef="母公司"/>
        </m:item>
        <m:item xlName="_GBC_001fe6ece54d4c3796e719d986b7e40d" concept="clcid-pte:YingFuGuLi" label="应付股利" periodRef="本期期初数" mulRef="_GBC_12bdcba29eb54af2b8443a5d65e13487" unitRef="_GBC_5ae5b2f3e4c64e05b223351f52f762b8" addr="T1R51C2S1_1" formatStyle="Comma" appId="_GBC_5ea888705f7c4c0f98e8769d2197c0de">
          <m:axisValue occRef="母公司"/>
        </m:item>
        <m:item xlName="_GBC_3c869f66246d4278b3338e08a419efa4" concept="clcid-pte:YingFuGuLi" label="应付股利" mulRef="_GBC_12bdcba29eb54af2b8443a5d65e13487" unitRef="_GBC_5ae5b2f3e4c64e05b223351f52f762b8" addr="T1R51C3S1_1" formatStyle="Comma" appId="_GBC_5ea888705f7c4c0f98e8769d2197c0de">
          <m:axisValue occRef="调整数"/>
          <m:axisValue occRef="母公司"/>
        </m:item>
        <m:placeholder xlName="_PLD_096b25761952479bbcd407760f4ca6e6" addr="T1R52C0S1_1"/>
        <m:item xlName="_GBC_64b7c6f6765c4b09b7f1c7b0451ef2ed" concept="clcid-pte:HuaFenWeiChiYouDaiShouDeFuZhai" label="划分为持有待售的负债" periodRef="上年期末数" mulRef="_GBC_12bdcba29eb54af2b8443a5d65e13487" unitRef="_GBC_5ae5b2f3e4c64e05b223351f52f762b8" addr="T1R52C1S1_1" formatStyle="Comma" appId="_GBC_5ea888705f7c4c0f98e8769d2197c0de">
          <m:axisValue occRef="母公司"/>
        </m:item>
        <m:item xlName="_GBC_c5338ffeb61e49689889f93ff3cc53e0" concept="clcid-pte:HuaFenWeiChiYouDaiShouDeFuZhai" label="划分为持有待售的负债" periodRef="本期期初数" mulRef="_GBC_12bdcba29eb54af2b8443a5d65e13487" unitRef="_GBC_5ae5b2f3e4c64e05b223351f52f762b8" addr="T1R52C2S1_1" formatStyle="Comma" appId="_GBC_5ea888705f7c4c0f98e8769d2197c0de">
          <m:axisValue occRef="母公司"/>
        </m:item>
        <m:item xlName="_GBC_8ff0f7dd43204c25b2fb814cff76fdf3" concept="clcid-pte:HuaFenWeiChiYouDaiShouDeFuZhai" label="划分为持有待售的负债" mulRef="_GBC_12bdcba29eb54af2b8443a5d65e13487" unitRef="_GBC_5ae5b2f3e4c64e05b223351f52f762b8" addr="T1R52C3S1_1" formatStyle="Comma" appId="_GBC_5ea888705f7c4c0f98e8769d2197c0de">
          <m:axisValue occRef="调整数"/>
          <m:axisValue occRef="母公司"/>
        </m:item>
        <m:placeholder xlName="_PLD_57f107b54d7347ddb70cc3541d45fd9a" addr="T1R53C0S1_1"/>
        <m:item xlName="_GBC_25bb5f38e2ed4bceafd9c936f44099d9" concept="clcid-pte:YiNianNeiDaoQiDeChangQiFuZhai" label="一年内到期的长期负债" periodRef="上年期末数" mulRef="_GBC_12bdcba29eb54af2b8443a5d65e13487" unitRef="_GBC_5ae5b2f3e4c64e05b223351f52f762b8" addr="T1R53C1S1_1" formatStyle="Comma" appId="_GBC_5ea888705f7c4c0f98e8769d2197c0de">
          <m:axisValue occRef="母公司"/>
        </m:item>
        <m:item xlName="_GBC_ef5e6f509a74480db4377bbe35796215" concept="clcid-pte:YiNianNeiDaoQiDeChangQiFuZhai" label="一年内到期的长期负债" periodRef="本期期初数" mulRef="_GBC_12bdcba29eb54af2b8443a5d65e13487" unitRef="_GBC_5ae5b2f3e4c64e05b223351f52f762b8" addr="T1R53C2S1_1" formatStyle="Comma" appId="_GBC_5ea888705f7c4c0f98e8769d2197c0de">
          <m:axisValue occRef="母公司"/>
        </m:item>
        <m:item xlName="_GBC_b7b58105f2be40b08038705e1e04455a" concept="clcid-pte:YiNianNeiDaoQiDeChangQiFuZhai" label="一年内到期的长期负债" mulRef="_GBC_12bdcba29eb54af2b8443a5d65e13487" unitRef="_GBC_5ae5b2f3e4c64e05b223351f52f762b8" addr="T1R53C3S1_1" formatStyle="Comma" appId="_GBC_5ea888705f7c4c0f98e8769d2197c0de">
          <m:axisValue occRef="调整数"/>
          <m:axisValue occRef="母公司"/>
        </m:item>
        <m:placeholder xlName="_PLD_cfb10e5f20a24287a1f812e4f551eb22" addr="T1R54C0S1_1"/>
        <m:item xlName="_GBC_09c23227ba8b4fb78fdb320c46efd8ba" concept="clcid-pte:QiTaLiuDongFuZhai" label="其他流动负债" periodRef="上年期末数" mulRef="_GBC_12bdcba29eb54af2b8443a5d65e13487" unitRef="_GBC_5ae5b2f3e4c64e05b223351f52f762b8" addr="T1R54C1S1_1" formatStyle="Comma" appId="_GBC_5ea888705f7c4c0f98e8769d2197c0de">
          <m:axisValue occRef="母公司"/>
        </m:item>
        <m:item xlName="_GBC_0db9ab2a62354471ab2893bbdd7b4ad8" concept="clcid-pte:QiTaLiuDongFuZhai" label="其他流动负债" periodRef="本期期初数" mulRef="_GBC_12bdcba29eb54af2b8443a5d65e13487" unitRef="_GBC_5ae5b2f3e4c64e05b223351f52f762b8" addr="T1R54C2S1_1" formatStyle="Comma" appId="_GBC_5ea888705f7c4c0f98e8769d2197c0de">
          <m:axisValue occRef="母公司"/>
        </m:item>
        <m:item xlName="_GBC_41f29ce897f447709a25b4b8d8a19f5d" concept="clcid-pte:QiTaLiuDongFuZhai" label="其他流动负债" mulRef="_GBC_12bdcba29eb54af2b8443a5d65e13487" unitRef="_GBC_5ae5b2f3e4c64e05b223351f52f762b8" addr="T1R54C3S1_1" formatStyle="Comma" appId="_GBC_5ea888705f7c4c0f98e8769d2197c0de">
          <m:axisValue occRef="调整数"/>
          <m:axisValue occRef="母公司"/>
        </m:item>
        <m:placeholder xlName="_PLD_bf4cf672283f4e4d98b659444f70f237" addr="T1R55C0S1_1"/>
        <m:item xlName="_GBC_2ad611bf09654475936c615cc1aac888" concept="clcid-pte:LiuDongFuZhaiHeJi" label="流动负债合计" periodRef="上年期末数" mulRef="_GBC_12bdcba29eb54af2b8443a5d65e13487" unitRef="_GBC_5ae5b2f3e4c64e05b223351f52f762b8" addr="T1R55C1S1_1" formatStyle="Comma" appId="_GBC_5ea888705f7c4c0f98e8769d2197c0de">
          <m:complexRule comparator="Eq" title="母公司流动负债合计@上年期末数" test=" $_GBC_77658ae104dc4929b9246c3d94e49a6e +  $_GBC_5ad718bd52ed429fbc25b26aa0425289 +  $_GBC_4a7097331c294513b2a2d1cf4ed4e60c +  $_GBC_64f19fad12fc48dd8d8f8e58f8550645 +  $_GBC_ccc75fb65f524684be81e57569a908ef +  $_GBC_f4c1b18432774dff91567b96dc425f64 +  $_GBC_c11211d5aa6a45ec8af495714b39644a +  $_GBC_da5c7643f49a4a4195d0f10d2bcc8b74 +  $_GBC_5cf3014009684c6784661dcffdb80af8 +  $_GBC_09a274c86274410ab3b0f6369bee9b7b +  $_GBC_64b7c6f6765c4b09b7f1c7b0451ef2ed +  $_GBC_25bb5f38e2ed4bceafd9c936f44099d9 +  $_GBC_09c23227ba8b4fb78fdb320c46efd8ba" id="C473f5e34d5ce4c83a8c9af9b1fc70cc1"/>
          <m:axisValue occRef="母公司"/>
        </m:item>
        <m:item xlName="_GBC_0cbcaaf85a65423682691d0736549831" concept="clcid-pte:LiuDongFuZhaiHeJi" label="流动负债合计" periodRef="本期期初数" mulRef="_GBC_12bdcba29eb54af2b8443a5d65e13487" unitRef="_GBC_5ae5b2f3e4c64e05b223351f52f762b8" addr="T1R55C2S1_1" formatStyle="Comma" appId="_GBC_5ea888705f7c4c0f98e8769d2197c0de">
          <m:complexRule comparator="Eq" title="母公司流动负债合计@本期期初数" test=" $_GBC_dfd8e5073c5045c98903c14c682e1724 +  $_GBC_cb96993a8e0e4db692a331fdb6385aa5 +  $_GBC_5a788aa9dc844f778121f5ab9b012f74 +  $_GBC_93a697695de747bdaa160ee777091333 +  $_GBC_a93e966a96e14547b0bf9ab0bc9132ea +  $_GBC_511f0be2aa9d42fe88f8ea05cb405ada +  $_GBC_43ae9415b8824e1abadda73d5b15c0af +  $_GBC_a93b5e0376f74b2190cef3af8a156750 +  $_GBC_aed2626d4e6547daad144c3a2032a735 +  $_GBC_5deffa41350d4d32b1bcc87f28310323 +  $_GBC_c5338ffeb61e49689889f93ff3cc53e0 +  $_GBC_ef5e6f509a74480db4377bbe35796215 +  $_GBC_0db9ab2a62354471ab2893bbdd7b4ad8" id="C0254ed91a7d7421cb7e05aa56f789972"/>
          <m:axisValue occRef="母公司"/>
        </m:item>
        <m:item xlName="_GBC_d06a4168d9bb4f419c35440369b43406" concept="clcid-pte:LiuDongFuZhaiHeJi" label="流动负债合计" mulRef="_GBC_12bdcba29eb54af2b8443a5d65e13487" unitRef="_GBC_5ae5b2f3e4c64e05b223351f52f762b8" addr="T1R55C3S1_1" formatStyle="Comma" appId="_GBC_5ea888705f7c4c0f98e8769d2197c0de">
          <m:complexRule comparator="Eq" title="母公司流动负债合计(调整数)" test=" $_GBC_40a89a1144f548d0b4392f2e8dfc4ee6 +  $_GBC_d8fcb9b97b334449b32d0f089d377ac7 +  $_GBC_476bb8d2e74f432cb70bbbb75fe02571 +  $_GBC_2514c581f5a048469a4fb8c20eaca209 +  $_GBC_8c7ddb5ec86944f89597055da1de1bba +  $_GBC_f85bc95b314d42aaa2281df222edebd0 +  $_GBC_e7e660e5fe844f6fb433f3f66608edaa +  $_GBC_f380bed82f494837a3dfc584778cfdeb +  $_GBC_82e08704aa07443abe42ff6cfeb58bbd +  $_GBC_291b606f7a33471daafa22fc87a03db3 +  $_GBC_8ff0f7dd43204c25b2fb814cff76fdf3 +  $_GBC_b7b58105f2be40b08038705e1e04455a +  $_GBC_41f29ce897f447709a25b4b8d8a19f5d" id="C8bc1a8fcf0b84225b8aa93be6a7f866f"/>
          <m:axisValue occRef="调整数"/>
          <m:axisValue occRef="母公司"/>
        </m:item>
        <m:placeholder xlName="_PLD_52a22ef7fccb4e379a79ea67a62aaba0" addr="T1R56C0S1_4"/>
        <m:placeholder xlName="_PLD_1b50d6aca4f848b0a201012e1a56c5df" addr="T1R57C0S1_1"/>
        <m:item xlName="_GBC_5f99a36b238c4d5bb64d812ce0d2a80e" concept="clcid-pte:ChangQiJieKuan" label="长期借款" periodRef="上年期末数" mulRef="_GBC_12bdcba29eb54af2b8443a5d65e13487" unitRef="_GBC_5ae5b2f3e4c64e05b223351f52f762b8" addr="T1R57C1S1_1" formatStyle="Comma" appId="_GBC_5ea888705f7c4c0f98e8769d2197c0de">
          <m:axisValue occRef="母公司"/>
        </m:item>
        <m:item xlName="_GBC_5edb8deeea964c74b49fc35321ddb1d3" concept="clcid-pte:ChangQiJieKuan" label="长期借款" periodRef="本期期初数" mulRef="_GBC_12bdcba29eb54af2b8443a5d65e13487" unitRef="_GBC_5ae5b2f3e4c64e05b223351f52f762b8" addr="T1R57C2S1_1" formatStyle="Comma" appId="_GBC_5ea888705f7c4c0f98e8769d2197c0de">
          <m:axisValue occRef="母公司"/>
        </m:item>
        <m:item xlName="_GBC_04ec4a9b17c1494c9e95373b9485c93a" concept="clcid-pte:ChangQiJieKuan" label="长期借款" mulRef="_GBC_12bdcba29eb54af2b8443a5d65e13487" unitRef="_GBC_5ae5b2f3e4c64e05b223351f52f762b8" addr="T1R57C3S1_1" formatStyle="Comma" appId="_GBC_5ea888705f7c4c0f98e8769d2197c0de">
          <m:axisValue occRef="调整数"/>
          <m:axisValue occRef="母公司"/>
        </m:item>
        <m:placeholder xlName="_PLD_f743fead7c3f4b6298b2ba6c4fa6f032" addr="T1R58C0S1_1"/>
        <m:item xlName="_GBC_99327d28914a486a94a63ee69eb50695" concept="clcid-pte:YingFuZhaiQuan" label="应付债券" periodRef="上年期末数" mulRef="_GBC_12bdcba29eb54af2b8443a5d65e13487" unitRef="_GBC_5ae5b2f3e4c64e05b223351f52f762b8" addr="T1R58C1S1_1" formatStyle="Comma" appId="_GBC_5ea888705f7c4c0f98e8769d2197c0de">
          <m:axisValue occRef="母公司"/>
        </m:item>
        <m:item xlName="_GBC_0ad12a6033f04624b75062aac9053095" concept="clcid-pte:YingFuZhaiQuan" label="应付债券" periodRef="本期期初数" mulRef="_GBC_12bdcba29eb54af2b8443a5d65e13487" unitRef="_GBC_5ae5b2f3e4c64e05b223351f52f762b8" addr="T1R58C2S1_1" formatStyle="Comma" appId="_GBC_5ea888705f7c4c0f98e8769d2197c0de">
          <m:axisValue occRef="母公司"/>
        </m:item>
        <m:item xlName="_GBC_e0e0d1b6c0f5489492e5c036cba320fc" concept="clcid-pte:YingFuZhaiQuan" label="应付债券" mulRef="_GBC_12bdcba29eb54af2b8443a5d65e13487" unitRef="_GBC_5ae5b2f3e4c64e05b223351f52f762b8" addr="T1R58C3S1_1" formatStyle="Comma" appId="_GBC_5ea888705f7c4c0f98e8769d2197c0de">
          <m:axisValue occRef="调整数"/>
          <m:axisValue occRef="母公司"/>
        </m:item>
        <m:placeholder xlName="_PLD_b26c3fd416f248bd8f93f66fe4e65e3a" addr="T1R59C0S1_1"/>
        <m:item xlName="_GBC_f5817beeec584198bab6f842c9193ad0" concept="clcid-pte:QiZhongYouXianGu" label="其中：优先股" periodRef="上年期末数" mulRef="_GBC_12bdcba29eb54af2b8443a5d65e13487" unitRef="_GBC_5ae5b2f3e4c64e05b223351f52f762b8" addr="T1R59C1S1_1" formatStyle="Comma" appId="_GBC_5ea888705f7c4c0f98e8769d2197c0de">
          <m:axisValue occRef="母公司"/>
        </m:item>
        <m:item xlName="_GBC_732c56c8150a417da5627263e630cf82" concept="clcid-pte:QiZhongYouXianGu" label="其中：优先股" periodRef="本期期初数" mulRef="_GBC_12bdcba29eb54af2b8443a5d65e13487" unitRef="_GBC_5ae5b2f3e4c64e05b223351f52f762b8" addr="T1R59C2S1_1" formatStyle="Comma" appId="_GBC_5ea888705f7c4c0f98e8769d2197c0de">
          <m:axisValue occRef="母公司"/>
        </m:item>
        <m:item xlName="_GBC_cbafd2fba2744c66876060f2d301bf34" concept="clcid-pte:QiZhongYouXianGu" label="其中：优先股" mulRef="_GBC_12bdcba29eb54af2b8443a5d65e13487" unitRef="_GBC_5ae5b2f3e4c64e05b223351f52f762b8" addr="T1R59C3S1_1" formatStyle="Comma" appId="_GBC_5ea888705f7c4c0f98e8769d2197c0de">
          <m:axisValue occRef="调整数"/>
          <m:axisValue occRef="母公司"/>
        </m:item>
        <m:placeholder xlName="_PLD_cfafb0006816456baad4e5eaa44f8e74" addr="T1R60C0S1_1"/>
        <m:item xlName="_GBC_e7c25ed2a158425da8a3b854cc2a36ff" concept="clcid-pte:YongXuZhai" label="永续债" periodRef="上年期末数" mulRef="_GBC_12bdcba29eb54af2b8443a5d65e13487" unitRef="_GBC_5ae5b2f3e4c64e05b223351f52f762b8" addr="T1R60C1S1_1" formatStyle="Comma" appId="_GBC_5ea888705f7c4c0f98e8769d2197c0de">
          <m:axisValue occRef="母公司"/>
        </m:item>
        <m:item xlName="_GBC_22fc6cc53f584ee59638688cb8d115ad" concept="clcid-pte:YongXuZhai" label="永续债" periodRef="本期期初数" mulRef="_GBC_12bdcba29eb54af2b8443a5d65e13487" unitRef="_GBC_5ae5b2f3e4c64e05b223351f52f762b8" addr="T1R60C2S1_1" formatStyle="Comma" appId="_GBC_5ea888705f7c4c0f98e8769d2197c0de">
          <m:axisValue occRef="母公司"/>
        </m:item>
        <m:item xlName="_GBC_347ac3ddfc984f51a638ba8e062727ea" concept="clcid-pte:YongXuZhai" label="永续债" mulRef="_GBC_12bdcba29eb54af2b8443a5d65e13487" unitRef="_GBC_5ae5b2f3e4c64e05b223351f52f762b8" addr="T1R60C3S1_1" formatStyle="Comma" appId="_GBC_5ea888705f7c4c0f98e8769d2197c0de">
          <m:axisValue occRef="调整数"/>
          <m:axisValue occRef="母公司"/>
        </m:item>
        <m:placeholder xlName="_PLD_57fbe27f38d04e5296f624963d65b0bd" addr="T1R61C0S1_1"/>
        <m:item xlName="_GBC_56eda10867014b479edc0aaee4d8131f" concept="clcid-pte:ZuLinFuZhai" label="租赁负债" periodRef="上年期末数" mulRef="_GBC_12bdcba29eb54af2b8443a5d65e13487" unitRef="_GBC_5ae5b2f3e4c64e05b223351f52f762b8" addr="T1R61C1S1_1" formatStyle="Comma" appId="_GBC_5ea888705f7c4c0f98e8769d2197c0de">
          <m:axisValue occRef="母公司"/>
        </m:item>
        <m:item xlName="_GBC_e578d1a704884c40974cf5a7184f4e1a" concept="clcid-pte:ZuLinFuZhai" label="租赁负债" periodRef="本期期初数" mulRef="_GBC_12bdcba29eb54af2b8443a5d65e13487" unitRef="_GBC_5ae5b2f3e4c64e05b223351f52f762b8" addr="T1R61C2S1_1" formatStyle="Comma" appId="_GBC_5ea888705f7c4c0f98e8769d2197c0de">
          <m:axisValue occRef="母公司"/>
        </m:item>
        <m:item xlName="_GBC_7f44af3e24064f2b9f884b3a48134192" concept="clcid-pte:ZuLinFuZhai" label="租赁负债" mulRef="_GBC_12bdcba29eb54af2b8443a5d65e13487" unitRef="_GBC_5ae5b2f3e4c64e05b223351f52f762b8" addr="T1R61C3S1_1" formatStyle="Comma" appId="_GBC_5ea888705f7c4c0f98e8769d2197c0de">
          <m:axisValue occRef="调整数"/>
          <m:axisValue occRef="母公司"/>
        </m:item>
        <m:placeholder xlName="_PLD_763b001745074e8f80d333aa33c77b1c" addr="T1R62C0S1_1"/>
        <m:item xlName="_GBC_08714e93daef49799765b991312ee16b" concept="clcid-pte:ChangQiYingFuKuan" label="长期应付款" periodRef="上年期末数" mulRef="_GBC_12bdcba29eb54af2b8443a5d65e13487" unitRef="_GBC_5ae5b2f3e4c64e05b223351f52f762b8" addr="T1R62C1S1_1" formatStyle="Comma" appId="_GBC_5ea888705f7c4c0f98e8769d2197c0de">
          <m:axisValue occRef="母公司"/>
        </m:item>
        <m:item xlName="_GBC_13a1829d2c134add9247a6954c1c81fd" concept="clcid-pte:ChangQiYingFuKuan" label="长期应付款" periodRef="本期期初数" mulRef="_GBC_12bdcba29eb54af2b8443a5d65e13487" unitRef="_GBC_5ae5b2f3e4c64e05b223351f52f762b8" addr="T1R62C2S1_1" formatStyle="Comma" appId="_GBC_5ea888705f7c4c0f98e8769d2197c0de">
          <m:axisValue occRef="母公司"/>
        </m:item>
        <m:item xlName="_GBC_8155a78bc06147ffad162bd6bf328ffa" concept="clcid-pte:ChangQiYingFuKuan" label="长期应付款" mulRef="_GBC_12bdcba29eb54af2b8443a5d65e13487" unitRef="_GBC_5ae5b2f3e4c64e05b223351f52f762b8" addr="T1R62C3S1_1" formatStyle="Comma" appId="_GBC_5ea888705f7c4c0f98e8769d2197c0de">
          <m:axisValue occRef="调整数"/>
          <m:axisValue occRef="母公司"/>
        </m:item>
        <m:placeholder xlName="_PLD_54a1b08397c44641a82c6703cc59448a" addr="T1R63C0S1_1"/>
        <m:item xlName="_GBC_d02aaa8444f845f8ac36ba20e53674f8" concept="clcid-pte:ChangQiYingFuZhiGongXinChou" label="长期应付职工薪酬" periodRef="上年期末数" mulRef="_GBC_12bdcba29eb54af2b8443a5d65e13487" unitRef="_GBC_5ae5b2f3e4c64e05b223351f52f762b8" addr="T1R63C1S1_1" formatStyle="Comma" appId="_GBC_5ea888705f7c4c0f98e8769d2197c0de">
          <m:axisValue occRef="母公司"/>
        </m:item>
        <m:item xlName="_GBC_68ce6063a5b84abf8530c98cfec9de58" concept="clcid-pte:ChangQiYingFuZhiGongXinChou" label="长期应付职工薪酬" periodRef="本期期初数" mulRef="_GBC_12bdcba29eb54af2b8443a5d65e13487" unitRef="_GBC_5ae5b2f3e4c64e05b223351f52f762b8" addr="T1R63C2S1_1" formatStyle="Comma" appId="_GBC_5ea888705f7c4c0f98e8769d2197c0de">
          <m:axisValue occRef="母公司"/>
        </m:item>
        <m:item xlName="_GBC_c7e4f946734548a4802f3c7a54801c99" concept="clcid-pte:ChangQiYingFuZhiGongXinChou" label="长期应付职工薪酬" mulRef="_GBC_12bdcba29eb54af2b8443a5d65e13487" unitRef="_GBC_5ae5b2f3e4c64e05b223351f52f762b8" addr="T1R63C3S1_1" formatStyle="Comma" appId="_GBC_5ea888705f7c4c0f98e8769d2197c0de">
          <m:axisValue occRef="调整数"/>
          <m:axisValue occRef="母公司"/>
        </m:item>
        <m:placeholder xlName="_PLD_ef8f7fa162d14efa8d47e7f05d101e03" addr="T1R64C0S1_1"/>
        <m:item xlName="_GBC_26e24a1cf3154e648c8e5e8444a03013" concept="clcid-pte:YuJiFuZhai" label="预计负债" periodRef="上年期末数" mulRef="_GBC_12bdcba29eb54af2b8443a5d65e13487" unitRef="_GBC_5ae5b2f3e4c64e05b223351f52f762b8" addr="T1R64C1S1_1" formatStyle="Comma" appId="_GBC_5ea888705f7c4c0f98e8769d2197c0de">
          <m:axisValue occRef="母公司"/>
        </m:item>
        <m:item xlName="_GBC_455a857780844d04951f678d7d458430" concept="clcid-pte:YuJiFuZhai" label="预计负债" periodRef="本期期初数" mulRef="_GBC_12bdcba29eb54af2b8443a5d65e13487" unitRef="_GBC_5ae5b2f3e4c64e05b223351f52f762b8" addr="T1R64C2S1_1" formatStyle="Comma" appId="_GBC_5ea888705f7c4c0f98e8769d2197c0de">
          <m:axisValue occRef="母公司"/>
        </m:item>
        <m:item xlName="_GBC_65e08cf2f52c42d59e78c943587f5c31" concept="clcid-pte:YuJiFuZhai" label="预计负债" mulRef="_GBC_12bdcba29eb54af2b8443a5d65e13487" unitRef="_GBC_5ae5b2f3e4c64e05b223351f52f762b8" addr="T1R64C3S1_1" formatStyle="Comma" appId="_GBC_5ea888705f7c4c0f98e8769d2197c0de">
          <m:axisValue occRef="调整数"/>
          <m:axisValue occRef="母公司"/>
        </m:item>
        <m:placeholder xlName="_PLD_120d7a5cbf854260b2b6e8f758bd1a73" addr="T1R65C0S1_1"/>
        <m:item xlName="_GBC_effeb579194b49dda47c15cd093d2062" concept="clcid-pte:DiYanShouYi" label="递延收益" periodRef="上年期末数" mulRef="_GBC_12bdcba29eb54af2b8443a5d65e13487" unitRef="_GBC_5ae5b2f3e4c64e05b223351f52f762b8" addr="T1R65C1S1_1" formatStyle="Comma" appId="_GBC_5ea888705f7c4c0f98e8769d2197c0de">
          <m:axisValue occRef="母公司"/>
        </m:item>
        <m:item xlName="_GBC_f4938dad60e749d0a163206300719cf6" concept="clcid-pte:DiYanShouYi" label="递延收益" periodRef="本期期初数" mulRef="_GBC_12bdcba29eb54af2b8443a5d65e13487" unitRef="_GBC_5ae5b2f3e4c64e05b223351f52f762b8" addr="T1R65C2S1_1" formatStyle="Comma" appId="_GBC_5ea888705f7c4c0f98e8769d2197c0de">
          <m:axisValue occRef="母公司"/>
        </m:item>
        <m:item xlName="_GBC_468de964823a4982947960921edadbba" concept="clcid-pte:DiYanShouYi" label="递延收益" mulRef="_GBC_12bdcba29eb54af2b8443a5d65e13487" unitRef="_GBC_5ae5b2f3e4c64e05b223351f52f762b8" addr="T1R65C3S1_1" formatStyle="Comma" appId="_GBC_5ea888705f7c4c0f98e8769d2197c0de">
          <m:axisValue occRef="调整数"/>
          <m:axisValue occRef="母公司"/>
        </m:item>
        <m:placeholder xlName="_PLD_d6cf4310ed7c45cbb6be75b34ac02fd6" addr="T1R66C0S1_1"/>
        <m:item xlName="_GBC_fd93b4f773b340f38590388ccc4ad31d" concept="clcid-pte:DiYanShuiKuanDaiXiangHeJi" label="递延税款贷项合计" periodRef="上年期末数" mulRef="_GBC_12bdcba29eb54af2b8443a5d65e13487" unitRef="_GBC_5ae5b2f3e4c64e05b223351f52f762b8" addr="T1R66C1S1_1" formatStyle="Comma" appId="_GBC_5ea888705f7c4c0f98e8769d2197c0de">
          <m:axisValue occRef="母公司"/>
        </m:item>
        <m:item xlName="_GBC_3ec179cc9aa24112a54a2dc7be2e9e5b" concept="clcid-pte:DiYanShuiKuanDaiXiangHeJi" label="递延税款贷项合计" periodRef="本期期初数" mulRef="_GBC_12bdcba29eb54af2b8443a5d65e13487" unitRef="_GBC_5ae5b2f3e4c64e05b223351f52f762b8" addr="T1R66C2S1_1" formatStyle="Comma" appId="_GBC_5ea888705f7c4c0f98e8769d2197c0de">
          <m:axisValue occRef="母公司"/>
        </m:item>
        <m:item xlName="_GBC_2903d1d506ef4f89807b5981b2f35d6d" concept="clcid-pte:DiYanShuiKuanDaiXiangHeJi" label="递延税款贷项合计" mulRef="_GBC_12bdcba29eb54af2b8443a5d65e13487" unitRef="_GBC_5ae5b2f3e4c64e05b223351f52f762b8" addr="T1R66C3S1_1" formatStyle="Comma" appId="_GBC_5ea888705f7c4c0f98e8769d2197c0de">
          <m:axisValue occRef="调整数"/>
          <m:axisValue occRef="母公司"/>
        </m:item>
        <m:placeholder xlName="_PLD_004e165cb9b945988d1ce02dce8c7a6e" addr="T1R67C0S1_1"/>
        <m:item xlName="_GBC_2ffe976e28594965a6473a48eb608047" concept="clcid-pte:QiTaChangQiFuZhai" label="其他长期负债" periodRef="上年期末数" mulRef="_GBC_12bdcba29eb54af2b8443a5d65e13487" unitRef="_GBC_5ae5b2f3e4c64e05b223351f52f762b8" addr="T1R67C1S1_1" formatStyle="Comma" appId="_GBC_5ea888705f7c4c0f98e8769d2197c0de">
          <m:axisValue occRef="母公司"/>
        </m:item>
        <m:item xlName="_GBC_13fb921e0e524c09aa184f8515e22172" concept="clcid-pte:QiTaChangQiFuZhai" label="其他长期负债" periodRef="本期期初数" mulRef="_GBC_12bdcba29eb54af2b8443a5d65e13487" unitRef="_GBC_5ae5b2f3e4c64e05b223351f52f762b8" addr="T1R67C2S1_1" formatStyle="Comma" appId="_GBC_5ea888705f7c4c0f98e8769d2197c0de">
          <m:axisValue occRef="母公司"/>
        </m:item>
        <m:item xlName="_GBC_09a937e1bbca488dbc1eec1003a502c7" concept="clcid-pte:QiTaChangQiFuZhai" label="其他长期负债" mulRef="_GBC_12bdcba29eb54af2b8443a5d65e13487" unitRef="_GBC_5ae5b2f3e4c64e05b223351f52f762b8" addr="T1R67C3S1_1" formatStyle="Comma" appId="_GBC_5ea888705f7c4c0f98e8769d2197c0de">
          <m:axisValue occRef="调整数"/>
          <m:axisValue occRef="母公司"/>
        </m:item>
        <m:placeholder xlName="_PLD_6b9286d59f434dc3883cb7d8d6f992fb" addr="T1R68C0S1_1"/>
        <m:item xlName="_GBC_30eeeb63be46403b82ab0845079ac71f" concept="clcid-pte:ChangQiFuZhaiHeJi" label="长期负债合计" periodRef="上年期末数" mulRef="_GBC_12bdcba29eb54af2b8443a5d65e13487" unitRef="_GBC_5ae5b2f3e4c64e05b223351f52f762b8" addr="T1R68C1S1_1" formatStyle="Comma" appId="_GBC_5ea888705f7c4c0f98e8769d2197c0de">
          <m:complexRule comparator="Eq" title="母公司长期负债合计@上年期末数" test=" $_GBC_5f99a36b238c4d5bb64d812ce0d2a80e +  $_GBC_99327d28914a486a94a63ee69eb50695 +  $_GBC_56eda10867014b479edc0aaee4d8131f +  $_GBC_08714e93daef49799765b991312ee16b +  $_GBC_d02aaa8444f845f8ac36ba20e53674f8 +  $_GBC_26e24a1cf3154e648c8e5e8444a03013 +  $_GBC_effeb579194b49dda47c15cd093d2062 +  $_GBC_fd93b4f773b340f38590388ccc4ad31d +  $_GBC_2ffe976e28594965a6473a48eb608047" id="C8d9b36d74eb74c888c77164f6d1a4915"/>
          <m:axisValue occRef="母公司"/>
        </m:item>
        <m:item xlName="_GBC_7734c30dd9434584a903865f7451e2e7" concept="clcid-pte:ChangQiFuZhaiHeJi" label="长期负债合计" periodRef="本期期初数" mulRef="_GBC_12bdcba29eb54af2b8443a5d65e13487" unitRef="_GBC_5ae5b2f3e4c64e05b223351f52f762b8" addr="T1R68C2S1_1" formatStyle="Comma" appId="_GBC_5ea888705f7c4c0f98e8769d2197c0de">
          <m:complexRule comparator="Eq" title="母公司长期负债合计@本期期初数" test=" $_GBC_5edb8deeea964c74b49fc35321ddb1d3 +  $_GBC_0ad12a6033f04624b75062aac9053095 +  $_GBC_e578d1a704884c40974cf5a7184f4e1a +  $_GBC_13a1829d2c134add9247a6954c1c81fd +  $_GBC_68ce6063a5b84abf8530c98cfec9de58 +  $_GBC_455a857780844d04951f678d7d458430 +  $_GBC_f4938dad60e749d0a163206300719cf6 +  $_GBC_3ec179cc9aa24112a54a2dc7be2e9e5b +  $_GBC_13fb921e0e524c09aa184f8515e22172" id="Cc5f6ca40600748e498d2c0988b3a235b"/>
          <m:axisValue occRef="母公司"/>
        </m:item>
        <m:item xlName="_GBC_3cccf703a5c847f9a346575ed7aff792" concept="clcid-pte:ChangQiFuZhaiHeJi" label="长期负债合计" mulRef="_GBC_12bdcba29eb54af2b8443a5d65e13487" unitRef="_GBC_5ae5b2f3e4c64e05b223351f52f762b8" addr="T1R68C3S1_1" formatStyle="Comma" appId="_GBC_5ea888705f7c4c0f98e8769d2197c0de">
          <m:complexRule comparator="Eq" title="母公司长期负债合计(调整数)" test=" $_GBC_04ec4a9b17c1494c9e95373b9485c93a +  $_GBC_e0e0d1b6c0f5489492e5c036cba320fc +  $_GBC_7f44af3e24064f2b9f884b3a48134192 +  $_GBC_8155a78bc06147ffad162bd6bf328ffa +  $_GBC_c7e4f946734548a4802f3c7a54801c99 +  $_GBC_65e08cf2f52c42d59e78c943587f5c31 +  $_GBC_468de964823a4982947960921edadbba +  $_GBC_2903d1d506ef4f89807b5981b2f35d6d +  $_GBC_09a937e1bbca488dbc1eec1003a502c7" id="C39ece780f1b9464db27940f3a7b5a636"/>
          <m:axisValue occRef="调整数"/>
          <m:axisValue occRef="母公司"/>
        </m:item>
        <m:placeholder xlName="_PLD_9966b1afdeb54842a8fceb3cacd3ccf5" addr="T1R69C0S1_1"/>
        <m:item xlName="_GBC_e6bf84545a1b4facb5eb7e2aa525424b" concept="clcid-pte:FuZhaiHeJi" label="负债合计" periodRef="上年期末数" mulRef="_GBC_12bdcba29eb54af2b8443a5d65e13487" unitRef="_GBC_5ae5b2f3e4c64e05b223351f52f762b8" addr="T1R69C1S1_1" formatStyle="Comma" appId="_GBC_5ea888705f7c4c0f98e8769d2197c0de">
          <m:complexRule comparator="Eq" title="母公司负债合计" test=" $_GBC_2ad611bf09654475936c615cc1aac888 +  $_GBC_30eeeb63be46403b82ab0845079ac71f" id="Cd1e943300dc44f2da3032d66081030f4"/>
          <m:axisValue occRef="母公司"/>
        </m:item>
        <m:item xlName="_GBC_acfda96878e440498a670cc016280d0c" concept="clcid-pte:FuZhaiHeJi" label="负债合计" periodRef="本期期初数" mulRef="_GBC_12bdcba29eb54af2b8443a5d65e13487" unitRef="_GBC_5ae5b2f3e4c64e05b223351f52f762b8" addr="T1R69C2S1_1" formatStyle="Comma" appId="_GBC_5ea888705f7c4c0f98e8769d2197c0de">
          <m:complexRule comparator="Eq" title="母公司负债合计@本期期初数" test=" $_GBC_0cbcaaf85a65423682691d0736549831 +  $_GBC_7734c30dd9434584a903865f7451e2e7" id="Cef0ecf5778464d6ea1a75ddbbd66b044"/>
          <m:axisValue occRef="母公司"/>
        </m:item>
        <m:item xlName="_GBC_62fe7cf73d5744949ae4b0f30455791e" concept="clcid-pte:FuZhaiHeJi" label="负债合计" mulRef="_GBC_12bdcba29eb54af2b8443a5d65e13487" unitRef="_GBC_5ae5b2f3e4c64e05b223351f52f762b8" addr="T1R69C3S1_1" formatStyle="Comma" appId="_GBC_5ea888705f7c4c0f98e8769d2197c0de">
          <m:complexRule comparator="Eq" title="母公司负债合计(调整数)" test=" $_GBC_3cccf703a5c847f9a346575ed7aff792 +  $_GBC_d06a4168d9bb4f419c35440369b43406" id="C2c16cbea22db4c5f89bc628a3ef130e9"/>
          <m:axisValue occRef="调整数"/>
          <m:axisValue occRef="母公司"/>
        </m:item>
        <m:placeholder xlName="_PLD_27af5114b1374bfaa5ee117b52b2dea6" addr="T1R70C0S1_4"/>
        <m:placeholder xlName="_PLD_8d70171a419341f09876bd7007078e61" addr="T1R71C0S1_1"/>
        <m:item xlName="_GBC_0db0e6924de842afb880ce80b5f78100" concept="clcid-pte:GuBen" label="股本" periodRef="上年期末数" mulRef="_GBC_12bdcba29eb54af2b8443a5d65e13487" unitRef="_GBC_5ae5b2f3e4c64e05b223351f52f762b8" addr="T1R71C1S1_1" formatStyle="Comma" appId="_GBC_5ea888705f7c4c0f98e8769d2197c0de">
          <m:axisValue occRef="母公司"/>
        </m:item>
        <m:item xlName="_GBC_b682dcad4f064056b7b2c335e0d0c324" concept="clcid-pte:GuBen" label="股本" periodRef="本期期初数" mulRef="_GBC_12bdcba29eb54af2b8443a5d65e13487" unitRef="_GBC_5ae5b2f3e4c64e05b223351f52f762b8" addr="T1R71C2S1_1" formatStyle="Comma" appId="_GBC_5ea888705f7c4c0f98e8769d2197c0de">
          <m:axisValue occRef="母公司"/>
        </m:item>
        <m:item xlName="_GBC_4e7d7e48227648e1b89f17c4764e55b7" concept="clcid-pte:GuBen" label="股本" mulRef="_GBC_12bdcba29eb54af2b8443a5d65e13487" unitRef="_GBC_5ae5b2f3e4c64e05b223351f52f762b8" addr="T1R71C3S1_1" formatStyle="Comma" appId="_GBC_5ea888705f7c4c0f98e8769d2197c0de">
          <m:axisValue occRef="调整数"/>
          <m:axisValue occRef="母公司"/>
        </m:item>
        <m:placeholder xlName="_PLD_6a2c5af5b63843e288dac2f4dfa16684" addr="T1R72C0S1_1"/>
        <m:item xlName="_GBC_88df3946de6c493abe040acb94502ec6" concept="clcid-pte:QiTaQuanYiGongJu" label="其他权益工具" periodRef="上年期末数" mulRef="_GBC_12bdcba29eb54af2b8443a5d65e13487" unitRef="_GBC_5ae5b2f3e4c64e05b223351f52f762b8" addr="T1R72C1S1_1" formatStyle="Comma" appId="_GBC_5ea888705f7c4c0f98e8769d2197c0de">
          <m:axisValue occRef="母公司"/>
        </m:item>
        <m:item xlName="_GBC_22e9e60ad5a34e05821e5719a9498893" concept="clcid-pte:QiTaQuanYiGongJu" label="其他权益工具" periodRef="本期期初数" mulRef="_GBC_12bdcba29eb54af2b8443a5d65e13487" unitRef="_GBC_5ae5b2f3e4c64e05b223351f52f762b8" addr="T1R72C2S1_1" formatStyle="Comma" appId="_GBC_5ea888705f7c4c0f98e8769d2197c0de">
          <m:axisValue occRef="母公司"/>
        </m:item>
        <m:item xlName="_GBC_91c57e84abe74b1a94d9d6738d70a85b" concept="clcid-pte:QiTaQuanYiGongJu" label="其他权益工具" mulRef="_GBC_12bdcba29eb54af2b8443a5d65e13487" unitRef="_GBC_5ae5b2f3e4c64e05b223351f52f762b8" addr="T1R72C3S1_1" formatStyle="Comma" appId="_GBC_5ea888705f7c4c0f98e8769d2197c0de">
          <m:axisValue occRef="调整数"/>
          <m:axisValue occRef="母公司"/>
        </m:item>
        <m:placeholder xlName="_PLD_00ac4295a6c1486798f20bf742b8834b" addr="T1R73C0S1_1"/>
        <m:item xlName="_GBC_620ac9cdfee44c79aefefc8348ad3d76" concept="clcid-pte:QiTaQuanYiGongJuQiZhongYouXianGu" label="其他权益工具-其中：优先股" periodRef="上年期末数" mulRef="_GBC_12bdcba29eb54af2b8443a5d65e13487" unitRef="_GBC_5ae5b2f3e4c64e05b223351f52f762b8" addr="T1R73C1S1_1" formatStyle="Comma" appId="_GBC_5ea888705f7c4c0f98e8769d2197c0de">
          <m:axisValue occRef="母公司"/>
        </m:item>
        <m:item xlName="_GBC_f36f7e5b2e11444294314999d4788c32" concept="clcid-pte:QiTaQuanYiGongJuQiZhongYouXianGu" label="其他权益工具-其中：优先股" periodRef="本期期初数" mulRef="_GBC_12bdcba29eb54af2b8443a5d65e13487" unitRef="_GBC_5ae5b2f3e4c64e05b223351f52f762b8" addr="T1R73C2S1_1" formatStyle="Comma" appId="_GBC_5ea888705f7c4c0f98e8769d2197c0de">
          <m:axisValue occRef="母公司"/>
        </m:item>
        <m:item xlName="_GBC_c67c31ae309849549ccd981dabda7cf6" concept="clcid-pte:QiTaQuanYiGongJuQiZhongYouXianGu" label="其他权益工具-其中：优先股" mulRef="_GBC_12bdcba29eb54af2b8443a5d65e13487" unitRef="_GBC_5ae5b2f3e4c64e05b223351f52f762b8" addr="T1R73C3S1_1" formatStyle="Comma" appId="_GBC_5ea888705f7c4c0f98e8769d2197c0de">
          <m:axisValue occRef="调整数"/>
          <m:axisValue occRef="母公司"/>
        </m:item>
        <m:placeholder xlName="_PLD_c2fa35d8e1ac487a949a2fe2d62ba1c1" addr="T1R74C0S1_1"/>
        <m:item xlName="_GBC_59ba1854ae584108a393b991e8d3cb0b" concept="clcid-pte:QiTaQuanYiGongJuYongXuZhai" label="其他权益工具-永续债" periodRef="上年期末数" mulRef="_GBC_12bdcba29eb54af2b8443a5d65e13487" unitRef="_GBC_5ae5b2f3e4c64e05b223351f52f762b8" addr="T1R74C1S1_1" formatStyle="Comma" appId="_GBC_5ea888705f7c4c0f98e8769d2197c0de">
          <m:axisValue occRef="母公司"/>
        </m:item>
        <m:item xlName="_GBC_bfb237ebe58345c5b47d3fd989e24452" concept="clcid-pte:QiTaQuanYiGongJuYongXuZhai" label="其他权益工具-永续债" periodRef="本期期初数" mulRef="_GBC_12bdcba29eb54af2b8443a5d65e13487" unitRef="_GBC_5ae5b2f3e4c64e05b223351f52f762b8" addr="T1R74C2S1_1" formatStyle="Comma" appId="_GBC_5ea888705f7c4c0f98e8769d2197c0de">
          <m:axisValue occRef="母公司"/>
        </m:item>
        <m:item xlName="_GBC_43846cc53b664e74a7f6be8b9742a993" concept="clcid-pte:QiTaQuanYiGongJuYongXuZhai" label="其他权益工具-永续债" mulRef="_GBC_12bdcba29eb54af2b8443a5d65e13487" unitRef="_GBC_5ae5b2f3e4c64e05b223351f52f762b8" addr="T1R74C3S1_1" formatStyle="Comma" appId="_GBC_5ea888705f7c4c0f98e8769d2197c0de">
          <m:axisValue occRef="调整数"/>
          <m:axisValue occRef="母公司"/>
        </m:item>
        <m:placeholder xlName="_PLD_834b3ab77c824936875be7024902ea58" addr="T1R75C0S1_1"/>
        <m:item xlName="_GBC_8ebb195aa84b4546a9ad908cc695ffd1" concept="clcid-pte:ZiBenGongJi" label="资本公积" periodRef="上年期末数" mulRef="_GBC_12bdcba29eb54af2b8443a5d65e13487" unitRef="_GBC_5ae5b2f3e4c64e05b223351f52f762b8" addr="T1R75C1S1_1" formatStyle="Comma" appId="_GBC_5ea888705f7c4c0f98e8769d2197c0de">
          <m:axisValue occRef="母公司"/>
        </m:item>
        <m:item xlName="_GBC_a21a7922136e49b58f271d847e997974" concept="clcid-pte:ZiBenGongJi" label="资本公积" periodRef="本期期初数" mulRef="_GBC_12bdcba29eb54af2b8443a5d65e13487" unitRef="_GBC_5ae5b2f3e4c64e05b223351f52f762b8" addr="T1R75C2S1_1" formatStyle="Comma" appId="_GBC_5ea888705f7c4c0f98e8769d2197c0de">
          <m:axisValue occRef="母公司"/>
        </m:item>
        <m:item xlName="_GBC_185a2ef711bc4fc6b876f42160f323ef" concept="clcid-pte:ZiBenGongJi" label="资本公积" mulRef="_GBC_12bdcba29eb54af2b8443a5d65e13487" unitRef="_GBC_5ae5b2f3e4c64e05b223351f52f762b8" addr="T1R75C3S1_1" formatStyle="Comma" appId="_GBC_5ea888705f7c4c0f98e8769d2197c0de">
          <m:axisValue occRef="调整数"/>
          <m:axisValue occRef="母公司"/>
        </m:item>
        <m:placeholder xlName="_PLD_a70d9354e9a94ab690010aa4bf4fe9dc" addr="T1R76C0S1_1"/>
        <m:item xlName="_GBC_4d22104f9ed441dbbbffc181c3dd6f11" concept="clcid-pte:KuCunGu" label="库存股" periodRef="上年期末数" mulRef="_GBC_12bdcba29eb54af2b8443a5d65e13487" unitRef="_GBC_5ae5b2f3e4c64e05b223351f52f762b8" addr="T1R76C1S1_1" formatStyle="Comma" appId="_GBC_5ea888705f7c4c0f98e8769d2197c0de">
          <m:axisValue occRef="母公司"/>
        </m:item>
        <m:item xlName="_GBC_741ecf0b80bb468581e9dfa03a904e10" concept="clcid-pte:KuCunGu" label="库存股" periodRef="本期期初数" mulRef="_GBC_12bdcba29eb54af2b8443a5d65e13487" unitRef="_GBC_5ae5b2f3e4c64e05b223351f52f762b8" addr="T1R76C2S1_1" formatStyle="Comma" appId="_GBC_5ea888705f7c4c0f98e8769d2197c0de">
          <m:axisValue occRef="母公司"/>
        </m:item>
        <m:item xlName="_GBC_c02fb7dffc0f4d378d1b11a862c49219" concept="clcid-pte:KuCunGu" label="库存股" mulRef="_GBC_12bdcba29eb54af2b8443a5d65e13487" unitRef="_GBC_5ae5b2f3e4c64e05b223351f52f762b8" addr="T1R76C3S1_1" formatStyle="Comma" appId="_GBC_5ea888705f7c4c0f98e8769d2197c0de">
          <m:axisValue occRef="调整数"/>
          <m:axisValue occRef="母公司"/>
        </m:item>
        <m:placeholder xlName="_PLD_4e4dbb75dc1047fead1e2e3d2f27761e" addr="T1R77C0S1_1"/>
        <m:item xlName="_GBC_2f4dd3e767b747a0a9361d9781cc5b2a" concept="clcid-pte:QiTaZongHeShouYiZiChanFuZhaiBiaoXiangMu" label="其他综合收益（资产负债表项目）" periodRef="上年期末数" mulRef="_GBC_12bdcba29eb54af2b8443a5d65e13487" unitRef="_GBC_5ae5b2f3e4c64e05b223351f52f762b8" addr="T1R77C1S1_1" formatStyle="Comma" appId="_GBC_5ea888705f7c4c0f98e8769d2197c0de">
          <m:axisValue occRef="母公司"/>
        </m:item>
        <m:item xlName="_GBC_2fcac0155f95460b8f1163516b2278b7" concept="clcid-pte:QiTaZongHeShouYiZiChanFuZhaiBiaoXiangMu" label="其他综合收益（资产负债表项目）" periodRef="本期期初数" mulRef="_GBC_12bdcba29eb54af2b8443a5d65e13487" unitRef="_GBC_5ae5b2f3e4c64e05b223351f52f762b8" addr="T1R77C2S1_1" formatStyle="Comma" appId="_GBC_5ea888705f7c4c0f98e8769d2197c0de">
          <m:axisValue occRef="母公司"/>
        </m:item>
        <m:item xlName="_GBC_a679d98c43b242c5a39dcc8012fcd765" concept="clcid-pte:QiTaZongHeShouYiZiChanFuZhaiBiaoXiangMu" label="其他综合收益（资产负债表项目）" mulRef="_GBC_12bdcba29eb54af2b8443a5d65e13487" unitRef="_GBC_5ae5b2f3e4c64e05b223351f52f762b8" addr="T1R77C3S1_1" formatStyle="Comma" appId="_GBC_5ea888705f7c4c0f98e8769d2197c0de">
          <m:axisValue occRef="调整数"/>
          <m:axisValue occRef="母公司"/>
        </m:item>
        <m:placeholder xlName="_PLD_6c13a47d776445fc9274525173a52d60" addr="T1R78C0S1_1"/>
        <m:item xlName="_GBC_faeddf48463a435e9e43165709166500" concept="clcid-pte:ZhuanXiangChuBei" label="专项储备" periodRef="上年期末数" mulRef="_GBC_12bdcba29eb54af2b8443a5d65e13487" unitRef="_GBC_5ae5b2f3e4c64e05b223351f52f762b8" addr="T1R78C1S1_1" formatStyle="Comma" appId="_GBC_5ea888705f7c4c0f98e8769d2197c0de">
          <m:axisValue occRef="母公司"/>
        </m:item>
        <m:item xlName="_GBC_0e69dd6e4ca8443ba7a82b01abc2a244" concept="clcid-pte:ZhuanXiangChuBei" label="专项储备" periodRef="本期期初数" mulRef="_GBC_12bdcba29eb54af2b8443a5d65e13487" unitRef="_GBC_5ae5b2f3e4c64e05b223351f52f762b8" addr="T1R78C2S1_1" formatStyle="Comma" appId="_GBC_5ea888705f7c4c0f98e8769d2197c0de">
          <m:axisValue occRef="母公司"/>
        </m:item>
        <m:item xlName="_GBC_1f174fe4b6f54c3690fd0dcff757a99f" concept="clcid-pte:ZhuanXiangChuBei" label="专项储备" mulRef="_GBC_12bdcba29eb54af2b8443a5d65e13487" unitRef="_GBC_5ae5b2f3e4c64e05b223351f52f762b8" addr="T1R78C3S1_1" formatStyle="Comma" appId="_GBC_5ea888705f7c4c0f98e8769d2197c0de">
          <m:axisValue occRef="调整数"/>
          <m:axisValue occRef="母公司"/>
        </m:item>
        <m:placeholder xlName="_PLD_dd11efa46b0146de89d9167f31cbb19b" addr="T1R79C0S1_1"/>
        <m:item xlName="_GBC_6104dd8faf284561af68ff0c417d78c7" concept="clcid-pte:YingYuGongJi" label="盈余公积" periodRef="上年期末数" mulRef="_GBC_12bdcba29eb54af2b8443a5d65e13487" unitRef="_GBC_5ae5b2f3e4c64e05b223351f52f762b8" addr="T1R79C1S1_1" formatStyle="Comma" appId="_GBC_5ea888705f7c4c0f98e8769d2197c0de">
          <m:axisValue occRef="母公司"/>
        </m:item>
        <m:item xlName="_GBC_cd4164a6213d4c0f83af9a8f806fc555" concept="clcid-pte:YingYuGongJi" label="盈余公积" periodRef="本期期初数" mulRef="_GBC_12bdcba29eb54af2b8443a5d65e13487" unitRef="_GBC_5ae5b2f3e4c64e05b223351f52f762b8" addr="T1R79C2S1_1" formatStyle="Comma" appId="_GBC_5ea888705f7c4c0f98e8769d2197c0de">
          <m:axisValue occRef="母公司"/>
        </m:item>
        <m:item xlName="_GBC_dadc7c17c53e4f8194ce169c8edc0d22" concept="clcid-pte:YingYuGongJi" label="盈余公积" mulRef="_GBC_12bdcba29eb54af2b8443a5d65e13487" unitRef="_GBC_5ae5b2f3e4c64e05b223351f52f762b8" addr="T1R79C3S1_1" formatStyle="Comma" appId="_GBC_5ea888705f7c4c0f98e8769d2197c0de">
          <m:axisValue occRef="调整数"/>
          <m:axisValue occRef="母公司"/>
        </m:item>
        <m:placeholder xlName="_PLD_d86bc5971158404eb1d42b4de33e2728" addr="T1R80C0S1_1"/>
        <m:item xlName="_GBC_f608bc1115ad4d10b416e6ac339ca211" concept="clcid-pte:WeiFenPeiLiRun" label="未分配利润" periodRef="上年期末数" mulRef="_GBC_12bdcba29eb54af2b8443a5d65e13487" unitRef="_GBC_5ae5b2f3e4c64e05b223351f52f762b8" addr="T1R80C1S1_1" formatStyle="Comma" appId="_GBC_5ea888705f7c4c0f98e8769d2197c0de">
          <m:axisValue occRef="母公司"/>
        </m:item>
        <m:item xlName="_GBC_f46af43662fc4d96aa3f74d34708afd9" concept="clcid-pte:WeiFenPeiLiRun" label="未分配利润" periodRef="本期期初数" mulRef="_GBC_12bdcba29eb54af2b8443a5d65e13487" unitRef="_GBC_5ae5b2f3e4c64e05b223351f52f762b8" addr="T1R80C2S1_1" formatStyle="Comma" appId="_GBC_5ea888705f7c4c0f98e8769d2197c0de">
          <m:axisValue occRef="母公司"/>
        </m:item>
        <m:item xlName="_GBC_50aad17b7591422dbdfa8e11ff8ab1d5" concept="clcid-pte:WeiFenPeiLiRun" label="未分配利润" mulRef="_GBC_12bdcba29eb54af2b8443a5d65e13487" unitRef="_GBC_5ae5b2f3e4c64e05b223351f52f762b8" addr="T1R80C3S1_1" formatStyle="Comma" appId="_GBC_5ea888705f7c4c0f98e8769d2197c0de">
          <m:axisValue occRef="调整数"/>
          <m:axisValue occRef="母公司"/>
        </m:item>
        <m:placeholder xlName="_PLD_c20899a0afbc45fb9f96c375ae861870" addr="T1R81C0S1_1"/>
        <m:item xlName="_GBC_809a22d4bc2d4495b6494eb39adbcadd" concept="clcid-pte:GuDongQuanYiHeJi" label="股东权益合计" periodRef="上年期末数" mulRef="_GBC_12bdcba29eb54af2b8443a5d65e13487" unitRef="_GBC_5ae5b2f3e4c64e05b223351f52f762b8" addr="T1R81C1S1_1" formatStyle="Comma" appId="_GBC_5ea888705f7c4c0f98e8769d2197c0de">
          <m:complexRule comparator="Eq" title="母公司股东权益合计" test=" $_GBC_0db0e6924de842afb880ce80b5f78100 +  $_GBC_8ebb195aa84b4546a9ad908cc695ffd1 -  $_GBC_4d22104f9ed441dbbbffc181c3dd6f11 +  $_GBC_faeddf48463a435e9e43165709166500 +  $_GBC_6104dd8faf284561af68ff0c417d78c7 +  $_GBC_f608bc1115ad4d10b416e6ac339ca211 +  $_GBC_88df3946de6c493abe040acb94502ec6 +  $_GBC_2f4dd3e767b747a0a9361d9781cc5b2a" id="C3f6e8260dafb4971b6501c41355beb42"/>
          <m:axisValue occRef="母公司"/>
        </m:item>
        <m:item xlName="_GBC_b505bba8bc8e4ed8bf6456d5e0b903e6" concept="clcid-pte:GuDongQuanYiHeJi" label="股东权益合计" periodRef="本期期初数" mulRef="_GBC_12bdcba29eb54af2b8443a5d65e13487" unitRef="_GBC_5ae5b2f3e4c64e05b223351f52f762b8" addr="T1R81C2S1_1" formatStyle="Comma" appId="_GBC_5ea888705f7c4c0f98e8769d2197c0de">
          <m:complexRule comparator="Eq" title="母公司股东权益合计@本期期初数" test=" $_GBC_b682dcad4f064056b7b2c335e0d0c324 +  $_GBC_a21a7922136e49b58f271d847e997974 -  $_GBC_741ecf0b80bb468581e9dfa03a904e10 +  $_GBC_0e69dd6e4ca8443ba7a82b01abc2a244 +  $_GBC_cd4164a6213d4c0f83af9a8f806fc555 +  $_GBC_f46af43662fc4d96aa3f74d34708afd9 +  $_GBC_22e9e60ad5a34e05821e5719a9498893 +  $_GBC_2fcac0155f95460b8f1163516b2278b7" id="C7ad6a5faa01d471aa7a41f0fad0fda6d"/>
          <m:axisValue occRef="母公司"/>
        </m:item>
        <m:item xlName="_GBC_74bc82d057064c348dfce5378ce2cfb1" concept="clcid-pte:GuDongQuanYiHeJi" label="股东权益合计" mulRef="_GBC_12bdcba29eb54af2b8443a5d65e13487" unitRef="_GBC_5ae5b2f3e4c64e05b223351f52f762b8" addr="T1R81C3S1_1" formatStyle="Comma" appId="_GBC_5ea888705f7c4c0f98e8769d2197c0de">
          <m:complexRule comparator="Eq" title="母公司股东权益合计(调整数)" test=" $_GBC_4e7d7e48227648e1b89f17c4764e55b7 +  $_GBC_91c57e84abe74b1a94d9d6738d70a85b +  $_GBC_185a2ef711bc4fc6b876f42160f323ef -  $_GBC_c02fb7dffc0f4d378d1b11a862c49219 +  $_GBC_a679d98c43b242c5a39dcc8012fcd765 +  $_GBC_1f174fe4b6f54c3690fd0dcff757a99f +  $_GBC_dadc7c17c53e4f8194ce169c8edc0d22 +  $_GBC_50aad17b7591422dbdfa8e11ff8ab1d5" id="C0ce686ab6b044ab3a4aa8ac0afd534ef"/>
          <m:axisValue occRef="调整数"/>
          <m:axisValue occRef="母公司"/>
        </m:item>
        <m:placeholder xlName="_PLD_db11ece6f92844b48c8e943a030153d9" addr="T1R82C0S1_1"/>
        <m:item xlName="_GBC_6bb244d4058942ef8ae216ab7fec1d0e" concept="clcid-pte:FuZhaiHeGuDongQuanYiHeJi" label="负债和股东权益合计" periodRef="上年期末数" mulRef="_GBC_12bdcba29eb54af2b8443a5d65e13487" unitRef="_GBC_5ae5b2f3e4c64e05b223351f52f762b8" addr="T1R82C1S1_1" formatStyle="Comma" appId="_GBC_5ea888705f7c4c0f98e8769d2197c0de">
          <m:complexRule comparator="Eq" title="母公司负债和股东权益合计" test=" $_GBC_e6bf84545a1b4facb5eb7e2aa525424b +  $_GBC_809a22d4bc2d4495b6494eb39adbcadd" id="Ca4c931fc33674a78ac6406845fab8d03"/>
          <m:axisValue occRef="母公司"/>
        </m:item>
        <m:item xlName="_GBC_7623a9795af54305a03d4f79eda01341" concept="clcid-pte:FuZhaiHeGuDongQuanYiHeJi" label="负债和股东权益合计" periodRef="本期期初数" mulRef="_GBC_12bdcba29eb54af2b8443a5d65e13487" unitRef="_GBC_5ae5b2f3e4c64e05b223351f52f762b8" addr="T1R82C2S1_1" formatStyle="Comma" appId="_GBC_5ea888705f7c4c0f98e8769d2197c0de">
          <m:complexRule comparator="Eq" title="母公司负债和股东权益合计@本期期初数" test=" $_GBC_acfda96878e440498a670cc016280d0c +  $_GBC_b505bba8bc8e4ed8bf6456d5e0b903e6" id="C19babe3dc7a446d6840dd0a5c481b588"/>
          <m:axisValue occRef="母公司"/>
        </m:item>
        <m:item xlName="_GBC_36e5ba49af9b494d9904ced285d0fac3" concept="clcid-pte:FuZhaiHeGuDongQuanYiHeJi" label="负债和股东权益合计" mulRef="_GBC_12bdcba29eb54af2b8443a5d65e13487" unitRef="_GBC_5ae5b2f3e4c64e05b223351f52f762b8" addr="T1R82C3S1_1" formatStyle="Comma" appId="_GBC_5ea888705f7c4c0f98e8769d2197c0de">
          <m:complexRule comparator="Eq" title="母公司负债和股东权益合计(调整数)" test=" $_GBC_74bc82d057064c348dfce5378ce2cfb1 +  $_GBC_62fe7cf73d5744949ae4b0f30455791e" id="C467eee9cb39543b9b7703438bca8386c"/>
          <m:axisValue occRef="调整数"/>
          <m:axisValue occRef="母公司"/>
        </m:item>
        <m:item xlName="_GBC_4da43801742d47a3ad02db54d198c963" concept="clcid-ci-ar:ShiFouShiYongMuGongSiZiChanFuZhaiBiaoGeXiangMuTiaoZhengQingKuangDeShuoMing" label="是否适用：母公司资产负债表各项目调整情况的说明" selectOptions="_buildInAppliance" controlType="CustomCheckbox" cRanges="[{&quot;StartName&quot;:&quot;_GBC_4da43801742d47a3ad02db54d198c963&quot;,&quot;EndName&quot;:&quot;_GBC_d0fbabdfa28a42cc85d9e88c82f80510&quot;,&quot;CType&quot;:1}]"/>
        <m:item xlName="_GBC_d0fbabdfa28a42cc85d9e88c82f80510" concept="clcid-pte:MuGongSiZiChanFuZhaiBiaoGeXiangMuTiaoZhengQingKuangDeShuoMing" label="母公司资产负债表各项目调整情况的说明" appId="_GBC_4da43801742d47a3ad02db54d198c963"/>
        <m:rowModel locationConcept="clcid-ci-ar:ZiDingYiKeMuWeiZhi" labelConcept="clcid-ci-ar:ZiDingYiKeMuMingCheng" conceptPrefix="母公司资产负债表" presentationRole="http://www.xbrl-cn.org/cn/lcid/lr/role/BalanceSheetforCommercialandIndustrialCompanies" presentationParentConcept="clcid-pte:ZiChanFuZhaiBiao" tuplePrefix="项目"/>
      </m:region>
    </m:section>
    <m:section xlName="_SEC_da3186713a03462cb6bb6f3769a46091" title="首次执行新金融工具准则、新收入准则、新租赁准则调整首次执行当..." helpText="自2021年1月1日起，所有境内上市企业开始执行新租赁准则。根据新会计准则的相关规定，上市公司需对首次执行上述新准则对财务报表的影响数进行追溯调整。对于采用修改的追溯调整法进行调整的公司，应填写下附资产负债表调节表，将资产负债表2020年12月31日数据调整为2021年1月1日数据。" primarySection="_SEC_e1c98e5fd61d48c4bc25ea1a7cf45164" optionText="无需编制合并报表" optionGroupTitle="是否需要合并报表" optionTargetConcept="clcid-ci-ar:ShiFouXuYaoHeBingBaoBiao" optionTargetConceptValue="false">
      <m:item xlName="_GBC_0c146c68fc034b599b66830a1b8cd6d2" concept="clcid-ci-ar:ShiFouShiYongShouCiZhiXingXinJinRongGongJuZhunZeHuoXinShouRuZhunZeTiaoZhengShouCiZhiXingDangNianNianChuCaiWuBaoBiaoXiangGuanXiangMuQingKuang" label="是否适用：首次执行新金融工具准则或新收入准则调整首次执行当年年初财务报表相关项目情况" selectOptions="_buildInAppliance" controlType="CustomCheckbox" cRanges="[{&quot;StartName&quot;:&quot;_GBC_0c146c68fc034b599b66830a1b8cd6d2&quot;,&quot;EndName&quot;:&quot;_GBC_c0981d9705734d91b8062b829ca1af11&quot;,&quot;CType&quot;:1}]"/>
      <m:item xlName="_GBC_dcff3d72dff8467cb2c07ad3b3fc27ca" concept="clcid-ci-ar:DanWeiMuGongSiZiChanFuZhaiBiao" label="单位：母公司资产负债表" selectOptions="_buildInScales" controlType="Combobox" cellType="Scale" appId="_GBC_0c146c68fc034b599b66830a1b8cd6d2"/>
      <m:item xlName="_GBC_bba83c9ffe7341af87411641b3c1153d" concept="clcid-ci-ar:BiZhongMuGongSiZiChanFuZhaiBiao" label="币种：母公司资产负债表" selectOptions="_buildInISO4217" controlType="Combobox" cellType="Measure" appId="_GBC_0c146c68fc034b599b66830a1b8cd6d2"/>
      <m:placeholder xlName="_PLD_08de00d5036d423da16b216cce760746" addr="T0R0C0S1_1"/>
      <m:placeholder xlName="_PLD_1b4494bb36d34e31a5ceb9607f310b35" addr="T0R0C1S1_1"/>
      <m:placeholder xlName="_PLD_9926f849e52240fd90deb3cf04126314" addr="T0R0C2S1_1"/>
      <m:placeholder xlName="_PLD_218c0818ec734096a7b500d64769dda3" addr="T0R0C3S1_1"/>
      <m:placeholder xlName="_PLD_87f33fc4ac774fe1a7ec7b0e96856644" addr="T0R1C0S1_4"/>
      <m:placeholder xlName="_PLD_29954ebc17a04d0684e30913cfa0d602" addr="T0R2C0S1_1"/>
      <m:item xlName="_GBC_9beabf1eccaa4d1fb1e78380fc91eb2a" concept="clcid-pte:HuoBiZiJin" label="货币资金" periodRef="上年期末数" mulRef="_GBC_dcff3d72dff8467cb2c07ad3b3fc27ca" unitRef="_GBC_bba83c9ffe7341af87411641b3c1153d" addr="T0R2C1S1_1" formatStyle="Comma" appId="_GBC_0c146c68fc034b599b66830a1b8cd6d2"/>
      <m:item xlName="_GBC_972791ac5d1943b49b72a11bbc10d2f1" concept="clcid-pte:HuoBiZiJin" label="货币资金" periodRef="本期期初数" mulRef="_GBC_dcff3d72dff8467cb2c07ad3b3fc27ca" unitRef="_GBC_bba83c9ffe7341af87411641b3c1153d" addr="T0R2C2S1_1" formatStyle="Comma" appId="_GBC_0c146c68fc034b599b66830a1b8cd6d2"/>
      <m:item xlName="_GBC_83a9c710a04b4a23875bce319d1af271" concept="clcid-pte:HuoBiZiJin" label="货币资金" mulRef="_GBC_dcff3d72dff8467cb2c07ad3b3fc27ca" unitRef="_GBC_bba83c9ffe7341af87411641b3c1153d" addr="T0R2C3S1_1" formatStyle="Comma" appId="_GBC_0c146c68fc034b599b66830a1b8cd6d2">
        <m:axisValue occRef="调整数"/>
      </m:item>
      <m:placeholder xlName="_PLD_42f00ca651f249d18dfeda52e49124bb" addr="T0R3C0S1_1"/>
      <m:item xlName="_GBC_96b9dda4f8a54f4384ab6be601b3976c" concept="clcid-pte:JiaoYiXingJinRongZiChan" label="交易性金融资产" periodRef="上年期末数" mulRef="_GBC_dcff3d72dff8467cb2c07ad3b3fc27ca" unitRef="_GBC_bba83c9ffe7341af87411641b3c1153d" addr="T0R3C1S1_1" formatStyle="Comma" appId="_GBC_0c146c68fc034b599b66830a1b8cd6d2"/>
      <m:item xlName="_GBC_62a524295faa4283a7f30ccfa63d5426" concept="clcid-pte:JiaoYiXingJinRongZiChan" label="交易性金融资产" periodRef="本期期初数" mulRef="_GBC_dcff3d72dff8467cb2c07ad3b3fc27ca" unitRef="_GBC_bba83c9ffe7341af87411641b3c1153d" addr="T0R3C2S1_1" formatStyle="Comma" appId="_GBC_0c146c68fc034b599b66830a1b8cd6d2"/>
      <m:item xlName="_GBC_23726be0c4384afa83de45770f315fe3" concept="clcid-pte:JiaoYiXingJinRongZiChan" label="交易性金融资产" mulRef="_GBC_dcff3d72dff8467cb2c07ad3b3fc27ca" unitRef="_GBC_bba83c9ffe7341af87411641b3c1153d" addr="T0R3C3S1_1" formatStyle="Comma" appId="_GBC_0c146c68fc034b599b66830a1b8cd6d2">
        <m:axisValue occRef="调整数"/>
      </m:item>
      <m:placeholder xlName="_PLD_53c1ecb0a3af478facba0c93765240c2" addr="T0R4C0S1_1"/>
      <m:item xlName="_GBC_64fccfffbbd1476b809b338ff1726c0d" concept="clcid-pte:YanShengJinRongZiChan" label="衍生金融资产" periodRef="上年期末数" mulRef="_GBC_dcff3d72dff8467cb2c07ad3b3fc27ca" unitRef="_GBC_bba83c9ffe7341af87411641b3c1153d" addr="T0R4C1S1_1" formatStyle="Comma" appId="_GBC_0c146c68fc034b599b66830a1b8cd6d2"/>
      <m:item xlName="_GBC_2235f6e15e4f4093b44c4fd80f189e16" concept="clcid-pte:YanShengJinRongZiChan" label="衍生金融资产" periodRef="本期期初数" mulRef="_GBC_dcff3d72dff8467cb2c07ad3b3fc27ca" unitRef="_GBC_bba83c9ffe7341af87411641b3c1153d" addr="T0R4C2S1_1" formatStyle="Comma" appId="_GBC_0c146c68fc034b599b66830a1b8cd6d2"/>
      <m:item xlName="_GBC_4e8179426012451b980cfb4512c6ef11" concept="clcid-pte:YanShengJinRongZiChan" label="衍生金融资产" mulRef="_GBC_dcff3d72dff8467cb2c07ad3b3fc27ca" unitRef="_GBC_bba83c9ffe7341af87411641b3c1153d" addr="T0R4C3S1_1" formatStyle="Comma" appId="_GBC_0c146c68fc034b599b66830a1b8cd6d2">
        <m:axisValue occRef="调整数"/>
      </m:item>
      <m:placeholder xlName="_PLD_3b35a41d246c4af789dd4a776dad4f41" addr="T0R5C0S1_1"/>
      <m:item xlName="_GBC_f1f758b7280f4db4b19b085641f388df" concept="clcid-pte:YingShouPiaoJu" label="应收票据" periodRef="上年期末数" mulRef="_GBC_dcff3d72dff8467cb2c07ad3b3fc27ca" unitRef="_GBC_bba83c9ffe7341af87411641b3c1153d" addr="T0R5C1S1_1" formatStyle="Comma" appId="_GBC_0c146c68fc034b599b66830a1b8cd6d2"/>
      <m:item xlName="_GBC_f8ab9b47ad1d403cb2a7a6b198eb6c6f" concept="clcid-pte:YingShouPiaoJu" label="应收票据" periodRef="本期期初数" mulRef="_GBC_dcff3d72dff8467cb2c07ad3b3fc27ca" unitRef="_GBC_bba83c9ffe7341af87411641b3c1153d" addr="T0R5C2S1_1" formatStyle="Comma" appId="_GBC_0c146c68fc034b599b66830a1b8cd6d2"/>
      <m:item xlName="_GBC_9f9de9cc7230491ea3d5a27db5a09026" concept="clcid-pte:YingShouPiaoJu" label="应收票据" mulRef="_GBC_dcff3d72dff8467cb2c07ad3b3fc27ca" unitRef="_GBC_bba83c9ffe7341af87411641b3c1153d" addr="T0R5C3S1_1" formatStyle="Comma" appId="_GBC_0c146c68fc034b599b66830a1b8cd6d2">
        <m:axisValue occRef="调整数"/>
      </m:item>
      <m:placeholder xlName="_PLD_cfc815e4376d4ffa855de9c0ccf67cda" addr="T0R6C0S1_1"/>
      <m:item xlName="_GBC_d3aa7fa7daa04a53983bcb22a4b28f75" concept="clcid-pte:YingShouZhangKuan" label="应收帐款" periodRef="上年期末数" mulRef="_GBC_dcff3d72dff8467cb2c07ad3b3fc27ca" unitRef="_GBC_bba83c9ffe7341af87411641b3c1153d" addr="T0R6C1S1_1" formatStyle="Comma" appId="_GBC_0c146c68fc034b599b66830a1b8cd6d2"/>
      <m:item xlName="_GBC_81d73c21497944dd90f3ced03cee03ba" concept="clcid-pte:YingShouZhangKuan" label="应收帐款" periodRef="本期期初数" mulRef="_GBC_dcff3d72dff8467cb2c07ad3b3fc27ca" unitRef="_GBC_bba83c9ffe7341af87411641b3c1153d" addr="T0R6C2S1_1" formatStyle="Comma" appId="_GBC_0c146c68fc034b599b66830a1b8cd6d2"/>
      <m:item xlName="_GBC_679b2a5ff7ce40379e88850b11e9cf54" concept="clcid-pte:YingShouZhangKuan" label="应收帐款" mulRef="_GBC_dcff3d72dff8467cb2c07ad3b3fc27ca" unitRef="_GBC_bba83c9ffe7341af87411641b3c1153d" addr="T0R6C3S1_1" formatStyle="Comma" appId="_GBC_0c146c68fc034b599b66830a1b8cd6d2">
        <m:axisValue occRef="调整数"/>
      </m:item>
      <m:placeholder xlName="_PLD_33c7c13b7aaf4358a216ad65edd850ca" addr="T0R7C0S1_1"/>
      <m:item xlName="_GBC_a79a0300671943b7b8ba122cd3e6022b" concept="clcid-pte:YingShouKuanXiangRongZi" label="应收款项融资" periodRef="上年期末数" mulRef="_GBC_dcff3d72dff8467cb2c07ad3b3fc27ca" unitRef="_GBC_bba83c9ffe7341af87411641b3c1153d" addr="T0R7C1S1_1" formatStyle="Comma" appId="_GBC_0c146c68fc034b599b66830a1b8cd6d2"/>
      <m:item xlName="_GBC_fc4f3cd51fbd48ad84fc2a8dc46b5595" concept="clcid-pte:YingShouKuanXiangRongZi" label="应收款项融资" periodRef="本期期初数" mulRef="_GBC_dcff3d72dff8467cb2c07ad3b3fc27ca" unitRef="_GBC_bba83c9ffe7341af87411641b3c1153d" addr="T0R7C2S1_1" formatStyle="Comma" appId="_GBC_0c146c68fc034b599b66830a1b8cd6d2"/>
      <m:item xlName="_GBC_c03fb798fae94ab0ac6eaf690287230c" concept="clcid-pte:YingShouKuanXiangRongZi" label="应收款项融资" mulRef="_GBC_dcff3d72dff8467cb2c07ad3b3fc27ca" unitRef="_GBC_bba83c9ffe7341af87411641b3c1153d" addr="T0R7C3S1_1" formatStyle="Comma" appId="_GBC_0c146c68fc034b599b66830a1b8cd6d2">
        <m:axisValue occRef="调整数"/>
      </m:item>
      <m:placeholder xlName="_PLD_f123b252c73348f09f4751c2b446df85" addr="T0R8C0S1_1"/>
      <m:item xlName="_GBC_af8da6eafac94fee9fdbb1aef21dba2f" concept="clcid-pte:YuFuZhangKuan" label="预付帐款" periodRef="上年期末数" mulRef="_GBC_dcff3d72dff8467cb2c07ad3b3fc27ca" unitRef="_GBC_bba83c9ffe7341af87411641b3c1153d" addr="T0R8C1S1_1" formatStyle="Comma" appId="_GBC_0c146c68fc034b599b66830a1b8cd6d2"/>
      <m:item xlName="_GBC_289dcbd2ace34a4f87ff02034d5aa092" concept="clcid-pte:YuFuZhangKuan" label="预付帐款" periodRef="本期期初数" mulRef="_GBC_dcff3d72dff8467cb2c07ad3b3fc27ca" unitRef="_GBC_bba83c9ffe7341af87411641b3c1153d" addr="T0R8C2S1_1" formatStyle="Comma" appId="_GBC_0c146c68fc034b599b66830a1b8cd6d2"/>
      <m:item xlName="_GBC_b792b50f428446f8a215588bf66e204b" concept="clcid-pte:YuFuZhangKuan" label="预付帐款" mulRef="_GBC_dcff3d72dff8467cb2c07ad3b3fc27ca" unitRef="_GBC_bba83c9ffe7341af87411641b3c1153d" addr="T0R8C3S1_1" formatStyle="Comma" appId="_GBC_0c146c68fc034b599b66830a1b8cd6d2">
        <m:axisValue occRef="调整数"/>
      </m:item>
      <m:placeholder xlName="_PLD_f9eecd36bdbe4763854b3751129ef7db" addr="T0R9C0S1_1"/>
      <m:item xlName="_GBC_59fd9c3e184e478aaa0c599d8b9cb2de" concept="clcid-pte:QiTaYingShouKuan" label="其他应收款" periodRef="上年期末数" mulRef="_GBC_dcff3d72dff8467cb2c07ad3b3fc27ca" unitRef="_GBC_bba83c9ffe7341af87411641b3c1153d" addr="T0R9C1S1_1" formatStyle="Comma" appId="_GBC_0c146c68fc034b599b66830a1b8cd6d2"/>
      <m:item xlName="_GBC_421e15f885e64b32a8ff3f573689d2d3" concept="clcid-pte:QiTaYingShouKuan" label="其他应收款" periodRef="本期期初数" mulRef="_GBC_dcff3d72dff8467cb2c07ad3b3fc27ca" unitRef="_GBC_bba83c9ffe7341af87411641b3c1153d" addr="T0R9C2S1_1" formatStyle="Comma" appId="_GBC_0c146c68fc034b599b66830a1b8cd6d2"/>
      <m:item xlName="_GBC_7b57c586c87f444c9df94f26caaf263f" concept="clcid-pte:QiTaYingShouKuan" label="其他应收款" mulRef="_GBC_dcff3d72dff8467cb2c07ad3b3fc27ca" unitRef="_GBC_bba83c9ffe7341af87411641b3c1153d" addr="T0R9C3S1_1" formatStyle="Comma" appId="_GBC_0c146c68fc034b599b66830a1b8cd6d2">
        <m:axisValue occRef="调整数"/>
      </m:item>
      <m:placeholder xlName="_PLD_e222cb4a9d794216b81d962896df775c" addr="T0R10C0S1_1"/>
      <m:item xlName="_GBC_0f2c0573aa694654853131385bdcf487" concept="clcid-pte:YingShouLiXi" label="应收利息" periodRef="上年期末数" mulRef="_GBC_dcff3d72dff8467cb2c07ad3b3fc27ca" unitRef="_GBC_bba83c9ffe7341af87411641b3c1153d" addr="T0R10C1S1_1" formatStyle="Comma" appId="_GBC_0c146c68fc034b599b66830a1b8cd6d2"/>
      <m:item xlName="_GBC_c93fbbf8cc5a476899d763a755e0ebac" concept="clcid-pte:YingShouLiXi" label="应收利息" periodRef="本期期初数" mulRef="_GBC_dcff3d72dff8467cb2c07ad3b3fc27ca" unitRef="_GBC_bba83c9ffe7341af87411641b3c1153d" addr="T0R10C2S1_1" formatStyle="Comma" appId="_GBC_0c146c68fc034b599b66830a1b8cd6d2"/>
      <m:item xlName="_GBC_c8f7cc9a07ca4ddd9600e0c26610311c" concept="clcid-pte:YingShouLiXi" label="应收利息" mulRef="_GBC_dcff3d72dff8467cb2c07ad3b3fc27ca" unitRef="_GBC_bba83c9ffe7341af87411641b3c1153d" addr="T0R10C3S1_1" formatStyle="Comma" appId="_GBC_0c146c68fc034b599b66830a1b8cd6d2">
        <m:axisValue occRef="调整数"/>
      </m:item>
      <m:placeholder xlName="_PLD_b5072d4cac9645c5a8032b2e8a9a8559" addr="T0R11C0S1_1"/>
      <m:item xlName="_GBC_92f0db47ec93440d92b06bcdf6b876f9" concept="clcid-pte:YingShouGuLi" label="应收股利" periodRef="上年期末数" mulRef="_GBC_dcff3d72dff8467cb2c07ad3b3fc27ca" unitRef="_GBC_bba83c9ffe7341af87411641b3c1153d" addr="T0R11C1S1_1" formatStyle="Comma" appId="_GBC_0c146c68fc034b599b66830a1b8cd6d2"/>
      <m:item xlName="_GBC_9ee1ffac37c34b559745db2ce8b19e7e" concept="clcid-pte:YingShouGuLi" label="应收股利" periodRef="本期期初数" mulRef="_GBC_dcff3d72dff8467cb2c07ad3b3fc27ca" unitRef="_GBC_bba83c9ffe7341af87411641b3c1153d" addr="T0R11C2S1_1" formatStyle="Comma" appId="_GBC_0c146c68fc034b599b66830a1b8cd6d2"/>
      <m:item xlName="_GBC_74192db1fd004d92ad72618a89eea625" concept="clcid-pte:YingShouGuLi" label="应收股利" mulRef="_GBC_dcff3d72dff8467cb2c07ad3b3fc27ca" unitRef="_GBC_bba83c9ffe7341af87411641b3c1153d" addr="T0R11C3S1_1" formatStyle="Comma" appId="_GBC_0c146c68fc034b599b66830a1b8cd6d2">
        <m:axisValue occRef="调整数"/>
      </m:item>
      <m:placeholder xlName="_PLD_e6763617cd81467eb1733c9919037603" addr="T0R12C0S1_1"/>
      <m:item xlName="_GBC_441aeec2e0e1497293900257266eebb9" concept="clcid-pte:CunHuo" label="存货" periodRef="上年期末数" mulRef="_GBC_dcff3d72dff8467cb2c07ad3b3fc27ca" unitRef="_GBC_bba83c9ffe7341af87411641b3c1153d" addr="T0R12C1S1_1" formatStyle="Comma" appId="_GBC_0c146c68fc034b599b66830a1b8cd6d2"/>
      <m:item xlName="_GBC_df5e0463f014473981459bbce2c4b2cb" concept="clcid-pte:CunHuo" label="存货" periodRef="本期期初数" mulRef="_GBC_dcff3d72dff8467cb2c07ad3b3fc27ca" unitRef="_GBC_bba83c9ffe7341af87411641b3c1153d" addr="T0R12C2S1_1" formatStyle="Comma" appId="_GBC_0c146c68fc034b599b66830a1b8cd6d2"/>
      <m:item xlName="_GBC_a6a8243a82154c64b282e185860b031e" concept="clcid-pte:CunHuo" label="存货" mulRef="_GBC_dcff3d72dff8467cb2c07ad3b3fc27ca" unitRef="_GBC_bba83c9ffe7341af87411641b3c1153d" addr="T0R12C3S1_1" formatStyle="Comma" appId="_GBC_0c146c68fc034b599b66830a1b8cd6d2">
        <m:axisValue occRef="调整数"/>
      </m:item>
      <m:placeholder xlName="_PLD_9e319c432b694d8cba89fb4ce099a383" addr="T0R13C0S1_1"/>
      <m:item xlName="_GBC_d29036b5d2d84cd1a6376c99bbb5ca4b" concept="clcid-pte:HeTongZiChan" label="合同资产" periodRef="上年期末数" mulRef="_GBC_dcff3d72dff8467cb2c07ad3b3fc27ca" unitRef="_GBC_bba83c9ffe7341af87411641b3c1153d" addr="T0R13C1S1_1" formatStyle="Comma" appId="_GBC_0c146c68fc034b599b66830a1b8cd6d2"/>
      <m:item xlName="_GBC_71177f00af3d4cc7be8716577e9d6b07" concept="clcid-pte:HeTongZiChan" label="合同资产" periodRef="本期期初数" mulRef="_GBC_dcff3d72dff8467cb2c07ad3b3fc27ca" unitRef="_GBC_bba83c9ffe7341af87411641b3c1153d" addr="T0R13C2S1_1" formatStyle="Comma" appId="_GBC_0c146c68fc034b599b66830a1b8cd6d2"/>
      <m:item xlName="_GBC_31528b6a13f04770a8efa72b1f8975c1" concept="clcid-pte:HeTongZiChan" label="合同资产" mulRef="_GBC_dcff3d72dff8467cb2c07ad3b3fc27ca" unitRef="_GBC_bba83c9ffe7341af87411641b3c1153d" addr="T0R13C3S1_1" formatStyle="Comma" appId="_GBC_0c146c68fc034b599b66830a1b8cd6d2">
        <m:axisValue occRef="调整数"/>
      </m:item>
      <m:placeholder xlName="_PLD_9ca218ad630344e79e4a10581560f428" addr="T0R14C0S1_1"/>
      <m:item xlName="_GBC_8aa4c78a88734c7891e589d8f6fc7c10" concept="clcid-pte:HuaFenWeiChiYouDaiShouDeZiChan" label="划分为持有待售的资产" periodRef="上年期末数" mulRef="_GBC_dcff3d72dff8467cb2c07ad3b3fc27ca" unitRef="_GBC_bba83c9ffe7341af87411641b3c1153d" addr="T0R14C1S1_1" formatStyle="Comma" appId="_GBC_0c146c68fc034b599b66830a1b8cd6d2"/>
      <m:item xlName="_GBC_dfadadef5bf64d79bc63a2d13bb48649" concept="clcid-pte:HuaFenWeiChiYouDaiShouDeZiChan" label="划分为持有待售的资产" periodRef="本期期初数" mulRef="_GBC_dcff3d72dff8467cb2c07ad3b3fc27ca" unitRef="_GBC_bba83c9ffe7341af87411641b3c1153d" addr="T0R14C2S1_1" formatStyle="Comma" appId="_GBC_0c146c68fc034b599b66830a1b8cd6d2"/>
      <m:item xlName="_GBC_60949a25d75548909b32134853ff45bc" concept="clcid-pte:HuaFenWeiChiYouDaiShouDeZiChan" label="划分为持有待售的资产" mulRef="_GBC_dcff3d72dff8467cb2c07ad3b3fc27ca" unitRef="_GBC_bba83c9ffe7341af87411641b3c1153d" addr="T0R14C3S1_1" formatStyle="Comma" appId="_GBC_0c146c68fc034b599b66830a1b8cd6d2">
        <m:axisValue occRef="调整数"/>
      </m:item>
      <m:placeholder xlName="_PLD_b87e65188b0344c5906fddb36011c75e" addr="T0R15C0S1_1"/>
      <m:item xlName="_GBC_4b35d5dc9aeb4d48aa3772339967e77e" concept="clcid-pte:YiNianNeiDaoQiDeFeiLiuDongZiChan" label="一年内到期的非流动资产" periodRef="上年期末数" mulRef="_GBC_dcff3d72dff8467cb2c07ad3b3fc27ca" unitRef="_GBC_bba83c9ffe7341af87411641b3c1153d" addr="T0R15C1S1_1" formatStyle="Comma" appId="_GBC_0c146c68fc034b599b66830a1b8cd6d2"/>
      <m:item xlName="_GBC_5df5f828b4744e0d93a509f4028c40a5" concept="clcid-pte:YiNianNeiDaoQiDeFeiLiuDongZiChan" label="一年内到期的非流动资产" periodRef="本期期初数" mulRef="_GBC_dcff3d72dff8467cb2c07ad3b3fc27ca" unitRef="_GBC_bba83c9ffe7341af87411641b3c1153d" addr="T0R15C2S1_1" formatStyle="Comma" appId="_GBC_0c146c68fc034b599b66830a1b8cd6d2"/>
      <m:item xlName="_GBC_0d330df456854f118e31a93865fc0f79" concept="clcid-pte:YiNianNeiDaoQiDeFeiLiuDongZiChan" label="一年内到期的非流动资产" mulRef="_GBC_dcff3d72dff8467cb2c07ad3b3fc27ca" unitRef="_GBC_bba83c9ffe7341af87411641b3c1153d" addr="T0R15C3S1_1" formatStyle="Comma" appId="_GBC_0c146c68fc034b599b66830a1b8cd6d2">
        <m:axisValue occRef="调整数"/>
      </m:item>
      <m:placeholder xlName="_PLD_1180a8cf327d436281ffea29e3163f4b" addr="T0R16C0S1_1"/>
      <m:item xlName="_GBC_f57f59ccf43c454d95c9f5e078928af0" concept="clcid-pte:QiTaLiuDongZiChan" label="其他流动资产" periodRef="上年期末数" mulRef="_GBC_dcff3d72dff8467cb2c07ad3b3fc27ca" unitRef="_GBC_bba83c9ffe7341af87411641b3c1153d" addr="T0R16C1S1_1" formatStyle="Comma" appId="_GBC_0c146c68fc034b599b66830a1b8cd6d2"/>
      <m:item xlName="_GBC_581c3cc565b94b659cb9acb7832181cd" concept="clcid-pte:QiTaLiuDongZiChan" label="其他流动资产" periodRef="本期期初数" mulRef="_GBC_dcff3d72dff8467cb2c07ad3b3fc27ca" unitRef="_GBC_bba83c9ffe7341af87411641b3c1153d" addr="T0R16C2S1_1" formatStyle="Comma" appId="_GBC_0c146c68fc034b599b66830a1b8cd6d2"/>
      <m:item xlName="_GBC_9ebb38dfaae845d8998dfc1a9ebdaa0a" concept="clcid-pte:QiTaLiuDongZiChan" label="其他流动资产" mulRef="_GBC_dcff3d72dff8467cb2c07ad3b3fc27ca" unitRef="_GBC_bba83c9ffe7341af87411641b3c1153d" addr="T0R16C3S1_1" formatStyle="Comma" appId="_GBC_0c146c68fc034b599b66830a1b8cd6d2">
        <m:axisValue occRef="调整数"/>
      </m:item>
      <m:placeholder xlName="_PLD_245140c81ec84268b6103385a9f7270b" addr="T0R17C0S1_1"/>
      <m:item xlName="_GBC_67117f095d4d4ec4bd2da810406d92ae" concept="clcid-pte:LiuDongZiChanHeJi" label="流动资产合计" periodRef="上年期末数" mulRef="_GBC_dcff3d72dff8467cb2c07ad3b3fc27ca" unitRef="_GBC_bba83c9ffe7341af87411641b3c1153d" addr="T0R17C1S1_1" formatStyle="Comma" appId="_GBC_0c146c68fc034b599b66830a1b8cd6d2">
        <m:complexRule comparator="Eq" title="流动资产合计@上年期末数" test=" $_GBC_9beabf1eccaa4d1fb1e78380fc91eb2a +  $_GBC_96b9dda4f8a54f4384ab6be601b3976c +  $_GBC_64fccfffbbd1476b809b338ff1726c0d +  $_GBC_f1f758b7280f4db4b19b085641f388df +  $_GBC_d3aa7fa7daa04a53983bcb22a4b28f75 +  $_GBC_a79a0300671943b7b8ba122cd3e6022b +  $_GBC_af8da6eafac94fee9fdbb1aef21dba2f +  $_GBC_59fd9c3e184e478aaa0c599d8b9cb2de +  $_GBC_441aeec2e0e1497293900257266eebb9 +  $_GBC_d29036b5d2d84cd1a6376c99bbb5ca4b +  $_GBC_8aa4c78a88734c7891e589d8f6fc7c10 +  $_GBC_4b35d5dc9aeb4d48aa3772339967e77e +  $_GBC_f57f59ccf43c454d95c9f5e078928af0" id="C7ae38be0911f42d68f1637dc19de9157"/>
      </m:item>
      <m:item xlName="_GBC_74f08464c07b4f84aa29c39d17902b90" concept="clcid-pte:LiuDongZiChanHeJi" label="流动资产合计" periodRef="本期期初数" mulRef="_GBC_dcff3d72dff8467cb2c07ad3b3fc27ca" unitRef="_GBC_bba83c9ffe7341af87411641b3c1153d" addr="T0R17C2S1_1" formatStyle="Comma" appId="_GBC_0c146c68fc034b599b66830a1b8cd6d2">
        <m:complexRule comparator="Eq" title="流动资产合计@本期期初数" test=" $_GBC_972791ac5d1943b49b72a11bbc10d2f1 +  $_GBC_62a524295faa4283a7f30ccfa63d5426 +  $_GBC_2235f6e15e4f4093b44c4fd80f189e16 +  $_GBC_f8ab9b47ad1d403cb2a7a6b198eb6c6f +  $_GBC_81d73c21497944dd90f3ced03cee03ba +  $_GBC_fc4f3cd51fbd48ad84fc2a8dc46b5595 +  $_GBC_289dcbd2ace34a4f87ff02034d5aa092 +  $_GBC_421e15f885e64b32a8ff3f573689d2d3 +  $_GBC_df5e0463f014473981459bbce2c4b2cb +  $_GBC_71177f00af3d4cc7be8716577e9d6b07 +  $_GBC_dfadadef5bf64d79bc63a2d13bb48649 +  $_GBC_5df5f828b4744e0d93a509f4028c40a5 +  $_GBC_581c3cc565b94b659cb9acb7832181cd" id="C2cd17e711eec48219dadb9b5bde7caa9"/>
      </m:item>
      <m:item xlName="_GBC_0cd7b8945eba48efa0d49159b26a450a" concept="clcid-pte:LiuDongZiChanHeJi" label="流动资产合计" mulRef="_GBC_dcff3d72dff8467cb2c07ad3b3fc27ca" unitRef="_GBC_bba83c9ffe7341af87411641b3c1153d" addr="T0R17C3S1_1" formatStyle="Comma" appId="_GBC_0c146c68fc034b599b66830a1b8cd6d2">
        <m:complexRule comparator="Eq" title="流动资产合计(调整数)" test=" $_GBC_83a9c710a04b4a23875bce319d1af271 +  $_GBC_23726be0c4384afa83de45770f315fe3 +  $_GBC_4e8179426012451b980cfb4512c6ef11 +  $_GBC_9f9de9cc7230491ea3d5a27db5a09026 +  $_GBC_679b2a5ff7ce40379e88850b11e9cf54 +  $_GBC_c03fb798fae94ab0ac6eaf690287230c +  $_GBC_b792b50f428446f8a215588bf66e204b +  $_GBC_7b57c586c87f444c9df94f26caaf263f +  $_GBC_a6a8243a82154c64b282e185860b031e +  $_GBC_31528b6a13f04770a8efa72b1f8975c1 +  $_GBC_60949a25d75548909b32134853ff45bc +  $_GBC_0d330df456854f118e31a93865fc0f79 +  $_GBC_9ebb38dfaae845d8998dfc1a9ebdaa0a" id="C971a743962f64bdaa4b638f1b77e2484"/>
        <m:axisValue occRef="调整数"/>
      </m:item>
      <m:placeholder xlName="_PLD_f402ebb040a944738332a79e2f4f47c5" addr="T0R18C0S1_4"/>
      <m:placeholder xlName="_PLD_fabd39185a4345b2a7ef313498602cf0" addr="T0R19C0S1_1"/>
      <m:item xlName="_GBC_592671a58fd44114b6ffabb2429e8296" concept="clcid-pte:ZhaiQuanTouZi" label="债权投资" periodRef="上年期末数" mulRef="_GBC_dcff3d72dff8467cb2c07ad3b3fc27ca" unitRef="_GBC_bba83c9ffe7341af87411641b3c1153d" addr="T0R19C1S1_1" formatStyle="Comma" appId="_GBC_0c146c68fc034b599b66830a1b8cd6d2"/>
      <m:item xlName="_GBC_d6e1e43e85ea471482f923fee25f89cf" concept="clcid-pte:ZhaiQuanTouZi" label="债权投资" periodRef="本期期初数" mulRef="_GBC_dcff3d72dff8467cb2c07ad3b3fc27ca" unitRef="_GBC_bba83c9ffe7341af87411641b3c1153d" addr="T0R19C2S1_1" formatStyle="Comma" appId="_GBC_0c146c68fc034b599b66830a1b8cd6d2"/>
      <m:item xlName="_GBC_5f77edeb71e1477bac822b9f82b6a490" concept="clcid-pte:ZhaiQuanTouZi" label="债权投资" mulRef="_GBC_dcff3d72dff8467cb2c07ad3b3fc27ca" unitRef="_GBC_bba83c9ffe7341af87411641b3c1153d" addr="T0R19C3S1_1" formatStyle="Comma" appId="_GBC_0c146c68fc034b599b66830a1b8cd6d2">
        <m:axisValue occRef="调整数"/>
      </m:item>
      <m:placeholder xlName="_PLD_04d92a5406c54b0aa61949df5bd80858" addr="T0R20C0S1_1"/>
      <m:item xlName="_GBC_99c82a0a181246ff922e6a6d626ff8e5" concept="clcid-pte:QiTaZhaiQuanTouZi" label="其他债权投资" periodRef="上年期末数" mulRef="_GBC_dcff3d72dff8467cb2c07ad3b3fc27ca" unitRef="_GBC_bba83c9ffe7341af87411641b3c1153d" addr="T0R20C1S1_1" formatStyle="Comma" appId="_GBC_0c146c68fc034b599b66830a1b8cd6d2"/>
      <m:item xlName="_GBC_2f4520e828894e1aab2755db64303701" concept="clcid-pte:QiTaZhaiQuanTouZi" label="其他债权投资" periodRef="本期期初数" mulRef="_GBC_dcff3d72dff8467cb2c07ad3b3fc27ca" unitRef="_GBC_bba83c9ffe7341af87411641b3c1153d" addr="T0R20C2S1_1" formatStyle="Comma" appId="_GBC_0c146c68fc034b599b66830a1b8cd6d2"/>
      <m:item xlName="_GBC_1040ec516aed4974822bb2452fdac43b" concept="clcid-pte:QiTaZhaiQuanTouZi" label="其他债权投资" mulRef="_GBC_dcff3d72dff8467cb2c07ad3b3fc27ca" unitRef="_GBC_bba83c9ffe7341af87411641b3c1153d" addr="T0R20C3S1_1" formatStyle="Comma" appId="_GBC_0c146c68fc034b599b66830a1b8cd6d2">
        <m:axisValue occRef="调整数"/>
      </m:item>
      <m:placeholder xlName="_PLD_2c66b26470b84e84a2eae1fb7ad8cc4e" addr="T0R21C0S1_1"/>
      <m:item xlName="_GBC_35a96200d608475a96a91ffe8831d718" concept="clcid-pte:ChangQiYingShouKuan" label="长期应收款" periodRef="上年期末数" mulRef="_GBC_dcff3d72dff8467cb2c07ad3b3fc27ca" unitRef="_GBC_bba83c9ffe7341af87411641b3c1153d" addr="T0R21C1S1_1" formatStyle="Comma" appId="_GBC_0c146c68fc034b599b66830a1b8cd6d2"/>
      <m:item xlName="_GBC_a78be59367664fd281b7453b7adf718f" concept="clcid-pte:ChangQiYingShouKuan" label="长期应收款" periodRef="本期期初数" mulRef="_GBC_dcff3d72dff8467cb2c07ad3b3fc27ca" unitRef="_GBC_bba83c9ffe7341af87411641b3c1153d" addr="T0R21C2S1_1" formatStyle="Comma" appId="_GBC_0c146c68fc034b599b66830a1b8cd6d2"/>
      <m:item xlName="_GBC_5976e917f5234af0a9b59cf39de2977a" concept="clcid-pte:ChangQiYingShouKuan" label="长期应收款" mulRef="_GBC_dcff3d72dff8467cb2c07ad3b3fc27ca" unitRef="_GBC_bba83c9ffe7341af87411641b3c1153d" addr="T0R21C3S1_1" formatStyle="Comma" appId="_GBC_0c146c68fc034b599b66830a1b8cd6d2">
        <m:axisValue occRef="调整数"/>
      </m:item>
      <m:placeholder xlName="_PLD_b3bfa2da34bc4a54b5ae8d7e3be0835e" addr="T0R22C0S1_1"/>
      <m:item xlName="_GBC_7529dec8f0224b13b12be53048a7d827" concept="clcid-pte:ChangQiGuQuanTouZi" label="长期股权投资" periodRef="上年期末数" mulRef="_GBC_dcff3d72dff8467cb2c07ad3b3fc27ca" unitRef="_GBC_bba83c9ffe7341af87411641b3c1153d" addr="T0R22C1S1_1" formatStyle="Comma" appId="_GBC_0c146c68fc034b599b66830a1b8cd6d2"/>
      <m:item xlName="_GBC_48a6c5f3fb154826b9524f8e87f3ec52" concept="clcid-pte:ChangQiGuQuanTouZi" label="长期股权投资" periodRef="本期期初数" mulRef="_GBC_dcff3d72dff8467cb2c07ad3b3fc27ca" unitRef="_GBC_bba83c9ffe7341af87411641b3c1153d" addr="T0R22C2S1_1" formatStyle="Comma" appId="_GBC_0c146c68fc034b599b66830a1b8cd6d2"/>
      <m:item xlName="_GBC_1515c84f58cb49f4b89fd5f67419c437" concept="clcid-pte:ChangQiGuQuanTouZi" label="长期股权投资" mulRef="_GBC_dcff3d72dff8467cb2c07ad3b3fc27ca" unitRef="_GBC_bba83c9ffe7341af87411641b3c1153d" addr="T0R22C3S1_1" formatStyle="Comma" appId="_GBC_0c146c68fc034b599b66830a1b8cd6d2">
        <m:axisValue occRef="调整数"/>
      </m:item>
      <m:placeholder xlName="_PLD_dc3ceab010ce47b286ab28fbc673d8c4" addr="T0R23C0S1_1"/>
      <m:item xlName="_GBC_1efffb553a3d448394866b4b3957aa7d" concept="clcid-pte:QiTaQuanYiGongJuTouZi" label="其他权益工具投资" periodRef="上年期末数" mulRef="_GBC_dcff3d72dff8467cb2c07ad3b3fc27ca" unitRef="_GBC_bba83c9ffe7341af87411641b3c1153d" addr="T0R23C1S1_1" formatStyle="Comma" appId="_GBC_0c146c68fc034b599b66830a1b8cd6d2"/>
      <m:item xlName="_GBC_57cc351c6c1a4f2e8dde4b1daf8f3cc8" concept="clcid-pte:QiTaQuanYiGongJuTouZi" label="其他权益工具投资" periodRef="本期期初数" mulRef="_GBC_dcff3d72dff8467cb2c07ad3b3fc27ca" unitRef="_GBC_bba83c9ffe7341af87411641b3c1153d" addr="T0R23C2S1_1" formatStyle="Comma" appId="_GBC_0c146c68fc034b599b66830a1b8cd6d2"/>
      <m:item xlName="_GBC_7fddba8e63fa40b79c507dc46d77ad43" concept="clcid-pte:QiTaQuanYiGongJuTouZi" label="其他权益工具投资" mulRef="_GBC_dcff3d72dff8467cb2c07ad3b3fc27ca" unitRef="_GBC_bba83c9ffe7341af87411641b3c1153d" addr="T0R23C3S1_1" formatStyle="Comma" appId="_GBC_0c146c68fc034b599b66830a1b8cd6d2">
        <m:axisValue occRef="调整数"/>
      </m:item>
      <m:placeholder xlName="_PLD_3ea1657fab04465fa5d6fcd81a08fd8d" addr="T0R24C0S1_1"/>
      <m:item xlName="_GBC_a3d94513984945aeb3a2b45bd3cc62cf" concept="clcid-pte:QiTaFeiLiuDongJinRongZiChan" label="其他非流动金融资产" periodRef="上年期末数" mulRef="_GBC_dcff3d72dff8467cb2c07ad3b3fc27ca" unitRef="_GBC_bba83c9ffe7341af87411641b3c1153d" addr="T0R24C1S1_1" formatStyle="Comma" appId="_GBC_0c146c68fc034b599b66830a1b8cd6d2"/>
      <m:item xlName="_GBC_b13881addf824cdb9fa37fd7d5c862d2" concept="clcid-pte:QiTaFeiLiuDongJinRongZiChan" label="其他非流动金融资产" periodRef="本期期初数" mulRef="_GBC_dcff3d72dff8467cb2c07ad3b3fc27ca" unitRef="_GBC_bba83c9ffe7341af87411641b3c1153d" addr="T0R24C2S1_1" formatStyle="Comma" appId="_GBC_0c146c68fc034b599b66830a1b8cd6d2"/>
      <m:item xlName="_GBC_9088c2c386c8420b80f8ba6a03671858" concept="clcid-pte:QiTaFeiLiuDongJinRongZiChan" label="其他非流动金融资产" mulRef="_GBC_dcff3d72dff8467cb2c07ad3b3fc27ca" unitRef="_GBC_bba83c9ffe7341af87411641b3c1153d" addr="T0R24C3S1_1" formatStyle="Comma" appId="_GBC_0c146c68fc034b599b66830a1b8cd6d2">
        <m:axisValue occRef="调整数"/>
      </m:item>
      <m:placeholder xlName="_PLD_69efcb9347844f569b3f38a01b18eec7" addr="T0R25C0S1_1"/>
      <m:item xlName="_GBC_f7b7b7f2568946fc94eb8f419039a37d" concept="clcid-pte:TouZiXingFangDiChan" label="投资性房地产" periodRef="上年期末数" mulRef="_GBC_dcff3d72dff8467cb2c07ad3b3fc27ca" unitRef="_GBC_bba83c9ffe7341af87411641b3c1153d" addr="T0R25C1S1_1" formatStyle="Comma" appId="_GBC_0c146c68fc034b599b66830a1b8cd6d2"/>
      <m:item xlName="_GBC_1bada74c4cac43878cf2f8b688cca424" concept="clcid-pte:TouZiXingFangDiChan" label="投资性房地产" periodRef="本期期初数" mulRef="_GBC_dcff3d72dff8467cb2c07ad3b3fc27ca" unitRef="_GBC_bba83c9ffe7341af87411641b3c1153d" addr="T0R25C2S1_1" formatStyle="Comma" appId="_GBC_0c146c68fc034b599b66830a1b8cd6d2"/>
      <m:item xlName="_GBC_a89ed75e22924282b923d0b0b1e21132" concept="clcid-pte:TouZiXingFangDiChan" label="投资性房地产" mulRef="_GBC_dcff3d72dff8467cb2c07ad3b3fc27ca" unitRef="_GBC_bba83c9ffe7341af87411641b3c1153d" addr="T0R25C3S1_1" formatStyle="Comma" appId="_GBC_0c146c68fc034b599b66830a1b8cd6d2">
        <m:axisValue occRef="调整数"/>
      </m:item>
      <m:placeholder xlName="_PLD_02bad7f751664a43a0523d33840e54e6" addr="T0R26C0S1_1"/>
      <m:item xlName="_GBC_0e1eacdf12f249439f8cc837c96ca9dd" concept="clcid-pte:GuDingZiChanJingE" label="固定资产净额" periodRef="上年期末数" mulRef="_GBC_dcff3d72dff8467cb2c07ad3b3fc27ca" unitRef="_GBC_bba83c9ffe7341af87411641b3c1153d" addr="T0R26C1S1_1" formatStyle="Comma" appId="_GBC_0c146c68fc034b599b66830a1b8cd6d2"/>
      <m:item xlName="_GBC_c95319469e46404d943f540e9e49d30c" concept="clcid-pte:GuDingZiChanJingE" label="固定资产净额" periodRef="本期期初数" mulRef="_GBC_dcff3d72dff8467cb2c07ad3b3fc27ca" unitRef="_GBC_bba83c9ffe7341af87411641b3c1153d" addr="T0R26C2S1_1" formatStyle="Comma" appId="_GBC_0c146c68fc034b599b66830a1b8cd6d2"/>
      <m:item xlName="_GBC_096c88d7b1cb4a18b8a72965eaa9fd40" concept="clcid-pte:GuDingZiChanJingE" label="固定资产净额" mulRef="_GBC_dcff3d72dff8467cb2c07ad3b3fc27ca" unitRef="_GBC_bba83c9ffe7341af87411641b3c1153d" addr="T0R26C3S1_1" formatStyle="Comma" appId="_GBC_0c146c68fc034b599b66830a1b8cd6d2">
        <m:axisValue occRef="调整数"/>
      </m:item>
      <m:placeholder xlName="_PLD_de855334ce3349f583beeb31fdd6d9de" addr="T0R27C0S1_1"/>
      <m:item xlName="_GBC_cb8f27bf36e14e549d2d9093c94865be" concept="clcid-pte:ZaiJianGongCheng" label="在建工程" periodRef="上年期末数" mulRef="_GBC_dcff3d72dff8467cb2c07ad3b3fc27ca" unitRef="_GBC_bba83c9ffe7341af87411641b3c1153d" addr="T0R27C1S1_1" formatStyle="Comma" appId="_GBC_0c146c68fc034b599b66830a1b8cd6d2"/>
      <m:item xlName="_GBC_870bd8ffaf0a4d9fbed0079be6d5b421" concept="clcid-pte:ZaiJianGongCheng" label="在建工程" periodRef="本期期初数" mulRef="_GBC_dcff3d72dff8467cb2c07ad3b3fc27ca" unitRef="_GBC_bba83c9ffe7341af87411641b3c1153d" addr="T0R27C2S1_1" formatStyle="Comma" appId="_GBC_0c146c68fc034b599b66830a1b8cd6d2"/>
      <m:item xlName="_GBC_57a4fe9b90344368a17f985d190f1581" concept="clcid-pte:ZaiJianGongCheng" label="在建工程" mulRef="_GBC_dcff3d72dff8467cb2c07ad3b3fc27ca" unitRef="_GBC_bba83c9ffe7341af87411641b3c1153d" addr="T0R27C3S1_1" formatStyle="Comma" appId="_GBC_0c146c68fc034b599b66830a1b8cd6d2">
        <m:axisValue occRef="调整数"/>
      </m:item>
      <m:placeholder xlName="_PLD_a8c5bfb60ff04372bdf798453c2bdcf9" addr="T0R28C0S1_1"/>
      <m:item xlName="_GBC_6256ccbc440a41f6a10eccdda374ba9f" concept="clcid-pte:ShengChanXingShengWuZiChan" label="生产性生物资产" periodRef="上年期末数" mulRef="_GBC_dcff3d72dff8467cb2c07ad3b3fc27ca" unitRef="_GBC_bba83c9ffe7341af87411641b3c1153d" addr="T0R28C1S1_1" formatStyle="Comma" appId="_GBC_0c146c68fc034b599b66830a1b8cd6d2"/>
      <m:item xlName="_GBC_974913ae652649ff97a63b95484c50e8" concept="clcid-pte:ShengChanXingShengWuZiChan" label="生产性生物资产" periodRef="本期期初数" mulRef="_GBC_dcff3d72dff8467cb2c07ad3b3fc27ca" unitRef="_GBC_bba83c9ffe7341af87411641b3c1153d" addr="T0R28C2S1_1" formatStyle="Comma" appId="_GBC_0c146c68fc034b599b66830a1b8cd6d2"/>
      <m:item xlName="_GBC_e2d480adb3a5476bbb7f74278ee705b6" concept="clcid-pte:ShengChanXingShengWuZiChan" label="生产性生物资产" mulRef="_GBC_dcff3d72dff8467cb2c07ad3b3fc27ca" unitRef="_GBC_bba83c9ffe7341af87411641b3c1153d" addr="T0R28C3S1_1" formatStyle="Comma" appId="_GBC_0c146c68fc034b599b66830a1b8cd6d2">
        <m:axisValue occRef="调整数"/>
      </m:item>
      <m:placeholder xlName="_PLD_4022ef5d41a0443e8e3037995f0b6829" addr="T0R29C0S1_1"/>
      <m:item xlName="_GBC_4a3f71a1d0404d2ca0c8b2b8db4cc110" concept="clcid-pte:YouQiZiChan" label="油气资产" periodRef="上年期末数" mulRef="_GBC_dcff3d72dff8467cb2c07ad3b3fc27ca" unitRef="_GBC_bba83c9ffe7341af87411641b3c1153d" addr="T0R29C1S1_1" formatStyle="Comma" appId="_GBC_0c146c68fc034b599b66830a1b8cd6d2"/>
      <m:item xlName="_GBC_4ba413a1306c4e6ba37bb7561e9a1f89" concept="clcid-pte:YouQiZiChan" label="油气资产" periodRef="本期期初数" mulRef="_GBC_dcff3d72dff8467cb2c07ad3b3fc27ca" unitRef="_GBC_bba83c9ffe7341af87411641b3c1153d" addr="T0R29C2S1_1" formatStyle="Comma" appId="_GBC_0c146c68fc034b599b66830a1b8cd6d2"/>
      <m:item xlName="_GBC_669d31c8e54b4761b4d05cb0670c9bcd" concept="clcid-pte:YouQiZiChan" label="油气资产" mulRef="_GBC_dcff3d72dff8467cb2c07ad3b3fc27ca" unitRef="_GBC_bba83c9ffe7341af87411641b3c1153d" addr="T0R29C3S1_1" formatStyle="Comma" appId="_GBC_0c146c68fc034b599b66830a1b8cd6d2">
        <m:axisValue occRef="调整数"/>
      </m:item>
      <m:placeholder xlName="_PLD_ca85d700f22e456393b5f539ca9465c3" addr="T0R30C0S1_1"/>
      <m:item xlName="_GBC_631569f4f97c4640832dc5592d3452d2" concept="clcid-pte:ShiYongQuanZiChan" label="使用权资产" periodRef="上年期末数" mulRef="_GBC_dcff3d72dff8467cb2c07ad3b3fc27ca" unitRef="_GBC_bba83c9ffe7341af87411641b3c1153d" addr="T0R30C1S1_1" formatStyle="Comma" appId="_GBC_0c146c68fc034b599b66830a1b8cd6d2"/>
      <m:item xlName="_GBC_cd5e1c30552745fa920dba032a208523" concept="clcid-pte:ShiYongQuanZiChan" label="使用权资产" periodRef="本期期初数" mulRef="_GBC_dcff3d72dff8467cb2c07ad3b3fc27ca" unitRef="_GBC_bba83c9ffe7341af87411641b3c1153d" addr="T0R30C2S1_1" formatStyle="Comma" appId="_GBC_0c146c68fc034b599b66830a1b8cd6d2"/>
      <m:item xlName="_GBC_2ef595e021834dccaa70a3be7275cb6a" concept="clcid-pte:ShiYongQuanZiChan" label="使用权资产" mulRef="_GBC_dcff3d72dff8467cb2c07ad3b3fc27ca" unitRef="_GBC_bba83c9ffe7341af87411641b3c1153d" addr="T0R30C3S1_1" formatStyle="Comma" appId="_GBC_0c146c68fc034b599b66830a1b8cd6d2">
        <m:axisValue occRef="调整数"/>
      </m:item>
      <m:placeholder xlName="_PLD_ff22e21a832e498fb6b9f377d6f0f63e" addr="T0R31C0S1_1"/>
      <m:item xlName="_GBC_a0160f3815b24ed699cde9e7f6444b27" concept="clcid-pte:WuXingZiChan" label="无形资产" periodRef="上年期末数" mulRef="_GBC_dcff3d72dff8467cb2c07ad3b3fc27ca" unitRef="_GBC_bba83c9ffe7341af87411641b3c1153d" addr="T0R31C1S1_1" formatStyle="Comma" appId="_GBC_0c146c68fc034b599b66830a1b8cd6d2"/>
      <m:item xlName="_GBC_1d28a2fb11a749ca9e958fc4e555a743" concept="clcid-pte:WuXingZiChan" label="无形资产" periodRef="本期期初数" mulRef="_GBC_dcff3d72dff8467cb2c07ad3b3fc27ca" unitRef="_GBC_bba83c9ffe7341af87411641b3c1153d" addr="T0R31C2S1_1" formatStyle="Comma" appId="_GBC_0c146c68fc034b599b66830a1b8cd6d2"/>
      <m:item xlName="_GBC_722760fb40db4bf59252e961e966b74a" concept="clcid-pte:WuXingZiChan" label="无形资产" mulRef="_GBC_dcff3d72dff8467cb2c07ad3b3fc27ca" unitRef="_GBC_bba83c9ffe7341af87411641b3c1153d" addr="T0R31C3S1_1" formatStyle="Comma" appId="_GBC_0c146c68fc034b599b66830a1b8cd6d2">
        <m:axisValue occRef="调整数"/>
      </m:item>
      <m:placeholder xlName="_PLD_74e5e10ae5f845fc9aee3091f6476d56" addr="T0R32C0S1_1"/>
      <m:item xlName="_GBC_703c3f4be5e040b3ba1a5c43ef9b8651" concept="clcid-pte:KaiFaZhiChu" label="开发支出" periodRef="上年期末数" mulRef="_GBC_dcff3d72dff8467cb2c07ad3b3fc27ca" unitRef="_GBC_bba83c9ffe7341af87411641b3c1153d" addr="T0R32C1S1_1" formatStyle="Comma" appId="_GBC_0c146c68fc034b599b66830a1b8cd6d2"/>
      <m:item xlName="_GBC_8c6a84bd84994cf38299efd0a6786826" concept="clcid-pte:KaiFaZhiChu" label="开发支出" periodRef="本期期初数" mulRef="_GBC_dcff3d72dff8467cb2c07ad3b3fc27ca" unitRef="_GBC_bba83c9ffe7341af87411641b3c1153d" addr="T0R32C2S1_1" formatStyle="Comma" appId="_GBC_0c146c68fc034b599b66830a1b8cd6d2"/>
      <m:item xlName="_GBC_cf387653fe7c4210bbd8481adcc11fe1" concept="clcid-pte:KaiFaZhiChu" label="开发支出" mulRef="_GBC_dcff3d72dff8467cb2c07ad3b3fc27ca" unitRef="_GBC_bba83c9ffe7341af87411641b3c1153d" addr="T0R32C3S1_1" formatStyle="Comma" appId="_GBC_0c146c68fc034b599b66830a1b8cd6d2">
        <m:axisValue occRef="调整数"/>
      </m:item>
      <m:placeholder xlName="_PLD_a45a49d26d2f4c68947336fd41b32701" addr="T0R33C0S1_1"/>
      <m:item xlName="_GBC_5dce2eb8b49e40efa15e40b1f041af1b" concept="clcid-pte:ShangYu" label="商誉" periodRef="上年期末数" mulRef="_GBC_dcff3d72dff8467cb2c07ad3b3fc27ca" unitRef="_GBC_bba83c9ffe7341af87411641b3c1153d" addr="T0R33C1S1_1" formatStyle="Comma" appId="_GBC_0c146c68fc034b599b66830a1b8cd6d2"/>
      <m:item xlName="_GBC_0c5d2dc3eb0343ca8f60b320ff60d83b" concept="clcid-pte:ShangYu" label="商誉" periodRef="本期期初数" mulRef="_GBC_dcff3d72dff8467cb2c07ad3b3fc27ca" unitRef="_GBC_bba83c9ffe7341af87411641b3c1153d" addr="T0R33C2S1_1" formatStyle="Comma" appId="_GBC_0c146c68fc034b599b66830a1b8cd6d2"/>
      <m:item xlName="_GBC_3988ac1f4ef64934adfc809225b93785" concept="clcid-pte:ShangYu" label="商誉" mulRef="_GBC_dcff3d72dff8467cb2c07ad3b3fc27ca" unitRef="_GBC_bba83c9ffe7341af87411641b3c1153d" addr="T0R33C3S1_1" formatStyle="Comma" appId="_GBC_0c146c68fc034b599b66830a1b8cd6d2">
        <m:axisValue occRef="调整数"/>
      </m:item>
      <m:placeholder xlName="_PLD_6a14ad214aae4e6abae7ddc1201c9ffb" addr="T0R34C0S1_1"/>
      <m:item xlName="_GBC_da0a4549ea3f4ba686dc32b3d0264ef5" concept="clcid-pte:ChangQiDaiTanFeiYong" label="长期待摊费用" periodRef="上年期末数" mulRef="_GBC_dcff3d72dff8467cb2c07ad3b3fc27ca" unitRef="_GBC_bba83c9ffe7341af87411641b3c1153d" addr="T0R34C1S1_1" formatStyle="Comma" appId="_GBC_0c146c68fc034b599b66830a1b8cd6d2"/>
      <m:item xlName="_GBC_be862f9fcceb4871b9b12cea4e40f2b6" concept="clcid-pte:ChangQiDaiTanFeiYong" label="长期待摊费用" periodRef="本期期初数" mulRef="_GBC_dcff3d72dff8467cb2c07ad3b3fc27ca" unitRef="_GBC_bba83c9ffe7341af87411641b3c1153d" addr="T0R34C2S1_1" formatStyle="Comma" appId="_GBC_0c146c68fc034b599b66830a1b8cd6d2"/>
      <m:item xlName="_GBC_487cfb2e03a44a2dad9c8af27184a789" concept="clcid-pte:ChangQiDaiTanFeiYong" label="长期待摊费用" mulRef="_GBC_dcff3d72dff8467cb2c07ad3b3fc27ca" unitRef="_GBC_bba83c9ffe7341af87411641b3c1153d" addr="T0R34C3S1_1" formatStyle="Comma" appId="_GBC_0c146c68fc034b599b66830a1b8cd6d2">
        <m:axisValue occRef="调整数"/>
      </m:item>
      <m:placeholder xlName="_PLD_3cd870f3c904451dadff7920ef0ce9ca" addr="T0R35C0S1_1"/>
      <m:item xlName="_GBC_1760809c1e574c2c9a8c3a462c2f6adc" concept="clcid-pte:DiYanShuiKuanJieXiangHeJi" label="递延税款借项合计" periodRef="上年期末数" mulRef="_GBC_dcff3d72dff8467cb2c07ad3b3fc27ca" unitRef="_GBC_bba83c9ffe7341af87411641b3c1153d" addr="T0R35C1S1_1" formatStyle="Comma" appId="_GBC_0c146c68fc034b599b66830a1b8cd6d2"/>
      <m:item xlName="_GBC_2fc154d8545647d1adeeef7f0170f953" concept="clcid-pte:DiYanShuiKuanJieXiangHeJi" label="递延税款借项合计" periodRef="本期期初数" mulRef="_GBC_dcff3d72dff8467cb2c07ad3b3fc27ca" unitRef="_GBC_bba83c9ffe7341af87411641b3c1153d" addr="T0R35C2S1_1" formatStyle="Comma" appId="_GBC_0c146c68fc034b599b66830a1b8cd6d2"/>
      <m:item xlName="_GBC_a2cc0ae8441043b98881fa2ca8e64255" concept="clcid-pte:DiYanShuiKuanJieXiangHeJi" label="递延税款借项合计" mulRef="_GBC_dcff3d72dff8467cb2c07ad3b3fc27ca" unitRef="_GBC_bba83c9ffe7341af87411641b3c1153d" addr="T0R35C3S1_1" formatStyle="Comma" appId="_GBC_0c146c68fc034b599b66830a1b8cd6d2">
        <m:axisValue occRef="调整数"/>
      </m:item>
      <m:placeholder xlName="_PLD_61d2174d584a4c69a9b7d52cd252fec1" addr="T0R36C0S1_1"/>
      <m:item xlName="_GBC_996173cf920d45baa9ba0e16aea3a18b" concept="clcid-pte:QiTaChangQiZiChan" label="其他长期资产" periodRef="上年期末数" mulRef="_GBC_dcff3d72dff8467cb2c07ad3b3fc27ca" unitRef="_GBC_bba83c9ffe7341af87411641b3c1153d" addr="T0R36C1S1_1" formatStyle="Comma" appId="_GBC_0c146c68fc034b599b66830a1b8cd6d2"/>
      <m:item xlName="_GBC_da29a301ee374d61bd9d619118d40242" concept="clcid-pte:QiTaChangQiZiChan" label="其他长期资产" periodRef="本期期初数" mulRef="_GBC_dcff3d72dff8467cb2c07ad3b3fc27ca" unitRef="_GBC_bba83c9ffe7341af87411641b3c1153d" addr="T0R36C2S1_1" formatStyle="Comma" appId="_GBC_0c146c68fc034b599b66830a1b8cd6d2"/>
      <m:item xlName="_GBC_11b122d370144184adf28d9ee103290e" concept="clcid-pte:QiTaChangQiZiChan" label="其他长期资产" mulRef="_GBC_dcff3d72dff8467cb2c07ad3b3fc27ca" unitRef="_GBC_bba83c9ffe7341af87411641b3c1153d" addr="T0R36C3S1_1" formatStyle="Comma" appId="_GBC_0c146c68fc034b599b66830a1b8cd6d2">
        <m:axisValue occRef="调整数"/>
      </m:item>
      <m:placeholder xlName="_PLD_f33891d7b52a472db491e21905f7cec0" addr="T0R37C0S1_1"/>
      <m:item xlName="_GBC_7d7dba5af4ff4a9f8b3bbe635b089bf8" concept="clcid-pte:FeiLiuDongZiChanHeJi" label="非流动资产合计" periodRef="上年期末数" mulRef="_GBC_dcff3d72dff8467cb2c07ad3b3fc27ca" unitRef="_GBC_bba83c9ffe7341af87411641b3c1153d" addr="T0R37C1S1_1" formatStyle="Comma" appId="_GBC_0c146c68fc034b599b66830a1b8cd6d2">
        <m:complexRule comparator="Eq" title="非流动资产合计" test=" $_GBC_592671a58fd44114b6ffabb2429e8296 +  $_GBC_99c82a0a181246ff922e6a6d626ff8e5 +  $_GBC_35a96200d608475a96a91ffe8831d718 +  $_GBC_7529dec8f0224b13b12be53048a7d827 +  $_GBC_1efffb553a3d448394866b4b3957aa7d +  $_GBC_a3d94513984945aeb3a2b45bd3cc62cf +  $_GBC_f7b7b7f2568946fc94eb8f419039a37d +  $_GBC_0e1eacdf12f249439f8cc837c96ca9dd +  $_GBC_cb8f27bf36e14e549d2d9093c94865be +  $_GBC_6256ccbc440a41f6a10eccdda374ba9f +  $_GBC_4a3f71a1d0404d2ca0c8b2b8db4cc110 +  $_GBC_631569f4f97c4640832dc5592d3452d2 +  $_GBC_a0160f3815b24ed699cde9e7f6444b27 +  $_GBC_703c3f4be5e040b3ba1a5c43ef9b8651 +  $_GBC_5dce2eb8b49e40efa15e40b1f041af1b +  $_GBC_da0a4549ea3f4ba686dc32b3d0264ef5 +  $_GBC_1760809c1e574c2c9a8c3a462c2f6adc +  $_GBC_996173cf920d45baa9ba0e16aea3a18b" id="C379518ba10a942faabb5fc418b2d6a7c"/>
      </m:item>
      <m:item xlName="_GBC_257874c3a2524daa973fdc79942f7d40" concept="clcid-pte:FeiLiuDongZiChanHeJi" label="非流动资产合计" periodRef="本期期初数" mulRef="_GBC_dcff3d72dff8467cb2c07ad3b3fc27ca" unitRef="_GBC_bba83c9ffe7341af87411641b3c1153d" addr="T0R37C2S1_1" formatStyle="Comma" appId="_GBC_0c146c68fc034b599b66830a1b8cd6d2">
        <m:complexRule comparator="Eq" title="非流动资产合计@本期期初数" test=" $_GBC_d6e1e43e85ea471482f923fee25f89cf +  $_GBC_2f4520e828894e1aab2755db64303701 +  $_GBC_a78be59367664fd281b7453b7adf718f +  $_GBC_48a6c5f3fb154826b9524f8e87f3ec52 +  $_GBC_57cc351c6c1a4f2e8dde4b1daf8f3cc8 +  $_GBC_b13881addf824cdb9fa37fd7d5c862d2 +  $_GBC_1bada74c4cac43878cf2f8b688cca424 +  $_GBC_c95319469e46404d943f540e9e49d30c +  $_GBC_870bd8ffaf0a4d9fbed0079be6d5b421 +  $_GBC_974913ae652649ff97a63b95484c50e8 +  $_GBC_4ba413a1306c4e6ba37bb7561e9a1f89 +  $_GBC_cd5e1c30552745fa920dba032a208523 +  $_GBC_1d28a2fb11a749ca9e958fc4e555a743 +  $_GBC_8c6a84bd84994cf38299efd0a6786826 +  $_GBC_0c5d2dc3eb0343ca8f60b320ff60d83b +  $_GBC_be862f9fcceb4871b9b12cea4e40f2b6 +  $_GBC_2fc154d8545647d1adeeef7f0170f953 +  $_GBC_da29a301ee374d61bd9d619118d40242" id="C04cfc24977944a0abc490a5f62b5658d"/>
      </m:item>
      <m:item xlName="_GBC_1abdbe630539479da70ee623f0958d4d" concept="clcid-pte:FeiLiuDongZiChanHeJi" label="非流动资产合计" mulRef="_GBC_dcff3d72dff8467cb2c07ad3b3fc27ca" unitRef="_GBC_bba83c9ffe7341af87411641b3c1153d" addr="T0R37C3S1_1" formatStyle="Comma" appId="_GBC_0c146c68fc034b599b66830a1b8cd6d2">
        <m:complexRule comparator="Eq" title="非流动资产合计(调整数)" test=" $_GBC_5f77edeb71e1477bac822b9f82b6a490 +  $_GBC_1040ec516aed4974822bb2452fdac43b +  $_GBC_5976e917f5234af0a9b59cf39de2977a +  $_GBC_1515c84f58cb49f4b89fd5f67419c437 +  $_GBC_7fddba8e63fa40b79c507dc46d77ad43 +  $_GBC_9088c2c386c8420b80f8ba6a03671858 +  $_GBC_a89ed75e22924282b923d0b0b1e21132 +  $_GBC_096c88d7b1cb4a18b8a72965eaa9fd40 +  $_GBC_57a4fe9b90344368a17f985d190f1581 +  $_GBC_e2d480adb3a5476bbb7f74278ee705b6 +  $_GBC_669d31c8e54b4761b4d05cb0670c9bcd +  $_GBC_2ef595e021834dccaa70a3be7275cb6a +  $_GBC_722760fb40db4bf59252e961e966b74a +  $_GBC_cf387653fe7c4210bbd8481adcc11fe1 +  $_GBC_3988ac1f4ef64934adfc809225b93785 +  $_GBC_487cfb2e03a44a2dad9c8af27184a789 +  $_GBC_a2cc0ae8441043b98881fa2ca8e64255 +  $_GBC_11b122d370144184adf28d9ee103290e" id="Cafd67b8cb19543ea839a3947135956ed"/>
        <m:axisValue occRef="调整数"/>
      </m:item>
      <m:placeholder xlName="_PLD_76e68520cc63418887b6f98c1f6b87c2" addr="T0R38C0S1_1"/>
      <m:item xlName="_GBC_4f5c2c52527646fb8133adc67711253b" concept="clcid-pte:ZiChanZongJi" label="资产总计" periodRef="上年期末数" mulRef="_GBC_dcff3d72dff8467cb2c07ad3b3fc27ca" unitRef="_GBC_bba83c9ffe7341af87411641b3c1153d" addr="T0R38C1S1_1" formatStyle="Comma" appId="_GBC_0c146c68fc034b599b66830a1b8cd6d2">
        <m:complexRule comparator="Eq" title="资产总计" test=" $_GBC_67117f095d4d4ec4bd2da810406d92ae +  $_GBC_7d7dba5af4ff4a9f8b3bbe635b089bf8" id="C50ee0abfae024adfb7cee6769bdbf954"/>
        <m:complexRule comparator="Eq" title="资产总计" test=" $_GBC_9e811db3409f465ca893ea4709a33e4b" id="C3059bc5af5bc40c99581db4a5f86f797"/>
      </m:item>
      <m:item xlName="_GBC_2fce1cd0c99b4fa38c21e6129806edff" concept="clcid-pte:ZiChanZongJi" label="资产总计" periodRef="本期期初数" mulRef="_GBC_dcff3d72dff8467cb2c07ad3b3fc27ca" unitRef="_GBC_bba83c9ffe7341af87411641b3c1153d" addr="T0R38C2S1_1" formatStyle="Comma" appId="_GBC_0c146c68fc034b599b66830a1b8cd6d2">
        <m:complexRule comparator="Eq" title="资产总计@本期期初数" test=" $_GBC_74f08464c07b4f84aa29c39d17902b90 +  $_GBC_257874c3a2524daa973fdc79942f7d40" id="C2c0105af19304a43b3c46264579fe31c"/>
        <m:complexRule comparator="Eq" title="资产总计@本期期初数" test=" $_GBC_e05928b4bb4840d8956ba1c798dcf499" id="C8b9585accd4c485c9e0f14c5de9ffcf0"/>
      </m:item>
      <m:item xlName="_GBC_9de4136900ca41cca44153138ec57096" concept="clcid-pte:ZiChanZongJi" label="资产总计" mulRef="_GBC_dcff3d72dff8467cb2c07ad3b3fc27ca" unitRef="_GBC_bba83c9ffe7341af87411641b3c1153d" addr="T0R38C3S1_1" formatStyle="Comma" appId="_GBC_0c146c68fc034b599b66830a1b8cd6d2">
        <m:complexRule comparator="Eq" title="资产总计(调整数)" test=" $_GBC_0cd7b8945eba48efa0d49159b26a450a +  $_GBC_1abdbe630539479da70ee623f0958d4d" id="C40faac99410a4ee8bb185dda285ac255"/>
        <m:complexRule comparator="Eq" test=" $_GBC_201237931e924bcf85a6943c36038f3f" id="C0bc2880b84ea41ea83f3b99f38d65695"/>
        <m:axisValue occRef="调整数"/>
      </m:item>
      <m:placeholder xlName="_PLD_85f674ac8da64e6dba565443f27ecf89" addr="T0R39C0S1_4"/>
      <m:placeholder xlName="_PLD_d80e10844c314087b2a14e0e07ec96a6" addr="T0R40C0S1_1"/>
      <m:item xlName="_GBC_93141312fd1a4bd8b9a250ebeab766c1" concept="clcid-pte:DuanQiJieKuan" label="短期借款" periodRef="上年期末数" mulRef="_GBC_dcff3d72dff8467cb2c07ad3b3fc27ca" unitRef="_GBC_bba83c9ffe7341af87411641b3c1153d" addr="T0R40C1S1_1" formatStyle="Comma" appId="_GBC_0c146c68fc034b599b66830a1b8cd6d2"/>
      <m:item xlName="_GBC_55f2e5aefda44f27b36e4502a4fb6a9a" concept="clcid-pte:DuanQiJieKuan" label="短期借款" periodRef="本期期初数" mulRef="_GBC_dcff3d72dff8467cb2c07ad3b3fc27ca" unitRef="_GBC_bba83c9ffe7341af87411641b3c1153d" addr="T0R40C2S1_1" formatStyle="Comma" appId="_GBC_0c146c68fc034b599b66830a1b8cd6d2"/>
      <m:item xlName="_GBC_a141cb433b9843b6aab1c6537b44f51a" concept="clcid-pte:DuanQiJieKuan" label="短期借款" mulRef="_GBC_dcff3d72dff8467cb2c07ad3b3fc27ca" unitRef="_GBC_bba83c9ffe7341af87411641b3c1153d" addr="T0R40C3S1_1" formatStyle="Comma" appId="_GBC_0c146c68fc034b599b66830a1b8cd6d2">
        <m:axisValue occRef="调整数"/>
      </m:item>
      <m:placeholder xlName="_PLD_6f520e391fc448cba242eea80388bb27" addr="T0R41C0S1_1"/>
      <m:item xlName="_GBC_7763609f42fd4ff4a3ff5b0f5a30fa52" concept="clcid-pte:JiaoYiXingJinRongFuZhai" label="交易性金融负债" periodRef="上年期末数" mulRef="_GBC_dcff3d72dff8467cb2c07ad3b3fc27ca" unitRef="_GBC_bba83c9ffe7341af87411641b3c1153d" addr="T0R41C1S1_1" formatStyle="Comma" appId="_GBC_0c146c68fc034b599b66830a1b8cd6d2"/>
      <m:item xlName="_GBC_846123f145ed4311af51172bbed14563" concept="clcid-pte:JiaoYiXingJinRongFuZhai" label="交易性金融负债" periodRef="本期期初数" mulRef="_GBC_dcff3d72dff8467cb2c07ad3b3fc27ca" unitRef="_GBC_bba83c9ffe7341af87411641b3c1153d" addr="T0R41C2S1_1" formatStyle="Comma" appId="_GBC_0c146c68fc034b599b66830a1b8cd6d2"/>
      <m:item xlName="_GBC_5d63a5a94b434c51bd8609253e6b2aa5" concept="clcid-pte:JiaoYiXingJinRongFuZhai" label="交易性金融负债" mulRef="_GBC_dcff3d72dff8467cb2c07ad3b3fc27ca" unitRef="_GBC_bba83c9ffe7341af87411641b3c1153d" addr="T0R41C3S1_1" formatStyle="Comma" appId="_GBC_0c146c68fc034b599b66830a1b8cd6d2">
        <m:axisValue occRef="调整数"/>
      </m:item>
      <m:placeholder xlName="_PLD_4f23920868c04142a5980c1fb018e6b0" addr="T0R42C0S1_1"/>
      <m:item xlName="_GBC_106b4d877a6c428b95988af26459e9be" concept="clcid-pte:YanShengJinRongFuZhai" label="衍生金融负债" periodRef="上年期末数" mulRef="_GBC_dcff3d72dff8467cb2c07ad3b3fc27ca" unitRef="_GBC_bba83c9ffe7341af87411641b3c1153d" addr="T0R42C1S1_1" formatStyle="Comma" appId="_GBC_0c146c68fc034b599b66830a1b8cd6d2"/>
      <m:item xlName="_GBC_92e1cd6087c144db9f7347a5a35a8a69" concept="clcid-pte:YanShengJinRongFuZhai" label="衍生金融负债" periodRef="本期期初数" mulRef="_GBC_dcff3d72dff8467cb2c07ad3b3fc27ca" unitRef="_GBC_bba83c9ffe7341af87411641b3c1153d" addr="T0R42C2S1_1" formatStyle="Comma" appId="_GBC_0c146c68fc034b599b66830a1b8cd6d2"/>
      <m:item xlName="_GBC_6a741d9547204dc29650169b960b9449" concept="clcid-pte:YanShengJinRongFuZhai" label="衍生金融负债" mulRef="_GBC_dcff3d72dff8467cb2c07ad3b3fc27ca" unitRef="_GBC_bba83c9ffe7341af87411641b3c1153d" addr="T0R42C3S1_1" formatStyle="Comma" appId="_GBC_0c146c68fc034b599b66830a1b8cd6d2">
        <m:axisValue occRef="调整数"/>
      </m:item>
      <m:placeholder xlName="_PLD_a819e0cd01b84f49b71427ea8732d00a" addr="T0R43C0S1_1"/>
      <m:item xlName="_GBC_7ac5491efdec4b65a1d33029164c0bc0" concept="clcid-pte:YingFuPiaoJu" label="应付票据" periodRef="上年期末数" mulRef="_GBC_dcff3d72dff8467cb2c07ad3b3fc27ca" unitRef="_GBC_bba83c9ffe7341af87411641b3c1153d" addr="T0R43C1S1_1" formatStyle="Comma" appId="_GBC_0c146c68fc034b599b66830a1b8cd6d2"/>
      <m:item xlName="_GBC_1d383768496146c186631277425bffc5" concept="clcid-pte:YingFuPiaoJu" label="应付票据" periodRef="本期期初数" mulRef="_GBC_dcff3d72dff8467cb2c07ad3b3fc27ca" unitRef="_GBC_bba83c9ffe7341af87411641b3c1153d" addr="T0R43C2S1_1" formatStyle="Comma" appId="_GBC_0c146c68fc034b599b66830a1b8cd6d2"/>
      <m:item xlName="_GBC_fe2c89a748874c68a0b2b440f9fe3583" concept="clcid-pte:YingFuPiaoJu" label="应付票据" mulRef="_GBC_dcff3d72dff8467cb2c07ad3b3fc27ca" unitRef="_GBC_bba83c9ffe7341af87411641b3c1153d" addr="T0R43C3S1_1" formatStyle="Comma" appId="_GBC_0c146c68fc034b599b66830a1b8cd6d2">
        <m:axisValue occRef="调整数"/>
      </m:item>
      <m:placeholder xlName="_PLD_6b28fc9adcce48bbb5ed16173f4f9ae6" addr="T0R44C0S1_1"/>
      <m:item xlName="_GBC_dabe0c300f2646f78e871e0956b052ef" concept="clcid-pte:YingFuZhangKuan" label="应付帐款" periodRef="上年期末数" mulRef="_GBC_dcff3d72dff8467cb2c07ad3b3fc27ca" unitRef="_GBC_bba83c9ffe7341af87411641b3c1153d" addr="T0R44C1S1_1" formatStyle="Comma" appId="_GBC_0c146c68fc034b599b66830a1b8cd6d2"/>
      <m:item xlName="_GBC_34f936f8773e4f49883ffce0493cb317" concept="clcid-pte:YingFuZhangKuan" label="应付帐款" periodRef="本期期初数" mulRef="_GBC_dcff3d72dff8467cb2c07ad3b3fc27ca" unitRef="_GBC_bba83c9ffe7341af87411641b3c1153d" addr="T0R44C2S1_1" formatStyle="Comma" appId="_GBC_0c146c68fc034b599b66830a1b8cd6d2"/>
      <m:item xlName="_GBC_073d6465e28f41ffb8e73221ecbddf5b" concept="clcid-pte:YingFuZhangKuan" label="应付帐款" mulRef="_GBC_dcff3d72dff8467cb2c07ad3b3fc27ca" unitRef="_GBC_bba83c9ffe7341af87411641b3c1153d" addr="T0R44C3S1_1" formatStyle="Comma" appId="_GBC_0c146c68fc034b599b66830a1b8cd6d2">
        <m:axisValue occRef="调整数"/>
      </m:item>
      <m:placeholder xlName="_PLD_f2d4398079514b409912cc820d2962bb" addr="T0R45C0S1_1"/>
      <m:item xlName="_GBC_02423467ad56458e974d0095d7644df3" concept="clcid-pte:YuShouZhangKuan" label="预收帐款" periodRef="上年期末数" mulRef="_GBC_dcff3d72dff8467cb2c07ad3b3fc27ca" unitRef="_GBC_bba83c9ffe7341af87411641b3c1153d" addr="T0R45C1S1_1" formatStyle="Comma" appId="_GBC_0c146c68fc034b599b66830a1b8cd6d2"/>
      <m:item xlName="_GBC_a2148fb4b57e44cd8188c60c722bb135" concept="clcid-pte:YuShouZhangKuan" label="预收帐款" periodRef="本期期初数" mulRef="_GBC_dcff3d72dff8467cb2c07ad3b3fc27ca" unitRef="_GBC_bba83c9ffe7341af87411641b3c1153d" addr="T0R45C2S1_1" formatStyle="Comma" appId="_GBC_0c146c68fc034b599b66830a1b8cd6d2"/>
      <m:item xlName="_GBC_dde279efbacb4a62967adce2a51d812c" concept="clcid-pte:YuShouZhangKuan" label="预收帐款" mulRef="_GBC_dcff3d72dff8467cb2c07ad3b3fc27ca" unitRef="_GBC_bba83c9ffe7341af87411641b3c1153d" addr="T0R45C3S1_1" formatStyle="Comma" appId="_GBC_0c146c68fc034b599b66830a1b8cd6d2">
        <m:axisValue occRef="调整数"/>
      </m:item>
      <m:placeholder xlName="_PLD_274ef3fa3172405fabe7b2c32a19fcaf" addr="T0R46C0S1_1"/>
      <m:item xlName="_GBC_8dec18187add4a80adcbf7e2c9e96ceb" concept="clcid-pte:HeTongFuZhai" label="合同负债" periodRef="上年期末数" mulRef="_GBC_dcff3d72dff8467cb2c07ad3b3fc27ca" unitRef="_GBC_bba83c9ffe7341af87411641b3c1153d" addr="T0R46C1S1_1" formatStyle="Comma" appId="_GBC_0c146c68fc034b599b66830a1b8cd6d2"/>
      <m:item xlName="_GBC_591e03fa2f544a82bd42bcb74713ea94" concept="clcid-pte:HeTongFuZhai" label="合同负债" periodRef="本期期初数" mulRef="_GBC_dcff3d72dff8467cb2c07ad3b3fc27ca" unitRef="_GBC_bba83c9ffe7341af87411641b3c1153d" addr="T0R46C2S1_1" formatStyle="Comma" appId="_GBC_0c146c68fc034b599b66830a1b8cd6d2"/>
      <m:item xlName="_GBC_2517fd692c39424083a261c76bcea42f" concept="clcid-pte:HeTongFuZhai" label="合同负债" mulRef="_GBC_dcff3d72dff8467cb2c07ad3b3fc27ca" unitRef="_GBC_bba83c9ffe7341af87411641b3c1153d" addr="T0R46C3S1_1" formatStyle="Comma" appId="_GBC_0c146c68fc034b599b66830a1b8cd6d2">
        <m:axisValue occRef="调整数"/>
      </m:item>
      <m:placeholder xlName="_PLD_197f255ff77e4141b13a9e360f21c311" addr="T0R47C0S1_1"/>
      <m:item xlName="_GBC_0f216625ed334e7ab3885fe6bd56e5b8" concept="clcid-pte:YingFuZhiGongXinChou" label="应付职工薪酬" periodRef="上年期末数" mulRef="_GBC_dcff3d72dff8467cb2c07ad3b3fc27ca" unitRef="_GBC_bba83c9ffe7341af87411641b3c1153d" addr="T0R47C1S1_1" formatStyle="Comma" appId="_GBC_0c146c68fc034b599b66830a1b8cd6d2"/>
      <m:item xlName="_GBC_213fdd2775114707b928ea0c8741a9b4" concept="clcid-pte:YingFuZhiGongXinChou" label="应付职工薪酬" periodRef="本期期初数" mulRef="_GBC_dcff3d72dff8467cb2c07ad3b3fc27ca" unitRef="_GBC_bba83c9ffe7341af87411641b3c1153d" addr="T0R47C2S1_1" formatStyle="Comma" appId="_GBC_0c146c68fc034b599b66830a1b8cd6d2"/>
      <m:item xlName="_GBC_cbc8b97dd895423c963cd292b90eaf83" concept="clcid-pte:YingFuZhiGongXinChou" label="应付职工薪酬" mulRef="_GBC_dcff3d72dff8467cb2c07ad3b3fc27ca" unitRef="_GBC_bba83c9ffe7341af87411641b3c1153d" addr="T0R47C3S1_1" formatStyle="Comma" appId="_GBC_0c146c68fc034b599b66830a1b8cd6d2">
        <m:axisValue occRef="调整数"/>
      </m:item>
      <m:placeholder xlName="_PLD_ff6aeda1f2a44cf98dc7157f7616bd4a" addr="T0R48C0S1_1"/>
      <m:item xlName="_GBC_21d6379904a2477fb0e38152b25f8e6d" concept="clcid-pte:YingJiaoShuiJin" label="应交税金" periodRef="上年期末数" mulRef="_GBC_dcff3d72dff8467cb2c07ad3b3fc27ca" unitRef="_GBC_bba83c9ffe7341af87411641b3c1153d" addr="T0R48C1S1_1" formatStyle="Comma" appId="_GBC_0c146c68fc034b599b66830a1b8cd6d2"/>
      <m:item xlName="_GBC_0ef0360e57da4ffbadfc9c46b13cb899" concept="clcid-pte:YingJiaoShuiJin" label="应交税金" periodRef="本期期初数" mulRef="_GBC_dcff3d72dff8467cb2c07ad3b3fc27ca" unitRef="_GBC_bba83c9ffe7341af87411641b3c1153d" addr="T0R48C2S1_1" formatStyle="Comma" appId="_GBC_0c146c68fc034b599b66830a1b8cd6d2"/>
      <m:item xlName="_GBC_fc8f9905afc24843baf2c77941f0020c" concept="clcid-pte:YingJiaoShuiJin" label="应交税金" mulRef="_GBC_dcff3d72dff8467cb2c07ad3b3fc27ca" unitRef="_GBC_bba83c9ffe7341af87411641b3c1153d" addr="T0R48C3S1_1" formatStyle="Comma" appId="_GBC_0c146c68fc034b599b66830a1b8cd6d2">
        <m:axisValue occRef="调整数"/>
      </m:item>
      <m:placeholder xlName="_PLD_2a956d98f6b84a7b9bfbaa7cf1053b1a" addr="T0R49C0S1_1"/>
      <m:item xlName="_GBC_306d6dbd8cc8456fbcd0abbde9d7cd0a" concept="clcid-pte:QiTaYingFuKuan" label="其他应付款" periodRef="上年期末数" mulRef="_GBC_dcff3d72dff8467cb2c07ad3b3fc27ca" unitRef="_GBC_bba83c9ffe7341af87411641b3c1153d" addr="T0R49C1S1_1" formatStyle="Comma" appId="_GBC_0c146c68fc034b599b66830a1b8cd6d2"/>
      <m:item xlName="_GBC_625bfcaba5654e8686fca1472c9b76a1" concept="clcid-pte:QiTaYingFuKuan" label="其他应付款" periodRef="本期期初数" mulRef="_GBC_dcff3d72dff8467cb2c07ad3b3fc27ca" unitRef="_GBC_bba83c9ffe7341af87411641b3c1153d" addr="T0R49C2S1_1" formatStyle="Comma" appId="_GBC_0c146c68fc034b599b66830a1b8cd6d2"/>
      <m:item xlName="_GBC_e038b61eed5f4ee5869f990502e43d5c" concept="clcid-pte:QiTaYingFuKuan" label="其他应付款" mulRef="_GBC_dcff3d72dff8467cb2c07ad3b3fc27ca" unitRef="_GBC_bba83c9ffe7341af87411641b3c1153d" addr="T0R49C3S1_1" formatStyle="Comma" appId="_GBC_0c146c68fc034b599b66830a1b8cd6d2">
        <m:axisValue occRef="调整数"/>
      </m:item>
      <m:placeholder xlName="_PLD_6ac6190a2f00431ab010c57ba9ef52f3" addr="T0R50C0S1_1"/>
      <m:item xlName="_GBC_abad3ce75a0648b49cbd15efcfcbae3a" concept="clcid-pte:YingFuLiXi" label="应付利息" periodRef="上年期末数" mulRef="_GBC_dcff3d72dff8467cb2c07ad3b3fc27ca" unitRef="_GBC_bba83c9ffe7341af87411641b3c1153d" addr="T0R50C1S1_1" formatStyle="Comma" appId="_GBC_0c146c68fc034b599b66830a1b8cd6d2"/>
      <m:item xlName="_GBC_cc89cf186fd64b4f8386a509123b3705" concept="clcid-pte:YingFuLiXi" label="应付利息" periodRef="本期期初数" mulRef="_GBC_dcff3d72dff8467cb2c07ad3b3fc27ca" unitRef="_GBC_bba83c9ffe7341af87411641b3c1153d" addr="T0R50C2S1_1" formatStyle="Comma" appId="_GBC_0c146c68fc034b599b66830a1b8cd6d2"/>
      <m:item xlName="_GBC_36743336f045418389b02d7dcbb3c687" concept="clcid-pte:YingFuLiXi" label="应付利息" mulRef="_GBC_dcff3d72dff8467cb2c07ad3b3fc27ca" unitRef="_GBC_bba83c9ffe7341af87411641b3c1153d" addr="T0R50C3S1_1" formatStyle="Comma" appId="_GBC_0c146c68fc034b599b66830a1b8cd6d2">
        <m:axisValue occRef="调整数"/>
      </m:item>
      <m:placeholder xlName="_PLD_7dfd296a440d4212b3c2e5e169253ebe" addr="T0R51C0S1_1"/>
      <m:item xlName="_GBC_377f9fa9f9884455abdd0b8054c6bd43" concept="clcid-pte:YingFuGuLi" label="应付股利" periodRef="上年期末数" mulRef="_GBC_dcff3d72dff8467cb2c07ad3b3fc27ca" unitRef="_GBC_bba83c9ffe7341af87411641b3c1153d" addr="T0R51C1S1_1" formatStyle="Comma" appId="_GBC_0c146c68fc034b599b66830a1b8cd6d2"/>
      <m:item xlName="_GBC_d31f911b251643239d3617916b1ad83e" concept="clcid-pte:YingFuGuLi" label="应付股利" periodRef="本期期初数" mulRef="_GBC_dcff3d72dff8467cb2c07ad3b3fc27ca" unitRef="_GBC_bba83c9ffe7341af87411641b3c1153d" addr="T0R51C2S1_1" formatStyle="Comma" appId="_GBC_0c146c68fc034b599b66830a1b8cd6d2"/>
      <m:item xlName="_GBC_9e5e5c75f594446c9ad52eb36fd2b1e1" concept="clcid-pte:YingFuGuLi" label="应付股利" mulRef="_GBC_dcff3d72dff8467cb2c07ad3b3fc27ca" unitRef="_GBC_bba83c9ffe7341af87411641b3c1153d" addr="T0R51C3S1_1" formatStyle="Comma" appId="_GBC_0c146c68fc034b599b66830a1b8cd6d2">
        <m:axisValue occRef="调整数"/>
      </m:item>
      <m:placeholder xlName="_PLD_233fcedbf2774ae38e70a2bcb37fd170" addr="T0R52C0S1_1"/>
      <m:item xlName="_GBC_3ce12b7f92444773baa8f9b697b6f541" concept="clcid-pte:HuaFenWeiChiYouDaiShouDeFuZhai" label="划分为持有待售的负债" periodRef="上年期末数" mulRef="_GBC_dcff3d72dff8467cb2c07ad3b3fc27ca" unitRef="_GBC_bba83c9ffe7341af87411641b3c1153d" addr="T0R52C1S1_1" formatStyle="Comma" appId="_GBC_0c146c68fc034b599b66830a1b8cd6d2"/>
      <m:item xlName="_GBC_8e181aff1ccc4111a80203b77ae86015" concept="clcid-pte:HuaFenWeiChiYouDaiShouDeFuZhai" label="划分为持有待售的负债" periodRef="本期期初数" mulRef="_GBC_dcff3d72dff8467cb2c07ad3b3fc27ca" unitRef="_GBC_bba83c9ffe7341af87411641b3c1153d" addr="T0R52C2S1_1" formatStyle="Comma" appId="_GBC_0c146c68fc034b599b66830a1b8cd6d2"/>
      <m:item xlName="_GBC_0f865df499eb461babe81b4615b4113f" concept="clcid-pte:HuaFenWeiChiYouDaiShouDeFuZhai" label="划分为持有待售的负债" mulRef="_GBC_dcff3d72dff8467cb2c07ad3b3fc27ca" unitRef="_GBC_bba83c9ffe7341af87411641b3c1153d" addr="T0R52C3S1_1" formatStyle="Comma" appId="_GBC_0c146c68fc034b599b66830a1b8cd6d2">
        <m:axisValue occRef="调整数"/>
      </m:item>
      <m:placeholder xlName="_PLD_6b0b710c5ea94f14aa644a705b97d9a6" addr="T0R53C0S1_1"/>
      <m:item xlName="_GBC_03a66430877947a1a42f21084f61f74d" concept="clcid-pte:YiNianNeiDaoQiDeChangQiFuZhai" label="一年内到期的长期负债" periodRef="上年期末数" mulRef="_GBC_dcff3d72dff8467cb2c07ad3b3fc27ca" unitRef="_GBC_bba83c9ffe7341af87411641b3c1153d" addr="T0R53C1S1_1" formatStyle="Comma" appId="_GBC_0c146c68fc034b599b66830a1b8cd6d2"/>
      <m:item xlName="_GBC_713f5c9cc7e54871bc8dbf7722febf01" concept="clcid-pte:YiNianNeiDaoQiDeChangQiFuZhai" label="一年内到期的长期负债" periodRef="本期期初数" mulRef="_GBC_dcff3d72dff8467cb2c07ad3b3fc27ca" unitRef="_GBC_bba83c9ffe7341af87411641b3c1153d" addr="T0R53C2S1_1" formatStyle="Comma" appId="_GBC_0c146c68fc034b599b66830a1b8cd6d2"/>
      <m:item xlName="_GBC_2b8df59e827b41c2b7d38415057b18f6" concept="clcid-pte:YiNianNeiDaoQiDeChangQiFuZhai" label="一年内到期的长期负债" mulRef="_GBC_dcff3d72dff8467cb2c07ad3b3fc27ca" unitRef="_GBC_bba83c9ffe7341af87411641b3c1153d" addr="T0R53C3S1_1" formatStyle="Comma" appId="_GBC_0c146c68fc034b599b66830a1b8cd6d2">
        <m:axisValue occRef="调整数"/>
      </m:item>
      <m:placeholder xlName="_PLD_3c43debdb6044747a64738c3e33627bd" addr="T0R54C0S1_1"/>
      <m:item xlName="_GBC_5f6cd4b0c8ea4d12b932df6ae6221f5b" concept="clcid-pte:QiTaLiuDongFuZhai" label="其他流动负债" periodRef="上年期末数" mulRef="_GBC_dcff3d72dff8467cb2c07ad3b3fc27ca" unitRef="_GBC_bba83c9ffe7341af87411641b3c1153d" addr="T0R54C1S1_1" formatStyle="Comma" appId="_GBC_0c146c68fc034b599b66830a1b8cd6d2"/>
      <m:item xlName="_GBC_0084b14dbc7348439040f4ab7cca58a9" concept="clcid-pte:QiTaLiuDongFuZhai" label="其他流动负债" periodRef="本期期初数" mulRef="_GBC_dcff3d72dff8467cb2c07ad3b3fc27ca" unitRef="_GBC_bba83c9ffe7341af87411641b3c1153d" addr="T0R54C2S1_1" formatStyle="Comma" appId="_GBC_0c146c68fc034b599b66830a1b8cd6d2"/>
      <m:item xlName="_GBC_66e3277068b64a429ea70f9cd891cf3a" concept="clcid-pte:QiTaLiuDongFuZhai" label="其他流动负债" mulRef="_GBC_dcff3d72dff8467cb2c07ad3b3fc27ca" unitRef="_GBC_bba83c9ffe7341af87411641b3c1153d" addr="T0R54C3S1_1" formatStyle="Comma" appId="_GBC_0c146c68fc034b599b66830a1b8cd6d2">
        <m:axisValue occRef="调整数"/>
      </m:item>
      <m:placeholder xlName="_PLD_991f363de0414de4bac26ce6b2a04786" addr="T0R55C0S1_1"/>
      <m:item xlName="_GBC_9eb763d02c614cf488bf5cf321937a51" concept="clcid-pte:LiuDongFuZhaiHeJi" label="流动负债合计" periodRef="上年期末数" mulRef="_GBC_dcff3d72dff8467cb2c07ad3b3fc27ca" unitRef="_GBC_bba83c9ffe7341af87411641b3c1153d" addr="T0R55C1S1_1" formatStyle="Comma" appId="_GBC_0c146c68fc034b599b66830a1b8cd6d2">
        <m:complexRule comparator="Eq" title="流动负债合计@上年期末数" test=" $_GBC_93141312fd1a4bd8b9a250ebeab766c1 +  $_GBC_7763609f42fd4ff4a3ff5b0f5a30fa52 +  $_GBC_106b4d877a6c428b95988af26459e9be +  $_GBC_7ac5491efdec4b65a1d33029164c0bc0 +  $_GBC_dabe0c300f2646f78e871e0956b052ef +  $_GBC_02423467ad56458e974d0095d7644df3 +  $_GBC_8dec18187add4a80adcbf7e2c9e96ceb +  $_GBC_0f216625ed334e7ab3885fe6bd56e5b8 +  $_GBC_21d6379904a2477fb0e38152b25f8e6d +  $_GBC_306d6dbd8cc8456fbcd0abbde9d7cd0a +  $_GBC_3ce12b7f92444773baa8f9b697b6f541 +  $_GBC_03a66430877947a1a42f21084f61f74d +  $_GBC_5f6cd4b0c8ea4d12b932df6ae6221f5b" id="C76b67b870cc2441a83c193089a1918e5"/>
      </m:item>
      <m:item xlName="_GBC_b30d607d960c46f49aa5c690a2a40ce7" concept="clcid-pte:LiuDongFuZhaiHeJi" label="流动负债合计" periodRef="本期期初数" mulRef="_GBC_dcff3d72dff8467cb2c07ad3b3fc27ca" unitRef="_GBC_bba83c9ffe7341af87411641b3c1153d" addr="T0R55C2S1_1" formatStyle="Comma" appId="_GBC_0c146c68fc034b599b66830a1b8cd6d2">
        <m:complexRule comparator="Eq" title="流动负债合计@本期期初数" test=" $_GBC_55f2e5aefda44f27b36e4502a4fb6a9a +  $_GBC_846123f145ed4311af51172bbed14563 +  $_GBC_92e1cd6087c144db9f7347a5a35a8a69 +  $_GBC_1d383768496146c186631277425bffc5 +  $_GBC_34f936f8773e4f49883ffce0493cb317 +  $_GBC_a2148fb4b57e44cd8188c60c722bb135 +  $_GBC_591e03fa2f544a82bd42bcb74713ea94 +  $_GBC_213fdd2775114707b928ea0c8741a9b4 +  $_GBC_0ef0360e57da4ffbadfc9c46b13cb899 +  $_GBC_625bfcaba5654e8686fca1472c9b76a1 +  $_GBC_8e181aff1ccc4111a80203b77ae86015 +  $_GBC_713f5c9cc7e54871bc8dbf7722febf01 +  $_GBC_0084b14dbc7348439040f4ab7cca58a9" id="C4ca3fec4fad94d678796995674d59bca"/>
      </m:item>
      <m:item xlName="_GBC_4c5aebd0dd0c46eda05f9a7bdf32a0af" concept="clcid-pte:LiuDongFuZhaiHeJi" label="流动负债合计" mulRef="_GBC_dcff3d72dff8467cb2c07ad3b3fc27ca" unitRef="_GBC_bba83c9ffe7341af87411641b3c1153d" addr="T0R55C3S1_1" formatStyle="Comma" appId="_GBC_0c146c68fc034b599b66830a1b8cd6d2">
        <m:complexRule comparator="Eq" title="流动负债合计(调整数)" test=" $_GBC_a141cb433b9843b6aab1c6537b44f51a +  $_GBC_5d63a5a94b434c51bd8609253e6b2aa5 +  $_GBC_6a741d9547204dc29650169b960b9449 +  $_GBC_fe2c89a748874c68a0b2b440f9fe3583 +  $_GBC_073d6465e28f41ffb8e73221ecbddf5b +  $_GBC_dde279efbacb4a62967adce2a51d812c +  $_GBC_2517fd692c39424083a261c76bcea42f +  $_GBC_cbc8b97dd895423c963cd292b90eaf83 +  $_GBC_fc8f9905afc24843baf2c77941f0020c +  $_GBC_e038b61eed5f4ee5869f990502e43d5c +  $_GBC_0f865df499eb461babe81b4615b4113f +  $_GBC_2b8df59e827b41c2b7d38415057b18f6 +  $_GBC_66e3277068b64a429ea70f9cd891cf3a" id="C7cc8af255e9a4f408cb7b90993ab04bb"/>
        <m:complexRule comparator="Eq" title="流动负债合计(调整数)" test=" $_GBC_a141cb433b9843b6aab1c6537b44f51a +  $_GBC_5d63a5a94b434c51bd8609253e6b2aa5 +  $_GBC_6a741d9547204dc29650169b960b9449 +  $_GBC_fe2c89a748874c68a0b2b440f9fe3583 +  $_GBC_073d6465e28f41ffb8e73221ecbddf5b +  $_GBC_dde279efbacb4a62967adce2a51d812c +  $_GBC_2517fd692c39424083a261c76bcea42f +  $_GBC_cbc8b97dd895423c963cd292b90eaf83 +  $_GBC_fc8f9905afc24843baf2c77941f0020c +  $_GBC_e038b61eed5f4ee5869f990502e43d5c +  $_GBC_0f865df499eb461babe81b4615b4113f +  $_GBC_2b8df59e827b41c2b7d38415057b18f6 +  $_GBC_66e3277068b64a429ea70f9cd891cf3a" id="C7244621f41944f54ad95e05a4eab5b96"/>
        <m:axisValue occRef="调整数"/>
      </m:item>
      <m:placeholder xlName="_PLD_24da2da86b1543379f2cdd41175eaf05" addr="T0R56C0S1_4"/>
      <m:placeholder xlName="_PLD_198ac61c6e0d4178aa91476987717766" addr="T0R57C0S1_1"/>
      <m:item xlName="_GBC_03463a9cc8244928997c5166ef4fbb1a" concept="clcid-pte:ChangQiJieKuan" label="长期借款" periodRef="上年期末数" mulRef="_GBC_dcff3d72dff8467cb2c07ad3b3fc27ca" unitRef="_GBC_bba83c9ffe7341af87411641b3c1153d" addr="T0R57C1S1_1" formatStyle="Comma" appId="_GBC_0c146c68fc034b599b66830a1b8cd6d2"/>
      <m:item xlName="_GBC_b26faaae780041059415449a95fa55ab" concept="clcid-pte:ChangQiJieKuan" label="长期借款" periodRef="本期期初数" mulRef="_GBC_dcff3d72dff8467cb2c07ad3b3fc27ca" unitRef="_GBC_bba83c9ffe7341af87411641b3c1153d" addr="T0R57C2S1_1" formatStyle="Comma" appId="_GBC_0c146c68fc034b599b66830a1b8cd6d2"/>
      <m:item xlName="_GBC_7c73c5d7ef96406f99d02df313fd9bc1" concept="clcid-pte:ChangQiJieKuan" label="长期借款" mulRef="_GBC_dcff3d72dff8467cb2c07ad3b3fc27ca" unitRef="_GBC_bba83c9ffe7341af87411641b3c1153d" addr="T0R57C3S1_1" formatStyle="Comma" appId="_GBC_0c146c68fc034b599b66830a1b8cd6d2">
        <m:axisValue occRef="调整数"/>
      </m:item>
      <m:placeholder xlName="_PLD_2bbfca7e8e8d4cf49fc2cc659bca44e8" addr="T0R58C0S1_1"/>
      <m:item xlName="_GBC_5699572fc6f4417f9477ce9fd3e0a51b" concept="clcid-pte:YingFuZhaiQuan" label="应付债券" periodRef="上年期末数" mulRef="_GBC_dcff3d72dff8467cb2c07ad3b3fc27ca" unitRef="_GBC_bba83c9ffe7341af87411641b3c1153d" addr="T0R58C1S1_1" formatStyle="Comma" appId="_GBC_0c146c68fc034b599b66830a1b8cd6d2"/>
      <m:item xlName="_GBC_a49b298eed8d4189aebe44b3663b3c29" concept="clcid-pte:YingFuZhaiQuan" label="应付债券" periodRef="本期期初数" mulRef="_GBC_dcff3d72dff8467cb2c07ad3b3fc27ca" unitRef="_GBC_bba83c9ffe7341af87411641b3c1153d" addr="T0R58C2S1_1" formatStyle="Comma" appId="_GBC_0c146c68fc034b599b66830a1b8cd6d2"/>
      <m:item xlName="_GBC_60675c609f8040e58e120773d7c9678d" concept="clcid-pte:YingFuZhaiQuan" label="应付债券" mulRef="_GBC_dcff3d72dff8467cb2c07ad3b3fc27ca" unitRef="_GBC_bba83c9ffe7341af87411641b3c1153d" addr="T0R58C3S1_1" formatStyle="Comma" appId="_GBC_0c146c68fc034b599b66830a1b8cd6d2">
        <m:axisValue occRef="调整数"/>
      </m:item>
      <m:placeholder xlName="_PLD_26cca77a224743d0a56c6c4f4c4a7a61" addr="T0R59C0S1_1"/>
      <m:item xlName="_GBC_302cef50cb0545edbec70d045f402f01" concept="clcid-pte:QiZhongYouXianGu" label="其中：优先股" periodRef="上年期末数" mulRef="_GBC_dcff3d72dff8467cb2c07ad3b3fc27ca" unitRef="_GBC_bba83c9ffe7341af87411641b3c1153d" addr="T0R59C1S1_1" formatStyle="Comma" appId="_GBC_0c146c68fc034b599b66830a1b8cd6d2"/>
      <m:item xlName="_GBC_6984215a62134c618c502d333a1373b4" concept="clcid-pte:QiZhongYouXianGu" label="其中：优先股" periodRef="本期期初数" mulRef="_GBC_dcff3d72dff8467cb2c07ad3b3fc27ca" unitRef="_GBC_bba83c9ffe7341af87411641b3c1153d" addr="T0R59C2S1_1" formatStyle="Comma" appId="_GBC_0c146c68fc034b599b66830a1b8cd6d2"/>
      <m:item xlName="_GBC_0d5b4af7da30422bbc2fbcfe8d9ff6f8" concept="clcid-pte:QiZhongYouXianGu" label="其中：优先股" mulRef="_GBC_dcff3d72dff8467cb2c07ad3b3fc27ca" unitRef="_GBC_bba83c9ffe7341af87411641b3c1153d" addr="T0R59C3S1_1" formatStyle="Comma" appId="_GBC_0c146c68fc034b599b66830a1b8cd6d2">
        <m:axisValue occRef="调整数"/>
      </m:item>
      <m:placeholder xlName="_PLD_76fe50fef3de4f4aaf5450a119ed672e" addr="T0R60C0S1_1"/>
      <m:item xlName="_GBC_947943565b45468b98d4c42156146fdb" concept="clcid-pte:YongXuZhai" label="永续债" periodRef="上年期末数" mulRef="_GBC_dcff3d72dff8467cb2c07ad3b3fc27ca" unitRef="_GBC_bba83c9ffe7341af87411641b3c1153d" addr="T0R60C1S1_1" formatStyle="Comma" appId="_GBC_0c146c68fc034b599b66830a1b8cd6d2"/>
      <m:item xlName="_GBC_138bd6488acb4fba97ee1adc2e8ae0f6" concept="clcid-pte:YongXuZhai" label="永续债" periodRef="本期期初数" mulRef="_GBC_dcff3d72dff8467cb2c07ad3b3fc27ca" unitRef="_GBC_bba83c9ffe7341af87411641b3c1153d" addr="T0R60C2S1_1" formatStyle="Comma" appId="_GBC_0c146c68fc034b599b66830a1b8cd6d2"/>
      <m:item xlName="_GBC_8a1796cdae1841c18ff75dc409ed42ad" concept="clcid-pte:YongXuZhai" label="永续债" mulRef="_GBC_dcff3d72dff8467cb2c07ad3b3fc27ca" unitRef="_GBC_bba83c9ffe7341af87411641b3c1153d" addr="T0R60C3S1_1" formatStyle="Comma" appId="_GBC_0c146c68fc034b599b66830a1b8cd6d2">
        <m:axisValue occRef="调整数"/>
      </m:item>
      <m:placeholder xlName="_PLD_55b011cc9a4d4ad39e92a9b83c1f1e92" addr="T0R61C0S1_1"/>
      <m:item xlName="_GBC_3d4c74e55dfd40868c9fdaa4c4479500" concept="clcid-pte:ZuLinFuZhai" label="租赁负债" periodRef="上年期末数" mulRef="_GBC_dcff3d72dff8467cb2c07ad3b3fc27ca" unitRef="_GBC_bba83c9ffe7341af87411641b3c1153d" addr="T0R61C1S1_1" formatStyle="Comma" appId="_GBC_0c146c68fc034b599b66830a1b8cd6d2"/>
      <m:item xlName="_GBC_4d7e3cfde2ea4754ad3876ab258042dc" concept="clcid-pte:ZuLinFuZhai" label="租赁负债" periodRef="本期期初数" mulRef="_GBC_dcff3d72dff8467cb2c07ad3b3fc27ca" unitRef="_GBC_bba83c9ffe7341af87411641b3c1153d" addr="T0R61C2S1_1" formatStyle="Comma" appId="_GBC_0c146c68fc034b599b66830a1b8cd6d2"/>
      <m:item xlName="_GBC_922e7ef959f241579c6ab9c9ff9561a8" concept="clcid-pte:ZuLinFuZhai" label="租赁负债" mulRef="_GBC_dcff3d72dff8467cb2c07ad3b3fc27ca" unitRef="_GBC_bba83c9ffe7341af87411641b3c1153d" addr="T0R61C3S1_1" formatStyle="Comma" appId="_GBC_0c146c68fc034b599b66830a1b8cd6d2">
        <m:axisValue occRef="调整数"/>
      </m:item>
      <m:placeholder xlName="_PLD_26f2f47fc08b437499fb75baf1b5c53d" addr="T0R62C0S1_1"/>
      <m:item xlName="_GBC_88615e4056b94b908f88baf5fcf2975f" concept="clcid-pte:ChangQiYingFuKuan" label="长期应付款" periodRef="上年期末数" mulRef="_GBC_dcff3d72dff8467cb2c07ad3b3fc27ca" unitRef="_GBC_bba83c9ffe7341af87411641b3c1153d" addr="T0R62C1S1_1" formatStyle="Comma" appId="_GBC_0c146c68fc034b599b66830a1b8cd6d2"/>
      <m:item xlName="_GBC_a41de5808abe4469af64ceb63678b418" concept="clcid-pte:ChangQiYingFuKuan" label="长期应付款" periodRef="本期期初数" mulRef="_GBC_dcff3d72dff8467cb2c07ad3b3fc27ca" unitRef="_GBC_bba83c9ffe7341af87411641b3c1153d" addr="T0R62C2S1_1" formatStyle="Comma" appId="_GBC_0c146c68fc034b599b66830a1b8cd6d2"/>
      <m:item xlName="_GBC_edfbb964d892422a9e6835f4634ba503" concept="clcid-pte:ChangQiYingFuKuan" label="长期应付款" mulRef="_GBC_dcff3d72dff8467cb2c07ad3b3fc27ca" unitRef="_GBC_bba83c9ffe7341af87411641b3c1153d" addr="T0R62C3S1_1" formatStyle="Comma" appId="_GBC_0c146c68fc034b599b66830a1b8cd6d2">
        <m:axisValue occRef="调整数"/>
      </m:item>
      <m:placeholder xlName="_PLD_ac037a35eee843f0873278089c0a14c3" addr="T0R63C0S1_1"/>
      <m:item xlName="_GBC_cee73033c1a342cb9147f8ca8e7f2eaa" concept="clcid-pte:ChangQiYingFuZhiGongXinChou" label="长期应付职工薪酬" periodRef="上年期末数" mulRef="_GBC_dcff3d72dff8467cb2c07ad3b3fc27ca" unitRef="_GBC_bba83c9ffe7341af87411641b3c1153d" addr="T0R63C1S1_1" formatStyle="Comma" appId="_GBC_0c146c68fc034b599b66830a1b8cd6d2"/>
      <m:item xlName="_GBC_de63fdbbbf664c4d9358540aec535060" concept="clcid-pte:ChangQiYingFuZhiGongXinChou" label="长期应付职工薪酬" periodRef="本期期初数" mulRef="_GBC_dcff3d72dff8467cb2c07ad3b3fc27ca" unitRef="_GBC_bba83c9ffe7341af87411641b3c1153d" addr="T0R63C2S1_1" formatStyle="Comma" appId="_GBC_0c146c68fc034b599b66830a1b8cd6d2"/>
      <m:item xlName="_GBC_b3b6a7f6318c459faaf3b627dc138023" concept="clcid-pte:ChangQiYingFuZhiGongXinChou" label="长期应付职工薪酬" mulRef="_GBC_dcff3d72dff8467cb2c07ad3b3fc27ca" unitRef="_GBC_bba83c9ffe7341af87411641b3c1153d" addr="T0R63C3S1_1" formatStyle="Comma" appId="_GBC_0c146c68fc034b599b66830a1b8cd6d2">
        <m:axisValue occRef="调整数"/>
      </m:item>
      <m:placeholder xlName="_PLD_f69b652e9ef244419b4f4952c1e3d7be" addr="T0R64C0S1_1"/>
      <m:item xlName="_GBC_4030e9c91fe34748afcfcc5e610e3e90" concept="clcid-pte:YuJiFuZhai" label="预计负债" periodRef="上年期末数" mulRef="_GBC_dcff3d72dff8467cb2c07ad3b3fc27ca" unitRef="_GBC_bba83c9ffe7341af87411641b3c1153d" addr="T0R64C1S1_1" formatStyle="Comma" appId="_GBC_0c146c68fc034b599b66830a1b8cd6d2"/>
      <m:item xlName="_GBC_bb8b19f2549e4ee0adc976f8abe034af" concept="clcid-pte:YuJiFuZhai" label="预计负债" periodRef="本期期初数" mulRef="_GBC_dcff3d72dff8467cb2c07ad3b3fc27ca" unitRef="_GBC_bba83c9ffe7341af87411641b3c1153d" addr="T0R64C2S1_1" formatStyle="Comma" appId="_GBC_0c146c68fc034b599b66830a1b8cd6d2"/>
      <m:item xlName="_GBC_ec18459afbac4a3187dda2c3d1eeee53" concept="clcid-pte:YuJiFuZhai" label="预计负债" mulRef="_GBC_dcff3d72dff8467cb2c07ad3b3fc27ca" unitRef="_GBC_bba83c9ffe7341af87411641b3c1153d" addr="T0R64C3S1_1" formatStyle="Comma" appId="_GBC_0c146c68fc034b599b66830a1b8cd6d2">
        <m:axisValue occRef="调整数"/>
      </m:item>
      <m:placeholder xlName="_PLD_f268ff5bb5d7412b8e0c9b75ea2be04f" addr="T0R65C0S1_1"/>
      <m:item xlName="_GBC_0a371e75fdb845d2bf1c617be453b171" concept="clcid-pte:DiYanShouYi" label="递延收益" periodRef="上年期末数" mulRef="_GBC_dcff3d72dff8467cb2c07ad3b3fc27ca" unitRef="_GBC_bba83c9ffe7341af87411641b3c1153d" addr="T0R65C1S1_1" formatStyle="Comma" appId="_GBC_0c146c68fc034b599b66830a1b8cd6d2"/>
      <m:item xlName="_GBC_46bd9ee6d85543bca539b25cf6952858" concept="clcid-pte:DiYanShouYi" label="递延收益" periodRef="本期期初数" mulRef="_GBC_dcff3d72dff8467cb2c07ad3b3fc27ca" unitRef="_GBC_bba83c9ffe7341af87411641b3c1153d" addr="T0R65C2S1_1" formatStyle="Comma" appId="_GBC_0c146c68fc034b599b66830a1b8cd6d2"/>
      <m:item xlName="_GBC_13d2a8c8035c4799a1a9cfc8078019e6" concept="clcid-pte:DiYanShouYi" label="递延收益" mulRef="_GBC_dcff3d72dff8467cb2c07ad3b3fc27ca" unitRef="_GBC_bba83c9ffe7341af87411641b3c1153d" addr="T0R65C3S1_1" formatStyle="Comma" appId="_GBC_0c146c68fc034b599b66830a1b8cd6d2">
        <m:axisValue occRef="调整数"/>
      </m:item>
      <m:placeholder xlName="_PLD_59d63abdfaad46e1bb9851b34f2e1c33" addr="T0R66C0S1_1"/>
      <m:item xlName="_GBC_17f181ee83ce4a9abd300feb9fac1c60" concept="clcid-pte:DiYanShuiKuanDaiXiangHeJi" label="递延税款贷项合计" periodRef="上年期末数" mulRef="_GBC_dcff3d72dff8467cb2c07ad3b3fc27ca" unitRef="_GBC_bba83c9ffe7341af87411641b3c1153d" addr="T0R66C1S1_1" formatStyle="Comma" appId="_GBC_0c146c68fc034b599b66830a1b8cd6d2"/>
      <m:item xlName="_GBC_3c76e36b45fd4e0381fa502f81a85898" concept="clcid-pte:DiYanShuiKuanDaiXiangHeJi" label="递延税款贷项合计" periodRef="本期期初数" mulRef="_GBC_dcff3d72dff8467cb2c07ad3b3fc27ca" unitRef="_GBC_bba83c9ffe7341af87411641b3c1153d" addr="T0R66C2S1_1" formatStyle="Comma" appId="_GBC_0c146c68fc034b599b66830a1b8cd6d2"/>
      <m:item xlName="_GBC_012beb540b5b41819df9724f6b4658d2" concept="clcid-pte:DiYanShuiKuanDaiXiangHeJi" label="递延税款贷项合计" mulRef="_GBC_dcff3d72dff8467cb2c07ad3b3fc27ca" unitRef="_GBC_bba83c9ffe7341af87411641b3c1153d" addr="T0R66C3S1_1" formatStyle="Comma" appId="_GBC_0c146c68fc034b599b66830a1b8cd6d2">
        <m:axisValue occRef="调整数"/>
      </m:item>
      <m:placeholder xlName="_PLD_4facc9c8d0154820bd52f1674d840e30" addr="T0R67C0S1_1"/>
      <m:item xlName="_GBC_a972ba681e4f45179172d1927cee03ad" concept="clcid-pte:QiTaChangQiFuZhai" label="其他长期负债" periodRef="上年期末数" mulRef="_GBC_dcff3d72dff8467cb2c07ad3b3fc27ca" unitRef="_GBC_bba83c9ffe7341af87411641b3c1153d" addr="T0R67C1S1_1" formatStyle="Comma" appId="_GBC_0c146c68fc034b599b66830a1b8cd6d2"/>
      <m:item xlName="_GBC_0c86c3440df64dbe8d1cc32afdbd6fbf" concept="clcid-pte:QiTaChangQiFuZhai" label="其他长期负债" periodRef="本期期初数" mulRef="_GBC_dcff3d72dff8467cb2c07ad3b3fc27ca" unitRef="_GBC_bba83c9ffe7341af87411641b3c1153d" addr="T0R67C2S1_1" formatStyle="Comma" appId="_GBC_0c146c68fc034b599b66830a1b8cd6d2"/>
      <m:item xlName="_GBC_0044f1184ec048d58e2d899a4dc3cfc0" concept="clcid-pte:QiTaChangQiFuZhai" label="其他长期负债" mulRef="_GBC_dcff3d72dff8467cb2c07ad3b3fc27ca" unitRef="_GBC_bba83c9ffe7341af87411641b3c1153d" addr="T0R67C3S1_1" formatStyle="Comma" appId="_GBC_0c146c68fc034b599b66830a1b8cd6d2">
        <m:axisValue occRef="调整数"/>
      </m:item>
      <m:placeholder xlName="_PLD_7bf2c4255d5d4cb89fab0d910ac0408b" addr="T0R68C0S1_1"/>
      <m:item xlName="_GBC_6b626b92f97e4b388c7eeac92ac88611" concept="clcid-pte:ChangQiFuZhaiHeJi" label="长期负债合计" periodRef="上年期末数" mulRef="_GBC_dcff3d72dff8467cb2c07ad3b3fc27ca" unitRef="_GBC_bba83c9ffe7341af87411641b3c1153d" addr="T0R68C1S1_1" formatStyle="Comma" appId="_GBC_0c146c68fc034b599b66830a1b8cd6d2">
        <m:complexRule comparator="Eq" title="长期负债合计" test=" $_GBC_03463a9cc8244928997c5166ef4fbb1a +  $_GBC_5699572fc6f4417f9477ce9fd3e0a51b +  $_GBC_88615e4056b94b908f88baf5fcf2975f +  $_GBC_4030e9c91fe34748afcfcc5e610e3e90 +  $_GBC_3d4c74e55dfd40868c9fdaa4c4479500 +  $_GBC_0a371e75fdb845d2bf1c617be453b171 +  $_GBC_17f181ee83ce4a9abd300feb9fac1c60 +  $_GBC_a972ba681e4f45179172d1927cee03ad +  $_GBC_cee73033c1a342cb9147f8ca8e7f2eaa" id="Cce8a1c9f461e41c08eec8cab5b1a8ad7"/>
      </m:item>
      <m:item xlName="_GBC_a56696536248401fb362bfcf2402798e" concept="clcid-pte:ChangQiFuZhaiHeJi" label="长期负债合计" periodRef="本期期初数" mulRef="_GBC_dcff3d72dff8467cb2c07ad3b3fc27ca" unitRef="_GBC_bba83c9ffe7341af87411641b3c1153d" addr="T0R68C2S1_1" formatStyle="Comma" appId="_GBC_0c146c68fc034b599b66830a1b8cd6d2">
        <m:complexRule comparator="Eq" title="长期负债合计@本期期初数" test=" $_GBC_b26faaae780041059415449a95fa55ab +  $_GBC_a49b298eed8d4189aebe44b3663b3c29 +  $_GBC_a41de5808abe4469af64ceb63678b418 +  $_GBC_bb8b19f2549e4ee0adc976f8abe034af +  $_GBC_4d7e3cfde2ea4754ad3876ab258042dc +  $_GBC_46bd9ee6d85543bca539b25cf6952858 +  $_GBC_3c76e36b45fd4e0381fa502f81a85898 +  $_GBC_0c86c3440df64dbe8d1cc32afdbd6fbf +  $_GBC_de63fdbbbf664c4d9358540aec535060" id="C6d7ab5923e6242f88fbc7bcdd59b24ea"/>
      </m:item>
      <m:item xlName="_GBC_865a85bba7f14abb9ec17c70ca8e1c6e" concept="clcid-pte:ChangQiFuZhaiHeJi" label="长期负债合计" mulRef="_GBC_dcff3d72dff8467cb2c07ad3b3fc27ca" unitRef="_GBC_bba83c9ffe7341af87411641b3c1153d" addr="T0R68C3S1_1" formatStyle="Comma" appId="_GBC_0c146c68fc034b599b66830a1b8cd6d2">
        <m:complexRule comparator="Eq" title="长期负债合计(调整数)" test=" $_GBC_7c73c5d7ef96406f99d02df313fd9bc1 +  $_GBC_60675c609f8040e58e120773d7c9678d +  $_GBC_edfbb964d892422a9e6835f4634ba503 +  $_GBC_b3b6a7f6318c459faaf3b627dc138023 +  $_GBC_ec18459afbac4a3187dda2c3d1eeee53 +  $_GBC_922e7ef959f241579c6ab9c9ff9561a8 +  $_GBC_13d2a8c8035c4799a1a9cfc8078019e6 +  $_GBC_012beb540b5b41819df9724f6b4658d2 +  $_GBC_0044f1184ec048d58e2d899a4dc3cfc0" id="Ca29947fa511b451f991a619aef94980f"/>
        <m:axisValue occRef="调整数"/>
      </m:item>
      <m:placeholder xlName="_PLD_f310429ce77e43bb8a08e771b4b852eb" addr="T0R69C0S1_1"/>
      <m:item xlName="_GBC_ffdc1d1e1d434cc9bae001c99549d915" concept="clcid-pte:FuZhaiHeJi" label="负债合计" periodRef="上年期末数" mulRef="_GBC_dcff3d72dff8467cb2c07ad3b3fc27ca" unitRef="_GBC_bba83c9ffe7341af87411641b3c1153d" addr="T0R69C1S1_1" formatStyle="Comma" appId="_GBC_0c146c68fc034b599b66830a1b8cd6d2">
        <m:complexRule comparator="Eq" title="负债合计" test=" $_GBC_9eb763d02c614cf488bf5cf321937a51 +  $_GBC_6b626b92f97e4b388c7eeac92ac88611" id="C716f1682a9c842a8a381381f2494a899"/>
      </m:item>
      <m:item xlName="_GBC_553b34424fbb46abaf58b318f3591885" concept="clcid-pte:FuZhaiHeJi" label="负债合计" periodRef="本期期初数" mulRef="_GBC_dcff3d72dff8467cb2c07ad3b3fc27ca" unitRef="_GBC_bba83c9ffe7341af87411641b3c1153d" addr="T0R69C2S1_1" formatStyle="Comma" appId="_GBC_0c146c68fc034b599b66830a1b8cd6d2">
        <m:complexRule comparator="Eq" title="负债合计@本期期初数" test=" $_GBC_b30d607d960c46f49aa5c690a2a40ce7 +  $_GBC_a56696536248401fb362bfcf2402798e" id="Cc199c8a8e6d7416fa189d1ffbdda55bf"/>
      </m:item>
      <m:item xlName="_GBC_aa12e0864b9a410eae783265c646a4d0" concept="clcid-pte:FuZhaiHeJi" label="负债合计" mulRef="_GBC_dcff3d72dff8467cb2c07ad3b3fc27ca" unitRef="_GBC_bba83c9ffe7341af87411641b3c1153d" addr="T0R69C3S1_1" formatStyle="Comma" appId="_GBC_0c146c68fc034b599b66830a1b8cd6d2">
        <m:complexRule comparator="Eq" title="负债合计(调整数)" test=" $_GBC_4c5aebd0dd0c46eda05f9a7bdf32a0af +  $_GBC_865a85bba7f14abb9ec17c70ca8e1c6e" id="Ce0ca54a22af5445e91f6f4106da88b65"/>
        <m:axisValue occRef="调整数"/>
      </m:item>
      <m:placeholder xlName="_PLD_23187ad933224e27a0778544edac771b" addr="T0R70C0S1_4"/>
      <m:placeholder xlName="_PLD_3c27438e4c17401287912d3d39522246" addr="T0R71C0S1_1"/>
      <m:item xlName="_GBC_7f512d83a81c479398884b7e28af888d" concept="clcid-pte:GuBen" label="股本" periodRef="上年期末数" mulRef="_GBC_dcff3d72dff8467cb2c07ad3b3fc27ca" unitRef="_GBC_bba83c9ffe7341af87411641b3c1153d" addr="T0R71C1S1_1" formatStyle="Comma" appId="_GBC_0c146c68fc034b599b66830a1b8cd6d2"/>
      <m:item xlName="_GBC_0cb5a1af96c1428a91eca223950a887d" concept="clcid-pte:GuBen" label="股本" periodRef="本期期初数" mulRef="_GBC_dcff3d72dff8467cb2c07ad3b3fc27ca" unitRef="_GBC_bba83c9ffe7341af87411641b3c1153d" addr="T0R71C2S1_1" formatStyle="Comma" appId="_GBC_0c146c68fc034b599b66830a1b8cd6d2"/>
      <m:item xlName="_GBC_d90225092ca84d3d8734d91e1fd79991" concept="clcid-pte:GuBen" label="股本" mulRef="_GBC_dcff3d72dff8467cb2c07ad3b3fc27ca" unitRef="_GBC_bba83c9ffe7341af87411641b3c1153d" addr="T0R71C3S1_1" formatStyle="Comma" appId="_GBC_0c146c68fc034b599b66830a1b8cd6d2">
        <m:axisValue occRef="调整数"/>
      </m:item>
      <m:placeholder xlName="_PLD_219e289aa1864196b209d2a598a1c370" addr="T0R72C0S1_1"/>
      <m:item xlName="_GBC_bb728876b6774fda95f6a657aa921e02" concept="clcid-pte:QiTaQuanYiGongJu" label="其他权益工具" periodRef="上年期末数" mulRef="_GBC_dcff3d72dff8467cb2c07ad3b3fc27ca" unitRef="_GBC_bba83c9ffe7341af87411641b3c1153d" addr="T0R72C1S1_1" formatStyle="Comma" appId="_GBC_0c146c68fc034b599b66830a1b8cd6d2"/>
      <m:item xlName="_GBC_619369e9e0fd4eebac82159f57bd87da" concept="clcid-pte:QiTaQuanYiGongJu" label="其他权益工具" periodRef="本期期初数" mulRef="_GBC_dcff3d72dff8467cb2c07ad3b3fc27ca" unitRef="_GBC_bba83c9ffe7341af87411641b3c1153d" addr="T0R72C2S1_1" formatStyle="Comma" appId="_GBC_0c146c68fc034b599b66830a1b8cd6d2"/>
      <m:item xlName="_GBC_bdd3efe7ce37494cb3d84e29f410094b" concept="clcid-pte:QiTaQuanYiGongJu" label="其他权益工具" mulRef="_GBC_dcff3d72dff8467cb2c07ad3b3fc27ca" unitRef="_GBC_bba83c9ffe7341af87411641b3c1153d" addr="T0R72C3S1_1" formatStyle="Comma" appId="_GBC_0c146c68fc034b599b66830a1b8cd6d2">
        <m:axisValue occRef="调整数"/>
      </m:item>
      <m:placeholder xlName="_PLD_d62d300e33d54dccb14fe8b847ce22ce" addr="T0R73C0S1_1"/>
      <m:item xlName="_GBC_d64e00567e7c48d784fb63a9a1263412" concept="clcid-pte:QiTaQuanYiGongJuQiZhongYouXianGu" label="其他权益工具-其中：优先股" periodRef="上年期末数" mulRef="_GBC_dcff3d72dff8467cb2c07ad3b3fc27ca" unitRef="_GBC_bba83c9ffe7341af87411641b3c1153d" addr="T0R73C1S1_1" formatStyle="Comma" appId="_GBC_0c146c68fc034b599b66830a1b8cd6d2"/>
      <m:item xlName="_GBC_9b81e3992df14a569276e50d9839a411" concept="clcid-pte:QiTaQuanYiGongJuQiZhongYouXianGu" label="其他权益工具-其中：优先股" periodRef="本期期初数" mulRef="_GBC_dcff3d72dff8467cb2c07ad3b3fc27ca" unitRef="_GBC_bba83c9ffe7341af87411641b3c1153d" addr="T0R73C2S1_1" formatStyle="Comma" appId="_GBC_0c146c68fc034b599b66830a1b8cd6d2"/>
      <m:item xlName="_GBC_91d368889ef84234b0f5373ce3defb05" concept="clcid-pte:QiTaQuanYiGongJuQiZhongYouXianGu" label="其他权益工具-其中：优先股" mulRef="_GBC_dcff3d72dff8467cb2c07ad3b3fc27ca" unitRef="_GBC_bba83c9ffe7341af87411641b3c1153d" addr="T0R73C3S1_1" formatStyle="Comma" appId="_GBC_0c146c68fc034b599b66830a1b8cd6d2">
        <m:axisValue occRef="调整数"/>
      </m:item>
      <m:placeholder xlName="_PLD_4727be5dd64e448e9a276fb536cca7df" addr="T0R74C0S1_1"/>
      <m:item xlName="_GBC_18af46cab98044d79d72beba9a508cfa" concept="clcid-pte:QiTaQuanYiGongJuYongXuZhai" label="其他权益工具-永续债" periodRef="上年期末数" mulRef="_GBC_dcff3d72dff8467cb2c07ad3b3fc27ca" unitRef="_GBC_bba83c9ffe7341af87411641b3c1153d" addr="T0R74C1S1_1" formatStyle="Comma" appId="_GBC_0c146c68fc034b599b66830a1b8cd6d2"/>
      <m:item xlName="_GBC_26311f21234c41c0abe1a809af92b554" concept="clcid-pte:QiTaQuanYiGongJuYongXuZhai" label="其他权益工具-永续债" periodRef="本期期初数" mulRef="_GBC_dcff3d72dff8467cb2c07ad3b3fc27ca" unitRef="_GBC_bba83c9ffe7341af87411641b3c1153d" addr="T0R74C2S1_1" formatStyle="Comma" appId="_GBC_0c146c68fc034b599b66830a1b8cd6d2"/>
      <m:item xlName="_GBC_714b42ca178b480a896b4f7111e2d9f3" concept="clcid-pte:QiTaQuanYiGongJuYongXuZhai" label="其他权益工具-永续债" mulRef="_GBC_dcff3d72dff8467cb2c07ad3b3fc27ca" unitRef="_GBC_bba83c9ffe7341af87411641b3c1153d" addr="T0R74C3S1_1" formatStyle="Comma" appId="_GBC_0c146c68fc034b599b66830a1b8cd6d2">
        <m:axisValue occRef="调整数"/>
      </m:item>
      <m:placeholder xlName="_PLD_4eee5b62cf3a4acd8774ea85f2267d0a" addr="T0R75C0S1_1"/>
      <m:item xlName="_GBC_aed327c408fa422aaa9c851ed710dd10" concept="clcid-pte:ZiBenGongJi" label="资本公积" periodRef="上年期末数" mulRef="_GBC_dcff3d72dff8467cb2c07ad3b3fc27ca" unitRef="_GBC_bba83c9ffe7341af87411641b3c1153d" addr="T0R75C1S1_1" formatStyle="Comma" appId="_GBC_0c146c68fc034b599b66830a1b8cd6d2"/>
      <m:item xlName="_GBC_e7bb382c1303402288402a2fe360e0cc" concept="clcid-pte:ZiBenGongJi" label="资本公积" periodRef="本期期初数" mulRef="_GBC_dcff3d72dff8467cb2c07ad3b3fc27ca" unitRef="_GBC_bba83c9ffe7341af87411641b3c1153d" addr="T0R75C2S1_1" formatStyle="Comma" appId="_GBC_0c146c68fc034b599b66830a1b8cd6d2"/>
      <m:item xlName="_GBC_eba0e0fe578d464fb4427d388eb0a4aa" concept="clcid-pte:ZiBenGongJi" label="资本公积" mulRef="_GBC_dcff3d72dff8467cb2c07ad3b3fc27ca" unitRef="_GBC_bba83c9ffe7341af87411641b3c1153d" addr="T0R75C3S1_1" formatStyle="Comma" appId="_GBC_0c146c68fc034b599b66830a1b8cd6d2">
        <m:axisValue occRef="调整数"/>
      </m:item>
      <m:placeholder xlName="_PLD_4b58d38662354efdb77e7c72ba96772f" addr="T0R76C0S1_1"/>
      <m:item xlName="_GBC_9f313f06649c401c9a9de14230f79a76" concept="clcid-pte:KuCunGu" label="库存股" periodRef="上年期末数" mulRef="_GBC_dcff3d72dff8467cb2c07ad3b3fc27ca" unitRef="_GBC_bba83c9ffe7341af87411641b3c1153d" addr="T0R76C1S1_1" formatStyle="Comma" appId="_GBC_0c146c68fc034b599b66830a1b8cd6d2"/>
      <m:item xlName="_GBC_82555bd291e64798bf5d1cea86b0eff6" concept="clcid-pte:KuCunGu" label="库存股" periodRef="本期期初数" mulRef="_GBC_dcff3d72dff8467cb2c07ad3b3fc27ca" unitRef="_GBC_bba83c9ffe7341af87411641b3c1153d" addr="T0R76C2S1_1" formatStyle="Comma" appId="_GBC_0c146c68fc034b599b66830a1b8cd6d2"/>
      <m:item xlName="_GBC_81b699c85e0d4bf1929f9fb4365e91a0" concept="clcid-pte:KuCunGu" label="库存股" mulRef="_GBC_dcff3d72dff8467cb2c07ad3b3fc27ca" unitRef="_GBC_bba83c9ffe7341af87411641b3c1153d" addr="T0R76C3S1_1" formatStyle="Comma" appId="_GBC_0c146c68fc034b599b66830a1b8cd6d2">
        <m:axisValue occRef="调整数"/>
      </m:item>
      <m:placeholder xlName="_PLD_0832a644b0f64622848e9f5c951b4622" addr="T0R77C0S1_1"/>
      <m:item xlName="_GBC_cd1d9f9e048b4e018d53c95a701c77a6" concept="clcid-pte:QiTaZongHeShouYiZiChanFuZhaiBiaoXiangMu" label="其他综合收益（资产负债表项目）" periodRef="上年期末数" mulRef="_GBC_dcff3d72dff8467cb2c07ad3b3fc27ca" unitRef="_GBC_bba83c9ffe7341af87411641b3c1153d" addr="T0R77C1S1_1" formatStyle="Comma" appId="_GBC_0c146c68fc034b599b66830a1b8cd6d2"/>
      <m:item xlName="_GBC_d77065f1684a40fc888612d9dfabb02b" concept="clcid-pte:QiTaZongHeShouYiZiChanFuZhaiBiaoXiangMu" label="其他综合收益（资产负债表项目）" periodRef="本期期初数" mulRef="_GBC_dcff3d72dff8467cb2c07ad3b3fc27ca" unitRef="_GBC_bba83c9ffe7341af87411641b3c1153d" addr="T0R77C2S1_1" formatStyle="Comma" appId="_GBC_0c146c68fc034b599b66830a1b8cd6d2"/>
      <m:item xlName="_GBC_b26e7de9b2a7466a958ecca21a9a71ce" concept="clcid-pte:QiTaZongHeShouYiZiChanFuZhaiBiaoXiangMu" label="其他综合收益（资产负债表项目）" mulRef="_GBC_dcff3d72dff8467cb2c07ad3b3fc27ca" unitRef="_GBC_bba83c9ffe7341af87411641b3c1153d" addr="T0R77C3S1_1" formatStyle="Comma" appId="_GBC_0c146c68fc034b599b66830a1b8cd6d2">
        <m:axisValue occRef="调整数"/>
      </m:item>
      <m:placeholder xlName="_PLD_fd8ae7627f624031a96429026d1b6435" addr="T0R78C0S1_1"/>
      <m:item xlName="_GBC_0d39b36d0c9a40f191157ba1745d2a8f" concept="clcid-pte:ZhuanXiangChuBei" label="专项储备" periodRef="上年期末数" mulRef="_GBC_dcff3d72dff8467cb2c07ad3b3fc27ca" unitRef="_GBC_bba83c9ffe7341af87411641b3c1153d" addr="T0R78C1S1_1" formatStyle="Comma" appId="_GBC_0c146c68fc034b599b66830a1b8cd6d2"/>
      <m:item xlName="_GBC_f71b026d605f444ea3cbbb8485bff6fd" concept="clcid-pte:ZhuanXiangChuBei" label="专项储备" periodRef="本期期初数" mulRef="_GBC_dcff3d72dff8467cb2c07ad3b3fc27ca" unitRef="_GBC_bba83c9ffe7341af87411641b3c1153d" addr="T0R78C2S1_1" formatStyle="Comma" appId="_GBC_0c146c68fc034b599b66830a1b8cd6d2"/>
      <m:item xlName="_GBC_c66ab9ec50524d6c848c2265908b876d" concept="clcid-pte:ZhuanXiangChuBei" label="专项储备" mulRef="_GBC_dcff3d72dff8467cb2c07ad3b3fc27ca" unitRef="_GBC_bba83c9ffe7341af87411641b3c1153d" addr="T0R78C3S1_1" formatStyle="Comma" appId="_GBC_0c146c68fc034b599b66830a1b8cd6d2">
        <m:axisValue occRef="调整数"/>
      </m:item>
      <m:placeholder xlName="_PLD_8f42d18969554ab6b708ec2e3fb20cfd" addr="T0R79C0S1_1"/>
      <m:item xlName="_GBC_3b202a0903a242ed9d7dd60d8129f0f1" concept="clcid-pte:YingYuGongJi" label="盈余公积" periodRef="上年期末数" mulRef="_GBC_dcff3d72dff8467cb2c07ad3b3fc27ca" unitRef="_GBC_bba83c9ffe7341af87411641b3c1153d" addr="T0R79C1S1_1" formatStyle="Comma" appId="_GBC_0c146c68fc034b599b66830a1b8cd6d2"/>
      <m:item xlName="_GBC_b2b15ebeb35d451da6f6419afad8654d" concept="clcid-pte:YingYuGongJi" label="盈余公积" periodRef="本期期初数" mulRef="_GBC_dcff3d72dff8467cb2c07ad3b3fc27ca" unitRef="_GBC_bba83c9ffe7341af87411641b3c1153d" addr="T0R79C2S1_1" formatStyle="Comma" appId="_GBC_0c146c68fc034b599b66830a1b8cd6d2"/>
      <m:item xlName="_GBC_da5dabc1d08744caa1eefe21b780de7d" concept="clcid-pte:YingYuGongJi" label="盈余公积" mulRef="_GBC_dcff3d72dff8467cb2c07ad3b3fc27ca" unitRef="_GBC_bba83c9ffe7341af87411641b3c1153d" addr="T0R79C3S1_1" formatStyle="Comma" appId="_GBC_0c146c68fc034b599b66830a1b8cd6d2">
        <m:axisValue occRef="调整数"/>
      </m:item>
      <m:placeholder xlName="_PLD_2137826bf3624275afdce635adcd1f2e" addr="T0R80C0S1_1"/>
      <m:item xlName="_GBC_afc1593a494e42299a41902dd0df2e62" concept="clcid-pte:WeiFenPeiLiRun" label="未分配利润" periodRef="上年期末数" mulRef="_GBC_dcff3d72dff8467cb2c07ad3b3fc27ca" unitRef="_GBC_bba83c9ffe7341af87411641b3c1153d" addr="T0R80C1S1_1" formatStyle="Comma" appId="_GBC_0c146c68fc034b599b66830a1b8cd6d2"/>
      <m:item xlName="_GBC_f4e1348aa57344bc8f3cf8907e51b07e" concept="clcid-pte:WeiFenPeiLiRun" label="未分配利润" periodRef="本期期初数" mulRef="_GBC_dcff3d72dff8467cb2c07ad3b3fc27ca" unitRef="_GBC_bba83c9ffe7341af87411641b3c1153d" addr="T0R80C2S1_1" formatStyle="Comma" appId="_GBC_0c146c68fc034b599b66830a1b8cd6d2"/>
      <m:item xlName="_GBC_383ec1ff377d4cdfb4386457d9f6ff1b" concept="clcid-pte:WeiFenPeiLiRun" label="未分配利润" mulRef="_GBC_dcff3d72dff8467cb2c07ad3b3fc27ca" unitRef="_GBC_bba83c9ffe7341af87411641b3c1153d" addr="T0R80C3S1_1" formatStyle="Comma" appId="_GBC_0c146c68fc034b599b66830a1b8cd6d2">
        <m:axisValue occRef="调整数"/>
      </m:item>
      <m:placeholder xlName="_PLD_a14461c5dce1429cab04db99893b0689" addr="T0R81C0S1_1"/>
      <m:item xlName="_GBC_80662a498376446fa4b0f57e9bb85e03" concept="clcid-pte:GuDongQuanYiHeJi" label="股东权益合计" periodRef="上年期末数" mulRef="_GBC_dcff3d72dff8467cb2c07ad3b3fc27ca" unitRef="_GBC_bba83c9ffe7341af87411641b3c1153d" addr="T0R81C1S1_1" formatStyle="Comma" appId="_GBC_0c146c68fc034b599b66830a1b8cd6d2">
        <m:complexRule comparator="Eq" title="股东权益合计" test=" $_GBC_7f512d83a81c479398884b7e28af888d +  $_GBC_aed327c408fa422aaa9c851ed710dd10 -  $_GBC_9f313f06649c401c9a9de14230f79a76 +  $_GBC_bb728876b6774fda95f6a657aa921e02 +  $_GBC_cd1d9f9e048b4e018d53c95a701c77a6 +  $_GBC_0d39b36d0c9a40f191157ba1745d2a8f +  $_GBC_3b202a0903a242ed9d7dd60d8129f0f1 +  $_GBC_afc1593a494e42299a41902dd0df2e62" id="Ceb7febb57ad644ababfafafa62027e54"/>
      </m:item>
      <m:item xlName="_GBC_d61dbac5177e4ee2afb5839a2a7bc6c8" concept="clcid-pte:GuDongQuanYiHeJi" label="股东权益合计" periodRef="本期期初数" mulRef="_GBC_dcff3d72dff8467cb2c07ad3b3fc27ca" unitRef="_GBC_bba83c9ffe7341af87411641b3c1153d" addr="T0R81C2S1_1" formatStyle="Comma" appId="_GBC_0c146c68fc034b599b66830a1b8cd6d2">
        <m:complexRule comparator="Eq" title="股东权益合计@本期期初数" test=" $_GBC_0cb5a1af96c1428a91eca223950a887d +  $_GBC_619369e9e0fd4eebac82159f57bd87da -  $_GBC_82555bd291e64798bf5d1cea86b0eff6 +  $_GBC_e7bb382c1303402288402a2fe360e0cc +  $_GBC_d77065f1684a40fc888612d9dfabb02b +  $_GBC_f71b026d605f444ea3cbbb8485bff6fd +  $_GBC_b2b15ebeb35d451da6f6419afad8654d +  $_GBC_f4e1348aa57344bc8f3cf8907e51b07e" id="Cc5794dd9bff540ada52efb2c24bc5d04"/>
      </m:item>
      <m:item xlName="_GBC_800bc7533853496299be325cb7c4c9a7" concept="clcid-pte:GuDongQuanYiHeJi" label="股东权益合计" mulRef="_GBC_dcff3d72dff8467cb2c07ad3b3fc27ca" unitRef="_GBC_bba83c9ffe7341af87411641b3c1153d" addr="T0R81C3S1_1" formatStyle="Comma" appId="_GBC_0c146c68fc034b599b66830a1b8cd6d2">
        <m:complexRule comparator="Eq" title="股东权益合计(调整数)" test=" $_GBC_d90225092ca84d3d8734d91e1fd79991 +  $_GBC_bdd3efe7ce37494cb3d84e29f410094b +  $_GBC_eba0e0fe578d464fb4427d388eb0a4aa -  $_GBC_81b699c85e0d4bf1929f9fb4365e91a0 +  $_GBC_b26e7de9b2a7466a958ecca21a9a71ce +  $_GBC_c66ab9ec50524d6c848c2265908b876d +  $_GBC_da5dabc1d08744caa1eefe21b780de7d +  $_GBC_383ec1ff377d4cdfb4386457d9f6ff1b" id="C82b807953baa4c07906abb9db6720cb9"/>
        <m:axisValue occRef="调整数"/>
      </m:item>
      <m:placeholder xlName="_PLD_dc8ccfead3994bf8a325720d14f075dd" addr="T0R82C0S1_1"/>
      <m:item xlName="_GBC_9e811db3409f465ca893ea4709a33e4b" concept="clcid-pte:FuZhaiHeGuDongQuanYiHeJi" label="负债和股东权益合计" periodRef="上年期末数" mulRef="_GBC_dcff3d72dff8467cb2c07ad3b3fc27ca" unitRef="_GBC_bba83c9ffe7341af87411641b3c1153d" addr="T0R82C1S1_1" formatStyle="Comma" appId="_GBC_0c146c68fc034b599b66830a1b8cd6d2">
        <m:complexRule comparator="Eq" title="负债和股东权益合计" test=" $_GBC_ffdc1d1e1d434cc9bae001c99549d915 +  $_GBC_80662a498376446fa4b0f57e9bb85e03" id="Cdf035eb8d26d4bbea8f4d433a1582e8d"/>
      </m:item>
      <m:item xlName="_GBC_e05928b4bb4840d8956ba1c798dcf499" concept="clcid-pte:FuZhaiHeGuDongQuanYiHeJi" label="负债和股东权益合计" periodRef="本期期初数" mulRef="_GBC_dcff3d72dff8467cb2c07ad3b3fc27ca" unitRef="_GBC_bba83c9ffe7341af87411641b3c1153d" addr="T0R82C2S1_1" formatStyle="Comma" appId="_GBC_0c146c68fc034b599b66830a1b8cd6d2">
        <m:complexRule comparator="Eq" title="负债和股东权益合计@本期期初数" test=" $_GBC_553b34424fbb46abaf58b318f3591885 +  $_GBC_d61dbac5177e4ee2afb5839a2a7bc6c8" id="Cceaa74a4cafb4c349561d97596dda73d"/>
      </m:item>
      <m:item xlName="_GBC_201237931e924bcf85a6943c36038f3f" concept="clcid-pte:FuZhaiHeGuDongQuanYiHeJi" label="负债和股东权益合计" mulRef="_GBC_dcff3d72dff8467cb2c07ad3b3fc27ca" unitRef="_GBC_bba83c9ffe7341af87411641b3c1153d" addr="T0R82C3S1_1" formatStyle="Comma" appId="_GBC_0c146c68fc034b599b66830a1b8cd6d2">
        <m:complexRule comparator="Eq" title="负债和股东权益合计(调整数)" test=" $_GBC_aa12e0864b9a410eae783265c646a4d0 +  $_GBC_800bc7533853496299be325cb7c4c9a7" id="C4ad4fe7ac6a543da9d9de3e2bd1e4ae9"/>
        <m:axisValue occRef="调整数"/>
      </m:item>
      <m:item xlName="_GBC_119d5368c81b45aa9f96d9b58e5a0fb5" concept="clcid-ci-ar:ShiFouShiYongZiChanFuZhaiBiaoGeXiangMuTiaoZhengQingKuangDeShuoMing" label="是否适用：资产负债表各项目调整情况的说明" selectOptions="_buildInAppliance" controlType="CustomCheckbox" cRanges="[{&quot;StartName&quot;:&quot;_GBC_119d5368c81b45aa9f96d9b58e5a0fb5&quot;,&quot;EndName&quot;:&quot;_GBC_c0981d9705734d91b8062b829ca1af11&quot;,&quot;CType&quot;:1}]"/>
      <m:item xlName="_GBC_c0981d9705734d91b8062b829ca1af11" concept="clcid-pte:ZiChanFuZhaiBiaoGeXiangMuTiaoZhengQingKuangDeShuoMing" label="资产负债表各项目调整情况的说明" appId="_GBC_119d5368c81b45aa9f96d9b58e5a0fb5"/>
      <m:rowModel locationConcept="clcid-ci-ar:ZiDingYiKeMuWeiZhi" labelConcept="clcid-ci-ar:ZiDingYiKeMuMingCheng" conceptPrefix="资产负债表" presentationRole="http://www.xbrl-cn.org/cn/lcid/lr/role/ConsolidatedBalanceSheet" presentationParentConcept="clcid-pte:ZiChanFuZhaiBiao" tuplePrefix="项目"/>
    </m:section>
    <m:section xlName="_SEC_a98b82c2763d4798bed73cd0b4fbc809" title="首次执行新金融工具准则、新租赁准则追溯调整前期比较数据的说明">
      <m:item xlName="_GBC_ceaa7ba89e47473da347779a7dc5e772" concept="clcid-ci-ar:ShiFouShiYongShouCiZhiXingXinKuaiJiZhunZeTiaoZhengQianQiBiJiaoShuJuDeShuoMing" label="是否适用：首次执行新会计准则调整前期比较数据的说明" selectOptions="_buildInAppliance" controlType="CustomCheckbox" cRanges="[{&quot;StartName&quot;:&quot;_GBC_ceaa7ba89e47473da347779a7dc5e772&quot;,&quot;EndName&quot;:&quot;_GBC_dff15ce91f374c50a131c086c1410130&quot;,&quot;CType&quot;:1}]"/>
      <m:item xlName="_GBC_dff15ce91f374c50a131c086c1410130" concept="clcid-pte:ShouCiZhiXingXinKuaiJiZhunZeTiaoZhengQianQiBiJiaoShuJuDeShuoMing" label="首次执行新会计准则调整前期比较数据的说明" appId="_GBC_ceaa7ba89e47473da347779a7dc5e772"/>
    </m:section>
    <m:section xlName="_GBC_f9189f2c315949f484bded540173f7a8" title="其他" helpId="112001034">
      <m:item xlName="_GBC_6deb29735f384e0d9a2b017d4265a493" concept="clcid-ci-ar:ShiFouShiYongGongSiZhuYaoHuiJiZhengCeHuiJiGuJiHeQianQiChaCuoDeQiTaShuoMing" label="是否适用：公司主要会计政策、会计估计和前期差错的其他说明" selectOptions="_buildInAppliance" controlType="CustomCheckbox" cRanges="{&quot;StartName&quot;:&quot;_GBC_6deb29735f384e0d9a2b017d4265a493&quot;,&quot;EndName&quot;:&quot;_GBC_c92422e9f0294891888f1127365f4bbf&quot;,&quot;CType&quot;:1,&quot;DisplayText&quot;:null}"/>
      <m:item xlName="_GBC_c92422e9f0294891888f1127365f4bbf" concept="clcid-pte:GongSiZhuYaoKuaiJiZhengCeKuaiJiGuJiHeQianQiChaCuoDeQiTaShuoMing" label="公司主要会计政策、会计估计和前期差错的其他说明" appId="_GBC_6deb29735f384e0d9a2b017d4265a493"/>
    </m:section>
    <m:section xlName="_GBC_21c965fa52af49a9865023fb4e05671a" title="主要税种及税率" convertSummaryRule="NoConvert" helpId="112001036">
      <m:item xlName="_GBC_fd47fa4fd9aa499c8903795268a25582" concept="clcid-ci-ar:ShiFouShiYongZhuYaoShuiZhongJiShuiLvQingKuang" label="是否适用：主要税种及税率情况 " selectOptions="_buildInAppliance" controlType="CustomCheckbox" cRanges="{&quot;StartName&quot;:&quot;_GBC_fd47fa4fd9aa499c8903795268a25582&quot;,&quot;EndName&quot;:&quot;_GBC_ff09195391064ccb8c7ca98d11731bcc&quot;,&quot;CType&quot;:1,&quot;DisplayText&quot;:null}"/>
      <m:region xlName="_GBC_cd48dbef8f724802baa896e009e06b0d" title="税种计税依据税率" mandatory="false" convertSummaryRule="NoConvert" helpId="112001037">
        <m:placeholder xlName="_PLD_e7d49d0412b143bf84fec865b918065a" addr="T0R0C0S1_1"/>
        <m:placeholder xlName="_PLD_e42202809983483baa812ed26e1b27a2" addr="T0R0C1S1_1"/>
        <m:placeholder xlName="_PLD_0cebc7a4c62844c6b35146cd64cd4277" addr="T0R0C2S1_1"/>
        <m:placeholder xlName="_PLD_9ace953dc7aa4938aeb14fdc5cefe531" addr="T0R1C0S1_1"/>
        <m:item xlName="_GBC_11f2a3832d244b0ab73a57a8c8a61bf2" concept="clcid-pte:ZengZhiShuiDeJiShuiYiJu" label="增值税的计税依据" addr="T0R1C1S1_1" appId="_GBC_fd47fa4fd9aa499c8903795268a25582"/>
        <m:item xlName="_GBC_ba800c47453f4253a4567179200d7fdf" concept="clcid-pte:ZengZhiShuiShuiLv" label="增值税税率" addr="T0R1C2S1_1" appId="_GBC_fd47fa4fd9aa499c8903795268a25582"/>
        <m:placeholder xlName="_PLD_81e2cde513d146408625859d885eb577" addr="T0R2C0S1_1"/>
        <m:item xlName="_GBC_5b21ff7c61f6467daea3da8ae8e2ecce" concept="clcid-pte:XiaoFeiShuiDeJiShuiYiJu" label="消费税的计税依据" addr="T0R2C1S1_1" appId="_GBC_fd47fa4fd9aa499c8903795268a25582"/>
        <m:item xlName="_GBC_bd8e8802e0474b94ab048bdd02fd4f47" concept="clcid-pte:XiaoFeiShuiShuiLv" label="消费税税率" addr="T0R2C2S1_1" appId="_GBC_fd47fa4fd9aa499c8903795268a25582"/>
        <m:placeholder xlName="_PLD_6653c9a6095c4d3eaf346beeb35838a0" addr="T0R3C0S1_1"/>
        <m:item xlName="_GBC_3c6a374f8b274931891b9142610590fe" concept="clcid-pte:YingYeShuiDeJiShuiYiJu" label="营业税的计税依据" addr="T0R3C1S1_1" appId="_GBC_fd47fa4fd9aa499c8903795268a25582"/>
        <m:item xlName="_GBC_8cf00eb556844bc2b2211a1c76c8dc8f" concept="clcid-pte:YingYeShuiShuiLv" label="营业税税率" addr="T0R3C2S1_1" appId="_GBC_fd47fa4fd9aa499c8903795268a25582"/>
        <m:placeholder xlName="_PLD_a00c27a54584444dbd90124436528903" addr="T0R4C0S1_1"/>
        <m:item xlName="_GBC_b8adb0d580af4d7cbe52b708530d870e" concept="clcid-pte:ChengJianShuiDeJiShuiYiJu" label="城市维护建设税的计税依据" addr="T0R4C1S1_1" appId="_GBC_fd47fa4fd9aa499c8903795268a25582"/>
        <m:item xlName="_GBC_0bf2ebb5727a4af29d739eff67e0cd9c" concept="clcid-pte:ChengJianShuiShuiLv" label="城建税税率" addr="T0R4C2S1_1" appId="_GBC_fd47fa4fd9aa499c8903795268a25582"/>
        <m:placeholder xlName="_PLD_674fdae0a13a4ed2a46d30b411850225" addr="T0R5C0S1_1"/>
        <m:item xlName="_GBC_fc8438529f7f47089c036c6f62ba0dc7" concept="clcid-pte:QiYeSuoDeShuiDeJiShuiYiJu" label="企业所得税的计税依据" addr="T0R5C1S1_1" appId="_GBC_fd47fa4fd9aa499c8903795268a25582"/>
        <m:item xlName="_GBC_10a877fdd8df46e98ec5e56db75c969a" concept="clcid-pte:QiYeSuoDeShuiShuiLv" label="企业所得税税率" addr="T0R5C2S1_1" appId="_GBC_fd47fa4fd9aa499c8903795268a25582"/>
        <m:tuple xlName="_GBC_b4f10406bc8741879c7bff390b72f9b9" concept="clcid-pte:QiTaZhuYaoShuiZhongJiShuiLv" default_row="2" addr="T0R6C">
          <m:item xlName="_GBC_1223c460ad9643b2be25823841569b04" concept="clcid-pte:QiTaZhuYaoShuiZhongMingCheng" label="其他主要税种名称" addr="T0R6C0S1_1" cellConvertType="1" appId="_GBC_fd47fa4fd9aa499c8903795268a25582"/>
          <m:item xlName="_GBC_36b43cfa1c5b4e56b53e56c3668c2985" concept="clcid-pte:QiTaZhuYaoShuiZhongJiShuiYiJu" label="其他主要税种计税依据" addr="T0R6C1S1_1" appId="_GBC_fd47fa4fd9aa499c8903795268a25582"/>
          <m:item xlName="_GBC_ff09195391064ccb8c7ca98d11731bcc" concept="clcid-pte:QiTaZhuYaoShuiZhongShuiLv" label="其他主要税种税率" addr="T0R6C2S1_1" appId="_GBC_fd47fa4fd9aa499c8903795268a25582"/>
        </m:tuple>
      </m:region>
      <m:item xlName="_GBC_848dc0d1182048ccb5485f3b0d7d1d70" concept="clcid-ci-ar:ShiFouShiYongCunZaiBuTongQiYeSuoDeShuiShuiLvNaShuiZhuTiDePiLuQingKuangShuoMing" label="是否适用：存在不同企业所得税税率纳税主体的，披露情况说明" selectOptions="_buildInAppliance" controlType="CustomCheckbox" cRanges="{&quot;StartName&quot;:&quot;_GBC_848dc0d1182048ccb5485f3b0d7d1d70&quot;,&quot;EndName&quot;:&quot;_GBC_f980f5132fdc420482dec5668738b716&quot;,&quot;CType&quot;:1,&quot;DisplayText&quot;:null}"/>
      <m:placeholder xlName="_PLD_440a50b0d3fa4b22b061006e717665d8" addr="T1R0C0S1_1"/>
      <m:placeholder xlName="_PLD_5c2541995bc04204a53104c1e5a4c9da" addr="T1R0C1S1_1"/>
      <m:tuple xlName="_GBC_e71b3f1578da465088bdd975b9618640" concept="clcid-pte:BuTongNaShuiZhuTiSuoDeShuiShuiLvShuoMingMingXi" default_row="2" addr="T1R1C">
        <m:item xlName="_GBC_4c66efa1d67d48338ad780345fb56db0" concept="clcid-pte:BuTongNaShuiZhuTiSuoDeShuiShuiLvShuoMingMingXiNaShuiZhuTiMingCheng" label="不同纳税主体所得税税率说明明细-纳税主体名称" addr="T1R1C0S1_1" appId="_GBC_848dc0d1182048ccb5485f3b0d7d1d70"/>
        <m:item xlName="_GBC_f980f5132fdc420482dec5668738b716" concept="clcid-pte:BuTongNaShuiZhuTiSuoDeShuiShuiLvShuoMingMingXiSuoDeShuiShuiLv" label="不同纳税主体所得税税率说明明细-所得税税率" addr="T1R1C1S1_1" baseScale="0.01" formatStyle="Comma" appId="_GBC_848dc0d1182048ccb5485f3b0d7d1d70"/>
      </m:tuple>
    </m:section>
    <m:section xlName="_GBC_8efa381cc976417f9135f0c744d05452" title="税收优惠及批文" convertSummaryRule="NoConvert" helpId="112001036" helpText="注：说明主要税收优惠政策及依据。">
      <m:item xlName="_GBC_f8eb23e7a2e74e448e4eb46519d87bd6" concept="clcid-ci-ar:ShiFouShiYongShuiShouYouHui" label="是否适用：税收优惠" selectOptions="_buildInAppliance" controlType="CustomCheckbox" cRanges="{&quot;StartName&quot;:&quot;_GBC_f8eb23e7a2e74e448e4eb46519d87bd6&quot;,&quot;EndName&quot;:&quot;_GBC_3bbdacdaa3ba421fb8a81b9bda047bb4&quot;,&quot;CType&quot;:1,&quot;DisplayText&quot;:null}"/>
      <m:item xlName="_GBC_3bbdacdaa3ba421fb8a81b9bda047bb4" concept="clcid-pte:YouHuiShuiFuJiPiWen" label="优惠税赋及批文" appId="_GBC_f8eb23e7a2e74e448e4eb46519d87bd6"/>
    </m:section>
    <m:section xlName="_GBC_9fdef48633e142f68e18dc5da08c2deb" title="其他说明" convertSummaryRule="NoConvert" helpId="112001038">
      <m:item xlName="_GBC_566ef0a7141a4b2ca002ad8d0663c462" concept="clcid-ci-ar:ShiFouShiYongShuiXiangShuoMing" label="是否适用：税项说明" selectOptions="_buildInAppliance" controlType="CustomCheckbox" cRanges="{&quot;StartName&quot;:&quot;_GBC_566ef0a7141a4b2ca002ad8d0663c462&quot;,&quot;EndName&quot;:&quot;_GBC_fd5463033ed2495089f9ea62c446326a&quot;,&quot;CType&quot;:1,&quot;DisplayText&quot;:null}"/>
      <m:item xlName="_GBC_fd5463033ed2495089f9ea62c446326a" concept="clcid-pte:ShuiXiangShuoMing" label="税项说明" appId="_GBC_566ef0a7141a4b2ca002ad8d0663c462"/>
    </m:section>
    <m:section xlName="_GBC_e001074b3db146e59ba240ad8dd14b68" title="货币资金" rules="R2015_R11_002" convertSummaryRule="NoConvert" helpId="112001039" helpText="注：因抵押、质押或冻结等对使用有限制，以及存放在境外且资金汇回受到限制的款项应单独说明。">
      <m:item xlName="_GBC_919482f2d209490ca80fb081aed88b28" concept="clcid-ci-ar:ShiFouShiYongHuoBiZiJin" label="是否适用：货币资金" selectOptions="_buildInAppliance" controlType="CustomCheckbox" cRanges="{&quot;StartName&quot;:&quot;_GBC_919482f2d209490ca80fb081aed88b28&quot;,&quot;EndName&quot;:&quot;_GBC_672a863055084dfabbc1ba40f04a68b4&quot;,&quot;CType&quot;:1,&quot;DisplayText&quot;:null}"/>
      <m:item xlName="_GBC_837f4fb04cac4b8aa6bed7dc457a1486" concept="clcid-ci-ar:DanWeiCaiWuFuZhuHuoBiZiJin" label="单位：财务附注：货币资金" selectOptions="_buildInScales" controlType="Combobox" cellType="Scale" appId="_GBC_919482f2d209490ca80fb081aed88b28"/>
      <m:item xlName="_GBC_6a1d907ad1af44b1a90a92ac03d51b34" concept="clcid-ci-ar:BiZhongCaiWuFuZhuHuoBiZiJin" label="币种：财务附注：货币资金" selectOptions="_buildInISO4217" controlType="Combobox" cellType="Measure" appId="_GBC_919482f2d209490ca80fb081aed88b28"/>
      <m:placeholder xlName="_PLD_970744f8614f4547819947c8fa3cacc3" addr="T0R0C0S1_1"/>
      <m:placeholder xlName="_PLD_e10eddc0fb0b4cf087ec6eb5089b437a" addr="T0R0C1S1_1"/>
      <m:placeholder xlName="_PLD_0e23cd11eeb14296ba53098fcca37e68" addr="T0R0C2S1_1"/>
      <m:placeholder xlName="_PLD_e371e767a9e24245856168b9f4428678" addr="T0R1C0S1_1"/>
      <m:item xlName="_GBC_078ace0cc41f43e9b9f09abcda3268fe" concept="clcid-pte:XianJinHeJi" label="现金合计" mulRef="_GBC_837f4fb04cac4b8aa6bed7dc457a1486" unitRef="_GBC_6a1d907ad1af44b1a90a92ac03d51b34" addr="T0R1C1S1_1" formatStyle="Comma" appId="_GBC_919482f2d209490ca80fb081aed88b28"/>
      <m:item xlName="_GBC_b308afb89aec462b9cd24da49f14cc4d" concept="clcid-pte:XianJinHeJi" label="现金合计" periodRef="本期期初数" mulRef="_GBC_837f4fb04cac4b8aa6bed7dc457a1486" unitRef="_GBC_6a1d907ad1af44b1a90a92ac03d51b34" addr="T0R1C2S1_1" formatStyle="Comma" appId="_GBC_919482f2d209490ca80fb081aed88b28"/>
      <m:placeholder xlName="_PLD_96be3b99d11b4eb5ac959cf1c015f1ae" addr="T0R2C0S1_1"/>
      <m:item xlName="_GBC_93f99114bb2d420c8a80f3ba36189543" concept="clcid-pte:YinHangCunKuanHeJi" label="银行存款合计" mulRef="_GBC_837f4fb04cac4b8aa6bed7dc457a1486" unitRef="_GBC_6a1d907ad1af44b1a90a92ac03d51b34" addr="T0R2C1S1_1" formatStyle="Comma" appId="_GBC_919482f2d209490ca80fb081aed88b28"/>
      <m:item xlName="_GBC_6ab19b1d61884bfebf4579d95be5a835" concept="clcid-pte:YinHangCunKuanHeJi" label="银行存款合计" periodRef="本期期初数" mulRef="_GBC_837f4fb04cac4b8aa6bed7dc457a1486" unitRef="_GBC_6a1d907ad1af44b1a90a92ac03d51b34" addr="T0R2C2S1_1" formatStyle="Comma" appId="_GBC_919482f2d209490ca80fb081aed88b28"/>
      <m:placeholder xlName="_PLD_58c172627e3243edb66fdbc1799a2f1e" addr="T0R3C0S1_1"/>
      <m:item xlName="_GBC_dcf1b58529884295873d0780eecc2d7f" concept="clcid-pte:QiTaHuoBiZiJinHeJi" label="其他货币资金合计" mulRef="_GBC_837f4fb04cac4b8aa6bed7dc457a1486" unitRef="_GBC_6a1d907ad1af44b1a90a92ac03d51b34" addr="T0R3C1S1_1" formatStyle="Comma" appId="_GBC_919482f2d209490ca80fb081aed88b28"/>
      <m:item xlName="_GBC_1da6ce6a8ba3438bb1226fbc27210c72" concept="clcid-pte:QiTaHuoBiZiJinHeJi" label="其他货币资金合计" periodRef="本期期初数" mulRef="_GBC_837f4fb04cac4b8aa6bed7dc457a1486" unitRef="_GBC_6a1d907ad1af44b1a90a92ac03d51b34" addr="T0R3C2S1_1" formatStyle="Comma" appId="_GBC_919482f2d209490ca80fb081aed88b28"/>
      <m:placeholder xlName="_PLD_bfbd7d5ef1f8459e96b267d6ca7d50e2" addr="T0R4C0S1_1"/>
      <m:item xlName="_GBC_c52486554358463c8afdf46ec03fc266" concept="clcid-pte:HuoBiZiJin" label="货币资金" mulRef="_GBC_837f4fb04cac4b8aa6bed7dc457a1486" unitRef="_GBC_6a1d907ad1af44b1a90a92ac03d51b34" addr="T0R4C1S1_1" formatStyle="Comma" appId="_GBC_919482f2d209490ca80fb081aed88b28">
        <m:complexRule comparator="Eq" title="货币资金" test=" $_GBC_078ace0cc41f43e9b9f09abcda3268fe +  $_GBC_93f99114bb2d420c8a80f3ba36189543 +  $_GBC_dcf1b58529884295873d0780eecc2d7f" id="C8129d13fcd9245af87c7efdf9bed4474"/>
      </m:item>
      <m:item xlName="_GBC_94a1bc19567d4008a542ba6c6c68ddfc" concept="clcid-pte:HuoBiZiJin" label="货币资金" periodRef="本期期初数" mulRef="_GBC_837f4fb04cac4b8aa6bed7dc457a1486" unitRef="_GBC_6a1d907ad1af44b1a90a92ac03d51b34" addr="T0R4C2S1_1" formatStyle="Comma" appId="_GBC_919482f2d209490ca80fb081aed88b28">
        <m:complexRule comparator="Eq" title="货币资金@本期期初数" test=" $_GBC_b308afb89aec462b9cd24da49f14cc4d +  $_GBC_6ab19b1d61884bfebf4579d95be5a835 +  $_GBC_1da6ce6a8ba3438bb1226fbc27210c72" id="C730bb385ce3b410f899429f7ba69cd38"/>
      </m:item>
      <m:placeholder xlName="_PLD_87df45e9697a4beb97831117be4c567a" addr="T0R5C0S1_1"/>
      <m:item xlName="_GBC_0623c74612d94076b4e2cf9d7ee2ed47" concept="clcid-pte:CunFangZaiJingWaiDeKuanXiangZongE" label="存放在境外的款项总额" mulRef="_GBC_837f4fb04cac4b8aa6bed7dc457a1486" unitRef="_GBC_6a1d907ad1af44b1a90a92ac03d51b34" addr="T0R5C1S1_1" formatStyle="Comma" appId="_GBC_919482f2d209490ca80fb081aed88b28"/>
      <m:item xlName="_GBC_a42759fecef0496688d88ab3d0db7b50" concept="clcid-pte:CunFangZaiJingWaiDeKuanXiangZongE" label="存放在境外的款项总额" periodRef="本期期初数" mulRef="_GBC_837f4fb04cac4b8aa6bed7dc457a1486" unitRef="_GBC_6a1d907ad1af44b1a90a92ac03d51b34" addr="T0R5C2S1_1" formatStyle="Comma" appId="_GBC_919482f2d209490ca80fb081aed88b28"/>
      <m:item xlName="_GBC_672a863055084dfabbc1ba40f04a68b4" concept="clcid-pte:HuoBiZiJinDeShuoMing" label="货币资金的说明" appId="_GBC_919482f2d209490ca80fb081aed88b28"/>
    </m:section>
    <m:section xlName="_SEC_01904024df9944b092034293cedff1b0" title="交易性金融资产" helpId="112001041">
      <m:item xlName="_GBC_11d582474c724741b6bb067e7b29fffd" concept="clcid-ci-ar:ShiFouShiYongJiaoYiXingJinRongZiChan" label="是否适用：交易性金融资产" selectOptions="_buildInAppliance" controlType="CustomCheckbox" cRanges="[{&quot;StartName&quot;:&quot;_GBC_11d582474c724741b6bb067e7b29fffd&quot;,&quot;EndName&quot;:&quot;_GBC_7716d50aa4ca46fe928f4f87114b2be1&quot;,&quot;CType&quot;:1}]"/>
      <m:item xlName="_GBC_b2d7dc3f69444771a448a311594f8279" concept="clcid-ci-ar:DanWeiCaiWuFuZhuJiaoYiXingJinRongZiChan" label="单位：财务附注：交易性金融资产" selectOptions="_buildInScales" controlType="Combobox" cellType="Scale" appId="_GBC_11d582474c724741b6bb067e7b29fffd"/>
      <m:item xlName="_GBC_88b9006e3e174b8c8076810e5fb1dcc8" concept="clcid-ci-ar:BiZhongCaiWuFuZhuJiaoYiXingJinRongZiChan" label="币种：财务附注：交易性金融资产" selectOptions="_buildInISO4217" controlType="Combobox" cellType="Measure" appId="_GBC_11d582474c724741b6bb067e7b29fffd"/>
      <m:placeholder xlName="_PLD_180b3e7393aa4b579f23eb84c4a7f3d2" addr="T0R0C0S1_1"/>
      <m:placeholder xlName="_PLD_3c39d37503a349249c106423bdc13d7f" addr="T0R0C1S1_1"/>
      <m:placeholder xlName="_PLD_d428152cd6a04122a794515fe299ca7f" addr="T0R0C2S1_1"/>
      <m:placeholder xlName="_PLD_43a852b8fe8245cfab7ad57443d101bd" addr="T0R1C0S1_1"/>
      <m:item xlName="_GBC_089475bc351d4ce1a54950edc3cd31fb" concept="clcid-pte:JiaoYiXingJinRongZiChanZhongYiGongYunJiaZhiJiLiangQieQiBianDongJiRuDangQiSunYiDeJinRongZiChan" label="交易性金融资产中以公允价值计量且其变动计入当期损益的金融资产" mulRef="_GBC_b2d7dc3f69444771a448a311594f8279" unitRef="_GBC_88b9006e3e174b8c8076810e5fb1dcc8" addr="T0R1C1S1_1" formatStyle="Comma" appId="_GBC_11d582474c724741b6bb067e7b29fffd">
        <m:complexRule comparator="Eq" title="交易性金融资产中以公允价值计量且其变动计入当期损益的金融资产" id="C5f9e7ae3031d4005baa9a01d6c6386b7"/>
      </m:item>
      <m:item xlName="_GBC_5d0fdf600a0744c4bece01494e9a17f8" concept="clcid-pte:JiaoYiXingJinRongZiChanZhongYiGongYunJiaZhiJiLiangQieQiBianDongJiRuDangQiSunYiDeJinRongZiChan" label="交易性金融资产中以公允价值计量且其变动计入当期损益的金融资产" periodRef="本期期初数" mulRef="_GBC_b2d7dc3f69444771a448a311594f8279" unitRef="_GBC_88b9006e3e174b8c8076810e5fb1dcc8" addr="T0R1C2S1_1" formatStyle="Comma" appId="_GBC_11d582474c724741b6bb067e7b29fffd"/>
      <m:placeholder xlName="_PLD_3c173ac5b41e4bf58ef2c9e0d063380f" addr="T0R2C0S1_3"/>
      <m:tuple xlName="_TUP_341bdf9f88e5440c90904d1eb6d01724" concept="clcid-pte:JiaoYiXingJinRongZiChanZhongYiGongYunJiaZhiJiLiangQieQiBianDongJiRuDangQiSunYiDeJinRongZiChanMingXi" default_row="2" addr="T0R3C">
        <m:item xlName="_GBC_1c003f8b56bf4922b754efa4d634cd67" concept="clcid-pte:JiaoYiXingJinRongZiChanZhongYiGongYunJiaZhiJiLiangQieQiBianDongJiRuDangQiSunYiDeJinRongZiChanMingXiXiangMu" label="交易性金融资产中以公允价值计量且其变动计入当期损益的金融资产明细-项目" unitRef="_GBC_88b9006e3e174b8c8076810e5fb1dcc8" addr="T0R3C0S1_1" appId="_GBC_11d582474c724741b6bb067e7b29fffd"/>
        <m:item xlName="_GBC_a0e980b6b8ef405a9ec761193e09c856" concept="clcid-pte:JiaoYiXingJinRongZiChanZhongYiGongYunJiaZhiJiLiangQieQiBianDongJiRuDangQiSunYiDeJinRongZiChanMingXiFaShengE" label="交易性金融资产中以公允价值计量且其变动计入当期损益的金融资产明细-发生额" mulRef="_GBC_b2d7dc3f69444771a448a311594f8279" unitRef="_GBC_88b9006e3e174b8c8076810e5fb1dcc8" addr="T0R3C1S1_1" formatStyle="Comma" appId="_GBC_11d582474c724741b6bb067e7b29fffd"/>
        <m:item xlName="_GBC_5cbf8e83769c4c8d8c3df81763dbf3a9" concept="clcid-pte:JiaoYiXingJinRongZiChanZhongYiGongYunJiaZhiJiLiangQieQiBianDongJiRuDangQiSunYiDeJinRongZiChanMingXiFaShengE" label="交易性金融资产中以公允价值计量且其变动计入当期损益的金融资产明细-发生额" periodRef="本期期初数" mulRef="_GBC_b2d7dc3f69444771a448a311594f8279" unitRef="_GBC_88b9006e3e174b8c8076810e5fb1dcc8" addr="T0R3C2S1_1" formatStyle="Comma" appId="_GBC_11d582474c724741b6bb067e7b29fffd"/>
      </m:tuple>
      <m:placeholder xlName="_PLD_9e6f2b0aa18a4f4cb5f0852025201dfc" addr="T0R5C0S1_1"/>
      <m:item xlName="_GBC_028d6fe45f74426a9b824de9fa531d9a" concept="clcid-pte:ZhiDingWeiYiGongYunJiaZhiJiLiangQieQiBianDongJiRuDangQiSunYiDeJinRongZiChan" label="指定为以公允价值计量且其变动计入当期损益的金融资产" mulRef="_GBC_b2d7dc3f69444771a448a311594f8279" unitRef="_GBC_88b9006e3e174b8c8076810e5fb1dcc8" addr="T0R5C1S1_1" formatStyle="Comma" appId="_GBC_11d582474c724741b6bb067e7b29fffd"/>
      <m:item xlName="_GBC_048eacd1f37c4beaaa347fe29a7b8673" concept="clcid-pte:ZhiDingWeiYiGongYunJiaZhiJiLiangQieQiBianDongJiRuDangQiSunYiDeJinRongZiChan" label="指定为以公允价值计量且其变动计入当期损益的金融资产" periodRef="本期期初数" mulRef="_GBC_b2d7dc3f69444771a448a311594f8279" unitRef="_GBC_88b9006e3e174b8c8076810e5fb1dcc8" addr="T0R5C2S1_1" formatStyle="Comma" appId="_GBC_11d582474c724741b6bb067e7b29fffd"/>
      <m:placeholder xlName="_PLD_bd981a7cc7b34c579b38eb2398d385ef" addr="T0R6C0S1_3"/>
      <m:tuple xlName="_TUP_b9dc744bb8d94c30a883c75ab1b55ed5" concept="clcid-pte:ZhiDingWeiYiGongYunJiaZhiJiLiangQieQiBianDongJiRuDangQiSunYiDeJinRongZiChanMingXi" default_row="2" addr="T0R7C">
        <m:item xlName="_GBC_3beaf4167b9f4c558018b45947fed5c2" concept="clcid-pte:ZhiDingWeiYiGongYunJiaZhiJiLiangQieQiBianDongJiRuDangQiSunYiDeJinRongZiChanMingXiXiangMu" label="指定为以公允价值计量且其变动计入当期损益的金融资产明细-项目" unitRef="_GBC_88b9006e3e174b8c8076810e5fb1dcc8" addr="T0R7C0S1_1" appId="_GBC_11d582474c724741b6bb067e7b29fffd"/>
        <m:item xlName="_GBC_9c5f7ff9aa0a4869bd9b4c7b1d46cc63" concept="clcid-pte:ZhiDingWeiYiGongYunJiaZhiJiLiangQieQiBianDongJiRuDangQiSunYiDeJinRongZiChanMingXiGongYunJiaZhi" label="指定为以公允价值计量且其变动计入当期损益的金融资产明细-公允价值" mulRef="_GBC_b2d7dc3f69444771a448a311594f8279" unitRef="_GBC_88b9006e3e174b8c8076810e5fb1dcc8" addr="T0R7C1S1_1" formatStyle="Comma" appId="_GBC_11d582474c724741b6bb067e7b29fffd"/>
        <m:item xlName="_GBC_6d66c3abda2c4f5b916c5c1c050604c5" concept="clcid-pte:ZhiDingWeiYiGongYunJiaZhiJiLiangQieQiBianDongJiRuDangQiSunYiDeJinRongZiChanMingXiGongYunJiaZhi" label="指定为以公允价值计量且其变动计入当期损益的金融资产明细-公允价值" periodRef="本期期初数" mulRef="_GBC_b2d7dc3f69444771a448a311594f8279" unitRef="_GBC_88b9006e3e174b8c8076810e5fb1dcc8" addr="T0R7C2S1_1" formatStyle="Comma" appId="_GBC_11d582474c724741b6bb067e7b29fffd"/>
      </m:tuple>
      <m:placeholder xlName="_PLD_b70930027e2847d98ef556a409fe079a" addr="T0R9C0S1_1"/>
      <m:item xlName="_GBC_c6d694f212c54b8faf47000252adf2f0" concept="clcid-pte:JiaoYiXingJinRongZiChan" label="交易性金融资产" mulRef="_GBC_b2d7dc3f69444771a448a311594f8279" unitRef="_GBC_88b9006e3e174b8c8076810e5fb1dcc8" addr="T0R9C1S1_1" formatStyle="Comma" appId="_GBC_11d582474c724741b6bb067e7b29fffd">
        <m:complexRule comparator="Eq" title="交易性金融资产" test=" $_GBC_089475bc351d4ce1a54950edc3cd31fb +  $_GBC_028d6fe45f74426a9b824de9fa531d9a" id="Ccb1da0f0e8d04c1885dd9e2c0b2c6fbf"/>
      </m:item>
      <m:item xlName="_GBC_a12a59405e984d7780822097cec06090" concept="clcid-pte:JiaoYiXingJinRongZiChan" label="交易性金融资产" periodRef="本期期初数" mulRef="_GBC_b2d7dc3f69444771a448a311594f8279" unitRef="_GBC_88b9006e3e174b8c8076810e5fb1dcc8" addr="T0R9C2S1_1" formatStyle="Comma" appId="_GBC_11d582474c724741b6bb067e7b29fffd">
        <m:complexRule comparator="Eq" title="交易性金融资产@本期期初数" test=" $_GBC_5d0fdf600a0744c4bece01494e9a17f8 +  $_GBC_048eacd1f37c4beaaa347fe29a7b8673" id="C8d27424f3b39405295d983e076417f90"/>
      </m:item>
      <m:item xlName="_GBC_b60651a640d94b5c8581bfe4f49d2891" concept="clcid-ci-ar:ShiFouShiYongJiaoYiXingJinRongZiChanDeShuoMing" label="是否适用：交易性金融资产的说明" selectOptions="_buildInAppliance" controlType="CustomCheckbox" cRanges="[{&quot;StartName&quot;:&quot;_GBC_b60651a640d94b5c8581bfe4f49d2891&quot;,&quot;EndName&quot;:&quot;_GBC_7716d50aa4ca46fe928f4f87114b2be1&quot;,&quot;CType&quot;:1}]"/>
      <m:item xlName="_GBC_7716d50aa4ca46fe928f4f87114b2be1" concept="clcid-pte:JiaoYiXingJinRongZiChanDeShuoMing" label="交易性金融资产的说明" appId="_GBC_b60651a640d94b5c8581bfe4f49d2891"/>
    </m:section>
    <m:section xlName="_GBC_bc314407a9a14c2f8b2b5368638e0a51" title="衍生金融资产" helpId="112001042" helpText="注：说明衍生金融工具形成原因以及相关会计处理等。">
      <m:item xlName="_GBC_7f1559f8ac9a442b81c5479563d9e8bb" concept="clcid-pte:ShiFouShiYongYanShengJinRongZiChan" label="是否适用：衍生金融资产" selectOptions="_buildInAppliance" controlType="CustomCheckbox" helpText="注：如公司衍生金融工具业务具有重要性的，需单独列示该项目" cRanges="{&quot;StartName&quot;:&quot;_GBC_7f1559f8ac9a442b81c5479563d9e8bb&quot;,&quot;EndName&quot;:&quot;_GBC_574e0631f3b94c10a29a699b15198b9b&quot;,&quot;CType&quot;:1,&quot;DisplayText&quot;:null}"/>
      <m:item xlName="_GBC_3f3bba3bc3e94f2bad1466575bd74c45" concept="clcid-ci-ar:DanWeiCaiWuFuZhuYanShengJinRongZiChan" label="单位：财务附注：衍生金融资产" selectOptions="_buildInScales" controlType="Combobox" cellType="Scale" appId="_GBC_7f1559f8ac9a442b81c5479563d9e8bb"/>
      <m:item xlName="_GBC_0693187441624361847559fb6209fa17" concept="clcid-ci-ar:clcid-ci-ar_BiZhongCaiWuFuZhuYanShengJinRongZiChan" label="币种：财务附注：衍生金融资产" selectOptions="_buildInISO4217" controlType="Combobox" cellType="Measure" appId="_GBC_7f1559f8ac9a442b81c5479563d9e8bb"/>
      <m:placeholder xlName="_PLD_27629e26d33e4925a04d0cf891fa9f30" addr="T0R0C0S1_1"/>
      <m:placeholder xlName="_PLD_7d3f8416c773470486110c09639048f1" addr="T0R0C1S1_1"/>
      <m:placeholder xlName="_PLD_8abf28ff36554c948764632257367582" addr="T0R0C2S1_1"/>
      <m:tuple xlName="_GBC_c048b3c5461b4b8083b422fb43a23ffa" concept="clcid-pte:YanShengJinRongZiChanMingXi" default_row="2" addr="T0R1C">
        <m:item xlName="_GBC_ae638b86626649dab87cecb17c521b7f" concept="clcid-pte:YanShengJinRongZiChanMingXiXiangMuMingCheng" label="衍生金融资产明细-项目名称" addr="T0R1C0S1_1" appId="_GBC_7f1559f8ac9a442b81c5479563d9e8bb"/>
        <m:item xlName="_GBC_36ca9bd38aee4589a6f292b63a716be2" concept="clcid-pte:YanShengJinRongZiChanMingXiJinE" label="衍生金融资产明细-金额" mulRef="_GBC_3f3bba3bc3e94f2bad1466575bd74c45" unitRef="_GBC_0693187441624361847559fb6209fa17" addr="T0R1C1S1_1" formatStyle="Comma" appId="_GBC_7f1559f8ac9a442b81c5479563d9e8bb"/>
        <m:item xlName="_GBC_6c9761df2bdb489ebb3f9a2fe6cd1471" concept="clcid-pte:YanShengJinRongZiChanMingXiJinE" label="衍生金融资产明细-金额" periodRef="本期期初数" mulRef="_GBC_3f3bba3bc3e94f2bad1466575bd74c45" unitRef="_GBC_0693187441624361847559fb6209fa17" addr="T0R1C2S1_1" formatStyle="Comma" appId="_GBC_7f1559f8ac9a442b81c5479563d9e8bb"/>
      </m:tuple>
      <m:placeholder xlName="_PLD_cf40f94f58c44b1c8c12c5d75ba72d4c" addr="T0R3C0S1_1"/>
      <m:item xlName="_GBC_633c51e5e4a8424f95eedf5cf6038895" concept="clcid-pte:YanShengJinRongZiChan" label="衍生金融资产" mulRef="_GBC_3f3bba3bc3e94f2bad1466575bd74c45" unitRef="_GBC_0693187441624361847559fb6209fa17" addr="T0R3C1S1_1" formatStyle="Comma" appId="_GBC_7f1559f8ac9a442b81c5479563d9e8bb">
        <m:complexRule comparator="Eq" title="衍生金融资产" test=" $_GBC_36ca9bd38aee4589a6f292b63a716be2" id="Ce4085fa59d084f6ca4ef8b6397a8f462"/>
      </m:item>
      <m:item xlName="_GBC_36e6cb9161224f04a83f48b2f1ea0eb0" concept="clcid-pte:YanShengJinRongZiChan" label="衍生金融资产" periodRef="本期期初数" mulRef="_GBC_3f3bba3bc3e94f2bad1466575bd74c45" unitRef="_GBC_0693187441624361847559fb6209fa17" addr="T0R3C2S1_1" formatStyle="Comma" appId="_GBC_7f1559f8ac9a442b81c5479563d9e8bb">
        <m:complexRule comparator="Eq" title="衍生金融资产@本期期初数" test=" $_GBC_6c9761df2bdb489ebb3f9a2fe6cd1471" id="C62c1f363f67b4a2cb8ae022e98b63e6c"/>
      </m:item>
      <m:item xlName="_GBC_574e0631f3b94c10a29a699b15198b9b" concept="clcid-pte:YanShengJinRongZiChanDeQiTaShuoMing" label="衍生金融资产的其他说明" appId="_GBC_7f1559f8ac9a442b81c5479563d9e8bb"/>
    </m:section>
    <m:section xlName="_GBC_c1ce1fc5bd0f42bca82cd02f3a6b623f" title="应收票据分类" rules="R2015_R11_003" convertSummaryRule="NoConvert" helpId="112001044">
      <m:item xlName="_GBC_3c32a2809ab3476a93b88a8155fb0be8" concept="clcid-ci-ar:ShiFouShiYongYingShouPiaoJuFenLeiLieShi" label="是否适用：应收票据分类列示" selectOptions="_buildInAppliance" controlType="CustomCheckbox" cRanges="{&quot;StartName&quot;:&quot;_GBC_3c32a2809ab3476a93b88a8155fb0be8&quot;,&quot;EndName&quot;:&quot;_GBC_2cdf7f8c9ed1456b8f1c9d2b4531620f&quot;,&quot;CType&quot;:1,&quot;DisplayText&quot;:null}"/>
      <m:item xlName="_GBC_21d6ba5a9ccb41d7aee707ba343741db" concept="clcid-ci-ar:DanWeiCaiWuFuZhuYingShouPiaoJuFenLei" label="单位：财务附注：应收票据分类" selectOptions="_buildInScales" controlType="Combobox" cellType="Scale" appId="_GBC_3c32a2809ab3476a93b88a8155fb0be8"/>
      <m:item xlName="_GBC_08bc82a26735413f8516c3d080579822" concept="clcid-ci-ar:BiZhongCaiWuFuZhuYingShouPiaoJuFenLei" label="币种：财务附注：应收票据分类" selectOptions="_buildInISO4217" controlType="Combobox" cellType="Measure" appId="_GBC_3c32a2809ab3476a93b88a8155fb0be8"/>
      <m:placeholder xlName="_PLD_a48e9b652e5b48b08b05dc5f5dba5744" addr="T0R0C0S1_1"/>
      <m:placeholder xlName="_PLD_c6664062fcf84681af8b24fee4722ae5" addr="T0R0C1S1_1"/>
      <m:placeholder xlName="_PLD_7d93c99ec70e48ac985c37b2b3046178" addr="T0R0C2S1_1"/>
      <m:placeholder xlName="_PLD_eccbe8be962b4f1497dbb55db8b28215" addr="T0R1C0S1_1"/>
      <m:item xlName="_GBC_5cde6ebdff6e404891e94bdf553c99e9" concept="clcid-pte:YinXingChengDuiPiaoJu" label="银行承兑票据" mulRef="_GBC_21d6ba5a9ccb41d7aee707ba343741db" unitRef="_GBC_08bc82a26735413f8516c3d080579822" addr="T0R1C1S1_1" formatStyle="Comma" appId="_GBC_3c32a2809ab3476a93b88a8155fb0be8"/>
      <m:item xlName="_GBC_ed15c19bbd414378bf1ef0cdc0d31129" concept="clcid-pte:YinXingChengDuiPiaoJu" label="银行承兑票据" periodRef="本期期初数" mulRef="_GBC_21d6ba5a9ccb41d7aee707ba343741db" unitRef="_GBC_08bc82a26735413f8516c3d080579822" addr="T0R1C2S1_1" formatStyle="Comma" appId="_GBC_3c32a2809ab3476a93b88a8155fb0be8"/>
      <m:placeholder xlName="_PLD_6fc58c64e5c245528e438ae644ab059a" addr="T0R2C0S1_1"/>
      <m:item xlName="_GBC_c0aabf907a374f5ba11465d31e7446c2" concept="clcid-pte:ShangYeChengDuiPiaoJu" label="商业承兑票据" mulRef="_GBC_21d6ba5a9ccb41d7aee707ba343741db" unitRef="_GBC_08bc82a26735413f8516c3d080579822" addr="T0R2C1S1_1" formatStyle="Comma" appId="_GBC_3c32a2809ab3476a93b88a8155fb0be8"/>
      <m:item xlName="_GBC_50ce2bd858374e59b8e3ff33295f7760" concept="clcid-pte:ShangYeChengDuiPiaoJu" label="商业承兑票据" periodRef="本期期初数" mulRef="_GBC_21d6ba5a9ccb41d7aee707ba343741db" unitRef="_GBC_08bc82a26735413f8516c3d080579822" addr="T0R2C2S1_1" formatStyle="Comma" appId="_GBC_3c32a2809ab3476a93b88a8155fb0be8"/>
      <m:tuple xlName="_GBC_4de34716e24c4574bcd2daf82d6da224" concept="clcid-pte:YingShouPiaoJuMingXi" default_row="2" addr="T0R3C">
        <m:item xlName="_GBC_145eba4a78ab4b5d85467cc74165ab31" concept="clcid-pte:YingShouPiaoJuXiangMu" label="应收票据项目" addr="T0R3C0S1_1" appId="_GBC_3c32a2809ab3476a93b88a8155fb0be8"/>
        <m:item xlName="_GBC_5a9ba3bcee7a4b8e9ec8c43a8a9d64da" concept="clcid-pte:YingShouPiaoJuJinE" label="应收票据金额" mulRef="_GBC_21d6ba5a9ccb41d7aee707ba343741db" unitRef="_GBC_08bc82a26735413f8516c3d080579822" addr="T0R3C1S1_1" formatStyle="Comma" appId="_GBC_3c32a2809ab3476a93b88a8155fb0be8"/>
        <m:item xlName="_GBC_9213edb2a2f14f1199f883e0020bbb79" concept="clcid-pte:YingShouPiaoJuJinE" label="应收票据金额" periodRef="本期期初数" mulRef="_GBC_21d6ba5a9ccb41d7aee707ba343741db" unitRef="_GBC_08bc82a26735413f8516c3d080579822" addr="T0R3C2S1_1" formatStyle="Comma" appId="_GBC_3c32a2809ab3476a93b88a8155fb0be8"/>
      </m:tuple>
      <m:placeholder xlName="_PLD_27fe84ac868644fa846c5f158e59921c" addr="T0R5C0S1_1"/>
      <m:item xlName="_GBC_153559f0032046a49c426e9b90d435a6" concept="clcid-pte:YingShouPiaoJu" label="应收票据" mulRef="_GBC_21d6ba5a9ccb41d7aee707ba343741db" unitRef="_GBC_08bc82a26735413f8516c3d080579822" addr="T0R5C1S1_1" formatStyle="Comma" appId="_GBC_3c32a2809ab3476a93b88a8155fb0be8">
        <m:complexRule comparator="Eq" title="应收票据" test=" $_GBC_5cde6ebdff6e404891e94bdf553c99e9 +  $_GBC_c0aabf907a374f5ba11465d31e7446c2 +  $_GBC_5a9ba3bcee7a4b8e9ec8c43a8a9d64da" id="C19f32a355837493cbd7538f4629582b5"/>
      </m:item>
      <m:item xlName="_GBC_2cdf7f8c9ed1456b8f1c9d2b4531620f" concept="clcid-pte:YingShouPiaoJu" label="应收票据" periodRef="本期期初数" mulRef="_GBC_21d6ba5a9ccb41d7aee707ba343741db" unitRef="_GBC_08bc82a26735413f8516c3d080579822" addr="T0R5C2S1_1" formatStyle="Comma" appId="_GBC_3c32a2809ab3476a93b88a8155fb0be8">
        <m:complexRule comparator="Eq" title="应收票据@本期期初数" test=" $_GBC_ed15c19bbd414378bf1ef0cdc0d31129 +  $_GBC_50ce2bd858374e59b8e3ff33295f7760 +  $_GBC_9213edb2a2f14f1199f883e0020bbb79" id="Cddea97326df444a7bce4d8b6c162a12f"/>
      </m:item>
    </m:section>
    <m:section xlName="_GBC_8fdb3f7098324d0d8b9f6e395abf9009" title="期末公司已质押的应收票据情况" rules="R2015_R11_003" convertSummaryRule="NoConvert" helpId="112001044">
      <m:item xlName="_GBC_3440ef2908e64e51a440106bfa389257" concept="clcid-ci-ar:ShiFouShiYongQiMoGongSiYiZhiYaDeYingShouPiaoJu" label="是否适用：期末公司已质押的应收票据" selectOptions="_buildInAppliance" controlType="CustomCheckbox" cRanges="{&quot;StartName&quot;:&quot;_GBC_3440ef2908e64e51a440106bfa389257&quot;,&quot;EndName&quot;:&quot;_GBC_7d3335a7e13441b9b58274d14e9f3252&quot;,&quot;CType&quot;:1,&quot;DisplayText&quot;:null}"/>
      <m:item xlName="_GBC_dcf6bfd8190844578c54da0afbe3f0bd" concept="clcid-ci-ar:DanWeiCaiWuFuZhuQiMoGongSiYiDiYaDeYingShouPiaoJuQingKuang" label="单位：财务附注：期末公司已抵押的应收票据情况" selectOptions="_buildInScales" controlType="Combobox" cellType="Scale" appId="_GBC_3440ef2908e64e51a440106bfa389257"/>
      <m:item xlName="_GBC_a0246d48f23242afb5a5f90d1baf4d3c" concept="clcid-ci-ar:BiZhongCaiWuFuZhuQiMoGongSiYiDiYaDeYingShouPiaoJuQingKuang" label="币种：财务附注：期末公司已抵押的应收票据情况" selectOptions="_buildInISO4217" controlType="Combobox" cellType="Measure" appId="_GBC_3440ef2908e64e51a440106bfa389257"/>
      <m:placeholder xlName="_PLD_73be9a4514724b05b463de2cb5f300bc" addr="T0R0C0S1_1"/>
      <m:placeholder xlName="_PLD_24264768d1db4569925aabf73c99ba82" addr="T0R0C1S1_1"/>
      <m:placeholder xlName="_PLD_8f27926b94c24b42bbab7299c2b62750" addr="T0R1C0S1_1"/>
      <m:item xlName="_GBC_e08f8b10412142b18d212d1b58471c54" concept="clcid-pte:YinXingChengDuiPiaoJuYiZhiYaJinE" label="银行承兑票据已质押金额" mulRef="_GBC_dcf6bfd8190844578c54da0afbe3f0bd" unitRef="_GBC_a0246d48f23242afb5a5f90d1baf4d3c" addr="T0R1C1S1_1" formatStyle="Comma" appId="_GBC_3440ef2908e64e51a440106bfa389257"/>
      <m:placeholder xlName="_PLD_a6522298a33c416081a771553fbed0ac" addr="T0R2C0S1_1"/>
      <m:item xlName="_GBC_e12b1be83a044c7ab22df78bd6b16507" concept="clcid-pte:ShangYeChengDuiPiaoJuYiZhiYaJinE" label="商业承兑票据已质押金额" mulRef="_GBC_dcf6bfd8190844578c54da0afbe3f0bd" unitRef="_GBC_a0246d48f23242afb5a5f90d1baf4d3c" addr="T0R2C1S1_1" formatStyle="Comma" appId="_GBC_3440ef2908e64e51a440106bfa389257"/>
      <m:tuple xlName="_GBC_9d1e31d9116c4a56b64883f00f3c827d" concept="clcid-pte:QiMoGongSiYiDiYaDeYingShouPiaoJuMingXi" default_row="2" addr="T0R3C">
        <m:item xlName="_GBC_69a674e02fad4df0a38048af592b8c5b" concept="clcid-pte:QiMoGongSiYiDiYaDeYingShouPiaoJuChuPiaoDanWei" label="期末公司已抵押的应收票据出票单位" addr="T0R3C0S1_1" appId="_GBC_3440ef2908e64e51a440106bfa389257"/>
        <m:item xlName="_GBC_803ba64615a24f07a93ee184bdfe1e25" concept="clcid-pte:QiMoGongSiYiDiYaDeYingShouPiaoJuJinE" label="期末公司已抵押的应收票据金额" mulRef="_GBC_dcf6bfd8190844578c54da0afbe3f0bd" unitRef="_GBC_a0246d48f23242afb5a5f90d1baf4d3c" addr="T0R3C1S1_1" formatStyle="Comma" appId="_GBC_3440ef2908e64e51a440106bfa389257"/>
      </m:tuple>
      <m:placeholder xlName="_PLD_a9872261850e4d489bb8b0b488147da2" addr="T0R5C0S1_1"/>
      <m:item xlName="_GBC_7d3335a7e13441b9b58274d14e9f3252" concept="clcid-pte:QiMoGongSiYiZhiYaDeYingShouPiaoJuJinEHeJi" label="期末公司已质押的应收票据金额合计" mulRef="_GBC_dcf6bfd8190844578c54da0afbe3f0bd" unitRef="_GBC_a0246d48f23242afb5a5f90d1baf4d3c" addr="T0R5C1S1_1" formatStyle="Comma" appId="_GBC_3440ef2908e64e51a440106bfa389257">
        <m:complexRule comparator="Eq" title="期末公司已质押的应收票据金额合计" test=" $_GBC_e08f8b10412142b18d212d1b58471c54 +  $_GBC_e12b1be83a044c7ab22df78bd6b16507 +  $_GBC_803ba64615a24f07a93ee184bdfe1e25" id="C59096d8e6b1a4a959bb7edf4194974a2"/>
      </m:item>
    </m:section>
    <m:section xlName="_GBC_d0a9833415574c7baa9ef176fea05ecf" title="因出票人无力履约而将票据转为应收账款的票据，以及期末已背书未到期票据" rules="R2015_R11_003" convertSummaryRule="NoConvert" helpId="112001044">
      <m:item xlName="_GBC_d04f4c30d18f498d986ce6c934ec761c" concept="clcid-ci-ar:ShiFouShiYongQiMoGongSiYiBeiShuHuoTieXianQieZaiZiChanFuZhaiBiaoRiShangWeiDaoQiDeYingShouPiaoJu" label="是否适用：期末公司已背书或贴现且在资产负债表日尚未到期的应收票据" selectOptions="_buildInAppliance" controlType="CustomCheckbox" cRanges="{&quot;StartName&quot;:&quot;_GBC_d04f4c30d18f498d986ce6c934ec761c&quot;,&quot;EndName&quot;:&quot;_GBC_76ae9802499f49a8979ffc6875d2f732&quot;,&quot;CType&quot;:1,&quot;DisplayText&quot;:null}"/>
      <m:item xlName="_GBC_1a006471fd2344fca1e27a6484895b0f" concept="clcid-ci-ar:DanWeiCaiWuFuZhuQiMoGongSiYiBeiShuHuoTieXianQieZaiZiChanFuZhaiBiaoRiShangWeiDaoQiDeYingShouPiaoJu" label="单位：财务附注：期末公司已背书或贴现且在资产负债表日尚未到期的应收票据" selectOptions="_buildInScales" controlType="Combobox" cellType="Scale" appId="_GBC_d04f4c30d18f498d986ce6c934ec761c"/>
      <m:item xlName="_GBC_394a26f35e05433d88a516241a51f5ba" concept="clcid-ci-ar:BiZhongCaiWuFuZhuQiMoGongSiYiBeiShuHuoTieXianQieZaiZiChanFuZhaiBiaoRiShangWeiDaoQiDeYingShouPiaoJu" label="币种：财务附注：期末公司已背书或贴现且在资产负债表日尚未到期的应收票据" selectOptions="_buildInISO4217" controlType="Combobox" cellType="Measure" appId="_GBC_d04f4c30d18f498d986ce6c934ec761c"/>
      <m:placeholder xlName="_PLD_7f8eb653a3a24ed29cc795bb9a08fb8e" addr="T0R0C0S1_1"/>
      <m:placeholder xlName="_PLD_96af9fcfe145402ea8d401a1f6c0d081" addr="T0R0C1S1_1"/>
      <m:placeholder xlName="_PLD_2efea7e570304a7e9fb54f87b3247807" addr="T0R0C2S1_1"/>
      <m:placeholder xlName="_PLD_cac37b72ff744837a73dde57c7667850" addr="T0R1C0S1_1"/>
      <m:item xlName="_GBC_88e24bcf401841d2906cfaadf7ec9895" concept="clcid-pte:GongSiYiBeiShuHuoTieXianQieZaiZiChanFuZhaiBiaoRiShangWeiDaoQiDeYingShouPiaoJuYinHangChengDuiPiaoJuQiMoZhongZhiQueRenJinE" label="公司已背书或贴现且在资产负债表日尚未到期的应收票据-银行承兑票据期末终止确认金额" mulRef="_GBC_1a006471fd2344fca1e27a6484895b0f" unitRef="_GBC_394a26f35e05433d88a516241a51f5ba" addr="T0R1C1S1_1" formatStyle="Comma" appId="_GBC_d04f4c30d18f498d986ce6c934ec761c"/>
      <m:item xlName="_GBC_21b640edb4d2433bae3f663cab81aa6c" concept="clcid-pte:GongSiYiBeiShuHuoTieXianQieZaiZiChanFuZhaiBiaoRiShangWeiDaoQiDeYingShouPiaoJuYinHangChengDuiPiaoJuQiMoWeiZhongZhiQueRenJinE" label="公司已背书或贴现且在资产负债表日尚未到期的应收票据-银行承兑票据期末未终止确认金额" mulRef="_GBC_1a006471fd2344fca1e27a6484895b0f" unitRef="_GBC_394a26f35e05433d88a516241a51f5ba" addr="T0R1C2S1_1" formatStyle="Comma" appId="_GBC_d04f4c30d18f498d986ce6c934ec761c"/>
      <m:placeholder xlName="_PLD_57056e05394444c786935252d8a3c35e" addr="T0R2C0S1_1"/>
      <m:item xlName="_GBC_b709380134d64a20a4755e1c374daae6" concept="clcid-pte:GongSiYiBeiShuHuoTieXianQieZaiZiChanFuZhaiBiaoRiShangWeiDaoQiDeYingShouPiaoJuShangYeChengDuiPiaoJuQiMoZhongZhiQueRenJinE" label="公司已背书或贴现且在资产负债表日尚未到期的应收票据-商业承兑票据期末终止确认金额" mulRef="_GBC_1a006471fd2344fca1e27a6484895b0f" unitRef="_GBC_394a26f35e05433d88a516241a51f5ba" addr="T0R2C1S1_1" formatStyle="Comma" appId="_GBC_d04f4c30d18f498d986ce6c934ec761c"/>
      <m:item xlName="_GBC_b1d6937b9c25455cb8b73915927baf93" concept="clcid-pte:GongSiYiBeiShuHuoTieXianQieZaiZiChanFuZhaiBiaoRiShangWeiDaoQiDeYingShouPiaoJuShangYeChengDuiPiaoJuQiMoWeiZhongZhiQueRenJinE" label="公司已背书或贴现且在资产负债表日尚未到期的应收票据-商业承兑票据期末未终止确认金额" mulRef="_GBC_1a006471fd2344fca1e27a6484895b0f" unitRef="_GBC_394a26f35e05433d88a516241a51f5ba" addr="T0R2C2S1_1" formatStyle="Comma" appId="_GBC_d04f4c30d18f498d986ce6c934ec761c"/>
      <m:tuple xlName="_GBC_144521bcfdae44859a355694514eb920" concept="clcid-pte:GongSiYiBeiShuHuoTieXianQieZaiZiChanFuZhaiBiaoRiShangWeiDaoQiDeYingShouPiaoJuMingXi" default_row="2" addr="T0R3C">
        <m:item xlName="_GBC_e1c36e08c6b5412f8dea81f2e54bcf61" concept="clcid-pte:GongSiYiBeiShuHuoTieXianQieZaiZiChanFuZhaiBiaoRiShangWeiDaoQiDeYingShouPiaoJuMingXiXiangMuMingChen" label="公司已背书或贴现且在资产负债表日尚未到期的应收票据明细-项目名称" addr="T0R3C0S1_1" appId="_GBC_d04f4c30d18f498d986ce6c934ec761c"/>
        <m:item xlName="_GBC_eebe30900c194567851301344ddd5257" concept="clcid-pte:GongSiYiBeiShuHuoTieXianQieZaiZiChanFuZhaiBiaoRiShangWeiDaoQiDeYingShouPiaoJuMingXiQiMoZhongZhiQueRenJinE" label="公司已背书或贴现且在资产负债表日尚未到期的应收票据明细-期末终止确认金额" mulRef="_GBC_1a006471fd2344fca1e27a6484895b0f" unitRef="_GBC_394a26f35e05433d88a516241a51f5ba" addr="T0R3C1S1_1" formatStyle="Comma" appId="_GBC_d04f4c30d18f498d986ce6c934ec761c"/>
        <m:item xlName="_GBC_854baa32fc4e416f9cd5b091b09740a0" concept="clcid-pte:GongSiYiBeiShuHuoTieXianQieZaiZiChanFuZhaiBiaoRiShangWeiDaoQiDeYingShouPiaoJuMingXiQiMoWeiZhongZhiQueRenJinE" label="公司已背书或贴现且在资产负债表日尚未到期的应收票据明细-期末未终止确认金额" mulRef="_GBC_1a006471fd2344fca1e27a6484895b0f" unitRef="_GBC_394a26f35e05433d88a516241a51f5ba" addr="T0R3C2S1_1" formatStyle="Comma" appId="_GBC_d04f4c30d18f498d986ce6c934ec761c"/>
      </m:tuple>
      <m:placeholder xlName="_PLD_fe9a2327d66e4c329946796965b1c500" addr="T0R5C0S1_1"/>
      <m:item xlName="_GBC_08ae1658dece49ca989d5033f482f42f" concept="clcid-pte:GongSiYiBeiShuHuoTieXianQieZaiZiChanFuZhaiBiaoRiShangWeiDaoQiDeYingShouPiaoJuQiMoZhongZhiQueRenJinEHeJi" label="公司已背书或贴现且在资产负债表日尚未到期的应收票据期末终止确认金额合计" mulRef="_GBC_1a006471fd2344fca1e27a6484895b0f" unitRef="_GBC_394a26f35e05433d88a516241a51f5ba" addr="T0R5C1S1_1" formatStyle="Comma" appId="_GBC_d04f4c30d18f498d986ce6c934ec761c">
        <m:complexRule comparator="Eq" title="公司已背书或贴现且在资产负债表日尚未到期的应收票据期末终止确认金额合计" test=" $_GBC_88e24bcf401841d2906cfaadf7ec9895 +  $_GBC_b709380134d64a20a4755e1c374daae6 +  $_GBC_eebe30900c194567851301344ddd5257" id="C07b47d4fbdb2430caadbac9ea4935c60"/>
      </m:item>
      <m:item xlName="_GBC_76ae9802499f49a8979ffc6875d2f732" concept="clcid-pte:GongSiYiBeiShuHuoTieXianQieZaiZiChanFuZhaiBiaoRiShangWeiDaoQiDeYingShouPiaoJuQiMoWeiZhongZhiQueRenJinEHeJi" label="公司已背书或贴现且在资产负债表日尚未到期的应收票据期末未终止确认金额合计" mulRef="_GBC_1a006471fd2344fca1e27a6484895b0f" unitRef="_GBC_394a26f35e05433d88a516241a51f5ba" addr="T0R5C2S1_1" formatStyle="Comma" appId="_GBC_d04f4c30d18f498d986ce6c934ec761c">
        <m:complexRule comparator="Eq" title="公司已背书或贴现且在资产负债表日尚未到期的应收票据期末未终止确认金额合计" test=" $_GBC_21b640edb4d2433bae3f663cab81aa6c +  $_GBC_b1d6937b9c25455cb8b73915927baf93 +  $_GBC_854baa32fc4e416f9cd5b091b09740a0" id="C12e6705c8aba4cffb53248713cbf31d8"/>
      </m:item>
    </m:section>
    <m:section xlName="_GBC_83d7650885dc43898bcaaa7b53608492" title="期末公司因出票人无力履约而将其转为应收账款的票据" rules="R2015_R11_003" helpId="112001044">
      <m:item xlName="_GBC_11366a7f124045f8a578f129009f9b83" concept="clcid-ci-ar:ShiFouShiYongQiMoGongSiYinChuPiaoRenWeiLvYueErJiangQiZhuanYingShouZhangKuanDePiaoJu" label="是否适用：期末公司因出票人未履约而将其转应收账款的票据" selectOptions="_buildInAppliance" controlType="CustomCheckbox" cRanges="{&quot;StartName&quot;:&quot;_GBC_11366a7f124045f8a578f129009f9b83&quot;,&quot;EndName&quot;:&quot;_GBC_c90689050c4747c59fe0c6bf81620b20&quot;,&quot;CType&quot;:1,&quot;DisplayText&quot;:null}"/>
      <m:item xlName="_GBC_c0780da99145482da7e28198808424ed" concept="clcid-ci-ar:DanWeiCaiWuFuZhuQiMoGongSiYinChuPiaoRenWuLiLvYueErJiangQiZhuanWeiYingShouZhangKuanDePiaoJu" label="单位：财务附注：期末公司因出票人无力履约而将其转为应收账款的票据" selectOptions="_buildInScales" controlType="Combobox" cellType="Scale" appId="_GBC_11366a7f124045f8a578f129009f9b83"/>
      <m:item xlName="_GBC_4fe14271ee834f8b95e122614cee36db" concept="clcid-ci-ar:BiZhongCaiWuFuZhuQiMoGongSiYinChuPiaoRenWuLiLvYueErJiangQiZhuanWeiYingShouZhangKuanDePiaoJu" label="币种：财务附注：期末公司因出票人无力履约而将其转为应收账款的票据" selectOptions="_buildInISO4217" controlType="Combobox" cellType="Measure" appId="_GBC_11366a7f124045f8a578f129009f9b83"/>
      <m:placeholder xlName="_PLD_54f324e4d1e84c468038b01803e63be4" addr="T0R0C0S1_1"/>
      <m:placeholder xlName="_PLD_a13dd5a67b5b414c9c8b199aa86fab78" addr="T0R0C1S1_1"/>
      <m:placeholder xlName="_PLD_4b7c02cf40174e8792a86aa54510df33" addr="T0R1C0S1_1"/>
      <m:item xlName="_GBC_5dbb8b7ee6834107976af4c5e22030f1" concept="clcid-pte:GongSiYinChuPiaoRenWuLiLvYueErJiangQiZhuanWeiYingShouZhangKuanDePiaoJuShangYeChengDuiPiaoJuJinE" label="公司因出票人无力履约而将其转为应收账款的票据-商业承兑票据金额" mulRef="_GBC_c0780da99145482da7e28198808424ed" unitRef="_GBC_4fe14271ee834f8b95e122614cee36db" addr="T0R1C1S1_1" formatStyle="Comma" appId="_GBC_11366a7f124045f8a578f129009f9b83"/>
      <m:tuple xlName="_GBC_a1174e172b994eef9507d0872f309232" concept="clcid-pte:GongSiYinChuPiaoRenWuLiLvYueErJiangQiZhuanWeiYingShouZhangKuanDePiaoJuMingXi" default_row="2" addr="T0R2C">
        <m:item xlName="_GBC_37ee87a935524b9a95cf3868f64892bd" concept="clcid-pte:GongSiYinChuPiaoRenWuLiLvYueErJiangQiZhuanWeiYingShouZhangKuanDePiaoJuMingXiXiangMuMingChen" label="公司因出票人无力履约而将其转为应收账款的票据明细-项目名称" addr="T0R2C0S1_1" appId="_GBC_11366a7f124045f8a578f129009f9b83"/>
        <m:item xlName="_GBC_817d61a6137243eca36f3018e99b7f6b" concept="clcid-pte:GongSiYinChuPiaoRenWuLiLvYueErJiangQiZhuanWeiYingShouZhangKuanDePiaoJuMingXiJinE" label="公司因出票人无力履约而将其转为应收账款的票据明细-金额" mulRef="_GBC_c0780da99145482da7e28198808424ed" unitRef="_GBC_4fe14271ee834f8b95e122614cee36db" addr="T0R2C1S1_1" formatStyle="Comma" appId="_GBC_11366a7f124045f8a578f129009f9b83"/>
      </m:tuple>
      <m:placeholder xlName="_PLD_2933a38294f049a59ed88cdac7e6d231" addr="T0R4C0S1_1"/>
      <m:item xlName="_GBC_c90689050c4747c59fe0c6bf81620b20" concept="clcid-pte:GongSiYinChuPiaoRenWuLiLvYueErJiangQiZhuanWeiYingShouZhangKuanDePiaoJuJinEHeJi" label="公司因出票人无力履约而将其转为应收账款的票据金额合计" mulRef="_GBC_c0780da99145482da7e28198808424ed" unitRef="_GBC_4fe14271ee834f8b95e122614cee36db" addr="T0R4C1S1_1" formatStyle="Comma" appId="_GBC_11366a7f124045f8a578f129009f9b83">
        <m:complexRule comparator="Eq" title="公司因出票人无力履约而将其转为应收账款的票据金额合计" test=" $_GBC_5dbb8b7ee6834107976af4c5e22030f1 +  $_GBC_817d61a6137243eca36f3018e99b7f6b" id="Cb81a1c7d9de246e39c7affc56595ba40"/>
      </m:item>
    </m:section>
    <m:item xlName="_GBC_064ae6cf552d47d6abf4ad2b5c55d254" concept="clcid-ci-ar:ShiFouShiYongYingShouPiaoJuAnHuaiZhangJiTiFangFaFenLeiPiLu" label="是否适用：应收票据按坏账计提方法分类披露" selectOptions="_buildInAppliance" controlType="CustomCheckbox" cRanges="[{&quot;StartName&quot;:&quot;_GBC_064ae6cf552d47d6abf4ad2b5c55d254&quot;,&quot;EndName&quot;:&quot;_SEC_23c2684d19314a4d9ea4159cf52284dd&quot;,&quot;CType&quot;:1}]"/>
    <m:section xlName="_SEC_2dc3b0ce015a4b54a67e0a855abb57d7" title="按坏账计提方法分类披露">
      <m:item xlName="_GBC_1ddd4d416c8341618d49da8050568b3a" concept="clcid-ci-ar:DanWeiYingShouPiaoJuAnHuaiZhangJiTiFangFaFenLeiPiLu" label="单位：应收票据按坏账计提方法分类披露" selectOptions="_buildInScales" controlType="Combobox" cellType="Scale" appId="_GBC_064ae6cf552d47d6abf4ad2b5c55d254"/>
      <m:item xlName="_GBC_ee21347c53de4655b7421f9707c0f27c" concept="clcid-ci-ar:BiZhongYingShouPiaoJuAnHuaiZhangJiTiFangFaFenLeiPiLu" label="币种：应收票据按坏账计提方法分类披露" selectOptions="_buildInISO4217" controlType="Combobox" cellType="Measure" appId="_GBC_064ae6cf552d47d6abf4ad2b5c55d254"/>
      <m:placeholder xlName="_PLD_b41ab991b5cb44b284803f0e13680cca" addr="T0R0C0S3_1"/>
      <m:placeholder xlName="_PLD_4250aa21af14465089e9a64950228223" addr="T0R0C1S1_5"/>
      <m:placeholder xlName="_PLD_efdd4dc84ac74beda0c7ce9ee8ac707c" addr="T0R0C6S1_5"/>
      <m:placeholder xlName="_PLD_4d31e977a3b64420aab06ccefa58a768" addr="T0R1C1S1_2"/>
      <m:placeholder xlName="_PLD_ce16034971f3433baf795de55c0fcc02" addr="T0R1C3S1_2"/>
      <m:placeholder xlName="_PLD_13676246dce14cd09ca054f6ed8baa70" addr="T0R1C5S2_1"/>
      <m:placeholder xlName="_PLD_3f5cbfe2ccd14f7a9fa6413579511d78" addr="T0R1C6S1_2"/>
      <m:placeholder xlName="_PLD_063250a22f93425b948b3ffb834d8c5a" addr="T0R1C8S1_2"/>
      <m:placeholder xlName="_PLD_9932dde99a63463ab11a246a2b6129c8" addr="T0R1C10S2_1"/>
      <m:placeholder xlName="_PLD_c0290ae623e744d38ca9b437c3a7f380" addr="T0R2C1S1_1"/>
      <m:placeholder xlName="_PLD_193b3b07b4e0498485bc12534ae975ec" addr="T0R2C2S1_1"/>
      <m:placeholder xlName="_PLD_1f47ced2bea143d39f38cb11c0113cf4" addr="T0R2C3S1_1"/>
      <m:placeholder xlName="_PLD_a23086fe0481444ab724c5dec4a5f19d" addr="T0R2C4S1_1"/>
      <m:placeholder xlName="_PLD_0ebe7a6ebddd49acb12d2e49fbaeb5ef" addr="T0R2C6S1_1"/>
      <m:placeholder xlName="_PLD_f3083b688a88491aaa0236072ce160b8" addr="T0R2C7S1_1"/>
      <m:placeholder xlName="_PLD_1cdb2a199b6d43678bae639c01b9d9cb" addr="T0R2C8S1_1"/>
      <m:placeholder xlName="_PLD_ad76cc2b302a460a8cbeb5e98be19160" addr="T0R2C9S1_1"/>
      <m:placeholder xlName="_PLD_3d5d84fd270044c49211439088db3d30" addr="T0R3C0S1_1"/>
      <m:item xlName="_GBC_3158a56f3f754a61b82d7b85bd78f9ef" concept="clcid-pte:AnDanXiangJiTiHuaiZhangZhunBeiDeYingShouPiaoJuZhangMianYuE" label="按单项计提坏账准备的应收票据账面余额" mulRef="_GBC_1ddd4d416c8341618d49da8050568b3a" unitRef="_GBC_ee21347c53de4655b7421f9707c0f27c" addr="T0R3C1S1_1" formatStyle="Comma" appId="_GBC_064ae6cf552d47d6abf4ad2b5c55d254"/>
      <m:item xlName="_GBC_d69460d6d4294016b2f029587f11f296" concept="clcid-pte:AnDanXiangJiTiHuaiZhangZhunBeiDeYingShouPiaoJuZhangMianYuEBiLi" label="按单项计提坏账准备的应收票据账面余额比例" addr="T0R3C2S1_1" baseScale="0.01" formatStyle="Comma" appId="_GBC_064ae6cf552d47d6abf4ad2b5c55d254"/>
      <m:item xlName="_GBC_379bd0e4684d4d699f29dca19cf56ad4" concept="clcid-pte:AnDanXiangJiTiHuaiZhangZhunBeiDeYingShouPiaoJuHuaiZhangZhunBei" label="按单项计提坏账准备的应收票据坏账准备" mulRef="_GBC_1ddd4d416c8341618d49da8050568b3a" unitRef="_GBC_ee21347c53de4655b7421f9707c0f27c" addr="T0R3C3S1_1" formatStyle="Comma" appId="_GBC_064ae6cf552d47d6abf4ad2b5c55d254"/>
      <m:item xlName="_GBC_96f1d46fa63f4d2497c09666a539eac9" concept="clcid-pte:AnDanXiangJiTiHuaiZhangZhunBeiDeYingShouPiaoJuHuaiZhangZhunBeiJiTiBiLi" label="按单项计提坏账准备的应收票据坏账准备计提比例" addr="T0R3C4S1_1" baseScale="0.01" formatStyle="Comma" appId="_GBC_064ae6cf552d47d6abf4ad2b5c55d254"/>
      <m:item xlName="_GBC_1b4cbf968f8946b7b550fe1b8d01db4a" concept="clcid-pte:AnDanXiangJiTiHuaiZhangZhunBeiDeYingShouPiaoJuZhangMianJiaZhi" label="按单项计提坏账准备的应收票据账面价值" mulRef="_GBC_1ddd4d416c8341618d49da8050568b3a" unitRef="_GBC_ee21347c53de4655b7421f9707c0f27c" addr="T0R3C5S1_1" formatStyle="Comma" appId="_GBC_064ae6cf552d47d6abf4ad2b5c55d254"/>
      <m:item xlName="_GBC_2e2e1bf5f8b14a5192c2a77e427034bd" concept="clcid-pte:AnDanXiangJiTiHuaiZhangZhunBeiDeYingShouPiaoJuZhangMianYuE" label="按单项计提坏账准备的应收票据账面余额" periodRef="本期期初数" mulRef="_GBC_1ddd4d416c8341618d49da8050568b3a" unitRef="_GBC_ee21347c53de4655b7421f9707c0f27c" addr="T0R3C6S1_1" formatStyle="Comma" appId="_GBC_064ae6cf552d47d6abf4ad2b5c55d254"/>
      <m:item xlName="_GBC_ee080f447d8f4d50b939daf7d6f61c47" concept="clcid-pte:AnDanXiangJiTiHuaiZhangZhunBeiDeYingShouPiaoJuZhangMianYuEBiLi" label="按单项计提坏账准备的应收票据账面余额比例" periodRef="本期期初数" addr="T0R3C7S1_1" baseScale="0.01" formatStyle="Comma" appId="_GBC_064ae6cf552d47d6abf4ad2b5c55d254"/>
      <m:item xlName="_GBC_3113895bd71a4151a86bc1d5e8f19ecd" concept="clcid-pte:AnDanXiangJiTiHuaiZhangZhunBeiDeYingShouPiaoJuHuaiZhangZhunBei" label="按单项计提坏账准备的应收票据坏账准备" periodRef="本期期初数" mulRef="_GBC_1ddd4d416c8341618d49da8050568b3a" unitRef="_GBC_ee21347c53de4655b7421f9707c0f27c" addr="T0R3C8S1_1" formatStyle="Comma" appId="_GBC_064ae6cf552d47d6abf4ad2b5c55d254"/>
      <m:item xlName="_GBC_b4e0a5f3065c49bf962b85972ba0b8ed" concept="clcid-pte:AnDanXiangJiTiHuaiZhangZhunBeiDeYingShouPiaoJuHuaiZhangZhunBeiJiTiBiLi" label="按单项计提坏账准备的应收票据坏账准备计提比例" periodRef="本期期初数" addr="T0R3C9S1_1" baseScale="0.01" formatStyle="Comma" appId="_GBC_064ae6cf552d47d6abf4ad2b5c55d254"/>
      <m:item xlName="_GBC_efb52f0fe53647228289a8e1cf3c5a8d" concept="clcid-pte:AnDanXiangJiTiHuaiZhangZhunBeiDeYingShouPiaoJuZhangMianJiaZhi" label="按单项计提坏账准备的应收票据账面价值" periodRef="本期期初数" mulRef="_GBC_1ddd4d416c8341618d49da8050568b3a" unitRef="_GBC_ee21347c53de4655b7421f9707c0f27c" addr="T0R3C10S1_1" formatStyle="Comma" appId="_GBC_064ae6cf552d47d6abf4ad2b5c55d254"/>
      <m:placeholder xlName="_PLD_2a6d1b30f65e462ebca8043195ba30aa" addr="T0R4C0S1_11"/>
      <m:tuple xlName="_TUP_0e6b7c7ca3374c289d5d237781aeaf81" concept="clcid-pte:AnDanXiangJiTiHuaiZhangZhunBeiDeYingShouPiaoJuMingXi" default_row="2" addr="T0R5C">
        <m:item xlName="_GBC_22d2031cbdb84eadae4c63049715879e" contributeOptionTo="_GBC_214b34594661491c9f25c79df3a79a77" concept="clcid-pte:AnDanXiangJiTiHuaiZhangZhunBeiDeYingShouPiaoJuMingXiLeiBie" label="按单项计提坏账准备的应收票据明细-类别" addr="T0R5C0S1_1" tagAction="1" appId="_GBC_064ae6cf552d47d6abf4ad2b5c55d254"/>
        <m:item xlName="_GBC_344c9793710048cba63e3b9ef566a3cc" concept="clcid-pte:AnDanXiangJiTiHuaiZhangZhunBeiDeYingShouPiaoJuMingXiZhangMianYuE" label="按单项计提坏账准备的应收票据明细-账面余额" mulRef="_GBC_1ddd4d416c8341618d49da8050568b3a" unitRef="_GBC_ee21347c53de4655b7421f9707c0f27c" addr="T0R5C1S1_1" formatStyle="Comma" appId="_GBC_064ae6cf552d47d6abf4ad2b5c55d254"/>
        <m:item xlName="_GBC_2b9c10bea0314f5590482b6d6b530459" concept="clcid-pte:AnDanXiangJiTiHuaiZhangZhunBeiDeYingShouPiaoJuMingXiYuEBiLi" label="按单项计提坏账准备的应收票据明细-余额比例" addr="T0R5C2S1_1" baseScale="0.01" formatStyle="Comma" appId="_GBC_064ae6cf552d47d6abf4ad2b5c55d254"/>
        <m:item xlName="_GBC_f70bc081ec5a4f419b734f6edffd6ac4" concept="clcid-pte:AnDanXiangJiTiHuaiZhangZhunBeiDeYingShouPiaoJuMingXiHuaiZhangZhunBei" label="按单项计提坏账准备的应收票据明细-坏账准备" mulRef="_GBC_1ddd4d416c8341618d49da8050568b3a" unitRef="_GBC_ee21347c53de4655b7421f9707c0f27c" addr="T0R5C3S1_1" formatStyle="Comma" appId="_GBC_064ae6cf552d47d6abf4ad2b5c55d254"/>
        <m:item xlName="_GBC_6eb8d460d8184fffa6473b3cc6ecfdff" concept="clcid-pte:AnDanXiangJiTiHuaiZhangZhunBeiDeYingShouPiaoJuMingXiHuaiZhangZhunBeiJiTiBiLi" label="按单项计提坏账准备的应收票据明细-坏账准备计提比例" addr="T0R5C4S1_1" baseScale="0.01" formatStyle="Comma" appId="_GBC_064ae6cf552d47d6abf4ad2b5c55d254"/>
        <m:item xlName="_GBC_cb0177e066e74298abcd95513f0ac51f" concept="clcid-pte:AnDanXiangJiTiHuaiZhangZhunBeiDeYingShouPiaoJuMingXiZhangMianJiaZhi" label="按单项计提坏账准备的应收票据明细-账面价值" mulRef="_GBC_1ddd4d416c8341618d49da8050568b3a" unitRef="_GBC_ee21347c53de4655b7421f9707c0f27c" addr="T0R5C5S1_1" formatStyle="Comma" appId="_GBC_064ae6cf552d47d6abf4ad2b5c55d254"/>
        <m:item xlName="_GBC_d868f9a09b15474987456826a517c90b" concept="clcid-pte:AnDanXiangJiTiHuaiZhangZhunBeiDeYingShouPiaoJuMingXiZhangMianYuE" label="按单项计提坏账准备的应收票据明细-账面余额" periodRef="本期期初数" mulRef="_GBC_1ddd4d416c8341618d49da8050568b3a" unitRef="_GBC_ee21347c53de4655b7421f9707c0f27c" addr="T0R5C6S1_1" formatStyle="Comma" appId="_GBC_064ae6cf552d47d6abf4ad2b5c55d254"/>
        <m:item xlName="_GBC_30945a9a67d34b11b57de8a7cde1d965" concept="clcid-pte:AnDanXiangJiTiHuaiZhangZhunBeiDeYingShouPiaoJuMingXiYuEBiLi" label="按单项计提坏账准备的应收票据明细-余额比例" periodRef="本期期初数" addr="T0R5C7S1_1" baseScale="0.01" formatStyle="Comma" appId="_GBC_064ae6cf552d47d6abf4ad2b5c55d254"/>
        <m:item xlName="_GBC_c376886e11594310b61b3db0eb4468b4" concept="clcid-pte:AnDanXiangJiTiHuaiZhangZhunBeiDeYingShouPiaoJuMingXiHuaiZhangZhunBei" label="按单项计提坏账准备的应收票据明细-坏账准备" periodRef="本期期初数" mulRef="_GBC_1ddd4d416c8341618d49da8050568b3a" unitRef="_GBC_ee21347c53de4655b7421f9707c0f27c" addr="T0R5C8S1_1" formatStyle="Comma" appId="_GBC_064ae6cf552d47d6abf4ad2b5c55d254"/>
        <m:item xlName="_GBC_5ace180f987e46f8b1c9a2ad9f2a619f" concept="clcid-pte:AnDanXiangJiTiHuaiZhangZhunBeiDeYingShouPiaoJuMingXiHuaiZhangZhunBeiJiTiBiLi" label="按单项计提坏账准备的应收票据明细-坏账准备计提比例" periodRef="本期期初数" addr="T0R5C9S1_1" baseScale="0.01" formatStyle="Comma" appId="_GBC_064ae6cf552d47d6abf4ad2b5c55d254"/>
        <m:item xlName="_GBC_47643a1473f84553908481dcbe2b1ea3" concept="clcid-pte:AnDanXiangJiTiHuaiZhangZhunBeiDeYingShouPiaoJuMingXiZhangMianJiaZhi" label="按单项计提坏账准备的应收票据明细-账面价值" periodRef="本期期初数" mulRef="_GBC_1ddd4d416c8341618d49da8050568b3a" unitRef="_GBC_ee21347c53de4655b7421f9707c0f27c" addr="T0R5C10S1_1" formatStyle="Comma" appId="_GBC_064ae6cf552d47d6abf4ad2b5c55d254"/>
      </m:tuple>
      <m:placeholder xlName="_PLD_dfe2f5d58ae444bc99da18392741ac94" addr="T0R7C0S1_1"/>
      <m:item xlName="_GBC_e2a37e709def429ca1ba22860e6ddd6f" concept="clcid-pte:AnZuHeJiTiHuaiZhangZhunBeiDeYingShouPiaoJuZhangMianYuE" label="按组合计提坏账准备的应收票据账面余额" mulRef="_GBC_1ddd4d416c8341618d49da8050568b3a" unitRef="_GBC_ee21347c53de4655b7421f9707c0f27c" addr="T0R7C1S1_1" formatStyle="Comma" appId="_GBC_064ae6cf552d47d6abf4ad2b5c55d254"/>
      <m:item xlName="_GBC_ac6a5f7279d141f2a7a6e9a5e92c7737" concept="clcid-pte:AnZuHeJiTiHuaiZhangZhunBeiDeYingShouPiaoJuZhangMianYuEBiLi" label="按组合计提坏账准备的应收票据账面余额比例" addr="T0R7C2S1_1" baseScale="0.01" formatStyle="Comma" appId="_GBC_064ae6cf552d47d6abf4ad2b5c55d254"/>
      <m:item xlName="_GBC_c5f2d3e7e2b4481fa76b6b3d2b220ec5" concept="clcid-pte:AnZuHeJiTiHuaiZhangZhunBeiDeYingShouPiaoJuHuaiZhangZhunBei" label="按组合计提坏账准备的应收票据坏账准备" mulRef="_GBC_1ddd4d416c8341618d49da8050568b3a" unitRef="_GBC_ee21347c53de4655b7421f9707c0f27c" addr="T0R7C3S1_1" formatStyle="Comma" appId="_GBC_064ae6cf552d47d6abf4ad2b5c55d254"/>
      <m:item xlName="_GBC_0e48a6ab5ba9465490031e08f0341b45" concept="clcid-pte:AnZuHeJiTiHuaiZhangZhunBeiDeYingShouPiaoJuHuaiZhangZhunBeiJiTiBiLi" label="按组合计提坏账准备的应收票据坏账准备计提比例" addr="T0R7C4S1_1" baseScale="0.01" formatStyle="Comma" appId="_GBC_064ae6cf552d47d6abf4ad2b5c55d254"/>
      <m:item xlName="_GBC_63a31241453e40cc8ed4dadcdcbdf0e1" concept="clcid-pte:AnZuHeJiTiHuaiZhangZhunBeiDeYingShouPiaoJuZhangMianJiaZhi" label="按组合计提坏账准备的应收票据账面价值" mulRef="_GBC_1ddd4d416c8341618d49da8050568b3a" unitRef="_GBC_ee21347c53de4655b7421f9707c0f27c" addr="T0R7C5S1_1" formatStyle="Comma" appId="_GBC_064ae6cf552d47d6abf4ad2b5c55d254"/>
      <m:item xlName="_GBC_75b583ec405a4daca6a6586f9b0b6226" concept="clcid-pte:AnZuHeJiTiHuaiZhangZhunBeiDeYingShouPiaoJuZhangMianYuE" label="按组合计提坏账准备的应收票据账面余额" periodRef="本期期初数" mulRef="_GBC_1ddd4d416c8341618d49da8050568b3a" unitRef="_GBC_ee21347c53de4655b7421f9707c0f27c" addr="T0R7C6S1_1" formatStyle="Comma" appId="_GBC_064ae6cf552d47d6abf4ad2b5c55d254"/>
      <m:item xlName="_GBC_8b109c893e784b809a213aedee6fdc99" concept="clcid-pte:AnZuHeJiTiHuaiZhangZhunBeiDeYingShouPiaoJuZhangMianYuEBiLi" label="按组合计提坏账准备的应收票据账面余额比例" periodRef="本期期初数" addr="T0R7C7S1_1" baseScale="0.01" formatStyle="Comma" appId="_GBC_064ae6cf552d47d6abf4ad2b5c55d254"/>
      <m:item xlName="_GBC_c5c74117e3d140b4b5febbefebb9fc96" concept="clcid-pte:AnZuHeJiTiHuaiZhangZhunBeiDeYingShouPiaoJuHuaiZhangZhunBei" label="按组合计提坏账准备的应收票据坏账准备" periodRef="本期期初数" mulRef="_GBC_1ddd4d416c8341618d49da8050568b3a" unitRef="_GBC_ee21347c53de4655b7421f9707c0f27c" addr="T0R7C8S1_1" formatStyle="Comma" appId="_GBC_064ae6cf552d47d6abf4ad2b5c55d254"/>
      <m:item xlName="_GBC_fc15b86624704a86a4c5dd25bf8161e6" concept="clcid-pte:AnZuHeJiTiHuaiZhangZhunBeiDeYingShouPiaoJuHuaiZhangZhunBeiJiTiBiLi" label="按组合计提坏账准备的应收票据坏账准备计提比例" periodRef="本期期初数" addr="T0R7C9S1_1" baseScale="0.01" formatStyle="Comma" appId="_GBC_064ae6cf552d47d6abf4ad2b5c55d254"/>
      <m:item xlName="_GBC_e9e2764ebfd04e07acdffe2c2e43cf1a" concept="clcid-pte:AnZuHeJiTiHuaiZhangZhunBeiDeYingShouPiaoJuZhangMianJiaZhi" label="按组合计提坏账准备的应收票据账面价值" periodRef="本期期初数" mulRef="_GBC_1ddd4d416c8341618d49da8050568b3a" unitRef="_GBC_ee21347c53de4655b7421f9707c0f27c" addr="T0R7C10S1_1" formatStyle="Comma" appId="_GBC_064ae6cf552d47d6abf4ad2b5c55d254"/>
      <m:placeholder xlName="_PLD_6921e0fe3b3b446d887af92fc2bcab4d" addr="T0R8C0S1_11"/>
      <m:tuple xlName="_TUP_2457c54f966e408fa418bc1eed94e738" concept="clcid-pte:AnZuHeJiTiHuaiZhangZhunBeiDeYingShouPiaoJuMingXi" default_row="2" addr="T0R9C">
        <m:item xlName="_GBC_6d9e7457cc694a73a262b35683b9ab0e" contributeOptionTo="_GBC_3ab101eae3824734a1fbf3c7c224edc3" concept="clcid-pte:AnZuHeJiTiHuaiZhangZhunBeiDeYingShouPiaoJuMingXiLeiBie" label="按组合计提坏账准备的应收票据明细-类别" addr="T0R9C0S1_1" tagAction="1" appId="_GBC_064ae6cf552d47d6abf4ad2b5c55d254"/>
        <m:item xlName="_GBC_a87bc5554efc49e0aac06a2779501dc7" concept="clcid-pte:AnZuHeJiTiHuaiZhangZhunBeiDeYingShouPiaoJuMingXiZhangMianYuE" label="按组合计提坏账准备的应收票据明细-账面余额" mulRef="_GBC_1ddd4d416c8341618d49da8050568b3a" unitRef="_GBC_ee21347c53de4655b7421f9707c0f27c" addr="T0R9C1S1_1" formatStyle="Comma" appId="_GBC_064ae6cf552d47d6abf4ad2b5c55d254"/>
        <m:item xlName="_GBC_e13bf70895724b23b2833d3a1ddc7399" concept="clcid-pte:AnZuHeJiTiHuaiZhangZhunBeiDeYingShouPiaoJuMingXiYuEBiLi" label="按组合计提坏账准备的应收票据明细-余额比例" addr="T0R9C2S1_1" baseScale="0.01" formatStyle="Comma" appId="_GBC_064ae6cf552d47d6abf4ad2b5c55d254"/>
        <m:item xlName="_GBC_c765e2c297d643e8889fa15718718e75" concept="clcid-pte:AnZuHeJiTiHuaiZhangZhunBeiDeYingShouPiaoJuMingXiHuaiZhangZhunBei" label="按组合计提坏账准备的应收票据明细-坏账准备" mulRef="_GBC_1ddd4d416c8341618d49da8050568b3a" unitRef="_GBC_ee21347c53de4655b7421f9707c0f27c" addr="T0R9C3S1_1" formatStyle="Comma" appId="_GBC_064ae6cf552d47d6abf4ad2b5c55d254"/>
        <m:item xlName="_GBC_661f67f33f7341c9af743030f5676984" concept="clcid-pte:AnZuHeJiTiHuaiZhangZhunBeiDeYingShouPiaoJuMingXiHuaiZhangZhunBeiJiTiBiLi" label="按组合计提坏账准备的应收票据明细-坏账准备计提比例" addr="T0R9C4S1_1" baseScale="0.01" formatStyle="Comma" appId="_GBC_064ae6cf552d47d6abf4ad2b5c55d254"/>
        <m:item xlName="_GBC_a5dcd14319754d7783bbf0ebb0801384" concept="clcid-pte:AnZuHeJiTiHuaiZhangZhunBeiDeYingShouPiaoJuMingXiZhangMianJiaZhi" label="按组合计提坏账准备的应收票据明细-账面价值" mulRef="_GBC_1ddd4d416c8341618d49da8050568b3a" unitRef="_GBC_ee21347c53de4655b7421f9707c0f27c" addr="T0R9C5S1_1" formatStyle="Comma" appId="_GBC_064ae6cf552d47d6abf4ad2b5c55d254"/>
        <m:item xlName="_GBC_411d5b92869941c4a0aeead4b751fef5" concept="clcid-pte:AnZuHeJiTiHuaiZhangZhunBeiDeYingShouPiaoJuMingXiZhangMianYuE" label="按组合计提坏账准备的应收票据明细-账面余额" periodRef="本期期初数" mulRef="_GBC_1ddd4d416c8341618d49da8050568b3a" unitRef="_GBC_ee21347c53de4655b7421f9707c0f27c" addr="T0R9C6S1_1" formatStyle="Comma" appId="_GBC_064ae6cf552d47d6abf4ad2b5c55d254"/>
        <m:item xlName="_GBC_688fc34c1fcb44e59c7f198dd113bedb" concept="clcid-pte:AnZuHeJiTiHuaiZhangZhunBeiDeYingShouPiaoJuMingXiYuEBiLi" label="按组合计提坏账准备的应收票据明细-余额比例" periodRef="本期期初数" addr="T0R9C7S1_1" baseScale="0.01" formatStyle="Comma" appId="_GBC_064ae6cf552d47d6abf4ad2b5c55d254"/>
        <m:item xlName="_GBC_9e7ad0de952c490aa32312e6d66889ce" concept="clcid-pte:AnZuHeJiTiHuaiZhangZhunBeiDeYingShouPiaoJuMingXiHuaiZhangZhunBei" label="按组合计提坏账准备的应收票据明细-坏账准备" periodRef="本期期初数" mulRef="_GBC_1ddd4d416c8341618d49da8050568b3a" unitRef="_GBC_ee21347c53de4655b7421f9707c0f27c" addr="T0R9C8S1_1" formatStyle="Comma" appId="_GBC_064ae6cf552d47d6abf4ad2b5c55d254"/>
        <m:item xlName="_GBC_bf4886783e7649d6908527ee408c3025" concept="clcid-pte:AnZuHeJiTiHuaiZhangZhunBeiDeYingShouPiaoJuMingXiHuaiZhangZhunBeiJiTiBiLi" label="按组合计提坏账准备的应收票据明细-坏账准备计提比例" periodRef="本期期初数" addr="T0R9C9S1_1" baseScale="0.01" formatStyle="Comma" appId="_GBC_064ae6cf552d47d6abf4ad2b5c55d254"/>
        <m:item xlName="_GBC_774f08bdd544437a81d0b0a4bafce1fc" concept="clcid-pte:AnZuHeJiTiHuaiZhangZhunBeiDeYingShouPiaoJuMingXiZhangMianJiaZhi" label="按组合计提坏账准备的应收票据明细-账面价值" periodRef="本期期初数" mulRef="_GBC_1ddd4d416c8341618d49da8050568b3a" unitRef="_GBC_ee21347c53de4655b7421f9707c0f27c" addr="T0R9C10S1_1" formatStyle="Comma" appId="_GBC_064ae6cf552d47d6abf4ad2b5c55d254"/>
      </m:tuple>
      <m:placeholder xlName="_PLD_dd25c49780ba41c5a3c906e12139b00d" addr="T0R11C0S1_1"/>
      <m:item xlName="_GBC_fc76eaaf443a4faa9479e7fbf79d569f" concept="clcid-pte:YingShouPiaoJuZhangMianYuE" label="应收票据账面余额" mulRef="_GBC_1ddd4d416c8341618d49da8050568b3a" unitRef="_GBC_ee21347c53de4655b7421f9707c0f27c" addr="T0R11C1S1_1" formatStyle="Comma" appId="_GBC_064ae6cf552d47d6abf4ad2b5c55d254">
        <m:complexRule comparator="Eq" title="应收票据账面余额" test=" $_GBC_3158a56f3f754a61b82d7b85bd78f9ef +  $_GBC_e2a37e709def429ca1ba22860e6ddd6f" id="Cc60ac33fbc654059baef2cb600933d43"/>
      </m:item>
      <m:item xlName="_GBC_b372fbb1926743119d992e10d5313ac8" concept="clcid-pte:YingShouPiaoJuHuaiZhangZhunBei" label="应收票据坏账准备" mulRef="_GBC_1ddd4d416c8341618d49da8050568b3a" unitRef="_GBC_ee21347c53de4655b7421f9707c0f27c" addr="T0R11C3S1_1" formatStyle="Comma" appId="_GBC_064ae6cf552d47d6abf4ad2b5c55d254">
        <m:complexRule comparator="Eq" title="应收票据坏账准备" test=" $_GBC_379bd0e4684d4d699f29dca19cf56ad4 +  $_GBC_c5f2d3e7e2b4481fa76b6b3d2b220ec5" id="C904e2b6e8b4c40208a2e0451519279aa"/>
      </m:item>
      <m:item xlName="_GBC_f9f3393a66ba4e0691e05c53267f82bc" concept="clcid-pte:YingShouPiaoJu" label="应收票据" mulRef="_GBC_1ddd4d416c8341618d49da8050568b3a" unitRef="_GBC_ee21347c53de4655b7421f9707c0f27c" addr="T0R11C5S1_1" formatStyle="Comma" appId="_GBC_064ae6cf552d47d6abf4ad2b5c55d254">
        <m:complexRule comparator="Eq" title="应收票据" test=" $_GBC_1b4cbf968f8946b7b550fe1b8d01db4a +  $_GBC_63a31241453e40cc8ed4dadcdcbdf0e1" id="C0f1a4a5775a04d868710d6c60dda6c9b"/>
      </m:item>
      <m:item xlName="_GBC_21b67cedd09e4e529683d661e42d6e50" concept="clcid-pte:YingShouPiaoJuZhangMianYuE" label="应收票据账面余额" periodRef="本期期初数" mulRef="_GBC_1ddd4d416c8341618d49da8050568b3a" unitRef="_GBC_ee21347c53de4655b7421f9707c0f27c" addr="T0R11C6S1_1" formatStyle="Comma" appId="_GBC_064ae6cf552d47d6abf4ad2b5c55d254">
        <m:complexRule comparator="Eq" title="应收票据账面余额@本期期初数" test=" $_GBC_2e2e1bf5f8b14a5192c2a77e427034bd +  $_GBC_75b583ec405a4daca6a6586f9b0b6226" id="C16b8c53b94c441558e7a02e6ce554c5c"/>
      </m:item>
      <m:item xlName="_GBC_5840f6a8db744568b7f1c89899b613c9" concept="clcid-pte:YingShouPiaoJuHuaiZhangZhunBei" label="应收票据坏账准备" periodRef="本期期初数" mulRef="_GBC_1ddd4d416c8341618d49da8050568b3a" unitRef="_GBC_ee21347c53de4655b7421f9707c0f27c" addr="T0R11C8S1_1" formatStyle="Comma" appId="_GBC_064ae6cf552d47d6abf4ad2b5c55d254">
        <m:complexRule comparator="Eq" title="应收票据坏账准备@本期期初数" test=" $_GBC_3113895bd71a4151a86bc1d5e8f19ecd +  $_GBC_c5c74117e3d140b4b5febbefebb9fc96" id="C05679554bf5c439d99b0d8364ac7cb79"/>
      </m:item>
      <m:item xlName="_GBC_1212abb0810f4093b968cc59b8447a1a" concept="clcid-pte:YingShouPiaoJu" label="应收票据" periodRef="本期期初数" mulRef="_GBC_1ddd4d416c8341618d49da8050568b3a" unitRef="_GBC_ee21347c53de4655b7421f9707c0f27c" addr="T0R11C10S1_1" formatStyle="Comma" appId="_GBC_064ae6cf552d47d6abf4ad2b5c55d254">
        <m:complexRule comparator="Eq" title="应收票据@本期期初数" test=" $_GBC_efb52f0fe53647228289a8e1cf3c5a8d +  $_GBC_e9e2764ebfd04e07acdffe2c2e43cf1a" id="C65a8be1abe084a1db5ec867b9d2461e9"/>
      </m:item>
    </m:section>
    <m:section xlName="_SEC_35f0dd53a3094420ab950eaf2d236098" title="按单项计提坏账准备：">
      <m:item xlName="_GBC_90335c20d2434e43b63dbeddbebca5f6" concept="clcid-ci-ar:ShiFouShiYongAnDanXiangJiTiHuaiZhangZhunBeiDeYingShouPiaoJuXiangXiQingKuang" label="是否适用：按单项计提坏账准备的应收票据详细情况" selectOptions="_buildInAppliance" controlType="CustomCheckbox" cRanges="[{&quot;StartName&quot;:&quot;_GBC_90335c20d2434e43b63dbeddbebca5f6&quot;,&quot;EndName&quot;:&quot;_GBC_e362bdb82f154d3cb281cb70e7c333cf&quot;,&quot;CType&quot;:1}]"/>
      <m:item xlName="_GBC_d7e2c6fe77d64f439bb4d28afdcdcb4b" concept="clcid-pte:DanWeiAnDanXiangJiTiHuaiZhangZhunBeiDeYingShouPiaoJuXiangXiQingKuang" label="单位：按单项计提坏账准备的应收票据详细情况" selectOptions="_buildInScales" controlType="Combobox" cellType="Scale" appId="_GBC_90335c20d2434e43b63dbeddbebca5f6"/>
      <m:item xlName="_GBC_490e0f610c414d9cb287aaa929264d83" concept="clcid-pte:BiZhongAnDanXiangJiTiHuaiZhangZhunBeiDeYingShouPiaoJuXiangXiQingKuang" label="币种：按单项计提坏账准备的应收票据详细情况" selectOptions="_buildInISO4217" controlType="Combobox" cellType="Measure" appId="_GBC_90335c20d2434e43b63dbeddbebca5f6"/>
      <m:placeholder xlName="_PLD_ca798ddf8cde4aafad8983ec80020137" addr="T0R0C0S2_1"/>
      <m:placeholder xlName="_PLD_d5802ad7b5144a3fa5a6f7e37b31bc3d" addr="T0R0C1S1_4"/>
      <m:placeholder xlName="_PLD_008b42fe374547178bcee560dac00fbe" addr="T0R1C1S1_1"/>
      <m:placeholder xlName="_PLD_ba3167f8efa04eddb73dba711335a991" addr="T0R1C2S1_1"/>
      <m:placeholder xlName="_PLD_476e84a5455047d889251a4f1d2b9494" addr="T0R1C3S1_1"/>
      <m:placeholder xlName="_PLD_b813482a18804432ae4ae0c683722ade" addr="T0R1C4S1_1"/>
      <m:tuple xlName="_TUP_37f1692dacf2493cbcf585bed9e0c917" concept="clcid-pte:AnDanXiangJiTiHuaiZhangZhunBeiDeYingShouPiaoJuXiangXiMingChengMingXi" default_row="2" addr="T0R2C">
        <m:item xlName="_GBC_58fe0960e6ad45a199bc8892319472f7" concept="clcid-pte:AnDanXiangJiTiHuaiZhangZhunBeiDeYingShouPiaoJuXiangXiMingChengMingXiMingCheng" label="按单项计提坏账准备的应收票据详细名称明细-名称" addr="T0R2C0S1_1" appId="_GBC_90335c20d2434e43b63dbeddbebca5f6"/>
        <m:item xlName="_GBC_9f06abe0af2348a7a18bbe1d6451c994" concept="clcid-pte:AnDanXiangJiTiHuaiZhangZhunBeiDeYingShouPiaoJuXiangXiMingChengMingXiZhangMianYuE" label="按单项计提坏账准备的应收票据详细名称明细-账面余额" mulRef="_GBC_d7e2c6fe77d64f439bb4d28afdcdcb4b" unitRef="_GBC_490e0f610c414d9cb287aaa929264d83" addr="T0R2C1S1_1" formatStyle="Comma" appId="_GBC_90335c20d2434e43b63dbeddbebca5f6"/>
        <m:item xlName="_GBC_08b6a001247e49f19ddca6d30af97e38" concept="clcid-pte:AnDanXiangJiTiHuaiZhangZhunBeiDeYingShouPiaoJuXiangXiMingChengMingXiHuaiZhangZhunBei" label="按单项计提坏账准备的应收票据详细名称明细-坏账准备" mulRef="_GBC_d7e2c6fe77d64f439bb4d28afdcdcb4b" unitRef="_GBC_490e0f610c414d9cb287aaa929264d83" addr="T0R2C2S1_1" formatStyle="Comma" appId="_GBC_90335c20d2434e43b63dbeddbebca5f6"/>
        <m:item xlName="_GBC_551d863fa8304ab587fd824c2e13bee6" concept="clcid-pte:AnDanXiangJiTiHuaiZhangZhunBeiDeYingShouPiaoJuXiangXiMingChengMingXiHuaiZhangZhunBeiJiTiBiLi" label="按单项计提坏账准备的应收票据详细名称明细-坏账准备计提比例" addr="T0R2C3S1_1" baseScale="0.01" formatStyle="Comma" appId="_GBC_90335c20d2434e43b63dbeddbebca5f6"/>
        <m:item xlName="_GBC_f1503010aed345dab535e86dc31ea65c" concept="clcid-pte:AnDanXiangJiTiHuaiZhangZhunBeiDeYingShouPiaoJuXiangXiMingChengMingXiHuaiZhangZhunBeiJiTiLiYou" label="按单项计提坏账准备的应收票据详细名称明细-坏账准备计提理由" addr="T0R2C4S1_1" appId="_GBC_90335c20d2434e43b63dbeddbebca5f6"/>
      </m:tuple>
      <m:placeholder xlName="_PLD_aadd7e0099db400fafa5676961f7a7f9" addr="T0R4C0S1_1"/>
      <m:item xlName="_GBC_c07d65c8a8c04d9d90cefdc8d1998574" concept="clcid-pte:AnDanXiangJiTiHuaiZhangZhunBeiDeYingShouPiaoJuZhangMianYuE" label="按单项计提坏账准备的应收票据账面余额" mulRef="_GBC_d7e2c6fe77d64f439bb4d28afdcdcb4b" unitRef="_GBC_490e0f610c414d9cb287aaa929264d83" addr="T0R4C1S1_1" formatStyle="Comma" appId="_GBC_90335c20d2434e43b63dbeddbebca5f6">
        <m:complexRule comparator="Eq" title="按单项计提坏账准备的应收票据明细-账面余额" test=" $_GBC_9f06abe0af2348a7a18bbe1d6451c994" id="C76e9bc9b35e349c1885a0d555bb76be4"/>
      </m:item>
      <m:item xlName="_GBC_68c4a22534df49d5bfe47b70c0868b38" concept="clcid-pte:AnDanXiangJiTiHuaiZhangZhunBeiDeYingShouPiaoJuHuaiZhangZhunBei" label="按单项计提坏账准备的应收票据坏账准备" mulRef="_GBC_d7e2c6fe77d64f439bb4d28afdcdcb4b" unitRef="_GBC_490e0f610c414d9cb287aaa929264d83" addr="T0R4C2S1_1" formatStyle="Comma" appId="_GBC_90335c20d2434e43b63dbeddbebca5f6">
        <m:complexRule comparator="Eq" title="按单项计提坏账准备的应收票据明细-坏账准备" test=" $_GBC_08b6a001247e49f19ddca6d30af97e38" id="C0781cf4683ba4c57864b5680ea57554b"/>
      </m:item>
      <m:item xlName="_GBC_1fe7531cdd944844a226f0d95a06c36e" concept="clcid-pte:AnDanXiangJiTiHuaiZhangZhunBeiDeYingShouPiaoJuHuaiZhangZhunBeiJiTiBiLi" label="按单项计提坏账准备的应收票据坏账准备计提比例" addr="T0R4C3S1_1" baseScale="0.01" formatStyle="Comma" appId="_GBC_90335c20d2434e43b63dbeddbebca5f6">
        <m:complexRule comparator="Eq" title="按单项计提坏账准备的应收票据明细-坏账准备计提比例" id="C520356fb86054167b181569e6e9f7210"/>
      </m:item>
      <m:item xlName="_GBC_236e8ad7d83340eeb373bdbccde852e9" concept="clcid-pte:ShiFouShiYongAnDanXiangJiTiHuaiZhangZhunBeiDeYingShouPiaoJuShuoMing" label="是否适用：按单项计提坏账准备的应收票据说明" selectOptions="_buildInAppliance" controlType="CustomCheckbox" cRanges="[{&quot;StartName&quot;:&quot;_GBC_236e8ad7d83340eeb373bdbccde852e9&quot;,&quot;EndName&quot;:&quot;_GBC_e362bdb82f154d3cb281cb70e7c333cf&quot;,&quot;CType&quot;:1}]"/>
      <m:item xlName="_GBC_e362bdb82f154d3cb281cb70e7c333cf" concept="clcid-pte:AnDanXiangJiTiHuaiZhangZhunBeiDeYingShouPiaoJuShuoMing" label="按单项计提坏账准备的应收票据说明" appId="_GBC_236e8ad7d83340eeb373bdbccde852e9"/>
    </m:section>
    <m:item xlName="_GBC_2b00fe7228b14b11bdb374e735777f02" concept="clcid-ci-ar:ShiFouShiYongAnZuHeJiTiHuaiZhangZhunBeiDeYingShouPiaoJuXiangXiQingKuang" label="是否适用：按组合计提坏账准备的应收票据详细情况" selectOptions="_buildInAppliance" controlType="CustomCheckbox" cRanges="[{&quot;StartName&quot;:&quot;_GBC_2b00fe7228b14b11bdb374e735777f02&quot;,&quot;EndName&quot;:&quot;_SEC_ba9a8c13d1d945d389c5919539ae944e&quot;,&quot;CType&quot;:1}]"/>
    <m:section xlName="_SEC_ba9a8c13d1d945d389c5919539ae944e" title="按组合计提坏账准备" repeatable="1" tupleConcept="clcid-pte:AnZuHeJiTiHuaiZhangZhunBeiDeYingShouPiaoJuXiangXiMingXi">
      <m:item xlName="_GBC_3ab101eae3824734a1fbf3c7c224edc3" isNeedToFill="true" contributeOptionTo="_GBC_6d9e7457cc694a73a262b35683b9ab0e" concept="clcid-pte:AnZuHeJiTiHuaiZhangZhunBeiDeYingShouPiaoJuMingXiLeiBie" label="按组合计提坏账准备的应收票据明细-类别" controlType="Combobox" appId="_GBC_2b00fe7228b14b11bdb374e735777f02"/>
      <m:item xlName="_GBC_5f3250f84084490c95753d0a165a807b" concept="clcid-pte:DanWeiAnZuHeJiTiHuaiZhangZhunBeiDeYingShouPiaoJuXiangXiQingKuang" label="单位：按组合计提坏账准备的应收票据详细情况" selectOptions="_buildInScales" controlType="Combobox" cellType="Scale" appId="_GBC_2b00fe7228b14b11bdb374e735777f02"/>
      <m:item xlName="_GBC_8b6ba2153795407e8dbbd199bda78b09" concept="clcid-pte:BiZhongAnZuHeJiTiHuaiZhangZhunBeiDeYingShouPiaoJuXiangXiQingKuang" label="币种：按组合计提坏账准备的应收票据详细情况" selectOptions="_buildInISO4217" controlType="Combobox" cellType="Measure" appId="_GBC_2b00fe7228b14b11bdb374e735777f02"/>
      <m:placeholder xlName="_PLD_5376290ef0b041e8bbd7b943461b0a9f" addr="T0R0C0S2_1"/>
      <m:placeholder xlName="_PLD_cb2e8486740a451fbac357ed56dfdf09" addr="T0R0C1S1_3"/>
      <m:placeholder xlName="_PLD_e58334d5cfd94eb3a57462d770bebef2" addr="T0R1C1S1_1"/>
      <m:placeholder xlName="_PLD_bdeedca9dff44f0386291c89e9b9d89b" addr="T0R1C2S1_1"/>
      <m:placeholder xlName="_PLD_f6f1b7e04e5d43bda3afea1cf431ea55" addr="T0R1C3S1_1"/>
      <m:tuple xlName="_TUP_b97e402e2d4c48aca2f398d3bd96c268" concept="clcid-pte:AnZuHeJiTiHuaiZhangZhunBeiDeYingShouPiaoJuXiangXiMingChengMingXi" default_row="2" addr="T0R2C">
        <m:item xlName="_GBC_4bcec82af4bc4490bab50caab4bfcd0e" concept="clcid-pte:AnZuHeJiTiHuaiZhangZhunBeiDeYingShouPiaoJuXiangXiMingChengMingXiMingCheng" label="按组合计提坏账准备的应收票据详细名称明细-名称" addr="T0R2C0S1_1" appId="_GBC_2b00fe7228b14b11bdb374e735777f02"/>
        <m:item xlName="_GBC_01588c63f42f43d087ee48a5a0a43027" concept="clcid-pte:AnZuHeJiTiHuaiZhangZhunBeiDeYingShouPiaoJuXiangXiMingChengMingXiZhangMianYuE" label="按组合计提坏账准备的应收票据详细名称明细-账面余额" mulRef="_GBC_5f3250f84084490c95753d0a165a807b" unitRef="_GBC_8b6ba2153795407e8dbbd199bda78b09" addr="T0R2C1S1_1" formatStyle="Comma" appId="_GBC_2b00fe7228b14b11bdb374e735777f02"/>
        <m:item xlName="_GBC_3f24e6507a974b9288c945f93012f0e1" concept="clcid-pte:AnZuHeJiTiHuaiZhangZhunBeiDeYingShouPiaoJuXiangXiMingChengMingXiHuaiZhangZhunBei" label="按组合计提坏账准备的应收票据详细名称明细-坏账准备" mulRef="_GBC_5f3250f84084490c95753d0a165a807b" unitRef="_GBC_8b6ba2153795407e8dbbd199bda78b09" addr="T0R2C2S1_1" formatStyle="Comma" appId="_GBC_2b00fe7228b14b11bdb374e735777f02"/>
        <m:item xlName="_GBC_ed69d3ed06404b99a52f34cb85b204cc" concept="clcid-pte:AnZuHeJiTiHuaiZhangZhunBeiDeYingShouPiaoJuXiangXiMingChengMingXiHuaiZhangZhunBeiJiTiBiLi" label="按组合计提坏账准备的应收票据详细名称明细-坏账准备计提比例" addr="T0R2C3S1_1" baseScale="0.01" formatStyle="Comma" appId="_GBC_2b00fe7228b14b11bdb374e735777f02"/>
      </m:tuple>
      <m:placeholder xlName="_PLD_da28a703d17240cc83f29b07b490660e" addr="T0R4C0S1_1"/>
      <m:item xlName="_GBC_c0362a32d03c48d39b6ed0c5fb819ffc" concept="clcid-pte:AnZuHeJiTiHuaiZhangZhunBeiDeYingShouPiaoJuMingXiZhangMianYuE" label="按组合计提坏账准备的应收票据明细-账面余额" mulRef="_GBC_5f3250f84084490c95753d0a165a807b" unitRef="_GBC_8b6ba2153795407e8dbbd199bda78b09" addr="T0R4C1S1_1" formatStyle="Comma" appId="_GBC_2b00fe7228b14b11bdb374e735777f02">
        <m:complexRule comparator="Eq" title="按组合计提坏账准备的应收票据明细-账面余额" id="C3ea26d219b124214acc063a3c9345a65"/>
      </m:item>
      <m:item xlName="_GBC_d5a4973b21b4496a841409a1a8d89ec7" concept="clcid-pte:AnZuHeJiTiHuaiZhangZhunBeiDeYingShouPiaoJuMingXiHuaiZhangZhunBei" label="按组合计提坏账准备的应收票据明细-坏账准备" mulRef="_GBC_5f3250f84084490c95753d0a165a807b" unitRef="_GBC_8b6ba2153795407e8dbbd199bda78b09" addr="T0R4C2S1_1" formatStyle="Comma" appId="_GBC_2b00fe7228b14b11bdb374e735777f02">
        <m:complexRule comparator="Eq" title="按组合计提坏账准备的应收票据明细-坏账准备" id="C53d11a81f1154724bb6e0e0961c38e73"/>
      </m:item>
      <m:item xlName="_GBC_661788101dbc40eebc78fb373f8a13c8" concept="clcid-pte:AnZuHeJiTiHuaiZhangZhunBeiDeYingShouPiaoJuMingXiHuaiZhangZhunBeiJiTiBiLi" label="按组合计提坏账准备的应收票据明细-坏账准备计提比例" addr="T0R4C3S1_1" baseScale="0.01" formatStyle="Comma" appId="_GBC_2b00fe7228b14b11bdb374e735777f02">
        <m:complexRule comparator="Eq" title="按组合计提坏账准备的应收票据明细-坏账准备计提比例" id="C5d193eb322834aff96edfd6a831e7c99"/>
      </m:item>
      <m:item xlName="_GBC_ceeb8d4dc9cb454fae5b8d4178caf8a1" concept="clcid-pte:ShiFouShiYongAnZuHeJiTiHuaiZhangZhunBeiDeYingShouPiaoJuQueRenBiaoZhun" label="是否适用：按组合计提坏账准备的应收票据确认标准" selectOptions="_buildInAppliance" controlType="CustomCheckbox" cRanges="[{&quot;StartName&quot;:&quot;_GBC_ceeb8d4dc9cb454fae5b8d4178caf8a1&quot;,&quot;EndName&quot;:&quot;_GBC_dc3a973d909042fc9f9979853a9e2f71&quot;,&quot;CType&quot;:1}]"/>
      <m:item xlName="_GBC_dc3a973d909042fc9f9979853a9e2f71" concept="clcid-pte:AnZuHeJiTiHuaiZhangZhunBeiDeYingShouPiaoJuQueRenBiaoZhun" label="按组合计提坏账准备的应收票据确认标准" appId="_GBC_ceeb8d4dc9cb454fae5b8d4178caf8a1"/>
    </m:section>
    <m:section xlName="_SEC_23c2684d19314a4d9ea4159cf52284dd" title="如按预期信用损失一般模型计提坏账准备，请参照其他应收款披露：">
      <m:item xlName="_GBC_6ee086a94a84425286b6afb613f0881f" concept="clcid-ci-ar:ShiFouShiYongYingShouPiaoJuAnYuQiXinYongSunShiYiBanMoXingJiTiHuaiZhangZhunBei" label="是否适用：应收票据按预期信用损失一般模型计提坏账准备" selectOptions="_buildInAppliance" controlType="CustomCheckbox" cRanges="[{&quot;StartName&quot;:&quot;_GBC_6ee086a94a84425286b6afb613f0881f&quot;,&quot;EndName&quot;:&quot;_GBC_1ca662a1274e4c35afb9b146270f044d&quot;,&quot;CType&quot;:1}]"/>
      <m:item xlName="_GBC_1ca662a1274e4c35afb9b146270f044d" concept="clcid-pte:YingShouPiaoJuAnYuQiXinYongSunShiYiBanMoXingJiTiHuaiZhangZhunBeiDeShuoMing" label="应收票据按预期信用损失一般模型计提坏账准备的说明" appId="_GBC_6ee086a94a84425286b6afb613f0881f"/>
    </m:section>
    <m:section xlName="_SEC_2937dc20348046e2a68416bd27ff1b82" title="坏账准备的情况">
      <m:item xlName="_GBC_065ad100e7534037877c628171a7ddc1" concept="clcid-ci-ar:ShiFouShiYongYingShouPiaoJuHuaiZhangZhunBeiQingKuang" label="是否适用：应收票据坏账准备情况" selectOptions="_buildInAppliance" controlType="CustomCheckbox" cRanges="[{&quot;StartName&quot;:&quot;_GBC_065ad100e7534037877c628171a7ddc1&quot;,&quot;EndName&quot;:&quot;_GBC_0af093c05aa548d68103c1ac22e3200b&quot;,&quot;CType&quot;:1}]"/>
      <m:item xlName="_GBC_95647fcf2f8341ebb79aa1e1a601a5a5" concept="clcid-ci-ar:DanWeiYingShouPiaoJuHuaiZhangZhunBeiQingKuang" label="单位：应收票据坏账准备情况" selectOptions="_buildInScales" controlType="Combobox" cellType="Scale" appId="_GBC_065ad100e7534037877c628171a7ddc1"/>
      <m:item xlName="_GBC_de9986579bac4050bd2468610d3f77d7" concept="clcid-ci-ar:BiZhongYingShouPiaoJuHuaiZhangZhunBeiQingKuang" label="币种：应收票据坏账准备情况" selectOptions="_buildInISO4217" controlType="Combobox" cellType="Measure" appId="_GBC_065ad100e7534037877c628171a7ddc1"/>
      <m:placeholder xlName="_PLD_5e8a3eb39253438ba157e862d0c6f032" addr="T0R0C0S2_1"/>
      <m:placeholder xlName="_PLD_d540f9827b90479dbdd6ad721aed949d" addr="T0R0C1S2_1"/>
      <m:placeholder xlName="_PLD_16251d2db90d410c97382dc5b9878c4c" addr="T0R0C2S1_3"/>
      <m:placeholder xlName="_PLD_9ea180a777a44f74a7617c28ba0aec4a" addr="T0R0C5S2_1"/>
      <m:placeholder xlName="_PLD_9d08a0ae6cbd403495aadbe5ce20dd10" addr="T0R1C2S1_1"/>
      <m:placeholder xlName="_PLD_23d614f8ef694c45b5297d78630d2361" addr="T0R1C3S1_1"/>
      <m:placeholder xlName="_PLD_a92229e00a104d118039b37bce777e92" addr="T0R1C4S1_1"/>
      <m:tuple xlName="_TUP_e2d30f7c998545b1a3d60aac4749e5b0" concept="clcid-pte:YingShouPiaoJuHuaiZhangZhunBeiMingXi" default_row="2" addr="T0R2C">
        <m:item xlName="_GBC_6b030f610e06455b9af85d60933b8325" concept="clcid-pte:YingShouPiaoJuHuaiZhangZhunBeiMingXiLeiBie" label="应收票据坏账准备明细-类别" addr="T0R2C0S1_1" appId="_GBC_065ad100e7534037877c628171a7ddc1"/>
        <m:item xlName="_GBC_512a22f9aee34ffa9de160d08bab3dcd" concept="clcid-pte:YingShouPiaoJuHuaiZhangZhunBeiMingXiJinE" label="应收票据坏账准备明细-金额" periodRef="本期期初数" mulRef="_GBC_95647fcf2f8341ebb79aa1e1a601a5a5" unitRef="_GBC_de9986579bac4050bd2468610d3f77d7" addr="T0R2C1S1_1" formatStyle="Comma" appId="_GBC_065ad100e7534037877c628171a7ddc1"/>
        <m:item xlName="_GBC_240101e197ee495d8d6889695c5301ca" concept="clcid-pte:YingShouPiaoJuHuaiZhangZhunBeiMingXiBenQiJiTiJinE" label="应收票据坏账准备明细-本期计提金额" mulRef="_GBC_95647fcf2f8341ebb79aa1e1a601a5a5" unitRef="_GBC_de9986579bac4050bd2468610d3f77d7" addr="T0R2C2S1_1" formatStyle="Comma" appId="_GBC_065ad100e7534037877c628171a7ddc1"/>
        <m:item xlName="_GBC_a181da11233c49bb904256b2da0e9ad7" concept="clcid-pte:YingShouPiaoJuHuaiZhangZhunBeiMingXiBenQiShouHuiHuoZhuanHuiJinE" label="应收票据坏账准备明细-本期收回或转回金额" mulRef="_GBC_95647fcf2f8341ebb79aa1e1a601a5a5" unitRef="_GBC_de9986579bac4050bd2468610d3f77d7" addr="T0R2C3S1_1" formatStyle="Comma" appId="_GBC_065ad100e7534037877c628171a7ddc1"/>
        <m:item xlName="_GBC_a8201a9289d64114af530b813b3541c6" concept="clcid-pte:YingShouPiaoJuHuaiZhangZhunBeiMingXiBenQiZhuanXiaoHuoHeXiaoJinE" label="应收票据坏账准备明细-本期转销或核销金额" mulRef="_GBC_95647fcf2f8341ebb79aa1e1a601a5a5" unitRef="_GBC_de9986579bac4050bd2468610d3f77d7" addr="T0R2C4S1_1" formatStyle="Comma" appId="_GBC_065ad100e7534037877c628171a7ddc1"/>
        <m:item xlName="_GBC_b7a6b94c25cb4f87b079e2f062e94b96" concept="clcid-pte:YingShouPiaoJuHuaiZhangZhunBeiMingXiJinE" label="应收票据坏账准备明细-金额" mulRef="_GBC_95647fcf2f8341ebb79aa1e1a601a5a5" unitRef="_GBC_de9986579bac4050bd2468610d3f77d7" addr="T0R2C5S1_1" formatStyle="Comma" appId="_GBC_065ad100e7534037877c628171a7ddc1"/>
      </m:tuple>
      <m:placeholder xlName="_PLD_c5f50d678eb14f41b25178f663cf9463" addr="T0R4C0S1_1"/>
      <m:item xlName="_GBC_ee43c434de6244c1b1b5a939c2dbf9b3" concept="clcid-pte:YingShouPiaoJuHuaiZhangZhunBei" label="应收票据坏账准备" periodRef="本期期初数" mulRef="_GBC_95647fcf2f8341ebb79aa1e1a601a5a5" unitRef="_GBC_de9986579bac4050bd2468610d3f77d7" addr="T0R4C1S1_1" formatStyle="Comma" appId="_GBC_065ad100e7534037877c628171a7ddc1">
        <m:complexRule comparator="Eq" title="应收票据坏账准备" test=" $_GBC_512a22f9aee34ffa9de160d08bab3dcd" id="Cb06c141312264ce8a79d2fcba5867d8a"/>
      </m:item>
      <m:item xlName="_GBC_0cd9c4dce7674225b19038854bf35c9d" concept="clcid-pte:YingShouPiaoJuHuaiZhangZhunBeiBenQiJiTi" label="应收票据坏账准备本期计提" mulRef="_GBC_95647fcf2f8341ebb79aa1e1a601a5a5" unitRef="_GBC_de9986579bac4050bd2468610d3f77d7" addr="T0R4C2S1_1" formatStyle="Comma" appId="_GBC_065ad100e7534037877c628171a7ddc1">
        <m:complexRule comparator="Eq" title="应收票据坏账准备本期计提" test=" $_GBC_240101e197ee495d8d6889695c5301ca" id="Cbefaaa4f780f43038d11626a8ca774e8"/>
      </m:item>
      <m:item xlName="_GBC_bb7eb7861c7c4917b4205fc30bac851d" concept="clcid-pte:YingShouPiaoJuHuaiZhangZhunBeiBenQiShouHuiHuoZhuanHui" label="应收票据坏账准备本期收回或转回" mulRef="_GBC_95647fcf2f8341ebb79aa1e1a601a5a5" unitRef="_GBC_de9986579bac4050bd2468610d3f77d7" addr="T0R4C3S1_1" formatStyle="Comma" appId="_GBC_065ad100e7534037877c628171a7ddc1">
        <m:complexRule comparator="Eq" title="应收票据坏账准备本期收回或转回" test=" $_GBC_a181da11233c49bb904256b2da0e9ad7" id="C0f3787f1f3ab408ba96e8cef8660d991"/>
      </m:item>
      <m:item xlName="_GBC_e1c9c0be148d4b5eaff8fd325c9e733a" concept="clcid-pte:YingShouPiaoJuHuaiZhangZhunBeiBenQiZhuanXiaoHuoHeXiao" label="应收票据坏账准备本期转销或核销" mulRef="_GBC_95647fcf2f8341ebb79aa1e1a601a5a5" unitRef="_GBC_de9986579bac4050bd2468610d3f77d7" addr="T0R4C4S1_1" formatStyle="Comma" appId="_GBC_065ad100e7534037877c628171a7ddc1">
        <m:complexRule comparator="Eq" title="应收票据坏账准备本期转销或核销" test=" $_GBC_a8201a9289d64114af530b813b3541c6" id="C1b915d65166f4780ba6e3e91680dea01"/>
      </m:item>
      <m:item xlName="_GBC_e612f86b251c4b6e9e1ac8d71c5e393a" concept="clcid-pte:YingShouPiaoJuHuaiZhangZhunBei" label="应收票据坏账准备" mulRef="_GBC_95647fcf2f8341ebb79aa1e1a601a5a5" unitRef="_GBC_de9986579bac4050bd2468610d3f77d7" addr="T0R4C5S1_1" formatStyle="Comma" appId="_GBC_065ad100e7534037877c628171a7ddc1">
        <m:complexRule comparator="Eq" title="应收票据坏账准备" test=" $_GBC_b7a6b94c25cb4f87b079e2f062e94b96" id="C41fd7360e07043a781c3b6d1842deaeb"/>
      </m:item>
      <m:item xlName="_GBC_36b753268a334bc295295f5b7ef2e253" concept="clcid-ci-ar:ShiFouShiYongYingShouPiaoJuBenQiHuaiZhangZhunBeiShouHuiHuoZhuanHuiJinEZhongYaoDe" label="是否适用：应收票据本期坏账准备收回或转回金额重要的" selectOptions="_buildInAppliance" controlType="CustomCheckbox" cRanges="[{&quot;StartName&quot;:&quot;_GBC_36b753268a334bc295295f5b7ef2e253&quot;,&quot;EndName&quot;:&quot;_GBC_40be801a8a6740b0954c81c987be3f5c&quot;,&quot;CType&quot;:1}]"/>
      <m:item xlName="_GBC_6bf049d792954bd69c7b268bcba9e0e8" concept="clcid-ci-ar:DanWeiYingShouPiaoJuBenQiHuaiZhangZhunBeiShouHuiHuoZhuanHuiJinEZhongYaoDe" label="单位：应收票据本期坏账准备收回或转回金额重要的" selectOptions="_buildInScales" controlType="Combobox" cellType="Scale" appId="_GBC_36b753268a334bc295295f5b7ef2e253"/>
      <m:item xlName="_GBC_00cf59fca5d7499a912ad1c281f33266" concept="clcid-ci-ar:BiZhongYingShouPiaoJuBenQiHuaiZhangZhunBeiShouHuiHuoZhuanHuiJinEZhongYaoDe" label="币种：应收票据本期坏账准备收回或转回金额重要的" selectOptions="_buildInISO4217" controlType="Combobox" cellType="Measure" appId="_GBC_36b753268a334bc295295f5b7ef2e253"/>
      <m:placeholder xlName="_PLD_534594ac6d6b4b0fa9dbee1ace157442" addr="T1R0C0S1_1"/>
      <m:placeholder xlName="_PLD_fa87aceabf2a4853bf24494eeb78d075" addr="T1R0C1S1_1"/>
      <m:placeholder xlName="_PLD_933b2a7071f84c6a80c359852ef10ec1" addr="T1R0C2S1_1"/>
      <m:tuple xlName="_TUP_ef720935ddb043488e43d4686cc2dd73" concept="clcid-pte:YingShouPiaoJuBenQiHuaiZhangZhunBeiShouHuiHuoZhuanHuiJinEZhongYaoMingXi" default_row="2" addr="T1R1C">
        <m:item xlName="_GBC_2a282e15615a4d96a51751bf6a4b278d" concept="clcid-pte:YingShouPiaoJuBenQiHuaiZhangZhunBeiShouHuiHuoZhuanHuiJinEZhongYaoMingXiDanWei" label="应收票据本期坏账准备收回或转回金额重要明细-单位" addr="T1R1C0S1_1" appId="_GBC_36b753268a334bc295295f5b7ef2e253"/>
        <m:item xlName="_GBC_974f11d2bbc649cdad3dd17f2c18cdbb" concept="clcid-pte:YingShouPiaoJuBenQiHuaiZhangZhunBeiShouHuiHuoZhuanHuiJinEZhongYaoMingXiFaShengE" label="应收票据本期坏账准备收回或转回金额重要明细-发生额" mulRef="_GBC_6bf049d792954bd69c7b268bcba9e0e8" unitRef="_GBC_00cf59fca5d7499a912ad1c281f33266" addr="T1R1C1S1_1" formatStyle="Comma" appId="_GBC_36b753268a334bc295295f5b7ef2e253"/>
        <m:item xlName="_GBC_390150c21d4d4e3aa9c832025d536a01" concept="clcid-pte:YingShouPiaoJuBenQiHuaiZhangZhunBeiShouHuiHuoZhuanHuiJinEZhongYaoMingXiShouHuiFangShi" label="应收票据本期坏账准备收回或转回金额重要明细-收回方式" addr="T1R1C2S1_1" appId="_GBC_36b753268a334bc295295f5b7ef2e253"/>
      </m:tuple>
      <m:placeholder xlName="_PLD_adfaab23b9594ed2af135fd78da12374" addr="T1R3C0S1_1"/>
      <m:item xlName="_GBC_40be801a8a6740b0954c81c987be3f5c" concept="clcid-pte:YingShouPiaoJuBenQiHuaiZhangZhunBeiShouHuiHuoZhuanHuiJinEZhongYaoDeJinEHeJi" label="应收票据本期坏账准备收回或转回金额重要的金额合计" mulRef="_GBC_6bf049d792954bd69c7b268bcba9e0e8" unitRef="_GBC_00cf59fca5d7499a912ad1c281f33266" addr="T1R3C1S1_1" formatStyle="Comma" appId="_GBC_36b753268a334bc295295f5b7ef2e253">
        <m:complexRule comparator="Eq" title="应收票据本期坏账准备收回或转回金额重要的金额合计" test=" $_GBC_974f11d2bbc649cdad3dd17f2c18cdbb" id="C376ddfd61b94436196f23a933a4b0830"/>
      </m:item>
      <m:item xlName="_GBC_0af093c05aa548d68103c1ac22e3200b" concept="clcid-pte:YingShouPiaoJuHuaiZhangZhunBeiDeQiTaShuoMing" label="应收票据坏账准备的其他说明" appId="_GBC_065ad100e7534037877c628171a7ddc1"/>
    </m:section>
    <m:section xlName="_SEC_d1d07f77bea54442a58602a5a3e94f42" title="本期实际核销的应收票据情况">
      <m:item xlName="_GBC_d0dcbb36ec68469bb29eac25b4a7af19" concept="clcid-ci-ar:ShiFouShiYongShiJiHeXiaoDeYingShouPiaoJu" label="是否适用：实际核销的应收票据" selectOptions="_buildInAppliance" controlType="CustomCheckbox" cRanges="[{&quot;StartName&quot;:&quot;_GBC_d0dcbb36ec68469bb29eac25b4a7af19&quot;,&quot;EndName&quot;:&quot;_GBC_8c86dcd4a5274b7cbff9fd3c37fa1dfd&quot;,&quot;CType&quot;:1}]"/>
      <m:item xlName="_GBC_d9e4a96b848d4379988e296b93896133" concept="clcid-ci-ar:DanWeiShiJiHeXiaoDeYingShouPiaoJu" label="单位：实际核销的应收票据" selectOptions="_buildInScales" controlType="Combobox" cellType="Scale" appId="_GBC_d0dcbb36ec68469bb29eac25b4a7af19"/>
      <m:item xlName="_GBC_469cbb8cb3704a6c931a42fc28f84fa5" concept="clcid-ci-ar:BiZhongShiJiHeXiaoDeYingShouPiaoJu" label="币种：实际核销的应收票据" selectOptions="_buildInISO4217" controlType="Combobox" cellType="Measure" appId="_GBC_d0dcbb36ec68469bb29eac25b4a7af19"/>
      <m:placeholder xlName="_PLD_424aabd53fd34a378eb774b9020c3ef3" addr="T0R0C0S1_1"/>
      <m:placeholder xlName="_PLD_9ebf473bcb264204993c0b7675e8243c" addr="T0R0C1S1_1"/>
      <m:placeholder xlName="_PLD_112c9624b31c4f318e01037eef5d9fac" addr="T0R1C0S1_1"/>
      <m:item xlName="_GBC_99d275067a8b4cdfb9eeeefc5c8b71dc" concept="clcid-pte:ShiJiHeXiaoDeYingShouPiaoJu" label="实际核销的应收票据" mulRef="_GBC_d9e4a96b848d4379988e296b93896133" unitRef="_GBC_469cbb8cb3704a6c931a42fc28f84fa5" addr="T0R1C1S1_1" formatStyle="Comma" appId="_GBC_d0dcbb36ec68469bb29eac25b4a7af19"/>
      <m:item xlName="_GBC_e2717d0c54ea4f5eb5b1671a3c798609" concept="clcid-ci-ar:ShiFouShiYongZhongYaoDeYingShouPiaoJuHeXiao" label="是否适用：重要的应收票据核销" selectOptions="_buildInAppliance" controlType="CustomCheckbox" cRanges="[{&quot;StartName&quot;:&quot;_GBC_e2717d0c54ea4f5eb5b1671a3c798609&quot;,&quot;EndName&quot;:&quot;_GBC_2ade785dd43345158b63c85a86c4a876&quot;,&quot;CType&quot;:1}]"/>
      <m:item xlName="_GBC_ec0c67b9aae8428a87ce5e3b890057dc" concept="clcid-ci-ar:DanWeiZhongYaoDeYingShouPiaoJuHeXiao" label="单位：重要的应收票据核销" selectOptions="_buildInScales" controlType="Combobox" cellType="Scale" appId="_GBC_e2717d0c54ea4f5eb5b1671a3c798609"/>
      <m:item xlName="_GBC_cd9294a83ec54f1bb4ec03a38f70d8e9" concept="clcid-ci-ar:BiZhongZhongYaoDeYingShouPiaoJuHeXiao" label="币种：重要的应收票据核销" selectOptions="_buildInISO4217" controlType="Combobox" cellType="Measure" appId="_GBC_e2717d0c54ea4f5eb5b1671a3c798609"/>
      <m:placeholder xlName="_PLD_0a19149b2fd342a9bb5f5ec1ad2e3857" addr="T1R0C0S1_1"/>
      <m:placeholder xlName="_PLD_7483db61578e4f62b3f81028a315f1b2" addr="T1R0C1S1_1"/>
      <m:placeholder xlName="_PLD_439512373904476699f9ba69f6bfc9f4" addr="T1R0C2S1_1"/>
      <m:placeholder xlName="_PLD_1574aab55be14ac5b7b98fa6ce1f8f66" addr="T1R0C3S1_1"/>
      <m:placeholder xlName="_PLD_f2a21017eea8470eb02bf2b3159c0dcc" addr="T1R0C4S1_1"/>
      <m:placeholder xlName="_PLD_a2c08bfed40843388290d9a782acc894" addr="T1R0C5S1_1"/>
      <m:tuple xlName="_TUP_3ade2053ed8f4dcc8b96432468c18e93" concept="clcid-pte:ZhongYaoDeYingShouPiaoJuHeXiaoMingXi" default_row="2" addr="T1R1C">
        <m:item xlName="_GBC_a402700394224998a8a6903718b46ac3" concept="clcid-pte:ZhongYaoDeYingShouPiaoJuHeXiaoMingXiDanWei" label="重要的应收票据核销明细-单位" addr="T1R1C0S1_1" appId="_GBC_e2717d0c54ea4f5eb5b1671a3c798609"/>
        <m:item xlName="_GBC_8d2af02990f945f49e1fa5a2fdd22893" concept="clcid-pte:ZhongYaoDeYingShouPiaoJuHeXiaoMingXiXingZhi" label="重要的应收票据核销明细-性质" addr="T1R1C1S1_1" appId="_GBC_e2717d0c54ea4f5eb5b1671a3c798609"/>
        <m:item xlName="_GBC_510af92336e44405aaf6747396807970" concept="clcid-pte:ZhongYaoDeYingShouPiaoJuHeXiaoMingXiHeXiaoJinE" label="重要的应收票据核销明细-核销金额" mulRef="_GBC_ec0c67b9aae8428a87ce5e3b890057dc" unitRef="_GBC_cd9294a83ec54f1bb4ec03a38f70d8e9" addr="T1R1C2S1_1" formatStyle="Comma" appId="_GBC_e2717d0c54ea4f5eb5b1671a3c798609"/>
        <m:item xlName="_GBC_0f584bdfed174c159813c18bafa4e2f4" concept="clcid-pte:ZhongYaoDeYingShouPiaoJuHeXiaoMingXiHeXiaoYuanYin" label="重要的应收票据核销明细-核销原因" addr="T1R1C3S1_1" appId="_GBC_e2717d0c54ea4f5eb5b1671a3c798609"/>
        <m:item xlName="_GBC_4db5007fc7bb48ebae10853f5930d14c" concept="clcid-pte:ZhongYaoDeYingShouPiaoJuHeXiaoMingXiLvXingDeHeXiaoChengXu" label="重要的应收票据核销明细-履行的核销程序" addr="T1R1C4S1_1" appId="_GBC_e2717d0c54ea4f5eb5b1671a3c798609"/>
        <m:item xlName="_GBC_3324e66043b84738a9bba2b50b1bcab2" concept="clcid-pte:ZhongYaoDeYingShouPiaoJuHeXiaoMingXiKuanXiangShiFouYouGuanLianJiaoYiChanSheng" label="重要的应收票据核销明细-款项是否由关联交易产生" selectOptions="_buildInYesNo" addr="T1R1C5S1_1" controlType="Combobox" appId="_GBC_e2717d0c54ea4f5eb5b1671a3c798609"/>
      </m:tuple>
      <m:placeholder xlName="_PLD_e810c06951004aec939ad64dae649f71" addr="T1R3C0S1_1"/>
      <m:item xlName="_GBC_2ade785dd43345158b63c85a86c4a876" concept="clcid-pte:ZhongYaoDeYingShouPiaoJuHeXiaoJinEHeJi" label="重要的应收票据核销金额合计" mulRef="_GBC_ec0c67b9aae8428a87ce5e3b890057dc" unitRef="_GBC_cd9294a83ec54f1bb4ec03a38f70d8e9" addr="T1R3C2S1_1" formatStyle="Comma" appId="_GBC_e2717d0c54ea4f5eb5b1671a3c798609">
        <m:complexRule comparator="Eq" title="重要的应收票据核销金额合计" test=" $_GBC_510af92336e44405aaf6747396807970" id="C663a5c96545c455b9efa43160ffe91bd"/>
      </m:item>
      <m:item xlName="_GBC_60d1268fdde049f1971e1a68d97580f2" concept="clcid-ci-ar:ShiFouShiYongYingShouPiaoJuHeXiaoShuoMing" label="是否适用：应收票据核销说明" selectOptions="_buildInAppliance" controlType="CustomCheckbox" cRanges="[{&quot;StartName&quot;:&quot;_GBC_60d1268fdde049f1971e1a68d97580f2&quot;,&quot;EndName&quot;:&quot;_GBC_8c86dcd4a5274b7cbff9fd3c37fa1dfd&quot;,&quot;CType&quot;:1}]"/>
      <m:item xlName="_GBC_8c86dcd4a5274b7cbff9fd3c37fa1dfd" concept="clcid-pte:YingShouPiaoJuHeXiaoShuoMing" label="应收票据核销说明" appId="_GBC_60d1268fdde049f1971e1a68d97580f2"/>
    </m:section>
    <m:section xlName="_GBC_c7095bafbab543a9bb9dcc587154df29" title="应收票据其他说明" rules="R2015_R11_003" convertSummaryRule="NoConvert" helpId="112001044">
      <m:item xlName="_GBC_704e24e70b65463883e10335ce93a1ac" concept="clcid-ci-ar:ShiFouShiYongYingShouPiaoJuDeShuoMing" label="是否适用：应收票据的说明" selectOptions="_buildInAppliance" controlType="CustomCheckbox" cRanges="{&quot;StartName&quot;:&quot;_GBC_704e24e70b65463883e10335ce93a1ac&quot;,&quot;EndName&quot;:&quot;_GBC_2006e891d63d493bb79a98ee1650c6ff&quot;,&quot;CType&quot;:1,&quot;DisplayText&quot;:null}"/>
      <m:item xlName="_GBC_2006e891d63d493bb79a98ee1650c6ff" concept="clcid-pte:YingShouPiaoJuDeShuoMing" label="应收票据的说明" appId="_GBC_704e24e70b65463883e10335ce93a1ac"/>
    </m:section>
    <m:section xlName="_SEC_18739d0c0efc4fe7a575a32263e5b38b" title="按账龄披露" helpText="表里的“期末账面余额”指的是包含单项计提和组合计提的期末账面余额。">
      <m:item xlName="_GBC_adacd9d7302a46dbb6fb745ac9a87bfe" concept="clcid-ci-ar:ShiFouShiYongZuHeZhongAnZhangLingFenXiFaJiTiHuaiZhangZhunBeiDeYingShouZhangKuan" label="是否适用：组合中，按账龄分析法计提坏账准备的应收账款" selectOptions="_buildInAppliance" controlType="CustomCheckbox" cRanges="[{&quot;StartName&quot;:&quot;_GBC_adacd9d7302a46dbb6fb745ac9a87bfe&quot;,&quot;EndName&quot;:&quot;_GBC_05e33d35fd974c6b9b88f9ee09f1175c&quot;,&quot;CType&quot;:1}]"/>
      <m:item xlName="_GBC_a1aaa8cef4304dbdb3226b0c37d7eaa2" concept="clcid-ci-ar:DanWeiCaiWuFuZhuDanXiangJinEBuZhongDaDanAnXinYongFengXianTeZhengZuHeHouGaiZuHeDeFengXianJiaoDaDeYingShouZhangKuan" label="单位：财务附注：单项金额不重大但按信用风险特征组合后该组合的风险较大的应收账款" selectOptions="_buildInScales" controlType="Combobox" cellType="Scale" appId="_GBC_adacd9d7302a46dbb6fb745ac9a87bfe"/>
      <m:item xlName="_GBC_23501c118c5d42ce875910cc5f1c5fe3" concept="clcid-ci-ar:BiZhongCaiWuFuZhuDanXiangJinEBuZhongDaDanAnXinYongFengXianTeZhengZuHeHouGaiZuHeDeFengXianJiaoDaDeYingShouZhangKuan" label="币种：财务附注：单项金额不重大但按信用风险特征组合后该组合的风险较大的应收账款" selectOptions="_buildInISO4217" controlType="Combobox" cellType="Measure" appId="_GBC_adacd9d7302a46dbb6fb745ac9a87bfe"/>
      <m:placeholder xlName="_PLD_cc8a2439cf1a40049647e9f82183f02a" addr="T0R0C0S1_1"/>
      <m:placeholder xlName="_PLD_39df8c40c3b34bb795f3dd83e556c1cb" addr="T0R0C1S1_1"/>
      <m:placeholder xlName="_PLD_217c8960e1b142368dda5c59f7dd6b68" addr="T0R1C0S1_2"/>
      <m:placeholder xlName="_PLD_e1f60905870b4ec086c3a5755a91109d" addr="T0R2C0S1_2"/>
      <m:tuple xlName="_TUP_d8c7f05722aa40a58eaedfec7fbecace" concept="clcid-pte:YiNianYiNeiYingShouZhangKuanJinEMingXi" default_row="2" addr="T0R3C">
        <m:item xlName="_GBC_c2830a604ea9442ea8de55aea12bd791" concept="clcid-pte:YiNianYiNeiYingShouZhangKuanZhangLingMingCheng" label="一年以内应收账款金额明细－帐龄名称" addr="T0R3C0S1_1" appId="_GBC_adacd9d7302a46dbb6fb745ac9a87bfe"/>
        <m:item xlName="_GBC_e825c5a781204838b60175b864c7b44e" concept="clcid-pte:YiNianYiNeiYingShouZhangKuanZhangMianYuE" label="一年以内应收账款金额明细－账面余额" mulRef="_GBC_a1aaa8cef4304dbdb3226b0c37d7eaa2" unitRef="_GBC_23501c118c5d42ce875910cc5f1c5fe3" addr="T0R3C1S1_1" formatStyle="Comma" appId="_GBC_adacd9d7302a46dbb6fb745ac9a87bfe"/>
      </m:tuple>
      <m:placeholder xlName="_PLD_c7d182c9cd3f494a90cf99c5a58ab86e" addr="T0R5C0S1_1"/>
      <m:item xlName="_GBC_3a6eb55a6451437fbb54d5db0b2d83ca" concept="clcid-pte:YingShouZhangKuanYiNianYiNeiHeJi" label="应收账款一年以内合计" mulRef="_GBC_a1aaa8cef4304dbdb3226b0c37d7eaa2" unitRef="_GBC_23501c118c5d42ce875910cc5f1c5fe3" addr="T0R5C1S1_1" formatStyle="Comma" appId="_GBC_adacd9d7302a46dbb6fb745ac9a87bfe"/>
      <m:placeholder xlName="_PLD_ddd035f081424c508ec3702ea96caece" addr="T0R6C0S1_1"/>
      <m:item xlName="_GBC_0a4d7449dd19496c9d3566396c3a82a4" concept="clcid-pte:YingShouZhangKuanYiZhiErNianHeJi" label="应收账款一至二年合计" mulRef="_GBC_a1aaa8cef4304dbdb3226b0c37d7eaa2" unitRef="_GBC_23501c118c5d42ce875910cc5f1c5fe3" addr="T0R6C1S1_1" formatStyle="Comma" appId="_GBC_adacd9d7302a46dbb6fb745ac9a87bfe"/>
      <m:placeholder xlName="_PLD_173769cdf4af409b9ed3b84a39f352b3" addr="T0R7C0S1_1"/>
      <m:item xlName="_GBC_d33538e7e05545debd27c26b0e763e92" concept="clcid-pte:YingShouZhangKuanErZhiSanNianHeJi" label="应收账款二至三年合计" mulRef="_GBC_a1aaa8cef4304dbdb3226b0c37d7eaa2" unitRef="_GBC_23501c118c5d42ce875910cc5f1c5fe3" addr="T0R7C1S1_1" formatStyle="Comma" appId="_GBC_adacd9d7302a46dbb6fb745ac9a87bfe"/>
      <m:placeholder xlName="_PLD_7ddcfca835a84663bade28a69e162ec0" addr="T0R8C0S1_1"/>
      <m:item xlName="_GBC_0409754fcbc54357b08e3449cbdd1627" concept="clcid-pte:YingShouZhangKuanSanNianYiShangHeJi" label="应收账款三年以上合计" mulRef="_GBC_a1aaa8cef4304dbdb3226b0c37d7eaa2" unitRef="_GBC_23501c118c5d42ce875910cc5f1c5fe3" addr="T0R8C1S1_1" formatStyle="Comma" appId="_GBC_adacd9d7302a46dbb6fb745ac9a87bfe"/>
      <m:placeholder xlName="_PLD_fd1f00d60b69467bbd45960ac76b73ab" addr="T0R9C0S1_1"/>
      <m:item xlName="_GBC_9799f2c4fa424aed93bdf021b9553421" concept="clcid-pte:YingShouZhangKuanSanZhiSiNianZhangMianYuE" label="应收账款三至四年账面余额" mulRef="_GBC_a1aaa8cef4304dbdb3226b0c37d7eaa2" unitRef="_GBC_23501c118c5d42ce875910cc5f1c5fe3" addr="T0R9C1S1_1" formatStyle="Comma" appId="_GBC_adacd9d7302a46dbb6fb745ac9a87bfe"/>
      <m:placeholder xlName="_PLD_8db7bbb254fd40b486e26e8b3e40a316" addr="T0R10C0S1_1"/>
      <m:item xlName="_GBC_6e58c5ac21c84c83a6a6a79c1eba4afc" concept="clcid-pte:YingShouZhangKuanSiZhiWuNianZhangMianYuE" label="应收账款四至五年账面余额" mulRef="_GBC_a1aaa8cef4304dbdb3226b0c37d7eaa2" unitRef="_GBC_23501c118c5d42ce875910cc5f1c5fe3" addr="T0R10C1S1_1" formatStyle="Comma" appId="_GBC_adacd9d7302a46dbb6fb745ac9a87bfe"/>
      <m:placeholder xlName="_PLD_e4213ce4e1fb477baea80cfbb361b8a7" addr="T0R11C0S1_1"/>
      <m:item xlName="_GBC_b1d70bb2fba64bb490b968b1be373d2b" concept="clcid-pte:YingShouZhangKuanWuNianYiShangZhangMianYuE" label="应收账款五年以上账面余额" mulRef="_GBC_a1aaa8cef4304dbdb3226b0c37d7eaa2" unitRef="_GBC_23501c118c5d42ce875910cc5f1c5fe3" addr="T0R11C1S1_1" formatStyle="Comma" appId="_GBC_adacd9d7302a46dbb6fb745ac9a87bfe"/>
      <m:tuple xlName="_TUP_49a65c8bff8745348a4a277e8da6df2e" concept="clcid-pte:AnZhangLingFenXiFaJiTiHuaiZhangZhunBeiDeYingShouZhangKuanMingXi" default_row="2" addr="T0R12C">
        <m:item xlName="_GBC_7625a2de1dcc4fc6a612fab1f6d7d433" concept="clcid-pte:AnZhangLingFenXiFaJiTiHuaiZhangZhunBeiDeYingShouZhangKuanMingXiZhangLing" label="按账龄分析法计提坏账准备的应收账款明细_账龄" addr="T0R12C0S1_1" appId="_GBC_adacd9d7302a46dbb6fb745ac9a87bfe"/>
        <m:item xlName="_GBC_2a1e98bea343490991e85d7c9ba5ba49" concept="clcid-pte:AnZhangLingFenXiFaJiTiHuaiZhangZhunBeiDeYingShouZhangKuanMingXiYingShouZhangKuan" label="按账龄分析法计提坏账准备的应收账款明细_应收账款" mulRef="_GBC_a1aaa8cef4304dbdb3226b0c37d7eaa2" unitRef="_GBC_23501c118c5d42ce875910cc5f1c5fe3" addr="T0R12C1S1_1" formatStyle="Comma" appId="_GBC_adacd9d7302a46dbb6fb745ac9a87bfe"/>
      </m:tuple>
      <m:placeholder xlName="_PLD_a92bd573499a45f88eb09857cbe19e80" addr="T0R14C0S1_1"/>
      <m:item xlName="_GBC_05e33d35fd974c6b9b88f9ee09f1175c" concept="clcid-pte:DanXiangJinEBuZhongDaDanAnXinYongFengXianTeZhengZuHeHouGaiZuHeDeFengXianJiaoDaDeYingShouZhangKuanHeJi" label="单项金额不重大但按信用风险特征组合后该组合的风险较大的应收账款合计" mulRef="_GBC_a1aaa8cef4304dbdb3226b0c37d7eaa2" unitRef="_GBC_23501c118c5d42ce875910cc5f1c5fe3" addr="T0R14C1S1_1" formatStyle="Comma" appId="_GBC_adacd9d7302a46dbb6fb745ac9a87bfe">
        <m:complexRule comparator="Eq" title="单项金额不重大但按信用风险特征组合后该组合的风险较大的应收账款合计" test=" $_GBC_3a6eb55a6451437fbb54d5db0b2d83ca +  $_GBC_0a4d7449dd19496c9d3566396c3a82a4 +  $_GBC_d33538e7e05545debd27c26b0e763e92 +  $_GBC_0409754fcbc54357b08e3449cbdd1627 +  $_GBC_9799f2c4fa424aed93bdf021b9553421 +  $_GBC_6e58c5ac21c84c83a6a6a79c1eba4afc +  $_GBC_b1d70bb2fba64bb490b968b1be373d2b +  $_GBC_2a1e98bea343490991e85d7c9ba5ba49" id="C7d07218b1b264a5681fa3f22742ba834"/>
      </m:item>
    </m:section>
    <m:item xlName="_GBC_fc55e6778e08412caa3e7b9e7a1a0f85" concept="clcid-ci-ar:ShiFouShiYongYingShouZhangKuanFenLeiPiLu" label="是否适用：应收账款分类披露" selectOptions="_buildInAppliance" controlType="CustomCheckbox" cRanges="[{&quot;StartName&quot;:&quot;_GBC_fc55e6778e08412caa3e7b9e7a1a0f85&quot;,&quot;EndName&quot;:&quot;_SEC_a585c426a16c4a73a2145ded2280b59a&quot;,&quot;CType&quot;:1}]"/>
    <m:section xlName="_SEC_0398db7d3d0941d99bcd41800ef0e448" title="(2). 按坏账计提方法分类披露">
      <m:item xlName="_GBC_13874a7a2d5642bc9d06df2e53ad133f" concept="clcid-ci-ar:DanWeiCaiWuFuZhuYingShouZhangKuanAnZhongLeiPiLu" label="单位：财务附注：应收账款按种类披露" selectOptions="_buildInScales" controlType="Combobox" cellType="Scale" appId="_GBC_fc55e6778e08412caa3e7b9e7a1a0f85"/>
      <m:item xlName="_GBC_a7c9ba83409d4f5ebb3a7b0903842485" concept="clcid-ci-ar:BiZhongCaiWuFuZhuYingShouZhangKuanAnZhongLeiPiLu" label="币种：财务附注：应收账款按种类披露" selectOptions="_buildInISO4217" controlType="Combobox" cellType="Measure" appId="_GBC_fc55e6778e08412caa3e7b9e7a1a0f85"/>
      <m:placeholder xlName="_PLD_a2143754c0e847e9a8bbb40d4548066c" addr="T0R0C0S3_1"/>
      <m:placeholder xlName="_PLD_25d42b68a0be4b6c9079bb6f0b9688f1" addr="T0R0C1S1_5"/>
      <m:placeholder xlName="_PLD_7ebf4817a5864c42bb0897c8ddd0cd9c" addr="T0R0C6S1_5"/>
      <m:placeholder xlName="_PLD_fd64cffe158d4ef48a5ff569de778464" addr="T0R1C1S1_2"/>
      <m:placeholder xlName="_PLD_f0f4adcb95c44cfa884ef7d853d6b134" addr="T0R1C3S1_2"/>
      <m:placeholder xlName="_PLD_4c122527ed0743b8905d9f19514f4328" addr="T0R1C5S2_1"/>
      <m:placeholder xlName="_PLD_fa758d9eb4ae426faef8e328262241b4" addr="T0R1C6S1_2"/>
      <m:placeholder xlName="_PLD_58080bac137d4831ab65bc2f8ca82429" addr="T0R1C8S1_2"/>
      <m:placeholder xlName="_PLD_c015e43e7b384b6ab9bf259155579fa4" addr="T0R1C10S2_1"/>
      <m:placeholder xlName="_PLD_2a622138bde346ccae812608989b472d" addr="T0R2C1S1_1"/>
      <m:placeholder xlName="_PLD_abd0e3a320c240aeb85b1414af26aa00" addr="T0R2C2S1_1"/>
      <m:placeholder xlName="_PLD_d60468b4e5934fb9af3ebf3b3ca06a6b" addr="T0R2C3S1_1"/>
      <m:placeholder xlName="_PLD_743ca215156149608b4d9149bc142cc3" addr="T0R2C4S1_1"/>
      <m:placeholder xlName="_PLD_88061469e7574f3d93ff9dc8f7c03e2d" addr="T0R2C6S1_1"/>
      <m:placeholder xlName="_PLD_c2b4bd19b5284f3481bdd6a3becafce0" addr="T0R2C7S1_1"/>
      <m:placeholder xlName="_PLD_c6874c65e4ac43019002d5903e4b46d6" addr="T0R2C8S1_1"/>
      <m:placeholder xlName="_PLD_0596fb5f4bb147b48d9ab2f32535e71f" addr="T0R2C9S1_1"/>
      <m:placeholder xlName="_PLD_6413454a316c4103ae8bebbae0f082c2" addr="T0R3C0S1_1"/>
      <m:item xlName="_GBC_843a216e9add47078021171b42f9169c" concept="clcid-pte:AnDanXiangJiTiHuaiZhangZhunBeiDeYingShouZhangKuanZhangMianYuE" label="按单项计提坏账准备的应收账款账面余额" mulRef="_GBC_13874a7a2d5642bc9d06df2e53ad133f" unitRef="_GBC_a7c9ba83409d4f5ebb3a7b0903842485" addr="T0R3C1S1_1" formatStyle="Comma" appId="_GBC_fc55e6778e08412caa3e7b9e7a1a0f85"/>
      <m:item xlName="_GBC_cf5615db5f81488a952629074793af4e" concept="clcid-pte:AnDanXiangJiTiHuaiZhangZhunBeiDeYingShouZhangKuanZhangMianYuEBiLi" label="按单项计提坏账准备的应收账款账面余额比例" addr="T0R3C2S1_1" baseScale="0.01" formatStyle="Comma" appId="_GBC_fc55e6778e08412caa3e7b9e7a1a0f85"/>
      <m:item xlName="_GBC_c33abc8641744116ba21018c2532428b" concept="clcid-pte:AnDanXiangJiTiHuaiZhangZhunBeiDeYingShouZhangKuanHuaiZhangZhunBei" label="按单项计提坏账准备的应收账款坏账准备" mulRef="_GBC_13874a7a2d5642bc9d06df2e53ad133f" unitRef="_GBC_a7c9ba83409d4f5ebb3a7b0903842485" addr="T0R3C3S1_1" formatStyle="Comma" appId="_GBC_fc55e6778e08412caa3e7b9e7a1a0f85"/>
      <m:item xlName="_GBC_ac55db04c49348b2a1d3dcdce5e37860" concept="clcid-pte:AnDanXiangJiTiHuaiZhangZhunBeiDeYingShouZhangKuanHuaiZhangZhunBeiJiTiBiLi" label="按单项计提坏账准备的应收账款坏账准备计提比例" addr="T0R3C4S1_1" baseScale="0.01" formatStyle="Comma" appId="_GBC_fc55e6778e08412caa3e7b9e7a1a0f85"/>
      <m:item xlName="_GBC_cb14445407594ee8a5b18026aa3bbb96" concept="clcid-pte:AnDanXiangJiTiHuaiZhangZhunBeiDeYingShouZhangKuanZhangMianJiaZhi" label="按单项计提坏账准备的应收账款账面价值" mulRef="_GBC_13874a7a2d5642bc9d06df2e53ad133f" unitRef="_GBC_a7c9ba83409d4f5ebb3a7b0903842485" addr="T0R3C5S1_1" formatStyle="Comma" appId="_GBC_fc55e6778e08412caa3e7b9e7a1a0f85"/>
      <m:item xlName="_GBC_4e55587b0d014e3baaa1d13efa80f254" concept="clcid-pte:AnDanXiangJiTiHuaiZhangZhunBeiDeYingShouZhangKuanZhangMianYuE" label="按单项计提坏账准备的应收账款账面余额" periodRef="本期期初数" mulRef="_GBC_13874a7a2d5642bc9d06df2e53ad133f" unitRef="_GBC_a7c9ba83409d4f5ebb3a7b0903842485" addr="T0R3C6S1_1" formatStyle="Comma" appId="_GBC_fc55e6778e08412caa3e7b9e7a1a0f85"/>
      <m:item xlName="_GBC_bfd399e1980b4c8db7a1fb83d4861960" concept="clcid-pte:AnDanXiangJiTiHuaiZhangZhunBeiDeYingShouZhangKuanZhangMianYuEBiLi" label="按单项计提坏账准备的应收账款账面余额比例" periodRef="本期期初数" addr="T0R3C7S1_1" baseScale="0.01" formatStyle="Comma" appId="_GBC_fc55e6778e08412caa3e7b9e7a1a0f85"/>
      <m:item xlName="_GBC_46ab32fc8c7d4a62a7de8d02c8b0f105" concept="clcid-pte:AnDanXiangJiTiHuaiZhangZhunBeiDeYingShouZhangKuanHuaiZhangZhunBei" label="按单项计提坏账准备的应收账款坏账准备" periodRef="本期期初数" mulRef="_GBC_13874a7a2d5642bc9d06df2e53ad133f" unitRef="_GBC_a7c9ba83409d4f5ebb3a7b0903842485" addr="T0R3C8S1_1" formatStyle="Comma" appId="_GBC_fc55e6778e08412caa3e7b9e7a1a0f85"/>
      <m:item xlName="_GBC_a1074ebcaf5d44abbdac416d4c19968e" concept="clcid-pte:AnDanXiangJiTiHuaiZhangZhunBeiDeYingShouZhangKuanHuaiZhangZhunBeiJiTiBiLi" label="按单项计提坏账准备的应收账款坏账准备计提比例" periodRef="本期期初数" addr="T0R3C9S1_1" baseScale="0.01" formatStyle="Comma" appId="_GBC_fc55e6778e08412caa3e7b9e7a1a0f85"/>
      <m:item xlName="_GBC_351fd6affccf432bb99c7a0ff27a6856" concept="clcid-pte:AnDanXiangJiTiHuaiZhangZhunBeiDeYingShouZhangKuanZhangMianJiaZhi" label="按单项计提坏账准备的应收账款账面价值" periodRef="本期期初数" mulRef="_GBC_13874a7a2d5642bc9d06df2e53ad133f" unitRef="_GBC_a7c9ba83409d4f5ebb3a7b0903842485" addr="T0R3C10S1_1" formatStyle="Comma" appId="_GBC_fc55e6778e08412caa3e7b9e7a1a0f85"/>
      <m:placeholder xlName="_PLD_a3793487a0154f9a85b0e94e01b6ddbe" addr="T0R4C0S1_11"/>
      <m:tuple xlName="_TUP_3a763938896845f284a4dc7df88bd4af" concept="clcid-pte:AnDanXiangJiTiHuaiZhangZhunBeiDeYingShouZhangKuanMingXi" default_row="2" addr="T0R5C">
        <m:item xlName="_GBC_3399611ce4724e1193aaefa4ea4bde46" contributeOptionTo="_GBC_8f78fdbea12b4ac894e4ebc3eb0fb04b" concept="clcid-pte:AnDanXiangJiTiHuaiZhangZhunBeiDeYingShouZhangKuanMingXiLeiBie" label="按单项计提坏账准备的应收账款明细-类别" addr="T0R5C0S1_1" tagAction="1" appId="_GBC_fc55e6778e08412caa3e7b9e7a1a0f85"/>
        <m:item xlName="_GBC_58835363af3249bca3bf1b011a831e1f" concept="clcid-pte:AnDanXiangJiTiHuaiZhangZhunBeiDeYingShouZhangKuanMingXiZhangMianYuE" label="按单项计提坏账准备的应收账款明细-账面余额" mulRef="_GBC_13874a7a2d5642bc9d06df2e53ad133f" unitRef="_GBC_a7c9ba83409d4f5ebb3a7b0903842485" addr="T0R5C1S1_1" formatStyle="Comma" appId="_GBC_fc55e6778e08412caa3e7b9e7a1a0f85"/>
        <m:item xlName="_GBC_4f8a41cc3c0940bb8e1dfcb912f65230" concept="clcid-pte:AnDanXiangJiTiHuaiZhangZhunBeiDeYingShouZhangKuanMingXiYuEBiLi" label="按单项计提坏账准备的应收账款明细-余额比例" addr="T0R5C2S1_1" baseScale="0.01" formatStyle="Comma" appId="_GBC_fc55e6778e08412caa3e7b9e7a1a0f85"/>
        <m:item xlName="_GBC_c387c768d74342298622671b6ea1b61e" concept="clcid-pte:AnDanXiangJiTiHuaiZhangZhunBeiDeYingShouZhangKuanMingXiHuaiZhangZhunBei" label="按单项计提坏账准备的应收账款明细-坏账准备" mulRef="_GBC_13874a7a2d5642bc9d06df2e53ad133f" unitRef="_GBC_a7c9ba83409d4f5ebb3a7b0903842485" addr="T0R5C3S1_1" formatStyle="Comma" appId="_GBC_fc55e6778e08412caa3e7b9e7a1a0f85"/>
        <m:item xlName="_GBC_195c413d1ce9497dbc9d6835103ef5b0" concept="clcid-pte:AnDanXiangJiTiHuaiZhangZhunBeiDeYingShouZhangKuanMingXiHuaiZhangZhunBeiJiTiBiLi" label="按单项计提坏账准备的应收账款明细-坏账准备计提比例" addr="T0R5C4S1_1" baseScale="0.01" formatStyle="Comma" appId="_GBC_fc55e6778e08412caa3e7b9e7a1a0f85"/>
        <m:item xlName="_GBC_9c6039bd92084e7eb50bb75313cf6e9f" concept="clcid-pte:AnDanXiangJiTiHuaiZhangZhunBeiDeYingShouZhangKuanMingXiZhangMianJiaZhi" label="按单项计提坏账准备的应收账款明细-账面价值" mulRef="_GBC_13874a7a2d5642bc9d06df2e53ad133f" unitRef="_GBC_a7c9ba83409d4f5ebb3a7b0903842485" addr="T0R5C5S1_1" formatStyle="Comma" appId="_GBC_fc55e6778e08412caa3e7b9e7a1a0f85"/>
        <m:item xlName="_GBC_0d9a745bd9184960a514f0e43466b19a" concept="clcid-pte:AnDanXiangJiTiHuaiZhangZhunBeiDeYingShouZhangKuanMingXiZhangMianYuE" label="按单项计提坏账准备的应收账款明细-账面余额" periodRef="本期期初数" mulRef="_GBC_13874a7a2d5642bc9d06df2e53ad133f" unitRef="_GBC_a7c9ba83409d4f5ebb3a7b0903842485" addr="T0R5C6S1_1" formatStyle="Comma" appId="_GBC_fc55e6778e08412caa3e7b9e7a1a0f85"/>
        <m:item xlName="_GBC_ffa553eeb3bf4bef8993e9c393913de6" concept="clcid-pte:AnDanXiangJiTiHuaiZhangZhunBeiDeYingShouZhangKuanMingXiYuEBiLi" label="按单项计提坏账准备的应收账款明细-余额比例" periodRef="本期期初数" addr="T0R5C7S1_1" baseScale="0.01" formatStyle="Comma" appId="_GBC_fc55e6778e08412caa3e7b9e7a1a0f85"/>
        <m:item xlName="_GBC_2434d776b3dc40639506ac04c5551c25" concept="clcid-pte:AnDanXiangJiTiHuaiZhangZhunBeiDeYingShouZhangKuanMingXiHuaiZhangZhunBei" label="按单项计提坏账准备的应收账款明细-坏账准备" periodRef="本期期初数" mulRef="_GBC_13874a7a2d5642bc9d06df2e53ad133f" unitRef="_GBC_a7c9ba83409d4f5ebb3a7b0903842485" addr="T0R5C8S1_1" formatStyle="Comma" appId="_GBC_fc55e6778e08412caa3e7b9e7a1a0f85"/>
        <m:item xlName="_GBC_ff61889030924fd68e340b04f6c83655" concept="clcid-pte:AnDanXiangJiTiHuaiZhangZhunBeiDeYingShouZhangKuanMingXiHuaiZhangZhunBeiJiTiBiLi" label="按单项计提坏账准备的应收账款明细-坏账准备计提比例" periodRef="本期期初数" addr="T0R5C9S1_1" baseScale="0.01" formatStyle="Comma" appId="_GBC_fc55e6778e08412caa3e7b9e7a1a0f85"/>
        <m:item xlName="_GBC_7d61ae03029a4f2ca8a22123c9b9e74a" concept="clcid-pte:AnDanXiangJiTiHuaiZhangZhunBeiDeYingShouZhangKuanMingXiZhangMianJiaZhi" label="按单项计提坏账准备的应收账款明细-账面价值" periodRef="本期期初数" mulRef="_GBC_13874a7a2d5642bc9d06df2e53ad133f" unitRef="_GBC_a7c9ba83409d4f5ebb3a7b0903842485" addr="T0R5C10S1_1" formatStyle="Comma" appId="_GBC_fc55e6778e08412caa3e7b9e7a1a0f85"/>
      </m:tuple>
      <m:placeholder xlName="_PLD_f288fc933fe84e6088cca1ff51abf9b8" addr="T0R7C0S1_1"/>
      <m:item xlName="_GBC_68b2788bdcba4b8ab912404e2432ec39" concept="clcid-pte:AnZuHeJiTiHuaiZhangZhunBeiDeYingShouZhangKuanZhangMianYuE" label="按组合计提坏账准备的应收账款账面余额" mulRef="_GBC_13874a7a2d5642bc9d06df2e53ad133f" unitRef="_GBC_a7c9ba83409d4f5ebb3a7b0903842485" addr="T0R7C1S1_1" formatStyle="Comma" appId="_GBC_fc55e6778e08412caa3e7b9e7a1a0f85"/>
      <m:item xlName="_GBC_b8094811ea734e268ea534eed861c6ac" concept="clcid-pte:AnZuHeJiTiHuaiZhangZhunBeiDeYingShouZhangKuanZhangMianYuEBiLi" label="按组合计提坏账准备的应收账款账面余额比例" addr="T0R7C2S1_1" baseScale="0.01" formatStyle="Comma" appId="_GBC_fc55e6778e08412caa3e7b9e7a1a0f85"/>
      <m:item xlName="_GBC_3250d73456554221a2a71983736ce4d3" concept="clcid-pte:AnZuHeJiTiHuaiZhangZhunBeiDeYingShouZhangKuanHuaiZhangZhunBei" label="按组合计提坏账准备的应收账款坏账准备" mulRef="_GBC_13874a7a2d5642bc9d06df2e53ad133f" unitRef="_GBC_a7c9ba83409d4f5ebb3a7b0903842485" addr="T0R7C3S1_1" formatStyle="Comma" appId="_GBC_fc55e6778e08412caa3e7b9e7a1a0f85"/>
      <m:item xlName="_GBC_2646e72ff27e472586d5f6e1a7790d54" concept="clcid-pte:AnZuHeJiTiHuaiZhangZhunBeiDeYingShouZhangKuanHuaiZhangZhunBeiJiTiBiLi" label="按组合计提坏账准备的应收账款坏账准备计提比例" addr="T0R7C4S1_1" baseScale="0.01" formatStyle="Comma" appId="_GBC_fc55e6778e08412caa3e7b9e7a1a0f85"/>
      <m:item xlName="_GBC_cc6d97fde24d49f59fd7c5d368d1320c" concept="clcid-pte:AnZuHeJiTiHuaiZhangZhunBeiDeYingShouZhangKuanZhangMianJiaZhi" label="按组合计提坏账准备的应收账款账面价值" mulRef="_GBC_13874a7a2d5642bc9d06df2e53ad133f" unitRef="_GBC_a7c9ba83409d4f5ebb3a7b0903842485" addr="T0R7C5S1_1" formatStyle="Comma" appId="_GBC_fc55e6778e08412caa3e7b9e7a1a0f85"/>
      <m:item xlName="_GBC_b89c918b4dc34b52af9e5a18e163bd15" concept="clcid-pte:AnZuHeJiTiHuaiZhangZhunBeiDeYingShouZhangKuanZhangMianYuE" label="按组合计提坏账准备的应收账款账面余额" periodRef="本期期初数" mulRef="_GBC_13874a7a2d5642bc9d06df2e53ad133f" unitRef="_GBC_a7c9ba83409d4f5ebb3a7b0903842485" addr="T0R7C6S1_1" formatStyle="Comma" appId="_GBC_fc55e6778e08412caa3e7b9e7a1a0f85"/>
      <m:item xlName="_GBC_4a4786c060a34436b55f4020c5400f27" concept="clcid-pte:AnZuHeJiTiHuaiZhangZhunBeiDeYingShouZhangKuanZhangMianYuEBiLi" label="按组合计提坏账准备的应收账款账面余额比例" periodRef="本期期初数" addr="T0R7C7S1_1" baseScale="0.01" formatStyle="Comma" appId="_GBC_fc55e6778e08412caa3e7b9e7a1a0f85"/>
      <m:item xlName="_GBC_740364f8daad4433a9929e16f69cdeac" concept="clcid-pte:AnZuHeJiTiHuaiZhangZhunBeiDeYingShouZhangKuanHuaiZhangZhunBei" label="按组合计提坏账准备的应收账款坏账准备" periodRef="本期期初数" mulRef="_GBC_13874a7a2d5642bc9d06df2e53ad133f" unitRef="_GBC_a7c9ba83409d4f5ebb3a7b0903842485" addr="T0R7C8S1_1" formatStyle="Comma" appId="_GBC_fc55e6778e08412caa3e7b9e7a1a0f85"/>
      <m:item xlName="_GBC_05b624e18b304f1ba0fa9e45a8c49d6e" concept="clcid-pte:AnZuHeJiTiHuaiZhangZhunBeiDeYingShouZhangKuanHuaiZhangZhunBeiJiTiBiLi" label="按组合计提坏账准备的应收账款坏账准备计提比例" periodRef="本期期初数" addr="T0R7C9S1_1" baseScale="0.01" formatStyle="Comma" appId="_GBC_fc55e6778e08412caa3e7b9e7a1a0f85"/>
      <m:item xlName="_GBC_c721f4acedb54d95ac81902d7a5309e5" concept="clcid-pte:AnZuHeJiTiHuaiZhangZhunBeiDeYingShouZhangKuanZhangMianJiaZhi" label="按组合计提坏账准备的应收账款账面价值" periodRef="本期期初数" mulRef="_GBC_13874a7a2d5642bc9d06df2e53ad133f" unitRef="_GBC_a7c9ba83409d4f5ebb3a7b0903842485" addr="T0R7C10S1_1" formatStyle="Comma" appId="_GBC_fc55e6778e08412caa3e7b9e7a1a0f85"/>
      <m:placeholder xlName="_PLD_55a01fc28b044e40bd4e4399252665c0" addr="T0R8C0S1_11"/>
      <m:tuple xlName="_TUP_01960bfe94fc450d9a465ddf3f2cfd76" concept="clcid-pte:AnZuHeJiTiHuaiZhangZhunBeiDeYingShouZhangKuanMingXi" default_row="2" addr="T0R9C">
        <m:item xlName="_GBC_c5f1817705f34c9782f585b3ed10e2db" contributeOptionTo="_GBC_fec033684b6e412cabcd0e0ea1c6cb96" concept="clcid-pte:AnZuHeJiTiHuaiZhangZhunBeiDeYingShouZhangKuanMingXiZuHeMingCheng" label="按组合计提坏账准备的应收账款明细-组合名称" addr="T0R9C0S1_1" tagAction="1" appId="_GBC_fc55e6778e08412caa3e7b9e7a1a0f85"/>
        <m:item xlName="_GBC_37992804355f41fbac660f41ba6c77ab" concept="clcid-pte:AnZuHeJiTiHuaiZhangZhunBeiDeYingShouZhangKuanMingXiZhangMianYuE" label="按组合计提坏账准备的应收账款明细-账面余额" mulRef="_GBC_13874a7a2d5642bc9d06df2e53ad133f" unitRef="_GBC_a7c9ba83409d4f5ebb3a7b0903842485" addr="T0R9C1S1_1" formatStyle="Comma" appId="_GBC_fc55e6778e08412caa3e7b9e7a1a0f85"/>
        <m:item xlName="_GBC_91a893ab3f984fe98ec5b01a79ed9d63" concept="clcid-pte:AnZuHeJiTiHuaiZhangZhunBeiDeYingShouZhangKuanMingXiZhangMianYuEBiLi" label="按组合计提坏账准备的应收账款明细-账面余额比例" addr="T0R9C2S1_1" baseScale="0.01" formatStyle="Comma" appId="_GBC_fc55e6778e08412caa3e7b9e7a1a0f85"/>
        <m:item xlName="_GBC_f4fc4b53edad4a5ea386abef258c19fc" concept="clcid-pte:AnZuHeJiTiHuaiZhangZhunBeiDeYingShouZhangKuanMingXiHuaiZhangZhunBeiJinE" label="按组合计提坏账准备的应收账款明细-坏账准备金额" mulRef="_GBC_13874a7a2d5642bc9d06df2e53ad133f" unitRef="_GBC_a7c9ba83409d4f5ebb3a7b0903842485" addr="T0R9C3S1_1" formatStyle="Comma" appId="_GBC_fc55e6778e08412caa3e7b9e7a1a0f85"/>
        <m:item xlName="_GBC_2bf908837e944cf6adb2919c400cfdb7" concept="clcid-pte:AnZuHeJiTiHuaiZhangZhunBeiDeYingShouZhangKuanMingXiHuaiZhangZhunBeiBiLi" label="按组合计提坏账准备的应收账款明细-坏账准备比例" addr="T0R9C4S1_1" baseScale="0.01" formatStyle="Comma" appId="_GBC_fc55e6778e08412caa3e7b9e7a1a0f85"/>
        <m:item xlName="_GBC_4618834c2a1c4537bd7a39beb9722ead" concept="clcid-pte:AnZuHeJiTiHuaiZhangZhunBeiDeYingShouZhangKuanMingXiZhangMianJiaZhi" label="按组合计提坏账准备的应收账款明细-账面价值" mulRef="_GBC_13874a7a2d5642bc9d06df2e53ad133f" unitRef="_GBC_a7c9ba83409d4f5ebb3a7b0903842485" addr="T0R9C5S1_1" formatStyle="Comma" appId="_GBC_fc55e6778e08412caa3e7b9e7a1a0f85"/>
        <m:item xlName="_GBC_211b187a5f66427a817f77b061bebde7" concept="clcid-pte:AnZuHeJiTiHuaiZhangZhunBeiDeYingShouZhangKuanMingXiZhangMianYuE" label="按组合计提坏账准备的应收账款明细-账面余额" periodRef="本期期初数" mulRef="_GBC_13874a7a2d5642bc9d06df2e53ad133f" unitRef="_GBC_a7c9ba83409d4f5ebb3a7b0903842485" addr="T0R9C6S1_1" formatStyle="Comma" appId="_GBC_fc55e6778e08412caa3e7b9e7a1a0f85"/>
        <m:item xlName="_GBC_3af4eb3e22f24472a38d207b85081960" concept="clcid-pte:AnZuHeJiTiHuaiZhangZhunBeiDeYingShouZhangKuanMingXiZhangMianYuEBiLi" label="按组合计提坏账准备的应收账款明细-账面余额比例" periodRef="本期期初数" addr="T0R9C7S1_1" baseScale="0.01" formatStyle="Comma" appId="_GBC_fc55e6778e08412caa3e7b9e7a1a0f85"/>
        <m:item xlName="_GBC_1743940a5dc34b3e8f81691678138555" concept="clcid-pte:AnZuHeJiTiHuaiZhangZhunBeiDeYingShouZhangKuanMingXiHuaiZhangZhunBeiJinE" label="按组合计提坏账准备的应收账款明细-坏账准备金额" periodRef="本期期初数" mulRef="_GBC_13874a7a2d5642bc9d06df2e53ad133f" unitRef="_GBC_a7c9ba83409d4f5ebb3a7b0903842485" addr="T0R9C8S1_1" formatStyle="Comma" appId="_GBC_fc55e6778e08412caa3e7b9e7a1a0f85"/>
        <m:item xlName="_GBC_c714ee77918f438b8646aace32e23066" concept="clcid-pte:AnZuHeJiTiHuaiZhangZhunBeiDeYingShouZhangKuanMingXiHuaiZhangZhunBeiBiLi" label="按组合计提坏账准备的应收账款明细-坏账准备比例" periodRef="本期期初数" addr="T0R9C9S1_1" baseScale="0.01" formatStyle="Comma" appId="_GBC_fc55e6778e08412caa3e7b9e7a1a0f85"/>
        <m:item xlName="_GBC_b89eea991f2c4107b931d08871378cb2" concept="clcid-pte:AnZuHeJiTiHuaiZhangZhunBeiDeYingShouZhangKuanMingXiZhangMianJiaZhi" label="按组合计提坏账准备的应收账款明细-账面价值" periodRef="本期期初数" mulRef="_GBC_13874a7a2d5642bc9d06df2e53ad133f" unitRef="_GBC_a7c9ba83409d4f5ebb3a7b0903842485" addr="T0R9C10S1_1" formatStyle="Comma" appId="_GBC_fc55e6778e08412caa3e7b9e7a1a0f85"/>
      </m:tuple>
      <m:placeholder xlName="_PLD_435141e2dc244009953ee87401ee0c5d" addr="T0R11C0S1_1"/>
      <m:item xlName="_GBC_b68dd064eff848ce8d36b9d1c5cb5942" concept="clcid-pte:YingShouZhangKuanHeJi" label="应收账款合计" mulRef="_GBC_13874a7a2d5642bc9d06df2e53ad133f" unitRef="_GBC_a7c9ba83409d4f5ebb3a7b0903842485" addr="T0R11C1S1_1" formatStyle="Comma" appId="_GBC_fc55e6778e08412caa3e7b9e7a1a0f85">
        <m:complexRule comparator="Eq" title="应收账款合计" test=" $_GBC_843a216e9add47078021171b42f9169c +  $_GBC_68b2788bdcba4b8ab912404e2432ec39" id="Ce32eece96f75462d9f7f3d9c5a32e156"/>
      </m:item>
      <m:item xlName="_GBC_15d7cdaa10654d14bfe42b415811da90" concept="clcid-pte:YingShouZhangKuanJiTiDeHuaiZhangZhunBeiYuE" label="应收账款计提的坏账准备余额" mulRef="_GBC_13874a7a2d5642bc9d06df2e53ad133f" unitRef="_GBC_a7c9ba83409d4f5ebb3a7b0903842485" addr="T0R11C3S1_1" formatStyle="Comma" appId="_GBC_fc55e6778e08412caa3e7b9e7a1a0f85">
        <m:complexRule comparator="Eq" title="应收账款计提的坏账准备余额" test=" $_GBC_c33abc8641744116ba21018c2532428b +  $_GBC_3250d73456554221a2a71983736ce4d3" id="C7b6ddaa49c1f4587a76e30281fe46e95"/>
      </m:item>
      <m:item xlName="_GBC_b2fa2b1ae3964481a8678ce76da6f8c4" concept="clcid-pte:YingShouZhangKuanZhangMianJiaZhiHeJi" label="应收账款账面价值合计" mulRef="_GBC_13874a7a2d5642bc9d06df2e53ad133f" unitRef="_GBC_a7c9ba83409d4f5ebb3a7b0903842485" addr="T0R11C5S1_1" formatStyle="Comma" appId="_GBC_fc55e6778e08412caa3e7b9e7a1a0f85">
        <m:complexRule comparator="Eq" title="应收账款账面价值合计" test=" $_GBC_cb14445407594ee8a5b18026aa3bbb96 +  $_GBC_cc6d97fde24d49f59fd7c5d368d1320c" id="C7ad8cc74e75c4b7e8f71e0de56d1c9b8"/>
      </m:item>
      <m:item xlName="_GBC_04fbb11645ef4ae2960094af968dd848" concept="clcid-pte:YingShouZhangKuanHeJi" label="应收账款合计" periodRef="本期期初数" mulRef="_GBC_13874a7a2d5642bc9d06df2e53ad133f" unitRef="_GBC_a7c9ba83409d4f5ebb3a7b0903842485" addr="T0R11C6S1_1" formatStyle="Comma" appId="_GBC_fc55e6778e08412caa3e7b9e7a1a0f85">
        <m:complexRule comparator="Eq" title="应收账款合计@本期期初数" test=" $_GBC_4e55587b0d014e3baaa1d13efa80f254 +  $_GBC_b89c918b4dc34b52af9e5a18e163bd15" id="C5bb862b3777849cb8fd74b42be2711fa"/>
      </m:item>
      <m:item xlName="_GBC_e49d578e612b44619fc1d17a5386d3b3" concept="clcid-pte:YingShouZhangKuanJiTiDeHuaiZhangZhunBeiYuE" label="应收账款计提的坏账准备余额" periodRef="本期期初数" mulRef="_GBC_13874a7a2d5642bc9d06df2e53ad133f" unitRef="_GBC_a7c9ba83409d4f5ebb3a7b0903842485" addr="T0R11C8S1_1" formatStyle="Comma" appId="_GBC_fc55e6778e08412caa3e7b9e7a1a0f85">
        <m:complexRule comparator="Eq" title="应收账款计提的坏账准备余额@本期期初数" test=" $_GBC_46ab32fc8c7d4a62a7de8d02c8b0f105 +  $_GBC_740364f8daad4433a9929e16f69cdeac" id="C57560a4a70bb4b5ebd95972e5b05f028"/>
      </m:item>
      <m:item xlName="_GBC_df1d1af64f64434fb7017024bdd7e0a3" concept="clcid-pte:YingShouZhangKuanZhangMianJiaZhiHeJi" label="应收账款账面价值合计" periodRef="本期期初数" mulRef="_GBC_13874a7a2d5642bc9d06df2e53ad133f" unitRef="_GBC_a7c9ba83409d4f5ebb3a7b0903842485" addr="T0R11C10S1_1" formatStyle="Comma" appId="_GBC_fc55e6778e08412caa3e7b9e7a1a0f85">
        <m:complexRule comparator="Eq" title="应收账款账面价值合计@本期期初数" test=" $_GBC_351fd6affccf432bb99c7a0ff27a6856 +  $_GBC_c721f4acedb54d95ac81902d7a5309e5" id="C9594905e359b4bbebf5c526e4c27919d"/>
      </m:item>
    </m:section>
    <m:section xlName="_SEC_498beef22f03474fa398c526ee8a934d" title="按单项计提坏账准备：">
      <m:item xlName="_GBC_e07c01cfb2fe4b05a2bb603b7f914946" concept="clcid-ci-ar:ShiFouShiYongAnDanXiangJiTiHuaiZhangZhunBeiDeYingShouZhangKuanXiangXiQingKuang" label="是否适用：按单项计提坏账准备的应收账款详细情况" selectOptions="_buildInAppliance" controlType="CustomCheckbox" cRanges="[{&quot;StartName&quot;:&quot;_GBC_e07c01cfb2fe4b05a2bb603b7f914946&quot;,&quot;EndName&quot;:&quot;_GBC_84f1e5fc17da47acbbd35d1f93f7037a&quot;,&quot;CType&quot;:1}]"/>
      <m:item xlName="_GBC_5737c621553040588c35a299b21bda52" concept="clcid-pte:DanWeiAnDanXiangJiTiHuaiZhangZhunBeiDeYingShouZhangKuanXiangXiQingKuang" label="单位：按单项计提坏账准备的应收账款详细情况" selectOptions="_buildInScales" controlType="Combobox" cellType="Scale" appId="_GBC_e07c01cfb2fe4b05a2bb603b7f914946"/>
      <m:item xlName="_GBC_b6cb9fb35a4a4033912355f7cb997afb" concept="clcid-pte:BiZhongAnDanXiangJiTiHuaiZhangZhunBeiDeYingShouZhangKuanXiangXiQingKuang" label="币种：按单项计提坏账准备的应收账款详细情况" selectOptions="_buildInISO4217" controlType="Combobox" cellType="Measure" appId="_GBC_e07c01cfb2fe4b05a2bb603b7f914946"/>
      <m:placeholder xlName="_PLD_886503527dee421ca2c31b493a41ab31" addr="T0R0C0S2_1"/>
      <m:placeholder xlName="_PLD_e08f6e696f224538a07af6226cb97b93" addr="T0R0C1S1_4"/>
      <m:placeholder xlName="_PLD_464a1be46d05424da4883a8442e8eecd" addr="T0R1C1S1_1"/>
      <m:placeholder xlName="_PLD_3d0d70541d9a48beb1c29f819592f107" addr="T0R1C2S1_1"/>
      <m:placeholder xlName="_PLD_76393245336e41aa891aec8c50271105" addr="T0R1C3S1_1"/>
      <m:placeholder xlName="_PLD_950e8014be3245d1a45783884c32208d" addr="T0R1C4S1_1"/>
      <m:tuple xlName="_TUP_669c106056fb4de3b5f357a932630dad" concept="clcid-pte:AnDanXiangJiTiHuaiZhangZhunBeiDeYingShouZhangKuanXiangXiMingChengMingXi" default_row="2" addr="T0R2C">
        <m:item xlName="_GBC_abfcf6b6fbfd457fa96490924ca16ed8" concept="clcid-pte:AnDanXiangJiTiHuaiZhangZhunBeiDeYingShouZhangKuanXiangXiMingChengMingXiMingCheng" label="按单项计提坏账准备的应收账款详细名称明细-名称" addr="T0R2C0S1_1" appId="_GBC_e07c01cfb2fe4b05a2bb603b7f914946"/>
        <m:item xlName="_GBC_a428c8b4e18b4fe78e6329ee5dce824e" concept="clcid-pte:AnDanXiangJiTiHuaiZhangZhunBeiDeYingShouZhangKuanXiangXiMingChengMingXiZhangMianYuE" label="按单项计提坏账准备的应收账款详细名称明细-账面余额" mulRef="_GBC_5737c621553040588c35a299b21bda52" unitRef="_GBC_b6cb9fb35a4a4033912355f7cb997afb" addr="T0R2C1S1_1" formatStyle="Comma" appId="_GBC_e07c01cfb2fe4b05a2bb603b7f914946"/>
        <m:item xlName="_GBC_347951f4f0aa4c18b60a41e4adfb0b00" concept="clcid-pte:AnDanXiangJiTiHuaiZhangZhunBeiDeYingShouZhangKuanXiangXiMingChengMingXiHuaiZhangZhunBei" label="按单项计提坏账准备的应收账款详细名称明细-坏账准备" mulRef="_GBC_5737c621553040588c35a299b21bda52" unitRef="_GBC_b6cb9fb35a4a4033912355f7cb997afb" addr="T0R2C2S1_1" formatStyle="Comma" appId="_GBC_e07c01cfb2fe4b05a2bb603b7f914946"/>
        <m:item xlName="_GBC_cd37674b97724d2ba31230471472b253" concept="clcid-pte:AnDanXiangJiTiHuaiZhangZhunBeiDeYingShouZhangKuanXiangXiMingChengMingXiHuaiZhangZhunBeiJiTiBiLi" label="按单项计提坏账准备的应收账款详细名称明细-坏账准备计提比例" addr="T0R2C3S1_1" baseScale="0.01" formatStyle="Comma" appId="_GBC_e07c01cfb2fe4b05a2bb603b7f914946"/>
        <m:item xlName="_GBC_f8e2cec195794527827078f5f506a5be" concept="clcid-pte:AnDanXiangJiTiHuaiZhangZhunBeiDeYingShouZhangKuanXiangXiMingChengMingXiHuaiZhangZhunBeiJiTiLiYou" label="按单项计提坏账准备的应收账款详细名称明细-坏账准备计提理由" addr="T0R2C4S1_1" appId="_GBC_e07c01cfb2fe4b05a2bb603b7f914946"/>
      </m:tuple>
      <m:placeholder xlName="_PLD_9ee856e0edf24e449ccd22d8f0f07348" addr="T0R4C0S1_1"/>
      <m:item xlName="_GBC_3f9065d582044bc99f8aceec304f3632" concept="clcid-pte:AnDanXiangJiTiHuaiZhangZhunBeiDeYingShouZhangKuanZhangMianYuE" label="按单项计提坏账准备的应收账款账面余额" mulRef="_GBC_5737c621553040588c35a299b21bda52" unitRef="_GBC_b6cb9fb35a4a4033912355f7cb997afb" addr="T0R4C1S1_1" formatStyle="Comma" appId="_GBC_e07c01cfb2fe4b05a2bb603b7f914946">
        <m:complexRule comparator="Eq" title="按单项计提坏账准备的应收账款明细-账面余额" test=" $_GBC_a428c8b4e18b4fe78e6329ee5dce824e" id="Cb188bbf800044155a81c5fbace58b55a"/>
      </m:item>
      <m:item xlName="_GBC_6937db3fba86497db5a874e4c300ea38" concept="clcid-pte:AnDanXiangJiTiHuaiZhangZhunBeiDeYingShouZhangKuanHuaiZhangZhunBei" label="按单项计提坏账准备的应收账款坏账准备" mulRef="_GBC_5737c621553040588c35a299b21bda52" unitRef="_GBC_b6cb9fb35a4a4033912355f7cb997afb" addr="T0R4C2S1_1" formatStyle="Comma" appId="_GBC_e07c01cfb2fe4b05a2bb603b7f914946">
        <m:complexRule comparator="Eq" title="按单项计提坏账准备的应收账款明细-坏账准备" test=" $_GBC_347951f4f0aa4c18b60a41e4adfb0b00" id="C89081164204040028f9e6f9ae574e6f3"/>
      </m:item>
      <m:item xlName="_GBC_c1f0af30c0414a01b402390529177365" concept="clcid-pte:AnDanXiangJiTiHuaiZhangZhunBeiDeYingShouZhangKuanHuaiZhangZhunBeiJiTiBiLi" label="按单项计提坏账准备的应收账款坏账准备计提比例" addr="T0R4C3S1_1" baseScale="0.01" formatStyle="Comma" appId="_GBC_e07c01cfb2fe4b05a2bb603b7f914946">
        <m:complexRule comparator="Eq" title="按单项计提坏账准备的应收账款明细-坏账准备计提比例" id="Cade35a5ead0a4a10ae05afe0a30c1a85"/>
      </m:item>
      <m:item xlName="_GBC_5058bdcf98524a1ba98e4618d094237d" concept="clcid-pte:ShiFouShiYongAnDanXiangJiTiHuaiZhangZhunBeiDeYingShouZhangKuanShuoMing" label="是否适用：按单项计提坏账准备的应收账款说明" selectOptions="_buildInAppliance" controlType="CustomCheckbox" cRanges="[{&quot;StartName&quot;:&quot;_GBC_5058bdcf98524a1ba98e4618d094237d&quot;,&quot;EndName&quot;:&quot;_GBC_84f1e5fc17da47acbbd35d1f93f7037a&quot;,&quot;CType&quot;:1}]"/>
      <m:item xlName="_GBC_84f1e5fc17da47acbbd35d1f93f7037a" concept="clcid-pte:AnDanXiangJiTiHuaiZhangZhunBeiDeYingShouZhangKuanShuoMing" label="按单项计提坏账准备的应收账款说明" appId="_GBC_5058bdcf98524a1ba98e4618d094237d"/>
    </m:section>
    <m:item xlName="_GBC_47a07baa9a4f4c5ea6de193ae7b87e74" concept="clcid-ci-ar:ShiFouShiYongAnZuHeJiTiHuaiZhangZhunBeiDeYingShouZhangKuanXiangXiQingKuang" label="是否适用：按组合计提坏账准备的应收账款详细情况" selectOptions="_buildInAppliance" controlType="CustomCheckbox" cRanges="[{&quot;StartName&quot;:&quot;_GBC_47a07baa9a4f4c5ea6de193ae7b87e74&quot;,&quot;EndName&quot;:&quot;_SEC_f085826b570e4937b558307522853cff&quot;,&quot;CType&quot;:1}]"/>
    <m:section xlName="_SEC_f085826b570e4937b558307522853cff" title="组合计提项目" repeatable="1" tupleConcept="clcid-pte:AnZuHeJiTiHuaiZhangZhunBeiDeYingShouZhangKuanXiangXiMingXi">
      <m:item xlName="_GBC_fec033684b6e412cabcd0e0ea1c6cb96" contributeOptionTo="_GBC_c5f1817705f34c9782f585b3ed10e2db" concept="clcid-pte:AnZuHeJiTiHuaiZhangZhunBeiDeYingShouZhangKuanMingXiZuHeMingCheng" label="按组合计提坏账准备的应收账款明细-组合名称" controlType="Combobox" appId="_GBC_47a07baa9a4f4c5ea6de193ae7b87e74"/>
      <m:item xlName="_GBC_ccac8c131a6748e699800a5f25e5efcf" concept="clcid-pte:DanWeiAnZuHeJiTiHuaiZhangZhunBeiDeYingShouZhangKuanXiangXiQingKuang" label="单位：按组合计提坏账准备的应收账款详细情况" selectOptions="_buildInScales" controlType="Combobox" cellType="Scale" appId="_GBC_47a07baa9a4f4c5ea6de193ae7b87e74"/>
      <m:item xlName="_GBC_f0296899749441bf8c33f5882df60a71" concept="clcid-pte:BiZhongAnZuHeJiTiHuaiZhangZhunBeiDeYingShouZhangKuanXiangXiQingKuang" label="币种：按组合计提坏账准备的应收账款详细情况" selectOptions="_buildInISO4217" controlType="Combobox" cellType="Measure" appId="_GBC_47a07baa9a4f4c5ea6de193ae7b87e74"/>
      <m:placeholder xlName="_PLD_331ca2a43a5247699c45fd6309aee7fd" addr="T0R0C0S2_1"/>
      <m:placeholder xlName="_PLD_271f4f470bff48e385b1a5d9080fde35" addr="T0R0C1S1_3"/>
      <m:placeholder xlName="_PLD_e1c956de9b3b4544a5d0584eaaf6aea2" addr="T0R1C1S1_1"/>
      <m:placeholder xlName="_PLD_0098acb8b7f640f29f65a14017e23f02" addr="T0R1C2S1_1"/>
      <m:placeholder xlName="_PLD_290bbc3bde3c43c487996752ceb95160" addr="T0R1C3S1_1"/>
      <m:tuple xlName="_TUP_787dccbb6b7545edb25916e256cf8697" concept="clcid-pte:AnZuHeJiTiHuaiZhangZhunBeiDeYingShouZhangKuanXiangXiMingChengMingXi" default_row="2" addr="T0R2C">
        <m:item xlName="_GBC_6c971a3913cf49ba965c7967bc94e6ee" concept="clcid-pte:AnZuHeJiTiHuaiZhangZhunBeiDeYingShouZhangKuanXiangXiMingChengMingXiMingCheng" label="按组合计提坏账准备的应收账款详细名称明细-名称" addr="T0R2C0S1_1" appId="_GBC_47a07baa9a4f4c5ea6de193ae7b87e74"/>
        <m:item xlName="_GBC_7dc1f5699f8f4212a3c7d6a165fab7b7" concept="clcid-pte:AnZuHeJiTiHuaiZhangZhunBeiDeYingShouZhangKuanXiangXiMingChengMingXiZhangMianYuE" label="按组合计提坏账准备的应收账款详细名称明细-账面余额" mulRef="_GBC_ccac8c131a6748e699800a5f25e5efcf" unitRef="_GBC_f0296899749441bf8c33f5882df60a71" addr="T0R2C1S1_1" formatStyle="Comma" appId="_GBC_47a07baa9a4f4c5ea6de193ae7b87e74"/>
        <m:item xlName="_GBC_4ac649c534e2484aa71f3bfc54f817c2" concept="clcid-pte:AnZuHeJiTiHuaiZhangZhunBeiDeYingShouZhangKuanXiangXiMingChengMingXiHuaiZhangZhunBei" label="按组合计提坏账准备的应收账款详细名称明细-坏账准备" mulRef="_GBC_ccac8c131a6748e699800a5f25e5efcf" unitRef="_GBC_f0296899749441bf8c33f5882df60a71" addr="T0R2C2S1_1" formatStyle="Comma" appId="_GBC_47a07baa9a4f4c5ea6de193ae7b87e74"/>
        <m:item xlName="_GBC_80143061252d414495a71fd4ec6917e1" concept="clcid-pte:AnZuHeJiTiHuaiZhangZhunBeiDeYingShouZhangKuanXiangXiMingChengMingXiHuaiZhangZhunBeiJiTiBiLi" label="按组合计提坏账准备的应收账款详细名称明细-坏账准备计提比例" addr="T0R2C3S1_1" baseScale="0.01" formatStyle="Comma" appId="_GBC_47a07baa9a4f4c5ea6de193ae7b87e74"/>
      </m:tuple>
      <m:placeholder xlName="_PLD_9a3bf225ae544565ad2cb49381fcaca1" addr="T0R4C0S1_1"/>
      <m:item xlName="_GBC_10f8b852d4ab4149a06b17cede57134f" concept="clcid-pte:AnZuHeJiTiHuaiZhangZhunBeiDeYingShouZhangKuanMingXiZhangMianYuE" label="按组合计提坏账准备的应收账款明细-账面余额" mulRef="_GBC_ccac8c131a6748e699800a5f25e5efcf" unitRef="_GBC_f0296899749441bf8c33f5882df60a71" addr="T0R4C1S1_1" formatStyle="Comma" appId="_GBC_47a07baa9a4f4c5ea6de193ae7b87e74">
        <m:complexRule comparator="Eq" title="按组合计提坏账准备的应收账款明细-账面余额" id="Cb2f7e4d2f0694b688673e34adc1fec4c"/>
      </m:item>
      <m:item xlName="_GBC_503a97e8902d46f58d0cda0545c442c5" concept="clcid-pte:AnZuHeJiTiHuaiZhangZhunBeiDeYingShouZhangKuanMingXiHuaiZhangZhunBeiJinE" label="按组合计提坏账准备的应收账款明细-坏账准备金额" mulRef="_GBC_ccac8c131a6748e699800a5f25e5efcf" unitRef="_GBC_f0296899749441bf8c33f5882df60a71" addr="T0R4C2S1_1" formatStyle="Comma" appId="_GBC_47a07baa9a4f4c5ea6de193ae7b87e74">
        <m:complexRule comparator="Eq" title="按组合计提坏账准备的应收账款明细-坏账准备金额" id="C5fb6d93a4c6f423bb3fbbdeb5691b283"/>
      </m:item>
      <m:item xlName="_GBC_ec982ea8b47148eb8b928302f1393ba7" concept="clcid-pte:AnZuHeJiTiHuaiZhangZhunBeiDeYingShouZhangKuanMingXiHuaiZhangZhunBeiBiLi" label="按组合计提坏账准备的应收账款明细-坏账准备比例" addr="T0R4C3S1_1" baseScale="0.01" formatStyle="Comma" appId="_GBC_47a07baa9a4f4c5ea6de193ae7b87e74">
        <m:complexRule comparator="Eq" title="按组合计提坏账准备的应收账款明细-坏账准备比例" id="C5673cefc128f423eb7de3ae457ec3a7f"/>
      </m:item>
      <m:item xlName="_GBC_8361cfeb973b4073b7fdbd49a393b38c" concept="clcid-pte:ShiFouShiYongAnZuHeJiTiHuaiZhangZhunBeiDeYingShouZhangKuanQueRenBiaoZhun" label="是否适用：按组合计提坏账准备的应收账款确认标准" selectOptions="_buildInAppliance" controlType="CustomCheckbox" cRanges="[{&quot;StartName&quot;:&quot;_GBC_8361cfeb973b4073b7fdbd49a393b38c&quot;,&quot;EndName&quot;:&quot;_GBC_0fdd528f57da417a993d3f091b676d12&quot;,&quot;CType&quot;:1}]"/>
      <m:item xlName="_GBC_0fdd528f57da417a993d3f091b676d12" concept="clcid-pte:AnZuHeJiTiHuaiZhangZhunBeiDeYingShouZhangKuanQueRenBiaoZhun" label="按组合计提坏账准备的应收账款确认标准" appId="_GBC_8361cfeb973b4073b7fdbd49a393b38c"/>
    </m:section>
    <m:section xlName="_SEC_a585c426a16c4a73a2145ded2280b59a" title="如按预期信用损失一般模型计提坏账准备，请参照其他应收款披露：">
      <m:item xlName="_GBC_dbecd76100814214abd6f7c10d1dd2fa" concept="clcid-ci-ar:ShiFouShiYongYingShouZhangKuanAnYiBanYuJiXinYongSunShiMoXingJiTiHuaiZhang" label="是否适用：应收账款按一般预计信用损失模型计提坏账" selectOptions="_buildInAppliance" controlType="CustomCheckbox" cRanges="[{&quot;StartName&quot;:&quot;_GBC_dbecd76100814214abd6f7c10d1dd2fa&quot;,&quot;EndName&quot;:&quot;_GBC_b29500dee0fc4e1890259fb94942b6f3&quot;,&quot;CType&quot;:1}]"/>
      <m:item xlName="_GBC_b29500dee0fc4e1890259fb94942b6f3" concept="clcid-pte:YingShouZhangKuanAnYiBanYuJiXinYongSunShiMoXingJiTiHuaiZhang" label="应收账款按一般预计信用损失模型计提坏账" appId="_GBC_dbecd76100814214abd6f7c10d1dd2fa"/>
    </m:section>
    <m:section xlName="_SEC_585de72ff9a04d78b96f9dd88a2090f9" title="坏账准备的情况">
      <m:item xlName="_GBC_fb482eb90dbc45c4a6420c45e8a46012" concept="clcid-ci-ar:ShiFouShiYongYingShouZhangKuanHuaiZhangZhunBei" label="是否适用：应收账款坏账准备" selectOptions="_buildInAppliance" controlType="CustomCheckbox" cRanges="[{&quot;StartName&quot;:&quot;_GBC_fb482eb90dbc45c4a6420c45e8a46012&quot;,&quot;EndName&quot;:&quot;_GBC_05efe5a1ff614faf808e62240615e84c&quot;,&quot;CType&quot;:1}]"/>
      <m:item xlName="_GBC_f681542ff42f497c9ed44328f301413f" concept="clcid-ci-ar:DanWeiYingShouZhangKuanHuaiZhangZhunBei" label="单位：应收账款坏账准备" selectOptions="_buildInScales" controlType="Combobox" cellType="Scale" appId="_GBC_fb482eb90dbc45c4a6420c45e8a46012"/>
      <m:item xlName="_GBC_79f82daaad1749fbb117cea0941b8667" concept="clcid-ci-ar:BiZhongYingShouZhangKuanHuaiZhangZhunBei" label="币种：应收账款坏账准备" selectOptions="_buildInISO4217" controlType="Combobox" cellType="Measure" appId="_GBC_fb482eb90dbc45c4a6420c45e8a46012"/>
      <m:placeholder xlName="_PLD_82b0419f5c784cbe8b363ff715cfd4eb" addr="T0R0C0S2_1"/>
      <m:placeholder xlName="_PLD_6cba2c33cb334541980e3e13a6ee357d" addr="T0R0C1S2_1"/>
      <m:placeholder xlName="_PLD_ec3d2e2cde2a4ba29c966861f9ca39c7" addr="T0R0C2S1_4"/>
      <m:placeholder xlName="_PLD_9c167d6d72f94e22aecc39ba0e735a78" addr="T0R0C6S2_1"/>
      <m:placeholder xlName="_PLD_6cba23a5661e46c88bed469159b39a72" addr="T0R1C2S1_1"/>
      <m:placeholder xlName="_PLD_eaa82901608843c6947a0e537e8e0700" addr="T0R1C3S1_1"/>
      <m:placeholder xlName="_PLD_4232da6e7f4d498bb5fd03aa253dd7d4" addr="T0R1C4S1_1"/>
      <m:placeholder xlName="_PLD_6a40df7ca60f4ded8af3453519948166" addr="T0R1C5S1_1"/>
      <m:tuple xlName="_TUP_04277916d7e64096951ac7654a59b39a" concept="clcid-pte:YingShouZhangKuanHuaiZhangZhunBeiMingXi" default_row="2" addr="T0R2C">
        <m:item xlName="_GBC_e0baaa6c4504418dbaadf42c4a4c17fd" concept="clcid-pte:YingShouZhangKuanHuaiZhangZhunBeiMingXiLeiBie" label="应收账款坏账准备明细-类别" addr="T0R2C0S1_1" appId="_GBC_fb482eb90dbc45c4a6420c45e8a46012"/>
        <m:item xlName="_GBC_9b1b48fccf63410eac74e797ddf50ae8" concept="clcid-pte:YingShouZhangKuanHuaiZhangZhunBeiMingXiFaShengE" label="应收账款坏账准备明细-发生额" periodRef="本期期初数" mulRef="_GBC_f681542ff42f497c9ed44328f301413f" unitRef="_GBC_79f82daaad1749fbb117cea0941b8667" addr="T0R2C1S1_1" formatStyle="Comma" appId="_GBC_fb482eb90dbc45c4a6420c45e8a46012"/>
        <m:item xlName="_GBC_a0fb6bc03628471c860875ab717e0eb4" concept="clcid-pte:YingShouZhangKuanHuaiZhangZhunBeiMingXiBenQiJiTi" label="应收账款坏账准备明细-本期计提" mulRef="_GBC_f681542ff42f497c9ed44328f301413f" unitRef="_GBC_79f82daaad1749fbb117cea0941b8667" addr="T0R2C2S1_1" formatStyle="Comma" appId="_GBC_fb482eb90dbc45c4a6420c45e8a46012"/>
        <m:item xlName="_GBC_c83191ea64744974836ed6db4c6ba49c" concept="clcid-pte:YingShouZhangKuanHuaiZhangZhunBeiMingXiShouHuiHuoZhuanHui" label="应收账款坏账准备明细-收回或转回" mulRef="_GBC_f681542ff42f497c9ed44328f301413f" unitRef="_GBC_79f82daaad1749fbb117cea0941b8667" addr="T0R2C3S1_1" formatStyle="Comma" appId="_GBC_fb482eb90dbc45c4a6420c45e8a46012"/>
        <m:item xlName="_GBC_38631c2c4bfa4163bd8a2245150b6fac" concept="clcid-pte:YingShouZhangKuanHuaiZhangZhunBeiMingXiZhuanXiaoHuoHeXiao" label="应收账款坏账准备明细-转销或核销" mulRef="_GBC_f681542ff42f497c9ed44328f301413f" unitRef="_GBC_79f82daaad1749fbb117cea0941b8667" addr="T0R2C4S1_1" formatStyle="Comma" appId="_GBC_fb482eb90dbc45c4a6420c45e8a46012"/>
        <m:item xlName="_GBC_baf57ab4a657456cad8dd1558ea05caa" concept="clcid-pte:YingShouZhangKuanHuaiZhangZhunBeiMingXiQiTaBianDong" label="应收账款坏账准备明细-其他变动" mulRef="_GBC_f681542ff42f497c9ed44328f301413f" unitRef="_GBC_79f82daaad1749fbb117cea0941b8667" addr="T0R2C5S1_1" formatStyle="Comma" appId="_GBC_fb482eb90dbc45c4a6420c45e8a46012"/>
        <m:item xlName="_GBC_b2be4fd6cb83443a9c3a07fb7f68d636" concept="clcid-pte:YingShouZhangKuanHuaiZhangZhunBeiMingXiFaShengE" label="应收账款坏账准备明细-发生额" mulRef="_GBC_f681542ff42f497c9ed44328f301413f" unitRef="_GBC_79f82daaad1749fbb117cea0941b8667" addr="T0R2C6S1_1" formatStyle="Comma" appId="_GBC_fb482eb90dbc45c4a6420c45e8a46012"/>
      </m:tuple>
      <m:placeholder xlName="_PLD_8c958a5c94c1486e8139bef49c636c6d" addr="T0R4C0S1_1"/>
      <m:item xlName="_GBC_b97a202f7d324e599e761fd6865d343b" concept="clcid-pte:YingShouZhangKuanJiTiDeHuaiZhangZhunBeiYuE" label="应收账款计提的坏账准备余额" periodRef="本期期初数" mulRef="_GBC_f681542ff42f497c9ed44328f301413f" unitRef="_GBC_79f82daaad1749fbb117cea0941b8667" addr="T0R4C1S1_1" formatStyle="Comma" appId="_GBC_fb482eb90dbc45c4a6420c45e8a46012">
        <m:complexRule comparator="Eq" title="应收账款计提的坏账准备余额@本期期初数" test=" $_GBC_9b1b48fccf63410eac74e797ddf50ae8" id="Cd187a1171c7348aeb3d9a84442380867"/>
      </m:item>
      <m:item xlName="_GBC_87fa9755367842109474abe5b25fe1f4" concept="clcid-pte:YingShouZhangKuanHuaiZhangZhunBeiBenQiJiTi" label="应收账款坏账准备本期计提" mulRef="_GBC_f681542ff42f497c9ed44328f301413f" unitRef="_GBC_79f82daaad1749fbb117cea0941b8667" addr="T0R4C2S1_1" formatStyle="Comma" appId="_GBC_fb482eb90dbc45c4a6420c45e8a46012">
        <m:complexRule comparator="Eq" title="应收账款坏账准备本期计提" test=" $_GBC_a0fb6bc03628471c860875ab717e0eb4" id="Cdd592cfe562f4807a3b4d957e26f6d5b"/>
      </m:item>
      <m:item xlName="_GBC_c8abee7c6eb54d378447bd2db6ca9ef2" concept="clcid-pte:YingShouZhangKuanHuaiZhangZhunBeiBenQiShouHuiHuoZhuanHui" label="应收账款坏账准备本期收回或转回" mulRef="_GBC_f681542ff42f497c9ed44328f301413f" unitRef="_GBC_79f82daaad1749fbb117cea0941b8667" addr="T0R4C3S1_1" formatStyle="Comma" appId="_GBC_fb482eb90dbc45c4a6420c45e8a46012">
        <m:complexRule comparator="Eq" title="应收账款坏账准备本期收回或转回" test=" $_GBC_c83191ea64744974836ed6db4c6ba49c" id="C758dfbbc565d439b90b7515ffc47a018"/>
      </m:item>
      <m:item xlName="_GBC_c5053b082cab4b40b90b21bf64ca16fc" concept="clcid-pte:YingShouZhangKuanHuaiZhangZhunBeiBenQiZhuanXiaoHuoHeXiao" label="应收账款坏账准备本期转销或核销" mulRef="_GBC_f681542ff42f497c9ed44328f301413f" unitRef="_GBC_79f82daaad1749fbb117cea0941b8667" addr="T0R4C4S1_1" formatStyle="Comma" appId="_GBC_fb482eb90dbc45c4a6420c45e8a46012">
        <m:complexRule comparator="Eq" title="应收账款坏账准备本期转销或核销" test=" $_GBC_38631c2c4bfa4163bd8a2245150b6fac" id="Cea7096a5caee4598a19ac8c8af7b9f1c"/>
      </m:item>
      <m:item xlName="_GBC_4c47dccc52d34a3d91f03d8dff9e18ff" concept="clcid-pte:YingShouZhangKuanHuaiZhangZhunBeiBenQiQiTaBianDong" label="应收账款坏账准备本期其他变动" mulRef="_GBC_f681542ff42f497c9ed44328f301413f" unitRef="_GBC_79f82daaad1749fbb117cea0941b8667" addr="T0R4C5S1_1" formatStyle="Comma" appId="_GBC_fb482eb90dbc45c4a6420c45e8a46012"/>
      <m:item xlName="_GBC_05efe5a1ff614faf808e62240615e84c" concept="clcid-pte:YingShouZhangKuanJiTiDeHuaiZhangZhunBeiYuE" label="应收账款计提的坏账准备余额" mulRef="_GBC_f681542ff42f497c9ed44328f301413f" unitRef="_GBC_79f82daaad1749fbb117cea0941b8667" addr="T0R4C6S1_1" formatStyle="Comma" appId="_GBC_fb482eb90dbc45c4a6420c45e8a46012">
        <m:complexRule comparator="Eq" title="应收账款计提的坏账准备余额" test=" $_GBC_b2be4fd6cb83443a9c3a07fb7f68d636" id="C806b2b24e0164ee9ad748a3c765bbad3"/>
      </m:item>
      <m:item xlName="_GBC_362288b01950422da8198293b517eeb5" concept="clcid-ci-ar:ShiFouShiYongQiZhongBenQiHuaiZhangZhunBeiShouHuiHuoZhuanHuiJinEZhongYaoDe" label="是否适用：其中本期坏账准备收回或转回金额重要的" selectOptions="_buildInAppliance" controlType="CustomCheckbox" cRanges="{&quot;StartName&quot;:&quot;_GBC_362288b01950422da8198293b517eeb5&quot;,&quot;EndName&quot;:&quot;_GBC_9e14f841e9254fc49491dc362a5209ff&quot;,&quot;CType&quot;:1,&quot;DisplayText&quot;:null}"/>
      <m:item xlName="_GBC_4d23afad43c848bb8ee4bdc4fec2fc3e" concept="clcid-ci-ar:DanWeiBenQiZhuanHuiHuoShouHuiQingKuang" label="单位：本期转回或收回情况" selectOptions="_buildInScales" controlType="Combobox" cellType="Scale" appId="_GBC_362288b01950422da8198293b517eeb5"/>
      <m:item xlName="_GBC_c887815c0863405bb462c78e55cde498" concept="clcid-ci-ar:BiZhongBenQiZhuanHuiHuoShouHuiQingKuang" label="币种：本期转回或收回情况" selectOptions="_buildInISO4217" controlType="Combobox" cellType="Measure" appId="_GBC_362288b01950422da8198293b517eeb5"/>
      <m:placeholder xlName="_PLD_7bfcdf8072c04f429d0d31fd9a60a2e5" addr="T1R0C0S1_1"/>
      <m:placeholder xlName="_PLD_f35ded3e52fb418e9557ecdba652839c" addr="T1R0C1S1_1"/>
      <m:placeholder xlName="_PLD_67b082679a6749a4b1fd9823a48ba9ea" addr="T1R0C2S1_1"/>
      <m:tuple xlName="_GBC_2bbf8fe5b0d1431aa52ef3231558456c" concept="clcid-pte:ZhuanHuiHuoShouHuiDeYingShouZhangKuanMingXi" default_row="2" addr="T1R1C">
        <m:item xlName="_GBC_a53f957ec3424051a9c3d08ae6e5cddf" concept="clcid-pte:ZhuanHuiHuoShouHuiDeYingShouZhangKuanMingXiDanWeiMingCheng" label="转回或收回的应收账款明细-单位名称" addr="T1R1C0S1_1" appId="_GBC_362288b01950422da8198293b517eeb5"/>
        <m:item xlName="_GBC_6580f1ab8b6b4c558c10bc1b2b456569" concept="clcid-pte:ZhuanHuiHuoShouHuiDeYingShouZhangKuanMingXiZhuanHuiHuoShouHuiJinE" label="转回或收回的应收账款明细-转回或收回金额" mulRef="_GBC_4d23afad43c848bb8ee4bdc4fec2fc3e" unitRef="_GBC_c887815c0863405bb462c78e55cde498" addr="T1R1C1S1_1" formatStyle="Comma" appId="_GBC_362288b01950422da8198293b517eeb5"/>
        <m:item xlName="_GBC_fe6243f322824531b1428f833b3f66ef" concept="clcid-pte:ZhuanHuiHuoShouHuiDeYingShouZhangKuanMingXiShouHuiFangShi" label="转回或收回的应收账款明细-收回方式" addr="T1R1C2S1_1" appId="_GBC_362288b01950422da8198293b517eeb5"/>
      </m:tuple>
      <m:placeholder xlName="_PLD_286d3322cc1a4aa2be2069abcfe83749" addr="T1R3C0S1_1"/>
      <m:item xlName="_GBC_eb000e938e7747e797d4224257bf0257" concept="clcid-pte:HuaiZhangZhunBeiZhuanHuiHuoShouHuiJinEHeJi" label="坏账准备转回或收回金额合计" mulRef="_GBC_4d23afad43c848bb8ee4bdc4fec2fc3e" unitRef="_GBC_c887815c0863405bb462c78e55cde498" addr="T1R3C1S1_1" formatStyle="Comma" appId="_GBC_362288b01950422da8198293b517eeb5">
        <m:complexRule comparator="Eq" title="坏账准备转回或收回金额合计" test=" $_GBC_6580f1ab8b6b4c558c10bc1b2b456569" id="C1c93bc4dac2740edbdcca29eee5ffac5"/>
      </m:item>
      <m:item xlName="_GBC_9e14f841e9254fc49491dc362a5209ff" concept="clcid-pte:YingShouZhangKuanHuaiZhangZhunBeiZhuanHuiHuoShouHuiJinEZhongYaoDeShuoMing" label="应收账款坏账准备转回或收回金额重要的说明" appId="_GBC_362288b01950422da8198293b517eeb5"/>
    </m:section>
    <m:section xlName="_GBC_af8ceb97930d4d7391d4823a068c824b" title="本报告期实际核销的应收账款情况" rules="R2015_R11_004" convertSummaryRule="NoConvert" helpId="112001045">
      <m:item xlName="_GBC_240341a3455747bb87ecabf420d94ec5" concept="clcid-ci-ar:ShiFouShiYongBenQiShiJiHeXiaoDeYingShouZhangKuanQingKuang" label="是否适用：本期实际核销的应收账款情况" selectOptions="_buildInAppliance" controlType="CustomCheckbox" cRanges="{&quot;StartName&quot;:&quot;_GBC_240341a3455747bb87ecabf420d94ec5&quot;,&quot;EndName&quot;:&quot;_GBC_490f0d60b8d649c1ac2d5e002412446c&quot;,&quot;CType&quot;:1,&quot;DisplayText&quot;:null}"/>
      <m:item xlName="_GBC_97f637feeea84b2a8c01321339a44c9e" concept="clcid-ci-ar:DanWeiCaiWuFuZhuBenBaoGaoQiShiJiHeXiaoDeYingShouKuanXiangQingKuang" label="单位：财务附注：本报告期实际核销的应收款项情况" selectOptions="_buildInScales" controlType="Combobox" cellType="Scale" appId="_GBC_240341a3455747bb87ecabf420d94ec5"/>
      <m:item xlName="_GBC_1e69e5173e614c0f8dd12c7f988c2a4e" concept="clcid-ci-ar:BiZhongCaiWuFuZhuBenBaoGaoQiShiJiHeXiaoDeYingShouKuanXiangQingKuang" label="币种：财务附注：本报告期实际核销的应收款项情况" selectOptions="_buildInISO4217" controlType="Combobox" cellType="Measure" appId="_GBC_240341a3455747bb87ecabf420d94ec5"/>
      <m:placeholder xlName="_PLD_a3731fe405bb4134af7ad46e8ca83d7e" addr="T0R0C0S1_1"/>
      <m:placeholder xlName="_PLD_1256a8b0b19c4d908f33771c40d2df26" addr="T0R0C1S1_1"/>
      <m:placeholder xlName="_PLD_a4bcad986cfa4d799cf132234e1a09a1" addr="T0R1C0S1_1"/>
      <m:item xlName="_GBC_75883024ee5f41adb8074939efe74280" concept="clcid-pte:YingShouZhangKuanQianKuanChongXiaoHuaiZhangHeJi" label="应收帐款欠款冲销坏帐合计" mulRef="_GBC_97f637feeea84b2a8c01321339a44c9e" unitRef="_GBC_1e69e5173e614c0f8dd12c7f988c2a4e" addr="T0R1C1S1_1" formatStyle="Comma" appId="_GBC_240341a3455747bb87ecabf420d94ec5"/>
      <m:item xlName="_GBC_8a44f02ff52343a08b5e1e48c8b2cb3d" concept="clcid-ci-ar:ShiFouShiYongQiZhongZhongYaoDeYingShouZhangKuanHeXiaoQingKuang" label="是否适用：其中重要的应收账款核销情况" selectOptions="_buildInAppliance" controlType="CustomCheckbox" cRanges="{&quot;StartName&quot;:&quot;_GBC_8a44f02ff52343a08b5e1e48c8b2cb3d&quot;,&quot;EndName&quot;:&quot;_GBC_333b947419654cb188a8a7e042b558b7&quot;,&quot;CType&quot;:1,&quot;DisplayText&quot;:null}"/>
      <m:item xlName="_GBC_c7a04c444409452ca1a8e2a1e7d7b82c" concept="clcid-ci-ar:DanWeiCaiWuFuZhuBenBaoGaoQiZhongYaoDeYingShouZhangKuanHeXiaoQingKuang" label="单位：财务附注：本报告期重要的应收账款核销情况" selectOptions="_buildInScales" controlType="Combobox" cellType="Scale" appId="_GBC_8a44f02ff52343a08b5e1e48c8b2cb3d"/>
      <m:item xlName="_GBC_d5901c5422f147e18c5adac751eda8b8" concept="clcid-ci-ar:BiZhongCaiWuFuZhuBenBaoGaoQiZhongYaoDeYingShouZhangKuanHeXiaoQingKuang" label="币种：财务附注：本报告期重要的应收账款核销情况" selectOptions="_buildInISO4217" controlType="Combobox" cellType="Measure" appId="_GBC_8a44f02ff52343a08b5e1e48c8b2cb3d"/>
      <m:placeholder xlName="_PLD_fc25e599bc7e48638256aa28f0a466c6" addr="T1R0C0S1_1"/>
      <m:placeholder xlName="_PLD_2fd65197ed6446e9a099b93e765d1057" addr="T1R0C1S1_1"/>
      <m:placeholder xlName="_PLD_7222fb7cad6d4fcaa3919f6127705623" addr="T1R0C2S1_1"/>
      <m:placeholder xlName="_PLD_0483ef9b4d184d2e9c5f03e99e5cdd83" addr="T1R0C3S1_1"/>
      <m:placeholder xlName="_PLD_553be060ba9742d3a69af5978afb1f53" addr="T1R0C4S1_1"/>
      <m:placeholder xlName="_PLD_e17ae73cd0b848f0992d559fd3b68e8a" addr="T1R0C5S1_1"/>
      <m:tuple xlName="_GBC_e862522f5fdf4642a156b78a67c471e1" concept="clcid-pte:ZhongYaoDeYingShouZhangKuanHeXiaoMingXi" default_row="2" addr="T1R1C">
        <m:item xlName="_GBC_76b568e7a2814598a88a4ffecae6f9f8" concept="clcid-pte:ZhongYaoDeYingShouZhangKuanHeXiaoMingXiDanWeiMingCheng" label="重要的应收账款核销明细-单位名称" addr="T1R1C0S1_1" appId="_GBC_8a44f02ff52343a08b5e1e48c8b2cb3d"/>
        <m:item xlName="_GBC_9eb684a4ed6d453fa39b37079680c21f" concept="clcid-pte:ZhongYaoDeYingShouZhangKuanHeXiaoMingXiYingShouZhangKuanXingZhi" label="重要的应收账款核销明细-应收账款性质" addr="T1R1C1S1_1" appId="_GBC_8a44f02ff52343a08b5e1e48c8b2cb3d"/>
        <m:item xlName="_GBC_c4d40d7233824133b36ec73c56b0f9e3" concept="clcid-pte:ZhongYaoDeYingShouZhangKuanHeXiaoMingXiHeXiaoJinE" label="重要的应收账款核销明细-核销金额" mulRef="_GBC_c7a04c444409452ca1a8e2a1e7d7b82c" unitRef="_GBC_d5901c5422f147e18c5adac751eda8b8" addr="T1R1C2S1_1" formatStyle="Comma" appId="_GBC_8a44f02ff52343a08b5e1e48c8b2cb3d"/>
        <m:item xlName="_GBC_d52ee8eff3364e92937873aa8d901431" concept="clcid-pte:ZhongYaoDeYingShouZhangKuanHeXiaoMingXiHeXiaoYuanYin" label="重要的应收账款核销明细-核销原因" addr="T1R1C3S1_1" appId="_GBC_8a44f02ff52343a08b5e1e48c8b2cb3d"/>
        <m:item xlName="_GBC_3f77aa517398479a958a1156cc24a215" concept="clcid-pte:ZhongYaoDeYingShouZhangKuanHeXiaoMingXiLvXingDeHeXiaoChengXu" label="重要的应收账款核销明细-履行的核销程序" addr="T1R1C4S1_1" appId="_GBC_8a44f02ff52343a08b5e1e48c8b2cb3d"/>
        <m:item xlName="_GBC_47d46492c7d54e659c891fc15d95a36e" concept="clcid-pte:ZhongYaoDeYingShouZhangKuanHeXiaoMingXiKuanXiangShiFouYinGuanLianJiaoYiChanSheng" label="重要的应收账款核销明细-款项是否因关联交易产生" selectOptions="_buildInYesNo" addr="T1R1C5S1_1" controlType="Combobox" appId="_GBC_8a44f02ff52343a08b5e1e48c8b2cb3d"/>
      </m:tuple>
      <m:placeholder xlName="_PLD_6d9eb18bf471449fa909d9d314987347" addr="T1R3C0S1_1"/>
      <m:item xlName="_GBC_333b947419654cb188a8a7e042b558b7" concept="clcid-pte:ZhongYaoDeYingShouZhangKuanHeXiaoJinEHeJi" label="重要的应收账款核销金额合计" mulRef="_GBC_c7a04c444409452ca1a8e2a1e7d7b82c" unitRef="_GBC_d5901c5422f147e18c5adac751eda8b8" addr="T1R3C2S1_1" formatStyle="Comma" appId="_GBC_8a44f02ff52343a08b5e1e48c8b2cb3d">
        <m:complexRule comparator="Eq" title="重要的应收账款核销金额合计" test=" $_GBC_c4d40d7233824133b36ec73c56b0f9e3" id="C0bbe38a37c274878b4925743f6be5cb6"/>
      </m:item>
      <m:item xlName="_GBC_69824b683b7348d5abc31b2f2e813757" concept="clcid-ci-ar:ShiFouShiYongYingShouZhangKuanHeXiaoShuoMing" label="是否适用：应收账款核销说明" selectOptions="_buildInAppliance" controlType="CustomCheckbox" cRanges="{&quot;StartName&quot;:&quot;_GBC_69824b683b7348d5abc31b2f2e813757&quot;,&quot;EndName&quot;:&quot;_GBC_490f0d60b8d649c1ac2d5e002412446c&quot;,&quot;CType&quot;:1,&quot;DisplayText&quot;:null}"/>
      <m:item xlName="_GBC_490f0d60b8d649c1ac2d5e002412446c" concept="clcid-pte:YingShouZhangKuanChongXiaoHuaiZhangMingXiDeShuoMing" label="应收帐款冲销坏帐明细的说明" appId="_GBC_69824b683b7348d5abc31b2f2e813757"/>
    </m:section>
    <m:section xlName="_GBC_e8adf46f2d204834ad681ac980eff4f7"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item xlName="_GBC_26f285dee1444697be56ea61bc5c0578" concept="clcid-ci-ar:ShiFouShiYongAnQianKuanFangGuiJiDeQiMoYuEQianWuMingDeYingShouZhangKuanQingKuang" label="是否适用：按欠款方归集的期末余额前五名的应收账款情况" selectOptions="_buildInAppliance" controlType="CustomCheckbox" cRanges="{&quot;StartName&quot;:&quot;_GBC_26f285dee1444697be56ea61bc5c0578&quot;,&quot;EndName&quot;:&quot;_GBC_064b41eb9e58440dace7a84b96b840f2&quot;,&quot;CType&quot;:1,&quot;DisplayText&quot;:null}"/>
      <m:item xlName="_GBC_064b41eb9e58440dace7a84b96b840f2" concept="clcid-pte:AnQianKuanFangGuiJiDeQiMoYuEQianWuMingDeYingShouZhangKuanQingKuangDeShuoMing" label="按欠款方归集的期末余额前五名的应收账款情况的说明" appId="_GBC_26f285dee1444697be56ea61bc5c0578"/>
    </m:section>
    <m:section xlName="_GBC_79d1ccfd87f84b4ab10a992730026aa0" title="因金融资产转移而终止确认的应收账款" rules="R2015_R11_004" helpId="112001045" helpText="注：说明金融资产转移的方式、终止确认的应收款项金额，及与终止确认相关的利得或损失。">
      <m:item xlName="_GBC_49c226ad97e8410fb7b074c9336b510a" concept="clcid-ci-ar:ShiFouShiYongYinJinRongZiChanZhuanYiErZhongZhiQueRenDeYingShouZhangKuan" label="是否适用：因金融资产转移而终止确认的应收账款" selectOptions="_buildInAppliance" controlType="CustomCheckbox" cRanges="{&quot;StartName&quot;:&quot;_GBC_49c226ad97e8410fb7b074c9336b510a&quot;,&quot;EndName&quot;:&quot;_GBC_cf451aeb99634f8594217d17549c435c&quot;,&quot;CType&quot;:1,&quot;DisplayText&quot;:null}"/>
      <m:item xlName="_GBC_cf451aeb99634f8594217d17549c435c" concept="clcid-pte:YinJinRongZiChanZhuanYiErZhongZhiQueRenDeYingShouZhangKuan" label="因金融资产转移而终止确认的应收账款" formatStyle="Comma" appId="_GBC_49c226ad97e8410fb7b074c9336b510a"/>
    </m:section>
    <m:section xlName="_GBC_d3d5d3b413a24c269f804c6a3e3f1c06" title="转移应收账款且继续涉入的，分项列示继续涉入形成的资产、负债的金额" rules="R2015_R11_004" helpId="112001045" helpText="注：说明金融资产转移的方式，分项列示继续涉入形成的资产、负债的金额。">
      <m:item xlName="_GBC_8916c4a80e024e80ab488fe678c14970" concept="clcid-ci-ar:ShiFouShiYongZhuanYiYingShouZhangKuanQieJiXuSheRuXingChengDeZiChanFuZhaiJinE" label="是否适用：转移应收账款且继续涉入形成的资产、负债金额" selectOptions="_buildInAppliance" controlType="CustomCheckbox" cRanges="{&quot;StartName&quot;:&quot;_GBC_8916c4a80e024e80ab488fe678c14970&quot;,&quot;EndName&quot;:&quot;_GBC_d22c2fe4df1d4fc18fed78a1cc9b9863&quot;,&quot;CType&quot;:1,&quot;DisplayText&quot;:null}"/>
      <m:item xlName="_GBC_d22c2fe4df1d4fc18fed78a1cc9b9863" concept="clcid-pte:ZhuanYiYingShouZhangKuanQieJiXuSheRuDeFenXiangLieShiJiXuSheRuXingChengDeZiChanFuZhaiDeJinE" label="转移应收账款且继续涉入的，分项列示继续涉入形成的资产、负债的金额" formatStyle="Comma" appId="_GBC_8916c4a80e024e80ab488fe678c14970"/>
    </m:section>
    <m:section xlName="_GBC_2f38c172c62a46cfa73776efdf952fad" title="应收账款其他说明" rules="R2015_R11_004" helpId="112001045">
      <m:item xlName="_GBC_c06434ba43c5400a80d620a65b730fd9" concept="clcid-ci-ar:ShiFouShiYongYingShouZhangKuanQiTaShuoMing" label="是否适用：应收账款其他说明" selectOptions="_buildInAppliance" controlType="CustomCheckbox" cRanges="{&quot;StartName&quot;:&quot;_GBC_c06434ba43c5400a80d620a65b730fd9&quot;,&quot;EndName&quot;:&quot;_GBC_fdef34fb2bb94049983408541014eaa4&quot;,&quot;CType&quot;:1,&quot;DisplayText&quot;:null}"/>
      <m:item xlName="_GBC_fdef34fb2bb94049983408541014eaa4" concept="clcid-pte:YingShouZhangKuanQiTaShuoMing" label="应收账款其他说明" appId="_GBC_c06434ba43c5400a80d620a65b730fd9"/>
    </m:section>
    <m:section xlName="_SEC_99a20d0771254b5596c992bd0fe179a3" title="应收款项融资" helpId="112002268">
      <m:item xlName="_GBC_b66c8e5d6d6f4ccf9bd0ebfd1f5495e4" concept="clcid-ci-ar:ShiFouShiYongYingShouKuanXiangRongZi" label="是否适用：应收款项融资" selectOptions="_buildInAppliance" controlType="CustomCheckbox" cRanges="[{&quot;StartName&quot;:&quot;_GBC_b66c8e5d6d6f4ccf9bd0ebfd1f5495e4&quot;,&quot;EndName&quot;:&quot;_GBC_5b7567beb0034de1826f334d9dcf5531&quot;,&quot;CType&quot;:1}]"/>
      <m:item xlName="_GBC_5bc18c9963914ad7b56c2f244f484146" concept="clcid-ci-ar:DanWeiYingShouKuanXiangRongZi" label="单位：应收款项融资" selectOptions="_buildInScales" controlType="Combobox" cellType="Scale" appId="_GBC_b66c8e5d6d6f4ccf9bd0ebfd1f5495e4"/>
      <m:item xlName="_GBC_c66a156107084de19a91dcaaa76213c1" concept="clcid-ci-ar:BiZhongYingShouKuanXiangRongZi" label="币种：应收款项融资" selectOptions="_buildInISO4217" controlType="Combobox" cellType="Measure" appId="_GBC_b66c8e5d6d6f4ccf9bd0ebfd1f5495e4"/>
      <m:placeholder xlName="_PLD_82a62891b4b649e48fb460890f28ac36" addr="T0R0C0S1_1"/>
      <m:placeholder xlName="_PLD_0b8617b6950f47bfae07e4496fdde27e" addr="T0R0C1S1_1"/>
      <m:placeholder xlName="_PLD_8c85f1c835d84ebaa8ca21e687181951" addr="T0R0C2S1_1"/>
      <m:tuple xlName="_TUP_a9787d82372c4ec599a760ae032aaf1f" concept="clcid-pte:YingShouKuanXiangRongZiMingXi" default_row="2" addr="T0R1C">
        <m:item xlName="_GBC_7509d242dfdc48acbbd5a4c3d0983de4" concept="clcid-pte:YingShouKuanXiangRongZiZhongLei" label="应收款项融资种类" addr="T0R1C0S1_1" appId="_GBC_b66c8e5d6d6f4ccf9bd0ebfd1f5495e4"/>
        <m:item xlName="_GBC_8e5859c5de5743fea11f004eed4652e6" concept="clcid-pte:YingShouKuanXiangRongZiJinE" label="应收款项融资金额" mulRef="_GBC_5bc18c9963914ad7b56c2f244f484146" unitRef="_GBC_c66a156107084de19a91dcaaa76213c1" addr="T0R1C1S1_1" formatStyle="Comma" appId="_GBC_b66c8e5d6d6f4ccf9bd0ebfd1f5495e4"/>
        <m:item xlName="_GBC_8d09ef8cade8405baa4052403449c29b" concept="clcid-pte:YingShouKuanXiangRongZiJinE" label="应收款项融资金额" periodRef="本期期初数" mulRef="_GBC_5bc18c9963914ad7b56c2f244f484146" unitRef="_GBC_c66a156107084de19a91dcaaa76213c1" addr="T0R1C2S1_1" formatStyle="Comma" appId="_GBC_b66c8e5d6d6f4ccf9bd0ebfd1f5495e4"/>
      </m:tuple>
      <m:placeholder xlName="_PLD_5299295b2978439ba42b441350bea704" addr="T0R3C0S1_1"/>
      <m:item xlName="_GBC_045b7661ac334cbd991aef3927e4f8ae" concept="clcid-pte:YingShouKuanXiangRongZi" label="应收款项融资" mulRef="_GBC_5bc18c9963914ad7b56c2f244f484146" unitRef="_GBC_c66a156107084de19a91dcaaa76213c1" addr="T0R3C1S1_1" formatStyle="Comma" appId="_GBC_b66c8e5d6d6f4ccf9bd0ebfd1f5495e4">
        <m:complexRule comparator="Eq" title="应收款项融资" test="$_GBC_8e5859c5de5743fea11f004eed4652e6" id="C9b738da199314febb5dc36ecf6211d72"/>
      </m:item>
      <m:item xlName="_GBC_b8a62c05e7784c8c88b27e0c7a9bb85f" concept="clcid-pte:YingShouKuanXiangRongZi" label="应收款项融资" periodRef="本期期初数" mulRef="_GBC_5bc18c9963914ad7b56c2f244f484146" unitRef="_GBC_c66a156107084de19a91dcaaa76213c1" addr="T0R3C2S1_1" formatStyle="Comma" appId="_GBC_b66c8e5d6d6f4ccf9bd0ebfd1f5495e4">
        <m:complexRule comparator="Eq" title="应收款项融资@本期期初数" test="$_GBC_8d09ef8cade8405baa4052403449c29b" id="C5e52e940f8994dcfa2735b9eaf623d95"/>
      </m:item>
      <m:item xlName="_GBC_33fc9f304d4f4155ac67028bc1814e26" concept="clcid-ci-ar:ShiFouShiYongYingShouKuanXiangRongZiBenQiZengJianBianDongJiGongYunJiaZhiBianDongQingKuang" label="是否适用：应收款项融资本期增减变动及公允价值变动情况" selectOptions="_buildInAppliance" controlType="CustomCheckbox" cRanges="[{&quot;StartName&quot;:&quot;_GBC_33fc9f304d4f4155ac67028bc1814e26&quot;,&quot;EndName&quot;:&quot;_GBC_559dddc298d649daafb4cfc86fbc3cad&quot;,&quot;CType&quot;:1}]"/>
      <m:item xlName="_GBC_559dddc298d649daafb4cfc86fbc3cad" concept="clcid-pte:YingShouKuanXiangRongZiBenQiZengJianBianDongJiGongYunJiaZhiBianDongQingKuang" label="应收款项融资本期增减变动及公允价值变动情况" appId="_GBC_33fc9f304d4f4155ac67028bc1814e26"/>
      <m:item xlName="_GBC_5a80268d2f0f436786b31f6c461deb07" concept="clcid-ci-ar:ShiFouShiYongYingShouKuanXiangRongZiYuQiXinYongSunShiDeQueDingFangFaJiKuaiJiChuLiFangFa" label="是否适用：应收款项融资预期信用损失的确定方法及会计处理方法" selectOptions="_buildInAppliance" controlType="CustomCheckbox" cRanges="[{&quot;StartName&quot;:&quot;_GBC_5a80268d2f0f436786b31f6c461deb07&quot;,&quot;EndName&quot;:&quot;_GBC_de92e3527de54d27ae4da21e3a37b0b1&quot;,&quot;CType&quot;:1}]"/>
      <m:item xlName="_GBC_de92e3527de54d27ae4da21e3a37b0b1" concept="clcid-pte:YingShouKuanXiangRongZiYuQiXinYongSunShiDeQueDingFangFaJiKuaiJiChuLiFangFa" label="应收款项融资预期信用损失的确定方法及会计处理方法" appId="_GBC_5a80268d2f0f436786b31f6c461deb07"/>
      <m:item xlName="_GBC_79059c75c4ff4f698741d135a33f5c70" concept="clcid-ci-ar:ShiFouShiYongYingShouKuanXiangRongZiQiTaShuoMing" label="是否适用：应收款项融资其他说明" selectOptions="_buildInAppliance" controlType="CustomCheckbox" cRanges="[{&quot;StartName&quot;:&quot;_GBC_79059c75c4ff4f698741d135a33f5c70&quot;,&quot;EndName&quot;:&quot;_GBC_5b7567beb0034de1826f334d9dcf5531&quot;,&quot;CType&quot;:1}]"/>
      <m:item xlName="_GBC_5b7567beb0034de1826f334d9dcf5531" concept="clcid-pte:YingShouKuanXiangRongZiQiTaShuoMing" label="应收款项融资其他说明" appId="_GBC_79059c75c4ff4f698741d135a33f5c70"/>
    </m:section>
    <m:section xlName="_GBC_4c02994d3bd04bacba6592630552e576" title="预付款项按账龄列示" rules="R2015_R11_005" convertSummaryRule="NoConvert" helpId="112001047">
      <m:item xlName="_GBC_af3b3e24767e48f7a70a5cfa609407a2" concept="clcid-ci-ar:ShiFouShiYongYuFuKuanXiangAnZhangLingLieShi" label="是否适用：预付款项按账龄列示" selectOptions="_buildInAppliance" controlType="CustomCheckbox" cRanges="{&quot;StartName&quot;:&quot;_GBC_af3b3e24767e48f7a70a5cfa609407a2&quot;,&quot;EndName&quot;:&quot;_GBC_174a9654172e49e09cdbf18d854fdd51&quot;,&quot;CType&quot;:1,&quot;DisplayText&quot;:null}"/>
      <m:item xlName="_GBC_9eb28bbf7d374cdf965c7e133b610fb3" concept="clcid-ci-ar:DanWeiCaiWuFuZhuYuFuZhangKuanZhangLing" label="单位：财务附注：预付账款账龄" selectOptions="_buildInScales" controlType="Combobox" cellType="Scale" appId="_GBC_af3b3e24767e48f7a70a5cfa609407a2"/>
      <m:item xlName="_GBC_d491347f74764df5af3312ad7a0a92e5" concept="clcid-ci-ar:BiZhongCaiWuFuZhuYuFuZhangKuanZhangLing" label="币种：财务附注：预付账款账龄" selectOptions="_buildInISO4217" controlType="Combobox" cellType="Measure" appId="_GBC_af3b3e24767e48f7a70a5cfa609407a2"/>
      <m:placeholder xlName="_PLD_159a64f22a4a4b1ab31846b4d6034c4c" addr="T0R0C0S2_1"/>
      <m:placeholder xlName="_PLD_6ca82cba92a649d08c6ceb86dd951ef3" addr="T0R0C1S1_2"/>
      <m:placeholder xlName="_PLD_365dab2f8fd246d79543ed0d2e6dcab7" addr="T0R0C3S1_2"/>
      <m:placeholder xlName="_PLD_a9d7b721cfa446e9ae31149380da5970" addr="T0R1C1S1_1"/>
      <m:placeholder xlName="_PLD_2d8b8f523dcd4c95815b7c8fd528129d" addr="T0R1C2S1_1"/>
      <m:placeholder xlName="_PLD_f01816a56b3f4ec1a7d603d3ac318eb1" addr="T0R1C3S1_1"/>
      <m:placeholder xlName="_PLD_55adcab5f9be4d24b3d0faaf5403e89a" addr="T0R1C4S1_1"/>
      <m:placeholder xlName="_PLD_26543d5743964e32ae30d0d46bd6131c" addr="T0R2C0S1_1"/>
      <m:item xlName="_GBC_85ea1b97951e45bcbaeb9723a3ff1cc0" concept="clcid-pte:YuFuZhangKuanYiNianYiNeiHeJi" label="预付帐款一年以内合计" mulRef="_GBC_9eb28bbf7d374cdf965c7e133b610fb3" unitRef="_GBC_d491347f74764df5af3312ad7a0a92e5" addr="T0R2C1S1_1" formatStyle="Comma" appId="_GBC_af3b3e24767e48f7a70a5cfa609407a2"/>
      <m:item xlName="_GBC_8b235830e9864ba5bca3efe05dcbf46a" concept="clcid-pte:YuFuZhangKuanYiNianYiNeiHeJiBiLi" label="预付帐款一年以内合计比例" addr="T0R2C2S1_1" baseScale="0.01" formatStyle="Comma" appId="_GBC_af3b3e24767e48f7a70a5cfa609407a2"/>
      <m:item xlName="_GBC_bbd78862ec444f758f7c1a800e150875" concept="clcid-pte:YuFuZhangKuanYiNianYiNeiHeJi" label="预付帐款一年以内合计" periodRef="本期期初数" mulRef="_GBC_9eb28bbf7d374cdf965c7e133b610fb3" unitRef="_GBC_d491347f74764df5af3312ad7a0a92e5" addr="T0R2C3S1_1" formatStyle="Comma" appId="_GBC_af3b3e24767e48f7a70a5cfa609407a2"/>
      <m:item xlName="_GBC_9846c577c24d4dc096a025306fe6d1fa" concept="clcid-pte:YuFuZhangKuanYiNianYiNeiHeJiBiLi" label="预付帐款一年以内合计比例" periodRef="本期期初数" addr="T0R2C4S1_1" baseScale="0.01" formatStyle="Comma" appId="_GBC_af3b3e24767e48f7a70a5cfa609407a2"/>
      <m:placeholder xlName="_PLD_fa162d7579db4acd997484df51e51de6" addr="T0R3C0S1_1"/>
      <m:item xlName="_GBC_3b2cd7ab40ac45b88f0c487f91f25b2b" concept="clcid-pte:YuFuZhangKuanYiZhiErNianHeJi" label="预付帐款一至二年合计" mulRef="_GBC_9eb28bbf7d374cdf965c7e133b610fb3" unitRef="_GBC_d491347f74764df5af3312ad7a0a92e5" addr="T0R3C1S1_1" formatStyle="Comma" appId="_GBC_af3b3e24767e48f7a70a5cfa609407a2"/>
      <m:item xlName="_GBC_9ee1d875731c44639dc9efc88b64b2a4" concept="clcid-pte:YuFuZhangKuanYiZhiErNianHeJiBiLi" label="预付帐款一至二年合计比例" addr="T0R3C2S1_1" baseScale="0.01" formatStyle="Comma" appId="_GBC_af3b3e24767e48f7a70a5cfa609407a2"/>
      <m:item xlName="_GBC_a2258d9b3e504a289938134354aeae67" concept="clcid-pte:YuFuZhangKuanYiZhiErNianHeJi" label="预付帐款一至二年合计" periodRef="本期期初数" mulRef="_GBC_9eb28bbf7d374cdf965c7e133b610fb3" unitRef="_GBC_d491347f74764df5af3312ad7a0a92e5" addr="T0R3C3S1_1" formatStyle="Comma" appId="_GBC_af3b3e24767e48f7a70a5cfa609407a2"/>
      <m:item xlName="_GBC_b0e6db75a3434d1d93f2a3b9becc8d4d" concept="clcid-pte:YuFuZhangKuanYiZhiErNianHeJiBiLi" label="预付帐款一至二年合计比例" periodRef="本期期初数" addr="T0R3C4S1_1" baseScale="0.01" formatStyle="Comma" appId="_GBC_af3b3e24767e48f7a70a5cfa609407a2"/>
      <m:placeholder xlName="_PLD_43897a3965694d6691fcba6be58bfd88" addr="T0R4C0S1_1"/>
      <m:item xlName="_GBC_5be2d39f1d244a57948cff5295b1d9da" concept="clcid-pte:YuFuZhangKuanErZhiSanNianHeJi" label="预付帐款二至三年合计" mulRef="_GBC_9eb28bbf7d374cdf965c7e133b610fb3" unitRef="_GBC_d491347f74764df5af3312ad7a0a92e5" addr="T0R4C1S1_1" formatStyle="Comma" appId="_GBC_af3b3e24767e48f7a70a5cfa609407a2"/>
      <m:item xlName="_GBC_d90660541cce46f9ac339627cdff3dac" concept="clcid-pte:YuFuZhangKuanErZhiSanNianHeJiBiLi" label="预付帐款二至三年合计比例" addr="T0R4C2S1_1" baseScale="0.01" formatStyle="Comma" appId="_GBC_af3b3e24767e48f7a70a5cfa609407a2"/>
      <m:item xlName="_GBC_f824494c0b1449c0af62f414dd63b575" concept="clcid-pte:YuFuZhangKuanErZhiSanNianHeJi" label="预付帐款二至三年合计" periodRef="本期期初数" mulRef="_GBC_9eb28bbf7d374cdf965c7e133b610fb3" unitRef="_GBC_d491347f74764df5af3312ad7a0a92e5" addr="T0R4C3S1_1" formatStyle="Comma" appId="_GBC_af3b3e24767e48f7a70a5cfa609407a2"/>
      <m:item xlName="_GBC_da339d911f284e67b8980c9f8e0cca60" concept="clcid-pte:YuFuZhangKuanErZhiSanNianHeJiBiLi" label="预付帐款二至三年合计比例" periodRef="本期期初数" addr="T0R4C4S1_1" baseScale="0.01" formatStyle="Comma" appId="_GBC_af3b3e24767e48f7a70a5cfa609407a2"/>
      <m:placeholder xlName="_PLD_bb596048f7e846139c705c6214cec5e4" addr="T0R5C0S1_1"/>
      <m:item xlName="_GBC_a0e54d8bcc89464e801e2c3df5ba9bb3" concept="clcid-pte:YuFuZhangKuanSanNianYiShangHeJi" label="预付帐款三年以上合计" mulRef="_GBC_9eb28bbf7d374cdf965c7e133b610fb3" unitRef="_GBC_d491347f74764df5af3312ad7a0a92e5" addr="T0R5C1S1_1" formatStyle="Comma" appId="_GBC_af3b3e24767e48f7a70a5cfa609407a2"/>
      <m:item xlName="_GBC_c967ec0f31184047b8f683376f1364cc" concept="clcid-pte:YuFuZhangKuanSanNianYiShangHeJiBiLi" label="预付帐款三年以上合计比例" addr="T0R5C2S1_1" baseScale="0.01" formatStyle="Comma" appId="_GBC_af3b3e24767e48f7a70a5cfa609407a2"/>
      <m:item xlName="_GBC_6f427dc5548d4f5ba2b250b026e1bc65" concept="clcid-pte:YuFuZhangKuanSanNianYiShangHeJi" label="预付帐款三年以上合计" periodRef="本期期初数" mulRef="_GBC_9eb28bbf7d374cdf965c7e133b610fb3" unitRef="_GBC_d491347f74764df5af3312ad7a0a92e5" addr="T0R5C3S1_1" formatStyle="Comma" appId="_GBC_af3b3e24767e48f7a70a5cfa609407a2"/>
      <m:item xlName="_GBC_2499693354d64307b01ed9e279b39ece" concept="clcid-pte:YuFuZhangKuanSanNianYiShangHeJiBiLi" label="预付帐款三年以上合计比例" periodRef="本期期初数" addr="T0R5C4S1_1" baseScale="0.01" formatStyle="Comma" appId="_GBC_af3b3e24767e48f7a70a5cfa609407a2"/>
      <m:tuple xlName="_TUP_9793e4461d1544a0abdec0c8f4f296bd" concept="clcid-pte:YuFuKuanXiangAnZhangLingLieShiMingXi" default_row="2" addr="T0R6C">
        <m:item xlName="_GBC_03dbd24e05c245759721b98c404da620" concept="clcid-pte:YuFuKuanXiangAnZhangLingLieShiMingXiZhangLing" label="预付款项按账龄列示明细_账龄" addr="T0R6C0S1_1" appId="_GBC_af3b3e24767e48f7a70a5cfa609407a2"/>
        <m:item xlName="_GBC_c9830bc4b8a64f88a183667d0c92517a" concept="clcid-pte:YuFuKuanXiangAnZhangLingLieShiMingXiJinE" label="预付款项按账龄列示明细_金额" mulRef="_GBC_9eb28bbf7d374cdf965c7e133b610fb3" unitRef="_GBC_d491347f74764df5af3312ad7a0a92e5" addr="T0R6C1S1_1" formatStyle="Comma" appId="_GBC_af3b3e24767e48f7a70a5cfa609407a2"/>
        <m:item xlName="_GBC_15c82b0290b748a2afea85f00d396f57" concept="clcid-pte:YuFuKuanXiangAnZhangLingLieShiMingXiBiLi" label="预付款项按账龄列示明细_比例" addr="T0R6C2S1_1" baseScale="0.01" formatStyle="Comma" appId="_GBC_af3b3e24767e48f7a70a5cfa609407a2"/>
        <m:item xlName="_GBC_20691e0196f843ae8e1c4b42de16f409" concept="clcid-pte:YuFuKuanXiangAnZhangLingLieShiMingXiJinE" label="预付款项按账龄列示明细_金额" periodRef="本期期初数" mulRef="_GBC_9eb28bbf7d374cdf965c7e133b610fb3" unitRef="_GBC_d491347f74764df5af3312ad7a0a92e5" addr="T0R6C3S1_1" formatStyle="Comma" appId="_GBC_af3b3e24767e48f7a70a5cfa609407a2"/>
        <m:item xlName="_GBC_017a6005a71c4f8c9104d614848a3f55" concept="clcid-pte:YuFuKuanXiangAnZhangLingLieShiMingXiBiLi" label="预付款项按账龄列示明细_比例" periodRef="本期期初数" addr="T0R6C4S1_1" baseScale="0.01" formatStyle="Comma" appId="_GBC_af3b3e24767e48f7a70a5cfa609407a2"/>
      </m:tuple>
      <m:placeholder xlName="_PLD_773a38e1adc44faa97354ca876a6da1b" addr="T0R8C0S1_1"/>
      <m:item xlName="_GBC_2913509521a44efcaeedc578ca1a89a0" concept="clcid-pte:YuFuZhangKuanZhangMianYuE" label="预付账款账面余额" mulRef="_GBC_9eb28bbf7d374cdf965c7e133b610fb3" unitRef="_GBC_d491347f74764df5af3312ad7a0a92e5" addr="T0R8C1S1_1" formatStyle="Comma" appId="_GBC_af3b3e24767e48f7a70a5cfa609407a2">
        <m:complexRule comparator="Eq" title="预付帐款" test=" $_GBC_85ea1b97951e45bcbaeb9723a3ff1cc0 +  $_GBC_3b2cd7ab40ac45b88f0c487f91f25b2b +  $_GBC_5be2d39f1d244a57948cff5295b1d9da +  $_GBC_a0e54d8bcc89464e801e2c3df5ba9bb3 +  $_GBC_c9830bc4b8a64f88a183667d0c92517a" id="C448b6e5149134e7fa76774656f075f00"/>
      </m:item>
      <m:item xlName="_GBC_5bbf1eb9ecd945b3abeacd1bb23d1367" concept="clcid-pte:YuFuZhangKuanHeJiBiLi" label="预付帐款合计比例" addr="T0R8C2S1_1" baseScale="0.01" formatStyle="Comma" appId="_GBC_af3b3e24767e48f7a70a5cfa609407a2"/>
      <m:item xlName="_GBC_dd4e96c34ece407c96496e85e3e7e23c" concept="clcid-pte:YuFuZhangKuanZhangMianYuE" label="预付账款账面余额" periodRef="本期期初数" mulRef="_GBC_9eb28bbf7d374cdf965c7e133b610fb3" unitRef="_GBC_d491347f74764df5af3312ad7a0a92e5" addr="T0R8C3S1_1" formatStyle="Comma" appId="_GBC_af3b3e24767e48f7a70a5cfa609407a2">
        <m:complexRule comparator="Eq" title="预付帐款@本期期初数" test=" $_GBC_bbd78862ec444f758f7c1a800e150875 +  $_GBC_a2258d9b3e504a289938134354aeae67 +  $_GBC_f824494c0b1449c0af62f414dd63b575 +  $_GBC_6f427dc5548d4f5ba2b250b026e1bc65 +  $_GBC_20691e0196f843ae8e1c4b42de16f409" id="C4e1d359e24cd401f858048cd2b57dbb8"/>
      </m:item>
      <m:item xlName="_GBC_b3506b01d1554356a9d40423e3881ba8" concept="clcid-pte:YuFuZhangKuanHeJiBiLi" label="预付帐款合计比例" periodRef="本期期初数" addr="T0R8C4S1_1" baseScale="0.01" formatStyle="Comma" appId="_GBC_af3b3e24767e48f7a70a5cfa609407a2"/>
      <m:item xlName="_GBC_174a9654172e49e09cdbf18d854fdd51" concept="clcid-pte:ZhangLingChaoGuoNianQieJinEZhongYaoDeYuFuKuanXiangWeiJiShiJieSuanYuanYinDeShuoMing" label="账龄超过1年且金额重要的预付款项未及时结算原因的说明" appId="_GBC_af3b3e24767e48f7a70a5cfa609407a2"/>
    </m:section>
    <m:section xlName="_GBC_2c5fba8651a04a6d88c0c9fc33310c57" title="预付款项金额前五名单位情况" rules="R2015_R11_005" convertSummaryRule="NoConvert" helpId="112001047" helpText="注：按预付对象集中度，汇总或分别披露期末余额前五名的预付款项的期末余额及占预付款项期末余额合计数的比例。">
      <m:item xlName="_GBC_a1864f04af6d49bdb434d74a7f29f8c3" concept="clcid-ci-ar:ShiFouShiYongAnYuFuDuiXiangGuiJiDeQiMoYuEQianWuMingDeYuFuKuanQingKuang" label="是否适用：按预付对象归集的期末余额前五名的预付款情况" selectOptions="_buildInAppliance" controlType="CustomCheckbox" cRanges="{&quot;StartName&quot;:&quot;_GBC_a1864f04af6d49bdb434d74a7f29f8c3&quot;,&quot;EndName&quot;:&quot;_GBC_e2f1aa285f174786838e4fcd54656fec&quot;,&quot;CType&quot;:1,&quot;DisplayText&quot;:null}"/>
      <m:item xlName="_GBC_e2f1aa285f174786838e4fcd54656fec" concept="clcid-pte:AnYuFuDuiXiangGuiJiDeQiMoYuEQianWuMingDeYuFuKuanQingKuangDeShuoMing" label="按预付对象归集的期末余额前五名的预付款情况的说明" appId="_GBC_a1864f04af6d49bdb434d74a7f29f8c3"/>
    </m:section>
    <m:section xlName="_GBC_ee9bedfa5e5340c9b02fb474f1a1fc26" title="预付款项的说明" rules="R2015_R11_005" convertSummaryRule="NoConvert" helpId="112001047">
      <m:item xlName="_GBC_c712ee6483d44c77b1f563e552689c6d" concept="clcid-ci-ar:ShiFouShiYongYuFuZhangKuanDeShuoMing" label="是否适用：预付帐款的说明" selectOptions="_buildInAppliance" controlType="CustomCheckbox" cRanges="{&quot;StartName&quot;:&quot;_GBC_c712ee6483d44c77b1f563e552689c6d&quot;,&quot;EndName&quot;:&quot;_GBC_9cd4dbf3da3b458c92ffc167d6c097d5&quot;,&quot;CType&quot;:1,&quot;DisplayText&quot;:null}"/>
      <m:item xlName="_GBC_9cd4dbf3da3b458c92ffc167d6c097d5" concept="clcid-pte:YuFuZhangKuanDeShuoMing" label="预付帐款的说明" appId="_GBC_c712ee6483d44c77b1f563e552689c6d"/>
    </m:section>
    <m:section xlName="_SEC_440b8bdb86984dd89d750fdd7845fe71" title="分类列示">
      <m:item xlName="_GBC_23e3e9ad53624abaaa00fc7f7c24842a" concept="clcid-ci-ar:ShiFouShiYongQiTaYingShouKuanFenLeiLieShi" label="是否适用：其他应收款分类列示" selectOptions="_buildInAppliance" controlType="CustomCheckbox" cRanges="[{&quot;StartName&quot;:&quot;_GBC_23e3e9ad53624abaaa00fc7f7c24842a&quot;,&quot;EndName&quot;:&quot;_GBC_663f1ecf18ef4daaada66501c665c6bf&quot;,&quot;CType&quot;:1}]"/>
      <m:item xlName="_GBC_b73f89c776a341249ed520fe726b4db9" concept="clcid-ci-ar:DanWeiQiTaYingShouKuanFenLeiLieShi" label="单位：其他应收款分类列示" selectOptions="_buildInScales" controlType="Combobox" cellType="Scale" appId="_GBC_23e3e9ad53624abaaa00fc7f7c24842a"/>
      <m:item xlName="_GBC_a23554f2403346ea97b8fb1ef551ebe4" concept="clcid-ci-ar:BiZhongQiTaYingShouKuanFenLeiLieShi" label="币种：其他应收款分类列示" selectOptions="_buildInISO4217" controlType="Combobox" cellType="Measure" appId="_GBC_23e3e9ad53624abaaa00fc7f7c24842a"/>
      <m:placeholder xlName="_PLD_3b049b9a7f344665a70a23c402afbda5" addr="T0R0C0S1_1"/>
      <m:placeholder xlName="_PLD_550a4ba0fb444ea69297bd36780a7618" addr="T0R0C1S1_1"/>
      <m:placeholder xlName="_PLD_d58c3f70487c440b99a9f440a2d57d1e" addr="T0R0C2S1_1"/>
      <m:placeholder xlName="_PLD_6a77c21d56bf4de7bfea2b3078ae9e86" addr="T0R1C0S1_1"/>
      <m:item xlName="_GBC_4f19f9abd8fc43a4b4b714848eca5e3e" concept="clcid-pte:YingShouLiXi" label="应收利息" mulRef="_GBC_b73f89c776a341249ed520fe726b4db9" unitRef="_GBC_a23554f2403346ea97b8fb1ef551ebe4" addr="T0R1C1S1_1" formatStyle="Comma" appId="_GBC_23e3e9ad53624abaaa00fc7f7c24842a"/>
      <m:item xlName="_GBC_8e24c5f9fe084eaca0bb91940a0f93bd" concept="clcid-pte:YingShouLiXi" label="应收利息" periodRef="本期期初数" mulRef="_GBC_b73f89c776a341249ed520fe726b4db9" unitRef="_GBC_a23554f2403346ea97b8fb1ef551ebe4" addr="T0R1C2S1_1" formatStyle="Comma" appId="_GBC_23e3e9ad53624abaaa00fc7f7c24842a"/>
      <m:placeholder xlName="_PLD_d5542663fde44485b06eb5b2144b7f62" addr="T0R2C0S1_1"/>
      <m:item xlName="_GBC_2c7acc7cec0b453c922c3c8db91c3f4d" concept="clcid-pte:YingShouGuLi" label="应收股利" mulRef="_GBC_b73f89c776a341249ed520fe726b4db9" unitRef="_GBC_a23554f2403346ea97b8fb1ef551ebe4" addr="T0R2C1S1_1" formatStyle="Comma" appId="_GBC_23e3e9ad53624abaaa00fc7f7c24842a"/>
      <m:item xlName="_GBC_a0d4783ad0994428a2071797375ff307" concept="clcid-pte:YingShouGuLi" label="应收股利" periodRef="本期期初数" mulRef="_GBC_b73f89c776a341249ed520fe726b4db9" unitRef="_GBC_a23554f2403346ea97b8fb1ef551ebe4" addr="T0R2C2S1_1" formatStyle="Comma" appId="_GBC_23e3e9ad53624abaaa00fc7f7c24842a"/>
      <m:placeholder xlName="_PLD_fadacacf8b7d4e10a081b5eae54fea6b" addr="T0R3C0S1_1" helpText="此处的其他应收款指扣除应收利息、应收股利后的其他应收款"/>
      <m:item xlName="_GBC_2f388a15975249f49f88bde1403f7198" concept="clcid-pte:QiTaYingShouKuanZhangMianJiaZhiHeJi" label="其他应收款账面价值合计" mulRef="_GBC_b73f89c776a341249ed520fe726b4db9" unitRef="_GBC_a23554f2403346ea97b8fb1ef551ebe4" addr="T0R3C1S1_1" formatStyle="Comma" helpText="此处的其他应收款指扣除应收利息、应收股利后的其他应收款" appId="_GBC_23e3e9ad53624abaaa00fc7f7c24842a"/>
      <m:item xlName="_GBC_2bbd8f3e88c24cfeb4712b541f0fef16" concept="clcid-pte:QiTaYingShouKuanZhangMianJiaZhiHeJi" label="其他应收款账面价值合计" periodRef="本期期初数" mulRef="_GBC_b73f89c776a341249ed520fe726b4db9" unitRef="_GBC_a23554f2403346ea97b8fb1ef551ebe4" addr="T0R3C2S1_1" formatStyle="Comma" helpText="此处的其他应收款指扣除应收利息、应收股利后的其他应收款" appId="_GBC_23e3e9ad53624abaaa00fc7f7c24842a"/>
      <m:placeholder xlName="_PLD_7fcd8f78599a4d76a92c6bed7b01aa27" addr="T0R4C0S1_1"/>
      <m:item xlName="_GBC_d91b3f687d904ad6a8b1d8d5dba5e5ac" concept="clcid-pte:QiTaYingShouKuan" label="其他应收款" mulRef="_GBC_b73f89c776a341249ed520fe726b4db9" unitRef="_GBC_a23554f2403346ea97b8fb1ef551ebe4" addr="T0R4C1S1_1" formatStyle="Comma" appId="_GBC_23e3e9ad53624abaaa00fc7f7c24842a">
        <m:complexRule comparator="Eq" title="其他应收款" test=" $_GBC_4f19f9abd8fc43a4b4b714848eca5e3e +  $_GBC_2c7acc7cec0b453c922c3c8db91c3f4d +  $_GBC_2f388a15975249f49f88bde1403f7198" id="C22958b8587de472583ca1423d69c6cd9"/>
      </m:item>
      <m:item xlName="_GBC_5feeaac85c174229b7c5e6019ec9d8fb" concept="clcid-pte:QiTaYingShouKuan" label="其他应收款" periodRef="本期期初数" mulRef="_GBC_b73f89c776a341249ed520fe726b4db9" unitRef="_GBC_a23554f2403346ea97b8fb1ef551ebe4" addr="T0R4C2S1_1" formatStyle="Comma" appId="_GBC_23e3e9ad53624abaaa00fc7f7c24842a">
        <m:complexRule comparator="Eq" title="其他应收款@本期期初数" test=" $_GBC_8e24c5f9fe084eaca0bb91940a0f93bd +  $_GBC_a0d4783ad0994428a2071797375ff307 +  $_GBC_2bbd8f3e88c24cfeb4712b541f0fef16" id="C3104b32a56f8408a87effd2a5ad1b0a7"/>
      </m:item>
      <m:item xlName="_GBC_73a4089b33094d13b0ea7c9bf8cfb58f" concept="clcid-ci-ar:ShiFouShiYongQiTaYingShouKuanQiTaShuoMing" label="是否适用：其他应收款分类列示其他说明" selectOptions="_buildInAppliance" controlType="CustomCheckbox" cRanges="[{&quot;StartName&quot;:&quot;_GBC_73a4089b33094d13b0ea7c9bf8cfb58f&quot;,&quot;EndName&quot;:&quot;_GBC_663f1ecf18ef4daaada66501c665c6bf&quot;,&quot;CType&quot;:1}]"/>
      <m:item xlName="_GBC_663f1ecf18ef4daaada66501c665c6bf" concept="clcid-pte:QiTaYingShouKuanFenLeiLieShiQiTaShuoMing" label="其他应收款分类列示其他说明" appId="_GBC_73a4089b33094d13b0ea7c9bf8cfb58f"/>
    </m:section>
    <m:section xlName="_GBC_6620e2366b444b3fb9e784e1bb6a87fd" title="应收利息" convertSummaryRule="NoConvert" helpId="112001049">
      <m:item xlName="_GBC_86f9e9a81d7d4e07ae6873a88ddf6cc7" concept="clcid-ci-ar:ShiFouShiYongYingShouLiXiFenLei" label="是否适用：应收利息分类" selectOptions="_buildInAppliance" controlType="CustomCheckbox" cRanges="{&quot;StartName&quot;:&quot;_GBC_86f9e9a81d7d4e07ae6873a88ddf6cc7&quot;,&quot;EndName&quot;:&quot;_GBC_337b9ef05bfd45f3abdb75660ec6f663&quot;,&quot;CType&quot;:1,&quot;DisplayText&quot;:null}"/>
      <m:item xlName="_GBC_81846eacbc9946ddbec2bf905b374235" concept="clcid-ci-ar:DanWeiCaiWuFuZhuYingShouLiXi" label="单位：财务附注：应收利息" selectOptions="_buildInScales" controlType="Combobox" cellType="Scale" appId="_GBC_86f9e9a81d7d4e07ae6873a88ddf6cc7"/>
      <m:item xlName="_GBC_54a3d4a928194383b5465e034945e1cc" concept="clcid-ci-ar:BiZhongCaiWuFuZhuYingShouLiXi" label="币种：财务附注：应收利息" selectOptions="_buildInISO4217" controlType="Combobox" cellType="Measure" appId="_GBC_86f9e9a81d7d4e07ae6873a88ddf6cc7"/>
      <m:placeholder xlName="_PLD_d85221ba8492478e88a450d14d1130bb" addr="T0R0C0S1_1"/>
      <m:placeholder xlName="_PLD_7bbe528e96ef48d6be1d6728953af334" addr="T0R0C1S1_1"/>
      <m:placeholder xlName="_PLD_e6cbc7c171bd4286ad1e7578ffc41372" addr="T0R0C2S1_1"/>
      <m:placeholder xlName="_PLD_89dfa7b84fc24b898915c86633e379eb" addr="T0R1C0S1_1"/>
      <m:item xlName="_GBC_40e00165dbd240aabddd21020dc1be8c" concept="clcid-pte:DingQiCunKuanYingShouLiXi" label="定期存款应收利息" mulRef="_GBC_81846eacbc9946ddbec2bf905b374235" unitRef="_GBC_54a3d4a928194383b5465e034945e1cc" addr="T0R1C1S1_1" formatStyle="Comma" appId="_GBC_86f9e9a81d7d4e07ae6873a88ddf6cc7"/>
      <m:item xlName="_GBC_bfc239e93deb421b909951a4ba2a0b7b" concept="clcid-pte:DingQiCunKuanYingShouLiXi" label="定期存款应收利息" periodRef="本期期初数" mulRef="_GBC_81846eacbc9946ddbec2bf905b374235" unitRef="_GBC_54a3d4a928194383b5465e034945e1cc" addr="T0R1C2S1_1" formatStyle="Comma" appId="_GBC_86f9e9a81d7d4e07ae6873a88ddf6cc7"/>
      <m:placeholder xlName="_PLD_e67d7dc553194ed798b8bbbc642de222" addr="T0R2C0S1_1"/>
      <m:item xlName="_GBC_baad85dae4f248b5b692cbe4be7d60d9" concept="clcid-pte:WeiTuoDaiKuanYingShouLiXi" label="委托贷款应收利息" mulRef="_GBC_81846eacbc9946ddbec2bf905b374235" unitRef="_GBC_54a3d4a928194383b5465e034945e1cc" addr="T0R2C1S1_1" formatStyle="Comma" appId="_GBC_86f9e9a81d7d4e07ae6873a88ddf6cc7"/>
      <m:item xlName="_GBC_9f7a74fc98fb4ef094c9565162d0d107" concept="clcid-pte:WeiTuoDaiKuanYingShouLiXi" label="委托贷款应收利息" periodRef="本期期初数" mulRef="_GBC_81846eacbc9946ddbec2bf905b374235" unitRef="_GBC_54a3d4a928194383b5465e034945e1cc" addr="T0R2C2S1_1" formatStyle="Comma" appId="_GBC_86f9e9a81d7d4e07ae6873a88ddf6cc7"/>
      <m:placeholder xlName="_PLD_25b9546d321b4ba98582653bb58a569c" addr="T0R3C0S1_1"/>
      <m:item xlName="_GBC_4c40357cf2234d6d8acc2e0eb99e153d" concept="clcid-pte:ZhaiQuanTouZiYingShouLiXi" label="债券投资应收利息" mulRef="_GBC_81846eacbc9946ddbec2bf905b374235" unitRef="_GBC_54a3d4a928194383b5465e034945e1cc" addr="T0R3C1S1_1" formatStyle="Comma" appId="_GBC_86f9e9a81d7d4e07ae6873a88ddf6cc7"/>
      <m:item xlName="_GBC_85c4d9ee85a54c5aa7845507ffdb80d5" concept="clcid-pte:ZhaiQuanTouZiYingShouLiXi" label="债券投资应收利息" periodRef="本期期初数" mulRef="_GBC_81846eacbc9946ddbec2bf905b374235" unitRef="_GBC_54a3d4a928194383b5465e034945e1cc" addr="T0R3C2S1_1" formatStyle="Comma" appId="_GBC_86f9e9a81d7d4e07ae6873a88ddf6cc7"/>
      <m:tuple xlName="_GBC_6559a149b13647de85819b99395240fb" concept="clcid-pte:YingShouLiXiMingXi" default_row="2" addr="T0R4C">
        <m:item xlName="_GBC_9030efc80e2c4e3a80ab10d792269369" concept="clcid-pte:YingShouLiXiXiangMu" label="应收利息项目" addr="T0R4C0S1_1" appId="_GBC_86f9e9a81d7d4e07ae6873a88ddf6cc7"/>
        <m:item xlName="_GBC_d93f0a0dbc16432794075116c01fba3d" concept="clcid-pte:YingShouLiXiJinE" label="应收利息金额" mulRef="_GBC_81846eacbc9946ddbec2bf905b374235" unitRef="_GBC_54a3d4a928194383b5465e034945e1cc" addr="T0R4C1S1_1" formatStyle="Comma" appId="_GBC_86f9e9a81d7d4e07ae6873a88ddf6cc7"/>
        <m:item xlName="_GBC_62d6b023b09d47288505bf830370497b" concept="clcid-pte:YingShouLiXiJinE" label="应收利息金额" periodRef="本期期初数" mulRef="_GBC_81846eacbc9946ddbec2bf905b374235" unitRef="_GBC_54a3d4a928194383b5465e034945e1cc" addr="T0R4C2S1_1" formatStyle="Comma" appId="_GBC_86f9e9a81d7d4e07ae6873a88ddf6cc7"/>
      </m:tuple>
      <m:placeholder xlName="_PLD_04fe1c3dc87c434280704eb31ff818d1" addr="T0R6C0S1_1"/>
      <m:item xlName="_GBC_9fa4443fb62b4a518a879f17bab011ee" concept="clcid-pte:YingShouLiXi" label="应收利息" mulRef="_GBC_81846eacbc9946ddbec2bf905b374235" unitRef="_GBC_54a3d4a928194383b5465e034945e1cc" addr="T0R6C1S1_1" formatStyle="Comma" appId="_GBC_86f9e9a81d7d4e07ae6873a88ddf6cc7">
        <m:complexRule comparator="Eq" title="一年以上应收未收的应收利息合计" test=" $_GBC_40e00165dbd240aabddd21020dc1be8c +  $_GBC_baad85dae4f248b5b692cbe4be7d60d9 +  $_GBC_4c40357cf2234d6d8acc2e0eb99e153d +  $_GBC_d93f0a0dbc16432794075116c01fba3d" id="C9a65e095236e42f3a428fa5c060ed37e"/>
      </m:item>
      <m:item xlName="_GBC_337b9ef05bfd45f3abdb75660ec6f663" concept="clcid-pte:YingShouLiXi" label="应收利息" periodRef="本期期初数" mulRef="_GBC_81846eacbc9946ddbec2bf905b374235" unitRef="_GBC_54a3d4a928194383b5465e034945e1cc" addr="T0R6C2S1_1" formatStyle="Comma" appId="_GBC_86f9e9a81d7d4e07ae6873a88ddf6cc7">
        <m:complexRule comparator="Eq" title="一年以上应收未收的应收利息合计@本期期初数" test=" $_GBC_bfc239e93deb421b909951a4ba2a0b7b +  $_GBC_9f7a74fc98fb4ef094c9565162d0d107 +  $_GBC_85c4d9ee85a54c5aa7845507ffdb80d5 +  $_GBC_62d6b023b09d47288505bf830370497b" id="Cbc4fc28a173c4e2a8c1c25b087442e73"/>
      </m:item>
    </m:section>
    <m:section xlName="_GBC_bcfcff19f55a43f988e9223dca0728dc" title="逾期利息" convertSummaryRule="NoConvert" helpId="112001049">
      <m:item xlName="_GBC_4554f307ef2241a583829b74df8ef0c3" concept="clcid-ci-ar:ShiFouShiYongZhongYaoYuQiLiXi" label="是否适用：重要逾期利息" selectOptions="_buildInAppliance" controlType="CustomCheckbox" cRanges="{&quot;StartName&quot;:&quot;_GBC_4554f307ef2241a583829b74df8ef0c3&quot;,&quot;EndName&quot;:&quot;_GBC_4ee1adf0b7f446868cf1841fce254ead&quot;,&quot;CType&quot;:1,&quot;DisplayText&quot;:null}"/>
      <m:item xlName="_GBC_a266c360b41d4df2bdd1b6d3bf8287eb" concept="clcid-ci-ar:DanWeiCaiWuFuZhuYuQiLiXi" label="单位：财务附注：逾期利息" selectOptions="_buildInScales" controlType="Combobox" cellType="Scale" appId="_GBC_4554f307ef2241a583829b74df8ef0c3"/>
      <m:item xlName="_GBC_5236ccf1a3b9418992e22f19966fd556" concept="clcid-ci-ar:BiZhongCaiWuFuZhuYuQiLiXi" label="币种：财务附注：逾期利息" selectOptions="_buildInISO4217" controlType="Combobox" cellType="Measure" appId="_GBC_4554f307ef2241a583829b74df8ef0c3"/>
      <m:placeholder xlName="_PLD_e409d75aa490480782fe8110d431b129" addr="T0R0C0S1_1"/>
      <m:placeholder xlName="_PLD_aacc48ef386e469090fa74e04b9a748c" addr="T0R0C1S1_1"/>
      <m:placeholder xlName="_PLD_70492dd0a5f046aebe223601ff2d0d6e" addr="T0R0C2S1_1"/>
      <m:placeholder xlName="_PLD_e8ae8941f466442184849a080c63cc28" addr="T0R0C3S1_1"/>
      <m:placeholder xlName="_PLD_cd4526cf81274c078743ffb53f0d123d" addr="T0R0C4S1_1"/>
      <m:tuple xlName="_GBC_fc7dcbf56a4c49449bf7173b7e285c8a" concept="clcid-pte:YuQiLiXiMingXi" default_row="2" addr="T0R1C">
        <m:item xlName="_GBC_e9ebce5f961f44428aea440e409e1ae7" concept="clcid-pte:YuQiLiXiMingXiDaiKuanDanWei" label="逾期利息明细-贷款单位" addr="T0R1C0S1_1" appId="_GBC_4554f307ef2241a583829b74df8ef0c3"/>
        <m:item xlName="_GBC_670cc8123a3f4bc486c3d0042133f46c" concept="clcid-pte:YuQiLiXiMingXiJinE" label="逾期利息明细-金额" mulRef="_GBC_a266c360b41d4df2bdd1b6d3bf8287eb" unitRef="_GBC_5236ccf1a3b9418992e22f19966fd556" addr="T0R1C1S1_1" formatStyle="Comma" appId="_GBC_4554f307ef2241a583829b74df8ef0c3"/>
        <m:item xlName="_GBC_9141d303d6324da998780dd53483a50b" concept="clcid-pte:YuQiLiXiMingXiYuQiShiJian" label="逾期利息明细-逾期时间" addr="T0R1C2S1_1" appId="_GBC_4554f307ef2241a583829b74df8ef0c3" keyAction="38"/>
        <m:item xlName="_GBC_a6036079e41a41a3b473569597defc7e" concept="clcid-pte:YuQiLiXiMingXiYuQiYuanYin" label="逾期利息明细-逾期原因" addr="T0R1C3S1_1" appId="_GBC_4554f307ef2241a583829b74df8ef0c3"/>
        <m:item xlName="_GBC_dd361338f7384970b31bfe033922010f" concept="clcid-pte:YuQiLiXiMingXiShiFouFaShengJianZhiJiQiPanDuanYiJu" label="逾期利息明细-是否发生减值及其判断依据" addr="T0R1C4S1_1" appId="_GBC_4554f307ef2241a583829b74df8ef0c3"/>
      </m:tuple>
      <m:placeholder xlName="_PLD_f6905780579a48e782f0d758443e8d1e" addr="T0R3C0S1_1"/>
      <m:item xlName="_GBC_4ee1adf0b7f446868cf1841fce254ead" concept="clcid-pte:YuQiLiXiJinEHeJi" label="逾期利息金额合计" mulRef="_GBC_a266c360b41d4df2bdd1b6d3bf8287eb" unitRef="_GBC_5236ccf1a3b9418992e22f19966fd556" addr="T0R3C1S1_1" formatStyle="Comma" appId="_GBC_4554f307ef2241a583829b74df8ef0c3">
        <m:complexRule comparator="Eq" title="逾期利息金额合计" test=" $_GBC_670cc8123a3f4bc486c3d0042133f46c" id="C1743b68c4a0a4e3f94dcff344fc69df9"/>
      </m:item>
    </m:section>
    <m:section xlName="_SEC_61c56552057346dd98026d659f25d3ef" title="坏账准备计提情况">
      <m:item xlName="_GBC_2081adab30854417bcfae25caae8c9f9" concept="clcid-ci-ar:ShiFouShiYongYingShouLiXiHuaiZhangZhunBeiTiaoJieBiao" label="是否适用：应收利息坏账准备调节表" selectOptions="_buildInAppliance" controlType="CustomCheckbox" cRanges="[{&quot;StartName&quot;:&quot;_GBC_2081adab30854417bcfae25caae8c9f9&quot;,&quot;EndName&quot;:&quot;_GBC_a37fe551f9984adfb55d3a57c74e8df2&quot;,&quot;CType&quot;:1}]"/>
      <m:item xlName="_GBC_029fdfe6fdb94f37830a19a4ec6d6e3b" concept="clcid-ci-ar:DanWeiYingShouLiXiHuaiZhangZhunBeiTiaoJieBiao" label="单位：应收利息坏账准备调节表" selectOptions="_buildInScales" controlType="Combobox" cellType="Scale" appId="_GBC_2081adab30854417bcfae25caae8c9f9"/>
      <m:item xlName="_GBC_b236c94c56b6495c883f85d7c0ce7f46" concept="clcid-ci-ar:BiZhongYingShouLiXiHuaiZhangZhunBeiTiaoJieBiao" label="币种：应收利息坏账准备调节表" selectOptions="_buildInISO4217" controlType="Combobox" cellType="Measure" appId="_GBC_2081adab30854417bcfae25caae8c9f9"/>
      <m:placeholder xlName="_PLD_35f7794ad07646e2b8dec2cc7b145cc4" addr="T0R0C0S2_1"/>
      <m:placeholder xlName="_PLD_e883cf3ce2a144b1b646121ec60533d5" addr="T0R0C1S1_1"/>
      <m:placeholder xlName="_PLD_f80a70535be74c44a60325e2f244a55b" addr="T0R0C2S1_1"/>
      <m:placeholder xlName="_PLD_a274bafe62154aee8620ac55a338ec8a" addr="T0R0C3S1_1"/>
      <m:placeholder xlName="_PLD_b3e120e7f20945e588a6f2b4a7b9e374" addr="T0R0C4S2_1"/>
      <m:placeholder xlName="_PLD_e16851a75cf944759436bb7953ad98c7" addr="T0R1C1S1_1"/>
      <m:placeholder xlName="_PLD_c6213a74c7b74d3fab0bc0c84778d2b0" addr="T0R1C2S1_1"/>
      <m:placeholder xlName="_PLD_6c03ee9edc7b4f73b2d8ff6f0520645f" addr="T0R1C3S1_1"/>
      <m:placeholder xlName="_PLD_0b8a0f7af32249c9aeb40fa5589ffd80" addr="T0R2C0S1_1"/>
      <m:item xlName="_GBC_2f189ee7fa664a1ea08670a9befd28b0" concept="clcid-pte:YingShouLiXiHuaiZhangZhunBeiDiYiJieDuan" label="应收利息坏账准备（第一阶段）" periodRef="本期期初数" mulRef="_GBC_029fdfe6fdb94f37830a19a4ec6d6e3b" unitRef="_GBC_b236c94c56b6495c883f85d7c0ce7f46" addr="T0R2C1S1_1" formatStyle="Comma" appId="_GBC_2081adab30854417bcfae25caae8c9f9"/>
      <m:item xlName="_GBC_b9d4a536d7d245d18cb1bd597aac4a1f" concept="clcid-pte:YingShouLiXiHuaiZhangZhunBeiDiErJieDuan" label="应收利息坏账准备（第二阶段）" periodRef="本期期初数" mulRef="_GBC_029fdfe6fdb94f37830a19a4ec6d6e3b" unitRef="_GBC_b236c94c56b6495c883f85d7c0ce7f46" addr="T0R2C2S1_1" formatStyle="Comma" appId="_GBC_2081adab30854417bcfae25caae8c9f9"/>
      <m:item xlName="_GBC_841f04bf3ef14cb3b9f8ef89e96f11d4" concept="clcid-pte:YingShouLiXiHuaiZhangZhunBeiDiSanJieDuan" label="应收利息坏账准备（第三阶段）" periodRef="本期期初数" mulRef="_GBC_029fdfe6fdb94f37830a19a4ec6d6e3b" unitRef="_GBC_b236c94c56b6495c883f85d7c0ce7f46" addr="T0R2C3S1_1" formatStyle="Comma" appId="_GBC_2081adab30854417bcfae25caae8c9f9"/>
      <m:item xlName="_GBC_f00fab4efbff4fa8a1fdb279d3c153ee" concept="clcid-pte:YingShouLiXiHuaiZhangZhunBei" label="应收利息坏账准备" periodRef="本期期初数" mulRef="_GBC_029fdfe6fdb94f37830a19a4ec6d6e3b" unitRef="_GBC_b236c94c56b6495c883f85d7c0ce7f46" addr="T0R2C4S1_1" formatStyle="Comma" appId="_GBC_2081adab30854417bcfae25caae8c9f9"/>
      <m:placeholder xlName="_PLD_15b9e30be07b41659992835091348121" addr="T0R3C0S1_1"/>
      <m:item xlName="_GBC_781f8d5be4984bc2aefcf7a1368aceda" concept="clcid-pte:YingShouLiXiHuaiZhangZhunBeiBenQiZhuanRuHuoZhuanHuiDiYiJieDuan" label="应收利息坏账准备本期转入或转回（第一阶段）" mulRef="_GBC_029fdfe6fdb94f37830a19a4ec6d6e3b" unitRef="_GBC_b236c94c56b6495c883f85d7c0ce7f46" addr="T0R3C1S1_1" formatStyle="Comma" appId="_GBC_2081adab30854417bcfae25caae8c9f9"/>
      <m:item xlName="_GBC_888196542e914265923bebfd7befa08b" concept="clcid-pte:YingShouLiXiHuaiZhangZhunBeiBenQiZhuanRuHuoZhuanHuiDiErJieDuan" label="应收利息坏账准备本期转入或转回（第二阶段）" mulRef="_GBC_029fdfe6fdb94f37830a19a4ec6d6e3b" unitRef="_GBC_b236c94c56b6495c883f85d7c0ce7f46" addr="T0R3C2S1_1" formatStyle="Comma" appId="_GBC_2081adab30854417bcfae25caae8c9f9"/>
      <m:item xlName="_GBC_fc89df8e877a4ec4a7c40f2c52ef795d" concept="clcid-pte:YingShouLiXiHuaiZhangZhunBeiBenQiZhuanRuHuoZhuanHuiDiSanJieDuan" label="应收利息坏账准备本期转入或转回（第三阶段）" mulRef="_GBC_029fdfe6fdb94f37830a19a4ec6d6e3b" unitRef="_GBC_b236c94c56b6495c883f85d7c0ce7f46" addr="T0R3C3S1_1" formatStyle="Comma" appId="_GBC_2081adab30854417bcfae25caae8c9f9"/>
      <m:item xlName="_GBC_e4d8a3402acb41caaa437d4af06b2bcf" concept="clcid-pte:YingShouLiXiHuaiZhangZhunBeiBenQiZhuanRuHuoZhuanHuiJieDuanHeJi" label="应收利息坏账准备本期转入或转回阶段合计" mulRef="_GBC_029fdfe6fdb94f37830a19a4ec6d6e3b" unitRef="_GBC_b236c94c56b6495c883f85d7c0ce7f46" addr="T0R3C4S1_1" formatStyle="Comma" appId="_GBC_2081adab30854417bcfae25caae8c9f9"/>
      <m:placeholder xlName="_PLD_2d953110b7064abba43b3d1b094e0717" addr="T0R4C0S1_1"/>
      <m:item xlName="_GBC_5d275789c4c548cb9863cf916c7a611b" concept="clcid-pte:YingShouLiXiHuaiZhangZhunBeiBenQiZhuanRuDiErJieDuanDiYiJieDuan" label="应收利息坏账准备本期转入第二阶段（第一阶段）" mulRef="_GBC_029fdfe6fdb94f37830a19a4ec6d6e3b" unitRef="_GBC_b236c94c56b6495c883f85d7c0ce7f46" addr="T0R4C1S1_1" formatStyle="Comma" appId="_GBC_2081adab30854417bcfae25caae8c9f9"/>
      <m:item xlName="_GBC_d254df10649c45689c8cc36aca329a31" concept="clcid-pte:YingShouLiXiHuaiZhangZhunBeiBenQiZhuanRuDiErJieDuanDiErJieDuan" label="应收利息坏账准备本期转入第二阶段（第二阶段）" mulRef="_GBC_029fdfe6fdb94f37830a19a4ec6d6e3b" unitRef="_GBC_b236c94c56b6495c883f85d7c0ce7f46" addr="T0R4C2S1_1" formatStyle="Comma" appId="_GBC_2081adab30854417bcfae25caae8c9f9"/>
      <m:item xlName="_GBC_dc1ec51d05d942398bb3f0e41611354e" concept="clcid-pte:YingShouLiXiHuaiZhangZhunBeiBenQiZhuanRuDiErJieDuanDiSanJieDuan" label="应收利息坏账准备本期转入第二阶段（第三阶段）" mulRef="_GBC_029fdfe6fdb94f37830a19a4ec6d6e3b" unitRef="_GBC_b236c94c56b6495c883f85d7c0ce7f46" addr="T0R4C3S1_1" formatStyle="Comma" appId="_GBC_2081adab30854417bcfae25caae8c9f9"/>
      <m:item xlName="_GBC_d802ebc581084ac1a9e0e5591256a004" concept="clcid-pte:YingShouLiXiHuaiZhangZhunBeiBenQiZhuanRuDiErJieDuanJieDuanHeJi" label="应收利息坏账准备本期转入第二阶段阶段合计" mulRef="_GBC_029fdfe6fdb94f37830a19a4ec6d6e3b" unitRef="_GBC_b236c94c56b6495c883f85d7c0ce7f46" addr="T0R4C4S1_1" formatStyle="Comma" appId="_GBC_2081adab30854417bcfae25caae8c9f9"/>
      <m:placeholder xlName="_PLD_4b78045a5ac240e2bda270a6dbc77a26" addr="T0R5C0S1_1"/>
      <m:item xlName="_GBC_d6bb6fcbf6544614a65b8b7346f1a168" concept="clcid-pte:YingShouLiXiHuaiZhangZhunBeiBenQiZhuanRuDiSanJieDuanDiYiJieDuan" label="应收利息坏账准备本期转入第三阶段（第一阶段）" mulRef="_GBC_029fdfe6fdb94f37830a19a4ec6d6e3b" unitRef="_GBC_b236c94c56b6495c883f85d7c0ce7f46" addr="T0R5C1S1_1" formatStyle="Comma" appId="_GBC_2081adab30854417bcfae25caae8c9f9"/>
      <m:item xlName="_GBC_8f67a2a74eb648db97002606047c682c" concept="clcid-pte:YingShouLiXiHuaiZhangZhunBeiBenQiZhuanRuDiSanJieDuanDiErJieDuan" label="应收利息坏账准备本期转入第三阶段（第二阶段）" mulRef="_GBC_029fdfe6fdb94f37830a19a4ec6d6e3b" unitRef="_GBC_b236c94c56b6495c883f85d7c0ce7f46" addr="T0R5C2S1_1" formatStyle="Comma" appId="_GBC_2081adab30854417bcfae25caae8c9f9"/>
      <m:item xlName="_GBC_bb99a86003cf41e493f82ee1afe708bf" concept="clcid-pte:YingShouLiXiHuaiZhangZhunBeiBenQiZhuanRuDiSanJieDuanDiSanJieDuan" label="应收利息坏账准备本期转入第三阶段（第三阶段）" mulRef="_GBC_029fdfe6fdb94f37830a19a4ec6d6e3b" unitRef="_GBC_b236c94c56b6495c883f85d7c0ce7f46" addr="T0R5C3S1_1" formatStyle="Comma" appId="_GBC_2081adab30854417bcfae25caae8c9f9"/>
      <m:item xlName="_GBC_945a0ee3f68b42c49eac404c8d9f2807" concept="clcid-pte:YingShouLiXiHuaiZhangZhunBeiBenQiZhuanRuDiSanJieDuanJieDuanHeJi" label="应收利息坏账准备本期转入第三阶段阶段合计" mulRef="_GBC_029fdfe6fdb94f37830a19a4ec6d6e3b" unitRef="_GBC_b236c94c56b6495c883f85d7c0ce7f46" addr="T0R5C4S1_1" formatStyle="Comma" appId="_GBC_2081adab30854417bcfae25caae8c9f9"/>
      <m:placeholder xlName="_PLD_bbeb194f727b424d878c1e168542c0ea" addr="T0R6C0S1_1"/>
      <m:item xlName="_GBC_cb2ab3df7c3b4da2ab3b3b275f74f9f6" concept="clcid-pte:YingShouLiXiHuaiZhangZhunBeiBenQiZhuanHuiDiErJieDuanDiYiJieDuan" label="应收利息坏账准备本期转回第二阶段（第一阶段）" mulRef="_GBC_029fdfe6fdb94f37830a19a4ec6d6e3b" unitRef="_GBC_b236c94c56b6495c883f85d7c0ce7f46" addr="T0R6C1S1_1" formatStyle="Comma" appId="_GBC_2081adab30854417bcfae25caae8c9f9"/>
      <m:item xlName="_GBC_51fffb02721847deb5a6dd19ec6cf9d2" concept="clcid-pte:YingShouLiXiHuaiZhangZhunBeiBenQiZhuanHuiDiErJieDuanDiErJieDuan" label="应收利息坏账准备本期转回第二阶段（第二阶段）" mulRef="_GBC_029fdfe6fdb94f37830a19a4ec6d6e3b" unitRef="_GBC_b236c94c56b6495c883f85d7c0ce7f46" addr="T0R6C2S1_1" formatStyle="Comma" appId="_GBC_2081adab30854417bcfae25caae8c9f9"/>
      <m:item xlName="_GBC_6de53714de37403680cc74f0dbe54b6a" concept="clcid-pte:YingShouLiXiHuaiZhangZhunBeiBenQiZhuanHuiDiErJieDuanDiSanJieDuan" label="应收利息坏账准备本期转回第二阶段（第三阶段）" mulRef="_GBC_029fdfe6fdb94f37830a19a4ec6d6e3b" unitRef="_GBC_b236c94c56b6495c883f85d7c0ce7f46" addr="T0R6C3S1_1" formatStyle="Comma" appId="_GBC_2081adab30854417bcfae25caae8c9f9"/>
      <m:item xlName="_GBC_c3922fef314c490fb10d77487ba9aa04" concept="clcid-pte:YingShouLiXiHuaiZhangZhunBeiBenQiZhuanHuiDiErJieDuanJieDuanHeJi" label="应收利息坏账准备本期转回第二阶段阶段合计" mulRef="_GBC_029fdfe6fdb94f37830a19a4ec6d6e3b" unitRef="_GBC_b236c94c56b6495c883f85d7c0ce7f46" addr="T0R6C4S1_1" formatStyle="Comma" appId="_GBC_2081adab30854417bcfae25caae8c9f9"/>
      <m:placeholder xlName="_PLD_0826036ac82d4d6397480b074ff03af3" addr="T0R7C0S1_1"/>
      <m:item xlName="_GBC_f558f717321d4f51bf934659fb731a5f" concept="clcid-pte:YingShouLiXiHuaiZhangZhunBeiBenQiZhuanHuiDiYiJieDuanDiYiJieDuan" label="应收利息坏账准备本期转回第一阶段（第一阶段）" mulRef="_GBC_029fdfe6fdb94f37830a19a4ec6d6e3b" unitRef="_GBC_b236c94c56b6495c883f85d7c0ce7f46" addr="T0R7C1S1_1" formatStyle="Comma" appId="_GBC_2081adab30854417bcfae25caae8c9f9"/>
      <m:item xlName="_GBC_50c2a407ee9247fc95c7f14ea3263cdc" concept="clcid-pte:YingShouLiXiHuaiZhangZhunBeiBenQiZhuanHuiDiYiJieDuanDiErJieDuan" label="应收利息坏账准备本期转回第一阶段（第二阶段）" mulRef="_GBC_029fdfe6fdb94f37830a19a4ec6d6e3b" unitRef="_GBC_b236c94c56b6495c883f85d7c0ce7f46" addr="T0R7C2S1_1" formatStyle="Comma" appId="_GBC_2081adab30854417bcfae25caae8c9f9"/>
      <m:item xlName="_GBC_7515234efb3d46629278f419a13bdf34" concept="clcid-pte:YingShouLiXiHuaiZhangZhunBeiBenQiZhuanHuiDiYiJieDuanDiSanJieDuan" label="应收利息坏账准备本期转回第一阶段（第三阶段）" mulRef="_GBC_029fdfe6fdb94f37830a19a4ec6d6e3b" unitRef="_GBC_b236c94c56b6495c883f85d7c0ce7f46" addr="T0R7C3S1_1" formatStyle="Comma" appId="_GBC_2081adab30854417bcfae25caae8c9f9"/>
      <m:item xlName="_GBC_bb43f2d31b344c5da274cbb35e773c1a" concept="clcid-pte:YingShouLiXiHuaiZhangZhunBeiBenQiZhuanHuiDiYiJieDuanJieDuanHeJi" label="应收利息坏账准备本期转回第一阶段阶段合计" mulRef="_GBC_029fdfe6fdb94f37830a19a4ec6d6e3b" unitRef="_GBC_b236c94c56b6495c883f85d7c0ce7f46" addr="T0R7C4S1_1" formatStyle="Comma" appId="_GBC_2081adab30854417bcfae25caae8c9f9"/>
      <m:placeholder xlName="_PLD_5497328fc7d44b728c78470d25cae912" addr="T0R8C0S1_1"/>
      <m:item xlName="_GBC_103a76ce3b81482991bd16e274ea9310" concept="clcid-pte:YingShouLiXiHuaiZhangZhunBeiBenQiXinZengJiTiDiYiJieDuan" label="应收利息坏账准备本期新增计提（第一阶段）" mulRef="_GBC_029fdfe6fdb94f37830a19a4ec6d6e3b" unitRef="_GBC_b236c94c56b6495c883f85d7c0ce7f46" addr="T0R8C1S1_1" formatStyle="Comma" appId="_GBC_2081adab30854417bcfae25caae8c9f9"/>
      <m:item xlName="_GBC_a83e32c25ed6485d933dae7c914a43f6" concept="clcid-pte:YingShouLiXiHuaiZhangZhunBeiBenQiXinZengJiTiDiErJieDuan" label="应收利息坏账准备本期新增计提（第二阶段）" mulRef="_GBC_029fdfe6fdb94f37830a19a4ec6d6e3b" unitRef="_GBC_b236c94c56b6495c883f85d7c0ce7f46" addr="T0R8C2S1_1" formatStyle="Comma" appId="_GBC_2081adab30854417bcfae25caae8c9f9"/>
      <m:item xlName="_GBC_9ea1da04892648369c798e9817a329d1" concept="clcid-pte:YingShouLiXiHuaiZhangZhunBeiBenQiXinZengJiTiDiSanJieDuan" label="应收利息坏账准备本期新增计提（第三阶段）" mulRef="_GBC_029fdfe6fdb94f37830a19a4ec6d6e3b" unitRef="_GBC_b236c94c56b6495c883f85d7c0ce7f46" addr="T0R8C3S1_1" formatStyle="Comma" appId="_GBC_2081adab30854417bcfae25caae8c9f9"/>
      <m:item xlName="_GBC_bac0b8421c04423d8f6da21695896603" concept="clcid-pte:YingShouLiXiHuaiZhangZhunBeiBenQiXinZengJiTiJieDuanHeJi" label="应收利息坏账准备本期新增计提阶段合计" mulRef="_GBC_029fdfe6fdb94f37830a19a4ec6d6e3b" unitRef="_GBC_b236c94c56b6495c883f85d7c0ce7f46" addr="T0R8C4S1_1" formatStyle="Comma" appId="_GBC_2081adab30854417bcfae25caae8c9f9"/>
      <m:placeholder xlName="_PLD_2624fcf7914f412e9eebc086e2ac7505" addr="T0R9C0S1_1"/>
      <m:item xlName="_GBC_d8831f80b6a94e3ab18726cb1b89cd4e" concept="clcid-pte:YingShouLiXiHuaiZhangZhunBeiBenQiZhuanHuiDiYiJieDuan" label="应收利息坏账准备本期转回（第一阶段）" mulRef="_GBC_029fdfe6fdb94f37830a19a4ec6d6e3b" unitRef="_GBC_b236c94c56b6495c883f85d7c0ce7f46" addr="T0R9C1S1_1" formatStyle="Comma" appId="_GBC_2081adab30854417bcfae25caae8c9f9"/>
      <m:item xlName="_GBC_8e269d956bcd4e1cb7172ce5fe58c15c" concept="clcid-pte:YingShouLiXiHuaiZhangZhunBeiBenQiZhuanHuiDiErJieDuan" label="应收利息坏账准备本期转回（第二阶段）" mulRef="_GBC_029fdfe6fdb94f37830a19a4ec6d6e3b" unitRef="_GBC_b236c94c56b6495c883f85d7c0ce7f46" addr="T0R9C2S1_1" formatStyle="Comma" appId="_GBC_2081adab30854417bcfae25caae8c9f9"/>
      <m:item xlName="_GBC_76578313c6cb4dbba4c7e478e8df0662" concept="clcid-pte:YingShouLiXiHuaiZhangZhunBeiBenQiZhuanHuiDiSanJieDuan" label="应收利息坏账准备本期转回（第三阶段）" mulRef="_GBC_029fdfe6fdb94f37830a19a4ec6d6e3b" unitRef="_GBC_b236c94c56b6495c883f85d7c0ce7f46" addr="T0R9C3S1_1" formatStyle="Comma" appId="_GBC_2081adab30854417bcfae25caae8c9f9"/>
      <m:item xlName="_GBC_9ca56029a8094787a8a128ae81d5e8bd" concept="clcid-pte:YingShouLiXiHuaiZhangZhunBeiBenQiZhuanHuiJieDuanHeJi" label="应收利息坏账准备本期转回阶段合计" mulRef="_GBC_029fdfe6fdb94f37830a19a4ec6d6e3b" unitRef="_GBC_b236c94c56b6495c883f85d7c0ce7f46" addr="T0R9C4S1_1" formatStyle="Comma" appId="_GBC_2081adab30854417bcfae25caae8c9f9"/>
      <m:placeholder xlName="_PLD_bb643df1d02c431c82d8c2fe303f7a1e" addr="T0R10C0S1_1"/>
      <m:item xlName="_GBC_8ff9c2485c9d466098e9a3b3d5390654" concept="clcid-pte:YingShouLiXiHuaiZhangZhunBeiBenQiZhuanXiaoDiYiJieDuan" label="应收利息坏账准备本期转销（第一阶段）" mulRef="_GBC_029fdfe6fdb94f37830a19a4ec6d6e3b" unitRef="_GBC_b236c94c56b6495c883f85d7c0ce7f46" addr="T0R10C1S1_1" formatStyle="Comma" appId="_GBC_2081adab30854417bcfae25caae8c9f9"/>
      <m:item xlName="_GBC_0f626203d74342ef80c77f210188b88a" concept="clcid-pte:YingShouLiXiHuaiZhangZhunBeiBenQiZhuanXiaoDiErJieDuan" label="应收利息坏账准备本期转销（第二阶段）" mulRef="_GBC_029fdfe6fdb94f37830a19a4ec6d6e3b" unitRef="_GBC_b236c94c56b6495c883f85d7c0ce7f46" addr="T0R10C2S1_1" formatStyle="Comma" appId="_GBC_2081adab30854417bcfae25caae8c9f9"/>
      <m:item xlName="_GBC_f5f7a39504d344d99813c9e5631208d9" concept="clcid-pte:YingShouLiXiHuaiZhangZhunBeiBenQiZhuanXiaoDiSanJieDuan" label="应收利息坏账准备本期转销（第三阶段）" mulRef="_GBC_029fdfe6fdb94f37830a19a4ec6d6e3b" unitRef="_GBC_b236c94c56b6495c883f85d7c0ce7f46" addr="T0R10C3S1_1" formatStyle="Comma" appId="_GBC_2081adab30854417bcfae25caae8c9f9"/>
      <m:item xlName="_GBC_aad5998916384baca0f356450782b5bb" concept="clcid-pte:YingShouLiXiHuaiZhangZhunBeiBenQiZhuanXiaoJieDuanHeJi" label="应收利息坏账准备本期转销阶段合计" mulRef="_GBC_029fdfe6fdb94f37830a19a4ec6d6e3b" unitRef="_GBC_b236c94c56b6495c883f85d7c0ce7f46" addr="T0R10C4S1_1" formatStyle="Comma" appId="_GBC_2081adab30854417bcfae25caae8c9f9"/>
      <m:placeholder xlName="_PLD_334d848db4ba4c47ad9fc2fc3db468ce" addr="T0R11C0S1_1"/>
      <m:item xlName="_GBC_bb44227d2408490583bb208cf6cec76d" concept="clcid-pte:YingShouLiXiHuaiZhangZhunBeiBenQiHeXiaoDiYiJieDuan" label="应收利息坏账准备本期核销（第一阶段）" mulRef="_GBC_029fdfe6fdb94f37830a19a4ec6d6e3b" unitRef="_GBC_b236c94c56b6495c883f85d7c0ce7f46" addr="T0R11C1S1_1" formatStyle="Comma" appId="_GBC_2081adab30854417bcfae25caae8c9f9"/>
      <m:item xlName="_GBC_875040360dc24e1b82cc30ff7e69af6d" concept="clcid-pte:YingShouLiXiHuaiZhangZhunBeiBenQiHeXiaoDiErJieDuan" label="应收利息坏账准备本期核销（第二阶段）" mulRef="_GBC_029fdfe6fdb94f37830a19a4ec6d6e3b" unitRef="_GBC_b236c94c56b6495c883f85d7c0ce7f46" addr="T0R11C2S1_1" formatStyle="Comma" appId="_GBC_2081adab30854417bcfae25caae8c9f9"/>
      <m:item xlName="_GBC_a7081e639c4c47a09a6f519763ed9ede" concept="clcid-pte:YingShouLiXiHuaiZhangZhunBeiBenQiHeXiaoDiSanJieDuan" label="应收利息坏账准备本期核销（第三阶段）" mulRef="_GBC_029fdfe6fdb94f37830a19a4ec6d6e3b" unitRef="_GBC_b236c94c56b6495c883f85d7c0ce7f46" addr="T0R11C3S1_1" formatStyle="Comma" appId="_GBC_2081adab30854417bcfae25caae8c9f9"/>
      <m:item xlName="_GBC_e93b45ef212e438fba7f1ad6604df1db" concept="clcid-pte:YingShouLiXiHuaiZhangZhunBeiBenQiHeXiaoJieDuanHeJi" label="应收利息坏账准备本期核销阶段合计" mulRef="_GBC_029fdfe6fdb94f37830a19a4ec6d6e3b" unitRef="_GBC_b236c94c56b6495c883f85d7c0ce7f46" addr="T0R11C4S1_1" formatStyle="Comma" appId="_GBC_2081adab30854417bcfae25caae8c9f9"/>
      <m:placeholder xlName="_PLD_26f703e433fb40048bc6c6f3e7afecf7" addr="T0R12C0S1_1"/>
      <m:item xlName="_GBC_faa44200d9694f818bb557bbac6228d3" concept="clcid-pte:YingShouLiXiHuaiZhangZhunBeiBenQiQiTaBianDongDiYiJieDuan" label="应收利息坏账准备本期其他变动（第一阶段）" mulRef="_GBC_029fdfe6fdb94f37830a19a4ec6d6e3b" unitRef="_GBC_b236c94c56b6495c883f85d7c0ce7f46" addr="T0R12C1S1_1" formatStyle="Comma" appId="_GBC_2081adab30854417bcfae25caae8c9f9"/>
      <m:item xlName="_GBC_11e68f26689349f084eff680c852f456" concept="clcid-pte:YingShouLiXiHuaiZhangZhunBeiBenQiQiTaBianDongDiErJieDuan" label="应收利息坏账准备本期其他变动（第二阶段）" mulRef="_GBC_029fdfe6fdb94f37830a19a4ec6d6e3b" unitRef="_GBC_b236c94c56b6495c883f85d7c0ce7f46" addr="T0R12C2S1_1" formatStyle="Comma" appId="_GBC_2081adab30854417bcfae25caae8c9f9"/>
      <m:item xlName="_GBC_468157af13c3486c9ce6215c6253775c" concept="clcid-pte:YingShouLiXiHuaiZhangZhunBeiBenQiQiTaBianDongDiSanJieDuan" label="应收利息坏账准备本期其他变动（第三阶段）" mulRef="_GBC_029fdfe6fdb94f37830a19a4ec6d6e3b" unitRef="_GBC_b236c94c56b6495c883f85d7c0ce7f46" addr="T0R12C3S1_1" formatStyle="Comma" appId="_GBC_2081adab30854417bcfae25caae8c9f9"/>
      <m:item xlName="_GBC_3f51e7e3a339426d8e9bff565ffa896c" concept="clcid-pte:YingShouLiXiHuaiZhangZhunBeiBenQiQiTaBianDongJieDuanHeJi" label="应收利息坏账准备本期其他变动阶段合计" mulRef="_GBC_029fdfe6fdb94f37830a19a4ec6d6e3b" unitRef="_GBC_b236c94c56b6495c883f85d7c0ce7f46" addr="T0R12C4S1_1" formatStyle="Comma" appId="_GBC_2081adab30854417bcfae25caae8c9f9"/>
      <m:placeholder xlName="_PLD_e664946c0e804caea06f3a6093de615e" addr="T0R13C0S1_1"/>
      <m:item xlName="_GBC_784ee81c8a5f41e0816c95ccd983f73f" concept="clcid-pte:YingShouLiXiHuaiZhangZhunBeiDiYiJieDuan" label="应收利息坏账准备（第一阶段）" mulRef="_GBC_029fdfe6fdb94f37830a19a4ec6d6e3b" unitRef="_GBC_b236c94c56b6495c883f85d7c0ce7f46" addr="T0R13C1S1_1" formatStyle="Comma" appId="_GBC_2081adab30854417bcfae25caae8c9f9"/>
      <m:item xlName="_GBC_0cba9fa101954d53910a824d4374c984" concept="clcid-pte:YingShouLiXiHuaiZhangZhunBeiDiErJieDuan" label="应收利息坏账准备（第二阶段）" mulRef="_GBC_029fdfe6fdb94f37830a19a4ec6d6e3b" unitRef="_GBC_b236c94c56b6495c883f85d7c0ce7f46" addr="T0R13C2S1_1" formatStyle="Comma" appId="_GBC_2081adab30854417bcfae25caae8c9f9"/>
      <m:item xlName="_GBC_26ce076257c84395b89c88d36a399d0c" concept="clcid-pte:YingShouLiXiHuaiZhangZhunBeiDiSanJieDuan" label="应收利息坏账准备（第三阶段）" mulRef="_GBC_029fdfe6fdb94f37830a19a4ec6d6e3b" unitRef="_GBC_b236c94c56b6495c883f85d7c0ce7f46" addr="T0R13C3S1_1" formatStyle="Comma" appId="_GBC_2081adab30854417bcfae25caae8c9f9"/>
      <m:item xlName="_GBC_716d36d2b0864eafa3bf28ba18677154" concept="clcid-pte:YingShouLiXiHuaiZhangZhunBei" label="应收利息坏账准备" mulRef="_GBC_029fdfe6fdb94f37830a19a4ec6d6e3b" unitRef="_GBC_b236c94c56b6495c883f85d7c0ce7f46" addr="T0R13C4S1_1" formatStyle="Comma" appId="_GBC_2081adab30854417bcfae25caae8c9f9"/>
      <m:item xlName="_GBC_06212035a995413bb30f5bc9832a5f29" concept="clcid-ci-ar:ShiFouShiYongYingShouLiXiBenQiFaShengSunShiZhunBeiBianDongQieZhangMianYuEXianZhuBianDongDeQingKuangShuoMing" label="是否适用：应收利息本期发生损失准备变动且账面余额显著变动的情况说明" selectOptions="_buildInAppliance" controlType="CustomCheckbox" cRanges="[{&quot;StartName&quot;:&quot;_GBC_06212035a995413bb30f5bc9832a5f29&quot;,&quot;EndName&quot;:&quot;_GBC_a37fe551f9984adfb55d3a57c74e8df2&quot;,&quot;CType&quot;:1}]"/>
      <m:item xlName="_GBC_a37fe551f9984adfb55d3a57c74e8df2" concept="clcid-pte:YingShouLiXiBenQiFaShengSunShiZhunBeiBianDongQieZhangMianYuEXianZhuBianDongDeQingKuangShuoMing" label="应收利息本期发生损失准备变动且账面余额显著变动的情况说明" appId="_GBC_06212035a995413bb30f5bc9832a5f29"/>
    </m:section>
    <m:section xlName="_GBC_0dc3bcd06a754f79952657ba82acdc9f" title="应收利息的说明" helpId="112001049">
      <m:item xlName="_GBC_9fcbab94f58048baace4761ca17ae925" concept="clcid-ci-ar:ShiFouShiYongYingShouLiXiDeShuoMing" label="是否适用：应收利息的说明" selectOptions="_buildInAppliance" controlType="CustomCheckbox" cRanges="{&quot;StartName&quot;:&quot;_GBC_9fcbab94f58048baace4761ca17ae925&quot;,&quot;EndName&quot;:&quot;_GBC_b73db34e93ca409bb09e43022b677330&quot;,&quot;CType&quot;:1,&quot;DisplayText&quot;:null}"/>
      <m:item xlName="_GBC_b73db34e93ca409bb09e43022b677330" concept="clcid-pte:YingShouLiXiDeShuoMing" label="应收利息的说明" appId="_GBC_9fcbab94f58048baace4761ca17ae925"/>
    </m:section>
    <m:section xlName="_GBC_94a22362634d47499fd45a0a5577c49b" title="应收股利" helpId="112001050">
      <m:item xlName="_GBC_002b8ba295db406eb34a179aa27a4801" concept="clcid-ci-ar:ShiFouShiYongYingShouGuLi" label="是否适用：应收股利" selectOptions="_buildInAppliance" controlType="CustomCheckbox" cRanges="{&quot;StartName&quot;:&quot;_GBC_002b8ba295db406eb34a179aa27a4801&quot;,&quot;EndName&quot;:&quot;_GBC_7ecfad51f0b64aedaa56099a2168a21f&quot;,&quot;CType&quot;:1,&quot;DisplayText&quot;:null}"/>
      <m:item xlName="_GBC_21cf7178837042889094b06d89cb1845" concept="clcid-ci-ar:DanWeiCaiWuFuZhuYingShouGuLi" label="单位：财务附注：应收股利" selectOptions="_buildInScales" controlType="Combobox" cellType="Scale" appId="_GBC_002b8ba295db406eb34a179aa27a4801"/>
      <m:item xlName="_GBC_d4486348b4bd4056afd97c6bb061623e" concept="clcid-ci-ar:BiZhongCaiWuFuZhuYingShouGuLi" label="币种：财务附注：应收股利" selectOptions="_buildInISO4217" controlType="Combobox" cellType="Measure" appId="_GBC_002b8ba295db406eb34a179aa27a4801"/>
      <m:placeholder xlName="_PLD_a240773011804aa5a4245c98b5f473de" addr="T0R0C0S1_1"/>
      <m:placeholder xlName="_PLD_cadc07ed6f504e63b41def670f3c2338" addr="T0R0C1S1_1"/>
      <m:placeholder xlName="_PLD_33c992e918b546739aa3d8a0d43ef633" addr="T0R0C2S1_1"/>
      <m:tuple xlName="_GBC_dd589831432e474f9c53c063c7fff9a0" concept="clcid-pte:YingShouGuLiMingXi" default_row="2" addr="T0R1C">
        <m:item xlName="_GBC_a58406f1fe44443c87e3c6a752936ec0" concept="clcid-pte:YingShouGuLiXiangMu" label="应收股利项目" addr="T0R1C0S1_1" appId="_GBC_002b8ba295db406eb34a179aa27a4801"/>
        <m:item xlName="_GBC_53d661cd85994c3bb4e84d5e03279192" concept="clcid-pte:YingShouGuLiJinE" label="应收股利金额" mulRef="_GBC_21cf7178837042889094b06d89cb1845" unitRef="_GBC_d4486348b4bd4056afd97c6bb061623e" addr="T0R1C1S1_1" formatStyle="Comma" appId="_GBC_002b8ba295db406eb34a179aa27a4801"/>
        <m:item xlName="_GBC_e487495f15744da3ace6b2afcbc0829e" concept="clcid-pte:YingShouGuLiJinE" label="应收股利金额" periodRef="本期期初数" mulRef="_GBC_21cf7178837042889094b06d89cb1845" unitRef="_GBC_d4486348b4bd4056afd97c6bb061623e" addr="T0R1C2S1_1" formatStyle="Comma" appId="_GBC_002b8ba295db406eb34a179aa27a4801"/>
      </m:tuple>
      <m:placeholder xlName="_PLD_77e2b3c101c64b05b2e3a7d9f730cf25" addr="T0R3C0S1_1"/>
      <m:item xlName="_GBC_5b48e8862567445ba12d58fd2d463eba" concept="clcid-pte:YingShouGuLi" label="应收股利" mulRef="_GBC_21cf7178837042889094b06d89cb1845" unitRef="_GBC_d4486348b4bd4056afd97c6bb061623e" addr="T0R3C1S1_1" formatStyle="Comma" appId="_GBC_002b8ba295db406eb34a179aa27a4801">
        <m:complexRule comparator="Eq" title="应收股利" test=" $_GBC_53d661cd85994c3bb4e84d5e03279192" id="C726fe3d191cd4eaeaae2b5a53b10cee5"/>
      </m:item>
      <m:item xlName="_GBC_7ecfad51f0b64aedaa56099a2168a21f" concept="clcid-pte:YingShouGuLi" label="应收股利" periodRef="本期期初数" mulRef="_GBC_21cf7178837042889094b06d89cb1845" unitRef="_GBC_d4486348b4bd4056afd97c6bb061623e" addr="T0R3C2S1_1" formatStyle="Comma" appId="_GBC_002b8ba295db406eb34a179aa27a4801">
        <m:complexRule comparator="Eq" title="应收股利@本期期初数" test=" $_GBC_e487495f15744da3ace6b2afcbc0829e" id="Cf87cc33ec6704b1bbf18db38aac404c0"/>
      </m:item>
    </m:section>
    <m:section xlName="_GBC_aafe0f2583ac4a35a029d834ee52b5de" title="应收股利" convertSummaryRule="NoConvert" helpId="112001050">
      <m:item xlName="_GBC_9aa7ef4a3c0c40638901a5b7f6224231" concept="clcid-ci-ar:ShiFouShiYongZhongYaoDeZhangLingChaoGuoNianDeYingShouGuLi" label="是否适用：重要的账龄超过1年的应收股利" selectOptions="_buildInAppliance" controlType="CustomCheckbox" cRanges="{&quot;StartName&quot;:&quot;_GBC_9aa7ef4a3c0c40638901a5b7f6224231&quot;,&quot;EndName&quot;:&quot;_GBC_e7b6bc8c271741e084f4e18009907947&quot;,&quot;CType&quot;:1,&quot;DisplayText&quot;:null}"/>
      <m:item xlName="_GBC_f08fb2c53aeb449bb75e121ee3aeca9c" concept="clcid-ci-ar:DanWeiCaiWuFuZhuZhongYaoDeZhangLingChaoGuoNianDeYingShouGuLi" label="单位：财务附注：重要的账龄超过1年的应收股利" selectOptions="_buildInScales" controlType="Combobox" cellType="Scale" appId="_GBC_9aa7ef4a3c0c40638901a5b7f6224231"/>
      <m:item xlName="_GBC_bd52ead6e46444738b8ef3b24c67296e" concept="clcid-ci-ar:BiZhongCaiWuFuZhuZhongYaoDeZhangLingChaoGuoNianDeYingShouGuLi" label="币种：财务附注：重要的账龄超过1年的应收股利" selectOptions="_buildInISO4217" controlType="Combobox" cellType="Measure" appId="_GBC_9aa7ef4a3c0c40638901a5b7f6224231"/>
      <m:placeholder xlName="_PLD_54325778de824e9297cb1c149c22dd25" addr="T0R0C0S1_1"/>
      <m:placeholder xlName="_PLD_3c6fcc2eeb2e43f884e135de407bf935" addr="T0R0C1S1_1"/>
      <m:placeholder xlName="_PLD_5753b571b76c4818b08432ac4b75a19b" addr="T0R0C2S1_1"/>
      <m:placeholder xlName="_PLD_0152ee4fb8ae4030adfa916347591a85" addr="T0R0C3S1_1"/>
      <m:placeholder xlName="_PLD_3bb7e6ec4cc148b7a30573dbbf2a2707" addr="T0R0C4S1_1"/>
      <m:tuple xlName="_GBC_2137fb8977e54f3ab2ae84c7670881b1" concept="clcid-pte:ZhangLingYiNianYiShangDeYingShouGuLiMingXi" default_row="2" addr="T0R1C">
        <m:item xlName="_GBC_e22dadf572f94f1391b8d30d21471338" concept="clcid-pte:ZhangLingYiNianYiShangDeYingShouGuLiMingXiXiangMu" label="账龄一年以上的应收股利明细-项目" addr="T0R1C0S1_1" appId="_GBC_9aa7ef4a3c0c40638901a5b7f6224231"/>
        <m:item xlName="_GBC_4b58ae8fb71e4f20adc77d6244e720e5" concept="clcid-pte:ZhangLingYiNianYiShangDeYingShouGuLiMingXiJinE" label="账龄一年以上的应收股利明细-金额" mulRef="_GBC_f08fb2c53aeb449bb75e121ee3aeca9c" unitRef="_GBC_bd52ead6e46444738b8ef3b24c67296e" addr="T0R1C1S1_1" formatStyle="Comma" appId="_GBC_9aa7ef4a3c0c40638901a5b7f6224231"/>
        <m:item xlName="_GBC_1681d8777ddd4c33ae8c08fe5d42a048" concept="clcid-pte:ZhangLingYiNianYiShangDeYingShouGuLiMingXiZhangLing" label="账龄一年以上的应收股利明细-账龄" addr="T0R1C2S1_1" appId="_GBC_9aa7ef4a3c0c40638901a5b7f6224231"/>
        <m:item xlName="_GBC_1123521aa37f45cb87dd01a84b67637e" concept="clcid-pte:ZhangLingYiNianYiShangDeYingShouGuLiMingXiWeiShouHuiDeYuanYin" label="账龄一年以上的应收股利明细-未收回的原因" addr="T0R1C3S1_1" appId="_GBC_9aa7ef4a3c0c40638901a5b7f6224231"/>
        <m:item xlName="_GBC_e1357b6e4dbc4ecdb39565f028569466" concept="clcid-pte:ZhangLingYiNianYiShangDeYingShouGuLiMingXiXiangGuanKuanXiangShiFouFaShengJianZhiJiQiPanDuanYiJu" label="账龄一年以上的应收股利明细-相关款项是否发生减值及其判断依据" selectOptions="_buildInYesNo" addr="T0R1C4S1_1" controlType="Combobox" appId="_GBC_9aa7ef4a3c0c40638901a5b7f6224231"/>
      </m:tuple>
      <m:placeholder xlName="_PLD_227ae6b8213b4edca76826c879006a58" addr="T0R3C0S1_1"/>
      <m:item xlName="_GBC_e7b6bc8c271741e084f4e18009907947" concept="clcid-pte:ZhangLingYiNianYiShangDeYingShouGuLi" label="账龄一年以上的应收股利" mulRef="_GBC_f08fb2c53aeb449bb75e121ee3aeca9c" unitRef="_GBC_bd52ead6e46444738b8ef3b24c67296e" addr="T0R3C1S1_1" formatStyle="Comma" appId="_GBC_9aa7ef4a3c0c40638901a5b7f6224231">
        <m:complexRule comparator="Eq" title="账龄一年以上的应收股利" test=" $_GBC_4b58ae8fb71e4f20adc77d6244e720e5" id="Cf5fd017f51de47efb9182be13dbcb155"/>
      </m:item>
    </m:section>
    <m:section xlName="_SEC_cce3905839dc4d6ea19cf81ee0af7e4b" title="坏账准备计提情况">
      <m:item xlName="_GBC_5a51eb2bfb0643eb8b9c73cdd0dbec60" concept="clcid-ci-ar:ShiFouShiYongYingShouGuLiHuaiZhangZhunBeiTiaoJieBiao" label="是否适用：应收股利坏账准备调节表" selectOptions="_buildInAppliance" controlType="CustomCheckbox" cRanges="[{&quot;StartName&quot;:&quot;_GBC_5a51eb2bfb0643eb8b9c73cdd0dbec60&quot;,&quot;EndName&quot;:&quot;_GBC_1699701353964e5c8c8b39e7abcf5c51&quot;,&quot;CType&quot;:1}]"/>
      <m:item xlName="_GBC_129dd494b546414b86037683f39a2046" concept="clcid-ci-ar:DanWeiYingShouGuLiHuaiZhangZhunBeiTiaoJieBiao" label="单位：应收股利坏账准备调节表" selectOptions="_buildInScales" controlType="Combobox" cellType="Scale" appId="_GBC_5a51eb2bfb0643eb8b9c73cdd0dbec60"/>
      <m:item xlName="_GBC_672d96b5264744b0a341471d4b6ca030" concept="clcid-ci-ar:BiZhongYingShouGuLiHuaiZhangZhunBeiTiaoJieBiao" label="币种：应收股利坏账准备调节表" selectOptions="_buildInISO4217" controlType="Combobox" cellType="Measure" appId="_GBC_5a51eb2bfb0643eb8b9c73cdd0dbec60"/>
      <m:placeholder xlName="_PLD_57a174bdb24846a68bfb1c48983027d7" addr="T0R0C0S2_1"/>
      <m:placeholder xlName="_PLD_6acd90b3715a4a69b7dbda0c573043b7" addr="T0R0C1S1_1"/>
      <m:placeholder xlName="_PLD_467a877cf5324b35b7bfc0388d44b3d1" addr="T0R0C2S1_1"/>
      <m:placeholder xlName="_PLD_16c0cb9c49744528bad59bec1787aeb8" addr="T0R0C3S1_1"/>
      <m:placeholder xlName="_PLD_fbf5021900c84058b8bcab786ad31c74" addr="T0R0C4S2_1"/>
      <m:placeholder xlName="_PLD_eab2bc0feaef469abbdfbfc9feb82978" addr="T0R1C1S1_1"/>
      <m:placeholder xlName="_PLD_faa5b0a8e4914f7b8a43027c97e83895" addr="T0R1C2S1_1"/>
      <m:placeholder xlName="_PLD_088c022f9083458f9ca88e600b1fbf17" addr="T0R1C3S1_1"/>
      <m:placeholder xlName="_PLD_495a72fefc234f749471d163445e8fe3" addr="T0R2C0S1_1"/>
      <m:item xlName="_GBC_ec9589795b5b41e788057b642206aa03" concept="clcid-pte:YingShouGuLiHuaiZhangZhunBeiDiYiJieDuan" label="应收股利坏账准备（第一阶段）" periodRef="本期期初数" mulRef="_GBC_129dd494b546414b86037683f39a2046" unitRef="_GBC_672d96b5264744b0a341471d4b6ca030" addr="T0R2C1S1_1" formatStyle="Comma" appId="_GBC_5a51eb2bfb0643eb8b9c73cdd0dbec60"/>
      <m:item xlName="_GBC_ebc6c9f8e3e0400c9868e4e41c786a91" concept="clcid-pte:YingShouGuLiHuaiZhangZhunBeiDiErJieDuan" label="应收股利坏账准备（第二阶段）" periodRef="本期期初数" mulRef="_GBC_129dd494b546414b86037683f39a2046" unitRef="_GBC_672d96b5264744b0a341471d4b6ca030" addr="T0R2C2S1_1" formatStyle="Comma" appId="_GBC_5a51eb2bfb0643eb8b9c73cdd0dbec60"/>
      <m:item xlName="_GBC_c1202c7420fc455c9f55904f672264d9" concept="clcid-pte:YingShouGuLiHuaiZhangZhunBeiDiSanJieDuan" label="应收股利坏账准备（第三阶段）" periodRef="本期期初数" mulRef="_GBC_129dd494b546414b86037683f39a2046" unitRef="_GBC_672d96b5264744b0a341471d4b6ca030" addr="T0R2C3S1_1" formatStyle="Comma" appId="_GBC_5a51eb2bfb0643eb8b9c73cdd0dbec60"/>
      <m:item xlName="_GBC_0d19470f5ff2480e9b9a953fb5f48c26" concept="clcid-pte:YingShouGuLiHuaiZhangZhunBei" label="应收股利坏账准备" periodRef="本期期初数" mulRef="_GBC_129dd494b546414b86037683f39a2046" unitRef="_GBC_672d96b5264744b0a341471d4b6ca030" addr="T0R2C4S1_1" formatStyle="Comma" appId="_GBC_5a51eb2bfb0643eb8b9c73cdd0dbec60"/>
      <m:placeholder xlName="_PLD_cf9a9259075642a487df8973c494666a" addr="T0R3C0S1_1"/>
      <m:item xlName="_GBC_2eb2760349ca40c8926f3d43f71d3b73" concept="clcid-pte:YingShouGuLiHuaiZhangZhunBeiBenQiZhuanRuHuoZhuanHuiDiYiJieDuan" label="应收股利坏账准备本期转入或转回（第一阶段）" mulRef="_GBC_129dd494b546414b86037683f39a2046" unitRef="_GBC_672d96b5264744b0a341471d4b6ca030" addr="T0R3C1S1_1" formatStyle="Comma" appId="_GBC_5a51eb2bfb0643eb8b9c73cdd0dbec60"/>
      <m:item xlName="_GBC_5833fdf6ddc14ee78159b98806fcb43a" concept="clcid-pte:YingShouGuLiHuaiZhangZhunBeiBenQiZhuanRuHuoZhuanHuiDiErJieDuan" label="应收股利坏账准备本期转入或转回（第二阶段）" mulRef="_GBC_129dd494b546414b86037683f39a2046" unitRef="_GBC_672d96b5264744b0a341471d4b6ca030" addr="T0R3C2S1_1" formatStyle="Comma" appId="_GBC_5a51eb2bfb0643eb8b9c73cdd0dbec60"/>
      <m:item xlName="_GBC_948a287c27594fc9861ba5b99955908c" concept="clcid-pte:YingShouGuLiHuaiZhangZhunBeiBenQiZhuanRuHuoZhuanHuiDiSanJieDuan" label="应收股利坏账准备本期转入或转回（第三阶段）" mulRef="_GBC_129dd494b546414b86037683f39a2046" unitRef="_GBC_672d96b5264744b0a341471d4b6ca030" addr="T0R3C3S1_1" formatStyle="Comma" appId="_GBC_5a51eb2bfb0643eb8b9c73cdd0dbec60"/>
      <m:item xlName="_GBC_5ef02c1a145b49659618456f06280ab3" concept="clcid-pte:YingShouGuLiHuaiZhangZhunBeiBenQiZhuanRuHuoZhuanHuiJieDuanHeJi" label="应收股利坏账准备本期转入或转回阶段合计" mulRef="_GBC_129dd494b546414b86037683f39a2046" unitRef="_GBC_672d96b5264744b0a341471d4b6ca030" addr="T0R3C4S1_1" formatStyle="Comma" appId="_GBC_5a51eb2bfb0643eb8b9c73cdd0dbec60"/>
      <m:placeholder xlName="_PLD_1467f6d5fb294fdbbb85de2dc4f41eed" addr="T0R4C0S1_1"/>
      <m:item xlName="_GBC_6bf70a45ad144390b477d3d8ab9159cc" concept="clcid-pte:YingShouGuLiHuaiZhangZhunBeiBenQiZhuanRuDiErJieDuanDiYiJieDuan" label="应收股利坏账准备本期转入第二阶段（第一阶段）" mulRef="_GBC_129dd494b546414b86037683f39a2046" unitRef="_GBC_672d96b5264744b0a341471d4b6ca030" addr="T0R4C1S1_1" formatStyle="Comma" appId="_GBC_5a51eb2bfb0643eb8b9c73cdd0dbec60"/>
      <m:item xlName="_GBC_f92b14f5e2724ea0a5a1ebeebbed5fce" concept="clcid-pte:YingShouGuLiHuaiZhangZhunBeiBenQiZhuanRuDiErJieDuanDiErJieDuan" label="应收股利坏账准备本期转入第二阶段（第二阶段）" mulRef="_GBC_129dd494b546414b86037683f39a2046" unitRef="_GBC_672d96b5264744b0a341471d4b6ca030" addr="T0R4C2S1_1" formatStyle="Comma" appId="_GBC_5a51eb2bfb0643eb8b9c73cdd0dbec60"/>
      <m:item xlName="_GBC_d5b0df4dd72644c38cf7eae75209170f" concept="clcid-pte:YingShouGuLiHuaiZhangZhunBeiBenQiZhuanRuDiErJieDuanDiSanJieDuan" label="应收股利坏账准备本期转入第二阶段（第三阶段）" mulRef="_GBC_129dd494b546414b86037683f39a2046" unitRef="_GBC_672d96b5264744b0a341471d4b6ca030" addr="T0R4C3S1_1" formatStyle="Comma" appId="_GBC_5a51eb2bfb0643eb8b9c73cdd0dbec60"/>
      <m:item xlName="_GBC_8b6516e7b2d04166bce7d0a578ee25f9" concept="clcid-pte:YingShouGuLiHuaiZhangZhunBeiBenQiZhuanRuDiErJieDuanJieDuanHeJi" label="应收股利坏账准备本期转入第二阶段阶段合计" mulRef="_GBC_129dd494b546414b86037683f39a2046" unitRef="_GBC_672d96b5264744b0a341471d4b6ca030" addr="T0R4C4S1_1" formatStyle="Comma" appId="_GBC_5a51eb2bfb0643eb8b9c73cdd0dbec60"/>
      <m:placeholder xlName="_PLD_8a1f7514d54e4a2980bc47541c0e754a" addr="T0R5C0S1_1"/>
      <m:item xlName="_GBC_4e25fe29a8e041f992a1df0805dbd73d" concept="clcid-pte:YingShouGuLiHuaiZhangZhunBeiBenQiZhuanRuDiSanJieDuanDiYiJieDuan" label="应收股利坏账准备本期转入第三阶段（第一阶段）" mulRef="_GBC_129dd494b546414b86037683f39a2046" unitRef="_GBC_672d96b5264744b0a341471d4b6ca030" addr="T0R5C1S1_1" formatStyle="Comma" appId="_GBC_5a51eb2bfb0643eb8b9c73cdd0dbec60"/>
      <m:item xlName="_GBC_1f42bdc8b3c741d9a2369b7a4dac2422" concept="clcid-pte:YingShouGuLiHuaiZhangZhunBeiBenQiZhuanRuDiSanJieDuanDiErJieDuan" label="应收股利坏账准备本期转入第三阶段（第二阶段）" mulRef="_GBC_129dd494b546414b86037683f39a2046" unitRef="_GBC_672d96b5264744b0a341471d4b6ca030" addr="T0R5C2S1_1" formatStyle="Comma" appId="_GBC_5a51eb2bfb0643eb8b9c73cdd0dbec60"/>
      <m:item xlName="_GBC_f464f9dc523c4613a6715c3f7f91693d" concept="clcid-pte:YingShouGuLiHuaiZhangZhunBeiBenQiZhuanRuDiSanJieDuanDiSanJieDuan" label="应收股利坏账准备本期转入第三阶段（第三阶段）" mulRef="_GBC_129dd494b546414b86037683f39a2046" unitRef="_GBC_672d96b5264744b0a341471d4b6ca030" addr="T0R5C3S1_1" formatStyle="Comma" appId="_GBC_5a51eb2bfb0643eb8b9c73cdd0dbec60"/>
      <m:item xlName="_GBC_9a1f7f0d9f494d03909be4af7fdcda2a" concept="clcid-pte:YingShouGuLiHuaiZhangZhunBeiBenQiZhuanRuDiSanJieDuanJieDuanHeJi" label="应收股利坏账准备本期转入第三阶段阶段合计" mulRef="_GBC_129dd494b546414b86037683f39a2046" unitRef="_GBC_672d96b5264744b0a341471d4b6ca030" addr="T0R5C4S1_1" formatStyle="Comma" appId="_GBC_5a51eb2bfb0643eb8b9c73cdd0dbec60"/>
      <m:placeholder xlName="_PLD_29b7b023f9b8462f8ee1d55ffa61bb9d" addr="T0R6C0S1_1"/>
      <m:item xlName="_GBC_de72c864b6884b7c9de2b47c3535cf66" concept="clcid-pte:YingShouGuLiHuaiZhangZhunBeiBenQiZhuanHuiDiErJieDuanDiYiJieDuan" label="应收股利坏账准备本期转回第二阶段（第一阶段）" mulRef="_GBC_129dd494b546414b86037683f39a2046" unitRef="_GBC_672d96b5264744b0a341471d4b6ca030" addr="T0R6C1S1_1" formatStyle="Comma" appId="_GBC_5a51eb2bfb0643eb8b9c73cdd0dbec60"/>
      <m:item xlName="_GBC_42146ba75007403889e6c45e0644a9aa" concept="clcid-pte:YingShouGuLiHuaiZhangZhunBeiBenQiZhuanHuiDiErJieDuanDiErJieDuan" label="应收股利坏账准备本期转回第二阶段（第二阶段）" mulRef="_GBC_129dd494b546414b86037683f39a2046" unitRef="_GBC_672d96b5264744b0a341471d4b6ca030" addr="T0R6C2S1_1" formatStyle="Comma" appId="_GBC_5a51eb2bfb0643eb8b9c73cdd0dbec60"/>
      <m:item xlName="_GBC_cb25ba8b3c3e4ee8a9d9f9af55f99922" concept="clcid-pte:YingShouGuLiHuaiZhangZhunBeiBenQiZhuanHuiDiErJieDuanDiSanJieDuan" label="应收股利坏账准备本期转回第二阶段（第三阶段）" mulRef="_GBC_129dd494b546414b86037683f39a2046" unitRef="_GBC_672d96b5264744b0a341471d4b6ca030" addr="T0R6C3S1_1" formatStyle="Comma" appId="_GBC_5a51eb2bfb0643eb8b9c73cdd0dbec60"/>
      <m:item xlName="_GBC_85a2761531a648c898b89f677dd26146" concept="clcid-pte:YingShouGuLiHuaiZhangZhunBeiBenQiZhuanHuiDiErJieDuanJieDuanHeJi" label="应收股利坏账准备本期转回第二阶段阶段合计" mulRef="_GBC_129dd494b546414b86037683f39a2046" unitRef="_GBC_672d96b5264744b0a341471d4b6ca030" addr="T0R6C4S1_1" formatStyle="Comma" appId="_GBC_5a51eb2bfb0643eb8b9c73cdd0dbec60"/>
      <m:placeholder xlName="_PLD_0d08d160fef5474ba6237f670f6fca64" addr="T0R7C0S1_1"/>
      <m:item xlName="_GBC_b77e77a67874484088141b46e41e79ba" concept="clcid-pte:YingShouGuLiHuaiZhangZhunBeiBenQiZhuanHuiDiYiJieDuanDiYiJieDuan" label="应收股利坏账准备本期转回第一阶段（第一阶段）" mulRef="_GBC_129dd494b546414b86037683f39a2046" unitRef="_GBC_672d96b5264744b0a341471d4b6ca030" addr="T0R7C1S1_1" formatStyle="Comma" appId="_GBC_5a51eb2bfb0643eb8b9c73cdd0dbec60"/>
      <m:item xlName="_GBC_0a963e50c71445a7bcb4d637bb0f976f" concept="clcid-pte:YingShouGuLiHuaiZhangZhunBeiBenQiZhuanHuiDiYiJieDuanDiErJieDuan" label="应收股利坏账准备本期转回第一阶段（第二阶段）" mulRef="_GBC_129dd494b546414b86037683f39a2046" unitRef="_GBC_672d96b5264744b0a341471d4b6ca030" addr="T0R7C2S1_1" formatStyle="Comma" appId="_GBC_5a51eb2bfb0643eb8b9c73cdd0dbec60"/>
      <m:item xlName="_GBC_4b2ae115f7464203a14171dced249a04" concept="clcid-pte:YingShouGuLiHuaiZhangZhunBeiBenQiZhuanHuiDiYiJieDuanDiSanJieDuan" label="应收股利坏账准备本期转回第一阶段（第三阶段）" mulRef="_GBC_129dd494b546414b86037683f39a2046" unitRef="_GBC_672d96b5264744b0a341471d4b6ca030" addr="T0R7C3S1_1" formatStyle="Comma" appId="_GBC_5a51eb2bfb0643eb8b9c73cdd0dbec60"/>
      <m:item xlName="_GBC_9ce49380b31d4ed6a35dbeb26fa97fad" concept="clcid-pte:YingShouGuLiHuaiZhangZhunBeiBenQiZhuanHuiDiYiJieDuanJieDuanHeJi" label="应收股利坏账准备本期转回第一阶段阶段合计" mulRef="_GBC_129dd494b546414b86037683f39a2046" unitRef="_GBC_672d96b5264744b0a341471d4b6ca030" addr="T0R7C4S1_1" formatStyle="Comma" appId="_GBC_5a51eb2bfb0643eb8b9c73cdd0dbec60"/>
      <m:placeholder xlName="_PLD_b750a5c09548439dbec53a5e71c07cf7" addr="T0R8C0S1_1"/>
      <m:item xlName="_GBC_094e3852231c4c558d15d364548c79fc" concept="clcid-pte:YingShouGuLiHuaiZhangZhunBeiBenQiXinZengJiTiDiYiJieDuan" label="应收股利坏账准备本期新增计提（第一阶段）" mulRef="_GBC_129dd494b546414b86037683f39a2046" unitRef="_GBC_672d96b5264744b0a341471d4b6ca030" addr="T0R8C1S1_1" formatStyle="Comma" appId="_GBC_5a51eb2bfb0643eb8b9c73cdd0dbec60"/>
      <m:item xlName="_GBC_7f5dd2c91da04abfa3a96980fa047d61" concept="clcid-pte:YingShouGuLiHuaiZhangZhunBeiBenQiXinZengJiTiDiErJieDuan" label="应收股利坏账准备本期新增计提（第二阶段）" mulRef="_GBC_129dd494b546414b86037683f39a2046" unitRef="_GBC_672d96b5264744b0a341471d4b6ca030" addr="T0R8C2S1_1" formatStyle="Comma" appId="_GBC_5a51eb2bfb0643eb8b9c73cdd0dbec60"/>
      <m:item xlName="_GBC_9b039f427e9b42348c3f75e6610b8d44" concept="clcid-pte:YingShouGuLiHuaiZhangZhunBeiBenQiXinZengJiTiDiSanJieDuan" label="应收股利坏账准备本期新增计提（第三阶段）" mulRef="_GBC_129dd494b546414b86037683f39a2046" unitRef="_GBC_672d96b5264744b0a341471d4b6ca030" addr="T0R8C3S1_1" formatStyle="Comma" appId="_GBC_5a51eb2bfb0643eb8b9c73cdd0dbec60"/>
      <m:item xlName="_GBC_ed0be2758db4421d865711710c52f450" concept="clcid-pte:YingShouGuLiHuaiZhangZhunBeiBenQiXinZengJiTiJieDuanHeJi" label="应收股利坏账准备本期新增计提阶段合计" mulRef="_GBC_129dd494b546414b86037683f39a2046" unitRef="_GBC_672d96b5264744b0a341471d4b6ca030" addr="T0R8C4S1_1" formatStyle="Comma" appId="_GBC_5a51eb2bfb0643eb8b9c73cdd0dbec60"/>
      <m:placeholder xlName="_PLD_e2b159107685472daa98fc8c359b2bad" addr="T0R9C0S1_1"/>
      <m:item xlName="_GBC_5ee5bb5e750f49aead39b285b129f498" concept="clcid-pte:YingShouGuLiHuaiZhangZhunBeiBenQiZhuanHuiDiYiJieDuan" label="应收股利坏账准备本期转回（第一阶段）" mulRef="_GBC_129dd494b546414b86037683f39a2046" unitRef="_GBC_672d96b5264744b0a341471d4b6ca030" addr="T0R9C1S1_1" formatStyle="Comma" appId="_GBC_5a51eb2bfb0643eb8b9c73cdd0dbec60"/>
      <m:item xlName="_GBC_c1462dc220c44b2ca98c7de696b5ab10" concept="clcid-pte:YingShouGuLiHuaiZhangZhunBeiBenQiZhuanHuiDiErJieDuan" label="应收股利坏账准备本期转回（第二阶段）" mulRef="_GBC_129dd494b546414b86037683f39a2046" unitRef="_GBC_672d96b5264744b0a341471d4b6ca030" addr="T0R9C2S1_1" formatStyle="Comma" appId="_GBC_5a51eb2bfb0643eb8b9c73cdd0dbec60"/>
      <m:item xlName="_GBC_9aaf0064fddb4c9981beb30496f9f0b4" concept="clcid-pte:YingShouGuLiHuaiZhangZhunBeiBenQiZhuanHuiDiSanJieDuan" label="应收股利坏账准备本期转回（第三阶段）" mulRef="_GBC_129dd494b546414b86037683f39a2046" unitRef="_GBC_672d96b5264744b0a341471d4b6ca030" addr="T0R9C3S1_1" formatStyle="Comma" appId="_GBC_5a51eb2bfb0643eb8b9c73cdd0dbec60"/>
      <m:item xlName="_GBC_0428f0cc9ce9416b8cfdff0064e8f6b8" concept="clcid-pte:YingShouGuLiHuaiZhangZhunBeiBenQiZhuanHuiJieDuanHeJi" label="应收股利坏账准备本期转回阶段合计" mulRef="_GBC_129dd494b546414b86037683f39a2046" unitRef="_GBC_672d96b5264744b0a341471d4b6ca030" addr="T0R9C4S1_1" formatStyle="Comma" appId="_GBC_5a51eb2bfb0643eb8b9c73cdd0dbec60"/>
      <m:placeholder xlName="_PLD_cd375f1d039e465486ca8f3f8249c32a" addr="T0R10C0S1_1"/>
      <m:item xlName="_GBC_52fb08f0bef144ee969ac84472b24dae" concept="clcid-pte:YingShouGuLiHuaiZhangZhunBeiBenQiZhuanXiaoDiYiJieDuan" label="应收股利坏账准备本期转销（第一阶段）" mulRef="_GBC_129dd494b546414b86037683f39a2046" unitRef="_GBC_672d96b5264744b0a341471d4b6ca030" addr="T0R10C1S1_1" formatStyle="Comma" appId="_GBC_5a51eb2bfb0643eb8b9c73cdd0dbec60"/>
      <m:item xlName="_GBC_58cd298ec99f49eb8405e33c084ca0e2" concept="clcid-pte:YingShouGuLiHuaiZhangZhunBeiBenQiZhuanXiaoDiErJieDuan" label="应收股利坏账准备本期转销（第二阶段）" mulRef="_GBC_129dd494b546414b86037683f39a2046" unitRef="_GBC_672d96b5264744b0a341471d4b6ca030" addr="T0R10C2S1_1" formatStyle="Comma" appId="_GBC_5a51eb2bfb0643eb8b9c73cdd0dbec60"/>
      <m:item xlName="_GBC_d7b2ccd46c6544268e1bdcba52fd17db" concept="clcid-pte:YingShouGuLiHuaiZhangZhunBeiBenQiZhuanXiaoDiSanJieDuan" label="应收股利坏账准备本期转销（第三阶段）" mulRef="_GBC_129dd494b546414b86037683f39a2046" unitRef="_GBC_672d96b5264744b0a341471d4b6ca030" addr="T0R10C3S1_1" formatStyle="Comma" appId="_GBC_5a51eb2bfb0643eb8b9c73cdd0dbec60"/>
      <m:item xlName="_GBC_8a55250da61f45e1b53b8de2046afa13" concept="clcid-pte:YingShouGuLiHuaiZhangZhunBeiBenQiZhuanXiaoJieDuanHeJi" label="应收股利坏账准备本期转销阶段合计" mulRef="_GBC_129dd494b546414b86037683f39a2046" unitRef="_GBC_672d96b5264744b0a341471d4b6ca030" addr="T0R10C4S1_1" formatStyle="Comma" appId="_GBC_5a51eb2bfb0643eb8b9c73cdd0dbec60"/>
      <m:placeholder xlName="_PLD_9df1f7bea36c43af8fbf8b85cb51c9ba" addr="T0R11C0S1_1"/>
      <m:item xlName="_GBC_55304b646e0e462782d281cd39ec04c5" concept="clcid-pte:YingShouGuLiHuaiZhangZhunBeiBenQiHeXiaoDiYiJieDuan" label="应收股利坏账准备本期核销（第一阶段）" mulRef="_GBC_129dd494b546414b86037683f39a2046" unitRef="_GBC_672d96b5264744b0a341471d4b6ca030" addr="T0R11C1S1_1" formatStyle="Comma" appId="_GBC_5a51eb2bfb0643eb8b9c73cdd0dbec60"/>
      <m:item xlName="_GBC_bb2bc4a6a3104eb0a2f5d95d121fc76a" concept="clcid-pte:YingShouGuLiHuaiZhangZhunBeiBenQiHeXiaoDiErJieDuan" label="应收股利坏账准备本期核销（第二阶段）" mulRef="_GBC_129dd494b546414b86037683f39a2046" unitRef="_GBC_672d96b5264744b0a341471d4b6ca030" addr="T0R11C2S1_1" formatStyle="Comma" appId="_GBC_5a51eb2bfb0643eb8b9c73cdd0dbec60"/>
      <m:item xlName="_GBC_310fc728dd8b4cf3bbab0fceca4ced73" concept="clcid-pte:YingShouGuLiHuaiZhangZhunBeiBenQiHeXiaoDiSanJieDuan" label="应收股利坏账准备本期核销（第三阶段）" mulRef="_GBC_129dd494b546414b86037683f39a2046" unitRef="_GBC_672d96b5264744b0a341471d4b6ca030" addr="T0R11C3S1_1" formatStyle="Comma" appId="_GBC_5a51eb2bfb0643eb8b9c73cdd0dbec60"/>
      <m:item xlName="_GBC_861429b5f6e448388d70867c05bc879e" concept="clcid-pte:YingShouGuLiHuaiZhangZhunBeiBenQiHeXiaoJieDuanHeJi" label="应收股利坏账准备本期核销阶段合计" mulRef="_GBC_129dd494b546414b86037683f39a2046" unitRef="_GBC_672d96b5264744b0a341471d4b6ca030" addr="T0R11C4S1_1" formatStyle="Comma" appId="_GBC_5a51eb2bfb0643eb8b9c73cdd0dbec60"/>
      <m:placeholder xlName="_PLD_735f07f7e44e41a9bfa3745a101b1e0c" addr="T0R12C0S1_1"/>
      <m:item xlName="_GBC_16c9afb793f0439cb79961fc9da9023b" concept="clcid-pte:YingShouGuLiHuaiZhangZhunBeiBenQiQiTaBianDongDiYiJieDuan" label="应收股利坏账准备本期其他变动（第一阶段）" mulRef="_GBC_129dd494b546414b86037683f39a2046" unitRef="_GBC_672d96b5264744b0a341471d4b6ca030" addr="T0R12C1S1_1" formatStyle="Comma" appId="_GBC_5a51eb2bfb0643eb8b9c73cdd0dbec60"/>
      <m:item xlName="_GBC_7a8a3f9e9f0c476eb7a1875328a67c94" concept="clcid-pte:YingShouGuLiHuaiZhangZhunBeiBenQiQiTaBianDongDiErJieDuan" label="应收股利坏账准备本期其他变动（第二阶段）" mulRef="_GBC_129dd494b546414b86037683f39a2046" unitRef="_GBC_672d96b5264744b0a341471d4b6ca030" addr="T0R12C2S1_1" formatStyle="Comma" appId="_GBC_5a51eb2bfb0643eb8b9c73cdd0dbec60"/>
      <m:item xlName="_GBC_2af338a19f274fcc8d54bb5456f4814f" concept="clcid-pte:YingShouGuLiHuaiZhangZhunBeiBenQiQiTaBianDongDiSanJieDuan" label="应收股利坏账准备本期其他变动（第三阶段）" mulRef="_GBC_129dd494b546414b86037683f39a2046" unitRef="_GBC_672d96b5264744b0a341471d4b6ca030" addr="T0R12C3S1_1" formatStyle="Comma" appId="_GBC_5a51eb2bfb0643eb8b9c73cdd0dbec60"/>
      <m:item xlName="_GBC_5d7645a9448046e3b616474e939df340" concept="clcid-pte:YingShouGuLiHuaiZhangZhunBeiBenQiQiTaBianDongJieDuanHeJi" label="应收股利坏账准备本期其他变动阶段合计" mulRef="_GBC_129dd494b546414b86037683f39a2046" unitRef="_GBC_672d96b5264744b0a341471d4b6ca030" addr="T0R12C4S1_1" formatStyle="Comma" appId="_GBC_5a51eb2bfb0643eb8b9c73cdd0dbec60"/>
      <m:placeholder xlName="_PLD_3de222f55d3c4e46b246b6539103e05f" addr="T0R13C0S1_1"/>
      <m:item xlName="_GBC_97a9bebd75be4e2a80f11b04c5bbbbf1" concept="clcid-pte:YingShouGuLiHuaiZhangZhunBeiDiYiJieDuan" label="应收股利坏账准备（第一阶段）" mulRef="_GBC_129dd494b546414b86037683f39a2046" unitRef="_GBC_672d96b5264744b0a341471d4b6ca030" addr="T0R13C1S1_1" formatStyle="Comma" appId="_GBC_5a51eb2bfb0643eb8b9c73cdd0dbec60"/>
      <m:item xlName="_GBC_19d3d44330154890a694166bf86ee8e4" concept="clcid-pte:YingShouGuLiHuaiZhangZhunBeiDiErJieDuan" label="应收股利坏账准备（第二阶段）" mulRef="_GBC_129dd494b546414b86037683f39a2046" unitRef="_GBC_672d96b5264744b0a341471d4b6ca030" addr="T0R13C2S1_1" formatStyle="Comma" appId="_GBC_5a51eb2bfb0643eb8b9c73cdd0dbec60"/>
      <m:item xlName="_GBC_2ad2563a22cf401f96c526c457476085" concept="clcid-pte:YingShouGuLiHuaiZhangZhunBeiDiSanJieDuan" label="应收股利坏账准备（第三阶段）" mulRef="_GBC_129dd494b546414b86037683f39a2046" unitRef="_GBC_672d96b5264744b0a341471d4b6ca030" addr="T0R13C3S1_1" formatStyle="Comma" appId="_GBC_5a51eb2bfb0643eb8b9c73cdd0dbec60"/>
      <m:item xlName="_GBC_9a714e1ff56b4399a36eba441b46b74e" concept="clcid-pte:YingShouGuLiHuaiZhangZhunBei" label="应收股利坏账准备" mulRef="_GBC_129dd494b546414b86037683f39a2046" unitRef="_GBC_672d96b5264744b0a341471d4b6ca030" addr="T0R13C4S1_1" formatStyle="Comma" appId="_GBC_5a51eb2bfb0643eb8b9c73cdd0dbec60"/>
      <m:item xlName="_GBC_1f4d06e3d6574db490755aec3ddba716" concept="clcid-ci-ar:ShiFouShiYongYingShouGuLiBenQiFaShengSunShiZhunBeiBianDongQieZhangMianYuEXianZhuBianDongDeQingKuangShuoMing" label="是否适用：应收股利本期发生损失准备变动且账面余额显著变动的情况说明" selectOptions="_buildInAppliance" controlType="CustomCheckbox" cRanges="[{&quot;StartName&quot;:&quot;_GBC_1f4d06e3d6574db490755aec3ddba716&quot;,&quot;EndName&quot;:&quot;_GBC_1699701353964e5c8c8b39e7abcf5c51&quot;,&quot;CType&quot;:1}]"/>
      <m:item xlName="_GBC_1699701353964e5c8c8b39e7abcf5c51" concept="clcid-pte:YingShouGuLiBenQiFaShengSunShiZhunBeiBianDongQieZhangMianYuEXianZhuBianDongDeQingKuangShuoMing" label="应收股利本期发生损失准备变动且账面余额显著变动的情况说明" appId="_GBC_1f4d06e3d6574db490755aec3ddba716"/>
    </m:section>
    <m:section xlName="_GBC_3543035ac1594f0aaa966ebb907a6f0d" title="应收股利的说明" convertSummaryRule="NoConvert" helpId="112001050">
      <m:item xlName="_GBC_108dd924d7ca4fa78961046db5cd354e" concept="clcid-ci-ar:ShiFouShiYongYingShouGuLiDeShuoMing" label="是否适用：应收股利的说明" selectOptions="_buildInAppliance" controlType="CustomCheckbox" cRanges="{&quot;StartName&quot;:&quot;_GBC_108dd924d7ca4fa78961046db5cd354e&quot;,&quot;EndName&quot;:&quot;_GBC_c29ffdccab234c8fb120aecd6aed6d86&quot;,&quot;CType&quot;:1,&quot;DisplayText&quot;:null}"/>
      <m:item xlName="_GBC_c29ffdccab234c8fb120aecd6aed6d86" concept="clcid-pte:YingShouGuLiDeShuoMing" label="应收股利的说明" appId="_GBC_108dd924d7ca4fa78961046db5cd354e"/>
    </m:section>
    <m:section xlName="_GBC_84907f0c47bb4c62b91a81382adfc126" title="组合中，按账龄分析法计提坏账准备的其他应收账款：" rules="R2015_R11_006" helpId="112001051">
      <m:item xlName="_GBC_14503383cb9a4c528e4dc8ae4e2b1c29" concept="clcid-ci-ar:ShiFouShiYongZuHeZhongAnZhangLingFenXiFaJiTiHuaiZhangZhunBeiDeQiTaYingShouZhangKuan" label="是否适用：组合中，按账龄分析法计提坏账准备的其他应收账款" selectOptions="_buildInAppliance" controlType="CustomCheckbox" cRanges="[{&quot;StartName&quot;:&quot;_GBC_14503383cb9a4c528e4dc8ae4e2b1c29&quot;,&quot;EndName&quot;:&quot;_GBC_cdc8df8bb3c644f78147f794673f1969&quot;,&quot;CType&quot;:1}]"/>
      <m:item xlName="_GBC_6764c0879eca4748ae4bb8a2ce276e17" concept="clcid-ci-ar:DanWeiCaiWuFuZhuDanXiangJinEBuZhongDaDanAnXinYongFengXianTeZhengZuHeHouGaiZuHeDeFengXianJiaoDaDeQiTaYingShouZhangKuan" label="单位：财务附注：单项金额不重大但按信用风险特征组合后该组合的风险较大的其他应收账款" selectOptions="_buildInScales" controlType="Combobox" cellType="Scale" appId="_GBC_14503383cb9a4c528e4dc8ae4e2b1c29"/>
      <m:item xlName="_GBC_58c31c61f2a5441db0ca086544f32ce2" concept="clcid-ci-ar:BiZhongCaiWuFuZhuDanXiangJinEBuZhongDaDanAnXinYongFengXianTeZhengZuHeHouGaiZuHeDeFengXianJiaoDaDeQiTaYingShouZhangKuan" label="币种：财务附注：单项金额不重大但按信用风险特征组合后该组合的风险较大的其他应收账款" selectOptions="_buildInISO4217" controlType="Combobox" cellType="Measure" appId="_GBC_14503383cb9a4c528e4dc8ae4e2b1c29"/>
      <m:placeholder xlName="_PLD_6b0994a4e2bf4d64b8bfa8195d1acb6c" addr="T0R0C0S1_1"/>
      <m:placeholder xlName="_PLD_432b76b66b924b46b150a8c34f250ad2" addr="T0R0C1S1_1"/>
      <m:placeholder xlName="_PLD_1041b49a86da40c3a051ceae58ba8016" addr="T0R1C0S1_2"/>
      <m:placeholder xlName="_PLD_a0ff2716a91b42a6ae2b722f67cab8d3" addr="T0R2C0S1_2"/>
      <m:tuple xlName="_TUP_b427c25173e24fbfaaaef5667baae3a1" concept="clcid-pte:YiNianYiNeiQiTaYingShouKuanJinEMingXi" default_row="2" addr="T0R3C">
        <m:item xlName="_GBC_5922a32bdb5541e08ae9b830f1840cc5" concept="clcid-pte:YiNianYiNeiQiTaYingShouKuanZhangLingMingCheng" label="一年以内其他应收款金额明细－帐龄名称" addr="T0R3C0S1_1" appId="_GBC_14503383cb9a4c528e4dc8ae4e2b1c29"/>
        <m:item xlName="_GBC_b456828aa0ff4466867894c1fa848cf9" concept="clcid-pte:YiNianYiNeiQiTaYingShouKuanZhangMianYuE" label="一年以内其他应收款金额明细－账面余额" mulRef="_GBC_6764c0879eca4748ae4bb8a2ce276e17" unitRef="_GBC_58c31c61f2a5441db0ca086544f32ce2" addr="T0R3C1S1_1" formatStyle="Comma" appId="_GBC_14503383cb9a4c528e4dc8ae4e2b1c29"/>
      </m:tuple>
      <m:placeholder xlName="_PLD_117c27ae49f24df483b32b6cd9c22857" addr="T0R5C0S1_1"/>
      <m:item xlName="_GBC_a295cc4ae8d246b7bdd61207925c7be3" concept="clcid-pte:QiTaYingShouKuanYiNianYiNeiHeJi" label="其他应收款一年以内合计" mulRef="_GBC_6764c0879eca4748ae4bb8a2ce276e17" unitRef="_GBC_58c31c61f2a5441db0ca086544f32ce2" addr="T0R5C1S1_1" formatStyle="Comma" appId="_GBC_14503383cb9a4c528e4dc8ae4e2b1c29"/>
      <m:placeholder xlName="_PLD_eec5fc3899b34bb8ac2c023bb178201d" addr="T0R6C0S1_1"/>
      <m:item xlName="_GBC_cdfe4568db164e35bcfb979ca25cf218" concept="clcid-pte:QiTaYingShouKuanYiZhiErNianHeJi" label="其他应收款一至二年合计" mulRef="_GBC_6764c0879eca4748ae4bb8a2ce276e17" unitRef="_GBC_58c31c61f2a5441db0ca086544f32ce2" addr="T0R6C1S1_1" formatStyle="Comma" appId="_GBC_14503383cb9a4c528e4dc8ae4e2b1c29"/>
      <m:placeholder xlName="_PLD_4147aa219b3044cb87cadcbf20a7f278" addr="T0R7C0S1_1"/>
      <m:item xlName="_GBC_0c5f599636e042b3a5479cff6801b845" concept="clcid-pte:QiTaYingShouKuanErZhiSanNianHeJi" label="其他应收款二至三年合计" mulRef="_GBC_6764c0879eca4748ae4bb8a2ce276e17" unitRef="_GBC_58c31c61f2a5441db0ca086544f32ce2" addr="T0R7C1S1_1" formatStyle="Comma" appId="_GBC_14503383cb9a4c528e4dc8ae4e2b1c29"/>
      <m:placeholder xlName="_PLD_fb935d76867c48c7bf55f3d52575dd91" addr="T0R8C0S1_1"/>
      <m:item xlName="_GBC_1f9b8ac4d5b14bde8d813de91c6b41cd" concept="clcid-pte:QiTaYingShouKuanSanNianYiShangHeJi" label="其他应收款三年以上合计" mulRef="_GBC_6764c0879eca4748ae4bb8a2ce276e17" unitRef="_GBC_58c31c61f2a5441db0ca086544f32ce2" addr="T0R8C1S1_1" formatStyle="Comma" appId="_GBC_14503383cb9a4c528e4dc8ae4e2b1c29"/>
      <m:placeholder xlName="_PLD_66cf044e27544e89bd84871740a65504" addr="T0R9C0S1_1"/>
      <m:item xlName="_GBC_5a5a2bd927044b448cd16c094f8bdac4" concept="clcid-pte:QiTaYingShouKuanSanZhiSiNianZhangMianYuE" label="其他应收款三至四年账面余额" mulRef="_GBC_6764c0879eca4748ae4bb8a2ce276e17" unitRef="_GBC_58c31c61f2a5441db0ca086544f32ce2" addr="T0R9C1S1_1" formatStyle="Comma" appId="_GBC_14503383cb9a4c528e4dc8ae4e2b1c29"/>
      <m:placeholder xlName="_PLD_9c7f07cb7cf1435b8f2137c3fdbbf981" addr="T0R10C0S1_1"/>
      <m:item xlName="_GBC_f3745142af714458865f6134ece87774" concept="clcid-pte:QiTaYingShouKuanSiZhiWuNianZhangMianYuE" label="其他应收款四至五年账面余额" mulRef="_GBC_6764c0879eca4748ae4bb8a2ce276e17" unitRef="_GBC_58c31c61f2a5441db0ca086544f32ce2" addr="T0R10C1S1_1" formatStyle="Comma" appId="_GBC_14503383cb9a4c528e4dc8ae4e2b1c29"/>
      <m:placeholder xlName="_PLD_aec7ac0213fc4614a98de6a3c736e280" addr="T0R11C0S1_1"/>
      <m:item xlName="_GBC_df0d63101e794b27b6e655b216e9f8d1" concept="clcid-pte:QiTaYingShouKuanWuNianYiShangZhangMianYuE" label="其他应收款五年以上账面余额" mulRef="_GBC_6764c0879eca4748ae4bb8a2ce276e17" unitRef="_GBC_58c31c61f2a5441db0ca086544f32ce2" addr="T0R11C1S1_1" formatStyle="Comma" appId="_GBC_14503383cb9a4c528e4dc8ae4e2b1c29"/>
      <m:tuple xlName="_TUP_34db76909f7244b09a55d5c12098c281" concept="clcid-pte:AnZhangLingFenXiFaJiTiHuaiZhangZhunBeiDeQiTaYingShouKuanMingXi" default_row="2" addr="T0R12C">
        <m:item xlName="_GBC_6ff116a09fbb4a3d9145ed42ca2ad6f3" concept="clcid-pte:AnZhangLingFenXiFaJiTiHuaiZhangZhunBeiDeQiTaYingShouKuanMingXiZhangLing" label="按账龄分析法计提坏账准备的其他应收款明细_账龄" addr="T0R12C0S1_1" appId="_GBC_14503383cb9a4c528e4dc8ae4e2b1c29"/>
        <m:item xlName="_GBC_e9fbd238dc14470dabf2d3a9e7aaaf38" concept="clcid-pte:AnZhangLingFenXiFaJiTiHuaiZhangZhunBeiDeQiTaYingShouKuanMingXiQiTaYingShouKuan" label="按账龄分析法计提坏账准备的其他应收款明细_其他应收款" mulRef="_GBC_6764c0879eca4748ae4bb8a2ce276e17" unitRef="_GBC_58c31c61f2a5441db0ca086544f32ce2" addr="T0R12C1S1_1" formatStyle="Comma" appId="_GBC_14503383cb9a4c528e4dc8ae4e2b1c29"/>
      </m:tuple>
      <m:placeholder xlName="_PLD_f4ca1e5588694bda99031e0a5f40083e" addr="T0R14C0S1_1"/>
      <m:item xlName="_GBC_cdc8df8bb3c644f78147f794673f1969" concept="clcid-pte:DanXiangJinEBuZhongDaDanAnXinYongFengXianTeZhengZuHeHouGaiZuHeDeFengXianJiaoDaDeQiTaYingShouZhangKuanHeJi" label="单项金额不重大但按信用风险特征组合后该组合的风险较大的其他应收账款合计" mulRef="_GBC_6764c0879eca4748ae4bb8a2ce276e17" unitRef="_GBC_58c31c61f2a5441db0ca086544f32ce2" addr="T0R14C1S1_1" formatStyle="Comma" appId="_GBC_14503383cb9a4c528e4dc8ae4e2b1c29">
        <m:complexRule comparator="Eq" title="单项金额不重大但按信用风险特征组合后该组合的风险较大的其他应收账款合计" test=" $_GBC_a295cc4ae8d246b7bdd61207925c7be3 +  $_GBC_cdfe4568db164e35bcfb979ca25cf218 +  $_GBC_0c5f599636e042b3a5479cff6801b845 +  $_GBC_1f9b8ac4d5b14bde8d813de91c6b41cd +  $_GBC_5a5a2bd927044b448cd16c094f8bdac4 +  $_GBC_f3745142af714458865f6134ece87774 +  $_GBC_df0d63101e794b27b6e655b216e9f8d1 +  $_GBC_e9fbd238dc14470dabf2d3a9e7aaaf38" id="Ca62adbea76ac44e797ce99721a0a2782"/>
      </m:item>
    </m:section>
    <m:section xlName="_GBC_84d520d656b8446b87c909f5ff2b545d" title="其他应收款按款项性质分类情况" rules="R2015_R11_006" helpId="112001051">
      <m:item xlName="_GBC_43f55a27297f4f93b1b4f668134ac6be" concept="clcid-ci-ar:ShiFouShiYongQiTaYingShouKuanAnKuanXiangXingZhiFenLeiQingKuang" label="是否适用：其他应收款按款项性质分类情况" selectOptions="_buildInAppliance" controlType="CustomCheckbox" cRanges="{&quot;StartName&quot;:&quot;_GBC_43f55a27297f4f93b1b4f668134ac6be&quot;,&quot;EndName&quot;:&quot;_GBC_ddac7e5345bd438e8d5af9d8bc973259&quot;,&quot;CType&quot;:1,&quot;DisplayText&quot;:null}"/>
      <m:item xlName="_GBC_9a3af1171f5640cd83ea2c41e0145167" concept="clcid-ci-ar:DanWeiCaiWuFuZhuQiTaYingShouKuanAnKuanXiangXingZhiFenLeiQingKuang" label="单位：财务附注：其他应收款按款项性质分类情况" selectOptions="_buildInScales" controlType="Combobox" cellType="Scale" appId="_GBC_43f55a27297f4f93b1b4f668134ac6be"/>
      <m:item xlName="_GBC_0d096e7260294092a6e9a8405d01bc70" concept="clcid-ci-ar:BiZhongCaiWuFuZhuQiTaYingShouKuanAnKuanXiangXingZhiFenLeiQingKuang" label="币种：财务附注：其他应收款按款项性质分类情况" selectOptions="_buildInISO4217" controlType="Combobox" cellType="Measure" appId="_GBC_43f55a27297f4f93b1b4f668134ac6be"/>
      <m:placeholder xlName="_PLD_1e66a0098cd34ad6a335156852121360" addr="T0R0C0S1_1"/>
      <m:placeholder xlName="_PLD_51fee06f6d3944a9bbc7bac249ed63b6" addr="T0R0C1S1_1"/>
      <m:placeholder xlName="_PLD_0297dadecff24ff8926a98d0267a917b" addr="T0R0C2S1_1"/>
      <m:tuple xlName="_GBC_936b797bf5094f7da8db3da3acd1de8c" concept="clcid-pte:QiTaYingShouKuanAnKuanXiangXingZhiFenLeiQingKuangMingXi" default_row="2" addr="T0R1C">
        <m:item xlName="_GBC_880f896d8b0b42df802708167fc01b15" concept="clcid-pte:QiTaYingShouKuanAnKuanXiangXingZhiFenLeiQingKuangMingXiKuanXiangXingZhi" label="其他应收款按款项性质分类情况明细-款项性质" addr="T0R1C0S1_1" appId="_GBC_43f55a27297f4f93b1b4f668134ac6be"/>
        <m:item xlName="_GBC_0435c286608844f48f4ef7ebfb5a923c" concept="clcid-pte:QiTaYingShouKuanAnKuanXiangXingZhiFenLeiQingKuangMingXiJinE" label="其他应收款按款项性质分类情况明细-金额" mulRef="_GBC_9a3af1171f5640cd83ea2c41e0145167" unitRef="_GBC_0d096e7260294092a6e9a8405d01bc70" addr="T0R1C1S1_1" formatStyle="Comma" appId="_GBC_43f55a27297f4f93b1b4f668134ac6be"/>
        <m:item xlName="_GBC_a6a3a808ce3142a0984e62d6762c06af" concept="clcid-pte:QiTaYingShouKuanAnKuanXiangXingZhiFenLeiQingKuangMingXiJinE" label="其他应收款按款项性质分类情况明细-金额" periodRef="本期期初数" mulRef="_GBC_9a3af1171f5640cd83ea2c41e0145167" unitRef="_GBC_0d096e7260294092a6e9a8405d01bc70" addr="T0R1C2S1_1" formatStyle="Comma" appId="_GBC_43f55a27297f4f93b1b4f668134ac6be"/>
      </m:tuple>
      <m:placeholder xlName="_PLD_99d40156f33b4b6398b236a0f6461a23" addr="T0R3C0S1_1"/>
      <m:item xlName="_GBC_025b6ff1d536458aa87d8b4902db6cbf" concept="clcid-pte:QiTaYingShouKuanAnKuanXiangXingZhiFenLeiQingKuangJinEHeJi" label="其他应收款按款项性质分类情况金额合计" mulRef="_GBC_9a3af1171f5640cd83ea2c41e0145167" unitRef="_GBC_0d096e7260294092a6e9a8405d01bc70" addr="T0R3C1S1_1" formatStyle="Comma" appId="_GBC_43f55a27297f4f93b1b4f668134ac6be">
        <m:complexRule comparator="Eq" title="其他应收款按款项性质分类情况金额合计" test=" $_GBC_0435c286608844f48f4ef7ebfb5a923c" id="C26c40eb9c1fc44da8d6f4be2233fc1e4"/>
      </m:item>
      <m:item xlName="_GBC_ddac7e5345bd438e8d5af9d8bc973259" concept="clcid-pte:QiTaYingShouKuanAnKuanXiangXingZhiFenLeiQingKuangJinEHeJi" label="其他应收款按款项性质分类情况金额合计" periodRef="本期期初数" mulRef="_GBC_9a3af1171f5640cd83ea2c41e0145167" unitRef="_GBC_0d096e7260294092a6e9a8405d01bc70" addr="T0R3C2S1_1" formatStyle="Comma" appId="_GBC_43f55a27297f4f93b1b4f668134ac6be">
        <m:complexRule comparator="Eq" title="其他应收款按款项性质分类情况金额合计@本期期初数" test=" $_GBC_a6a3a808ce3142a0984e62d6762c06af" id="Cb7215836251a4ce3af574610ecbf1193"/>
      </m:item>
    </m:section>
    <m:section xlName="_SEC_5ff83398df8949c88f89340b5b0e52f6" title="坏账准备计提情况" helpText="如存在坏账准备，应按照财政部企业会计准则第37号第83条规定，披露损失准备期初余额与期末余额的调节表">
      <m:item xlName="_GBC_29d0c5a1588a4f6589b1f8148c9ef180" concept="clcid-ci-ar:ShiFouShiYongQiTaYingShouKuanHuaiZhangZhunBeiTiaoJieBiao" label="是否适用：其他应收款坏账准备调节表" selectOptions="_buildInAppliance" controlType="CustomCheckbox" cRanges="[{&quot;StartName&quot;:&quot;_GBC_29d0c5a1588a4f6589b1f8148c9ef180&quot;,&quot;EndName&quot;:&quot;_GBC_c77e5f8c38ce4ec6a3d7f7da4dfddc19&quot;,&quot;CType&quot;:1}]"/>
      <m:item xlName="_GBC_c65b82e3cfaf4fde8d75eac8c9a6e9f9" concept="clcid-ci-ar:DanWeiQiTaYingShouKuanHuaiZhangZhunBeiTiaoJieBiao" label="单位：其他应收款坏账准备调节表" selectOptions="_buildInScales" controlType="Combobox" cellType="Scale" appId="_GBC_29d0c5a1588a4f6589b1f8148c9ef180"/>
      <m:item xlName="_GBC_08cd78a434cc441cbfff10030c5a8719" concept="clcid-ci-ar:BiZhongQiTaYingShouKuanHuaiZhangZhunBeiTiaoJieBiao" label="币种：其他应收款坏账准备调节表" selectOptions="_buildInISO4217" controlType="Combobox" cellType="Measure" appId="_GBC_29d0c5a1588a4f6589b1f8148c9ef180"/>
      <m:placeholder xlName="_PLD_0df16deeb9614db49d9aa88a31229d9a" addr="T0R0C0S2_1"/>
      <m:placeholder xlName="_PLD_f47baed0f5d14c0486b4530b2aa1cb4c" addr="T0R0C1S1_1"/>
      <m:placeholder xlName="_PLD_a29dd4725bec4eb78b246b92252a24df" addr="T0R0C2S1_1"/>
      <m:placeholder xlName="_PLD_c495a5d3c56f4cb9a0bd5cc9cc9b5410" addr="T0R0C3S1_1"/>
      <m:placeholder xlName="_PLD_0dc8bab0b7424c1295b83fcc97ca7554" addr="T0R0C4S2_1"/>
      <m:placeholder xlName="_PLD_08f8b6a1fd974f0d8ae0c04f27849740" addr="T0R1C1S1_1"/>
      <m:placeholder xlName="_PLD_c85cfe8f6d6a4ab0af13d30e76cd7800" addr="T0R1C2S1_1"/>
      <m:placeholder xlName="_PLD_2df6c7466f224906aa04a411975e6f79" addr="T0R1C3S1_1"/>
      <m:placeholder xlName="_PLD_2d320061b2c04b43aa4ffcb4160cc3e9" addr="T0R2C0S1_1"/>
      <m:item xlName="_GBC_0ea694eb8c5d4ee6854cc2256d9e1c0c" concept="clcid-pte:QiTaYingShouKuanHuaiZhangZhunBeiDiYiJieDuan" label="其他应收款坏账准备（第一阶段）" periodRef="本期期初数" mulRef="_GBC_c65b82e3cfaf4fde8d75eac8c9a6e9f9" unitRef="_GBC_08cd78a434cc441cbfff10030c5a8719" addr="T0R2C1S1_1" formatStyle="Comma" appId="_GBC_29d0c5a1588a4f6589b1f8148c9ef180"/>
      <m:item xlName="_GBC_a4c7451850b34abc80b6f6bbe94f297f" concept="clcid-pte:QiTaYingShouKuanHuaiZhangZhunBeiDiErJieDuan" label="其他应收款坏账准备（第二阶段）" periodRef="本期期初数" mulRef="_GBC_c65b82e3cfaf4fde8d75eac8c9a6e9f9" unitRef="_GBC_08cd78a434cc441cbfff10030c5a8719" addr="T0R2C2S1_1" formatStyle="Comma" appId="_GBC_29d0c5a1588a4f6589b1f8148c9ef180"/>
      <m:item xlName="_GBC_136c38e723444779b5cb47f972a5f6ce" concept="clcid-pte:QiTaYingShouKuanHuaiZhangZhunBeiDiSanJieDuan" label="其他应收款坏账准备（第三阶段）" periodRef="本期期初数" mulRef="_GBC_c65b82e3cfaf4fde8d75eac8c9a6e9f9" unitRef="_GBC_08cd78a434cc441cbfff10030c5a8719" addr="T0R2C3S1_1" formatStyle="Comma" appId="_GBC_29d0c5a1588a4f6589b1f8148c9ef180"/>
      <m:item xlName="_GBC_596999ba1f2f47c8a6cfee9a94d37f10" concept="clcid-pte:QiTaYingShouKuanHuaiZhangZhunBei" label="其他应收款坏账准备" periodRef="本期期初数" mulRef="_GBC_c65b82e3cfaf4fde8d75eac8c9a6e9f9" unitRef="_GBC_08cd78a434cc441cbfff10030c5a8719" addr="T0R2C4S1_1" formatStyle="Comma" appId="_GBC_29d0c5a1588a4f6589b1f8148c9ef180"/>
      <m:placeholder xlName="_PLD_87947ae743a54051a279d9db76e17d3e" addr="T0R3C0S1_1"/>
      <m:item xlName="_GBC_8de9922d347b4b96b867568320b763aa" concept="clcid-pte:QiTaYingShouKuanHuaiZhangZhunBeiBenQiZhuanRuHuoZhuanHuiDiYiJieDuan" label="其他应收款坏账准备本期转入或转回（第一阶段）" mulRef="_GBC_c65b82e3cfaf4fde8d75eac8c9a6e9f9" unitRef="_GBC_08cd78a434cc441cbfff10030c5a8719" addr="T0R3C1S1_1" formatStyle="Comma" appId="_GBC_29d0c5a1588a4f6589b1f8148c9ef180"/>
      <m:item xlName="_GBC_f8da7b9ac3c74019908add4e998641ab" concept="clcid-pte:QiTaYingShouKuanHuaiZhangZhunBeiBenQiZhuanRuHuoZhuanHuiDiErJieDuan" label="其他应收款坏账准备本期转入或转回（第二阶段）" mulRef="_GBC_c65b82e3cfaf4fde8d75eac8c9a6e9f9" unitRef="_GBC_08cd78a434cc441cbfff10030c5a8719" addr="T0R3C2S1_1" formatStyle="Comma" appId="_GBC_29d0c5a1588a4f6589b1f8148c9ef180"/>
      <m:item xlName="_GBC_0c6c20d71d014e2a98458a1678d2a699" concept="clcid-pte:QiTaYingShouKuanHuaiZhangZhunBeiBenQiZhuanRuHuoZhuanHuiDiSanJieDuan" label="其他应收款坏账准备本期转入或转回（第三阶段）" mulRef="_GBC_c65b82e3cfaf4fde8d75eac8c9a6e9f9" unitRef="_GBC_08cd78a434cc441cbfff10030c5a8719" addr="T0R3C3S1_1" formatStyle="Comma" appId="_GBC_29d0c5a1588a4f6589b1f8148c9ef180"/>
      <m:item xlName="_GBC_7fef6d1bc4bf441ab2678d68b04dffb6" concept="clcid-pte:QiTaYingShouKuanHuaiZhangZhunBeiBenQiZhuanRuHuoZhuanHuiJieDuanHeJi" label="其他应收款坏账准备本期转入或转回阶段合计" mulRef="_GBC_c65b82e3cfaf4fde8d75eac8c9a6e9f9" unitRef="_GBC_08cd78a434cc441cbfff10030c5a8719" addr="T0R3C4S1_1" formatStyle="Comma" appId="_GBC_29d0c5a1588a4f6589b1f8148c9ef180"/>
      <m:placeholder xlName="_PLD_038143b9e2e34542b73dcfc1430d95cc" addr="T0R4C0S1_1"/>
      <m:item xlName="_GBC_1ecce60ffa9f43e5b95b6bdd31359e03" concept="clcid-pte:QiTaYingShouKuanHuaiZhangZhunBeiBenQiZhuanRuDiErJieDuanDiYiJieDuan" label="其他应收款坏账准备本期转入第二阶段（第一阶段）" mulRef="_GBC_c65b82e3cfaf4fde8d75eac8c9a6e9f9" unitRef="_GBC_08cd78a434cc441cbfff10030c5a8719" addr="T0R4C1S1_1" formatStyle="Comma" appId="_GBC_29d0c5a1588a4f6589b1f8148c9ef180"/>
      <m:item xlName="_GBC_b2ceebe4b0844f739fd19e8b99c1b14e" concept="clcid-pte:QiTaYingShouKuanHuaiZhangZhunBeiBenQiZhuanRuDiErJieDuanDiErJieDuan" label="其他应收款坏账准备本期转入第二阶段（第二阶段）" mulRef="_GBC_c65b82e3cfaf4fde8d75eac8c9a6e9f9" unitRef="_GBC_08cd78a434cc441cbfff10030c5a8719" addr="T0R4C2S1_1" formatStyle="Comma" appId="_GBC_29d0c5a1588a4f6589b1f8148c9ef180"/>
      <m:item xlName="_GBC_3597ffeacaee48e5a9f323499197efef" concept="clcid-pte:QiTaYingShouKuanHuaiZhangZhunBeiBenQiZhuanRuDiErJieDuanDiSanJieDuan" label="其他应收款坏账准备本期转入第二阶段（第三阶段）" mulRef="_GBC_c65b82e3cfaf4fde8d75eac8c9a6e9f9" unitRef="_GBC_08cd78a434cc441cbfff10030c5a8719" addr="T0R4C3S1_1" formatStyle="Comma" appId="_GBC_29d0c5a1588a4f6589b1f8148c9ef180"/>
      <m:item xlName="_GBC_f215313a7ead4aeeb70be1bcef05dd81" concept="clcid-pte:QiTaYingShouKuanHuaiZhangZhunBeiBenQiZhuanRuDiErJieDuanJieDuanHeJi" label="其他应收款坏账准备本期转入第二阶段阶段合计" mulRef="_GBC_c65b82e3cfaf4fde8d75eac8c9a6e9f9" unitRef="_GBC_08cd78a434cc441cbfff10030c5a8719" addr="T0R4C4S1_1" formatStyle="Comma" appId="_GBC_29d0c5a1588a4f6589b1f8148c9ef180"/>
      <m:placeholder xlName="_PLD_a76d00fce3fe4d29be0ddd475d30b2c0" addr="T0R5C0S1_1"/>
      <m:item xlName="_GBC_7d6e6f7e02ef49598f902a01b8f01147" concept="clcid-pte:QiTaYingShouKuanHuaiZhangZhunBeiBenQiZhuanRuDiSanJieDuanDiYiJieDuan" label="其他应收款坏账准备本期转入第三阶段（第一阶段）" mulRef="_GBC_c65b82e3cfaf4fde8d75eac8c9a6e9f9" unitRef="_GBC_08cd78a434cc441cbfff10030c5a8719" addr="T0R5C1S1_1" formatStyle="Comma" appId="_GBC_29d0c5a1588a4f6589b1f8148c9ef180"/>
      <m:item xlName="_GBC_ade889a37c224f0ebf498406a08bfd02" concept="clcid-pte:QiTaYingShouKuanHuaiZhangZhunBeiBenQiZhuanRuDiSanJieDuanDiErJieDuan" label="其他应收款坏账准备本期转入第三阶段（第二阶段）" mulRef="_GBC_c65b82e3cfaf4fde8d75eac8c9a6e9f9" unitRef="_GBC_08cd78a434cc441cbfff10030c5a8719" addr="T0R5C2S1_1" formatStyle="Comma" appId="_GBC_29d0c5a1588a4f6589b1f8148c9ef180"/>
      <m:item xlName="_GBC_785196d92dc7428d9259aeaf7397b787" concept="clcid-pte:QiTaYingShouKuanHuaiZhangZhunBeiBenQiZhuanRuDiSanJieDuanDiSanJieDuan" label="其他应收款坏账准备本期转入第三阶段（第三阶段）" mulRef="_GBC_c65b82e3cfaf4fde8d75eac8c9a6e9f9" unitRef="_GBC_08cd78a434cc441cbfff10030c5a8719" addr="T0R5C3S1_1" formatStyle="Comma" appId="_GBC_29d0c5a1588a4f6589b1f8148c9ef180"/>
      <m:item xlName="_GBC_8d7edfe9622b4d5d904809b0bd14d665" concept="clcid-pte:QiTaYingShouKuanHuaiZhangZhunBeiBenQiZhuanRuDiSanJieDuanJieDuanHeJi" label="其他应收款坏账准备本期转入第三阶段阶段合计" mulRef="_GBC_c65b82e3cfaf4fde8d75eac8c9a6e9f9" unitRef="_GBC_08cd78a434cc441cbfff10030c5a8719" addr="T0R5C4S1_1" formatStyle="Comma" appId="_GBC_29d0c5a1588a4f6589b1f8148c9ef180"/>
      <m:placeholder xlName="_PLD_7f587129b9194265b30ab5ac06c73ae1" addr="T0R6C0S1_1"/>
      <m:item xlName="_GBC_e092524ff5d64db4bc10ddc1e4b43e13" concept="clcid-pte:QiTaYingShouKuanHuaiZhangZhunBeiBenQiZhuanHuiDiErJieDuanDiYiJieDuan" label="其他应收款坏账准备本期转回第二阶段（第一阶段）" mulRef="_GBC_c65b82e3cfaf4fde8d75eac8c9a6e9f9" unitRef="_GBC_08cd78a434cc441cbfff10030c5a8719" addr="T0R6C1S1_1" formatStyle="Comma" appId="_GBC_29d0c5a1588a4f6589b1f8148c9ef180"/>
      <m:item xlName="_GBC_dfce419fe9db49049d0ba8bcab23029c" concept="clcid-pte:QiTaYingShouKuanHuaiZhangZhunBeiBenQiZhuanHuiDiErJieDuanDiErJieDuan" label="其他应收款坏账准备本期转回第二阶段（第二阶段）" mulRef="_GBC_c65b82e3cfaf4fde8d75eac8c9a6e9f9" unitRef="_GBC_08cd78a434cc441cbfff10030c5a8719" addr="T0R6C2S1_1" formatStyle="Comma" appId="_GBC_29d0c5a1588a4f6589b1f8148c9ef180"/>
      <m:item xlName="_GBC_24e2c3972cdc4670b87448faf9bd4a67" concept="clcid-pte:QiTaYingShouKuanHuaiZhangZhunBeiBenQiZhuanHuiDiErJieDuanDiSanJieDuan" label="其他应收款坏账准备本期转回第二阶段（第三阶段）" mulRef="_GBC_c65b82e3cfaf4fde8d75eac8c9a6e9f9" unitRef="_GBC_08cd78a434cc441cbfff10030c5a8719" addr="T0R6C3S1_1" formatStyle="Comma" appId="_GBC_29d0c5a1588a4f6589b1f8148c9ef180"/>
      <m:item xlName="_GBC_60d20e52b11945208bcf09d87faf64b9" concept="clcid-pte:QiTaYingShouKuanHuaiZhangZhunBeiBenQiZhuanHuiDiErJieDuanJieDuanHeJi" label="其他应收款坏账准备本期转回第二阶段阶段合计" mulRef="_GBC_c65b82e3cfaf4fde8d75eac8c9a6e9f9" unitRef="_GBC_08cd78a434cc441cbfff10030c5a8719" addr="T0R6C4S1_1" formatStyle="Comma" appId="_GBC_29d0c5a1588a4f6589b1f8148c9ef180"/>
      <m:placeholder xlName="_PLD_7b7c467e47354ee5a30772a2b1c39114" addr="T0R7C0S1_1"/>
      <m:item xlName="_GBC_bb19de78a35e4d828c7068a78e277946" concept="clcid-pte:QiTaYingShouKuanHuaiZhangZhunBeiBenQiZhuanHuiDiYiJieDuanDiYiJieDuan" label="其他应收款坏账准备本期转回第一阶段（第一阶段）" mulRef="_GBC_c65b82e3cfaf4fde8d75eac8c9a6e9f9" unitRef="_GBC_08cd78a434cc441cbfff10030c5a8719" addr="T0R7C1S1_1" formatStyle="Comma" appId="_GBC_29d0c5a1588a4f6589b1f8148c9ef180"/>
      <m:item xlName="_GBC_253a517c03b144f9b01226b5cd0e3db5" concept="clcid-pte:QiTaYingShouKuanHuaiZhangZhunBeiBenQiZhuanHuiDiYiJieDuanDiErJieDuan" label="其他应收款坏账准备本期转回第一阶段（第二阶段）" mulRef="_GBC_c65b82e3cfaf4fde8d75eac8c9a6e9f9" unitRef="_GBC_08cd78a434cc441cbfff10030c5a8719" addr="T0R7C2S1_1" formatStyle="Comma" appId="_GBC_29d0c5a1588a4f6589b1f8148c9ef180"/>
      <m:item xlName="_GBC_2a339984ccfc49859dbcd6b918924fe7" concept="clcid-pte:QiTaYingShouKuanHuaiZhangZhunBeiBenQiZhuanHuiDiYiJieDuanDiSanJieDuan" label="其他应收款坏账准备本期转回第一阶段（第三阶段）" mulRef="_GBC_c65b82e3cfaf4fde8d75eac8c9a6e9f9" unitRef="_GBC_08cd78a434cc441cbfff10030c5a8719" addr="T0R7C3S1_1" formatStyle="Comma" appId="_GBC_29d0c5a1588a4f6589b1f8148c9ef180"/>
      <m:item xlName="_GBC_ce7a99c7e02c45f88317093717cef9ee" concept="clcid-pte:QiTaYingShouKuanHuaiZhangZhunBeiBenQiZhuanHuiDiYiJieDuanJieDuanHeJi" label="其他应收款坏账准备本期转回第一阶段阶段合计" mulRef="_GBC_c65b82e3cfaf4fde8d75eac8c9a6e9f9" unitRef="_GBC_08cd78a434cc441cbfff10030c5a8719" addr="T0R7C4S1_1" formatStyle="Comma" appId="_GBC_29d0c5a1588a4f6589b1f8148c9ef180"/>
      <m:placeholder xlName="_PLD_539b03f459c4452c8b986b7b696cbc3f" addr="T0R8C0S1_1"/>
      <m:item xlName="_GBC_10c0c9b6e395460fb00427190c0d2aa3" concept="clcid-pte:QiTaYingShouKuanHuaiZhangZhunBeiBenQiXinZengJiTiDiYiJieDuan" label="其他应收款坏账准备本期新增计提（第一阶段）" mulRef="_GBC_c65b82e3cfaf4fde8d75eac8c9a6e9f9" unitRef="_GBC_08cd78a434cc441cbfff10030c5a8719" addr="T0R8C1S1_1" formatStyle="Comma" appId="_GBC_29d0c5a1588a4f6589b1f8148c9ef180"/>
      <m:item xlName="_GBC_f32870b65a0f41dbbe7f5b380c1c0edb" concept="clcid-pte:QiTaYingShouKuanHuaiZhangZhunBeiBenQiXinZengJiTiDiErJieDuan" label="其他应收款坏账准备本期新增计提（第二阶段）" mulRef="_GBC_c65b82e3cfaf4fde8d75eac8c9a6e9f9" unitRef="_GBC_08cd78a434cc441cbfff10030c5a8719" addr="T0R8C2S1_1" formatStyle="Comma" appId="_GBC_29d0c5a1588a4f6589b1f8148c9ef180"/>
      <m:item xlName="_GBC_f428ff1dac4245ac91112ccf0d10c446" concept="clcid-pte:QiTaYingShouKuanHuaiZhangZhunBeiBenQiXinZengJiTiDiSanJieDuan" label="其他应收款坏账准备本期新增计提（第三阶段）" mulRef="_GBC_c65b82e3cfaf4fde8d75eac8c9a6e9f9" unitRef="_GBC_08cd78a434cc441cbfff10030c5a8719" addr="T0R8C3S1_1" formatStyle="Comma" appId="_GBC_29d0c5a1588a4f6589b1f8148c9ef180"/>
      <m:item xlName="_GBC_adc16033c56e4fbebca34cf1b557421b" concept="clcid-pte:QiTaYingShouKuanHuaiZhangZhunBeiBenQiXinZengJiTiJieDuanHeJi" label="其他应收款坏账准备本期新增计提阶段合计" mulRef="_GBC_c65b82e3cfaf4fde8d75eac8c9a6e9f9" unitRef="_GBC_08cd78a434cc441cbfff10030c5a8719" addr="T0R8C4S1_1" formatStyle="Comma" appId="_GBC_29d0c5a1588a4f6589b1f8148c9ef180"/>
      <m:placeholder xlName="_PLD_ddcd4306bc5c4cc89da3fd6a733c0801" addr="T0R9C0S1_1"/>
      <m:item xlName="_GBC_ee3164cb4e4e4a6c98236cd68f440640" concept="clcid-pte:QiTaYingShouKuanHuaiZhangZhunBeiBenQiZhuanHuiDiYiJieDuan" label="其他应收款坏账准备本期转回（第一阶段）" mulRef="_GBC_c65b82e3cfaf4fde8d75eac8c9a6e9f9" unitRef="_GBC_08cd78a434cc441cbfff10030c5a8719" addr="T0R9C1S1_1" formatStyle="Comma" appId="_GBC_29d0c5a1588a4f6589b1f8148c9ef180"/>
      <m:item xlName="_GBC_ff32adb130b14157ba337f1ab2d83c02" concept="clcid-pte:QiTaYingShouKuanHuaiZhangZhunBeiBenQiZhuanHuiDiErJieDuan" label="其他应收款坏账准备本期转回（第二阶段）" mulRef="_GBC_c65b82e3cfaf4fde8d75eac8c9a6e9f9" unitRef="_GBC_08cd78a434cc441cbfff10030c5a8719" addr="T0R9C2S1_1" formatStyle="Comma" appId="_GBC_29d0c5a1588a4f6589b1f8148c9ef180"/>
      <m:item xlName="_GBC_7102149a37854235b7f6da929b5a9dfe" concept="clcid-pte:QiTaYingShouKuanHuaiZhangZhunBeiBenQiZhuanHuiDiSanJieDuan" label="其他应收款坏账准备本期转回（第三阶段）" mulRef="_GBC_c65b82e3cfaf4fde8d75eac8c9a6e9f9" unitRef="_GBC_08cd78a434cc441cbfff10030c5a8719" addr="T0R9C3S1_1" formatStyle="Comma" appId="_GBC_29d0c5a1588a4f6589b1f8148c9ef180"/>
      <m:item xlName="_GBC_b54ebb3abe6b455993a454ef172fc4b0" concept="clcid-pte:QiTaYingShouKuanHuaiZhangZhunBeiBenQiZhuanHuiJieDuanHeJi" label="其他应收款坏账准备本期转回阶段合计" mulRef="_GBC_c65b82e3cfaf4fde8d75eac8c9a6e9f9" unitRef="_GBC_08cd78a434cc441cbfff10030c5a8719" addr="T0R9C4S1_1" formatStyle="Comma" appId="_GBC_29d0c5a1588a4f6589b1f8148c9ef180"/>
      <m:placeholder xlName="_PLD_1c4657ced479496a86e3dc375f285889" addr="T0R10C0S1_1"/>
      <m:item xlName="_GBC_32cd968cce1044df853ba704754bfbc9" concept="clcid-pte:QiTaYingShouKuanHuaiZhangZhunBeiBenQiZhuanXiaoDiYiJieDuan" label="其他应收款坏账准备本期转销（第一阶段）" mulRef="_GBC_c65b82e3cfaf4fde8d75eac8c9a6e9f9" unitRef="_GBC_08cd78a434cc441cbfff10030c5a8719" addr="T0R10C1S1_1" formatStyle="Comma" appId="_GBC_29d0c5a1588a4f6589b1f8148c9ef180"/>
      <m:item xlName="_GBC_b061efdd6596428caf9a5db6b9b537f6" concept="clcid-pte:QiTaYingShouKuanHuaiZhangZhunBeiBenQiZhuanXiaoDiErJieDuan" label="其他应收款坏账准备本期转销（第二阶段）" mulRef="_GBC_c65b82e3cfaf4fde8d75eac8c9a6e9f9" unitRef="_GBC_08cd78a434cc441cbfff10030c5a8719" addr="T0R10C2S1_1" formatStyle="Comma" appId="_GBC_29d0c5a1588a4f6589b1f8148c9ef180"/>
      <m:item xlName="_GBC_7fa7c5a81a0842f5853f94b5d490cad2" concept="clcid-pte:QiTaYingShouKuanHuaiZhangZhunBeiBenQiZhuanXiaoDiSanJieDuan" label="其他应收款坏账准备本期转销（第三阶段）" mulRef="_GBC_c65b82e3cfaf4fde8d75eac8c9a6e9f9" unitRef="_GBC_08cd78a434cc441cbfff10030c5a8719" addr="T0R10C3S1_1" formatStyle="Comma" appId="_GBC_29d0c5a1588a4f6589b1f8148c9ef180"/>
      <m:item xlName="_GBC_c24fc9ff5ff84dbcaff698f2c3d3ea61" concept="clcid-pte:QiTaYingShouKuanHuaiZhangZhunBeiBenQiZhuanXiaoJieDuanHeJi" label="其他应收款坏账准备本期转销阶段合计" mulRef="_GBC_c65b82e3cfaf4fde8d75eac8c9a6e9f9" unitRef="_GBC_08cd78a434cc441cbfff10030c5a8719" addr="T0R10C4S1_1" formatStyle="Comma" appId="_GBC_29d0c5a1588a4f6589b1f8148c9ef180"/>
      <m:placeholder xlName="_PLD_8a1f66e013df42ccbcaccfe3645b25ea" addr="T0R11C0S1_1"/>
      <m:item xlName="_GBC_4491326945ef4f50a93e0a5544e1afba" concept="clcid-pte:QiTaYingShouKuanHuaiZhangZhunBeiBenQiHeXiaoDiYiJieDuan" label="其他应收款坏账准备本期核销（第一阶段）" mulRef="_GBC_c65b82e3cfaf4fde8d75eac8c9a6e9f9" unitRef="_GBC_08cd78a434cc441cbfff10030c5a8719" addr="T0R11C1S1_1" formatStyle="Comma" appId="_GBC_29d0c5a1588a4f6589b1f8148c9ef180"/>
      <m:item xlName="_GBC_68a6384f65fe428c9ce9deb8aa48047a" concept="clcid-pte:QiTaYingShouKuanHuaiZhangZhunBeiBenQiHeXiaoDiErJieDuan" label="其他应收款坏账准备本期核销（第二阶段）" mulRef="_GBC_c65b82e3cfaf4fde8d75eac8c9a6e9f9" unitRef="_GBC_08cd78a434cc441cbfff10030c5a8719" addr="T0R11C2S1_1" formatStyle="Comma" appId="_GBC_29d0c5a1588a4f6589b1f8148c9ef180"/>
      <m:item xlName="_GBC_ce56826f442d41639624644ef1c9123a" concept="clcid-pte:QiTaYingShouKuanHuaiZhangZhunBeiBenQiHeXiaoDiSanJieDuan" label="其他应收款坏账准备本期核销（第三阶段）" mulRef="_GBC_c65b82e3cfaf4fde8d75eac8c9a6e9f9" unitRef="_GBC_08cd78a434cc441cbfff10030c5a8719" addr="T0R11C3S1_1" formatStyle="Comma" appId="_GBC_29d0c5a1588a4f6589b1f8148c9ef180"/>
      <m:item xlName="_GBC_11fb74251209472aa591833495134172" concept="clcid-pte:QiTaYingShouKuanHuaiZhangZhunBeiBenQiHeXiaoJieDuanHeJi" label="其他应收款坏账准备本期核销阶段合计" mulRef="_GBC_c65b82e3cfaf4fde8d75eac8c9a6e9f9" unitRef="_GBC_08cd78a434cc441cbfff10030c5a8719" addr="T0R11C4S1_1" formatStyle="Comma" appId="_GBC_29d0c5a1588a4f6589b1f8148c9ef180"/>
      <m:placeholder xlName="_PLD_80203c10cb0c468dbd7a48669ddd0f63" addr="T0R12C0S1_1"/>
      <m:item xlName="_GBC_1e890883f55d4e83b7dc1dc802261e5f" concept="clcid-pte:QiTaYingShouKuanHuaiZhangZhunBeiBenQiQiTaBianDongDiYiJieDuan" label="其他应收款坏账准备本期其他变动（第一阶段）" mulRef="_GBC_c65b82e3cfaf4fde8d75eac8c9a6e9f9" unitRef="_GBC_08cd78a434cc441cbfff10030c5a8719" addr="T0R12C1S1_1" formatStyle="Comma" appId="_GBC_29d0c5a1588a4f6589b1f8148c9ef180"/>
      <m:item xlName="_GBC_fd973b6ee8414d30bce19a1bc29f71f5" concept="clcid-pte:QiTaYingShouKuanHuaiZhangZhunBeiBenQiQiTaBianDongDiErJieDuan" label="其他应收款坏账准备本期其他变动（第二阶段）" mulRef="_GBC_c65b82e3cfaf4fde8d75eac8c9a6e9f9" unitRef="_GBC_08cd78a434cc441cbfff10030c5a8719" addr="T0R12C2S1_1" formatStyle="Comma" appId="_GBC_29d0c5a1588a4f6589b1f8148c9ef180"/>
      <m:item xlName="_GBC_7d556740a0fb4a79897d5c7f57e50f8c" concept="clcid-pte:QiTaYingShouKuanHuaiZhangZhunBeiBenQiQiTaBianDongDiSanJieDuan" label="其他应收款坏账准备本期其他变动（第三阶段）" mulRef="_GBC_c65b82e3cfaf4fde8d75eac8c9a6e9f9" unitRef="_GBC_08cd78a434cc441cbfff10030c5a8719" addr="T0R12C3S1_1" formatStyle="Comma" appId="_GBC_29d0c5a1588a4f6589b1f8148c9ef180"/>
      <m:item xlName="_GBC_9ec5b2236094405ab24c756f50e21874" concept="clcid-pte:QiTaYingShouKuanHuaiZhangZhunBeiBenQiQiTaBianDongJieDuanHeJi" label="其他应收款坏账准备本期其他变动阶段合计" mulRef="_GBC_c65b82e3cfaf4fde8d75eac8c9a6e9f9" unitRef="_GBC_08cd78a434cc441cbfff10030c5a8719" addr="T0R12C4S1_1" formatStyle="Comma" appId="_GBC_29d0c5a1588a4f6589b1f8148c9ef180"/>
      <m:placeholder xlName="_PLD_bb669c94f1734a70be90735195c143c3" addr="T0R13C0S1_1"/>
      <m:item xlName="_GBC_fdbd667603b9498ca7a1e5f6e26382b6" concept="clcid-pte:QiTaYingShouKuanHuaiZhangZhunBeiDiYiJieDuan" label="其他应收款坏账准备（第一阶段）" mulRef="_GBC_c65b82e3cfaf4fde8d75eac8c9a6e9f9" unitRef="_GBC_08cd78a434cc441cbfff10030c5a8719" addr="T0R13C1S1_1" formatStyle="Comma" appId="_GBC_29d0c5a1588a4f6589b1f8148c9ef180"/>
      <m:item xlName="_GBC_4357e821e90d46bc85b055d3b0ab4867" concept="clcid-pte:QiTaYingShouKuanHuaiZhangZhunBeiDiErJieDuan" label="其他应收款坏账准备（第二阶段）" mulRef="_GBC_c65b82e3cfaf4fde8d75eac8c9a6e9f9" unitRef="_GBC_08cd78a434cc441cbfff10030c5a8719" addr="T0R13C2S1_1" formatStyle="Comma" appId="_GBC_29d0c5a1588a4f6589b1f8148c9ef180"/>
      <m:item xlName="_GBC_67d11f418ee24058b696c8ca5f83e6f8" concept="clcid-pte:QiTaYingShouKuanHuaiZhangZhunBeiDiSanJieDuan" label="其他应收款坏账准备（第三阶段）" mulRef="_GBC_c65b82e3cfaf4fde8d75eac8c9a6e9f9" unitRef="_GBC_08cd78a434cc441cbfff10030c5a8719" addr="T0R13C3S1_1" formatStyle="Comma" appId="_GBC_29d0c5a1588a4f6589b1f8148c9ef180"/>
      <m:item xlName="_GBC_fd350bf6b9144ba3b96e06cc6cf9f6f3" concept="clcid-pte:QiTaYingShouKuanHuaiZhangZhunBei" label="其他应收款坏账准备" mulRef="_GBC_c65b82e3cfaf4fde8d75eac8c9a6e9f9" unitRef="_GBC_08cd78a434cc441cbfff10030c5a8719" addr="T0R13C4S1_1" formatStyle="Comma" appId="_GBC_29d0c5a1588a4f6589b1f8148c9ef180"/>
      <m:item xlName="_GBC_32e9d68fc5194869baa30fe15720ff13" concept="clcid-ci-ar:ShiFouShiYongQiTaYingShouKuanBenQiFaShengSunShiZhunBeiBianDongQieZhangMianYuEXianZhuBianDongDeQingKuangShuoMing" label="是否适用：其他应收款本期发生损失准备变动且账面余额显著变动的情况说明" selectOptions="_buildInAppliance" controlType="CustomCheckbox" cRanges="[{&quot;StartName&quot;:&quot;_GBC_32e9d68fc5194869baa30fe15720ff13&quot;,&quot;EndName&quot;:&quot;_GBC_b0dd7f18e55c4caeb6b5121109090a7a&quot;,&quot;CType&quot;:1}]"/>
      <m:item xlName="_GBC_b0dd7f18e55c4caeb6b5121109090a7a" concept="clcid-pte:QiTaYingShouKuanBenQiFaShengSunShiZhunBeiBianDongQieZhangMianYuEXianZhuBianDongDeQingKuangShuoMing" label="其他应收款本期发生损失准备变动且账面余额显著变动的情况说明" appId="_GBC_32e9d68fc5194869baa30fe15720ff13"/>
      <m:item xlName="_GBC_dde26fcf385445edb7b0e96dab2a2b3e" concept="clcid-ci-ar:ShiFouShiYongQiTaYingShouKuanBenQiHuaiZhangZhunBeiJiTiJinEYiJiPingGuJinRongGongJuDeXinYongFengXianXianZhuZengJiaDeCaiYongYiJu" label="是否适用：其他应收款本期坏账准备计提金额以及评估金融工具的信用风险显著增加的采用依据" selectOptions="_buildInAppliance" controlType="CustomCheckbox" cRanges="[{&quot;StartName&quot;:&quot;_GBC_dde26fcf385445edb7b0e96dab2a2b3e&quot;,&quot;EndName&quot;:&quot;_GBC_c77e5f8c38ce4ec6a3d7f7da4dfddc19&quot;,&quot;CType&quot;:1}]"/>
      <m:item xlName="_GBC_c77e5f8c38ce4ec6a3d7f7da4dfddc19" concept="clcid-pte:QiTaYingShouKuanBenQiHuaiZhangZhunBeiJiTiJinEYiJiPingGuJinRongGongJuDeXinYongFengXianXianZhuZengJiaDeCaiYongYiJu" label="其他应收款本期坏账准备计提金额以及评估金融工具的信用风险显著增加的采用依据" appId="_GBC_dde26fcf385445edb7b0e96dab2a2b3e"/>
    </m:section>
    <m:section xlName="_SEC_93dacca8700c43aaba11477ef4689aa6" title="坏账准备的情况">
      <m:item xlName="_GBC_b3f4f88802a54b1da539ba2563000c5c" concept="clcid-ci-ar:ShiFouShiYongQiTaYingShouKuanHuaiZhangZhunBei" label="是否适用：其他应收款坏账准备" selectOptions="_buildInAppliance" controlType="CustomCheckbox" cRanges="[{&quot;StartName&quot;:&quot;_GBC_b3f4f88802a54b1da539ba2563000c5c&quot;,&quot;EndName&quot;:&quot;_GBC_a1baeaf1f2a74440b96714785b9db8fd&quot;,&quot;CType&quot;:1}]"/>
      <m:item xlName="_GBC_1cb0ccc9627340bb9775e68ec1d11af7" concept="clcid-ci-ar:DanWeiQiTaYingShouKuanHuaiZhangZhunBei" label="单位：其他应收款坏账准备" selectOptions="_buildInScales" controlType="Combobox" cellType="Scale" appId="_GBC_b3f4f88802a54b1da539ba2563000c5c"/>
      <m:item xlName="_GBC_14d59c8ccaef434da24604201125f1f0" concept="clcid-ci-ar:BiZhongQiTaYingShouKuanHuaiZhangZhunBei" label="币种：其他应收款坏账准备" selectOptions="_buildInISO4217" controlType="Combobox" cellType="Measure" appId="_GBC_b3f4f88802a54b1da539ba2563000c5c"/>
      <m:placeholder xlName="_PLD_31bfbbc8809c484e8788c004875b73f7" addr="T0R0C0S2_1"/>
      <m:placeholder xlName="_PLD_8a84de1ffd5c434f9fdf644972838511" addr="T0R0C1S2_1"/>
      <m:placeholder xlName="_PLD_98e8a6b913f14f6ca45be028ca7fe9b3" addr="T0R0C2S1_4"/>
      <m:placeholder xlName="_PLD_79cbcdb53d6946aa8890a6614ae8fa7c" addr="T0R0C6S2_1"/>
      <m:placeholder xlName="_PLD_e690235010e24ffc8796adbde1bb559c" addr="T0R1C2S1_1"/>
      <m:placeholder xlName="_PLD_d059ae406aed4a3a8f46c2d712ef508e" addr="T0R1C3S1_1"/>
      <m:placeholder xlName="_PLD_da780fd6da3646febcd85bf9dbd8b64e" addr="T0R1C4S1_1"/>
      <m:placeholder xlName="_PLD_d6a9b9888c1a49429189a2a72159c309" addr="T0R1C5S1_1"/>
      <m:tuple xlName="_TUP_7a0cb2b2adeb4af281afaba9c5959134" concept="clcid-pte:QiTaYingShouKuanHuaiZhangZhunBeiMingXi" default_row="2" addr="T0R2C">
        <m:item xlName="_GBC_1ed8d45db7cd42f1a2f33488ede4edca" concept="clcid-pte:QiTaYingShouKuanHuaiZhangZhunBeiMingXiLeiBie" label="其他应收款坏账准备明细-类别" addr="T0R2C0S1_1" appId="_GBC_b3f4f88802a54b1da539ba2563000c5c"/>
        <m:item xlName="_GBC_6301e26010c6499197a59229043b7248" concept="clcid-pte:QiTaYingShouKuanHuaiZhangZhunBeiMingXiFaShengE" label="其他应收款坏账准备明细-发生额" periodRef="本期期初数" mulRef="_GBC_1cb0ccc9627340bb9775e68ec1d11af7" unitRef="_GBC_14d59c8ccaef434da24604201125f1f0" addr="T0R2C1S1_1" formatStyle="Comma" appId="_GBC_b3f4f88802a54b1da539ba2563000c5c"/>
        <m:item xlName="_GBC_e6f5658bb7ff4c468289dbee141a6299" concept="clcid-pte:QiTaYingShouKuanHuaiZhangZhunBeiMingXiBenQiJiTi" label="其他应收款坏账准备明细-本期计提" mulRef="_GBC_1cb0ccc9627340bb9775e68ec1d11af7" unitRef="_GBC_14d59c8ccaef434da24604201125f1f0" addr="T0R2C2S1_1" formatStyle="Comma" appId="_GBC_b3f4f88802a54b1da539ba2563000c5c"/>
        <m:item xlName="_GBC_ee8afed20ca342198e9ff606052640d4" concept="clcid-pte:QiTaYingShouKuanHuaiZhangZhunBeiMingXiShouHuiHuoZhuanHui" label="其他应收款坏账准备明细-收回或转回" mulRef="_GBC_1cb0ccc9627340bb9775e68ec1d11af7" unitRef="_GBC_14d59c8ccaef434da24604201125f1f0" addr="T0R2C3S1_1" formatStyle="Comma" appId="_GBC_b3f4f88802a54b1da539ba2563000c5c"/>
        <m:item xlName="_GBC_be87a5e0efb549019cb584c42a69d9ab" concept="clcid-pte:QiTaYingShouKuanHuaiZhangZhunBeiMingXiZhuanXiaoHuoHeXiao" label="其他应收款坏账准备明细-转销或核销" mulRef="_GBC_1cb0ccc9627340bb9775e68ec1d11af7" unitRef="_GBC_14d59c8ccaef434da24604201125f1f0" addr="T0R2C4S1_1" formatStyle="Comma" appId="_GBC_b3f4f88802a54b1da539ba2563000c5c"/>
        <m:item xlName="_GBC_55d2c46b87034b38965fc71fa063cda1" concept="clcid-pte:QiTaYingShouKuanHuaiZhangZhunBeiMingXiQiTaBianDong" label="其他应收款坏账准备明细-其他变动" mulRef="_GBC_1cb0ccc9627340bb9775e68ec1d11af7" unitRef="_GBC_14d59c8ccaef434da24604201125f1f0" addr="T0R2C5S1_1" formatStyle="Comma" appId="_GBC_b3f4f88802a54b1da539ba2563000c5c"/>
        <m:item xlName="_GBC_1dc3d0bce5d84de4805f5387f099562e" concept="clcid-pte:QiTaYingShouKuanHuaiZhangZhunBeiMingXiFaShengE" label="其他应收款坏账准备明细-发生额" mulRef="_GBC_1cb0ccc9627340bb9775e68ec1d11af7" unitRef="_GBC_14d59c8ccaef434da24604201125f1f0" addr="T0R2C6S1_1" formatStyle="Comma" appId="_GBC_b3f4f88802a54b1da539ba2563000c5c"/>
      </m:tuple>
      <m:placeholder xlName="_PLD_338c13f365964c67a7e58b3e079f4171" addr="T0R4C0S1_1"/>
      <m:item xlName="_GBC_f8cc3f067e114c2d821ad016bcc345db" concept="clcid-pte:QiTaYingShouKuanJiTiDeHuaiZhangZhunBeiYuE" label="其他应收款计提的坏账准备余额" periodRef="本期期初数" mulRef="_GBC_1cb0ccc9627340bb9775e68ec1d11af7" unitRef="_GBC_14d59c8ccaef434da24604201125f1f0" addr="T0R4C1S1_1" formatStyle="Comma" appId="_GBC_b3f4f88802a54b1da539ba2563000c5c">
        <m:complexRule comparator="Eq" title="其他应收款计提的坏账准备余额@本期期初数" test=" $_GBC_6301e26010c6499197a59229043b7248" id="Cc9a82ecc6af34de191073f67f46af4f9"/>
      </m:item>
      <m:item xlName="_GBC_3c931ca76133441aa6e142140245d2ad" concept="clcid-pte:QiTaYingShouKuanHuaiZhangZhunBeiBenQiJiTi" label="其他应收款坏账准备本期计提" mulRef="_GBC_1cb0ccc9627340bb9775e68ec1d11af7" unitRef="_GBC_14d59c8ccaef434da24604201125f1f0" addr="T0R4C2S1_1" formatStyle="Comma" appId="_GBC_b3f4f88802a54b1da539ba2563000c5c">
        <m:complexRule comparator="Eq" title="其他应收款坏账准备本期计提" test=" $_GBC_e6f5658bb7ff4c468289dbee141a6299" id="C1fdda03e3a8a4734b73ffb5602e1fcca"/>
      </m:item>
      <m:item xlName="_GBC_0425b7996d074e6a900b0aceadb4ff53" concept="clcid-pte:QiTaYingShouKuanHuaiZhangZhunBeiBenQiShouHuiHuoZhuanHui" label="其他应收款坏账准备本期收回或转回" mulRef="_GBC_1cb0ccc9627340bb9775e68ec1d11af7" unitRef="_GBC_14d59c8ccaef434da24604201125f1f0" addr="T0R4C3S1_1" formatStyle="Comma" appId="_GBC_b3f4f88802a54b1da539ba2563000c5c">
        <m:complexRule comparator="Eq" title="其他应收款坏账准备本期收回或转回" test=" $_GBC_ee8afed20ca342198e9ff606052640d4" id="C2e83e2170e62420ea2f109c4c5b6e51f"/>
      </m:item>
      <m:item xlName="_GBC_351b101c792f4734ab7e92c4378db5cc" concept="clcid-pte:QiTaYingShouKuanHuaiZhangZhunBeiBenQiZhuanXiaoHuoHeXiao" label="其他应收款坏账准备本期转销或核销" mulRef="_GBC_1cb0ccc9627340bb9775e68ec1d11af7" unitRef="_GBC_14d59c8ccaef434da24604201125f1f0" addr="T0R4C4S1_1" formatStyle="Comma" appId="_GBC_b3f4f88802a54b1da539ba2563000c5c">
        <m:complexRule comparator="Eq" title="其他应收款坏账准备本期转销或核销" test=" $_GBC_be87a5e0efb549019cb584c42a69d9ab" id="C74976d30e01546ccb5b384146166edae"/>
      </m:item>
      <m:item xlName="_GBC_30da3b703585403ca7cde5d61ac28adb" concept="clcid-pte:QiTaYingShouKuanHuaiZhangZhunBeiBenQiQiTaBianDong" label="其他应收款坏账准备本期其他变动" mulRef="_GBC_1cb0ccc9627340bb9775e68ec1d11af7" unitRef="_GBC_14d59c8ccaef434da24604201125f1f0" addr="T0R4C5S1_1" formatStyle="Comma" appId="_GBC_b3f4f88802a54b1da539ba2563000c5c"/>
      <m:item xlName="_GBC_a1baeaf1f2a74440b96714785b9db8fd" concept="clcid-pte:QiTaYingShouKuanJiTiDeHuaiZhangZhunBeiYuE" label="其他应收款计提的坏账准备余额" mulRef="_GBC_1cb0ccc9627340bb9775e68ec1d11af7" unitRef="_GBC_14d59c8ccaef434da24604201125f1f0" addr="T0R4C6S1_1" formatStyle="Comma" appId="_GBC_b3f4f88802a54b1da539ba2563000c5c">
        <m:complexRule comparator="Eq" title="其他应收款计提的坏账准备余额" test=" $_GBC_1dc3d0bce5d84de4805f5387f099562e" id="C281421b2abd14f099b63d5c625f66f4b"/>
      </m:item>
      <m:item xlName="_GBC_766264a4e81b4ae6885d7f965ebbcd08" concept="clcid-ci-ar:clcid-ci-ar_ShiFouShiYongQiZhongBenQiQiTaYingShouZhangKuanHuaiZhangZhunBeiShouHuiHuoZhuanHuiJinEZhongYaoDe" label="是否适用：其中本期其他应收账款坏账准备收回或转回金额重要的" selectOptions="_buildInAppliance" controlType="CustomCheckbox" cRanges="[{&quot;StartName&quot;:&quot;_GBC_766264a4e81b4ae6885d7f965ebbcd08&quot;,&quot;EndName&quot;:&quot;_GBC_d8cb1a6220084219ad5ebb2821c462ea&quot;,&quot;CType&quot;:1}]"/>
      <m:item xlName="_GBC_903d472014ee418db60bc082965f047c" concept="clcid-ci-ar:DanWeiZhuanHuiHuoShouHuiQingKuang" label="单位：转回或收回情况" selectOptions="_buildInScales" controlType="Combobox" cellType="Scale" appId="_GBC_766264a4e81b4ae6885d7f965ebbcd08"/>
      <m:item xlName="_GBC_8a7d8aeba4564360b2eca56cc1e36f7e" concept="clcid-ci-ar:BiZhongZhuanHuiHuoShouHuiQingKuang" label="币种：转回或收回情况" selectOptions="_buildInISO4217" controlType="Combobox" cellType="Measure" appId="_GBC_766264a4e81b4ae6885d7f965ebbcd08"/>
      <m:placeholder xlName="_PLD_44c76bab8fa04e8dbbaac07155287365" addr="T1R0C0S1_1"/>
      <m:placeholder xlName="_PLD_ceff436de1e641ffbe7f7db4013aed68" addr="T1R0C1S1_1"/>
      <m:placeholder xlName="_PLD_d6456370a45b40e48fef7ef027b23aa4" addr="T1R0C2S1_1"/>
      <m:tuple xlName="_TUP_c7dc124911374abd937533ce443c95b2" concept="clcid-pte:ZhuanHuiHuoShouHuiDeQiTaYingShouZhangKuanMingXi" default_row="2" addr="T1R1C">
        <m:item xlName="_GBC_f105fd608a0c4387a1da86f3339e1616" concept="clcid-pte:ZhuanHuiHuoShouHuiDeQiTaYingShouZhangKuanMingXiDanWeiMingCheng" label="转回或收回的其他应收账款明细-单位名称" addr="T1R1C0S1_1" appId="_GBC_766264a4e81b4ae6885d7f965ebbcd08"/>
        <m:item xlName="_GBC_2e2641e695a341ab8bf498b3330c53af" concept="clcid-pte:ZhuanHuiHuoShouHuiDeQiTaYingShouZhangKuanMingXiZhuanHuiHuoShouHuiJinE" label="转回或收回的其他应收账款明细-转回或收回金额" mulRef="_GBC_903d472014ee418db60bc082965f047c" unitRef="_GBC_8a7d8aeba4564360b2eca56cc1e36f7e" addr="T1R1C1S1_1" formatStyle="Comma" appId="_GBC_766264a4e81b4ae6885d7f965ebbcd08"/>
        <m:item xlName="_GBC_123968a1a2cd42209fd46641961f4e20" concept="clcid-pte:ZhuanHuiHuoShouHuiDeQiTaYingShouZhangKuanMingXiShouHuiFangShi" label="转回或收回的其他应收账款明细-收回方式" addr="T1R1C2S1_1" appId="_GBC_766264a4e81b4ae6885d7f965ebbcd08"/>
      </m:tuple>
      <m:placeholder xlName="_PLD_0700f6da01e14337815745fa9d9e8586" addr="T1R3C0S1_1"/>
      <m:item xlName="_GBC_d8cb1a6220084219ad5ebb2821c462ea" concept="clcid-pte:BenBaoGaoQiQiTaYingShouKuanHuaiZhangZhunBeiZhuanHuiHuoShouHuiJinEHeJi" label="本报告期其他应收款坏账准备转回或收回金额合计" mulRef="_GBC_903d472014ee418db60bc082965f047c" unitRef="_GBC_8a7d8aeba4564360b2eca56cc1e36f7e" addr="T1R3C1S1_1" formatStyle="Comma" appId="_GBC_766264a4e81b4ae6885d7f965ebbcd08">
        <m:complexRule comparator="Eq" title="本报告期其他应收款坏账准备转回或收回金额合计" test=" $_GBC_2e2641e695a341ab8bf498b3330c53af" id="C4c89e245e525418a86ea2d5bd186f60c"/>
      </m:item>
    </m:section>
    <m:section xlName="_GBC_ca12851378c64f09a5335b8a527df46f" title="本报告期实际核销的其他应收款情况" rules="R2015_R11_006" convertSummaryRule="NoConvert" helpId="112001051">
      <m:item xlName="_GBC_99c0ad513e2447ba8b2267c169be5583" concept="clcid-ci-ar:ShiFouShiYongBenQiShiJiHeXiaoDeQiTaYingShouKuanQingKuang" label="是否适用：本期实际核销的其他应收款情况" selectOptions="_buildInAppliance" controlType="CustomCheckbox" cRanges="{&quot;StartName&quot;:&quot;_GBC_99c0ad513e2447ba8b2267c169be5583&quot;,&quot;EndName&quot;:&quot;_GBC_5f729cb6aaab4ee28a59ca9ad9d809a5&quot;,&quot;CType&quot;:1,&quot;DisplayText&quot;:null}"/>
      <m:item xlName="_GBC_ab04a19baf3a48968d04429328fe957d" concept="clcid-ci-ar:DanWeiCaiWuFuZhuBenBaoGaoQiShiJiHeXiaoDeQiTaYingShouKuanXiangQingKuang" label="单位：财务附注：本报告期实际核销的其他应收款项情况" selectOptions="_buildInScales" controlType="Combobox" cellType="Scale" appId="_GBC_99c0ad513e2447ba8b2267c169be5583"/>
      <m:item xlName="_GBC_8d43ab8d3f0a44d4baf90271ebef5e19" concept="clcid-ci-ar:BiZhongCaiWuFuZhuBenBaoGaoQiShiJiHeXiaoDeQiTaYingShouKuanXiangQingKuang" label="币种：财务附注：本报告期实际核销的其他应收款项情况" selectOptions="_buildInISO4217" controlType="Combobox" cellType="Measure" appId="_GBC_99c0ad513e2447ba8b2267c169be5583"/>
      <m:placeholder xlName="_PLD_ce3497345055466bbb17c2159400fd42" addr="T0R0C0S1_1"/>
      <m:placeholder xlName="_PLD_c988ea530cd249f990ba3faf444225f8" addr="T0R0C1S1_1"/>
      <m:placeholder xlName="_PLD_57d67837e5d3466f81ee33c45729c7fd" addr="T0R1C0S1_1"/>
      <m:item xlName="_GBC_52e7e831abfb41608360644e6b10f3c8" concept="clcid-pte:QiTaYingShouKuanQianKuanChongXiaoHuaiZhangHeJi" label="其他应收款欠款冲销坏帐合计" mulRef="_GBC_ab04a19baf3a48968d04429328fe957d" unitRef="_GBC_8d43ab8d3f0a44d4baf90271ebef5e19" addr="T0R1C1S1_1" formatStyle="Comma" appId="_GBC_99c0ad513e2447ba8b2267c169be5583"/>
      <m:item xlName="_GBC_18f34d9f47f24d07986c3f3568dd2c70" concept="clcid-ci-ar:ShiFouShiYongQiZhongZhongYaoDeQiTaYingShouKuanHeXiaoQingKuang" label="是否适用：其中重要的其他应收款核销情况" selectOptions="_buildInAppliance" controlType="CustomCheckbox" cRanges="{&quot;StartName&quot;:&quot;_GBC_18f34d9f47f24d07986c3f3568dd2c70&quot;,&quot;EndName&quot;:&quot;_GBC_e748be04873c4f55b6253261eb175292&quot;,&quot;CType&quot;:1,&quot;DisplayText&quot;:null}"/>
      <m:item xlName="_GBC_58b8232631dd43c18b266ba317191383" concept="clcid-ci-ar:DanWeiCaiWuFuZhuZhongYaoDeQiTaYingShouZhangKuanHeXiaoQingKuang" label="单位：财务附注：重要的其他应收账款核销情况" selectOptions="_buildInScales" controlType="Combobox" cellType="Scale" appId="_GBC_18f34d9f47f24d07986c3f3568dd2c70"/>
      <m:item xlName="_GBC_3422ef03e82643b3a4448a5c42317b14" concept="clcid-ci-ar:BiZhongCaiWuFuZhuZhongYaoDeQiTaYingShouZhangKuanHeXiaoQingKuang" label="币种：财务附注：重要的其他应收账款核销情况" selectOptions="_buildInISO4217" controlType="Combobox" cellType="Measure" appId="_GBC_18f34d9f47f24d07986c3f3568dd2c70"/>
      <m:placeholder xlName="_PLD_6e7f1d3b561545efbe20b81b430eb816" addr="T1R0C0S1_1"/>
      <m:placeholder xlName="_PLD_cdb271a90e8d46bf9c03193e5a12a027" addr="T1R0C1S1_1"/>
      <m:placeholder xlName="_PLD_007ce649cdec48648bd01d403c32e595" addr="T1R0C2S1_1"/>
      <m:placeholder xlName="_PLD_9939ef531918454989290a239395084a" addr="T1R0C3S1_1"/>
      <m:placeholder xlName="_PLD_52663048b4d5485cb06d8bdae150f60f" addr="T1R0C4S1_1"/>
      <m:placeholder xlName="_PLD_208b44192d33453ab01ad8fbb77b718d" addr="T1R0C5S1_1"/>
      <m:tuple xlName="_GBC_0d9a0e262bb7493fa6d21136a6413786" concept="clcid-pte:ZhongYaoDeQiTaYingShouZhangKuanHeXiaoMingXi" default_row="2" addr="T1R1C">
        <m:item xlName="_GBC_b73d49d02a6c438cafca6b866ef63ba6" concept="clcid-pte:ZhongYaoDeQiTaYingShouZhangKuanHeXiaoMingXiDanWeiMingCheng" label="重要的其他应收账款核销明细-单位名称" addr="T1R1C0S1_1" appId="_GBC_18f34d9f47f24d07986c3f3568dd2c70"/>
        <m:item xlName="_GBC_c8ba1fae46b84104ab52e9d8cc63c797" concept="clcid-pte:ZhongYaoDeQiTaYingShouZhangKuanHeXiaoMingXiQiTaYingShouKuanXingZhi" label="重要的其他应收账款核销明细-其他应收款性质" addr="T1R1C1S1_1" appId="_GBC_18f34d9f47f24d07986c3f3568dd2c70"/>
        <m:item xlName="_GBC_e1705486c222421d98e6d8ff284adb03" concept="clcid-pte:ZhongYaoDeQiTaYingShouZhangKuanHeXiaoMingXiHeXiaoJinE" label="重要的其他应收账款核销明细-核销金额" mulRef="_GBC_58b8232631dd43c18b266ba317191383" unitRef="_GBC_3422ef03e82643b3a4448a5c42317b14" addr="T1R1C2S1_1" formatStyle="Comma" appId="_GBC_18f34d9f47f24d07986c3f3568dd2c70"/>
        <m:item xlName="_GBC_bb2cb59999c8435eb39523416db91755" concept="clcid-pte:ZhongYaoDeQiTaYingShouZhangKuanHeXiaoMingXiHeXiaoYuanYin" label="重要的其他应收账款核销明细-核销原因" addr="T1R1C3S1_1" appId="_GBC_18f34d9f47f24d07986c3f3568dd2c70"/>
        <m:item xlName="_GBC_3e3cb77fdc0c415c882bd298c0092469" concept="clcid-pte:ZhongYaoDeQiTaYingShouZhangKuanHeXiaoMingXiLvXingDeHeXiaoChengXu" label="重要的其他应收账款核销明细-履行的核销程序" addr="T1R1C4S1_1" appId="_GBC_18f34d9f47f24d07986c3f3568dd2c70"/>
        <m:item xlName="_GBC_b3461debae81456c9c7405900ba4b9be" concept="clcid-pte:ZhongYaoDeQiTaYingShouZhangKuanHeXiaoMingXiKuanXiangShiFouYinGuanLianJiaoYiChanSheng" label="重要的其他应收账款核销明细-款项是否因关联交易产生" selectOptions="_buildInYesNo" addr="T1R1C5S1_1" controlType="Combobox" appId="_GBC_18f34d9f47f24d07986c3f3568dd2c70"/>
      </m:tuple>
      <m:placeholder xlName="_PLD_14b6341de19744b497b89431242fed34" addr="T1R3C0S1_1"/>
      <m:item xlName="_GBC_e748be04873c4f55b6253261eb175292" concept="clcid-pte:ZhongYaoDeQiTaYingShouZhangKuanHeXiaoJinEHeJi" label="重要的其他应收账款核销金额合计" mulRef="_GBC_58b8232631dd43c18b266ba317191383" unitRef="_GBC_3422ef03e82643b3a4448a5c42317b14" addr="T1R3C2S1_1" formatStyle="Comma" appId="_GBC_18f34d9f47f24d07986c3f3568dd2c70">
        <m:complexRule comparator="Eq" title="重要的其他应收账款核销金额合计" test=" $_GBC_e1705486c222421d98e6d8ff284adb03" id="C8d53445b1fcb4fe78814a1fed3f06f5b"/>
      </m:item>
      <m:item xlName="_GBC_04f9a50bf0244ec4a466448325e84289" concept="clcid-ci-ar:ShiFouShiYongQiTaYingShouKuanChongXiaoHuaiZhangMingXiDeShuoMing" label="是否适用：其他应收款冲销坏帐明细的说明" selectOptions="_buildInAppliance" controlType="CustomCheckbox" cRanges="{&quot;StartName&quot;:&quot;_GBC_04f9a50bf0244ec4a466448325e84289&quot;,&quot;EndName&quot;:&quot;_GBC_5f729cb6aaab4ee28a59ca9ad9d809a5&quot;,&quot;CType&quot;:1,&quot;DisplayText&quot;:null}"/>
      <m:item xlName="_GBC_5f729cb6aaab4ee28a59ca9ad9d809a5" concept="clcid-pte:QiTaYingShouKuanChongXiaoHuaiZhangMingXiDeShuoMing" label="其他应收款冲销坏帐明细的说明" appId="_GBC_04f9a50bf0244ec4a466448325e84289"/>
    </m:section>
    <m:section xlName="_GBC_a83a3fc7866445d68738701d3998ac0b" title="按欠款方归集的期末余额其中前五名的其他应收款单位情况" rules="R2015_R11_006" helpId="112001051">
      <m:item xlName="_GBC_1ad831584f90441b93cce7d9b7baa3c9" concept="clcid-ci-ar:ShiFouShiYongAnQianKuanFangGuiJiDeQiMoYuEQianWuMingDeQiTaYingShouKuanQingKuang" label="是否适用：按欠款方归集的期末余额前五名的其他应收款情况" selectOptions="_buildInAppliance" controlType="CustomCheckbox" cRanges="{&quot;StartName&quot;:&quot;_GBC_1ad831584f90441b93cce7d9b7baa3c9&quot;,&quot;EndName&quot;:&quot;_GBC_6a102f5da468422087528e205f066ad6&quot;,&quot;CType&quot;:1,&quot;DisplayText&quot;:null}"/>
      <m:item xlName="_GBC_1f85b3036b0644cbaf6c33311b7f159d" concept="clcid-ci-ar:DanWeiCaiWuFuZhuQiTaYingShouZhangKuanQianWuMingQianKuanQingKuang" label="单位财务附注：其他应收账款前五名欠款情况" selectOptions="_buildInScales" controlType="Combobox" cellType="Scale" appId="_GBC_1ad831584f90441b93cce7d9b7baa3c9"/>
      <m:item xlName="_GBC_bc5cf48306144a92af62fef51b293c5a" concept="clcid-ci-ar:BiZhongCaiWuFuZhuQiTaYingShouZhangKuanQianWuMingQianKuanQingKuang" label="币种：财务附注：其他应收账款前五名欠款情况" selectOptions="_buildInISO4217" controlType="Combobox" cellType="Measure" appId="_GBC_1ad831584f90441b93cce7d9b7baa3c9"/>
      <m:placeholder xlName="_PLD_6d371f7abd044db6abe05c7f74810d89" addr="T0R0C0S1_1"/>
      <m:placeholder xlName="_PLD_538171446ab849ca976672ecf5055c60" addr="T0R0C1S1_1"/>
      <m:placeholder xlName="_PLD_9561b3d624ee40c28568fb322a981ebc" addr="T0R0C2S1_1"/>
      <m:placeholder xlName="_PLD_a97392b37d5d4c709a23cfdece48161b" addr="T0R0C3S1_1"/>
      <m:placeholder xlName="_PLD_e2774c827e314521821234a0e399c2c1" addr="T0R0C4S1_1"/>
      <m:placeholder xlName="_PLD_ac7ac1a39d1a46eb9269fc6979d54f6f" addr="T0R0C5S1_1"/>
      <m:tuple xlName="_GBC_a3b4ad6ea89146a79c37c3807ef7a6fd" concept="clcid-pte:QiTaYingShouKuanQianKuanHuMingXi" default_row="2" addr="T0R1C">
        <m:item xlName="_GBC_fd92b3ceab734a6798178f5bb1b45aef" concept="clcid-pte:QiTaYingShouKuanQianKuanHuMingCheng" label="其他应收款欠款户名称" addr="T0R1C0S1_1" appId="_GBC_1ad831584f90441b93cce7d9b7baa3c9"/>
        <m:item xlName="_GBC_60b532219e4245f68e3a2d48b8e4552a" concept="clcid-pte:QiTaYingShouKuanQianKuanHuKuanXiangDeXingZhi" label="其他应收款欠款户款项的性质" addr="T0R1C1S1_1" appId="_GBC_1ad831584f90441b93cce7d9b7baa3c9"/>
        <m:item xlName="_GBC_7bd51dd4729f4e96adb83d3790baa46c" concept="clcid-pte:QiTaYingShouKuanQianKuanHuQianKuanJinE" label="其他应收款欠款户欠款金额" mulRef="_GBC_1f85b3036b0644cbaf6c33311b7f159d" unitRef="_GBC_bc5cf48306144a92af62fef51b293c5a" addr="T0R1C2S1_1" formatStyle="Comma" appId="_GBC_1ad831584f90441b93cce7d9b7baa3c9"/>
        <m:item xlName="_GBC_a72e58f7564b4a268d1ec7075e54f390" concept="clcid-pte:QiTaYingShouKuanQianKuanHuQianKuanShiJian" label="其他应收款欠款户欠款时间" addr="T0R1C3S1_1" appId="_GBC_1ad831584f90441b93cce7d9b7baa3c9"/>
        <m:item xlName="_GBC_508cb5a80f7f456eb7a08c603840f496" concept="clcid-pte:QiTaYingShouZhangKuanQianKuanHuZhanQiTaYingShouZhangKuanZongEDeBiLi" label="其他应收帐款欠款户占其他应收账款总额的比例" addr="T0R1C4S1_1" baseScale="0.01" formatStyle="Comma" appId="_GBC_1ad831584f90441b93cce7d9b7baa3c9"/>
        <m:item xlName="_GBC_c08f10820af64b7ebd3fd9d2e7b5eec7" concept="clcid-pte:QiTaYingShouKuanQianKuanHuHuaiZhangZhunBeiQiMoYuE" label="其他应收款欠款户坏账准备期末余额" mulRef="_GBC_1f85b3036b0644cbaf6c33311b7f159d" unitRef="_GBC_bc5cf48306144a92af62fef51b293c5a" addr="T0R1C5S1_1" formatStyle="Comma" appId="_GBC_1ad831584f90441b93cce7d9b7baa3c9"/>
      </m:tuple>
      <m:placeholder xlName="_PLD_f229cb1d3424499a96c618f3911226c3" addr="T0R3C0S1_1"/>
      <m:item xlName="_GBC_5972f5a7c528481b94ab5bc63b5200da" concept="clcid-pte:QiTaYingShouKuanQianKuanHuQianKuanJinEHeJi" label="其他应收款欠款户欠款金额合计" mulRef="_GBC_1f85b3036b0644cbaf6c33311b7f159d" unitRef="_GBC_bc5cf48306144a92af62fef51b293c5a" addr="T0R3C2S1_1" formatStyle="Comma" appId="_GBC_1ad831584f90441b93cce7d9b7baa3c9">
        <m:complexRule comparator="Eq" title="其他应收款欠款户欠款金额合计" test=" $_GBC_7bd51dd4729f4e96adb83d3790baa46c" id="C4d6571d79849436189a5cce4095faa52"/>
      </m:item>
      <m:item xlName="_GBC_8ab02b2804ea44f68d179b78743854c7" concept="clcid-pte:QiTaYingShouZhangKuanQianKuanHuZhanQiTaYingShouZhangKuanZongEDeBiLiHeJi" label="其他应收帐款欠款户占其他应收账款总额的比例合计" addr="T0R3C4S1_1" baseScale="0.01" formatStyle="Comma" appId="_GBC_1ad831584f90441b93cce7d9b7baa3c9">
        <m:complexRule comparator="Eq" title="其他应收帐款欠款户占其他应收账款总额的比例合计" test=" $_GBC_508cb5a80f7f456eb7a08c603840f496" id="C545352e2b71d45a98938f4fdf393f709"/>
      </m:item>
      <m:item xlName="_GBC_6a102f5da468422087528e205f066ad6" concept="clcid-pte:QiTaYingShouKuanQianKuanHuHuaiZhangZhunBeiQiMoYuEHeJi" label="其他应收款欠款户坏账准备期末余额合计" mulRef="_GBC_1f85b3036b0644cbaf6c33311b7f159d" unitRef="_GBC_bc5cf48306144a92af62fef51b293c5a" addr="T0R3C5S1_1" formatStyle="Comma" appId="_GBC_1ad831584f90441b93cce7d9b7baa3c9">
        <m:complexRule comparator="Eq" title="其他应收款欠款户坏账准备期末余额合计" test=" $_GBC_c08f10820af64b7ebd3fd9d2e7b5eec7" id="Ce2c4930f75a1426d828db378a28c4fac"/>
      </m:item>
    </m:section>
    <m:section xlName="_GBC_0b136aef44064ce4880a47aef5cda04d" title="按应收金额确认的政府补助" rules="R2015_R11_006" helpId="112001051" helpText="注：公司未能在预计时点收到预计金额的政府补助，应说明原因。">
      <m:item xlName="_GBC_bfa30ddd81f643f9b7a3d1064d505e6a" concept="clcid-ci-ar:ShiFouShiYongSheJiZhengFuBuZhuDeYingShouKuanXiang" label="是否适用：涉及政府补助的应收款项" selectOptions="_buildInAppliance" controlType="CustomCheckbox" cRanges="{&quot;StartName&quot;:&quot;_GBC_bfa30ddd81f643f9b7a3d1064d505e6a&quot;,&quot;EndName&quot;:&quot;_GBC_6dc1096f9fea43cdbbbb10ba5780581d&quot;,&quot;CType&quot;:1,&quot;DisplayText&quot;:null}"/>
      <m:item xlName="_GBC_3f6163fdb83c41fdbcb61740b37285b9" concept="clcid-ci-ar:DanWeiCaiWuFuZhuAnYingShouJinEQueRenDeZhengFuBuZhu" label="单位：财务附注：按应收金额确认的政府补助" selectOptions="_buildInScales" controlType="Combobox" cellType="Scale" appId="_GBC_bfa30ddd81f643f9b7a3d1064d505e6a"/>
      <m:item xlName="_GBC_ab0316ed53e54fc4b1b6aeb63dff3b18" concept="clcid-ci-ar:BiZhongCaiWuFuZhuAnYingShouJinEQueRenDeZhengFuBuZhu" label="币种：财务附注：按应收金额确认的政府补助" selectOptions="_buildInISO4217" controlType="Combobox" cellType="Measure" appId="_GBC_bfa30ddd81f643f9b7a3d1064d505e6a"/>
      <m:placeholder xlName="_PLD_e66e6eeece1d43718d4689f5c739778d" addr="T0R0C0S1_1"/>
      <m:placeholder xlName="_PLD_7b40da60580d4bed8a4193729c2f6111" addr="T0R0C1S1_1"/>
      <m:placeholder xlName="_PLD_d4837fa97d31422c92a669c29ea2350c" addr="T0R0C2S1_1"/>
      <m:placeholder xlName="_PLD_c38cd161794f48e682ab33036b813244" addr="T0R0C3S1_1"/>
      <m:placeholder xlName="_PLD_30f56f4ba8e54377843ab193e665845f" addr="T0R0C4S1_1"/>
      <m:tuple xlName="_GBC_fc3af1b6e8d74e55bf16d00e09567416" concept="clcid-pte:AnYingShouJinEQueRenDeZhengFuBuZhuMingXi" default_row="2" addr="T0R1C">
        <m:item xlName="_GBC_9103f5ec82af4b94a3c714a75a02076f" concept="clcid-pte:AnYingShouJinEQueRenDeZhengFuBuZhuDanWeiMingCheng" label="按应收金额确认的政府补助-单位名称" addr="T0R1C0S1_1" appId="_GBC_bfa30ddd81f643f9b7a3d1064d505e6a"/>
        <m:item xlName="_GBC_a7cada4dc02543e5b50af6b8acdbf921" concept="clcid-pte:AnYingShouJinEQueRenDeZhengFuBuZhuXiangMuMingCheng" label="按应收金额确认的政府补助-政府补助项目名称" addr="T0R1C1S1_1" appId="_GBC_bfa30ddd81f643f9b7a3d1064d505e6a"/>
        <m:item xlName="_GBC_bb55f55120ff404cb126c8d7862d7e1b" concept="clcid-pte:AnYingShouJinEQueRenDeZhengFuBuZhu" label="按应收金额确认的政府补助" mulRef="_GBC_3f6163fdb83c41fdbcb61740b37285b9" unitRef="_GBC_ab0316ed53e54fc4b1b6aeb63dff3b18" addr="T0R1C2S1_1" formatStyle="Comma" appId="_GBC_bfa30ddd81f643f9b7a3d1064d505e6a"/>
        <m:item xlName="_GBC_021af7350dd44dd78921047566b47794" concept="clcid-pte:AnYingShouJinEQueRenDeZhengFuBuZhuQiMoZhangLing" label="按应收金额确认的政府补助-期末账龄" addr="T0R1C3S1_1" appId="_GBC_bfa30ddd81f643f9b7a3d1064d505e6a"/>
        <m:item xlName="_GBC_78c97dd82dcc4b189a7cdd4bc9724c4c" concept="clcid-pte:AnYingShouJinEQueRenDeZhengFuBuZhuYuJiShouQuDeShiJianJinEJiYiJu" label="按应收金额确认的政府补助-预计收取的时间、金额及依据" addr="T0R1C4S1_1" appId="_GBC_bfa30ddd81f643f9b7a3d1064d505e6a"/>
      </m:tuple>
      <m:item xlName="_GBC_6dc1096f9fea43cdbbbb10ba5780581d" concept="clcid-pte:SheJiZhengFuBuZhuDeYingShouKuanXiangDeShuoMing" label="涉及政府补助的应收款项说明" appId="_GBC_bfa30ddd81f643f9b7a3d1064d505e6a"/>
    </m:section>
    <m:section xlName="_GBC_73268e67b3d94deab59672a03d2cbd2a" title="因金融资产转移而终止确认的其他应收款" rules="R2015_R11_006" helpId="112001051" helpText="注：说明金融资产转移的方式、终止确认的其他应收款金额，及与终止确认相关的利得或损失。">
      <m:item xlName="_GBC_0451c8b8783146d3a8ab851341e7f35b" concept="clcid-ci-ar:ShiFouShiYongYinJinRongZiChanZhuanYiErZhongZhiQueRenDeQiTaYingShouKuan" label="是否适用：因金融资产转移而终止确认的其他应收款" selectOptions="_buildInAppliance" controlType="CustomCheckbox" cRanges="{&quot;StartName&quot;:&quot;_GBC_0451c8b8783146d3a8ab851341e7f35b&quot;,&quot;EndName&quot;:&quot;_GBC_1046642310954a049bea45b9f30053aa&quot;,&quot;CType&quot;:1,&quot;DisplayText&quot;:null}"/>
      <m:item xlName="_GBC_1046642310954a049bea45b9f30053aa" concept="clcid-pte:YinJinRongZiChanZhuanYiErZhongZhiQueRenDeQiTaYingShouKuan" label="因金融资产转移而终止确认的其他应收款" formatStyle="Comma" appId="_GBC_0451c8b8783146d3a8ab851341e7f35b"/>
    </m:section>
    <m:section xlName="_GBC_05496beed0c54ab3b5c0e91297ee374e" title="转移其他应收款且继续涉入形成的资产、负债金额的说明" rules="R2015_R11_006" helpId="112001051" helpText="注：说明金融资产转移的方式、分项列示继续涉入形成的资产、负债的金额。">
      <m:item xlName="_GBC_e74d63017ee7420b83e7544117beeac6" concept="clcid-ci-ar:ShiFouShiYongZhuanYiQiTaYingShouKuanQieJiXuSheRuXingChengDeZiChanFuZhaiDeJinE" label="是否适用：转移其他应收款且继续涉入形成的资产、负债的金额" selectOptions="_buildInAppliance" controlType="CustomCheckbox" cRanges="{&quot;StartName&quot;:&quot;_GBC_e74d63017ee7420b83e7544117beeac6&quot;,&quot;EndName&quot;:&quot;_GBC_6adfcad12d2747908d3a01b3cadd01cd&quot;,&quot;CType&quot;:1,&quot;DisplayText&quot;:null}"/>
      <m:item xlName="_GBC_6adfcad12d2747908d3a01b3cadd01cd" concept="clcid-pte:ZhuanYiQiTaYingShouKuanQieJiXuSheRuXingChengDeZiChanFuZhaiJinEShuoMing" label="转移其他应收款且继续涉入形成的资产、负债金额的说明" appId="_GBC_e74d63017ee7420b83e7544117beeac6"/>
    </m:section>
    <m:section xlName="_GBC_de4246046d754793a6a2db96dd5bb245" title="其他应收款其他说明" rules="R2015_R11_006" helpId="112001051">
      <m:item xlName="_GBC_55d570440c184744bd13a4938ba488d1" concept="clcid-ci-ar:ShiFouShiYongQiTaYingShouKuanDeQiTaShuoMing" label="是否适用：其他应收款的其他说明" selectOptions="_buildInAppliance" controlType="CustomCheckbox" cRanges="{&quot;StartName&quot;:&quot;_GBC_55d570440c184744bd13a4938ba488d1&quot;,&quot;EndName&quot;:&quot;_GBC_40e60fff300549cfb19532b4da820b49&quot;,&quot;CType&quot;:1,&quot;DisplayText&quot;:null}"/>
      <m:item xlName="_GBC_40e60fff300549cfb19532b4da820b49" concept="clcid-pte:QiTaYingShouKuanDeQiTaShuoMing" label="其他应收款的其他说明" appId="_GBC_55d570440c184744bd13a4938ba488d1"/>
    </m:section>
    <m:section xlName="_GBC_1953ea50f68542df9fa36d84b994cf17" title="存货分类 " rules="R2015_R11_007" convertSummaryRule="NoConvert" helpId="112001053">
      <m:item xlName="_GBC_06c46a03a226418fb8e5e84326c47750" concept="clcid-ci-ar:ShiFouShiYongCunHuoFenLei" label="是否适用：存货分类" selectOptions="_buildInAppliance" controlType="CustomCheckbox" cRanges="[{&quot;StartName&quot;:&quot;_GBC_06c46a03a226418fb8e5e84326c47750&quot;,&quot;EndName&quot;:&quot;_GBC_63c79fdaab7c451cb21e7ffffdbbb8f9&quot;,&quot;CType&quot;:1}]"/>
      <m:item xlName="_GBC_cc6e1ec3be0141cbb25cf999a897b29b" concept="clcid-ci-ar:DanWeiCaiWuFuZhuCunHuoFenLei" label="单位：财务附注：存货分类" selectOptions="_buildInScales" controlType="Combobox" cellType="Scale" appId="_GBC_06c46a03a226418fb8e5e84326c47750"/>
      <m:item xlName="_GBC_d85b2ad6790d4fa2ace1d773934cd4b3" concept="clcid-ci-ar:BiZhongCaiWuFuZhuCunHuoFenLei" label="币种：财务附注：存货分类" selectOptions="_buildInISO4217" controlType="Combobox" cellType="Measure" appId="_GBC_06c46a03a226418fb8e5e84326c47750"/>
      <m:placeholder xlName="_PLD_48d855cd658044389f8d1cbe0016be78" addr="T0R0C0S2_1"/>
      <m:placeholder xlName="_PLD_586606f595aa4fff8214f9b6209260b6" addr="T0R0C1S1_3"/>
      <m:placeholder xlName="_PLD_a1bbc97888494137a790328386c2b9d8" addr="T0R0C4S1_3"/>
      <m:placeholder xlName="_PLD_60368d835c2843d99b5061f4c84f8d8e" addr="T0R1C1S1_1"/>
      <m:placeholder xlName="_PLD_b5c53ce2a5004db988af9e72594f6b6a" addr="T0R1C2S1_1"/>
      <m:placeholder xlName="_PLD_f2691cf723784fbcbc9a900f61c6e250" addr="T0R1C3S1_1"/>
      <m:placeholder xlName="_PLD_df34ec94af0b441bab962cb42fe65b1a" addr="T0R1C4S1_1"/>
      <m:placeholder xlName="_PLD_7a42c47b54924b47b9e161d8fd9fb840" addr="T0R1C5S1_1"/>
      <m:placeholder xlName="_PLD_0db3a7f82db34583bb111dc2a8e88f8c" addr="T0R1C6S1_1"/>
      <m:placeholder xlName="_PLD_fca11404c29f48d0b5900b11850092d7" addr="T0R2C0S1_1"/>
      <m:item xlName="_GBC_b346c6bbc5c6418fa5a79bb381486c7e" concept="clcid-pte:YuanCaiLiaoZhangMianYuE" label="原材料帐面余额" mulRef="_GBC_cc6e1ec3be0141cbb25cf999a897b29b" unitRef="_GBC_d85b2ad6790d4fa2ace1d773934cd4b3" addr="T0R2C1S1_1" formatStyle="Comma" appId="_GBC_06c46a03a226418fb8e5e84326c47750"/>
      <m:item xlName="_GBC_914be8c5df0c48daac6785503d6c85de" concept="clcid-pte:YuanCaiLiaoDieJiaZhunBeiYuE" label="原材料跌价准备余额" mulRef="_GBC_cc6e1ec3be0141cbb25cf999a897b29b" unitRef="_GBC_d85b2ad6790d4fa2ace1d773934cd4b3" addr="T0R2C2S1_1" formatStyle="Comma" appId="_GBC_06c46a03a226418fb8e5e84326c47750"/>
      <m:item xlName="_GBC_54a2a3e1f4cc4b5f8cf058fd54a7a6b6" concept="clcid-pte:YuanCaiLiaoZhangMianJingE" label="原材料帐面净额" mulRef="_GBC_cc6e1ec3be0141cbb25cf999a897b29b" unitRef="_GBC_d85b2ad6790d4fa2ace1d773934cd4b3" addr="T0R2C3S1_1" formatStyle="Comma" appId="_GBC_06c46a03a226418fb8e5e84326c47750"/>
      <m:item xlName="_GBC_0c28315ec1644751bc3684f4bd636767" concept="clcid-pte:YuanCaiLiaoZhangMianYuE" label="原材料帐面余额" periodRef="本期期初数" mulRef="_GBC_cc6e1ec3be0141cbb25cf999a897b29b" unitRef="_GBC_d85b2ad6790d4fa2ace1d773934cd4b3" addr="T0R2C4S1_1" formatStyle="Comma" appId="_GBC_06c46a03a226418fb8e5e84326c47750"/>
      <m:item xlName="_GBC_43a6f5a5e10843fcb26399270f7beb62" concept="clcid-pte:YuanCaiLiaoDieJiaZhunBeiYuE" label="原材料跌价准备余额" periodRef="本期期初数" mulRef="_GBC_cc6e1ec3be0141cbb25cf999a897b29b" unitRef="_GBC_d85b2ad6790d4fa2ace1d773934cd4b3" addr="T0R2C5S1_1" formatStyle="Comma" appId="_GBC_06c46a03a226418fb8e5e84326c47750"/>
      <m:item xlName="_GBC_054ee17e3b1b403ba19ca9429d7689ed" concept="clcid-pte:YuanCaiLiaoZhangMianJingE" label="原材料帐面净额" periodRef="本期期初数" mulRef="_GBC_cc6e1ec3be0141cbb25cf999a897b29b" unitRef="_GBC_d85b2ad6790d4fa2ace1d773934cd4b3" addr="T0R2C6S1_1" formatStyle="Comma" appId="_GBC_06c46a03a226418fb8e5e84326c47750"/>
      <m:placeholder xlName="_PLD_fd1bed46838a4d5189ec9ce131230221" addr="T0R3C0S1_1"/>
      <m:item xlName="_GBC_de39908c4eb44070830443d709c7dd56" concept="clcid-pte:ZaiChanPinZhangMianYuE" label="在产品账面余额" mulRef="_GBC_cc6e1ec3be0141cbb25cf999a897b29b" unitRef="_GBC_d85b2ad6790d4fa2ace1d773934cd4b3" addr="T0R3C1S1_1" formatStyle="Comma" appId="_GBC_06c46a03a226418fb8e5e84326c47750"/>
      <m:item xlName="_GBC_453df9b2293b4f6dba7d180bfd2e148a" concept="clcid-pte:ZaiChanPinDieJiaZhunBei" label="在产品跌价准备" mulRef="_GBC_cc6e1ec3be0141cbb25cf999a897b29b" unitRef="_GBC_d85b2ad6790d4fa2ace1d773934cd4b3" addr="T0R3C2S1_1" formatStyle="Comma" appId="_GBC_06c46a03a226418fb8e5e84326c47750"/>
      <m:item xlName="_GBC_0bf6680940d0457e83fb93924cb04fc3" concept="clcid-pte:ZaiChanPinZhangMianJiaZhi" label="在产品账面价值" mulRef="_GBC_cc6e1ec3be0141cbb25cf999a897b29b" unitRef="_GBC_d85b2ad6790d4fa2ace1d773934cd4b3" addr="T0R3C3S1_1" formatStyle="Comma" appId="_GBC_06c46a03a226418fb8e5e84326c47750"/>
      <m:item xlName="_GBC_e27a6efa14d74ce99eb5c37bbc68de9a" concept="clcid-pte:ZaiChanPinZhangMianYuE" label="在产品账面余额" periodRef="本期期初数" mulRef="_GBC_cc6e1ec3be0141cbb25cf999a897b29b" unitRef="_GBC_d85b2ad6790d4fa2ace1d773934cd4b3" addr="T0R3C4S1_1" formatStyle="Comma" appId="_GBC_06c46a03a226418fb8e5e84326c47750"/>
      <m:item xlName="_GBC_f0557fdcf8fb4bfeaa4cbb866d364f3a" concept="clcid-pte:ZaiChanPinDieJiaZhunBei" label="在产品跌价准备" periodRef="本期期初数" mulRef="_GBC_cc6e1ec3be0141cbb25cf999a897b29b" unitRef="_GBC_d85b2ad6790d4fa2ace1d773934cd4b3" addr="T0R3C5S1_1" formatStyle="Comma" appId="_GBC_06c46a03a226418fb8e5e84326c47750"/>
      <m:item xlName="_GBC_b4b846ec997840d289e51edc061b6a38" concept="clcid-pte:ZaiChanPinZhangMianJiaZhi" label="在产品账面价值" periodRef="本期期初数" mulRef="_GBC_cc6e1ec3be0141cbb25cf999a897b29b" unitRef="_GBC_d85b2ad6790d4fa2ace1d773934cd4b3" addr="T0R3C6S1_1" formatStyle="Comma" appId="_GBC_06c46a03a226418fb8e5e84326c47750"/>
      <m:placeholder xlName="_PLD_f3ef3aac74534d258da438463abf925d" addr="T0R4C0S1_1"/>
      <m:item xlName="_GBC_9e60e7f52c00402886eef3da8f127039" concept="clcid-pte:KuCunShangPinZhangMianYuE" label="库存商品帐面余额" mulRef="_GBC_cc6e1ec3be0141cbb25cf999a897b29b" unitRef="_GBC_d85b2ad6790d4fa2ace1d773934cd4b3" addr="T0R4C1S1_1" formatStyle="Comma" appId="_GBC_06c46a03a226418fb8e5e84326c47750"/>
      <m:item xlName="_GBC_d1c33b07a1644a489b36a959ab32f26f" concept="clcid-pte:KuCunShangPinDieJiaZhunBeiHeJiYuE" label="库存商品跌价准备合计余额" mulRef="_GBC_cc6e1ec3be0141cbb25cf999a897b29b" unitRef="_GBC_d85b2ad6790d4fa2ace1d773934cd4b3" addr="T0R4C2S1_1" formatStyle="Comma" appId="_GBC_06c46a03a226418fb8e5e84326c47750"/>
      <m:item xlName="_GBC_8e609d1396154afeaf6caca8857884ad" concept="clcid-pte:KuCunShangPinZhangMianJingE" label="库存商品帐面净额" mulRef="_GBC_cc6e1ec3be0141cbb25cf999a897b29b" unitRef="_GBC_d85b2ad6790d4fa2ace1d773934cd4b3" addr="T0R4C3S1_1" formatStyle="Comma" appId="_GBC_06c46a03a226418fb8e5e84326c47750"/>
      <m:item xlName="_GBC_d7e2c197c5e9411eaec3002e761c680c" concept="clcid-pte:KuCunShangPinZhangMianYuE" label="库存商品帐面余额" periodRef="本期期初数" mulRef="_GBC_cc6e1ec3be0141cbb25cf999a897b29b" unitRef="_GBC_d85b2ad6790d4fa2ace1d773934cd4b3" addr="T0R4C4S1_1" formatStyle="Comma" appId="_GBC_06c46a03a226418fb8e5e84326c47750"/>
      <m:item xlName="_GBC_359204e1cde946f286f39648a0d9cb58" concept="clcid-pte:KuCunShangPinDieJiaZhunBeiHeJiYuE" label="库存商品跌价准备合计余额" periodRef="本期期初数" mulRef="_GBC_cc6e1ec3be0141cbb25cf999a897b29b" unitRef="_GBC_d85b2ad6790d4fa2ace1d773934cd4b3" addr="T0R4C5S1_1" formatStyle="Comma" appId="_GBC_06c46a03a226418fb8e5e84326c47750"/>
      <m:item xlName="_GBC_d58f1db048b74804bc38242cbe425e77" concept="clcid-pte:KuCunShangPinZhangMianJingE" label="库存商品帐面净额" periodRef="本期期初数" mulRef="_GBC_cc6e1ec3be0141cbb25cf999a897b29b" unitRef="_GBC_d85b2ad6790d4fa2ace1d773934cd4b3" addr="T0R4C6S1_1" formatStyle="Comma" appId="_GBC_06c46a03a226418fb8e5e84326c47750"/>
      <m:placeholder xlName="_PLD_3e735f5b7a3a46db9876dca2e24f8162" addr="T0R5C0S1_1"/>
      <m:item xlName="_GBC_cf79a40c05d5430ea419fffc28702a34" concept="clcid-pte:ZhouZhuanCaiLiaoZhangMianYuE" label="周转材料账面余额" mulRef="_GBC_cc6e1ec3be0141cbb25cf999a897b29b" unitRef="_GBC_d85b2ad6790d4fa2ace1d773934cd4b3" addr="T0R5C1S1_1" formatStyle="Comma" appId="_GBC_06c46a03a226418fb8e5e84326c47750"/>
      <m:item xlName="_GBC_1c5fc5fa706a4d44a4a31ac734ce4174" concept="clcid-pte:ZhouZhuanCaiLiaoDieJiaZhunBei" label="周转材料跌价准备" mulRef="_GBC_cc6e1ec3be0141cbb25cf999a897b29b" unitRef="_GBC_d85b2ad6790d4fa2ace1d773934cd4b3" addr="T0R5C2S1_1" formatStyle="Comma" appId="_GBC_06c46a03a226418fb8e5e84326c47750"/>
      <m:item xlName="_GBC_5c7ee31478cb4ee2b07251e154322d17" concept="clcid-pte:ZhouZhuanCaiLiaoZhangMianJiaZhi" label="周转材料账面价值" mulRef="_GBC_cc6e1ec3be0141cbb25cf999a897b29b" unitRef="_GBC_d85b2ad6790d4fa2ace1d773934cd4b3" addr="T0R5C3S1_1" formatStyle="Comma" appId="_GBC_06c46a03a226418fb8e5e84326c47750"/>
      <m:item xlName="_GBC_40a5847962564699ac07b7d0f054ef28" concept="clcid-pte:ZhouZhuanCaiLiaoZhangMianYuE" label="周转材料账面余额" periodRef="本期期初数" mulRef="_GBC_cc6e1ec3be0141cbb25cf999a897b29b" unitRef="_GBC_d85b2ad6790d4fa2ace1d773934cd4b3" addr="T0R5C4S1_1" formatStyle="Comma" appId="_GBC_06c46a03a226418fb8e5e84326c47750"/>
      <m:item xlName="_GBC_0f18b47c57fe4688a573bd3975b18659" concept="clcid-pte:ZhouZhuanCaiLiaoDieJiaZhunBei" label="周转材料跌价准备" periodRef="本期期初数" mulRef="_GBC_cc6e1ec3be0141cbb25cf999a897b29b" unitRef="_GBC_d85b2ad6790d4fa2ace1d773934cd4b3" addr="T0R5C5S1_1" formatStyle="Comma" appId="_GBC_06c46a03a226418fb8e5e84326c47750"/>
      <m:item xlName="_GBC_209646d1f9214fe8aa148b9d1ca7750e" concept="clcid-pte:ZhouZhuanCaiLiaoZhangMianJiaZhi" label="周转材料账面价值" periodRef="本期期初数" mulRef="_GBC_cc6e1ec3be0141cbb25cf999a897b29b" unitRef="_GBC_d85b2ad6790d4fa2ace1d773934cd4b3" addr="T0R5C6S1_1" formatStyle="Comma" appId="_GBC_06c46a03a226418fb8e5e84326c47750"/>
      <m:placeholder xlName="_PLD_ee9db3c747a445baa6fcc128edeebc0c" addr="T0R6C0S1_1"/>
      <m:item xlName="_GBC_7a39cb0703c048e8881a34b0e42a2fb1" concept="clcid-pte:XiaoHaoXingShengWuZiChanZhangMianYuE" label="消耗性生物资产账面余额" mulRef="_GBC_cc6e1ec3be0141cbb25cf999a897b29b" unitRef="_GBC_d85b2ad6790d4fa2ace1d773934cd4b3" addr="T0R6C1S1_1" formatStyle="Comma" appId="_GBC_06c46a03a226418fb8e5e84326c47750"/>
      <m:item xlName="_GBC_2c12a69b7a864ba6abb108a84aa193f1" concept="clcid-pte:XiaoHaoXingShengWuZiChanDieJiaZhunBei" label="消耗性生物资产跌价准备" mulRef="_GBC_cc6e1ec3be0141cbb25cf999a897b29b" unitRef="_GBC_d85b2ad6790d4fa2ace1d773934cd4b3" addr="T0R6C2S1_1" formatStyle="Comma" appId="_GBC_06c46a03a226418fb8e5e84326c47750"/>
      <m:item xlName="_GBC_a9213dfba1374785a141c0e3fa3e9359" concept="clcid-pte:XiaoHaoXingShengWuZiChanZhangMianJiaZhi" label="消耗性生物资产账面价值" mulRef="_GBC_cc6e1ec3be0141cbb25cf999a897b29b" unitRef="_GBC_d85b2ad6790d4fa2ace1d773934cd4b3" addr="T0R6C3S1_1" formatStyle="Comma" appId="_GBC_06c46a03a226418fb8e5e84326c47750"/>
      <m:item xlName="_GBC_c0fe2dfda1fd4740bcaab33346b9a9f5" concept="clcid-pte:XiaoHaoXingShengWuZiChanZhangMianYuE" label="消耗性生物资产账面余额" periodRef="本期期初数" mulRef="_GBC_cc6e1ec3be0141cbb25cf999a897b29b" unitRef="_GBC_d85b2ad6790d4fa2ace1d773934cd4b3" addr="T0R6C4S1_1" formatStyle="Comma" appId="_GBC_06c46a03a226418fb8e5e84326c47750"/>
      <m:item xlName="_GBC_c7c9202ea4a14e58b829d3cebf1e0d7c" concept="clcid-pte:XiaoHaoXingShengWuZiChanDieJiaZhunBei" label="消耗性生物资产跌价准备" periodRef="本期期初数" mulRef="_GBC_cc6e1ec3be0141cbb25cf999a897b29b" unitRef="_GBC_d85b2ad6790d4fa2ace1d773934cd4b3" addr="T0R6C5S1_1" formatStyle="Comma" appId="_GBC_06c46a03a226418fb8e5e84326c47750"/>
      <m:item xlName="_GBC_bfdb1281453349a2bbb1466b027b97ab" concept="clcid-pte:XiaoHaoXingShengWuZiChanZhangMianJiaZhi" label="消耗性生物资产账面价值" periodRef="本期期初数" mulRef="_GBC_cc6e1ec3be0141cbb25cf999a897b29b" unitRef="_GBC_d85b2ad6790d4fa2ace1d773934cd4b3" addr="T0R6C6S1_1" formatStyle="Comma" appId="_GBC_06c46a03a226418fb8e5e84326c47750"/>
      <m:placeholder xlName="_PLD_d8bc5940917d41038fd2cbcaf9c8bdc5" addr="T0R7C0S1_1"/>
      <m:item xlName="_GBC_8329884645214280a67b81d5ae779efa" concept="clcid-pte:HeTongLvYueChengBenZhangMianYuE" label="合同履约成本帐面余额" mulRef="_GBC_cc6e1ec3be0141cbb25cf999a897b29b" unitRef="_GBC_d85b2ad6790d4fa2ace1d773934cd4b3" addr="T0R7C1S1_1" formatStyle="Comma" appId="_GBC_06c46a03a226418fb8e5e84326c47750"/>
      <m:item xlName="_GBC_422a01a7415a404ca2de0d22d988c4a5" concept="clcid-pte:HeTongLvYueChengBenDieJiaZhunBei" label="合同履约成本跌价准备" mulRef="_GBC_cc6e1ec3be0141cbb25cf999a897b29b" unitRef="_GBC_d85b2ad6790d4fa2ace1d773934cd4b3" addr="T0R7C2S1_1" formatStyle="Comma" appId="_GBC_06c46a03a226418fb8e5e84326c47750"/>
      <m:item xlName="_GBC_49f9d9271ae5434da66c58fce31b7828" concept="clcid-pte:HeTongLvYueChengBenZhangMianJiaZhi" label="合同履约成本账面价值" mulRef="_GBC_cc6e1ec3be0141cbb25cf999a897b29b" unitRef="_GBC_d85b2ad6790d4fa2ace1d773934cd4b3" addr="T0R7C3S1_1" formatStyle="Comma" appId="_GBC_06c46a03a226418fb8e5e84326c47750"/>
      <m:item xlName="_GBC_d95dfd884c9442a3bbde02a25e7ee9a0" concept="clcid-pte:HeTongLvYueChengBenZhangMianYuE" label="合同履约成本帐面余额" periodRef="本期期初数" mulRef="_GBC_cc6e1ec3be0141cbb25cf999a897b29b" unitRef="_GBC_d85b2ad6790d4fa2ace1d773934cd4b3" addr="T0R7C4S1_1" formatStyle="Comma" appId="_GBC_06c46a03a226418fb8e5e84326c47750"/>
      <m:item xlName="_GBC_0911135805a24ac4976eb9c0dc665352" concept="clcid-pte:HeTongLvYueChengBenDieJiaZhunBei" label="合同履约成本跌价准备" periodRef="本期期初数" mulRef="_GBC_cc6e1ec3be0141cbb25cf999a897b29b" unitRef="_GBC_d85b2ad6790d4fa2ace1d773934cd4b3" addr="T0R7C5S1_1" formatStyle="Comma" appId="_GBC_06c46a03a226418fb8e5e84326c47750"/>
      <m:item xlName="_GBC_2e23e29f29b6465e82be9af0dde16330" concept="clcid-pte:HeTongLvYueChengBenZhangMianJiaZhi" label="合同履约成本账面价值" periodRef="本期期初数" mulRef="_GBC_cc6e1ec3be0141cbb25cf999a897b29b" unitRef="_GBC_d85b2ad6790d4fa2ace1d773934cd4b3" addr="T0R7C6S1_1" formatStyle="Comma" appId="_GBC_06c46a03a226418fb8e5e84326c47750"/>
      <m:tuple xlName="_TUP_c1ac2d40d50a4131b1b1c2720e9aef48" concept="clcid-pte:QiTaCunHuo" default_row="2" addr="T0R8C">
        <m:item xlName="_GBC_00b638d7621c4096b107a348ba9fbc92" concept="clcid-pte:QiTaCunHuoXiangMu" label="其他存货项目" addr="T0R8C0S1_1" appId="_GBC_06c46a03a226418fb8e5e84326c47750"/>
        <m:item xlName="_GBC_a81f10440fd4414b8fd861ef5811026d" concept="clcid-pte:QiTaCunHuoZhangMianYuE" label="其他存货帐面余额" mulRef="_GBC_cc6e1ec3be0141cbb25cf999a897b29b" unitRef="_GBC_d85b2ad6790d4fa2ace1d773934cd4b3" addr="T0R8C1S1_1" formatStyle="Comma" appId="_GBC_06c46a03a226418fb8e5e84326c47750"/>
        <m:item xlName="_GBC_b26932142a484a0baf0b6b24b92f0f96" concept="clcid-pte:CunHuoDieJiaZhunBeiQiTaXiangYuE" label="存货跌价准备其他项余额" mulRef="_GBC_cc6e1ec3be0141cbb25cf999a897b29b" unitRef="_GBC_d85b2ad6790d4fa2ace1d773934cd4b3" addr="T0R8C2S1_1" formatStyle="Comma" appId="_GBC_06c46a03a226418fb8e5e84326c47750"/>
        <m:item xlName="_GBC_81e69fa8fe404859a392aca704939c01" concept="clcid-pte:QiTaCunHuoZhangMianJingE" label="其他存货帐面净额" mulRef="_GBC_cc6e1ec3be0141cbb25cf999a897b29b" unitRef="_GBC_d85b2ad6790d4fa2ace1d773934cd4b3" addr="T0R8C3S1_1" formatStyle="Comma" appId="_GBC_06c46a03a226418fb8e5e84326c47750"/>
        <m:item xlName="_GBC_0478e01381914aa49e9a90f012cdded0" concept="clcid-pte:QiTaCunHuoZhangMianYuE" label="其他存货帐面余额" periodRef="本期期初数" mulRef="_GBC_cc6e1ec3be0141cbb25cf999a897b29b" unitRef="_GBC_d85b2ad6790d4fa2ace1d773934cd4b3" addr="T0R8C4S1_1" formatStyle="Comma" appId="_GBC_06c46a03a226418fb8e5e84326c47750"/>
        <m:item xlName="_GBC_1c549d4218eb45819b8061be28294dd1" concept="clcid-pte:CunHuoDieJiaZhunBeiQiTaXiangYuE" label="存货跌价准备其他项余额" periodRef="本期期初数" mulRef="_GBC_cc6e1ec3be0141cbb25cf999a897b29b" unitRef="_GBC_d85b2ad6790d4fa2ace1d773934cd4b3" addr="T0R8C5S1_1" formatStyle="Comma" appId="_GBC_06c46a03a226418fb8e5e84326c47750"/>
        <m:item xlName="_GBC_628d57b8330145588a0d9ebf6b0f7ff4" concept="clcid-pte:QiTaCunHuoZhangMianJingE" label="其他存货帐面净额" periodRef="本期期初数" mulRef="_GBC_cc6e1ec3be0141cbb25cf999a897b29b" unitRef="_GBC_d85b2ad6790d4fa2ace1d773934cd4b3" addr="T0R8C6S1_1" formatStyle="Comma" appId="_GBC_06c46a03a226418fb8e5e84326c47750"/>
      </m:tuple>
      <m:placeholder xlName="_PLD_c7f765ab16d04ed0965df8d114b73cb6" addr="T0R10C0S1_1"/>
      <m:item xlName="_GBC_c0b060dfd753481eaacedc7d70ff1239" concept="clcid-pte:CunHuoZhangMianYuE" label="存货帐面余额" mulRef="_GBC_cc6e1ec3be0141cbb25cf999a897b29b" unitRef="_GBC_d85b2ad6790d4fa2ace1d773934cd4b3" addr="T0R10C1S1_1" formatStyle="Comma" appId="_GBC_06c46a03a226418fb8e5e84326c47750">
        <m:complexRule comparator="Eq" title="存货帐面余额" test=" $_GBC_b346c6bbc5c6418fa5a79bb381486c7e +  $_GBC_de39908c4eb44070830443d709c7dd56 +  $_GBC_9e60e7f52c00402886eef3da8f127039 +  $_GBC_cf79a40c05d5430ea419fffc28702a34 +  $_GBC_7a39cb0703c048e8881a34b0e42a2fb1 +  $_GBC_8329884645214280a67b81d5ae779efa +  $_GBC_a81f10440fd4414b8fd861ef5811026d" id="Ce78a160cc8c8451bb8e2a9a8527dc6fb"/>
      </m:item>
      <m:item xlName="_GBC_ace4d3741f82430289d460ea6f011b91" concept="clcid-pte:CunHuoDieJiaZhunBeiHeJiYuE" label="存货跌价准备合计余额" mulRef="_GBC_cc6e1ec3be0141cbb25cf999a897b29b" unitRef="_GBC_d85b2ad6790d4fa2ace1d773934cd4b3" addr="T0R10C2S1_1" formatStyle="Comma" appId="_GBC_06c46a03a226418fb8e5e84326c47750">
        <m:complexRule comparator="Eq" title="存货跌价准备合计余额" test=" $_GBC_914be8c5df0c48daac6785503d6c85de +  $_GBC_453df9b2293b4f6dba7d180bfd2e148a +  $_GBC_d1c33b07a1644a489b36a959ab32f26f +  $_GBC_1c5fc5fa706a4d44a4a31ac734ce4174 +  $_GBC_2c12a69b7a864ba6abb108a84aa193f1 +  $_GBC_422a01a7415a404ca2de0d22d988c4a5 +  $_GBC_b26932142a484a0baf0b6b24b92f0f96" id="C418ea0e1fb294594b0c9363bb346e25d"/>
      </m:item>
      <m:item xlName="_GBC_d2fa99d35455432da25ecc7f4c282e78" concept="clcid-pte:CunHuo" label="存货" mulRef="_GBC_cc6e1ec3be0141cbb25cf999a897b29b" unitRef="_GBC_d85b2ad6790d4fa2ace1d773934cd4b3" addr="T0R10C3S1_1" formatStyle="Comma" appId="_GBC_06c46a03a226418fb8e5e84326c47750">
        <m:complexRule comparator="Eq" title="存货" test=" $_GBC_54a2a3e1f4cc4b5f8cf058fd54a7a6b6 +  $_GBC_0bf6680940d0457e83fb93924cb04fc3 +  $_GBC_8e609d1396154afeaf6caca8857884ad +  $_GBC_5c7ee31478cb4ee2b07251e154322d17 +  $_GBC_a9213dfba1374785a141c0e3fa3e9359 +  $_GBC_49f9d9271ae5434da66c58fce31b7828 +  $_GBC_81e69fa8fe404859a392aca704939c01" id="C6858778cb1bf4a798379c7269784ca39"/>
      </m:item>
      <m:item xlName="_GBC_9bc996fa23b544c292b80358ff2a8ee3" concept="clcid-pte:CunHuoZhangMianYuE" label="存货帐面余额" periodRef="本期期初数" mulRef="_GBC_cc6e1ec3be0141cbb25cf999a897b29b" unitRef="_GBC_d85b2ad6790d4fa2ace1d773934cd4b3" addr="T0R10C4S1_1" formatStyle="Comma" appId="_GBC_06c46a03a226418fb8e5e84326c47750">
        <m:complexRule comparator="Eq" title="存货帐面余额@本期期初数" test=" $_GBC_0c28315ec1644751bc3684f4bd636767 +  $_GBC_e27a6efa14d74ce99eb5c37bbc68de9a +  $_GBC_d7e2c197c5e9411eaec3002e761c680c +  $_GBC_40a5847962564699ac07b7d0f054ef28 +  $_GBC_c0fe2dfda1fd4740bcaab33346b9a9f5 +  $_GBC_d95dfd884c9442a3bbde02a25e7ee9a0 +  $_GBC_0478e01381914aa49e9a90f012cdded0" id="C3c70e42f1fa340beb837257f3d490a8d"/>
      </m:item>
      <m:item xlName="_GBC_10d6c38f306b41258d64554e7da3d45a" concept="clcid-pte:CunHuoDieJiaZhunBeiHeJiYuE" label="存货跌价准备合计余额" periodRef="本期期初数" mulRef="_GBC_cc6e1ec3be0141cbb25cf999a897b29b" unitRef="_GBC_d85b2ad6790d4fa2ace1d773934cd4b3" addr="T0R10C5S1_1" formatStyle="Comma" appId="_GBC_06c46a03a226418fb8e5e84326c47750">
        <m:complexRule comparator="Eq" title="存货跌价准备合计余额@本期期初数" test=" $_GBC_43a6f5a5e10843fcb26399270f7beb62 +  $_GBC_f0557fdcf8fb4bfeaa4cbb866d364f3a +  $_GBC_359204e1cde946f286f39648a0d9cb58 +  $_GBC_0f18b47c57fe4688a573bd3975b18659 +  $_GBC_c7c9202ea4a14e58b829d3cebf1e0d7c +  $_GBC_0911135805a24ac4976eb9c0dc665352 +  $_GBC_1c549d4218eb45819b8061be28294dd1" id="C833e3165c56e49f08c8ec6d73700dde4"/>
      </m:item>
      <m:item xlName="_GBC_63c79fdaab7c451cb21e7ffffdbbb8f9" concept="clcid-pte:CunHuo" label="存货" periodRef="本期期初数" mulRef="_GBC_cc6e1ec3be0141cbb25cf999a897b29b" unitRef="_GBC_d85b2ad6790d4fa2ace1d773934cd4b3" addr="T0R10C6S1_1" formatStyle="Comma" appId="_GBC_06c46a03a226418fb8e5e84326c47750">
        <m:complexRule comparator="Eq" title="存货@本期期初数" test=" $_GBC_054ee17e3b1b403ba19ca9429d7689ed +  $_GBC_b4b846ec997840d289e51edc061b6a38 +  $_GBC_d58f1db048b74804bc38242cbe425e77 +  $_GBC_209646d1f9214fe8aa148b9d1ca7750e +  $_GBC_bfdb1281453349a2bbb1466b027b97ab +  $_GBC_2e23e29f29b6465e82be9af0dde16330 +  $_GBC_628d57b8330145588a0d9ebf6b0f7ff4" id="C2f0aa65f3a284534831838e1f2d02be0"/>
      </m:item>
    </m:section>
    <m:section xlName="_GBC_d00b46c41ac84794bd1f7b10e97923a0" title="存货跌价准备" rules="R2015_R11_007" convertSummaryRule="NoConvert" helpId="112001053" helpText="注：说明确定可变现净值的具体依据及本期转回或转销存货跌价准备的原因。">
      <m:item xlName="_GBC_b9bd4a0fa089468ebded8bb61a86fbae" concept="clcid-ci-ar:ShiFouShiYongCunHuoDieJiaZhunBei" label="是否适用：存货跌价准备" selectOptions="_buildInAppliance" controlType="CustomCheckbox" cRanges="{&quot;StartName&quot;:&quot;_GBC_b9bd4a0fa089468ebded8bb61a86fbae&quot;,&quot;EndName&quot;:&quot;_GBC_8ee507d7973d42f4b55fced3dc3888fb&quot;,&quot;CType&quot;:1,&quot;DisplayText&quot;:null}"/>
      <m:item xlName="_GBC_42225a9505da4f598594afea08f9738b" concept="clcid-ci-ar:DanWeiCunHuoDieJiaZhunBei" label="单位：存货跌价准备" selectOptions="_buildInScales" controlType="Combobox" cellType="Scale" appId="_GBC_b9bd4a0fa089468ebded8bb61a86fbae"/>
      <m:item xlName="_GBC_4de434e29d00482b8b3175d1e7874ff2" concept="clcid-ci-ar:BiZhongCunHuoDieJiaZhunBei" label="币种：存货跌价准备" selectOptions="_buildInISO4217" controlType="Combobox" cellType="Measure" appId="_GBC_b9bd4a0fa089468ebded8bb61a86fbae"/>
      <m:placeholder xlName="_PLD_08d27e088675483b81e6b09cfaf565b8" addr="T0R0C0S2_1"/>
      <m:placeholder xlName="_PLD_631ae60526c9437f842913d632c47f24" addr="T0R0C1S2_1"/>
      <m:placeholder xlName="_PLD_bc39054479074b8ab34cb8519780a5f1" addr="T0R0C2S1_2"/>
      <m:placeholder xlName="_PLD_a4a235b43e524c0c98a604df05693747" addr="T0R0C4S1_2"/>
      <m:placeholder xlName="_PLD_fcea706dd57f438c8205de888401e160" addr="T0R0C6S2_1"/>
      <m:placeholder xlName="_PLD_9355443eafab4f4a862c075a55d7e279" addr="T0R1C2S1_1"/>
      <m:placeholder xlName="_PLD_e67cdd42c79245c980edb6a9d839ecd0" addr="T0R1C3S1_1"/>
      <m:placeholder xlName="_PLD_d2a5b409858c40b5a77dea8d7f7c8500" addr="T0R1C4S1_1"/>
      <m:placeholder xlName="_PLD_a0a39eeb19a049d18a777b0dc41ab25e" addr="T0R1C5S1_1"/>
      <m:placeholder xlName="_PLD_c1481e0b38784604952d1b8f75adf1fa" addr="T0R2C0S1_1"/>
      <m:item xlName="_GBC_e59267ca92f64ecfa8f52898e05f09ac" concept="clcid-pte:YuanCaiLiaoDieJiaZhunBeiYuE" label="原材料跌价准备余额" periodRef="本期期初数" mulRef="_GBC_42225a9505da4f598594afea08f9738b" unitRef="_GBC_4de434e29d00482b8b3175d1e7874ff2" addr="T0R2C1S1_1" formatStyle="Comma" appId="_GBC_b9bd4a0fa089468ebded8bb61a86fbae"/>
      <m:item xlName="_GBC_59b2b3d906cf4133aea86191974f3930" concept="clcid-pte:YuanCaiLiaoDieJiaZhunBeiYuEJiTiShu" label="原材料跌价准备余额计提数" mulRef="_GBC_42225a9505da4f598594afea08f9738b" unitRef="_GBC_4de434e29d00482b8b3175d1e7874ff2" addr="T0R2C2S1_1" formatStyle="Comma" appId="_GBC_b9bd4a0fa089468ebded8bb61a86fbae"/>
      <m:item xlName="_GBC_ed94272fa104411ba268a145f4e30c86" concept="clcid-pte:YuanCaiLiaoDieJiaZhunBeiBenQiQiTaZengJiaE" label="原材料跌价准备本期其他增加额" mulRef="_GBC_42225a9505da4f598594afea08f9738b" unitRef="_GBC_4de434e29d00482b8b3175d1e7874ff2" addr="T0R2C3S1_1" formatStyle="Comma" appId="_GBC_b9bd4a0fa089468ebded8bb61a86fbae"/>
      <m:item xlName="_GBC_c4615698171f4504a461390ea0b77b1a" concept="clcid-pte:YuanCaiLiaoDieJiaZhunBeiZhuanHuiHuoZhuanXiaoShu" label="原材料跌价准备转回或转销数" mulRef="_GBC_42225a9505da4f598594afea08f9738b" unitRef="_GBC_4de434e29d00482b8b3175d1e7874ff2" addr="T0R2C4S1_1" formatStyle="Comma" appId="_GBC_b9bd4a0fa089468ebded8bb61a86fbae"/>
      <m:item xlName="_GBC_0f2d33d9a60a486abd34f977dbaef00a" concept="clcid-pte:YuanCaiLiaoDieJiaZhunBeiBenQiQiTaJianShaoE" label="原材料跌价准备本期其他减少额" mulRef="_GBC_42225a9505da4f598594afea08f9738b" unitRef="_GBC_4de434e29d00482b8b3175d1e7874ff2" addr="T0R2C5S1_1" formatStyle="Comma" appId="_GBC_b9bd4a0fa089468ebded8bb61a86fbae"/>
      <m:item xlName="_GBC_17ace0f8a6364567be1710211479cfef" concept="clcid-pte:YuanCaiLiaoDieJiaZhunBeiYuE" label="原材料跌价准备余额" mulRef="_GBC_42225a9505da4f598594afea08f9738b" unitRef="_GBC_4de434e29d00482b8b3175d1e7874ff2" addr="T0R2C6S1_1" formatStyle="Comma" appId="_GBC_b9bd4a0fa089468ebded8bb61a86fbae">
        <m:complexRule comparator="Eq" title="原材料跌价准备余额" test=" $_GBC_e59267ca92f64ecfa8f52898e05f09ac +  $_GBC_59b2b3d906cf4133aea86191974f3930 +  $_GBC_ed94272fa104411ba268a145f4e30c86 -  $_GBC_c4615698171f4504a461390ea0b77b1a -  $_GBC_0f2d33d9a60a486abd34f977dbaef00a" id="Cea2c9cfb79bf4684a2769c0859cb9463"/>
      </m:item>
      <m:placeholder xlName="_PLD_caee3bbcb5684298baf9a05a47151d5c" addr="T0R3C0S1_1"/>
      <m:item xlName="_GBC_b3a617ade78b49f48b410a8c7d346461" concept="clcid-pte:ZaiChanPinDieJiaZhunBei" label="在产品跌价准备" periodRef="本期期初数" mulRef="_GBC_42225a9505da4f598594afea08f9738b" unitRef="_GBC_4de434e29d00482b8b3175d1e7874ff2" addr="T0R3C1S1_1" formatStyle="Comma" appId="_GBC_b9bd4a0fa089468ebded8bb61a86fbae"/>
      <m:item xlName="_GBC_665bb5864eab4994bcb84f4fac9705c7" concept="clcid-pte:ZaiChanPinDieJiaZhunBeiJiTiShu" label="在产品跌价准备计提数" mulRef="_GBC_42225a9505da4f598594afea08f9738b" unitRef="_GBC_4de434e29d00482b8b3175d1e7874ff2" addr="T0R3C2S1_1" formatStyle="Comma" appId="_GBC_b9bd4a0fa089468ebded8bb61a86fbae"/>
      <m:item xlName="_GBC_34175905456d48dd94a272f5954ecc1b" concept="clcid-pte:ZaiChanPinDieJiaZhunBeiBenQiQiTaZengJiaE" label="在产品跌价准备本期其他增加额" mulRef="_GBC_42225a9505da4f598594afea08f9738b" unitRef="_GBC_4de434e29d00482b8b3175d1e7874ff2" addr="T0R3C3S1_1" formatStyle="Comma" appId="_GBC_b9bd4a0fa089468ebded8bb61a86fbae"/>
      <m:item xlName="_GBC_added418ca7b4c33824e205f5cd81869" concept="clcid-pte:ZaiChanPinDieJiaZhunBeiZhuanHuiHuoZhuanXiaoShu" label="在产品跌价准备转回或转销数" mulRef="_GBC_42225a9505da4f598594afea08f9738b" unitRef="_GBC_4de434e29d00482b8b3175d1e7874ff2" addr="T0R3C4S1_1" formatStyle="Comma" appId="_GBC_b9bd4a0fa089468ebded8bb61a86fbae"/>
      <m:item xlName="_GBC_49a0c72ddceb4ad5b381c72a1a346181" concept="clcid-pte:ZaiChanPinDieJiaZhunBeiBenQiQiTaJianShaoE" label="在产品跌价准备本期其他减少额" mulRef="_GBC_42225a9505da4f598594afea08f9738b" unitRef="_GBC_4de434e29d00482b8b3175d1e7874ff2" addr="T0R3C5S1_1" formatStyle="Comma" appId="_GBC_b9bd4a0fa089468ebded8bb61a86fbae"/>
      <m:item xlName="_GBC_563d5de3163f47a099e1b2ef61581665" concept="clcid-pte:ZaiChanPinDieJiaZhunBei" label="在产品跌价准备" mulRef="_GBC_42225a9505da4f598594afea08f9738b" unitRef="_GBC_4de434e29d00482b8b3175d1e7874ff2" addr="T0R3C6S1_1" formatStyle="Comma" appId="_GBC_b9bd4a0fa089468ebded8bb61a86fbae">
        <m:complexRule comparator="Eq" title="在产品跌价准备" test=" $_GBC_b3a617ade78b49f48b410a8c7d346461 +  $_GBC_665bb5864eab4994bcb84f4fac9705c7 +  $_GBC_34175905456d48dd94a272f5954ecc1b -  $_GBC_added418ca7b4c33824e205f5cd81869 -  $_GBC_49a0c72ddceb4ad5b381c72a1a346181" id="Cc2858753b0054658a8672b5f37849542"/>
      </m:item>
      <m:placeholder xlName="_PLD_2d5756cc0cf342bb9a74d89236e6d498" addr="T0R4C0S1_1"/>
      <m:item xlName="_GBC_9a69ba76d8b44c1c8fe91ed78b9e7bac" concept="clcid-pte:KuCunShangPinDieJiaZhunBeiHeJiYuE" label="库存商品跌价准备合计余额" periodRef="本期期初数" mulRef="_GBC_42225a9505da4f598594afea08f9738b" unitRef="_GBC_4de434e29d00482b8b3175d1e7874ff2" addr="T0R4C1S1_1" formatStyle="Comma" appId="_GBC_b9bd4a0fa089468ebded8bb61a86fbae"/>
      <m:item xlName="_GBC_75578f235ba041b1a8d8715c0a2a4131" concept="clcid-pte:KuCunShangPinDieJiaZhunBeiJiTiShu" label="库存商品跌价准备计提数" mulRef="_GBC_42225a9505da4f598594afea08f9738b" unitRef="_GBC_4de434e29d00482b8b3175d1e7874ff2" addr="T0R4C2S1_1" formatStyle="Comma" appId="_GBC_b9bd4a0fa089468ebded8bb61a86fbae"/>
      <m:item xlName="_GBC_eef6f74f3dfa40dcaebff0bff5b95879" concept="clcid-pte:KuCunShangPinDieJiaZhunBeiBenQiQiTaZengJiaE" label="库存商品跌价准备本期其他增加额" mulRef="_GBC_42225a9505da4f598594afea08f9738b" unitRef="_GBC_4de434e29d00482b8b3175d1e7874ff2" addr="T0R4C3S1_1" formatStyle="Comma" appId="_GBC_b9bd4a0fa089468ebded8bb61a86fbae"/>
      <m:item xlName="_GBC_3f7ebcd3d9a14cfb80b48ee0500a59b5" concept="clcid-pte:KuCunShangPinDieJiaZhunBeiZhuanHuiHuoZhuanXiaoShu" label="库存商品跌价准备转回或转销数" mulRef="_GBC_42225a9505da4f598594afea08f9738b" unitRef="_GBC_4de434e29d00482b8b3175d1e7874ff2" addr="T0R4C4S1_1" formatStyle="Comma" appId="_GBC_b9bd4a0fa089468ebded8bb61a86fbae"/>
      <m:item xlName="_GBC_faa8b041991f452cb5f0ba39e69d2495" concept="clcid-pte:KuCunShangPinDieJiaZhunBeiBenQiQiTaJianShaoE" label="库存商品跌价准备本期其他减少额" mulRef="_GBC_42225a9505da4f598594afea08f9738b" unitRef="_GBC_4de434e29d00482b8b3175d1e7874ff2" addr="T0R4C5S1_1" formatStyle="Comma" appId="_GBC_b9bd4a0fa089468ebded8bb61a86fbae"/>
      <m:item xlName="_GBC_0f3520fd178340dbab0a49f616bec9a3" concept="clcid-pte:KuCunShangPinDieJiaZhunBeiHeJiYuE" label="库存商品跌价准备合计余额" mulRef="_GBC_42225a9505da4f598594afea08f9738b" unitRef="_GBC_4de434e29d00482b8b3175d1e7874ff2" addr="T0R4C6S1_1" formatStyle="Comma" appId="_GBC_b9bd4a0fa089468ebded8bb61a86fbae">
        <m:complexRule comparator="Eq" title="库存商品跌价准备合计余额" test=" $_GBC_9a69ba76d8b44c1c8fe91ed78b9e7bac +  $_GBC_75578f235ba041b1a8d8715c0a2a4131 +  $_GBC_eef6f74f3dfa40dcaebff0bff5b95879 -  $_GBC_3f7ebcd3d9a14cfb80b48ee0500a59b5 -  $_GBC_faa8b041991f452cb5f0ba39e69d2495" id="C5214c21f404f4cab9a0d37bf77b939e0"/>
      </m:item>
      <m:placeholder xlName="_PLD_0e7f31c3d40a4e26b9ae9d439cd18c3a" addr="T0R5C0S1_1"/>
      <m:item xlName="_GBC_f2d719a68846492e9b3dd12a5501a265" concept="clcid-pte:ZhouZhuanCaiLiaoDieJiaZhunBei" label="周转材料跌价准备" periodRef="本期期初数" mulRef="_GBC_42225a9505da4f598594afea08f9738b" unitRef="_GBC_4de434e29d00482b8b3175d1e7874ff2" addr="T0R5C1S1_1" formatStyle="Comma" appId="_GBC_b9bd4a0fa089468ebded8bb61a86fbae"/>
      <m:item xlName="_GBC_0c3a01121017468490139bd1212a0305" concept="clcid-pte:ZhouZhuanCaiLiaoDieJiaZhunBeiJiTiShu" label="周转材料跌价准备计提数" mulRef="_GBC_42225a9505da4f598594afea08f9738b" unitRef="_GBC_4de434e29d00482b8b3175d1e7874ff2" addr="T0R5C2S1_1" formatStyle="Comma" appId="_GBC_b9bd4a0fa089468ebded8bb61a86fbae"/>
      <m:item xlName="_GBC_38a82cdd7bad4ef2bb07ef9b85654d80" concept="clcid-pte:ZhouZhuanCaiLiaoDieJiaZhunBeiBenQiQiTaZengJiaE" label="周转材料跌价准备本期其他增加额" mulRef="_GBC_42225a9505da4f598594afea08f9738b" unitRef="_GBC_4de434e29d00482b8b3175d1e7874ff2" addr="T0R5C3S1_1" formatStyle="Comma" appId="_GBC_b9bd4a0fa089468ebded8bb61a86fbae"/>
      <m:item xlName="_GBC_6ee7f5118e8e4c749b1a61059d33aeff" concept="clcid-pte:ZhouZhuanCaiLiaoDieJiaZhunBeiZhuanHuiHuoZhuanXiaoShu" label="周转材料跌价准备转回或转销数" mulRef="_GBC_42225a9505da4f598594afea08f9738b" unitRef="_GBC_4de434e29d00482b8b3175d1e7874ff2" addr="T0R5C4S1_1" formatStyle="Comma" appId="_GBC_b9bd4a0fa089468ebded8bb61a86fbae"/>
      <m:item xlName="_GBC_b5bf5edf1fbf4e7b9ab3863970fd4335" concept="clcid-pte:ZhouZhuanCaiLiaoDieJiaZhunBeiBenQiQiTaJianShaoE" label="周转材料跌价准备本期其他减少额" mulRef="_GBC_42225a9505da4f598594afea08f9738b" unitRef="_GBC_4de434e29d00482b8b3175d1e7874ff2" addr="T0R5C5S1_1" formatStyle="Comma" appId="_GBC_b9bd4a0fa089468ebded8bb61a86fbae"/>
      <m:item xlName="_GBC_a620eb2ac8964f1dbcfcf050065febfc" concept="clcid-pte:ZhouZhuanCaiLiaoDieJiaZhunBei" label="周转材料跌价准备" mulRef="_GBC_42225a9505da4f598594afea08f9738b" unitRef="_GBC_4de434e29d00482b8b3175d1e7874ff2" addr="T0R5C6S1_1" formatStyle="Comma" appId="_GBC_b9bd4a0fa089468ebded8bb61a86fbae">
        <m:complexRule comparator="Eq" title="周转材料跌价准备" test=" $_GBC_f2d719a68846492e9b3dd12a5501a265 +  $_GBC_0c3a01121017468490139bd1212a0305 +  $_GBC_38a82cdd7bad4ef2bb07ef9b85654d80 -  $_GBC_6ee7f5118e8e4c749b1a61059d33aeff -  $_GBC_b5bf5edf1fbf4e7b9ab3863970fd4335" id="Cd37e952402bb4570b50ae2627c391380"/>
      </m:item>
      <m:placeholder xlName="_PLD_bcc6f3ed6a0841af94293c37eaaf52f3" addr="T0R6C0S1_1"/>
      <m:item xlName="_GBC_a4b74cfe0bcc40c180dc5c55f060fad8" concept="clcid-pte:XiaoHaoXingShengWuZiChanDieJiaZhunBei" label="消耗性生物资产跌价准备" periodRef="本期期初数" mulRef="_GBC_42225a9505da4f598594afea08f9738b" unitRef="_GBC_4de434e29d00482b8b3175d1e7874ff2" addr="T0R6C1S1_1" formatStyle="Comma" appId="_GBC_b9bd4a0fa089468ebded8bb61a86fbae"/>
      <m:item xlName="_GBC_ee7ad2004e02442f810013a345dbadc2" concept="clcid-pte:XiaoHaoXingShengWuZiChanDieJiaZhunBeiJiTiShu" label="消耗性生物资产跌价准备计提数" mulRef="_GBC_42225a9505da4f598594afea08f9738b" unitRef="_GBC_4de434e29d00482b8b3175d1e7874ff2" addr="T0R6C2S1_1" formatStyle="Comma" appId="_GBC_b9bd4a0fa089468ebded8bb61a86fbae"/>
      <m:item xlName="_GBC_4eacb25793104e7e9f0650426302cd97" concept="clcid-pte:XiaoHaoXingShengWuZiChanDieJiaZhunBeiBenQiQiTaZengJiaE" label="消耗性生物资产跌价准备本期其他增加额" mulRef="_GBC_42225a9505da4f598594afea08f9738b" unitRef="_GBC_4de434e29d00482b8b3175d1e7874ff2" addr="T0R6C3S1_1" formatStyle="Comma" appId="_GBC_b9bd4a0fa089468ebded8bb61a86fbae"/>
      <m:item xlName="_GBC_8ddaebb419a743e8bb98fe72c053c06f" concept="clcid-pte:XiaoHaoXingShengWuZiChanDieJiaZhunBeiZhuanHuiHuoZhuanXiaoShu" label="消耗性生物资产跌价准备转回或转销数" mulRef="_GBC_42225a9505da4f598594afea08f9738b" unitRef="_GBC_4de434e29d00482b8b3175d1e7874ff2" addr="T0R6C4S1_1" formatStyle="Comma" appId="_GBC_b9bd4a0fa089468ebded8bb61a86fbae"/>
      <m:item xlName="_GBC_b617abe6e6734b1a9ecfe2994f4020fc" concept="clcid-pte:XiaoHaoXingShengWuZiChanDieJiaZhunBeiBenQiQiTaJianShaoE" label="消耗性生物资产跌价准备本期其他减少额" mulRef="_GBC_42225a9505da4f598594afea08f9738b" unitRef="_GBC_4de434e29d00482b8b3175d1e7874ff2" addr="T0R6C5S1_1" formatStyle="Comma" appId="_GBC_b9bd4a0fa089468ebded8bb61a86fbae"/>
      <m:item xlName="_GBC_80ed574c1c454a9e8305ee7bec14010d" concept="clcid-pte:XiaoHaoXingShengWuZiChanDieJiaZhunBei" label="消耗性生物资产跌价准备" mulRef="_GBC_42225a9505da4f598594afea08f9738b" unitRef="_GBC_4de434e29d00482b8b3175d1e7874ff2" addr="T0R6C6S1_1" formatStyle="Comma" appId="_GBC_b9bd4a0fa089468ebded8bb61a86fbae">
        <m:complexRule comparator="Eq" title="消耗性生物资产跌价准备" test=" $_GBC_a4b74cfe0bcc40c180dc5c55f060fad8 +  $_GBC_ee7ad2004e02442f810013a345dbadc2 +  $_GBC_4eacb25793104e7e9f0650426302cd97 -  $_GBC_8ddaebb419a743e8bb98fe72c053c06f -  $_GBC_b617abe6e6734b1a9ecfe2994f4020fc" id="C3b7b9b787a8240f0b9036e541b998c61"/>
      </m:item>
      <m:placeholder xlName="_PLD_244840926cbe4a8d87e80a8d9c7cb579" addr="T0R7C0S1_1"/>
      <m:item xlName="_GBC_1db2e20f8d86483ab1964729eca4e1f5" concept="clcid-pte:HeTongLvYueChengBenDieJiaZhunBei" label="合同履约成本跌价准备" periodRef="本期期初数" mulRef="_GBC_42225a9505da4f598594afea08f9738b" unitRef="_GBC_4de434e29d00482b8b3175d1e7874ff2" addr="T0R7C1S1_1" formatStyle="Comma" appId="_GBC_b9bd4a0fa089468ebded8bb61a86fbae"/>
      <m:item xlName="_GBC_58d74aa334c24600b15b96352a402120" concept="clcid-pte:HeTongLvYueChengBenDieJiaZhunBeiJiTiShu" label="合同履约成本跌价准备计提数" mulRef="_GBC_42225a9505da4f598594afea08f9738b" unitRef="_GBC_4de434e29d00482b8b3175d1e7874ff2" addr="T0R7C2S1_1" formatStyle="Comma" appId="_GBC_b9bd4a0fa089468ebded8bb61a86fbae"/>
      <m:item xlName="_GBC_de8ea58c33914ad8b2c87f82990983ae" concept="clcid-pte:HeTongLvYueChengBenDieJiaZhunBeiBenQiQiTaZengJiaE" label="合同履约成本跌价准备本期其他增加额" mulRef="_GBC_42225a9505da4f598594afea08f9738b" unitRef="_GBC_4de434e29d00482b8b3175d1e7874ff2" addr="T0R7C3S1_1" formatStyle="Comma" appId="_GBC_b9bd4a0fa089468ebded8bb61a86fbae"/>
      <m:item xlName="_GBC_ddc9faaba9a248a49e791dc2c970200a" concept="clcid-pte:HeTongLvYueChengBenDieJiaZhunBeiZhuanHuiHuoZhuanXiaoShu" label="合同履约成本跌价准备转回或转销数" mulRef="_GBC_42225a9505da4f598594afea08f9738b" unitRef="_GBC_4de434e29d00482b8b3175d1e7874ff2" addr="T0R7C4S1_1" formatStyle="Comma" appId="_GBC_b9bd4a0fa089468ebded8bb61a86fbae"/>
      <m:item xlName="_GBC_daa4d1743bcf4aa7adf51687e0f1d3e7" concept="clcid-pte:HeTongLvYueChengBenDieJiaZhunBeiBenQiQiTaJianShaoE" label="合同履约成本跌价准备本期其他减少额" mulRef="_GBC_42225a9505da4f598594afea08f9738b" unitRef="_GBC_4de434e29d00482b8b3175d1e7874ff2" addr="T0R7C5S1_1" formatStyle="Comma" appId="_GBC_b9bd4a0fa089468ebded8bb61a86fbae"/>
      <m:item xlName="_GBC_d64533456b9941898d76defdd2687dc4" concept="clcid-pte:HeTongLvYueChengBenDieJiaZhunBei" label="合同履约成本跌价准备" mulRef="_GBC_42225a9505da4f598594afea08f9738b" unitRef="_GBC_4de434e29d00482b8b3175d1e7874ff2" addr="T0R7C6S1_1" formatStyle="Comma" appId="_GBC_b9bd4a0fa089468ebded8bb61a86fbae">
        <m:complexRule comparator="Eq" title="合同履约成本跌价准备" test=" $_GBC_1db2e20f8d86483ab1964729eca4e1f5 +  $_GBC_58d74aa334c24600b15b96352a402120 +  $_GBC_de8ea58c33914ad8b2c87f82990983ae -  $_GBC_ddc9faaba9a248a49e791dc2c970200a -  $_GBC_daa4d1743bcf4aa7adf51687e0f1d3e7" id="C678c4d758fd746c0b14256f3bc8bc437"/>
      </m:item>
      <m:tuple xlName="_GBC_c901c46f630b4db5826ead896c012bf9" concept="clcid-pte:CunHuoDieJiaZhunBeiMingXi" default_row="2" addr="T0R8C">
        <m:item xlName="_GBC_e9a4ede3d61144b79634de949356172f" concept="clcid-pte:CunHuoDieJiaZhunBeiMingXiCunHuoZhongLei" label="存货跌价准备明细-存货种类" addr="T0R8C0S1_1" appId="_GBC_b9bd4a0fa089468ebded8bb61a86fbae"/>
        <m:item xlName="_GBC_acb9b63f49884d85b89eb0214f2c8405" concept="clcid-pte:CunHuoDieJiaZhunBeiMingXiZhangMianYuE" label="存货跌价准备明细-账面余额" periodRef="本期期初数" mulRef="_GBC_42225a9505da4f598594afea08f9738b" unitRef="_GBC_4de434e29d00482b8b3175d1e7874ff2" addr="T0R8C1S1_1" formatStyle="Comma" appId="_GBC_b9bd4a0fa089468ebded8bb61a86fbae"/>
        <m:item xlName="_GBC_da175c796e734ed9ba039be964c7e21d" concept="clcid-pte:CunHuoDieJiaZhunBeiMingXiJiTiE" label="存货跌价准备明细-计提额" mulRef="_GBC_42225a9505da4f598594afea08f9738b" unitRef="_GBC_4de434e29d00482b8b3175d1e7874ff2" addr="T0R8C2S1_1" formatStyle="Comma" appId="_GBC_b9bd4a0fa089468ebded8bb61a86fbae"/>
        <m:item xlName="_GBC_f43f963c934d460ba62ee57027d29a06" concept="clcid-pte:CunHuoDieJiaZhunBeiMingXiBenQiQiTaZengJiaE" label="存货跌价准备明细-本期其他增加额" mulRef="_GBC_42225a9505da4f598594afea08f9738b" unitRef="_GBC_4de434e29d00482b8b3175d1e7874ff2" addr="T0R8C3S1_1" formatStyle="Comma" appId="_GBC_b9bd4a0fa089468ebded8bb61a86fbae"/>
        <m:item xlName="_GBC_40d34eee5fdf455191a6ecbd54cb8424" concept="clcid-pte:CunHuoDieJiaZhunBeiMingXiZhuanHuiHuoZhuanXiaoShu" label="存货跌价准备明细-转回或转销数" mulRef="_GBC_42225a9505da4f598594afea08f9738b" unitRef="_GBC_4de434e29d00482b8b3175d1e7874ff2" addr="T0R8C4S1_1" formatStyle="Comma" appId="_GBC_b9bd4a0fa089468ebded8bb61a86fbae"/>
        <m:item xlName="_GBC_db4c6ea704db442ca9c61498ef479346" concept="clcid-pte:CunHuoDieJiaZhunBeiMingXiBenQiQiTaJianShaoE" label="存货跌价准备明细-本期其他减少额" mulRef="_GBC_42225a9505da4f598594afea08f9738b" unitRef="_GBC_4de434e29d00482b8b3175d1e7874ff2" addr="T0R8C5S1_1" formatStyle="Comma" appId="_GBC_b9bd4a0fa089468ebded8bb61a86fbae"/>
        <m:item xlName="_GBC_516228cfca644aefabda9f6410309dd4" concept="clcid-pte:CunHuoDieJiaZhunBeiMingXiZhangMianYuE" label="存货跌价准备明细-账面余额" mulRef="_GBC_42225a9505da4f598594afea08f9738b" unitRef="_GBC_4de434e29d00482b8b3175d1e7874ff2" addr="T0R8C6S1_1" formatStyle="Comma" appId="_GBC_b9bd4a0fa089468ebded8bb61a86fbae">
          <m:complexRule comparator="Eq" title="存货跌价准备明细-账面余额" test=" $_GBC_acb9b63f49884d85b89eb0214f2c8405 +  $_GBC_da175c796e734ed9ba039be964c7e21d +  $_GBC_f43f963c934d460ba62ee57027d29a06 -  $_GBC_40d34eee5fdf455191a6ecbd54cb8424 -  $_GBC_db4c6ea704db442ca9c61498ef479346" id="C338d95b2f59e4c8bb159a2923846af10"/>
        </m:item>
      </m:tuple>
      <m:placeholder xlName="_PLD_cb1768e916f04c1d8cc6e1efb4624f54" addr="T0R10C0S1_1"/>
      <m:item xlName="_GBC_eb48858203024f8c9fb2aa6c528c84e4" concept="clcid-pte:CunHuoDieJiaZhunBeiHeJiYuE" label="存货跌价准备合计余额" periodRef="本期期初数" mulRef="_GBC_42225a9505da4f598594afea08f9738b" unitRef="_GBC_4de434e29d00482b8b3175d1e7874ff2" addr="T0R10C1S1_1" formatStyle="Comma" appId="_GBC_b9bd4a0fa089468ebded8bb61a86fbae">
        <m:complexRule comparator="Eq" title="存货跌价准备合计余额@本期期初数" test=" $_GBC_e59267ca92f64ecfa8f52898e05f09ac +  $_GBC_b3a617ade78b49f48b410a8c7d346461 +  $_GBC_9a69ba76d8b44c1c8fe91ed78b9e7bac +  $_GBC_f2d719a68846492e9b3dd12a5501a265 +  $_GBC_a4b74cfe0bcc40c180dc5c55f060fad8 +  $_GBC_1db2e20f8d86483ab1964729eca4e1f5 +  $_GBC_acb9b63f49884d85b89eb0214f2c8405" id="C45fe0abd8f564dcd84024e655156d9c7"/>
      </m:item>
      <m:item xlName="_GBC_ba90aeea0fbb4a1ab37b82a05e74131e" concept="clcid-pte:CunHuoDieJiaZhunBeiHeJiYuEJiTiShu" label="存货跌价准备合计余额计提数" mulRef="_GBC_42225a9505da4f598594afea08f9738b" unitRef="_GBC_4de434e29d00482b8b3175d1e7874ff2" addr="T0R10C2S1_1" formatStyle="Comma" appId="_GBC_b9bd4a0fa089468ebded8bb61a86fbae">
        <m:complexRule comparator="Eq" title="存货跌价准备合计余额计提数" test=" $_GBC_59b2b3d906cf4133aea86191974f3930 +  $_GBC_665bb5864eab4994bcb84f4fac9705c7 +  $_GBC_75578f235ba041b1a8d8715c0a2a4131 +  $_GBC_0c3a01121017468490139bd1212a0305 +  $_GBC_ee7ad2004e02442f810013a345dbadc2 +  $_GBC_58d74aa334c24600b15b96352a402120 +  $_GBC_da175c796e734ed9ba039be964c7e21d" id="C891ad599e2c64319831e1569f7c62a25"/>
      </m:item>
      <m:item xlName="_GBC_0c1f1a251f5e4937b5b0682da6a428e2" concept="clcid-pte:CunHuoDieJiaZhunBeiHeJiYuEBenQiQiTaZengJiaE" label="存货跌价准备合计余额本期其他增加额" mulRef="_GBC_42225a9505da4f598594afea08f9738b" unitRef="_GBC_4de434e29d00482b8b3175d1e7874ff2" addr="T0R10C3S1_1" formatStyle="Comma" appId="_GBC_b9bd4a0fa089468ebded8bb61a86fbae">
        <m:complexRule comparator="Eq" title="存货跌价准备合计余额本期其他增加额" test=" $_GBC_ed94272fa104411ba268a145f4e30c86 +  $_GBC_34175905456d48dd94a272f5954ecc1b +  $_GBC_eef6f74f3dfa40dcaebff0bff5b95879 +  $_GBC_38a82cdd7bad4ef2bb07ef9b85654d80 +  $_GBC_4eacb25793104e7e9f0650426302cd97 +  $_GBC_de8ea58c33914ad8b2c87f82990983ae +  $_GBC_f43f963c934d460ba62ee57027d29a06" id="Cbd0c3afd209b40e0a7b67954ab271b11"/>
      </m:item>
      <m:item xlName="_GBC_0f0bf83f717b4703acc834c4e51af5e2" concept="clcid-pte:CunHuoDieJiaZhunBeiHeJiYuEZhuanHuiHuoZhuanXiaoShu" label="存货跌价准备合计余额转回或转销数" mulRef="_GBC_42225a9505da4f598594afea08f9738b" unitRef="_GBC_4de434e29d00482b8b3175d1e7874ff2" addr="T0R10C4S1_1" formatStyle="Comma" appId="_GBC_b9bd4a0fa089468ebded8bb61a86fbae">
        <m:complexRule comparator="Eq" title="存货跌价准备合计余额转回或转销数" test=" $_GBC_c4615698171f4504a461390ea0b77b1a +  $_GBC_added418ca7b4c33824e205f5cd81869 +  $_GBC_3f7ebcd3d9a14cfb80b48ee0500a59b5 +  $_GBC_6ee7f5118e8e4c749b1a61059d33aeff +  $_GBC_8ddaebb419a743e8bb98fe72c053c06f +  $_GBC_ddc9faaba9a248a49e791dc2c970200a +  $_GBC_40d34eee5fdf455191a6ecbd54cb8424" id="Caab749ebeee14840933c9552d7dd496c"/>
      </m:item>
      <m:item xlName="_GBC_4c27fd23cf5b4ba18047e5169032d894" concept="clcid-pte:CunHuoDieJiaZhunBeiHeJiYuEBenQiQiTaJianShaoE" label="存货跌价准备合计余额本期其他减少额" mulRef="_GBC_42225a9505da4f598594afea08f9738b" unitRef="_GBC_4de434e29d00482b8b3175d1e7874ff2" addr="T0R10C5S1_1" formatStyle="Comma" appId="_GBC_b9bd4a0fa089468ebded8bb61a86fbae">
        <m:complexRule comparator="Eq" title="存货跌价准备合计余额本期其他减少额" test=" $_GBC_0f2d33d9a60a486abd34f977dbaef00a +  $_GBC_49a0c72ddceb4ad5b381c72a1a346181 +  $_GBC_faa8b041991f452cb5f0ba39e69d2495 +  $_GBC_b5bf5edf1fbf4e7b9ab3863970fd4335 +  $_GBC_b617abe6e6734b1a9ecfe2994f4020fc +  $_GBC_daa4d1743bcf4aa7adf51687e0f1d3e7 +  $_GBC_db4c6ea704db442ca9c61498ef479346" id="Cc781fdf7f4bf400f8712894162655e2b"/>
      </m:item>
      <m:item xlName="_GBC_8ee507d7973d42f4b55fced3dc3888fb" concept="clcid-pte:CunHuoDieJiaZhunBeiHeJiYuE" label="存货跌价准备合计余额" mulRef="_GBC_42225a9505da4f598594afea08f9738b" unitRef="_GBC_4de434e29d00482b8b3175d1e7874ff2" addr="T0R10C6S1_1" formatStyle="Comma" appId="_GBC_b9bd4a0fa089468ebded8bb61a86fbae">
        <m:complexRule comparator="Eq" title="存货跌价准备合计余额期末期初计算" test=" $_GBC_eb48858203024f8c9fb2aa6c528c84e4 +  $_GBC_ba90aeea0fbb4a1ab37b82a05e74131e +  $_GBC_0c1f1a251f5e4937b5b0682da6a428e2 -  $_GBC_0f0bf83f717b4703acc834c4e51af5e2 -  $_GBC_4c27fd23cf5b4ba18047e5169032d894" id="C5e524871ed4d4d4abbd21366c262e0ad"/>
        <m:complexRule comparator="Eq" title="存货跌价准备合计余额" test=" $_GBC_17ace0f8a6364567be1710211479cfef +  $_GBC_563d5de3163f47a099e1b2ef61581665 +  $_GBC_0f3520fd178340dbab0a49f616bec9a3 +  $_GBC_a620eb2ac8964f1dbcfcf050065febfc +  $_GBC_80ed574c1c454a9e8305ee7bec14010d +  $_GBC_d64533456b9941898d76defdd2687dc4 +  $_GBC_516228cfca644aefabda9f6410309dd4" id="Ce7109f337d0f41c4a3013a306791ac26"/>
      </m:item>
    </m:section>
    <m:section xlName="_GBC_dc559aaf0bf0428386e2f7f2cdeb43ec" title="存货期末余额含有借款费用资本化金额的说明：" rules="R2015_R11_007" helpId="112001053">
      <m:item xlName="_GBC_c4216db560c643b38b29d44401d464c9" concept="clcid-ci-ar:ShiFouShiYongCunHuoQiMoYuEHanYouJieKuanFeiYongZiBenHuaJinEDeShuoMing" label="是否适用：存货期末余额含有借款费用资本化金额的说明" selectOptions="_buildInAppliance" controlType="CustomCheckbox" cRanges="{&quot;StartName&quot;:&quot;_GBC_c4216db560c643b38b29d44401d464c9&quot;,&quot;EndName&quot;:&quot;_GBC_94bd489defb34e6188f3116bd2adeb70&quot;,&quot;CType&quot;:1,&quot;DisplayText&quot;:null}"/>
      <m:item xlName="_GBC_94bd489defb34e6188f3116bd2adeb70" concept="clcid-pte:CunHuoQiMoYuEHanYouJieKuanFeiYongZiBenHuaJinEDeShuoMing" label="存货期末余额含有借款费用资本化金额的说明" appId="_GBC_c4216db560c643b38b29d44401d464c9"/>
    </m:section>
    <m:section xlName="_SEC_8c46917973d94083a642ad0ca746d3cd" title="合同履约成本本期摊销金额的说明">
      <m:item xlName="_GBC_cd3513a7790e48d4a2a156e8ad6a629a" concept="clcid-ci-ar:ShiFouShiYongHeTongLvYueChengBenBenQiTanXiaoJinEDeShuoMing" label="是否适用：合同履约成本本期摊销金额的说明" selectOptions="_buildInAppliance" controlType="CustomCheckbox" cRanges="[{&quot;StartName&quot;:&quot;_GBC_cd3513a7790e48d4a2a156e8ad6a629a&quot;,&quot;EndName&quot;:&quot;_GBC_7c9c1bc126064e8cb2163d830e2f073c&quot;,&quot;CType&quot;:1}]"/>
      <m:item xlName="_GBC_7c9c1bc126064e8cb2163d830e2f073c" concept="clcid-pte:HeTongLvYueChengBenBenQiTanXiaoJinEDeShuoMing" label="合同履约成本本期摊销金额的说明" appId="_GBC_cd3513a7790e48d4a2a156e8ad6a629a"/>
    </m:section>
    <m:section xlName="_SEC_96c2195df56b4f3eb6049f39e6923486" title="存货的其他说明">
      <m:item xlName="_GBC_bd31680428a448ecb64fdd4cbab90a42" concept="clcid-ci-ar:ShiFouShiYongCunHuoDeQiTaShuoMing" label="是否适用：存货的其他说明" selectOptions="_buildInAppliance" controlType="CustomCheckbox" cRanges="[{&quot;StartName&quot;:&quot;_GBC_bd31680428a448ecb64fdd4cbab90a42&quot;,&quot;EndName&quot;:&quot;_GBC_ad879cdee72f496fb83dd2f40a910e28&quot;,&quot;CType&quot;:1}]"/>
      <m:item xlName="_GBC_ad879cdee72f496fb83dd2f40a910e28" concept="clcid-pte:CunHuoDeShuoMing" label="存货的说明" appId="_GBC_bd31680428a448ecb64fdd4cbab90a42"/>
    </m:section>
    <m:section xlName="_SEC_9eb3b6c88c0a41f7a3f6a2f43946f06c" title="合同资产" helpId="112002271">
      <m:item xlName="_GBC_d77156d135184e21a21238cac863494c" concept="clcid-ci-ar:ShiFouShiYongHeTongZiChanQingKuang" label="是否适用：合同资产情况" selectOptions="_buildInAppliance" controlType="CustomCheckbox" cRanges="[{&quot;StartName&quot;:&quot;_GBC_d77156d135184e21a21238cac863494c&quot;,&quot;EndName&quot;:&quot;_GBC_561d72ec7c4a43a59e53e2d75ca846d6&quot;,&quot;CType&quot;:1}]"/>
      <m:item xlName="_GBC_ae95a10d4d37477595fca3e1b67967c8" concept="clcid-ci-ar:DanWeiHeTongZiChanQingKuang" label="单位：合同资产情况" selectOptions="_buildInScales" controlType="Combobox" cellType="Scale" appId="_GBC_d77156d135184e21a21238cac863494c"/>
      <m:item xlName="_GBC_9ad5c0ca85dc4cdba1c71ffd880f6171" concept="clcid-ci-ar:BiZhongHeTongZiChanQingKuang" label="币种：合同资产情况" selectOptions="_buildInISO4217" controlType="Combobox" cellType="Measure" appId="_GBC_d77156d135184e21a21238cac863494c"/>
      <m:placeholder xlName="_PLD_698ecdbdbc3c49ab9876e78d87fab014" addr="T0R0C0S2_1"/>
      <m:placeholder xlName="_PLD_93e08670e7824605b175142b67b4620d" addr="T0R0C1S1_3"/>
      <m:placeholder xlName="_PLD_6d2d3313cee04f6dbf64e6ebda20a177" addr="T0R0C4S1_3"/>
      <m:placeholder xlName="_PLD_4ba78f03bce84447ab0eb03bd654beec" addr="T0R1C1S1_1"/>
      <m:placeholder xlName="_PLD_480e356787b640d5a3d68d85462a53f5" addr="T0R1C2S1_1"/>
      <m:placeholder xlName="_PLD_0b755ec608f14ee8adbc9ef8eaed6809" addr="T0R1C3S1_1"/>
      <m:placeholder xlName="_PLD_4016b640b4a44e87984d3ef911c92d35" addr="T0R1C4S1_1"/>
      <m:placeholder xlName="_PLD_6186b1493bd84df6a9ea9798c63928ef" addr="T0R1C5S1_1"/>
      <m:placeholder xlName="_PLD_b2a17afa2830418baf67c06b4b9af324" addr="T0R1C6S1_1"/>
      <m:tuple xlName="_TUP_8abc62664d0844998470a01940c375aa" concept="clcid-pte:HeTongZiChanQingKuangMingXi" default_row="2" addr="T0R2C">
        <m:item xlName="_GBC_dcade307646a4dacbc163d52f99045bf" concept="clcid-pte:HeTongZiChanQingKuangMingXiXiangMu" label="合同资产情况明细-项目" addr="T0R2C0S1_1" appId="_GBC_d77156d135184e21a21238cac863494c"/>
        <m:item xlName="_GBC_75444e0ca5e64475a097742f7139600a" concept="clcid-pte:HeTongZiChanQingKuangMingXiZhangMianYuE" label="合同资产情况明细-账面余额" mulRef="_GBC_ae95a10d4d37477595fca3e1b67967c8" unitRef="_GBC_9ad5c0ca85dc4cdba1c71ffd880f6171" addr="T0R2C1S1_1" formatStyle="Comma" appId="_GBC_d77156d135184e21a21238cac863494c"/>
        <m:item xlName="_GBC_89051bcf6a924beb925d4435b33d9371" concept="clcid-pte:HeTongZiChanQingKuangMingXiJianZhiZhunBei" label="合同资产情况明细-减值准备" mulRef="_GBC_ae95a10d4d37477595fca3e1b67967c8" unitRef="_GBC_9ad5c0ca85dc4cdba1c71ffd880f6171" addr="T0R2C2S1_1" formatStyle="Comma" appId="_GBC_d77156d135184e21a21238cac863494c"/>
        <m:item xlName="_GBC_36a6714405a34331af263afef190969f" concept="clcid-pte:HeTongZiChanQingKuangMingXiZhangMianJiaZhi" label="合同资产情况明细-账面价值" mulRef="_GBC_ae95a10d4d37477595fca3e1b67967c8" unitRef="_GBC_9ad5c0ca85dc4cdba1c71ffd880f6171" addr="T0R2C3S1_1" formatStyle="Comma" appId="_GBC_d77156d135184e21a21238cac863494c"/>
        <m:item xlName="_GBC_78e764a693f74eeca7028e903b9fad6b" concept="clcid-pte:HeTongZiChanQingKuangMingXiZhangMianYuE" label="合同资产情况明细-账面余额" periodRef="本期期初数" mulRef="_GBC_ae95a10d4d37477595fca3e1b67967c8" unitRef="_GBC_9ad5c0ca85dc4cdba1c71ffd880f6171" addr="T0R2C4S1_1" formatStyle="Comma" appId="_GBC_d77156d135184e21a21238cac863494c"/>
        <m:item xlName="_GBC_f4b760577fcd4c05a9f523d900543962" concept="clcid-pte:HeTongZiChanQingKuangMingXiJianZhiZhunBei" label="合同资产情况明细-减值准备" periodRef="本期期初数" mulRef="_GBC_ae95a10d4d37477595fca3e1b67967c8" unitRef="_GBC_9ad5c0ca85dc4cdba1c71ffd880f6171" addr="T0R2C5S1_1" formatStyle="Comma" appId="_GBC_d77156d135184e21a21238cac863494c"/>
        <m:item xlName="_GBC_77967a80a28747bcabee21fcbc6f2fcd" concept="clcid-pte:HeTongZiChanQingKuangMingXiZhangMianJiaZhi" label="合同资产情况明细-账面价值" periodRef="本期期初数" mulRef="_GBC_ae95a10d4d37477595fca3e1b67967c8" unitRef="_GBC_9ad5c0ca85dc4cdba1c71ffd880f6171" addr="T0R2C6S1_1" formatStyle="Comma" appId="_GBC_d77156d135184e21a21238cac863494c"/>
      </m:tuple>
      <m:placeholder xlName="_PLD_baafd76ab8ac4e758fa5ce7949fcef74" addr="T0R4C0S1_1"/>
      <m:item xlName="_GBC_639a97e720554541af9b97c2ec99214a" concept="clcid-pte:HeTongZiChanZhangMianYuE" label="合同资产账面余额" mulRef="_GBC_ae95a10d4d37477595fca3e1b67967c8" unitRef="_GBC_9ad5c0ca85dc4cdba1c71ffd880f6171" addr="T0R4C1S1_1" formatStyle="Comma" appId="_GBC_d77156d135184e21a21238cac863494c">
        <m:complexRule comparator="Eq" title="合同资产账面余额" test=" $_GBC_75444e0ca5e64475a097742f7139600a" id="Cb411a6a036484ec49abb295bdfe8307f"/>
      </m:item>
      <m:item xlName="_GBC_8686b2149ae24822ba55e4bc1b560ed6" concept="clcid-pte:HeTongZiChanJianZhiZhunBei" label="合同资产减值准备" mulRef="_GBC_ae95a10d4d37477595fca3e1b67967c8" unitRef="_GBC_9ad5c0ca85dc4cdba1c71ffd880f6171" addr="T0R4C2S1_1" formatStyle="Comma" appId="_GBC_d77156d135184e21a21238cac863494c">
        <m:complexRule comparator="Eq" title="合同资产减值准备" test=" $_GBC_89051bcf6a924beb925d4435b33d9371" id="Ccfac77896dce49ee901e6aadfb8402bc"/>
      </m:item>
      <m:item xlName="_GBC_632a898f38ff4c9bb472cca7655b34f4" concept="clcid-pte:HeTongZiChan" label="合同资产" mulRef="_GBC_ae95a10d4d37477595fca3e1b67967c8" unitRef="_GBC_9ad5c0ca85dc4cdba1c71ffd880f6171" addr="T0R4C3S1_1" formatStyle="Comma" appId="_GBC_d77156d135184e21a21238cac863494c">
        <m:complexRule comparator="Eq" title="合同资产" test=" $_GBC_36a6714405a34331af263afef190969f" id="C39b717052651467d87de6c45c0529ed3"/>
      </m:item>
      <m:item xlName="_GBC_ba72197aa0cb46a0ba154953783bc68f" concept="clcid-pte:HeTongZiChanZhangMianYuE" label="合同资产账面余额" periodRef="本期期初数" mulRef="_GBC_ae95a10d4d37477595fca3e1b67967c8" unitRef="_GBC_9ad5c0ca85dc4cdba1c71ffd880f6171" addr="T0R4C4S1_1" formatStyle="Comma" appId="_GBC_d77156d135184e21a21238cac863494c">
        <m:complexRule comparator="Eq" title="合同资产账面余额@本期期初数" test=" $_GBC_78e764a693f74eeca7028e903b9fad6b" id="C6c8ca22cd67345539eca8b291b99f6c7"/>
      </m:item>
      <m:item xlName="_GBC_4c5bb34143d240abbabf3998ae2439b7" concept="clcid-pte:HeTongZiChanJianZhiZhunBei" label="合同资产减值准备" periodRef="本期期初数" mulRef="_GBC_ae95a10d4d37477595fca3e1b67967c8" unitRef="_GBC_9ad5c0ca85dc4cdba1c71ffd880f6171" addr="T0R4C5S1_1" formatStyle="Comma" appId="_GBC_d77156d135184e21a21238cac863494c">
        <m:complexRule comparator="Eq" title="合同资产减值准备@本期期初数" test=" $_GBC_f4b760577fcd4c05a9f523d900543962" id="C6fd78dc9d0cc4b989b3974f3a8d834df"/>
      </m:item>
      <m:item xlName="_GBC_561d72ec7c4a43a59e53e2d75ca846d6" concept="clcid-pte:HeTongZiChan" label="合同资产" periodRef="本期期初数" mulRef="_GBC_ae95a10d4d37477595fca3e1b67967c8" unitRef="_GBC_9ad5c0ca85dc4cdba1c71ffd880f6171" addr="T0R4C6S1_1" formatStyle="Comma" appId="_GBC_d77156d135184e21a21238cac863494c">
        <m:complexRule comparator="Eq" title="合同资产@本期期初数" test=" $_GBC_77967a80a28747bcabee21fcbc6f2fcd" id="Ca767b504146a47829b0ead71e7308ca3"/>
      </m:item>
    </m:section>
    <m:section xlName="_SEC_e8c350da8e69479e93eb03226371923c" title="报告期内账面价值发生重大变动的金额和原因" helpId="112002271">
      <m:item xlName="_GBC_4cdeacc1c4f24682b8d7fe35b510e9c1" concept="clcid-ci-ar:ShiFouShiYongHeTongZiChanZhangMianJiaZhiFaShengZhongDaBianDong" label="是否适用：合同资产账面价值发生重大变动" selectOptions="_buildInAppliance" controlType="CustomCheckbox" cRanges="[{&quot;StartName&quot;:&quot;_GBC_4cdeacc1c4f24682b8d7fe35b510e9c1&quot;,&quot;EndName&quot;:&quot;_GBC_a0804f0fbfa144779f54516819a458d0&quot;,&quot;CType&quot;:1}]"/>
      <m:item xlName="_GBC_01ece3744f2c47c9a8b801d8cb54a7a6" concept="clcid-ci-ar:DanWeiHeTongZiChanZhangMianJiaZhiFaShengZhongDaBianDong" label="单位：合同资产账面价值发生重大变动" selectOptions="_buildInScales" controlType="Combobox" cellType="Scale" appId="_GBC_4cdeacc1c4f24682b8d7fe35b510e9c1"/>
      <m:item xlName="_GBC_1af99682fb0844cab91201acbdd80c02" concept="clcid-ci-ar:BiZhongHeTongZiChanZhangMianJiaZhiFaShengZhongDaBianDong" label="币种：合同资产账面价值发生重大变动" selectOptions="_buildInISO4217" controlType="Combobox" cellType="Measure" appId="_GBC_4cdeacc1c4f24682b8d7fe35b510e9c1"/>
      <m:placeholder xlName="_PLD_e891a6d8b0a54d2ba469b5f2721f21e1" addr="T0R0C0S1_1"/>
      <m:placeholder xlName="_PLD_bdb0c34d9a8041be8b21c30b8ad5decb" addr="T0R0C1S1_1"/>
      <m:placeholder xlName="_PLD_fd0fa533a48c442f84ce27a563f9e6e7" addr="T0R0C2S1_1"/>
      <m:tuple xlName="_TUP_fd9e93f4f8d4410a91b4bfcecde08d14" concept="clcid-pte:HeTongZiChanZhangMianJiaZhiFaShengZhongDaBianDongMingXi" default_row="2" addr="T0R1C">
        <m:item xlName="_GBC_4e02180e2345433291f23e254d6c4998" concept="clcid-pte:HeTongZiChanZhangMianJiaZhiFaShengZhongDaBianDongMingXiXiangMu" label="合同资产账面价值发生重大变动明细-项目" addr="T0R1C0S1_1" appId="_GBC_4cdeacc1c4f24682b8d7fe35b510e9c1"/>
        <m:item xlName="_GBC_a56dfd3f1f6e4c1aa32cf11950049aca" concept="clcid-pte:HeTongZiChanZhangMianJiaZhiFaShengZhongDaBianDongMingXiBianDongJinE" label="合同资产账面价值发生重大变动明细-变动金额" mulRef="_GBC_01ece3744f2c47c9a8b801d8cb54a7a6" unitRef="_GBC_1af99682fb0844cab91201acbdd80c02" addr="T0R1C1S1_1" formatStyle="Comma" appId="_GBC_4cdeacc1c4f24682b8d7fe35b510e9c1"/>
        <m:item xlName="_GBC_766427a288be44898d5909ac23a5c0fd" concept="clcid-pte:HeTongZiChanZhangMianJiaZhiFaShengZhongDaBianDongMingXiBianDongYuanYin" label="合同资产账面价值发生重大变动明细-变动原因" addr="T0R1C2S1_1" appId="_GBC_4cdeacc1c4f24682b8d7fe35b510e9c1"/>
      </m:tuple>
      <m:placeholder xlName="_PLD_fd7bf81da6bf4e6793ff79accd30a1c4" addr="T0R3C0S1_1"/>
      <m:item xlName="_GBC_a0804f0fbfa144779f54516819a458d0" concept="clcid-pte:HeTongZiChanZhangMianJiaZhiFaShengZhongDaBianDongJinEHeJi" label="合同资产账面价值发生重大变动金额合计" mulRef="_GBC_01ece3744f2c47c9a8b801d8cb54a7a6" unitRef="_GBC_1af99682fb0844cab91201acbdd80c02" addr="T0R3C1S1_1" formatStyle="Comma" appId="_GBC_4cdeacc1c4f24682b8d7fe35b510e9c1">
        <m:complexRule comparator="Eq" title="合同资产账面价值发生重大变动金额合计" test=" $_GBC_a56dfd3f1f6e4c1aa32cf11950049aca" id="C67693c2238d144d7b85a006ed82e18fe"/>
      </m:item>
    </m:section>
    <m:section xlName="_SEC_bf3d6e0971b243878381353846199645" title="本期合同资产计提减值准备情况" helpId="112002271">
      <m:item xlName="_GBC_47f239b7a5d442b0a0a358017de09567" concept="clcid-ci-ar:ShiFouShiYongHeTongZiChanJianZhiZhunBei" label="是否适用：合同资产减值准备" selectOptions="_buildInAppliance" controlType="CustomCheckbox" cRanges="[{&quot;StartName&quot;:&quot;_GBC_47f239b7a5d442b0a0a358017de09567&quot;,&quot;EndName&quot;:&quot;_GBC_8f59affc2ab146c28c8a92dd37b68137&quot;,&quot;CType&quot;:1}]"/>
      <m:item xlName="_GBC_cb0a5fd213594e6085dcf2c758153bde" concept="clcid-ci-ar:DanWeiHeTongZiChanJianZhiZhunBei" label="单位：合同资产减值准备" selectOptions="_buildInScales" controlType="Combobox" cellType="Scale" appId="_GBC_47f239b7a5d442b0a0a358017de09567"/>
      <m:item xlName="_GBC_72bcdf5dde024866bb55295ec36c16b7" concept="clcid-ci-ar:BiZhongHeTongZiChanJianZhiZhunBei" label="币种：合同资产减值准备" selectOptions="_buildInISO4217" controlType="Combobox" cellType="Measure" appId="_GBC_47f239b7a5d442b0a0a358017de09567"/>
      <m:placeholder xlName="_PLD_ed703552e81a409b97024b7e4168cd95" addr="T0R0C0S1_1"/>
      <m:placeholder xlName="_PLD_12846361f4fc4229a079e531ce33c7bd" addr="T0R0C1S1_1"/>
      <m:placeholder xlName="_PLD_ec2082583d0a475c869e5f5a70898003" addr="T0R0C2S1_1"/>
      <m:placeholder xlName="_PLD_e4a95a433a3045abb3f0ca11d787adda" addr="T0R0C3S1_1"/>
      <m:placeholder xlName="_PLD_6dd3b321b7f345639798fc3eaf268492" addr="T0R0C4S1_1"/>
      <m:tuple xlName="_TUP_faa2ef98c3d24377a44ef4f5c90c8f56" concept="clcid-pte:HeTongZiChanJianZhiZhunBeiMingXi" default_row="2" addr="T0R1C">
        <m:item xlName="_GBC_f09be5994b614e7eae3f8a5a373c93d5" concept="clcid-pte:HeTongZiChanJianZhiZhunBeiMingXiXiangMu" label="合同资产减值准备明细-项目" addr="T0R1C0S1_1" appId="_GBC_47f239b7a5d442b0a0a358017de09567"/>
        <m:item xlName="_GBC_c84398c279144a1a910b96cf0fdb6a71" concept="clcid-pte:HeTongZiChanJianZhiZhunBeiMingXiBenQiJiTi" label="合同资产减值准备明细-本期计提" mulRef="_GBC_cb0a5fd213594e6085dcf2c758153bde" unitRef="_GBC_72bcdf5dde024866bb55295ec36c16b7" addr="T0R1C1S1_1" formatStyle="Comma" appId="_GBC_47f239b7a5d442b0a0a358017de09567"/>
        <m:item xlName="_GBC_7ed9c56b07aa4e96957ff2ef86586d4d" concept="clcid-pte:HeTongZiChanJianZhiZhunBeiMingXiBenQiZhuanHui" label="合同资产减值准备明细-本期转回" mulRef="_GBC_cb0a5fd213594e6085dcf2c758153bde" unitRef="_GBC_72bcdf5dde024866bb55295ec36c16b7" addr="T0R1C2S1_1" formatStyle="Comma" appId="_GBC_47f239b7a5d442b0a0a358017de09567"/>
        <m:item xlName="_GBC_c321dc83f8b748618512e4124922c0f6" concept="clcid-pte:HeTongZiChanJianZhiZhunBeiMingXiBenQiZhuanXiaoHeXiao" label="合同资产减值准备明细-本期转销/核销" mulRef="_GBC_cb0a5fd213594e6085dcf2c758153bde" unitRef="_GBC_72bcdf5dde024866bb55295ec36c16b7" addr="T0R1C3S1_1" formatStyle="Comma" appId="_GBC_47f239b7a5d442b0a0a358017de09567"/>
        <m:item xlName="_GBC_ca5a99273eff4f688ddd5f09cd7c7125" concept="clcid-pte:HeTongZiChanJianZhiZhunBeiMingXiYuanYin" label="合同资产减值准备明细-原因" addr="T0R1C4S1_1" appId="_GBC_47f239b7a5d442b0a0a358017de09567"/>
      </m:tuple>
      <m:placeholder xlName="_PLD_6ae9e9d3205844dc97746ca84ec6bb42" addr="T0R3C0S1_1"/>
      <m:item xlName="_GBC_1e8918bb5a9b4e5e9bb19a7741b72ed5" concept="clcid-pte:HeTongZiChanJianZhiZhunBeiBenQiJiTi" label="合同资产减值准备本期计提" mulRef="_GBC_cb0a5fd213594e6085dcf2c758153bde" unitRef="_GBC_72bcdf5dde024866bb55295ec36c16b7" addr="T0R3C1S1_1" formatStyle="Comma" appId="_GBC_47f239b7a5d442b0a0a358017de09567">
        <m:complexRule comparator="Eq" title="合同资产减值准备本期计提" test=" $_GBC_c84398c279144a1a910b96cf0fdb6a71" id="C71e974215f634765b075444fc0c11471"/>
      </m:item>
      <m:item xlName="_GBC_2e73cb0bd9e946ab8cec75510d0891af" concept="clcid-pte:HeTongZiChanJianZhiZhunBeiBenQiZhuanHui" label="合同资产减值准备本期转回" mulRef="_GBC_cb0a5fd213594e6085dcf2c758153bde" unitRef="_GBC_72bcdf5dde024866bb55295ec36c16b7" addr="T0R3C2S1_1" formatStyle="Comma" appId="_GBC_47f239b7a5d442b0a0a358017de09567">
        <m:complexRule comparator="Eq" title="合同资产减值准备本期转回" test=" $_GBC_7ed9c56b07aa4e96957ff2ef86586d4d" id="C4549eeb7ca0342b7802970a43ec93dea"/>
      </m:item>
      <m:item xlName="_GBC_3a8488419b7b4fe2907edc3def1fdf0e" concept="clcid-pte:HeTongZiChanJianZhiZhunBeiBenQiZhuanXiaoHeXiao" label="合同资产减值准备本期转销/核销" mulRef="_GBC_cb0a5fd213594e6085dcf2c758153bde" unitRef="_GBC_72bcdf5dde024866bb55295ec36c16b7" addr="T0R3C3S1_1" formatStyle="Comma" appId="_GBC_47f239b7a5d442b0a0a358017de09567">
        <m:complexRule comparator="Eq" title="合同资产减值准备本期转销/核销" test=" $_GBC_c321dc83f8b748618512e4124922c0f6" id="C2e7f24ae8368488493463a4cf1b1cdee"/>
      </m:item>
      <m:item xlName="_GBC_8fdd7a56e6f14d8d81f89e702e67dcdf" concept="clcid-ci-ar:ShiFouShiYongHeTongZiChanAnYiBanYuJiXinYongSunShiMoXingJiTiHuaiZhang" label="是否适用：合同资产按一般预计信用损失模型计提坏账" selectOptions="_buildInAppliance" controlType="CustomCheckbox" cRanges="[{&quot;StartName&quot;:&quot;_GBC_8fdd7a56e6f14d8d81f89e702e67dcdf&quot;,&quot;EndName&quot;:&quot;_GBC_8f59affc2ab146c28c8a92dd37b68137&quot;,&quot;CType&quot;:1}]"/>
      <m:item xlName="_GBC_8f59affc2ab146c28c8a92dd37b68137" concept="clcid-pte:HeTongZiChanAnYiBanYuJiXinYongSunShiMoXingJiTiHuaiZhang" label="合同资产按一般预计信用损失模型计提坏账" appId="_GBC_8fdd7a56e6f14d8d81f89e702e67dcdf"/>
    </m:section>
    <m:section xlName="_SEC_5b10981ad765434eb8d30a4d75bff071" title="其他说明：" helpId="112002271">
      <m:item xlName="_GBC_06cd3c0f93454d76bd0c7e20322e8a49" concept="clcid-ci-ar:ShiFouShiYongHeTongZiChanQiTaShuoMing" label="是否适用：合同资产其他说明" selectOptions="_buildInAppliance" controlType="CustomCheckbox" cRanges="[{&quot;StartName&quot;:&quot;_GBC_06cd3c0f93454d76bd0c7e20322e8a49&quot;,&quot;EndName&quot;:&quot;_GBC_d7159ff4aa1546fdbdaa5a8cf1c3cf3f&quot;,&quot;CType&quot;:1}]"/>
      <m:item xlName="_GBC_d7159ff4aa1546fdbdaa5a8cf1c3cf3f" concept="clcid-pte:HeTongZiChanQiTaShuoMing" label="合同资产其他说明" appId="_GBC_06cd3c0f93454d76bd0c7e20322e8a49"/>
    </m:section>
    <m:section xlName="_GBC_b8017c342539428893a6ec198dd061b3" title="划分为持有待售的资产" helpId="112001055" helpText="注：说明划分为持有待售的资产的原因等。">
      <m:item xlName="_GBC_a6517e0f93e04b1caa2e45201c8133b1" concept="clcid-ci-ar:ShiFouShiYongHuaFenWeiChiYouDaiShouDeZiChan" label="是否适用：划分为持有待售的资产" selectOptions="_buildInAppliance" controlType="CustomCheckbox" cRanges="{&quot;StartName&quot;:&quot;_GBC_a6517e0f93e04b1caa2e45201c8133b1&quot;,&quot;EndName&quot;:&quot;_GBC_ef5cb017c306432c82576b3d36341d7b&quot;,&quot;CType&quot;:1,&quot;DisplayText&quot;:null}"/>
      <m:item xlName="_GBC_17d119d855cd438bbe3933b67141abe4" concept="clcid-ci-ar:DanWeiCaiWuFuZhuHuaFenWeiChiYouDaiShouDeZiChan" label="单位：财务附注：划分为持有待售的资产" selectOptions="_buildInScales" controlType="Combobox" cellType="Scale" appId="_GBC_a6517e0f93e04b1caa2e45201c8133b1"/>
      <m:item xlName="_GBC_ec3e5b09d03b43cb8df19df2e9871c48" concept="clcid-ci-ar:BiZhongCaiWuFuZhuHuaFenWeiChiYouDaiShouDeZiChan" label="币种：财务附注：划分为持有待售的资产" selectOptions="_buildInISO4217" controlType="Combobox" cellType="Measure" appId="_GBC_a6517e0f93e04b1caa2e45201c8133b1"/>
      <m:placeholder xlName="_PLD_66bd1056837544e5844a05291c453c64" addr="T0R0C0S1_1"/>
      <m:placeholder xlName="_PLD_27ea1ccc0608499799c2fbc7d123ca18" addr="T0R0C1S1_1"/>
      <m:placeholder xlName="_PLD_1d5aff41e32d4693ba7a47c14d32b748" addr="T0R0C2S1_1"/>
      <m:placeholder xlName="_PLD_913d025fb795406cbc71b48e0072d241" addr="T0R0C3S1_1"/>
      <m:placeholder xlName="_PLD_82f2fda91dad4596a73269d5b0986075" addr="T0R0C4S1_1"/>
      <m:placeholder xlName="_PLD_2300775e809e48daac42e66429ee3eb8" addr="T0R0C5S1_1"/>
      <m:placeholder xlName="_PLD_752b5c1390554f1ca76051e50b687cf7" addr="T0R0C6S1_1"/>
      <m:tuple xlName="_GBC_f6903004ff0a4d3599c4eb5275b558bd" concept="clcid-pte:HuaFenWeiChiYouDaiShouDeZiChanMingXi" default_row="2" addr="T0R1C">
        <m:item xlName="_GBC_cffceeced3504a75abad9568347d817b" concept="clcid-pte:HuaFenWeiChiYouDaiShouDeZiChanMingXiXiangMuMingCheng" label="划分为持有待售的资产明细-项目名称" addr="T0R1C0S1_1" appId="_GBC_a6517e0f93e04b1caa2e45201c8133b1"/>
        <m:item xlName="_GBC_6f11763eedc34059a2cedfd3b7e6cdb1" concept="clcid-pte:HuaFenWeiChiYouDaiShouDeZiChanMingXiJinE" label="划分为持有待售的资产明细-金额" mulRef="_GBC_17d119d855cd438bbe3933b67141abe4" unitRef="_GBC_ec3e5b09d03b43cb8df19df2e9871c48" addr="T0R1C1S1_1" formatStyle="Comma" appId="_GBC_a6517e0f93e04b1caa2e45201c8133b1"/>
        <m:item xlName="_GBC_1fd49f3f0155444c86fb7813bc266e53" concept="clcid-pte:HuaFenWeiChiYouDaiShouDeZiChanMingXiJianZhiZhunBei" label="划分为持有待售的资产明细-减值准备" mulRef="_GBC_17d119d855cd438bbe3933b67141abe4" unitRef="_GBC_ec3e5b09d03b43cb8df19df2e9871c48" addr="T0R1C2S1_1" formatStyle="Comma" appId="_GBC_a6517e0f93e04b1caa2e45201c8133b1"/>
        <m:item xlName="_GBC_85da53bd40f84878a010fd420ef3809a" concept="clcid-pte:HuaFenWeiChiYouDaiShouDeZiChanMingXiZhangMianJiaZhi" label="划分为持有待售的资产明细-账面价值" mulRef="_GBC_17d119d855cd438bbe3933b67141abe4" unitRef="_GBC_ec3e5b09d03b43cb8df19df2e9871c48" addr="T0R1C3S1_1" formatStyle="Comma" appId="_GBC_a6517e0f93e04b1caa2e45201c8133b1"/>
        <m:item xlName="_GBC_547bc50928314a5a82bf6f913465f1d1" concept="clcid-pte:HuaFenWeiChiYouDaiShouDeZiChanMingXiGongYunJiaZhi" label="划分为持有待售的资产明细-公允价值" mulRef="_GBC_17d119d855cd438bbe3933b67141abe4" unitRef="_GBC_ec3e5b09d03b43cb8df19df2e9871c48" addr="T0R1C4S1_1" formatStyle="Comma" appId="_GBC_a6517e0f93e04b1caa2e45201c8133b1"/>
        <m:item xlName="_GBC_6d382a2b246a47a480f8c15cb3c7e1dc" concept="clcid-pte:HuaFenWeiChiYouDaiShouDeZiChanMingXiYuJiChuZhiFeiYong" label="划分为持有待售的资产明细-预计处置费用" mulRef="_GBC_17d119d855cd438bbe3933b67141abe4" unitRef="_GBC_ec3e5b09d03b43cb8df19df2e9871c48" addr="T0R1C5S1_1" formatStyle="Comma" appId="_GBC_a6517e0f93e04b1caa2e45201c8133b1"/>
        <m:item xlName="_GBC_6eed3d22c4fa43a6b89a3b88c6d907d0" concept="clcid-pte:HuaFenWeiChiYouDaiShouDeZiChanMingXiYuJiChuZhiShiJian" label="划分为持有待售的资产明细-预计处置时间" addr="T0R1C6S1_1" appId="_GBC_a6517e0f93e04b1caa2e45201c8133b1"/>
      </m:tuple>
      <m:placeholder xlName="_PLD_0f0ba0bb10ae4b5f86c3d3c5bdd47de5" addr="T0R3C0S1_1"/>
      <m:item xlName="_GBC_8407c25667bb4877bcbc08527af44a1a" concept="clcid-pte:ChiYouDaiShouZiChanZhangMianYuEHeJi" label="持有待售资产账面余额合计" mulRef="_GBC_17d119d855cd438bbe3933b67141abe4" unitRef="_GBC_ec3e5b09d03b43cb8df19df2e9871c48" addr="T0R3C1S1_1" formatStyle="Comma" appId="_GBC_a6517e0f93e04b1caa2e45201c8133b1">
        <m:complexRule comparator="Eq" title="划分为持有待售的资产" test="$_GBC_6f11763eedc34059a2cedfd3b7e6cdb1" id="C6b68a93644ac4680a46729b24b8acba3"/>
      </m:item>
      <m:item xlName="_GBC_4e8d9908ac684338ba27d0ea22152e15" concept="clcid-pte:HuaFenWeiChiYouDaiShouDeZiChanJianZhiZhunBeiHeJi" label="划分为持有待售的资产减值准备合计" mulRef="_GBC_17d119d855cd438bbe3933b67141abe4" unitRef="_GBC_ec3e5b09d03b43cb8df19df2e9871c48" addr="T0R3C2S1_1" formatStyle="Comma" appId="_GBC_a6517e0f93e04b1caa2e45201c8133b1">
        <m:complexRule comparator="Eq" title="划分为持有待售的资产减值准备合计" test="$_GBC_1fd49f3f0155444c86fb7813bc266e53" id="C770978b868244cccaac82108255d5fc8"/>
      </m:item>
      <m:item xlName="_GBC_ebd9f50bfcef425f8e2b8f42fc533e3a" concept="clcid-pte:HuaFenWeiChiYouDaiShouDeZiChanZhangMianJiaZhiHeJi" label="划分为持有待售的资产账面价值合计" mulRef="_GBC_17d119d855cd438bbe3933b67141abe4" unitRef="_GBC_ec3e5b09d03b43cb8df19df2e9871c48" addr="T0R3C3S1_1" formatStyle="Comma" appId="_GBC_a6517e0f93e04b1caa2e45201c8133b1">
        <m:complexRule comparator="Eq" title="划分为持有待售的资产账面价值合计" test="$_GBC_85da53bd40f84878a010fd420ef3809a" id="Cb9f657b9a0b7419eb2f2b73e432e401e"/>
      </m:item>
      <m:item xlName="_GBC_a76cffc207304326868ffc24da02e644" concept="clcid-pte:HuaFenWeiChiYouDaiShouDeZiChanGongYunJiaZhiHeJi" label="划分为持有待售的资产公允价值合计" mulRef="_GBC_17d119d855cd438bbe3933b67141abe4" unitRef="_GBC_ec3e5b09d03b43cb8df19df2e9871c48" addr="T0R3C4S1_1" formatStyle="Comma" appId="_GBC_a6517e0f93e04b1caa2e45201c8133b1">
        <m:complexRule comparator="Eq" title="划分为持有待售的资产公允价值合计" test=" $_GBC_547bc50928314a5a82bf6f913465f1d1" id="Cd98ea39fe57c400fbc52bf208c718fa6"/>
        <m:complexRule comparator="Eq" title="划分为持有待售的资产公允价值合计" test="$_GBC_547bc50928314a5a82bf6f913465f1d1" id="C32ef40a40b834583943a5260e58f2c95"/>
      </m:item>
      <m:item xlName="_GBC_c1d3abfcba2945b38809ef1c1edfdfb2" concept="clcid-pte:HuaFenWeiChiYouDaiShouDeZiChanChuZhiFeiYongHeJi" label="划分为持有待售的资产处置费用合计" mulRef="_GBC_17d119d855cd438bbe3933b67141abe4" unitRef="_GBC_ec3e5b09d03b43cb8df19df2e9871c48" addr="T0R3C5S1_1" formatStyle="Comma" appId="_GBC_a6517e0f93e04b1caa2e45201c8133b1">
        <m:complexRule comparator="Eq" title="划分为持有待售的资产处置费用合计" test=" $_GBC_6d382a2b246a47a480f8c15cb3c7e1dc" id="Caac1767d2aea44098e04f81c8e1fb5bc"/>
        <m:complexRule comparator="Eq" title="划分为持有待售的资产处置费用合计" test="$_GBC_6d382a2b246a47a480f8c15cb3c7e1dc" id="C8458d2bdd2bd41ddadd826fa23eca442"/>
      </m:item>
      <m:item xlName="_GBC_ef5cb017c306432c82576b3d36341d7b" concept="clcid-pte:HuaFenWeiChiYouDaiShouDeZiChanDeQiTaShuoMing" label="划分为持有待售的资产的其他说明" appId="_GBC_a6517e0f93e04b1caa2e45201c8133b1"/>
    </m:section>
    <m:section xlName="_GBC_73afc3711ce24918b57d8c069abaf5c5" title="一年内到期的非流动资产" helpId="112002269">
      <m:item xlName="_GBC_3c3df002388d4bbe8dd8d4df7fe26ebc" concept="clcid-ci-ar:ShiFouShiYongYiNianNeiDaoQiDeFeiLiuDongZiChan" label="是否适用：一年内到期的非流动资产" selectOptions="_buildInAppliance" controlType="CustomCheckbox" cRanges="{&quot;StartName&quot;:&quot;_GBC_3c3df002388d4bbe8dd8d4df7fe26ebc&quot;,&quot;EndName&quot;:&quot;_GBC_b46cca262d82450dafd7a3161c7d790e&quot;,&quot;CType&quot;:1,&quot;DisplayText&quot;:null}"/>
      <m:item xlName="_GBC_14922dae03f44c28ac9ffa1215012f9c" concept="clcid-ci-ar:DanWeiCaiWuFuZhuYiNianNeiDaoQiDeFeiLiuDongZiChan" label="单位：财务附注：一年内到期的非流动资产" selectOptions="_buildInScales" controlType="Combobox" cellType="Scale" appId="_GBC_3c3df002388d4bbe8dd8d4df7fe26ebc"/>
      <m:item xlName="_GBC_82f0c618fc25413492c788e363214691" concept="clcid-ci-ar:BiZhongCaiWuFuZhuYiNianNeiDaoQiDeFeiLiuDongZiChan" label="币种：财务附注：一年内到期的非流动资产" selectOptions="_buildInISO4217" controlType="Combobox" cellType="Measure" appId="_GBC_3c3df002388d4bbe8dd8d4df7fe26ebc"/>
      <m:placeholder xlName="_PLD_3dd3ecdefaa34ef4b20ed16dfc08362c" addr="T0R0C0S1_1"/>
      <m:placeholder xlName="_PLD_480b5377d1d84a9c8b0deaaf24f342ff" addr="T0R0C1S1_1"/>
      <m:placeholder xlName="_PLD_a67b2de4a1a3451da84cbef4312398ed" addr="T0R0C2S1_1"/>
      <m:placeholder xlName="_PLD_003d4bc68cf84ff392cc97c55b902406" addr="T0R1C0S1_1"/>
      <m:item xlName="_GBC_32f159678f714ed69497338e8584f974" concept="clcid-pte:YiNianNeiDaoQiDeZhaiQuanTouZi" label="一年内到期的债权投资" mulRef="_GBC_14922dae03f44c28ac9ffa1215012f9c" unitRef="_GBC_82f0c618fc25413492c788e363214691" addr="T0R1C1S1_1" formatStyle="Comma" appId="_GBC_3c3df002388d4bbe8dd8d4df7fe26ebc"/>
      <m:item xlName="_GBC_d8c1184b011246f6be00bbd93d67bead" concept="clcid-pte:YiNianNeiDaoQiDeZhaiQuanTouZi" label="一年内到期的债权投资" periodRef="本期期初数" mulRef="_GBC_14922dae03f44c28ac9ffa1215012f9c" unitRef="_GBC_82f0c618fc25413492c788e363214691" addr="T0R1C2S1_1" formatStyle="Comma" appId="_GBC_3c3df002388d4bbe8dd8d4df7fe26ebc"/>
      <m:placeholder xlName="_PLD_0fd63677aa394648b423225e51efe77a" addr="T0R2C0S1_1"/>
      <m:item xlName="_GBC_0d7bb186542140899a2cd5027c4fb922" concept="clcid-pte:YiNianNeiDaoQiDeQiTaZhaiQuanTouZi" label="一年内到期的其他债权投资" mulRef="_GBC_14922dae03f44c28ac9ffa1215012f9c" unitRef="_GBC_82f0c618fc25413492c788e363214691" addr="T0R2C1S1_1" formatStyle="Comma" appId="_GBC_3c3df002388d4bbe8dd8d4df7fe26ebc"/>
      <m:item xlName="_GBC_eb26cfe7939f4754b323beb0ce242a6e" concept="clcid-pte:YiNianNeiDaoQiDeQiTaZhaiQuanTouZi" label="一年内到期的其他债权投资" periodRef="本期期初数" mulRef="_GBC_14922dae03f44c28ac9ffa1215012f9c" unitRef="_GBC_82f0c618fc25413492c788e363214691" addr="T0R2C2S1_1" formatStyle="Comma" appId="_GBC_3c3df002388d4bbe8dd8d4df7fe26ebc"/>
      <m:tuple xlName="_GBC_28cb8da7835241e682eaaa567efa24ff" concept="clcid-pte:YiNianNeiDaoQiDeFeiLiuDongZiChanMingXi" default_row="2" addr="T0R3C">
        <m:item xlName="_GBC_834d1b5d7ca745de984b695d1b581d3c" concept="clcid-pte:YiNianNeiDaoQiDeFeiLiuDongZiChanMingXiXiangMu" label="一年内到期的非流动资产明细-项目" addr="T0R3C0S1_1" appId="_GBC_3c3df002388d4bbe8dd8d4df7fe26ebc"/>
        <m:item xlName="_GBC_696b768a04724f2e9a236b844794bc26" concept="clcid-pte:YiNianNeiDaoQiDeFeiLiuDongZiChanMingXiJinE" label="一年内到期的非流动资产明细-金额" mulRef="_GBC_14922dae03f44c28ac9ffa1215012f9c" unitRef="_GBC_82f0c618fc25413492c788e363214691" addr="T0R3C1S1_1" formatStyle="Comma" appId="_GBC_3c3df002388d4bbe8dd8d4df7fe26ebc"/>
        <m:item xlName="_GBC_78ee308ca0da4ad88fe397ccad182f99" concept="clcid-pte:YiNianNeiDaoQiDeFeiLiuDongZiChanMingXiJinE" label="一年内到期的非流动资产明细-金额" periodRef="本期期初数" mulRef="_GBC_14922dae03f44c28ac9ffa1215012f9c" unitRef="_GBC_82f0c618fc25413492c788e363214691" addr="T0R3C2S1_1" formatStyle="Comma" appId="_GBC_3c3df002388d4bbe8dd8d4df7fe26ebc"/>
      </m:tuple>
      <m:placeholder xlName="_PLD_487fc28d4c564bc397743399f82b936a" addr="T0R5C0S1_1"/>
      <m:item xlName="_GBC_71a8f7efe69040f5a7c6ea67dd8365f5" concept="clcid-pte:YiNianNeiDaoQiDeFeiLiuDongZiChan" label="一年内到期的非流动资产" mulRef="_GBC_14922dae03f44c28ac9ffa1215012f9c" unitRef="_GBC_82f0c618fc25413492c788e363214691" addr="T0R5C1S1_1" formatStyle="Comma" appId="_GBC_3c3df002388d4bbe8dd8d4df7fe26ebc">
        <m:complexRule comparator="Eq" title="一年内到期的非流动资产" test="$_GBC_32f159678f714ed69497338e8584f974+$_GBC_0d7bb186542140899a2cd5027c4fb922+$_GBC_696b768a04724f2e9a236b844794bc26" id="Cbc4d16f7d6964e1c9dcc920ec4486d1c"/>
      </m:item>
      <m:item xlName="_GBC_a8e9421368f94f748501d5b9c71f27dc" concept="clcid-pte:YiNianNeiDaoQiDeFeiLiuDongZiChan" label="一年内到期的非流动资产" periodRef="本期期初数" mulRef="_GBC_14922dae03f44c28ac9ffa1215012f9c" unitRef="_GBC_82f0c618fc25413492c788e363214691" addr="T0R5C2S1_1" formatStyle="Comma" appId="_GBC_3c3df002388d4bbe8dd8d4df7fe26ebc">
        <m:complexRule comparator="Eq" title="一年内到期的非流动资产@本期期初数" test="$_GBC_d8c1184b011246f6be00bbd93d67bead+$_GBC_eb26cfe7939f4754b323beb0ce242a6e+$_GBC_78ee308ca0da4ad88fe397ccad182f99" id="C3ec8a8ebb771448a9a7d03f1faaf3408"/>
      </m:item>
      <m:item xlName="_GBC_48bf54d20bb74c9aaa661a2407efce08" concept="clcid-ci-ar:ShiFouShiYongYiNianNeiDaoQiDeFeiLiuDongZiChanZhongZhongYaoDeZhaiQuanTouZi" label="是否适用：一年内到期的非流动资产中重要的债权投资" selectOptions="_buildInAppliance" controlType="CustomCheckbox" cRanges="[{&quot;StartName&quot;:&quot;_GBC_48bf54d20bb74c9aaa661a2407efce08&quot;,&quot;EndName&quot;:&quot;_GBC_5789f1e32ca34285a30b3b5a7fbb2673&quot;,&quot;CType&quot;:1}]"/>
      <m:item xlName="_GBC_a6d4bf0fa0a5415383a62b985918eafa" concept="clcid-ci-ar:DanWeiYiNianNeiDaoQiDeFeiLiuDongZiChanZhongZhongYaoDeZhaiQuanTouZi" label="单位：一年内到期的非流动资产中重要的债权投资" selectOptions="_buildInScales" controlType="Combobox" cellType="Scale" appId="_GBC_48bf54d20bb74c9aaa661a2407efce08"/>
      <m:item xlName="_GBC_bd648d6297274f26be4ea7316fd418ae" concept="clcid-ci-ar:BiZhongYiNianNeiDaoQiDeFeiLiuDongZiChanZhongZhongYaoDeZhaiQuanTouZi" label="币种：一年内到期的非流动资产中重要的债权投资" selectOptions="_buildInISO4217" controlType="Combobox" cellType="Measure" appId="_GBC_48bf54d20bb74c9aaa661a2407efce08"/>
      <m:placeholder xlName="_PLD_84e73736baba4b0ea56696b85b475643" addr="T1R0C0S2_1"/>
      <m:placeholder xlName="_PLD_c34ab450b96141f4a0de2edb0dae461a" addr="T1R0C1S1_4"/>
      <m:placeholder xlName="_PLD_1b48c00ba31448ba9aa27c53365d8f49" addr="T1R0C5S1_4"/>
      <m:placeholder xlName="_PLD_63c4469b25be4e958de94dfe80fac499" addr="T1R1C1S1_1"/>
      <m:placeholder xlName="_PLD_aa92baf3ad254e4eb51d54b148ac0e92" addr="T1R1C2S1_1"/>
      <m:placeholder xlName="_PLD_2453a90afd3c4b69b40223cbeee848aa" addr="T1R1C3S1_1"/>
      <m:placeholder xlName="_PLD_4c8b0392ff424f1ab4255d0c8039c6f6" addr="T1R1C4S1_1"/>
      <m:placeholder xlName="_PLD_7405e2af87b14cb99a327f8fe82fd894" addr="T1R1C5S1_1"/>
      <m:placeholder xlName="_PLD_62afa4bc9fc84b18bc33688dcc0cad06" addr="T1R1C6S1_1"/>
      <m:placeholder xlName="_PLD_4eb7b4129f264ed6807facd3cb19eb60" addr="T1R1C7S1_1"/>
      <m:placeholder xlName="_PLD_3797e640aeb64955b687dea961e2e278" addr="T1R1C8S1_1"/>
      <m:tuple xlName="_TUP_b0ed090bffea4efc94dac96fd12d9216" concept="clcid-pte:YiNianNeiDaoQiDeFeiLiuDongZiChanZhongZhongYaoDeZhaiQuanTouZiMingXi" default_row="2" addr="T1R2C">
        <m:item xlName="_GBC_aee0bc09540449b69569b1fc3f2525ec" concept="clcid-pte:YiNianNeiDaoQiDeFeiLiuDongZiChanZhongZhongYaoDeZhaiQuanTouZiMingXiXiangMuMingCheng" label="一年内到期的非流动资产中重要的债权投资明细_项目名称" addr="T1R2C0S1_1" appId="_GBC_48bf54d20bb74c9aaa661a2407efce08"/>
        <m:item xlName="_GBC_3fc16b303796449499cb4b44a6c79654" concept="clcid-pte:YiNianNeiDaoQiDeFeiLiuDongZiChanZhongZhongYaoDeZhaiQuanTouZiMingXiMianZhi" label="一年内到期的非流动资产中重要的债权投资明细_面值" mulRef="_GBC_a6d4bf0fa0a5415383a62b985918eafa" unitRef="_GBC_bd648d6297274f26be4ea7316fd418ae" addr="T1R2C1S1_1" formatStyle="Comma" appId="_GBC_48bf54d20bb74c9aaa661a2407efce08"/>
        <m:item xlName="_GBC_4f9cce86d88c45998fec9ce94144e5ab" concept="clcid-pte:YiNianNeiDaoQiDeFeiLiuDongZiChanZhongZhongYaoDeZhaiQuanTouZiMingXiPiaoMianLiLv" label="一年内到期的非流动资产中重要的债权投资明细_票面利率" addr="T1R2C2S1_1" baseScale="0.01" formatStyle="Comma" appId="_GBC_48bf54d20bb74c9aaa661a2407efce08"/>
        <m:item xlName="_GBC_99669e55018b465fb447873def443967" concept="clcid-pte:YiNianNeiDaoQiDeFeiLiuDongZiChanZhongZhongYaoDeZhaiQuanTouZiMingXiShiJiLiLv" label="一年内到期的非流动资产中重要的债权投资明细_实际利率" addr="T1R2C3S1_1" baseScale="0.01" formatStyle="Comma" appId="_GBC_48bf54d20bb74c9aaa661a2407efce08"/>
        <m:item xlName="_GBC_0e51ed4571eb4f33933a967c15c17f03" concept="clcid-pte:YiNianNeiDaoQiDeFeiLiuDongZiChanZhongZhongYaoDeZhaiQuanTouZiMingXiDaoQiRi" label="一年内到期的非流动资产中重要的债权投资明细_到期日" addr="T1R2C4S1_1" appId="_GBC_48bf54d20bb74c9aaa661a2407efce08" keyAction="38"/>
        <m:item xlName="_GBC_838bbad7168841829cf2508aedbe9ef0" concept="clcid-pte:YiNianNeiDaoQiDeFeiLiuDongZiChanZhongZhongYaoDeZhaiQuanTouZiMingXiMianZhi" label="一年内到期的非流动资产中重要的债权投资明细_面值" periodRef="本期期初数" mulRef="_GBC_a6d4bf0fa0a5415383a62b985918eafa" unitRef="_GBC_bd648d6297274f26be4ea7316fd418ae" addr="T1R2C5S1_1" formatStyle="Comma" appId="_GBC_48bf54d20bb74c9aaa661a2407efce08"/>
        <m:item xlName="_GBC_42da5aadbbec46f8843250f47d1c37b0" concept="clcid-pte:YiNianNeiDaoQiDeFeiLiuDongZiChanZhongZhongYaoDeZhaiQuanTouZiMingXiPiaoMianLiLv" label="一年内到期的非流动资产中重要的债权投资明细_票面利率" periodRef="本期期初数" addr="T1R2C6S1_1" baseScale="0.01" formatStyle="Comma" appId="_GBC_48bf54d20bb74c9aaa661a2407efce08"/>
        <m:item xlName="_GBC_f211400639dd41a7acd7ec877aff8c75" concept="clcid-pte:YiNianNeiDaoQiDeFeiLiuDongZiChanZhongZhongYaoDeZhaiQuanTouZiMingXiShiJiLiLv" label="一年内到期的非流动资产中重要的债权投资明细_实际利率" periodRef="本期期初数" addr="T1R2C7S1_1" baseScale="0.01" formatStyle="Comma" appId="_GBC_48bf54d20bb74c9aaa661a2407efce08"/>
        <m:item xlName="_GBC_ccf4e0031dc34d01a4f9fd0015575270" concept="clcid-pte:YiNianNeiDaoQiDeFeiLiuDongZiChanZhongZhongYaoDeZhaiQuanTouZiMingXiDaoQiRi" label="一年内到期的非流动资产中重要的债权投资明细_到期日" periodRef="本期期初数" addr="T1R2C8S1_1" appId="_GBC_48bf54d20bb74c9aaa661a2407efce08" keyAction="38"/>
      </m:tuple>
      <m:placeholder xlName="_PLD_e929c50f2b4041eeabd19f8e75ec00e8" addr="T1R4C0S1_1"/>
      <m:item xlName="_GBC_0513f16899f943399ebd76de25f77b17" concept="clcid-pte:YiNianNeiDaoQiDeFeiLiuDongZiChanZhongZhongYaoDeZhaiQuanTouZiMianZhiHeJi" label="一年内到期的非流动资产中重要的债权投资面值合计" mulRef="_GBC_a6d4bf0fa0a5415383a62b985918eafa" unitRef="_GBC_bd648d6297274f26be4ea7316fd418ae" addr="T1R4C1S1_1" formatStyle="Comma" appId="_GBC_48bf54d20bb74c9aaa661a2407efce08">
        <m:complexRule comparator="Eq" title="一年内到期的非流动资产中重要的债权投资面值合计" test=" $_GBC_3fc16b303796449499cb4b44a6c79654" id="C3f30d4565a9d4ae590e901ecc792ab91"/>
      </m:item>
      <m:item xlName="_GBC_5789f1e32ca34285a30b3b5a7fbb2673" concept="clcid-pte:YiNianNeiDaoQiDeFeiLiuDongZiChanZhongZhongYaoDeZhaiQuanTouZiMianZhiHeJi" label="一年内到期的非流动资产中重要的债权投资面值合计" periodRef="本期期初数" mulRef="_GBC_a6d4bf0fa0a5415383a62b985918eafa" unitRef="_GBC_bd648d6297274f26be4ea7316fd418ae" addr="T1R4C5S1_1" formatStyle="Comma" appId="_GBC_48bf54d20bb74c9aaa661a2407efce08">
        <m:complexRule comparator="Eq" title="一年内到期的非流动资产中重要的债权投资面值合计" test=" $_GBC_838bbad7168841829cf2508aedbe9ef0" id="C76f91e3e6f6b4d7590d4d121b7ff4d2f"/>
      </m:item>
      <m:item xlName="_GBC_b46cca262d82450dafd7a3161c7d790e" concept="clcid-pte:YiNianNeiDaoQiDeFeiLiuDongZiChanQiTaShuoMing" label="一年内到期的非流动资产其他说明" appId="_GBC_3c3df002388d4bbe8dd8d4df7fe26ebc"/>
    </m:section>
    <m:section xlName="_GBC_e29fd29bee934fc3ab8325cf3625b905" title="其他流动资产" rules="R2015_R11_008" helpId="112002272">
      <m:item xlName="_GBC_7733d50365e24328b41020152f88028d" concept="clcid-ci-ar:ShiFouShiYongQiTaLiuDongZiChan" label="是否适用：其他流动资产" selectOptions="_buildInAppliance" controlType="CustomCheckbox" cRanges="{&quot;StartName&quot;:&quot;_GBC_7733d50365e24328b41020152f88028d&quot;,&quot;EndName&quot;:&quot;_GBC_7955e529151148f394eed0e26977270b&quot;,&quot;CType&quot;:1,&quot;DisplayText&quot;:null}"/>
      <m:item xlName="_GBC_d0c62fc75d164678ad203d9ddb106538" concept="clcid-ci-ar:DanWeiQiTaLiuDongZiChan" label="单位：其他流动资产" selectOptions="_buildInScales" controlType="Combobox" cellType="Scale" appId="_GBC_7733d50365e24328b41020152f88028d"/>
      <m:item xlName="_GBC_9196143d56d24a9ea7f7e31ce8a09024" concept="clcid-ci-ar:BiZhongQiTaLiuDongZiChan" label="币种：其他流动资产" selectOptions="_buildInISO4217" controlType="Combobox" cellType="Measure" appId="_GBC_7733d50365e24328b41020152f88028d"/>
      <m:placeholder xlName="_PLD_15bbfc7d41df4300abcae2e424cc6572" addr="T0R0C0S1_1"/>
      <m:placeholder xlName="_PLD_d2a222194eae4e958db2401139170ea2" addr="T0R0C1S1_1"/>
      <m:placeholder xlName="_PLD_0f3815799e9d4216b9506517d8e9b90c" addr="T0R0C2S1_1"/>
      <m:placeholder xlName="_PLD_5784c482c38842a295b3e360832ddcad" addr="T0R1C0S1_1"/>
      <m:item xlName="_GBC_6598642454bc4646b120091ac7fc4bbe" concept="clcid-pte:QiTaLiuDongZiChanHeTongQuDeChengBen" label="其他流动资产-合同取得成本" mulRef="_GBC_d0c62fc75d164678ad203d9ddb106538" unitRef="_GBC_9196143d56d24a9ea7f7e31ce8a09024" addr="T0R1C1S1_1" formatStyle="Comma" appId="_GBC_7733d50365e24328b41020152f88028d"/>
      <m:item xlName="_GBC_2ca43933d22f4234b3bc60ccaf55a3db" concept="clcid-pte:QiTaLiuDongZiChanHeTongQuDeChengBen" label="其他流动资产-合同取得成本" periodRef="本期期初数" mulRef="_GBC_d0c62fc75d164678ad203d9ddb106538" unitRef="_GBC_9196143d56d24a9ea7f7e31ce8a09024" addr="T0R1C2S1_1" formatStyle="Comma" appId="_GBC_7733d50365e24328b41020152f88028d"/>
      <m:placeholder xlName="_PLD_a697556166a54a12bb39e7c933ac01b6" addr="T0R2C0S1_1"/>
      <m:item xlName="_GBC_82b246dc88da4c009b4fd08fb45c45d1" concept="clcid-pte:QiTaLiuDongZiChanYingShouTuiHuoChengBen" label="其他流动资产-应收退货成本" mulRef="_GBC_d0c62fc75d164678ad203d9ddb106538" unitRef="_GBC_9196143d56d24a9ea7f7e31ce8a09024" addr="T0R2C1S1_1" formatStyle="Comma" appId="_GBC_7733d50365e24328b41020152f88028d"/>
      <m:item xlName="_GBC_22a206a799c944cbb9e0573e53e28dbe" concept="clcid-pte:QiTaLiuDongZiChanYingShouTuiHuoChengBen" label="其他流动资产-应收退货成本" periodRef="本期期初数" mulRef="_GBC_d0c62fc75d164678ad203d9ddb106538" unitRef="_GBC_9196143d56d24a9ea7f7e31ce8a09024" addr="T0R2C2S1_1" formatStyle="Comma" appId="_GBC_7733d50365e24328b41020152f88028d"/>
      <m:tuple xlName="_TUP_0bae324e6bd3444492796087e454ca12" concept="clcid-pte:QiTaLiuDongZiChanMingXi" default_row="2" addr="T0R3C">
        <m:item xlName="_GBC_d6f897ab9d6a4032ab7102ebccdbd165" concept="clcid-pte:QiTaLiuDongZiChanMingXiXiangMu" label="其他流动资产明细-项目" addr="T0R3C0S1_1" appId="_GBC_7733d50365e24328b41020152f88028d"/>
        <m:item xlName="_GBC_367bdb19258145e986035d3f6ae36ebe" concept="clcid-pte:QiTaLiuDongZiChanMingXiJinE" label="其他流动资产明细-金额" mulRef="_GBC_d0c62fc75d164678ad203d9ddb106538" unitRef="_GBC_9196143d56d24a9ea7f7e31ce8a09024" addr="T0R3C1S1_1" formatStyle="Comma" appId="_GBC_7733d50365e24328b41020152f88028d"/>
        <m:item xlName="_GBC_119c118067454f00bc6cfa8d3d7f6902" concept="clcid-pte:QiTaLiuDongZiChanMingXiJinE" label="其他流动资产明细-金额" periodRef="本期期初数" mulRef="_GBC_d0c62fc75d164678ad203d9ddb106538" unitRef="_GBC_9196143d56d24a9ea7f7e31ce8a09024" addr="T0R3C2S1_1" formatStyle="Comma" appId="_GBC_7733d50365e24328b41020152f88028d"/>
      </m:tuple>
      <m:placeholder xlName="_PLD_b6c346d1d68d4f27847794dad182ef24" addr="T0R5C0S1_1"/>
      <m:item xlName="_GBC_4e3696862add4a628c6713db4d520f24" concept="clcid-pte:QiTaLiuDongZiChan" label="其他流动资产" mulRef="_GBC_d0c62fc75d164678ad203d9ddb106538" unitRef="_GBC_9196143d56d24a9ea7f7e31ce8a09024" addr="T0R5C1S1_1" formatStyle="Comma" appId="_GBC_7733d50365e24328b41020152f88028d">
        <m:complexRule comparator="Eq" title="其他流动资产" test=" $_GBC_367bdb19258145e986035d3f6ae36ebe +  $_GBC_6598642454bc4646b120091ac7fc4bbe +  $_GBC_82b246dc88da4c009b4fd08fb45c45d1" id="Ca418807385674c69a6b985a03114b0b3"/>
      </m:item>
      <m:item xlName="_GBC_8f8f00a635a047d5913c9d27207e5406" concept="clcid-pte:QiTaLiuDongZiChan" label="其他流动资产" periodRef="本期期初数" mulRef="_GBC_d0c62fc75d164678ad203d9ddb106538" unitRef="_GBC_9196143d56d24a9ea7f7e31ce8a09024" addr="T0R5C2S1_1" formatStyle="Comma" appId="_GBC_7733d50365e24328b41020152f88028d">
        <m:complexRule comparator="Eq" title="其他流动资产@本期期初数" test=" $_GBC_119c118067454f00bc6cfa8d3d7f6902 +  $_GBC_2ca43933d22f4234b3bc60ccaf55a3db +  $_GBC_22a206a799c944cbb9e0573e53e28dbe" id="C298fb4b0599f4f6cbb3306fb9c15f283"/>
      </m:item>
      <m:item xlName="_GBC_7955e529151148f394eed0e26977270b" concept="clcid-pte:QiTaLiuDongZiChanShuoMing" label="其他流动资产说明" appId="_GBC_7733d50365e24328b41020152f88028d"/>
    </m:section>
    <m:section xlName="_SEC_949cb4eb7a744418a5a5c6266b7029c9" title="债权投资债权投资情况" helpId="112001057">
      <m:item xlName="_GBC_22cb0188d98c4d37a97e0c6a9e34e10d" concept="clcid-ci-ar:ShiFouShiYongYiTanYuChengBenJiLiangDeChangQiZhaiQuanTouZi" label="是否适用：以摊余成本计量的长期债权投资" selectOptions="_buildInAppliance" controlType="CustomCheckbox" cRanges="[{&quot;StartName&quot;:&quot;_GBC_22cb0188d98c4d37a97e0c6a9e34e10d&quot;,&quot;EndName&quot;:&quot;_GBC_df4124c9af1d46f58eb1009cb9f4f686&quot;,&quot;CType&quot;:1}]"/>
      <m:item xlName="_GBC_d157d561aaa849b7a4acf54b3b1a5555" concept="clcid-ci-ar:DanWeiYiTanYuChengBenJiLiangDeChangQiZhaiQuanTouZi" label="单位：以摊余成本计量的长期债权投资" selectOptions="_buildInScales" controlType="Combobox" cellType="Scale" appId="_GBC_22cb0188d98c4d37a97e0c6a9e34e10d"/>
      <m:item xlName="_GBC_f91a544cb754445eb1f89182fd9d2bc9" concept="clcid-ci-ar:BiZhongYiTanYuChengBenJiLiangDeChangQiZhaiQuanTouZi" label="币种：以摊余成本计量的长期债权投资" selectOptions="_buildInISO4217" controlType="Combobox" cellType="Measure" appId="_GBC_22cb0188d98c4d37a97e0c6a9e34e10d"/>
      <m:placeholder xlName="_PLD_ab7ac8c132214a18bfbfd03aafff6e18" addr="T0R0C0S2_1"/>
      <m:placeholder xlName="_PLD_f145772978644c72a42d71eab6e0dd9e" addr="T0R0C1S1_3"/>
      <m:placeholder xlName="_PLD_b94edb563b8846399940376494bf1d4b" addr="T0R0C4S1_3"/>
      <m:placeholder xlName="_PLD_d7d5b47a3f594d728ea4acdf1665ca49" addr="T0R1C1S1_1"/>
      <m:placeholder xlName="_PLD_a49055b1519a430d9baee4e055fd8542" addr="T0R1C2S1_1"/>
      <m:placeholder xlName="_PLD_f69e4a59e1194305b58aa89d755a2bf4" addr="T0R1C3S1_1"/>
      <m:placeholder xlName="_PLD_51392153cab04b3cbcea65509fa4da8b" addr="T0R1C4S1_1"/>
      <m:placeholder xlName="_PLD_9620f0e7ba554a45b700f15254d5afd4" addr="T0R1C5S1_1"/>
      <m:placeholder xlName="_PLD_c96b470dfca84d5485d4a3dda61936b8" addr="T0R1C6S1_1"/>
      <m:tuple xlName="_TUP_648ee22987aa42a69df86eba19f503fd" concept="clcid-pte:YiTanYuChengBenJiLiangDeChangQiZhaiQuanTouZiMingXi" default_row="2" addr="T0R2C">
        <m:item xlName="_GBC_c70a4e8837ad4e31b6df4bb9ba294590" concept="clcid-pte:YiTanYuChengBenJiLiangDeChangQiZhaiQuanTouZiMingXiXiangMu" label="以摊余成本计量的长期债权投资明细-项目" addr="T0R2C0S1_1" appId="_GBC_22cb0188d98c4d37a97e0c6a9e34e10d"/>
        <m:item xlName="_GBC_5dd9bceaf31e47e68b5f483b1a62e96e" concept="clcid-pte:YiTanYuChengBenJiLiangDeChangQiZhaiQuanTouZiMingXiZhangMianYuE" label="以摊余成本计量的长期债权投资明细-账面余额" mulRef="_GBC_d157d561aaa849b7a4acf54b3b1a5555" unitRef="_GBC_f91a544cb754445eb1f89182fd9d2bc9" addr="T0R2C1S1_1" formatStyle="Comma" appId="_GBC_22cb0188d98c4d37a97e0c6a9e34e10d"/>
        <m:item xlName="_GBC_ed9db03150304e21be9bbf47d6ef5806" concept="clcid-pte:YiTanYuChengBenJiLiangDeChangQiZhaiQuanTouZiMingXiJianZhiZhunBei" label="以摊余成本计量的长期债权投资明细-减值准备" mulRef="_GBC_d157d561aaa849b7a4acf54b3b1a5555" unitRef="_GBC_f91a544cb754445eb1f89182fd9d2bc9" addr="T0R2C2S1_1" formatStyle="Comma" appId="_GBC_22cb0188d98c4d37a97e0c6a9e34e10d"/>
        <m:item xlName="_GBC_4c03ebb279b748a1b29d8e0810790e94" concept="clcid-pte:YiTanYuChengBenJiLiangDeChangQiZhaiQuanTouZiMingXiZhangMianJiaZhi" label="以摊余成本计量的长期债权投资明细-账面价值" mulRef="_GBC_d157d561aaa849b7a4acf54b3b1a5555" unitRef="_GBC_f91a544cb754445eb1f89182fd9d2bc9" addr="T0R2C3S1_1" formatStyle="Comma" appId="_GBC_22cb0188d98c4d37a97e0c6a9e34e10d"/>
        <m:item xlName="_GBC_57c867b891a642b290f4d51457c7f1f9" concept="clcid-pte:YiTanYuChengBenJiLiangDeChangQiZhaiQuanTouZiMingXiZhangMianYuE" label="以摊余成本计量的长期债权投资明细-账面余额" periodRef="本期期初数" mulRef="_GBC_d157d561aaa849b7a4acf54b3b1a5555" unitRef="_GBC_f91a544cb754445eb1f89182fd9d2bc9" addr="T0R2C4S1_1" formatStyle="Comma" appId="_GBC_22cb0188d98c4d37a97e0c6a9e34e10d"/>
        <m:item xlName="_GBC_79591a3bcd4049f9bab6834a140d0b29" concept="clcid-pte:YiTanYuChengBenJiLiangDeChangQiZhaiQuanTouZiMingXiJianZhiZhunBei" label="以摊余成本计量的长期债权投资明细-减值准备" periodRef="本期期初数" mulRef="_GBC_d157d561aaa849b7a4acf54b3b1a5555" unitRef="_GBC_f91a544cb754445eb1f89182fd9d2bc9" addr="T0R2C5S1_1" formatStyle="Comma" appId="_GBC_22cb0188d98c4d37a97e0c6a9e34e10d"/>
        <m:item xlName="_GBC_9d3d4eafc4594457a09962d87dc89f8f" concept="clcid-pte:YiTanYuChengBenJiLiangDeChangQiZhaiQuanTouZiMingXiZhangMianJiaZhi" label="以摊余成本计量的长期债权投资明细-账面价值" periodRef="本期期初数" mulRef="_GBC_d157d561aaa849b7a4acf54b3b1a5555" unitRef="_GBC_f91a544cb754445eb1f89182fd9d2bc9" addr="T0R2C6S1_1" formatStyle="Comma" appId="_GBC_22cb0188d98c4d37a97e0c6a9e34e10d"/>
      </m:tuple>
      <m:placeholder xlName="_PLD_b2ca1066d00a4735bb5b3aa2bc6b8fdb" addr="T0R4C0S1_1"/>
      <m:item xlName="_GBC_b5620d3dd5de47eaadfe0db038a6c8f3" concept="clcid-pte:YiTanYuChengBenJiLiangDeChangQiZhaiQuanTouZiZhangMianYuEHeJi" label="以摊余成本计量的长期债权投资账面余额合计" mulRef="_GBC_d157d561aaa849b7a4acf54b3b1a5555" unitRef="_GBC_f91a544cb754445eb1f89182fd9d2bc9" addr="T0R4C1S1_1" formatStyle="Comma" appId="_GBC_22cb0188d98c4d37a97e0c6a9e34e10d">
        <m:complexRule comparator="Eq" title="以摊余成本计量的长期债权投资账面余额合计" test=" $_GBC_5dd9bceaf31e47e68b5f483b1a62e96e" id="Ca114ff02db4841d188494e54bf1cd6cd"/>
      </m:item>
      <m:item xlName="_GBC_69c776d4a5d44180afac1a7cba502a46" concept="clcid-pte:YiTanYuChengBenJiLiangDeChangQiZhaiQuanTouZiJianZhiZhunBeiHeJi" label="以摊余成本计量的长期债权投资减值准备合计" mulRef="_GBC_d157d561aaa849b7a4acf54b3b1a5555" unitRef="_GBC_f91a544cb754445eb1f89182fd9d2bc9" addr="T0R4C2S1_1" formatStyle="Comma" appId="_GBC_22cb0188d98c4d37a97e0c6a9e34e10d">
        <m:complexRule comparator="Eq" title="以摊余成本计量的长期债权投资减值准备合计" test=" $_GBC_ed9db03150304e21be9bbf47d6ef5806" id="C248270b392d44dfea005774faf3333ed"/>
      </m:item>
      <m:item xlName="_GBC_6db5c20551ef4ceea54d1134ac7f61e9" concept="clcid-pte:YiTanYuChengBenJiLiangDeChangQiZhaiQuanTouZiZhangMianJiaZhiHeJi" label="以摊余成本计量的长期债权投资账面价值合计" mulRef="_GBC_d157d561aaa849b7a4acf54b3b1a5555" unitRef="_GBC_f91a544cb754445eb1f89182fd9d2bc9" addr="T0R4C3S1_1" formatStyle="Comma" appId="_GBC_22cb0188d98c4d37a97e0c6a9e34e10d">
        <m:complexRule comparator="Eq" title="以摊余成本计量的长期债权投资账面价值合计" test=" $_GBC_4c03ebb279b748a1b29d8e0810790e94" id="Cdcb7cacf6b564f66ae175444527ae8e9"/>
      </m:item>
      <m:item xlName="_GBC_2788c45da8b7442987bc1a0a48a7931f" concept="clcid-pte:YiTanYuChengBenJiLiangDeChangQiZhaiQuanTouZiZhangMianYuEHeJi" label="以摊余成本计量的长期债权投资账面余额合计" periodRef="本期期初数" mulRef="_GBC_d157d561aaa849b7a4acf54b3b1a5555" unitRef="_GBC_f91a544cb754445eb1f89182fd9d2bc9" addr="T0R4C4S1_1" formatStyle="Comma" appId="_GBC_22cb0188d98c4d37a97e0c6a9e34e10d">
        <m:complexRule comparator="Eq" title="以摊余成本计量的长期债权投资账面余额合计@本期期初数" test=" $_GBC_57c867b891a642b290f4d51457c7f1f9" id="C1ac003a0b7384b168fdc9118e22781e1"/>
      </m:item>
      <m:item xlName="_GBC_b4503391ee9841179dcb79669d62177d" concept="clcid-pte:YiTanYuChengBenJiLiangDeChangQiZhaiQuanTouZiJianZhiZhunBeiHeJi" label="以摊余成本计量的长期债权投资减值准备合计" periodRef="本期期初数" mulRef="_GBC_d157d561aaa849b7a4acf54b3b1a5555" unitRef="_GBC_f91a544cb754445eb1f89182fd9d2bc9" addr="T0R4C5S1_1" formatStyle="Comma" appId="_GBC_22cb0188d98c4d37a97e0c6a9e34e10d">
        <m:complexRule comparator="Eq" title="以摊余成本计量的长期债权投资减值准备合计@本期期初数" test=" $_GBC_79591a3bcd4049f9bab6834a140d0b29" id="C2b4ebaef745441f890bb4f95b7bcc6e5"/>
      </m:item>
      <m:item xlName="_GBC_df4124c9af1d46f58eb1009cb9f4f686" concept="clcid-pte:YiTanYuChengBenJiLiangDeChangQiZhaiQuanTouZiZhangMianJiaZhiHeJi" label="以摊余成本计量的长期债权投资账面价值合计" periodRef="本期期初数" mulRef="_GBC_d157d561aaa849b7a4acf54b3b1a5555" unitRef="_GBC_f91a544cb754445eb1f89182fd9d2bc9" addr="T0R4C6S1_1" formatStyle="Comma" appId="_GBC_22cb0188d98c4d37a97e0c6a9e34e10d">
        <m:complexRule comparator="Eq" title="以摊余成本计量的长期债权投资账面价值合计@本期期初数" test=" $_GBC_9d3d4eafc4594457a09962d87dc89f8f" id="C4f2bdc6729b54e41b9fef2e78aa1408d"/>
      </m:item>
    </m:section>
    <m:section xlName="_SEC_b1d789cc522341caa1c75b1a7b84351c" title="期末重要的债权投资" helpId="112001057">
      <m:item xlName="_GBC_0ff84ccc1d234704b93c4e33c0d575ce" concept="clcid-ci-ar:ShiFouShiYongZhongYaoDeZhaiQuanTouZi" label="是否适用：重要的债权投资" selectOptions="_buildInAppliance" controlType="CustomCheckbox" cRanges="[{&quot;StartName&quot;:&quot;_GBC_0ff84ccc1d234704b93c4e33c0d575ce&quot;,&quot;EndName&quot;:&quot;_GBC_7496b69bed5746d29b0c446acec9d13e&quot;,&quot;CType&quot;:1}]"/>
      <m:item xlName="_GBC_045b5335286440e59af124539bf1337c" concept="clcid-ci-ar:DanWeiZhongYaoDeZhaiQuanTouZi" label="单位：重要的债权投资" selectOptions="_buildInScales" controlType="Combobox" cellType="Scale" appId="_GBC_0ff84ccc1d234704b93c4e33c0d575ce"/>
      <m:item xlName="_GBC_bd2ad09682a8496bba51942ff79d0c41" concept="clcid-ci-ar:BiZhongZhongYaoDeZhaiQuanTouZi" label="币种：重要的债权投资" selectOptions="_buildInISO4217" controlType="Combobox" cellType="Measure" appId="_GBC_0ff84ccc1d234704b93c4e33c0d575ce"/>
      <m:placeholder xlName="_PLD_61bc09ff8fa84b048e67fb3fd7541932" addr="T0R0C0S2_1"/>
      <m:placeholder xlName="_PLD_4aedea7fd9744450a4b3d7bc77e3aabc" addr="T0R0C1S1_4"/>
      <m:placeholder xlName="_PLD_e627b0cb14fc4170a0a9ee48b6b11b31" addr="T0R0C5S1_4"/>
      <m:placeholder xlName="_PLD_ebd9456f09eb4a7fa47263474b03fd2c" addr="T0R1C1S1_1"/>
      <m:placeholder xlName="_PLD_803d2430feda4eb8bf3a341132fcd1ce" addr="T0R1C2S1_1"/>
      <m:placeholder xlName="_PLD_3c32ca6c768d4c7da158845dd1743899" addr="T0R1C3S1_1"/>
      <m:placeholder xlName="_PLD_71303825517c4b379232ab2abb4ffe1c" addr="T0R1C4S1_1"/>
      <m:placeholder xlName="_PLD_2506de4c2b2e4be0b8a1edec3d6e5d78" addr="T0R1C5S1_1"/>
      <m:placeholder xlName="_PLD_cd984abbdc3d4ecf8b91c870b323ec76" addr="T0R1C6S1_1"/>
      <m:placeholder xlName="_PLD_da4967da01554c588a9a0412198760bd" addr="T0R1C7S1_1"/>
      <m:placeholder xlName="_PLD_503ec353b79e45e18784eb22acb2bff3" addr="T0R1C8S1_1"/>
      <m:tuple xlName="_TUP_e01fb25cbe3b43aa84d2611f0e350fb8" concept="clcid-pte:ZhongYaoDeZhaiQuanTouZiMingXi" default_row="2" addr="T0R2C">
        <m:item xlName="_GBC_43f39d8b6944410ab6b3ff53597c2855" concept="clcid-pte:ZhongYaoDeZhaiQuanTouZiMingXiXiangMu" label="重要的债权投资明细-项目" addr="T0R2C0S1_1" appId="_GBC_0ff84ccc1d234704b93c4e33c0d575ce"/>
        <m:item xlName="_GBC_0abb625cb9054913b27c52c76cfd6878" concept="clcid-pte:ZhongYaoDeZhaiQuanTouZiMingXiMianZhi" label="重要的债权投资明细-面值" mulRef="_GBC_045b5335286440e59af124539bf1337c" unitRef="_GBC_bd2ad09682a8496bba51942ff79d0c41" addr="T0R2C1S1_1" formatStyle="Comma" appId="_GBC_0ff84ccc1d234704b93c4e33c0d575ce"/>
        <m:item xlName="_GBC_ef9c7f97eaa346bf9662269bd1dec39f" concept="clcid-pte:ZhongYaoDeZhaiQuanTouZiMingXiPiaoMianLiLv" label="重要的债权投资明细-票面利率" addr="T0R2C2S1_1" baseScale="0.01" formatStyle="Comma" appId="_GBC_0ff84ccc1d234704b93c4e33c0d575ce"/>
        <m:item xlName="_GBC_516622da11274b129c559afe96a1f135" concept="clcid-pte:ZhongYaoDeZhaiQuanTouZiMingXiShiJiLiLv" label="重要的债权投资明细-实际利率" addr="T0R2C3S1_1" baseScale="0.01" formatStyle="Comma" appId="_GBC_0ff84ccc1d234704b93c4e33c0d575ce"/>
        <m:item xlName="_GBC_53657716a0134757b3db59e4cf407129" concept="clcid-pte:ZhongYaoDeZhaiQuanTouZiMingXiDaoQiRi" label="重要的债权投资明细-到期日" addr="T0R2C4S1_1" appId="_GBC_0ff84ccc1d234704b93c4e33c0d575ce"/>
        <m:item xlName="_GBC_4b19b4215c86446e8836fc67217bae94" concept="clcid-pte:ZhongYaoDeZhaiQuanTouZiMingXiMianZhi" label="重要的债权投资明细-面值" periodRef="本期期初数" mulRef="_GBC_045b5335286440e59af124539bf1337c" unitRef="_GBC_bd2ad09682a8496bba51942ff79d0c41" addr="T0R2C5S1_1" formatStyle="Comma" appId="_GBC_0ff84ccc1d234704b93c4e33c0d575ce"/>
        <m:item xlName="_GBC_53182d0aab904ca08aa297d3a68f4f62" concept="clcid-pte:ZhongYaoDeZhaiQuanTouZiMingXiPiaoMianLiLv" label="重要的债权投资明细-票面利率" periodRef="本期期初数" addr="T0R2C6S1_1" baseScale="0.01" formatStyle="Comma" appId="_GBC_0ff84ccc1d234704b93c4e33c0d575ce"/>
        <m:item xlName="_GBC_57926dc25edd4cc399dc05f81c4ae8a1" concept="clcid-pte:ZhongYaoDeZhaiQuanTouZiMingXiShiJiLiLv" label="重要的债权投资明细-实际利率" periodRef="本期期初数" addr="T0R2C7S1_1" baseScale="0.01" formatStyle="Comma" appId="_GBC_0ff84ccc1d234704b93c4e33c0d575ce"/>
        <m:item xlName="_GBC_4f1ae36e3cd7411c8d78f0131406430b" concept="clcid-pte:ZhongYaoDeZhaiQuanTouZiMingXiDaoQiRi" label="重要的债权投资明细-到期日" periodRef="本期期初数" addr="T0R2C8S1_1" appId="_GBC_0ff84ccc1d234704b93c4e33c0d575ce"/>
      </m:tuple>
      <m:placeholder xlName="_PLD_bac70ea2233041db81daf0e6cad134a7" addr="T0R4C0S1_1"/>
      <m:item xlName="_GBC_f73dbfedfa544bf3ae13ba1403daea0f" concept="clcid-pte:ZhongYaoDeZhaiQuanTouZiMianZhiHeJi" label="重要的债权投资面值合计" mulRef="_GBC_045b5335286440e59af124539bf1337c" unitRef="_GBC_bd2ad09682a8496bba51942ff79d0c41" addr="T0R4C1S1_1" formatStyle="Comma" appId="_GBC_0ff84ccc1d234704b93c4e33c0d575ce">
        <m:complexRule comparator="Eq" title="重要的债权投资面值合计" test=" $_GBC_0abb625cb9054913b27c52c76cfd6878" id="C2aaf232f900a4040b022291a2a4fd4fa"/>
      </m:item>
      <m:item xlName="_GBC_7496b69bed5746d29b0c446acec9d13e" concept="clcid-pte:ZhongYaoDeZhaiQuanTouZiMianZhiHeJi" label="重要的债权投资面值合计" periodRef="本期期初数" mulRef="_GBC_045b5335286440e59af124539bf1337c" unitRef="_GBC_bd2ad09682a8496bba51942ff79d0c41" addr="T0R4C5S1_1" formatStyle="Comma" appId="_GBC_0ff84ccc1d234704b93c4e33c0d575ce">
        <m:complexRule comparator="Eq" title="重要的债权投资面值合计@本期期初数" test=" $_GBC_4b19b4215c86446e8836fc67217bae94" id="Cb16a65606f404978b0f126863644f21c"/>
      </m:item>
    </m:section>
    <m:section xlName="_SEC_bff86b17d4774a4a9f8a3329635b5429" title="减值准备计提情况" helpId="112001057">
      <m:item xlName="_GBC_415a5cd43ad14136b13ac09b150da06f" concept="clcid-ci-ar:ShiFouShiYongZhaiQuanTouZiJianZhiZhunBeiTiaoJieBiao" label="是否适用：债权投资减值准备调节表" selectOptions="_buildInAppliance" controlType="CustomCheckbox" cRanges="[{&quot;StartName&quot;:&quot;_GBC_415a5cd43ad14136b13ac09b150da06f&quot;,&quot;EndName&quot;:&quot;_GBC_c0e1f66883e84f4f9f6083f00d4c9caf&quot;,&quot;CType&quot;:1}]"/>
      <m:item xlName="_GBC_f32f782022c946c2b40d9cf5794220cc" concept="clcid-ci-ar:DanWeiZhaiQuanTouZiJianZhiZhunBeiTiaoJieBiao" label="单位：债权投资减值准备调节表" selectOptions="_buildInScales" controlType="Combobox" cellType="Scale" appId="_GBC_415a5cd43ad14136b13ac09b150da06f"/>
      <m:item xlName="_GBC_4f35b1271a4848999e32a9fe60279aff" concept="clcid-ci-ar:BiZhongZhaiQuanTouZiJianZhiZhunBeiTiaoJieBiao" label="币种：债权投资减值准备调节表" selectOptions="_buildInISO4217" controlType="Combobox" cellType="Measure" appId="_GBC_415a5cd43ad14136b13ac09b150da06f"/>
      <m:placeholder xlName="_PLD_55dc925f91764d84828b2ba8d19eabd4" addr="T0R0C0S2_1"/>
      <m:placeholder xlName="_PLD_e78a092241964c9586f65e81a4ade20f" addr="T0R0C1S1_1"/>
      <m:placeholder xlName="_PLD_5f35bd6e8570496dbc5161f906ce4275" addr="T0R0C2S1_1"/>
      <m:placeholder xlName="_PLD_2e3be41a190748b9b540858b9049b0d0" addr="T0R0C3S1_1"/>
      <m:placeholder xlName="_PLD_7385828e216a44a397e6c0ca0c18cd34" addr="T0R0C4S2_1"/>
      <m:placeholder xlName="_PLD_dea8b4532f894fe799af8f177e39b8dc" addr="T0R1C1S1_1"/>
      <m:placeholder xlName="_PLD_43e47536bb3248b0b059fd124c4c9696" addr="T0R1C2S1_1"/>
      <m:placeholder xlName="_PLD_df815b818e234546bfe8ccc9270fadd9" addr="T0R1C3S1_1"/>
      <m:placeholder xlName="_PLD_cfeb6201cb434d089bc8bb10a29f3f0e" addr="T0R2C0S1_1"/>
      <m:item xlName="_GBC_45723448ea234ecc83f1b5550bc79338" concept="clcid-pte:ZhaiQuanTouZiJianZhiZhunBeiDiYiJieDuan" label="债权投资减值准备（第一阶段）" periodRef="本期期初数" mulRef="_GBC_f32f782022c946c2b40d9cf5794220cc" unitRef="_GBC_4f35b1271a4848999e32a9fe60279aff" addr="T0R2C1S1_1" formatStyle="Comma" appId="_GBC_415a5cd43ad14136b13ac09b150da06f"/>
      <m:item xlName="_GBC_be8c95059c6a48feb28e99788f29a82c" concept="clcid-pte:ZhaiQuanTouZiJianZhiZhunBeiDiErJieDuan" label="债权投资减值准备（第二阶段）" periodRef="本期期初数" mulRef="_GBC_f32f782022c946c2b40d9cf5794220cc" unitRef="_GBC_4f35b1271a4848999e32a9fe60279aff" addr="T0R2C2S1_1" formatStyle="Comma" appId="_GBC_415a5cd43ad14136b13ac09b150da06f"/>
      <m:item xlName="_GBC_79c7ce8701ed405b88e4a95f3c7869a2" concept="clcid-pte:ZhaiQuanTouZiJianZhiZhunBeiDiSanJieDuan" label="债权投资减值准备（第三阶段）" periodRef="本期期初数" mulRef="_GBC_f32f782022c946c2b40d9cf5794220cc" unitRef="_GBC_4f35b1271a4848999e32a9fe60279aff" addr="T0R2C3S1_1" formatStyle="Comma" appId="_GBC_415a5cd43ad14136b13ac09b150da06f"/>
      <m:item xlName="_GBC_c9dcfeeedcd24f9e951b48a624540128" concept="clcid-pte:ZhaiQuanTouZiJianZhiZhunBei" label="债权投资减值准备" periodRef="本期期初数" mulRef="_GBC_f32f782022c946c2b40d9cf5794220cc" unitRef="_GBC_4f35b1271a4848999e32a9fe60279aff" addr="T0R2C4S1_1" formatStyle="Comma" appId="_GBC_415a5cd43ad14136b13ac09b150da06f"/>
      <m:placeholder xlName="_PLD_c95049592e23495dae2ac0f198421248" addr="T0R3C0S1_1"/>
      <m:item xlName="_GBC_742f410f35614a7eafa5fed8b0c2a629" concept="clcid-pte:ZhaiQuanTouZiJianZhiZhunBeiBenQiZhuanRuHuoZhuanHuiDiYiJieDuan" label="债权投资减值准备本期转入或转回（第一阶段）" mulRef="_GBC_f32f782022c946c2b40d9cf5794220cc" unitRef="_GBC_4f35b1271a4848999e32a9fe60279aff" addr="T0R3C1S1_1" formatStyle="Comma" appId="_GBC_415a5cd43ad14136b13ac09b150da06f"/>
      <m:item xlName="_GBC_d60c9ac5c06348fb8c922ab1f0a10a64" concept="clcid-pte:ZhaiQuanTouZiJianZhiZhunBeiBenQiZhuanRuHuoZhuanHuiDiErJieDuan" label="债权投资减值准备本期转入或转回（第二阶段）" mulRef="_GBC_f32f782022c946c2b40d9cf5794220cc" unitRef="_GBC_4f35b1271a4848999e32a9fe60279aff" addr="T0R3C2S1_1" formatStyle="Comma" appId="_GBC_415a5cd43ad14136b13ac09b150da06f"/>
      <m:item xlName="_GBC_b29503393d024615a420c82b74a1ddb1" concept="clcid-pte:ZhaiQuanTouZiJianZhiZhunBeiBenQiZhuanRuHuoZhuanHuiDiSanJieDuan" label="债权投资减值准备本期转入或转回（第三阶段）" mulRef="_GBC_f32f782022c946c2b40d9cf5794220cc" unitRef="_GBC_4f35b1271a4848999e32a9fe60279aff" addr="T0R3C3S1_1" formatStyle="Comma" appId="_GBC_415a5cd43ad14136b13ac09b150da06f"/>
      <m:item xlName="_GBC_281ed39633ea474c8bec5e7b54d1c4b9" concept="clcid-pte:ZhaiQuanTouZiJianZhiZhunBeiBenQiZhuanRuHuoZhuanHuiJieDuanHeJi" label="债权投资减值准备本期转入或转回阶段合计" mulRef="_GBC_f32f782022c946c2b40d9cf5794220cc" unitRef="_GBC_4f35b1271a4848999e32a9fe60279aff" addr="T0R3C4S1_1" formatStyle="Comma" appId="_GBC_415a5cd43ad14136b13ac09b150da06f"/>
      <m:placeholder xlName="_PLD_507d63ddc16e473da1693050741f2e75" addr="T0R4C0S1_1"/>
      <m:item xlName="_GBC_2fe1771ab8174d9fbe4626f712933dc6" concept="clcid-pte:ZhaiQuanTouZiJianZhiZhunBeiBenQiZhuanRuDiErJieDuanDiYiJieDuan" label="债权投资减值准备本期转入第二阶段（第一阶段）" mulRef="_GBC_f32f782022c946c2b40d9cf5794220cc" unitRef="_GBC_4f35b1271a4848999e32a9fe60279aff" addr="T0R4C1S1_1" formatStyle="Comma" appId="_GBC_415a5cd43ad14136b13ac09b150da06f"/>
      <m:item xlName="_GBC_05990dec80e3499e801e5c34ae2687aa" concept="clcid-pte:ZhaiQuanTouZiJianZhiZhunBeiBenQiZhuanRuDiErJieDuanDiErJieDuan" label="债权投资减值准备本期转入第二阶段（第二阶段）" mulRef="_GBC_f32f782022c946c2b40d9cf5794220cc" unitRef="_GBC_4f35b1271a4848999e32a9fe60279aff" addr="T0R4C2S1_1" formatStyle="Comma" appId="_GBC_415a5cd43ad14136b13ac09b150da06f"/>
      <m:item xlName="_GBC_58fcb78fcc7b4b11b5cfa00a6697fcf4" concept="clcid-pte:ZhaiQuanTouZiJianZhiZhunBeiBenQiZhuanRuDiErJieDuanDiSanJieDuan" label="债权投资减值准备本期转入第二阶段（第三阶段）" mulRef="_GBC_f32f782022c946c2b40d9cf5794220cc" unitRef="_GBC_4f35b1271a4848999e32a9fe60279aff" addr="T0R4C3S1_1" formatStyle="Comma" appId="_GBC_415a5cd43ad14136b13ac09b150da06f"/>
      <m:item xlName="_GBC_03a5ed91102d47f9aa1310fc81de8778" concept="clcid-pte:ZhaiQuanTouZiJianZhiZhunBeiBenQiZhuanRuDiErJieDuanJieDuanHeJi" label="债权投资减值准备本期转入第二阶段阶段合计" mulRef="_GBC_f32f782022c946c2b40d9cf5794220cc" unitRef="_GBC_4f35b1271a4848999e32a9fe60279aff" addr="T0R4C4S1_1" formatStyle="Comma" appId="_GBC_415a5cd43ad14136b13ac09b150da06f"/>
      <m:placeholder xlName="_PLD_0a75e8184319478c9d335143523e48f0" addr="T0R5C0S1_1"/>
      <m:item xlName="_GBC_6414afdedee24dc6b861485dbd66502b" concept="clcid-pte:ZhaiQuanTouZiJianZhiZhunBeiBenQiZhuanRuDiSanJieDuanDiYiJieDuan" label="债权投资减值准备本期转入第三阶段（第一阶段）" mulRef="_GBC_f32f782022c946c2b40d9cf5794220cc" unitRef="_GBC_4f35b1271a4848999e32a9fe60279aff" addr="T0R5C1S1_1" formatStyle="Comma" appId="_GBC_415a5cd43ad14136b13ac09b150da06f"/>
      <m:item xlName="_GBC_6563252724a548a19fd5b6a6d947ad23" concept="clcid-pte:ZhaiQuanTouZiJianZhiZhunBeiBenQiZhuanRuDiSanJieDuanDiErJieDuan" label="债权投资减值准备本期转入第三阶段（第二阶段）" mulRef="_GBC_f32f782022c946c2b40d9cf5794220cc" unitRef="_GBC_4f35b1271a4848999e32a9fe60279aff" addr="T0R5C2S1_1" formatStyle="Comma" appId="_GBC_415a5cd43ad14136b13ac09b150da06f"/>
      <m:item xlName="_GBC_37b3ba56d2ee4dd7b11391873e5a62ce" concept="clcid-pte:ZhaiQuanTouZiJianZhiZhunBeiBenQiZhuanRuDiSanJieDuanDiSanJieDuan" label="债权投资减值准备本期转入第三阶段（第三阶段）" mulRef="_GBC_f32f782022c946c2b40d9cf5794220cc" unitRef="_GBC_4f35b1271a4848999e32a9fe60279aff" addr="T0R5C3S1_1" formatStyle="Comma" appId="_GBC_415a5cd43ad14136b13ac09b150da06f"/>
      <m:item xlName="_GBC_044dfb3dd2594014844a851f51d6d3b9" concept="clcid-pte:ZhaiQuanTouZiJianZhiZhunBeiBenQiZhuanRuDiSanJieDuanJieDuanHeJi" label="债权投资减值准备本期转入第三阶段阶段合计" mulRef="_GBC_f32f782022c946c2b40d9cf5794220cc" unitRef="_GBC_4f35b1271a4848999e32a9fe60279aff" addr="T0R5C4S1_1" formatStyle="Comma" appId="_GBC_415a5cd43ad14136b13ac09b150da06f"/>
      <m:placeholder xlName="_PLD_4e954582c3854fdebb395b71d83d62e6" addr="T0R6C0S1_1"/>
      <m:item xlName="_GBC_adf74bb14201490ab7fc9fa253711f9a" concept="clcid-pte:ZhaiQuanTouZiJianZhiZhunBeiBenQiZhuanHuiDiErJieDuanDiYiJieDuan" label="债权投资减值准备本期转回第二阶段（第一阶段）" mulRef="_GBC_f32f782022c946c2b40d9cf5794220cc" unitRef="_GBC_4f35b1271a4848999e32a9fe60279aff" addr="T0R6C1S1_1" formatStyle="Comma" appId="_GBC_415a5cd43ad14136b13ac09b150da06f"/>
      <m:item xlName="_GBC_ae1d9d2013c64f0e8f1fd23bf515a141" concept="clcid-pte:ZhaiQuanTouZiJianZhiZhunBeiBenQiZhuanHuiDiErJieDuanDiErJieDuan" label="债权投资减值准备本期转回第二阶段（第二阶段）" mulRef="_GBC_f32f782022c946c2b40d9cf5794220cc" unitRef="_GBC_4f35b1271a4848999e32a9fe60279aff" addr="T0R6C2S1_1" formatStyle="Comma" appId="_GBC_415a5cd43ad14136b13ac09b150da06f"/>
      <m:item xlName="_GBC_4f79461c3fe541eba9cd2c7382d735dd" concept="clcid-pte:ZhaiQuanTouZiJianZhiZhunBeiBenQiZhuanHuiDiErJieDuanDiSanJieDuan" label="债权投资减值准备本期转回第二阶段（第三阶段）" mulRef="_GBC_f32f782022c946c2b40d9cf5794220cc" unitRef="_GBC_4f35b1271a4848999e32a9fe60279aff" addr="T0R6C3S1_1" formatStyle="Comma" appId="_GBC_415a5cd43ad14136b13ac09b150da06f"/>
      <m:item xlName="_GBC_a1bd602b8a48480cad9d695a540f4b26" concept="clcid-pte:ZhaiQuanTouZiJianZhiZhunBeiBenQiZhuanHuiDiErJieDuanJieDuanHeJi" label="债权投资减值准备本期转回第二阶段阶段合计" mulRef="_GBC_f32f782022c946c2b40d9cf5794220cc" unitRef="_GBC_4f35b1271a4848999e32a9fe60279aff" addr="T0R6C4S1_1" formatStyle="Comma" appId="_GBC_415a5cd43ad14136b13ac09b150da06f"/>
      <m:placeholder xlName="_PLD_b9e3b3298b7a4cfca87e63549fccf0e8" addr="T0R7C0S1_1"/>
      <m:item xlName="_GBC_3c7287eee669496b8aebd32a0c4cdcdc" concept="clcid-pte:ZhaiQuanTouZiJianZhiZhunBeiBenQiZhuanHuiDiYiJieDuanDiYiJieDuan" label="债权投资减值准备本期转回第一阶段（第一阶段）" mulRef="_GBC_f32f782022c946c2b40d9cf5794220cc" unitRef="_GBC_4f35b1271a4848999e32a9fe60279aff" addr="T0R7C1S1_1" formatStyle="Comma" appId="_GBC_415a5cd43ad14136b13ac09b150da06f"/>
      <m:item xlName="_GBC_8a2f88713e2c48c18ff27f192d401bdb" concept="clcid-pte:ZhaiQuanTouZiJianZhiZhunBeiBenQiZhuanHuiDiYiJieDuanDiErJieDuan" label="债权投资减值准备本期转回第一阶段（第二阶段）" mulRef="_GBC_f32f782022c946c2b40d9cf5794220cc" unitRef="_GBC_4f35b1271a4848999e32a9fe60279aff" addr="T0R7C2S1_1" formatStyle="Comma" appId="_GBC_415a5cd43ad14136b13ac09b150da06f"/>
      <m:item xlName="_GBC_fb5bb11cc23e42f0ac32fdb3655aac93" concept="clcid-pte:ZhaiQuanTouZiJianZhiZhunBeiBenQiZhuanHuiDiYiJieDuanDiSanJieDuan" label="债权投资减值准备本期转回第一阶段（第三阶段）" mulRef="_GBC_f32f782022c946c2b40d9cf5794220cc" unitRef="_GBC_4f35b1271a4848999e32a9fe60279aff" addr="T0R7C3S1_1" formatStyle="Comma" appId="_GBC_415a5cd43ad14136b13ac09b150da06f"/>
      <m:item xlName="_GBC_ae4001a207ea41ecb9c2ab5183a768e7" concept="clcid-pte:ZhaiQuanTouZiJianZhiZhunBeiBenQiZhuanHuiDiYiJieDuanJieDuanHeJi" label="债权投资减值准备本期转回第一阶段阶段合计" mulRef="_GBC_f32f782022c946c2b40d9cf5794220cc" unitRef="_GBC_4f35b1271a4848999e32a9fe60279aff" addr="T0R7C4S1_1" formatStyle="Comma" appId="_GBC_415a5cd43ad14136b13ac09b150da06f"/>
      <m:placeholder xlName="_PLD_b40d4e79330248e3a8d36981d8fb6374" addr="T0R8C0S1_1"/>
      <m:item xlName="_GBC_451c6928d8984737a5cd3570308ad767" concept="clcid-pte:ZhaiQuanTouZiJianZhiZhunBeiBenQiXinZengJiTiDiYiJieDuan" label="债权投资减值准备本期新增计提（第一阶段）" mulRef="_GBC_f32f782022c946c2b40d9cf5794220cc" unitRef="_GBC_4f35b1271a4848999e32a9fe60279aff" addr="T0R8C1S1_1" formatStyle="Comma" appId="_GBC_415a5cd43ad14136b13ac09b150da06f"/>
      <m:item xlName="_GBC_1479adcf8b9c4406975d1a9b50ea5113" concept="clcid-pte:ZhaiQuanTouZiJianZhiZhunBeiBenQiXinZengJiTiDiErJieDuan" label="债权投资减值准备本期新增计提（第二阶段）" mulRef="_GBC_f32f782022c946c2b40d9cf5794220cc" unitRef="_GBC_4f35b1271a4848999e32a9fe60279aff" addr="T0R8C2S1_1" formatStyle="Comma" appId="_GBC_415a5cd43ad14136b13ac09b150da06f"/>
      <m:item xlName="_GBC_d49e51ba46de42449693e543e9940504" concept="clcid-pte:ZhaiQuanTouZiJianZhiZhunBeiBenQiXinZengJiTiDiSanJieDuan" label="债权投资减值准备本期新增计提（第三阶段）" mulRef="_GBC_f32f782022c946c2b40d9cf5794220cc" unitRef="_GBC_4f35b1271a4848999e32a9fe60279aff" addr="T0R8C3S1_1" formatStyle="Comma" appId="_GBC_415a5cd43ad14136b13ac09b150da06f"/>
      <m:item xlName="_GBC_e94b965ff1c54322ba0be8cedc91b91b" concept="clcid-pte:ZhaiQuanTouZiJianZhiZhunBeiBenQiXinZengJiTiJieDuanHeJi" label="债权投资减值准备本期新增计提阶段合计" mulRef="_GBC_f32f782022c946c2b40d9cf5794220cc" unitRef="_GBC_4f35b1271a4848999e32a9fe60279aff" addr="T0R8C4S1_1" formatStyle="Comma" appId="_GBC_415a5cd43ad14136b13ac09b150da06f"/>
      <m:placeholder xlName="_PLD_abed24858e9c43f2b26913bc428b6375" addr="T0R9C0S1_1"/>
      <m:item xlName="_GBC_0b5606e8732a4c229c4bef351f896404" concept="clcid-pte:ZhaiQuanTouZiJianZhiZhunBeiBenQiZhuanHuiDiYiJieDuan" label="债权投资减值准备本期转回（第一阶段）" mulRef="_GBC_f32f782022c946c2b40d9cf5794220cc" unitRef="_GBC_4f35b1271a4848999e32a9fe60279aff" addr="T0R9C1S1_1" formatStyle="Comma" appId="_GBC_415a5cd43ad14136b13ac09b150da06f"/>
      <m:item xlName="_GBC_79deea05c9b5456f9b2501334a744bc6" concept="clcid-pte:ZhaiQuanTouZiJianZhiZhunBeiBenQiZhuanHuiDiErJieDuan" label="债权投资减值准备本期转回（第二阶段）" mulRef="_GBC_f32f782022c946c2b40d9cf5794220cc" unitRef="_GBC_4f35b1271a4848999e32a9fe60279aff" addr="T0R9C2S1_1" formatStyle="Comma" appId="_GBC_415a5cd43ad14136b13ac09b150da06f"/>
      <m:item xlName="_GBC_64d1178e5a924470b10f7bdf41e3eece" concept="clcid-pte:ZhaiQuanTouZiJianZhiZhunBeiBenQiZhuanHuiDiSanJieDuan" label="债权投资减值准备本期转回（第三阶段）" mulRef="_GBC_f32f782022c946c2b40d9cf5794220cc" unitRef="_GBC_4f35b1271a4848999e32a9fe60279aff" addr="T0R9C3S1_1" formatStyle="Comma" appId="_GBC_415a5cd43ad14136b13ac09b150da06f"/>
      <m:item xlName="_GBC_848c012d44514d748a4e4332b282d178" concept="clcid-pte:ZhaiQuanTouZiJianZhiZhunBeiBenQiZhuanHuiJieDuanHeJi" label="债权投资减值准备本期转回阶段合计" mulRef="_GBC_f32f782022c946c2b40d9cf5794220cc" unitRef="_GBC_4f35b1271a4848999e32a9fe60279aff" addr="T0R9C4S1_1" formatStyle="Comma" appId="_GBC_415a5cd43ad14136b13ac09b150da06f"/>
      <m:placeholder xlName="_PLD_d026370f738d4592a48059278b5b8c6e" addr="T0R10C0S1_1"/>
      <m:item xlName="_GBC_c58bec2a80624f93b20952763e86cfb6" concept="clcid-pte:ZhaiQuanTouZiJianZhiZhunBeiBenQiZhuanXiaoDiYiJieDuan" label="债权投资减值准备本期转销（第一阶段）" mulRef="_GBC_f32f782022c946c2b40d9cf5794220cc" unitRef="_GBC_4f35b1271a4848999e32a9fe60279aff" addr="T0R10C1S1_1" formatStyle="Comma" appId="_GBC_415a5cd43ad14136b13ac09b150da06f"/>
      <m:item xlName="_GBC_2e9c989e96c24afb849a6b88caa950ae" concept="clcid-pte:ZhaiQuanTouZiJianZhiZhunBeiBenQiZhuanXiaoDiErJieDuan" label="债权投资减值准备本期转销（第二阶段）" mulRef="_GBC_f32f782022c946c2b40d9cf5794220cc" unitRef="_GBC_4f35b1271a4848999e32a9fe60279aff" addr="T0R10C2S1_1" formatStyle="Comma" appId="_GBC_415a5cd43ad14136b13ac09b150da06f"/>
      <m:item xlName="_GBC_151844b5b1304810ab6b77cf5028328f" concept="clcid-pte:ZhaiQuanTouZiJianZhiZhunBeiBenQiZhuanXiaoDiSanJieDuan" label="债权投资减值准备本期转销（第三阶段）" mulRef="_GBC_f32f782022c946c2b40d9cf5794220cc" unitRef="_GBC_4f35b1271a4848999e32a9fe60279aff" addr="T0R10C3S1_1" formatStyle="Comma" appId="_GBC_415a5cd43ad14136b13ac09b150da06f"/>
      <m:item xlName="_GBC_008fa3ede9e248c2a3b8988590f1d310" concept="clcid-pte:ZhaiQuanTouZiJianZhiZhunBeiBenQiZhuanXiaoJieDuanHeJi" label="债权投资减值准备本期转销阶段合计" mulRef="_GBC_f32f782022c946c2b40d9cf5794220cc" unitRef="_GBC_4f35b1271a4848999e32a9fe60279aff" addr="T0R10C4S1_1" formatStyle="Comma" appId="_GBC_415a5cd43ad14136b13ac09b150da06f"/>
      <m:placeholder xlName="_PLD_7f48bf3b68af4841a20876c23b50b552" addr="T0R11C0S1_1"/>
      <m:item xlName="_GBC_1b2180abefe34d6a8df148ea7b82777d" concept="clcid-pte:ZhaiQuanTouZiJianZhiZhunBeiBenQiHeXiaoDiYiJieDuan" label="债权投资减值准备本期核销（第一阶段）" mulRef="_GBC_f32f782022c946c2b40d9cf5794220cc" unitRef="_GBC_4f35b1271a4848999e32a9fe60279aff" addr="T0R11C1S1_1" formatStyle="Comma" appId="_GBC_415a5cd43ad14136b13ac09b150da06f"/>
      <m:item xlName="_GBC_28516fa918184893aa6e49a5cb18e619" concept="clcid-pte:ZhaiQuanTouZiJianZhiZhunBeiBenQiHeXiaoDiErJieDuan" label="债权投资减值准备本期核销（第二阶段）" mulRef="_GBC_f32f782022c946c2b40d9cf5794220cc" unitRef="_GBC_4f35b1271a4848999e32a9fe60279aff" addr="T0R11C2S1_1" formatStyle="Comma" appId="_GBC_415a5cd43ad14136b13ac09b150da06f"/>
      <m:item xlName="_GBC_11514c45a8f049d790d84db5d3fca619" concept="clcid-pte:ZhaiQuanTouZiJianZhiZhunBeiBenQiHeXiaoDiSanJieDuan" label="债权投资减值准备本期核销（第三阶段）" mulRef="_GBC_f32f782022c946c2b40d9cf5794220cc" unitRef="_GBC_4f35b1271a4848999e32a9fe60279aff" addr="T0R11C3S1_1" formatStyle="Comma" appId="_GBC_415a5cd43ad14136b13ac09b150da06f"/>
      <m:item xlName="_GBC_26d18d1c3aec4f1485949696548a81bd" concept="clcid-pte:ZhaiQuanTouZiJianZhiZhunBeiBenQiHeXiaoJieDuanHeJi" label="债权投资减值准备本期核销阶段合计" mulRef="_GBC_f32f782022c946c2b40d9cf5794220cc" unitRef="_GBC_4f35b1271a4848999e32a9fe60279aff" addr="T0R11C4S1_1" formatStyle="Comma" appId="_GBC_415a5cd43ad14136b13ac09b150da06f"/>
      <m:placeholder xlName="_PLD_45210c5ecd0f4d46ac1510be0d26bc4a" addr="T0R12C0S1_1"/>
      <m:item xlName="_GBC_0432067db5674f9294595400f19faa03" concept="clcid-pte:ZhaiQuanTouZiJianZhiZhunBeiBenQiQiTaBianDongDiYiJieDuan" label="债权投资减值准备本期其他变动（第一阶段）" mulRef="_GBC_f32f782022c946c2b40d9cf5794220cc" unitRef="_GBC_4f35b1271a4848999e32a9fe60279aff" addr="T0R12C1S1_1" formatStyle="Comma" appId="_GBC_415a5cd43ad14136b13ac09b150da06f"/>
      <m:item xlName="_GBC_10c634966ade4964bd83a03ce0ee9ab1" concept="clcid-pte:ZhaiQuanTouZiJianZhiZhunBeiBenQiQiTaBianDongDiErJieDuan" label="债权投资减值准备本期其他变动（第二阶段）" mulRef="_GBC_f32f782022c946c2b40d9cf5794220cc" unitRef="_GBC_4f35b1271a4848999e32a9fe60279aff" addr="T0R12C2S1_1" formatStyle="Comma" appId="_GBC_415a5cd43ad14136b13ac09b150da06f"/>
      <m:item xlName="_GBC_571b83d5f50245498b7d3234bd3f49aa" concept="clcid-pte:ZhaiQuanTouZiJianZhiZhunBeiBenQiQiTaBianDongDiSanJieDuan" label="债权投资减值准备本期其他变动（第三阶段）" mulRef="_GBC_f32f782022c946c2b40d9cf5794220cc" unitRef="_GBC_4f35b1271a4848999e32a9fe60279aff" addr="T0R12C3S1_1" formatStyle="Comma" appId="_GBC_415a5cd43ad14136b13ac09b150da06f"/>
      <m:item xlName="_GBC_7aed259ba1a24746a2c8b197b40de558" concept="clcid-pte:ZhaiQuanTouZiJianZhiZhunBeiBenQiQiTaBianDongJieDuanHeJi" label="债权投资减值准备本期其他变动阶段合计" mulRef="_GBC_f32f782022c946c2b40d9cf5794220cc" unitRef="_GBC_4f35b1271a4848999e32a9fe60279aff" addr="T0R12C4S1_1" formatStyle="Comma" appId="_GBC_415a5cd43ad14136b13ac09b150da06f"/>
      <m:placeholder xlName="_PLD_0429c7b8d6ed469fba640e5cf0a9d16e" addr="T0R13C0S1_1"/>
      <m:item xlName="_GBC_31bfa01beec24c99ac6e655487181c72" concept="clcid-pte:ZhaiQuanTouZiJianZhiZhunBeiDiYiJieDuan" label="债权投资减值准备（第一阶段）" mulRef="_GBC_f32f782022c946c2b40d9cf5794220cc" unitRef="_GBC_4f35b1271a4848999e32a9fe60279aff" addr="T0R13C1S1_1" formatStyle="Comma" appId="_GBC_415a5cd43ad14136b13ac09b150da06f"/>
      <m:item xlName="_GBC_518f13a6170749c090629510eb632c49" concept="clcid-pte:ZhaiQuanTouZiJianZhiZhunBeiDiErJieDuan" label="债权投资减值准备（第二阶段）" mulRef="_GBC_f32f782022c946c2b40d9cf5794220cc" unitRef="_GBC_4f35b1271a4848999e32a9fe60279aff" addr="T0R13C2S1_1" formatStyle="Comma" appId="_GBC_415a5cd43ad14136b13ac09b150da06f"/>
      <m:item xlName="_GBC_d93e833ee05a4e619d38d190ddaf37b1" concept="clcid-pte:ZhaiQuanTouZiJianZhiZhunBeiDiSanJieDuan" label="债权投资减值准备（第三阶段）" mulRef="_GBC_f32f782022c946c2b40d9cf5794220cc" unitRef="_GBC_4f35b1271a4848999e32a9fe60279aff" addr="T0R13C3S1_1" formatStyle="Comma" appId="_GBC_415a5cd43ad14136b13ac09b150da06f"/>
      <m:item xlName="_GBC_449084e3327f4ee689599e81776c61bc" concept="clcid-pte:ZhaiQuanTouZiJianZhiZhunBei" label="债权投资减值准备" mulRef="_GBC_f32f782022c946c2b40d9cf5794220cc" unitRef="_GBC_4f35b1271a4848999e32a9fe60279aff" addr="T0R13C4S1_1" formatStyle="Comma" appId="_GBC_415a5cd43ad14136b13ac09b150da06f"/>
      <m:item xlName="_GBC_c6e31a7a389c493bad1d2f0f97023edf" concept="clcid-ci-ar:ShiFouShiYongZhaiQuanTouZiBenQiFaShengSunShiZhunBeiBianDongQieZhangMianYuEXianZhuBianDongDeQingKuangShuoMing" label="是否适用：债权投资本期发生损失准备变动且账面余额显著变动的情况说明" selectOptions="_buildInAppliance" controlType="CustomCheckbox" cRanges="[{&quot;StartName&quot;:&quot;_GBC_c6e31a7a389c493bad1d2f0f97023edf&quot;,&quot;EndName&quot;:&quot;_GBC_c647991c3caf4ab4a2709b043a7db4db&quot;,&quot;CType&quot;:1}]"/>
      <m:item xlName="_GBC_c647991c3caf4ab4a2709b043a7db4db" concept="clcid-pte:ZhaiQuanTouZiBenQiFaShengSunShiZhunBeiBianDongQieZhangMianYuEXianZhuBianDongDeQingKuangShuoMing" label="债权投资本期发生损失准备变动且账面余额显著变动的情况说明" appId="_GBC_c6e31a7a389c493bad1d2f0f97023edf"/>
      <m:item xlName="_GBC_9f2bcc7ec6104c84a1b0f948b57b7e7a" concept="clcid-ci-ar:ShiFouShiYongZhaiQuanTouZiJianZhiZhunBeiJiTiJinEYiJiPingGuJinRongGongJuDeXinYongFengXianXianZhuZengJiaDeCaiYongYiJu" label="是否适用：债权投资减值准备计提金额以及评估金融工具的信用风险显著增加的采用依据" selectOptions="_buildInAppliance" controlType="CustomCheckbox" cRanges="[{&quot;StartName&quot;:&quot;_GBC_9f2bcc7ec6104c84a1b0f948b57b7e7a&quot;,&quot;EndName&quot;:&quot;_GBC_91cc20445b614e459914c2fd91a205fe&quot;,&quot;CType&quot;:1}]"/>
      <m:item xlName="_GBC_91cc20445b614e459914c2fd91a205fe" concept="clcid-pte:ZhaiQuanTouZiJianZhiZhunBeiJiTiJinEYiJiPingGuJinRongGongJuDeXinYongFengXianXianZhuZengJiaDeCaiYongYiJu" label="债权投资减值准备计提金额以及评估金融工具的信用风险显著增加的采用依据" appId="_GBC_9f2bcc7ec6104c84a1b0f948b57b7e7a"/>
      <m:item xlName="_GBC_c0e1f66883e84f4f9f6083f00d4c9caf" concept="clcid-pte:ZhaiQuanTouZiQiTaShuoMing" label="债权投资其他说明" appId="_GBC_415a5cd43ad14136b13ac09b150da06f"/>
    </m:section>
    <m:section xlName="_SEC_1af1e8e9eab94f10811b4e7aa91aa24d" title="其他债权投资" helpId="112001058">
      <m:item xlName="_GBC_a2d99fd3a665497694c6ad6801c54a4f" concept="clcid-ci-ar:ShiFouShiYongQiTaZhaiQuanTouZiQingKuang" label="是否适用：其他债权投资情况" selectOptions="_buildInAppliance" controlType="CustomCheckbox" cRanges="[{&quot;StartName&quot;:&quot;_GBC_a2d99fd3a665497694c6ad6801c54a4f&quot;,&quot;EndName&quot;:&quot;_GBC_19b9d902c08b4e99b08f8535f273e04f&quot;,&quot;CType&quot;:1}]"/>
      <m:item xlName="_GBC_957e1260fe41490ca8c84846505b1133" concept="clcid-ci-ar:DanWeiQiTaZhaiQuanTouZiQingKuang" label="单位：其他债权投资情况" cellType="Scale" appId="_GBC_a2d99fd3a665497694c6ad6801c54a4f"/>
      <m:item xlName="_GBC_c66b4e99741f4a04b72ce7b6889d2905" concept="clcid-ci-ar:BiZhongQiTaZhaiQuanTouZiQingKuang" label="币种：其他债权投资情况" cellType="Measure" appId="_GBC_a2d99fd3a665497694c6ad6801c54a4f"/>
      <m:placeholder xlName="_PLD_2f4e9f1818354a10b396960303be5b35" addr="T0R0C0S1_1"/>
      <m:placeholder xlName="_PLD_a130e0a6516e43c4b720730a054e148c" addr="T0R0C1S1_1"/>
      <m:placeholder xlName="_PLD_3f56d52b90074280b6e22465eb69f262" addr="T0R0C2S1_1"/>
      <m:placeholder xlName="_PLD_b5450e15d5034a848c3677bf65040d7b" addr="T0R0C3S1_1"/>
      <m:placeholder xlName="_PLD_12bde2431c4d4ff3a05bd79954c43732" addr="T0R0C4S1_1"/>
      <m:placeholder xlName="_PLD_3b38cabbfbd64386a1729f2ec508af0a" addr="T0R0C5S1_1"/>
      <m:placeholder xlName="_PLD_ee4b25aa037b46bd90f0ab51599e87ee" addr="T0R0C6S1_1"/>
      <m:placeholder xlName="_PLD_ef95a9edb3614bedafb4203df94631ff" addr="T0R0C7S1_1"/>
      <m:placeholder xlName="_PLD_e3b167932f6141e080fffbed2320ea76" addr="T0R0C8S1_1"/>
      <m:tuple xlName="_TUP_fb1989202e6241bea0b4880206358229" concept="clcid-pte:QiTaZhaiQuanTouZiQingKuangMingXi" default_row="2" addr="T0R1C">
        <m:item xlName="_GBC_217bde372a944d49a4676039d5db1642" concept="clcid-pte:QiTaZhaiQuanTouZiQingKuangMingXiXiangMu" label="其他债权投资情况明细-项目" addr="T0R1C0S1_1" appId="_GBC_a2d99fd3a665497694c6ad6801c54a4f"/>
        <m:item xlName="_GBC_6c0fb15e22144fbcaccb66afb458eeab" concept="clcid-pte:QiTaZhaiQuanTouZiQingKuangMingXiFaShengE" label="其他债权投资情况明细-发生额" periodRef="本期期初数" mulRef="_GBC_957e1260fe41490ca8c84846505b1133" unitRef="_GBC_c66b4e99741f4a04b72ce7b6889d2905" addr="T0R1C1S1_1" formatStyle="Comma" appId="_GBC_a2d99fd3a665497694c6ad6801c54a4f"/>
        <m:item xlName="_GBC_fa649d476bd541b89ed9931cd759c7c8" concept="clcid-pte:QiTaZhaiQuanTouZiQingKuangMingXiYingJiLiXi" label="其他债权投资情况明细-应计利息" mulRef="_GBC_957e1260fe41490ca8c84846505b1133" unitRef="_GBC_c66b4e99741f4a04b72ce7b6889d2905" addr="T0R1C2S1_1" formatStyle="Comma" appId="_GBC_a2d99fd3a665497694c6ad6801c54a4f"/>
        <m:item xlName="_GBC_98751c6a40774ecaae22a175af5410d1" concept="clcid-pte:QiTaZhaiQuanTouZiQingKuangMingXiBenQiGongYunJiaZhiBianDong" label="其他债权投资情况明细-本期公允价值变动" mulRef="_GBC_957e1260fe41490ca8c84846505b1133" unitRef="_GBC_c66b4e99741f4a04b72ce7b6889d2905" addr="T0R1C3S1_1" formatStyle="Comma" appId="_GBC_a2d99fd3a665497694c6ad6801c54a4f"/>
        <m:item xlName="_GBC_4c72d74eb2a944eab01ba2b49eac9f0e" concept="clcid-pte:QiTaZhaiQuanTouZiQingKuangMingXiFaShengE" label="其他债权投资情况明细-发生额" mulRef="_GBC_957e1260fe41490ca8c84846505b1133" unitRef="_GBC_c66b4e99741f4a04b72ce7b6889d2905" addr="T0R1C4S1_1" formatStyle="Comma" appId="_GBC_a2d99fd3a665497694c6ad6801c54a4f"/>
        <m:item xlName="_GBC_e0f7a5ab49f744d2a920758d70fcaed2" concept="clcid-pte:QiTaZhaiQuanTouZiQingKuangMingXiChengBen" label="其他债权投资情况明细-成本" mulRef="_GBC_957e1260fe41490ca8c84846505b1133" unitRef="_GBC_c66b4e99741f4a04b72ce7b6889d2905" addr="T0R1C5S1_1" formatStyle="Comma" appId="_GBC_a2d99fd3a665497694c6ad6801c54a4f"/>
        <m:item xlName="_GBC_bb713c95833a495db7283aac6d2f5153" concept="clcid-pte:QiTaZhaiQuanTouZiQingKuangMingXiLeiJiGongYunJiaZhiBianDong" label="其他债权投资情况明细-累计公允价值变动" mulRef="_GBC_957e1260fe41490ca8c84846505b1133" unitRef="_GBC_c66b4e99741f4a04b72ce7b6889d2905" addr="T0R1C6S1_1" formatStyle="Comma" appId="_GBC_a2d99fd3a665497694c6ad6801c54a4f"/>
        <m:item xlName="_GBC_ae3109831f074859ad86297829c1b1d2" concept="clcid-pte:QiTaZhaiQuanTouZiQingKuangMingXiLeiJiZaiQiTaZongHeShouYiZhongQueRenDeSunShiZhunBei" label="其他债权投资情况明细-累计在其他综合收益中确认的损失准备" mulRef="_GBC_957e1260fe41490ca8c84846505b1133" unitRef="_GBC_c66b4e99741f4a04b72ce7b6889d2905" addr="T0R1C7S1_1" formatStyle="Comma" appId="_GBC_a2d99fd3a665497694c6ad6801c54a4f"/>
        <m:item xlName="_GBC_bca692da43be41de863de9fc51931261" concept="clcid-pte:QiTaZhaiQuanTouZiQingKuangMingXiBeiZhu" label="其他债权投资情况明细-备注" addr="T0R1C8S1_1" appId="_GBC_a2d99fd3a665497694c6ad6801c54a4f"/>
      </m:tuple>
      <m:placeholder xlName="_PLD_875e0afecdbc4ceeaca83688e6e7cf90" addr="T0R3C0S1_1"/>
      <m:item xlName="_GBC_aee3316725ca4bac9a302209ca1a43f3" concept="clcid-pte:QiTaZhaiQuanTouZi" label="其他债权投资" periodRef="本期期初数" mulRef="_GBC_957e1260fe41490ca8c84846505b1133" unitRef="_GBC_c66b4e99741f4a04b72ce7b6889d2905" addr="T0R3C1S1_1" formatStyle="Comma" appId="_GBC_a2d99fd3a665497694c6ad6801c54a4f">
        <m:complexRule comparator="Eq" title="其他债权投资@本期期初数" test=" $_GBC_6c0fb15e22144fbcaccb66afb458eeab" id="C6de02022633f40bb9e604e126c89ab72"/>
      </m:item>
      <m:item xlName="_GBC_8876bf3e5b85491f9c6d926a58aa726b" concept="clcid-pte:QiTaZhaiQuanTouZiYingJiLiXiHeJi" label="其他债权投资应计利息合计" mulRef="_GBC_957e1260fe41490ca8c84846505b1133" unitRef="_GBC_c66b4e99741f4a04b72ce7b6889d2905" addr="T0R3C2S1_1" formatStyle="Comma" appId="_GBC_a2d99fd3a665497694c6ad6801c54a4f">
        <m:complexRule comparator="Eq" title="其他债权投资应计利息合计" test=" $_GBC_fa649d476bd541b89ed9931cd759c7c8" id="C22fabc4feb204709b38140d56b3c5693"/>
      </m:item>
      <m:item xlName="_GBC_1ee679bedfa94f5d897dcb00efc6f2f4" concept="clcid-pte:QiTaZhaiQuanTouZiBenQiGongYunJiaZhiBianDongHeJi" label="其他债权投资本期公允价值变动合计" mulRef="_GBC_957e1260fe41490ca8c84846505b1133" unitRef="_GBC_c66b4e99741f4a04b72ce7b6889d2905" addr="T0R3C3S1_1" formatStyle="Comma" appId="_GBC_a2d99fd3a665497694c6ad6801c54a4f">
        <m:complexRule comparator="Eq" title="其他债权投资本期公允价值变动合计" test=" $_GBC_98751c6a40774ecaae22a175af5410d1" id="Ce6f3643532a24a86bb4bdc1b5a82aa7c"/>
      </m:item>
      <m:item xlName="_GBC_53f7cc12c9a7456d9db1cac10bf5b93e" concept="clcid-pte:QiTaZhaiQuanTouZi" label="其他债权投资" mulRef="_GBC_957e1260fe41490ca8c84846505b1133" unitRef="_GBC_c66b4e99741f4a04b72ce7b6889d2905" addr="T0R3C4S1_1" formatStyle="Comma" appId="_GBC_a2d99fd3a665497694c6ad6801c54a4f">
        <m:complexRule comparator="Eq" title="其他债权投资" test=" $_GBC_4c72d74eb2a944eab01ba2b49eac9f0e" id="C49db0fcd3a4f45729e252be53a04093b"/>
      </m:item>
      <m:item xlName="_GBC_03d138052a7342eb8491a489b90e6ef6" concept="clcid-pte:QiTaZhaiQuanTouZiChengBenHeJi" label="其他债权投资成本合计" mulRef="_GBC_957e1260fe41490ca8c84846505b1133" unitRef="_GBC_c66b4e99741f4a04b72ce7b6889d2905" addr="T0R3C5S1_1" formatStyle="Comma" appId="_GBC_a2d99fd3a665497694c6ad6801c54a4f">
        <m:complexRule comparator="Eq" title="其他债权投资成本合计" test=" $_GBC_e0f7a5ab49f744d2a920758d70fcaed2" id="Cf1f86c05c0404aaaabf47b3fa259e830"/>
      </m:item>
      <m:item xlName="_GBC_888a061d48d748c78962537ff90bee53" concept="clcid-pte:QiTaZhaiQuanTouZiLeiJiGongYunJiaZhiBianDongHeJi" label="其他债权投资累计公允价值变动合计" mulRef="_GBC_957e1260fe41490ca8c84846505b1133" unitRef="_GBC_c66b4e99741f4a04b72ce7b6889d2905" addr="T0R3C6S1_1" formatStyle="Comma" appId="_GBC_a2d99fd3a665497694c6ad6801c54a4f">
        <m:complexRule comparator="Eq" title="其他债权投资累计公允价值变动合计" test=" $_GBC_bb713c95833a495db7283aac6d2f5153" id="Ca0593794217e4869953679f46cc1d158"/>
      </m:item>
      <m:item xlName="_GBC_19b9d902c08b4e99b08f8535f273e04f" concept="clcid-pte:QiTaZhaiQuanTouZiLeiJiZaiQiTaZongHeShouYiZhongQueRenDeSunShiZhunBeiHeJi" label="其他债权投资累计在其他综合收益中确认的损失准备合计" mulRef="_GBC_957e1260fe41490ca8c84846505b1133" unitRef="_GBC_c66b4e99741f4a04b72ce7b6889d2905" addr="T0R3C7S1_1" formatStyle="Comma" appId="_GBC_a2d99fd3a665497694c6ad6801c54a4f">
        <m:complexRule comparator="Eq" title="其他债权投资累计在其他综合收益中确认的损失准备合计" test=" $_GBC_ae3109831f074859ad86297829c1b1d2" id="Ca9fc82bcf6794feca7d696635f86039f"/>
      </m:item>
    </m:section>
    <m:section xlName="_SEC_052112d020944ec8b923dd106b2a0cbf" title="期末重要的其他债权投资" helpId="112001058">
      <m:item xlName="_GBC_e8808db892544b1ead740cddc4156455" concept="clcid-ci-ar:ShiFouShiYongZhongYaoDeQiTaZhaiQuanTouZi" label="是否适用：重要的其他债权投资" selectOptions="_buildInAppliance" controlType="CustomCheckbox" cRanges="[{&quot;StartName&quot;:&quot;_GBC_e8808db892544b1ead740cddc4156455&quot;,&quot;EndName&quot;:&quot;_GBC_d894b36a300e4d1d8f279c0f490192be&quot;,&quot;CType&quot;:1}]"/>
      <m:item xlName="_GBC_68a1c785409f46f6b03dfd01a602ae5c" concept="clcid-ci-ar:DanWeiZhongYaoDeQiTaZhaiQuanTouZi" label="单位：重要的其他债权投资" selectOptions="_buildInScales" controlType="Combobox" cellType="Scale" appId="_GBC_e8808db892544b1ead740cddc4156455"/>
      <m:item xlName="_GBC_e6d7d4874f6e475f8f538fc298fb4c7f" concept="clcid-ci-ar:BiZhongZhongYaoDeQiTaZhaiQuanTouZi" label="币种：重要的其他债权投资" selectOptions="_buildInISO4217" controlType="Combobox" cellType="Measure" appId="_GBC_e8808db892544b1ead740cddc4156455"/>
      <m:placeholder xlName="_PLD_4797556e832841fd845e39c512cbee0f" addr="T0R0C0S2_1"/>
      <m:placeholder xlName="_PLD_acf00ee7c5ed428fae2b43c0658688b4" addr="T0R0C1S1_4"/>
      <m:placeholder xlName="_PLD_044f555b0de74b699d9e058fefffb926" addr="T0R0C5S1_4"/>
      <m:placeholder xlName="_PLD_fca2e44f899d4d9ab97ea3a764860363" addr="T0R1C1S1_1"/>
      <m:placeholder xlName="_PLD_3fe99827f15040a2a3ada5d51a70929e" addr="T0R1C2S1_1"/>
      <m:placeholder xlName="_PLD_23abd83dc26841b3a472a91983177b51" addr="T0R1C3S1_1"/>
      <m:placeholder xlName="_PLD_169b681a519f4234a5effd191078eff5" addr="T0R1C4S1_1"/>
      <m:placeholder xlName="_PLD_14fcb9714e1242399d950d6bebab3f27" addr="T0R1C5S1_1"/>
      <m:placeholder xlName="_PLD_386ccdf1afaa47ed8c55799b56f26b83" addr="T0R1C6S1_1"/>
      <m:placeholder xlName="_PLD_0135f7a27179409fb76ad28377985252" addr="T0R1C7S1_1"/>
      <m:placeholder xlName="_PLD_6302ae3d5a294ef0a55f1735fbf08ede" addr="T0R1C8S1_1"/>
      <m:tuple xlName="_TUP_b11faf05e59b49d5a34f20f5502f2636" concept="clcid-pte:ZhongYaoDeQiTaZhaiQuanTouZiMingXi" default_row="2" addr="T0R2C">
        <m:item xlName="_GBC_beb7686e8c2a45fe93d892300fa2138e" concept="clcid-pte:ZhongYaoDeQiTaZhaiQuanTouZiMingXiXiangMu" label="重要的其他债权投资明细-项目" addr="T0R2C0S1_1" appId="_GBC_e8808db892544b1ead740cddc4156455"/>
        <m:item xlName="_GBC_3de15256e0e046fda700871cdee0f619" concept="clcid-pte:ZhongYaoDeQiTaZhaiQuanTouZiMingXiMianZhi" label="重要的其他债权投资明细-面值" mulRef="_GBC_68a1c785409f46f6b03dfd01a602ae5c" unitRef="_GBC_e6d7d4874f6e475f8f538fc298fb4c7f" addr="T0R2C1S1_1" formatStyle="Comma" appId="_GBC_e8808db892544b1ead740cddc4156455"/>
        <m:item xlName="_GBC_9ad0081c1af34dc8929e80c0a50e50a0" concept="clcid-pte:ZhongYaoDeQiTaZhaiQuanTouZiMingXiPiaoMianLiLv" label="重要的其他债权投资明细-票面利率" addr="T0R2C2S1_1" baseScale="0.01" formatStyle="Comma" appId="_GBC_e8808db892544b1ead740cddc4156455"/>
        <m:item xlName="_GBC_d54ea89d39f843abafd8b08a4dcccb9e" concept="clcid-pte:ZhongYaoDeQiTaZhaiQuanTouZiMingXiShiJiLiLv" label="重要的其他债权投资明细-实际利率" addr="T0R2C3S1_1" baseScale="0.01" formatStyle="Comma" appId="_GBC_e8808db892544b1ead740cddc4156455"/>
        <m:item xlName="_GBC_4f66545a874a4728ac0ef3b7a590c5de" concept="clcid-pte:ZhongYaoDeQiTaZhaiQuanTouZiMingXiDaoQiRi" label="重要的其他债权投资明细-到期日" addr="T0R2C4S1_1" formatStyle="Comma" appId="_GBC_e8808db892544b1ead740cddc4156455"/>
        <m:item xlName="_GBC_092b4eed5ff54c8b92137cac8eaf1511" concept="clcid-pte:ZhongYaoDeQiTaZhaiQuanTouZiMingXiMianZhi" label="重要的其他债权投资明细-面值" periodRef="本期期初数" mulRef="_GBC_68a1c785409f46f6b03dfd01a602ae5c" unitRef="_GBC_e6d7d4874f6e475f8f538fc298fb4c7f" addr="T0R2C5S1_1" formatStyle="Comma" appId="_GBC_e8808db892544b1ead740cddc4156455"/>
        <m:item xlName="_GBC_6d2ce7b02bc64352ac19341fc69a8356" concept="clcid-pte:ZhongYaoDeQiTaZhaiQuanTouZiMingXiPiaoMianLiLv" label="重要的其他债权投资明细-票面利率" periodRef="本期期初数" addr="T0R2C6S1_1" baseScale="0.01" formatStyle="Comma" appId="_GBC_e8808db892544b1ead740cddc4156455"/>
        <m:item xlName="_GBC_d540036d109d4245b115d4c069155240" concept="clcid-pte:ZhongYaoDeQiTaZhaiQuanTouZiMingXiShiJiLiLv" label="重要的其他债权投资明细-实际利率" periodRef="本期期初数" addr="T0R2C7S1_1" baseScale="0.01" formatStyle="Comma" appId="_GBC_e8808db892544b1ead740cddc4156455"/>
        <m:item xlName="_GBC_5906dea149e549ebb8d64fe5d5fce59d" concept="clcid-pte:ZhongYaoDeQiTaZhaiQuanTouZiMingXiDaoQiRi" label="重要的其他债权投资明细-到期日" periodRef="本期期初数" addr="T0R2C8S1_1" formatStyle="Comma" appId="_GBC_e8808db892544b1ead740cddc4156455"/>
      </m:tuple>
      <m:placeholder xlName="_PLD_5a3f83ae6270447194841451b8e8ba27" addr="T0R4C0S1_1"/>
      <m:item xlName="_GBC_7ae4b5e2be6a43c49c4ff6ae894ebf67" concept="clcid-pte:ZhongYaoDeQiTaZhaiQuanTouZiMianZhiHeJi" label="重要的其他债权投资面值合计" mulRef="_GBC_68a1c785409f46f6b03dfd01a602ae5c" unitRef="_GBC_e6d7d4874f6e475f8f538fc298fb4c7f" addr="T0R4C1S1_1" formatStyle="Comma" appId="_GBC_e8808db892544b1ead740cddc4156455">
        <m:complexRule comparator="Eq" title="重要的长期债权投资面值合计" test=" $_GBC_3de15256e0e046fda700871cdee0f619" id="Ccfb9e5b4fb7c450ababd98cd3036c9f4"/>
      </m:item>
      <m:item xlName="_GBC_d894b36a300e4d1d8f279c0f490192be" concept="clcid-pte:ZhongYaoDeQiTaZhaiQuanTouZiMianZhiHeJi" label="重要的其他债权投资面值合计" periodRef="本期期初数" mulRef="_GBC_68a1c785409f46f6b03dfd01a602ae5c" unitRef="_GBC_e6d7d4874f6e475f8f538fc298fb4c7f" addr="T0R4C5S1_1" formatStyle="Comma" appId="_GBC_e8808db892544b1ead740cddc4156455"/>
    </m:section>
    <m:section xlName="_SEC_a18c2d8250c64daf904816a57fe286bd" title="减值准备计提情况" helpId="112001058">
      <m:item xlName="_GBC_038e4a0a4815442e91a9309c128001c1" concept="clcid-ci-ar:ShiFouShiYongQiTaZhaiQuanTouZiJianZhiZhunBeiTiaoJieBiao" label="是否适用：其他债权投资减值准备调节表" selectOptions="_buildInAppliance" controlType="CustomCheckbox" cRanges="[{&quot;StartName&quot;:&quot;_GBC_038e4a0a4815442e91a9309c128001c1&quot;,&quot;EndName&quot;:&quot;_GBC_5af995b4fb8a414cbbcaf1426a9c6c42&quot;,&quot;CType&quot;:1}]"/>
      <m:item xlName="_GBC_754617dd27bd46f5a66234322846f33c" concept="clcid-ci-ar:DanWeiQiTaZhaiQuanTouZiJianZhiZhunBeiTiaoJieBiao" label="单位：其他债权投资减值准备调节表" selectOptions="_buildInScales" controlType="Combobox" cellType="Scale" appId="_GBC_038e4a0a4815442e91a9309c128001c1"/>
      <m:item xlName="_GBC_4bd55cf77604423c81dbad1c5a08ddd4" concept="clcid-ci-ar:BiZhongQiTaZhaiQuanTouZiJianZhiZhunBeiTiaoJieBiao" label="币种：其他债权投资减值准备调节表" selectOptions="_buildInISO4217" controlType="Combobox" cellType="Measure" appId="_GBC_038e4a0a4815442e91a9309c128001c1"/>
      <m:placeholder xlName="_PLD_fbb9a9ecb6464c7e9ca4e0455c5e22ed" addr="T0R0C0S2_1"/>
      <m:placeholder xlName="_PLD_844b63496bec4329807059164158a941" addr="T0R0C1S1_1"/>
      <m:placeholder xlName="_PLD_7e0abcaa0d0840cc832b2299f1c066a3" addr="T0R0C2S1_1"/>
      <m:placeholder xlName="_PLD_f77e6232c3dc4b1a8c9580ee48e5bbfe" addr="T0R0C3S1_1"/>
      <m:placeholder xlName="_PLD_ebfc81aeeece471bb6c6b3f24d8aa896" addr="T0R0C4S2_1"/>
      <m:placeholder xlName="_PLD_36d6cf9806954f0b99020e1d82b40170" addr="T0R1C1S1_1"/>
      <m:placeholder xlName="_PLD_5839062bce074063a7d0f8da7ba19c79" addr="T0R1C2S1_1"/>
      <m:placeholder xlName="_PLD_2e0aade57ef942e08d60885bd886b9f4" addr="T0R1C3S1_1"/>
      <m:placeholder xlName="_PLD_c3135582d49d4a24affd2d20d524abb5" addr="T0R2C0S1_1"/>
      <m:item xlName="_GBC_299979acce9042cabad62531983ef791" concept="clcid-pte:QiTaZhaiQuanTouZiJianZhiZhunBeiDiYiJieDuan" label="其他债权投资减值准备（第一阶段）" periodRef="本期期初数" mulRef="_GBC_754617dd27bd46f5a66234322846f33c" unitRef="_GBC_4bd55cf77604423c81dbad1c5a08ddd4" addr="T0R2C1S1_1" formatStyle="Comma" appId="_GBC_038e4a0a4815442e91a9309c128001c1"/>
      <m:item xlName="_GBC_a92afe19986741aeb050080bc51526d4" concept="clcid-pte:QiTaZhaiQuanTouZiJianZhiZhunBeiDiErJieDuan" label="其他债权投资减值准备（第二阶段）" periodRef="本期期初数" mulRef="_GBC_754617dd27bd46f5a66234322846f33c" unitRef="_GBC_4bd55cf77604423c81dbad1c5a08ddd4" addr="T0R2C2S1_1" formatStyle="Comma" appId="_GBC_038e4a0a4815442e91a9309c128001c1"/>
      <m:item xlName="_GBC_9ae59d8f7772413aa92019df01720983" concept="clcid-pte:QiTaZhaiQuanTouZiJianZhiZhunBeiDiSanJieDuan" label="其他债权投资减值准备（第三阶段）" periodRef="本期期初数" mulRef="_GBC_754617dd27bd46f5a66234322846f33c" unitRef="_GBC_4bd55cf77604423c81dbad1c5a08ddd4" addr="T0R2C3S1_1" formatStyle="Comma" appId="_GBC_038e4a0a4815442e91a9309c128001c1"/>
      <m:item xlName="_GBC_f07c3d83ef404bd8a213503b36e484b8" concept="clcid-pte:QiTaZhaiQuanTouZiJianZhiZhunBei" label="其他债权投资减值准备" periodRef="本期期初数" mulRef="_GBC_754617dd27bd46f5a66234322846f33c" unitRef="_GBC_4bd55cf77604423c81dbad1c5a08ddd4" addr="T0R2C4S1_1" formatStyle="Comma" appId="_GBC_038e4a0a4815442e91a9309c128001c1"/>
      <m:placeholder xlName="_PLD_fe736d1131af40bf80165000ef0c6c82" addr="T0R3C0S1_1"/>
      <m:item xlName="_GBC_2a39099d1ee14632ba10a834e220ce3a" concept="clcid-pte:QiTaZhaiQuanTouZiJianZhiZhunBeiBenQiZhuanRuHuoZhuanHuiDiYiJieDuan" label="其他债权投资减值准备本期转入或转回（第一阶段）" mulRef="_GBC_754617dd27bd46f5a66234322846f33c" unitRef="_GBC_4bd55cf77604423c81dbad1c5a08ddd4" addr="T0R3C1S1_1" formatStyle="Comma" appId="_GBC_038e4a0a4815442e91a9309c128001c1"/>
      <m:item xlName="_GBC_991463ed922d4ac0b7850527fb830e7a" concept="clcid-pte:QiTaZhaiQuanTouZiJianZhiZhunBeiBenQiZhuanRuHuoZhuanHuiDiErJieDuan" label="其他债权投资减值准备本期转入或转回（第二阶段）" mulRef="_GBC_754617dd27bd46f5a66234322846f33c" unitRef="_GBC_4bd55cf77604423c81dbad1c5a08ddd4" addr="T0R3C2S1_1" formatStyle="Comma" appId="_GBC_038e4a0a4815442e91a9309c128001c1"/>
      <m:item xlName="_GBC_df59a1152803463c9f58d040f33d4337" concept="clcid-pte:QiTaZhaiQuanTouZiJianZhiZhunBeiBenQiZhuanRuHuoZhuanHuiDiSanJieDuan" label="其他债权投资减值准备本期转入或转回（第三阶段）" mulRef="_GBC_754617dd27bd46f5a66234322846f33c" unitRef="_GBC_4bd55cf77604423c81dbad1c5a08ddd4" addr="T0R3C3S1_1" formatStyle="Comma" appId="_GBC_038e4a0a4815442e91a9309c128001c1"/>
      <m:item xlName="_GBC_5121e3684a4048d6b3c47bcd45bfb55f" concept="clcid-pte:QiTaZhaiQuanTouZiJianZhiZhunBeiBenQiZhuanRuHuoZhuanHuiJieDuanHeJi" label="其他债权投资减值准备本期转入或转回阶段合计" mulRef="_GBC_754617dd27bd46f5a66234322846f33c" unitRef="_GBC_4bd55cf77604423c81dbad1c5a08ddd4" addr="T0R3C4S1_1" formatStyle="Comma" appId="_GBC_038e4a0a4815442e91a9309c128001c1"/>
      <m:placeholder xlName="_PLD_6016b59c0a2d4f57ad91e4572ac1c746" addr="T0R4C0S1_1"/>
      <m:item xlName="_GBC_da6094a0e7e3402f96d0013a1592a431" concept="clcid-pte:QiTaZhaiQuanTouZiJianZhiZhunBeiBenQiZhuanRuDiErJieDuanDiYiJieDuan" label="其他债权投资减值准备本期转入第二阶段（第一阶段）" mulRef="_GBC_754617dd27bd46f5a66234322846f33c" unitRef="_GBC_4bd55cf77604423c81dbad1c5a08ddd4" addr="T0R4C1S1_1" formatStyle="Comma" appId="_GBC_038e4a0a4815442e91a9309c128001c1"/>
      <m:item xlName="_GBC_73ac9d0b89ea4ce3b41d1ebe05ab03a7" concept="clcid-pte:QiTaZhaiQuanTouZiJianZhiZhunBeiBenQiZhuanRuDiErJieDuanDiErJieDuan" label="其他债权投资减值准备本期转入第二阶段（第二阶段）" mulRef="_GBC_754617dd27bd46f5a66234322846f33c" unitRef="_GBC_4bd55cf77604423c81dbad1c5a08ddd4" addr="T0R4C2S1_1" formatStyle="Comma" appId="_GBC_038e4a0a4815442e91a9309c128001c1"/>
      <m:item xlName="_GBC_8839b40e83f54bef9c350db998639c1e" concept="clcid-pte:QiTaZhaiQuanTouZiJianZhiZhunBeiBenQiZhuanRuDiErJieDuanDiSanJieDuan" label="其他债权投资减值准备本期转入第二阶段（第三阶段）" mulRef="_GBC_754617dd27bd46f5a66234322846f33c" unitRef="_GBC_4bd55cf77604423c81dbad1c5a08ddd4" addr="T0R4C3S1_1" formatStyle="Comma" appId="_GBC_038e4a0a4815442e91a9309c128001c1"/>
      <m:item xlName="_GBC_153f410df22b40bca3290af7f2bd7372" concept="clcid-pte:QiTaZhaiQuanTouZiJianZhiZhunBeiBenQiZhuanRuDiErJieDuanJieDuanHeJi" label="其他债权投资减值准备本期转入第二阶段阶段合计" mulRef="_GBC_754617dd27bd46f5a66234322846f33c" unitRef="_GBC_4bd55cf77604423c81dbad1c5a08ddd4" addr="T0R4C4S1_1" formatStyle="Comma" appId="_GBC_038e4a0a4815442e91a9309c128001c1"/>
      <m:placeholder xlName="_PLD_7868c13f4a13476195e351bddc52228a" addr="T0R5C0S1_1"/>
      <m:item xlName="_GBC_44803882b8764749885b090f220e9c86" concept="clcid-pte:QiTaZhaiQuanTouZiJianZhiZhunBeiBenQiZhuanRuDiSanJieDuanDiYiJieDuan" label="其他债权投资减值准备本期转入第三阶段（第一阶段）" mulRef="_GBC_754617dd27bd46f5a66234322846f33c" unitRef="_GBC_4bd55cf77604423c81dbad1c5a08ddd4" addr="T0R5C1S1_1" formatStyle="Comma" appId="_GBC_038e4a0a4815442e91a9309c128001c1"/>
      <m:item xlName="_GBC_9849af2ebac24ce4872ab88e1d624f35" concept="clcid-pte:QiTaZhaiQuanTouZiJianZhiZhunBeiBenQiZhuanRuDiSanJieDuanDiErJieDuan" label="其他债权投资减值准备本期转入第三阶段（第二阶段）" mulRef="_GBC_754617dd27bd46f5a66234322846f33c" unitRef="_GBC_4bd55cf77604423c81dbad1c5a08ddd4" addr="T0R5C2S1_1" formatStyle="Comma" appId="_GBC_038e4a0a4815442e91a9309c128001c1"/>
      <m:item xlName="_GBC_52c9826eaf2a4653a8a49c948797454e" concept="clcid-pte:QiTaZhaiQuanTouZiJianZhiZhunBeiBenQiZhuanRuDiSanJieDuanDiSanJieDuan" label="其他债权投资减值准备本期转入第三阶段（第三阶段）" mulRef="_GBC_754617dd27bd46f5a66234322846f33c" unitRef="_GBC_4bd55cf77604423c81dbad1c5a08ddd4" addr="T0R5C3S1_1" formatStyle="Comma" appId="_GBC_038e4a0a4815442e91a9309c128001c1"/>
      <m:item xlName="_GBC_391871981a2443cdb7420700bbd38d25" concept="clcid-pte:QiTaZhaiQuanTouZiJianZhiZhunBeiBenQiZhuanRuDiSanJieDuanJieDuanHeJi" label="其他债权投资减值准备本期转入第三阶段阶段合计" mulRef="_GBC_754617dd27bd46f5a66234322846f33c" unitRef="_GBC_4bd55cf77604423c81dbad1c5a08ddd4" addr="T0R5C4S1_1" formatStyle="Comma" appId="_GBC_038e4a0a4815442e91a9309c128001c1"/>
      <m:placeholder xlName="_PLD_857e6f3286bb4aeb9461a18183c1827d" addr="T0R6C0S1_1"/>
      <m:item xlName="_GBC_a525547a96bb4f44a7ddb837af903aca" concept="clcid-pte:QiTaZhaiQuanTouZiJianZhiZhunBeiBenQiZhuanHuiDiErJieDuanDiYiJieDuan" label="其他债权投资减值准备本期转回第二阶段（第一阶段）" mulRef="_GBC_754617dd27bd46f5a66234322846f33c" unitRef="_GBC_4bd55cf77604423c81dbad1c5a08ddd4" addr="T0R6C1S1_1" formatStyle="Comma" appId="_GBC_038e4a0a4815442e91a9309c128001c1"/>
      <m:item xlName="_GBC_7fadeef5285e4411ab326bafbda041e9" concept="clcid-pte:QiTaZhaiQuanTouZiJianZhiZhunBeiBenQiZhuanHuiDiErJieDuanDiErJieDuan" label="其他债权投资减值准备本期转回第二阶段（第二阶段）" mulRef="_GBC_754617dd27bd46f5a66234322846f33c" unitRef="_GBC_4bd55cf77604423c81dbad1c5a08ddd4" addr="T0R6C2S1_1" formatStyle="Comma" appId="_GBC_038e4a0a4815442e91a9309c128001c1"/>
      <m:item xlName="_GBC_04c0f52184ba4329a31e3a1f65e6d4e2" concept="clcid-pte:QiTaZhaiQuanTouZiJianZhiZhunBeiBenQiZhuanHuiDiErJieDuanDiSanJieDuan" label="其他债权投资减值准备本期转回第二阶段（第三阶段）" mulRef="_GBC_754617dd27bd46f5a66234322846f33c" unitRef="_GBC_4bd55cf77604423c81dbad1c5a08ddd4" addr="T0R6C3S1_1" formatStyle="Comma" appId="_GBC_038e4a0a4815442e91a9309c128001c1"/>
      <m:item xlName="_GBC_3347f8f9104748bf92b6c1289e74d661" concept="clcid-pte:QiTaZhaiQuanTouZiJianZhiZhunBeiBenQiZhuanHuiDiErJieDuanJieDuanHeJi" label="其他债权投资减值准备本期转回第二阶段阶段合计" mulRef="_GBC_754617dd27bd46f5a66234322846f33c" unitRef="_GBC_4bd55cf77604423c81dbad1c5a08ddd4" addr="T0R6C4S1_1" formatStyle="Comma" appId="_GBC_038e4a0a4815442e91a9309c128001c1"/>
      <m:placeholder xlName="_PLD_057bde99b2cc4751a72a1224a95aaef6" addr="T0R7C0S1_1"/>
      <m:item xlName="_GBC_e4f6f0bedc0642938b801602aaa84bcb" concept="clcid-pte:QiTaZhaiQuanTouZiJianZhiZhunBeiBenQiZhuanHuiDiYiJieDuanDiYiJieDuan" label="其他债权投资减值准备本期转回第一阶段（第一阶段）" mulRef="_GBC_754617dd27bd46f5a66234322846f33c" unitRef="_GBC_4bd55cf77604423c81dbad1c5a08ddd4" addr="T0R7C1S1_1" formatStyle="Comma" appId="_GBC_038e4a0a4815442e91a9309c128001c1"/>
      <m:item xlName="_GBC_0970a7e04c804918bce8626715030b22" concept="clcid-pte:QiTaZhaiQuanTouZiJianZhiZhunBeiBenQiZhuanHuiDiYiJieDuanDiErJieDuan" label="其他债权投资减值准备本期转回第一阶段（第二阶段）" mulRef="_GBC_754617dd27bd46f5a66234322846f33c" unitRef="_GBC_4bd55cf77604423c81dbad1c5a08ddd4" addr="T0R7C2S1_1" formatStyle="Comma" appId="_GBC_038e4a0a4815442e91a9309c128001c1"/>
      <m:item xlName="_GBC_e64b25c10f5a432c85bd561a880706c4" concept="clcid-pte:QiTaZhaiQuanTouZiJianZhiZhunBeiBenQiZhuanHuiDiYiJieDuanDiSanJieDuan" label="其他债权投资减值准备本期转回第一阶段（第三阶段）" mulRef="_GBC_754617dd27bd46f5a66234322846f33c" unitRef="_GBC_4bd55cf77604423c81dbad1c5a08ddd4" addr="T0R7C3S1_1" formatStyle="Comma" appId="_GBC_038e4a0a4815442e91a9309c128001c1"/>
      <m:item xlName="_GBC_0ff05c92f307441eb02d9d8d992f0740" concept="clcid-pte:QiTaZhaiQuanTouZiJianZhiZhunBeiBenQiZhuanHuiDiYiJieDuanJieDuanHeJi" label="其他债权投资减值准备本期转回第一阶段阶段合计" mulRef="_GBC_754617dd27bd46f5a66234322846f33c" unitRef="_GBC_4bd55cf77604423c81dbad1c5a08ddd4" addr="T0R7C4S1_1" formatStyle="Comma" appId="_GBC_038e4a0a4815442e91a9309c128001c1"/>
      <m:placeholder xlName="_PLD_a2c092d4f61944cabee532444ae90d0e" addr="T0R8C0S1_1"/>
      <m:item xlName="_GBC_070d2b99ce464f969c54a3eaee8d8af0" concept="clcid-pte:QiTaZhaiQuanTouZiJianZhiZhunBeiBenQiXinZengJiTiDiYiJieDuan" label="其他债权投资减值准备本期新增计提（第一阶段）" mulRef="_GBC_754617dd27bd46f5a66234322846f33c" unitRef="_GBC_4bd55cf77604423c81dbad1c5a08ddd4" addr="T0R8C1S1_1" formatStyle="Comma" appId="_GBC_038e4a0a4815442e91a9309c128001c1"/>
      <m:item xlName="_GBC_7e4be976d5b64c4199adc0b70500b937" concept="clcid-pte:QiTaZhaiQuanTouZiJianZhiZhunBeiBenQiXinZengJiTiDiErJieDuan" label="其他债权投资减值准备本期新增计提（第二阶段）" mulRef="_GBC_754617dd27bd46f5a66234322846f33c" unitRef="_GBC_4bd55cf77604423c81dbad1c5a08ddd4" addr="T0R8C2S1_1" formatStyle="Comma" appId="_GBC_038e4a0a4815442e91a9309c128001c1"/>
      <m:item xlName="_GBC_995b78f3f02e4ff1a6fea09fb43be080" concept="clcid-pte:QiTaZhaiQuanTouZiJianZhiZhunBeiBenQiXinZengJiTiDiSanJieDuan" label="其他债权投资减值准备本期新增计提（第三阶段）" mulRef="_GBC_754617dd27bd46f5a66234322846f33c" unitRef="_GBC_4bd55cf77604423c81dbad1c5a08ddd4" addr="T0R8C3S1_1" formatStyle="Comma" appId="_GBC_038e4a0a4815442e91a9309c128001c1"/>
      <m:item xlName="_GBC_081b8af09045409d842ae60ef80cba74" concept="clcid-pte:QiTaZhaiQuanTouZiJianZhiZhunBeiBenQiXinZengJiTiJieDuanHeJi" label="其他债权投资减值准备本期新增计提阶段合计" mulRef="_GBC_754617dd27bd46f5a66234322846f33c" unitRef="_GBC_4bd55cf77604423c81dbad1c5a08ddd4" addr="T0R8C4S1_1" formatStyle="Comma" appId="_GBC_038e4a0a4815442e91a9309c128001c1"/>
      <m:placeholder xlName="_PLD_ed7388b358444eacad7cb100d12241da" addr="T0R9C0S1_1"/>
      <m:item xlName="_GBC_0f369ba434c949b3b595de70b178e047" concept="clcid-pte:QiTaZhaiQuanTouZiJianZhiZhunBeiBenQiZhuanHuiDiYiJieDuan" label="其他债权投资减值准备本期转回（第一阶段）" mulRef="_GBC_754617dd27bd46f5a66234322846f33c" unitRef="_GBC_4bd55cf77604423c81dbad1c5a08ddd4" addr="T0R9C1S1_1" formatStyle="Comma" appId="_GBC_038e4a0a4815442e91a9309c128001c1"/>
      <m:item xlName="_GBC_da4fc45304f9404f925ed95a36b7afb9" concept="clcid-pte:QiTaZhaiQuanTouZiJianZhiZhunBeiBenQiZhuanHuiDiErJieDuan" label="其他债权投资减值准备本期转回（第二阶段）" mulRef="_GBC_754617dd27bd46f5a66234322846f33c" unitRef="_GBC_4bd55cf77604423c81dbad1c5a08ddd4" addr="T0R9C2S1_1" formatStyle="Comma" appId="_GBC_038e4a0a4815442e91a9309c128001c1"/>
      <m:item xlName="_GBC_64255e30bc7c40699cf835d055833b23" concept="clcid-pte:QiTaZhaiQuanTouZiJianZhiZhunBeiBenQiZhuanHuiDiSanJieDuan" label="其他债权投资减值准备本期转回（第三阶段）" mulRef="_GBC_754617dd27bd46f5a66234322846f33c" unitRef="_GBC_4bd55cf77604423c81dbad1c5a08ddd4" addr="T0R9C3S1_1" formatStyle="Comma" appId="_GBC_038e4a0a4815442e91a9309c128001c1"/>
      <m:item xlName="_GBC_e59baa4f86b542b8a160e181bb746c16" concept="clcid-pte:QiTaZhaiQuanTouZiJianZhiZhunBeiBenQiZhuanHuiJieDuanHeJi" label="其他债权投资减值准备本期转回阶段合计" mulRef="_GBC_754617dd27bd46f5a66234322846f33c" unitRef="_GBC_4bd55cf77604423c81dbad1c5a08ddd4" addr="T0R9C4S1_1" formatStyle="Comma" appId="_GBC_038e4a0a4815442e91a9309c128001c1"/>
      <m:placeholder xlName="_PLD_6b6b85110c7e471b88aac9b583a642ee" addr="T0R10C0S1_1"/>
      <m:item xlName="_GBC_eba1e681eca641a7890812bf2c886c94" concept="clcid-pte:QiTaZhaiQuanTouZiJianZhiZhunBeiBenQiZhuanXiaoDiYiJieDuan" label="其他债权投资减值准备本期转销（第一阶段）" mulRef="_GBC_754617dd27bd46f5a66234322846f33c" unitRef="_GBC_4bd55cf77604423c81dbad1c5a08ddd4" addr="T0R10C1S1_1" formatStyle="Comma" appId="_GBC_038e4a0a4815442e91a9309c128001c1"/>
      <m:item xlName="_GBC_96dac069ecb94bb2b74ef908ceaeed90" concept="clcid-pte:QiTaZhaiQuanTouZiJianZhiZhunBeiBenQiZhuanXiaoDiErJieDuan" label="其他债权投资减值准备本期转销（第二阶段）" mulRef="_GBC_754617dd27bd46f5a66234322846f33c" unitRef="_GBC_4bd55cf77604423c81dbad1c5a08ddd4" addr="T0R10C2S1_1" formatStyle="Comma" appId="_GBC_038e4a0a4815442e91a9309c128001c1"/>
      <m:item xlName="_GBC_1249447d0d8e4d77ac38378b38f68be7" concept="clcid-pte:QiTaZhaiQuanTouZiJianZhiZhunBeiBenQiZhuanXiaoDiSanJieDuan" label="其他债权投资减值准备本期转销（第三阶段）" mulRef="_GBC_754617dd27bd46f5a66234322846f33c" unitRef="_GBC_4bd55cf77604423c81dbad1c5a08ddd4" addr="T0R10C3S1_1" formatStyle="Comma" appId="_GBC_038e4a0a4815442e91a9309c128001c1"/>
      <m:item xlName="_GBC_e163d665657b47878e7342ad7b24c025" concept="clcid-pte:QiTaZhaiQuanTouZiJianZhiZhunBeiBenQiZhuanXiaoJieDuanHeJi" label="其他债权投资减值准备本期转销阶段合计" mulRef="_GBC_754617dd27bd46f5a66234322846f33c" unitRef="_GBC_4bd55cf77604423c81dbad1c5a08ddd4" addr="T0R10C4S1_1" formatStyle="Comma" appId="_GBC_038e4a0a4815442e91a9309c128001c1"/>
      <m:placeholder xlName="_PLD_fc63486e153a4252b9e815f4f1a0d5b5" addr="T0R11C0S1_1"/>
      <m:item xlName="_GBC_96c40f82d9fd4dd4987c19bf17bd20f8" concept="clcid-pte:QiTaZhaiQuanTouZiJianZhiZhunBeiBenQiHeXiaoDiYiJieDuan" label="其他债权投资减值准备本期核销（第一阶段）" mulRef="_GBC_754617dd27bd46f5a66234322846f33c" unitRef="_GBC_4bd55cf77604423c81dbad1c5a08ddd4" addr="T0R11C1S1_1" formatStyle="Comma" appId="_GBC_038e4a0a4815442e91a9309c128001c1"/>
      <m:item xlName="_GBC_b9cd527e06504f3fa9f9482c85497a5a" concept="clcid-pte:QiTaZhaiQuanTouZiJianZhiZhunBeiBenQiHeXiaoDiErJieDuan" label="其他债权投资减值准备本期核销（第二阶段）" mulRef="_GBC_754617dd27bd46f5a66234322846f33c" unitRef="_GBC_4bd55cf77604423c81dbad1c5a08ddd4" addr="T0R11C2S1_1" formatStyle="Comma" appId="_GBC_038e4a0a4815442e91a9309c128001c1"/>
      <m:item xlName="_GBC_a3ea6220811840f484459298dcd73312" concept="clcid-pte:QiTaZhaiQuanTouZiJianZhiZhunBeiBenQiHeXiaoDiSanJieDuan" label="其他债权投资减值准备本期核销（第三阶段）" mulRef="_GBC_754617dd27bd46f5a66234322846f33c" unitRef="_GBC_4bd55cf77604423c81dbad1c5a08ddd4" addr="T0R11C3S1_1" formatStyle="Comma" appId="_GBC_038e4a0a4815442e91a9309c128001c1"/>
      <m:item xlName="_GBC_050462f900524793b8a27b56f47b6875" concept="clcid-pte:QiTaZhaiQuanTouZiJianZhiZhunBeiBenQiHeXiaoJieDuanHeJi" label="其他债权投资减值准备本期核销阶段合计" mulRef="_GBC_754617dd27bd46f5a66234322846f33c" unitRef="_GBC_4bd55cf77604423c81dbad1c5a08ddd4" addr="T0R11C4S1_1" formatStyle="Comma" appId="_GBC_038e4a0a4815442e91a9309c128001c1"/>
      <m:placeholder xlName="_PLD_4d56e424d12449d9827c1915cf190c03" addr="T0R12C0S1_1"/>
      <m:item xlName="_GBC_714faf0075b64a9aa978f5da6348c43d" concept="clcid-pte:QiTaZhaiQuanTouZiJianZhiZhunBeiBenQiQiTaBianDongDiYiJieDuan" label="其他债权投资减值准备本期其他变动（第一阶段）" mulRef="_GBC_754617dd27bd46f5a66234322846f33c" unitRef="_GBC_4bd55cf77604423c81dbad1c5a08ddd4" addr="T0R12C1S1_1" formatStyle="Comma" appId="_GBC_038e4a0a4815442e91a9309c128001c1"/>
      <m:item xlName="_GBC_5b6d03dbc7b248c2b08ab413a0ddcc3d" concept="clcid-pte:QiTaZhaiQuanTouZiJianZhiZhunBeiBenQiQiTaBianDongDiErJieDuan" label="其他债权投资减值准备本期其他变动（第二阶段）" mulRef="_GBC_754617dd27bd46f5a66234322846f33c" unitRef="_GBC_4bd55cf77604423c81dbad1c5a08ddd4" addr="T0R12C2S1_1" formatStyle="Comma" appId="_GBC_038e4a0a4815442e91a9309c128001c1"/>
      <m:item xlName="_GBC_12ce1d63e075484db3e5096086a8335f" concept="clcid-pte:QiTaZhaiQuanTouZiJianZhiZhunBeiBenQiQiTaBianDongDiSanJieDuan" label="其他债权投资减值准备本期其他变动（第三阶段）" mulRef="_GBC_754617dd27bd46f5a66234322846f33c" unitRef="_GBC_4bd55cf77604423c81dbad1c5a08ddd4" addr="T0R12C3S1_1" formatStyle="Comma" appId="_GBC_038e4a0a4815442e91a9309c128001c1"/>
      <m:item xlName="_GBC_a3e6f6251e5c4f6287ee20428e0b03f2" concept="clcid-pte:QiTaZhaiQuanTouZiJianZhiZhunBeiBenQiQiTaBianDongJieDuanHeJi" label="其他债权投资减值准备本期其他变动阶段合计" mulRef="_GBC_754617dd27bd46f5a66234322846f33c" unitRef="_GBC_4bd55cf77604423c81dbad1c5a08ddd4" addr="T0R12C4S1_1" formatStyle="Comma" appId="_GBC_038e4a0a4815442e91a9309c128001c1"/>
      <m:placeholder xlName="_PLD_d9825b9b5bb54d35b883481c3ea94675" addr="T0R13C0S1_1"/>
      <m:item xlName="_GBC_e6da3926ce094a69b6e1b51633f58391" concept="clcid-pte:QiTaZhaiQuanTouZiJianZhiZhunBeiDiYiJieDuan" label="其他债权投资减值准备（第一阶段）" mulRef="_GBC_754617dd27bd46f5a66234322846f33c" unitRef="_GBC_4bd55cf77604423c81dbad1c5a08ddd4" addr="T0R13C1S1_1" formatStyle="Comma" appId="_GBC_038e4a0a4815442e91a9309c128001c1"/>
      <m:item xlName="_GBC_dea0d3228ac44c7c92d206f3954b1e03" concept="clcid-pte:QiTaZhaiQuanTouZiJianZhiZhunBeiDiErJieDuan" label="其他债权投资减值准备（第二阶段）" mulRef="_GBC_754617dd27bd46f5a66234322846f33c" unitRef="_GBC_4bd55cf77604423c81dbad1c5a08ddd4" addr="T0R13C2S1_1" formatStyle="Comma" appId="_GBC_038e4a0a4815442e91a9309c128001c1"/>
      <m:item xlName="_GBC_b91b15a313184026b6c6354a1cb01b11" concept="clcid-pte:QiTaZhaiQuanTouZiJianZhiZhunBeiDiSanJieDuan" label="其他债权投资减值准备（第三阶段）" mulRef="_GBC_754617dd27bd46f5a66234322846f33c" unitRef="_GBC_4bd55cf77604423c81dbad1c5a08ddd4" addr="T0R13C3S1_1" formatStyle="Comma" appId="_GBC_038e4a0a4815442e91a9309c128001c1"/>
      <m:item xlName="_GBC_db1a53e921054aa9a91e892ca09b4c2e" concept="clcid-pte:QiTaZhaiQuanTouZiJianZhiZhunBei" label="其他债权投资减值准备" mulRef="_GBC_754617dd27bd46f5a66234322846f33c" unitRef="_GBC_4bd55cf77604423c81dbad1c5a08ddd4" addr="T0R13C4S1_1" formatStyle="Comma" appId="_GBC_038e4a0a4815442e91a9309c128001c1"/>
      <m:item xlName="_GBC_a5244e9c4dd54b3bb96887bf9918c394" concept="clcid-ci-ar:ShiFouShiYongQiTaZhaiQuanTouZiBenQiFaShengSunShiZhunBeiBianDongQieZhangMianYuEXianZhuBianDongDeQingKuangShuoMing" label="是否适用：其他债权投资本期发生损失准备变动且账面余额显著变动的情况说明" selectOptions="_buildInAppliance" controlType="CustomCheckbox" cRanges="[{&quot;StartName&quot;:&quot;_GBC_a5244e9c4dd54b3bb96887bf9918c394&quot;,&quot;EndName&quot;:&quot;_GBC_f2012893e3464f77816f3c0098b8487c&quot;,&quot;CType&quot;:1}]"/>
      <m:item xlName="_GBC_f2012893e3464f77816f3c0098b8487c" concept="clcid-pte:QiTaZhaiQuanTouZiBenQiFaShengSunShiZhunBeiBianDongQieZhangMianYuEXianZhuBianDongDeQingKuangShuoMing" label="其他债权投资本期发生损失准备变动且账面余额显著变动的情况说明" appId="_GBC_a5244e9c4dd54b3bb96887bf9918c394"/>
      <m:item xlName="_GBC_2483672e5ae74107960eb6f08eb3d449" concept="clcid-ci-ar:ShiFouShiYongQiTaZhaiQuanTouZiBenQiHuaiZhangZhunBeiJiTiJinEYiJiPingGuJinRongGongJuDeXinYongFengXianXianZhuZengJiaDeCaiYongYiJu" label="是否适用：其他债权投资本期坏账准备计提金额以及评估金融工具的信用风险显著增加的采用依据" selectOptions="_buildInAppliance" controlType="CustomCheckbox" cRanges="[{&quot;StartName&quot;:&quot;_GBC_2483672e5ae74107960eb6f08eb3d449&quot;,&quot;EndName&quot;:&quot;_GBC_5af995b4fb8a414cbbcaf1426a9c6c42&quot;,&quot;CType&quot;:1}]"/>
      <m:item xlName="_GBC_5af995b4fb8a414cbbcaf1426a9c6c42" concept="clcid-pte:QiTaZhaiQuanTouZiBenQiHuaiZhangZhunBeiJiTiJinEYiJiPingGuJinRongGongJuDeXinYongFengXianXianZhuZengJiaDeCaiYongYiJu" label="其他债权投资本期坏账准备计提金额以及评估金融工具的信用风险显著增加的采用依据" appId="_GBC_2483672e5ae74107960eb6f08eb3d449"/>
    </m:section>
    <m:section xlName="_SEC_a6d7d62dd24747a08e0a132cf37e100c" title="其他说明：" helpId="112001058">
      <m:item xlName="_GBC_e37f3e78626b4cd0ad52d68ae2fcdecb" concept="clcid-ci-ar:ShiFouShiYongQiTaZhaiQuanTouZiQiTaShuoMing" label="是否适用：其他债权投资其他说明" selectOptions="_buildInAppliance" controlType="CustomCheckbox" cRanges="[{&quot;StartName&quot;:&quot;_GBC_e37f3e78626b4cd0ad52d68ae2fcdecb&quot;,&quot;EndName&quot;:&quot;_GBC_9f3f9ed46f334bd9a5c07b7026a0e125&quot;,&quot;CType&quot;:1}]"/>
      <m:item xlName="_GBC_9f3f9ed46f334bd9a5c07b7026a0e125" concept="clcid-pte:QiTaZhaiQuanTouZiQiTaShuoMing" label="其他债权投资其他说明" appId="_GBC_e37f3e78626b4cd0ad52d68ae2fcdecb"/>
    </m:section>
    <m:section xlName="_GBC_2642a454002a499399e1b643b91ef1ad" title="长期应收款" rules="R2015_R11_009" helpId="112001061">
      <m:item xlName="_GBC_03ba5a75d6d541f4a60fba2b18c9d548" concept="clcid-ci-ar:ShiFouShiYongChangQiYingShouKuanQingKuang" label="是否适用：长期应收款情况" selectOptions="_buildInAppliance" controlType="CustomCheckbox" cRanges="{&quot;StartName&quot;:&quot;_GBC_03ba5a75d6d541f4a60fba2b18c9d548&quot;,&quot;EndName&quot;:&quot;_GBC_145c9fdd27614d079d6c909857d05e2e&quot;,&quot;CType&quot;:1,&quot;DisplayText&quot;:null}"/>
      <m:item xlName="_GBC_95baf3ea634a4a60970b09906c240d55" concept="clcid-ci-ar:DanWeiCaiWuFuZhuChangQiYingShouKuan" label="单位：财务附注：长期应收款" selectOptions="_buildInScales" controlType="Combobox" cellType="Scale" appId="_GBC_03ba5a75d6d541f4a60fba2b18c9d548"/>
      <m:item xlName="_GBC_fe21d7e81e5548d09e30637bd81155e1" concept="clcid-ci-ar:BiZhongCaiWuFuZhuChangQiYingShouKuan" label="币种：财务附注：长期应收款" selectOptions="_buildInISO4217" controlType="Combobox" cellType="Measure" appId="_GBC_03ba5a75d6d541f4a60fba2b18c9d548"/>
      <m:placeholder xlName="_PLD_8e80648375054a09a15bfc6f9a7fb093" addr="T0R0C0S2_1"/>
      <m:placeholder xlName="_PLD_e9a93d1c2d6847be992e152b686ed22d" addr="T0R0C1S1_3"/>
      <m:placeholder xlName="_PLD_f41f953b597d46848a98bb222c5ebb8e" addr="T0R0C4S1_3"/>
      <m:placeholder xlName="_PLD_e23d00708e6c434eac89cf07e5b896e2" addr="T0R0C7S2_1"/>
      <m:placeholder xlName="_PLD_93de35b749ff4ac9a6b3c5ec236ed585" addr="T0R1C1S1_1"/>
      <m:placeholder xlName="_PLD_eccd0387c0f24fa5a972b6cd6e1d4d30" addr="T0R1C2S1_1"/>
      <m:placeholder xlName="_PLD_9016cddeb6f34d55a584d277237a8ac1" addr="T0R1C3S1_1"/>
      <m:placeholder xlName="_PLD_db7d979714524efcab7433361aaac461" addr="T0R1C4S1_1"/>
      <m:placeholder xlName="_PLD_395cf962072c462fb83f42db9e225402" addr="T0R1C5S1_1"/>
      <m:placeholder xlName="_PLD_505b96d943e341af8e22763be8ab91c7" addr="T0R1C6S1_1"/>
      <m:placeholder xlName="_PLD_44b22517c61942ddbf5f351c0b6e745f" addr="T0R2C0S1_1"/>
      <m:item xlName="_GBC_5399cd42908b4a468dd6fadb144c65d6" concept="clcid-pte:ChangQiYingShouKuanZhongRongZiZuLinJinE" label="长期应收款中融资租赁金额" mulRef="_GBC_95baf3ea634a4a60970b09906c240d55" unitRef="_GBC_fe21d7e81e5548d09e30637bd81155e1" addr="T0R2C1S1_1" formatStyle="Comma" appId="_GBC_03ba5a75d6d541f4a60fba2b18c9d548"/>
      <m:item xlName="_GBC_8760a220b0ef44cfabf4bee5a89991aa" concept="clcid-pte:ChangQiYingShouKuanZhongRongZiZuLinHuaiZhangZhunBei" label="长期应收款中融资租赁坏账准备" mulRef="_GBC_95baf3ea634a4a60970b09906c240d55" unitRef="_GBC_fe21d7e81e5548d09e30637bd81155e1" addr="T0R2C2S1_1" formatStyle="Comma" appId="_GBC_03ba5a75d6d541f4a60fba2b18c9d548"/>
      <m:item xlName="_GBC_b40439808652435bbabec59ea2eb39b0" concept="clcid-pte:ChangQiYingShouKuanZhongRongZiZuLinZhangMianJiaZhi" label="长期应收款中融资租赁账面价值" mulRef="_GBC_95baf3ea634a4a60970b09906c240d55" unitRef="_GBC_fe21d7e81e5548d09e30637bd81155e1" addr="T0R2C3S1_1" formatStyle="Comma" appId="_GBC_03ba5a75d6d541f4a60fba2b18c9d548"/>
      <m:item xlName="_GBC_406a73b4a413408ab1d99f9591844593" concept="clcid-pte:ChangQiYingShouKuanZhongRongZiZuLinJinE" label="长期应收款中融资租赁金额" periodRef="本期期初数" mulRef="_GBC_95baf3ea634a4a60970b09906c240d55" unitRef="_GBC_fe21d7e81e5548d09e30637bd81155e1" addr="T0R2C4S1_1" formatStyle="Comma" appId="_GBC_03ba5a75d6d541f4a60fba2b18c9d548"/>
      <m:item xlName="_GBC_cf446e3d18b44cad92ea3af073e1afe4" concept="clcid-pte:ChangQiYingShouKuanZhongRongZiZuLinHuaiZhangZhunBei" label="长期应收款中融资租赁坏账准备" periodRef="本期期初数" mulRef="_GBC_95baf3ea634a4a60970b09906c240d55" unitRef="_GBC_fe21d7e81e5548d09e30637bd81155e1" addr="T0R2C5S1_1" formatStyle="Comma" appId="_GBC_03ba5a75d6d541f4a60fba2b18c9d548"/>
      <m:item xlName="_GBC_008ca7c650b14305ac6b0a618988572a" concept="clcid-pte:ChangQiYingShouKuanZhongRongZiZuLinZhangMianJiaZhi" label="长期应收款中融资租赁账面价值" periodRef="本期期初数" mulRef="_GBC_95baf3ea634a4a60970b09906c240d55" unitRef="_GBC_fe21d7e81e5548d09e30637bd81155e1" addr="T0R2C6S1_1" formatStyle="Comma" appId="_GBC_03ba5a75d6d541f4a60fba2b18c9d548"/>
      <m:item xlName="_GBC_e42a718917074d3c9e3a9e44aa9164c4" concept="clcid-pte:RongZiZuLinKuanZheXianLvQuJian" label="融资租赁款折现率区间" addr="T0R2C7S1_1" appId="_GBC_03ba5a75d6d541f4a60fba2b18c9d548"/>
      <m:placeholder xlName="_PLD_82bbe5076aee43e28a8773131c01e1c5" addr="T0R3C0S1_1"/>
      <m:item xlName="_GBC_45f524856203460e996ece332531417f" concept="clcid-pte:ChangQiYingShouKuanZhongWeiShiXianRongZiShouYiJinE" label="长期应收款中未实现融资收益金额" mulRef="_GBC_95baf3ea634a4a60970b09906c240d55" unitRef="_GBC_fe21d7e81e5548d09e30637bd81155e1" addr="T0R3C1S1_1" formatStyle="Comma" appId="_GBC_03ba5a75d6d541f4a60fba2b18c9d548"/>
      <m:item xlName="_GBC_ea4176f8a3ed4323bafffbbad410a3ac" concept="clcid-pte:ChangQiYingShouKuanZhongWeiShiXianRongZiShouYiHuaiZhangZhunBei" label="长期应收款中未实现融资收益坏账准备" mulRef="_GBC_95baf3ea634a4a60970b09906c240d55" unitRef="_GBC_fe21d7e81e5548d09e30637bd81155e1" addr="T0R3C2S1_1" formatStyle="Comma" appId="_GBC_03ba5a75d6d541f4a60fba2b18c9d548"/>
      <m:item xlName="_GBC_1c4e8a0a7a7547c191de60e81955aa50" concept="clcid-pte:ChangQiYingShouKuanZhongWeiShiXianRongZiShouYiZhangMianJiaZhi" label="长期应收款中未实现融资收益账面价值" mulRef="_GBC_95baf3ea634a4a60970b09906c240d55" unitRef="_GBC_fe21d7e81e5548d09e30637bd81155e1" addr="T0R3C3S1_1" formatStyle="Comma" appId="_GBC_03ba5a75d6d541f4a60fba2b18c9d548"/>
      <m:item xlName="_GBC_986bb88ec4c34f4e92a4b9f47593ee6b" concept="clcid-pte:ChangQiYingShouKuanZhongWeiShiXianRongZiShouYiJinE" label="长期应收款中未实现融资收益金额" periodRef="本期期初数" mulRef="_GBC_95baf3ea634a4a60970b09906c240d55" unitRef="_GBC_fe21d7e81e5548d09e30637bd81155e1" addr="T0R3C4S1_1" formatStyle="Comma" appId="_GBC_03ba5a75d6d541f4a60fba2b18c9d548"/>
      <m:item xlName="_GBC_6c11e6f70f3b453b8ca9374cc1f58831" concept="clcid-pte:ChangQiYingShouKuanZhongWeiShiXianRongZiShouYiHuaiZhangZhunBei" label="长期应收款中未实现融资收益坏账准备" periodRef="本期期初数" mulRef="_GBC_95baf3ea634a4a60970b09906c240d55" unitRef="_GBC_fe21d7e81e5548d09e30637bd81155e1" addr="T0R3C5S1_1" formatStyle="Comma" appId="_GBC_03ba5a75d6d541f4a60fba2b18c9d548"/>
      <m:item xlName="_GBC_4655253df111437eb9aeee47f39d934b" concept="clcid-pte:ChangQiYingShouKuanZhongWeiShiXianRongZiShouYiZhangMianJiaZhi" label="长期应收款中未实现融资收益账面价值" periodRef="本期期初数" mulRef="_GBC_95baf3ea634a4a60970b09906c240d55" unitRef="_GBC_fe21d7e81e5548d09e30637bd81155e1" addr="T0R3C6S1_1" formatStyle="Comma" appId="_GBC_03ba5a75d6d541f4a60fba2b18c9d548"/>
      <m:item xlName="_GBC_56f61b39244a4480882ee60694ace5bd" concept="clcid-pte:WeiShiXianRongZiShouYiZheXianLvQuJian" label="未实现融资收益折现率区间" addr="T0R3C7S1_1" appId="_GBC_03ba5a75d6d541f4a60fba2b18c9d548"/>
      <m:placeholder xlName="_PLD_7e31ab337f9241e58c47845e66c25517" addr="T0R4C0S1_1"/>
      <m:item xlName="_GBC_b1398e360c5f4d8ba3fbebd8965c1b46" concept="clcid-pte:ChangQiYingShouKuanZhongFenQiShouKuanXiaoShouShangPinJinE" label="长期应收款中分期收款销售商品金额" mulRef="_GBC_95baf3ea634a4a60970b09906c240d55" unitRef="_GBC_fe21d7e81e5548d09e30637bd81155e1" addr="T0R4C1S1_1" formatStyle="Comma" appId="_GBC_03ba5a75d6d541f4a60fba2b18c9d548"/>
      <m:item xlName="_GBC_39d9eeae6e2e46d3b7ad2fd0c6a95e7d" concept="clcid-pte:ChangQiYingShouKuanZhongFenQiShouKuanXiaoShouShangPinHuaiZhangZhunBei" label="长期应收款中分期收款销售商品坏账准备" mulRef="_GBC_95baf3ea634a4a60970b09906c240d55" unitRef="_GBC_fe21d7e81e5548d09e30637bd81155e1" addr="T0R4C2S1_1" formatStyle="Comma" appId="_GBC_03ba5a75d6d541f4a60fba2b18c9d548"/>
      <m:item xlName="_GBC_9d39b1de217b4797a4950417fe23f8b2" concept="clcid-pte:ChangQiYingShouKuanZhongFenQiShouKuanXiaoShouShangPinZhangMianJiaZhi" label="长期应收款中分期收款销售商品账面价值" mulRef="_GBC_95baf3ea634a4a60970b09906c240d55" unitRef="_GBC_fe21d7e81e5548d09e30637bd81155e1" addr="T0R4C3S1_1" formatStyle="Comma" appId="_GBC_03ba5a75d6d541f4a60fba2b18c9d548"/>
      <m:item xlName="_GBC_07165a07b58c48248a0f894669b095d3" concept="clcid-pte:ChangQiYingShouKuanZhongFenQiShouKuanXiaoShouShangPinJinE" label="长期应收款中分期收款销售商品金额" periodRef="本期期初数" mulRef="_GBC_95baf3ea634a4a60970b09906c240d55" unitRef="_GBC_fe21d7e81e5548d09e30637bd81155e1" addr="T0R4C4S1_1" formatStyle="Comma" appId="_GBC_03ba5a75d6d541f4a60fba2b18c9d548"/>
      <m:item xlName="_GBC_1aa733cb25014b8dacfd5b328bfb3cf4" concept="clcid-pte:ChangQiYingShouKuanZhongFenQiShouKuanXiaoShouShangPinHuaiZhangZhunBei" label="长期应收款中分期收款销售商品坏账准备" periodRef="本期期初数" mulRef="_GBC_95baf3ea634a4a60970b09906c240d55" unitRef="_GBC_fe21d7e81e5548d09e30637bd81155e1" addr="T0R4C5S1_1" formatStyle="Comma" appId="_GBC_03ba5a75d6d541f4a60fba2b18c9d548"/>
      <m:item xlName="_GBC_8f09fbd7ee93489faff5e24a866771c3" concept="clcid-pte:ChangQiYingShouKuanZhongFenQiShouKuanXiaoShouShangPinZhangMianJiaZhi" label="长期应收款中分期收款销售商品账面价值" periodRef="本期期初数" mulRef="_GBC_95baf3ea634a4a60970b09906c240d55" unitRef="_GBC_fe21d7e81e5548d09e30637bd81155e1" addr="T0R4C6S1_1" formatStyle="Comma" appId="_GBC_03ba5a75d6d541f4a60fba2b18c9d548"/>
      <m:item xlName="_GBC_32f33bb718c947458780f61b1f9d046d" concept="clcid-pte:FenQiShouKuanXiaoShouShangPinZheXianLvQuJian" label="分期收款销售商品折现率区间" addr="T0R4C7S1_1" appId="_GBC_03ba5a75d6d541f4a60fba2b18c9d548"/>
      <m:placeholder xlName="_PLD_47e3b848af3a4fd8a34593f844419d02" addr="T0R5C0S1_1"/>
      <m:item xlName="_GBC_7f07df5a29e144ad9c675324437852e6" concept="clcid-pte:ChangQiYingShouKuanZhongFenQiShouKuanTiGongLaoWuJinE" label="长期应收款中分期收款提供劳务金额" mulRef="_GBC_95baf3ea634a4a60970b09906c240d55" unitRef="_GBC_fe21d7e81e5548d09e30637bd81155e1" addr="T0R5C1S1_1" formatStyle="Comma" appId="_GBC_03ba5a75d6d541f4a60fba2b18c9d548"/>
      <m:item xlName="_GBC_c55206c60f4d4207a55ec93dc80befd2" concept="clcid-pte:ChangQiYingShouKuanZhongFenQiShouKuanTiGongLaoWuHuaiZhangZhunBei" label="长期应收款中分期收款提供劳务坏账准备" mulRef="_GBC_95baf3ea634a4a60970b09906c240d55" unitRef="_GBC_fe21d7e81e5548d09e30637bd81155e1" addr="T0R5C2S1_1" formatStyle="Comma" appId="_GBC_03ba5a75d6d541f4a60fba2b18c9d548"/>
      <m:item xlName="_GBC_6cee3ceb6d224e8886677d8eca8bdbab" concept="clcid-pte:ChangQiYingShouKuanZhongFenQiShouKuanTiGongLaoWuZhangMianJiaZhi" label="长期应收款中分期收款提供劳务账面价值" mulRef="_GBC_95baf3ea634a4a60970b09906c240d55" unitRef="_GBC_fe21d7e81e5548d09e30637bd81155e1" addr="T0R5C3S1_1" formatStyle="Comma" appId="_GBC_03ba5a75d6d541f4a60fba2b18c9d548"/>
      <m:item xlName="_GBC_eecb7c9e00c84b79af552704fd2df4cc" concept="clcid-pte:ChangQiYingShouKuanZhongFenQiShouKuanTiGongLaoWuJinE" label="长期应收款中分期收款提供劳务金额" periodRef="本期期初数" mulRef="_GBC_95baf3ea634a4a60970b09906c240d55" unitRef="_GBC_fe21d7e81e5548d09e30637bd81155e1" addr="T0R5C4S1_1" formatStyle="Comma" appId="_GBC_03ba5a75d6d541f4a60fba2b18c9d548"/>
      <m:item xlName="_GBC_626c1c6d136a42f3beb30aed79faa9b7" concept="clcid-pte:ChangQiYingShouKuanZhongFenQiShouKuanTiGongLaoWuHuaiZhangZhunBei" label="长期应收款中分期收款提供劳务坏账准备" periodRef="本期期初数" mulRef="_GBC_95baf3ea634a4a60970b09906c240d55" unitRef="_GBC_fe21d7e81e5548d09e30637bd81155e1" addr="T0R5C5S1_1" formatStyle="Comma" appId="_GBC_03ba5a75d6d541f4a60fba2b18c9d548"/>
      <m:item xlName="_GBC_959f76c77fcf43709acd1310759ba88e" concept="clcid-pte:ChangQiYingShouKuanZhongFenQiShouKuanTiGongLaoWuZhangMianJiaZhi" label="长期应收款中分期收款提供劳务账面价值" periodRef="本期期初数" mulRef="_GBC_95baf3ea634a4a60970b09906c240d55" unitRef="_GBC_fe21d7e81e5548d09e30637bd81155e1" addr="T0R5C6S1_1" formatStyle="Comma" appId="_GBC_03ba5a75d6d541f4a60fba2b18c9d548"/>
      <m:item xlName="_GBC_56e74a842fd544b599bf2d6378859908" concept="clcid-pte:FenQiShouKuanTiGongLaoWuZheXianLvQuJian" label="分期收款提供劳务折现率区间" addr="T0R5C7S1_1" appId="_GBC_03ba5a75d6d541f4a60fba2b18c9d548"/>
      <m:tuple xlName="_GBC_5a41f105be7341e4bda68c15cf69c9e0" concept="clcid-pte:ChangQiYingShouKuanQingKuangMingXi" default_row="2" addr="T0R6C">
        <m:item xlName="_GBC_85eb5dbe841d43848849c406a0312866" concept="clcid-pte:ChangQiYingShouKuanQingKuangMingXiXiangMuMingCheng" label="长期应收款情况明细-项目名称" addr="T0R6C0S1_1" appId="_GBC_03ba5a75d6d541f4a60fba2b18c9d548" fixedType="EPS"/>
        <m:item xlName="_GBC_ff83a6aad635406dbd8ae692697edfd3" concept="clcid-pte:ChangQiYingShouKuanQingKuangMingXiZhangMianYuE" label="长期应收款情况明细-账面余额" mulRef="_GBC_95baf3ea634a4a60970b09906c240d55" unitRef="_GBC_fe21d7e81e5548d09e30637bd81155e1" addr="T0R6C1S1_1" formatStyle="Comma" appId="_GBC_03ba5a75d6d541f4a60fba2b18c9d548"/>
        <m:item xlName="_GBC_84c525fe54d140ef817783ee9bd7c3c0" concept="clcid-pte:ChangQiYingShouKuanQingKuangMingXiHuaiZhangZhunBei" label="长期应收款情况明细-坏账准备" mulRef="_GBC_95baf3ea634a4a60970b09906c240d55" unitRef="_GBC_fe21d7e81e5548d09e30637bd81155e1" addr="T0R6C2S1_1" formatStyle="Comma" appId="_GBC_03ba5a75d6d541f4a60fba2b18c9d548"/>
        <m:item xlName="_GBC_b216c0214d58490ea94ca6ebfd39a238" concept="clcid-pte:ChangQiYingShouKuanQingKuangMingXiZhangMianJiaZhi" label="长期应收款情况明细-账面价值" mulRef="_GBC_95baf3ea634a4a60970b09906c240d55" unitRef="_GBC_fe21d7e81e5548d09e30637bd81155e1" addr="T0R6C3S1_1" formatStyle="Comma" appId="_GBC_03ba5a75d6d541f4a60fba2b18c9d548"/>
        <m:item xlName="_GBC_d478d28db88a44f2ad81e24988a971cf" concept="clcid-pte:ChangQiYingShouKuanQingKuangMingXiZhangMianYuE" label="长期应收款情况明细-账面余额" periodRef="本期期初数" mulRef="_GBC_95baf3ea634a4a60970b09906c240d55" unitRef="_GBC_fe21d7e81e5548d09e30637bd81155e1" addr="T0R6C4S1_1" formatStyle="Comma" appId="_GBC_03ba5a75d6d541f4a60fba2b18c9d548"/>
        <m:item xlName="_GBC_6e62e948673043c4b0451a432558d3db" concept="clcid-pte:ChangQiYingShouKuanQingKuangMingXiHuaiZhangZhunBei" label="长期应收款情况明细-坏账准备" periodRef="本期期初数" mulRef="_GBC_95baf3ea634a4a60970b09906c240d55" unitRef="_GBC_fe21d7e81e5548d09e30637bd81155e1" addr="T0R6C5S1_1" formatStyle="Comma" appId="_GBC_03ba5a75d6d541f4a60fba2b18c9d548"/>
        <m:item xlName="_GBC_5c39d05a125846d3ae1045f5c8ebecf0" concept="clcid-pte:ChangQiYingShouKuanQingKuangMingXiZhangMianJiaZhi" label="长期应收款情况明细-账面价值" periodRef="本期期初数" mulRef="_GBC_95baf3ea634a4a60970b09906c240d55" unitRef="_GBC_fe21d7e81e5548d09e30637bd81155e1" addr="T0R6C6S1_1" formatStyle="Comma" appId="_GBC_03ba5a75d6d541f4a60fba2b18c9d548"/>
        <m:item xlName="_GBC_23b8c91d7bb24907aa9bc3c8a2a91d2f" concept="clcid-pte:ChangQiYingShouKuanQingKuangMingXiZheXianLvQuJian" label="长期应收款情况明细-折现率区间" addr="T0R6C7S1_1" appId="_GBC_03ba5a75d6d541f4a60fba2b18c9d548"/>
      </m:tuple>
      <m:placeholder xlName="_PLD_8bf46c35ccf64076b70a8027cfc753dc" addr="T0R8C0S1_1"/>
      <m:item xlName="_GBC_73b1c6c31e674a2a83ca986749cd4066" concept="clcid-pte:ChangQiYingShouKuanZhangMianYuE" label="长期应收款账面余额" mulRef="_GBC_95baf3ea634a4a60970b09906c240d55" unitRef="_GBC_fe21d7e81e5548d09e30637bd81155e1" addr="T0R8C1S1_1" formatStyle="Comma" appId="_GBC_03ba5a75d6d541f4a60fba2b18c9d548">
        <m:complexRule comparator="Eq" title="长期应收款" test=" $_GBC_5399cd42908b4a468dd6fadb144c65d6 +  $_GBC_b1398e360c5f4d8ba3fbebd8965c1b46 +  $_GBC_7f07df5a29e144ad9c675324437852e6 +  $_GBC_ff83a6aad635406dbd8ae692697edfd3" id="Cc38a4dbafb5840899dc8eff0324c41f3"/>
      </m:item>
      <m:item xlName="_GBC_443cb39c4b0d4f0c812ffe5563ab84a6" concept="clcid-pte:ChangQiYingShouKuanHuaiZhangZhunBeiHeJi" label="长期应收款坏账准备合计" mulRef="_GBC_95baf3ea634a4a60970b09906c240d55" unitRef="_GBC_fe21d7e81e5548d09e30637bd81155e1" addr="T0R8C2S1_1" formatStyle="Comma" appId="_GBC_03ba5a75d6d541f4a60fba2b18c9d548">
        <m:complexRule comparator="Eq" title="长期应收款坏账准备合计" test=" $_GBC_8760a220b0ef44cfabf4bee5a89991aa +  $_GBC_39d9eeae6e2e46d3b7ad2fd0c6a95e7d +  $_GBC_c55206c60f4d4207a55ec93dc80befd2 +  $_GBC_84c525fe54d140ef817783ee9bd7c3c0" id="Ce1b949873422482281e5f8e35a6654bc"/>
      </m:item>
      <m:item xlName="_GBC_8ccedacdf5834979bc0754d50db3c38e" concept="clcid-pte:ChangQiYingShouKuan" label="长期应收款" mulRef="_GBC_95baf3ea634a4a60970b09906c240d55" unitRef="_GBC_fe21d7e81e5548d09e30637bd81155e1" addr="T0R8C3S1_1" formatStyle="Comma" appId="_GBC_03ba5a75d6d541f4a60fba2b18c9d548">
        <m:complexRule comparator="Eq" title="长期应收款账面价值合计" test=" $_GBC_b40439808652435bbabec59ea2eb39b0 +  $_GBC_9d39b1de217b4797a4950417fe23f8b2 +  $_GBC_6cee3ceb6d224e8886677d8eca8bdbab +  $_GBC_b216c0214d58490ea94ca6ebfd39a238" id="Ca7156ef50484426fa4f4ce8c16612713"/>
      </m:item>
      <m:item xlName="_GBC_ef44c07b9ae741ddab666e9ed9d9cd66" concept="clcid-pte:ChangQiYingShouKuanZhangMianYuE" label="长期应收款账面余额" periodRef="本期期初数" mulRef="_GBC_95baf3ea634a4a60970b09906c240d55" unitRef="_GBC_fe21d7e81e5548d09e30637bd81155e1" addr="T0R8C4S1_1" formatStyle="Comma" appId="_GBC_03ba5a75d6d541f4a60fba2b18c9d548">
        <m:complexRule comparator="Eq" title="长期应收款@本期期初数" test=" $_GBC_406a73b4a413408ab1d99f9591844593 +  $_GBC_07165a07b58c48248a0f894669b095d3 +  $_GBC_eecb7c9e00c84b79af552704fd2df4cc +  $_GBC_d478d28db88a44f2ad81e24988a971cf" id="C42e2589e59a54eaea456439b9374c593"/>
      </m:item>
      <m:item xlName="_GBC_34ba5fe645014ea18f8ca5e982a2ad4c" concept="clcid-pte:ChangQiYingShouKuanHuaiZhangZhunBeiHeJi" label="长期应收款坏账准备合计" periodRef="本期期初数" mulRef="_GBC_95baf3ea634a4a60970b09906c240d55" unitRef="_GBC_fe21d7e81e5548d09e30637bd81155e1" addr="T0R8C5S1_1" formatStyle="Comma" appId="_GBC_03ba5a75d6d541f4a60fba2b18c9d548">
        <m:complexRule comparator="Eq" title="长期应收款坏账准备合计@本期期初数" test=" $_GBC_cf446e3d18b44cad92ea3af073e1afe4 +  $_GBC_1aa733cb25014b8dacfd5b328bfb3cf4 +  $_GBC_626c1c6d136a42f3beb30aed79faa9b7 +  $_GBC_6e62e948673043c4b0451a432558d3db" id="C732eb499520f4a1c901e54857e4c9223"/>
      </m:item>
      <m:item xlName="_GBC_145c9fdd27614d079d6c909857d05e2e" concept="clcid-pte:ChangQiYingShouKuan" label="长期应收款" periodRef="本期期初数" mulRef="_GBC_95baf3ea634a4a60970b09906c240d55" unitRef="_GBC_fe21d7e81e5548d09e30637bd81155e1" addr="T0R8C6S1_1" formatStyle="Comma" appId="_GBC_03ba5a75d6d541f4a60fba2b18c9d548">
        <m:complexRule comparator="Eq" title="长期应收款账面价值合计@本期期初数" test=" $_GBC_008ca7c650b14305ac6b0a618988572a +  $_GBC_8f09fbd7ee93489faff5e24a866771c3 +  $_GBC_959f76c77fcf43709acd1310759ba88e +  $_GBC_5c39d05a125846d3ae1045f5c8ebecf0" id="Cf263589bdc1449ca89acd00b5e367ba8"/>
      </m:item>
    </m:section>
    <m:section xlName="_SEC_a0520f64d4bd49e5a3638a0386a233ee" title="坏账准备计提情况">
      <m:item xlName="_GBC_f7e4bed7dbb84fbcb52f2226cf465bb3" concept="clcid-ci-ar:ShiFouShiYongChangQiYingShouKuanHuaiZhangZhunBeiTiaoJieBiao" label="是否适用：长期应收款坏账准备调节表" selectOptions="_buildInAppliance" controlType="CustomCheckbox" cRanges="[{&quot;StartName&quot;:&quot;_GBC_f7e4bed7dbb84fbcb52f2226cf465bb3&quot;,&quot;EndName&quot;:&quot;_GBC_0a0e13cb04c549d183b2c850fc6990bb&quot;,&quot;CType&quot;:1}]"/>
      <m:item xlName="_GBC_2bbd87eab11a481f80927dfd7342e232" concept="clcid-ci-ar:DanWeiChangQiYingShouKuanHuaiZhangZhunBeiTiaoJieBiao" label="单位：长期应收款坏账准备调节表" selectOptions="_buildInScales" controlType="Combobox" cellType="Scale" appId="_GBC_f7e4bed7dbb84fbcb52f2226cf465bb3"/>
      <m:item xlName="_GBC_a6d3fb90964748f494536b204e5bab68" concept="clcid-ci-ar:BiZhongChangQiYingShouKuanHuaiZhangZhunBeiTiaoJieBiao" label="币种：长期应收款坏账准备调节表" selectOptions="_buildInISO4217" controlType="Combobox" cellType="Measure" appId="_GBC_f7e4bed7dbb84fbcb52f2226cf465bb3"/>
      <m:placeholder xlName="_PLD_294e5bbfd4534d8cbbae3a90b20c447c" addr="T0R0C0S2_1"/>
      <m:placeholder xlName="_PLD_ace79c3416eb44e7b3a74c621384a23c" addr="T0R0C1S1_1"/>
      <m:placeholder xlName="_PLD_a72e5fdd446746579a277a4e75ad7bab" addr="T0R0C2S1_1"/>
      <m:placeholder xlName="_PLD_a754bd1abe98492398b5c00c97a6f42c" addr="T0R0C3S1_1"/>
      <m:placeholder xlName="_PLD_23f4843cece44eacbfbcf493f51395f4" addr="T0R0C4S2_1"/>
      <m:placeholder xlName="_PLD_0aa7c2cede1449e0abbc75ce6ccb5122" addr="T0R1C1S1_1"/>
      <m:placeholder xlName="_PLD_ac35bfd34bb64348af71d5e39e31efa9" addr="T0R1C2S1_1"/>
      <m:placeholder xlName="_PLD_a6de648cafb14afea0a52db889b45bef" addr="T0R1C3S1_1"/>
      <m:placeholder xlName="_PLD_b230a46cbf60446eb4dfe2c0b000d751" addr="T0R2C0S1_1"/>
      <m:item xlName="_GBC_1ac519b675464add88144a6551ce37e4" concept="clcid-pte:ChangQiYingShouKuanHuaiZhangZhunBeiDiYiJieDuan" label="长期应收款坏账准备（第一阶段）" periodRef="本期期初数" mulRef="_GBC_2bbd87eab11a481f80927dfd7342e232" unitRef="_GBC_a6d3fb90964748f494536b204e5bab68" addr="T0R2C1S1_1" formatStyle="Comma" appId="_GBC_f7e4bed7dbb84fbcb52f2226cf465bb3"/>
      <m:item xlName="_GBC_b6d055a165be4df8a0ab70dbb9c0c319" concept="clcid-pte:ChangQiYingShouKuanHuaiZhangZhunBeiDiErJieDuan" label="长期应收款坏账准备（第二阶段）" periodRef="本期期初数" mulRef="_GBC_2bbd87eab11a481f80927dfd7342e232" unitRef="_GBC_a6d3fb90964748f494536b204e5bab68" addr="T0R2C2S1_1" formatStyle="Comma" appId="_GBC_f7e4bed7dbb84fbcb52f2226cf465bb3"/>
      <m:item xlName="_GBC_382794a86a284ccbbb02f9ec16883cf8" concept="clcid-pte:ChangQiYingShouKuanHuaiZhangZhunBeiDiSanJieDuan" label="长期应收款坏账准备（第三阶段）" periodRef="本期期初数" mulRef="_GBC_2bbd87eab11a481f80927dfd7342e232" unitRef="_GBC_a6d3fb90964748f494536b204e5bab68" addr="T0R2C3S1_1" formatStyle="Comma" appId="_GBC_f7e4bed7dbb84fbcb52f2226cf465bb3"/>
      <m:item xlName="_GBC_bcb3e9e4187a49a4b5d90d112c03e8d6" concept="clcid-pte:ChangQiYingShouKuanHuaiZhangZhunBei" label="长期应收款坏账准备" periodRef="本期期初数" mulRef="_GBC_2bbd87eab11a481f80927dfd7342e232" unitRef="_GBC_a6d3fb90964748f494536b204e5bab68" addr="T0R2C4S1_1" formatStyle="Comma" appId="_GBC_f7e4bed7dbb84fbcb52f2226cf465bb3"/>
      <m:placeholder xlName="_PLD_86816a49f2ae408db0fd9f47c37368c4" addr="T0R3C0S1_1"/>
      <m:item xlName="_GBC_517870caa1f64594b1f50f0bb1669b85" concept="clcid-pte:ChangQiYingShouKuanHuaiZhangZhunBeiBenQiZhuanRuHuoZhuanHuiDiYiJieDuan" label="长期应收款坏账准备本期转入或转回（第一阶段）" mulRef="_GBC_2bbd87eab11a481f80927dfd7342e232" unitRef="_GBC_a6d3fb90964748f494536b204e5bab68" addr="T0R3C1S1_1" formatStyle="Comma" appId="_GBC_f7e4bed7dbb84fbcb52f2226cf465bb3"/>
      <m:item xlName="_GBC_c4cd4dbcaee741008c989b8fc007ed73" concept="clcid-pte:ChangQiYingShouKuanHuaiZhangZhunBeiBenQiZhuanRuHuoZhuanHuiDiErJieDuan" label="长期应收款坏账准备本期转入或转回（第二阶段）" mulRef="_GBC_2bbd87eab11a481f80927dfd7342e232" unitRef="_GBC_a6d3fb90964748f494536b204e5bab68" addr="T0R3C2S1_1" formatStyle="Comma" appId="_GBC_f7e4bed7dbb84fbcb52f2226cf465bb3"/>
      <m:item xlName="_GBC_b2797f9b80584f64a83f06f9ba225574" concept="clcid-pte:ChangQiYingShouKuanHuaiZhangZhunBeiBenQiZhuanRuHuoZhuanHuiDiSanJieDuan" label="长期应收款坏账准备本期转入或转回（第三阶段）" mulRef="_GBC_2bbd87eab11a481f80927dfd7342e232" unitRef="_GBC_a6d3fb90964748f494536b204e5bab68" addr="T0R3C3S1_1" formatStyle="Comma" appId="_GBC_f7e4bed7dbb84fbcb52f2226cf465bb3"/>
      <m:item xlName="_GBC_bc5688a0bf904723b23e6902723b3000" concept="clcid-pte:ChangQiYingShouKuanHuaiZhangZhunBeiBenQiZhuanRuHuoZhuanHuiJieDuanHeJi" label="长期应收款坏账准备本期转入或转回阶段合计" mulRef="_GBC_2bbd87eab11a481f80927dfd7342e232" unitRef="_GBC_a6d3fb90964748f494536b204e5bab68" addr="T0R3C4S1_1" formatStyle="Comma" appId="_GBC_f7e4bed7dbb84fbcb52f2226cf465bb3"/>
      <m:placeholder xlName="_PLD_c91cfe6023c543b48f51dca663734154" addr="T0R4C0S1_1"/>
      <m:item xlName="_GBC_cd6293daa5334a0b9898ece7c45b8301" concept="clcid-pte:ChangQiYingShouKuanHuaiZhangZhunBeiBenQiZhuanRuDiErJieDuanDiYiJieDuan" label="长期应收款坏账准备本期转入第二阶段（第一阶段）" mulRef="_GBC_2bbd87eab11a481f80927dfd7342e232" unitRef="_GBC_a6d3fb90964748f494536b204e5bab68" addr="T0R4C1S1_1" formatStyle="Comma" appId="_GBC_f7e4bed7dbb84fbcb52f2226cf465bb3"/>
      <m:item xlName="_GBC_f2617a890c9e4fb382fb0eaf4c85e6c3" concept="clcid-pte:ChangQiYingShouKuanHuaiZhangZhunBeiBenQiZhuanRuDiErJieDuanDiErJieDuan" label="长期应收款坏账准备本期转入第二阶段（第二阶段）" mulRef="_GBC_2bbd87eab11a481f80927dfd7342e232" unitRef="_GBC_a6d3fb90964748f494536b204e5bab68" addr="T0R4C2S1_1" formatStyle="Comma" appId="_GBC_f7e4bed7dbb84fbcb52f2226cf465bb3"/>
      <m:item xlName="_GBC_7366da5917ac4348a446e7d84aaa4ad7" concept="clcid-pte:ChangQiYingShouKuanHuaiZhangZhunBeiBenQiZhuanRuDiErJieDuanDiSanJieDuan" label="长期应收款坏账准备本期转入第二阶段（第三阶段）" mulRef="_GBC_2bbd87eab11a481f80927dfd7342e232" unitRef="_GBC_a6d3fb90964748f494536b204e5bab68" addr="T0R4C3S1_1" formatStyle="Comma" appId="_GBC_f7e4bed7dbb84fbcb52f2226cf465bb3"/>
      <m:item xlName="_GBC_c60352b56c294a719467954843d55566" concept="clcid-pte:ChangQiYingShouKuanHuaiZhangZhunBeiBenQiZhuanRuDiErJieDuanJieDuanHeJi" label="长期应收款坏账准备本期转入第二阶段阶段合计" mulRef="_GBC_2bbd87eab11a481f80927dfd7342e232" unitRef="_GBC_a6d3fb90964748f494536b204e5bab68" addr="T0R4C4S1_1" formatStyle="Comma" appId="_GBC_f7e4bed7dbb84fbcb52f2226cf465bb3"/>
      <m:placeholder xlName="_PLD_a950bce164c8477b8fb5a7d1dc4f7e59" addr="T0R5C0S1_1"/>
      <m:item xlName="_GBC_5fb6197672c94762b8434f7de7bf8713" concept="clcid-pte:ChangQiYingShouKuanHuaiZhangZhunBeiBenQiZhuanRuDiSanJieDuanDiYiJieDuan" label="长期应收款坏账准备本期转入第三阶段（第一阶段）" mulRef="_GBC_2bbd87eab11a481f80927dfd7342e232" unitRef="_GBC_a6d3fb90964748f494536b204e5bab68" addr="T0R5C1S1_1" formatStyle="Comma" appId="_GBC_f7e4bed7dbb84fbcb52f2226cf465bb3"/>
      <m:item xlName="_GBC_794cc37d687943598f22988fd7248516" concept="clcid-pte:ChangQiYingShouKuanHuaiZhangZhunBeiBenQiZhuanRuDiSanJieDuanDiErJieDuan" label="长期应收款坏账准备本期转入第三阶段（第二阶段）" mulRef="_GBC_2bbd87eab11a481f80927dfd7342e232" unitRef="_GBC_a6d3fb90964748f494536b204e5bab68" addr="T0R5C2S1_1" formatStyle="Comma" appId="_GBC_f7e4bed7dbb84fbcb52f2226cf465bb3"/>
      <m:item xlName="_GBC_1bc1955f2fab4243a3f37c06174bf90e" concept="clcid-pte:ChangQiYingShouKuanHuaiZhangZhunBeiBenQiZhuanRuDiSanJieDuanDiSanJieDuan" label="长期应收款坏账准备本期转入第三阶段（第三阶段）" mulRef="_GBC_2bbd87eab11a481f80927dfd7342e232" unitRef="_GBC_a6d3fb90964748f494536b204e5bab68" addr="T0R5C3S1_1" formatStyle="Comma" appId="_GBC_f7e4bed7dbb84fbcb52f2226cf465bb3"/>
      <m:item xlName="_GBC_74d53945b54a4144a39d8737fe6ffe26" concept="clcid-pte:ChangQiYingShouKuanHuaiZhangZhunBeiBenQiZhuanRuDiSanJieDuanJieDuanHeJi" label="长期应收款坏账准备本期转入第三阶段阶段合计" mulRef="_GBC_2bbd87eab11a481f80927dfd7342e232" unitRef="_GBC_a6d3fb90964748f494536b204e5bab68" addr="T0R5C4S1_1" formatStyle="Comma" appId="_GBC_f7e4bed7dbb84fbcb52f2226cf465bb3"/>
      <m:placeholder xlName="_PLD_80b01be34c3b4035a08d3423409c07d7" addr="T0R6C0S1_1"/>
      <m:item xlName="_GBC_0df18cd7f6214e9cbf2c3e29dea3fde1" concept="clcid-pte:ChangQiYingShouKuanHuaiZhangZhunBeiBenQiZhuanHuiDiErJieDuanDiYiJieDuan" label="长期应收款坏账准备本期转回第二阶段（第一阶段）" mulRef="_GBC_2bbd87eab11a481f80927dfd7342e232" unitRef="_GBC_a6d3fb90964748f494536b204e5bab68" addr="T0R6C1S1_1" formatStyle="Comma" appId="_GBC_f7e4bed7dbb84fbcb52f2226cf465bb3"/>
      <m:item xlName="_GBC_4b944c8272f547f98f772741e31a3179" concept="clcid-pte:ChangQiYingShouKuanHuaiZhangZhunBeiBenQiZhuanHuiDiErJieDuanDiErJieDuan" label="长期应收款坏账准备本期转回第二阶段（第二阶段）" mulRef="_GBC_2bbd87eab11a481f80927dfd7342e232" unitRef="_GBC_a6d3fb90964748f494536b204e5bab68" addr="T0R6C2S1_1" formatStyle="Comma" appId="_GBC_f7e4bed7dbb84fbcb52f2226cf465bb3"/>
      <m:item xlName="_GBC_e179c2ba4f5847039f7d03edc2ab297f" concept="clcid-pte:ChangQiYingShouKuanHuaiZhangZhunBeiBenQiZhuanHuiDiErJieDuanDiSanJieDuan" label="长期应收款坏账准备本期转回第二阶段（第三阶段）" mulRef="_GBC_2bbd87eab11a481f80927dfd7342e232" unitRef="_GBC_a6d3fb90964748f494536b204e5bab68" addr="T0R6C3S1_1" formatStyle="Comma" appId="_GBC_f7e4bed7dbb84fbcb52f2226cf465bb3"/>
      <m:item xlName="_GBC_df9c85c0127e469c8c75ffafa0c952de" concept="clcid-pte:ChangQiYingShouKuanHuaiZhangZhunBeiBenQiZhuanHuiDiErJieDuanJieDuanHeJi" label="长期应收款坏账准备本期转回第二阶段阶段合计" mulRef="_GBC_2bbd87eab11a481f80927dfd7342e232" unitRef="_GBC_a6d3fb90964748f494536b204e5bab68" addr="T0R6C4S1_1" formatStyle="Comma" appId="_GBC_f7e4bed7dbb84fbcb52f2226cf465bb3"/>
      <m:placeholder xlName="_PLD_200efa744e044677bffdebede2418f76" addr="T0R7C0S1_1"/>
      <m:item xlName="_GBC_a67dc8f5556d4c82a5793c84d089c34b" concept="clcid-pte:ChangQiYingShouKuanHuaiZhangZhunBeiBenQiZhuanHuiDiYiJieDuanDiYiJieDuan" label="长期应收款坏账准备本期转回第一阶段（第一阶段）" mulRef="_GBC_2bbd87eab11a481f80927dfd7342e232" unitRef="_GBC_a6d3fb90964748f494536b204e5bab68" addr="T0R7C1S1_1" formatStyle="Comma" appId="_GBC_f7e4bed7dbb84fbcb52f2226cf465bb3"/>
      <m:item xlName="_GBC_e76d386116774ed7a140e2d287b7c416" concept="clcid-pte:ChangQiYingShouKuanHuaiZhangZhunBeiBenQiZhuanHuiDiYiJieDuanDiErJieDuan" label="长期应收款坏账准备本期转回第一阶段（第二阶段）" mulRef="_GBC_2bbd87eab11a481f80927dfd7342e232" unitRef="_GBC_a6d3fb90964748f494536b204e5bab68" addr="T0R7C2S1_1" formatStyle="Comma" appId="_GBC_f7e4bed7dbb84fbcb52f2226cf465bb3"/>
      <m:item xlName="_GBC_6ad04b75e0bd4f9290129b618d34eae3" concept="clcid-pte:ChangQiYingShouKuanHuaiZhangZhunBeiBenQiZhuanHuiDiYiJieDuanDiSanJieDuan" label="长期应收款坏账准备本期转回第一阶段（第三阶段）" mulRef="_GBC_2bbd87eab11a481f80927dfd7342e232" unitRef="_GBC_a6d3fb90964748f494536b204e5bab68" addr="T0R7C3S1_1" formatStyle="Comma" appId="_GBC_f7e4bed7dbb84fbcb52f2226cf465bb3"/>
      <m:item xlName="_GBC_ca8f6555ddc94bb5b1ee79ae50a0ed54" concept="clcid-pte:ChangQiYingShouKuanHuaiZhangZhunBeiBenQiZhuanHuiDiYiJieDuanJieDuanHeJi" label="长期应收款坏账准备本期转回第一阶段阶段合计" mulRef="_GBC_2bbd87eab11a481f80927dfd7342e232" unitRef="_GBC_a6d3fb90964748f494536b204e5bab68" addr="T0R7C4S1_1" formatStyle="Comma" appId="_GBC_f7e4bed7dbb84fbcb52f2226cf465bb3"/>
      <m:placeholder xlName="_PLD_f2f4f1b9b1744ac0988cc3ac81ace38e" addr="T0R8C0S1_1"/>
      <m:item xlName="_GBC_afef3dfe693d4ebd8830f67a410d318e" concept="clcid-pte:ChangQiYingShouKuanHuaiZhangZhunBeiBenQiXinZengJiTiDiYiJieDuan" label="长期应收款坏账准备本期新增计提（第一阶段）" mulRef="_GBC_2bbd87eab11a481f80927dfd7342e232" unitRef="_GBC_a6d3fb90964748f494536b204e5bab68" addr="T0R8C1S1_1" formatStyle="Comma" appId="_GBC_f7e4bed7dbb84fbcb52f2226cf465bb3"/>
      <m:item xlName="_GBC_c5d50f78c6f846249b9f823c17775154" concept="clcid-pte:ChangQiYingShouKuanHuaiZhangZhunBeiBenQiXinZengJiTiDiErJieDuan" label="长期应收款坏账准备本期新增计提（第二阶段）" mulRef="_GBC_2bbd87eab11a481f80927dfd7342e232" unitRef="_GBC_a6d3fb90964748f494536b204e5bab68" addr="T0R8C2S1_1" formatStyle="Comma" appId="_GBC_f7e4bed7dbb84fbcb52f2226cf465bb3"/>
      <m:item xlName="_GBC_266c1fc8f3cf4a3a9821bdf6ee79f774" concept="clcid-pte:ChangQiYingShouKuanHuaiZhangZhunBeiBenQiXinZengJiTiDiSanJieDuan" label="长期应收款坏账准备本期新增计提（第三阶段）" mulRef="_GBC_2bbd87eab11a481f80927dfd7342e232" unitRef="_GBC_a6d3fb90964748f494536b204e5bab68" addr="T0R8C3S1_1" formatStyle="Comma" appId="_GBC_f7e4bed7dbb84fbcb52f2226cf465bb3"/>
      <m:item xlName="_GBC_76d33affa5fb433bb857bfe23a14c41b" concept="clcid-pte:ChangQiYingShouKuanHuaiZhangZhunBeiBenQiXinZengJiTiJieDuanHeJi" label="长期应收款坏账准备本期新增计提阶段合计" mulRef="_GBC_2bbd87eab11a481f80927dfd7342e232" unitRef="_GBC_a6d3fb90964748f494536b204e5bab68" addr="T0R8C4S1_1" formatStyle="Comma" appId="_GBC_f7e4bed7dbb84fbcb52f2226cf465bb3"/>
      <m:placeholder xlName="_PLD_e2387077844b4460b8e43f4c1bfef43e" addr="T0R9C0S1_1"/>
      <m:item xlName="_GBC_30b8306038184cdcb70c50e9ecd682b3" concept="clcid-pte:ChangQiYingShouKuanHuaiZhangZhunBeiBenQiZhuanHuiDiYiJieDuan" label="长期应收款坏账准备本期转回（第一阶段）" mulRef="_GBC_2bbd87eab11a481f80927dfd7342e232" unitRef="_GBC_a6d3fb90964748f494536b204e5bab68" addr="T0R9C1S1_1" formatStyle="Comma" appId="_GBC_f7e4bed7dbb84fbcb52f2226cf465bb3"/>
      <m:item xlName="_GBC_31f18d1a94dd4df6bdc63d9f237f8cd2" concept="clcid-pte:ChangQiYingShouKuanHuaiZhangZhunBeiBenQiZhuanHuiDiErJieDuan" label="长期应收款坏账准备本期转回（第二阶段）" mulRef="_GBC_2bbd87eab11a481f80927dfd7342e232" unitRef="_GBC_a6d3fb90964748f494536b204e5bab68" addr="T0R9C2S1_1" formatStyle="Comma" appId="_GBC_f7e4bed7dbb84fbcb52f2226cf465bb3"/>
      <m:item xlName="_GBC_a7a5722025204db78bea4ad68716d69f" concept="clcid-pte:ChangQiYingShouKuanHuaiZhangZhunBeiBenQiZhuanHuiDiSanJieDuan" label="长期应收款坏账准备本期转回（第三阶段）" mulRef="_GBC_2bbd87eab11a481f80927dfd7342e232" unitRef="_GBC_a6d3fb90964748f494536b204e5bab68" addr="T0R9C3S1_1" formatStyle="Comma" appId="_GBC_f7e4bed7dbb84fbcb52f2226cf465bb3"/>
      <m:item xlName="_GBC_f61dfcb80f954f089c9aed9e079f69f8" concept="clcid-pte:ChangQiYingShouKuanHuaiZhangZhunBeiBenQiZhuanHuiJieDuanHeJi" label="长期应收款坏账准备本期转回阶段合计" mulRef="_GBC_2bbd87eab11a481f80927dfd7342e232" unitRef="_GBC_a6d3fb90964748f494536b204e5bab68" addr="T0R9C4S1_1" formatStyle="Comma" appId="_GBC_f7e4bed7dbb84fbcb52f2226cf465bb3"/>
      <m:placeholder xlName="_PLD_aa19890b26f443ed9e213e6f29b85d71" addr="T0R10C0S1_1"/>
      <m:item xlName="_GBC_ba9e5dda68f142efa8fe2437714df2c3" concept="clcid-pte:ChangQiYingShouKuanHuaiZhangZhunBeiBenQiZhuanXiaoDiYiJieDuan" label="长期应收款坏账准备本期转销（第一阶段）" mulRef="_GBC_2bbd87eab11a481f80927dfd7342e232" unitRef="_GBC_a6d3fb90964748f494536b204e5bab68" addr="T0R10C1S1_1" formatStyle="Comma" appId="_GBC_f7e4bed7dbb84fbcb52f2226cf465bb3"/>
      <m:item xlName="_GBC_bee6b667cb9b46fc864a8bb3a1b1e7d9" concept="clcid-pte:ChangQiYingShouKuanHuaiZhangZhunBeiBenQiZhuanXiaoDiErJieDuan" label="长期应收款坏账准备本期转销（第二阶段）" mulRef="_GBC_2bbd87eab11a481f80927dfd7342e232" unitRef="_GBC_a6d3fb90964748f494536b204e5bab68" addr="T0R10C2S1_1" formatStyle="Comma" appId="_GBC_f7e4bed7dbb84fbcb52f2226cf465bb3"/>
      <m:item xlName="_GBC_c5bff6af4f83420394f5122754025a7a" concept="clcid-pte:ChangQiYingShouKuanHuaiZhangZhunBeiBenQiZhuanXiaoDiSanJieDuan" label="长期应收款坏账准备本期转销（第三阶段）" mulRef="_GBC_2bbd87eab11a481f80927dfd7342e232" unitRef="_GBC_a6d3fb90964748f494536b204e5bab68" addr="T0R10C3S1_1" formatStyle="Comma" appId="_GBC_f7e4bed7dbb84fbcb52f2226cf465bb3"/>
      <m:item xlName="_GBC_fc3d244987124a9f8ede0bc24248b3f9" concept="clcid-pte:ChangQiYingShouKuanHuaiZhangZhunBeiBenQiZhuanXiaoJieDuanHeJi" label="长期应收款坏账准备本期转销阶段合计" mulRef="_GBC_2bbd87eab11a481f80927dfd7342e232" unitRef="_GBC_a6d3fb90964748f494536b204e5bab68" addr="T0R10C4S1_1" formatStyle="Comma" appId="_GBC_f7e4bed7dbb84fbcb52f2226cf465bb3"/>
      <m:placeholder xlName="_PLD_4505add4f90d480c9e310bf0a1e87ff7" addr="T0R11C0S1_1"/>
      <m:item xlName="_GBC_8850472b0d4a47469bc028414dd31eca" concept="clcid-pte:ChangQiYingShouKuanHuaiZhangZhunBeiBenQiHeXiaoDiYiJieDuan" label="长期应收款坏账准备本期核销（第一阶段）" mulRef="_GBC_2bbd87eab11a481f80927dfd7342e232" unitRef="_GBC_a6d3fb90964748f494536b204e5bab68" addr="T0R11C1S1_1" formatStyle="Comma" appId="_GBC_f7e4bed7dbb84fbcb52f2226cf465bb3"/>
      <m:item xlName="_GBC_615118fe9b2f40b084521943fa37be84" concept="clcid-pte:ChangQiYingShouKuanHuaiZhangZhunBeiBenQiHeXiaoDiErJieDuan" label="长期应收款坏账准备本期核销（第二阶段）" mulRef="_GBC_2bbd87eab11a481f80927dfd7342e232" unitRef="_GBC_a6d3fb90964748f494536b204e5bab68" addr="T0R11C2S1_1" formatStyle="Comma" appId="_GBC_f7e4bed7dbb84fbcb52f2226cf465bb3"/>
      <m:item xlName="_GBC_22544b635fb149bda02c5fb469187362" concept="clcid-pte:ChangQiYingShouKuanHuaiZhangZhunBeiBenQiHeXiaoDiSanJieDuan" label="长期应收款坏账准备本期核销（第三阶段）" mulRef="_GBC_2bbd87eab11a481f80927dfd7342e232" unitRef="_GBC_a6d3fb90964748f494536b204e5bab68" addr="T0R11C3S1_1" formatStyle="Comma" appId="_GBC_f7e4bed7dbb84fbcb52f2226cf465bb3"/>
      <m:item xlName="_GBC_70e22ea34dc747c78811b46be886444d" concept="clcid-pte:ChangQiYingShouKuanHuaiZhangZhunBeiBenQiHeXiaoJieDuanHeJi" label="长期应收款坏账准备本期核销阶段合计" mulRef="_GBC_2bbd87eab11a481f80927dfd7342e232" unitRef="_GBC_a6d3fb90964748f494536b204e5bab68" addr="T0R11C4S1_1" formatStyle="Comma" appId="_GBC_f7e4bed7dbb84fbcb52f2226cf465bb3"/>
      <m:placeholder xlName="_PLD_93cb3f645f9f45558eed3ae8afc2f5e9" addr="T0R12C0S1_1"/>
      <m:item xlName="_GBC_7f2e4ae9fd444e379bd3eecebce3de7a" concept="clcid-pte:ChangQiYingShouKuanHuaiZhangZhunBeiBenQiQiTaBianDongDiYiJieDuan" label="长期应收款坏账准备本期其他变动（第一阶段）" mulRef="_GBC_2bbd87eab11a481f80927dfd7342e232" unitRef="_GBC_a6d3fb90964748f494536b204e5bab68" addr="T0R12C1S1_1" formatStyle="Comma" appId="_GBC_f7e4bed7dbb84fbcb52f2226cf465bb3"/>
      <m:item xlName="_GBC_59e2421e329048ec91c70b087704142f" concept="clcid-pte:ChangQiYingShouKuanHuaiZhangZhunBeiBenQiQiTaBianDongDiErJieDuan" label="长期应收款坏账准备本期其他变动（第二阶段）" mulRef="_GBC_2bbd87eab11a481f80927dfd7342e232" unitRef="_GBC_a6d3fb90964748f494536b204e5bab68" addr="T0R12C2S1_1" formatStyle="Comma" appId="_GBC_f7e4bed7dbb84fbcb52f2226cf465bb3"/>
      <m:item xlName="_GBC_4fa65c8a2c9b4ad398560087fd2d5852" concept="clcid-pte:ChangQiYingShouKuanHuaiZhangZhunBeiBenQiQiTaBianDongDiSanJieDuan" label="长期应收款坏账准备本期其他变动（第三阶段）" mulRef="_GBC_2bbd87eab11a481f80927dfd7342e232" unitRef="_GBC_a6d3fb90964748f494536b204e5bab68" addr="T0R12C3S1_1" formatStyle="Comma" appId="_GBC_f7e4bed7dbb84fbcb52f2226cf465bb3"/>
      <m:item xlName="_GBC_91adee30b5e044198bd19a719090a413" concept="clcid-pte:ChangQiYingShouKuanHuaiZhangZhunBeiBenQiQiTaBianDongJieDuanHeJi" label="长期应收款坏账准备本期其他变动阶段合计" mulRef="_GBC_2bbd87eab11a481f80927dfd7342e232" unitRef="_GBC_a6d3fb90964748f494536b204e5bab68" addr="T0R12C4S1_1" formatStyle="Comma" appId="_GBC_f7e4bed7dbb84fbcb52f2226cf465bb3"/>
      <m:placeholder xlName="_PLD_6026bcc031c2492189bd9398709c587d" addr="T0R13C0S1_1"/>
      <m:item xlName="_GBC_c23e93913db14f018ab132f5b476d7ef" concept="clcid-pte:ChangQiYingShouKuanHuaiZhangZhunBeiDiYiJieDuan" label="长期应收款坏账准备（第一阶段）" mulRef="_GBC_2bbd87eab11a481f80927dfd7342e232" unitRef="_GBC_a6d3fb90964748f494536b204e5bab68" addr="T0R13C1S1_1" formatStyle="Comma" appId="_GBC_f7e4bed7dbb84fbcb52f2226cf465bb3"/>
      <m:item xlName="_GBC_7898c54b184746a5bd738143bf7fa3d3" concept="clcid-pte:ChangQiYingShouKuanHuaiZhangZhunBeiDiErJieDuan" label="长期应收款坏账准备（第二阶段）" mulRef="_GBC_2bbd87eab11a481f80927dfd7342e232" unitRef="_GBC_a6d3fb90964748f494536b204e5bab68" addr="T0R13C2S1_1" formatStyle="Comma" appId="_GBC_f7e4bed7dbb84fbcb52f2226cf465bb3"/>
      <m:item xlName="_GBC_422148bb02784d1bbfcc65ae892311a0" concept="clcid-pte:ChangQiYingShouKuanHuaiZhangZhunBeiDiSanJieDuan" label="长期应收款坏账准备（第三阶段）" mulRef="_GBC_2bbd87eab11a481f80927dfd7342e232" unitRef="_GBC_a6d3fb90964748f494536b204e5bab68" addr="T0R13C3S1_1" formatStyle="Comma" appId="_GBC_f7e4bed7dbb84fbcb52f2226cf465bb3"/>
      <m:item xlName="_GBC_aa699ec1a84d42c09964f4cd5ff3ef61" concept="clcid-pte:ChangQiYingShouKuanHuaiZhangZhunBei" label="长期应收款坏账准备" mulRef="_GBC_2bbd87eab11a481f80927dfd7342e232" unitRef="_GBC_a6d3fb90964748f494536b204e5bab68" addr="T0R13C4S1_1" formatStyle="Comma" appId="_GBC_f7e4bed7dbb84fbcb52f2226cf465bb3"/>
      <m:item xlName="_GBC_105890c95e234852a3bb3a3f5acf6008" concept="clcid-ci-ar:ShiFouShiYongChangQiYingShouKuanBenQiFaShengSunShiZhunBeiBianDongQieZhangMianYuEXianZhuBianDongDeQingKuangShuoMing" label="是否适用：长期应收款本期发生损失准备变动且账面余额显著变动的情况说明" selectOptions="_buildInAppliance" controlType="CustomCheckbox" cRanges="[{&quot;StartName&quot;:&quot;_GBC_105890c95e234852a3bb3a3f5acf6008&quot;,&quot;EndName&quot;:&quot;_GBC_c31cdb6db80c4b02a8e45681de914aec&quot;,&quot;CType&quot;:1}]"/>
      <m:item xlName="_GBC_c31cdb6db80c4b02a8e45681de914aec" concept="clcid-pte:ChangQiYingShouKuanBenQiFaShengSunShiZhunBeiBianDongQieZhangMianYuEXianZhuBianDongDeQingKuangShuoMing" label="长期应收款本期发生损失准备变动且账面余额显著变动的情况说明" appId="_GBC_105890c95e234852a3bb3a3f5acf6008"/>
      <m:item xlName="_GBC_9c13b337c4794abdbfceded7b319c34a" concept="clcid-ci-ar:ShiFouShiYongChangQiYingShouKuanHuaiZhangZhunBeiJiTiJinEYiJiPingGuJinRongGongJuDeXinYongFengXianXianZhuZengJiaDeCaiYongYiJu" label="是否适用：长期应收款坏账准备计提金额以及评估金融工具的信用风险显著增加的采用依据" selectOptions="_buildInAppliance" controlType="CustomCheckbox" cRanges="[{&quot;StartName&quot;:&quot;_GBC_9c13b337c4794abdbfceded7b319c34a&quot;,&quot;EndName&quot;:&quot;_GBC_0a0e13cb04c549d183b2c850fc6990bb&quot;,&quot;CType&quot;:1}]"/>
      <m:item xlName="_GBC_0a0e13cb04c549d183b2c850fc6990bb" concept="clcid-pte:ChangQiYingShouKuanHuaiZhangZhunBeiJiTiJinEYiJiPingGuJinRongGongJuDeXinYongFengXianXianZhuZengJiaDeCaiYongYiJu" label="长期应收款坏账准备计提金额以及评估金融工具的信用风险显著增加的采用依据" appId="_GBC_9c13b337c4794abdbfceded7b319c34a"/>
    </m:section>
    <m:section xlName="_GBC_928896eb74ab465199673a59201d4a8b" title="因金融资产转移而终止确认的长期应收款" rules="R2015_R11_009" helpId="112001061" helpText="注：说明金融资产转移的方式、终止确认的长期应收款金额，及与终止确认相关的利得或损失。">
      <m:item xlName="_GBC_f7aab2a321ef4781ad1595366bc02c5e" concept="clcid-ci-ar:ShiFouShiYongYinJinRongZiChanZhuanYiErZhongZhiQueRenDeChangQiYingShouKuan" label="是否适用：因金融资产转移而终止确认的长期应收款" selectOptions="_buildInAppliance" controlType="CustomCheckbox" cRanges="{&quot;StartName&quot;:&quot;_GBC_f7aab2a321ef4781ad1595366bc02c5e&quot;,&quot;EndName&quot;:&quot;_GBC_fbbed6ec0abd40749bdbcca3e6b10fe4&quot;,&quot;CType&quot;:1,&quot;DisplayText&quot;:null}"/>
      <m:item xlName="_GBC_fbbed6ec0abd40749bdbcca3e6b10fe4" concept="clcid-pte:YinJinRongZiChanZhuanYiErZhongZhiQueRenDeChangQiYingShouKuanDeShuoMing" label="因金融资产转移而终止确认的长期应收款的说明" appId="_GBC_f7aab2a321ef4781ad1595366bc02c5e"/>
    </m:section>
    <m:section xlName="_GBC_711f6e05c2eb42e595d774bdf837f823" title="转移长期应收款且继续涉入形成的资产、负债金额" rules="R2015_R11_009" helpId="112001061" helpText="注：说明金融资产转移的方式、分项列示继续涉入形成的资产、负债的金额。">
      <m:item xlName="_GBC_202f97bd4328472388c45157689d09e0" concept="clcid-ci-ar:ShiFouShiYongZhuanYiChangQiYingShouKuanQieJiXuSheRuXingChengDeZiChanFuZhaiJinE" label="是否适用：转移长期应收款且继续涉入形成的资产、负债金额" selectOptions="_buildInAppliance" controlType="CustomCheckbox" cRanges="{&quot;StartName&quot;:&quot;_GBC_202f97bd4328472388c45157689d09e0&quot;,&quot;EndName&quot;:&quot;_GBC_dbfcf6f9161d4ce1893b6351c40f6b38&quot;,&quot;CType&quot;:1,&quot;DisplayText&quot;:null}"/>
      <m:item xlName="_GBC_dbfcf6f9161d4ce1893b6351c40f6b38" concept="clcid-pte:ZhuanYiChangQiYingShouKuanQieJiXuSheRuXingChengDeZiChanFuZhaiJinEDeShuoMing" label="转移长期应收款且继续涉入形成的资产、负债金额的说明" appId="_GBC_202f97bd4328472388c45157689d09e0"/>
    </m:section>
    <m:section xlName="_GBC_2a6246644ca84dfdb1b5ecc95ea5c0c2" title="长期应收款的其他说明" rules="R2015_R11_009" helpId="112001061">
      <m:item xlName="_GBC_a368edfbd60c44cdaed5299529b44fa0" concept="clcid-ci-ar:ShiFouShiYongChangQiYingShouKuanDeQiTaShuoMing" label="是否适用：长期应收款的其他说明" selectOptions="_buildInAppliance" controlType="CustomCheckbox" cRanges="{&quot;StartName&quot;:&quot;_GBC_a368edfbd60c44cdaed5299529b44fa0&quot;,&quot;EndName&quot;:&quot;_GBC_5b46a0b1e7614a40b6a18cb84462664b&quot;,&quot;CType&quot;:1,&quot;DisplayText&quot;:null}"/>
      <m:item xlName="_GBC_5b46a0b1e7614a40b6a18cb84462664b" concept="clcid-pte:ChangQiYingShouKuanDeQiTaShuoMing" label="长期应收款的其他说明" appId="_GBC_a368edfbd60c44cdaed5299529b44fa0"/>
    </m:section>
    <m:item xlName="_GBC_bafa2cb2262c4c4ebc4eed8f4e4a81c6" concept="clcid-ci-ar:ShiFouShiYongChangQiGuQuanTouZi" label="是否适用：长期股权投资" selectOptions="_buildInAppliance" controlType="CustomCheckbox" cRanges="{&quot;StartName&quot;:&quot;_GBC_bafa2cb2262c4c4ebc4eed8f4e4a81c6&quot;,&quot;EndName&quot;:&quot;_GBC_e68906ccea2845f1856fe89f4de6c229&quot;,&quot;CType&quot;:1,&quot;DisplayText&quot;:null}"/>
    <m:section xlName="_GBC_e68906ccea2845f1856fe89f4de6c229" title="长期股权投资" rules="R2015_R11_010" helpId="112001063">
      <m:item xlName="_GBC_63e30834d38e49658bec9056bc38e4e2" concept="clcid-ci-ar:DanWeiCaiWuFuZhuChangQiGuQuanTouZi" label="单位：财务附注：长期股权投资" selectOptions="_buildInScales" controlType="Combobox" cellType="Scale" appId="_GBC_bafa2cb2262c4c4ebc4eed8f4e4a81c6"/>
      <m:item xlName="_GBC_f72bca6b250e484887289a819bc62e7d" concept="clcid-ci-ar:BiZhongCaiWuFuZhuChangQiGuQuanTouZi" label="币种：财务附注：长期股权投资" selectOptions="_buildInISO4217" controlType="Combobox" cellType="Measure" appId="_GBC_bafa2cb2262c4c4ebc4eed8f4e4a81c6"/>
      <m:placeholder xlName="_PLD_f83b8af388eb4b51ac2d014806d1cf64" addr="T0R0C0S2_1"/>
      <m:placeholder xlName="_PLD_13e6a1fe1f124ad387aad52d77f70942" addr="T0R0C1S2_1"/>
      <m:placeholder xlName="_PLD_26fdf8bbc93c4727b9e370d1fdd1f305" addr="T0R0C2S1_8"/>
      <m:placeholder xlName="_PLD_26f512d0941441d6b65bf5cb83112461" addr="T0R0C10S2_1"/>
      <m:placeholder xlName="_PLD_0a22719961ad439599d68ae073360e65" addr="T0R0C11S2_1"/>
      <m:placeholder xlName="_PLD_51f40272a3ff4bacb9c71b19b5796e3e" addr="T0R1C2S1_1"/>
      <m:placeholder xlName="_PLD_e5464032b3a04113a9cc54a32d8ba16e" addr="T0R1C3S1_1"/>
      <m:placeholder xlName="_PLD_3e93bb423e264a59a4ee73dd513ac7a0" addr="T0R1C4S1_1"/>
      <m:placeholder xlName="_PLD_6d1d63a827674a6d9b4fd3b0738ccb44" addr="T0R1C5S1_1"/>
      <m:placeholder xlName="_PLD_2e31e12a1218445b9271cd0b2b46dfb3" addr="T0R1C6S1_1"/>
      <m:placeholder xlName="_PLD_35f9510bcc234f63a5879448c48131ac" addr="T0R1C7S1_1"/>
      <m:placeholder xlName="_PLD_ad3c3bd2b468443aab93d8cfe4bded11" addr="T0R1C8S1_1"/>
      <m:placeholder xlName="_PLD_1bf39451058c4b3c8ec7b49241e56e40" addr="T0R1C9S1_1"/>
      <m:placeholder xlName="_PLD_a4cee4ce080742218169c5adba891f8b" addr="T0R2C0S1_1"/>
      <m:tuple xlName="_GBC_69227c07b5a5404ba52ae2198dc394dc" concept="clcid-pte:HeYingQiYeTouZiXinXiMingXi" default_row="2" addr="T0R3C">
        <m:item xlName="_GBC_9f99fe149b9d4811917e3232a9b1281e" concept="clcid-pte:HeYingQiYeTouZiXinXiMingXiMingCheng" label="合营企业投资信息明细－名称" addr="T0R3C0S1_1" appId="_GBC_bafa2cb2262c4c4ebc4eed8f4e4a81c6"/>
        <m:item xlName="_GBC_c5f70676907745ffae60f922c68cb190" concept="clcid-pte:HeYingQiYeTouZiMingXiYuE" label="合营企业投资明细-余额" periodRef="本期期初数" mulRef="_GBC_63e30834d38e49658bec9056bc38e4e2" unitRef="_GBC_f72bca6b250e484887289a819bc62e7d" addr="T0R3C1S1_1" formatStyle="Comma" appId="_GBC_bafa2cb2262c4c4ebc4eed8f4e4a81c6"/>
        <m:item xlName="_GBC_70c8ddd3674340e388b4b52ed21ac749" concept="clcid-pte:HeYingQiYeTouZiMingXiZhuiJiaTouZi" label="合营企业投资明细-追加投资" mulRef="_GBC_63e30834d38e49658bec9056bc38e4e2" unitRef="_GBC_f72bca6b250e484887289a819bc62e7d" addr="T0R3C2S1_1" formatStyle="Comma" appId="_GBC_bafa2cb2262c4c4ebc4eed8f4e4a81c6"/>
        <m:item xlName="_GBC_26a4d74cfed44ada8a8c53c3afafb057" concept="clcid-pte:HeYingQiYeTouZiMingXiJianShaoTouZi" label="合营企业投资明细-减少投资" mulRef="_GBC_63e30834d38e49658bec9056bc38e4e2" unitRef="_GBC_f72bca6b250e484887289a819bc62e7d" addr="T0R3C3S1_1" formatStyle="Comma" appId="_GBC_bafa2cb2262c4c4ebc4eed8f4e4a81c6"/>
        <m:item xlName="_GBC_dca6d36576034d0990f125bed4a1df75" concept="clcid-pte:HeYingQiYeTouZiMingXiQuanYiFaXiaQueRenDeTouZiSunYi" label="合营企业投资明细-权益法下确认的投资损益" mulRef="_GBC_63e30834d38e49658bec9056bc38e4e2" unitRef="_GBC_f72bca6b250e484887289a819bc62e7d" addr="T0R3C4S1_1" formatStyle="Comma" appId="_GBC_bafa2cb2262c4c4ebc4eed8f4e4a81c6"/>
        <m:item xlName="_GBC_c9bbd35f30ff43c0b1557711afcd3f9c" concept="clcid-pte:HeYingQiYeTouZiMingXiQiTaZongHeShouYiDiaoZheng" label="合营企业投资明细-其他综合收益调整" mulRef="_GBC_63e30834d38e49658bec9056bc38e4e2" unitRef="_GBC_f72bca6b250e484887289a819bc62e7d" addr="T0R3C5S1_1" formatStyle="Comma" appId="_GBC_bafa2cb2262c4c4ebc4eed8f4e4a81c6"/>
        <m:item xlName="_GBC_371961b864584e45bd932cc7c4992d7c" concept="clcid-pte:HeYingQiYeTouZiMingXiQiTaQuanYiBianDong" label="合营企业投资明细-其他权益变动" mulRef="_GBC_63e30834d38e49658bec9056bc38e4e2" unitRef="_GBC_f72bca6b250e484887289a819bc62e7d" addr="T0R3C6S1_1" formatStyle="Comma" appId="_GBC_bafa2cb2262c4c4ebc4eed8f4e4a81c6"/>
        <m:item xlName="_GBC_d9936b9aedcc423b87d352fce8422d9d" concept="clcid-pte:HeYingQiYeTouZiMingXiXuanGaoFaFangXianJinGuLiHuoLiRun" label="合营企业投资明细-宣告发放现金股利或利润" mulRef="_GBC_63e30834d38e49658bec9056bc38e4e2" unitRef="_GBC_f72bca6b250e484887289a819bc62e7d" addr="T0R3C7S1_1" formatStyle="Comma" appId="_GBC_bafa2cb2262c4c4ebc4eed8f4e4a81c6"/>
        <m:item xlName="_GBC_bb60a76d88fa4dec9dfc48827e68559d" concept="clcid-pte:HeYingQiYeTouZiMingXiJiTiJianZhiZhunBei" label="合营企业投资明细-计提减值准备" mulRef="_GBC_63e30834d38e49658bec9056bc38e4e2" unitRef="_GBC_f72bca6b250e484887289a819bc62e7d" addr="T0R3C8S1_1" formatStyle="Comma" appId="_GBC_bafa2cb2262c4c4ebc4eed8f4e4a81c6"/>
        <m:item xlName="_GBC_f58b6d2bc7ee440e8425a0534a3be69e" concept="clcid-pte:HeYingQiYeTouZiMingXiQiTaZengJianBianDong" label="合营企业投资明细-其他增减变动" mulRef="_GBC_63e30834d38e49658bec9056bc38e4e2" unitRef="_GBC_f72bca6b250e484887289a819bc62e7d" addr="T0R3C9S1_1" formatStyle="Comma" appId="_GBC_bafa2cb2262c4c4ebc4eed8f4e4a81c6"/>
        <m:item xlName="_GBC_9032a15691d94361a9e7db48476ebb91" concept="clcid-pte:HeYingQiYeTouZiMingXiYuE" label="合营企业投资明细-余额" mulRef="_GBC_63e30834d38e49658bec9056bc38e4e2" unitRef="_GBC_f72bca6b250e484887289a819bc62e7d" addr="T0R3C10S1_1" formatStyle="Comma" appId="_GBC_bafa2cb2262c4c4ebc4eed8f4e4a81c6"/>
        <m:item xlName="_GBC_64b732c18665447dace799e27254546d" concept="clcid-pte:HeYingQiYeTouZiMingXiJianZhiZhunBeiYuE" label="合营企业投资明细-减值准备余额" mulRef="_GBC_63e30834d38e49658bec9056bc38e4e2" unitRef="_GBC_f72bca6b250e484887289a819bc62e7d" addr="T0R3C11S1_1" formatStyle="Comma" appId="_GBC_bafa2cb2262c4c4ebc4eed8f4e4a81c6"/>
      </m:tuple>
      <m:placeholder xlName="_PLD_0f6b1bcaf84d416293b3177ddad0e0e0" addr="T0R5C0S1_1"/>
      <m:item xlName="_GBC_0505740aa7704549a61577650a3babc5" concept="clcid-pte:HeYingQiYeYuEXiaoJi" label="合营企业-余额小计" periodRef="本期期初数" mulRef="_GBC_63e30834d38e49658bec9056bc38e4e2" unitRef="_GBC_f72bca6b250e484887289a819bc62e7d" addr="T0R5C1S1_1" formatStyle="Comma" appId="_GBC_bafa2cb2262c4c4ebc4eed8f4e4a81c6">
        <m:complexRule comparator="Eq" title="合营企业-余额小计@本期期初数" test=" $_GBC_c5f70676907745ffae60f922c68cb190" id="C479625afa9684554bf651d8cddec046e"/>
      </m:item>
      <m:item xlName="_GBC_9e6ee9a2c2e24db2afbc1da336850ac5" concept="clcid-pte:HeYingQiYeZhuiJiaTouZiXiaoJi" label="合营企业-追加投资小计" mulRef="_GBC_63e30834d38e49658bec9056bc38e4e2" unitRef="_GBC_f72bca6b250e484887289a819bc62e7d" addr="T0R5C2S1_1" formatStyle="Comma" appId="_GBC_bafa2cb2262c4c4ebc4eed8f4e4a81c6">
        <m:complexRule comparator="Eq" title="合营企业-追加投资小计" test=" $_GBC_70c8ddd3674340e388b4b52ed21ac749" id="C9caec32baeb449e9ba0008dd95a8353e"/>
      </m:item>
      <m:item xlName="_GBC_7cf483a4089b4ee5bf261d966bc51b02" concept="clcid-pte:HeYingQiYeJianShaoTouZiXiaoJi" label="合营企业-减少投资小计" mulRef="_GBC_63e30834d38e49658bec9056bc38e4e2" unitRef="_GBC_f72bca6b250e484887289a819bc62e7d" addr="T0R5C3S1_1" formatStyle="Comma" appId="_GBC_bafa2cb2262c4c4ebc4eed8f4e4a81c6">
        <m:complexRule comparator="Eq" title="合营企业-减少投资小计" test=" $_GBC_26a4d74cfed44ada8a8c53c3afafb057" id="Cf6995270afac41aaa22ce559dd7c5727"/>
      </m:item>
      <m:item xlName="_GBC_36176be425c346e4ac6b6eabadf074a7" concept="clcid-pte:HeYingQiYeQuanYiFaXiaQueRenDeTouZiSunYiXiaoJi" label="合营企业-权益法下确认的投资损益小计" mulRef="_GBC_63e30834d38e49658bec9056bc38e4e2" unitRef="_GBC_f72bca6b250e484887289a819bc62e7d" addr="T0R5C4S1_1" formatStyle="Comma" appId="_GBC_bafa2cb2262c4c4ebc4eed8f4e4a81c6">
        <m:complexRule comparator="Eq" title="合营企业-权益法下确认的投资损益小计" test=" $_GBC_dca6d36576034d0990f125bed4a1df75" id="C7cf4e41402624be4ac67a0a36d1290d2"/>
      </m:item>
      <m:item xlName="_GBC_81a07dbf9513431a92a57993ffdd88ad" concept="clcid-pte:HeYingQiYeQiTaZongHeShouYiDiaoZhengXiaoJi" label="合营企业-其他综合收益调整小计" mulRef="_GBC_63e30834d38e49658bec9056bc38e4e2" unitRef="_GBC_f72bca6b250e484887289a819bc62e7d" addr="T0R5C5S1_1" formatStyle="Comma" appId="_GBC_bafa2cb2262c4c4ebc4eed8f4e4a81c6">
        <m:complexRule comparator="Eq" title="合营企业-其他综合收益调整小计" test=" $_GBC_c9bbd35f30ff43c0b1557711afcd3f9c" id="C402e3a4398a248ea9253e60e99390c49"/>
      </m:item>
      <m:item xlName="_GBC_762ffa89a1424957a509edb7e8c91a83" concept="clcid-pte:HeYingQiYeQiTaQuanYiBianDongXiaoJi" label="合营企业-其他权益变动小计" mulRef="_GBC_63e30834d38e49658bec9056bc38e4e2" unitRef="_GBC_f72bca6b250e484887289a819bc62e7d" addr="T0R5C6S1_1" formatStyle="Comma" appId="_GBC_bafa2cb2262c4c4ebc4eed8f4e4a81c6">
        <m:complexRule comparator="Eq" title="合营企业-其他权益变动小计" test=" $_GBC_371961b864584e45bd932cc7c4992d7c" id="Cf75db6cb70f142a797f16822679422d0"/>
      </m:item>
      <m:item xlName="_GBC_3f499f87ad2b4e3c8e241eb75895a0d3" concept="clcid-pte:HeYingQiYeXuanGaoFaFangXianJinGuLiHuoLiRunXiaoJi" label="合营企业-宣告发放现金股利或利润小计" mulRef="_GBC_63e30834d38e49658bec9056bc38e4e2" unitRef="_GBC_f72bca6b250e484887289a819bc62e7d" addr="T0R5C7S1_1" formatStyle="Comma" appId="_GBC_bafa2cb2262c4c4ebc4eed8f4e4a81c6">
        <m:complexRule comparator="Eq" title="合营企业-宣告发放现金股利或利润小计" test=" $_GBC_d9936b9aedcc423b87d352fce8422d9d" id="Ca9e6523f33864ba78d776c67cb600960"/>
      </m:item>
      <m:item xlName="_GBC_b96aaeaa0c074c4cb505c84c2863eb2d" concept="clcid-pte:HeYingQiYeJiTiJianZhiZhunBeiXiaoJi" label="合营企业-计提减值准备小计" mulRef="_GBC_63e30834d38e49658bec9056bc38e4e2" unitRef="_GBC_f72bca6b250e484887289a819bc62e7d" addr="T0R5C8S1_1" formatStyle="Comma" appId="_GBC_bafa2cb2262c4c4ebc4eed8f4e4a81c6">
        <m:complexRule comparator="Eq" title="合营企业-计提减值准备小计" test=" $_GBC_bb60a76d88fa4dec9dfc48827e68559d" id="Cb64add0557f1404faa15a6b7e7cc98aa"/>
      </m:item>
      <m:item xlName="_GBC_c04baf0c68ec47a7ab10d39c402006fc" concept="clcid-pte:HeYingQiYeQiTaZengJianBianDongXiaoJi" label="合营企业-其他增减变动小计" mulRef="_GBC_63e30834d38e49658bec9056bc38e4e2" unitRef="_GBC_f72bca6b250e484887289a819bc62e7d" addr="T0R5C9S1_1" formatStyle="Comma" appId="_GBC_bafa2cb2262c4c4ebc4eed8f4e4a81c6">
        <m:complexRule comparator="Eq" title="合营企业-其他增减变动小计" test=" $_GBC_f58b6d2bc7ee440e8425a0534a3be69e" id="C1647defdfaf343b39c37b2bdaa286d1d"/>
      </m:item>
      <m:item xlName="_GBC_85da3080e2a64d7aa34f4a297e669415" concept="clcid-pte:HeYingQiYeYuEXiaoJi" label="合营企业-余额小计" mulRef="_GBC_63e30834d38e49658bec9056bc38e4e2" unitRef="_GBC_f72bca6b250e484887289a819bc62e7d" addr="T0R5C10S1_1" formatStyle="Comma" appId="_GBC_bafa2cb2262c4c4ebc4eed8f4e4a81c6">
        <m:complexRule comparator="Eq" title="合营企业-余额小计" test=" $_GBC_9032a15691d94361a9e7db48476ebb91" id="Ccafd9755ffe04ebfb77ccb00e7d8c746"/>
      </m:item>
      <m:item xlName="_GBC_7a2dd706e873499db5fe89f81cdc2dcd" concept="clcid-pte:HeYingQiYeJianZhiZhunBeiXiaoJi" label="合营企业-减值准备小计" mulRef="_GBC_63e30834d38e49658bec9056bc38e4e2" unitRef="_GBC_f72bca6b250e484887289a819bc62e7d" addr="T0R5C11S1_1" formatStyle="Comma" appId="_GBC_bafa2cb2262c4c4ebc4eed8f4e4a81c6">
        <m:complexRule comparator="Eq" title="合营企业-减值准备小计" test=" $_GBC_64b732c18665447dace799e27254546d" id="C8bbc0b6a43a3482c8bdf2d6d8630883b"/>
      </m:item>
      <m:placeholder xlName="_PLD_a1bc1a1af5744195bb75f57f610f28b4" addr="T0R6C0S1_1"/>
      <m:tuple xlName="_GBC_49d1b98c49c34c26a2c4d55f0c1fdb21" concept="clcid-pte:LianYingQiYeTouZiXinXiMingXi" default_row="2" addr="T0R7C">
        <m:item xlName="_GBC_a4eb18bbc01043718dad4f3e4bfbaa56" concept="clcid-pte:LianYingQiYeTouZiXinXiMingXiMingCheng" label="联营企业投资信息明细－名称" addr="T0R7C0S1_1" appId="_GBC_bafa2cb2262c4c4ebc4eed8f4e4a81c6"/>
        <m:item xlName="_GBC_0f83deb7f2814d0585a2f953a5acd4a5" concept="clcid-pte:LianYingQiYeTouZiMingXiYuE" label="联营企业投资明细-余额" periodRef="本期期初数" mulRef="_GBC_63e30834d38e49658bec9056bc38e4e2" unitRef="_GBC_f72bca6b250e484887289a819bc62e7d" addr="T0R7C1S1_1" formatStyle="Comma" appId="_GBC_bafa2cb2262c4c4ebc4eed8f4e4a81c6"/>
        <m:item xlName="_GBC_8aa6af8bb94a4a34af053a167eb8afda" concept="clcid-pte:LianYingQiYeTouZiMingXiZhuiJiaTouZi" label="联营企业投资明细-追加投资" mulRef="_GBC_63e30834d38e49658bec9056bc38e4e2" unitRef="_GBC_f72bca6b250e484887289a819bc62e7d" addr="T0R7C2S1_1" formatStyle="Comma" appId="_GBC_bafa2cb2262c4c4ebc4eed8f4e4a81c6"/>
        <m:item xlName="_GBC_006cd52e170f40a9ae6ad85b8f3e193f" concept="clcid-pte:LianYingQiYeTouZiMingXiJianShaoTouZi" label="联营企业投资明细-减少投资" mulRef="_GBC_63e30834d38e49658bec9056bc38e4e2" unitRef="_GBC_f72bca6b250e484887289a819bc62e7d" addr="T0R7C3S1_1" formatStyle="Comma" appId="_GBC_bafa2cb2262c4c4ebc4eed8f4e4a81c6"/>
        <m:item xlName="_GBC_3093c751ad654c5a8e60e9539355e4c8" concept="clcid-pte:LianYingQiYeTouZiMingXiQuanYiFaXiaQueRenDeTouZiSunYi" label="联营企业投资明细-权益法下确认的投资损益" mulRef="_GBC_63e30834d38e49658bec9056bc38e4e2" unitRef="_GBC_f72bca6b250e484887289a819bc62e7d" addr="T0R7C4S1_1" formatStyle="Comma" appId="_GBC_bafa2cb2262c4c4ebc4eed8f4e4a81c6"/>
        <m:item xlName="_GBC_2ed807b17874411886b14643c85732fc" concept="clcid-pte:LianYingQiYeTouZiMingXiQiTaZongHeShouYiDiaoZheng" label="联营企业投资明细-其他综合收益调整" mulRef="_GBC_63e30834d38e49658bec9056bc38e4e2" unitRef="_GBC_f72bca6b250e484887289a819bc62e7d" addr="T0R7C5S1_1" formatStyle="Comma" appId="_GBC_bafa2cb2262c4c4ebc4eed8f4e4a81c6"/>
        <m:item xlName="_GBC_5a4a8da2e0274b33a078931ed39fb3bb" concept="clcid-pte:LianYingQiYeTouZiMingXiQiTaQuanYiBianDong" label="联营企业投资明细-其他权益变动" mulRef="_GBC_63e30834d38e49658bec9056bc38e4e2" unitRef="_GBC_f72bca6b250e484887289a819bc62e7d" addr="T0R7C6S1_1" formatStyle="Comma" appId="_GBC_bafa2cb2262c4c4ebc4eed8f4e4a81c6"/>
        <m:item xlName="_GBC_19a6ad6bff2d486fa4d99ccfbbb92857" concept="clcid-pte:LianYingQiYeTouZiMingXiXuanGaoFaFangXianJinGuLiHuoLiRun" label="联营企业投资明细-宣告发放现金股利或利润" mulRef="_GBC_63e30834d38e49658bec9056bc38e4e2" unitRef="_GBC_f72bca6b250e484887289a819bc62e7d" addr="T0R7C7S1_1" formatStyle="Comma" appId="_GBC_bafa2cb2262c4c4ebc4eed8f4e4a81c6"/>
        <m:item xlName="_GBC_12ae6c8c8fe640f7b24cea0b6725d225" concept="clcid-pte:LianYingQiYeTouZiMingXiJiTiJianZhiZhunBei" label="联营企业投资明细-计提减值准备" mulRef="_GBC_63e30834d38e49658bec9056bc38e4e2" unitRef="_GBC_f72bca6b250e484887289a819bc62e7d" addr="T0R7C8S1_1" formatStyle="Comma" appId="_GBC_bafa2cb2262c4c4ebc4eed8f4e4a81c6"/>
        <m:item xlName="_GBC_b148926756484adc9061d220c26559d5" concept="clcid-pte:LianYingQiYeTouZiMingXiQiTaZengJianBianDong" label="联营企业投资明细-其他增减变动" mulRef="_GBC_63e30834d38e49658bec9056bc38e4e2" unitRef="_GBC_f72bca6b250e484887289a819bc62e7d" addr="T0R7C9S1_1" formatStyle="Comma" appId="_GBC_bafa2cb2262c4c4ebc4eed8f4e4a81c6"/>
        <m:item xlName="_GBC_9d7aa5fead0045fcafd480e493c68f0a" concept="clcid-pte:LianYingQiYeTouZiMingXiYuE" label="联营企业投资明细-余额" mulRef="_GBC_63e30834d38e49658bec9056bc38e4e2" unitRef="_GBC_f72bca6b250e484887289a819bc62e7d" addr="T0R7C10S1_1" formatStyle="Comma" appId="_GBC_bafa2cb2262c4c4ebc4eed8f4e4a81c6"/>
        <m:item xlName="_GBC_d789e489f11e46cea544577b2c08d57e" concept="clcid-pte:LianYingQiYeTouZiMingXiJianZhiZhunBeiYuE" label="联营企业投资明细-减值准备余额" mulRef="_GBC_63e30834d38e49658bec9056bc38e4e2" unitRef="_GBC_f72bca6b250e484887289a819bc62e7d" addr="T0R7C11S1_1" formatStyle="Comma" appId="_GBC_bafa2cb2262c4c4ebc4eed8f4e4a81c6"/>
      </m:tuple>
      <m:placeholder xlName="_PLD_b7a0008e0bed45f5924ac82e7bbf0d7c" addr="T0R9C0S1_1"/>
      <m:item xlName="_GBC_1eccfcb85f74482ea6ff8956334fcad5" concept="clcid-pte:LianYingQiYeYuEXiaoJi" label="联营企业-余额小计" periodRef="本期期初数" mulRef="_GBC_63e30834d38e49658bec9056bc38e4e2" unitRef="_GBC_f72bca6b250e484887289a819bc62e7d" addr="T0R9C1S1_1" formatStyle="Comma" appId="_GBC_bafa2cb2262c4c4ebc4eed8f4e4a81c6">
        <m:complexRule comparator="Eq" title="联营企业-余额小计@本期期初数" test=" $_GBC_0f83deb7f2814d0585a2f953a5acd4a5" id="Cf0cf5314128a4b259c254c35920b4c6e"/>
      </m:item>
      <m:item xlName="_GBC_3bd9b14cad504d36bd88f76049a7d69e" concept="clcid-pte:LianYingQiYeZhuiJiaTouZiXiaoJi" label="联营企业-追加投资小计" mulRef="_GBC_63e30834d38e49658bec9056bc38e4e2" unitRef="_GBC_f72bca6b250e484887289a819bc62e7d" addr="T0R9C2S1_1" formatStyle="Comma" appId="_GBC_bafa2cb2262c4c4ebc4eed8f4e4a81c6">
        <m:complexRule comparator="Eq" title="联营企业-追加投资小计" test=" $_GBC_8aa6af8bb94a4a34af053a167eb8afda" id="C85a6724cf03246ada7b06a76a5590b7c"/>
      </m:item>
      <m:item xlName="_GBC_fc42c6e4b0cc4b17afa5502c6fdc3a61" concept="clcid-pte:LianYingQiYeJianShaoTouZiXiaoJi" label="联营企业-减少投资小计" mulRef="_GBC_63e30834d38e49658bec9056bc38e4e2" unitRef="_GBC_f72bca6b250e484887289a819bc62e7d" addr="T0R9C3S1_1" formatStyle="Comma" appId="_GBC_bafa2cb2262c4c4ebc4eed8f4e4a81c6">
        <m:complexRule comparator="Eq" title="联营企业-减少投资小计" test=" $_GBC_006cd52e170f40a9ae6ad85b8f3e193f" id="C7c537218658f457aa09c76734c560cb2"/>
      </m:item>
      <m:item xlName="_GBC_bed56f50c8f847c7895297635314004f" concept="clcid-pte:LianYingQiYeQuanYiFaXiaQueRenDeTouZiSunYiXiaoJi" label="联营企业-权益法下确认的投资损益小计" mulRef="_GBC_63e30834d38e49658bec9056bc38e4e2" unitRef="_GBC_f72bca6b250e484887289a819bc62e7d" addr="T0R9C4S1_1" formatStyle="Comma" appId="_GBC_bafa2cb2262c4c4ebc4eed8f4e4a81c6">
        <m:complexRule comparator="Eq" title="联营企业-权益法下确认的投资损益小计" test=" $_GBC_3093c751ad654c5a8e60e9539355e4c8" id="Ce53fc3429b224cfea8938c54726c8edb"/>
      </m:item>
      <m:item xlName="_GBC_58eb6755b22f48fcba306d32bd40c261" concept="clcid-pte:LianYingQiYeQiTaZongHeShouYiDiaoZhengXiaoJi" label="联营企业-其他综合收益调整小计" mulRef="_GBC_63e30834d38e49658bec9056bc38e4e2" unitRef="_GBC_f72bca6b250e484887289a819bc62e7d" addr="T0R9C5S1_1" formatStyle="Comma" appId="_GBC_bafa2cb2262c4c4ebc4eed8f4e4a81c6">
        <m:complexRule comparator="Eq" title="联营企业-其他综合收益调整小计" test=" $_GBC_2ed807b17874411886b14643c85732fc" id="Cbf291acc51e44216aa4a8ccc4eb33475"/>
      </m:item>
      <m:item xlName="_GBC_d116865a33044700a499062f559a69bc" concept="clcid-pte:LianYingQiYeQiTaQuanYiBianDongXiaoJi" label="联营企业-其他权益变动小计" mulRef="_GBC_63e30834d38e49658bec9056bc38e4e2" unitRef="_GBC_f72bca6b250e484887289a819bc62e7d" addr="T0R9C6S1_1" formatStyle="Comma" appId="_GBC_bafa2cb2262c4c4ebc4eed8f4e4a81c6">
        <m:complexRule comparator="Eq" title="联营企业-其他权益变动小计" test=" $_GBC_5a4a8da2e0274b33a078931ed39fb3bb" id="C0effbbbf8cb04f56b004a2f32db6088f"/>
      </m:item>
      <m:item xlName="_GBC_0349262d721f42339347cc932aa2dd14" concept="clcid-pte:LianYingQiYeXuanGaoFaFangXianJinGuLiHuoLiRunXiaoJi" label="联营企业-宣告发放现金股利或利润小计" mulRef="_GBC_63e30834d38e49658bec9056bc38e4e2" unitRef="_GBC_f72bca6b250e484887289a819bc62e7d" addr="T0R9C7S1_1" formatStyle="Comma" appId="_GBC_bafa2cb2262c4c4ebc4eed8f4e4a81c6">
        <m:complexRule comparator="Eq" title="联营企业-宣告发放现金股利或利润小计" test=" $_GBC_19a6ad6bff2d486fa4d99ccfbbb92857" id="Cd32fd897aedf4764b9f4575b7dc916fd"/>
      </m:item>
      <m:item xlName="_GBC_fc00139c16784ea68fde0eaca6ecb174" concept="clcid-pte:LianYingQiYeJiTiJianZhiZhunBeiXiaoJi" label="联营企业-计提减值准备小计" mulRef="_GBC_63e30834d38e49658bec9056bc38e4e2" unitRef="_GBC_f72bca6b250e484887289a819bc62e7d" addr="T0R9C8S1_1" formatStyle="Comma" appId="_GBC_bafa2cb2262c4c4ebc4eed8f4e4a81c6">
        <m:complexRule comparator="Eq" title="联营企业-计提减值准备小计" test=" $_GBC_12ae6c8c8fe640f7b24cea0b6725d225" id="C4b1fa086d8e64f6b96dfe160f308c7d7"/>
      </m:item>
      <m:item xlName="_GBC_8cf36d100ec44503beda9c4dc0eb7212" concept="clcid-pte:LianYingQiYeQiTaZengJianBianDongXiaoJi" label="联营企业-其他增减变动小计" mulRef="_GBC_63e30834d38e49658bec9056bc38e4e2" unitRef="_GBC_f72bca6b250e484887289a819bc62e7d" addr="T0R9C9S1_1" formatStyle="Comma" appId="_GBC_bafa2cb2262c4c4ebc4eed8f4e4a81c6">
        <m:complexRule comparator="Eq" title="联营企业-其他增减变动小计" test=" $_GBC_b148926756484adc9061d220c26559d5" id="Ce25220398e994cedb1e4e77323d80a7c"/>
      </m:item>
      <m:item xlName="_GBC_9e2652aa7f83482aa3387a8a5338cce1" concept="clcid-pte:LianYingQiYeYuEXiaoJi" label="联营企业-余额小计" mulRef="_GBC_63e30834d38e49658bec9056bc38e4e2" unitRef="_GBC_f72bca6b250e484887289a819bc62e7d" addr="T0R9C10S1_1" formatStyle="Comma" appId="_GBC_bafa2cb2262c4c4ebc4eed8f4e4a81c6">
        <m:complexRule comparator="Eq" title="联营企业-余额小计" test=" $_GBC_9d7aa5fead0045fcafd480e493c68f0a" id="Ca6a6a02bd8144678ac985b541e8526e4"/>
      </m:item>
      <m:item xlName="_GBC_75f6baa20f094c439497ec4091770753" concept="clcid-pte:LianYingQiYeJianZhiZhunBeiXiaoJi" label="联营企业-减值准备小计" mulRef="_GBC_63e30834d38e49658bec9056bc38e4e2" unitRef="_GBC_f72bca6b250e484887289a819bc62e7d" addr="T0R9C11S1_1" formatStyle="Comma" appId="_GBC_bafa2cb2262c4c4ebc4eed8f4e4a81c6">
        <m:complexRule comparator="Eq" title="联营企业-减值准备小计" test=" $_GBC_d789e489f11e46cea544577b2c08d57e" id="Cc9c473bde1e347809889b9734ce36f76"/>
      </m:item>
      <m:placeholder xlName="_PLD_4650622d02e74721a67ca767c0e407f2" addr="T0R10C0S1_1"/>
      <m:item xlName="_GBC_116ff8dbdb1a4ddd917c94fb7cde37da" concept="clcid-pte:ChangQiGuQuanTouZiHeJi" label="长期股权投资合计" periodRef="本期期初数" mulRef="_GBC_63e30834d38e49658bec9056bc38e4e2" unitRef="_GBC_f72bca6b250e484887289a819bc62e7d" addr="T0R10C1S1_1" formatStyle="Comma" appId="_GBC_bafa2cb2262c4c4ebc4eed8f4e4a81c6">
        <m:complexRule comparator="Eq" title="长期股权投资合计@本期期初数" test=" $_GBC_0505740aa7704549a61577650a3babc5 +  $_GBC_1eccfcb85f74482ea6ff8956334fcad5" id="Cd6845d975c7a4f83a391e76bf42ed9d1"/>
      </m:item>
      <m:item xlName="_GBC_4d7d5701344c424abb2d8218a3713bb7" concept="clcid-pte:ChangQiGuQuanTouZiBenQiZengJiaZhuiJiaTouZiHeJi" label="长期股权投资本期增加-追加投资合计" mulRef="_GBC_63e30834d38e49658bec9056bc38e4e2" unitRef="_GBC_f72bca6b250e484887289a819bc62e7d" addr="T0R10C2S1_1" formatStyle="Comma" appId="_GBC_bafa2cb2262c4c4ebc4eed8f4e4a81c6">
        <m:complexRule comparator="Eq" title="长期股权投资本期增加-追加投资合计" test=" $_GBC_9e6ee9a2c2e24db2afbc1da336850ac5 +  $_GBC_3bd9b14cad504d36bd88f76049a7d69e" id="C1102eaed3325481cad7bba0589c69c70"/>
      </m:item>
      <m:item xlName="_GBC_dd576bd203f64d968a23ec1662363877" concept="clcid-pte:ChangQiGuQuanTouZiBenQiJianShaoJianShaoTouZiHeJi" label="长期股权投资本期减少-减少投资合计" mulRef="_GBC_63e30834d38e49658bec9056bc38e4e2" unitRef="_GBC_f72bca6b250e484887289a819bc62e7d" addr="T0R10C3S1_1" formatStyle="Comma" appId="_GBC_bafa2cb2262c4c4ebc4eed8f4e4a81c6">
        <m:complexRule comparator="Eq" title="长期股权投资本期减少-减少投资合计" test=" $_GBC_7cf483a4089b4ee5bf261d966bc51b02 +  $_GBC_fc42c6e4b0cc4b17afa5502c6fdc3a61" id="C1917c18bbbde4d9c9015b0ded123ab77"/>
      </m:item>
      <m:item xlName="_GBC_df9c3ed5681646bd94f5894b79dd4935" concept="clcid-pte:ChangQiGuQuanTouZiBenQiZengJiaQuanYiFaXiaQueRenDeTouZiShouYiHeJi" label="长期股权投资本期增加-权益法下确认的投资收益合计" mulRef="_GBC_63e30834d38e49658bec9056bc38e4e2" unitRef="_GBC_f72bca6b250e484887289a819bc62e7d" addr="T0R10C4S1_1" formatStyle="Comma" appId="_GBC_bafa2cb2262c4c4ebc4eed8f4e4a81c6">
        <m:complexRule comparator="Eq" title="长期股权投资本期增加-权益法下确认的投资收益合计" test=" $_GBC_36176be425c346e4ac6b6eabadf074a7 +  $_GBC_bed56f50c8f847c7895297635314004f" id="Cc34610aba3a246ce9972f70e5a82218e"/>
      </m:item>
      <m:item xlName="_GBC_23af98dc8b2c41e4822a877562b1df7a" concept="clcid-pte:ChangQiGuQuanTouZiBenQiZengJiaQiTaZongHeShouYiDiaoZhengHeJi" label="长期股权投资本期增加-其他综合收益调整合计" mulRef="_GBC_63e30834d38e49658bec9056bc38e4e2" unitRef="_GBC_f72bca6b250e484887289a819bc62e7d" addr="T0R10C5S1_1" formatStyle="Comma" appId="_GBC_bafa2cb2262c4c4ebc4eed8f4e4a81c6">
        <m:complexRule comparator="Eq" title="长期股权投资本期增加-其他综合收益调整合计" test=" $_GBC_81a07dbf9513431a92a57993ffdd88ad +  $_GBC_58eb6755b22f48fcba306d32bd40c261" id="C88952c20a9084ecea30e004e03b5739a"/>
      </m:item>
      <m:item xlName="_GBC_f1421a511340443da16b9ec231cef47e" concept="clcid-pte:ChangQiGuQuanTouZiBenQiZengJiaQiTaQuanYiBianDongHeJi" label="长期股权投资本期增加-其他权益变动合计" mulRef="_GBC_63e30834d38e49658bec9056bc38e4e2" unitRef="_GBC_f72bca6b250e484887289a819bc62e7d" addr="T0R10C6S1_1" formatStyle="Comma" appId="_GBC_bafa2cb2262c4c4ebc4eed8f4e4a81c6">
        <m:complexRule comparator="Eq" title="长期股权投资本期增加-其他权益变动合计" test=" $_GBC_762ffa89a1424957a509edb7e8c91a83 +  $_GBC_d116865a33044700a499062f559a69bc" id="C8640f0f0492a4ccd93bd92fb4135e067"/>
      </m:item>
      <m:item xlName="_GBC_36f7988ba9154e29aff48c5d98c95191" concept="clcid-pte:ChangQiGuQuanTouZiXuanGaoFaFangXianJinGuLiHuoLiRunHeJi" label="长期股权投资宣告发放现金股利或利润合计" mulRef="_GBC_63e30834d38e49658bec9056bc38e4e2" unitRef="_GBC_f72bca6b250e484887289a819bc62e7d" addr="T0R10C7S1_1" formatStyle="Comma" appId="_GBC_bafa2cb2262c4c4ebc4eed8f4e4a81c6">
        <m:complexRule comparator="Eq" title="长期股权投资宣告发放现金股利或利润合计" test=" $_GBC_3f499f87ad2b4e3c8e241eb75895a0d3 +  $_GBC_0349262d721f42339347cc932aa2dd14" id="C70cc74687a1d4b39b3a67c8fe7f22f1b"/>
      </m:item>
      <m:item xlName="_GBC_adf7bceeb1054f2fb29666b07b2a1401" concept="clcid-pte:ChangQiGuQuanTouZiJianZhiZhunBeiDeBenQiZengJiaShu" label="长期股权投资减值准备_本期增加数" mulRef="_GBC_63e30834d38e49658bec9056bc38e4e2" unitRef="_GBC_f72bca6b250e484887289a819bc62e7d" addr="T0R10C8S1_1" formatStyle="Comma" appId="_GBC_bafa2cb2262c4c4ebc4eed8f4e4a81c6">
        <m:complexRule comparator="Eq" title="长期股权投资减值准备_本期增加数" test=" $_GBC_b96aaeaa0c074c4cb505c84c2863eb2d +  $_GBC_fc00139c16784ea68fde0eaca6ecb174" id="C24aaf8e23f1643aa90fb715da5d74a84"/>
      </m:item>
      <m:item xlName="_GBC_181b4e2f80d84c85af5cfc6cd46b1c5d" concept="clcid-pte:ChangQiGuQuanTouZiBenQiQiTaZengJianBianDongHeJi" label="长期股权投资本期其他增减变动合计" mulRef="_GBC_63e30834d38e49658bec9056bc38e4e2" unitRef="_GBC_f72bca6b250e484887289a819bc62e7d" addr="T0R10C9S1_1" formatStyle="Comma" appId="_GBC_bafa2cb2262c4c4ebc4eed8f4e4a81c6">
        <m:complexRule comparator="Eq" title="长期股权投资本期其他增减变动合计" test=" $_GBC_c04baf0c68ec47a7ab10d39c402006fc +  $_GBC_8cf36d100ec44503beda9c4dc0eb7212" id="C259455f5b8064f4d82a9634e827dfe8f"/>
      </m:item>
      <m:item xlName="_GBC_b8d6a3b536204a5b9bbcaef085ac45b4" concept="clcid-pte:ChangQiGuQuanTouZiHeJi" label="长期股权投资合计" mulRef="_GBC_63e30834d38e49658bec9056bc38e4e2" unitRef="_GBC_f72bca6b250e484887289a819bc62e7d" addr="T0R10C10S1_1" formatStyle="Comma" appId="_GBC_bafa2cb2262c4c4ebc4eed8f4e4a81c6">
        <m:complexRule comparator="Eq" title="长期股权投资合计" test=" $_GBC_85da3080e2a64d7aa34f4a297e669415 +  $_GBC_9e2652aa7f83482aa3387a8a5338cce1" id="C7d636d0f276f4f1aa59966943172d272"/>
      </m:item>
      <m:item xlName="_GBC_23d57936f736453a80e85522c6e1c933" concept="clcid-pte:ChangQiGuQuanTouZiJianZhiZhunBeiYuE" label="长期股权投资减值准备余额" mulRef="_GBC_63e30834d38e49658bec9056bc38e4e2" unitRef="_GBC_f72bca6b250e484887289a819bc62e7d" addr="T0R10C11S1_1" formatStyle="Comma" appId="_GBC_bafa2cb2262c4c4ebc4eed8f4e4a81c6">
        <m:complexRule comparator="Eq" title="长期股权投资减值准备余额" test=" $_GBC_7a2dd706e873499db5fe89f81cdc2dcd +  $_GBC_75f6baa20f094c439497ec4091770753" id="Cdf39137e2cd7478e950dab45f266e58d"/>
      </m:item>
      <m:region xlName="_GBC_ccc3d8feeab24d0e8e4139f2a19cfa7c" title="长期股权投资的说明" mandatory="false" convertSummaryRule="NoConvert" helpId="117016001">
        <m:item xlName="_GBC_492b53d02462408a924f069c70a16ce9" concept="clcid-pte:ChangQiGuPiaoTouZiDeShuoMing" label="长期股票投资的说明" appId="_GBC_bafa2cb2262c4c4ebc4eed8f4e4a81c6"/>
      </m:region>
    </m:section>
    <m:section xlName="_SEC_a252a6b12c694a478cd66b63ece88d66" title="其他权益工具投资" helpId="112001059">
      <m:item xlName="_GBC_d175ecfe27dc4b7592725426a352847c" concept="clcid-ci-ar:ShiFouShiYongQiTaQuanYiGongJuTouZiQingKuang" label="是否适用：其他权益工具投资情况" selectOptions="_buildInAppliance" controlType="CustomCheckbox" cRanges="[{&quot;StartName&quot;:&quot;_GBC_d175ecfe27dc4b7592725426a352847c&quot;,&quot;EndName&quot;:&quot;_GBC_8efd960bbb664ee596606a0209d5fe01&quot;,&quot;CType&quot;:1}]"/>
      <m:item xlName="_GBC_5ba15972ed8942bcb12a0deb317c278c" concept="clcid-ci-ar:DanWeiQiTaQuanYiGongJuTouZiQingKuang" label="单位：其他权益工具投资情况" selectOptions="_buildInScales" controlType="Combobox" cellType="Scale" appId="_GBC_d175ecfe27dc4b7592725426a352847c"/>
      <m:item xlName="_GBC_8191cbe84b2c4761b07741ed60e5a890" concept="clcid-ci-ar:BiZhongQiTaQuanYiGongJuTouZiQingKuang" label="币种：其他权益工具投资情况" selectOptions="_buildInISO4217" controlType="Combobox" cellType="Measure" appId="_GBC_d175ecfe27dc4b7592725426a352847c"/>
      <m:placeholder xlName="_PLD_07475a7ed00c4147abad11fc989c691b" addr="T0R0C0S1_1"/>
      <m:placeholder xlName="_PLD_d7f2f3494b3446d8ae4631f63b2c7e8e" addr="T0R0C1S1_1"/>
      <m:placeholder xlName="_PLD_9f4168295fb3439f8426e5fe728b845b" addr="T0R0C2S1_1"/>
      <m:tuple xlName="_TUP_6afa3e8ae24c4d689dd00c7fc35b2c46" concept="clcid-pte:QiTaQuanYiGongJuTouZiMingXi" default_row="2" addr="T0R1C">
        <m:item xlName="_GBC_2dd8cbff8dee418189d5a40e648d044d" concept="clcid-pte:QiTaQuanYiGongJuTouZiMingXiXiangMu" label="其他权益工具投资明细-项目" addr="T0R1C0S1_1" appId="_GBC_d175ecfe27dc4b7592725426a352847c"/>
        <m:item xlName="_GBC_f133f2d9c69f42f7aa6c6c5ba8c2e6bc" concept="clcid-pte:QiTaQuanYiGongJuTouZiMingXiFaShengE" label="其他权益工具投资明细-发生额" mulRef="_GBC_5ba15972ed8942bcb12a0deb317c278c" unitRef="_GBC_8191cbe84b2c4761b07741ed60e5a890" addr="T0R1C1S1_1" formatStyle="Comma" appId="_GBC_d175ecfe27dc4b7592725426a352847c"/>
        <m:item xlName="_GBC_f7f1ab7e232a409a9cd4e0a62fc3d0e9" concept="clcid-pte:QiTaQuanYiGongJuTouZiMingXiFaShengE" label="其他权益工具投资明细-发生额" periodRef="本期期初数" mulRef="_GBC_5ba15972ed8942bcb12a0deb317c278c" unitRef="_GBC_8191cbe84b2c4761b07741ed60e5a890" addr="T0R1C2S1_1" formatStyle="Comma" appId="_GBC_d175ecfe27dc4b7592725426a352847c"/>
      </m:tuple>
      <m:placeholder xlName="_PLD_1e61ba0c2e3c4f1891477e6427f0532c" addr="T0R3C0S1_1"/>
      <m:item xlName="_GBC_16c00213e6684fff93cd6e96e29630d2" concept="clcid-pte:QiTaQuanYiGongJuTouZi" label="其他权益工具投资" mulRef="_GBC_5ba15972ed8942bcb12a0deb317c278c" unitRef="_GBC_8191cbe84b2c4761b07741ed60e5a890" addr="T0R3C1S1_1" formatStyle="Comma" appId="_GBC_d175ecfe27dc4b7592725426a352847c">
        <m:complexRule comparator="Eq" title="其他权益工具投资" test=" $_GBC_f133f2d9c69f42f7aa6c6c5ba8c2e6bc" id="C726c2ba773174552b0e595828c0a20a6"/>
      </m:item>
      <m:item xlName="_GBC_8efd960bbb664ee596606a0209d5fe01" concept="clcid-pte:QiTaQuanYiGongJuTouZi" label="其他权益工具投资" periodRef="本期期初数" mulRef="_GBC_5ba15972ed8942bcb12a0deb317c278c" unitRef="_GBC_8191cbe84b2c4761b07741ed60e5a890" addr="T0R3C2S1_1" formatStyle="Comma" appId="_GBC_d175ecfe27dc4b7592725426a352847c">
        <m:complexRule comparator="Eq" title="其他权益工具投资@本期期初数" test=" $_GBC_f7f1ab7e232a409a9cd4e0a62fc3d0e9" id="C1eef6bf78cdd4af88d4ae2fc7c59a1a7"/>
      </m:item>
    </m:section>
    <m:section xlName="_SEC_cfe1ba6c98894c1f8f64c41c9a5b8180" title="非交易性权益工具投资的情况" helpId="112001059">
      <m:item xlName="_GBC_5bc286b941b942a6afabd12760854b2c" concept="clcid-ci-ar:ShiFouShiYongFeiJiaoYiXingQuanYiGongJuTouZiQingKuang" label="是否适用：非交易性权益工具投资情况" selectOptions="_buildInAppliance" controlType="CustomCheckbox" cRanges="[{&quot;StartName&quot;:&quot;_GBC_5bc286b941b942a6afabd12760854b2c&quot;,&quot;EndName&quot;:&quot;_GBC_8ddf7186eec54a03a078e67e26a5df2d&quot;,&quot;CType&quot;:1}]"/>
      <m:item xlName="_GBC_24a73daa93104b4ea19d564a3c3c97e1" concept="clcid-ci-ar:DanWeiFeiJiaoYiXingQuanYiGongJuTouZiQingKuang" label="单位：非交易性权益工具投资情况" selectOptions="_buildInScales" controlType="Combobox" cellType="Scale" appId="_GBC_5bc286b941b942a6afabd12760854b2c"/>
      <m:item xlName="_GBC_aa2f55d9b37b492197f09a2900567cae" concept="clcid-ci-ar:BiZhongFeiJiaoYiXingQuanYiGongJuTouZiQingKuang" label="币种：非交易性权益工具投资情况" selectOptions="_buildInISO4217" controlType="Combobox" cellType="Measure" appId="_GBC_5bc286b941b942a6afabd12760854b2c"/>
      <m:placeholder xlName="_PLD_d06d252659634d18b7d4e58918fb73e5" addr="T0R0C0S1_1"/>
      <m:placeholder xlName="_PLD_e52742bf0c554cc1b48c5d5adef8e252" addr="T0R0C1S1_1"/>
      <m:placeholder xlName="_PLD_f2bab6835cbb4dca9c54431b8410da07" addr="T0R0C2S1_1"/>
      <m:placeholder xlName="_PLD_dcdff2fae0984174afb9659423a57ce5" addr="T0R0C3S1_1"/>
      <m:placeholder xlName="_PLD_cd4f58ef44f64eaeada88bb43d9c1bca" addr="T0R0C4S1_1"/>
      <m:placeholder xlName="_PLD_b92292a7b8f443118e623cbc170be8a4" addr="T0R0C5S1_1"/>
      <m:placeholder xlName="_PLD_db388ca434e6444ab28298438291ce2a" addr="T0R0C6S1_1"/>
      <m:tuple xlName="_TUP_14a75d39b9664231aa6975a07b0c79b1" concept="clcid-pte:FeiJiaoYiXingQuanYiGongJuTouZiMingXi" default_row="2" addr="T0R1C">
        <m:item xlName="_GBC_d4d465bac3fd4352a4fe6469d03eefee" concept="clcid-pte:FeiJiaoYiXingQuanYiGongJuTouZiMingXiXiangMu" label="非交易性权益工具投资明细-项目" addr="T0R1C0S1_1" appId="_GBC_5bc286b941b942a6afabd12760854b2c"/>
        <m:item xlName="_GBC_027671052a8f481c9ac8354d7c34979e" concept="clcid-pte:FeiJiaoYiXingQuanYiGongJuTouZiMingXiBenQiQueRenDeGuLiShouRu" label="非交易性权益工具投资明细-本期确认的股利收入" mulRef="_GBC_24a73daa93104b4ea19d564a3c3c97e1" unitRef="_GBC_aa2f55d9b37b492197f09a2900567cae" addr="T0R1C1S1_1" formatStyle="Comma" appId="_GBC_5bc286b941b942a6afabd12760854b2c"/>
        <m:item xlName="_GBC_3acc4a6f3d1c434ea7f0533b50453bba" concept="clcid-pte:FeiJiaoYiXingQuanYiGongJuTouZiMingXiLeiJiLiDe" label="非交易性权益工具投资明细-累计利得" mulRef="_GBC_24a73daa93104b4ea19d564a3c3c97e1" unitRef="_GBC_aa2f55d9b37b492197f09a2900567cae" addr="T0R1C2S1_1" formatStyle="Comma" appId="_GBC_5bc286b941b942a6afabd12760854b2c"/>
        <m:item xlName="_GBC_846ec41d19b548ddb6d85433ff94f116" concept="clcid-pte:FeiJiaoYiXingQuanYiGongJuTouZiMingXiLeiJiSunShi" label="非交易性权益工具投资明细-累计损失" mulRef="_GBC_24a73daa93104b4ea19d564a3c3c97e1" unitRef="_GBC_aa2f55d9b37b492197f09a2900567cae" addr="T0R1C3S1_1" formatStyle="Comma" appId="_GBC_5bc286b941b942a6afabd12760854b2c"/>
        <m:item xlName="_GBC_ae765b014c364b519e862ba6c444055d" concept="clcid-pte:FeiJiaoYiXingQuanYiGongJuTouZiMingXiQiTaZongHeShouYiZhuanRuLiuCunShouYiDeJinE" label="非交易性权益工具投资明细-其他综合收益转入留存收益的金额" mulRef="_GBC_24a73daa93104b4ea19d564a3c3c97e1" unitRef="_GBC_aa2f55d9b37b492197f09a2900567cae" addr="T0R1C4S1_1" formatStyle="Comma" appId="_GBC_5bc286b941b942a6afabd12760854b2c"/>
        <m:item xlName="_GBC_49e13e7203104c7e88182469726ecd19" concept="clcid-pte:FeiJiaoYiXingQuanYiGongJuTouZiMingXiZhiDingWeiYiGongYunJiaZhiJiLiangQieQiBianDongJiRuQiTaZongHeShouYiDeYuanYin" label="非交易性权益工具投资明细-指定为以公允价值计量且其变动计入其他综合收益的原因" addr="T0R1C5S1_1" appId="_GBC_5bc286b941b942a6afabd12760854b2c"/>
        <m:item xlName="_GBC_8ddf7186eec54a03a078e67e26a5df2d" concept="clcid-pte:FeiJiaoYiXingQuanYiGongJuTouZiMingXiZhuanRuYuanYin" label="非交易性权益工具投资明细-转入原因" addr="T0R1C6S1_1" appId="_GBC_5bc286b941b942a6afabd12760854b2c"/>
      </m:tuple>
    </m:section>
    <m:section xlName="_SEC_e3d4d5136ad847a0a66a1c4edca28c29" title="其他说明：" helpId="112001059">
      <m:item xlName="_GBC_9bd79d8d324a4f4c984344781e18ee35" concept="clcid-ci-ar:ShiFouShiYongQiTaQuanYiGongJuTouZiQiTaShuoMing" label="是否适用：其他权益工具投资其他说明" selectOptions="_buildInAppliance" controlType="CustomCheckbox" cRanges="[{&quot;StartName&quot;:&quot;_GBC_9bd79d8d324a4f4c984344781e18ee35&quot;,&quot;EndName&quot;:&quot;_GBC_2ddf2f7c39904ba79afaefe2bbb25ad8&quot;,&quot;CType&quot;:1}]"/>
      <m:item xlName="_GBC_2ddf2f7c39904ba79afaefe2bbb25ad8" concept="clcid-pte:QiTaQuanYiGongJuTouZiQiTaShuoMing" label="其他权益工具投资其他说明" appId="_GBC_9bd79d8d324a4f4c984344781e18ee35"/>
    </m:section>
    <m:section xlName="_SEC_6895bb6903584ff780f3500311ed1560" title="其他非流动金融资产">
      <m:item xlName="_GBC_39a16d6030db4b008bd8e70705c49dd5" concept="clcid-ci-ar:ShiFouShiYongQiTaFeiLiuDongJinRongZiChan" label="是否适用：其他非流动金融资产" selectOptions="_buildInAppliance" controlType="CustomCheckbox" cRanges="[{&quot;StartName&quot;:&quot;_GBC_39a16d6030db4b008bd8e70705c49dd5&quot;,&quot;EndName&quot;:&quot;_GBC_37b8dcc3b7224862a4fd92cb9cb0847a&quot;,&quot;CType&quot;:1}]"/>
      <m:item xlName="_GBC_5b71e344ee4a4b75b4e1ad6a64a64951" concept="clcid-ci-ar:DanWeiQiTaFeiLiuDongJinRongZiChan" label="单位：其他非流动金融资产" selectOptions="_buildInScales" controlType="Combobox" cellType="Scale" appId="_GBC_39a16d6030db4b008bd8e70705c49dd5"/>
      <m:item xlName="_GBC_328ac62ac4c04ba5a240d189e78801d2" concept="clcid-ci-ar:BiZhongQiTaFeiLiuDongJinRongZiChan" label="币种：其他非流动金融资产" selectOptions="_buildInISO4217" controlType="Combobox" cellType="Measure" appId="_GBC_39a16d6030db4b008bd8e70705c49dd5"/>
      <m:placeholder xlName="_PLD_368e897e0b6d4c33891110578462f85a" addr="T0R0C0S1_1"/>
      <m:placeholder xlName="_PLD_1b9292064fbf4f529dddfa8a709ecb23" addr="T0R0C1S1_1"/>
      <m:placeholder xlName="_PLD_eb417a8c21ba4afd967834600316003d" addr="T0R0C2S1_1"/>
      <m:tuple xlName="_TUP_ba201d1821ad43148235a005a3d4c647" concept="clcid-pte:QiTaFeiLiuDongJinRongZiChanMingXi" default_row="2" addr="T0R1C">
        <m:item xlName="_GBC_7063139aae364794af04f59e9de7131c" concept="clcid-pte:QiTaFeiLiuDongJinRongZiChanMingXiXiangMu" label="其他非流动金融资产明细-项目" addr="T0R1C0S1_1" appId="_GBC_39a16d6030db4b008bd8e70705c49dd5"/>
        <m:item xlName="_GBC_a31866e99b154280a93a05873b4c6f9e" concept="clcid-pte:QiTaFeiLiuDongJinRongZiChanMingXiFaShengE" label="其他非流动金融资产明细-发生额" mulRef="_GBC_5b71e344ee4a4b75b4e1ad6a64a64951" unitRef="_GBC_328ac62ac4c04ba5a240d189e78801d2" addr="T0R1C1S1_1" formatStyle="Comma" appId="_GBC_39a16d6030db4b008bd8e70705c49dd5"/>
        <m:item xlName="_GBC_63c1717f3e194671a5c5406d47a01682" concept="clcid-pte:QiTaFeiLiuDongJinRongZiChanMingXiFaShengE" label="其他非流动金融资产明细-发生额" periodRef="本期期初数" mulRef="_GBC_5b71e344ee4a4b75b4e1ad6a64a64951" unitRef="_GBC_328ac62ac4c04ba5a240d189e78801d2" addr="T0R1C2S1_1" formatStyle="Comma" appId="_GBC_39a16d6030db4b008bd8e70705c49dd5"/>
      </m:tuple>
      <m:placeholder xlName="_PLD_fab894f676854d2a96dbf6e1d97540a1" addr="T0R3C0S1_1"/>
      <m:item xlName="_GBC_4b00bebc683843578928f80d4b1cc861" concept="clcid-pte:QiTaFeiLiuDongJinRongZiChan" label="其他非流动金融资产" mulRef="_GBC_5b71e344ee4a4b75b4e1ad6a64a64951" unitRef="_GBC_328ac62ac4c04ba5a240d189e78801d2" addr="T0R3C1S1_1" formatStyle="Comma" appId="_GBC_39a16d6030db4b008bd8e70705c49dd5">
        <m:complexRule comparator="Eq" title="其他非流动金融资产" test=" $_GBC_a31866e99b154280a93a05873b4c6f9e" id="C956222263fed4dcc97ab717ee79e79df"/>
      </m:item>
      <m:item xlName="_GBC_31e9143a99bf47f3bd953b5e0336566a" concept="clcid-pte:QiTaFeiLiuDongJinRongZiChan" label="其他非流动金融资产" periodRef="本期期初数" mulRef="_GBC_5b71e344ee4a4b75b4e1ad6a64a64951" unitRef="_GBC_328ac62ac4c04ba5a240d189e78801d2" addr="T0R3C2S1_1" formatStyle="Comma" appId="_GBC_39a16d6030db4b008bd8e70705c49dd5">
        <m:complexRule comparator="Eq" title="其他非流动金融资产@本期期初数" test=" $_GBC_63c1717f3e194671a5c5406d47a01682" id="Cd4f7b93b829647afbb2c67744c1ebe4e"/>
      </m:item>
      <m:item xlName="_GBC_37b8dcc3b7224862a4fd92cb9cb0847a" concept="clcid-pte:QiTaFeiLiuDongJinRongZiChanQiTaShuoMing" label="其他非流动金融资产其他说明" appId="_GBC_39a16d6030db4b008bd8e70705c49dd5"/>
    </m:section>
    <m:section xlName="_GBC_f6dac261d9a74df7a48db85ed7768fd1" title="成本计量模式" rules="R2015_R11_011" checkKey="!公允价值计量" convertSummaryRule="NoConvert" helpId="112001064" primarySection="_GBC_f6dac261d9a74df7a48db85ed7768fd1" optionText="成本计量模式" optionGroupTitle="投资性房地产计量模式" optionTargetConcept="clcid-pte:TouZiXingFangDiChanJiLiangMoShi" optionTargetConceptValue="成本计量模式" afterEmptyParagraphs="1">
      <m:item xlName="_GBC_3315dd1b9cb743c786e01b4b9e91b10d" concept="clcid-ci-ar:DanWeiCaiWuFuZhuTouZiXingFangDiChan" label="单位：财务附注：投资性房地产" selectOptions="_buildInScales" controlType="Combobox" cellType="Scale"/>
      <m:item xlName="_GBC_424f36c4f1bf48ce8d47b51437412ff8" concept="clcid-ci-ar:BiZhongCaiWuFuZhuTouZiXingFangDiChan" label="币种：财务附注：投资性房地产" selectOptions="_buildInISO4217" controlType="Combobox" cellType="Measure"/>
      <m:placeholder xlName="_PLD_f82c9789feaf4b508c71ad4b5e91a0e5" addr="T0R0C0S1_1"/>
      <m:placeholder xlName="_PLD_9acf20e2f08a4439b18de021843e599c" addr="T0R0C1S1_1"/>
      <m:placeholder xlName="_PLD_4f977bf68eee455fb4656653927db6b6" addr="T0R0C2S1_1"/>
      <m:placeholder xlName="_PLD_2cb3e53634aa4730a0686d5243244bc5" addr="T0R0C3S1_1"/>
      <m:placeholder xlName="_PLD_51485c0f99734a81b5c4137837506697" addr="T0R0C4S1_1"/>
      <m:placeholder xlName="_PLD_9e97c75701d54838ab5408284eada7b8" addr="T0R1C0S1_1"/>
      <m:placeholder xlName="_PLD_5b4a89b12d9f471d8810578431d22e03" addr="T0R2C0S1_1"/>
      <m:item xlName="_GBC_dfa2db7b6cf94c58bc03c164897c1c5b" concept="clcid-pte:FangWuJiJianZhuWuYuanJiaZhangMianYuE" label="房屋及建筑物原价账面余额" periodRef="本期期初数" mulRef="_GBC_3315dd1b9cb743c786e01b4b9e91b10d" unitRef="_GBC_424f36c4f1bf48ce8d47b51437412ff8" addr="T0R2C1S1_1" formatStyle="Comma"/>
      <m:item xlName="_GBC_dc92747194a8462db007fe57f2c0e4aa" concept="clcid-pte:TuDiShiYongQuanYuanJiaZhangMianYuE" label="土地使用权原价账面余额" periodRef="本期期初数" mulRef="_GBC_3315dd1b9cb743c786e01b4b9e91b10d" unitRef="_GBC_424f36c4f1bf48ce8d47b51437412ff8" addr="T0R2C2S1_1" formatStyle="Comma"/>
      <m:item xlName="_GBC_a430adeddc4745a1b9413b04b68fe238" concept="clcid-pte:CaiYongChengBenJiLiangMoShiDeTouZiXingFangDiChanZaiJianGongChengZhangMianYuanZhi" label="采用成本计量模式的投资性房地产-在建工程账面原值" periodRef="本期期初数" mulRef="_GBC_3315dd1b9cb743c786e01b4b9e91b10d" unitRef="_GBC_424f36c4f1bf48ce8d47b51437412ff8" addr="T0R2C3S1_1" formatStyle="Comma"/>
      <m:item xlName="_GBC_ab0738ca386a4afc9dc82aa54065bc81" concept="clcid-pte:TouZiXingFangDiChanYuanJiaHeJiZhangMianYuE" label="投资性房地产原价合计账面余额" periodRef="本期期初数" mulRef="_GBC_3315dd1b9cb743c786e01b4b9e91b10d" unitRef="_GBC_424f36c4f1bf48ce8d47b51437412ff8" addr="T0R2C4S1_1" formatStyle="Comma">
        <m:complexRule comparator="Eq" title="投资性房地产原价合计账面余额@本期期初数" test=" $_GBC_dfa2db7b6cf94c58bc03c164897c1c5b +  $_GBC_dc92747194a8462db007fe57f2c0e4aa +  $_GBC_a430adeddc4745a1b9413b04b68fe238" id="Cb1cdbdd658064bb6a39631ee37d80fd0"/>
      </m:item>
      <m:placeholder xlName="_PLD_4b461d2e946a4f55b157b16d91096c9e" addr="T0R3C0S1_1"/>
      <m:item xlName="_GBC_94f3e4c65b174f6981ae0672eb7cd845" concept="clcid-pte:FangWuJiJianZhuWuYuanJiaZengJiaE" label="房屋及建筑物原价增加额" mulRef="_GBC_3315dd1b9cb743c786e01b4b9e91b10d" unitRef="_GBC_424f36c4f1bf48ce8d47b51437412ff8" addr="T0R3C1S1_1" formatStyle="Comma">
        <m:complexRule comparator="Eq" title="房屋及建筑物原价增加额" test=" $_GBC_c5cd64a3327046e2a22a4e41365cdd00 +  $_GBC_3145734df2d84a549afc8922fc86aff9 +  $_GBC_50f2a8c6786f45688c6bfc12459e5afe +  $_GBC_334bc47b13f74aa5be59ecf224497c65" id="C2bf319fbb96b4e139367a502099609ee"/>
      </m:item>
      <m:item xlName="_GBC_a66199c3be284b6ab31f6ccbcf12ede1" concept="clcid-pte:TuDiShiYongQuanYuanJiaZengJiaE" label="土地使用权原价增加额" mulRef="_GBC_3315dd1b9cb743c786e01b4b9e91b10d" unitRef="_GBC_424f36c4f1bf48ce8d47b51437412ff8" addr="T0R3C2S1_1" formatStyle="Comma">
        <m:complexRule comparator="Eq" title="土地使用权原价增加额" test=" $_GBC_77330fd4afa741a58b5bb32cca5ae186 +  $_GBC_6dbe70cf8cb3476ea6b292d1b75ed811 +  $_GBC_9aff30cdd9d14f0a9ff8a8f974ab6fff +  $_GBC_06741fcdf8504c3db38b1a1190ad4723" id="C4895a0ca66224f6b9d61575b6c7e1159"/>
      </m:item>
      <m:item xlName="_GBC_e9ab279dda2b4cf2851941e85290e347" concept="clcid-pte:CaiYongChengBenJiLiangMoShiDeTouZiXingFangDiChanZaiJianGongChengZhangMianYuanZhiBenQiZengJiaE" label="采用成本计量模式的投资性房地产-在建工程账面原值本期增加额" mulRef="_GBC_3315dd1b9cb743c786e01b4b9e91b10d" unitRef="_GBC_424f36c4f1bf48ce8d47b51437412ff8" addr="T0R3C3S1_1" formatStyle="Comma">
        <m:complexRule comparator="Eq" title="采用成本计量模式的投资性房地产-在建工程账面原值本期增加额" test=" $_GBC_75c1d4f317b2435cbaf5d69368522c62 +  $_GBC_68103409f5df482a9cb3d0810438b5d0 +  $_GBC_fe5490cd778743cd819149e193e686e9 +  $_GBC_0d6e696c5f594b35b4d088e90b9510c9" id="C2f9dd96d8c7d4666a11f6dd77c1726ff"/>
      </m:item>
      <m:item xlName="_GBC_f9cee7ba5a03416696a53725117145eb" concept="clcid-pte:TouZiXingFangDiChanYuanJiaHeJiZengJiaE" label="投资性房地产原价合计增加额" mulRef="_GBC_3315dd1b9cb743c786e01b4b9e91b10d" unitRef="_GBC_424f36c4f1bf48ce8d47b51437412ff8" addr="T0R3C4S1_1" formatStyle="Comma">
        <m:complexRule comparator="Eq" title="投资性房地产原价合计增加额" test=" $_GBC_94f3e4c65b174f6981ae0672eb7cd845 +  $_GBC_a66199c3be284b6ab31f6ccbcf12ede1 +  $_GBC_e9ab279dda2b4cf2851941e85290e347" id="C6ee19cc1d0d64130b19ee2640f974d1d"/>
        <m:complexRule comparator="Eq" title="投资性房地产原价合计增加额明细" test=" $_GBC_eff9d8947ad242128c86a51086cb18db +  $_GBC_e98fbc68024643f693557acaa260bced +  $_GBC_f6b5bc4b1ec24db5b290b68f9efb86b3 +  $_GBC_79bc07b43682441c829f3b360c6d2215" id="C895328e478884f4e847c36cf92d9323f"/>
      </m:item>
      <m:placeholder xlName="_PLD_a043ae3942c64b25b6085702110e1af0" addr="T0R4C0S1_1"/>
      <m:item xlName="_GBC_c5cd64a3327046e2a22a4e41365cdd00" concept="clcid-pte:WaiGouDaoZhiDeFangWuJianZhuWuZengJiaE" label="外购导致的房屋、建筑物增加额" mulRef="_GBC_3315dd1b9cb743c786e01b4b9e91b10d" unitRef="_GBC_424f36c4f1bf48ce8d47b51437412ff8" addr="T0R4C1S1_1" formatStyle="Comma"/>
      <m:item xlName="_GBC_77330fd4afa741a58b5bb32cca5ae186" concept="clcid-pte:WaiGouDaoZhiDeTuDiShiYongQuanZengJiaE" label="外购导致的土地使用权增加额" mulRef="_GBC_3315dd1b9cb743c786e01b4b9e91b10d" unitRef="_GBC_424f36c4f1bf48ce8d47b51437412ff8" addr="T0R4C2S1_1" formatStyle="Comma"/>
      <m:item xlName="_GBC_75c1d4f317b2435cbaf5d69368522c62" concept="clcid-pte:CaiYongChengBenJiLiangMoShiDeTouZiXingFangDiChanZaiJianGongChengZhangMianYuanZhiWaiGou" label="采用成本计量模式的投资性房地产-在建工程账面原值外购" mulRef="_GBC_3315dd1b9cb743c786e01b4b9e91b10d" unitRef="_GBC_424f36c4f1bf48ce8d47b51437412ff8" addr="T0R4C3S1_1" formatStyle="Comma"/>
      <m:item xlName="_GBC_eff9d8947ad242128c86a51086cb18db" concept="clcid-pte:WaiGouDaoZhiDeCaiYongChengBenJiLiangMoShiDeTouZiXingFangDiChanZengJiaEHeJi" label="外购导致的采用成本计量模式的投资性房地产增加额合计" mulRef="_GBC_3315dd1b9cb743c786e01b4b9e91b10d" unitRef="_GBC_424f36c4f1bf48ce8d47b51437412ff8" addr="T0R4C4S1_1" formatStyle="Comma">
        <m:complexRule comparator="Eq" title="外购导致的采用成本计量模式的投资性房地产增加额合计" test=" $_GBC_c5cd64a3327046e2a22a4e41365cdd00 +  $_GBC_77330fd4afa741a58b5bb32cca5ae186 +  $_GBC_75c1d4f317b2435cbaf5d69368522c62" id="C27c8e5d00ce04feab13ed351797e3117"/>
      </m:item>
      <m:placeholder xlName="_PLD_c60cea41253c44ec816cd397a5c68415" addr="T0R5C0S1_1"/>
      <m:item xlName="_GBC_3145734df2d84a549afc8922fc86aff9" concept="clcid-pte:CunHuoHuoGuDingZiChanHuoZaiJianGongChengZhuanRuDaoZhiDeFangWuJianZhuWuZengJiaE" label="存货或固定资产或在建工程转入导致的房屋、建筑物增加额" mulRef="_GBC_3315dd1b9cb743c786e01b4b9e91b10d" unitRef="_GBC_424f36c4f1bf48ce8d47b51437412ff8" addr="T0R5C1S1_1" formatStyle="Comma"/>
      <m:item xlName="_GBC_6dbe70cf8cb3476ea6b292d1b75ed811" concept="clcid-pte:CunHuoHuoGuDingZiChanHuoZaiJianGongChengZhuanRuDaoZhiDeTuDiShiYongQuanZengJiaE" label="存货或固定资产或在建工程转入导致的土地使用权增加额" mulRef="_GBC_3315dd1b9cb743c786e01b4b9e91b10d" unitRef="_GBC_424f36c4f1bf48ce8d47b51437412ff8" addr="T0R5C2S1_1" formatStyle="Comma"/>
      <m:item xlName="_GBC_68103409f5df482a9cb3d0810438b5d0" concept="clcid-pte:CaiYongChengBenJiLiangMoShiDeTouZiXingFangDiChanZaiJianGongChengZhangMianYuanZhiCunHuoHuoGuDingZiChanZhuanRu" label="采用成本计量模式的投资性房地产-在建工程账面原值存货或固定资产转入" mulRef="_GBC_3315dd1b9cb743c786e01b4b9e91b10d" unitRef="_GBC_424f36c4f1bf48ce8d47b51437412ff8" addr="T0R5C3S1_1" formatStyle="Comma"/>
      <m:item xlName="_GBC_e98fbc68024643f693557acaa260bced" concept="clcid-pte:CunHuoHuoGuDingZiChanHuoZaiJianGongChengZhuanRuDaoZhiDeCaiYongChengBenJiLiangMoShiDeTouZiXingFangDiChanZengJiaEHeJi" label="存货或固定资产或在建工程转入导致的采用成本计量模式的投资性房地产增加额合计" mulRef="_GBC_3315dd1b9cb743c786e01b4b9e91b10d" unitRef="_GBC_424f36c4f1bf48ce8d47b51437412ff8" addr="T0R5C4S1_1" formatStyle="Comma">
        <m:complexRule comparator="Eq" title="存货或固定资产或在建工程转入导致的采用成本计量模式的投资性房地产增加额合计" test=" $_GBC_3145734df2d84a549afc8922fc86aff9 +  $_GBC_6dbe70cf8cb3476ea6b292d1b75ed811 +  $_GBC_68103409f5df482a9cb3d0810438b5d0" id="Cf3fd058c2fc040888656a4aea02778ea"/>
      </m:item>
      <m:placeholder xlName="_PLD_07222e9e711d4c6a957de0f1259aae6a" addr="T0R6C0S1_1"/>
      <m:item xlName="_GBC_50f2a8c6786f45688c6bfc12459e5afe" concept="clcid-pte:QiYeHeBingDaoZhiDeFangWuJianZhuWuZengJiaE" label="企业合并导致的房屋、建筑物增加额" mulRef="_GBC_3315dd1b9cb743c786e01b4b9e91b10d" unitRef="_GBC_424f36c4f1bf48ce8d47b51437412ff8" addr="T0R6C1S1_1" formatStyle="Comma"/>
      <m:item xlName="_GBC_9aff30cdd9d14f0a9ff8a8f974ab6fff" concept="clcid-pte:QiYeHeBingDaoZhiDeTuDiShiYongQuanZengJiaE" label="企业合并导致的土地使用权增加额" mulRef="_GBC_3315dd1b9cb743c786e01b4b9e91b10d" unitRef="_GBC_424f36c4f1bf48ce8d47b51437412ff8" addr="T0R6C2S1_1" formatStyle="Comma"/>
      <m:item xlName="_GBC_fe5490cd778743cd819149e193e686e9" concept="clcid-pte:CaiYongChengBenJiLiangMoShiDeTouZiXingFangDiChanZaiJianGongChengZhangMianYuanZhiQiYeHeBingZengJiaE" label="采用成本计量模式的投资性房地产-在建工程账面原值企业合并增加额" mulRef="_GBC_3315dd1b9cb743c786e01b4b9e91b10d" unitRef="_GBC_424f36c4f1bf48ce8d47b51437412ff8" addr="T0R6C3S1_1" formatStyle="Comma"/>
      <m:item xlName="_GBC_f6b5bc4b1ec24db5b290b68f9efb86b3" concept="clcid-pte:QiYeHeBingDaoZhiDeCaiYongChengBenJiLiangMoShiDeTouZiXingFangDiChanZengJiaEHeJi" label="企业合并导致的采用成本计量模式的投资性房地产增加额合计" mulRef="_GBC_3315dd1b9cb743c786e01b4b9e91b10d" unitRef="_GBC_424f36c4f1bf48ce8d47b51437412ff8" addr="T0R6C4S1_1" formatStyle="Comma">
        <m:complexRule comparator="Eq" title="企业合并导致的采用成本计量模式的投资性房地产增加额合计" test=" $_GBC_50f2a8c6786f45688c6bfc12459e5afe +  $_GBC_9aff30cdd9d14f0a9ff8a8f974ab6fff +  $_GBC_fe5490cd778743cd819149e193e686e9" id="C6bb180d731424adc94139cd9a668794f"/>
      </m:item>
      <m:tuple xlName="_GBC_7c7c642cd90042a7be3a151894a8b845" concept="clcid-pte:CaiYongChengBenJiLiangMoShiDeTouZiXingFangDiChanZhangMianYuanZhiZengJiaEMingXi" default_row="2" addr="T0R7C">
        <m:item xlName="_GBC_69a0dbf936c140e8806bd55f355b19de" concept="clcid-pte:CaiYongChengBenJiLiangMoShiDeTouZiXingFangDiChanZhangMianYuanZhiZengJiaEMingXiXiangMuMingCheng" label="采用成本计量模式的投资性房地产账面原值增加额明细-项目名称" addr="T0R7C0S1_1"/>
        <m:item xlName="_GBC_334bc47b13f74aa5be59ecf224497c65" concept="clcid-pte:CaiYongChengBenJiLiangMoShiDeTouZiXingFangDiChanZhangMianYuanZhiZengJiaEMingXiFangWuJianZhuWu" label="采用成本计量模式的投资性房地产账面原值增加额明细-房屋、建筑物" mulRef="_GBC_3315dd1b9cb743c786e01b4b9e91b10d" unitRef="_GBC_424f36c4f1bf48ce8d47b51437412ff8" addr="T0R7C1S1_1" formatStyle="Comma"/>
        <m:item xlName="_GBC_06741fcdf8504c3db38b1a1190ad4723" concept="clcid-pte:CaiYongChengBenJiLiangMoShiDeTouZiXingFangDiChanZhangMianYuanZhiZengJiaEMingXiTuDiShiYongQuan" label="采用成本计量模式的投资性房地产账面原值增加额明细-土地使用权" mulRef="_GBC_3315dd1b9cb743c786e01b4b9e91b10d" unitRef="_GBC_424f36c4f1bf48ce8d47b51437412ff8" addr="T0R7C2S1_1" formatStyle="Comma"/>
        <m:item xlName="_GBC_0d6e696c5f594b35b4d088e90b9510c9" concept="clcid-pte:CaiYongChengBenJiLiangMoShiDeTouZiXingFangDiChanZhangMianYuanZhiZengJiaEMingXiZaiJianGongCheng" label="采用成本计量模式的投资性房地产账面原值增加额明细-在建工程" mulRef="_GBC_3315dd1b9cb743c786e01b4b9e91b10d" unitRef="_GBC_424f36c4f1bf48ce8d47b51437412ff8" addr="T0R7C3S1_1" formatStyle="Comma"/>
        <m:item xlName="_GBC_79bc07b43682441c829f3b360c6d2215" concept="clcid-pte:CaiYongChengBenJiLiangMoShiDeTouZiXingFangDiChanZhangMianYuanZhiZengJiaEMingXiHeJi" label="采用成本计量模式的投资性房地产账面原值增加额明细-合计" mulRef="_GBC_3315dd1b9cb743c786e01b4b9e91b10d" unitRef="_GBC_424f36c4f1bf48ce8d47b51437412ff8" addr="T0R7C4S1_1" formatStyle="Comma">
          <m:complexRule comparator="Eq" title="采用成本计量模式的投资性房地产账面原值增加额明细-合计" test=" $_GBC_334bc47b13f74aa5be59ecf224497c65 +  $_GBC_06741fcdf8504c3db38b1a1190ad4723 +  $_GBC_0d6e696c5f594b35b4d088e90b9510c9" id="Cd79e4d0affed43c5949d26917bb4dd4c"/>
        </m:item>
      </m:tuple>
      <m:placeholder xlName="_PLD_d251894485574bc58cf98bb5aa71739f" addr="T0R9C0S1_1"/>
      <m:item xlName="_GBC_0685b0a440d74d37aea52df23f854e19" concept="clcid-pte:FangWuJiJianZhuWuYuanJiaJianShaoE" label="房屋及建筑物原价减少额" mulRef="_GBC_3315dd1b9cb743c786e01b4b9e91b10d" unitRef="_GBC_424f36c4f1bf48ce8d47b51437412ff8" addr="T0R9C1S1_1" formatStyle="Comma">
        <m:complexRule comparator="Eq" title="房屋及建筑物原价减少额" test=" $_GBC_8f4441062792480a956c3504b6269b92 +  $_GBC_de94f4746f1743b696d8fdf36f27ae43 +  $_GBC_6d3f953f719a4d7a919a5e3e5b031850" id="Cc9867403a8654554babf29a3d6b1d1f2"/>
      </m:item>
      <m:item xlName="_GBC_40b4419197d942c1b741cbfeba2e7686" concept="clcid-pte:TuDiShiYongQuanYuanJiaJianShaoE" label="土地使用权原价减少额" mulRef="_GBC_3315dd1b9cb743c786e01b4b9e91b10d" unitRef="_GBC_424f36c4f1bf48ce8d47b51437412ff8" addr="T0R9C2S1_1" formatStyle="Comma">
        <m:complexRule comparator="Eq" title="土地使用权原价减少额" test=" $_GBC_56bbfea6f3154ffbb9d90db96f01aeec +  $_GBC_6fb9fe87662e4491b8c5b536cc785501 +  $_GBC_b42ed0ac3c8943259639991424bf9bb2" id="C8de05cab67c74a97868f10a6e0f119da"/>
      </m:item>
      <m:item xlName="_GBC_c03bacbb07334ed3810ae441e110a1e1" concept="clcid-pte:CaiYongChengBenJiLiangMoShiDeTouZiXingFangDiChanZaiJianGongChengZhangMianYuanZhiBenQiJianShaoE" label="采用成本计量模式的投资性房地产-在建工程账面原值本期减少额" mulRef="_GBC_3315dd1b9cb743c786e01b4b9e91b10d" unitRef="_GBC_424f36c4f1bf48ce8d47b51437412ff8" addr="T0R9C3S1_1" formatStyle="Comma">
        <m:complexRule comparator="Eq" title="采用成本计量模式的投资性房地产-在建工程账面原值本期减少额" test=" $_GBC_97ab34727410435a87b62def8a59b7bf +  $_GBC_ef918e76adb44cf28fed0ea332ba9d3f +  $_GBC_66f55a8a86d3477c84d5784466d8437e" id="C6dd35a929471467c80248745b3ef49d6"/>
      </m:item>
      <m:item xlName="_GBC_5feb4ea2e0284906b99e2883c2eb287f" concept="clcid-pte:TouZiXingFangDiChanYuanJiaHeJiJianShaoE" label="投资性房地产原价合计减少额" mulRef="_GBC_3315dd1b9cb743c786e01b4b9e91b10d" unitRef="_GBC_424f36c4f1bf48ce8d47b51437412ff8" addr="T0R9C4S1_1" formatStyle="Comma">
        <m:complexRule comparator="Eq" title="投资性房地产原价合计减少额" test=" $_GBC_0685b0a440d74d37aea52df23f854e19 +  $_GBC_40b4419197d942c1b741cbfeba2e7686 +  $_GBC_c03bacbb07334ed3810ae441e110a1e1" id="C78a43725f1bf4a44aebba133a064c708"/>
        <m:complexRule comparator="Eq" title="投资性房地产原价合计减少额明细" test=" $_GBC_bcda2d7d668b42918f224e44614e2e2f +  $_GBC_3bb4dc62fec14c049efd7254467570cb +  $_GBC_40d284560ff44b7b905b8f11b00b46d8" id="C07fd1f4bd2e94cb6a59489ea46ddbbda"/>
      </m:item>
      <m:placeholder xlName="_PLD_0eefb08fd627408ea9c71bd444eabbd3" addr="T0R10C0S1_1"/>
      <m:item xlName="_GBC_8f4441062792480a956c3504b6269b92" concept="clcid-pte:ChuZhiDaoZhiDeFangWuJianZhuWuJianShaoE" label="处置导致的房屋、建筑物减少额" mulRef="_GBC_3315dd1b9cb743c786e01b4b9e91b10d" unitRef="_GBC_424f36c4f1bf48ce8d47b51437412ff8" addr="T0R10C1S1_1" formatStyle="Comma"/>
      <m:item xlName="_GBC_56bbfea6f3154ffbb9d90db96f01aeec" concept="clcid-pte:ChuZhiDaoZhiDeTuDiShiYongQuanJianShaoE" label="处置导致的土地使用权减少额" mulRef="_GBC_3315dd1b9cb743c786e01b4b9e91b10d" unitRef="_GBC_424f36c4f1bf48ce8d47b51437412ff8" addr="T0R10C2S1_1" formatStyle="Comma"/>
      <m:item xlName="_GBC_97ab34727410435a87b62def8a59b7bf" concept="clcid-pte:CaiYongChengBenJiLiangMoShiDeTouZiXingFangDiChanZaiJianGongChengZhangMianYuanZhiChuZhi" label="采用成本计量模式的投资性房地产-在建工程账面原值处置" mulRef="_GBC_3315dd1b9cb743c786e01b4b9e91b10d" unitRef="_GBC_424f36c4f1bf48ce8d47b51437412ff8" addr="T0R10C3S1_1" formatStyle="Comma"/>
      <m:item xlName="_GBC_bcda2d7d668b42918f224e44614e2e2f" concept="clcid-pte:ChuZhiDaoZhiDeCaiYongChengBenJiLiangMoShiDeTouZiXingFangDiChanJianShaoEHeJi" label="处置导致的采用成本计量模式的投资性房地产减少额合计" mulRef="_GBC_3315dd1b9cb743c786e01b4b9e91b10d" unitRef="_GBC_424f36c4f1bf48ce8d47b51437412ff8" addr="T0R10C4S1_1" formatStyle="Comma">
        <m:complexRule comparator="Eq" title="处置导致的采用成本计量模式的投资性房地产减少额合计" test=" $_GBC_8f4441062792480a956c3504b6269b92 +  $_GBC_56bbfea6f3154ffbb9d90db96f01aeec +  $_GBC_97ab34727410435a87b62def8a59b7bf" id="Cf48f8ccd2d8c4e85b0a6644630406614"/>
      </m:item>
      <m:placeholder xlName="_PLD_32f99bb5bcaf4f789e1c6ccb85c2a50f" addr="T0R11C0S1_1"/>
      <m:item xlName="_GBC_de94f4746f1743b696d8fdf36f27ae43" concept="clcid-pte:QiTaZhuanChuDaoZhiDeFangWuJianZhuWuJianShaoE" label="其他转出导致的房屋、建筑物减少额" mulRef="_GBC_3315dd1b9cb743c786e01b4b9e91b10d" unitRef="_GBC_424f36c4f1bf48ce8d47b51437412ff8" addr="T0R11C1S1_1" formatStyle="Comma"/>
      <m:item xlName="_GBC_6fb9fe87662e4491b8c5b536cc785501" concept="clcid-pte:QiTaZhuanChuDaoZhiDeTuDiShiYongQuanJianShaoE" label="其他转出导致的土地使用权减少额" mulRef="_GBC_3315dd1b9cb743c786e01b4b9e91b10d" unitRef="_GBC_424f36c4f1bf48ce8d47b51437412ff8" addr="T0R11C2S1_1" formatStyle="Comma"/>
      <m:item xlName="_GBC_ef918e76adb44cf28fed0ea332ba9d3f" concept="clcid-pte:CaiYongChengBenJiLiangMoShiDeTouZiXingFangDiChanZaiJianGongChengZhangMianYuanZhiQiTaZhuanChu" label="采用成本计量模式的投资性房地产-在建工程账面原值其他转出" mulRef="_GBC_3315dd1b9cb743c786e01b4b9e91b10d" unitRef="_GBC_424f36c4f1bf48ce8d47b51437412ff8" addr="T0R11C3S1_1" formatStyle="Comma"/>
      <m:item xlName="_GBC_3bb4dc62fec14c049efd7254467570cb" concept="clcid-pte:QiTaZhuanChuDaoZhiDeCaiYongChengBenJiLiangMoShiDeTouZiXingFangDiChanJianShaoEHeJi" label="其他转出导致的采用成本计量模式的投资性房地产减少额合计" mulRef="_GBC_3315dd1b9cb743c786e01b4b9e91b10d" unitRef="_GBC_424f36c4f1bf48ce8d47b51437412ff8" addr="T0R11C4S1_1" formatStyle="Comma">
        <m:complexRule comparator="Eq" title="其他转出导致的采用成本计量模式的投资性房地产减少额合计" test=" $_GBC_de94f4746f1743b696d8fdf36f27ae43 +  $_GBC_6fb9fe87662e4491b8c5b536cc785501 +  $_GBC_ef918e76adb44cf28fed0ea332ba9d3f" id="Ce17bf3083e45481ca0cc431e13b85c1e"/>
      </m:item>
      <m:tuple xlName="_GBC_e7ec91568b9c4d2387547e1eea784bb4" concept="clcid-pte:CaiYongChengBenJiLiangMoShiDeTouZiXingFangDiChanZhangMianYuanZhiJianShaoEMingXi" default_row="2" addr="T0R12C">
        <m:item xlName="_GBC_77f354cf277344c18e7efa384f2c67e4" concept="clcid-pte:CaiYongChengBenJiLiangMoShiDeTouZiXingFangDiChanZhangMianYuanZhiJianShaoEMingXiXiangMuMingCheng" label="采用成本计量模式的投资性房地产账面原值减少额明细-项目名称" addr="T0R12C0S1_1"/>
        <m:item xlName="_GBC_6d3f953f719a4d7a919a5e3e5b031850" concept="clcid-pte:CaiYongChengBenJiLiangMoShiDeTouZiXingFangDiChanZhangMianYuanZhiJianShaoEMingXiFangWuJianZhuWu" label="采用成本计量模式的投资性房地产账面原值减少额明细-房屋、建筑物" mulRef="_GBC_3315dd1b9cb743c786e01b4b9e91b10d" unitRef="_GBC_424f36c4f1bf48ce8d47b51437412ff8" addr="T0R12C1S1_1" formatStyle="Comma"/>
        <m:item xlName="_GBC_b42ed0ac3c8943259639991424bf9bb2" concept="clcid-pte:CaiYongChengBenJiLiangMoShiDeTouZiXingFangDiChanZhangMianYuanZhiJianShaoEMingXiTuDiShiYongQuan" label="采用成本计量模式的投资性房地产账面原值减少额明细-土地使用权" mulRef="_GBC_3315dd1b9cb743c786e01b4b9e91b10d" unitRef="_GBC_424f36c4f1bf48ce8d47b51437412ff8" addr="T0R12C2S1_1" formatStyle="Comma"/>
        <m:item xlName="_GBC_66f55a8a86d3477c84d5784466d8437e" concept="clcid-pte:CaiYongChengBenJiLiangMoShiDeTouZiXingFangDiChanZhangMianYuanZhiJianShaoEMingXiZaiJianGongCheng" label="采用成本计量模式的投资性房地产账面原值减少额明细-在建工程" mulRef="_GBC_3315dd1b9cb743c786e01b4b9e91b10d" unitRef="_GBC_424f36c4f1bf48ce8d47b51437412ff8" addr="T0R12C3S1_1" formatStyle="Comma"/>
        <m:item xlName="_GBC_40d284560ff44b7b905b8f11b00b46d8" concept="clcid-pte:CaiYongChengBenJiLiangMoShiDeTouZiXingFangDiChanZhangMianYuanZhiJianShaoEMingXiHeJi" label="采用成本计量模式的投资性房地产账面原值减少额明细-合计" mulRef="_GBC_3315dd1b9cb743c786e01b4b9e91b10d" unitRef="_GBC_424f36c4f1bf48ce8d47b51437412ff8" addr="T0R12C4S1_1" formatStyle="Comma">
          <m:complexRule comparator="Eq" title="采用成本计量模式的投资性房地产账面原值减少额明细-合计" test=" $_GBC_6d3f953f719a4d7a919a5e3e5b031850 +  $_GBC_b42ed0ac3c8943259639991424bf9bb2 +  $_GBC_66f55a8a86d3477c84d5784466d8437e" id="C7ff150fb85df4996bbd929750fffeb55"/>
        </m:item>
      </m:tuple>
      <m:placeholder xlName="_PLD_7daa9ce704e447019c8f969015d9d0e8" addr="T0R14C0S1_1"/>
      <m:item xlName="_GBC_2aaf08af0a00425fa8e08ea82f1813d0" concept="clcid-pte:FangWuJiJianZhuWuYuanJiaZhangMianYuE" label="房屋及建筑物原价账面余额" mulRef="_GBC_3315dd1b9cb743c786e01b4b9e91b10d" unitRef="_GBC_424f36c4f1bf48ce8d47b51437412ff8" addr="T0R14C1S1_1" formatStyle="Comma">
        <m:complexRule comparator="Eq" title="房屋及建筑物原价账面余额" test=" $_GBC_dfa2db7b6cf94c58bc03c164897c1c5b +  $_GBC_94f3e4c65b174f6981ae0672eb7cd845 -  $_GBC_0685b0a440d74d37aea52df23f854e19" id="C0fbca34cc18544678ab8f4e9cc3baa6a"/>
      </m:item>
      <m:item xlName="_GBC_1ec65fd6a3894742ac9b2cf1e493e153" concept="clcid-pte:TuDiShiYongQuanYuanJiaZhangMianYuE" label="土地使用权原价账面余额" mulRef="_GBC_3315dd1b9cb743c786e01b4b9e91b10d" unitRef="_GBC_424f36c4f1bf48ce8d47b51437412ff8" addr="T0R14C2S1_1" formatStyle="Comma">
        <m:complexRule comparator="Eq" title="土地使用权原价账面余额" test=" $_GBC_dc92747194a8462db007fe57f2c0e4aa +  $_GBC_a66199c3be284b6ab31f6ccbcf12ede1 -  $_GBC_40b4419197d942c1b741cbfeba2e7686" id="C64a4ce70da734a228eae4ac4e40dec36"/>
      </m:item>
      <m:item xlName="_GBC_bb42b5fbff624abfaa22c3059d1afbdb" concept="clcid-pte:CaiYongChengBenJiLiangMoShiDeTouZiXingFangDiChanZaiJianGongChengZhangMianYuanZhi" label="采用成本计量模式的投资性房地产-在建工程账面原值" mulRef="_GBC_3315dd1b9cb743c786e01b4b9e91b10d" unitRef="_GBC_424f36c4f1bf48ce8d47b51437412ff8" addr="T0R14C3S1_1" formatStyle="Comma">
        <m:complexRule comparator="Eq" title="采用成本计量模式的投资性房地产-在建工程账面原值" test=" $_GBC_a430adeddc4745a1b9413b04b68fe238 +  $_GBC_e9ab279dda2b4cf2851941e85290e347 -  $_GBC_c03bacbb07334ed3810ae441e110a1e1" id="C6f1aec5c74254349854290717218d2b9"/>
      </m:item>
      <m:item xlName="_GBC_83c98b0ffbf04e04bdb9bc2124854157" concept="clcid-pte:TouZiXingFangDiChanYuanJiaHeJiZhangMianYuE" label="投资性房地产原价合计账面余额" mulRef="_GBC_3315dd1b9cb743c786e01b4b9e91b10d" unitRef="_GBC_424f36c4f1bf48ce8d47b51437412ff8" addr="T0R14C4S1_1" formatStyle="Comma">
        <m:complexRule comparator="Eq" title="投资性房地产原价合计账面余额" test=" $_GBC_2aaf08af0a00425fa8e08ea82f1813d0 +  $_GBC_1ec65fd6a3894742ac9b2cf1e493e153 +  $_GBC_bb42b5fbff624abfaa22c3059d1afbdb" id="Cd2e245a535c6428cb8fe5732c40574ce"/>
        <m:complexRule comparator="Eq" title="投资性房地产原价合计账面余额期初期末计算" test=" $_GBC_ab0738ca386a4afc9dc82aa54065bc81 +  $_GBC_f9cee7ba5a03416696a53725117145eb -  $_GBC_5feb4ea2e0284906b99e2883c2eb287f" id="Cc0dca54542324a99b12a0dc8892b8396"/>
      </m:item>
      <m:placeholder xlName="_PLD_2505d9f8bc20407e9f785ceb5e0a0801" addr="T0R15C0S1_1"/>
      <m:placeholder xlName="_PLD_c947d0aa69174c1ba5672d010e59bdb7" addr="T0R16C0S1_1"/>
      <m:item xlName="_GBC_68ffef02317b4598a82ce5003a38e9e9" concept="clcid-pte:FangWuJiJianZhuWuLeiJiZheJiuHeLeiJiTanXiaoZhangMianYuE" label="房屋及建筑物累计折旧和累计摊销账面余额" periodRef="本期期初数" mulRef="_GBC_3315dd1b9cb743c786e01b4b9e91b10d" unitRef="_GBC_424f36c4f1bf48ce8d47b51437412ff8" addr="T0R16C1S1_1" formatStyle="Comma"/>
      <m:item xlName="_GBC_fa95e99ddf65476eb5c8c8a9d7883528" concept="clcid-pte:TuDiShiYongQuanLeiJiZheJiuHeLeiJiTanXiaoZhangMianYuE" label="土地使用权累计折旧和累计摊销账面余额" periodRef="本期期初数" mulRef="_GBC_3315dd1b9cb743c786e01b4b9e91b10d" unitRef="_GBC_424f36c4f1bf48ce8d47b51437412ff8" addr="T0R16C2S1_1" formatStyle="Comma"/>
      <m:item xlName="_GBC_c1cc4c8d04184132a96b244f8db0b41e" concept="clcid-pte:CaiYongChengBenJiLiangMoShiDeTouZiXingFangDiChanZaiJianGongChengLeiJiZheJiuHeLeiJiTanXiao" label="采用成本计量模式的投资性房地产-在建工程累计折旧和累计摊销" periodRef="本期期初数" mulRef="_GBC_3315dd1b9cb743c786e01b4b9e91b10d" unitRef="_GBC_424f36c4f1bf48ce8d47b51437412ff8" addr="T0R16C3S1_1" formatStyle="Comma"/>
      <m:item xlName="_GBC_22c4852a674e4da2807bec6ddf2034cb" concept="clcid-pte:TouZiXingFangDiChanLeiJiZheJiuHeLeiJiTanXiaoHeJiZhangMianYuE" label="投资性房地产累计折旧和累计摊销合计账面余额" periodRef="本期期初数" mulRef="_GBC_3315dd1b9cb743c786e01b4b9e91b10d" unitRef="_GBC_424f36c4f1bf48ce8d47b51437412ff8" addr="T0R16C4S1_1" formatStyle="Comma">
        <m:complexRule comparator="Eq" title="投资性房地产累计折旧和累计摊销合计账面余额@本期期初数" test=" $_GBC_68ffef02317b4598a82ce5003a38e9e9 +  $_GBC_fa95e99ddf65476eb5c8c8a9d7883528 +  $_GBC_c1cc4c8d04184132a96b244f8db0b41e" id="C97e028b3b1e34714b926c33d8bdbdd30"/>
      </m:item>
      <m:placeholder xlName="_PLD_3e1bff0629db41feb43d6eec30972301" addr="T0R17C0S1_1"/>
      <m:item xlName="_GBC_c8cc05c0e2b14d448fc9e5e3a44ff91a" concept="clcid-pte:FangWuJiJianZhuWuLeiJiZheJiuHeLeiJiTanXiaoZengJiaE" label="房屋及建筑物累计折旧和累计摊销增加额" mulRef="_GBC_3315dd1b9cb743c786e01b4b9e91b10d" unitRef="_GBC_424f36c4f1bf48ce8d47b51437412ff8" addr="T0R17C1S1_1" formatStyle="Comma">
        <m:complexRule comparator="Eq" title="房屋及建筑物累计折旧和累计摊销增加额" test=" $_GBC_a0d54ed5c83d4529b197286ba94cf150 +  $_GBC_6e9df30e177b400dab42a426b0082864" id="C0e38e8a8fdb440d49d43c43fe60a983c"/>
      </m:item>
      <m:item xlName="_GBC_45ea376043994f50827b05f22d9bfe25" concept="clcid-pte:TuDiShiYongQuanLeiJiZheJiuHeLeiJiTanXiaoZengJiaE" label="土地使用权累计折旧和累计摊销增加额" mulRef="_GBC_3315dd1b9cb743c786e01b4b9e91b10d" unitRef="_GBC_424f36c4f1bf48ce8d47b51437412ff8" addr="T0R17C2S1_1" formatStyle="Comma">
        <m:complexRule comparator="Eq" title="土地使用权累计折旧和累计摊销增加额" test=" $_GBC_6f86cc7a78fc469e842190e518b7ae3a +  $_GBC_a58757bb87474102ba8f3da781bca0de" id="C7df86dad04cc4cfdbfa109980280965b"/>
      </m:item>
      <m:item xlName="_GBC_1516ecac18a94d65a5b2e4236d31532c" concept="clcid-pte:CaiYongChengBenJiLiangMoShiDeTouZiXingFangDiChanZaiJianGongChengLeiJiZheJiuHeLeiJiTanXiaoBenQiZengJiaE" label="采用成本计量模式的投资性房地产-在建工程累计折旧和累计摊销本期增加额" mulRef="_GBC_3315dd1b9cb743c786e01b4b9e91b10d" unitRef="_GBC_424f36c4f1bf48ce8d47b51437412ff8" addr="T0R17C3S1_1" formatStyle="Comma">
        <m:complexRule comparator="Eq" title="采用成本计量模式的投资性房地产-在建工程累计折旧和累计摊销本期增加额" test=" $_GBC_33fb74f1e4874d70813de3b329acb7f4 +  $_GBC_be3b869f9b4240e1892b8247ffb4fb14" id="C262c057d1f1f4bee96d8c3674a43d711"/>
      </m:item>
      <m:item xlName="_GBC_791965f16dc04133b5269a07f4c06896" concept="clcid-pte:TouZiXingFangDiChanLeiJiZheJiuHeLeiJiTanXiaoHeJiZengJiaE" label="投资性房地产累计折旧和累计摊销合计增加额" mulRef="_GBC_3315dd1b9cb743c786e01b4b9e91b10d" unitRef="_GBC_424f36c4f1bf48ce8d47b51437412ff8" addr="T0R17C4S1_1" formatStyle="Comma">
        <m:complexRule comparator="Eq" title="投资性房地产累计折旧和累计摊销合计增加额" test=" $_GBC_c8cc05c0e2b14d448fc9e5e3a44ff91a +  $_GBC_45ea376043994f50827b05f22d9bfe25 +  $_GBC_1516ecac18a94d65a5b2e4236d31532c" id="Cf42dbb33c5c548f4b12972f053e646cf"/>
        <m:complexRule comparator="Eq" title="投资性房地产累计折旧和累计摊销合计增加额明细" test=" $_GBC_952ada378a014581aaff319549e976f7 +  $_GBC_9e993783bf194f5d8a29e54bf0736bff" id="Cbbb0610173c140a2ad5278446de44b0f"/>
      </m:item>
      <m:placeholder xlName="_PLD_aede9f39a8904986a0db75860e8da677" addr="T0R18C0S1_1"/>
      <m:item xlName="_GBC_a0d54ed5c83d4529b197286ba94cf150" concept="clcid-pte:JiTiHuoTanXiaoDaoZhiDeFangWuJianZhuWuLeiJiZheJiuHeLeiJiTanXiaoZengJiaE" label="计提或摊销导致的房屋、建筑物累计折旧和累计摊销增加额" mulRef="_GBC_3315dd1b9cb743c786e01b4b9e91b10d" unitRef="_GBC_424f36c4f1bf48ce8d47b51437412ff8" addr="T0R18C1S1_1" formatStyle="Comma"/>
      <m:item xlName="_GBC_6f86cc7a78fc469e842190e518b7ae3a" concept="clcid-pte:JiTiHuoTanXiaoDaoZhiDeTuDiShiYongQuanLeiJiZheJiuHeLeiJiTanXiaoZengJiaE" label="计提或摊销导致的土地使用权累计折旧和累计摊销增加额" mulRef="_GBC_3315dd1b9cb743c786e01b4b9e91b10d" unitRef="_GBC_424f36c4f1bf48ce8d47b51437412ff8" addr="T0R18C2S1_1" formatStyle="Comma"/>
      <m:item xlName="_GBC_33fb74f1e4874d70813de3b329acb7f4" concept="clcid-pte:CaiYongChengBenJiLiangMoShiDeTouZiXingFangDiChanZaiJianGongChengJiTiHuoTanXiao" label="采用成本计量模式的投资性房地产-在建工程计提或摊销" mulRef="_GBC_3315dd1b9cb743c786e01b4b9e91b10d" unitRef="_GBC_424f36c4f1bf48ce8d47b51437412ff8" addr="T0R18C3S1_1" formatStyle="Comma"/>
      <m:item xlName="_GBC_952ada378a014581aaff319549e976f7" concept="clcid-pte:JiTiHuoTanXiaoDaoZhiDeCaiYongChengBenJiLiangMoShiDeTouZiXingFangDiChanLeiJiZheJiuHeLeiJiTanXiaoZengJiaE" label="计提或摊销导致的采用成本计量模式的投资性房地产累计折旧和累计摊销增加额" mulRef="_GBC_3315dd1b9cb743c786e01b4b9e91b10d" unitRef="_GBC_424f36c4f1bf48ce8d47b51437412ff8" addr="T0R18C4S1_1" formatStyle="Comma">
        <m:complexRule comparator="Eq" title="计提或摊销导致的采用成本计量模式的投资性房地产累计折旧和累计摊销增加额" test=" $_GBC_a0d54ed5c83d4529b197286ba94cf150 +  $_GBC_6f86cc7a78fc469e842190e518b7ae3a +  $_GBC_33fb74f1e4874d70813de3b329acb7f4" id="C7e782efa6e0c46aab70a519846d6b79f"/>
      </m:item>
      <m:tuple xlName="_GBC_c54e7a9a11334e6bad615df918064ced" concept="clcid-pte:CaiYongChengBenJiLiangMoShiDeTouZiXingFangDiChanLeiJiZheJiuHeLeiJiTanXiaoZengJiaEMingXi" default_row="2" addr="T0R19C">
        <m:item xlName="_GBC_9812a6ca51674e5a97b6d2645c46b081" concept="clcid-pte:CaiYongChengBenJiLiangMoShiDeTouZiXingFangDiChanLeiJiZheJiuHeLeiJiTanXiaoZengJiaEMingXiXiangMuMingCheng" label="采用成本计量模式的投资性房地产累计折旧和累计摊销增加额明细-项目名称" addr="T0R19C0S1_1"/>
        <m:item xlName="_GBC_6e9df30e177b400dab42a426b0082864" concept="clcid-pte:CaiYongChengBenJiLiangMoShiDeTouZiXingFangDiChanLeiJiZheJiuHeLeiJiTanXiaoZengJiaEMingXiFangWuJianZhuWu" label="采用成本计量模式的投资性房地产累计折旧和累计摊销增加额明细-房屋、建筑物" mulRef="_GBC_3315dd1b9cb743c786e01b4b9e91b10d" unitRef="_GBC_424f36c4f1bf48ce8d47b51437412ff8" addr="T0R19C1S1_1" formatStyle="Comma"/>
        <m:item xlName="_GBC_a58757bb87474102ba8f3da781bca0de" concept="clcid-pte:CaiYongChengBenJiLiangMoShiDeTouZiXingFangDiChanLeiJiZheJiuHeLeiJiTanXiaoZengJiaEMingXiTuDiShiYongQuan" label="采用成本计量模式的投资性房地产累计折旧和累计摊销增加额明细-土地使用权" mulRef="_GBC_3315dd1b9cb743c786e01b4b9e91b10d" unitRef="_GBC_424f36c4f1bf48ce8d47b51437412ff8" addr="T0R19C2S1_1" formatStyle="Comma"/>
        <m:item xlName="_GBC_be3b869f9b4240e1892b8247ffb4fb14" concept="clcid-pte:CaiYongChengBenJiLiangMoShiDeTouZiXingFangDiChanLeiJiZheJiuHeLeiJiTanXiaoZengJiaEMingXiZaiJianGongCheng" label="采用成本计量模式的投资性房地产累计折旧和累计摊销增加额明细-在建工程" mulRef="_GBC_3315dd1b9cb743c786e01b4b9e91b10d" unitRef="_GBC_424f36c4f1bf48ce8d47b51437412ff8" addr="T0R19C3S1_1" formatStyle="Comma"/>
        <m:item xlName="_GBC_9e993783bf194f5d8a29e54bf0736bff" concept="clcid-pte:CaiYongChengBenJiLiangMoShiDeTouZiXingFangDiChanLeiJiZheJiuHeLeiJiTanXiaoZengJiaEMingXiHeJi" label="采用成本计量模式的投资性房地产累计折旧和累计摊销增加额明细-合计" mulRef="_GBC_3315dd1b9cb743c786e01b4b9e91b10d" unitRef="_GBC_424f36c4f1bf48ce8d47b51437412ff8" addr="T0R19C4S1_1" formatStyle="Comma">
          <m:complexRule comparator="Eq" title="采用成本计量模式的投资性房地产累计折旧和累计摊销增加额明细-合计" test=" $_GBC_6e9df30e177b400dab42a426b0082864 +  $_GBC_a58757bb87474102ba8f3da781bca0de +  $_GBC_be3b869f9b4240e1892b8247ffb4fb14" id="C2bc2427b4a074cc29f267e26ac890456"/>
        </m:item>
      </m:tuple>
      <m:placeholder xlName="_PLD_1101e9ce292b422bacfd16e7ed3bed19" addr="T0R21C0S1_1"/>
      <m:item xlName="_GBC_83c31b40109a4b7393f7fc8d85606ca9" concept="clcid-pte:FangWuJiJianZhuWuLeiJiZheJiuHeLeiJiTanXiaoJianShaoE" label="房屋及建筑物累计折旧和累计摊销减少额" mulRef="_GBC_3315dd1b9cb743c786e01b4b9e91b10d" unitRef="_GBC_424f36c4f1bf48ce8d47b51437412ff8" addr="T0R21C1S1_1" formatStyle="Comma">
        <m:complexRule comparator="Eq" title="房屋及建筑物累计折旧和累计摊销减少额" test=" $_GBC_2219e0a742424e4eac517daf47cc3552 +  $_GBC_4b275942183b4801a3c11d54bbd9f17c +  $_GBC_f0bcd096c65d49d3a90e6b93c0bd0825" id="Ca42a2b3485394d20b3788d5d075eefcf"/>
      </m:item>
      <m:item xlName="_GBC_51ce2b2481da49bea10b683127a2fab6" concept="clcid-pte:TuDiShiYongQuanLeiJiZheJiuHeLeiJiTanXiaoJianShaoE" label="土地使用权累计折旧和累计摊销减少额" mulRef="_GBC_3315dd1b9cb743c786e01b4b9e91b10d" unitRef="_GBC_424f36c4f1bf48ce8d47b51437412ff8" addr="T0R21C2S1_1" formatStyle="Comma">
        <m:complexRule comparator="Eq" title="土地使用权累计折旧和累计摊销减少额" test=" $_GBC_616996c134044ea69ae5a3cfa3b85c4f +  $_GBC_e79355fd8020416b80867d857d825a2a +  $_GBC_fbb86094d4ff46178cc1849e6421156d" id="C9a2d911e26034aacb84269bc76e6d541"/>
      </m:item>
      <m:item xlName="_GBC_73161a3a35354c03925971ff305cea8a" concept="clcid-pte:CaiYongChengBenJiLiangMoShiDeTouZiXingFangDiChanZaiJianGongChengLeiJiZheJiuHeLeiJiTanXiaoBenQiJianShaoE" label="采用成本计量模式的投资性房地产-在建工程累计折旧和累计摊销本期减少额" mulRef="_GBC_3315dd1b9cb743c786e01b4b9e91b10d" unitRef="_GBC_424f36c4f1bf48ce8d47b51437412ff8" addr="T0R21C3S1_1" formatStyle="Comma">
        <m:complexRule comparator="Eq" title="采用成本计量模式的投资性房地产-在建工程累计折旧和累计摊销本期减少额" test=" $_GBC_d7ce1ab8ad054251bf5544753bb80527 +  $_GBC_880a01b6e2144bb494d0a8504eafb374 +  $_GBC_cc435c71fc674decb07867e136f59471" id="Cd88051f7d5ea4634b73cb95a6e811a17"/>
      </m:item>
      <m:item xlName="_GBC_ba2bdbe45578448eb7360a8cae707c40" concept="clcid-pte:TouZiXingFangDiChanLeiJiZheJiuHeLeiJiTanXiaoHeJiJianShaoE" label="投资性房地产累计折旧和累计摊销合计减少额" mulRef="_GBC_3315dd1b9cb743c786e01b4b9e91b10d" unitRef="_GBC_424f36c4f1bf48ce8d47b51437412ff8" addr="T0R21C4S1_1" formatStyle="Comma">
        <m:complexRule comparator="Eq" title="投资性房地产累计折旧和累计摊销合计减少额" test=" $_GBC_83c31b40109a4b7393f7fc8d85606ca9 +  $_GBC_51ce2b2481da49bea10b683127a2fab6 +  $_GBC_73161a3a35354c03925971ff305cea8a" id="Cb49be84e1cf94d7bbaac16a223f936a8"/>
        <m:complexRule comparator="Eq" title="投资性房地产累计折旧和累计摊销合计减少额明细" test=" $_GBC_bdd0a4fa09dd49149952430771a74002 +  $_GBC_74923a61253b4b1490dc35006d93030d +  $_GBC_866e5bb5d0ea44d7b51340fd5bc93b35" id="Ccfc3652b05924277a1018988a494ff42"/>
      </m:item>
      <m:placeholder xlName="_PLD_104e913c5a6149d1be9de77ecd782953" addr="T0R22C0S1_1"/>
      <m:item xlName="_GBC_2219e0a742424e4eac517daf47cc3552" concept="clcid-pte:ChuZhiDaoZhiDeFangWuJianZhuWuLeiJiZheJiuHeLeiJiTanXiaoJianShaoE" label="处置导致的房屋、建筑物累计折旧和累计摊销减少额" mulRef="_GBC_3315dd1b9cb743c786e01b4b9e91b10d" unitRef="_GBC_424f36c4f1bf48ce8d47b51437412ff8" addr="T0R22C1S1_1" formatStyle="Comma"/>
      <m:item xlName="_GBC_616996c134044ea69ae5a3cfa3b85c4f" concept="clcid-pte:ChuZhiDaoZhiDeTuDiShiYongQuanLeiJiZheJiuHeLeiJiTanXiaoJianShaoE" label="处置导致的土地使用权累计折旧和累计摊销减少额" mulRef="_GBC_3315dd1b9cb743c786e01b4b9e91b10d" unitRef="_GBC_424f36c4f1bf48ce8d47b51437412ff8" addr="T0R22C2S1_1" formatStyle="Comma"/>
      <m:item xlName="_GBC_d7ce1ab8ad054251bf5544753bb80527" concept="clcid-pte:CaiYongChengBenJiLiangMoShiDeTouZiXingFangDiChanZaiJianGongChengLeiJiZheJiuHeLeiJiTanXiaoChuZhi" label="采用成本计量模式的投资性房地产-在建工程累计折旧和累计摊销处置" mulRef="_GBC_3315dd1b9cb743c786e01b4b9e91b10d" unitRef="_GBC_424f36c4f1bf48ce8d47b51437412ff8" addr="T0R22C3S1_1" formatStyle="Comma"/>
      <m:item xlName="_GBC_bdd0a4fa09dd49149952430771a74002" concept="clcid-pte:ChuZhiDaoZhiDeCaiYongChengBenJiLiangMoShiDeTouZiXingFangDiChanLeiJiZheJiuHeLeiJiTanXiaoJianShaoE" label="处置导致的采用成本计量模式的投资性房地产累计折旧和累计摊销减少额" mulRef="_GBC_3315dd1b9cb743c786e01b4b9e91b10d" unitRef="_GBC_424f36c4f1bf48ce8d47b51437412ff8" addr="T0R22C4S1_1" formatStyle="Comma">
        <m:complexRule comparator="Eq" title="处置导致的采用成本计量模式的投资性房地产累计折旧和累计摊销减少额" test=" $_GBC_2219e0a742424e4eac517daf47cc3552 +  $_GBC_616996c134044ea69ae5a3cfa3b85c4f +  $_GBC_d7ce1ab8ad054251bf5544753bb80527" id="C3171dfb527f54c0a9a428d3d1cdde4a6"/>
      </m:item>
      <m:placeholder xlName="_PLD_3151c528ede64899a4e7d1efd714409b" addr="T0R23C0S1_1"/>
      <m:item xlName="_GBC_4b275942183b4801a3c11d54bbd9f17c" concept="clcid-pte:QiTaZhuanChuDaoZhiDeFangWuJianZhuWuLeiJiZheJiuHeLeiJiTanXiaoJianShaoE" label="其他转出导致的房屋、建筑物累计折旧和累计摊销减少额" mulRef="_GBC_3315dd1b9cb743c786e01b4b9e91b10d" unitRef="_GBC_424f36c4f1bf48ce8d47b51437412ff8" addr="T0R23C1S1_1" formatStyle="Comma"/>
      <m:item xlName="_GBC_e79355fd8020416b80867d857d825a2a" concept="clcid-pte:QiTaZhuanChuDaoZhiDeTuDiShiYongQuanLeiJiZheJiuHeLeiJiTanXiaoJianShaoE" label="其他转出导致的土地使用权累计折旧和累计摊销减少额" mulRef="_GBC_3315dd1b9cb743c786e01b4b9e91b10d" unitRef="_GBC_424f36c4f1bf48ce8d47b51437412ff8" addr="T0R23C2S1_1" formatStyle="Comma"/>
      <m:item xlName="_GBC_880a01b6e2144bb494d0a8504eafb374" concept="clcid-pte:CaiYongChengBenJiLiangMoShiDeTouZiXingFangDiChanZaiJianGongChengLeiJiZheJiuHeLeiJiTanXiaoQiTaZhuanChu" label="采用成本计量模式的投资性房地产-在建工程累计折旧和累计摊销其他转出" mulRef="_GBC_3315dd1b9cb743c786e01b4b9e91b10d" unitRef="_GBC_424f36c4f1bf48ce8d47b51437412ff8" addr="T0R23C3S1_1" formatStyle="Comma"/>
      <m:item xlName="_GBC_74923a61253b4b1490dc35006d93030d" concept="clcid-pte:QiTaZhuanChuDaoZhiDeCaiYongChengBenJiLiangMoShiDeTouZiXingFangDiChanLeiJiZheJiuHeLeiJiTanXiaoJianShaoE" label="其他转出导致的采用成本计量模式的投资性房地产累计折旧和累计摊销减少额" mulRef="_GBC_3315dd1b9cb743c786e01b4b9e91b10d" unitRef="_GBC_424f36c4f1bf48ce8d47b51437412ff8" addr="T0R23C4S1_1" formatStyle="Comma">
        <m:complexRule comparator="Eq" title="其他转出导致的采用成本计量模式的投资性房地产累计折旧和累计摊销减少额" test=" $_GBC_4b275942183b4801a3c11d54bbd9f17c +  $_GBC_e79355fd8020416b80867d857d825a2a +  $_GBC_880a01b6e2144bb494d0a8504eafb374" id="Cf680ef2991bb417e8213b457195598db"/>
      </m:item>
      <m:tuple xlName="_GBC_b3ebc435de8145869db922a00b30af1b" concept="clcid-pte:CaiYongChengBenJiLiangMoShiDeTouZiXingFangDiChanLeiJiZheJiuHeLeiJiTanXiaoJianShaoEMingXi" default_row="2" addr="T0R24C">
        <m:item xlName="_GBC_47afe8adb7854a41a2b7e1835774e889" concept="clcid-pte:CaiYongChengBenJiLiangMoShiDeTouZiXingFangDiChanLeiJiZheJiuHeLeiJiTanXiaoJianShaoEMingXiXiangMuMingCheng" label="采用成本计量模式的投资性房地产累计折旧和累计摊销减少额明细-项目名称" addr="T0R24C0S1_1"/>
        <m:item xlName="_GBC_f0bcd096c65d49d3a90e6b93c0bd0825" concept="clcid-pte:CaiYongChengBenJiLiangMoShiDeTouZiXingFangDiChanLeiJiZheJiuHeLeiJiTanXiaoJianShaoEMingXiFangWuJianZhuWu" label="采用成本计量模式的投资性房地产累计折旧和累计摊销减少额明细-房屋、建筑物" mulRef="_GBC_3315dd1b9cb743c786e01b4b9e91b10d" unitRef="_GBC_424f36c4f1bf48ce8d47b51437412ff8" addr="T0R24C1S1_1" formatStyle="Comma"/>
        <m:item xlName="_GBC_fbb86094d4ff46178cc1849e6421156d" concept="clcid-pte:CaiYongChengBenJiLiangMoShiDeTouZiXingFangDiChanLeiJiZheJiuHeLeiJiTanXiaoJianShaoEMingXiTuDiShiYongQuan" label="采用成本计量模式的投资性房地产累计折旧和累计摊销减少额明细-土地使用权" mulRef="_GBC_3315dd1b9cb743c786e01b4b9e91b10d" unitRef="_GBC_424f36c4f1bf48ce8d47b51437412ff8" addr="T0R24C2S1_1" formatStyle="Comma"/>
        <m:item xlName="_GBC_cc435c71fc674decb07867e136f59471" concept="clcid-pte:CaiYongChengBenJiLiangMoShiDeTouZiXingFangDiChanLeiJiZheJiuHeLeiJiTanXiaoJianShaoEMingXiZaiJianGongCheng" label="采用成本计量模式的投资性房地产累计折旧和累计摊销减少额明细-在建工程" mulRef="_GBC_3315dd1b9cb743c786e01b4b9e91b10d" unitRef="_GBC_424f36c4f1bf48ce8d47b51437412ff8" addr="T0R24C3S1_1" formatStyle="Comma"/>
        <m:item xlName="_GBC_866e5bb5d0ea44d7b51340fd5bc93b35" concept="clcid-pte:CaiYongChengBenJiLiangMoShiDeTouZiXingFangDiChanLeiJiZheJiuHeLeiJiTanXiaoJianShaoEMingXiHeJi" label="采用成本计量模式的投资性房地产累计折旧和累计摊销减少额明细-合计" mulRef="_GBC_3315dd1b9cb743c786e01b4b9e91b10d" unitRef="_GBC_424f36c4f1bf48ce8d47b51437412ff8" addr="T0R24C4S1_1" formatStyle="Comma">
          <m:complexRule comparator="Eq" title="采用成本计量模式的投资性房地产累计折旧和累计摊销减少额明细-合计" test=" $_GBC_f0bcd096c65d49d3a90e6b93c0bd0825 +  $_GBC_fbb86094d4ff46178cc1849e6421156d +  $_GBC_cc435c71fc674decb07867e136f59471" id="C4089904ebec449679a11efbc54147f93"/>
        </m:item>
      </m:tuple>
      <m:placeholder xlName="_PLD_cca29cb0e3b6444ab5e6af06b9935847" addr="T0R26C0S1_1"/>
      <m:item xlName="_GBC_c64b8f8fe46c4321ba09023e1734453d" concept="clcid-pte:FangWuJiJianZhuWuLeiJiZheJiuHeLeiJiTanXiaoZhangMianYuE" label="房屋及建筑物累计折旧和累计摊销账面余额" mulRef="_GBC_3315dd1b9cb743c786e01b4b9e91b10d" unitRef="_GBC_424f36c4f1bf48ce8d47b51437412ff8" addr="T0R26C1S1_1" formatStyle="Comma">
        <m:complexRule comparator="Eq" title="房屋及建筑物累计折旧和累计摊销账面余额" test=" $_GBC_68ffef02317b4598a82ce5003a38e9e9 +  $_GBC_c8cc05c0e2b14d448fc9e5e3a44ff91a -  $_GBC_83c31b40109a4b7393f7fc8d85606ca9" id="Caaf6aa340dae4bb1b233e4125d8914af"/>
      </m:item>
      <m:item xlName="_GBC_0f22cd671a4e4b839cf5222882105d88" concept="clcid-pte:TuDiShiYongQuanLeiJiZheJiuHeLeiJiTanXiaoZhangMianYuE" label="土地使用权累计折旧和累计摊销账面余额" mulRef="_GBC_3315dd1b9cb743c786e01b4b9e91b10d" unitRef="_GBC_424f36c4f1bf48ce8d47b51437412ff8" addr="T0R26C2S1_1" formatStyle="Comma">
        <m:complexRule comparator="Eq" title="土地使用权累计折旧和累计摊销账面余额" test=" $_GBC_fa95e99ddf65476eb5c8c8a9d7883528 +  $_GBC_45ea376043994f50827b05f22d9bfe25 -  $_GBC_51ce2b2481da49bea10b683127a2fab6" id="Cb299e8a99b2b4cc580022eeb38623364"/>
      </m:item>
      <m:item xlName="_GBC_a91d4be8de604affaaf0cfa35fcbc394" concept="clcid-pte:CaiYongChengBenJiLiangMoShiDeTouZiXingFangDiChanZaiJianGongChengLeiJiZheJiuHeLeiJiTanXiao" label="采用成本计量模式的投资性房地产-在建工程累计折旧和累计摊销" mulRef="_GBC_3315dd1b9cb743c786e01b4b9e91b10d" unitRef="_GBC_424f36c4f1bf48ce8d47b51437412ff8" addr="T0R26C3S1_1" formatStyle="Comma">
        <m:complexRule comparator="Eq" title="采用成本计量模式的投资性房地产-在建工程累计折旧和累计摊销" test=" $_GBC_c1cc4c8d04184132a96b244f8db0b41e +  $_GBC_1516ecac18a94d65a5b2e4236d31532c -  $_GBC_73161a3a35354c03925971ff305cea8a" id="C86a72653958d49e5946b38966e45b9af"/>
      </m:item>
      <m:item xlName="_GBC_6c38076e17ec41cea0510adeebfa3c8b" concept="clcid-pte:TouZiXingFangDiChanLeiJiZheJiuHeLeiJiTanXiaoHeJiZhangMianYuE" label="投资性房地产累计折旧和累计摊销合计账面余额" mulRef="_GBC_3315dd1b9cb743c786e01b4b9e91b10d" unitRef="_GBC_424f36c4f1bf48ce8d47b51437412ff8" addr="T0R26C4S1_1" formatStyle="Comma">
        <m:complexRule comparator="Eq" title="投资性房地产累计折旧和累计摊销合计账面余额" test=" $_GBC_c64b8f8fe46c4321ba09023e1734453d +  $_GBC_0f22cd671a4e4b839cf5222882105d88 +  $_GBC_a91d4be8de604affaaf0cfa35fcbc394" id="C7d511a6fed3d47a6be4b75713694ffd9"/>
        <m:complexRule comparator="Eq" title="投资性房地产累计折旧和累计摊销合计账面余额期初期末计算" test=" $_GBC_22c4852a674e4da2807bec6ddf2034cb +  $_GBC_791965f16dc04133b5269a07f4c06896 -  $_GBC_ba2bdbe45578448eb7360a8cae707c40" id="C8ba7edb08e9745ddb3a7207312e37ef0"/>
      </m:item>
      <m:placeholder xlName="_PLD_4ff260cebdf0497dab373adc76b90366" addr="T0R27C0S1_1"/>
      <m:placeholder xlName="_PLD_685647660ea448c692140eff28695e32" addr="T0R28C0S1_1"/>
      <m:item xlName="_GBC_86f88a92b1e444bf806d43154932fd60" concept="clcid-pte:FangWuJiJianZhuWuJianZhiZhunBeiLeiJiJinEZhangMianYuE" label="房屋及建筑物减值准备累计金额账面余额" periodRef="本期期初数" mulRef="_GBC_3315dd1b9cb743c786e01b4b9e91b10d" unitRef="_GBC_424f36c4f1bf48ce8d47b51437412ff8" addr="T0R28C1S1_1" formatStyle="Comma"/>
      <m:item xlName="_GBC_e6f7c44fc50049f59a9abe0b762660fb" concept="clcid-pte:TuDiShiYongQuanJianZhiZhunBeiLeiJiJinEZhangMianYuE" label="土地使用权减值准备累计金额账面余额" periodRef="本期期初数" mulRef="_GBC_3315dd1b9cb743c786e01b4b9e91b10d" unitRef="_GBC_424f36c4f1bf48ce8d47b51437412ff8" addr="T0R28C2S1_1" formatStyle="Comma"/>
      <m:item xlName="_GBC_828c8042425f47459c8014ae9ffad3c6" concept="clcid-pte:CaiYongChengBenJiLiangMoShiDeTouZiXingFangDiChanZaiJianGongChengJianZhiZhunBei" label="采用成本计量模式的投资性房地产-在建工程减值准备" periodRef="本期期初数" mulRef="_GBC_3315dd1b9cb743c786e01b4b9e91b10d" unitRef="_GBC_424f36c4f1bf48ce8d47b51437412ff8" addr="T0R28C3S1_1" formatStyle="Comma"/>
      <m:item xlName="_GBC_a59a291e4ae042cc87667e1c152c7359" concept="clcid-pte:TouZiXingFangDiChanJianZhiZhunBeiYuEHeJi" label="投资性房地产减值准备余额合计" periodRef="本期期初数" mulRef="_GBC_3315dd1b9cb743c786e01b4b9e91b10d" unitRef="_GBC_424f36c4f1bf48ce8d47b51437412ff8" addr="T0R28C4S1_1" formatStyle="Comma">
        <m:complexRule comparator="Eq" title="投资性房地产减值准备余额合计@本期期初数" test=" $_GBC_86f88a92b1e444bf806d43154932fd60 +  $_GBC_e6f7c44fc50049f59a9abe0b762660fb +  $_GBC_828c8042425f47459c8014ae9ffad3c6" id="Ca65314bfcc184019a26551605db0c404"/>
      </m:item>
      <m:placeholder xlName="_PLD_3dfd87bf97644313aa819527a1e9ca4f" addr="T0R29C0S1_1"/>
      <m:item xlName="_GBC_90c3cbfef9654c93afe59c659a56e3a7" concept="clcid-pte:FangWuJiJianZhuWuJianZhiZhunBeiLeiJiJinEZengJiaE" label="房屋及建筑物减值准备累计金额增加额" mulRef="_GBC_3315dd1b9cb743c786e01b4b9e91b10d" unitRef="_GBC_424f36c4f1bf48ce8d47b51437412ff8" addr="T0R29C1S1_1" formatStyle="Comma">
        <m:complexRule comparator="Eq" title="房屋及建筑物减值准备累计金额增加额" test=" $_GBC_c89447c5bb0449e5bce8987977e6c96e +  $_GBC_f7d4e47623e54886892fda77b7d8c3b5" id="Ce7248f4aa27348bab48858b461860eb5"/>
      </m:item>
      <m:item xlName="_GBC_85db04a365764bc3a3737b1995f39ccb" concept="clcid-pte:TuDiShiYongQuanJianZhiZhunBeiLeiJiJinEZengJiaE" label="土地使用权减值准备累计金额增加额" mulRef="_GBC_3315dd1b9cb743c786e01b4b9e91b10d" unitRef="_GBC_424f36c4f1bf48ce8d47b51437412ff8" addr="T0R29C2S1_1" formatStyle="Comma">
        <m:complexRule comparator="Eq" title="土地使用权减值准备累计金额增加额" test=" $_GBC_7a1c082df0014ce4b71e4f0c03d98543 +  $_GBC_ad993ef3400b4780be2e14fca642ccb4" id="Cb79ff8ac4ab24bd99ef350e44f5a8dae"/>
      </m:item>
      <m:item xlName="_GBC_cfd8a690550245c4bc17eeda1d1b9ad2" concept="clcid-pte:CaiYongChengBenJiLiangMoShiDeTouZiXingFangDiChanZaiJianGongChengJianZhiZhunBeiBenQiZengJiaE" label="采用成本计量模式的投资性房地产-在建工程减值准备本期增加额" mulRef="_GBC_3315dd1b9cb743c786e01b4b9e91b10d" unitRef="_GBC_424f36c4f1bf48ce8d47b51437412ff8" addr="T0R29C3S1_1" formatStyle="Comma">
        <m:complexRule comparator="Eq" title="采用成本计量模式的投资性房地产-在建工程减值准备本期增加额" test=" $_GBC_6ca74a2e15754fae890ba45ff57115c2 +  $_GBC_abe0f9a275094e5f92066c036a55c166" id="C01b4ea9276d04daf93ac6cc9a09d209b"/>
      </m:item>
      <m:item xlName="_GBC_fbe6e6f2cc8d4230afcd1cc3a081fac0" concept="clcid-pte:TouZiXingFangDiChanJianZhiZhunBeiZengJiaShu" label="投资性房地产减值准备增加数" mulRef="_GBC_3315dd1b9cb743c786e01b4b9e91b10d" unitRef="_GBC_424f36c4f1bf48ce8d47b51437412ff8" addr="T0R29C4S1_1" formatStyle="Comma">
        <m:complexRule comparator="Eq" title="投资性房地产减值准备增加数明细" test=" $_GBC_c228702a9ccd4331856f6a56929ac3e6 +  $_GBC_9b94932c6d874b7eb839c42337d192a1" id="C6e1b16ada2234fb2bdf238ac563f9b77"/>
        <m:complexRule comparator="Eq" title="投资性房地产减值准备增加数" test=" $_GBC_cfd8a690550245c4bc17eeda1d1b9ad2 +  $_GBC_90c3cbfef9654c93afe59c659a56e3a7 +  $_GBC_85db04a365764bc3a3737b1995f39ccb" id="C306c6b22cc9d48d290ae0438b7f555a7"/>
      </m:item>
      <m:placeholder xlName="_PLD_3cba015ee76d452abd05ff220b7d6963" addr="T0R30C0S1_1"/>
      <m:item xlName="_GBC_c89447c5bb0449e5bce8987977e6c96e" concept="clcid-pte:JiTiDaoZhiDeFangWuJianZhuWuJianZhiZhunBeiZengJia" label="计提导致的房屋、建筑物减值准备增加" mulRef="_GBC_3315dd1b9cb743c786e01b4b9e91b10d" unitRef="_GBC_424f36c4f1bf48ce8d47b51437412ff8" addr="T0R30C1S1_1" formatStyle="Comma"/>
      <m:item xlName="_GBC_7a1c082df0014ce4b71e4f0c03d98543" concept="clcid-pte:JiTiDaoZhiDeTuDiShiYongQuanJianZhiZhunBeiZengJia" label="计提导致的土地使用权减值准备增加" mulRef="_GBC_3315dd1b9cb743c786e01b4b9e91b10d" unitRef="_GBC_424f36c4f1bf48ce8d47b51437412ff8" addr="T0R30C2S1_1" formatStyle="Comma"/>
      <m:item xlName="_GBC_6ca74a2e15754fae890ba45ff57115c2" concept="clcid-pte:CaiYongChengBenJiLiangMoShiDeTouZiXingFangDiChanZaiJianGongChengJianZhiZhunBeiJiTi" label="采用成本计量模式的投资性房地产-在建工程减值准备计提" mulRef="_GBC_3315dd1b9cb743c786e01b4b9e91b10d" unitRef="_GBC_424f36c4f1bf48ce8d47b51437412ff8" addr="T0R30C3S1_1" formatStyle="Comma"/>
      <m:item xlName="_GBC_c228702a9ccd4331856f6a56929ac3e6" concept="clcid-pte:JiTiDaoZhiDeCaiYongChengBenJiLiangMoShiDeTouZiXingFangDiChanJianZhiZhunBeiZengJia" label="计提导致的采用成本计量模式的投资性房地产减值准备增加" mulRef="_GBC_3315dd1b9cb743c786e01b4b9e91b10d" unitRef="_GBC_424f36c4f1bf48ce8d47b51437412ff8" addr="T0R30C4S1_1" formatStyle="Comma">
        <m:complexRule comparator="Eq" title="计提导致的采用成本计量模式的投资性房地产减值准备增加" test=" $_GBC_c89447c5bb0449e5bce8987977e6c96e +  $_GBC_7a1c082df0014ce4b71e4f0c03d98543 +  $_GBC_6ca74a2e15754fae890ba45ff57115c2" id="Cd30a19dc0fb54410aee9b258effb60ee"/>
      </m:item>
      <m:tuple xlName="_GBC_b49a6efa005440a98b6f653494a58e73" concept="clcid-pte:CaiYongChengBenJiLiangMoShiDeTouZiXingFangDiChanJianZhiZhunBeiZengJiaEMingXi" default_row="2" addr="T0R31C">
        <m:item xlName="_GBC_4711c75472f744e3af60dbf07070851c" concept="clcid-pte:CaiYongChengBenJiLiangMoShiDeTouZiXingFangDiChanJianZhiZhunBeiZengJiaEMingXiXiangMuMingCheng" label="采用成本计量模式的投资性房地产减值准备增加额明细-项目名称" addr="T0R31C0S1_1"/>
        <m:item xlName="_GBC_f7d4e47623e54886892fda77b7d8c3b5" concept="clcid-pte:CaiYongChengBenJiLiangMoShiDeTouZiXingFangDiChanJianZhiZhunBeiZengJiaEMingXiFangWuJianZhuWu" label="采用成本计量模式的投资性房地产减值准备增加额明细-房屋、建筑物" mulRef="_GBC_3315dd1b9cb743c786e01b4b9e91b10d" unitRef="_GBC_424f36c4f1bf48ce8d47b51437412ff8" addr="T0R31C1S1_1" formatStyle="Comma"/>
        <m:item xlName="_GBC_ad993ef3400b4780be2e14fca642ccb4" concept="clcid-pte:CaiYongChengBenJiLiangMoShiDeTouZiXingFangDiChanJianZhiZhunBeiZengJiaEMingXiTuDiShiYongQuan" label="采用成本计量模式的投资性房地产减值准备增加额明细-土地使用权" mulRef="_GBC_3315dd1b9cb743c786e01b4b9e91b10d" unitRef="_GBC_424f36c4f1bf48ce8d47b51437412ff8" addr="T0R31C2S1_1" formatStyle="Comma"/>
        <m:item xlName="_GBC_abe0f9a275094e5f92066c036a55c166" concept="clcid-pte:CaiYongChengBenJiLiangMoShiDeTouZiXingFangDiChanJianZhiZhunBeiZengJiaEMingXiZaiJianGongCheng" label="采用成本计量模式的投资性房地产减值准备增加额明细-在建工程" mulRef="_GBC_3315dd1b9cb743c786e01b4b9e91b10d" unitRef="_GBC_424f36c4f1bf48ce8d47b51437412ff8" addr="T0R31C3S1_1" formatStyle="Comma"/>
        <m:item xlName="_GBC_9b94932c6d874b7eb839c42337d192a1" concept="clcid-pte:CaiYongChengBenJiLiangMoShiDeTouZiXingFangDiChanJianZhiZhunBeiZengJiaEMingXiHeJi" label="采用成本计量模式的投资性房地产减值准备增加额明细-合计" mulRef="_GBC_3315dd1b9cb743c786e01b4b9e91b10d" unitRef="_GBC_424f36c4f1bf48ce8d47b51437412ff8" addr="T0R31C4S1_1" formatStyle="Comma">
          <m:complexRule comparator="Eq" title="采用成本计量模式的投资性房地产减值准备增加额明细-合计" test=" $_GBC_f7d4e47623e54886892fda77b7d8c3b5 +  $_GBC_ad993ef3400b4780be2e14fca642ccb4 +  $_GBC_abe0f9a275094e5f92066c036a55c166" id="Cd24785a0363a42f9b8fdbe825b88c4fa"/>
        </m:item>
      </m:tuple>
      <m:placeholder xlName="_PLD_3a80eedd98a0469eb67a1d60dbb03de7" addr="T0R33C0S1_1"/>
      <m:item xlName="_GBC_fb0e05d4f3ca4d14b840cf847f320d79" concept="clcid-pte:FangWuJiJianZhuWuJianZhiZhunBeiLeiJiJinEJianShaoE" label="房屋及建筑物减值准备累计金额减少额" mulRef="_GBC_3315dd1b9cb743c786e01b4b9e91b10d" unitRef="_GBC_424f36c4f1bf48ce8d47b51437412ff8" addr="T0R33C1S1_1" formatStyle="Comma">
        <m:complexRule comparator="Eq" title="房屋及建筑物减值准备累计金额减少额" test=" $_GBC_0b768e803b8f4423ab621fa4391f7f68 +  $_GBC_01bc6f9a95ad4dcc9ab297f98f50fd69 +  $_GBC_d2f0c991df1a45e9aa70f5253050335e" id="C2e7d5b2170694f36b702eab4f9ed1369"/>
      </m:item>
      <m:item xlName="_GBC_6b3a32601a09456e9baf35d1f955cb2c" concept="clcid-pte:TuDiShiYongQuanJianZhiZhunBeiLeiJiJinEJianShaoE" label="土地使用权减值准备累计金额减少额" mulRef="_GBC_3315dd1b9cb743c786e01b4b9e91b10d" unitRef="_GBC_424f36c4f1bf48ce8d47b51437412ff8" addr="T0R33C2S1_1" formatStyle="Comma">
        <m:complexRule comparator="Eq" title="土地使用权减值准备累计金额减少额" test=" $_GBC_75eef6bfa1af409484fe634c9d204ea9 +  $_GBC_625ed56d001c40e99af62653d95816f7 +  $_GBC_2be336908b914617b83af98d7e0da2b7" id="C702b780369d14d33b268f3de97ee8e4d"/>
      </m:item>
      <m:item xlName="_GBC_dbfbc654db9b4ca19359bbd7c1886d70" concept="clcid-pte:CaiYongChengBenJiLiangMoShiDeTouZiXingFangDiChanZaiJianGongChengJianZhiZhunBeiBenQiJianShaoE" label="采用成本计量模式的投资性房地产-在建工程减值准备本期减少额" mulRef="_GBC_3315dd1b9cb743c786e01b4b9e91b10d" unitRef="_GBC_424f36c4f1bf48ce8d47b51437412ff8" addr="T0R33C3S1_1" formatStyle="Comma">
        <m:complexRule comparator="Eq" title="采用成本计量模式的投资性房地产-在建工程减值准备本期减少额" test=" $_GBC_133bf10e26fd44ffbb7fa8eaa1a17d85 +  $_GBC_286c981c41164b11bb43bcd2399f6505 +  $_GBC_0b3e83315f8e49a5ae1b387d1735ca86" id="C6bca9a2c7e4f40bbaced041eac79fbd2"/>
      </m:item>
      <m:item xlName="_GBC_1ed7b2bdbd87420ea147bc2f6c775dae" concept="clcid-pte:TouZiXingFangDiChanJianZhiZhunBeiJianShaoEHeJi" label="投资性房地产减值准备减少额合计" mulRef="_GBC_3315dd1b9cb743c786e01b4b9e91b10d" unitRef="_GBC_424f36c4f1bf48ce8d47b51437412ff8" addr="T0R33C4S1_1" formatStyle="Comma">
        <m:complexRule comparator="Eq" title="投资性房地产减值准备减少额合计" test=" $_GBC_fb0e05d4f3ca4d14b840cf847f320d79 +  $_GBC_6b3a32601a09456e9baf35d1f955cb2c +  $_GBC_dbfbc654db9b4ca19359bbd7c1886d70" id="C80e624ecaee746a1a94928feeb04baf0"/>
        <m:complexRule comparator="Eq" title="投资性房地产减值准备减少额合计明细" test=" $_GBC_37ae7aed990448edb8b0f7ba3d76561f +  $_GBC_63ed8491a59c4948a64af776dadefee3 +  $_GBC_3cb2830f019c453fb2548e7e71fdafee" id="Cb9942fddc1f64ac4a82ac086170719bc"/>
      </m:item>
      <m:placeholder xlName="_PLD_cd451bb1cac14e2893b15ec8172d1f0e" addr="T0R34C0S1_1"/>
      <m:item xlName="_GBC_0b768e803b8f4423ab621fa4391f7f68" concept="clcid-pte:ChuZhiDaoZhiDeFangWuJianZhuWuJianZhiZhunBeiJianShaoE" label="处置导致的房屋、建筑物减值准备减少额" mulRef="_GBC_3315dd1b9cb743c786e01b4b9e91b10d" unitRef="_GBC_424f36c4f1bf48ce8d47b51437412ff8" addr="T0R34C1S1_1" formatStyle="Comma"/>
      <m:item xlName="_GBC_75eef6bfa1af409484fe634c9d204ea9" concept="clcid-pte:ChuZhiDaoZhiDeTuDiShiYongQuanJianZhiZhunBeiJianShaoE" label="处置导致的土地使用权减值准备减少额" mulRef="_GBC_3315dd1b9cb743c786e01b4b9e91b10d" unitRef="_GBC_424f36c4f1bf48ce8d47b51437412ff8" addr="T0R34C2S1_1" formatStyle="Comma"/>
      <m:item xlName="_GBC_133bf10e26fd44ffbb7fa8eaa1a17d85" concept="clcid-pte:CaiYongChengBenJiLiangMoShiDeTouZiXingFangDiChanZaiJianGongChengJianZhiZhunBeiChuZhi" label="采用成本计量模式的投资性房地产-在建工程减值准备处置" mulRef="_GBC_3315dd1b9cb743c786e01b4b9e91b10d" unitRef="_GBC_424f36c4f1bf48ce8d47b51437412ff8" addr="T0R34C3S1_1" formatStyle="Comma"/>
      <m:item xlName="_GBC_37ae7aed990448edb8b0f7ba3d76561f" concept="clcid-pte:ChuZhiDaoZhiDeCaiYongChengBenJiLiangMoShiDeTouZiXingFangDiChanJianZhiZhunBeiJianShaoE" label="处置导致的采用成本计量模式的投资性房地产减值准备减少额" mulRef="_GBC_3315dd1b9cb743c786e01b4b9e91b10d" unitRef="_GBC_424f36c4f1bf48ce8d47b51437412ff8" addr="T0R34C4S1_1" formatStyle="Comma">
        <m:complexRule comparator="Eq" title="处置导致的采用成本计量模式的投资性房地产减值准备减少额" test=" $_GBC_0b768e803b8f4423ab621fa4391f7f68 +  $_GBC_75eef6bfa1af409484fe634c9d204ea9 +  $_GBC_133bf10e26fd44ffbb7fa8eaa1a17d85" id="C4e41d3eb0e934871b87dad0ed564a8d6"/>
      </m:item>
      <m:placeholder xlName="_PLD_b27c5053f3ea4116bb7d4d920bae34be" addr="T0R35C0S1_1"/>
      <m:item xlName="_GBC_01bc6f9a95ad4dcc9ab297f98f50fd69" concept="clcid-pte:QiTaZhuanChuDaoZhiDeFangWuJianZhuWuJianZhiZhunBeiJianShaoE" label="其他转出导致的房屋、建筑物减值准备减少额" mulRef="_GBC_3315dd1b9cb743c786e01b4b9e91b10d" unitRef="_GBC_424f36c4f1bf48ce8d47b51437412ff8" addr="T0R35C1S1_1" formatStyle="Comma"/>
      <m:item xlName="_GBC_625ed56d001c40e99af62653d95816f7" concept="clcid-pte:QiTaZhuanChuDaoZhiDeTuDiShiYongQuanJianZhiZhunBeiJianShaoE" label="其他转出导致的土地使用权减值准备减少额" mulRef="_GBC_3315dd1b9cb743c786e01b4b9e91b10d" unitRef="_GBC_424f36c4f1bf48ce8d47b51437412ff8" addr="T0R35C2S1_1" formatStyle="Comma"/>
      <m:item xlName="_GBC_286c981c41164b11bb43bcd2399f6505" concept="clcid-pte:CaiYongChengBenJiLiangMoShiDeTouZiXingFangDiChanZaiJianGongChengJianZhiZhunBeiQiTaZhuanChu" label="采用成本计量模式的投资性房地产-在建工程减值准备其他转出" mulRef="_GBC_3315dd1b9cb743c786e01b4b9e91b10d" unitRef="_GBC_424f36c4f1bf48ce8d47b51437412ff8" addr="T0R35C3S1_1" formatStyle="Comma"/>
      <m:item xlName="_GBC_63ed8491a59c4948a64af776dadefee3" concept="clcid-pte:QiTaZhuanChuDaoZhiDeCaiYongChengBenJiLiangMoShiDeTouZiXingFangDiChanJianZhiZhunBeiJianShaoE" label="其他转出导致的采用成本计量模式的投资性房地产减值准备减少额" mulRef="_GBC_3315dd1b9cb743c786e01b4b9e91b10d" unitRef="_GBC_424f36c4f1bf48ce8d47b51437412ff8" addr="T0R35C4S1_1" formatStyle="Comma">
        <m:complexRule comparator="Eq" title="其他转出导致的采用成本计量模式的投资性房地产减值准备减少额" test=" $_GBC_01bc6f9a95ad4dcc9ab297f98f50fd69 +  $_GBC_625ed56d001c40e99af62653d95816f7 +  $_GBC_286c981c41164b11bb43bcd2399f6505" id="Cba9a373fa77a4301960b7341f3b7b25c"/>
      </m:item>
      <m:tuple xlName="_GBC_5dc34feee296443984c8f69a0b5ea708" concept="clcid-pte:CaiYongChengBenJiLiangMoShiDeTouZiXingFangDiChanJianZhiZhunBeiJianShaoEMingXi" default_row="2" addr="T0R36C">
        <m:item xlName="_GBC_46a2be8db2144ee28637428531fea3e9" concept="clcid-pte:CaiYongChengBenJiLiangMoShiDeTouZiXingFangDiChanJianZhiZhunBeiJianShaoEMingXiXiangMuMingCheng" label="采用成本计量模式的投资性房地产减值准备减少额明细-项目名称" addr="T0R36C0S1_1"/>
        <m:item xlName="_GBC_d2f0c991df1a45e9aa70f5253050335e" concept="clcid-pte:CaiYongChengBenJiLiangMoShiDeTouZiXingFangDiChanJianZhiZhunBeiJianShaoEMingXiFangWuJianZhuWu" label="采用成本计量模式的投资性房地产减值准备减少额明细-房屋、建筑物" mulRef="_GBC_3315dd1b9cb743c786e01b4b9e91b10d" unitRef="_GBC_424f36c4f1bf48ce8d47b51437412ff8" addr="T0R36C1S1_1" formatStyle="Comma"/>
        <m:item xlName="_GBC_2be336908b914617b83af98d7e0da2b7" concept="clcid-pte:CaiYongChengBenJiLiangMoShiDeTouZiXingFangDiChanJianZhiZhunBeiJianShaoEMingXiTuDiShiYongQuan" label="采用成本计量模式的投资性房地产减值准备减少额明细-土地使用权" mulRef="_GBC_3315dd1b9cb743c786e01b4b9e91b10d" unitRef="_GBC_424f36c4f1bf48ce8d47b51437412ff8" addr="T0R36C2S1_1" formatStyle="Comma"/>
        <m:item xlName="_GBC_0b3e83315f8e49a5ae1b387d1735ca86" concept="clcid-pte:CaiYongChengBenJiLiangMoShiDeTouZiXingFangDiChanJianZhiZhunBeiJianShaoEMingXiZaiJianGongCheng" label="采用成本计量模式的投资性房地产减值准备减少额明细-在建工程" mulRef="_GBC_3315dd1b9cb743c786e01b4b9e91b10d" unitRef="_GBC_424f36c4f1bf48ce8d47b51437412ff8" addr="T0R36C3S1_1" formatStyle="Comma"/>
        <m:item xlName="_GBC_3cb2830f019c453fb2548e7e71fdafee" concept="clcid-pte:CaiYongChengBenJiLiangMoShiDeTouZiXingFangDiChanJianZhiZhunBeiJianShaoEMingXiHeJi" label="采用成本计量模式的投资性房地产减值准备减少额明细-合计" mulRef="_GBC_3315dd1b9cb743c786e01b4b9e91b10d" unitRef="_GBC_424f36c4f1bf48ce8d47b51437412ff8" addr="T0R36C4S1_1" formatStyle="Comma">
          <m:complexRule comparator="Eq" title="采用成本计量模式的投资性房地产减值准备减少额明细-合计" test=" $_GBC_d2f0c991df1a45e9aa70f5253050335e +  $_GBC_2be336908b914617b83af98d7e0da2b7 +  $_GBC_0b3e83315f8e49a5ae1b387d1735ca86" id="C460a7015a6b243f28039ade679b33786"/>
        </m:item>
      </m:tuple>
      <m:placeholder xlName="_PLD_c25a5691f17f46c1b2ebb44b9889b35e" addr="T0R38C0S1_1"/>
      <m:item xlName="_GBC_73e7bf93bfdb4d8dbfab8e16a17c0cd4" concept="clcid-pte:FangWuJiJianZhuWuJianZhiZhunBeiLeiJiJinEZhangMianYuE" label="房屋及建筑物减值准备累计金额账面余额" mulRef="_GBC_3315dd1b9cb743c786e01b4b9e91b10d" unitRef="_GBC_424f36c4f1bf48ce8d47b51437412ff8" addr="T0R38C1S1_1" formatStyle="Comma">
        <m:complexRule comparator="Eq" title="房屋及建筑物减值准备累计金额账面余额" test=" $_GBC_86f88a92b1e444bf806d43154932fd60 +  $_GBC_90c3cbfef9654c93afe59c659a56e3a7 -  $_GBC_fb0e05d4f3ca4d14b840cf847f320d79" id="C2cff7d962f7a4e52bbe40b6adaa79511"/>
      </m:item>
      <m:item xlName="_GBC_021b033c9ba24f85956188a1593b9418" concept="clcid-pte:TuDiShiYongQuanJianZhiZhunBeiLeiJiJinEZhangMianYuE" label="土地使用权减值准备累计金额账面余额" mulRef="_GBC_3315dd1b9cb743c786e01b4b9e91b10d" unitRef="_GBC_424f36c4f1bf48ce8d47b51437412ff8" addr="T0R38C2S1_1" formatStyle="Comma">
        <m:complexRule comparator="Eq" title="土地使用权减值准备累计金额账面余额" test=" $_GBC_e6f7c44fc50049f59a9abe0b762660fb +  $_GBC_85db04a365764bc3a3737b1995f39ccb -  $_GBC_6b3a32601a09456e9baf35d1f955cb2c" id="C98fc860565e946e7ace5720daa4b22f5"/>
      </m:item>
      <m:item xlName="_GBC_74bc9ec7bd644074a0a56145216b8a96" concept="clcid-pte:CaiYongChengBenJiLiangMoShiDeTouZiXingFangDiChanZaiJianGongChengJianZhiZhunBei" label="采用成本计量模式的投资性房地产-在建工程减值准备" mulRef="_GBC_3315dd1b9cb743c786e01b4b9e91b10d" unitRef="_GBC_424f36c4f1bf48ce8d47b51437412ff8" addr="T0R38C3S1_1" formatStyle="Comma">
        <m:complexRule comparator="Eq" title="采用成本计量模式的投资性房地产-在建工程减值准备" test=" $_GBC_828c8042425f47459c8014ae9ffad3c6 +  $_GBC_cfd8a690550245c4bc17eeda1d1b9ad2 -  $_GBC_dbfbc654db9b4ca19359bbd7c1886d70" id="C95ffb32f709e4e08bc6d093541e4b744"/>
      </m:item>
      <m:item xlName="_GBC_977b36d994fa4feea2532b140b4c918c" concept="clcid-pte:TouZiXingFangDiChanJianZhiZhunBeiYuEHeJi" label="投资性房地产减值准备余额合计" mulRef="_GBC_3315dd1b9cb743c786e01b4b9e91b10d" unitRef="_GBC_424f36c4f1bf48ce8d47b51437412ff8" addr="T0R38C4S1_1" formatStyle="Comma">
        <m:complexRule comparator="Eq" title="投资性房地产减值准备余额合计" test=" $_GBC_73e7bf93bfdb4d8dbfab8e16a17c0cd4 +  $_GBC_021b033c9ba24f85956188a1593b9418 +  $_GBC_74bc9ec7bd644074a0a56145216b8a96" id="Cfa3b12a1884347a6a716c1f65123efaa"/>
        <m:complexRule comparator="Eq" title="投资性房地产减值准备余额合计期初期末计算" test=" $_GBC_a59a291e4ae042cc87667e1c152c7359 +  $_GBC_fbe6e6f2cc8d4230afcd1cc3a081fac0 -  $_GBC_1ed7b2bdbd87420ea147bc2f6c775dae" id="Ca6c9f2c50e6a476fa9e976e01390cb4f"/>
      </m:item>
      <m:placeholder xlName="_PLD_dd5ff8f664da49d38ce3a1157275c392" addr="T0R39C0S1_1"/>
      <m:placeholder xlName="_PLD_9e2ff7b138194a18892eb08dcc0b7923" addr="T0R40C0S1_1"/>
      <m:item xlName="_GBC_063a96f07c814173bbb4434ed582402b" concept="clcid-pte:FangWuJiJianZhuWuZhangMianJiaZhiZhangMianYuE" label="房屋及建筑物账面价值账面余额" mulRef="_GBC_3315dd1b9cb743c786e01b4b9e91b10d" unitRef="_GBC_424f36c4f1bf48ce8d47b51437412ff8" addr="T0R40C1S1_1" formatStyle="Comma"/>
      <m:item xlName="_GBC_3575f2f6a7c149ae91dd254a61f453dd" concept="clcid-pte:TuDiShiYongQuanZhangMianJiaZhiZhangMianYuE" label="土地使用权账面价值账面余额" mulRef="_GBC_3315dd1b9cb743c786e01b4b9e91b10d" unitRef="_GBC_424f36c4f1bf48ce8d47b51437412ff8" addr="T0R40C2S1_1" formatStyle="Comma"/>
      <m:item xlName="_GBC_513fd0ab96c54458a4eb75027d2fbbb8" concept="clcid-pte:CaiYongChengBenJiLiangMoShiDeTouZiXingFangDiChanZaiJianGongChengZhangMianJiaZhi" label="采用成本计量模式的投资性房地产-在建工程账面价值" mulRef="_GBC_3315dd1b9cb743c786e01b4b9e91b10d" unitRef="_GBC_424f36c4f1bf48ce8d47b51437412ff8" addr="T0R40C3S1_1" formatStyle="Comma"/>
      <m:item xlName="_GBC_203ef76d7d9c42bdb85d92597ae14e57" concept="clcid-pte:TouZiXingFangDiChan" label="投资性房地产" mulRef="_GBC_3315dd1b9cb743c786e01b4b9e91b10d" unitRef="_GBC_424f36c4f1bf48ce8d47b51437412ff8" addr="T0R40C4S1_1" formatStyle="Comma">
        <m:complexRule comparator="Eq" title="投资性房地产" test=" $_GBC_063a96f07c814173bbb4434ed582402b +  $_GBC_3575f2f6a7c149ae91dd254a61f453dd +  $_GBC_513fd0ab96c54458a4eb75027d2fbbb8" id="Cd6c19c298c2d4566ac5b180d0520c4ad"/>
      </m:item>
      <m:placeholder xlName="_PLD_6e9e2eed2bfa45eb8258d1b408d860b3" addr="T0R41C0S1_1"/>
      <m:item xlName="_GBC_c1bd39c2133744adafeb95eb567f0cf8" concept="clcid-pte:FangWuJiJianZhuWuZhangMianJiaZhiZhangMianYuE" label="房屋及建筑物账面价值账面余额" periodRef="本期期初数" mulRef="_GBC_3315dd1b9cb743c786e01b4b9e91b10d" unitRef="_GBC_424f36c4f1bf48ce8d47b51437412ff8" addr="T0R41C1S1_1" formatStyle="Comma"/>
      <m:item xlName="_GBC_529ba98878684aaba7b0d2b48f551feb" concept="clcid-pte:TuDiShiYongQuanZhangMianJiaZhiZhangMianYuE" label="土地使用权账面价值账面余额" periodRef="本期期初数" mulRef="_GBC_3315dd1b9cb743c786e01b4b9e91b10d" unitRef="_GBC_424f36c4f1bf48ce8d47b51437412ff8" addr="T0R41C2S1_1" formatStyle="Comma"/>
      <m:item xlName="_GBC_30cf79e374d74f74a5ba1f9979964d7d" concept="clcid-pte:CaiYongChengBenJiLiangMoShiDeTouZiXingFangDiChanZaiJianGongChengZhangMianJiaZhi" label="采用成本计量模式的投资性房地产-在建工程账面价值" periodRef="本期期初数" mulRef="_GBC_3315dd1b9cb743c786e01b4b9e91b10d" unitRef="_GBC_424f36c4f1bf48ce8d47b51437412ff8" addr="T0R41C3S1_1" formatStyle="Comma"/>
      <m:item xlName="_GBC_5ce70054d83d4d30b79671984ff26e62" concept="clcid-pte:TouZiXingFangDiChan" label="投资性房地产" periodRef="本期期初数" mulRef="_GBC_3315dd1b9cb743c786e01b4b9e91b10d" unitRef="_GBC_424f36c4f1bf48ce8d47b51437412ff8" addr="T0R41C4S1_1" formatStyle="Comma">
        <m:complexRule comparator="Eq" title="投资性房地产@本期期初数" test=" $_GBC_c1bd39c2133744adafeb95eb567f0cf8 +  $_GBC_529ba98878684aaba7b0d2b48f551feb +  $_GBC_30cf79e374d74f74a5ba1f9979964d7d" id="C5ae20e6cc4f24f5682be9589b747e1ff"/>
      </m:item>
      <m:item xlName="_GBC_6ea8ec03c59f4a3585f376319ae453c5" concept="clcid-ci-ar:ShiFouShiYongWeiBanTuoChanQuanZhengShuDeTouZiXingFangDiChanQingKuang" label="是否适用：未办妥产权证书的投资性房地产情况" selectOptions="_buildInAppliance" controlType="CustomCheckbox" cRanges="{&quot;StartName&quot;:&quot;_GBC_6ea8ec03c59f4a3585f376319ae453c5&quot;,&quot;EndName&quot;:&quot;_GBC_9cc7ad0dada54a1085117113535ab460&quot;,&quot;CType&quot;:1,&quot;DisplayText&quot;:null}"/>
      <m:item xlName="_GBC_89ad3edd2c8344178a82ca92ba3aa649" concept="clcid-ci-ar:DanWeiCaiWuFuZhuWeiBanTuoChanQuanZhengShuDeTouZiXingFangDiChanQingKuang" label="单位：财务附注：未办妥产权证书的投资性房地产情况" selectOptions="_buildInScales" controlType="Combobox" cellType="Scale" appId="_GBC_6ea8ec03c59f4a3585f376319ae453c5"/>
      <m:item xlName="_GBC_319e60d20ba84767896da2a6acce957a" concept="clcid-ci-ar:BiZhongCaiWuFuZhuWeiBanTuoChanQuanZhengShuDeTouZiXingFangDiChanQingKuang" label="币种：财务附注：未办妥产权证书的投资性房地产情况" selectOptions="_buildInISO4217" controlType="Combobox" cellType="Measure" appId="_GBC_6ea8ec03c59f4a3585f376319ae453c5"/>
      <m:placeholder xlName="_PLD_7c52e77cefcd4f20928046fc664a738d" addr="T1R0C0S1_1"/>
      <m:placeholder xlName="_PLD_09530227fc6641b8a91deec6d447dac0" addr="T1R0C1S1_1"/>
      <m:placeholder xlName="_PLD_4af635cb01b34ef8a8351309e6df2ec0" addr="T1R0C2S1_1"/>
      <m:tuple xlName="_TUP_b8488f9577fc4efca936aea5a22c3395" concept="clcid-pte:WeiBanTuoChanQuanZhengShuDeTouZiXingFangDiChanJinEJiYuanYinMingXi" default_row="2" addr="T1R1C">
        <m:item xlName="_GBC_00d703d19e9141f9913d3d588f4036bc" concept="clcid-pte:WeiBanTuoChanQuanZhengShuDeTouZiXingFangDiChanJinEJiYuanYinMingXiXiangMuMingCheng" label="未办妥产权证书的投资性房地产金额及原因明细-项目名称" addr="T1R1C0S1_1" appId="_GBC_6ea8ec03c59f4a3585f376319ae453c5"/>
        <m:item xlName="_GBC_6c49cded0401406fa9d77d0025821248" concept="clcid-pte:WeiBanTuoChanQuanZhengShuDeTouZiXingFangDiChanJinEJiYuanYinMingXiTouZiXingFangDiChanZhangMianJiaZhi" label="未办妥产权证书的投资性房地产金额及原因明细-投资性房地产账面价值" mulRef="_GBC_89ad3edd2c8344178a82ca92ba3aa649" unitRef="_GBC_319e60d20ba84767896da2a6acce957a" addr="T1R1C1S1_1" formatStyle="Comma" appId="_GBC_6ea8ec03c59f4a3585f376319ae453c5"/>
        <m:item xlName="_GBC_9cc7ad0dada54a1085117113535ab460" concept="clcid-pte:WeiBanTuoChanQuanZhengShuDeTouZiXingFangDiChanJinEJiYuanYinMingXiWeiBanTuoChanQuanZhengShuYuanYin" label="未办妥产权证书的投资性房地产金额及原因明细-未办妥产权证书原因" addr="T1R1C2S1_1" appId="_GBC_6ea8ec03c59f4a3585f376319ae453c5"/>
      </m:tuple>
      <m:item xlName="_GBC_7c82892b5f364028897e5707cfcc5e86" concept="clcid-ci-ar:ShiFouShiYongTouZiXingFangDiChanDeShuoMing" label="是否适用：投资性房地产的说明" selectOptions="_buildInAppliance" controlType="CustomCheckbox" cRanges="{&quot;StartName&quot;:&quot;_GBC_7c82892b5f364028897e5707cfcc5e86&quot;,&quot;EndName&quot;:&quot;_GBC_557958fb98fe4d53811d03232e9fafa7&quot;,&quot;CType&quot;:1,&quot;DisplayText&quot;:null}"/>
      <m:item xlName="_GBC_557958fb98fe4d53811d03232e9fafa7" concept="clcid-pte:TouZiXingFangDiChanDeShuoMing" label="投资性房地产的说明" appId="_GBC_7c82892b5f364028897e5707cfcc5e86"/>
    </m:section>
    <m:section xlName="_GBC_3910517a603f4979b551ec278644d4e0" title="不适用" checkKey="!公允价值计量&amp;!成本计量" primarySection="_GBC_f6dac261d9a74df7a48db85ed7768fd1" optionText="不适用" optionGroupTitle="投资性房地产计量模式" optionTargetConcept="clcid-pte:TouZiXingFangDiChanJiLiangMoShi" optionTargetConceptValue="不适用">
      <m:placeholder xlName="_PLD_b96b9a0d652c42729d37043ca500e287"/>
    </m:section>
    <m:section xlName="_GBC_528a899f5044443fa0dd6606f304d80d" title="公允价值计量模式" rules="R2015_R11_011" checkKey="!成本计量" convertSummaryRule="NoConvert" helpId="112001064" primarySection="_GBC_f6dac261d9a74df7a48db85ed7768fd1" optionText="公允价值计量模式" optionGroupTitle="投资性房地产计量模式" optionTargetConcept="clcid-pte:TouZiXingFangDiChanJiLiangMoShi" optionTargetConceptValue="公允价值计量模式">
      <m:item xlName="_GBC_63b8278d283447408b8acb8a673afc1e" concept="clcid-ci-ar:DanWeiCaiWuFuZhuAnGongYunJiaZhiJiLiangDeTouZiXingFangDiChan" label="单位：财务附注：按公允价值计量的投资性房地产" selectOptions="_buildInScales" controlType="Combobox" cellType="Scale"/>
      <m:item xlName="_GBC_ab727728b2474f9faacae67c00bf0afe" concept="clcid-ci-ar:BiZhongCaiWuFuZhuAnGongYunJiaZhiJiLiangDeTouZiXingFangDiChan" label="币种：财务附注：按公允价值计量的投资性房地产" selectOptions="_buildInISO4217" controlType="Combobox" cellType="Measure"/>
      <m:placeholder xlName="_PLD_5c8971a7643e473e8da0cb49b691de17" addr="T0R0C0S1_1"/>
      <m:placeholder xlName="_PLD_6b7361d51ce54edfa90bd144c75a07e6" addr="T0R0C1S1_1"/>
      <m:placeholder xlName="_PLD_90a7ada9a96f4865a914c04b29f5e7a6" addr="T0R0C2S1_1"/>
      <m:placeholder xlName="_PLD_951d77d28c044e859f4e1f5fdcc625fa" addr="T0R0C3S1_1"/>
      <m:placeholder xlName="_PLD_089c0234bd304e26899493c36cb6a6e7" addr="T0R0C4S1_1"/>
      <m:placeholder xlName="_PLD_d61dcf5ae5e74a7bb03b2783082506fe" addr="T0R1C0S1_1"/>
      <m:item xlName="_GBC_80f35283b58e4108a619bcd11c0f159a" concept="clcid-pte:AnGongYunJiaZhiJiLiangFangWuJianZhuWuChengBenZhangMianYuE" label="按公允价值计量房屋、建筑物成本账面余额" periodRef="本期期初数" mulRef="_GBC_63b8278d283447408b8acb8a673afc1e" unitRef="_GBC_ab727728b2474f9faacae67c00bf0afe" addr="T0R1C1S1_1" formatStyle="Comma"/>
      <m:item xlName="_GBC_bd276a633621472183bef71f198975c1" concept="clcid-pte:AnGongYunJiaZhiJiLiangTuDiShiYongQuanChengBenZhangMianYuE" label="按公允价值计量土地使用权成本账面余额" periodRef="本期期初数" mulRef="_GBC_63b8278d283447408b8acb8a673afc1e" unitRef="_GBC_ab727728b2474f9faacae67c00bf0afe" addr="T0R1C2S1_1" formatStyle="Comma"/>
      <m:item xlName="_GBC_89c4e16a6ead4e4090767462dccb6e21" concept="clcid-pte:AnGongYunJiaZhiJiLiangZaiJianGongCheng" label="按公允价值计量在建工程" periodRef="本期期初数" mulRef="_GBC_63b8278d283447408b8acb8a673afc1e" unitRef="_GBC_ab727728b2474f9faacae67c00bf0afe" addr="T0R1C3S1_1" formatStyle="Comma"/>
      <m:item xlName="_GBC_aff12efe282e4346ab77ea2e6ad96c47" concept="clcid-pte:AnGongYunJiaZhiJiLiangTouZiXingFangDiChanChengBenHeJiZhangMianYuE" label="按公允价值计量投资性房地产成本合计账面余额" periodRef="本期期初数" mulRef="_GBC_63b8278d283447408b8acb8a673afc1e" unitRef="_GBC_ab727728b2474f9faacae67c00bf0afe" addr="T0R1C4S1_1" formatStyle="Comma">
        <m:complexRule comparator="Eq" title="按公允价值计量投资性房地产成本合计账面余额@本期期初数" test=" $_GBC_80f35283b58e4108a619bcd11c0f159a +  $_GBC_bd276a633621472183bef71f198975c1 +  $_GBC_89c4e16a6ead4e4090767462dccb6e21" id="Ce444f63bcd7d44048463241677bfaa16"/>
      </m:item>
      <m:placeholder xlName="_PLD_f4935da68c5647dcac9e0f137928737b" addr="T0R2C0S1_1"/>
      <m:item xlName="_GBC_692a788ee32f4bf5a55f84dd56ec6c03" concept="clcid-pte:AnGongYunJiaZhiJiLiangTouZiXingFangDiChanFangWuJianZhuWuBenQiBianDong" label="按公允价值计量投资性房地产房屋、建筑物本期变动" mulRef="_GBC_63b8278d283447408b8acb8a673afc1e" unitRef="_GBC_ab727728b2474f9faacae67c00bf0afe" addr="T0R2C1S1_1" formatStyle="Comma">
        <m:complexRule comparator="Eq" title="按公允价值计量投资性房地产房屋、建筑物本期变动" test=" $_GBC_6b4262933e224b1b836ecf8e6fa88492 +  $_GBC_6f68bb3cd7fe42a5814bdc315d5afce5 +  $_GBC_cc27bba145a04d7ca2c871c24b30def0 -  $_GBC_d38d172cfa314ed5904b76d68bbae1b7 -  $_GBC_6d2987345f134d6ba9f8a3616be34a54 +  $_GBC_8ac98f1f8b7248f9bdf7b6bad8bef9b0 +  $_GBC_f609ddab44614efca579ce8211ee182b" id="Cd0d99d14f3544fdcacc415f1df667788"/>
      </m:item>
      <m:item xlName="_GBC_b54899b2051042aaa7b73312c91076b8" concept="clcid-pte:AnGongYunJiaZhiJiLiangTouZiXingFangDiChanTuDiShiYongQuanBenQiBianDong" label="按公允价值计量投资性房地产土地使用权本期变动" mulRef="_GBC_63b8278d283447408b8acb8a673afc1e" unitRef="_GBC_ab727728b2474f9faacae67c00bf0afe" addr="T0R2C2S1_1" formatStyle="Comma">
        <m:complexRule comparator="Eq" title="按公允价值计量投资性房地产土地使用权本期变动" test=" $_GBC_23dafc272032462db653c2a343fae15c +  $_GBC_9848b767f1e941f398a523bcb926006f +  $_GBC_39ef4fb67b11407a82c52017c1976c07 -  $_GBC_64b2cf5a1e6f4f238b8cd40cb771dc5e -  $_GBC_d63e6a9c65f2494e9c2a0d4343ef154b +  $_GBC_b5a0e20babeb4b7f8da1810d24a1c85f +  $_GBC_3d30d73687d7460da3f5aed1e46301a9" id="Cd75f189bbb414f54bce33439471aff96"/>
      </m:item>
      <m:item xlName="_GBC_a1587e2c1cc44ef49bc955d4550dddd0" concept="clcid-pte:AnGongYunJiaZhiJiLiangTouZiXingFangDiChanZaiJianGongChengBenQiBianDong" label="按公允价值计量投资性房地产在建工程本期变动" mulRef="_GBC_63b8278d283447408b8acb8a673afc1e" unitRef="_GBC_ab727728b2474f9faacae67c00bf0afe" addr="T0R2C3S1_1" formatStyle="Comma">
        <m:complexRule comparator="Eq" title="按公允价值计量投资性房地产在建工程本期变动" test=" $_GBC_71f68e710bc64811bc61da2f377679c4 +  $_GBC_0e6bf236f88246918ffc96acebc6352d +  $_GBC_6263d21f52e44caca4cdeb1ca2c4a978 -  $_GBC_239d78e2504f4571a0d792f4108508dc -  $_GBC_abf21f1a264741dfae319cb03e2db0a6 +  $_GBC_c652d5040d634760a9dafc70e25123b3 +  $_GBC_a69ed394eeac46508a006d84699a0a44" id="C041c1e563206403eb9a0cd5ead43c64d"/>
      </m:item>
      <m:item xlName="_GBC_5c314e128ca544e3b9c833a557245b6f" concept="clcid-pte:AnGongYunJiaZhiJiLiangTouZiXingFangDiChanBenQiBianDong" label="按公允价值计量投资性房地产本期变动" mulRef="_GBC_63b8278d283447408b8acb8a673afc1e" unitRef="_GBC_ab727728b2474f9faacae67c00bf0afe" addr="T0R2C4S1_1" formatStyle="Comma">
        <m:complexRule comparator="Eq" title="按公允价值计量投资性房地产本期变动" test=" $_GBC_692a788ee32f4bf5a55f84dd56ec6c03 +  $_GBC_b54899b2051042aaa7b73312c91076b8 +  $_GBC_a1587e2c1cc44ef49bc955d4550dddd0" id="C7547607d1e354160b61dc99b143bae1d"/>
        <m:complexRule comparator="Eq" title="按公允价值计量投资性房地产本期变动-纵向公式" test=" $_GBC_59a05d27b9a74558975f576a3d542768 +  $_GBC_35584b5cff034ca082ba47d812069e2c +  $_GBC_493ed60aca024a0986bba21f3a19170f -  $_GBC_a973828391124d64a218e67afdae5f37 -  $_GBC_8dd34b1661f64e95b228b23a74a4a4ff +  $_GBC_54e37f3d44e244cc94a71c53b2acc6c5 +  $_GBC_3faa55e881bd4d5a8b2643a7ba487873" id="Cc5e5f820fd314730ad982ef1e71847ed"/>
      </m:item>
      <m:placeholder xlName="_PLD_232a4087345a40048b1fdb7e6359317f" addr="T0R3C0S1_1"/>
      <m:item xlName="_GBC_6b4262933e224b1b836ecf8e6fa88492" concept="clcid-pte:AnGongYunJiaZhiJiLiangFangWuJianZhuWuChengBenGouZhiShu" label="按公允价值计量房屋、建筑物成本购置数" mulRef="_GBC_63b8278d283447408b8acb8a673afc1e" unitRef="_GBC_ab727728b2474f9faacae67c00bf0afe" addr="T0R3C1S1_1" formatStyle="Comma"/>
      <m:item xlName="_GBC_23dafc272032462db653c2a343fae15c" concept="clcid-pte:AnGongYunJiaZhiJiLiangTuDiShiYongQuanChengBenGouZhiShu" label="按公允价值计量土地使用权成本购置数" mulRef="_GBC_63b8278d283447408b8acb8a673afc1e" unitRef="_GBC_ab727728b2474f9faacae67c00bf0afe" addr="T0R3C2S1_1" formatStyle="Comma"/>
      <m:item xlName="_GBC_71f68e710bc64811bc61da2f377679c4" concept="clcid-pte:AnGongYunJiaZhiJiLiangZaiJianGongChengWaiGouShu" label="按公允价值计量在建工程外购数" mulRef="_GBC_63b8278d283447408b8acb8a673afc1e" unitRef="_GBC_ab727728b2474f9faacae67c00bf0afe" addr="T0R3C3S1_1" formatStyle="Comma"/>
      <m:item xlName="_GBC_59a05d27b9a74558975f576a3d542768" concept="clcid-pte:AnGongYunJiaZhiJiLiangTouZiXingFangDiChanChengBenHeJiGouZhiShu" label="按公允价值计量投资性房地产成本合计购置数" mulRef="_GBC_63b8278d283447408b8acb8a673afc1e" unitRef="_GBC_ab727728b2474f9faacae67c00bf0afe" addr="T0R3C4S1_1" formatStyle="Comma">
        <m:complexRule comparator="Eq" title="按公允价值计量投资性房地产成本合计购置数" test=" $_GBC_6b4262933e224b1b836ecf8e6fa88492 +  $_GBC_23dafc272032462db653c2a343fae15c +  $_GBC_71f68e710bc64811bc61da2f377679c4" id="C651b8ea6365a456db9ef563e78d6c3b1"/>
      </m:item>
      <m:placeholder xlName="_PLD_6fb2e868c9e247449530f4e2f1fde6c0" addr="T0R4C0S1_1"/>
      <m:item xlName="_GBC_6f68bb3cd7fe42a5814bdc315d5afce5" concept="clcid-pte:AnGongYunJiaZhiJiLiangFangWuJianZhuWuCunHuoHuoGuDingZiChanHuoZaiJianGongChengZhuanRuShu" label="按公允价值计量房屋、建筑物存货或固定资产或在建工程转入数" mulRef="_GBC_63b8278d283447408b8acb8a673afc1e" unitRef="_GBC_ab727728b2474f9faacae67c00bf0afe" addr="T0R4C1S1_1" formatStyle="Comma"/>
      <m:item xlName="_GBC_9848b767f1e941f398a523bcb926006f" concept="clcid-pte:AnGongYunJiaZhiJiLiangTuDiShiYongQuanCunHuoHuoGuDingZiChanHuoZaiJianGongChengZhuanRuShu" label="按公允价值计量土地使用权存货或固定资产或在建工程转入数" mulRef="_GBC_63b8278d283447408b8acb8a673afc1e" unitRef="_GBC_ab727728b2474f9faacae67c00bf0afe" addr="T0R4C2S1_1" formatStyle="Comma"/>
      <m:item xlName="_GBC_0e6bf236f88246918ffc96acebc6352d" concept="clcid-pte:AnGongYunJiaZhiJiLiangZaiJianGongChengCunHuoHuoGuDingZiChanZhuanRuShu" label="按公允价值计量在建工程存货或固定资产转入数" mulRef="_GBC_63b8278d283447408b8acb8a673afc1e" unitRef="_GBC_ab727728b2474f9faacae67c00bf0afe" addr="T0R4C3S1_1" formatStyle="Comma"/>
      <m:item xlName="_GBC_35584b5cff034ca082ba47d812069e2c" concept="clcid-pte:AnGongYunJiaZhiJiLiangTouZiXingFangDiChanZhuanRuShu" label="按公允价值计量投资性房地产转入数" mulRef="_GBC_63b8278d283447408b8acb8a673afc1e" unitRef="_GBC_ab727728b2474f9faacae67c00bf0afe" addr="T0R4C4S1_1" formatStyle="Comma">
        <m:complexRule comparator="Eq" title="按公允价值计量投资性房地产转入数" test=" $_GBC_6f68bb3cd7fe42a5814bdc315d5afce5 +  $_GBC_9848b767f1e941f398a523bcb926006f +  $_GBC_0e6bf236f88246918ffc96acebc6352d" id="C63e5557cda1945249183dbfec14726e4"/>
      </m:item>
      <m:placeholder xlName="_PLD_762e39bd664d45be9eb20f06476ae3a7" addr="T0R5C0S1_1"/>
      <m:item xlName="_GBC_cc27bba145a04d7ca2c871c24b30def0" concept="clcid-pte:AnGongYunJiaZhiJiLiangFangWuJianZhuWuQiYeHeBingZengJiaShu" label="按公允价值计量房屋、建筑物企业合并增加数" mulRef="_GBC_63b8278d283447408b8acb8a673afc1e" unitRef="_GBC_ab727728b2474f9faacae67c00bf0afe" addr="T0R5C1S1_1" formatStyle="Comma"/>
      <m:item xlName="_GBC_39ef4fb67b11407a82c52017c1976c07" concept="clcid-pte:AnGongYunJiaZhiJiLiangTuDiShiYongQuanQiYeHeBingZengJiaShu" label="按公允价值计量土地使用权企业合并增加数" mulRef="_GBC_63b8278d283447408b8acb8a673afc1e" unitRef="_GBC_ab727728b2474f9faacae67c00bf0afe" addr="T0R5C2S1_1" formatStyle="Comma"/>
      <m:item xlName="_GBC_6263d21f52e44caca4cdeb1ca2c4a978" concept="clcid-pte:AnGongYunJiaZhiJiLiangZaiJianGongChengQiYeHeBingZengJiaShu" label="按公允价值计量在建工程企业合并增加数" mulRef="_GBC_63b8278d283447408b8acb8a673afc1e" unitRef="_GBC_ab727728b2474f9faacae67c00bf0afe" addr="T0R5C3S1_1" formatStyle="Comma"/>
      <m:item xlName="_GBC_493ed60aca024a0986bba21f3a19170f" concept="clcid-pte:AnGongYunJiaZhiJiLiangTouZiXingFangDiChanQiYeHeBingZengJiaShu" label="按公允价值计量投资性房地产企业合并增加数" mulRef="_GBC_63b8278d283447408b8acb8a673afc1e" unitRef="_GBC_ab727728b2474f9faacae67c00bf0afe" addr="T0R5C4S1_1" formatStyle="Comma">
        <m:complexRule comparator="Eq" title="按公允价值计量投资性房地产企业合并增加数" test=" $_GBC_cc27bba145a04d7ca2c871c24b30def0 +  $_GBC_39ef4fb67b11407a82c52017c1976c07 +  $_GBC_6263d21f52e44caca4cdeb1ca2c4a978" id="Cc26efa65e17a44e79c117074da31e44b"/>
      </m:item>
      <m:placeholder xlName="_PLD_16b1c93b67e3422091d03342316736d9" addr="T0R6C0S1_1"/>
      <m:item xlName="_GBC_d38d172cfa314ed5904b76d68bbae1b7" concept="clcid-pte:AnGongYunJiaZhiJiLiangFangWuJianZhuWuChengBenChuZhiShu" label="按公允价值计量房屋、建筑物成本处置数" mulRef="_GBC_63b8278d283447408b8acb8a673afc1e" unitRef="_GBC_ab727728b2474f9faacae67c00bf0afe" addr="T0R6C1S1_1" formatStyle="Comma"/>
      <m:item xlName="_GBC_64b2cf5a1e6f4f238b8cd40cb771dc5e" concept="clcid-pte:AnGongYunJiaZhiJiLiangTuDiShiYongQuanChengBenChuZhiShu" label="按公允价值计量土地使用权成本处置数" mulRef="_GBC_63b8278d283447408b8acb8a673afc1e" unitRef="_GBC_ab727728b2474f9faacae67c00bf0afe" addr="T0R6C2S1_1" formatStyle="Comma"/>
      <m:item xlName="_GBC_239d78e2504f4571a0d792f4108508dc" concept="clcid-pte:AnGongYunJiaZhiJiLiangZaiJianGongChengChuZhiShu" label="按公允价值计量在建工程处置数" mulRef="_GBC_63b8278d283447408b8acb8a673afc1e" unitRef="_GBC_ab727728b2474f9faacae67c00bf0afe" addr="T0R6C3S1_1" formatStyle="Comma"/>
      <m:item xlName="_GBC_a973828391124d64a218e67afdae5f37" concept="clcid-pte:AnGongYunJiaZhiJiLiangTouZiXingFangDiChanChengBenHeJiChuZhiShu" label="按公允价值计量投资性房地产成本合计处置数" mulRef="_GBC_63b8278d283447408b8acb8a673afc1e" unitRef="_GBC_ab727728b2474f9faacae67c00bf0afe" addr="T0R6C4S1_1" formatStyle="Comma">
        <m:complexRule comparator="Eq" title="按公允价值计量投资性房地产成本合计处置数" test=" $_GBC_d38d172cfa314ed5904b76d68bbae1b7 +  $_GBC_64b2cf5a1e6f4f238b8cd40cb771dc5e +  $_GBC_239d78e2504f4571a0d792f4108508dc" id="C218f9d271cc04452bbc1264bbc516a72"/>
      </m:item>
      <m:placeholder xlName="_PLD_52160e55c1d74c8099a010011205a978" addr="T0R7C0S1_1"/>
      <m:item xlName="_GBC_6d2987345f134d6ba9f8a3616be34a54" concept="clcid-pte:AnGongYunJiaZhiJiLiangFangWuJianZhuWuQiTaZhuanChuJianShaoShu" label="按公允价值计量房屋、建筑物其他转出减少数" mulRef="_GBC_63b8278d283447408b8acb8a673afc1e" unitRef="_GBC_ab727728b2474f9faacae67c00bf0afe" addr="T0R7C1S1_1" formatStyle="Comma"/>
      <m:item xlName="_GBC_d63e6a9c65f2494e9c2a0d4343ef154b" concept="clcid-pte:AnGongYunJiaZhiJiLiangTuDiShiYongQuanQiTaZhuanChuJianShaoShu" label="按公允价值计量土地使用权其他转出减少数" mulRef="_GBC_63b8278d283447408b8acb8a673afc1e" unitRef="_GBC_ab727728b2474f9faacae67c00bf0afe" addr="T0R7C2S1_1" formatStyle="Comma"/>
      <m:item xlName="_GBC_abf21f1a264741dfae319cb03e2db0a6" concept="clcid-pte:AnGongYunJiaZhiJiLiangZaiJianGongChengQiTaZhuanChuJianShaoShu" label="按公允价值计量在建工程其他转出减少数" mulRef="_GBC_63b8278d283447408b8acb8a673afc1e" unitRef="_GBC_ab727728b2474f9faacae67c00bf0afe" addr="T0R7C3S1_1" formatStyle="Comma"/>
      <m:item xlName="_GBC_8dd34b1661f64e95b228b23a74a4a4ff" concept="clcid-pte:AnGongYunJiaZhiJiLiangTouZiXingFangDiChanQiTaZhuanChuJianShaoShu" label="按公允价值计量投资性房地产其他转出减少数" mulRef="_GBC_63b8278d283447408b8acb8a673afc1e" unitRef="_GBC_ab727728b2474f9faacae67c00bf0afe" addr="T0R7C4S1_1" formatStyle="Comma">
        <m:complexRule comparator="Eq" title="按公允价值计量投资性房地产其他转出减少数" test=" $_GBC_6d2987345f134d6ba9f8a3616be34a54 +  $_GBC_d63e6a9c65f2494e9c2a0d4343ef154b +  $_GBC_abf21f1a264741dfae319cb03e2db0a6" id="C9181e860a7754584b8380b86a2837310"/>
      </m:item>
      <m:placeholder xlName="_PLD_37f3401198e2494aaa832320e6f93a00" addr="T0R8C0S1_1"/>
      <m:item xlName="_GBC_8ac98f1f8b7248f9bdf7b6bad8bef9b0" concept="clcid-pte:AnGongYunJiaZhiJiLiangFangWuJianZhuWuGongYunJiaZhiBianDongZhangMianYuE" label="按公允价值计量房屋、建筑物公允价值变动账面余额" mulRef="_GBC_63b8278d283447408b8acb8a673afc1e" unitRef="_GBC_ab727728b2474f9faacae67c00bf0afe" addr="T0R8C1S1_1" formatStyle="Comma"/>
      <m:item xlName="_GBC_b5a0e20babeb4b7f8da1810d24a1c85f" concept="clcid-pte:AnGongYunJiaZhiJiLiangTuDiShiYongQuanGongYunJiaZhiBianDongZhangMianYuE" label="按公允价值计量土地使用权公允价值变动账面余额" mulRef="_GBC_63b8278d283447408b8acb8a673afc1e" unitRef="_GBC_ab727728b2474f9faacae67c00bf0afe" addr="T0R8C2S1_1" formatStyle="Comma"/>
      <m:item xlName="_GBC_c652d5040d634760a9dafc70e25123b3" concept="clcid-pte:AnGongYunJiaZhiJiLiangZaiJianGongChengGongYunJiaZhiBianDongShu" label="按公允价值计量在建工程公允价值变动数" mulRef="_GBC_63b8278d283447408b8acb8a673afc1e" unitRef="_GBC_ab727728b2474f9faacae67c00bf0afe" addr="T0R8C3S1_1" formatStyle="Comma"/>
      <m:item xlName="_GBC_54e37f3d44e244cc94a71c53b2acc6c5" concept="clcid-pte:AnGongYunJiaZhiJiLiangTouZiXingFangDiChanGongYunJiaZhiBianDongHeJiZhangMianYuE" label="按公允价值计量投资性房地产公允价值变动合计账面余额" mulRef="_GBC_63b8278d283447408b8acb8a673afc1e" unitRef="_GBC_ab727728b2474f9faacae67c00bf0afe" addr="T0R8C4S1_1" formatStyle="Comma">
        <m:complexRule comparator="Eq" title="按公允价值计量投资性房地产公允价值变动合计账面余额" test=" $_GBC_8ac98f1f8b7248f9bdf7b6bad8bef9b0 +  $_GBC_b5a0e20babeb4b7f8da1810d24a1c85f +  $_GBC_c652d5040d634760a9dafc70e25123b3" id="C2c3f276832b9465f91b25ebfc9adfd03"/>
      </m:item>
      <m:tuple xlName="_GBC_2f24940cc2ad47b3ac4379c4fde0586a" concept="clcid-pte:AnGongYunJiaZhiJiLiangTouZiXingFangDiChanBenQiBianDongShuMingXi" default_row="2" addr="T0R9C">
        <m:item xlName="_GBC_05aa88ec1cf947faa973b80aba8689dd" concept="clcid-pte:AnGongYunJiaZhiJiLiangTouZiXingFangDiChanBenQiBianDongShuMingXiXiangMuMingCheng" label="按公允价值计量投资性房地产本期变动数明细-项目名称" addr="T0R9C0S1_1"/>
        <m:item xlName="_GBC_f609ddab44614efca579ce8211ee182b" concept="clcid-pte:AnGongYunJiaZhiJiLiangTouZiXingFangDiChanBenQiBianDongShuMingXiFangWuJianZhuWu" label="按公允价值计量投资性房地产本期变动数明细-房屋、建筑物" mulRef="_GBC_63b8278d283447408b8acb8a673afc1e" unitRef="_GBC_ab727728b2474f9faacae67c00bf0afe" addr="T0R9C1S1_1" formatStyle="Comma"/>
        <m:item xlName="_GBC_3d30d73687d7460da3f5aed1e46301a9" concept="clcid-pte:AnGongYunJiaZhiJiLiangTouZiXingFangDiChanBenQiBianDongShuMingXiTuDiQuan" label="按公允价值计量投资性房地产本期变动数明细-土地权" mulRef="_GBC_63b8278d283447408b8acb8a673afc1e" unitRef="_GBC_ab727728b2474f9faacae67c00bf0afe" addr="T0R9C2S1_1" formatStyle="Comma"/>
        <m:item xlName="_GBC_a69ed394eeac46508a006d84699a0a44" concept="clcid-pte:AnGongYunJiaZhiJiLiangTouZiXingFangDiChanBenQiBianDongShuMingXiZaiJianGongCheng" label="按公允价值计量投资性房地产本期变动数明细-在建工程" mulRef="_GBC_63b8278d283447408b8acb8a673afc1e" unitRef="_GBC_ab727728b2474f9faacae67c00bf0afe" addr="T0R9C3S1_1" formatStyle="Comma"/>
        <m:item xlName="_GBC_3faa55e881bd4d5a8b2643a7ba487873" concept="clcid-pte:AnGongYunJiaZhiJiLiangTouZiXingFangDiChanBenQiBianDongShuMingXiTouZiXingFangDiChanHeJi" label="按公允价值计量投资性房地产本期变动数明细-投资性房地产合计" mulRef="_GBC_63b8278d283447408b8acb8a673afc1e" unitRef="_GBC_ab727728b2474f9faacae67c00bf0afe" addr="T0R9C4S1_1" formatStyle="Comma">
          <m:complexRule comparator="Eq" title="按公允价值计量投资性房地产本期变动数明细-投资性房地产合计" test=" $_GBC_f609ddab44614efca579ce8211ee182b +  $_GBC_3d30d73687d7460da3f5aed1e46301a9 +  $_GBC_a69ed394eeac46508a006d84699a0a44" id="Cf8c4ad99c8174a8cb9d8282d44cdac6a"/>
        </m:item>
      </m:tuple>
      <m:placeholder xlName="_PLD_b7ac764bbe9345d29ce926907a900d5d" addr="T0R11C0S1_1"/>
      <m:item xlName="_GBC_2b3b7bde51004b008fde1547ebdd4064" concept="clcid-pte:AnGongYunJiaZhiJiLiangFangWuJianZhuWuChengBenZhangMianYuE" label="按公允价值计量房屋、建筑物成本账面余额" mulRef="_GBC_63b8278d283447408b8acb8a673afc1e" unitRef="_GBC_ab727728b2474f9faacae67c00bf0afe" addr="T0R11C1S1_1" formatStyle="Comma">
        <m:complexRule comparator="Eq" title="按公允价值计量房屋、建筑物成本账面余额" test=" $_GBC_80f35283b58e4108a619bcd11c0f159a +  $_GBC_692a788ee32f4bf5a55f84dd56ec6c03" id="C4b49c1703b8e4b9c8394fe30bfbdd7cd"/>
      </m:item>
      <m:item xlName="_GBC_b8dfbdbf13704af081e286b94afb0f0e" concept="clcid-pte:AnGongYunJiaZhiJiLiangTuDiShiYongQuanChengBenZhangMianYuE" label="按公允价值计量土地使用权成本账面余额" mulRef="_GBC_63b8278d283447408b8acb8a673afc1e" unitRef="_GBC_ab727728b2474f9faacae67c00bf0afe" addr="T0R11C2S1_1" formatStyle="Comma">
        <m:complexRule comparator="Eq" title="按公允价值计量土地使用权成本账面余额" test=" $_GBC_bd276a633621472183bef71f198975c1 +  $_GBC_b54899b2051042aaa7b73312c91076b8" id="C749d1e413c3346d19e6560c062722203"/>
      </m:item>
      <m:item xlName="_GBC_832c124dfff8485084ab42001d35b88a" concept="clcid-pte:AnGongYunJiaZhiJiLiangZaiJianGongCheng" label="按公允价值计量在建工程" mulRef="_GBC_63b8278d283447408b8acb8a673afc1e" unitRef="_GBC_ab727728b2474f9faacae67c00bf0afe" addr="T0R11C3S1_1" formatStyle="Comma">
        <m:complexRule comparator="Eq" title="按公允价值计量在建工程" test=" $_GBC_89c4e16a6ead4e4090767462dccb6e21 +  $_GBC_a1587e2c1cc44ef49bc955d4550dddd0" id="Ce5fa7d4855fa49dabb4a92f37b1c1a93"/>
      </m:item>
      <m:item xlName="_GBC_8fd822ab1376435cb551bc9c38a1ad6d" concept="clcid-pte:AnGongYunJiaZhiJiLiangTouZiXingFangDiChanChengBenHeJiZhangMianYuE" label="按公允价值计量投资性房地产成本合计账面余额" mulRef="_GBC_63b8278d283447408b8acb8a673afc1e" unitRef="_GBC_ab727728b2474f9faacae67c00bf0afe" addr="T0R11C4S1_1" formatStyle="Comma">
        <m:complexRule comparator="Eq" title="按公允价值计量投资性房地产成本合计账面余额" test=" $_GBC_2b3b7bde51004b008fde1547ebdd4064 +  $_GBC_b8dfbdbf13704af081e286b94afb0f0e +  $_GBC_832c124dfff8485084ab42001d35b88a" id="C96a6be81a3d448f582b9b5498c289a56"/>
        <m:complexRule comparator="Eq" title="按公允价值计量投资性房地产成本合计账面余额期初期末计算" test=" $_GBC_aff12efe282e4346ab77ea2e6ad96c47 +  $_GBC_5c314e128ca544e3b9c833a557245b6f" id="C8e997b5857a64be7ae8f1a67456994ea"/>
      </m:item>
      <m:item xlName="_GBC_4ebde9db521f427dbcd577bafe064ac8" concept="clcid-ci-ar:ShiFouShiYongWeiBanTuoChanQuanZhengShuDeTouZiXingFangDiChanQingKuang" label="是否适用：未办妥产权证书的投资性房地产情况" selectOptions="_buildInAppliance" controlType="CustomCheckbox" cRanges="{&quot;StartName&quot;:&quot;_GBC_4ebde9db521f427dbcd577bafe064ac8&quot;,&quot;EndName&quot;:&quot;_GBC_948cf647cef34697b1b56b934c6ad97a&quot;,&quot;CType&quot;:1,&quot;DisplayText&quot;:null}"/>
      <m:item xlName="_GBC_16f07ded0d424a9c8da9dd271a9f2a9e" concept="clcid-ci-ar:DanWeiCaiWuFuZhuWeiBanTuoChanQuanZhengShuDeTouZiXingFangDiChanQingKuang" label="单位：财务附注：未办妥产权证书的投资性房地产情况" selectOptions="_buildInScales" controlType="Combobox" cellType="Scale" appId="_GBC_4ebde9db521f427dbcd577bafe064ac8"/>
      <m:item xlName="_GBC_85dc11a10b1b407784df999e774e3355" concept="clcid-ci-ar:BiZhongCaiWuFuZhuWeiBanTuoChanQuanZhengShuDeTouZiXingFangDiChanQingKuang" label="币种：财务附注：未办妥产权证书的投资性房地产情况" selectOptions="_buildInISO4217" controlType="Combobox" cellType="Measure" appId="_GBC_4ebde9db521f427dbcd577bafe064ac8"/>
      <m:placeholder xlName="_PLD_53be96213eea4965a0a0c049db07537d" addr="T1R0C0S1_1"/>
      <m:placeholder xlName="_PLD_90830921bf6f493d836d8802bd6ae4ec" addr="T1R0C1S1_1"/>
      <m:placeholder xlName="_PLD_6752183ecb424a7abe8607de6c2c60cf" addr="T1R0C2S1_1"/>
      <m:tuple xlName="_TUP_5c9770612a964e2d8a45bf9fb9cf560b" concept="clcid-pte:WeiBanTuoChanQuanZhengShuDeTouZiXingFangDiChanJinEJiYuanYinMingXi" default_row="2" addr="T1R1C">
        <m:item xlName="_GBC_eac367006e2047cca68cb3d8af67b928" concept="clcid-pte:WeiBanTuoChanQuanZhengShuDeTouZiXingFangDiChanJinEJiYuanYinMingXiXiangMuMingCheng" label="未办妥产权证书的投资性房地产金额及原因明细-项目名称" addr="T1R1C0S1_1" appId="_GBC_4ebde9db521f427dbcd577bafe064ac8"/>
        <m:item xlName="_GBC_b3a5dfd3dcdb4d2aab4aa33ec3671aba" concept="clcid-pte:WeiBanTuoChanQuanZhengShuDeTouZiXingFangDiChanJinEJiYuanYinMingXiTouZiXingFangDiChanZhangMianJiaZhi" label="未办妥产权证书的投资性房地产金额及原因明细-投资性房地产账面价值" mulRef="_GBC_16f07ded0d424a9c8da9dd271a9f2a9e" unitRef="_GBC_85dc11a10b1b407784df999e774e3355" addr="T1R1C1S1_1" formatStyle="Comma" appId="_GBC_4ebde9db521f427dbcd577bafe064ac8"/>
        <m:item xlName="_GBC_948cf647cef34697b1b56b934c6ad97a" concept="clcid-pte:WeiBanTuoChanQuanZhengShuDeTouZiXingFangDiChanJinEJiYuanYinMingXiWeiBanTuoChanQuanZhengShuYuanYin" label="未办妥产权证书的投资性房地产金额及原因明细-未办妥产权证书原因" addr="T1R1C2S1_1" appId="_GBC_4ebde9db521f427dbcd577bafe064ac8"/>
      </m:tuple>
      <m:item xlName="_GBC_0caaeaf285c347ca935ac7d0d9b49f42" concept="clcid-ci-ar:ShiFouShiYongTouZiXingFangDiChanDeShuoMing" label="是否适用：投资性房地产的说明" selectOptions="_buildInAppliance" controlType="CustomCheckbox" cRanges="{&quot;StartName&quot;:&quot;_GBC_0caaeaf285c347ca935ac7d0d9b49f42&quot;,&quot;EndName&quot;:&quot;_GBC_610c52a723d146dca3f2a68ad3ff54fe&quot;,&quot;CType&quot;:1,&quot;DisplayText&quot;:null}"/>
      <m:item xlName="_GBC_610c52a723d146dca3f2a68ad3ff54fe" concept="clcid-pte:TouZiXingFangDiChanDeShuoMing" label="投资性房地产的说明" appId="_GBC_0caaeaf285c347ca935ac7d0d9b49f42"/>
    </m:section>
    <m:section xlName="_SEC_d216074d2ae442239dbb6f5f9b7a5d89" title="固定资产项目列示">
      <m:item xlName="_GBC_73d82e583dcc4330bebfeb83abd5f5bb" concept="clcid-ci-ar:ShiFouShiYongGuDingZiChanFenLeiLieShi" label="是否适用：固定资产分类列示" selectOptions="_buildInAppliance" controlType="CustomCheckbox" cRanges="[{&quot;StartName&quot;:&quot;_GBC_73d82e583dcc4330bebfeb83abd5f5bb&quot;,&quot;EndName&quot;:&quot;_GBC_4af95312f3fa4fb8b86c49471ccdb926&quot;,&quot;CType&quot;:1}]"/>
      <m:item xlName="_GBC_1ddbfde119544f109a3b12a48ffde12d" concept="clcid-ci-ar:DanWeiGuDingZiChanFenLeiLieShi" label="单位：固定资产分类列示" selectOptions="_buildInScales" controlType="Combobox" cellType="Scale" appId="_GBC_73d82e583dcc4330bebfeb83abd5f5bb"/>
      <m:item xlName="_GBC_fcb83ec59024431d9f3167f55c1ae7c0" concept="clcid-ci-ar:BiZhongGuDingZiChanFenLeiLieShi" label="币种：固定资产分类列示" selectOptions="_buildInISO4217" controlType="Combobox" cellType="Measure" appId="_GBC_73d82e583dcc4330bebfeb83abd5f5bb"/>
      <m:placeholder xlName="_PLD_8242dd3761084b5fa8943b910dbdbe45" addr="T0R0C0S1_1"/>
      <m:placeholder xlName="_PLD_666df388ce2f4405af4694ebf5c112ca" addr="T0R0C1S1_1"/>
      <m:placeholder xlName="_PLD_ca4fd9ec8b6a43259f78c36475f04e58" addr="T0R0C2S1_1"/>
      <m:placeholder xlName="_PLD_722c53058dad410fa612baf9cbff9bc1" addr="T0R1C0S1_1" helpText="此处的固定资产是指扣除固定资产清理后的固定资产"/>
      <m:item xlName="_GBC_96700def480c4fd78f1b70e983a549a7" concept="clcid-pte:GuDingZiChanHeJi" label="固定资产合计" mulRef="_GBC_1ddbfde119544f109a3b12a48ffde12d" unitRef="_GBC_fcb83ec59024431d9f3167f55c1ae7c0" addr="T0R1C1S1_1" formatStyle="Comma" helpText="此处的固定资产是指扣除固定资产清理后的固定资产" appId="_GBC_73d82e583dcc4330bebfeb83abd5f5bb"/>
      <m:item xlName="_GBC_9c06698be3c3475999c731f0fd0aa7d5" concept="clcid-pte:GuDingZiChanHeJi" label="固定资产合计" periodRef="本期期初数" mulRef="_GBC_1ddbfde119544f109a3b12a48ffde12d" unitRef="_GBC_fcb83ec59024431d9f3167f55c1ae7c0" addr="T0R1C2S1_1" formatStyle="Comma" helpText="此处的固定资产是指扣除固定资产清理后的固定资产" appId="_GBC_73d82e583dcc4330bebfeb83abd5f5bb"/>
      <m:placeholder xlName="_PLD_2f47b0a195064c638089bc384523b564" addr="T0R2C0S1_1"/>
      <m:item xlName="_GBC_7aa43a8edb364a30a2fc81d6ef47c553" concept="clcid-pte:GuDingZiChanQingLi" label="固定资产清理" mulRef="_GBC_1ddbfde119544f109a3b12a48ffde12d" unitRef="_GBC_fcb83ec59024431d9f3167f55c1ae7c0" addr="T0R2C1S1_1" formatStyle="Comma" appId="_GBC_73d82e583dcc4330bebfeb83abd5f5bb"/>
      <m:item xlName="_GBC_d91c1efeafb84f5698229c260b51fbf7" concept="clcid-pte:GuDingZiChanQingLi" label="固定资产清理" periodRef="本期期初数" mulRef="_GBC_1ddbfde119544f109a3b12a48ffde12d" unitRef="_GBC_fcb83ec59024431d9f3167f55c1ae7c0" addr="T0R2C2S1_1" formatStyle="Comma" appId="_GBC_73d82e583dcc4330bebfeb83abd5f5bb"/>
      <m:placeholder xlName="_PLD_c4125b2326324bf0b90cbe28b521a568" addr="T0R3C0S1_1"/>
      <m:item xlName="_GBC_f5b95b15abdd4642957869b18eb1a932" concept="clcid-pte:GuDingZiChanJingE" label="固定资产净额" mulRef="_GBC_1ddbfde119544f109a3b12a48ffde12d" unitRef="_GBC_fcb83ec59024431d9f3167f55c1ae7c0" addr="T0R3C1S1_1" formatStyle="Comma" appId="_GBC_73d82e583dcc4330bebfeb83abd5f5bb">
        <m:complexRule comparator="Eq" title="固定资产净额" test=" $_GBC_96700def480c4fd78f1b70e983a549a7 +  $_GBC_7aa43a8edb364a30a2fc81d6ef47c553" id="Cded1038339ef497cbc2c0475ebe3e136"/>
      </m:item>
      <m:item xlName="_GBC_4af95312f3fa4fb8b86c49471ccdb926" concept="clcid-pte:GuDingZiChanJingE" label="固定资产净额" periodRef="本期期初数" mulRef="_GBC_1ddbfde119544f109a3b12a48ffde12d" unitRef="_GBC_fcb83ec59024431d9f3167f55c1ae7c0" addr="T0R3C2S1_1" formatStyle="Comma" appId="_GBC_73d82e583dcc4330bebfeb83abd5f5bb">
        <m:complexRule comparator="Eq" title="固定资产净额@本期期初数" test=" $_GBC_9c06698be3c3475999c731f0fd0aa7d5 +  $_GBC_d91c1efeafb84f5698229c260b51fbf7" id="Cbe1a07fd12c842ba98e1840f6cd29d51"/>
      </m:item>
      <m:item xlName="_GBC_9028bab58a12485bb8ef4d316280f591" concept="clcid-pte:GuDingZiChanFenLeiLieShiQiTaShuoMing" label="固定资产分类列示其他说明"/>
    </m:section>
    <m:section xlName="_GBC_6b764c2f9af049ba98fb55c66fe083a9" title="固定资产情况" rules="R2015_R11_012" convertSummaryRule="NoConvert" helpId="112001065" helpText="注：公司根据自身实际情况确定类别，一般包括房屋及建筑物、机器设备、电子设备、运输设备等。">
      <m:item xlName="_GBC_dea1f620aab74d63b1372d831b5b450f" concept="clcid-ci-ar:ShiFouShiYongGuDingZiChanQingKuang" label="是否适用：固定资产情况" selectOptions="_buildInAppliance" controlType="CustomCheckbox" cRanges="{&quot;StartName&quot;:&quot;_GBC_dea1f620aab74d63b1372d831b5b450f&quot;,&quot;EndName&quot;:&quot;_GBC_51f53c66f9f6487e9d52c830e591b9e4&quot;,&quot;CType&quot;:1,&quot;DisplayText&quot;:null}"/>
      <m:item xlName="_GBC_563afa3e91c048118558af0713b1a1af" concept="clcid-ci-ar:DanWeiCaiWuFuZhuGuDingZiChanQingKuang" label="单位：财务附注：固定资产情况" selectOptions="_buildInScales" controlType="Combobox" cellType="Scale" appId="_GBC_dea1f620aab74d63b1372d831b5b450f"/>
      <m:item xlName="_GBC_c5ecae448dd948eca54add973afbe77b" concept="clcid-ci-ar:BiZhongCaiWuFuZhuGuDingZiChanQingKuang" label="币种：财务附注：固定资产情况" selectOptions="_buildInISO4217" controlType="Combobox" cellType="Measure" appId="_GBC_dea1f620aab74d63b1372d831b5b450f"/>
      <m:placeholder xlName="_PLD_1741958de41447b7ac4cbd15ce893c6c" addr="T0R0C0S1_1"/>
      <m:item xlName="_GBC_936a8499167f477aab1a2942b2fdbdaf" concept="clcid-pte:GuDingZiChanQingKuangMingXiXiangMuMingCheng" label="固定资产情况明细-项目名称" selectOptions="d5472213416240b398396a24a1cc1f3d" addr="T0R0C1S1_1" controlType="CellText" tagAction="1" tupleRef="clcid-pte:GuDingZiChanQingKuangMingXi" appId="_GBC_dea1f620aab74d63b1372d831b5b450f" iterateOptionValue="4" checkOption="Ignore"/>
      <m:placeholder xlName="_PLD_0b635f975b4949dbb798f88c3dcf1d8d" addr="T0R0C2S1_1"/>
      <m:placeholder xlName="_PLD_e1d4e79d72fd45cc925f8729ecef795c" addr="T0R1C0S1_1"/>
      <m:placeholder xlName="_PLD_76089fd0a4a0479c8c1f36c514cb7ecd" addr="T0R2C0S1_1"/>
      <m:item xlName="_GBC_fdb12b9524f749d5bc2a8298f5467522" concept="clcid-pte:GuDingZiChanQingKuangMingXiZhangMianYuanZhi" label="固定资产情况明细-账面原值" periodRef="本期期初数" mulRef="_GBC_563afa3e91c048118558af0713b1a1af" unitRef="_GBC_c5ecae448dd948eca54add973afbe77b" addr="T0R2C1S1_1" formatStyle="Comma" tupleRef="clcid-pte:GuDingZiChanQingKuangMingXi" appId="_GBC_dea1f620aab74d63b1372d831b5b450f">
        <m:complexRule comparator="Eq" title="固定资产情况明细-账面原值@本期期初数" id="C98c24a42ef3f4c5d832fe7c5d9b06983"/>
      </m:item>
      <m:item xlName="_GBC_8cc80c706a2f4873b00ef96d83cfc608" concept="clcid-pte:GuDingZiChanYuanJia" label="固定资产原价" periodRef="本期期初数" mulRef="_GBC_563afa3e91c048118558af0713b1a1af" unitRef="_GBC_c5ecae448dd948eca54add973afbe77b" addr="T0R2C2S1_1" formatStyle="Comma" appId="_GBC_dea1f620aab74d63b1372d831b5b450f">
        <m:complexRule comparator="Eq" title="固定资产原价@本期期初数" disabled="true" test=" $_GBC_fdb12b9524f749d5bc2a8298f5467522" id="C68b61b254ec949ecbb731a5d1cf1c8de" serialType="2"/>
      </m:item>
      <m:placeholder xlName="_PLD_ee436c0e086043f0a5f400c99fbf0df9" addr="T0R3C0S1_1"/>
      <m:item xlName="_GBC_1a237c31cdbf44199ea75b7e72cca64a" concept="clcid-pte:GuDingZiChanQingKuangMingXiYuanZhiBenQiZengJia" label="固定资产情况明细-原值本期增加" mulRef="_GBC_563afa3e91c048118558af0713b1a1af" unitRef="_GBC_c5ecae448dd948eca54add973afbe77b" addr="T0R3C1S1_1" formatStyle="Comma" tupleRef="clcid-pte:GuDingZiChanQingKuangMingXi" appId="_GBC_dea1f620aab74d63b1372d831b5b450f">
        <m:complexRule comparator="Eq" title="固定资产情况明细-原值本期增加" test=" $_GBC_ede2785556d64a79bbd34040351834a2 +  $_GBC_ea84dadfe66446b183bcd5e129e67533 +  $_GBC_4e16228c05ca4231becef71afcd9de59 +  $_GBC_c2ca665b86c0425dba69c4867b84d3f4" id="C87beee772b8b4e08a42fe0fc6aad5adf" serialType="1"/>
      </m:item>
      <m:item xlName="_GBC_654b01ad3c1a4e9285c6e05765d1bc38" concept="clcid-pte:GuDingZiChanYuanJiaHeJiZengJiaShu" label="固定资产原价合计增加数" mulRef="_GBC_563afa3e91c048118558af0713b1a1af" unitRef="_GBC_c5ecae448dd948eca54add973afbe77b" addr="T0R3C2S1_1" formatStyle="Comma" appId="_GBC_dea1f620aab74d63b1372d831b5b450f">
        <m:complexRule comparator="Eq" title="固定资产原价合计增加数" test=" $_GBC_13c07a1d1f9f45e5920009a6afe410c6 +  $_GBC_6da9f3b8ff3f4caea581c2cf1ee24ba8 +  $_GBC_363399ea6c25434d938bc8e25fc85706 +  $_GBC_001e75f32bd54007926becb1d5aa914d" id="Cea127e02b1a047c588cd2ea14f9ab2b0" serialType="1"/>
        <m:complexRule comparator="Eq" title="固定资产原价合计增加数横向合计" disabled="true" test=" $_GBC_1a237c31cdbf44199ea75b7e72cca64a" id="C62ac91f7626c4453a5ad3209ebdc3a3d" serialType="2"/>
      </m:item>
      <m:placeholder xlName="_PLD_52f208e0e9cd4154b48b25225e9d4e33" addr="T0R4C0S1_1"/>
      <m:item xlName="_GBC_ede2785556d64a79bbd34040351834a2" concept="clcid-pte:GuDingZiChanQingKuangMingXiGouZhi" label="固定资产情况明细-购置" mulRef="_GBC_563afa3e91c048118558af0713b1a1af" unitRef="_GBC_c5ecae448dd948eca54add973afbe77b" addr="T0R4C1S1_1" formatStyle="Comma" tupleRef="clcid-pte:GuDingZiChanQingKuangMingXi" appId="_GBC_dea1f620aab74d63b1372d831b5b450f"/>
      <m:item xlName="_GBC_13c07a1d1f9f45e5920009a6afe410c6" concept="clcid-pte:GouZhiDaoZhiDeGuDingZiChanYuanZhiBenQiZengJiaHeJi" label="购置导致的固定资产原值本期增加合计" mulRef="_GBC_563afa3e91c048118558af0713b1a1af" unitRef="_GBC_c5ecae448dd948eca54add973afbe77b" addr="T0R4C2S1_1" formatStyle="Comma" appId="_GBC_dea1f620aab74d63b1372d831b5b450f">
        <m:complexRule comparator="Eq" title="购置导致的固定资产原值本期增加合计" disabled="true" test=" $_GBC_ede2785556d64a79bbd34040351834a2" id="Cf34b5ea6f8dd407689b20187a68d3c04" serialType="2"/>
      </m:item>
      <m:placeholder xlName="_PLD_c449c35eb24a41ae87b7fabcc7ac49f2" addr="T0R5C0S1_1"/>
      <m:item xlName="_GBC_ea84dadfe66446b183bcd5e129e67533" concept="clcid-pte:GuDingZiChanQingKuangMingXiZaiJianGongChengZhuanRu" label="固定资产情况明细-在建工程转入" mulRef="_GBC_563afa3e91c048118558af0713b1a1af" unitRef="_GBC_c5ecae448dd948eca54add973afbe77b" addr="T0R5C1S1_1" formatStyle="Comma" tupleRef="clcid-pte:GuDingZiChanQingKuangMingXi" appId="_GBC_dea1f620aab74d63b1372d831b5b450f"/>
      <m:item xlName="_GBC_6da9f3b8ff3f4caea581c2cf1ee24ba8" concept="clcid-pte:ZaiJianGongChengZhuanRuDaoZhiDeGuDingZiChanYuanZhiBenQiZengJiaHeJi" label="在建工程转入导致的固定资产原值本期增加合计" mulRef="_GBC_563afa3e91c048118558af0713b1a1af" unitRef="_GBC_c5ecae448dd948eca54add973afbe77b" addr="T0R5C2S1_1" formatStyle="Comma" appId="_GBC_dea1f620aab74d63b1372d831b5b450f">
        <m:complexRule comparator="Eq" title="在建工程转入导致的固定资产原值本期增加合计" disabled="true" test=" $_GBC_ea84dadfe66446b183bcd5e129e67533" id="Cabc3f065736a43fab3ba9a282b341b6f" serialType="2"/>
      </m:item>
      <m:placeholder xlName="_PLD_1c36f9524fa147baa9fa4bde2c6a8612" addr="T0R6C0S1_1"/>
      <m:item xlName="_GBC_4e16228c05ca4231becef71afcd9de59" concept="clcid-pte:GuDingZiChanQingKuangMingXiQiYeHeBingZengJia" label="固定资产情况明细-企业合并增加" mulRef="_GBC_563afa3e91c048118558af0713b1a1af" unitRef="_GBC_c5ecae448dd948eca54add973afbe77b" addr="T0R6C1S1_1" formatStyle="Comma" tupleRef="clcid-pte:GuDingZiChanQingKuangMingXi" appId="_GBC_dea1f620aab74d63b1372d831b5b450f"/>
      <m:item xlName="_GBC_363399ea6c25434d938bc8e25fc85706" concept="clcid-pte:QiYeHeBingZengJiaDaoZhiDeGuDingZiChanYuanZhiBenQiZengJiaHeJi" label="企业合并增加导致的固定资产原值本期增加合计" mulRef="_GBC_563afa3e91c048118558af0713b1a1af" unitRef="_GBC_c5ecae448dd948eca54add973afbe77b" addr="T0R6C2S1_1" formatStyle="Comma" appId="_GBC_dea1f620aab74d63b1372d831b5b450f">
        <m:complexRule comparator="Eq" title="企业合并增加导致的固定资产原值本期增加合计" disabled="true" test=" $_GBC_4e16228c05ca4231becef71afcd9de59" id="Ce0299dfc3c194a56b90c875291376107" serialType="2"/>
      </m:item>
      <m:item xlName="_GBC_4d32d042060b4c8aa7f965b96f5580a8" concept="clcid-pte:GuDingZiChanZhangMianYuanZhiZengJiaXiangMuMingCheng1" label="固定资产账面原值增加项目名称1" addr="T0R7C0S1_1" tagAction="1" appId="_GBC_dea1f620aab74d63b1372d831b5b450f" isSerialConcept="true" serialDirection="1" serialDefaultCount="2"/>
      <m:item xlName="_GBC_c2ca665b86c0425dba69c4867b84d3f4" concept="clcid-pte:GuDingZiChanZhangMianYuanZhiZengJiaXiangMuJinE1" label="固定资产账面原值增加项目金额1" mulRef="_GBC_563afa3e91c048118558af0713b1a1af" unitRef="_GBC_c5ecae448dd948eca54add973afbe77b" addr="T0R7C1S1_1" tagAction="1" formatStyle="Comma" tupleRef="clcid-pte:GuDingZiChanQingKuangMingXi" appId="_GBC_dea1f620aab74d63b1372d831b5b450f" isSerialConcept="true" serialDirection="1" serialDefaultCount="2"/>
      <m:item xlName="_GBC_001e75f32bd54007926becb1d5aa914d" concept="clcid-pte:GuDingZiChanZhangMianYuanZhiZengJiaXiangMuHeJiJinE1" label="固定资产账面原值增加项目合计金额1" mulRef="_GBC_563afa3e91c048118558af0713b1a1af" unitRef="_GBC_c5ecae448dd948eca54add973afbe77b" addr="T0R7C2S1_1" tagAction="1" formatStyle="Comma" appId="_GBC_dea1f620aab74d63b1372d831b5b450f" isSerialConcept="true" serialDirection="1" serialDefaultCount="2">
        <m:complexRule comparator="Eq" title="固定资产账面原值增加项目合计金额1" disabled="true" test=" $_GBC_c2ca665b86c0425dba69c4867b84d3f4" id="C5e465998d5744cbeb761c75437e34049" serialType="2"/>
      </m:item>
      <m:placeholder xlName="_PLD_dfb162daa7694866a1c4e80fabb81d52" addr="T0R8C0S1_1"/>
      <m:item xlName="_GBC_bba2eb02b7c845aeac2541e0d892e8a1" concept="clcid-pte:GuDingZiChanQingKuangMingXiYuanZhiBenQiJianShao" label="固定资产情况明细-原值本期减少" mulRef="_GBC_563afa3e91c048118558af0713b1a1af" unitRef="_GBC_c5ecae448dd948eca54add973afbe77b" addr="T0R8C1S1_1" formatStyle="Comma" tupleRef="clcid-pte:GuDingZiChanQingKuangMingXi" appId="_GBC_dea1f620aab74d63b1372d831b5b450f">
        <m:complexRule comparator="Eq" title="固定资产情况明细-原值本期减少" test=" $_GBC_0e5821b8e0bb4582be47d7948aa2f358 +  $_GBC_86b298d954344511b012e84c48d4404f" id="C2f2d5db8eada49ef89cecf9dfcaee09f" serialType="1"/>
      </m:item>
      <m:item xlName="_GBC_218a61684e4b423d8b56b054b3fd5ee4" concept="clcid-pte:GuDingZiChanYuanJiaHeJiJianShaoShu" label="固定资产原价合计减少数" mulRef="_GBC_563afa3e91c048118558af0713b1a1af" unitRef="_GBC_c5ecae448dd948eca54add973afbe77b" addr="T0R8C2S1_1" formatStyle="Comma" appId="_GBC_dea1f620aab74d63b1372d831b5b450f">
        <m:complexRule comparator="Eq" title="固定资产原价合计减少数" test=" $_GBC_17b5ddaa5138418297825f6b267e3995 +  $_GBC_b75b8542395b4972ad2d3a1ea5c4c1d9" id="Ce12840040c80480180e6c5be07ef79e1" serialType="1"/>
        <m:complexRule comparator="Eq" title="固定资产原价合计减少数横向合计" disabled="true" test=" $_GBC_bba2eb02b7c845aeac2541e0d892e8a1" id="C2c44317d907743ef836d6bb0cee1af3c" serialType="2"/>
      </m:item>
      <m:placeholder xlName="_PLD_fee37578c2514ed28988969e830aeae7" addr="T0R9C0S1_1"/>
      <m:item xlName="_GBC_0e5821b8e0bb4582be47d7948aa2f358" concept="clcid-pte:GuDingZiChanQingKuangMingXiYuanZhiChuZhiHuoBaoFei" label="固定资产情况明细-原值处置或报废" mulRef="_GBC_563afa3e91c048118558af0713b1a1af" unitRef="_GBC_c5ecae448dd948eca54add973afbe77b" addr="T0R9C1S1_1" formatStyle="Comma" tupleRef="clcid-pte:GuDingZiChanQingKuangMingXi" appId="_GBC_dea1f620aab74d63b1372d831b5b450f"/>
      <m:item xlName="_GBC_17b5ddaa5138418297825f6b267e3995" concept="clcid-pte:ChuZhiHuoBaoFeiDaoZhiDeGuDingZiChanYuanZhiBenQiJianShaoHeJi" label="处置或报废导致的固定资产原值本期减少合计" mulRef="_GBC_563afa3e91c048118558af0713b1a1af" unitRef="_GBC_c5ecae448dd948eca54add973afbe77b" addr="T0R9C2S1_1" formatStyle="Comma" appId="_GBC_dea1f620aab74d63b1372d831b5b450f">
        <m:complexRule comparator="Eq" title="处置或报废导致的固定资产原值本期减少合计" disabled="true" test=" $_GBC_0e5821b8e0bb4582be47d7948aa2f358" id="Ca3b4d4dc37c049bc9866e2dd3a926eed" serialType="2"/>
      </m:item>
      <m:item xlName="_GBC_2f4e09d586974d5099e26de2e9f2268e" concept="clcid-pte:GuDingZiChanZhangMianYuanZhiJianShaoXiangMuMingCheng1" label="固定资产账面原值减少项目名称1" addr="T0R10C0S1_1" tagAction="1" appId="_GBC_dea1f620aab74d63b1372d831b5b450f" isSerialConcept="true" serialDirection="1" serialDefaultCount="2"/>
      <m:item xlName="_GBC_86b298d954344511b012e84c48d4404f" concept="clcid-pte:GuDingZiChanZhangMianYuanZhiJianShaoXiangMuJinE1" label="固定资产账面原值减少项目金额1" mulRef="_GBC_563afa3e91c048118558af0713b1a1af" unitRef="_GBC_c5ecae448dd948eca54add973afbe77b" addr="T0R10C1S1_1" tagAction="1" formatStyle="Comma" tupleRef="clcid-pte:GuDingZiChanQingKuangMingXi" appId="_GBC_dea1f620aab74d63b1372d831b5b450f" isSerialConcept="true" serialDirection="1" serialDefaultCount="2"/>
      <m:item xlName="_GBC_b75b8542395b4972ad2d3a1ea5c4c1d9" concept="clcid-pte:GuDingZiChanZhangMianYuanZhiJianShaoXiangMuHeJiJinE1" label="固定资产账面原值减少项目合计金额1" mulRef="_GBC_563afa3e91c048118558af0713b1a1af" unitRef="_GBC_c5ecae448dd948eca54add973afbe77b" addr="T0R10C2S1_1" tagAction="1" formatStyle="Comma" appId="_GBC_dea1f620aab74d63b1372d831b5b450f" isSerialConcept="true" serialDirection="1" serialDefaultCount="2">
        <m:complexRule comparator="Eq" title="固定资产账面原值减少项目合计金额1" disabled="true" test=" $_GBC_86b298d954344511b012e84c48d4404f" id="Cae9f38053a8a4d298b3d8ce6fa789264" serialType="2"/>
      </m:item>
      <m:placeholder xlName="_PLD_249206a916954d19ba9495bb5be5eb90" addr="T0R11C0S1_1"/>
      <m:item xlName="_GBC_ae4301c555384883ad2cdc7cd57b6f8e" concept="clcid-pte:GuDingZiChanQingKuangMingXiZhangMianYuanZhi" label="固定资产情况明细-账面原值" mulRef="_GBC_563afa3e91c048118558af0713b1a1af" unitRef="_GBC_c5ecae448dd948eca54add973afbe77b" addr="T0R11C1S1_1" formatStyle="Comma" tupleRef="clcid-pte:GuDingZiChanQingKuangMingXi" appId="_GBC_dea1f620aab74d63b1372d831b5b450f">
        <m:complexRule comparator="Eq" title="固定资产情况明细-账面原值" test=" $_GBC_fdb12b9524f749d5bc2a8298f5467522 +  $_GBC_1a237c31cdbf44199ea75b7e72cca64a -  $_GBC_bba2eb02b7c845aeac2541e0d892e8a1" id="C64c784d5bb8c4295bb8755154b567fd5"/>
      </m:item>
      <m:item xlName="_GBC_6df68d53bb1c42b0b8288c726103aa56" concept="clcid-pte:GuDingZiChanYuanJia" label="固定资产原价" mulRef="_GBC_563afa3e91c048118558af0713b1a1af" unitRef="_GBC_c5ecae448dd948eca54add973afbe77b" addr="T0R11C2S1_1" formatStyle="Comma" appId="_GBC_dea1f620aab74d63b1372d831b5b450f">
        <m:complexRule comparator="Eq" title="固定资产原价" test=" $_GBC_8cc80c706a2f4873b00ef96d83cfc608 +  $_GBC_654b01ad3c1a4e9285c6e05765d1bc38 -  $_GBC_218a61684e4b423d8b56b054b3fd5ee4" id="C47949a7d20544383926e605caf852f03"/>
        <m:complexRule comparator="Eq" title="固定资产原价横向合计" disabled="true" test=" $_GBC_ae4301c555384883ad2cdc7cd57b6f8e" id="Cfd6b3283ec6c4a3ebff08a6345e0d881" serialType="2"/>
      </m:item>
      <m:placeholder xlName="_PLD_3b9a984e6e834331844252acd1c6a321" addr="T0R12C0S1_1"/>
      <m:placeholder xlName="_PLD_f4ae2b083a314e62b85f562d3dbe5c24" addr="T0R13C0S1_1"/>
      <m:item xlName="_GBC_ad39a009e8014af3978c2943b2c9ca11" concept="clcid-pte:GuDingZiChanQingKuangMingXiLeiJiZheJiu" label="固定资产情况明细-累计折旧" periodRef="本期期初数" mulRef="_GBC_563afa3e91c048118558af0713b1a1af" unitRef="_GBC_c5ecae448dd948eca54add973afbe77b" addr="T0R13C1S1_1" formatStyle="Comma" tupleRef="clcid-pte:GuDingZiChanQingKuangMingXi" appId="_GBC_dea1f620aab74d63b1372d831b5b450f">
        <m:complexRule comparator="Eq" title="固定资产情况明细-累计折旧@本期期初数" id="C2ee86c78fb1c4c4094c2eb749ab501ed"/>
      </m:item>
      <m:item xlName="_GBC_7b3686383a1f4fc3ace0f36e24be6558" concept="clcid-pte:LeiJiZheJiu" label="累计折旧" periodRef="本期期初数" mulRef="_GBC_563afa3e91c048118558af0713b1a1af" unitRef="_GBC_c5ecae448dd948eca54add973afbe77b" addr="T0R13C2S1_1" formatStyle="Comma" appId="_GBC_dea1f620aab74d63b1372d831b5b450f">
        <m:complexRule comparator="Eq" title="累计折旧@本期期初数" disabled="true" test=" $_GBC_ad39a009e8014af3978c2943b2c9ca11" id="C64b0b725446a41aea5d9a3f0b99105d6" serialType="2"/>
      </m:item>
      <m:placeholder xlName="_PLD_5f15b887e02c4ec6b52b0f15c4e97c9c" addr="T0R14C0S1_1"/>
      <m:item xlName="_GBC_ee69c5ac0bca40419ac231cd08138a9c" concept="clcid-pte:GuDingZiChanQingKuangMingXiLeiJiZheJiuBenQiZengJia" label="固定资产情况明细-累计折旧本期增加" mulRef="_GBC_563afa3e91c048118558af0713b1a1af" unitRef="_GBC_c5ecae448dd948eca54add973afbe77b" addr="T0R14C1S1_1" formatStyle="Comma" tupleRef="clcid-pte:GuDingZiChanQingKuangMingXi" appId="_GBC_dea1f620aab74d63b1372d831b5b450f">
        <m:complexRule comparator="Eq" title="固定资产情况明细-累计折旧本期增加" test=" $_GBC_0418a1f1004541aeb387886cb94ff2fa +  $_GBC_4f471bfa60bb4fd284527a4bd35a106e" id="C9b4e6ec0d56c41d4a53772fc36aad258" serialType="1"/>
      </m:item>
      <m:item xlName="_GBC_40a3bbb5a0ed47a086f18b27e8d533f4" concept="clcid-pte:GuDingZiChanLeiJiZheJiuHeJiZengJiaShu" label="固定资产累计折旧增加数" mulRef="_GBC_563afa3e91c048118558af0713b1a1af" unitRef="_GBC_c5ecae448dd948eca54add973afbe77b" addr="T0R14C2S1_1" formatStyle="Comma" appId="_GBC_dea1f620aab74d63b1372d831b5b450f">
        <m:complexRule comparator="Eq" title="固定资产累计折旧增加数" test=" $_GBC_4bbe73d7ed664dddbcb899d48d203871 +  $_GBC_de0f633422eb40198165dd44928b321c" id="C88fb6c7a8ffd46c08378d05574299b6b" serialType="1"/>
        <m:complexRule comparator="Eq" title="固定资产累计折旧增加数横向合计" disabled="true" test=" $_GBC_ee69c5ac0bca40419ac231cd08138a9c" id="C1d08a521b8854f3999fd7cf4a6496c82" serialType="2"/>
      </m:item>
      <m:placeholder xlName="_PLD_8957ada504474bfcb99282b7912be7e4" addr="T0R15C0S1_1"/>
      <m:item xlName="_GBC_0418a1f1004541aeb387886cb94ff2fa" concept="clcid-pte:GuDingZiChanQingKuangMingXiLeiJiZheJiuJiTi" label="固定资产情况明细-累计折旧计提" mulRef="_GBC_563afa3e91c048118558af0713b1a1af" unitRef="_GBC_c5ecae448dd948eca54add973afbe77b" addr="T0R15C1S1_1" formatStyle="Comma" tupleRef="clcid-pte:GuDingZiChanQingKuangMingXi" appId="_GBC_dea1f620aab74d63b1372d831b5b450f"/>
      <m:item xlName="_GBC_4bbe73d7ed664dddbcb899d48d203871" concept="clcid-pte:GuDingZiChanLeiJiZheJiuJiTiShu" label="固定资产累计折旧计提数" mulRef="_GBC_563afa3e91c048118558af0713b1a1af" unitRef="_GBC_c5ecae448dd948eca54add973afbe77b" addr="T0R15C2S1_1" formatStyle="Comma" appId="_GBC_dea1f620aab74d63b1372d831b5b450f">
        <m:complexRule comparator="Eq" title="固定资产累计折旧计提数" disabled="true" test=" $_GBC_0418a1f1004541aeb387886cb94ff2fa" id="Cc451468fde4b48ccad05f4bb626487ac" serialType="2"/>
      </m:item>
      <m:item xlName="_GBC_0965865fe56240ca9467fb856bda8c28" concept="clcid-pte:GuDingZiChanLeiJiZheJiuZengJiaXiangMuMingCheng1" label="固定资产累计折旧增加项目名称1" addr="T0R16C0S1_1" tagAction="1" formatStyle="Comma" appId="_GBC_dea1f620aab74d63b1372d831b5b450f" isSerialConcept="true" serialDirection="1" serialDefaultCount="2"/>
      <m:item xlName="_GBC_4f471bfa60bb4fd284527a4bd35a106e" concept="clcid-pte:GuDingZiChanLeiJiZheJiuZengJiaXiangMuJinE1" label="固定资产累计折旧增加项目金额1" mulRef="_GBC_563afa3e91c048118558af0713b1a1af" unitRef="_GBC_c5ecae448dd948eca54add973afbe77b" addr="T0R16C1S1_1" tagAction="1" formatStyle="Comma" tupleRef="clcid-pte:GuDingZiChanQingKuangMingXi" appId="_GBC_dea1f620aab74d63b1372d831b5b450f" isSerialConcept="true" serialDirection="1" serialDefaultCount="2"/>
      <m:item xlName="_GBC_de0f633422eb40198165dd44928b321c" concept="clcid-pte:GuDingZiChanLeiJiZheJiuZengJiaXiangMuHeJiJinE1" label="固定资产累计折旧增加项目合计金额1" mulRef="_GBC_563afa3e91c048118558af0713b1a1af" unitRef="_GBC_c5ecae448dd948eca54add973afbe77b" addr="T0R16C2S1_1" tagAction="1" formatStyle="Comma" appId="_GBC_dea1f620aab74d63b1372d831b5b450f" isSerialConcept="true" serialDirection="1" serialDefaultCount="2">
        <m:complexRule comparator="Eq" title="固定资产累计折旧增加项目合计金额1" disabled="true" test=" $_GBC_4f471bfa60bb4fd284527a4bd35a106e" id="C2f9d6fd328b0499ca9ef1faf873aad5a" serialType="2"/>
      </m:item>
      <m:placeholder xlName="_PLD_ec9558ad6e194439bc7519617b9fda17" addr="T0R17C0S1_1"/>
      <m:item xlName="_GBC_436c919be5634a12910f34cb543417d1" concept="clcid-pte:GuDingZiChanQingKuangMingXiLeiJiZheJiuBenQiJianShao" label="固定资产情况明细-累计折旧本期减少" mulRef="_GBC_563afa3e91c048118558af0713b1a1af" unitRef="_GBC_c5ecae448dd948eca54add973afbe77b" addr="T0R17C1S1_1" formatStyle="Comma" tupleRef="clcid-pte:GuDingZiChanQingKuangMingXi" appId="_GBC_dea1f620aab74d63b1372d831b5b450f">
        <m:complexRule comparator="Eq" title="固定资产情况明细-累计折旧本期减少" test=" $_GBC_d0e1df142f454c7c9246e13250e1d7ef +  $_GBC_0475795030724aa4838f00440a8fdfe1" id="C9ee668a1d36f4e4d954751ca1245e6a2" serialType="1"/>
      </m:item>
      <m:item xlName="_GBC_d065d08ab55a4db395c4907b80e3b47d" concept="clcid-pte:GuDingZiChanLeiJiZheJiuHeJiJianShaoShu" label="固定资产累计折旧减少数" mulRef="_GBC_563afa3e91c048118558af0713b1a1af" unitRef="_GBC_c5ecae448dd948eca54add973afbe77b" addr="T0R17C2S1_1" formatStyle="Comma" appId="_GBC_dea1f620aab74d63b1372d831b5b450f">
        <m:complexRule comparator="Eq" title="固定资产累计折旧减少数" test=" $_GBC_8d7e58021b6c42b19f7283487b61c9d9 +  $_GBC_11178a6044164f9abd685ae39ec93217" id="C8958ca8d279b4fff96f628b129fcff43" serialType="1"/>
        <m:complexRule comparator="Eq" title="固定资产累计折旧减少数横向合计" disabled="true" test=" $_GBC_436c919be5634a12910f34cb543417d1" id="Ca8b2ebad548c4ebc8d6b3a59ef2c2a08" serialType="2"/>
      </m:item>
      <m:placeholder xlName="_PLD_5ee3d83bd53d480fa0f8ca39eef2375d" addr="T0R18C0S1_1"/>
      <m:item xlName="_GBC_d0e1df142f454c7c9246e13250e1d7ef" concept="clcid-pte:GuDingZiChanQingKuangMingXiLeiJiZheJiuChuZhiHuoBaoFei" label="固定资产情况明细-累计折旧处置或报废" mulRef="_GBC_563afa3e91c048118558af0713b1a1af" unitRef="_GBC_c5ecae448dd948eca54add973afbe77b" addr="T0R18C1S1_1" formatStyle="Comma" tupleRef="clcid-pte:GuDingZiChanQingKuangMingXi" appId="_GBC_dea1f620aab74d63b1372d831b5b450f"/>
      <m:item xlName="_GBC_8d7e58021b6c42b19f7283487b61c9d9" concept="clcid-pte:ChuZhiHuoBaoFeiDaoZhiDeGuDingZiChanLeiJiZheJiuBenQiJianShaoHeJi" label="处置或报废导致的固定资产累计折旧本期减少合计" mulRef="_GBC_563afa3e91c048118558af0713b1a1af" unitRef="_GBC_c5ecae448dd948eca54add973afbe77b" addr="T0R18C2S1_1" formatStyle="Comma" appId="_GBC_dea1f620aab74d63b1372d831b5b450f">
        <m:complexRule comparator="Eq" title="处置或报废导致的固定资产累计折旧本期减少合计" disabled="true" test=" $_GBC_d0e1df142f454c7c9246e13250e1d7ef" id="C3f4a7e9501904914bdd83a8f0520159a" serialType="2"/>
      </m:item>
      <m:item xlName="_GBC_4c9ad176f9f549d79f1ea8e8285e4304" concept="clcid-pte:GuDingZiChanLeiJiZheJiuJianShaoXiangMuMingCheng1" label="固定资产累计折旧减少项目名称1" addr="T0R19C0S1_1" tagAction="1" formatStyle="Comma" appId="_GBC_dea1f620aab74d63b1372d831b5b450f" isSerialConcept="true" serialDirection="1" serialDefaultCount="2"/>
      <m:item xlName="_GBC_0475795030724aa4838f00440a8fdfe1" concept="clcid-pte:GuDingZiChanLeiJiZheJiuJianShaoXiangMuJinE1" label="固定资产累计折旧减少项目金额1" mulRef="_GBC_563afa3e91c048118558af0713b1a1af" unitRef="_GBC_c5ecae448dd948eca54add973afbe77b" addr="T0R19C1S1_1" tagAction="1" formatStyle="Comma" tupleRef="clcid-pte:GuDingZiChanQingKuangMingXi" appId="_GBC_dea1f620aab74d63b1372d831b5b450f" isSerialConcept="true" serialDirection="1" serialDefaultCount="2"/>
      <m:item xlName="_GBC_11178a6044164f9abd685ae39ec93217" concept="clcid-pte:GuDingZiChanLeiJiZheJiuJianShaoXiangMuHeJiJinE1" label="固定资产累计折旧减少项目合计金额1" mulRef="_GBC_563afa3e91c048118558af0713b1a1af" unitRef="_GBC_c5ecae448dd948eca54add973afbe77b" addr="T0R19C2S1_1" tagAction="1" formatStyle="Comma" appId="_GBC_dea1f620aab74d63b1372d831b5b450f" isSerialConcept="true" serialDirection="1" serialDefaultCount="2">
        <m:complexRule comparator="Eq" title="固定资产累计折旧减少项目合计金额1" disabled="true" test=" $_GBC_0475795030724aa4838f00440a8fdfe1" id="C7e136d1b56dd4c7082ddbc5757076e57" serialType="2"/>
      </m:item>
      <m:placeholder xlName="_PLD_6eaa2035e58e4e21885400a2e0bb3a60" addr="T0R20C0S1_1"/>
      <m:item xlName="_GBC_1db984dbce634ada8b937a03368ec0a0" concept="clcid-pte:GuDingZiChanQingKuangMingXiLeiJiZheJiu" label="固定资产情况明细-累计折旧" mulRef="_GBC_563afa3e91c048118558af0713b1a1af" unitRef="_GBC_c5ecae448dd948eca54add973afbe77b" addr="T0R20C1S1_1" formatStyle="Comma" tupleRef="clcid-pte:GuDingZiChanQingKuangMingXi" appId="_GBC_dea1f620aab74d63b1372d831b5b450f">
        <m:complexRule comparator="Eq" title="固定资产情况明细-累计折旧" test=" $_GBC_ad39a009e8014af3978c2943b2c9ca11 +  $_GBC_ee69c5ac0bca40419ac231cd08138a9c -  $_GBC_436c919be5634a12910f34cb543417d1" id="C051b537cf3a847ab94e33340cbb69a34"/>
      </m:item>
      <m:item xlName="_GBC_c9387c26f97342eeae8ebab93c3854f5" concept="clcid-pte:LeiJiZheJiu" label="累计折旧" mulRef="_GBC_563afa3e91c048118558af0713b1a1af" unitRef="_GBC_c5ecae448dd948eca54add973afbe77b" addr="T0R20C2S1_1" formatStyle="Comma" appId="_GBC_dea1f620aab74d63b1372d831b5b450f">
        <m:complexRule comparator="Eq" title="累计折旧" test=" $_GBC_7b3686383a1f4fc3ace0f36e24be6558 +  $_GBC_40a3bbb5a0ed47a086f18b27e8d533f4 -  $_GBC_d065d08ab55a4db395c4907b80e3b47d" id="C09a280fe896146999f7309f66ecf08c7"/>
        <m:complexRule comparator="Eq" title="累计折旧横向合计" disabled="true" test=" $_GBC_1db984dbce634ada8b937a03368ec0a0" id="Cc07c122a6baf4adfb75709e2f4d4ce7f" serialType="2"/>
      </m:item>
      <m:placeholder xlName="_PLD_662c84047b6d41648e46d047cc9b134a" addr="T0R21C0S1_1"/>
      <m:placeholder xlName="_PLD_ca34fab5808d492588c9f9773f2bb656" addr="T0R22C0S1_1"/>
      <m:item xlName="_GBC_e5bec7f4c39c42f6a24e75d5b5c93c1a" concept="clcid-pte:GuDingZiChanQingKuangMingXiJianZhiZhunBei" label="固定资产情况明细-减值准备" periodRef="本期期初数" mulRef="_GBC_563afa3e91c048118558af0713b1a1af" unitRef="_GBC_c5ecae448dd948eca54add973afbe77b" addr="T0R22C1S1_1" formatStyle="Comma" tupleRef="clcid-pte:GuDingZiChanQingKuangMingXi" appId="_GBC_dea1f620aab74d63b1372d831b5b450f"/>
      <m:item xlName="_GBC_447390a2687d47609551e0b23667a7c4" concept="clcid-pte:GuDingZiChanJianZhiZhunBei" label="固定资产减值准备" periodRef="本期期初数" mulRef="_GBC_563afa3e91c048118558af0713b1a1af" unitRef="_GBC_c5ecae448dd948eca54add973afbe77b" addr="T0R22C2S1_1" formatStyle="Comma" appId="_GBC_dea1f620aab74d63b1372d831b5b450f">
        <m:complexRule comparator="Eq" title="固定资产减值准备@本期期初数" disabled="true" test=" $_GBC_e5bec7f4c39c42f6a24e75d5b5c93c1a" id="C8aa0d64e85f84ec49587f7ae6007f5dc" serialType="2"/>
      </m:item>
      <m:placeholder xlName="_PLD_558d8ea305db4595a0aa4db4612e68ec" addr="T0R23C0S1_1"/>
      <m:item xlName="_GBC_f792b674da2540b8a21ccb5996caa3be" concept="clcid-pte:GuDingZiChanQingKuangMingXiJianZhiZhunBeiBenQiZengJia" label="固定资产情况明细-减值准备本期增加" mulRef="_GBC_563afa3e91c048118558af0713b1a1af" unitRef="_GBC_c5ecae448dd948eca54add973afbe77b" addr="T0R23C1S1_1" formatStyle="Comma" tupleRef="clcid-pte:GuDingZiChanQingKuangMingXi" appId="_GBC_dea1f620aab74d63b1372d831b5b450f">
        <m:complexRule comparator="Eq" title="固定资产情况明细-减值准备本期增加" test=" $_GBC_787ca8b9655148c68a386b2f4ce1a6f0 +  $_GBC_f55c18250a6d4260aa1a4fc716b81fe1" id="C03f39e0f100d4e088dd5a02a09a7c83f" serialType="1"/>
      </m:item>
      <m:item xlName="_GBC_c9d1a31c42d0477ab8acf3b0ee132488" concept="clcid-pte:GuDingZiChanJianZhiZhunBeiBenQiZengJiaHeJi" label="固定资产减值准备本期增加合计" mulRef="_GBC_563afa3e91c048118558af0713b1a1af" unitRef="_GBC_c5ecae448dd948eca54add973afbe77b" addr="T0R23C2S1_1" formatStyle="Comma" appId="_GBC_dea1f620aab74d63b1372d831b5b450f">
        <m:complexRule comparator="Eq" title="固定资产减值准备本期增加合计" test=" $_GBC_92eff5eaacb94df1822880094b921013 +  $_GBC_88047d8723a840e3b605e1a8a9eb2480" id="C0be79b31151f4145ac2bbbba0494226d" serialType="1"/>
        <m:complexRule comparator="Eq" title="固定资产减值准备本期增加合计横向合计" test=" $_GBC_f792b674da2540b8a21ccb5996caa3be" id="C3e62e390e86947c8a9845b61f754e47a"/>
      </m:item>
      <m:placeholder xlName="_PLD_433ae6be63a842f9b3c972bb56b0616a" addr="T0R24C0S1_1"/>
      <m:item xlName="_GBC_787ca8b9655148c68a386b2f4ce1a6f0" concept="clcid-pte:GuDingZiChanQingKuangMingXiJianZhiZhunBeiJiTi" label="固定资产情况明细-减值准备计提" mulRef="_GBC_563afa3e91c048118558af0713b1a1af" unitRef="_GBC_c5ecae448dd948eca54add973afbe77b" addr="T0R24C1S1_1" formatStyle="Comma" tupleRef="clcid-pte:GuDingZiChanQingKuangMingXi" appId="_GBC_dea1f620aab74d63b1372d831b5b450f"/>
      <m:item xlName="_GBC_92eff5eaacb94df1822880094b921013" concept="clcid-pte:JiTiDaoZhiDeGuDingZiChanJianZhiZhunBeiBenQiZengJiaHeJi" label="计提导致的固定资产减值准备本期增加合计" mulRef="_GBC_563afa3e91c048118558af0713b1a1af" unitRef="_GBC_c5ecae448dd948eca54add973afbe77b" addr="T0R24C2S1_1" formatStyle="Comma" appId="_GBC_dea1f620aab74d63b1372d831b5b450f">
        <m:complexRule comparator="Eq" title="计提导致的固定资产减值准备本期增加合计" test=" $_GBC_787ca8b9655148c68a386b2f4ce1a6f0" id="C1a3f2913261947f49489840413b921fa"/>
      </m:item>
      <m:item xlName="_GBC_cd4874649a714a85b3aaac58f235f408" concept="clcid-pte:GuDingZiChanJianZhiZhunBeiZengJiaXiangMuMingCheng1" label="固定资产减值准备增加项目名称1" addr="T0R25C0S1_1" tagAction="1" formatStyle="Comma" appId="_GBC_dea1f620aab74d63b1372d831b5b450f" isSerialConcept="true" serialDirection="1" serialDefaultCount="2"/>
      <m:item xlName="_GBC_f55c18250a6d4260aa1a4fc716b81fe1" concept="clcid-pte:GuDingZiChanJianZhiZhunBeiZengJiaXiangMuJinE1" label="固定资产减值准备增加项目金额1" mulRef="_GBC_563afa3e91c048118558af0713b1a1af" unitRef="_GBC_c5ecae448dd948eca54add973afbe77b" addr="T0R25C1S1_1" tagAction="1" formatStyle="Comma" tupleRef="clcid-pte:GuDingZiChanQingKuangMingXi" appId="_GBC_dea1f620aab74d63b1372d831b5b450f" isSerialConcept="true" serialDirection="1" serialDefaultCount="2"/>
      <m:item xlName="_GBC_88047d8723a840e3b605e1a8a9eb2480" concept="clcid-pte:GuDingZiChanJianZhiZhunBeiZengJiaXiangMuHeJiJinE1" label="固定资产减值准备增加项目合计金额1" mulRef="_GBC_563afa3e91c048118558af0713b1a1af" unitRef="_GBC_c5ecae448dd948eca54add973afbe77b" addr="T0R25C2S1_1" tagAction="1" formatStyle="Comma" appId="_GBC_dea1f620aab74d63b1372d831b5b450f" isSerialConcept="true" serialDirection="1" serialDefaultCount="2">
        <m:complexRule comparator="Eq" title="固定资产减值准备增加项目合计金额1" disabled="true" test=" $_GBC_f55c18250a6d4260aa1a4fc716b81fe1" id="C35b340b366c94406a6e9bfb26c4055e0" serialType="2"/>
      </m:item>
      <m:placeholder xlName="_PLD_9f06e7f0e71e4a3aa190d3fcd09490fc" addr="T0R26C0S1_1"/>
      <m:item xlName="_GBC_dd439d9aabf14fb5b93b63090baf5a41" concept="clcid-pte:GuDingZiChanQingKuangMingXiJianZhiZhunBeiBenQiJianShao" label="固定资产情况明细-减值准备本期减少" mulRef="_GBC_563afa3e91c048118558af0713b1a1af" unitRef="_GBC_c5ecae448dd948eca54add973afbe77b" addr="T0R26C1S1_1" formatStyle="Comma" tupleRef="clcid-pte:GuDingZiChanQingKuangMingXi" appId="_GBC_dea1f620aab74d63b1372d831b5b450f">
        <m:complexRule comparator="Eq" title="固定资产情况明细-减值准备本期减少" test=" $_GBC_42880e0006ba4dea89bba29698a138f8 +  $_GBC_0fab043e13824e84b5ce3df5dc1f6117" id="Cecace7ba23c14d8bb55178f49837957f"/>
      </m:item>
      <m:item xlName="_GBC_f17bf994396741afbdf5ee6310d56f38" concept="clcid-pte:GuDingZiChanJianZhiZhunBeiBenQiJianShaoHeJi" label="固定资产减值准备本期减少合计" mulRef="_GBC_563afa3e91c048118558af0713b1a1af" unitRef="_GBC_c5ecae448dd948eca54add973afbe77b" addr="T0R26C2S1_1" formatStyle="Comma" appId="_GBC_dea1f620aab74d63b1372d831b5b450f">
        <m:complexRule comparator="Eq" title="固定资产减值准备本期减少合计" test=" $_GBC_4c170bb042a44bc3b50be1e0f65c410a +  $_GBC_f2b67b2f05f642f1a1a4741a8fd1878c" id="C8890ace6d36e4546956f4131fd6f2afc" serialType="1"/>
        <m:complexRule comparator="Eq" title="固定资产减值准备本期减少合计横向合计" test=" $_GBC_dd439d9aabf14fb5b93b63090baf5a41" id="C9c851e529715438fba04166ec9add673"/>
      </m:item>
      <m:placeholder xlName="_PLD_27997f63b30343a4a13f2ee412af0eba" addr="T0R27C0S1_1"/>
      <m:item xlName="_GBC_42880e0006ba4dea89bba29698a138f8" concept="clcid-pte:GuDingZiChanQingKuangMingXiJianZhiZhunBeiChuZhiHuoBaoFei" label="固定资产情况明细-减值准备处置或报废" mulRef="_GBC_563afa3e91c048118558af0713b1a1af" unitRef="_GBC_c5ecae448dd948eca54add973afbe77b" addr="T0R27C1S1_1" formatStyle="Comma" tupleRef="clcid-pte:GuDingZiChanQingKuangMingXi" appId="_GBC_dea1f620aab74d63b1372d831b5b450f"/>
      <m:item xlName="_GBC_4c170bb042a44bc3b50be1e0f65c410a" concept="clcid-pte:ChuZhiHuoBaoFeiDaoZhiDeGuDingZiChanJianZhiZhunBeiBenQiJianShaoHeJi" label="处置或报废导致的固定资产减值准备本期减少合计" mulRef="_GBC_563afa3e91c048118558af0713b1a1af" unitRef="_GBC_c5ecae448dd948eca54add973afbe77b" addr="T0R27C2S1_1" formatStyle="Comma" appId="_GBC_dea1f620aab74d63b1372d831b5b450f">
        <m:complexRule comparator="Eq" title="处置或报废导致的固定资产减值准备本期减少合计" disabled="true" test=" $_GBC_42880e0006ba4dea89bba29698a138f8" id="Cdaf3f61baa844d969525f6b6ddbcb7f2" serialType="2"/>
      </m:item>
      <m:item xlName="_GBC_93191e5a7f9541baa313dc06935eacfa" concept="clcid-pte:GuDingZiChanJianZhiZhunBeiJianShaoXiangMuMingCheng1" label="固定资产减值准备减少项目名称1" addr="T0R28C0S1_1" tagAction="1" formatStyle="Comma" appId="_GBC_dea1f620aab74d63b1372d831b5b450f" isSerialConcept="true" serialDirection="1" serialDefaultCount="2"/>
      <m:item xlName="_GBC_0fab043e13824e84b5ce3df5dc1f6117" concept="clcid-pte:GuDingZiChanJianZhiZhunBeiJianShaoXiangMuJinE1" label="固定资产减值准备减少项目金额1" mulRef="_GBC_563afa3e91c048118558af0713b1a1af" unitRef="_GBC_c5ecae448dd948eca54add973afbe77b" addr="T0R28C1S1_1" tagAction="1" formatStyle="Comma" tupleRef="clcid-pte:GuDingZiChanQingKuangMingXi" appId="_GBC_dea1f620aab74d63b1372d831b5b450f" isSerialConcept="true" serialDirection="1" serialDefaultCount="2"/>
      <m:item xlName="_GBC_f2b67b2f05f642f1a1a4741a8fd1878c" concept="clcid-pte:GuDingZiChanJianZhiZhunBeiJianShaoXiangMuHeJiJinE1" label="固定资产减值准备减少项目合计金额1" mulRef="_GBC_563afa3e91c048118558af0713b1a1af" unitRef="_GBC_c5ecae448dd948eca54add973afbe77b" addr="T0R28C2S1_1" tagAction="1" formatStyle="Comma" appId="_GBC_dea1f620aab74d63b1372d831b5b450f" isSerialConcept="true" serialDirection="1" serialDefaultCount="2">
        <m:complexRule comparator="Eq" title="固定资产减值准备减少项目合计金额1" disabled="true" test=" $_GBC_0fab043e13824e84b5ce3df5dc1f6117" id="Cb0b8daad82e14a75a452148138cdcbc0" serialType="2"/>
      </m:item>
      <m:placeholder xlName="_PLD_a3e5577c50494e858eeb7a95a5b17653" addr="T0R29C0S1_1"/>
      <m:item xlName="_GBC_0b7fdd62fa294d7786d1bb9ab92b6c87" concept="clcid-pte:GuDingZiChanQingKuangMingXiJianZhiZhunBei" label="固定资产情况明细-减值准备" mulRef="_GBC_563afa3e91c048118558af0713b1a1af" unitRef="_GBC_c5ecae448dd948eca54add973afbe77b" addr="T0R29C1S1_1" formatStyle="Comma" tupleRef="clcid-pte:GuDingZiChanQingKuangMingXi" appId="_GBC_dea1f620aab74d63b1372d831b5b450f">
        <m:complexRule comparator="Eq" title="固定资产情况明细-减值准备" test=" $_GBC_e5bec7f4c39c42f6a24e75d5b5c93c1a +  $_GBC_f792b674da2540b8a21ccb5996caa3be -  $_GBC_dd439d9aabf14fb5b93b63090baf5a41" id="Ce088f54133b64a558dcadbf9a3495e11"/>
      </m:item>
      <m:item xlName="_GBC_4e82c161f0154c69b7650cabb7a5afad" concept="clcid-pte:GuDingZiChanJianZhiZhunBei" label="固定资产减值准备" mulRef="_GBC_563afa3e91c048118558af0713b1a1af" unitRef="_GBC_c5ecae448dd948eca54add973afbe77b" addr="T0R29C2S1_1" formatStyle="Comma" appId="_GBC_dea1f620aab74d63b1372d831b5b450f">
        <m:complexRule comparator="Eq" title="固定资产减值准备" test=" $_GBC_447390a2687d47609551e0b23667a7c4 +  $_GBC_c9d1a31c42d0477ab8acf3b0ee132488 -  $_GBC_f17bf994396741afbdf5ee6310d56f38" id="Ccf3d83a7d2cf4352bd639504e88f0cd6"/>
        <m:complexRule comparator="Eq" title="固定资产减值准备横向合计" disabled="true" test=" $_GBC_0b7fdd62fa294d7786d1bb9ab92b6c87" id="Cf7131e72e53e4da592701d72f313fb5a" serialType="2"/>
      </m:item>
      <m:placeholder xlName="_PLD_bea29c32f5204124a483fa6e274ca7df" addr="T0R30C0S1_1"/>
      <m:placeholder xlName="_PLD_0cb15efd736e4fb48f835ee67e79495e" addr="T0R31C0S1_1"/>
      <m:item xlName="_GBC_168316aba1ef465484d8dc876dd10dbe" concept="clcid-pte:GuDingZiChanQingKuangMingXiZhangMianJiaZhi" label="固定资产情况明细-账面价值" mulRef="_GBC_563afa3e91c048118558af0713b1a1af" unitRef="_GBC_c5ecae448dd948eca54add973afbe77b" addr="T0R31C1S1_1" formatStyle="Comma" tupleRef="clcid-pte:GuDingZiChanQingKuangMingXi" appId="_GBC_dea1f620aab74d63b1372d831b5b450f"/>
      <m:item xlName="_GBC_103b4437bf3049c6b906939270e77728" concept="clcid-pte:GuDingZiChanHeJi" label="固定资产合计" mulRef="_GBC_563afa3e91c048118558af0713b1a1af" unitRef="_GBC_c5ecae448dd948eca54add973afbe77b" addr="T0R31C2S1_1" formatStyle="Comma" appId="_GBC_dea1f620aab74d63b1372d831b5b450f">
        <m:complexRule comparator="Eq" title="固定资产净额" disabled="true" test=" $_GBC_168316aba1ef465484d8dc876dd10dbe" id="C1ff8ca5de2914890b4f83511617a317d" serialType="2"/>
      </m:item>
      <m:placeholder xlName="_PLD_0a70238af5ae41dda386e3180cb5ac13" addr="T0R32C0S1_1"/>
      <m:item xlName="_GBC_9c84846127284c01a018f29e304736b5" concept="clcid-pte:GuDingZiChanQingKuangMingXiZhangMianJiaZhi" label="固定资产情况明细-账面价值" periodRef="本期期初数" mulRef="_GBC_563afa3e91c048118558af0713b1a1af" unitRef="_GBC_c5ecae448dd948eca54add973afbe77b" addr="T0R32C1S1_1" formatStyle="Comma" tupleRef="clcid-pte:GuDingZiChanQingKuangMingXi" appId="_GBC_dea1f620aab74d63b1372d831b5b450f"/>
      <m:item xlName="_GBC_51f53c66f9f6487e9d52c830e591b9e4" concept="clcid-pte:GuDingZiChanHeJi" label="固定资产合计" periodRef="本期期初数" mulRef="_GBC_563afa3e91c048118558af0713b1a1af" unitRef="_GBC_c5ecae448dd948eca54add973afbe77b" addr="T0R32C2S1_1" formatStyle="Comma" appId="_GBC_dea1f620aab74d63b1372d831b5b450f">
        <m:complexRule comparator="Eq" title="固定资产净额@本期期初数" disabled="true" test=" $_GBC_9c84846127284c01a018f29e304736b5" id="Cb151ee5499444fe1af8045992a9bc036" serialType="2"/>
      </m:item>
      <m:virtualTuples>
        <m:virtualTuple id="bdf0d8d4-7913-40b3-bfd4-fd60241cfc86" tupleRef="clcid-pte:GuDingZiChanQingKuangMingXi" defaultRows="4" extendDirection="2" splitWidth="1"/>
      </m:virtualTuples>
    </m:section>
    <m:section xlName="_GBC_77e89169b7ab4fccae8cff3d8a125711" title="暂时闲置的固定资产情况" rules="R2015_R11_012" convertSummaryRule="NoConvert" helpId="112001065">
      <m:item xlName="_GBC_ca31f29118c7481f95f99a2655f8c1e1" concept="clcid-ci-ar:ShiFouShiYongZanShiXianZhiDeGuDingZiChanQingKuang" label="是否适用：暂时闲置的固定资产情况" selectOptions="_buildInAppliance" controlType="CustomCheckbox" cRanges="{&quot;StartName&quot;:&quot;_GBC_ca31f29118c7481f95f99a2655f8c1e1&quot;,&quot;EndName&quot;:&quot;_GBC_b44fc9116cba4925ad60bffd4855d393&quot;,&quot;CType&quot;:1,&quot;DisplayText&quot;:null}"/>
      <m:item xlName="_GBC_c0d208db81a447e9b9949f2b175cba30" concept="clcid-ci-ar:DanWeiCaiWuFuZhuZanShiXianZhiDeGuDingZiChanQingKuang" label="单位：财务附注：暂时闲置的固定资产情况" selectOptions="_buildInScales" controlType="Combobox" cellType="Scale" appId="_GBC_ca31f29118c7481f95f99a2655f8c1e1"/>
      <m:item xlName="_GBC_fbf07452daf745ea899de2cbc824ee75" concept="clcid-ci-ar:BiZhongCaiWuFuZhuZanShiXianZhiDeGuDingZiChanQingKuang" label="币种：财务附注：暂时闲置的固定资产情况" selectOptions="_buildInISO4217" controlType="Combobox" cellType="Measure" appId="_GBC_ca31f29118c7481f95f99a2655f8c1e1"/>
      <m:placeholder xlName="_PLD_e479b4fdefbf45068660c7df7422a5de" addr="T0R0C0S1_1"/>
      <m:placeholder xlName="_PLD_36daf085717e46eeb45863dfb97acc67" addr="T0R0C1S1_1"/>
      <m:placeholder xlName="_PLD_c01cccda6baa4a75a8e3f067e68a603e" addr="T0R0C2S1_1"/>
      <m:placeholder xlName="_PLD_3bce2223595140b489f9e15ef462c5ba" addr="T0R0C3S1_1"/>
      <m:placeholder xlName="_PLD_363b3c8e5d5d43a580d7bab508a70591" addr="T0R0C4S1_1"/>
      <m:placeholder xlName="_PLD_4a9bf932f0004f76987b4db5cef576e2" addr="T0R0C5S1_1"/>
      <m:tuple xlName="_GBC_62ededd5d71043b28231a5afe44f6376" concept="clcid-pte:ZanShiXianZhiDeGuDingZiChanMingXi" default_row="2" addr="T0R1C">
        <m:item xlName="_GBC_72c11d4109bb41abb98037f1152a0351" concept="clcid-pte:ZanShiXianZhiDeGuDingZiChanMingXiXiangMu" label="暂时闲置的固定资产明细－项目" addr="T0R1C0S1_1" cellConvertType="1" appId="_GBC_ca31f29118c7481f95f99a2655f8c1e1"/>
        <m:item xlName="_GBC_322928f40b8e4ca58d7021b77b401f7f" concept="clcid-pte:ZanShiXianZhiDeGuDingZiChanMingXiZhangMianYuanZhi" label="暂时闲置的固定资产明细－账面原值" mulRef="_GBC_c0d208db81a447e9b9949f2b175cba30" unitRef="_GBC_fbf07452daf745ea899de2cbc824ee75" addr="T0R1C1S1_1" formatStyle="Comma" appId="_GBC_ca31f29118c7481f95f99a2655f8c1e1"/>
        <m:item xlName="_GBC_ec8550e1302a4f5ca18cba46e74fc382" concept="clcid-pte:ZanShiXianZhiDeGuDingZiChanMingXiLeiJiZheJiu" label="暂时闲置的固定资产明细－累计折旧" mulRef="_GBC_c0d208db81a447e9b9949f2b175cba30" unitRef="_GBC_fbf07452daf745ea899de2cbc824ee75" addr="T0R1C2S1_1" formatStyle="Comma" appId="_GBC_ca31f29118c7481f95f99a2655f8c1e1"/>
        <m:item xlName="_GBC_8b76b554219846f6afd35d84facbf8bd" concept="clcid-pte:ZanShiXianZhiDeGuDingZiChanMingXiJianZhiZhunBei" label="暂时闲置的固定资产明细－减值准备" mulRef="_GBC_c0d208db81a447e9b9949f2b175cba30" unitRef="_GBC_fbf07452daf745ea899de2cbc824ee75" addr="T0R1C3S1_1" formatStyle="Comma" appId="_GBC_ca31f29118c7481f95f99a2655f8c1e1"/>
        <m:item xlName="_GBC_88d50abf001a45d282ea7fa88a0c17ba" concept="clcid-pte:ZanShiXianZhiDeGuDingZiChanMingXiZhangMianJingZhi" label="暂时闲置的固定资产明细－账面净值" mulRef="_GBC_c0d208db81a447e9b9949f2b175cba30" unitRef="_GBC_fbf07452daf745ea899de2cbc824ee75" addr="T0R1C4S1_1" formatStyle="Comma" appId="_GBC_ca31f29118c7481f95f99a2655f8c1e1"/>
        <m:item xlName="_GBC_b44fc9116cba4925ad60bffd4855d393" concept="clcid-pte:ZanShiXianZhiDeGuDingZiChanMingXiBeiZhu" label="暂时闲置的固定资产明细－备注" addr="T0R1C5S1_1" appId="_GBC_ca31f29118c7481f95f99a2655f8c1e1"/>
      </m:tuple>
    </m:section>
    <m:section xlName="_GBC_f8dc7bf0df9345f6a1581560999dd4d8" title="通过融资租赁租入的固定资产情况" rules="R2015_R11_012" convertSummaryRule="NoConvert" helpId="112001065" helpText="未执行新租赁准则的公司填写。">
      <m:item xlName="_GBC_17a138c76e604d1b9b48d7c64e72801d" concept="clcid-ci-ar:ShiFouShiYongTongGuoRongZiZuLinZuRuDeGuDingZiChanQingKuang" label="是否适用：通过融资租赁租入的固定资产情况" selectOptions="_buildInAppliance" controlType="CustomCheckbox" cRanges="{&quot;StartName&quot;:&quot;_GBC_17a138c76e604d1b9b48d7c64e72801d&quot;,&quot;EndName&quot;:&quot;_GBC_41c985bf6bb544f2a52a62951431e0e0&quot;,&quot;CType&quot;:1,&quot;DisplayText&quot;:null}"/>
      <m:item xlName="_GBC_20f5a1a209bf4da283677bc136e9eb76" concept="clcid-ci-ar:DanWeiCaiWuFuZhuTongGuoRongZiZuLinZuRuDeGuDingZiChanQingKuang" label="单位：财务附注：通过融资租赁租入的固定资产情况" selectOptions="_buildInScales" controlType="Combobox" cellType="Scale" appId="_GBC_17a138c76e604d1b9b48d7c64e72801d"/>
      <m:item xlName="_GBC_61f5e799747849ffbc16a7445a77d5d0" concept="clcid-ci-ar:BiZhongCaiWuFuZhuTongGuoRongZiZuLinZuRuDeGuDingZiChanQingKuang" label="币种：财务附注：通过融资租赁租入的固定资产情况" selectOptions="_buildInISO4217" controlType="Combobox" cellType="Measure" appId="_GBC_17a138c76e604d1b9b48d7c64e72801d"/>
      <m:placeholder xlName="_PLD_c6e2e4e23455496988b4b40156a3feb7" addr="T0R0C0S1_1"/>
      <m:placeholder xlName="_PLD_8cc9fd8c4ada481dbdf82a92bad693f9" addr="T0R0C1S1_1"/>
      <m:placeholder xlName="_PLD_217b44922b3042a1a80aedcbaef6d999" addr="T0R0C2S1_1"/>
      <m:placeholder xlName="_PLD_d828ca1e374045efa22c2869391c64d6" addr="T0R0C3S1_1"/>
      <m:placeholder xlName="_PLD_488ad46226e14664b08b36f4eac001e7" addr="T0R0C4S1_1"/>
      <m:tuple xlName="_GBC_31f95938ec054b67bbdbd5f74586568f" concept="clcid-pte:TongGuoRongZiZuLinZuRuDeDeGuDingZiChanMingXi" default_row="2" addr="T0R1C">
        <m:item xlName="_GBC_09f5dee951f14e4bb7584ea122c3371f" concept="clcid-pte:TongGuoRongZiZuLinZuRuDeDeGuDingZiChanMingXiXiangMu" label="通过融资租赁租入的的固定资产明细－项目" addr="T0R1C0S1_1" cellConvertType="1" appId="_GBC_17a138c76e604d1b9b48d7c64e72801d"/>
        <m:item xlName="_GBC_af80922f4ebe48218ffe98ea29310e40" concept="clcid-pte:TongGuoRongZiZuLinZuRuDeDeGuDingZiChanMingXiZhangMianYuanZhi" label="通过融资租赁租入的的固定资产明细－账面原值" mulRef="_GBC_20f5a1a209bf4da283677bc136e9eb76" unitRef="_GBC_61f5e799747849ffbc16a7445a77d5d0" addr="T0R1C1S1_1" formatStyle="Comma" appId="_GBC_17a138c76e604d1b9b48d7c64e72801d"/>
        <m:item xlName="_GBC_743703eab5464c849adf3576aa0df22b" concept="clcid-pte:TongGuoRongZiZuLinZuRuDeDeGuDingZiChanMingXiLeiJiZheJiu" label="通过融资租赁租入的的固定资产明细－累计折旧" mulRef="_GBC_20f5a1a209bf4da283677bc136e9eb76" unitRef="_GBC_61f5e799747849ffbc16a7445a77d5d0" addr="T0R1C2S1_1" formatStyle="Comma" appId="_GBC_17a138c76e604d1b9b48d7c64e72801d"/>
        <m:item xlName="_GBC_81c5d5150271458fa8d6d9ac5ac217ce" concept="clcid-pte:TongGuoRongZiZuLinZuRuDeDeGuDingZiChanMingXiJianZhiZhunBei" label="通过融资租赁租入的的固定资产明细－减值准备" mulRef="_GBC_20f5a1a209bf4da283677bc136e9eb76" unitRef="_GBC_61f5e799747849ffbc16a7445a77d5d0" addr="T0R1C3S1_1" formatStyle="Comma" appId="_GBC_17a138c76e604d1b9b48d7c64e72801d"/>
        <m:item xlName="_GBC_41c985bf6bb544f2a52a62951431e0e0" concept="clcid-pte:TongGuoRongZiZuLinZuRuDeDeGuDingZiChanMingXiZhangMianJingZhi" label="通过融资租赁租入的的固定资产明细－账面净值" mulRef="_GBC_20f5a1a209bf4da283677bc136e9eb76" unitRef="_GBC_61f5e799747849ffbc16a7445a77d5d0" addr="T0R1C4S1_1" formatStyle="Comma" appId="_GBC_17a138c76e604d1b9b48d7c64e72801d"/>
      </m:tuple>
    </m:section>
    <m:section xlName="_GBC_06e38c241c8a43a99fdd68c92888bab1" title="通过经营租赁租出的固定资产" rules="R2015_R11_012" helpId="112001065" helpText="未执行新租赁准则的公司填写。">
      <m:item xlName="_GBC_251e1c74f40b47869d759974b0f6a463" concept="clcid-ci-ar:ShiFouShiYongTongGuoJingYingZuLinZuChuDeGuDingZiChan" label="是否适用：通过经营租赁租出的固定资产" selectOptions="_buildInAppliance" controlType="CustomCheckbox" cRanges="{&quot;StartName&quot;:&quot;_GBC_251e1c74f40b47869d759974b0f6a463&quot;,&quot;EndName&quot;:&quot;_GBC_d9afd0ea2f524787b2d92b302b28c680&quot;,&quot;CType&quot;:1,&quot;DisplayText&quot;:null}"/>
      <m:item xlName="_GBC_a1b158033c164dbe8e4b29749873c766" concept="clcid-ci-ar:DanWeiCaiWuFuZhuTongGuoJingYingZuLinZuChuDeGuDingZiChan" label="单位：财务附注：通过经营租赁租出的固定资产" selectOptions="_buildInScales" controlType="Combobox" cellType="Scale" appId="_GBC_251e1c74f40b47869d759974b0f6a463"/>
      <m:item xlName="_GBC_e4a5a39e4afb42bc8f9ecc37f1fd4c4b" concept="clcid-ci-ar:BiZhongCaiWuFuZhuTongGuoJingYingZuLinZuChuDeGuDingZiChan" label="币种：财务附注：通过经营租赁租出的固定资产" selectOptions="_buildInISO4217" controlType="Combobox" cellType="Measure" appId="_GBC_251e1c74f40b47869d759974b0f6a463"/>
      <m:placeholder xlName="_PLD_8eb604de598c4a599cc90a86ae48c29e" addr="T0R0C0S1_1"/>
      <m:placeholder xlName="_PLD_87828bb122d64d2db1a342511bbbf1d2" addr="T0R0C1S1_1"/>
      <m:tuple xlName="_GBC_1054aa1f769943fd9ad29c6bcb27e5a1" concept="clcid-pte:TongGuoJingYingZuLinZuChuDeDeGuDingZiChanMingXi" default_row="2" addr="T0R1C">
        <m:item xlName="_GBC_0b4bcd07d75e4feba894c4fb60ab7b78" concept="clcid-pte:TongGuoJingYingZuLinZuChuDeDeGuDingZiChanMingXiXiangMu" label="通过经营租赁租出的的固定资产明细－项目" addr="T0R1C0S1_1" cellConvertType="1" appId="_GBC_251e1c74f40b47869d759974b0f6a463"/>
        <m:item xlName="_GBC_d9afd0ea2f524787b2d92b302b28c680" concept="clcid-pte:TongGuoJingYingZuLinZuChuDeDeGuDingZiChanMingXiZhangMianJiaZhi" label="通过经营租赁租出的的固定资产明细－账面价值" mulRef="_GBC_a1b158033c164dbe8e4b29749873c766" unitRef="_GBC_e4a5a39e4afb42bc8f9ecc37f1fd4c4b" addr="T0R1C1S1_1" formatStyle="Comma" appId="_GBC_251e1c74f40b47869d759974b0f6a463"/>
      </m:tuple>
    </m:section>
    <m:section xlName="_GBC_5b357259936442c38f67f17b533c7085" title="未办妥产权证书的固定资产情况" rules="R2015_R11_012" convertSummaryRule="NoConvert" helpId="112001065">
      <m:item xlName="_GBC_a26aa363313e4c8fbedf9041cd41bfc9" concept="clcid-ci-ar:ShiFouShiYongWeiBanTuoChanQuanZhengShuDeGuDingZiChanQingKuang" label="是否适用：未办妥产权证书的固定资产情况" selectOptions="_buildInAppliance" controlType="CustomCheckbox" cRanges="{&quot;StartName&quot;:&quot;_GBC_a26aa363313e4c8fbedf9041cd41bfc9&quot;,&quot;EndName&quot;:&quot;_GBC_c5fad4ac76d14989bb9187b7f3a46bda&quot;,&quot;CType&quot;:1,&quot;DisplayText&quot;:null}"/>
      <m:item xlName="_GBC_b7780eb99c5c47be9731dc6ebe1dea77" concept="clcid-ci-ar:DanWeiCaiWuFuZhuWeiBanTuoChanQuanZhengShuDeGuDingZiChanQingKuang" label="单位：财务附注：未办妥产权证书的固定资产情况" selectOptions="_buildInScales" controlType="Combobox" cellType="Scale" appId="_GBC_a26aa363313e4c8fbedf9041cd41bfc9"/>
      <m:item xlName="_GBC_07d37ddbabe745a3b375a7706f9047dc" concept="clcid-ci-ar:BiZhongCaiWuFuZhuWeiBanTuoChanQuanZhengShuDeGuDingZiChanQingKuang" label="币种：财务附注：未办妥产权证书的固定资产情况" selectOptions="_buildInISO4217" controlType="Combobox" cellType="Measure" appId="_GBC_a26aa363313e4c8fbedf9041cd41bfc9"/>
      <m:placeholder xlName="_PLD_1347e8d2222c4d13aa7c3569cd05e439" addr="T0R0C0S1_1"/>
      <m:placeholder xlName="_PLD_e14c4b6f9d874d4c86e835843a896497" addr="T0R0C1S1_1"/>
      <m:placeholder xlName="_PLD_0735ea1c6b5c4a2395fde5f63b614530" addr="T0R0C2S1_1"/>
      <m:tuple xlName="_GBC_197aee8b2edc4ea19721e86529111007" concept="clcid-pte:WeiBanTuoChanQuanZhengShuDeGuDingZiChanQingKuangMingXi" default_row="2" addr="T0R1C">
        <m:item xlName="_GBC_a3f30dd23b5545f88be56e78771b4ef2" concept="clcid-pte:WeiBanTuoChanQuanZhengShuDeGuDingZiChanQingKuangMingXiXiangMu" label="未办妥产权证书的固定资产情况明细-项目" addr="T0R1C0S1_1" cellConvertType="1" appId="_GBC_a26aa363313e4c8fbedf9041cd41bfc9"/>
        <m:item xlName="_GBC_8f87f9afc4ef44d7b333a4d4cb5921a0" concept="clcid-pte:WeiBanTuoChanQuanZhengShuDeGuDingZiChanQingKuangMingXiZhengShuZhangMianJiaZhi" label="未办妥产权证书的固定资产情况明细-证书账面价值" mulRef="_GBC_b7780eb99c5c47be9731dc6ebe1dea77" unitRef="_GBC_07d37ddbabe745a3b375a7706f9047dc" addr="T0R1C1S1_1" formatStyle="Comma" appId="_GBC_a26aa363313e4c8fbedf9041cd41bfc9"/>
        <m:item xlName="_GBC_c5fad4ac76d14989bb9187b7f3a46bda" concept="clcid-pte:WeiBanTuoChanQuanZhengShuDeGuDingZiChanQingKuangMingXiYuanYin" label="未办妥产权证书的固定资产情况明细-原因" addr="T0R1C2S1_1" appId="_GBC_a26aa363313e4c8fbedf9041cd41bfc9"/>
      </m:tuple>
    </m:section>
    <m:section xlName="_GBC_c93a179f84504ae59ee71556bc9afb64" title="固定资产说明" rules="R2015_R11_012" convertSummaryRule="NoConvert" helpId="112001065">
      <m:item xlName="_GBC_e2fd7087594d4949ada40807334de5fb" concept="clcid-ci-ar:ShiFouShiYongGuDingZiChanDeShuoMing" label="是否适用：固定资产的说明" selectOptions="_buildInAppliance" controlType="CustomCheckbox" cRanges="{&quot;StartName&quot;:&quot;_GBC_e2fd7087594d4949ada40807334de5fb&quot;,&quot;EndName&quot;:&quot;_GBC_1cd9f478e6f24b25af00fb54ff820976&quot;,&quot;CType&quot;:1,&quot;DisplayText&quot;:null}"/>
      <m:item xlName="_GBC_1cd9f478e6f24b25af00fb54ff820976" concept="clcid-pte:GuDingZiChanDeShuoMing" label="固定资产的说明" appId="_GBC_e2fd7087594d4949ada40807334de5fb"/>
    </m:section>
    <m:section xlName="_GBC_0de4677cdcb54eaa8c2b2afa938f1054" title="固定资产清理">
      <m:item xlName="_GBC_d005d220fbda4cd2a58ced6d0d7a1404" concept="clcid-ci-ar:ShiFouShiYongGuDingZiChanQingLi" label="是否适用：固定资产清理" selectOptions="_buildInAppliance" controlType="CustomCheckbox" cRanges="{&quot;StartName&quot;:&quot;_GBC_d005d220fbda4cd2a58ced6d0d7a1404&quot;,&quot;EndName&quot;:&quot;_GBC_6081244c5732468ea4c4358acf71ff4e&quot;,&quot;CType&quot;:1,&quot;DisplayText&quot;:null}"/>
      <m:item xlName="_GBC_c77c37d4be5244c98a73ad0829a868ca" concept="clcid-ci-ar:DanWeiCaiWuFuZhuGuDingZiChanQingLi" label="单位：财务附注：固定资产清理" selectOptions="_buildInScales" controlType="Combobox" cellType="Scale" appId="_GBC_d005d220fbda4cd2a58ced6d0d7a1404"/>
      <m:item xlName="_GBC_ebcb1df019d641a2bdbfc0fe4ec5e448" concept="clcid-ci-ar:BiZhongCaiWuFuZhuGuDingZiChanQingLi" label="币种：财务附注：固定资产清理" selectOptions="_buildInISO4217" controlType="Combobox" cellType="Measure" appId="_GBC_d005d220fbda4cd2a58ced6d0d7a1404"/>
      <m:placeholder xlName="_PLD_0c0b231ac6c548e1bff3e49f88bf6d0a" addr="T0R0C0S1_1"/>
      <m:placeholder xlName="_PLD_a026f90b6f2343ccbfe5d70bbff15ffc" addr="T0R0C1S1_1"/>
      <m:placeholder xlName="_PLD_3f30c69a4984493cb128422af65300e8" addr="T0R0C2S1_1"/>
      <m:tuple xlName="_GBC_f2a072a066774531bcac9187ea76157d" concept="clcid-pte:GuDingZiChanQingLiMingXi" default_row="2" addr="T0R1C">
        <m:item xlName="_GBC_08eb230f95394c1aaab4833e253f522e" concept="clcid-pte:GuDingZiChanQingLiXiangMuMingCheng" label="固定资产清理项目名称" addr="T0R1C0S1_1" appId="_GBC_d005d220fbda4cd2a58ced6d0d7a1404"/>
        <m:item xlName="_GBC_be4d0118955b4357aab54b497cd52836" concept="clcid-pte:GuDingZiChanQingLiXiangMuJinE" label="固定资产清理项目金额" mulRef="_GBC_c77c37d4be5244c98a73ad0829a868ca" unitRef="_GBC_ebcb1df019d641a2bdbfc0fe4ec5e448" addr="T0R1C1S1_1" formatStyle="Comma" appId="_GBC_d005d220fbda4cd2a58ced6d0d7a1404"/>
        <m:item xlName="_GBC_140c9c82044949b39c3fc7ea35c26de7" concept="clcid-pte:GuDingZiChanQingLiXiangMuJinE" label="固定资产清理项目金额" periodRef="本期期初数" mulRef="_GBC_c77c37d4be5244c98a73ad0829a868ca" unitRef="_GBC_ebcb1df019d641a2bdbfc0fe4ec5e448" addr="T0R1C2S1_1" formatStyle="Comma" appId="_GBC_d005d220fbda4cd2a58ced6d0d7a1404"/>
      </m:tuple>
      <m:placeholder xlName="_PLD_6b9c51fb7cb841b183f996903d83ba40" addr="T0R3C0S1_1"/>
      <m:item xlName="_GBC_258f1407745b4f6389892c0911c78064" concept="clcid-pte:GuDingZiChanQingLi" label="固定资产清理" mulRef="_GBC_c77c37d4be5244c98a73ad0829a868ca" unitRef="_GBC_ebcb1df019d641a2bdbfc0fe4ec5e448" addr="T0R3C1S1_1" formatStyle="Comma" appId="_GBC_d005d220fbda4cd2a58ced6d0d7a1404">
        <m:complexRule comparator="Eq" title="固定资产清理" test=" $_GBC_be4d0118955b4357aab54b497cd52836" id="Ce1ba86dcf16c420ab61b177615231b13"/>
      </m:item>
      <m:item xlName="_GBC_9d6f559e2ca847088b02b9133811640b" concept="clcid-pte:GuDingZiChanQingLi" label="固定资产清理" periodRef="本期期初数" mulRef="_GBC_c77c37d4be5244c98a73ad0829a868ca" unitRef="_GBC_ebcb1df019d641a2bdbfc0fe4ec5e448" addr="T0R3C2S1_1" formatStyle="Comma" appId="_GBC_d005d220fbda4cd2a58ced6d0d7a1404">
        <m:complexRule comparator="Eq" title="固定资产清理@本期期初数" test=" $_GBC_140c9c82044949b39c3fc7ea35c26de7" id="Cf20a8c6c26fc48bbb613bd5dd85a8011"/>
      </m:item>
      <m:item xlName="_GBC_6081244c5732468ea4c4358acf71ff4e" concept="clcid-pte:GuDingZiChanQingLiDeShuoMing" label="固定资产清理的说明" appId="_GBC_d005d220fbda4cd2a58ced6d0d7a1404"/>
    </m:section>
    <m:section xlName="_SEC_5259769a5b954eaaa39f8ab4268be07c" title="在建工程项目列示">
      <m:item xlName="_GBC_bcbd4315343844fc923825dd150041e5" concept="clcid-ci-ar:ShiFouShiYongZaiJianGongChengFenLeiLieShi" label="是否适用：在建工程分类列示" selectOptions="_buildInAppliance" controlType="CustomCheckbox" cRanges="[{&quot;StartName&quot;:&quot;_GBC_bcbd4315343844fc923825dd150041e5&quot;,&quot;EndName&quot;:&quot;_GBC_bf7c5de7968241e495701aa3387c2913&quot;,&quot;CType&quot;:1}]"/>
      <m:item xlName="_GBC_9df8e16a6fb54a76b384d11e7a6dd52d" concept="clcid-ci-ar:DanWeiZaiJianGongChengFenLeiLieShi" label="单位：在建工程分类列示" selectOptions="_buildInScales" controlType="Combobox" cellType="Scale" appId="_GBC_bcbd4315343844fc923825dd150041e5"/>
      <m:item xlName="_GBC_17b0bdb7b5f24e599fcea2e90510306a" concept="clcid-ci-ar:BiZhongZaiJianGongChengFenLeiLieShi" label="币种：在建工程分类列示" selectOptions="_buildInISO4217" controlType="Combobox" cellType="Measure" appId="_GBC_bcbd4315343844fc923825dd150041e5"/>
      <m:placeholder xlName="_PLD_3a34a6496ee4454093b17b19ba9b805d" addr="T0R0C0S1_1"/>
      <m:placeholder xlName="_PLD_88973d2835334cdbb31181ad26b55912" addr="T0R0C1S1_1"/>
      <m:placeholder xlName="_PLD_55f5bd8851c54b7897a165bee2df0273" addr="T0R0C2S1_1"/>
      <m:placeholder xlName="_PLD_65bb35f19246484caedfd539dfade78d" addr="T0R1C0S1_1" helpText="此处的在建工程是指扣除工程物资后的在建工程"/>
      <m:item xlName="_GBC_e08cff27b5ba408daea785dbf1d3112d" concept="clcid-pte:ZaiJianGongChengZhangMianJiaZhi" label="在建工程账面价值" mulRef="_GBC_9df8e16a6fb54a76b384d11e7a6dd52d" unitRef="_GBC_17b0bdb7b5f24e599fcea2e90510306a" addr="T0R1C1S1_1" formatStyle="Comma" helpText="此处的在建工程是指扣除工程物资后的在建工程" appId="_GBC_bcbd4315343844fc923825dd150041e5"/>
      <m:item xlName="_GBC_38bca32823de4b4faa5712ec30b77e62" concept="clcid-pte:ZaiJianGongChengZhangMianJiaZhi" label="在建工程账面价值" periodRef="本期期初数" mulRef="_GBC_9df8e16a6fb54a76b384d11e7a6dd52d" unitRef="_GBC_17b0bdb7b5f24e599fcea2e90510306a" addr="T0R1C2S1_1" formatStyle="Comma" helpText="此处的在建工程是指扣除工程物资后的在建工程" appId="_GBC_bcbd4315343844fc923825dd150041e5"/>
      <m:placeholder xlName="_PLD_6651d8420b62461b941e53c23e48454e" addr="T0R2C0S1_1"/>
      <m:item xlName="_GBC_eab1e2c9a2734ca2a988a74bb9f37062" concept="clcid-pte:GongChengWuZi" label="工程物资" mulRef="_GBC_9df8e16a6fb54a76b384d11e7a6dd52d" unitRef="_GBC_17b0bdb7b5f24e599fcea2e90510306a" addr="T0R2C1S1_1" formatStyle="Comma" appId="_GBC_bcbd4315343844fc923825dd150041e5"/>
      <m:item xlName="_GBC_9b03eba7652845f4bf07d231c5fe5884" concept="clcid-pte:GongChengWuZi" label="工程物资" periodRef="本期期初数" mulRef="_GBC_9df8e16a6fb54a76b384d11e7a6dd52d" unitRef="_GBC_17b0bdb7b5f24e599fcea2e90510306a" addr="T0R2C2S1_1" formatStyle="Comma" appId="_GBC_bcbd4315343844fc923825dd150041e5"/>
      <m:placeholder xlName="_PLD_e1778e13b3024450b5ac627563f1ed3a" addr="T0R3C0S1_1"/>
      <m:item xlName="_GBC_20534c53136b436db938642b96458942" concept="clcid-pte:ZaiJianGongCheng" label="在建工程" mulRef="_GBC_9df8e16a6fb54a76b384d11e7a6dd52d" unitRef="_GBC_17b0bdb7b5f24e599fcea2e90510306a" addr="T0R3C1S1_1" formatStyle="Comma" appId="_GBC_bcbd4315343844fc923825dd150041e5">
        <m:complexRule comparator="Eq" title="在建工程" test=" $_GBC_e08cff27b5ba408daea785dbf1d3112d +  $_GBC_eab1e2c9a2734ca2a988a74bb9f37062" id="C7131283418fd47c190cdf536d4416079"/>
      </m:item>
      <m:item xlName="_GBC_bf7c5de7968241e495701aa3387c2913" concept="clcid-pte:ZaiJianGongCheng" label="在建工程" periodRef="本期期初数" mulRef="_GBC_9df8e16a6fb54a76b384d11e7a6dd52d" unitRef="_GBC_17b0bdb7b5f24e599fcea2e90510306a" addr="T0R3C2S1_1" formatStyle="Comma" appId="_GBC_bcbd4315343844fc923825dd150041e5">
        <m:complexRule comparator="Eq" title="在建工程@本期期初数" test=" $_GBC_38bca32823de4b4faa5712ec30b77e62 +  $_GBC_9b03eba7652845f4bf07d231c5fe5884" id="C15e4e1a3cfe74e0994ef1b2bf87c3dd7"/>
      </m:item>
      <m:item xlName="_GBC_ebe1a06b82914095a2c469c32c78af71" concept="clcid-pte:ZaiJianGongChengFenLeiLieShiQiTaShuoMing" label="在建工程分类列示其他说明"/>
    </m:section>
    <m:section xlName="_GBC_88cd7483eb15414d84d17f5cc1a4bf78" title="在建工程情况" rules="R2015_R11_012" convertSummaryRule="NoConvert" helpId="112001067">
      <m:item xlName="_GBC_d9828cc7ad534f26902e1979f9d67530" concept="clcid-ci-ar:ShiFouShiYongZaiJianGongChengQingKuang" label="是否适用：在建工程情况" selectOptions="_buildInAppliance" controlType="CustomCheckbox" cRanges="{&quot;StartName&quot;:&quot;_GBC_d9828cc7ad534f26902e1979f9d67530&quot;,&quot;EndName&quot;:&quot;_GBC_0ff27c25f904418b807e90b3251b0c4e&quot;,&quot;CType&quot;:1,&quot;DisplayText&quot;:null}"/>
      <m:item xlName="_GBC_d20598ce3f5b4d21a9055de674936a9a" concept="clcid-ci-ar:DanWeiCaiWuFuZhuZaiJianGongCheng" label="单位：财务附注：在建工程" selectOptions="_buildInScales" controlType="Combobox" cellType="Scale" appId="_GBC_d9828cc7ad534f26902e1979f9d67530"/>
      <m:item xlName="_GBC_9e96d736daa247dd96af144329fff105" concept="clcid-ci-ar:BiZhongCaiWuFuZhuZaiJianGongCheng" label="币种：财务附注：在建工程" selectOptions="_buildInISO4217" controlType="Combobox" cellType="Measure" appId="_GBC_d9828cc7ad534f26902e1979f9d67530"/>
      <m:placeholder xlName="_PLD_27b31695edfd49cb9cafa333777d18c3" addr="T0R0C0S2_1"/>
      <m:placeholder xlName="_PLD_a5273bde7b2f4c6c8fbe3ea2d7a7eb84" addr="T0R0C1S1_3"/>
      <m:placeholder xlName="_PLD_ac57490b080449c8b91be5a872e19f79" addr="T0R0C4S1_3"/>
      <m:placeholder xlName="_PLD_1d60491359e245e7bc54655c8c8c15fd" addr="T0R1C1S1_1"/>
      <m:placeholder xlName="_PLD_d5d8fa5186d44c82b146ad7151830389" addr="T0R1C2S1_1"/>
      <m:placeholder xlName="_PLD_49aa1c2d25814b789479d76afb6fc844" addr="T0R1C3S1_1"/>
      <m:placeholder xlName="_PLD_4bba2db5e5a549ecafbf4e94a7af2e35" addr="T0R1C4S1_1"/>
      <m:placeholder xlName="_PLD_e054d8cd1e1b4672ae08a495b587bdce" addr="T0R1C5S1_1"/>
      <m:placeholder xlName="_PLD_bd3055c2713a44fa9cbd3fd973d34c6a" addr="T0R1C6S1_1"/>
      <m:tuple xlName="_GBC_5f073fecf2ff4f9ba33e687f80450c77" concept="clcid-pte:ZaiJianGongChengQingKuangMingXi" default_row="2" addr="T0R2C">
        <m:item xlName="_GBC_d66706bd026f4853bbc6b7af2859bef6" concept="clcid-pte:ZaiJianGongChengQingKuangMingXiXiangMu" label="在建工程情况明细－项目" addr="T0R2C0S1_1" appId="_GBC_d9828cc7ad534f26902e1979f9d67530"/>
        <m:item xlName="_GBC_0f9ca475d5c742eab7e658673f97ba10" concept="clcid-pte:ZaiJianGongChengQingKuangMingXiZhangMianYuanZhi" label="在建工程情况明细－账面原值" mulRef="_GBC_d20598ce3f5b4d21a9055de674936a9a" unitRef="_GBC_9e96d736daa247dd96af144329fff105" addr="T0R2C1S1_1" formatStyle="Comma" appId="_GBC_d9828cc7ad534f26902e1979f9d67530"/>
        <m:item xlName="_GBC_33dda012913d4809ac56bacd0c1409e7" concept="clcid-pte:ZaiJianGongChengQingKuangMingXiDieJiaZhunBei" label="在建工程情况明细－跌价准备" mulRef="_GBC_d20598ce3f5b4d21a9055de674936a9a" unitRef="_GBC_9e96d736daa247dd96af144329fff105" addr="T0R2C2S1_1" formatStyle="Comma" appId="_GBC_d9828cc7ad534f26902e1979f9d67530"/>
        <m:item xlName="_GBC_03cad967bd1041f3bf9cceba76a67028" concept="clcid-pte:ZaiJianGongChengQingKuangMingXiZhangMianJiaZhi" label="在建工程情况明细－账面价值" mulRef="_GBC_d20598ce3f5b4d21a9055de674936a9a" unitRef="_GBC_9e96d736daa247dd96af144329fff105" addr="T0R2C3S1_1" formatStyle="Comma" appId="_GBC_d9828cc7ad534f26902e1979f9d67530"/>
        <m:item xlName="_GBC_1eca25f3cd8c44a1a8fca3ffe7d88e3d" concept="clcid-pte:ZaiJianGongChengQingKuangMingXiZhangMianYuanZhi" label="在建工程情况明细－账面原值" periodRef="本期期初数" mulRef="_GBC_d20598ce3f5b4d21a9055de674936a9a" unitRef="_GBC_9e96d736daa247dd96af144329fff105" addr="T0R2C4S1_1" formatStyle="Comma" appId="_GBC_d9828cc7ad534f26902e1979f9d67530"/>
        <m:item xlName="_GBC_10aaae6c8e5740218121cb96b1904d71" concept="clcid-pte:ZaiJianGongChengQingKuangMingXiDieJiaZhunBei" label="在建工程情况明细－跌价准备" periodRef="本期期初数" mulRef="_GBC_d20598ce3f5b4d21a9055de674936a9a" unitRef="_GBC_9e96d736daa247dd96af144329fff105" addr="T0R2C5S1_1" formatStyle="Comma" appId="_GBC_d9828cc7ad534f26902e1979f9d67530"/>
        <m:item xlName="_GBC_e332cb077270441094620464bf4d6cd6" concept="clcid-pte:ZaiJianGongChengQingKuangMingXiZhangMianJiaZhi" label="在建工程情况明细－账面价值" periodRef="本期期初数" mulRef="_GBC_d20598ce3f5b4d21a9055de674936a9a" unitRef="_GBC_9e96d736daa247dd96af144329fff105" addr="T0R2C6S1_1" formatStyle="Comma" appId="_GBC_d9828cc7ad534f26902e1979f9d67530"/>
      </m:tuple>
      <m:placeholder xlName="_PLD_fb8a9351bc5144ab907a84376899a536" addr="T0R4C0S1_1"/>
      <m:item xlName="_GBC_5cc98e29ca064f5c9a7342bafe4a71f5" concept="clcid-pte:ZaiJianGongChengHeJi" label="在建工程合计" mulRef="_GBC_d20598ce3f5b4d21a9055de674936a9a" unitRef="_GBC_9e96d736daa247dd96af144329fff105" addr="T0R4C1S1_1" formatStyle="Comma" appId="_GBC_d9828cc7ad534f26902e1979f9d67530">
        <m:complexRule comparator="Eq" title="在建工程合计" test=" $_GBC_0f9ca475d5c742eab7e658673f97ba10" id="Cf50f1774d2274d69b9b306d972edf461"/>
      </m:item>
      <m:item xlName="_GBC_b4bc34bac1de49b5b7371fb6f84f07f7" concept="clcid-pte:ZaiJianGongChengJianZhiZhunBeiHeJiYuE" label="在建工程减值准备合计余额" mulRef="_GBC_d20598ce3f5b4d21a9055de674936a9a" unitRef="_GBC_9e96d736daa247dd96af144329fff105" addr="T0R4C2S1_1" formatStyle="Comma" appId="_GBC_d9828cc7ad534f26902e1979f9d67530">
        <m:complexRule comparator="Eq" title="在建工程减值准备合计余额" test=" $_GBC_33dda012913d4809ac56bacd0c1409e7" id="C6f1513a65fa34821bb0f6bb01ef754d2"/>
      </m:item>
      <m:item xlName="_GBC_f56f32e4dfe64301b1a618b54169c545" concept="clcid-pte:ZaiJianGongChengZhangMianJiaZhi" label="在建工程账面价值" mulRef="_GBC_d20598ce3f5b4d21a9055de674936a9a" unitRef="_GBC_9e96d736daa247dd96af144329fff105" addr="T0R4C3S1_1" formatStyle="Comma" appId="_GBC_d9828cc7ad534f26902e1979f9d67530">
        <m:complexRule comparator="Eq" title="在建工程" test=" $_GBC_03cad967bd1041f3bf9cceba76a67028" id="C074a445448d445cc92e995fb0242676e"/>
      </m:item>
      <m:item xlName="_GBC_3938a3cfea384231b30b8e149530b919" concept="clcid-pte:ZaiJianGongChengHeJi" label="在建工程合计" periodRef="本期期初数" mulRef="_GBC_d20598ce3f5b4d21a9055de674936a9a" unitRef="_GBC_9e96d736daa247dd96af144329fff105" addr="T0R4C4S1_1" formatStyle="Comma" appId="_GBC_d9828cc7ad534f26902e1979f9d67530">
        <m:complexRule comparator="Eq" title="在建工程合计@本期期初数" test=" $_GBC_1eca25f3cd8c44a1a8fca3ffe7d88e3d" id="C7787931ed2ed4afb8d0eacbf13441987"/>
      </m:item>
      <m:item xlName="_GBC_5272a3f809b3467d8aba8fdf5b040084" concept="clcid-pte:ZaiJianGongChengJianZhiZhunBeiHeJiYuE" label="在建工程减值准备合计余额" periodRef="本期期初数" mulRef="_GBC_d20598ce3f5b4d21a9055de674936a9a" unitRef="_GBC_9e96d736daa247dd96af144329fff105" addr="T0R4C5S1_1" formatStyle="Comma" appId="_GBC_d9828cc7ad534f26902e1979f9d67530">
        <m:complexRule comparator="Eq" title="在建工程减值准备合计余额@本期期初数" test=" $_GBC_10aaae6c8e5740218121cb96b1904d71" id="Ce8ac4b7d7edb43d4b3ef67b71b2daa65"/>
      </m:item>
      <m:item xlName="_GBC_0ff27c25f904418b807e90b3251b0c4e" concept="clcid-pte:ZaiJianGongChengZhangMianJiaZhi" label="在建工程账面价值" periodRef="本期期初数" mulRef="_GBC_d20598ce3f5b4d21a9055de674936a9a" unitRef="_GBC_9e96d736daa247dd96af144329fff105" addr="T0R4C6S1_1" formatStyle="Comma" appId="_GBC_d9828cc7ad534f26902e1979f9d67530">
        <m:complexRule comparator="Eq" title="在建工程@本期期初数" test=" $_GBC_e332cb077270441094620464bf4d6cd6" id="C471805dd8b894107a9473f6d8a6f5e5f"/>
      </m:item>
    </m:section>
    <m:section xlName="_GBC_b1eb75f465d7494995f17407201cfca9" title="重大在建工程项目变动情况" rules="R2015_R11_012" convertSummaryRule="NoConvert" helpId="112001067" helpText="注：资金来源，一般包括募股资金、金融机构贷款和其他来源等。">
      <m:item xlName="_GBC_ec2dd768673145d4bb9d3c31a6fa701a" concept="clcid-ci-ar:ShiFouShiYongZhongYaoZaiJianGongChengXiangMuBenQiBianDongQingKuang" label="是否适用：重要在建工程项目本期变动情况" selectOptions="_buildInAppliance" controlType="CustomCheckbox" cRanges="{&quot;StartName&quot;:&quot;_GBC_ec2dd768673145d4bb9d3c31a6fa701a&quot;,&quot;EndName&quot;:&quot;_GBC_4522f2d0e1f74a6e94e2af3836a05dbb&quot;,&quot;CType&quot;:1,&quot;DisplayText&quot;:null}"/>
      <m:item xlName="_GBC_29f36690ce0d4e8bbec5f76711e80456" concept="clcid-ci-ar:DanWeiCaiWuFuZhuZaiJianGongChengXiangMuBianDongQingKuang" label="单位：财务附注：在建工程项目变动情况" selectOptions="_buildInScales" controlType="Combobox" cellType="Scale" appId="_GBC_ec2dd768673145d4bb9d3c31a6fa701a"/>
      <m:item xlName="_GBC_6fab639954e742c1bd6f75b3c51ecaf8" concept="clcid-ci-ar:BiZhongCaiWuFuZhuZaiJianGongChengXiangMuBianDongQingKuang" label="币种：财务附注：在建工程项目变动情况" selectOptions="_buildInISO4217" controlType="Combobox" cellType="Measure" appId="_GBC_ec2dd768673145d4bb9d3c31a6fa701a"/>
      <m:placeholder xlName="_PLD_911d5911af294d4f9d2b6b16b5f6c08b" addr="T0R0C0S1_1"/>
      <m:placeholder xlName="_PLD_667404be40294d63b853abf58a9d185f" addr="T0R0C1S1_1"/>
      <m:placeholder xlName="_PLD_25c75ebdcb434964b5f5e8b512151b0b" addr="T0R0C2S1_1"/>
      <m:placeholder xlName="_PLD_0117182ae7e24536a0996423ddcfa5f0" addr="T0R0C3S1_1"/>
      <m:placeholder xlName="_PLD_6db4feaec90f4eeeb4ed5fb04d298657" addr="T0R0C4S1_1"/>
      <m:placeholder xlName="_PLD_1fe85c3ed6f84f6f85209149a9931055" addr="T0R0C5S1_1"/>
      <m:placeholder xlName="_PLD_7954fe4b89f644d29865af249dfe8c3f" addr="T0R0C6S1_1"/>
      <m:placeholder xlName="_PLD_d9aa12b28eda4362b90372032218ea1a" addr="T0R0C7S1_1"/>
      <m:placeholder xlName="_PLD_9e610c25eba14177abc9b359511cb935" addr="T0R0C8S1_1"/>
      <m:placeholder xlName="_PLD_e89a95ddf6ab4a6abe2d40f64c95699a" addr="T0R0C9S1_1"/>
      <m:placeholder xlName="_PLD_211048c05b944d8f9bfd1d37edfd2f6d" addr="T0R0C10S1_1"/>
      <m:placeholder xlName="_PLD_2cbfddfcd5e6493ba68633d99551c05f" addr="T0R0C11S1_1"/>
      <m:placeholder xlName="_PLD_39440674746d4382a4f99328187752a9" addr="T0R0C12S1_1"/>
      <m:tuple xlName="_GBC_b84d9018f52b45beabeca7c2371cdc18" concept="clcid-pte:ZaiJianGongChengMingXi" default_row="2" addr="T0R1C">
        <m:item xlName="_GBC_cb285d56275840a19db40590398e9f1e" concept="clcid-pte:ZaiJianGongChengXiangMuMingCheng" label="在建工程项目名称" addr="T0R1C0S1_1" appId="_GBC_ec2dd768673145d4bb9d3c31a6fa701a"/>
        <m:item xlName="_GBC_ca29eb19d70547b7a620d3b7e5ff2da4" concept="clcid-pte:ZaiJianGongChengYuSuanShu" label="在建工程预算数" mulRef="_GBC_29f36690ce0d4e8bbec5f76711e80456" unitRef="_GBC_6fab639954e742c1bd6f75b3c51ecaf8" addr="T0R1C1S1_1" formatStyle="Comma" appId="_GBC_ec2dd768673145d4bb9d3c31a6fa701a">
          <m:simpleRule dataType="Decimal" comparator="Gt" minValue="100000" level="Warn"/>
        </m:item>
        <m:item xlName="_GBC_a3e1de36b8fe4fcbaa654eb7c7e84309" concept="clcid-pte:ZaiJianGongChengXiangMuJinE" label="在建工程项目金额" periodRef="本期期初数" mulRef="_GBC_29f36690ce0d4e8bbec5f76711e80456" unitRef="_GBC_6fab639954e742c1bd6f75b3c51ecaf8" addr="T0R1C2S1_1" formatStyle="Comma" appId="_GBC_ec2dd768673145d4bb9d3c31a6fa701a"/>
        <m:item xlName="_GBC_e08da6ba6e2f4173a525e39357b220bc" concept="clcid-pte:ZaiJianGongChengXiangMuJinEZengJiaShu" label="在建工程项目金额增加数" mulRef="_GBC_29f36690ce0d4e8bbec5f76711e80456" unitRef="_GBC_6fab639954e742c1bd6f75b3c51ecaf8" addr="T0R1C3S1_1" formatStyle="Comma" appId="_GBC_ec2dd768673145d4bb9d3c31a6fa701a"/>
        <m:item xlName="_GBC_9ae837dcda3a4fe68dcb69205e66942a" concept="clcid-pte:ZaiJianGongChengXiangMuZhuanRuGuDingZiChan" label="在建工程项目转入固定资产" mulRef="_GBC_29f36690ce0d4e8bbec5f76711e80456" unitRef="_GBC_6fab639954e742c1bd6f75b3c51ecaf8" addr="T0R1C4S1_1" formatStyle="Comma" appId="_GBC_ec2dd768673145d4bb9d3c31a6fa701a"/>
        <m:item xlName="_GBC_e77381c97d044bdb967f5cac7a999f8d" concept="clcid-pte:ZaiJianGongChengMingXiXiangMuJianShao" label="在建工程明细－其他减少" mulRef="_GBC_29f36690ce0d4e8bbec5f76711e80456" unitRef="_GBC_6fab639954e742c1bd6f75b3c51ecaf8" addr="T0R1C5S1_1" formatStyle="Comma" appId="_GBC_ec2dd768673145d4bb9d3c31a6fa701a"/>
        <m:item xlName="_GBC_1fd301de0c794ef9b814ee779fe148df" concept="clcid-pte:ZaiJianGongChengXiangMuJinE" label="在建工程项目金额" mulRef="_GBC_29f36690ce0d4e8bbec5f76711e80456" unitRef="_GBC_6fab639954e742c1bd6f75b3c51ecaf8" addr="T0R1C6S1_1" formatStyle="Comma" appId="_GBC_ec2dd768673145d4bb9d3c31a6fa701a"/>
        <m:item xlName="_GBC_5eed7db3b3c940c1b8274243afa3c68c" concept="clcid-pte:ZaiJianGongChengXiangMuGongChengTouRuZhanYuSuanBiLi" label="在建工程项目工程投入占预算比例" addr="T0R1C7S1_1" baseScale="0.01" formatStyle="Comma" appId="_GBC_ec2dd768673145d4bb9d3c31a6fa701a"/>
        <m:item xlName="_GBC_27e1d62c8ebd4b05bb1dccb64ac98bb9" concept="clcid-pte:ZaiJianGongChengXiangMuGongChengJinDu" label="在建工程项目工程进度" addr="T0R1C8S1_1" appId="_GBC_ec2dd768673145d4bb9d3c31a6fa701a"/>
        <m:item xlName="_GBC_280d99bee6f74ba49cca95aee46d6669" concept="clcid-pte:ZaiJianGongChengLiXiZiBenHuaJinE" label="在建工程利息资本化金额" mulRef="_GBC_29f36690ce0d4e8bbec5f76711e80456" unitRef="_GBC_6fab639954e742c1bd6f75b3c51ecaf8" addr="T0R1C9S1_1" formatStyle="Comma" appId="_GBC_ec2dd768673145d4bb9d3c31a6fa701a"/>
        <m:item xlName="_GBC_4106b641b25741ccae8b84231b62fce4" concept="clcid-pte:ZaiJianGongChengXiangMuDangQiLiXiZiBenHuaJinE" label="在建工程明细－当期利息资本化金额" mulRef="_GBC_29f36690ce0d4e8bbec5f76711e80456" unitRef="_GBC_6fab639954e742c1bd6f75b3c51ecaf8" addr="T0R1C10S1_1" formatStyle="Comma" appId="_GBC_ec2dd768673145d4bb9d3c31a6fa701a"/>
        <m:item xlName="_GBC_731999b1ce004acebf4383500d031329" concept="clcid-pte:ZaiJianGongChengXiangMuDangQiLiXiZiBenHuaLv" label="在建工程明细－当期利息资本化率" addr="T0R1C11S1_1" baseScale="0.01" formatStyle="Comma" appId="_GBC_ec2dd768673145d4bb9d3c31a6fa701a"/>
        <m:item xlName="_GBC_5e1a67af1d0e43a2bb766dee9c33ebef" concept="clcid-pte:ZaiJianGongChengXiangMuZiJinLaiYuan" label="在建工程项目资金来源" addr="T0R1C12S1_1" appId="_GBC_ec2dd768673145d4bb9d3c31a6fa701a"/>
      </m:tuple>
      <m:placeholder xlName="_PLD_942a3001646f41f087960bab251b2bbb" addr="T0R3C0S1_1"/>
      <m:item xlName="_GBC_3a7beae1cbd147c1834ebd1a6baa6b74" concept="clcid-pte:ZaiJianGongChengYuSuanShuHeJi" label="在建工程预算数合计" mulRef="_GBC_29f36690ce0d4e8bbec5f76711e80456" unitRef="_GBC_6fab639954e742c1bd6f75b3c51ecaf8" addr="T0R3C1S1_1" formatStyle="Comma" appId="_GBC_ec2dd768673145d4bb9d3c31a6fa701a">
        <m:simpleRule dataType="Decimal" comparator="Gt" minValue="100000" level="Warn"/>
        <m:complexRule comparator="Eq" title="在建工程预算数合计" test=" $_GBC_ca29eb19d70547b7a620d3b7e5ff2da4" id="C1551e6f0f3054bdeb9107e7494e5c60e"/>
      </m:item>
      <m:item xlName="_GBC_a0a6932c81de48baac2aa586d0ae1c5f" concept="clcid-pte:ZhongDaZaiJianGongChengHeJi" label="重大在建工程合计" periodRef="本期期初数" mulRef="_GBC_29f36690ce0d4e8bbec5f76711e80456" unitRef="_GBC_6fab639954e742c1bd6f75b3c51ecaf8" addr="T0R3C2S1_1" formatStyle="Comma" appId="_GBC_ec2dd768673145d4bb9d3c31a6fa701a">
        <m:complexRule comparator="Eq" title="重大在建工程合计@本期期初数" test=" $_GBC_a3e1de36b8fe4fcbaa654eb7c7e84309" id="C6f7a57df80724085a1f18c01d952b65a"/>
      </m:item>
      <m:item xlName="_GBC_dbb4148eaa2d461e9bc3e0deb27c454b" concept="clcid-pte:ZaiJianGongChengHeJiZengJiaShu" label="在建工程合计增加数" mulRef="_GBC_29f36690ce0d4e8bbec5f76711e80456" unitRef="_GBC_6fab639954e742c1bd6f75b3c51ecaf8" addr="T0R3C3S1_1" formatStyle="Comma" appId="_GBC_ec2dd768673145d4bb9d3c31a6fa701a">
        <m:complexRule comparator="Eq" title="在建工程合计增加数" test=" $_GBC_e08da6ba6e2f4173a525e39357b220bc" id="C25e9b2e0300943be8533b71e055aa435"/>
      </m:item>
      <m:item xlName="_GBC_7d88aec46b1244149e8c9b19fcbacb82" concept="clcid-pte:ZaiJianGongChengZhuanRuGuDingZiChanHeJi" label="在建工程转入固定资产合计" mulRef="_GBC_29f36690ce0d4e8bbec5f76711e80456" unitRef="_GBC_6fab639954e742c1bd6f75b3c51ecaf8" addr="T0R3C4S1_1" formatStyle="Comma" appId="_GBC_ec2dd768673145d4bb9d3c31a6fa701a">
        <m:complexRule comparator="Eq" title="在建工程转入固定资产合计" test=" $_GBC_9ae837dcda3a4fe68dcb69205e66942a" id="C3fcae62cb33f4be7ab45086bb457260e"/>
      </m:item>
      <m:item xlName="_GBC_6022cf4522c84123a4a039984ffb9168" concept="clcid-pte:ZaiJianGongChengQiTaJianShaoHeJi" label="在建工程其他减少合计" mulRef="_GBC_29f36690ce0d4e8bbec5f76711e80456" unitRef="_GBC_6fab639954e742c1bd6f75b3c51ecaf8" addr="T0R3C5S1_1" formatStyle="Comma" appId="_GBC_ec2dd768673145d4bb9d3c31a6fa701a">
        <m:complexRule comparator="Eq" title="在建工程其他减少合计" test=" $_GBC_e77381c97d044bdb967f5cac7a999f8d" id="C4986e86a45514b119de63d4e2171731d"/>
      </m:item>
      <m:item xlName="_GBC_b93827ae81c34a07ae43b3752ef1f4d1" concept="clcid-pte:ZhongDaZaiJianGongChengHeJi" label="重大在建工程合计" mulRef="_GBC_29f36690ce0d4e8bbec5f76711e80456" unitRef="_GBC_6fab639954e742c1bd6f75b3c51ecaf8" addr="T0R3C6S1_1" formatStyle="Comma" appId="_GBC_ec2dd768673145d4bb9d3c31a6fa701a">
        <m:complexRule comparator="Eq" title="重大在建工程合计" test=" $_GBC_1fd301de0c794ef9b814ee779fe148df" id="Ceac53790aab948209f9de57d6924f7db"/>
      </m:item>
      <m:item xlName="_GBC_33a7eebb5833465c8e5f841ffcffe01f" concept="clcid-pte:ZaiJianGongChengLiXiZiBenHuaJinEHeJi" label="在建工程利息资本化金额合计" mulRef="_GBC_29f36690ce0d4e8bbec5f76711e80456" unitRef="_GBC_6fab639954e742c1bd6f75b3c51ecaf8" addr="T0R3C9S1_1" formatStyle="Comma" appId="_GBC_ec2dd768673145d4bb9d3c31a6fa701a">
        <m:complexRule comparator="Eq" title="在建工程利息资本化金额合计" test=" $_GBC_280d99bee6f74ba49cca95aee46d6669" id="C18d1ae2b38e645fb8393ee3f2533ddb4"/>
      </m:item>
      <m:item xlName="_GBC_4522f2d0e1f74a6e94e2af3836a05dbb" concept="clcid-pte:ZaiJianGongChengDangQiLiXiZiBenHuaJinEHeJi" label="在建工程当期利息资本化金额合计" mulRef="_GBC_29f36690ce0d4e8bbec5f76711e80456" unitRef="_GBC_6fab639954e742c1bd6f75b3c51ecaf8" addr="T0R3C10S1_1" formatStyle="Comma" appId="_GBC_ec2dd768673145d4bb9d3c31a6fa701a">
        <m:complexRule comparator="Eq" title="在建工程当期利息资本化金额合计" test=" $_GBC_4106b641b25741ccae8b84231b62fce4" id="Cd34141b3af6841caa41ea0da42114ddc"/>
      </m:item>
    </m:section>
    <m:section xlName="_GBC_467986eee7244ad69e86a4292f121eb6" title="在建工程减值准备" rules="R2015_R11_012" convertSummaryRule="NoConvert" helpId="112001067">
      <m:item xlName="_GBC_b220fd94287f4b01997861dc2c72b0a6" concept="clcid-ci-ar:ShiFouShiYongBenQiJiTiZaiJianGongChengJianZhiZhunBeiQingKuang" label="是否适用：本期计提在建工程减值准备情况" selectOptions="_buildInAppliance" controlType="CustomCheckbox" cRanges="{&quot;StartName&quot;:&quot;_GBC_b220fd94287f4b01997861dc2c72b0a6&quot;,&quot;EndName&quot;:&quot;_GBC_4e46afd0a9fa434989d1b1d45cd91bb4&quot;,&quot;CType&quot;:1,&quot;DisplayText&quot;:null}"/>
      <m:item xlName="_GBC_f3e168e91f04414ab79bbd9f0ccb4e7a" concept="clcid-ci-ar:DanWeiCaiWuFuZhuZaiJianGongChengJianZhiZhunBei" label="单位：财务附注：在建工程减值准备" selectOptions="_buildInScales" controlType="Combobox" cellType="Scale" appId="_GBC_b220fd94287f4b01997861dc2c72b0a6"/>
      <m:item xlName="_GBC_893b5e30c8714cf8bacd62a32621fa5c" concept="clcid-ci-ar:BiZhongCaiWuFuZhuZaiJianGongChengJianZhiZhunBei" label="币种：财务附注：在建工程减值准备" selectOptions="_buildInISO4217" controlType="Combobox" cellType="Measure" appId="_GBC_b220fd94287f4b01997861dc2c72b0a6"/>
      <m:placeholder xlName="_PLD_92512d092d9547dc9dbd898cd38a90be" addr="T0R0C0S1_1"/>
      <m:placeholder xlName="_PLD_706182b41140401e814c2ced02969ff8" addr="T0R0C1S1_1"/>
      <m:placeholder xlName="_PLD_a1aa48550bb646549bf346f991864889" addr="T0R0C2S1_1"/>
      <m:tuple xlName="_GBC_b0984ab5904040059713eebb3a4f3e44" concept="clcid-pte:ZaiJianGongChengJianZhiZhunBeiXiangMu" default_row="2" addr="T0R1C">
        <m:item xlName="_GBC_3367d18a00394c6398b1cd9302e9eb9a" concept="clcid-pte:ZaiJianGongChengJianZhiZhunBeiXiangMuMingCheng" label="在建工程减值准备项目名称" addr="T0R1C0S1_1" appId="_GBC_b220fd94287f4b01997861dc2c72b0a6"/>
        <m:item xlName="_GBC_f97eeb96ce0542cf8d4121b7bc7de8b9" concept="clcid-pte:ZaiJianGongChengXiangMuJianZhiZhunBeiZengJiaShu" label="在建工程项目减值准备增加数" mulRef="_GBC_f3e168e91f04414ab79bbd9f0ccb4e7a" unitRef="_GBC_893b5e30c8714cf8bacd62a32621fa5c" addr="T0R1C1S1_1" formatStyle="Comma" appId="_GBC_b220fd94287f4b01997861dc2c72b0a6"/>
        <m:item xlName="_GBC_9ad7a913dc2346dba7dcf06d73bea397" concept="clcid-pte:ZaiJianGongChengXiangMuJianZhiZhunBeiDeJiTiYuanYin" label="在建工程项目减值准备的计提原因" addr="T0R1C2S1_1" appId="_GBC_b220fd94287f4b01997861dc2c72b0a6"/>
      </m:tuple>
      <m:placeholder xlName="_PLD_5b1e2fe481d34387a8508974e04af05a" addr="T0R3C0S1_1"/>
      <m:item xlName="_GBC_4e46afd0a9fa434989d1b1d45cd91bb4" concept="clcid-pte:ZaiJianGongChengJianZhiZhunBeiHeJiDeBenQiZengJiaShu" label="在建工程减值准备合计_本期增加数" mulRef="_GBC_f3e168e91f04414ab79bbd9f0ccb4e7a" unitRef="_GBC_893b5e30c8714cf8bacd62a32621fa5c" addr="T0R3C1S1_1" formatStyle="Comma" appId="_GBC_b220fd94287f4b01997861dc2c72b0a6">
        <m:complexRule comparator="Eq" title="在建工程减值准备合计余额" test=" $_GBC_f97eeb96ce0542cf8d4121b7bc7de8b9" id="C0ea7dfc0b1d740adbfdb29aec4723805"/>
      </m:item>
    </m:section>
    <m:section xlName="_GBC_d5aec612c6334d1b8a827f3f39a2781d" title="在建工程的说明" rules="R2015_R11_012" convertSummaryRule="NoConvert" helpId="112001067">
      <m:item xlName="_GBC_c0ffdfbb304348758da855627ba6d858" concept="clcid-ci-ar:ShiFouShiYongZaiJianGongChengDeShuoMing" label="是否适用：在建工程的说明" selectOptions="_buildInAppliance" controlType="CustomCheckbox" cRanges="{&quot;StartName&quot;:&quot;_GBC_c0ffdfbb304348758da855627ba6d858&quot;,&quot;EndName&quot;:&quot;_GBC_eaac445d9f29415cb063476e51d4f873&quot;,&quot;CType&quot;:1,&quot;DisplayText&quot;:null}"/>
      <m:item xlName="_GBC_eaac445d9f29415cb063476e51d4f873" concept="clcid-pte:ZaiJianGongChengDeShuoMing" label="在建工程的说明" appId="_GBC_c0ffdfbb304348758da855627ba6d858"/>
    </m:section>
    <m:section xlName="_GBC_12c2ea8f308b49c7b5e2baae867f1ec7" title="工程物资" convertSummaryRule="NoConvert" helpId="112001069">
      <m:item xlName="_GBC_0d711628566c4b08b883151766986b20" concept="clcid-ci-ar:ShiFouShiYongGongChengWuZi" label="是否适用：工程物资" selectOptions="_buildInAppliance" controlType="CustomCheckbox" cRanges="{&quot;StartName&quot;:&quot;_GBC_0d711628566c4b08b883151766986b20&quot;,&quot;EndName&quot;:&quot;_GBC_6e6a056654d34f4baea4f3cf22bcb183&quot;,&quot;CType&quot;:1,&quot;DisplayText&quot;:null}"/>
      <m:item xlName="_GBC_9e438118345a414ebb42540883d9d901" concept="clcid-ci-ar:DanWeiCaiWuFuZhuGongChengWuZi" label="单位：财务附注：工程物资" selectOptions="_buildInScales" controlType="Combobox" cellType="Scale" appId="_GBC_0d711628566c4b08b883151766986b20"/>
      <m:item xlName="_GBC_e98a8ba0f9c641038d6bc5d4e3b304b0" concept="clcid-ci-ar:BiZhongCaiWuFuZhuGongChengWuZi" label="币种：财务附注：工程物资" selectOptions="_buildInISO4217" controlType="Combobox" cellType="Measure" appId="_GBC_0d711628566c4b08b883151766986b20"/>
      <m:placeholder xlName="_PLD_47bf651b1b034a418fb1db38150aa4b4" addr="T0R0C0S2_1"/>
      <m:placeholder xlName="_PLD_48ff352fed3842f39a85665d17954846" addr="T0R0C1S1_3"/>
      <m:placeholder xlName="_PLD_c9bc4b861b7e44ed860c437763dc3d4e" addr="T0R0C4S1_3"/>
      <m:placeholder xlName="_PLD_8f94fed53e7d4891bdfe09802cfa0368" addr="T0R1C1S1_1"/>
      <m:placeholder xlName="_PLD_19c2095293fa4d6a9f54d246020cfdfd" addr="T0R1C2S1_1"/>
      <m:placeholder xlName="_PLD_4fd09ced029a4cbf99f63c809ae7a8b5" addr="T0R1C3S1_1"/>
      <m:placeholder xlName="_PLD_4195ac1a320648fa9510729303ab773b" addr="T0R1C4S1_1"/>
      <m:placeholder xlName="_PLD_abb3aec78259484caf3e737ff1d5aeae" addr="T0R1C5S1_1"/>
      <m:placeholder xlName="_PLD_58b22922dcb74a3689b431da73c3c35b" addr="T0R1C6S1_1"/>
      <m:tuple xlName="_TUP_558e201d31cd471d8607308d88b54f12" concept="clcid-pte:GongChengWuZiMingXi" default_row="2" addr="T0R2C">
        <m:item xlName="_GBC_f7c3335145dc48849a123a8b273df83d" concept="clcid-pte:GongChengWuZiXiangMu" label="工程物资项目" addr="T0R2C0S1_1" appId="_GBC_0d711628566c4b08b883151766986b20"/>
        <m:item xlName="_GBC_acfd90010c7b418096931eabffd5527d" concept="clcid-pte:GongChengWuZiMingXiZhangMianYuE" label="工程物资明细-账面余额" mulRef="_GBC_9e438118345a414ebb42540883d9d901" unitRef="_GBC_e98a8ba0f9c641038d6bc5d4e3b304b0" addr="T0R2C1S1_1" formatStyle="Comma" appId="_GBC_0d711628566c4b08b883151766986b20"/>
        <m:item xlName="_GBC_7cb1ec5129344e0082be62d3b9acefea" concept="clcid-pte:GongChengWuZiMingXiJianZhiZhunBei" label="工程物资明细-减值准备" mulRef="_GBC_9e438118345a414ebb42540883d9d901" unitRef="_GBC_e98a8ba0f9c641038d6bc5d4e3b304b0" addr="T0R2C2S1_1" formatStyle="Comma" appId="_GBC_0d711628566c4b08b883151766986b20"/>
        <m:item xlName="_GBC_c8d2b8c04a3843cbb571fe017a59170b" concept="clcid-pte:GongChengWuZiJinE" label="工程物资金额" mulRef="_GBC_9e438118345a414ebb42540883d9d901" unitRef="_GBC_e98a8ba0f9c641038d6bc5d4e3b304b0" addr="T0R2C3S1_1" formatStyle="Comma" appId="_GBC_0d711628566c4b08b883151766986b20"/>
        <m:item xlName="_GBC_81b7958c64174066897ca01ce66eeb0e" concept="clcid-pte:GongChengWuZiMingXiZhangMianYuE" label="工程物资明细-账面余额" periodRef="本期期初数" mulRef="_GBC_9e438118345a414ebb42540883d9d901" unitRef="_GBC_e98a8ba0f9c641038d6bc5d4e3b304b0" addr="T0R2C4S1_1" formatStyle="Comma" appId="_GBC_0d711628566c4b08b883151766986b20"/>
        <m:item xlName="_GBC_5d5c45a6fcbf43f6915719a7568f3484" concept="clcid-pte:GongChengWuZiMingXiJianZhiZhunBei" label="工程物资明细-减值准备" periodRef="本期期初数" mulRef="_GBC_9e438118345a414ebb42540883d9d901" unitRef="_GBC_e98a8ba0f9c641038d6bc5d4e3b304b0" addr="T0R2C5S1_1" formatStyle="Comma" appId="_GBC_0d711628566c4b08b883151766986b20"/>
        <m:item xlName="_GBC_a7b28cd4ce814de79b9ffe83bd0d3a9b" concept="clcid-pte:GongChengWuZiJinE" label="工程物资金额" periodRef="本期期初数" mulRef="_GBC_9e438118345a414ebb42540883d9d901" unitRef="_GBC_e98a8ba0f9c641038d6bc5d4e3b304b0" addr="T0R2C6S1_1" formatStyle="Comma" appId="_GBC_0d711628566c4b08b883151766986b20"/>
      </m:tuple>
      <m:placeholder xlName="_PLD_edc9342e3afd49bab04d6c03ddb6c611" addr="T0R4C0S1_1"/>
      <m:item xlName="_GBC_e7d20764cc0940e7936dbbd141938bfc" concept="clcid-pte:GongChengWuZiZhangMianYuE" label="工程物资账面余额" mulRef="_GBC_9e438118345a414ebb42540883d9d901" unitRef="_GBC_e98a8ba0f9c641038d6bc5d4e3b304b0" addr="T0R4C1S1_1" formatStyle="Comma" appId="_GBC_0d711628566c4b08b883151766986b20">
        <m:complexRule comparator="Eq" title="工程物资账面余额" test=" $_GBC_acfd90010c7b418096931eabffd5527d" id="C60ab0b473ea34ae3b45a64b36f7f0173"/>
      </m:item>
      <m:item xlName="_GBC_e2aee829f10442028b45c47b7c9c5611" concept="clcid-pte:GongChengWuZiJianZhiZhunBeiYuEHeJi" label="工程物资减值准备余额合计" mulRef="_GBC_9e438118345a414ebb42540883d9d901" unitRef="_GBC_e98a8ba0f9c641038d6bc5d4e3b304b0" addr="T0R4C2S1_1" formatStyle="Comma" appId="_GBC_0d711628566c4b08b883151766986b20">
        <m:complexRule comparator="Eq" title="工程物资减值准备余额合计" test=" $_GBC_7cb1ec5129344e0082be62d3b9acefea" id="C3f11d0f790594162801e473f09b7090c"/>
      </m:item>
      <m:item xlName="_GBC_b6dafc8fcb914bdea6a36e1423691684" concept="clcid-pte:GongChengWuZi" label="工程物资" mulRef="_GBC_9e438118345a414ebb42540883d9d901" unitRef="_GBC_e98a8ba0f9c641038d6bc5d4e3b304b0" addr="T0R4C3S1_1" formatStyle="Comma" appId="_GBC_0d711628566c4b08b883151766986b20">
        <m:complexRule comparator="Eq" title="工程物资" test=" $_GBC_c8d2b8c04a3843cbb571fe017a59170b" id="Ca260f2e668dd448ca25782e9d84aee57"/>
      </m:item>
      <m:item xlName="_GBC_40372f96afbe4697a5c3f91d4d30c4fd" concept="clcid-pte:GongChengWuZiZhangMianYuE" label="工程物资账面余额" periodRef="本期期初数" mulRef="_GBC_9e438118345a414ebb42540883d9d901" unitRef="_GBC_e98a8ba0f9c641038d6bc5d4e3b304b0" addr="T0R4C4S1_1" formatStyle="Comma" appId="_GBC_0d711628566c4b08b883151766986b20">
        <m:complexRule comparator="Eq" title="工程物资账面余额@本期期初数" test=" $_GBC_81b7958c64174066897ca01ce66eeb0e" id="C88eda08a1ff241809f9c747ea3ffa959"/>
      </m:item>
      <m:item xlName="_GBC_0a6005b15afa4ac9a8d3032061e9054d" concept="clcid-pte:GongChengWuZiJianZhiZhunBeiYuEHeJi" label="工程物资减值准备余额合计" periodRef="本期期初数" mulRef="_GBC_9e438118345a414ebb42540883d9d901" unitRef="_GBC_e98a8ba0f9c641038d6bc5d4e3b304b0" addr="T0R4C5S1_1" formatStyle="Comma" appId="_GBC_0d711628566c4b08b883151766986b20">
        <m:complexRule comparator="Eq" title="工程物资减值准备余额合计@本期期初数" test=" $_GBC_5d5c45a6fcbf43f6915719a7568f3484" id="C59cd76a905a545d89d1bbe371368a29f"/>
      </m:item>
      <m:item xlName="_GBC_8d0fb097f0c64ad88e4beb40c22b32f4" concept="clcid-pte:GongChengWuZi" label="工程物资" periodRef="本期期初数" mulRef="_GBC_9e438118345a414ebb42540883d9d901" unitRef="_GBC_e98a8ba0f9c641038d6bc5d4e3b304b0" addr="T0R4C6S1_1" formatStyle="Comma" appId="_GBC_0d711628566c4b08b883151766986b20">
        <m:complexRule comparator="Eq" title="工程物资@本期期初数" test=" $_GBC_a7b28cd4ce814de79b9ffe83bd0d3a9b" id="Ce2af6bb6888d4bedb0bd636d7fe3ddc6"/>
      </m:item>
      <m:item xlName="_GBC_6e6a056654d34f4baea4f3cf22bcb183" concept="clcid-pte:GongChengWuZiDeShuoMing" label="工程物资的说明" appId="_GBC_0d711628566c4b08b883151766986b20"/>
    </m:section>
    <m:section xlName="_GBC_e4aea5da03534f61818766a33b5ada09" title="采用成成本计量模式的生产性生物资产" helpId="112001070">
      <m:item xlName="_GBC_fca5101d9b46492484acd605f0ade969" concept="clcid-ci-ar:ShiFouShiYongCaiWuFuZhuYiChengBenJiLiangDeShengChanXingShengWuZiChan" label="是否适用：财务附注：以成本计量的生产性生物资产" selectOptions="_buildInAppliance" controlType="CustomCheckbox" cRanges="{&quot;StartName&quot;:&quot;_GBC_fca5101d9b46492484acd605f0ade969&quot;,&quot;EndName&quot;:&quot;_GBC_7da304d3fe39405d9c847a722a2e1c32&quot;,&quot;CType&quot;:1,&quot;DisplayText&quot;:null}"/>
      <m:item xlName="_GBC_8afc2b155d5243e2b4f3c22f6b7da2bd" concept="clcid-ci-ar:DanWeiCaiWuFuZhuShengChanXingShengWuZiChan" label="单位：财务附注：生产性生物资产" selectOptions="_buildInScales" controlType="Combobox" cellType="Scale" appId="_GBC_fca5101d9b46492484acd605f0ade969"/>
      <m:item xlName="_GBC_0d74af8d78954a0399a5033b09998e10" concept="clcid-ci-ar:BiZhongCaiWuFuZhuShengChanXingShengWuZiChan" label="币种：财务附注：生产性生物资产" selectOptions="_buildInISO4217" controlType="Combobox" cellType="Measure" appId="_GBC_fca5101d9b46492484acd605f0ade969"/>
      <m:placeholder xlName="_PLD_033689ced2c148d8a1360c219102b6ec" addr="T0R0C0S2_1"/>
      <m:item xlName="_GBC_37298d0873b742748b6534267b429e56" concept="clcid-pte:CaiYongChengBenJiLiangMoShiDeShengChanXingShengWuZiChanMingXiDaLei" label="采用成本计量模式的生产性生物资产明细-大类" selectOptions="110a155e36bc4c51ab841c59017c15df" addr="T0R0C1S1_1" controlType="CellText" tagAction="1" tupleRef="clcid-pte:CaiYongChengBenJiLiangMoShiDeShengChanXingShengWuZiChanMingXi" appId="_GBC_fca5101d9b46492484acd605f0ade969" defaultGridSpan="2" iterateOptionValue="4" checkOption="Ignore"/>
      <m:placeholder xlName="_PLD_bcfdeaa5742542dfb6ae81ff9c1fada3" addr="T0R0C2S2_1"/>
      <m:item xlName="_GBC_10017da45eaf432f918b10956ddefd3a" concept="clcid-pte:CaiYongChengBenJiLiangMoShiDeShengChanXingShengWuZiChanMingXiMingXiLei" label="采用成本计量模式的生产性生物资产明细-明细类" addr="T0R1C1S1_1" tupleRef="clcid-pte:CaiYongChengBenJiLiangMoShiDeShengChanXingShengWuZiChanMingXi" appId="_GBC_fca5101d9b46492484acd605f0ade969" isCaption="true"/>
      <m:placeholder xlName="_PLD_fae6a4ba1c5f4338aa9495068a59f2cb" addr="T0R2C0S1_1"/>
      <m:placeholder xlName="_PLD_74701529fee347aa98c99bb5bc6ca22c" addr="T0R3C0S1_1"/>
      <m:item xlName="_GBC_45e397b9f81f49d9b8b13decbdfee191" concept="clcid-pte:CaiYongChengBenJiLiangMoShiDeShengChanXingShengWuZiChanMingXiZhangMianYuanZhi" label="采用成本计量模式的生产性生物资产明细-账面原值" periodRef="本期期初数" mulRef="_GBC_8afc2b155d5243e2b4f3c22f6b7da2bd" unitRef="_GBC_0d74af8d78954a0399a5033b09998e10" addr="T0R3C1S1_1" formatStyle="Comma" tupleRef="clcid-pte:CaiYongChengBenJiLiangMoShiDeShengChanXingShengWuZiChanMingXi" appId="_GBC_fca5101d9b46492484acd605f0ade969"/>
      <m:item xlName="_GBC_daded8b5b3fb4e8eb314b9fd424b73de" concept="clcid-pte:ShengChanXingShengWuZiChanZhangMianYuanZhi" label="生产性生物资产账面原值" periodRef="本期期初数" mulRef="_GBC_8afc2b155d5243e2b4f3c22f6b7da2bd" unitRef="_GBC_0d74af8d78954a0399a5033b09998e10" addr="T0R3C2S1_1" formatStyle="Comma" appId="_GBC_fca5101d9b46492484acd605f0ade969">
        <m:complexRule comparator="Eq" title="生产性生物资产@本期期初数" disabled="true" test=" $_GBC_45e397b9f81f49d9b8b13decbdfee191" id="C2a0a5454c1e04944a0528368d524e1e6" serialType="2"/>
      </m:item>
      <m:placeholder xlName="_PLD_d8d465f24a3440eba28399d3f700fb76" addr="T0R4C0S1_1"/>
      <m:item xlName="_GBC_42e4b4dbeb7f4eb5912c119a63cdec59" concept="clcid-pte:CaiYongChengBenJiLiangMoShiDeShengChanXingShengWuZiChanMingXiZhangMianYuanZhiBenQiZengJiaE" label="采用成本计量模式的生产性生物资产明细-账面原值本期增加额" mulRef="_GBC_8afc2b155d5243e2b4f3c22f6b7da2bd" unitRef="_GBC_0d74af8d78954a0399a5033b09998e10" addr="T0R4C1S1_1" formatStyle="Comma" tupleRef="clcid-pte:CaiYongChengBenJiLiangMoShiDeShengChanXingShengWuZiChanMingXi" appId="_GBC_fca5101d9b46492484acd605f0ade969">
        <m:complexRule comparator="Eq" title="采用成本计量模式的生产性生物资产明细-账面原值本期增加额" test=" $_GBC_b837381e8d164b7d895b52d1c860a00c +  $_GBC_24e5fdf7ab1b4b35bc8b177578c5d15e +  $_GBC_ceacce17814341aa90791beb05719d8a" id="C0cd8c8f085c54e1bac3c512f054e64f9" serialType="1"/>
      </m:item>
      <m:item xlName="_GBC_1a9204b794214f31af6dbd0d45fef3b6" concept="clcid-pte:ShengChanXingShengWuZiChanZhangMianYuanZhiZengJiaE" label="生产性生物资产账面原值增加额" mulRef="_GBC_8afc2b155d5243e2b4f3c22f6b7da2bd" unitRef="_GBC_0d74af8d78954a0399a5033b09998e10" addr="T0R4C2S1_1" formatStyle="Comma" appId="_GBC_fca5101d9b46492484acd605f0ade969">
        <m:complexRule comparator="Eq" title="生产性生物资产增加额" test=" $_GBC_5ea760103cc04d4491135be81375157d +  $_GBC_da23ae11f1bd453681ceca149a40575e +  $_GBC_1e565463aeb54465a0ae3a4fb217be28" id="Cb07a171755574d2a8b97e6e5387bc558" serialType="1"/>
        <m:complexRule comparator="Eq" title="生产性生物资产增加额横向合计" test=" $_GBC_42e4b4dbeb7f4eb5912c119a63cdec59" id="Cc933a6cf6c334f67a99952d868098b38"/>
      </m:item>
      <m:placeholder xlName="_PLD_d7ddfd56458246809e8177db3403c4ea" addr="T0R5C0S1_1"/>
      <m:item xlName="_GBC_b837381e8d164b7d895b52d1c860a00c" concept="clcid-pte:CaiYongChengBenJiLiangMoShiDeShengChanXingShengWuZiChanMingXiWaiGouDaoZhiDeZhangMianYuanZhiBenQiZengJiaE" label="采用成本计量模式的生产性生物资产明细-外购导致的账面原值本期增加额" mulRef="_GBC_8afc2b155d5243e2b4f3c22f6b7da2bd" unitRef="_GBC_0d74af8d78954a0399a5033b09998e10" addr="T0R5C1S1_1" formatStyle="Comma" tupleRef="clcid-pte:CaiYongChengBenJiLiangMoShiDeShengChanXingShengWuZiChanMingXi" appId="_GBC_fca5101d9b46492484acd605f0ade969"/>
      <m:item xlName="_GBC_5ea760103cc04d4491135be81375157d" concept="clcid-pte:WaiGouDaoZhiDeShengChanXingShengWuZiChanZhangMianYuanZhiBenQiZengJiaEHeJi" label="外购导致的生产性生物资产账面原值本期增加额合计" mulRef="_GBC_8afc2b155d5243e2b4f3c22f6b7da2bd" unitRef="_GBC_0d74af8d78954a0399a5033b09998e10" addr="T0R5C2S1_1" formatStyle="Comma" appId="_GBC_fca5101d9b46492484acd605f0ade969">
        <m:complexRule comparator="Eq" title="外购导致的生产性生物资产账面原值本期增加额合计" test=" $_GBC_b837381e8d164b7d895b52d1c860a00c" id="Cde90403df22c4d8b91eb7541bdca1ba4" serialType="1"/>
      </m:item>
      <m:placeholder xlName="_PLD_6e770d99c0434ba491ee7092a4f87392" addr="T0R6C0S1_1"/>
      <m:item xlName="_GBC_24e5fdf7ab1b4b35bc8b177578c5d15e" concept="clcid-pte:CaiYongChengBenJiLiangMoShiDeShengChanXingShengWuZiChanMingXiZiXingPeiYuDaoZhiDeZhangMianYuanZhiBenQiZengJiaE" label="采用成本计量模式的生产性生物资产明细-自行培育导致的账面原值本期增加额" mulRef="_GBC_8afc2b155d5243e2b4f3c22f6b7da2bd" unitRef="_GBC_0d74af8d78954a0399a5033b09998e10" addr="T0R6C1S1_1" formatStyle="Comma" tupleRef="clcid-pte:CaiYongChengBenJiLiangMoShiDeShengChanXingShengWuZiChanMingXi" appId="_GBC_fca5101d9b46492484acd605f0ade969"/>
      <m:item xlName="_GBC_da23ae11f1bd453681ceca149a40575e" concept="clcid-pte:ZiXingPeiYuDaoZhiDeShengChanXingShengWuZiChanZhangMianYuanZhiBenQiZengJiaEHeJi" label="自行培育导致的生产性生物资产账面原值本期增加额合计" mulRef="_GBC_8afc2b155d5243e2b4f3c22f6b7da2bd" unitRef="_GBC_0d74af8d78954a0399a5033b09998e10" addr="T0R6C2S1_1" formatStyle="Comma" appId="_GBC_fca5101d9b46492484acd605f0ade969">
        <m:complexRule comparator="Eq" title="自行培育导致的生产性生物资产账面原值本期增加额合计" test=" $_GBC_24e5fdf7ab1b4b35bc8b177578c5d15e" id="C609d83efcc5c4c9893133f9250ed7431"/>
      </m:item>
      <m:item xlName="_GBC_4d0805c4f983445295dae28c07018b9e" concept="clcid-pte:CaiYongChengBenJiLiangMoShiDeShengChanXingShengWuZiChanZhangMianYuanZhiZengJiaXiangMuMingCheng1" label="采用成本计量模式的生产性生物资产账面原值增加项目名称1" addr="T0R7C0S1_1" tagAction="1" formatStyle="Comma" appId="_GBC_fca5101d9b46492484acd605f0ade969" isSerialConcept="true" serialDirection="1" serialDefaultCount="2"/>
      <m:item xlName="_GBC_ceacce17814341aa90791beb05719d8a" concept="clcid-pte:CaiYongChengBenJiLiangMoShiDeShengChanXingShengWuZiChanZhangMianYuanZhiZengJiaXiangMuJinE1" label="采用成本计量模式的生产性生物资产账面原值增加项目金额1" mulRef="_GBC_8afc2b155d5243e2b4f3c22f6b7da2bd" unitRef="_GBC_0d74af8d78954a0399a5033b09998e10" addr="T0R7C1S1_1" tagAction="1" formatStyle="Comma" tupleRef="clcid-pte:CaiYongChengBenJiLiangMoShiDeShengChanXingShengWuZiChanMingXi" appId="_GBC_fca5101d9b46492484acd605f0ade969" isSerialConcept="true" serialDirection="1" serialDefaultCount="2"/>
      <m:item xlName="_GBC_1e565463aeb54465a0ae3a4fb217be28" concept="clcid-pte:CaiYongChengBenJiLiangMoShiDeShengChanXingShengWuZiChanZhangMianYuanZhiZengJiaXiangMuHeJiJinE1" label="采用成本计量模式的生产性生物资产账面原值增加项目合计金额1" mulRef="_GBC_8afc2b155d5243e2b4f3c22f6b7da2bd" unitRef="_GBC_0d74af8d78954a0399a5033b09998e10" addr="T0R7C2S1_1" tagAction="1" formatStyle="Comma" appId="_GBC_fca5101d9b46492484acd605f0ade969" isSerialConcept="true" serialDirection="1" serialDefaultCount="2">
        <m:complexRule comparator="Eq" title="采用成本计量模式的生产性生物资产账面原值增加项目合计金额1" disabled="true" test=" $_GBC_ceacce17814341aa90791beb05719d8a" id="C72afcf19b0a74bf0be81a83e901f8581" serialType="2"/>
      </m:item>
      <m:placeholder xlName="_PLD_79b76306de2046c79f53a049883252cf" addr="T0R8C0S1_1"/>
      <m:item xlName="_GBC_58200de48fa0454caa4393d8c17b1eea" concept="clcid-pte:CaiYongChengBenJiLiangMoShiDeShengChanXingShengWuZiChanMingXiZhangMianYuanZhiBenQiJianShaoE" label="采用成本计量模式的生产性生物资产明细-账面原值本期减少额" mulRef="_GBC_8afc2b155d5243e2b4f3c22f6b7da2bd" unitRef="_GBC_0d74af8d78954a0399a5033b09998e10" addr="T0R8C1S1_1" formatStyle="Comma" tupleRef="clcid-pte:CaiYongChengBenJiLiangMoShiDeShengChanXingShengWuZiChanMingXi" appId="_GBC_fca5101d9b46492484acd605f0ade969">
        <m:complexRule comparator="Eq" title="采用成本计量模式的生产性生物资产明细-账面原值本期减少额" test=" $_GBC_ce4dd2c5cd904302af7472f3d8b129e2 +  $_GBC_2ad160ff299045ac895a277d1589c2ac +  $_GBC_3c3c8023fc82427db4909dac7196d3ad" id="C3dd95a37b8e0418a9df8bcf5ea6602b6" serialType="1"/>
      </m:item>
      <m:item xlName="_GBC_6615c746fa334a57aeb97de85845ec72" concept="clcid-pte:ShengChanXingShengWuZiChanZhangMianYuanZhiJianShaoE" label="生产性生物资产账面原值减少额" mulRef="_GBC_8afc2b155d5243e2b4f3c22f6b7da2bd" unitRef="_GBC_0d74af8d78954a0399a5033b09998e10" addr="T0R8C2S1_1" formatStyle="Comma" appId="_GBC_fca5101d9b46492484acd605f0ade969">
        <m:complexRule comparator="Eq" title="生产性生物资产减少额" test=" $_GBC_c52d6cc9e02448a59fe35c295366184e +  $_GBC_3fea530e362d4cfaaf2ff3fbb31627c8 +  $_GBC_c966bdd9fff44840ba4f07846b21a1e5" id="Cd0600edadb00489d9edb45f20c85d6fb" serialType="1"/>
        <m:complexRule comparator="Eq" title="生产性生物资产减少额横向合计" disabled="true" test=" $_GBC_58200de48fa0454caa4393d8c17b1eea" id="Cf811b064ce3743fbb6f4ae40a6b37b4b" serialType="2"/>
      </m:item>
      <m:placeholder xlName="_PLD_745411f27adc43f185213471d94a8369" addr="T0R9C0S1_1"/>
      <m:item xlName="_GBC_ce4dd2c5cd904302af7472f3d8b129e2" concept="clcid-pte:CaiYongChengBenJiLiangMoShiDeShengChanXingShengWuZiChanMingXiChuZhiDaoZhiDeZhangMianYuanZhiBenQiJianShaoE" label="采用成本计量模式的生产性生物资产明细-处置导致的账面原值本期减少额" mulRef="_GBC_8afc2b155d5243e2b4f3c22f6b7da2bd" unitRef="_GBC_0d74af8d78954a0399a5033b09998e10" addr="T0R9C1S1_1" formatStyle="Comma" tupleRef="clcid-pte:CaiYongChengBenJiLiangMoShiDeShengChanXingShengWuZiChanMingXi" appId="_GBC_fca5101d9b46492484acd605f0ade969"/>
      <m:item xlName="_GBC_c52d6cc9e02448a59fe35c295366184e" concept="clcid-pte:ChuZhiDaoZhiDeShengChanXingShengWuZiChanZhangMianYuanZhiBenQiJianShaoEHeJi" label="处置导致的生产性生物资产账面原值本期减少额合计" mulRef="_GBC_8afc2b155d5243e2b4f3c22f6b7da2bd" unitRef="_GBC_0d74af8d78954a0399a5033b09998e10" addr="T0R9C2S1_1" formatStyle="Comma" appId="_GBC_fca5101d9b46492484acd605f0ade969">
        <m:complexRule comparator="Eq" title="处置导致的生产性生物资产账面原值本期减少额合计" disabled="true" test=" $_GBC_ce4dd2c5cd904302af7472f3d8b129e2" id="C4319834bb71d473aafbdeee8fca5795e" serialType="2"/>
      </m:item>
      <m:placeholder xlName="_PLD_c1e1ee0878064d1a91b253b725b77952" addr="T0R10C0S1_1"/>
      <m:item xlName="_GBC_2ad160ff299045ac895a277d1589c2ac" concept="clcid-pte:CaiYongChengBenJiLiangMoShiDeShengChanXingShengWuZiChanMingXiQiTaZhangMianYuanZhiBenQiJianShaoE" label="采用成本计量模式的生产性生物资产明细-其他账面原值本期减少额" mulRef="_GBC_8afc2b155d5243e2b4f3c22f6b7da2bd" unitRef="_GBC_0d74af8d78954a0399a5033b09998e10" addr="T0R10C1S1_1" formatStyle="Comma" tupleRef="clcid-pte:CaiYongChengBenJiLiangMoShiDeShengChanXingShengWuZiChanMingXi" appId="_GBC_fca5101d9b46492484acd605f0ade969"/>
      <m:item xlName="_GBC_3fea530e362d4cfaaf2ff3fbb31627c8" concept="clcid-pte:QiTaDaoZhiDeShengChanXingShengWuZiChanZhangMianYuanZhiBenQiJianShaoEHeJi" label="其他导致的生产性生物资产账面原值本期减少额合计" mulRef="_GBC_8afc2b155d5243e2b4f3c22f6b7da2bd" unitRef="_GBC_0d74af8d78954a0399a5033b09998e10" addr="T0R10C2S1_1" formatStyle="Comma" appId="_GBC_fca5101d9b46492484acd605f0ade969">
        <m:complexRule comparator="Eq" title="其他导致的生产性生物资产账面原值本期减少额合计" disabled="true" test=" $_GBC_2ad160ff299045ac895a277d1589c2ac" id="C4051aaa444f74b9aba36c3880595fe17" serialType="2"/>
      </m:item>
      <m:item xlName="_GBC_0d7b7d0a90cd4aa29728434e0901b510" concept="clcid-pte:CaiYongChengBenJiLiangMoShiDeShengChanXingShengWuZiChanZhangMianYuanZhiJianShaoXiangMuMingCheng1" label="采用成本计量模式的生产性生物资产账面原值减少项目名称1" addr="T0R11C0S1_1" tagAction="1" formatStyle="Comma" appId="_GBC_fca5101d9b46492484acd605f0ade969" isSerialConcept="true" serialDirection="1" serialDefaultCount="2"/>
      <m:item xlName="_GBC_3c3c8023fc82427db4909dac7196d3ad" concept="clcid-pte:CaiYongChengBenJiLiangMoShiDeShengChanXingShengWuZiChanZhangMianYuanZhiJianShaoXiangMuJinE1" label="采用成本计量模式的生产性生物资产账面原值减少项目金额1" mulRef="_GBC_8afc2b155d5243e2b4f3c22f6b7da2bd" unitRef="_GBC_0d74af8d78954a0399a5033b09998e10" addr="T0R11C1S1_1" tagAction="1" formatStyle="Comma" tupleRef="clcid-pte:CaiYongChengBenJiLiangMoShiDeShengChanXingShengWuZiChanMingXi" appId="_GBC_fca5101d9b46492484acd605f0ade969" isSerialConcept="true" serialDirection="1" serialDefaultCount="2"/>
      <m:item xlName="_GBC_c966bdd9fff44840ba4f07846b21a1e5" concept="clcid-pte:CaiYongChengBenJiLiangMoShiDeShengChanXingShengWuZiChanZhangMianYuanZhiJianShaoXiangMuHeJiJinE1" label="采用成本计量模式的生产性生物资产账面原值减少项目合计金额1" mulRef="_GBC_8afc2b155d5243e2b4f3c22f6b7da2bd" unitRef="_GBC_0d74af8d78954a0399a5033b09998e10" addr="T0R11C2S1_1" tagAction="1" formatStyle="Comma" appId="_GBC_fca5101d9b46492484acd605f0ade969" isSerialConcept="true" serialDirection="1" serialDefaultCount="2">
        <m:complexRule comparator="Eq" title="采用成本计量模式的生产性生物资产账面原值减少项目合计金额1" disabled="true" test=" $_GBC_3c3c8023fc82427db4909dac7196d3ad" id="C58e0bb10f3494e6f9fcf1d4679147b11" serialType="2"/>
      </m:item>
      <m:placeholder xlName="_PLD_953bb1f98fba42a28b62b60ab292588a" addr="T0R12C0S1_1"/>
      <m:item xlName="_GBC_a532eb1391f84b2da0545636b76180f0" concept="clcid-pte:CaiYongChengBenJiLiangMoShiDeShengChanXingShengWuZiChanMingXiZhangMianYuanZhi" label="采用成本计量模式的生产性生物资产明细-账面原值" mulRef="_GBC_8afc2b155d5243e2b4f3c22f6b7da2bd" unitRef="_GBC_0d74af8d78954a0399a5033b09998e10" addr="T0R12C1S1_1" formatStyle="Comma" tupleRef="clcid-pte:CaiYongChengBenJiLiangMoShiDeShengChanXingShengWuZiChanMingXi" appId="_GBC_fca5101d9b46492484acd605f0ade969">
        <m:complexRule comparator="Eq" title="采用成本计量模式的生产性生物资产明细-账面原值" test=" $_GBC_45e397b9f81f49d9b8b13decbdfee191 +  $_GBC_42e4b4dbeb7f4eb5912c119a63cdec59 -  $_GBC_58200de48fa0454caa4393d8c17b1eea" id="Cae2a63cc7b814e12a50ac4a45f657817"/>
      </m:item>
      <m:item xlName="_GBC_8176a610ec0547b4ba54281b6a076b4f" concept="clcid-pte:ShengChanXingShengWuZiChanZhangMianYuanZhi" label="生产性生物资产账面原值" mulRef="_GBC_8afc2b155d5243e2b4f3c22f6b7da2bd" unitRef="_GBC_0d74af8d78954a0399a5033b09998e10" addr="T0R12C2S1_1" formatStyle="Comma" appId="_GBC_fca5101d9b46492484acd605f0ade969">
        <m:complexRule comparator="Eq" title="生产性生物资产" test=" $_GBC_daded8b5b3fb4e8eb314b9fd424b73de +  $_GBC_1a9204b794214f31af6dbd0d45fef3b6 -  $_GBC_6615c746fa334a57aeb97de85845ec72" id="C04c58b9d4f4246f2a4388d9714ca220e"/>
        <m:complexRule comparator="Eq" title="生产性生物资产横向合计" disabled="true" test=" $_GBC_a532eb1391f84b2da0545636b76180f0" id="C212a793eaed4489fba7a662a04a90fbe" serialType="2"/>
      </m:item>
      <m:placeholder xlName="_PLD_3cd00c8a988242cea0be291c8cd07120" addr="T0R13C0S1_1"/>
      <m:placeholder xlName="_PLD_52af87366011479387aa87d0f3bf06f1" addr="T0R14C0S1_1"/>
      <m:item xlName="_GBC_407ac7dea8f24e859197354dc3e5dee2" concept="clcid-pte:CaiYongChengBenJiLiangMoShiDeShengChanXingShengWuZiChanMingXiLeiJiZheJiu" label="采用成本计量模式的生产性生物资产明细-累计折旧" periodRef="本期期初数" mulRef="_GBC_8afc2b155d5243e2b4f3c22f6b7da2bd" unitRef="_GBC_0d74af8d78954a0399a5033b09998e10" addr="T0R14C1S1_1" formatStyle="Comma" tupleRef="clcid-pte:CaiYongChengBenJiLiangMoShiDeShengChanXingShengWuZiChanMingXi" appId="_GBC_fca5101d9b46492484acd605f0ade969"/>
      <m:item xlName="_GBC_d73ade742c37412dacf3a9be99354bc9" concept="clcid-pte:ShengChanXingShengWuZiChanLeiJiZheJiuHeJi" label="生产性生物资产累计折旧合计" periodRef="本期期初数" mulRef="_GBC_8afc2b155d5243e2b4f3c22f6b7da2bd" unitRef="_GBC_0d74af8d78954a0399a5033b09998e10" addr="T0R14C2S1_1" formatStyle="Comma" appId="_GBC_fca5101d9b46492484acd605f0ade969">
        <m:complexRule comparator="Eq" title="生产性生物资产累计折旧合计@本期期初数" disabled="true" test=" $_GBC_407ac7dea8f24e859197354dc3e5dee2" id="C6e5c45ae7174438fa659b2e7f24fc165" serialType="2"/>
      </m:item>
      <m:placeholder xlName="_PLD_2172301b1e0d4bc99c8b119028a2485d" addr="T0R15C0S1_1"/>
      <m:item xlName="_GBC_655ba2d7ba8c4e4a9b218f50a966b902" concept="clcid-pte:CaiYongChengBenJiLiangMoShiDeShengChanXingShengWuZiChanMingXiLeiJiZheJiuBenQiZengJiaE" label="采用成本计量模式的生产性生物资产明细-累计折旧本期增加额" mulRef="_GBC_8afc2b155d5243e2b4f3c22f6b7da2bd" unitRef="_GBC_0d74af8d78954a0399a5033b09998e10" addr="T0R15C1S1_1" formatStyle="Comma" tupleRef="clcid-pte:CaiYongChengBenJiLiangMoShiDeShengChanXingShengWuZiChanMingXi" appId="_GBC_fca5101d9b46492484acd605f0ade969">
        <m:complexRule comparator="Eq" title="采用成本计量模式的生产性生物资产明细-累计折旧本期增加额" test=" $_GBC_b0520570a6ea4f38a9719d50cd48cbb8 +  $_GBC_e158b1bc8e194005ba886347af5a5564" id="C629c955a0e5544de8b72d608aff94a20" serialType="1"/>
      </m:item>
      <m:item xlName="_GBC_1450221ae9bf4caabce5ffe0add48dd7" concept="clcid-pte:ShengChanXingShengWuZiChanLeiJiZheJiuBenQiZengJiaEHeJi" label="生产性生物资产累计折旧本期增加额合计" mulRef="_GBC_8afc2b155d5243e2b4f3c22f6b7da2bd" unitRef="_GBC_0d74af8d78954a0399a5033b09998e10" addr="T0R15C2S1_1" formatStyle="Comma" appId="_GBC_fca5101d9b46492484acd605f0ade969">
        <m:complexRule comparator="Eq" title="生产性生物资产累计折旧本期增加额合计" test=" $_GBC_baba52c68fa14f29bd6328b8f950f913 +  $_GBC_d24a4fcaccd742b68e5a5c3cbd968ba6" id="C7e6e094eaa9d437bbca0cb4b67533d71" serialType="1"/>
        <m:complexRule comparator="Eq" title="生产性生物资产累计折旧本期增加额合计横向合计" disabled="true" test=" $_GBC_655ba2d7ba8c4e4a9b218f50a966b902" id="C99b57a6aba054e41be2abc990fdf1640" serialType="2"/>
      </m:item>
      <m:placeholder xlName="_PLD_783457d8dc1a4005adcf8d7a840e586d" addr="T0R16C0S1_1"/>
      <m:item xlName="_GBC_b0520570a6ea4f38a9719d50cd48cbb8" concept="clcid-pte:CaiYongChengBenJiLiangMoShiDeShengChanXingShengWuZiChanMingXiJiTiDaoZhiDeLeiJiZheJiuBenQiZengJiaE" label="采用成本计量模式的生产性生物资产明细-计提导致的累计折旧本期增加额" mulRef="_GBC_8afc2b155d5243e2b4f3c22f6b7da2bd" unitRef="_GBC_0d74af8d78954a0399a5033b09998e10" addr="T0R16C1S1_1" formatStyle="Comma" tupleRef="clcid-pte:CaiYongChengBenJiLiangMoShiDeShengChanXingShengWuZiChanMingXi" appId="_GBC_fca5101d9b46492484acd605f0ade969"/>
      <m:item xlName="_GBC_baba52c68fa14f29bd6328b8f950f913" concept="clcid-pte:ShengChanXingShengWuZiChanLeiJiZheJiuJiTiZengJiaEHeJi" label="生产性生物资产累计折旧计提增加额合计" mulRef="_GBC_8afc2b155d5243e2b4f3c22f6b7da2bd" unitRef="_GBC_0d74af8d78954a0399a5033b09998e10" addr="T0R16C2S1_1" formatStyle="Comma" appId="_GBC_fca5101d9b46492484acd605f0ade969">
        <m:complexRule comparator="Eq" title="生产性生物资产累计折旧计提增加额合计" disabled="true" test=" $_GBC_b0520570a6ea4f38a9719d50cd48cbb8" id="Cd743124ffdaa4ea592f4cba249838263" serialType="2"/>
      </m:item>
      <m:item xlName="_GBC_2d4145015c31420398c51b82a9e49903" concept="clcid-pte:CaiYongChengBenJiLiangMoShiDeShengChanXingShengWuZiChanLeiJiZheJiuZengJiaXiangMuMingCheng1" label="采用成本计量模式的生产性生物资产累计折旧增加项目名称1" addr="T0R17C0S1_1" tagAction="1" formatStyle="Comma" appId="_GBC_fca5101d9b46492484acd605f0ade969" isSerialConcept="true" serialDirection="1" serialDefaultCount="2"/>
      <m:item xlName="_GBC_e158b1bc8e194005ba886347af5a5564" concept="clcid-pte:CaiYongChengBenJiLiangMoShiDeShengChanXingShengWuZiChanLeiJiZheJiuZengJiaXiangMuJinE1" label="采用成本计量模式的生产性生物资产累计折旧增加项目金额1" mulRef="_GBC_8afc2b155d5243e2b4f3c22f6b7da2bd" unitRef="_GBC_0d74af8d78954a0399a5033b09998e10" addr="T0R17C1S1_1" tagAction="1" formatStyle="Comma" tupleRef="clcid-pte:CaiYongChengBenJiLiangMoShiDeShengChanXingShengWuZiChanMingXi" appId="_GBC_fca5101d9b46492484acd605f0ade969" isSerialConcept="true" serialDirection="1" serialDefaultCount="2"/>
      <m:item xlName="_GBC_d24a4fcaccd742b68e5a5c3cbd968ba6" concept="clcid-pte:CaiYongChengBenJiLiangMoShiDeShengChanXingShengWuZiChanLeiJiZheJiuZengJiaXiangMuHeJiJinE1" label="采用成本计量模式的生产性生物资产累计折旧增加项目合计金额1" mulRef="_GBC_8afc2b155d5243e2b4f3c22f6b7da2bd" unitRef="_GBC_0d74af8d78954a0399a5033b09998e10" addr="T0R17C2S1_1" tagAction="1" formatStyle="Comma" appId="_GBC_fca5101d9b46492484acd605f0ade969" isSerialConcept="true" serialDirection="1" serialDefaultCount="2">
        <m:complexRule comparator="Eq" title="采用成本计量模式的生产性生物资产累计折旧增加项目合计金额1" disabled="true" test=" $_GBC_e158b1bc8e194005ba886347af5a5564" id="C45613cd3dd7b4da8811a6a65484be0be" serialType="2"/>
      </m:item>
      <m:placeholder xlName="_PLD_7f91d94e75984f71aaa7434bd789b020" addr="T0R18C0S1_1"/>
      <m:item xlName="_GBC_84138ac4ee624ca58b47cef8e1e38a1b" concept="clcid-pte:CaiYongChengBenJiLiangMoShiDeShengChanXingShengWuZiChanMingXiLeiJiZheJiuBenQiJianShaoE" label="采用成本计量模式的生产性生物资产明细-累计折旧本期减少额" mulRef="_GBC_8afc2b155d5243e2b4f3c22f6b7da2bd" unitRef="_GBC_0d74af8d78954a0399a5033b09998e10" addr="T0R18C1S1_1" formatStyle="Comma" tupleRef="clcid-pte:CaiYongChengBenJiLiangMoShiDeShengChanXingShengWuZiChanMingXi" appId="_GBC_fca5101d9b46492484acd605f0ade969">
        <m:complexRule comparator="Eq" title="采用成本计量模式的生产性生物资产明细-累计折旧本期减少额" test=" $_GBC_2dbe8a82c68e4552a9d08b6621f3a1b8 +  $_GBC_a7ec33d019304e0086fedc4fcd2dbfc4 +  $_GBC_884a102fd93345c1a492ccf21ac60049" id="C5d15097264c04e3290f02cf2626a735a" serialType="1"/>
      </m:item>
      <m:item xlName="_GBC_3088523a603f4bb89a29559d6b98ed28" concept="clcid-pte:ShengChanXingShengWuZiChanLeiJiZheJiuBenQiJianShaoEHeJi" label="生产性生物资产累计折旧本期减少额合计" mulRef="_GBC_8afc2b155d5243e2b4f3c22f6b7da2bd" unitRef="_GBC_0d74af8d78954a0399a5033b09998e10" addr="T0R18C2S1_1" formatStyle="Comma" appId="_GBC_fca5101d9b46492484acd605f0ade969">
        <m:complexRule comparator="Eq" title="生产性生物资产累计折旧本期减少额合计" test=" $_GBC_46a947a77a874db18e345dfcc23d7723 +  $_GBC_8fac285180ba44a1ae94caa63b467765 +  $_GBC_1a4c1526aa804663b51d17c89cb5828a" id="Ca587c9463c8b4789b60f3da3b302113d" serialType="1"/>
        <m:complexRule comparator="Eq" title="生产性生物资产累计折旧本期减少额合计横向合计" disabled="true" test=" $_GBC_84138ac4ee624ca58b47cef8e1e38a1b" id="C4f7eb4a759554d1da5bb92473d4a50ea" serialType="2"/>
      </m:item>
      <m:placeholder xlName="_PLD_a51f33ec33594d2baeaa4ee759f74272" addr="T0R19C0S1_1"/>
      <m:item xlName="_GBC_2dbe8a82c68e4552a9d08b6621f3a1b8" concept="clcid-pte:CaiYongChengBenJiLiangMoShiDeShengChanXingShengWuZiChanMingXiChuZhiDaoZhiDeLeiJiZheJiuBenQiJianShaoE" label="采用成本计量模式的生产性生物资产明细-处置导致的累计折旧本期减少额" mulRef="_GBC_8afc2b155d5243e2b4f3c22f6b7da2bd" unitRef="_GBC_0d74af8d78954a0399a5033b09998e10" addr="T0R19C1S1_1" formatStyle="Comma" tupleRef="clcid-pte:CaiYongChengBenJiLiangMoShiDeShengChanXingShengWuZiChanMingXi" appId="_GBC_fca5101d9b46492484acd605f0ade969"/>
      <m:item xlName="_GBC_46a947a77a874db18e345dfcc23d7723" concept="clcid-pte:ShengChanXingShengWuZiChanLeiJiZheJiuChuZhiJianShaoEHeJi" label="生产性生物资产累计折旧处置减少额合计" mulRef="_GBC_8afc2b155d5243e2b4f3c22f6b7da2bd" unitRef="_GBC_0d74af8d78954a0399a5033b09998e10" addr="T0R19C2S1_1" formatStyle="Comma" appId="_GBC_fca5101d9b46492484acd605f0ade969">
        <m:complexRule comparator="Eq" title="生产性生物资产累计折旧处置减少额合计" disabled="true" test=" $_GBC_2dbe8a82c68e4552a9d08b6621f3a1b8" id="C2634cc002fd94ba0adeb8925d462f6d3" serialType="2"/>
      </m:item>
      <m:placeholder xlName="_PLD_34b1fedc3d644f74ae4a876bf64af60f" addr="T0R20C0S1_1"/>
      <m:item xlName="_GBC_a7ec33d019304e0086fedc4fcd2dbfc4" concept="clcid-pte:CaiYongChengBenJiLiangMoShiDeShengChanXingShengWuZiChanMingXiQiTaLeiJiZheJiuBenQiJianShaoE" label="采用成本计量模式的生产性生物资产明细-其他累计折旧本期减少额" mulRef="_GBC_8afc2b155d5243e2b4f3c22f6b7da2bd" unitRef="_GBC_0d74af8d78954a0399a5033b09998e10" addr="T0R20C1S1_1" formatStyle="Comma" tupleRef="clcid-pte:CaiYongChengBenJiLiangMoShiDeShengChanXingShengWuZiChanMingXi" appId="_GBC_fca5101d9b46492484acd605f0ade969"/>
      <m:item xlName="_GBC_8fac285180ba44a1ae94caa63b467765" concept="clcid-pte:ShengChanXingShengWuZiChanLeiJiZheJiuQiTaJianShaoEHeJi" label="生产性生物资产累计折旧其他减少额合计" mulRef="_GBC_8afc2b155d5243e2b4f3c22f6b7da2bd" unitRef="_GBC_0d74af8d78954a0399a5033b09998e10" addr="T0R20C2S1_1" formatStyle="Comma" appId="_GBC_fca5101d9b46492484acd605f0ade969">
        <m:complexRule comparator="Eq" title="生产性生物资产累计折旧其他减少额合计" disabled="true" test=" $_GBC_a7ec33d019304e0086fedc4fcd2dbfc4" id="C34e7a89accde4820b9f0ec89b58afd60" serialType="2"/>
      </m:item>
      <m:item xlName="_GBC_dd879676c3a04f138fb4cf4f1f1e6426" concept="clcid-pte:CaiYongChengBenJiLiangMoShiDeShengChanXingShengWuZiChanLeiJiZheJiuJianShaoXiangMuMingCheng1" label="采用成本计量模式的生产性生物资产累计折旧减少项目名称1" addr="T0R21C0S1_1" tagAction="1" formatStyle="Comma" appId="_GBC_fca5101d9b46492484acd605f0ade969" isSerialConcept="true" serialDirection="1" serialDefaultCount="2"/>
      <m:item xlName="_GBC_884a102fd93345c1a492ccf21ac60049" concept="clcid-pte:CaiYongChengBenJiLiangMoShiDeShengChanXingShengWuZiChanLeiJiZheJiuJianShaoXiangMuJinE1" label="采用成本计量模式的生产性生物资产累计折旧减少项目金额1" mulRef="_GBC_8afc2b155d5243e2b4f3c22f6b7da2bd" unitRef="_GBC_0d74af8d78954a0399a5033b09998e10" addr="T0R21C1S1_1" tagAction="1" formatStyle="Comma" tupleRef="clcid-pte:CaiYongChengBenJiLiangMoShiDeShengChanXingShengWuZiChanMingXi" appId="_GBC_fca5101d9b46492484acd605f0ade969" isSerialConcept="true" serialDirection="1" serialDefaultCount="2"/>
      <m:item xlName="_GBC_1a4c1526aa804663b51d17c89cb5828a" concept="clcid-pte:CaiYongChengBenJiLiangMoShiDeShengChanXingShengWuZiChanLeiJiZheJiuJianShaoXiangMuHeJiJinE1" label="采用成本计量模式的生产性生物资产累计折旧减少项目合计金额1" mulRef="_GBC_8afc2b155d5243e2b4f3c22f6b7da2bd" unitRef="_GBC_0d74af8d78954a0399a5033b09998e10" addr="T0R21C2S1_1" tagAction="1" formatStyle="Comma" appId="_GBC_fca5101d9b46492484acd605f0ade969" isSerialConcept="true" serialDirection="1" serialDefaultCount="2">
        <m:complexRule comparator="Eq" title="采用成本计量模式的生产性生物资产累计折旧减少项目合计金额1" disabled="true" test=" $_GBC_884a102fd93345c1a492ccf21ac60049" id="C265533c1c72d4579a9c2bdfd5c270c63" serialType="2"/>
      </m:item>
      <m:placeholder xlName="_PLD_2be34796111b498a93eac539b526c36e" addr="T0R22C0S1_1"/>
      <m:item xlName="_GBC_8a4ada0dde3b471dbb74dd4423dbb00f" concept="clcid-pte:CaiYongChengBenJiLiangMoShiDeShengChanXingShengWuZiChanMingXiLeiJiZheJiu" label="采用成本计量模式的生产性生物资产明细-累计折旧" mulRef="_GBC_8afc2b155d5243e2b4f3c22f6b7da2bd" unitRef="_GBC_0d74af8d78954a0399a5033b09998e10" addr="T0R22C1S1_1" formatStyle="Comma" tupleRef="clcid-pte:CaiYongChengBenJiLiangMoShiDeShengChanXingShengWuZiChanMingXi" appId="_GBC_fca5101d9b46492484acd605f0ade969">
        <m:complexRule comparator="Eq" title="采用成本计量模式的生产性生物资产明细-累计折旧" test=" $_GBC_407ac7dea8f24e859197354dc3e5dee2 +  $_GBC_655ba2d7ba8c4e4a9b218f50a966b902 -  $_GBC_84138ac4ee624ca58b47cef8e1e38a1b" id="C41aa642c63a945f694f6c8480261b915"/>
      </m:item>
      <m:item xlName="_GBC_b5f4ff468c7f4a9bb92f401596ba7c5b" concept="clcid-pte:ShengChanXingShengWuZiChanLeiJiZheJiuHeJi" label="生产性生物资产累计折旧合计" mulRef="_GBC_8afc2b155d5243e2b4f3c22f6b7da2bd" unitRef="_GBC_0d74af8d78954a0399a5033b09998e10" addr="T0R22C2S1_1" formatStyle="Comma" appId="_GBC_fca5101d9b46492484acd605f0ade969">
        <m:complexRule comparator="Eq" title="生产性生物资产累计折旧合计" test=" $_GBC_d73ade742c37412dacf3a9be99354bc9 +  $_GBC_1450221ae9bf4caabce5ffe0add48dd7 -  $_GBC_3088523a603f4bb89a29559d6b98ed28" id="C2a76cb614cbb4e4b9db1c89dca0fa985"/>
        <m:complexRule comparator="Eq" title="生产性生物资产累计折旧合计横向合计" test=" $_GBC_8a4ada0dde3b471dbb74dd4423dbb00f" id="Cb15226325430488087ba778dcea4d826"/>
      </m:item>
      <m:placeholder xlName="_PLD_13b380e570714d3997e34a56f7b6a343" addr="T0R23C0S1_1"/>
      <m:placeholder xlName="_PLD_e926515c148b4a10957bda0686511e11" addr="T0R24C0S1_1"/>
      <m:item xlName="_GBC_4c805f175a7246a3b8ce01db44d2f298" concept="clcid-pte:CaiYongChengBenJiLiangMoShiDeShengChanXingShengWuZiChanMingXiJianZhiZhunBei" label="采用成本计量模式的生产性生物资产明细-减值准备" periodRef="本期期初数" mulRef="_GBC_8afc2b155d5243e2b4f3c22f6b7da2bd" unitRef="_GBC_0d74af8d78954a0399a5033b09998e10" addr="T0R24C1S1_1" formatStyle="Comma" tupleRef="clcid-pte:CaiYongChengBenJiLiangMoShiDeShengChanXingShengWuZiChanMingXi" appId="_GBC_fca5101d9b46492484acd605f0ade969"/>
      <m:item xlName="_GBC_c7a89254bc1f4ae48c0132f92ff3fa5b" concept="clcid-pte:ShengChanXingShengWuZiChanJianZhiZhunBeiHeJi" label="生产性生物资产减值准备合计" periodRef="本期期初数" mulRef="_GBC_8afc2b155d5243e2b4f3c22f6b7da2bd" unitRef="_GBC_0d74af8d78954a0399a5033b09998e10" addr="T0R24C2S1_1" formatStyle="Comma" appId="_GBC_fca5101d9b46492484acd605f0ade969">
        <m:complexRule comparator="Eq" title="生产性生物资产减值准备合计@本期期初数" disabled="true" test=" $_GBC_4c805f175a7246a3b8ce01db44d2f298" id="C35e7786890d94462aba21e1f00c78615" serialType="2"/>
      </m:item>
      <m:placeholder xlName="_PLD_883ac9cc8670435dbe418d223d5980cd" addr="T0R25C0S1_1"/>
      <m:item xlName="_GBC_9b2aed5224bb404e9fd1bd856aa58913" concept="clcid-pte:CaiYongChengBenJiLiangMoShiDeShengChanXingShengWuZiChanMingXiJianZhiZhunBeiBenQiZengJiaE" label="采用成本计量模式的生产性生物资产明细-减值准备本期增加额" mulRef="_GBC_8afc2b155d5243e2b4f3c22f6b7da2bd" unitRef="_GBC_0d74af8d78954a0399a5033b09998e10" addr="T0R25C1S1_1" formatStyle="Comma" tupleRef="clcid-pte:CaiYongChengBenJiLiangMoShiDeShengChanXingShengWuZiChanMingXi" appId="_GBC_fca5101d9b46492484acd605f0ade969">
        <m:complexRule comparator="Eq" title="采用成本计量模式的生产性生物资产明细-减值准备本期增加额" test=" $_GBC_d67976ba494d4be180ddfd3516ece825 +  $_GBC_b8c0f11d859148688aeb5584681fb47f" id="C91225fb0b6234619b0e7047571ee7bac" serialType="1"/>
      </m:item>
      <m:item xlName="_GBC_4961bac2061a4102b5d8f98d017876b5" concept="clcid-pte:ShengChanXingShengWuZiChanJianZhiZhunBeiBenQiZengJiaEHeJi" label="生产性生物资产减值准备本期增加额合计" mulRef="_GBC_8afc2b155d5243e2b4f3c22f6b7da2bd" unitRef="_GBC_0d74af8d78954a0399a5033b09998e10" addr="T0R25C2S1_1" formatStyle="Comma" appId="_GBC_fca5101d9b46492484acd605f0ade969">
        <m:complexRule comparator="Eq" title="生产性生物资产减值准备本期增加额合计" test=" $_GBC_6f6936e3e00d40779b632b4a4c779d35 +  $_GBC_8d1b2df787364e69a3a17a58c34820f1" id="Cd240e878cb2c438eb75c2e52452966ed" serialType="1"/>
        <m:complexRule comparator="Eq" title="生产性生物资产减值准备本期增加额合计横向合计" disabled="true" test=" $_GBC_9b2aed5224bb404e9fd1bd856aa58913" id="Ccc93324307874429a5acfe43531e8070" serialType="2"/>
      </m:item>
      <m:placeholder xlName="_PLD_5d78c8f967db4e869300cb411ecb267c" addr="T0R26C0S1_1"/>
      <m:item xlName="_GBC_d67976ba494d4be180ddfd3516ece825" concept="clcid-pte:CaiYongChengBenJiLiangMoShiDeShengChanXingShengWuZiChanMingXiJiTiDaoZhiDeJianZhiZhunBeiBenQiZengJiaE" label="采用成本计量模式的生产性生物资产明细-计提导致的减值准备本期增加额" mulRef="_GBC_8afc2b155d5243e2b4f3c22f6b7da2bd" unitRef="_GBC_0d74af8d78954a0399a5033b09998e10" addr="T0R26C1S1_1" formatStyle="Comma" tupleRef="clcid-pte:CaiYongChengBenJiLiangMoShiDeShengChanXingShengWuZiChanMingXi" appId="_GBC_fca5101d9b46492484acd605f0ade969"/>
      <m:item xlName="_GBC_6f6936e3e00d40779b632b4a4c779d35" concept="clcid-pte:ShengChanXingShengWuZiChanJianZhiZhunBeiJiTiZengJiaEHeJi" label="生产性生物资产减值准备计提增加额合计" mulRef="_GBC_8afc2b155d5243e2b4f3c22f6b7da2bd" unitRef="_GBC_0d74af8d78954a0399a5033b09998e10" addr="T0R26C2S1_1" formatStyle="Comma" appId="_GBC_fca5101d9b46492484acd605f0ade969">
        <m:complexRule comparator="Eq" title="生产性生物资产减值准备计提增加额合计" disabled="true" test=" $_GBC_d67976ba494d4be180ddfd3516ece825" id="C95011dedf4b048d0bf4a0d05bdaa2a03" serialType="2"/>
      </m:item>
      <m:item xlName="_GBC_7e0ee06a6082462a83449406ab0acf6a" concept="clcid-pte:CaiYongChengBenJiLiangMoShiDeShengChanXingShengWuZiChanJianZhiZhunBeiZengJiaXiangMuMingCheng1" label="采用成本计量模式的生产性生物资产减值准备增加项目名称1" addr="T0R27C0S1_1" tagAction="1" formatStyle="Comma" appId="_GBC_fca5101d9b46492484acd605f0ade969" isSerialConcept="true" serialDirection="1" serialDefaultCount="2"/>
      <m:item xlName="_GBC_b8c0f11d859148688aeb5584681fb47f" concept="clcid-pte:CaiYongChengBenJiLiangMoShiDeShengChanXingShengWuZiChanJianZhiZhunBeiZengJiaXiangMuJinE1" label="采用成本计量模式的生产性生物资产减值准备增加项目金额1" mulRef="_GBC_8afc2b155d5243e2b4f3c22f6b7da2bd" unitRef="_GBC_0d74af8d78954a0399a5033b09998e10" addr="T0R27C1S1_1" tagAction="1" formatStyle="Comma" tupleRef="clcid-pte:CaiYongChengBenJiLiangMoShiDeShengChanXingShengWuZiChanMingXi" appId="_GBC_fca5101d9b46492484acd605f0ade969" isSerialConcept="true" serialDirection="1" serialDefaultCount="2"/>
      <m:item xlName="_GBC_8d1b2df787364e69a3a17a58c34820f1" concept="clcid-pte:CaiYongChengBenJiLiangMoShiDeShengChanXingShengWuZiChanJianZhiZhunBeiZengJiaXiangMuHeJiJinE1" label="采用成本计量模式的生产性生物资产减值准备增加项目合计金额1" mulRef="_GBC_8afc2b155d5243e2b4f3c22f6b7da2bd" unitRef="_GBC_0d74af8d78954a0399a5033b09998e10" addr="T0R27C2S1_1" tagAction="1" formatStyle="Comma" appId="_GBC_fca5101d9b46492484acd605f0ade969" isSerialConcept="true" serialDirection="1" serialDefaultCount="2">
        <m:complexRule comparator="Eq" title="采用成本计量模式的生产性生物资产减值准备增加项目合计金额1" disabled="true" test=" $_GBC_b8c0f11d859148688aeb5584681fb47f" id="Cd7e4fc0cba3b4558bf17e955651725b5" serialType="2"/>
      </m:item>
      <m:placeholder xlName="_PLD_6218b33f4cf74d7193ad7f05ce920d02" addr="T0R28C0S1_1"/>
      <m:item xlName="_GBC_655f59a50b5b4a488e18bdaa3cc64ef6" concept="clcid-pte:CaiYongChengBenJiLiangMoShiDeShengChanXingShengWuZiChanMingXiJianZhiZhunBeiBenQiJianShaoE" label="采用成本计量模式的生产性生物资产明细-减值准备本期减少额" mulRef="_GBC_8afc2b155d5243e2b4f3c22f6b7da2bd" unitRef="_GBC_0d74af8d78954a0399a5033b09998e10" addr="T0R28C1S1_1" formatStyle="Comma" tupleRef="clcid-pte:CaiYongChengBenJiLiangMoShiDeShengChanXingShengWuZiChanMingXi" appId="_GBC_fca5101d9b46492484acd605f0ade969">
        <m:complexRule comparator="Eq" title="采用成本计量模式的生产性生物资产明细-减值准备本期减少额" test=" $_GBC_7e842fa4a7964b528d4f64265fc5d2ce +  $_GBC_53e37e72027a4f5e8d7d678c34b5fa38 +  $_GBC_5c5937766b01458b9a3ba345bb6246a1" id="Cf9129acc85234abcb545a5122b6c32a0" serialType="1"/>
      </m:item>
      <m:item xlName="_GBC_a344de1913a0473c8c385eaee89d9359" concept="clcid-pte:ShengChanXingShengWuZiChanJianZhiZhunBeiBenQiJianShaoEHeJi" label="生产性生物资产减值准备本期减少额合计" mulRef="_GBC_8afc2b155d5243e2b4f3c22f6b7da2bd" unitRef="_GBC_0d74af8d78954a0399a5033b09998e10" addr="T0R28C2S1_1" formatStyle="Comma" appId="_GBC_fca5101d9b46492484acd605f0ade969">
        <m:complexRule comparator="Eq" title="生产性生物资产减值准备本期减少额合计" test=" $_GBC_1ab3748a95a84b2f81ce13f9c8da5387 +  $_GBC_7a505efdb93048ff90c1996dd5610766 +  $_GBC_af6647e43ac0423590120a88fda2ae64" id="C71551703fbfe444ea456a64f3fce8ce3" serialType="1"/>
      </m:item>
      <m:placeholder xlName="_PLD_71f25ab304cf42708788dd72aad2209b" addr="T0R29C0S1_1"/>
      <m:item xlName="_GBC_7e842fa4a7964b528d4f64265fc5d2ce" concept="clcid-pte:CaiYongChengBenJiLiangMoShiDeShengChanXingShengWuZiChanMingXiChuZhiDaoZhiDeJianZhiZhunBeiBenQiJianShaoE" label="采用成本计量模式的生产性生物资产明细-处置导致的减值准备本期减少额" mulRef="_GBC_8afc2b155d5243e2b4f3c22f6b7da2bd" unitRef="_GBC_0d74af8d78954a0399a5033b09998e10" addr="T0R29C1S1_1" formatStyle="Comma" tupleRef="clcid-pte:CaiYongChengBenJiLiangMoShiDeShengChanXingShengWuZiChanMingXi" appId="_GBC_fca5101d9b46492484acd605f0ade969"/>
      <m:item xlName="_GBC_1ab3748a95a84b2f81ce13f9c8da5387" concept="clcid-pte:ShengChanXingShengWuZiChanJianZhiZhunBeiChuZhiJianShaoEHeJi" label="生产性生物资产减值准备处置减少额合计" mulRef="_GBC_8afc2b155d5243e2b4f3c22f6b7da2bd" unitRef="_GBC_0d74af8d78954a0399a5033b09998e10" addr="T0R29C2S1_1" formatStyle="Comma" appId="_GBC_fca5101d9b46492484acd605f0ade969"/>
      <m:placeholder xlName="_PLD_a8376f04d493418d8c8e49513a6fad8a" addr="T0R30C0S1_1"/>
      <m:item xlName="_GBC_53e37e72027a4f5e8d7d678c34b5fa38" concept="clcid-pte:CaiYongChengBenJiLiangMoShiDeShengChanXingShengWuZiChanMingXiQiTaJianZhiZhunBeiBenQiJianShaoE" label="采用成本计量模式的生产性生物资产明细-其他减值准备本期减少额" mulRef="_GBC_8afc2b155d5243e2b4f3c22f6b7da2bd" unitRef="_GBC_0d74af8d78954a0399a5033b09998e10" addr="T0R30C1S1_1" formatStyle="Comma" tupleRef="clcid-pte:CaiYongChengBenJiLiangMoShiDeShengChanXingShengWuZiChanMingXi" appId="_GBC_fca5101d9b46492484acd605f0ade969"/>
      <m:item xlName="_GBC_7a505efdb93048ff90c1996dd5610766" concept="clcid-pte:ShengChanXingShengWuZiChanJianZhiZhunBeiQiTaJianShaoEHeJi" label="生产性生物资产减值准备其他减少额合计" mulRef="_GBC_8afc2b155d5243e2b4f3c22f6b7da2bd" unitRef="_GBC_0d74af8d78954a0399a5033b09998e10" addr="T0R30C2S1_1" formatStyle="Comma" appId="_GBC_fca5101d9b46492484acd605f0ade969"/>
      <m:item xlName="_GBC_56b89b34e0594f06b1b8a1a78b0673a7" concept="clcid-pte:CaiYongChengBenJiLiangMoShiDeShengChanXingShengWuZiChanJianZhiZhunBeiJianShaoXiangMuMingCheng1" label="采用成本计量模式的生产性生物资产减值准备减少项目名称1" addr="T0R31C0S1_1" tagAction="1" formatStyle="Comma" appId="_GBC_fca5101d9b46492484acd605f0ade969" isSerialConcept="true" serialDirection="1" serialDefaultCount="2"/>
      <m:item xlName="_GBC_5c5937766b01458b9a3ba345bb6246a1" concept="clcid-pte:CaiYongChengBenJiLiangMoShiDeShengChanXingShengWuZiChanJianZhiZhunBeiJianShaoXiangMuJinE1" label="采用成本计量模式的生产性生物资产减值准备减少项目金额1" mulRef="_GBC_8afc2b155d5243e2b4f3c22f6b7da2bd" unitRef="_GBC_0d74af8d78954a0399a5033b09998e10" addr="T0R31C1S1_1" tagAction="1" formatStyle="Comma" tupleRef="clcid-pte:CaiYongChengBenJiLiangMoShiDeShengChanXingShengWuZiChanMingXi" appId="_GBC_fca5101d9b46492484acd605f0ade969" isSerialConcept="true" serialDirection="1" serialDefaultCount="2"/>
      <m:item xlName="_GBC_af6647e43ac0423590120a88fda2ae64" concept="clcid-pte:CaiYongChengBenJiLiangMoShiDeShengChanXingShengWuZiChanJianZhiZhunBeiJianShaoXiangMuHeJiJinE1" label="采用成本计量模式的生产性生物资产减值准备减少项目合计金额1" mulRef="_GBC_8afc2b155d5243e2b4f3c22f6b7da2bd" unitRef="_GBC_0d74af8d78954a0399a5033b09998e10" addr="T0R31C2S1_1" tagAction="1" formatStyle="Comma" appId="_GBC_fca5101d9b46492484acd605f0ade969" isSerialConcept="true" serialDirection="1" serialDefaultCount="2"/>
      <m:placeholder xlName="_PLD_96380adaff4c445086627a9df62c9a45" addr="T0R32C0S1_1"/>
      <m:item xlName="_GBC_4d2090add55a4d3f81551c99cb650a77" concept="clcid-pte:CaiYongChengBenJiLiangMoShiDeShengChanXingShengWuZiChanMingXiJianZhiZhunBei" label="采用成本计量模式的生产性生物资产明细-减值准备" mulRef="_GBC_8afc2b155d5243e2b4f3c22f6b7da2bd" unitRef="_GBC_0d74af8d78954a0399a5033b09998e10" addr="T0R32C1S1_1" formatStyle="Comma" tupleRef="clcid-pte:CaiYongChengBenJiLiangMoShiDeShengChanXingShengWuZiChanMingXi" appId="_GBC_fca5101d9b46492484acd605f0ade969">
        <m:complexRule comparator="Eq" title="采用成本计量模式的生产性生物资产明细-减值准备" test=" $_GBC_4c805f175a7246a3b8ce01db44d2f298 +  $_GBC_9b2aed5224bb404e9fd1bd856aa58913 -  $_GBC_655f59a50b5b4a488e18bdaa3cc64ef6" id="Cc2af3f8ee71b41459f391d06494a69bb"/>
      </m:item>
      <m:item xlName="_GBC_61d53755578c4adcb3cac34b1dfe73d7" concept="clcid-pte:ShengChanXingShengWuZiChanJianZhiZhunBeiHeJi" label="生产性生物资产减值准备合计" mulRef="_GBC_8afc2b155d5243e2b4f3c22f6b7da2bd" unitRef="_GBC_0d74af8d78954a0399a5033b09998e10" addr="T0R32C2S1_1" formatStyle="Comma" appId="_GBC_fca5101d9b46492484acd605f0ade969">
        <m:complexRule comparator="Eq" title="生产性生物资产减值准备合计" test=" $_GBC_c7a89254bc1f4ae48c0132f92ff3fa5b +  $_GBC_4961bac2061a4102b5d8f98d017876b5 -  $_GBC_a344de1913a0473c8c385eaee89d9359" id="Ca44724f8f88d4afb9b523c44e3c9da42"/>
      </m:item>
      <m:placeholder xlName="_PLD_91520a736f6d4383ba612cecfae1b278" addr="T0R33C0S1_1"/>
      <m:placeholder xlName="_PLD_5f474bd7b1624beebfb948b2a7c34cd8" addr="T0R34C0S1_1"/>
      <m:item xlName="_GBC_746d9573fb8d49b59ed9ebfa33476054" concept="clcid-pte:CaiYongChengBenJiLiangMoShiDeShengChanXingShengWuZiChanMingXiZhangMianJiaZhi" label="采用成本计量模式的生产性生物资产明细-账面价值" mulRef="_GBC_8afc2b155d5243e2b4f3c22f6b7da2bd" unitRef="_GBC_0d74af8d78954a0399a5033b09998e10" addr="T0R34C1S1_1" formatStyle="Comma" tupleRef="clcid-pte:CaiYongChengBenJiLiangMoShiDeShengChanXingShengWuZiChanMingXi" appId="_GBC_fca5101d9b46492484acd605f0ade969"/>
      <m:item xlName="_GBC_0b3d391b7d3f41be8d165a830684a0d3" concept="clcid-pte:ShengChanXingShengWuZiChan" label="生产性生物资产" mulRef="_GBC_8afc2b155d5243e2b4f3c22f6b7da2bd" unitRef="_GBC_0d74af8d78954a0399a5033b09998e10" addr="T0R34C2S1_1" formatStyle="Comma" appId="_GBC_fca5101d9b46492484acd605f0ade969">
        <m:complexRule comparator="Eq" title="生产性生物资产账面价值合计" test=" $_GBC_746d9573fb8d49b59ed9ebfa33476054" id="Cfe1922eb44784942b05bbb082527c0da"/>
      </m:item>
      <m:placeholder xlName="_PLD_14939af24773451ea9d8cb025e8e23e5" addr="T0R35C0S1_1"/>
      <m:item xlName="_GBC_72237d40c4ea4ce79bc3fa382e3efef5" concept="clcid-pte:CaiYongChengBenJiLiangMoShiDeShengChanXingShengWuZiChanMingXiZhangMianJiaZhi" label="采用成本计量模式的生产性生物资产明细-账面价值" periodRef="本期期初数" mulRef="_GBC_8afc2b155d5243e2b4f3c22f6b7da2bd" unitRef="_GBC_0d74af8d78954a0399a5033b09998e10" addr="T0R35C1S1_1" formatStyle="Comma" tupleRef="clcid-pte:CaiYongChengBenJiLiangMoShiDeShengChanXingShengWuZiChanMingXi" appId="_GBC_fca5101d9b46492484acd605f0ade969"/>
      <m:item xlName="_GBC_7da304d3fe39405d9c847a722a2e1c32" concept="clcid-pte:ShengChanXingShengWuZiChan" label="生产性生物资产" periodRef="本期期初数" mulRef="_GBC_8afc2b155d5243e2b4f3c22f6b7da2bd" unitRef="_GBC_0d74af8d78954a0399a5033b09998e10" addr="T0R35C2S1_1" formatStyle="Comma" appId="_GBC_fca5101d9b46492484acd605f0ade969">
        <m:complexRule comparator="Eq" title="生产性生物资产账面价值合计@本期期初数" test=" $_GBC_72237d40c4ea4ce79bc3fa382e3efef5" id="Ce260e870c17340de84f1de4bb57a8524"/>
      </m:item>
      <m:virtualTuples>
        <m:virtualTuple id="5080c45b-c3e2-466e-8ce4-2a86227ee3da" tupleRef="clcid-pte:CaiYongChengBenJiLiangMoShiDeShengChanXingShengWuZiChanMingXi" defaultRows="8" extendDirection="2" splitWidth="1"/>
      </m:virtualTuples>
    </m:section>
    <m:section xlName="_GBC_c6f2d306944241a8a32f51421c437b66" title="采用公允价值计量模式的生产性生物资产" helpId="112001070">
      <m:item xlName="_GBC_3a67921e606f4abca6478a1ffb759394" concept="clcid-ci-ar:ShiFouShiYongCaiWuFuZhuYiGongYunJiaZhiJiLiangDeShengChanXingShengWuZiChan" label="是否适用：财务附注：以公允价值计量的生产性生物资产" selectOptions="_buildInAppliance" controlType="CustomCheckbox" cRanges="{&quot;StartName&quot;:&quot;_GBC_3a67921e606f4abca6478a1ffb759394&quot;,&quot;EndName&quot;:&quot;_GBC_7fafcd45c2374bc8b51b80fbb218316f&quot;,&quot;CType&quot;:1,&quot;DisplayText&quot;:null}"/>
      <m:item xlName="_GBC_4cd1897fc74e4c0f92c62bc50b91b6dc" concept="clcid-ci-ar:DanWeiCaiWuFuZhuYiGongYunJiaZhiJiLiangDeShengChanXingShengWuZiChan" label="单位：财务附注：以公允价值计量的生产性生物资产" selectOptions="_buildInScales" controlType="Combobox" cellType="Scale" appId="_GBC_3a67921e606f4abca6478a1ffb759394"/>
      <m:item xlName="_GBC_fcf7fe23d4a443288a9705c3b6fa5dc9" concept="clcid-ci-ar:BiZhongCaiWuFuZhuYiGongYunJiaZhiJiLiangDeShengChanXingShengWuZiChan" label="币种：财务附注：以公允价值计量的生产性生物资产" selectOptions="_buildInISO4217" controlType="Combobox" cellType="Measure" appId="_GBC_3a67921e606f4abca6478a1ffb759394"/>
      <m:placeholder xlName="_PLD_d4982e6c4d364741ae2d2c782f60ada3" addr="T0R0C0S2_1"/>
      <m:item xlName="_GBC_00c6f39b13e74b1ebb04ad68b586ca59" concept="clcid-pte:CaiYongGongYunJiaZhiJiLiangMoShiDeShengChanXingShengWuZiChanMingXiDaLei" label="采用公允价值计量模式的生产性生物资产明细-大类" selectOptions="110a155e36bc4c51ab841c59017c15df" addr="T0R0C1S1_1" controlType="CellText" tagAction="1" tupleRef="clcid-pte:CaiYongGongYunJiaZhiJiLiangMoShiDeShengChanXingShengWuZiChanMingXi" appId="_GBC_3a67921e606f4abca6478a1ffb759394" defaultGridSpan="2" iterateOptionValue="4" checkOption="Ignore"/>
      <m:placeholder xlName="_PLD_d044065297884cd29d724d31fb2cdcb3" addr="T0R0C2S2_1"/>
      <m:item xlName="_GBC_5f4c38d1813b424f9ddb59464cefed44" concept="clcid-pte:CaiYongGongYunJiaZhiJiLiangMoShiDeShengChanXingShengWuZiChanMingXiMingXiLei" label="采用公允价值计量模式的生产性生物资产明细-明细类" addr="T0R1C1S1_1" tupleRef="clcid-pte:CaiYongGongYunJiaZhiJiLiangMoShiDeShengChanXingShengWuZiChanMingXi" appId="_GBC_3a67921e606f4abca6478a1ffb759394" isCaption="true"/>
      <m:placeholder xlName="_PLD_13aa3551f6584b32a6b857968b66223d" addr="T0R2C0S1_1"/>
      <m:item xlName="_GBC_8e3024fdd5464573a21ac5454cb53902" concept="clcid-pte:CaiYongGongYunJiaZhiJiLiangMoShiDeShengChanXingShengWuZiChanMingXiZhangMianYuE" label="采用公允价值计量模式的生产性生物资产明细-账面余额" periodRef="本期期初数" mulRef="_GBC_4cd1897fc74e4c0f92c62bc50b91b6dc" unitRef="_GBC_fcf7fe23d4a443288a9705c3b6fa5dc9" addr="T0R2C1S1_1" formatStyle="Comma" tupleRef="clcid-pte:CaiYongGongYunJiaZhiJiLiangMoShiDeShengChanXingShengWuZiChanMingXi" appId="_GBC_3a67921e606f4abca6478a1ffb759394"/>
      <m:item xlName="_GBC_abd01a099b784028a51f4fbb0ae1cce7" concept="clcid-pte:ShengChanXingShengWuZiChan" label="生产性生物资产" periodRef="本期期初数" mulRef="_GBC_4cd1897fc74e4c0f92c62bc50b91b6dc" unitRef="_GBC_fcf7fe23d4a443288a9705c3b6fa5dc9" addr="T0R2C2S1_1" formatStyle="Comma" appId="_GBC_3a67921e606f4abca6478a1ffb759394"/>
      <m:placeholder xlName="_PLD_667d429fa35147c8be768509d923136e" addr="T0R3C0S1_1"/>
      <m:item xlName="_GBC_ab11fb534d2e47399269f9a5e83e2f03" concept="clcid-pte:CaiYongGongYunJiaZhiJiLiangMoShiDeShengChanXingShengWuZiChanMingXiBenQiBianDong" label="采用公允价值计量模式的生产性生物资产明细-本期变动" mulRef="_GBC_4cd1897fc74e4c0f92c62bc50b91b6dc" unitRef="_GBC_fcf7fe23d4a443288a9705c3b6fa5dc9" addr="T0R3C1S1_1" formatStyle="Comma" tupleRef="clcid-pte:CaiYongGongYunJiaZhiJiLiangMoShiDeShengChanXingShengWuZiChanMingXi" appId="_GBC_3a67921e606f4abca6478a1ffb759394">
        <m:complexRule comparator="Eq" title="采用公允价值计量模式的生产性生物资产明细-本期变动" test=" $_GBC_f185ef8a8c7848949ecf909250de6b68 +  $_GBC_c0e0d6975392409ca22a9c58d33c44ec +  $_GBC_6039bb64944d4d02bbee9d707738d5b9 -  $_GBC_8f4182afe71b449d8b86dae9bab05ec2 -  $_GBC_62540ecd4ddb4f56a1baa86d94b1bcd3 +  $_GBC_00c9689abe2347258e51f4f0378c6cd8 +  $_GBC_2d44ebc2aa5a457e978be51c7d856e9f" id="Ca1e825f01fd54a02870dcc13c2ba3e77" serialType="1"/>
      </m:item>
      <m:item xlName="_GBC_a7c3a0ac6b0542d7b64fc152e44a207c" concept="clcid-pte:CaiYongGongYunJiaZhiJiLiangMoShiDeShengChanXingShengWuZiChanBenQiBianDongHeJi" label="采用公允价值计量模式的生产性生物资产本期变动合计" mulRef="_GBC_4cd1897fc74e4c0f92c62bc50b91b6dc" unitRef="_GBC_fcf7fe23d4a443288a9705c3b6fa5dc9" addr="T0R3C2S1_1" formatStyle="Comma" appId="_GBC_3a67921e606f4abca6478a1ffb759394">
        <m:complexRule comparator="Eq" title="采用公允价值计量模式的生产性生物资产本期变动合计" test=" $_GBC_9684d9855097493c873988fabccea876 +  $_GBC_9cb0b1164bf34d56a0aa83d3dd4a5f95 +  $_GBC_45f95699d46b442395a8e63841e96365 -  $_GBC_86c4b9e99299425e861967b8aade6ea2 -  $_GBC_93540e5d74644ba9b002281f27125816 +  $_GBC_18192fdc06d64656b74760922f17fc80 +  $_GBC_dff10da30baf4bb0b1134dff6952192a" id="C7d8dfada49f1464bb08ee9f903cd0854" serialType="1"/>
      </m:item>
      <m:placeholder xlName="_PLD_353cb66e30734cfca176c6062e6dc232" addr="T0R4C0S1_1"/>
      <m:item xlName="_GBC_f185ef8a8c7848949ecf909250de6b68" concept="clcid-pte:CaiYongGongYunJiaZhiJiLiangMoShiDeShengChanXingShengWuZiChanMingXiWaiGou" label="采用公允价值计量模式的生产性生物资产明细-外购" mulRef="_GBC_4cd1897fc74e4c0f92c62bc50b91b6dc" unitRef="_GBC_fcf7fe23d4a443288a9705c3b6fa5dc9" addr="T0R4C1S1_1" formatStyle="Comma" tupleRef="clcid-pte:CaiYongGongYunJiaZhiJiLiangMoShiDeShengChanXingShengWuZiChanMingXi" appId="_GBC_3a67921e606f4abca6478a1ffb759394"/>
      <m:item xlName="_GBC_9684d9855097493c873988fabccea876" concept="clcid-pte:CaiYongGongYunJiaZhiJiLiangMoShiDeShengChanXingShengWuZiChanWaiGouHeJi" label="采用公允价值计量模式的生产性生物资产外购合计" mulRef="_GBC_4cd1897fc74e4c0f92c62bc50b91b6dc" unitRef="_GBC_fcf7fe23d4a443288a9705c3b6fa5dc9" addr="T0R4C2S1_1" formatStyle="Comma" appId="_GBC_3a67921e606f4abca6478a1ffb759394"/>
      <m:placeholder xlName="_PLD_dd80096fc7ef4cb5ad4f1c39e7727b00" addr="T0R5C0S1_1"/>
      <m:item xlName="_GBC_c0e0d6975392409ca22a9c58d33c44ec" concept="clcid-pte:CaiYongGongYunJiaZhiJiLiangMoShiDeShengChanXingShengWuZiChanMingXiZiXingPeiYu" label="采用公允价值计量模式的生产性生物资产明细-自行培育" mulRef="_GBC_4cd1897fc74e4c0f92c62bc50b91b6dc" unitRef="_GBC_fcf7fe23d4a443288a9705c3b6fa5dc9" addr="T0R5C1S1_1" formatStyle="Comma" tupleRef="clcid-pte:CaiYongGongYunJiaZhiJiLiangMoShiDeShengChanXingShengWuZiChanMingXi" appId="_GBC_3a67921e606f4abca6478a1ffb759394"/>
      <m:item xlName="_GBC_9cb0b1164bf34d56a0aa83d3dd4a5f95" concept="clcid-pte:CaiYongGongYunJiaZhiJiLiangMoShiDeShengChanXingShengWuZiChanZiXingPeiYuHeJi" label="采用公允价值计量模式的生产性生物资产自行培育合计" mulRef="_GBC_4cd1897fc74e4c0f92c62bc50b91b6dc" unitRef="_GBC_fcf7fe23d4a443288a9705c3b6fa5dc9" addr="T0R5C2S1_1" formatStyle="Comma" appId="_GBC_3a67921e606f4abca6478a1ffb759394"/>
      <m:placeholder xlName="_PLD_0c4eff719c7047549f231dcf2e8bdea3" addr="T0R6C0S1_1"/>
      <m:item xlName="_GBC_6039bb64944d4d02bbee9d707738d5b9" concept="clcid-pte:CaiYongGongYunJiaZhiJiLiangMoShiDeShengChanXingShengWuZiChanMingXiQiYeHeBingZengJia" label="采用公允价值计量模式的生产性生物资产明细-企业合并增加" mulRef="_GBC_4cd1897fc74e4c0f92c62bc50b91b6dc" unitRef="_GBC_fcf7fe23d4a443288a9705c3b6fa5dc9" addr="T0R6C1S1_1" formatStyle="Comma" tupleRef="clcid-pte:CaiYongGongYunJiaZhiJiLiangMoShiDeShengChanXingShengWuZiChanMingXi" appId="_GBC_3a67921e606f4abca6478a1ffb759394"/>
      <m:item xlName="_GBC_45f95699d46b442395a8e63841e96365" concept="clcid-pte:CaiYongGongYunJiaZhiJiLiangMoShiDeShengChanXingShengWuZiChanQiYeHeBingZengJiaHeJi" label="采用公允价值计量模式的生产性生物资产企业合并增加合计" mulRef="_GBC_4cd1897fc74e4c0f92c62bc50b91b6dc" unitRef="_GBC_fcf7fe23d4a443288a9705c3b6fa5dc9" addr="T0R6C2S1_1" formatStyle="Comma" appId="_GBC_3a67921e606f4abca6478a1ffb759394"/>
      <m:placeholder xlName="_PLD_c787d2d42c5c4188b9b8fd7a77644b6e" addr="T0R7C0S1_1"/>
      <m:item xlName="_GBC_8f4182afe71b449d8b86dae9bab05ec2" concept="clcid-pte:CaiYongGongYunJiaZhiJiLiangMoShiDeShengChanXingShengWuZiChanMingXiChuZhi" label="采用公允价值计量模式的生产性生物资产明细-处置" mulRef="_GBC_4cd1897fc74e4c0f92c62bc50b91b6dc" unitRef="_GBC_fcf7fe23d4a443288a9705c3b6fa5dc9" addr="T0R7C1S1_1" formatStyle="Comma" tupleRef="clcid-pte:CaiYongGongYunJiaZhiJiLiangMoShiDeShengChanXingShengWuZiChanMingXi" appId="_GBC_3a67921e606f4abca6478a1ffb759394"/>
      <m:item xlName="_GBC_86c4b9e99299425e861967b8aade6ea2" concept="clcid-pte:CaiYongGongYunJiaZhiJiLiangMoShiDeShengChanXingShengWuZiChanChuZhiHeJi" label="采用公允价值计量模式的生产性生物资产处置合计" mulRef="_GBC_4cd1897fc74e4c0f92c62bc50b91b6dc" unitRef="_GBC_fcf7fe23d4a443288a9705c3b6fa5dc9" addr="T0R7C2S1_1" formatStyle="Comma" appId="_GBC_3a67921e606f4abca6478a1ffb759394"/>
      <m:placeholder xlName="_PLD_1769d0fad6b544f788f76aca498d156a" addr="T0R8C0S1_1"/>
      <m:item xlName="_GBC_62540ecd4ddb4f56a1baa86d94b1bcd3" concept="clcid-pte:CaiYongGongYunJiaZhiJiLiangMoShiDeShengChanXingShengWuZiChanMingXiQiTaZhuanChu" label="采用公允价值计量模式的生产性生物资产明细-其他转出" mulRef="_GBC_4cd1897fc74e4c0f92c62bc50b91b6dc" unitRef="_GBC_fcf7fe23d4a443288a9705c3b6fa5dc9" addr="T0R8C1S1_1" formatStyle="Comma" tupleRef="clcid-pte:CaiYongGongYunJiaZhiJiLiangMoShiDeShengChanXingShengWuZiChanMingXi" appId="_GBC_3a67921e606f4abca6478a1ffb759394"/>
      <m:item xlName="_GBC_93540e5d74644ba9b002281f27125816" concept="clcid-pte:CaiYongGongYunJiaZhiJiLiangMoShiDeShengChanXingShengWuZiChanQiTaZhuanChuHeJi" label="采用公允价值计量模式的生产性生物资产其他转出合计" mulRef="_GBC_4cd1897fc74e4c0f92c62bc50b91b6dc" unitRef="_GBC_fcf7fe23d4a443288a9705c3b6fa5dc9" addr="T0R8C2S1_1" formatStyle="Comma" appId="_GBC_3a67921e606f4abca6478a1ffb759394"/>
      <m:placeholder xlName="_PLD_0162e0fc16b04bea9848c4e1c20ccdad" addr="T0R9C0S1_1"/>
      <m:item xlName="_GBC_00c9689abe2347258e51f4f0378c6cd8" concept="clcid-pte:CaiYongGongYunJiaZhiJiLiangMoShiDeShengChanXingShengWuZiChanMingXiGongYunJiaZhiBianDong" label="采用公允价值计量模式的生产性生物资产明细-公允价值变动" mulRef="_GBC_4cd1897fc74e4c0f92c62bc50b91b6dc" unitRef="_GBC_fcf7fe23d4a443288a9705c3b6fa5dc9" addr="T0R9C1S1_1" formatStyle="Comma" tupleRef="clcid-pte:CaiYongGongYunJiaZhiJiLiangMoShiDeShengChanXingShengWuZiChanMingXi" appId="_GBC_3a67921e606f4abca6478a1ffb759394"/>
      <m:item xlName="_GBC_18192fdc06d64656b74760922f17fc80" concept="clcid-pte:CaiYongGongYunJiaZhiJiLiangMoShiDeShengChanXingShengWuZiChanGongYunJiaZhiBianDongHeJi" label="采用公允价值计量模式的生产性生物资产公允价值变动合计" mulRef="_GBC_4cd1897fc74e4c0f92c62bc50b91b6dc" unitRef="_GBC_fcf7fe23d4a443288a9705c3b6fa5dc9" addr="T0R9C2S1_1" formatStyle="Comma" appId="_GBC_3a67921e606f4abca6478a1ffb759394"/>
      <m:item xlName="_GBC_bd346fb9942b4d7b92baf41b55dda86a" concept="clcid-pte:CaiYongGongYunJiaZhiJiLiangMoShiDeShengChanXingShengWuZiChanBianDongXiangMuMingCheng1" label="采用公允价值计量模式的生产性生物资产变动项目名称1" addr="T0R10C0S1_1" tagAction="1" formatStyle="Comma" appId="_GBC_3a67921e606f4abca6478a1ffb759394" isSerialConcept="true" serialDirection="1" serialDefaultCount="2"/>
      <m:item xlName="_GBC_2d44ebc2aa5a457e978be51c7d856e9f" concept="clcid-pte:CaiYongGongYunJiaZhiJiLiangMoShiDeShengChanXingShengWuZiChanBianDongXiangMuMingChengJinE1" label="采用公允价值计量模式的生产性生物资产变动项目名称金额1" mulRef="_GBC_4cd1897fc74e4c0f92c62bc50b91b6dc" unitRef="_GBC_fcf7fe23d4a443288a9705c3b6fa5dc9" addr="T0R10C1S1_1" tagAction="1" formatStyle="Comma" tupleRef="clcid-pte:CaiYongGongYunJiaZhiJiLiangMoShiDeShengChanXingShengWuZiChanMingXi" appId="_GBC_3a67921e606f4abca6478a1ffb759394" isSerialConcept="true" serialDirection="1"/>
      <m:item xlName="_GBC_dff10da30baf4bb0b1134dff6952192a" concept="clcid-pte:CaiYongGongYunJiaZhiJiLiangMoShiDeShengChanXingShengWuZiChanBianDongXiangMuMingChengJinEHeJi1" label="采用公允价值计量模式的生产性生物资产变动项目名称金额合计1" mulRef="_GBC_4cd1897fc74e4c0f92c62bc50b91b6dc" unitRef="_GBC_fcf7fe23d4a443288a9705c3b6fa5dc9" addr="T0R10C2S1_1" tagAction="1" formatStyle="Comma" appId="_GBC_3a67921e606f4abca6478a1ffb759394" isSerialConcept="true" serialDirection="1"/>
      <m:placeholder xlName="_PLD_ff18f4f57e7146178ad4d18ed3fd2707" addr="T0R11C0S1_1"/>
      <m:item xlName="_GBC_45ff310d7bb54569971af44da56bfa43" concept="clcid-pte:CaiYongGongYunJiaZhiJiLiangMoShiDeShengChanXingShengWuZiChanMingXiZhangMianYuE" label="采用公允价值计量模式的生产性生物资产明细-账面余额" mulRef="_GBC_4cd1897fc74e4c0f92c62bc50b91b6dc" unitRef="_GBC_fcf7fe23d4a443288a9705c3b6fa5dc9" addr="T0R11C1S1_1" formatStyle="Comma" tupleRef="clcid-pte:CaiYongGongYunJiaZhiJiLiangMoShiDeShengChanXingShengWuZiChanMingXi" appId="_GBC_3a67921e606f4abca6478a1ffb759394">
        <m:complexRule comparator="Eq" title="采用公允价值计量模式的生产性生物资产明细-账面余额" test=" $_GBC_8e3024fdd5464573a21ac5454cb53902 +  $_GBC_ab11fb534d2e47399269f9a5e83e2f03" id="Cfe06308b052147d8a9677c6d7c15ba23"/>
      </m:item>
      <m:item xlName="_GBC_7fafcd45c2374bc8b51b80fbb218316f" concept="clcid-pte:ShengChanXingShengWuZiChan" label="生产性生物资产" mulRef="_GBC_4cd1897fc74e4c0f92c62bc50b91b6dc" unitRef="_GBC_fcf7fe23d4a443288a9705c3b6fa5dc9" addr="T0R11C2S1_1" formatStyle="Comma" appId="_GBC_3a67921e606f4abca6478a1ffb759394">
        <m:complexRule comparator="Eq" title="生产性生物资产" test=" $_GBC_abd01a099b784028a51f4fbb0ae1cce7 +  $_GBC_a7c3a0ac6b0542d7b64fc152e44a207c" id="C6a7923bd54ed4829891035e3cd3e2863"/>
      </m:item>
      <m:virtualTuples>
        <m:virtualTuple id="e6d9fec0-4b75-4442-afa4-5b5810eb6611" tupleRef="clcid-pte:CaiYongGongYunJiaZhiJiLiangMoShiDeShengChanXingShengWuZiChanMingXi" defaultRows="8" extendDirection="2" splitWidth="1"/>
      </m:virtualTuples>
    </m:section>
    <m:section xlName="_GBC_2bc189a19173429a899369a340bb8483" title="生产性生物资产的说明" convertSummaryRule="NoConvert" helpId="112001070">
      <m:item xlName="_GBC_48247874e2c54937aabce9db1308bea7" concept="clcid-ci-ar:ShiFouShiYongShengChanXingShengWuZiChanDeShuoMing" label="是否适用：生产性生物资产的说明" selectOptions="_buildInAppliance" controlType="CustomCheckbox" cRanges="{&quot;StartName&quot;:&quot;_GBC_48247874e2c54937aabce9db1308bea7&quot;,&quot;EndName&quot;:&quot;_GBC_3a7912b6d3f44036b89ba24cc8c64fb4&quot;,&quot;CType&quot;:1,&quot;DisplayText&quot;:null}"/>
      <m:item xlName="_GBC_3a7912b6d3f44036b89ba24cc8c64fb4" concept="clcid-pte:ShengChanXingShengWuZiChanDeShuoMing" label="生产性生物资产的说明" appId="_GBC_48247874e2c54937aabce9db1308bea7"/>
    </m:section>
    <m:section xlName="_GBC_fe60430654f541aab1da59bd08202085" title="油气资产" convertSummaryRule="NoConvert" helpId="112001071">
      <m:item xlName="_GBC_7dce41817eb749dba0d132424020d250" concept="clcid-ci-ar:ShiFouShiYongYouQiZiChan" label="是否适用：油气资产" selectOptions="_buildInAppliance" controlType="CustomCheckbox" cRanges="{&quot;StartName&quot;:&quot;_GBC_7dce41817eb749dba0d132424020d250&quot;,&quot;EndName&quot;:&quot;_GBC_760d7a2d396d46499ac9ecc6f0bc5325&quot;,&quot;CType&quot;:1,&quot;DisplayText&quot;:null}"/>
      <m:item xlName="_GBC_3948c664b1134f4fb0d1f7c7f042d70b" concept="clcid-ci-ar:DanWeiCaiWuFuZhuYouQiZiChan" label="单位：财务附注：油气资产" selectOptions="_buildInScales" controlType="Combobox" cellType="Scale" appId="_GBC_7dce41817eb749dba0d132424020d250"/>
      <m:item xlName="_GBC_2ecabb9004854a42b2b7a67389aaa952" concept="clcid-ci-ar:BiZhongCaiWuFuZhuYouQiZiChan" label="币种：财务附注：油气资产" selectOptions="_buildInISO4217" controlType="Combobox" cellType="Measure" appId="_GBC_7dce41817eb749dba0d132424020d250"/>
      <m:placeholder xlName="_PLD_f44c41cac9a642c0ad77ab451d13e793" addr="T0R0C0S1_1"/>
      <m:placeholder xlName="_PLD_28e62c335ca94e22a381ac90286a857e" addr="T0R0C1S1_1"/>
      <m:placeholder xlName="_PLD_50a6c2cb61e44863a4dccfacfff42fb9" addr="T0R0C2S1_1"/>
      <m:placeholder xlName="_PLD_4d416dc59e5a44269153dda22e9c13f2" addr="T0R0C3S1_1"/>
      <m:item xlName="_GBC_077fb932cbaf41039425db51056c89ae" concept="clcid-pte:YouQiZiChanMingXiXiangMu" label="油气资产明细-项目" addr="T0R0C4S1_1" tagAction="1" tupleRef="clcid-pte:YouQiZiChanMingXi" appId="_GBC_7dce41817eb749dba0d132424020d250" isCaption="true"/>
      <m:placeholder xlName="_PLD_9e95d96ced5b421599cd9ed9cff44c17" addr="T0R0C5S1_1"/>
      <m:placeholder xlName="_PLD_99e183d5e353401489baffa115741f8c" addr="T0R1C0S1_1"/>
      <m:placeholder xlName="_PLD_d592f189997a4b9ea2020d3ca9d72031" addr="T0R2C0S1_1"/>
      <m:item xlName="_GBC_8be7687253ee47c7a033995f25c15560" concept="clcid-pte:TanMingKuangQuQuanYiYuanJiaZhangMianYuE" label="探明矿区权益原价账面余额" periodRef="本期期初数" mulRef="_GBC_3948c664b1134f4fb0d1f7c7f042d70b" unitRef="_GBC_2ecabb9004854a42b2b7a67389aaa952" addr="T0R2C1S1_1" formatStyle="Comma" appId="_GBC_7dce41817eb749dba0d132424020d250"/>
      <m:item xlName="_GBC_57b8cc60ddad4c04ac531d94637c1549" concept="clcid-pte:WeiTanMingKuangQuQuanYiYuanJiaZhangMianYuE" label="未探明矿区权益原价账面余额" periodRef="本期期初数" mulRef="_GBC_3948c664b1134f4fb0d1f7c7f042d70b" unitRef="_GBC_2ecabb9004854a42b2b7a67389aaa952" addr="T0R2C2S1_1" formatStyle="Comma" appId="_GBC_7dce41817eb749dba0d132424020d250"/>
      <m:item xlName="_GBC_fd31dda8a0ff49e690068eb8e73e86a7" concept="clcid-pte:JingJiXiangGuanSheShiYuanJiaZhangMianYuE" label="井及相关设施原价账面余额" periodRef="本期期初数" mulRef="_GBC_3948c664b1134f4fb0d1f7c7f042d70b" unitRef="_GBC_2ecabb9004854a42b2b7a67389aaa952" addr="T0R2C3S1_1" formatStyle="Comma" appId="_GBC_7dce41817eb749dba0d132424020d250"/>
      <m:item xlName="_GBC_761b3825df784ca49ab3e1651d8daf50" concept="clcid-pte:YouQiZiChanMingXiZhangMianYuE" label="油气资产明细-账面余额" periodRef="本期期初数" mulRef="_GBC_3948c664b1134f4fb0d1f7c7f042d70b" unitRef="_GBC_2ecabb9004854a42b2b7a67389aaa952" addr="T0R2C4S1_1" formatStyle="Comma" tupleRef="clcid-pte:YouQiZiChanMingXi" appId="_GBC_7dce41817eb749dba0d132424020d250"/>
      <m:item xlName="_GBC_620645f9f6ae44d0af3fa7080acb3beb" concept="clcid-pte:YouQiZiChanYuanJiaHeJiZhangMianYuE" label="油气资产原价合计账面余额" periodRef="本期期初数" mulRef="_GBC_3948c664b1134f4fb0d1f7c7f042d70b" unitRef="_GBC_2ecabb9004854a42b2b7a67389aaa952" addr="T0R2C5S1_1" formatStyle="Comma" appId="_GBC_7dce41817eb749dba0d132424020d250">
        <m:complexRule comparator="Eq" title="油气资产原价合计账面余额@本期期初数" test=" $_GBC_8be7687253ee47c7a033995f25c15560 +  $_GBC_57b8cc60ddad4c04ac531d94637c1549 +  $_GBC_fd31dda8a0ff49e690068eb8e73e86a7 +  $_GBC_761b3825df784ca49ab3e1651d8daf50" id="C77ee71ade13148f68187b3290a7319ac"/>
      </m:item>
      <m:placeholder xlName="_PLD_407bf28b48434baf8f9f6df4c20825ac" addr="T0R3C0S1_1"/>
      <m:item xlName="_GBC_ad4e2a9b9d984fb283946c6154aee2fb" concept="clcid-pte:TanMingKuangQuQuanYiYuanJiaZengJiaE" label="探明矿区权益原价增加额" mulRef="_GBC_3948c664b1134f4fb0d1f7c7f042d70b" unitRef="_GBC_2ecabb9004854a42b2b7a67389aaa952" addr="T0R3C1S1_1" formatStyle="Comma" appId="_GBC_7dce41817eb749dba0d132424020d250">
        <m:complexRule comparator="Eq" title="探明矿区权益原价增加额" test=" $_GBC_6c401ca7b82d4e1486caebf0895fd618 +  $_GBC_c1314bea01584186870b742200c26dec +  $_GBC_0e26a2b9935e4d909f2c0913e9a8d57a" id="Ce06228b473a14a489636ac201d848f2a" serialType="1"/>
      </m:item>
      <m:item xlName="_GBC_6a44277d77ab4210a989a9e7db85909a" concept="clcid-pte:WeiTanMingKuangQuQuanYiYuanJiaZengJiaE" label="未探明矿区权益原价增加额" mulRef="_GBC_3948c664b1134f4fb0d1f7c7f042d70b" unitRef="_GBC_2ecabb9004854a42b2b7a67389aaa952" addr="T0R3C2S1_1" formatStyle="Comma" appId="_GBC_7dce41817eb749dba0d132424020d250">
        <m:complexRule comparator="Eq" title="未探明矿区权益原价增加额" test=" $_GBC_a56afb32bdaa4b728e531dff780eb5e4 +  $_GBC_99b183edf03f4234a4897ba76704bdbc +  $_GBC_b602be4d9e2e42d092103e4dd2a30e98" id="Cf4c9f43c0cb84bd9b5dd36daac9ae521" serialType="1"/>
      </m:item>
      <m:item xlName="_GBC_d7a68c28a0ff4d85a71853bc187e15ba" concept="clcid-pte:JingJiXiangGuanSheShiYuanJiaZengJiaE" label="井及相关设施原价增加额" mulRef="_GBC_3948c664b1134f4fb0d1f7c7f042d70b" unitRef="_GBC_2ecabb9004854a42b2b7a67389aaa952" addr="T0R3C3S1_1" formatStyle="Comma" appId="_GBC_7dce41817eb749dba0d132424020d250">
        <m:complexRule comparator="Eq" title="井及相关设施原价增加额" test=" $_GBC_b99aca334c8e41358bfa5b0337053cde +  $_GBC_32d00378ead64121b32168a3dd46c91c +  $_GBC_4a737bd6720d4ab585d9ae50ea7fba25" id="C44a0cfe7523e41b6ac23011fe6ef3501" serialType="1"/>
      </m:item>
      <m:item xlName="_GBC_2c8b541832c14b4a8208575ce74d5067" concept="clcid-pte:YouQiZiChanMingXiZengJia" label="油气资产明细-增加" mulRef="_GBC_3948c664b1134f4fb0d1f7c7f042d70b" unitRef="_GBC_2ecabb9004854a42b2b7a67389aaa952" addr="T0R3C4S1_1" formatStyle="Comma" tupleRef="clcid-pte:YouQiZiChanMingXi" appId="_GBC_7dce41817eb749dba0d132424020d250">
        <m:complexRule comparator="Eq" title="油气资产明细-增加" test=" $_GBC_a81aabff95234a71960c08113e395d5f +  $_GBC_34ba260d23584580b25d4e1044e4d3c1 +  $_GBC_0344bf8351224a8dbc93af134ff99938" id="Cb2a909c842f946f18b3cf804e77e120e" serialType="1"/>
      </m:item>
      <m:item xlName="_GBC_3daefda58f2344ce8d8823f81e13eed8" concept="clcid-pte:YouQiZiChanYuanJiaHeJiZengJiaE" label="油气资产原价合计增加额" mulRef="_GBC_3948c664b1134f4fb0d1f7c7f042d70b" unitRef="_GBC_2ecabb9004854a42b2b7a67389aaa952" addr="T0R3C5S1_1" formatStyle="Comma" appId="_GBC_7dce41817eb749dba0d132424020d250">
        <m:complexRule comparator="Eq" title="油气资产原价合计增加额合计" test=" $_GBC_ad4e2a9b9d984fb283946c6154aee2fb +  $_GBC_6a44277d77ab4210a989a9e7db85909a +  $_GBC_d7a68c28a0ff4d85a71853bc187e15ba +  $_GBC_2c8b541832c14b4a8208575ce74d5067" id="C6062153a638c49048f98d72f9ef1e40f"/>
        <m:complexRule comparator="Eq" title="油气资产原价合计增加额" test=" $_GBC_8fbe532c422f41babbe645dd4aca2069 +  $_GBC_c22cff9b7836494a87141eea39e9bf72 +  $_GBC_f4a41f8d4c534160838c1459d8b73ffa" id="C43086a5bb48a4af1b4a054cad258a2f5" serialType="1"/>
      </m:item>
      <m:placeholder xlName="_PLD_955866b5d5324d9982260e3cd41ed9cb" addr="T0R4C0S1_1"/>
      <m:item xlName="_GBC_6c401ca7b82d4e1486caebf0895fd618" concept="clcid-pte:WaiGouDaoZhiDeTanMingKuangQuQuanYiZhangMianYuanZhiZengJiaE" label="外购导致的探明矿区权益账面原值增加额" mulRef="_GBC_3948c664b1134f4fb0d1f7c7f042d70b" unitRef="_GBC_2ecabb9004854a42b2b7a67389aaa952" addr="T0R4C1S1_1" formatStyle="Comma" appId="_GBC_7dce41817eb749dba0d132424020d250"/>
      <m:item xlName="_GBC_a56afb32bdaa4b728e531dff780eb5e4" concept="clcid-pte:WaiGouDaoZhiDeWeiTanMingKuangQuQuanYiZhangMianYuanZhiZengJiaE" label="外购导致的未探明矿区权益账面原值增加额" mulRef="_GBC_3948c664b1134f4fb0d1f7c7f042d70b" unitRef="_GBC_2ecabb9004854a42b2b7a67389aaa952" addr="T0R4C2S1_1" formatStyle="Comma" appId="_GBC_7dce41817eb749dba0d132424020d250"/>
      <m:item xlName="_GBC_b99aca334c8e41358bfa5b0337053cde" concept="clcid-pte:WaiGouDaoZhiDeJingJiXiangGuanSheShiZhangMianYuanZhiZengJiaE" label="外购导致的井及相关设施账面原值增加额" mulRef="_GBC_3948c664b1134f4fb0d1f7c7f042d70b" unitRef="_GBC_2ecabb9004854a42b2b7a67389aaa952" addr="T0R4C3S1_1" formatStyle="Comma" appId="_GBC_7dce41817eb749dba0d132424020d250"/>
      <m:item xlName="_GBC_a81aabff95234a71960c08113e395d5f" concept="clcid-pte:YouQiZiChanMingXiWaiGouDaoZhiDeYuanZhiZengJia" label="油气资产明细-外购导致的原值增加" mulRef="_GBC_3948c664b1134f4fb0d1f7c7f042d70b" unitRef="_GBC_2ecabb9004854a42b2b7a67389aaa952" addr="T0R4C4S1_1" formatStyle="Comma" tupleRef="clcid-pte:YouQiZiChanMingXi" appId="_GBC_7dce41817eb749dba0d132424020d250"/>
      <m:item xlName="_GBC_8fbe532c422f41babbe645dd4aca2069" concept="clcid-pte:WaiGouDaoZhiDeYouQiZiChanZhangMianYuanZhiZengJiaE" label="外购导致的油气资产账面原值增加额" mulRef="_GBC_3948c664b1134f4fb0d1f7c7f042d70b" unitRef="_GBC_2ecabb9004854a42b2b7a67389aaa952" addr="T0R4C5S1_1" formatStyle="Comma" appId="_GBC_7dce41817eb749dba0d132424020d250">
        <m:complexRule comparator="Eq" title="外购导致的油气资产账面原值增加额" test=" $_GBC_6c401ca7b82d4e1486caebf0895fd618 +  $_GBC_a56afb32bdaa4b728e531dff780eb5e4 +  $_GBC_b99aca334c8e41358bfa5b0337053cde +  $_GBC_a81aabff95234a71960c08113e395d5f" id="C824dbf7f5640414abc132f13edaa9bdb"/>
      </m:item>
      <m:placeholder xlName="_PLD_70094e6363ea4e9c8faa4b39fc81d87e" addr="T0R5C0S1_1"/>
      <m:item xlName="_GBC_c1314bea01584186870b742200c26dec" concept="clcid-pte:ZiXingJianZaoDaoZhiDeTanMingKuangQuQuanYiZhangMianYuanZhiZengJiaE" label="自行建造导致的探明矿区权益账面原值增加额" mulRef="_GBC_3948c664b1134f4fb0d1f7c7f042d70b" unitRef="_GBC_2ecabb9004854a42b2b7a67389aaa952" addr="T0R5C1S1_1" formatStyle="Comma" appId="_GBC_7dce41817eb749dba0d132424020d250"/>
      <m:item xlName="_GBC_99b183edf03f4234a4897ba76704bdbc" concept="clcid-pte:ZiXingJianZaoDaoZhiDeWeiTanMingKuangQuQuanYiZhangMianYuanZhiZengJiaE" label="自行建造导致的未探明矿区权益账面原值增加额" mulRef="_GBC_3948c664b1134f4fb0d1f7c7f042d70b" unitRef="_GBC_2ecabb9004854a42b2b7a67389aaa952" addr="T0R5C2S1_1" formatStyle="Comma" appId="_GBC_7dce41817eb749dba0d132424020d250"/>
      <m:item xlName="_GBC_32d00378ead64121b32168a3dd46c91c" concept="clcid-pte:ZiXingJianZaoDaoZhiDeJingJiXiangGuanSheShiZhangMianYuanZhiZengJiaE" label="自行建造导致的井及相关设施账面原值增加额" mulRef="_GBC_3948c664b1134f4fb0d1f7c7f042d70b" unitRef="_GBC_2ecabb9004854a42b2b7a67389aaa952" addr="T0R5C3S1_1" formatStyle="Comma" appId="_GBC_7dce41817eb749dba0d132424020d250"/>
      <m:item xlName="_GBC_34ba260d23584580b25d4e1044e4d3c1" concept="clcid-pte:YouQiZiChanMingXiZiXingJianZaoDaoZhiDeYuanZhiZengJia" label="油气资产明细-自行建造导致的原值增加" mulRef="_GBC_3948c664b1134f4fb0d1f7c7f042d70b" unitRef="_GBC_2ecabb9004854a42b2b7a67389aaa952" addr="T0R5C4S1_1" formatStyle="Comma" tupleRef="clcid-pte:YouQiZiChanMingXi" appId="_GBC_7dce41817eb749dba0d132424020d250"/>
      <m:item xlName="_GBC_c22cff9b7836494a87141eea39e9bf72" concept="clcid-pte:ZiXingJianZaoDaoZhiDeYouQiZiChanZhangMianYuanZhiZengJiaE" label="自行建造导致的油气资产账面原值增加额" mulRef="_GBC_3948c664b1134f4fb0d1f7c7f042d70b" unitRef="_GBC_2ecabb9004854a42b2b7a67389aaa952" addr="T0R5C5S1_1" formatStyle="Comma" appId="_GBC_7dce41817eb749dba0d132424020d250">
        <m:complexRule comparator="Eq" title="自行建造导致的油气资产账面原值增加额" test=" $_GBC_c1314bea01584186870b742200c26dec +  $_GBC_99b183edf03f4234a4897ba76704bdbc +  $_GBC_32d00378ead64121b32168a3dd46c91c +  $_GBC_34ba260d23584580b25d4e1044e4d3c1" id="C81ea05591f8241ba87970d4387486b73"/>
      </m:item>
      <m:item xlName="_GBC_6954d9f361e547c0bf3ffd2c033d90d0" concept="clcid-pte:YouQiZiChanZhangMianYuanZhiZengJiaXiangMuMingCheng1" label="油气资产账面原值增加项目名称1" addr="T0R6C0S1_1" tagAction="1" formatStyle="Comma" appId="_GBC_7dce41817eb749dba0d132424020d250" isSerialConcept="true" serialDirection="1" serialDefaultCount="2"/>
      <m:item xlName="_GBC_0e26a2b9935e4d909f2c0913e9a8d57a" concept="clcid-pte:YouQiZiChanTanMingKuangQuQuanYiZhangMianYuanZhiZengJiaXiangMuJinE1" label="油气资产探明矿区权益账面原值增加项目金额1" mulRef="_GBC_3948c664b1134f4fb0d1f7c7f042d70b" unitRef="_GBC_2ecabb9004854a42b2b7a67389aaa952" addr="T0R6C1S1_1" tagAction="1" formatStyle="Comma" appId="_GBC_7dce41817eb749dba0d132424020d250" isSerialConcept="true" serialDirection="1"/>
      <m:item xlName="_GBC_b602be4d9e2e42d092103e4dd2a30e98" concept="clcid-pte:YouQiZiChanWeiTanMingKuangQuQuanYiZhangMianYuanZhiZengJiaXiangMuJinE1" label="油气资产未探明矿区权益账面原值增加项目金额1" mulRef="_GBC_3948c664b1134f4fb0d1f7c7f042d70b" unitRef="_GBC_2ecabb9004854a42b2b7a67389aaa952" addr="T0R6C2S1_1" tagAction="1" formatStyle="Comma" appId="_GBC_7dce41817eb749dba0d132424020d250" isSerialConcept="true" serialDirection="1"/>
      <m:item xlName="_GBC_4a737bd6720d4ab585d9ae50ea7fba25" concept="clcid-pte:YouQiZiChanJingJiXiangGuanSheShiZhangMianYuanZhiZengJiaXiangMuJinE1" label="油气资产井及相关设施账面原值增加项目金额1" mulRef="_GBC_3948c664b1134f4fb0d1f7c7f042d70b" unitRef="_GBC_2ecabb9004854a42b2b7a67389aaa952" addr="T0R6C3S1_1" tagAction="1" formatStyle="Comma" appId="_GBC_7dce41817eb749dba0d132424020d250" isSerialConcept="true" serialDirection="1"/>
      <m:item xlName="_GBC_0344bf8351224a8dbc93af134ff99938" concept="clcid-pte:YouQiZiChanZhangMianYuanZhiZengJiaXiangMuJinE1" label="油气资产账面原值增加项目金额1" mulRef="_GBC_3948c664b1134f4fb0d1f7c7f042d70b" unitRef="_GBC_2ecabb9004854a42b2b7a67389aaa952" addr="T0R6C4S1_1" tagAction="1" formatStyle="Comma" tupleRef="clcid-pte:YouQiZiChanMingXi" appId="_GBC_7dce41817eb749dba0d132424020d250" isSerialConcept="true" serialDirection="1"/>
      <m:item xlName="_GBC_f4a41f8d4c534160838c1459d8b73ffa" concept="clcid-pte:YouQiZiChanZhangMianYuanZhiZengJiaXiangMuHeJiJinE1" label="油气资产账面原值增加项目合计金额1" mulRef="_GBC_3948c664b1134f4fb0d1f7c7f042d70b" unitRef="_GBC_2ecabb9004854a42b2b7a67389aaa952" addr="T0R6C5S1_1" tagAction="1" formatStyle="Comma" appId="_GBC_7dce41817eb749dba0d132424020d250" isSerialConcept="true" serialDirection="1">
        <m:complexRule comparator="Eq" title="油气资产账面原值增加项目合计金额1" disabled="true" test=" $_GBC_0e26a2b9935e4d909f2c0913e9a8d57a +  $_GBC_b602be4d9e2e42d092103e4dd2a30e98 +  $_GBC_4a737bd6720d4ab585d9ae50ea7fba25 +  $_GBC_0344bf8351224a8dbc93af134ff99938" id="C52d99883a4ee4d8eaa5636dad69f614a" serialType="2"/>
      </m:item>
      <m:placeholder xlName="_PLD_ea4a66486bd047428c61347a6e76bbc5" addr="T0R7C0S1_1"/>
      <m:item xlName="_GBC_cf6d36d26c1c4d4c81c4660afde354fc" concept="clcid-pte:TanMingKuangQuQuanYiYuanJiaJianShaoE" label="探明矿区权益原价减少额" mulRef="_GBC_3948c664b1134f4fb0d1f7c7f042d70b" unitRef="_GBC_2ecabb9004854a42b2b7a67389aaa952" addr="T0R7C1S1_1" formatStyle="Comma" appId="_GBC_7dce41817eb749dba0d132424020d250">
        <m:complexRule comparator="Eq" title="探明矿区权益原价减少额" test=" $_GBC_234f9180e39e48b1b68504806bdfe9a6 +  $_GBC_9c1da934e7894dc59ec34ad958ba6fed" id="C16179a520a7d4c09ad7409db86fe8185" serialType="1"/>
      </m:item>
      <m:item xlName="_GBC_2cc440b4d0f1464bab7a47b9bc4d7b7e" concept="clcid-pte:WeiTanMingKuangQuQuanYiYuanJiaJianShaoE" label="未探明矿区权益原价减少额" mulRef="_GBC_3948c664b1134f4fb0d1f7c7f042d70b" unitRef="_GBC_2ecabb9004854a42b2b7a67389aaa952" addr="T0R7C2S1_1" formatStyle="Comma" appId="_GBC_7dce41817eb749dba0d132424020d250">
        <m:complexRule comparator="Eq" title="未探明矿区权益原价减少额" test=" $_GBC_6acdaf31865c4af5a381677c57485e7d +  $_GBC_e19a4faa3d2445b4b79b2cfc83f1e8a2" id="C145cc6f209d54b1aaa83a9e548d4ada0" serialType="1"/>
      </m:item>
      <m:item xlName="_GBC_a6920792ff5744f48cf2661660ebf25e" concept="clcid-pte:JingJiXiangGuanSheShiYuanJiaJianShaoE" label="井及相关设施原价减少额" mulRef="_GBC_3948c664b1134f4fb0d1f7c7f042d70b" unitRef="_GBC_2ecabb9004854a42b2b7a67389aaa952" addr="T0R7C3S1_1" formatStyle="Comma" appId="_GBC_7dce41817eb749dba0d132424020d250">
        <m:complexRule comparator="Eq" title="井及相关设施原价减少额" test=" $_GBC_24ed9b10949b4f58983ec16b305d0351 +  $_GBC_0b7e691bb1584aad8c2d05a46c644161" id="C92419108074b4730aaf920a1bf77fca4" serialType="1"/>
      </m:item>
      <m:item xlName="_GBC_35b64c6115c846479b98285d08234192" concept="clcid-pte:YouQiZiChanMingXiJianShao" label="油气资产明细-减少" mulRef="_GBC_3948c664b1134f4fb0d1f7c7f042d70b" unitRef="_GBC_2ecabb9004854a42b2b7a67389aaa952" addr="T0R7C4S1_1" formatStyle="Comma" tupleRef="clcid-pte:YouQiZiChanMingXi" appId="_GBC_7dce41817eb749dba0d132424020d250">
        <m:complexRule comparator="Eq" title="油气资产明细-减少" test=" $_GBC_52aad121409c4058bcebbb36cbc04c84 +  $_GBC_226619f7ea7d4c08b6cfba2e868a29b0" id="Cfcdab4a540cc42a485356bc569352ce1" serialType="1"/>
      </m:item>
      <m:item xlName="_GBC_94998e707cb84662ba46ede02fcd3fa1" concept="clcid-pte:YouQiZiChanYuanJiaHeJiJianShaoE" label="油气资产原价合计减少额" mulRef="_GBC_3948c664b1134f4fb0d1f7c7f042d70b" unitRef="_GBC_2ecabb9004854a42b2b7a67389aaa952" addr="T0R7C5S1_1" formatStyle="Comma" appId="_GBC_7dce41817eb749dba0d132424020d250">
        <m:complexRule comparator="Eq" title="油气资产原价合计减少额合计" test=" $_GBC_cf6d36d26c1c4d4c81c4660afde354fc +  $_GBC_2cc440b4d0f1464bab7a47b9bc4d7b7e +  $_GBC_a6920792ff5744f48cf2661660ebf25e +  $_GBC_35b64c6115c846479b98285d08234192" id="C10ff3f5c7b2140508a0e1ef60e2e9039"/>
        <m:complexRule comparator="Eq" title="油气资产原价合计减少额" test=" $_GBC_53bfc47fed9d40359bd7799789204c0a +  $_GBC_48e7949fba99473588d758f4ad2b1fa8" id="C47b91772a57343f7b1d2724e38f7b133" serialType="1"/>
      </m:item>
      <m:placeholder xlName="_PLD_6244d6d47dd74eb9a2bd5f146d5d288d" addr="T0R8C0S1_1"/>
      <m:item xlName="_GBC_234f9180e39e48b1b68504806bdfe9a6" concept="clcid-pte:ChuZhiDaoZhiDeTanMingKuangQuQuanYiZhangMianYuanZhiJianShaoE" label="处置导致的探明矿区权益账面原值减少额" mulRef="_GBC_3948c664b1134f4fb0d1f7c7f042d70b" unitRef="_GBC_2ecabb9004854a42b2b7a67389aaa952" addr="T0R8C1S1_1" formatStyle="Comma" appId="_GBC_7dce41817eb749dba0d132424020d250"/>
      <m:item xlName="_GBC_6acdaf31865c4af5a381677c57485e7d" concept="clcid-pte:ChuZhiDaoZhiDeWeiTanMingKuangQuQuanYiZhangMianYuanZhiJianShaoE" label="处置导致的未探明矿区权益账面原值减少额" mulRef="_GBC_3948c664b1134f4fb0d1f7c7f042d70b" unitRef="_GBC_2ecabb9004854a42b2b7a67389aaa952" addr="T0R8C2S1_1" formatStyle="Comma" appId="_GBC_7dce41817eb749dba0d132424020d250"/>
      <m:item xlName="_GBC_24ed9b10949b4f58983ec16b305d0351" concept="clcid-pte:ChuZhiDaoZhiDeJingJiXiangGuanSheShiZhangMianYuanZhiJianShaoE" label="处置导致的井及相关设施账面原值减少额" mulRef="_GBC_3948c664b1134f4fb0d1f7c7f042d70b" unitRef="_GBC_2ecabb9004854a42b2b7a67389aaa952" addr="T0R8C3S1_1" formatStyle="Comma" appId="_GBC_7dce41817eb749dba0d132424020d250"/>
      <m:item xlName="_GBC_52aad121409c4058bcebbb36cbc04c84" concept="clcid-pte:YouQiZiChanMingXiChuZhiDaoZhiDeYuanZhiJianShao" label="油气资产明细-处置导致的原值减少" mulRef="_GBC_3948c664b1134f4fb0d1f7c7f042d70b" unitRef="_GBC_2ecabb9004854a42b2b7a67389aaa952" addr="T0R8C4S1_1" formatStyle="Comma" tupleRef="clcid-pte:YouQiZiChanMingXi" appId="_GBC_7dce41817eb749dba0d132424020d250"/>
      <m:item xlName="_GBC_53bfc47fed9d40359bd7799789204c0a" concept="clcid-pte:ChuZhiDaoZhiDeYouQiZiChanZhangMianYuanZhiJianShaoE" label="处置导致的油气资产账面原值减少额" mulRef="_GBC_3948c664b1134f4fb0d1f7c7f042d70b" unitRef="_GBC_2ecabb9004854a42b2b7a67389aaa952" addr="T0R8C5S1_1" formatStyle="Comma" appId="_GBC_7dce41817eb749dba0d132424020d250">
        <m:complexRule comparator="Eq" title="处置导致的油气资产账面原值减少额" test=" $_GBC_234f9180e39e48b1b68504806bdfe9a6 +  $_GBC_6acdaf31865c4af5a381677c57485e7d +  $_GBC_24ed9b10949b4f58983ec16b305d0351 +  $_GBC_52aad121409c4058bcebbb36cbc04c84" id="Cc7c00069d6794041abc1c5ade84fba67"/>
      </m:item>
      <m:item xlName="_GBC_b9f8c57094b74217b9156ba4cbbf31c6" concept="clcid-pte:YouQiZiChanZhangMianYuanZhiJianShaoXiangMuMingCheng1" label="油气资产账面原值减少项目名称1" addr="T0R9C0S1_1" tagAction="1" formatStyle="Comma" appId="_GBC_7dce41817eb749dba0d132424020d250" isSerialConcept="true" serialDirection="1" serialDefaultCount="2"/>
      <m:item xlName="_GBC_9c1da934e7894dc59ec34ad958ba6fed" concept="clcid-pte:YouQiZiChanTanMingKuangQuQuanYiZhangMianYuanZhiJianShaoXiangMuJinE1" label="油气资产探明矿区权益账面原值减少项目金额1" mulRef="_GBC_3948c664b1134f4fb0d1f7c7f042d70b" unitRef="_GBC_2ecabb9004854a42b2b7a67389aaa952" addr="T0R9C1S1_1" tagAction="1" formatStyle="Comma" appId="_GBC_7dce41817eb749dba0d132424020d250" isSerialConcept="true" serialDirection="1"/>
      <m:item xlName="_GBC_e19a4faa3d2445b4b79b2cfc83f1e8a2" concept="clcid-pte:YouQiZiChanWeiTanMingKuangQuQuanYiZhangMianYuanZhiJianShaoXiangMuJinE1" label="油气资产未探明矿区权益账面原值减少项目金额1" mulRef="_GBC_3948c664b1134f4fb0d1f7c7f042d70b" unitRef="_GBC_2ecabb9004854a42b2b7a67389aaa952" addr="T0R9C2S1_1" tagAction="1" formatStyle="Comma" appId="_GBC_7dce41817eb749dba0d132424020d250" isSerialConcept="true" serialDirection="1"/>
      <m:item xlName="_GBC_0b7e691bb1584aad8c2d05a46c644161" concept="clcid-pte:YouQiZiChanJingJiXiangGuanSheShiZhangMianYuanZhiJianShaoXiangMuJinE1" label="油气资产井及相关设施账面原值减少项目金额1" mulRef="_GBC_3948c664b1134f4fb0d1f7c7f042d70b" unitRef="_GBC_2ecabb9004854a42b2b7a67389aaa952" addr="T0R9C3S1_1" tagAction="1" formatStyle="Comma" appId="_GBC_7dce41817eb749dba0d132424020d250" isSerialConcept="true" serialDirection="1"/>
      <m:item xlName="_GBC_226619f7ea7d4c08b6cfba2e868a29b0" concept="clcid-pte:YouQiZiChanZhangMianYuanZhiJianShaoXiangMuJinE1" label="油气资产账面原值减少项目金额1" mulRef="_GBC_3948c664b1134f4fb0d1f7c7f042d70b" unitRef="_GBC_2ecabb9004854a42b2b7a67389aaa952" addr="T0R9C4S1_1" tagAction="1" formatStyle="Comma" tupleRef="clcid-pte:YouQiZiChanMingXi" appId="_GBC_7dce41817eb749dba0d132424020d250" isSerialConcept="true" serialDirection="1"/>
      <m:item xlName="_GBC_48e7949fba99473588d758f4ad2b1fa8" concept="clcid-pte:YouQiZiChanZhangMianYuanZhiJianShaoXiangMuHeJiJinE1" label="油气资产账面原值减少项目合计金额1" mulRef="_GBC_3948c664b1134f4fb0d1f7c7f042d70b" unitRef="_GBC_2ecabb9004854a42b2b7a67389aaa952" addr="T0R9C5S1_1" tagAction="1" formatStyle="Comma" appId="_GBC_7dce41817eb749dba0d132424020d250" isSerialConcept="true" serialDirection="1">
        <m:complexRule comparator="Eq" title="油气资产账面原值减少项目合计金额1" disabled="true" test=" $_GBC_9c1da934e7894dc59ec34ad958ba6fed +  $_GBC_e19a4faa3d2445b4b79b2cfc83f1e8a2 +  $_GBC_0b7e691bb1584aad8c2d05a46c644161 +  $_GBC_226619f7ea7d4c08b6cfba2e868a29b0" id="C846f5b66c68c4baa80c08cde3e402f02" serialType="2"/>
      </m:item>
      <m:placeholder xlName="_PLD_bad00ee915ac432dbbdf14d2f1c44e00" addr="T0R10C0S1_1"/>
      <m:item xlName="_GBC_58a3f806ea3648778303260a98683461" concept="clcid-pte:TanMingKuangQuQuanYiYuanJiaZhangMianYuE" label="探明矿区权益原价账面余额" mulRef="_GBC_3948c664b1134f4fb0d1f7c7f042d70b" unitRef="_GBC_2ecabb9004854a42b2b7a67389aaa952" addr="T0R10C1S1_1" formatStyle="Comma" appId="_GBC_7dce41817eb749dba0d132424020d250">
        <m:complexRule comparator="Eq" title="探明矿区权益原价账面余额" test=" $_GBC_8be7687253ee47c7a033995f25c15560 +  $_GBC_ad4e2a9b9d984fb283946c6154aee2fb -  $_GBC_cf6d36d26c1c4d4c81c4660afde354fc" id="Ca14e2842562e441fb7a7b806b44e9ef5"/>
      </m:item>
      <m:item xlName="_GBC_20f45a895afc4623a862e341569ad352" concept="clcid-pte:WeiTanMingKuangQuQuanYiYuanJiaZhangMianYuE" label="未探明矿区权益原价账面余额" mulRef="_GBC_3948c664b1134f4fb0d1f7c7f042d70b" unitRef="_GBC_2ecabb9004854a42b2b7a67389aaa952" addr="T0R10C2S1_1" formatStyle="Comma" appId="_GBC_7dce41817eb749dba0d132424020d250">
        <m:complexRule comparator="Eq" title="未探明矿区权益原价账面余额" test=" $_GBC_57b8cc60ddad4c04ac531d94637c1549 +  $_GBC_6a44277d77ab4210a989a9e7db85909a -  $_GBC_2cc440b4d0f1464bab7a47b9bc4d7b7e" id="Cbf36200e3d0a488b97c22381324ca782"/>
      </m:item>
      <m:item xlName="_GBC_e1784fab8326482ba3b8087548ff14e8" concept="clcid-pte:JingJiXiangGuanSheShiYuanJiaZhangMianYuE" label="井及相关设施原价账面余额" mulRef="_GBC_3948c664b1134f4fb0d1f7c7f042d70b" unitRef="_GBC_2ecabb9004854a42b2b7a67389aaa952" addr="T0R10C3S1_1" formatStyle="Comma" appId="_GBC_7dce41817eb749dba0d132424020d250">
        <m:complexRule comparator="Eq" title="井及相关设施原价账面余额" test=" $_GBC_fd31dda8a0ff49e690068eb8e73e86a7 +  $_GBC_d7a68c28a0ff4d85a71853bc187e15ba -  $_GBC_a6920792ff5744f48cf2661660ebf25e" id="Ca40cbedd61784edb868c885bac4a8be4"/>
      </m:item>
      <m:item xlName="_GBC_c4873f40aae04bd6a9445d88f0c4c41b" concept="clcid-pte:YouQiZiChanMingXiZhangMianYuE" label="油气资产明细-账面余额" mulRef="_GBC_3948c664b1134f4fb0d1f7c7f042d70b" unitRef="_GBC_2ecabb9004854a42b2b7a67389aaa952" addr="T0R10C4S1_1" formatStyle="Comma" tupleRef="clcid-pte:YouQiZiChanMingXi" appId="_GBC_7dce41817eb749dba0d132424020d250">
        <m:complexRule comparator="Eq" title="油气资产明细-账面余额" test=" $_GBC_761b3825df784ca49ab3e1651d8daf50 +  $_GBC_2c8b541832c14b4a8208575ce74d5067 -  $_GBC_35b64c6115c846479b98285d08234192" id="C107edd03d3fe4bb69817f6a8ab581590"/>
      </m:item>
      <m:item xlName="_GBC_f1f829627e4c4100b49431e927072ae8" concept="clcid-pte:YouQiZiChanYuanJiaHeJiZhangMianYuE" label="油气资产原价合计账面余额" mulRef="_GBC_3948c664b1134f4fb0d1f7c7f042d70b" unitRef="_GBC_2ecabb9004854a42b2b7a67389aaa952" addr="T0R10C5S1_1" formatStyle="Comma" appId="_GBC_7dce41817eb749dba0d132424020d250">
        <m:complexRule comparator="Eq" title="油气资产原价合计账面余额" test=" $_GBC_620645f9f6ae44d0af3fa7080acb3beb +  $_GBC_3daefda58f2344ce8d8823f81e13eed8 -  $_GBC_94998e707cb84662ba46ede02fcd3fa1" id="Cf5764726ab134526908c0aebbc81c5f4"/>
        <m:complexRule comparator="Eq" title="油气资产原价合计账面余额合计" test=" $_GBC_58a3f806ea3648778303260a98683461 +  $_GBC_20f45a895afc4623a862e341569ad352 +  $_GBC_e1784fab8326482ba3b8087548ff14e8 +  $_GBC_c4873f40aae04bd6a9445d88f0c4c41b" id="Ceca78158a14f484288f412d3ed8f209e"/>
      </m:item>
      <m:placeholder xlName="_PLD_4b99d04ae3fe46c29485c07160a2fdd3" addr="T0R11C0S1_1"/>
      <m:placeholder xlName="_PLD_77848a8210b140a5b281b67abf0352c6" addr="T0R12C0S1_1"/>
      <m:item xlName="_GBC_0a50cbbad5624c15a492edae97a2d91c" concept="clcid-pte:TanMingKuangQuQuanYiLeiJiZheHaoZhangMianYuE" label="探明矿区权益累计折耗账面余额" periodRef="本期期初数" mulRef="_GBC_3948c664b1134f4fb0d1f7c7f042d70b" unitRef="_GBC_2ecabb9004854a42b2b7a67389aaa952" addr="T0R12C1S1_1" formatStyle="Comma" appId="_GBC_7dce41817eb749dba0d132424020d250"/>
      <m:item xlName="_GBC_89de6d4ffad64c4c855e807f7d0c42aa" concept="clcid-pte:JingJiXiangGuanSheShiLeiJiZheHaoZhangMianYuE" label="井及相关设施累计折耗账面余额" periodRef="本期期初数" mulRef="_GBC_3948c664b1134f4fb0d1f7c7f042d70b" unitRef="_GBC_2ecabb9004854a42b2b7a67389aaa952" addr="T0R12C3S1_1" formatStyle="Comma" appId="_GBC_7dce41817eb749dba0d132424020d250"/>
      <m:item xlName="_GBC_5da7a30ca4ad45ac9b1d04659f4797e5" concept="clcid-pte:YouQiZiChanMingXiLeiJiZheJiu" label="油气资产明细-累计折旧" periodRef="本期期初数" mulRef="_GBC_3948c664b1134f4fb0d1f7c7f042d70b" unitRef="_GBC_2ecabb9004854a42b2b7a67389aaa952" addr="T0R12C4S1_1" formatStyle="Comma" tupleRef="clcid-pte:YouQiZiChanMingXi" appId="_GBC_7dce41817eb749dba0d132424020d250"/>
      <m:item xlName="_GBC_7d478fb815164be6868c232900153ae9" concept="clcid-pte:YouQiZiChanYuanJiaLeiJiZheHaoHeJiZhangMianYuE" label="油气资产原价累计折耗合计账面余额" periodRef="本期期初数" mulRef="_GBC_3948c664b1134f4fb0d1f7c7f042d70b" unitRef="_GBC_2ecabb9004854a42b2b7a67389aaa952" addr="T0R12C5S1_1" formatStyle="Comma" appId="_GBC_7dce41817eb749dba0d132424020d250">
        <m:complexRule comparator="Eq" title="油气资产原价累计折耗合计账面余额@本期期初数" test=" $_GBC_0a50cbbad5624c15a492edae97a2d91c +  $_GBC_89de6d4ffad64c4c855e807f7d0c42aa +  $_GBC_5da7a30ca4ad45ac9b1d04659f4797e5" id="Cff18b545441341f8abc3bc58ca45051d"/>
      </m:item>
      <m:placeholder xlName="_PLD_01e954e7bac04aa7a0848cba3351d88d" addr="T0R13C0S1_1"/>
      <m:item xlName="_GBC_099e2ab9d64d4f98bf5f8e06843cbbce" concept="clcid-pte:TanMingKuangQuQuanYiLeiJiZheHaoZengJiaE" label="探明矿区权益累计折耗增加额" mulRef="_GBC_3948c664b1134f4fb0d1f7c7f042d70b" unitRef="_GBC_2ecabb9004854a42b2b7a67389aaa952" addr="T0R13C1S1_1" formatStyle="Comma" appId="_GBC_7dce41817eb749dba0d132424020d250">
        <m:complexRule comparator="Eq" title="探明矿区权益累计折耗增加额" test=" $_GBC_6ddd6791e6ad497aab2015cd6ae3ef50 +  $_GBC_35da31cd279745cea43d8b3179773b02" id="C48a9edfc32244404b824ff5e790f0695" serialType="1"/>
      </m:item>
      <m:item xlName="_GBC_8c19b32b51fb4664a799b7a9f5ca5698" concept="clcid-pte:JingJiXiangGuanSheShiLeiJiZheHaoZengJiaE" label="井及相关设施累计折耗增加额" mulRef="_GBC_3948c664b1134f4fb0d1f7c7f042d70b" unitRef="_GBC_2ecabb9004854a42b2b7a67389aaa952" addr="T0R13C3S1_1" formatStyle="Comma" appId="_GBC_7dce41817eb749dba0d132424020d250">
        <m:complexRule comparator="Eq" title="井及相关设施累计折耗增加额" test=" $_GBC_4236b3dbed8a4d34a7f68099c6d09f37 +  $_GBC_975584f57bcf483e8d0c8ff7f8e9a989" id="Ca40a5cfcc2064122bab2ddf90da90251"/>
      </m:item>
      <m:item xlName="_GBC_659f4d45cbe24eb7bd0de393be69fa70" concept="clcid-pte:YouQiZiChanMingXiLeiJiZheJiuZengJia" label="油气资产明细-累计折旧增加" mulRef="_GBC_3948c664b1134f4fb0d1f7c7f042d70b" unitRef="_GBC_2ecabb9004854a42b2b7a67389aaa952" addr="T0R13C4S1_1" formatStyle="Comma" tupleRef="clcid-pte:YouQiZiChanMingXi" appId="_GBC_7dce41817eb749dba0d132424020d250">
        <m:complexRule comparator="Eq" title="油气资产明细-累计折旧增加" test=" $_GBC_bd5d9d7efb59446c97d0f4dab702d211 +  $_GBC_f556477eeb474b99bc721d30df93a810" id="Cafd5d5e351d542e5b89c9588c38cafe4" serialType="1"/>
      </m:item>
      <m:item xlName="_GBC_94aed26b33f84e198f2bceb037e4ad76" concept="clcid-pte:YouQiZiChanYuanJiaLeiJiZheHaoHeJiZengJiaE" label="油气资产原价累计折耗合计增加额" mulRef="_GBC_3948c664b1134f4fb0d1f7c7f042d70b" unitRef="_GBC_2ecabb9004854a42b2b7a67389aaa952" addr="T0R13C5S1_1" formatStyle="Comma" appId="_GBC_7dce41817eb749dba0d132424020d250">
        <m:complexRule comparator="Eq" title="油气资产原价累计折耗合计增加额横向合计" test=" $_GBC_099e2ab9d64d4f98bf5f8e06843cbbce +  $_GBC_8c19b32b51fb4664a799b7a9f5ca5698 +  $_GBC_659f4d45cbe24eb7bd0de393be69fa70" id="C80ac526fba154c7e960f1a291a20c6dc"/>
        <m:complexRule comparator="Eq" title="油气资产原价累计折耗合计增加额" test=" $_GBC_ab89d2fc60444b76bf4eaf58f3aab5b4 +  $_GBC_a0109ec0eb854c3481bf2d29f38a8a94" id="Cd50566246b594ada8484d65ee6c907ac" serialType="1"/>
      </m:item>
      <m:placeholder xlName="_PLD_41e177e5b3554c97b47186e4c12e6b7d" addr="T0R14C0S1_1"/>
      <m:item xlName="_GBC_6ddd6791e6ad497aab2015cd6ae3ef50" concept="clcid-pte:JiTiDaoZhiDeTanMingKuangQuQuanYiLeiJiZheJiuZengJiaE" label="计提导致的探明矿区权益累计折旧增加额" mulRef="_GBC_3948c664b1134f4fb0d1f7c7f042d70b" unitRef="_GBC_2ecabb9004854a42b2b7a67389aaa952" addr="T0R14C1S1_1" formatStyle="Comma" appId="_GBC_7dce41817eb749dba0d132424020d250"/>
      <m:item xlName="_GBC_4236b3dbed8a4d34a7f68099c6d09f37" concept="clcid-pte:JiTiDaoZhiDeJingJiXiangGuanSheShiLeiJiZheJiuZengJiaE" label="计提导致的井及相关设施累计折旧增加额" mulRef="_GBC_3948c664b1134f4fb0d1f7c7f042d70b" unitRef="_GBC_2ecabb9004854a42b2b7a67389aaa952" addr="T0R14C3S1_1" formatStyle="Comma" appId="_GBC_7dce41817eb749dba0d132424020d250"/>
      <m:item xlName="_GBC_bd5d9d7efb59446c97d0f4dab702d211" concept="clcid-pte:YouQiZiChanMingXiJiTiDaoZhiDeLeiJiZheJiuZengJia" label="油气资产明细-计提导致的累计折旧增加" mulRef="_GBC_3948c664b1134f4fb0d1f7c7f042d70b" unitRef="_GBC_2ecabb9004854a42b2b7a67389aaa952" addr="T0R14C4S1_1" formatStyle="Comma" tupleRef="clcid-pte:YouQiZiChanMingXi" appId="_GBC_7dce41817eb749dba0d132424020d250"/>
      <m:item xlName="_GBC_ab89d2fc60444b76bf4eaf58f3aab5b4" concept="clcid-pte:JiTiDaoZhiDeYouQiZiChanLeiJiZheJiuZengJiaE" label="计提导致的油气资产累计折旧增加额" mulRef="_GBC_3948c664b1134f4fb0d1f7c7f042d70b" unitRef="_GBC_2ecabb9004854a42b2b7a67389aaa952" addr="T0R14C5S1_1" formatStyle="Comma" appId="_GBC_7dce41817eb749dba0d132424020d250">
        <m:complexRule comparator="Eq" title="计提导致的油气资产累计折旧增加额" test=" $_GBC_6ddd6791e6ad497aab2015cd6ae3ef50 +  $_GBC_4236b3dbed8a4d34a7f68099c6d09f37 +  $_GBC_bd5d9d7efb59446c97d0f4dab702d211" id="C4c572dee40e94d6aa60279f8e16de6d1"/>
      </m:item>
      <m:item xlName="_GBC_dd14ad7044ad410aa5d0826e78d6b0d6" concept="clcid-pte:YouQiZiChanLeiJiZheJiuZengJiaXiangMuMingCheng1" label="油气资产累计折旧增加项目名称1" addr="T0R15C0S1_1" tagAction="1" formatStyle="Comma" appId="_GBC_7dce41817eb749dba0d132424020d250" isSerialConcept="true" serialDirection="1" serialDefaultCount="2"/>
      <m:item xlName="_GBC_35da31cd279745cea43d8b3179773b02" concept="clcid-pte:YouQiZiChanTanMingKuangQuQuanYiLeiJiZheJiuZengJiaXiangMuJinE1" label="油气资产探明矿区权益累计折旧增加项目金额1" mulRef="_GBC_3948c664b1134f4fb0d1f7c7f042d70b" unitRef="_GBC_2ecabb9004854a42b2b7a67389aaa952" addr="T0R15C1S1_1" tagAction="1" formatStyle="Comma" appId="_GBC_7dce41817eb749dba0d132424020d250" isSerialConcept="true" serialDirection="1"/>
      <m:item xlName="_GBC_975584f57bcf483e8d0c8ff7f8e9a989" concept="clcid-pte:YouQiZiChanJingJiXiangGuanSheShiLeiJiZheJiuZengJiaXiangMuJinE1" label="油气资产井及相关设施累计折旧增加项目金额1" mulRef="_GBC_3948c664b1134f4fb0d1f7c7f042d70b" unitRef="_GBC_2ecabb9004854a42b2b7a67389aaa952" addr="T0R15C3S1_1" tagAction="1" formatStyle="Comma" appId="_GBC_7dce41817eb749dba0d132424020d250" isSerialConcept="true" serialDirection="1"/>
      <m:item xlName="_GBC_f556477eeb474b99bc721d30df93a810" concept="clcid-pte:YouQiZiChanLeiJiZheJiuZengJiaXiangMuJinE1" label="油气资产累计折旧增加项目金额1" mulRef="_GBC_3948c664b1134f4fb0d1f7c7f042d70b" unitRef="_GBC_2ecabb9004854a42b2b7a67389aaa952" addr="T0R15C4S1_1" tagAction="1" formatStyle="Comma" tupleRef="clcid-pte:YouQiZiChanMingXi" appId="_GBC_7dce41817eb749dba0d132424020d250" isSerialConcept="true" serialDirection="1"/>
      <m:item xlName="_GBC_a0109ec0eb854c3481bf2d29f38a8a94" concept="clcid-pte:YouQiZiChanLeiJiZheJiuZengJiaXiangMuHeJiJinE1" label="油气资产累计折旧增加项目合计金额1" mulRef="_GBC_3948c664b1134f4fb0d1f7c7f042d70b" unitRef="_GBC_2ecabb9004854a42b2b7a67389aaa952" addr="T0R15C5S1_1" tagAction="1" formatStyle="Comma" appId="_GBC_7dce41817eb749dba0d132424020d250" isSerialConcept="true" serialDirection="1">
        <m:complexRule comparator="Eq" title="油气资产累计折旧增加项目合计金额1" disabled="true" test=" $_GBC_35da31cd279745cea43d8b3179773b02 +  $_GBC_975584f57bcf483e8d0c8ff7f8e9a989 +  $_GBC_f556477eeb474b99bc721d30df93a810" id="Ccd4bd8c88162411788341b6034ada042" serialType="2"/>
      </m:item>
      <m:placeholder xlName="_PLD_0359d4e9d2bd4aae81a0886d27907cdf" addr="T0R16C0S1_1"/>
      <m:item xlName="_GBC_583ab6387eaf4963b8151e317b5128e1" concept="clcid-pte:TanMingKuangQuQuanYiLeiJiZheHaoJianShaoE" label="探明矿区权益累计折耗减少额" mulRef="_GBC_3948c664b1134f4fb0d1f7c7f042d70b" unitRef="_GBC_2ecabb9004854a42b2b7a67389aaa952" addr="T0R16C1S1_1" formatStyle="Comma" appId="_GBC_7dce41817eb749dba0d132424020d250">
        <m:complexRule comparator="Eq" title="探明矿区权益累计折耗减少额" test=" $_GBC_38c4dfe60031484f91432a76ec089aef +  $_GBC_fae81c5adc24477c94be4c4c396fb152" id="Ceeecd47807c241198a959b6c99a3c9f5" serialType="1"/>
      </m:item>
      <m:item xlName="_GBC_38a05e94ebf14fb2a0fb7b9c012c5f0b" concept="clcid-pte:JingJiXiangGuanSheShiLeiJiZheHaoJianShaoE" label="井及相关设施累计折耗减少额" mulRef="_GBC_3948c664b1134f4fb0d1f7c7f042d70b" unitRef="_GBC_2ecabb9004854a42b2b7a67389aaa952" addr="T0R16C3S1_1" formatStyle="Comma" appId="_GBC_7dce41817eb749dba0d132424020d250">
        <m:complexRule comparator="Eq" title="井及相关设施累计折耗减少额" test=" $_GBC_fe4567a1a0de490f980449b6203f6e98 +  $_GBC_01f7e4d1dbdc4a81839a1cd496586fc7" id="C75346133cb66416f9214b1179c796716" serialType="1"/>
      </m:item>
      <m:item xlName="_GBC_c046e229d5344a23a2b0c55d112c8460" concept="clcid-pte:YouQiZiChanMingXiLeiJiZheJiuJianShao" label="油气资产明细-累计折旧减少" mulRef="_GBC_3948c664b1134f4fb0d1f7c7f042d70b" unitRef="_GBC_2ecabb9004854a42b2b7a67389aaa952" addr="T0R16C4S1_1" formatStyle="Comma" tupleRef="clcid-pte:YouQiZiChanMingXi" appId="_GBC_7dce41817eb749dba0d132424020d250">
        <m:complexRule comparator="Eq" title="油气资产明细-累计折旧减少" test=" $_GBC_0cee57c5577f46db8f45e542064c2ff3 +  $_GBC_0a2f2d3eeb864f6ba28ce516ebdd3067" id="Cdc2c99a07b3b4c59b2040b86c36c1f70" serialType="1"/>
      </m:item>
      <m:item xlName="_GBC_25b95a9011cf43da9794ae8b45784c0b" concept="clcid-pte:YouQiZiChanYuanJiaLeiJiZheHaoHeJiJianShaoE" label="油气资产原价累计折耗合计减少额" mulRef="_GBC_3948c664b1134f4fb0d1f7c7f042d70b" unitRef="_GBC_2ecabb9004854a42b2b7a67389aaa952" addr="T0R16C5S1_1" formatStyle="Comma" appId="_GBC_7dce41817eb749dba0d132424020d250">
        <m:complexRule comparator="Eq" title="油气资产原价累计折耗合计减少额横向合计" test=" $_GBC_583ab6387eaf4963b8151e317b5128e1 +  $_GBC_38a05e94ebf14fb2a0fb7b9c012c5f0b +  $_GBC_c046e229d5344a23a2b0c55d112c8460" id="C063e01ed45dc4e479a50fb3ae40c6403"/>
        <m:complexRule comparator="Eq" title="油气资产原价累计折耗合计减少额" test=" $_GBC_fd82f829f63d4d1d90d867c8c8c1bc56 +  $_GBC_770f8c838f7443c78d11e0a507e10385" id="C039eeb1e5d904339833ba32ea67d9b59" serialType="1"/>
      </m:item>
      <m:placeholder xlName="_PLD_2c0384a722f543b68918ff9a1301b62b" addr="T0R17C0S1_1"/>
      <m:item xlName="_GBC_38c4dfe60031484f91432a76ec089aef" concept="clcid-pte:ChuZhiDaoZhiDeTanMingKuangQuQuanYiLeiJiZheJiuJianShaoE" label="处置导致的探明矿区权益累计折旧减少额" mulRef="_GBC_3948c664b1134f4fb0d1f7c7f042d70b" unitRef="_GBC_2ecabb9004854a42b2b7a67389aaa952" addr="T0R17C1S1_1" formatStyle="Comma" appId="_GBC_7dce41817eb749dba0d132424020d250"/>
      <m:item xlName="_GBC_fe4567a1a0de490f980449b6203f6e98" concept="clcid-pte:ChuZhiDaoZhiDeJingJiXiangGuanSheShiLeiJiZheJiuJianShaoE" label="处置导致的井及相关设施累计折旧减少额" mulRef="_GBC_3948c664b1134f4fb0d1f7c7f042d70b" unitRef="_GBC_2ecabb9004854a42b2b7a67389aaa952" addr="T0R17C3S1_1" formatStyle="Comma" appId="_GBC_7dce41817eb749dba0d132424020d250"/>
      <m:item xlName="_GBC_0cee57c5577f46db8f45e542064c2ff3" concept="clcid-pte:YouQiZiChanMingXiChuZhiDaoZhiDeLeiJiZheJiuJianShao" label="油气资产明细-处置导致的累计折旧减少" mulRef="_GBC_3948c664b1134f4fb0d1f7c7f042d70b" unitRef="_GBC_2ecabb9004854a42b2b7a67389aaa952" addr="T0R17C4S1_1" formatStyle="Comma" tupleRef="clcid-pte:YouQiZiChanMingXi" appId="_GBC_7dce41817eb749dba0d132424020d250"/>
      <m:item xlName="_GBC_fd82f829f63d4d1d90d867c8c8c1bc56" concept="clcid-pte:ChuZhiDaoZhiDeYouQiZiChanLeiJiZheJiuJianShaoE" label="处置导致的油气资产累计折旧减少额" mulRef="_GBC_3948c664b1134f4fb0d1f7c7f042d70b" unitRef="_GBC_2ecabb9004854a42b2b7a67389aaa952" addr="T0R17C5S1_1" formatStyle="Comma" appId="_GBC_7dce41817eb749dba0d132424020d250">
        <m:complexRule comparator="Eq" title="处置导致的油气资产累计折旧减少额" test=" $_GBC_38c4dfe60031484f91432a76ec089aef +  $_GBC_fe4567a1a0de490f980449b6203f6e98 +  $_GBC_0cee57c5577f46db8f45e542064c2ff3" id="Cd53c6a0c44674efcb5c113aec0ac0af9"/>
      </m:item>
      <m:item xlName="_GBC_2fce78cce4904d4a89c8fa04d49d9279" concept="clcid-pte:YouQiZiChanLeiJiZheJiuJianShaoXiangMuMingCheng1" label="油气资产累计折旧减少项目名称1" addr="T0R18C0S1_1" tagAction="1" formatStyle="Comma" appId="_GBC_7dce41817eb749dba0d132424020d250" isSerialConcept="true" serialDirection="1" serialDefaultCount="2"/>
      <m:item xlName="_GBC_fae81c5adc24477c94be4c4c396fb152" concept="clcid-pte:YouQiZiChanTanMingKuangQuQuanYiLeiJiZheJiuJianShaoXiangMuJinE1" label="油气资产探明矿区权益累计折旧减少项目金额1" mulRef="_GBC_3948c664b1134f4fb0d1f7c7f042d70b" unitRef="_GBC_2ecabb9004854a42b2b7a67389aaa952" addr="T0R18C1S1_1" tagAction="1" formatStyle="Comma" appId="_GBC_7dce41817eb749dba0d132424020d250" isSerialConcept="true" serialDirection="1"/>
      <m:item xlName="_GBC_01f7e4d1dbdc4a81839a1cd496586fc7" concept="clcid-pte:YouQiZiChanJingJiXiangGuanSheShiLeiJiZheJiuJianShaoXiangMuJinE1" label="油气资产井及相关设施累计折旧减少项目金额1" mulRef="_GBC_3948c664b1134f4fb0d1f7c7f042d70b" unitRef="_GBC_2ecabb9004854a42b2b7a67389aaa952" addr="T0R18C3S1_1" tagAction="1" formatStyle="Comma" appId="_GBC_7dce41817eb749dba0d132424020d250" isSerialConcept="true" serialDirection="1"/>
      <m:item xlName="_GBC_0a2f2d3eeb864f6ba28ce516ebdd3067" concept="clcid-pte:YouQiZiChanLeiJiZheJiuJianShaoXiangMuJinE1" label="油气资产累计折旧减少项目金额1" mulRef="_GBC_3948c664b1134f4fb0d1f7c7f042d70b" unitRef="_GBC_2ecabb9004854a42b2b7a67389aaa952" addr="T0R18C4S1_1" tagAction="1" formatStyle="Comma" tupleRef="clcid-pte:YouQiZiChanMingXi" appId="_GBC_7dce41817eb749dba0d132424020d250" isSerialConcept="true" serialDirection="1"/>
      <m:item xlName="_GBC_770f8c838f7443c78d11e0a507e10385" concept="clcid-pte:YouQiZiChanLeiJiZheJiuJianShaoXiangMuHeJiJinE1" label="油气资产累计折旧减少项目合计金额1" mulRef="_GBC_3948c664b1134f4fb0d1f7c7f042d70b" unitRef="_GBC_2ecabb9004854a42b2b7a67389aaa952" addr="T0R18C5S1_1" tagAction="1" formatStyle="Comma" appId="_GBC_7dce41817eb749dba0d132424020d250" isSerialConcept="true" serialDirection="1">
        <m:complexRule comparator="Eq" title="油气资产累计折旧减少项目合计金额1" disabled="true" test=" $_GBC_fae81c5adc24477c94be4c4c396fb152 +  $_GBC_01f7e4d1dbdc4a81839a1cd496586fc7 +  $_GBC_0a2f2d3eeb864f6ba28ce516ebdd3067" id="Ca6cbfbc3589842548d9f0363efdbfc47" serialType="2"/>
      </m:item>
      <m:placeholder xlName="_PLD_8b6a083ff4484145be7ce35bac4e97a5" addr="T0R19C0S1_1"/>
      <m:item xlName="_GBC_bc89aada2177484b8b7412a2280e9bb9" concept="clcid-pte:TanMingKuangQuQuanYiLeiJiZheHaoZhangMianYuE" label="探明矿区权益累计折耗账面余额" mulRef="_GBC_3948c664b1134f4fb0d1f7c7f042d70b" unitRef="_GBC_2ecabb9004854a42b2b7a67389aaa952" addr="T0R19C1S1_1" formatStyle="Comma" appId="_GBC_7dce41817eb749dba0d132424020d250">
        <m:complexRule comparator="Eq" title="探明矿区权益累计折耗账面余额" test=" $_GBC_0a50cbbad5624c15a492edae97a2d91c +  $_GBC_099e2ab9d64d4f98bf5f8e06843cbbce -  $_GBC_583ab6387eaf4963b8151e317b5128e1" id="C562459249b6d4b1193940b4a26177d56"/>
      </m:item>
      <m:item xlName="_GBC_a72a731c48ed406a8ba52f28121e54f4" concept="clcid-pte:JingJiXiangGuanSheShiLeiJiZheHaoZhangMianYuE" label="井及相关设施累计折耗账面余额" mulRef="_GBC_3948c664b1134f4fb0d1f7c7f042d70b" unitRef="_GBC_2ecabb9004854a42b2b7a67389aaa952" addr="T0R19C3S1_1" formatStyle="Comma" appId="_GBC_7dce41817eb749dba0d132424020d250">
        <m:complexRule comparator="Eq" title="井及相关设施累计折耗账面余额" test=" $_GBC_89de6d4ffad64c4c855e807f7d0c42aa +  $_GBC_8c19b32b51fb4664a799b7a9f5ca5698 -  $_GBC_38a05e94ebf14fb2a0fb7b9c012c5f0b" id="Caab9e1c7391b48bbb15bdb63cb0feada"/>
      </m:item>
      <m:item xlName="_GBC_b92538dd1c174601b07bbba559b28fd4" concept="clcid-pte:YouQiZiChanMingXiLeiJiZheJiu" label="油气资产明细-累计折旧" mulRef="_GBC_3948c664b1134f4fb0d1f7c7f042d70b" unitRef="_GBC_2ecabb9004854a42b2b7a67389aaa952" addr="T0R19C4S1_1" formatStyle="Comma" tupleRef="clcid-pte:YouQiZiChanMingXi" appId="_GBC_7dce41817eb749dba0d132424020d250">
        <m:complexRule comparator="Eq" title="油气资产明细-累计折旧" test=" $_GBC_5da7a30ca4ad45ac9b1d04659f4797e5 +  $_GBC_659f4d45cbe24eb7bd0de393be69fa70 -  $_GBC_c046e229d5344a23a2b0c55d112c8460" id="C91601c5ab6a24f63afbe610e04dde9ad"/>
      </m:item>
      <m:item xlName="_GBC_69495194f6b04696a7b25801935abadb" concept="clcid-pte:YouQiZiChanYuanJiaLeiJiZheHaoHeJiZhangMianYuE" label="油气资产原价累计折耗合计账面余额" mulRef="_GBC_3948c664b1134f4fb0d1f7c7f042d70b" unitRef="_GBC_2ecabb9004854a42b2b7a67389aaa952" addr="T0R19C5S1_1" formatStyle="Comma" appId="_GBC_7dce41817eb749dba0d132424020d250">
        <m:complexRule comparator="Eq" title="油气资产原价累计折耗合计账面余额" test=" $_GBC_7d478fb815164be6868c232900153ae9 +  $_GBC_94aed26b33f84e198f2bceb037e4ad76 -  $_GBC_25b95a9011cf43da9794ae8b45784c0b" id="C9d189235464c4c2cbd6b4a23666250b3"/>
        <m:complexRule comparator="Eq" title="油气资产原价累计折耗合计账面余额横向合计" test=" $_GBC_bc89aada2177484b8b7412a2280e9bb9 +  $_GBC_a72a731c48ed406a8ba52f28121e54f4 +  $_GBC_b92538dd1c174601b07bbba559b28fd4" id="C3190079962a44035b3e5752bbed5131f"/>
      </m:item>
      <m:placeholder xlName="_PLD_629f1fdf735e4016beeafedd21c654a6" addr="T0R20C0S1_1"/>
      <m:placeholder xlName="_PLD_9e31f1a700de4406a51931b4c8ec7d64" addr="T0R21C0S1_1"/>
      <m:item xlName="_GBC_3d960548dd034ce6bcea662ce425e80e" concept="clcid-pte:TanMingKuangQuQuanYiJianZhiZhunBeiLeiJiZhangMianYuE" label="探明矿区权益减值准备累计账面余额" periodRef="本期期初数" mulRef="_GBC_3948c664b1134f4fb0d1f7c7f042d70b" unitRef="_GBC_2ecabb9004854a42b2b7a67389aaa952" addr="T0R21C1S1_1" formatStyle="Comma" appId="_GBC_7dce41817eb749dba0d132424020d250"/>
      <m:item xlName="_GBC_c3e39f57a4fe45948649b4368ac996ee" concept="clcid-pte:WeiTanMingKuangQuQuanYiJianZhiZhunBeiLeiJiZhangMianYuE" label="未探明矿区权益减值准备累计账面余额" periodRef="本期期初数" mulRef="_GBC_3948c664b1134f4fb0d1f7c7f042d70b" unitRef="_GBC_2ecabb9004854a42b2b7a67389aaa952" addr="T0R21C2S1_1" formatStyle="Comma" appId="_GBC_7dce41817eb749dba0d132424020d250"/>
      <m:item xlName="_GBC_b8b715dbcf5e44f498728f1dc85ae468" concept="clcid-pte:JingJiXiangGuanSheShiJianZhiZhunBeiLeiJiZhangMianYuE" label="井及相关设施减值准备累计账面余额" periodRef="本期期初数" mulRef="_GBC_3948c664b1134f4fb0d1f7c7f042d70b" unitRef="_GBC_2ecabb9004854a42b2b7a67389aaa952" addr="T0R21C3S1_1" formatStyle="Comma" appId="_GBC_7dce41817eb749dba0d132424020d250"/>
      <m:item xlName="_GBC_ca174996c9ef480fbd7be75f03c49aee" concept="clcid-pte:YouQiZiChanMingXiJianZhiZhunBei" label="油气资产明细-减值准备" periodRef="本期期初数" mulRef="_GBC_3948c664b1134f4fb0d1f7c7f042d70b" unitRef="_GBC_2ecabb9004854a42b2b7a67389aaa952" addr="T0R21C4S1_1" formatStyle="Comma" tupleRef="clcid-pte:YouQiZiChanMingXi" appId="_GBC_7dce41817eb749dba0d132424020d250"/>
      <m:item xlName="_GBC_aacd3f386cd445c9942be42eb695bb9b" concept="clcid-pte:YouQiZiChanJianZhiZhunBeiYuEHeJi" label="油气资产减值准备余额合计" periodRef="本期期初数" mulRef="_GBC_3948c664b1134f4fb0d1f7c7f042d70b" unitRef="_GBC_2ecabb9004854a42b2b7a67389aaa952" addr="T0R21C5S1_1" formatStyle="Comma" appId="_GBC_7dce41817eb749dba0d132424020d250">
        <m:complexRule comparator="Eq" title="油气资产减值准备余额合计@本期期初数" test=" $_GBC_3d960548dd034ce6bcea662ce425e80e +  $_GBC_c3e39f57a4fe45948649b4368ac996ee +  $_GBC_b8b715dbcf5e44f498728f1dc85ae468 +  $_GBC_ca174996c9ef480fbd7be75f03c49aee" id="Cff48958d4f6a4d4182a61165a8b5cbc7"/>
      </m:item>
      <m:placeholder xlName="_PLD_211e54964a9a45bcb252c59ae90bcc6f" addr="T0R22C0S1_1"/>
      <m:item xlName="_GBC_70bfd5b282bf4e46b5350001c3146df2" concept="clcid-pte:TanMingKuangQuQuanYiJianZhiZhunBeiLeiJiZengJiaE" label="探明矿区权益减值准备累计增加额" mulRef="_GBC_3948c664b1134f4fb0d1f7c7f042d70b" unitRef="_GBC_2ecabb9004854a42b2b7a67389aaa952" addr="T0R22C1S1_1" formatStyle="Comma" appId="_GBC_7dce41817eb749dba0d132424020d250">
        <m:complexRule comparator="Eq" title="探明矿区权益减值准备累计增加额" test=" $_GBC_f859439c118248c08b46efd269c9adc0 +  $_GBC_4d38fb349ba74ddd9fbc6d89bb8536ff" id="C346455e97cda41baa0e40f4331ae22be" serialType="1"/>
      </m:item>
      <m:item xlName="_GBC_6a47ab167be7470fbdc54d4df794e14d" concept="clcid-pte:WeiTanMingKuangQuQuanYiJianZhiZhunBeiLeiJiZengJiaE" label="未探明矿区权益减值准备累计增加额" mulRef="_GBC_3948c664b1134f4fb0d1f7c7f042d70b" unitRef="_GBC_2ecabb9004854a42b2b7a67389aaa952" addr="T0R22C2S1_1" formatStyle="Comma" appId="_GBC_7dce41817eb749dba0d132424020d250">
        <m:complexRule comparator="Eq" title="未探明矿区权益减值准备累计增加额" test=" $_GBC_11ece5dd527f4fc49578c325220ea7c4 +  $_GBC_0ef7c0084e25409ebe5dddf9762c1004" id="Cb7c68b47c1534dae886bb8259efdc4d4" serialType="1"/>
      </m:item>
      <m:item xlName="_GBC_13ec7b39972b4a4298e1cc6e386c1703" concept="clcid-pte:JingJiXiangGuanSheShiJianZhiZhunBeiLeiJiZengJiaE" label="井及相关设施减值准备累计增加额" mulRef="_GBC_3948c664b1134f4fb0d1f7c7f042d70b" unitRef="_GBC_2ecabb9004854a42b2b7a67389aaa952" addr="T0R22C3S1_1" formatStyle="Comma" appId="_GBC_7dce41817eb749dba0d132424020d250">
        <m:complexRule comparator="Eq" title="井及相关设施减值准备累计增加额" test=" $_GBC_92665b747bb64d3fb72292417e5150b1 +  $_GBC_f5cf573023874272964c8fbd8b1ed0d3" id="C0fd0a71c5c1e46b988b7fa5d659ee14f" serialType="1"/>
      </m:item>
      <m:item xlName="_GBC_26e4421ed5c84d53bad4e2a681b1520f" concept="clcid-pte:YouQiZiChanMingXiJianZhiZhunBeiZengJia" label="油气资产明细-减值准备增加" mulRef="_GBC_3948c664b1134f4fb0d1f7c7f042d70b" unitRef="_GBC_2ecabb9004854a42b2b7a67389aaa952" addr="T0R22C4S1_1" formatStyle="Comma" tupleRef="clcid-pte:YouQiZiChanMingXi" appId="_GBC_7dce41817eb749dba0d132424020d250">
        <m:complexRule comparator="Eq" title="油气资产明细-减值准备增加" test=" $_GBC_417395812bcf476b8462bce0d980ee3e +  $_GBC_aa4b1347c6464088a843aa2426bb76e5" id="C1aaac1910fd74e26bb21ec700c44cac8" serialType="1"/>
      </m:item>
      <m:item xlName="_GBC_86a6d1d4cfc14b96a07f149c98128914" concept="clcid-pte:YouQiZiChanJianZhiZhunBeiZengJiaShu" label="油气资产减值准备增加数" mulRef="_GBC_3948c664b1134f4fb0d1f7c7f042d70b" unitRef="_GBC_2ecabb9004854a42b2b7a67389aaa952" addr="T0R22C5S1_1" formatStyle="Comma" appId="_GBC_7dce41817eb749dba0d132424020d250">
        <m:complexRule comparator="Eq" title="油气资产减值准备增加数横向合计" test=" $_GBC_70bfd5b282bf4e46b5350001c3146df2 +  $_GBC_6a47ab167be7470fbdc54d4df794e14d +  $_GBC_13ec7b39972b4a4298e1cc6e386c1703 +  $_GBC_26e4421ed5c84d53bad4e2a681b1520f" id="Ccfd6e00e4d88478a9785f097d419826e"/>
        <m:complexRule comparator="Eq" title="油气资产减值准备增加数" test=" $_GBC_46f1274dbef347dcbc2f8dd09671ca4d +  $_GBC_e0a768a84d1b4b6a8c45727aa725f4bc" id="Ccb87691dc70b491e949d4faa29483351" serialType="1"/>
      </m:item>
      <m:placeholder xlName="_PLD_37c9ad81b0354ae6beb61ba90bace06e" addr="T0R23C0S1_1"/>
      <m:item xlName="_GBC_f859439c118248c08b46efd269c9adc0" concept="clcid-pte:JiTiDaoZhiDeTanMingKuangQuQuanYiJianZhiZhunBeiZengJiaE" label="计提导致的探明矿区权益减值准备增加额" mulRef="_GBC_3948c664b1134f4fb0d1f7c7f042d70b" unitRef="_GBC_2ecabb9004854a42b2b7a67389aaa952" addr="T0R23C1S1_1" formatStyle="Comma" appId="_GBC_7dce41817eb749dba0d132424020d250"/>
      <m:item xlName="_GBC_11ece5dd527f4fc49578c325220ea7c4" concept="clcid-pte:JiTiDaoZhiDeWeiTanMingKuangQuQuanYiJianZhiZhunBeiZengJiaE" label="计提导致的未探明矿区权益减值准备增加额" mulRef="_GBC_3948c664b1134f4fb0d1f7c7f042d70b" unitRef="_GBC_2ecabb9004854a42b2b7a67389aaa952" addr="T0R23C2S1_1" formatStyle="Comma" appId="_GBC_7dce41817eb749dba0d132424020d250"/>
      <m:item xlName="_GBC_92665b747bb64d3fb72292417e5150b1" concept="clcid-pte:JiTiDaoZhiDeJingJiXiangGuanSheShiJianZhiZhunBeiZengJiaE" label="计提导致的井及相关设施减值准备增加额" mulRef="_GBC_3948c664b1134f4fb0d1f7c7f042d70b" unitRef="_GBC_2ecabb9004854a42b2b7a67389aaa952" addr="T0R23C3S1_1" formatStyle="Comma" appId="_GBC_7dce41817eb749dba0d132424020d250"/>
      <m:item xlName="_GBC_417395812bcf476b8462bce0d980ee3e" concept="clcid-pte:YouQiZiChanMingXiJiTiDaoZhiJianZhiZhunBeiZengJia" label="油气资产明细-计提导致减值准备增加" mulRef="_GBC_3948c664b1134f4fb0d1f7c7f042d70b" unitRef="_GBC_2ecabb9004854a42b2b7a67389aaa952" addr="T0R23C4S1_1" formatStyle="Comma" tupleRef="clcid-pte:YouQiZiChanMingXi" appId="_GBC_7dce41817eb749dba0d132424020d250"/>
      <m:item xlName="_GBC_46f1274dbef347dcbc2f8dd09671ca4d" concept="clcid-pte:JiTiDaoZhiDeYouQiZiChanJianZhiZhunBeiZengJiaE" label="计提导致的油气资产减值准备增加额" mulRef="_GBC_3948c664b1134f4fb0d1f7c7f042d70b" unitRef="_GBC_2ecabb9004854a42b2b7a67389aaa952" addr="T0R23C5S1_1" formatStyle="Comma" appId="_GBC_7dce41817eb749dba0d132424020d250"/>
      <m:item xlName="_GBC_2a89001e32e8432ab63a588e7de490cf" concept="clcid-pte:YouQiZiChanJianZhiZhunBeiZengJiaXiangMuMingCheng1" label="油气资产减值准备增加项目名称1" addr="T0R24C0S1_1" tagAction="1" formatStyle="Comma" appId="_GBC_7dce41817eb749dba0d132424020d250" isSerialConcept="true" serialDirection="1" serialDefaultCount="2"/>
      <m:item xlName="_GBC_4d38fb349ba74ddd9fbc6d89bb8536ff" concept="clcid-pte:YouQiZiChanTanMingKuangQuQuanYiJianZhiZhunBeiZengJiaXiangMuJinE1" label="油气资产探明矿区权益减值准备增加项目金额1" mulRef="_GBC_3948c664b1134f4fb0d1f7c7f042d70b" unitRef="_GBC_2ecabb9004854a42b2b7a67389aaa952" addr="T0R24C1S1_1" tagAction="1" formatStyle="Comma" appId="_GBC_7dce41817eb749dba0d132424020d250" isSerialConcept="true" serialDirection="1"/>
      <m:item xlName="_GBC_0ef7c0084e25409ebe5dddf9762c1004" concept="clcid-pte:YouQiZiChanWeiTanMingKuangQuQuanYiJianZhiZhunBeiZengJiaXiangMuJinE1" label="油气资产未探明矿区权益减值准备增加项目金额1" mulRef="_GBC_3948c664b1134f4fb0d1f7c7f042d70b" unitRef="_GBC_2ecabb9004854a42b2b7a67389aaa952" addr="T0R24C2S1_1" tagAction="1" formatStyle="Comma" appId="_GBC_7dce41817eb749dba0d132424020d250" isSerialConcept="true" serialDirection="1"/>
      <m:item xlName="_GBC_f5cf573023874272964c8fbd8b1ed0d3" concept="clcid-pte:YouQiZiChanJingJiXiangGuanSheShiJianZhiZhunBeiZengJiaXiangMuJinE1" label="油气资产井及相关设施减值准备增加项目金额1" mulRef="_GBC_3948c664b1134f4fb0d1f7c7f042d70b" unitRef="_GBC_2ecabb9004854a42b2b7a67389aaa952" addr="T0R24C3S1_1" tagAction="1" formatStyle="Comma" appId="_GBC_7dce41817eb749dba0d132424020d250" isSerialConcept="true" serialDirection="1"/>
      <m:item xlName="_GBC_aa4b1347c6464088a843aa2426bb76e5" concept="clcid-pte:YouQiZiChanJianZhiZhunBeiZengJiaXiangMuJinE1" label="油气资产减值准备增加项目金额1" mulRef="_GBC_3948c664b1134f4fb0d1f7c7f042d70b" unitRef="_GBC_2ecabb9004854a42b2b7a67389aaa952" addr="T0R24C4S1_1" tagAction="1" formatStyle="Comma" tupleRef="clcid-pte:YouQiZiChanMingXi" appId="_GBC_7dce41817eb749dba0d132424020d250" isSerialConcept="true" serialDirection="1"/>
      <m:item xlName="_GBC_e0a768a84d1b4b6a8c45727aa725f4bc" concept="clcid-pte:YouQiZiChanJianZhiZhunBeiZengJiaXiangMuHeJiJinE1" label="油气资产减值准备增加项目合计金额1" mulRef="_GBC_3948c664b1134f4fb0d1f7c7f042d70b" unitRef="_GBC_2ecabb9004854a42b2b7a67389aaa952" addr="T0R24C5S1_1" tagAction="1" formatStyle="Comma" appId="_GBC_7dce41817eb749dba0d132424020d250" isSerialConcept="true" serialDirection="1"/>
      <m:placeholder xlName="_PLD_a0308d9b6bf949fc962bdaa5cf4eb7c1" addr="T0R25C0S1_1"/>
      <m:item xlName="_GBC_f04345e7753540b8ac98ea9daf01243a" concept="clcid-pte:TanMingKuangQuQuanYiJianZhiZhunBeiLeiJiJianShaoE" label="探明矿区权益减值准备累计减少额" mulRef="_GBC_3948c664b1134f4fb0d1f7c7f042d70b" unitRef="_GBC_2ecabb9004854a42b2b7a67389aaa952" addr="T0R25C1S1_1" formatStyle="Comma" appId="_GBC_7dce41817eb749dba0d132424020d250">
        <m:complexRule comparator="Eq" title="探明矿区权益减值准备累计减少额" test=" $_GBC_e6319675598a44ff89829378b2edd4ba +  $_GBC_5e4a218b1d984785bbe506abfa6d6914" id="C1cdf29361be1421c8f025481d161d502" serialType="1"/>
      </m:item>
      <m:item xlName="_GBC_1120155c4f994a738c25989246abd389" concept="clcid-pte:WeiTanMingKuangQuQuanYiJianZhiZhunBeiLeiJiJianShaoE" label="未探明矿区权益减值准备累计减少额" mulRef="_GBC_3948c664b1134f4fb0d1f7c7f042d70b" unitRef="_GBC_2ecabb9004854a42b2b7a67389aaa952" addr="T0R25C2S1_1" formatStyle="Comma" appId="_GBC_7dce41817eb749dba0d132424020d250">
        <m:complexRule comparator="Eq" title="未探明矿区权益减值准备累计减少额" test=" $_GBC_fa7d30ccc03947dd897ba334d357bbe5 +  $_GBC_2e42a19e0f0e41e0a5160c8780092315" id="C48859f21e3a34ad8b797b81d1cc53f0d" serialType="1"/>
      </m:item>
      <m:item xlName="_GBC_9da099cdc1e247e195431af119bbc617" concept="clcid-pte:JingJiXiangGuanSheShiJianZhiZhunBeiLeiJiJianShaoE" label="井及相关设施减值准备累计减少额" mulRef="_GBC_3948c664b1134f4fb0d1f7c7f042d70b" unitRef="_GBC_2ecabb9004854a42b2b7a67389aaa952" addr="T0R25C3S1_1" formatStyle="Comma" appId="_GBC_7dce41817eb749dba0d132424020d250">
        <m:complexRule comparator="Eq" title="井及相关设施减值准备累计减少额" test=" $_GBC_954dc3e453ad4f41be23164f509ff49c +  $_GBC_46b501200e934d49b9ab1dde8bce6ce0" id="Cbb8c5efbe416441dad79a4915f350808" serialType="1"/>
      </m:item>
      <m:item xlName="_GBC_f1221a19043e42a1af533d32426953c7" concept="clcid-pte:YouQiZiChanMingXiJianZhiZhunBeiJianShao" label="油气资产明细-减值准备减少" mulRef="_GBC_3948c664b1134f4fb0d1f7c7f042d70b" unitRef="_GBC_2ecabb9004854a42b2b7a67389aaa952" addr="T0R25C4S1_1" formatStyle="Comma" tupleRef="clcid-pte:YouQiZiChanMingXi" appId="_GBC_7dce41817eb749dba0d132424020d250">
        <m:complexRule comparator="Eq" title="油气资产明细-减值准备减少" test=" $_GBC_39dd164d3a1f4a4e873979a5cb091117 +  $_GBC_a852e61cab2b423e9e0ba208fe7d1a80" id="C6305a6352e144c4e8445539c3aceeaf3" serialType="1"/>
      </m:item>
      <m:item xlName="_GBC_cfa3450e889d41098b5a98b0230421fa" concept="clcid-pte:YouQiZiChanYuanJiaJianZhiZhunBeiLeiJiHeJiJianShaoE" label="油气资产原价减值准备累计合计减少额" mulRef="_GBC_3948c664b1134f4fb0d1f7c7f042d70b" unitRef="_GBC_2ecabb9004854a42b2b7a67389aaa952" addr="T0R25C5S1_1" formatStyle="Comma" appId="_GBC_7dce41817eb749dba0d132424020d250">
        <m:complexRule comparator="Eq" title="油气资产原价减值准备累计合计减少额横向合计" test=" $_GBC_f04345e7753540b8ac98ea9daf01243a +  $_GBC_1120155c4f994a738c25989246abd389 +  $_GBC_9da099cdc1e247e195431af119bbc617 +  $_GBC_f1221a19043e42a1af533d32426953c7" id="C69e46cd0b97f40bf946575276455b611"/>
        <m:complexRule comparator="Eq" title="油气资产原价减值准备累计合计减少额" test=" $_GBC_cb6c889d2b334bd08c04de65ee801be8 +  $_GBC_f5bf126b85204bfbaa1a54cc95c9bf2d" id="Cba06f4d2cf074651a86687df407842a4" serialType="1"/>
      </m:item>
      <m:placeholder xlName="_PLD_d3d40e09b2ad43d69bf0bec7b614727a" addr="T0R26C0S1_1"/>
      <m:item xlName="_GBC_e6319675598a44ff89829378b2edd4ba" concept="clcid-pte:ChuZhiDaoZhiDeTanMingKuangQuQuanYiJianZhiZhunBeiJianShaoE" label="处置导致的探明矿区权益减值准备减少额" mulRef="_GBC_3948c664b1134f4fb0d1f7c7f042d70b" unitRef="_GBC_2ecabb9004854a42b2b7a67389aaa952" addr="T0R26C1S1_1" formatStyle="Comma" appId="_GBC_7dce41817eb749dba0d132424020d250"/>
      <m:item xlName="_GBC_fa7d30ccc03947dd897ba334d357bbe5" concept="clcid-pte:ChuZhiDaoZhiDeWeiTanMingKuangQuQuanYiJianZhiZhunBeiJianShaoE" label="处置导致的未探明矿区权益减值准备减少额" mulRef="_GBC_3948c664b1134f4fb0d1f7c7f042d70b" unitRef="_GBC_2ecabb9004854a42b2b7a67389aaa952" addr="T0R26C2S1_1" formatStyle="Comma" appId="_GBC_7dce41817eb749dba0d132424020d250"/>
      <m:item xlName="_GBC_954dc3e453ad4f41be23164f509ff49c" concept="clcid-pte:ChuZhiDaoZhiDeJingJiXiangGuanSheShiJianZhiZhunBeiJianShaoE" label="处置导致的井及相关设施减值准备减少额" mulRef="_GBC_3948c664b1134f4fb0d1f7c7f042d70b" unitRef="_GBC_2ecabb9004854a42b2b7a67389aaa952" addr="T0R26C3S1_1" formatStyle="Comma" appId="_GBC_7dce41817eb749dba0d132424020d250"/>
      <m:item xlName="_GBC_39dd164d3a1f4a4e873979a5cb091117" concept="clcid-pte:YouQiZiChanMingXiChuZhiDaoZhiJianZhiZhunBeiJianShao" label="油气资产明细-处置导致减值准备减少" mulRef="_GBC_3948c664b1134f4fb0d1f7c7f042d70b" unitRef="_GBC_2ecabb9004854a42b2b7a67389aaa952" addr="T0R26C4S1_1" formatStyle="Comma" tupleRef="clcid-pte:YouQiZiChanMingXi" appId="_GBC_7dce41817eb749dba0d132424020d250"/>
      <m:item xlName="_GBC_cb6c889d2b334bd08c04de65ee801be8" concept="clcid-pte:ChuZhiDaoZhiDeYouQiZiChanJianZhiZhunBeiJianShaoE" label="处置导致的油气资产减值准备减少额" mulRef="_GBC_3948c664b1134f4fb0d1f7c7f042d70b" unitRef="_GBC_2ecabb9004854a42b2b7a67389aaa952" addr="T0R26C5S1_1" formatStyle="Comma" appId="_GBC_7dce41817eb749dba0d132424020d250"/>
      <m:item xlName="_GBC_8e8dc8f240014368927939e653c6cd4a" concept="clcid-pte:YouQiZiChanJianZhiZhunBeiJianShaoXiangMuMingCheng1" label="油气资产减值准备减少项目名称1" addr="T0R27C0S1_1" tagAction="1" formatStyle="Comma" appId="_GBC_7dce41817eb749dba0d132424020d250" isSerialConcept="true" serialDirection="1" serialDefaultCount="2"/>
      <m:item xlName="_GBC_5e4a218b1d984785bbe506abfa6d6914" concept="clcid-pte:YouQiZiChanTanMingKuangQuQuanYiJianZhiZhunBeiJianShaoXiangMuJinE1" label="油气资产探明矿区权益减值准备减少项目金额1" mulRef="_GBC_3948c664b1134f4fb0d1f7c7f042d70b" unitRef="_GBC_2ecabb9004854a42b2b7a67389aaa952" addr="T0R27C1S1_1" tagAction="1" formatStyle="Comma" appId="_GBC_7dce41817eb749dba0d132424020d250" isSerialConcept="true" serialDirection="1"/>
      <m:item xlName="_GBC_2e42a19e0f0e41e0a5160c8780092315" concept="clcid-pte:YouQiZiChanWeiTanMingKuangQuQuanYiJianZhiZhunBeiJianShaoXiangMuJinE1" label="油气资产未探明矿区权益减值准备减少项目金额1" mulRef="_GBC_3948c664b1134f4fb0d1f7c7f042d70b" unitRef="_GBC_2ecabb9004854a42b2b7a67389aaa952" addr="T0R27C2S1_1" tagAction="1" formatStyle="Comma" appId="_GBC_7dce41817eb749dba0d132424020d250" isSerialConcept="true" serialDirection="1"/>
      <m:item xlName="_GBC_46b501200e934d49b9ab1dde8bce6ce0" concept="clcid-pte:YouQiZiChanJingJiXiangGuanSheShiJianZhiZhunBeiJianShaoXiangMuJinE1" label="油气资产井及相关设施减值准备减少项目金额1" mulRef="_GBC_3948c664b1134f4fb0d1f7c7f042d70b" unitRef="_GBC_2ecabb9004854a42b2b7a67389aaa952" addr="T0R27C3S1_1" tagAction="1" formatStyle="Comma" appId="_GBC_7dce41817eb749dba0d132424020d250" isSerialConcept="true" serialDirection="1"/>
      <m:item xlName="_GBC_a852e61cab2b423e9e0ba208fe7d1a80" concept="clcid-pte:YouQiZiChanJianZhiZhunBeiJianShaoXiangMuJinE1" label="油气资产减值准备减少项目金额1" mulRef="_GBC_3948c664b1134f4fb0d1f7c7f042d70b" unitRef="_GBC_2ecabb9004854a42b2b7a67389aaa952" addr="T0R27C4S1_1" tagAction="1" formatStyle="Comma" tupleRef="clcid-pte:YouQiZiChanMingXi" appId="_GBC_7dce41817eb749dba0d132424020d250" isSerialConcept="true" serialDirection="1"/>
      <m:item xlName="_GBC_f5bf126b85204bfbaa1a54cc95c9bf2d" concept="clcid-pte:YouQiZiChanJianZhiZhunBeiJianShaoXiangMuHeJiJinE1" label="油气资产减值准备减少项目合计金额1" mulRef="_GBC_3948c664b1134f4fb0d1f7c7f042d70b" unitRef="_GBC_2ecabb9004854a42b2b7a67389aaa952" addr="T0R27C5S1_1" tagAction="1" formatStyle="Comma" appId="_GBC_7dce41817eb749dba0d132424020d250" isSerialConcept="true" serialDirection="1"/>
      <m:placeholder xlName="_PLD_47b38fdc50754c7990dddcefafefd05b" addr="T0R28C0S1_1"/>
      <m:item xlName="_GBC_1e88123ac07e4f57b1be167df2802e58" concept="clcid-pte:TanMingKuangQuQuanYiJianZhiZhunBeiLeiJiZhangMianYuE" label="探明矿区权益减值准备累计账面余额" mulRef="_GBC_3948c664b1134f4fb0d1f7c7f042d70b" unitRef="_GBC_2ecabb9004854a42b2b7a67389aaa952" addr="T0R28C1S1_1" formatStyle="Comma" appId="_GBC_7dce41817eb749dba0d132424020d250">
        <m:complexRule comparator="Eq" title="探明矿区权益减值准备累计账面余额" test=" $_GBC_3d960548dd034ce6bcea662ce425e80e +  $_GBC_70bfd5b282bf4e46b5350001c3146df2 -  $_GBC_f04345e7753540b8ac98ea9daf01243a" id="C375b2267fdc94108b59f7bc8de283489"/>
      </m:item>
      <m:item xlName="_GBC_93dd12685aaf4fad83cfcba90c4ad201" concept="clcid-pte:WeiTanMingKuangQuQuanYiJianZhiZhunBeiLeiJiZhangMianYuE" label="未探明矿区权益减值准备累计账面余额" mulRef="_GBC_3948c664b1134f4fb0d1f7c7f042d70b" unitRef="_GBC_2ecabb9004854a42b2b7a67389aaa952" addr="T0R28C2S1_1" formatStyle="Comma" appId="_GBC_7dce41817eb749dba0d132424020d250">
        <m:complexRule comparator="Eq" title="未探明矿区权益减值准备累计账面余额" test=" $_GBC_c3e39f57a4fe45948649b4368ac996ee +  $_GBC_6a47ab167be7470fbdc54d4df794e14d -  $_GBC_1120155c4f994a738c25989246abd389" id="Ce74dcb9dc1c74687b8c87c4b8ff05f99"/>
      </m:item>
      <m:item xlName="_GBC_f31a6947a51a4334869d20078ff4137d" concept="clcid-pte:JingJiXiangGuanSheShiJianZhiZhunBeiLeiJiZhangMianYuE" label="井及相关设施减值准备累计账面余额" mulRef="_GBC_3948c664b1134f4fb0d1f7c7f042d70b" unitRef="_GBC_2ecabb9004854a42b2b7a67389aaa952" addr="T0R28C3S1_1" formatStyle="Comma" appId="_GBC_7dce41817eb749dba0d132424020d250">
        <m:complexRule comparator="Eq" title="井及相关设施减值准备累计账面余额" test=" $_GBC_b8b715dbcf5e44f498728f1dc85ae468 +  $_GBC_13ec7b39972b4a4298e1cc6e386c1703 -  $_GBC_9da099cdc1e247e195431af119bbc617" id="C9259f7ba05c14d589eda11151fc2c0fa"/>
      </m:item>
      <m:item xlName="_GBC_fed1a6fba55c4ed089cb4dde95d3eb6d" concept="clcid-pte:YouQiZiChanMingXiJianZhiZhunBei" label="油气资产明细-减值准备" mulRef="_GBC_3948c664b1134f4fb0d1f7c7f042d70b" unitRef="_GBC_2ecabb9004854a42b2b7a67389aaa952" addr="T0R28C4S1_1" formatStyle="Comma" tupleRef="clcid-pte:YouQiZiChanMingXi" appId="_GBC_7dce41817eb749dba0d132424020d250">
        <m:complexRule comparator="Eq" title="油气资产明细-减值准备" test=" $_GBC_ca174996c9ef480fbd7be75f03c49aee +  $_GBC_26e4421ed5c84d53bad4e2a681b1520f -  $_GBC_f1221a19043e42a1af533d32426953c7" id="C938f30100ac54cc79bf9e49521bac5d0"/>
      </m:item>
      <m:item xlName="_GBC_eebac1e647ae4b87ba662d7b129b5a49" concept="clcid-pte:YouQiZiChanJianZhiZhunBeiYuEHeJi" label="油气资产减值准备余额合计" mulRef="_GBC_3948c664b1134f4fb0d1f7c7f042d70b" unitRef="_GBC_2ecabb9004854a42b2b7a67389aaa952" addr="T0R28C5S1_1" formatStyle="Comma" appId="_GBC_7dce41817eb749dba0d132424020d250">
        <m:complexRule comparator="Eq" title="油气资产减值准备余额合计" test=" $_GBC_aacd3f386cd445c9942be42eb695bb9b +  $_GBC_86a6d1d4cfc14b96a07f149c98128914 -  $_GBC_cfa3450e889d41098b5a98b0230421fa" id="Cee5edda58e73460a8ba38389c0256681"/>
        <m:complexRule comparator="Eq" title="油气资产减值准备余额合计横向合计" test=" $_GBC_1e88123ac07e4f57b1be167df2802e58 +  $_GBC_93dd12685aaf4fad83cfcba90c4ad201 +  $_GBC_f31a6947a51a4334869d20078ff4137d +  $_GBC_fed1a6fba55c4ed089cb4dde95d3eb6d" id="C35a5f76ac9244d4b904f03a56a775a1e"/>
      </m:item>
      <m:placeholder xlName="_PLD_947403db8c96478f9d4d18e8751c7997" addr="T0R29C0S1_1"/>
      <m:placeholder xlName="_PLD_d91b27edb042428fa3541e1fadde302d" addr="T0R30C0S1_1"/>
      <m:item xlName="_GBC_3f1e7c5705ed4091894590bc3a7fc196" concept="clcid-pte:TanMingKuangQuQuanYiZhangMianJiaZhiYuE" label="探明矿区权益账面价值余额" mulRef="_GBC_3948c664b1134f4fb0d1f7c7f042d70b" unitRef="_GBC_2ecabb9004854a42b2b7a67389aaa952" addr="T0R30C1S1_1" formatStyle="Comma" appId="_GBC_7dce41817eb749dba0d132424020d250"/>
      <m:item xlName="_GBC_a575f5ee8cd5412e89ca64e1fc439c6c" concept="clcid-pte:WeiTanMingKuangQuQuanYiZhangMianJiaZhiYuE" label="未探明矿区权益账面价值余额" mulRef="_GBC_3948c664b1134f4fb0d1f7c7f042d70b" unitRef="_GBC_2ecabb9004854a42b2b7a67389aaa952" addr="T0R30C2S1_1" formatStyle="Comma" appId="_GBC_7dce41817eb749dba0d132424020d250"/>
      <m:item xlName="_GBC_9212bb7e91bb474485787b56ece53ade" concept="clcid-pte:JingJiXiangGuanSheShiZhangMianJiaZhiYuE" label="井及相关设施账面价值余额" mulRef="_GBC_3948c664b1134f4fb0d1f7c7f042d70b" unitRef="_GBC_2ecabb9004854a42b2b7a67389aaa952" addr="T0R30C3S1_1" formatStyle="Comma" appId="_GBC_7dce41817eb749dba0d132424020d250"/>
      <m:item xlName="_GBC_46b1f305e53d45c88ad93125eccf5954" concept="clcid-pte:YouQiZiChanMingXiZhangMianJiaZhi" label="油气资产明细-账面价值" mulRef="_GBC_3948c664b1134f4fb0d1f7c7f042d70b" unitRef="_GBC_2ecabb9004854a42b2b7a67389aaa952" addr="T0R30C4S1_1" formatStyle="Comma" tupleRef="clcid-pte:YouQiZiChanMingXi" appId="_GBC_7dce41817eb749dba0d132424020d250"/>
      <m:item xlName="_GBC_2c3751c2edf049489ac7532d5502c0ec" concept="clcid-pte:YouQiZiChan" label="油气资产" mulRef="_GBC_3948c664b1134f4fb0d1f7c7f042d70b" unitRef="_GBC_2ecabb9004854a42b2b7a67389aaa952" addr="T0R30C5S1_1" formatStyle="Comma" appId="_GBC_7dce41817eb749dba0d132424020d250">
        <m:complexRule comparator="Eq" title="油气资产账面价值合计余额" test=" $_GBC_3f1e7c5705ed4091894590bc3a7fc196 +  $_GBC_a575f5ee8cd5412e89ca64e1fc439c6c +  $_GBC_9212bb7e91bb474485787b56ece53ade +  $_GBC_46b1f305e53d45c88ad93125eccf5954" id="C90fcbea812384270a9f36c4d4f21461d"/>
      </m:item>
      <m:placeholder xlName="_PLD_ab1bee11bdf440159fbd2575103b56a2" addr="T0R31C0S1_1"/>
      <m:item xlName="_GBC_90b470e3f16c4d0dac383118a14e73d7" concept="clcid-pte:TanMingKuangQuQuanYiZhangMianJiaZhiYuE" label="探明矿区权益账面价值余额" periodRef="本期期初数" mulRef="_GBC_3948c664b1134f4fb0d1f7c7f042d70b" unitRef="_GBC_2ecabb9004854a42b2b7a67389aaa952" addr="T0R31C1S1_1" formatStyle="Comma" appId="_GBC_7dce41817eb749dba0d132424020d250"/>
      <m:item xlName="_GBC_6025b1cbe37b48b98b6689ebb49fbe2d" concept="clcid-pte:WeiTanMingKuangQuQuanYiZhangMianJiaZhiYuE" label="未探明矿区权益账面价值余额" periodRef="本期期初数" mulRef="_GBC_3948c664b1134f4fb0d1f7c7f042d70b" unitRef="_GBC_2ecabb9004854a42b2b7a67389aaa952" addr="T0R31C2S1_1" formatStyle="Comma" appId="_GBC_7dce41817eb749dba0d132424020d250"/>
      <m:item xlName="_GBC_2190a078e9bb43eab299599652e08be7" concept="clcid-pte:JingJiXiangGuanSheShiZhangMianJiaZhiYuE" label="井及相关设施账面价值余额" periodRef="本期期初数" mulRef="_GBC_3948c664b1134f4fb0d1f7c7f042d70b" unitRef="_GBC_2ecabb9004854a42b2b7a67389aaa952" addr="T0R31C3S1_1" formatStyle="Comma" appId="_GBC_7dce41817eb749dba0d132424020d250"/>
      <m:item xlName="_GBC_f1966b339d0c4bffabe16310c0414a35" concept="clcid-pte:YouQiZiChanMingXiZhangMianJiaZhi" label="油气资产明细-账面价值" periodRef="本期期初数" mulRef="_GBC_3948c664b1134f4fb0d1f7c7f042d70b" unitRef="_GBC_2ecabb9004854a42b2b7a67389aaa952" addr="T0R31C4S1_1" formatStyle="Comma" tupleRef="clcid-pte:YouQiZiChanMingXi" appId="_GBC_7dce41817eb749dba0d132424020d250"/>
      <m:item xlName="_GBC_be56eb84f68f43fa8095eee73d3247b2" concept="clcid-pte:YouQiZiChan" label="油气资产" periodRef="本期期初数" mulRef="_GBC_3948c664b1134f4fb0d1f7c7f042d70b" unitRef="_GBC_2ecabb9004854a42b2b7a67389aaa952" addr="T0R31C5S1_1" formatStyle="Comma" appId="_GBC_7dce41817eb749dba0d132424020d250">
        <m:complexRule comparator="Eq" title="油气资产账面价值合计余额@本期期初数" test=" $_GBC_90b470e3f16c4d0dac383118a14e73d7 +  $_GBC_6025b1cbe37b48b98b6689ebb49fbe2d +  $_GBC_2190a078e9bb43eab299599652e08be7 +  $_GBC_f1966b339d0c4bffabe16310c0414a35" id="Ca308a02f2a724af9b144e9fde7edcc99"/>
      </m:item>
      <m:item xlName="_GBC_760d7a2d396d46499ac9ecc6f0bc5325" concept="clcid-pte:YouQiZiChanDeShuoMing" label="油气资产的说明" appId="_GBC_7dce41817eb749dba0d132424020d250"/>
      <m:virtualTuples>
        <m:virtualTuple id="391f4d5d-e2bb-4e43-a73b-1a879022eeed" tupleRef="clcid-pte:YouQiZiChanMingXi" extendDirection="2" splitWidth="1"/>
      </m:virtualTuples>
    </m:section>
    <m:section xlName="_SEC_42126bf96c7241e38ff33aae0d98dae2" title="使用权资产" tagAction="1" helpId="112001060">
      <m:item xlName="_GBC_3ac132175b304712af4889ae3914ef7d" concept="clcid-ci-ar:ShiFouShiYongShiYongQuanZiChan" label="是否适用：使用权资产" selectOptions="_buildInAppliance" controlType="CustomCheckbox" cRanges="[{&quot;StartName&quot;:&quot;_GBC_3ac132175b304712af4889ae3914ef7d&quot;,&quot;EndName&quot;:&quot;_GBC_59e827e1177d4b7b8daf26999a9ca64a&quot;,&quot;CType&quot;:1}]"/>
      <m:item xlName="_GBC_126de13c7c92490d95bdebd7efe2d59b" concept="clcid-ci-ar:DanWeiShiYongQuanZiChan" label="单位：使用权资产" selectOptions="_buildInScales" controlType="Combobox" cellType="Scale" appId="_GBC_3ac132175b304712af4889ae3914ef7d"/>
      <m:item xlName="_GBC_bb9e8b7096ab49fc95311a6c81431e95" concept="clcid-ci-ar:BiZhongShiYongQuanZiChan" label="币种：使用权资产" selectOptions="_buildInISO4217" controlType="Combobox" cellType="Measure" appId="_GBC_3ac132175b304712af4889ae3914ef7d"/>
      <m:placeholder xlName="_PLD_e7cc7a86c52f4dc596615cce534e6d6a" addr="T0R0C0S1_1"/>
      <m:item xlName="_GBC_ea9ffc7b81304e04ad88fe7fcccf7ec1" concept="clcid-pte:ShiYongQuanZiChanMingXiXiangMu" label="使用权资产明细-项目" addr="T0R0C1S1_1" tagAction="1" tupleRef="clcid-pte:ShiYongQuanZiChanMingXi" appId="_GBC_3ac132175b304712af4889ae3914ef7d" isCaption="true"/>
      <m:placeholder xlName="_PLD_8404013d36434d0f94f9d2e0e06379db" addr="T0R0C2S1_1"/>
      <m:placeholder xlName="_PLD_8a1172a4974b4db489d9ace1c9b06ff9" addr="T0R1C0S1_1"/>
      <m:placeholder xlName="_PLD_1bcbd6f040864936993405929e8f3c87" addr="T0R2C0S1_1"/>
      <m:item xlName="_GBC_6079549d75e44c4794dbbc33e1c33ad8" concept="clcid-pte:ShiYongQuanZiChanMingXiZhangMianYuanZhi" label="使用权资产明细-账面原值" periodRef="本期期初数" mulRef="_GBC_126de13c7c92490d95bdebd7efe2d59b" unitRef="_GBC_bb9e8b7096ab49fc95311a6c81431e95" addr="T0R2C1S1_1" formatStyle="Comma" tupleRef="clcid-pte:ShiYongQuanZiChanMingXi" appId="_GBC_3ac132175b304712af4889ae3914ef7d"/>
      <m:item xlName="_GBC_1a35fa4b8971434894a45baaca257b56" concept="clcid-pte:ShiYongQuanZiChanZhangMianYuanZhi" label="使用权资产账面原值" periodRef="本期期初数" mulRef="_GBC_126de13c7c92490d95bdebd7efe2d59b" unitRef="_GBC_bb9e8b7096ab49fc95311a6c81431e95" addr="T0R2C2S1_1" formatStyle="Comma" appId="_GBC_3ac132175b304712af4889ae3914ef7d"/>
      <m:placeholder xlName="_PLD_cb8705faa0dd4f71889eeb93b843f45e" addr="T0R3C0S1_1"/>
      <m:item xlName="_GBC_038693f88fd04c6e945c2a70721938c5" concept="clcid-pte:ShiYongQuanZiChanMingXiZhangMianYuanZhiZengJia" label="使用权资产明细-账面原值增加" mulRef="_GBC_126de13c7c92490d95bdebd7efe2d59b" unitRef="_GBC_bb9e8b7096ab49fc95311a6c81431e95" addr="T0R3C1S1_1" formatStyle="Comma" tupleRef="clcid-pte:ShiYongQuanZiChanMingXi" appId="_GBC_3ac132175b304712af4889ae3914ef7d"/>
      <m:item xlName="_GBC_8000655ddf3b4066924ff13958ca8787" concept="clcid-pte:ShiYongQuanZiChanZhangMianYuanZhiZengJia" label="使用权资产账面原值增加" mulRef="_GBC_126de13c7c92490d95bdebd7efe2d59b" unitRef="_GBC_bb9e8b7096ab49fc95311a6c81431e95" addr="T0R3C2S1_1" formatStyle="Comma" appId="_GBC_3ac132175b304712af4889ae3914ef7d"/>
      <m:item xlName="_GBC_1a6d831f9b1b40bfbbec3afae5f4701e" concept="clcid-pte:ShiYongQuanZiChanZhangMianYuanZhiZengJiaXiangMuMingCheng1" label="使用权资产账面原值增加项目名称1" addr="T0R4C0S1_1" tagAction="1" appId="_GBC_3ac132175b304712af4889ae3914ef7d" isSerialConcept="true" serialDirection="1" serialDefaultCount="2"/>
      <m:item xlName="_GBC_fea54c9079f8401280ded64a3f37ad3c" concept="clcid-pte:ShiYongQuanZiChanZhangMianYuanZhiZengJiaXiangMuJinE1" label="使用权资产账面原值增加项目金额1" mulRef="_GBC_126de13c7c92490d95bdebd7efe2d59b" unitRef="_GBC_bb9e8b7096ab49fc95311a6c81431e95" addr="T0R4C1S1_1" tagAction="1" formatStyle="Comma" tupleRef="clcid-pte:ShiYongQuanZiChanMingXi" appId="_GBC_3ac132175b304712af4889ae3914ef7d" isSerialConcept="true" serialDirection="1" serialDefaultCount="2"/>
      <m:item xlName="_GBC_a28fe7f9c36c4f208081a5dd677ef6b7" concept="clcid-pte:ShiYongQuanZiChanZhangMianYuanZhiZengJiaXiangMuHeJiJinE1" label="使用权资产账面原值增加项目合计金额1" mulRef="_GBC_126de13c7c92490d95bdebd7efe2d59b" unitRef="_GBC_bb9e8b7096ab49fc95311a6c81431e95" addr="T0R4C2S1_1" tagAction="1" formatStyle="Comma" appId="_GBC_3ac132175b304712af4889ae3914ef7d" isSerialConcept="true" serialDirection="1"/>
      <m:placeholder xlName="_PLD_5a836262bcb54f0aa73023d39e87cb70" addr="T0R5C0S1_1"/>
      <m:item xlName="_GBC_ad311ac7cd944c41ab0869eebfbbc2a9" concept="clcid-pte:ShiYongQuanZiChanMingXiZhangMianYuanZhiJianShao" label="使用权资产明细-账面原值减少" mulRef="_GBC_126de13c7c92490d95bdebd7efe2d59b" unitRef="_GBC_bb9e8b7096ab49fc95311a6c81431e95" addr="T0R5C1S1_1" formatStyle="Comma" tupleRef="clcid-pte:ShiYongQuanZiChanMingXi" appId="_GBC_3ac132175b304712af4889ae3914ef7d"/>
      <m:item xlName="_GBC_0f36d990434d47bd9f1a709a0a597c10" concept="clcid-pte:ShiYongQuanZiChanZhangMianYuanZhiJianShao" label="使用权资产账面原值减少" mulRef="_GBC_126de13c7c92490d95bdebd7efe2d59b" unitRef="_GBC_bb9e8b7096ab49fc95311a6c81431e95" addr="T0R5C2S1_1" formatStyle="Comma" appId="_GBC_3ac132175b304712af4889ae3914ef7d"/>
      <m:item xlName="_GBC_f534700ba5da4c9582fa43e92a4bb935" concept="clcid-pte:ShiYongQuanZiChanZhangMianYuanZhiJianShaoXiangMuMingCheng1" label="使用权资产账面原值减少项目名称1" addr="T0R6C0S1_1" tagAction="1" appId="_GBC_3ac132175b304712af4889ae3914ef7d" isSerialConcept="true" serialDirection="1" serialDefaultCount="2"/>
      <m:item xlName="_GBC_63c6f750d7344be9b23f8c4363a3cb39" concept="clcid-pte:ShiYongQuanZiChanZhangMianYuanZhiJianShaoXiangMuJinE1" label="使用权资产账面原值减少项目金额1" mulRef="_GBC_126de13c7c92490d95bdebd7efe2d59b" unitRef="_GBC_bb9e8b7096ab49fc95311a6c81431e95" addr="T0R6C1S1_1" tagAction="1" formatStyle="Comma" tupleRef="clcid-pte:ShiYongQuanZiChanMingXi" appId="_GBC_3ac132175b304712af4889ae3914ef7d" isSerialConcept="true" serialDirection="1" serialDefaultCount="2"/>
      <m:item xlName="_GBC_16a3134bd513450994cab10e2f01d80f" concept="clcid-pte:ShiYongQuanZiChanZhangMianYuanZhiJianShaoXiangMuHeJiJinE1" label="使用权资产账面原值减少项目合计金额1" mulRef="_GBC_126de13c7c92490d95bdebd7efe2d59b" unitRef="_GBC_bb9e8b7096ab49fc95311a6c81431e95" addr="T0R6C2S1_1" tagAction="1" formatStyle="Comma" appId="_GBC_3ac132175b304712af4889ae3914ef7d" isSerialConcept="true" serialDirection="1"/>
      <m:placeholder xlName="_PLD_d2ddd00acda84b158c10aa57a3b88766" addr="T0R7C0S1_1"/>
      <m:item xlName="_GBC_6a038554bb4d4aa789f64c8ccc710b07" concept="clcid-pte:ShiYongQuanZiChanMingXiZhangMianYuanZhi" label="使用权资产明细-账面原值" mulRef="_GBC_126de13c7c92490d95bdebd7efe2d59b" unitRef="_GBC_bb9e8b7096ab49fc95311a6c81431e95" addr="T0R7C1S1_1" formatStyle="Comma" tupleRef="clcid-pte:ShiYongQuanZiChanMingXi" appId="_GBC_3ac132175b304712af4889ae3914ef7d">
        <m:complexRule comparator="Eq" title="使用权资产明细-账面原值" test=" $_GBC_6079549d75e44c4794dbbc33e1c33ad8 +  $_GBC_038693f88fd04c6e945c2a70721938c5 -  $_GBC_ad311ac7cd944c41ab0869eebfbbc2a9" id="Cfe1bdff5333b4ead8412955953dea7ec"/>
      </m:item>
      <m:item xlName="_GBC_007c0f31392649b696a0d5d1c1e6a108" concept="clcid-pte:ShiYongQuanZiChanZhangMianYuanZhi" label="使用权资产账面原值" mulRef="_GBC_126de13c7c92490d95bdebd7efe2d59b" unitRef="_GBC_bb9e8b7096ab49fc95311a6c81431e95" addr="T0R7C2S1_1" formatStyle="Comma" appId="_GBC_3ac132175b304712af4889ae3914ef7d">
        <m:complexRule comparator="Eq" title="使用权资产账面原值" test=" $_GBC_1a35fa4b8971434894a45baaca257b56 +  $_GBC_8000655ddf3b4066924ff13958ca8787 -  $_GBC_0f36d990434d47bd9f1a709a0a597c10" id="C8a337005cfbf40938d363cb1953dfe4b"/>
      </m:item>
      <m:placeholder xlName="_PLD_c5fd254e7ed54ab8b2346f3d57a1cc54" addr="T0R8C0S1_1"/>
      <m:placeholder xlName="_PLD_9d84a55f4f2440dda7ca9f05e3bee994" addr="T0R9C0S1_1"/>
      <m:item xlName="_GBC_5c668c183c4043a5aade63b6e2f10e53" concept="clcid-pte:ShiYongQuanZiChanMingXiLeiJiZheJiu" label="使用权资产明细-累计折旧" periodRef="本期期初数" mulRef="_GBC_126de13c7c92490d95bdebd7efe2d59b" unitRef="_GBC_bb9e8b7096ab49fc95311a6c81431e95" addr="T0R9C1S1_1" formatStyle="Comma" tupleRef="clcid-pte:ShiYongQuanZiChanMingXi" appId="_GBC_3ac132175b304712af4889ae3914ef7d"/>
      <m:item xlName="_GBC_5c5976dca1a94e139da6fac64c954c50" concept="clcid-pte:ShiYongQuanZiChanLeiJiZheJiu" label="使用权资产累计折旧" periodRef="本期期初数" mulRef="_GBC_126de13c7c92490d95bdebd7efe2d59b" unitRef="_GBC_bb9e8b7096ab49fc95311a6c81431e95" addr="T0R9C2S1_1" formatStyle="Comma" appId="_GBC_3ac132175b304712af4889ae3914ef7d"/>
      <m:placeholder xlName="_PLD_217b7f3bca984b1e9148b657f60c578a" addr="T0R10C0S1_1"/>
      <m:item xlName="_GBC_30e838b31a2344d0acb83c67997b16d1" concept="clcid-pte:ShiYongQuanZiChanMingXiLeiJiZheJiuZengJia" label="使用权资产明细-累计折旧增加" mulRef="_GBC_126de13c7c92490d95bdebd7efe2d59b" unitRef="_GBC_bb9e8b7096ab49fc95311a6c81431e95" addr="T0R10C1S1_1" formatStyle="Comma" tupleRef="clcid-pte:ShiYongQuanZiChanMingXi" appId="_GBC_3ac132175b304712af4889ae3914ef7d"/>
      <m:item xlName="_GBC_04fdf39eca0f40e2abbf616fa83850c0" concept="clcid-pte:ShiYongQuanZiChanLeiJiZheJiuZengJia" label="使用权资产累计折旧增加" mulRef="_GBC_126de13c7c92490d95bdebd7efe2d59b" unitRef="_GBC_bb9e8b7096ab49fc95311a6c81431e95" addr="T0R10C2S1_1" formatStyle="Comma" appId="_GBC_3ac132175b304712af4889ae3914ef7d"/>
      <m:placeholder xlName="_PLD_c5cff13f53f547b2b4c43791a1454f16" addr="T0R11C0S1_1"/>
      <m:item xlName="_GBC_eca0c64a8da54245b08a966a6139eee7" concept="clcid-pte:ShiYongQuanZiChanMingXiJiTiDaoZhiDeLeiJiZheJiuZengJia" label="使用权资产明细-计提导致的累计折旧增加" mulRef="_GBC_126de13c7c92490d95bdebd7efe2d59b" unitRef="_GBC_bb9e8b7096ab49fc95311a6c81431e95" addr="T0R11C1S1_1" formatStyle="Comma" tupleRef="clcid-pte:ShiYongQuanZiChanMingXi" appId="_GBC_3ac132175b304712af4889ae3914ef7d"/>
      <m:item xlName="_GBC_99e847bff39043dfad6af7a482c70a79" concept="clcid-pte:ShiYongQuanZiChanJiTiDaoZhiDeLeiJiZheJiuZengJia" label="使用权资产计提导致的累计折旧增加" mulRef="_GBC_126de13c7c92490d95bdebd7efe2d59b" unitRef="_GBC_bb9e8b7096ab49fc95311a6c81431e95" addr="T0R11C2S1_1" formatStyle="Comma" appId="_GBC_3ac132175b304712af4889ae3914ef7d"/>
      <m:item xlName="_GBC_ad0a9abd74b14da4af63396afd0be609" concept="clcid-pte:ShiYongQuanZiChanLeiJiTanXiaoZengJiaXiangMuMingCheng1" label="使用权资产累计摊销增加项目名称1" addr="T0R12C0S1_1" tagAction="1" appId="_GBC_3ac132175b304712af4889ae3914ef7d" isSerialConcept="true" serialDirection="1" serialDefaultCount="2"/>
      <m:item xlName="_GBC_574ca06ad2e24c269140cbae3c525b8e" concept="clcid-pte:ShiYongQuanZiChanLeiJiTanXiaoZengJiaXiangMuJinE1" label="使用权资产累计摊销增加项目金额1" mulRef="_GBC_126de13c7c92490d95bdebd7efe2d59b" unitRef="_GBC_bb9e8b7096ab49fc95311a6c81431e95" addr="T0R12C1S1_1" tagAction="1" formatStyle="Comma" tupleRef="clcid-pte:ShiYongQuanZiChanMingXi" appId="_GBC_3ac132175b304712af4889ae3914ef7d" isSerialConcept="true" serialDirection="1" serialDefaultCount="2"/>
      <m:item xlName="_GBC_0b7d750bc62949549bb49a286ef62b71" concept="clcid-pte:ShiYongQuanZiChanLeiJiTanXiaoZengJiaXiangMuHeJiJinE1" label="使用权资产累计摊销增加项目合计金额1" mulRef="_GBC_126de13c7c92490d95bdebd7efe2d59b" unitRef="_GBC_bb9e8b7096ab49fc95311a6c81431e95" addr="T0R12C2S1_1" tagAction="1" formatStyle="Comma" appId="_GBC_3ac132175b304712af4889ae3914ef7d" isSerialConcept="true" serialDirection="1"/>
      <m:placeholder xlName="_PLD_74a88ffcb94e429ba842908a6c9f7dea" addr="T0R13C0S1_1"/>
      <m:item xlName="_GBC_fb6b3d96d26e4d50a9282198926a5a46" concept="clcid-pte:ShiYongQuanZiChanMingXiLeiJiZheJiuJianShao" label="使用权资产明细-累计折旧减少" mulRef="_GBC_126de13c7c92490d95bdebd7efe2d59b" unitRef="_GBC_bb9e8b7096ab49fc95311a6c81431e95" addr="T0R13C1S1_1" formatStyle="Comma" tupleRef="clcid-pte:ShiYongQuanZiChanMingXi" appId="_GBC_3ac132175b304712af4889ae3914ef7d"/>
      <m:item xlName="_GBC_182c07412ff64d06a77c86487db48ffa" concept="clcid-pte:ShiYongQuanZiChanLeiJiZheJiuJianShao" label="使用权资产累计折旧减少" mulRef="_GBC_126de13c7c92490d95bdebd7efe2d59b" unitRef="_GBC_bb9e8b7096ab49fc95311a6c81431e95" addr="T0R13C2S1_1" formatStyle="Comma" appId="_GBC_3ac132175b304712af4889ae3914ef7d"/>
      <m:placeholder xlName="_PLD_9d1f18a4d0d64b789c36d13861afaa48" addr="T0R14C0S1_1"/>
      <m:item xlName="_GBC_0f8695aa2415494c89174c1fee60af1d" concept="clcid-pte:ShiYongQuanZiChanMingXiChuZhiDaoZhiDeLeiJiZheJiuJianShao" label="使用权资产明细-处置导致的累计折旧减少" mulRef="_GBC_126de13c7c92490d95bdebd7efe2d59b" unitRef="_GBC_bb9e8b7096ab49fc95311a6c81431e95" addr="T0R14C1S1_1" formatStyle="Comma" tupleRef="clcid-pte:ShiYongQuanZiChanMingXi" appId="_GBC_3ac132175b304712af4889ae3914ef7d"/>
      <m:item xlName="_GBC_c527122e6a23425f84c18b75a8c11bdd" concept="clcid-pte:ShiYongQuanZiChanChuZhiDaoZhiDeLeiJiZheJiuJianShao" label="使用权资产处置导致的累计折旧减少" mulRef="_GBC_126de13c7c92490d95bdebd7efe2d59b" unitRef="_GBC_bb9e8b7096ab49fc95311a6c81431e95" addr="T0R14C2S1_1" formatStyle="Comma" appId="_GBC_3ac132175b304712af4889ae3914ef7d"/>
      <m:item xlName="_GBC_eeb2a28e58984bcc904289ee5f949843" concept="clcid-pte:ShiYongQuanZiChanLeiJiTanXiaoJianShaoXiangMuMingCheng1" label="使用权资产累计摊销减少项目名称1" addr="T0R15C0S1_1" tagAction="1" appId="_GBC_3ac132175b304712af4889ae3914ef7d" isSerialConcept="true" serialDirection="1" serialDefaultCount="2"/>
      <m:item xlName="_GBC_652e1dbe13f545bb973000ba9e0f3426" concept="clcid-pte:ShiYongQuanZiChanLeiJiTanXiaoJianShaoXiangMuJinE1" label="使用权资产累计摊销减少项目金额1" mulRef="_GBC_126de13c7c92490d95bdebd7efe2d59b" unitRef="_GBC_bb9e8b7096ab49fc95311a6c81431e95" addr="T0R15C1S1_1" tagAction="1" formatStyle="Comma" tupleRef="clcid-pte:ShiYongQuanZiChanMingXi" appId="_GBC_3ac132175b304712af4889ae3914ef7d" isSerialConcept="true" serialDirection="1" serialDefaultCount="2"/>
      <m:item xlName="_GBC_5700cc82223545fd8ce096d7ba30e3d7" concept="clcid-pte:ShiYongQuanZiChanLeiJiTanXiaoJianShaoXiangMuHeJiJinE1" label="使用权资产累计摊销减少项目合计金额1" mulRef="_GBC_126de13c7c92490d95bdebd7efe2d59b" unitRef="_GBC_bb9e8b7096ab49fc95311a6c81431e95" addr="T0R15C2S1_1" tagAction="1" formatStyle="Comma" appId="_GBC_3ac132175b304712af4889ae3914ef7d" isSerialConcept="true" serialDirection="1"/>
      <m:placeholder xlName="_PLD_7acfb13844c6472295c20fd22554cb75" addr="T0R16C0S1_1"/>
      <m:item xlName="_GBC_710540a263bf464f92e9c57efeb7876e" concept="clcid-pte:ShiYongQuanZiChanMingXiLeiJiZheJiu" label="使用权资产明细-累计折旧" mulRef="_GBC_126de13c7c92490d95bdebd7efe2d59b" unitRef="_GBC_bb9e8b7096ab49fc95311a6c81431e95" addr="T0R16C1S1_1" formatStyle="Comma" tupleRef="clcid-pte:ShiYongQuanZiChanMingXi" appId="_GBC_3ac132175b304712af4889ae3914ef7d">
        <m:complexRule comparator="Eq" title="使用权资产明细-累计折旧" test=" $_GBC_5c668c183c4043a5aade63b6e2f10e53 +  $_GBC_30e838b31a2344d0acb83c67997b16d1 -  $_GBC_fb6b3d96d26e4d50a9282198926a5a46" id="C2a67854f1c204aac8f097d2c5b5eb254"/>
      </m:item>
      <m:item xlName="_GBC_99b7e0aec39c48708e812ece4f57f7df" concept="clcid-pte:ShiYongQuanZiChanLeiJiZheJiu" label="使用权资产累计折旧" mulRef="_GBC_126de13c7c92490d95bdebd7efe2d59b" unitRef="_GBC_bb9e8b7096ab49fc95311a6c81431e95" addr="T0R16C2S1_1" formatStyle="Comma" appId="_GBC_3ac132175b304712af4889ae3914ef7d">
        <m:complexRule comparator="Eq" title="使用权资产累计折旧" test=" $_GBC_5c5976dca1a94e139da6fac64c954c50 +  $_GBC_04fdf39eca0f40e2abbf616fa83850c0 -  $_GBC_182c07412ff64d06a77c86487db48ffa" id="Cb1aec67b7bcc4cd8b78299e0fd48643c"/>
      </m:item>
      <m:placeholder xlName="_PLD_977579b288954e92aacbdc72b4e58579" addr="T0R17C0S1_1"/>
      <m:placeholder xlName="_PLD_451a3431a02f424d82ced950a4aa62d1" addr="T0R18C0S1_1"/>
      <m:item xlName="_GBC_27e6e6a665bc4f7cb75fdccfac703399" concept="clcid-pte:ShiYongQuanZiChanMingXiJianZhiZhunBei" label="使用权资产明细-减值准备" periodRef="本期期初数" mulRef="_GBC_126de13c7c92490d95bdebd7efe2d59b" unitRef="_GBC_bb9e8b7096ab49fc95311a6c81431e95" addr="T0R18C1S1_1" formatStyle="Comma" tupleRef="clcid-pte:ShiYongQuanZiChanMingXi" appId="_GBC_3ac132175b304712af4889ae3914ef7d"/>
      <m:item xlName="_GBC_c069caa344d649e8bf37ff39e190f387" concept="clcid-pte:ShiYongQuanZiChanJianZhiZhunBei" label="使用权资产减值准备" periodRef="本期期初数" mulRef="_GBC_126de13c7c92490d95bdebd7efe2d59b" unitRef="_GBC_bb9e8b7096ab49fc95311a6c81431e95" addr="T0R18C2S1_1" formatStyle="Comma" appId="_GBC_3ac132175b304712af4889ae3914ef7d"/>
      <m:placeholder xlName="_PLD_47a737a9b30f4d8da4048f1415893c19" addr="T0R19C0S1_1"/>
      <m:item xlName="_GBC_f1f8b2d4952a4850be8769576373251c" concept="clcid-pte:ShiYongQuanZiChanMingXiJianZhiZhunBeiZengJia" label="使用权资产明细-减值准备增加" mulRef="_GBC_126de13c7c92490d95bdebd7efe2d59b" unitRef="_GBC_bb9e8b7096ab49fc95311a6c81431e95" addr="T0R19C1S1_1" formatStyle="Comma" tupleRef="clcid-pte:ShiYongQuanZiChanMingXi" appId="_GBC_3ac132175b304712af4889ae3914ef7d"/>
      <m:item xlName="_GBC_cf1909d3485d4a3787a1dbcefa412814" concept="clcid-pte:ShiYongQuanZiChanJianZhiZhunBeiZengJia" label="使用权资产减值准备增加" mulRef="_GBC_126de13c7c92490d95bdebd7efe2d59b" unitRef="_GBC_bb9e8b7096ab49fc95311a6c81431e95" addr="T0R19C2S1_1" formatStyle="Comma" appId="_GBC_3ac132175b304712af4889ae3914ef7d"/>
      <m:placeholder xlName="_PLD_26be3676b9774a9b8396fa4fa9f17098" addr="T0R20C0S1_1"/>
      <m:item xlName="_GBC_5d4a64a97dc94c19805438da8c6ab478" concept="clcid-pte:ShiYongQuanZiChanMingXiJiTiDaoZhiDeJianZhiZhunBeiZengJia" label="使用权资产明细-计提导致的减值准备增加" mulRef="_GBC_126de13c7c92490d95bdebd7efe2d59b" unitRef="_GBC_bb9e8b7096ab49fc95311a6c81431e95" addr="T0R20C1S1_1" formatStyle="Comma" tupleRef="clcid-pte:ShiYongQuanZiChanMingXi" appId="_GBC_3ac132175b304712af4889ae3914ef7d"/>
      <m:item xlName="_GBC_283120a8dc6944b9a690320018e1c280" concept="clcid-pte:ShiYongQuanZiChanJiTiDaoZhiDeJianZhiZhunBeiZengJia" label="使用权资产计提导致的减值准备增加" mulRef="_GBC_126de13c7c92490d95bdebd7efe2d59b" unitRef="_GBC_bb9e8b7096ab49fc95311a6c81431e95" addr="T0R20C2S1_1" formatStyle="Comma" appId="_GBC_3ac132175b304712af4889ae3914ef7d"/>
      <m:item xlName="_GBC_3f68846af47346a78c0bbd37fda2e94c" concept="clcid-pte:ShiYongQuanZiChanJianZhiZhunBeiZengJiaXiangMuMingCheng1" label="使用权资产减值准备增加项目名称1" addr="T0R21C0S1_1" tagAction="1" appId="_GBC_3ac132175b304712af4889ae3914ef7d" isSerialConcept="true" serialDirection="1" serialDefaultCount="2"/>
      <m:item xlName="_GBC_bab50aee06d84f1e8fc4fdeafe69534b" concept="clcid-pte:ShiYongQuanZiChanJianZhiZhunBeiZengJiaXiangMuJinE1" label="使用权资产减值准备增加项目金额1" mulRef="_GBC_126de13c7c92490d95bdebd7efe2d59b" unitRef="_GBC_bb9e8b7096ab49fc95311a6c81431e95" addr="T0R21C1S1_1" tagAction="1" formatStyle="Comma" tupleRef="clcid-pte:ShiYongQuanZiChanMingXi" appId="_GBC_3ac132175b304712af4889ae3914ef7d" isSerialConcept="true" serialDirection="1" serialDefaultCount="2"/>
      <m:item xlName="_GBC_2701d42012d640a9aea2252eb6e597c5" concept="clcid-pte:ShiYongQuanZiChanJianZhiZhunBeiZengJiaXiangMuHeJiJinE1" label="使用权资产减值准备增加项目合计金额1" mulRef="_GBC_126de13c7c92490d95bdebd7efe2d59b" unitRef="_GBC_bb9e8b7096ab49fc95311a6c81431e95" addr="T0R21C2S1_1" tagAction="1" formatStyle="Comma" appId="_GBC_3ac132175b304712af4889ae3914ef7d" isSerialConcept="true" serialDirection="1"/>
      <m:placeholder xlName="_PLD_fd8e2e2eb1c94e01bbb88fa8f1e8d273" addr="T0R22C0S1_1"/>
      <m:item xlName="_GBC_b575c68addb54ddb8041c85aa9e131d6" concept="clcid-pte:ShiYongQuanZiChanMingXiJianZhiZhunBeiJianShao" label="使用权资产明细-减值准备减少" mulRef="_GBC_126de13c7c92490d95bdebd7efe2d59b" unitRef="_GBC_bb9e8b7096ab49fc95311a6c81431e95" addr="T0R22C1S1_1" formatStyle="Comma" tupleRef="clcid-pte:ShiYongQuanZiChanMingXi" appId="_GBC_3ac132175b304712af4889ae3914ef7d"/>
      <m:item xlName="_GBC_8508e68e7521428db971997c1ccf68f1" concept="clcid-pte:ShiYongQuanZiChanJianZhiZhunBeiJianShao" label="使用权资产减值准备减少" mulRef="_GBC_126de13c7c92490d95bdebd7efe2d59b" unitRef="_GBC_bb9e8b7096ab49fc95311a6c81431e95" addr="T0R22C2S1_1" formatStyle="Comma" appId="_GBC_3ac132175b304712af4889ae3914ef7d"/>
      <m:placeholder xlName="_PLD_039436c52bad480cb82e28e945ac6011" addr="T0R23C0S1_1"/>
      <m:item xlName="_GBC_fc379f4f5e874264a0b7917e8e5f7b8f" concept="clcid-pte:ShiYongQuanZiChanMingXiChuZhiDaoZhiDeJianZhiZhunBeiJianShao" label="使用权资产明细-处置导致的减值准备减少" mulRef="_GBC_126de13c7c92490d95bdebd7efe2d59b" unitRef="_GBC_bb9e8b7096ab49fc95311a6c81431e95" addr="T0R23C1S1_1" formatStyle="Comma" tupleRef="clcid-pte:ShiYongQuanZiChanMingXi" appId="_GBC_3ac132175b304712af4889ae3914ef7d"/>
      <m:item xlName="_GBC_b12f4ebe26a3412bb18711415fec7659" concept="clcid-pte:ShiYongQuanZiChanChuZhiDaoZhiDeJianZhiZhunBeiJianShao" label="使用权资产处置导致的减值准备减少" mulRef="_GBC_126de13c7c92490d95bdebd7efe2d59b" unitRef="_GBC_bb9e8b7096ab49fc95311a6c81431e95" addr="T0R23C2S1_1" formatStyle="Comma" appId="_GBC_3ac132175b304712af4889ae3914ef7d"/>
      <m:item xlName="_GBC_b1f235b19b1047cbb42ea691621f197a" concept="clcid-pte:ShiYongQuanZiChanJianZhiZhunBeiJianShaoXiangMuMingCheng1" label="使用权资产减值准备减少项目名称1" addr="T0R24C0S1_1" tagAction="1" appId="_GBC_3ac132175b304712af4889ae3914ef7d" isSerialConcept="true" serialDirection="1" serialDefaultCount="2"/>
      <m:item xlName="_GBC_15bdb60bca894da49b6071cad9b647e1" concept="clcid-pte:ShiYongQuanZiChanJianZhiZhunBeiJianShaoXiangMuJinE1" label="使用权资产减值准备减少项目金额1" mulRef="_GBC_126de13c7c92490d95bdebd7efe2d59b" unitRef="_GBC_bb9e8b7096ab49fc95311a6c81431e95" addr="T0R24C1S1_1" tagAction="1" formatStyle="Comma" tupleRef="clcid-pte:ShiYongQuanZiChanMingXi" appId="_GBC_3ac132175b304712af4889ae3914ef7d" isSerialConcept="true" serialDirection="1" serialDefaultCount="2"/>
      <m:item xlName="_GBC_cfcbfe7fdc054065914617f243ab282b" concept="clcid-pte:ShiYongQuanZiChanJianZhiZhunBeiJianShaoXiangMuHeJiJinE1" label="使用权资产减值准备减少项目合计金额1" mulRef="_GBC_126de13c7c92490d95bdebd7efe2d59b" unitRef="_GBC_bb9e8b7096ab49fc95311a6c81431e95" addr="T0R24C2S1_1" tagAction="1" formatStyle="Comma" appId="_GBC_3ac132175b304712af4889ae3914ef7d" isSerialConcept="true" serialDirection="1"/>
      <m:placeholder xlName="_PLD_3170291c2496403c8098c91bdd6cebcd" addr="T0R25C0S1_1"/>
      <m:item xlName="_GBC_d0d02d2ebed7413da2c65b876a24d32c" concept="clcid-pte:ShiYongQuanZiChanMingXiJianZhiZhunBei" label="使用权资产明细-减值准备" mulRef="_GBC_126de13c7c92490d95bdebd7efe2d59b" unitRef="_GBC_bb9e8b7096ab49fc95311a6c81431e95" addr="T0R25C1S1_1" formatStyle="Comma" tupleRef="clcid-pte:ShiYongQuanZiChanMingXi" appId="_GBC_3ac132175b304712af4889ae3914ef7d">
        <m:complexRule comparator="Eq" title="使用权资产明细-减值准备" test=" $_GBC_27e6e6a665bc4f7cb75fdccfac703399 +  $_GBC_f1f8b2d4952a4850be8769576373251c -  $_GBC_b575c68addb54ddb8041c85aa9e131d6" id="C046d621de11c46e1ae2091a0faa958b3"/>
      </m:item>
      <m:item xlName="_GBC_41ce3320f4f948c69e0325d66e1fc514" concept="clcid-pte:ShiYongQuanZiChanJianZhiZhunBei" label="使用权资产减值准备" mulRef="_GBC_126de13c7c92490d95bdebd7efe2d59b" unitRef="_GBC_bb9e8b7096ab49fc95311a6c81431e95" addr="T0R25C2S1_1" formatStyle="Comma" appId="_GBC_3ac132175b304712af4889ae3914ef7d">
        <m:complexRule comparator="Eq" title="使用权资产减值准备" test=" $_GBC_c069caa344d649e8bf37ff39e190f387 +  $_GBC_cf1909d3485d4a3787a1dbcefa412814 -  $_GBC_8508e68e7521428db971997c1ccf68f1" id="C960b6e14e1cc4843956368d83cf8a052"/>
      </m:item>
      <m:placeholder xlName="_PLD_a609076f16da4fedb37d9fc1d72dfd8f" addr="T0R26C0S1_1"/>
      <m:placeholder xlName="_PLD_4674f60ab7b34201a998a840d9d08d8a" addr="T0R27C0S1_1"/>
      <m:item xlName="_GBC_2bb664ccfd7e4285b84d8fb7955354cb" concept="clcid-pte:ShiYongQuanZiChanMingXiZhangMianJiaZhi" label="使用权资产明细-账面价值" mulRef="_GBC_126de13c7c92490d95bdebd7efe2d59b" unitRef="_GBC_bb9e8b7096ab49fc95311a6c81431e95" addr="T0R27C1S1_1" formatStyle="Comma" tupleRef="clcid-pte:ShiYongQuanZiChanMingXi" appId="_GBC_3ac132175b304712af4889ae3914ef7d"/>
      <m:item xlName="_GBC_edf5285955b448ed844183547d426f66" concept="clcid-pte:ShiYongQuanZiChan" label="使用权资产" mulRef="_GBC_126de13c7c92490d95bdebd7efe2d59b" unitRef="_GBC_bb9e8b7096ab49fc95311a6c81431e95" addr="T0R27C2S1_1" formatStyle="Comma" appId="_GBC_3ac132175b304712af4889ae3914ef7d"/>
      <m:placeholder xlName="_PLD_a7e06de99a79495a885da295fe9ce70c" addr="T0R28C0S1_1"/>
      <m:item xlName="_GBC_fb48ddba17ca41f48409ce6b3fc26277" concept="clcid-pte:ShiYongQuanZiChanMingXiZhangMianJiaZhi" label="使用权资产明细-账面价值" periodRef="本期期初数" mulRef="_GBC_126de13c7c92490d95bdebd7efe2d59b" unitRef="_GBC_bb9e8b7096ab49fc95311a6c81431e95" addr="T0R28C1S1_1" formatStyle="Comma" tupleRef="clcid-pte:ShiYongQuanZiChanMingXi" appId="_GBC_3ac132175b304712af4889ae3914ef7d"/>
      <m:item xlName="_GBC_c5f95837b99940e9bff8f606a3972d0a" concept="clcid-pte:ShiYongQuanZiChan" label="使用权资产" periodRef="本期期初数" mulRef="_GBC_126de13c7c92490d95bdebd7efe2d59b" unitRef="_GBC_bb9e8b7096ab49fc95311a6c81431e95" addr="T0R28C2S1_1" formatStyle="Comma" appId="_GBC_3ac132175b304712af4889ae3914ef7d"/>
      <m:item xlName="_GBC_59e827e1177d4b7b8daf26999a9ca64a" concept="clcid-pte:ShiYongQuanZiChanQiTaShuoMing" label="使用权资产其他说明" appId="_GBC_3ac132175b304712af4889ae3914ef7d"/>
      <m:virtualTuples>
        <m:virtualTuple id="06aa4ced-53cd-4ab4-88f8-025c43637847" tupleRef="clcid-pte:ShiYongQuanZiChanMingXi" extendDirection="2"/>
      </m:virtualTuples>
    </m:section>
    <m:item xlName="_GBC_0882d05501f84259b91efc5f2eae98cf" concept="clcid-ci-ar:ShiFouShiYongWuXingZiChanQingKuang" label="是否适用：无形资产情况" selectOptions="_buildInAppliance" controlType="CustomCheckbox" cRanges="{&quot;StartName&quot;:&quot;_GBC_0882d05501f84259b91efc5f2eae98cf&quot;,&quot;EndName&quot;:&quot;_GBC_799ffdb131784d33a2db94a85018c927&quot;,&quot;CType&quot;:1,&quot;DisplayText&quot;:null}"/>
    <m:section xlName="_GBC_799ffdb131784d33a2db94a85018c927" title="无形资产情况" rules="R2015_R11_013" helpId="112001072">
      <m:item xlName="_GBC_e04514c8858e489490302ba7c2e1448a" concept="clcid-ci-ar:DanWeiCaiWuFuZhuWuXingZiChanQingKuang" label="单位：财务附注：无形资产情况" selectOptions="_buildInScales" controlType="Combobox" cellType="Scale" appId="_GBC_0882d05501f84259b91efc5f2eae98cf"/>
      <m:item xlName="_GBC_5ac7324577934f838e3655199c980c1c" concept="clcid-ci-ar:BiZhongCaiWuFuZhuWuXingZiChanQingKuang" label="币种：财务附注：无形资产情况" selectOptions="_buildInISO4217" controlType="Combobox" cellType="Measure" appId="_GBC_0882d05501f84259b91efc5f2eae98cf"/>
      <m:placeholder xlName="_PLD_16e062da10ef4301a1526b8633f88a31" addr="T0R0C0S1_1"/>
      <m:placeholder xlName="_PLD_8b465b50cb10415c8931fdb66ee29ca3" addr="T0R0C1S1_1"/>
      <m:placeholder xlName="_PLD_55a0c34977f7438f8a4e60b2ec43e654" addr="T0R0C2S1_1"/>
      <m:placeholder xlName="_PLD_624f8e9465f646f5a305cf5fc59a830c" addr="T0R0C3S1_1"/>
      <m:item xlName="_GBC_ee2531f58c0a420e83919cd1efe46139" concept="clcid-pte:WuXingZiChanMingXiXiangMu" label="无形资产明细－项目" addr="T0R0C4S1_1" tagAction="1" tupleRef="clcid-pte:WuXingZiChanMingXi" appId="_GBC_0882d05501f84259b91efc5f2eae98cf" isCaption="true"/>
      <m:placeholder xlName="_PLD_57620ddc57e34012a99d49f2280a99e2" addr="T0R0C5S1_1"/>
      <m:placeholder xlName="_PLD_97ce5956782c457c89e9607c943b01d4" addr="T0R1C0S1_1"/>
      <m:placeholder xlName="_PLD_3ece69191bc64684a4f52dc219040125" addr="T0R2C0S1_1"/>
      <m:item xlName="_GBC_84311a28b60b4d4a97862433d2b17db9" concept="clcid-pte:WuXingZiChanZhongTuDiShiYongQuanYuanZhi" label="无形资产中土地使用权原值" periodRef="本期期初数" mulRef="_GBC_e04514c8858e489490302ba7c2e1448a" unitRef="_GBC_5ac7324577934f838e3655199c980c1c" addr="T0R2C1S1_1" formatStyle="Comma" appId="_GBC_0882d05501f84259b91efc5f2eae98cf"/>
      <m:item xlName="_GBC_ea934986596744ef8c877ba655d0a3e6" concept="clcid-pte:WuXingZiChanZhongZhuanLiQuanYuanZhi" label="无形资产中专利权原值" periodRef="本期期初数" mulRef="_GBC_e04514c8858e489490302ba7c2e1448a" unitRef="_GBC_5ac7324577934f838e3655199c980c1c" addr="T0R2C2S1_1" formatStyle="Comma" appId="_GBC_0882d05501f84259b91efc5f2eae98cf"/>
      <m:item xlName="_GBC_3bb4f5a66189475790a7c08a2e6e8dc7" concept="clcid-pte:WuXingZiChanZhongFeiZhuanLiJiShuYuanZhi" label="无形资产中非专利技术原值" periodRef="本期期初数" mulRef="_GBC_e04514c8858e489490302ba7c2e1448a" unitRef="_GBC_5ac7324577934f838e3655199c980c1c" addr="T0R2C3S1_1" formatStyle="Comma" appId="_GBC_0882d05501f84259b91efc5f2eae98cf"/>
      <m:item xlName="_GBC_8ed1b843ec96488c8cfebd82c238ebba" concept="clcid-pte:WuXingZiChanMingXiZhangMianYuE" label="无形资产明细－账面余额" periodRef="本期期初数" mulRef="_GBC_e04514c8858e489490302ba7c2e1448a" unitRef="_GBC_5ac7324577934f838e3655199c980c1c" addr="T0R2C4S1_1" formatStyle="Comma" tupleRef="clcid-pte:WuXingZiChanMingXi" appId="_GBC_0882d05501f84259b91efc5f2eae98cf"/>
      <m:item xlName="_GBC_68af9123af3e492898f486cf5049e1e7" concept="clcid-pte:WuXingZiChanYuanJiaZhangMianYuE" label="无形资产原价" periodRef="本期期初数" mulRef="_GBC_e04514c8858e489490302ba7c2e1448a" unitRef="_GBC_5ac7324577934f838e3655199c980c1c" addr="T0R2C5S1_1" formatStyle="Comma" appId="_GBC_0882d05501f84259b91efc5f2eae98cf">
        <m:complexRule comparator="Eq" title="无形资产原价@本期期初数" test=" $_GBC_84311a28b60b4d4a97862433d2b17db9 +  $_GBC_ea934986596744ef8c877ba655d0a3e6 +  $_GBC_3bb4f5a66189475790a7c08a2e6e8dc7 +  $_GBC_8ed1b843ec96488c8cfebd82c238ebba" id="C3fa87386bf424c00a7e403880cbc5930" serialType="1"/>
      </m:item>
      <m:placeholder xlName="_PLD_619b832ec5e340dc899fb93538a5459d" addr="T0R3C0S1_1"/>
      <m:item xlName="_GBC_2490e1c5e0334092b98b32ae9bf9660f" concept="clcid-pte:WuXingZiChanZhongTuDiShiYongQuanYuanZhiBenQiZengJiaE" label="无形资产中土地使用权原值本期增加额" mulRef="_GBC_e04514c8858e489490302ba7c2e1448a" unitRef="_GBC_5ac7324577934f838e3655199c980c1c" addr="T0R3C1S1_1" formatStyle="Comma" appId="_GBC_0882d05501f84259b91efc5f2eae98cf">
        <m:complexRule comparator="Eq" title="无形资产中土地使用权原值本期增加额" test=" $_GBC_01a22813014d488181247b90973b290e +  $_GBC_818547ee84264a7b929c42c13575210a +  $_GBC_855a4e99349a4daca719c383c5cc51de +  $_GBC_68b1c1634d8b430b8d2430ed0a1d6a19" id="Cc0658cd44f5b4dfd9de73c2cd9d403a9" serialType="1"/>
      </m:item>
      <m:item xlName="_GBC_46ffd3d0b13f4dfcbc9c7d08bd4ff3ba" concept="clcid-pte:WuXingZiChanZhongZhuanLiQuanYuanZhiBenQiZengJiaE" label="无形资产中专利权原值本期增加额" mulRef="_GBC_e04514c8858e489490302ba7c2e1448a" unitRef="_GBC_5ac7324577934f838e3655199c980c1c" addr="T0R3C2S1_1" formatStyle="Comma" appId="_GBC_0882d05501f84259b91efc5f2eae98cf">
        <m:complexRule comparator="Eq" title="无形资产中专利权原值本期增加额" test=" $_GBC_900513b870b94267b90988de2224aeb2 +  $_GBC_8e7b477916194f60a0a49fc428d611a5 +  $_GBC_1fa8897bfb304370bf6264bad0a6ddca +  $_GBC_b5f009ab3fd1422a997d83f901d96e2e" id="Cf8cc9f4bd5474bd9a57d07a5fc7cf4cc" serialType="1"/>
      </m:item>
      <m:item xlName="_GBC_04c00f8129544e3f866a94b8219b588f" concept="clcid-pte:WuXingZiChanZhongFeiZhuanLiJiShuYuanZhiBenQiZengJiaE" label="无形资产中非专利技术原值本期增加额" mulRef="_GBC_e04514c8858e489490302ba7c2e1448a" unitRef="_GBC_5ac7324577934f838e3655199c980c1c" addr="T0R3C3S1_1" formatStyle="Comma" appId="_GBC_0882d05501f84259b91efc5f2eae98cf">
        <m:complexRule comparator="Eq" title="无形资产中非专利技术原值本期增加额" test=" $_GBC_4a0881c3f69c467b9ad11ead5a08fb47 +  $_GBC_98701f1c9f1640798243f9786940829a +  $_GBC_114e417e56564e249e646a5aa12c2130 +  $_GBC_993f412620f445e88bd61968f7459ec9" id="C13d682a21cf047fb99283c3e2540269a" serialType="1"/>
      </m:item>
      <m:item xlName="_GBC_905ba25b782f4a7082c8b3e700b7f969" concept="clcid-pte:WuXingZiChanMingXiZengJiaE" label="无形资产明细－增加额" mulRef="_GBC_e04514c8858e489490302ba7c2e1448a" unitRef="_GBC_5ac7324577934f838e3655199c980c1c" addr="T0R3C4S1_1" formatStyle="Comma" tupleRef="clcid-pte:WuXingZiChanMingXi" appId="_GBC_0882d05501f84259b91efc5f2eae98cf">
        <m:complexRule comparator="Eq" title="无形资产明细－增加额" test=" $_GBC_061adecadeb547209c5e5f50531f645d +  $_GBC_363a3fe997ac41db92e0efaf59508e3b +  $_GBC_4bfbae9913d64064ac4ddc68edc55e8e +  $_GBC_0c66eaa614d14da0b0b87a56942737ed" id="C1c201b987748492a9b5741c58fe02783" serialType="1"/>
      </m:item>
      <m:item xlName="_GBC_a0ddbba821054ece8a919407e8bb4c9a" concept="clcid-pte:WuXingZiChanYuanJiaZengJiaE" label="无形资产原价（增加额）" mulRef="_GBC_e04514c8858e489490302ba7c2e1448a" unitRef="_GBC_5ac7324577934f838e3655199c980c1c" addr="T0R3C5S1_1" formatStyle="Comma" appId="_GBC_0882d05501f84259b91efc5f2eae98cf">
        <m:complexRule comparator="Eq" title="无形资产原价（增加额）" test=" $_GBC_3b54166a98d6430892ede08e3ea1368f +  $_GBC_026315d867d5429ca6cbe162f61d9b26 +  $_GBC_73a2938dc8dd494d93fb427a21906fcf +  $_GBC_29ad01d7f03a4139909a42289d945b78" id="Ce3c92cacb48f4427b0c3405ea013a4ea" serialType="1"/>
        <m:complexRule comparator="Eq" title="无形资产原价（增加额）横向合计" test=" $_GBC_2490e1c5e0334092b98b32ae9bf9660f +  $_GBC_46ffd3d0b13f4dfcbc9c7d08bd4ff3ba +  $_GBC_04c00f8129544e3f866a94b8219b588f +  $_GBC_905ba25b782f4a7082c8b3e700b7f969" id="C970b8955c1fa4881b22fde929fa59b07" serialType="1"/>
      </m:item>
      <m:placeholder xlName="_PLD_90ef4a07fa3c4f969161b700396d9ac5" addr="T0R4C0S1_1"/>
      <m:item xlName="_GBC_01a22813014d488181247b90973b290e" concept="clcid-pte:WaiGouDaoZhiDeTuDiShiYongQuanZhangMianYuanZhiZengJiaE" label="外购导致的土地使用权账面原值增加额" mulRef="_GBC_e04514c8858e489490302ba7c2e1448a" unitRef="_GBC_5ac7324577934f838e3655199c980c1c" addr="T0R4C1S1_1" formatStyle="Comma" appId="_GBC_0882d05501f84259b91efc5f2eae98cf"/>
      <m:item xlName="_GBC_900513b870b94267b90988de2224aeb2" concept="clcid-pte:WaiGouDaoZhiDeZhuanLiQuanZhangMianYuanZhiZengJiaE" label="外购导致的专利权账面原值增加额" mulRef="_GBC_e04514c8858e489490302ba7c2e1448a" unitRef="_GBC_5ac7324577934f838e3655199c980c1c" addr="T0R4C2S1_1" formatStyle="Comma" appId="_GBC_0882d05501f84259b91efc5f2eae98cf"/>
      <m:item xlName="_GBC_4a0881c3f69c467b9ad11ead5a08fb47" concept="clcid-pte:WaiGouDaoZhiDeFeiZhuanLiJiShuZhangMianYuanZhiZengJiaE" label="外购导致的非专利技术账面原值增加额" mulRef="_GBC_e04514c8858e489490302ba7c2e1448a" unitRef="_GBC_5ac7324577934f838e3655199c980c1c" addr="T0R4C3S1_1" formatStyle="Comma" appId="_GBC_0882d05501f84259b91efc5f2eae98cf"/>
      <m:item xlName="_GBC_061adecadeb547209c5e5f50531f645d" concept="clcid-pte:WuXingZiChanMingXiWaiGouDaoZhiDeYuanZhiZengJia" label="无形资产明细-外购导致的原值增加" mulRef="_GBC_e04514c8858e489490302ba7c2e1448a" unitRef="_GBC_5ac7324577934f838e3655199c980c1c" addr="T0R4C4S1_1" formatStyle="Comma" tupleRef="clcid-pte:WuXingZiChanMingXi" appId="_GBC_0882d05501f84259b91efc5f2eae98cf"/>
      <m:item xlName="_GBC_3b54166a98d6430892ede08e3ea1368f" concept="clcid-pte:WaiGouDaoZhiDeWuXingZiChanZhangMianYuanZhiZengJiaE" label="外购导致的无形资产账面原值增加额" mulRef="_GBC_e04514c8858e489490302ba7c2e1448a" unitRef="_GBC_5ac7324577934f838e3655199c980c1c" addr="T0R4C5S1_1" formatStyle="Comma" appId="_GBC_0882d05501f84259b91efc5f2eae98cf">
        <m:complexRule comparator="Eq" title="外购导致的无形资产账面原值增加额" test=" $_GBC_01a22813014d488181247b90973b290e +  $_GBC_900513b870b94267b90988de2224aeb2 +  $_GBC_4a0881c3f69c467b9ad11ead5a08fb47 +  $_GBC_061adecadeb547209c5e5f50531f645d" id="C67af77d1284d46cc8c5e1291d4c03e55" serialType="1"/>
      </m:item>
      <m:placeholder xlName="_PLD_fdfb103746a24d0281c1e921b5c8be79" addr="T0R5C0S1_1"/>
      <m:item xlName="_GBC_818547ee84264a7b929c42c13575210a" concept="clcid-pte:NeiBuYanFaDaoZhiDeTuDiShiYongQuanZhangMianYuanZhiZengJiaE" label="内部研发导致的土地使用权账面原值增加额" mulRef="_GBC_e04514c8858e489490302ba7c2e1448a" unitRef="_GBC_5ac7324577934f838e3655199c980c1c" addr="T0R5C1S1_1" formatStyle="Comma" appId="_GBC_0882d05501f84259b91efc5f2eae98cf"/>
      <m:item xlName="_GBC_8e7b477916194f60a0a49fc428d611a5" concept="clcid-pte:NeiBuYanFaDaoZhiDeZhuanLiQuanZhangMianYuanZhiZengJiaE" label="内部研发导致的专利权账面原值增加额" mulRef="_GBC_e04514c8858e489490302ba7c2e1448a" unitRef="_GBC_5ac7324577934f838e3655199c980c1c" addr="T0R5C2S1_1" formatStyle="Comma" appId="_GBC_0882d05501f84259b91efc5f2eae98cf"/>
      <m:item xlName="_GBC_98701f1c9f1640798243f9786940829a" concept="clcid-pte:NeiBuYanFaDaoZhiDeFeiZhuanLiJiShuZhangMianYuanZhiZengJiaE" label="内部研发导致的非专利技术账面原值增加额" mulRef="_GBC_e04514c8858e489490302ba7c2e1448a" unitRef="_GBC_5ac7324577934f838e3655199c980c1c" addr="T0R5C3S1_1" formatStyle="Comma" appId="_GBC_0882d05501f84259b91efc5f2eae98cf"/>
      <m:item xlName="_GBC_363a3fe997ac41db92e0efaf59508e3b" concept="clcid-pte:WuXingZiChanMingXiNeiBuYanFaDaoZhiDeYuanZhiZengJia" label="无形资产明细-内部研发导致的原值增加" mulRef="_GBC_e04514c8858e489490302ba7c2e1448a" unitRef="_GBC_5ac7324577934f838e3655199c980c1c" addr="T0R5C4S1_1" formatStyle="Comma" tupleRef="clcid-pte:WuXingZiChanMingXi" appId="_GBC_0882d05501f84259b91efc5f2eae98cf"/>
      <m:item xlName="_GBC_026315d867d5429ca6cbe162f61d9b26" concept="clcid-pte:NeiBuYanFaDaoZhiDeWuXingZiChanZhangMianYuanZhiZengJiaE" label="内部研发导致的无形资产账面原值增加额" mulRef="_GBC_e04514c8858e489490302ba7c2e1448a" unitRef="_GBC_5ac7324577934f838e3655199c980c1c" addr="T0R5C5S1_1" formatStyle="Comma" appId="_GBC_0882d05501f84259b91efc5f2eae98cf">
        <m:complexRule comparator="Eq" title="内部研发导致的无形资产账面原值增加额" test=" $_GBC_818547ee84264a7b929c42c13575210a +  $_GBC_8e7b477916194f60a0a49fc428d611a5 +  $_GBC_98701f1c9f1640798243f9786940829a +  $_GBC_363a3fe997ac41db92e0efaf59508e3b" id="C6c10bfb6451e462ab04e86b2b4759b68" serialType="1"/>
      </m:item>
      <m:placeholder xlName="_PLD_a843f8687ca145b0abf8bd1ef13c7d8f" addr="T0R6C0S1_1"/>
      <m:item xlName="_GBC_855a4e99349a4daca719c383c5cc51de" concept="clcid-pte:QiYeHeBingZengJiaDaoZhiDeTuDiShiYongQuanZhangMianYuanZhiZengJiaE" label="企业合并增加导致的土地使用权账面原值增加额" mulRef="_GBC_e04514c8858e489490302ba7c2e1448a" unitRef="_GBC_5ac7324577934f838e3655199c980c1c" addr="T0R6C1S1_1" formatStyle="Comma" appId="_GBC_0882d05501f84259b91efc5f2eae98cf"/>
      <m:item xlName="_GBC_1fa8897bfb304370bf6264bad0a6ddca" concept="clcid-pte:QiYeHeBingZengJiaDaoZhiDeZhuanLiQuanZhangMianYuanZhiZengJiaE" label="企业合并增加导致的专利权账面原值增加额" mulRef="_GBC_e04514c8858e489490302ba7c2e1448a" unitRef="_GBC_5ac7324577934f838e3655199c980c1c" addr="T0R6C2S1_1" formatStyle="Comma" appId="_GBC_0882d05501f84259b91efc5f2eae98cf"/>
      <m:item xlName="_GBC_114e417e56564e249e646a5aa12c2130" concept="clcid-pte:QiYeHeBingZengJiaDaoZhiDeFeiZhuanLiJiShuZhangMianYuanZhiZengJiaE" label="企业合并增加导致的非专利技术账面原值增加额" mulRef="_GBC_e04514c8858e489490302ba7c2e1448a" unitRef="_GBC_5ac7324577934f838e3655199c980c1c" addr="T0R6C3S1_1" formatStyle="Comma" appId="_GBC_0882d05501f84259b91efc5f2eae98cf"/>
      <m:item xlName="_GBC_4bfbae9913d64064ac4ddc68edc55e8e" concept="clcid-pte:WuXingZiChanMingXiQiYeHeBingZengJiaDaoZhiDeYuanZhiZengJia" label="无形资产明细-企业合并增加导致的原值增加" mulRef="_GBC_e04514c8858e489490302ba7c2e1448a" unitRef="_GBC_5ac7324577934f838e3655199c980c1c" addr="T0R6C4S1_1" formatStyle="Comma" tupleRef="clcid-pte:WuXingZiChanMingXi" appId="_GBC_0882d05501f84259b91efc5f2eae98cf"/>
      <m:item xlName="_GBC_73a2938dc8dd494d93fb427a21906fcf" concept="clcid-pte:QiYeHeBingZengJiaDaoZhiDeWuXingZiChanZhangMianYuanZhiZengJiaE" label="企业合并增加导致的无形资产账面原值增加额" mulRef="_GBC_e04514c8858e489490302ba7c2e1448a" unitRef="_GBC_5ac7324577934f838e3655199c980c1c" addr="T0R6C5S1_1" formatStyle="Comma" appId="_GBC_0882d05501f84259b91efc5f2eae98cf">
        <m:complexRule comparator="Eq" title="企业合并增加导致的无形资产账面原值增加额" test=" $_GBC_855a4e99349a4daca719c383c5cc51de +  $_GBC_1fa8897bfb304370bf6264bad0a6ddca +  $_GBC_114e417e56564e249e646a5aa12c2130 +  $_GBC_4bfbae9913d64064ac4ddc68edc55e8e" id="C4e5ae33458c146aaaa3bd74b461d73cb" serialType="1"/>
      </m:item>
      <m:item xlName="_GBC_23146e7638324faaa7da0b428a22d186" concept="clcid-pte:WuXingZiChanZhangMianYuanZhiZengJiaXiangMuMingCheng1" label="无形资产账面原值增加项目名称1" addr="T0R7C0S1_1" tagAction="1" formatStyle="Comma" appId="_GBC_0882d05501f84259b91efc5f2eae98cf" isSerialConcept="true" serialDirection="1" serialDefaultCount="2"/>
      <m:item xlName="_GBC_68b1c1634d8b430b8d2430ed0a1d6a19" concept="clcid-pte:WuXingZiChanTuDiShiYongQuanZhangMianYuanZhiZengJiaXiangMuJinE1" label="无形资产土地使用权账面原值增加项目金额1" mulRef="_GBC_e04514c8858e489490302ba7c2e1448a" unitRef="_GBC_5ac7324577934f838e3655199c980c1c" addr="T0R7C1S1_1" tagAction="1" formatStyle="Comma" appId="_GBC_0882d05501f84259b91efc5f2eae98cf" isSerialConcept="true" serialDirection="1"/>
      <m:item xlName="_GBC_b5f009ab3fd1422a997d83f901d96e2e" concept="clcid-pte:WuXingZiChanZhuanLiQuanZhangMianYuanZhiZengJiaXiangMuJinE1" label="无形资产专利权账面原值增加项目金额1" mulRef="_GBC_e04514c8858e489490302ba7c2e1448a" unitRef="_GBC_5ac7324577934f838e3655199c980c1c" addr="T0R7C2S1_1" tagAction="1" formatStyle="Comma" appId="_GBC_0882d05501f84259b91efc5f2eae98cf" isSerialConcept="true" serialDirection="1"/>
      <m:item xlName="_GBC_993f412620f445e88bd61968f7459ec9" concept="clcid-pte:WuXingZiChanFeiZhuanLiJiShuZhangMianYuanZhiZengJiaXiangMuJinE1" label="无形资产非专利技术账面原值增加项目金额1" mulRef="_GBC_e04514c8858e489490302ba7c2e1448a" unitRef="_GBC_5ac7324577934f838e3655199c980c1c" addr="T0R7C3S1_1" tagAction="1" formatStyle="Comma" appId="_GBC_0882d05501f84259b91efc5f2eae98cf" isSerialConcept="true" serialDirection="1"/>
      <m:item xlName="_GBC_0c66eaa614d14da0b0b87a56942737ed" concept="clcid-pte:WuXingZiChanZhangMianYuanZhiZengJiaXiangMuJinE1" label="无形资产账面原值增加项目金额1" mulRef="_GBC_e04514c8858e489490302ba7c2e1448a" unitRef="_GBC_5ac7324577934f838e3655199c980c1c" addr="T0R7C4S1_1" tagAction="1" formatStyle="Comma" tupleRef="clcid-pte:WuXingZiChanMingXi" appId="_GBC_0882d05501f84259b91efc5f2eae98cf" isSerialConcept="true" serialDirection="1"/>
      <m:item xlName="_GBC_29ad01d7f03a4139909a42289d945b78" concept="clcid-pte:WuXingZiChanZhangMianYuanZhiZengJiaXiangMuHeJiJinE1" label="无形资产账面原值增加项目合计金额1" mulRef="_GBC_e04514c8858e489490302ba7c2e1448a" unitRef="_GBC_5ac7324577934f838e3655199c980c1c" addr="T0R7C5S1_1" tagAction="1" formatStyle="Comma" appId="_GBC_0882d05501f84259b91efc5f2eae98cf" isSerialConcept="true" serialDirection="1">
        <m:complexRule comparator="Eq" title="无形资产账面原值增加项目合计金额1" disabled="true" test=" $_GBC_68b1c1634d8b430b8d2430ed0a1d6a19 +  $_GBC_b5f009ab3fd1422a997d83f901d96e2e +  $_GBC_993f412620f445e88bd61968f7459ec9 +  $_GBC_0c66eaa614d14da0b0b87a56942737ed" id="C32cd768ce541464db712d3111d31057e" serialType="2"/>
      </m:item>
      <m:placeholder xlName="_PLD_e2ff397d9d9a4a48baa098333a2effda" addr="T0R8C0S1_1"/>
      <m:item xlName="_GBC_7f2502b17635416c9bd8c37c69c705ad" concept="clcid-pte:WuXingZiChanZhongTuDiShiYongQuanYuanZhiBenQiJianShaoE" label="无形资产中土地使用权原值本期减少额" mulRef="_GBC_e04514c8858e489490302ba7c2e1448a" unitRef="_GBC_5ac7324577934f838e3655199c980c1c" addr="T0R8C1S1_1" formatStyle="Comma" appId="_GBC_0882d05501f84259b91efc5f2eae98cf">
        <m:complexRule comparator="Eq" title="无形资产中土地使用权原值本期减少额" test=" $_GBC_38e1e2ef62954a879be67b4ad80f2cd8 +  $_GBC_5791b9cc56d34ed3a6b1bb5619046fd4" id="C825922985c664bffb697a4b3f1cdec2c" serialType="1"/>
      </m:item>
      <m:item xlName="_GBC_3e69e7df8f7047ef85df3430d84b3fc6" concept="clcid-pte:WuXingZiChanZhongZhuanLiQuanYuanZhiBenQiJianShaoE" label="无形资产中专利权原值本期减少额" mulRef="_GBC_e04514c8858e489490302ba7c2e1448a" unitRef="_GBC_5ac7324577934f838e3655199c980c1c" addr="T0R8C2S1_1" formatStyle="Comma" appId="_GBC_0882d05501f84259b91efc5f2eae98cf">
        <m:complexRule comparator="Eq" title="无形资产中专利权原值本期减少额" test=" $_GBC_5faa2ab4a90640699295dd102f4ac082 +  $_GBC_a187b12be46c4986a6845dc33026b70e" id="C41b0db80c6124fd3848b1162cd403a17" serialType="1"/>
      </m:item>
      <m:item xlName="_GBC_1ab7be4c9e0f4ee4b4a29aaf2aea692c" concept="clcid-pte:WuXingZiChanZhongFeiZhuanLiJiShuYuanZhiBenQiJianShaoE" label="无形资产中非专利技术原值本期减少额" mulRef="_GBC_e04514c8858e489490302ba7c2e1448a" unitRef="_GBC_5ac7324577934f838e3655199c980c1c" addr="T0R8C3S1_1" formatStyle="Comma" appId="_GBC_0882d05501f84259b91efc5f2eae98cf">
        <m:complexRule comparator="Eq" title="无形资产中非专利技术原值本期减少额" test=" $_GBC_7e3fa1c8f2154d9b84228afa0e226317 +  $_GBC_3d6177bde73241c09725cc86b9009958" id="Cf5eb9d04a5de4ab2aa41af2d9f4c870d" serialType="1"/>
      </m:item>
      <m:item xlName="_GBC_c7d9968657264583a47e05aa9cc3dd3c" concept="clcid-pte:WuXingZiChanMingXiJianShaoE" label="无形资产明细－减少额" mulRef="_GBC_e04514c8858e489490302ba7c2e1448a" unitRef="_GBC_5ac7324577934f838e3655199c980c1c" addr="T0R8C4S1_1" formatStyle="Comma" tupleRef="clcid-pte:WuXingZiChanMingXi" appId="_GBC_0882d05501f84259b91efc5f2eae98cf">
        <m:complexRule comparator="Eq" title="无形资产明细－减少额" test=" $_GBC_49e3cb5d0688407ab28f31b1694e1f65 +  $_GBC_6bbb19b31f594798a9421218462f8883" id="Ce81e3bee4cae4c09ad2fcd9e8bd84c89" serialType="1"/>
      </m:item>
      <m:item xlName="_GBC_2417eac70b8a496d88ab6c27726f91f6" concept="clcid-pte:WuXingZiChanYuanJiaJianShaoE" label="无形资产原价（减少额）" mulRef="_GBC_e04514c8858e489490302ba7c2e1448a" unitRef="_GBC_5ac7324577934f838e3655199c980c1c" addr="T0R8C5S1_1" formatStyle="Comma" appId="_GBC_0882d05501f84259b91efc5f2eae98cf">
        <m:complexRule comparator="Eq" title="无形资产原价（减少额）" test=" $_GBC_b9a2cc50e53f4ebcb98cada67cc26f44 +  $_GBC_333bceb4bfb942ca90170e359bb81b89" id="C1e53e5bf5ab2496d947e21eae273c225" serialType="1"/>
        <m:complexRule comparator="Eq" title="无形资产原价（减少额）横向合计" test=" $_GBC_7f2502b17635416c9bd8c37c69c705ad +  $_GBC_3e69e7df8f7047ef85df3430d84b3fc6 +  $_GBC_1ab7be4c9e0f4ee4b4a29aaf2aea692c +  $_GBC_c7d9968657264583a47e05aa9cc3dd3c" id="Cca0008e4855d44da90fe03504b7f016a" serialType="1"/>
      </m:item>
      <m:placeholder xlName="_PLD_01039cac859c46279f030f4ef8891ef8" addr="T0R9C0S1_1"/>
      <m:item xlName="_GBC_38e1e2ef62954a879be67b4ad80f2cd8" concept="clcid-pte:ChuZhiDaoZhiDeTuDiShiYongQuanZhangMianYuanZhiJianShaoE" label="处置导致的土地使用权账面原值减少额" mulRef="_GBC_e04514c8858e489490302ba7c2e1448a" unitRef="_GBC_5ac7324577934f838e3655199c980c1c" addr="T0R9C1S1_1" formatStyle="Comma" appId="_GBC_0882d05501f84259b91efc5f2eae98cf"/>
      <m:item xlName="_GBC_5faa2ab4a90640699295dd102f4ac082" concept="clcid-pte:ChuZhiDaoZhiDeZhuanLiQuanZhangMianYuanZhiJianShaoE" label="处置导致的专利权账面原值减少额" mulRef="_GBC_e04514c8858e489490302ba7c2e1448a" unitRef="_GBC_5ac7324577934f838e3655199c980c1c" addr="T0R9C2S1_1" formatStyle="Comma" appId="_GBC_0882d05501f84259b91efc5f2eae98cf"/>
      <m:item xlName="_GBC_7e3fa1c8f2154d9b84228afa0e226317" concept="clcid-pte:ChuZhiDaoZhiDeFeiZhuanLiJiShuZhangMianYuanZhiJianShaoE" label="处置导致的非专利技术账面原值减少额" mulRef="_GBC_e04514c8858e489490302ba7c2e1448a" unitRef="_GBC_5ac7324577934f838e3655199c980c1c" addr="T0R9C3S1_1" formatStyle="Comma" appId="_GBC_0882d05501f84259b91efc5f2eae98cf"/>
      <m:item xlName="_GBC_49e3cb5d0688407ab28f31b1694e1f65" concept="clcid-pte:WuXingZiChanMingXiChuZhiDaoZhiDeYuanZhiJianShao" label="无形资产明细-处置导致的原值减少" mulRef="_GBC_e04514c8858e489490302ba7c2e1448a" unitRef="_GBC_5ac7324577934f838e3655199c980c1c" addr="T0R9C4S1_1" formatStyle="Comma" tupleRef="clcid-pte:WuXingZiChanMingXi" appId="_GBC_0882d05501f84259b91efc5f2eae98cf"/>
      <m:item xlName="_GBC_b9a2cc50e53f4ebcb98cada67cc26f44" concept="clcid-pte:ChuZhiDaoZhiDeWuXingZiChanZhangMianYuanZhiJianShaoE" label="处置导致的无形资产账面原值减少额" mulRef="_GBC_e04514c8858e489490302ba7c2e1448a" unitRef="_GBC_5ac7324577934f838e3655199c980c1c" addr="T0R9C5S1_1" formatStyle="Comma" appId="_GBC_0882d05501f84259b91efc5f2eae98cf">
        <m:complexRule comparator="Eq" title="处置导致的无形资产账面原值减少额" test=" $_GBC_38e1e2ef62954a879be67b4ad80f2cd8 +  $_GBC_5faa2ab4a90640699295dd102f4ac082 +  $_GBC_7e3fa1c8f2154d9b84228afa0e226317 +  $_GBC_49e3cb5d0688407ab28f31b1694e1f65" id="Cbe2d8bc8b0c74435a4a812f7c1e6da18" serialType="1"/>
      </m:item>
      <m:item xlName="_GBC_75be63f1efb54632be12885a949e8472" concept="clcid-pte:WuXingZiChanZhangMianYuanZhiJianShaoXiangMuMingCheng1" label="无形资产账面原值减少项目名称1" addr="T0R10C0S1_1" tagAction="1" formatStyle="Comma" appId="_GBC_0882d05501f84259b91efc5f2eae98cf" isSerialConcept="true" serialDirection="1" serialDefaultCount="2"/>
      <m:item xlName="_GBC_5791b9cc56d34ed3a6b1bb5619046fd4" concept="clcid-pte:WuXingZiChanTuDiShiYongQuanZhangMianYuanZhiJianShaoXiangMuJinE1" label="无形资产土地使用权账面原值减少项目金额1" mulRef="_GBC_e04514c8858e489490302ba7c2e1448a" unitRef="_GBC_5ac7324577934f838e3655199c980c1c" addr="T0R10C1S1_1" tagAction="1" formatStyle="Comma" appId="_GBC_0882d05501f84259b91efc5f2eae98cf" isSerialConcept="true" serialDirection="1"/>
      <m:item xlName="_GBC_a187b12be46c4986a6845dc33026b70e" concept="clcid-pte:WuXingZiChanZhuanLiQuanZhangMianYuanZhiJianShaoXiangMuJinE1" label="无形资产专利权账面原值减少项目金额1" mulRef="_GBC_e04514c8858e489490302ba7c2e1448a" unitRef="_GBC_5ac7324577934f838e3655199c980c1c" addr="T0R10C2S1_1" tagAction="1" formatStyle="Comma" appId="_GBC_0882d05501f84259b91efc5f2eae98cf" isSerialConcept="true" serialDirection="1"/>
      <m:item xlName="_GBC_3d6177bde73241c09725cc86b9009958" concept="clcid-pte:WuXingZiChanFeiZhuanLiJiShuZhangMianYuanZhiJianShaoXiangMuJinE1" label="无形资产非专利技术账面原值减少项目金额1" mulRef="_GBC_e04514c8858e489490302ba7c2e1448a" unitRef="_GBC_5ac7324577934f838e3655199c980c1c" addr="T0R10C3S1_1" tagAction="1" formatStyle="Comma" appId="_GBC_0882d05501f84259b91efc5f2eae98cf" isSerialConcept="true" serialDirection="1"/>
      <m:item xlName="_GBC_6bbb19b31f594798a9421218462f8883" concept="clcid-pte:WuXingZiChanZhangMianYuanZhiJianShaoXiangMuJinE1" label="无形资产账面原值减少项目金额1" mulRef="_GBC_e04514c8858e489490302ba7c2e1448a" unitRef="_GBC_5ac7324577934f838e3655199c980c1c" addr="T0R10C4S1_1" tagAction="1" formatStyle="Comma" tupleRef="clcid-pte:WuXingZiChanMingXi" appId="_GBC_0882d05501f84259b91efc5f2eae98cf" isSerialConcept="true" serialDirection="1"/>
      <m:item xlName="_GBC_333bceb4bfb942ca90170e359bb81b89" concept="clcid-pte:WuXingZiChanZhangMianYuanZhiJianShaoXiangMuHeJiJinE1" label="无形资产账面原值减少项目合计金额1" mulRef="_GBC_e04514c8858e489490302ba7c2e1448a" unitRef="_GBC_5ac7324577934f838e3655199c980c1c" addr="T0R10C5S1_1" tagAction="1" formatStyle="Comma" appId="_GBC_0882d05501f84259b91efc5f2eae98cf" isSerialConcept="true" serialDirection="1">
        <m:complexRule comparator="Eq" title="无形资产账面原值减少项目合计金额1" disabled="true" test=" $_GBC_5791b9cc56d34ed3a6b1bb5619046fd4 +  $_GBC_a187b12be46c4986a6845dc33026b70e +  $_GBC_3d6177bde73241c09725cc86b9009958 +  $_GBC_6bbb19b31f594798a9421218462f8883" id="C68fa3f70d6ff430fa39529cdc373b2f0" serialType="2"/>
      </m:item>
      <m:placeholder xlName="_PLD_4f7e6faa1a2a40ff9644db9d2bcd8070" addr="T0R11C0S1_1"/>
      <m:item xlName="_GBC_678513d0cfc34461a07bb4b42557f615" concept="clcid-pte:WuXingZiChanZhongTuDiShiYongQuanYuanZhi" label="无形资产中土地使用权原值" mulRef="_GBC_e04514c8858e489490302ba7c2e1448a" unitRef="_GBC_5ac7324577934f838e3655199c980c1c" addr="T0R11C1S1_1" formatStyle="Comma" appId="_GBC_0882d05501f84259b91efc5f2eae98cf">
        <m:complexRule comparator="Eq" title="无形资产中土地使用权原值" test=" $_GBC_84311a28b60b4d4a97862433d2b17db9 +  $_GBC_2490e1c5e0334092b98b32ae9bf9660f -  $_GBC_7f2502b17635416c9bd8c37c69c705ad" id="Ca05d55389e884e14bdf92a44c5ba3b9b"/>
      </m:item>
      <m:item xlName="_GBC_7de1974243c44ad6a5bf7ab578402947" concept="clcid-pte:WuXingZiChanZhongZhuanLiQuanYuanZhi" label="无形资产中专利权原值" mulRef="_GBC_e04514c8858e489490302ba7c2e1448a" unitRef="_GBC_5ac7324577934f838e3655199c980c1c" addr="T0R11C2S1_1" formatStyle="Comma" appId="_GBC_0882d05501f84259b91efc5f2eae98cf">
        <m:complexRule comparator="Eq" title="无形资产中专利权原值" test=" $_GBC_ea934986596744ef8c877ba655d0a3e6 +  $_GBC_46ffd3d0b13f4dfcbc9c7d08bd4ff3ba -  $_GBC_3e69e7df8f7047ef85df3430d84b3fc6" id="C17cb23b757574fa890dd14c2e5d7e302"/>
      </m:item>
      <m:item xlName="_GBC_b74bc16d48e5471e915171e376340f4c" concept="clcid-pte:WuXingZiChanZhongFeiZhuanLiJiShuYuanZhi" label="无形资产中非专利技术原值" mulRef="_GBC_e04514c8858e489490302ba7c2e1448a" unitRef="_GBC_5ac7324577934f838e3655199c980c1c" addr="T0R11C3S1_1" formatStyle="Comma" appId="_GBC_0882d05501f84259b91efc5f2eae98cf">
        <m:complexRule comparator="Eq" title="无形资产中非专利技术原值" test=" $_GBC_3bb4f5a66189475790a7c08a2e6e8dc7 +  $_GBC_04c00f8129544e3f866a94b8219b588f -  $_GBC_1ab7be4c9e0f4ee4b4a29aaf2aea692c" id="C73a12ed993da40c4bb5d0d274a85ca84"/>
      </m:item>
      <m:item xlName="_GBC_46b9177ac878454cb5553a1537791fcb" concept="clcid-pte:WuXingZiChanMingXiZhangMianYuE" label="无形资产明细－账面余额" mulRef="_GBC_e04514c8858e489490302ba7c2e1448a" unitRef="_GBC_5ac7324577934f838e3655199c980c1c" addr="T0R11C4S1_1" formatStyle="Comma" tupleRef="clcid-pte:WuXingZiChanMingXi" appId="_GBC_0882d05501f84259b91efc5f2eae98cf">
        <m:complexRule comparator="Eq" title="无形资产明细－账面余额" test=" $_GBC_8ed1b843ec96488c8cfebd82c238ebba +  $_GBC_905ba25b782f4a7082c8b3e700b7f969 -  $_GBC_c7d9968657264583a47e05aa9cc3dd3c" id="C08d430f2a1ad44b08dd55f9040dd7217"/>
      </m:item>
      <m:item xlName="_GBC_7f0f3d498a1a42448f8de9f919187d1c" concept="clcid-pte:WuXingZiChanYuanJiaZhangMianYuE" label="无形资产原价" mulRef="_GBC_e04514c8858e489490302ba7c2e1448a" unitRef="_GBC_5ac7324577934f838e3655199c980c1c" addr="T0R11C5S1_1" formatStyle="Comma" appId="_GBC_0882d05501f84259b91efc5f2eae98cf">
        <m:complexRule comparator="Eq" title="无形资产原价" test=" $_GBC_68af9123af3e492898f486cf5049e1e7 +  $_GBC_a0ddbba821054ece8a919407e8bb4c9a -  $_GBC_2417eac70b8a496d88ab6c27726f91f6" id="Cd174f2bfad68445a94aa13d12f724d3e"/>
      </m:item>
      <m:placeholder xlName="_PLD_3d92ef615d3b41e5abb58e018e2db72b" addr="T0R12C0S1_1"/>
      <m:placeholder xlName="_PLD_193e5febfa90446ca630ebb42ca96e06" addr="T0R13C0S1_1"/>
      <m:item xlName="_GBC_ff9de93c3a1a4dc287c5d01fb920e1f8" concept="clcid-pte:WuXingZiChanZhongTuDiShiYongQuanLeiJiTanXiao" label="无形资产中土地使用权累计摊销" periodRef="本期期初数" mulRef="_GBC_e04514c8858e489490302ba7c2e1448a" unitRef="_GBC_5ac7324577934f838e3655199c980c1c" addr="T0R13C1S1_1" formatStyle="Comma" appId="_GBC_0882d05501f84259b91efc5f2eae98cf"/>
      <m:item xlName="_GBC_3c167241ce744930825e3aedf9aee145" concept="clcid-pte:WuXingZiChanZhongZhuanLiQuanLeiJiTanXiao" label="无形资产中专利权累计摊销" periodRef="本期期初数" mulRef="_GBC_e04514c8858e489490302ba7c2e1448a" unitRef="_GBC_5ac7324577934f838e3655199c980c1c" addr="T0R13C2S1_1" formatStyle="Comma" appId="_GBC_0882d05501f84259b91efc5f2eae98cf"/>
      <m:item xlName="_GBC_140cd590f13e4bdcac61cf8b7ffe2eca" concept="clcid-pte:WuXingZiChanZhongFeiZhuanLiJiShuLeiJiTanXiao" label="无形资产中非专利技术累计摊销" periodRef="本期期初数" mulRef="_GBC_e04514c8858e489490302ba7c2e1448a" unitRef="_GBC_5ac7324577934f838e3655199c980c1c" addr="T0R13C3S1_1" formatStyle="Comma" appId="_GBC_0882d05501f84259b91efc5f2eae98cf"/>
      <m:item xlName="_GBC_2359121a20ca4225a2448deab3264ff4" concept="clcid-pte:WuXingZiChanZhongLeiLeiJiTanXiaoShu" label="无形资产累计摊销数" periodRef="本期期初数" mulRef="_GBC_e04514c8858e489490302ba7c2e1448a" unitRef="_GBC_5ac7324577934f838e3655199c980c1c" addr="T0R13C4S1_1" formatStyle="Comma" tupleRef="clcid-pte:WuXingZiChanMingXi" appId="_GBC_0882d05501f84259b91efc5f2eae98cf"/>
      <m:item xlName="_GBC_8a7994a435d54ec0b3cdfd2352127809" concept="clcid-pte:WuXingZiChanLeiJiTanXiaoZhangMianYuE" label="无形资产累计折旧" periodRef="本期期初数" mulRef="_GBC_e04514c8858e489490302ba7c2e1448a" unitRef="_GBC_5ac7324577934f838e3655199c980c1c" addr="T0R13C5S1_1" formatStyle="Comma" appId="_GBC_0882d05501f84259b91efc5f2eae98cf">
        <m:complexRule comparator="Eq" title="无形资产累计折旧@本期期初数" test=" $_GBC_ff9de93c3a1a4dc287c5d01fb920e1f8 +  $_GBC_3c167241ce744930825e3aedf9aee145 +  $_GBC_140cd590f13e4bdcac61cf8b7ffe2eca +  $_GBC_2359121a20ca4225a2448deab3264ff4" id="C90ab721d3aaa4f7b969476e8a252dd90" serialType="1"/>
      </m:item>
      <m:placeholder xlName="_PLD_1002de94b721483c99b3b05a42a37601" addr="T0R14C0S1_1"/>
      <m:item xlName="_GBC_03a73d1176364216bc1f71726d6bc318" concept="clcid-pte:WuXingZiChanZhongTuDiShiYongQuanLeiJiTanXiaoBenQiZengJiaE" label="无形资产中土地使用权累计摊销本期增加额" mulRef="_GBC_e04514c8858e489490302ba7c2e1448a" unitRef="_GBC_5ac7324577934f838e3655199c980c1c" addr="T0R14C1S1_1" formatStyle="Comma" appId="_GBC_0882d05501f84259b91efc5f2eae98cf">
        <m:complexRule comparator="Eq" title="无形资产中土地使用权累计摊销本期增加额" test=" $_GBC_7d8736e604d346f48a9434acd32a15ab +  $_GBC_6f3b78a39f1f45348d4b4dcd0d2b0569" id="Cca1ac5d5f4c4464fa08b677500355628" serialType="1"/>
      </m:item>
      <m:item xlName="_GBC_6dd28179fe9043acabbbb791a72aed06" concept="clcid-pte:WuXingZiChanZhongZhuanLiQuanLeiJiTanXiaoBenQiZengJiaE" label="无形资产中专利权累计摊销本期增加额" mulRef="_GBC_e04514c8858e489490302ba7c2e1448a" unitRef="_GBC_5ac7324577934f838e3655199c980c1c" addr="T0R14C2S1_1" formatStyle="Comma" appId="_GBC_0882d05501f84259b91efc5f2eae98cf">
        <m:complexRule comparator="Eq" title="无形资产中专利权累计摊销本期增加额" test=" $_GBC_79a8aa1b02b54b2d98be49c27b468705 +  $_GBC_5324450a41a94517b586eb91c729ea6d" id="C33066c2cf15c485da1c38de4a1f0d1bc" serialType="1"/>
      </m:item>
      <m:item xlName="_GBC_c1336df70d684a37a00a0668d2744b9b" concept="clcid-pte:WuXingZiChanZhongFeiZhuanLiJiShuLeiJiTanXiaoBenQiZengJiaE" label="无形资产中非专利技术累计摊销本期增加额" mulRef="_GBC_e04514c8858e489490302ba7c2e1448a" unitRef="_GBC_5ac7324577934f838e3655199c980c1c" addr="T0R14C3S1_1" formatStyle="Comma" appId="_GBC_0882d05501f84259b91efc5f2eae98cf">
        <m:complexRule comparator="Eq" title="无形资产中非专利技术累计摊销本期增加额" test=" $_GBC_0e2486c2835943e4a38b1bdf52c2c5d7 +  $_GBC_4a761a5ccfea4b0dac40e38b69d5d86f" id="C3e752fe575f1433187cd9bcf7fdbfe0d" serialType="1"/>
      </m:item>
      <m:item xlName="_GBC_6d0fb5e1546e4bdbbe45afe320b93957" concept="clcid-pte:WuXingZiChanMingXiLeiJiTanXiaoZengJia" label="无形资产明细-累计摊销增加" mulRef="_GBC_e04514c8858e489490302ba7c2e1448a" unitRef="_GBC_5ac7324577934f838e3655199c980c1c" addr="T0R14C4S1_1" formatStyle="Comma" tupleRef="clcid-pte:WuXingZiChanMingXi" appId="_GBC_0882d05501f84259b91efc5f2eae98cf">
        <m:complexRule comparator="Eq" title="无形资产明细-累计摊销增加" test=" $_GBC_117f68a975584ca9b609adbc990291b2 +  $_GBC_be793f363ede4d81a059f7c3f73d8e7c" id="C48f397e6f7654ccfadee879af010ca64" serialType="1"/>
      </m:item>
      <m:item xlName="_GBC_27a3ac9901e7429796cc375a0e5f97cb" concept="clcid-pte:WuXingZiChanLeiJiTanXiaoZengJiaE" label="无形资产累计折旧（增加额）" mulRef="_GBC_e04514c8858e489490302ba7c2e1448a" unitRef="_GBC_5ac7324577934f838e3655199c980c1c" addr="T0R14C5S1_1" formatStyle="Comma" appId="_GBC_0882d05501f84259b91efc5f2eae98cf">
        <m:complexRule comparator="Eq" title="无形资产累计折旧（增加额）" test=" $_GBC_69e01be95f71432095c7e4ca5b92f201 +  $_GBC_2786960157f34a39a4cf247d142f7392" id="Cd9e5d7ced4cc43deaf96ec3bab9fa348" serialType="1"/>
        <m:complexRule comparator="Eq" title="无形资产累计折旧（增加额）横向合计" test=" $_GBC_03a73d1176364216bc1f71726d6bc318 +  $_GBC_6dd28179fe9043acabbbb791a72aed06 +  $_GBC_c1336df70d684a37a00a0668d2744b9b +  $_GBC_6d0fb5e1546e4bdbbe45afe320b93957" id="C07fe2e03923b476ab6f0ed922b66e4f9" serialType="1"/>
      </m:item>
      <m:placeholder xlName="_PLD_8a3c7c560c054537b4caae539fe46c59" addr="T0R15C0S1_1"/>
      <m:item xlName="_GBC_7d8736e604d346f48a9434acd32a15ab" concept="clcid-pte:JiTiDaoZhiDeTuDiShiYongQuanLeiJiTanXiaoZengJiaE" label="计提导致的土地使用权累计摊销增加额" mulRef="_GBC_e04514c8858e489490302ba7c2e1448a" unitRef="_GBC_5ac7324577934f838e3655199c980c1c" addr="T0R15C1S1_1" formatStyle="Comma" appId="_GBC_0882d05501f84259b91efc5f2eae98cf"/>
      <m:item xlName="_GBC_79a8aa1b02b54b2d98be49c27b468705" concept="clcid-pte:JiTiDaoZhiDeZhuanLiQuanLeiJiTanXiaoZengJiaE" label="计提导致的专利权累计摊销增加额" mulRef="_GBC_e04514c8858e489490302ba7c2e1448a" unitRef="_GBC_5ac7324577934f838e3655199c980c1c" addr="T0R15C2S1_1" formatStyle="Comma" appId="_GBC_0882d05501f84259b91efc5f2eae98cf"/>
      <m:item xlName="_GBC_0e2486c2835943e4a38b1bdf52c2c5d7" concept="clcid-pte:JiTiDaoZhiDeFeiZhuanLiJiShuLeiJiTanXiaoZengJiaE" label="计提导致的非专利技术累计摊销增加额" mulRef="_GBC_e04514c8858e489490302ba7c2e1448a" unitRef="_GBC_5ac7324577934f838e3655199c980c1c" addr="T0R15C3S1_1" formatStyle="Comma" appId="_GBC_0882d05501f84259b91efc5f2eae98cf"/>
      <m:item xlName="_GBC_117f68a975584ca9b609adbc990291b2" concept="clcid-pte:WuXingZiChanMingXiJiTiDaoZhiDeLeiJiTanXiaoZengJia" label="无形资产明细-计提导致的累计摊销增加" mulRef="_GBC_e04514c8858e489490302ba7c2e1448a" unitRef="_GBC_5ac7324577934f838e3655199c980c1c" addr="T0R15C4S1_1" formatStyle="Comma" tupleRef="clcid-pte:WuXingZiChanMingXi" appId="_GBC_0882d05501f84259b91efc5f2eae98cf"/>
      <m:item xlName="_GBC_69e01be95f71432095c7e4ca5b92f201" concept="clcid-pte:JiTiDaoZhiDeWuXingZiChanLeiJiTanXiaoZengJiaE" label="计提导致的无形资产累计摊销增加额" mulRef="_GBC_e04514c8858e489490302ba7c2e1448a" unitRef="_GBC_5ac7324577934f838e3655199c980c1c" addr="T0R15C5S1_1" formatStyle="Comma" appId="_GBC_0882d05501f84259b91efc5f2eae98cf">
        <m:complexRule comparator="Eq" title="计提导致的无形资产累计摊销增加额" test=" $_GBC_7d8736e604d346f48a9434acd32a15ab +  $_GBC_79a8aa1b02b54b2d98be49c27b468705 +  $_GBC_0e2486c2835943e4a38b1bdf52c2c5d7 +  $_GBC_117f68a975584ca9b609adbc990291b2" id="C37c7c3f0792b457eb720a97d6ab3aebb" serialType="1"/>
      </m:item>
      <m:item xlName="_GBC_4c50300c8d7948e29642049bd51cde3e" concept="clcid-pte:WuXingZiChanLeiJiTanXiaoZengJiaXiangMuMingCheng1" label="无形资产累计摊销增加项目名称1" addr="T0R16C0S1_1" tagAction="1" formatStyle="Comma" appId="_GBC_0882d05501f84259b91efc5f2eae98cf" isSerialConcept="true" serialDirection="1" serialDefaultCount="2"/>
      <m:item xlName="_GBC_6f3b78a39f1f45348d4b4dcd0d2b0569" concept="clcid-pte:WuXingZiChanTuDiShiYongQuanLeiJiTanXiaoZengJiaXiangMuJinE1" label="无形资产土地使用权累计摊销增加项目金额1" mulRef="_GBC_e04514c8858e489490302ba7c2e1448a" unitRef="_GBC_5ac7324577934f838e3655199c980c1c" addr="T0R16C1S1_1" tagAction="1" formatStyle="Comma" appId="_GBC_0882d05501f84259b91efc5f2eae98cf" isSerialConcept="true" serialDirection="1"/>
      <m:item xlName="_GBC_5324450a41a94517b586eb91c729ea6d" concept="clcid-pte:WuXingZiChanZhuanLiJiShuLeiJiTanXiaoZengJiaXiangMuJinE1" label="无形资产专利技术累计摊销增加项目金额1" mulRef="_GBC_e04514c8858e489490302ba7c2e1448a" unitRef="_GBC_5ac7324577934f838e3655199c980c1c" addr="T0R16C2S1_1" tagAction="1" formatStyle="Comma" appId="_GBC_0882d05501f84259b91efc5f2eae98cf" isSerialConcept="true" serialDirection="1"/>
      <m:item xlName="_GBC_4a761a5ccfea4b0dac40e38b69d5d86f" concept="clcid-pte:WuXingZiChanFeiZhuanLiJiShuLeiJiTanXiaoZengJiaXiangMuJinE1" label="无形资产非专利技术累计摊销增加项目金额1" mulRef="_GBC_e04514c8858e489490302ba7c2e1448a" unitRef="_GBC_5ac7324577934f838e3655199c980c1c" addr="T0R16C3S1_1" tagAction="1" formatStyle="Comma" appId="_GBC_0882d05501f84259b91efc5f2eae98cf" isSerialConcept="true" serialDirection="1"/>
      <m:item xlName="_GBC_be793f363ede4d81a059f7c3f73d8e7c" concept="clcid-pte:WuXingZiChanLeiJiTanXiaoZengJiaXiangMuJinE1" label="无形资产累计摊销增加项目金额1" mulRef="_GBC_e04514c8858e489490302ba7c2e1448a" unitRef="_GBC_5ac7324577934f838e3655199c980c1c" addr="T0R16C4S1_1" tagAction="1" formatStyle="Comma" tupleRef="clcid-pte:WuXingZiChanMingXi" appId="_GBC_0882d05501f84259b91efc5f2eae98cf" isSerialConcept="true" serialDirection="1"/>
      <m:item xlName="_GBC_2786960157f34a39a4cf247d142f7392" concept="clcid-pte:WuXingZiChanLeiJiTanXiaoZengJiaXiangMuHeJiJinE1" label="无形资产累计摊销增加项目合计金额1" mulRef="_GBC_e04514c8858e489490302ba7c2e1448a" unitRef="_GBC_5ac7324577934f838e3655199c980c1c" addr="T0R16C5S1_1" tagAction="1" formatStyle="Comma" appId="_GBC_0882d05501f84259b91efc5f2eae98cf" isSerialConcept="true" serialDirection="1">
        <m:complexRule comparator="Eq" title="无形资产累计摊销增加项目合计金额1" disabled="true" test=" $_GBC_6f3b78a39f1f45348d4b4dcd0d2b0569 +  $_GBC_5324450a41a94517b586eb91c729ea6d +  $_GBC_4a761a5ccfea4b0dac40e38b69d5d86f +  $_GBC_be793f363ede4d81a059f7c3f73d8e7c" id="C9d2790d4b8da4a1aa1e52227c545e2bd" serialType="2"/>
      </m:item>
      <m:placeholder xlName="_PLD_915cb31bb4224f868e630c1166a0d717" addr="T0R17C0S1_1"/>
      <m:item xlName="_GBC_1f5f0d0334bd483bb5d0cc3d38671c5c" concept="clcid-pte:WuXingZiChanZhongTuDiShiYongQuanLeiJiTanXiaoBenQiJianShaoE" label="无形资产中土地使用权累计摊销本期减少额" mulRef="_GBC_e04514c8858e489490302ba7c2e1448a" unitRef="_GBC_5ac7324577934f838e3655199c980c1c" addr="T0R17C1S1_1" formatStyle="Comma" appId="_GBC_0882d05501f84259b91efc5f2eae98cf">
        <m:complexRule comparator="Eq" title="无形资产中土地使用权累计摊销本期减少额" test=" $_GBC_747ee358c482442799aad7f6665bb99e +  $_GBC_987ef0db30024afcb4aface24a92b120" id="C6fdd82c355ba4524b676ba9bd22dd708" serialType="1"/>
      </m:item>
      <m:item xlName="_GBC_928a474b3889413e80dd28ebc9ce6625" concept="clcid-pte:WuXingZiChanZhongZhuanLiQuanLeiJiTanXiaoBenQiJianShaoE" label="无形资产中专利权累计摊销本期减少额" mulRef="_GBC_e04514c8858e489490302ba7c2e1448a" unitRef="_GBC_5ac7324577934f838e3655199c980c1c" addr="T0R17C2S1_1" formatStyle="Comma" appId="_GBC_0882d05501f84259b91efc5f2eae98cf">
        <m:complexRule comparator="Eq" title="无形资产中专利权累计摊销本期减少额" test=" $_GBC_ad693cb347f0453e9f6d5c81303f2477 +  $_GBC_78c34a803d9e49378c074a1e28eb4c3a" id="C498f1a1a756146489b3db0611e4eb501" serialType="1"/>
      </m:item>
      <m:item xlName="_GBC_b7026e195b5044a5a6144acd9956f1c6" concept="clcid-pte:WuXingZiChanZhongFeiZhuanLiJiShuLeiJiTanXiaoBenQiJianShaoE" label="无形资产中非专利技术累计摊销本期减少额" mulRef="_GBC_e04514c8858e489490302ba7c2e1448a" unitRef="_GBC_5ac7324577934f838e3655199c980c1c" addr="T0R17C3S1_1" formatStyle="Comma" appId="_GBC_0882d05501f84259b91efc5f2eae98cf">
        <m:complexRule comparator="Eq" title="无形资产中非专利技术累计摊销本期减少额" test=" $_GBC_90d807313bf0421180b1d1e070a0a920 +  $_GBC_2382de0ed7df4e29a7e6cf61e594373f" id="C833009490aa843fabbe5faf67b75585e" serialType="1"/>
      </m:item>
      <m:item xlName="_GBC_3892915ecbd7460b8484b6c43112c1d3" concept="clcid-pte:WuXingZiChanMingXiLeiJiTanXiaoJianShao" label="无形资产明细-累计摊销减少" mulRef="_GBC_e04514c8858e489490302ba7c2e1448a" unitRef="_GBC_5ac7324577934f838e3655199c980c1c" addr="T0R17C4S1_1" formatStyle="Comma" tupleRef="clcid-pte:WuXingZiChanMingXi" appId="_GBC_0882d05501f84259b91efc5f2eae98cf">
        <m:complexRule comparator="Eq" title="无形资产明细-累计摊销减少" test=" $_GBC_c38e431713ca4cb493161ea03e6b44ab +  $_GBC_d780250aa2144176a5374f9330f1e913" id="C71a125b0c8bd4303a0416a0e228da577" serialType="1"/>
      </m:item>
      <m:item xlName="_GBC_176b59254baa47a29ecc0544c51d94ef" concept="clcid-pte:WuXingZiChanLeiJiTanXiaoJianShaoE" label="无形资产累计折旧（减少额）" mulRef="_GBC_e04514c8858e489490302ba7c2e1448a" unitRef="_GBC_5ac7324577934f838e3655199c980c1c" addr="T0R17C5S1_1" formatStyle="Comma" appId="_GBC_0882d05501f84259b91efc5f2eae98cf">
        <m:complexRule comparator="Eq" title="无形资产累计折旧（减少额）横向合计" test=" $_GBC_1f5f0d0334bd483bb5d0cc3d38671c5c +  $_GBC_928a474b3889413e80dd28ebc9ce6625 +  $_GBC_b7026e195b5044a5a6144acd9956f1c6 +  $_GBC_3892915ecbd7460b8484b6c43112c1d3" id="C4c82dae1442e4b2b8b1e812131c56c3f" serialType="1"/>
        <m:complexRule comparator="Eq" title="无形资产累计折旧（减少额）" test=" $_GBC_122fa9662d194f238bca4b25db2921ff +  $_GBC_ce3de533f641438f96cdd26f528b12f9" id="C1b5196530b0c416da269b18afb809ff1" serialType="1"/>
      </m:item>
      <m:placeholder xlName="_PLD_0d3cdfa6a81e4a8ab3796288b6ac246d" addr="T0R18C0S1_1"/>
      <m:item xlName="_GBC_747ee358c482442799aad7f6665bb99e" concept="clcid-pte:ChuZhiDaoZhiDeTuDiShiYongQuanLeiJiTanXiaoJianShaoE" label="处置导致的土地使用权累计摊销减少额" mulRef="_GBC_e04514c8858e489490302ba7c2e1448a" unitRef="_GBC_5ac7324577934f838e3655199c980c1c" addr="T0R18C1S1_1" formatStyle="Comma" appId="_GBC_0882d05501f84259b91efc5f2eae98cf"/>
      <m:item xlName="_GBC_ad693cb347f0453e9f6d5c81303f2477" concept="clcid-pte:ChuZhiDaoZhiDeZhuanLiQuanLeiJiTanXiaoJianShaoE" label="处置导致的专利权累计摊销减少额" mulRef="_GBC_e04514c8858e489490302ba7c2e1448a" unitRef="_GBC_5ac7324577934f838e3655199c980c1c" addr="T0R18C2S1_1" formatStyle="Comma" appId="_GBC_0882d05501f84259b91efc5f2eae98cf"/>
      <m:item xlName="_GBC_90d807313bf0421180b1d1e070a0a920" concept="clcid-pte:ChuZhiDaoZhiDeFeiZhuanLiJiShuLeiJiTanXiaoJianShaoE" label="处置导致的非专利技术累计摊销减少额" mulRef="_GBC_e04514c8858e489490302ba7c2e1448a" unitRef="_GBC_5ac7324577934f838e3655199c980c1c" addr="T0R18C3S1_1" formatStyle="Comma" appId="_GBC_0882d05501f84259b91efc5f2eae98cf"/>
      <m:item xlName="_GBC_c38e431713ca4cb493161ea03e6b44ab" concept="clcid-pte:WuXingZiChanMingXiChuZhiDaoZhiDeLeiJiTanXiaoJianShao" label="无形资产明细-处置导致的累计摊销减少" mulRef="_GBC_e04514c8858e489490302ba7c2e1448a" unitRef="_GBC_5ac7324577934f838e3655199c980c1c" addr="T0R18C4S1_1" formatStyle="Comma" tupleRef="clcid-pte:WuXingZiChanMingXi" appId="_GBC_0882d05501f84259b91efc5f2eae98cf"/>
      <m:item xlName="_GBC_122fa9662d194f238bca4b25db2921ff" concept="clcid-pte:ChuZhiDaoZhiDeWuXingZiChanLeiJiTanXiaoJianShaoE" label="处置导致的无形资产累计摊销减少额" mulRef="_GBC_e04514c8858e489490302ba7c2e1448a" unitRef="_GBC_5ac7324577934f838e3655199c980c1c" addr="T0R18C5S1_1" formatStyle="Comma" appId="_GBC_0882d05501f84259b91efc5f2eae98cf">
        <m:complexRule comparator="Eq" title="处置导致的无形资产累计摊销减少额" test=" $_GBC_747ee358c482442799aad7f6665bb99e +  $_GBC_ad693cb347f0453e9f6d5c81303f2477 +  $_GBC_90d807313bf0421180b1d1e070a0a920 +  $_GBC_c38e431713ca4cb493161ea03e6b44ab" id="C3eabdb53f42d4c519a8cbac09cdba627" serialType="1"/>
      </m:item>
      <m:item xlName="_GBC_8d1d573ce9514131bd88f011a71031e5" concept="clcid-pte:WuXingZiChanLeiJiTanXiaoJianShaoXiangMuMingCheng1" label="无形资产累计摊销减少项目名称1" addr="T0R19C0S1_1" tagAction="1" formatStyle="Comma" appId="_GBC_0882d05501f84259b91efc5f2eae98cf" isSerialConcept="true" serialDirection="1" serialDefaultCount="2"/>
      <m:item xlName="_GBC_987ef0db30024afcb4aface24a92b120" concept="clcid-pte:WuXingZiChanTuDiShiYongQuanLeiJiTanXiaoJianShaoXiangMuJinE1" label="无形资产土地使用权累计摊销减少项目金额1" mulRef="_GBC_e04514c8858e489490302ba7c2e1448a" unitRef="_GBC_5ac7324577934f838e3655199c980c1c" addr="T0R19C1S1_1" tagAction="1" formatStyle="Comma" appId="_GBC_0882d05501f84259b91efc5f2eae98cf" isSerialConcept="true" serialDirection="1"/>
      <m:item xlName="_GBC_78c34a803d9e49378c074a1e28eb4c3a" concept="clcid-pte:WuXingZiChanZhuanLiJiShuLeiJiTanXiaoJianShaoXiangMuJinE1" label="无形资产专利技术累计摊销减少项目金额1" mulRef="_GBC_e04514c8858e489490302ba7c2e1448a" unitRef="_GBC_5ac7324577934f838e3655199c980c1c" addr="T0R19C2S1_1" tagAction="1" formatStyle="Comma" appId="_GBC_0882d05501f84259b91efc5f2eae98cf" isSerialConcept="true" serialDirection="1"/>
      <m:item xlName="_GBC_2382de0ed7df4e29a7e6cf61e594373f" concept="clcid-pte:WuXingZiChanFeiZhuanLiJiShuLeiJiTanXiaoJianShaoXiangMuJinE1" label="无形资产非专利技术累计摊销减少项目金额1" mulRef="_GBC_e04514c8858e489490302ba7c2e1448a" unitRef="_GBC_5ac7324577934f838e3655199c980c1c" addr="T0R19C3S1_1" tagAction="1" formatStyle="Comma" appId="_GBC_0882d05501f84259b91efc5f2eae98cf" isSerialConcept="true" serialDirection="1"/>
      <m:item xlName="_GBC_d780250aa2144176a5374f9330f1e913" concept="clcid-pte:WuXingZiChanLeiJiTanXiaoJianShaoXiangMuJinE1" label="无形资产累计摊销减少项目金额1" mulRef="_GBC_e04514c8858e489490302ba7c2e1448a" unitRef="_GBC_5ac7324577934f838e3655199c980c1c" addr="T0R19C4S1_1" tagAction="1" formatStyle="Comma" tupleRef="clcid-pte:WuXingZiChanMingXi" appId="_GBC_0882d05501f84259b91efc5f2eae98cf" isSerialConcept="true" serialDirection="1"/>
      <m:item xlName="_GBC_ce3de533f641438f96cdd26f528b12f9" concept="clcid-pte:WuXingZiChanLeiJiTanXiaoJianShaoXiangMuHeJiJinE1" label="无形资产累计摊销减少项目合计金额1" mulRef="_GBC_e04514c8858e489490302ba7c2e1448a" unitRef="_GBC_5ac7324577934f838e3655199c980c1c" addr="T0R19C5S1_1" tagAction="1" formatStyle="Comma" appId="_GBC_0882d05501f84259b91efc5f2eae98cf" isSerialConcept="true" serialDirection="1">
        <m:complexRule comparator="Eq" title="无形资产累计摊销减少项目合计金额1" disabled="true" test=" $_GBC_987ef0db30024afcb4aface24a92b120 +  $_GBC_78c34a803d9e49378c074a1e28eb4c3a +  $_GBC_2382de0ed7df4e29a7e6cf61e594373f +  $_GBC_d780250aa2144176a5374f9330f1e913" id="Ce4f8990c78514bddb0fd316dcf50154a" serialType="2"/>
      </m:item>
      <m:placeholder xlName="_PLD_6b52e77de021464b99b9a2d55cb6dc5b" addr="T0R20C0S1_1"/>
      <m:item xlName="_GBC_6f116d958918434893fad1ebd9719d99" concept="clcid-pte:WuXingZiChanZhongTuDiShiYongQuanLeiJiTanXiao" label="无形资产中土地使用权累计摊销" mulRef="_GBC_e04514c8858e489490302ba7c2e1448a" unitRef="_GBC_5ac7324577934f838e3655199c980c1c" addr="T0R20C1S1_1" formatStyle="Comma" appId="_GBC_0882d05501f84259b91efc5f2eae98cf">
        <m:complexRule comparator="Eq" title="无形资产中土地使用权累计摊销" test=" $_GBC_ff9de93c3a1a4dc287c5d01fb920e1f8 +  $_GBC_03a73d1176364216bc1f71726d6bc318 -  $_GBC_1f5f0d0334bd483bb5d0cc3d38671c5c" id="C75d9a08305e14552ade5156a1f3aa5a5"/>
      </m:item>
      <m:item xlName="_GBC_a9ddf47d1dac49d295871268addadcee" concept="clcid-pte:WuXingZiChanZhongZhuanLiQuanLeiJiTanXiao" label="无形资产中专利权累计摊销" mulRef="_GBC_e04514c8858e489490302ba7c2e1448a" unitRef="_GBC_5ac7324577934f838e3655199c980c1c" addr="T0R20C2S1_1" formatStyle="Comma" appId="_GBC_0882d05501f84259b91efc5f2eae98cf">
        <m:complexRule comparator="Eq" title="无形资产中专利权累计摊销" test=" $_GBC_3c167241ce744930825e3aedf9aee145 +  $_GBC_6dd28179fe9043acabbbb791a72aed06 -  $_GBC_928a474b3889413e80dd28ebc9ce6625" id="C707f35badbb0468d95c9b781e9982c56"/>
      </m:item>
      <m:item xlName="_GBC_43c1f4f8b2a845629e187a80d6c7bb14" concept="clcid-pte:WuXingZiChanZhongFeiZhuanLiJiShuLeiJiTanXiao" label="无形资产中非专利技术累计摊销" mulRef="_GBC_e04514c8858e489490302ba7c2e1448a" unitRef="_GBC_5ac7324577934f838e3655199c980c1c" addr="T0R20C3S1_1" formatStyle="Comma" appId="_GBC_0882d05501f84259b91efc5f2eae98cf">
        <m:complexRule comparator="Eq" title="无形资产中非专利技术累计摊销" test=" $_GBC_140cd590f13e4bdcac61cf8b7ffe2eca +  $_GBC_c1336df70d684a37a00a0668d2744b9b -  $_GBC_b7026e195b5044a5a6144acd9956f1c6" id="C8325db4d4dfa48b287151c4b390f873a"/>
      </m:item>
      <m:item xlName="_GBC_bed0186bd4494e36959e9aaf728d4bfa" concept="clcid-pte:WuXingZiChanZhongLeiLeiJiTanXiaoShu" label="无形资产累计摊销数" mulRef="_GBC_e04514c8858e489490302ba7c2e1448a" unitRef="_GBC_5ac7324577934f838e3655199c980c1c" addr="T0R20C4S1_1" formatStyle="Comma" tupleRef="clcid-pte:WuXingZiChanMingXi" appId="_GBC_0882d05501f84259b91efc5f2eae98cf">
        <m:complexRule comparator="Eq" title="无形资产累计摊销数" test=" $_GBC_2359121a20ca4225a2448deab3264ff4 +  $_GBC_6d0fb5e1546e4bdbbe45afe320b93957 -  $_GBC_3892915ecbd7460b8484b6c43112c1d3" id="C2001fcfd5a16411894b24fa360dbf7ca"/>
      </m:item>
      <m:item xlName="_GBC_251a778336314e959b3e7c43bebf6e3c" concept="clcid-pte:WuXingZiChanLeiJiTanXiaoZhangMianYuE" label="无形资产累计折旧" mulRef="_GBC_e04514c8858e489490302ba7c2e1448a" unitRef="_GBC_5ac7324577934f838e3655199c980c1c" addr="T0R20C5S1_1" formatStyle="Comma" appId="_GBC_0882d05501f84259b91efc5f2eae98cf">
        <m:complexRule comparator="Eq" title="无形资产累计折旧" test=" $_GBC_8a7994a435d54ec0b3cdfd2352127809 +  $_GBC_27a3ac9901e7429796cc375a0e5f97cb -  $_GBC_176b59254baa47a29ecc0544c51d94ef" id="C16d768df98a04f05a4c9e8eb624e6d4b"/>
        <m:complexRule comparator="Eq" title="无形资产累计折旧横向合计" test=" $_GBC_6f116d958918434893fad1ebd9719d99 +  $_GBC_a9ddf47d1dac49d295871268addadcee +  $_GBC_43c1f4f8b2a845629e187a80d6c7bb14 +  $_GBC_bed0186bd4494e36959e9aaf728d4bfa" id="C4ab31b9c08af4b41ac056c7cd247a06b" serialType="1"/>
      </m:item>
      <m:placeholder xlName="_PLD_100d3bc56cc142c1b30c3998528f8af2" addr="T0R21C0S1_1"/>
      <m:placeholder xlName="_PLD_420f955ca82e4f579c5533e44e7054ff" addr="T0R22C0S1_1"/>
      <m:item xlName="_GBC_41074e17c85644af96895d6074aaf69d" concept="clcid-pte:WuXingZiChanZhongTuDiShiYongQuanJianZhiZhunBei" label="无形资产中土地使用权减值准备" periodRef="本期期初数" mulRef="_GBC_e04514c8858e489490302ba7c2e1448a" unitRef="_GBC_5ac7324577934f838e3655199c980c1c" addr="T0R22C1S1_1" formatStyle="Comma" appId="_GBC_0882d05501f84259b91efc5f2eae98cf"/>
      <m:item xlName="_GBC_681053ec27ca4af3bdabd9339c6a87dc" concept="clcid-pte:WuXingZiChanZhongZhuanLiQuanJianZhiZhunBei" label="无形资产中专利权减值准备" periodRef="本期期初数" mulRef="_GBC_e04514c8858e489490302ba7c2e1448a" unitRef="_GBC_5ac7324577934f838e3655199c980c1c" addr="T0R22C2S1_1" formatStyle="Comma" appId="_GBC_0882d05501f84259b91efc5f2eae98cf"/>
      <m:item xlName="_GBC_0625025fb5cf41e4b9d5bae783b54951" concept="clcid-pte:WuXingZiChanZhongFeiZhuanLiJiShuJianZhiZhunBei" label="无形资产中非专利技术减值准备" periodRef="本期期初数" mulRef="_GBC_e04514c8858e489490302ba7c2e1448a" unitRef="_GBC_5ac7324577934f838e3655199c980c1c" addr="T0R22C3S1_1" formatStyle="Comma" appId="_GBC_0882d05501f84259b91efc5f2eae98cf"/>
      <m:item xlName="_GBC_8bf8d7058c2442feb5904258e13f5de2" concept="clcid-pte:WuXingZiChanMingXiJianZhiZhunBei" label="无形资产明细-减值准备" periodRef="本期期初数" mulRef="_GBC_e04514c8858e489490302ba7c2e1448a" unitRef="_GBC_5ac7324577934f838e3655199c980c1c" addr="T0R22C4S1_1" formatStyle="Comma" tupleRef="clcid-pte:WuXingZiChanMingXi" appId="_GBC_0882d05501f84259b91efc5f2eae98cf"/>
      <m:item xlName="_GBC_fec3d18329a64758bb70120cc9606e1b" concept="clcid-pte:WuXingZiChanJianZhiZhunBeiHeJiYuE" label="无形资产减值准备合计余额" periodRef="本期期初数" mulRef="_GBC_e04514c8858e489490302ba7c2e1448a" unitRef="_GBC_5ac7324577934f838e3655199c980c1c" addr="T0R22C5S1_1" formatStyle="Comma" appId="_GBC_0882d05501f84259b91efc5f2eae98cf">
        <m:complexRule comparator="Eq" title="无形资产减值准备合计余额@本期期初数" test=" $_GBC_41074e17c85644af96895d6074aaf69d +  $_GBC_681053ec27ca4af3bdabd9339c6a87dc +  $_GBC_0625025fb5cf41e4b9d5bae783b54951 +  $_GBC_8bf8d7058c2442feb5904258e13f5de2" id="C9c0fd90905f5461b97b7faed5e10c2f5" serialType="1"/>
      </m:item>
      <m:placeholder xlName="_PLD_7efb2ccf9b504b529547ebac5b8ce675" addr="T0R23C0S1_1"/>
      <m:item xlName="_GBC_c605e611f07640248c7fa0b752866482" concept="clcid-pte:WuXingZiChanZhongTuDiShiYongQuanJianZhiZhunBeiBenQiZengJiaE" label="无形资产中土地使用权减值准备本期增加额" mulRef="_GBC_e04514c8858e489490302ba7c2e1448a" unitRef="_GBC_5ac7324577934f838e3655199c980c1c" addr="T0R23C1S1_1" formatStyle="Comma" appId="_GBC_0882d05501f84259b91efc5f2eae98cf">
        <m:complexRule comparator="Eq" title="无形资产中土地使用权减值准备本期增加额" test=" $_GBC_5cdf9bd2c18c43cba95dc7a8ea53688f +  $_GBC_12b871fdd57041608a822a4b7df86aab" id="C32526180606f42a8a2a2cddcdc18e78f" serialType="1"/>
      </m:item>
      <m:item xlName="_GBC_4f79dfb5768648dea82a4af56be07fb7" concept="clcid-pte:WuXingZiChanZhongZhuanLiQuanJianZhiZhunBeiBenQiZengJiaE" label="无形资产中专利权减值准备本期增加额" mulRef="_GBC_e04514c8858e489490302ba7c2e1448a" unitRef="_GBC_5ac7324577934f838e3655199c980c1c" addr="T0R23C2S1_1" formatStyle="Comma" appId="_GBC_0882d05501f84259b91efc5f2eae98cf">
        <m:complexRule comparator="Eq" title="无形资产中专利权减值准备本期增加额" test=" $_GBC_a9af315533ab42a9bf35516612a883d2 +  $_GBC_67beba23fec84cc8bdab0a5541f34763" id="C63e72ca01a8142bfa3fef703b5350189" serialType="1"/>
      </m:item>
      <m:item xlName="_GBC_ac5cd98a05704a2aabacee2b63e19991" concept="clcid-pte:WuXingZiChanZhongFeiZhuanLiJiShuJianZhiZhunBeiBenQiZengJiaE" label="无形资产中非专利技术减值准备本期增加额" mulRef="_GBC_e04514c8858e489490302ba7c2e1448a" unitRef="_GBC_5ac7324577934f838e3655199c980c1c" addr="T0R23C3S1_1" formatStyle="Comma" appId="_GBC_0882d05501f84259b91efc5f2eae98cf">
        <m:complexRule comparator="Eq" title="无形资产中非专利技术减值准备本期增加额" test=" $_GBC_fd2529b0a54e474094b03d0e58b0ca02 +  $_GBC_be68ae2985d7460081ee248b41918fc0" id="Cb066199f8e794badab15f93479e86a1f" serialType="1"/>
      </m:item>
      <m:item xlName="_GBC_e423d7b4643a465c87045822dfb9029c" concept="clcid-pte:WuXingZiChanMingXiJianZhiZhunBeiZengJia" label="无形资产明细-减值准备增加" mulRef="_GBC_e04514c8858e489490302ba7c2e1448a" unitRef="_GBC_5ac7324577934f838e3655199c980c1c" addr="T0R23C4S1_1" formatStyle="Comma" tupleRef="clcid-pte:WuXingZiChanMingXi" appId="_GBC_0882d05501f84259b91efc5f2eae98cf">
        <m:complexRule comparator="Eq" title="无形资产明细-减值准备增加" test=" $_GBC_3f16951381124fac8cc48f45b5c43f94 +  $_GBC_63b957dd4ae94826a33c2bd5cab283a2" id="C1bab9a4b077c4331bbafd3a2ea30bd3f" serialType="1"/>
      </m:item>
      <m:item xlName="_GBC_71af989262974f398f6090f42dbabfc1" concept="clcid-pte:WuXingZiChanJianZhiZhunBeiHeJiDeBenQiZengJiaShu" label="无形资产减值准备合计_本期增加数" mulRef="_GBC_e04514c8858e489490302ba7c2e1448a" unitRef="_GBC_5ac7324577934f838e3655199c980c1c" addr="T0R23C5S1_1" formatStyle="Comma" appId="_GBC_0882d05501f84259b91efc5f2eae98cf">
        <m:complexRule comparator="Eq" title="无形资产减值准备合计_本期增加数横向合计" test=" $_GBC_c605e611f07640248c7fa0b752866482 +  $_GBC_4f79dfb5768648dea82a4af56be07fb7 +  $_GBC_ac5cd98a05704a2aabacee2b63e19991 +  $_GBC_e423d7b4643a465c87045822dfb9029c" id="C102b13b758fd44c6ae2ff94a6855a82e" serialType="1"/>
        <m:complexRule comparator="Eq" title="无形资产减值准备合计_本期增加数" test=" $_GBC_c20aef741c894dbd85574008dfe89085 +  $_GBC_d898031c95ba4f18aa304513f88d8510" id="C6a53ae09d8d641939902196d89d7e942" serialType="1"/>
      </m:item>
      <m:placeholder xlName="_PLD_c13e2ead7b5f41d0891abcff97ced932" addr="T0R24C0S1_1"/>
      <m:item xlName="_GBC_5cdf9bd2c18c43cba95dc7a8ea53688f" concept="clcid-pte:JiTiDaoZhiDeTuDiShiYongQuanJianZhiZhunBeiZengJiaE" label="计提导致的土地使用权减值准备增加额" mulRef="_GBC_e04514c8858e489490302ba7c2e1448a" unitRef="_GBC_5ac7324577934f838e3655199c980c1c" addr="T0R24C1S1_1" formatStyle="Comma" appId="_GBC_0882d05501f84259b91efc5f2eae98cf"/>
      <m:item xlName="_GBC_a9af315533ab42a9bf35516612a883d2" concept="clcid-pte:JiTiDaoZhiDeZhuanLiQuanJianZhiZhunBeiZengJiaE" label="计提导致的专利权减值准备增加额" mulRef="_GBC_e04514c8858e489490302ba7c2e1448a" unitRef="_GBC_5ac7324577934f838e3655199c980c1c" addr="T0R24C2S1_1" formatStyle="Comma" appId="_GBC_0882d05501f84259b91efc5f2eae98cf"/>
      <m:item xlName="_GBC_fd2529b0a54e474094b03d0e58b0ca02" concept="clcid-pte:JiTiDaoZhiDeFeiZhuanLiJiShuJianZhiZhunBeiZengJiaE" label="计提导致的非专利技术减值准备增加额" mulRef="_GBC_e04514c8858e489490302ba7c2e1448a" unitRef="_GBC_5ac7324577934f838e3655199c980c1c" addr="T0R24C3S1_1" formatStyle="Comma" appId="_GBC_0882d05501f84259b91efc5f2eae98cf"/>
      <m:item xlName="_GBC_3f16951381124fac8cc48f45b5c43f94" concept="clcid-pte:WuXingZiChanMingXiJiTiDaoZhiJianZhiZhunBeiZengJia" label="无形资产明细-计提导致减值准备增加" mulRef="_GBC_e04514c8858e489490302ba7c2e1448a" unitRef="_GBC_5ac7324577934f838e3655199c980c1c" addr="T0R24C4S1_1" formatStyle="Comma" tupleRef="clcid-pte:WuXingZiChanMingXi" appId="_GBC_0882d05501f84259b91efc5f2eae98cf"/>
      <m:item xlName="_GBC_c20aef741c894dbd85574008dfe89085" concept="clcid-pte:JiTiDaoZhiDeWuXingZiChanJianZhiZhunBeiZengJiaE" label="计提导致的无形资产减值准备增加额" mulRef="_GBC_e04514c8858e489490302ba7c2e1448a" unitRef="_GBC_5ac7324577934f838e3655199c980c1c" addr="T0R24C5S1_1" formatStyle="Comma" appId="_GBC_0882d05501f84259b91efc5f2eae98cf">
        <m:complexRule comparator="Eq" title="计提导致的无形资产减值准备增加额" test=" $_GBC_5cdf9bd2c18c43cba95dc7a8ea53688f +  $_GBC_a9af315533ab42a9bf35516612a883d2 +  $_GBC_fd2529b0a54e474094b03d0e58b0ca02 +  $_GBC_3f16951381124fac8cc48f45b5c43f94" id="Cdd442a659f224f659748fea5e47d0a96" serialType="1"/>
      </m:item>
      <m:item xlName="_GBC_a07f98d210fd4636be10f5bfad0425cc" concept="clcid-pte:WuXingZiChanJianZhiZhunBeiZengJiaXiangMuMingCheng1" label="无形资产减值准备增加项目名称1" addr="T0R25C0S1_1" tagAction="1" formatStyle="Comma" appId="_GBC_0882d05501f84259b91efc5f2eae98cf" isSerialConcept="true" serialDirection="1" serialDefaultCount="2"/>
      <m:item xlName="_GBC_12b871fdd57041608a822a4b7df86aab" concept="clcid-pte:WuXingZiChanTuDiShiYongQuanJianZhiZhunBeiZengJiaXiangMuJinE1" label="无形资产土地使用权减值准备增加项目金额1" mulRef="_GBC_e04514c8858e489490302ba7c2e1448a" unitRef="_GBC_5ac7324577934f838e3655199c980c1c" addr="T0R25C1S1_1" tagAction="1" formatStyle="Comma" appId="_GBC_0882d05501f84259b91efc5f2eae98cf" isSerialConcept="true" serialDirection="1"/>
      <m:item xlName="_GBC_67beba23fec84cc8bdab0a5541f34763" concept="clcid-pte:WuXingZiChanZhuanLiQuanJianZhiZhunBeiZengJiaXiangMuJinE1" label="无形资产专利权减值准备增加项目金额1" mulRef="_GBC_e04514c8858e489490302ba7c2e1448a" unitRef="_GBC_5ac7324577934f838e3655199c980c1c" addr="T0R25C2S1_1" tagAction="1" formatStyle="Comma" appId="_GBC_0882d05501f84259b91efc5f2eae98cf" isSerialConcept="true" serialDirection="1"/>
      <m:item xlName="_GBC_be68ae2985d7460081ee248b41918fc0" concept="clcid-pte:WuXingZiChanFeiZhuanLiJiShuJianZhiZhunBeiZengJiaXiangMuJinE1" label="无形资产非专利技术减值准备增加项目金额1" mulRef="_GBC_e04514c8858e489490302ba7c2e1448a" unitRef="_GBC_5ac7324577934f838e3655199c980c1c" addr="T0R25C3S1_1" tagAction="1" formatStyle="Comma" appId="_GBC_0882d05501f84259b91efc5f2eae98cf" isSerialConcept="true" serialDirection="1"/>
      <m:item xlName="_GBC_63b957dd4ae94826a33c2bd5cab283a2" concept="clcid-pte:WuXingZiChanJianZhiZhunBeiZengJiaXiangMuJinE1" label="无形资产减值准备增加项目金额1" mulRef="_GBC_e04514c8858e489490302ba7c2e1448a" unitRef="_GBC_5ac7324577934f838e3655199c980c1c" addr="T0R25C4S1_1" tagAction="1" formatStyle="Comma" tupleRef="clcid-pte:WuXingZiChanMingXi" appId="_GBC_0882d05501f84259b91efc5f2eae98cf" isSerialConcept="true" serialDirection="1"/>
      <m:item xlName="_GBC_d898031c95ba4f18aa304513f88d8510" concept="clcid-pte:WuXingZiChanJianZhiZhunBeiZengJiaXiangMuHeJiJinE1" label="无形资产减值准备增加项目合计金额1" mulRef="_GBC_e04514c8858e489490302ba7c2e1448a" unitRef="_GBC_5ac7324577934f838e3655199c980c1c" addr="T0R25C5S1_1" tagAction="1" formatStyle="Comma" appId="_GBC_0882d05501f84259b91efc5f2eae98cf" isSerialConcept="true" serialDirection="1">
        <m:complexRule comparator="Eq" title="无形资产减值准备增加项目合计金额1" disabled="true" test=" $_GBC_12b871fdd57041608a822a4b7df86aab +  $_GBC_67beba23fec84cc8bdab0a5541f34763 +  $_GBC_be68ae2985d7460081ee248b41918fc0 +  $_GBC_63b957dd4ae94826a33c2bd5cab283a2" id="C8f1523440f484ee49045d6bdb8bf9fb1" serialType="2"/>
      </m:item>
      <m:placeholder xlName="_PLD_80ddaa0f1cfd432483c808ea875d3645" addr="T0R26C0S1_1"/>
      <m:item xlName="_GBC_036b5de3a2ea49acb82d4f4cfe433c90" concept="clcid-pte:WuXingZiChanZhongTuDiShiYongQuanJianZhiZhunBeiBenQiJianShaoE" label="无形资产中土地使用权减值准备本期减少额" mulRef="_GBC_e04514c8858e489490302ba7c2e1448a" unitRef="_GBC_5ac7324577934f838e3655199c980c1c" addr="T0R26C1S1_1" formatStyle="Comma" appId="_GBC_0882d05501f84259b91efc5f2eae98cf">
        <m:complexRule comparator="Eq" title="无形资产中土地使用权减值准备本期减少额" test=" $_GBC_e7743f8490004a958e95cdf37f9a26dc +  $_GBC_8b708dfdfdc84533925e407c20772767" id="C9d0265ac4c1b48529a8aac54f2119479" serialType="1"/>
      </m:item>
      <m:item xlName="_GBC_b42f702ba8ee469cb7a591f0cee4e02d" concept="clcid-pte:WuXingZiChanZhongZhuanLiQuanJianZhiZhunBeiBenQiJianShaoE" label="无形资产中专利权减值准备本期减少额" mulRef="_GBC_e04514c8858e489490302ba7c2e1448a" unitRef="_GBC_5ac7324577934f838e3655199c980c1c" addr="T0R26C2S1_1" formatStyle="Comma" appId="_GBC_0882d05501f84259b91efc5f2eae98cf">
        <m:complexRule comparator="Eq" title="无形资产中专利权减值准备本期减少额" test=" $_GBC_85039edc1a16489b8ca72b462ac097c8 +  $_GBC_3a32133737c54fadbe7b669399eade67" id="C96250d2b9a364c02be4ac7235af1b00e" serialType="1"/>
      </m:item>
      <m:item xlName="_GBC_e9b5b6f3e0e84e4cbbc9fab34e2a7821" concept="clcid-pte:WuXingZiChanZhongFeiZhuanLiJiShuJianZhiZhunBeiBenQiJianShaoE" label="无形资产中非专利技术减值准备本期减少额" mulRef="_GBC_e04514c8858e489490302ba7c2e1448a" unitRef="_GBC_5ac7324577934f838e3655199c980c1c" addr="T0R26C3S1_1" formatStyle="Comma" appId="_GBC_0882d05501f84259b91efc5f2eae98cf">
        <m:complexRule comparator="Eq" title="无形资产中非专利技术减值准备本期减少额" test=" $_GBC_f373486600d64cee998c204fe1e64336 +  $_GBC_622a25c623bd4d4597996470399d3fec" id="C20e6c704ded64e66bcd6fd479eeac582" serialType="1"/>
      </m:item>
      <m:item xlName="_GBC_bec46dab1f944018aca326e67b1af82c" concept="clcid-pte:WuXingZiChanMingXiJianZhiZhunBeiJianShao" label="无形资产明细-减值准备减少" mulRef="_GBC_e04514c8858e489490302ba7c2e1448a" unitRef="_GBC_5ac7324577934f838e3655199c980c1c" addr="T0R26C4S1_1" formatStyle="Comma" tupleRef="clcid-pte:WuXingZiChanMingXi" appId="_GBC_0882d05501f84259b91efc5f2eae98cf">
        <m:complexRule comparator="Eq" title="无形资产明细-减值准备减少" test=" $_GBC_1b8a47c675f048b88f59a185cfb0de0b +  $_GBC_ecce1bc844c84420aded1f54f86b612a" id="C016d299081a040838a713ecfa7768003" serialType="1"/>
      </m:item>
      <m:item xlName="_GBC_21a7356393e946bd9ce9dac8e5b006b0" concept="clcid-pte:WuXingZiChanJianZhiZhunBeiHeJiDeBenQiJianShaoShuHeJi" label="无形资产减值准备合计_本期减少数合计" mulRef="_GBC_e04514c8858e489490302ba7c2e1448a" unitRef="_GBC_5ac7324577934f838e3655199c980c1c" addr="T0R26C5S1_1" formatStyle="Comma" appId="_GBC_0882d05501f84259b91efc5f2eae98cf">
        <m:complexRule comparator="Eq" title="无形资产减值准备合计_本期减少数合计" test=" $_GBC_76c0d24040e54a9caed1afdc582dbb02 +  $_GBC_af92ed28d10c4c6ea5a7119a7ab5bcd4" id="C2d87d1ec0499454f94ecf282afe7d762" serialType="1"/>
      </m:item>
      <m:placeholder xlName="_PLD_2737286ed2dd4f3f95206ad01cd11070" addr="T0R27C0S1_1"/>
      <m:item xlName="_GBC_e7743f8490004a958e95cdf37f9a26dc" concept="clcid-pte:WuXingZiChanZhongChuZhiDaoZhiDeTuDiShiYongQuanJianShaoE" label="无形资产中处置导致的土地使用权减值准备减少额" mulRef="_GBC_e04514c8858e489490302ba7c2e1448a" unitRef="_GBC_5ac7324577934f838e3655199c980c1c" addr="T0R27C1S1_1" formatStyle="Comma" appId="_GBC_0882d05501f84259b91efc5f2eae98cf"/>
      <m:item xlName="_GBC_85039edc1a16489b8ca72b462ac097c8" concept="clcid-pte:ChuZhiDaoZhiDeZhuanLiQuanJianZhiZhunBeiJianShaoE" label="处置导致的专利权减值准备减少额" mulRef="_GBC_e04514c8858e489490302ba7c2e1448a" unitRef="_GBC_5ac7324577934f838e3655199c980c1c" addr="T0R27C2S1_1" formatStyle="Comma" appId="_GBC_0882d05501f84259b91efc5f2eae98cf"/>
      <m:item xlName="_GBC_f373486600d64cee998c204fe1e64336" concept="clcid-pte:ChuZhiDaoZhiDeFeiZhuanLiJiShuJianZhiZhunBeiJianShaoE" label="处置导致的非专利技术减值准备减少额" mulRef="_GBC_e04514c8858e489490302ba7c2e1448a" unitRef="_GBC_5ac7324577934f838e3655199c980c1c" addr="T0R27C3S1_1" formatStyle="Comma" appId="_GBC_0882d05501f84259b91efc5f2eae98cf"/>
      <m:item xlName="_GBC_1b8a47c675f048b88f59a185cfb0de0b" concept="clcid-pte:WuXingZiChanMingXiChuZhiDaoZhiJianZhiZhunBeiJianShao" label="无形资产明细-处置导致减值准备减少" mulRef="_GBC_e04514c8858e489490302ba7c2e1448a" unitRef="_GBC_5ac7324577934f838e3655199c980c1c" addr="T0R27C4S1_1" formatStyle="Comma" tupleRef="clcid-pte:WuXingZiChanMingXi" appId="_GBC_0882d05501f84259b91efc5f2eae98cf"/>
      <m:item xlName="_GBC_76c0d24040e54a9caed1afdc582dbb02" concept="clcid-pte:ChuZhiDaoZhiDeWuXingZiChanJianZhiZhunBeiJianShaoE" label="处置导致的无形资产减值准备减少额" mulRef="_GBC_e04514c8858e489490302ba7c2e1448a" unitRef="_GBC_5ac7324577934f838e3655199c980c1c" addr="T0R27C5S1_1" formatStyle="Comma" appId="_GBC_0882d05501f84259b91efc5f2eae98cf">
        <m:complexRule comparator="Eq" title="处置导致的无形资产减值准备减少额" test=" $_GBC_e7743f8490004a958e95cdf37f9a26dc +  $_GBC_85039edc1a16489b8ca72b462ac097c8 +  $_GBC_f373486600d64cee998c204fe1e64336 +  $_GBC_1b8a47c675f048b88f59a185cfb0de0b" id="C9548cdba202d4d30b2c6f3d509187f50" serialType="1"/>
      </m:item>
      <m:item xlName="_GBC_8272bbfdd02345b8ad44a88b8a41de10" concept="clcid-pte:WuXingZiChanJianZhiZhunBeiJianShaoXiangMuMingCheng1" label="无形资产减值准备减少项目名称1" addr="T0R28C0S1_1" tagAction="1" formatStyle="Comma" appId="_GBC_0882d05501f84259b91efc5f2eae98cf" isSerialConcept="true" serialDirection="1" serialDefaultCount="2"/>
      <m:item xlName="_GBC_8b708dfdfdc84533925e407c20772767" concept="clcid-pte:WuXingZiChanTuDiShiYongQuanJianZhiZhunBeiJianShaoXiangMuJinE1" label="无形资产土地使用权减值准备减少项目金额1" mulRef="_GBC_e04514c8858e489490302ba7c2e1448a" unitRef="_GBC_5ac7324577934f838e3655199c980c1c" addr="T0R28C1S1_1" tagAction="1" formatStyle="Comma" appId="_GBC_0882d05501f84259b91efc5f2eae98cf" isSerialConcept="true" serialDirection="1"/>
      <m:item xlName="_GBC_3a32133737c54fadbe7b669399eade67" concept="clcid-pte:WuXingZiChanZhuanLiQuanJianZhiZhunBeiJianShaoXiangMuJinE1" label="无形资产专利权减值准备减少项目金额1" mulRef="_GBC_e04514c8858e489490302ba7c2e1448a" unitRef="_GBC_5ac7324577934f838e3655199c980c1c" addr="T0R28C2S1_1" tagAction="1" formatStyle="Comma" appId="_GBC_0882d05501f84259b91efc5f2eae98cf" isSerialConcept="true" serialDirection="1"/>
      <m:item xlName="_GBC_622a25c623bd4d4597996470399d3fec" concept="clcid-pte:WuXingZiChanFeiZhuanLiJiShuJianZhiZhunBeiJianShaoXiangMuJinE1" label="无形资产非专利技术减值准备减少项目金额1" mulRef="_GBC_e04514c8858e489490302ba7c2e1448a" unitRef="_GBC_5ac7324577934f838e3655199c980c1c" addr="T0R28C3S1_1" tagAction="1" formatStyle="Comma" appId="_GBC_0882d05501f84259b91efc5f2eae98cf" isSerialConcept="true" serialDirection="1"/>
      <m:item xlName="_GBC_ecce1bc844c84420aded1f54f86b612a" concept="clcid-pte:WuXingZiChanJianZhiZhunBeiJianShaoXiangMuJinE1" label="无形资产减值准备减少项目金额1" mulRef="_GBC_e04514c8858e489490302ba7c2e1448a" unitRef="_GBC_5ac7324577934f838e3655199c980c1c" addr="T0R28C4S1_1" tagAction="1" formatStyle="Comma" tupleRef="clcid-pte:WuXingZiChanMingXi" appId="_GBC_0882d05501f84259b91efc5f2eae98cf" isSerialConcept="true" serialDirection="1"/>
      <m:item xlName="_GBC_af92ed28d10c4c6ea5a7119a7ab5bcd4" concept="clcid-pte:WuXingZiChanJianZhiZhunBeiJianShaoXiangMuHeJiJinE1" label="无形资产减值准备减少项目合计金额1" mulRef="_GBC_e04514c8858e489490302ba7c2e1448a" unitRef="_GBC_5ac7324577934f838e3655199c980c1c" addr="T0R28C5S1_1" tagAction="1" formatStyle="Comma" appId="_GBC_0882d05501f84259b91efc5f2eae98cf" isSerialConcept="true" serialDirection="1">
        <m:complexRule comparator="Eq" title="无形资产减值准备减少项目合计金额1" disabled="true" test=" $_GBC_8b708dfdfdc84533925e407c20772767 +  $_GBC_3a32133737c54fadbe7b669399eade67 +  $_GBC_622a25c623bd4d4597996470399d3fec +  $_GBC_ecce1bc844c84420aded1f54f86b612a" id="C884a9e4074d54616a16dcef729c6da0d" serialType="2"/>
      </m:item>
      <m:placeholder xlName="_PLD_4a919606beac465fb30f547b86305b00" addr="T0R29C0S1_1"/>
      <m:item xlName="_GBC_680e4cd14cf84434a8ef2a93b6430782" concept="clcid-pte:WuXingZiChanZhongTuDiShiYongQuanJianZhiZhunBei" label="无形资产中土地使用权减值准备" mulRef="_GBC_e04514c8858e489490302ba7c2e1448a" unitRef="_GBC_5ac7324577934f838e3655199c980c1c" addr="T0R29C1S1_1" formatStyle="Comma" appId="_GBC_0882d05501f84259b91efc5f2eae98cf">
        <m:complexRule comparator="Eq" title="无形资产中土地使用权减值准备" test=" $_GBC_41074e17c85644af96895d6074aaf69d +  $_GBC_c605e611f07640248c7fa0b752866482 -  $_GBC_036b5de3a2ea49acb82d4f4cfe433c90" id="C0de01b43d3804f2c8228661330016ae9"/>
      </m:item>
      <m:item xlName="_GBC_6b59932dfd83498ebd440e0c45287c5e" concept="clcid-pte:WuXingZiChanZhongZhuanLiQuanJianZhiZhunBei" label="无形资产中专利权减值准备" mulRef="_GBC_e04514c8858e489490302ba7c2e1448a" unitRef="_GBC_5ac7324577934f838e3655199c980c1c" addr="T0R29C2S1_1" formatStyle="Comma" appId="_GBC_0882d05501f84259b91efc5f2eae98cf">
        <m:complexRule comparator="Eq" title="无形资产中专利权减值准备" test=" $_GBC_681053ec27ca4af3bdabd9339c6a87dc +  $_GBC_4f79dfb5768648dea82a4af56be07fb7 -  $_GBC_b42f702ba8ee469cb7a591f0cee4e02d" id="Cacf8b651806c4a6c91fc0a256604e289"/>
      </m:item>
      <m:item xlName="_GBC_72ad8fb8de1f44ad951851f7caf8d11e" concept="clcid-pte:WuXingZiChanZhongFeiZhuanLiJiShuJianZhiZhunBei" label="无形资产中非专利技术减值准备" mulRef="_GBC_e04514c8858e489490302ba7c2e1448a" unitRef="_GBC_5ac7324577934f838e3655199c980c1c" addr="T0R29C3S1_1" formatStyle="Comma" appId="_GBC_0882d05501f84259b91efc5f2eae98cf">
        <m:complexRule comparator="Eq" title="无形资产中非专利技术减值准备" test=" $_GBC_0625025fb5cf41e4b9d5bae783b54951 +  $_GBC_ac5cd98a05704a2aabacee2b63e19991 -  $_GBC_e9b5b6f3e0e84e4cbbc9fab34e2a7821" id="C258dee171e534f20bba08d1212183084"/>
      </m:item>
      <m:item xlName="_GBC_c29328f8277d4090a45a447ef2c4ee17" concept="clcid-pte:WuXingZiChanMingXiJianZhiZhunBei" label="无形资产明细-减值准备" mulRef="_GBC_e04514c8858e489490302ba7c2e1448a" unitRef="_GBC_5ac7324577934f838e3655199c980c1c" addr="T0R29C4S1_1" formatStyle="Comma" tupleRef="clcid-pte:WuXingZiChanMingXi" appId="_GBC_0882d05501f84259b91efc5f2eae98cf">
        <m:complexRule comparator="Eq" title="无形资产明细-减值准备" test=" $_GBC_8bf8d7058c2442feb5904258e13f5de2 +  $_GBC_e423d7b4643a465c87045822dfb9029c -  $_GBC_bec46dab1f944018aca326e67b1af82c" id="C02d2ff240a0b4ade91007f7208bfed0c"/>
      </m:item>
      <m:item xlName="_GBC_f5c4a177f5c447ec81cf48caca6293aa" concept="clcid-pte:WuXingZiChanJianZhiZhunBeiHeJiYuE" label="无形资产减值准备合计余额" mulRef="_GBC_e04514c8858e489490302ba7c2e1448a" unitRef="_GBC_5ac7324577934f838e3655199c980c1c" addr="T0R29C5S1_1" formatStyle="Comma" appId="_GBC_0882d05501f84259b91efc5f2eae98cf">
        <m:complexRule comparator="Eq" title="无形资产减值准备合计余额" test=" $_GBC_fec3d18329a64758bb70120cc9606e1b +  $_GBC_71af989262974f398f6090f42dbabfc1 -  $_GBC_21a7356393e946bd9ce9dac8e5b006b0" id="C88bcd0ecb33846d9b52abd93e976b2b4"/>
        <m:complexRule comparator="Eq" title="无形资产减值准备合计余额横向合计" test=" $_GBC_680e4cd14cf84434a8ef2a93b6430782 +  $_GBC_6b59932dfd83498ebd440e0c45287c5e +  $_GBC_72ad8fb8de1f44ad951851f7caf8d11e +  $_GBC_c29328f8277d4090a45a447ef2c4ee17" id="C97ac7f0b03034b23aa8e2cc9674b10ae" serialType="1"/>
      </m:item>
      <m:placeholder xlName="_PLD_77aceef1b70d43c0846f7e8f529b7784" addr="T0R30C0S1_1"/>
      <m:placeholder xlName="_PLD_7b3cabd4024540c8bf9dc83469ecf7d4" addr="T0R31C0S1_1"/>
      <m:item xlName="_GBC_790d4169f7ba4560a06ed84c0370ecf1" concept="clcid-pte:WuXingZiChanZhongTuDiShiYongQuanZhangMianJiaZhi" label="无形资产中土地使用权账面价值" mulRef="_GBC_e04514c8858e489490302ba7c2e1448a" unitRef="_GBC_5ac7324577934f838e3655199c980c1c" addr="T0R31C1S1_1" formatStyle="Comma" appId="_GBC_0882d05501f84259b91efc5f2eae98cf"/>
      <m:item xlName="_GBC_2e911d18cd09418fb39abf2aec940ded" concept="clcid-pte:WuXingZiChanZhongZhuanLiQuanZhangMianJiaZhi" label="无形资产中专利权账面价值" mulRef="_GBC_e04514c8858e489490302ba7c2e1448a" unitRef="_GBC_5ac7324577934f838e3655199c980c1c" addr="T0R31C2S1_1" formatStyle="Comma" appId="_GBC_0882d05501f84259b91efc5f2eae98cf"/>
      <m:item xlName="_GBC_9bffcc18f3f24694ba9aafc81e5d3bd8" concept="clcid-pte:WuXingZiChanZhongFeiZhuanLiJiShuZhangMianJiaZhi" label="无形资产中非专利技术账面价值" mulRef="_GBC_e04514c8858e489490302ba7c2e1448a" unitRef="_GBC_5ac7324577934f838e3655199c980c1c" addr="T0R31C3S1_1" formatStyle="Comma" appId="_GBC_0882d05501f84259b91efc5f2eae98cf"/>
      <m:item xlName="_GBC_eb96de1cb8de4c89bf10eb5d9727f15d" concept="clcid-pte:WuXingZiChanMingXiZhangMianJiaZhi" label="无形资产明细-账面价值" mulRef="_GBC_e04514c8858e489490302ba7c2e1448a" unitRef="_GBC_5ac7324577934f838e3655199c980c1c" addr="T0R31C4S1_1" formatStyle="Comma" tupleRef="clcid-pte:WuXingZiChanMingXi" appId="_GBC_0882d05501f84259b91efc5f2eae98cf"/>
      <m:item xlName="_GBC_96304a2e34a246ebb80d3170cf011bd5" concept="clcid-pte:WuXingZiChan" label="无形资产" mulRef="_GBC_e04514c8858e489490302ba7c2e1448a" unitRef="_GBC_5ac7324577934f838e3655199c980c1c" addr="T0R31C5S1_1" formatStyle="Comma" appId="_GBC_0882d05501f84259b91efc5f2eae98cf">
        <m:complexRule comparator="Eq" title="无形资产" test=" $_GBC_790d4169f7ba4560a06ed84c0370ecf1 +  $_GBC_2e911d18cd09418fb39abf2aec940ded +  $_GBC_9bffcc18f3f24694ba9aafc81e5d3bd8 +  $_GBC_eb96de1cb8de4c89bf10eb5d9727f15d" id="C2b09cbd49db5463391b204218b2ca13c" serialType="1"/>
      </m:item>
      <m:placeholder xlName="_PLD_04cb9e53cf0d4d8b83570453ac161e64" addr="T0R32C0S1_1"/>
      <m:item xlName="_GBC_163ae315d6a24e13a92c5be89e0afae2" concept="clcid-pte:WuXingZiChanZhongTuDiShiYongQuanZhangMianJiaZhi" label="无形资产中土地使用权账面价值" periodRef="本期期初数" mulRef="_GBC_e04514c8858e489490302ba7c2e1448a" unitRef="_GBC_5ac7324577934f838e3655199c980c1c" addr="T0R32C1S1_1" formatStyle="Comma" appId="_GBC_0882d05501f84259b91efc5f2eae98cf"/>
      <m:item xlName="_GBC_14f5e52ed6db41f99bff7e23f8cbb7c9" concept="clcid-pte:WuXingZiChanZhongZhuanLiQuanZhangMianJiaZhi" label="无形资产中专利权账面价值" periodRef="本期期初数" mulRef="_GBC_e04514c8858e489490302ba7c2e1448a" unitRef="_GBC_5ac7324577934f838e3655199c980c1c" addr="T0R32C2S1_1" formatStyle="Comma" appId="_GBC_0882d05501f84259b91efc5f2eae98cf"/>
      <m:item xlName="_GBC_b270a58c48964831a474e63a112f36cb" concept="clcid-pte:WuXingZiChanZhongFeiZhuanLiJiShuZhangMianJiaZhi" label="无形资产中非专利技术账面价值" periodRef="本期期初数" mulRef="_GBC_e04514c8858e489490302ba7c2e1448a" unitRef="_GBC_5ac7324577934f838e3655199c980c1c" addr="T0R32C3S1_1" formatStyle="Comma" appId="_GBC_0882d05501f84259b91efc5f2eae98cf"/>
      <m:item xlName="_GBC_0b19a4c648ba480089434ba288096fad" concept="clcid-pte:WuXingZiChanMingXiZhangMianJiaZhi" label="无形资产明细-账面价值" periodRef="本期期初数" mulRef="_GBC_e04514c8858e489490302ba7c2e1448a" unitRef="_GBC_5ac7324577934f838e3655199c980c1c" addr="T0R32C4S1_1" formatStyle="Comma" tupleRef="clcid-pte:WuXingZiChanMingXi" appId="_GBC_0882d05501f84259b91efc5f2eae98cf"/>
      <m:item xlName="_GBC_a8688ea6652a4b4ca2c2198b23869c46" concept="clcid-pte:WuXingZiChan" label="无形资产" periodRef="本期期初数" mulRef="_GBC_e04514c8858e489490302ba7c2e1448a" unitRef="_GBC_5ac7324577934f838e3655199c980c1c" addr="T0R32C5S1_1" formatStyle="Comma" appId="_GBC_0882d05501f84259b91efc5f2eae98cf">
        <m:complexRule comparator="Eq" title="无形资产@本期期初数" test=" $_GBC_163ae315d6a24e13a92c5be89e0afae2 +  $_GBC_14f5e52ed6db41f99bff7e23f8cbb7c9 +  $_GBC_b270a58c48964831a474e63a112f36cb +  $_GBC_0b19a4c648ba480089434ba288096fad" id="Cc691145ea80e4f75ada62f4a4312a19e" serialType="1"/>
      </m:item>
      <m:item xlName="_GBC_4eb0f3140a674bd1899e2bd836d51bbb" concept="clcid-pte:TongGuoGongSiNeiBuYanFaXingChengDeWuXingZiChanZhanWuXingZiChanZhangMianJiaZhiDeBiLi" label="通过公司内部研发形成的无形资产占无形资产账面价值的比例" baseScale="0.01" formatStyle="Comma" appId="_GBC_0882d05501f84259b91efc5f2eae98cf"/>
      <m:virtualTuples>
        <m:virtualTuple id="dd625539-1bb3-40f2-b0d4-0097d3143f41" tupleRef="clcid-pte:WuXingZiChanMingXi" extendDirection="2" splitWidth="1"/>
      </m:virtualTuples>
    </m:section>
    <m:section xlName="_GBC_0daf5d1e7172402ab885ca5e5b78a389" title="未办妥产权证书的土地使用权情况：" rules="R2015_R11_013" helpId="112001072">
      <m:item xlName="_GBC_e8ff0641401a44f19fe64ad31dc15c58" concept="clcid-ci-ar:ShiFouShiYongWeiBanTuoChanQuanZhengShuDeTuDiShiYongQuanQingKuang" label="是否适用：未办妥产权证书的土地使用权情况" selectOptions="_buildInAppliance" controlType="CustomCheckbox" cRanges="{&quot;StartName&quot;:&quot;_GBC_e8ff0641401a44f19fe64ad31dc15c58&quot;,&quot;EndName&quot;:&quot;_GBC_b269d9f263af4e2e818042d4d0d45329&quot;,&quot;CType&quot;:1,&quot;DisplayText&quot;:null}"/>
      <m:item xlName="_GBC_6d7518e23389454d8aa2c26272e90959" concept="clcid-ci-ar:DanWeiCaiWuFuZhuWeiBanTuoChanQuanZhengShuDeTuDiShiYongQuanQingKuang" label="单位：财务附注：未办妥产权证书的土地使用权情况" selectOptions="_buildInScales" controlType="Combobox" cellType="Scale" appId="_GBC_e8ff0641401a44f19fe64ad31dc15c58"/>
      <m:item xlName="_GBC_27007ebda6594c4a9f41f6d4effd1d62" concept="clcid-ci-ar:BiZhongCaiWuFuZhuWeiBanTuoChanQuanZhengShuDeTuDiShiYongQuanQingKuang" label="币种：财务附注：未办妥产权证书的土地使用权情况" selectOptions="_buildInISO4217" controlType="Combobox" cellType="Measure" appId="_GBC_e8ff0641401a44f19fe64ad31dc15c58"/>
      <m:placeholder xlName="_PLD_4efb019848394f1b84d6df16ceb61a30" addr="T0R0C0S1_1"/>
      <m:placeholder xlName="_PLD_dd62230db4d04e378a4a470f0f0ef863" addr="T0R0C1S1_1"/>
      <m:placeholder xlName="_PLD_f1c8cdf0044a4f9199725c6ef167bb29" addr="T0R0C2S1_1"/>
      <m:tuple xlName="_GBC_109499b5d2b34860aa856972401fcb6e" concept="clcid-pte:WeiBanTuoChanQuanZhengShuDeTuDiShiYongQuanQingKuangMingXi" default_row="2" addr="T0R1C">
        <m:item xlName="_GBC_0e01d5862cdb40a0bc91f79a764ff544" concept="clcid-pte:WeiBanTuoChanQuanZhengShuDeTuDiShiYongQuanQingKuangMingXiXiangMuMingCheng" label="未办妥产权证书的土地使用权情况明细-项目名称" addr="T0R1C0S1_1" appId="_GBC_e8ff0641401a44f19fe64ad31dc15c58"/>
        <m:item xlName="_GBC_021dbca301304ed58aec4757eda986a3" concept="clcid-pte:WeiBanTuoChanQuanZhengShuDeTuDiShiYongQuanQingKuangMingXiWeiBanTuoChanQuanZhengShuZhangMianJiaZhi" label="未办妥产权证书的土地使用权情况明细-未办妥产权证书账面价值" mulRef="_GBC_6d7518e23389454d8aa2c26272e90959" unitRef="_GBC_27007ebda6594c4a9f41f6d4effd1d62" addr="T0R1C1S1_1" formatStyle="Comma" appId="_GBC_e8ff0641401a44f19fe64ad31dc15c58"/>
        <m:item xlName="_GBC_b269d9f263af4e2e818042d4d0d45329" concept="clcid-pte:WeiBanTuoChanQuanZhengShuDeTuDiShiYongQuanQingKuangMingXiWeiBanTuoChanQuanZhengShuDeYuanYin" label="未办妥产权证书的土地使用权情况明细-未办妥产权证书的原因" addr="T0R1C2S1_1" appId="_GBC_e8ff0641401a44f19fe64ad31dc15c58"/>
      </m:tuple>
    </m:section>
    <m:section xlName="_GBC_c2d02a8bb1274cb1bf0330030cc64229" title="无形资产说明" rules="R2015_R11_013" helpId="112001072">
      <m:item xlName="_GBC_dc3c687f3c2c457e9024304c14129458" concept="clcid-ci-ar:ShiFouShiYongWuXingZiChanDeShuoMing" label="是否适用：无形资产的说明" selectOptions="_buildInAppliance" controlType="CustomCheckbox" cRanges="{&quot;StartName&quot;:&quot;_GBC_dc3c687f3c2c457e9024304c14129458&quot;,&quot;EndName&quot;:&quot;_GBC_1f281f7116944d4bacd2204d25895376&quot;,&quot;CType&quot;:1,&quot;DisplayText&quot;:null}"/>
      <m:item xlName="_GBC_1f281f7116944d4bacd2204d25895376" concept="clcid-pte:WuXingZiChanDeShuoMing" label="无形资产的说明" appId="_GBC_dc3c687f3c2c457e9024304c14129458"/>
    </m:section>
    <m:section xlName="_GBC_41dea900f659431692960536981b1d8d" title="公司开发项目支出" helpId="112001073">
      <m:item xlName="_GBC_a62fb6e641b048a49c12233ba47c4939" concept="clcid-ci-ar:ShiFouShiYongKaiFaZhiChu" label="是否适用：开发支出" selectOptions="_buildInAppliance" controlType="CustomCheckbox" cRanges="{&quot;StartName&quot;:&quot;_GBC_a62fb6e641b048a49c12233ba47c4939&quot;,&quot;EndName&quot;:&quot;_GBC_796df64279a041b78d7ceed29a190cbe&quot;,&quot;CType&quot;:1,&quot;DisplayText&quot;:null}"/>
      <m:item xlName="_GBC_165fafab9dd34128b1db9906fb0f8041" concept="clcid-ci-ar:DanWeiCaiWuFuZhuGongSiNeiBuYanJiuKaiFaXiangMuZhiChu" label="单位：财务附注：公司内部研究开发项目支出" selectOptions="_buildInScales" controlType="Combobox" cellType="Scale" appId="_GBC_a62fb6e641b048a49c12233ba47c4939"/>
      <m:item xlName="_GBC_7f94dcb30ef74b2c8ce5d661f9d29e58" concept="clcid-ci-ar:BiZhongCaiWuFuZhuGongSiNeiBuYanJiuKaiFaXiangMuZhiChu" label="币种：财务附注：公司内部研究开发项目支出" selectOptions="_buildInISO4217" controlType="Combobox" cellType="Measure" appId="_GBC_a62fb6e641b048a49c12233ba47c4939"/>
      <m:placeholder xlName="_PLD_8084d7645b82454f8ae5ba39a9c3bebf" addr="T0R0C0S2_1"/>
      <m:placeholder xlName="_PLD_850767b977e54ef4801cc7e5a382a115" addr="T0R0C1S2_1"/>
      <m:placeholder xlName="_PLD_c25048af34674accb23d591157790b81" addr="T0R0C2S1_3"/>
      <m:placeholder xlName="_PLD_b9cbae5bd3f6433caa9035b55100654b" addr="T0R0C5S1_3"/>
      <m:placeholder xlName="_PLD_9a475c63fb714e6a8a977e4fedf97164" addr="T0R0C8S2_1"/>
      <m:placeholder xlName="_PLD_d6aff82c56dd4ef4afdf03372978ff3a" addr="T0R1C2S1_1"/>
      <m:placeholder xlName="_PLD_edaf3d2038314858896f72a3bbf5807c" addr="T0R1C3S1_1"/>
      <m:item xlName="_GBC_3dd1a6e64b524d9995cbdbb01a10ed46" concept="clcid-pte:KaiFaZhiChuBenQiZengJiaEXiangMuMingCheng1" label="开发支出本期增加额项目名称1" addr="T0R1C4S1_1" appId="_GBC_a62fb6e641b048a49c12233ba47c4939" isSerialConcept="true" serialDirection="2" splitWidth="1" isCaption="true"/>
      <m:placeholder xlName="_PLD_c2216fc5dc1147a4ab9206675d7567d7" addr="T0R1C5S1_1"/>
      <m:placeholder xlName="_PLD_2e751aeabbe741609bdaa128f3d34de6" addr="T0R1C6S1_1"/>
      <m:item xlName="_GBC_ea6bb0b5d1364a6999980f96f731ec9a" concept="clcid-pte:KaiFaZhiChuBenQiJianShaoEXiangMuMingCheng1" label="开发支出本期减少额项目名称1" addr="T0R1C7S1_1" appId="_GBC_a62fb6e641b048a49c12233ba47c4939" isSerialConcept="true" serialDirection="2" splitWidth="1" isCaption="true"/>
      <m:tuple xlName="_GBC_12a9b93b72934528bfa3c11027367082" concept="clcid-pte:GongSiKaiFaXiangMuZhiChuMingXi" default_row="2" addr="T0R2C">
        <m:item xlName="_GBC_19bb28649ab742c1b0d3b90081f924b3" concept="clcid-pte:GongSiKaiFaXiangMuZhiChuMingXiXiangMu" label="公司开发项目支出明细-项目" addr="T0R2C0S1_1" cellConvertType="1" appId="_GBC_a62fb6e641b048a49c12233ba47c4939"/>
        <m:item xlName="_GBC_d758f8e17f974f2a9b57ca5992258f3e" concept="clcid-pte:GongSiKaiFaXiangMuZhiChuMingXiJinE" label="公司开发项目支出明细-金额" periodRef="本期期初数" mulRef="_GBC_165fafab9dd34128b1db9906fb0f8041" unitRef="_GBC_7f94dcb30ef74b2c8ce5d661f9d29e58" addr="T0R2C1S1_1" formatStyle="Comma" appId="_GBC_a62fb6e641b048a49c12233ba47c4939"/>
        <m:item xlName="_GBC_9228d132177c4b6a833a4350bc18573a" concept="clcid-pte:GongSiKaiFaXiangMuZhiChuMingXiNeiBuKaiFaZhiChu" label="公司开发项目支出明细-内部开发支出" mulRef="_GBC_165fafab9dd34128b1db9906fb0f8041" unitRef="_GBC_7f94dcb30ef74b2c8ce5d661f9d29e58" addr="T0R2C2S1_1" formatStyle="Comma" appId="_GBC_a62fb6e641b048a49c12233ba47c4939"/>
        <m:item xlName="_GBC_37da052e705647d494f81423ce93ce86" concept="clcid-pte:GongSiKaiFaXiangMuZhiChuMingXiQiTaZengJiaE" label="公司开发项目支出明细-其他增加额" mulRef="_GBC_165fafab9dd34128b1db9906fb0f8041" unitRef="_GBC_7f94dcb30ef74b2c8ce5d661f9d29e58" addr="T0R2C3S1_1" formatStyle="Comma" appId="_GBC_a62fb6e641b048a49c12233ba47c4939"/>
        <m:item xlName="_GBC_93295d218c9d4841aba7f00af95ac3a4" concept="clcid-pte:KaiFaZhiChuBenQiZengJiaEXiangMuMingChengJinE1" label="开发支出本期增加额项目名称金额1" mulRef="_GBC_165fafab9dd34128b1db9906fb0f8041" unitRef="_GBC_7f94dcb30ef74b2c8ce5d661f9d29e58" addr="T0R2C4S1_1" formatStyle="Comma" appId="_GBC_a62fb6e641b048a49c12233ba47c4939" isSerialConcept="true" serialDirection="2"/>
        <m:item xlName="_GBC_43a635f23cf74a518d3491d941e128d8" concept="clcid-pte:GongSiKaiFaXiangMuZhiChuMingXiQueRenWeiWuXingZiChan" label="公司开发项目支出明细-确认为无形资产" mulRef="_GBC_165fafab9dd34128b1db9906fb0f8041" unitRef="_GBC_7f94dcb30ef74b2c8ce5d661f9d29e58" addr="T0R2C5S1_1" formatStyle="Comma" appId="_GBC_a62fb6e641b048a49c12233ba47c4939"/>
        <m:item xlName="_GBC_e6f1f3bf60c64c13b871f7184997b694" concept="clcid-pte:GongSiKaiFaXiangMuZhiChuMingXiJiRuDangQiSunYi" label="公司开发项目支出明细-计入当期损益" mulRef="_GBC_165fafab9dd34128b1db9906fb0f8041" unitRef="_GBC_7f94dcb30ef74b2c8ce5d661f9d29e58" addr="T0R2C6S1_1" formatStyle="Comma" appId="_GBC_a62fb6e641b048a49c12233ba47c4939"/>
        <m:item xlName="_GBC_b792857e3fea4627a20bca7e83353a74" concept="clcid-pte:KaiFaZhiChuBenQiJianShaoEXiangMuMingChengJinE1" label="开发支出本期减少额项目名称金额1" mulRef="_GBC_165fafab9dd34128b1db9906fb0f8041" unitRef="_GBC_7f94dcb30ef74b2c8ce5d661f9d29e58" addr="T0R2C7S1_1" formatStyle="Comma" appId="_GBC_a62fb6e641b048a49c12233ba47c4939" isSerialConcept="true" serialDirection="2"/>
        <m:item xlName="_GBC_846d7ca9baa54d6da1a77321683c3346" concept="clcid-pte:GongSiKaiFaXiangMuZhiChuMingXiJinE" label="公司开发项目支出明细-金额" mulRef="_GBC_165fafab9dd34128b1db9906fb0f8041" unitRef="_GBC_7f94dcb30ef74b2c8ce5d661f9d29e58" addr="T0R2C8S1_1" formatStyle="Comma" appId="_GBC_a62fb6e641b048a49c12233ba47c4939">
          <m:complexRule comparator="Eq" title="公司开发项目支出明细-金额" test=" $_GBC_d758f8e17f974f2a9b57ca5992258f3e +  $_GBC_9228d132177c4b6a833a4350bc18573a +  $_GBC_37da052e705647d494f81423ce93ce86 +  $_GBC_93295d218c9d4841aba7f00af95ac3a4 -  $_GBC_e6f1f3bf60c64c13b871f7184997b694 -  $_GBC_43a635f23cf74a518d3491d941e128d8 -  $_GBC_b792857e3fea4627a20bca7e83353a74" id="C24fb92f0d4f844a0836526fda8ee45ce" serialType="1"/>
        </m:item>
      </m:tuple>
      <m:placeholder xlName="_PLD_b7de6b17dda7496b8f95850a42d021b9" addr="T0R4C0S1_1"/>
      <m:item xlName="_GBC_7c2deba22f6546a4a2a3adec81f6d3ef" concept="clcid-pte:GongSiJiRuYanJiuKaiFaXiangMuZhiChuHeJi" label="公司计入研究开发项目支出合计" periodRef="本期期初数" mulRef="_GBC_165fafab9dd34128b1db9906fb0f8041" unitRef="_GBC_7f94dcb30ef74b2c8ce5d661f9d29e58" addr="T0R4C1S1_1" formatStyle="Comma" appId="_GBC_a62fb6e641b048a49c12233ba47c4939">
        <m:complexRule comparator="Eq" title="公司计入研究开发项目支出合计@本期期初数" test=" $_GBC_d758f8e17f974f2a9b57ca5992258f3e" id="C73941948897f47cdb8793427f0d6c73d"/>
      </m:item>
      <m:item xlName="_GBC_449a99b0e9eb419c98eba3b7dd6151b8" concept="clcid-pte:GongSiJiRuYanJiuKaiFaXiangMuZhiChuHeJiZengJiaE" label="公司计入研究开发项目支出合计（增加额）" mulRef="_GBC_165fafab9dd34128b1db9906fb0f8041" unitRef="_GBC_7f94dcb30ef74b2c8ce5d661f9d29e58" addr="T0R4C2S1_1" formatStyle="Comma" appId="_GBC_a62fb6e641b048a49c12233ba47c4939">
        <m:complexRule comparator="Eq" title="公司计入研究开发项目支出合计（增加额）" test=" $_GBC_9228d132177c4b6a833a4350bc18573a" id="C80af492629ce45af9bc4df943fce8001"/>
      </m:item>
      <m:item xlName="_GBC_4a9b65a8816246fdb6777b8f51e4f09f" concept="clcid-pte:GongSiJiRuYanJiuKaiFaXiangMuZhiChuHeJiQiTaZengJiaE" label="公司计入研究开发项目支出合计（其他增加额）" mulRef="_GBC_165fafab9dd34128b1db9906fb0f8041" unitRef="_GBC_7f94dcb30ef74b2c8ce5d661f9d29e58" addr="T0R4C3S1_1" formatStyle="Comma" appId="_GBC_a62fb6e641b048a49c12233ba47c4939">
        <m:complexRule comparator="Eq" title="公司计入研究开发项目支出合计（其他增加额）" test=" $_GBC_37da052e705647d494f81423ce93ce86" id="C3f79e319b10c4afd9e2abe58c40c65c6"/>
      </m:item>
      <m:item xlName="_GBC_7560826900a842f3ab160314402f893d" concept="clcid-pte:KaiFaZhiChuBenQiZengJiaEXiangMuMingChengJinEHeJi1" label="开发支出本期增加额项目名称金额合计1" mulRef="_GBC_165fafab9dd34128b1db9906fb0f8041" unitRef="_GBC_7f94dcb30ef74b2c8ce5d661f9d29e58" addr="T0R4C4S1_1" formatStyle="Comma" appId="_GBC_a62fb6e641b048a49c12233ba47c4939" isSerialConcept="true" serialDirection="2">
        <m:complexRule comparator="Eq" title="开发支出本期增加额项目名称金额合计1" disabled="true" test=" $_GBC_93295d218c9d4841aba7f00af95ac3a4" id="C1f5343fcc85d44788a13c76d80ef1178" serialType="2"/>
      </m:item>
      <m:item xlName="_GBC_4ae242e84f014135baf0320a8a66b384" concept="clcid-pte:GongSiJiRuYanJiuKaiFaXiangMuZhiChuQueRenWeiWuXingZiChanHeJiZhuanChuE" label="公司计入研究开发项目支出确认为无形资产合计（转出额）" mulRef="_GBC_165fafab9dd34128b1db9906fb0f8041" unitRef="_GBC_7f94dcb30ef74b2c8ce5d661f9d29e58" addr="T0R4C5S1_1" formatStyle="Comma" appId="_GBC_a62fb6e641b048a49c12233ba47c4939">
        <m:complexRule comparator="Eq" title="公司计入研究开发项目支出确认为无形资产合计（转出额）" test=" $_GBC_43a635f23cf74a518d3491d941e128d8" id="Cbb9a4d199b6545e887795602b9ca799b"/>
      </m:item>
      <m:item xlName="_GBC_3d00f98a840a45c09305938d9fd87ca0" concept="clcid-pte:GongSiJiRuYanJiuKaiFaXiangMuZhiChuJiRuDangQiSunYiHeJiZhuanChuE" label="公司计入研究开发项目支出计入当期损益合计（转出额）" mulRef="_GBC_165fafab9dd34128b1db9906fb0f8041" unitRef="_GBC_7f94dcb30ef74b2c8ce5d661f9d29e58" addr="T0R4C6S1_1" formatStyle="Comma" appId="_GBC_a62fb6e641b048a49c12233ba47c4939">
        <m:complexRule comparator="Eq" title="公司计入研究开发项目支出计入当期损益合计（转出额）" test=" $_GBC_e6f1f3bf60c64c13b871f7184997b694" id="Cc08e3f3c5bc14db3ad8a1552ca26848a"/>
      </m:item>
      <m:item xlName="_GBC_b5e4741d0ca14fe49bda2bb492cfa2d7" concept="clcid-pte:KaiFaZhiChuBenQiJianShaoEXiangMuMingChengJinEHeJi1" label="开发支出本期减少额项目名称金额合计1" mulRef="_GBC_165fafab9dd34128b1db9906fb0f8041" unitRef="_GBC_7f94dcb30ef74b2c8ce5d661f9d29e58" addr="T0R4C7S1_1" formatStyle="Comma" appId="_GBC_a62fb6e641b048a49c12233ba47c4939" isSerialConcept="true" serialDirection="2">
        <m:complexRule comparator="Eq" title="开发支出本期减少额项目名称金额合计1" disabled="true" test=" $_GBC_b792857e3fea4627a20bca7e83353a74" id="C13edcad1e35b45d999a6353d31dba89b" serialType="2"/>
      </m:item>
      <m:item xlName="_GBC_eb73dec1ec7d4687835ece35f36de690" concept="clcid-pte:GongSiJiRuYanJiuKaiFaXiangMuZhiChuHeJi" label="公司计入研究开发项目支出合计" mulRef="_GBC_165fafab9dd34128b1db9906fb0f8041" unitRef="_GBC_7f94dcb30ef74b2c8ce5d661f9d29e58" addr="T0R4C8S1_1" formatStyle="Comma" appId="_GBC_a62fb6e641b048a49c12233ba47c4939">
        <m:complexRule comparator="Eq" title="公司计入研究开发项目支出合计" test=" $_GBC_846d7ca9baa54d6da1a77321683c3346" id="C544e1c25f7df4bb88411f94815e5d614"/>
        <m:complexRule comparator="Eq" title="公司计入研究开发项目支出合计横向合计" test=" $_GBC_7c2deba22f6546a4a2a3adec81f6d3ef +  $_GBC_449a99b0e9eb419c98eba3b7dd6151b8 +  $_GBC_4a9b65a8816246fdb6777b8f51e4f09f +  $_GBC_7560826900a842f3ab160314402f893d -  $_GBC_4ae242e84f014135baf0320a8a66b384 -  $_GBC_3d00f98a840a45c09305938d9fd87ca0 -  $_GBC_b5e4741d0ca14fe49bda2bb492cfa2d7" id="Cbdc7bd5a3ce1448993dc25495822ec72" serialType="1"/>
      </m:item>
      <m:item xlName="_GBC_796df64279a041b78d7ceed29a190cbe" concept="clcid-pte:GongSiNeiBuYanJiuKaiFaXiangMuDeShuoMing" label="公司内部研究开发项目的说明" appId="_GBC_a62fb6e641b048a49c12233ba47c4939"/>
    </m:section>
    <m:section xlName="_SEC_0d13253f4b004ecdaea8960cfb92cf26" title="商誉账面原值">
      <m:item xlName="_GBC_e2a869d440cf4b7f9f592f3e22cea85d" concept="clcid-ci-ar:ShiFouShiYongShangYuZhangMianYuanZhi" label="是否适用：商誉账面原值" selectOptions="_buildInAppliance" controlType="CustomCheckbox" cRanges="{&quot;StartName&quot;:&quot;_GBC_e2a869d440cf4b7f9f592f3e22cea85d&quot;,&quot;EndName&quot;:&quot;_GBC_eb6bb4b9169a415e983637807b907223&quot;,&quot;CType&quot;:1,&quot;DisplayText&quot;:null}"/>
      <m:item xlName="_GBC_4797b6084eb24fe79f24d181640f3283" concept="clcid-ci-ar:DanWeiCaiWuFuZhuShangYu" label="单位：财务附注：商誉" selectOptions="_buildInScales" controlType="Combobox" cellType="Scale" appId="_GBC_e2a869d440cf4b7f9f592f3e22cea85d"/>
      <m:item xlName="_GBC_7cd9149d9bea4da8974b80b14b1c0e44" concept="clcid-ci-ar:BiZhongCaiWuFuZhuShangYu" label="币种：财务附注：商誉" selectOptions="_buildInISO4217" controlType="Combobox" cellType="Measure" appId="_GBC_e2a869d440cf4b7f9f592f3e22cea85d"/>
      <m:placeholder xlName="_PLD_b248be5460bf4bb299c4579815256238" addr="T0R0C0S2_1"/>
      <m:placeholder xlName="_PLD_a25f69a57b624da887f74ab27a20ba0b" addr="T0R0C1S2_1"/>
      <m:placeholder xlName="_PLD_c348d952dc8b438289897d2014b7d310" addr="T0R0C2S1_2"/>
      <m:placeholder xlName="_PLD_5560c6ea7650430a8c304ee861d4bc25" addr="T0R0C4S1_2"/>
      <m:placeholder xlName="_PLD_075635973edd4d94a997d2ed78e56d8b" addr="T0R0C6S2_1"/>
      <m:placeholder xlName="_PLD_1553ab7e041e4cd0bdd59c30d303dc84" addr="T0R1C2S1_1"/>
      <m:item xlName="_GBC_c14b754516e24efd9115d33500cd04df" concept="clcid-pte:ShangYuZhangMianYuanZhiBenQiZengJiaEXiangMuMingCheng1" label="商誉账面原值本期增加额项目名称1" addr="T0R1C3S1_1" appId="_GBC_e2a869d440cf4b7f9f592f3e22cea85d" isSerialConcept="true" serialDirection="2" isCaption="true"/>
      <m:placeholder xlName="_PLD_52f6eef41a0247f195c94af6823a4b67" addr="T0R1C4S1_1"/>
      <m:item xlName="_GBC_5ba36aaca8144cb8979636970f4c6ae3" concept="clcid-pte:ShangYuZhangMianYuanZhiBenQiJianShaoEXiangMuMingCheng1" label="商誉账面原值本期减少额项目名称1" addr="T0R1C5S1_1" appId="_GBC_e2a869d440cf4b7f9f592f3e22cea85d" isSerialConcept="true" serialDirection="2" isCaption="true"/>
      <m:tuple xlName="_GBC_916c5c3712e44d7db6b8c9e16bcf5865" concept="clcid-pte:ShangYuMingXi" default_row="2" addr="T0R2C">
        <m:item xlName="_GBC_aaf4252b1f824ac5a3ff5cee8bf7b35d" concept="clcid-pte:ShangYuMingXiXiangMu" label="商誉明细－项目" addr="T0R2C0S1_1" appId="_GBC_e2a869d440cf4b7f9f592f3e22cea85d"/>
        <m:item xlName="_GBC_d09583c777a04446b4bd80c52b786358" concept="clcid-pte:ShangYuMingXiJinE" label="商誉明细－金额" periodRef="本期期初数" mulRef="_GBC_4797b6084eb24fe79f24d181640f3283" unitRef="_GBC_7cd9149d9bea4da8974b80b14b1c0e44" addr="T0R2C1S1_1" formatStyle="Comma" appId="_GBC_e2a869d440cf4b7f9f592f3e22cea85d"/>
        <m:item xlName="_GBC_8fc20f1dae86434a91a5bcc41634469e" concept="clcid-pte:ShangYuZhangMianYuanZhiMingXiQiYeHeBingXingChengDeBenQiZengJia" label="商誉账面原值明细-企业合并形成的本期增加" mulRef="_GBC_4797b6084eb24fe79f24d181640f3283" unitRef="_GBC_7cd9149d9bea4da8974b80b14b1c0e44" addr="T0R2C2S1_1" formatStyle="Comma" appId="_GBC_e2a869d440cf4b7f9f592f3e22cea85d"/>
        <m:item xlName="_GBC_d41daf330c7b45c3a931028b4ea490ea" concept="clcid-pte:ShangYuZhangMianYuanZhiBenQiZengJiaEXiangMuMingChengJinE1" label="商誉账面原值本期增加额项目名称金额1" mulRef="_GBC_4797b6084eb24fe79f24d181640f3283" unitRef="_GBC_7cd9149d9bea4da8974b80b14b1c0e44" addr="T0R2C3S1_1" formatStyle="Comma" appId="_GBC_e2a869d440cf4b7f9f592f3e22cea85d" isSerialConcept="true" serialDirection="2"/>
        <m:item xlName="_GBC_fbe1974502db476c81a8b9260e95f421" concept="clcid-pte:ShangYuZhangMianYuanZhiMingXiChuZhiDaoZhiDeBenQiJianShao" label="商誉账面原值明细-处置导致的本期减少" mulRef="_GBC_4797b6084eb24fe79f24d181640f3283" unitRef="_GBC_7cd9149d9bea4da8974b80b14b1c0e44" addr="T0R2C4S1_1" formatStyle="Comma" appId="_GBC_e2a869d440cf4b7f9f592f3e22cea85d"/>
        <m:item xlName="_GBC_f6d5d0ab21774131a822d28f2034e1b6" concept="clcid-pte:ShangYuZhangMianYuanZhiBenQiJianShaoEXiangMuMingChengJinE1" label="商誉账面原值本期减少额项目名称金额1" mulRef="_GBC_4797b6084eb24fe79f24d181640f3283" unitRef="_GBC_7cd9149d9bea4da8974b80b14b1c0e44" addr="T0R2C5S1_1" formatStyle="Comma" appId="_GBC_e2a869d440cf4b7f9f592f3e22cea85d" isSerialConcept="true" serialDirection="2"/>
        <m:item xlName="_GBC_37769d1de91143f2a95167a586f7eafa" concept="clcid-pte:ShangYuMingXiJinE" label="商誉明细－金额" mulRef="_GBC_4797b6084eb24fe79f24d181640f3283" unitRef="_GBC_7cd9149d9bea4da8974b80b14b1c0e44" addr="T0R2C6S1_1" formatStyle="Comma" appId="_GBC_e2a869d440cf4b7f9f592f3e22cea85d">
          <m:complexRule comparator="Eq" title="商誉明细－金额" test=" $_GBC_d09583c777a04446b4bd80c52b786358 +  $_GBC_8fc20f1dae86434a91a5bcc41634469e +  $_GBC_d41daf330c7b45c3a931028b4ea490ea -  $_GBC_fbe1974502db476c81a8b9260e95f421 -  $_GBC_f6d5d0ab21774131a822d28f2034e1b6" id="C591acef140dd44aa9b09e73486089aa7" serialType="1"/>
        </m:item>
      </m:tuple>
      <m:placeholder xlName="_PLD_e45c45262afc495e90b6033bd7a17ec4" addr="T0R4C0S1_1"/>
      <m:item xlName="_GBC_88959dc89c8d4c829a2e80f80a2b5c24" concept="clcid-pte:ShangYuYuE" label="商誉余额" periodRef="本期期初数" mulRef="_GBC_4797b6084eb24fe79f24d181640f3283" unitRef="_GBC_7cd9149d9bea4da8974b80b14b1c0e44" addr="T0R4C1S1_1" formatStyle="Comma" appId="_GBC_e2a869d440cf4b7f9f592f3e22cea85d">
        <m:complexRule comparator="Eq" title="商誉余额@本期期初数" test=" $_GBC_d09583c777a04446b4bd80c52b786358" id="C99714893acf54ffaaa5763ccdac40149"/>
      </m:item>
      <m:item xlName="_GBC_a9809745492c4b5ba3c4a90690d91c49" concept="clcid-pte:QiYeHeBingXingChengDeShangYuZhangMianYuanZhiBenQiZengJiaHeJi" label="企业合并形成的商誉账面原值本期增加合计" mulRef="_GBC_4797b6084eb24fe79f24d181640f3283" unitRef="_GBC_7cd9149d9bea4da8974b80b14b1c0e44" addr="T0R4C2S1_1" formatStyle="Comma" appId="_GBC_e2a869d440cf4b7f9f592f3e22cea85d">
        <m:complexRule comparator="Eq" title="企业合并形成的商誉账面原值本期增加合计" test=" $_GBC_8fc20f1dae86434a91a5bcc41634469e" id="C6d418e93927144f0a90485e53f13c05a"/>
      </m:item>
      <m:item xlName="_GBC_8677bda70bdb4789baa605b60dd9d77d" concept="clcid-pte:ShangYuZhangMianYuanZhiBenQiZengJiaEXiangMuMingChengJinEHeJi1" label="商誉账面原值本期增加额项目名称金额合计1" mulRef="_GBC_4797b6084eb24fe79f24d181640f3283" unitRef="_GBC_7cd9149d9bea4da8974b80b14b1c0e44" addr="T0R4C3S1_1" formatStyle="Comma" appId="_GBC_e2a869d440cf4b7f9f592f3e22cea85d" isSerialConcept="true" serialDirection="2">
        <m:complexRule comparator="Eq" title="商誉账面原值本期增加额项目名称金额合计1" disabled="true" test=" $_GBC_d41daf330c7b45c3a931028b4ea490ea" id="C1868ad29bf344a0ea9e1d5994e0ba213" serialType="2"/>
      </m:item>
      <m:item xlName="_GBC_78df440f75bd48bab3068b4c72bb5a31" concept="clcid-pte:ChuZhiDaoZhiDeShangYuZhangMianYuanZhiBenQiJianShaoHeJi" label="处置导致的商誉账面原值本期减少合计" mulRef="_GBC_4797b6084eb24fe79f24d181640f3283" unitRef="_GBC_7cd9149d9bea4da8974b80b14b1c0e44" addr="T0R4C4S1_1" formatStyle="Comma" appId="_GBC_e2a869d440cf4b7f9f592f3e22cea85d">
        <m:complexRule comparator="Eq" title="处置导致的商誉账面原值本期减少合计" test=" $_GBC_fbe1974502db476c81a8b9260e95f421" id="C322538abab584a59a4ebce64779d6b59"/>
      </m:item>
      <m:item xlName="_GBC_0cf2ad41fa69468098f5986639dfc2df" concept="clcid-pte:ShangYuZhangMianYuanZhiBenQiJianShaoEXiangMuMingChengJinEHeJi1" label="商誉账面原值本期减少额项目名称金额合计1" mulRef="_GBC_4797b6084eb24fe79f24d181640f3283" unitRef="_GBC_7cd9149d9bea4da8974b80b14b1c0e44" addr="T0R4C5S1_1" formatStyle="Comma" appId="_GBC_e2a869d440cf4b7f9f592f3e22cea85d" isSerialConcept="true" serialDirection="2">
        <m:complexRule comparator="Eq" title="商誉账面原值本期减少额项目名称金额合计1" disabled="true" test=" $_GBC_f6d5d0ab21774131a822d28f2034e1b6" id="Cf3031d902d10467590d4f79a7d01dc85" serialType="2"/>
      </m:item>
      <m:item xlName="_GBC_eb6bb4b9169a415e983637807b907223" concept="clcid-pte:ShangYuYuE" label="商誉余额" mulRef="_GBC_4797b6084eb24fe79f24d181640f3283" unitRef="_GBC_7cd9149d9bea4da8974b80b14b1c0e44" addr="T0R4C6S1_1" formatStyle="Comma" appId="_GBC_e2a869d440cf4b7f9f592f3e22cea85d">
        <m:complexRule comparator="Eq" title="商誉余额" test=" $_GBC_37769d1de91143f2a95167a586f7eafa" id="C704306ef5834463e9d7d1372dbf32c53"/>
        <m:complexRule comparator="Eq" title="商誉余额横向合计" test=" $_GBC_88959dc89c8d4c829a2e80f80a2b5c24 +  $_GBC_a9809745492c4b5ba3c4a90690d91c49 +  $_GBC_8677bda70bdb4789baa605b60dd9d77d -  $_GBC_78df440f75bd48bab3068b4c72bb5a31 -  $_GBC_0cf2ad41fa69468098f5986639dfc2df" id="Cff705ad0ec194bc791fdaec789a614f0" serialType="1"/>
      </m:item>
    </m:section>
    <m:section xlName="_SEC_6fe538077d4746d4ba51a5610b4bd03b" title="商誉减值准备">
      <m:item xlName="_GBC_743c9a20b5c043668f28664eb36decf8" concept="clcid-ci-ar:ShiFouShiYongShangYuJianZhiZhunBei" label="是否适用：商誉减值准备" selectOptions="_buildInAppliance" controlType="CustomCheckbox" cRanges="{&quot;StartName&quot;:&quot;_GBC_743c9a20b5c043668f28664eb36decf8&quot;,&quot;EndName&quot;:&quot;_GBC_404f20773b8f4c5da6dcced81bc6c86a&quot;,&quot;CType&quot;:1,&quot;DisplayText&quot;:null}"/>
      <m:item xlName="_GBC_81f58baed09c46a3bf97830ea3adfd98" concept="clcid-ci-ar:DanWeiCaiWuFuZhuShangYuJianZhiZhunBei" label="单位：财务附注：商誉减值准备" selectOptions="_buildInScales" controlType="Combobox" cellType="Scale" appId="_GBC_743c9a20b5c043668f28664eb36decf8"/>
      <m:item xlName="_GBC_67c9edd209fb4492bdb662edf79314f5" concept="clcid-ci-ar:BiZhongCaiWuFuZhuShangYuJianZhiZhunBei" label="币种：财务附注：商誉减值准备" selectOptions="_buildInISO4217" controlType="Combobox" cellType="Measure" appId="_GBC_743c9a20b5c043668f28664eb36decf8"/>
      <m:placeholder xlName="_PLD_d1a517071536478f9f7187c625e93763" addr="T0R0C0S2_1"/>
      <m:placeholder xlName="_PLD_a1ccc5eef6a041ffadb4dd09605c43f5" addr="T0R0C1S2_1"/>
      <m:placeholder xlName="_PLD_3dc4c2fbed8640a6acf5f19dd5073967" addr="T0R0C2S1_2"/>
      <m:placeholder xlName="_PLD_36789e440c5d4e70969760ec1adf11d6" addr="T0R0C4S1_2"/>
      <m:placeholder xlName="_PLD_b4bf3be5aa6c45bea85b5ae1c027be47" addr="T0R0C6S2_1"/>
      <m:placeholder xlName="_PLD_fe6ebe6f95b64eeabc2aef23beee858c" addr="T0R1C2S1_1"/>
      <m:item xlName="_GBC_65d86954675d4b4f82e4fbc3d21ace02" concept="clcid-pte:ShangYuJianZhiZhunBeiBenQiZengJiaEXiangMuMingCheng1" label="商誉减值准备本期增加额项目名称1" addr="T0R1C3S1_1" appId="_GBC_743c9a20b5c043668f28664eb36decf8" isSerialConcept="true" serialDirection="2" isCaption="true"/>
      <m:placeholder xlName="_PLD_aaaa2d8a1fae404e9bab86b79225c7e3" addr="T0R1C4S1_1"/>
      <m:item xlName="_GBC_aa48e25b6e1f4be9b1276fe009dabf0e" concept="clcid-pte:ShangYuJianZhiZhunBeiBenQiJianShaoEXiangMuMingCheng1" label="商誉减值准备本期减少额项目名称1" addr="T0R1C5S1_1" appId="_GBC_743c9a20b5c043668f28664eb36decf8" isSerialConcept="true" serialDirection="2" isCaption="true"/>
      <m:tuple xlName="_GBC_98340a952ec045d0bd3e053903c6a9f6" concept="clcid-pte:ShangYuJianZhiZhunBeiMingXi" default_row="2" addr="T0R2C">
        <m:item xlName="_GBC_9cbe6cb901264cab9a56e6e3c2e51437" concept="clcid-pte:ShangYuJianZhiZhunBeiMingXiBeiTouZiDanWeiMingChengHuoXingChengShangYuDeShiXiang" label="商誉减值准备明细-被投资单位名称或形成商誉的事项" addr="T0R2C0S1_1" appId="_GBC_743c9a20b5c043668f28664eb36decf8"/>
        <m:item xlName="_GBC_d8da81b955dd43bea69fb4c1af4d3117" concept="clcid-pte:ShangYuJianZhiZhunBeiMingXiJinE" label="商誉减值准备明细-金额" periodRef="本期期初数" mulRef="_GBC_81f58baed09c46a3bf97830ea3adfd98" unitRef="_GBC_67c9edd209fb4492bdb662edf79314f5" addr="T0R2C1S1_1" formatStyle="Comma" appId="_GBC_743c9a20b5c043668f28664eb36decf8"/>
        <m:item xlName="_GBC_0b70d6ada103421094e2401ddcf7cbd5" concept="clcid-pte:ShangYuJianZhiZhunBeiMingXiJiTiDaoZhiBenQiZengJia" label="商誉减值准备明细-计提导致本期增加" mulRef="_GBC_81f58baed09c46a3bf97830ea3adfd98" unitRef="_GBC_67c9edd209fb4492bdb662edf79314f5" addr="T0R2C2S1_1" formatStyle="Comma" appId="_GBC_743c9a20b5c043668f28664eb36decf8"/>
        <m:item xlName="_GBC_d4174637d5494788942ea0e269a45ed0" concept="clcid-pte:ShangYuJianZhiZhunBeiBenQiZengJiaEXiangMuMingChengJinE1" label="商誉减值准备本期增加额项目名称金额1" mulRef="_GBC_81f58baed09c46a3bf97830ea3adfd98" unitRef="_GBC_67c9edd209fb4492bdb662edf79314f5" addr="T0R2C3S1_1" formatStyle="Comma" appId="_GBC_743c9a20b5c043668f28664eb36decf8" isSerialConcept="true" serialDirection="2"/>
        <m:item xlName="_GBC_6e60acd9ae91441b9b512b16cc0e986d" concept="clcid-pte:ShangYuJianZhiZhunBeiMingXiChuZhiDaoZhiDeBenQiJianShao" label="商誉减值准备明细-处置导致的本期减少" mulRef="_GBC_81f58baed09c46a3bf97830ea3adfd98" unitRef="_GBC_67c9edd209fb4492bdb662edf79314f5" addr="T0R2C4S1_1" formatStyle="Comma" appId="_GBC_743c9a20b5c043668f28664eb36decf8"/>
        <m:item xlName="_GBC_e023562122364d4a89c97b0bc4c098fc" concept="clcid-pte:ShangYuJianZhiZhunBeiBenQiJianShaoEXiangMuMingChengJinE1" label="商誉减值准备本期减少额项目名称金额1" mulRef="_GBC_81f58baed09c46a3bf97830ea3adfd98" unitRef="_GBC_67c9edd209fb4492bdb662edf79314f5" addr="T0R2C5S1_1" formatStyle="Comma" appId="_GBC_743c9a20b5c043668f28664eb36decf8" isSerialConcept="true" serialDirection="2"/>
        <m:item xlName="_GBC_db0bab26772a4121a32f11c07833d385" concept="clcid-pte:ShangYuJianZhiZhunBeiMingXiJinE" label="商誉减值准备明细-金额" mulRef="_GBC_81f58baed09c46a3bf97830ea3adfd98" unitRef="_GBC_67c9edd209fb4492bdb662edf79314f5" addr="T0R2C6S1_1" formatStyle="Comma" appId="_GBC_743c9a20b5c043668f28664eb36decf8">
          <m:complexRule comparator="Eq" title="商誉减值准备明细-金额" test=" $_GBC_d8da81b955dd43bea69fb4c1af4d3117 +  $_GBC_0b70d6ada103421094e2401ddcf7cbd5 +  $_GBC_d4174637d5494788942ea0e269a45ed0 -  $_GBC_6e60acd9ae91441b9b512b16cc0e986d -  $_GBC_e023562122364d4a89c97b0bc4c098fc" id="C55a2b2375e7549a3b152383d3ea1cb53" serialType="1"/>
        </m:item>
      </m:tuple>
      <m:placeholder xlName="_PLD_8723cba7d5f5468da42c45507923f6de" addr="T0R4C0S1_1"/>
      <m:item xlName="_GBC_af6b6ac3115f4542a6be1c64e4416c8d" concept="clcid-pte:ShangYuJianZhiZhunBei" label="商誉减值准备" periodRef="本期期初数" mulRef="_GBC_81f58baed09c46a3bf97830ea3adfd98" unitRef="_GBC_67c9edd209fb4492bdb662edf79314f5" addr="T0R4C1S1_1" formatStyle="Comma" appId="_GBC_743c9a20b5c043668f28664eb36decf8">
        <m:complexRule comparator="Eq" title="商誉减值准备@本期期初数" test=" $_GBC_d8da81b955dd43bea69fb4c1af4d3117" id="C8544de8fc4e448fab94af842ffd9d127"/>
      </m:item>
      <m:item xlName="_GBC_a4b935e1b66240978222cdcb5c218c4f" concept="clcid-pte:ShangYuJianZhiZhunBeiJiTiBenQiZengJiaHeJi" label="商誉减值准备计提本期增加合计" mulRef="_GBC_81f58baed09c46a3bf97830ea3adfd98" unitRef="_GBC_67c9edd209fb4492bdb662edf79314f5" addr="T0R4C2S1_1" formatStyle="Comma" appId="_GBC_743c9a20b5c043668f28664eb36decf8">
        <m:complexRule comparator="Eq" title="商誉减值准备计提本期增加合计" test=" $_GBC_0b70d6ada103421094e2401ddcf7cbd5" id="C787194c0f99e43ec907cd177c346ae7b"/>
      </m:item>
      <m:item xlName="_GBC_55bfac9717d64e6f9773b74e6012f83f" concept="clcid-pte:ShangYuJianZhiZhunBeiBenQiZengJiaEXiangMuMingChengJinEHeJi1" label="商誉减值准备本期增加额项目名称金额合计1" mulRef="_GBC_81f58baed09c46a3bf97830ea3adfd98" unitRef="_GBC_67c9edd209fb4492bdb662edf79314f5" addr="T0R4C3S1_1" formatStyle="Comma" appId="_GBC_743c9a20b5c043668f28664eb36decf8" isSerialConcept="true" serialDirection="2">
        <m:complexRule comparator="Eq" title="商誉减值准备本期增加额项目名称金额合计1" disabled="true" test=" $_GBC_d4174637d5494788942ea0e269a45ed0" id="Cf6768f9e63ad4aca82ae7602936f705a" serialType="2"/>
      </m:item>
      <m:item xlName="_GBC_b88f95660f1b4e16a0b15f41522958a2" concept="clcid-pte:ChuZhiDaoZhiDeShangYuJianZhiZhunBeiBenQiJianShaoHeJi" label="处置导致的商誉减值准备本期减少合计" mulRef="_GBC_81f58baed09c46a3bf97830ea3adfd98" unitRef="_GBC_67c9edd209fb4492bdb662edf79314f5" addr="T0R4C4S1_1" formatStyle="Comma" appId="_GBC_743c9a20b5c043668f28664eb36decf8">
        <m:complexRule comparator="Eq" title="处置导致的商誉减值准备本期减少合计" test=" $_GBC_6e60acd9ae91441b9b512b16cc0e986d" id="Cb218d96d6d264502a16fd03e79e7c52a"/>
      </m:item>
      <m:item xlName="_GBC_e2314c7d33404e10805b0367b5e7a9db" concept="clcid-pte:ShangYuJianZhiZhunBeiBenQiJianShaoEXiangMuMingChengJinEHeJi1" label="商誉减值准备本期减少额项目名称金额合计1" mulRef="_GBC_81f58baed09c46a3bf97830ea3adfd98" unitRef="_GBC_67c9edd209fb4492bdb662edf79314f5" addr="T0R4C5S1_1" formatStyle="Comma" appId="_GBC_743c9a20b5c043668f28664eb36decf8" isSerialConcept="true" serialDirection="2">
        <m:complexRule comparator="Eq" title="商誉减值准备本期减少额项目名称金额合计1" disabled="true" test=" $_GBC_e023562122364d4a89c97b0bc4c098fc" id="Cfa1bc29ab3ef4add87e02a1b74e0fd0b" serialType="2"/>
      </m:item>
      <m:item xlName="_GBC_404f20773b8f4c5da6dcced81bc6c86a" concept="clcid-pte:ShangYuJianZhiZhunBei" label="商誉减值准备" mulRef="_GBC_81f58baed09c46a3bf97830ea3adfd98" unitRef="_GBC_67c9edd209fb4492bdb662edf79314f5" addr="T0R4C6S1_1" formatStyle="Comma" appId="_GBC_743c9a20b5c043668f28664eb36decf8">
        <m:complexRule comparator="Eq" title="商誉减值准备" test=" $_GBC_db0bab26772a4121a32f11c07833d385" id="C804bf4ab276e4f3890ff36ce7b22a530"/>
        <m:complexRule comparator="Eq" title="商誉减值准备横向合计" test=" $_GBC_af6b6ac3115f4542a6be1c64e4416c8d +  $_GBC_a4b935e1b66240978222cdcb5c218c4f +  $_GBC_55bfac9717d64e6f9773b74e6012f83f -  $_GBC_b88f95660f1b4e16a0b15f41522958a2 -  $_GBC_e2314c7d33404e10805b0367b5e7a9db" id="C9563e6b460704220a07ccbfa039d7d65" serialType="1"/>
      </m:item>
    </m:section>
    <m:section xlName="_SEC_d66ac36383ac40138e90a678094ff1a4" title="商誉所在资产组或资产组组合的相关信息">
      <m:item xlName="_GBC_a40a76b7512a45b79930a13f56d19c6d" concept="clcid-ci-ar:ShiFouShiYongShangYuSuoZaiZiChanZuHuoZiChanZuZuHeDeXiangGuanXinXi" label="是否适用：商誉所在资产组或资产组组合的相关信息" selectOptions="_buildInAppliance" controlType="CustomCheckbox" cRanges="[{&quot;StartName&quot;:&quot;_GBC_a40a76b7512a45b79930a13f56d19c6d&quot;,&quot;EndName&quot;:&quot;_GBC_1ac8119b0b2242f092f3a42ca82cb1af&quot;,&quot;CType&quot;:1}]"/>
      <m:item xlName="_GBC_1ac8119b0b2242f092f3a42ca82cb1af" concept="clcid-pte:ShangYuSuoZaiZiChanZuHuoZiChanZuZuHeDeXiangGuanXinXi" label="商誉所在资产组或资产组组合的相关信息" appId="_GBC_a40a76b7512a45b79930a13f56d19c6d"/>
    </m:section>
    <m:section xlName="_SEC_6b753aafd7bf484f982e228cd4c0dde3" title="说明商誉减值测试过程、关键参数（例如预计未来现金流量现值时的...">
      <m:item xlName="_GBC_3e5dd9e04d73479f9a70e665366f9d11" concept="clcid-ci-ar:ShiFouShiYongShuoMingShangYuJianZhiCeShiGuoChengCanShuJiShangYuJianZhiSunShiDeQueRenFangFa" label="是否适用：说明商誉减值测试过程、参数及商誉减值损失的确认方法" selectOptions="_buildInAppliance" controlType="CustomCheckbox" cRanges="{&quot;StartName&quot;:&quot;_GBC_3e5dd9e04d73479f9a70e665366f9d11&quot;,&quot;EndName&quot;:&quot;_GBC_4c83760c9f4e43ccbd87360399af577c&quot;,&quot;CType&quot;:1,&quot;DisplayText&quot;:null}"/>
      <m:item xlName="_GBC_4c83760c9f4e43ccbd87360399af577c" concept="clcid-pte:ShangYuDeShuoMing" label="商誉的说明" appId="_GBC_3e5dd9e04d73479f9a70e665366f9d11"/>
    </m:section>
    <m:section xlName="_SEC_fd017e302f8c4189978aac3dc8581f09" title="商誉减值测试的影响">
      <m:item xlName="_GBC_24d2ea865aff4dda9d4cd3c8b1eb71cc" concept="clcid-ci-ar:ShiFouShiYongShangYuJianZhiCeShiDeYingXiang" label="是否适用：商誉减值测试的影响" selectOptions="_buildInAppliance" controlType="CustomCheckbox" cRanges="[{&quot;StartName&quot;:&quot;_GBC_24d2ea865aff4dda9d4cd3c8b1eb71cc&quot;,&quot;EndName&quot;:&quot;_GBC_7659b75cae2748628ee4ba495e4c3c49&quot;,&quot;CType&quot;:1}]"/>
      <m:item xlName="_GBC_7659b75cae2748628ee4ba495e4c3c49" concept="clcid-pte:ShangYuJianZhiCeShiDeYingXiangShuoMing" label="商誉减值测试的影响说明" appId="_GBC_24d2ea865aff4dda9d4cd3c8b1eb71cc"/>
    </m:section>
    <m:section xlName="_SEC_fd9f0a21b0c44e29ba84ddb7842fe32a" title="其他说明">
      <m:item xlName="_GBC_6b2c2377a4a6486b9a4ba845bd2192f6" concept="clcid-ci-ar:ShiFouShiYongShangYuQiTaXuYaoShuoMingDeShiXiang" label="是否适用：商誉其他需要说明的事项" selectOptions="_buildInAppliance" controlType="CustomCheckbox" cRanges="{&quot;StartName&quot;:&quot;_GBC_6b2c2377a4a6486b9a4ba845bd2192f6&quot;,&quot;EndName&quot;:&quot;_GBC_d8d9e39e2ef648d5a2c7e1d4d5582914&quot;,&quot;CType&quot;:1,&quot;DisplayText&quot;:null}"/>
      <m:item xlName="_GBC_d8d9e39e2ef648d5a2c7e1d4d5582914" concept="clcid-pte:ShangYuQiTaXuYaoShuoMingDeShiXiang" label="商誉其他需要说明的事项" appId="_GBC_6b2c2377a4a6486b9a4ba845bd2192f6"/>
    </m:section>
    <m:section xlName="_GBC_c7f901dce89846cbbbab6c51c3213a6f" title="长期待摊费用" convertSummaryRule="NoConvert" helpId="112001076">
      <m:item xlName="_GBC_9bec8f9516c84b19bae2fb8a7292063f" concept="clcid-ci-ar:ShiFouShiYongChangQiDaiTanFeiYong" label="是否适用：长期待摊费用" selectOptions="_buildInAppliance" controlType="CustomCheckbox" cRanges="{&quot;StartName&quot;:&quot;_GBC_9bec8f9516c84b19bae2fb8a7292063f&quot;,&quot;EndName&quot;:&quot;_GBC_5b31c466b60f433faaa37d443fae74be&quot;,&quot;CType&quot;:1,&quot;DisplayText&quot;:null}"/>
      <m:item xlName="_GBC_aa74f67aac374e54a7768a8434ab0c08" concept="clcid-ci-ar:DanWeiCaiWuFuZhuChangQiDaiTanFeiYong" label="单位：财务附注：长期待摊费用" selectOptions="_buildInScales" controlType="Combobox" cellType="Scale" appId="_GBC_9bec8f9516c84b19bae2fb8a7292063f"/>
      <m:item xlName="_GBC_767b9b701cf8425c9d588b0398c42e90" concept="clcid-ci-ar:BiZhongCaiWuFuZhuChangQiDaiTanFeiYong" label="币种：财务附注：长期待摊费用" selectOptions="_buildInISO4217" controlType="Combobox" cellType="Measure" appId="_GBC_9bec8f9516c84b19bae2fb8a7292063f"/>
      <m:placeholder xlName="_PLD_20e665ce568e49a5aa1c687384d611b3" addr="T0R0C0S1_1"/>
      <m:placeholder xlName="_PLD_e3597a5d560b48d59d41cd3dc72b1a3a" addr="T0R0C1S1_1"/>
      <m:placeholder xlName="_PLD_2edffaf8b24b489e97f2d4a6a5ec5711" addr="T0R0C2S1_1"/>
      <m:placeholder xlName="_PLD_f6bc6a07519e4f6cab5889776aa0ecbd" addr="T0R0C3S1_1"/>
      <m:placeholder xlName="_PLD_f987bb682c974016898d37b474ce35c6" addr="T0R0C4S1_1"/>
      <m:placeholder xlName="_PLD_dab738986fbc4bd7b942faf77cb39605" addr="T0R0C5S1_1"/>
      <m:tuple xlName="_GBC_68b20aeabd8c4ce8bf5df712206206af" concept="clcid-pte:ChangQiDaiTanFeiYongMingXi" default_row="2" addr="T0R1C">
        <m:item xlName="_GBC_9d6a51ba248a47c6b91b0f261c6fa8e8" concept="clcid-pte:ChangQiDaiTanFeiYongZhongLei" label="长期待摊费用种类" addr="T0R1C0S1_1" cellConvertType="1" appId="_GBC_9bec8f9516c84b19bae2fb8a7292063f"/>
        <m:item xlName="_GBC_b14929afd0c342748c1d8243fc4910e3" concept="clcid-pte:ChangQiDaiTanFeiYongZhongLeiJinE" label="长期待摊费用金额" periodRef="本期期初数" mulRef="_GBC_aa74f67aac374e54a7768a8434ab0c08" unitRef="_GBC_767b9b701cf8425c9d588b0398c42e90" addr="T0R1C1S1_1" formatStyle="Comma" appId="_GBC_9bec8f9516c84b19bae2fb8a7292063f"/>
        <m:item xlName="_GBC_6cfec0ad72e54555b4cdcf2f307a967d" concept="clcid-pte:ChangQiDaiTanFeiYongMingXiZengJiaE" label="长期待摊费用明细-增加额" mulRef="_GBC_aa74f67aac374e54a7768a8434ab0c08" unitRef="_GBC_767b9b701cf8425c9d588b0398c42e90" addr="T0R1C2S1_1" formatStyle="Comma" appId="_GBC_9bec8f9516c84b19bae2fb8a7292063f"/>
        <m:item xlName="_GBC_b6335fca5217411c9a43c8a8e2701c2c" concept="clcid-pte:ChangQiDaiTanFeiYongMingXiTanXiaoE" label="长期待摊费用明细-摊销额" mulRef="_GBC_aa74f67aac374e54a7768a8434ab0c08" unitRef="_GBC_767b9b701cf8425c9d588b0398c42e90" addr="T0R1C3S1_1" formatStyle="Comma" appId="_GBC_9bec8f9516c84b19bae2fb8a7292063f"/>
        <m:item xlName="_GBC_55008f38074e4da889e976190b207a58" concept="clcid-pte:ChangQiDaiTanFeiYongMingXiQiTaJianShaoE" label="长期待摊费用明细-其他减少额" mulRef="_GBC_aa74f67aac374e54a7768a8434ab0c08" unitRef="_GBC_767b9b701cf8425c9d588b0398c42e90" addr="T0R1C4S1_1" formatStyle="Comma" appId="_GBC_9bec8f9516c84b19bae2fb8a7292063f"/>
        <m:item xlName="_GBC_1c7338f7a840495e8bd2bbc845120f74" concept="clcid-pte:ChangQiDaiTanFeiYongZhongLeiJinE" label="长期待摊费用金额" mulRef="_GBC_aa74f67aac374e54a7768a8434ab0c08" unitRef="_GBC_767b9b701cf8425c9d588b0398c42e90" addr="T0R1C5S1_1" formatStyle="Comma" appId="_GBC_9bec8f9516c84b19bae2fb8a7292063f">
          <m:complexRule comparator="Eq" title="长期待摊费用金额" test=" $_GBC_b14929afd0c342748c1d8243fc4910e3 +  $_GBC_6cfec0ad72e54555b4cdcf2f307a967d -  $_GBC_b6335fca5217411c9a43c8a8e2701c2c -  $_GBC_55008f38074e4da889e976190b207a58" id="C08a403d618944193a89631eaf6dac222"/>
        </m:item>
      </m:tuple>
      <m:placeholder xlName="_PLD_bd1d6a8046344014824f3cd45e5475be" addr="T0R3C0S1_1"/>
      <m:item xlName="_GBC_9f923e6126f248f8a5b31c087b99143f" concept="clcid-pte:ChangQiDaiTanFeiYong" label="长期待摊费用" periodRef="本期期初数" mulRef="_GBC_aa74f67aac374e54a7768a8434ab0c08" unitRef="_GBC_767b9b701cf8425c9d588b0398c42e90" addr="T0R3C1S1_1" formatStyle="Comma" appId="_GBC_9bec8f9516c84b19bae2fb8a7292063f">
        <m:complexRule comparator="Eq" title="长期待摊费用@本期期初数" test=" $_GBC_b14929afd0c342748c1d8243fc4910e3" id="C0358d22727ff46a8b09440c77df8879f"/>
      </m:item>
      <m:item xlName="_GBC_81b95c62a8e94a25b10f37c8c97019c6" concept="clcid-pte:ChangQiDaiTanFeiYongZengJiaEHeJi" label="长期待摊费用增加额合计" mulRef="_GBC_aa74f67aac374e54a7768a8434ab0c08" unitRef="_GBC_767b9b701cf8425c9d588b0398c42e90" addr="T0R3C2S1_1" formatStyle="Comma" appId="_GBC_9bec8f9516c84b19bae2fb8a7292063f">
        <m:complexRule comparator="Eq" title="长期待摊费用增加额合计" test=" $_GBC_6cfec0ad72e54555b4cdcf2f307a967d" id="C2acbe531bb4547f0b24117e66c059421"/>
      </m:item>
      <m:item xlName="_GBC_08c2b0bb37d84bd880262001af42fd96" concept="clcid-pte:ChangQiDaiTanFeiYongTanXiaoEHeJi" label="长期待摊费用摊销额合计" mulRef="_GBC_aa74f67aac374e54a7768a8434ab0c08" unitRef="_GBC_767b9b701cf8425c9d588b0398c42e90" addr="T0R3C3S1_1" formatStyle="Comma" appId="_GBC_9bec8f9516c84b19bae2fb8a7292063f">
        <m:complexRule comparator="Eq" title="长期待摊费用摊销额合计" test=" $_GBC_b6335fca5217411c9a43c8a8e2701c2c" id="Cfda21d70a111443c9e4572292cf8a09e"/>
      </m:item>
      <m:item xlName="_GBC_87a81fda53d34352b3709636481da7f8" concept="clcid-pte:ChangQiDaiTanFeiYongQiTaJianShaoEHeJi" label="长期待摊费用其他减少额合计" mulRef="_GBC_aa74f67aac374e54a7768a8434ab0c08" unitRef="_GBC_767b9b701cf8425c9d588b0398c42e90" addr="T0R3C4S1_1" formatStyle="Comma" appId="_GBC_9bec8f9516c84b19bae2fb8a7292063f">
        <m:complexRule comparator="Eq" title="长期待摊费用其他减少额合计" test=" $_GBC_55008f38074e4da889e976190b207a58" id="Cf66826cfaf274a21af32609032d76abb"/>
      </m:item>
      <m:item xlName="_GBC_b8f453d589a94127b91751cd03a6b6eb" concept="clcid-pte:ChangQiDaiTanFeiYong" label="长期待摊费用" mulRef="_GBC_aa74f67aac374e54a7768a8434ab0c08" unitRef="_GBC_767b9b701cf8425c9d588b0398c42e90" addr="T0R3C5S1_1" formatStyle="Comma" appId="_GBC_9bec8f9516c84b19bae2fb8a7292063f">
        <m:complexRule comparator="Eq" title="长期待摊费用" test=" $_GBC_1c7338f7a840495e8bd2bbc845120f74" id="C0f5fdc7fe4c3410bbdbc973890299120"/>
        <m:complexRule comparator="Eq" title="长期待摊费用横向合计" test=" $_GBC_9f923e6126f248f8a5b31c087b99143f +  $_GBC_81b95c62a8e94a25b10f37c8c97019c6 -  $_GBC_08c2b0bb37d84bd880262001af42fd96 -  $_GBC_87a81fda53d34352b3709636481da7f8" id="Cafcb83297b414858b60fec08a02216df"/>
      </m:item>
      <m:item xlName="_GBC_5b31c466b60f433faaa37d443fae74be" concept="clcid-pte:ChangQiDaiTanFeiYongDeShuoMing" label="长期待摊费用的说明" appId="_GBC_9bec8f9516c84b19bae2fb8a7292063f"/>
    </m:section>
    <m:section xlName="_SEC_24cb6110bf5143448478343c289c754e" title="未经抵销的递延所得税资产">
      <m:item xlName="_GBC_fc6e77974a404dc3bef5fc386ae4e1e7" concept="clcid-ci-ar:ShiFouShiYongWeiJingDiXiaoDeDiYanSuoDeShuiZiChan" label="是否适用：未经抵销的递延所得税资产" selectOptions="_buildInAppliance" controlType="CustomCheckbox" cRanges="{&quot;StartName&quot;:&quot;_GBC_fc6e77974a404dc3bef5fc386ae4e1e7&quot;,&quot;EndName&quot;:&quot;_GBC_6682a9b2fb9448aaa0e75bcdc165a3c3&quot;,&quot;CType&quot;:1,&quot;DisplayText&quot;:null}"/>
      <m:item xlName="_GBC_7be724d3c6f14974914db7d02bb734f9" concept="clcid-ci-ar:DanWeiCaiWuFuZhuYiQueRenDeDiYanSuoDeShuiZiChanHeDiYanSuoDeShuiFuZhai" label="单位：财务附注：已确认的递延所得税资产和递延所得税负债" selectOptions="_buildInScales" controlType="Combobox" cellType="Scale" appId="_GBC_fc6e77974a404dc3bef5fc386ae4e1e7"/>
      <m:item xlName="_GBC_a48237f045494aa9a0ea8c2cb35b1c0f" concept="clcid-ci-ar:BiZhongCaiWuFuZhuYiQueRenDeDiYanSuoDeShuiZiChanHeDiYanSuoDeShuiFuZhai" label="币种：财务附注：已确认的递延所得税资产和递延所得税负债" selectOptions="_buildInISO4217" controlType="Combobox" cellType="Measure" appId="_GBC_fc6e77974a404dc3bef5fc386ae4e1e7"/>
      <m:placeholder xlName="_PLD_e45101b3a01946f19f22657bb959574e" addr="T0R0C0S2_1"/>
      <m:placeholder xlName="_PLD_dd892ffecd234c819059bf10f71b1910" addr="T0R0C1S1_2"/>
      <m:placeholder xlName="_PLD_be855fcb002344d6ae2c74083e90b1c1" addr="T0R0C3S1_2"/>
      <m:placeholder xlName="_PLD_c82eb64547054aa39a1b7bfe7c532e2e" addr="T0R1C1S1_1"/>
      <m:placeholder xlName="_PLD_ad2e47975c52486d8bfc7fec079252de" addr="T0R1C2S1_1"/>
      <m:placeholder xlName="_PLD_0e0e7aabb5f8432ea9da8b4066b2e897" addr="T0R1C3S1_1"/>
      <m:placeholder xlName="_PLD_34147e3346eb4b24b314e0dadaab6983" addr="T0R1C4S1_1"/>
      <m:placeholder xlName="_PLD_1bf7e1aa06884192bd26302547776324" addr="T0R2C0S1_1"/>
      <m:item xlName="_GBC_6d51676b3ee84bfda41a839b4a7d22fc" concept="clcid-pte:KeDiKouZanShiXingChaYiZhongZiChanJianZhiZhunBei" label="可抵扣暂时性差异中资产减值准备" mulRef="_GBC_7be724d3c6f14974914db7d02bb734f9" unitRef="_GBC_a48237f045494aa9a0ea8c2cb35b1c0f" addr="T0R2C1S1_1" formatStyle="Comma" appId="_GBC_fc6e77974a404dc3bef5fc386ae4e1e7"/>
      <m:item xlName="_GBC_618bf8272ee64687bf85fa7a7e475cde" concept="clcid-pte:DiYanSuoDeShuiZiChanZhongZiChanJianZhiZhunBei" label="递延所得税资产中资产减值准备" mulRef="_GBC_7be724d3c6f14974914db7d02bb734f9" unitRef="_GBC_a48237f045494aa9a0ea8c2cb35b1c0f" addr="T0R2C2S1_1" formatStyle="Comma" appId="_GBC_fc6e77974a404dc3bef5fc386ae4e1e7"/>
      <m:item xlName="_GBC_a2ac6a6318af4f3a8b27ac077f0bc73e" concept="clcid-pte:KeDiKouZanShiXingChaYiZhongZiChanJianZhiZhunBei" label="可抵扣暂时性差异中资产减值准备" periodRef="本期期初数" mulRef="_GBC_7be724d3c6f14974914db7d02bb734f9" unitRef="_GBC_a48237f045494aa9a0ea8c2cb35b1c0f" addr="T0R2C3S1_1" formatStyle="Comma" appId="_GBC_fc6e77974a404dc3bef5fc386ae4e1e7"/>
      <m:item xlName="_GBC_831e74e19af3424d98655c2082efd5b3" concept="clcid-pte:DiYanSuoDeShuiZiChanZhongZiChanJianZhiZhunBei" label="递延所得税资产中资产减值准备" periodRef="本期期初数" mulRef="_GBC_7be724d3c6f14974914db7d02bb734f9" unitRef="_GBC_a48237f045494aa9a0ea8c2cb35b1c0f" addr="T0R2C4S1_1" formatStyle="Comma" appId="_GBC_fc6e77974a404dc3bef5fc386ae4e1e7"/>
      <m:placeholder xlName="_PLD_024091818f2b4c9386a36ed63f88f791" addr="T0R3C0S1_1"/>
      <m:item xlName="_GBC_6d37dbee31df4815859fb8a03c0ee68c" concept="clcid-pte:KeDiKouZanShiXingChaYiZhongNeiBuJiaoYiWeiShiXianLiRun" label="可抵扣暂时性差异中内部交易未实现利润" mulRef="_GBC_7be724d3c6f14974914db7d02bb734f9" unitRef="_GBC_a48237f045494aa9a0ea8c2cb35b1c0f" addr="T0R3C1S1_1" formatStyle="Comma" appId="_GBC_fc6e77974a404dc3bef5fc386ae4e1e7"/>
      <m:item xlName="_GBC_b804bdfeef894d3c8f7e8fbcd1373230" concept="clcid-pte:DiYanSuoDeShuiZiChanZhongNeiBuJiaoYiWeiShiXianLiRun" label="递延所得税资产中内部交易未实现利润" mulRef="_GBC_7be724d3c6f14974914db7d02bb734f9" unitRef="_GBC_a48237f045494aa9a0ea8c2cb35b1c0f" addr="T0R3C2S1_1" formatStyle="Comma" appId="_GBC_fc6e77974a404dc3bef5fc386ae4e1e7"/>
      <m:item xlName="_GBC_6e08b6595d144b63a97fdc8af54c972b" concept="clcid-pte:KeDiKouZanShiXingChaYiZhongNeiBuJiaoYiWeiShiXianLiRun" label="可抵扣暂时性差异中内部交易未实现利润" periodRef="本期期初数" mulRef="_GBC_7be724d3c6f14974914db7d02bb734f9" unitRef="_GBC_a48237f045494aa9a0ea8c2cb35b1c0f" addr="T0R3C3S1_1" formatStyle="Comma" appId="_GBC_fc6e77974a404dc3bef5fc386ae4e1e7"/>
      <m:item xlName="_GBC_19c5d7aca0004fb4a648e67e157a5f46" concept="clcid-pte:DiYanSuoDeShuiZiChanZhongNeiBuJiaoYiWeiShiXianLiRun" label="递延所得税资产中内部交易未实现利润" periodRef="本期期初数" mulRef="_GBC_7be724d3c6f14974914db7d02bb734f9" unitRef="_GBC_a48237f045494aa9a0ea8c2cb35b1c0f" addr="T0R3C4S1_1" formatStyle="Comma" appId="_GBC_fc6e77974a404dc3bef5fc386ae4e1e7"/>
      <m:placeholder xlName="_PLD_cab9951be3e845939320c38b7e9544d7" addr="T0R4C0S1_1"/>
      <m:item xlName="_GBC_68ae027995004ea68395dd1d13a50ab5" concept="clcid-pte:KeDiKouZanShiXingChaYiZhongKeDiKouKuiSun" label="可抵扣暂时性差异中可抵扣亏损" mulRef="_GBC_7be724d3c6f14974914db7d02bb734f9" unitRef="_GBC_a48237f045494aa9a0ea8c2cb35b1c0f" addr="T0R4C1S1_1" formatStyle="Comma" appId="_GBC_fc6e77974a404dc3bef5fc386ae4e1e7"/>
      <m:item xlName="_GBC_1956d7e8d7ca4ee7aaade35bc13e2a64" concept="clcid-pte:DiYanSuoDeShuiZiChanZhongKeDiKouKuiSun" label="递延所得税资产中可抵扣亏损" mulRef="_GBC_7be724d3c6f14974914db7d02bb734f9" unitRef="_GBC_a48237f045494aa9a0ea8c2cb35b1c0f" addr="T0R4C2S1_1" formatStyle="Comma" appId="_GBC_fc6e77974a404dc3bef5fc386ae4e1e7"/>
      <m:item xlName="_GBC_eda0508b03304f029c5f8003aacce666" concept="clcid-pte:KeDiKouZanShiXingChaYiZhongKeDiKouKuiSun" label="可抵扣暂时性差异中可抵扣亏损" periodRef="本期期初数" mulRef="_GBC_7be724d3c6f14974914db7d02bb734f9" unitRef="_GBC_a48237f045494aa9a0ea8c2cb35b1c0f" addr="T0R4C3S1_1" formatStyle="Comma" appId="_GBC_fc6e77974a404dc3bef5fc386ae4e1e7"/>
      <m:item xlName="_GBC_db539460030b4f53bcf14c2114948827" concept="clcid-pte:DiYanSuoDeShuiZiChanZhongKeDiKouKuiSun" label="递延所得税资产中可抵扣亏损" periodRef="本期期初数" mulRef="_GBC_7be724d3c6f14974914db7d02bb734f9" unitRef="_GBC_a48237f045494aa9a0ea8c2cb35b1c0f" addr="T0R4C4S1_1" formatStyle="Comma" appId="_GBC_fc6e77974a404dc3bef5fc386ae4e1e7"/>
      <m:tuple xlName="_GBC_78d44848a87d4473a54948d3e2adbb46" concept="clcid-pte:DiYanSuoDeShuiZiChanMingXi" default_row="2" addr="T0R5C">
        <m:item xlName="_GBC_bd8030a345ae42bf95c7e8b40d82722c" concept="clcid-pte:DiYanSuoDeShuiZiChanXiangMu" label="递延所得税资产明细－项目" addr="T0R5C0S1_1" appId="_GBC_fc6e77974a404dc3bef5fc386ae4e1e7"/>
        <m:item xlName="_GBC_f1ae481d08c24bcda2206f50204eec7f" concept="clcid-pte:DiYanSuoDeShuiZiChanMingXiKeDiKouZanShiXingChaYi" label="递延所得税资产明细－可抵扣暂时性差异" mulRef="_GBC_7be724d3c6f14974914db7d02bb734f9" unitRef="_GBC_a48237f045494aa9a0ea8c2cb35b1c0f" addr="T0R5C1S1_1" formatStyle="Comma" appId="_GBC_fc6e77974a404dc3bef5fc386ae4e1e7"/>
        <m:item xlName="_GBC_fb9c9e1857f2417fb6d01ea0bcc5953b" concept="clcid-pte:DiYanSuoDeShuiZiChanJinE" label="递延所得税资产明细－金额" mulRef="_GBC_7be724d3c6f14974914db7d02bb734f9" unitRef="_GBC_a48237f045494aa9a0ea8c2cb35b1c0f" addr="T0R5C2S1_1" formatStyle="Comma" appId="_GBC_fc6e77974a404dc3bef5fc386ae4e1e7"/>
        <m:item xlName="_GBC_a4214b329d5b47f3a865f0a607a502a2" concept="clcid-pte:DiYanSuoDeShuiZiChanMingXiKeDiKouZanShiXingChaYi" label="递延所得税资产明细－可抵扣暂时性差异" periodRef="本期期初数" mulRef="_GBC_7be724d3c6f14974914db7d02bb734f9" unitRef="_GBC_a48237f045494aa9a0ea8c2cb35b1c0f" addr="T0R5C3S1_1" formatStyle="Comma" appId="_GBC_fc6e77974a404dc3bef5fc386ae4e1e7"/>
        <m:item xlName="_GBC_7c846c51cea94f52ae95cd3b930b31a7" concept="clcid-pte:DiYanSuoDeShuiZiChanJinE" label="递延所得税资产明细－金额" periodRef="本期期初数" mulRef="_GBC_7be724d3c6f14974914db7d02bb734f9" unitRef="_GBC_a48237f045494aa9a0ea8c2cb35b1c0f" addr="T0R5C4S1_1" formatStyle="Comma" appId="_GBC_fc6e77974a404dc3bef5fc386ae4e1e7"/>
      </m:tuple>
      <m:placeholder xlName="_PLD_aff9781bbd7249709be440b59752c5c2" addr="T0R7C0S1_1"/>
      <m:item xlName="_GBC_e228e103fd09470fac76e5feb0968db6" concept="clcid-pte:YiQueRenDeKeDiKouZanShiXingChaYiHeJi" label="已确认的可抵扣暂时性差异合计" mulRef="_GBC_7be724d3c6f14974914db7d02bb734f9" unitRef="_GBC_a48237f045494aa9a0ea8c2cb35b1c0f" addr="T0R7C1S1_1" formatStyle="Comma" appId="_GBC_fc6e77974a404dc3bef5fc386ae4e1e7">
        <m:complexRule comparator="Eq" title="已确认的可抵扣暂时性差异合计" test=" $_GBC_6d51676b3ee84bfda41a839b4a7d22fc +  $_GBC_6d37dbee31df4815859fb8a03c0ee68c +  $_GBC_68ae027995004ea68395dd1d13a50ab5 +  $_GBC_f1ae481d08c24bcda2206f50204eec7f" id="C3a2e815509664b629d8d3b1b2076c5dd" serialType="1"/>
        <m:complexRule comparator="Eq" title="已确认的可抵扣暂时性差异合计" test="$_GBC_6d51676b3ee84bfda41a839b4a7d22fc+$_GBC_6d37dbee31df4815859fb8a03c0ee68c+$_GBC_68ae027995004ea68395dd1d13a50ab5+$_GBC_f1ae481d08c24bcda2206f50204eec7f" id="Cff2da3226c5c45e39a10fede1b757423"/>
      </m:item>
      <m:item xlName="_GBC_2d6926921f6c4ac384eb4906735a38be" concept="clcid-pte:YiQueRenDeDiYanSuoDeShuiZiChanXiaoJi" label="已确认的递延所得税资产小计" mulRef="_GBC_7be724d3c6f14974914db7d02bb734f9" unitRef="_GBC_a48237f045494aa9a0ea8c2cb35b1c0f" addr="T0R7C2S1_1" formatStyle="Comma" appId="_GBC_fc6e77974a404dc3bef5fc386ae4e1e7">
        <m:complexRule comparator="Eq" title="已确认的递延所得税资产小计" test=" $_GBC_618bf8272ee64687bf85fa7a7e475cde +  $_GBC_b804bdfeef894d3c8f7e8fbcd1373230 +  $_GBC_1956d7e8d7ca4ee7aaade35bc13e2a64 +  $_GBC_fb9c9e1857f2417fb6d01ea0bcc5953b" id="C64186af434244a23bed03b6c2bf28f1a" serialType="1"/>
        <m:complexRule comparator="Eq" title="已确认的递延所得税资产小计" test="$_GBC_618bf8272ee64687bf85fa7a7e475cde+$_GBC_b804bdfeef894d3c8f7e8fbcd1373230+$_GBC_1956d7e8d7ca4ee7aaade35bc13e2a64+$_GBC_fb9c9e1857f2417fb6d01ea0bcc5953b" id="C42a6f0451e4f4ee8a38f47d08d6af93e"/>
      </m:item>
      <m:item xlName="_GBC_aef89081a1b6463db592e54d6f165f64" concept="clcid-pte:YiQueRenDeKeDiKouZanShiXingChaYiHeJi" label="已确认的可抵扣暂时性差异合计" periodRef="本期期初数" mulRef="_GBC_7be724d3c6f14974914db7d02bb734f9" unitRef="_GBC_a48237f045494aa9a0ea8c2cb35b1c0f" addr="T0R7C3S1_1" formatStyle="Comma" appId="_GBC_fc6e77974a404dc3bef5fc386ae4e1e7">
        <m:complexRule comparator="Eq" title="已确认的可抵扣暂时性差异合计@本期期初数" test=" $_GBC_a2ac6a6318af4f3a8b27ac077f0bc73e +  $_GBC_6e08b6595d144b63a97fdc8af54c972b +  $_GBC_eda0508b03304f029c5f8003aacce666 +  $_GBC_a4214b329d5b47f3a865f0a607a502a2" id="C167db8bda8b440158487b4240177ac77" serialType="1"/>
        <m:complexRule comparator="Eq" title="已确认的可抵扣暂时性差异合计@本期期初数" test="$_GBC_a2ac6a6318af4f3a8b27ac077f0bc73e+$_GBC_6e08b6595d144b63a97fdc8af54c972b+$_GBC_eda0508b03304f029c5f8003aacce666+$_GBC_a4214b329d5b47f3a865f0a607a502a2" id="Ccaf5929a3ae84110aec69b10ddaa60c5"/>
      </m:item>
      <m:item xlName="_GBC_6682a9b2fb9448aaa0e75bcdc165a3c3" concept="clcid-pte:YiQueRenDeDiYanSuoDeShuiZiChanXiaoJi" label="已确认的递延所得税资产小计" periodRef="本期期初数" mulRef="_GBC_7be724d3c6f14974914db7d02bb734f9" unitRef="_GBC_a48237f045494aa9a0ea8c2cb35b1c0f" addr="T0R7C4S1_1" formatStyle="Comma" appId="_GBC_fc6e77974a404dc3bef5fc386ae4e1e7">
        <m:complexRule comparator="Eq" title="已确认的递延所得税资产小计@本期期初数" test=" $_GBC_831e74e19af3424d98655c2082efd5b3 +  $_GBC_19c5d7aca0004fb4a648e67e157a5f46 +  $_GBC_db539460030b4f53bcf14c2114948827 +  $_GBC_7c846c51cea94f52ae95cd3b930b31a7" id="C731052bdca7c48aaa35dde172acc4816" serialType="1"/>
        <m:complexRule comparator="Eq" title="已确认的递延所得税资产小计@本期期初数" test="$_GBC_831e74e19af3424d98655c2082efd5b3+$_GBC_19c5d7aca0004fb4a648e67e157a5f46+$_GBC_db539460030b4f53bcf14c2114948827+$_GBC_7c846c51cea94f52ae95cd3b930b31a7" id="C8f6e4c9ddaff425eb93749dfcae57ad0"/>
      </m:item>
    </m:section>
    <m:section xlName="_SEC_022eb52f9e1542cbb5aaa5a287b8ee2a" title="未经抵销的递延所得税负债">
      <m:item xlName="_GBC_e9cf2825b61d4a9ca57e90c2ed017173" concept="clcid-ci-ar:ShiFouShiYongWeiJingDiXiaoDeDiYanSuoDeShuiFuZhai" label="是否适用：未经抵销的递延所得税负债" selectOptions="_buildInAppliance" controlType="CustomCheckbox" cRanges="{&quot;StartName&quot;:&quot;_GBC_e9cf2825b61d4a9ca57e90c2ed017173&quot;,&quot;EndName&quot;:&quot;_GBC_a7274a68a2c94b77b79a8c15ff0ecebe&quot;,&quot;CType&quot;:1,&quot;DisplayText&quot;:null}"/>
      <m:item xlName="_GBC_7fa4a7048e284eb79ceb0dee5165516f" concept="clcid-ci-ar:DanWeiCaiWuFuZhuWeiJingDiXiaoDeDiYanSuoDeShuiFuZhai" label="单位：财务附注：未经抵销的递延所得税负债" selectOptions="_buildInScales" controlType="Combobox" cellType="Scale" appId="_GBC_e9cf2825b61d4a9ca57e90c2ed017173"/>
      <m:item xlName="_GBC_85beae3a7d624858bfe37a33da15472b" concept="clcid-ci-ar:BiZhongCaiWuFuZhuWeiJingDiXiaoDeDiYanSuoDeShuiFuZhai" label="币种：财务附注：未经抵销的递延所得税负债" selectOptions="_buildInISO4217" controlType="Combobox" cellType="Measure" appId="_GBC_e9cf2825b61d4a9ca57e90c2ed017173"/>
      <m:placeholder xlName="_PLD_66ef6111bb2d4b3792b581d6ff38c8d2" addr="T0R0C0S2_1"/>
      <m:placeholder xlName="_PLD_b850d4f63866495f80e69799c9ea1b37" addr="T0R0C1S1_2"/>
      <m:placeholder xlName="_PLD_951c3eee882c4aaa862f620814f6ce4e" addr="T0R0C3S1_2"/>
      <m:placeholder xlName="_PLD_f33e3c528ff14a2bac81ec99970641f6" addr="T0R1C1S1_1"/>
      <m:placeholder xlName="_PLD_0cb734f9904e4a57a5107d601b9b38d1" addr="T0R1C2S1_1"/>
      <m:placeholder xlName="_PLD_ddf3980c66a840e782386c14bb078052" addr="T0R1C3S1_1"/>
      <m:placeholder xlName="_PLD_590dc17e8304449fbff47c3b3cd45eb5" addr="T0R1C4S1_1"/>
      <m:placeholder xlName="_PLD_82ac8bb49f704e4d94c96a530da54377" addr="T0R2C0S1_1"/>
      <m:item xlName="_GBC_85ea063ba98f47679c77e58c15e843a6" concept="clcid-pte:YingNaShuiZanShiXingChaYiZhongFeiTongYiKongZhiQiYeHeBingZiChanPingGuZengZhi" label="应纳税暂时性差异中非同一控制企业合并资产评估增值" mulRef="_GBC_7fa4a7048e284eb79ceb0dee5165516f" unitRef="_GBC_85beae3a7d624858bfe37a33da15472b" addr="T0R2C1S1_1" formatStyle="Comma" appId="_GBC_e9cf2825b61d4a9ca57e90c2ed017173"/>
      <m:item xlName="_GBC_39f712024ca0472f94c46cbfc4aa32a7" concept="clcid-pte:DiYanSuoDeShuiFuZhaiZhongFeiTongYiKongZhiQiYeHeBingZiChanPingGuZengZhi" label="递延所得税负债中非同一控制企业合并资产评估增值" mulRef="_GBC_7fa4a7048e284eb79ceb0dee5165516f" unitRef="_GBC_85beae3a7d624858bfe37a33da15472b" addr="T0R2C2S1_1" formatStyle="Comma" appId="_GBC_e9cf2825b61d4a9ca57e90c2ed017173"/>
      <m:item xlName="_GBC_e5421bf9172a481694b094e3fdb42f54" concept="clcid-pte:YingNaShuiZanShiXingChaYiZhongFeiTongYiKongZhiQiYeHeBingZiChanPingGuZengZhi" label="应纳税暂时性差异中非同一控制企业合并资产评估增值" periodRef="本期期初数" mulRef="_GBC_7fa4a7048e284eb79ceb0dee5165516f" unitRef="_GBC_85beae3a7d624858bfe37a33da15472b" addr="T0R2C3S1_1" formatStyle="Comma" appId="_GBC_e9cf2825b61d4a9ca57e90c2ed017173"/>
      <m:item xlName="_GBC_3fe09e7a905d4886b26a031226441850" concept="clcid-pte:DiYanSuoDeShuiFuZhaiZhongFeiTongYiKongZhiQiYeHeBingZiChanPingGuZengZhi" label="递延所得税负债中非同一控制企业合并资产评估增值" periodRef="本期期初数" mulRef="_GBC_7fa4a7048e284eb79ceb0dee5165516f" unitRef="_GBC_85beae3a7d624858bfe37a33da15472b" addr="T0R2C4S1_1" formatStyle="Comma" appId="_GBC_e9cf2825b61d4a9ca57e90c2ed017173"/>
      <m:placeholder xlName="_PLD_c10a6dcf7ba2404bb74bab955cd90441" addr="T0R3C0S1_1"/>
      <m:item xlName="_GBC_fa42d93b01e24a058103c48940fac582" concept="clcid-pte:YingNaShuiZanShiXingChaYiZhongQiTaZhaiQuanTouZiGongYunJiaZhiBianDong" label="应纳税暂时性差异中其他债权投资公允价值变动" mulRef="_GBC_7fa4a7048e284eb79ceb0dee5165516f" unitRef="_GBC_85beae3a7d624858bfe37a33da15472b" addr="T0R3C1S1_1" formatStyle="Comma" appId="_GBC_e9cf2825b61d4a9ca57e90c2ed017173"/>
      <m:item xlName="_GBC_deb3451c74164b7182b98180a3908096" concept="clcid-pte:DiYanSuoDeShuiFuZhaiZhongQiTaZhaiQuanTouZiGongYunJiaZhiBianDong" label="递延所得税负债中其他债权投资公允价值变动" mulRef="_GBC_7fa4a7048e284eb79ceb0dee5165516f" unitRef="_GBC_85beae3a7d624858bfe37a33da15472b" addr="T0R3C2S1_1" formatStyle="Comma" appId="_GBC_e9cf2825b61d4a9ca57e90c2ed017173"/>
      <m:item xlName="_GBC_8e842daa9f7a467f8bdaf9dca3e55218" concept="clcid-pte:YingNaShuiZanShiXingChaYiZhongQiTaZhaiQuanTouZiGongYunJiaZhiBianDong" label="应纳税暂时性差异中其他债权投资公允价值变动" periodRef="本期期初数" mulRef="_GBC_7fa4a7048e284eb79ceb0dee5165516f" unitRef="_GBC_85beae3a7d624858bfe37a33da15472b" addr="T0R3C3S1_1" formatStyle="Comma" appId="_GBC_e9cf2825b61d4a9ca57e90c2ed017173"/>
      <m:item xlName="_GBC_23c3e6c7502d4e468e2df8ec0db11f76" concept="clcid-pte:DiYanSuoDeShuiFuZhaiZhongQiTaZhaiQuanTouZiGongYunJiaZhiBianDong" label="递延所得税负债中其他债权投资公允价值变动" periodRef="本期期初数" mulRef="_GBC_7fa4a7048e284eb79ceb0dee5165516f" unitRef="_GBC_85beae3a7d624858bfe37a33da15472b" addr="T0R3C4S1_1" formatStyle="Comma" appId="_GBC_e9cf2825b61d4a9ca57e90c2ed017173"/>
      <m:placeholder xlName="_PLD_c4d1e5f508084b6f99fe550210fa1b02" addr="T0R4C0S1_1"/>
      <m:item xlName="_GBC_f33f507bb6934abb8f97b6069c563722" concept="clcid-pte:YingNaShuiZanShiXingChaYiZhongQiTaQuanYiGongJuTouZiGongYunJiaZhiBianDong" label="应纳税暂时性差异中其他权益工具投资公允价值变动" mulRef="_GBC_7fa4a7048e284eb79ceb0dee5165516f" unitRef="_GBC_85beae3a7d624858bfe37a33da15472b" addr="T0R4C1S1_1" formatStyle="Comma" appId="_GBC_e9cf2825b61d4a9ca57e90c2ed017173"/>
      <m:item xlName="_GBC_dc922e514d1b45b392fc2cf4e1c15ee2" concept="clcid-pte:DiYanSuoDeShuiFuZhaiZhongQiTaQuanYiGongJuTouZiGongYunJiaZhiBianDong" label="递延所得税负债中其他权益工具投资公允价值变动" mulRef="_GBC_7fa4a7048e284eb79ceb0dee5165516f" unitRef="_GBC_85beae3a7d624858bfe37a33da15472b" addr="T0R4C2S1_1" formatStyle="Comma" appId="_GBC_e9cf2825b61d4a9ca57e90c2ed017173"/>
      <m:item xlName="_GBC_c32c1c7674dd4de9bfee0a3dc7e5f749" concept="clcid-pte:YingNaShuiZanShiXingChaYiZhongQiTaQuanYiGongJuTouZiGongYunJiaZhiBianDong" label="应纳税暂时性差异中其他权益工具投资公允价值变动" periodRef="本期期初数" mulRef="_GBC_7fa4a7048e284eb79ceb0dee5165516f" unitRef="_GBC_85beae3a7d624858bfe37a33da15472b" addr="T0R4C3S1_1" formatStyle="Comma" appId="_GBC_e9cf2825b61d4a9ca57e90c2ed017173"/>
      <m:item xlName="_GBC_e749e00f2bc8473cb2f7116ccc6e63e3" concept="clcid-pte:DiYanSuoDeShuiFuZhaiZhongQiTaQuanYiGongJuTouZiGongYunJiaZhiBianDong" label="递延所得税负债中其他权益工具投资公允价值变动" periodRef="本期期初数" mulRef="_GBC_7fa4a7048e284eb79ceb0dee5165516f" unitRef="_GBC_85beae3a7d624858bfe37a33da15472b" addr="T0R4C4S1_1" formatStyle="Comma" appId="_GBC_e9cf2825b61d4a9ca57e90c2ed017173"/>
      <m:tuple xlName="_GBC_b1614c80d1bd478fbd0f56aa84238e04" concept="clcid-pte:DiYanSuoDeShuiFuZhaiMingXi" default_row="2" addr="T0R5C">
        <m:item xlName="_GBC_081810a3e27043bc8137d50d7e759fe1" concept="clcid-pte:DiYanSuoDeShuiFuZhaiMingXiXiangMu" label="递延所得税负债明细－项目" addr="T0R5C0S1_1" appId="_GBC_e9cf2825b61d4a9ca57e90c2ed017173"/>
        <m:item xlName="_GBC_e59513f17d184405ba2dfe384dc43e95" concept="clcid-pte:DiYanSuoDeShuiFuZhaiMingXiYingNaShuiZanShiXingChaYi" label="递延所得税负债明细－应纳税暂时性差异" mulRef="_GBC_7fa4a7048e284eb79ceb0dee5165516f" unitRef="_GBC_85beae3a7d624858bfe37a33da15472b" addr="T0R5C1S1_1" formatStyle="Comma" appId="_GBC_e9cf2825b61d4a9ca57e90c2ed017173"/>
        <m:item xlName="_GBC_c2031652f8a04ae89c31168b0d5c8505" concept="clcid-pte:DiYanSuoDeShuiFuZhaiMingXiJinE" label="递延所得税负债明细－金额" mulRef="_GBC_7fa4a7048e284eb79ceb0dee5165516f" unitRef="_GBC_85beae3a7d624858bfe37a33da15472b" addr="T0R5C2S1_1" formatStyle="Comma" appId="_GBC_e9cf2825b61d4a9ca57e90c2ed017173"/>
        <m:item xlName="_GBC_cd6e82a115ba4d05bce019eaf43826b3" concept="clcid-pte:DiYanSuoDeShuiFuZhaiMingXiYingNaShuiZanShiXingChaYi" label="递延所得税负债明细－应纳税暂时性差异" periodRef="本期期初数" mulRef="_GBC_7fa4a7048e284eb79ceb0dee5165516f" unitRef="_GBC_85beae3a7d624858bfe37a33da15472b" addr="T0R5C3S1_1" formatStyle="Comma" appId="_GBC_e9cf2825b61d4a9ca57e90c2ed017173"/>
        <m:item xlName="_GBC_08fb571357d14c349ed3d30218d59470" concept="clcid-pte:DiYanSuoDeShuiFuZhaiMingXiJinE" label="递延所得税负债明细－金额" periodRef="本期期初数" mulRef="_GBC_7fa4a7048e284eb79ceb0dee5165516f" unitRef="_GBC_85beae3a7d624858bfe37a33da15472b" addr="T0R5C4S1_1" formatStyle="Comma" appId="_GBC_e9cf2825b61d4a9ca57e90c2ed017173"/>
      </m:tuple>
      <m:placeholder xlName="_PLD_382351978b994852b2d36dbea92fd0cc" addr="T0R7C0S1_1"/>
      <m:item xlName="_GBC_fb4ebf8740334460b3e2c6e879c5881a" concept="clcid-pte:YiQueRenDeYingNaShuiZanShiXingChaYiHeJi" label="已确认的应纳税暂时性差异合计" mulRef="_GBC_7fa4a7048e284eb79ceb0dee5165516f" unitRef="_GBC_85beae3a7d624858bfe37a33da15472b" addr="T0R7C1S1_1" formatStyle="Comma" appId="_GBC_e9cf2825b61d4a9ca57e90c2ed017173">
        <m:complexRule comparator="Eq" title="已确认的应纳税暂时性差异合计" test="$_GBC_85ea063ba98f47679c77e58c15e843a6+$_GBC_fa42d93b01e24a058103c48940fac582+$_GBC_f33f507bb6934abb8f97b6069c563722+$_GBC_e59513f17d184405ba2dfe384dc43e95" id="C924dc63feea04320a69e4063e04e2e60"/>
      </m:item>
      <m:item xlName="_GBC_b6d412a1d8384ee8ac43a6e057a69333" concept="clcid-pte:YiQueRenDeDiYanSuoDeShuiFuZhaiXiaoJi" label="已确认的递延所得税负债小计" mulRef="_GBC_7fa4a7048e284eb79ceb0dee5165516f" unitRef="_GBC_85beae3a7d624858bfe37a33da15472b" addr="T0R7C2S1_1" formatStyle="Comma" appId="_GBC_e9cf2825b61d4a9ca57e90c2ed017173">
        <m:complexRule comparator="Eq" title="已确认的递延所得税负债小计" test="$_GBC_39f712024ca0472f94c46cbfc4aa32a7+$_GBC_deb3451c74164b7182b98180a3908096+$_GBC_dc922e514d1b45b392fc2cf4e1c15ee2+$_GBC_c2031652f8a04ae89c31168b0d5c8505" id="C74f1aed69b3d45fd9c7099672b894271"/>
      </m:item>
      <m:item xlName="_GBC_ca3dc13830ec4677b29dc31016921171" concept="clcid-pte:YiQueRenDeYingNaShuiZanShiXingChaYiHeJi" label="已确认的应纳税暂时性差异合计" periodRef="本期期初数" mulRef="_GBC_7fa4a7048e284eb79ceb0dee5165516f" unitRef="_GBC_85beae3a7d624858bfe37a33da15472b" addr="T0R7C3S1_1" formatStyle="Comma" appId="_GBC_e9cf2825b61d4a9ca57e90c2ed017173">
        <m:complexRule comparator="Eq" title="已确认的应纳税暂时性差异合计@本期期初数" test="$_GBC_e5421bf9172a481694b094e3fdb42f54+$_GBC_8e842daa9f7a467f8bdaf9dca3e55218+$_GBC_c32c1c7674dd4de9bfee0a3dc7e5f749+$_GBC_cd6e82a115ba4d05bce019eaf43826b3" id="Cab20ee387eb9439bb221d872bae0d5bf"/>
      </m:item>
      <m:item xlName="_GBC_a7274a68a2c94b77b79a8c15ff0ecebe" concept="clcid-pte:YiQueRenDeDiYanSuoDeShuiFuZhaiXiaoJi" label="已确认的递延所得税负债小计" periodRef="本期期初数" mulRef="_GBC_7fa4a7048e284eb79ceb0dee5165516f" unitRef="_GBC_85beae3a7d624858bfe37a33da15472b" addr="T0R7C4S1_1" formatStyle="Comma" appId="_GBC_e9cf2825b61d4a9ca57e90c2ed017173">
        <m:complexRule comparator="Eq" title="已确认的递延所得税负债小计@本期期初数" test=" $_GBC_3fe09e7a905d4886b26a031226441850 +  $_GBC_23c3e6c7502d4e468e2df8ec0db11f76 +  $_GBC_e749e00f2bc8473cb2f7116ccc6e63e3 +  $_GBC_08fb571357d14c349ed3d30218d59470" id="Cd01f3947dce340c797344134414abe7e"/>
      </m:item>
    </m:section>
    <m:section xlName="_SEC_393d53219fe44274aa0bc5257c75c762" title="以抵销后净额列示的递延所得税资产或负债">
      <m:item xlName="_GBC_d6419a9d2dc94127a5f6aea72cb2a94d" concept="clcid-ci-ar:ShiFouShiYongYiDiXiaoHouJingELieShiDeDiYanSuoDeShuiZiChanHuoFuZhai" label="是否适用：以抵销后净额列示的递延所得税资产或负债" selectOptions="_buildInAppliance" controlType="CustomCheckbox" cRanges="{&quot;StartName&quot;:&quot;_GBC_d6419a9d2dc94127a5f6aea72cb2a94d&quot;,&quot;EndName&quot;:&quot;_GBC_e16048adf13149fc83327fed1843cc3b&quot;,&quot;CType&quot;:1,&quot;DisplayText&quot;:null}"/>
      <m:item xlName="_GBC_87248a34ce3042a5abe2f7b24ba6f68f" concept="clcid-ci-ar:DanWeiCaiWuFuZhuHuDiHouDeDiYanSuoDeShuiZiChanJiFuZhaiDeZuChengXiangMu" label="单位：财务附注：互抵后的递延所得税资产及负债的组成项目" selectOptions="_buildInScales" controlType="Combobox" cellType="Scale" appId="_GBC_d6419a9d2dc94127a5f6aea72cb2a94d"/>
      <m:item xlName="_GBC_cd0e5c76f450471280579335020253cf" concept="clcid-ci-ar:BiZhongCaiWuFuZhuHuDiHouDeDiYanSuoDeShuiZiChanJiFuZhaiDeZuChengXiangMu" label="币种：财务附注：互抵后的递延所得税资产及负债的组成项目" selectOptions="_buildInISO4217" controlType="Combobox" cellType="Measure" appId="_GBC_d6419a9d2dc94127a5f6aea72cb2a94d"/>
      <m:placeholder xlName="_PLD_8eec3f5c36d74a4f98b09e1d2c84ffe5" addr="T0R0C0S1_1"/>
      <m:placeholder xlName="_PLD_834fe5ba2d834f8f9b67482b5dbbbc14" addr="T0R0C1S1_1"/>
      <m:placeholder xlName="_PLD_1d423a6acdc84a9b86a8f4cfef14d1bc" addr="T0R0C2S1_1"/>
      <m:placeholder xlName="_PLD_7e951a92ca604006b07c34e19fd86c46" addr="T0R0C3S1_1"/>
      <m:placeholder xlName="_PLD_357e55134bfb4d68a713600691a595cb" addr="T0R0C4S1_1"/>
      <m:placeholder xlName="_PLD_b85c5c0825fb4aeda1d64a7aaa00d23d" addr="T0R1C0S1_1"/>
      <m:item xlName="_GBC_7e88c6a15cdb4522a53db0d2926c95f9" concept="clcid-pte:DiYanSuoDeShuiZiChanHeFuZhaiHuDiJinEDiYanSuoDeShuiZiChan" label="递延所得税资产和负债互抵金额-递延所得税资产" mulRef="_GBC_87248a34ce3042a5abe2f7b24ba6f68f" unitRef="_GBC_cd0e5c76f450471280579335020253cf" addr="T0R1C1S1_1" formatStyle="Comma" appId="_GBC_d6419a9d2dc94127a5f6aea72cb2a94d"/>
      <m:item xlName="_GBC_88dbb9e9aa5c43edafc1928042d9ceac" concept="clcid-pte:HuDiHouDeDiYanSuoDeShuiZiChanZanShiXingChaYiXiaoJi" label="互抵后的递延所得税资产暂时性差异小计" mulRef="_GBC_87248a34ce3042a5abe2f7b24ba6f68f" unitRef="_GBC_cd0e5c76f450471280579335020253cf" addr="T0R1C2S1_1" formatStyle="Comma" appId="_GBC_d6419a9d2dc94127a5f6aea72cb2a94d"/>
      <m:item xlName="_GBC_0cbf203737234ec485e0d2856c493d44" concept="clcid-pte:DiYanSuoDeShuiZiChanHeFuZhaiHuDiJinEDiYanSuoDeShuiZiChan" label="递延所得税资产和负债互抵金额-递延所得税资产" periodRef="本期期初数" mulRef="_GBC_87248a34ce3042a5abe2f7b24ba6f68f" unitRef="_GBC_cd0e5c76f450471280579335020253cf" addr="T0R1C3S1_1" formatStyle="Comma" appId="_GBC_d6419a9d2dc94127a5f6aea72cb2a94d"/>
      <m:item xlName="_GBC_dd02bd48ff564375affe9fb393ebb32b" concept="clcid-pte:HuDiHouDeDiYanSuoDeShuiZiChanZanShiXingChaYiXiaoJi" label="互抵后的递延所得税资产暂时性差异小计" periodRef="本期期初数" mulRef="_GBC_87248a34ce3042a5abe2f7b24ba6f68f" unitRef="_GBC_cd0e5c76f450471280579335020253cf" addr="T0R1C4S1_1" formatStyle="Comma" appId="_GBC_d6419a9d2dc94127a5f6aea72cb2a94d"/>
      <m:placeholder xlName="_PLD_1a23f829080a4a7ba2f4056eba60e1bb" addr="T0R2C0S1_1"/>
      <m:item xlName="_GBC_a26d93e816dd498094d957aaebf73875" concept="clcid-pte:DiYanSuoDeShuiZiChanHeFuZhaiHuDiJinEDiYanSuoDeShuiFuZhai" label="递延所得税资产和负债互抵金额-递延所得税负债" mulRef="_GBC_87248a34ce3042a5abe2f7b24ba6f68f" unitRef="_GBC_cd0e5c76f450471280579335020253cf" addr="T0R2C1S1_1" formatStyle="Comma" appId="_GBC_d6419a9d2dc94127a5f6aea72cb2a94d"/>
      <m:item xlName="_GBC_3492da584cc443c19aa139d283c7fc95" concept="clcid-pte:HuDiHouDeDiYanSuoDeShuiFuZhaiZanShiXingChaYiXiaoJi" label="互抵后的递延所得税负债暂时性差异小计" mulRef="_GBC_87248a34ce3042a5abe2f7b24ba6f68f" unitRef="_GBC_cd0e5c76f450471280579335020253cf" addr="T0R2C2S1_1" formatStyle="Comma" appId="_GBC_d6419a9d2dc94127a5f6aea72cb2a94d"/>
      <m:item xlName="_GBC_caa4c5f1dfd84c09883afaf23142da20" concept="clcid-pte:DiYanSuoDeShuiZiChanHeFuZhaiHuDiJinEDiYanSuoDeShuiFuZhai" label="递延所得税资产和负债互抵金额-递延所得税负债" periodRef="本期期初数" mulRef="_GBC_87248a34ce3042a5abe2f7b24ba6f68f" unitRef="_GBC_cd0e5c76f450471280579335020253cf" addr="T0R2C3S1_1" formatStyle="Comma" appId="_GBC_d6419a9d2dc94127a5f6aea72cb2a94d"/>
      <m:item xlName="_GBC_e16048adf13149fc83327fed1843cc3b" concept="clcid-pte:HuDiHouDeDiYanSuoDeShuiFuZhaiZanShiXingChaYiXiaoJi" label="互抵后的递延所得税负债暂时性差异小计" periodRef="本期期初数" mulRef="_GBC_87248a34ce3042a5abe2f7b24ba6f68f" unitRef="_GBC_cd0e5c76f450471280579335020253cf" addr="T0R2C4S1_1" formatStyle="Comma" appId="_GBC_d6419a9d2dc94127a5f6aea72cb2a94d"/>
    </m:section>
    <m:section xlName="_SEC_858c4743950048c4949e354ac068e8af" title="未确认递延所得税资产明细">
      <m:item xlName="_GBC_f210878b05204277b5f70ed9ae786ea7" concept="clcid-ci-ar:ShiFouShiYongWeiQueRenDiYanSuoDeShuiZiChanMingXi" label="是否适用：未确认递延所得税资产明细" selectOptions="_buildInAppliance" controlType="CustomCheckbox" cRanges="{&quot;StartName&quot;:&quot;_GBC_f210878b05204277b5f70ed9ae786ea7&quot;,&quot;EndName&quot;:&quot;_GBC_5700c96669774c97814eafc654c0ae46&quot;,&quot;CType&quot;:1,&quot;DisplayText&quot;:null}"/>
      <m:item xlName="_GBC_ce13c0c07be34b60aa76bbbf1260928d" concept="clcid-ci-ar:DanWeiCaiWuFuZhuWeiQueRenDiYanSuoDeShuiZiChanMingXi" label="单位：财务附注：未确认递延所得税资产明细" selectOptions="_buildInScales" controlType="Combobox" cellType="Scale" appId="_GBC_f210878b05204277b5f70ed9ae786ea7"/>
      <m:item xlName="_GBC_8f1c08c0092d44718e258d0b64b7bf6f" concept="clcid-ci-ar:BiZhongCaiWuFuZhuWeiQueRenDiYanSuoDeShuiZiChanMingXi" label="币种：财务附注：未确认递延所得税资产明细" selectOptions="_buildInISO4217" controlType="Combobox" cellType="Measure" appId="_GBC_f210878b05204277b5f70ed9ae786ea7"/>
      <m:placeholder xlName="_PLD_bfd226eac09b4e2fb1cc66684c879c9b" addr="T0R0C0S1_1"/>
      <m:placeholder xlName="_PLD_bba7988c74a34dcf950349beb6df1c0b" addr="T0R0C1S1_1"/>
      <m:placeholder xlName="_PLD_36004da9855d4469bf16ab328077f444" addr="T0R0C2S1_1"/>
      <m:placeholder xlName="_PLD_381c26214cb146ecba0c66da7cccbb9b" addr="T0R1C0S1_1"/>
      <m:item xlName="_GBC_ae10d574c54a420086fb8e291829e266" concept="clcid-pte:WeiQueRenDiYanSuoDeShuiZiChanZhongKeDiKouZanShiXingChaYi" label="未确认递延所得税资产中可抵扣暂时性差异" mulRef="_GBC_ce13c0c07be34b60aa76bbbf1260928d" unitRef="_GBC_8f1c08c0092d44718e258d0b64b7bf6f" addr="T0R1C1S1_1" formatStyle="Comma" appId="_GBC_f210878b05204277b5f70ed9ae786ea7"/>
      <m:item xlName="_GBC_3429bd2a96634a22a8bd22a692a9f915" concept="clcid-pte:WeiQueRenDiYanSuoDeShuiZiChanZhongKeDiKouZanShiXingChaYi" label="未确认递延所得税资产中可抵扣暂时性差异" periodRef="本期期初数" mulRef="_GBC_ce13c0c07be34b60aa76bbbf1260928d" unitRef="_GBC_8f1c08c0092d44718e258d0b64b7bf6f" addr="T0R1C2S1_1" formatStyle="Comma" appId="_GBC_f210878b05204277b5f70ed9ae786ea7"/>
      <m:placeholder xlName="_PLD_7d61d57f3afe461287d338be31b7f128" addr="T0R2C0S1_1"/>
      <m:item xlName="_GBC_e681acd3890a44c28ccd863d27cfb240" concept="clcid-pte:WeiQueRenDiYanSuoDeShuiZiChanZhongKeDiKouKuiSun" label="未确认递延所得税资产中可抵扣亏损" mulRef="_GBC_ce13c0c07be34b60aa76bbbf1260928d" unitRef="_GBC_8f1c08c0092d44718e258d0b64b7bf6f" addr="T0R2C1S1_1" formatStyle="Comma" appId="_GBC_f210878b05204277b5f70ed9ae786ea7"/>
      <m:item xlName="_GBC_af587d97ea124b11b5da629129d1f814" concept="clcid-pte:WeiQueRenDiYanSuoDeShuiZiChanZhongKeDiKouKuiSun" label="未确认递延所得税资产中可抵扣亏损" periodRef="本期期初数" mulRef="_GBC_ce13c0c07be34b60aa76bbbf1260928d" unitRef="_GBC_8f1c08c0092d44718e258d0b64b7bf6f" addr="T0R2C2S1_1" formatStyle="Comma" appId="_GBC_f210878b05204277b5f70ed9ae786ea7"/>
      <m:tuple xlName="_GBC_dececa13e6ec42e9a7b6dc670fa5ccbb" concept="clcid-pte:WeiQueRenDiYanSuoDeShuiZiChanMingXi" default_row="2" addr="T0R3C">
        <m:item xlName="_GBC_6cd147c04e7b456bafea6098b3fba004" concept="clcid-pte:WeiQueRenDiYanSuoDeShuiZiChanMingXiXiangMu" label="未确认递延所得税资产明细-项目" addr="T0R3C0S1_1" cellConvertType="1" appId="_GBC_f210878b05204277b5f70ed9ae786ea7"/>
        <m:item xlName="_GBC_b0aaa53b82ed44b1b1a435d21f9e32fc" concept="clcid-pte:WeiQueRenDiYanSuoDeShuiZiChanMingXiJinE" label="未确认递延所得税资产明细-金额" mulRef="_GBC_ce13c0c07be34b60aa76bbbf1260928d" unitRef="_GBC_8f1c08c0092d44718e258d0b64b7bf6f" addr="T0R3C1S1_1" formatStyle="Comma" appId="_GBC_f210878b05204277b5f70ed9ae786ea7"/>
        <m:item xlName="_GBC_61899a22b1dd49e0b47e74099814da30" concept="clcid-pte:WeiQueRenDiYanSuoDeShuiZiChanMingXiJinE" label="未确认递延所得税资产明细-金额" periodRef="本期期初数" mulRef="_GBC_ce13c0c07be34b60aa76bbbf1260928d" unitRef="_GBC_8f1c08c0092d44718e258d0b64b7bf6f" addr="T0R3C2S1_1" formatStyle="Comma" appId="_GBC_f210878b05204277b5f70ed9ae786ea7"/>
      </m:tuple>
      <m:placeholder xlName="_PLD_a867b83c897e41619f1515baeb2b55ff" addr="T0R5C0S1_1"/>
      <m:item xlName="_GBC_ac84e0734d984a47b7b991f91d47c06a" concept="clcid-pte:WeiQueRenDiYanSuoDeShuiZiChanXiaoJi" label="未确认递延所得税资产小计" mulRef="_GBC_ce13c0c07be34b60aa76bbbf1260928d" unitRef="_GBC_8f1c08c0092d44718e258d0b64b7bf6f" addr="T0R5C1S1_1" formatStyle="Comma" appId="_GBC_f210878b05204277b5f70ed9ae786ea7">
        <m:complexRule comparator="Eq" title="未确认递延所得税资产小计" test=" $_GBC_ae10d574c54a420086fb8e291829e266 +  $_GBC_e681acd3890a44c28ccd863d27cfb240 +  $_GBC_b0aaa53b82ed44b1b1a435d21f9e32fc" id="Cf262b81ad49f405db975eaeb8a54cb46" serialType="1"/>
      </m:item>
      <m:item xlName="_GBC_5700c96669774c97814eafc654c0ae46" concept="clcid-pte:WeiQueRenDiYanSuoDeShuiZiChanXiaoJi" label="未确认递延所得税资产小计" periodRef="本期期初数" mulRef="_GBC_ce13c0c07be34b60aa76bbbf1260928d" unitRef="_GBC_8f1c08c0092d44718e258d0b64b7bf6f" addr="T0R5C2S1_1" formatStyle="Comma" appId="_GBC_f210878b05204277b5f70ed9ae786ea7">
        <m:complexRule comparator="Eq" title="未确认递延所得税资产小计@本期期初数" test=" $_GBC_3429bd2a96634a22a8bd22a692a9f915 +  $_GBC_af587d97ea124b11b5da629129d1f814 +  $_GBC_61899a22b1dd49e0b47e74099814da30" id="Cd5992a12483e4ee7bc6cb249d9a43563" serialType="1"/>
      </m:item>
    </m:section>
    <m:section xlName="_SEC_a5f2b329395b406fa4b30b710f4a81e0" title="未确认递延所得税资产的可抵扣亏损将于以下年度到期">
      <m:item xlName="_GBC_10d31911cedc4147b90ab71d35742bf4" concept="clcid-ci-ar:ShiFouShiYongWeiQueRenDiYanSuoDeShuiZiChanDeKeDiKouKuiSunJiangYuYiXiaNianDuDaoQi" label="是否适用：未确认递延所得税资产的可抵扣亏损将于以下年度到期" selectOptions="_buildInAppliance" controlType="CustomCheckbox" cRanges="{&quot;StartName&quot;:&quot;_GBC_10d31911cedc4147b90ab71d35742bf4&quot;,&quot;EndName&quot;:&quot;_GBC_d873ca0b9f114cfd90985d6eaf6b0548&quot;,&quot;CType&quot;:1,&quot;DisplayText&quot;:null}"/>
      <m:item xlName="_GBC_e5ae9be2f02b49aa93ff11e0e7a11cca" concept="clcid-ci-ar:DanWeiCaiWuFuZhuWeiQueRenDiYanSuoDeShuiZiChanDeKeDiKouKuiSunJiangYuYiXiaNianDuDaoQi" label="单位：财务附注：未确认递延所得税资产的可抵扣亏损将于以下年度到期" selectOptions="_buildInScales" controlType="Combobox" cellType="Scale" appId="_GBC_10d31911cedc4147b90ab71d35742bf4"/>
      <m:item xlName="_GBC_83b0fc2196304484aa53ef2b9e2e191a" concept="clcid-ci-ar:BiZhongCaiWuFuZhuWeiQueRenDiYanSuoDeShuiZiChanDeKeDiKouKuiSunJiangYuYiXiaNianDuDaoQi" label="币种：财务附注：未确认递延所得税资产的可抵扣亏损将于以下年度到期" selectOptions="_buildInISO4217" controlType="Combobox" cellType="Measure" appId="_GBC_10d31911cedc4147b90ab71d35742bf4"/>
      <m:placeholder xlName="_PLD_710a470de2b84ef593de891faad46b6b" addr="T0R0C0S1_1"/>
      <m:placeholder xlName="_PLD_a6335ab4fba14ab8946b823c64f03503" addr="T0R0C1S1_1"/>
      <m:placeholder xlName="_PLD_7582e6645cec4513a5606c104f2d83f1" addr="T0R0C2S1_1"/>
      <m:placeholder xlName="_PLD_1a030fe5a0564bed845b9b81b2eda8b8" addr="T0R0C3S1_1"/>
      <m:tuple xlName="_GBC_a44a3a947eba4ff199b2b5473e07ff8b" concept="clcid-pte:WeiQueRenDiYanSuoDeShuiZiChanDeKeDiKouKuiSunDaoQiMingXi" default_row="2" addr="T0R1C">
        <m:item xlName="_GBC_fec84c8e4cb242739b5ec782cbea0254" concept="clcid-pte:WeiQueRenDiYanSuoDeShuiZiChanDeKeDiKouKuiSunDaoQiMingXiNianFen" label="未确认递延所得税资产的可抵扣亏损到期明细-年份" addr="T0R1C0S1_1" formatStyle="NoComma" cellConvertType="1" appId="_GBC_10d31911cedc4147b90ab71d35742bf4"/>
        <m:item xlName="_GBC_6dff318c81f64beb8d22d27087c4d29a" concept="clcid-pte:WeiQueRenDiYanSuoDeShuiZiChanDeKeDiKouKuiSunDaoQiMingXiJinE" label="未确认递延所得税资产的可抵扣亏损到期明细-金额" mulRef="_GBC_e5ae9be2f02b49aa93ff11e0e7a11cca" unitRef="_GBC_83b0fc2196304484aa53ef2b9e2e191a" addr="T0R1C1S1_1" formatStyle="Comma" appId="_GBC_10d31911cedc4147b90ab71d35742bf4"/>
        <m:item xlName="_GBC_06435fa122c24a659e15b62fea2938bc" concept="clcid-pte:WeiQueRenDiYanSuoDeShuiZiChanDeKeDiKouKuiSunDaoQiMingXiJinE" label="未确认递延所得税资产的可抵扣亏损到期明细-金额" periodRef="本期期初数" mulRef="_GBC_e5ae9be2f02b49aa93ff11e0e7a11cca" unitRef="_GBC_83b0fc2196304484aa53ef2b9e2e191a" addr="T0R1C2S1_1" formatStyle="Comma" appId="_GBC_10d31911cedc4147b90ab71d35742bf4"/>
        <m:item xlName="_GBC_5f9163b7b4ef4be098d32439505f48ff" concept="clcid-pte:WeiQueRenDiYanSuoDeShuiZiChanDeKeDiKouKuiSunDaoQiMingXiBeiZhu" label="未确认递延所得税资产的可抵扣亏损到期明细-备注" addr="T0R1C3S1_1" appId="_GBC_10d31911cedc4147b90ab71d35742bf4"/>
      </m:tuple>
      <m:placeholder xlName="_PLD_46168047d07447b6bd845849845604bb" addr="T0R3C0S1_1"/>
      <m:item xlName="_GBC_8c9a9424bfa549b7951b31566ca7c100" concept="clcid-pte:WeiQueRenDiYanSuoDeShuiZiChanZhongKeDiKouKuiSunHeJi" label="未确认递延所得税资产中可抵扣亏损合计" mulRef="_GBC_e5ae9be2f02b49aa93ff11e0e7a11cca" unitRef="_GBC_83b0fc2196304484aa53ef2b9e2e191a" addr="T0R3C1S1_1" formatStyle="Comma" appId="_GBC_10d31911cedc4147b90ab71d35742bf4">
        <m:complexRule comparator="Eq" title="未确认递延所得税资产中可抵扣亏损合计" test=" $_GBC_6dff318c81f64beb8d22d27087c4d29a" id="C2987e3d72688408890297c77d1334f4f"/>
      </m:item>
      <m:item xlName="_GBC_d873ca0b9f114cfd90985d6eaf6b0548" concept="clcid-pte:WeiQueRenDiYanSuoDeShuiZiChanZhongKeDiKouKuiSunHeJi" label="未确认递延所得税资产中可抵扣亏损合计" periodRef="本期期初数" mulRef="_GBC_e5ae9be2f02b49aa93ff11e0e7a11cca" unitRef="_GBC_83b0fc2196304484aa53ef2b9e2e191a" addr="T0R3C2S1_1" formatStyle="Comma" appId="_GBC_10d31911cedc4147b90ab71d35742bf4">
        <m:complexRule comparator="Eq" title="未确认递延所得税资产中可抵扣亏损合计@本期期初数" test=" $_GBC_06435fa122c24a659e15b62fea2938bc" id="Cb1bfc91cade44e46b0d0ac5d3df3f053"/>
      </m:item>
    </m:section>
    <m:section xlName="_GBC_057749240d604d9ab0db94f6e505935f" title="递延所得税资产和递延所得税负债的说明" rules="R2015_R11_015" convertSummaryRule="NoConvert" helpId="112001077">
      <m:item xlName="_GBC_06478ceb6b7447a791a4a5cbf8cc7e95" concept="clcid-ci-ar:ShiFouShiYongDiYanSuoDeShuiZiChanHeDiYanSuoDeShuiFuZhaiDeShuoMing" label="是否适用：递延所得税资产和递延所得税负债的说明" selectOptions="_buildInAppliance" controlType="CustomCheckbox" cRanges="{&quot;StartName&quot;:&quot;_GBC_06478ceb6b7447a791a4a5cbf8cc7e95&quot;,&quot;EndName&quot;:&quot;_GBC_542c1a23126f46c398ae6907555a7cf5&quot;,&quot;CType&quot;:1,&quot;DisplayText&quot;:null}"/>
      <m:item xlName="_GBC_542c1a23126f46c398ae6907555a7cf5" concept="clcid-pte:DiYanSuoDeShuiZiChanHeDiYanSuoDeShuiFuZhaiDeShuoMing" label="递延所得税资产和递延所得税负债的说明" appId="_GBC_06478ceb6b7447a791a4a5cbf8cc7e95"/>
    </m:section>
    <m:section xlName="_GBC_b8db472f168c433c9cdb46a39ab78b50" title="其他非流动资产" rules="R2015_R11_016" helpId="112001235">
      <m:item xlName="_GBC_227882aeaa9b4aa98d6af8bcac2af7a5" concept="clcid-ci-ar:ShiFouShiYongQiTaFeiLiuDongZiChan" label="是否适用：其他非流动资产" selectOptions="_buildInAppliance" controlType="CustomCheckbox" cRanges="{&quot;StartName&quot;:&quot;_GBC_227882aeaa9b4aa98d6af8bcac2af7a5&quot;,&quot;EndName&quot;:&quot;_GBC_c90d49970b64411f909938927f41ebe5&quot;,&quot;CType&quot;:1,&quot;DisplayText&quot;:null}"/>
      <m:item xlName="_GBC_5fd172528c7e4c4c8619b250ae90cdb4" concept="clcid-ci-ar:DanWeiCaiWuFuZhuQiTaFeiLiuDongZiChan" label="单位：财务附注：其他非流动资产" selectOptions="_buildInScales" controlType="Combobox" cellType="Scale" appId="_GBC_227882aeaa9b4aa98d6af8bcac2af7a5"/>
      <m:item xlName="_GBC_4cd5c26035ba4f7384dee597c98f0cb6" concept="clcid-ci-ar:BiZhongCaiWuFuZhuQiTaFeiLiuDongZiChan" label="币种：财务附注：其他非流动资产" selectOptions="_buildInISO4217" controlType="Combobox" cellType="Measure" appId="_GBC_227882aeaa9b4aa98d6af8bcac2af7a5"/>
      <m:placeholder xlName="_PLD_a0072e7adb6c49bb95cec91e0b7ec491" addr="T0R0C0S2_1"/>
      <m:placeholder xlName="_PLD_9557fd4b49c84b3db8c9ae69c7346562" addr="T0R0C1S1_3"/>
      <m:placeholder xlName="_PLD_dad73a13c6c344aaa0bec642175f96c3" addr="T0R0C4S1_3"/>
      <m:placeholder xlName="_PLD_93d316b5ed8d45ea95cfce051b0f999d" addr="T0R1C1S1_1"/>
      <m:placeholder xlName="_PLD_ce9573e9b47f4859912e77c530974f87" addr="T0R1C2S1_1"/>
      <m:placeholder xlName="_PLD_4b72c2cb7df84a3a9384f2eaa1acaf3a" addr="T0R1C3S1_1"/>
      <m:placeholder xlName="_PLD_31abd03025c54702bba8f28fbcd435be" addr="T0R1C4S1_1"/>
      <m:placeholder xlName="_PLD_5650816a035d4b9d999e9f87d1506d3b" addr="T0R1C5S1_1"/>
      <m:placeholder xlName="_PLD_76b67d2d1c1543c0b22ec33e5ae8e28a" addr="T0R1C6S1_1"/>
      <m:placeholder xlName="_PLD_9f43b36b71d04985ba53ac007747aff7" addr="T0R2C0S1_1"/>
      <m:item xlName="_GBC_86239ddfede44ee5b1ac5d7abf59261c" concept="clcid-pte:QiTaFeiLiuDongZiChanHeTongQuDeChengBenZhangMianYuE" label="其他非流动资产-合同取得成本账面余额" mulRef="_GBC_5fd172528c7e4c4c8619b250ae90cdb4" unitRef="_GBC_4cd5c26035ba4f7384dee597c98f0cb6" addr="T0R2C1S1_1" formatStyle="Comma" appId="_GBC_227882aeaa9b4aa98d6af8bcac2af7a5"/>
      <m:item xlName="_GBC_c85ee215cb7a411f93551f606dd95dcc" concept="clcid-pte:QiTaFeiLiuDongZiChanHeTongQuDeChengBenJianZhiZhunBei" label="其他非流动资产-合同取得成本减值准备" mulRef="_GBC_5fd172528c7e4c4c8619b250ae90cdb4" unitRef="_GBC_4cd5c26035ba4f7384dee597c98f0cb6" addr="T0R2C2S1_1" formatStyle="Comma" appId="_GBC_227882aeaa9b4aa98d6af8bcac2af7a5"/>
      <m:item xlName="_GBC_c6f99fc8317d429da5f7544865773f01" concept="clcid-pte:QiTaFeiLiuDongZiChanHeTongQuDeChengBen" label="其他非流动资产-合同取得成本" mulRef="_GBC_5fd172528c7e4c4c8619b250ae90cdb4" unitRef="_GBC_4cd5c26035ba4f7384dee597c98f0cb6" addr="T0R2C3S1_1" formatStyle="Comma" appId="_GBC_227882aeaa9b4aa98d6af8bcac2af7a5"/>
      <m:item xlName="_GBC_9058a4d09b8c43f6b305b27af3897a0a" concept="clcid-pte:QiTaFeiLiuDongZiChanHeTongQuDeChengBenZhangMianYuE" label="其他非流动资产-合同取得成本账面余额" periodRef="本期期初数" mulRef="_GBC_5fd172528c7e4c4c8619b250ae90cdb4" unitRef="_GBC_4cd5c26035ba4f7384dee597c98f0cb6" addr="T0R2C4S1_1" formatStyle="Comma" appId="_GBC_227882aeaa9b4aa98d6af8bcac2af7a5"/>
      <m:item xlName="_GBC_0a7cf3944fd44482aefe73470ad374ec" concept="clcid-pte:QiTaFeiLiuDongZiChanHeTongQuDeChengBenJianZhiZhunBei" label="其他非流动资产-合同取得成本减值准备" periodRef="本期期初数" mulRef="_GBC_5fd172528c7e4c4c8619b250ae90cdb4" unitRef="_GBC_4cd5c26035ba4f7384dee597c98f0cb6" addr="T0R2C5S1_1" formatStyle="Comma" appId="_GBC_227882aeaa9b4aa98d6af8bcac2af7a5"/>
      <m:item xlName="_GBC_c3ea959a364347928ebe4670c9a9c3c7" concept="clcid-pte:QiTaFeiLiuDongZiChanHeTongQuDeChengBen" label="其他非流动资产-合同取得成本" periodRef="本期期初数" mulRef="_GBC_5fd172528c7e4c4c8619b250ae90cdb4" unitRef="_GBC_4cd5c26035ba4f7384dee597c98f0cb6" addr="T0R2C6S1_1" formatStyle="Comma" appId="_GBC_227882aeaa9b4aa98d6af8bcac2af7a5"/>
      <m:placeholder xlName="_PLD_c550a39c676e441eae179e171293d126" addr="T0R3C0S1_1"/>
      <m:item xlName="_GBC_5c0735e8591d4561ba0b5716aae897e2" concept="clcid-pte:QiTaFeiLiuDongZiChanHeTongLvYueChengBenZhangMianYuE" label="其他非流动资产-合同履约成本账面余额" mulRef="_GBC_5fd172528c7e4c4c8619b250ae90cdb4" unitRef="_GBC_4cd5c26035ba4f7384dee597c98f0cb6" addr="T0R3C1S1_1" formatStyle="Comma" appId="_GBC_227882aeaa9b4aa98d6af8bcac2af7a5"/>
      <m:item xlName="_GBC_385e593361ec4efd93d6b2fb56fb2728" concept="clcid-pte:QiTaFeiLiuDongZiChanHeTongLvYueChengBenJianZhiZhunBei" label="其他非流动资产-合同履约成本减值准备" mulRef="_GBC_5fd172528c7e4c4c8619b250ae90cdb4" unitRef="_GBC_4cd5c26035ba4f7384dee597c98f0cb6" addr="T0R3C2S1_1" formatStyle="Comma" appId="_GBC_227882aeaa9b4aa98d6af8bcac2af7a5"/>
      <m:item xlName="_GBC_b616714f84ac4c629c6576b45b82dce6" concept="clcid-pte:QiTaFeiLiuDongZiChanHeTongLvYueChengBen" label="其他非流动资产-合同履约成本" mulRef="_GBC_5fd172528c7e4c4c8619b250ae90cdb4" unitRef="_GBC_4cd5c26035ba4f7384dee597c98f0cb6" addr="T0R3C3S1_1" formatStyle="Comma" appId="_GBC_227882aeaa9b4aa98d6af8bcac2af7a5"/>
      <m:item xlName="_GBC_d09c1a1e863246ddb3406aff498d2e52" concept="clcid-pte:QiTaFeiLiuDongZiChanHeTongLvYueChengBenZhangMianYuE" label="其他非流动资产-合同履约成本账面余额" periodRef="本期期初数" mulRef="_GBC_5fd172528c7e4c4c8619b250ae90cdb4" unitRef="_GBC_4cd5c26035ba4f7384dee597c98f0cb6" addr="T0R3C4S1_1" formatStyle="Comma" appId="_GBC_227882aeaa9b4aa98d6af8bcac2af7a5"/>
      <m:item xlName="_GBC_8f8bfed459b140c185ff955f95f76fc5" concept="clcid-pte:QiTaFeiLiuDongZiChanHeTongLvYueChengBenJianZhiZhunBei" label="其他非流动资产-合同履约成本减值准备" periodRef="本期期初数" mulRef="_GBC_5fd172528c7e4c4c8619b250ae90cdb4" unitRef="_GBC_4cd5c26035ba4f7384dee597c98f0cb6" addr="T0R3C5S1_1" formatStyle="Comma" appId="_GBC_227882aeaa9b4aa98d6af8bcac2af7a5"/>
      <m:item xlName="_GBC_fdb3ecc849f24b9ab2665d09a37356d7" concept="clcid-pte:QiTaFeiLiuDongZiChanHeTongLvYueChengBen" label="其他非流动资产-合同履约成本" periodRef="本期期初数" mulRef="_GBC_5fd172528c7e4c4c8619b250ae90cdb4" unitRef="_GBC_4cd5c26035ba4f7384dee597c98f0cb6" addr="T0R3C6S1_1" formatStyle="Comma" appId="_GBC_227882aeaa9b4aa98d6af8bcac2af7a5"/>
      <m:placeholder xlName="_PLD_21c63e43195a45f681e28944e7d60b72" addr="T0R4C0S1_1"/>
      <m:item xlName="_GBC_9f53b886ad4c4c2698b5a7d7562e5240" concept="clcid-pte:QiTaFeiLiuDongZiChanYingShouTuiHuoChengBenZhangMianYuE" label="其他非流动资产-应收退货成本账面余额" mulRef="_GBC_5fd172528c7e4c4c8619b250ae90cdb4" unitRef="_GBC_4cd5c26035ba4f7384dee597c98f0cb6" addr="T0R4C1S1_1" formatStyle="Comma" appId="_GBC_227882aeaa9b4aa98d6af8bcac2af7a5"/>
      <m:item xlName="_GBC_0321860641aa43d79806fcbba2ebb685" concept="clcid-pte:QiTaFeiLiuDongZiChanYingShouTuiHuoChengBenJianZhiZhunBei" label="其他非流动资产-应收退货成本减值准备" mulRef="_GBC_5fd172528c7e4c4c8619b250ae90cdb4" unitRef="_GBC_4cd5c26035ba4f7384dee597c98f0cb6" addr="T0R4C2S1_1" formatStyle="Comma" appId="_GBC_227882aeaa9b4aa98d6af8bcac2af7a5"/>
      <m:item xlName="_GBC_735ce0bb8b33481289355b6c6933ced0" concept="clcid-pte:QiTaFeiLiuDongZiChanYingShouTuiHuoChengBen" label="其他非流动资产-应收退货成本" mulRef="_GBC_5fd172528c7e4c4c8619b250ae90cdb4" unitRef="_GBC_4cd5c26035ba4f7384dee597c98f0cb6" addr="T0R4C3S1_1" formatStyle="Comma" appId="_GBC_227882aeaa9b4aa98d6af8bcac2af7a5"/>
      <m:item xlName="_GBC_1b02e150047a4f50a11c251e656d2c64" concept="clcid-pte:QiTaFeiLiuDongZiChanYingShouTuiHuoChengBenZhangMianYuE" label="其他非流动资产-应收退货成本账面余额" periodRef="本期期初数" mulRef="_GBC_5fd172528c7e4c4c8619b250ae90cdb4" unitRef="_GBC_4cd5c26035ba4f7384dee597c98f0cb6" addr="T0R4C4S1_1" formatStyle="Comma" appId="_GBC_227882aeaa9b4aa98d6af8bcac2af7a5"/>
      <m:item xlName="_GBC_d42a74d35d2948e3abebccb186692f5c" concept="clcid-pte:QiTaFeiLiuDongZiChanYingShouTuiHuoChengBenJianZhiZhunBei" label="其他非流动资产-应收退货成本减值准备" periodRef="本期期初数" mulRef="_GBC_5fd172528c7e4c4c8619b250ae90cdb4" unitRef="_GBC_4cd5c26035ba4f7384dee597c98f0cb6" addr="T0R4C5S1_1" formatStyle="Comma" appId="_GBC_227882aeaa9b4aa98d6af8bcac2af7a5"/>
      <m:item xlName="_GBC_b2fafe2d937b44c88185433f06ac6dc3" concept="clcid-pte:QiTaFeiLiuDongZiChanYingShouTuiHuoChengBen" label="其他非流动资产-应收退货成本" periodRef="本期期初数" mulRef="_GBC_5fd172528c7e4c4c8619b250ae90cdb4" unitRef="_GBC_4cd5c26035ba4f7384dee597c98f0cb6" addr="T0R4C6S1_1" formatStyle="Comma" appId="_GBC_227882aeaa9b4aa98d6af8bcac2af7a5"/>
      <m:placeholder xlName="_PLD_f1f5826e769b49f1996be0b834406450" addr="T0R5C0S1_1"/>
      <m:item xlName="_GBC_c697ac8aaf7049e790318375cb28d18c" concept="clcid-pte:QiTaFeiLiuDongZiChanHeTongZiChanZhangMianYuE" label="其他非流动资产-合同资产账面余额" mulRef="_GBC_5fd172528c7e4c4c8619b250ae90cdb4" unitRef="_GBC_4cd5c26035ba4f7384dee597c98f0cb6" addr="T0R5C1S1_1" formatStyle="Comma" appId="_GBC_227882aeaa9b4aa98d6af8bcac2af7a5"/>
      <m:item xlName="_GBC_3fe5e424ac214fd9a555ec3e1685200c" concept="clcid-pte:QiTaFeiLiuDongZiChanHeTongZiChanJianZhiZhunBei" label="其他非流动资产-合同资产减值准备" mulRef="_GBC_5fd172528c7e4c4c8619b250ae90cdb4" unitRef="_GBC_4cd5c26035ba4f7384dee597c98f0cb6" addr="T0R5C2S1_1" formatStyle="Comma" appId="_GBC_227882aeaa9b4aa98d6af8bcac2af7a5"/>
      <m:item xlName="_GBC_5fdca9c320da4b11ba652c8166c0474d" concept="clcid-pte:QiTaFeiLiuDongZiChanHeTongZiChan" label="其他非流动资产-合同资产" mulRef="_GBC_5fd172528c7e4c4c8619b250ae90cdb4" unitRef="_GBC_4cd5c26035ba4f7384dee597c98f0cb6" addr="T0R5C3S1_1" formatStyle="Comma" appId="_GBC_227882aeaa9b4aa98d6af8bcac2af7a5"/>
      <m:item xlName="_GBC_8134692554114f7ab540e8b0e4eb311f" concept="clcid-pte:QiTaFeiLiuDongZiChanHeTongZiChanZhangMianYuE" label="其他非流动资产-合同资产账面余额" periodRef="本期期初数" mulRef="_GBC_5fd172528c7e4c4c8619b250ae90cdb4" unitRef="_GBC_4cd5c26035ba4f7384dee597c98f0cb6" addr="T0R5C4S1_1" formatStyle="Comma" appId="_GBC_227882aeaa9b4aa98d6af8bcac2af7a5"/>
      <m:item xlName="_GBC_215404c6eca043ab947d130bd79fe975" concept="clcid-pte:QiTaFeiLiuDongZiChanHeTongZiChanJianZhiZhunBei" label="其他非流动资产-合同资产减值准备" periodRef="本期期初数" mulRef="_GBC_5fd172528c7e4c4c8619b250ae90cdb4" unitRef="_GBC_4cd5c26035ba4f7384dee597c98f0cb6" addr="T0R5C5S1_1" formatStyle="Comma" appId="_GBC_227882aeaa9b4aa98d6af8bcac2af7a5"/>
      <m:item xlName="_GBC_cb0fa39ac871458da5436284b2eb1e03" concept="clcid-pte:QiTaFeiLiuDongZiChanHeTongZiChan" label="其他非流动资产-合同资产" periodRef="本期期初数" mulRef="_GBC_5fd172528c7e4c4c8619b250ae90cdb4" unitRef="_GBC_4cd5c26035ba4f7384dee597c98f0cb6" addr="T0R5C6S1_1" formatStyle="Comma" appId="_GBC_227882aeaa9b4aa98d6af8bcac2af7a5"/>
      <m:tuple xlName="_TUP_d1338bd1e5ff437489b690d48cf84797" concept="clcid-pte:QiTaChangQiZiChanMingXi" default_row="2" addr="T0R6C">
        <m:item xlName="_GBC_4edd9853d9e8407cb93c12cc81cb429b" concept="clcid-pte:QiTaChangQiZiChanXiangMuMingCheng" label="其他长期资产项目名称" addr="T0R6C0S1_1" appId="_GBC_227882aeaa9b4aa98d6af8bcac2af7a5"/>
        <m:item xlName="_GBC_95a8458ce2db49428cfbaf062eeec12e" concept="clcid-pte:QiTaChangQiZiChanXiangMuZhangMianYuE" label="其他长期资产项目账面余额" mulRef="_GBC_5fd172528c7e4c4c8619b250ae90cdb4" unitRef="_GBC_4cd5c26035ba4f7384dee597c98f0cb6" addr="T0R6C1S1_1" formatStyle="Comma" appId="_GBC_227882aeaa9b4aa98d6af8bcac2af7a5"/>
        <m:item xlName="_GBC_309e28391fb34ccc9ee6ea9d07c8a441" concept="clcid-pte:QiTaChangQiZiChanXiangMuJianZhiZhunBei" label="其他长期资产项目减值准备" mulRef="_GBC_5fd172528c7e4c4c8619b250ae90cdb4" unitRef="_GBC_4cd5c26035ba4f7384dee597c98f0cb6" addr="T0R6C2S1_1" formatStyle="Comma" appId="_GBC_227882aeaa9b4aa98d6af8bcac2af7a5"/>
        <m:item xlName="_GBC_f055fe32186f4c77a0b4c54b35741b78" concept="clcid-pte:QiTaChangQiZiChanXiangMuJinE" label="其他长期资产项目金额" mulRef="_GBC_5fd172528c7e4c4c8619b250ae90cdb4" unitRef="_GBC_4cd5c26035ba4f7384dee597c98f0cb6" addr="T0R6C3S1_1" formatStyle="Comma" appId="_GBC_227882aeaa9b4aa98d6af8bcac2af7a5"/>
        <m:item xlName="_GBC_c275647efd8b47f887f5d3c4fb400bbc" concept="clcid-pte:QiTaChangQiZiChanXiangMuZhangMianYuE" label="其他长期资产项目账面余额" periodRef="本期期初数" mulRef="_GBC_5fd172528c7e4c4c8619b250ae90cdb4" unitRef="_GBC_4cd5c26035ba4f7384dee597c98f0cb6" addr="T0R6C4S1_1" formatStyle="Comma" appId="_GBC_227882aeaa9b4aa98d6af8bcac2af7a5"/>
        <m:item xlName="_GBC_6aa77c7f472940d9a56a4eec41db6e72" concept="clcid-pte:QiTaChangQiZiChanXiangMuJianZhiZhunBei" label="其他长期资产项目减值准备" periodRef="本期期初数" mulRef="_GBC_5fd172528c7e4c4c8619b250ae90cdb4" unitRef="_GBC_4cd5c26035ba4f7384dee597c98f0cb6" addr="T0R6C5S1_1" formatStyle="Comma" appId="_GBC_227882aeaa9b4aa98d6af8bcac2af7a5"/>
        <m:item xlName="_GBC_3ae2d5a4b58244f68f8d981ad057f468" concept="clcid-pte:QiTaChangQiZiChanXiangMuJinE" label="其他长期资产项目金额" periodRef="本期期初数" mulRef="_GBC_5fd172528c7e4c4c8619b250ae90cdb4" unitRef="_GBC_4cd5c26035ba4f7384dee597c98f0cb6" addr="T0R6C6S1_1" formatStyle="Comma" appId="_GBC_227882aeaa9b4aa98d6af8bcac2af7a5"/>
      </m:tuple>
      <m:placeholder xlName="_PLD_baa34d661ffd46a3a68ebd63193a4444" addr="T0R8C0S1_1"/>
      <m:item xlName="_GBC_aac7fdd0939b49ad9b6f83991f1e1955" concept="clcid-pte:QiTaChangQiZiChanZhangMianYuE" label="其他长期资产账面余额" mulRef="_GBC_5fd172528c7e4c4c8619b250ae90cdb4" unitRef="_GBC_4cd5c26035ba4f7384dee597c98f0cb6" addr="T0R8C1S1_1" formatStyle="Comma" appId="_GBC_227882aeaa9b4aa98d6af8bcac2af7a5">
        <m:complexRule comparator="Eq" title="其他长期资产账面余额" test="$_GBC_86239ddfede44ee5b1ac5d7abf59261c+$_GBC_5c0735e8591d4561ba0b5716aae897e2+$_GBC_9f53b886ad4c4c2698b5a7d7562e5240+$_GBC_c697ac8aaf7049e790318375cb28d18c+$_GBC_95a8458ce2db49428cfbaf062eeec12e" id="C75a0120a4a704e8d877204e20607483e"/>
      </m:item>
      <m:item xlName="_GBC_9a6157737c5143a78bdf41729d404de9" concept="clcid-pte:QiTaChangQiZiChanJianZhiZhunBei" label="其他长期资产减值准备" mulRef="_GBC_5fd172528c7e4c4c8619b250ae90cdb4" unitRef="_GBC_4cd5c26035ba4f7384dee597c98f0cb6" addr="T0R8C2S1_1" formatStyle="Comma" appId="_GBC_227882aeaa9b4aa98d6af8bcac2af7a5">
        <m:complexRule comparator="Eq" title="其他长期资产减值准备" test="$_GBC_c85ee215cb7a411f93551f606dd95dcc+$_GBC_385e593361ec4efd93d6b2fb56fb2728+$_GBC_0321860641aa43d79806fcbba2ebb685+$_GBC_3fe5e424ac214fd9a555ec3e1685200c+$_GBC_309e28391fb34ccc9ee6ea9d07c8a441" id="C71c2bb5ae9f54e41b3c4d70335b7b906"/>
      </m:item>
      <m:item xlName="_GBC_edb33bc53b4a40d7b149ee8c70348325" concept="clcid-pte:QiTaChangQiZiChan" label="其他长期资产" mulRef="_GBC_5fd172528c7e4c4c8619b250ae90cdb4" unitRef="_GBC_4cd5c26035ba4f7384dee597c98f0cb6" addr="T0R8C3S1_1" formatStyle="Comma" appId="_GBC_227882aeaa9b4aa98d6af8bcac2af7a5">
        <m:complexRule comparator="Eq" title="其他长期资产" test=" $_GBC_c6f99fc8317d429da5f7544865773f01 +  $_GBC_b616714f84ac4c629c6576b45b82dce6 +  $_GBC_735ce0bb8b33481289355b6c6933ced0 +  $_GBC_5fdca9c320da4b11ba652c8166c0474d +  $_GBC_f055fe32186f4c77a0b4c54b35741b78" id="C15b3b140684242a0a6265e42de936908"/>
      </m:item>
      <m:item xlName="_GBC_5eb430452eeb48fd9044ba8b5ee23879" concept="clcid-pte:QiTaChangQiZiChanZhangMianYuE" label="其他长期资产账面余额" periodRef="本期期初数" mulRef="_GBC_5fd172528c7e4c4c8619b250ae90cdb4" unitRef="_GBC_4cd5c26035ba4f7384dee597c98f0cb6" addr="T0R8C4S1_1" formatStyle="Comma" appId="_GBC_227882aeaa9b4aa98d6af8bcac2af7a5">
        <m:complexRule comparator="Eq" title="其他长期资产账面余额@本期期初数" test=" $_GBC_9058a4d09b8c43f6b305b27af3897a0a +  $_GBC_d09c1a1e863246ddb3406aff498d2e52 +  $_GBC_1b02e150047a4f50a11c251e656d2c64 +  $_GBC_8134692554114f7ab540e8b0e4eb311f +  $_GBC_c275647efd8b47f887f5d3c4fb400bbc" id="C0046382b862f40c683fcf1c4a5a39c3b"/>
      </m:item>
      <m:item xlName="_GBC_b105275c4f054b7c9df6cce22e99b19a" concept="clcid-pte:QiTaChangQiZiChanJianZhiZhunBei" label="其他长期资产减值准备" periodRef="本期期初数" mulRef="_GBC_5fd172528c7e4c4c8619b250ae90cdb4" unitRef="_GBC_4cd5c26035ba4f7384dee597c98f0cb6" addr="T0R8C5S1_1" formatStyle="Comma" appId="_GBC_227882aeaa9b4aa98d6af8bcac2af7a5">
        <m:complexRule comparator="Eq" title="其他长期资产减值准备@本期期初数" test="$_GBC_0a7cf3944fd44482aefe73470ad374ec+$_GBC_8f8bfed459b140c185ff955f95f76fc5+$_GBC_d42a74d35d2948e3abebccb186692f5c+$_GBC_215404c6eca043ab947d130bd79fe975+$_GBC_6aa77c7f472940d9a56a4eec41db6e72" id="C35f3ab012b994fd8acf2813715dd9fad"/>
      </m:item>
      <m:item xlName="_GBC_a0db485ea2e349bb846f31a96b698f01" concept="clcid-pte:QiTaChangQiZiChan" label="其他长期资产" periodRef="本期期初数" mulRef="_GBC_5fd172528c7e4c4c8619b250ae90cdb4" unitRef="_GBC_4cd5c26035ba4f7384dee597c98f0cb6" addr="T0R8C6S1_1" formatStyle="Comma" appId="_GBC_227882aeaa9b4aa98d6af8bcac2af7a5">
        <m:complexRule comparator="Eq" title="其他长期资产@本期期初数" test=" $_GBC_c3ea959a364347928ebe4670c9a9c3c7 +  $_GBC_fdb3ecc849f24b9ab2665d09a37356d7 +  $_GBC_b2fafe2d937b44c88185433f06ac6dc3 +  $_GBC_cb0fa39ac871458da5436284b2eb1e03 +  $_GBC_3ae2d5a4b58244f68f8d981ad057f468" id="Cf0285176d3a24cf7906b4616646f430f"/>
      </m:item>
      <m:item xlName="_GBC_c90d49970b64411f909938927f41ebe5" concept="clcid-pte:QiTaChangQiZiChanDeShuoMing" label="其他长期资产的说明" appId="_GBC_227882aeaa9b4aa98d6af8bcac2af7a5"/>
    </m:section>
    <m:section xlName="_GBC_7bd2428d8b3140c1a80e7a88bb928c1f" title="短期借款分类" convertSummaryRule="NoConvert" helpId="112001079">
      <m:item xlName="_GBC_1074387a68b64f6b9270b522de53ad85" concept="clcid-ci-ar:ShiFouShiYongDuanQiJieKuanFenLei" label="是否适用：短期借款分类" selectOptions="_buildInAppliance" controlType="CustomCheckbox" cRanges="{&quot;StartName&quot;:&quot;_GBC_1074387a68b64f6b9270b522de53ad85&quot;,&quot;EndName&quot;:&quot;_GBC_fc19e133dd4f4dbdb9d583e76175b714&quot;,&quot;CType&quot;:1,&quot;DisplayText&quot;:null}"/>
      <m:item xlName="_GBC_f3353209b65c4921b63143340e11aac9" concept="clcid-ci-ar:DanWeiCaiWuFuZhuDuanQiJieKuanFenLei" label="单位：财务附注：短期借款分类" selectOptions="_buildInScales" controlType="Combobox" cellType="Scale" appId="_GBC_1074387a68b64f6b9270b522de53ad85"/>
      <m:item xlName="_GBC_b3a1802faad14eae96cfab316b25f639" concept="clcid-ci-ar:BiZhongCaiWuFuZhuDuanQiJieKuanFenLei" label="币种：财务附注：短期借款分类" selectOptions="_buildInISO4217" controlType="Combobox" cellType="Measure" appId="_GBC_1074387a68b64f6b9270b522de53ad85"/>
      <m:placeholder xlName="_PLD_3476605067da474199aa03dc83e3d88c" addr="T0R0C0S1_1"/>
      <m:placeholder xlName="_PLD_ccd6dc2751cc421e8a2f26f78a44b4c5" addr="T0R0C1S1_1"/>
      <m:placeholder xlName="_PLD_c16f582c583d4324abc605c4bc563081" addr="T0R0C2S1_1"/>
      <m:placeholder xlName="_PLD_0e8c36451cb04874b50771df2ac75104" addr="T0R1C0S1_1"/>
      <m:item xlName="_GBC_c5a40cae7303449c9b9987a3f59fe53e" concept="clcid-pte:DuanQiJieKuanZhongDeZhiYaJieKuanJinE" label="短期借款中的质押借款金额" mulRef="_GBC_f3353209b65c4921b63143340e11aac9" unitRef="_GBC_b3a1802faad14eae96cfab316b25f639" addr="T0R1C1S1_1" formatStyle="Comma" appId="_GBC_1074387a68b64f6b9270b522de53ad85"/>
      <m:item xlName="_GBC_736ea85d58344e97ade3f28fd3ac53e1" concept="clcid-pte:DuanQiJieKuanZhongDeZhiYaJieKuanJinE" label="短期借款中的质押借款金额" periodRef="本期期初数" mulRef="_GBC_f3353209b65c4921b63143340e11aac9" unitRef="_GBC_b3a1802faad14eae96cfab316b25f639" addr="T0R1C2S1_1" formatStyle="Comma" appId="_GBC_1074387a68b64f6b9270b522de53ad85"/>
      <m:placeholder xlName="_PLD_175aee4cc1e24ae397a153f47913ca90" addr="T0R2C0S1_1"/>
      <m:item xlName="_GBC_abf77ce187004c66881f44e9b55ecb43" concept="clcid-pte:DuanQiJieKuanZhongDeDiYaJieKuanJinE" label="短期借款中的抵押借款金额" mulRef="_GBC_f3353209b65c4921b63143340e11aac9" unitRef="_GBC_b3a1802faad14eae96cfab316b25f639" addr="T0R2C1S1_1" formatStyle="Comma" appId="_GBC_1074387a68b64f6b9270b522de53ad85"/>
      <m:item xlName="_GBC_03ed3c0164e1467baae9d9cf13dad016" concept="clcid-pte:DuanQiJieKuanZhongDeDiYaJieKuanJinE" label="短期借款中的抵押借款金额" periodRef="本期期初数" mulRef="_GBC_f3353209b65c4921b63143340e11aac9" unitRef="_GBC_b3a1802faad14eae96cfab316b25f639" addr="T0R2C2S1_1" formatStyle="Comma" appId="_GBC_1074387a68b64f6b9270b522de53ad85"/>
      <m:placeholder xlName="_PLD_683943eeaad3404fa9922b66239868d3" addr="T0R3C0S1_1"/>
      <m:item xlName="_GBC_d083a663d10c4f6abcc1725ba665ace2" concept="clcid-pte:DuanQiJieKuanZhongDeDanBaoJieKuanJinE" label="短期借款中的担保借款金额" mulRef="_GBC_f3353209b65c4921b63143340e11aac9" unitRef="_GBC_b3a1802faad14eae96cfab316b25f639" addr="T0R3C1S1_1" formatStyle="Comma" appId="_GBC_1074387a68b64f6b9270b522de53ad85"/>
      <m:item xlName="_GBC_738784d505b74f349dad8f3a01cfd860" concept="clcid-pte:DuanQiJieKuanZhongDeDanBaoJieKuanJinE" label="短期借款中的担保借款金额" periodRef="本期期初数" mulRef="_GBC_f3353209b65c4921b63143340e11aac9" unitRef="_GBC_b3a1802faad14eae96cfab316b25f639" addr="T0R3C2S1_1" formatStyle="Comma" appId="_GBC_1074387a68b64f6b9270b522de53ad85"/>
      <m:placeholder xlName="_PLD_ac3f684241c3446d8157cc100dc691d8" addr="T0R4C0S1_1"/>
      <m:item xlName="_GBC_e637a7b6e76d4f24a85bc88dcc649ff3" concept="clcid-pte:DuanQiJieKuanZhongDeXinYongJieKuanJinE" label="短期借款中的信用借款金额" mulRef="_GBC_f3353209b65c4921b63143340e11aac9" unitRef="_GBC_b3a1802faad14eae96cfab316b25f639" addr="T0R4C1S1_1" formatStyle="Comma" appId="_GBC_1074387a68b64f6b9270b522de53ad85"/>
      <m:item xlName="_GBC_48bfc7183ced41c8b31fbd0bf439ff9b" concept="clcid-pte:DuanQiJieKuanZhongDeXinYongJieKuanJinE" label="短期借款中的信用借款金额" periodRef="本期期初数" mulRef="_GBC_f3353209b65c4921b63143340e11aac9" unitRef="_GBC_b3a1802faad14eae96cfab316b25f639" addr="T0R4C2S1_1" formatStyle="Comma" appId="_GBC_1074387a68b64f6b9270b522de53ad85"/>
      <m:tuple xlName="_GBC_3776cbdd3bc741b1b701033ef7f4c80d" concept="clcid-pte:QiTaDuanQiJieKuan" default_row="2" addr="T0R5C">
        <m:item xlName="_GBC_3f47c28d459445088cc608024cbf9bea" concept="clcid-pte:QiTaDuanQiJieKuanXiangMu" label="其他短期借款项目" addr="T0R5C0S1_1" appId="_GBC_1074387a68b64f6b9270b522de53ad85"/>
        <m:item xlName="_GBC_bf17002ca795448ea65f2bc727d8e877" concept="clcid-pte:QiTaDuanQiJieKuanXiangMuJinE" label="其他短期借款项目金额" mulRef="_GBC_f3353209b65c4921b63143340e11aac9" unitRef="_GBC_b3a1802faad14eae96cfab316b25f639" addr="T0R5C1S1_1" formatStyle="Comma" appId="_GBC_1074387a68b64f6b9270b522de53ad85"/>
        <m:item xlName="_GBC_9e9f8961967e480b9c0c5ab084c89360" concept="clcid-pte:QiTaDuanQiJieKuanXiangMuJinE" label="其他短期借款项目金额" periodRef="本期期初数" mulRef="_GBC_f3353209b65c4921b63143340e11aac9" unitRef="_GBC_b3a1802faad14eae96cfab316b25f639" addr="T0R5C2S1_1" formatStyle="Comma" appId="_GBC_1074387a68b64f6b9270b522de53ad85"/>
      </m:tuple>
      <m:placeholder xlName="_PLD_d743f636779d41b799b60f4fd4a017df" addr="T0R7C0S1_1"/>
      <m:item xlName="_GBC_5eb472958e814414bc4920ab10d0406f" concept="clcid-pte:DuanQiJieKuan" label="短期借款" mulRef="_GBC_f3353209b65c4921b63143340e11aac9" unitRef="_GBC_b3a1802faad14eae96cfab316b25f639" addr="T0R7C1S1_1" formatStyle="Comma" appId="_GBC_1074387a68b64f6b9270b522de53ad85">
        <m:complexRule comparator="Eq" title="短期借款" test=" $_GBC_c5a40cae7303449c9b9987a3f59fe53e +  $_GBC_abf77ce187004c66881f44e9b55ecb43 +  $_GBC_d083a663d10c4f6abcc1725ba665ace2 +  $_GBC_e637a7b6e76d4f24a85bc88dcc649ff3 +  $_GBC_bf17002ca795448ea65f2bc727d8e877" id="Ccad4cf81a898446fba4f27f3b1aa82e2" serialType="1"/>
      </m:item>
      <m:item xlName="_GBC_c626e59e1d454982b8822a88245af715" concept="clcid-pte:DuanQiJieKuan" label="短期借款" periodRef="本期期初数" mulRef="_GBC_f3353209b65c4921b63143340e11aac9" unitRef="_GBC_b3a1802faad14eae96cfab316b25f639" addr="T0R7C2S1_1" formatStyle="Comma" appId="_GBC_1074387a68b64f6b9270b522de53ad85">
        <m:complexRule comparator="Eq" title="短期借款@本期期初数" test=" $_GBC_736ea85d58344e97ade3f28fd3ac53e1 +  $_GBC_03ed3c0164e1467baae9d9cf13dad016 +  $_GBC_738784d505b74f349dad8f3a01cfd860 +  $_GBC_48bfc7183ced41c8b31fbd0bf439ff9b +  $_GBC_9e9f8961967e480b9c0c5ab084c89360" id="C7e18b1a570dd42c381eca34c8bd2563a" serialType="1"/>
      </m:item>
      <m:item xlName="_GBC_fc19e133dd4f4dbdb9d583e76175b714" concept="clcid-pte:DuanQiJieKuanFenLeiDeShuoMing" label="短期借款分类的说明" appId="_GBC_1074387a68b64f6b9270b522de53ad85"/>
    </m:section>
    <m:section xlName="_GBC_ed2a6c31b7cf49cda098dbe4c44cf674" title="已到期未偿还的短期借款情况" convertSummaryRule="NoConvert" helpId="112001079">
      <m:item xlName="_GBC_57f74ff95a304f19a7c06d7996fc30c7" concept="clcid-ci-ar:ShiFouShiYongYiYuQiWeiChangHuanDeDuanQiJieKuanQingKuang" label="是否适用：已逾期未偿还的短期借款情况" selectOptions="_buildInAppliance" controlType="CustomCheckbox" cRanges="{&quot;StartName&quot;:&quot;_GBC_57f74ff95a304f19a7c06d7996fc30c7&quot;,&quot;EndName&quot;:&quot;_GBC_789bf43c9344433ea58dafd9c88e07df&quot;,&quot;CType&quot;:1,&quot;DisplayText&quot;:null}"/>
      <m:item xlName="_GBC_911918a56f604df086a75a603773f510" concept="clcid-pte:YiYuQiWeiChangHuanDeDuanQiJieKuanZongE" label="已逾期未偿还的短期借款总额" formatStyle="Comma" appId="_GBC_57f74ff95a304f19a7c06d7996fc30c7"/>
      <m:item xlName="_GBC_f4579f14bfdd49cf8b15f0c692d1bd3a" concept="clcid-ci-ar:ShiFouShiYongQiZhongZhongYaoDeYiYuQiWeiChangHuanDeDuanQiJieKuanQingKuang" label="是否适用：其中重要的已逾期未偿还的短期借款情况" selectOptions="_buildInAppliance" controlType="CustomCheckbox" cRanges="{&quot;StartName&quot;:&quot;_GBC_f4579f14bfdd49cf8b15f0c692d1bd3a&quot;,&quot;EndName&quot;:&quot;_GBC_789bf43c9344433ea58dafd9c88e07df&quot;,&quot;CType&quot;:1,&quot;DisplayText&quot;:null}"/>
      <m:item xlName="_GBC_7d30478d5f844c2ca0da6a5b5b3bafe9" concept="clcid-ci-ar:DanWeiCaiWuFuZhuYuQiDuanQiJieKuanQingKuang" label="单位：财务附注：逾期短期借款情况" selectOptions="_buildInScales" controlType="Combobox" cellType="Scale" appId="_GBC_f4579f14bfdd49cf8b15f0c692d1bd3a"/>
      <m:item xlName="_GBC_ed4aafef38ca4ce88156a77498889cc0" concept="clcid-ci-ar:BiZhongCaiWuFuZhuYuQiDuanQiJieKuanQingKuang" label="币种：财务附注：逾期短期借款情况" selectOptions="_buildInISO4217" controlType="Combobox" cellType="Measure" appId="_GBC_f4579f14bfdd49cf8b15f0c692d1bd3a"/>
      <m:placeholder xlName="_PLD_2210a03223ab401ba4c85c4fb5afe8b2" addr="T0R0C0S1_1"/>
      <m:placeholder xlName="_PLD_d39a1cccde8a4579b7fc94147b2c929c" addr="T0R0C1S1_1"/>
      <m:placeholder xlName="_PLD_efc2dca90264430f8d87975be4a9621b" addr="T0R0C2S1_1"/>
      <m:placeholder xlName="_PLD_cfb0c586c0644f2e9810d0fa2feadcd7" addr="T0R0C3S1_1"/>
      <m:placeholder xlName="_PLD_dd5529cab9104dda9802896c2e831108" addr="T0R0C4S1_1"/>
      <m:tuple xlName="_GBC_6792aa12cd734b65a819341987ce812e" concept="clcid-pte:YuQiJieKuanDaiKuanMingXi" default_row="2" addr="T0R1C">
        <m:item xlName="_GBC_511100af2d674dfda483b6bae511f213" concept="clcid-pte:YuQiJieKuanDaiKuanDanWei" label="逾期借款贷款单位" addr="T0R1C0S1_1" appId="_GBC_f4579f14bfdd49cf8b15f0c692d1bd3a"/>
        <m:item xlName="_GBC_8a01de4192374c3996b79480036f8d2b" concept="clcid-pte:YuQiJieKuanDaiKuanJinE" label="逾期借款贷款金额" mulRef="_GBC_7d30478d5f844c2ca0da6a5b5b3bafe9" unitRef="_GBC_ed4aafef38ca4ce88156a77498889cc0" addr="T0R1C1S1_1" formatStyle="Comma" appId="_GBC_f4579f14bfdd49cf8b15f0c692d1bd3a"/>
        <m:item xlName="_GBC_196ca555318b45889dc958991a1adc47" concept="clcid-pte:YuQiJieKuanDaiKuanLiLv" label="逾期借款贷款利率" addr="T0R1C2S1_1" baseScale="0.01" formatStyle="Comma" appId="_GBC_f4579f14bfdd49cf8b15f0c692d1bd3a"/>
        <m:item xlName="_GBC_6fb768381b96457882a201b537030e5e" concept="clcid-pte:YuQiJieKuanYuQiShiJian" label="逾期借款逾期时间" addr="T0R1C3S1_1" appId="_GBC_f4579f14bfdd49cf8b15f0c692d1bd3a"/>
        <m:item xlName="_GBC_a8a4a61b80954beea2759df8fabbdeca" concept="clcid-pte:YuQiJieKuanYuQiLiLv" label="逾期借款逾期利率" addr="T0R1C4S1_1" baseScale="0.01" formatStyle="Comma" appId="_GBC_f4579f14bfdd49cf8b15f0c692d1bd3a"/>
      </m:tuple>
      <m:placeholder xlName="_PLD_780bf9282cb345949ae29a39038ad95f" addr="T0R3C0S1_1"/>
      <m:item xlName="_GBC_789bf43c9344433ea58dafd9c88e07df" concept="clcid-pte:YuQiJieKuanDaiKuanJinEHeJi" label="逾期借款贷款金额合计" mulRef="_GBC_7d30478d5f844c2ca0da6a5b5b3bafe9" unitRef="_GBC_ed4aafef38ca4ce88156a77498889cc0" addr="T0R3C1S1_1" formatStyle="Comma" appId="_GBC_f4579f14bfdd49cf8b15f0c692d1bd3a">
        <m:complexRule comparator="Eq" title="逾期借款贷款金额合计" test=" $_GBC_8a01de4192374c3996b79480036f8d2b" id="C4ce28c13d73f4ae283c9824a4b25b551"/>
      </m:item>
    </m:section>
    <m:section xlName="_GBC_46c6d163213144f484acc37c597c42f6" title="短期借款的说明" helpId="112001079">
      <m:item xlName="_GBC_663e3ee6df014147bb9c7daa18ccb062" concept="clcid-ci-ar:ShiFouShiYongDuanQiJieKuanDeShuoMing" label="是否适用：短期借款的说明" selectOptions="_buildInAppliance" controlType="CustomCheckbox" cRanges="{&quot;StartName&quot;:&quot;_GBC_663e3ee6df014147bb9c7daa18ccb062&quot;,&quot;EndName&quot;:&quot;_GBC_f83a01e6af164b4da13676c844a2f2a5&quot;,&quot;CType&quot;:1,&quot;DisplayText&quot;:null}"/>
      <m:item xlName="_GBC_f83a01e6af164b4da13676c844a2f2a5" concept="clcid-pte:DuanQiJieKuanDeShuoMing" label="短期借款的说明" appId="_GBC_663e3ee6df014147bb9c7daa18ccb062"/>
    </m:section>
    <m:section xlName="_SEC_354c17e0a096493bbae36dd9bb3f3774" title="交易性金融负债" helpId="112001080">
      <m:item xlName="_GBC_ed513d792f1f4a5f8256d125428aafdf" concept="clcid-ci-ar:ShiFouShiYongJiaoYiXingJinRongFuZhai" label="是否适用：交易性金融负债" selectOptions="_buildInAppliance" controlType="CustomCheckbox" cRanges="[{&quot;StartName&quot;:&quot;_GBC_ed513d792f1f4a5f8256d125428aafdf&quot;,&quot;EndName&quot;:&quot;_GBC_aafdc3030d4340e1ab058e7d1332c4e8&quot;,&quot;CType&quot;:1}]"/>
      <m:item xlName="_GBC_1dc20daf2baa4ecf8204efdfde0a6ee9" concept="clcid-ci-ar:DanWeiCaiWuFuZhuJiaoYiXingJinRongFuZhai" label="单位：财务附注：交易性金融负债" selectOptions="_buildInScales" controlType="Combobox" cellType="Scale" appId="_GBC_ed513d792f1f4a5f8256d125428aafdf"/>
      <m:item xlName="_GBC_97bc5d3ab9974410ae8f5c7781372913" concept="clcid-ci-ar:BiZhongCaiWuFuZhuJiaoYiXingJinRongFuZhai" label="币种：财务附注：交易性金融负债" selectOptions="_buildInISO4217" controlType="Combobox" cellType="Measure" appId="_GBC_ed513d792f1f4a5f8256d125428aafdf"/>
      <m:placeholder xlName="_PLD_5615d2f63ba94188a20d5f7ebdf0fd58" addr="T0R0C0S1_1"/>
      <m:placeholder xlName="_PLD_900c78c6462b443ababd9f2baf479a92" addr="T0R0C1S1_1"/>
      <m:placeholder xlName="_PLD_b58721c00efa45d781dfea78ff87bfbb" addr="T0R0C2S1_1"/>
      <m:placeholder xlName="_PLD_f65af984f03d4a08b36bd2a019abf581" addr="T0R0C3S1_1"/>
      <m:placeholder xlName="_PLD_ef10f504d30a4f55b424ee4285ac0359" addr="T0R0C4S1_1"/>
      <m:placeholder xlName="_PLD_1f7652b4e4c04c25b80b5975ddf13f96" addr="T0R1C0S1_1"/>
      <m:item xlName="_GBC_c113aa88b6254a9f80f4291fbc09b913" concept="clcid-pte:JiaoYiXingJinRongFuZhaiZhongDeJiaoYiXingJinRongFuZhai" label="交易性金融负债中的交易性金融负债" periodRef="本期期初数" mulRef="_GBC_1dc20daf2baa4ecf8204efdfde0a6ee9" unitRef="_GBC_97bc5d3ab9974410ae8f5c7781372913" addr="T0R1C1S1_1" formatStyle="Comma" appId="_GBC_ed513d792f1f4a5f8256d125428aafdf">
        <m:complexRule comparator="Eq" title="交易性金融负债中的交易性金融负债@本期期初数" id="C462d97ea9a774bc696fd9c803a3f749a"/>
      </m:item>
      <m:item xlName="_GBC_0f60b936bc924f459cc5cf6b82172fef" concept="clcid-pte:JiaoYiXingJinRongFuZhaiZhongDeJiaoYiXingJinRongFuZhaiBenQiZengJia" label="交易性金融负债中的交易性金融负债本期增加" mulRef="_GBC_1dc20daf2baa4ecf8204efdfde0a6ee9" unitRef="_GBC_97bc5d3ab9974410ae8f5c7781372913" addr="T0R1C2S1_1" formatStyle="Comma" appId="_GBC_ed513d792f1f4a5f8256d125428aafdf">
        <m:complexRule comparator="Eq" title="交易性金融负债中的交易性金融负债本期增加" id="C05c783a4b12442c4a0c8a8006573d18a"/>
      </m:item>
      <m:item xlName="_GBC_32dde5f5996d418abdd018f70f383ef4" concept="clcid-pte:JiaoYiXingJinRongFuZhaiZhongDeJiaoYiXingJinRongFuZhaiBenQiJianShao" label="交易性金融负债中的交易性金融负债本期减少" mulRef="_GBC_1dc20daf2baa4ecf8204efdfde0a6ee9" unitRef="_GBC_97bc5d3ab9974410ae8f5c7781372913" addr="T0R1C3S1_1" formatStyle="Comma" appId="_GBC_ed513d792f1f4a5f8256d125428aafdf">
        <m:complexRule comparator="Eq" title="交易性金融负债中的交易性金融负债本期减少" id="C9eb237a0eb5943dc95ada5a89922ee61"/>
      </m:item>
      <m:item xlName="_GBC_8813bf4c962e44da9c4d2e80b6badd2f" concept="clcid-pte:JiaoYiXingJinRongFuZhaiZhongDeJiaoYiXingJinRongFuZhai" label="交易性金融负债中的交易性金融负债" mulRef="_GBC_1dc20daf2baa4ecf8204efdfde0a6ee9" unitRef="_GBC_97bc5d3ab9974410ae8f5c7781372913" addr="T0R1C4S1_1" formatStyle="Comma" appId="_GBC_ed513d792f1f4a5f8256d125428aafdf">
        <m:complexRule comparator="Eq" title="交易性金融负债中的交易性金融负债" id="C5fa3170d12674ffa80883fcd37c9ed7f"/>
      </m:item>
      <m:placeholder xlName="_PLD_82be8dfe57904cc6925d6bc9bbee9545" addr="T0R2C0S1_1"/>
      <m:tuple xlName="_TUP_51bedfcba7b241499b1ab09eac5ef2bc" concept="clcid-pte:JiaoYiXingJinRongFuZhaiZhongDeJiaoYiXingJinRongFuZhaiMingXi" default_row="2" addr="T0R3C">
        <m:item xlName="_GBC_2aad325d33124213b4e13c784bbc9ec9" concept="clcid-pte:JiaoYiXingJinRongFuZhaiZhongDeJiaoYiXingJinRongFuZhaiMingXiXiangMu" label="交易性金融负债中的交易性金融负债明细-项目" addr="T0R3C0S1_1" appId="_GBC_ed513d792f1f4a5f8256d125428aafdf"/>
        <m:item xlName="_GBC_7a83f8ce3e6b44c8a732bf539a690844" concept="clcid-pte:JiaoYiXingJinRongFuZhaiZhongDeJiaoYiXingJinRongFuZhaiMingXiFaShengE" label="交易性金融负债中的交易性金融负债明细-发生额" periodRef="本期期初数" mulRef="_GBC_1dc20daf2baa4ecf8204efdfde0a6ee9" unitRef="_GBC_97bc5d3ab9974410ae8f5c7781372913" addr="T0R3C1S1_1" formatStyle="Comma" appId="_GBC_ed513d792f1f4a5f8256d125428aafdf"/>
        <m:item xlName="_GBC_651f2a4bc7ca41a683b004ca39d2a4ca" concept="clcid-pte:JiaoYiXingJinRongFuZhaiZhongDeJiaoYiXingJinRongFuZhaiMingXiBenQiZengJia" label="交易性金融负债中的交易性金融负债明细-本期增加" mulRef="_GBC_1dc20daf2baa4ecf8204efdfde0a6ee9" unitRef="_GBC_97bc5d3ab9974410ae8f5c7781372913" addr="T0R3C2S1_1" formatStyle="Comma" appId="_GBC_ed513d792f1f4a5f8256d125428aafdf"/>
        <m:item xlName="_GBC_86614b42355748339841ebb0282307ce" concept="clcid-pte:JiaoYiXingJinRongFuZhaiZhongDeJiaoYiXingJinRongFuZhaiMingXiBenQiJianShao" label="交易性金融负债中的交易性金融负债明细-本期减少" mulRef="_GBC_1dc20daf2baa4ecf8204efdfde0a6ee9" unitRef="_GBC_97bc5d3ab9974410ae8f5c7781372913" addr="T0R3C3S1_1" formatStyle="Comma" appId="_GBC_ed513d792f1f4a5f8256d125428aafdf"/>
        <m:item xlName="_GBC_9ee7f1e73ceb4caab49f78edd99fd877" concept="clcid-pte:JiaoYiXingJinRongFuZhaiZhongDeJiaoYiXingJinRongFuZhaiMingXiFaShengE" label="交易性金融负债中的交易性金融负债明细-发生额" mulRef="_GBC_1dc20daf2baa4ecf8204efdfde0a6ee9" unitRef="_GBC_97bc5d3ab9974410ae8f5c7781372913" addr="T0R3C4S1_1" formatStyle="Comma" appId="_GBC_ed513d792f1f4a5f8256d125428aafdf"/>
      </m:tuple>
      <m:placeholder xlName="_PLD_113feca5074b424ab0e2bb871a4235e4" addr="T0R5C0S1_1"/>
      <m:item xlName="_GBC_edc71ce7b3fb4c158bdd2abcaabedc53" concept="clcid-pte:ZhiDingWeiYiGongYunJiaZhiJiLiangQieQiBianDongJiRuDangQiSunYiDeJinRongFuZhai" label="指定为以公允价值计量且其变动计入当期损益的金融负债" periodRef="本期期初数" mulRef="_GBC_1dc20daf2baa4ecf8204efdfde0a6ee9" unitRef="_GBC_97bc5d3ab9974410ae8f5c7781372913" addr="T0R5C1S1_1" formatStyle="Comma" appId="_GBC_ed513d792f1f4a5f8256d125428aafdf">
        <m:complexRule comparator="Eq" title="指定为以公允价值计量且其变动计入当期损益的金融负债@本期期初数" id="Cbf6908c98c08423ba6b81a7df7b40297"/>
      </m:item>
      <m:item xlName="_GBC_1b383cb6794e473585fe71336f4fa97a" concept="clcid-pte:ZhiDingWeiYiGongYunJiaZhiJiLiangQieQiBianDongJiRuDangQiSunYiDeJinRongFuZhaiBenQiZengJia" label="指定为以公允价值计量且其变动计入当期损益的金融负债本期增加" mulRef="_GBC_1dc20daf2baa4ecf8204efdfde0a6ee9" unitRef="_GBC_97bc5d3ab9974410ae8f5c7781372913" addr="T0R5C2S1_1" formatStyle="Comma" appId="_GBC_ed513d792f1f4a5f8256d125428aafdf">
        <m:complexRule comparator="Eq" title="指定为以公允价值计量且其变动计入当期损益的金融负债本期增加" id="C81e45879a99b40f399f5cc712c035a65"/>
      </m:item>
      <m:item xlName="_GBC_506b5948a43c4bb4969fc7d5c9762502" concept="clcid-pte:ZhiDingWeiYiGongYunJiaZhiJiLiangQieQiBianDongJiRuDangQiSunYiDeJinRongFuZhaiBenQiJianShao" label="指定为以公允价值计量且其变动计入当期损益的金融负债本期减少" mulRef="_GBC_1dc20daf2baa4ecf8204efdfde0a6ee9" unitRef="_GBC_97bc5d3ab9974410ae8f5c7781372913" addr="T0R5C3S1_1" formatStyle="Comma" appId="_GBC_ed513d792f1f4a5f8256d125428aafdf">
        <m:complexRule comparator="Eq" title="指定为以公允价值计量且其变动计入当期损益的金融负债本期减少" id="Cb4fca96ffe6445edbf3db6afa5f7e7c3"/>
      </m:item>
      <m:item xlName="_GBC_7eb9687b965a4f5f85c63016a1828347" concept="clcid-pte:ZhiDingWeiYiGongYunJiaZhiJiLiangQieQiBianDongJiRuDangQiSunYiDeJinRongFuZhai" label="指定为以公允价值计量且其变动计入当期损益的金融负债" mulRef="_GBC_1dc20daf2baa4ecf8204efdfde0a6ee9" unitRef="_GBC_97bc5d3ab9974410ae8f5c7781372913" addr="T0R5C4S1_1" formatStyle="Comma" appId="_GBC_ed513d792f1f4a5f8256d125428aafdf">
        <m:complexRule comparator="Eq" title="指定为以公允价值计量且其变动计入当期损益的金融负债" id="C7fd773215e9049d68173da8c944cb8b6"/>
      </m:item>
      <m:placeholder xlName="_PLD_e64804f1e4af4d8b93c4f892c424123b" addr="T0R6C0S1_1"/>
      <m:tuple xlName="_TUP_b420eca960d54f38802934b1eed087ba" concept="clcid-pte:ZhiDingWeiYiGongYunJiaZhiJiLiangQieQiBianDongJiRuDangQiSunYiDeJinRongFuZhaiMingXi" default_row="2" addr="T0R7C">
        <m:item xlName="_GBC_caae5465b4834c2785c85b78e7013f03" concept="clcid-pte:ZhiDingWeiYiGongYunJiaZhiJiLiangQieQiBianDongJiRuDangQiSunYiDeJinRongFuZhaiMingXiXiangMuMingCheng" label="指定为以公允价值计量且其变动计入当期损益的金融负债明细-项目名称" addr="T0R7C0S1_1" appId="_GBC_ed513d792f1f4a5f8256d125428aafdf"/>
        <m:item xlName="_GBC_a2c6af9b60f84c26ab74b6cd9d66fc42" concept="clcid-pte:ZhiDingWeiYiGongYunJiaZhiJiLiangQieQiBianDongJiRuDangQiSunYiDeJinRongFuZhaiMingXiGongYunJiaZhi" label="指定为以公允价值计量且其变动计入当期损益的金融负债明细-公允价值" periodRef="本期期初数" mulRef="_GBC_1dc20daf2baa4ecf8204efdfde0a6ee9" unitRef="_GBC_97bc5d3ab9974410ae8f5c7781372913" addr="T0R7C1S1_1" formatStyle="Comma" appId="_GBC_ed513d792f1f4a5f8256d125428aafdf"/>
        <m:item xlName="_GBC_8ebf858ff45c4990bad7297d582f042d" concept="clcid-pte:ZhiDingWeiYiGongYunJiaZhiJiLiangQieQiBianDongJiRuDangQiSunYiDeJinRongFuZhaiMingXiBenQiZengJia" label="指定为以公允价值计量且其变动计入当期损益的金融负债明细-本期增加" mulRef="_GBC_1dc20daf2baa4ecf8204efdfde0a6ee9" unitRef="_GBC_97bc5d3ab9974410ae8f5c7781372913" addr="T0R7C2S1_1" formatStyle="Comma" appId="_GBC_ed513d792f1f4a5f8256d125428aafdf"/>
        <m:item xlName="_GBC_17406320616a425b832415250838e1d4" concept="clcid-pte:ZhiDingWeiYiGongYunJiaZhiJiLiangQieQiBianDongJiRuDangQiSunYiDeJinRongFuZhaiMingXiBenQiJianShao" label="指定为以公允价值计量且其变动计入当期损益的金融负债明细-本期减少" mulRef="_GBC_1dc20daf2baa4ecf8204efdfde0a6ee9" unitRef="_GBC_97bc5d3ab9974410ae8f5c7781372913" addr="T0R7C3S1_1" formatStyle="Comma" appId="_GBC_ed513d792f1f4a5f8256d125428aafdf"/>
        <m:item xlName="_GBC_296db7f7712e44d59a2b28958f7e2adc" concept="clcid-pte:ZhiDingWeiYiGongYunJiaZhiJiLiangQieQiBianDongJiRuDangQiSunYiDeJinRongFuZhaiMingXiGongYunJiaZhi" label="指定为以公允价值计量且其变动计入当期损益的金融负债明细-公允价值" mulRef="_GBC_1dc20daf2baa4ecf8204efdfde0a6ee9" unitRef="_GBC_97bc5d3ab9974410ae8f5c7781372913" addr="T0R7C4S1_1" formatStyle="Comma" appId="_GBC_ed513d792f1f4a5f8256d125428aafdf"/>
      </m:tuple>
      <m:placeholder xlName="_PLD_dbb272cef0fd4fc09c175cb77ce43d81" addr="T0R9C0S1_1"/>
      <m:item xlName="_GBC_cc36378b69e6405e97418a4630b41136" concept="clcid-pte:JiaoYiXingJinRongFuZhai" label="交易性金融负债" periodRef="本期期初数" mulRef="_GBC_1dc20daf2baa4ecf8204efdfde0a6ee9" unitRef="_GBC_97bc5d3ab9974410ae8f5c7781372913" addr="T0R9C1S1_1" formatStyle="Comma" appId="_GBC_ed513d792f1f4a5f8256d125428aafdf">
        <m:complexRule comparator="Eq" title="交易性金融负债@本期期初数" test=" $_GBC_c113aa88b6254a9f80f4291fbc09b913 +  $_GBC_edc71ce7b3fb4c158bdd2abcaabedc53" id="C73beefe3dbf34ac3885c919eee0cedf3"/>
      </m:item>
      <m:item xlName="_GBC_0442c02682a141e0b98c5cbd8c8faf7f" concept="clcid-pte:JiaoYiXingJinRongFuZhaiBenQiZengJia" label="交易性金融负债本期增加" mulRef="_GBC_1dc20daf2baa4ecf8204efdfde0a6ee9" unitRef="_GBC_97bc5d3ab9974410ae8f5c7781372913" addr="T0R9C2S1_1" formatStyle="Comma" appId="_GBC_ed513d792f1f4a5f8256d125428aafdf">
        <m:complexRule comparator="Eq" title="交易性金融负债本期增加" test=" $_GBC_0f60b936bc924f459cc5cf6b82172fef +  $_GBC_1b383cb6794e473585fe71336f4fa97a" id="C9fbcaa95d5da44339f4df06f06eeaac9"/>
      </m:item>
      <m:item xlName="_GBC_9209b0bad8584a07bb9303a6111fc827" concept="clcid-pte:JiaoYiXingJinRongFuZhaiBenQiJianShao" label="交易性金融负债本期减少" mulRef="_GBC_1dc20daf2baa4ecf8204efdfde0a6ee9" unitRef="_GBC_97bc5d3ab9974410ae8f5c7781372913" addr="T0R9C3S1_1" formatStyle="Comma" appId="_GBC_ed513d792f1f4a5f8256d125428aafdf">
        <m:complexRule comparator="Eq" title="交易性金融负债本期减少" test=" $_GBC_32dde5f5996d418abdd018f70f383ef4 +  $_GBC_506b5948a43c4bb4969fc7d5c9762502" id="Ccde233ea7b014130996594a2834eed39"/>
      </m:item>
      <m:item xlName="_GBC_dcdae81f0b4b4d8aac627ea73c488a76" concept="clcid-pte:JiaoYiXingJinRongFuZhai" label="交易性金融负债" mulRef="_GBC_1dc20daf2baa4ecf8204efdfde0a6ee9" unitRef="_GBC_97bc5d3ab9974410ae8f5c7781372913" addr="T0R9C4S1_1" formatStyle="Comma" appId="_GBC_ed513d792f1f4a5f8256d125428aafdf">
        <m:complexRule comparator="Eq" title="交易性金融负债" test=" $_GBC_8813bf4c962e44da9c4d2e80b6badd2f +  $_GBC_7eb9687b965a4f5f85c63016a1828347" id="C7d1013d4d0f14bdd94dfe8933ab03d6a"/>
      </m:item>
      <m:item xlName="_GBC_aafdc3030d4340e1ab058e7d1332c4e8" concept="clcid-pte:JiaoYiXingJinRongFuZhaiDeShuoMing" label="交易性金融负债的说明" appId="_GBC_ed513d792f1f4a5f8256d125428aafdf"/>
    </m:section>
    <m:section xlName="_GBC_c6a901495ec44a7798e3a75ddb5e06bf" title="衍生金融负债" helpId="112001081" helpText="注：说明衍生金融工具形成原因及相关会计处理等。">
      <m:item xlName="_GBC_3a60c0d3d0534eba80b93475b0a6411f" concept="clcid-pte:ShiFouShiYongYanShengJinRongFuZhai" label="是否适用：衍生金融负债" selectOptions="_buildInAppliance" controlType="CustomCheckbox" helpText="注：如公司衍生金融工具业务具有重要性的，需单独列示该项目" cRanges="{&quot;StartName&quot;:&quot;_GBC_3a60c0d3d0534eba80b93475b0a6411f&quot;,&quot;EndName&quot;:&quot;_GBC_f77906c141cc495fbf965565aa6438cd&quot;,&quot;CType&quot;:1,&quot;DisplayText&quot;:null}"/>
      <m:item xlName="_GBC_e4465a6c3a5d41de9b6c9ca0df37fadb" concept="clcid-ci-ar:DanWeiCaiWuFuZhuYanShengJinRongFuZhai" label="单位：财务附注：衍生金融负债" selectOptions="_buildInScales" controlType="Combobox" cellType="Scale" appId="_GBC_3a60c0d3d0534eba80b93475b0a6411f"/>
      <m:item xlName="_GBC_7a8b644a29214cf99cb16f1d1f6cab29" concept="clcid-ci-ar:BiZhongCaiWuFuZhuYanShengJinRongFuZhai" label="币种：财务附注：衍生金融负债" selectOptions="_buildInISO4217" controlType="Combobox" cellType="Measure" appId="_GBC_3a60c0d3d0534eba80b93475b0a6411f"/>
      <m:placeholder xlName="_PLD_d47441d2c9284b37a6077ca58651a585" addr="T0R0C0S1_1"/>
      <m:placeholder xlName="_PLD_84b5673c7466477c8d70e75002f809a7" addr="T0R0C1S1_1"/>
      <m:placeholder xlName="_PLD_bb36d5aa63944957bd973d914e547bb0" addr="T0R0C2S1_1"/>
      <m:tuple xlName="_GBC_0c820de248e140ef91e71d85afe01751" concept="clcid-pte:YanShengJinRongFuZhaiMingXi" default_row="2" addr="T0R1C">
        <m:item xlName="_GBC_d20b268d70e4405fa1023d3bcbd86d73" concept="clcid-pte:clcid-pte_YanShengJinRongFuZhaiMingXiXiangMuMingCheng" label="衍生金融负债明细-项目名称" addr="T0R1C0S1_1" appId="_GBC_3a60c0d3d0534eba80b93475b0a6411f"/>
        <m:item xlName="_GBC_0eabe06b79e64f73a9a53394d8c79b6e" concept="clcid-pte:YanShengJinRongFuZhaiMingXiJinE" label="衍生金融负债明细-金额" mulRef="_GBC_e4465a6c3a5d41de9b6c9ca0df37fadb" unitRef="_GBC_7a8b644a29214cf99cb16f1d1f6cab29" addr="T0R1C1S1_1" formatStyle="Comma" appId="_GBC_3a60c0d3d0534eba80b93475b0a6411f"/>
        <m:item xlName="_GBC_ae8bc64526bc467abc44c1ec41326581" concept="clcid-pte:YanShengJinRongFuZhaiMingXiJinE" label="衍生金融负债明细-金额" periodRef="本期期初数" mulRef="_GBC_e4465a6c3a5d41de9b6c9ca0df37fadb" unitRef="_GBC_7a8b644a29214cf99cb16f1d1f6cab29" addr="T0R1C2S1_1" formatStyle="Comma" appId="_GBC_3a60c0d3d0534eba80b93475b0a6411f"/>
      </m:tuple>
      <m:placeholder xlName="_PLD_b1d5ac7ade8c40298846c8c39da311ae" addr="T0R3C0S1_1"/>
      <m:item xlName="_GBC_de9e06c774854898b4dbb17b189cd2a5" concept="clcid-pte:YanShengJinRongFuZhai" label="衍生金融负债" mulRef="_GBC_e4465a6c3a5d41de9b6c9ca0df37fadb" unitRef="_GBC_7a8b644a29214cf99cb16f1d1f6cab29" addr="T0R3C1S1_1" formatStyle="Comma" appId="_GBC_3a60c0d3d0534eba80b93475b0a6411f">
        <m:complexRule comparator="Eq" title="衍生金融负债" test=" $_GBC_0eabe06b79e64f73a9a53394d8c79b6e" id="C6abe988cfd39427b827abaacacaaa2ed"/>
      </m:item>
      <m:item xlName="_GBC_301e1fd6d08543b595e0adcb4c5c3579" concept="clcid-pte:YanShengJinRongFuZhai" label="衍生金融负债" periodRef="本期期初数" mulRef="_GBC_e4465a6c3a5d41de9b6c9ca0df37fadb" unitRef="_GBC_7a8b644a29214cf99cb16f1d1f6cab29" addr="T0R3C2S1_1" formatStyle="Comma" appId="_GBC_3a60c0d3d0534eba80b93475b0a6411f">
        <m:complexRule comparator="Eq" title="衍生金融负债@本期期初数" test=" $_GBC_ae8bc64526bc467abc44c1ec41326581" id="C40520f3cfced4bc0a57a3062a719712c"/>
      </m:item>
      <m:item xlName="_GBC_f77906c141cc495fbf965565aa6438cd" concept="clcid-pte:YanShengJinRongFuZhaiQiTaShuoMing" label="衍生金融负债其他说明" appId="_GBC_3a60c0d3d0534eba80b93475b0a6411f"/>
    </m:section>
    <m:item xlName="_GBC_57c67181b34944e782b23a48b1843e8f" concept="clcid-ci-ar:ShiFouShiYongYingFuPiaoJu" label="是否适用：应付票据" selectOptions="_buildInAppliance" controlType="CustomCheckbox" cRanges="[{&quot;StartName&quot;:&quot;_GBC_57c67181b34944e782b23a48b1843e8f&quot;,&quot;EndName&quot;:&quot;_SEC_a4b116c3ef20487f88d23464626b8bb5&quot;,&quot;CType&quot;:1}]"/>
    <m:section xlName="_SEC_a4b116c3ef20487f88d23464626b8bb5" title="单位：元币种：人民币种类期末余额期初余额商业承兑汇票...">
      <m:item xlName="_GBC_db69c246a0d14735805df636930e34ba" concept="clcid-ci-ar:DanWeiCaiWuFuZhuYingFuPiaoJu" label="单位：财务附注：应付票据" selectOptions="_buildInScales" controlType="Combobox" cellType="Scale" appId="_GBC_57c67181b34944e782b23a48b1843e8f"/>
      <m:item xlName="_GBC_f734b21fc72c43feb20eaf84762dfd7f" concept="clcid-ci-ar:BiZhongCaiWuFuZhuYingFuPiaoJu" label="币种：财务附注：应付票据" selectOptions="_buildInISO4217" controlType="Combobox" cellType="Measure" appId="_GBC_57c67181b34944e782b23a48b1843e8f"/>
      <m:placeholder xlName="_PLD_faa4f5cfe5ae4b0a9c786ca922191e7e" addr="T0R0C0S1_1"/>
      <m:placeholder xlName="_PLD_b51f0f25994640289becfaca28eb1d5c" addr="T0R0C1S1_1"/>
      <m:placeholder xlName="_PLD_996d96c1a15e479289fa9e0699e2822e" addr="T0R0C2S1_1"/>
      <m:placeholder xlName="_PLD_612dd94d183548b6a311a7688699608c" addr="T0R1C0S1_1"/>
      <m:item xlName="_GBC_122c50c67f1649a18e3711b4a93b7730" concept="clcid-pte:ShangYeChengDuiHuiPiao" label="商业承兑汇票" mulRef="_GBC_db69c246a0d14735805df636930e34ba" unitRef="_GBC_f734b21fc72c43feb20eaf84762dfd7f" addr="T0R1C1S1_1" formatStyle="Comma" appId="_GBC_57c67181b34944e782b23a48b1843e8f"/>
      <m:item xlName="_GBC_7849a59f75fa44ffa258666040824cdd" concept="clcid-pte:ShangYeChengDuiHuiPiao" label="商业承兑汇票" periodRef="本期期初数" mulRef="_GBC_db69c246a0d14735805df636930e34ba" unitRef="_GBC_f734b21fc72c43feb20eaf84762dfd7f" addr="T0R1C2S1_1" formatStyle="Comma" appId="_GBC_57c67181b34944e782b23a48b1843e8f"/>
      <m:placeholder xlName="_PLD_a78177bc2f9c4e819670fb289b9d6192" addr="T0R2C0S1_1"/>
      <m:item xlName="_GBC_c5ec7eae32c542a28a0840d4979ad029" concept="clcid-pte:YinHangChengDuiHuiPiao" label="银行承兑汇票" mulRef="_GBC_db69c246a0d14735805df636930e34ba" unitRef="_GBC_f734b21fc72c43feb20eaf84762dfd7f" addr="T0R2C1S1_1" formatStyle="Comma" appId="_GBC_57c67181b34944e782b23a48b1843e8f"/>
      <m:item xlName="_GBC_5122f1303dc54020be0903edc9f641f3" concept="clcid-pte:YinHangChengDuiHuiPiao" label="银行承兑汇票" periodRef="本期期初数" mulRef="_GBC_db69c246a0d14735805df636930e34ba" unitRef="_GBC_f734b21fc72c43feb20eaf84762dfd7f" addr="T0R2C2S1_1" formatStyle="Comma" appId="_GBC_57c67181b34944e782b23a48b1843e8f"/>
      <m:tuple xlName="_TUP_a5ea2bde9c2145ab9443e9a86b5162f5" concept="clcid-pte:YingFuPiaoJuMingXi" default_row="2" addr="T0R3C">
        <m:item xlName="_GBC_7b8504ec0afa42dd93ffcc37f5e8ecf6" concept="clcid-pte:YingFuPiaoJuZhongLei" label="应付票据种类" addr="T0R3C0S1_1" appId="_GBC_57c67181b34944e782b23a48b1843e8f"/>
        <m:item xlName="_GBC_3130e686c6ed43cc9805bb07cbe18848" concept="clcid-pte:YingFuPiaoJuJinE" label="应付票据金额" mulRef="_GBC_db69c246a0d14735805df636930e34ba" unitRef="_GBC_f734b21fc72c43feb20eaf84762dfd7f" addr="T0R3C1S1_1" formatStyle="Comma" appId="_GBC_57c67181b34944e782b23a48b1843e8f"/>
        <m:item xlName="_GBC_123e5cc78b83409f86e0df14a255687b" concept="clcid-pte:YingFuPiaoJuJinE" label="应付票据金额" periodRef="本期期初数" mulRef="_GBC_db69c246a0d14735805df636930e34ba" unitRef="_GBC_f734b21fc72c43feb20eaf84762dfd7f" addr="T0R3C2S1_1" formatStyle="Comma" appId="_GBC_57c67181b34944e782b23a48b1843e8f"/>
      </m:tuple>
      <m:placeholder xlName="_PLD_91c7e1de96284cd2994cfcf7c0e798dc" addr="T0R5C0S1_1"/>
      <m:item xlName="_GBC_a8c1459a3cf84611b62330a576328107" concept="clcid-pte:YingFuPiaoJu" label="应付票据" mulRef="_GBC_db69c246a0d14735805df636930e34ba" unitRef="_GBC_f734b21fc72c43feb20eaf84762dfd7f" addr="T0R5C1S1_1" formatStyle="Comma" appId="_GBC_57c67181b34944e782b23a48b1843e8f">
        <m:complexRule comparator="Eq" title="应付票据" test=" $_GBC_122c50c67f1649a18e3711b4a93b7730 +  $_GBC_c5ec7eae32c542a28a0840d4979ad029 +  $_GBC_3130e686c6ed43cc9805bb07cbe18848" id="C58cd105017534d6fa860f8f4cd1718d2"/>
      </m:item>
      <m:item xlName="_GBC_b7f448a95a9a488e84070a8ba1c903b9" concept="clcid-pte:YingFuPiaoJu" label="应付票据" periodRef="本期期初数" mulRef="_GBC_db69c246a0d14735805df636930e34ba" unitRef="_GBC_f734b21fc72c43feb20eaf84762dfd7f" addr="T0R5C2S1_1" formatStyle="Comma" appId="_GBC_57c67181b34944e782b23a48b1843e8f">
        <m:complexRule comparator="Eq" title="应付票据@本期期初数" test=" $_GBC_7849a59f75fa44ffa258666040824cdd +  $_GBC_5122f1303dc54020be0903edc9f641f3 +  $_GBC_123e5cc78b83409f86e0df14a255687b" id="C3354cc6761034653917a1b71fbe72401"/>
      </m:item>
      <m:item xlName="_GBC_c9651441e218453780f22db83f133e6a" concept="clcid-pte:YiDaoQiWeiZhiFuDeYingFuPiaoJuZongE" label="已到期未支付的应付票据总额" formatStyle="Comma" appId="_GBC_57c67181b34944e782b23a48b1843e8f"/>
    </m:section>
    <m:section xlName="_GBC_0f1b98b90c3845e1a1ad65786460f84b" title="应付账款情况" rules="R2015_R11_018" convertSummaryRule="NoConvert" helpId="112001084">
      <m:item xlName="_GBC_8531771c226a4fb0b98e3cdaf7271c71" concept="clcid-ci-ar:ShiFouShiYongYingFuZhangKuanLieShi" label="是否适用：应付账款列示" selectOptions="_buildInAppliance" controlType="CustomCheckbox" cRanges="{&quot;StartName&quot;:&quot;_GBC_8531771c226a4fb0b98e3cdaf7271c71&quot;,&quot;EndName&quot;:&quot;_GBC_00bb4f8f38914c7ab69df9aed6c35ae2&quot;,&quot;CType&quot;:1,&quot;DisplayText&quot;:null}"/>
      <m:item xlName="_GBC_53c05e3ea1bb4f08bbe5cf204a0947b9" concept="clcid-ci-ar:DanWeiCaiWuFuZhuYingFuZhangKuanQingKuang" label="单位：财务附注：应付账款情况" selectOptions="_buildInScales" controlType="Combobox" cellType="Scale" appId="_GBC_8531771c226a4fb0b98e3cdaf7271c71"/>
      <m:item xlName="_GBC_e10cb0a664ca4400817c8a2bcf9247fc" concept="clcid-ci-ar:BiZhongCaiWuFuZhuYingFuZhangKuanQingKuang" label="币种：财务附注：应付账款情况" selectOptions="_buildInISO4217" controlType="Combobox" cellType="Measure" appId="_GBC_8531771c226a4fb0b98e3cdaf7271c71"/>
      <m:placeholder xlName="_PLD_7dae27caeee34d74add24cd985083c75" addr="T0R0C0S1_1"/>
      <m:placeholder xlName="_PLD_136ba417561e421ea02da8004fdf8b33" addr="T0R0C1S1_1"/>
      <m:placeholder xlName="_PLD_bc4b311c1ee54bd48b7b2ba2ab79c364" addr="T0R0C2S1_1"/>
      <m:tuple xlName="_GBC_6a9eb940fbe64774bcca168078c6adaa" concept="clcid-pte:YingFuZhangKuanQingKuangMingXi" default_row="2" addr="T0R1C">
        <m:item xlName="_GBC_2a5ca7d6b8ce4779bf0cc64e60d7eb11" concept="clcid-pte:YingFuZhangKuanQingKuangMingXiXiangMu" label="应付账款情况明细-项目" addr="T0R1C0S1_1" appId="_GBC_8531771c226a4fb0b98e3cdaf7271c71"/>
        <m:item xlName="_GBC_53a813ae89824f53924534b614cd8aed" concept="clcid-pte:YingFuZhangKuanQingKuangMingXiJinE" label="应付账款情况明细-金额" mulRef="_GBC_53c05e3ea1bb4f08bbe5cf204a0947b9" unitRef="_GBC_e10cb0a664ca4400817c8a2bcf9247fc" addr="T0R1C1S1_1" formatStyle="Comma" appId="_GBC_8531771c226a4fb0b98e3cdaf7271c71"/>
        <m:item xlName="_GBC_e193f0720fe448129a597233119eee2c" concept="clcid-pte:YingFuZhangKuanQingKuangMingXiJinE" label="应付账款情况明细-金额" periodRef="本期期初数" mulRef="_GBC_53c05e3ea1bb4f08bbe5cf204a0947b9" unitRef="_GBC_e10cb0a664ca4400817c8a2bcf9247fc" addr="T0R1C2S1_1" formatStyle="Comma" appId="_GBC_8531771c226a4fb0b98e3cdaf7271c71"/>
      </m:tuple>
      <m:placeholder xlName="_PLD_b82b4cb1d4fa4c8fb75bed463f2da31b" addr="T0R3C0S1_1"/>
      <m:item xlName="_GBC_cefa0b9aa50840dfb31c319757043efd" concept="clcid-pte:YingFuZhangKuan" label="应付帐款" mulRef="_GBC_53c05e3ea1bb4f08bbe5cf204a0947b9" unitRef="_GBC_e10cb0a664ca4400817c8a2bcf9247fc" addr="T0R3C1S1_1" formatStyle="Comma" appId="_GBC_8531771c226a4fb0b98e3cdaf7271c71">
        <m:complexRule comparator="Eq" title="应付帐款" test=" $_GBC_53a813ae89824f53924534b614cd8aed" id="C09663117227f4074a58c7957ac8be262"/>
      </m:item>
      <m:item xlName="_GBC_00bb4f8f38914c7ab69df9aed6c35ae2" concept="clcid-pte:YingFuZhangKuan" label="应付帐款" periodRef="本期期初数" mulRef="_GBC_53c05e3ea1bb4f08bbe5cf204a0947b9" unitRef="_GBC_e10cb0a664ca4400817c8a2bcf9247fc" addr="T0R3C2S1_1" formatStyle="Comma" appId="_GBC_8531771c226a4fb0b98e3cdaf7271c71">
        <m:complexRule comparator="Eq" title="应付帐款@本期期初数" test=" $_GBC_e193f0720fe448129a597233119eee2c" id="C122c1064e8254227bd8fb310b355011d"/>
      </m:item>
    </m:section>
    <m:section xlName="_GBC_5fffbd1416eb408d959645d37f190cf5" title="重要的账龄超过1年的应付账款单位：元币种：人民币项目期末..." rules="R2015_R11_018" helpId="112001084">
      <m:item xlName="_GBC_02c6e7ed8ae149e8a09f5b80217deb89" concept="clcid-ci-ar:ShiFouShiYongZhangLingChaoGuoNianDeZhongYaoYingFuZhangKuan" label="是否适用：账龄超过1年的重要应付账款" selectOptions="_buildInAppliance" controlType="CustomCheckbox" cRanges="{&quot;StartName&quot;:&quot;_GBC_02c6e7ed8ae149e8a09f5b80217deb89&quot;,&quot;EndName&quot;:&quot;_GBC_2fe395320f8f4b3fa28841324e8271ff&quot;,&quot;CType&quot;:1,&quot;DisplayText&quot;:null}"/>
      <m:item xlName="_GBC_4828fbb06386477f83dfc0c7b55875e7" concept="clcid-ci-ar:DanWeiCaiWuFuZhuZhongYaoDeZhangLingChaoGuoNianDeYingFuZhangKuan" label="单位：财务附注：重要的账龄超过1年的应付账款" selectOptions="_buildInScales" controlType="Combobox" cellType="Scale" appId="_GBC_02c6e7ed8ae149e8a09f5b80217deb89"/>
      <m:item xlName="_GBC_56837a7d36f94902b75d8fe132af82b6" concept="clcid-ci-ar:BiZhongCaiWuFuZhuZhongYaoDeZhangLingChaoGuoNianDeYingFuZhangKuan" label="币种：财务附注：重要的账龄超过1年的应付账款" selectOptions="_buildInISO4217" controlType="Combobox" cellType="Measure" appId="_GBC_02c6e7ed8ae149e8a09f5b80217deb89"/>
      <m:placeholder xlName="_PLD_31272c72b1bc41e2a47d7fbfb0839e2b" addr="T0R0C0S1_1"/>
      <m:placeholder xlName="_PLD_41b9d7d7e0c84d6c9f8c3a0a59e37c14" addr="T0R0C1S1_1"/>
      <m:placeholder xlName="_PLD_49e0f43ba09d42649fabb4ecc22986ca" addr="T0R0C2S1_1"/>
      <m:tuple xlName="_GBC_3c24b8450a0a47bd8859f88e883aa952" concept="clcid-pte:ZhongYaoDeZhangLingChaoGuoNianDeYingFuZhangKuanMingXi" default_row="2" addr="T0R1C">
        <m:item xlName="_GBC_141773d28dd34c8295b18c94cc85ece4" concept="clcid-pte:ZhongYaoDeZhangLingChaoGuoNianDeYingFuZhangKuanMingXiXiangMuMingCheng" label="重要的账龄超过1年的应付账款明细-项目名称" addr="T0R1C0S1_1" appId="_GBC_02c6e7ed8ae149e8a09f5b80217deb89"/>
        <m:item xlName="_GBC_32e43573b68c4a82aab17146178f18f2" concept="clcid-pte:ZhongYaoDeZhangLingChaoGuoNianDeYingFuZhangKuanMingXiYuE" label="重要的账龄超过1年的应付账款明细-余额" mulRef="_GBC_4828fbb06386477f83dfc0c7b55875e7" unitRef="_GBC_56837a7d36f94902b75d8fe132af82b6" addr="T0R1C1S1_1" formatStyle="Comma" appId="_GBC_02c6e7ed8ae149e8a09f5b80217deb89"/>
        <m:item xlName="_GBC_113967d4dd114818b559c2795509b2fb" concept="clcid-pte:ZhongYaoDeZhangLingChaoGuoNianDeYingFuZhangKuanMingXiWeiChangHuanHuoJieZhuanDeYuanYin" label="重要的账龄超过1年的应付账款明细-未偿还或结转的原因" addr="T0R1C2S1_1" appId="_GBC_02c6e7ed8ae149e8a09f5b80217deb89"/>
      </m:tuple>
      <m:placeholder xlName="_PLD_eca4761bb44d46c18cd4488e72a6e130" addr="T0R3C0S1_1"/>
      <m:item xlName="_GBC_2fe395320f8f4b3fa28841324e8271ff" concept="clcid-pte:ZhongYaoDeZhangLingChaoGuoNianDeYingFuZhangKuanJinEHeJi" label="重要的账龄超过1年的应付账款金额合计" mulRef="_GBC_4828fbb06386477f83dfc0c7b55875e7" unitRef="_GBC_56837a7d36f94902b75d8fe132af82b6" addr="T0R3C1S1_1" formatStyle="Comma" appId="_GBC_02c6e7ed8ae149e8a09f5b80217deb89">
        <m:complexRule comparator="Eq" title="重要的账龄超过1年的应付账款金额合计" test=" $_GBC_32e43573b68c4a82aab17146178f18f2" id="C5d0c711ad8cb4f3fbdc826312eca2c94"/>
      </m:item>
    </m:section>
    <m:section xlName="_GBC_aecd44efc3ea456b9149dd662d0a5085" title="应付账款的其他说明" rules="R2015_R11_018" convertSummaryRule="NoConvert" helpId="112001084">
      <m:item xlName="_GBC_9a797e83ea1747e9aca4221e6cdfe89f" concept="clcid-ci-ar:ShiFouShiYongYingFuZhangKuanDeQiTaShuoMing" label="是否适用：应付账款的其他说明" selectOptions="_buildInAppliance" controlType="CustomCheckbox" cRanges="{&quot;StartName&quot;:&quot;_GBC_9a797e83ea1747e9aca4221e6cdfe89f&quot;,&quot;EndName&quot;:&quot;_GBC_ce49b41e552042498c99840916063218&quot;,&quot;CType&quot;:1,&quot;DisplayText&quot;:null}"/>
      <m:item xlName="_GBC_ce49b41e552042498c99840916063218" concept="clcid-pte:YingFuZhangKuanDeQiTaShuoMing" label="应付账款的其他说明" appId="_GBC_9a797e83ea1747e9aca4221e6cdfe89f"/>
    </m:section>
    <m:section xlName="_GBC_d7dac18f0444439d83469555857c3195" title="预收账款情况" convertSummaryRule="NoConvert" helpId="112002200">
      <m:item xlName="_GBC_cf9ab7f5f12c4f788a9bbb6e3ef9c9de" concept="clcid-ci-ar:ShiFouShiYongYuShouZhangKuanXiangLieShi" label="是否适用：预收账款项列示" selectOptions="_buildInAppliance" controlType="CustomCheckbox" cRanges="{&quot;StartName&quot;:&quot;_GBC_cf9ab7f5f12c4f788a9bbb6e3ef9c9de&quot;,&quot;EndName&quot;:&quot;_GBC_04d89426e20b4bf09fca0e90c932358a&quot;,&quot;CType&quot;:1,&quot;DisplayText&quot;:null}"/>
      <m:item xlName="_GBC_f4564e0d7a8a4a9589aae9168c4c8fdb" concept="clcid-ci-ar:DanWeiCaiWuFuZhuYuShouZhangKuanQingKuang" label="单位：财务附注：预收账款情况" selectOptions="_buildInScales" controlType="Combobox" cellType="Scale" appId="_GBC_cf9ab7f5f12c4f788a9bbb6e3ef9c9de"/>
      <m:item xlName="_GBC_e993db46bf3641c59c10bd3e14a930d9" concept="clcid-ci-ar:BiZhongCaiWuFuZhuYuShouZhangKuanQingKuang" label="币种：财务附注：预收账款情况" selectOptions="_buildInISO4217" controlType="Combobox" cellType="Measure" appId="_GBC_cf9ab7f5f12c4f788a9bbb6e3ef9c9de"/>
      <m:placeholder xlName="_PLD_d5dd98b095374d108e2df93a96e434bb" addr="T0R0C0S1_1"/>
      <m:placeholder xlName="_PLD_9fc077db74354318b54c7ec24cd1ce0c" addr="T0R0C1S1_1"/>
      <m:placeholder xlName="_PLD_aa9447699c054ad4b698586b835a3180" addr="T0R0C2S1_1"/>
      <m:tuple xlName="_GBC_230853c1febc415e90da55e0c713ce54" concept="clcid-pte:YuShouZhangKuanQingKuangMingXi" default_row="2" addr="T0R1C">
        <m:item xlName="_GBC_761e1f97d6a9400c8bf77837fd5e54ca" concept="clcid-pte:YuShouZhangKuanQingKuangMingXiXiangMu" label="预收账款情况明细-项目" addr="T0R1C0S1_1" appId="_GBC_cf9ab7f5f12c4f788a9bbb6e3ef9c9de"/>
        <m:item xlName="_GBC_7396c58eea384244964498ccbc83cfde" concept="clcid-pte:YuShouZhangKuanQingKuangMingXiJinE" label="预收账款情况明细-金额" mulRef="_GBC_f4564e0d7a8a4a9589aae9168c4c8fdb" unitRef="_GBC_e993db46bf3641c59c10bd3e14a930d9" addr="T0R1C1S1_1" formatStyle="Comma" appId="_GBC_cf9ab7f5f12c4f788a9bbb6e3ef9c9de"/>
        <m:item xlName="_GBC_fe2b16a0aeac49a2a1b8710bf9023453" concept="clcid-pte:YuShouZhangKuanQingKuangMingXiJinE" label="预收账款情况明细-金额" periodRef="本期期初数" mulRef="_GBC_f4564e0d7a8a4a9589aae9168c4c8fdb" unitRef="_GBC_e993db46bf3641c59c10bd3e14a930d9" addr="T0R1C2S1_1" formatStyle="Comma" appId="_GBC_cf9ab7f5f12c4f788a9bbb6e3ef9c9de"/>
      </m:tuple>
      <m:placeholder xlName="_PLD_dbdcdc98ceee47408e8ac7a0d53c5b39" addr="T0R3C0S1_1"/>
      <m:item xlName="_GBC_4ad518083c254dc292b5cadbe2bc550c" concept="clcid-pte:YuShouZhangKuan" label="预收帐款" mulRef="_GBC_f4564e0d7a8a4a9589aae9168c4c8fdb" unitRef="_GBC_e993db46bf3641c59c10bd3e14a930d9" addr="T0R3C1S1_1" formatStyle="Comma" appId="_GBC_cf9ab7f5f12c4f788a9bbb6e3ef9c9de">
        <m:complexRule comparator="Eq" title="预收帐款" test=" $_GBC_7396c58eea384244964498ccbc83cfde" id="C206da55078294ff39511e94ddcb5d8b2"/>
      </m:item>
      <m:item xlName="_GBC_04d89426e20b4bf09fca0e90c932358a" concept="clcid-pte:YuShouZhangKuan" label="预收帐款" periodRef="本期期初数" mulRef="_GBC_f4564e0d7a8a4a9589aae9168c4c8fdb" unitRef="_GBC_e993db46bf3641c59c10bd3e14a930d9" addr="T0R3C2S1_1" formatStyle="Comma" appId="_GBC_cf9ab7f5f12c4f788a9bbb6e3ef9c9de">
        <m:complexRule comparator="Eq" title="预收帐款@本期期初数" test=" $_GBC_fe2b16a0aeac49a2a1b8710bf9023453" id="C78f4f30876324510a535b9e3791a94b1"/>
      </m:item>
    </m:section>
    <m:section xlName="_GBC_59300802f7ac43e3ab1ce4a570fb0267" title="账龄超过1年的重要预收款项" helpId="112002200">
      <m:item xlName="_GBC_ae7ea5bab4b04b2cb170af5020f86302" concept="clcid-ci-ar:ShiFouShiYongZhangLingChaoGuoNianDeZhongYaoYuShouKuanXiang" label="是否适用：账龄超过1年的重要预收款项" selectOptions="_buildInAppliance" controlType="CustomCheckbox" cRanges="{&quot;StartName&quot;:&quot;_GBC_ae7ea5bab4b04b2cb170af5020f86302&quot;,&quot;EndName&quot;:&quot;_GBC_b584c73932da484cb43a0325dabe2067&quot;,&quot;CType&quot;:1,&quot;DisplayText&quot;:null}"/>
      <m:item xlName="_GBC_42b95b40c556404fb356ffbe5874de55" concept="clcid-ci-ar:DanWeiCaiWuFuZhuZhongYaoDeZhangLingChaoGuoNianDeYuShouZhangKuan" label="单位：财务附注：重要的账龄超过1年的预收账款" selectOptions="_buildInScales" controlType="Combobox" cellType="Scale" appId="_GBC_ae7ea5bab4b04b2cb170af5020f86302"/>
      <m:item xlName="_GBC_3b5cf8cf0f1d44548bc9470ab19fc397" concept="clcid-ci-ar:BiZhongCaiWuFuZhuZhongYaoDeZhangLingChaoGuoNianDeYuShouZhangKuan" label="币种：财务附注：重要的账龄超过1年的预收账款" selectOptions="_buildInISO4217" controlType="Combobox" cellType="Measure" appId="_GBC_ae7ea5bab4b04b2cb170af5020f86302"/>
      <m:placeholder xlName="_PLD_a4e03e2e9e4349419f13fec568395d55" addr="T0R0C0S1_1"/>
      <m:placeholder xlName="_PLD_8dd80b4c0ac3400bb1beb0c7f576a2f6" addr="T0R0C1S1_1"/>
      <m:placeholder xlName="_PLD_d7bc2edb811346f1ae4479ea07f0f622" addr="T0R0C2S1_1"/>
      <m:tuple xlName="_GBC_36a567eab8e7428283e75f2fe80c7041" concept="clcid-pte:ZhongYaoDeZhangLingChaoGuoNianDeYuShouZhangKuanMingXi" default_row="2" addr="T0R1C">
        <m:item xlName="_GBC_bb6d26087e724b99999013f619596b12" concept="clcid-pte:ZhongYaoDeZhangLingChaoGuoNianDeYuShouZhangKuanMingXiXiangMuMingCheng" label="重要的账龄超过1年的预收账款明细-项目名称" addr="T0R1C0S1_1" appId="_GBC_ae7ea5bab4b04b2cb170af5020f86302"/>
        <m:item xlName="_GBC_505b2104d6dc4242b280b1a858949c5e" concept="clcid-pte:ZhongYaoDeZhangLingChaoGuoNianDeYuShouZhangKuanMingXiYuE" label="重要的账龄超过1年的预收账款明细-余额" mulRef="_GBC_42b95b40c556404fb356ffbe5874de55" unitRef="_GBC_3b5cf8cf0f1d44548bc9470ab19fc397" addr="T0R1C1S1_1" formatStyle="Comma" appId="_GBC_ae7ea5bab4b04b2cb170af5020f86302"/>
        <m:item xlName="_GBC_249ef1e2d12948aeb8a8011a742a171f" concept="clcid-pte:ZhongYaoDeZhangLingChaoGuoNianDeYuShouZhangKuanMingXiWeiChangHuanHuoJieZhuanDeYuanYin" label="重要的账龄超过1年的预收账款明细-未偿还或结转的原因" addr="T0R1C2S1_1" appId="_GBC_ae7ea5bab4b04b2cb170af5020f86302"/>
      </m:tuple>
      <m:placeholder xlName="_PLD_4b71806cf8d4402a8570d8a456143f9e" addr="T0R3C0S1_1"/>
      <m:item xlName="_GBC_b584c73932da484cb43a0325dabe2067" concept="clcid-pte:ZhongYaoDeZhangLingChaoGuoNianDeYuShouZhangKuanJinEHeJi" label="重要的账龄超过1年的预收账款金额合计" mulRef="_GBC_42b95b40c556404fb356ffbe5874de55" unitRef="_GBC_3b5cf8cf0f1d44548bc9470ab19fc397" addr="T0R3C1S1_1" formatStyle="Comma" appId="_GBC_ae7ea5bab4b04b2cb170af5020f86302">
        <m:complexRule comparator="Eq" title="重要的账龄超过1年的预收账款金额合计" test=" $_GBC_505b2104d6dc4242b280b1a858949c5e" id="C83e2b3feaa4c4d7cb95e0b77ff170193"/>
      </m:item>
    </m:section>
    <m:section xlName="_GBC_3b693e8055374a80821823cdad74f225" title="账龄超过1年的大额预收款项情况的说明" convertSummaryRule="NoConvert" helpId="112002200">
      <m:item xlName="_GBC_f473b6b28a104ffc812e6da4cf5177e5" concept="clcid-ci-ar:ShiFouShiYongYuShouZhangKuanDeQiTaShuoMing" label="是否适用：预收账款的其他说明" selectOptions="_buildInAppliance" controlType="CustomCheckbox" cRanges="{&quot;StartName&quot;:&quot;_GBC_f473b6b28a104ffc812e6da4cf5177e5&quot;,&quot;EndName&quot;:&quot;_GBC_b8db95ae8fdb4ee6b08199edc79a282c&quot;,&quot;CType&quot;:1,&quot;DisplayText&quot;:null}"/>
      <m:item xlName="_GBC_b8db95ae8fdb4ee6b08199edc79a282c" concept="clcid-pte:YuShouZhangKuanDeQiTaShuoMing" label="预收账款的其他说明" appId="_GBC_f473b6b28a104ffc812e6da4cf5177e5"/>
    </m:section>
    <m:section xlName="_SEC_c98a59ac0d184ea5b3b590c23bf7ff8d" title="合同负债" helpId="112002271">
      <m:item xlName="_GBC_2b6238a8ea00438eab947f83a5f6451d" concept="clcid-ci-ar:ShiFouShiYongHeTongFuZhaiQingKuang" label="是否适用：合同负债情况" selectOptions="_buildInAppliance" controlType="CustomCheckbox" cRanges="[{&quot;StartName&quot;:&quot;_GBC_2b6238a8ea00438eab947f83a5f6451d&quot;,&quot;EndName&quot;:&quot;_GBC_a1896f23c2f34ab0983e4f19b2553064&quot;,&quot;CType&quot;:1}]"/>
      <m:item xlName="_GBC_0024c0ddc3514b009e8166b63dc10ae9" concept="clcid-ci-ar:DanWeiHeTongFuZhaiQingKuang" label="单位：合同负债情况" selectOptions="_buildInScales" controlType="Combobox" cellType="Scale" appId="_GBC_2b6238a8ea00438eab947f83a5f6451d"/>
      <m:item xlName="_GBC_154d9411b9764a4f8e1412d0a22c8375" concept="clcid-ci-ar:BiZhongHeTongFuZhaiQingKuang" label="币种：合同负债情况" selectOptions="_buildInISO4217" controlType="Combobox" cellType="Measure" appId="_GBC_2b6238a8ea00438eab947f83a5f6451d"/>
      <m:placeholder xlName="_PLD_c5e783ac966e416184ff57e436f98be2" addr="T0R0C0S1_1"/>
      <m:placeholder xlName="_PLD_a4f8a9567271447e9f7bc01f59c6eed6" addr="T0R0C1S1_1"/>
      <m:placeholder xlName="_PLD_b8f751ec83834a96b0e87c862d2ae80b" addr="T0R0C2S1_1"/>
      <m:tuple xlName="_TUP_d1c7a7f050fb40619e0f52b844ab99a2" concept="clcid-pte:HeTongFuZhaiMingXi" default_row="2" addr="T0R1C">
        <m:item xlName="_GBC_054f76a71eb1427780c026eda5390528" concept="clcid-pte:HeTongFuZhaiMingXiXiangMu" label="合同负债明细-项目" addr="T0R1C0S1_1" appId="_GBC_2b6238a8ea00438eab947f83a5f6451d"/>
        <m:item xlName="_GBC_127bfacb9a9a4315a33b106efc3d0a81" concept="clcid-pte:HeTongFuZhaiMingXiFaShengE" label="合同负债明细-发生额" mulRef="_GBC_0024c0ddc3514b009e8166b63dc10ae9" unitRef="_GBC_154d9411b9764a4f8e1412d0a22c8375" addr="T0R1C1S1_1" formatStyle="Comma" appId="_GBC_2b6238a8ea00438eab947f83a5f6451d"/>
        <m:item xlName="_GBC_488a1ab5c4354c078f1aff5734a4e172" concept="clcid-pte:HeTongFuZhaiMingXiFaShengE" label="合同负债明细-发生额" periodRef="本期期初数" mulRef="_GBC_0024c0ddc3514b009e8166b63dc10ae9" unitRef="_GBC_154d9411b9764a4f8e1412d0a22c8375" addr="T0R1C2S1_1" formatStyle="Comma" appId="_GBC_2b6238a8ea00438eab947f83a5f6451d"/>
      </m:tuple>
      <m:placeholder xlName="_PLD_749720f346f74db784b99fec9408ed39" addr="T0R3C0S1_1"/>
      <m:item xlName="_GBC_21d2fd093fe84ba4a2f8f3a0390784b0" concept="clcid-pte:HeTongFuZhai" label="合同负债" mulRef="_GBC_0024c0ddc3514b009e8166b63dc10ae9" unitRef="_GBC_154d9411b9764a4f8e1412d0a22c8375" addr="T0R3C1S1_1" formatStyle="Comma" appId="_GBC_2b6238a8ea00438eab947f83a5f6451d">
        <m:complexRule comparator="Eq" title="合同负债" test=" $_GBC_127bfacb9a9a4315a33b106efc3d0a81" id="Cd969b1c8dd234331a8004bb1a5dd87d1"/>
      </m:item>
      <m:item xlName="_GBC_a1896f23c2f34ab0983e4f19b2553064" concept="clcid-pte:HeTongFuZhai" label="合同负债" periodRef="本期期初数" mulRef="_GBC_0024c0ddc3514b009e8166b63dc10ae9" unitRef="_GBC_154d9411b9764a4f8e1412d0a22c8375" addr="T0R3C2S1_1" formatStyle="Comma" appId="_GBC_2b6238a8ea00438eab947f83a5f6451d">
        <m:complexRule comparator="Eq" title="合同负债@本期期初数" test=" $_GBC_488a1ab5c4354c078f1aff5734a4e172" id="C85832f684681417aa9b0c8d81e389ec4"/>
      </m:item>
    </m:section>
    <m:section xlName="_SEC_c824c488dbc74824b379bb9187c7bdf0" title="报告期内账面价值发生重大变动的金额和原因" helpId="112002271">
      <m:item xlName="_GBC_18d9cdd7095d4bda8f22860c58746248" concept="clcid-ci-ar:ShiFouShiYongHeTongFuZhaiZhangMianJiaZhiFaShengZhongDaBianDong" label="是否适用：合同负债账面价值发生重大变动" selectOptions="_buildInAppliance" controlType="CustomCheckbox" cRanges="[{&quot;StartName&quot;:&quot;_GBC_18d9cdd7095d4bda8f22860c58746248&quot;,&quot;EndName&quot;:&quot;_GBC_7c8301d237bc4778b8a9bdd5baa59457&quot;,&quot;CType&quot;:1}]"/>
      <m:item xlName="_GBC_f8571349a979427e95720ea6d80148be" concept="clcid-ci-ar:DanWeiHeTongFuZhaiZhangMianJiaZhiFaShengZhongDaBianDong" label="单位：合同负债账面价值发生重大变动" selectOptions="_buildInScales" controlType="Combobox" cellType="Scale" appId="_GBC_18d9cdd7095d4bda8f22860c58746248"/>
      <m:item xlName="_GBC_506b60e6017d42d6bd62e2eb32d9ff24" concept="clcid-ci-ar:BiZhongHeTongFuZhaiZhangMianJiaZhiFaShengZhongDaBianDong" label="币种：合同负债账面价值发生重大变动" selectOptions="_buildInISO4217" controlType="Combobox" cellType="Measure" appId="_GBC_18d9cdd7095d4bda8f22860c58746248"/>
      <m:placeholder xlName="_PLD_124e76fbb225426299e248c8b16f2c45" addr="T0R0C0S1_1"/>
      <m:placeholder xlName="_PLD_98f88acd254544aaa8399ec779146141" addr="T0R0C1S1_1"/>
      <m:placeholder xlName="_PLD_5b2ed7fb74544813a6c606e9bbabc854" addr="T0R0C2S1_1"/>
      <m:tuple xlName="_TUP_b9206c314c0944be893fc867e651a8bc" concept="clcid-pte:HeTongFuZhaiZhangMianJiaZhiFaShengZhongDaBianDongMingXi" default_row="2" addr="T0R1C">
        <m:item xlName="_GBC_e5895b572f354432a2218e49c31ea696" concept="clcid-pte:HeTongFuZhaiZhangMianJiaZhiFaShengZhongDaBianDongMingXiXiangMu" label="合同负债账面价值发生重大变动明细-项目" addr="T0R1C0S1_1" appId="_GBC_18d9cdd7095d4bda8f22860c58746248"/>
        <m:item xlName="_GBC_7e067dee14d24783a03be4524097dec5" concept="clcid-pte:HeTongFuZhaiZhangMianJiaZhiFaShengZhongDaBianDongMingXiBianDongJinE" label="合同负债账面价值发生重大变动明细-变动金额" mulRef="_GBC_f8571349a979427e95720ea6d80148be" unitRef="_GBC_506b60e6017d42d6bd62e2eb32d9ff24" addr="T0R1C1S1_1" formatStyle="Comma" appId="_GBC_18d9cdd7095d4bda8f22860c58746248"/>
        <m:item xlName="_GBC_fad6bc92ba7e42109952e31e61a52d56" concept="clcid-pte:HeTongFuZhaiZhangMianJiaZhiFaShengZhongDaBianDongMingXiBianDongYuanYin" label="合同负债账面价值发生重大变动明细-变动原因" addr="T0R1C2S1_1" appId="_GBC_18d9cdd7095d4bda8f22860c58746248"/>
      </m:tuple>
      <m:placeholder xlName="_PLD_63b3475721444c0d9daf910fd9ff1709" addr="T0R3C0S1_1"/>
      <m:item xlName="_GBC_7c8301d237bc4778b8a9bdd5baa59457" concept="clcid-pte:HeTongFuZhaiZhangMianJiaZhiFaShengZhongDaBianDongJinEHeJi" label="合同负债账面价值发生重大变动金额合计" mulRef="_GBC_f8571349a979427e95720ea6d80148be" unitRef="_GBC_506b60e6017d42d6bd62e2eb32d9ff24" addr="T0R3C1S1_1" formatStyle="Comma" appId="_GBC_18d9cdd7095d4bda8f22860c58746248">
        <m:complexRule comparator="Eq" title="合同负债账面价值发生重大变动金额合计" test=" $_GBC_7e067dee14d24783a03be4524097dec5" id="C40411c8481e3494f9c34a40d9636bba2"/>
      </m:item>
    </m:section>
    <m:section xlName="_SEC_1910d69cccc04d3fb0422784d0b1dd58" title="其他说明：" helpId="112002271">
      <m:item xlName="_GBC_f73cf097b72042508657c656d4dc0c08" concept="clcid-ci-ar:ShiFouShiYongHeTongFuZhaiQiTaShuoMing" label="是否适用：合同负债其他说明" selectOptions="_buildInAppliance" controlType="CustomCheckbox" cRanges="[{&quot;StartName&quot;:&quot;_GBC_f73cf097b72042508657c656d4dc0c08&quot;,&quot;EndName&quot;:&quot;_GBC_0797daeaea704437a372be9b93f1c1d4&quot;,&quot;CType&quot;:1}]"/>
      <m:item xlName="_GBC_0797daeaea704437a372be9b93f1c1d4" concept="clcid-pte:HeTongFuZhaiQiTaShuoMing" label="合同负债其他说明" appId="_GBC_f73cf097b72042508657c656d4dc0c08"/>
    </m:section>
    <m:section xlName="_GBC_fa609950067149f1a5c0a6c3ba353431" title="应付职工薪酬列示：" helpId="112001085">
      <m:item xlName="_GBC_88faccc480a843dca589c1af0d3fee37" concept="clcid-ci-ar:ShiFouShiYongYingFuZhiGongXinChouLieShi" label="是否适用：应付职工薪酬列示" selectOptions="_buildInAppliance" controlType="CustomCheckbox" cRanges="{&quot;StartName&quot;:&quot;_GBC_88faccc480a843dca589c1af0d3fee37&quot;,&quot;EndName&quot;:&quot;_GBC_7dd3254db2d941febf038603922e4457&quot;,&quot;CType&quot;:1,&quot;DisplayText&quot;:null}"/>
      <m:item xlName="_GBC_5c4cdcd7cd924c4ca8e87f806bc459b0" concept="clcid-ci-ar:DanWeiCaiWuFuZhuYingFuZhiGongXinChou" label="单位：财务附注：应付职工薪酬" selectOptions="_buildInScales" controlType="Combobox" cellType="Scale" appId="_GBC_88faccc480a843dca589c1af0d3fee37"/>
      <m:item xlName="_GBC_1b7f0fd0ca54470ca12f1037c092be9a" concept="clcid-ci-ar:BiZhongCaiWuFuZhuYingFuZhiGongXinChou" label="币种：财务附注：应付职工薪酬" selectOptions="_buildInISO4217" controlType="Combobox" cellType="Measure" appId="_GBC_88faccc480a843dca589c1af0d3fee37"/>
      <m:placeholder xlName="_PLD_481bea2acb8f49ac9b4cfc92cd4a426e" addr="T0R0C0S1_1"/>
      <m:placeholder xlName="_PLD_ff27c0f5bcb94d9b932762b91edf2ff1" addr="T0R0C1S1_1"/>
      <m:placeholder xlName="_PLD_7274636f27ae4e048ade60bfddaa8164" addr="T0R0C2S1_1"/>
      <m:placeholder xlName="_PLD_07ae572963de436aa2308d649a28c23b" addr="T0R0C3S1_1"/>
      <m:placeholder xlName="_PLD_27069329d7654e34bc45ca7dee532204" addr="T0R0C4S1_1"/>
      <m:placeholder xlName="_PLD_8272d2e82a6f45a197d65c1251ac79c7" addr="T0R1C0S1_1"/>
      <m:item xlName="_GBC_e330b62b4bd247cd917e2f0ee3ae0991" concept="clcid-pte:YingFuDuanQiXinChou" label="应付短期薪酬" periodRef="本期期初数" mulRef="_GBC_5c4cdcd7cd924c4ca8e87f806bc459b0" unitRef="_GBC_1b7f0fd0ca54470ca12f1037c092be9a" addr="T0R1C1S1_1" formatStyle="Comma" appId="_GBC_88faccc480a843dca589c1af0d3fee37"/>
      <m:item xlName="_GBC_861a3218b6024b5cbfcd8719a063d82c" concept="clcid-pte:YingFuDuanQiXinChouZengJiaE" label="应付短期薪酬增加额" mulRef="_GBC_5c4cdcd7cd924c4ca8e87f806bc459b0" unitRef="_GBC_1b7f0fd0ca54470ca12f1037c092be9a" addr="T0R1C2S1_1" formatStyle="Comma" appId="_GBC_88faccc480a843dca589c1af0d3fee37"/>
      <m:item xlName="_GBC_d9e2ce417b824d24b2b16dd48c833632" concept="clcid-pte:YingFuDuanQiXinChouJianShaoE" label="应付短期薪酬减少额" mulRef="_GBC_5c4cdcd7cd924c4ca8e87f806bc459b0" unitRef="_GBC_1b7f0fd0ca54470ca12f1037c092be9a" addr="T0R1C3S1_1" formatStyle="Comma" appId="_GBC_88faccc480a843dca589c1af0d3fee37"/>
      <m:item xlName="_GBC_da586680297045feb248fcd4c0478616" concept="clcid-pte:YingFuDuanQiXinChou" label="应付短期薪酬" mulRef="_GBC_5c4cdcd7cd924c4ca8e87f806bc459b0" unitRef="_GBC_1b7f0fd0ca54470ca12f1037c092be9a" addr="T0R1C4S1_1" formatStyle="Comma" appId="_GBC_88faccc480a843dca589c1af0d3fee37">
        <m:complexRule comparator="Eq" title="应付短期薪酬" test=" $_GBC_e330b62b4bd247cd917e2f0ee3ae0991 +  $_GBC_861a3218b6024b5cbfcd8719a063d82c -  $_GBC_d9e2ce417b824d24b2b16dd48c833632" id="C751c6ff8fe5c4db7b99bccf22c3cfed8"/>
      </m:item>
      <m:placeholder xlName="_PLD_e3c7b981b4f64fe3993a41cabeb3d888" addr="T0R2C0S1_1"/>
      <m:item xlName="_GBC_40a882ee6871408d8be50b2d6759bbf6" concept="clcid-pte:YingFuSheDingTiCunJiHua" label="应付设定提存计划" periodRef="本期期初数" mulRef="_GBC_5c4cdcd7cd924c4ca8e87f806bc459b0" unitRef="_GBC_1b7f0fd0ca54470ca12f1037c092be9a" addr="T0R2C1S1_1" formatStyle="Comma" appId="_GBC_88faccc480a843dca589c1af0d3fee37"/>
      <m:item xlName="_GBC_068ff01b53d8443dae8b28850ef6b430" concept="clcid-pte:YingFuSheDingTiCunJiHuaZengJiaE" label="应付设定提存计划增加额" mulRef="_GBC_5c4cdcd7cd924c4ca8e87f806bc459b0" unitRef="_GBC_1b7f0fd0ca54470ca12f1037c092be9a" addr="T0R2C2S1_1" formatStyle="Comma" appId="_GBC_88faccc480a843dca589c1af0d3fee37"/>
      <m:item xlName="_GBC_30fc80f0d84b4736b6b6fe0b5e930b1a" concept="clcid-pte:YingFuSheDingTiCunJiHuaJianShaoE" label="应付设定提存计划减少额" mulRef="_GBC_5c4cdcd7cd924c4ca8e87f806bc459b0" unitRef="_GBC_1b7f0fd0ca54470ca12f1037c092be9a" addr="T0R2C3S1_1" formatStyle="Comma" appId="_GBC_88faccc480a843dca589c1af0d3fee37"/>
      <m:item xlName="_GBC_d9860664b6b54929914d1dcaeb98166a" concept="clcid-pte:YingFuSheDingTiCunJiHua" label="应付设定提存计划" mulRef="_GBC_5c4cdcd7cd924c4ca8e87f806bc459b0" unitRef="_GBC_1b7f0fd0ca54470ca12f1037c092be9a" addr="T0R2C4S1_1" formatStyle="Comma" appId="_GBC_88faccc480a843dca589c1af0d3fee37">
        <m:complexRule comparator="Eq" title="应付设定提存计划" test=" $_GBC_40a882ee6871408d8be50b2d6759bbf6 +  $_GBC_068ff01b53d8443dae8b28850ef6b430 -  $_GBC_30fc80f0d84b4736b6b6fe0b5e930b1a" id="C6c82489c93084a7f96ae429d4e2878b6"/>
      </m:item>
      <m:placeholder xlName="_PLD_d615e4da2a4948e5994fcc5682898c56" addr="T0R3C0S1_1"/>
      <m:item xlName="_GBC_0b26633471de4a1c9b48136041099a2d" concept="clcid-pte:YingFuCiTuiFuLiZhangMianYuE" label="应付辞退福利账面余额" periodRef="本期期初数" mulRef="_GBC_5c4cdcd7cd924c4ca8e87f806bc459b0" unitRef="_GBC_1b7f0fd0ca54470ca12f1037c092be9a" addr="T0R3C1S1_1" formatStyle="Comma" appId="_GBC_88faccc480a843dca589c1af0d3fee37"/>
      <m:item xlName="_GBC_6e52320981cd413db959d1b9788a1871" concept="clcid-pte:YingFuCiTuiFuLiZengJiaE" label="应付辞退福利增加额" mulRef="_GBC_5c4cdcd7cd924c4ca8e87f806bc459b0" unitRef="_GBC_1b7f0fd0ca54470ca12f1037c092be9a" addr="T0R3C2S1_1" formatStyle="Comma" appId="_GBC_88faccc480a843dca589c1af0d3fee37"/>
      <m:item xlName="_GBC_c014046b0dec4d5a9ef6db8bcaf20263" concept="clcid-pte:YingFuCiTuiFuLiZhiFuE" label="应付辞退福利支付额" mulRef="_GBC_5c4cdcd7cd924c4ca8e87f806bc459b0" unitRef="_GBC_1b7f0fd0ca54470ca12f1037c092be9a" addr="T0R3C3S1_1" formatStyle="Comma" appId="_GBC_88faccc480a843dca589c1af0d3fee37"/>
      <m:item xlName="_GBC_3fc5f78530484e79b1ab4bcafff14a57" concept="clcid-pte:YingFuCiTuiFuLiZhangMianYuE" label="应付辞退福利账面余额" mulRef="_GBC_5c4cdcd7cd924c4ca8e87f806bc459b0" unitRef="_GBC_1b7f0fd0ca54470ca12f1037c092be9a" addr="T0R3C4S1_1" formatStyle="Comma" appId="_GBC_88faccc480a843dca589c1af0d3fee37">
        <m:complexRule comparator="Eq" title="应付辞退福利账面余额" test=" $_GBC_0b26633471de4a1c9b48136041099a2d +  $_GBC_6e52320981cd413db959d1b9788a1871 -  $_GBC_c014046b0dec4d5a9ef6db8bcaf20263" id="C55769ee9e64041af9caf660a0897e08c"/>
      </m:item>
      <m:placeholder xlName="_PLD_f85ecebc2b9f455eb675b5c3c3edb84c" addr="T0R4C0S1_1"/>
      <m:item xlName="_GBC_c67e2c3cc62d4954ab00bc79a7e030fe" concept="clcid-pte:YiNianNeiDaoQiDeQiTaFuLi" label="一年内到期的其他福利" periodRef="本期期初数" mulRef="_GBC_5c4cdcd7cd924c4ca8e87f806bc459b0" unitRef="_GBC_1b7f0fd0ca54470ca12f1037c092be9a" addr="T0R4C1S1_1" formatStyle="Comma" appId="_GBC_88faccc480a843dca589c1af0d3fee37"/>
      <m:item xlName="_GBC_fbdfeac6519041ff891ea7ae79da984d" concept="clcid-pte:YiNianNeiDaoQiDeQiTaFuLiZengJiaE" label="一年内到期的其他福利增加额" mulRef="_GBC_5c4cdcd7cd924c4ca8e87f806bc459b0" unitRef="_GBC_1b7f0fd0ca54470ca12f1037c092be9a" addr="T0R4C2S1_1" formatStyle="Comma" appId="_GBC_88faccc480a843dca589c1af0d3fee37"/>
      <m:item xlName="_GBC_d5f526e560d547399f71c9c429951d0e" concept="clcid-pte:YiNianNeiDaoQiDeQiTaFuLiJianShaoE" label="一年内到期的其他福利减少额" mulRef="_GBC_5c4cdcd7cd924c4ca8e87f806bc459b0" unitRef="_GBC_1b7f0fd0ca54470ca12f1037c092be9a" addr="T0R4C3S1_1" formatStyle="Comma" appId="_GBC_88faccc480a843dca589c1af0d3fee37"/>
      <m:item xlName="_GBC_ca57e48609f541b4949f0e6776cc3be4" concept="clcid-pte:YiNianNeiDaoQiDeQiTaFuLi" label="一年内到期的其他福利" mulRef="_GBC_5c4cdcd7cd924c4ca8e87f806bc459b0" unitRef="_GBC_1b7f0fd0ca54470ca12f1037c092be9a" addr="T0R4C4S1_1" formatStyle="Comma" appId="_GBC_88faccc480a843dca589c1af0d3fee37">
        <m:complexRule comparator="Eq" title="一年内到期的其他福利" test=" $_GBC_c67e2c3cc62d4954ab00bc79a7e030fe +  $_GBC_fbdfeac6519041ff891ea7ae79da984d -  $_GBC_d5f526e560d547399f71c9c429951d0e" id="Ce1dd138ecb3a445494767a7a27b0187c"/>
      </m:item>
      <m:tuple xlName="_GBC_6ee0b500781e4fffb019cdc104a0467e" concept="clcid-pte:YingFuZhiGongXinChouLieShiMingXi" default_row="2" addr="T0R5C">
        <m:item xlName="_GBC_e4ab099aa822414fbda2a7bf5422d215" concept="clcid-pte:YingFuZhiGongXinChouLieShiMingXiXiangMuMingCheng" label="应付职工薪酬列示明细-项目名称" addr="T0R5C0S1_1" appId="_GBC_88faccc480a843dca589c1af0d3fee37"/>
        <m:item xlName="_GBC_bbf189b1ad3d43fda2fe5e1132ecbb44" concept="clcid-pte:YingFuZhiGongXinChouLieShiMingXiYuE" label="应付职工薪酬列示明细-余额" periodRef="本期期初数" mulRef="_GBC_5c4cdcd7cd924c4ca8e87f806bc459b0" unitRef="_GBC_1b7f0fd0ca54470ca12f1037c092be9a" addr="T0R5C1S1_1" formatStyle="Comma" appId="_GBC_88faccc480a843dca589c1af0d3fee37"/>
        <m:item xlName="_GBC_271386a17bc24410ac72f06af6bc8d8a" concept="clcid-pte:YingFuZhiGongXinChouLieShiMingXiBenQiZengJiaE" label="应付职工薪酬列示明细-本期增加额" mulRef="_GBC_5c4cdcd7cd924c4ca8e87f806bc459b0" unitRef="_GBC_1b7f0fd0ca54470ca12f1037c092be9a" addr="T0R5C2S1_1" formatStyle="Comma" appId="_GBC_88faccc480a843dca589c1af0d3fee37"/>
        <m:item xlName="_GBC_750e3f96eaed43c8bc0a7d2777b0fd31" concept="clcid-pte:YingFuZhiGongXinChouLieShiMingXiBenQiJianShaoE" label="应付职工薪酬列示明细-本期减少额" mulRef="_GBC_5c4cdcd7cd924c4ca8e87f806bc459b0" unitRef="_GBC_1b7f0fd0ca54470ca12f1037c092be9a" addr="T0R5C3S1_1" formatStyle="Comma" appId="_GBC_88faccc480a843dca589c1af0d3fee37"/>
        <m:item xlName="_GBC_938f8fbe6748414bb19ba75778d48a52" concept="clcid-pte:YingFuZhiGongXinChouLieShiMingXiYuE" label="应付职工薪酬列示明细-余额" mulRef="_GBC_5c4cdcd7cd924c4ca8e87f806bc459b0" unitRef="_GBC_1b7f0fd0ca54470ca12f1037c092be9a" addr="T0R5C4S1_1" formatStyle="Comma" appId="_GBC_88faccc480a843dca589c1af0d3fee37">
          <m:complexRule comparator="Eq" title="应付职工薪酬列示明细-余额" test=" $_GBC_bbf189b1ad3d43fda2fe5e1132ecbb44 +  $_GBC_271386a17bc24410ac72f06af6bc8d8a -  $_GBC_750e3f96eaed43c8bc0a7d2777b0fd31" id="Cd9652d620046497382b507146a0a187b"/>
        </m:item>
      </m:tuple>
      <m:placeholder xlName="_PLD_5ce2e7ac546346f4a7bec33299c89503" addr="T0R7C0S1_1"/>
      <m:item xlName="_GBC_f6cba87c07f3429db6a05e9b4c470ea9" concept="clcid-pte:YingFuZhiGongXinChou" label="应付职工薪酬" periodRef="本期期初数" mulRef="_GBC_5c4cdcd7cd924c4ca8e87f806bc459b0" unitRef="_GBC_1b7f0fd0ca54470ca12f1037c092be9a" addr="T0R7C1S1_1" formatStyle="Comma" appId="_GBC_88faccc480a843dca589c1af0d3fee37">
        <m:complexRule comparator="Eq" title="应付职工薪酬@本期期初数" test=" $_GBC_e330b62b4bd247cd917e2f0ee3ae0991 +  $_GBC_40a882ee6871408d8be50b2d6759bbf6 +  $_GBC_0b26633471de4a1c9b48136041099a2d +  $_GBC_c67e2c3cc62d4954ab00bc79a7e030fe +  $_GBC_bbf189b1ad3d43fda2fe5e1132ecbb44" id="C746c463761144463a89c99258654cefc" serialType="1"/>
      </m:item>
      <m:item xlName="_GBC_16690e9a41be42d1bdd086d5a7d96c32" concept="clcid-pte:YingFuZhiGongXinChouZengJiaE" label="应付职工薪酬增加额" mulRef="_GBC_5c4cdcd7cd924c4ca8e87f806bc459b0" unitRef="_GBC_1b7f0fd0ca54470ca12f1037c092be9a" addr="T0R7C2S1_1" formatStyle="Comma" appId="_GBC_88faccc480a843dca589c1af0d3fee37">
        <m:complexRule comparator="Eq" title="应付职工薪酬增加额" test=" $_GBC_861a3218b6024b5cbfcd8719a063d82c +  $_GBC_068ff01b53d8443dae8b28850ef6b430 +  $_GBC_6e52320981cd413db959d1b9788a1871 +  $_GBC_fbdfeac6519041ff891ea7ae79da984d +  $_GBC_271386a17bc24410ac72f06af6bc8d8a" id="C34817ccba25947a3aa9b1594c7a57406" serialType="1"/>
      </m:item>
      <m:item xlName="_GBC_1204491c87e5433fbe78d8d95c7015c8" concept="clcid-pte:YingFuZhiGongXinChouJianShaoE" label="应付职工薪酬减少额" mulRef="_GBC_5c4cdcd7cd924c4ca8e87f806bc459b0" unitRef="_GBC_1b7f0fd0ca54470ca12f1037c092be9a" addr="T0R7C3S1_1" formatStyle="Comma" appId="_GBC_88faccc480a843dca589c1af0d3fee37">
        <m:complexRule comparator="Eq" title="应付职工薪酬减少额" test=" $_GBC_d9e2ce417b824d24b2b16dd48c833632 +  $_GBC_30fc80f0d84b4736b6b6fe0b5e930b1a +  $_GBC_c014046b0dec4d5a9ef6db8bcaf20263 +  $_GBC_d5f526e560d547399f71c9c429951d0e +  $_GBC_750e3f96eaed43c8bc0a7d2777b0fd31" id="C82677bd62a2742fa8eb6a53d52d76b42" serialType="1"/>
      </m:item>
      <m:item xlName="_GBC_7dd3254db2d941febf038603922e4457" concept="clcid-pte:YingFuZhiGongXinChou" label="应付职工薪酬" mulRef="_GBC_5c4cdcd7cd924c4ca8e87f806bc459b0" unitRef="_GBC_1b7f0fd0ca54470ca12f1037c092be9a" addr="T0R7C4S1_1" formatStyle="Comma" appId="_GBC_88faccc480a843dca589c1af0d3fee37">
        <m:complexRule comparator="Eq" title="应付职工薪酬横向合计" test=" $_GBC_f6cba87c07f3429db6a05e9b4c470ea9 +  $_GBC_16690e9a41be42d1bdd086d5a7d96c32 -  $_GBC_1204491c87e5433fbe78d8d95c7015c8" id="C65ab818e9d1046b78a59e31154df5712"/>
        <m:complexRule comparator="Eq" title="应付职工薪酬" test=" $_GBC_da586680297045feb248fcd4c0478616 +  $_GBC_d9860664b6b54929914d1dcaeb98166a +  $_GBC_3fc5f78530484e79b1ab4bcafff14a57 +  $_GBC_ca57e48609f541b4949f0e6776cc3be4 +  $_GBC_938f8fbe6748414bb19ba75778d48a52" id="C5a50dc08ad9b4653a40e994767597685" serialType="1"/>
      </m:item>
    </m:section>
    <m:section xlName="_GBC_8889528627cf49dfa80ba4d972a53405" title="短期薪酬列示" helpId="112001085">
      <m:item xlName="_GBC_fe9cc4ffdf524f4695448b31c76167ce" concept="clcid-ci-ar:ShiFouShiYongDuanQiXinChouLieShi" label="是否适用：短期薪酬列示" selectOptions="_buildInAppliance" controlType="CustomCheckbox" cRanges="{&quot;StartName&quot;:&quot;_GBC_fe9cc4ffdf524f4695448b31c76167ce&quot;,&quot;EndName&quot;:&quot;_GBC_8b37632e2acb41b6a57a06cf5da9f56a&quot;,&quot;CType&quot;:1,&quot;DisplayText&quot;:null}"/>
      <m:item xlName="_GBC_f5a2a934147944d68f11ca2bcce4d80f" concept="clcid-ci-ar:DanWeiCaiWuFuZhuDuanQiXinChou" label="单位：财务附注：短期薪酬" selectOptions="_buildInScales" controlType="Combobox" cellType="Scale" appId="_GBC_fe9cc4ffdf524f4695448b31c76167ce"/>
      <m:item xlName="_GBC_ded097d86a7d48b8a8b1d9689a73bd5d" concept="clcid-ci-ar:BiZhongCaiWuFuZhuDuanQiXinChou" label="币种：财务附注：短期薪酬" selectOptions="_buildInISO4217" controlType="Combobox" cellType="Measure" appId="_GBC_fe9cc4ffdf524f4695448b31c76167ce"/>
      <m:placeholder xlName="_PLD_7b5378bc64e24511ae79d643c80f9c98" addr="T0R0C0S1_1"/>
      <m:placeholder xlName="_PLD_0144fa4bad154236aa75e1dcc0a89e56" addr="T0R0C1S1_1"/>
      <m:placeholder xlName="_PLD_2d15a4a9e10b4386a7ed67bc2137e04a" addr="T0R0C2S1_1"/>
      <m:placeholder xlName="_PLD_12a2bbefe0874cde83fdb77f4a4158a1" addr="T0R0C3S1_1"/>
      <m:placeholder xlName="_PLD_190d6bcbbde148ffb48f230c6d9d7186" addr="T0R0C4S1_1"/>
      <m:placeholder xlName="_PLD_b24db0ed8285493c9b46db6af314618d" addr="T0R1C0S1_1"/>
      <m:item xlName="_GBC_b1143a92285c4eaea88052e80c078319" concept="clcid-pte:YingFuGongZiJiangJinJinTieHeBuTieZhangMianYuE" label="应付工资、奖金、津贴和补贴账面余额" periodRef="本期期初数" mulRef="_GBC_f5a2a934147944d68f11ca2bcce4d80f" unitRef="_GBC_ded097d86a7d48b8a8b1d9689a73bd5d" addr="T0R1C1S1_1" formatStyle="Comma" appId="_GBC_fe9cc4ffdf524f4695448b31c76167ce"/>
      <m:item xlName="_GBC_def6166209884878b4164c3adff90105" concept="clcid-pte:YingFuGongZiJiangJinJinTieHeBuTieZengJiaE" label="应付工资、奖金、津贴和补贴增加额" mulRef="_GBC_f5a2a934147944d68f11ca2bcce4d80f" unitRef="_GBC_ded097d86a7d48b8a8b1d9689a73bd5d" addr="T0R1C2S1_1" formatStyle="Comma" appId="_GBC_fe9cc4ffdf524f4695448b31c76167ce"/>
      <m:item xlName="_GBC_743efb8171e94f57b13cfa02c4e17d78" concept="clcid-pte:YingFuGongZiJiangJinJinTieHeBuTieJianShaoE" label="应付工资、奖金、津贴和补贴减少额" mulRef="_GBC_f5a2a934147944d68f11ca2bcce4d80f" unitRef="_GBC_ded097d86a7d48b8a8b1d9689a73bd5d" addr="T0R1C3S1_1" formatStyle="Comma" appId="_GBC_fe9cc4ffdf524f4695448b31c76167ce"/>
      <m:item xlName="_GBC_b2b7d59d6adf4036bbbb84d1899290e5" concept="clcid-pte:YingFuGongZiJiangJinJinTieHeBuTieZhangMianYuE" label="应付工资、奖金、津贴和补贴账面余额" mulRef="_GBC_f5a2a934147944d68f11ca2bcce4d80f" unitRef="_GBC_ded097d86a7d48b8a8b1d9689a73bd5d" addr="T0R1C4S1_1" formatStyle="Comma" appId="_GBC_fe9cc4ffdf524f4695448b31c76167ce">
        <m:complexRule comparator="Eq" title="应付工资、奖金、津贴和补贴账面余额" test=" $_GBC_b1143a92285c4eaea88052e80c078319 +  $_GBC_def6166209884878b4164c3adff90105 -  $_GBC_743efb8171e94f57b13cfa02c4e17d78" id="C994a1aa7cf5b47aea1dc87246747f9cb"/>
      </m:item>
      <m:placeholder xlName="_PLD_f557df41d0484816863da6fa2f5bb6e0" addr="T0R2C0S1_1"/>
      <m:item xlName="_GBC_56c61ae3fb924c8e865359046b3995ce" concept="clcid-pte:YingFuZhiGongFuLiFeiZhangMianYuE" label="应付职工福利费账面余额" periodRef="本期期初数" mulRef="_GBC_f5a2a934147944d68f11ca2bcce4d80f" unitRef="_GBC_ded097d86a7d48b8a8b1d9689a73bd5d" addr="T0R2C1S1_1" formatStyle="Comma" appId="_GBC_fe9cc4ffdf524f4695448b31c76167ce"/>
      <m:item xlName="_GBC_b1c60cca5c0d40cd8bc358cb35bb5d05" concept="clcid-pte:YingFuZhiGongFuLiFeiZengJiaE" label="应付职工福利费增加额" mulRef="_GBC_f5a2a934147944d68f11ca2bcce4d80f" unitRef="_GBC_ded097d86a7d48b8a8b1d9689a73bd5d" addr="T0R2C2S1_1" formatStyle="Comma" appId="_GBC_fe9cc4ffdf524f4695448b31c76167ce"/>
      <m:item xlName="_GBC_673fa1b514fd4f5e9f7629d93dd5bd85" concept="clcid-pte:YingFuZhiGongFuLiFeiJianShaoE" label="应付职工福利费减少额" mulRef="_GBC_f5a2a934147944d68f11ca2bcce4d80f" unitRef="_GBC_ded097d86a7d48b8a8b1d9689a73bd5d" addr="T0R2C3S1_1" formatStyle="Comma" appId="_GBC_fe9cc4ffdf524f4695448b31c76167ce"/>
      <m:item xlName="_GBC_5fe822f30b594e7abd529e072f150998" concept="clcid-pte:YingFuZhiGongFuLiFeiZhangMianYuE" label="应付职工福利费账面余额" mulRef="_GBC_f5a2a934147944d68f11ca2bcce4d80f" unitRef="_GBC_ded097d86a7d48b8a8b1d9689a73bd5d" addr="T0R2C4S1_1" formatStyle="Comma" appId="_GBC_fe9cc4ffdf524f4695448b31c76167ce">
        <m:complexRule comparator="Eq" title="应付职工福利费账面余额" test=" $_GBC_56c61ae3fb924c8e865359046b3995ce +  $_GBC_b1c60cca5c0d40cd8bc358cb35bb5d05 -  $_GBC_673fa1b514fd4f5e9f7629d93dd5bd85" id="C0172a3b2de654e4e90b8db9d61f5edf9"/>
      </m:item>
      <m:placeholder xlName="_PLD_dbac61dc87104ba08157258eaf632c94" addr="T0R3C0S1_1"/>
      <m:item xlName="_GBC_a0791472840248a183ac165e6a509317" concept="clcid-pte:YingFuSheHuiBaoXianFeiZhangMianYuE" label="应付社会保险费账面余额" periodRef="本期期初数" mulRef="_GBC_f5a2a934147944d68f11ca2bcce4d80f" unitRef="_GBC_ded097d86a7d48b8a8b1d9689a73bd5d" addr="T0R3C1S1_1" formatStyle="Comma" appId="_GBC_fe9cc4ffdf524f4695448b31c76167ce">
        <m:complexRule comparator="Eq" title="应付社会保险费账面余额@本期期初数" test=" $_GBC_d60e62102cc9475d87937da798a3b56e +  $_GBC_926ece33c9c54acb8aca21b8f9eda916 +  $_GBC_a9063177816e4200a390209fe877ce6d +  $_GBC_3410b63fabe743eb92f6632dc4e327ff" id="C171f88a9ba6a4b3595c38bb031ba9a28" serialType="1"/>
      </m:item>
      <m:item xlName="_GBC_f3dea0626fc24c55b9e261fb445c3645" concept="clcid-pte:YingFuSheHuiBaoXianFeiZengJiaE" label="应付社会保险费增加额" mulRef="_GBC_f5a2a934147944d68f11ca2bcce4d80f" unitRef="_GBC_ded097d86a7d48b8a8b1d9689a73bd5d" addr="T0R3C2S1_1" formatStyle="Comma" appId="_GBC_fe9cc4ffdf524f4695448b31c76167ce">
        <m:complexRule comparator="Eq" title="应付社会保险费增加额" test=" $_GBC_e117d238154f478fad9cd36abcc8534f +  $_GBC_fd7253c5229f4f709828b1c8a333457f +  $_GBC_f165777ae3e544bc9a171388de18e463 +  $_GBC_43d50b4de78d4845a4dbdc3cc4f16564" id="C9d573246e7f44c6bab87ee542813bf64" serialType="1"/>
      </m:item>
      <m:item xlName="_GBC_7f7caa8444b848ca8f2ba14fc258990c" concept="clcid-pte:YingFuSheHuiBaoXianFeiJianShaoE" label="应付社会保险费减少额" mulRef="_GBC_f5a2a934147944d68f11ca2bcce4d80f" unitRef="_GBC_ded097d86a7d48b8a8b1d9689a73bd5d" addr="T0R3C3S1_1" formatStyle="Comma" appId="_GBC_fe9cc4ffdf524f4695448b31c76167ce">
        <m:complexRule comparator="Eq" title="应付社会保险费减少额" test=" $_GBC_3c7d42d0eb164aabbefccbc324125c81 +  $_GBC_0fde263eaa0f4e629f105039d640c427 +  $_GBC_f2b27f5fb59445988c16e80670ae180e +  $_GBC_e2a88611e43d4d4bbf787783afa5693f" id="C6b42fcbff8984809b932942213e54573" serialType="1"/>
      </m:item>
      <m:item xlName="_GBC_b9b9399246c448b583536d4509d825a3" concept="clcid-pte:YingFuSheHuiBaoXianFeiZhangMianYuE" label="应付社会保险费账面余额" mulRef="_GBC_f5a2a934147944d68f11ca2bcce4d80f" unitRef="_GBC_ded097d86a7d48b8a8b1d9689a73bd5d" addr="T0R3C4S1_1" formatStyle="Comma" appId="_GBC_fe9cc4ffdf524f4695448b31c76167ce">
        <m:complexRule comparator="Eq" title="应付社会保险费账面余额纵向合计" test=" $_GBC_090dcd7e70b649da901325d29ff5be51 +  $_GBC_8d06786b8e254524a9bb764b15ab1bd0 +  $_GBC_2e9764d3238e4430b8d383b080bd3fff +  $_GBC_146fcb7a17624371ba7af45a6aef977d" id="C220a5e52323d405c8f4a8dad0fc34caa"/>
        <m:complexRule comparator="Eq" title="应付社会保险费账面余额" test=" $_GBC_a0791472840248a183ac165e6a509317 +  $_GBC_f3dea0626fc24c55b9e261fb445c3645 -  $_GBC_7f7caa8444b848ca8f2ba14fc258990c" id="C08e9ba1949904d2da6161c0393fffd57" serialType="1"/>
      </m:item>
      <m:placeholder xlName="_PLD_1ae6ec180f494dc4bdbe2a71caadcf9d" addr="T0R4C0S1_1"/>
      <m:item xlName="_GBC_d60e62102cc9475d87937da798a3b56e" concept="clcid-pte:YingFuYiLiaoBaoXianFeiZhangMianYuE" label="应付医疗保险费账面余额" periodRef="本期期初数" mulRef="_GBC_f5a2a934147944d68f11ca2bcce4d80f" unitRef="_GBC_ded097d86a7d48b8a8b1d9689a73bd5d" addr="T0R4C1S1_1" formatStyle="Comma" appId="_GBC_fe9cc4ffdf524f4695448b31c76167ce"/>
      <m:item xlName="_GBC_e117d238154f478fad9cd36abcc8534f" concept="clcid-pte:YingFuYiLiaoBaoXianFeiZengJiaE" label="应付医疗保险费增加额" mulRef="_GBC_f5a2a934147944d68f11ca2bcce4d80f" unitRef="_GBC_ded097d86a7d48b8a8b1d9689a73bd5d" addr="T0R4C2S1_1" formatStyle="Comma" appId="_GBC_fe9cc4ffdf524f4695448b31c76167ce"/>
      <m:item xlName="_GBC_3c7d42d0eb164aabbefccbc324125c81" concept="clcid-pte:YingFuYiLiaoBaoXianFeiJianShaoE" label="应付医疗保险费减少额" mulRef="_GBC_f5a2a934147944d68f11ca2bcce4d80f" unitRef="_GBC_ded097d86a7d48b8a8b1d9689a73bd5d" addr="T0R4C3S1_1" formatStyle="Comma" appId="_GBC_fe9cc4ffdf524f4695448b31c76167ce"/>
      <m:item xlName="_GBC_090dcd7e70b649da901325d29ff5be51" concept="clcid-pte:YingFuYiLiaoBaoXianFeiZhangMianYuE" label="应付医疗保险费账面余额" mulRef="_GBC_f5a2a934147944d68f11ca2bcce4d80f" unitRef="_GBC_ded097d86a7d48b8a8b1d9689a73bd5d" addr="T0R4C4S1_1" formatStyle="Comma" appId="_GBC_fe9cc4ffdf524f4695448b31c76167ce"/>
      <m:placeholder xlName="_PLD_a5396281963e4191a16040ecc2da4b44" addr="T0R5C0S1_1"/>
      <m:item xlName="_GBC_926ece33c9c54acb8aca21b8f9eda916" concept="clcid-pte:YingFuGongShangBaoXianFeiZhangMianYuE" label="应付工伤保险费账面余额" periodRef="本期期初数" mulRef="_GBC_f5a2a934147944d68f11ca2bcce4d80f" unitRef="_GBC_ded097d86a7d48b8a8b1d9689a73bd5d" addr="T0R5C1S1_1" formatStyle="Comma" appId="_GBC_fe9cc4ffdf524f4695448b31c76167ce"/>
      <m:item xlName="_GBC_fd7253c5229f4f709828b1c8a333457f" concept="clcid-pte:YingFuGongShangBaoXianFeiZengJiaE" label="应付工伤保险费增加额" mulRef="_GBC_f5a2a934147944d68f11ca2bcce4d80f" unitRef="_GBC_ded097d86a7d48b8a8b1d9689a73bd5d" addr="T0R5C2S1_1" formatStyle="Comma" appId="_GBC_fe9cc4ffdf524f4695448b31c76167ce"/>
      <m:item xlName="_GBC_0fde263eaa0f4e629f105039d640c427" concept="clcid-pte:YingFuGongShangBaoXianFeiJianShaoE" label="应付工伤保险费减少额" mulRef="_GBC_f5a2a934147944d68f11ca2bcce4d80f" unitRef="_GBC_ded097d86a7d48b8a8b1d9689a73bd5d" addr="T0R5C3S1_1" formatStyle="Comma" appId="_GBC_fe9cc4ffdf524f4695448b31c76167ce"/>
      <m:item xlName="_GBC_8d06786b8e254524a9bb764b15ab1bd0" concept="clcid-pte:YingFuGongShangBaoXianFeiZhangMianYuE" label="应付工伤保险费账面余额" mulRef="_GBC_f5a2a934147944d68f11ca2bcce4d80f" unitRef="_GBC_ded097d86a7d48b8a8b1d9689a73bd5d" addr="T0R5C4S1_1" formatStyle="Comma" appId="_GBC_fe9cc4ffdf524f4695448b31c76167ce">
        <m:complexRule comparator="Eq" title="应付工伤保险费账面余额" test=" $_GBC_926ece33c9c54acb8aca21b8f9eda916 +  $_GBC_fd7253c5229f4f709828b1c8a333457f -  $_GBC_0fde263eaa0f4e629f105039d640c427" id="Cf804127b0ca14c93925532382d39a7ce"/>
      </m:item>
      <m:placeholder xlName="_PLD_804a3b1683d741ebb83bd99deed156d6" addr="T0R6C0S1_1"/>
      <m:item xlName="_GBC_a9063177816e4200a390209fe877ce6d" concept="clcid-pte:YingFuShengYuBaoXianFeiZhangMianYuE" label="应付生育保险费账面余额" periodRef="本期期初数" mulRef="_GBC_f5a2a934147944d68f11ca2bcce4d80f" unitRef="_GBC_ded097d86a7d48b8a8b1d9689a73bd5d" addr="T0R6C1S1_1" formatStyle="Comma" appId="_GBC_fe9cc4ffdf524f4695448b31c76167ce"/>
      <m:item xlName="_GBC_f165777ae3e544bc9a171388de18e463" concept="clcid-pte:YingFuShengYuBaoXianFeiZengJiaE" label="应付生育保险费增加额" mulRef="_GBC_f5a2a934147944d68f11ca2bcce4d80f" unitRef="_GBC_ded097d86a7d48b8a8b1d9689a73bd5d" addr="T0R6C2S1_1" formatStyle="Comma" appId="_GBC_fe9cc4ffdf524f4695448b31c76167ce"/>
      <m:item xlName="_GBC_f2b27f5fb59445988c16e80670ae180e" concept="clcid-pte:YingFuShengYuBaoXianFeiJianShaoE" label="应付生育保险费减少额" mulRef="_GBC_f5a2a934147944d68f11ca2bcce4d80f" unitRef="_GBC_ded097d86a7d48b8a8b1d9689a73bd5d" addr="T0R6C3S1_1" formatStyle="Comma" appId="_GBC_fe9cc4ffdf524f4695448b31c76167ce"/>
      <m:item xlName="_GBC_2e9764d3238e4430b8d383b080bd3fff" concept="clcid-pte:YingFuShengYuBaoXianFeiZhangMianYuE" label="应付生育保险费账面余额" mulRef="_GBC_f5a2a934147944d68f11ca2bcce4d80f" unitRef="_GBC_ded097d86a7d48b8a8b1d9689a73bd5d" addr="T0R6C4S1_1" formatStyle="Comma" appId="_GBC_fe9cc4ffdf524f4695448b31c76167ce">
        <m:complexRule comparator="Eq" title="应付生育保险费账面余额" test=" $_GBC_a9063177816e4200a390209fe877ce6d +  $_GBC_f165777ae3e544bc9a171388de18e463 -  $_GBC_f2b27f5fb59445988c16e80670ae180e" id="C41f6340562c14945ad0d37ff0273336f"/>
      </m:item>
      <m:tuple xlName="_GBC_5265fa6813104866908e166950473449" concept="clcid-pte:YingFuZhiGongXinChouZhongDeSheHuiBaoXianFeiMingXi" default_row="2" addr="T0R7C">
        <m:item xlName="_GBC_ae2d48ce0b32494a94edff23aea5f19e" concept="clcid-pte:YingFuZhiGongXinChouZhongDeSheHuiBaoXianFeiMingXiXiangMu" label="应付职工薪酬中的社会保险费明细－项目" addr="T0R7C0S1_1" appId="_GBC_fe9cc4ffdf524f4695448b31c76167ce"/>
        <m:item xlName="_GBC_3410b63fabe743eb92f6632dc4e327ff" concept="clcid-pte:YingFuZhiGongXinChouZhongDeSheHuiBaoXianFeiMingXiZhangMianYuE" label="应付职工薪酬中的社会保险费明细－账面余额" periodRef="本期期初数" mulRef="_GBC_f5a2a934147944d68f11ca2bcce4d80f" unitRef="_GBC_ded097d86a7d48b8a8b1d9689a73bd5d" addr="T0R7C1S1_1" formatStyle="Comma" appId="_GBC_fe9cc4ffdf524f4695448b31c76167ce"/>
        <m:item xlName="_GBC_43d50b4de78d4845a4dbdc3cc4f16564" concept="clcid-pte:YingFuZhiGongXinChouZhongDeSheHuiBaoXianFeiMingXiZengJiaE" label="应付职工薪酬中的社会保险费明细－增加额" mulRef="_GBC_f5a2a934147944d68f11ca2bcce4d80f" unitRef="_GBC_ded097d86a7d48b8a8b1d9689a73bd5d" addr="T0R7C2S1_1" formatStyle="Comma" appId="_GBC_fe9cc4ffdf524f4695448b31c76167ce"/>
        <m:item xlName="_GBC_e2a88611e43d4d4bbf787783afa5693f" concept="clcid-pte:YingFuZhiGongXinChouZhongDeSheHuiBaoXianFeiMingXiZhiFuE" label="应付职工薪酬中的社会保险费明细－支付额" mulRef="_GBC_f5a2a934147944d68f11ca2bcce4d80f" unitRef="_GBC_ded097d86a7d48b8a8b1d9689a73bd5d" addr="T0R7C3S1_1" formatStyle="Comma" appId="_GBC_fe9cc4ffdf524f4695448b31c76167ce"/>
        <m:item xlName="_GBC_146fcb7a17624371ba7af45a6aef977d" concept="clcid-pte:YingFuZhiGongXinChouZhongDeSheHuiBaoXianFeiMingXiZhangMianYuE" label="应付职工薪酬中的社会保险费明细－账面余额" mulRef="_GBC_f5a2a934147944d68f11ca2bcce4d80f" unitRef="_GBC_ded097d86a7d48b8a8b1d9689a73bd5d" addr="T0R7C4S1_1" formatStyle="Comma" appId="_GBC_fe9cc4ffdf524f4695448b31c76167ce">
          <m:complexRule comparator="Eq" title="应付职工薪酬中的社会保险费明细－账面余额" test=" $_GBC_3410b63fabe743eb92f6632dc4e327ff +  $_GBC_43d50b4de78d4845a4dbdc3cc4f16564 -  $_GBC_e2a88611e43d4d4bbf787783afa5693f" id="Cb37f07ed2eaa45e4abd49cb72214d5e6"/>
        </m:item>
      </m:tuple>
      <m:placeholder xlName="_PLD_7cd8935ff2544a81820fdc14f7afe2b7" addr="T0R9C0S1_1"/>
      <m:item xlName="_GBC_6649c8659b91405c90b8e5045f3ac9fa" concept="clcid-pte:YingFuZhuFangGongJiJinZhangMianYuE" label="应付住房公积金账面余额" periodRef="本期期初数" mulRef="_GBC_f5a2a934147944d68f11ca2bcce4d80f" unitRef="_GBC_ded097d86a7d48b8a8b1d9689a73bd5d" addr="T0R9C1S1_1" formatStyle="Comma" appId="_GBC_fe9cc4ffdf524f4695448b31c76167ce"/>
      <m:item xlName="_GBC_c06da4b976484d9eb20df9b07ef193a6" concept="clcid-pte:YingFuZhuFangGongJiJinZengJiaE" label="应付住房公积金增加额" mulRef="_GBC_f5a2a934147944d68f11ca2bcce4d80f" unitRef="_GBC_ded097d86a7d48b8a8b1d9689a73bd5d" addr="T0R9C2S1_1" formatStyle="Comma" appId="_GBC_fe9cc4ffdf524f4695448b31c76167ce"/>
      <m:item xlName="_GBC_794153bbac4e49e99aca3db568d69000" concept="clcid-pte:YingFuZhuFangGongJiJinJianShaoE" label="应付住房公积金减少额" mulRef="_GBC_f5a2a934147944d68f11ca2bcce4d80f" unitRef="_GBC_ded097d86a7d48b8a8b1d9689a73bd5d" addr="T0R9C3S1_1" formatStyle="Comma" appId="_GBC_fe9cc4ffdf524f4695448b31c76167ce"/>
      <m:item xlName="_GBC_6383eb9d3e8a4e299b74ae27d79f0b2e" concept="clcid-pte:YingFuZhuFangGongJiJinZhangMianYuE" label="应付住房公积金账面余额" mulRef="_GBC_f5a2a934147944d68f11ca2bcce4d80f" unitRef="_GBC_ded097d86a7d48b8a8b1d9689a73bd5d" addr="T0R9C4S1_1" formatStyle="Comma" appId="_GBC_fe9cc4ffdf524f4695448b31c76167ce">
        <m:complexRule comparator="Eq" title="应付住房公积金账面余额" test=" $_GBC_6649c8659b91405c90b8e5045f3ac9fa +  $_GBC_c06da4b976484d9eb20df9b07ef193a6 -  $_GBC_794153bbac4e49e99aca3db568d69000" id="Ccdc37268694440f38fe80a3edf6e5ad6"/>
      </m:item>
      <m:placeholder xlName="_PLD_9a4d3040fb464e23a007dcea5588dfc0" addr="T0R10C0S1_1"/>
      <m:item xlName="_GBC_0b4c270e773e4ad6a5b5402082a99854" concept="clcid-pte:YingFuGongHuiJingFeiHeZhiGongJiaoYuJingFei" label="应付工会经费和职工教育经费" periodRef="本期期初数" mulRef="_GBC_f5a2a934147944d68f11ca2bcce4d80f" unitRef="_GBC_ded097d86a7d48b8a8b1d9689a73bd5d" addr="T0R10C1S1_1" formatStyle="Comma" appId="_GBC_fe9cc4ffdf524f4695448b31c76167ce"/>
      <m:item xlName="_GBC_40160aa03d164d03bcc05a9085c79703" concept="clcid-pte:YingFuGongHuiJingFeiHeZhiGongJiaoYuJingFeiZengJiaE" label="应付工会经费和职工教育经费增加额" mulRef="_GBC_f5a2a934147944d68f11ca2bcce4d80f" unitRef="_GBC_ded097d86a7d48b8a8b1d9689a73bd5d" addr="T0R10C2S1_1" formatStyle="Comma" appId="_GBC_fe9cc4ffdf524f4695448b31c76167ce"/>
      <m:item xlName="_GBC_3e1d6f34a0244c7ab1f716f7c3d00c5b" concept="clcid-pte:YingFuGongHuiJingFeiHeZhiGongJiaoYuJingFeiJianShaoE" label="应付工会经费和职工教育经费减少额" mulRef="_GBC_f5a2a934147944d68f11ca2bcce4d80f" unitRef="_GBC_ded097d86a7d48b8a8b1d9689a73bd5d" addr="T0R10C3S1_1" formatStyle="Comma" appId="_GBC_fe9cc4ffdf524f4695448b31c76167ce"/>
      <m:item xlName="_GBC_2060f240c23f443c8a406059b03de936" concept="clcid-pte:YingFuGongHuiJingFeiHeZhiGongJiaoYuJingFei" label="应付工会经费和职工教育经费" mulRef="_GBC_f5a2a934147944d68f11ca2bcce4d80f" unitRef="_GBC_ded097d86a7d48b8a8b1d9689a73bd5d" addr="T0R10C4S1_1" formatStyle="Comma" appId="_GBC_fe9cc4ffdf524f4695448b31c76167ce">
        <m:complexRule comparator="Eq" title="应付工会经费和职工教育经费" test=" $_GBC_0b4c270e773e4ad6a5b5402082a99854 +  $_GBC_40160aa03d164d03bcc05a9085c79703 -  $_GBC_3e1d6f34a0244c7ab1f716f7c3d00c5b" id="Ca2ab3a124ea141b8b7f06c28f25f13bd"/>
      </m:item>
      <m:placeholder xlName="_PLD_bc842d3a1ac64d43805380b3757b59de" addr="T0R11C0S1_1"/>
      <m:item xlName="_GBC_6ca4f421a8ad43e5a1ae357dd190c6b5" concept="clcid-pte:YingFuDuanQiDaiXinQueQin" label="应付短期带薪缺勤" periodRef="本期期初数" mulRef="_GBC_f5a2a934147944d68f11ca2bcce4d80f" unitRef="_GBC_ded097d86a7d48b8a8b1d9689a73bd5d" addr="T0R11C1S1_1" formatStyle="Comma" appId="_GBC_fe9cc4ffdf524f4695448b31c76167ce"/>
      <m:item xlName="_GBC_235e681431274e6ba4642ce92c7cb93a" concept="clcid-pte:YingFuDuanQiDaiXinQueQinBenQiZengJiaE" label="应付短期带薪缺勤本期增加额" mulRef="_GBC_f5a2a934147944d68f11ca2bcce4d80f" unitRef="_GBC_ded097d86a7d48b8a8b1d9689a73bd5d" addr="T0R11C2S1_1" formatStyle="Comma" appId="_GBC_fe9cc4ffdf524f4695448b31c76167ce"/>
      <m:item xlName="_GBC_b765afb94dfc4a8ebaa12841d8e6ad41" concept="clcid-pte:YingFuDuanQiDaiXinQueQinBenQiJianShaoE" label="应付短期带薪缺勤本期减少额" mulRef="_GBC_f5a2a934147944d68f11ca2bcce4d80f" unitRef="_GBC_ded097d86a7d48b8a8b1d9689a73bd5d" addr="T0R11C3S1_1" formatStyle="Comma" appId="_GBC_fe9cc4ffdf524f4695448b31c76167ce"/>
      <m:item xlName="_GBC_2c04b46eeef2458eb604ccacfb9fc922" concept="clcid-pte:YingFuDuanQiDaiXinQueQin" label="应付短期带薪缺勤" mulRef="_GBC_f5a2a934147944d68f11ca2bcce4d80f" unitRef="_GBC_ded097d86a7d48b8a8b1d9689a73bd5d" addr="T0R11C4S1_1" formatStyle="Comma" appId="_GBC_fe9cc4ffdf524f4695448b31c76167ce">
        <m:complexRule comparator="Eq" title="应付短期带薪缺勤" test=" $_GBC_6ca4f421a8ad43e5a1ae357dd190c6b5 +  $_GBC_235e681431274e6ba4642ce92c7cb93a -  $_GBC_b765afb94dfc4a8ebaa12841d8e6ad41" id="Ca63f28fc9e84410b8bef8b4b441658f9"/>
      </m:item>
      <m:placeholder xlName="_PLD_54541d44000e431dabc3b1ad9c535a6b" addr="T0R12C0S1_1"/>
      <m:item xlName="_GBC_df48f5fa375446e2b15ed6e64c57050b" concept="clcid-pte:YingFuDuanQiLiRunFenXiangJiHua" label="应付短期利润分享计划" periodRef="本期期初数" mulRef="_GBC_f5a2a934147944d68f11ca2bcce4d80f" unitRef="_GBC_ded097d86a7d48b8a8b1d9689a73bd5d" addr="T0R12C1S1_1" formatStyle="Comma" appId="_GBC_fe9cc4ffdf524f4695448b31c76167ce"/>
      <m:item xlName="_GBC_6568aa763cec419191baf1fd7139e20e" concept="clcid-pte:DuanQiLiRunFenXiangJiHuaBenQiZengJiaE" label="短期利润分享计划本期增加额" mulRef="_GBC_f5a2a934147944d68f11ca2bcce4d80f" unitRef="_GBC_ded097d86a7d48b8a8b1d9689a73bd5d" addr="T0R12C2S1_1" formatStyle="Comma" appId="_GBC_fe9cc4ffdf524f4695448b31c76167ce"/>
      <m:item xlName="_GBC_45368c2c630e48eea149aade9cced42d" concept="clcid-pte:DuanQiLiRunFenXiangJiHuaBenQiJianShaoE" label="短期利润分享计划本期减少额" mulRef="_GBC_f5a2a934147944d68f11ca2bcce4d80f" unitRef="_GBC_ded097d86a7d48b8a8b1d9689a73bd5d" addr="T0R12C3S1_1" formatStyle="Comma" appId="_GBC_fe9cc4ffdf524f4695448b31c76167ce"/>
      <m:item xlName="_GBC_6dde6944ea5243baa339d456235e587b" concept="clcid-pte:YingFuDuanQiLiRunFenXiangJiHua" label="应付短期利润分享计划" mulRef="_GBC_f5a2a934147944d68f11ca2bcce4d80f" unitRef="_GBC_ded097d86a7d48b8a8b1d9689a73bd5d" addr="T0R12C4S1_1" formatStyle="Comma" appId="_GBC_fe9cc4ffdf524f4695448b31c76167ce">
        <m:complexRule comparator="Eq" title="应付短期利润分享计划" test=" $_GBC_df48f5fa375446e2b15ed6e64c57050b +  $_GBC_6568aa763cec419191baf1fd7139e20e -  $_GBC_45368c2c630e48eea149aade9cced42d" id="C345065f098c5421bb03b80b874c7590a"/>
      </m:item>
      <m:tuple xlName="_GBC_68e70a06bfb74c23922ba3755003afbc" concept="clcid-pte:YingFuZhiGongXinChouZhongDeQiTaYingFuXinChouMingXi" default_row="2" addr="T0R13C">
        <m:item xlName="_GBC_1fc03c88441a45c6b2181a5cde7454d5" concept="clcid-pte:YingFuZhiGongXinChouZhongDeQiTaYingFuXinChouMingXiXiangMu" label="应付职工薪酬中的其他应付薪酬明细－项目" addr="T0R13C0S1_1" appId="_GBC_fe9cc4ffdf524f4695448b31c76167ce"/>
        <m:item xlName="_GBC_e21c75bc9e9b4b768ed1a07e6c3d0bc0" concept="clcid-pte:YingFuZhiGongXinChouZhongDeQiTaYingFuXinChouMingXiZhangMianYuE" label="应付职工薪酬中的其他应付薪酬明细－账面余额" periodRef="本期期初数" mulRef="_GBC_f5a2a934147944d68f11ca2bcce4d80f" unitRef="_GBC_ded097d86a7d48b8a8b1d9689a73bd5d" addr="T0R13C1S1_1" formatStyle="Comma" appId="_GBC_fe9cc4ffdf524f4695448b31c76167ce"/>
        <m:item xlName="_GBC_2c91311ac2434f26b76a157e6fbcb6af" concept="clcid-pte:YingFuZhiGongXinChouZhongDeQiTaYingFuXinChouMingXiZengJiaE" label="应付职工薪酬中的其他应付薪酬明细－增加额" mulRef="_GBC_f5a2a934147944d68f11ca2bcce4d80f" unitRef="_GBC_ded097d86a7d48b8a8b1d9689a73bd5d" addr="T0R13C2S1_1" formatStyle="Comma" appId="_GBC_fe9cc4ffdf524f4695448b31c76167ce"/>
        <m:item xlName="_GBC_14466bcf5c4b40fe82cbc3a8bc7997f0" concept="clcid-pte:YingFuZhiGongXinChouZhongDeQiTaYingFuXinChouMingXiZhiFuE" label="应付职工薪酬中的其他应付薪酬明细－支付额" mulRef="_GBC_f5a2a934147944d68f11ca2bcce4d80f" unitRef="_GBC_ded097d86a7d48b8a8b1d9689a73bd5d" addr="T0R13C3S1_1" formatStyle="Comma" appId="_GBC_fe9cc4ffdf524f4695448b31c76167ce"/>
        <m:item xlName="_GBC_db4da47959e1498fa7dc8f9f3688b2d3" concept="clcid-pte:YingFuZhiGongXinChouZhongDeQiTaYingFuXinChouMingXiZhangMianYuE" label="应付职工薪酬中的其他应付薪酬明细－账面余额" mulRef="_GBC_f5a2a934147944d68f11ca2bcce4d80f" unitRef="_GBC_ded097d86a7d48b8a8b1d9689a73bd5d" addr="T0R13C4S1_1" formatStyle="Comma" appId="_GBC_fe9cc4ffdf524f4695448b31c76167ce">
          <m:complexRule comparator="Eq" title="应付职工薪酬中的其他应付薪酬明细－账面余额" test=" $_GBC_e21c75bc9e9b4b768ed1a07e6c3d0bc0 +  $_GBC_2c91311ac2434f26b76a157e6fbcb6af -  $_GBC_14466bcf5c4b40fe82cbc3a8bc7997f0" id="Cb6e4627bf64c475f98fc06ac9cba5e4a"/>
        </m:item>
      </m:tuple>
      <m:placeholder xlName="_PLD_9abbed23473c4b4bb51ec9b7d667e31c" addr="T0R15C0S1_1"/>
      <m:item xlName="_GBC_414b577f55864b1ab2433e1337265869" concept="clcid-pte:YingFuDuanQiXinChou" label="应付短期薪酬" periodRef="本期期初数" mulRef="_GBC_f5a2a934147944d68f11ca2bcce4d80f" unitRef="_GBC_ded097d86a7d48b8a8b1d9689a73bd5d" addr="T0R15C1S1_1" formatStyle="Comma" appId="_GBC_fe9cc4ffdf524f4695448b31c76167ce">
        <m:complexRule comparator="Eq" title="应付短期薪酬@本期期初数" test=" $_GBC_b1143a92285c4eaea88052e80c078319 +  $_GBC_56c61ae3fb924c8e865359046b3995ce +  $_GBC_a0791472840248a183ac165e6a509317 +  $_GBC_6649c8659b91405c90b8e5045f3ac9fa +  $_GBC_0b4c270e773e4ad6a5b5402082a99854 +  $_GBC_6ca4f421a8ad43e5a1ae357dd190c6b5 +  $_GBC_e21c75bc9e9b4b768ed1a07e6c3d0bc0 +  $_GBC_df48f5fa375446e2b15ed6e64c57050b" id="C9da903eac2104f9f8b8e3a1342cdc46c" serialType="1"/>
      </m:item>
      <m:item xlName="_GBC_1c84508e02e34fbcbc13c637cbb96743" concept="clcid-pte:YingFuDuanQiXinChouZengJiaE" label="应付短期薪酬增加额" mulRef="_GBC_f5a2a934147944d68f11ca2bcce4d80f" unitRef="_GBC_ded097d86a7d48b8a8b1d9689a73bd5d" addr="T0R15C2S1_1" formatStyle="Comma" appId="_GBC_fe9cc4ffdf524f4695448b31c76167ce">
        <m:complexRule comparator="Eq" title="应付短期薪酬增加额" test=" $_GBC_def6166209884878b4164c3adff90105 +  $_GBC_b1c60cca5c0d40cd8bc358cb35bb5d05 +  $_GBC_f3dea0626fc24c55b9e261fb445c3645 +  $_GBC_c06da4b976484d9eb20df9b07ef193a6 +  $_GBC_40160aa03d164d03bcc05a9085c79703 +  $_GBC_235e681431274e6ba4642ce92c7cb93a +  $_GBC_6568aa763cec419191baf1fd7139e20e +  $_GBC_2c91311ac2434f26b76a157e6fbcb6af" id="C1774c18e130a485c9490c9333bc8c5fa" serialType="1"/>
      </m:item>
      <m:item xlName="_GBC_949ab015733e4f26b3cd33ff62ad2e25" concept="clcid-pte:YingFuDuanQiXinChouJianShaoE" label="应付短期薪酬减少额" mulRef="_GBC_f5a2a934147944d68f11ca2bcce4d80f" unitRef="_GBC_ded097d86a7d48b8a8b1d9689a73bd5d" addr="T0R15C3S1_1" formatStyle="Comma" appId="_GBC_fe9cc4ffdf524f4695448b31c76167ce">
        <m:complexRule comparator="Eq" title="应付短期薪酬减少额" test=" $_GBC_743efb8171e94f57b13cfa02c4e17d78 +  $_GBC_673fa1b514fd4f5e9f7629d93dd5bd85 +  $_GBC_7f7caa8444b848ca8f2ba14fc258990c +  $_GBC_794153bbac4e49e99aca3db568d69000 +  $_GBC_3e1d6f34a0244c7ab1f716f7c3d00c5b +  $_GBC_b765afb94dfc4a8ebaa12841d8e6ad41 +  $_GBC_45368c2c630e48eea149aade9cced42d +  $_GBC_14466bcf5c4b40fe82cbc3a8bc7997f0" id="C74f63af305ed49d786d995ad21e9cdf0" serialType="1"/>
      </m:item>
      <m:item xlName="_GBC_8b37632e2acb41b6a57a06cf5da9f56a" concept="clcid-pte:YingFuDuanQiXinChou" label="应付短期薪酬" mulRef="_GBC_f5a2a934147944d68f11ca2bcce4d80f" unitRef="_GBC_ded097d86a7d48b8a8b1d9689a73bd5d" addr="T0R15C4S1_1" formatStyle="Comma" appId="_GBC_fe9cc4ffdf524f4695448b31c76167ce">
        <m:complexRule comparator="Eq" title="应付短期薪酬横向合计" test=" $_GBC_414b577f55864b1ab2433e1337265869 +  $_GBC_1c84508e02e34fbcbc13c637cbb96743 -  $_GBC_949ab015733e4f26b3cd33ff62ad2e25" id="C7e399d46b2a0438ba5570caae47db5bb"/>
        <m:complexRule comparator="Eq" title="应付短期薪酬" test=" $_GBC_b2b7d59d6adf4036bbbb84d1899290e5 +  $_GBC_5fe822f30b594e7abd529e072f150998 +  $_GBC_b9b9399246c448b583536d4509d825a3 +  $_GBC_6383eb9d3e8a4e299b74ae27d79f0b2e +  $_GBC_2060f240c23f443c8a406059b03de936 +  $_GBC_2c04b46eeef2458eb604ccacfb9fc922 +  $_GBC_6dde6944ea5243baa339d456235e587b +  $_GBC_db4da47959e1498fa7dc8f9f3688b2d3" id="Cf48f78d1463c45a3887d53c85ca8d84a" serialType="1"/>
      </m:item>
    </m:section>
    <m:section xlName="_GBC_b98ebc9fce454755bd30d763bee0283a" title="设定提存计划列示" helpId="112001085">
      <m:item xlName="_GBC_107b7eec6d75473e8809e93d01e00021" concept="clcid-ci-ar:ShiFouShiYongSheDingTiCunJiHuaLieShi" label="是否适用：设定提存计划列示" selectOptions="_buildInAppliance" controlType="CustomCheckbox" cRanges="{&quot;StartName&quot;:&quot;_GBC_107b7eec6d75473e8809e93d01e00021&quot;,&quot;EndName&quot;:&quot;_GBC_b6ece78b3868415581d1e9e7686c0df3&quot;,&quot;CType&quot;:1,&quot;DisplayText&quot;:null}"/>
      <m:item xlName="_GBC_744d8f829e6040c78616ef1951ef7e59" concept="clcid-ci-ar:DanWeiCaiWuFuZhuSheDingTiCunJiHuaLieShi" label="单位：财务附注：设定提存计划列示" selectOptions="_buildInScales" controlType="Combobox" cellType="Scale" appId="_GBC_107b7eec6d75473e8809e93d01e00021"/>
      <m:item xlName="_GBC_433e4a4ae9d648a2973673cbec959f23" concept="clcid-ci-ar:BiZhongCaiWuFuZhuSheDingTiCunJiHuaLieShi" label="币种：财务附注：设定提存计划列示" selectOptions="_buildInISO4217" controlType="Combobox" cellType="Measure" appId="_GBC_107b7eec6d75473e8809e93d01e00021"/>
      <m:placeholder xlName="_PLD_f8a9011ca6bd4cc895a50279da6547e9" addr="T0R0C0S1_1"/>
      <m:placeholder xlName="_PLD_db9ecea0e08e4c1bb5fe2474183a8480" addr="T0R0C1S1_1"/>
      <m:placeholder xlName="_PLD_11b6b53867b44c92b19ef791cad0c8c4" addr="T0R0C2S1_1"/>
      <m:placeholder xlName="_PLD_c2cbd009dd4248ceb9040da5fc326084" addr="T0R0C3S1_1"/>
      <m:placeholder xlName="_PLD_0ded00fbf217420ebfe8ace86c12086d" addr="T0R0C4S1_1"/>
      <m:placeholder xlName="_PLD_b93c5842361145079010296748b2acbc" addr="T0R1C0S1_1"/>
      <m:item xlName="_GBC_c500333479bc468a8b3afcc4788799dc" concept="clcid-pte:YingFuJiBenYangLaoBaoXianFeiZhangMianYuE" label="应付基本养老保险费账面余额" periodRef="本期期初数" mulRef="_GBC_744d8f829e6040c78616ef1951ef7e59" unitRef="_GBC_433e4a4ae9d648a2973673cbec959f23" addr="T0R1C1S1_1" formatStyle="Comma" appId="_GBC_107b7eec6d75473e8809e93d01e00021"/>
      <m:item xlName="_GBC_c7ee78d16ce64fd382c8c0eaba6f1ae0" concept="clcid-pte:YingFuJiBenYangLaoBaoXianFeiZengJiaE" label="应付基本养老保险费增加额" mulRef="_GBC_744d8f829e6040c78616ef1951ef7e59" unitRef="_GBC_433e4a4ae9d648a2973673cbec959f23" addr="T0R1C2S1_1" formatStyle="Comma" appId="_GBC_107b7eec6d75473e8809e93d01e00021"/>
      <m:item xlName="_GBC_af4dbe91d9b6443d84e75afe26abb21d" concept="clcid-pte:YingFuJiBenYangLaoBaoXianFeiJianShaoE" label="应付基本养老保险费减少额" mulRef="_GBC_744d8f829e6040c78616ef1951ef7e59" unitRef="_GBC_433e4a4ae9d648a2973673cbec959f23" addr="T0R1C3S1_1" formatStyle="Comma" appId="_GBC_107b7eec6d75473e8809e93d01e00021"/>
      <m:item xlName="_GBC_619e586630bd419ebf636866fcbd1c6f" concept="clcid-pte:YingFuJiBenYangLaoBaoXianFeiZhangMianYuE" label="应付基本养老保险费账面余额" mulRef="_GBC_744d8f829e6040c78616ef1951ef7e59" unitRef="_GBC_433e4a4ae9d648a2973673cbec959f23" addr="T0R1C4S1_1" formatStyle="Comma" appId="_GBC_107b7eec6d75473e8809e93d01e00021">
        <m:complexRule comparator="Eq" title="应付基本养老保险费账面余额" test=" $_GBC_c500333479bc468a8b3afcc4788799dc +  $_GBC_c7ee78d16ce64fd382c8c0eaba6f1ae0 -  $_GBC_af4dbe91d9b6443d84e75afe26abb21d" id="C646df944204b4452af14efe8879a4cf8"/>
      </m:item>
      <m:placeholder xlName="_PLD_909a72476f78427892237821bb7d583f" addr="T0R2C0S1_1"/>
      <m:item xlName="_GBC_f3df7c8308474d5e80b2009c0f34cf8c" concept="clcid-pte:YingFuShiYeBaoXianFeiZhangMianYuE" label="应付失业保险费账面余额" periodRef="本期期初数" mulRef="_GBC_744d8f829e6040c78616ef1951ef7e59" unitRef="_GBC_433e4a4ae9d648a2973673cbec959f23" addr="T0R2C1S1_1" formatStyle="Comma" appId="_GBC_107b7eec6d75473e8809e93d01e00021"/>
      <m:item xlName="_GBC_33bb20e928de4dfdb0d61e7c3a41b39a" concept="clcid-pte:YingFuShiYeBaoXianFeiZengJiaE" label="应付失业保险费增加额" mulRef="_GBC_744d8f829e6040c78616ef1951ef7e59" unitRef="_GBC_433e4a4ae9d648a2973673cbec959f23" addr="T0R2C2S1_1" formatStyle="Comma" appId="_GBC_107b7eec6d75473e8809e93d01e00021"/>
      <m:item xlName="_GBC_afdeee5ddf0c4e4ebb31400e6f220528" concept="clcid-pte:YingFuShiYeBaoXianFeiJianShaoE" label="应付失业保险费减少额" mulRef="_GBC_744d8f829e6040c78616ef1951ef7e59" unitRef="_GBC_433e4a4ae9d648a2973673cbec959f23" addr="T0R2C3S1_1" formatStyle="Comma" appId="_GBC_107b7eec6d75473e8809e93d01e00021"/>
      <m:item xlName="_GBC_7d5eedf934be4fc68ec2f9f3bda5c3a0" concept="clcid-pte:YingFuShiYeBaoXianFeiZhangMianYuE" label="应付失业保险费账面余额" mulRef="_GBC_744d8f829e6040c78616ef1951ef7e59" unitRef="_GBC_433e4a4ae9d648a2973673cbec959f23" addr="T0R2C4S1_1" formatStyle="Comma" appId="_GBC_107b7eec6d75473e8809e93d01e00021">
        <m:complexRule comparator="Eq" title="应付失业保险费账面余额" test=" $_GBC_f3df7c8308474d5e80b2009c0f34cf8c +  $_GBC_33bb20e928de4dfdb0d61e7c3a41b39a -  $_GBC_afdeee5ddf0c4e4ebb31400e6f220528" id="C9b51022366384111aaa02a4369e8408d"/>
      </m:item>
      <m:placeholder xlName="_PLD_f2bb08099d4d4b2a96054f71c4e23a24" addr="T0R3C0S1_1"/>
      <m:item xlName="_GBC_bfcf2a4d4ea145fb810dcbbf2cf22375" concept="clcid-pte:YingFuNianJinJiaoFeiZhangMianYuE" label="应付年金缴费账面余额" periodRef="本期期初数" mulRef="_GBC_744d8f829e6040c78616ef1951ef7e59" unitRef="_GBC_433e4a4ae9d648a2973673cbec959f23" addr="T0R3C1S1_1" formatStyle="Comma" appId="_GBC_107b7eec6d75473e8809e93d01e00021"/>
      <m:item xlName="_GBC_f3c23a3b3fe14b94aa2d46c4fe43015c" concept="clcid-pte:YingFuNianJinJiaoFeiZengJiaE" label="应付年金缴费增加额" mulRef="_GBC_744d8f829e6040c78616ef1951ef7e59" unitRef="_GBC_433e4a4ae9d648a2973673cbec959f23" addr="T0R3C2S1_1" formatStyle="Comma" appId="_GBC_107b7eec6d75473e8809e93d01e00021"/>
      <m:item xlName="_GBC_256ce68f43624121a54900d764b16766" concept="clcid-pte:YingFuNianJinJiaoFeiJianShaoE" label="应付年金缴费减少额" mulRef="_GBC_744d8f829e6040c78616ef1951ef7e59" unitRef="_GBC_433e4a4ae9d648a2973673cbec959f23" addr="T0R3C3S1_1" formatStyle="Comma" appId="_GBC_107b7eec6d75473e8809e93d01e00021"/>
      <m:item xlName="_GBC_4017311004a044468233a0d9835e79bd" concept="clcid-pte:YingFuNianJinJiaoFeiZhangMianYuE" label="应付年金缴费账面余额" mulRef="_GBC_744d8f829e6040c78616ef1951ef7e59" unitRef="_GBC_433e4a4ae9d648a2973673cbec959f23" addr="T0R3C4S1_1" formatStyle="Comma" appId="_GBC_107b7eec6d75473e8809e93d01e00021">
        <m:complexRule comparator="Eq" title="应付年金缴费账面余额" test=" $_GBC_bfcf2a4d4ea145fb810dcbbf2cf22375 +  $_GBC_f3c23a3b3fe14b94aa2d46c4fe43015c -  $_GBC_256ce68f43624121a54900d764b16766" id="Ccf877f2ef1a94e7caf245e20574ed849"/>
      </m:item>
      <m:tuple xlName="_GBC_6c9a77db5f0f415aad1d5ad8dadbf91a" concept="clcid-pte:SheDingTiCunJiHuaLieShiMingXi" default_row="2" addr="T0R4C">
        <m:item xlName="_GBC_1353f74b2bde4a3a85629115b4e5979b" concept="clcid-pte:SheDingTiCunJiHuaLieShiMingXiXiangMuMingCheng" label="设定提存计划列示明细-项目名称" addr="T0R4C0S1_1" appId="_GBC_107b7eec6d75473e8809e93d01e00021"/>
        <m:item xlName="_GBC_2015dfd3e46648eb9f0a6308997c1893" concept="clcid-pte:SheDingTiCunJiHuaLieShiMingXiYuE" label="设定提存计划列示明细-余额" periodRef="本期期初数" mulRef="_GBC_744d8f829e6040c78616ef1951ef7e59" unitRef="_GBC_433e4a4ae9d648a2973673cbec959f23" addr="T0R4C1S1_1" formatStyle="Comma" appId="_GBC_107b7eec6d75473e8809e93d01e00021"/>
        <m:item xlName="_GBC_cb9711cbeb104ee4b967792ff31d4c97" concept="clcid-pte:SheDingTiCunJiHuaLieShiMingXiBenQiZengJia" label="设定提存计划列示明细-本期增加" mulRef="_GBC_744d8f829e6040c78616ef1951ef7e59" unitRef="_GBC_433e4a4ae9d648a2973673cbec959f23" addr="T0R4C2S1_1" formatStyle="Comma" appId="_GBC_107b7eec6d75473e8809e93d01e00021"/>
        <m:item xlName="_GBC_d0f988f9e7504852bd1e798c2e45732c" concept="clcid-pte:SheDingTiCunJiHuaLieShiMingXiBenQiJianShao" label="设定提存计划列示明细-本期减少" mulRef="_GBC_744d8f829e6040c78616ef1951ef7e59" unitRef="_GBC_433e4a4ae9d648a2973673cbec959f23" addr="T0R4C3S1_1" formatStyle="Comma" appId="_GBC_107b7eec6d75473e8809e93d01e00021"/>
        <m:item xlName="_GBC_50cd3bf967814d7ab711919ab2d53e31" concept="clcid-pte:SheDingTiCunJiHuaLieShiMingXiYuE" label="设定提存计划列示明细-余额" mulRef="_GBC_744d8f829e6040c78616ef1951ef7e59" unitRef="_GBC_433e4a4ae9d648a2973673cbec959f23" addr="T0R4C4S1_1" formatStyle="Comma" appId="_GBC_107b7eec6d75473e8809e93d01e00021">
          <m:complexRule comparator="Eq" title="设定提存计划列示明细-余额" test=" $_GBC_2015dfd3e46648eb9f0a6308997c1893 +  $_GBC_cb9711cbeb104ee4b967792ff31d4c97 -  $_GBC_d0f988f9e7504852bd1e798c2e45732c" id="C3c0a5a98db6e40e9a867a7e63f8fb0d4"/>
        </m:item>
      </m:tuple>
      <m:placeholder xlName="_PLD_258ec0cea28b41718457ba73ff6955af" addr="T0R6C0S1_1"/>
      <m:item xlName="_GBC_4ca45ab025f44404a9d45c63f983db8f" concept="clcid-pte:YingFuSheDingTiCunJiHua" label="应付设定提存计划" periodRef="本期期初数" mulRef="_GBC_744d8f829e6040c78616ef1951ef7e59" unitRef="_GBC_433e4a4ae9d648a2973673cbec959f23" addr="T0R6C1S1_1" formatStyle="Comma" appId="_GBC_107b7eec6d75473e8809e93d01e00021">
        <m:complexRule comparator="Eq" title="应付设定提存计划@本期期初数" test=" $_GBC_c500333479bc468a8b3afcc4788799dc +  $_GBC_f3df7c8308474d5e80b2009c0f34cf8c +  $_GBC_bfcf2a4d4ea145fb810dcbbf2cf22375 +  $_GBC_2015dfd3e46648eb9f0a6308997c1893" id="C8aaf952bca1046799d1114c3b4f430f6" serialType="1"/>
      </m:item>
      <m:item xlName="_GBC_f24d6a5d984d4b69b632eb4320f5e2d6" concept="clcid-pte:YingFuSheDingTiCunJiHuaZengJiaE" label="应付设定提存计划增加额" mulRef="_GBC_744d8f829e6040c78616ef1951ef7e59" unitRef="_GBC_433e4a4ae9d648a2973673cbec959f23" addr="T0R6C2S1_1" formatStyle="Comma" appId="_GBC_107b7eec6d75473e8809e93d01e00021">
        <m:complexRule comparator="Eq" title="应付设定提存计划增加额" test=" $_GBC_c7ee78d16ce64fd382c8c0eaba6f1ae0 +  $_GBC_33bb20e928de4dfdb0d61e7c3a41b39a +  $_GBC_f3c23a3b3fe14b94aa2d46c4fe43015c +  $_GBC_cb9711cbeb104ee4b967792ff31d4c97" id="C2d03bb3038b842a9a3b05495b4ca1d7b" serialType="1"/>
      </m:item>
      <m:item xlName="_GBC_9ff4ee7bbd53466d96cc6c6922f2e19f" concept="clcid-pte:YingFuSheDingTiCunJiHuaJianShaoE" label="应付设定提存计划减少额" mulRef="_GBC_744d8f829e6040c78616ef1951ef7e59" unitRef="_GBC_433e4a4ae9d648a2973673cbec959f23" addr="T0R6C3S1_1" formatStyle="Comma" appId="_GBC_107b7eec6d75473e8809e93d01e00021">
        <m:complexRule comparator="Eq" title="应付设定提存计划减少额" test=" $_GBC_af4dbe91d9b6443d84e75afe26abb21d +  $_GBC_afdeee5ddf0c4e4ebb31400e6f220528 +  $_GBC_256ce68f43624121a54900d764b16766 +  $_GBC_d0f988f9e7504852bd1e798c2e45732c" id="C813889f2ed904e5c81413c314ea8bdd4" serialType="1"/>
      </m:item>
      <m:item xlName="_GBC_b6ece78b3868415581d1e9e7686c0df3" concept="clcid-pte:YingFuSheDingTiCunJiHua" label="应付设定提存计划" mulRef="_GBC_744d8f829e6040c78616ef1951ef7e59" unitRef="_GBC_433e4a4ae9d648a2973673cbec959f23" addr="T0R6C4S1_1" formatStyle="Comma" appId="_GBC_107b7eec6d75473e8809e93d01e00021">
        <m:complexRule comparator="Eq" title="应付设定提存计划横向合计" test=" $_GBC_4ca45ab025f44404a9d45c63f983db8f +  $_GBC_f24d6a5d984d4b69b632eb4320f5e2d6 -  $_GBC_9ff4ee7bbd53466d96cc6c6922f2e19f" id="C041cc7162dec43dd87fabdd5049d3d44"/>
        <m:complexRule comparator="Eq" title="应付设定提存计划" test=" $_GBC_619e586630bd419ebf636866fcbd1c6f +  $_GBC_7d5eedf934be4fc68ec2f9f3bda5c3a0 +  $_GBC_4017311004a044468233a0d9835e79bd +  $_GBC_50cd3bf967814d7ab711919ab2d53e31" id="C031245a12f0d46e38d7328c316f42b23" serialType="1"/>
      </m:item>
    </m:section>
    <m:section xlName="_GBC_9173eff793e04226ba65f69088a27313" title="应付职工薪酬说明" helpId="112001085">
      <m:item xlName="_GBC_f41ecc08d4994ba99707111806caa376" concept="clcid-ci-ar:ShiFouShiYongYingFuZhiGongXinChouDeShuoMing" label="是否适用：应付职工薪酬的说明" selectOptions="_buildInAppliance" controlType="CustomCheckbox" cRanges="{&quot;StartName&quot;:&quot;_GBC_f41ecc08d4994ba99707111806caa376&quot;,&quot;EndName&quot;:&quot;_GBC_566b260e713e4778a8ad979f259c9c78&quot;,&quot;CType&quot;:1,&quot;DisplayText&quot;:null}"/>
      <m:item xlName="_GBC_566b260e713e4778a8ad979f259c9c78" concept="clcid-pte:YingFuZhiGongXinChouDeShuoMing" label="应付职工薪酬的说明" appId="_GBC_f41ecc08d4994ba99707111806caa376"/>
    </m:section>
    <m:section xlName="_GBC_50fc9ef51868432e98c401f69097dfc6" title="应交税费" convertSummaryRule="NoConvert" helpId="112001086">
      <m:item xlName="_GBC_e7e2664720b9408384c5d3cd6d97c132" concept="clcid-ci-ar:ShiFouShiYongYingJiaoShuiFei" label="是否适用：应交税费" selectOptions="_buildInAppliance" controlType="CustomCheckbox" cRanges="{&quot;StartName&quot;:&quot;_GBC_e7e2664720b9408384c5d3cd6d97c132&quot;,&quot;EndName&quot;:&quot;_GBC_fb59f8f9de2d41c3aaf0dc3b0970dd91&quot;,&quot;CType&quot;:1,&quot;DisplayText&quot;:null}"/>
      <m:item xlName="_GBC_a6162c9f021640929018406be611b834" concept="clcid-ci-ar:DanWeiCaiWuFuZhuYingJiaoShuiFei" label="单位：财务附注：应交税费" selectOptions="_buildInScales" controlType="Combobox" cellType="Scale" appId="_GBC_e7e2664720b9408384c5d3cd6d97c132"/>
      <m:item xlName="_GBC_d787fa1c70604797889c69c4c364e711" concept="clcid-ci-ar:BiZhongCaiWuFuZhuYingJiaoShuiFei" label="币种：财务附注：应交税费" selectOptions="_buildInISO4217" controlType="Combobox" cellType="Measure" appId="_GBC_e7e2664720b9408384c5d3cd6d97c132"/>
      <m:placeholder xlName="_PLD_ab0019be2d10489d885d15626d85168f" addr="T0R0C0S1_1"/>
      <m:placeholder xlName="_PLD_4d086e8f4e004ee3aa116a5d10a7ecbd" addr="T0R0C1S1_1"/>
      <m:placeholder xlName="_PLD_8b866f731e474c6ebfb67cd903ab95c8" addr="T0R0C2S1_1"/>
      <m:placeholder xlName="_PLD_25992e1feab349b78cb44e1cc32b16bd" addr="T0R1C0S1_1"/>
      <m:item xlName="_GBC_9791315efde34cb8ab2be460016403a0" concept="clcid-pte:YingJiaoShuiJinZhongDeZengZhiShui" label="应交税金中的增值税" mulRef="_GBC_a6162c9f021640929018406be611b834" unitRef="_GBC_d787fa1c70604797889c69c4c364e711" addr="T0R1C1S1_1" formatStyle="Comma" appId="_GBC_e7e2664720b9408384c5d3cd6d97c132"/>
      <m:item xlName="_GBC_dfacf334f07c4a968402ec78a3b659aa" concept="clcid-pte:YingJiaoShuiJinZhongDeZengZhiShui" label="应交税金中的增值税" periodRef="本期期初数" mulRef="_GBC_a6162c9f021640929018406be611b834" unitRef="_GBC_d787fa1c70604797889c69c4c364e711" addr="T0R1C2S1_1" formatStyle="Comma" appId="_GBC_e7e2664720b9408384c5d3cd6d97c132"/>
      <m:placeholder xlName="_PLD_4d9ef2a484e444dba2c245f9e9e27dcd" addr="T0R2C0S1_1"/>
      <m:item xlName="_GBC_100014df17764a6d96054c2edb1bea3c" concept="clcid-pte:YingJiaoShuiJinZhongDeXiaoFeiShui" label="应交税金中的消费税" mulRef="_GBC_a6162c9f021640929018406be611b834" unitRef="_GBC_d787fa1c70604797889c69c4c364e711" addr="T0R2C1S1_1" formatStyle="Comma" appId="_GBC_e7e2664720b9408384c5d3cd6d97c132"/>
      <m:item xlName="_GBC_afb3b052bab8491db3c646750fb7ef1b" concept="clcid-pte:YingJiaoShuiJinZhongDeXiaoFeiShui" label="应交税金中的消费税" periodRef="本期期初数" mulRef="_GBC_a6162c9f021640929018406be611b834" unitRef="_GBC_d787fa1c70604797889c69c4c364e711" addr="T0R2C2S1_1" formatStyle="Comma" appId="_GBC_e7e2664720b9408384c5d3cd6d97c132"/>
      <m:placeholder xlName="_PLD_799e4fa122204cd899b6ef7435fc12c3" addr="T0R3C0S1_1"/>
      <m:item xlName="_GBC_75a3d06681d2458e97d79fb5d740246c" concept="clcid-pte:YingJiaoShuiJinZhongDeYingYeShui" label="应交税金中的营业税" mulRef="_GBC_a6162c9f021640929018406be611b834" unitRef="_GBC_d787fa1c70604797889c69c4c364e711" addr="T0R3C1S1_1" formatStyle="Comma" appId="_GBC_e7e2664720b9408384c5d3cd6d97c132"/>
      <m:item xlName="_GBC_99610c7bb6ad4316aa620df83e6353b3" concept="clcid-pte:YingJiaoShuiJinZhongDeYingYeShui" label="应交税金中的营业税" periodRef="本期期初数" mulRef="_GBC_a6162c9f021640929018406be611b834" unitRef="_GBC_d787fa1c70604797889c69c4c364e711" addr="T0R3C2S1_1" formatStyle="Comma" appId="_GBC_e7e2664720b9408384c5d3cd6d97c132"/>
      <m:placeholder xlName="_PLD_6069f9b576594e2eaf73c76c1080318c" addr="T0R4C0S1_1"/>
      <m:item xlName="_GBC_9cdcf101b84840ccb31e20f0802254e4" concept="clcid-pte:YingJiaoShuiJinZhongDeSuoDeShui" label="应交税金中的所得税" mulRef="_GBC_a6162c9f021640929018406be611b834" unitRef="_GBC_d787fa1c70604797889c69c4c364e711" addr="T0R4C1S1_1" formatStyle="Comma" appId="_GBC_e7e2664720b9408384c5d3cd6d97c132"/>
      <m:item xlName="_GBC_77931a7112384acbb9eb873d450c8fe8" concept="clcid-pte:YingJiaoShuiJinZhongDeSuoDeShui" label="应交税金中的所得税" periodRef="本期期初数" mulRef="_GBC_a6162c9f021640929018406be611b834" unitRef="_GBC_d787fa1c70604797889c69c4c364e711" addr="T0R4C2S1_1" formatStyle="Comma" appId="_GBC_e7e2664720b9408384c5d3cd6d97c132"/>
      <m:placeholder xlName="_PLD_7034b2e69b80422baeee1441e6830886" addr="T0R5C0S1_1"/>
      <m:item xlName="_GBC_31f3632bdeaa4c8e84638419aa942a90" concept="clcid-pte:YingJiaoShuiJinZhongDeGeRenSuoDeShui" label="应交税金中的个人所得税" mulRef="_GBC_a6162c9f021640929018406be611b834" unitRef="_GBC_d787fa1c70604797889c69c4c364e711" addr="T0R5C1S1_1" formatStyle="Comma" appId="_GBC_e7e2664720b9408384c5d3cd6d97c132"/>
      <m:item xlName="_GBC_6023fbb8ef134cb49427803c19ad5d53" concept="clcid-pte:YingJiaoShuiJinZhongDeGeRenSuoDeShui" label="应交税金中的个人所得税" periodRef="本期期初数" mulRef="_GBC_a6162c9f021640929018406be611b834" unitRef="_GBC_d787fa1c70604797889c69c4c364e711" addr="T0R5C2S1_1" formatStyle="Comma" appId="_GBC_e7e2664720b9408384c5d3cd6d97c132"/>
      <m:placeholder xlName="_PLD_76c030e64d064b19abe68ec0d74ffc7b" addr="T0R6C0S1_1"/>
      <m:item xlName="_GBC_24766beecbd94a09b66c519d4ce2eb4b" concept="clcid-pte:YingJiaoShuiJinZhongDeChengJianShui" label="应交税金中的城建税" mulRef="_GBC_a6162c9f021640929018406be611b834" unitRef="_GBC_d787fa1c70604797889c69c4c364e711" addr="T0R6C1S1_1" formatStyle="Comma" appId="_GBC_e7e2664720b9408384c5d3cd6d97c132"/>
      <m:item xlName="_GBC_522c4bb7bd76425489b513d37bee42e5" concept="clcid-pte:YingJiaoShuiJinZhongDeChengJianShui" label="应交税金中的城建税" periodRef="本期期初数" mulRef="_GBC_a6162c9f021640929018406be611b834" unitRef="_GBC_d787fa1c70604797889c69c4c364e711" addr="T0R6C2S1_1" formatStyle="Comma" appId="_GBC_e7e2664720b9408384c5d3cd6d97c132"/>
      <m:tuple xlName="_GBC_0480c028aa8b4cf2885f8f1d9b64c155" concept="clcid-pte:YingJiaoShuiJinMingXi" default_row="2" addr="T0R7C">
        <m:item xlName="_GBC_9cf1df576f6a4ca6864c93966bcbe89a" concept="clcid-pte:YingJiaoShuiJinZhongLei" label="应交税金种类" addr="T0R7C0S1_1" appId="_GBC_e7e2664720b9408384c5d3cd6d97c132"/>
        <m:item xlName="_GBC_60a396ea7f8a444db2807e7ff869b8f7" concept="clcid-pte:YingJiaoShuiJinJinE" label="应交税金金额" mulRef="_GBC_a6162c9f021640929018406be611b834" unitRef="_GBC_d787fa1c70604797889c69c4c364e711" addr="T0R7C1S1_1" formatStyle="Comma" appId="_GBC_e7e2664720b9408384c5d3cd6d97c132"/>
        <m:item xlName="_GBC_bfbdd4e901504b1b962e744df3b97d11" concept="clcid-pte:YingJiaoShuiJinJinE" label="应交税金金额" periodRef="本期期初数" mulRef="_GBC_a6162c9f021640929018406be611b834" unitRef="_GBC_d787fa1c70604797889c69c4c364e711" addr="T0R7C2S1_1" formatStyle="Comma" appId="_GBC_e7e2664720b9408384c5d3cd6d97c132"/>
      </m:tuple>
      <m:placeholder xlName="_PLD_ad567219cf614829af1a2928b1fa259b" addr="T0R9C0S1_1"/>
      <m:item xlName="_GBC_b4b20da52fcb4ab1b64aaec0bea772ef" concept="clcid-pte:YingJiaoShuiJin" label="应交税金" mulRef="_GBC_a6162c9f021640929018406be611b834" unitRef="_GBC_d787fa1c70604797889c69c4c364e711" addr="T0R9C1S1_1" formatStyle="Comma" appId="_GBC_e7e2664720b9408384c5d3cd6d97c132">
        <m:complexRule comparator="Eq" title="应交税金" test=" $_GBC_9791315efde34cb8ab2be460016403a0 +  $_GBC_100014df17764a6d96054c2edb1bea3c +  $_GBC_75a3d06681d2458e97d79fb5d740246c +  $_GBC_9cdcf101b84840ccb31e20f0802254e4 +  $_GBC_31f3632bdeaa4c8e84638419aa942a90 +  $_GBC_24766beecbd94a09b66c519d4ce2eb4b +  $_GBC_60a396ea7f8a444db2807e7ff869b8f7" id="C0d65097942374b49bc7196f7e09bc52a" serialType="1"/>
      </m:item>
      <m:item xlName="_GBC_bf00b425eb424f4d975ef5db71f96d94" concept="clcid-pte:YingJiaoShuiJin" label="应交税金" periodRef="本期期初数" mulRef="_GBC_a6162c9f021640929018406be611b834" unitRef="_GBC_d787fa1c70604797889c69c4c364e711" addr="T0R9C2S1_1" formatStyle="Comma" appId="_GBC_e7e2664720b9408384c5d3cd6d97c132">
        <m:complexRule comparator="Eq" title="应交税金@本期期初数" test=" $_GBC_dfacf334f07c4a968402ec78a3b659aa +  $_GBC_afb3b052bab8491db3c646750fb7ef1b +  $_GBC_99610c7bb6ad4316aa620df83e6353b3 +  $_GBC_77931a7112384acbb9eb873d450c8fe8 +  $_GBC_6023fbb8ef134cb49427803c19ad5d53 +  $_GBC_522c4bb7bd76425489b513d37bee42e5 +  $_GBC_bfbdd4e901504b1b962e744df3b97d11" id="Ce160605c35a0442a98ef9cd065e74542" serialType="1"/>
      </m:item>
      <m:item xlName="_GBC_fb59f8f9de2d41c3aaf0dc3b0970dd91" concept="clcid-pte:YingJiaoShuiJinDeShuoMing" label="应交税金的说明" appId="_GBC_e7e2664720b9408384c5d3cd6d97c132"/>
    </m:section>
    <m:section xlName="_SEC_d4a31631d4c141d39fd547efdfcde484" title="项目列示">
      <m:item xlName="_GBC_8136b8c1140049519ac46075abed3220" concept="clcid-ci-ar:ShiFouShiYongQiTaYingFuKuanFenLeiLieShi" label="是否适用：其他应付款分类列示" selectOptions="_buildInAppliance" controlType="CustomCheckbox" cRanges="[{&quot;StartName&quot;:&quot;_GBC_8136b8c1140049519ac46075abed3220&quot;,&quot;EndName&quot;:&quot;_GBC_8fa93aac828f4ed1ab8ba954856081f1&quot;,&quot;CType&quot;:1}]"/>
      <m:item xlName="_GBC_f725af1ac18e4ea28ff0b171fd9076b1" concept="clcid-ci-ar:DanWeiQiTaYingFuKuanFenLeiLieShi" label="单位：其他应付款分类列示" selectOptions="_buildInScales" controlType="Combobox" cellType="Scale" appId="_GBC_8136b8c1140049519ac46075abed3220"/>
      <m:item xlName="_GBC_9e26b8e601ae4c3b9b2f73c2946bed3c" concept="clcid-ci-ar:BiZhongQiTaYingFuKuanFenLeiLieShi" label="币种：其他应付款分类列示" selectOptions="_buildInISO4217" controlType="Combobox" cellType="Measure" appId="_GBC_8136b8c1140049519ac46075abed3220"/>
      <m:placeholder xlName="_PLD_d301d6d0c6f244d3b16ca7922fb1eae1" addr="T0R0C0S1_1"/>
      <m:placeholder xlName="_PLD_14a27299981b44e8a51ddedd6261c7cb" addr="T0R0C1S1_1"/>
      <m:placeholder xlName="_PLD_3ada436da03540938e5f25706fc839ab" addr="T0R0C2S1_1"/>
      <m:placeholder xlName="_PLD_d66a9d37a92f4ab8ae47e30c7542c8f2" addr="T0R1C0S1_1"/>
      <m:item xlName="_GBC_ca0687801a00464bac42a5e91e0db78d" concept="clcid-pte:YingFuLiXi" label="应付利息" mulRef="_GBC_f725af1ac18e4ea28ff0b171fd9076b1" unitRef="_GBC_9e26b8e601ae4c3b9b2f73c2946bed3c" addr="T0R1C1S1_1" formatStyle="Comma" appId="_GBC_8136b8c1140049519ac46075abed3220"/>
      <m:item xlName="_GBC_92318bd5c8c74fc3927393dd102d812c" concept="clcid-pte:YingFuLiXi" label="应付利息" periodRef="本期期初数" mulRef="_GBC_f725af1ac18e4ea28ff0b171fd9076b1" unitRef="_GBC_9e26b8e601ae4c3b9b2f73c2946bed3c" addr="T0R1C2S1_1" formatStyle="Comma" appId="_GBC_8136b8c1140049519ac46075abed3220"/>
      <m:placeholder xlName="_PLD_f7c963c0ee7f4ae9a9ee01376e1c10a3" addr="T0R2C0S1_1"/>
      <m:item xlName="_GBC_015162b412d946439c1c61331425d8e8" concept="clcid-pte:YingFuGuLi" label="应付股利" mulRef="_GBC_f725af1ac18e4ea28ff0b171fd9076b1" unitRef="_GBC_9e26b8e601ae4c3b9b2f73c2946bed3c" addr="T0R2C1S1_1" formatStyle="Comma" appId="_GBC_8136b8c1140049519ac46075abed3220"/>
      <m:item xlName="_GBC_38a026d49887456881f03806a93756a6" concept="clcid-pte:YingFuGuLi" label="应付股利" periodRef="本期期初数" mulRef="_GBC_f725af1ac18e4ea28ff0b171fd9076b1" unitRef="_GBC_9e26b8e601ae4c3b9b2f73c2946bed3c" addr="T0R2C2S1_1" formatStyle="Comma" appId="_GBC_8136b8c1140049519ac46075abed3220"/>
      <m:placeholder xlName="_PLD_bef380fd911e4f2a9e651243d4593795" addr="T0R3C0S1_1" helpText="此处的其他应付款是指扣除应付利息、应付股利后的其他应付款"/>
      <m:item xlName="_GBC_975c6b055be24c908da01f9d505df20d" concept="clcid-pte:QiTaYingFuKuanQiTa" label="其他应付款-其他" mulRef="_GBC_f725af1ac18e4ea28ff0b171fd9076b1" unitRef="_GBC_9e26b8e601ae4c3b9b2f73c2946bed3c" addr="T0R3C1S1_1" formatStyle="Comma" helpText="此处的其他应付款是指扣除应付利息、应付股利后的其他应付款" appId="_GBC_8136b8c1140049519ac46075abed3220"/>
      <m:item xlName="_GBC_16301a8091fd42c0b78ff3ff27b1d7e7" concept="clcid-pte:QiTaYingFuKuanQiTa" label="其他应付款-其他" periodRef="本期期初数" mulRef="_GBC_f725af1ac18e4ea28ff0b171fd9076b1" unitRef="_GBC_9e26b8e601ae4c3b9b2f73c2946bed3c" addr="T0R3C2S1_1" formatStyle="Comma" helpText="此处的其他应付款是指扣除应付利息、应付股利后的其他应付款" appId="_GBC_8136b8c1140049519ac46075abed3220"/>
      <m:placeholder xlName="_PLD_90dc33535197444a8eb7c8a4e477d9b7" addr="T0R4C0S1_1"/>
      <m:item xlName="_GBC_ee80cfcd543d4a5bb14412dcf4626d6b" concept="clcid-pte:QiTaYingFuKuan" label="其他应付款" mulRef="_GBC_f725af1ac18e4ea28ff0b171fd9076b1" unitRef="_GBC_9e26b8e601ae4c3b9b2f73c2946bed3c" addr="T0R4C1S1_1" formatStyle="Comma" appId="_GBC_8136b8c1140049519ac46075abed3220">
        <m:complexRule comparator="Eq" title="其他应付款" test=" $_GBC_ca0687801a00464bac42a5e91e0db78d +  $_GBC_015162b412d946439c1c61331425d8e8 +  $_GBC_975c6b055be24c908da01f9d505df20d" id="C1057743ff0ad49deacaf91244b60b2e5"/>
      </m:item>
      <m:item xlName="_GBC_a0e511b73953499fa2315306219540f2" concept="clcid-pte:QiTaYingFuKuan" label="其他应付款" periodRef="本期期初数" mulRef="_GBC_f725af1ac18e4ea28ff0b171fd9076b1" unitRef="_GBC_9e26b8e601ae4c3b9b2f73c2946bed3c" addr="T0R4C2S1_1" formatStyle="Comma" appId="_GBC_8136b8c1140049519ac46075abed3220">
        <m:complexRule comparator="Eq" title="其他应付款@本期期初数" test=" $_GBC_92318bd5c8c74fc3927393dd102d812c +  $_GBC_38a026d49887456881f03806a93756a6 +  $_GBC_16301a8091fd42c0b78ff3ff27b1d7e7" id="C5a3e7cb0f8cd4e8d91f47b1e97c3dad0"/>
      </m:item>
      <m:item xlName="_GBC_8fa93aac828f4ed1ab8ba954856081f1" concept="clcid-pte:QiTaYingFuKuanFenLeiLieShiQiTaShuoMing" label="其他应付款分类列示其他说明" appId="_GBC_8136b8c1140049519ac46075abed3220"/>
    </m:section>
    <m:section xlName="_SEC_60feb8ef6f7c4655a263f50d12c222d8" title="应付利息">
      <m:item xlName="_GBC_9058c1c6b0a94f6a8c531ec2dbd35706" concept="clcid-ci-ar:ShiFouShiYongYingFuLiXi" label="是否适用：应付利息" selectOptions="_buildInAppliance" controlType="CustomCheckbox" cRanges="[{&quot;StartName&quot;:&quot;_GBC_9058c1c6b0a94f6a8c531ec2dbd35706&quot;,&quot;EndName&quot;:&quot;_GBC_aa5492947246429e88fb7fa3d4136aff&quot;,&quot;CType&quot;:1}]"/>
      <m:item xlName="_GBC_e9907c009de64097a89479217dbdc838" concept="clcid-ci-ar:DanWeiCaiWuFuZhuYingFuLiXi" label="单位：财务附注：应付利息" selectOptions="_buildInScales" controlType="Combobox" cellType="Scale" appId="_GBC_9058c1c6b0a94f6a8c531ec2dbd35706"/>
      <m:item xlName="_GBC_228df0cb4ea54d139c46410a0dcee74f" concept="clcid-ci-ar:BiZhongCaiWuFuZhuYingFuLiXi" label="币种：财务附注：应付利息" selectOptions="_buildInISO4217" controlType="Combobox" cellType="Measure" appId="_GBC_9058c1c6b0a94f6a8c531ec2dbd35706"/>
      <m:placeholder xlName="_PLD_fd292d41e49846139b4ab78a4f19d473" addr="T0R0C0S1_1"/>
      <m:placeholder xlName="_PLD_6c7e9f13ec1e438b94631b9105180a42" addr="T0R0C1S1_1"/>
      <m:placeholder xlName="_PLD_d562962f373f4d1588c525f99393fe5a" addr="T0R0C2S1_1"/>
      <m:placeholder xlName="_PLD_dda670c1dc154bbb9f8be682744dace8" addr="T0R1C0S1_1"/>
      <m:item xlName="_GBC_915be9d90f0446bc9406424b8d61a344" concept="clcid-pte:YingFuLiXiZhongFenQiFuXiDaoQiHuanBenDeChangQiJieKuanLiXi" label="应付利息中分期付息到期还本的长期借款利息" mulRef="_GBC_e9907c009de64097a89479217dbdc838" unitRef="_GBC_228df0cb4ea54d139c46410a0dcee74f" addr="T0R1C1S1_1" formatStyle="Comma" appId="_GBC_9058c1c6b0a94f6a8c531ec2dbd35706"/>
      <m:item xlName="_GBC_bbd3a34db54748af8fbcbfe7eb6159b6" concept="clcid-pte:YingFuLiXiZhongFenQiFuXiDaoQiHuanBenDeChangQiJieKuanLiXi" label="应付利息中分期付息到期还本的长期借款利息" periodRef="本期期初数" mulRef="_GBC_e9907c009de64097a89479217dbdc838" unitRef="_GBC_228df0cb4ea54d139c46410a0dcee74f" addr="T0R1C2S1_1" formatStyle="Comma" appId="_GBC_9058c1c6b0a94f6a8c531ec2dbd35706"/>
      <m:placeholder xlName="_PLD_37dd060698fc4ca9b76df713b6c556fa" addr="T0R2C0S1_1"/>
      <m:item xlName="_GBC_f7a343b28eb34b39a838d5a72ff5909e" concept="clcid-pte:YingFuLiXiZhongQiYeZhaiQuanLiXi" label="应付利息中企业债券利息" mulRef="_GBC_e9907c009de64097a89479217dbdc838" unitRef="_GBC_228df0cb4ea54d139c46410a0dcee74f" addr="T0R2C1S1_1" formatStyle="Comma" appId="_GBC_9058c1c6b0a94f6a8c531ec2dbd35706"/>
      <m:item xlName="_GBC_8fbed1d484aa4a029142782cc0064d7a" concept="clcid-pte:YingFuLiXiZhongQiYeZhaiQuanLiXi" label="应付利息中企业债券利息" periodRef="本期期初数" mulRef="_GBC_e9907c009de64097a89479217dbdc838" unitRef="_GBC_228df0cb4ea54d139c46410a0dcee74f" addr="T0R2C2S1_1" formatStyle="Comma" appId="_GBC_9058c1c6b0a94f6a8c531ec2dbd35706"/>
      <m:placeholder xlName="_PLD_e8ff5729d39a4356b15b6c7288c3bc7f" addr="T0R3C0S1_1"/>
      <m:item xlName="_GBC_cce643dd00d144d8a5253af2aaa025da" concept="clcid-pte:YingFuLiXiZhongDuanQiJieKuanYingFuLiXi" label="应付利息中短期借款应付利息" mulRef="_GBC_e9907c009de64097a89479217dbdc838" unitRef="_GBC_228df0cb4ea54d139c46410a0dcee74f" addr="T0R3C1S1_1" formatStyle="Comma" appId="_GBC_9058c1c6b0a94f6a8c531ec2dbd35706"/>
      <m:item xlName="_GBC_7734cd332ba54927972ba9aa2d0d70d0" concept="clcid-pte:YingFuLiXiZhongDuanQiJieKuanYingFuLiXi" label="应付利息中短期借款应付利息" periodRef="本期期初数" mulRef="_GBC_e9907c009de64097a89479217dbdc838" unitRef="_GBC_228df0cb4ea54d139c46410a0dcee74f" addr="T0R3C2S1_1" formatStyle="Comma" appId="_GBC_9058c1c6b0a94f6a8c531ec2dbd35706"/>
      <m:placeholder xlName="_PLD_9dd61f0de2b942bc85752d5a181df6f3" addr="T0R4C0S1_1"/>
      <m:item xlName="_GBC_956c2b6914764bf1bbc89a24fc9a3e4c" concept="clcid-pte:HuaFenWeiJinRongFuZhaiDeYouXianGuHuoYongXuZhaiLiXi" label="划分为金融负债的优先股或永续债利息" mulRef="_GBC_e9907c009de64097a89479217dbdc838" unitRef="_GBC_228df0cb4ea54d139c46410a0dcee74f" addr="T0R4C1S1_1" formatStyle="Comma" appId="_GBC_9058c1c6b0a94f6a8c531ec2dbd35706">
        <m:complexRule comparator="Eq" title="划分为金融负债的优先股或永续债利息" test=" $_GBC_babde697abb84911ad950c2fcc09a8db" id="C5da6802af860445894628b356b43ac14"/>
      </m:item>
      <m:item xlName="_GBC_c68468eb795044f99e00681dd29cd85f" concept="clcid-pte:HuaFenWeiJinRongFuZhaiDeYouXianGuHuoYongXuZhaiLiXi" label="划分为金融负债的优先股或永续债利息" periodRef="本期期初数" mulRef="_GBC_e9907c009de64097a89479217dbdc838" unitRef="_GBC_228df0cb4ea54d139c46410a0dcee74f" addr="T0R4C2S1_1" formatStyle="Comma" appId="_GBC_9058c1c6b0a94f6a8c531ec2dbd35706">
        <m:complexRule comparator="Eq" title="划分为金融负债的优先股或永续债利息@本期期初数" test=" $_GBC_682040c09b634505b922a3883c61d7bc" id="Cbffd4d9d9ae1436593dcec06eab83b66"/>
      </m:item>
      <m:tuple xlName="_TUP_c5f250bf33f14963b545b83aa42c9ea3" concept="clcid-pte:HuaFenWeiJinRongFuZhaiDeYouXianGuHuoYongXuZhaiLiXiMingXi" default_row="2" addr="T0R5C">
        <m:item xlName="_GBC_e123f46f6aec48a39877aecf12243c5c" concept="clcid-pte:HuaFenWeiJinRongFuZhaiDeYouXianGuHuoYongXuZhaiLiXiMingXiGongJuMingCheng" label="划分为金融负债的优先股或永续债利息明细-工具名称" addr="T0R5C0S1_1" appId="_GBC_9058c1c6b0a94f6a8c531ec2dbd35706"/>
        <m:item xlName="_GBC_babde697abb84911ad950c2fcc09a8db" concept="clcid-pte:HuaFenWeiJinRongFuZhaiDeYouXianGuHuoYongXuZhaiLiXiMingXiYingFuLiXi" label="划分为金融负债的优先股或永续债利息明细-应付利息" mulRef="_GBC_e9907c009de64097a89479217dbdc838" unitRef="_GBC_228df0cb4ea54d139c46410a0dcee74f" addr="T0R5C1S1_1" formatStyle="Comma" appId="_GBC_9058c1c6b0a94f6a8c531ec2dbd35706"/>
        <m:item xlName="_GBC_682040c09b634505b922a3883c61d7bc" concept="clcid-pte:HuaFenWeiJinRongFuZhaiDeYouXianGuHuoYongXuZhaiLiXiMingXiYingFuLiXi" label="划分为金融负债的优先股或永续债利息明细-应付利息" periodRef="本期期初数" mulRef="_GBC_e9907c009de64097a89479217dbdc838" unitRef="_GBC_228df0cb4ea54d139c46410a0dcee74f" addr="T0R5C2S1_1" formatStyle="Comma" appId="_GBC_9058c1c6b0a94f6a8c531ec2dbd35706"/>
      </m:tuple>
      <m:tuple xlName="_TUP_18550d8d948d4637adb945b044592efe" concept="clcid-pte:YingFuLiXiMingXi" default_row="2" addr="T0R7C">
        <m:item xlName="_GBC_fdc81b4d886543e1a25ed351ff68889e" concept="clcid-pte:YingFuLiXiMingXiXiangMu" label="应付利息明细-项目" addr="T0R7C0S1_1" appId="_GBC_9058c1c6b0a94f6a8c531ec2dbd35706"/>
        <m:item xlName="_GBC_4d1ef89a6bf34bef8b4a35319e314246" concept="clcid-pte:YingFuLiXiMingXiJinE" label="应付利息明细-金额" mulRef="_GBC_e9907c009de64097a89479217dbdc838" unitRef="_GBC_228df0cb4ea54d139c46410a0dcee74f" addr="T0R7C1S1_1" formatStyle="Comma" appId="_GBC_9058c1c6b0a94f6a8c531ec2dbd35706"/>
        <m:item xlName="_GBC_99e454f04d8c40a0bd182451999e4117" concept="clcid-pte:YingFuLiXiMingXiJinE" label="应付利息明细-金额" periodRef="本期期初数" mulRef="_GBC_e9907c009de64097a89479217dbdc838" unitRef="_GBC_228df0cb4ea54d139c46410a0dcee74f" addr="T0R7C2S1_1" formatStyle="Comma" appId="_GBC_9058c1c6b0a94f6a8c531ec2dbd35706"/>
      </m:tuple>
      <m:placeholder xlName="_PLD_a26d3928217a4cb48de388997f862e51" addr="T0R9C0S1_1"/>
      <m:item xlName="_GBC_cd77fe7abc02414e8b98c7c0c5d64bba" concept="clcid-pte:YingFuLiXi" label="应付利息" mulRef="_GBC_e9907c009de64097a89479217dbdc838" unitRef="_GBC_228df0cb4ea54d139c46410a0dcee74f" addr="T0R9C1S1_1" formatStyle="Comma" appId="_GBC_9058c1c6b0a94f6a8c531ec2dbd35706">
        <m:complexRule comparator="Eq" title="应付利息" test=" $_GBC_915be9d90f0446bc9406424b8d61a344 +  $_GBC_f7a343b28eb34b39a838d5a72ff5909e +  $_GBC_cce643dd00d144d8a5253af2aaa025da +  $_GBC_956c2b6914764bf1bbc89a24fc9a3e4c +  $_GBC_4d1ef89a6bf34bef8b4a35319e314246" id="C14b7ddbcba6d43248e9cb93a59b882fd" serialType="1"/>
      </m:item>
      <m:item xlName="_GBC_5ef6566fc10b4a34b24ca9278290d28f" concept="clcid-pte:YingFuLiXi" label="应付利息" periodRef="本期期初数" mulRef="_GBC_e9907c009de64097a89479217dbdc838" unitRef="_GBC_228df0cb4ea54d139c46410a0dcee74f" addr="T0R9C2S1_1" formatStyle="Comma" appId="_GBC_9058c1c6b0a94f6a8c531ec2dbd35706">
        <m:complexRule comparator="Eq" title="应付利息@本期期初数" test=" $_GBC_bbd3a34db54748af8fbcbfe7eb6159b6 +  $_GBC_8fbed1d484aa4a029142782cc0064d7a +  $_GBC_7734cd332ba54927972ba9aa2d0d70d0 +  $_GBC_c68468eb795044f99e00681dd29cd85f +  $_GBC_99e454f04d8c40a0bd182451999e4117" id="C5389d596182e4bf686cee1fb9e15a36b" serialType="1"/>
      </m:item>
      <m:item xlName="_GBC_467048e0118b400abf781e8a74db94e2" concept="clcid-ci-ar:ShiFouShiYongZhongYaoDeYiYuQiWeiZhiFuDeLiXiQingKuang" label="是否适用：重要的已逾期未支付的利息情况" selectOptions="_buildInAppliance" controlType="CustomCheckbox" cRanges="[{&quot;StartName&quot;:&quot;_GBC_467048e0118b400abf781e8a74db94e2&quot;,&quot;EndName&quot;:&quot;_GBC_5a920c0ba6794556b3a7c7e28f7e1018&quot;,&quot;CType&quot;:1}]"/>
      <m:item xlName="_GBC_e306ecb1196c4992bd64f8b41d9f2a5e" concept="clcid-ci-ar:DanWeiCaiWuFuZhuYiYuQiWeiZhiFuDeLiXiQingKuang" label="单位：财务附注：已逾期未支付的利息情况" selectOptions="_buildInScales" controlType="Combobox" cellType="Scale" appId="_GBC_467048e0118b400abf781e8a74db94e2"/>
      <m:item xlName="_GBC_33bdb00da90044288cdf489a0b1a15e6" concept="clcid-ci-ar:BiZhongCaiWuFuZhuYiYuQiWeiZhiFuDeLiXiQingKuang" label="币种：财务附注：已逾期未支付的利息情况" selectOptions="_buildInISO4217" controlType="Combobox" cellType="Measure" appId="_GBC_467048e0118b400abf781e8a74db94e2"/>
      <m:placeholder xlName="_PLD_3f124ce35b344bff93d0a1273ce91e80" addr="T1R0C0S1_1"/>
      <m:placeholder xlName="_PLD_aa818f580f9247528f24483708539f51" addr="T1R0C1S1_1"/>
      <m:placeholder xlName="_PLD_3de69e65e1ee4bbfadc8a318fed1189f" addr="T1R0C2S1_1"/>
      <m:tuple xlName="_TUP_0067d0c604e9432688c80dfd416b5b30" concept="clcid-pte:YiYuQiWeiZhiFuDeLiXiQingKuangMingXi" default_row="2" addr="T1R1C">
        <m:item xlName="_GBC_3b7cecdac98f435ba7e1a666bab42977" concept="clcid-pte:YiYuQiWeiZhiFuDeLiXiQingKuangMingXiJieKuanDanWei" label="已逾期未支付的利息情况明细-借款单位" addr="T1R1C0S1_1" appId="_GBC_467048e0118b400abf781e8a74db94e2"/>
        <m:item xlName="_GBC_e9900c4ac7f943dca9d645d512d9f761" concept="clcid-pte:YiYuQiWeiZhiFuDeLiXiQingKuangMingXiYuQiJinE" label="已逾期未支付的利息情况明细-逾期金额" mulRef="_GBC_e306ecb1196c4992bd64f8b41d9f2a5e" unitRef="_GBC_33bdb00da90044288cdf489a0b1a15e6" addr="T1R1C1S1_1" formatStyle="Comma" appId="_GBC_467048e0118b400abf781e8a74db94e2"/>
        <m:item xlName="_GBC_cffeb2c7149e49038192c57414220316" concept="clcid-pte:YiYuQiWeiZhiFuDeLiXiQingKuangMingXiYuQiYuanYin" label="已逾期未支付的利息情况明细-逾期原因" addr="T1R1C2S1_1" appId="_GBC_467048e0118b400abf781e8a74db94e2"/>
      </m:tuple>
      <m:placeholder xlName="_PLD_b6a6a7edda204e76b3e825f0f1fd2189" addr="T1R3C0S1_1"/>
      <m:item xlName="_GBC_5a920c0ba6794556b3a7c7e28f7e1018" concept="clcid-pte:YiYuQiWeiZhiFuDeLiXiYuQiJinEHeJi" label="已逾期未支付的利息逾期金额合计" mulRef="_GBC_e306ecb1196c4992bd64f8b41d9f2a5e" unitRef="_GBC_33bdb00da90044288cdf489a0b1a15e6" addr="T1R3C1S1_1" formatStyle="Comma" appId="_GBC_467048e0118b400abf781e8a74db94e2">
        <m:complexRule comparator="Eq" title="已逾期未支付的利息逾期金额合计" test=" $_GBC_e9900c4ac7f943dca9d645d512d9f761" id="Cc105c25b8775486f8ef2fac36abcf243"/>
      </m:item>
      <m:item xlName="_GBC_7fa89c7d8b4b40bb9885811bf3463d04" concept="clcid-ci-ar:ShiFouShiYongYingFuLiXiShuoMing" label="是否适用：应付利息说明" selectOptions="_buildInAppliance" controlType="CustomCheckbox" cRanges="[{&quot;StartName&quot;:&quot;_GBC_7fa89c7d8b4b40bb9885811bf3463d04&quot;,&quot;EndName&quot;:&quot;_GBC_aa5492947246429e88fb7fa3d4136aff&quot;,&quot;CType&quot;:1}]"/>
      <m:item xlName="_GBC_aa5492947246429e88fb7fa3d4136aff" concept="clcid-pte:YingFuLiXiShuoMing" label="应付利息说明" appId="_GBC_7fa89c7d8b4b40bb9885811bf3463d04"/>
    </m:section>
    <m:section xlName="_SEC_454db7ed64ca40e48e42eb6c38ae54ca" title="应付股利">
      <m:item xlName="_GBC_09dc75ba10d44acfb18b03320a40e4c5" concept="clcid-ci-ar:ShiFouShiYongYingFuGuLi" label="是否适用：应付股利" selectOptions="_buildInAppliance" controlType="CustomCheckbox" cRanges="[{&quot;StartName&quot;:&quot;_GBC_09dc75ba10d44acfb18b03320a40e4c5&quot;,&quot;EndName&quot;:&quot;_GBC_44da1c5f7ab647d2891e8b1c5f5bd521&quot;,&quot;CType&quot;:1}]"/>
      <m:item xlName="_GBC_794436f63bf446c4b4d5d09922a87476" concept="clcid-ci-ar:DanWeiCaiWuFuZhuYingFuGuLi" label="单位：财务附注：应付股利" selectOptions="_buildInScales" controlType="Combobox" cellType="Scale" appId="_GBC_09dc75ba10d44acfb18b03320a40e4c5"/>
      <m:item xlName="_GBC_3ac9f6019d6040e79214de869765e7c9" concept="clcid-ci-ar:BiZhongCaiWuFuZhuYingFuGuLi" label="币种：财务附注：应付股利" selectOptions="_buildInISO4217" controlType="Combobox" cellType="Measure" appId="_GBC_09dc75ba10d44acfb18b03320a40e4c5"/>
      <m:placeholder xlName="_PLD_9d58938574b04fdbb97abe896d2ae73a" addr="T0R0C0S1_1"/>
      <m:placeholder xlName="_PLD_464a3e2801194be5b8f549044d634880" addr="T0R0C1S1_1"/>
      <m:placeholder xlName="_PLD_b96a666c25174aeab9bab423f51ae94f" addr="T0R0C2S1_1"/>
      <m:placeholder xlName="_PLD_ccc30ab30e5a4b788d1af42d774d7b85" addr="T0R1C0S1_1"/>
      <m:item xlName="_GBC_aab1d8c40c7c476e92d954bc065bb323" concept="clcid-pte:YingFuGuLiPuTongGuGuLi" label="应付股利普通股股利" mulRef="_GBC_794436f63bf446c4b4d5d09922a87476" unitRef="_GBC_3ac9f6019d6040e79214de869765e7c9" addr="T0R1C1S1_1" formatStyle="Comma" appId="_GBC_09dc75ba10d44acfb18b03320a40e4c5"/>
      <m:item xlName="_GBC_88b1b6f4208d47cc9db273fe0e779fa3" concept="clcid-pte:YingFuGuLiPuTongGuGuLi" label="应付股利普通股股利" periodRef="本期期初数" mulRef="_GBC_794436f63bf446c4b4d5d09922a87476" unitRef="_GBC_3ac9f6019d6040e79214de869765e7c9" addr="T0R1C2S1_1" formatStyle="Comma" appId="_GBC_09dc75ba10d44acfb18b03320a40e4c5"/>
      <m:placeholder xlName="_PLD_1da43d46c8414d219fbac9c9b182033c" addr="T0R2C0S1_1"/>
      <m:item xlName="_GBC_271abeae3dab43b7ba5ce6bcfe85fcf1" concept="clcid-pte:HuaFenWeiQuanYiGongJuDeYouXianGuHuoYongXuZhaiGuLi" label="划分为权益工具的优先股或永续债股利" mulRef="_GBC_794436f63bf446c4b4d5d09922a87476" unitRef="_GBC_3ac9f6019d6040e79214de869765e7c9" addr="T0R2C1S1_1" formatStyle="Comma" appId="_GBC_09dc75ba10d44acfb18b03320a40e4c5">
        <m:complexRule comparator="Eq" title="划分为权益工具的优先股或永续债股利" test=" $_GBC_0564fed055f14cb1850479ac1a8b04c4" id="Cd1bb8fb54d9641248fd4494abb28cf25"/>
      </m:item>
      <m:item xlName="_GBC_942340197aac4842a19c31350c5ccebf" concept="clcid-pte:HuaFenWeiQuanYiGongJuDeYouXianGuHuoYongXuZhaiGuLi" label="划分为权益工具的优先股或永续债股利" periodRef="本期期初数" mulRef="_GBC_794436f63bf446c4b4d5d09922a87476" unitRef="_GBC_3ac9f6019d6040e79214de869765e7c9" addr="T0R2C2S1_1" formatStyle="Comma" appId="_GBC_09dc75ba10d44acfb18b03320a40e4c5">
        <m:complexRule comparator="Eq" title="划分为权益工具的优先股或永续债股利@本期期初数" test=" $_GBC_532553c9b2d546b89a5b45d7bc249c2a" id="C1a6c4100b7144784b788a2c73ea052ae"/>
      </m:item>
      <m:tuple xlName="_TUP_d6439173d6c4448487f407a2363e7581" concept="clcid-pte:HuaFenWeiQuanYiGongJuDeYouXianGuHuoYongXuZhaiGuLiMingXi" default_row="2" addr="T0R3C">
        <m:item xlName="_GBC_e747d93d696b4915a2c6ba559542eb25" concept="clcid-pte:HuaFenWeiQuanYiGongJuDeYouXianGuHuoYongXuZhaiGuLiMingXiGongJuMingCheng" label="划分为权益工具的优先股或永续债股利明细-工具名称 " addr="T0R3C0S1_1" appId="_GBC_09dc75ba10d44acfb18b03320a40e4c5"/>
        <m:item xlName="_GBC_0564fed055f14cb1850479ac1a8b04c4" concept="clcid-pte:HuaFenWeiQuanYiGongJuDeYouXianGuHuoYongXuZhaiGuLiMingXiYingFuGuLi" label="划分为权益工具的优先股或永续债股利明细-应付股利" mulRef="_GBC_794436f63bf446c4b4d5d09922a87476" unitRef="_GBC_3ac9f6019d6040e79214de869765e7c9" addr="T0R3C1S1_1" formatStyle="Comma" appId="_GBC_09dc75ba10d44acfb18b03320a40e4c5"/>
        <m:item xlName="_GBC_532553c9b2d546b89a5b45d7bc249c2a" concept="clcid-pte:HuaFenWeiQuanYiGongJuDeYouXianGuHuoYongXuZhaiGuLiMingXiYingFuGuLi" label="划分为权益工具的优先股或永续债股利明细-应付股利" periodRef="本期期初数" mulRef="_GBC_794436f63bf446c4b4d5d09922a87476" unitRef="_GBC_3ac9f6019d6040e79214de869765e7c9" addr="T0R3C2S1_1" formatStyle="Comma" appId="_GBC_09dc75ba10d44acfb18b03320a40e4c5"/>
      </m:tuple>
      <m:tuple xlName="_TUP_890b98326bfc4362bc188f72b0b43632" concept="clcid-pte:YingFuGuLiMingXi" default_row="2" addr="T0R5C">
        <m:item xlName="_GBC_e1ed8078cd194cfbaa85ef7557ad8734" concept="clcid-pte:YingFuGuLiXiangMuMingCheng" label="应付股利项目名称" addr="T0R5C0S1_1" appId="_GBC_09dc75ba10d44acfb18b03320a40e4c5"/>
        <m:item xlName="_GBC_4cd4ee92861f47389a6dcb182f34e9e9" concept="clcid-pte:YingFuGuLiJinE" label="应付股利金额" mulRef="_GBC_794436f63bf446c4b4d5d09922a87476" unitRef="_GBC_3ac9f6019d6040e79214de869765e7c9" addr="T0R5C1S1_1" formatStyle="Comma" appId="_GBC_09dc75ba10d44acfb18b03320a40e4c5"/>
        <m:item xlName="_GBC_762d58668deb407899293aa5c7d1b068" concept="clcid-pte:YingFuGuLiJinE" label="应付股利金额" periodRef="本期期初数" mulRef="_GBC_794436f63bf446c4b4d5d09922a87476" unitRef="_GBC_3ac9f6019d6040e79214de869765e7c9" addr="T0R5C2S1_1" formatStyle="Comma" appId="_GBC_09dc75ba10d44acfb18b03320a40e4c5"/>
      </m:tuple>
      <m:placeholder xlName="_PLD_2b0d3d581f184538a143c7836e38c7fd" addr="T0R7C0S1_1"/>
      <m:item xlName="_GBC_635dd1c64ac941ba8607bd324db2bd61" concept="clcid-pte:YingFuGuLi" label="应付股利" mulRef="_GBC_794436f63bf446c4b4d5d09922a87476" unitRef="_GBC_3ac9f6019d6040e79214de869765e7c9" addr="T0R7C1S1_1" formatStyle="Comma" appId="_GBC_09dc75ba10d44acfb18b03320a40e4c5">
        <m:complexRule comparator="Eq" title="应付股利" test=" $_GBC_271abeae3dab43b7ba5ce6bcfe85fcf1 +  $_GBC_aab1d8c40c7c476e92d954bc065bb323 +  $_GBC_4cd4ee92861f47389a6dcb182f34e9e9" id="C380f0c08330348c9b019e12b8648c584" serialType="1"/>
      </m:item>
      <m:item xlName="_GBC_32ae8e911cd24feb927bedd2ce7b547d" concept="clcid-pte:YingFuGuLi" label="应付股利" periodRef="本期期初数" mulRef="_GBC_794436f63bf446c4b4d5d09922a87476" unitRef="_GBC_3ac9f6019d6040e79214de869765e7c9" addr="T0R7C2S1_1" formatStyle="Comma" appId="_GBC_09dc75ba10d44acfb18b03320a40e4c5">
        <m:complexRule comparator="Eq" title="应付股利@本期期初数" test=" $_GBC_942340197aac4842a19c31350c5ccebf +  $_GBC_88b1b6f4208d47cc9db273fe0e779fa3 +  $_GBC_762d58668deb407899293aa5c7d1b068" id="C14a6b093258a47d5a8ab930075a85c01" serialType="1"/>
      </m:item>
      <m:item xlName="_GBC_44da1c5f7ab647d2891e8b1c5f5bd521" concept="clcid-pte:YingFuGuLiDeShuoMing" label="应付股利的说明" appId="_GBC_09dc75ba10d44acfb18b03320a40e4c5"/>
    </m:section>
    <m:section xlName="_SEC_df361e68406f49208d47d08674984872" title="按款项性质列示其他应付款">
      <m:item xlName="_GBC_a099ebd596de4984814ff6b49af92e86" concept="clcid-ci-ar:ShiFouShiYongAnKuanXiangXingZhiLieShiQiTaYingFuKuan" label="是否适用：按款项性质列示其他应付款" selectOptions="_buildInAppliance" controlType="CustomCheckbox" cRanges="[{&quot;StartName&quot;:&quot;_GBC_a099ebd596de4984814ff6b49af92e86&quot;,&quot;EndName&quot;:&quot;_GBC_966b448f97e94adbb7adcfd22314a78e&quot;,&quot;CType&quot;:1}]"/>
      <m:item xlName="_GBC_781a05c0c742470b88557fa8878adf9c" concept="clcid-ci-ar:DanWeiCaiWuFuZhuQiTaYingFuKuanQingKuang" label="单位：财务附注：其他应付款情况" selectOptions="_buildInScales" controlType="Combobox" cellType="Scale" appId="_GBC_a099ebd596de4984814ff6b49af92e86"/>
      <m:item xlName="_GBC_19bba6af93f1445cbfdc13ddfb71a0ea" concept="clcid-ci-ar:BiZhongCaiWuFuZhuQiTaYingFuKuanQingKuang" label="币种：财务附注：其他应付款情况" selectOptions="_buildInISO4217" controlType="Combobox" cellType="Measure" appId="_GBC_a099ebd596de4984814ff6b49af92e86"/>
      <m:placeholder xlName="_PLD_3991c4118c8d4069811e5f758978143f" addr="T0R0C0S1_1"/>
      <m:placeholder xlName="_PLD_c1bcea3523f040f08da3a1bd0d135ad5" addr="T0R0C1S1_1"/>
      <m:placeholder xlName="_PLD_b89663858245498c995c58e2bab384aa" addr="T0R0C2S1_1"/>
      <m:tuple xlName="_TUP_d68cb62e22fc4f99ab4d25c145efcd43" concept="clcid-pte:QiTaYingFuKuanQingKuangMingXi" default_row="2" addr="T0R1C">
        <m:item xlName="_GBC_58a65c3037684e66a17e84bc8016ca61" concept="clcid-pte:QiTaYingFuKuanQingKuangMingXiXiangMu" label="其他应付款情况明细-项目" addr="T0R1C0S1_1" appId="_GBC_a099ebd596de4984814ff6b49af92e86"/>
        <m:item xlName="_GBC_efc6914f323344ffbae13cb6cd09d3b8" concept="clcid-pte:QiTaYingFuKuanQingKuangMingXiJinE" label="其他应付款情况明细-金额" mulRef="_GBC_781a05c0c742470b88557fa8878adf9c" unitRef="_GBC_19bba6af93f1445cbfdc13ddfb71a0ea" addr="T0R1C1S1_1" formatStyle="Comma" appId="_GBC_a099ebd596de4984814ff6b49af92e86"/>
        <m:item xlName="_GBC_e7650fb393054fde9cf32b9e9a294c78" concept="clcid-pte:QiTaYingFuKuanQingKuangMingXiJinE" label="其他应付款情况明细-金额" periodRef="本期期初数" mulRef="_GBC_781a05c0c742470b88557fa8878adf9c" unitRef="_GBC_19bba6af93f1445cbfdc13ddfb71a0ea" addr="T0R1C2S1_1" formatStyle="Comma" appId="_GBC_a099ebd596de4984814ff6b49af92e86"/>
      </m:tuple>
      <m:placeholder xlName="_PLD_dc1df66b4e6549929c6b91b265854e4c" addr="T0R3C0S1_1"/>
      <m:item xlName="_GBC_a7e20c8489914e7e96ede9a30e0df6be" concept="clcid-pte:QiTaYingFuKuanQiTa" label="其他应付款-其他" mulRef="_GBC_781a05c0c742470b88557fa8878adf9c" unitRef="_GBC_19bba6af93f1445cbfdc13ddfb71a0ea" addr="T0R3C1S1_1" formatStyle="Comma" appId="_GBC_a099ebd596de4984814ff6b49af92e86">
        <m:complexRule comparator="Eq" title="其他应付款" test=" $_GBC_efc6914f323344ffbae13cb6cd09d3b8" id="Ce50e2ef3aad046c79634063bcbc65d20"/>
      </m:item>
      <m:item xlName="_GBC_966b448f97e94adbb7adcfd22314a78e" concept="clcid-pte:QiTaYingFuKuanQiTa" label="其他应付款-其他" periodRef="本期期初数" mulRef="_GBC_781a05c0c742470b88557fa8878adf9c" unitRef="_GBC_19bba6af93f1445cbfdc13ddfb71a0ea" addr="T0R3C2S1_1" formatStyle="Comma" appId="_GBC_a099ebd596de4984814ff6b49af92e86">
        <m:complexRule comparator="Eq" title="其他应付款@本期期初数" test=" $_GBC_e7650fb393054fde9cf32b9e9a294c78" id="C2c4bb309e3d74d7195e7913f828adb53"/>
      </m:item>
    </m:section>
    <m:section xlName="_SEC_83408720712d4902a68e6c9ddd4c67ae" title="账龄超过1年的重要其他应付款">
      <m:item xlName="_GBC_484cd63ee8b54a41978c822ae4ec5689" concept="clcid-ci-ar:ShiFouShiYongZhangLingChaoGuoNianDeZhongYaoQiTaYingFuKuan" label="是否适用：账龄超过1年的重要其他应付款" selectOptions="_buildInAppliance" controlType="CustomCheckbox" cRanges="[{&quot;StartName&quot;:&quot;_GBC_484cd63ee8b54a41978c822ae4ec5689&quot;,&quot;EndName&quot;:&quot;_GBC_98ffe1332fd94997908e1cdef29d9d3f&quot;,&quot;CType&quot;:1}]"/>
      <m:item xlName="_GBC_70627db7610a4aaf857bc90322d6cdfe" concept="clcid-ci-ar:DanWeiCaiWuFuZhuZhangLingChaoGuoYiNianDeZhongYaoQiTaYingFuKuan" label="单位：财务附注：账龄超过1年的重要其他应付款" selectOptions="_buildInScales" controlType="Combobox" cellType="Scale" appId="_GBC_484cd63ee8b54a41978c822ae4ec5689"/>
      <m:item xlName="_GBC_8ef8bcf4c1a64fecb8d1bc26dcf905d1" concept="clcid-ci-ar:BiZhongCaiWuFuZhuZhangLingChaoGuoYiNianDeZhongYaoQiTaYingFuKuan" label="币种：财务附注：账龄超过1年的重要其他应付款" selectOptions="_buildInISO4217" controlType="Combobox" cellType="Measure" appId="_GBC_484cd63ee8b54a41978c822ae4ec5689"/>
      <m:placeholder xlName="_PLD_a2b3ff41455140df9be8564e6380c550" addr="T0R0C0S1_1"/>
      <m:placeholder xlName="_PLD_e96da55b57ef4b128b17e8730df5f38e" addr="T0R0C1S1_1"/>
      <m:placeholder xlName="_PLD_a0a7c81595d2416d898e57939ff78dd7" addr="T0R0C2S1_1"/>
      <m:tuple xlName="_TUP_107abfb893f149c8878e75d2528d9efe" concept="clcid-pte:ZhongYaoDeZhangLingChaoGuoNianDeQiTaYingFuKuanMingXi" default_row="2" addr="T0R1C">
        <m:item xlName="_GBC_ab9c23d62dbc4f7797c8e36dc17314fb" concept="clcid-pte:ZhongYaoDeZhangLingChaoGuoNianDeQiTaYingFuKuanMingXiXiangMuMingCheng" label="重要的账龄超过1年的其他应付款明细-项目名称" addr="T0R1C0S1_1" appId="_GBC_484cd63ee8b54a41978c822ae4ec5689"/>
        <m:item xlName="_GBC_9459826e5f7a41faa909975fa489188b" concept="clcid-pte:ZhongYaoDeZhangLingChaoGuoNianDeQiTaYingFuKuanMingXiQiMoYuE" label="重要的账龄超过1年的其他应付款明细-期末余额" mulRef="_GBC_70627db7610a4aaf857bc90322d6cdfe" unitRef="_GBC_8ef8bcf4c1a64fecb8d1bc26dcf905d1" addr="T0R1C1S1_1" formatStyle="Comma" appId="_GBC_484cd63ee8b54a41978c822ae4ec5689"/>
        <m:item xlName="_GBC_9243505e5509478b919312e262af55a8" concept="clcid-pte:ZhongYaoDeZhangLingChaoGuoNianDeQiTaYingFuKuanMingXiWeiChangHuanHuoJieZhuanDeYuanYin" label="重要的账龄超过1年的其他应付款明细-未偿还或结转的原因" addr="T0R1C2S1_1" appId="_GBC_484cd63ee8b54a41978c822ae4ec5689"/>
      </m:tuple>
      <m:placeholder xlName="_PLD_ea766d57335d427393a67dd762f0167b" addr="T0R3C0S1_1"/>
      <m:item xlName="_GBC_98ffe1332fd94997908e1cdef29d9d3f" concept="clcid-pte:ZhongYaoDeZhangLingChaoGuoNianDeQiTaYingFuKuanJinEHeJi" label="重要的账龄超过1年的其他应付款金额合计" mulRef="_GBC_70627db7610a4aaf857bc90322d6cdfe" unitRef="_GBC_8ef8bcf4c1a64fecb8d1bc26dcf905d1" addr="T0R3C1S1_1" formatStyle="Comma" appId="_GBC_484cd63ee8b54a41978c822ae4ec5689">
        <m:complexRule comparator="Eq" title="重要的账龄超过1年的其他应付款金额合计" test=" $_GBC_9459826e5f7a41faa909975fa489188b" id="C2fc05dfbe82e4c5daa932af5eb269d56"/>
      </m:item>
    </m:section>
    <m:section xlName="_SEC_b03fcb02b4b747249703cbc2e0a127fd" title="其他说明">
      <m:item xlName="_GBC_c968ec386e144657884a6b5b483acbfd" concept="clcid-ci-ar:ShiFouShiYongQiTaYingFuKuanDeQiTaShuoMing" label="是否适用：其他应付款的其他说明" selectOptions="_buildInAppliance" controlType="CustomCheckbox" cRanges="[{&quot;StartName&quot;:&quot;_GBC_c968ec386e144657884a6b5b483acbfd&quot;,&quot;EndName&quot;:&quot;_GBC_873f35ab785048d7ad0b90c5775691ba&quot;,&quot;CType&quot;:1}]"/>
      <m:item xlName="_GBC_873f35ab785048d7ad0b90c5775691ba" concept="clcid-pte:QiTaYingFuKuanDeQiTaShuoMing" label="其他应付款的其他说明" appId="_GBC_c968ec386e144657884a6b5b483acbfd"/>
    </m:section>
    <m:section xlName="_GBC_b863defdccbc448695ee82953f3da273" title="划分为持有待售的负债" helpId="112001091" helpText="注：说明划分为持有待售的负债的原因等。">
      <m:item xlName="_GBC_039b9e06b132407a89f578be468d6ec8" concept="clcid-ci-ar:ShiFouShiYongHuaFenWeiChiYouDaiShouDeFuZhai" label="是否适用：划分为持有待售的负债" selectOptions="_buildInAppliance" controlType="CustomCheckbox" cRanges="{&quot;StartName&quot;:&quot;_GBC_039b9e06b132407a89f578be468d6ec8&quot;,&quot;EndName&quot;:&quot;_GBC_2f3bfc8db07c4f2a9dadcb23e00a530c&quot;,&quot;CType&quot;:1,&quot;DisplayText&quot;:null}"/>
      <m:item xlName="_GBC_f30d181a7819468b83daa3ad26c4a933" concept="clcid-ci-ar:DanWeiCaiWuFuZhuHuaFenWeiChiYouDaiShouDeFuZhai" label="单位：财务附注：划分为持有待售的负债" selectOptions="_buildInScales" controlType="Combobox" cellType="Scale" appId="_GBC_039b9e06b132407a89f578be468d6ec8"/>
      <m:item xlName="_GBC_e07b1003088949a59945ab27fc1ac345" concept="clcid-ci-ar:BiZhongCaiWuFuZhuHuaFenWeiChiYouDaiShouDeFuZhai" label="币种：财务附注：划分为持有待售的负债" selectOptions="_buildInISO4217" controlType="Combobox" cellType="Measure" appId="_GBC_039b9e06b132407a89f578be468d6ec8"/>
      <m:placeholder xlName="_PLD_fbbe002e1be9478e8f72695ac5a8b25e" addr="T0R0C0S1_1"/>
      <m:placeholder xlName="_PLD_0f740cf0fbed46c5a8ebeee683fb98dd" addr="T0R0C1S1_1"/>
      <m:placeholder xlName="_PLD_000a9b47d64e4a23b371e0600abd571e" addr="T0R0C2S1_1"/>
      <m:tuple xlName="_GBC_a92f4aeba78e4645976782551c0782a4" concept="clcid-pte:HuaFenWeiChiYouDaiShouDeFuZhaiMingXi" default_row="2" addr="T0R1C">
        <m:item xlName="_GBC_1ffaf9f0be044f0e8f3399ded0f63953" concept="clcid-pte:HuaFenWeiChiYouDaiShouDeFuZhaiMingXiXiangMuMingCheng" label="划分为持有待售的负债明细-项目名称" addr="T0R1C0S1_1" appId="_GBC_039b9e06b132407a89f578be468d6ec8"/>
        <m:item xlName="_GBC_9c5e106e8f62427aba6100762e63e87e" concept="clcid-pte:HuaFenWeiChiYouDaiShouDeFuZhaiMingXiYuE" label="划分为持有待售的负债明细-余额" mulRef="_GBC_f30d181a7819468b83daa3ad26c4a933" unitRef="_GBC_e07b1003088949a59945ab27fc1ac345" addr="T0R1C1S1_1" formatStyle="Comma" appId="_GBC_039b9e06b132407a89f578be468d6ec8"/>
        <m:item xlName="_GBC_19d04039e05c4586bcebbb608272f026" concept="clcid-pte:HuaFenWeiChiYouDaiShouDeFuZhaiMingXiYuE" label="划分为持有待售的负债明细-余额" periodRef="本期期初数" mulRef="_GBC_f30d181a7819468b83daa3ad26c4a933" unitRef="_GBC_e07b1003088949a59945ab27fc1ac345" addr="T0R1C2S1_1" formatStyle="Comma" appId="_GBC_039b9e06b132407a89f578be468d6ec8"/>
      </m:tuple>
      <m:placeholder xlName="_PLD_a4e6ab5d42974b7c88fb1d6bc5d559e6" addr="T0R3C0S1_1"/>
      <m:item xlName="_GBC_d505354f0a1547418301820e5d049460" concept="clcid-pte:HuaFenWeiChiYouDaiShouDeFuZhai" label="划分为持有待售的负债" mulRef="_GBC_f30d181a7819468b83daa3ad26c4a933" unitRef="_GBC_e07b1003088949a59945ab27fc1ac345" addr="T0R3C1S1_1" formatStyle="Comma" appId="_GBC_039b9e06b132407a89f578be468d6ec8">
        <m:complexRule comparator="Eq" title="划分为持有待售的负债" test=" $_GBC_9c5e106e8f62427aba6100762e63e87e" id="C7c3d2b3b12cb46ef8d0a82cadcf34518"/>
      </m:item>
      <m:item xlName="_GBC_b2bd3705c5334f8c8a74fd68b1ffba87" concept="clcid-pte:HuaFenWeiChiYouDaiShouDeFuZhai" label="划分为持有待售的负债" periodRef="本期期初数" mulRef="_GBC_f30d181a7819468b83daa3ad26c4a933" unitRef="_GBC_e07b1003088949a59945ab27fc1ac345" addr="T0R3C2S1_1" formatStyle="Comma" appId="_GBC_039b9e06b132407a89f578be468d6ec8">
        <m:complexRule comparator="Eq" title="划分为持有待售的负债@本期期初数" test=" $_GBC_19d04039e05c4586bcebbb608272f026" id="C747d112ab87848d0bc2eab0f5a8eaa9a"/>
      </m:item>
      <m:item xlName="_GBC_2f3bfc8db07c4f2a9dadcb23e00a530c" concept="clcid-pte:HuaFenWeiChiYouDaiShouDeFuZhaiDeQiTaShuoMing" label="划分为持有待售的负债的其他说明" appId="_GBC_039b9e06b132407a89f578be468d6ec8"/>
    </m:section>
    <m:section xlName="_GBC_d5b7f9c02d494f85b85a36713895b9f8" title="1年内到期的非流动负债" helpId="112001092">
      <m:item xlName="_GBC_9b606bc3f0cf4f77be9b0f299d212c73" concept="clcid-ci-ar:ShiFouShiYongNianNeiDaoQiDeFeiLiuDongFuZhai" label="是否适用：1年内到期的非流动负债" selectOptions="_buildInAppliance" controlType="CustomCheckbox" cRanges="{&quot;StartName&quot;:&quot;_GBC_9b606bc3f0cf4f77be9b0f299d212c73&quot;,&quot;EndName&quot;:&quot;_GBC_ae2cc1bff1994660ac9e57279493bfe6&quot;,&quot;CType&quot;:1,&quot;DisplayText&quot;:null}"/>
      <m:item xlName="_GBC_7bad01766fa0485ea9c16109704ff32e" concept="clcid-ci-ar:DanWei1NianNeiDaoQiDeFeiLiuDongFuZhaiQingKuang" label="单位：1年内到期的非流动负债情况" selectOptions="_buildInScales" controlType="Combobox" cellType="Scale" appId="_GBC_9b606bc3f0cf4f77be9b0f299d212c73"/>
      <m:item xlName="_GBC_25aa805434d340a6ade79870522c9640" concept="clcid-ci-ar:BiZhong1NianNeiDaoQiDeFeiLiuDongFuZhaiQingKuang" label="币种：1年内到期的非流动负债情况" selectOptions="_buildInISO4217" controlType="Combobox" cellType="Measure" appId="_GBC_9b606bc3f0cf4f77be9b0f299d212c73"/>
      <m:placeholder xlName="_PLD_bf2815b84ebe4a1e94909ee96ec31ac1" addr="T0R0C0S1_1"/>
      <m:placeholder xlName="_PLD_db7abcf611bc4296ad7bd9c8177202e0" addr="T0R0C1S1_1"/>
      <m:placeholder xlName="_PLD_371959274ef4493ca1fe426c930e0bf2" addr="T0R0C2S1_1"/>
      <m:placeholder xlName="_PLD_d604ff944003432285ae67c4dffb978f" addr="T0R1C0S1_1"/>
      <m:item xlName="_GBC_fb867ca2c3654292a2a01bc2ce29546c" concept="clcid-pte:YiNianNeiDaoQiDeChangQiJieKuan" label="一年内到期的长期借款" mulRef="_GBC_7bad01766fa0485ea9c16109704ff32e" unitRef="_GBC_25aa805434d340a6ade79870522c9640" addr="T0R1C1S1_1" formatStyle="Comma" appId="_GBC_9b606bc3f0cf4f77be9b0f299d212c73"/>
      <m:item xlName="_GBC_3cccefeeff4a4e5ebe40b31bc22b0435" concept="clcid-pte:YiNianNeiDaoQiDeChangQiJieKuan" label="一年内到期的长期借款" periodRef="本期期初数" mulRef="_GBC_7bad01766fa0485ea9c16109704ff32e" unitRef="_GBC_25aa805434d340a6ade79870522c9640" addr="T0R1C2S1_1" formatStyle="Comma" appId="_GBC_9b606bc3f0cf4f77be9b0f299d212c73"/>
      <m:placeholder xlName="_PLD_c33302dbab574c0490258d7885fc5bb5" addr="T0R2C0S1_1"/>
      <m:item xlName="_GBC_141fc8f18a0540e29cc2ba7ef9bccd58" concept="clcid-pte:YiNianNeiDaoQiDeYingFuZhaiQuan" label="一年内到期的应付债券" mulRef="_GBC_7bad01766fa0485ea9c16109704ff32e" unitRef="_GBC_25aa805434d340a6ade79870522c9640" addr="T0R2C1S1_1" formatStyle="Comma" appId="_GBC_9b606bc3f0cf4f77be9b0f299d212c73"/>
      <m:item xlName="_GBC_7584e273869d492980d61267839bb575" concept="clcid-pte:YiNianNeiDaoQiDeYingFuZhaiQuan" label="一年内到期的应付债券" periodRef="本期期初数" mulRef="_GBC_7bad01766fa0485ea9c16109704ff32e" unitRef="_GBC_25aa805434d340a6ade79870522c9640" addr="T0R2C2S1_1" formatStyle="Comma" appId="_GBC_9b606bc3f0cf4f77be9b0f299d212c73"/>
      <m:placeholder xlName="_PLD_80ec0c08bdec4a7cab5a5163221b0aa3" addr="T0R3C0S1_1"/>
      <m:item xlName="_GBC_874a07cce9f34ea2b89ee70c34c1e43a" concept="clcid-pte:YiNianNeiDaoQiDeChangQiYingFuKuan" label="一年内到期的长期应付款" mulRef="_GBC_7bad01766fa0485ea9c16109704ff32e" unitRef="_GBC_25aa805434d340a6ade79870522c9640" addr="T0R3C1S1_1" formatStyle="Comma" appId="_GBC_9b606bc3f0cf4f77be9b0f299d212c73"/>
      <m:item xlName="_GBC_c660b9666d254a26a291244cc4f48c74" concept="clcid-pte:YiNianNeiDaoQiDeChangQiYingFuKuan" label="一年内到期的长期应付款" periodRef="本期期初数" mulRef="_GBC_7bad01766fa0485ea9c16109704ff32e" unitRef="_GBC_25aa805434d340a6ade79870522c9640" addr="T0R3C2S1_1" formatStyle="Comma" appId="_GBC_9b606bc3f0cf4f77be9b0f299d212c73"/>
      <m:placeholder xlName="_PLD_da928b33f6eb40d197d7afd28664c8f8" addr="T0R4C0S1_1"/>
      <m:item xlName="_GBC_aa8881139b2e4814b6d1238b811651d1" concept="clcid-pte:YiNianNeiDaoQiDeZuLinFuZhai" label="一年内到期的租赁负债" mulRef="_GBC_7bad01766fa0485ea9c16109704ff32e" unitRef="_GBC_25aa805434d340a6ade79870522c9640" addr="T0R4C1S1_1" formatStyle="Comma" appId="_GBC_9b606bc3f0cf4f77be9b0f299d212c73"/>
      <m:item xlName="_GBC_ba1cf5938cf248a4969c4e0f25d41eca" concept="clcid-pte:YiNianNeiDaoQiDeZuLinFuZhai" label="一年内到期的租赁负债" periodRef="本期期初数" mulRef="_GBC_7bad01766fa0485ea9c16109704ff32e" unitRef="_GBC_25aa805434d340a6ade79870522c9640" addr="T0R4C2S1_1" formatStyle="Comma" appId="_GBC_9b606bc3f0cf4f77be9b0f299d212c73"/>
      <m:tuple xlName="_GBC_dc4153fe5748430b8292d10d4e47eebf" concept="clcid-pte:NianNeiDaoQiDeFeiLiuDongFuZhaiMingXi" default_row="2" addr="T0R5C">
        <m:item xlName="_GBC_03651703b78248b194da77860db6c270" concept="clcid-pte:NianNeiDaoQiDeFeiLiuDongFuZhaiXiangMuMingCheng" label="1年内到期的非流动负债-项目名称" addr="T0R5C0S1_1" appId="_GBC_9b606bc3f0cf4f77be9b0f299d212c73"/>
        <m:item xlName="_GBC_ad98030d6b6f4ebfb7d3f83539a5eb8c" concept="clcid-pte:NianNeiDaoQiDeFeiLiuDongFuZhaiJinE" label="1年内到期的非流动负债-金额" mulRef="_GBC_7bad01766fa0485ea9c16109704ff32e" unitRef="_GBC_25aa805434d340a6ade79870522c9640" addr="T0R5C1S1_1" formatStyle="Comma" appId="_GBC_9b606bc3f0cf4f77be9b0f299d212c73"/>
        <m:item xlName="_GBC_8330ef82b9154dc987ac271063ed0e83" concept="clcid-pte:NianNeiDaoQiDeFeiLiuDongFuZhaiJinE" label="1年内到期的非流动负债-金额" periodRef="本期期初数" mulRef="_GBC_7bad01766fa0485ea9c16109704ff32e" unitRef="_GBC_25aa805434d340a6ade79870522c9640" addr="T0R5C2S1_1" formatStyle="Comma" appId="_GBC_9b606bc3f0cf4f77be9b0f299d212c73"/>
      </m:tuple>
      <m:placeholder xlName="_PLD_f9405fec461a4b079f93c72be0490bbf" addr="T0R7C0S1_1"/>
      <m:item xlName="_GBC_9f3a4bb02dcb48e896958781d5e43248" concept="clcid-pte:YiNianNeiDaoQiDeChangQiFuZhai" label="一年内到期的长期负债" mulRef="_GBC_7bad01766fa0485ea9c16109704ff32e" unitRef="_GBC_25aa805434d340a6ade79870522c9640" addr="T0R7C1S1_1" formatStyle="Comma" appId="_GBC_9b606bc3f0cf4f77be9b0f299d212c73">
        <m:complexRule comparator="Eq" title="一年内到期的长期负债" test=" $_GBC_fb867ca2c3654292a2a01bc2ce29546c +  $_GBC_141fc8f18a0540e29cc2ba7ef9bccd58 +  $_GBC_874a07cce9f34ea2b89ee70c34c1e43a +  $_GBC_ad98030d6b6f4ebfb7d3f83539a5eb8c +  $_GBC_aa8881139b2e4814b6d1238b811651d1" id="Ccbb48a2998944149bddcea1d99983174" serialType="1"/>
      </m:item>
      <m:item xlName="_GBC_523ea4354a984fe8bf91ed9d08e7c7fe" concept="clcid-pte:YiNianNeiDaoQiDeChangQiFuZhai" label="一年内到期的长期负债" periodRef="本期期初数" mulRef="_GBC_7bad01766fa0485ea9c16109704ff32e" unitRef="_GBC_25aa805434d340a6ade79870522c9640" addr="T0R7C2S1_1" formatStyle="Comma" appId="_GBC_9b606bc3f0cf4f77be9b0f299d212c73">
        <m:complexRule comparator="Eq" title="一年内到期的长期负债@本期期初数" test=" $_GBC_3cccefeeff4a4e5ebe40b31bc22b0435 +  $_GBC_7584e273869d492980d61267839bb575 +  $_GBC_c660b9666d254a26a291244cc4f48c74 +  $_GBC_8330ef82b9154dc987ac271063ed0e83 +  $_GBC_ba1cf5938cf248a4969c4e0f25d41eca" id="Cba7deef1990e40649869081a3925dd51" serialType="1"/>
      </m:item>
      <m:item xlName="_GBC_ae2cc1bff1994660ac9e57279493bfe6" concept="clcid-pte:YiNianNeiDaoQiDeFeiLiuDongFuZhaiShuoMing" label="1年内到期的非流动负债说明" appId="_GBC_9b606bc3f0cf4f77be9b0f299d212c73"/>
    </m:section>
    <m:item xlName="_GBC_80907e3e53c44260b850f42646eb3d63" concept="clcid-ci-ar:ShiFouShiYongQiTaLiuDongFuZhaiQingKuang" label="是否适用：其他流动负债情况 " selectOptions="_buildInAppliance" controlType="CustomCheckbox" cRanges="[{&quot;StartName&quot;:&quot;_GBC_80907e3e53c44260b850f42646eb3d63&quot;,&quot;EndName&quot;:&quot;_GBC_b1cb6faf7bad41e4868a075c1a423566&quot;,&quot;CType&quot;:1}]"/>
    <m:section xlName="_SEC_56be6eded8da4d0d9ac5c3624a91cdc6" title="其他流动负债">
      <m:item xlName="_GBC_6d31349460124941a4929421727aab0e" concept="clcid-ci-ar:DanWeiCaiWuFuZhuQiTaLiuDongFuZhai" label="单位：财务附注：其他流动负债" selectOptions="_buildInScales" controlType="Combobox" cellType="Scale" appId="_GBC_80907e3e53c44260b850f42646eb3d63"/>
      <m:item xlName="_GBC_7d8c93066ac541859a45d371953d3cdc" concept="clcid-ci-ar:BiZhongCaiWuFuZhuQiTaLiuDongFuZhai" label="币种：财务附注：其他流动负债" selectOptions="_buildInISO4217" controlType="Combobox" cellType="Measure" appId="_GBC_80907e3e53c44260b850f42646eb3d63"/>
      <m:placeholder xlName="_PLD_8fb682e3d6ad4a60b648ec38137fbf9d" addr="T0R0C0S1_1"/>
      <m:placeholder xlName="_PLD_0c0b762dc58f486f9f736b7ace21e9a0" addr="T0R0C1S1_1"/>
      <m:placeholder xlName="_PLD_942d693f41424f82b813e282a8210643" addr="T0R0C2S1_1"/>
      <m:placeholder xlName="_PLD_ded88bf4ef70481a9765df686ab4ec99" addr="T0R1C0S1_1"/>
      <m:item xlName="_GBC_2429d1b9c4ac48fd82fba4deb51a2d3c" concept="clcid-pte:DuanQiYingFuZhaiQuan" label="短期应付债券" mulRef="_GBC_6d31349460124941a4929421727aab0e" unitRef="_GBC_7d8c93066ac541859a45d371953d3cdc" addr="T0R1C1S1_1" formatStyle="Comma" appId="_GBC_80907e3e53c44260b850f42646eb3d63"/>
      <m:item xlName="_GBC_fd70aba6092d4880b79a3affdf6a543b" concept="clcid-pte:DuanQiYingFuZhaiQuan" label="短期应付债券" periodRef="本期期初数" mulRef="_GBC_6d31349460124941a4929421727aab0e" unitRef="_GBC_7d8c93066ac541859a45d371953d3cdc" addr="T0R1C2S1_1" formatStyle="Comma" appId="_GBC_80907e3e53c44260b850f42646eb3d63"/>
      <m:placeholder xlName="_PLD_8a3ee9fb31a7471489501bd0334950d5" addr="T0R2C0S1_1"/>
      <m:item xlName="_GBC_0d967adb92294e618ccc732e03a38291" concept="clcid-pte:QiTaLiuDongFuZhaiYingFuTuiHuoKuan" label="其他流动负债-应付退货款" mulRef="_GBC_6d31349460124941a4929421727aab0e" unitRef="_GBC_7d8c93066ac541859a45d371953d3cdc" addr="T0R2C1S1_1" formatStyle="Comma" appId="_GBC_80907e3e53c44260b850f42646eb3d63"/>
      <m:item xlName="_GBC_8b2b67410a43452f9a271ac11af38f7b" concept="clcid-pte:QiTaLiuDongFuZhaiYingFuTuiHuoKuan" label="其他流动负债-应付退货款" periodRef="本期期初数" mulRef="_GBC_6d31349460124941a4929421727aab0e" unitRef="_GBC_7d8c93066ac541859a45d371953d3cdc" addr="T0R2C2S1_1" formatStyle="Comma" appId="_GBC_80907e3e53c44260b850f42646eb3d63"/>
      <m:tuple xlName="_GBC_6ad57a8cdfbd4161b9e29fe9e473fce8" concept="clcid-pte:QiTaLiuDongFuZhaiMingXi" default_row="2" addr="T0R3C">
        <m:item xlName="_GBC_352c778f39354fc0bc4a3a91aa4eae74" concept="clcid-pte:QiTaLiuDongFuZhaiMingXiXiangMu" label="其他流动负债明细-项目" addr="T0R3C0S1_1" appId="_GBC_80907e3e53c44260b850f42646eb3d63"/>
        <m:item xlName="_GBC_72cc47e7eb4e4ea6ab273538443052f5" concept="clcid-pte:QiTaLiuDongFuZhaiMingXiZhangMianYuE" label="其他流动负债明细-账面余额" mulRef="_GBC_6d31349460124941a4929421727aab0e" unitRef="_GBC_7d8c93066ac541859a45d371953d3cdc" addr="T0R3C1S1_1" formatStyle="Comma" appId="_GBC_80907e3e53c44260b850f42646eb3d63"/>
        <m:item xlName="_GBC_57be80f91b9b44af8eb6994ce0c68f5c" concept="clcid-pte:QiTaLiuDongFuZhaiMingXiZhangMianYuE" label="其他流动负债明细-账面余额" periodRef="本期期初数" mulRef="_GBC_6d31349460124941a4929421727aab0e" unitRef="_GBC_7d8c93066ac541859a45d371953d3cdc" addr="T0R3C2S1_1" formatStyle="Comma" appId="_GBC_80907e3e53c44260b850f42646eb3d63"/>
      </m:tuple>
      <m:placeholder xlName="_PLD_3835b041db764a298b09897ff76b9cf1" addr="T0R5C0S1_1"/>
      <m:item xlName="_GBC_fb283a276dc14cf8818db5e0cbc75ffc" concept="clcid-pte:QiTaLiuDongFuZhai" label="其他流动负债" mulRef="_GBC_6d31349460124941a4929421727aab0e" unitRef="_GBC_7d8c93066ac541859a45d371953d3cdc" addr="T0R5C1S1_1" formatStyle="Comma" appId="_GBC_80907e3e53c44260b850f42646eb3d63">
        <m:complexRule comparator="Eq" title="其他流动负债" test="$_GBC_2429d1b9c4ac48fd82fba4deb51a2d3c+$_GBC_0d967adb92294e618ccc732e03a38291+$_GBC_72cc47e7eb4e4ea6ab273538443052f5" id="Ca402576f1d5a4426a37287cfe4847092"/>
      </m:item>
      <m:item xlName="_GBC_6a6f0ad4754f4bfe87e56d18e8997c34" concept="clcid-pte:QiTaLiuDongFuZhai" label="其他流动负债" periodRef="本期期初数" mulRef="_GBC_6d31349460124941a4929421727aab0e" unitRef="_GBC_7d8c93066ac541859a45d371953d3cdc" addr="T0R5C2S1_1" formatStyle="Comma" appId="_GBC_80907e3e53c44260b850f42646eb3d63">
        <m:complexRule comparator="Eq" title="其他流动负债@本期期初数" test="$_GBC_fd70aba6092d4880b79a3affdf6a543b+$_GBC_8b2b67410a43452f9a271ac11af38f7b+$_GBC_57be80f91b9b44af8eb6994ce0c68f5c" id="C20a024211bb848d998c0d452556f6749"/>
      </m:item>
    </m:section>
    <m:section xlName="_GBC_4577b030bbab4faa991328e6acd5a589" title="短期应付债券的增减变动" convertSummaryRule="NoConvert" helpId="112001093">
      <m:item xlName="_GBC_82d0c6ce58744d20918b6a0221dbac6b" concept="clcid-ci-ar:ShiFouShiYongDuanQiYingFuZhaiQuanDeZengJianBianDong" label="是否适用：短期应付债券的增减变动" selectOptions="_buildInAppliance" controlType="CustomCheckbox" cRanges="{&quot;StartName&quot;:&quot;_GBC_82d0c6ce58744d20918b6a0221dbac6b&quot;,&quot;EndName&quot;:&quot;_GBC_194ce6f9bbd4443390f3c55b0cee1f47&quot;,&quot;CType&quot;:1,&quot;DisplayText&quot;:null}"/>
      <m:item xlName="_GBC_77aaa92de5de4505bd6b482014e7cf6b" concept="clcid-ci-ar:DanWeiCaiWuFuZhuDuanQiYingFuZhaiQuanDeZengJianBianDong" label="单位：财务附注：短期应付债券的增减变动" selectOptions="_buildInScales" controlType="Combobox" cellType="Scale" appId="_GBC_82d0c6ce58744d20918b6a0221dbac6b"/>
      <m:item xlName="_GBC_be6c70f7ccdc4344bdde801a6b0bb3a6" concept="clcid-ci-ar:BiZhongCaiWuFuZhuDuanQiYingFuZhaiQuanDeZengJianBianDong" label="币种：财务附注：短期应付债券的增减变动" selectOptions="_buildInISO4217" controlType="Combobox" cellType="Measure" appId="_GBC_82d0c6ce58744d20918b6a0221dbac6b"/>
      <m:placeholder xlName="_PLD_16817769f19f45ac9c46df788b579d1c" addr="T0R0C0S1_1"/>
      <m:placeholder xlName="_PLD_b64770d90b334eb1a037fdb31a538d36" addr="T0R0C1S1_1"/>
      <m:placeholder xlName="_PLD_d384f007cfed4552826071d001810b87" addr="T0R0C2S1_1"/>
      <m:placeholder xlName="_PLD_02b0b0cda7b14d5eb4d5c37c17fb4d3b" addr="T0R0C3S1_1"/>
      <m:placeholder xlName="_PLD_a8b9f211416c4764859b1ecbb67d7338" addr="T0R0C4S1_1"/>
      <m:placeholder xlName="_PLD_a0e12e62a0ce4b78b139e5d1ffd5611e" addr="T0R0C5S1_1"/>
      <m:placeholder xlName="_PLD_0d7f8012461b4f7388cc653ce721a2af" addr="T0R0C6S1_1"/>
      <m:placeholder xlName="_PLD_4203a9a167d241c193135a89949e50d1" addr="T0R0C7S1_1"/>
      <m:placeholder xlName="_PLD_32e9f8bb93f84ec79eaaee43454a1694" addr="T0R0C8S1_1"/>
      <m:placeholder xlName="_PLD_7e3967d502ee43a8a740aec0c4372b76" addr="T0R0C9S1_1"/>
      <m:placeholder xlName="_PLD_bbd9c2a0e44642eda11733198d3795d9" addr="T0R0C10S1_1"/>
      <m:tuple xlName="_GBC_550226a5f8464e86bf34017674f48f7f" concept="clcid-pte:DuanQiYingFuZhaiQuanDeZengJianBianDongMingXi" default_row="2" addr="T0R1C">
        <m:item xlName="_GBC_a2be1ed554934448970665ac619bcc56" concept="clcid-pte:DuanQiYingFuZhaiQuanDeZengJianBianDongMingXiZhaiQuanMingCheng" label="短期应付债券的增减变动明细-债券名称" addr="T0R1C0S1_1" appId="_GBC_82d0c6ce58744d20918b6a0221dbac6b"/>
        <m:item xlName="_GBC_5b868d55f81c4820800e32202c0ff981" concept="clcid-pte:DuanQiYingFuZhaiQuanDeZengJianBianDongMingXiMianZhi" label="短期应付债券的增减变动明细-面值" mulRef="_GBC_77aaa92de5de4505bd6b482014e7cf6b" unitRef="_GBC_be6c70f7ccdc4344bdde801a6b0bb3a6" addr="T0R1C1S1_1" formatStyle="Comma" appId="_GBC_82d0c6ce58744d20918b6a0221dbac6b">
          <m:simpleRule dataType="Decimal" comparator="Eq" minValue="100" level="Warn"/>
        </m:item>
        <m:item xlName="_GBC_60795b0bf6f4435e8aa876b26fa2de8d" concept="clcid-pte:DuanQiYingFuZhaiQuanDeZengJianBianDongMingXiFaXingRiQi" label="短期应付债券的增减变动明细-发行日期" addr="T0R1C2S1_1" appId="_GBC_82d0c6ce58744d20918b6a0221dbac6b" keyAction="38"/>
        <m:item xlName="_GBC_ae16bf59f337488791d4c1b61672590d" concept="clcid-pte:DuanQiYingFuZhaiQuanDeZengJianBianDongMingXiZhaiQuanQiXian" label="短期应付债券的增减变动明细-债券期限" addr="T0R1C3S1_1" appId="_GBC_82d0c6ce58744d20918b6a0221dbac6b"/>
        <m:item xlName="_GBC_e9a9fc01b2cc4235b729f84d7357e667" concept="clcid-pte:DuanQiYingFuZhaiQuanDeZengJianBianDongMingXiFaXingJinE" label="短期应付债券的增减变动明细-发行金额" mulRef="_GBC_77aaa92de5de4505bd6b482014e7cf6b" unitRef="_GBC_be6c70f7ccdc4344bdde801a6b0bb3a6" addr="T0R1C4S1_1" formatStyle="Comma" appId="_GBC_82d0c6ce58744d20918b6a0221dbac6b"/>
        <m:item xlName="_GBC_92895ad384ac47d79560e9da4b330f83" concept="clcid-pte:DuanQiYingFuZhaiQuanDeZengJianBianDongMingXiYuE" label="短期应付债券的增减变动明细-余额" periodRef="本期期初数" mulRef="_GBC_77aaa92de5de4505bd6b482014e7cf6b" unitRef="_GBC_be6c70f7ccdc4344bdde801a6b0bb3a6" addr="T0R1C5S1_1" formatStyle="Comma" appId="_GBC_82d0c6ce58744d20918b6a0221dbac6b"/>
        <m:item xlName="_GBC_10c59e55a45c4be6bb7efe28f07dc003" concept="clcid-pte:DuanQiYingFuZhaiQuanDeZengJianBianDongMingXiBenQiFaXing" label="短期应付债券的增减变动明细-本期发行" mulRef="_GBC_77aaa92de5de4505bd6b482014e7cf6b" unitRef="_GBC_be6c70f7ccdc4344bdde801a6b0bb3a6" addr="T0R1C6S1_1" formatStyle="Comma" appId="_GBC_82d0c6ce58744d20918b6a0221dbac6b"/>
        <m:item xlName="_GBC_eb580b5cae43437c99c109af617af3e0" concept="clcid-pte:DuanQiYingFuZhaiQuanDeZengJianBianDongMingXiAnMianZhiJiTiLiXi" label="短期应付债券的增减变动明细-按面值计提利息" mulRef="_GBC_77aaa92de5de4505bd6b482014e7cf6b" unitRef="_GBC_be6c70f7ccdc4344bdde801a6b0bb3a6" addr="T0R1C7S1_1" formatStyle="Comma" appId="_GBC_82d0c6ce58744d20918b6a0221dbac6b"/>
        <m:item xlName="_GBC_ea5b14250b3c43e786237388ea142be6" concept="clcid-pte:DuanQiYingFuZhaiQuanDeZengJianBianDongMingXiYiZheJiaTanXiao" label="短期应付债券的增减变动明细-溢折价摊销" mulRef="_GBC_77aaa92de5de4505bd6b482014e7cf6b" unitRef="_GBC_be6c70f7ccdc4344bdde801a6b0bb3a6" addr="T0R1C8S1_1" formatStyle="Comma" appId="_GBC_82d0c6ce58744d20918b6a0221dbac6b"/>
        <m:item xlName="_GBC_d64b41b498f34ab4b01fef843f58c854" concept="clcid-pte:DuanQiYingFuZhaiQuanDeZengJianBianDongMingXiBenQiChangHuan" label="短期应付债券的增减变动明细-本期偿还" mulRef="_GBC_77aaa92de5de4505bd6b482014e7cf6b" unitRef="_GBC_be6c70f7ccdc4344bdde801a6b0bb3a6" addr="T0R1C9S1_1" formatStyle="Comma" appId="_GBC_82d0c6ce58744d20918b6a0221dbac6b"/>
        <m:item xlName="_GBC_387350810a7b4e4c978a35c7e6bbd09f" concept="clcid-pte:DuanQiYingFuZhaiQuanDeZengJianBianDongMingXiYuE" label="短期应付债券的增减变动明细-余额" mulRef="_GBC_77aaa92de5de4505bd6b482014e7cf6b" unitRef="_GBC_be6c70f7ccdc4344bdde801a6b0bb3a6" addr="T0R1C10S1_1" formatStyle="Comma" appId="_GBC_82d0c6ce58744d20918b6a0221dbac6b"/>
      </m:tuple>
      <m:placeholder xlName="_PLD_15782e589e5649d192db034a7f0f7a7f" addr="T0R3C0S1_1"/>
      <m:item xlName="_GBC_ad9b1758bc6a40fc982216a25cd38a34" concept="clcid-pte:DuanQiYingFuZhaiQuanDeZengJianBianDongFaXingJinEHeJi" label="短期应付债券的增减变动-发行金额合计" mulRef="_GBC_77aaa92de5de4505bd6b482014e7cf6b" unitRef="_GBC_be6c70f7ccdc4344bdde801a6b0bb3a6" addr="T0R3C4S1_1" formatStyle="Comma" appId="_GBC_82d0c6ce58744d20918b6a0221dbac6b">
        <m:complexRule comparator="Eq" title="短期应付债券的增减变动-发行金额合计" test=" $_GBC_e9a9fc01b2cc4235b729f84d7357e667" id="C0f7fb700050a457983ce6ab5aa99f982"/>
      </m:item>
      <m:item xlName="_GBC_e222b1dc156741ca99a4de31de328fbe" concept="clcid-pte:DuanQiYingFuZhaiQuanDeZengJianBianDongYuEHeJi" label="短期应付债券的增减变动-余额合计" periodRef="本期期初数" mulRef="_GBC_77aaa92de5de4505bd6b482014e7cf6b" unitRef="_GBC_be6c70f7ccdc4344bdde801a6b0bb3a6" addr="T0R3C5S1_1" formatStyle="Comma" appId="_GBC_82d0c6ce58744d20918b6a0221dbac6b">
        <m:complexRule comparator="Eq" title="短期应付债券的增减变动-余额合计@本期期初数" test=" $_GBC_92895ad384ac47d79560e9da4b330f83" id="C233d3b21d8d04044bf5a8ca23b14948c"/>
      </m:item>
      <m:item xlName="_GBC_a7de46fe58064425962cdc4c776f5abb" concept="clcid-pte:DuanQiYingFuZhaiQuanDeZengJianBianDongBenQiFaXingHeJi" label="短期应付债券的增减变动-本期发行合计" mulRef="_GBC_77aaa92de5de4505bd6b482014e7cf6b" unitRef="_GBC_be6c70f7ccdc4344bdde801a6b0bb3a6" addr="T0R3C6S1_1" formatStyle="Comma" appId="_GBC_82d0c6ce58744d20918b6a0221dbac6b">
        <m:complexRule comparator="Eq" title="短期应付债券的增减变动-本期发行合计" test=" $_GBC_10c59e55a45c4be6bb7efe28f07dc003" id="C29f3a43bf02c4730af0cd55ef54694a9"/>
      </m:item>
      <m:item xlName="_GBC_8b614d3aa2a44a21b32f6bb941787c1a" concept="clcid-pte:DuanQiYingFuZhaiQuanDeZengJianBianDongAnMianZhiJiTiLiXiHeJi" label="短期应付债券的增减变动-按面值计提利息合计" mulRef="_GBC_77aaa92de5de4505bd6b482014e7cf6b" unitRef="_GBC_be6c70f7ccdc4344bdde801a6b0bb3a6" addr="T0R3C7S1_1" formatStyle="Comma" appId="_GBC_82d0c6ce58744d20918b6a0221dbac6b">
        <m:complexRule comparator="Eq" title="短期应付债券的增减变动-按面值计提利息合计" test=" $_GBC_eb580b5cae43437c99c109af617af3e0" id="Ce22fac5077a24e5e8930698c2d42c865"/>
      </m:item>
      <m:item xlName="_GBC_cf3fbb3a7ca24c529a708b1c810152d5" concept="clcid-pte:DuanQiYingFuZhaiQuanDeZengJianBianDongYiZheJiaTanXiaoHeJi" label="短期应付债券的增减变动-溢折价摊销合计" mulRef="_GBC_77aaa92de5de4505bd6b482014e7cf6b" unitRef="_GBC_be6c70f7ccdc4344bdde801a6b0bb3a6" addr="T0R3C8S1_1" formatStyle="Comma" appId="_GBC_82d0c6ce58744d20918b6a0221dbac6b">
        <m:complexRule comparator="Eq" title="短期应付债券的增减变动-溢折价摊销合计" test=" $_GBC_ea5b14250b3c43e786237388ea142be6" id="C60afaad29d2d4706b42cae49b7ed0aaa"/>
      </m:item>
      <m:item xlName="_GBC_6b2a000f2c184f32a48b7f54de485740" concept="clcid-pte:DuanQiYingFuZhaiQuanDeZengJianBianDongBenQiChangHuanHeJi" label="短期应付债券的增减变动-本期偿还合计" mulRef="_GBC_77aaa92de5de4505bd6b482014e7cf6b" unitRef="_GBC_be6c70f7ccdc4344bdde801a6b0bb3a6" addr="T0R3C9S1_1" formatStyle="Comma" appId="_GBC_82d0c6ce58744d20918b6a0221dbac6b">
        <m:complexRule comparator="Eq" title="短期应付债券的增减变动-本期偿还合计" test=" $_GBC_d64b41b498f34ab4b01fef843f58c854" id="C95667aac28224b39a2cdf85b7a2b6769"/>
      </m:item>
      <m:item xlName="_GBC_194ce6f9bbd4443390f3c55b0cee1f47" concept="clcid-pte:DuanQiYingFuZhaiQuanDeZengJianBianDongYuEHeJi" label="短期应付债券的增减变动-余额合计" mulRef="_GBC_77aaa92de5de4505bd6b482014e7cf6b" unitRef="_GBC_be6c70f7ccdc4344bdde801a6b0bb3a6" addr="T0R3C10S1_1" formatStyle="Comma" appId="_GBC_82d0c6ce58744d20918b6a0221dbac6b">
        <m:complexRule comparator="Eq" title="短期应付债券的增减变动-余额合计" test=" $_GBC_387350810a7b4e4c978a35c7e6bbd09f" id="C3cc1f2cac29c4c68afe55742e12ca532"/>
      </m:item>
    </m:section>
    <m:section xlName="_GBC_b1cb6faf7bad41e4868a075c1a423566" title="其他流动负债说明" helpId="112001093">
      <m:item xlName="_GBC_6ebc9e220fb04ea584ed56f756d92d59" concept="clcid-ci-ar:ShiFouShiYongQiTaLiuDongFuZhaiShuoMing" label="是否适用：其他流动负债说明" selectOptions="_buildInAppliance" controlType="CustomCheckbox" cRanges="{&quot;StartName&quot;:&quot;_GBC_6ebc9e220fb04ea584ed56f756d92d59&quot;,&quot;EndName&quot;:&quot;_GBC_3cd232d71e3848fca1973467931a1cbd&quot;,&quot;CType&quot;:1,&quot;DisplayText&quot;:null}"/>
      <m:item xlName="_GBC_3cd232d71e3848fca1973467931a1cbd" concept="clcid-pte:QiTaLiuDongFuZhaiShuoMing" label="其他流动负债说明" appId="_GBC_6ebc9e220fb04ea584ed56f756d92d59"/>
    </m:section>
    <m:section xlName="_GBC_8b6acb9acc4745f09cf8ff1a98787eb9" title="长期借款分类 " convertSummaryRule="NoConvert" helpId="112001094">
      <m:item xlName="_GBC_6ef43a5268e7491db189883a31952469" concept="clcid-ci-ar:ShiFouShiYongChangQiJieKuanFenLei" label="是否适用：长期借款分类" selectOptions="_buildInAppliance" controlType="CustomCheckbox" cRanges="{&quot;StartName&quot;:&quot;_GBC_6ef43a5268e7491db189883a31952469&quot;,&quot;EndName&quot;:&quot;_GBC_c93626a5eade42f48eca926da85f3afb&quot;,&quot;CType&quot;:1,&quot;DisplayText&quot;:null}"/>
      <m:item xlName="_GBC_146f044f7fd14a45bf9247f0af389a14" concept="clcid-ci-ar:DanWeiCaiWuFuZhuChangQiJieKuanFenLei" label="单位：财务附注：长期借款分类" selectOptions="_buildInScales" controlType="Combobox" cellType="Scale" appId="_GBC_6ef43a5268e7491db189883a31952469"/>
      <m:item xlName="_GBC_7570ad6f1fd04c3d939be649ce4cfc30" concept="clcid-ci-ar:BiZhongCaiWuFuZhuChangQiJieKuanFenLei" label="币种：财务附注：长期借款分类" selectOptions="_buildInISO4217" controlType="Combobox" cellType="Measure" appId="_GBC_6ef43a5268e7491db189883a31952469"/>
      <m:placeholder xlName="_PLD_3ee60507a6384334b819485e73faa1f4" addr="T0R0C0S1_1"/>
      <m:placeholder xlName="_PLD_d2a4fabfb296457384b1523a60233642" addr="T0R0C1S1_1"/>
      <m:placeholder xlName="_PLD_aab598d4b37f4953a2ee9b7475cb43e6" addr="T0R0C2S1_1"/>
      <m:placeholder xlName="_PLD_e89d9c6de3ff4da98f7949a63d0f927d" addr="T0R1C0S1_1"/>
      <m:item xlName="_GBC_a43fb0b4d73b455eb43fc38efd972c21" concept="clcid-pte:ChangQiJieKuanZhongDeZhiYaJieKuan" label="长期借款中的质押借款" mulRef="_GBC_146f044f7fd14a45bf9247f0af389a14" unitRef="_GBC_7570ad6f1fd04c3d939be649ce4cfc30" addr="T0R1C1S1_1" formatStyle="Comma" appId="_GBC_6ef43a5268e7491db189883a31952469"/>
      <m:item xlName="_GBC_3763069c5a8547c9b598592a13e932dc" concept="clcid-pte:ChangQiJieKuanZhongDeZhiYaJieKuan" label="长期借款中的质押借款" periodRef="本期期初数" mulRef="_GBC_146f044f7fd14a45bf9247f0af389a14" unitRef="_GBC_7570ad6f1fd04c3d939be649ce4cfc30" addr="T0R1C2S1_1" formatStyle="Comma" appId="_GBC_6ef43a5268e7491db189883a31952469"/>
      <m:placeholder xlName="_PLD_0b1001d1355e4c59a134f674ebe8204e" addr="T0R2C0S1_1"/>
      <m:item xlName="_GBC_ee285e6751c94cbca847a1743c1b2633" concept="clcid-pte:ChangQiJieKuanZhongDeDiYaJieKuan" label="长期借款中的抵押借款" mulRef="_GBC_146f044f7fd14a45bf9247f0af389a14" unitRef="_GBC_7570ad6f1fd04c3d939be649ce4cfc30" addr="T0R2C1S1_1" formatStyle="Comma" appId="_GBC_6ef43a5268e7491db189883a31952469"/>
      <m:item xlName="_GBC_7aceaaf427ae40b19c09b5380c411db8" concept="clcid-pte:ChangQiJieKuanZhongDeDiYaJieKuan" label="长期借款中的抵押借款" periodRef="本期期初数" mulRef="_GBC_146f044f7fd14a45bf9247f0af389a14" unitRef="_GBC_7570ad6f1fd04c3d939be649ce4cfc30" addr="T0R2C2S1_1" formatStyle="Comma" appId="_GBC_6ef43a5268e7491db189883a31952469"/>
      <m:placeholder xlName="_PLD_669e61b5dd004cb5a74065b7b27bba92" addr="T0R3C0S1_1"/>
      <m:item xlName="_GBC_e46ecfda9d0c47cd818c2eaf258d7607" concept="clcid-pte:ChangQiJieKuanZhongDeDanBaoJieKuan" label="长期借款中的担保借款" mulRef="_GBC_146f044f7fd14a45bf9247f0af389a14" unitRef="_GBC_7570ad6f1fd04c3d939be649ce4cfc30" addr="T0R3C1S1_1" formatStyle="Comma" appId="_GBC_6ef43a5268e7491db189883a31952469"/>
      <m:item xlName="_GBC_f7cfaba146b34178a09ba44911c4b5b0" concept="clcid-pte:ChangQiJieKuanZhongDeDanBaoJieKuan" label="长期借款中的担保借款" periodRef="本期期初数" mulRef="_GBC_146f044f7fd14a45bf9247f0af389a14" unitRef="_GBC_7570ad6f1fd04c3d939be649ce4cfc30" addr="T0R3C2S1_1" formatStyle="Comma" appId="_GBC_6ef43a5268e7491db189883a31952469"/>
      <m:placeholder xlName="_PLD_2312ba41d50b4809827a433abcf13e0a" addr="T0R4C0S1_1"/>
      <m:item xlName="_GBC_99fa2cbfb6c14b5287c5fb89d09b68a8" concept="clcid-pte:ChangQiJieKuanZhongDeXinYongJieKuan" label="长期借款中的信用借款" mulRef="_GBC_146f044f7fd14a45bf9247f0af389a14" unitRef="_GBC_7570ad6f1fd04c3d939be649ce4cfc30" addr="T0R4C1S1_1" formatStyle="Comma" appId="_GBC_6ef43a5268e7491db189883a31952469"/>
      <m:item xlName="_GBC_7a25ed18e646409daaf6c299985a4b36" concept="clcid-pte:ChangQiJieKuanZhongDeXinYongJieKuan" label="长期借款中的信用借款" periodRef="本期期初数" mulRef="_GBC_146f044f7fd14a45bf9247f0af389a14" unitRef="_GBC_7570ad6f1fd04c3d939be649ce4cfc30" addr="T0R4C2S1_1" formatStyle="Comma" appId="_GBC_6ef43a5268e7491db189883a31952469"/>
      <m:tuple xlName="_GBC_85f6347d2f774278af8459ee853b41e0" concept="clcid-pte:QiTaChangQiJieKuan" default_row="2" addr="T0R5C">
        <m:item xlName="_GBC_767e4bf95ace42a9916b0b7007910616" concept="clcid-pte:QiTaChangQiJieKuanXiangMu" label="其他长期借款项目" addr="T0R5C0S1_1" appId="_GBC_6ef43a5268e7491db189883a31952469"/>
        <m:item xlName="_GBC_09dd58ef20d543199cafdc69a8e94263" concept="clcid-pte:QiTaChangQiJieKuanXiangMuJinE" label="其他长期借款项目金额" mulRef="_GBC_146f044f7fd14a45bf9247f0af389a14" unitRef="_GBC_7570ad6f1fd04c3d939be649ce4cfc30" addr="T0R5C1S1_1" formatStyle="Comma" appId="_GBC_6ef43a5268e7491db189883a31952469"/>
        <m:item xlName="_GBC_11ddd8770bfb427d80f2c196e4d83d30" concept="clcid-pte:QiTaChangQiJieKuanXiangMuJinE" label="其他长期借款项目金额" periodRef="本期期初数" mulRef="_GBC_146f044f7fd14a45bf9247f0af389a14" unitRef="_GBC_7570ad6f1fd04c3d939be649ce4cfc30" addr="T0R5C2S1_1" formatStyle="Comma" appId="_GBC_6ef43a5268e7491db189883a31952469"/>
      </m:tuple>
      <m:placeholder xlName="_PLD_f7e631a83103405986891624f37b155a" addr="T0R7C0S1_1"/>
      <m:item xlName="_GBC_6e43c5f69f874fc58773222686a59941" concept="clcid-pte:ChangQiJieKuan" label="长期借款" mulRef="_GBC_146f044f7fd14a45bf9247f0af389a14" unitRef="_GBC_7570ad6f1fd04c3d939be649ce4cfc30" addr="T0R7C1S1_1" formatStyle="Comma" appId="_GBC_6ef43a5268e7491db189883a31952469">
        <m:complexRule comparator="Eq" title="长期借款" test=" $_GBC_a43fb0b4d73b455eb43fc38efd972c21 +  $_GBC_ee285e6751c94cbca847a1743c1b2633 +  $_GBC_e46ecfda9d0c47cd818c2eaf258d7607 +  $_GBC_99fa2cbfb6c14b5287c5fb89d09b68a8 +  $_GBC_09dd58ef20d543199cafdc69a8e94263" id="C1c9de1a2b4f643e2970783555ffee2c8" serialType="1"/>
      </m:item>
      <m:item xlName="_GBC_43350650305f416580a80b9aac14e006" concept="clcid-pte:ChangQiJieKuan" label="长期借款" periodRef="本期期初数" mulRef="_GBC_146f044f7fd14a45bf9247f0af389a14" unitRef="_GBC_7570ad6f1fd04c3d939be649ce4cfc30" addr="T0R7C2S1_1" formatStyle="Comma" appId="_GBC_6ef43a5268e7491db189883a31952469">
        <m:complexRule comparator="Eq" title="长期借款@本期期初数" test=" $_GBC_3763069c5a8547c9b598592a13e932dc +  $_GBC_7aceaaf427ae40b19c09b5380c411db8 +  $_GBC_f7cfaba146b34178a09ba44911c4b5b0 +  $_GBC_7a25ed18e646409daaf6c299985a4b36 +  $_GBC_11ddd8770bfb427d80f2c196e4d83d30" id="C8f3c4c74fabb45589c747e2c88f260fb" serialType="1"/>
      </m:item>
      <m:item xlName="_GBC_c93626a5eade42f48eca926da85f3afb" concept="clcid-pte:ChangQiJieKuanFenLeiDeShuoMing" label="长期借款分类的说明" appId="_GBC_6ef43a5268e7491db189883a31952469"/>
    </m:section>
    <m:section xlName="_GBC_7195bfed3c6d4a6fb2b17f01aa73f311" title="长期借款的说明" helpId="112001094">
      <m:item xlName="_GBC_1dc67be6516c4de3956a80023674c75a" concept="clcid-ci-ar:ShiFouShiYongChangQiJieKuanDeShuoMing" label="是否适用：长期借款的说明" selectOptions="_buildInAppliance" controlType="CustomCheckbox" cRanges="{&quot;StartName&quot;:&quot;_GBC_1dc67be6516c4de3956a80023674c75a&quot;,&quot;EndName&quot;:&quot;_GBC_05c1a5b23bdb44ee812f7f625a395fd0&quot;,&quot;CType&quot;:1,&quot;DisplayText&quot;:null}"/>
      <m:item xlName="_GBC_05c1a5b23bdb44ee812f7f625a395fd0" concept="clcid-pte:ChangQiJieKuanDeShuoMing" label="长期借款的说明" appId="_GBC_1dc67be6516c4de3956a80023674c75a"/>
    </m:section>
    <m:section xlName="_GBC_cd8e29427b9b4eecb46188c744528e27" title="应付债券" helpId="112001095">
      <m:item xlName="_GBC_b07c291c892844efaca56bc1d52b1566" concept="clcid-ci-ar:ShiFouShiYongYingFuZhaiQuan" label="是否适用：应付债券" selectOptions="_buildInAppliance" controlType="CustomCheckbox" cRanges="{&quot;StartName&quot;:&quot;_GBC_b07c291c892844efaca56bc1d52b1566&quot;,&quot;EndName&quot;:&quot;_GBC_ae984f8f86a449a1897a70a541efddcd&quot;,&quot;CType&quot;:1,&quot;DisplayText&quot;:null}"/>
      <m:item xlName="_GBC_5c0626b48a2b47e5b1fa30bc0936ae68" concept="clcid-ci-ar:DanWeiCaiWuFuZhuYingFuZhaiQuan" label="单位：财务附注：应付债券" selectOptions="_buildInScales" controlType="Combobox" cellType="Scale" appId="_GBC_b07c291c892844efaca56bc1d52b1566"/>
      <m:item xlName="_GBC_5dd240124fc44a14b0361901a2a8b897" concept="clcid-ci-ar:BiZhongCaiWuFuZhuYingFuZhaiQuan" label="币种：财务附注：应付债券" selectOptions="_buildInISO4217" controlType="Combobox" cellType="Measure" appId="_GBC_b07c291c892844efaca56bc1d52b1566"/>
      <m:placeholder xlName="_PLD_dacb6f47868c48c4a5180256022d0c07" addr="T0R0C0S1_1"/>
      <m:placeholder xlName="_PLD_30efa3a744404b8e898a2f8f653f7f19" addr="T0R0C1S1_1"/>
      <m:placeholder xlName="_PLD_faff9d38659a4878bf966d1b9dd493b9" addr="T0R0C2S1_1"/>
      <m:tuple xlName="_GBC_ce87ca4ab7a54773927187961fdc2d7d" concept="clcid-pte:YingFuZhaiQuanQingKuangMingXi" default_row="2" addr="T0R1C">
        <m:item xlName="_GBC_3640f317dfd74d469eb460dd218d9424" concept="clcid-pte:YingFuZhaiQuanQingKuangMingXiXiangMuMingCheng" label="应付债券情况明细-项目名称" addr="T0R1C0S1_1" appId="_GBC_b07c291c892844efaca56bc1d52b1566"/>
        <m:item xlName="_GBC_8e3ef9271017457fbbf4f2cf840b3f38" concept="clcid-pte:YingFuZhaiQuanQingKuangMingXiJinE" label="应付债券情况明细-金额" mulRef="_GBC_5c0626b48a2b47e5b1fa30bc0936ae68" unitRef="_GBC_5dd240124fc44a14b0361901a2a8b897" addr="T0R1C1S1_1" formatStyle="Comma" appId="_GBC_b07c291c892844efaca56bc1d52b1566"/>
        <m:item xlName="_GBC_20e6891ccd2e4a12a50eef0b0a2ee781" concept="clcid-pte:YingFuZhaiQuanQingKuangMingXiJinE" label="应付债券情况明细-金额" periodRef="本期期初数" mulRef="_GBC_5c0626b48a2b47e5b1fa30bc0936ae68" unitRef="_GBC_5dd240124fc44a14b0361901a2a8b897" addr="T0R1C2S1_1" formatStyle="Comma" appId="_GBC_b07c291c892844efaca56bc1d52b1566"/>
      </m:tuple>
      <m:placeholder xlName="_PLD_4bc5d2895572448eb50b2ba82f0a9f34" addr="T0R3C0S1_1"/>
      <m:item xlName="_GBC_9904962a86214036a33e2db0a976248c" concept="clcid-pte:YingFuZhaiQuan" label="应付债券" mulRef="_GBC_5c0626b48a2b47e5b1fa30bc0936ae68" unitRef="_GBC_5dd240124fc44a14b0361901a2a8b897" addr="T0R3C1S1_1" formatStyle="Comma" appId="_GBC_b07c291c892844efaca56bc1d52b1566">
        <m:complexRule comparator="Eq" title="应付债券" test=" $_GBC_8e3ef9271017457fbbf4f2cf840b3f38" id="Cd1fab461d40d485083533bbdabf92d61"/>
      </m:item>
      <m:item xlName="_GBC_ae984f8f86a449a1897a70a541efddcd" concept="clcid-pte:YingFuZhaiQuan" label="应付债券" periodRef="本期期初数" mulRef="_GBC_5c0626b48a2b47e5b1fa30bc0936ae68" unitRef="_GBC_5dd240124fc44a14b0361901a2a8b897" addr="T0R3C2S1_1" formatStyle="Comma" appId="_GBC_b07c291c892844efaca56bc1d52b1566">
        <m:complexRule comparator="Eq" title="应付债券@本期期初数" test=" $_GBC_20e6891ccd2e4a12a50eef0b0a2ee781" id="C79d1a214beb2467a9561eef150076739"/>
      </m:item>
    </m:section>
    <m:section xlName="_GBC_93c3424329ce41edbb49a50ffbdbc9d7" title="应付债券的增减变动" helpId="112001095">
      <m:item xlName="_GBC_4b9b2c6cc76845b79e52a5d821e1cf5a" concept="clcid-ci-ar:ShiFouShiYongYingFuZhaiQuanDeZengJianBianDong" label="是否适用：应付债券的增减变动" selectOptions="_buildInAppliance" controlType="CustomCheckbox" cRanges="{&quot;StartName&quot;:&quot;_GBC_4b9b2c6cc76845b79e52a5d821e1cf5a&quot;,&quot;EndName&quot;:&quot;_GBC_4b3d065355d040d49b89ac574394d3c9&quot;,&quot;CType&quot;:1,&quot;DisplayText&quot;:null}"/>
      <m:item xlName="_GBC_0caebd9b9d9b4a59aaa853a387a1a299" concept="clcid-ci-ar:DanWeiCaiWuFuZhuYingFuZhaiQuanDeZengJianBianDong" label="单位：财务附注：应付债券的增减变动" selectOptions="_buildInScales" controlType="Combobox" cellType="Scale" appId="_GBC_4b9b2c6cc76845b79e52a5d821e1cf5a"/>
      <m:item xlName="_GBC_0e52a0719da945bab24d9f1419aafdbf" concept="clcid-ci-ar:BiZhongCaiWuFuZhuYingFuZhaiQuanDeZengJianBianDong" label="币种：财务附注：应付债券的增减变动" selectOptions="_buildInISO4217" controlType="Combobox" cellType="Measure" appId="_GBC_4b9b2c6cc76845b79e52a5d821e1cf5a"/>
      <m:placeholder xlName="_PLD_411683fdac8849338184241843ac8452" addr="T0R0C0S1_1"/>
      <m:placeholder xlName="_PLD_c5ae7cf1050d4b6db695378cb85e6bf6" addr="T0R0C1S1_1"/>
      <m:placeholder xlName="_PLD_b24c8421982a45ce9c2cbcbe4c427338" addr="T0R0C2S1_1"/>
      <m:placeholder xlName="_PLD_cfe1f059778e41a2a06c9174e37fc9a6" addr="T0R0C3S1_1"/>
      <m:placeholder xlName="_PLD_6de77ae8046a4df5864b434026fff480" addr="T0R0C4S1_1"/>
      <m:placeholder xlName="_PLD_15ad5334c6b949f3abd32dba93f5409a" addr="T0R0C5S1_1"/>
      <m:placeholder xlName="_PLD_070f511ab8b84b29adb30e353d60f6d7" addr="T0R0C6S1_1"/>
      <m:placeholder xlName="_PLD_9063b0ae4adc4179ab1f05fdafd1ca18" addr="T0R0C7S1_1"/>
      <m:placeholder xlName="_PLD_52f37b4f678547c2b994ed9088b195d4" addr="T0R0C8S1_1"/>
      <m:placeholder xlName="_PLD_80e06ce471504396b7d99cd1b3af5c58" addr="T0R0C9S1_1"/>
      <m:placeholder xlName="_PLD_a920c6074a20468c93bd4cd5b15289a1" addr="T0R0C10S1_1"/>
      <m:tuple xlName="_GBC_e9f1ad9ee738418d9ed393ae3a98ece9" concept="clcid-pte:YingFuZhaiQuanMingXi" default_row="2" addr="T0R1C">
        <m:item xlName="_GBC_1612fb670935479f949aae347a3c3e61" concept="clcid-pte:YingFuZhaiQuanMingCheng" label="应付债券名称" addr="T0R1C0S1_1" appId="_GBC_4b9b2c6cc76845b79e52a5d821e1cf5a"/>
        <m:item xlName="_GBC_c97431dc8c354cfea1465e946a947d57" concept="clcid-pte:YingFuZhaiQuanMianZhi" label="应付债券面值" mulRef="_GBC_0caebd9b9d9b4a59aaa853a387a1a299" unitRef="_GBC_0e52a0719da945bab24d9f1419aafdbf" addr="T0R1C1S1_1" formatStyle="Comma" appId="_GBC_4b9b2c6cc76845b79e52a5d821e1cf5a">
          <m:simpleRule dataType="Decimal" comparator="Eq" minValue="100" level="Warn"/>
        </m:item>
        <m:item xlName="_GBC_8760cbe7a44e426abbade0c72bb9c0d5" concept="clcid-pte:YingFuZhaiQuanFaXingRiQi" label="应付债券发行日期" addr="T0R1C2S1_1" appId="_GBC_4b9b2c6cc76845b79e52a5d821e1cf5a" keyAction="38"/>
        <m:item xlName="_GBC_8e57ffba7b3042d7b7dd0c1e08845e67" concept="clcid-pte:YingFuZhaiQuanFaXingQiXian" label="应付债券发行期限" addr="T0R1C3S1_1" appId="_GBC_4b9b2c6cc76845b79e52a5d821e1cf5a"/>
        <m:item xlName="_GBC_43c4dc70cb6c445f845d26b270faaf20" concept="clcid-pte:YingFuZhaiQuanFaXingJinE" label="应付债券发行金额" mulRef="_GBC_0caebd9b9d9b4a59aaa853a387a1a299" unitRef="_GBC_0e52a0719da945bab24d9f1419aafdbf" addr="T0R1C4S1_1" formatStyle="Comma" appId="_GBC_4b9b2c6cc76845b79e52a5d821e1cf5a"/>
        <m:item xlName="_GBC_04642e6eed7e4075a5ec46edf4072133" concept="clcid-pte:YingFuZhaiQuanMingXiYuE" label="应付债券明细－余额" periodRef="本期期初数" mulRef="_GBC_0caebd9b9d9b4a59aaa853a387a1a299" unitRef="_GBC_0e52a0719da945bab24d9f1419aafdbf" addr="T0R1C5S1_1" formatStyle="Comma" appId="_GBC_4b9b2c6cc76845b79e52a5d821e1cf5a"/>
        <m:item xlName="_GBC_05c5bd2a6eed4b28b90cfed22f12a84f" concept="clcid-pte:YingFuZhaiQuanBenQiFaXing" label="应付债券本期发行" mulRef="_GBC_0caebd9b9d9b4a59aaa853a387a1a299" unitRef="_GBC_0e52a0719da945bab24d9f1419aafdbf" addr="T0R1C6S1_1" formatStyle="Comma" appId="_GBC_4b9b2c6cc76845b79e52a5d821e1cf5a"/>
        <m:item xlName="_GBC_2f7f57332f934f25a52cccdad929055e" concept="clcid-pte:YingFuZhaiQuanAnMianZhiJiTiLiXi" label="应付债券按面值计提利息" mulRef="_GBC_0caebd9b9d9b4a59aaa853a387a1a299" unitRef="_GBC_0e52a0719da945bab24d9f1419aafdbf" addr="T0R1C7S1_1" formatStyle="Comma" appId="_GBC_4b9b2c6cc76845b79e52a5d821e1cf5a"/>
        <m:item xlName="_GBC_f8f3a5bac8fa42efaaacc8f93b16f0ed" concept="clcid-pte:YingFuZhaiQuanYiZheJiaTanXiao" label="应付债券溢折价摊销" mulRef="_GBC_0caebd9b9d9b4a59aaa853a387a1a299" unitRef="_GBC_0e52a0719da945bab24d9f1419aafdbf" addr="T0R1C8S1_1" formatStyle="Comma" appId="_GBC_4b9b2c6cc76845b79e52a5d821e1cf5a"/>
        <m:item xlName="_GBC_b188311a6b7a49eda304f6e3ca188e40" concept="clcid-pte:YingFuZhaiQuanBenQiChangHuan" label="应付债券本期偿还" mulRef="_GBC_0caebd9b9d9b4a59aaa853a387a1a299" unitRef="_GBC_0e52a0719da945bab24d9f1419aafdbf" addr="T0R1C9S1_1" formatStyle="Comma" appId="_GBC_4b9b2c6cc76845b79e52a5d821e1cf5a"/>
        <m:item xlName="_GBC_6e149426e77a4db389421b9fd258eddf" concept="clcid-pte:YingFuZhaiQuanMingXiYuE" label="应付债券明细－余额" mulRef="_GBC_0caebd9b9d9b4a59aaa853a387a1a299" unitRef="_GBC_0e52a0719da945bab24d9f1419aafdbf" addr="T0R1C10S1_1" formatStyle="Comma" appId="_GBC_4b9b2c6cc76845b79e52a5d821e1cf5a"/>
      </m:tuple>
      <m:placeholder xlName="_PLD_ab2a5f4526d74087b1adaa1bdfb92c75" addr="T0R3C0S1_1"/>
      <m:item xlName="_GBC_2082e35a1f8740a3ab6f88326cf91e6f" concept="clcid-pte:YingFuZhaiQuanDeZengJianBianDongFaXingJinEHeJi" label="应付债券的增减变动-发行金额合计" mulRef="_GBC_0caebd9b9d9b4a59aaa853a387a1a299" unitRef="_GBC_0e52a0719da945bab24d9f1419aafdbf" addr="T0R3C4S1_1" formatStyle="Comma" appId="_GBC_4b9b2c6cc76845b79e52a5d821e1cf5a">
        <m:complexRule comparator="Eq" title="应付债券的增减变动-发行金额合计" test=" $_GBC_43c4dc70cb6c445f845d26b270faaf20" id="C063d32dc8cc24d6b8a57dbe59a1c2eb3"/>
      </m:item>
      <m:item xlName="_GBC_f2c61598a3534a9a904ed94e7382d8d5" concept="clcid-pte:YingFuZhaiQuanDeZengJianBianDongYuEHeJi" label="应付债券的增减变动-余额合计" periodRef="本期期初数" mulRef="_GBC_0caebd9b9d9b4a59aaa853a387a1a299" unitRef="_GBC_0e52a0719da945bab24d9f1419aafdbf" addr="T0R3C5S1_1" formatStyle="Comma" appId="_GBC_4b9b2c6cc76845b79e52a5d821e1cf5a">
        <m:complexRule comparator="Eq" title="应付债券的增减变动-余额合计@本期期初数" test=" $_GBC_04642e6eed7e4075a5ec46edf4072133" id="C2dcbd8c3fc5e4b0788d40470d1f8dd4e"/>
      </m:item>
      <m:item xlName="_GBC_923ab0ac8e7a47019469fc19fc5a719c" concept="clcid-pte:YingFuZhaiQuanDeZengJianBianDongBenQiFaXingHeJi" label="应付债券的增减变动-本期发行合计" mulRef="_GBC_0caebd9b9d9b4a59aaa853a387a1a299" unitRef="_GBC_0e52a0719da945bab24d9f1419aafdbf" addr="T0R3C6S1_1" formatStyle="Comma" appId="_GBC_4b9b2c6cc76845b79e52a5d821e1cf5a">
        <m:complexRule comparator="Eq" title="应付债券的增减变动-本期发行合计" test=" $_GBC_05c5bd2a6eed4b28b90cfed22f12a84f" id="C484961f73de947e1b24bd9cc9e1d36e9"/>
      </m:item>
      <m:item xlName="_GBC_44712f5e8c1044319a565b7a80365495" concept="clcid-pte:YingFuZhaiQuanDeZengJianBianDongAnMianZhiJiTiLiXiHeJi" label="应付债券的增减变动-按面值计提利息合计" mulRef="_GBC_0caebd9b9d9b4a59aaa853a387a1a299" unitRef="_GBC_0e52a0719da945bab24d9f1419aafdbf" addr="T0R3C7S1_1" formatStyle="Comma" appId="_GBC_4b9b2c6cc76845b79e52a5d821e1cf5a">
        <m:complexRule comparator="Eq" title="应付债券的增减变动-按面值计提利息合计" test=" $_GBC_2f7f57332f934f25a52cccdad929055e" id="Cebc5f11e933b44678919d80584ab4435"/>
      </m:item>
      <m:item xlName="_GBC_634437b661d1406dadc3f7be8597ffd3" concept="clcid-pte:YingFuZhaiQuanDeZengJianBianDongYiZheJiaTanXiaoHeJi" label="应付债券的增减变动-溢折价摊销合计" mulRef="_GBC_0caebd9b9d9b4a59aaa853a387a1a299" unitRef="_GBC_0e52a0719da945bab24d9f1419aafdbf" addr="T0R3C8S1_1" formatStyle="Comma" appId="_GBC_4b9b2c6cc76845b79e52a5d821e1cf5a">
        <m:complexRule comparator="Eq" title="应付债券的增减变动-溢折价摊销合计" test=" $_GBC_f8f3a5bac8fa42efaaacc8f93b16f0ed" id="C84c55b49be6a4614a3ff3ae729500215"/>
      </m:item>
      <m:item xlName="_GBC_4ae5aa4fb6cb4768b08d7d525b9ce6d5" concept="clcid-pte:YingFuZhaiQuanDeZengJianBianDongBenQiChangHuanHeJi" label="应付债券的增减变动-本期偿还合计" mulRef="_GBC_0caebd9b9d9b4a59aaa853a387a1a299" unitRef="_GBC_0e52a0719da945bab24d9f1419aafdbf" addr="T0R3C9S1_1" formatStyle="Comma" appId="_GBC_4b9b2c6cc76845b79e52a5d821e1cf5a">
        <m:complexRule comparator="Eq" title="应付债券的增减变动-本期偿还合计" test=" $_GBC_b188311a6b7a49eda304f6e3ca188e40" id="C8fe3136165ce425fb46ddcf2163ed411"/>
      </m:item>
      <m:item xlName="_GBC_4b3d065355d040d49b89ac574394d3c9" concept="clcid-pte:YingFuZhaiQuanDeZengJianBianDongYuEHeJi" label="应付债券的增减变动-余额合计" mulRef="_GBC_0caebd9b9d9b4a59aaa853a387a1a299" unitRef="_GBC_0e52a0719da945bab24d9f1419aafdbf" addr="T0R3C10S1_1" formatStyle="Comma" appId="_GBC_4b9b2c6cc76845b79e52a5d821e1cf5a">
        <m:complexRule comparator="Eq" title="应付债券的增减变动-余额合计" test=" $_GBC_6e149426e77a4db389421b9fd258eddf" id="Cb8b77ccfd60f4f09806d389ac561077f"/>
      </m:item>
      <m:virtualTuples>
        <m:virtualTuple id="05b1f0af-c01f-4fce-96b8-29a3faf0470e" tupleRef="clcid-pte:YingFuZhaiQuanMingXi" defaultRows="0" extendDirection="2"/>
      </m:virtualTuples>
    </m:section>
    <m:section xlName="_GBC_235b19ac1003437586dbfe1a48116b09" title="可转换公司债券的转股条件、转股时间说明：" helpId="112001095">
      <m:item xlName="_GBC_bdbcbf7db2194e929d8f2f4945774241" concept="clcid-ci-ar:ShiFouShiYongKeZhuanHuanGongSiZhaiQuanDeZhuanGuTiaoJianZhuanGuShiJianShuoMing" label="是否适用：可转换公司债券的转股条件、转股时间说明" selectOptions="_buildInAppliance" controlType="CustomCheckbox" cRanges="{&quot;StartName&quot;:&quot;_GBC_bdbcbf7db2194e929d8f2f4945774241&quot;,&quot;EndName&quot;:&quot;_GBC_41daef97e86046e5a591ed1f8fdd2a28&quot;,&quot;CType&quot;:1,&quot;DisplayText&quot;:null}"/>
      <m:item xlName="_GBC_41daef97e86046e5a591ed1f8fdd2a28" concept="clcid-pte:YingFuZhaiQuanDeShuoMing" label="应付债券的说明" appId="_GBC_bdbcbf7db2194e929d8f2f4945774241"/>
    </m:section>
    <m:section xlName="_GBC_d031ed2380884bb4aa3cb2efb2740308" title="划分为金融负债的其他金融工具说明" helpId="112001095">
      <m:item xlName="_GBC_61542231aba54618ab4bd6d781bfab05" concept="clcid-ci-ar:ShiFouShiYongHuaFenWeiJinRongFuZhaiDeQiTaJinRongGongJuShuoMing" label="是否适用：划分为金融负债的其他金融工具说明" selectOptions="_buildInAppliance" controlType="CustomCheckbox" cRanges="{&quot;StartName&quot;:&quot;_GBC_61542231aba54618ab4bd6d781bfab05&quot;,&quot;EndName&quot;:&quot;_GBC_23d64a8c21864e238019890d2181c49f&quot;,&quot;CType&quot;:1,&quot;DisplayText&quot;:null}"/>
      <m:item xlName="_GBC_23d64a8c21864e238019890d2181c49f" concept="clcid-pte:QiMoFaXingZaiWaiDeYouXianGuYongXuZhaiDengQiTaJinRongGongJuJiBenQingKuangShuoMing" label="期末发行在外的优先股、永续债等其他金融工具基本情况说明" appId="_GBC_61542231aba54618ab4bd6d781bfab05"/>
      <m:item xlName="_GBC_4cf6ed9dc37d42fc946f2268e90eee97" concept="clcid-ci-ar:ShiFouShiYongQiMoFaXingZaiWaiDeYouXianGuYongXuZhaiDengJinRongGongJuBianDongQingKuangBiaoYingFuZhaiQuan" label="是否适用：期末发行在外的优先股、永续债等金融工具变动情况表_应付债券" selectOptions="_buildInAppliance" controlType="CustomCheckbox" cRanges="{&quot;StartName&quot;:&quot;_GBC_4cf6ed9dc37d42fc946f2268e90eee97&quot;,&quot;EndName&quot;:&quot;_GBC_5f382791ee4e42699a68047c219b4fd9&quot;,&quot;CType&quot;:1,&quot;DisplayText&quot;:null}"/>
      <m:item xlName="_GBC_b92adf2138954272a80867568f3c95db" concept="clcid-ci-ar:DanWeiCaiWuFuZhuQiMoFaXingZaiWaiDeYouXianGuYongXuZhaiDengJinRongGongJuBianDongQingKuangBiaoYingFuZhaiQuan" label="单位：财务附注：期末发行在外的优先股、永续债等金融工具变动情况表（应付债券）" selectOptions="_buildInScales" controlType="Combobox" cellType="Scale" appId="_GBC_4cf6ed9dc37d42fc946f2268e90eee97"/>
      <m:item xlName="_GBC_4031d1b56bb448239a16e77cfa757d93" concept="clcid-ci-ar:BiZhongCaiWuFuZhuQiMoFaXingZaiWaiDeYouXianGuYongXuZhaiDengJinRongGongJuBianDongQingKuangBiaoYingFuZhaiQuan" label="币种：财务附注：期末发行在外的优先股、永续债等金融工具变动情况表（应付债券）" selectOptions="_buildInISO4217" controlType="Combobox" cellType="Measure" appId="_GBC_4cf6ed9dc37d42fc946f2268e90eee97"/>
      <m:placeholder xlName="_PLD_d1d67483b4e34abea2a73e72e9aa398d" addr="T0R0C0S2_1"/>
      <m:placeholder xlName="_PLD_710c752850c4452a97d539e59bf29ec6" addr="T0R0C1S1_2"/>
      <m:placeholder xlName="_PLD_cda4622a20fa41c9a02022b531f1335c" addr="T0R0C3S1_2"/>
      <m:placeholder xlName="_PLD_3bcd542e38c8475886c48d45708bdba2" addr="T0R0C5S1_2"/>
      <m:placeholder xlName="_PLD_d369a2bc689041838cf3faa887adf91d" addr="T0R0C7S1_2"/>
      <m:placeholder xlName="_PLD_bdcf70db5be1426485161ac770b6208a" addr="T0R1C1S1_1"/>
      <m:placeholder xlName="_PLD_8f6359be741b4a2cbce38ca2837dec0c" addr="T0R1C2S1_1"/>
      <m:placeholder xlName="_PLD_64cef0eedf5a40739c49340225745f2a" addr="T0R1C3S1_1"/>
      <m:placeholder xlName="_PLD_3daca12809ae45dea7739b66c128ebdc" addr="T0R1C4S1_1"/>
      <m:placeholder xlName="_PLD_afca8a2b4f56415495d60a4ca25fc579" addr="T0R1C5S1_1"/>
      <m:placeholder xlName="_PLD_aaf2e497345b4b2d99a09812d73e795a" addr="T0R1C6S1_1"/>
      <m:placeholder xlName="_PLD_a07f63824dde4cce9ef15a1dacdc2ef9" addr="T0R1C7S1_1"/>
      <m:placeholder xlName="_PLD_6293cef557ba4cf48980bd49c2251339" addr="T0R1C8S1_1"/>
      <m:tuple xlName="_GBC_0ec28ea4f64d48e1ac7bdab5ad3c7af7" concept="clcid-pte:HuaFenWeiJinRongFuZhaiXiaFaXingZaiWaiDeYouXianGuYongXuZhaiDengJinRongGongJuBianDongQingKuangBiaoMingXi" default_row="2" addr="T0R2C">
        <m:item xlName="_GBC_cc14416146a4409b9b4fee727f96b7c3" concept="clcid-pte:HuaFenWeiJinRongFuZhaiXiaFaXingZaiWaiDeYouXianGuYongXuZhaiDengJinRongGongJuBianDongQingKuangBiaoMingXiHuaFenWeiJinRongFuZhaiXiaFaXingZaiWaiDeJinRongGongJuMingCheng" label="划分为金融负债下发行在外的优先股、永续债等金融工具变动情况表明细-划分为金融负债下发行在外的金融工具名称" addr="T0R2C0S1_1" appId="_GBC_4cf6ed9dc37d42fc946f2268e90eee97"/>
        <m:item xlName="_GBC_f86c4cc9be45449cb1be708b99969e3f" concept="clcid-pte:HuaFenWeiJinRongFuZhaiXiaFaXingZaiWaiDeYouXianGuYongXuZhaiDengJinRongGongJuBianDongQingKuangBiaoMingXiShuLiang" label="划分为金融负债下发行在外的优先股、永续债等金融工具变动情况表明细-数量" periodRef="本期期初数" addr="T0R2C1S1_1" formatStyle="Comma" appId="_GBC_4cf6ed9dc37d42fc946f2268e90eee97"/>
        <m:item xlName="_GBC_4ecc843e3ae04c00bfdfe4e251484245" concept="clcid-pte:HuaFenWeiJinRongFuZhaiXiaFaXingZaiWaiDeYouXianGuYongXuZhaiDengJinRongGongJuBianDongQingKuangBiaoMingXiZhangMianJiaZhi" label="划分为金融负债下发行在外的优先股、永续债等金融工具变动情况表明细-账面价值" periodRef="本期期初数" mulRef="_GBC_b92adf2138954272a80867568f3c95db" unitRef="_GBC_4031d1b56bb448239a16e77cfa757d93" addr="T0R2C2S1_1" formatStyle="Comma" appId="_GBC_4cf6ed9dc37d42fc946f2268e90eee97"/>
        <m:item xlName="_GBC_b6773af150ce495cada59bcf0b1025d3" concept="clcid-pte:HuaFenWeiJinRongFuZhaiXiaFaXingZaiWaiDeYouXianGuYongXuZhaiDengJinRongGongJuBianDongQingKuangBiaoMingXiBenQiZengJiaShuLiang" label="划分为金融负债下发行在外的优先股、永续债等金融工具变动情况表明细-本期增加数量" addr="T0R2C3S1_1" formatStyle="Comma" appId="_GBC_4cf6ed9dc37d42fc946f2268e90eee97"/>
        <m:item xlName="_GBC_a1187bd9aa8d41ef943bb5ff79dfb1a4" concept="clcid-pte:HuaFenWeiJinRongFuZhaiXiaFaXingZaiWaiDeYouXianGuYongXuZhaiDengJinRongGongJuBianDongQingKuangBiaoMingXiBenQiZengJiaZhangMianJiaZhi" label="划分为金融负债下发行在外的优先股、永续债等金融工具变动情况表明细-本期增加账面价值" mulRef="_GBC_b92adf2138954272a80867568f3c95db" unitRef="_GBC_4031d1b56bb448239a16e77cfa757d93" addr="T0R2C4S1_1" formatStyle="Comma" appId="_GBC_4cf6ed9dc37d42fc946f2268e90eee97"/>
        <m:item xlName="_GBC_e019a4661dd24e338d546f086e438eb4" concept="clcid-pte:HuaFenWeiJinRongFuZhaiXiaFaXingZaiWaiDeYouXianGuYongXuZhaiDengJinRongGongJuBianDongQingKuangBiaoMingXiBenQiJianShaoShuLiang" label="划分为金融负债下发行在外的优先股、永续债等金融工具变动情况表明细-本期减少数量" addr="T0R2C5S1_1" formatStyle="Comma" appId="_GBC_4cf6ed9dc37d42fc946f2268e90eee97"/>
        <m:item xlName="_GBC_c909646a85654a0ba810ffd7aa24bd36" concept="clcid-pte:HuaFenWeiJinRongFuZhaiXiaFaXingZaiWaiDeYouXianGuYongXuZhaiDengJinRongGongJuBianDongQingKuangBiaoMingXiBenQiJianShaoZhangMianJiaZhi" label="划分为金融负债下发行在外的优先股、永续债等金融工具变动情况表明细-本期减少账面价值" mulRef="_GBC_b92adf2138954272a80867568f3c95db" unitRef="_GBC_4031d1b56bb448239a16e77cfa757d93" addr="T0R2C6S1_1" formatStyle="Comma" appId="_GBC_4cf6ed9dc37d42fc946f2268e90eee97"/>
        <m:item xlName="_GBC_1592108041ce4f77abc73f55e0c1b523" concept="clcid-pte:HuaFenWeiJinRongFuZhaiXiaFaXingZaiWaiDeYouXianGuYongXuZhaiDengJinRongGongJuBianDongQingKuangBiaoMingXiShuLiang" label="划分为金融负债下发行在外的优先股、永续债等金融工具变动情况表明细-数量" addr="T0R2C7S1_1" formatStyle="Comma" appId="_GBC_4cf6ed9dc37d42fc946f2268e90eee97">
          <m:complexRule comparator="Eq" title="划分为金融负债下发行在外的优先股、永续债等金融工具变动情况表明细-数量" test=" $_GBC_f86c4cc9be45449cb1be708b99969e3f +  $_GBC_b6773af150ce495cada59bcf0b1025d3 -  $_GBC_e019a4661dd24e338d546f086e438eb4" id="Cbcb5460d5e5f4f9dafadb43e54051e1b"/>
        </m:item>
        <m:item xlName="_GBC_8fe3096f9da34f1c8c586eb13b9e554c" concept="clcid-pte:HuaFenWeiJinRongFuZhaiXiaFaXingZaiWaiDeYouXianGuYongXuZhaiDengJinRongGongJuBianDongQingKuangBiaoMingXiZhangMianJiaZhi" label="划分为金融负债下发行在外的优先股、永续债等金融工具变动情况表明细-账面价值" mulRef="_GBC_b92adf2138954272a80867568f3c95db" unitRef="_GBC_4031d1b56bb448239a16e77cfa757d93" addr="T0R2C8S1_1" formatStyle="Comma" appId="_GBC_4cf6ed9dc37d42fc946f2268e90eee97">
          <m:complexRule comparator="Eq" title="划分为金融负债下发行在外的优先股、永续债等金融工具变动情况表明细-账面价值" test=" $_GBC_4ecc843e3ae04c00bfdfe4e251484245 +  $_GBC_a1187bd9aa8d41ef943bb5ff79dfb1a4 -  $_GBC_c909646a85654a0ba810ffd7aa24bd36" id="C761a15d189f74f05b7423def99c69045"/>
        </m:item>
      </m:tuple>
      <m:placeholder xlName="_PLD_96dc2be0dca041b9a1e3aed04dbf6d19" addr="T0R4C0S1_1"/>
      <m:item xlName="_GBC_1358a2be8a144374b1d6eb2b46dac8d2" concept="clcid-pte:HuaFenWeiJinRongFuZhaiXiaFaXingZaiWaiDeYouXianGuYongXuZhaiDengJinRongGongJuBianDongShuLiangHeJi" label="划分为金融负债下发行在外的优先股、永续债等金融工具变动数量合计" periodRef="本期期初数" addr="T0R4C1S1_1" formatStyle="Comma" appId="_GBC_4cf6ed9dc37d42fc946f2268e90eee97">
        <m:complexRule comparator="Eq" title="划分为金融负债下发行在外的优先股、永续债等金融工具变动数量合计@本期期初数" test=" $_GBC_f86c4cc9be45449cb1be708b99969e3f" id="C7912003ee5a94ac8823e41ca88d30145"/>
      </m:item>
      <m:item xlName="_GBC_237afcd327c242f9ae0bd9905d996b18" concept="clcid-pte:HuaFenWeiJinRongFuZhaiXiaFaXingZaiWaiDeYouXianGuYongXuZhaiDengJinRongGongJuBianDongZhangMianJiaZhiHeJi" label="划分为金融负债下发行在外的优先股、永续债等金融工具变动账面价值合计" periodRef="本期期初数" mulRef="_GBC_b92adf2138954272a80867568f3c95db" unitRef="_GBC_4031d1b56bb448239a16e77cfa757d93" addr="T0R4C2S1_1" formatStyle="Comma" appId="_GBC_4cf6ed9dc37d42fc946f2268e90eee97">
        <m:complexRule comparator="Eq" title="划分为金融负债下发行在外的优先股、永续债等金融工具变动账面价值合计@本期期初数" test=" $_GBC_4ecc843e3ae04c00bfdfe4e251484245" id="C4315a14650434bb1868ae9d9914942ef"/>
      </m:item>
      <m:item xlName="_GBC_1290f1c4f5f745c5abe34b2ba0905392" concept="clcid-pte:HuaFenWeiJinRongFuZhaiXiaFaXingZaiWaiDeYouXianGuYongXuZhaiDengJinRongGongJuBianDongBenQiZengJiaShuLiangHeJi" label="划分为金融负债下发行在外的优先股、永续债等金融工具变动本期增加数量合计" addr="T0R4C3S1_1" formatStyle="Comma" appId="_GBC_4cf6ed9dc37d42fc946f2268e90eee97">
        <m:complexRule comparator="Eq" title="划分为金融负债下发行在外的优先股、永续债等金融工具变动本期增加数量合计" test=" $_GBC_b6773af150ce495cada59bcf0b1025d3" id="C2a171aca98d04189a4b3c921caf680c3"/>
      </m:item>
      <m:item xlName="_GBC_0ba484eed447488ab30fbea12c4e39b5" concept="clcid-pte:HuaFenWeiJinRongFuZhaiXiaFaXingZaiWaiDeYouXianGuYongXuZhaiDengJinRongGongJuBianDongBenQiZengJiaZhangMianJiaZhiHeJi" label="划分为金融负债下发行在外的优先股、永续债等金融工具变动本期增加账面价值合计" mulRef="_GBC_b92adf2138954272a80867568f3c95db" unitRef="_GBC_4031d1b56bb448239a16e77cfa757d93" addr="T0R4C4S1_1" formatStyle="Comma" appId="_GBC_4cf6ed9dc37d42fc946f2268e90eee97">
        <m:complexRule comparator="Eq" title="划分为金融负债下发行在外的优先股、永续债等金融工具变动本期增加账面价值合计" test=" $_GBC_a1187bd9aa8d41ef943bb5ff79dfb1a4" id="Ccb054e7f7d3a4756b33cb606a1eee438"/>
      </m:item>
      <m:item xlName="_GBC_9ee0a39c761c4f26ad9d37615b5f051f" concept="clcid-pte:HuaFenWeiJinRongFuZhaiXiaFaXingZaiWaiDeYouXianGuYongXuZhaiDengJinRongGongJuBianDongBenQiJianShaoShuLiangHeJi" label="划分为金融负债下发行在外的优先股、永续债等金融工具变动本期减少数量合计" addr="T0R4C5S1_1" formatStyle="Comma" appId="_GBC_4cf6ed9dc37d42fc946f2268e90eee97">
        <m:complexRule comparator="Eq" title="划分为金融负债下发行在外的优先股、永续债等金融工具变动本期减少数量合计" test=" $_GBC_e019a4661dd24e338d546f086e438eb4" id="C9c2f47fa5fea4f13aea5a0391bbb38ad"/>
      </m:item>
      <m:item xlName="_GBC_8a2ab57e4a0744aabbbeee629a65d654" concept="clcid-pte:HuaFenWeiJinRongFuZhaiXiaFaXingZaiWaiDeYouXianGuYongXuZhaiDengJinRongGongJuBianDongBenQiJianShaoZhangMianJiaZhiHeJi" label="划分为金融负债下发行在外的优先股、永续债等金融工具变动本期减少账面价值合计" mulRef="_GBC_b92adf2138954272a80867568f3c95db" unitRef="_GBC_4031d1b56bb448239a16e77cfa757d93" addr="T0R4C6S1_1" formatStyle="Comma" appId="_GBC_4cf6ed9dc37d42fc946f2268e90eee97">
        <m:complexRule comparator="Eq" title="划分为金融负债下发行在外的优先股、永续债等金融工具变动本期减少账面价值合计" test=" $_GBC_c909646a85654a0ba810ffd7aa24bd36" id="Ce8e2e5d8bce547dba605f9ea201ce97c"/>
      </m:item>
      <m:item xlName="_GBC_59b01d36065643348df4e48a07b5a39e" concept="clcid-pte:HuaFenWeiJinRongFuZhaiXiaFaXingZaiWaiDeYouXianGuYongXuZhaiDengJinRongGongJuBianDongShuLiangHeJi" label="划分为金融负债下发行在外的优先股、永续债等金融工具变动数量合计" addr="T0R4C7S1_1" formatStyle="Comma" appId="_GBC_4cf6ed9dc37d42fc946f2268e90eee97">
        <m:complexRule comparator="Eq" title="划分为金融负债下发行在外的优先股、永续债等金融工具变动数量合计" test=" $_GBC_1592108041ce4f77abc73f55e0c1b523" id="C5276f0fdf3a441279e727c4b0f02f3aa"/>
        <m:complexRule comparator="Eq" title="划分为金融负债下发行在外的优先股、永续债等金融工具变动数量合计横向合计" test=" $_GBC_1358a2be8a144374b1d6eb2b46dac8d2 +  $_GBC_1290f1c4f5f745c5abe34b2ba0905392 -  $_GBC_9ee0a39c761c4f26ad9d37615b5f051f" id="Cb017b84d0dd5487ea41b583f9e7426ac"/>
      </m:item>
      <m:item xlName="_GBC_5f382791ee4e42699a68047c219b4fd9" concept="clcid-pte:HuaFenWeiJinRongFuZhaiXiaFaXingZaiWaiDeYouXianGuYongXuZhaiDengJinRongGongJuBianDongZhangMianJiaZhiHeJi" label="划分为金融负债下发行在外的优先股、永续债等金融工具变动账面价值合计" mulRef="_GBC_b92adf2138954272a80867568f3c95db" unitRef="_GBC_4031d1b56bb448239a16e77cfa757d93" addr="T0R4C8S1_1" formatStyle="Comma" appId="_GBC_4cf6ed9dc37d42fc946f2268e90eee97">
        <m:complexRule comparator="Eq" title="划分为金融负债下发行在外的优先股、永续债等金融工具变动账面价值合计" test=" $_GBC_237afcd327c242f9ae0bd9905d996b18 +  $_GBC_0ba484eed447488ab30fbea12c4e39b5 -  $_GBC_8a2ab57e4a0744aabbbeee629a65d654" id="Caa50e42cb1664b9ba51935a79f7ca121"/>
      </m:item>
      <m:item xlName="_GBC_aec0ba7f99624a559a5f92bcd8e57e4f" concept="clcid-ci-ar:ShiFouShiYongQiTaJinRongGongJuHuaFenWeiJinRongFuZhaiDeYiJuShuoMing" label="是否适用：其他金融工具划分为金融负债的依据说明" selectOptions="_buildInAppliance" controlType="CustomCheckbox" cRanges="{&quot;StartName&quot;:&quot;_GBC_aec0ba7f99624a559a5f92bcd8e57e4f&quot;,&quot;EndName&quot;:&quot;_GBC_ac0219f9b34f440a9f54551666aa230d&quot;,&quot;CType&quot;:1,&quot;DisplayText&quot;:null}"/>
      <m:item xlName="_GBC_ac0219f9b34f440a9f54551666aa230d" concept="clcid-pte:QiTaJinRongGongJuHuaFenWeiJinRongFuZhaiDeYiJuShuoMing" label="其他金融工具划分为金融负债的依据说明" appId="_GBC_aec0ba7f99624a559a5f92bcd8e57e4f"/>
    </m:section>
    <m:section xlName="_GBC_32fb23173d7a4a4fa8cb056982254a59" title="应付债券其他说明" helpId="112001095">
      <m:item xlName="_GBC_34ea80305b6a4fafaf2943f684877d08" concept="clcid-ci-ar:ShiFouShiYongYingFuZhaiQuanDeQiTaShuoMing" label="是否适用：应付债券的其他说明" selectOptions="_buildInAppliance" controlType="CustomCheckbox" cRanges="{&quot;StartName&quot;:&quot;_GBC_34ea80305b6a4fafaf2943f684877d08&quot;,&quot;EndName&quot;:&quot;_GBC_0c0b32a1cd734af1a8603dcacbfccb01&quot;,&quot;CType&quot;:1,&quot;DisplayText&quot;:null}"/>
      <m:item xlName="_GBC_0c0b32a1cd734af1a8603dcacbfccb01" concept="clcid-pte:YingFuZhaiQuanDeQiTaShuoMing" label="应付债券的其他说明" appId="_GBC_34ea80305b6a4fafaf2943f684877d08"/>
    </m:section>
    <m:section xlName="_SEC_6bd3f432494344eb8aaf6d133dbbfdc8" title="租赁负债" helpId="112002270">
      <m:item xlName="_GBC_cec9aedf0aa8427d9bd5dbf17e698298" concept="clcid-ci-ar:ShiFouShiYongZuLinFuZhai" label="是否适用：租赁负债" selectOptions="_buildInAppliance" controlType="CustomCheckbox" cRanges="[{&quot;StartName&quot;:&quot;_GBC_cec9aedf0aa8427d9bd5dbf17e698298&quot;,&quot;EndName&quot;:&quot;_GBC_cbaaaf9b0adf45f6a0dd93d6de03a6ea&quot;,&quot;CType&quot;:1}]"/>
      <m:item xlName="_GBC_3f1d18295bfb4156905ee3935811bc9f" concept="clcid-ci-ar:DanWeiZuLinFuZhai" label="单位：租赁负债" selectOptions="_buildInScales" controlType="Combobox" cellType="Scale" appId="_GBC_cec9aedf0aa8427d9bd5dbf17e698298"/>
      <m:item xlName="_GBC_1ce63c76adb74c2f8d53dbdb5d73a87c" concept="clcid-ci-ar:BiZhongZuLinFuZhai" label="币种：租赁负债" selectOptions="_buildInISO4217" controlType="Combobox" cellType="Measure" appId="_GBC_cec9aedf0aa8427d9bd5dbf17e698298"/>
      <m:placeholder xlName="_PLD_27afd78cc4b04fa19a7adaa593b83cc4" addr="T0R0C0S1_1"/>
      <m:placeholder xlName="_PLD_473fbb207ad34f58a8a0f0451332e555" addr="T0R0C1S1_1"/>
      <m:placeholder xlName="_PLD_81cf17ce1aff4bad8deb2792f3b6570d" addr="T0R0C2S1_1"/>
      <m:tuple xlName="_TUP_4f6c01aec10540a980fbed5fbec5a5f6" concept="clcid-pte:ZuLinFuZhaiMingXi" default_row="2" addr="T0R1C">
        <m:item xlName="_GBC_fa05c77714a5475c8e86d25f5bab879e" concept="clcid-pte:ZuLinFuZhaiMingXiXiangMu" label="租赁负债明细-项目" addr="T0R1C0S1_1" appId="_GBC_cec9aedf0aa8427d9bd5dbf17e698298"/>
        <m:item xlName="_GBC_cce43c4747124f3ab95887d769fb8db8" concept="clcid-pte:ZuLinFuZhaiMingXiJinE" label="租赁负债明细-金额" mulRef="_GBC_3f1d18295bfb4156905ee3935811bc9f" unitRef="_GBC_1ce63c76adb74c2f8d53dbdb5d73a87c" addr="T0R1C1S1_1" formatStyle="Comma" appId="_GBC_cec9aedf0aa8427d9bd5dbf17e698298"/>
        <m:item xlName="_GBC_24f02b2b62a14eb5920477dcca62f1ae" concept="clcid-pte:ZuLinFuZhaiMingXiJinE" label="租赁负债明细-金额" periodRef="本期期初数" mulRef="_GBC_3f1d18295bfb4156905ee3935811bc9f" unitRef="_GBC_1ce63c76adb74c2f8d53dbdb5d73a87c" addr="T0R1C2S1_1" formatStyle="Comma" appId="_GBC_cec9aedf0aa8427d9bd5dbf17e698298"/>
      </m:tuple>
      <m:placeholder xlName="_PLD_807a786371564fa194bf829b6d063d21" addr="T0R3C0S1_1"/>
      <m:item xlName="_GBC_7f7f3cd4cb8c45bf9e309da71f136222" concept="clcid-pte:ZuLinFuZhai" label="租赁负债" mulRef="_GBC_3f1d18295bfb4156905ee3935811bc9f" unitRef="_GBC_1ce63c76adb74c2f8d53dbdb5d73a87c" addr="T0R3C1S1_1" formatStyle="Comma" appId="_GBC_cec9aedf0aa8427d9bd5dbf17e698298">
        <m:complexRule comparator="Eq" title="租赁负债" test="$_GBC_cce43c4747124f3ab95887d769fb8db8" id="Ccac6b5f43d5d4b56bcac98ab2f60fa91"/>
      </m:item>
      <m:item xlName="_GBC_290da050496a40b2b2d8a415e4c575ef" concept="clcid-pte:ZuLinFuZhai" label="租赁负债" periodRef="本期期初数" mulRef="_GBC_3f1d18295bfb4156905ee3935811bc9f" unitRef="_GBC_1ce63c76adb74c2f8d53dbdb5d73a87c" addr="T0R3C2S1_1" formatStyle="Comma" appId="_GBC_cec9aedf0aa8427d9bd5dbf17e698298">
        <m:complexRule comparator="Eq" title="租赁负债@本期期初数" test="$_GBC_24f02b2b62a14eb5920477dcca62f1ae" id="C667cba5781ae4ac0ade8010967662a41"/>
      </m:item>
      <m:item xlName="_GBC_cbaaaf9b0adf45f6a0dd93d6de03a6ea" concept="clcid-pte:ZuLinFuZhaiQiTaShuoMing" label="租赁负债其他说明" appId="_GBC_cec9aedf0aa8427d9bd5dbf17e698298"/>
    </m:section>
    <m:section xlName="_SEC_c0e96ee0f49e415f98873dfb1c798446" title="项目列示">
      <m:item xlName="_GBC_dc1496c33e4a4cabb259020dbf46be93" concept="clcid-ci-ar:ShiFouShiYongChangQiYingFuKuanFenLeiLieShi" label="是否适用：长期应付款分类列示" selectOptions="_buildInAppliance" controlType="CustomCheckbox" cRanges="[{&quot;StartName&quot;:&quot;_GBC_dc1496c33e4a4cabb259020dbf46be93&quot;,&quot;EndName&quot;:&quot;_GBC_431a8b84aeeb4e0fa07aef9d9af1a46d&quot;,&quot;CType&quot;:1}]"/>
      <m:item xlName="_GBC_ebfc605e57a44e54b3e33ac2adbd49b3" concept="clcid-ci-ar:DanWeiChangQiYingFuKuanFenLeiLieShi" label="单位：长期应付款分类列示" selectOptions="_buildInScales" controlType="Combobox" cellType="Scale" appId="_GBC_dc1496c33e4a4cabb259020dbf46be93"/>
      <m:item xlName="_GBC_3e0811a7722a450c98b76253621cc253" concept="clcid-ci-ar:BiZhongChangQiYingFuKuanFenLeiLieShi" label="币种：长期应付款分类列示" selectOptions="_buildInISO4217" controlType="Combobox" cellType="Measure" appId="_GBC_dc1496c33e4a4cabb259020dbf46be93"/>
      <m:placeholder xlName="_PLD_c3a93bba75a94d61a6bb41116821520d" addr="T0R0C0S1_1"/>
      <m:placeholder xlName="_PLD_4cef3b6e993d4efeab53c68db46274b8" addr="T0R0C1S1_1"/>
      <m:placeholder xlName="_PLD_d7980fd6d7084f6bb108abf1cc53570a" addr="T0R0C2S1_1"/>
      <m:placeholder xlName="_PLD_5e2f309101aa42679809229e6373eaeb" addr="T0R1C0S1_1" helpText="此处的长期应付款指扣除专项应付款后的长期应付款"/>
      <m:item xlName="_GBC_e9d3a617e4e84e319b96669ffe719e15" concept="clcid-pte:ChangQiYingFuKuanChangQi" label="长期应付款-长期" mulRef="_GBC_ebfc605e57a44e54b3e33ac2adbd49b3" unitRef="_GBC_3e0811a7722a450c98b76253621cc253" addr="T0R1C1S1_1" formatStyle="Comma" helpText="此处的长期应付款指扣除专项应付款后的长期应付款" appId="_GBC_dc1496c33e4a4cabb259020dbf46be93"/>
      <m:item xlName="_GBC_4f18e301082d4eef8a3f653183f4f6b8" concept="clcid-pte:ChangQiYingFuKuanChangQi" label="长期应付款-长期" periodRef="本期期初数" mulRef="_GBC_ebfc605e57a44e54b3e33ac2adbd49b3" unitRef="_GBC_3e0811a7722a450c98b76253621cc253" addr="T0R1C2S1_1" formatStyle="Comma" helpText="此处的长期应付款指扣除专项应付款后的长期应付款" appId="_GBC_dc1496c33e4a4cabb259020dbf46be93"/>
      <m:placeholder xlName="_PLD_c99f5008eb7c496ab0332c6e3c621269" addr="T0R2C0S1_1"/>
      <m:item xlName="_GBC_99e274f017fa45dcad882885244dda64" concept="clcid-pte:ZhuanXiangYingFuKuan" label="专项应付款" mulRef="_GBC_ebfc605e57a44e54b3e33ac2adbd49b3" unitRef="_GBC_3e0811a7722a450c98b76253621cc253" addr="T0R2C1S1_1" formatStyle="Comma" appId="_GBC_dc1496c33e4a4cabb259020dbf46be93"/>
      <m:item xlName="_GBC_7c680929ec4245c9b4e75bea72242f51" concept="clcid-pte:ZhuanXiangYingFuKuan" label="专项应付款" periodRef="本期期初数" mulRef="_GBC_ebfc605e57a44e54b3e33ac2adbd49b3" unitRef="_GBC_3e0811a7722a450c98b76253621cc253" addr="T0R2C2S1_1" formatStyle="Comma" appId="_GBC_dc1496c33e4a4cabb259020dbf46be93"/>
      <m:placeholder xlName="_PLD_cba41f27288e4eb38b01308f50786168" addr="T0R3C0S1_1"/>
      <m:item xlName="_GBC_39775c4a30344481ac7824470b299b12" concept="clcid-pte:ChangQiYingFuKuan" label="长期应付款" mulRef="_GBC_ebfc605e57a44e54b3e33ac2adbd49b3" unitRef="_GBC_3e0811a7722a450c98b76253621cc253" addr="T0R3C1S1_1" formatStyle="Comma" appId="_GBC_dc1496c33e4a4cabb259020dbf46be93">
        <m:complexRule comparator="Eq" title="长期应付款" test=" $_GBC_e9d3a617e4e84e319b96669ffe719e15 +  $_GBC_99e274f017fa45dcad882885244dda64" id="C3586f308c711417ea9184a3b7a2aa181"/>
      </m:item>
      <m:item xlName="_GBC_34d1878bdc6b4d11983ac692bce011f4" concept="clcid-pte:ChangQiYingFuKuan" label="长期应付款" periodRef="本期期初数" mulRef="_GBC_ebfc605e57a44e54b3e33ac2adbd49b3" unitRef="_GBC_3e0811a7722a450c98b76253621cc253" addr="T0R3C2S1_1" formatStyle="Comma" appId="_GBC_dc1496c33e4a4cabb259020dbf46be93">
        <m:complexRule comparator="Eq" title="长期应付款@本期期初数" test=" $_GBC_4f18e301082d4eef8a3f653183f4f6b8 +  $_GBC_7c680929ec4245c9b4e75bea72242f51" id="C6a238e8fad08439488aef9a77ebd6adb"/>
      </m:item>
      <m:item xlName="_GBC_431a8b84aeeb4e0fa07aef9d9af1a46d" concept="clcid-pte:ChangQiYingFuKuanFenLeiLieShiQiTaShuoMing" label="长期应付款分类列示其他说明" appId="_GBC_dc1496c33e4a4cabb259020dbf46be93"/>
    </m:section>
    <m:section xlName="_SEC_1ac73daea3484386b92787e79e677fbb" title="长期应付款">
      <m:item xlName="_GBC_a9fa9a5286484f4bb853b1eff824e621" concept="clcid-ci-ar:ShiFouShiYongAnKuanXiangXingZhiLieShiChangQiYingFuKuan" label="是否适用：按款项性质列示长期应付款" selectOptions="_buildInAppliance" controlType="CustomCheckbox" cRanges="[{&quot;StartName&quot;:&quot;_GBC_a9fa9a5286484f4bb853b1eff824e621&quot;,&quot;EndName&quot;:&quot;_GBC_26dfebab321040728d621ff8ca8d9de0&quot;,&quot;CType&quot;:1}]"/>
      <m:item xlName="_GBC_8d90e4088fac4efe85a76cd0e30766e1" concept="clcid-ci-ar:DanWeiCaiWuFuZhuChangQiYingFuKuan" label="单位：财务附注：长期应付款" selectOptions="_buildInScales" controlType="Combobox" cellType="Scale" appId="_GBC_a9fa9a5286484f4bb853b1eff824e621"/>
      <m:item xlName="_GBC_571b1adfcb634dcbb4fbdf0991f3e029" concept="clcid-ci-ar:BiZhongCaiWuFuZhuChangQiYingFuKuan" label="币种：财务附注：长期应付款" selectOptions="_buildInISO4217" controlType="Combobox" cellType="Measure" appId="_GBC_a9fa9a5286484f4bb853b1eff824e621"/>
      <m:placeholder xlName="_PLD_35c3ed078068475db04283d6d6c22bb5" addr="T0R0C0S1_1"/>
      <m:placeholder xlName="_PLD_b59846bd1adb4f398cd1737332e81edb" addr="T0R0C1S1_1"/>
      <m:placeholder xlName="_PLD_184e30079df94f509e7e7ea9142928df" addr="T0R0C2S1_1"/>
      <m:tuple xlName="_TUP_618fba5b46de42ad8e723e9585c5f36d" concept="clcid-pte:AnKuanXiangXingZhiLieShiChangQiYingFuKuanMingXi" default_row="2" addr="T0R1C">
        <m:item xlName="_GBC_82475a1440a745aa822ffea041dbb437" concept="clcid-pte:AnKuanXiangXingZhiLieShiChangQiYingFuKuanMingXiXiangMuMingCheng" label="按款项性质列示长期应付款明细-项目名称" addr="T0R1C0S1_1" appId="_GBC_a9fa9a5286484f4bb853b1eff824e621"/>
        <m:item xlName="_GBC_f91159e991da41d493345a24ec8d9581" concept="clcid-pte:AnKuanXiangXingZhiLieShiChangQiYingFuKuanMingXiJinE" label="按款项性质列示长期应付款明细-金额" mulRef="_GBC_8d90e4088fac4efe85a76cd0e30766e1" unitRef="_GBC_571b1adfcb634dcbb4fbdf0991f3e029" addr="T0R1C1S1_1" formatStyle="Comma" appId="_GBC_a9fa9a5286484f4bb853b1eff824e621"/>
        <m:item xlName="_GBC_a852db581b5a44069d5cd96bfee3949d" concept="clcid-pte:AnKuanXiangXingZhiLieShiChangQiYingFuKuanMingXiJinE" label="按款项性质列示长期应付款明细-金额" periodRef="本期期初数" mulRef="_GBC_8d90e4088fac4efe85a76cd0e30766e1" unitRef="_GBC_571b1adfcb634dcbb4fbdf0991f3e029" addr="T0R1C2S1_1" formatStyle="Comma" appId="_GBC_a9fa9a5286484f4bb853b1eff824e621"/>
      </m:tuple>
      <m:placeholder xlName="_PLD_b9d5f725e3e04d2eb1e0e4d55b521e84" addr="T0R3C0S1_1"/>
      <m:item xlName="_GBC_f972f44214ed4d89b5c703cb259d0585" concept="clcid-pte:ChangQiYingFuKuanChangQi" label="长期应付款-长期" mulRef="_GBC_8d90e4088fac4efe85a76cd0e30766e1" unitRef="_GBC_571b1adfcb634dcbb4fbdf0991f3e029" addr="T0R3C1S1_1" formatStyle="Comma" appId="_GBC_a9fa9a5286484f4bb853b1eff824e621">
        <m:complexRule comparator="Eq" title="长期应付款" test=" $_GBC_f91159e991da41d493345a24ec8d9581" id="C4f3152c896e6499cac2130bc2f31041c"/>
      </m:item>
      <m:item xlName="_GBC_1053206569754f5195c20d2729e997a2" concept="clcid-pte:ChangQiYingFuKuanChangQi" label="长期应付款-长期" periodRef="本期期初数" mulRef="_GBC_8d90e4088fac4efe85a76cd0e30766e1" unitRef="_GBC_571b1adfcb634dcbb4fbdf0991f3e029" addr="T0R3C2S1_1" formatStyle="Comma" appId="_GBC_a9fa9a5286484f4bb853b1eff824e621">
        <m:complexRule comparator="Eq" title="长期应付款@本期期初数" test=" $_GBC_a852db581b5a44069d5cd96bfee3949d" id="Cf241cbacefa0478a9619b16bd75954af"/>
      </m:item>
      <m:item xlName="_GBC_26dfebab321040728d621ff8ca8d9de0" concept="clcid-pte:ChangQiYingFuKuanDeShuoMing" label="长期应付款的说明" appId="_GBC_a9fa9a5286484f4bb853b1eff824e621"/>
    </m:section>
    <m:section xlName="_GBC_6847689be8c1493eb5db4e6dbab0fdbe" title="专项应付款" convertSummaryRule="NoConvert" helpId="112001098">
      <m:item xlName="_GBC_f70a824e87784429a75fa648d7634cf8" concept="clcid-ci-ar:ShiFouShiYongZhuanXiangYingFuKuan" label="是否适用：专项应付款" selectOptions="_buildInAppliance" controlType="CustomCheckbox" cRanges="{&quot;StartName&quot;:&quot;_GBC_f70a824e87784429a75fa648d7634cf8&quot;,&quot;EndName&quot;:&quot;_GBC_f206cf7fcce64722bbdcfc85a058978b&quot;,&quot;CType&quot;:1,&quot;DisplayText&quot;:null}"/>
      <m:item xlName="_GBC_fbba1675963f41deb7db46c882d2bb66" concept="clcid-ci-ar:DanWeiCaiWuFuZhuZhuanXiangYingFuKuan" label="单位：财务附注：专项应付款" selectOptions="_buildInScales" controlType="Combobox" cellType="Scale" appId="_GBC_f70a824e87784429a75fa648d7634cf8"/>
      <m:item xlName="_GBC_db6088dd197e44658d5eb4ad92eace1a" concept="clcid-ci-ar:BiZhongCaiWuFuZhuZhuanXiangYingFuKuan" label="币种：财务附注：专项应付款" selectOptions="_buildInISO4217" controlType="Combobox" cellType="Measure" appId="_GBC_f70a824e87784429a75fa648d7634cf8"/>
      <m:placeholder xlName="_PLD_cd0bf128e15a4ba9af42624758d0f741" addr="T0R0C0S1_1"/>
      <m:placeholder xlName="_PLD_0273ec8ee2454cc3b513b4d9bc176584" addr="T0R0C1S1_1"/>
      <m:placeholder xlName="_PLD_8af6034e00f845329602a9fdcfc9b2dc" addr="T0R0C2S1_1"/>
      <m:placeholder xlName="_PLD_013b3bd484664b418b2949897aaba93a" addr="T0R0C3S1_1"/>
      <m:placeholder xlName="_PLD_99498b7622144415a46b3eb203e33536" addr="T0R0C4S1_1"/>
      <m:placeholder xlName="_PLD_435f222fb1ac40efb8892f65ff2d7efe" addr="T0R0C5S1_1"/>
      <m:tuple xlName="_GBC_cc0d870710d646f3adaaac92c6d0ce7e" concept="clcid-pte:ZhuanXiangYingFuKuanMingXi" default_row="2" addr="T0R1C">
        <m:item xlName="_GBC_d75faeb5cdcf4543b3cf5874b7f8c3c1" concept="clcid-pte:ZhuanXiangYingFuKuanXiangMu" label="专项应付款项目" addr="T0R1C0S1_1" appId="_GBC_f70a824e87784429a75fa648d7634cf8"/>
        <m:item xlName="_GBC_9f3a4967163d4e119b4a3399b2c0ccfb" concept="clcid-pte:ZhuanXiangYingFuKuanJinE" label="专项应付款金额" periodRef="本期期初数" mulRef="_GBC_fbba1675963f41deb7db46c882d2bb66" unitRef="_GBC_db6088dd197e44658d5eb4ad92eace1a" addr="T0R1C1S1_1" formatStyle="Comma" appId="_GBC_f70a824e87784429a75fa648d7634cf8"/>
        <m:item xlName="_GBC_3f28299173eb4f4db672d944a671f365" concept="clcid-pte:ZhuanXiangYingFuKuanMingXiZengJiaShu" label="专项应付款明细-增加数" mulRef="_GBC_fbba1675963f41deb7db46c882d2bb66" unitRef="_GBC_db6088dd197e44658d5eb4ad92eace1a" addr="T0R1C2S1_1" formatStyle="Comma" appId="_GBC_f70a824e87784429a75fa648d7634cf8"/>
        <m:item xlName="_GBC_17375965e2574633b78e9a7f597e3c13" concept="clcid-pte:ZhuanXiangYingFuKuanMingXiJianShaoShu" label="专项应付款明细-减少数" mulRef="_GBC_fbba1675963f41deb7db46c882d2bb66" unitRef="_GBC_db6088dd197e44658d5eb4ad92eace1a" addr="T0R1C3S1_1" formatStyle="Comma" appId="_GBC_f70a824e87784429a75fa648d7634cf8"/>
        <m:item xlName="_GBC_7735e48344194cdb93a06665b0f554d7" concept="clcid-pte:ZhuanXiangYingFuKuanJinE" label="专项应付款金额" mulRef="_GBC_fbba1675963f41deb7db46c882d2bb66" unitRef="_GBC_db6088dd197e44658d5eb4ad92eace1a" addr="T0R1C4S1_1" formatStyle="Comma" appId="_GBC_f70a824e87784429a75fa648d7634cf8">
          <m:complexRule comparator="Eq" title="专项应付款金额" test=" $_GBC_9f3a4967163d4e119b4a3399b2c0ccfb +  $_GBC_3f28299173eb4f4db672d944a671f365 -  $_GBC_17375965e2574633b78e9a7f597e3c13" id="C39ce7be7f54f43b197989db31849ebf9"/>
        </m:item>
        <m:item xlName="_GBC_859702430c444a228ee186ea8d280079" concept="clcid-pte:ZhuanXiangYingFuKuanXingChengYuanYin" label="专项应付款形成原因" addr="T0R1C5S1_1" appId="_GBC_f70a824e87784429a75fa648d7634cf8"/>
      </m:tuple>
      <m:placeholder xlName="_PLD_b9429a61eab944fab8cf1cb493279d7f" addr="T0R3C0S1_1"/>
      <m:item xlName="_GBC_e4442dffa9b54476af3a8d22aac4ab6d" concept="clcid-pte:ZhuanXiangYingFuKuan" label="专项应付款" periodRef="本期期初数" mulRef="_GBC_fbba1675963f41deb7db46c882d2bb66" unitRef="_GBC_db6088dd197e44658d5eb4ad92eace1a" addr="T0R3C1S1_1" formatStyle="Comma" appId="_GBC_f70a824e87784429a75fa648d7634cf8">
        <m:complexRule comparator="Eq" title="专项应付款@本期期初数" test=" $_GBC_9f3a4967163d4e119b4a3399b2c0ccfb" id="C6d6d0ff4e1414980bb0cc90044c6c656"/>
      </m:item>
      <m:item xlName="_GBC_481458f982f241d791ae3d9ad973c09c" concept="clcid-pte:ZhuanXiangYingFuKuanZengJiaShu" label="专项应付款增加数" mulRef="_GBC_fbba1675963f41deb7db46c882d2bb66" unitRef="_GBC_db6088dd197e44658d5eb4ad92eace1a" addr="T0R3C2S1_1" formatStyle="Comma" appId="_GBC_f70a824e87784429a75fa648d7634cf8">
        <m:complexRule comparator="Eq" title="专项应付款增加数" test=" $_GBC_3f28299173eb4f4db672d944a671f365" id="Cd8bffa89e9f44609ba840d929ab1ab1c"/>
      </m:item>
      <m:item xlName="_GBC_c35788f9b4d2449c8b9f368ca85dc9ed" concept="clcid-pte:ZhuanXiangYingFuKuanJianShaoShu" label="专项应付款减少数" mulRef="_GBC_fbba1675963f41deb7db46c882d2bb66" unitRef="_GBC_db6088dd197e44658d5eb4ad92eace1a" addr="T0R3C3S1_1" formatStyle="Comma" appId="_GBC_f70a824e87784429a75fa648d7634cf8">
        <m:complexRule comparator="Eq" title="专项应付款减少数" test=" $_GBC_17375965e2574633b78e9a7f597e3c13" id="C09ad0625d3a04066a9900c4d9f913bb0"/>
      </m:item>
      <m:item xlName="_GBC_bf8bc3870ee5458e8bd8aba48f824dfa" concept="clcid-pte:ZhuanXiangYingFuKuan" label="专项应付款" mulRef="_GBC_fbba1675963f41deb7db46c882d2bb66" unitRef="_GBC_db6088dd197e44658d5eb4ad92eace1a" addr="T0R3C4S1_1" formatStyle="Comma" appId="_GBC_f70a824e87784429a75fa648d7634cf8">
        <m:complexRule comparator="Eq" title="专项应付款" test=" $_GBC_7735e48344194cdb93a06665b0f554d7" id="C114f42d84bc5421883d8b65ebc91dfe2"/>
        <m:complexRule comparator="Eq" title="专项应付款横向合计" test=" $_GBC_e4442dffa9b54476af3a8d22aac4ab6d +  $_GBC_481458f982f241d791ae3d9ad973c09c -  $_GBC_c35788f9b4d2449c8b9f368ca85dc9ed" id="C6a74c659710c4f219f729f37da773b65"/>
      </m:item>
      <m:item xlName="_GBC_f206cf7fcce64722bbdcfc85a058978b" concept="clcid-pte:ZhuanXiangYingFuKuanDeShuoMing" label="专项应付款的说明" appId="_GBC_f70a824e87784429a75fa648d7634cf8"/>
    </m:section>
    <m:item xlName="_GBC_077559b601814bb38f16734f98e8c045" concept="clcid-ci-ar:ShiFouShiYongChangQiYingFuZhiGongXinChou" label="是否适用：长期应付职工薪酬" selectOptions="_buildInAppliance" controlType="CustomCheckbox" cRanges="{&quot;StartName&quot;:&quot;_GBC_077559b601814bb38f16734f98e8c045&quot;,&quot;EndName&quot;:&quot;_GBC_9d7ebc39babc43788a550e83deca7fdc&quot;,&quot;CType&quot;:1,&quot;DisplayText&quot;:null}"/>
    <m:section xlName="_GBC_8af4eec42fcd4a7a8402661c45277cf7" title="长期应付职工薪酬" helpId="112001097">
      <m:item xlName="_GBC_7391cd215aaf4a7595c44b639646aa7a" concept="clcid-ci-ar:ShiFouShiYongChangQiYingFuZhiGongXinChouBiao" label="是否适用：长期应付职工薪酬表" selectOptions="_buildInAppliance" controlType="CustomCheckbox" cRanges="{&quot;StartName&quot;:&quot;_GBC_7391cd215aaf4a7595c44b639646aa7a&quot;,&quot;EndName&quot;:&quot;_GBC_59bcbe4f8e5e41c6adee2968fa3edcdf&quot;,&quot;CType&quot;:1,&quot;DisplayText&quot;:null}"/>
      <m:item xlName="_GBC_9da16ecedc40480a9563f61db11afc75" concept="clcid-ci-ar:DanWeiCaiWuFuZhuChangQiYingFuZhiGongXinChou" label="单位：财务附注：长期应付职工薪酬" selectOptions="_buildInScales" controlType="Combobox" cellType="Scale" appId="_GBC_7391cd215aaf4a7595c44b639646aa7a"/>
      <m:item xlName="_GBC_4b18e9847cbc49689b57ca163e3c5f6f" concept="clcid-ci-ar:BiZhongCaiWuFuZhuChangQiYingFuZhiGongXinChou" label="币种：财务附注：长期应付职工薪酬" selectOptions="_buildInISO4217" controlType="Combobox" cellType="Measure" appId="_GBC_7391cd215aaf4a7595c44b639646aa7a"/>
      <m:placeholder xlName="_PLD_cd74fa482412415587e08c0e74b1531a" addr="T0R0C0S1_1"/>
      <m:placeholder xlName="_PLD_d4b575d8eb6648c09575eeeca2ce8fae" addr="T0R0C1S1_1"/>
      <m:placeholder xlName="_PLD_686b97eea8314637bed99bbd2be9e3af" addr="T0R0C2S1_1"/>
      <m:placeholder xlName="_PLD_bdc3d864f9914ace9337d47a53645c11" addr="T0R1C0S1_1"/>
      <m:item xlName="_GBC_d045225c5117412cb5178fed7fb01429" concept="clcid-pte:LiZhiHouFuLiSheDingShouYiJiHuaJingFuZhai" label="离职后福利-设定受益计划净负债" mulRef="_GBC_9da16ecedc40480a9563f61db11afc75" unitRef="_GBC_4b18e9847cbc49689b57ca163e3c5f6f" addr="T0R1C1S1_1" formatStyle="Comma" appId="_GBC_7391cd215aaf4a7595c44b639646aa7a"/>
      <m:item xlName="_GBC_969607b7d0f44a30bae00b62312771d5" concept="clcid-pte:LiZhiHouFuLiSheDingShouYiJiHuaJingFuZhai" label="离职后福利-设定受益计划净负债" periodRef="本期期初数" mulRef="_GBC_9da16ecedc40480a9563f61db11afc75" unitRef="_GBC_4b18e9847cbc49689b57ca163e3c5f6f" addr="T0R1C2S1_1" formatStyle="Comma" appId="_GBC_7391cd215aaf4a7595c44b639646aa7a"/>
      <m:placeholder xlName="_PLD_fa41c48347a64d5a92c101ae2e85bac0" addr="T0R2C0S1_1"/>
      <m:item xlName="_GBC_ef618fb68fa14429951b8945f7ca69dc" concept="clcid-pte:ChangQiYingFuZhiGongXinChouZhongDeCiTuiFuLi" label="长期应付职工薪酬中的辞退福利" mulRef="_GBC_9da16ecedc40480a9563f61db11afc75" unitRef="_GBC_4b18e9847cbc49689b57ca163e3c5f6f" addr="T0R2C1S1_1" formatStyle="Comma" appId="_GBC_7391cd215aaf4a7595c44b639646aa7a"/>
      <m:item xlName="_GBC_46935b25c01546218cc93b2c0391c548" concept="clcid-pte:ChangQiYingFuZhiGongXinChouZhongDeCiTuiFuLi" label="长期应付职工薪酬中的辞退福利" periodRef="本期期初数" mulRef="_GBC_9da16ecedc40480a9563f61db11afc75" unitRef="_GBC_4b18e9847cbc49689b57ca163e3c5f6f" addr="T0R2C2S1_1" formatStyle="Comma" appId="_GBC_7391cd215aaf4a7595c44b639646aa7a"/>
      <m:placeholder xlName="_PLD_ce9866eefc4148f6ac089213063a2b94" addr="T0R3C0S1_1"/>
      <m:item xlName="_GBC_e7f10ac92f194b4eaf5720c44ed9af17" concept="clcid-pte:QiTaChangQiFuLi" label="其他长期福利" mulRef="_GBC_9da16ecedc40480a9563f61db11afc75" unitRef="_GBC_4b18e9847cbc49689b57ca163e3c5f6f" addr="T0R3C1S1_1" formatStyle="Comma" appId="_GBC_7391cd215aaf4a7595c44b639646aa7a"/>
      <m:item xlName="_GBC_62dc5db864d74e2782aadcc94533ea7e" concept="clcid-pte:QiTaChangQiFuLi" label="其他长期福利" periodRef="本期期初数" mulRef="_GBC_9da16ecedc40480a9563f61db11afc75" unitRef="_GBC_4b18e9847cbc49689b57ca163e3c5f6f" addr="T0R3C2S1_1" formatStyle="Comma" appId="_GBC_7391cd215aaf4a7595c44b639646aa7a"/>
      <m:tuple xlName="_GBC_291a7f60bc8c4456a834398318782169" concept="clcid-pte:ChangQiYingFuZhiGongXinChouMingXi" default_row="2" addr="T0R4C">
        <m:item xlName="_GBC_639ad4ae0e824d2ea43febb06b6a3c3c" concept="clcid-pte:ChangQiYingFuZhiGongXinChouMingXiXiangMuMingCheng" label="长期应付职工薪酬明细-项目名称" addr="T0R4C0S1_1" appId="_GBC_7391cd215aaf4a7595c44b639646aa7a"/>
        <m:item xlName="_GBC_f744d236a7084a1797bab13a5154f22f" concept="clcid-pte:ChangQiYingFuZhiGongXinChouMingXiYuE" label="长期应付职工薪酬明细-余额" mulRef="_GBC_9da16ecedc40480a9563f61db11afc75" unitRef="_GBC_4b18e9847cbc49689b57ca163e3c5f6f" addr="T0R4C1S1_1" formatStyle="Comma" appId="_GBC_7391cd215aaf4a7595c44b639646aa7a"/>
        <m:item xlName="_GBC_c7ad0d522e414e58b7c05976024479bb" concept="clcid-pte:ChangQiYingFuZhiGongXinChouMingXiYuE" label="长期应付职工薪酬明细-余额" periodRef="本期期初数" mulRef="_GBC_9da16ecedc40480a9563f61db11afc75" unitRef="_GBC_4b18e9847cbc49689b57ca163e3c5f6f" addr="T0R4C2S1_1" formatStyle="Comma" appId="_GBC_7391cd215aaf4a7595c44b639646aa7a"/>
      </m:tuple>
      <m:placeholder xlName="_PLD_9ad91a051a134d5b8b48745d2fe3ca24" addr="T0R6C0S1_1"/>
      <m:item xlName="_GBC_2334748c90a64981b25cc318033edc6f" concept="clcid-pte:ChangQiYingFuZhiGongXinChou" label="长期应付职工薪酬" mulRef="_GBC_9da16ecedc40480a9563f61db11afc75" unitRef="_GBC_4b18e9847cbc49689b57ca163e3c5f6f" addr="T0R6C1S1_1" formatStyle="Comma" appId="_GBC_7391cd215aaf4a7595c44b639646aa7a">
        <m:complexRule comparator="Eq" title="长期应付职工薪酬" test=" $_GBC_d045225c5117412cb5178fed7fb01429 +  $_GBC_ef618fb68fa14429951b8945f7ca69dc +  $_GBC_e7f10ac92f194b4eaf5720c44ed9af17 +  $_GBC_f744d236a7084a1797bab13a5154f22f" id="C8e717d518771461cb2e8c13e25a0cf38" serialType="1"/>
      </m:item>
      <m:item xlName="_GBC_59bcbe4f8e5e41c6adee2968fa3edcdf" concept="clcid-pte:ChangQiYingFuZhiGongXinChou" label="长期应付职工薪酬" periodRef="本期期初数" mulRef="_GBC_9da16ecedc40480a9563f61db11afc75" unitRef="_GBC_4b18e9847cbc49689b57ca163e3c5f6f" addr="T0R6C2S1_1" formatStyle="Comma" appId="_GBC_7391cd215aaf4a7595c44b639646aa7a">
        <m:complexRule comparator="Eq" title="长期应付职工薪酬@本期期初数" test=" $_GBC_969607b7d0f44a30bae00b62312771d5 +  $_GBC_46935b25c01546218cc93b2c0391c548 +  $_GBC_62dc5db864d74e2782aadcc94533ea7e +  $_GBC_c7ad0d522e414e58b7c05976024479bb" id="Cc58bd063e2654ba9a8cc04d882d4c44c" serialType="1"/>
      </m:item>
    </m:section>
    <m:section xlName="_GBC_afdd9211c159429fa2d6540cc92dda04" title="设定受益计划变动情况" helpId="112001097">
      <m:item xlName="_GBC_c4bc86b406e44d69b9ab0374bad05246" concept="clcid-ci-ar:ShiFouShiYongSheDingShouYiJiHuaYiWuXianZhi" label="是否适用：设定受益计划义务现值" selectOptions="_buildInAppliance" controlType="CustomCheckbox" cRanges="{&quot;StartName&quot;:&quot;_GBC_c4bc86b406e44d69b9ab0374bad05246&quot;,&quot;EndName&quot;:&quot;_GBC_8107bddd70f34582859fb08c4d7a6f51&quot;,&quot;CType&quot;:1,&quot;DisplayText&quot;:null}"/>
      <m:item xlName="_GBC_b0c9e6ca28a2421c9518371c2be78bd5" concept="clcid-ci-ar:DanWeiCaiWuFuZhuSheDingShouYiJiHuaYiWuXianZhi" label="单位：财务附注：设定受益计划义务现值" selectOptions="_buildInScales" controlType="Combobox" cellType="Scale" appId="_GBC_c4bc86b406e44d69b9ab0374bad05246"/>
      <m:item xlName="_GBC_7f65fb2b67b845e9afe96325d0d11808" concept="clcid-ci-ar:BiZhongCaiWuFuZhuSheDingShouYiJiHuaYiWuXianZhi" label="币种：财务附注：设定受益计划义务现值" selectOptions="_buildInISO4217" controlType="Combobox" cellType="Measure" appId="_GBC_c4bc86b406e44d69b9ab0374bad05246"/>
      <m:placeholder xlName="_PLD_84c74226f1574a22ae5617c1cc5d2a1e" addr="T0R0C0S1_1"/>
      <m:placeholder xlName="_PLD_6fe51f04c3fe45b7b35326132992646b" addr="T0R0C1S1_1"/>
      <m:placeholder xlName="_PLD_6fe47bc6584f4f9eb937a9db9062e226" addr="T0R0C2S1_1"/>
      <m:placeholder xlName="_PLD_6a962937a21d464a8d71bfbe0424670e" addr="T0R1C0S1_1"/>
      <m:item xlName="_GBC_7cf6232ff467487488b4bab37295a76e" concept="clcid-pte:SheDingShouYiJiHuaYiWuXianZhi" label="设定受益计划义务现值" periodRef="本期期初数" mulRef="_GBC_b0c9e6ca28a2421c9518371c2be78bd5" unitRef="_GBC_7f65fb2b67b845e9afe96325d0d11808" addr="T0R1C1S1_1" formatStyle="Comma" appId="_GBC_c4bc86b406e44d69b9ab0374bad05246">
        <m:complexRule comparator="Eq" title="设定受益计划义务现值@本期期初数" id="C05d0da5b4c9e437499d2815a9b574499"/>
      </m:item>
      <m:item xlName="_GBC_72230ca8f44743319207a522bda1f84b" concept="clcid-pte:SheDingShouYiJiHuaYiWuXianZhi" label="设定受益计划义务现值" periodRef="上年同期期初数" mulRef="_GBC_b0c9e6ca28a2421c9518371c2be78bd5" unitRef="_GBC_7f65fb2b67b845e9afe96325d0d11808" addr="T0R1C2S1_1" formatStyle="Comma" appId="_GBC_c4bc86b406e44d69b9ab0374bad05246"/>
      <m:placeholder xlName="_PLD_391694c54b6f44458ef39a8b33707c29" addr="T0R2C0S1_1"/>
      <m:item xlName="_GBC_a3c87fa46e784b898733bec0622d77c8" concept="clcid-pte:SheDingShouYiJiHuaYiWuXianZhiJiRuDangQiSunYiDeSheDingShouYiChengBen" label="设定受益计划义务现值-计入当期损益的设定受益成本" mulRef="_GBC_b0c9e6ca28a2421c9518371c2be78bd5" unitRef="_GBC_7f65fb2b67b845e9afe96325d0d11808" addr="T0R2C1S1_1" formatStyle="Comma" appId="_GBC_c4bc86b406e44d69b9ab0374bad05246">
        <m:complexRule comparator="Eq" title="设定受益计划义务现值-计入当期损益的设定受益成本" test=" $_GBC_57854d20aa224d379b795146b0a5c120 +  $_GBC_4c0a5f9a7f404af8a3528aa34482b944 +  $_GBC_184a1cd21c5f49fcb73c3308880907ba +  $_GBC_7ea80aac59284d7bb168324dc6f03e03" id="C79cdd646097644ad894717b7c2e6221a"/>
      </m:item>
      <m:item xlName="_GBC_dad2a9527eb347f8873113fd437b9da3" concept="clcid-pte:SheDingShouYiJiHuaYiWuXianZhiJiRuDangQiSunYiDeSheDingShouYiChengBen" label="设定受益计划义务现值-计入当期损益的设定受益成本" periodRef="上年同期数" mulRef="_GBC_b0c9e6ca28a2421c9518371c2be78bd5" unitRef="_GBC_7f65fb2b67b845e9afe96325d0d11808" addr="T0R2C2S1_1" formatStyle="Comma" appId="_GBC_c4bc86b406e44d69b9ab0374bad05246">
        <m:complexRule comparator="Eq" title="设定受益计划义务现值-计入当期损益的设定受益成本@上年同期数" test=" $_GBC_a57b59367c7d48a1b1e55d5557501059 +  $_GBC_3c4b9c360ea04651a0d592d5005e2bf8 +  $_GBC_67c98cf9634f439ca3698cc782ea80a2 +  $_GBC_7e79a6c7f5c04bfdbd9db2ad77b3c922" id="Cdb8e14a5ed684363a68bcf2ea55b9cd6"/>
      </m:item>
      <m:placeholder xlName="_PLD_1321571e94834eea82d242dbd1ffce8e" addr="T0R3C0S1_1"/>
      <m:item xlName="_GBC_57854d20aa224d379b795146b0a5c120" concept="clcid-pte:SheDingShouYiJiHuaYiWuXianZhiDangQiFuWuChengBen" label="设定受益计划义务现值-当期服务成本" mulRef="_GBC_b0c9e6ca28a2421c9518371c2be78bd5" unitRef="_GBC_7f65fb2b67b845e9afe96325d0d11808" addr="T0R3C1S1_1" formatStyle="Comma" appId="_GBC_c4bc86b406e44d69b9ab0374bad05246"/>
      <m:item xlName="_GBC_a57b59367c7d48a1b1e55d5557501059" concept="clcid-pte:SheDingShouYiJiHuaYiWuXianZhiDangQiFuWuChengBen" label="设定受益计划义务现值-当期服务成本" periodRef="上年同期数" mulRef="_GBC_b0c9e6ca28a2421c9518371c2be78bd5" unitRef="_GBC_7f65fb2b67b845e9afe96325d0d11808" addr="T0R3C2S1_1" formatStyle="Comma" appId="_GBC_c4bc86b406e44d69b9ab0374bad05246"/>
      <m:placeholder xlName="_PLD_33835dbae78f4139aa449bf2c3c3b8d3" addr="T0R4C0S1_1"/>
      <m:item xlName="_GBC_4c0a5f9a7f404af8a3528aa34482b944" concept="clcid-pte:SheDingShouYiJiHuaYiWuXianZhiGuoQuFuWuChengBen" label="设定受益计划义务现值-过去服务成本" mulRef="_GBC_b0c9e6ca28a2421c9518371c2be78bd5" unitRef="_GBC_7f65fb2b67b845e9afe96325d0d11808" addr="T0R4C1S1_1" formatStyle="Comma" appId="_GBC_c4bc86b406e44d69b9ab0374bad05246"/>
      <m:item xlName="_GBC_3c4b9c360ea04651a0d592d5005e2bf8" concept="clcid-pte:SheDingShouYiJiHuaYiWuXianZhiGuoQuFuWuChengBen" label="设定受益计划义务现值-过去服务成本" periodRef="上年同期数" mulRef="_GBC_b0c9e6ca28a2421c9518371c2be78bd5" unitRef="_GBC_7f65fb2b67b845e9afe96325d0d11808" addr="T0R4C2S1_1" formatStyle="Comma" appId="_GBC_c4bc86b406e44d69b9ab0374bad05246"/>
      <m:placeholder xlName="_PLD_fff0c1ee7da7435091d0797d53046881" addr="T0R5C0S1_1"/>
      <m:item xlName="_GBC_184a1cd21c5f49fcb73c3308880907ba" concept="clcid-pte:SheDingShouYiJiHuaYiWuXianZhiJieSuanLiDe" label="设定受益计划义务现值-结算利得" mulRef="_GBC_b0c9e6ca28a2421c9518371c2be78bd5" unitRef="_GBC_7f65fb2b67b845e9afe96325d0d11808" addr="T0R5C1S1_1" formatStyle="Comma" appId="_GBC_c4bc86b406e44d69b9ab0374bad05246"/>
      <m:item xlName="_GBC_67c98cf9634f439ca3698cc782ea80a2" concept="clcid-pte:SheDingShouYiJiHuaYiWuXianZhiJieSuanLiDe" label="设定受益计划义务现值-结算利得" periodRef="上年同期数" mulRef="_GBC_b0c9e6ca28a2421c9518371c2be78bd5" unitRef="_GBC_7f65fb2b67b845e9afe96325d0d11808" addr="T0R5C2S1_1" formatStyle="Comma" appId="_GBC_c4bc86b406e44d69b9ab0374bad05246"/>
      <m:placeholder xlName="_PLD_6fd0a80267714436833bd7083e5853ee" addr="T0R6C0S1_1"/>
      <m:item xlName="_GBC_7ea80aac59284d7bb168324dc6f03e03" concept="clcid-pte:SheDingShouYiJiHuaYiWuXianZhiLiXiJingE" label="设定受益计划义务现值-利息净额" mulRef="_GBC_b0c9e6ca28a2421c9518371c2be78bd5" unitRef="_GBC_7f65fb2b67b845e9afe96325d0d11808" addr="T0R6C1S1_1" formatStyle="Comma" appId="_GBC_c4bc86b406e44d69b9ab0374bad05246"/>
      <m:item xlName="_GBC_7e79a6c7f5c04bfdbd9db2ad77b3c922" concept="clcid-pte:SheDingShouYiJiHuaYiWuXianZhiLiXiJingE" label="设定受益计划义务现值-利息净额" periodRef="上年同期数" mulRef="_GBC_b0c9e6ca28a2421c9518371c2be78bd5" unitRef="_GBC_7f65fb2b67b845e9afe96325d0d11808" addr="T0R6C2S1_1" formatStyle="Comma" appId="_GBC_c4bc86b406e44d69b9ab0374bad05246"/>
      <m:placeholder xlName="_PLD_83f071c9dd794c1fb00470b92c79bef6" addr="T0R7C0S1_1"/>
      <m:item xlName="_GBC_47668ffb46d74c3888cef0bc28b83dda" concept="clcid-pte:SheDingShouYiJiHuaYiWuXianZhiJiRuQiTaZongHeShouYiDeSheDingShouYiChengBen" label="设定受益计划义务现值-计入其他综合收益的设定收益成本" mulRef="_GBC_b0c9e6ca28a2421c9518371c2be78bd5" unitRef="_GBC_7f65fb2b67b845e9afe96325d0d11808" addr="T0R7C1S1_1" formatStyle="Comma" appId="_GBC_c4bc86b406e44d69b9ab0374bad05246">
        <m:complexRule comparator="Eq" title="设定受益计划义务现值-计入其他综合收益的设定收益成本" test=" $_GBC_c0ce248fb2a9408094af508774b5bab8 +  $_GBC_7c95063530284decb8f19195018d38ad" id="Ca36a75e91d7147a28250efe7c80eb3b2" serialType="1"/>
      </m:item>
      <m:item xlName="_GBC_07ff09b85a034bf0a02616d17be45744" concept="clcid-pte:SheDingShouYiJiHuaYiWuXianZhiJiRuQiTaZongHeShouYiDeSheDingShouYiChengBen" label="设定受益计划义务现值-计入其他综合收益的设定收益成本" periodRef="上年同期数" mulRef="_GBC_b0c9e6ca28a2421c9518371c2be78bd5" unitRef="_GBC_7f65fb2b67b845e9afe96325d0d11808" addr="T0R7C2S1_1" formatStyle="Comma" appId="_GBC_c4bc86b406e44d69b9ab0374bad05246">
        <m:complexRule comparator="Eq" title="设定受益计划义务现值-计入其他综合收益的设定收益成本@上年同期数" test=" $_GBC_e24cd9d6bc8640c7afc5dfcdc30872af +  $_GBC_1eebf46a77a04a8b9ff2423a31b1b81c" id="C1d9b798439ad4f729ee02d9ac7b340d4" serialType="1"/>
      </m:item>
      <m:placeholder xlName="_PLD_0f6e179974d34980adeb9d782e7681d9" addr="T0R8C0S1_1"/>
      <m:item xlName="_GBC_c0ce248fb2a9408094af508774b5bab8" concept="clcid-pte:SheDingShouYiJiHuaYiWuXianZhiJingSuanLiDe" label="设定受益计划义务现值-精算利得" mulRef="_GBC_b0c9e6ca28a2421c9518371c2be78bd5" unitRef="_GBC_7f65fb2b67b845e9afe96325d0d11808" addr="T0R8C1S1_1" formatStyle="Comma" appId="_GBC_c4bc86b406e44d69b9ab0374bad05246"/>
      <m:item xlName="_GBC_e24cd9d6bc8640c7afc5dfcdc30872af" concept="clcid-pte:SheDingShouYiJiHuaYiWuXianZhiJingSuanLiDe" label="设定受益计划义务现值-精算利得" periodRef="上年同期数" mulRef="_GBC_b0c9e6ca28a2421c9518371c2be78bd5" unitRef="_GBC_7f65fb2b67b845e9afe96325d0d11808" addr="T0R8C2S1_1" formatStyle="Comma" appId="_GBC_c4bc86b406e44d69b9ab0374bad05246"/>
      <m:tuple xlName="_GBC_67c47024df97426aa5b7c5bd281f18d8" concept="clcid-pte:SheDingShouYiJiHuaYiWuXianZhiJiRuQiTaZongHeShouYiDeSheDingShouYiChengBenMingXi" default_row="2" addr="T0R9C">
        <m:item xlName="_GBC_8d0bff6cda6e472ea346bac5ce51b9dd" concept="clcid-pte:SheDingShouYiJiHuaYiWuXianZhiJiRuQiTaZongHeShouYiDeSheDingShouYiChengBenMingXiXiangMuMingCheng" label="设定受益计划义务现值-计入其他综合收益的设定收益成本明细-项目名称" addr="T0R9C0S1_1" appId="_GBC_c4bc86b406e44d69b9ab0374bad05246"/>
        <m:item xlName="_GBC_7c95063530284decb8f19195018d38ad" concept="clcid-pte:SheDingShouYiJiHuaYiWuXianZhiJiRuQiTaZongHeShouYiDeSheDingShouYiChengBenMingXiJinE" label="设定受益计划义务现值-计入其他综合收益的设定收益成本明细-金额" mulRef="_GBC_b0c9e6ca28a2421c9518371c2be78bd5" unitRef="_GBC_7f65fb2b67b845e9afe96325d0d11808" addr="T0R9C1S1_1" formatStyle="Comma" appId="_GBC_c4bc86b406e44d69b9ab0374bad05246"/>
        <m:item xlName="_GBC_1eebf46a77a04a8b9ff2423a31b1b81c" concept="clcid-pte:SheDingShouYiJiHuaYiWuXianZhiJiRuQiTaZongHeShouYiDeSheDingShouYiChengBenMingXiJinE" label="设定受益计划义务现值-计入其他综合收益的设定收益成本明细-金额" periodRef="上年同期数" mulRef="_GBC_b0c9e6ca28a2421c9518371c2be78bd5" unitRef="_GBC_7f65fb2b67b845e9afe96325d0d11808" addr="T0R9C2S1_1" formatStyle="Comma" appId="_GBC_c4bc86b406e44d69b9ab0374bad05246"/>
      </m:tuple>
      <m:placeholder xlName="_PLD_c729a872b31940918796b9ddc8b3d264" addr="T0R11C0S1_1"/>
      <m:item xlName="_GBC_e53485a5eaa84bb4899e804e010aff4f" concept="clcid-pte:SheDingShouYiJiHuaYiWuXianZhiQiTaBianDong" label="设定受益计划义务现值-其他变动" mulRef="_GBC_b0c9e6ca28a2421c9518371c2be78bd5" unitRef="_GBC_7f65fb2b67b845e9afe96325d0d11808" addr="T0R11C1S1_1" formatStyle="Comma" appId="_GBC_c4bc86b406e44d69b9ab0374bad05246">
        <m:complexRule comparator="Eq" title="设定受益计划义务现值-其他变动" test=" $_GBC_262f7585de7b440bac429d67c58d3ba5 +  $_GBC_53fc78bccbd949f1bba09a9b768901ff +  $_GBC_9b66a499db5e495d9e442a9206412273" id="C1686c98489cd4c1abf5d4739b2b1550e" serialType="1"/>
      </m:item>
      <m:item xlName="_GBC_2e4b2b4c396944c69e2c12acef8de9eb" concept="clcid-pte:SheDingShouYiJiHuaYiWuXianZhiQiTaBianDong" label="设定受益计划义务现值-其他变动" periodRef="上年同期数" mulRef="_GBC_b0c9e6ca28a2421c9518371c2be78bd5" unitRef="_GBC_7f65fb2b67b845e9afe96325d0d11808" addr="T0R11C2S1_1" formatStyle="Comma" appId="_GBC_c4bc86b406e44d69b9ab0374bad05246">
        <m:complexRule comparator="Eq" title="设定受益计划义务现值-其他变动@上年同期数" test=" $_GBC_4e965afcf70b4ddbb4127483cab01f52 +  $_GBC_8125e120718b4686955e3152a5c41089 +  $_GBC_3ccbb727315e4731959c8528f046a902" id="Cdea3a11bdc4e4336b55bf09563b667d2" serialType="1"/>
      </m:item>
      <m:placeholder xlName="_PLD_b62cb34fbb5f49ada8114d2fa0b2744b" addr="T0R12C0S1_1"/>
      <m:item xlName="_GBC_262f7585de7b440bac429d67c58d3ba5" concept="clcid-pte:SheDingShouYiJiHuaYiWuXianZhiJieSuanShiZhiFuDeDuiJia" label="设定受益计划义务现值-结算时支付的对价" mulRef="_GBC_b0c9e6ca28a2421c9518371c2be78bd5" unitRef="_GBC_7f65fb2b67b845e9afe96325d0d11808" addr="T0R12C1S1_1" formatStyle="Comma" appId="_GBC_c4bc86b406e44d69b9ab0374bad05246"/>
      <m:item xlName="_GBC_4e965afcf70b4ddbb4127483cab01f52" concept="clcid-pte:SheDingShouYiJiHuaYiWuXianZhiJieSuanShiZhiFuDeDuiJia" label="设定受益计划义务现值-结算时支付的对价" periodRef="上年同期数" mulRef="_GBC_b0c9e6ca28a2421c9518371c2be78bd5" unitRef="_GBC_7f65fb2b67b845e9afe96325d0d11808" addr="T0R12C2S1_1" formatStyle="Comma" appId="_GBC_c4bc86b406e44d69b9ab0374bad05246"/>
      <m:placeholder xlName="_PLD_21f834174727463abc6e4576bb81dace" addr="T0R13C0S1_1"/>
      <m:item xlName="_GBC_53fc78bccbd949f1bba09a9b768901ff" concept="clcid-pte:SheDingShouYiJiHuaYiWuXianZhiYiZhiFuDeFuLi" label="设定受益计划义务现值-已支付的福利" mulRef="_GBC_b0c9e6ca28a2421c9518371c2be78bd5" unitRef="_GBC_7f65fb2b67b845e9afe96325d0d11808" addr="T0R13C1S1_1" formatStyle="Comma" appId="_GBC_c4bc86b406e44d69b9ab0374bad05246"/>
      <m:item xlName="_GBC_8125e120718b4686955e3152a5c41089" concept="clcid-pte:SheDingShouYiJiHuaYiWuXianZhiYiZhiFuDeFuLi" label="设定受益计划义务现值-已支付的福利" periodRef="上年同期数" mulRef="_GBC_b0c9e6ca28a2421c9518371c2be78bd5" unitRef="_GBC_7f65fb2b67b845e9afe96325d0d11808" addr="T0R13C2S1_1" formatStyle="Comma" appId="_GBC_c4bc86b406e44d69b9ab0374bad05246"/>
      <m:tuple xlName="_GBC_9822ec4b942b4732922c8717e4230169" concept="clcid-pte:SheDingShouYiJiHuaYiWuXianZhiQiTaBianDongMingXi" default_row="2" addr="T0R14C">
        <m:item xlName="_GBC_a1bb73121fcb45ebbbb3d0f2f732cbac" concept="clcid-pte:SheDingShouYiJiHuaYiWuXianZhiQiTaBianDongMingXiXiangMuMingCheng" label="设定受益计划义务现值-其他变动明细-项目名称" addr="T0R14C0S1_1" appId="_GBC_c4bc86b406e44d69b9ab0374bad05246"/>
        <m:item xlName="_GBC_9b66a499db5e495d9e442a9206412273" concept="clcid-pte:SheDingShouYiJiHuaYiWuXianZhiQiTaBianDongMingXiJinE" label="设定受益计划义务现值-其他变动明细-金额" mulRef="_GBC_b0c9e6ca28a2421c9518371c2be78bd5" unitRef="_GBC_7f65fb2b67b845e9afe96325d0d11808" addr="T0R14C1S1_1" formatStyle="Comma" appId="_GBC_c4bc86b406e44d69b9ab0374bad05246"/>
        <m:item xlName="_GBC_3ccbb727315e4731959c8528f046a902" concept="clcid-pte:SheDingShouYiJiHuaYiWuXianZhiQiTaBianDongMingXiJinE" label="设定受益计划义务现值-其他变动明细-金额" periodRef="上年同期数" mulRef="_GBC_b0c9e6ca28a2421c9518371c2be78bd5" unitRef="_GBC_7f65fb2b67b845e9afe96325d0d11808" addr="T0R14C2S1_1" formatStyle="Comma" appId="_GBC_c4bc86b406e44d69b9ab0374bad05246"/>
      </m:tuple>
      <m:placeholder xlName="_PLD_5e3f7fa86b304b8eb90c329578680944" addr="T0R16C0S1_1"/>
      <m:item xlName="_GBC_b67c1f7a9a49431ab7053626af0163a3" concept="clcid-pte:SheDingShouYiJiHuaYiWuXianZhi" label="设定受益计划义务现值" mulRef="_GBC_b0c9e6ca28a2421c9518371c2be78bd5" unitRef="_GBC_7f65fb2b67b845e9afe96325d0d11808" addr="T0R16C1S1_1" formatStyle="Comma" appId="_GBC_c4bc86b406e44d69b9ab0374bad05246">
        <m:complexRule comparator="Eq" title="设定受益计划义务现值" test=" $_GBC_7cf6232ff467487488b4bab37295a76e +  $_GBC_a3c87fa46e784b898733bec0622d77c8 +  $_GBC_47668ffb46d74c3888cef0bc28b83dda +  $_GBC_e53485a5eaa84bb4899e804e010aff4f" id="C9082da7c508146d2a184af389551ef7a"/>
      </m:item>
      <m:item xlName="_GBC_8107bddd70f34582859fb08c4d7a6f51" concept="clcid-pte:SheDingShouYiJiHuaYiWuXianZhi" label="设定受益计划义务现值" periodRef="上年同期期末数" mulRef="_GBC_b0c9e6ca28a2421c9518371c2be78bd5" unitRef="_GBC_7f65fb2b67b845e9afe96325d0d11808" addr="T0R16C2S1_1" formatStyle="Comma" appId="_GBC_c4bc86b406e44d69b9ab0374bad05246">
        <m:complexRule comparator="Eq" title="设定受益计划义务现值@上年同期期末数" test=" $_GBC_72230ca8f44743319207a522bda1f84b +  $_GBC_dad2a9527eb347f8873113fd437b9da3 +  $_GBC_07ff09b85a034bf0a02616d17be45744 +  $_GBC_2e4b2b4c396944c69e2c12acef8de9eb" id="Cc53054ddab6c4ae4b80bd0265c66b4a3"/>
      </m:item>
      <m:item xlName="_GBC_c2b590ce2cf24711a0d840605c251bba" concept="clcid-ci-ar:ShiFouShiYongSheDingShouYiJiHuaBianDongQingKuangJiHuaZiChan" label="是否适用：设定受益计划变动情况_计划资产" selectOptions="_buildInAppliance" controlType="CustomCheckbox" cRanges="{&quot;StartName&quot;:&quot;_GBC_c2b590ce2cf24711a0d840605c251bba&quot;,&quot;EndName&quot;:&quot;_GBC_d3d17bb6f5cd4608861f8bd73a0a0bca&quot;,&quot;CType&quot;:1,&quot;DisplayText&quot;:null}"/>
      <m:item xlName="_GBC_e2f2f776472347f48722fbaddc3282d0" concept="clcid-ci-ar:DanWeiCaiWuFuZhuJiHuaZiChan" label="单位：财务附注：计划资产" selectOptions="_buildInScales" controlType="Combobox" cellType="Scale" appId="_GBC_c2b590ce2cf24711a0d840605c251bba"/>
      <m:item xlName="_GBC_c41e1d42554f4820aca13e7c23b5fe50" concept="clcid-ci-ar:BiZhongCaiWuFuZhuJiHuaZiChan" label="币种：财务附注：计划资产" selectOptions="_buildInISO4217" controlType="Combobox" cellType="Measure" appId="_GBC_c2b590ce2cf24711a0d840605c251bba"/>
      <m:placeholder xlName="_PLD_2786e103196641ac96d94f9df5dd1923" addr="T1R0C0S1_1"/>
      <m:placeholder xlName="_PLD_97ca5e0455dc40d498481101398ba996" addr="T1R0C1S1_1"/>
      <m:placeholder xlName="_PLD_9d65c160b077493590d47b8d79c9c165" addr="T1R0C2S1_1"/>
      <m:placeholder xlName="_PLD_00cbf0639d7e4a2d964983d9c9308cf3" addr="T1R1C0S1_1"/>
      <m:item xlName="_GBC_19f3af04492c481e88c31990a2bfef3e" concept="clcid-pte:JiHuaZiChanDeGongYunJiaZhi" label="计划资产的公允价值" periodRef="本期期初数" mulRef="_GBC_b0c9e6ca28a2421c9518371c2be78bd5" unitRef="_GBC_7f65fb2b67b845e9afe96325d0d11808" addr="T1R1C1S1_1" formatStyle="Comma" appId="_GBC_c2b590ce2cf24711a0d840605c251bba"/>
      <m:item xlName="_GBC_27d67b0dd1ae4f0f9cac25a8efb19dcb" concept="clcid-pte:JiHuaZiChanDeGongYunJiaZhi" label="计划资产的公允价值" periodRef="上年同期期初数" mulRef="_GBC_b0c9e6ca28a2421c9518371c2be78bd5" unitRef="_GBC_7f65fb2b67b845e9afe96325d0d11808" addr="T1R1C2S1_1" formatStyle="Comma" appId="_GBC_c2b590ce2cf24711a0d840605c251bba"/>
      <m:placeholder xlName="_PLD_6097543c6b8346b587119ad7659b3be9" addr="T1R2C0S1_1"/>
      <m:item xlName="_GBC_1150ef4c5a7a42aba570ff686ae402d6" concept="clcid-pte:JiHuaZiChanDeGongYunJiaZhiJiRuDangQiSunYiDeSheDingShouYiChengBen" label="计划资产的公允价值-计入当期损益的设定受益成本" mulRef="_GBC_b0c9e6ca28a2421c9518371c2be78bd5" unitRef="_GBC_7f65fb2b67b845e9afe96325d0d11808" addr="T1R2C1S1_1" formatStyle="Comma" appId="_GBC_c2b590ce2cf24711a0d840605c251bba">
        <m:complexRule comparator="Eq" title="计划资产的公允价值-计入当期损益的设定受益成本" test=" $_GBC_f9b09d4d7d904c37a01fc7bb29ff187d +  $_GBC_9cf8aed5291f43479be7c933268b17dd" id="Cf234a6602e944c919f9996f7a44f41ba" serialType="1"/>
      </m:item>
      <m:item xlName="_GBC_9ff6190379e148f09d5abe83e9cb5f85" concept="clcid-pte:JiHuaZiChanDeGongYunJiaZhiJiRuDangQiSunYiDeSheDingShouYiChengBen" label="计划资产的公允价值-计入当期损益的设定受益成本" periodRef="上年同期数" mulRef="_GBC_b0c9e6ca28a2421c9518371c2be78bd5" unitRef="_GBC_7f65fb2b67b845e9afe96325d0d11808" addr="T1R2C2S1_1" formatStyle="Comma" appId="_GBC_c2b590ce2cf24711a0d840605c251bba">
        <m:complexRule comparator="Eq" title="计划资产的公允价值-计入当期损益的设定受益成本@上年同期数" test=" $_GBC_98ede4ea9570443db7e8e7925152e04b +  $_GBC_088e1deaaf39498a9a72a8e37e5eb4bc" id="C9a869925f17e45939ed887feb6d6ef87" serialType="1"/>
      </m:item>
      <m:placeholder xlName="_PLD_42891269fd1d40d2a01313882c0d6510" addr="T1R3C0S1_1"/>
      <m:item xlName="_GBC_f9b09d4d7d904c37a01fc7bb29ff187d" concept="clcid-pte:JiHuaZiChanDeGongYunJiaZhiLiXiJingE" label="计划资产的公允价值-利息净额" mulRef="_GBC_b0c9e6ca28a2421c9518371c2be78bd5" unitRef="_GBC_7f65fb2b67b845e9afe96325d0d11808" addr="T1R3C1S1_1" formatStyle="Comma" appId="_GBC_c2b590ce2cf24711a0d840605c251bba"/>
      <m:item xlName="_GBC_98ede4ea9570443db7e8e7925152e04b" concept="clcid-pte:JiHuaZiChanDeGongYunJiaZhiLiXiJingE" label="计划资产的公允价值-利息净额" periodRef="上年同期数" mulRef="_GBC_b0c9e6ca28a2421c9518371c2be78bd5" unitRef="_GBC_7f65fb2b67b845e9afe96325d0d11808" addr="T1R3C2S1_1" formatStyle="Comma" appId="_GBC_c2b590ce2cf24711a0d840605c251bba"/>
      <m:tuple xlName="_GBC_7ba976b998ac4a8e8f8ec15cec06ed7c" concept="clcid-pte:JiHuaZiChanJiRuDangQiSunYiDeSheDingShouYiChengBenMingXi" default_row="2" addr="T1R4C">
        <m:item xlName="_GBC_01c9316d9d4b4ac19183d2aafe450e4e" concept="clcid-pte:JiHuaZiChanJiRuDangQiSunYiDeSheDingShouYiChengBenMingXiXiangMuMingCheng" label="计划资产-计入当期损益的设定受益成本明细-项目名称" addr="T1R4C0S1_1" appId="_GBC_c2b590ce2cf24711a0d840605c251bba"/>
        <m:item xlName="_GBC_9cf8aed5291f43479be7c933268b17dd" concept="clcid-pte:JiHuaZiChanJiRuDangQiSunYiDeSheDingShouYiChengBenMingXiJinE" label="计划资产-计入当期损益的设定受益成本明细-金额" mulRef="_GBC_b0c9e6ca28a2421c9518371c2be78bd5" unitRef="_GBC_7f65fb2b67b845e9afe96325d0d11808" addr="T1R4C1S1_1" formatStyle="Comma" appId="_GBC_c2b590ce2cf24711a0d840605c251bba"/>
        <m:item xlName="_GBC_088e1deaaf39498a9a72a8e37e5eb4bc" concept="clcid-pte:JiHuaZiChanJiRuDangQiSunYiDeSheDingShouYiChengBenMingXiJinE" label="计划资产-计入当期损益的设定受益成本明细-金额" periodRef="上年同期数" mulRef="_GBC_b0c9e6ca28a2421c9518371c2be78bd5" unitRef="_GBC_7f65fb2b67b845e9afe96325d0d11808" addr="T1R4C2S1_1" formatStyle="Comma" appId="_GBC_c2b590ce2cf24711a0d840605c251bba"/>
      </m:tuple>
      <m:placeholder xlName="_PLD_fa4cbf6772604ff5b04bed99f16947c6" addr="T1R6C0S1_1"/>
      <m:item xlName="_GBC_3818b0c779a44dcdaf510869552df39f" concept="clcid-pte:JiHuaZiChanDeGongYunJiaZhiJiRuQiTaZongHeShouYiDeSheDingShouYiChengBen" label="计划资产的公允价值-计入其他综合收益的设定收益成本" mulRef="_GBC_b0c9e6ca28a2421c9518371c2be78bd5" unitRef="_GBC_7f65fb2b67b845e9afe96325d0d11808" addr="T1R6C1S1_1" formatStyle="Comma" appId="_GBC_c2b590ce2cf24711a0d840605c251bba">
        <m:complexRule comparator="Eq" title="计划资产的公允价值-计入其他综合收益的设定收益成本" test=" $_GBC_91e58c4265f84b248eb096c936e8a50d +  $_GBC_93c60fc2d3d84a428c4a3ecfa117d9f6 +  $_GBC_8f28c72ed4dc4ecc8385992471768285" id="Ca99f53c4229a49cfb7cace916b648413" serialType="1"/>
      </m:item>
      <m:item xlName="_GBC_ec78f7464e19474b92660010ee1ade68" concept="clcid-pte:JiHuaZiChanDeGongYunJiaZhiJiRuQiTaZongHeShouYiDeSheDingShouYiChengBen" label="计划资产的公允价值-计入其他综合收益的设定收益成本" periodRef="上年同期数" mulRef="_GBC_b0c9e6ca28a2421c9518371c2be78bd5" unitRef="_GBC_7f65fb2b67b845e9afe96325d0d11808" addr="T1R6C2S1_1" formatStyle="Comma" appId="_GBC_c2b590ce2cf24711a0d840605c251bba">
        <m:complexRule comparator="Eq" title="计划资产-计入其他综合收益的设定收益成本明细-金额@上年同期数" test=" $_GBC_b3f648feffd14851979ac34b7c2b1ef1 +  $_GBC_7c4f791599fd4ff1867de4a79e217b21 +  $_GBC_d3b856d9d833484ea7f7d2ef50904691" id="C0040802d03c043f68f919ac49ace47dc" serialType="1"/>
      </m:item>
      <m:placeholder xlName="_PLD_64a65211882040339277e398b798ee06" addr="T1R7C0S1_1"/>
      <m:item xlName="_GBC_91e58c4265f84b248eb096c936e8a50d" concept="clcid-pte:JiHuaZiChanDeGongYunJiaZhiJiHuaZiChanHuiBao" label="计划资产的公允价值-计划资产回报" mulRef="_GBC_b0c9e6ca28a2421c9518371c2be78bd5" unitRef="_GBC_7f65fb2b67b845e9afe96325d0d11808" addr="T1R7C1S1_1" formatStyle="Comma" appId="_GBC_c2b590ce2cf24711a0d840605c251bba"/>
      <m:item xlName="_GBC_b3f648feffd14851979ac34b7c2b1ef1" concept="clcid-pte:JiHuaZiChanDeGongYunJiaZhiJiHuaZiChanHuiBao" label="计划资产的公允价值-计划资产回报" periodRef="上年同期数" mulRef="_GBC_b0c9e6ca28a2421c9518371c2be78bd5" unitRef="_GBC_7f65fb2b67b845e9afe96325d0d11808" addr="T1R7C2S1_1" formatStyle="Comma" appId="_GBC_c2b590ce2cf24711a0d840605c251bba"/>
      <m:placeholder xlName="_PLD_4aa22ad1fc5f4373b744208381334e70" addr="T1R8C0S1_1"/>
      <m:item xlName="_GBC_93c60fc2d3d84a428c4a3ecfa117d9f6" concept="clcid-pte:JiHuaZiChanDeGongYunJiaZhiZiChanShangXianYingXiangDeBianDong" label="计划资产的公允价值-资产上限影响的变动" mulRef="_GBC_b0c9e6ca28a2421c9518371c2be78bd5" unitRef="_GBC_7f65fb2b67b845e9afe96325d0d11808" addr="T1R8C1S1_1" formatStyle="Comma" appId="_GBC_c2b590ce2cf24711a0d840605c251bba"/>
      <m:item xlName="_GBC_7c4f791599fd4ff1867de4a79e217b21" concept="clcid-pte:JiHuaZiChanDeGongYunJiaZhiZiChanShangXianYingXiangDeBianDong" label="计划资产的公允价值-资产上限影响的变动" periodRef="上年同期数" mulRef="_GBC_b0c9e6ca28a2421c9518371c2be78bd5" unitRef="_GBC_7f65fb2b67b845e9afe96325d0d11808" addr="T1R8C2S1_1" formatStyle="Comma" appId="_GBC_c2b590ce2cf24711a0d840605c251bba"/>
      <m:tuple xlName="_GBC_e33978c42efe4ec89fb11ad731b9745a" concept="clcid-pte:JiHuaZiChanJiRuQiTaZongHeShouYiDeSheDingShouYiChengBenMingXi" default_row="2" addr="T1R9C">
        <m:item xlName="_GBC_6f80a3ce858d47a0b3857c8dab6bff37" concept="clcid-pte:JiHuaZiChanJiRuQiTaZongHeShouYiDeSheDingShouYiChengBenMingXiXiangMuMingCheng" label="计划资产-计入其他综合收益的设定收益成本明细-项目名称" addr="T1R9C0S1_1" appId="_GBC_c2b590ce2cf24711a0d840605c251bba"/>
        <m:item xlName="_GBC_8f28c72ed4dc4ecc8385992471768285" concept="clcid-pte:JiHuaZiChanJiRuQiTaZongHeShouYiDeSheDingShouYiChengBenMingXiJinE" label="计划资产-计入其他综合收益的设定收益成本明细-金额" mulRef="_GBC_b0c9e6ca28a2421c9518371c2be78bd5" unitRef="_GBC_7f65fb2b67b845e9afe96325d0d11808" addr="T1R9C1S1_1" formatStyle="Comma" appId="_GBC_c2b590ce2cf24711a0d840605c251bba"/>
        <m:item xlName="_GBC_d3b856d9d833484ea7f7d2ef50904691" concept="clcid-pte:JiHuaZiChanJiRuQiTaZongHeShouYiDeSheDingShouYiChengBenMingXiJinE" label="计划资产-计入其他综合收益的设定收益成本明细-金额" periodRef="上年同期数" mulRef="_GBC_b0c9e6ca28a2421c9518371c2be78bd5" unitRef="_GBC_7f65fb2b67b845e9afe96325d0d11808" addr="T1R9C2S1_1" formatStyle="Comma" appId="_GBC_c2b590ce2cf24711a0d840605c251bba"/>
      </m:tuple>
      <m:placeholder xlName="_PLD_adea70a9bc974dc6988382bcf5cf44cd" addr="T1R11C0S1_1"/>
      <m:item xlName="_GBC_fe4197f3a4dd4e888f2cd1ff52a1e88d" concept="clcid-pte:JiHuaZiChanDeGongYunJiaZhiQiTaBianDong" label="计划资产的公允价值-其他变动" mulRef="_GBC_b0c9e6ca28a2421c9518371c2be78bd5" unitRef="_GBC_7f65fb2b67b845e9afe96325d0d11808" addr="T1R11C1S1_1" formatStyle="Comma" appId="_GBC_c2b590ce2cf24711a0d840605c251bba">
        <m:complexRule comparator="Eq" title="计划资产的公允价值-其他变动" id="Cdf24f980a6984ae8b7ebeeada5caef0a"/>
      </m:item>
      <m:item xlName="_GBC_d1b97523465a44e1be111207b9434e50" concept="clcid-pte:JiHuaZiChanDeGongYunJiaZhiQiTaBianDong" label="计划资产的公允价值-其他变动" periodRef="上年同期数" mulRef="_GBC_b0c9e6ca28a2421c9518371c2be78bd5" unitRef="_GBC_7f65fb2b67b845e9afe96325d0d11808" addr="T1R11C2S1_1" formatStyle="Comma" appId="_GBC_c2b590ce2cf24711a0d840605c251bba"/>
      <m:tuple xlName="_GBC_9464fa7cfd8f4b93820b97b6af3f1541" concept="clcid-pte:JiHuaZiChanQiTaBianDongMingXi" default_row="2" addr="T1R12C">
        <m:item xlName="_GBC_356345146fc6488a874dddca6f1cf928" concept="clcid-pte:JiHuaZiChanQiTaBianDongMingXiXiangMuMingCheng" label="计划资产-其他变动明细-项目名称" addr="T1R12C0S1_1" appId="_GBC_c2b590ce2cf24711a0d840605c251bba"/>
        <m:item xlName="_GBC_356aeacba1414de4a32095f88e57f378" concept="clcid-pte:JiHuaZiChanQiTaBianDongMingXiJinE" label="计划资产-其他变动明细-金额" mulRef="_GBC_b0c9e6ca28a2421c9518371c2be78bd5" unitRef="_GBC_7f65fb2b67b845e9afe96325d0d11808" addr="T1R12C1S1_1" formatStyle="Comma" appId="_GBC_c2b590ce2cf24711a0d840605c251bba"/>
        <m:item xlName="_GBC_5a3c306b1ef84b2b8a9f50cb0b623e26" concept="clcid-pte:JiHuaZiChanQiTaBianDongMingXiJinE" label="计划资产-其他变动明细-金额" periodRef="上年同期数" mulRef="_GBC_b0c9e6ca28a2421c9518371c2be78bd5" unitRef="_GBC_7f65fb2b67b845e9afe96325d0d11808" addr="T1R12C2S1_1" formatStyle="Comma" appId="_GBC_c2b590ce2cf24711a0d840605c251bba"/>
      </m:tuple>
      <m:placeholder xlName="_PLD_798e25c8897640e6b7c18ee2685d1f73" addr="T1R14C0S1_1"/>
      <m:item xlName="_GBC_e732f8d2514940178d0e0342925bc4ac" concept="clcid-pte:JiHuaZiChanDeGongYunJiaZhi" label="计划资产的公允价值" mulRef="_GBC_b0c9e6ca28a2421c9518371c2be78bd5" unitRef="_GBC_7f65fb2b67b845e9afe96325d0d11808" addr="T1R14C1S1_1" formatStyle="Comma" appId="_GBC_c2b590ce2cf24711a0d840605c251bba">
        <m:complexRule comparator="Eq" title="计划资产的公允价值" test=" $_GBC_19f3af04492c481e88c31990a2bfef3e +  $_GBC_1150ef4c5a7a42aba570ff686ae402d6 +  $_GBC_3818b0c779a44dcdaf510869552df39f +  $_GBC_fe4197f3a4dd4e888f2cd1ff52a1e88d" id="Cefdb3797283a456ca16c938580436822"/>
      </m:item>
      <m:item xlName="_GBC_d3d17bb6f5cd4608861f8bd73a0a0bca" concept="clcid-pte:JiHuaZiChanDeGongYunJiaZhi" label="计划资产的公允价值" periodRef="上年同期期末数" mulRef="_GBC_b0c9e6ca28a2421c9518371c2be78bd5" unitRef="_GBC_7f65fb2b67b845e9afe96325d0d11808" addr="T1R14C2S1_1" formatStyle="Comma" appId="_GBC_c2b590ce2cf24711a0d840605c251bba">
        <m:complexRule comparator="Eq" title="计划资产的公允价值@上年同期期末数" test=" $_GBC_27d67b0dd1ae4f0f9cac25a8efb19dcb +  $_GBC_9ff6190379e148f09d5abe83e9cb5f85 +  $_GBC_ec78f7464e19474b92660010ee1ade68 +  $_GBC_d1b97523465a44e1be111207b9434e50" id="C20b4066d3863443793844205fa1d8ae3"/>
      </m:item>
      <m:item xlName="_GBC_c9a00f9cf02f40478b9c06d7ded58e74" concept="clcid-ci-ar:ShiFouShiYongSheDingShouYiJiHuaBianDongQingKuangSheDingShouYiJiHuaJingFuZhai" label="是否适用：设定受益计划变动情况_设定受益计划净负债" selectOptions="_buildInAppliance" controlType="CustomCheckbox" cRanges="{&quot;StartName&quot;:&quot;_GBC_c9a00f9cf02f40478b9c06d7ded58e74&quot;,&quot;EndName&quot;:&quot;_GBC_d07fc758a0e042f58b15ca0a5f290e22&quot;,&quot;CType&quot;:1,&quot;DisplayText&quot;:null}"/>
      <m:item xlName="_GBC_54fbb7ef15b042f89b56d20b667a2060" concept="clcid-ci-ar:DanWeiCaiWuFuZhuSheDingShouYiJiHuaJingFuZhai" label="单位：财务附注：设定受益计划净负债" selectOptions="_buildInScales" controlType="Combobox" cellType="Scale" appId="_GBC_c9a00f9cf02f40478b9c06d7ded58e74"/>
      <m:item xlName="_GBC_2d5d717f2c854d76a0297479a4e0a843" concept="clcid-ci-ar:BiZhongCaiWuFuZhuSheDingShouYiJiHuaJingFuZhai" label="币种：财务附注：设定受益计划净负债" selectOptions="_buildInISO4217" controlType="Combobox" cellType="Measure" appId="_GBC_c9a00f9cf02f40478b9c06d7ded58e74"/>
      <m:placeholder xlName="_PLD_61ac687fac4043bda02be8394aecf94d" addr="T2R0C0S1_1"/>
      <m:placeholder xlName="_PLD_d4b13d12aa5c4ca19b6be5bdcebb5d2b" addr="T2R0C1S1_1"/>
      <m:placeholder xlName="_PLD_0512a503d7614b0594f8c1afa3ea96b1" addr="T2R0C2S1_1"/>
      <m:placeholder xlName="_PLD_13ab00000a374a44beda4a3cdc90def7" addr="T2R1C0S1_1"/>
      <m:item xlName="_GBC_9cb9c2cb1ea040ffa69802cfe9f8a9e6" concept="clcid-pte:SheDingShouYiJiHuaJingFuZhai" label="设定受益计划净负债" periodRef="本期期初数" mulRef="_GBC_54fbb7ef15b042f89b56d20b667a2060" unitRef="_GBC_2d5d717f2c854d76a0297479a4e0a843" addr="T2R1C1S1_1" formatStyle="Comma" appId="_GBC_c9a00f9cf02f40478b9c06d7ded58e74"/>
      <m:item xlName="_GBC_9ea15028b3d24825924a7fb610011774" concept="clcid-pte:SheDingShouYiJiHuaJingFuZhai" label="设定受益计划净负债" periodRef="上年同期期初数" mulRef="_GBC_54fbb7ef15b042f89b56d20b667a2060" unitRef="_GBC_2d5d717f2c854d76a0297479a4e0a843" addr="T2R1C2S1_1" formatStyle="Comma" appId="_GBC_c9a00f9cf02f40478b9c06d7ded58e74"/>
      <m:placeholder xlName="_PLD_e11e10f9c7ab4595ad3a9ed8cae1dd8c" addr="T2R2C0S1_1"/>
      <m:item xlName="_GBC_62d237468c5b4264864475739d5544dd" concept="clcid-pte:SheDingShouYiJiHuaJingFuZhaiJiRuDangQiSunYiDeSheDingShouYiChengBen" label="设定受益计划净负债-计入当期损益的设定受益成本" mulRef="_GBC_54fbb7ef15b042f89b56d20b667a2060" unitRef="_GBC_2d5d717f2c854d76a0297479a4e0a843" addr="T2R2C1S1_1" formatStyle="Comma" appId="_GBC_c9a00f9cf02f40478b9c06d7ded58e74"/>
      <m:item xlName="_GBC_68fa8198c58e4c40b60cd352e225c12c" concept="clcid-pte:SheDingShouYiJiHuaJingFuZhaiJiRuDangQiSunYiDeSheDingShouYiChengBen" label="设定受益计划净负债-计入当期损益的设定受益成本" periodRef="上年同期数" mulRef="_GBC_54fbb7ef15b042f89b56d20b667a2060" unitRef="_GBC_2d5d717f2c854d76a0297479a4e0a843" addr="T2R2C2S1_1" formatStyle="Comma" appId="_GBC_c9a00f9cf02f40478b9c06d7ded58e74"/>
      <m:placeholder xlName="_PLD_739df71bdc8643a58d9597c01d63f131" addr="T2R3C0S1_1"/>
      <m:item xlName="_GBC_c8d18e9b3ff94e5da05c67ce21045fa5" concept="clcid-pte:SheDingShouYiJiHuaJingFuZhaiJiRuQiTaZongHeShouYiDeSheDingShouYiChengBen" label="设定受益计划净负债-计入其他综合收益的设定收益成本" mulRef="_GBC_54fbb7ef15b042f89b56d20b667a2060" unitRef="_GBC_2d5d717f2c854d76a0297479a4e0a843" addr="T2R3C1S1_1" formatStyle="Comma" appId="_GBC_c9a00f9cf02f40478b9c06d7ded58e74"/>
      <m:item xlName="_GBC_ff4f93a311974d558785d14e7967b581" concept="clcid-pte:SheDingShouYiJiHuaJingFuZhaiJiRuQiTaZongHeShouYiDeSheDingShouYiChengBen" label="设定受益计划净负债-计入其他综合收益的设定收益成本" periodRef="上年同期数" mulRef="_GBC_54fbb7ef15b042f89b56d20b667a2060" unitRef="_GBC_2d5d717f2c854d76a0297479a4e0a843" addr="T2R3C2S1_1" formatStyle="Comma" appId="_GBC_c9a00f9cf02f40478b9c06d7ded58e74"/>
      <m:placeholder xlName="_PLD_306d25d71297462192a74d9e1e9a6900" addr="T2R4C0S1_1"/>
      <m:item xlName="_GBC_d0028e85a08845378c1c8822ef113749" concept="clcid-pte:SheDingShouYiJiHuaJingFuZhaiQiTaBianDong" label="设定受益计划净负债-其他变动" mulRef="_GBC_54fbb7ef15b042f89b56d20b667a2060" unitRef="_GBC_2d5d717f2c854d76a0297479a4e0a843" addr="T2R4C1S1_1" formatStyle="Comma" appId="_GBC_c9a00f9cf02f40478b9c06d7ded58e74"/>
      <m:item xlName="_GBC_819e81f2061d4648b9a5315ebc2f4d7c" concept="clcid-pte:SheDingShouYiJiHuaJingFuZhaiQiTaBianDong" label="设定受益计划净负债-其他变动" periodRef="上年同期数" mulRef="_GBC_54fbb7ef15b042f89b56d20b667a2060" unitRef="_GBC_2d5d717f2c854d76a0297479a4e0a843" addr="T2R4C2S1_1" formatStyle="Comma" appId="_GBC_c9a00f9cf02f40478b9c06d7ded58e74"/>
      <m:placeholder xlName="_PLD_27a294264bfe47ec8f16ebbbb9d266ed" addr="T2R5C0S1_1"/>
      <m:item xlName="_GBC_04e4e289183a4ead8d513aa1ad8825b1" concept="clcid-pte:SheDingShouYiJiHuaJingFuZhai" label="设定受益计划净负债" mulRef="_GBC_54fbb7ef15b042f89b56d20b667a2060" unitRef="_GBC_2d5d717f2c854d76a0297479a4e0a843" addr="T2R5C1S1_1" formatStyle="Comma" appId="_GBC_c9a00f9cf02f40478b9c06d7ded58e74">
        <m:complexRule comparator="Eq" title="设定受益计划净负债" test=" $_GBC_9cb9c2cb1ea040ffa69802cfe9f8a9e6 +  $_GBC_62d237468c5b4264864475739d5544dd +  $_GBC_c8d18e9b3ff94e5da05c67ce21045fa5 +  $_GBC_d0028e85a08845378c1c8822ef113749" id="C164ae421bd2d400da8eb4e35c63bbdf4"/>
      </m:item>
      <m:item xlName="_GBC_d07fc758a0e042f58b15ca0a5f290e22" concept="clcid-pte:SheDingShouYiJiHuaJingFuZhai" label="设定受益计划净负债" periodRef="上年同期期末数" mulRef="_GBC_54fbb7ef15b042f89b56d20b667a2060" unitRef="_GBC_2d5d717f2c854d76a0297479a4e0a843" addr="T2R5C2S1_1" formatStyle="Comma" appId="_GBC_c9a00f9cf02f40478b9c06d7ded58e74">
        <m:complexRule comparator="Eq" title="设定受益计划净负债@上年同期期末数" test=" $_GBC_9ea15028b3d24825924a7fb610011774 +  $_GBC_68fa8198c58e4c40b60cd352e225c12c +  $_GBC_ff4f93a311974d558785d14e7967b581 +  $_GBC_819e81f2061d4648b9a5315ebc2f4d7c" id="Cdc3a5e9d480146e6b42399708cb21561"/>
      </m:item>
      <m:item xlName="_GBC_2e34365c15bf476d97ccb2c983bcb127" concept="clcid-ci-ar:ShiFouShiYongSheDingShouYiJiHuaDeNeiRongJiYuZhiXiangGuanFengXianDuiGongSiWeiLaiXianJinLiuLiangShiJianHeBuQueDingXingDeYingXiangShuoMing" label="是否适用：设定受益计划的内容及与之相关风险、对公司未来现金流量、时间和不确定性的影响说明" selectOptions="_buildInAppliance" controlType="CustomCheckbox" cRanges="{&quot;StartName&quot;:&quot;_GBC_2e34365c15bf476d97ccb2c983bcb127&quot;,&quot;EndName&quot;:&quot;_GBC_f8515160622040f69e1004dae9dd0f07&quot;,&quot;CType&quot;:1,&quot;DisplayText&quot;:null}"/>
      <m:item xlName="_GBC_f8515160622040f69e1004dae9dd0f07" concept="clcid-pte:SheDingShouYiJiHuaDeNeiRongJiYuZhiXiangGuanFengXianDuiGongSiWeiLaiXianJinLiuLiangShiJianHeBuQueDingXingDeYingXiangShuoMing" label="设定受益计划的内容及与之相关风险、对公司未来现金流量、时间和不确定性的影响说明" appId="_GBC_2e34365c15bf476d97ccb2c983bcb127"/>
      <m:item xlName="_GBC_ca3d6135d7d142dba45a1fa5a5c4591a" concept="clcid-ci-ar:ShiFouShiYongSheDingShouYiJiHuaZhongDaJingSuanJiaSheJiMinGanXingFenXiJieGuoShuoMing" label="是否适用：设定受益计划重大精算假设及敏感性分析结果说明" selectOptions="_buildInAppliance" controlType="CustomCheckbox" cRanges="{&quot;StartName&quot;:&quot;_GBC_ca3d6135d7d142dba45a1fa5a5c4591a&quot;,&quot;EndName&quot;:&quot;_GBC_88568cc694784f799327f2375603537e&quot;,&quot;CType&quot;:1,&quot;DisplayText&quot;:null}"/>
      <m:item xlName="_GBC_88568cc694784f799327f2375603537e" concept="clcid-pte:SheDingShouYiJiHuaZhongDaJingSuanJiaSheJiMinGanXingFenXiJieGuoShuoMing" label="设定受益计划重大精算假设及敏感性分析结果说明" appId="_GBC_ca3d6135d7d142dba45a1fa5a5c4591a"/>
    </m:section>
    <m:section xlName="_GBC_9d7ebc39babc43788a550e83deca7fdc" title="长期应付职工薪酬的其他说明" helpId="112001097">
      <m:item xlName="_GBC_9621d9da5c12475c9b0ae742a1372566" concept="clcid-ci-ar:ShiFouShiYongChangQiYingFuZhiGongXinChouDeQiTaShuoMing" label="是否适用：长期应付职工薪酬的其他说明" selectOptions="_buildInAppliance" controlType="CustomCheckbox" cRanges="{&quot;StartName&quot;:&quot;_GBC_9621d9da5c12475c9b0ae742a1372566&quot;,&quot;EndName&quot;:&quot;_GBC_11b0805a85104151b95464d0af701946&quot;,&quot;CType&quot;:1,&quot;DisplayText&quot;:null}"/>
      <m:item xlName="_GBC_11b0805a85104151b95464d0af701946" concept="clcid-pte:ChangQiYingFuZhiGongXinChouDeQiTaShuoMing" label="长期应付职工薪酬的其他说明" appId="_GBC_9621d9da5c12475c9b0ae742a1372566"/>
    </m:section>
    <m:section xlName="_GBC_6b41f75046264d5392c8786bf4fd2da4" title="预计负债" convertSummaryRule="NoConvert" helpId="112001099">
      <m:item xlName="_GBC_1687da235caf410f866f00240cee7fdb" concept="clcid-ci-ar:ShiFouShiYongJiFuZhai" label="是否适用：预计负债" selectOptions="_buildInAppliance" controlType="CustomCheckbox" cRanges="{&quot;StartName&quot;:&quot;_GBC_1687da235caf410f866f00240cee7fdb&quot;,&quot;EndName&quot;:&quot;_GBC_d674f22c00c1425092bd34d8a8834fad&quot;,&quot;CType&quot;:1,&quot;DisplayText&quot;:null}"/>
      <m:item xlName="_GBC_cb4f52bf31e64f4c951a1d03c8737c2c" concept="clcid-ci-ar:DanWeiCaiWuFuZhuYuJiFuZhai" label="单位：财务附注：预计负债" selectOptions="_buildInScales" controlType="Combobox" cellType="Scale" appId="_GBC_1687da235caf410f866f00240cee7fdb"/>
      <m:item xlName="_GBC_c1e0a0d54ae34f37b10682c1542f4496" concept="clcid-ci-ar:BiZhongCaiWuFuZhuYuJiFuZhai" label="币种：财务附注：预计负债" selectOptions="_buildInISO4217" controlType="Combobox" cellType="Measure" appId="_GBC_1687da235caf410f866f00240cee7fdb"/>
      <m:placeholder xlName="_PLD_fc927e21b7894351850a5341390e71f1" addr="T0R0C0S1_1"/>
      <m:placeholder xlName="_PLD_6f816d98e70940cfbbbbb868b0aeb358" addr="T0R0C1S1_1"/>
      <m:placeholder xlName="_PLD_5448bfd35d2348cfac66de5cdfbc78a4" addr="T0R0C2S1_1"/>
      <m:placeholder xlName="_PLD_987f713faa85401c883cbd6dd67e70b8" addr="T0R0C3S1_1"/>
      <m:placeholder xlName="_PLD_93649cbf68b54d57809d9f333071f9a2" addr="T0R1C0S1_1"/>
      <m:item xlName="_GBC_66aa1a103caf4b3eac7bfcb429307180" concept="clcid-pte:YuJiFuZhaiZhongDeDuiWaiTiGongDanBao" label="预计负债中的对外提供担保" periodRef="本期期初数" mulRef="_GBC_cb4f52bf31e64f4c951a1d03c8737c2c" unitRef="_GBC_c1e0a0d54ae34f37b10682c1542f4496" addr="T0R1C1S1_1" formatStyle="Comma" appId="_GBC_1687da235caf410f866f00240cee7fdb"/>
      <m:item xlName="_GBC_a6f4939038604bea85aa904a010f9e7d" concept="clcid-pte:YuJiFuZhaiZhongDeDuiWaiTiGongDanBao" label="预计负债中的对外提供担保" mulRef="_GBC_cb4f52bf31e64f4c951a1d03c8737c2c" unitRef="_GBC_c1e0a0d54ae34f37b10682c1542f4496" addr="T0R1C2S1_1" formatStyle="Comma" appId="_GBC_1687da235caf410f866f00240cee7fdb"/>
      <m:item xlName="_GBC_bba6fc1ebadb4f93bf280a74d752ac4c" concept="clcid-pte:YuJiFuZhaiZhongDeDuiWaiTiGongDanBaoXingChengYuanYin" label="预计负债中的对外提供担保形成原因" addr="T0R1C3S1_1" appId="_GBC_1687da235caf410f866f00240cee7fdb"/>
      <m:placeholder xlName="_PLD_81fc69a2cce74d41b4a3275d0b854217" addr="T0R2C0S1_1"/>
      <m:item xlName="_GBC_ccd71168d5cd4da8a03828bfb8553614" concept="clcid-pte:YuJiFuZhaiZhongDeWeiJueSuSong" label="预计负债中的未决诉讼" periodRef="本期期初数" mulRef="_GBC_cb4f52bf31e64f4c951a1d03c8737c2c" unitRef="_GBC_c1e0a0d54ae34f37b10682c1542f4496" addr="T0R2C1S1_1" formatStyle="Comma" appId="_GBC_1687da235caf410f866f00240cee7fdb"/>
      <m:item xlName="_GBC_a9ba7326e9624987a49f2bf68c5d950d" concept="clcid-pte:YuJiFuZhaiZhongDeWeiJueSuSong" label="预计负债中的未决诉讼" mulRef="_GBC_cb4f52bf31e64f4c951a1d03c8737c2c" unitRef="_GBC_c1e0a0d54ae34f37b10682c1542f4496" addr="T0R2C2S1_1" formatStyle="Comma" appId="_GBC_1687da235caf410f866f00240cee7fdb"/>
      <m:item xlName="_GBC_8c39e555ca264a5c872947df97930445" concept="clcid-pte:YuJiFuZhaiZhongDeWeiJueSuSongXingChengYuanYin" label="预计负债中的未决诉讼形成原因" addr="T0R2C3S1_1" appId="_GBC_1687da235caf410f866f00240cee7fdb"/>
      <m:placeholder xlName="_PLD_48494f857e0740f6a4114136294a97a7" addr="T0R3C0S1_1"/>
      <m:item xlName="_GBC_086e28f2f6c943128a0ed41c4bbc3df1" concept="clcid-pte:YuJiFuZhaiZhongDeChanPinZhiLiangBaoZheng" label="预计负债中的产品质量保证" periodRef="本期期初数" mulRef="_GBC_cb4f52bf31e64f4c951a1d03c8737c2c" unitRef="_GBC_c1e0a0d54ae34f37b10682c1542f4496" addr="T0R3C1S1_1" formatStyle="Comma" appId="_GBC_1687da235caf410f866f00240cee7fdb"/>
      <m:item xlName="_GBC_d172817b2a9f43f9939c2d8a7606bba2" concept="clcid-pte:YuJiFuZhaiZhongDeChanPinZhiLiangBaoZheng" label="预计负债中的产品质量保证" mulRef="_GBC_cb4f52bf31e64f4c951a1d03c8737c2c" unitRef="_GBC_c1e0a0d54ae34f37b10682c1542f4496" addr="T0R3C2S1_1" formatStyle="Comma" appId="_GBC_1687da235caf410f866f00240cee7fdb"/>
      <m:item xlName="_GBC_7d3288bcd56b4d01b4a021daa54c4c4f" concept="clcid-pte:YuJiFuZhaiZhongDeChanPinZhiLiangBaoZhengXingChengYuanYin" label="预计负债中的产品质量保证形成原因" addr="T0R3C3S1_1" appId="_GBC_1687da235caf410f866f00240cee7fdb"/>
      <m:placeholder xlName="_PLD_fb0c4fb2f77842b284bbfd3e992ef2c5" addr="T0R4C0S1_1"/>
      <m:item xlName="_GBC_c433bd153c0b4f0db6ce3103a5065c17" concept="clcid-pte:YuJiFuZhaiZhongDeZhongZuYiWu" label="预计负债中的重组义务" periodRef="本期期初数" mulRef="_GBC_cb4f52bf31e64f4c951a1d03c8737c2c" unitRef="_GBC_c1e0a0d54ae34f37b10682c1542f4496" addr="T0R4C1S1_1" formatStyle="Comma" appId="_GBC_1687da235caf410f866f00240cee7fdb"/>
      <m:item xlName="_GBC_1a6d3ea76ee141f5b26883b9d38ccb07" concept="clcid-pte:YuJiFuZhaiZhongDeZhongZuYiWu" label="预计负债中的重组义务" mulRef="_GBC_cb4f52bf31e64f4c951a1d03c8737c2c" unitRef="_GBC_c1e0a0d54ae34f37b10682c1542f4496" addr="T0R4C2S1_1" formatStyle="Comma" appId="_GBC_1687da235caf410f866f00240cee7fdb"/>
      <m:item xlName="_GBC_fbc6a348fbde4caeb6f891d87d65bbf2" concept="clcid-pte:YuJiFuZhaiZhongDeZhongZuYiWuXingChengYuanYin" label="预计负债中的重组义务形成原因" addr="T0R4C3S1_1" appId="_GBC_1687da235caf410f866f00240cee7fdb"/>
      <m:placeholder xlName="_PLD_ae406fbfbb59463e918f766883c4e3a3" addr="T0R5C0S1_1"/>
      <m:item xlName="_GBC_4b3f7bfe012a49a18ab8878e21c440a9" concept="clcid-pte:YuJiFuZhaiZhongDeDaiZhiXingDeKuiSunHeTong" label="预计负债中的待执行的亏损合同" periodRef="本期期初数" mulRef="_GBC_cb4f52bf31e64f4c951a1d03c8737c2c" unitRef="_GBC_c1e0a0d54ae34f37b10682c1542f4496" addr="T0R5C1S1_1" formatStyle="Comma" appId="_GBC_1687da235caf410f866f00240cee7fdb"/>
      <m:item xlName="_GBC_b21a4a51f1ac4ca0941e5e55491b4482" concept="clcid-pte:YuJiFuZhaiZhongDeDaiZhiXingDeKuiSunHeTong" label="预计负债中的待执行的亏损合同" mulRef="_GBC_cb4f52bf31e64f4c951a1d03c8737c2c" unitRef="_GBC_c1e0a0d54ae34f37b10682c1542f4496" addr="T0R5C2S1_1" formatStyle="Comma" appId="_GBC_1687da235caf410f866f00240cee7fdb"/>
      <m:item xlName="_GBC_ea8bcc5f43f84cb1a5a7da06949a8592" concept="clcid-pte:YuJiFuZhaiZhongDeDaiZhiXingDeKuiSunHeTongXingChengYuanYin" label="预计负债中的待执行的亏损合同形成原因" addr="T0R5C3S1_1" appId="_GBC_1687da235caf410f866f00240cee7fdb"/>
      <m:placeholder xlName="_PLD_5fd9d95a8aca464da14aac9b5612ef83" addr="T0R6C0S1_1"/>
      <m:item xlName="_GBC_3051478662fc4b8c86f669a0b231b348" concept="clcid-pte:YuJiFuZhaiZhongDeYingFuTuiHuoKuan" label="预计负债中的应付退货款" periodRef="本期期初数" mulRef="_GBC_cb4f52bf31e64f4c951a1d03c8737c2c" unitRef="_GBC_c1e0a0d54ae34f37b10682c1542f4496" addr="T0R6C1S1_1" formatStyle="Comma" appId="_GBC_1687da235caf410f866f00240cee7fdb"/>
      <m:item xlName="_GBC_bea2f0fe7da04582a9c89c5e3d71298f" concept="clcid-pte:YuJiFuZhaiZhongDeYingFuTuiHuoKuan" label="预计负债中的应付退货款" mulRef="_GBC_cb4f52bf31e64f4c951a1d03c8737c2c" unitRef="_GBC_c1e0a0d54ae34f37b10682c1542f4496" addr="T0R6C2S1_1" formatStyle="Comma" appId="_GBC_1687da235caf410f866f00240cee7fdb"/>
      <m:item xlName="_GBC_f651daf39c524e79a3c896de33513da3" concept="clcid-pte:YuJiFuZhaiZhongDeYingFuTuiHuoKuanXingChengYuanYin" label="预计负债中的应付退货款形成原因" addr="T0R6C3S1_1" appId="_GBC_1687da235caf410f866f00240cee7fdb"/>
      <m:placeholder xlName="_PLD_96e768c848ec42e8bcab0dbff16e2b4b" addr="T0R7C0S1_1"/>
      <m:item xlName="_GBC_d5edd180cf9c4f0288c295734dcc079f" concept="clcid-pte:YuJiFuZhaiZhongDeQiTaYuJiFuZhai" label="预计负债中的其他预计负债" periodRef="本期期初数" mulRef="_GBC_cb4f52bf31e64f4c951a1d03c8737c2c" unitRef="_GBC_c1e0a0d54ae34f37b10682c1542f4496" addr="T0R7C1S1_1" formatStyle="Comma" appId="_GBC_1687da235caf410f866f00240cee7fdb"/>
      <m:item xlName="_GBC_a2e82d3162df48d8bae5da440354464c" concept="clcid-pte:YuJiFuZhaiZhongDeQiTaYuJiFuZhai" label="预计负债中的其他预计负债" mulRef="_GBC_cb4f52bf31e64f4c951a1d03c8737c2c" unitRef="_GBC_c1e0a0d54ae34f37b10682c1542f4496" addr="T0R7C2S1_1" formatStyle="Comma" appId="_GBC_1687da235caf410f866f00240cee7fdb"/>
      <m:item xlName="_GBC_3ada733d25f444b3ba16ac0ed3abdf07" concept="clcid-pte:YuJiFuZhaiZhongDeQiTaXingChengYuanYin" label="预计负债中的其他形成原因" addr="T0R7C3S1_1" appId="_GBC_1687da235caf410f866f00240cee7fdb"/>
      <m:tuple xlName="_GBC_5cf700910cc340f9a6a8c98630e6dc69" concept="clcid-pte:YuJiFuZhaiMingXi" default_row="2" addr="T0R8C">
        <m:item xlName="_GBC_12dade77ea9e44e1be696945d2ae95bc" concept="clcid-pte:YuJiFuZhaiXiangMu" label="预计负债项目" addr="T0R8C0S1_1" appId="_GBC_1687da235caf410f866f00240cee7fdb"/>
        <m:item xlName="_GBC_51dab7726bbe4768ad47b0f676b60b88" concept="clcid-pte:YuJiFuZhaiJinE" label="预计负债金额" periodRef="本期期初数" mulRef="_GBC_cb4f52bf31e64f4c951a1d03c8737c2c" unitRef="_GBC_c1e0a0d54ae34f37b10682c1542f4496" addr="T0R8C1S1_1" formatStyle="Comma" appId="_GBC_1687da235caf410f866f00240cee7fdb"/>
        <m:item xlName="_GBC_7f31dd0b57174702a92adf813870cfa5" concept="clcid-pte:YuJiFuZhaiJinE" label="预计负债金额" mulRef="_GBC_cb4f52bf31e64f4c951a1d03c8737c2c" unitRef="_GBC_c1e0a0d54ae34f37b10682c1542f4496" addr="T0R8C2S1_1" formatStyle="Comma" appId="_GBC_1687da235caf410f866f00240cee7fdb"/>
        <m:item xlName="_GBC_870e81c434a84b3586581ac1d64023b6" concept="clcid-pte:YuJiFuZhaiMingXiXingChengYuanYin" label="预计负债明细-形成原因" addr="T0R8C3S1_1" appId="_GBC_1687da235caf410f866f00240cee7fdb"/>
      </m:tuple>
      <m:placeholder xlName="_PLD_b9cf5ec4363246d39880d8a9118c7375" addr="T0R10C0S1_1"/>
      <m:item xlName="_GBC_1ac65c5665284bf9a04e820d33241a6c" concept="clcid-pte:YuJiFuZhai" label="预计负债" periodRef="本期期初数" mulRef="_GBC_cb4f52bf31e64f4c951a1d03c8737c2c" unitRef="_GBC_c1e0a0d54ae34f37b10682c1542f4496" addr="T0R10C1S1_1" formatStyle="Comma" appId="_GBC_1687da235caf410f866f00240cee7fdb"/>
      <m:item xlName="_GBC_effbcbbbf28c4cf0b29a42f0afc779f1" concept="clcid-pte:YuJiFuZhai" label="预计负债" mulRef="_GBC_cb4f52bf31e64f4c951a1d03c8737c2c" unitRef="_GBC_c1e0a0d54ae34f37b10682c1542f4496" addr="T0R10C2S1_1" formatStyle="Comma" appId="_GBC_1687da235caf410f866f00240cee7fdb"/>
      <m:item xlName="_GBC_d674f22c00c1425092bd34d8a8834fad" concept="clcid-pte:YuJiFuZhaiDeShuoMing" label="预计负债的说明" appId="_GBC_1687da235caf410f866f00240cee7fdb"/>
    </m:section>
    <m:section xlName="_GBC_8d74a4d69f6940c3968ca9c4cf2a1b4c" title="递延收益" rules="R2015_R11_019" helpId="112001100">
      <m:item xlName="_GBC_2c1393684e764245824b2390014e92f1" concept="clcid-ci-ar:ShiFouShiYongDiYanShouYiQingKuang" label="是否适用：递延收益情况 " selectOptions="_buildInAppliance" controlType="CustomCheckbox" cRanges="{&quot;StartName&quot;:&quot;_GBC_2c1393684e764245824b2390014e92f1&quot;,&quot;EndName&quot;:&quot;_GBC_681db72cbf574a7f9099bff382709b4d&quot;,&quot;CType&quot;:1,&quot;DisplayText&quot;:null}"/>
      <m:item xlName="_GBC_cf9505178ef64cd8b1a42757a7aaf77d" concept="clcid-ci-ar:DanWeiCaiWuFuZhuDiYanShouYi" label="单位：财务附注：递延收益" selectOptions="_buildInScales" controlType="Combobox" cellType="Scale" appId="_GBC_2c1393684e764245824b2390014e92f1"/>
      <m:item xlName="_GBC_b7ba9c3d835b413e83140a438bc5c413" concept="clcid-ci-ar:BiZhongCaiWuFuZhuDiYanShouYi" label="币种：财务附注：递延收益" selectOptions="_buildInISO4217" controlType="Combobox" cellType="Measure" appId="_GBC_2c1393684e764245824b2390014e92f1"/>
      <m:placeholder xlName="_PLD_eeb45564af314089916105a5217e0ff6" addr="T0R0C0S1_1"/>
      <m:placeholder xlName="_PLD_e0613743f99d4af58a75406a4e2ba5a1" addr="T0R0C1S1_1"/>
      <m:placeholder xlName="_PLD_a27f928ad4574fe594e5f995d7a37059" addr="T0R0C2S1_1"/>
      <m:placeholder xlName="_PLD_ed95bef3663d40fb90dd15d113f7f2c1" addr="T0R0C3S1_1"/>
      <m:placeholder xlName="_PLD_367cd0591009413e93857494eaf8170a" addr="T0R0C4S1_1"/>
      <m:placeholder xlName="_PLD_d61ffc61194047d79611cccd8488aece" addr="T0R0C5S1_1"/>
      <m:placeholder xlName="_PLD_c4ae7ac076814abda447ee2261fb9baa" addr="T0R1C0S1_1"/>
      <m:item xlName="_GBC_b657d9296d2044eabbbb653cc5eab10b" concept="clcid-pte:DiYanShouYiZhengFuBuZhu" label="递延收益-政府补助" periodRef="本期期初数" mulRef="_GBC_cf9505178ef64cd8b1a42757a7aaf77d" unitRef="_GBC_b7ba9c3d835b413e83140a438bc5c413" addr="T0R1C1S1_1" formatStyle="Comma" appId="_GBC_2c1393684e764245824b2390014e92f1"/>
      <m:item xlName="_GBC_730a8c53f26b4594acdb2f164c255243" concept="clcid-pte:ZhengFuBuZhuBenQiZengJia" label="政府补助本期增加" mulRef="_GBC_cf9505178ef64cd8b1a42757a7aaf77d" unitRef="_GBC_b7ba9c3d835b413e83140a438bc5c413" addr="T0R1C2S1_1" formatStyle="Comma" appId="_GBC_2c1393684e764245824b2390014e92f1"/>
      <m:item xlName="_GBC_e5ba873ccf7b44688d3c06f283366192" concept="clcid-pte:ZhengFuBuZhuBenQiJianShao" label="政府补助本期减少" mulRef="_GBC_cf9505178ef64cd8b1a42757a7aaf77d" unitRef="_GBC_b7ba9c3d835b413e83140a438bc5c413" addr="T0R1C3S1_1" formatStyle="Comma" appId="_GBC_2c1393684e764245824b2390014e92f1"/>
      <m:item xlName="_GBC_cd0a04c9cc4a417482e650e0ed4dd0d5" concept="clcid-pte:DiYanShouYiZhengFuBuZhu" label="递延收益-政府补助" mulRef="_GBC_cf9505178ef64cd8b1a42757a7aaf77d" unitRef="_GBC_b7ba9c3d835b413e83140a438bc5c413" addr="T0R1C4S1_1" formatStyle="Comma" appId="_GBC_2c1393684e764245824b2390014e92f1"/>
      <m:item xlName="_GBC_5b0a81571f124a40835b50a81d54519d" concept="clcid-pte:ZhengFuBuZhuXingChengDiYanShouYiDeYuanYin" label="政府补助形成递延收益的原因" addr="T0R1C5S1_1" appId="_GBC_2c1393684e764245824b2390014e92f1"/>
      <m:tuple xlName="_GBC_b0fa056469b546388c2961108a7e62c7" concept="clcid-pte:DiYanShouYiMingXi" default_row="2" addr="T0R2C">
        <m:item xlName="_GBC_763492dae3c64b0f805ea383696f07be" concept="clcid-pte:DiYanShouYiMingXiXiangMuMingCheng" label="递延收益明细-项目名称" addr="T0R2C0S1_1" appId="_GBC_2c1393684e764245824b2390014e92f1"/>
        <m:item xlName="_GBC_a357e1d156304c03baeb6f54e6537da8" concept="clcid-pte:DiYanShouYiMingXiXingJinE" label="递延收益明细-金额" periodRef="本期期初数" mulRef="_GBC_cf9505178ef64cd8b1a42757a7aaf77d" unitRef="_GBC_b7ba9c3d835b413e83140a438bc5c413" addr="T0R2C1S1_1" formatStyle="Comma" appId="_GBC_2c1393684e764245824b2390014e92f1"/>
        <m:item xlName="_GBC_89bbbbcdcc51496a9e20ecbb58669909" concept="clcid-pte:DiYanShouYiMingXiBenQiZengJia" label="递延收益明细-本期增加" mulRef="_GBC_cf9505178ef64cd8b1a42757a7aaf77d" unitRef="_GBC_b7ba9c3d835b413e83140a438bc5c413" addr="T0R2C2S1_1" formatStyle="Comma" appId="_GBC_2c1393684e764245824b2390014e92f1"/>
        <m:item xlName="_GBC_b3742b7cdaf4438bbdea23c48d383ed9" concept="clcid-pte:DiYanShouYiMingXiBenQiJianShao" label="递延收益明细-本期减少" mulRef="_GBC_cf9505178ef64cd8b1a42757a7aaf77d" unitRef="_GBC_b7ba9c3d835b413e83140a438bc5c413" addr="T0R2C3S1_1" formatStyle="Comma" appId="_GBC_2c1393684e764245824b2390014e92f1"/>
        <m:item xlName="_GBC_4051fb95115d440582fc865c01ba27c5" concept="clcid-pte:DiYanShouYiMingXiXingJinE" label="递延收益明细-金额" mulRef="_GBC_cf9505178ef64cd8b1a42757a7aaf77d" unitRef="_GBC_b7ba9c3d835b413e83140a438bc5c413" addr="T0R2C4S1_1" formatStyle="Comma" appId="_GBC_2c1393684e764245824b2390014e92f1">
          <m:complexRule comparator="Eq" title="递延收益" test=" $_GBC_a357e1d156304c03baeb6f54e6537da8 +  $_GBC_89bbbbcdcc51496a9e20ecbb58669909 -  $_GBC_b3742b7cdaf4438bbdea23c48d383ed9" id="C748e5fc625a64f319a147a3eea3f2c9a"/>
        </m:item>
        <m:item xlName="_GBC_4a655c08c1994cb49a32e636715e9d47" concept="clcid-pte:DiYanShouYiMingXiXingChengYuanYin" label="递延收益明细-形成原因" addr="T0R2C5S1_1" appId="_GBC_2c1393684e764245824b2390014e92f1"/>
      </m:tuple>
      <m:placeholder xlName="_PLD_dc5eff4e97a943cb9b913ed360e42749" addr="T0R4C0S1_1"/>
      <m:item xlName="_GBC_5ef81e0fa40b412eb33596c3e2d53fa5" concept="clcid-pte:DiYanShouYi" label="递延收益" periodRef="本期期初数" mulRef="_GBC_cf9505178ef64cd8b1a42757a7aaf77d" unitRef="_GBC_b7ba9c3d835b413e83140a438bc5c413" addr="T0R4C1S1_1" formatStyle="Comma" appId="_GBC_2c1393684e764245824b2390014e92f1">
        <m:complexRule comparator="Eq" title="递延收益@本期期初数" test=" $_GBC_b657d9296d2044eabbbb653cc5eab10b +  $_GBC_a357e1d156304c03baeb6f54e6537da8" id="C0bf5c07501744df69f905007b0a4bdca" serialType="1"/>
      </m:item>
      <m:item xlName="_GBC_b1796283e6e34c28b324eed55d0162db" concept="clcid-pte:DiYanShouYiBenQiZengJia" label="递延收益本期增加" mulRef="_GBC_cf9505178ef64cd8b1a42757a7aaf77d" unitRef="_GBC_b7ba9c3d835b413e83140a438bc5c413" addr="T0R4C2S1_1" formatStyle="Comma" appId="_GBC_2c1393684e764245824b2390014e92f1">
        <m:complexRule comparator="Eq" title="递延收益本期增加" test=" $_GBC_730a8c53f26b4594acdb2f164c255243 +  $_GBC_89bbbbcdcc51496a9e20ecbb58669909" id="Ca0320454b7ee48c99848f389dc8a3c9a" serialType="1"/>
      </m:item>
      <m:item xlName="_GBC_7c83e7ac416f4427893ae0f716c64e05" concept="clcid-pte:DiYanShouYiBenQiJianShao" label="递延收益本期减少" mulRef="_GBC_cf9505178ef64cd8b1a42757a7aaf77d" unitRef="_GBC_b7ba9c3d835b413e83140a438bc5c413" addr="T0R4C3S1_1" formatStyle="Comma" appId="_GBC_2c1393684e764245824b2390014e92f1">
        <m:complexRule comparator="Eq" title="递延收益本期减少" test=" $_GBC_e5ba873ccf7b44688d3c06f283366192 +  $_GBC_b3742b7cdaf4438bbdea23c48d383ed9" id="C86377996f0704c2093ea80045d535167" serialType="1"/>
      </m:item>
      <m:item xlName="_GBC_681db72cbf574a7f9099bff382709b4d" concept="clcid-pte:DiYanShouYi" label="递延收益" mulRef="_GBC_cf9505178ef64cd8b1a42757a7aaf77d" unitRef="_GBC_b7ba9c3d835b413e83140a438bc5c413" addr="T0R4C4S1_1" formatStyle="Comma" appId="_GBC_2c1393684e764245824b2390014e92f1">
        <m:complexRule comparator="Eq" title="递延收益横向合计" test=" $_GBC_5ef81e0fa40b412eb33596c3e2d53fa5 +  $_GBC_b1796283e6e34c28b324eed55d0162db -  $_GBC_7c83e7ac416f4427893ae0f716c64e05" id="C3dec845a18a54c1e810591e727e86461"/>
        <m:complexRule comparator="Eq" title="递延收益" test=" $_GBC_cd0a04c9cc4a417482e650e0ed4dd0d5 +  $_GBC_4051fb95115d440582fc865c01ba27c5" id="C1703b06b91904f078bc37b5ec667c905" serialType="1"/>
      </m:item>
    </m:section>
    <m:section xlName="_GBC_e1594f7b2d3e4b13b3e32c6cde5b210a" title="涉及政府补助的负债项目" rules="R2015_R11_019" convertSummaryRule="NoConvert" helpId="112001100">
      <m:item xlName="_GBC_4c2c8447eb53428b988a5a364f2b236d" concept="clcid-ci-ar:ShiFouShiYongSheJiZhengFuBuZhuDeXiangMuDiYanShouYi" label="是否适用：涉及政府补助的项目_递延收益" selectOptions="_buildInAppliance" controlType="CustomCheckbox" cRanges="[{&quot;StartName&quot;:&quot;_GBC_4c2c8447eb53428b988a5a364f2b236d&quot;,&quot;EndName&quot;:&quot;_GBC_d6d1e32b88e34a59a6aae48aaa41f022&quot;,&quot;CType&quot;:1}]"/>
      <m:item xlName="_GBC_4f9266926e0c4363993dcb162380db9b" concept="clcid-ci-ar:DanWeiCaiWuFuZhuSheJiZhengFuBuZhuDeFuZhaiXiangMu" label="单位：财务附注：涉及政府补助的负债项目" selectOptions="_buildInScales" controlType="Combobox" cellType="Scale" appId="_GBC_4c2c8447eb53428b988a5a364f2b236d"/>
      <m:item xlName="_GBC_f798b0de29de4c7da52adfc6a422901f" concept="clcid-ci-ar:BiZhongCaiWuFuZhuSheJiZhengFuBuZhuDeFuZhaiXiangMu" label="币种：财务附注：涉及政府补助的负债项目" selectOptions="_buildInISO4217" controlType="Combobox" cellType="Measure" appId="_GBC_4c2c8447eb53428b988a5a364f2b236d"/>
      <m:placeholder xlName="_PLD_1bd0a5248adb4713bfd06318a3648ceb" addr="T0R0C0S1_1"/>
      <m:placeholder xlName="_PLD_11c88b40e8554a8db9e52728554ced53" addr="T0R0C1S1_1"/>
      <m:placeholder xlName="_PLD_7b99be0925d1402da7bf5455be12c194" addr="T0R0C2S1_1"/>
      <m:placeholder xlName="_PLD_d945d90b68594904a9453791791d4ffa" addr="T0R0C3S1_1"/>
      <m:placeholder xlName="_PLD_ac6886b89ddd4b75abc97b3f03668943" addr="T0R0C4S1_1"/>
      <m:placeholder xlName="_PLD_822d9fedb3374c6199e425909b88c066" addr="T0R0C5S1_1"/>
      <m:placeholder xlName="_PLD_1a96043f63c146309b6472d84b4d7aa6" addr="T0R0C6S1_1"/>
      <m:placeholder xlName="_PLD_b9b21d1fe20343d597f3219a3532324a" addr="T0R0C7S1_1"/>
      <m:tuple xlName="_GBC_57fa178d03fa46a3befea9bbb3ebc131" concept="clcid-pte:SheJiZhengFuBuZhuDeFuZhaiXiangMuMingXi" default_row="2" addr="T0R1C">
        <m:item xlName="_GBC_62f99116d4d14c2298ca2201ae2a7a17" concept="clcid-pte:SheJiZhengFuBuZhuDeFuZhaiXiangMuMingCheng" label="涉及政府补助的负债项目名称" addr="T0R1C0S1_1" appId="_GBC_4c2c8447eb53428b988a5a364f2b236d"/>
        <m:item xlName="_GBC_ef257545368740859560069795cfb7dc" concept="clcid-pte:SheJiZhengFuBuZhuDeFuZhaiXiangMuJinE" label="涉及政府补助的负债项目金额" periodRef="本期期初数" mulRef="_GBC_4f9266926e0c4363993dcb162380db9b" unitRef="_GBC_f798b0de29de4c7da52adfc6a422901f" addr="T0R1C1S1_1" formatStyle="Comma" appId="_GBC_4c2c8447eb53428b988a5a364f2b236d"/>
        <m:item xlName="_GBC_f407996d442746c488477c744a3acb48" concept="clcid-pte:SheJiZhengFuBuZhuDeFuZhaiXiangMuBenQiXinZengBuZhuJinE" label="涉及政府补助的负债项目-本期新增补助金额" mulRef="_GBC_4f9266926e0c4363993dcb162380db9b" unitRef="_GBC_f798b0de29de4c7da52adfc6a422901f" addr="T0R1C2S1_1" formatStyle="Comma" appId="_GBC_4c2c8447eb53428b988a5a364f2b236d"/>
        <m:item xlName="_GBC_07f7b686aa1541a5bdb3f6bc4b36b662" concept="clcid-pte:SheJiZhengFuBuZhuDeFuZhaiXiangMuBenQiXinJiRuYingYeWaiShouRuJinE" label="涉及政府补助的负债项目-本期新计入营业外收入金额" mulRef="_GBC_4f9266926e0c4363993dcb162380db9b" unitRef="_GBC_f798b0de29de4c7da52adfc6a422901f" addr="T0R1C3S1_1" formatStyle="Comma" appId="_GBC_4c2c8447eb53428b988a5a364f2b236d"/>
        <m:item xlName="_GBC_342144f65e924443ab3a12e556691f12" concept="clcid-pte:SheJiZhengFuBuZhuDeFuZhaiXiangMuBenQiXinJiRuQiTaSunYiJinE" label="涉及政府补助的负债项目-本期新计入其他损益金额" mulRef="_GBC_4f9266926e0c4363993dcb162380db9b" unitRef="_GBC_f798b0de29de4c7da52adfc6a422901f" addr="T0R1C4S1_1" formatStyle="Comma" appId="_GBC_4c2c8447eb53428b988a5a364f2b236d"/>
        <m:item xlName="_GBC_04cf6bdbca1343b5b36c8a4f7c0e1f11" concept="clcid-pte:SheJiZhengFuBuZhuDeFuZhaiXiangMuQiTaBianDong" label="涉及政府补助的负债项目-其他变动" mulRef="_GBC_4f9266926e0c4363993dcb162380db9b" unitRef="_GBC_f798b0de29de4c7da52adfc6a422901f" addr="T0R1C5S1_1" formatStyle="Comma" appId="_GBC_4c2c8447eb53428b988a5a364f2b236d"/>
        <m:item xlName="_GBC_33a049bb868f49f991ca71e72942e2ab" concept="clcid-pte:SheJiZhengFuBuZhuDeFuZhaiXiangMuJinE" label="涉及政府补助的负债项目金额" mulRef="_GBC_4f9266926e0c4363993dcb162380db9b" unitRef="_GBC_f798b0de29de4c7da52adfc6a422901f" addr="T0R1C6S1_1" formatStyle="Comma" appId="_GBC_4c2c8447eb53428b988a5a364f2b236d"/>
        <m:item xlName="_GBC_d6d1e32b88e34a59a6aae48aaa41f022" concept="clcid-pte:SheJiZhengFuBuZhuDeFuZhaiXiangMuYuZiChanXiangGuanYuShouYiXiangGuan" label="涉及政府补助的负债项目-与资产相关/与收益相关" addr="T0R1C7S1_1" appId="_GBC_4c2c8447eb53428b988a5a364f2b236d"/>
      </m:tuple>
    </m:section>
    <m:section xlName="_GBC_3e5bdbca1c524ed19d397da3dfaf83a9" title="递延收益其他说明" rules="R2015_R11_019" helpId="112001100">
      <m:item xlName="_GBC_da5e8f76ba934c9e8efb4ab4d41c9f8c" concept="clcid-ci-ar:ShiFouShiYongDiYanShouYiDeQiTaShuoMing" label="是否适用：递延收益的其他说明" selectOptions="_buildInAppliance" controlType="CustomCheckbox" cRanges="{&quot;StartName&quot;:&quot;_GBC_da5e8f76ba934c9e8efb4ab4d41c9f8c&quot;,&quot;EndName&quot;:&quot;_GBC_e8c5cb3f7d5541eda9cccad5c92bc633&quot;,&quot;CType&quot;:1,&quot;DisplayText&quot;:null}"/>
      <m:item xlName="_GBC_e8c5cb3f7d5541eda9cccad5c92bc633" concept="clcid-pte:DiYanShouYiDeQiTaShuoMing" label="递延收益的其他说明" appId="_GBC_da5e8f76ba934c9e8efb4ab4d41c9f8c"/>
    </m:section>
    <m:section xlName="_GBC_ebdcd37ba77540d78079b1e51c20b6ce" title="其他非流动负债" convertSummaryRule="NoConvert" helpId="112001235">
      <m:item xlName="_GBC_bb8a5c7236564ec0823cbced5ea78e62" concept="clcid-ci-ar:ShiFouShiYongQiTaFeiLiuDongFuZhai" label="是否适用：其他非流动负债" selectOptions="_buildInAppliance" controlType="CustomCheckbox" cRanges="{&quot;StartName&quot;:&quot;_GBC_bb8a5c7236564ec0823cbced5ea78e62&quot;,&quot;EndName&quot;:&quot;_GBC_8424078e59404c4a8aa6644833876098&quot;,&quot;CType&quot;:1,&quot;DisplayText&quot;:null}"/>
      <m:item xlName="_GBC_56e598e0f2684388ba1e16051e8df70a" concept="clcid-ci-ar:DanWeiCaiWuFuZhuQiTaFeiLiuDongFuZhai" label="单位：财务附注：其他非流动负债" selectOptions="_buildInScales" controlType="Combobox" cellType="Scale" appId="_GBC_bb8a5c7236564ec0823cbced5ea78e62"/>
      <m:item xlName="_GBC_ae4dfd619eb84b209c018d043a83dfcf" concept="clcid-ci-ar:BiZhongCaiWuFuZhuQiTaFeiLiuDongFuZhai" label="币种：财务附注：其他非流动负债" selectOptions="_buildInISO4217" controlType="Combobox" cellType="Measure" appId="_GBC_bb8a5c7236564ec0823cbced5ea78e62"/>
      <m:placeholder xlName="_PLD_a28f7f3041514231843ad3ee7ffea03b" addr="T0R0C0S1_1"/>
      <m:placeholder xlName="_PLD_57665fafbbe043c5bf52499c94bca1a1" addr="T0R0C1S1_1"/>
      <m:placeholder xlName="_PLD_dcebd4f9b4a649088465ddfef12fdcb8" addr="T0R0C2S1_1"/>
      <m:placeholder xlName="_PLD_bb889565b63247f69d629f45f72434df" addr="T0R1C0S1_1"/>
      <m:item xlName="_GBC_87cf55cc12ea4201adb81264f69622e8" concept="clcid-pte:QiTaFeiLiuDongFuZhaiHeTongFuZhai" label="其他非流动负债-合同负债" mulRef="_GBC_56e598e0f2684388ba1e16051e8df70a" unitRef="_GBC_ae4dfd619eb84b209c018d043a83dfcf" addr="T0R1C1S1_1" formatStyle="Comma" appId="_GBC_bb8a5c7236564ec0823cbced5ea78e62"/>
      <m:item xlName="_GBC_8056e926408f48a8ad75b9e45f16a235" concept="clcid-pte:QiTaFeiLiuDongFuZhaiHeTongFuZhai" label="其他非流动负债-合同负债" periodRef="本期期初数" mulRef="_GBC_56e598e0f2684388ba1e16051e8df70a" unitRef="_GBC_ae4dfd619eb84b209c018d043a83dfcf" addr="T0R1C2S1_1" formatStyle="Comma" appId="_GBC_bb8a5c7236564ec0823cbced5ea78e62"/>
      <m:tuple xlName="_GBC_ff830f571df54af4807198be0e187a23" concept="clcid-pte:QiTaFeiLiuDongFuZhaiMingXi" default_row="2" addr="T0R2C">
        <m:item xlName="_GBC_609949f31f264cc4b405aea71c52ffd5" concept="clcid-pte:QiTaFeiLiuDongFuZhaiMingXiXiangMu" label="其他非流动负债明细-项目" addr="T0R2C0S1_1" appId="_GBC_bb8a5c7236564ec0823cbced5ea78e62"/>
        <m:item xlName="_GBC_3fbf648900944e37a37d8ff3c31bae7e" concept="clcid-pte:QiTaFeiLiuDongFuZhaiMingXiZhangMianYuE" label="其他非流动负债明细-账面余额" mulRef="_GBC_56e598e0f2684388ba1e16051e8df70a" unitRef="_GBC_ae4dfd619eb84b209c018d043a83dfcf" addr="T0R2C1S1_1" formatStyle="Comma" appId="_GBC_bb8a5c7236564ec0823cbced5ea78e62"/>
        <m:item xlName="_GBC_3779b958a3374ff78d6096dfb9cc1ca7" concept="clcid-pte:QiTaFeiLiuDongFuZhaiMingXiZhangMianYuE" label="其他非流动负债明细-账面余额" periodRef="本期期初数" mulRef="_GBC_56e598e0f2684388ba1e16051e8df70a" unitRef="_GBC_ae4dfd619eb84b209c018d043a83dfcf" addr="T0R2C2S1_1" formatStyle="Comma" appId="_GBC_bb8a5c7236564ec0823cbced5ea78e62"/>
      </m:tuple>
      <m:placeholder xlName="_PLD_04fbc805c16c4bee8284be6ff421cbe8" addr="T0R4C0S1_1"/>
      <m:item xlName="_GBC_147a675eae3546f1ba5051b471c8bb85" concept="clcid-pte:QiTaChangQiFuZhai" label="其他长期负债" mulRef="_GBC_56e598e0f2684388ba1e16051e8df70a" unitRef="_GBC_ae4dfd619eb84b209c018d043a83dfcf" addr="T0R4C1S1_1" formatStyle="Comma" appId="_GBC_bb8a5c7236564ec0823cbced5ea78e62">
        <m:complexRule comparator="Eq" title="其他长期负债" test=" $_GBC_87cf55cc12ea4201adb81264f69622e8 +  $_GBC_3fbf648900944e37a37d8ff3c31bae7e" id="C5bc23477010f42f3ad792915ed0d60a9"/>
      </m:item>
      <m:item xlName="_GBC_34026a728a9b4d099ef3bf7700801371" concept="clcid-pte:QiTaChangQiFuZhai" label="其他长期负债" periodRef="本期期初数" mulRef="_GBC_56e598e0f2684388ba1e16051e8df70a" unitRef="_GBC_ae4dfd619eb84b209c018d043a83dfcf" addr="T0R4C2S1_1" formatStyle="Comma" appId="_GBC_bb8a5c7236564ec0823cbced5ea78e62">
        <m:complexRule comparator="Eq" title="其他长期负债@本期期初数" test=" $_GBC_3779b958a3374ff78d6096dfb9cc1ca7 +  $_GBC_8056e926408f48a8ad75b9e45f16a235" id="C64756499fbf8468c865eeaa8eb65589d"/>
      </m:item>
      <m:item xlName="_GBC_8424078e59404c4a8aa6644833876098" concept="clcid-pte:QiTaFeiLiuDongFuZhaiShuoMing" label="其他非流动负债说明" appId="_GBC_bb8a5c7236564ec0823cbced5ea78e62"/>
    </m:section>
    <m:section xlName="_GBC_7f4b2f9bba854132af4bbd6504a10383" title="股本" convertSummaryRule="NoConvert" helpId="112001101">
      <m:item xlName="_GBC_a88b08589cbb4302b29839808faa8a3b" concept="clcid-ci-ar:ShiFouShiYongGuBen" label="是否适用：股本" selectOptions="_buildInAppliance" controlType="CustomCheckbox" cRanges="{&quot;StartName&quot;:&quot;_GBC_a88b08589cbb4302b29839808faa8a3b&quot;,&quot;EndName&quot;:&quot;_GBC_752687f835754470ad7a125ef32391e4&quot;,&quot;CType&quot;:1,&quot;DisplayText&quot;:null}"/>
      <m:item xlName="_GBC_cf915ea45a234de2a2455824dedc3c82" concept="clcid-ci-ar:DanWeiCaiWuFuZhuGuBen" label="单位：财务附注：股本" selectOptions="_buildInScales" controlType="Combobox" cellType="Scale" appId="_GBC_a88b08589cbb4302b29839808faa8a3b"/>
      <m:item xlName="_GBC_2dcc7ff328cf480296bdddce64b88cf1" concept="clcid-ci-ar:BiZhongCaiWuFuZhuGuBen" label="币种：财务附注：股本" selectOptions="_buildInISO4217" controlType="Combobox" cellType="Measure" appId="_GBC_a88b08589cbb4302b29839808faa8a3b"/>
      <m:placeholder xlName="_PLD_7ad9a0911e364e48bc565dc3ed809692" addr="T0R0C1S2_1"/>
      <m:placeholder xlName="_PLD_33945fdb28e344edaa7d118a9aa07d7d" addr="T0R0C2S1_5"/>
      <m:placeholder xlName="_PLD_a0390714e323429ab6e793f9a610df70" addr="T0R0C7S2_1"/>
      <m:placeholder xlName="_PLD_fe0b182c33854e5bb51d2d2a3cd1dd7f" addr="T0R1C2S1_1"/>
      <m:placeholder xlName="_PLD_80e7c94a1831488d89d22be722443897" addr="T0R1C3S1_1"/>
      <m:placeholder xlName="_PLD_c1d7f04883eb4aaa9c52067f145ec081" addr="T0R1C4S1_1"/>
      <m:placeholder xlName="_PLD_6e44c9cf090243e19b20f1e88e8231ef" addr="T0R1C5S1_1"/>
      <m:placeholder xlName="_PLD_0cee72421f954c94ba296c709c84ef52" addr="T0R1C6S1_1"/>
      <m:placeholder xlName="_PLD_0c4dca616a0e4126a03d9e8b2ef3c6bc" addr="T0R2C0S1_1"/>
      <m:item xlName="_GBC_3238f68701ef45a6a860fa08dc7db876" concept="clcid-cgi:CaiWuFuZhuGuFenZongShu" label="财务附注股份总数" periodRef="本期期初数" mulRef="_GBC_cf915ea45a234de2a2455824dedc3c82" unitRef="_GBC_2dcc7ff328cf480296bdddce64b88cf1" addr="T0R2C1S1_1" formatStyle="Comma" appId="_GBC_a88b08589cbb4302b29839808faa8a3b"/>
      <m:item xlName="_GBC_ad7c54ae59ef49a4a42d76e67d5de746" concept="clcid-cgi:CaiWuFuZhuGuFenZongShuFaXingXinGuBianDongZengJian" label="财务附注股份总数发行新股变动增减" mulRef="_GBC_cf915ea45a234de2a2455824dedc3c82" unitRef="_GBC_2dcc7ff328cf480296bdddce64b88cf1" addr="T0R2C2S1_1" formatStyle="Comma" appId="_GBC_a88b08589cbb4302b29839808faa8a3b"/>
      <m:item xlName="_GBC_1b1faa7c6eee4b858b186fbef7f0b3a1" concept="clcid-cgi:CaiWuFuZhuGuFenZongShuSongGuBianDongZengJian" label="财务附注股份总数送股变动增减" mulRef="_GBC_cf915ea45a234de2a2455824dedc3c82" unitRef="_GBC_2dcc7ff328cf480296bdddce64b88cf1" addr="T0R2C3S1_1" formatStyle="Comma" appId="_GBC_a88b08589cbb4302b29839808faa8a3b"/>
      <m:item xlName="_GBC_61a9b62b42a84fbcb3e47c33c15ed77e" concept="clcid-cgi:CaiWuFuZhuGuFenZongShuGongJiJinZhuanGuBianDongZengJian" label="财务附注股份总数公积金转股变动增减" mulRef="_GBC_cf915ea45a234de2a2455824dedc3c82" unitRef="_GBC_2dcc7ff328cf480296bdddce64b88cf1" addr="T0R2C4S1_1" formatStyle="Comma" appId="_GBC_a88b08589cbb4302b29839808faa8a3b"/>
      <m:item xlName="_GBC_de98feb25e4a41e19dc1c566579c91ca" concept="clcid-cgi:CaiWuFuZhuGuFenZongShuQiTaBianDongZengJian" label="财务附注股份总数其他变动增减" mulRef="_GBC_cf915ea45a234de2a2455824dedc3c82" unitRef="_GBC_2dcc7ff328cf480296bdddce64b88cf1" addr="T0R2C5S1_1" formatStyle="Comma" appId="_GBC_a88b08589cbb4302b29839808faa8a3b"/>
      <m:item xlName="_GBC_e39f7d1df6974d2cb4eae4a4653c2a3f" concept="clcid-cgi:CaiWuFuZhuGuFenZongShuBianDongZengJianXiaoJi" label="财务附注股份总数变动增减小计" mulRef="_GBC_cf915ea45a234de2a2455824dedc3c82" unitRef="_GBC_2dcc7ff328cf480296bdddce64b88cf1" addr="T0R2C6S1_1" formatStyle="Comma" appId="_GBC_a88b08589cbb4302b29839808faa8a3b">
        <m:complexRule comparator="Eq" title="财务附注股份总数变动增减小计" test=" $_GBC_ad7c54ae59ef49a4a42d76e67d5de746 +  $_GBC_1b1faa7c6eee4b858b186fbef7f0b3a1 +  $_GBC_61a9b62b42a84fbcb3e47c33c15ed77e +  $_GBC_de98feb25e4a41e19dc1c566579c91ca" id="Cd7a74e37861e4800a46bfc646e8ef41d"/>
      </m:item>
      <m:item xlName="_GBC_87fc7bdf791d4145927d4b5882dcdacd" concept="clcid-cgi:CaiWuFuZhuGuFenZongShu" label="财务附注股份总数" mulRef="_GBC_cf915ea45a234de2a2455824dedc3c82" unitRef="_GBC_2dcc7ff328cf480296bdddce64b88cf1" addr="T0R2C7S1_1" formatStyle="Comma" appId="_GBC_a88b08589cbb4302b29839808faa8a3b">
        <m:complexRule comparator="Eq" title="财务附注股份总数" test=" $_GBC_3238f68701ef45a6a860fa08dc7db876 +  $_GBC_e39f7d1df6974d2cb4eae4a4653c2a3f" id="C03e382513ecb4d05b572f8a6db19c785"/>
      </m:item>
      <m:item xlName="_GBC_752687f835754470ad7a125ef32391e4" concept="clcid-cgi:GuBenBianDongQingKuangShuoMing" label="股本变动情况说明" appId="_GBC_a88b08589cbb4302b29839808faa8a3b"/>
    </m:section>
    <m:section xlName="_GBC_4f862512b6914630932c1857df6db6e4" title="其他权益工具" helpId="112001102">
      <m:item xlName="_GBC_54d54ac45fe745e1aad9be61a846261f" concept="clcid-ci-ar:ShiFouShiYongQiMoFaXingZaiWaiDeYouXianGuYongXuZhaiDengQiTaJinRongGongJuJiBenQingKuang" label="是否适用：期末发行在外的优先股、永续债等其他金融工具基本情况" selectOptions="_buildInAppliance" controlType="CustomCheckbox" cRanges="{&quot;StartName&quot;:&quot;_GBC_54d54ac45fe745e1aad9be61a846261f&quot;,&quot;EndName&quot;:&quot;_GBC_b6d48d750caa456ab1f6c2c1e7dc6e80&quot;,&quot;CType&quot;:1,&quot;DisplayText&quot;:null}"/>
      <m:item xlName="_GBC_b6d48d750caa456ab1f6c2c1e7dc6e80" concept="clcid-pte:QiTaQuanYiGongJuXiaQiMoFaXingZaiWaiDeYouXianGuYongXuZhaiDengQiTaJinRongGongJuJiBenQingKuangDeShuoMing" label="其他权益工具下期末发行在外的优先股、永续债等其他金融工具基本情况的说明" appId="_GBC_54d54ac45fe745e1aad9be61a846261f"/>
      <m:item xlName="_GBC_e8c53693e19e485cba80f7cd2a15ab4c" concept="clcid-ci-ar:ShiFouShiYongQiMoFaXingZaiWaiDeYouXianGuYongXuZhaiDengJinRongGongJuBianDongQingKuangBiaoQiTaQuanYiGongJu" label="是否适用：期末发行在外的优先股、永续债等金融工具变动情况表_其他权益工具" selectOptions="_buildInAppliance" controlType="CustomCheckbox" cRanges="{&quot;StartName&quot;:&quot;_GBC_e8c53693e19e485cba80f7cd2a15ab4c&quot;,&quot;EndName&quot;:&quot;_GBC_8bbc9af94f7c40c09f06f91408ae8a2a&quot;,&quot;CType&quot;:1,&quot;DisplayText&quot;:null}"/>
      <m:item xlName="_GBC_51d3c8d018b845ab94e8869d86fc9e62" concept="clcid-ci-ar:DanWeiCaiWuFuZhuQiMoFaXingZaiWaiDeYouXianGuYongXuZhaiDengJinRongGongJuBianDongQingKuangBiaoQiTaQuanYiGongJu" label="单位：财务附注：期末发行在外的优先股、永续债等金融工具变动情况表（其他权益工具）" selectOptions="_buildInScales" controlType="Combobox" cellType="Scale" appId="_GBC_e8c53693e19e485cba80f7cd2a15ab4c"/>
      <m:item xlName="_GBC_d1b7e1db232f48c18444ea05ff987879" concept="clcid-ci-ar:BiZhongCaiWuFuZhuQiMoFaXingZaiWaiDeYouXianGuYongXuZhaiDengJinRongGongJuBianDongQingKuangBiaoQiTaQuanYiGongJu" label="币种：财务附注：期末发行在外的优先股、永续债等金融工具变动情况表（其他权益工具）" selectOptions="_buildInISO4217" controlType="Combobox" cellType="Measure" appId="_GBC_e8c53693e19e485cba80f7cd2a15ab4c"/>
      <m:placeholder xlName="_PLD_3e0e6f84e37d485086b05b3ef0c4d78f" addr="T0R0C0S2_1"/>
      <m:placeholder xlName="_PLD_903b0562622c4a3698e9b65b1f69abae" addr="T0R0C1S1_2"/>
      <m:placeholder xlName="_PLD_fd88122bcaa44cf58030ce837d1651d5" addr="T0R0C3S1_2"/>
      <m:placeholder xlName="_PLD_74b91cad66b54154ad74ec67fd76efbe" addr="T0R0C5S1_2"/>
      <m:placeholder xlName="_PLD_35d10d2bfc784a68a424614d2047ccd4" addr="T0R0C7S1_2"/>
      <m:placeholder xlName="_PLD_67ee2e5b20fe47e2920574240ec4bae0" addr="T0R1C1S1_1"/>
      <m:placeholder xlName="_PLD_6d0220433d65493a85d718d809113628" addr="T0R1C2S1_1"/>
      <m:placeholder xlName="_PLD_e5f9ce4cefe7442e9151ec0470a684ce" addr="T0R1C3S1_1"/>
      <m:placeholder xlName="_PLD_18daed53b0344e2abbe426fced4e46e3" addr="T0R1C4S1_1"/>
      <m:placeholder xlName="_PLD_80d1bf173c3d424ca6a5e203df652bfe" addr="T0R1C5S1_1"/>
      <m:placeholder xlName="_PLD_bbc352b5fb614d588d39ec42b9facf67" addr="T0R1C6S1_1"/>
      <m:placeholder xlName="_PLD_c397d08facdc4b048a485e1790f164a9" addr="T0R1C7S1_1"/>
      <m:placeholder xlName="_PLD_fa9501b27ffb47a2974cdc54edda39da" addr="T0R1C8S1_1"/>
      <m:tuple xlName="_GBC_20f230eab0284a7693900d7a33813e89" concept="clcid-pte:QiTaQuanYiGongJuXiaFaXingZaiWaiDeYouXianGuYongXuZhaiDengJinRongGongJuBianDongQingKuangBiaoMingXi" default_row="2" addr="T0R2C">
        <m:item xlName="_GBC_39b26fef9af148b1910b287f06973360" concept="clcid-pte:QiTaQuanYiGongJuXiaFaXingZaiWaiDeYouXianGuYongXuZhaiDengJinRongGongJuBianDongQingKuangBiaoMingXiQiTaQuanYiGongJuXiaFaXingZaiWaiDeJinRongGongJuMingCheng" label="其他权益工具下发行在外的优先股、永续债等金融工具变动情况表明细-其他权益工具下发行在外的金融工具名称" addr="T0R2C0S1_1" appId="_GBC_e8c53693e19e485cba80f7cd2a15ab4c"/>
        <m:item xlName="_GBC_5bac8f6282a24811834201c646980942" concept="clcid-pte:QiTaQuanYiGongJuXiaFaXingZaiWaiDeYouXianGuYongXuZhaiDengJinRongGongJuBianDongQingKuangBiaoMingXiShuLiang" label="其他权益工具下发行在外的优先股、永续债等金融工具变动情况表明细-数量" periodRef="本期期初数" addr="T0R2C1S1_1" formatStyle="Comma" appId="_GBC_e8c53693e19e485cba80f7cd2a15ab4c"/>
        <m:item xlName="_GBC_9b4ac2f65160447bbbb6f56761bd329f" concept="clcid-pte:QiTaQuanYiGongJuXiaFaXingZaiWaiDeYouXianGuYongXuZhaiDengJinRongGongJuBianDongQingKuangBiaoMingXiZhangMianJiaZhi" label="其他权益工具下发行在外的优先股、永续债等金融工具变动情况表明细-账面价值" periodRef="本期期初数" mulRef="_GBC_51d3c8d018b845ab94e8869d86fc9e62" unitRef="_GBC_d1b7e1db232f48c18444ea05ff987879" addr="T0R2C2S1_1" formatStyle="Comma" appId="_GBC_e8c53693e19e485cba80f7cd2a15ab4c"/>
        <m:item xlName="_GBC_e701f82db57c40859d73703091366622" concept="clcid-pte:QiTaQuanYiGongJuXiaFaXingZaiWaiDeYouXianGuYongXuZhaiDengJinRongGongJuBianDongQingKuangBiaoMingXiBenQiZengJiaShuLiang" label="其他权益工具下发行在外的优先股、永续债等金融工具变动情况表明细-本期增加数量" addr="T0R2C3S1_1" formatStyle="Comma" appId="_GBC_e8c53693e19e485cba80f7cd2a15ab4c"/>
        <m:item xlName="_GBC_2cdfa2f811394acb82981a1be915107d" concept="clcid-pte:QiTaQuanYiGongJuXiaFaXingZaiWaiDeYouXianGuYongXuZhaiDengJinRongGongJuBianDongQingKuangBiaoMingXiBenQiZengJiaZhangMianJiaZhi" label="其他权益工具下发行在外的优先股、永续债等金融工具变动情况表明细-本期增加账面价值" mulRef="_GBC_51d3c8d018b845ab94e8869d86fc9e62" unitRef="_GBC_d1b7e1db232f48c18444ea05ff987879" addr="T0R2C4S1_1" formatStyle="Comma" appId="_GBC_e8c53693e19e485cba80f7cd2a15ab4c"/>
        <m:item xlName="_GBC_06394679afca477d9405157a38246f55" concept="clcid-pte:QiTaQuanYiGongJuXiaFaXingZaiWaiDeYouXianGuYongXuZhaiDengJinRongGongJuBianDongQingKuangBiaoMingXiBenQiJianShaoShuLiang" label="其他权益工具下发行在外的优先股、永续债等金融工具变动情况表明细-本期减少数量" addr="T0R2C5S1_1" formatStyle="Comma" appId="_GBC_e8c53693e19e485cba80f7cd2a15ab4c"/>
        <m:item xlName="_GBC_347723ef2d244650a9f684841d7181ca" concept="clcid-pte:QiTaQuanYiGongJuXiaFaXingZaiWaiDeYouXianGuYongXuZhaiDengJinRongGongJuBianDongQingKuangBiaoMingXiBenQiJianShaoZhangMianJiaZhi" label="其他权益工具下发行在外的优先股、永续债等金融工具变动情况表明细-本期减少账面价值" mulRef="_GBC_51d3c8d018b845ab94e8869d86fc9e62" unitRef="_GBC_d1b7e1db232f48c18444ea05ff987879" addr="T0R2C6S1_1" formatStyle="Comma" appId="_GBC_e8c53693e19e485cba80f7cd2a15ab4c"/>
        <m:item xlName="_GBC_1535b707f6e446ba94defffeeaa630aa" concept="clcid-pte:QiTaQuanYiGongJuXiaFaXingZaiWaiDeYouXianGuYongXuZhaiDengJinRongGongJuBianDongQingKuangBiaoMingXiShuLiang" label="其他权益工具下发行在外的优先股、永续债等金融工具变动情况表明细-数量" addr="T0R2C7S1_1" formatStyle="Comma" appId="_GBC_e8c53693e19e485cba80f7cd2a15ab4c"/>
        <m:item xlName="_GBC_61a5b018ce1845cdb4eba78cea67e4a5" concept="clcid-pte:QiTaQuanYiGongJuXiaFaXingZaiWaiDeYouXianGuYongXuZhaiDengJinRongGongJuBianDongQingKuangBiaoMingXiZhangMianJiaZhi" label="其他权益工具下发行在外的优先股、永续债等金融工具变动情况表明细-账面价值" mulRef="_GBC_51d3c8d018b845ab94e8869d86fc9e62" unitRef="_GBC_d1b7e1db232f48c18444ea05ff987879" addr="T0R2C8S1_1" formatStyle="Comma" appId="_GBC_e8c53693e19e485cba80f7cd2a15ab4c"/>
      </m:tuple>
      <m:placeholder xlName="_PLD_67617dc816b24eba9c28348f2efa0cc1" addr="T0R4C0S1_1"/>
      <m:item xlName="_GBC_da61210746644e47be18d2c7823036bd" concept="clcid-pte:QiTaQuanYiGongJuXiaFaXingZaiWaiDeYouXianGuYongXuZhaiDengJinRongGongJuBianDongShuLiangHeJi" label="其他权益工具下发行在外的优先股、永续债等金融工具变动数量合计" periodRef="本期期初数" addr="T0R4C1S1_1" formatStyle="Comma" appId="_GBC_e8c53693e19e485cba80f7cd2a15ab4c">
        <m:complexRule comparator="Eq" title="其他权益工具下发行在外的优先股、永续债等金融工具变动数量合计@本期期初数" test=" $_GBC_5bac8f6282a24811834201c646980942" id="C9230c896bbd3448090695e5ce7d25c1a"/>
      </m:item>
      <m:item xlName="_GBC_5fcd9fe523e64d5f83f9ae7cbf790bc6" concept="clcid-pte:QiTaQuanYiGongJuXiaFaXingZaiWaiDeYouXianGuYongXuZhaiDengJinRongGongJuBianDongZhangMianJiaZhiHeJi" label="其他权益工具下发行在外的优先股、永续债等金融工具变动账面价值合计" periodRef="本期期初数" mulRef="_GBC_51d3c8d018b845ab94e8869d86fc9e62" unitRef="_GBC_d1b7e1db232f48c18444ea05ff987879" addr="T0R4C2S1_1" formatStyle="Comma" appId="_GBC_e8c53693e19e485cba80f7cd2a15ab4c">
        <m:complexRule comparator="Eq" title="其他权益工具下发行在外的优先股、永续债等金融工具变动账面价值合计@本期期初数" test=" $_GBC_9b4ac2f65160447bbbb6f56761bd329f" id="C71eb1b24884449c4b610cdff19a41829"/>
      </m:item>
      <m:item xlName="_GBC_c071f15cd89b4c0d8a4ef96d0224ce09" concept="clcid-pte:QiTaQuanYiGongJuXiaFaXingZaiWaiDeYouXianGuYongXuZhaiDengJinRongGongJuBianDongBenQiZengJiaShuLiangHeJi" label="其他权益工具下发行在外的优先股、永续债等金融工具变动本期增加数量合计" addr="T0R4C3S1_1" formatStyle="Comma" appId="_GBC_e8c53693e19e485cba80f7cd2a15ab4c">
        <m:complexRule comparator="Eq" title="其他权益工具下发行在外的优先股、永续债等金融工具变动本期增加数量合计" test=" $_GBC_e701f82db57c40859d73703091366622" id="C4228569ee0164daeabad04830a5aa90f"/>
      </m:item>
      <m:item xlName="_GBC_0d24a2c350464c8c9b19ffc9af372994" concept="clcid-pte:QiTaQuanYiGongJuXiaFaXingZaiWaiDeYouXianGuYongXuZhaiDengJinRongGongJuBianDongBenQiZengJiaZhangMianJiaZhiHeJi" label="其他权益工具下发行在外的优先股、永续债等金融工具变动本期增加账面价值合计" mulRef="_GBC_51d3c8d018b845ab94e8869d86fc9e62" unitRef="_GBC_d1b7e1db232f48c18444ea05ff987879" addr="T0R4C4S1_1" formatStyle="Comma" appId="_GBC_e8c53693e19e485cba80f7cd2a15ab4c">
        <m:complexRule comparator="Eq" title="其他权益工具下发行在外的优先股、永续债等金融工具变动本期增加账面价值合计" test=" $_GBC_2cdfa2f811394acb82981a1be915107d" id="C0dfa103ff3344ab8b523ae8430ca923d"/>
      </m:item>
      <m:item xlName="_GBC_4bc4dd7e57294919957db20b0c37c734" concept="clcid-pte:QiTaQuanYiGongJuXiaFaXingZaiWaiDeYouXianGuYongXuZhaiDengJinRongGongJuBianDongBenQiJianShaoShuLiangHeJi" label="其他权益工具下发行在外的优先股、永续债等金融工具变动本期减少数量合计" addr="T0R4C5S1_1" formatStyle="Comma" appId="_GBC_e8c53693e19e485cba80f7cd2a15ab4c">
        <m:complexRule comparator="Eq" title="其他权益工具下发行在外的优先股、永续债等金融工具变动本期减少数量合计" test=" $_GBC_06394679afca477d9405157a38246f55" id="C3a273ddaf99f4300804d93e68a11c467"/>
      </m:item>
      <m:item xlName="_GBC_a7f272ced17e4e3fb64a775dec98b094" concept="clcid-pte:QiTaQuanYiGongJuXiaFaXingZaiWaiDeYouXianGuYongXuZhaiDengJinRongGongJuBianDongBenQiJianShaoZhangMianJiaZhiHeJi" label="其他权益工具下发行在外的优先股、永续债等金融工具变动本期减少账面价值合计" mulRef="_GBC_51d3c8d018b845ab94e8869d86fc9e62" unitRef="_GBC_d1b7e1db232f48c18444ea05ff987879" addr="T0R4C6S1_1" formatStyle="Comma" appId="_GBC_e8c53693e19e485cba80f7cd2a15ab4c">
        <m:complexRule comparator="Eq" title="其他权益工具下发行在外的优先股、永续债等金融工具变动本期减少账面价值合计" test=" $_GBC_347723ef2d244650a9f684841d7181ca" id="C4744d69e1da6479eb109f89ec0da6112"/>
      </m:item>
      <m:item xlName="_GBC_98953ce465cc46d9bc66a1f8852b6272" concept="clcid-pte:QiTaQuanYiGongJuXiaFaXingZaiWaiDeYouXianGuYongXuZhaiDengJinRongGongJuBianDongShuLiangHeJi" label="其他权益工具下发行在外的优先股、永续债等金融工具变动数量合计" addr="T0R4C7S1_1" formatStyle="Comma" appId="_GBC_e8c53693e19e485cba80f7cd2a15ab4c">
        <m:complexRule comparator="Eq" title="其他权益工具下发行在外的优先股、永续债等金融工具变动数量合计" test=" $_GBC_1535b707f6e446ba94defffeeaa630aa" id="C14b7d56c75e64bec8afbcdb6902c2da8"/>
      </m:item>
      <m:item xlName="_GBC_8bbc9af94f7c40c09f06f91408ae8a2a" concept="clcid-pte:QiTaQuanYiGongJuXiaFaXingZaiWaiDeYouXianGuYongXuZhaiDengJinRongGongJuBianDongZhangMianJiaZhiHeJi" label="其他权益工具下发行在外的优先股、永续债等金融工具变动账面价值合计" mulRef="_GBC_51d3c8d018b845ab94e8869d86fc9e62" unitRef="_GBC_d1b7e1db232f48c18444ea05ff987879" addr="T0R4C8S1_1" formatStyle="Comma" appId="_GBC_e8c53693e19e485cba80f7cd2a15ab4c">
        <m:complexRule comparator="Eq" title="其他权益工具下发行在外的优先股、永续债等金融工具变动账面价值合计" test=" $_GBC_61a5b018ce1845cdb4eba78cea67e4a5" id="C53312e13cc5f48b0b7658c813f61cb5b"/>
      </m:item>
      <m:item xlName="_GBC_6229f0070f0a4c838e1e39f678f8a7bb" concept="clcid-ci-ar:ShiFouShiYongQiTaQuanYiGongJuBenQiZengJianBianDongQingKuangBianDongYuanYinShuoMingYiJiXiangGuanHuiJiChuLiDeYiJu" label="是否适用：其他权益工具本期增减变动情况、变动原因说明，以及相关会计处理的依据" selectOptions="_buildInAppliance" controlType="CustomCheckbox" cRanges="{&quot;StartName&quot;:&quot;_GBC_6229f0070f0a4c838e1e39f678f8a7bb&quot;,&quot;EndName&quot;:&quot;_GBC_b349bde68ba643038f1fc6068db580e8&quot;,&quot;CType&quot;:1,&quot;DisplayText&quot;:null}"/>
      <m:item xlName="_GBC_b349bde68ba643038f1fc6068db580e8" concept="clcid-pte:QiTaQuanYiGongJuBianDongYuanYinJiXiangGuanHuiJiChuLiDeYiJu" label="其他权益工具变动原因及相关会计处理的依据" appId="_GBC_6229f0070f0a4c838e1e39f678f8a7bb"/>
      <m:item xlName="_GBC_297d299126b041159b18d012f9a18c2e" concept="clcid-ci-ar:ShiFouShiYongQiTaQuanYiGongJuDeQiTaShuoMing" label="是否适用：其他权益工具的其他说明" selectOptions="_buildInAppliance" controlType="CustomCheckbox" cRanges="{&quot;StartName&quot;:&quot;_GBC_297d299126b041159b18d012f9a18c2e&quot;,&quot;EndName&quot;:&quot;_GBC_a3b870c59c2c47ed894220f5ff982b19&quot;,&quot;CType&quot;:1,&quot;DisplayText&quot;:null}"/>
      <m:item xlName="_GBC_a3b870c59c2c47ed894220f5ff982b19" concept="clcid-pte:QiTaQuanYiGongJuDeQiTaShuoMing" label="其他权益工具的其他说明" appId="_GBC_297d299126b041159b18d012f9a18c2e"/>
    </m:section>
    <m:section xlName="_GBC_23fef1c643714b9f82710e33a1bef935" title="资本公积" convertSummaryRule="NoConvert" helpId="112001105">
      <m:item xlName="_GBC_70f32b67ce344a03adfc93d4ed72949a" concept="clcid-ci-ar:ShiFouShiYongZiBenGongJi" label="是否适用：资本公积" selectOptions="_buildInAppliance" controlType="CustomCheckbox" cRanges="{&quot;StartName&quot;:&quot;_GBC_70f32b67ce344a03adfc93d4ed72949a&quot;,&quot;EndName&quot;:&quot;_GBC_014f0762b4274266bec2aa5231aa0981&quot;,&quot;CType&quot;:1,&quot;DisplayText&quot;:null}"/>
      <m:item xlName="_GBC_88633009fdc64f4e8238c38541b33615" concept="clcid-ci-ar:DanWeiCaiWuFuZhuZiBenGongJi" label="单位：财务附注：资本公积" selectOptions="_buildInScales" controlType="Combobox" cellType="Scale" appId="_GBC_70f32b67ce344a03adfc93d4ed72949a"/>
      <m:item xlName="_GBC_636aa96d47cb426abc64fc00b61c9353" concept="clcid-ci-ar:BiZhongCaiWuFuZhuZiBenGongJi" label="币种：财务附注：资本公积" selectOptions="_buildInISO4217" controlType="Combobox" cellType="Measure" appId="_GBC_70f32b67ce344a03adfc93d4ed72949a"/>
      <m:placeholder xlName="_PLD_177c011500e64862903c4c16dbb2f31f" addr="T0R0C0S1_1"/>
      <m:placeholder xlName="_PLD_1519f0add67f49df9173f37c00215eef" addr="T0R0C1S1_1"/>
      <m:placeholder xlName="_PLD_dcbf1fd9bcaa41fc8ff4def2d0e55143" addr="T0R0C2S1_1"/>
      <m:placeholder xlName="_PLD_9d88d0ce99474d389c660c414306497d" addr="T0R0C3S1_1"/>
      <m:placeholder xlName="_PLD_4c3f2255a4a24c1cae63eb0cc7781f12" addr="T0R0C4S1_1"/>
      <m:placeholder xlName="_PLD_6f0c6094ea774cff87e6eacd4eb8ba12" addr="T0R1C0S1_1"/>
      <m:item xlName="_GBC_bcaa5e7e997a4a56a916d4f332fd4b6b" concept="clcid-pte:ZiBenGongJiHeJiGuBenYiJia" label="股本溢价合计" periodRef="本期期初数" mulRef="_GBC_88633009fdc64f4e8238c38541b33615" unitRef="_GBC_636aa96d47cb426abc64fc00b61c9353" addr="T0R1C1S1_1" formatStyle="Comma" appId="_GBC_70f32b67ce344a03adfc93d4ed72949a"/>
      <m:item xlName="_GBC_4a92a82def81420fa3337b8dedcf823b" concept="clcid-pte:ZiBenGongJiZengJiaShuGuBenYiJia" label="股本溢价增加数" mulRef="_GBC_88633009fdc64f4e8238c38541b33615" unitRef="_GBC_636aa96d47cb426abc64fc00b61c9353" addr="T0R1C2S1_1" formatStyle="Comma" appId="_GBC_70f32b67ce344a03adfc93d4ed72949a"/>
      <m:item xlName="_GBC_0a283b035846438093c0edaba0828964" concept="clcid-pte:ZiBenGongJiJianShaoShuGuBenYiJia" label="股本溢价减少数" mulRef="_GBC_88633009fdc64f4e8238c38541b33615" unitRef="_GBC_636aa96d47cb426abc64fc00b61c9353" addr="T0R1C3S1_1" formatStyle="Comma" appId="_GBC_70f32b67ce344a03adfc93d4ed72949a"/>
      <m:item xlName="_GBC_382d3f38e1a941b0849dd26c338ec0ac" concept="clcid-pte:ZiBenGongJiHeJiGuBenYiJia" label="股本溢价合计" mulRef="_GBC_88633009fdc64f4e8238c38541b33615" unitRef="_GBC_636aa96d47cb426abc64fc00b61c9353" addr="T0R1C4S1_1" formatStyle="Comma" appId="_GBC_70f32b67ce344a03adfc93d4ed72949a">
        <m:complexRule comparator="Eq" title="股本溢价合计" test=" $_GBC_bcaa5e7e997a4a56a916d4f332fd4b6b +  $_GBC_4a92a82def81420fa3337b8dedcf823b -  $_GBC_0a283b035846438093c0edaba0828964" id="C256a809e284a4298a1ebe216a9152c7c"/>
      </m:item>
      <m:placeholder xlName="_PLD_0d65c4a2c84c464d8e7b1cc66155d272" addr="T0R2C0S1_1"/>
      <m:item xlName="_GBC_5de2b14c3f594719bfad283f58bdf3a3" concept="clcid-pte:ZiBenGongJiHeJiQiTaZiBenGongJi" label="其他资本公积合计" periodRef="本期期初数" mulRef="_GBC_88633009fdc64f4e8238c38541b33615" unitRef="_GBC_636aa96d47cb426abc64fc00b61c9353" addr="T0R2C1S1_1" formatStyle="Comma" appId="_GBC_70f32b67ce344a03adfc93d4ed72949a"/>
      <m:item xlName="_GBC_7b1e5ba355544e11992dda6ba9ca6db8" concept="clcid-pte:ZiBenGongJiZengJiaShuQiTaZiBenGongJi" label="其他资本公积增加数" mulRef="_GBC_88633009fdc64f4e8238c38541b33615" unitRef="_GBC_636aa96d47cb426abc64fc00b61c9353" addr="T0R2C2S1_1" formatStyle="Comma" appId="_GBC_70f32b67ce344a03adfc93d4ed72949a"/>
      <m:item xlName="_GBC_76732842982849228ec23453c08a6781" concept="clcid-pte:ZiBenGongJiJianShaoShuQiTaZiBenGongJi" label="其他资本公积减少数" mulRef="_GBC_88633009fdc64f4e8238c38541b33615" unitRef="_GBC_636aa96d47cb426abc64fc00b61c9353" addr="T0R2C3S1_1" formatStyle="Comma" appId="_GBC_70f32b67ce344a03adfc93d4ed72949a"/>
      <m:item xlName="_GBC_13e889c1d3a74bc6af7e58d5b022515a" concept="clcid-pte:ZiBenGongJiHeJiQiTaZiBenGongJi" label="其他资本公积合计" mulRef="_GBC_88633009fdc64f4e8238c38541b33615" unitRef="_GBC_636aa96d47cb426abc64fc00b61c9353" addr="T0R2C4S1_1" formatStyle="Comma" appId="_GBC_70f32b67ce344a03adfc93d4ed72949a">
        <m:complexRule comparator="Eq" title="其他资本公积合计" test=" $_GBC_5de2b14c3f594719bfad283f58bdf3a3 +  $_GBC_7b1e5ba355544e11992dda6ba9ca6db8 -  $_GBC_76732842982849228ec23453c08a6781" id="Cf4d649c8d88a4f6f8b5b3da4b83d9c98"/>
      </m:item>
      <m:tuple xlName="_GBC_902bf873b0134f1f82fab45d702c1204" concept="clcid-pte:ZiBenGongJiLieXiangMingXi" default_row="2" addr="T0R3C">
        <m:item xlName="_GBC_726d1dd0e6824c1eb79f9a2bb063ebe0" concept="clcid-pte:ZiBenGongJiLieXiangMingXiXiangMuMingCheng" label="资本公积列项明细－项目名称" addr="T0R3C0S1_1" appId="_GBC_70f32b67ce344a03adfc93d4ed72949a"/>
        <m:item xlName="_GBC_4225e577e60e40f2a2e932adabac3393" concept="clcid-pte:ZiBenGongJiLieXiangMingXiJinE" label="资本公积列项明细－金额" periodRef="本期期初数" mulRef="_GBC_88633009fdc64f4e8238c38541b33615" unitRef="_GBC_636aa96d47cb426abc64fc00b61c9353" addr="T0R3C1S1_1" formatStyle="Comma" appId="_GBC_70f32b67ce344a03adfc93d4ed72949a"/>
        <m:item xlName="_GBC_7d26c0cad9214e22a93343f51b497a1d" concept="clcid-pte:ZiBenGongJiLieXiangMingXiBenQiZengJia" label="资本公积列项明细－本期增加" mulRef="_GBC_88633009fdc64f4e8238c38541b33615" unitRef="_GBC_636aa96d47cb426abc64fc00b61c9353" addr="T0R3C2S1_1" formatStyle="Comma" appId="_GBC_70f32b67ce344a03adfc93d4ed72949a"/>
        <m:item xlName="_GBC_df2e953f06534de690d8d2d75a85a390" concept="clcid-pte:ZiBenGongJiLieXiangMingXiBenQiJianShao" label="资本公积列项明细－本期减少" mulRef="_GBC_88633009fdc64f4e8238c38541b33615" unitRef="_GBC_636aa96d47cb426abc64fc00b61c9353" addr="T0R3C3S1_1" formatStyle="Comma" appId="_GBC_70f32b67ce344a03adfc93d4ed72949a"/>
        <m:item xlName="_GBC_83bed5b617cf4ef184cae2eaf70adf4d" concept="clcid-pte:ZiBenGongJiLieXiangMingXiJinE" label="资本公积列项明细－金额" mulRef="_GBC_88633009fdc64f4e8238c38541b33615" unitRef="_GBC_636aa96d47cb426abc64fc00b61c9353" addr="T0R3C4S1_1" formatStyle="Comma" appId="_GBC_70f32b67ce344a03adfc93d4ed72949a">
          <m:complexRule comparator="Eq" title="资本公积列项明细－金额" test=" $_GBC_4225e577e60e40f2a2e932adabac3393 +  $_GBC_7d26c0cad9214e22a93343f51b497a1d -  $_GBC_df2e953f06534de690d8d2d75a85a390" id="C3161c2b3fd674c819f23bf3313144124"/>
        </m:item>
      </m:tuple>
      <m:placeholder xlName="_PLD_2d6988ed902d4f2a9c423d885cfc336e" addr="T0R5C0S1_1"/>
      <m:item xlName="_GBC_f16b7eac40224ebba251f379f3eca94d" concept="clcid-pte:ZiBenGongJi" label="资本公积" periodRef="本期期初数" mulRef="_GBC_88633009fdc64f4e8238c38541b33615" unitRef="_GBC_636aa96d47cb426abc64fc00b61c9353" addr="T0R5C1S1_1" formatStyle="Comma" appId="_GBC_70f32b67ce344a03adfc93d4ed72949a">
        <m:complexRule comparator="Eq" title="资本公积@本期期初数" test=" $_GBC_bcaa5e7e997a4a56a916d4f332fd4b6b +  $_GBC_5de2b14c3f594719bfad283f58bdf3a3 +  $_GBC_4225e577e60e40f2a2e932adabac3393" id="C4abd9a4de71e411884a1f35aee62ac4d" serialType="1"/>
      </m:item>
      <m:item xlName="_GBC_4c116f82aee542d79046afccabb520a9" concept="clcid-pte:ZiBenGongJiZengJia" label="资本公积增加" mulRef="_GBC_88633009fdc64f4e8238c38541b33615" unitRef="_GBC_636aa96d47cb426abc64fc00b61c9353" addr="T0R5C2S1_1" formatStyle="Comma" appId="_GBC_70f32b67ce344a03adfc93d4ed72949a">
        <m:complexRule comparator="Eq" title="资本公积增加" test=" $_GBC_4a92a82def81420fa3337b8dedcf823b +  $_GBC_7b1e5ba355544e11992dda6ba9ca6db8 +  $_GBC_7d26c0cad9214e22a93343f51b497a1d" id="Cd49e671de8f24a308bad2463340ff0d1" serialType="1"/>
      </m:item>
      <m:item xlName="_GBC_2280e9b60d174ff79d09fce9f737a0a9" concept="clcid-pte:ZiBenGongJiJianShao" label="资本公积减少" mulRef="_GBC_88633009fdc64f4e8238c38541b33615" unitRef="_GBC_636aa96d47cb426abc64fc00b61c9353" addr="T0R5C3S1_1" formatStyle="Comma" appId="_GBC_70f32b67ce344a03adfc93d4ed72949a">
        <m:complexRule comparator="Eq" title="资本公积减少" test=" $_GBC_0a283b035846438093c0edaba0828964 +  $_GBC_76732842982849228ec23453c08a6781 +  $_GBC_df2e953f06534de690d8d2d75a85a390" id="C148872b51e1f4b6d912380922c1dc31e" serialType="1"/>
      </m:item>
      <m:item xlName="_GBC_287f6b70dde348fd8a673d12b82fbd23" concept="clcid-pte:ZiBenGongJi" label="资本公积" mulRef="_GBC_88633009fdc64f4e8238c38541b33615" unitRef="_GBC_636aa96d47cb426abc64fc00b61c9353" addr="T0R5C4S1_1" formatStyle="Comma" appId="_GBC_70f32b67ce344a03adfc93d4ed72949a">
        <m:complexRule comparator="Eq" title="资本公积-横向公式" test=" $_GBC_f16b7eac40224ebba251f379f3eca94d +  $_GBC_4c116f82aee542d79046afccabb520a9 -  $_GBC_2280e9b60d174ff79d09fce9f737a0a9" id="C4e2b14b22f7644748dac9e41b8aedc8e"/>
        <m:complexRule comparator="Eq" title="资本公积" test=" $_GBC_382d3f38e1a941b0849dd26c338ec0ac +  $_GBC_13e889c1d3a74bc6af7e58d5b022515a +  $_GBC_83bed5b617cf4ef184cae2eaf70adf4d" id="Ca6407390aa764681b44f8b76e2b09719" serialType="1"/>
      </m:item>
      <m:item xlName="_GBC_014f0762b4274266bec2aa5231aa0981" concept="clcid-pte:ZiBenGongJiShuoMing" label="资本公积说明" appId="_GBC_70f32b67ce344a03adfc93d4ed72949a"/>
    </m:section>
    <m:section xlName="_GBC_02198eb4b89045c5af2f3bcd240e18af" title="库存股" convertSummaryRule="NoConvert" helpId="112001103">
      <m:item xlName="_GBC_4aa47a6d9b1044aa8a049146d42c3e9c" concept="clcid-ci-ar:ShiFouShiYongKuCunGu" label="是否适用：库存股" selectOptions="_buildInAppliance" controlType="CustomCheckbox" cRanges="{&quot;StartName&quot;:&quot;_GBC_4aa47a6d9b1044aa8a049146d42c3e9c&quot;,&quot;EndName&quot;:&quot;_GBC_aeb361adcbde44daaa852df07259812c&quot;,&quot;CType&quot;:1,&quot;DisplayText&quot;:null}"/>
      <m:item xlName="_GBC_2ec7280618184a6dbf8764020927134a" concept="clcid-ci-ar:DanWeiCaiWuFuZhuKuCunGu" label="单位：财务附注：库存股" selectOptions="_buildInScales" controlType="Combobox" cellType="Scale" appId="_GBC_4aa47a6d9b1044aa8a049146d42c3e9c"/>
      <m:item xlName="_GBC_bcf1b0dc9f44435981af64b6d69d6045" concept="clcid-ci-ar:BiZhongCaiWuFuZhuKuCunGu" label="币种：财务附注：库存股" selectOptions="_buildInISO4217" controlType="Combobox" cellType="Measure" appId="_GBC_4aa47a6d9b1044aa8a049146d42c3e9c"/>
      <m:placeholder xlName="_PLD_b46e14f0143b428d91ebe5e1885be6ac" addr="T0R0C0S1_1"/>
      <m:placeholder xlName="_PLD_6db0262d3f8842b4a7eba04e09be9d8a" addr="T0R0C1S1_1"/>
      <m:placeholder xlName="_PLD_6f585f2d8d254ed6a108b145b56ff7cc" addr="T0R0C2S1_1"/>
      <m:placeholder xlName="_PLD_20354e1f567449a9b9021901b2252d15" addr="T0R0C3S1_1"/>
      <m:placeholder xlName="_PLD_94daf05bbefc4d829f1bc3b83d11b6ca" addr="T0R0C4S1_1"/>
      <m:tuple xlName="_GBC_a5ebfe7fe0f34697935e4de42efcb598" concept="clcid-pte:KuCunGuMingXi" default_row="2" addr="T0R1C">
        <m:item xlName="_GBC_13fe95bfcb73426ebdc496fdfbaede6e" concept="clcid-pte:KuCunGuMingXiXiangMuMingCheng" label="库存股明细-项目名称" addr="T0R1C0S1_1" appId="_GBC_4aa47a6d9b1044aa8a049146d42c3e9c"/>
        <m:item xlName="_GBC_e35a443faac34abeaa461227d2fd5373" concept="clcid-pte:KuCunGuMingXiJinE" label="库存股明细-金额" periodRef="本期期初数" mulRef="_GBC_2ec7280618184a6dbf8764020927134a" unitRef="_GBC_bcf1b0dc9f44435981af64b6d69d6045" addr="T0R1C1S1_1" formatStyle="Comma" appId="_GBC_4aa47a6d9b1044aa8a049146d42c3e9c"/>
        <m:item xlName="_GBC_cd5a3f448d6e4e3eb4b1a9a2a69b7366" concept="clcid-pte:KuCunGuMingXiBenQiZengJia" label="库存股明细-本期增加" mulRef="_GBC_2ec7280618184a6dbf8764020927134a" unitRef="_GBC_bcf1b0dc9f44435981af64b6d69d6045" addr="T0R1C2S1_1" formatStyle="Comma" appId="_GBC_4aa47a6d9b1044aa8a049146d42c3e9c"/>
        <m:item xlName="_GBC_cc0847a4cecd4a18b5d67e008f110d47" concept="clcid-pte:KuCunGuMingXiBenQiJianShao" label="库存股明细-本期减少" mulRef="_GBC_2ec7280618184a6dbf8764020927134a" unitRef="_GBC_bcf1b0dc9f44435981af64b6d69d6045" addr="T0R1C3S1_1" formatStyle="Comma" appId="_GBC_4aa47a6d9b1044aa8a049146d42c3e9c"/>
        <m:item xlName="_GBC_694b892722e74638b4914738b36c8e40" concept="clcid-pte:KuCunGuMingXiJinE" label="库存股明细-金额" mulRef="_GBC_2ec7280618184a6dbf8764020927134a" unitRef="_GBC_bcf1b0dc9f44435981af64b6d69d6045" addr="T0R1C4S1_1" formatStyle="Comma" appId="_GBC_4aa47a6d9b1044aa8a049146d42c3e9c">
          <m:complexRule comparator="Eq" title="库存股" test=" $_GBC_e35a443faac34abeaa461227d2fd5373 +  $_GBC_cd5a3f448d6e4e3eb4b1a9a2a69b7366 -  $_GBC_cc0847a4cecd4a18b5d67e008f110d47" id="Cabad8309721948fdbd0f9006ee35de5c"/>
        </m:item>
      </m:tuple>
      <m:placeholder xlName="_PLD_a82f645de2dc45b39a10692d00c40095" addr="T0R3C0S1_1"/>
      <m:item xlName="_GBC_74ad540b63b8472c89aea4f0a685647a" concept="clcid-pte:KuCunGu" label="库存股" periodRef="本期期初数" mulRef="_GBC_2ec7280618184a6dbf8764020927134a" unitRef="_GBC_bcf1b0dc9f44435981af64b6d69d6045" addr="T0R3C1S1_1" formatStyle="Comma" appId="_GBC_4aa47a6d9b1044aa8a049146d42c3e9c">
        <m:complexRule comparator="Eq" title="库存股@本期期初数" test=" $_GBC_e35a443faac34abeaa461227d2fd5373" id="Cd511f758bb2a4f58b32859f084e03601"/>
      </m:item>
      <m:item xlName="_GBC_efcfd3960050454ba7b3ebec230cc234" concept="clcid-pte:KuCunGuBenQiZengJiaE" label="库存股本期增加额" mulRef="_GBC_2ec7280618184a6dbf8764020927134a" unitRef="_GBC_bcf1b0dc9f44435981af64b6d69d6045" addr="T0R3C2S1_1" formatStyle="Comma" appId="_GBC_4aa47a6d9b1044aa8a049146d42c3e9c">
        <m:complexRule comparator="Eq" title="库存股本期增加额" test=" $_GBC_cd5a3f448d6e4e3eb4b1a9a2a69b7366" id="C1e1894e1fcd24dec91394c97b789a3ab"/>
      </m:item>
      <m:item xlName="_GBC_b1a44eb2248a454e9a8201e03c0985cd" concept="clcid-pte:KuCunGuBenQiJianShaoE" label="库存股本期减少额" mulRef="_GBC_2ec7280618184a6dbf8764020927134a" unitRef="_GBC_bcf1b0dc9f44435981af64b6d69d6045" addr="T0R3C3S1_1" formatStyle="Comma" appId="_GBC_4aa47a6d9b1044aa8a049146d42c3e9c">
        <m:complexRule comparator="Eq" title="库存股本期减少额" test=" $_GBC_cc0847a4cecd4a18b5d67e008f110d47" id="C5446d0421b78436ab38707dc2ea877dc"/>
      </m:item>
      <m:item xlName="_GBC_851181dacd5d44239f9840bf39a85537" concept="clcid-pte:KuCunGu" label="库存股" mulRef="_GBC_2ec7280618184a6dbf8764020927134a" unitRef="_GBC_bcf1b0dc9f44435981af64b6d69d6045" addr="T0R3C4S1_1" formatStyle="Comma" appId="_GBC_4aa47a6d9b1044aa8a049146d42c3e9c">
        <m:complexRule comparator="Eq" title="库存股" test=" $_GBC_694b892722e74638b4914738b36c8e40" id="C0aae723bca9240bfb31488c00ee30b83"/>
        <m:complexRule comparator="Eq" title="库存股横向合计" test=" $_GBC_efcfd3960050454ba7b3ebec230cc234 +  $_GBC_74ad540b63b8472c89aea4f0a685647a -  $_GBC_b1a44eb2248a454e9a8201e03c0985cd" id="C7dd880b0d61545699a3d5b6afd5b369d"/>
      </m:item>
      <m:item xlName="_GBC_aeb361adcbde44daaa852df07259812c" concept="clcid-pte:KuCunGuQingKuangShuoMing" label="库存股情况说明" appId="_GBC_4aa47a6d9b1044aa8a049146d42c3e9c"/>
    </m:section>
    <m:section xlName="_GBC_de162f89125c4dc8abd2331e6cce7184" title="其他综合收益" helpId="112001106" helpText="注：期初余额、期末余额对应资产负债表中的其他综合收益项目。期初余额+税后归属于母公司的其他综合收益=期末余额。本期发生额对应利润表中的其他综合收益项目，本期所得税前发生额-前期计入其他综合收益当期转入损益-所得税费用=税后归属于母公司的其他综合收益+税后归属于少数股东的其他综合收益。">
      <m:item xlName="_GBC_a53cc67f2be24dfbbe3af1b633d9bd6d" concept="clcid-ci-ar:ShiFouShiYongQiTaZongHeShouYi" label="是否适用：其他综合收益" selectOptions="_buildInAppliance" controlType="CustomCheckbox" cRanges="{&quot;StartName&quot;:&quot;_GBC_a53cc67f2be24dfbbe3af1b633d9bd6d&quot;,&quot;EndName&quot;:&quot;_GBC_c389c92b3ef04746a88c157ed2e05698&quot;,&quot;CType&quot;:1,&quot;DisplayText&quot;:null}"/>
      <m:item xlName="_GBC_3fcad98da74248809a759048ca194814" concept="clcid-ci-ar:DanWeiCaiWuFuZhuQiTaZongHeShouYiQingKuang" label="单位：财务附注：其他综合收益情况" selectOptions="_buildInScales" controlType="Combobox" cellType="Scale" appId="_GBC_a53cc67f2be24dfbbe3af1b633d9bd6d"/>
      <m:item xlName="_GBC_3909f37aa0cc4eda82ff1503a6abe503" concept="clcid-ci-ar:BiZhongCaiWuFuZhuQiTaZongHeShouYiQingKuang" label="币种：财务附注：其他综合收益情况" selectOptions="_buildInISO4217" controlType="Combobox" cellType="Measure" appId="_GBC_a53cc67f2be24dfbbe3af1b633d9bd6d"/>
      <m:placeholder xlName="_PLD_965475dfd86e41c29d1b9f1fdff70ee0" addr="T0R0C0S2_1"/>
      <m:placeholder xlName="_PLD_8a675a3cac5041d29cfb92203b87e9a6" addr="T0R0C1S2_1"/>
      <m:placeholder xlName="_PLD_5ff455f3c2164019b5e694c1e00e4104" addr="T0R0C2S1_6"/>
      <m:placeholder xlName="_PLD_e74e1b8e6f7d453b8d88ebfc65c302f4" addr="T0R0C8S2_1"/>
      <m:placeholder xlName="_PLD_17c016c4311444368218ab16d2bc7a4c" addr="T0R1C2S1_1"/>
      <m:placeholder xlName="_PLD_8f95da21a802457ea1d7d10d5c90efb0" addr="T0R1C3S1_1"/>
      <m:placeholder xlName="_PLD_7f99e647a5874f909c48e6c0bbc8d50a" addr="T0R1C4S1_1"/>
      <m:placeholder xlName="_PLD_6ee499a1144a462687fb064cc4588343" addr="T0R1C5S1_1"/>
      <m:placeholder xlName="_PLD_97d686c5a0f042d49d097afc52b9ab56" addr="T0R1C6S1_1"/>
      <m:placeholder xlName="_PLD_dc8c642f883f4ca1b1bbacf56198209b" addr="T0R1C7S1_1"/>
      <m:placeholder xlName="_PLD_3f00f48c9230468fa9ebc3f871b6cb34" addr="T0R2C0S1_1"/>
      <m:item xlName="_GBC_e2de66f3d0ff45c8b9236045779902ae" concept="clcid-pte:YiHouBuNengZhongFenLeiJinSunYiDeQiTaZongHeShouYiZiChanFuZhaiBiaoXiangMu" label="以后不能重分类进损益的其他综合收益（资产负债表项目）" periodRef="本期期初数" mulRef="_GBC_3fcad98da74248809a759048ca194814" unitRef="_GBC_3909f37aa0cc4eda82ff1503a6abe503" addr="T0R2C1S1_1" formatStyle="Comma" appId="_GBC_a53cc67f2be24dfbbe3af1b633d9bd6d">
        <m:complexRule comparator="Eq" title="以后不能重分类进损益的其他综合收益（资产负债表项目）@本期期初数" test=" $_GBC_a7b5832042b844cc9ef42b449d1c35c9 +  $_GBC_f152c3bb7b274343b55bb403df0f82d7 +  $_GBC_7e077fb0abd744c699c094b0293b2e5e +  $_GBC_f234e99702764881b5340aca40dadada +  $_GBC_eb2075665e624bbc90a86cee64b16594" id="Cc51df17a427e4588a394cc339653cbba" serialType="1"/>
      </m:item>
      <m:item xlName="_GBC_7de15fba1e054b8f91c7fa7ee8e7319b" concept="clcid-pte:YiHouBuNengZhongFenLeiJinSunYiDeQiTaZongHeShouYiBenQiSuoDeShuiQianFaShengE" label="以后不能重分类进损益的其他综合收益本期所得税前发生额" mulRef="_GBC_3fcad98da74248809a759048ca194814" unitRef="_GBC_3909f37aa0cc4eda82ff1503a6abe503" addr="T0R2C2S1_1" formatStyle="Comma" appId="_GBC_a53cc67f2be24dfbbe3af1b633d9bd6d">
        <m:complexRule comparator="Eq" title="以后不能重分类进损益的其他综合收益本期所得税前发生额" test=" $_GBC_a54a3083859d48c2b4f28822aeb3369c +  $_GBC_c934c202b9ca4c6694954feb52b8e063 +  $_GBC_5b3f46f8a66d4d09a4ff84eff3cc84ca +  $_GBC_bc8c359c30ea4e609d8dd5ddaeca7b6c +  $_GBC_e4647cdaf7ab44d59f9eb9610387051a" id="C6e291f3b050749588cbe05d61fe13017" serialType="1"/>
      </m:item>
      <m:item xlName="_GBC_043684988a5347f2a6e0fe8c8c1a0e7b" concept="clcid-pte:YiHouBuNengZhongFenLeiJinSunYiDeQiTaZongHeShouYiQiZhongQianQiJiRuQiTaZongHeShouYiDangQiZhuanRuSunYi" label="以后不能重分类进损益的其他综合收益-其中：前期计入其他综合收益当期转入损益" mulRef="_GBC_3fcad98da74248809a759048ca194814" unitRef="_GBC_3909f37aa0cc4eda82ff1503a6abe503" addr="T0R2C3S1_1" formatStyle="Comma" appId="_GBC_a53cc67f2be24dfbbe3af1b633d9bd6d">
        <m:complexRule comparator="Eq" title="以后不能重分类进损益的其他综合收益-其中：前期计入其他综合收益当期转入损益" test=" $_GBC_1390316662a44f6dbbc7897cf7a454af +  $_GBC_bcb1dc7906c045a89c8bd901f991984e +  $_GBC_841260e2392e463fa72d7d89effb8633 +  $_GBC_3a8585430b9f42cc990c873b98124f6c +  $_GBC_144f5097c9474d1c8dd964628b0feb0c" id="Ca8e89c26467040f6b55872eb49041290" serialType="1"/>
      </m:item>
      <m:item xlName="_GBC_bd45fe5da0464410af26e48ce2a50ef6" concept="clcid-pte:YiHouBuNengZhongFenLeiJinSunYiDeQiTaZongHeShouYiQiZhongQianQiJiRuQiTaZongHeShouYiDangQiZhuanRuLiuCunShouYi" label="以后不能重分类进损益的其他综合收益-其中:前期计入其他综合收益当期转入留存收益" mulRef="_GBC_3fcad98da74248809a759048ca194814" unitRef="_GBC_3909f37aa0cc4eda82ff1503a6abe503" addr="T0R2C4S1_1" formatStyle="Comma" appId="_GBC_a53cc67f2be24dfbbe3af1b633d9bd6d">
        <m:complexRule comparator="Eq" title="以后不能重分类进损益的其他综合收益-其中:前期计入其他综合收益当期转入留存收益" test=" $_GBC_ba00880fbf344ad6a4d059d9a74186a4 +  $_GBC_8876f5eb2bcd4996a50d9f57cde8a03d +  $_GBC_ab3052b83c9d405e8f086583a7ba7568 +  $_GBC_4c7ae4d4bfeb48d084507b5a2df66624 +  $_GBC_d70a1caacc5346e6a177fe9fd8f01b68" id="C686b05c52b9f4f338879ef0550715c44"/>
      </m:item>
      <m:item xlName="_GBC_53262a6ec9e048bc8f4130b5aa021238" concept="clcid-pte:YiHouBuNengZhongFenLeiJinSunYiDeQiTaZongHeShouYiDeSuoDeShui" label="以后不能重分类进损益的其他综合收益的所得税" mulRef="_GBC_3fcad98da74248809a759048ca194814" unitRef="_GBC_3909f37aa0cc4eda82ff1503a6abe503" addr="T0R2C5S1_1" formatStyle="Comma" appId="_GBC_a53cc67f2be24dfbbe3af1b633d9bd6d">
        <m:complexRule comparator="Eq" title="以后不能重分类进损益的其他综合收益的所得税" test=" $_GBC_1bcc1d2d065044b19add09a48df9875d +  $_GBC_3701899e4a4f4f4397e863833b3a9d0b +  $_GBC_e213e65a5fdb48849d396feef1a4cda3 +  $_GBC_27f82dc9414b43acb4303ee32e24ba5a +  $_GBC_6423dafe61d644428e18d775a0915ece" id="C6fde624b2d1c4493b787525de3913a09" serialType="1"/>
      </m:item>
      <m:item xlName="_GBC_85d145546e3b4f72908bbefe16244d13" concept="clcid-pte:YiHouBuNengZhongFenLeiJinSunYiDeQiTaZongHeShouYiDeShuiHouGuiShuYuMuGongSi" label="以后不能重分类进损益的其他综合收益的税后归属于母公司" mulRef="_GBC_3fcad98da74248809a759048ca194814" unitRef="_GBC_3909f37aa0cc4eda82ff1503a6abe503" addr="T0R2C6S1_1" formatStyle="Comma" appId="_GBC_a53cc67f2be24dfbbe3af1b633d9bd6d">
        <m:complexRule comparator="Eq" title="以后不能重分类进损益的其他综合收益的税后归属于母公司" test=" $_GBC_7e57106f35d2459f90bbf29911d34de1 +  $_GBC_f6815bb984344e17b740f84b3adada74 +  $_GBC_8689bdb7e04047c69877839b78d5710b +  $_GBC_ebefb0a7d7ee4fa5bce2848d6b7a7351 +  $_GBC_aa266fa52dca4157a1387a40770382b6" id="C33e7af5f1cc94380b90af53bbf807554" serialType="1"/>
      </m:item>
      <m:item xlName="_GBC_1500787ae0ae4b4abcd2de62024866aa" concept="clcid-pte:YiHouBuNengZhongFenLeiJinSunYiDeQiTaZongHeShouYiDeShuiHouGuiShuYuShaoShuGuDong" label="以后不能重分类进损益的其他综合收益的税后归属于少数股东" mulRef="_GBC_3fcad98da74248809a759048ca194814" unitRef="_GBC_3909f37aa0cc4eda82ff1503a6abe503" addr="T0R2C7S1_1" formatStyle="Comma" appId="_GBC_a53cc67f2be24dfbbe3af1b633d9bd6d">
        <m:complexRule comparator="Eq" title="以后不能重分类进损益的其他综合收益的税后归属于少数股东" test=" $_GBC_8369cf3ddab143e48a6c2270ace193c4 +  $_GBC_3f230d54ee6c4d448a43b32067dec21a +  $_GBC_b2a5102c04e64c4c852419b2193e495d +  $_GBC_0095efaedfcd43d99bd73655937f80ea +  $_GBC_31ce1fd66bbb4ad5a7d118a5259b0602" id="C8215fe0f40134e0da08d7f547dfd682d" serialType="1"/>
      </m:item>
      <m:item xlName="_GBC_ef85990f3d1549c99f748bd71e4c8ef8" concept="clcid-pte:YiHouBuNengZhongFenLeiJinSunYiDeQiTaZongHeShouYiZiChanFuZhaiBiaoXiangMu" label="以后不能重分类进损益的其他综合收益（资产负债表项目）" mulRef="_GBC_3fcad98da74248809a759048ca194814" unitRef="_GBC_3909f37aa0cc4eda82ff1503a6abe503" addr="T0R2C8S1_1" formatStyle="Comma" appId="_GBC_a53cc67f2be24dfbbe3af1b633d9bd6d">
        <m:complexRule comparator="Eq" title="以后不能重分类进损益的其他综合收益（资产负债表项目）" test=" $_GBC_336cdf89e4f4467f9bf4020f3db1f453 +  $_GBC_98d721f86d1e4e82ba12a76621d2cccf +  $_GBC_f2df212f607b427da6ad0c5cc4c8d5b7 +  $_GBC_36a68c46ab4f49e8be8b7020827c8368 +  $_GBC_2b0900c7717a463f9c11797689aa85f3" id="Cb2b702188c35412d8d0fc772c244d2e8" serialType="1"/>
        <m:complexRule comparator="Eq" title="以后不能重分类进损益的其他综合收益（资产负债表项目）" test=" $_GBC_e2de66f3d0ff45c8b9236045779902ae +  $_GBC_85d145546e3b4f72908bbefe16244d13" id="Cd9e9ebcb12cf403e96b242753e6dc5d4"/>
      </m:item>
      <m:placeholder xlName="_PLD_aad1fbfb983445dfa58a193c37b83e24" addr="T0R3C0S1_1"/>
      <m:item xlName="_GBC_a7b5832042b844cc9ef42b449d1c35c9" concept="clcid-pte:ChongXinJiSuanSheDingShouYiJiHuaJingFuZhaiHeJingZiChanDeBianDongZiChanFuZhaiBiaoXiangMu" label="重新计算设定受益计划净负债和净资产的变动（资产负债表项目） " periodRef="本期期初数" mulRef="_GBC_3fcad98da74248809a759048ca194814" unitRef="_GBC_3909f37aa0cc4eda82ff1503a6abe503" addr="T0R3C1S1_1" formatStyle="Comma" appId="_GBC_a53cc67f2be24dfbbe3af1b633d9bd6d"/>
      <m:item xlName="_GBC_a54a3083859d48c2b4f28822aeb3369c" concept="clcid-pte:ZhongXinJiSuanSheDingShouYiJiHuaJingFuZhaiHeJingZiChanDeBianDongBenQiSuoDeShuiQianFaShengE" label="重新计算设定受益计划净负债和净资产的变动本期所得税前发生额" mulRef="_GBC_3fcad98da74248809a759048ca194814" unitRef="_GBC_3909f37aa0cc4eda82ff1503a6abe503" addr="T0R3C2S1_1" formatStyle="Comma" appId="_GBC_a53cc67f2be24dfbbe3af1b633d9bd6d"/>
      <m:item xlName="_GBC_1390316662a44f6dbbc7897cf7a454af" concept="clcid-pte:ZhongXinJiSuanSheDingShouYiJiHuaJingFuZhaiHeJingZiChanDeBianDongQiZhongQianQiJiRuQiTaZongHeShouYiDangQiZhuanRuSunYi" label="重新计算设定受益计划净负债和净资产的变动-其中：前期计入其他综合收益当期转入损益" mulRef="_GBC_3fcad98da74248809a759048ca194814" unitRef="_GBC_3909f37aa0cc4eda82ff1503a6abe503" addr="T0R3C3S1_1" formatStyle="Comma" appId="_GBC_a53cc67f2be24dfbbe3af1b633d9bd6d"/>
      <m:item xlName="_GBC_ba00880fbf344ad6a4d059d9a74186a4" concept="clcid-pte:ZhongXinJiLiangSheDingShouYiJiHuaBianDongEQiZhongQianQiJiRuQiTaZongHeShouYiDangQiZhuanRuLiuCunShouYi" label="重新计量设定受益计划变动额-其中:前期计入其他综合收益当期转入留存收益" mulRef="_GBC_3fcad98da74248809a759048ca194814" unitRef="_GBC_3909f37aa0cc4eda82ff1503a6abe503" addr="T0R3C4S1_1" formatStyle="Comma" appId="_GBC_a53cc67f2be24dfbbe3af1b633d9bd6d"/>
      <m:item xlName="_GBC_1bcc1d2d065044b19add09a48df9875d" concept="clcid-pte:ZhongXinJiSuanSheDingShouYiJiHuaJingFuZhaiHeJingZiChanDeBianDongDeSuoDeShui" label="重新计算设定受益计划净负债和净资产的变动的所得税" mulRef="_GBC_3fcad98da74248809a759048ca194814" unitRef="_GBC_3909f37aa0cc4eda82ff1503a6abe503" addr="T0R3C5S1_1" formatStyle="Comma" appId="_GBC_a53cc67f2be24dfbbe3af1b633d9bd6d"/>
      <m:item xlName="_GBC_7e57106f35d2459f90bbf29911d34de1" concept="clcid-pte:ZhongXinJiSuanSheDingShouYiJiHuaJingFuZhaiHeJingZiChanDeBianDongDeShuiHouGuiShuYuMuGongSi" label="重新计算设定受益计划净负债和净资产的变动的税后归属于母公司" mulRef="_GBC_3fcad98da74248809a759048ca194814" unitRef="_GBC_3909f37aa0cc4eda82ff1503a6abe503" addr="T0R3C6S1_1" formatStyle="Comma" appId="_GBC_a53cc67f2be24dfbbe3af1b633d9bd6d"/>
      <m:item xlName="_GBC_8369cf3ddab143e48a6c2270ace193c4" concept="clcid-pte:ZhongXinJiSuanSheDingShouYiJiHuaJingFuZhaiHeJingZiChanDeBianDongDeShuiHouGuiShuYuShaoShuGuDong" label="重新计算设定受益计划净负债和净资产的变动的税后归属于少数股东" mulRef="_GBC_3fcad98da74248809a759048ca194814" unitRef="_GBC_3909f37aa0cc4eda82ff1503a6abe503" addr="T0R3C7S1_1" formatStyle="Comma" appId="_GBC_a53cc67f2be24dfbbe3af1b633d9bd6d"/>
      <m:item xlName="_GBC_336cdf89e4f4467f9bf4020f3db1f453" concept="clcid-pte:ChongXinJiSuanSheDingShouYiJiHuaJingFuZhaiHeJingZiChanDeBianDongZiChanFuZhaiBiaoXiangMu" label="重新计算设定受益计划净负债和净资产的变动（资产负债表项目） " mulRef="_GBC_3fcad98da74248809a759048ca194814" unitRef="_GBC_3909f37aa0cc4eda82ff1503a6abe503" addr="T0R3C8S1_1" formatStyle="Comma" appId="_GBC_a53cc67f2be24dfbbe3af1b633d9bd6d">
        <m:complexRule comparator="Eq" title="重新计算设定受益计划净负债和净资产的变动（资产负债表项目）" test=" $_GBC_a7b5832042b844cc9ef42b449d1c35c9 +  $_GBC_7e57106f35d2459f90bbf29911d34de1" id="C1cf1381cbd604509bc7fbd1ae4ec92a2"/>
      </m:item>
      <m:placeholder xlName="_PLD_00edb91bbb194fa5b7655c196b9adc24" addr="T0R4C0S1_1"/>
      <m:item xlName="_GBC_f152c3bb7b274343b55bb403df0f82d7" concept="clcid-pte:QuanYiFaXiaZaiBeiTouZiDanWeiBuNengZhongFenLeiJinSunYiDeQiTaZongHeShouYiZhongXiangYouDeFenEZiChanFuZhaiBiaoXiangMu" label="权益法下在被投资单位不能重分类进损益的其他综合收益中享有的份额（资产负债表项目）" periodRef="本期期初数" mulRef="_GBC_3fcad98da74248809a759048ca194814" unitRef="_GBC_3909f37aa0cc4eda82ff1503a6abe503" addr="T0R4C1S1_1" formatStyle="Comma" appId="_GBC_a53cc67f2be24dfbbe3af1b633d9bd6d"/>
      <m:item xlName="_GBC_c934c202b9ca4c6694954feb52b8e063" concept="clcid-pte:QuanYiFaXiaZaiBeiTouZiDanWeiBuNengZhongFenLeiJinSunYiDeQiTaZongHeShouYiZhongXiangYouDeFenEBenQiSuoDeShuiQianFaShengE" label="权益法下在被投资单位不能重分类进损益的其他综合收益中享有的份额本期所得税前发生额" mulRef="_GBC_3fcad98da74248809a759048ca194814" unitRef="_GBC_3909f37aa0cc4eda82ff1503a6abe503" addr="T0R4C2S1_1" formatStyle="Comma" appId="_GBC_a53cc67f2be24dfbbe3af1b633d9bd6d"/>
      <m:item xlName="_GBC_bcb1dc7906c045a89c8bd901f991984e" concept="clcid-pte:QuanYiFaXiaZaiBeiTouZiDanWeiBuNengZhongFenLeiJinSunYiDeQiTaZongHeShouYiZhongXiangYouDeFenEQiZhongQianQiJiRuQiTaZongHeShouYiDangQiZhuanRuSunYi" label="权益法下在被投资单位不能重分类进损益的其他综合收益中享有的份额-其中：前期计入其他综合收益当期转入损益" mulRef="_GBC_3fcad98da74248809a759048ca194814" unitRef="_GBC_3909f37aa0cc4eda82ff1503a6abe503" addr="T0R4C3S1_1" formatStyle="Comma" appId="_GBC_a53cc67f2be24dfbbe3af1b633d9bd6d"/>
      <m:item xlName="_GBC_8876f5eb2bcd4996a50d9f57cde8a03d" concept="clcid-pte:QuanYiFaXiaBuNengZhuanSunYiDeQiTaZongHeShouYiQiZhongQianQiJiRuQiTaZongHeShouYiDangQiZhuanRuLiuCunShouYi" label="权益法下不能转损益的其他综合收益-其中:前期计入其他综合收益当期转入留存收益" mulRef="_GBC_3fcad98da74248809a759048ca194814" unitRef="_GBC_3909f37aa0cc4eda82ff1503a6abe503" addr="T0R4C4S1_1" formatStyle="Comma" appId="_GBC_a53cc67f2be24dfbbe3af1b633d9bd6d"/>
      <m:item xlName="_GBC_3701899e4a4f4f4397e863833b3a9d0b" concept="clcid-pte:QuanYiFaXiaZaiBeiTouZiDanWeiBuNengZhongFenLeiJinSunYiDeQiTaZongHeShouYiZhongXiangYouDeFenEDeSuoDeShui" label="权益法下在被投资单位不能重分类进损益的其他综合收益中享有的份额的所得税" mulRef="_GBC_3fcad98da74248809a759048ca194814" unitRef="_GBC_3909f37aa0cc4eda82ff1503a6abe503" addr="T0R4C5S1_1" formatStyle="Comma" appId="_GBC_a53cc67f2be24dfbbe3af1b633d9bd6d"/>
      <m:item xlName="_GBC_f6815bb984344e17b740f84b3adada74" concept="clcid-pte:QuanYiFaXiaZaiBeiTouZiDanWeiBuNengZhongFenLeiJinSunYiDeQiTaZongHeShouYiZhongXiangYouDeFenEDeShuiHouGuiShuYuMuGongSi" label="权益法下在被投资单位不能重分类进损益的其他综合收益中享有的份额的税后归属于母公司" mulRef="_GBC_3fcad98da74248809a759048ca194814" unitRef="_GBC_3909f37aa0cc4eda82ff1503a6abe503" addr="T0R4C6S1_1" formatStyle="Comma" appId="_GBC_a53cc67f2be24dfbbe3af1b633d9bd6d"/>
      <m:item xlName="_GBC_3f230d54ee6c4d448a43b32067dec21a" concept="clcid-pte:QuanYiFaXiaZaiBeiTouZiDanWeiBuNengZhongFenLeiJinSunYiDeQiTaZongHeShouYiZhongXiangYouDeFenEDeShuiHouGuiShuYuShaoShuGuDong" label="权益法下在被投资单位不能重分类进损益的其他综合收益中享有的份额的税后归属于少数股东" mulRef="_GBC_3fcad98da74248809a759048ca194814" unitRef="_GBC_3909f37aa0cc4eda82ff1503a6abe503" addr="T0R4C7S1_1" formatStyle="Comma" appId="_GBC_a53cc67f2be24dfbbe3af1b633d9bd6d"/>
      <m:item xlName="_GBC_98d721f86d1e4e82ba12a76621d2cccf" concept="clcid-pte:QuanYiFaXiaZaiBeiTouZiDanWeiBuNengZhongFenLeiJinSunYiDeQiTaZongHeShouYiZhongXiangYouDeFenEZiChanFuZhaiBiaoXiangMu" label="权益法下在被投资单位不能重分类进损益的其他综合收益中享有的份额（资产负债表项目）" mulRef="_GBC_3fcad98da74248809a759048ca194814" unitRef="_GBC_3909f37aa0cc4eda82ff1503a6abe503" addr="T0R4C8S1_1" formatStyle="Comma" appId="_GBC_a53cc67f2be24dfbbe3af1b633d9bd6d">
        <m:complexRule comparator="Eq" title="权益法下在被投资单位不能重分类进损益的其他综合收益中享有的份额（资产负债表项目）" test=" $_GBC_f152c3bb7b274343b55bb403df0f82d7 +  $_GBC_f6815bb984344e17b740f84b3adada74" id="C7c2228e8a811424b8cb6ad8fb712e241"/>
      </m:item>
      <m:placeholder xlName="_PLD_296624bab915467fb3ca81e8914cb225" addr="T0R5C0S1_1"/>
      <m:item xlName="_GBC_f234e99702764881b5340aca40dadada" concept="clcid-pte:QiTaQuanYiGongJuTouZiGongYunJiaZhiBianDongZiChanFuZhaiBiaoXiangMu" label="其他权益工具投资公允价值变动（资产负债表项目）" periodRef="本期期初数" mulRef="_GBC_3fcad98da74248809a759048ca194814" unitRef="_GBC_3909f37aa0cc4eda82ff1503a6abe503" addr="T0R5C1S1_1" formatStyle="Comma" appId="_GBC_a53cc67f2be24dfbbe3af1b633d9bd6d"/>
      <m:item xlName="_GBC_bc8c359c30ea4e609d8dd5ddaeca7b6c" concept="clcid-pte:QiTaQuanYiGongJuTouZiGongYunJiaZhiBianDongBenQiSuoDeShuiQianFaShengE" label="其他权益工具投资公允价值变动本期所得税前发生额" mulRef="_GBC_3fcad98da74248809a759048ca194814" unitRef="_GBC_3909f37aa0cc4eda82ff1503a6abe503" addr="T0R5C2S1_1" formatStyle="Comma" appId="_GBC_a53cc67f2be24dfbbe3af1b633d9bd6d"/>
      <m:item xlName="_GBC_3a8585430b9f42cc990c873b98124f6c" concept="clcid-pte:QiTaQuanYiGongJuTouZiGongYunJiaZhiBianDongQianQiJiRuQiTaZongHeShouYiDangQiZhuanRuSunYi" label="其他权益工具投资公允价值变动-前期计入其他综合收益当期转入损益" mulRef="_GBC_3fcad98da74248809a759048ca194814" unitRef="_GBC_3909f37aa0cc4eda82ff1503a6abe503" addr="T0R5C3S1_1" formatStyle="Comma" appId="_GBC_a53cc67f2be24dfbbe3af1b633d9bd6d"/>
      <m:item xlName="_GBC_ab3052b83c9d405e8f086583a7ba7568" concept="clcid-pte:QiTaQuanYiGongJuTouZiGongYunJiaZhiBianDongQiZhongQianQiJiRuQiTaZongHeShouYiDangQiZhuanRuLiuCunShouYi" label="其他权益工具投资公允价值变动-其中:前期计入其他综合收益当期转入留存收益" mulRef="_GBC_3fcad98da74248809a759048ca194814" unitRef="_GBC_3909f37aa0cc4eda82ff1503a6abe503" addr="T0R5C4S1_1" formatStyle="Comma" appId="_GBC_a53cc67f2be24dfbbe3af1b633d9bd6d"/>
      <m:item xlName="_GBC_27f82dc9414b43acb4303ee32e24ba5a" concept="clcid-pte:QiTaQuanYiGongJuTouZiGongYunJiaZhiBianDongDeSuoDeShuiFeiYong" label="其他权益工具投资公允价值变动的所得税费用" mulRef="_GBC_3fcad98da74248809a759048ca194814" unitRef="_GBC_3909f37aa0cc4eda82ff1503a6abe503" addr="T0R5C5S1_1" formatStyle="Comma" appId="_GBC_a53cc67f2be24dfbbe3af1b633d9bd6d"/>
      <m:item xlName="_GBC_ebefb0a7d7ee4fa5bce2848d6b7a7351" concept="clcid-pte:QiTaQuanYiGongJuTouZiGongYunJiaZhiBianDongShuiHouGuiShuYuMuGongSi" label="其他权益工具投资公允价值变动税后归属于母公司" mulRef="_GBC_3fcad98da74248809a759048ca194814" unitRef="_GBC_3909f37aa0cc4eda82ff1503a6abe503" addr="T0R5C6S1_1" formatStyle="Comma" appId="_GBC_a53cc67f2be24dfbbe3af1b633d9bd6d"/>
      <m:item xlName="_GBC_0095efaedfcd43d99bd73655937f80ea" concept="clcid-pte:QiTaQuanYiGongJuTouZiGongYunJiaZhiBianDongShuiHouGuiShuYuShaoShuGuDong" label="其他权益工具投资公允价值变动税后归属于少数股东" mulRef="_GBC_3fcad98da74248809a759048ca194814" unitRef="_GBC_3909f37aa0cc4eda82ff1503a6abe503" addr="T0R5C7S1_1" formatStyle="Comma" appId="_GBC_a53cc67f2be24dfbbe3af1b633d9bd6d"/>
      <m:item xlName="_GBC_36a68c46ab4f49e8be8b7020827c8368" concept="clcid-pte:QiTaQuanYiGongJuTouZiGongYunJiaZhiBianDongZiChanFuZhaiBiaoXiangMu" label="其他权益工具投资公允价值变动（资产负债表项目）" mulRef="_GBC_3fcad98da74248809a759048ca194814" unitRef="_GBC_3909f37aa0cc4eda82ff1503a6abe503" addr="T0R5C8S1_1" formatStyle="Comma" appId="_GBC_a53cc67f2be24dfbbe3af1b633d9bd6d">
        <m:complexRule comparator="Eq" title="其他权益工具投资公允价值变动（资产负债表项目）" test=" $_GBC_f234e99702764881b5340aca40dadada +  $_GBC_ebefb0a7d7ee4fa5bce2848d6b7a7351" id="C08c7268b476f4897a6062233ef47e641"/>
      </m:item>
      <m:placeholder xlName="_PLD_1ab24655d3604e7a8b8f0a20c2590d22" addr="T0R6C0S1_1"/>
      <m:item xlName="_GBC_eb2075665e624bbc90a86cee64b16594" concept="clcid-pte:QiYeZiShenXinYongFengXianGongYunJiaZhiBianDongZiChanFuZhaiBiaoXiangMu" label="企业自身信用风险公允价值变动（资产负债表项目）" periodRef="本期期初数" mulRef="_GBC_3fcad98da74248809a759048ca194814" unitRef="_GBC_3909f37aa0cc4eda82ff1503a6abe503" addr="T0R6C1S1_1" formatStyle="Comma" appId="_GBC_a53cc67f2be24dfbbe3af1b633d9bd6d"/>
      <m:item xlName="_GBC_e4647cdaf7ab44d59f9eb9610387051a" concept="clcid-pte:QiYeZiShenXinYongFengXianGongYunJiaZhiBianDongBenQiSuoDeShuiQianFaShengE" label="企业自身信用风险公允价值变动本期所得税前发生额" mulRef="_GBC_3fcad98da74248809a759048ca194814" unitRef="_GBC_3909f37aa0cc4eda82ff1503a6abe503" addr="T0R6C2S1_1" formatStyle="Comma" appId="_GBC_a53cc67f2be24dfbbe3af1b633d9bd6d"/>
      <m:item xlName="_GBC_144f5097c9474d1c8dd964628b0feb0c" concept="clcid-pte:QiYeZiShenXinYongFengXianGongYunJiaZhiBianDongQianQiJiRuQiTaZongHeShouYiDangQiZhuanRuSunYi" label="企业自身信用风险公允价值变动-前期计入其他综合收益当期转入损益" mulRef="_GBC_3fcad98da74248809a759048ca194814" unitRef="_GBC_3909f37aa0cc4eda82ff1503a6abe503" addr="T0R6C3S1_1" formatStyle="Comma" appId="_GBC_a53cc67f2be24dfbbe3af1b633d9bd6d"/>
      <m:item xlName="_GBC_4c7ae4d4bfeb48d084507b5a2df66624" concept="clcid-pte:QiYeZiShenXinYongFengXianGongYunJiaZhiBianDongQiZhongQianQiJiRuQiTaZongHeShouYiDangQiZhuanRuLiuCunShouYi" label="企业自身信用风险公允价值变动-其中:前期计入其他综合收益当期转入留存收益" mulRef="_GBC_3fcad98da74248809a759048ca194814" unitRef="_GBC_3909f37aa0cc4eda82ff1503a6abe503" addr="T0R6C4S1_1" formatStyle="Comma" appId="_GBC_a53cc67f2be24dfbbe3af1b633d9bd6d"/>
      <m:item xlName="_GBC_6423dafe61d644428e18d775a0915ece" concept="clcid-pte:QiYeZiShenXinYongFengXianGongYunJiaZhiBianDongDeSuoDeShuiFeiYong" label="企业自身信用风险公允价值变动的所得税费用" mulRef="_GBC_3fcad98da74248809a759048ca194814" unitRef="_GBC_3909f37aa0cc4eda82ff1503a6abe503" addr="T0R6C5S1_1" formatStyle="Comma" appId="_GBC_a53cc67f2be24dfbbe3af1b633d9bd6d"/>
      <m:item xlName="_GBC_aa266fa52dca4157a1387a40770382b6" concept="clcid-pte:QiYeZiShenXinYongFengXianGongYunJiaZhiBianDongShuiHouGuiShuYuMuGongSi" label="企业自身信用风险公允价值变动税后归属于母公司" mulRef="_GBC_3fcad98da74248809a759048ca194814" unitRef="_GBC_3909f37aa0cc4eda82ff1503a6abe503" addr="T0R6C6S1_1" formatStyle="Comma" appId="_GBC_a53cc67f2be24dfbbe3af1b633d9bd6d"/>
      <m:item xlName="_GBC_31ce1fd66bbb4ad5a7d118a5259b0602" concept="clcid-pte:QiYeZiShenXinYongFengXianGongYunJiaZhiBianDongShuiHouGuiShuYuShaoShuGuDong" label="企业自身信用风险公允价值变动税后归属于少数股东" mulRef="_GBC_3fcad98da74248809a759048ca194814" unitRef="_GBC_3909f37aa0cc4eda82ff1503a6abe503" addr="T0R6C7S1_1" formatStyle="Comma" appId="_GBC_a53cc67f2be24dfbbe3af1b633d9bd6d"/>
      <m:item xlName="_GBC_2b0900c7717a463f9c11797689aa85f3" concept="clcid-pte:QiYeZiShenXinYongFengXianGongYunJiaZhiBianDongZiChanFuZhaiBiaoXiangMu" label="企业自身信用风险公允价值变动（资产负债表项目）" mulRef="_GBC_3fcad98da74248809a759048ca194814" unitRef="_GBC_3909f37aa0cc4eda82ff1503a6abe503" addr="T0R6C8S1_1" formatStyle="Comma" appId="_GBC_a53cc67f2be24dfbbe3af1b633d9bd6d">
        <m:complexRule comparator="Eq" title="企业自身信用风险公允价值变动（资产负债表项目）" test=" $_GBC_eb2075665e624bbc90a86cee64b16594 +  $_GBC_aa266fa52dca4157a1387a40770382b6" id="Ccbf9d635c9d444aa844ebbe51170438a"/>
      </m:item>
      <m:tuple xlName="_TUP_6bc82a2204c3421d8f43f9411fd8c0fe" concept="clcid-pte:YiHouBuNengZhongFenLeiJinSunYiDeQiTaZongHeShouYiMingXi" default_row="2" addr="T0R7C">
        <m:item xlName="_GBC_da1cc886fb094c65a1d32d788b957136" concept="clcid-pte:YiHouBuNengZhongFenLeiJinSunYiDeQiTaZongHeShouYiMingXiXiangMuMingCheng" label="以后不能重分类进损益的其他综合收益明细-项目名称" addr="T0R7C0S1_1" appId="_GBC_a53cc67f2be24dfbbe3af1b633d9bd6d"/>
        <m:item xlName="_GBC_7e077fb0abd744c699c094b0293b2e5e" concept="clcid-pte:YiHouBuNengZhongFenLeiJinSunYiDeQiTaZongHeShouYiMingXiYuE" label="以后不能重分类进损益的其他综合收益明细-余额" periodRef="本期期初数" mulRef="_GBC_3fcad98da74248809a759048ca194814" unitRef="_GBC_3909f37aa0cc4eda82ff1503a6abe503" addr="T0R7C1S1_1" formatStyle="Comma" appId="_GBC_a53cc67f2be24dfbbe3af1b633d9bd6d"/>
        <m:item xlName="_GBC_5b3f46f8a66d4d09a4ff84eff3cc84ca" concept="clcid-pte:YiHouBuNengZhongFenLeiJinSunYiDeQiTaZongHeShouYiMingXiBenQiSuoDeShuiQianFaShengE" label="以后不能重分类进损益的其他综合收益明细-本期所得税前发生额" mulRef="_GBC_3fcad98da74248809a759048ca194814" unitRef="_GBC_3909f37aa0cc4eda82ff1503a6abe503" addr="T0R7C2S1_1" formatStyle="Comma" appId="_GBC_a53cc67f2be24dfbbe3af1b633d9bd6d"/>
        <m:item xlName="_GBC_841260e2392e463fa72d7d89effb8633" concept="clcid-pte:YiHouBuNengZhongFenLeiJinSunYiDeQiTaZongHeShouYiMingXiQiZhongQianQiJiRuQiTaZongHeShouYiDangQiZhuanRuSunYi" label="以后不能重分类进损益的其他综合收益明细-其中：前期计入其他综合收益当期转入损益" mulRef="_GBC_3fcad98da74248809a759048ca194814" unitRef="_GBC_3909f37aa0cc4eda82ff1503a6abe503" addr="T0R7C3S1_1" formatStyle="Comma" appId="_GBC_a53cc67f2be24dfbbe3af1b633d9bd6d"/>
        <m:item xlName="_GBC_d70a1caacc5346e6a177fe9fd8f01b68" concept="clcid-pte:YiHouBuNengZhongFenLeiJinSunYiDeQiTaZongHeShouYiMingXiQiZhongQianQiJiRuQiTaZongHeShouYiDangQiZhuanRuLiuCunShouYi" label="以后不能重分类进损益的其他综合收益明细-其中:前期计入其他综合收益当期转入留存收益" mulRef="_GBC_3fcad98da74248809a759048ca194814" unitRef="_GBC_3909f37aa0cc4eda82ff1503a6abe503" addr="T0R7C4S1_1" formatStyle="Comma" appId="_GBC_a53cc67f2be24dfbbe3af1b633d9bd6d"/>
        <m:item xlName="_GBC_e213e65a5fdb48849d396feef1a4cda3" concept="clcid-pte:YiHouBuNengZhongFenLeiJinSunYiDeQiTaZongHeShouYiMingXiSuoDeShui" label="以后不能重分类进损益的其他综合收益明细-所得税" mulRef="_GBC_3fcad98da74248809a759048ca194814" unitRef="_GBC_3909f37aa0cc4eda82ff1503a6abe503" addr="T0R7C5S1_1" formatStyle="Comma" appId="_GBC_a53cc67f2be24dfbbe3af1b633d9bd6d"/>
        <m:item xlName="_GBC_8689bdb7e04047c69877839b78d5710b" concept="clcid-pte:YiHouBuNengZhongFenLeiJinSunYiDeQiTaZongHeShouYiMingXiShuiHouGuiShuYuMuGongSi" label="以后不能重分类进损益的其他综合收益明细-税后归属于母公司" mulRef="_GBC_3fcad98da74248809a759048ca194814" unitRef="_GBC_3909f37aa0cc4eda82ff1503a6abe503" addr="T0R7C6S1_1" formatStyle="Comma" appId="_GBC_a53cc67f2be24dfbbe3af1b633d9bd6d"/>
        <m:item xlName="_GBC_b2a5102c04e64c4c852419b2193e495d" concept="clcid-pte:YiHouBuNengZhongFenLeiJinSunYiDeQiTaZongHeShouYiMingXiShuiHouGuiShuYuShaoShuGuDong" label="以后不能重分类进损益的其他综合收益明细-税后归属于少数股东" mulRef="_GBC_3fcad98da74248809a759048ca194814" unitRef="_GBC_3909f37aa0cc4eda82ff1503a6abe503" addr="T0R7C7S1_1" formatStyle="Comma" appId="_GBC_a53cc67f2be24dfbbe3af1b633d9bd6d"/>
        <m:item xlName="_GBC_f2df212f607b427da6ad0c5cc4c8d5b7" concept="clcid-pte:YiHouBuNengZhongFenLeiJinSunYiDeQiTaZongHeShouYiMingXiYuE" label="以后不能重分类进损益的其他综合收益明细-余额" mulRef="_GBC_3fcad98da74248809a759048ca194814" unitRef="_GBC_3909f37aa0cc4eda82ff1503a6abe503" addr="T0R7C8S1_1" formatStyle="Comma" appId="_GBC_a53cc67f2be24dfbbe3af1b633d9bd6d">
          <m:complexRule comparator="Eq" title="以后不能重分类进损益的其他综合收益明细-余额" test=" $_GBC_7e077fb0abd744c699c094b0293b2e5e +  $_GBC_8689bdb7e04047c69877839b78d5710b" id="C8cfdb7c8842c4780b397a865a5cf6a5f"/>
        </m:item>
      </m:tuple>
      <m:placeholder xlName="_PLD_4316f8eb3def474d974d5bd228f05848" addr="T0R9C0S1_1"/>
      <m:item xlName="_GBC_5c655a0ef59a4277bc39216e66537c6f" concept="clcid-pte:YiHouJiangZhongFenLeiJinSunYiDeQiTaZongHeShouYiZiChanFuZhaiBiaoXiangMu" label="以后将重分类进损益的其他综合收益（资产负债表项目）" periodRef="本期期初数" mulRef="_GBC_3fcad98da74248809a759048ca194814" unitRef="_GBC_3909f37aa0cc4eda82ff1503a6abe503" addr="T0R9C1S1_1" formatStyle="Comma" appId="_GBC_a53cc67f2be24dfbbe3af1b633d9bd6d">
        <m:complexRule comparator="Eq" title="以后将重分类进损益的其他综合收益（资产负债表项目）@本期期初数" test="$_GBC_db8101e98e2d49059591ee4b92535cbc+$_GBC_090f6e896a3749878fca75087d1741de+$_GBC_09e29a576b2b486b8b34f42d23fb754b+$_GBC_de9c32ac6e4e40efa3baa3fcb04b4f23+$_GBC_ad9b12b21e7744aeafe55aeb98771e63+$_GBC_cabcd9aaec98438eb609e9351a6f637b+$_GBC_1a9e128756874dc5b313ddadb5b50dcb" id="Ce989895197f24d318ab3b01d0383a6be"/>
      </m:item>
      <m:item xlName="_GBC_9097040f02864f6fb3f004c78756dabe" concept="clcid-pte:YiHouJiangZhongFenLeiJinSunYiDeQiTaZongHeShouYiBenQiSuoDeShuiQianFaShengE" label="以后将重分类进损益的其他综合收益本期所得税前发生额" mulRef="_GBC_3fcad98da74248809a759048ca194814" unitRef="_GBC_3909f37aa0cc4eda82ff1503a6abe503" addr="T0R9C2S1_1" formatStyle="Comma" appId="_GBC_a53cc67f2be24dfbbe3af1b633d9bd6d">
        <m:complexRule comparator="Eq" title="以后将重分类进损益的其他综合收益本期所得税前发生额" test="$_GBC_8fabb079f50544c29cfea7d6758a66d4+$_GBC_a00ac4405b894ad38902889601d7d9be+$_GBC_bf5976a574ac41628bc8fc95ae258e37+$_GBC_3fb7d9acbd644f6ea0572e1736b9d5c9+$_GBC_9a20d639edad4ccc91a502f3baf10297+$_GBC_7b43c19fb1154331a38b2f5c048adcd2+$_GBC_1484b6cf8dac449388991f698cb5a6a2" id="Cdd47c655b2e04d27bf85eaf37bd7a2fd"/>
      </m:item>
      <m:item xlName="_GBC_6ffea5e1ac8d41d09fe19a41b4348992" concept="clcid-pte:YiHouJiangZhongFenLeiJinSunYiDeQiTaZongHeShouYiQiZhongQianQiJiRuQiTaZongHeShouYiDangQiZhuanRuSunYi" label="以后将重分类进损益的其他综合收益-其中：前期计入其他综合收益当期转入损益" mulRef="_GBC_3fcad98da74248809a759048ca194814" unitRef="_GBC_3909f37aa0cc4eda82ff1503a6abe503" addr="T0R9C3S1_1" formatStyle="Comma" appId="_GBC_a53cc67f2be24dfbbe3af1b633d9bd6d">
        <m:complexRule comparator="Eq" title="以后将重分类进损益的其他综合收益-其中：前期计入其他综合收益当期转入损益" test="$_GBC_74fb1918f1584f308f86397f49bb0124+$_GBC_6d5ea5dd8058484eae725a73bb202454+$_GBC_ff1ae3ee7548468e979a035df04a1d12+$_GBC_6c3ce8997a254a03bed5c1c96ba56671+$_GBC_4a339c08642d4828bb8c04959184270f+$_GBC_4499f4dfa28b452ca87509f7079df472+$_GBC_91d1d8f666694a7483107186efbd3806" id="Cb8dd37dc8b1c4d9ebe3c7689778ed006"/>
      </m:item>
      <m:item xlName="_GBC_3c586710a7554d53a726a15a0984f7cf" concept="clcid-pte:YiHouJiangZhongFenLeiJinSunYiDeQiTaZongHeShouYiQiZhongQianQiJiRuQiTaZongHeShouYiDangQiZhuanRuLiuCunShouYi" label="以后将重分类进损益的其他综合收益-其中:前期计入其他综合收益当期转入留存收益" mulRef="_GBC_3fcad98da74248809a759048ca194814" unitRef="_GBC_3909f37aa0cc4eda82ff1503a6abe503" addr="T0R9C4S1_1" formatStyle="Comma" appId="_GBC_a53cc67f2be24dfbbe3af1b633d9bd6d">
        <m:complexRule comparator="Eq" title="以后将重分类进损益的其他综合收益-其中:前期计入其他综合收益当期转入留存收益" test=" $_GBC_b2b77fdb3eab4922896136e2d44ef59c +  $_GBC_722b721db36d40af85edb392af5bb38c +  $_GBC_8d9d8e06b924436e986bc2d97835f504 +  $_GBC_586df99427c4461ca5c287b38a9ecaac +  $_GBC_cc4404b69dc54598ba9df95b821f236e +  $_GBC_0061c3f63e54481a9ad137cdcd15377e +  $_GBC_5a68f69710484c7e9eb70e52a27757c0" id="C883b65cd4bb6444d89d535025e3dce14"/>
      </m:item>
      <m:item xlName="_GBC_3731b93bf1b7418a93ab305f92a85636" concept="clcid-pte:YiHouJiangZhongFenLeiJinSunYiDeQiTaZongHeShouYiDeSuoDeShui" label="以后将重分类进损益的其他综合收益的所得税" mulRef="_GBC_3fcad98da74248809a759048ca194814" unitRef="_GBC_3909f37aa0cc4eda82ff1503a6abe503" addr="T0R9C5S1_1" formatStyle="Comma" appId="_GBC_a53cc67f2be24dfbbe3af1b633d9bd6d">
        <m:complexRule comparator="Eq" title="以后将重分类进损益的其他综合收益的所得税" test="$_GBC_5ff26103ef5747739c7067e0d4a56e04+$_GBC_68532ea7757840ba9bf2995d5e419651+$_GBC_a998b9658572479e9387d31e162a0bbc+$_GBC_a11e89753dd747c987cf302845d64098+$_GBC_b5a29c19c5864bd9b242c1f204dda93f+$_GBC_5f56660cb1314f6e8317a179dc5fb191+$_GBC_2a4a3074c64849bb9117812035da8092" id="C1c81f37efbb2423f9cbbbaa5b8ca6737"/>
      </m:item>
      <m:item xlName="_GBC_89a43a67e3e544edbf44809c00131299" concept="clcid-pte:YiHouJiangZhongFenLeiJinSunYiDeQiTaZongHeShouYiDeShuiHouGuiShuYuMuGongSi" label="以后将重分类进损益的其他综合收益的税后归属于母公司" mulRef="_GBC_3fcad98da74248809a759048ca194814" unitRef="_GBC_3909f37aa0cc4eda82ff1503a6abe503" addr="T0R9C6S1_1" formatStyle="Comma" appId="_GBC_a53cc67f2be24dfbbe3af1b633d9bd6d">
        <m:complexRule comparator="Eq" title="以后将重分类进损益的其他综合收益的税后归属于母公司" test="$_GBC_d8df9c5017144eddb039da2a8a5e7b3b+$_GBC_9b0f31c8231d4c9298933c6b471f83c9+$_GBC_024cc46f334049e29216b5106db3ad9c+$_GBC_696aeb2f79e344ef9d6306fbd9075f97+$_GBC_4169538128be4200b8b00e72913b926b+$_GBC_a73c921cf3964e01baf7abe54a28e477+$_GBC_05c76e8df2724676b0fa728fa577101b" id="Ce5a414b24cea4a57a9496cbcc8754d37"/>
      </m:item>
      <m:item xlName="_GBC_dac05e318b5942de888da7ef528c2b23" concept="clcid-pte:YiHouJiangZhongFenLeiJinSunYiDeQiTaZongHeShouYiDeShuiHouGuiShuYuShaoShuGuDong" label="以后将重分类进损益的其他综合收益的税后归属于少数股东" mulRef="_GBC_3fcad98da74248809a759048ca194814" unitRef="_GBC_3909f37aa0cc4eda82ff1503a6abe503" addr="T0R9C7S1_1" formatStyle="Comma" appId="_GBC_a53cc67f2be24dfbbe3af1b633d9bd6d">
        <m:complexRule comparator="Eq" title="以后将重分类进损益的其他综合收益的税后归属于少数股东" test="$_GBC_0d307fb56be749a3802a7e62632d5c8e+$_GBC_76735100e3564a51bb188b0eb85ab05a+$_GBC_1707a4afbdec4fa58b5ecea12bc3bbc2+$_GBC_110f44ed64794ac58517bf975cf9a902+$_GBC_4ba9bded9c2646c48b2493487345d772+$_GBC_4138f4c466bb4a1aa6d60f7ea4c63f29+$_GBC_a93e7983394c4092b83b7b9f8631e2db" id="C26535e91c75145ee8b49e6cd30cdbcac"/>
      </m:item>
      <m:item xlName="_GBC_e110b3abe19241479fa28dadc62117e9" concept="clcid-pte:YiHouJiangZhongFenLeiJinSunYiDeQiTaZongHeShouYiZiChanFuZhaiBiaoXiangMu" label="以后将重分类进损益的其他综合收益（资产负债表项目）" mulRef="_GBC_3fcad98da74248809a759048ca194814" unitRef="_GBC_3909f37aa0cc4eda82ff1503a6abe503" addr="T0R9C8S1_1" formatStyle="Comma" appId="_GBC_a53cc67f2be24dfbbe3af1b633d9bd6d">
        <m:complexRule comparator="Eq" title="以后将重分类进损益的其他综合收益（资产负债表项目）" test=" $_GBC_5c655a0ef59a4277bc39216e66537c6f +  $_GBC_89a43a67e3e544edbf44809c00131299" id="C38cb0141ed874308bb9c0514a75906c4"/>
        <m:complexRule comparator="Eq" title="以后将重分类进损益的其他综合收益（资产负债表项目）" test="$_GBC_628551bdbca54da287738a803cbd14d4+$_GBC_cecb8cd4932445feb6381261422faf52+$_GBC_3825d6c77eb6484096e08e8a76e545ba+$_GBC_a42ed4a509e841c5af32484504db41b2+$_GBC_792b58da631141b49509130781b1fcd0+$_GBC_24be8d3f771640d793b63cf06c2a9700+$_GBC_6c32ed14aefb45b4a96f139d91c996f6" id="Cdb4ac9565b7a4e63951d59b9317efdc0"/>
      </m:item>
      <m:placeholder xlName="_PLD_c943cf2f4cb34d3c9fb95405c1a3062c" addr="T0R10C0S1_1"/>
      <m:item xlName="_GBC_db8101e98e2d49059591ee4b92535cbc" concept="clcid-pte:QuanYiFaXiaZaiBeiTouZiDanWeiYiHouJiangZhongFenLeiJinSunYiDeQiTaZongHeShouYiZhongXiangYouDeFenEZiChanFuZhaiBiaoXiangMu" label="权益法下在被投资单位以后将重分类进损益的其他综合收益中享有的份额（资产负债表项目）" periodRef="本期期初数" mulRef="_GBC_3fcad98da74248809a759048ca194814" unitRef="_GBC_3909f37aa0cc4eda82ff1503a6abe503" addr="T0R10C1S1_1" formatStyle="Comma" appId="_GBC_a53cc67f2be24dfbbe3af1b633d9bd6d"/>
      <m:item xlName="_GBC_8fabb079f50544c29cfea7d6758a66d4" concept="clcid-pte:QuanYiFaXiaZaiBeiTouZiDanWeiYiHouJiangZhongFenLeiJinSunYiDeQiTaZongHeShouYiZhongXiangYouDeFenEBenQiSuoDeShuiQianFaShengE" label="权益法下在被投资单位以后将重分类进损益的其他综合收益中享有的份额本期所得税前发生额" mulRef="_GBC_3fcad98da74248809a759048ca194814" unitRef="_GBC_3909f37aa0cc4eda82ff1503a6abe503" addr="T0R10C2S1_1" formatStyle="Comma" appId="_GBC_a53cc67f2be24dfbbe3af1b633d9bd6d"/>
      <m:item xlName="_GBC_74fb1918f1584f308f86397f49bb0124" concept="clcid-pte:QuanYiFaXiaZaiBeiTouZiDanWeiYiHouJiangZhongFenLeiJinSunYiDeQiTaZongHeShouYiZhongXiangYouDeFenEQiZhongQianQiJiRuQiTaZongHeShouYiDangQiZhuanRuSunYi" label="权益法下在被投资单位以后将重分类进损益的其他综合收益中享有的份额-其中：前期计入其他综合收益当期转入损益" mulRef="_GBC_3fcad98da74248809a759048ca194814" unitRef="_GBC_3909f37aa0cc4eda82ff1503a6abe503" addr="T0R10C3S1_1" formatStyle="Comma" appId="_GBC_a53cc67f2be24dfbbe3af1b633d9bd6d"/>
      <m:item xlName="_GBC_b2b77fdb3eab4922896136e2d44ef59c" concept="clcid-pte:QuanYiFaXiaKeZhuanSunYiDeQiTaZongHeShouYiQiZhongQianQiJiRuQiTaZongHeShouYiDangQiZhuanRuLiuCunShouYi" label="权益法下可转损益的其他综合收益-其中:前期计入其他综合收益当期转入留存收益" mulRef="_GBC_3fcad98da74248809a759048ca194814" unitRef="_GBC_3909f37aa0cc4eda82ff1503a6abe503" addr="T0R10C4S1_1" formatStyle="Comma" appId="_GBC_a53cc67f2be24dfbbe3af1b633d9bd6d"/>
      <m:item xlName="_GBC_5ff26103ef5747739c7067e0d4a56e04" concept="clcid-pte:QuanYiFaXiaZaiBeiTouZiDanWeiYiHouJiangZhongFenLeiJinSunYiDeQiTaZongHeShouYiZhongXiangYouDeFenEDeSuoDeShui" label="权益法下在被投资单位以后将重分类进损益的其他综合收益中享有的份额的所得税" mulRef="_GBC_3fcad98da74248809a759048ca194814" unitRef="_GBC_3909f37aa0cc4eda82ff1503a6abe503" addr="T0R10C5S1_1" formatStyle="Comma" appId="_GBC_a53cc67f2be24dfbbe3af1b633d9bd6d"/>
      <m:item xlName="_GBC_d8df9c5017144eddb039da2a8a5e7b3b" concept="clcid-pte:QuanYiFaXiaZaiBeiTouZiDanWeiYiHouJiangZhongFenLeiJinSunYiDeQiTaZongHeShouYiZhongXiangYouDeFenEDeShuiHouGuiShuYuMuGongSi" label="权益法下在被投资单位以后将重分类进损益的其他综合收益中享有的份额的税后归属于母公司" mulRef="_GBC_3fcad98da74248809a759048ca194814" unitRef="_GBC_3909f37aa0cc4eda82ff1503a6abe503" addr="T0R10C6S1_1" formatStyle="Comma" appId="_GBC_a53cc67f2be24dfbbe3af1b633d9bd6d"/>
      <m:item xlName="_GBC_0d307fb56be749a3802a7e62632d5c8e" concept="clcid-pte:QuanYiFaXiaZaiBeiTouZiDanWeiYiHouJiangZhongFenLeiJinSunYiDeQiTaZongHeShouYiZhongXiangYouDeFenEDeShuiHouGuiShuYuShaoShuGuDong" label="权益法下在被投资单位以后将重分类进损益的其他综合收益中享有的份额的税后归属于少数股东" mulRef="_GBC_3fcad98da74248809a759048ca194814" unitRef="_GBC_3909f37aa0cc4eda82ff1503a6abe503" addr="T0R10C7S1_1" formatStyle="Comma" appId="_GBC_a53cc67f2be24dfbbe3af1b633d9bd6d"/>
      <m:item xlName="_GBC_628551bdbca54da287738a803cbd14d4" concept="clcid-pte:QuanYiFaXiaZaiBeiTouZiDanWeiYiHouJiangZhongFenLeiJinSunYiDeQiTaZongHeShouYiZhongXiangYouDeFenEZiChanFuZhaiBiaoXiangMu" label="权益法下在被投资单位以后将重分类进损益的其他综合收益中享有的份额（资产负债表项目）" mulRef="_GBC_3fcad98da74248809a759048ca194814" unitRef="_GBC_3909f37aa0cc4eda82ff1503a6abe503" addr="T0R10C8S1_1" formatStyle="Comma" appId="_GBC_a53cc67f2be24dfbbe3af1b633d9bd6d">
        <m:complexRule comparator="Eq" title="权益法下在被投资单位以后将重分类进损益的其他综合收益中享有的份额（资产负债表项目）" test=" $_GBC_db8101e98e2d49059591ee4b92535cbc +  $_GBC_d8df9c5017144eddb039da2a8a5e7b3b" id="C84e911ccd3404b0c8a992b27dbe8ebe0"/>
      </m:item>
      <m:placeholder xlName="_PLD_05c7e2483e664174af98c56352aea31b" addr="T0R11C0S1_1"/>
      <m:item xlName="_GBC_090f6e896a3749878fca75087d1741de" concept="clcid-pte:QiTaZhaiQuanTouZiGongYunJiaZhiBianDongZiChanFuZhaiBiaoXiangMu" label="其他债权投资公允价值变动（资产负债表项目）" periodRef="本期期初数" mulRef="_GBC_3fcad98da74248809a759048ca194814" unitRef="_GBC_3909f37aa0cc4eda82ff1503a6abe503" addr="T0R11C1S1_1" formatStyle="Comma" appId="_GBC_a53cc67f2be24dfbbe3af1b633d9bd6d"/>
      <m:item xlName="_GBC_a00ac4405b894ad38902889601d7d9be" concept="clcid-pte:QiTaZhaiQuanTouZiGongYunJiaZhiBianDongBenQiSuoDeShuiQianFaShengE" label="其他债权投资公允价值变动本期所得税前发生额" mulRef="_GBC_3fcad98da74248809a759048ca194814" unitRef="_GBC_3909f37aa0cc4eda82ff1503a6abe503" addr="T0R11C2S1_1" formatStyle="Comma" appId="_GBC_a53cc67f2be24dfbbe3af1b633d9bd6d"/>
      <m:item xlName="_GBC_6d5ea5dd8058484eae725a73bb202454" concept="clcid-pte:QiTaZhaiQuanTouZiGongYunJiaZhiBianDongQianQiJiRuQiTaZongHeShouYiDangQiZhuanRuSunYi" label="其他债权投资公允价值变动-前期计入其他综合收益当期转入损益" mulRef="_GBC_3fcad98da74248809a759048ca194814" unitRef="_GBC_3909f37aa0cc4eda82ff1503a6abe503" addr="T0R11C3S1_1" formatStyle="Comma" appId="_GBC_a53cc67f2be24dfbbe3af1b633d9bd6d"/>
      <m:item xlName="_GBC_722b721db36d40af85edb392af5bb38c" concept="clcid-pte:QiTaZhaiQuanTouZiGongYunJiaZhiBianDongQiZhongQianQiJiRuQiTaZongHeShouYiDangQiZhuanRuLiuCunShouYi" label="其他债权投资公允价值变动-其中:前期计入其他综合收益当期转入留存收益" mulRef="_GBC_3fcad98da74248809a759048ca194814" unitRef="_GBC_3909f37aa0cc4eda82ff1503a6abe503" addr="T0R11C4S1_1" formatStyle="Comma" appId="_GBC_a53cc67f2be24dfbbe3af1b633d9bd6d"/>
      <m:item xlName="_GBC_68532ea7757840ba9bf2995d5e419651" concept="clcid-pte:QiTaZhaiQuanTouZiGongYunJiaZhiBianDongDeSuoDeShuiFeiYong" label="其他债权投资公允价值变动的所得税费用" mulRef="_GBC_3fcad98da74248809a759048ca194814" unitRef="_GBC_3909f37aa0cc4eda82ff1503a6abe503" addr="T0R11C5S1_1" formatStyle="Comma" appId="_GBC_a53cc67f2be24dfbbe3af1b633d9bd6d"/>
      <m:item xlName="_GBC_9b0f31c8231d4c9298933c6b471f83c9" concept="clcid-pte:QiTaZhaiQuanTouZiGongYunJiaZhiBianDongShuiHouGuiShuYuMuGongSi" label="其他债权投资公允价值变动税后归属于母公司" mulRef="_GBC_3fcad98da74248809a759048ca194814" unitRef="_GBC_3909f37aa0cc4eda82ff1503a6abe503" addr="T0R11C6S1_1" formatStyle="Comma" appId="_GBC_a53cc67f2be24dfbbe3af1b633d9bd6d"/>
      <m:item xlName="_GBC_76735100e3564a51bb188b0eb85ab05a" concept="clcid-pte:QiTaZhaiQuanTouZiGongYunJiaZhiBianDongShuiHouGuiShuYuShaoShuGuDong" label="其他债权投资公允价值变动税后归属于少数股东" mulRef="_GBC_3fcad98da74248809a759048ca194814" unitRef="_GBC_3909f37aa0cc4eda82ff1503a6abe503" addr="T0R11C7S1_1" formatStyle="Comma" appId="_GBC_a53cc67f2be24dfbbe3af1b633d9bd6d"/>
      <m:item xlName="_GBC_cecb8cd4932445feb6381261422faf52" concept="clcid-pte:QiTaZhaiQuanTouZiGongYunJiaZhiBianDongZiChanFuZhaiBiaoXiangMu" label="其他债权投资公允价值变动（资产负债表项目）" mulRef="_GBC_3fcad98da74248809a759048ca194814" unitRef="_GBC_3909f37aa0cc4eda82ff1503a6abe503" addr="T0R11C8S1_1" formatStyle="Comma" appId="_GBC_a53cc67f2be24dfbbe3af1b633d9bd6d">
        <m:complexRule comparator="Eq" title="其他债权投资公允价值变动（资产负债表项目）" test=" $_GBC_090f6e896a3749878fca75087d1741de +  $_GBC_9b0f31c8231d4c9298933c6b471f83c9" id="C2c4ad7c987564696a0eb38aab2a0f4a9"/>
      </m:item>
      <m:placeholder xlName="_PLD_67d6f101a03d467d995419510214a616" addr="T0R12C0S1_1"/>
      <m:item xlName="_GBC_09e29a576b2b486b8b34f42d23fb754b" concept="clcid-pte:JinRongZiChanZhongFenLeiJiRuQiTaZongHeShouYiDeJinEZiChanFuZhaiBiaoXiangMu" label="金融资产重分类计入其他综合收益的金额（资产负债表项目）" periodRef="本期期初数" mulRef="_GBC_3fcad98da74248809a759048ca194814" unitRef="_GBC_3909f37aa0cc4eda82ff1503a6abe503" addr="T0R12C1S1_1" formatStyle="Comma" appId="_GBC_a53cc67f2be24dfbbe3af1b633d9bd6d"/>
      <m:item xlName="_GBC_bf5976a574ac41628bc8fc95ae258e37" concept="clcid-pte:JinRongZiChanZhongFenLeiJiRuQiTaZongHeShouYiDeJinEBenQiSuoDeShuiQianFaShengE" label="金融资产重分类计入其他综合收益的金额本期所得税前发生额" mulRef="_GBC_3fcad98da74248809a759048ca194814" unitRef="_GBC_3909f37aa0cc4eda82ff1503a6abe503" addr="T0R12C2S1_1" formatStyle="Comma" appId="_GBC_a53cc67f2be24dfbbe3af1b633d9bd6d"/>
      <m:item xlName="_GBC_ff1ae3ee7548468e979a035df04a1d12" concept="clcid-pte:JinRongZiChanZhongFenLeiJiRuQiTaZongHeShouYiDeJinEQianQiJiRuQiTaZongHeShouYiDangQiZhuanRuSunYi" label="金融资产重分类计入其他综合收益的金额-前期计入其他综合收益当期转入损益" mulRef="_GBC_3fcad98da74248809a759048ca194814" unitRef="_GBC_3909f37aa0cc4eda82ff1503a6abe503" addr="T0R12C3S1_1" formatStyle="Comma" appId="_GBC_a53cc67f2be24dfbbe3af1b633d9bd6d"/>
      <m:item xlName="_GBC_8d9d8e06b924436e986bc2d97835f504" concept="clcid-pte:JinRongZiChanZhongFenLeiJiRuQiTaZongHeShouYiDeJinEQiZhongQianQiJiRuQiTaZongHeShouYiDangQiZhuanRuLiuCunShouYi" label="金融资产重分类计入其他综合收益的金额-其中:前期计入其他综合收益当期转入留存收益" mulRef="_GBC_3fcad98da74248809a759048ca194814" unitRef="_GBC_3909f37aa0cc4eda82ff1503a6abe503" addr="T0R12C4S1_1" formatStyle="Comma" appId="_GBC_a53cc67f2be24dfbbe3af1b633d9bd6d"/>
      <m:item xlName="_GBC_a998b9658572479e9387d31e162a0bbc" concept="clcid-pte:JinRongZiChanZhongFenLeiJiRuQiTaZongHeShouYiDeJinEDeSuoDeShuiFeiYong" label="金融资产重分类计入其他综合收益的金额的所得税费用" mulRef="_GBC_3fcad98da74248809a759048ca194814" unitRef="_GBC_3909f37aa0cc4eda82ff1503a6abe503" addr="T0R12C5S1_1" formatStyle="Comma" appId="_GBC_a53cc67f2be24dfbbe3af1b633d9bd6d"/>
      <m:item xlName="_GBC_024cc46f334049e29216b5106db3ad9c" concept="clcid-pte:JinRongZiChanZhongFenLeiJiRuQiTaZongHeShouYiDeJinEShuiHouGuiShuYuMuGongSi" label="金融资产重分类计入其他综合收益的金额税后归属于母公司" mulRef="_GBC_3fcad98da74248809a759048ca194814" unitRef="_GBC_3909f37aa0cc4eda82ff1503a6abe503" addr="T0R12C6S1_1" formatStyle="Comma" appId="_GBC_a53cc67f2be24dfbbe3af1b633d9bd6d"/>
      <m:item xlName="_GBC_1707a4afbdec4fa58b5ecea12bc3bbc2" concept="clcid-pte:JinRongZiChanZhongFenLeiJiRuQiTaZongHeShouYiDeJinEShuiHouGuiShuYuShaoShuGuDong" label="金融资产重分类计入其他综合收益的金额税后归属于少数股东" mulRef="_GBC_3fcad98da74248809a759048ca194814" unitRef="_GBC_3909f37aa0cc4eda82ff1503a6abe503" addr="T0R12C7S1_1" formatStyle="Comma" appId="_GBC_a53cc67f2be24dfbbe3af1b633d9bd6d"/>
      <m:item xlName="_GBC_3825d6c77eb6484096e08e8a76e545ba" concept="clcid-pte:JinRongZiChanZhongFenLeiJiRuQiTaZongHeShouYiDeJinEZiChanFuZhaiBiaoXiangMu" label="金融资产重分类计入其他综合收益的金额（资产负债表项目）" mulRef="_GBC_3fcad98da74248809a759048ca194814" unitRef="_GBC_3909f37aa0cc4eda82ff1503a6abe503" addr="T0R12C8S1_1" formatStyle="Comma" appId="_GBC_a53cc67f2be24dfbbe3af1b633d9bd6d">
        <m:complexRule comparator="Eq" title="金融资产重分类计入其他综合收益的金额（资产负债表项目）" test=" $_GBC_09e29a576b2b486b8b34f42d23fb754b +  $_GBC_024cc46f334049e29216b5106db3ad9c" id="C3f56f2339b6b46c7b6357873e5911029"/>
      </m:item>
      <m:placeholder xlName="_PLD_b7f5af5728364a0f8a18e5ed26751100" addr="T0R13C0S1_1"/>
      <m:item xlName="_GBC_de9c32ac6e4e40efa3baa3fcb04b4f23" concept="clcid-pte:QiTaZhaiQuanTouZiXinYongJianZhiZhunBeiZiChanFuZhaiBiaoXiangMu" label="其他债权投资信用减值准备（资产负债表项目）" periodRef="本期期初数" mulRef="_GBC_3fcad98da74248809a759048ca194814" unitRef="_GBC_3909f37aa0cc4eda82ff1503a6abe503" addr="T0R13C1S1_1" formatStyle="Comma" appId="_GBC_a53cc67f2be24dfbbe3af1b633d9bd6d"/>
      <m:item xlName="_GBC_3fb7d9acbd644f6ea0572e1736b9d5c9" concept="clcid-pte:QiTaZhaiQuanTouZiXinYongJianZhiZhunBeiBenQiSuoDeShuiQianFaShengE" label="其他债权投资信用减值准备本期所得税前发生额" mulRef="_GBC_3fcad98da74248809a759048ca194814" unitRef="_GBC_3909f37aa0cc4eda82ff1503a6abe503" addr="T0R13C2S1_1" formatStyle="Comma" appId="_GBC_a53cc67f2be24dfbbe3af1b633d9bd6d"/>
      <m:item xlName="_GBC_6c3ce8997a254a03bed5c1c96ba56671" concept="clcid-pte:QiTaZhaiQuanTouZiXinYongJianZhiZhunBeiQianQiJiRuQiTaZongHeShouYiDangQiZhuanRuSunYi" label="其他债权投资信用减值准备-前期计入其他综合收益当期转入损益" mulRef="_GBC_3fcad98da74248809a759048ca194814" unitRef="_GBC_3909f37aa0cc4eda82ff1503a6abe503" addr="T0R13C3S1_1" formatStyle="Comma" appId="_GBC_a53cc67f2be24dfbbe3af1b633d9bd6d"/>
      <m:item xlName="_GBC_586df99427c4461ca5c287b38a9ecaac" concept="clcid-pte:QiTaZhaiQuanTouZiXinYongJianZhiZhunBeiQiZhongQianQiJiRuQiTaZongHeShouYiDangQiZhuanRuLiuCunShouYi" label="其他债权投资信用减值准备-其中:前期计入其他综合收益当期转入留存收益" mulRef="_GBC_3fcad98da74248809a759048ca194814" unitRef="_GBC_3909f37aa0cc4eda82ff1503a6abe503" addr="T0R13C4S1_1" formatStyle="Comma" appId="_GBC_a53cc67f2be24dfbbe3af1b633d9bd6d"/>
      <m:item xlName="_GBC_a11e89753dd747c987cf302845d64098" concept="clcid-pte:QiTaZhaiQuanTouZiXinYongJianZhiZhunBeiDeSuoDeShuiFeiYong" label="其他债权投资信用减值准备的所得税费用" mulRef="_GBC_3fcad98da74248809a759048ca194814" unitRef="_GBC_3909f37aa0cc4eda82ff1503a6abe503" addr="T0R13C5S1_1" formatStyle="Comma" appId="_GBC_a53cc67f2be24dfbbe3af1b633d9bd6d"/>
      <m:item xlName="_GBC_696aeb2f79e344ef9d6306fbd9075f97" concept="clcid-pte:QiTaZhaiQuanTouZiXinYongJianZhiZhunBeiShuiHouGuiShuYuMuGongSi" label="其他债权投资信用减值准备税后归属于母公司" mulRef="_GBC_3fcad98da74248809a759048ca194814" unitRef="_GBC_3909f37aa0cc4eda82ff1503a6abe503" addr="T0R13C6S1_1" formatStyle="Comma" appId="_GBC_a53cc67f2be24dfbbe3af1b633d9bd6d"/>
      <m:item xlName="_GBC_110f44ed64794ac58517bf975cf9a902" concept="clcid-pte:QiTaZhaiQuanTouZiXinYongJianZhiZhunBeiShuiHouGuiShuYuShaoShuGuDong" label="其他债权投资信用减值准备税后归属于少数股东" mulRef="_GBC_3fcad98da74248809a759048ca194814" unitRef="_GBC_3909f37aa0cc4eda82ff1503a6abe503" addr="T0R13C7S1_1" formatStyle="Comma" appId="_GBC_a53cc67f2be24dfbbe3af1b633d9bd6d"/>
      <m:item xlName="_GBC_a42ed4a509e841c5af32484504db41b2" concept="clcid-pte:QiTaZhaiQuanTouZiXinYongJianZhiZhunBeiZiChanFuZhaiBiaoXiangMu" label="其他债权投资信用减值准备（资产负债表项目）" mulRef="_GBC_3fcad98da74248809a759048ca194814" unitRef="_GBC_3909f37aa0cc4eda82ff1503a6abe503" addr="T0R13C8S1_1" formatStyle="Comma" appId="_GBC_a53cc67f2be24dfbbe3af1b633d9bd6d">
        <m:complexRule comparator="Eq" title="其他债权投资信用减值准备本期所得税前发生额" test=" $_GBC_de9c32ac6e4e40efa3baa3fcb04b4f23 +  $_GBC_696aeb2f79e344ef9d6306fbd9075f97" id="Cfad1b49eea5242c3833543dd05604b94"/>
      </m:item>
      <m:placeholder xlName="_PLD_87be35a6f331456eb4e213fe998f1437" addr="T0R14C0S1_1"/>
      <m:item xlName="_GBC_ad9b12b21e7744aeafe55aeb98771e63" concept="clcid-pte:XianJinLiuLiangTaoQiSunYiDeYouXiaoBuFenZiChanFuZhaiBiaoXiangMu" label="现金流量套期损益的有效部分（资产负债表项目）" periodRef="本期期初数" mulRef="_GBC_3fcad98da74248809a759048ca194814" unitRef="_GBC_3909f37aa0cc4eda82ff1503a6abe503" addr="T0R14C1S1_1" formatStyle="Comma" appId="_GBC_a53cc67f2be24dfbbe3af1b633d9bd6d"/>
      <m:item xlName="_GBC_9a20d639edad4ccc91a502f3baf10297" concept="clcid-pte:XianJinLiuLiangTaoQiSunYiDeYouXiaoBuFenBenQiSuoDeShuiQianFaShengE" label="现金流量套期损益的有效部分本期所得税前发生额" mulRef="_GBC_3fcad98da74248809a759048ca194814" unitRef="_GBC_3909f37aa0cc4eda82ff1503a6abe503" addr="T0R14C2S1_1" formatStyle="Comma" appId="_GBC_a53cc67f2be24dfbbe3af1b633d9bd6d"/>
      <m:item xlName="_GBC_4a339c08642d4828bb8c04959184270f" concept="clcid-pte:XianJinLiuLiangTaoQiSunYiDeYouXiaoBuFenQiZhongQianQiJiRuQiTaZongHeShouYiDangQiZhuanRuSunYi" label="现金流量套期损益的有效部分-其中：前期计入其他综合收益当期转入损益" mulRef="_GBC_3fcad98da74248809a759048ca194814" unitRef="_GBC_3909f37aa0cc4eda82ff1503a6abe503" addr="T0R14C3S1_1" formatStyle="Comma" appId="_GBC_a53cc67f2be24dfbbe3af1b633d9bd6d"/>
      <m:item xlName="_GBC_cc4404b69dc54598ba9df95b821f236e" concept="clcid-pte:XianJinLiuLiangTaoQiChuBeiQiZhongQianQiJiRuQiTaZongHeShouYiDangQiZhuanRuLiuCunShouYi" label="现金流量套期储备-其中:前期计入其他综合收益当期转入留存收益" mulRef="_GBC_3fcad98da74248809a759048ca194814" unitRef="_GBC_3909f37aa0cc4eda82ff1503a6abe503" addr="T0R14C4S1_1" formatStyle="Comma" appId="_GBC_a53cc67f2be24dfbbe3af1b633d9bd6d"/>
      <m:item xlName="_GBC_b5a29c19c5864bd9b242c1f204dda93f" concept="clcid-pte:XianJinLiuLiangTaoQiSunYiDeYouXiaoBuFenDeSuoDeShui" label="现金流量套期损益的有效部分的所得税" mulRef="_GBC_3fcad98da74248809a759048ca194814" unitRef="_GBC_3909f37aa0cc4eda82ff1503a6abe503" addr="T0R14C5S1_1" formatStyle="Comma" appId="_GBC_a53cc67f2be24dfbbe3af1b633d9bd6d"/>
      <m:item xlName="_GBC_4169538128be4200b8b00e72913b926b" concept="clcid-pte:XianJinLiuLiangTaoQiSunYiDeYouXiaoBuFenDeShuiHouGuiShuYuMuGongSi" label="现金流量套期损益的有效部分的税后归属于母公司" mulRef="_GBC_3fcad98da74248809a759048ca194814" unitRef="_GBC_3909f37aa0cc4eda82ff1503a6abe503" addr="T0R14C6S1_1" formatStyle="Comma" appId="_GBC_a53cc67f2be24dfbbe3af1b633d9bd6d"/>
      <m:item xlName="_GBC_4ba9bded9c2646c48b2493487345d772" concept="clcid-pte:XianJinLiuLiangTaoQiSunYiDeYouXiaoBuFenDeShuiHouGuiShuYuShaoShuGuDong" label="现金流量套期损益的有效部分的税后归属于少数股东" mulRef="_GBC_3fcad98da74248809a759048ca194814" unitRef="_GBC_3909f37aa0cc4eda82ff1503a6abe503" addr="T0R14C7S1_1" formatStyle="Comma" appId="_GBC_a53cc67f2be24dfbbe3af1b633d9bd6d"/>
      <m:item xlName="_GBC_792b58da631141b49509130781b1fcd0" concept="clcid-pte:XianJinLiuLiangTaoQiSunYiDeYouXiaoBuFenZiChanFuZhaiBiaoXiangMu" label="现金流量套期损益的有效部分（资产负债表项目）" mulRef="_GBC_3fcad98da74248809a759048ca194814" unitRef="_GBC_3909f37aa0cc4eda82ff1503a6abe503" addr="T0R14C8S1_1" formatStyle="Comma" appId="_GBC_a53cc67f2be24dfbbe3af1b633d9bd6d">
        <m:complexRule comparator="Eq" title="现金流量套期损益的有效部分（资产负债表项目）" test=" $_GBC_ad9b12b21e7744aeafe55aeb98771e63 +  $_GBC_4169538128be4200b8b00e72913b926b" id="C7a7dfb5f02c84967bb92d87514947b60"/>
      </m:item>
      <m:placeholder xlName="_PLD_7096ad729dde4fc1a4c67915bc5f19df" addr="T0R15C0S1_1"/>
      <m:item xlName="_GBC_cabcd9aaec98438eb609e9351a6f637b" concept="clcid-pte:WaiBiBaoBiaoZheSuanChaE" label="外币报表折算差额" periodRef="本期期初数" mulRef="_GBC_3fcad98da74248809a759048ca194814" unitRef="_GBC_3909f37aa0cc4eda82ff1503a6abe503" addr="T0R15C1S1_1" formatStyle="Comma" appId="_GBC_a53cc67f2be24dfbbe3af1b633d9bd6d"/>
      <m:item xlName="_GBC_7b43c19fb1154331a38b2f5c048adcd2" concept="clcid-pte:WaiBiCaiWuBaoBiaoZheSuanChaEBenQiSuoDeShuiQianFaShengE" label="外币财务报表折算差额本期所得税前发生额" mulRef="_GBC_3fcad98da74248809a759048ca194814" unitRef="_GBC_3909f37aa0cc4eda82ff1503a6abe503" addr="T0R15C2S1_1" formatStyle="Comma" appId="_GBC_a53cc67f2be24dfbbe3af1b633d9bd6d"/>
      <m:item xlName="_GBC_4499f4dfa28b452ca87509f7079df472" concept="clcid-pte:WaiBiCaiWuBaoBiaoZheSuanChaEQiZhongQianQiJiRuQiTaZongHeShouYiDangQiZhuanRuSunYi" label="外币财务报表折算差额-其中：前期计入其他综合收益当期转入损益" mulRef="_GBC_3fcad98da74248809a759048ca194814" unitRef="_GBC_3909f37aa0cc4eda82ff1503a6abe503" addr="T0R15C3S1_1" formatStyle="Comma" appId="_GBC_a53cc67f2be24dfbbe3af1b633d9bd6d"/>
      <m:item xlName="_GBC_0061c3f63e54481a9ad137cdcd15377e" concept="clcid-pte:WaiBiCaiWuBaoBiaoZheSuanChaEQiZhongQianQiJiRuQiTaZongHeShouYiDangQiZhuanRuLiuCunShouYi" label="外币财务报表折算差额-其中:前期计入其他综合收益当期转入留存收益" mulRef="_GBC_3fcad98da74248809a759048ca194814" unitRef="_GBC_3909f37aa0cc4eda82ff1503a6abe503" addr="T0R15C4S1_1" formatStyle="Comma" appId="_GBC_a53cc67f2be24dfbbe3af1b633d9bd6d"/>
      <m:item xlName="_GBC_5f56660cb1314f6e8317a179dc5fb191" concept="clcid-pte:WaiBiCaiWuBaoBiaoZheSuanChaEDeSuoDeShui" label="外币财务报表折算差额的所得税" mulRef="_GBC_3fcad98da74248809a759048ca194814" unitRef="_GBC_3909f37aa0cc4eda82ff1503a6abe503" addr="T0R15C5S1_1" formatStyle="Comma" appId="_GBC_a53cc67f2be24dfbbe3af1b633d9bd6d"/>
      <m:item xlName="_GBC_a73c921cf3964e01baf7abe54a28e477" concept="clcid-pte:WaiBiCaiWuBaoBiaoZheSuanChaEDeShuiHouGuiShuYuMuGongSi" label="外币财务报表折算差额的税后归属于母公司" mulRef="_GBC_3fcad98da74248809a759048ca194814" unitRef="_GBC_3909f37aa0cc4eda82ff1503a6abe503" addr="T0R15C6S1_1" formatStyle="Comma" appId="_GBC_a53cc67f2be24dfbbe3af1b633d9bd6d"/>
      <m:item xlName="_GBC_4138f4c466bb4a1aa6d60f7ea4c63f29" concept="clcid-pte:WaiBiCaiWuBaoBiaoZheSuanChaEDeShuiHouGuiShuYuShaoShuGuDong" label="外币财务报表折算差额的税后归属于少数股东" mulRef="_GBC_3fcad98da74248809a759048ca194814" unitRef="_GBC_3909f37aa0cc4eda82ff1503a6abe503" addr="T0R15C7S1_1" formatStyle="Comma" appId="_GBC_a53cc67f2be24dfbbe3af1b633d9bd6d"/>
      <m:item xlName="_GBC_24be8d3f771640d793b63cf06c2a9700" concept="clcid-pte:WaiBiBaoBiaoZheSuanChaE" label="外币报表折算差额" mulRef="_GBC_3fcad98da74248809a759048ca194814" unitRef="_GBC_3909f37aa0cc4eda82ff1503a6abe503" addr="T0R15C8S1_1" formatStyle="Comma" appId="_GBC_a53cc67f2be24dfbbe3af1b633d9bd6d">
        <m:complexRule comparator="Eq" title="外币报表折算差额" test=" $_GBC_cabcd9aaec98438eb609e9351a6f637b +  $_GBC_a73c921cf3964e01baf7abe54a28e477" id="Cd617303d689946c78f20d507bb230f30"/>
      </m:item>
      <m:tuple xlName="_TUP_56d4648d761a4a9a9f94fac2aeb735b6" concept="clcid-pte:YiHouJiangZhongFenLeiJinSunYiDeQiTaZongHeShouYiMingXi" default_row="2" addr="T0R16C">
        <m:item xlName="_GBC_fa7f46e29b2046c3b668314d9203c45c" concept="clcid-pte:YiHouJiangZhongFenLeiJinSunYiDeQiTaZongHeShouYiMingXiXiangMuMingCheng" label="以后将重分类进损益的其他综合收益明细-项目名称" addr="T0R16C0S1_1" appId="_GBC_a53cc67f2be24dfbbe3af1b633d9bd6d"/>
        <m:item xlName="_GBC_1a9e128756874dc5b313ddadb5b50dcb" concept="clcid-pte:YiHouJiangZhongFenLeiJinSunYiDeQiTaZongHeShouYiMingXiYuE" label="以后将重分类进损益的其他综合收益明细-余额" periodRef="本期期初数" mulRef="_GBC_3fcad98da74248809a759048ca194814" unitRef="_GBC_3909f37aa0cc4eda82ff1503a6abe503" addr="T0R16C1S1_1" formatStyle="Comma" appId="_GBC_a53cc67f2be24dfbbe3af1b633d9bd6d"/>
        <m:item xlName="_GBC_1484b6cf8dac449388991f698cb5a6a2" concept="clcid-pte:YiHouJiangZhongFenLeiJinSunYiDeQiTaZongHeShouYiMingXiBenQiSuoDeShuiQianFaShengE" label="以后将重分类进损益的其他综合收益明细-本期所得税前发生额" mulRef="_GBC_3fcad98da74248809a759048ca194814" unitRef="_GBC_3909f37aa0cc4eda82ff1503a6abe503" addr="T0R16C2S1_1" formatStyle="Comma" appId="_GBC_a53cc67f2be24dfbbe3af1b633d9bd6d"/>
        <m:item xlName="_GBC_91d1d8f666694a7483107186efbd3806" concept="clcid-pte:YiHouJiangZhongFenLeiJinSunYiDeQiTaZongHeShouYiMingXiQiZhongQianQiJiRuQiTaZongHeShouYiDangQiZhuanRuSunYi" label="以后将重分类进损益的其他综合收益明细-其中：前期计入其他综合收益当期转入损益" mulRef="_GBC_3fcad98da74248809a759048ca194814" unitRef="_GBC_3909f37aa0cc4eda82ff1503a6abe503" addr="T0R16C3S1_1" formatStyle="Comma" appId="_GBC_a53cc67f2be24dfbbe3af1b633d9bd6d"/>
        <m:item xlName="_GBC_5a68f69710484c7e9eb70e52a27757c0" concept="clcid-pte:YiHouJiangZhongFenLeiJinSunYiDeQiTaZongHeShouYiMingXiQiZhongQianQiJiRuQiTaZongHeShouYiDangQiZhuanRuLiuCunShouYi" label="以后将重分类进损益的其他综合收益明细-其中:前期计入其他综合收益当期转入留存收益" mulRef="_GBC_3fcad98da74248809a759048ca194814" unitRef="_GBC_3909f37aa0cc4eda82ff1503a6abe503" addr="T0R16C4S1_1" formatStyle="Comma" appId="_GBC_a53cc67f2be24dfbbe3af1b633d9bd6d"/>
        <m:item xlName="_GBC_2a4a3074c64849bb9117812035da8092" concept="clcid-pte:YiHouJiangZhongFenLeiJinSunYiDeQiTaZongHeShouYiMingXiSuoDeShui" label="以后将重分类进损益的其他综合收益明细-所得税" mulRef="_GBC_3fcad98da74248809a759048ca194814" unitRef="_GBC_3909f37aa0cc4eda82ff1503a6abe503" addr="T0R16C5S1_1" formatStyle="Comma" appId="_GBC_a53cc67f2be24dfbbe3af1b633d9bd6d"/>
        <m:item xlName="_GBC_05c76e8df2724676b0fa728fa577101b" concept="clcid-pte:YiHouJiangZhongFenLeiJinSunYiDeQiTaZongHeShouYiMingXiShuiHouGuiShuYuMuGongSi" label="以后将重分类进损益的其他综合收益明细-税后归属于母公司" mulRef="_GBC_3fcad98da74248809a759048ca194814" unitRef="_GBC_3909f37aa0cc4eda82ff1503a6abe503" addr="T0R16C6S1_1" formatStyle="Comma" appId="_GBC_a53cc67f2be24dfbbe3af1b633d9bd6d"/>
        <m:item xlName="_GBC_a93e7983394c4092b83b7b9f8631e2db" concept="clcid-pte:YiHouJiangZhongFenLeiJinSunYiDeQiTaZongHeShouYiMingXiShuiHouGuiShuYuShaoShuGuDong" label="以后将重分类进损益的其他综合收益明细-税后归属于少数股东" mulRef="_GBC_3fcad98da74248809a759048ca194814" unitRef="_GBC_3909f37aa0cc4eda82ff1503a6abe503" addr="T0R16C7S1_1" formatStyle="Comma" appId="_GBC_a53cc67f2be24dfbbe3af1b633d9bd6d"/>
        <m:item xlName="_GBC_6c32ed14aefb45b4a96f139d91c996f6" concept="clcid-pte:YiHouJiangZhongFenLeiJinSunYiDeQiTaZongHeShouYiMingXiYuE" label="以后将重分类进损益的其他综合收益明细-余额" mulRef="_GBC_3fcad98da74248809a759048ca194814" unitRef="_GBC_3909f37aa0cc4eda82ff1503a6abe503" addr="T0R16C8S1_1" formatStyle="Comma" appId="_GBC_a53cc67f2be24dfbbe3af1b633d9bd6d">
          <m:complexRule comparator="Eq" title="以后将重分类进损益的其他综合收益明细-余额" test=" $_GBC_1a9e128756874dc5b313ddadb5b50dcb +  $_GBC_05c76e8df2724676b0fa728fa577101b" id="Cd1d46251b3ad452191d567863bf1fa19"/>
        </m:item>
      </m:tuple>
      <m:placeholder xlName="_PLD_da397a12577f4c5f8c92faa7b167ad8e" addr="T0R18C0S1_1"/>
      <m:item xlName="_GBC_7d7534c6cb1c4ffdb0ccec0f16bb954b" concept="clcid-pte:QiTaZongHeShouYiZiChanFuZhaiBiaoXiangMu" label="其他综合收益（资产负债表项目）" periodRef="本期期初数" mulRef="_GBC_3fcad98da74248809a759048ca194814" unitRef="_GBC_3909f37aa0cc4eda82ff1503a6abe503" addr="T0R18C1S1_1" formatStyle="Comma" appId="_GBC_a53cc67f2be24dfbbe3af1b633d9bd6d">
        <m:complexRule comparator="Eq" title="其他综合收益（资产负债表项目）@本期期初数" test=" $_GBC_e2de66f3d0ff45c8b9236045779902ae +  $_GBC_5c655a0ef59a4277bc39216e66537c6f" id="C2adb36de120b49ed83027054a5b9d548"/>
      </m:item>
      <m:item xlName="_GBC_f7610283a95e4f7395abaebd290353b2" concept="clcid-pte:QiTaZongHeShouYiBenQiSuoDeShuiQianFaShengE" label="其他综合收益本期所得税前发生额" mulRef="_GBC_3fcad98da74248809a759048ca194814" unitRef="_GBC_3909f37aa0cc4eda82ff1503a6abe503" addr="T0R18C2S1_1" formatStyle="Comma" appId="_GBC_a53cc67f2be24dfbbe3af1b633d9bd6d">
        <m:complexRule comparator="Eq" title="其他综合收益本期所得税前发生额" test=" $_GBC_7de15fba1e054b8f91c7fa7ee8e7319b +  $_GBC_9097040f02864f6fb3f004c78756dabe" id="C0b9d6319140146949a1304d2da4dcdca"/>
      </m:item>
      <m:item xlName="_GBC_42b70a6763e445999c4d8105f6762eca" concept="clcid-pte:QiTaZongHeShouYiQiZhongQianQiJiRuQiTaZongHeShouYiDangQiZhuanRuSunYi" label="其他综合收益-其中：前期计入其他综合收益当期转入损益" mulRef="_GBC_3fcad98da74248809a759048ca194814" unitRef="_GBC_3909f37aa0cc4eda82ff1503a6abe503" addr="T0R18C3S1_1" formatStyle="Comma" appId="_GBC_a53cc67f2be24dfbbe3af1b633d9bd6d">
        <m:complexRule comparator="Eq" title="其他综合收益-其中：前期计入其他综合收益当期转入损益" test=" $_GBC_043684988a5347f2a6e0fe8c8c1a0e7b +  $_GBC_6ffea5e1ac8d41d09fe19a41b4348992" id="C7e146ca146d443c8a13460f2b8da43f5"/>
      </m:item>
      <m:item xlName="_GBC_a11f3011d8674a6aa5ed7c69a7e588cd" concept="clcid-pte:QiTaZongHeShouYiQiZhongQianQiJiRuQiTaZongHeShouYiDangQiZhuanRuLiuCunShouYi" label="其他综合收益-其中：前期计入其他综合收益当期转入留存收益" mulRef="_GBC_3fcad98da74248809a759048ca194814" unitRef="_GBC_3909f37aa0cc4eda82ff1503a6abe503" addr="T0R18C4S1_1" formatStyle="Comma" appId="_GBC_a53cc67f2be24dfbbe3af1b633d9bd6d">
        <m:complexRule comparator="Eq" title="其他综合收益-其中：前期计入其他综合收益当期转入留存收益" test=" $_GBC_bd45fe5da0464410af26e48ce2a50ef6 +  $_GBC_3c586710a7554d53a726a15a0984f7cf" id="Ce7b62d657bfc4cb9b5405f5b5389cbaa"/>
      </m:item>
      <m:item xlName="_GBC_4216738323074a78bd6414fbc909d317" concept="clcid-pte:QiTaZongHeShouYiChanShengDeSuoDeShuiYingXiang" label="其他综合收益产生的所得税影响" mulRef="_GBC_3fcad98da74248809a759048ca194814" unitRef="_GBC_3909f37aa0cc4eda82ff1503a6abe503" addr="T0R18C5S1_1" formatStyle="Comma" appId="_GBC_a53cc67f2be24dfbbe3af1b633d9bd6d">
        <m:complexRule comparator="Eq" title="其他综合收益产生的所得税影响" test=" $_GBC_53262a6ec9e048bc8f4130b5aa021238 +  $_GBC_3731b93bf1b7418a93ab305f92a85636" id="C38704a1a59d04355b44a08b2a41572c8"/>
      </m:item>
      <m:item xlName="_GBC_b5118f0af02749fc806db9326d754991" concept="clcid-pte:QiTaZongHeShouYiShuiHouGuiShuYuMuGongSi" label="其他综合收益税后归属于母公司" mulRef="_GBC_3fcad98da74248809a759048ca194814" unitRef="_GBC_3909f37aa0cc4eda82ff1503a6abe503" addr="T0R18C6S1_1" formatStyle="Comma" appId="_GBC_a53cc67f2be24dfbbe3af1b633d9bd6d">
        <m:complexRule comparator="Eq" title="其他综合收益税后归属于母公司" test=" $_GBC_85d145546e3b4f72908bbefe16244d13 +  $_GBC_89a43a67e3e544edbf44809c00131299" id="C2c250e440e7d4820a3ad31a24736c7a2"/>
      </m:item>
      <m:item xlName="_GBC_c6a0876415e54e03bba63f06fb05286e" concept="clcid-pte:QiTaZongHeShouYiShuiHouGuiShuYuShaoShuGuDong" label="其他综合收益税后归属于少数股东" mulRef="_GBC_3fcad98da74248809a759048ca194814" unitRef="_GBC_3909f37aa0cc4eda82ff1503a6abe503" addr="T0R18C7S1_1" formatStyle="Comma" appId="_GBC_a53cc67f2be24dfbbe3af1b633d9bd6d">
        <m:complexRule comparator="Eq" title="其他综合收益税后归属于少数股东" test=" $_GBC_1500787ae0ae4b4abcd2de62024866aa +  $_GBC_dac05e318b5942de888da7ef528c2b23" id="C7bc094093cf84a70839fee4b370caa83"/>
      </m:item>
      <m:item xlName="_GBC_0dbee349a9e94f788424baef436dd53a" concept="clcid-pte:QiTaZongHeShouYiZiChanFuZhaiBiaoXiangMu" label="其他综合收益（资产负债表项目）" mulRef="_GBC_3fcad98da74248809a759048ca194814" unitRef="_GBC_3909f37aa0cc4eda82ff1503a6abe503" addr="T0R18C8S1_1" formatStyle="Comma" appId="_GBC_a53cc67f2be24dfbbe3af1b633d9bd6d">
        <m:complexRule comparator="Eq" title="其他综合收益（资产负债表项目）" test=" $_GBC_ef85990f3d1549c99f748bd71e4c8ef8 +  $_GBC_e110b3abe19241479fa28dadc62117e9" id="Cbd67b8dbbee34813a537c069e1945dee"/>
        <m:complexRule comparator="Eq" title="其他综合收益（资产负债表项目）" test=" $_GBC_7d7534c6cb1c4ffdb0ccec0f16bb954b +  $_GBC_b5118f0af02749fc806db9326d754991" id="Ce787305098984083b77e054473394f3d"/>
      </m:item>
      <m:item xlName="_GBC_c389c92b3ef04746a88c157ed2e05698" concept="clcid-pte:ZongHeShouYiQingKuang" label="综合收益情况" appId="_GBC_a53cc67f2be24dfbbe3af1b633d9bd6d"/>
    </m:section>
    <m:section xlName="_GBC_8a08fa7a416e4e52a104ea9b06479f9e" title="专项储备" convertSummaryRule="NoConvert" helpId="112001104">
      <m:item xlName="_GBC_291ec3c1c38144a3ac0bde67edb318cc" concept="clcid-ci-ar:ShiFouShiYongZhuanXiangChuBei" label="是否适用：专项储备" selectOptions="_buildInAppliance" controlType="CustomCheckbox" cRanges="{&quot;StartName&quot;:&quot;_GBC_291ec3c1c38144a3ac0bde67edb318cc&quot;,&quot;EndName&quot;:&quot;_GBC_758f99495b434b96aea70b74014caac7&quot;,&quot;CType&quot;:1,&quot;DisplayText&quot;:null}"/>
      <m:item xlName="_GBC_98a0a00169d7461b91b431ef8a517eb1" concept="clcid-ci-ar:DanWeiCaiWuFuZhuZhuanXiangChuBei" label="单位：财务附注：专项储备" selectOptions="_buildInScales" controlType="Combobox" cellType="Scale" appId="_GBC_291ec3c1c38144a3ac0bde67edb318cc"/>
      <m:item xlName="_GBC_95059903151b47a0a2c8b7569f80df5e" concept="clcid-ci-ar:BiZhongCaiWuFuZhuZhuanXiangChuBei" label="币种：财务附注：专项储备" selectOptions="_buildInISO4217" controlType="Combobox" cellType="Measure" appId="_GBC_291ec3c1c38144a3ac0bde67edb318cc"/>
      <m:placeholder xlName="_PLD_10185f3f00484e34ab2fc5b633938a01" addr="T0R0C0S1_1"/>
      <m:placeholder xlName="_PLD_3a7d7c052d7c403a8ae004d68db8fa4c" addr="T0R0C1S1_1"/>
      <m:placeholder xlName="_PLD_e06fab4ca3b8451eb31df81e9b4922ec" addr="T0R0C2S1_1"/>
      <m:placeholder xlName="_PLD_2900f17d2ba041e9a7331e5ca367f7b9" addr="T0R0C3S1_1"/>
      <m:placeholder xlName="_PLD_7fcbcb783b95484a87e1a335f06dfcc3" addr="T0R0C4S1_1"/>
      <m:placeholder xlName="_PLD_f928310ca4874f07bdca7291bba391b0" addr="T0R1C0S1_1"/>
      <m:item xlName="_GBC_e42b1e0118ac4f21bc48fdff109e1a5f" concept="clcid-pte:ZhuanXiangChuBeiZhongDeAnQuanShengChanFei" label="专项储备中的安全生产费" periodRef="本期期初数" mulRef="_GBC_98a0a00169d7461b91b431ef8a517eb1" unitRef="_GBC_95059903151b47a0a2c8b7569f80df5e" addr="T0R1C1S1_1" formatStyle="Comma" appId="_GBC_291ec3c1c38144a3ac0bde67edb318cc"/>
      <m:item xlName="_GBC_a167d15a22be47a6850be32e2fa62da7" concept="clcid-pte:ZhuanXiangChuBeiZhongDeAnQuanShengChanFeiBenQiZengJia" label="专项储备中的安全生产费本期增加" mulRef="_GBC_98a0a00169d7461b91b431ef8a517eb1" unitRef="_GBC_95059903151b47a0a2c8b7569f80df5e" addr="T0R1C2S1_1" formatStyle="Comma" appId="_GBC_291ec3c1c38144a3ac0bde67edb318cc"/>
      <m:item xlName="_GBC_91782ed55bf643ad807b0a87a310b130" concept="clcid-pte:ZhuanXiangChuBeiZhongDeAnQuanShengChanFeiBenQiJianShao" label="专项储备中的安全生产费本期减少" mulRef="_GBC_98a0a00169d7461b91b431ef8a517eb1" unitRef="_GBC_95059903151b47a0a2c8b7569f80df5e" addr="T0R1C3S1_1" formatStyle="Comma" appId="_GBC_291ec3c1c38144a3ac0bde67edb318cc"/>
      <m:item xlName="_GBC_a2fb462c6f08430db24c071a0ed480b9" concept="clcid-pte:ZhuanXiangChuBeiZhongDeAnQuanShengChanFei" label="专项储备中的安全生产费" mulRef="_GBC_98a0a00169d7461b91b431ef8a517eb1" unitRef="_GBC_95059903151b47a0a2c8b7569f80df5e" addr="T0R1C4S1_1" formatStyle="Comma" appId="_GBC_291ec3c1c38144a3ac0bde67edb318cc">
        <m:complexRule comparator="Eq" title="专项储备中的安全生产费" test=" $_GBC_e42b1e0118ac4f21bc48fdff109e1a5f +  $_GBC_a167d15a22be47a6850be32e2fa62da7 -  $_GBC_91782ed55bf643ad807b0a87a310b130" id="Cd9ce802efdda479088ffe260f23162b4"/>
      </m:item>
      <m:tuple xlName="_GBC_d8c163e8c76f4b0a9c5d938259a2d9ed" concept="clcid-pte:ZhuanXiangChuBeiMingXi" default_row="2" addr="T0R2C">
        <m:item xlName="_GBC_bd948e2ad93744b18d87eb1d097da970" concept="clcid-pte:ZhuanXiangChuBeiMingXiXiangMuMingCheng" label="专项储备明细-项目名称" addr="T0R2C0S1_1" appId="_GBC_291ec3c1c38144a3ac0bde67edb318cc"/>
        <m:item xlName="_GBC_e6876b2d461343089c09e2ad3d1f2177" concept="clcid-pte:ZhuanXiangChuBeiMingXiYuE" label="专项储备明细-余额" periodRef="本期期初数" mulRef="_GBC_98a0a00169d7461b91b431ef8a517eb1" unitRef="_GBC_95059903151b47a0a2c8b7569f80df5e" addr="T0R2C1S1_1" formatStyle="Comma" appId="_GBC_291ec3c1c38144a3ac0bde67edb318cc"/>
        <m:item xlName="_GBC_f04dbea18db54a11ac68b472c8dcb455" concept="clcid-pte:ZhuanXiangChuBeiMingXiBenQiZengJiaE" label="专项储备明细-本期增加额" mulRef="_GBC_98a0a00169d7461b91b431ef8a517eb1" unitRef="_GBC_95059903151b47a0a2c8b7569f80df5e" addr="T0R2C2S1_1" formatStyle="Comma" appId="_GBC_291ec3c1c38144a3ac0bde67edb318cc"/>
        <m:item xlName="_GBC_7dc136fb4716408ab58ba03494b8060a" concept="clcid-pte:ZhuanXiangChuBeiMingXiBenQiJianShaoE" label="专项储备明细-本期减少额" mulRef="_GBC_98a0a00169d7461b91b431ef8a517eb1" unitRef="_GBC_95059903151b47a0a2c8b7569f80df5e" addr="T0R2C3S1_1" formatStyle="Comma" appId="_GBC_291ec3c1c38144a3ac0bde67edb318cc"/>
        <m:item xlName="_GBC_9173a4ae967446cb80f8668dad363c44" concept="clcid-pte:ZhuanXiangChuBeiMingXiYuE" label="专项储备明细-余额" mulRef="_GBC_98a0a00169d7461b91b431ef8a517eb1" unitRef="_GBC_95059903151b47a0a2c8b7569f80df5e" addr="T0R2C4S1_1" formatStyle="Comma" appId="_GBC_291ec3c1c38144a3ac0bde67edb318cc">
          <m:complexRule comparator="Eq" title="专项储备明细-余额" test=" $_GBC_e6876b2d461343089c09e2ad3d1f2177 +  $_GBC_f04dbea18db54a11ac68b472c8dcb455 -  $_GBC_7dc136fb4716408ab58ba03494b8060a" id="C2879174c7d834284b4abb9f8ecb0e4be"/>
        </m:item>
      </m:tuple>
      <m:placeholder xlName="_PLD_3a889f9961a349319c123f6dc0197cb7" addr="T0R4C0S1_1"/>
      <m:item xlName="_GBC_cd48a77e1c6144669e85114fdd4dfdb0" concept="clcid-pte:ZhuanXiangChuBei" label="专项储备" periodRef="本期期初数" mulRef="_GBC_98a0a00169d7461b91b431ef8a517eb1" unitRef="_GBC_95059903151b47a0a2c8b7569f80df5e" addr="T0R4C1S1_1" formatStyle="Comma" appId="_GBC_291ec3c1c38144a3ac0bde67edb318cc">
        <m:complexRule comparator="Eq" title="专项储备@本期期初数" test=" $_GBC_e42b1e0118ac4f21bc48fdff109e1a5f +  $_GBC_e6876b2d461343089c09e2ad3d1f2177" id="Ce7b83144051e4820b3d71decc24855ba" serialType="1"/>
      </m:item>
      <m:item xlName="_GBC_0ab3e0cb13ac471d9edac7a61ca5c0ab" concept="clcid-pte:ZhuanXiangChuBeiBenQiZengJiaE" label="专项储备本期增加额" mulRef="_GBC_98a0a00169d7461b91b431ef8a517eb1" unitRef="_GBC_95059903151b47a0a2c8b7569f80df5e" addr="T0R4C2S1_1" formatStyle="Comma" appId="_GBC_291ec3c1c38144a3ac0bde67edb318cc">
        <m:complexRule comparator="Eq" title="专项储备本期增加额" test=" $_GBC_a167d15a22be47a6850be32e2fa62da7 +  $_GBC_f04dbea18db54a11ac68b472c8dcb455" id="C18ad28e3178f4a0683eedd7a873c7650" serialType="1"/>
      </m:item>
      <m:item xlName="_GBC_0c896cd45b024e18b1bade42f9eddf05" concept="clcid-pte:ZhuanXiangChuBeiBenQiJianShaoE" label="专项储备本期减少额" mulRef="_GBC_98a0a00169d7461b91b431ef8a517eb1" unitRef="_GBC_95059903151b47a0a2c8b7569f80df5e" addr="T0R4C3S1_1" formatStyle="Comma" appId="_GBC_291ec3c1c38144a3ac0bde67edb318cc">
        <m:complexRule comparator="Eq" title="专项储备本期减少额" test=" $_GBC_91782ed55bf643ad807b0a87a310b130 +  $_GBC_7dc136fb4716408ab58ba03494b8060a" id="Cbabf50cd62c848aa82d6099073e8a0c3" serialType="1"/>
      </m:item>
      <m:item xlName="_GBC_eb63f3cd30bd40fab1c9cf48858f3d54" concept="clcid-pte:ZhuanXiangChuBei" label="专项储备" mulRef="_GBC_98a0a00169d7461b91b431ef8a517eb1" unitRef="_GBC_95059903151b47a0a2c8b7569f80df5e" addr="T0R4C4S1_1" formatStyle="Comma" appId="_GBC_291ec3c1c38144a3ac0bde67edb318cc">
        <m:complexRule comparator="Eq" title="专项储备横向合计" test=" $_GBC_cd48a77e1c6144669e85114fdd4dfdb0 +  $_GBC_0ab3e0cb13ac471d9edac7a61ca5c0ab -  $_GBC_0c896cd45b024e18b1bade42f9eddf05" id="Cee047335a9e84408b334d561bae7ecad"/>
        <m:complexRule comparator="Eq" title="专项储备" test=" $_GBC_a2fb462c6f08430db24c071a0ed480b9 +  $_GBC_9173a4ae967446cb80f8668dad363c44" id="Cf08370a6c4f84df5acc50074c953a13c" serialType="1"/>
      </m:item>
      <m:item xlName="_GBC_758f99495b434b96aea70b74014caac7" concept="clcid-pte:ZhuanXiangChuBeiQingKuangShuoMing" label="专项储备情况说明" appId="_GBC_291ec3c1c38144a3ac0bde67edb318cc"/>
    </m:section>
    <m:section xlName="_GBC_fc97b66d150f4d31ba9096ec58341715" title="盈余公积" convertSummaryRule="NoConvert" helpId="112001108">
      <m:item xlName="_GBC_52b9917fb423490bb32a9d6648a07db9" concept="clcid-ci-ar:ShiFouShiYongYingYuGongJi" label="是否适用：盈余公积" selectOptions="_buildInAppliance" controlType="CustomCheckbox" cRanges="{&quot;StartName&quot;:&quot;_GBC_52b9917fb423490bb32a9d6648a07db9&quot;,&quot;EndName&quot;:&quot;_GBC_33c5d1ed862f4b36950b5ea2188f5b09&quot;,&quot;CType&quot;:1,&quot;DisplayText&quot;:null}"/>
      <m:item xlName="_GBC_ea3204141ce3498eaccd14c833f64973" concept="clcid-ci-ar:DanWeiCaiWuFuZhuYingYuGongJi" label="单位：财务附注：盈余公积" selectOptions="_buildInScales" controlType="Combobox" cellType="Scale" appId="_GBC_52b9917fb423490bb32a9d6648a07db9"/>
      <m:item xlName="_GBC_f5c6664d47b9454d919a38095dd3c48d" concept="clcid-ci-ar:BiZhongCaiWuFuZhuYingYuGongJi" label="币种：财务附注：盈余公积" selectOptions="_buildInISO4217" controlType="Combobox" cellType="Measure" appId="_GBC_52b9917fb423490bb32a9d6648a07db9"/>
      <m:placeholder xlName="_PLD_70f0cea3df9b4646bf8f9454719b4599" addr="T0R0C0S1_1"/>
      <m:placeholder xlName="_PLD_5466d5e3c2b64aeb9abc2e1a21f2e6c0" addr="T0R0C1S1_1"/>
      <m:placeholder xlName="_PLD_44b0c825c55949b98cff671f8777dd39" addr="T0R0C2S1_1"/>
      <m:placeholder xlName="_PLD_111b02bee52f4f1a879468aa2243106f" addr="T0R0C3S1_1"/>
      <m:placeholder xlName="_PLD_e6d9dff1341d44c99d9c3f51d8fd2c2f" addr="T0R0C4S1_1"/>
      <m:placeholder xlName="_PLD_fc05a7682db944fc88b1d5bf0888fab6" addr="T0R1C0S1_1"/>
      <m:item xlName="_GBC_0e8cc71d78cd4ef5ac851dfa600977db" concept="clcid-pte:YingYuGongJiHeJiFaDingYingYuGongJi" label="法定盈余公积合计" periodRef="本期期初数" mulRef="_GBC_ea3204141ce3498eaccd14c833f64973" unitRef="_GBC_f5c6664d47b9454d919a38095dd3c48d" addr="T0R1C1S1_1" formatStyle="Comma" appId="_GBC_52b9917fb423490bb32a9d6648a07db9"/>
      <m:item xlName="_GBC_8f3954bb0c354b4fae0c2bbe672f3d75" concept="clcid-pte:YingYuGongJiZengJiaShuCongJingLiRunZhongTiQuShuFaDingYingYuGongJi" label="法定盈余公积增加数" mulRef="_GBC_ea3204141ce3498eaccd14c833f64973" unitRef="_GBC_f5c6664d47b9454d919a38095dd3c48d" addr="T0R1C2S1_1" formatStyle="Comma" appId="_GBC_52b9917fb423490bb32a9d6648a07db9"/>
      <m:item xlName="_GBC_064c6e4020c94d7b82caaa61d1c143ab" concept="clcid-pte:YingYuGongJiJianShaoShuFaDingYingYuGongJi" label="法定盈余公积减少数" mulRef="_GBC_ea3204141ce3498eaccd14c833f64973" unitRef="_GBC_f5c6664d47b9454d919a38095dd3c48d" addr="T0R1C3S1_1" formatStyle="Comma" appId="_GBC_52b9917fb423490bb32a9d6648a07db9"/>
      <m:item xlName="_GBC_5823a23ab30d4df3b9485fc6a56fad37" concept="clcid-pte:YingYuGongJiHeJiFaDingYingYuGongJi" label="法定盈余公积合计" mulRef="_GBC_ea3204141ce3498eaccd14c833f64973" unitRef="_GBC_f5c6664d47b9454d919a38095dd3c48d" addr="T0R1C4S1_1" formatStyle="Comma" appId="_GBC_52b9917fb423490bb32a9d6648a07db9">
        <m:complexRule comparator="Eq" title="法定盈余公积合计" test=" $_GBC_0e8cc71d78cd4ef5ac851dfa600977db +  $_GBC_8f3954bb0c354b4fae0c2bbe672f3d75 -  $_GBC_064c6e4020c94d7b82caaa61d1c143ab" id="Cbd2b7a5c8036427995e340b80137303a"/>
      </m:item>
      <m:placeholder xlName="_PLD_d129220e9acf4011b78a05d75624a2b7" addr="T0R2C0S1_1"/>
      <m:item xlName="_GBC_99f3e93a28ce415d9d34f162d3c9150a" concept="clcid-pte:YingYuGongJiHeJiRenYiYingYuGongJi" label="任意盈余公积合计" periodRef="本期期初数" mulRef="_GBC_ea3204141ce3498eaccd14c833f64973" unitRef="_GBC_f5c6664d47b9454d919a38095dd3c48d" addr="T0R2C1S1_1" formatStyle="Comma" appId="_GBC_52b9917fb423490bb32a9d6648a07db9"/>
      <m:item xlName="_GBC_e8ef547fdcdb42c6b6faf9741678464d" concept="clcid-pte:YingYuGongJiZengJiaShuCongJingLiRunZhongTiQuShuRenYiYingYuGongJi" label="任意盈余公积增加数" mulRef="_GBC_ea3204141ce3498eaccd14c833f64973" unitRef="_GBC_f5c6664d47b9454d919a38095dd3c48d" addr="T0R2C2S1_1" formatStyle="Comma" appId="_GBC_52b9917fb423490bb32a9d6648a07db9"/>
      <m:item xlName="_GBC_ceb1d15251bc44c69f77069343165dbb" concept="clcid-pte:YingYuGongJiJianShaoShuRenYiYingYuGongJi" label="任意盈余公积减少数" mulRef="_GBC_ea3204141ce3498eaccd14c833f64973" unitRef="_GBC_f5c6664d47b9454d919a38095dd3c48d" addr="T0R2C3S1_1" formatStyle="Comma" appId="_GBC_52b9917fb423490bb32a9d6648a07db9"/>
      <m:item xlName="_GBC_87ff74b4bfac4070becb588336d70f45" concept="clcid-pte:YingYuGongJiHeJiRenYiYingYuGongJi" label="任意盈余公积合计" mulRef="_GBC_ea3204141ce3498eaccd14c833f64973" unitRef="_GBC_f5c6664d47b9454d919a38095dd3c48d" addr="T0R2C4S1_1" formatStyle="Comma" appId="_GBC_52b9917fb423490bb32a9d6648a07db9">
        <m:complexRule comparator="Eq" title="任意盈余公积合计" test=" $_GBC_99f3e93a28ce415d9d34f162d3c9150a +  $_GBC_e8ef547fdcdb42c6b6faf9741678464d -  $_GBC_ceb1d15251bc44c69f77069343165dbb" id="C33c1b9c6e5cf48dd9b8bae8df8dd4097"/>
      </m:item>
      <m:placeholder xlName="_PLD_ec6472288a1e40028c081a6dc314eaf7" addr="T0R3C0S1_1"/>
      <m:item xlName="_GBC_b742e37a326c40afa59624967251e801" concept="clcid-pte:YingYuGongJiHeJiChuBeiJiJin" label="储备基金合计" periodRef="本期期初数" mulRef="_GBC_ea3204141ce3498eaccd14c833f64973" unitRef="_GBC_f5c6664d47b9454d919a38095dd3c48d" addr="T0R3C1S1_1" formatStyle="Comma" appId="_GBC_52b9917fb423490bb32a9d6648a07db9"/>
      <m:item xlName="_GBC_7a38bfe6db1e44e7a0be11b0286b469d" concept="clcid-pte:YingYuGongJiZengJiaShuCongJingLiRunZhongTiQuShuChuBeiJiJin" label="储备基金增加数" mulRef="_GBC_ea3204141ce3498eaccd14c833f64973" unitRef="_GBC_f5c6664d47b9454d919a38095dd3c48d" addr="T0R3C2S1_1" formatStyle="Comma" appId="_GBC_52b9917fb423490bb32a9d6648a07db9"/>
      <m:item xlName="_GBC_e698f7184f9e481092e250d5994e072a" concept="clcid-pte:YingYuGongJiJianShaoShuChuBeiJiJin" label="储备基金减少数" mulRef="_GBC_ea3204141ce3498eaccd14c833f64973" unitRef="_GBC_f5c6664d47b9454d919a38095dd3c48d" addr="T0R3C3S1_1" formatStyle="Comma" appId="_GBC_52b9917fb423490bb32a9d6648a07db9"/>
      <m:item xlName="_GBC_e72752d77f824e15a0419b6bbfbed7cb" concept="clcid-pte:YingYuGongJiHeJiChuBeiJiJin" label="储备基金合计" mulRef="_GBC_ea3204141ce3498eaccd14c833f64973" unitRef="_GBC_f5c6664d47b9454d919a38095dd3c48d" addr="T0R3C4S1_1" formatStyle="Comma" appId="_GBC_52b9917fb423490bb32a9d6648a07db9">
        <m:complexRule comparator="Eq" title="储备基金合计" test=" $_GBC_b742e37a326c40afa59624967251e801 +  $_GBC_7a38bfe6db1e44e7a0be11b0286b469d -  $_GBC_e698f7184f9e481092e250d5994e072a" id="Cfb3a07e32469484f93d37c5c776f9a43"/>
      </m:item>
      <m:placeholder xlName="_PLD_52c035d80b984cfb905e017b1d87986d" addr="T0R4C0S1_1"/>
      <m:item xlName="_GBC_300bd60ca4e64ff9a561aa0596109efd" concept="clcid-pte:YingYuGongJiHeJiQiYeFaZhanJiJin" label="企业发展基金合计" periodRef="本期期初数" mulRef="_GBC_ea3204141ce3498eaccd14c833f64973" unitRef="_GBC_f5c6664d47b9454d919a38095dd3c48d" addr="T0R4C1S1_1" formatStyle="Comma" appId="_GBC_52b9917fb423490bb32a9d6648a07db9"/>
      <m:item xlName="_GBC_a0438322fe204144a5c6c90e69652547" concept="clcid-pte:YingYuGongJiZengJiaShuCongJingLiRunZhongTiQuShuQiYeFaZhanJiJin" label="企业发展基金增加数" mulRef="_GBC_ea3204141ce3498eaccd14c833f64973" unitRef="_GBC_f5c6664d47b9454d919a38095dd3c48d" addr="T0R4C2S1_1" formatStyle="Comma" appId="_GBC_52b9917fb423490bb32a9d6648a07db9"/>
      <m:item xlName="_GBC_338d6c10013e4804847554c487a12f26" concept="clcid-pte:YingYuGongJiJianShaoShuQiYeFaZhanJiJin" label="企业发展基金减少数" mulRef="_GBC_ea3204141ce3498eaccd14c833f64973" unitRef="_GBC_f5c6664d47b9454d919a38095dd3c48d" addr="T0R4C3S1_1" formatStyle="Comma" appId="_GBC_52b9917fb423490bb32a9d6648a07db9"/>
      <m:item xlName="_GBC_dadb07a3df8b4fc18c849d3482dccc2e" concept="clcid-pte:YingYuGongJiHeJiQiYeFaZhanJiJin" label="企业发展基金合计" mulRef="_GBC_ea3204141ce3498eaccd14c833f64973" unitRef="_GBC_f5c6664d47b9454d919a38095dd3c48d" addr="T0R4C4S1_1" formatStyle="Comma" appId="_GBC_52b9917fb423490bb32a9d6648a07db9">
        <m:complexRule comparator="Eq" title="企业发展基金合计" test=" $_GBC_300bd60ca4e64ff9a561aa0596109efd +  $_GBC_a0438322fe204144a5c6c90e69652547 -  $_GBC_338d6c10013e4804847554c487a12f26" id="Cd1c65b18982243ef9d9a7da74ef556e8"/>
      </m:item>
      <m:placeholder xlName="_PLD_cad42018de8f4c088028eed7649f24a3" addr="T0R5C0S1_1"/>
      <m:item xlName="_GBC_20e6b61f2ba049aba895d839f53c5810" concept="clcid-pte:QiTaYingYuGongJi" label="其他盈余公积" periodRef="本期期初数" mulRef="_GBC_ea3204141ce3498eaccd14c833f64973" unitRef="_GBC_f5c6664d47b9454d919a38095dd3c48d" addr="T0R5C1S1_1" formatStyle="Comma" appId="_GBC_52b9917fb423490bb32a9d6648a07db9"/>
      <m:item xlName="_GBC_592d5c84597044e19bfcce383f199240" concept="clcid-pte:QiTaYingYuGongJiZengJiaShu" label="其他盈余公积增加数" mulRef="_GBC_ea3204141ce3498eaccd14c833f64973" unitRef="_GBC_f5c6664d47b9454d919a38095dd3c48d" addr="T0R5C2S1_1" formatStyle="Comma" appId="_GBC_52b9917fb423490bb32a9d6648a07db9"/>
      <m:item xlName="_GBC_e400e47a63b44859b7755e3117a9f6f7" concept="clcid-pte:QiTaYingYuGongJiJianShaoShu" label="其他盈余公积减少数" mulRef="_GBC_ea3204141ce3498eaccd14c833f64973" unitRef="_GBC_f5c6664d47b9454d919a38095dd3c48d" addr="T0R5C3S1_1" formatStyle="Comma" appId="_GBC_52b9917fb423490bb32a9d6648a07db9"/>
      <m:item xlName="_GBC_eaf36cbead8c4671b9859e6af7d83bcf" concept="clcid-pte:QiTaYingYuGongJi" label="其他盈余公积" mulRef="_GBC_ea3204141ce3498eaccd14c833f64973" unitRef="_GBC_f5c6664d47b9454d919a38095dd3c48d" addr="T0R5C4S1_1" formatStyle="Comma" appId="_GBC_52b9917fb423490bb32a9d6648a07db9">
        <m:complexRule comparator="Eq" title="其他盈余公积" test=" $_GBC_20e6b61f2ba049aba895d839f53c5810 +  $_GBC_592d5c84597044e19bfcce383f199240 -  $_GBC_e400e47a63b44859b7755e3117a9f6f7" id="Cd0dada1df7f9464680cca2ccb57cc597"/>
      </m:item>
      <m:placeholder xlName="_PLD_f8e1917adbcf4318b4ab05bf11aaef0c" addr="T0R6C0S1_1"/>
      <m:item xlName="_GBC_ca9bb1119ada4253ad07f3c27595c03a" concept="clcid-pte:YingYuGongJi" label="盈余公积" periodRef="本期期初数" mulRef="_GBC_ea3204141ce3498eaccd14c833f64973" unitRef="_GBC_f5c6664d47b9454d919a38095dd3c48d" addr="T0R6C1S1_1" formatStyle="Comma" appId="_GBC_52b9917fb423490bb32a9d6648a07db9">
        <m:complexRule comparator="Eq" title="盈余公积@本期期初数" test=" $_GBC_0e8cc71d78cd4ef5ac851dfa600977db +  $_GBC_99f3e93a28ce415d9d34f162d3c9150a +  $_GBC_b742e37a326c40afa59624967251e801 +  $_GBC_300bd60ca4e64ff9a561aa0596109efd +  $_GBC_20e6b61f2ba049aba895d839f53c5810" id="Cb5ffa6a2d86e4577b5f83e53ea3f1945"/>
      </m:item>
      <m:item xlName="_GBC_c61727c2ffbd4fbab644cff2c4826090" concept="clcid-pte:YingYuGongJiZengJia" label="盈余公积增加" mulRef="_GBC_ea3204141ce3498eaccd14c833f64973" unitRef="_GBC_f5c6664d47b9454d919a38095dd3c48d" addr="T0R6C2S1_1" formatStyle="Comma" appId="_GBC_52b9917fb423490bb32a9d6648a07db9">
        <m:complexRule comparator="Eq" title="盈余公积增加" test=" $_GBC_8f3954bb0c354b4fae0c2bbe672f3d75 +  $_GBC_e8ef547fdcdb42c6b6faf9741678464d +  $_GBC_7a38bfe6db1e44e7a0be11b0286b469d +  $_GBC_a0438322fe204144a5c6c90e69652547 +  $_GBC_592d5c84597044e19bfcce383f199240" id="C3f0b4eb64f4a4eb5bbd6c44f16d4d71e"/>
      </m:item>
      <m:item xlName="_GBC_9cc176398dfd4135a144afc53cb1f3f4" concept="clcid-pte:YingYuGongJiJianShao" label="盈余公积减少" mulRef="_GBC_ea3204141ce3498eaccd14c833f64973" unitRef="_GBC_f5c6664d47b9454d919a38095dd3c48d" addr="T0R6C3S1_1" formatStyle="Comma" appId="_GBC_52b9917fb423490bb32a9d6648a07db9">
        <m:complexRule comparator="Eq" title="盈余公积减少" test=" $_GBC_064c6e4020c94d7b82caaa61d1c143ab +  $_GBC_ceb1d15251bc44c69f77069343165dbb +  $_GBC_e698f7184f9e481092e250d5994e072a +  $_GBC_338d6c10013e4804847554c487a12f26 +  $_GBC_e400e47a63b44859b7755e3117a9f6f7" id="C49c1fd94fa504a0a802c4659099cb19f"/>
      </m:item>
      <m:item xlName="_GBC_3039f81cf7e045369f504a0b96294727" concept="clcid-pte:YingYuGongJi" label="盈余公积" mulRef="_GBC_ea3204141ce3498eaccd14c833f64973" unitRef="_GBC_f5c6664d47b9454d919a38095dd3c48d" addr="T0R6C4S1_1" formatStyle="Comma" appId="_GBC_52b9917fb423490bb32a9d6648a07db9">
        <m:complexRule comparator="Eq" title="盈余公积" test=" $_GBC_5823a23ab30d4df3b9485fc6a56fad37 +  $_GBC_87ff74b4bfac4070becb588336d70f45 +  $_GBC_e72752d77f824e15a0419b6bbfbed7cb +  $_GBC_dadb07a3df8b4fc18c849d3482dccc2e +  $_GBC_eaf36cbead8c4671b9859e6af7d83bcf" id="C16131e8b46784d5398d310e158c99c9b"/>
        <m:complexRule comparator="Eq" title="盈余公积横向合计" test=" $_GBC_ca9bb1119ada4253ad07f3c27595c03a +  $_GBC_c61727c2ffbd4fbab644cff2c4826090 -  $_GBC_9cc176398dfd4135a144afc53cb1f3f4" id="C30b46bc56ee141e2a4b3525aa73f0a95"/>
      </m:item>
      <m:item xlName="_GBC_33c5d1ed862f4b36950b5ea2188f5b09" concept="clcid-pte:YingYuGongJiShuoMing" label="盈余公积说明" appId="_GBC_52b9917fb423490bb32a9d6648a07db9"/>
    </m:section>
    <m:item xlName="_GBC_32c558bdbb77445cabeee783e5ff910e" concept="clcid-ci-ar:ShiFouShiYongWeiFenPeiLiRun" label="是否适用：未分配利润" selectOptions="_buildInAppliance" controlType="CustomCheckbox" cRanges="{&quot;StartName&quot;:&quot;_GBC_32c558bdbb77445cabeee783e5ff910e&quot;,&quot;EndName&quot;:&quot;_GBC_2cdd2861806d471aa767f92841b30fbf&quot;,&quot;CType&quot;:1,&quot;DisplayText&quot;:null}"/>
    <m:section xlName="_GBC_2cdd2861806d471aa767f92841b30fbf" title="未分配利润" helpId="112001109">
      <m:item xlName="_GBC_cfb07ff3eded4b49916cfc42d821bab6" concept="clcid-ci-ar:DanWeiCaiWuFuZhuWeiFenPeiLiRun" label="单位：财务附注：未分配利润" selectOptions="_buildInScales" controlType="Combobox" cellType="Scale" appId="_GBC_32c558bdbb77445cabeee783e5ff910e"/>
      <m:item xlName="_GBC_55c70fe731be4b84be72ea88afd989b8" concept="clcid-ci-ar:BiZhongCaiWuFuZhuWeiFenPeiLiRun" label="币种：财务附注：未分配利润" selectOptions="_buildInISO4217" controlType="Combobox" cellType="Measure" appId="_GBC_32c558bdbb77445cabeee783e5ff910e"/>
      <m:placeholder xlName="_PLD_b6dc2bd7eebb4e6d9f1ccea8d86e6f47" addr="T0R0C0S1_1"/>
      <m:placeholder xlName="_PLD_6e60054e3c3747d1a0ffc87edacae2b6" addr="T0R0C1S1_1"/>
      <m:placeholder xlName="_PLD_9afd54e9959d4b22b00bfe92596a2a16" addr="T0R0C2S1_1"/>
      <m:placeholder xlName="_PLD_3790b8d7d129484381d1c2fa2fa8d23c" addr="T0R1C0S1_1"/>
      <m:item xlName="_GBC_b122bf93ea494fc1ba56264f3ef4cc6b" concept="clcid-pte:WeiFenPeiLiRun" label="未分配利润" periodRef="上年期末数" mulRef="_GBC_cfb07ff3eded4b49916cfc42d821bab6" unitRef="_GBC_55c70fe731be4b84be72ea88afd989b8" addr="T0R1C1S1_1" formatStyle="Comma" appId="_GBC_32c558bdbb77445cabeee783e5ff910e">
        <m:axisValue occRef="调整前的值"/>
      </m:item>
      <m:item xlName="_GBC_3b60b81a3b7a41358769befa9a27265b" concept="clcid-pte:WeiFenPeiLiRun" label="未分配利润" periodRef="上上年度期末数" mulRef="_GBC_cfb07ff3eded4b49916cfc42d821bab6" unitRef="_GBC_55c70fe731be4b84be72ea88afd989b8" addr="T0R1C2S1_1" formatStyle="Comma" appId="_GBC_32c558bdbb77445cabeee783e5ff910e">
        <m:axisValue occRef="调整前的值"/>
      </m:item>
      <m:placeholder xlName="_PLD_99b1e9805f3e4b93aa362504b83793b1" addr="T0R2C0S1_1"/>
      <m:item xlName="_GBC_f068ffe2209140629fb08448b2aa6667" concept="clcid-pte:WeiFenPeiLiRunTiaoZhengHeJiShu" label="未分配利润调整合计数" periodRef="本期期初数" mulRef="_GBC_cfb07ff3eded4b49916cfc42d821bab6" unitRef="_GBC_55c70fe731be4b84be72ea88afd989b8" addr="T0R2C1S1_1" formatStyle="Comma" appId="_GBC_32c558bdbb77445cabeee783e5ff910e"/>
      <m:item xlName="_GBC_ccc265f084114dfeb4d96a2bd00c8692" concept="clcid-pte:WeiFenPeiLiRunTiaoZhengHeJiShu" label="未分配利润调整合计数" periodRef="上年期初数" mulRef="_GBC_cfb07ff3eded4b49916cfc42d821bab6" unitRef="_GBC_55c70fe731be4b84be72ea88afd989b8" addr="T0R2C2S1_1" formatStyle="Comma" appId="_GBC_32c558bdbb77445cabeee783e5ff910e"/>
      <m:placeholder xlName="_PLD_7a98e2bc7c1b48d785851921473e7f5f" addr="T0R3C0S1_1"/>
      <m:item xlName="_GBC_1b019340056a4d1c96b0aa8871b84020" concept="clcid-pte:WeiFenPeiLiRun" label="未分配利润" periodRef="本期期初数" mulRef="_GBC_cfb07ff3eded4b49916cfc42d821bab6" unitRef="_GBC_55c70fe731be4b84be72ea88afd989b8" addr="T0R3C1S1_1" formatStyle="Comma" appId="_GBC_32c558bdbb77445cabeee783e5ff910e">
        <m:complexRule comparator="Eq" title="未分配利润@本期期初数" test=" $_GBC_b122bf93ea494fc1ba56264f3ef4cc6b +  $_GBC_f068ffe2209140629fb08448b2aa6667" id="C735ca092a11a41eda59bef64caa7c592"/>
      </m:item>
      <m:item xlName="_GBC_1f9ef975a8bd404eb5e068444fe9afc4" concept="clcid-pte:WeiFenPeiLiRun" label="未分配利润" periodRef="上年期初数" mulRef="_GBC_cfb07ff3eded4b49916cfc42d821bab6" unitRef="_GBC_55c70fe731be4b84be72ea88afd989b8" addr="T0R3C2S1_1" formatStyle="Comma" appId="_GBC_32c558bdbb77445cabeee783e5ff910e">
        <m:complexRule comparator="Eq" title="未分配利润@上年期初数" test=" $_GBC_3b60b81a3b7a41358769befa9a27265b +  $_GBC_ccc265f084114dfeb4d96a2bd00c8692" id="Caf6c7d388be94302848d222a0dc8dafe"/>
      </m:item>
      <m:placeholder xlName="_PLD_2a8ba0dc26a946cbb60b0ff473f157c1" addr="T0R4C0S1_1"/>
      <m:item xlName="_GBC_af6403d9f9d848f2a194c6ba17837064" concept="clcid-pte:GuiShuYuMuGongSiSuoYouZheDeJingLiRun" label="归属于母公司所有者的净利润" mulRef="_GBC_cfb07ff3eded4b49916cfc42d821bab6" unitRef="_GBC_55c70fe731be4b84be72ea88afd989b8" addr="T0R4C1S1_1" formatStyle="Comma" appId="_GBC_32c558bdbb77445cabeee783e5ff910e"/>
      <m:item xlName="_GBC_c1aa48dc3baa423a947b20ce66d52264" concept="clcid-pte:GuiShuYuMuGongSiSuoYouZheDeJingLiRun" label="归属于母公司所有者的净利润" periodRef="上年数" mulRef="_GBC_cfb07ff3eded4b49916cfc42d821bab6" unitRef="_GBC_55c70fe731be4b84be72ea88afd989b8" addr="T0R4C2S1_1" formatStyle="Comma" appId="_GBC_32c558bdbb77445cabeee783e5ff910e"/>
      <m:placeholder xlName="_PLD_97aab68ad9b74921a7946fa4d2999e51" addr="T0R5C0S1_1"/>
      <m:item xlName="_GBC_763ccacdfd5e4b4da0afeaa6cca36081" concept="clcid-pte:TiQuFaDingYingYuGongJi" label="提取法定盈余公积" mulRef="_GBC_cfb07ff3eded4b49916cfc42d821bab6" unitRef="_GBC_55c70fe731be4b84be72ea88afd989b8" addr="T0R5C1S1_1" formatStyle="Comma" appId="_GBC_32c558bdbb77445cabeee783e5ff910e"/>
      <m:item xlName="_GBC_17f218a5ccde40269d16f6b6eb3214e0" concept="clcid-pte:TiQuFaDingYingYuGongJi" label="提取法定盈余公积" periodRef="上年数" mulRef="_GBC_cfb07ff3eded4b49916cfc42d821bab6" unitRef="_GBC_55c70fe731be4b84be72ea88afd989b8" addr="T0R5C2S1_1" formatStyle="Comma" appId="_GBC_32c558bdbb77445cabeee783e5ff910e"/>
      <m:placeholder xlName="_PLD_76ebcf558d244f77a28b1f8b843a2b3a" addr="T0R6C0S1_1"/>
      <m:item xlName="_GBC_c232ce46af814700a3aa6b177bf1981b" concept="clcid-pte:TiQuRenYiYingYuGongJi" label="提取任意盈余公积" mulRef="_GBC_cfb07ff3eded4b49916cfc42d821bab6" unitRef="_GBC_55c70fe731be4b84be72ea88afd989b8" addr="T0R6C1S1_1" formatStyle="Comma" appId="_GBC_32c558bdbb77445cabeee783e5ff910e"/>
      <m:item xlName="_GBC_124993fe56f3444888067d0ccec0b7fb" concept="clcid-pte:TiQuRenYiYingYuGongJi" label="提取任意盈余公积" periodRef="上年数" mulRef="_GBC_cfb07ff3eded4b49916cfc42d821bab6" unitRef="_GBC_55c70fe731be4b84be72ea88afd989b8" addr="T0R6C2S1_1" formatStyle="Comma" appId="_GBC_32c558bdbb77445cabeee783e5ff910e"/>
      <m:placeholder xlName="_PLD_c773909db1b34f04acac84ec73864a3f" addr="T0R7C0S1_1"/>
      <m:item xlName="_GBC_69e19fe79ac746a5919ab6a6b63f3b0b" concept="clcid-pte:TiQianYiBanFengXianZhunBei" label="提取一般风险准备" mulRef="_GBC_cfb07ff3eded4b49916cfc42d821bab6" unitRef="_GBC_55c70fe731be4b84be72ea88afd989b8" addr="T0R7C1S1_1" formatStyle="Comma" appId="_GBC_32c558bdbb77445cabeee783e5ff910e"/>
      <m:item xlName="_GBC_7f8d67d25889414c900e08c4c41b8cfd" concept="clcid-pte:TiQianYiBanFengXianZhunBei" label="提取一般风险准备" periodRef="上年数" mulRef="_GBC_cfb07ff3eded4b49916cfc42d821bab6" unitRef="_GBC_55c70fe731be4b84be72ea88afd989b8" addr="T0R7C2S1_1" formatStyle="Comma" appId="_GBC_32c558bdbb77445cabeee783e5ff910e"/>
      <m:placeholder xlName="_PLD_d2ba40ebcadd4931bdef6468fc324069" addr="T0R8C0S1_1"/>
      <m:item xlName="_GBC_59672b5a12f14724937dddcb3ddb9932" concept="clcid-pte:YingFuPuTongGuGuLi" label="应付普通股股利" mulRef="_GBC_cfb07ff3eded4b49916cfc42d821bab6" unitRef="_GBC_55c70fe731be4b84be72ea88afd989b8" addr="T0R8C1S1_1" formatStyle="Comma" appId="_GBC_32c558bdbb77445cabeee783e5ff910e"/>
      <m:item xlName="_GBC_e7104dae1039405196626a183d74cd0f" concept="clcid-pte:YingFuPuTongGuGuLi" label="应付普通股股利" periodRef="上年数" mulRef="_GBC_cfb07ff3eded4b49916cfc42d821bab6" unitRef="_GBC_55c70fe731be4b84be72ea88afd989b8" addr="T0R8C2S1_1" formatStyle="Comma" appId="_GBC_32c558bdbb77445cabeee783e5ff910e"/>
      <m:placeholder xlName="_PLD_d8041f36a4744fe893cd617b9149d704" addr="T0R9C0S1_1"/>
      <m:item xlName="_GBC_b54e0497c8c24638828eb92b92a65f53" concept="clcid-pte:ZhuanZuoGuBenDePuTongGuGuLi" label="转作股本的普通股股利" mulRef="_GBC_cfb07ff3eded4b49916cfc42d821bab6" unitRef="_GBC_55c70fe731be4b84be72ea88afd989b8" addr="T0R9C1S1_1" formatStyle="Comma" appId="_GBC_32c558bdbb77445cabeee783e5ff910e"/>
      <m:item xlName="_GBC_642ccecbf9a54c0fb0eff296477777d9" concept="clcid-pte:ZhuanZuoGuBenDePuTongGuGuLi" label="转作股本的普通股股利" periodRef="上年数" mulRef="_GBC_cfb07ff3eded4b49916cfc42d821bab6" unitRef="_GBC_55c70fe731be4b84be72ea88afd989b8" addr="T0R9C2S1_1" formatStyle="Comma" appId="_GBC_32c558bdbb77445cabeee783e5ff910e"/>
      <m:tuple xlName="_GBC_7def170558744ebdb1f4975e27e4042b" concept="clcid-pte:BenQiQiTaLiRunFenPei" default_row="2" addr="T0R10C">
        <m:item xlName="_GBC_97d088ff984a42238db1b1e520f938eb" concept="clcid-pte:BenQiQiTaLiRunFenPeiQingKuang" label="本期其他利润分配情况" addr="T0R10C0S1_1" appId="_GBC_32c558bdbb77445cabeee783e5ff910e"/>
        <m:item xlName="_GBC_d822cbafe859425c9f8c537caca32c36" concept="clcid-pte:BenQiQiTaLiRunFenPeiJinE" label="本期其他利润分配金额" mulRef="_GBC_cfb07ff3eded4b49916cfc42d821bab6" unitRef="_GBC_55c70fe731be4b84be72ea88afd989b8" addr="T0R10C1S1_1" formatStyle="Comma" appId="_GBC_32c558bdbb77445cabeee783e5ff910e"/>
        <m:item xlName="_GBC_4e2d404266534096ad8785252de2f8ee" concept="clcid-pte:BenQiQiTaLiRunFenPeiJinE" label="本期其他利润分配金额" periodRef="上年数" mulRef="_GBC_cfb07ff3eded4b49916cfc42d821bab6" unitRef="_GBC_55c70fe731be4b84be72ea88afd989b8" addr="T0R10C2S1_1" formatStyle="Comma" appId="_GBC_32c558bdbb77445cabeee783e5ff910e"/>
      </m:tuple>
      <m:placeholder xlName="_PLD_0654c3e21e6d4aa0a63a12e93a24988a" addr="T0R12C0S1_1"/>
      <m:item xlName="_GBC_2bf8433ea0174a8aba70c9083f9a8416" concept="clcid-pte:WeiFenPeiLiRun" label="未分配利润" mulRef="_GBC_cfb07ff3eded4b49916cfc42d821bab6" unitRef="_GBC_55c70fe731be4b84be72ea88afd989b8" addr="T0R12C1S1_1" formatStyle="Comma" appId="_GBC_32c558bdbb77445cabeee783e5ff910e">
        <m:complexRule comparator="Eq" title="未分配利润" test=" $_GBC_1b019340056a4d1c96b0aa8871b84020 +  $_GBC_af6403d9f9d848f2a194c6ba17837064 -  $_GBC_763ccacdfd5e4b4da0afeaa6cca36081 -  $_GBC_c232ce46af814700a3aa6b177bf1981b -  $_GBC_69e19fe79ac746a5919ab6a6b63f3b0b -  $_GBC_59672b5a12f14724937dddcb3ddb9932 -  $_GBC_b54e0497c8c24638828eb92b92a65f53 -  $_GBC_d822cbafe859425c9f8c537caca32c36" id="Ca0a28ca7dc7340a68c694f33b77ba70c" serialType="1"/>
      </m:item>
      <m:item xlName="_GBC_d6e7c166319e45a59a512ab38071b75b" concept="clcid-pte:WeiFenPeiLiRun" label="未分配利润" periodRef="上年度期末数" mulRef="_GBC_cfb07ff3eded4b49916cfc42d821bab6" unitRef="_GBC_55c70fe731be4b84be72ea88afd989b8" addr="T0R12C2S1_1" formatStyle="Comma" appId="_GBC_32c558bdbb77445cabeee783e5ff910e">
        <m:complexRule comparator="Eq" title="未分配利润@上年期末数" test=" $_GBC_1f9ef975a8bd404eb5e068444fe9afc4 +  $_GBC_c1aa48dc3baa423a947b20ce66d52264 -  $_GBC_17f218a5ccde40269d16f6b6eb3214e0 -  $_GBC_124993fe56f3444888067d0ccec0b7fb -  $_GBC_7f8d67d25889414c900e08c4c41b8cfd -  $_GBC_e7104dae1039405196626a183d74cd0f -  $_GBC_642ccecbf9a54c0fb0eff296477777d9 -  $_GBC_4e2d404266534096ad8785252de2f8ee" id="Ce23fe9a1e8da4a389f894ab60ad6b407" serialType="1"/>
      </m:item>
      <m:item xlName="_GBC_a54a245e74754754a6239606b5ebbb06" concept="clcid-pte:YiJuQiYeKuaiJiZhunZeJiQiXiangGuanGuiDingJinXingZhuiSuTiaoZhengYingXiangNianChuWeiFenPeiLiRunHeJi" label="依据《企业会计准则》及其相关规定进行追溯调整影响年初未分配利润合计" formatStyle="Comma" appId="_GBC_32c558bdbb77445cabeee783e5ff910e"/>
      <m:item xlName="_GBC_8295d6891c8842f58b58e4223b4e1700" concept="clcid-pte:YouYuKuaiJiZhengCeBianGengYingXiangNianChuWeiFenPeiLiRun" label="由于会计政策变更影响年初未分配利润" formatStyle="Comma" appId="_GBC_32c558bdbb77445cabeee783e5ff910e"/>
      <m:item xlName="_GBC_34728ea6faff41218abab9b8fede268c" concept="clcid-pte:YouYuZhongDaKuaiJiChaCuoGengZhengYingXiangNianChuWeiFenPeiLiRun" label="由于重大会计差错更正影响年初未分配利润" formatStyle="Comma" appId="_GBC_32c558bdbb77445cabeee783e5ff910e"/>
      <m:item xlName="_GBC_4d9b7a873cb94aba9044210a45f81108" concept="clcid-pte:TongYiKongZhiDaoZhiDeHeBingFanWeiBianGengYingXiangNianChuWeiFenPeiLiRun" label="同一控制导致的合并范围变更影响年初未分配利润" formatStyle="Comma" appId="_GBC_32c558bdbb77445cabeee783e5ff910e"/>
      <m:item xlName="_GBC_ccd86b3788e04a70a2e6a2167027d7cb" concept="clcid-pte:QiTaTiaoZhengHeJiYingXiangNianChuWeiFenPeiLiRun" label="其他调整合计影响年初未分配利润" formatStyle="Comma" appId="_GBC_32c558bdbb77445cabeee783e5ff910e"/>
    </m:section>
    <m:section xlName="_GBC_a3a22662ec3d4fb69e12845051ced996" title="营业收入和营业成本" rules="R2015_R11_020" helpId="112001110">
      <m:item xlName="_GBC_876680c4ba6b433896b625efff84d599" concept="clcid-ci-ar:ShiFouShiYongYingYeShouRuHeYingYeChengBen" label="是否适用：营业收入和营业成本" selectOptions="_buildInAppliance" controlType="CustomCheckbox" cRanges="{&quot;StartName&quot;:&quot;_GBC_876680c4ba6b433896b625efff84d599&quot;,&quot;EndName&quot;:&quot;_GBC_57d09d16f7ec462a953cc902058015c9&quot;,&quot;CType&quot;:1,&quot;DisplayText&quot;:null}"/>
      <m:item xlName="_GBC_611ed6dd25a247cf86a0fb98cd86e68f" concept="clcid-ci-ar:DanWeiCaiWuFuZhuYingYeShouRu" label="单位：财务附注：营业收入" selectOptions="_buildInScales" controlType="Combobox" cellType="Scale" appId="_GBC_876680c4ba6b433896b625efff84d599"/>
      <m:item xlName="_GBC_ba5cd3776b804cc291ae4c216c605f02" concept="clcid-ci-ar:BiZhongCaiWuFuZhuYingYeShouRu" label="币种：财务附注：营业收入" selectOptions="_buildInISO4217" controlType="Combobox" cellType="Measure" appId="_GBC_876680c4ba6b433896b625efff84d599"/>
      <m:placeholder xlName="_PLD_d41752618c6a4ee08ca01f5944b34b81" addr="T0R0C0S2_1"/>
      <m:placeholder xlName="_PLD_f88658ae6cb94ea390736e112b0d5ffc" addr="T0R0C1S1_2"/>
      <m:placeholder xlName="_PLD_0840d72efce94f22bdf4d566046b2e87" addr="T0R0C3S1_2"/>
      <m:placeholder xlName="_PLD_39942ac1f2654fa6bda80d7116d83859" addr="T0R1C1S1_1"/>
      <m:placeholder xlName="_PLD_5075262c52564bf09f90a67ee6a84b17" addr="T0R1C2S1_1"/>
      <m:placeholder xlName="_PLD_33a1015c666d49cba108bce6aafea1f7" addr="T0R1C3S1_1"/>
      <m:placeholder xlName="_PLD_d09deaa2e4d443459a3584a1d7e92203" addr="T0R1C4S1_1"/>
      <m:placeholder xlName="_PLD_b7bfcd00fb124eaf81fd672b23a24a00" addr="T0R2C0S1_1"/>
      <m:item xlName="_GBC_0e81d350bb4546808837bfe2c11e2ede" concept="clcid-pte:ZhuYingYeWuShouRu" label="主营业务收入" mulRef="_GBC_611ed6dd25a247cf86a0fb98cd86e68f" unitRef="_GBC_ba5cd3776b804cc291ae4c216c605f02" addr="T0R2C1S1_1" formatStyle="Comma" appId="_GBC_876680c4ba6b433896b625efff84d599"/>
      <m:item xlName="_GBC_6e5d8e6ddb3440efab04a25c2ab5a855" concept="clcid-pte:ZhuYingYeWuChengBen" label="主营业务成本" mulRef="_GBC_611ed6dd25a247cf86a0fb98cd86e68f" unitRef="_GBC_ba5cd3776b804cc291ae4c216c605f02" addr="T0R2C2S1_1" formatStyle="Comma" appId="_GBC_876680c4ba6b433896b625efff84d599"/>
      <m:item xlName="_GBC_e7f2c09e6608410aaf9ebc9062cf1af1" concept="clcid-pte:ZhuYingYeWuShouRu" label="主营业务收入" periodRef="上年同期数" mulRef="_GBC_611ed6dd25a247cf86a0fb98cd86e68f" unitRef="_GBC_ba5cd3776b804cc291ae4c216c605f02" addr="T0R2C3S1_1" formatStyle="Comma" appId="_GBC_876680c4ba6b433896b625efff84d599"/>
      <m:item xlName="_GBC_ce2ffafbd69b4d3ab96f53b97f7ebfb5" concept="clcid-pte:ZhuYingYeWuChengBen" label="主营业务成本" periodRef="上年同期数" mulRef="_GBC_611ed6dd25a247cf86a0fb98cd86e68f" unitRef="_GBC_ba5cd3776b804cc291ae4c216c605f02" addr="T0R2C4S1_1" formatStyle="Comma" appId="_GBC_876680c4ba6b433896b625efff84d599"/>
      <m:placeholder xlName="_PLD_a17f3dcab1c140c8a4254ddfe38c4d7d" addr="T0R3C0S1_1"/>
      <m:item xlName="_GBC_34596ac1a3cf4e79bfdca768f0b505d1" concept="clcid-pte:QiTaYeWuShouRuHeJi" label="其他业务收入" mulRef="_GBC_611ed6dd25a247cf86a0fb98cd86e68f" unitRef="_GBC_ba5cd3776b804cc291ae4c216c605f02" addr="T0R3C1S1_1" formatStyle="Comma" appId="_GBC_876680c4ba6b433896b625efff84d599"/>
      <m:item xlName="_GBC_1556f31478ae4a17a90c8c9b7a841466" concept="clcid-pte:QiTaYeWuChengBenHeJi" label="其他业务成本" mulRef="_GBC_611ed6dd25a247cf86a0fb98cd86e68f" unitRef="_GBC_ba5cd3776b804cc291ae4c216c605f02" addr="T0R3C2S1_1" formatStyle="Comma" appId="_GBC_876680c4ba6b433896b625efff84d599"/>
      <m:item xlName="_GBC_3d94e2d85cc14347858ec94433920ac2" concept="clcid-pte:QiTaYeWuShouRuHeJi" label="其他业务收入" periodRef="上年同期数" mulRef="_GBC_611ed6dd25a247cf86a0fb98cd86e68f" unitRef="_GBC_ba5cd3776b804cc291ae4c216c605f02" addr="T0R3C3S1_1" formatStyle="Comma" appId="_GBC_876680c4ba6b433896b625efff84d599"/>
      <m:item xlName="_GBC_47102a524dd840bda0509612407a93c9" concept="clcid-pte:QiTaYeWuChengBenHeJi" label="其他业务成本" periodRef="上年同期数" mulRef="_GBC_611ed6dd25a247cf86a0fb98cd86e68f" unitRef="_GBC_ba5cd3776b804cc291ae4c216c605f02" addr="T0R3C4S1_1" formatStyle="Comma" appId="_GBC_876680c4ba6b433896b625efff84d599"/>
      <m:placeholder xlName="_PLD_d6cf597d82bf4ed089aa5592301f1642" addr="T0R4C0S1_1"/>
      <m:item xlName="_GBC_85e1a3922c6a4f24b7e2185b9729e4f3" concept="clcid-pte:YingYeShouRu" label="营业收入" mulRef="_GBC_611ed6dd25a247cf86a0fb98cd86e68f" unitRef="_GBC_ba5cd3776b804cc291ae4c216c605f02" addr="T0R4C1S1_1" formatStyle="Comma" appId="_GBC_876680c4ba6b433896b625efff84d599">
        <m:complexRule comparator="Eq" title="营业收入" test=" $_GBC_0e81d350bb4546808837bfe2c11e2ede +  $_GBC_34596ac1a3cf4e79bfdca768f0b505d1" id="Cb8468e9fa3e84f6c94ede9440abd5be8"/>
      </m:item>
      <m:item xlName="_GBC_9d034a7c437e4be58c5e5218d6e41d44" concept="clcid-pte:YingYeChengBen" label="营业成本" mulRef="_GBC_611ed6dd25a247cf86a0fb98cd86e68f" unitRef="_GBC_ba5cd3776b804cc291ae4c216c605f02" addr="T0R4C2S1_1" formatStyle="Comma" appId="_GBC_876680c4ba6b433896b625efff84d599">
        <m:complexRule comparator="Eq" title="营业成本" test=" $_GBC_6e5d8e6ddb3440efab04a25c2ab5a855 +  $_GBC_1556f31478ae4a17a90c8c9b7a841466" id="C561a9aa52eb04285a560006727b54d17"/>
      </m:item>
      <m:item xlName="_GBC_b5c6749f74a648d99107c757ff318b7a" concept="clcid-pte:YingYeShouRu" label="营业收入" periodRef="上年同期数" mulRef="_GBC_611ed6dd25a247cf86a0fb98cd86e68f" unitRef="_GBC_ba5cd3776b804cc291ae4c216c605f02" addr="T0R4C3S1_1" formatStyle="Comma" appId="_GBC_876680c4ba6b433896b625efff84d599">
        <m:complexRule comparator="Eq" title="营业收入@上年同期数" test=" $_GBC_e7f2c09e6608410aaf9ebc9062cf1af1 +  $_GBC_3d94e2d85cc14347858ec94433920ac2" id="Cfa14d80645c144608be611b4e78a4d8c"/>
      </m:item>
      <m:item xlName="_GBC_57d09d16f7ec462a953cc902058015c9" concept="clcid-pte:YingYeChengBen" label="营业成本" periodRef="上年同期数" mulRef="_GBC_611ed6dd25a247cf86a0fb98cd86e68f" unitRef="_GBC_ba5cd3776b804cc291ae4c216c605f02" addr="T0R4C4S1_1" formatStyle="Comma" appId="_GBC_876680c4ba6b433896b625efff84d599">
        <m:complexRule comparator="Eq" title="营业成本@上年同期数" test=" $_GBC_ce2ffafbd69b4d3ab96f53b97f7ebfb5 +  $_GBC_47102a524dd840bda0509612407a93c9" id="Cc633c470e42b47808fadb1377e53b9a6"/>
      </m:item>
    </m:section>
    <m:section xlName="_SEC_a8e15093e1ef4b64a05aa66b1647502c" title="合同产生的收入的情况" tagAction="1">
      <m:item xlName="_GBC_c21770085a2f4dd3922bd8eb4c58558c" concept="clcid-ci-ar:ShiFouShiYongHeTongChanShengDeShouRu" label="是否适用：合同产生的收入" selectOptions="_buildInAppliance" controlType="CustomCheckbox" cRanges="[{&quot;StartName&quot;:&quot;_GBC_c21770085a2f4dd3922bd8eb4c58558c&quot;,&quot;EndName&quot;:&quot;_GBC_5df8a240d4764103ad340ee5d91d16d6&quot;,&quot;CType&quot;:1}]"/>
      <m:item xlName="_GBC_ad3fa206b47145cea9728c5ff60d9346" concept="clcid-ci-ar:DanWeiHeTongChanShengDeShouRu" label="单位：合同产生的收入" selectOptions="_buildInScales" controlType="Combobox" cellType="Scale" appId="_GBC_c21770085a2f4dd3922bd8eb4c58558c"/>
      <m:item xlName="_GBC_bbe175f0f61a42949a1146ca1734e362" concept="clcid-ci-ar:BiZhongHeTongChanShengDeShouRu" label="币种：合同产生的收入" selectOptions="_buildInISO4217" controlType="Combobox" cellType="Measure" appId="_GBC_c21770085a2f4dd3922bd8eb4c58558c"/>
      <m:placeholder xlName="_PLD_bf90fdfeb0c2419ba1ce17d060f1056f" addr="T0R0C0S1_1"/>
      <m:item xlName="_GBC_6b75b59ddb224134b8ea11484825b0a5" concept="clcid-pte:HeTongChanShengDeShouRuFenBuMingCheng" label="合同产生的收入分部名称" mulRef="_GBC_ad3fa206b47145cea9728c5ff60d9346" unitRef="_GBC_bbe175f0f61a42949a1146ca1734e362" addr="T0R0C1S1_1" tagAction="1" formatStyle="Comma" tupleRef="clcid-pte:HeTongChanShengDeShouRuFenBuMingXi" appId="_GBC_c21770085a2f4dd3922bd8eb4c58558c" isCaption="true"/>
      <m:placeholder xlName="_PLD_db6b6651438f4eec8a8c96f0e8c1dca2" addr="T0R0C2S1_1"/>
      <m:placeholder xlName="_PLD_b01740e1773145b8849df786a44184de" addr="T0R1C0S1_1"/>
      <m:item xlName="_GBC_2b2f7aef2e674442b228005d07274e05" concept="clcid-pte:FenBuShangPinLeiXingHeTongChanShengDeShouRu" label="分部商品类型合同产生的收入" mulRef="_GBC_ad3fa206b47145cea9728c5ff60d9346" unitRef="_GBC_bbe175f0f61a42949a1146ca1734e362" addr="T0R1C1S1_1" formatStyle="Comma" tupleRef="clcid-pte:HeTongChanShengDeShouRuFenBuMingXi" appId="_GBC_c21770085a2f4dd3922bd8eb4c58558c"/>
      <m:item xlName="_GBC_d7e93835acce452384af33551ba7f585" concept="clcid-pte:ShangPinLeiXingHeTongChanShengDeShouRu" label="商品类型合同产生的收入" mulRef="_GBC_ad3fa206b47145cea9728c5ff60d9346" unitRef="_GBC_bbe175f0f61a42949a1146ca1734e362" addr="T0R1C2S1_1" formatStyle="Comma" appId="_GBC_c21770085a2f4dd3922bd8eb4c58558c"/>
      <m:item xlName="_GBC_9b24d072ad6f4b69a94ec304db6192c3" concept="clcid-pte:FenBuShangPinLeiXingMingXiMingCheng1" label="分部商品类型明细名称1" addr="T0R2C0S1_1" tagAction="1" appId="_GBC_c21770085a2f4dd3922bd8eb4c58558c" isSerialConcept="true" serialDirection="1" serialDefaultCount="2"/>
      <m:item xlName="_GBC_5d3d3176f1784cb08da754a9734f9bb2" concept="clcid-pte:FenBuShangPinLeiXingMingXiHeTongChanShengDeShouRu1" label="分部商品类型明细合同产生的收入1" mulRef="_GBC_ad3fa206b47145cea9728c5ff60d9346" unitRef="_GBC_bbe175f0f61a42949a1146ca1734e362" addr="T0R2C1S1_1" formatStyle="Comma" tupleRef="clcid-pte:HeTongChanShengDeShouRuFenBuMingXi" appId="_GBC_c21770085a2f4dd3922bd8eb4c58558c" isSerialConcept="true" serialDirection="1" serialDefaultCount="2"/>
      <m:item xlName="_GBC_4e6bfa20e78f4111b81144120f593c56" concept="clcid-pte:ShangPinLeiXingMingXiHeTongChanShengDeShouRu1" label="商品类型明细合同产生的收入1" mulRef="_GBC_ad3fa206b47145cea9728c5ff60d9346" unitRef="_GBC_bbe175f0f61a42949a1146ca1734e362" addr="T0R2C2S1_1" formatStyle="Comma" appId="_GBC_c21770085a2f4dd3922bd8eb4c58558c" isSerialConcept="true" serialDirection="1" serialDefaultCount="2"/>
      <m:placeholder xlName="_PLD_0753f1e3ffaa40ba888fec6a046a67fa" addr="T0R3C0S1_1"/>
      <m:item xlName="_GBC_92d84352ddd14bdf9016c5678cbbdb22" concept="clcid-pte:FenBuAnJingYingDiQuFenLeiHeTongChanShengDeShouRu" label="分部按经营地区分类合同产生的收入" mulRef="_GBC_ad3fa206b47145cea9728c5ff60d9346" unitRef="_GBC_bbe175f0f61a42949a1146ca1734e362" addr="T0R3C1S1_1" formatStyle="Comma" tupleRef="clcid-pte:HeTongChanShengDeShouRuFenBuMingXi" appId="_GBC_c21770085a2f4dd3922bd8eb4c58558c"/>
      <m:item xlName="_GBC_c7c210722fd54724bfc6fc92bceb1fb7" concept="clcid-pte:AnJingYingDiQuFenLeiHeTongChanShengDeShouRu" label="按经营地区分类合同产生的收入" mulRef="_GBC_ad3fa206b47145cea9728c5ff60d9346" unitRef="_GBC_bbe175f0f61a42949a1146ca1734e362" addr="T0R3C2S1_1" formatStyle="Comma" appId="_GBC_c21770085a2f4dd3922bd8eb4c58558c"/>
      <m:item xlName="_GBC_2164a57364264b61b1897be5a1ac0855" concept="clcid-pte:FenBuAnJingYingDiQuFenLeiMingXiMingCheng1" label="分部按经营地区分类明细名称1" addr="T0R4C0S1_1" tagAction="1" appId="_GBC_c21770085a2f4dd3922bd8eb4c58558c" isSerialConcept="true" serialDirection="1" serialDefaultCount="2"/>
      <m:item xlName="_GBC_541813ff577a4b7299e84962610e8d5e" concept="clcid-pte:FenBuAnJingYingDiQuFenLeiMingXiHeTongChanShengDeShouRu1" label="分部按经营地区分类明细合同产生的收入1" mulRef="_GBC_ad3fa206b47145cea9728c5ff60d9346" unitRef="_GBC_bbe175f0f61a42949a1146ca1734e362" addr="T0R4C1S1_1" formatStyle="Comma" tupleRef="clcid-pte:HeTongChanShengDeShouRuFenBuMingXi" appId="_GBC_c21770085a2f4dd3922bd8eb4c58558c" isSerialConcept="true" serialDirection="1" serialDefaultCount="2"/>
      <m:item xlName="_GBC_74f78b337dec41cb88520f72ad77f2e2" concept="clcid-pte:AnJingYingDiQuFenLeiMingXiHeTongChanShengDeShouRu1" label="按经营地区分类明细合同产生的收入1" mulRef="_GBC_ad3fa206b47145cea9728c5ff60d9346" unitRef="_GBC_bbe175f0f61a42949a1146ca1734e362" addr="T0R4C2S1_1" formatStyle="Comma" appId="_GBC_c21770085a2f4dd3922bd8eb4c58558c" isSerialConcept="true" serialDirection="1" serialDefaultCount="2"/>
      <m:placeholder xlName="_PLD_f3015d8e4f6f44f98d89060b6c75233c" addr="T0R5C0S1_1"/>
      <m:item xlName="_GBC_45395aa7854d48de9016fdbebd64be59" concept="clcid-pte:FenBuShiChangHuoKeHuLeiXingHeTongChanShengDeShouRu" label="分部市场或客户类型合同产生的收入" mulRef="_GBC_ad3fa206b47145cea9728c5ff60d9346" unitRef="_GBC_bbe175f0f61a42949a1146ca1734e362" addr="T0R5C1S1_1" formatStyle="Comma" tupleRef="clcid-pte:HeTongChanShengDeShouRuFenBuMingXi" appId="_GBC_c21770085a2f4dd3922bd8eb4c58558c"/>
      <m:item xlName="_GBC_6777bb26db2942879a19d2c08e185734" concept="clcid-pte:ShiChangHuoKeHuLeiXingHeTongChanShengDeShouRu" label="市场或客户类型合同产生的收入" mulRef="_GBC_ad3fa206b47145cea9728c5ff60d9346" unitRef="_GBC_bbe175f0f61a42949a1146ca1734e362" addr="T0R5C2S1_1" formatStyle="Comma" appId="_GBC_c21770085a2f4dd3922bd8eb4c58558c"/>
      <m:item xlName="_GBC_46263ca243a5438eb43ca6bbb6d7b5e0" concept="clcid-pte:FenBuShiChangHuoKeHuLeiXingMingXiMingCheng1" label="分部市场或客户类型明细名称1" addr="T0R6C0S1_1" tagAction="1" appId="_GBC_c21770085a2f4dd3922bd8eb4c58558c" isSerialConcept="true" serialDirection="1" serialDefaultCount="2"/>
      <m:item xlName="_GBC_dc6db667ec2c47e09a12ad430142267e" concept="clcid-pte:FenBuShiChangHuoKeHuLeiXingMingXiHeTongChanShengDeShouRu1" label="分部市场或客户类型明细合同产生的收入1" mulRef="_GBC_ad3fa206b47145cea9728c5ff60d9346" unitRef="_GBC_bbe175f0f61a42949a1146ca1734e362" addr="T0R6C1S1_1" formatStyle="Comma" tupleRef="clcid-pte:HeTongChanShengDeShouRuFenBuMingXi" appId="_GBC_c21770085a2f4dd3922bd8eb4c58558c" isSerialConcept="true" serialDirection="1" serialDefaultCount="2"/>
      <m:item xlName="_GBC_d6738395127e4cf2b746f96bafd73a5b" concept="clcid-pte:ShiChangHuoKeHuLeiXingMingXiHeTongChanShengDeShouRu1" label="市场或客户类型明细合同产生的收入1" mulRef="_GBC_ad3fa206b47145cea9728c5ff60d9346" unitRef="_GBC_bbe175f0f61a42949a1146ca1734e362" addr="T0R6C2S1_1" formatStyle="Comma" appId="_GBC_c21770085a2f4dd3922bd8eb4c58558c" isSerialConcept="true" serialDirection="1" serialDefaultCount="2"/>
      <m:placeholder xlName="_PLD_ccff2704278f451594422937a2c2e3a6" addr="T0R7C0S1_1"/>
      <m:item xlName="_GBC_671c784348ea4c6ea945a3f1c82e1010" concept="clcid-pte:FenBuHeTongLeiXingHeTongChanShengDeShouRu" label="分部合同类型合同产生的收入" mulRef="_GBC_ad3fa206b47145cea9728c5ff60d9346" unitRef="_GBC_bbe175f0f61a42949a1146ca1734e362" addr="T0R7C1S1_1" formatStyle="Comma" tupleRef="clcid-pte:HeTongChanShengDeShouRuFenBuMingXi" appId="_GBC_c21770085a2f4dd3922bd8eb4c58558c"/>
      <m:item xlName="_GBC_a97a78c90f714313a04ad4488720c929" concept="clcid-pte:HeTongLeiXingHeTongChanShengDeShouRu" label="合同类型合同产生的收入" mulRef="_GBC_ad3fa206b47145cea9728c5ff60d9346" unitRef="_GBC_bbe175f0f61a42949a1146ca1734e362" addr="T0R7C2S1_1" formatStyle="Comma" appId="_GBC_c21770085a2f4dd3922bd8eb4c58558c"/>
      <m:item xlName="_GBC_a02cc814630948fcb4dd9235544cdf25" concept="clcid-pte:FenBuHeTongLeiXingMingXiMingCheng1" label="分部合同类型明细名称1" addr="T0R8C0S1_1" tagAction="1" appId="_GBC_c21770085a2f4dd3922bd8eb4c58558c" isSerialConcept="true" serialDirection="1" serialDefaultCount="2"/>
      <m:item xlName="_GBC_c3662a3e1fe648eb964a3e0a28468a54" concept="clcid-pte:FenBuHeTongLeiXingMingXiHeTongChanShengDeShouRu1" label="分部合同类型明细合同产生的收入1" mulRef="_GBC_ad3fa206b47145cea9728c5ff60d9346" unitRef="_GBC_bbe175f0f61a42949a1146ca1734e362" addr="T0R8C1S1_1" formatStyle="Comma" tupleRef="clcid-pte:HeTongChanShengDeShouRuFenBuMingXi" appId="_GBC_c21770085a2f4dd3922bd8eb4c58558c" isSerialConcept="true" serialDirection="1" serialDefaultCount="2"/>
      <m:item xlName="_GBC_82778718ce4e48d9bebb3ace296a4a51" concept="clcid-pte:HeTongLeiXingMingXiHeTongChanShengDeShouRu1" label="合同类型明细合同产生的收入1" mulRef="_GBC_ad3fa206b47145cea9728c5ff60d9346" unitRef="_GBC_bbe175f0f61a42949a1146ca1734e362" addr="T0R8C2S1_1" formatStyle="Comma" appId="_GBC_c21770085a2f4dd3922bd8eb4c58558c" isSerialConcept="true" serialDirection="1" serialDefaultCount="2"/>
      <m:placeholder xlName="_PLD_85dc2e765fac44eaa8eca35d3e66ca6e" addr="T0R9C0S1_1"/>
      <m:item xlName="_GBC_aada5a73cae841a0b32866ddce5745fe" concept="clcid-pte:FenBuAnShangPinZhuanRangDeShiJianFenLeiHeTongChanShengDeShouRu" label="分部按商品转让的时间分类合同产生的收入" mulRef="_GBC_ad3fa206b47145cea9728c5ff60d9346" unitRef="_GBC_bbe175f0f61a42949a1146ca1734e362" addr="T0R9C1S1_1" formatStyle="Comma" tupleRef="clcid-pte:HeTongChanShengDeShouRuFenBuMingXi" appId="_GBC_c21770085a2f4dd3922bd8eb4c58558c"/>
      <m:item xlName="_GBC_3106a8573ba34af395e99aa3da3b88eb" concept="clcid-pte:AnShangPinZhuanRangDeShiJianFenLeiHeTongChanShengDeShouRu" label="按商品转让的时间分类合同产生的收入" mulRef="_GBC_ad3fa206b47145cea9728c5ff60d9346" unitRef="_GBC_bbe175f0f61a42949a1146ca1734e362" addr="T0R9C2S1_1" formatStyle="Comma" appId="_GBC_c21770085a2f4dd3922bd8eb4c58558c"/>
      <m:item xlName="_GBC_e7756cba04264ef8a2d621d20a3d8041" concept="clcid-pte:FenBuAnShangPinZhuanRangDeShiJianFenLeiMingXiMingCheng1" label="分部按商品转让的时间分类明细名称1" addr="T0R10C0S1_1" tagAction="1" appId="_GBC_c21770085a2f4dd3922bd8eb4c58558c" isSerialConcept="true" serialDirection="1" serialDefaultCount="2"/>
      <m:item xlName="_GBC_1c8dd9830e434fd99756948161fe5a30" concept="clcid-pte:FenBuAnShangPinZhuanRangDeShiJianFenLeiMingXiHeTongChanShengDeShouRu1" label="分部按商品转让的时间分类明细合同产生的收入1" mulRef="_GBC_ad3fa206b47145cea9728c5ff60d9346" unitRef="_GBC_bbe175f0f61a42949a1146ca1734e362" addr="T0R10C1S1_1" formatStyle="Comma" tupleRef="clcid-pte:HeTongChanShengDeShouRuFenBuMingXi" appId="_GBC_c21770085a2f4dd3922bd8eb4c58558c" isSerialConcept="true" serialDirection="1" serialDefaultCount="2"/>
      <m:item xlName="_GBC_735990eb00f647478a43e2b07fec3bd5" concept="clcid-pte:AnShangPinZhuanRangDeShiJianFenLeiMingXiHeTongChanShengDeShouRu1" label="按商品转让的时间分类明细合同产生的收入1" mulRef="_GBC_ad3fa206b47145cea9728c5ff60d9346" unitRef="_GBC_bbe175f0f61a42949a1146ca1734e362" addr="T0R10C2S1_1" formatStyle="Comma" appId="_GBC_c21770085a2f4dd3922bd8eb4c58558c" isSerialConcept="true" serialDirection="1" serialDefaultCount="2"/>
      <m:placeholder xlName="_PLD_6d3cfe1f5ad9443593e2e5b1d5b8a567" addr="T0R11C0S1_1"/>
      <m:item xlName="_GBC_ee392408f9d24b9bac0c8265eaa743a7" concept="clcid-pte:FenBuAnHeTongQiXianFenLeiHeTongChanShengDeShouRu" label="分部按合同期限分类合同产生的收入" mulRef="_GBC_ad3fa206b47145cea9728c5ff60d9346" unitRef="_GBC_bbe175f0f61a42949a1146ca1734e362" addr="T0R11C1S1_1" formatStyle="Comma" tupleRef="clcid-pte:HeTongChanShengDeShouRuFenBuMingXi" appId="_GBC_c21770085a2f4dd3922bd8eb4c58558c"/>
      <m:item xlName="_GBC_33b3bfe2df1f44958c8eb3172fa9c28e" concept="clcid-pte:AnHeTongQiXianFenLeiHeTongChanShengDeShouRu" label="按合同期限分类合同产生的收入" mulRef="_GBC_ad3fa206b47145cea9728c5ff60d9346" unitRef="_GBC_bbe175f0f61a42949a1146ca1734e362" addr="T0R11C2S1_1" formatStyle="Comma" appId="_GBC_c21770085a2f4dd3922bd8eb4c58558c"/>
      <m:item xlName="_GBC_264557d9e22748239eb705abd00aea51" concept="clcid-pte:FenBuAnHeTongQiXianFenLeiMingXiMingCheng1" label="分部按合同期限分类明细名称1" addr="T0R12C0S1_1" tagAction="1" appId="_GBC_c21770085a2f4dd3922bd8eb4c58558c" isSerialConcept="true" serialDirection="1" serialDefaultCount="2"/>
      <m:item xlName="_GBC_bba3520df74c4bb88b0bd471375cab8b" concept="clcid-pte:FenBuAnHeTongQiXianFenLeiMingXiHeTongChanShengDeShouRu1" label="分部按合同期限分类明细合同产生的收入1" mulRef="_GBC_ad3fa206b47145cea9728c5ff60d9346" unitRef="_GBC_bbe175f0f61a42949a1146ca1734e362" addr="T0R12C1S1_1" formatStyle="Comma" tupleRef="clcid-pte:HeTongChanShengDeShouRuFenBuMingXi" appId="_GBC_c21770085a2f4dd3922bd8eb4c58558c" isSerialConcept="true" serialDirection="1" serialDefaultCount="2"/>
      <m:item xlName="_GBC_d94f61bfa5c5407a8cb762ebdebcbd72" concept="clcid-pte:AnHeTongQiXianFenLeiMingXiHeTongChanShengDeShouRu1" label="按合同期限分类明细合同产生的收入1" mulRef="_GBC_ad3fa206b47145cea9728c5ff60d9346" unitRef="_GBC_bbe175f0f61a42949a1146ca1734e362" addr="T0R12C2S1_1" formatStyle="Comma" appId="_GBC_c21770085a2f4dd3922bd8eb4c58558c" isSerialConcept="true" serialDirection="1" serialDefaultCount="2"/>
      <m:placeholder xlName="_PLD_088d8e12be9a4705973169ff95637f45" addr="T0R13C0S1_1"/>
      <m:item xlName="_GBC_99b1a3761d1342c1bdfc233b86bdb847" concept="clcid-pte:FenBuAnXiaoShouQuDaoFenLeiHeTongChanShengDeShouRu" label="分部按销售渠道分类合同产生的收入" mulRef="_GBC_ad3fa206b47145cea9728c5ff60d9346" unitRef="_GBC_bbe175f0f61a42949a1146ca1734e362" addr="T0R13C1S1_1" formatStyle="Comma" tupleRef="clcid-pte:HeTongChanShengDeShouRuFenBuMingXi" appId="_GBC_c21770085a2f4dd3922bd8eb4c58558c"/>
      <m:item xlName="_GBC_9d2cba1cfc5248c989fd290b828270d4" concept="clcid-pte:AnXiaoShouQuDaoFenLeiHeTongChanShengDeShouRu" label="按销售渠道分类合同产生的收入" mulRef="_GBC_ad3fa206b47145cea9728c5ff60d9346" unitRef="_GBC_bbe175f0f61a42949a1146ca1734e362" addr="T0R13C2S1_1" formatStyle="Comma" appId="_GBC_c21770085a2f4dd3922bd8eb4c58558c"/>
      <m:item xlName="_GBC_01f774d622044391beae4b26ef21c9e7" concept="clcid-pte:FenBuAnXiaoShouQuDaoFenLeiMingXiMingCheng1" label="分部按销售渠道分类明细名称1" addr="T0R14C0S1_1" tagAction="1" appId="_GBC_c21770085a2f4dd3922bd8eb4c58558c" isSerialConcept="true" serialDirection="1" serialDefaultCount="2"/>
      <m:item xlName="_GBC_8bc3b3a2733846d0b236678a583fbf9f" concept="clcid-pte:FenBuAnXiaoShouQuDaoFenLeiMingXiHeTongChanShengDeShouRu1" label="分部按销售渠道分类明细合同产生的收入1" mulRef="_GBC_ad3fa206b47145cea9728c5ff60d9346" unitRef="_GBC_bbe175f0f61a42949a1146ca1734e362" addr="T0R14C1S1_1" formatStyle="Comma" tupleRef="clcid-pte:HeTongChanShengDeShouRuFenBuMingXi" appId="_GBC_c21770085a2f4dd3922bd8eb4c58558c" isSerialConcept="true" serialDirection="1" serialDefaultCount="2"/>
      <m:item xlName="_GBC_6359bcd7ec8b4a57acdd46bbef587551" concept="clcid-pte:AnXiaoShouQuDaoFenLeiMingXiHeTongChanShengDeShouRu1" label="按销售渠道分类明细合同产生的收入1" mulRef="_GBC_ad3fa206b47145cea9728c5ff60d9346" unitRef="_GBC_bbe175f0f61a42949a1146ca1734e362" addr="T0R14C2S1_1" formatStyle="Comma" appId="_GBC_c21770085a2f4dd3922bd8eb4c58558c" isSerialConcept="true" serialDirection="1" serialDefaultCount="2"/>
      <m:placeholder xlName="_PLD_61453ad2ba3743f2bbbec0bd3c2e2bce" addr="T0R15C0S1_1"/>
      <m:item xlName="_GBC_fdd22a21fd224e86b18a5661ccb86b4e" concept="clcid-pte:FenBuHeTongChanShengDeShouRu" label="分部合同产生的收入" mulRef="_GBC_ad3fa206b47145cea9728c5ff60d9346" unitRef="_GBC_bbe175f0f61a42949a1146ca1734e362" addr="T0R15C1S1_1" formatStyle="Comma" tupleRef="clcid-pte:HeTongChanShengDeShouRuFenBuMingXi" appId="_GBC_c21770085a2f4dd3922bd8eb4c58558c"/>
      <m:item xlName="_GBC_463fdb24770148078bc9ecdf4126a76b" concept="clcid-pte:HeTongChanShengDeShouRu" label="合同产生的收入" mulRef="_GBC_ad3fa206b47145cea9728c5ff60d9346" unitRef="_GBC_bbe175f0f61a42949a1146ca1734e362" addr="T0R15C2S1_1" formatStyle="Comma" appId="_GBC_c21770085a2f4dd3922bd8eb4c58558c"/>
      <m:item xlName="_GBC_5df8a240d4764103ad340ee5d91d16d6" concept="clcid-pte:HeTongChanShengDeShouRuShuoMing" label="合同产生的收入说明" appId="_GBC_c21770085a2f4dd3922bd8eb4c58558c"/>
      <m:virtualTuples>
        <m:virtualTuple id="8d739792-33d7-41f0-87f9-da1ca2166542" tupleRef="clcid-pte:HeTongChanShengDeShouRuFenBuMingXi" extendDirection="2"/>
      </m:virtualTuples>
    </m:section>
    <m:section xlName="_SEC_c2d2612c37d449d6b1ff5194855fc52c" title="履约义务的说明">
      <m:item xlName="_GBC_cb7f024e61b74dffae341dc41978348f" concept="clcid-ci-ar:ShiFouShiYongLvYueYiWuDeShuoMing" label="是否适用：履约义务的说明" selectOptions="_buildInAppliance" controlType="CustomCheckbox" cRanges="[{&quot;StartName&quot;:&quot;_GBC_cb7f024e61b74dffae341dc41978348f&quot;,&quot;EndName&quot;:&quot;_GBC_6630c6fe771842c38c46817107ddd376&quot;,&quot;CType&quot;:1}]"/>
      <m:item xlName="_GBC_6630c6fe771842c38c46817107ddd376" concept="clcid-pte:LvYueYiWuDeShuoMing" label="履约义务的说明" appId="_GBC_cb7f024e61b74dffae341dc41978348f"/>
    </m:section>
    <m:section xlName="_SEC_52c497559d5c4501875a7b175ab4b1eb" title="分摊至剩余履约义务的说明" helpText="如需删除段落，请通过模块-删除段落进行删除。">
      <m:item xlName="_GBC_3e12eb65fc9e4c7b80815a7392be58f2" concept="clcid-ci-ar:ShiFouShiYongFenTanZhiShengYuLvYueYiWuDeShuoMing" label="是否适用：分摊至剩余履约义务的说明" selectOptions="_buildInAppliance" controlType="CustomCheckbox" cRanges="[{&quot;StartName&quot;:&quot;_GBC_3e12eb65fc9e4c7b80815a7392be58f2&quot;,&quot;EndName&quot;:&quot;_TUP_f971966e7ee4488e86e4dff8073181f4&quot;,&quot;CType&quot;:1}]"/>
      <m:item xlName="_GBC_bb850c2c04f94140b58413bcd7db31a5" concept="clcid-pte:ShengYuLvYueYiWuShouRuJinE" label="剩余履约义务收入金额" formatStyle="Comma" appId="_GBC_3e12eb65fc9e4c7b80815a7392be58f2"/>
      <m:tuple xlName="_TUP_f971966e7ee4488e86e4dff8073181f4" concept="clcid-pte:ShengYuLvYueYiWuShouRuJinEMingXi" default_row="3" supportExtendColumn="false" usage="3">
        <m:item xlName="_GBC_98c249455feb4cf5ae3ef4d2e69f463c" concept="clcid-pte:ShengYuLvYueYiWuShouRuJinEMingXiJinE" label="剩余履约义务收入金额明细-金额" formatStyle="Comma" appId="_GBC_3e12eb65fc9e4c7b80815a7392be58f2"/>
        <m:item xlName="_GBC_e6b6b9da5d444b7db8b751f0a00e3b06" concept="clcid-pte:ShengYuLvYueYiWuShouRuJinEMingXiNianDu" label="剩余履约义务收入金额明细-年度" formatStyle="Integer" appId="_GBC_3e12eb65fc9e4c7b80815a7392be58f2"/>
      </m:tuple>
    </m:section>
    <m:section xlName="_SEC_530aa03318f04819b92848bd4d1e0874" title="营业收入和营业成本的说明">
      <m:item xlName="_GBC_72a96250960e4e188d2fa1097869655e" concept="clcid-pte:ZhuYingYeWuShuoMing" label="主营业务说明"/>
    </m:section>
    <m:section xlName="_GBC_38185835049143dd873ff3e7d0941647" title="税金及附加" rules="R2015_R11_021" convertSummaryRule="NoConvert" helpId="112001112">
      <m:item xlName="_GBC_e6e37ca7fd2a435e8e042586945bb4d2" concept="clcid-ci-ar:ShiFouShiYongYingYeShuiJinJiFuJia" label="是否适用：税金及附加" selectOptions="_buildInAppliance" controlType="CustomCheckbox" cRanges="{&quot;StartName&quot;:&quot;_GBC_e6e37ca7fd2a435e8e042586945bb4d2&quot;,&quot;EndName&quot;:&quot;_GBC_f78e413320ad4d20a3dab91dff935491&quot;,&quot;CType&quot;:1,&quot;DisplayText&quot;:null}"/>
      <m:item xlName="_GBC_bdd382ceb0b74413bcc8ce354afae4a8" concept="clcid-ci-ar:DanWeiCaiWuFuZhuYingYeShuiJinJiFuJia" label="单位：财务附注：税金及附加" selectOptions="_buildInScales" controlType="Combobox" cellType="Scale" appId="_GBC_e6e37ca7fd2a435e8e042586945bb4d2"/>
      <m:item xlName="_GBC_ecf8b53c11ec4336b91007df3f6b5f78" concept="clcid-ci-ar:BiZhongCaiWuFuZhuYingYeShuiJinJiFuJia" label="币种：财务附注：税金及附加" selectOptions="_buildInISO4217" controlType="Combobox" cellType="Measure" appId="_GBC_e6e37ca7fd2a435e8e042586945bb4d2"/>
      <m:placeholder xlName="_PLD_444bcf5500dc4f7f9041afd20c147408" addr="T0R0C0S1_1"/>
      <m:placeholder xlName="_PLD_986496e04f5841889074687e953bf8a9" addr="T0R0C1S1_1"/>
      <m:placeholder xlName="_PLD_4ab1376344dc484195a5459c78069a64" addr="T0R0C2S1_1"/>
      <m:placeholder xlName="_PLD_8e35b9a5fb67490d9247e452751213f6" addr="T0R1C0S1_1"/>
      <m:item xlName="_GBC_566e60f1a39244f6aedfc4a000a3e8da" concept="clcid-pte:ZhuYingYeWuShuiJinJiFuJiaZhongDeXiaoFeiShui" label="税金及附加中的消费税" mulRef="_GBC_bdd382ceb0b74413bcc8ce354afae4a8" unitRef="_GBC_ecf8b53c11ec4336b91007df3f6b5f78" addr="T0R1C1S1_1" formatStyle="Comma" appId="_GBC_e6e37ca7fd2a435e8e042586945bb4d2"/>
      <m:item xlName="_GBC_b6c8e86df3194fde91061c1caf00fdd3" concept="clcid-pte:ZhuYingYeWuShuiJinJiFuJiaZhongDeXiaoFeiShui" label="税金及附加中的消费税" periodRef="上年同期数" mulRef="_GBC_bdd382ceb0b74413bcc8ce354afae4a8" unitRef="_GBC_ecf8b53c11ec4336b91007df3f6b5f78" addr="T0R1C2S1_1" formatStyle="Comma" appId="_GBC_e6e37ca7fd2a435e8e042586945bb4d2"/>
      <m:placeholder xlName="_PLD_96613ba294b7436e815c20ce0acaf4b5" addr="T0R2C0S1_1"/>
      <m:item xlName="_GBC_789e15df997b43ebb85ea314e952a1b2" concept="clcid-pte:ZhuYingYeWuShuiJinJiFuJiaZhongDeYingYeShui" label="税金及附加中的营业税" mulRef="_GBC_bdd382ceb0b74413bcc8ce354afae4a8" unitRef="_GBC_ecf8b53c11ec4336b91007df3f6b5f78" addr="T0R2C1S1_1" formatStyle="Comma" appId="_GBC_e6e37ca7fd2a435e8e042586945bb4d2"/>
      <m:item xlName="_GBC_8f14b7e6090d40b4a3ea8c459d56088f" concept="clcid-pte:ZhuYingYeWuShuiJinJiFuJiaZhongDeYingYeShui" label="税金及附加中的营业税" periodRef="上年同期数" mulRef="_GBC_bdd382ceb0b74413bcc8ce354afae4a8" unitRef="_GBC_ecf8b53c11ec4336b91007df3f6b5f78" addr="T0R2C2S1_1" formatStyle="Comma" appId="_GBC_e6e37ca7fd2a435e8e042586945bb4d2"/>
      <m:placeholder xlName="_PLD_8cf16cf7ff9548dc8b24e9b30e22cdcc" addr="T0R3C0S1_1"/>
      <m:item xlName="_GBC_99ae83b9b46e4d358225980e1c44a755" concept="clcid-pte:ZhuYingYeWuShuiJinJiFuJiaZhongDeChengJianShui" label="税金及附加中的城建税" mulRef="_GBC_bdd382ceb0b74413bcc8ce354afae4a8" unitRef="_GBC_ecf8b53c11ec4336b91007df3f6b5f78" addr="T0R3C1S1_1" formatStyle="Comma" appId="_GBC_e6e37ca7fd2a435e8e042586945bb4d2"/>
      <m:item xlName="_GBC_fca0c8477fc14f29904fa56b28d8c837" concept="clcid-pte:ZhuYingYeWuShuiJinJiFuJiaZhongDeChengJianShui" label="税金及附加中的城建税" periodRef="上年同期数" mulRef="_GBC_bdd382ceb0b74413bcc8ce354afae4a8" unitRef="_GBC_ecf8b53c11ec4336b91007df3f6b5f78" addr="T0R3C2S1_1" formatStyle="Comma" appId="_GBC_e6e37ca7fd2a435e8e042586945bb4d2"/>
      <m:placeholder xlName="_PLD_a93da99d2b574d26b1c4d61b4ee79236" addr="T0R4C0S1_1"/>
      <m:item xlName="_GBC_f71211a902d941f0ac5442494117f8e0" concept="clcid-pte:ZhuYingYeWuShuiJinJiFuJiaZhongDeJiaoYuFeiFuJia" label="税金及附加中的教育费附加" mulRef="_GBC_bdd382ceb0b74413bcc8ce354afae4a8" unitRef="_GBC_ecf8b53c11ec4336b91007df3f6b5f78" addr="T0R4C1S1_1" formatStyle="Comma" appId="_GBC_e6e37ca7fd2a435e8e042586945bb4d2"/>
      <m:item xlName="_GBC_775dcee278324c7e878fa01de0243ab0" concept="clcid-pte:ZhuYingYeWuShuiJinJiFuJiaZhongDeJiaoYuFeiFuJia" label="税金及附加中的教育费附加" periodRef="上年同期数" mulRef="_GBC_bdd382ceb0b74413bcc8ce354afae4a8" unitRef="_GBC_ecf8b53c11ec4336b91007df3f6b5f78" addr="T0R4C2S1_1" formatStyle="Comma" appId="_GBC_e6e37ca7fd2a435e8e042586945bb4d2"/>
      <m:placeholder xlName="_PLD_dff1a5ad8e734dc1aa2e23b417599ecc" addr="T0R5C0S1_1"/>
      <m:item xlName="_GBC_67bb537339584456bd1d67de6a889ed1" concept="clcid-pte:ZhuYingYeWuShuiJinJiFuJiaZhongDeZiYuanShui" label="税金及附加中的资源税" mulRef="_GBC_bdd382ceb0b74413bcc8ce354afae4a8" unitRef="_GBC_ecf8b53c11ec4336b91007df3f6b5f78" addr="T0R5C1S1_1" formatStyle="Comma" appId="_GBC_e6e37ca7fd2a435e8e042586945bb4d2"/>
      <m:item xlName="_GBC_79872da1c8e34c76b4d7e6f174940d0b" concept="clcid-pte:ZhuYingYeWuShuiJinJiFuJiaZhongDeZiYuanShui" label="税金及附加中的资源税" periodRef="上年同期数" mulRef="_GBC_bdd382ceb0b74413bcc8ce354afae4a8" unitRef="_GBC_ecf8b53c11ec4336b91007df3f6b5f78" addr="T0R5C2S1_1" formatStyle="Comma" appId="_GBC_e6e37ca7fd2a435e8e042586945bb4d2"/>
      <m:placeholder xlName="_PLD_b9d06144a0444b1fa73f16e038275ef3" addr="T0R6C0S1_1"/>
      <m:item xlName="_GBC_cfa2cbf9e3bf4e9c8e85d538a9477e5d" concept="clcid-pte:ShuiJinJiFuJiaZhongDeFangChanShui" label="税金及附加中的房产税" mulRef="_GBC_bdd382ceb0b74413bcc8ce354afae4a8" unitRef="_GBC_ecf8b53c11ec4336b91007df3f6b5f78" addr="T0R6C1S1_1" formatStyle="Comma" appId="_GBC_e6e37ca7fd2a435e8e042586945bb4d2"/>
      <m:item xlName="_GBC_d991ef42728e4acaad0ffa610669752c" concept="clcid-pte:ShuiJinJiFuJiaZhongDeFangChanShui" label="税金及附加中的房产税" periodRef="上年同期数" mulRef="_GBC_bdd382ceb0b74413bcc8ce354afae4a8" unitRef="_GBC_ecf8b53c11ec4336b91007df3f6b5f78" addr="T0R6C2S1_1" formatStyle="Comma" appId="_GBC_e6e37ca7fd2a435e8e042586945bb4d2"/>
      <m:placeholder xlName="_PLD_56542612dda549b3b872b8d74818af22" addr="T0R7C0S1_1"/>
      <m:item xlName="_GBC_94a3b7536b5347339c9ebf4e25ae1559" concept="clcid-pte:ShuiJinJiFuJiaZhongDeTuDiShiYongShui" label="税金及附加中的土地使用税" mulRef="_GBC_bdd382ceb0b74413bcc8ce354afae4a8" unitRef="_GBC_ecf8b53c11ec4336b91007df3f6b5f78" addr="T0R7C1S1_1" formatStyle="Comma" appId="_GBC_e6e37ca7fd2a435e8e042586945bb4d2"/>
      <m:item xlName="_GBC_59c6c986747f411c98689fdc714a418c" concept="clcid-pte:ShuiJinJiFuJiaZhongDeTuDiShiYongShui" label="税金及附加中的土地使用税" periodRef="上年同期数" mulRef="_GBC_bdd382ceb0b74413bcc8ce354afae4a8" unitRef="_GBC_ecf8b53c11ec4336b91007df3f6b5f78" addr="T0R7C2S1_1" formatStyle="Comma" appId="_GBC_e6e37ca7fd2a435e8e042586945bb4d2"/>
      <m:placeholder xlName="_PLD_d9fbd1807768486db09587132cc0eacf" addr="T0R8C0S1_1"/>
      <m:item xlName="_GBC_5ada4bf6007b4becb2722ab17e912236" concept="clcid-pte:ShuiJinJiFuJiaZhongDeCheChuanShiYongShui" label="税金及附加中的车船使用税" mulRef="_GBC_bdd382ceb0b74413bcc8ce354afae4a8" unitRef="_GBC_ecf8b53c11ec4336b91007df3f6b5f78" addr="T0R8C1S1_1" formatStyle="Comma" appId="_GBC_e6e37ca7fd2a435e8e042586945bb4d2"/>
      <m:item xlName="_GBC_3f35639260a441408cb49b62e2d4e527" concept="clcid-pte:ShuiJinJiFuJiaZhongDeCheChuanShiYongShui" label="税金及附加中的车船使用税" periodRef="上年同期数" mulRef="_GBC_bdd382ceb0b74413bcc8ce354afae4a8" unitRef="_GBC_ecf8b53c11ec4336b91007df3f6b5f78" addr="T0R8C2S1_1" formatStyle="Comma" appId="_GBC_e6e37ca7fd2a435e8e042586945bb4d2"/>
      <m:placeholder xlName="_PLD_a0bc60e9b74b40a288471dbbe366af2d" addr="T0R9C0S1_1"/>
      <m:item xlName="_GBC_1ceee1b6dd2449a09bcc44dbe0023939" concept="clcid-pte:ShuiJinJiFuJiaZhongDeYinHuaShui" label="税金及附加中的印花税" mulRef="_GBC_bdd382ceb0b74413bcc8ce354afae4a8" unitRef="_GBC_ecf8b53c11ec4336b91007df3f6b5f78" addr="T0R9C1S1_1" formatStyle="Comma" appId="_GBC_e6e37ca7fd2a435e8e042586945bb4d2"/>
      <m:item xlName="_GBC_ae98d8ae7c0f40a195bd1acdd528f1fb" concept="clcid-pte:ShuiJinJiFuJiaZhongDeYinHuaShui" label="税金及附加中的印花税" periodRef="上年同期数" mulRef="_GBC_bdd382ceb0b74413bcc8ce354afae4a8" unitRef="_GBC_ecf8b53c11ec4336b91007df3f6b5f78" addr="T0R9C2S1_1" formatStyle="Comma" appId="_GBC_e6e37ca7fd2a435e8e042586945bb4d2"/>
      <m:tuple xlName="_GBC_ec40da632a7e4b998c9f045c23f7af1b" concept="clcid-pte:ZhuYingYeWuShuiJinJiFuJiaMingXi" default_row="2" addr="T0R10C">
        <m:item xlName="_GBC_e7a293e19dfc4c7f9c4db152417d94c7" concept="clcid-pte:ZhuYingYeWuShuiJinJiFuJiaXiangMu" label="税金及附加项目" addr="T0R10C0S1_1" appId="_GBC_e6e37ca7fd2a435e8e042586945bb4d2"/>
        <m:item xlName="_GBC_49b45785ff5740b5a642493f5636e867" concept="clcid-pte:ZhuYingYeWuShuiJinJiFuJiaJinE" label="税金及附加金额" mulRef="_GBC_bdd382ceb0b74413bcc8ce354afae4a8" unitRef="_GBC_ecf8b53c11ec4336b91007df3f6b5f78" addr="T0R10C1S1_1" formatStyle="Comma" appId="_GBC_e6e37ca7fd2a435e8e042586945bb4d2"/>
        <m:item xlName="_GBC_22e612c862b54b288db105376369baa8" concept="clcid-pte:ZhuYingYeWuShuiJinJiFuJiaJinE" label="税金及附加金额" periodRef="上年同期数" mulRef="_GBC_bdd382ceb0b74413bcc8ce354afae4a8" unitRef="_GBC_ecf8b53c11ec4336b91007df3f6b5f78" addr="T0R10C2S1_1" formatStyle="Comma" appId="_GBC_e6e37ca7fd2a435e8e042586945bb4d2"/>
      </m:tuple>
      <m:placeholder xlName="_PLD_447085d4b34d4e7e8574b5b78f65bf27" addr="T0R12C0S1_1"/>
      <m:item xlName="_GBC_70490f6ad6024f3e97fca0b36eeaca52" concept="clcid-pte:YingYeShuiJinJiFuJia" label="税金及附加" mulRef="_GBC_bdd382ceb0b74413bcc8ce354afae4a8" unitRef="_GBC_ecf8b53c11ec4336b91007df3f6b5f78" addr="T0R12C1S1_1" formatStyle="Comma" appId="_GBC_e6e37ca7fd2a435e8e042586945bb4d2">
        <m:complexRule comparator="Eq" title="营业税金及附加" test=" $_GBC_566e60f1a39244f6aedfc4a000a3e8da +  $_GBC_789e15df997b43ebb85ea314e952a1b2 +  $_GBC_99ae83b9b46e4d358225980e1c44a755 +  $_GBC_f71211a902d941f0ac5442494117f8e0 +  $_GBC_67bb537339584456bd1d67de6a889ed1 +  $_GBC_cfa2cbf9e3bf4e9c8e85d538a9477e5d +  $_GBC_94a3b7536b5347339c9ebf4e25ae1559 +  $_GBC_5ada4bf6007b4becb2722ab17e912236 +  $_GBC_1ceee1b6dd2449a09bcc44dbe0023939 +  $_GBC_49b45785ff5740b5a642493f5636e867" id="Cabe64a3ac11b47559579dae8cc39edb0" serialType="1"/>
      </m:item>
      <m:item xlName="_GBC_cee091a4f6ad48598a3b06851369535a" concept="clcid-pte:YingYeShuiJinJiFuJia" label="税金及附加" periodRef="上年同期数" mulRef="_GBC_bdd382ceb0b74413bcc8ce354afae4a8" unitRef="_GBC_ecf8b53c11ec4336b91007df3f6b5f78" addr="T0R12C2S1_1" formatStyle="Comma" appId="_GBC_e6e37ca7fd2a435e8e042586945bb4d2">
        <m:complexRule comparator="Eq" title="营业税金及附加@上年同期数" test=" $_GBC_b6c8e86df3194fde91061c1caf00fdd3 +  $_GBC_8f14b7e6090d40b4a3ea8c459d56088f +  $_GBC_fca0c8477fc14f29904fa56b28d8c837 +  $_GBC_775dcee278324c7e878fa01de0243ab0 +  $_GBC_79872da1c8e34c76b4d7e6f174940d0b +  $_GBC_d991ef42728e4acaad0ffa610669752c +  $_GBC_59c6c986747f411c98689fdc714a418c +  $_GBC_3f35639260a441408cb49b62e2d4e527 +  $_GBC_ae98d8ae7c0f40a195bd1acdd528f1fb +  $_GBC_22e612c862b54b288db105376369baa8" id="Cb169bedba9e044be86017d66851e7e35" serialType="1"/>
      </m:item>
      <m:item xlName="_GBC_f78e413320ad4d20a3dab91dff935491" concept="clcid-pte:ZhuYingYeWuShuiJinJiFuJiaShuoMing" label="税金及附加说明" appId="_GBC_e6e37ca7fd2a435e8e042586945bb4d2"/>
    </m:section>
    <m:section xlName="_GBC_3faa14b862dd44e8a54b6137b70adace" title="成本费用" rules="R2015_R11_022" convertSummaryRule="NoConvert" helpId="112001111">
      <m:item xlName="_GBC_5302d6af48674660a2279c7c8a87bb8c" concept="clcid-ci-ar:ShiFouShiYongXiaoShouFeiYong" label="是否适用：销售费用" selectOptions="_buildInAppliance" controlType="CustomCheckbox" cRanges="{&quot;StartName&quot;:&quot;_GBC_5302d6af48674660a2279c7c8a87bb8c&quot;,&quot;EndName&quot;:&quot;_GBC_42921bca5478449e9dd3932a8303975a&quot;,&quot;CType&quot;:1,&quot;DisplayText&quot;:null}"/>
      <m:item xlName="_GBC_893203a5a3df44649aef388407d22c68" concept="clcid-ci-ar:DanWeiXiaoShouFeiYong" label="单位：销售费用" selectOptions="_buildInScales" controlType="Combobox" cellType="Scale" appId="_GBC_5302d6af48674660a2279c7c8a87bb8c"/>
      <m:item xlName="_GBC_4954a9fca98d4f279270fb28f987aa6f" concept="clcid-ci-ar:BiZhongXiaoShouFeiYong" label="币种：销售费用" selectOptions="_buildInISO4217" controlType="Combobox" cellType="Measure" appId="_GBC_5302d6af48674660a2279c7c8a87bb8c"/>
      <m:placeholder xlName="_PLD_16c47970a3b145c98f438f3cb34ff636" addr="T0R0C0S1_1"/>
      <m:placeholder xlName="_PLD_b3ce435531054240b373e649bc9ae7a1" addr="T0R0C1S1_1"/>
      <m:placeholder xlName="_PLD_9480cd5806624557b975b5d0ce06575b" addr="T0R0C2S1_1"/>
      <m:tuple xlName="_GBC_8b0e6f0534ed42879aaed18b46dbec7d" concept="clcid-pte:XiaoShouFeiYongMingXi" default_row="2" addr="T0R1C">
        <m:item xlName="_GBC_0dfad3e8a44b4b988b5a72005ec9d958" concept="clcid-pte:XiaoShouFeiYongMingXiXiangMu" label="销售费用明细-项目" addr="T0R1C0S1_1" appId="_GBC_5302d6af48674660a2279c7c8a87bb8c"/>
        <m:item xlName="_GBC_bf937ca458f44a2aa46196044b5d6101" concept="clcid-pte:XiaoShouFeiYongMingXiFaShengE" label="销售费用明细-发生额" mulRef="_GBC_893203a5a3df44649aef388407d22c68" unitRef="_GBC_4954a9fca98d4f279270fb28f987aa6f" addr="T0R1C1S1_1" formatStyle="Comma" appId="_GBC_5302d6af48674660a2279c7c8a87bb8c"/>
        <m:item xlName="_GBC_a14ae17576664ecaa7fde44aa4e3edf9" concept="clcid-pte:XiaoShouFeiYongMingXiFaShengE" label="销售费用明细-发生额" periodRef="上年同期数" mulRef="_GBC_893203a5a3df44649aef388407d22c68" unitRef="_GBC_4954a9fca98d4f279270fb28f987aa6f" addr="T0R1C2S1_1" formatStyle="Comma" appId="_GBC_5302d6af48674660a2279c7c8a87bb8c"/>
      </m:tuple>
      <m:placeholder xlName="_PLD_bb83cc20a1fb4ed7973343e471dad9ef" addr="T0R3C0S1_1"/>
      <m:item xlName="_GBC_6147d70307aa4964a40cfe174548fe20" concept="clcid-pte:XiaoShouFeiYong" label="销售费用" mulRef="_GBC_893203a5a3df44649aef388407d22c68" unitRef="_GBC_4954a9fca98d4f279270fb28f987aa6f" addr="T0R3C1S1_1" formatStyle="Comma" appId="_GBC_5302d6af48674660a2279c7c8a87bb8c">
        <m:complexRule comparator="Eq" title="销售费用" test=" $_GBC_bf937ca458f44a2aa46196044b5d6101" id="C21a039b7f37a4415863b86a3cfdf20db"/>
      </m:item>
      <m:item xlName="_GBC_9f9f134c261e44559e079c1608567b61" concept="clcid-pte:XiaoShouFeiYong" label="销售费用" periodRef="上年同期数" mulRef="_GBC_893203a5a3df44649aef388407d22c68" unitRef="_GBC_4954a9fca98d4f279270fb28f987aa6f" addr="T0R3C2S1_1" formatStyle="Comma" appId="_GBC_5302d6af48674660a2279c7c8a87bb8c">
        <m:complexRule comparator="Eq" title="销售费用@上年同期数" test=" $_GBC_a14ae17576664ecaa7fde44aa4e3edf9" id="Cd1df214b71c54426b6d62c50d616405b"/>
      </m:item>
      <m:item xlName="_GBC_42921bca5478449e9dd3932a8303975a" concept="clcid-pte:XiaoShouFeiYongDeQiTaShuoMingShiXiang" label="销售费用的其他说明事项" appId="_GBC_5302d6af48674660a2279c7c8a87bb8c"/>
    </m:section>
    <m:section xlName="_GBC_d5a6283bdea64513980a0cc618e2ec60" title="管理费用" rules="R2015_R11_023" helpId="112001111">
      <m:item xlName="_GBC_864c9dd9adce435698261f1da02ab8fb" concept="clcid-ci-ar:ShiFouShiYongGuanLiFeiYong" label="是否适用：管理费用" selectOptions="_buildInAppliance" controlType="CustomCheckbox" cRanges="{&quot;StartName&quot;:&quot;_GBC_864c9dd9adce435698261f1da02ab8fb&quot;,&quot;EndName&quot;:&quot;_GBC_2ddba7c397f842b2a457e4f7fe020aca&quot;,&quot;CType&quot;:1,&quot;DisplayText&quot;:null}"/>
      <m:item xlName="_GBC_b8198aec3f7748d28785c1eebbf02df7" concept="clcid-ci-ar:DanWeiGuanLiFeiYong" label="单位：管理费用" selectOptions="_buildInScales" controlType="Combobox" cellType="Scale" appId="_GBC_864c9dd9adce435698261f1da02ab8fb"/>
      <m:item xlName="_GBC_f92af61f8b3b45ba9ec818ede9725428" concept="clcid-ci-ar:BiZhongGuanLiFeiYong" label="币种：管理费用" selectOptions="_buildInISO4217" controlType="Combobox" cellType="Measure" appId="_GBC_864c9dd9adce435698261f1da02ab8fb"/>
      <m:placeholder xlName="_PLD_249fd0c096ba421285089a0fada9d43a" addr="T0R0C0S1_1"/>
      <m:placeholder xlName="_PLD_acf5bcbf929244268be56ad5d0f3ea18" addr="T0R0C1S1_1"/>
      <m:placeholder xlName="_PLD_d37d8a59d4d74c26ac22dc33983efa29" addr="T0R0C2S1_1"/>
      <m:tuple xlName="_GBC_1330575ab4a44e46920401d3d7599402" concept="clcid-pte:GuanLiFeiYongMingXi" default_row="2" addr="T0R1C">
        <m:item xlName="_GBC_3dd179bcf7cc43269d34395fcadc01f0" concept="clcid-pte:GuanLiFeiYongMingXiXiangMu" label="管理费用明细-项目" addr="T0R1C0S1_1" appId="_GBC_864c9dd9adce435698261f1da02ab8fb"/>
        <m:item xlName="_GBC_76404805a678432890905704f7eacb78" concept="clcid-pte:GuanLiFeiYongMingXiFaShengE" label="管理费用明细-发生额" mulRef="_GBC_b8198aec3f7748d28785c1eebbf02df7" unitRef="_GBC_f92af61f8b3b45ba9ec818ede9725428" addr="T0R1C1S1_1" formatStyle="Comma" appId="_GBC_864c9dd9adce435698261f1da02ab8fb"/>
        <m:item xlName="_GBC_352a9285c7e04404bc36c71a1cee91f4" concept="clcid-pte:GuanLiFeiYongMingXiFaShengE" label="管理费用明细-发生额" periodRef="上年同期数" mulRef="_GBC_b8198aec3f7748d28785c1eebbf02df7" unitRef="_GBC_f92af61f8b3b45ba9ec818ede9725428" addr="T0R1C2S1_1" formatStyle="Comma" appId="_GBC_864c9dd9adce435698261f1da02ab8fb"/>
      </m:tuple>
      <m:placeholder xlName="_PLD_a1574943c0c74f868555494c72b6afa6" addr="T0R3C0S1_1"/>
      <m:item xlName="_GBC_d05d3fa41bb1438b81d51b8b60168503" concept="clcid-pte:GuanLiFeiYong" label="管理费用" mulRef="_GBC_b8198aec3f7748d28785c1eebbf02df7" unitRef="_GBC_f92af61f8b3b45ba9ec818ede9725428" addr="T0R3C1S1_1" formatStyle="Comma" appId="_GBC_864c9dd9adce435698261f1da02ab8fb">
        <m:complexRule comparator="Eq" title="管理费用" test=" $_GBC_76404805a678432890905704f7eacb78" id="Cf4539c1190c042eeb0fb5834ca08a775"/>
      </m:item>
      <m:item xlName="_GBC_b25c969bd54746cf83f30d0a2bc5e71e" concept="clcid-pte:GuanLiFeiYong" label="管理费用" periodRef="上年同期数" mulRef="_GBC_b8198aec3f7748d28785c1eebbf02df7" unitRef="_GBC_f92af61f8b3b45ba9ec818ede9725428" addr="T0R3C2S1_1" formatStyle="Comma" appId="_GBC_864c9dd9adce435698261f1da02ab8fb">
        <m:complexRule comparator="Eq" title="管理费用@上年同期数" test=" $_GBC_352a9285c7e04404bc36c71a1cee91f4" id="Cacd78e976d934b97b688f70fe424f6f6"/>
      </m:item>
      <m:item xlName="_GBC_2ddba7c397f842b2a457e4f7fe020aca" concept="clcid-pte:GuanLiFeiYongDeQiTaShuoMingShiXiang" label="管理费用的其他说明事项" appId="_GBC_864c9dd9adce435698261f1da02ab8fb"/>
    </m:section>
    <m:section xlName="_SEC_5070ecc0a0324b189a4ec7d6e218c5d7" title="研发费用" helpId="112002273">
      <m:item xlName="_GBC_48b4a6beb6f54c3ba7c01af3727337bb" concept="clcid-ci-ar:ShiFouShiYongYanFaFeiYong" label="是否适用：研发费用" selectOptions="_buildInAppliance" controlType="CustomCheckbox" cRanges="[{&quot;StartName&quot;:&quot;_GBC_48b4a6beb6f54c3ba7c01af3727337bb&quot;,&quot;EndName&quot;:&quot;_GBC_f09ad1e9748e43059f8db34f9454426c&quot;,&quot;CType&quot;:1}]"/>
      <m:item xlName="_GBC_a0292321d82f46b8823ab163b1084fea" concept="clcid-ci-ar:DanWeiYanFaFeiYong" label="单位：研发费用" selectOptions="_buildInScales" controlType="Combobox" cellType="Scale" appId="_GBC_48b4a6beb6f54c3ba7c01af3727337bb"/>
      <m:item xlName="_GBC_a0b2b92cacc24641a2d69fc025b920ea" concept="clcid-ci-ar:BiZhongYanFaFeiYong" label="币种：研发费用" selectOptions="_buildInISO4217" controlType="Combobox" cellType="Measure" appId="_GBC_48b4a6beb6f54c3ba7c01af3727337bb"/>
      <m:placeholder xlName="_PLD_878c2bf88dff43e8bf48fe187921cf85" addr="T0R0C0S1_1"/>
      <m:placeholder xlName="_PLD_043e1c3ae76a497c9be9c1eef3db33c6" addr="T0R0C1S1_1"/>
      <m:placeholder xlName="_PLD_d0588c88282b4dae9e42d7ffd38d27c6" addr="T0R0C2S1_1"/>
      <m:tuple xlName="_TUP_78c47ce77ce942a2a4c5b824fc4daeaa" concept="clcid-pte:YanFaFeiYongMingXi" default_row="2" addr="T0R1C">
        <m:item xlName="_GBC_62965139362e4f2097acf4788a5a9c49" concept="clcid-pte:YanFaFeiYongMingXiXiangMu" label="研发费用明细-项目" addr="T0R1C0S1_1" appId="_GBC_48b4a6beb6f54c3ba7c01af3727337bb"/>
        <m:item xlName="_GBC_7293fb842f4749b3a15fed910d2e19e2" concept="clcid-pte:YanFaFeiYongMingXiFaShengE" label="研发费用明细-发生额" mulRef="_GBC_a0292321d82f46b8823ab163b1084fea" unitRef="_GBC_a0b2b92cacc24641a2d69fc025b920ea" addr="T0R1C1S1_1" formatStyle="Comma" appId="_GBC_48b4a6beb6f54c3ba7c01af3727337bb"/>
        <m:item xlName="_GBC_cf59eec88aa04b92ba285410fef7d9b5" concept="clcid-pte:YanFaFeiYongMingXiFaShengE" label="研发费用明细-发生额" periodRef="上年同期数" mulRef="_GBC_a0292321d82f46b8823ab163b1084fea" unitRef="_GBC_a0b2b92cacc24641a2d69fc025b920ea" addr="T0R1C2S1_1" formatStyle="Comma" appId="_GBC_48b4a6beb6f54c3ba7c01af3727337bb"/>
      </m:tuple>
      <m:placeholder xlName="_PLD_5a23b545f4d04be78e814a8fcf71e521" addr="T0R3C0S1_1"/>
      <m:item xlName="_GBC_50a4908582a04450b4b7bdbf82ef2c1f" concept="clcid-pte:YanFaFeiYong" label="研发费用" mulRef="_GBC_a0292321d82f46b8823ab163b1084fea" unitRef="_GBC_a0b2b92cacc24641a2d69fc025b920ea" addr="T0R3C1S1_1" formatStyle="Comma" appId="_GBC_48b4a6beb6f54c3ba7c01af3727337bb">
        <m:complexRule comparator="Eq" title="研发费用" test=" $_GBC_7293fb842f4749b3a15fed910d2e19e2" id="C1b30070f024e46faa0741bf4b6d8511c"/>
      </m:item>
      <m:item xlName="_GBC_a8c79ef0aa1246cab3b38c088894c69d" concept="clcid-pte:YanFaFeiYong" label="研发费用" periodRef="上年同期数" mulRef="_GBC_a0292321d82f46b8823ab163b1084fea" unitRef="_GBC_a0b2b92cacc24641a2d69fc025b920ea" addr="T0R3C2S1_1" formatStyle="Comma" appId="_GBC_48b4a6beb6f54c3ba7c01af3727337bb">
        <m:complexRule comparator="Eq" title="研发费用@上年同期数" test=" $_GBC_cf59eec88aa04b92ba285410fef7d9b5" id="Ca605e156294d4e469be5ef88822ed70e"/>
      </m:item>
      <m:item xlName="_GBC_f09ad1e9748e43059f8db34f9454426c" concept="clcid-pte:YanFaFeiYongQiTaShuoMing" label="研发费用其他说明" appId="_GBC_48b4a6beb6f54c3ba7c01af3727337bb"/>
    </m:section>
    <m:section xlName="_GBC_aeeadad5456b4097a79668e5a1cadb17" title="财务费用" rules="R2015_R11_024" helpId="112002274">
      <m:item xlName="_GBC_699d8bdb2f1f4504a0ea4ccbc8889cfa" concept="clcid-ci-ar:ShiFouShiYongCaiWuFeiYong" label="是否适用：财务费用" selectOptions="_buildInAppliance" controlType="CustomCheckbox" cRanges="{&quot;StartName&quot;:&quot;_GBC_699d8bdb2f1f4504a0ea4ccbc8889cfa&quot;,&quot;EndName&quot;:&quot;_GBC_5bd15645edcc4a51b94ddca48ee9be98&quot;,&quot;CType&quot;:1,&quot;DisplayText&quot;:null}"/>
      <m:item xlName="_GBC_eb9e02dce68144759561a3427fb3099a" concept="clcid-ci-ar:DanWeiCaiWuFeiYong" label="单位：财务费用" selectOptions="_buildInScales" controlType="Combobox" cellType="Scale" appId="_GBC_699d8bdb2f1f4504a0ea4ccbc8889cfa"/>
      <m:item xlName="_GBC_8e992a76854b4bd0a3f5cd49b31a4604" concept="clcid-ci-ar:BiZhongCaiWuFeiYong" label="币种：财务费用" selectOptions="_buildInISO4217" controlType="Combobox" cellType="Measure" appId="_GBC_699d8bdb2f1f4504a0ea4ccbc8889cfa"/>
      <m:placeholder xlName="_PLD_c57c227174f044c4bfa2c0fda1e37156" addr="T0R0C0S1_1"/>
      <m:placeholder xlName="_PLD_d7b23aa0bcb6433894875c858270ab7f" addr="T0R0C1S1_1"/>
      <m:placeholder xlName="_PLD_d79245f93e3d475b953b3e44bb1c6425" addr="T0R0C2S1_1"/>
      <m:tuple xlName="_GBC_6315cf92135646dfa5694359777c36b0" concept="clcid-pte:CaiWuFeiYongMingXi" default_row="2" addr="T0R1C">
        <m:item xlName="_GBC_16254f64718b48be8fdb631a5bd9bed2" concept="clcid-pte:CaiWuFeiYongMingXiXiangMu" label="财务费用明细-项目" addr="T0R1C0S1_1" appId="_GBC_699d8bdb2f1f4504a0ea4ccbc8889cfa"/>
        <m:item xlName="_GBC_914eb0eedb6c4235a2b42fda40991c48" concept="clcid-pte:CaiWuFeiYongMingXiFaShengE" label="财务费用明细-发生额" mulRef="_GBC_eb9e02dce68144759561a3427fb3099a" unitRef="_GBC_8e992a76854b4bd0a3f5cd49b31a4604" addr="T0R1C1S1_1" formatStyle="Comma" appId="_GBC_699d8bdb2f1f4504a0ea4ccbc8889cfa"/>
        <m:item xlName="_GBC_e12b432aad5d45f8ba844b35483466e3" concept="clcid-pte:CaiWuFeiYongMingXiFaShengE" label="财务费用明细-发生额" periodRef="上年同期数" mulRef="_GBC_eb9e02dce68144759561a3427fb3099a" unitRef="_GBC_8e992a76854b4bd0a3f5cd49b31a4604" addr="T0R1C2S1_1" formatStyle="Comma" appId="_GBC_699d8bdb2f1f4504a0ea4ccbc8889cfa"/>
      </m:tuple>
      <m:placeholder xlName="_PLD_27965316bcaf4972b01a6dd60323d7f4" addr="T0R3C0S1_1"/>
      <m:item xlName="_GBC_1e2924c832b34ebb91afc9337eb24a4d" concept="clcid-pte:CaiWuFeiYong" label="财务费用" mulRef="_GBC_eb9e02dce68144759561a3427fb3099a" unitRef="_GBC_8e992a76854b4bd0a3f5cd49b31a4604" addr="T0R3C1S1_1" formatStyle="Comma" appId="_GBC_699d8bdb2f1f4504a0ea4ccbc8889cfa">
        <m:complexRule comparator="Eq" title="财务费用" test=" $_GBC_914eb0eedb6c4235a2b42fda40991c48" id="C0888137654ab434589bfc0caa793aedb"/>
      </m:item>
      <m:item xlName="_GBC_98a269cadd2b4ff4b90e96352657f2ce" concept="clcid-pte:CaiWuFeiYong" label="财务费用" periodRef="上年同期数" mulRef="_GBC_eb9e02dce68144759561a3427fb3099a" unitRef="_GBC_8e992a76854b4bd0a3f5cd49b31a4604" addr="T0R3C2S1_1" formatStyle="Comma" appId="_GBC_699d8bdb2f1f4504a0ea4ccbc8889cfa">
        <m:complexRule comparator="Eq" title="财务费用@上年同期数" test=" $_GBC_e12b432aad5d45f8ba844b35483466e3" id="C7de736e6e4eb4786866f4c3310ad2c7e"/>
      </m:item>
      <m:item xlName="_GBC_5bd15645edcc4a51b94ddca48ee9be98" concept="clcid-pte:CaiWuFeiYongDeQiTaShuoMingShiXiang" label="财务费用的其他说明事项" appId="_GBC_699d8bdb2f1f4504a0ea4ccbc8889cfa"/>
    </m:section>
    <m:section xlName="_SEC_b7dd1353107541ffa3a1d66fbb85a037" title="其他收益" helpId="112002275">
      <m:item xlName="_GBC_86fde94b0d4e4b1f997adc6f063babf7" concept="clcid-pte:ShiFouShiYongCaiWuBaoBiaoQiTaShouYi" label="是否适用：财务报表其他收益" selectOptions="_buildInAppliance" controlType="CustomCheckbox" cRanges="[{&quot;StartName&quot;:&quot;_GBC_86fde94b0d4e4b1f997adc6f063babf7&quot;,&quot;EndName&quot;:&quot;_GBC_9489a93c45754a9ea78d3a872093a735&quot;,&quot;CType&quot;:1}]"/>
      <m:item xlName="_GBC_12755937dc3b48a489abda6cc5cda8d6" concept="clcid-pte:DanWeiCaiWuBaoBiaoQiTaShouYiMingXi" label="单位：财务报表其他收益明细" selectOptions="_buildInScales" controlType="Combobox" cellType="Scale" appId="_GBC_86fde94b0d4e4b1f997adc6f063babf7"/>
      <m:item xlName="_GBC_3daaaf66c73e4201b067378f3d17e13f" concept="clcid-pte:BiZhongCaiWuBaoBiaoQiTaShouYiMingXi" label="币种：财务报表其他收益明细" selectOptions="_buildInISO4217" controlType="Combobox" cellType="Measure" appId="_GBC_86fde94b0d4e4b1f997adc6f063babf7"/>
      <m:placeholder xlName="_PLD_92b33ced889140b7b84894c5f486f4e6" addr="T0R0C0S1_1"/>
      <m:placeholder xlName="_PLD_73b3023fbaed423bbb8ca1ec42a2eaf9" addr="T0R0C1S1_1"/>
      <m:placeholder xlName="_PLD_9f39351a333c497da22a0955aff07b4c" addr="T0R0C2S1_1"/>
      <m:tuple xlName="_TUP_6fbc2b9298bf4c818dfcc7c62d7fcd6c" concept="clcid-pte:CaiWuBaoBiaoQiTaShouYiMingXi" default_row="2" addr="T0R1C">
        <m:item xlName="_GBC_5189606dfecb498095d6aa9b3279de9c" concept="clcid-pte:CaiWuBaoBiaoQiTaShouYiXiangMu" label="财务报表其他收益项目" addr="T0R1C0S1_1" appId="_GBC_86fde94b0d4e4b1f997adc6f063babf7"/>
        <m:item xlName="_GBC_cf5f9ae5a16145ab8b9ab7aa638a44da" concept="clcid-pte:CaiWuBaoBiaoQiTaShouYiFaShengE" label="财务报表其他收益发生额" mulRef="_GBC_12755937dc3b48a489abda6cc5cda8d6" unitRef="_GBC_3daaaf66c73e4201b067378f3d17e13f" addr="T0R1C1S1_1" formatStyle="Comma" appId="_GBC_86fde94b0d4e4b1f997adc6f063babf7"/>
        <m:item xlName="_GBC_3b10f9a2ed7a401c97d14f8c6f2c4515" concept="clcid-pte:CaiWuBaoBiaoQiTaShouYiFaShengE" label="财务报表其他收益发生额" periodRef="上年同期数" mulRef="_GBC_12755937dc3b48a489abda6cc5cda8d6" unitRef="_GBC_3daaaf66c73e4201b067378f3d17e13f" addr="T0R1C2S1_1" formatStyle="Comma" appId="_GBC_86fde94b0d4e4b1f997adc6f063babf7"/>
      </m:tuple>
      <m:placeholder xlName="_PLD_895bf64d897b4d94b2d45a7ce9849ec7" addr="T0R3C0S1_1"/>
      <m:item xlName="_GBC_cda510d275c245e9a256fa7cae286de8" concept="clcid-pte:QiTaShouYi" label="其他收益" mulRef="_GBC_12755937dc3b48a489abda6cc5cda8d6" unitRef="_GBC_3daaaf66c73e4201b067378f3d17e13f" addr="T0R3C1S1_1" formatStyle="Comma" appId="_GBC_86fde94b0d4e4b1f997adc6f063babf7">
        <m:complexRule comparator="Eq" title="其他收益" test=" $_GBC_cf5f9ae5a16145ab8b9ab7aa638a44da" id="C518b78697f35434ebc90c586049c0f48"/>
      </m:item>
      <m:item xlName="_GBC_acb1a94c1dfd4cf18e740daaa1c1150f" concept="clcid-pte:QiTaShouYi" label="其他收益" periodRef="上年同期数" mulRef="_GBC_12755937dc3b48a489abda6cc5cda8d6" unitRef="_GBC_3daaaf66c73e4201b067378f3d17e13f" addr="T0R3C2S1_1" formatStyle="Comma" appId="_GBC_86fde94b0d4e4b1f997adc6f063babf7">
        <m:complexRule comparator="Eq" title="其他收益@上年同期数" test=" $_GBC_3b10f9a2ed7a401c97d14f8c6f2c4515" id="C99ea9cd088a44fd99e1e1823ad676346"/>
      </m:item>
      <m:item xlName="_GBC_9489a93c45754a9ea78d3a872093a735" concept="clcid-pte:CaiWuBaoBiaoQiTaShouYiQiTaShuoMing" label="财务报表其他收益其他说明" appId="_GBC_86fde94b0d4e4b1f997adc6f063babf7"/>
    </m:section>
    <m:section xlName="_SEC_56e74a133dff4dcebe7ed76c1a92a2e5" title="投资收益   单位：元币种：人民币项目本期发生额上期发..." isPatch="true" helpText="填写时注意区分新会计准则和旧会计准则适用的明细科目">
      <m:item xlName="_GBC_39356fd9dd9e4f5497d61d781210b2fe" concept="clcid-ci-ar:ShiFouShiYongTouZiShouYi" label="是否适用：投资收益" selectOptions="_buildInAppliance" controlType="CustomCheckbox" cRanges="[{&quot;StartName&quot;:&quot;_GBC_39356fd9dd9e4f5497d61d781210b2fe&quot;,&quot;EndName&quot;:&quot;_GBC_911712f239a14e98b4c6c89180ceef27&quot;,&quot;CType&quot;:1}]"/>
      <m:item xlName="_GBC_8785b82a02ca4b0db1de3227128775b4" concept="clcid-ci-ar:DanWeiCaiWuFuZhuKuaiJiBaoBiaoZhongDeTouZiShouYiXiangMuZengJia" label="单位：财务附注：会计报表中的投资收益项目增加" selectOptions="_buildInScales" controlType="Combobox" cellType="Scale" appId="_GBC_39356fd9dd9e4f5497d61d781210b2fe"/>
      <m:item xlName="_GBC_c4394dc445a94e9a8a4b83889c79fcb1" concept="clcid-ci-ar:BiZhongCaiWuFuZhuKuaiJiBaoBiaoZhongDeTouZiShouYiXiangMuZengJia" label="币种：财务附注：会计报表中的投资收益项目增加" selectOptions="_buildInISO4217" controlType="Combobox" cellType="Measure" appId="_GBC_39356fd9dd9e4f5497d61d781210b2fe"/>
      <m:placeholder xlName="_PLD_2fef67a5db2c453288257a2dfe03fd6e" addr="T0R0C0S1_1"/>
      <m:placeholder xlName="_PLD_3f927d0ff25c47abb0f9b18794554af6" addr="T0R0C1S1_1"/>
      <m:placeholder xlName="_PLD_a6cbfed1438f48b7947079a5821a9eba" addr="T0R0C2S1_1"/>
      <m:placeholder xlName="_PLD_095c5821555f4f22a6901c43ff8cf9ed" addr="T0R1C0S1_1"/>
      <m:item xlName="_GBC_f5d11618944647f1b50dc038b6d44450" concept="clcid-pte:ChangQiTouZiQuanYiFaHeJi" label="长期投资权益法合计" mulRef="_GBC_8785b82a02ca4b0db1de3227128775b4" unitRef="_GBC_c4394dc445a94e9a8a4b83889c79fcb1" addr="T0R1C1S1_1" formatStyle="Comma" appId="_GBC_39356fd9dd9e4f5497d61d781210b2fe"/>
      <m:item xlName="_GBC_300ce56c731944f9ac620991627f6b39" concept="clcid-pte:ChangQiTouZiQuanYiFaHeJi" label="长期投资权益法合计" periodRef="上年同期数" mulRef="_GBC_8785b82a02ca4b0db1de3227128775b4" unitRef="_GBC_c4394dc445a94e9a8a4b83889c79fcb1" addr="T0R1C2S1_1" formatStyle="Comma" appId="_GBC_39356fd9dd9e4f5497d61d781210b2fe"/>
      <m:placeholder xlName="_PLD_bf1f8f83597a458db5a601500b855dc3" addr="T0R2C0S1_1"/>
      <m:item xlName="_GBC_8d072e4d3f184d8e99f255d3973463db" concept="clcid-pte:ChuZhiChangQiGuQuanTouZiChanShengDeTouZiShouYi" label="处置长期股权投资产生的投资收益" mulRef="_GBC_8785b82a02ca4b0db1de3227128775b4" unitRef="_GBC_c4394dc445a94e9a8a4b83889c79fcb1" addr="T0R2C1S1_1" formatStyle="Comma" appId="_GBC_39356fd9dd9e4f5497d61d781210b2fe"/>
      <m:item xlName="_GBC_1ea8fee3294944f196d95a059594896e" concept="clcid-pte:ChuZhiChangQiGuQuanTouZiChanShengDeTouZiShouYi" label="处置长期股权投资产生的投资收益" periodRef="上年同期数" mulRef="_GBC_8785b82a02ca4b0db1de3227128775b4" unitRef="_GBC_c4394dc445a94e9a8a4b83889c79fcb1" addr="T0R2C2S1_1" formatStyle="Comma" appId="_GBC_39356fd9dd9e4f5497d61d781210b2fe"/>
      <m:placeholder xlName="_PLD_6531b310ca654e5892cc88bec130b5fa" addr="T0R3C0S1_1"/>
      <m:item xlName="_GBC_54e2176d15ac4cd18cfed0e8dbaec488" concept="clcid-pte:ChiYouJiaoYiXingJinRongZiChanQiJianQuDeDeTouZiShouYi" label="持有交易性金融资产期间取得的投资收益" mulRef="_GBC_8785b82a02ca4b0db1de3227128775b4" unitRef="_GBC_c4394dc445a94e9a8a4b83889c79fcb1" addr="T0R3C1S1_1" formatStyle="Comma" appId="_GBC_39356fd9dd9e4f5497d61d781210b2fe"/>
      <m:item xlName="_GBC_18f45f04fc214bec917e7dc18dae7bba" concept="clcid-pte:ChiYouJiaoYiXingJinRongZiChanQiJianQuDeDeTouZiShouYi" label="持有交易性金融资产期间取得的投资收益" periodRef="上年同期数" mulRef="_GBC_8785b82a02ca4b0db1de3227128775b4" unitRef="_GBC_c4394dc445a94e9a8a4b83889c79fcb1" addr="T0R3C2S1_1" formatStyle="Comma" appId="_GBC_39356fd9dd9e4f5497d61d781210b2fe"/>
      <m:placeholder xlName="_PLD_28dcbb5f7e914848bb4a21be0e982758" addr="T0R4C0S1_1"/>
      <m:item xlName="_GBC_26ba22b71d2643a59a4ee1af60d875a9" concept="clcid-pte:QiTaQuanYiGongJuTouZiChiYouQiJianQuDeDeGuLiShouRu" label="其他权益工具投资持有期间取得的股利收入" mulRef="_GBC_8785b82a02ca4b0db1de3227128775b4" unitRef="_GBC_c4394dc445a94e9a8a4b83889c79fcb1" addr="T0R4C1S1_1" formatStyle="Comma" appId="_GBC_39356fd9dd9e4f5497d61d781210b2fe"/>
      <m:item xlName="_GBC_01c89ce1edf84edd8a6672292f1c131b" concept="clcid-pte:QiTaQuanYiGongJuTouZiChiYouQiJianQuDeDeGuLiShouRu" label="其他权益工具投资持有期间取得的股利收入" periodRef="上年同期数" mulRef="_GBC_8785b82a02ca4b0db1de3227128775b4" unitRef="_GBC_c4394dc445a94e9a8a4b83889c79fcb1" addr="T0R4C2S1_1" formatStyle="Comma" appId="_GBC_39356fd9dd9e4f5497d61d781210b2fe"/>
      <m:placeholder xlName="_PLD_b254e5b9458e464aa9729f2f2c372a99" addr="T0R5C0S1_1"/>
      <m:item xlName="_GBC_76c44ab45c594994b6548b07a44b07a8" concept="clcid-pte:ZhaiQuanTouZiChiYouQiJianQuDeDeLiXiShouRu" label="债权投资持有期间取得的利息收入" mulRef="_GBC_8785b82a02ca4b0db1de3227128775b4" unitRef="_GBC_c4394dc445a94e9a8a4b83889c79fcb1" addr="T0R5C1S1_1" formatStyle="Comma" appId="_GBC_39356fd9dd9e4f5497d61d781210b2fe"/>
      <m:item xlName="_GBC_a9068aae37ff4fc6836c4baac5d86d51" concept="clcid-pte:ZhaiQuanTouZiChiYouQiJianQuDeDeLiXiShouRu" label="债权投资持有期间取得的利息收入" periodRef="上年同期数" mulRef="_GBC_8785b82a02ca4b0db1de3227128775b4" unitRef="_GBC_c4394dc445a94e9a8a4b83889c79fcb1" addr="T0R5C2S1_1" formatStyle="Comma" appId="_GBC_39356fd9dd9e4f5497d61d781210b2fe"/>
      <m:placeholder xlName="_PLD_ded52f1fb6684e51b89c9ed12a41c791" addr="T0R6C0S1_1"/>
      <m:item xlName="_GBC_9382392f6af940bfa43f58403db7dcf2" concept="clcid-pte:QiTaZhaiQuanTouZiChiYouQiJianQuDeDeLiXiShouRu" label="其他债权投资持有期间取得的利息收入" mulRef="_GBC_8785b82a02ca4b0db1de3227128775b4" unitRef="_GBC_c4394dc445a94e9a8a4b83889c79fcb1" addr="T0R6C1S1_1" formatStyle="Comma" appId="_GBC_39356fd9dd9e4f5497d61d781210b2fe"/>
      <m:item xlName="_GBC_5affefe8b3ca42189b4569881c820a29" concept="clcid-pte:QiTaZhaiQuanTouZiChiYouQiJianQuDeDeLiXiShouRu" label="其他债权投资持有期间取得的利息收入" periodRef="上年同期数" mulRef="_GBC_8785b82a02ca4b0db1de3227128775b4" unitRef="_GBC_c4394dc445a94e9a8a4b83889c79fcb1" addr="T0R6C2S1_1" formatStyle="Comma" appId="_GBC_39356fd9dd9e4f5497d61d781210b2fe"/>
      <m:placeholder xlName="_PLD_3fb066cc533f4905803faa53dcf2b7bb" addr="T0R7C0S1_1"/>
      <m:item xlName="_GBC_483da96c674d4ce5ac0bb8c8ac165206" concept="clcid-pte:ChuZhiJiaoYiXingJinRongZiChanQuDeDeTouZiShouYi" label="处置交易性金融资产取得的投资收益" mulRef="_GBC_8785b82a02ca4b0db1de3227128775b4" unitRef="_GBC_c4394dc445a94e9a8a4b83889c79fcb1" addr="T0R7C1S1_1" formatStyle="Comma" appId="_GBC_39356fd9dd9e4f5497d61d781210b2fe"/>
      <m:item xlName="_GBC_78e160ac64eb4fa695a4bfcb3014fe6f" concept="clcid-pte:ChuZhiJiaoYiXingJinRongZiChanQuDeDeTouZiShouYi" label="处置交易性金融资产取得的投资收益" periodRef="上年同期数" mulRef="_GBC_8785b82a02ca4b0db1de3227128775b4" unitRef="_GBC_c4394dc445a94e9a8a4b83889c79fcb1" addr="T0R7C2S1_1" formatStyle="Comma" appId="_GBC_39356fd9dd9e4f5497d61d781210b2fe"/>
      <m:placeholder xlName="_PLD_dcb9706cbed545dd9e65917962412de7" addr="T0R8C0S1_1"/>
      <m:item xlName="_GBC_6a8afa810bc7449394be6a4c6589569a" concept="clcid-pte:ChuZhiQiTaQuanYiGongJuTouZiQuDeDeTouZiShouYi" label="处置其他权益工具投资取得的投资收益" mulRef="_GBC_8785b82a02ca4b0db1de3227128775b4" unitRef="_GBC_c4394dc445a94e9a8a4b83889c79fcb1" addr="T0R8C1S1_1" formatStyle="Comma" appId="_GBC_39356fd9dd9e4f5497d61d781210b2fe"/>
      <m:item xlName="_GBC_bab5b0d75edb4042a74b9ba854235171" concept="clcid-pte:ChuZhiQiTaQuanYiGongJuTouZiQuDeDeTouZiShouYi" label="处置其他权益工具投资取得的投资收益" periodRef="上年同期数" mulRef="_GBC_8785b82a02ca4b0db1de3227128775b4" unitRef="_GBC_c4394dc445a94e9a8a4b83889c79fcb1" addr="T0R8C2S1_1" formatStyle="Comma" appId="_GBC_39356fd9dd9e4f5497d61d781210b2fe"/>
      <m:placeholder xlName="_PLD_edb592df302047c68b5387ad8d561632" addr="T0R9C0S1_1"/>
      <m:item xlName="_GBC_b4a76353b645469ea79d7e54f64e1968" concept="clcid-pte:ChuZhiZhaiQuanTouZiQuDeDeTouZiShouYi" label="处置债权投资取得的投资收益" mulRef="_GBC_8785b82a02ca4b0db1de3227128775b4" unitRef="_GBC_c4394dc445a94e9a8a4b83889c79fcb1" addr="T0R9C1S1_1" formatStyle="Comma" appId="_GBC_39356fd9dd9e4f5497d61d781210b2fe"/>
      <m:item xlName="_GBC_2fefbe2c188e4d96921dd3122f20930c" concept="clcid-pte:ChuZhiZhaiQuanTouZiQuDeDeTouZiShouYi" label="处置债权投资取得的投资收益" periodRef="上年同期数" mulRef="_GBC_8785b82a02ca4b0db1de3227128775b4" unitRef="_GBC_c4394dc445a94e9a8a4b83889c79fcb1" addr="T0R9C2S1_1" formatStyle="Comma" appId="_GBC_39356fd9dd9e4f5497d61d781210b2fe"/>
      <m:placeholder xlName="_PLD_dc0f3709523f48178820977d785b7da6" addr="T0R10C0S1_1"/>
      <m:item xlName="_GBC_ef1617029324446d9e1674cf8ca9f6c0" concept="clcid-pte:ChuZhiQiTaZhaiQuanTouZiQuDeDeTouZiShouYi" label="处置其他债权投资取得的投资收益" mulRef="_GBC_8785b82a02ca4b0db1de3227128775b4" unitRef="_GBC_c4394dc445a94e9a8a4b83889c79fcb1" addr="T0R10C1S1_1" formatStyle="Comma" appId="_GBC_39356fd9dd9e4f5497d61d781210b2fe"/>
      <m:item xlName="_GBC_ca38b5f549494976bd9bd57d91836097" concept="clcid-pte:ChuZhiQiTaZhaiQuanTouZiQuDeDeTouZiShouYi" label="处置其他债权投资取得的投资收益" periodRef="上年同期数" mulRef="_GBC_8785b82a02ca4b0db1de3227128775b4" unitRef="_GBC_c4394dc445a94e9a8a4b83889c79fcb1" addr="T0R10C2S1_1" formatStyle="Comma" appId="_GBC_39356fd9dd9e4f5497d61d781210b2fe"/>
      <m:placeholder xlName="_PLD_18b10b9b403845379f03997fe0958d79" addr="T0R11C0S1_1"/>
      <m:item xlName="_GBC_c70580cd61f04fc2994de0778193f0a5" concept="clcid-pte:ZhaiWuZhongZuShouYi" label="债务重组收益" mulRef="_GBC_8785b82a02ca4b0db1de3227128775b4" unitRef="_GBC_c4394dc445a94e9a8a4b83889c79fcb1" addr="T0R11C1S1_1" formatStyle="Comma" appId="_GBC_39356fd9dd9e4f5497d61d781210b2fe"/>
      <m:item xlName="_GBC_b10274c33a754ff989f0ebcf7f7ab8c0" concept="clcid-pte:ZhaiWuZhongZuShouYi" label="债务重组收益" periodRef="上年同期数" mulRef="_GBC_8785b82a02ca4b0db1de3227128775b4" unitRef="_GBC_c4394dc445a94e9a8a4b83889c79fcb1" addr="T0R11C2S1_1" formatStyle="Comma" appId="_GBC_39356fd9dd9e4f5497d61d781210b2fe"/>
      <m:tuple xlName="_TUP_1e4670059c8948749cda0c0baf7948f3" concept="clcid-pte:QiTaTouZiShouYi" default_row="2" addr="T0R12C">
        <m:item xlName="_GBC_fa25812a0c9742388774f748ef44bfa0" concept="clcid-pte:QiTaTouZiShouYiXiangMu" label="其他投资收益项目" addr="T0R12C0S1_1" appId="_GBC_39356fd9dd9e4f5497d61d781210b2fe"/>
        <m:item xlName="_GBC_95ffd1a5c5624235b271063543c35698" concept="clcid-pte:QiTaTouZiShouYiMingXiJinE" label="其他投资收益明细－金额" mulRef="_GBC_8785b82a02ca4b0db1de3227128775b4" unitRef="_GBC_c4394dc445a94e9a8a4b83889c79fcb1" addr="T0R12C1S1_1" formatStyle="Comma" appId="_GBC_39356fd9dd9e4f5497d61d781210b2fe"/>
        <m:item xlName="_GBC_e40609e0362942a298870d4d09d12e0f" concept="clcid-pte:QiTaTouZiShouYiMingXiJinE" label="其他投资收益明细－金额" periodRef="上年同期数" mulRef="_GBC_8785b82a02ca4b0db1de3227128775b4" unitRef="_GBC_c4394dc445a94e9a8a4b83889c79fcb1" addr="T0R12C2S1_1" formatStyle="Comma" appId="_GBC_39356fd9dd9e4f5497d61d781210b2fe"/>
      </m:tuple>
      <m:placeholder xlName="_PLD_11e45f17edee4a0fa17110849cf94fad" addr="T0R14C0S1_1"/>
      <m:item xlName="_GBC_414bcb87789a46beb9f15fc91b8a0fbe" concept="clcid-pte:TouZiShouYi" label="投资收益" mulRef="_GBC_8785b82a02ca4b0db1de3227128775b4" unitRef="_GBC_c4394dc445a94e9a8a4b83889c79fcb1" addr="T0R14C1S1_1" formatStyle="Comma" appId="_GBC_39356fd9dd9e4f5497d61d781210b2fe">
        <m:complexRule comparator="Eq" title="投资收益" test=" $_GBC_f5d11618944647f1b50dc038b6d44450 +  $_GBC_8d072e4d3f184d8e99f255d3973463db +  $_GBC_54e2176d15ac4cd18cfed0e8dbaec488 +  $_GBC_26ba22b71d2643a59a4ee1af60d875a9 +  $_GBC_76c44ab45c594994b6548b07a44b07a8 +  $_GBC_9382392f6af940bfa43f58403db7dcf2 +  $_GBC_483da96c674d4ce5ac0bb8c8ac165206 +  $_GBC_6a8afa810bc7449394be6a4c6589569a +  $_GBC_b4a76353b645469ea79d7e54f64e1968 +  $_GBC_ef1617029324446d9e1674cf8ca9f6c0 +  $_GBC_95ffd1a5c5624235b271063543c35698 +  $_GBC_c70580cd61f04fc2994de0778193f0a5" id="C1b37bf1aea8c480e968eb3267bd3c22c"/>
      </m:item>
      <m:item xlName="_GBC_25501bef0eb04710a73ba16d68a0c462" concept="clcid-pte:TouZiShouYi" label="投资收益" periodRef="上年同期数" mulRef="_GBC_8785b82a02ca4b0db1de3227128775b4" unitRef="_GBC_c4394dc445a94e9a8a4b83889c79fcb1" addr="T0R14C2S1_1" formatStyle="Comma" appId="_GBC_39356fd9dd9e4f5497d61d781210b2fe">
        <m:complexRule comparator="Eq" title="投资收益@上年同期数" test=" $_GBC_300ce56c731944f9ac620991627f6b39 +  $_GBC_1ea8fee3294944f196d95a059594896e +  $_GBC_18f45f04fc214bec917e7dc18dae7bba +  $_GBC_01c89ce1edf84edd8a6672292f1c131b +  $_GBC_a9068aae37ff4fc6836c4baac5d86d51 +  $_GBC_5affefe8b3ca42189b4569881c820a29 +  $_GBC_78e160ac64eb4fa695a4bfcb3014fe6f +  $_GBC_bab5b0d75edb4042a74b9ba854235171 +  $_GBC_2fefbe2c188e4d96921dd3122f20930c +  $_GBC_ca38b5f549494976bd9bd57d91836097 +  $_GBC_e40609e0362942a298870d4d09d12e0f +  $_GBC_b10274c33a754ff989f0ebcf7f7ab8c0" id="Ce3e0f22bfa9a4a9abb673908cfdb6b32"/>
      </m:item>
      <m:item xlName="_GBC_911712f239a14e98b4c6c89180ceef27" concept="clcid-pte:TouZiShouYiShuoMing" label="投资收益说明" appId="_GBC_39356fd9dd9e4f5497d61d781210b2fe"/>
    </m:section>
    <m:section xlName="_SEC_cbd8186e9cf3452cab63fa24a69149bc" title="净敞口套期收益" helpId="112002276">
      <m:item xlName="_GBC_33e106b71ec640cd9126570421557bda" concept="clcid-ci-ar:ShiFouShiYongJingChangKouTaoQiShouYi" label="是否适用：净敞口套期收益" selectOptions="_buildInAppliance" controlType="CustomCheckbox" cRanges="[{&quot;StartName&quot;:&quot;_GBC_33e106b71ec640cd9126570421557bda&quot;,&quot;EndName&quot;:&quot;_GBC_7fa3b1cc5e10497f8025b9d557c9f47d&quot;,&quot;CType&quot;:1}]"/>
      <m:item xlName="_GBC_2da41f74f3384a2cbb420c44f3789bf2" concept="clcid-ci-ar:DanWeiJingChangKouTaoQiShouYi" label="单位：净敞口套期收益" selectOptions="_buildInScales" controlType="Combobox" cellType="Scale" appId="_GBC_33e106b71ec640cd9126570421557bda"/>
      <m:item xlName="_GBC_5c2a5fb8565c4407a283c6073b989a3e" concept="clcid-ci-ar:BiZhongJingChangKouTaoQiShouYi" label="币种：净敞口套期收益" selectOptions="_buildInISO4217" controlType="Combobox" cellType="Measure" appId="_GBC_33e106b71ec640cd9126570421557bda"/>
      <m:placeholder xlName="_PLD_21405f5115ce4df7ae312068797d44de" addr="T0R0C0S1_1"/>
      <m:placeholder xlName="_PLD_1d3cd0bf88524496a6fefc70ebdcce18" addr="T0R0C1S1_1"/>
      <m:placeholder xlName="_PLD_61c9557f73574a508c07a2ccfeab8719" addr="T0R0C2S1_1"/>
      <m:tuple xlName="_TUP_deed899ed483409dbb174289697098e2" concept="clcid-pte:JingChangKouTaoQiShouYiMingXi" default_row="2" addr="T0R1C">
        <m:item xlName="_GBC_60ae6bddc197463088b89e0c10edcd65" concept="clcid-pte:JingChangKouTaoQiShouYiMingXiXiangMu" label="净敞口套期收益明细-项目" addr="T0R1C0S1_1" appId="_GBC_33e106b71ec640cd9126570421557bda"/>
        <m:item xlName="_GBC_4af87978b2544513b64f14018a2864fe" concept="clcid-pte:JingChangKouTaoQiShouYiMingXiFaShengE" label="净敞口套期收益明细-发生额" mulRef="_GBC_2da41f74f3384a2cbb420c44f3789bf2" unitRef="_GBC_5c2a5fb8565c4407a283c6073b989a3e" addr="T0R1C1S1_1" formatStyle="Comma" appId="_GBC_33e106b71ec640cd9126570421557bda"/>
        <m:item xlName="_GBC_ed180ea7622e49fe82f3e3056971663d" concept="clcid-pte:JingChangKouTaoQiShouYiMingXiFaShengE" label="净敞口套期收益明细-发生额" periodRef="上年同期数" mulRef="_GBC_2da41f74f3384a2cbb420c44f3789bf2" unitRef="_GBC_5c2a5fb8565c4407a283c6073b989a3e" addr="T0R1C2S1_1" formatStyle="Comma" appId="_GBC_33e106b71ec640cd9126570421557bda"/>
      </m:tuple>
      <m:placeholder xlName="_PLD_3e47f8605726453da6e6239d56f7e5e5" addr="T0R3C0S1_1"/>
      <m:item xlName="_GBC_13e13e0aba714a7b986a03fc146f60a7" concept="clcid-pte:JingChangKouTaoQiShouYi" label="净敞口套期收益" mulRef="_GBC_2da41f74f3384a2cbb420c44f3789bf2" unitRef="_GBC_5c2a5fb8565c4407a283c6073b989a3e" addr="T0R3C1S1_1" formatStyle="Comma" appId="_GBC_33e106b71ec640cd9126570421557bda">
        <m:complexRule comparator="Eq" title="净敞口套期收益" test=" $_GBC_4af87978b2544513b64f14018a2864fe" id="C01e29faa64d34eca8962f21eabb73d7d"/>
      </m:item>
      <m:item xlName="_GBC_bc11f9de05e14fdc907dfe6310dc81ef" concept="clcid-pte:JingChangKouTaoQiShouYi" label="净敞口套期收益" periodRef="上年同期数" mulRef="_GBC_2da41f74f3384a2cbb420c44f3789bf2" unitRef="_GBC_5c2a5fb8565c4407a283c6073b989a3e" addr="T0R3C2S1_1" formatStyle="Comma" appId="_GBC_33e106b71ec640cd9126570421557bda">
        <m:complexRule comparator="Eq" title="净敞口套期收益@上年同期数" test=" $_GBC_ed180ea7622e49fe82f3e3056971663d" id="C2a8559b060674ee1bf91dd375433eda0"/>
      </m:item>
      <m:item xlName="_GBC_7fa3b1cc5e10497f8025b9d557c9f47d" concept="clcid-pte:JingChangKouTaoQiShouYiQiTaShuoMing" label="净敞口套期收益其他说明" appId="_GBC_33e106b71ec640cd9126570421557bda"/>
    </m:section>
    <m:section xlName="_GBC_66e6cb51ec7740408a31ff233ae3330d" title="公允价值变动收益" rules="R2015_R11_025" convertSummaryRule="NoConvert" helpId="112001113">
      <m:item xlName="_GBC_21669fdeb74c4273a55facece1a56109" concept="clcid-ci-ar:ShiFouShiYongGongYunJiaZhiBianDongShouYi" label="是否适用：公允价值变动收益" selectOptions="_buildInAppliance" controlType="CustomCheckbox" cRanges="{&quot;StartName&quot;:&quot;_GBC_21669fdeb74c4273a55facece1a56109&quot;,&quot;EndName&quot;:&quot;_GBC_ca97bf4455704ba1b8c90a97a9d856f0&quot;,&quot;CType&quot;:1,&quot;DisplayText&quot;:null}"/>
      <m:item xlName="_GBC_a2b6fb2423244bbaa3600e1be3b4d548" concept="clcid-ci-ar:DanWeiCaiWuFuZhuGongYunJiaZhiBianDongShouYi" label="单位：财务附注：公允价值变动收益" selectOptions="_buildInScales" controlType="Combobox" cellType="Scale" appId="_GBC_21669fdeb74c4273a55facece1a56109"/>
      <m:item xlName="_GBC_0343c5436a0742acbf5d87cc18c51638" concept="clcid-ci-ar:BiZhongCaiWuFuZhuGongYunJiaZhiBianDongShouYi" label="币种：财务附注：公允价值变动收益" selectOptions="_buildInISO4217" controlType="Combobox" cellType="Measure" appId="_GBC_21669fdeb74c4273a55facece1a56109"/>
      <m:placeholder xlName="_PLD_a07c0df95be549039f5bf24c4a595cbd" addr="T0R0C0S1_1"/>
      <m:placeholder xlName="_PLD_b9803e3282e549d5b5e179588ec75dc3" addr="T0R0C1S1_1"/>
      <m:placeholder xlName="_PLD_943dd94af7be43cd9f57756acf9a8c19" addr="T0R0C2S1_1"/>
      <m:placeholder xlName="_PLD_402b5413aaec4e358e056ca8d9f87b4c" addr="T0R1C0S1_1"/>
      <m:item xlName="_GBC_07ef5f59bb13421a818417254c1e689e" concept="clcid-pte:JiaoYiXingJinRongZiChanChanShengDeGongYunJiaZhiBianDongShouYi" label="交易性金融资产产生的公允价值变动收益" mulRef="_GBC_a2b6fb2423244bbaa3600e1be3b4d548" unitRef="_GBC_0343c5436a0742acbf5d87cc18c51638" addr="T0R1C1S1_1" formatStyle="Comma" appId="_GBC_21669fdeb74c4273a55facece1a56109"/>
      <m:item xlName="_GBC_93831c83463c4836880a1d0962b774ec" concept="clcid-pte:JiaoYiXingJinRongZiChanChanShengDeGongYunJiaZhiBianDongShouYi" label="交易性金融资产产生的公允价值变动收益" periodRef="上年同期数" mulRef="_GBC_a2b6fb2423244bbaa3600e1be3b4d548" unitRef="_GBC_0343c5436a0742acbf5d87cc18c51638" addr="T0R1C2S1_1" formatStyle="Comma" appId="_GBC_21669fdeb74c4273a55facece1a56109"/>
      <m:placeholder xlName="_PLD_8673a4a9fddf4ed2911a769bece72d7a" addr="T0R2C0S1_1"/>
      <m:item xlName="_GBC_305f87c37dac47be8a8a2913f728f44f" concept="clcid-pte:YanShengJinRongGongJuChanShengDeGongYunJiaZhiBianDongShouYi" label="衍生金融工具产生的公允价值变动收益" mulRef="_GBC_a2b6fb2423244bbaa3600e1be3b4d548" unitRef="_GBC_0343c5436a0742acbf5d87cc18c51638" addr="T0R2C1S1_1" formatStyle="Comma" appId="_GBC_21669fdeb74c4273a55facece1a56109"/>
      <m:item xlName="_GBC_87745c3b5811495c97223f41465c45a0" concept="clcid-pte:YanShengJinRongGongJuChanShengDeGongYunJiaZhiBianDongShouYi" label="衍生金融工具产生的公允价值变动收益" periodRef="上年同期数" mulRef="_GBC_a2b6fb2423244bbaa3600e1be3b4d548" unitRef="_GBC_0343c5436a0742acbf5d87cc18c51638" addr="T0R2C2S1_1" formatStyle="Comma" appId="_GBC_21669fdeb74c4273a55facece1a56109"/>
      <m:placeholder xlName="_PLD_3d96c34a09624753b34e51d2472f2a1b" addr="T0R3C0S1_1"/>
      <m:item xlName="_GBC_40bb09630c2c48ec9f8798e5aca84b13" concept="clcid-pte:JiaoYiXingJinRongFuZhaiChanShengDeGongYunJiaZhiBianDongShouYi" label="交易性金融负债（公允价值变动）" mulRef="_GBC_a2b6fb2423244bbaa3600e1be3b4d548" unitRef="_GBC_0343c5436a0742acbf5d87cc18c51638" addr="T0R3C1S1_1" formatStyle="Comma" appId="_GBC_21669fdeb74c4273a55facece1a56109"/>
      <m:item xlName="_GBC_db177fdffd89474da5832977739318f3" concept="clcid-pte:JiaoYiXingJinRongFuZhaiChanShengDeGongYunJiaZhiBianDongShouYi" label="交易性金融负债（公允价值变动）" periodRef="上年同期数" mulRef="_GBC_a2b6fb2423244bbaa3600e1be3b4d548" unitRef="_GBC_0343c5436a0742acbf5d87cc18c51638" addr="T0R3C2S1_1" formatStyle="Comma" appId="_GBC_21669fdeb74c4273a55facece1a56109"/>
      <m:placeholder xlName="_PLD_0b07ec0c5dc249068527848b698bc82a" addr="T0R4C0S1_1"/>
      <m:item xlName="_GBC_7c746b5bd23247b597a1c9886914cd27" concept="clcid-pte:TouZiXingFangDiChanChanShengDeGongYunJiaZhiBianDongShouYi" label="投资性房地产产生的公允价值变动收益" mulRef="_GBC_a2b6fb2423244bbaa3600e1be3b4d548" unitRef="_GBC_0343c5436a0742acbf5d87cc18c51638" addr="T0R4C1S1_1" formatStyle="Comma" appId="_GBC_21669fdeb74c4273a55facece1a56109"/>
      <m:item xlName="_GBC_5440288836c7423ea97829c4ac8e645e" concept="clcid-pte:TouZiXingFangDiChanChanShengDeGongYunJiaZhiBianDongShouYi" label="投资性房地产产生的公允价值变动收益" periodRef="上年同期数" mulRef="_GBC_a2b6fb2423244bbaa3600e1be3b4d548" unitRef="_GBC_0343c5436a0742acbf5d87cc18c51638" addr="T0R4C2S1_1" formatStyle="Comma" appId="_GBC_21669fdeb74c4273a55facece1a56109"/>
      <m:tuple xlName="_TUP_901043d70806435fbba28aa3c0d298b6" concept="clcid-pte:ChanShengGongYunJiaZhiBianDongShouYiDeLaiYuanDeMingXi" default_row="2" addr="T0R5C">
        <m:item xlName="_GBC_78db29cf169742e5927c1107cae8b9fc" concept="clcid-pte:ChanShengGongYunJiaZhiBianDongShouYiDeLaiYuanDeMingXiLaiYuanXiangMu" label="产生公允价值变动收益的来源的明细－来源项目" addr="T0R5C0S1_1" appId="_GBC_21669fdeb74c4273a55facece1a56109"/>
        <m:item xlName="_GBC_3d3c75cfec374363a62dc05e0622fd3f" concept="clcid-pte:ChanShengGongYunJiaZhiBianDongShouYiDeLaiYuanDeMingXiFaShengE" label="产生公允价值变动收益的来源的明细－发生额" mulRef="_GBC_a2b6fb2423244bbaa3600e1be3b4d548" unitRef="_GBC_0343c5436a0742acbf5d87cc18c51638" addr="T0R5C1S1_1" formatStyle="Comma" appId="_GBC_21669fdeb74c4273a55facece1a56109"/>
        <m:item xlName="_GBC_1a7cd06749ab432e82da0e39eabfd31c" concept="clcid-pte:ChanShengGongYunJiaZhiBianDongShouYiDeLaiYuanDeMingXiFaShengE" label="产生公允价值变动收益的来源的明细－发生额" periodRef="上年同期数" mulRef="_GBC_a2b6fb2423244bbaa3600e1be3b4d548" unitRef="_GBC_0343c5436a0742acbf5d87cc18c51638" addr="T0R5C2S1_1" formatStyle="Comma" appId="_GBC_21669fdeb74c4273a55facece1a56109"/>
      </m:tuple>
      <m:placeholder xlName="_PLD_5eb386e2c7144b76b7f1061a9d9942d9" addr="T0R7C0S1_1"/>
      <m:item xlName="_GBC_410dce1ecfef492fb37335e10c577e5d" concept="clcid-pte:GongYunJiaZhiBianDongShouYi" label="公允价值变动收益" mulRef="_GBC_a2b6fb2423244bbaa3600e1be3b4d548" unitRef="_GBC_0343c5436a0742acbf5d87cc18c51638" addr="T0R7C1S1_1" formatStyle="Comma" appId="_GBC_21669fdeb74c4273a55facece1a56109">
        <m:complexRule comparator="Eq" title="公允价值变动收益" test=" $_GBC_07ef5f59bb13421a818417254c1e689e +  $_GBC_40bb09630c2c48ec9f8798e5aca84b13 +  $_GBC_7c746b5bd23247b597a1c9886914cd27 +  $_GBC_3d3c75cfec374363a62dc05e0622fd3f" id="C27b8b5ee53f248b7a24210df021f306a" serialType="1"/>
      </m:item>
      <m:item xlName="_GBC_f421dda9fe9a42dba2a65d3a4c47b75c" concept="clcid-pte:GongYunJiaZhiBianDongShouYi" label="公允价值变动收益" periodRef="上年同期数" mulRef="_GBC_a2b6fb2423244bbaa3600e1be3b4d548" unitRef="_GBC_0343c5436a0742acbf5d87cc18c51638" addr="T0R7C2S1_1" formatStyle="Comma" appId="_GBC_21669fdeb74c4273a55facece1a56109">
        <m:complexRule comparator="Eq" title="公允价值变动收益@上年同期数" test=" $_GBC_93831c83463c4836880a1d0962b774ec +  $_GBC_db177fdffd89474da5832977739318f3 +  $_GBC_5440288836c7423ea97829c4ac8e645e +  $_GBC_1a7cd06749ab432e82da0e39eabfd31c" id="C2b90454c05714f98afec7dbbf68d63f4" serialType="1"/>
      </m:item>
      <m:item xlName="_GBC_ca97bf4455704ba1b8c90a97a9d856f0" concept="clcid-pte:GongYunJiaZhiBianDongShouYiDeShuoMing" label="公允价值变动收益的说明" appId="_GBC_21669fdeb74c4273a55facece1a56109"/>
    </m:section>
    <m:section xlName="_SEC_87edd713957c4f11900f8738aeba1216" title="">
      <m:item xlName="_GBC_091d631028b64a0dbabe3c252fdf5712" concept="clcid-ci-ar:ShiFouShiYongXinYongJianZhiSunShi" label="是否适用：信用减值损失" selectOptions="_buildInAppliance" controlType="CustomCheckbox" cRanges="[{&quot;StartName&quot;:&quot;_GBC_091d631028b64a0dbabe3c252fdf5712&quot;,&quot;EndName&quot;:&quot;_GBC_bb0ec45413144929857be6dfa37bb50b&quot;,&quot;CType&quot;:1}]"/>
      <m:item xlName="_GBC_be6f29e88d6d4a459d7640ec9d687c98" concept="clcid-ci-ar:DanWeiXinYongJianZhiSunShi" label="单位：信用减值损失" selectOptions="_buildInScales" controlType="Combobox" cellType="Scale" appId="_GBC_091d631028b64a0dbabe3c252fdf5712"/>
      <m:item xlName="_GBC_7bb1c4130f5c47cdbfa091247dbf05dc" concept="clcid-ci-ar:BiZhongXinYongJianZhiSunShi" label="币种：信用减值损失" selectOptions="_buildInISO4217" controlType="Combobox" cellType="Measure" appId="_GBC_091d631028b64a0dbabe3c252fdf5712"/>
      <m:placeholder xlName="_PLD_64ee29c5c67448b288248caa86e974a6" addr="T0R0C0S1_1"/>
      <m:placeholder xlName="_PLD_560d3fc458c74be7aaa6d31bdfb4da69" addr="T0R0C1S1_1"/>
      <m:placeholder xlName="_PLD_4dbd931f6768425793e565db22a0fbd4" addr="T0R0C2S1_1"/>
      <m:placeholder xlName="_PLD_ef2c9737ec214e14a40a6f09e2459ccb" addr="T0R1C0S1_1"/>
      <m:item xlName="_GBC_86ddeb04200d408892e9d4147e93da43" concept="clcid-pte:YingShouPiaoJuHuaiZhangSunShi" label="应收票据坏账损失" mulRef="_GBC_be6f29e88d6d4a459d7640ec9d687c98" unitRef="_GBC_7bb1c4130f5c47cdbfa091247dbf05dc" addr="T0R1C1S1_1" formatStyle="Comma" appId="_GBC_091d631028b64a0dbabe3c252fdf5712"/>
      <m:item xlName="_GBC_0383f8b4dca24a26ad0988c6f40dbf0c" concept="clcid-pte:YingShouPiaoJuHuaiZhangSunShi" label="应收票据坏账损失" periodRef="上年同期数" mulRef="_GBC_be6f29e88d6d4a459d7640ec9d687c98" unitRef="_GBC_7bb1c4130f5c47cdbfa091247dbf05dc" addr="T0R1C2S1_1" formatStyle="Comma" appId="_GBC_091d631028b64a0dbabe3c252fdf5712"/>
      <m:placeholder xlName="_PLD_18ea6a1502d94e719ef09009f3e7b0cc" addr="T0R2C0S1_1"/>
      <m:item xlName="_GBC_3b2a4bfe921940938223f7106973f51d" concept="clcid-pte:YingShouZhangKuanHuaiZhangSunShi" label="应收账款坏账损失" mulRef="_GBC_be6f29e88d6d4a459d7640ec9d687c98" unitRef="_GBC_7bb1c4130f5c47cdbfa091247dbf05dc" addr="T0R2C1S1_1" formatStyle="Comma" appId="_GBC_091d631028b64a0dbabe3c252fdf5712"/>
      <m:item xlName="_GBC_32a0038ed48340749b956b34ea4a96f5" concept="clcid-pte:YingShouZhangKuanHuaiZhangSunShi" label="应收账款坏账损失" periodRef="上年同期数" mulRef="_GBC_be6f29e88d6d4a459d7640ec9d687c98" unitRef="_GBC_7bb1c4130f5c47cdbfa091247dbf05dc" addr="T0R2C2S1_1" formatStyle="Comma" appId="_GBC_091d631028b64a0dbabe3c252fdf5712"/>
      <m:placeholder xlName="_PLD_183b461709384c1dad0a5ada5156e0c2" addr="T0R3C0S1_1"/>
      <m:item xlName="_GBC_8a6f292763bf418c8725f18a6674520d" concept="clcid-pte:QiTaYingShouKuanHuaiZhangSunShi" label="其他应收款坏账损失" mulRef="_GBC_be6f29e88d6d4a459d7640ec9d687c98" unitRef="_GBC_7bb1c4130f5c47cdbfa091247dbf05dc" addr="T0R3C1S1_1" formatStyle="Comma" appId="_GBC_091d631028b64a0dbabe3c252fdf5712"/>
      <m:item xlName="_GBC_6498c11c5f8e4d5a9f31bf5ca2d49632" concept="clcid-pte:QiTaYingShouKuanHuaiZhangSunShi" label="其他应收款坏账损失" periodRef="上年同期数" mulRef="_GBC_be6f29e88d6d4a459d7640ec9d687c98" unitRef="_GBC_7bb1c4130f5c47cdbfa091247dbf05dc" addr="T0R3C2S1_1" formatStyle="Comma" appId="_GBC_091d631028b64a0dbabe3c252fdf5712"/>
      <m:placeholder xlName="_PLD_ac8555873eee4a0b8a88028018d33862" addr="T0R4C0S1_1"/>
      <m:item xlName="_GBC_b1b8deedeb4142f2bacbfee4f035c3c4" concept="clcid-pte:ZhaiQuanTouZiJianZhiSunShi" label="债权投资减值损失" mulRef="_GBC_be6f29e88d6d4a459d7640ec9d687c98" unitRef="_GBC_7bb1c4130f5c47cdbfa091247dbf05dc" addr="T0R4C1S1_1" formatStyle="Comma" appId="_GBC_091d631028b64a0dbabe3c252fdf5712"/>
      <m:item xlName="_GBC_8fcddb8346ef468bab3d031a9e8d4525" concept="clcid-pte:ZhaiQuanTouZiJianZhiSunShi" label="债权投资减值损失" periodRef="上年同期数" mulRef="_GBC_be6f29e88d6d4a459d7640ec9d687c98" unitRef="_GBC_7bb1c4130f5c47cdbfa091247dbf05dc" addr="T0R4C2S1_1" formatStyle="Comma" appId="_GBC_091d631028b64a0dbabe3c252fdf5712"/>
      <m:placeholder xlName="_PLD_bc847f600d3e4663b17f47f68007ad6e" addr="T0R5C0S1_1"/>
      <m:item xlName="_GBC_f06b8581290c4a179809d0a1419dd7fe" concept="clcid-pte:QiTaZhaiQuanTouZiJianZhiSunShi" label="其他债权投资减值损失" mulRef="_GBC_be6f29e88d6d4a459d7640ec9d687c98" unitRef="_GBC_7bb1c4130f5c47cdbfa091247dbf05dc" addr="T0R5C1S1_1" formatStyle="Comma" appId="_GBC_091d631028b64a0dbabe3c252fdf5712"/>
      <m:item xlName="_GBC_89c54af48ddd42e2b4ba334861b5f64d" concept="clcid-pte:QiTaZhaiQuanTouZiJianZhiSunShi" label="其他债权投资减值损失" periodRef="上年同期数" mulRef="_GBC_be6f29e88d6d4a459d7640ec9d687c98" unitRef="_GBC_7bb1c4130f5c47cdbfa091247dbf05dc" addr="T0R5C2S1_1" formatStyle="Comma" appId="_GBC_091d631028b64a0dbabe3c252fdf5712"/>
      <m:placeholder xlName="_PLD_2cfae99c64b44f6089efa40a283c1bfc" addr="T0R6C0S1_1"/>
      <m:item xlName="_GBC_3b9eedef935a4c8bafbc5e1ac7701145" concept="clcid-pte:ChangQiYingShouKuanHuaiZhangSunShi" label="长期应收款坏账损失" mulRef="_GBC_be6f29e88d6d4a459d7640ec9d687c98" unitRef="_GBC_7bb1c4130f5c47cdbfa091247dbf05dc" addr="T0R6C1S1_1" formatStyle="Comma" appId="_GBC_091d631028b64a0dbabe3c252fdf5712"/>
      <m:item xlName="_GBC_5b4e1365a22142a29ad473c9dc397626" concept="clcid-pte:ChangQiYingShouKuanHuaiZhangSunShi" label="长期应收款坏账损失" periodRef="上年同期数" mulRef="_GBC_be6f29e88d6d4a459d7640ec9d687c98" unitRef="_GBC_7bb1c4130f5c47cdbfa091247dbf05dc" addr="T0R6C2S1_1" formatStyle="Comma" appId="_GBC_091d631028b64a0dbabe3c252fdf5712"/>
      <m:placeholder xlName="_PLD_c9ebf2faffa4479588376e81b1db922b" addr="T0R7C0S1_1"/>
      <m:item xlName="_GBC_f49c2a7f00d347c3b418848483d2c1ac" concept="clcid-pte:HeTongZiChanJianZhiSunShi" label="合同资产减值损失" mulRef="_GBC_be6f29e88d6d4a459d7640ec9d687c98" unitRef="_GBC_7bb1c4130f5c47cdbfa091247dbf05dc" addr="T0R7C1S1_1" formatStyle="Comma" appId="_GBC_091d631028b64a0dbabe3c252fdf5712"/>
      <m:item xlName="_GBC_71999a75068d4e3ca4201000379e803f" concept="clcid-pte:HeTongZiChanJianZhiSunShi" label="合同资产减值损失" periodRef="上年同期数" mulRef="_GBC_be6f29e88d6d4a459d7640ec9d687c98" unitRef="_GBC_7bb1c4130f5c47cdbfa091247dbf05dc" addr="T0R7C2S1_1" formatStyle="Comma" appId="_GBC_091d631028b64a0dbabe3c252fdf5712"/>
      <m:tuple xlName="_TUP_5de7ab4c13e84bbeb2f7ffab8e8e017a" concept="clcid-pte:XinYongJianZhiSunShiMingXi" default_row="2" addr="T0R8C">
        <m:item xlName="_GBC_5033b0f4e06c448e85ae5bd35e8e0090" concept="clcid-pte:XinYongJianZhiSunShiMingXiXiangMu" label="信用减值损失明细-项目" unitRef="_GBC_7bb1c4130f5c47cdbfa091247dbf05dc" addr="T0R8C0S1_1" appId="_GBC_091d631028b64a0dbabe3c252fdf5712"/>
        <m:item xlName="_GBC_c3fecfebca3244e28b5e2bef4e8819d2" concept="clcid-pte:XinYongJianZhiSunShiMingXiFaShengE" label="信用减值损失明细-发生额" mulRef="_GBC_be6f29e88d6d4a459d7640ec9d687c98" unitRef="_GBC_7bb1c4130f5c47cdbfa091247dbf05dc" addr="T0R8C1S1_1" formatStyle="Comma" appId="_GBC_091d631028b64a0dbabe3c252fdf5712"/>
        <m:item xlName="_GBC_0eeb3dc0d0264b299228d6af578990dc" concept="clcid-pte:XinYongJianZhiSunShiMingXiFaShengE" label="信用减值损失明细-发生额" periodRef="上年同期数" mulRef="_GBC_be6f29e88d6d4a459d7640ec9d687c98" unitRef="_GBC_7bb1c4130f5c47cdbfa091247dbf05dc" addr="T0R8C2S1_1" formatStyle="Comma" appId="_GBC_091d631028b64a0dbabe3c252fdf5712"/>
      </m:tuple>
      <m:placeholder xlName="_PLD_a280344d67cd4d1392e8972abbb82e72" addr="T0R10C0S1_1"/>
      <m:item xlName="_GBC_cf56bbfab14a4399868430f409a98a7e" concept="clcid-pte:XinYongJianZhiSunShiJinE" label="信用减值损失金额" mulRef="_GBC_be6f29e88d6d4a459d7640ec9d687c98" unitRef="_GBC_7bb1c4130f5c47cdbfa091247dbf05dc" addr="T0R10C1S1_1" formatStyle="Comma" appId="_GBC_091d631028b64a0dbabe3c252fdf5712">
        <m:complexRule comparator="Eq" title="信用减值损失" test=" $_GBC_8a6f292763bf418c8725f18a6674520d +  $_GBC_b1b8deedeb4142f2bacbfee4f035c3c4 +  $_GBC_f06b8581290c4a179809d0a1419dd7fe +  $_GBC_3b9eedef935a4c8bafbc5e1ac7701145 +  $_GBC_f49c2a7f00d347c3b418848483d2c1ac +  $_GBC_c3fecfebca3244e28b5e2bef4e8819d2 +  $_GBC_86ddeb04200d408892e9d4147e93da43 +  $_GBC_3b2a4bfe921940938223f7106973f51d" id="C2685187ae26a4270baf3ed5a70688289"/>
      </m:item>
      <m:item xlName="_GBC_289b3deacce44663a3fd7ed4e02a0d64" concept="clcid-pte:XinYongJianZhiSunShiJinE" label="信用减值损失金额" periodRef="上年同期数" mulRef="_GBC_be6f29e88d6d4a459d7640ec9d687c98" unitRef="_GBC_7bb1c4130f5c47cdbfa091247dbf05dc" addr="T0R10C2S1_1" formatStyle="Comma" appId="_GBC_091d631028b64a0dbabe3c252fdf5712">
        <m:complexRule comparator="Eq" title="信用减值损失@上年同期数" test=" $_GBC_6498c11c5f8e4d5a9f31bf5ca2d49632 +  $_GBC_8fcddb8346ef468bab3d031a9e8d4525 +  $_GBC_89c54af48ddd42e2b4ba334861b5f64d +  $_GBC_5b4e1365a22142a29ad473c9dc397626 +  $_GBC_71999a75068d4e3ca4201000379e803f +  $_GBC_0eeb3dc0d0264b299228d6af578990dc +  $_GBC_0383f8b4dca24a26ad0988c6f40dbf0c +  $_GBC_32a0038ed48340749b956b34ea4a96f5" id="C51601ce0299443b4bc8c3e27774781cd"/>
      </m:item>
      <m:item xlName="_GBC_bb0ec45413144929857be6dfa37bb50b" concept="clcid-pte:XinYongJianZhiSunShiQiTaShuoMing" label="信用减值损失其他说明" appId="_GBC_091d631028b64a0dbabe3c252fdf5712"/>
    </m:section>
    <m:section xlName="_GBC_e0187e33fb024605af673daabe2f7861" title="资产减值损失" rules="R2015_R11_027" helpId="112001115">
      <m:item xlName="_GBC_7fdc5881d69a48d59383942dbd2c2a3e" concept="clcid-ci-ar:ShiFouShiYongZiChanJianZhiSunShi" label="是否适用：资产减值损失" selectOptions="_buildInAppliance" controlType="CustomCheckbox" cRanges="{&quot;StartName&quot;:&quot;_GBC_7fdc5881d69a48d59383942dbd2c2a3e&quot;,&quot;EndName&quot;:&quot;_GBC_4ebd6f61adb041a3978de7dc7abec263&quot;,&quot;CType&quot;:1,&quot;DisplayText&quot;:null}"/>
      <m:item xlName="_GBC_40ad6c56ceff460ca35db2135628d01d" concept="clcid-ci-ar:DanWeiCaiWuFuZhuZiChanJianZhiSunShi" label="单位：财务附注：资产减值损失" selectOptions="_buildInScales" controlType="Combobox" cellType="Scale" appId="_GBC_7fdc5881d69a48d59383942dbd2c2a3e"/>
      <m:item xlName="_GBC_5e13b42cdca649359964ad50033ab01e" concept="clcid-ci-ar:BiZhongCaiWuFuZhuZiChanJianZhiSunShi" label="币种：财务附注：资产减值损失" selectOptions="_buildInISO4217" controlType="Combobox" cellType="Measure" appId="_GBC_7fdc5881d69a48d59383942dbd2c2a3e"/>
      <m:placeholder xlName="_PLD_1c1b3ab4db9e4468a28086960eda425b" addr="T0R0C0S1_1"/>
      <m:placeholder xlName="_PLD_ab926936cf9d4fc39ab4c469d2ff3166" addr="T0R0C1S1_1"/>
      <m:placeholder xlName="_PLD_8d4d7dadcc9944098ada8da3daaa7668" addr="T0R0C2S1_1"/>
      <m:placeholder xlName="_PLD_9afc5aaccdc84a4391c2537866204dd5" keyAction="62" addr="T0R1C0S1_1"/>
      <m:item xlName="_GBC_2d48969c295643a8a551a249370bcc2b" concept="clcid-pte:HuaiZhangSunShi" label="坏账损失" mulRef="_GBC_40ad6c56ceff460ca35db2135628d01d" unitRef="_GBC_5e13b42cdca649359964ad50033ab01e" addr="T0R1C1S1_1" formatStyle="Comma" appId="_GBC_7fdc5881d69a48d59383942dbd2c2a3e"/>
      <m:item xlName="_GBC_2a2764d0c39e44aabf1a173cd7705299" concept="clcid-pte:HuaiZhangSunShi" label="坏账损失" periodRef="上年同期数" mulRef="_GBC_40ad6c56ceff460ca35db2135628d01d" unitRef="_GBC_5e13b42cdca649359964ad50033ab01e" addr="T0R1C2S1_1" formatStyle="Comma" appId="_GBC_7fdc5881d69a48d59383942dbd2c2a3e"/>
      <m:placeholder xlName="_PLD_48506e29da6e4911867af71e75a78a82" keyAction="62" addr="T0R2C0S1_1"/>
      <m:item xlName="_GBC_3753ddaaae974c4aafb48cc7a7be41bf" concept="clcid-pte:CunHuoDieJiaSunShi" label="存货跌价损失" mulRef="_GBC_40ad6c56ceff460ca35db2135628d01d" unitRef="_GBC_5e13b42cdca649359964ad50033ab01e" addr="T0R2C1S1_1" formatStyle="Comma" appId="_GBC_7fdc5881d69a48d59383942dbd2c2a3e"/>
      <m:item xlName="_GBC_5870e358b7804aa8b8cc20490238108a" concept="clcid-pte:CunHuoDieJiaSunShi" label="存货跌价损失" periodRef="上年同期数" mulRef="_GBC_40ad6c56ceff460ca35db2135628d01d" unitRef="_GBC_5e13b42cdca649359964ad50033ab01e" addr="T0R2C2S1_1" formatStyle="Comma" appId="_GBC_7fdc5881d69a48d59383942dbd2c2a3e"/>
      <m:placeholder xlName="_PLD_78eb61ed62e240ad81f4cf85c6ee48fc" keyAction="62" addr="T0R3C0S1_1"/>
      <m:item xlName="_GBC_182bfcd1c01948c39460924df7affb15" concept="clcid-pte:ChangQiGuQuanTouZiJianZhiSunShi" label="长期股权投资减值损失" mulRef="_GBC_40ad6c56ceff460ca35db2135628d01d" unitRef="_GBC_5e13b42cdca649359964ad50033ab01e" addr="T0R3C1S1_1" formatStyle="Comma" appId="_GBC_7fdc5881d69a48d59383942dbd2c2a3e"/>
      <m:item xlName="_GBC_effda3c9a9344deab324c5013e2293a5" concept="clcid-pte:ChangQiGuQuanTouZiJianZhiSunShi" label="长期股权投资减值损失" periodRef="上年同期数" mulRef="_GBC_40ad6c56ceff460ca35db2135628d01d" unitRef="_GBC_5e13b42cdca649359964ad50033ab01e" addr="T0R3C2S1_1" formatStyle="Comma" appId="_GBC_7fdc5881d69a48d59383942dbd2c2a3e"/>
      <m:placeholder xlName="_PLD_e2e50e9f9bba445ebcfdf8fc0da4e0d0" keyAction="62" addr="T0R4C0S1_1"/>
      <m:item xlName="_GBC_87e5a247e57843f7840a7216da123a5d" concept="clcid-pte:TouZiXingFangDiChanJianZhiSunShi" label="投资性房地产减值损失" mulRef="_GBC_40ad6c56ceff460ca35db2135628d01d" unitRef="_GBC_5e13b42cdca649359964ad50033ab01e" addr="T0R4C1S1_1" formatStyle="Comma" appId="_GBC_7fdc5881d69a48d59383942dbd2c2a3e"/>
      <m:item xlName="_GBC_afe67d5612d3494baa8bf551db38a261" concept="clcid-pte:TouZiXingFangDiChanJianZhiSunShi" label="投资性房地产减值损失" periodRef="上年同期数" mulRef="_GBC_40ad6c56ceff460ca35db2135628d01d" unitRef="_GBC_5e13b42cdca649359964ad50033ab01e" addr="T0R4C2S1_1" formatStyle="Comma" appId="_GBC_7fdc5881d69a48d59383942dbd2c2a3e"/>
      <m:placeholder xlName="_PLD_356b67cd490e4fa38300401350a416fb" keyAction="62" addr="T0R5C0S1_1"/>
      <m:item xlName="_GBC_4f9d6c5e00864389893335733cb54b6b" concept="clcid-pte:GuDingZiChanJianZhiSunShi" label="固定资产减值损失" mulRef="_GBC_40ad6c56ceff460ca35db2135628d01d" unitRef="_GBC_5e13b42cdca649359964ad50033ab01e" addr="T0R5C1S1_1" formatStyle="Comma" appId="_GBC_7fdc5881d69a48d59383942dbd2c2a3e"/>
      <m:item xlName="_GBC_8cb9e5eeda084f4e8a9ebdb03a4897d4" concept="clcid-pte:GuDingZiChanJianZhiSunShi" label="固定资产减值损失" periodRef="上年同期数" mulRef="_GBC_40ad6c56ceff460ca35db2135628d01d" unitRef="_GBC_5e13b42cdca649359964ad50033ab01e" addr="T0R5C2S1_1" formatStyle="Comma" appId="_GBC_7fdc5881d69a48d59383942dbd2c2a3e"/>
      <m:placeholder xlName="_PLD_bf0e54d642dc47e5aba1659ff4189311" keyAction="62" addr="T0R6C0S1_1"/>
      <m:item xlName="_GBC_e1110af20441403191594d361c6ba794" concept="clcid-pte:GongChengWuZiJianZhiSunShi" label="工程物资减值损失" mulRef="_GBC_40ad6c56ceff460ca35db2135628d01d" unitRef="_GBC_5e13b42cdca649359964ad50033ab01e" addr="T0R6C1S1_1" formatStyle="Comma" appId="_GBC_7fdc5881d69a48d59383942dbd2c2a3e"/>
      <m:item xlName="_GBC_5e060628a54a482e9498887e7ffcb50f" concept="clcid-pte:GongChengWuZiJianZhiSunShi" label="工程物资减值损失" periodRef="上年同期数" mulRef="_GBC_40ad6c56ceff460ca35db2135628d01d" unitRef="_GBC_5e13b42cdca649359964ad50033ab01e" addr="T0R6C2S1_1" formatStyle="Comma" appId="_GBC_7fdc5881d69a48d59383942dbd2c2a3e"/>
      <m:placeholder xlName="_PLD_97c5c4fa34ed42e7bb896abd5f14a2e2" keyAction="62" addr="T0R7C0S1_1"/>
      <m:item xlName="_GBC_06241d7466a8471e8dbcd0acd9b53462" concept="clcid-pte:ZaiJianGongChengJianZhiSunShi" label="在建工程减值损失" mulRef="_GBC_40ad6c56ceff460ca35db2135628d01d" unitRef="_GBC_5e13b42cdca649359964ad50033ab01e" addr="T0R7C1S1_1" formatStyle="Comma" appId="_GBC_7fdc5881d69a48d59383942dbd2c2a3e"/>
      <m:item xlName="_GBC_0b583c7e2ff048cb8efab04e9e4cbbb8" concept="clcid-pte:ZaiJianGongChengJianZhiSunShi" label="在建工程减值损失" periodRef="上年同期数" mulRef="_GBC_40ad6c56ceff460ca35db2135628d01d" unitRef="_GBC_5e13b42cdca649359964ad50033ab01e" addr="T0R7C2S1_1" formatStyle="Comma" appId="_GBC_7fdc5881d69a48d59383942dbd2c2a3e"/>
      <m:placeholder xlName="_PLD_8fcdd16d7558415a9069c7db5aa6154b" keyAction="62" addr="T0R8C0S1_1"/>
      <m:item xlName="_GBC_5108d18e3cba49ef9c542f35c994cf30" concept="clcid-pte:ShengChanXingShengWuZiChanJianZhiSunShi" label="生产性生物资产减值损失" mulRef="_GBC_40ad6c56ceff460ca35db2135628d01d" unitRef="_GBC_5e13b42cdca649359964ad50033ab01e" addr="T0R8C1S1_1" formatStyle="Comma" appId="_GBC_7fdc5881d69a48d59383942dbd2c2a3e"/>
      <m:item xlName="_GBC_bc930096dc394b83bb75a5f4c570ad77" concept="clcid-pte:ShengChanXingShengWuZiChanJianZhiSunShi" label="生产性生物资产减值损失" periodRef="上年同期数" mulRef="_GBC_40ad6c56ceff460ca35db2135628d01d" unitRef="_GBC_5e13b42cdca649359964ad50033ab01e" addr="T0R8C2S1_1" formatStyle="Comma" appId="_GBC_7fdc5881d69a48d59383942dbd2c2a3e"/>
      <m:placeholder xlName="_PLD_67bab86314224f8a9a8b90e4444a371d" keyAction="62" addr="T0R9C0S1_1"/>
      <m:item xlName="_GBC_1234179a54934715a350c7457eef64c8" concept="clcid-pte:YouQiZiChanJianZhiSunShi" label="油气资产减值损失" mulRef="_GBC_40ad6c56ceff460ca35db2135628d01d" unitRef="_GBC_5e13b42cdca649359964ad50033ab01e" addr="T0R9C1S1_1" formatStyle="Comma" appId="_GBC_7fdc5881d69a48d59383942dbd2c2a3e"/>
      <m:item xlName="_GBC_3ac35e631228449dac4ff82acdaff330" concept="clcid-pte:YouQiZiChanJianZhiSunShi" label="油气资产减值损失" periodRef="上年同期数" mulRef="_GBC_40ad6c56ceff460ca35db2135628d01d" unitRef="_GBC_5e13b42cdca649359964ad50033ab01e" addr="T0R9C2S1_1" formatStyle="Comma" appId="_GBC_7fdc5881d69a48d59383942dbd2c2a3e"/>
      <m:placeholder xlName="_PLD_1c4eeb5f668546ea91f57116a27ec4fa" keyAction="62" addr="T0R10C0S1_1"/>
      <m:item xlName="_GBC_164795ebb9994bf7bc2e711b0bae6485" concept="clcid-pte:WuXingZiChanJianZhiSunShi" label="无形资产减值损失" mulRef="_GBC_40ad6c56ceff460ca35db2135628d01d" unitRef="_GBC_5e13b42cdca649359964ad50033ab01e" addr="T0R10C1S1_1" formatStyle="Comma" appId="_GBC_7fdc5881d69a48d59383942dbd2c2a3e"/>
      <m:item xlName="_GBC_e4390cb78e9846acba7e835ee163c6b2" concept="clcid-pte:WuXingZiChanJianZhiSunShi" label="无形资产减值损失" periodRef="上年同期数" mulRef="_GBC_40ad6c56ceff460ca35db2135628d01d" unitRef="_GBC_5e13b42cdca649359964ad50033ab01e" addr="T0R10C2S1_1" formatStyle="Comma" appId="_GBC_7fdc5881d69a48d59383942dbd2c2a3e"/>
      <m:placeholder xlName="_PLD_5cd4d27b7e324eaa967681b9cf35a6e2" keyAction="62" addr="T0R11C0S1_1"/>
      <m:item xlName="_GBC_c47547637ac948cf944c2874c54baf9b" concept="clcid-pte:ShangYuJianZhiSunShi" label="商誉减值损失" mulRef="_GBC_40ad6c56ceff460ca35db2135628d01d" unitRef="_GBC_5e13b42cdca649359964ad50033ab01e" addr="T0R11C1S1_1" formatStyle="Comma" appId="_GBC_7fdc5881d69a48d59383942dbd2c2a3e"/>
      <m:item xlName="_GBC_b161b8b935384eed9db12d71337c9912" concept="clcid-pte:ShangYuJianZhiSunShi" label="商誉减值损失" periodRef="上年同期数" mulRef="_GBC_40ad6c56ceff460ca35db2135628d01d" unitRef="_GBC_5e13b42cdca649359964ad50033ab01e" addr="T0R11C2S1_1" formatStyle="Comma" appId="_GBC_7fdc5881d69a48d59383942dbd2c2a3e"/>
      <m:placeholder xlName="_PLD_675608fc574f43ab99192f3e67e1ceba" keyAction="62" addr="T0R12C0S1_1"/>
      <m:item xlName="_GBC_b5655657834a413093a25a8afa00f975" concept="clcid-pte:QiTaZiChanJianZhiSunShi" label="其他资产减值损失" mulRef="_GBC_40ad6c56ceff460ca35db2135628d01d" unitRef="_GBC_5e13b42cdca649359964ad50033ab01e" addr="T0R12C1S1_1" formatStyle="Comma" appId="_GBC_7fdc5881d69a48d59383942dbd2c2a3e"/>
      <m:item xlName="_GBC_ff5310829aaf4351b5d34c214de7317c" concept="clcid-pte:QiTaZiChanJianZhiSunShi" label="其他资产减值损失" periodRef="上年同期数" mulRef="_GBC_40ad6c56ceff460ca35db2135628d01d" unitRef="_GBC_5e13b42cdca649359964ad50033ab01e" addr="T0R12C2S1_1" formatStyle="Comma" appId="_GBC_7fdc5881d69a48d59383942dbd2c2a3e"/>
      <m:tuple xlName="_TUP_9a935ce4b2254146a44c396ef30bafa2" concept="clcid-pte:ZiChanJianZhiSunShiMingXi" default_row="2" addr="T0R13C">
        <m:item xlName="_GBC_eba2db50a5184eb38b69f5f90e743c2b" concept="clcid-pte:ZiChanJianZhiSunShiMingXiXiangMu" label="资产减值损失明细－项目" addr="T0R13C0S1_1" appId="_GBC_7fdc5881d69a48d59383942dbd2c2a3e"/>
        <m:item xlName="_GBC_f824f974a62c46869ea3a160f3812b90" concept="clcid-pte:ZiChanJianZhiSunShiMingXiJinE" label="资产减值损失明细－金额" mulRef="_GBC_40ad6c56ceff460ca35db2135628d01d" unitRef="_GBC_5e13b42cdca649359964ad50033ab01e" addr="T0R13C1S1_1" formatStyle="Comma" appId="_GBC_7fdc5881d69a48d59383942dbd2c2a3e"/>
        <m:item xlName="_GBC_e4257505bb84471b884be389a254a920" concept="clcid-pte:ZiChanJianZhiSunShiMingXiJinE" label="资产减值损失明细－金额" periodRef="上年同期数" mulRef="_GBC_40ad6c56ceff460ca35db2135628d01d" unitRef="_GBC_5e13b42cdca649359964ad50033ab01e" addr="T0R13C2S1_1" formatStyle="Comma" appId="_GBC_7fdc5881d69a48d59383942dbd2c2a3e"/>
      </m:tuple>
      <m:placeholder xlName="_PLD_28808946bb58470a9d59a4302a9117d5" addr="T0R15C0S1_1"/>
      <m:item xlName="_GBC_97a75e917a4c4d889721f6d11b5b0eb0" concept="clcid-pte:ZiChanJianZhiSunShiJinE" label="资产减值损失金额" mulRef="_GBC_40ad6c56ceff460ca35db2135628d01d" unitRef="_GBC_5e13b42cdca649359964ad50033ab01e" addr="T0R15C1S1_1" formatStyle="Comma" appId="_GBC_7fdc5881d69a48d59383942dbd2c2a3e">
        <m:complexRule comparator="Eq" title="资产减值损失" test=" $_GBC_2d48969c295643a8a551a249370bcc2b +  $_GBC_3753ddaaae974c4aafb48cc7a7be41bf +  $_GBC_182bfcd1c01948c39460924df7affb15 +  $_GBC_87e5a247e57843f7840a7216da123a5d +  $_GBC_4f9d6c5e00864389893335733cb54b6b +  $_GBC_e1110af20441403191594d361c6ba794 +  $_GBC_06241d7466a8471e8dbcd0acd9b53462 +  $_GBC_5108d18e3cba49ef9c542f35c994cf30 +  $_GBC_1234179a54934715a350c7457eef64c8 +  $_GBC_164795ebb9994bf7bc2e711b0bae6485 +  $_GBC_c47547637ac948cf944c2874c54baf9b +  $_GBC_b5655657834a413093a25a8afa00f975 +  $_GBC_f824f974a62c46869ea3a160f3812b90" id="Ce82298723ab34eccb83f92526abc985b"/>
      </m:item>
      <m:item xlName="_GBC_0f6a9e39916e48f4936db4cbd8d8bdb0" concept="clcid-pte:ZiChanJianZhiSunShiJinE" label="资产减值损失金额" periodRef="上年同期数" mulRef="_GBC_40ad6c56ceff460ca35db2135628d01d" unitRef="_GBC_5e13b42cdca649359964ad50033ab01e" addr="T0R15C2S1_1" formatStyle="Comma" appId="_GBC_7fdc5881d69a48d59383942dbd2c2a3e">
        <m:complexRule comparator="Eq" title="资产减值损失@上年同期数" test=" $_GBC_2a2764d0c39e44aabf1a173cd7705299 +  $_GBC_5870e358b7804aa8b8cc20490238108a +  $_GBC_effda3c9a9344deab324c5013e2293a5 +  $_GBC_afe67d5612d3494baa8bf551db38a261 +  $_GBC_8cb9e5eeda084f4e8a9ebdb03a4897d4 +  $_GBC_5e060628a54a482e9498887e7ffcb50f +  $_GBC_0b583c7e2ff048cb8efab04e9e4cbbb8 +  $_GBC_bc930096dc394b83bb75a5f4c570ad77 +  $_GBC_3ac35e631228449dac4ff82acdaff330 +  $_GBC_e4390cb78e9846acba7e835ee163c6b2 +  $_GBC_b161b8b935384eed9db12d71337c9912 +  $_GBC_ff5310829aaf4351b5d34c214de7317c +  $_GBC_e4257505bb84471b884be389a254a920" id="C50f0eeb87e6b4597a723d28c9e52f6ac"/>
      </m:item>
      <m:item xlName="_GBC_4ebd6f61adb041a3978de7dc7abec263" concept="clcid-pte:ZiChanJianZhiSunShiDeShuoMing" label="资产减值损失的说明" appId="_GBC_7fdc5881d69a48d59383942dbd2c2a3e"/>
    </m:section>
    <m:section xlName="_SEC_32e84127ca0a46b8896ad8e149c91048" title="资产处置收益" helpId="112002278">
      <m:item xlName="_GBC_9e584d6f46c648d195946caa434a4619" concept="clcid-pte:ShiFouShiYongZiChanChuZhiShouYi" label="是否适用：资产处置收益" selectOptions="_buildInAppliance" controlType="CustomCheckbox" cRanges="[{&quot;StartName&quot;:&quot;_GBC_9e584d6f46c648d195946caa434a4619&quot;,&quot;EndName&quot;:&quot;_GBC_8f98405f78134a5d91f9050d99982332&quot;,&quot;CType&quot;:1}]"/>
      <m:item xlName="_GBC_72dc168499e249b988d6753a6df1ce44" concept="clcid-pte:DanWeiZiChanChuZhiShouYiMingXi" label="单位：资产处置收益明细" selectOptions="_buildInScales" controlType="Combobox" cellType="Scale" appId="_GBC_9e584d6f46c648d195946caa434a4619"/>
      <m:item xlName="_GBC_d68880ec5b074fdc8846b703ead631e2" concept="clcid-pte:BiZhongZiChanChuZhiShouYiMingXi" label="币种：资产处置收益明细" selectOptions="_buildInISO4217" controlType="Combobox" cellType="Measure" appId="_GBC_9e584d6f46c648d195946caa434a4619"/>
      <m:placeholder xlName="_PLD_5ae5d7d7d48342e7bc1da8d90a245459" addr="T0R0C0S1_1"/>
      <m:placeholder xlName="_PLD_879cf215b86c45c790218e646c831e7d" addr="T0R0C1S1_1"/>
      <m:placeholder xlName="_PLD_8860a002ccc44e14bf36aa3e10fb5d70" addr="T0R0C2S1_1"/>
      <m:tuple xlName="_TUP_4fb92e1c2e6d48c3ba0fd0e082ed3be0" concept="clcid-pte:ZiChanChuZhiShouYiMingXi" default_row="2" addr="T0R1C">
        <m:item xlName="_GBC_5ab69b13ea4d4808910031ee4286a1d3" concept="clcid-pte:ZiChanChuZhiShouYiXiangMu" label="资产处置收益项目" addr="T0R1C0S1_1" appId="_GBC_9e584d6f46c648d195946caa434a4619"/>
        <m:item xlName="_GBC_95b1fd59c5224e94bc64ba61987c4865" concept="clcid-pte:ZiChanChuZhiShouYiFaShengE" label="资产处置收益发生额" mulRef="_GBC_72dc168499e249b988d6753a6df1ce44" unitRef="_GBC_d68880ec5b074fdc8846b703ead631e2" addr="T0R1C1S1_1" formatStyle="Comma" appId="_GBC_9e584d6f46c648d195946caa434a4619"/>
        <m:item xlName="_GBC_e41f805a799942bfbd9499f8063f63de" concept="clcid-pte:ZiChanChuZhiShouYiFaShengE" label="资产处置收益发生额" periodRef="上年同期数" mulRef="_GBC_72dc168499e249b988d6753a6df1ce44" unitRef="_GBC_d68880ec5b074fdc8846b703ead631e2" addr="T0R1C2S1_1" formatStyle="Comma" appId="_GBC_9e584d6f46c648d195946caa434a4619"/>
      </m:tuple>
      <m:placeholder xlName="_PLD_8313ddfe5809449c9ba5acf78ad5340a" addr="T0R3C0S1_1"/>
      <m:item xlName="_GBC_47c4db6edf564e49b1c8109b25b328b4" concept="clcid-pte:ZiChanChuZhiSHouYi" label="资产处置收益" mulRef="_GBC_72dc168499e249b988d6753a6df1ce44" unitRef="_GBC_d68880ec5b074fdc8846b703ead631e2" addr="T0R3C1S1_1" formatStyle="Comma" appId="_GBC_9e584d6f46c648d195946caa434a4619">
        <m:complexRule comparator="Eq" title="资产处置收益" test=" $_GBC_95b1fd59c5224e94bc64ba61987c4865" id="C9846499b8f744842b0c379502e1d6457"/>
      </m:item>
      <m:item xlName="_GBC_5f0ce7bf09a84d79b8de8be92a88aa80" concept="clcid-pte:ZiChanChuZhiSHouYi" label="资产处置收益" periodRef="上年同期数" mulRef="_GBC_72dc168499e249b988d6753a6df1ce44" unitRef="_GBC_d68880ec5b074fdc8846b703ead631e2" addr="T0R3C2S1_1" formatStyle="Comma" appId="_GBC_9e584d6f46c648d195946caa434a4619">
        <m:complexRule comparator="Eq" title="资产处置收益@上年同期数" test=" $_GBC_e41f805a799942bfbd9499f8063f63de" id="Ca2913fdf501346a488a702d148aa1a21"/>
      </m:item>
      <m:item xlName="_GBC_15965d17bc0a4e6788b5c6faf8c51b58" concept="clcid-pte:ShiFouShiYongZiChanChuZhiShouYiQiTaShuoMing" label="是否适用：资产处置收益其他说明" selectOptions="_buildInAppliance" controlType="CustomCheckbox" cRanges="[{&quot;StartName&quot;:&quot;_GBC_15965d17bc0a4e6788b5c6faf8c51b58&quot;,&quot;EndName&quot;:&quot;_GBC_8f98405f78134a5d91f9050d99982332&quot;,&quot;CType&quot;:1}]"/>
      <m:item xlName="_GBC_8f98405f78134a5d91f9050d99982332" concept="clcid-pte:ZiChanChuZhiShouYiQiTaShuoMing" label="资产处置收益其他说明" appId="_GBC_15965d17bc0a4e6788b5c6faf8c51b58"/>
    </m:section>
    <m:item xlName="_GBC_b6e9df1124844122abb2dde58392c605" concept="clcid-ci-ar:ShiFouShiYongYingYeWaiShouRuQingKuang" label="是否适用：营业外收入情况 " selectOptions="_buildInAppliance" controlType="CustomCheckbox" cRanges="[{&quot;StartName&quot;:&quot;_GBC_b6e9df1124844122abb2dde58392c605&quot;,&quot;EndName&quot;:&quot;_GBC_613f834d57f34b828d1fb937ee139a13&quot;,&quot;CType&quot;:1}]"/>
    <m:section xlName="_SEC_62e5cfd7609742dd8d0ae51a88918288" title="单位：元 币种：人民币项目本期发生额上期发生额计入当期非经...">
      <m:item xlName="_GBC_dd93a692e0c045038f9ddf46f86e7289" concept="clcid-ci-ar:DanWeiCaiWuFuZhuYingYeWaiShouRu" label="单位：财务附注：营业外收入" selectOptions="_buildInScales" controlType="Combobox" cellType="Scale" appId="_GBC_b6e9df1124844122abb2dde58392c605"/>
      <m:item xlName="_GBC_598cac7504eb4ef39ddc19fb969bdd53" concept="clcid-ci-ar:BiZhongCaiWuFuZhuYingYeWaiShouRu" label="币种：财务附注：营业外收入" selectOptions="_buildInISO4217" controlType="Combobox" cellType="Measure" appId="_GBC_b6e9df1124844122abb2dde58392c605"/>
      <m:placeholder xlName="_PLD_d649e0d07dd047a497e69591bf3e322c" addr="T0R0C0S1_1"/>
      <m:placeholder xlName="_PLD_eabf358cb2c947a9b4e7bacb394074db" addr="T0R0C1S1_1"/>
      <m:placeholder xlName="_PLD_0469d808d7334ff0ab3460273b0c8f8f" addr="T0R0C2S1_1"/>
      <m:placeholder xlName="_PLD_121bda757dda46918753fabf9329298f" addr="T0R0C3S1_1"/>
      <m:placeholder xlName="_PLD_cb24834fdd0f46c3836c51084196565f" addr="T0R1C0S1_1"/>
      <m:item xlName="_GBC_f3176b2bf10b428290a0a24b479a97d2" concept="clcid-pte:FeiLiuDongZiChanChuZhiLiDeHeJi" label="非流动资产处置利得合计" mulRef="_GBC_dd93a692e0c045038f9ddf46f86e7289" unitRef="_GBC_598cac7504eb4ef39ddc19fb969bdd53" addr="T0R1C1S1_1" formatStyle="Comma" appId="_GBC_b6e9df1124844122abb2dde58392c605"/>
      <m:item xlName="_GBC_13751e0d0cf74655a932a129dcb09b89" concept="clcid-pte:FeiLiuDongZiChanChuZhiLiDeHeJi" label="非流动资产处置利得合计" periodRef="上年同期数" mulRef="_GBC_dd93a692e0c045038f9ddf46f86e7289" unitRef="_GBC_598cac7504eb4ef39ddc19fb969bdd53" addr="T0R1C2S1_1" formatStyle="Comma" appId="_GBC_b6e9df1124844122abb2dde58392c605"/>
      <m:item xlName="_GBC_18f48df7ef094d47b4ec84ff0b2ff107" concept="clcid-pte:FeiLiuDongZiChanChuZhiLiDeHeJiJiRuDangQiFeiJingChangXingSunYiDeJinE" label="非流动资产处置利得合计计入当期非经常性损益的金额" mulRef="_GBC_dd93a692e0c045038f9ddf46f86e7289" unitRef="_GBC_598cac7504eb4ef39ddc19fb969bdd53" addr="T0R1C3S1_1" formatStyle="Comma" appId="_GBC_b6e9df1124844122abb2dde58392c605"/>
      <m:placeholder xlName="_PLD_51e6628966d84807a93193ac3fd8a88e" addr="T0R2C0S1_1"/>
      <m:item xlName="_GBC_f2834cd6e9fd4429aba0727eb4da2363" concept="clcid-pte:GuDingZiChanChuZhiLiDe" label="固定资产处置利得" mulRef="_GBC_dd93a692e0c045038f9ddf46f86e7289" unitRef="_GBC_598cac7504eb4ef39ddc19fb969bdd53" addr="T0R2C1S1_1" formatStyle="Comma" appId="_GBC_b6e9df1124844122abb2dde58392c605"/>
      <m:item xlName="_GBC_dfc58119dafd4450a4856bca1dda45a6" concept="clcid-pte:GuDingZiChanChuZhiLiDe" label="固定资产处置利得" periodRef="上年同期数" mulRef="_GBC_dd93a692e0c045038f9ddf46f86e7289" unitRef="_GBC_598cac7504eb4ef39ddc19fb969bdd53" addr="T0R2C2S1_1" formatStyle="Comma" appId="_GBC_b6e9df1124844122abb2dde58392c605"/>
      <m:item xlName="_GBC_cf9db279aeba41da89d3323f61df280f" concept="clcid-pte:GuDingZiChanChuZhiLiDeJiRuDangQiFeiJingChangXingSunYiDeJinE" label="固定资产处置利得计入当期非经常性损益的金额" mulRef="_GBC_dd93a692e0c045038f9ddf46f86e7289" unitRef="_GBC_598cac7504eb4ef39ddc19fb969bdd53" addr="T0R2C3S1_1" formatStyle="Comma" appId="_GBC_b6e9df1124844122abb2dde58392c605"/>
      <m:placeholder xlName="_PLD_7f803529327b4f529b4acbc8b4633c6e" addr="T0R3C0S1_1"/>
      <m:item xlName="_GBC_47457940cf1648ee9a104f562252c620" concept="clcid-pte:WuXingZiChanChuZhiLiDe" label="无形资产处置利得" mulRef="_GBC_dd93a692e0c045038f9ddf46f86e7289" unitRef="_GBC_598cac7504eb4ef39ddc19fb969bdd53" addr="T0R3C1S1_1" formatStyle="Comma" appId="_GBC_b6e9df1124844122abb2dde58392c605"/>
      <m:item xlName="_GBC_d34d489342114be3a25068249f4eaf7f" concept="clcid-pte:WuXingZiChanChuZhiLiDe" label="无形资产处置利得" periodRef="上年同期数" mulRef="_GBC_dd93a692e0c045038f9ddf46f86e7289" unitRef="_GBC_598cac7504eb4ef39ddc19fb969bdd53" addr="T0R3C2S1_1" formatStyle="Comma" appId="_GBC_b6e9df1124844122abb2dde58392c605"/>
      <m:item xlName="_GBC_d3c83ec6693645a1a87cd1e819307563" concept="clcid-pte:WuXingZiChanChuZhiLiDeJiRuDangQiFeiJingChangXingSunYiDeJinE" label="无形资产处置利得计入当期非经常性损益的金额" mulRef="_GBC_dd93a692e0c045038f9ddf46f86e7289" unitRef="_GBC_598cac7504eb4ef39ddc19fb969bdd53" addr="T0R3C3S1_1" formatStyle="Comma" appId="_GBC_b6e9df1124844122abb2dde58392c605"/>
      <m:placeholder xlName="_PLD_d78c2dfb458d4a20adeaa192d260fc6a" addr="T0R4C0S1_1"/>
      <m:item xlName="_GBC_5f2a9d44e0ad48d48b81691287cf38c3" concept="clcid-pte:ZhaiWuZhongZuShouYi" label="债务重组收益" mulRef="_GBC_dd93a692e0c045038f9ddf46f86e7289" unitRef="_GBC_598cac7504eb4ef39ddc19fb969bdd53" addr="T0R4C1S1_1" formatStyle="Comma" appId="_GBC_b6e9df1124844122abb2dde58392c605"/>
      <m:item xlName="_GBC_866099afbd284e29a7983f71dd0dabd4" concept="clcid-pte:ZhaiWuZhongZuShouYi" label="债务重组收益" periodRef="上年同期数" mulRef="_GBC_dd93a692e0c045038f9ddf46f86e7289" unitRef="_GBC_598cac7504eb4ef39ddc19fb969bdd53" addr="T0R4C2S1_1" formatStyle="Comma" appId="_GBC_b6e9df1124844122abb2dde58392c605"/>
      <m:item xlName="_GBC_a1bad5cf500842f198d7a8122139b5ae" concept="clcid-pte:ZhaiWuZhongZuLiDeJiRuDangQiFeiJingChangXingSunYiDeJinE" label="债务重组利得计入当期非经常性损益的金额" mulRef="_GBC_dd93a692e0c045038f9ddf46f86e7289" unitRef="_GBC_598cac7504eb4ef39ddc19fb969bdd53" addr="T0R4C3S1_1" formatStyle="Comma" appId="_GBC_b6e9df1124844122abb2dde58392c605"/>
      <m:placeholder xlName="_PLD_addf757476b14e0a866d589088e59325" addr="T0R5C0S1_1"/>
      <m:item xlName="_GBC_764d1883a3c84708ba2349c2b536e978" concept="clcid-pte:FeiHuoBiXingZiChanJiaoHuanLiDe" label="非货币性资产交换利得(营业外收入)" mulRef="_GBC_dd93a692e0c045038f9ddf46f86e7289" unitRef="_GBC_598cac7504eb4ef39ddc19fb969bdd53" addr="T0R5C1S1_1" formatStyle="Comma" appId="_GBC_b6e9df1124844122abb2dde58392c605"/>
      <m:item xlName="_GBC_4690c9dd66f04256b76dedcb66331d7d" concept="clcid-pte:FeiHuoBiXingZiChanJiaoHuanLiDe" label="非货币性资产交换利得(营业外收入)" periodRef="上年同期数" mulRef="_GBC_dd93a692e0c045038f9ddf46f86e7289" unitRef="_GBC_598cac7504eb4ef39ddc19fb969bdd53" addr="T0R5C2S1_1" formatStyle="Comma" appId="_GBC_b6e9df1124844122abb2dde58392c605"/>
      <m:item xlName="_GBC_4cfbf8d4963d45649cc657c045016eee" concept="clcid-pte:FeiHuoBiXingZiChanJiaoHuanLiDeJiRuDangQiFeiJingChangXingSunYiDeJinE" label="非货币性资产交换利得计入当期非经常性损益的金额" mulRef="_GBC_dd93a692e0c045038f9ddf46f86e7289" unitRef="_GBC_598cac7504eb4ef39ddc19fb969bdd53" addr="T0R5C3S1_1" formatStyle="Comma" appId="_GBC_b6e9df1124844122abb2dde58392c605"/>
      <m:placeholder xlName="_PLD_2039c4d9907c4ef7bb8a71fc4f7dd7fa" addr="T0R6C0S1_1"/>
      <m:item xlName="_GBC_947edb019e7d4783ae5f76f22ab3df3f" concept="clcid-pte:JieShouJuanZeng" label="接受捐赠" mulRef="_GBC_dd93a692e0c045038f9ddf46f86e7289" unitRef="_GBC_598cac7504eb4ef39ddc19fb969bdd53" addr="T0R6C1S1_1" formatStyle="Comma" appId="_GBC_b6e9df1124844122abb2dde58392c605"/>
      <m:item xlName="_GBC_3f21474a242b45a38c16492ef4b508b0" concept="clcid-pte:JieShouJuanZeng" label="接受捐赠" periodRef="上年同期数" mulRef="_GBC_dd93a692e0c045038f9ddf46f86e7289" unitRef="_GBC_598cac7504eb4ef39ddc19fb969bdd53" addr="T0R6C2S1_1" formatStyle="Comma" appId="_GBC_b6e9df1124844122abb2dde58392c605"/>
      <m:item xlName="_GBC_958bbb04a52a4e24bd0a0bd47b3a3b1e" concept="clcid-pte:JieShouJuanZengJiRuDangQiFeiJingChangXingSunYiDeJinE" label="接受捐赠计入当期非经常性损益的金额" mulRef="_GBC_dd93a692e0c045038f9ddf46f86e7289" unitRef="_GBC_598cac7504eb4ef39ddc19fb969bdd53" addr="T0R6C3S1_1" formatStyle="Comma" appId="_GBC_b6e9df1124844122abb2dde58392c605"/>
      <m:placeholder xlName="_PLD_b627183426d3462198209d98f8e60215" addr="T0R7C0S1_1"/>
      <m:item xlName="_GBC_71f31ea0cbee4c9caeb9190787aff53c" concept="clcid-pte:BuTieShouRu" label="补贴收入" mulRef="_GBC_dd93a692e0c045038f9ddf46f86e7289" unitRef="_GBC_598cac7504eb4ef39ddc19fb969bdd53" addr="T0R7C1S1_1" formatStyle="Comma" appId="_GBC_b6e9df1124844122abb2dde58392c605"/>
      <m:item xlName="_GBC_da75a27492574b9899e34369b97ea38b" concept="clcid-pte:BuTieShouRu" label="补贴收入" periodRef="上年同期数" mulRef="_GBC_dd93a692e0c045038f9ddf46f86e7289" unitRef="_GBC_598cac7504eb4ef39ddc19fb969bdd53" addr="T0R7C2S1_1" formatStyle="Comma" appId="_GBC_b6e9df1124844122abb2dde58392c605"/>
      <m:item xlName="_GBC_cc0b8564b9114bbb8eb034e441fb13a2" concept="clcid-pte:ZhengFuBuZhuJiRuDangQiFeiJingChangXingSunYiDeJinE" label="政府补助计入当期非经常性损益的金额" mulRef="_GBC_dd93a692e0c045038f9ddf46f86e7289" unitRef="_GBC_598cac7504eb4ef39ddc19fb969bdd53" addr="T0R7C3S1_1" formatStyle="Comma" appId="_GBC_b6e9df1124844122abb2dde58392c605"/>
      <m:tuple xlName="_GBC_fd02acc867064481b957560afa744c85" concept="clcid-pte:YingYeWaiShouRuMingXi" default_row="2" addr="T0R8C">
        <m:item xlName="_GBC_0722783346e64733b889d400c5359b83" concept="clcid-pte:YingYeWaiShouRuXiangMu" label="营业外收入项目" addr="T0R8C0S1_1" appId="_GBC_b6e9df1124844122abb2dde58392c605"/>
        <m:item xlName="_GBC_3101d54a60a24215b544aeea9b39db09" concept="clcid-pte:YingYeWaiShouRuJinE" label="营业外收入金额" mulRef="_GBC_dd93a692e0c045038f9ddf46f86e7289" unitRef="_GBC_598cac7504eb4ef39ddc19fb969bdd53" addr="T0R8C1S1_1" formatStyle="Comma" appId="_GBC_b6e9df1124844122abb2dde58392c605"/>
        <m:item xlName="_GBC_e9ae46edac3941c589ce62d2ed02eeed" concept="clcid-pte:YingYeWaiShouRuJinE" label="营业外收入金额" periodRef="上年同期数" mulRef="_GBC_dd93a692e0c045038f9ddf46f86e7289" unitRef="_GBC_598cac7504eb4ef39ddc19fb969bdd53" addr="T0R8C2S1_1" formatStyle="Comma" appId="_GBC_b6e9df1124844122abb2dde58392c605"/>
        <m:item xlName="_GBC_a89289989344493a98dcbade4c2948a3" concept="clcid-pte:YingYeWaiShouRuJinEJiRuDangQiFeiJingChangXingSunYiDeJinE" label="营业外收入金额计入当期非经常性损益的金额" mulRef="_GBC_dd93a692e0c045038f9ddf46f86e7289" unitRef="_GBC_598cac7504eb4ef39ddc19fb969bdd53" addr="T0R8C3S1_1" formatStyle="Comma" appId="_GBC_b6e9df1124844122abb2dde58392c605"/>
      </m:tuple>
      <m:placeholder xlName="_PLD_25918db321f1404aaddb2a14d0bd05fc" addr="T0R10C0S1_1"/>
      <m:item xlName="_GBC_f862f9e2b0ac45afac769a2d8f7d1d95" concept="clcid-pte:YingYeWaiShouRu" label="营业外收入" mulRef="_GBC_dd93a692e0c045038f9ddf46f86e7289" unitRef="_GBC_598cac7504eb4ef39ddc19fb969bdd53" addr="T0R10C1S1_1" formatStyle="Comma" appId="_GBC_b6e9df1124844122abb2dde58392c605">
        <m:complexRule comparator="Eq" title="营业外收入" test=" $_GBC_f3176b2bf10b428290a0a24b479a97d2 +  $_GBC_764d1883a3c84708ba2349c2b536e978 +  $_GBC_947edb019e7d4783ae5f76f22ab3df3f +  $_GBC_71f31ea0cbee4c9caeb9190787aff53c +  $_GBC_3101d54a60a24215b544aeea9b39db09" id="Cfe8a39f6dede4d0da4d887af64843ff9" serialType="1"/>
      </m:item>
      <m:item xlName="_GBC_bfd10b1f3c7d4101bc21fc0f9fbc1617" concept="clcid-pte:YingYeWaiShouRu" label="营业外收入" periodRef="上年同期数" mulRef="_GBC_dd93a692e0c045038f9ddf46f86e7289" unitRef="_GBC_598cac7504eb4ef39ddc19fb969bdd53" addr="T0R10C2S1_1" formatStyle="Comma" appId="_GBC_b6e9df1124844122abb2dde58392c605">
        <m:complexRule comparator="Eq" title="营业外收入@上年同期数" test=" $_GBC_13751e0d0cf74655a932a129dcb09b89 +  $_GBC_4690c9dd66f04256b76dedcb66331d7d +  $_GBC_3f21474a242b45a38c16492ef4b508b0 +  $_GBC_da75a27492574b9899e34369b97ea38b +  $_GBC_e9ae46edac3941c589ce62d2ed02eeed" id="C4f9ea40cd3304ad0bf8365c44898c6f2" serialType="1"/>
      </m:item>
      <m:item xlName="_GBC_a0bc3b5bfca54265833010a3a5fb2ce8" concept="clcid-pte:YingYeWaiShouRuHeJiJiRuDangQiFeiJingChangXingSunYiDeJinE" label="营业外收入合计计入当期非经常性损益的金额" mulRef="_GBC_dd93a692e0c045038f9ddf46f86e7289" unitRef="_GBC_598cac7504eb4ef39ddc19fb969bdd53" addr="T0R10C3S1_1" formatStyle="Comma" appId="_GBC_b6e9df1124844122abb2dde58392c605">
        <m:complexRule comparator="Eq" title="营业外收入合计计入当期非经常性损益的金额" test=" $_GBC_18f48df7ef094d47b4ec84ff0b2ff107 +  $_GBC_a1bad5cf500842f198d7a8122139b5ae +  $_GBC_4cfbf8d4963d45649cc657c045016eee +  $_GBC_958bbb04a52a4e24bd0a0bd47b3a3b1e +  $_GBC_cc0b8564b9114bbb8eb034e441fb13a2 +  $_GBC_a89289989344493a98dcbade4c2948a3" id="Cc79e7137332343199daa3bd408b40dd1" serialType="1"/>
      </m:item>
    </m:section>
    <m:section xlName="_GBC_941e4c9023f94b758b05afb87d550363" title="计入当期损益的政府补助" rules="R2015_R11_028" convertSummaryRule="NoConvert" helpId="112001116">
      <m:item xlName="_GBC_c8882fe165a24797aca3c402f799f006" concept="clcid-ci-ar:ShiFouShiYongJiRuDangQiSunYiDeZhengFuBuZhu" label="是否适用：计入当期损益的政府补助" selectOptions="_buildInAppliance" controlType="CustomCheckbox" cRanges="[{&quot;StartName&quot;:&quot;_GBC_c8882fe165a24797aca3c402f799f006&quot;,&quot;EndName&quot;:&quot;_GBC_55504ca2f77b48949ec5116d8e120fd2&quot;,&quot;CType&quot;:1}]"/>
      <m:item xlName="_GBC_bd00bad38c644e6fa63419d4034ebfd1" concept="clcid-ci-ar:DanWeiCaiWuFuZhuJiRuDangQiSunYiDeZhengFuBuZhu" label="单位：财务附注：计入当期损益的政府补助" selectOptions="_buildInScales" controlType="Combobox" cellType="Scale" appId="_GBC_c8882fe165a24797aca3c402f799f006"/>
      <m:item xlName="_GBC_23bf9a9e0ac34ffd9e7e1d78597a87d0" concept="clcid-ci-ar:BiZhongCaiWuFuZhuJiRuDangQiSunYiDeZhengFuBuZhu" label="币种：财务附注：计入当期损益的政府补助" selectOptions="_buildInISO4217" controlType="Combobox" cellType="Measure" appId="_GBC_c8882fe165a24797aca3c402f799f006"/>
      <m:placeholder xlName="_PLD_921b2aed22db42759d12f127db945afe" addr="T0R0C0S1_1"/>
      <m:placeholder xlName="_PLD_b153949e35ca47018467de6ef3800cf5" addr="T0R0C1S1_1"/>
      <m:placeholder xlName="_PLD_bf693dd17f244c38afd88855e4186d7d" addr="T0R0C2S1_1"/>
      <m:placeholder xlName="_PLD_532c78ae9a7849fe9994cace73120659" addr="T0R0C3S1_1"/>
      <m:tuple xlName="_GBC_8d8ea3026a664e94a38609c0bcec2101" concept="clcid-pte:JiRuDangQiSunYiDeZhengFuBuZhuMingXi" default_row="2" addr="T0R1C">
        <m:item xlName="_GBC_e5afa976691d4951955d16fae878bcdd" concept="clcid-pte:JiRuDangQiSunYiDeZhengFuBuZhuXiangMuMingCheng" label="计入当期损益的政府补助项目名称" addr="T0R1C0S1_1" appId="_GBC_c8882fe165a24797aca3c402f799f006"/>
        <m:item xlName="_GBC_5cf65321d9a9496787f54550eeb22a26" concept="clcid-pte:JiRuDangQiSunYiDeZhengFuBuZhu" label="计入当期损益的政府补助" mulRef="_GBC_bd00bad38c644e6fa63419d4034ebfd1" unitRef="_GBC_23bf9a9e0ac34ffd9e7e1d78597a87d0" addr="T0R1C1S1_1" formatStyle="Comma" appId="_GBC_c8882fe165a24797aca3c402f799f006"/>
        <m:item xlName="_GBC_f808d18e2e2c402a9e2ea1d2724afc4e" concept="clcid-pte:JiRuDangQiSunYiDeZhengFuBuZhu" label="计入当期损益的政府补助" periodRef="上年同期数" mulRef="_GBC_bd00bad38c644e6fa63419d4034ebfd1" unitRef="_GBC_23bf9a9e0ac34ffd9e7e1d78597a87d0" addr="T0R1C2S1_1" formatStyle="Comma" appId="_GBC_c8882fe165a24797aca3c402f799f006"/>
        <m:item xlName="_GBC_55504ca2f77b48949ec5116d8e120fd2" concept="clcid-pte:JiRuDangQiSunYiDeZhengFuBuZhuYuZiChanXiangGuanYuShouYiXiangGuan" label="计入当期损益的政府补助与资产相关/与收益相关" addr="T0R1C3S1_1" appId="_GBC_c8882fe165a24797aca3c402f799f006"/>
      </m:tuple>
    </m:section>
    <m:section xlName="_GBC_613f834d57f34b828d1fb937ee139a13" title="营业外收入说明" rules="R2015_R11_028" convertSummaryRule="NoConvert" helpId="112001116">
      <m:item xlName="_GBC_9bd4fc9f0fcc4e85bee85b3ce60c8b2c" concept="clcid-ci-ar:ShiFouShiYongYingYeWaiShouRuShuoMing" label="是否适用：营业外收入说明" selectOptions="_buildInAppliance" controlType="CustomCheckbox" cRanges="{&quot;StartName&quot;:&quot;_GBC_9bd4fc9f0fcc4e85bee85b3ce60c8b2c&quot;,&quot;EndName&quot;:&quot;_GBC_16317ee6171e4de2aa4eeba65e7b2cae&quot;,&quot;CType&quot;:1,&quot;DisplayText&quot;:null}"/>
      <m:item xlName="_GBC_16317ee6171e4de2aa4eeba65e7b2cae" concept="clcid-pte:YingYeWaiShouRuShuoMing" label="营业外收入说明" appId="_GBC_9bd4fc9f0fcc4e85bee85b3ce60c8b2c"/>
    </m:section>
    <m:section xlName="_GBC_7c51aa70be1f405d954dc316ed26b5b4" title="营业外支出" convertSummaryRule="NoConvert" helpId="112001117">
      <m:item xlName="_GBC_6d4b8ac674ce425b8c798e92aa1fe455" concept="clcid-ci-ar:ShiFouShiYongYingYeWaiZhiChu" label="是否适用：营业外支出" selectOptions="_buildInAppliance" controlType="CustomCheckbox" cRanges="{&quot;StartName&quot;:&quot;_GBC_6d4b8ac674ce425b8c798e92aa1fe455&quot;,&quot;EndName&quot;:&quot;_GBC_948d4d2c5cfc43b999d968de3476bc75&quot;,&quot;CType&quot;:1,&quot;DisplayText&quot;:null}"/>
      <m:item xlName="_GBC_f8678a9a1bbf4b0697744c5d21146839" concept="clcid-ci-ar:DanWeiCaiWuFuZhuYingYeWaiZhiChu" label="单位：财务附注：营业外支出" selectOptions="_buildInScales" controlType="Combobox" cellType="Scale" appId="_GBC_6d4b8ac674ce425b8c798e92aa1fe455"/>
      <m:item xlName="_GBC_61e3e82ad5404a9987623525ac03d95e" concept="clcid-ci-ar:BiZhongCaiWuFuZhuYingYeWaiZhiChu" label="币种：财务附注：营业外支出" selectOptions="_buildInISO4217" controlType="Combobox" cellType="Measure" appId="_GBC_6d4b8ac674ce425b8c798e92aa1fe455"/>
      <m:placeholder xlName="_PLD_6abf292cb0a7463788e39d1bdabb85fc" addr="T0R0C0S1_1"/>
      <m:placeholder xlName="_PLD_36a30142728e41bb9c215b73cfe3204c" addr="T0R0C1S1_1"/>
      <m:placeholder xlName="_PLD_16b0936bf8024bdf99cf883b1827419f" addr="T0R0C2S1_1"/>
      <m:placeholder xlName="_PLD_92014506c2824f6fbe79731f91aa61bc" addr="T0R0C3S1_1"/>
      <m:placeholder xlName="_PLD_062273c2b8444b53b1d55cd4655089a0" addr="T0R1C0S1_1"/>
      <m:item xlName="_GBC_ced1163ad2a24db6b7b2944202eaac93" concept="clcid-pte:FeiLiuDongZiChanChuZhiSunShiHeJi" label="非流动资产处置损失合计" mulRef="_GBC_f8678a9a1bbf4b0697744c5d21146839" unitRef="_GBC_61e3e82ad5404a9987623525ac03d95e" addr="T0R1C1S1_1" formatStyle="Comma" appId="_GBC_6d4b8ac674ce425b8c798e92aa1fe455"/>
      <m:item xlName="_GBC_d164bec9726d444584f86c9e23a53595" concept="clcid-pte:FeiLiuDongZiChanChuZhiSunShiHeJi" label="非流动资产处置损失合计" periodRef="上年同期数" mulRef="_GBC_f8678a9a1bbf4b0697744c5d21146839" unitRef="_GBC_61e3e82ad5404a9987623525ac03d95e" addr="T0R1C2S1_1" formatStyle="Comma" appId="_GBC_6d4b8ac674ce425b8c798e92aa1fe455"/>
      <m:item xlName="_GBC_f8278aa8803f434a9979e846ea71bcb1" concept="clcid-pte:FeiLiuDongZiChanChuZhiSunShiHeJiJiRuDangQiFeiJingChangXingSunYiDeJinE" label="非流动资产处置损失合计计入当期非经常性损益的金额" mulRef="_GBC_f8678a9a1bbf4b0697744c5d21146839" unitRef="_GBC_61e3e82ad5404a9987623525ac03d95e" addr="T0R1C3S1_1" formatStyle="Comma" appId="_GBC_6d4b8ac674ce425b8c798e92aa1fe455"/>
      <m:placeholder xlName="_PLD_0af592ee0cc24d8e8fa527035897eeb0" addr="T0R2C0S1_1"/>
      <m:item xlName="_GBC_3606e3c0d2284967aab0342305d69eeb" concept="clcid-pte:GuDingZiChanChuZhiSunShi" label="固定资产处置损失" mulRef="_GBC_f8678a9a1bbf4b0697744c5d21146839" unitRef="_GBC_61e3e82ad5404a9987623525ac03d95e" addr="T0R2C1S1_1" formatStyle="Comma" appId="_GBC_6d4b8ac674ce425b8c798e92aa1fe455"/>
      <m:item xlName="_GBC_a2d2c57e9de648609a67bfce198d8643" concept="clcid-pte:GuDingZiChanChuZhiSunShi" label="固定资产处置损失" periodRef="上年同期数" mulRef="_GBC_f8678a9a1bbf4b0697744c5d21146839" unitRef="_GBC_61e3e82ad5404a9987623525ac03d95e" addr="T0R2C2S1_1" formatStyle="Comma" appId="_GBC_6d4b8ac674ce425b8c798e92aa1fe455"/>
      <m:item xlName="_GBC_f7f425aaefa94df6aa7b7aadae93d5c8" concept="clcid-pte:GuDingZiChanChuZhiSunShiJiRuDangQiFeiJingChangXingSunYiDeJinE" label="固定资产处置损失计入当期非经常性损益的金额" mulRef="_GBC_f8678a9a1bbf4b0697744c5d21146839" unitRef="_GBC_61e3e82ad5404a9987623525ac03d95e" addr="T0R2C3S1_1" formatStyle="Comma" appId="_GBC_6d4b8ac674ce425b8c798e92aa1fe455"/>
      <m:placeholder xlName="_PLD_043b2a1cd6f242659d5a5fd4529789d4" addr="T0R3C0S1_1"/>
      <m:item xlName="_GBC_177ea6b3b9f94e09b783c0da7d997b51" concept="clcid-pte:WuXingZiChanChuZhiSunShi" label="无形资产处置损失" mulRef="_GBC_f8678a9a1bbf4b0697744c5d21146839" unitRef="_GBC_61e3e82ad5404a9987623525ac03d95e" addr="T0R3C1S1_1" formatStyle="Comma" appId="_GBC_6d4b8ac674ce425b8c798e92aa1fe455"/>
      <m:item xlName="_GBC_df51c1a92ea047af8469ba2da651e159" concept="clcid-pte:WuXingZiChanChuZhiSunShi" label="无形资产处置损失" periodRef="上年同期数" mulRef="_GBC_f8678a9a1bbf4b0697744c5d21146839" unitRef="_GBC_61e3e82ad5404a9987623525ac03d95e" addr="T0R3C2S1_1" formatStyle="Comma" appId="_GBC_6d4b8ac674ce425b8c798e92aa1fe455"/>
      <m:item xlName="_GBC_7fb5c7e66af54c8586b9d0feed2bb57e" concept="clcid-pte:WuXingZiChanChuZhiSunShiJiRuDangQiFeiJingChangXingSunYiDeJinE" label="无形资产处置损失计入当期非经常性损益的金额" mulRef="_GBC_f8678a9a1bbf4b0697744c5d21146839" unitRef="_GBC_61e3e82ad5404a9987623525ac03d95e" addr="T0R3C3S1_1" formatStyle="Comma" appId="_GBC_6d4b8ac674ce425b8c798e92aa1fe455"/>
      <m:placeholder xlName="_PLD_0f53d1ad8d2b4caaa20b1148cb431ce5" addr="T0R4C0S1_1"/>
      <m:item xlName="_GBC_a5bc6323729f4af18b1e0f22b4943cb8" concept="clcid-pte:ZhaiWuZhongZuSunShi" label="债务重组损失" mulRef="_GBC_f8678a9a1bbf4b0697744c5d21146839" unitRef="_GBC_61e3e82ad5404a9987623525ac03d95e" addr="T0R4C1S1_1" formatStyle="Comma" appId="_GBC_6d4b8ac674ce425b8c798e92aa1fe455"/>
      <m:item xlName="_GBC_9e1064b9e81f4c7aa7909056d64122da" concept="clcid-pte:ZhaiWuZhongZuSunShi" label="债务重组损失" periodRef="上年同期数" mulRef="_GBC_f8678a9a1bbf4b0697744c5d21146839" unitRef="_GBC_61e3e82ad5404a9987623525ac03d95e" addr="T0R4C2S1_1" formatStyle="Comma" appId="_GBC_6d4b8ac674ce425b8c798e92aa1fe455"/>
      <m:item xlName="_GBC_4a432e528451447da5b21217365f944a" concept="clcid-pte:ZhaiWuZhongZuSunShiJiRuDangQiFeiJingChangXingSunYiDeJinE" label="债务重组损失计入当期非经常性损益的金额" mulRef="_GBC_f8678a9a1bbf4b0697744c5d21146839" unitRef="_GBC_61e3e82ad5404a9987623525ac03d95e" addr="T0R4C3S1_1" formatStyle="Comma" appId="_GBC_6d4b8ac674ce425b8c798e92aa1fe455"/>
      <m:placeholder xlName="_PLD_ff6c8e36ebb64fad860979a13314fa7a" addr="T0R5C0S1_1"/>
      <m:item xlName="_GBC_851b1c832d204931a254a78ec0a6ddf8" concept="clcid-pte:FeiHuoBiXingZiChanJiaoHuanSunShi" label="非货币性资产交换损失(营业外支出)" mulRef="_GBC_f8678a9a1bbf4b0697744c5d21146839" unitRef="_GBC_61e3e82ad5404a9987623525ac03d95e" addr="T0R5C1S1_1" formatStyle="Comma" appId="_GBC_6d4b8ac674ce425b8c798e92aa1fe455"/>
      <m:item xlName="_GBC_86e780b0f5aa44d7a3d9beda378178cd" concept="clcid-pte:FeiHuoBiXingZiChanJiaoHuanSunShi" label="非货币性资产交换损失(营业外支出)" periodRef="上年同期数" mulRef="_GBC_f8678a9a1bbf4b0697744c5d21146839" unitRef="_GBC_61e3e82ad5404a9987623525ac03d95e" addr="T0R5C2S1_1" formatStyle="Comma" appId="_GBC_6d4b8ac674ce425b8c798e92aa1fe455"/>
      <m:item xlName="_GBC_6f6825d08e1844ab88290237e1a73015" concept="clcid-pte:FeiHuoBiXingZiChanJiaoHuanSunShiJiRuDangQiFeiJingChangXingSunYiDeJinE" label="非货币性资产交换损失计入当期非经常性损益的金额" mulRef="_GBC_f8678a9a1bbf4b0697744c5d21146839" unitRef="_GBC_61e3e82ad5404a9987623525ac03d95e" addr="T0R5C3S1_1" formatStyle="Comma" appId="_GBC_6d4b8ac674ce425b8c798e92aa1fe455"/>
      <m:placeholder xlName="_PLD_e707af1f17d74e7e8797d89b47050da8" addr="T0R6C0S1_1"/>
      <m:item xlName="_GBC_e583e7b02dab44dbbf633c4d5dae746b" concept="clcid-pte:DuiWaiJuanZeng" label="对外捐赠" mulRef="_GBC_f8678a9a1bbf4b0697744c5d21146839" unitRef="_GBC_61e3e82ad5404a9987623525ac03d95e" addr="T0R6C1S1_1" formatStyle="Comma" appId="_GBC_6d4b8ac674ce425b8c798e92aa1fe455"/>
      <m:item xlName="_GBC_f00f1f464d56426ca391a5e406ccf039" concept="clcid-pte:DuiWaiJuanZeng" label="对外捐赠" periodRef="上年同期数" mulRef="_GBC_f8678a9a1bbf4b0697744c5d21146839" unitRef="_GBC_61e3e82ad5404a9987623525ac03d95e" addr="T0R6C2S1_1" formatStyle="Comma" appId="_GBC_6d4b8ac674ce425b8c798e92aa1fe455"/>
      <m:item xlName="_GBC_fde785e651b74623ada089488400c47d" concept="clcid-pte:DuiWaiJuanZengJiRuDangQiFeiJingChangXingSunYiDeJinE" label="对外捐赠计入当期非经常性损益的金额" mulRef="_GBC_f8678a9a1bbf4b0697744c5d21146839" unitRef="_GBC_61e3e82ad5404a9987623525ac03d95e" addr="T0R6C3S1_1" formatStyle="Comma" appId="_GBC_6d4b8ac674ce425b8c798e92aa1fe455"/>
      <m:tuple xlName="_GBC_5b9df89383994b599a7029fc70bb3881" concept="clcid-pte:YingYeWaiZhiChuMingXi" default_row="2" addr="T0R7C">
        <m:item xlName="_GBC_f6927f1ee5b54465a9030c5dccab7653" concept="clcid-pte:YingYeWaiZhiChuXiangMu" label="营业外支出项目" addr="T0R7C0S1_1" appId="_GBC_6d4b8ac674ce425b8c798e92aa1fe455"/>
        <m:item xlName="_GBC_d8bd7284bb7b4491bc8b59df9f927218" concept="clcid-pte:YingYeWaiZhiChuJinE" label="营业外支出金额" mulRef="_GBC_f8678a9a1bbf4b0697744c5d21146839" unitRef="_GBC_61e3e82ad5404a9987623525ac03d95e" addr="T0R7C1S1_1" formatStyle="Comma" appId="_GBC_6d4b8ac674ce425b8c798e92aa1fe455"/>
        <m:item xlName="_GBC_99b51394d56848118bf4cf216e08322c" concept="clcid-pte:YingYeWaiZhiChuJinE" label="营业外支出金额" periodRef="上年同期数" mulRef="_GBC_f8678a9a1bbf4b0697744c5d21146839" unitRef="_GBC_61e3e82ad5404a9987623525ac03d95e" addr="T0R7C2S1_1" formatStyle="Comma" appId="_GBC_6d4b8ac674ce425b8c798e92aa1fe455"/>
        <m:item xlName="_GBC_61d600f278e24d4487b6d8c411a2c8ab" concept="clcid-pte:YingYeWaiZhiChuJinEJiRuDangQiFeiJingChangXingSunYiDeJinE" label="营业外支出金额计入当期非经常性损益的金额" mulRef="_GBC_f8678a9a1bbf4b0697744c5d21146839" unitRef="_GBC_61e3e82ad5404a9987623525ac03d95e" addr="T0R7C3S1_1" formatStyle="Comma" appId="_GBC_6d4b8ac674ce425b8c798e92aa1fe455"/>
      </m:tuple>
      <m:placeholder xlName="_PLD_c2b9d5e76f4549198980f8ca24fe3112" addr="T0R9C0S1_1"/>
      <m:item xlName="_GBC_085ac86af74e486781bc9e70d758e2e8" concept="clcid-pte:YingYeWaiZhiChu" label="营业外支出" mulRef="_GBC_f8678a9a1bbf4b0697744c5d21146839" unitRef="_GBC_61e3e82ad5404a9987623525ac03d95e" addr="T0R9C1S1_1" formatStyle="Comma" appId="_GBC_6d4b8ac674ce425b8c798e92aa1fe455">
        <m:complexRule comparator="Eq" title="营业外支出" test=" $_GBC_ced1163ad2a24db6b7b2944202eaac93 +  $_GBC_a5bc6323729f4af18b1e0f22b4943cb8 +  $_GBC_851b1c832d204931a254a78ec0a6ddf8 +  $_GBC_e583e7b02dab44dbbf633c4d5dae746b +  $_GBC_d8bd7284bb7b4491bc8b59df9f927218" id="Ca34dd39bf4384cd6a709e6660e950c75" serialType="1"/>
      </m:item>
      <m:item xlName="_GBC_53de334f8694468290e02ab55ff1d33c" concept="clcid-pte:YingYeWaiZhiChu" label="营业外支出" periodRef="上年同期数" mulRef="_GBC_f8678a9a1bbf4b0697744c5d21146839" unitRef="_GBC_61e3e82ad5404a9987623525ac03d95e" addr="T0R9C2S1_1" formatStyle="Comma" appId="_GBC_6d4b8ac674ce425b8c798e92aa1fe455">
        <m:complexRule comparator="Eq" title="营业外支出@上年同期数" test=" $_GBC_d164bec9726d444584f86c9e23a53595 +  $_GBC_9e1064b9e81f4c7aa7909056d64122da +  $_GBC_86e780b0f5aa44d7a3d9beda378178cd +  $_GBC_f00f1f464d56426ca391a5e406ccf039 +  $_GBC_99b51394d56848118bf4cf216e08322c" id="Cbf08fadd6ca04f2695c1e7d467225304" serialType="1"/>
      </m:item>
      <m:item xlName="_GBC_1455bcffc4334a26bd8d01694824cf65" concept="clcid-pte:YingYeWaiZhiChuHeJiJiRuDangQiFeiJingChangXingSunYiDeJinE" label="营业外支出合计计入当期非经常性损益的金额" mulRef="_GBC_f8678a9a1bbf4b0697744c5d21146839" unitRef="_GBC_61e3e82ad5404a9987623525ac03d95e" addr="T0R9C3S1_1" formatStyle="Comma" appId="_GBC_6d4b8ac674ce425b8c798e92aa1fe455">
        <m:complexRule comparator="Eq" title="营业外支出合计计入当期非经常性损益的金额" test=" $_GBC_f8278aa8803f434a9979e846ea71bcb1 +  $_GBC_4a432e528451447da5b21217365f944a +  $_GBC_6f6825d08e1844ab88290237e1a73015 +  $_GBC_fde785e651b74623ada089488400c47d +  $_GBC_61d600f278e24d4487b6d8c411a2c8ab" id="C1ac7c7ad4bd64c449c4184b200409738" serialType="1"/>
      </m:item>
      <m:item xlName="_GBC_948d4d2c5cfc43b999d968de3476bc75" concept="clcid-pte:YingYeWaiZhiChuShuoMing" label="营业外支出说明" appId="_GBC_6d4b8ac674ce425b8c798e92aa1fe455"/>
    </m:section>
    <m:section xlName="_GBC_c8eb4731730a4ca395e992a85b3eafe1" title="所得税费用" convertSummaryRule="NoConvert" helpId="112001119">
      <m:item xlName="_GBC_61ff35087b014685a6e03347957ab922" concept="clcid-ci-ar:ShiFouShiYongSuoDeShuiFeiYongBiao" label="是否适用：所得税费用表" selectOptions="_buildInAppliance" controlType="CustomCheckbox" cRanges="{&quot;StartName&quot;:&quot;_GBC_61ff35087b014685a6e03347957ab922&quot;,&quot;EndName&quot;:&quot;_GBC_0d584eb8603b4573bd92a1a8466aeae4&quot;,&quot;CType&quot;:1,&quot;DisplayText&quot;:null}"/>
      <m:item xlName="_GBC_18ed8ed511fe4791a90ee25fc956bd2b" concept="clcid-ci-ar:DanWeiCaiWuFuZhuSuoDeShuiFeiYong" label="单位：财务附注：所得税费用" selectOptions="_buildInScales" controlType="Combobox" cellType="Scale" appId="_GBC_61ff35087b014685a6e03347957ab922"/>
      <m:item xlName="_GBC_ecc6df02f1744ff084d6c0d30045219a" concept="clcid-ci-ar:BiZhongCaiWuFuZhuSuoDeShuiFeiYong" label="币种：财务附注：所得税费用" selectOptions="_buildInISO4217" controlType="Combobox" cellType="Measure" appId="_GBC_61ff35087b014685a6e03347957ab922"/>
      <m:placeholder xlName="_PLD_951f380ec376457cb80126c7d6018f65" addr="T0R0C0S1_1"/>
      <m:placeholder xlName="_PLD_1e59791ce9d340b7b60e63b833f13708" addr="T0R0C1S1_1"/>
      <m:placeholder xlName="_PLD_23c0825dcbc74481a17a7811dee40e02" addr="T0R0C2S1_1"/>
      <m:placeholder xlName="_PLD_b39e72286fda4bb1bc103f3a09099c07" addr="T0R1C0S1_1"/>
      <m:item xlName="_GBC_b03d15b67fa440059f0578002cbf319e" concept="clcid-pte:SuoDeShuiFeiYongHeJi" label="所得税费用合计" mulRef="_GBC_18ed8ed511fe4791a90ee25fc956bd2b" unitRef="_GBC_ecc6df02f1744ff084d6c0d30045219a" addr="T0R1C1S1_1" formatStyle="Comma" appId="_GBC_61ff35087b014685a6e03347957ab922"/>
      <m:item xlName="_GBC_62a3e70600c64d6a98faccca7a25dc9b" concept="clcid-pte:SuoDeShuiFeiYongHeJi" label="所得税费用合计" periodRef="上年同期数" mulRef="_GBC_18ed8ed511fe4791a90ee25fc956bd2b" unitRef="_GBC_ecc6df02f1744ff084d6c0d30045219a" addr="T0R1C2S1_1" formatStyle="Comma" appId="_GBC_61ff35087b014685a6e03347957ab922"/>
      <m:placeholder xlName="_PLD_50b3fec6faac445b9c252906a5bcf507" addr="T0R2C0S1_1"/>
      <m:item xlName="_GBC_42e37273657d4b47ad3ca4a4c41ae12f" concept="clcid-pte:DiYanSuoDeShuiFeiYong" label="递延所得税费用" mulRef="_GBC_18ed8ed511fe4791a90ee25fc956bd2b" unitRef="_GBC_ecc6df02f1744ff084d6c0d30045219a" addr="T0R2C1S1_1" formatStyle="Comma" appId="_GBC_61ff35087b014685a6e03347957ab922"/>
      <m:item xlName="_GBC_aed55a3da9544323914e68d6c647c49f" concept="clcid-pte:DiYanSuoDeShuiFeiYong" label="递延所得税费用" periodRef="上年同期数" mulRef="_GBC_18ed8ed511fe4791a90ee25fc956bd2b" unitRef="_GBC_ecc6df02f1744ff084d6c0d30045219a" addr="T0R2C2S1_1" formatStyle="Comma" appId="_GBC_61ff35087b014685a6e03347957ab922"/>
      <m:tuple xlName="_GBC_addf9f4d91c7433594594e23cb371f51" concept="clcid-pte:SuoDeShuiMingXi" default_row="2" addr="T0R3C">
        <m:item xlName="_GBC_c9bc66af6f3e42929a8f2754ecfdde5c" concept="clcid-pte:SuoDeShuiXiangMu" label="所得税项目" addr="T0R3C0S1_1" appId="_GBC_61ff35087b014685a6e03347957ab922"/>
        <m:item xlName="_GBC_83ed33b4dda04265becfe105072b3ccc" concept="clcid-pte:SuoDeShuiJinE" label="所得税金额" mulRef="_GBC_18ed8ed511fe4791a90ee25fc956bd2b" unitRef="_GBC_ecc6df02f1744ff084d6c0d30045219a" addr="T0R3C1S1_1" formatStyle="Comma" appId="_GBC_61ff35087b014685a6e03347957ab922"/>
        <m:item xlName="_GBC_2527bb4b55b249e1ae0f464c4721304a" concept="clcid-pte:SuoDeShuiJinE" label="所得税金额" periodRef="上年同期数" mulRef="_GBC_18ed8ed511fe4791a90ee25fc956bd2b" unitRef="_GBC_ecc6df02f1744ff084d6c0d30045219a" addr="T0R3C2S1_1" formatStyle="Comma" appId="_GBC_61ff35087b014685a6e03347957ab922"/>
      </m:tuple>
      <m:placeholder xlName="_PLD_10ad171e28bb4cf3957eba2cca611ce8" addr="T0R5C0S1_1"/>
      <m:item xlName="_GBC_91ee4b106ed6479b8d14b09554ebf054" concept="clcid-pte:SuoDeShui" label="所得税" mulRef="_GBC_18ed8ed511fe4791a90ee25fc956bd2b" unitRef="_GBC_ecc6df02f1744ff084d6c0d30045219a" addr="T0R5C1S1_1" formatStyle="Comma" appId="_GBC_61ff35087b014685a6e03347957ab922">
        <m:complexRule comparator="Eq" title="所得税" test=" $_GBC_b03d15b67fa440059f0578002cbf319e +  $_GBC_42e37273657d4b47ad3ca4a4c41ae12f +  $_GBC_83ed33b4dda04265becfe105072b3ccc" id="C37901e2a6cee482faeea7a4d1d1050c0" serialType="1"/>
      </m:item>
      <m:item xlName="_GBC_0d584eb8603b4573bd92a1a8466aeae4" concept="clcid-pte:SuoDeShui" label="所得税" periodRef="上年同期数" mulRef="_GBC_18ed8ed511fe4791a90ee25fc956bd2b" unitRef="_GBC_ecc6df02f1744ff084d6c0d30045219a" addr="T0R5C2S1_1" formatStyle="Comma" appId="_GBC_61ff35087b014685a6e03347957ab922">
        <m:complexRule comparator="Eq" title="所得税@上年同期数" test=" $_GBC_62a3e70600c64d6a98faccca7a25dc9b +  $_GBC_aed55a3da9544323914e68d6c647c49f +  $_GBC_2527bb4b55b249e1ae0f464c4721304a" id="C44a77671fd9347019c20b1a732838ea6" serialType="1"/>
      </m:item>
      <m:item xlName="_GBC_92a49ce6320645cc9101c809f426c9db" concept="clcid-ci-ar:ShiFouShiYongHuiJiLiRunYuSuoDeShuiFeiYongDiaoZhengGuoCheng" label="是否适用：会计利润与所得税费用调整过程" selectOptions="_buildInAppliance" controlType="CustomCheckbox" cRanges="{&quot;StartName&quot;:&quot;_GBC_92a49ce6320645cc9101c809f426c9db&quot;,&quot;EndName&quot;:&quot;_GBC_9b0f279282f24d3f94a9cd24362ffd8f&quot;,&quot;CType&quot;:1,&quot;DisplayText&quot;:null}"/>
      <m:item xlName="_GBC_8b3d0d6296b944dcbc6077158d5eb7ca" concept="clcid-ci-ar:DanWeiHuiJiLiRunYuSuoDeShuiFeiYongDiaoZhengGuoCheng" label="单位：会计利润与所得税费用调整过程" selectOptions="_buildInScales" controlType="Combobox" cellType="Scale" appId="_GBC_92a49ce6320645cc9101c809f426c9db"/>
      <m:item xlName="_GBC_f07b399def8f4b49bdebcbb56994fb61" concept="clcid-ci-ar:BiZhongHuiJiLiRunYuSuoDeShuiFeiYongDiaoZhengGuoCheng" label="币种：会计利润与所得税费用调整过程" selectOptions="_buildInISO4217" controlType="Combobox" cellType="Measure" appId="_GBC_92a49ce6320645cc9101c809f426c9db"/>
      <m:placeholder xlName="_PLD_762c770e68ab4734ab4b1455db567f92" addr="T1R0C0S1_1"/>
      <m:placeholder xlName="_PLD_dbffde77b3344828a64e53b9962d0e3a" addr="T1R0C1S1_1"/>
      <m:placeholder xlName="_PLD_e49aa9df3fa0441889c07b63b32585c5" addr="T1R1C0S1_1"/>
      <m:item xlName="_GBC_d88a4b81141c4f5c919b30670b11c15b" concept="clcid-pte:LiRunZongE" label="利润总额" mulRef="_GBC_8b3d0d6296b944dcbc6077158d5eb7ca" unitRef="_GBC_f07b399def8f4b49bdebcbb56994fb61" addr="T1R1C1S1_1" formatStyle="Comma" appId="_GBC_92a49ce6320645cc9101c809f426c9db"/>
      <m:placeholder xlName="_PLD_bcfd0d413e444c6f881fc95e048d73ce" addr="T1R2C0S1_1"/>
      <m:item xlName="_GBC_f868e27441744485acc21b8ada0237aa" concept="clcid-pte:AnFaDingShiYongShuiLvJiSuanDeSuoDeShuiFeiYong" label="按法定/适用税率计算的所得税费用" mulRef="_GBC_8b3d0d6296b944dcbc6077158d5eb7ca" unitRef="_GBC_f07b399def8f4b49bdebcbb56994fb61" addr="T1R2C1S1_1" formatStyle="Comma" appId="_GBC_92a49ce6320645cc9101c809f426c9db"/>
      <m:placeholder xlName="_PLD_dc5f6e856113456cb1312b5cf234201d" addr="T1R3C0S1_1"/>
      <m:item xlName="_GBC_bd377be4e62d4327a364073ab5736d62" concept="clcid-pte:ZiGongSiShiYongBuTongShuiLvDeYingXiang" label="子公司适用不同税率的影响" mulRef="_GBC_8b3d0d6296b944dcbc6077158d5eb7ca" unitRef="_GBC_f07b399def8f4b49bdebcbb56994fb61" addr="T1R3C1S1_1" formatStyle="Comma" appId="_GBC_92a49ce6320645cc9101c809f426c9db"/>
      <m:placeholder xlName="_PLD_a18b0f1e64674563b277a2e43b991ab6" addr="T1R4C0S1_1"/>
      <m:item xlName="_GBC_a5f3fb06aacb46f29557bd74e21e5994" concept="clcid-pte:DiaoZhengYiQianQiJianSuoDeShuiDeYingXiang" label="调整以前期间所得税的影响" mulRef="_GBC_8b3d0d6296b944dcbc6077158d5eb7ca" unitRef="_GBC_f07b399def8f4b49bdebcbb56994fb61" addr="T1R4C1S1_1" formatStyle="Comma" appId="_GBC_92a49ce6320645cc9101c809f426c9db"/>
      <m:placeholder xlName="_PLD_451dd13012144866aaf62c35812344d7" addr="T1R5C0S1_1"/>
      <m:item xlName="_GBC_5b629954b60145cebb272dcd75719140" concept="clcid-pte:FeiYingShuiShouRuDeYingXiang" label="非应税收入的影响" mulRef="_GBC_8b3d0d6296b944dcbc6077158d5eb7ca" unitRef="_GBC_f07b399def8f4b49bdebcbb56994fb61" addr="T1R5C1S1_1" formatStyle="Comma" appId="_GBC_92a49ce6320645cc9101c809f426c9db"/>
      <m:placeholder xlName="_PLD_0906044dc7ff47d6ba8d4be46514c623" addr="T1R6C0S1_1"/>
      <m:item xlName="_GBC_d4611f12fa144d3ab7f01b27be0c2dbc" concept="clcid-pte:BuKeDiKouDeChengBenFeiYongHeSunShiDeYingXiang" label="不可抵扣的成本、费用和损失的影响" mulRef="_GBC_8b3d0d6296b944dcbc6077158d5eb7ca" unitRef="_GBC_f07b399def8f4b49bdebcbb56994fb61" addr="T1R6C1S1_1" formatStyle="Comma" appId="_GBC_92a49ce6320645cc9101c809f426c9db"/>
      <m:placeholder xlName="_PLD_958280e6456341698f323fb9f71bf973" addr="T1R7C0S1_1"/>
      <m:item xlName="_GBC_749fe7a96afd4f1faef276a87947ff0e" concept="clcid-pte:ShiYongQianQiWeiQueRenDiYanSuoDeShuiZiChanDeKeDiKouKuiSunDeYingXiang" label="使用前期未确认递延所得税资产的可抵扣亏损的影响" mulRef="_GBC_8b3d0d6296b944dcbc6077158d5eb7ca" unitRef="_GBC_f07b399def8f4b49bdebcbb56994fb61" addr="T1R7C1S1_1" formatStyle="Comma" appId="_GBC_92a49ce6320645cc9101c809f426c9db"/>
      <m:placeholder xlName="_PLD_ba3d89f087964402b8cb1b2a58f5d0ba" addr="T1R8C0S1_1"/>
      <m:item xlName="_GBC_67e51bf233ba4e2eaec71a8b8dc082ce" concept="clcid-pte:BenQiWeiQueRenDiYanSuoDeShuiZiChanDeKeDiKouZanShiXingChaYiHuoKeDiKouKuiSunDeYingXiang" label="本期未确认递延所得税资产的可抵扣暂时性差异或可抵扣亏损的影响" mulRef="_GBC_8b3d0d6296b944dcbc6077158d5eb7ca" unitRef="_GBC_f07b399def8f4b49bdebcbb56994fb61" addr="T1R8C1S1_1" formatStyle="Comma" appId="_GBC_92a49ce6320645cc9101c809f426c9db"/>
      <m:tuple xlName="_GBC_60d81dc4e69b413a8b1a7ba0bc4ad0f0" concept="clcid-pte:HuiJiLiRunYuSuoDeShuiFeiYongDiaoZhengGuoChengMingXi" default_row="2" addr="T1R9C">
        <m:item xlName="_GBC_208b4ba3724848e495b1905219c5c7bc" concept="clcid-pte:HuiJiLiRunYuSuoDeShuiFeiYongDiaoZhengGuoChengMingXiXiangMuMingCheng" label="会计利润与所得税费用调整过程明细-项目名称" addr="T1R9C0S1_1" appId="_GBC_92a49ce6320645cc9101c809f426c9db"/>
        <m:item xlName="_GBC_51b843ab4a0e4b5d8ff311ce587a3e24" concept="clcid-pte:HuiJiLiRunYuSuoDeShuiFeiYongDiaoZhengGuoChengMingXiFaShengE" label="会计利润与所得税费用调整过程明细-发生额" mulRef="_GBC_8b3d0d6296b944dcbc6077158d5eb7ca" unitRef="_GBC_f07b399def8f4b49bdebcbb56994fb61" addr="T1R9C1S1_1" formatStyle="Comma" appId="_GBC_92a49ce6320645cc9101c809f426c9db"/>
      </m:tuple>
      <m:placeholder xlName="_PLD_2fe3b63863164c92a5502c41abff42f1" addr="T1R11C0S1_1"/>
      <m:item xlName="_GBC_9b0f279282f24d3f94a9cd24362ffd8f" concept="clcid-pte:AnShiJiShuiLvJiSuanDeSuoDeShuiFeiYong" label="按实际税率计算的所得税费用" mulRef="_GBC_8b3d0d6296b944dcbc6077158d5eb7ca" unitRef="_GBC_f07b399def8f4b49bdebcbb56994fb61" addr="T1R11C1S1_1" formatStyle="Comma" appId="_GBC_92a49ce6320645cc9101c809f426c9db"/>
      <m:item xlName="_GBC_0363d79a647b4d96aa5d7b72c93b1e45" concept="clcid-ci-ar:ShiFouShiYongSuoDeShuiFeiYongDeShuoMing" label="是否适用：所得税费用的说明" selectOptions="_buildInAppliance" controlType="CustomCheckbox" cRanges="{&quot;StartName&quot;:&quot;_GBC_0363d79a647b4d96aa5d7b72c93b1e45&quot;,&quot;EndName&quot;:&quot;_GBC_1ef974b057044ea3b8708f5ded819a45&quot;,&quot;CType&quot;:1,&quot;DisplayText&quot;:null}"/>
      <m:item xlName="_GBC_1ef974b057044ea3b8708f5ded819a45" concept="clcid-pte:SuoDeShuiFeiYongDeShuoMing" label="所得税费用的说明" appId="_GBC_0363d79a647b4d96aa5d7b72c93b1e45"/>
    </m:section>
    <m:section xlName="_GBC_a490950b62a146d9901e0aeb01787f97" title="其他综合收益" helpId="112001121">
      <m:item xlName="_GBC_bef6c47936994e5e94c77d5dd812be30" concept="clcid-ci-ar:ShiFouShiYongQiTaZongHeShouYi" label="是否适用：其他综合收益" selectOptions="_buildInAppliance" controlType="CustomCheckbox" cRanges="{&quot;StartName&quot;:&quot;_GBC_bef6c47936994e5e94c77d5dd812be30&quot;,&quot;EndName&quot;:&quot;_GBC_6f59ae7e2b78472ea4fa736cbb8f062d&quot;,&quot;CType&quot;:1,&quot;DisplayText&quot;:null}"/>
      <m:item xlName="_GBC_6f59ae7e2b78472ea4fa736cbb8f062d" concept="clcid-pte:QiTaZongHeShouYiXiangJianFuZhu" label="其他综合收益详见附注" appId="_GBC_bef6c47936994e5e94c77d5dd812be30"/>
    </m:section>
    <m:section xlName="_GBC_aebbed0d25f14d50b64339a751dec4bd" title="收到的其他与经营活动有关的现金" rules="R2015_R11_029" convertSummaryRule="NoConvert" helpId="112002201">
      <m:item xlName="_GBC_c5c1fd7856fd40f88e814da378eb1220" concept="clcid-ci-ar:ShiFouShiYongShouDaoDeQiTaYuJingYingHuoDongYouGuanDeXianJin" label="是否适用：收到的其他与经营活动有关的现金" selectOptions="_buildInAppliance" controlType="CustomCheckbox" cRanges="{&quot;StartName&quot;:&quot;_GBC_c5c1fd7856fd40f88e814da378eb1220&quot;,&quot;EndName&quot;:&quot;_GBC_1204b17e37bf4cc187a1ffb6f9463f05&quot;,&quot;CType&quot;:1,&quot;DisplayText&quot;:null}"/>
      <m:item xlName="_GBC_5ccae82b68484e708f12fda90762616a" concept="clcid-ci-ar:DanWeiCaiWuFuZhuShouDaoDeQiTaYuJingYingHuoDongYouGuanDeXianJin" label="单位：财务附注：收到的其他与经营活动有关的现金" selectOptions="_buildInScales" controlType="Combobox" cellType="Scale" appId="_GBC_c5c1fd7856fd40f88e814da378eb1220"/>
      <m:item xlName="_GBC_fab1e143b1314991a3aebb857ed68a09" concept="clcid-ci-ar:BiZhongCaiWuFuZhuShouDaoDeQiTaYuJingYingHuoDongYouGuanDeXianJin" label="币种：财务附注：收到的其他与经营活动有关的现金" selectOptions="_buildInISO4217" controlType="Combobox" cellType="Measure" appId="_GBC_c5c1fd7856fd40f88e814da378eb1220"/>
      <m:placeholder xlName="_PLD_37a08d49f8e14506929ae8c9544c259e" addr="T0R0C0S1_1"/>
      <m:placeholder xlName="_PLD_f6cb8d17057e4de79000a7b7c263b07e" addr="T0R0C1S1_1"/>
      <m:placeholder xlName="_PLD_28d6db3ec51c43eb8751b53e93c8f270" addr="T0R0C2S1_1"/>
      <m:tuple xlName="_GBC_339bc885f058400ca0c6b375c3f5b0d5" concept="clcid-pte:ShouDaoDeQiTaYuJingYingHuoDongYouGuanDeXianJinMingXi" default_row="2" addr="T0R1C">
        <m:item xlName="_GBC_b84fa5b87b9b424dae0eeeff46ae13f8" concept="clcid-pte:ShouDaoDeQiTaYuJingYingHuoDongYouGuanDeXianJinXiangMu" label="收到的其他与经营活动有关的现金项目" addr="T0R1C0S1_1" appId="_GBC_c5c1fd7856fd40f88e814da378eb1220"/>
        <m:item xlName="_GBC_bb8678f5c017409091d8bfa8cca11173" concept="clcid-pte:ShouDaoDeQiTaYuJingYingHuoDongYouGuanDeXianJinJinE" label="收到的其他与经营活动有关的现金金额" mulRef="_GBC_5ccae82b68484e708f12fda90762616a" unitRef="_GBC_fab1e143b1314991a3aebb857ed68a09" addr="T0R1C1S1_1" formatStyle="Comma" appId="_GBC_c5c1fd7856fd40f88e814da378eb1220"/>
        <m:item xlName="_GBC_ee0f08e779c048378d4aad4d40e5b1e5" concept="clcid-pte:ShouDaoDeQiTaYuJingYingHuoDongYouGuanDeXianJinJinE" label="收到的其他与经营活动有关的现金金额" periodRef="上年同期数" mulRef="_GBC_5ccae82b68484e708f12fda90762616a" unitRef="_GBC_fab1e143b1314991a3aebb857ed68a09" addr="T0R1C2S1_1" formatStyle="Comma" appId="_GBC_c5c1fd7856fd40f88e814da378eb1220"/>
      </m:tuple>
      <m:placeholder xlName="_PLD_68684c586fce4c6e95f718cded68b47c" addr="T0R3C0S1_1"/>
      <m:item xlName="_GBC_490e407e9d6643a6ac8fc5694655ad58" concept="clcid-pte:ShouDaoDeQiTaYuJingYingHuoDongYouGuanDeXianJin" label="收到的其他与经营活动有关的现金" mulRef="_GBC_5ccae82b68484e708f12fda90762616a" unitRef="_GBC_fab1e143b1314991a3aebb857ed68a09" addr="T0R3C1S1_1" formatStyle="Comma" appId="_GBC_c5c1fd7856fd40f88e814da378eb1220">
        <m:complexRule comparator="Eq" title="收到的其他与经营活动有关的现金" test=" $_GBC_bb8678f5c017409091d8bfa8cca11173" id="C305c691287464ee8ad4f6a3f975326c0"/>
      </m:item>
      <m:item xlName="_GBC_149cbaa792354b53aacf64d69a51aaeb" concept="clcid-pte:ShouDaoDeQiTaYuJingYingHuoDongYouGuanDeXianJin" label="收到的其他与经营活动有关的现金" periodRef="上年同期数" mulRef="_GBC_5ccae82b68484e708f12fda90762616a" unitRef="_GBC_fab1e143b1314991a3aebb857ed68a09" addr="T0R3C2S1_1" formatStyle="Comma" appId="_GBC_c5c1fd7856fd40f88e814da378eb1220">
        <m:complexRule comparator="Eq" title="收到的其他与经营活动有关的现金@上年同期数" test=" $_GBC_ee0f08e779c048378d4aad4d40e5b1e5" id="C460af9582a1b4a329270c58d6e9f6b85"/>
      </m:item>
      <m:item xlName="_GBC_1204b17e37bf4cc187a1ffb6f9463f05" concept="clcid-pte:ShouDaoDeQiTaYuJingYingHuoDongYouGuanDeXianJinShuoMing" label="收到的其他与经营活动有关的现金说明" appId="_GBC_c5c1fd7856fd40f88e814da378eb1220"/>
    </m:section>
    <m:section xlName="_GBC_3c8453861c4b4e94956633ec6c228388" title="支付的其他与经营活动有关的现金" rules="R2015_R11_030" convertSummaryRule="NoConvert" helpId="112002201">
      <m:item xlName="_GBC_73331002c48743d9a4438c6eb4a07c95" concept="clcid-ci-ar:ShiFouShiYongZhiFuDeQiTaYuJingYingHuoDongYouGuanDeXianJin" label="是否适用：支付的其他与经营活动有关的现金" selectOptions="_buildInAppliance" controlType="CustomCheckbox" cRanges="{&quot;StartName&quot;:&quot;_GBC_73331002c48743d9a4438c6eb4a07c95&quot;,&quot;EndName&quot;:&quot;_GBC_632dc3caefd547b5b57f9340a021af22&quot;,&quot;CType&quot;:1,&quot;DisplayText&quot;:null}"/>
      <m:item xlName="_GBC_8252d4ac9be64f04b08b1dc08e270310" concept="clcid-ci-ar:DanWeiCaiWuFuZhuZhiFuDeQiTaYuJingYingHuoDongYouGuanDeXianJin" label="单位：财务附注：支付的其他与经营活动有关的现金" selectOptions="_buildInScales" controlType="Combobox" cellType="Scale" appId="_GBC_73331002c48743d9a4438c6eb4a07c95"/>
      <m:item xlName="_GBC_37de812db19b41c8a01d10d8b0365268" concept="clcid-ci-ar:BiZhongCaiWuFuZhuZhiFuDeQiTaYuJingYingHuoDongYouGuanDeXianJin" label="币种：财务附注：支付的其他与经营活动有关的现金" selectOptions="_buildInISO4217" controlType="Combobox" cellType="Measure" appId="_GBC_73331002c48743d9a4438c6eb4a07c95"/>
      <m:placeholder xlName="_PLD_164da6d2b96e42688b06fe557d996ac2" addr="T0R0C0S1_1"/>
      <m:placeholder xlName="_PLD_69d21b5f023448adbd8c69a7e96e585d" addr="T0R0C1S1_1"/>
      <m:placeholder xlName="_PLD_fccf4811cdbb443297a0ce875715525f" addr="T0R0C2S1_1"/>
      <m:tuple xlName="_GBC_9880266c0e6f4e6b92c7692ef64ec140" concept="clcid-pte:ZhiFuDeQiTaYuJingYingHuoDongYouGuanDeXianJinMingXi" default_row="2" addr="T0R1C">
        <m:item xlName="_GBC_af198a7f9e404a7a9ca4111e01159ef1" concept="clcid-pte:ZhiFuDeQiTaYuJingYingHuoDongYouGuanDeXianJinXiangMu" label="支付的其他与经营活动有关的现金项目" addr="T0R1C0S1_1" appId="_GBC_73331002c48743d9a4438c6eb4a07c95"/>
        <m:item xlName="_GBC_11a2c447ed864bc9a8bd22f55e3c9ea6" concept="clcid-pte:ZhiFuDeQiTaYuJingYingHuoDongYouGuanDeXianJinJinE" label="支付的其他与经营活动有关的现金金额" mulRef="_GBC_8252d4ac9be64f04b08b1dc08e270310" unitRef="_GBC_37de812db19b41c8a01d10d8b0365268" addr="T0R1C1S1_1" formatStyle="Comma" appId="_GBC_73331002c48743d9a4438c6eb4a07c95"/>
        <m:item xlName="_GBC_3dd1786623e24d0b86c0704a9b11d743" concept="clcid-pte:ZhiFuDeQiTaYuJingYingHuoDongYouGuanDeXianJinJinE" label="支付的其他与经营活动有关的现金金额" periodRef="上年同期数" mulRef="_GBC_8252d4ac9be64f04b08b1dc08e270310" unitRef="_GBC_37de812db19b41c8a01d10d8b0365268" addr="T0R1C2S1_1" formatStyle="Comma" appId="_GBC_73331002c48743d9a4438c6eb4a07c95"/>
      </m:tuple>
      <m:placeholder xlName="_PLD_4b68c0729f8e49a4ac82fb1d64daa6dc" addr="T0R3C0S1_1"/>
      <m:item xlName="_GBC_f47f73900ce94eb29c10ba090c34f24e" concept="clcid-pte:ZhiFuDeQiTaYuJingYingHuoDongYouGuanDeXianJin" label="支付的其他与经营活动有关的现金" mulRef="_GBC_8252d4ac9be64f04b08b1dc08e270310" unitRef="_GBC_37de812db19b41c8a01d10d8b0365268" addr="T0R3C1S1_1" formatStyle="Comma" appId="_GBC_73331002c48743d9a4438c6eb4a07c95">
        <m:complexRule comparator="Eq" title="支付的其他与经营活动有关的现金" test=" $_GBC_11a2c447ed864bc9a8bd22f55e3c9ea6" id="C4b4fc767a9bd412f919190bfb231344f"/>
      </m:item>
      <m:item xlName="_GBC_ad3a5ba3e77c4ed4aeb154f9fed2d831" concept="clcid-pte:ZhiFuDeQiTaYuJingYingHuoDongYouGuanDeXianJin" label="支付的其他与经营活动有关的现金" periodRef="上年同期数" mulRef="_GBC_8252d4ac9be64f04b08b1dc08e270310" unitRef="_GBC_37de812db19b41c8a01d10d8b0365268" addr="T0R3C2S1_1" formatStyle="Comma" appId="_GBC_73331002c48743d9a4438c6eb4a07c95">
        <m:complexRule comparator="Eq" title="支付的其他与经营活动有关的现金@上年同期数" test=" $_GBC_3dd1786623e24d0b86c0704a9b11d743" id="C526b73943671450caf09d019418cc317"/>
      </m:item>
      <m:item xlName="_GBC_632dc3caefd547b5b57f9340a021af22" concept="clcid-pte:ZhiFuDeQiTaYuJingYingHuoDongYouGuanDeXianJinShuoMing" label="支付的其他与经营活动有关的现金说明" appId="_GBC_73331002c48743d9a4438c6eb4a07c95"/>
    </m:section>
    <m:section xlName="_GBC_7d29c8348da547cab82786074f1b3249" title="收到的其他与投资活动有关的现金" convertSummaryRule="NoConvert" helpId="112002201">
      <m:item xlName="_GBC_ae3b1cf9e3aa408a8867e76d71769712" concept="clcid-ci-ar:ShiFouShiYongShouDaoDeQiTaYuTouZiHuoDongYouGuanDeXianJin" label="是否适用：收到的其他与投资活动有关的现金" selectOptions="_buildInAppliance" controlType="CustomCheckbox" cRanges="{&quot;StartName&quot;:&quot;_GBC_ae3b1cf9e3aa408a8867e76d71769712&quot;,&quot;EndName&quot;:&quot;_GBC_10ad2bcf624d4c49924f65fcffdeebbc&quot;,&quot;CType&quot;:1,&quot;DisplayText&quot;:null}"/>
      <m:item xlName="_GBC_864c08420ed74aa18dcf838d10153475" concept="clcid-ci-ar:DanWeiCaiWuFuZhuShouDaoDeQiTaYuTouZiHuoDongYouGuanDeXianJin" label="单位：财务附注：收到的其他与投资活动有关的现金" selectOptions="_buildInScales" controlType="Combobox" cellType="Scale" appId="_GBC_ae3b1cf9e3aa408a8867e76d71769712"/>
      <m:item xlName="_GBC_557bfe9cc4b045ff8684fc828911efc1" concept="clcid-ci-ar:BiZhongCaiWuFuZhuShouDaoDeQiTaYuTouZiHuoDongYouGuanDeXianJin" label="币种：财务附注：收到的其他与投资活动有关的现金" selectOptions="_buildInISO4217" controlType="Combobox" cellType="Measure" appId="_GBC_ae3b1cf9e3aa408a8867e76d71769712"/>
      <m:placeholder xlName="_PLD_fe329b3300fe449c869fda5c957ed9e6" addr="T0R0C0S1_1"/>
      <m:placeholder xlName="_PLD_e828a524680d4faeb14e148b152d9982" addr="T0R0C1S1_1"/>
      <m:placeholder xlName="_PLD_a8eb20dbb1b143d399d3bde1f6e00fa3" addr="T0R0C2S1_1"/>
      <m:tuple xlName="_GBC_e6aac5cfd8c841e780dd4702b059b16c" concept="clcid-pte:ShouDaoDeQiTaYuTouZiHuoDongYouGuanDeXianJinMingXi" default_row="2" addr="T0R1C">
        <m:item xlName="_GBC_81bfa5b716074397950a21939b7f4533" concept="clcid-pte:ShouDaoDeQiTaYuTouZiHuoDongYouGuanDeXianJinXiangMu" label="收到的其他与投资活动有关的现金项目" addr="T0R1C0S1_1" appId="_GBC_ae3b1cf9e3aa408a8867e76d71769712"/>
        <m:item xlName="_GBC_8e2c2ec41fe6477ca2d5efa7e98d1146" concept="clcid-pte:ShouDaoDeQiTaYuTouZiHuoDongYouGuanDeXianJinJinE" label="收到的其他与投资活动有关的现金金额" mulRef="_GBC_864c08420ed74aa18dcf838d10153475" unitRef="_GBC_557bfe9cc4b045ff8684fc828911efc1" addr="T0R1C1S1_1" formatStyle="Comma" appId="_GBC_ae3b1cf9e3aa408a8867e76d71769712"/>
        <m:item xlName="_GBC_aed0e0d97e55414792279c110badf116" concept="clcid-pte:ShouDaoDeQiTaYuTouZiHuoDongYouGuanDeXianJinJinE" label="收到的其他与投资活动有关的现金金额" periodRef="上年同期数" mulRef="_GBC_864c08420ed74aa18dcf838d10153475" unitRef="_GBC_557bfe9cc4b045ff8684fc828911efc1" addr="T0R1C2S1_1" formatStyle="Comma" appId="_GBC_ae3b1cf9e3aa408a8867e76d71769712"/>
      </m:tuple>
      <m:placeholder xlName="_PLD_7a5b8e3355174a5f94c83cb81ed0821b" addr="T0R3C0S1_1"/>
      <m:item xlName="_GBC_4715425c89ac46069f7acc83fbdd655f" concept="clcid-pte:ShouDaoDeQiTaYuTouZiHuoDongYouGuanDeXianJin" label="收到的其他与投资活动有关的现金" mulRef="_GBC_864c08420ed74aa18dcf838d10153475" unitRef="_GBC_557bfe9cc4b045ff8684fc828911efc1" addr="T0R3C1S1_1" formatStyle="Comma" appId="_GBC_ae3b1cf9e3aa408a8867e76d71769712">
        <m:complexRule comparator="Eq" title="收到的其他与投资活动有关的现金" test=" $_GBC_8e2c2ec41fe6477ca2d5efa7e98d1146" id="C789c8cfbf9e8469fb79e8298b2408127"/>
      </m:item>
      <m:item xlName="_GBC_1d25e868d5df4197af0b17550f5b4ebd" concept="clcid-pte:ShouDaoDeQiTaYuTouZiHuoDongYouGuanDeXianJin" label="收到的其他与投资活动有关的现金" periodRef="上年同期数" mulRef="_GBC_864c08420ed74aa18dcf838d10153475" unitRef="_GBC_557bfe9cc4b045ff8684fc828911efc1" addr="T0R3C2S1_1" formatStyle="Comma" appId="_GBC_ae3b1cf9e3aa408a8867e76d71769712">
        <m:complexRule comparator="Eq" title="收到的其他与投资活动有关的现金@上年同期数" test=" $_GBC_aed0e0d97e55414792279c110badf116" id="C735758a411cc4cc28f967fe17d662c2c"/>
      </m:item>
      <m:item xlName="_GBC_10ad2bcf624d4c49924f65fcffdeebbc" concept="clcid-pte:ShouDaoDeQiTaYuTouZiHuoDongYouGuanDeXianJinShuoMing" label="收到的其他与投资活动有关的现金说明" appId="_GBC_ae3b1cf9e3aa408a8867e76d71769712"/>
    </m:section>
    <m:section xlName="_GBC_fa501b3ede254af6bdfad826e328392a" title="支付的其他与投资活动有关的现金" convertSummaryRule="NoConvert" helpId="112002201">
      <m:item xlName="_GBC_8862c0a38548482cb3b55a82757e3e33" concept="clcid-ci-ar:ShiFouShiYongZhiFuDeQiTaYuTouZiHuoDongYouGuanDeXianJin" label="是否适用：支付的其他与投资活动有关的现金" selectOptions="_buildInAppliance" controlType="CustomCheckbox" cRanges="{&quot;StartName&quot;:&quot;_GBC_8862c0a38548482cb3b55a82757e3e33&quot;,&quot;EndName&quot;:&quot;_GBC_01ca6e937c9f400c901d9f734e0a827f&quot;,&quot;CType&quot;:1,&quot;DisplayText&quot;:null}"/>
      <m:item xlName="_GBC_d10892949aa14ffe8488e5fb3e554708" concept="clcid-ci-ar:DanWeiCaiWuFuZhuZhiFuDeQiTaYuTouZiHuoDongYouGuanDeXianJin" label="单位：财务附注：支付的其他与投资活动有关的现金" selectOptions="_buildInScales" controlType="Combobox" cellType="Scale" appId="_GBC_8862c0a38548482cb3b55a82757e3e33"/>
      <m:item xlName="_GBC_699764a41036486da9355782e929009a" concept="clcid-ci-ar:BiZhongCaiWuFuZhuZhiFuDeQiTaYuTouZiHuoDongYouGuanDeXianJin" label="币种：财务附注：支付的其他与投资活动有关的现金" selectOptions="_buildInISO4217" controlType="Combobox" cellType="Measure" appId="_GBC_8862c0a38548482cb3b55a82757e3e33"/>
      <m:placeholder xlName="_PLD_9d1eae9c142b4411afe63077d56be240" addr="T0R0C0S1_1"/>
      <m:placeholder xlName="_PLD_c15b0147904647a286b23a6481ce17ad" addr="T0R0C1S1_1"/>
      <m:placeholder xlName="_PLD_be0073208a034a9ea119993745bed906" addr="T0R0C2S1_1"/>
      <m:tuple xlName="_GBC_6a364cf9eb8d40e78f70a7d87a1664fd" concept="clcid-pte:ZhiFuDeQiTaYuTouZiHuoDongYouGuanDeXianJinMingXi" default_row="2" addr="T0R1C">
        <m:item xlName="_GBC_cf0772b80f9040959a96fd5102cf6a61" concept="clcid-pte:ZhiFuDeQiTaYuTouZiHuoDongYouGuanDeXianJinXiangMu" label="支付的其他与投资活动有关的现金项目" addr="T0R1C0S1_1" appId="_GBC_8862c0a38548482cb3b55a82757e3e33"/>
        <m:item xlName="_GBC_b91f75d4e2f7417dab66a4df56ba3292" concept="clcid-pte:ZhiFuDeQiTaYuTouZiHuoDongYouGuanDeXianJinJinE" label="支付的其他与投资活动有关的现金金额" mulRef="_GBC_d10892949aa14ffe8488e5fb3e554708" unitRef="_GBC_699764a41036486da9355782e929009a" addr="T0R1C1S1_1" formatStyle="Comma" appId="_GBC_8862c0a38548482cb3b55a82757e3e33"/>
        <m:item xlName="_GBC_49ccf8ed149c4047bd98e5f8e729f9b4" concept="clcid-pte:ZhiFuDeQiTaYuTouZiHuoDongYouGuanDeXianJinJinE" label="支付的其他与投资活动有关的现金金额" periodRef="上年同期数" mulRef="_GBC_d10892949aa14ffe8488e5fb3e554708" unitRef="_GBC_699764a41036486da9355782e929009a" addr="T0R1C2S1_1" formatStyle="Comma" appId="_GBC_8862c0a38548482cb3b55a82757e3e33"/>
      </m:tuple>
      <m:placeholder xlName="_PLD_25eb93d584614399905435b78bc647a8" addr="T0R3C0S1_1"/>
      <m:item xlName="_GBC_9e2d4207551f46488196bc635e487069" concept="clcid-pte:ZhiFuDeQiTaYuTouZiHuoDongYouGuanDeXianJin" label="支付的其他与投资活动有关的现金" mulRef="_GBC_d10892949aa14ffe8488e5fb3e554708" unitRef="_GBC_699764a41036486da9355782e929009a" addr="T0R3C1S1_1" formatStyle="Comma" appId="_GBC_8862c0a38548482cb3b55a82757e3e33">
        <m:complexRule comparator="Eq" title="支付的其他与投资活动有关的现金" test=" $_GBC_b91f75d4e2f7417dab66a4df56ba3292" id="C5bf03a09923a4287a6b673f87e7a7556"/>
      </m:item>
      <m:item xlName="_GBC_5d9d40a767174760926b507590b42888" concept="clcid-pte:ZhiFuDeQiTaYuTouZiHuoDongYouGuanDeXianJin" label="支付的其他与投资活动有关的现金" periodRef="上年同期数" mulRef="_GBC_d10892949aa14ffe8488e5fb3e554708" unitRef="_GBC_699764a41036486da9355782e929009a" addr="T0R3C2S1_1" formatStyle="Comma" appId="_GBC_8862c0a38548482cb3b55a82757e3e33">
        <m:complexRule comparator="Eq" title="支付的其他与投资活动有关的现金@上年同期数" test=" $_GBC_49ccf8ed149c4047bd98e5f8e729f9b4" id="C18a3f0fb03df44b68100c034a3a6d94b"/>
      </m:item>
      <m:item xlName="_GBC_01ca6e937c9f400c901d9f734e0a827f" concept="clcid-pte:ZhiFuDeQiTaYuTouZiHuoDongYouGuanDeXianJinShuoMing" label="支付的其他与投资活动有关的现金说明" appId="_GBC_8862c0a38548482cb3b55a82757e3e33"/>
    </m:section>
    <m:section xlName="_GBC_6e57c618c25c498db37f205341e0c66a" title="收到的其他与筹资活动有关的现金" convertSummaryRule="NoConvert" helpId="112002201">
      <m:item xlName="_GBC_6e82da4b55134cf6aacd6132e71f2c27" concept="clcid-ci-ar:ShiFouShiYongShouDaoDeQiTaYuChouZiHuoDongYouGuanDeXianJin" label="是否适用：收到的其他与筹资活动有关的现金" selectOptions="_buildInAppliance" controlType="CustomCheckbox" cRanges="{&quot;StartName&quot;:&quot;_GBC_6e82da4b55134cf6aacd6132e71f2c27&quot;,&quot;EndName&quot;:&quot;_GBC_cf160106b6d34224a1fbd183426812af&quot;,&quot;CType&quot;:1,&quot;DisplayText&quot;:null}"/>
      <m:item xlName="_GBC_54c629439974499c9df52a114b0272b9" concept="clcid-ci-ar:DanWeiCaiWuFuZhuShouDaoDeQiTaYuChouZiHuoDongYouGuanDeXianJin" label="单位：财务附注：收到的其他与筹资活动有关的现金" selectOptions="_buildInScales" controlType="Combobox" cellType="Scale" appId="_GBC_6e82da4b55134cf6aacd6132e71f2c27"/>
      <m:item xlName="_GBC_0d3b28d58a83411db264b55c970f7fc6" concept="clcid-ci-ar:BiZhongCaiWuFuZhuShouDaoDeQiTaYuChouZiHuoDongYouGuanDeXianJin" label="币种：财务附注：收到的其他与筹资活动有关的现金" selectOptions="_buildInISO4217" controlType="Combobox" cellType="Measure" appId="_GBC_6e82da4b55134cf6aacd6132e71f2c27"/>
      <m:placeholder xlName="_PLD_45e71f75634d40e399bff943b12676a7" addr="T0R0C0S1_1"/>
      <m:placeholder xlName="_PLD_f7b1d7d1151a486eb8533f96d22cda73" addr="T0R0C1S1_1"/>
      <m:placeholder xlName="_PLD_fcd73629839441d485ad661b0568d6af" addr="T0R0C2S1_1"/>
      <m:tuple xlName="_GBC_c32e781f55dd414ab2ff5887b711a905" concept="clcid-pte:ShouDaoDeQiTaYuChouZiHuoDongYouGuanDeXianJinMingXi" default_row="2" addr="T0R1C">
        <m:item xlName="_GBC_319426d7e906474294bbd3b8be5b9bf3" concept="clcid-pte:ShouDaoDeQiTaYuChouZiHuoDongYouGuanDeXianJinXiangMu" label="收到的其他与筹资活动有关的现金项目" addr="T0R1C0S1_1" appId="_GBC_6e82da4b55134cf6aacd6132e71f2c27"/>
        <m:item xlName="_GBC_23a4df945e5c4c59964efc4d9dd8b8f8" concept="clcid-pte:ShouDaoDeQiTaYuChouZiHuoDongYouGuanDeXianJinJinE" label="收到的其他与筹资活动有关的现金金额" mulRef="_GBC_54c629439974499c9df52a114b0272b9" unitRef="_GBC_0d3b28d58a83411db264b55c970f7fc6" addr="T0R1C1S1_1" formatStyle="Comma" appId="_GBC_6e82da4b55134cf6aacd6132e71f2c27"/>
        <m:item xlName="_GBC_8ea97bea035e4c74b0e89c9e01afb822" concept="clcid-pte:ShouDaoDeQiTaYuChouZiHuoDongYouGuanDeXianJinJinE" label="收到的其他与筹资活动有关的现金金额" periodRef="上年同期数" mulRef="_GBC_54c629439974499c9df52a114b0272b9" unitRef="_GBC_0d3b28d58a83411db264b55c970f7fc6" addr="T0R1C2S1_1" formatStyle="Comma" appId="_GBC_6e82da4b55134cf6aacd6132e71f2c27"/>
      </m:tuple>
      <m:placeholder xlName="_PLD_1959febe6b254266b4985c8aadec7ed6" addr="T0R3C0S1_1"/>
      <m:item xlName="_GBC_99de565110b64f909ec6e8d894f3f800" concept="clcid-pte:ShouDaoQiTaYuChouZiHuoDongYouGuanDeXianJin" label="收到其他与筹资活动有关的现金" mulRef="_GBC_54c629439974499c9df52a114b0272b9" unitRef="_GBC_0d3b28d58a83411db264b55c970f7fc6" addr="T0R3C1S1_1" formatStyle="Comma" appId="_GBC_6e82da4b55134cf6aacd6132e71f2c27">
        <m:complexRule comparator="Eq" title="收到其他与筹资活动有关的现金" test=" $_GBC_23a4df945e5c4c59964efc4d9dd8b8f8" id="C2a4b3ba9ecb4467fadba4292beb2a944"/>
      </m:item>
      <m:item xlName="_GBC_98c36aadb94c42b29942afad6b95cf32" concept="clcid-pte:ShouDaoQiTaYuChouZiHuoDongYouGuanDeXianJin" label="收到其他与筹资活动有关的现金" periodRef="上年同期数" mulRef="_GBC_54c629439974499c9df52a114b0272b9" unitRef="_GBC_0d3b28d58a83411db264b55c970f7fc6" addr="T0R3C2S1_1" formatStyle="Comma" appId="_GBC_6e82da4b55134cf6aacd6132e71f2c27">
        <m:complexRule comparator="Eq" title="收到其他与筹资活动有关的现金@上年同期数" test=" $_GBC_8ea97bea035e4c74b0e89c9e01afb822" id="C99e72ac03aa0410b9c9ceb48b7b64d02"/>
      </m:item>
      <m:item xlName="_GBC_cf160106b6d34224a1fbd183426812af" concept="clcid-pte:ShouDaoDeQiTaYuChouZiHuoDongYouGuanDeXianJinShuoMing" label="收到的其他与筹资活动有关的现金说明" appId="_GBC_6e82da4b55134cf6aacd6132e71f2c27"/>
    </m:section>
    <m:section xlName="_GBC_96162aa406234e2485524876a03968e7" title="支付的其他与筹资活动有关的现金" convertSummaryRule="NoConvert" helpId="112002201">
      <m:item xlName="_GBC_cf7fd4869f8d4d98a07243e22bf22793" concept="clcid-ci-ar:ShiFouShiYongZhiFuDeQiTaYuChouZiHuoDongYouGuanDeXianJin" label="是否适用：支付的其他与筹资活动有关的现金" selectOptions="_buildInAppliance" controlType="CustomCheckbox" cRanges="{&quot;StartName&quot;:&quot;_GBC_cf7fd4869f8d4d98a07243e22bf22793&quot;,&quot;EndName&quot;:&quot;_GBC_7240a9be12a64ca5b011a2561db068a1&quot;,&quot;CType&quot;:1,&quot;DisplayText&quot;:null}"/>
      <m:item xlName="_GBC_323ca3d874214911880818d387e0c63b" concept="clcid-ci-ar:DanWeiCaiWuFuZhuZhiFuDeQiTaYuChouZiHuoDongYouGuanDeXianJin" label="单位：财务附注：支付的其他与筹资活动有关的现金" selectOptions="_buildInScales" controlType="Combobox" cellType="Scale" appId="_GBC_cf7fd4869f8d4d98a07243e22bf22793"/>
      <m:item xlName="_GBC_d6726952256941209f32bac8fffa568d" concept="clcid-ci-ar:BiZhongCaiWuFuZhuZhiFuDeQiTaYuChouZiHuoDongYouGuanDeXianJin" label="币种：财务附注：支付的其他与筹资活动有关的现金" selectOptions="_buildInISO4217" controlType="Combobox" cellType="Measure" appId="_GBC_cf7fd4869f8d4d98a07243e22bf22793"/>
      <m:placeholder xlName="_PLD_2b9da6111f3f4cacb3afcfc0de00e1e9" addr="T0R0C0S1_1"/>
      <m:placeholder xlName="_PLD_b6791a7f5c234d80be8964d8fb7b3ce6" addr="T0R0C1S1_1"/>
      <m:placeholder xlName="_PLD_b4a33da4012d47bd8013a6c570bcad87" addr="T0R0C2S1_1"/>
      <m:tuple xlName="_GBC_67ad8c2e4b094cd980237b364226db90" concept="clcid-pte:ZhiFuDeQiTaYuChouZiHuoDongYouGuanDeXianJinMingXi" default_row="2" addr="T0R1C">
        <m:item xlName="_GBC_5ec95a8ad3af47bca79d590691ad8f34" concept="clcid-pte:ZhiFuDeQiTaYuChouZiHuoDongYouGuanDeXianJinXiangMu" label="支付的其他与筹资活动有关的现金项目" addr="T0R1C0S1_1" appId="_GBC_cf7fd4869f8d4d98a07243e22bf22793"/>
        <m:item xlName="_GBC_832d95f732f84417afff23c05d4bb487" concept="clcid-pte:ZhiFuDeQiTaYuChouZiHuoDongYouGuanDeXianJinJinE" label="支付的其他与筹资活动有关的现金金额" mulRef="_GBC_323ca3d874214911880818d387e0c63b" unitRef="_GBC_d6726952256941209f32bac8fffa568d" addr="T0R1C1S1_1" formatStyle="Comma" appId="_GBC_cf7fd4869f8d4d98a07243e22bf22793"/>
        <m:item xlName="_GBC_a5da9807fe004dd1b234bd2f9152108b" concept="clcid-pte:ZhiFuDeQiTaYuChouZiHuoDongYouGuanDeXianJinJinE" label="支付的其他与筹资活动有关的现金金额" periodRef="上年同期数" mulRef="_GBC_323ca3d874214911880818d387e0c63b" unitRef="_GBC_d6726952256941209f32bac8fffa568d" addr="T0R1C2S1_1" formatStyle="Comma" appId="_GBC_cf7fd4869f8d4d98a07243e22bf22793"/>
      </m:tuple>
      <m:placeholder xlName="_PLD_22dc5e1e835f424c922e14021ea4fcda" addr="T0R3C0S1_1"/>
      <m:item xlName="_GBC_0dedc3d9b0cd4188ae5a0c5faf1c3861" concept="clcid-pte:ZhiFuDeQiTaYuChouZiHuoDongYouGuanDeXianJin" label="支付的其他与筹资活动有关的现金" mulRef="_GBC_323ca3d874214911880818d387e0c63b" unitRef="_GBC_d6726952256941209f32bac8fffa568d" addr="T0R3C1S1_1" formatStyle="Comma" appId="_GBC_cf7fd4869f8d4d98a07243e22bf22793">
        <m:complexRule comparator="Eq" title="支付的其他与筹资活动有关的现金" test=" $_GBC_832d95f732f84417afff23c05d4bb487" id="C1df54508c9624b77badf44430b86f858"/>
      </m:item>
      <m:item xlName="_GBC_838fe3f3dcd94199b1701cdf0a830683" concept="clcid-pte:ZhiFuDeQiTaYuChouZiHuoDongYouGuanDeXianJin" label="支付的其他与筹资活动有关的现金" periodRef="上年同期数" mulRef="_GBC_323ca3d874214911880818d387e0c63b" unitRef="_GBC_d6726952256941209f32bac8fffa568d" addr="T0R3C2S1_1" formatStyle="Comma" appId="_GBC_cf7fd4869f8d4d98a07243e22bf22793">
        <m:complexRule comparator="Eq" title="支付的其他与筹资活动有关的现金@上年同期数" test=" $_GBC_a5da9807fe004dd1b234bd2f9152108b" id="Cefbb61d307de4099a819c225ac214fbb"/>
      </m:item>
      <m:item xlName="_GBC_7240a9be12a64ca5b011a2561db068a1" concept="clcid-pte:ZhiFuDeQiTaYuChouZiHuoDongYouGuanDeXianJinShuoMing" label="支付的其他与筹资活动有关的现金说明" appId="_GBC_cf7fd4869f8d4d98a07243e22bf22793"/>
    </m:section>
    <m:section xlName="_GBC_7c9a174810ac4558be4e54f8019d5a1a" title="现金流量表补充资料" helpId="112001123">
      <m:item xlName="_GBC_3ee8e178479245ea907bff86e4dcd54a" concept="clcid-ci-ar:ShiFouShiYongXianJinLiuLiangBiaoBuChongZiLiao" label="是否适用：现金流量表补充资料" selectOptions="_buildInAppliance" controlType="CustomCheckbox" cRanges="{&quot;StartName&quot;:&quot;_GBC_3ee8e178479245ea907bff86e4dcd54a&quot;,&quot;EndName&quot;:&quot;_GBC_e67248b0c6db4e138883c8745d199477&quot;,&quot;CType&quot;:1,&quot;DisplayText&quot;:null}"/>
      <m:item xlName="_GBC_ba7cd13a54fa44929e0fd4c276876d0e" concept="clcid-ci-ar:DanWeiCaiWuFuZhuXianJinLiuLiangBiaoBuChongZiLiao" label="单位：财务附注：现金流量表补充资料" selectOptions="_buildInScales" controlType="Combobox" cellType="Scale" appId="_GBC_3ee8e178479245ea907bff86e4dcd54a"/>
      <m:item xlName="_GBC_715164ef2f2b4f258a0908b254229361" concept="clcid-ci-ar:BiZhongCaiWuFuZhuXianJinLiuLiangBiaoBuChongZiLiao" label="币种：财务附注：现金流量表补充资料" selectOptions="_buildInISO4217" controlType="Combobox" cellType="Measure" appId="_GBC_3ee8e178479245ea907bff86e4dcd54a"/>
      <m:placeholder xlName="_PLD_a6ea455751354381bc869d5865ef3d8f" addr="T0R0C0S1_1"/>
      <m:placeholder xlName="_PLD_0687e3743a4e4e2db7b08855f23641e8" addr="T0R0C1S1_1"/>
      <m:placeholder xlName="_PLD_f90342638d124edea40aa264bbe65e8e" addr="T0R0C2S1_1"/>
      <m:placeholder xlName="_PLD_0a799a1250f946df9181881c4b1f3829" addr="T0R1C0S1_1"/>
      <m:placeholder xlName="_PLD_e8ba8a255d384555b8eb4380916342fb" addr="T0R2C0S1_1"/>
      <m:item xlName="_GBC_48559d235b874ba29b686404006a4731" concept="clcid-pte:JingLiRun" label="净利润" mulRef="_GBC_ba7cd13a54fa44929e0fd4c276876d0e" unitRef="_GBC_715164ef2f2b4f258a0908b254229361" addr="T0R2C1S1_1" formatStyle="Comma" appId="_GBC_3ee8e178479245ea907bff86e4dcd54a"/>
      <m:item xlName="_GBC_a282b6b10ac04f198ee9f8f0ead8a7f5" concept="clcid-pte:JingLiRun" label="净利润" periodRef="上年同期数" mulRef="_GBC_ba7cd13a54fa44929e0fd4c276876d0e" unitRef="_GBC_715164ef2f2b4f258a0908b254229361" addr="T0R2C2S1_1" formatStyle="Comma" appId="_GBC_3ee8e178479245ea907bff86e4dcd54a"/>
      <m:placeholder xlName="_PLD_d7814036ec544a08a51db5a353f5adf0" addr="T0R3C0S1_1"/>
      <m:item xlName="_GBC_6503c95f75b544f1a3438e781e23b1cf" concept="clcid-pte:JiTiDeZiChanJianZhiZhunBei" label="计提的资产减值准备" mulRef="_GBC_ba7cd13a54fa44929e0fd4c276876d0e" unitRef="_GBC_715164ef2f2b4f258a0908b254229361" addr="T0R3C1S1_1" formatStyle="Comma" appId="_GBC_3ee8e178479245ea907bff86e4dcd54a"/>
      <m:item xlName="_GBC_d2c706668df94b0191baeeb9babb5e68" concept="clcid-pte:JiTiDeZiChanJianZhiZhunBei" label="计提的资产减值准备" periodRef="上年同期数" mulRef="_GBC_ba7cd13a54fa44929e0fd4c276876d0e" unitRef="_GBC_715164ef2f2b4f258a0908b254229361" addr="T0R3C2S1_1" formatStyle="Comma" appId="_GBC_3ee8e178479245ea907bff86e4dcd54a"/>
      <m:placeholder xlName="_PLD_0f91129fab43498ab9fd68a182c3fe1b" addr="T0R4C0S1_1"/>
      <m:item xlName="_GBC_9aa4a07141274022a63f8169b3d2e33b" concept="clcid-pte:JiTiDeXinYongJianZhiSunShi" label="计提的信用减值损失" mulRef="_GBC_ba7cd13a54fa44929e0fd4c276876d0e" unitRef="_GBC_715164ef2f2b4f258a0908b254229361" addr="T0R4C1S1_1" formatStyle="Comma" appId="_GBC_3ee8e178479245ea907bff86e4dcd54a"/>
      <m:item xlName="_GBC_7b2ea4d67b90446fb478d32784bd44c7" concept="clcid-pte:JiTiDeXinYongJianZhiSunShi" label="计提的信用减值损失" periodRef="上年同期数" mulRef="_GBC_ba7cd13a54fa44929e0fd4c276876d0e" unitRef="_GBC_715164ef2f2b4f258a0908b254229361" addr="T0R4C2S1_1" formatStyle="Comma" appId="_GBC_3ee8e178479245ea907bff86e4dcd54a"/>
      <m:placeholder xlName="_PLD_874496ee98ed44629fd0638816a4a7d0" addr="T0R5C0S1_1"/>
      <m:item xlName="_GBC_e2d0bb314cb345cb8d76b380c8820b3c" concept="clcid-pte:GuDingZiChanZheJiuYouQiZiChanZheHaoShengChanXingShengWuZiChanZheJiu" label="固定资产折旧、油气资产折耗、生产性生物资产折旧" mulRef="_GBC_ba7cd13a54fa44929e0fd4c276876d0e" unitRef="_GBC_715164ef2f2b4f258a0908b254229361" addr="T0R5C1S1_1" formatStyle="Comma" appId="_GBC_3ee8e178479245ea907bff86e4dcd54a"/>
      <m:item xlName="_GBC_5774d349dbe949d08f6f03f0c0de8781" concept="clcid-pte:GuDingZiChanZheJiuYouQiZiChanZheHaoShengChanXingShengWuZiChanZheJiu" label="固定资产折旧、油气资产折耗、生产性生物资产折旧" periodRef="上年同期数" mulRef="_GBC_ba7cd13a54fa44929e0fd4c276876d0e" unitRef="_GBC_715164ef2f2b4f258a0908b254229361" addr="T0R5C2S1_1" formatStyle="Comma" appId="_GBC_3ee8e178479245ea907bff86e4dcd54a"/>
      <m:placeholder xlName="_PLD_721d42c6411f4a4db89c85694880a730" addr="T0R6C0S1_1"/>
      <m:item xlName="_GBC_dcb459ce76c547e9a08dd337dd1cee0b" concept="clcid-pte:ShiYongQuanZiChanTanXiao" label="使用权资产摊销" mulRef="_GBC_ba7cd13a54fa44929e0fd4c276876d0e" unitRef="_GBC_715164ef2f2b4f258a0908b254229361" addr="T0R6C1S1_1" formatStyle="Comma" appId="_GBC_3ee8e178479245ea907bff86e4dcd54a"/>
      <m:item xlName="_GBC_2e754dded34a4fecb32c9d9a588d6424" concept="clcid-pte:ShiYongQuanZiChanTanXiao" label="使用权资产摊销" periodRef="上年同期数" mulRef="_GBC_ba7cd13a54fa44929e0fd4c276876d0e" unitRef="_GBC_715164ef2f2b4f258a0908b254229361" addr="T0R6C2S1_1" formatStyle="Comma" appId="_GBC_3ee8e178479245ea907bff86e4dcd54a"/>
      <m:placeholder xlName="_PLD_7d21857dddff4f46b0472ee6fc927660" addr="T0R7C0S1_1"/>
      <m:item xlName="_GBC_4a54b2b716c54c0480e61b53aa1d7b1b" concept="clcid-pte:JiaWuXingZiChanTanXiao" label="无形资产摊销" mulRef="_GBC_ba7cd13a54fa44929e0fd4c276876d0e" unitRef="_GBC_715164ef2f2b4f258a0908b254229361" addr="T0R7C1S1_1" formatStyle="Comma" appId="_GBC_3ee8e178479245ea907bff86e4dcd54a"/>
      <m:item xlName="_GBC_ad0469f340934f0e938fc48f00fe787a" concept="clcid-pte:JiaWuXingZiChanTanXiao" label="无形资产摊销" periodRef="上年同期数" mulRef="_GBC_ba7cd13a54fa44929e0fd4c276876d0e" unitRef="_GBC_715164ef2f2b4f258a0908b254229361" addr="T0R7C2S1_1" formatStyle="Comma" appId="_GBC_3ee8e178479245ea907bff86e4dcd54a"/>
      <m:placeholder xlName="_PLD_088800a12fe645aeab959c7549cf4ee3" addr="T0R8C0S1_1"/>
      <m:item xlName="_GBC_924591c319b645e29c50ecff9296bc61" concept="clcid-pte:ChangQiDaiTanFeiYongTanXiao" label="长期待摊费用摊销" mulRef="_GBC_ba7cd13a54fa44929e0fd4c276876d0e" unitRef="_GBC_715164ef2f2b4f258a0908b254229361" addr="T0R8C1S1_1" formatStyle="Comma" appId="_GBC_3ee8e178479245ea907bff86e4dcd54a"/>
      <m:item xlName="_GBC_07e77007dace4f5cb6275eccbef3c6f7" concept="clcid-pte:ChangQiDaiTanFeiYongTanXiao" label="长期待摊费用摊销" periodRef="上年同期数" mulRef="_GBC_ba7cd13a54fa44929e0fd4c276876d0e" unitRef="_GBC_715164ef2f2b4f258a0908b254229361" addr="T0R8C2S1_1" formatStyle="Comma" appId="_GBC_3ee8e178479245ea907bff86e4dcd54a"/>
      <m:placeholder xlName="_PLD_8d8cb21251d34ba1815e334e49c1f773" addr="T0R9C0S1_1"/>
      <m:item xlName="_GBC_0c4612d0335746ce91e9a60690dc895a" concept="clcid-pte:ChuZhiGuDingZiChanWuXingZiChanHeQiTaChangQiZiChanDeSunShi" label="处置固定资产、无形资产和其他长期资产的损失" mulRef="_GBC_ba7cd13a54fa44929e0fd4c276876d0e" unitRef="_GBC_715164ef2f2b4f258a0908b254229361" addr="T0R9C1S1_1" formatStyle="Comma" appId="_GBC_3ee8e178479245ea907bff86e4dcd54a"/>
      <m:item xlName="_GBC_4b982ee3777544db836fb3eca59755d8" concept="clcid-pte:ChuZhiGuDingZiChanWuXingZiChanHeQiTaChangQiZiChanDeSunShi" label="处置固定资产、无形资产和其他长期资产的损失" periodRef="上年同期数" mulRef="_GBC_ba7cd13a54fa44929e0fd4c276876d0e" unitRef="_GBC_715164ef2f2b4f258a0908b254229361" addr="T0R9C2S1_1" formatStyle="Comma" appId="_GBC_3ee8e178479245ea907bff86e4dcd54a"/>
      <m:placeholder xlName="_PLD_b85deb2045874a498f408bd31aa1c639" addr="T0R10C0S1_1"/>
      <m:item xlName="_GBC_a912046f669e471780830eb355945b4e" concept="clcid-pte:GuDingZiChanBaoFeiSunShi" label="固定资产报废损失" mulRef="_GBC_ba7cd13a54fa44929e0fd4c276876d0e" unitRef="_GBC_715164ef2f2b4f258a0908b254229361" addr="T0R10C1S1_1" formatStyle="Comma" appId="_GBC_3ee8e178479245ea907bff86e4dcd54a"/>
      <m:item xlName="_GBC_725616d675194c9e9675e34fb7952975" concept="clcid-pte:GuDingZiChanBaoFeiSunShi" label="固定资产报废损失" periodRef="上年同期数" mulRef="_GBC_ba7cd13a54fa44929e0fd4c276876d0e" unitRef="_GBC_715164ef2f2b4f258a0908b254229361" addr="T0R10C2S1_1" formatStyle="Comma" appId="_GBC_3ee8e178479245ea907bff86e4dcd54a"/>
      <m:placeholder xlName="_PLD_f5daedcccfe54756bef02f32552a8b7b" addr="T0R11C0S1_1"/>
      <m:item xlName="_GBC_1bb0da93aa02452d9fc6fc6c05a2c7c0" concept="clcid-pte:GongYunJiaZhiBianDongSunShi" label="公允价值变动损失" mulRef="_GBC_ba7cd13a54fa44929e0fd4c276876d0e" unitRef="_GBC_715164ef2f2b4f258a0908b254229361" addr="T0R11C1S1_1" formatStyle="Comma" appId="_GBC_3ee8e178479245ea907bff86e4dcd54a"/>
      <m:item xlName="_GBC_4748c00181b441a19b89eca08e0dca28" concept="clcid-pte:GongYunJiaZhiBianDongSunShi" label="公允价值变动损失" periodRef="上年同期数" mulRef="_GBC_ba7cd13a54fa44929e0fd4c276876d0e" unitRef="_GBC_715164ef2f2b4f258a0908b254229361" addr="T0R11C2S1_1" formatStyle="Comma" appId="_GBC_3ee8e178479245ea907bff86e4dcd54a"/>
      <m:placeholder xlName="_PLD_1e4c1f4478ea4e41a213ed937b2d2949" addr="T0R12C0S1_1"/>
      <m:item xlName="_GBC_4eda8d7991354dafaf40e1a558931293" concept="clcid-pte:CaiWuFeiYongBenQiJieFangFaShengE" label="财务费用本期借方发生额" mulRef="_GBC_ba7cd13a54fa44929e0fd4c276876d0e" unitRef="_GBC_715164ef2f2b4f258a0908b254229361" addr="T0R12C1S1_1" formatStyle="Comma" appId="_GBC_3ee8e178479245ea907bff86e4dcd54a"/>
      <m:item xlName="_GBC_5ba2562f6d994e3b96f4f36b18547c60" concept="clcid-pte:CaiWuFeiYongBenQiJieFangFaShengE" label="财务费用本期借方发生额" periodRef="上年同期数" mulRef="_GBC_ba7cd13a54fa44929e0fd4c276876d0e" unitRef="_GBC_715164ef2f2b4f258a0908b254229361" addr="T0R12C2S1_1" formatStyle="Comma" appId="_GBC_3ee8e178479245ea907bff86e4dcd54a"/>
      <m:placeholder xlName="_PLD_fbd860cf427540b4a431128ef763534d" addr="T0R13C0S1_1"/>
      <m:item xlName="_GBC_f255e32f2ccd47309a043897e2d893ef" concept="clcid-pte:TouZiSunShi" label="投资损失" mulRef="_GBC_ba7cd13a54fa44929e0fd4c276876d0e" unitRef="_GBC_715164ef2f2b4f258a0908b254229361" addr="T0R13C1S1_1" formatStyle="Comma" appId="_GBC_3ee8e178479245ea907bff86e4dcd54a"/>
      <m:item xlName="_GBC_164660309a3b4439b38d10d2b0a7ae17" concept="clcid-pte:TouZiSunShi" label="投资损失" periodRef="上年同期数" mulRef="_GBC_ba7cd13a54fa44929e0fd4c276876d0e" unitRef="_GBC_715164ef2f2b4f258a0908b254229361" addr="T0R13C2S1_1" formatStyle="Comma" appId="_GBC_3ee8e178479245ea907bff86e4dcd54a"/>
      <m:placeholder xlName="_PLD_03270151a6684c629b53007cc62dad45" addr="T0R14C0S1_1"/>
      <m:item xlName="_GBC_b6f6a09464d9424585b60bda2b591fa1" concept="clcid-pte:DiYanSuoDeShuiZiChanJianShao" label="递延所得税资产减少" mulRef="_GBC_ba7cd13a54fa44929e0fd4c276876d0e" unitRef="_GBC_715164ef2f2b4f258a0908b254229361" addr="T0R14C1S1_1" formatStyle="Comma" appId="_GBC_3ee8e178479245ea907bff86e4dcd54a"/>
      <m:item xlName="_GBC_2f49e1be5bfa408daf1bf03eead12c01" concept="clcid-pte:DiYanSuoDeShuiZiChanJianShao" label="递延所得税资产减少" periodRef="上年同期数" mulRef="_GBC_ba7cd13a54fa44929e0fd4c276876d0e" unitRef="_GBC_715164ef2f2b4f258a0908b254229361" addr="T0R14C2S1_1" formatStyle="Comma" appId="_GBC_3ee8e178479245ea907bff86e4dcd54a"/>
      <m:placeholder xlName="_PLD_100ead502e934b2fbc5c4c2289a4d701" addr="T0R15C0S1_1"/>
      <m:item xlName="_GBC_ad6f48b1cc4d426fb204f77b6eb961c1" concept="clcid-pte:DiYanSuoDeShuiFuZhaiZengJia" label="递延所得税负债增加" mulRef="_GBC_ba7cd13a54fa44929e0fd4c276876d0e" unitRef="_GBC_715164ef2f2b4f258a0908b254229361" addr="T0R15C1S1_1" formatStyle="Comma" appId="_GBC_3ee8e178479245ea907bff86e4dcd54a"/>
      <m:item xlName="_GBC_8641ecd095b14aea942e118d992a281b" concept="clcid-pte:DiYanSuoDeShuiFuZhaiZengJia" label="递延所得税负债增加" periodRef="上年同期数" mulRef="_GBC_ba7cd13a54fa44929e0fd4c276876d0e" unitRef="_GBC_715164ef2f2b4f258a0908b254229361" addr="T0R15C2S1_1" formatStyle="Comma" appId="_GBC_3ee8e178479245ea907bff86e4dcd54a"/>
      <m:placeholder xlName="_PLD_75c37a3f209d4b1fb608b47efbf0f17b" addr="T0R16C0S1_1"/>
      <m:item xlName="_GBC_3b3ef0fad24340a0969ad496e6a3484f" concept="clcid-pte:CunHuoDeJianShao" label="存货的减少" mulRef="_GBC_ba7cd13a54fa44929e0fd4c276876d0e" unitRef="_GBC_715164ef2f2b4f258a0908b254229361" addr="T0R16C1S1_1" formatStyle="Comma" appId="_GBC_3ee8e178479245ea907bff86e4dcd54a"/>
      <m:item xlName="_GBC_a702827d7adc4f6b8cfc48ee4e7176bc" concept="clcid-pte:CunHuoDeJianShao" label="存货的减少" periodRef="上年同期数" mulRef="_GBC_ba7cd13a54fa44929e0fd4c276876d0e" unitRef="_GBC_715164ef2f2b4f258a0908b254229361" addr="T0R16C2S1_1" formatStyle="Comma" appId="_GBC_3ee8e178479245ea907bff86e4dcd54a"/>
      <m:placeholder xlName="_PLD_6dd2e6fa25164f14ae03eb5c47cfeb92" addr="T0R17C0S1_1"/>
      <m:item xlName="_GBC_b65d971b8baa467fa47ed301ec466d2c" concept="clcid-pte:JingYingXingYingShouXiangMuDeJianShao" label="经营性应收项目的减少" mulRef="_GBC_ba7cd13a54fa44929e0fd4c276876d0e" unitRef="_GBC_715164ef2f2b4f258a0908b254229361" addr="T0R17C1S1_1" formatStyle="Comma" appId="_GBC_3ee8e178479245ea907bff86e4dcd54a"/>
      <m:item xlName="_GBC_f965947c6ab54dd0982da8e89710e489" concept="clcid-pte:JingYingXingYingShouXiangMuDeJianShao" label="经营性应收项目的减少" periodRef="上年同期数" mulRef="_GBC_ba7cd13a54fa44929e0fd4c276876d0e" unitRef="_GBC_715164ef2f2b4f258a0908b254229361" addr="T0R17C2S1_1" formatStyle="Comma" appId="_GBC_3ee8e178479245ea907bff86e4dcd54a"/>
      <m:placeholder xlName="_PLD_b77e5d0637ca424ea3521e9194452268" addr="T0R18C0S1_1"/>
      <m:item xlName="_GBC_7b75f625cdca489792f10034f0d8a51d" concept="clcid-pte:JingYingXingYingFuXiangMuDeZengJia" label="经营性应付项目的增加" mulRef="_GBC_ba7cd13a54fa44929e0fd4c276876d0e" unitRef="_GBC_715164ef2f2b4f258a0908b254229361" addr="T0R18C1S1_1" formatStyle="Comma" appId="_GBC_3ee8e178479245ea907bff86e4dcd54a"/>
      <m:item xlName="_GBC_1b69bb6490f742b9bb12be70d6cc4844" concept="clcid-pte:JingYingXingYingFuXiangMuDeZengJia" label="经营性应付项目的增加" periodRef="上年同期数" mulRef="_GBC_ba7cd13a54fa44929e0fd4c276876d0e" unitRef="_GBC_715164ef2f2b4f258a0908b254229361" addr="T0R18C2S1_1" formatStyle="Comma" appId="_GBC_3ee8e178479245ea907bff86e4dcd54a"/>
      <m:placeholder xlName="_PLD_5e18d37458f0499f93803040a145120b" addr="T0R19C0S1_1"/>
      <m:item xlName="_GBC_5458298255214b1ca3d6c5422619e3df" concept="clcid-pte:JiangJingLiRunDiaoJieWeiJingYingHuoDongXianJinLiuLiangDeQiTaXiangMu" label="将净利润调节为经营活动现金流量_其他" mulRef="_GBC_ba7cd13a54fa44929e0fd4c276876d0e" unitRef="_GBC_715164ef2f2b4f258a0908b254229361" addr="T0R19C1S1_1" formatStyle="Comma" appId="_GBC_3ee8e178479245ea907bff86e4dcd54a"/>
      <m:item xlName="_GBC_97da05976a5a4371aa2ac5bc0deefd9d" concept="clcid-pte:JiangJingLiRunDiaoJieWeiJingYingHuoDongXianJinLiuLiangDeQiTaXiangMu" label="将净利润调节为经营活动现金流量_其他" periodRef="上年同期数" mulRef="_GBC_ba7cd13a54fa44929e0fd4c276876d0e" unitRef="_GBC_715164ef2f2b4f258a0908b254229361" addr="T0R19C2S1_1" formatStyle="Comma" appId="_GBC_3ee8e178479245ea907bff86e4dcd54a"/>
      <m:placeholder xlName="_PLD_cbbe2315982347e89e355315dde12742" addr="T0R20C0S1_1"/>
      <m:item xlName="_GBC_8f9c4c2596474630b67da929780f418d" concept="clcid-pte:JingYingHuoDongXianJinLiuLiangJingE" label="经营活动现金流量净额" mulRef="_GBC_ba7cd13a54fa44929e0fd4c276876d0e" unitRef="_GBC_715164ef2f2b4f258a0908b254229361" addr="T0R20C1S1_1" formatStyle="Comma" appId="_GBC_3ee8e178479245ea907bff86e4dcd54a">
        <m:complexRule comparator="Eq" title="经营活动现金流量净额" test=" $_GBC_48559d235b874ba29b686404006a4731 +  $_GBC_6503c95f75b544f1a3438e781e23b1cf +  $_GBC_e2d0bb314cb345cb8d76b380c8820b3c +  $_GBC_4a54b2b716c54c0480e61b53aa1d7b1b +  $_GBC_924591c319b645e29c50ecff9296bc61 +  $_GBC_0c4612d0335746ce91e9a60690dc895a +  $_GBC_a912046f669e471780830eb355945b4e +  $_GBC_1bb0da93aa02452d9fc6fc6c05a2c7c0 +  $_GBC_4eda8d7991354dafaf40e1a558931293 +  $_GBC_f255e32f2ccd47309a043897e2d893ef +  $_GBC_b6f6a09464d9424585b60bda2b591fa1 +  $_GBC_ad6f48b1cc4d426fb204f77b6eb961c1 +  $_GBC_3b3ef0fad24340a0969ad496e6a3484f +  $_GBC_b65d971b8baa467fa47ed301ec466d2c +  $_GBC_7b75f625cdca489792f10034f0d8a51d +  $_GBC_5458298255214b1ca3d6c5422619e3df +  $_GBC_9aa4a07141274022a63f8169b3d2e33b +  $_GBC_dcb459ce76c547e9a08dd337dd1cee0b" id="Cc81b63c664a94582a906bf8311c6e792"/>
      </m:item>
      <m:item xlName="_GBC_237e3001d33745f3a53729a987e23860" concept="clcid-pte:JingYingHuoDongXianJinLiuLiangJingE" label="经营活动现金流量净额" periodRef="上年同期数" mulRef="_GBC_ba7cd13a54fa44929e0fd4c276876d0e" unitRef="_GBC_715164ef2f2b4f258a0908b254229361" addr="T0R20C2S1_1" formatStyle="Comma" appId="_GBC_3ee8e178479245ea907bff86e4dcd54a">
        <m:complexRule comparator="Eq" title="经营活动现金流量净额@上年同期数" test=" $_GBC_a282b6b10ac04f198ee9f8f0ead8a7f5 +  $_GBC_d2c706668df94b0191baeeb9babb5e68 +  $_GBC_ad0469f340934f0e938fc48f00fe787a +  $_GBC_5774d349dbe949d08f6f03f0c0de8781 +  $_GBC_07e77007dace4f5cb6275eccbef3c6f7 +  $_GBC_4b982ee3777544db836fb3eca59755d8 +  $_GBC_725616d675194c9e9675e34fb7952975 +  $_GBC_4748c00181b441a19b89eca08e0dca28 +  $_GBC_5ba2562f6d994e3b96f4f36b18547c60 +  $_GBC_164660309a3b4439b38d10d2b0a7ae17 +  $_GBC_2f49e1be5bfa408daf1bf03eead12c01 +  $_GBC_8641ecd095b14aea942e118d992a281b +  $_GBC_a702827d7adc4f6b8cfc48ee4e7176bc +  $_GBC_f965947c6ab54dd0982da8e89710e489 +  $_GBC_1b69bb6490f742b9bb12be70d6cc4844 +  $_GBC_97da05976a5a4371aa2ac5bc0deefd9d +  $_GBC_7b2ea4d67b90446fb478d32784bd44c7 +  $_GBC_2e754dded34a4fecb32c9d9a588d6424" id="C3c8766de110b4d69b48ff27b2e87eb0e"/>
      </m:item>
      <m:placeholder xlName="_PLD_db693429a97d44a2848da029ca6a724c" addr="T0R21C0S1_1"/>
      <m:placeholder xlName="_PLD_e0d4eb4cfadc41e79028384d476793f6" addr="T0R22C0S1_1"/>
      <m:item xlName="_GBC_edddbddccc5449828843ac4afd55036d" concept="clcid-pte:ZhaiWuZhuanWeiZiBen" label="债务转为资本" mulRef="_GBC_ba7cd13a54fa44929e0fd4c276876d0e" unitRef="_GBC_715164ef2f2b4f258a0908b254229361" addr="T0R22C1S1_1" formatStyle="Comma" appId="_GBC_3ee8e178479245ea907bff86e4dcd54a"/>
      <m:item xlName="_GBC_a8b0e44616f74e409016f0506c1bfb6c" concept="clcid-pte:ZhaiWuZhuanWeiZiBen" label="债务转为资本" periodRef="上年同期数" mulRef="_GBC_ba7cd13a54fa44929e0fd4c276876d0e" unitRef="_GBC_715164ef2f2b4f258a0908b254229361" addr="T0R22C2S1_1" formatStyle="Comma" appId="_GBC_3ee8e178479245ea907bff86e4dcd54a"/>
      <m:placeholder xlName="_PLD_4a6d0c6705c84302bf83bbc5e9c2e85e" addr="T0R23C0S1_1"/>
      <m:item xlName="_GBC_ce8705afb7524d52ac847563f2f8ac2f" concept="clcid-pte:YiNianNeiDaoQiDeKeZhuanHuanGongSiZhaiQuan" label="一年内到期的可转换公司债券" mulRef="_GBC_ba7cd13a54fa44929e0fd4c276876d0e" unitRef="_GBC_715164ef2f2b4f258a0908b254229361" addr="T0R23C1S1_1" formatStyle="Comma" appId="_GBC_3ee8e178479245ea907bff86e4dcd54a"/>
      <m:item xlName="_GBC_bcafa44c784a44579d60ac1b0f8bd6b6" concept="clcid-pte:YiNianNeiDaoQiDeKeZhuanHuanGongSiZhaiQuan" label="一年内到期的可转换公司债券" periodRef="上年同期数" mulRef="_GBC_ba7cd13a54fa44929e0fd4c276876d0e" unitRef="_GBC_715164ef2f2b4f258a0908b254229361" addr="T0R23C2S1_1" formatStyle="Comma" appId="_GBC_3ee8e178479245ea907bff86e4dcd54a"/>
      <m:placeholder xlName="_PLD_4eb4a0a5a3e944b293d87cc004adc11f" addr="T0R24C0S1_1"/>
      <m:item xlName="_GBC_7692c31663db410d92aef38f5ae29a29" concept="clcid-pte:RongZiZuRuGuDingZiChan" label="融资租入固定资产" mulRef="_GBC_ba7cd13a54fa44929e0fd4c276876d0e" unitRef="_GBC_715164ef2f2b4f258a0908b254229361" addr="T0R24C1S1_1" formatStyle="Comma" appId="_GBC_3ee8e178479245ea907bff86e4dcd54a"/>
      <m:item xlName="_GBC_b76f5853783e4baea0f52334da8e4a6a" concept="clcid-pte:RongZiZuRuGuDingZiChan" label="融资租入固定资产" periodRef="上年同期数" mulRef="_GBC_ba7cd13a54fa44929e0fd4c276876d0e" unitRef="_GBC_715164ef2f2b4f258a0908b254229361" addr="T0R24C2S1_1" formatStyle="Comma" appId="_GBC_3ee8e178479245ea907bff86e4dcd54a"/>
      <m:placeholder xlName="_PLD_1294459fe7ee46638b8d4b78b8d8c436" addr="T0R25C0S1_1"/>
      <m:placeholder xlName="_PLD_2082c840cddc45338520bd3516ed16c9" addr="T0R26C0S1_1"/>
      <m:item xlName="_GBC_0ac37f35d5d740999f02430fe2e7eead" concept="clcid-pte:XianJinYuE" label="现金余额" mulRef="_GBC_ba7cd13a54fa44929e0fd4c276876d0e" unitRef="_GBC_715164ef2f2b4f258a0908b254229361" addr="T0R26C1S1_1" formatStyle="Comma" appId="_GBC_3ee8e178479245ea907bff86e4dcd54a"/>
      <m:item xlName="_GBC_c36975add92f4d22a616f643d7da22e8" concept="clcid-pte:XianJinYuE" label="现金余额" periodRef="上年同期期末数" mulRef="_GBC_ba7cd13a54fa44929e0fd4c276876d0e" unitRef="_GBC_715164ef2f2b4f258a0908b254229361" addr="T0R26C2S1_1" formatStyle="Comma" appId="_GBC_3ee8e178479245ea907bff86e4dcd54a"/>
      <m:placeholder xlName="_PLD_a8039ff8828d402facebab3f2e19fcc0" addr="T0R27C0S1_1"/>
      <m:item xlName="_GBC_5e4f43a9d90248969d770e32e3828a68" concept="clcid-pte:XianJinYuE" label="现金余额" periodRef="本期期初数" mulRef="_GBC_ba7cd13a54fa44929e0fd4c276876d0e" unitRef="_GBC_715164ef2f2b4f258a0908b254229361" addr="T0R27C1S1_1" formatStyle="Comma" appId="_GBC_3ee8e178479245ea907bff86e4dcd54a"/>
      <m:item xlName="_GBC_4007e431d5d247a5a907b6a46eda2052" concept="clcid-pte:XianJinYuE" label="现金余额" periodRef="上年同期期初数" mulRef="_GBC_ba7cd13a54fa44929e0fd4c276876d0e" unitRef="_GBC_715164ef2f2b4f258a0908b254229361" addr="T0R27C2S1_1" formatStyle="Comma" appId="_GBC_3ee8e178479245ea907bff86e4dcd54a"/>
      <m:placeholder xlName="_PLD_2b870bd2bf7a4a1c8f0ef717c730f23e" addr="T0R28C0S1_1"/>
      <m:item xlName="_GBC_aa1299ba6c3d40d48f0fc575bdcef532" concept="clcid-pte:JiaXianJinDengJiaWuYuE" label="现金等价物余额" mulRef="_GBC_ba7cd13a54fa44929e0fd4c276876d0e" unitRef="_GBC_715164ef2f2b4f258a0908b254229361" addr="T0R28C1S1_1" formatStyle="Comma" appId="_GBC_3ee8e178479245ea907bff86e4dcd54a"/>
      <m:item xlName="_GBC_b1020554c85f4e299d8c1b9abf87a6a2" concept="clcid-pte:JiaXianJinDengJiaWuYuE" label="现金等价物余额" periodRef="上年同期期末数" mulRef="_GBC_ba7cd13a54fa44929e0fd4c276876d0e" unitRef="_GBC_715164ef2f2b4f258a0908b254229361" addr="T0R28C2S1_1" formatStyle="Comma" appId="_GBC_3ee8e178479245ea907bff86e4dcd54a"/>
      <m:placeholder xlName="_PLD_ad568407cb3c454d95c72fc52ac36fe9" addr="T0R29C0S1_1"/>
      <m:item xlName="_GBC_37ad1c4d7ec8453a9e821c3419feb678" concept="clcid-pte:JiaXianJinDengJiaWuYuE" label="现金等价物余额" periodRef="本期期初数" mulRef="_GBC_ba7cd13a54fa44929e0fd4c276876d0e" unitRef="_GBC_715164ef2f2b4f258a0908b254229361" addr="T0R29C1S1_1" formatStyle="Comma" appId="_GBC_3ee8e178479245ea907bff86e4dcd54a"/>
      <m:item xlName="_GBC_1e98ffacfe694f189955d8a387cb6ce0" concept="clcid-pte:JiaXianJinDengJiaWuYuE" label="现金等价物余额" periodRef="上年同期期初数" mulRef="_GBC_ba7cd13a54fa44929e0fd4c276876d0e" unitRef="_GBC_715164ef2f2b4f258a0908b254229361" addr="T0R29C2S1_1" formatStyle="Comma" appId="_GBC_3ee8e178479245ea907bff86e4dcd54a"/>
      <m:placeholder xlName="_PLD_2dd0b4fbd20a49c1991e732523abf0b3" addr="T0R30C0S1_1"/>
      <m:item xlName="_GBC_95fada8cc41f4a49964aacebd36485cb" concept="clcid-pte:XianJinJiXianJinDengJiaWuJingZengJiaE" label="现金及现金等价物净增加额" mulRef="_GBC_ba7cd13a54fa44929e0fd4c276876d0e" unitRef="_GBC_715164ef2f2b4f258a0908b254229361" addr="T0R30C1S1_1" formatStyle="Comma" appId="_GBC_3ee8e178479245ea907bff86e4dcd54a">
        <m:complexRule comparator="Eq" title="现金及现金等价物净增加额" test=" $_GBC_0ac37f35d5d740999f02430fe2e7eead -  $_GBC_5e4f43a9d90248969d770e32e3828a68 +  $_GBC_aa1299ba6c3d40d48f0fc575bdcef532 -  $_GBC_37ad1c4d7ec8453a9e821c3419feb678" id="C2cfa8bf8747044f89a9b1aefd27325f2"/>
      </m:item>
      <m:item xlName="_GBC_e67248b0c6db4e138883c8745d199477" concept="clcid-pte:XianJinJiXianJinDengJiaWuJingZengJiaE" label="现金及现金等价物净增加额" periodRef="上年同期数" mulRef="_GBC_ba7cd13a54fa44929e0fd4c276876d0e" unitRef="_GBC_715164ef2f2b4f258a0908b254229361" addr="T0R30C2S1_1" formatStyle="Comma" appId="_GBC_3ee8e178479245ea907bff86e4dcd54a">
        <m:complexRule comparator="Eq" title="现金及现金等价物净增加额@上年同期数" test=" $_GBC_c36975add92f4d22a616f643d7da22e8 -  $_GBC_4007e431d5d247a5a907b6a46eda2052 +  $_GBC_b1020554c85f4e299d8c1b9abf87a6a2 -  $_GBC_1e98ffacfe694f189955d8a387cb6ce0" id="C76a7c4c75a45456aadc0be57d1706e02"/>
      </m:item>
      <m:rowModel locationConcept="clcid-ci-ar:ZiDingYiKeMuWeiZhi" labelConcept="clcid-ci-ar:ZiDingYiKeMuMingCheng" conceptPrefix="补充资料现金流量表" presentationRole="http://www.xbrl-cn.org/cn/lcid/lr/role/XianJinLiuLiangBiaoBuChongZiLiao" presentationParentConcept="clcid-pte_XianJinLiuLiangBiaoBuChongZiLiao" tuplePrefix="项目"/>
    </m:section>
    <m:section xlName="_GBC_4161b069f3a54b4a9ab95be67b841c16" title="取得子公司支付的现金净额" helpId="112001123">
      <m:item xlName="_GBC_903abae67cad448caac446eb8c11fd79" concept="clcid-ci-ar:ShiFouShiYongBenQiZhiFuDeQuDeZiGongSiDeXianJinJingE" label="是否适用：本期支付的取得子公司的现金净额" selectOptions="_buildInAppliance" controlType="CustomCheckbox" cRanges="{&quot;StartName&quot;:&quot;_GBC_903abae67cad448caac446eb8c11fd79&quot;,&quot;EndName&quot;:&quot;_GBC_1b859cf90bee441a822a7f514940be48&quot;,&quot;CType&quot;:1,&quot;DisplayText&quot;:null}"/>
      <m:item xlName="_GBC_8c471c67a05c46ad9fc2bff120d8e053" concept="clcid-ci-ar:DanWeiCaiWuFuZhuBenQiZhiFuDeQuDeZiGongSiDeXianJinJingE" label="单位：财务附注：本期支付的取得子公司的现金净额" selectOptions="_buildInScales" controlType="Combobox" cellType="Scale" appId="_GBC_903abae67cad448caac446eb8c11fd79"/>
      <m:item xlName="_GBC_630c30e8574b4cd999b5ae9b7fac52db" concept="clcid-ci-ar:BiZhongCaiWuFuZhuBenQiZhiFuDeQuDeZiGongSiDeXianJinJingE" label="币种：财务附注：本期支付的取得子公司的现金净额" selectOptions="_buildInISO4217" controlType="Combobox" cellType="Measure" appId="_GBC_903abae67cad448caac446eb8c11fd79"/>
      <m:placeholder xlName="_PLD_ced6d418dab74c35bb2988f2cda32118" addr="T0R0C1S1_1"/>
      <m:placeholder xlName="_PLD_6ddcbfa544c745a1af4d1a44c5755c38" addr="T0R1C0S1_1"/>
      <m:item xlName="_GBC_2f96c1fe16d64ef097338fc3fdce2904" concept="clcid-pte:BenQiFaShengDeQiYeHeBingYuBenQiZhiFuDeXianJinHuoXianJinDengJiaWu" label="本期发生的企业合并于本期支付的现金或现金等价物" mulRef="_GBC_8c471c67a05c46ad9fc2bff120d8e053" unitRef="_GBC_630c30e8574b4cd999b5ae9b7fac52db" addr="T0R1C1S1_1" formatStyle="Comma" appId="_GBC_903abae67cad448caac446eb8c11fd79">
        <m:complexRule comparator="Eq" title="本期发生的企业合并于本期支付的现金或现金等价物" test=" $_GBC_2b03ea7eb54a4e78bea944764ec96210" id="C84437829f8cc47819b81ff98b5a5b325"/>
      </m:item>
      <m:tuple xlName="_GBC_82b0f66957fd4a54b6dae621c7644ae1" concept="clcid-pte:BenQiFaShengDeQiYeHeBingYuBenQiZhiFuDeXianJinHuoXianJinDengJiaWuMingXi" default_row="2" addr="T0R2C">
        <m:item xlName="_GBC_634a673fc308495399e741939157a313" concept="clcid-pte:BenQiFaShengDeQiYeHeBingYuBenQiZhiFuDeXianJinHuoXianJinDengJiaWuMingXiGongSiMingCheng" label="本期发生的企业合并于本期支付的现金或现金等价物明细-公司名称" addr="T0R2C0S1_1" appId="_GBC_903abae67cad448caac446eb8c11fd79"/>
        <m:item xlName="_GBC_2b03ea7eb54a4e78bea944764ec96210" concept="clcid-pte:BenQiFaShengDeQiYeHeBingYuBenQiZhiFuDeXianJinHuoXianJinDengJiaWuMingXiJinE" label="本期发生的企业合并于本期支付的现金或现金等价物明细-金额" mulRef="_GBC_8c471c67a05c46ad9fc2bff120d8e053" unitRef="_GBC_630c30e8574b4cd999b5ae9b7fac52db" addr="T0R2C1S1_1" formatStyle="Comma" appId="_GBC_903abae67cad448caac446eb8c11fd79"/>
      </m:tuple>
      <m:placeholder xlName="_PLD_366e6af260304473bb06e017de2f2a09" addr="T0R4C0S1_1"/>
      <m:item xlName="_GBC_250b5f8042d049aa94ff16a8ac1c1cd6" concept="clcid-pte:GouMaiRiZiGongSiChiYouDeXianJinJiXianJinDengJiaWu" label="购买日子公司持有的现金及现金等价物" mulRef="_GBC_8c471c67a05c46ad9fc2bff120d8e053" unitRef="_GBC_630c30e8574b4cd999b5ae9b7fac52db" addr="T0R4C1S1_1" formatStyle="Comma" appId="_GBC_903abae67cad448caac446eb8c11fd79">
        <m:complexRule comparator="Eq" title="购买日子公司持有的现金及现金等价物" test=" $_GBC_6d3433e6f8c1477998eafebe14503050" id="C65537805dcb046648d4cf1fcd7dfc0ea"/>
      </m:item>
      <m:tuple xlName="_GBC_1fea72668a6147c498d16541739999d5" concept="clcid-pte:GouMaiRiZiGongSiChiYouDeXianJinJiXianJinDengJiaWuMingXi" default_row="2" addr="T0R5C">
        <m:item xlName="_GBC_032f1b9de6b949e0a5b64abc647e93ab" concept="clcid-pte:GouMaiRiZiGongSiChiYouDeXianJinJiXianJinDengJiaWuMingXiGongSiMingCheng" label="购买日子公司持有的现金及现金等价物明细-公司名称" addr="T0R5C0S1_1" appId="_GBC_903abae67cad448caac446eb8c11fd79"/>
        <m:item xlName="_GBC_6d3433e6f8c1477998eafebe14503050" concept="clcid-pte:GouMaiRiZiGongSiChiYouDeXianJinJiXianJinDengJiaWuMingXiJinE" label="购买日子公司持有的现金及现金等价物明细-金额" mulRef="_GBC_8c471c67a05c46ad9fc2bff120d8e053" unitRef="_GBC_630c30e8574b4cd999b5ae9b7fac52db" addr="T0R5C1S1_1" formatStyle="Comma" appId="_GBC_903abae67cad448caac446eb8c11fd79"/>
      </m:tuple>
      <m:placeholder xlName="_PLD_41c75809759f487996d3053b5c930f4f" addr="T0R7C0S1_1"/>
      <m:item xlName="_GBC_f529454246c14162bebeb3a507934126" concept="clcid-pte:YiQianQiJianFaShengDeQiYeHeBingYuBenQiZhiFuDeXianJinHuoXianJinDengJiaWu" label="以前期间发生的企业合并于本期支付的现金或现金等价物" mulRef="_GBC_8c471c67a05c46ad9fc2bff120d8e053" unitRef="_GBC_630c30e8574b4cd999b5ae9b7fac52db" addr="T0R7C1S1_1" formatStyle="Comma" appId="_GBC_903abae67cad448caac446eb8c11fd79">
        <m:complexRule comparator="Eq" title="以前期间发生的企业合并于本期支付的现金或现金等价物" test=" $_GBC_8da49bdbc3464dae9d77cb604e1491c1" id="C8d7973620da24e7a9d40b366a42d6297"/>
      </m:item>
      <m:tuple xlName="_GBC_07571659d440437ea590214dd22a86a5" concept="clcid-pte:YiQianQiJianFaShengDeQiYeHeBingYuBenQiZhiFuDeXianJinHuoXianJinDengJiaWuMingXi" default_row="2" addr="T0R8C">
        <m:item xlName="_GBC_74a45311f7934b38a3c8ab26dccc734b" concept="clcid-pte:YiQianQiJianFaShengDeQiYeHeBingYuBenQiZhiFuDeXianJinHuoXianJinDengJiaWuMingXiGongSiMingCheng" label="以前期间发生的企业合并于本期支付的现金或现金等价物明细-公司名称" addr="T0R8C0S1_1" appId="_GBC_903abae67cad448caac446eb8c11fd79"/>
        <m:item xlName="_GBC_8da49bdbc3464dae9d77cb604e1491c1" concept="clcid-pte:YiQianQiJianFaShengDeQiYeHeBingYuBenQiZhiFuDeXianJinHuoXianJinDengJiaWuMingXiJinE" label="以前期间发生的企业合并于本期支付的现金或现金等价物明细-金额" mulRef="_GBC_8c471c67a05c46ad9fc2bff120d8e053" unitRef="_GBC_630c30e8574b4cd999b5ae9b7fac52db" addr="T0R8C1S1_1" formatStyle="Comma" appId="_GBC_903abae67cad448caac446eb8c11fd79"/>
      </m:tuple>
      <m:placeholder xlName="_PLD_28249f19317c485ebcc5d4a86d718c91" addr="T0R10C0S1_1"/>
      <m:item xlName="_GBC_622e8fa30ad54281b73b08546b443fdb" concept="clcid-pte:XianJinLiuLiangBiaoBuChongZiLiaoZhongDeQuDeZiGongSiZhiFuDeXianJinJingE" label="现金流量表补充资料中的取得子公司支付的现金净额" mulRef="_GBC_8c471c67a05c46ad9fc2bff120d8e053" unitRef="_GBC_630c30e8574b4cd999b5ae9b7fac52db" addr="T0R10C1S1_1" formatStyle="Comma" appId="_GBC_903abae67cad448caac446eb8c11fd79">
        <m:complexRule comparator="Eq" title="现金流量表补充资料中的取得子公司支付的现金净额" test=" $_GBC_2f96c1fe16d64ef097338fc3fdce2904 -  $_GBC_250b5f8042d049aa94ff16a8ac1c1cd6 +  $_GBC_f529454246c14162bebeb3a507934126" id="C1d62d7e30d814036b1bdf5a344d15755"/>
      </m:item>
      <m:item xlName="_GBC_1b859cf90bee441a822a7f514940be48" concept="clcid-pte:QuDeZiGongSiZhiFuDeXianJinJingEDeQiTaShuoMing" label="取得子公司支付的现金净额的其他说明" appId="_GBC_903abae67cad448caac446eb8c11fd79"/>
    </m:section>
    <m:section xlName="_GBC_2b15b115b2104b8ba327581d943203fc" title="处置子公司收到的现金净额" helpId="112001123">
      <m:item xlName="_GBC_2b4b13c85bb94d13bb7b7edebe0a9f5a" concept="clcid-ci-ar:ShiFouShiYongBenQiShouDaoDeChuZhiZiGongSiDeXianJinJingE" label="是否适用：本期收到的处置子公司的现金净额" selectOptions="_buildInAppliance" controlType="CustomCheckbox" cRanges="{&quot;StartName&quot;:&quot;_GBC_2b4b13c85bb94d13bb7b7edebe0a9f5a&quot;,&quot;EndName&quot;:&quot;_GBC_832bdab473c74eca866291099d3bd834&quot;,&quot;CType&quot;:1,&quot;DisplayText&quot;:null}"/>
      <m:item xlName="_GBC_b8f558a6c7ea4df9bdecf023dc5e7f6d" concept="clcid-ci-ar:DanWeiCaiWuFuZhuBenQiShouDaoDeChuZhiZiGongSiDeXianJinJingE" label="单位：财务附注：本期收到的处置子公司的现金净额" selectOptions="_buildInScales" controlType="Combobox" cellType="Scale" appId="_GBC_2b4b13c85bb94d13bb7b7edebe0a9f5a"/>
      <m:item xlName="_GBC_aabc7f14e423432c85fbfdaba3624aff" concept="clcid-ci-ar:BiZhongCaiWuFuZhuBenQiShouDaoDeChuZhiZiGongSiDeXianJinJingE" label="币种：财务附注：本期收到的处置子公司的现金净额" selectOptions="_buildInISO4217" controlType="Combobox" cellType="Measure" appId="_GBC_2b4b13c85bb94d13bb7b7edebe0a9f5a"/>
      <m:placeholder xlName="_PLD_03eee480e0eb4c079c767d3b7d110519" addr="T0R0C1S1_1"/>
      <m:placeholder xlName="_PLD_f9b42eeed79b403292a782b3d79ae1d1" addr="T0R1C0S1_1"/>
      <m:item xlName="_GBC_3260da1e77b9471eb051eaf309ed3ccd" concept="clcid-pte:BenQiChuZhiZiGongSiYuBenQiShouDaoDeXianJinHuoXianJinDengJiaWu" label="本期处置子公司于本期收到的现金或现金等价物" mulRef="_GBC_b8f558a6c7ea4df9bdecf023dc5e7f6d" unitRef="_GBC_aabc7f14e423432c85fbfdaba3624aff" addr="T0R1C1S1_1" formatStyle="Comma" appId="_GBC_2b4b13c85bb94d13bb7b7edebe0a9f5a">
        <m:complexRule comparator="Eq" title="本期处置子公司于本期收到的现金或现金等价物" test=" $_GBC_99d25beeff06443f9c12c4afac299084" id="Cfcb833c77bbb431ebb5792f58cf5c4ed"/>
      </m:item>
      <m:tuple xlName="_GBC_0e39112787754039b0fd23fbf233d803" concept="clcid-pte:BenQiChuZhiZiGongSiYuBenQiShouDaoDeXianJinHuoXianJinDengJiaWuMingXi" default_row="2" addr="T0R2C">
        <m:item xlName="_GBC_116172e34f514d26910aa6e11881cf24" concept="clcid-pte:BenQiChuZhiZiGongSiYuBenQiShouDaoDeXianJinHuoXianJinDengJiaWuMingXiGongSiMingCheng" label="本期处置子公司于本期收到的现金或现金等价物明细-公司名称" addr="T0R2C0S1_1" appId="_GBC_2b4b13c85bb94d13bb7b7edebe0a9f5a"/>
        <m:item xlName="_GBC_99d25beeff06443f9c12c4afac299084" concept="clcid-pte:BenQiChuZhiZiGongSiYuBenQiShouDaoDeXianJinHuoXianJinDengJiaWuMingXiJinE" label="本期处置子公司于本期收到的现金或现金等价物明细-金额" mulRef="_GBC_b8f558a6c7ea4df9bdecf023dc5e7f6d" unitRef="_GBC_aabc7f14e423432c85fbfdaba3624aff" addr="T0R2C1S1_1" formatStyle="Comma" appId="_GBC_2b4b13c85bb94d13bb7b7edebe0a9f5a"/>
      </m:tuple>
      <m:placeholder xlName="_PLD_0dc2d90684984f8a938c63e4c1ea2538" addr="T0R4C0S1_1"/>
      <m:item xlName="_GBC_fd3a87e16cde498fa38bb3202058c82d" concept="clcid-pte:SangShiKongZhiQuanRiZiGongSiChiYouDeXianJinJiXianJinDengJiaWu" label="丧失控制权日子公司持有的现金及现金等价物" mulRef="_GBC_b8f558a6c7ea4df9bdecf023dc5e7f6d" unitRef="_GBC_aabc7f14e423432c85fbfdaba3624aff" addr="T0R4C1S1_1" formatStyle="Comma" appId="_GBC_2b4b13c85bb94d13bb7b7edebe0a9f5a">
        <m:complexRule comparator="Eq" title="丧失控制权日子公司持有的现金及现金等价物" test=" $_GBC_b05f0f3e44a5435eb80b6dcf75b4718c" id="Cc1f8d5333fbf494f84494a762133594b"/>
      </m:item>
      <m:tuple xlName="_GBC_ad5a7cb5d7a848898ee1b5bf7b9d09c2" concept="clcid-pte:SangShiKongZhiQuanRiZiGongSiChiYouDeXianJinJiXianJinDengJiaWuMingXi" default_row="2" addr="T0R5C">
        <m:item xlName="_GBC_ec4836e6c6ba4ad7aeb1a2d14f84a4aa" concept="clcid-pte:SangShiKongZhiQuanRiZiGongSiChiYouDeXianJinJiXianJinDengJiaWuMingXiGongSiMingCheng" label="丧失控制权日子公司持有的现金及现金等价物明细-公司名称" addr="T0R5C0S1_1" appId="_GBC_2b4b13c85bb94d13bb7b7edebe0a9f5a"/>
        <m:item xlName="_GBC_b05f0f3e44a5435eb80b6dcf75b4718c" concept="clcid-pte:SangShiKongZhiQuanRiZiGongSiChiYouDeXianJinJiXianJinDengJiaWuMingXiJinE" label="丧失控制权日子公司持有的现金及现金等价物明细-金额" mulRef="_GBC_b8f558a6c7ea4df9bdecf023dc5e7f6d" unitRef="_GBC_aabc7f14e423432c85fbfdaba3624aff" addr="T0R5C1S1_1" formatStyle="Comma" appId="_GBC_2b4b13c85bb94d13bb7b7edebe0a9f5a"/>
      </m:tuple>
      <m:placeholder xlName="_PLD_d9997352f02d44149747eeb0267d39f7" addr="T0R7C0S1_1"/>
      <m:item xlName="_GBC_699a5170c0be4a8baa8b052efc5235cf" concept="clcid-pte:YiQianQiJianChuZhiZiGongSiYuBenQiShouDaoDeXianJinHuoXianJinDengJiaWu" label="以前期间处置子公司于本期收到的现金或现金等价物" mulRef="_GBC_b8f558a6c7ea4df9bdecf023dc5e7f6d" unitRef="_GBC_aabc7f14e423432c85fbfdaba3624aff" addr="T0R7C1S1_1" formatStyle="Comma" appId="_GBC_2b4b13c85bb94d13bb7b7edebe0a9f5a">
        <m:complexRule comparator="Eq" title="以前期间处置子公司于本期收到的现金或现金等价物" test=" $_GBC_448d4b4861f34c88adbe070d05a8b1cd" id="Cb9e8ee2a265643769988a16d0872f9b8"/>
      </m:item>
      <m:tuple xlName="_GBC_0857e9d8dcfb4e89af5d1387bd7efc94" concept="clcid-pte:YiQianQiJianChuZhiZiGongSiYuBenQiShouDaoDeXianJinHuoXianJinDengJiaWuMingXi" default_row="2" addr="T0R8C">
        <m:item xlName="_GBC_2789f8e54ccd430486bb8777a95ac344" concept="clcid-pte:YiQianQiJianChuZhiZiGongSiYuBenQiShouDaoDeXianJinHuoXianJinDengJiaWuMingXiGongSiMingCheng" label="以前期间处置子公司于本期收到的现金或现金等价物明细-公司名称" addr="T0R8C0S1_1" appId="_GBC_2b4b13c85bb94d13bb7b7edebe0a9f5a"/>
        <m:item xlName="_GBC_448d4b4861f34c88adbe070d05a8b1cd" concept="clcid-pte:YiQianQiJianChuZhiZiGongSiYuBenQiShouDaoDeXianJinHuoXianJinDengJiaWuMingXiJinE" label="以前期间处置子公司于本期收到的现金或现金等价物明细-金额" mulRef="_GBC_b8f558a6c7ea4df9bdecf023dc5e7f6d" unitRef="_GBC_aabc7f14e423432c85fbfdaba3624aff" addr="T0R8C1S1_1" formatStyle="Comma" appId="_GBC_2b4b13c85bb94d13bb7b7edebe0a9f5a"/>
      </m:tuple>
      <m:placeholder xlName="_PLD_49fd221f37cb4fb5b2d1a99d7fd97250" addr="T0R10C0S1_1"/>
      <m:item xlName="_GBC_b62010db24714766826e9ae1d032745d" concept="clcid-pte:ChuZhiZiGongSiShouDaoDeXianJinJingE" label="处置子公司收到的现金净额" mulRef="_GBC_b8f558a6c7ea4df9bdecf023dc5e7f6d" unitRef="_GBC_aabc7f14e423432c85fbfdaba3624aff" addr="T0R10C1S1_1" formatStyle="Comma" appId="_GBC_2b4b13c85bb94d13bb7b7edebe0a9f5a">
        <m:complexRule comparator="Eq" title="处置子公司收到的现金净额" test=" $_GBC_3260da1e77b9471eb051eaf309ed3ccd -  $_GBC_fd3a87e16cde498fa38bb3202058c82d +  $_GBC_699a5170c0be4a8baa8b052efc5235cf" id="C6a3449029157497f9d49a5fd88802f61"/>
      </m:item>
      <m:item xlName="_GBC_832bdab473c74eca866291099d3bd834" concept="clcid-pte:ChuZhiZiGongSiShouDaoDeXianJinJingEDeQiTaShuoMing" label="处置子公司收到的现金净额的其他说明" appId="_GBC_2b4b13c85bb94d13bb7b7edebe0a9f5a"/>
    </m:section>
    <m:section xlName="_GBC_b19766ead83d4bb4825af61147af6138" title="现金和现金等价物的构成" helpId="112001123">
      <m:item xlName="_GBC_4f1d477972634410a6ea7bdfaf766947" concept="clcid-ci-ar:ShiFouShiYongXianJinHeXianJinDengJiaWuDeGouCheng" label="是否适用：现金和现金等价物的构成" selectOptions="_buildInAppliance" controlType="CustomCheckbox" cRanges="{&quot;StartName&quot;:&quot;_GBC_4f1d477972634410a6ea7bdfaf766947&quot;,&quot;EndName&quot;:&quot;_GBC_55fd0ff880e64139bb49cd0325cf9320&quot;,&quot;CType&quot;:1,&quot;DisplayText&quot;:null}"/>
      <m:item xlName="_GBC_b65333ba6aec402382c4acbbb6696560" concept="clcid-ci-ar:DanWeiCaiWuFuZhuXianJinHeXianJinDengJiaWuDeGouCheng" label="单位：财务附注：现金和现金等价物的构成" selectOptions="_buildInScales" controlType="Combobox" cellType="Scale" appId="_GBC_4f1d477972634410a6ea7bdfaf766947"/>
      <m:item xlName="_GBC_15cada3a52264083942ef83a40fa25a0" concept="clcid-ci-ar:BiZhongCaiWuFuZhuXianJinHeXianJinDengJiaWuDeGouCheng" label="币种：财务附注：现金和现金等价物的构成" selectOptions="_buildInISO4217" controlType="Combobox" cellType="Measure" appId="_GBC_4f1d477972634410a6ea7bdfaf766947"/>
      <m:placeholder xlName="_PLD_d5bf85e9303e4843a7623f09eae933c6" addr="T0R0C0S1_1"/>
      <m:placeholder xlName="_PLD_e3a960d2f6474687b9cbaec3f1075e19" addr="T0R0C1S1_1"/>
      <m:placeholder xlName="_PLD_0d0909eba9344c8ab96c7fb88f0b117a" addr="T0R0C2S1_1"/>
      <m:placeholder xlName="_PLD_6a173ce99a864661a21d726eff0af5b3" addr="T0R1C0S1_1"/>
      <m:item xlName="_GBC_12bcd5d1472642bb900bce8b4d6476ba" concept="clcid-pte:XianJinYuE" label="现金余额" mulRef="_GBC_b65333ba6aec402382c4acbbb6696560" unitRef="_GBC_15cada3a52264083942ef83a40fa25a0" addr="T0R1C1S1_1" formatStyle="Comma" appId="_GBC_4f1d477972634410a6ea7bdfaf766947"/>
      <m:item xlName="_GBC_5c8c0dbee7524ee5a0670db7cfee724a" concept="clcid-pte:XianJinYuE" label="现金余额" periodRef="本期期初数" mulRef="_GBC_b65333ba6aec402382c4acbbb6696560" unitRef="_GBC_15cada3a52264083942ef83a40fa25a0" addr="T0R1C2S1_1" formatStyle="Comma" appId="_GBC_4f1d477972634410a6ea7bdfaf766947"/>
      <m:placeholder xlName="_PLD_00026e2b0a3d4b39803714a078a9949d" addr="T0R2C0S1_1"/>
      <m:item xlName="_GBC_72bd3125a8f6427188e14d93b6c82021" concept="clcid-pte:KuCunXianJin" label="库存现金" mulRef="_GBC_b65333ba6aec402382c4acbbb6696560" unitRef="_GBC_15cada3a52264083942ef83a40fa25a0" addr="T0R2C1S1_1" formatStyle="Comma" appId="_GBC_4f1d477972634410a6ea7bdfaf766947"/>
      <m:item xlName="_GBC_bbf2e82cafe3421c9024cb43f311bb78" concept="clcid-pte:KuCunXianJin" label="库存现金" periodRef="本期期初数" mulRef="_GBC_b65333ba6aec402382c4acbbb6696560" unitRef="_GBC_15cada3a52264083942ef83a40fa25a0" addr="T0R2C2S1_1" formatStyle="Comma" appId="_GBC_4f1d477972634410a6ea7bdfaf766947"/>
      <m:placeholder xlName="_PLD_703c5ac82ddb4fd7bf9d7372c95ca92f" addr="T0R3C0S1_1"/>
      <m:item xlName="_GBC_9dfe028e260b4d13ab95fb6294d32435" concept="clcid-pte:KeSuiShiYongYuZhiFuDeYinHangCunKuan" label="可随时用于支付的银行存款" mulRef="_GBC_b65333ba6aec402382c4acbbb6696560" unitRef="_GBC_15cada3a52264083942ef83a40fa25a0" addr="T0R3C1S1_1" formatStyle="Comma" appId="_GBC_4f1d477972634410a6ea7bdfaf766947"/>
      <m:item xlName="_GBC_4397e19c728c4f568a97412d972ad605" concept="clcid-pte:KeSuiShiYongYuZhiFuDeYinHangCunKuan" label="可随时用于支付的银行存款" periodRef="本期期初数" mulRef="_GBC_b65333ba6aec402382c4acbbb6696560" unitRef="_GBC_15cada3a52264083942ef83a40fa25a0" addr="T0R3C2S1_1" formatStyle="Comma" appId="_GBC_4f1d477972634410a6ea7bdfaf766947"/>
      <m:placeholder xlName="_PLD_39dc74346d4643c0b32e781621749a55" addr="T0R4C0S1_1"/>
      <m:item xlName="_GBC_30a4d13b3ea44e84a04118430aa30478" concept="clcid-pte:KeSuiShiYongYuZhiFuDeQiTaHuoBiZiJin" label="可随时用于支付的其他货币资金" mulRef="_GBC_b65333ba6aec402382c4acbbb6696560" unitRef="_GBC_15cada3a52264083942ef83a40fa25a0" addr="T0R4C1S1_1" formatStyle="Comma" appId="_GBC_4f1d477972634410a6ea7bdfaf766947"/>
      <m:item xlName="_GBC_ea5be5a89f1a415ab373a35132ac8173" concept="clcid-pte:KeSuiShiYongYuZhiFuDeQiTaHuoBiZiJin" label="可随时用于支付的其他货币资金" periodRef="本期期初数" mulRef="_GBC_b65333ba6aec402382c4acbbb6696560" unitRef="_GBC_15cada3a52264083942ef83a40fa25a0" addr="T0R4C2S1_1" formatStyle="Comma" appId="_GBC_4f1d477972634410a6ea7bdfaf766947"/>
      <m:placeholder xlName="_PLD_7097f486896a4d4b9e7684bc82f808ad" addr="T0R5C0S1_1"/>
      <m:item xlName="_GBC_2440ad84e59c49b391d6b85662e1b0cb" concept="clcid-pte:KeYongYuZhiFuDeCunFangZhongYangYinHangKuanXiang" label="可用于支付的存放中央银行款项" mulRef="_GBC_b65333ba6aec402382c4acbbb6696560" unitRef="_GBC_15cada3a52264083942ef83a40fa25a0" addr="T0R5C1S1_1" formatStyle="Comma" appId="_GBC_4f1d477972634410a6ea7bdfaf766947"/>
      <m:item xlName="_GBC_bb6bbb489f874a06bcebde0d1b052382" concept="clcid-pte:KeYongYuZhiFuDeCunFangZhongYangYinHangKuanXiang" label="可用于支付的存放中央银行款项" periodRef="本期期初数" mulRef="_GBC_b65333ba6aec402382c4acbbb6696560" unitRef="_GBC_15cada3a52264083942ef83a40fa25a0" addr="T0R5C2S1_1" formatStyle="Comma" appId="_GBC_4f1d477972634410a6ea7bdfaf766947"/>
      <m:placeholder xlName="_PLD_8fe90894e50c435a91887b8f6baf82f7" addr="T0R6C0S1_1"/>
      <m:item xlName="_GBC_39805dd4d79644a794b85f43ab030bff" concept="clcid-pte:XianJinZhongDeCunFangTongYeKuanXiang" label="现金中的存放同业款项" mulRef="_GBC_b65333ba6aec402382c4acbbb6696560" unitRef="_GBC_15cada3a52264083942ef83a40fa25a0" addr="T0R6C1S1_1" formatStyle="Comma" appId="_GBC_4f1d477972634410a6ea7bdfaf766947"/>
      <m:item xlName="_GBC_ec3c2b042edc4ad782918e180f06faa8" concept="clcid-pte:XianJinZhongDeCunFangTongYeKuanXiang" label="现金中的存放同业款项" periodRef="本期期初数" mulRef="_GBC_b65333ba6aec402382c4acbbb6696560" unitRef="_GBC_15cada3a52264083942ef83a40fa25a0" addr="T0R6C2S1_1" formatStyle="Comma" appId="_GBC_4f1d477972634410a6ea7bdfaf766947"/>
      <m:placeholder xlName="_PLD_5808644810d54676897d0089359a83b2" addr="T0R7C0S1_1"/>
      <m:item xlName="_GBC_ccf2ee830e2a43fd83889f078276a005" concept="clcid-pte:XianJinZhongDeChaiFangTongYeKuanXiang" label="现金中的拆放同业款项" mulRef="_GBC_b65333ba6aec402382c4acbbb6696560" unitRef="_GBC_15cada3a52264083942ef83a40fa25a0" addr="T0R7C1S1_1" formatStyle="Comma" appId="_GBC_4f1d477972634410a6ea7bdfaf766947"/>
      <m:item xlName="_GBC_fc17e06aa4fb46af8859901b09b25e72" concept="clcid-pte:XianJinZhongDeChaiFangTongYeKuanXiang" label="现金中的拆放同业款项" periodRef="本期期初数" mulRef="_GBC_b65333ba6aec402382c4acbbb6696560" unitRef="_GBC_15cada3a52264083942ef83a40fa25a0" addr="T0R7C2S1_1" formatStyle="Comma" appId="_GBC_4f1d477972634410a6ea7bdfaf766947"/>
      <m:placeholder xlName="_PLD_908c5e073add4fa8a13ed054455379d9" addr="T0R8C0S1_1"/>
      <m:item xlName="_GBC_6e0752d041a4476e9d70d499e381e424" concept="clcid-pte:JiaXianJinDengJiaWuYuE" label="现金等价物余额" mulRef="_GBC_b65333ba6aec402382c4acbbb6696560" unitRef="_GBC_15cada3a52264083942ef83a40fa25a0" addr="T0R8C1S1_1" formatStyle="Comma" appId="_GBC_4f1d477972634410a6ea7bdfaf766947"/>
      <m:item xlName="_GBC_c83f0f382fb645a5bb1a1ec405c1db80" concept="clcid-pte:JiaXianJinDengJiaWuYuE" label="现金等价物余额" periodRef="本期期初数" mulRef="_GBC_b65333ba6aec402382c4acbbb6696560" unitRef="_GBC_15cada3a52264083942ef83a40fa25a0" addr="T0R8C2S1_1" formatStyle="Comma" appId="_GBC_4f1d477972634410a6ea7bdfaf766947"/>
      <m:placeholder xlName="_PLD_652a861f17ac4cdd9702ff63844d42cc" addr="T0R9C0S1_1"/>
      <m:item xlName="_GBC_a062d28b88cc4bb892d470019249a225" concept="clcid-pte:SanGeYueNeiDaoQiDeZhaiQuanTouZi" label="三个月内到期的债券投资" mulRef="_GBC_b65333ba6aec402382c4acbbb6696560" unitRef="_GBC_15cada3a52264083942ef83a40fa25a0" addr="T0R9C1S1_1" formatStyle="Comma" appId="_GBC_4f1d477972634410a6ea7bdfaf766947"/>
      <m:item xlName="_GBC_092dc3284c5f4e809c9f8303a8550b46" concept="clcid-pte:SanGeYueNeiDaoQiDeZhaiQuanTouZi" label="三个月内到期的债券投资" periodRef="本期期初数" mulRef="_GBC_b65333ba6aec402382c4acbbb6696560" unitRef="_GBC_15cada3a52264083942ef83a40fa25a0" addr="T0R9C2S1_1" formatStyle="Comma" appId="_GBC_4f1d477972634410a6ea7bdfaf766947"/>
      <m:tuple xlName="_GBC_bf462c693b1047ea944cb9d373647912" concept="clcid-pte:XianJinDengJiaWuMingXi" default_row="2" addr="T0R10C">
        <m:item xlName="_GBC_93b9259827244abaa01cc66d145a82b6" concept="clcid-pte:XianJinDengJiaWuMingXiXiangMuMingCheng" label="现金等价物明细-项目名称" addr="T0R10C0S1_1" appId="_GBC_4f1d477972634410a6ea7bdfaf766947"/>
        <m:item xlName="_GBC_7b574361670640dca59ab5b246caa54b" concept="clcid-pte:XianJinDengJiaWuMingXiJinE" label="现金等价物明细-金额" mulRef="_GBC_b65333ba6aec402382c4acbbb6696560" unitRef="_GBC_15cada3a52264083942ef83a40fa25a0" addr="T0R10C1S1_1" formatStyle="Comma" appId="_GBC_4f1d477972634410a6ea7bdfaf766947"/>
        <m:item xlName="_GBC_1ad2f7a7b6d84a1bb5639e9fb685a93d" concept="clcid-pte:XianJinDengJiaWuMingXiJinE" label="现金等价物明细-金额" periodRef="本期期初数" mulRef="_GBC_b65333ba6aec402382c4acbbb6696560" unitRef="_GBC_15cada3a52264083942ef83a40fa25a0" addr="T0R10C2S1_1" formatStyle="Comma" appId="_GBC_4f1d477972634410a6ea7bdfaf766947"/>
      </m:tuple>
      <m:placeholder xlName="_PLD_4d07bfc591df4d5483e486621c246fa5" addr="T0R12C0S1_1"/>
      <m:item xlName="_GBC_994860e7281c46d8a63c4394fbf35a68" concept="clcid-pte:XianJinJiXianJinDengJiaWuYuE" label="现金及现金等价物余额" mulRef="_GBC_b65333ba6aec402382c4acbbb6696560" unitRef="_GBC_15cada3a52264083942ef83a40fa25a0" addr="T0R12C1S1_1" formatStyle="Comma" appId="_GBC_4f1d477972634410a6ea7bdfaf766947"/>
      <m:item xlName="_GBC_4842c2062e4d476e8888191dfc8c7baa" concept="clcid-pte:XianJinJiXianJinDengJiaWuYuE" label="现金及现金等价物余额" periodRef="本期期初数" mulRef="_GBC_b65333ba6aec402382c4acbbb6696560" unitRef="_GBC_15cada3a52264083942ef83a40fa25a0" addr="T0R12C2S1_1" formatStyle="Comma" appId="_GBC_4f1d477972634410a6ea7bdfaf766947"/>
      <m:placeholder xlName="_PLD_a7dfcdf890714f1c879ddf8d09d45801" addr="T0R13C0S1_1"/>
      <m:item xlName="_GBC_2e02331aee0349688df35e83c3c91338" concept="clcid-pte:MuGongSiHuoJiTuanNeiZiGongSiShiYongShouXianZhiDeXianJinHeXianJinDengJiaWu" label="母公司或集团内子公司使用受限制的现金和现金等价物" mulRef="_GBC_b65333ba6aec402382c4acbbb6696560" unitRef="_GBC_15cada3a52264083942ef83a40fa25a0" addr="T0R13C1S1_1" formatStyle="Comma" appId="_GBC_4f1d477972634410a6ea7bdfaf766947"/>
      <m:item xlName="_GBC_55fd0ff880e64139bb49cd0325cf9320" concept="clcid-pte:MuGongSiHuoJiTuanNeiZiGongSiShiYongShouXianZhiDeXianJinHeXianJinDengJiaWu" label="母公司或集团内子公司使用受限制的现金和现金等价物" periodRef="本期期初数" mulRef="_GBC_b65333ba6aec402382c4acbbb6696560" unitRef="_GBC_15cada3a52264083942ef83a40fa25a0" addr="T0R13C2S1_1" formatStyle="Comma" appId="_GBC_4f1d477972634410a6ea7bdfaf766947"/>
      <m:item xlName="_GBC_2212775a699e4804b260767f3ce34d12" concept="clcid-ci-ar:ShiFouShiYongXianJinLiuLiangBiaoBuChongZiLiaoDeShuoMing" label="是否适用：现金流量表补充资料的说明" selectOptions="_buildInAppliance" controlType="CustomCheckbox" cRanges="{&quot;StartName&quot;:&quot;_GBC_2212775a699e4804b260767f3ce34d12&quot;,&quot;EndName&quot;:&quot;_GBC_3debcbde5c274a28b3adc3b1d98dbe47&quot;,&quot;CType&quot;:1,&quot;DisplayText&quot;:null}"/>
      <m:item xlName="_GBC_3debcbde5c274a28b3adc3b1d98dbe47" concept="clcid-pte:XianJinLiuLiangBiaoBuChongZiLiaoDeShuoMing" label="现金流量表补充资料的说明" appId="_GBC_2212775a699e4804b260767f3ce34d12"/>
    </m:section>
    <m:section xlName="_GBC_f67b410d6123403caa2cee84fe191372" title="所有者权益变动表项目注释" convertSummaryRule="NoConvert" helpId="112001124">
      <m:item xlName="_GBC_61e84760a3fd4a58bb2421e95114d9b8" concept="clcid-ci-ar:ShiFouShiYongSuoYouZheQuanYiBianDongBiaoXiangMuZhuShi" label="是否适用：所有者权益变动表项目注释" selectOptions="_buildInAppliance" controlType="CustomCheckbox" cRanges="{&quot;StartName&quot;:&quot;_GBC_61e84760a3fd4a58bb2421e95114d9b8&quot;,&quot;EndName&quot;:&quot;_GBC_e17ba0ef3f2e4e5ca45ad21c6269f3ad&quot;,&quot;CType&quot;:1,&quot;DisplayText&quot;:null}"/>
      <m:item xlName="_GBC_e17ba0ef3f2e4e5ca45ad21c6269f3ad" concept="clcid-pte:SuoYouZheQuanYiBianDongBiaoXiangMuZhuShi" label="所有者权益变动表项目注释" appId="_GBC_61e84760a3fd4a58bb2421e95114d9b8"/>
    </m:section>
    <m:section xlName="_GBC_5707fab016f94974bd447e81a88f0183" title="所有权或使用权受到限制的资产" helpId="112001235">
      <m:item xlName="_GBC_52ae2d0e78d54772b7a0dc510205909b" concept="clcid-ci-ar:ShiFouShiYongSuoYouQuanHuoShiYongQuanShouDaoXianZhiDeZiChan" label="是否适用：所有权或使用权受到限制的资产" selectOptions="_buildInAppliance" controlType="CustomCheckbox" cRanges="{&quot;StartName&quot;:&quot;_GBC_52ae2d0e78d54772b7a0dc510205909b&quot;,&quot;EndName&quot;:&quot;_GBC_8c900f9a43384e3baa58823305552176&quot;,&quot;CType&quot;:1,&quot;DisplayText&quot;:null}"/>
      <m:item xlName="_GBC_41b1006bd71a4064aa99aa2d8750f726" concept="clcid-ci-ar:DanWeiCaiWuFuZhuSuoYouQuanHuoShiYongQuanShouDaoXianZhiDeZiChan" label="单位：财务附注：所有权或使用权受到限制的资产" selectOptions="_buildInScales" controlType="Combobox" cellType="Scale" appId="_GBC_52ae2d0e78d54772b7a0dc510205909b"/>
      <m:item xlName="_GBC_065bcf44f5b34330834a869f23aa83bc" concept="clcid-ci-ar:BiZhongCaiWuFuZhuSuoYouQuanHuoShiYongQuanShouDaoXianZhiDeZiChan" label="币种：财务附注：所有权或使用权受到限制的资产" selectOptions="_buildInISO4217" controlType="Combobox" cellType="Measure" appId="_GBC_52ae2d0e78d54772b7a0dc510205909b"/>
      <m:placeholder xlName="_PLD_e7174293a57c4a70b40b8a0fb698e34e" addr="T0R0C0S1_1"/>
      <m:placeholder xlName="_PLD_67814dca9df1416c87e0ce7ca03c3bf6" addr="T0R0C1S1_1"/>
      <m:placeholder xlName="_PLD_874205b57d36493284671995a440c448" addr="T0R0C2S1_1"/>
      <m:placeholder xlName="_PLD_ea504ac4c8814083a63e01e1e73c7bb1" addr="T0R1C0S1_1"/>
      <m:item xlName="_GBC_997e479d986f429e835303e5c68160f7" concept="clcid-pte:SuoYouQuanHuoShiYongQuanShouDaoXianZhiDeZiChanZhongHuoBiZiJinJinE" label="所有权或使用权受到限制的资产中货币资金金额" mulRef="_GBC_41b1006bd71a4064aa99aa2d8750f726" unitRef="_GBC_065bcf44f5b34330834a869f23aa83bc" addr="T0R1C1S1_1" formatStyle="Comma" appId="_GBC_52ae2d0e78d54772b7a0dc510205909b"/>
      <m:item xlName="_GBC_85a2d8c8b7c34cfeb14640abb4f80e66" concept="clcid-pte:SuoYouQuanHuoShiYongQuanShouDaoXianZhiDeZiChanZhongHuoBiZiJinShouXianYuanYin" label="所有权或使用权受到限制的资产中货币资金受限原因" addr="T0R1C2S1_1" appId="_GBC_52ae2d0e78d54772b7a0dc510205909b"/>
      <m:placeholder xlName="_PLD_29d7ce9d4f0e46dc8162a37d33a610d9" addr="T0R2C0S1_1"/>
      <m:item xlName="_GBC_e756eda7e8584b58a5b651e3453d7fa7" concept="clcid-pte:SuoYouQuanHuoShiYongQuanShouDaoXianZhiDeZiChanZhongYingShouPiaoJuJinE" label="所有权或使用权受到限制的资产中应收票据金额" mulRef="_GBC_41b1006bd71a4064aa99aa2d8750f726" unitRef="_GBC_065bcf44f5b34330834a869f23aa83bc" addr="T0R2C1S1_1" formatStyle="Comma" appId="_GBC_52ae2d0e78d54772b7a0dc510205909b"/>
      <m:item xlName="_GBC_fdbfad34b7b04a728c485fee34ff4c0e" concept="clcid-pte:SuoYouQuanHuoShiYongQuanShouDaoXianZhiDeZiChanZhongYingShouPiaoJuShouXianYuanYin" label="所有权或使用权受到限制的资产中应收票据受限原因" addr="T0R2C2S1_1" appId="_GBC_52ae2d0e78d54772b7a0dc510205909b"/>
      <m:placeholder xlName="_PLD_afab4a544bf94c1a837389ec2ede9565" addr="T0R3C0S1_1"/>
      <m:item xlName="_GBC_360ca329dc504fce8e7a3f6edb6fbf44" concept="clcid-pte:SuoYouQuanHuoShiYongQuanShouDaoXianZhiDeZiChanZhongCunHuoJinE" label="所有权或使用权受到限制的资产中存货金额" mulRef="_GBC_41b1006bd71a4064aa99aa2d8750f726" unitRef="_GBC_065bcf44f5b34330834a869f23aa83bc" addr="T0R3C1S1_1" formatStyle="Comma" appId="_GBC_52ae2d0e78d54772b7a0dc510205909b"/>
      <m:item xlName="_GBC_40409429d6de49d48969319a6caa7347" concept="clcid-pte:SuoYouQuanHuoShiYongQuanShouDaoXianZhiDeZiChanZhongCunHuoShouXianYuanYin" label="所有权或使用权受到限制的资产中存货受限原因" addr="T0R3C2S1_1" appId="_GBC_52ae2d0e78d54772b7a0dc510205909b"/>
      <m:placeholder xlName="_PLD_366d52197ef54558981550776d6d004d" addr="T0R4C0S1_1"/>
      <m:item xlName="_GBC_acb2981252d24bcaa42953989f93a0e0" concept="clcid-pte:SuoYouQuanHuoShiYongQuanShouDaoXianZhiDeZiChanZhongGuDingZiChanJinE" label="所有权或使用权受到限制的资产中固定资产金额" mulRef="_GBC_41b1006bd71a4064aa99aa2d8750f726" unitRef="_GBC_065bcf44f5b34330834a869f23aa83bc" addr="T0R4C1S1_1" formatStyle="Comma" appId="_GBC_52ae2d0e78d54772b7a0dc510205909b"/>
      <m:item xlName="_GBC_3de3e9493ddf426193a66c147fa87f21" concept="clcid-pte:SuoYouQuanHuoShiYongQuanShouDaoXianZhiDeZiChanZhongGuDingZiChanShouXianYuanYin" label="所有权或使用权受到限制的资产中固定资产受限原因" addr="T0R4C2S1_1" appId="_GBC_52ae2d0e78d54772b7a0dc510205909b"/>
      <m:placeholder xlName="_PLD_3eaf386fa309448faa19910851d581a5" addr="T0R5C0S1_1"/>
      <m:item xlName="_GBC_11ab2ab8e3ba4afaac37af7380687af6" concept="clcid-pte:SuoYouQuanHuoShiYongQuanShouDaoXianZhiDeZiChanZhongWuXingZiChanJinE" label="所有权或使用权受到限制的资产中无形资产金额" mulRef="_GBC_41b1006bd71a4064aa99aa2d8750f726" unitRef="_GBC_065bcf44f5b34330834a869f23aa83bc" addr="T0R5C1S1_1" formatStyle="Comma" appId="_GBC_52ae2d0e78d54772b7a0dc510205909b"/>
      <m:item xlName="_GBC_6c4a886e6ad8423ea8f92c65be950853" concept="clcid-pte:SuoYouQuanHuoShiYongQuanShouDaoXianZhiDeZiChanZhongWuXingZiChanShouXianYuanYin" label="所有权或使用权受到限制的资产中无形资产受限原因" addr="T0R5C2S1_1" appId="_GBC_52ae2d0e78d54772b7a0dc510205909b"/>
      <m:tuple xlName="_GBC_b386bbb44d7a46daaa4b82f327a68c3f" concept="clcid-pte:SuoYouQuanHuoShiYongQuanShouDaoXianZhiDeZiChanMingXi" default_row="2" addr="T0R6C">
        <m:item xlName="_GBC_b3cf15b3772a4c0fa4b67ce2331f0541" concept="clcid-pte:SuoYouQuanHuoShiYongQuanShouDaoXianZhiDeZiChanMingXiXiangMuMingCheng" label="所有权或使用权受到限制的资产明细-项目名称" addr="T0R6C0S1_1" appId="_GBC_52ae2d0e78d54772b7a0dc510205909b"/>
        <m:item xlName="_GBC_656371a98c2b46d5900f7b471eb98a7d" concept="clcid-pte:SuoYouQuanHuoShiYongQuanShouDaoXianZhiDeZiChanMingXiJinE" label="所有权或使用权受到限制的资产明细-金额" mulRef="_GBC_41b1006bd71a4064aa99aa2d8750f726" unitRef="_GBC_065bcf44f5b34330834a869f23aa83bc" addr="T0R6C1S1_1" formatStyle="Comma" appId="_GBC_52ae2d0e78d54772b7a0dc510205909b"/>
        <m:item xlName="_GBC_bd136b298c55446481d52dde11dad411" concept="clcid-pte:SuoYouQuanHuoShiYongQuanShouDaoXianZhiDeZiChanMingXiShouXianYuanYin" label="所有权或使用权受到限制的资产明细-受限原因" addr="T0R6C2S1_1" appId="_GBC_52ae2d0e78d54772b7a0dc510205909b"/>
      </m:tuple>
      <m:placeholder xlName="_PLD_82f734ac5ef74ac0a808bf747f7a4e5a" addr="T0R8C0S1_1"/>
      <m:item xlName="_GBC_147fedb34cae49dba7c15d09bd5d05da" concept="clcid-pte:SuoYouQuanHuoShiYongQuanShouDaoXianZhiDeZiChan" label="所有权或使用权受到限制的资产" mulRef="_GBC_41b1006bd71a4064aa99aa2d8750f726" unitRef="_GBC_065bcf44f5b34330834a869f23aa83bc" addr="T0R8C1S1_1" formatStyle="Comma" appId="_GBC_52ae2d0e78d54772b7a0dc510205909b">
        <m:complexRule comparator="Eq" title="所有权或使用权受到限制的资产" test=" $_GBC_997e479d986f429e835303e5c68160f7 +  $_GBC_e756eda7e8584b58a5b651e3453d7fa7 +  $_GBC_360ca329dc504fce8e7a3f6edb6fbf44 +  $_GBC_acb2981252d24bcaa42953989f93a0e0 +  $_GBC_656371a98c2b46d5900f7b471eb98a7d +  $_GBC_11ab2ab8e3ba4afaac37af7380687af6" id="C1ca8def83cec4c6f8370edf7da2044b1" serialType="1"/>
      </m:item>
      <m:item xlName="_GBC_8c900f9a43384e3baa58823305552176" concept="clcid-pte:SuoYouQuanHuoShiYongQuanShouDaoXianZhiDeZiChanDeQiTaShuoMing" label="所有权或使用权受到限制的资产的其他说明" appId="_GBC_52ae2d0e78d54772b7a0dc510205909b"/>
    </m:section>
    <m:section xlName="_GBC_7a80c9b78caf4e6686905c555fe61f9a" title="外币货币性项目" resetControlTag="true" helpId="112001118" axisType="Column" keyAction="48" keyCode="currency">
      <m:item xlName="_GBC_7b0870ec262840d78495babcff3639aa" concept="clcid-ci-ar:ShiFouShiYongWaiBiHuoBiXingXiangMu" label="是否适用：外币货币性项目" selectOptions="_buildInAppliance" controlType="CustomCheckbox" cRanges="{&quot;StartName&quot;:&quot;_GBC_7b0870ec262840d78495babcff3639aa&quot;,&quot;EndName&quot;:&quot;_GBC_a16b850d98e24762adbee5a1d5628893&quot;,&quot;CType&quot;:1,&quot;DisplayText&quot;:null}"/>
      <m:item xlName="_GBC_52ed5330bd884651892991446f0f1ae0" concept="clcid-ci-ar:DanWeiCaiWuFuZhuWaiBiHuoBiXingXiangMu" label="单位：财务附注：外币货币性项目" selectOptions="_buildInScales" controlType="Combobox" cellType="Scale" appId="_GBC_7b0870ec262840d78495babcff3639aa"/>
      <m:placeholder xlName="_PLD_28ce5153e9cf4914a550a6d253e7c465" addr="T0R0C0S1_1"/>
      <m:placeholder xlName="_PLD_295b6f310e534b62bde0e2c632482ed9" addr="T0R0C1S1_1"/>
      <m:placeholder xlName="_PLD_aa43af2545cb40668f2670b6f1569a92" addr="T0R0C2S1_1"/>
      <m:placeholder xlName="_PLD_8cdd9579b3964f01966c0b0c4cbacb2f" addr="T0R0C3S1_1"/>
      <m:item xlName="_GBC_3e7b744d0e3b4f3daf788a37da9c18b9" defaultRowGroupCount="3" concept="clcid-pte:YiWaiBiHeSuanDeXiangMuMingXiXiangMuMingCheng" label="以外币核算的项目明细-项目名称" selectOptions="fc57f4fbe4844f958280d11fabe8fb08" addr="T0R1C0S1_1" controlType="CellText" tagAction="1" appId="_GBC_7b0870ec262840d78495babcff3639aa" rowGroupKey="外币核算" groupRowType="1" rowGroupTuple="clcid-pte:YiWaiBiHeSuanDeXiangMuMingXi" keyCode="!currency" keyAction="48" otherKeyActions="{&quot;KeyCode&quot;:&quot;_GBC_b9ad493c07994625bf872e807197c998&quot;,&quot;KeyAction&quot;:49,&quot;KeyActionTitle&quot;:null,&quot;OtherActions&quot;:null}" iterateOptionValue="3" checkOption="Ignore" sampleText="外币核算-XXX"/>
      <m:item xlName="_GBC_3abd0f3cfae24ce3a624abd27363e1e1" concept="clcid-pte:YiWaiBiHeSuanDeXiangMuMingXiRenMinBiYuE" label="以外币核算的项目明细-人民币余额" mulRef="_GBC_52ed5330bd884651892991446f0f1ae0" addr="T0R1C3S1_1" formatStyle="Comma" appId="_GBC_7b0870ec262840d78495babcff3639aa" rowGroupKey="外币核算" groupRowType="1" rowGroupTuple="clcid-pte:YiWaiBiHeSuanDeXiangMuMingXi"/>
      <m:tuple xlName="_TUP_969e3a4d4027443f96aa20db7d6840da" concept="clcid-pte:YiWaiBiHeSuanDeBiZhongMingXi" default_row="3" addr="T0R2C">
        <m:item xlName="_GBC_21765b5e64364f62971250478e4ff572" textBefore="其中：" concept="clcid-pte:YiWaiBiHeSuanDeBiZhongMingXiBiZhongMingCheng" label="以外币核算的币种明细-币种名称" selectOptions="cdc05b520d654aa68a7f4c52007fb697" addr="T0R2C0S1_1" controlType="Combobox" tagAction="1" appId="_GBC_7b0870ec262840d78495babcff3639aa" rowGroupKey="外币核算" groupRowType="5" rowGroupTuple="clcid-pte:YiWaiBiHeSuanDeXiangMuMingXi" keyCode="currency" keyAction="48" otherKeyActions="{&quot;KeyCode&quot;:&quot;_GBC_a8a2206abe64476f90c2dfa9e05b581d&quot;,&quot;KeyAction&quot;:49,&quot;KeyActionTitle&quot;:null,&quot;OtherActions&quot;:null}" iterateOptionValue="3" checkOption="Ignore" sampleText="USD"/>
        <m:item xlName="_GBC_95f5474d9e25438abcdee27421fbe0aa" concept="clcid-pte:YiWaiBiHeSuanDeBiZhongMingXiWaiBiYuE" label="以外币核算的币种明细-外币余额" mulRef="_GBC_52ed5330bd884651892991446f0f1ae0" addr="T0R2C1S1_1" formatStyle="Comma" appId="_GBC_7b0870ec262840d78495babcff3639aa" rowGroupKey="外币核算" groupRowType="5" rowGroupTuple="clcid-pte:YiWaiBiHeSuanDeXiangMuMingXi"/>
        <m:item xlName="_GBC_50dcc7fc0b95413f8af76fff2505f866" concept="clcid-pte:YiWaiBiHeSuanDeBiZhongMingXiZheSuanHuiLv" label="以外币核算的币种明细-折算汇率" addr="T0R2C2S1_1" formatStyle="Comma" appId="_GBC_7b0870ec262840d78495babcff3639aa" rowGroupKey="外币核算" groupRowType="5" rowGroupTuple="clcid-pte:YiWaiBiHeSuanDeXiangMuMingXi"/>
        <m:item xlName="_GBC_066635d7a70542be8a96f6ed7887ff19" concept="clcid-pte:YiWaiBiHeSuanDeBiZhongMingXiRenMinBiYuE" label="以外币核算的币种明细-人民币余额" mulRef="_GBC_52ed5330bd884651892991446f0f1ae0" addr="T0R2C3S1_1" formatStyle="Comma" appId="_GBC_7b0870ec262840d78495babcff3639aa" rowGroupKey="外币核算" groupRowType="5" rowGroupTuple="clcid-pte:YiWaiBiHeSuanDeXiangMuMingXi"/>
      </m:tuple>
      <m:item xlName="_GBC_a16b850d98e24762adbee5a1d5628893" concept="clcid-pte:WaiBiHuoBiXingXiangMuDeQiTaShuoMing" label="外币货币性项目的其他说明" appId="_GBC_7b0870ec262840d78495babcff3639aa"/>
      <m:item xlName="_GBC_4ad16f5c306d4c6ead144dfd007fb925" concept="clcid-pte:ShiFouShiYongJingWaiJingYingShiTiZhuYaoBaoBiaoXiangMuDeZheSuanHuiLv" label="是否适用：境外经营实体主要报表项目的折算汇率" selectOptions="_buildInAppliance" controlType="CustomCheckbox" cRanges="{&quot;StartName&quot;:&quot;_GBC_4ad16f5c306d4c6ead144dfd007fb925&quot;,&quot;EndName&quot;:&quot;_GBC_4148864437ea4c5bb9934a188232a73c&quot;,&quot;CType&quot;:1,&quot;DisplayText&quot;:null}"/>
      <m:item xlName="_GBC_4148864437ea4c5bb9934a188232a73c" concept="clcid-pte:JingWaiJingYingShiTiZhuYaoBaoBiaoXiangMuDeZheSuanHuiLv" label="境外经营实体主要报表项目的折算汇率" appId="_GBC_4ad16f5c306d4c6ead144dfd007fb925"/>
    </m:section>
    <m:section xlName="_GBC_e37f7bfcfa2f4a9e92bdd5e8593a6fd8" title="按照套期类别披露套期及相关套期工具、被套期风险的相关的定性定" helpId="112001120">
      <m:item xlName="_GBC_bca8fe779ada470c87241e7b3e12387a" concept="clcid-ci-ar:ShiFouShiYongTaoQi" label="是否适用：套期" selectOptions="_buildInAppliance" controlType="CustomCheckbox" cRanges="{&quot;StartName&quot;:&quot;_GBC_bca8fe779ada470c87241e7b3e12387a&quot;,&quot;EndName&quot;:&quot;_GBC_8ef0bd7ba6d74bcda07e9f5021f37fbb&quot;,&quot;CType&quot;:1,&quot;DisplayText&quot;:null}"/>
      <m:item xlName="_GBC_8ef0bd7ba6d74bcda07e9f5021f37fbb" concept="clcid-pte:AnZhaoTaoQiLeiBiePiLuTaoQiJiXiangGuanTaoQiGongJuBeiTaoQiFengXianDeXiangGuanDeDingXingDingLiangXinXi" label="按照套期类别披露套期及相关套期工具、被套期风险的相关的定性定量信息" appId="_GBC_bca8fe779ada470c87241e7b3e12387a"/>
    </m:section>
    <m:section xlName="_SEC_8b247fe8025b433290c47017eb23d965" title="政府补助" helpId="112002267">
      <m:item xlName="_GBC_8a025998848a4a4d930f199d57736e15" concept="clcid-ci-ar:ShiFouShiYongZhengFuBuZhuJiBenQingKuang" label="是否适用：政府补助基本情况" selectOptions="_buildInAppliance" controlType="CustomCheckbox" cRanges="{&quot;StartName&quot;:&quot;_GBC_8a025998848a4a4d930f199d57736e15&quot;,&quot;EndName&quot;:&quot;_GBC_9dc2697190974521a5c2abf7544b4b7b&quot;,&quot;CType&quot;:1,&quot;DisplayText&quot;:null}"/>
      <m:item xlName="_GBC_49d8ad9a78444187ab5ec6859fc38653" concept="clcid-ci-ar:DanWeiZhengFuBuZhuJiBenQingKuang" label="单位：政府补助基本情况" selectOptions="_buildInScales" controlType="Combobox" cellType="Scale" appId="_GBC_8a025998848a4a4d930f199d57736e15"/>
      <m:item xlName="_GBC_6dc43bbe785a4771883308e15c8d77e2" concept="clcid-ci-ar:BiZhongZhengFuBuZhuJiBenQingKuang" label="币种：政府补助基本情况" selectOptions="_buildInISO4217" controlType="Combobox" cellType="Measure" appId="_GBC_8a025998848a4a4d930f199d57736e15"/>
      <m:placeholder xlName="_PLD_20198135e9724233ad4bece3169fd38a" addr="T0R0C0S1_1"/>
      <m:placeholder xlName="_PLD_50674c48b51140b28f91e26b50ec3ca3" addr="T0R0C1S1_1"/>
      <m:placeholder xlName="_PLD_89c889fd1e0e48039263b92a213ea66d" addr="T0R0C2S1_1"/>
      <m:placeholder xlName="_PLD_edddb4c4d0cf4f88861cbb3e2b5c9ca7" addr="T0R0C3S1_1"/>
      <m:tuple xlName="_TUP_6721ef78150942db8758c3d102513424" concept="clcid-pte:ZhengFuBuZhuJiBenQingKuangMingXi" default_row="2" addr="T0R1C">
        <m:item xlName="_GBC_26847384211246b9b04d5ad688880398" concept="clcid-pte:ZhengFuBuZhuJiBenQingKuangMingXiZhongLei" label="政府补助基本情况明细_种类" addr="T0R1C0S1_1" appId="_GBC_8a025998848a4a4d930f199d57736e15"/>
        <m:item xlName="_GBC_631fc39703364b71a97cc715c9692ef8" concept="clcid-pte:ZhengFuBuZhuJiBenQingKuangMingXiJinE" label="政府补助基本情况明细_金额" mulRef="_GBC_49d8ad9a78444187ab5ec6859fc38653" unitRef="_GBC_6dc43bbe785a4771883308e15c8d77e2" addr="T0R1C1S1_1" formatStyle="Comma" appId="_GBC_8a025998848a4a4d930f199d57736e15"/>
        <m:item xlName="_GBC_0a4438b953d044838ed222fd31637482" concept="clcid-pte:ZhengFuBuZhuJiBenQingKuangMingXiLieBaoXiangMu" label="政府补助基本情况明细_列报项目" addr="T0R1C2S1_1" appId="_GBC_8a025998848a4a4d930f199d57736e15"/>
        <m:item xlName="_GBC_9dc2697190974521a5c2abf7544b4b7b" concept="clcid-pte:ZhengFuBuZhuJiBenQingKuangMingXiJiRuDangQiSunYiDeJinE" label="政府补助基本情况明细_计入当期损益的金额" mulRef="_GBC_49d8ad9a78444187ab5ec6859fc38653" unitRef="_GBC_6dc43bbe785a4771883308e15c8d77e2" addr="T0R1C3S1_1" formatStyle="Comma" appId="_GBC_8a025998848a4a4d930f199d57736e15"/>
      </m:tuple>
      <m:item xlName="_GBC_d6d1c427ffcb427184f1234527bb5b16" concept="clcid-ci-ar:ShiFouShiYongZhengFuBuZhuTuiHuiQingKuang" label="是否适用：政府补助退回情况" selectOptions="_buildInAppliance" controlType="CustomCheckbox" cRanges="{&quot;StartName&quot;:&quot;_GBC_d6d1c427ffcb427184f1234527bb5b16&quot;,&quot;EndName&quot;:&quot;_GBC_719fb5f7abf140b285bbb4072849be44&quot;,&quot;CType&quot;:1,&quot;DisplayText&quot;:null}"/>
      <m:item xlName="_GBC_6ad0870aa2504d3baa3dee04e28cbbaa" concept="clcid-ci-ar:DanWeiZhengFuBuZhuTuiHuiQingKuang" label="单位：政府补助退回情况" selectOptions="_buildInScales" controlType="Combobox" cellType="Scale" appId="_GBC_d6d1c427ffcb427184f1234527bb5b16"/>
      <m:item xlName="_GBC_edeed420eb064158ac7cfea964816c65" concept="clcid-ci-ar:BiZhongZhengFuBuZhuTuiHuiQingKuang" label="币种：政府补助退回情况" selectOptions="_buildInISO4217" controlType="Combobox" cellType="Measure" appId="_GBC_d6d1c427ffcb427184f1234527bb5b16"/>
      <m:placeholder xlName="_PLD_05cd2c1246b04f15a056044d7e9232de" addr="T1R0C0S1_1"/>
      <m:placeholder xlName="_PLD_527e29fffec04e598d9f2c02a9dbf0fd" addr="T1R0C1S1_1"/>
      <m:placeholder xlName="_PLD_a54ebd2c488243ab926e25f4607ca3be" addr="T1R0C2S1_1"/>
      <m:tuple xlName="_TUP_550d6c6e9def46089997f136b5905822" concept="clcid-pte:ZhengFuBuZhuTuiHuiQingKuangMingXi" default_row="2" addr="T1R1C">
        <m:item xlName="_GBC_c0df02d595fb4fce922bc1d8a39c2db0" concept="clcid-pte:ZhengFuBuZhuTuiHuiQingKuangMingXiXiangMu" label="政府补助退回情况明细_项目" addr="T1R1C0S1_1" appId="_GBC_d6d1c427ffcb427184f1234527bb5b16"/>
        <m:item xlName="_GBC_a8ccb8e8550041f99a1ba39d6c9582da" concept="clcid-pte:ZhengFuBuZhuTuiHuiQingKuangMingXiJinE" label="政府补助退回情况明细_金额" mulRef="_GBC_6ad0870aa2504d3baa3dee04e28cbbaa" unitRef="_GBC_edeed420eb064158ac7cfea964816c65" addr="T1R1C1S1_1" formatStyle="Comma" appId="_GBC_d6d1c427ffcb427184f1234527bb5b16"/>
        <m:item xlName="_GBC_719fb5f7abf140b285bbb4072849be44" concept="clcid-pte:ZhengFuBuZhuTuiHuiQingKuangMingXiYuanYin" label="政府补助退回情况明细_原因" addr="T1R1C2S1_1" appId="_GBC_d6d1c427ffcb427184f1234527bb5b16"/>
      </m:tuple>
      <m:item xlName="_GBC_f71d7a3695a84c0c9e67640c00a61dad" concept="clcid-pte:ZhengFuBuZhuShuoMing" label="政府补助说明"/>
    </m:section>
    <m:section xlName="_GBC_f027b70d30154df58ffdc310123f3e1f" title="合并财务报表项目注释其他需要说明的事项" helpId="112001122">
      <m:item xlName="_GBC_d9335575f6594653aa8718dc633c644c" concept="clcid-ci-ar:ShiFouShiYongHeBingCaiWuBaoBiaoXiangMuZhuShiQiTaXuYaoShuoMingDeShiXiang" label="是否适用：合并财务报表项目注释其他需要说明的事项" selectOptions="_buildInAppliance" controlType="CustomCheckbox" cRanges="{&quot;StartName&quot;:&quot;_GBC_d9335575f6594653aa8718dc633c644c&quot;,&quot;EndName&quot;:&quot;_GBC_80f37a02cda14573a72e973b2a94432d&quot;,&quot;CType&quot;:1,&quot;DisplayText&quot;:null}"/>
      <m:item xlName="_GBC_80f37a02cda14573a72e973b2a94432d" concept="clcid-pte:HeBingCaiWuBaoBiaoXiangMuZhuShiQiTaXuYaoShuoMingDeShiXiang" label="合并财务报表项目注释其他需要说明的事项" appId="_GBC_d9335575f6594653aa8718dc633c644c"/>
    </m:section>
    <m:item xlName="_GBC_2f9a65b0b4644b14ab5af1407e6467f1" concept="clcid-ci-ar:ShiFouShiYongFeiTongYiKongZhiXiaQiYeHeBing" label="是否适用：非同一控制下企业合并" selectOptions="_buildInAppliance" controlType="CustomCheckbox" cRanges="{&quot;StartName&quot;:&quot;_GBC_2f9a65b0b4644b14ab5af1407e6467f1&quot;,&quot;EndName&quot;:&quot;_GBC_a8e368f1c89042528538f003b17f5f6e&quot;,&quot;CType&quot;:1,&quot;DisplayText&quot;:null}"/>
    <m:section xlName="_GBC_191c82f36f1047ba9e26760de90e4cd0" title="本期发生的非同一控制下企业合并" helpId="112001125" helpText="注：分步实现企业合并且在本期取得控制权的交易，应分别说明前期和本期取得股权的时点、成本、比例及方式。">
      <m:item xlName="_GBC_86ecffe4880149ccb2d960b428bd8d79" concept="clcid-ci-ar:ShiFouShiYongBenQiFaShengDeFeiTongYiKongZhiXiaQiYeHeBing" label="是否适用：本期发生的非同一控制下企业合并" selectOptions="_buildInAppliance" controlType="CustomCheckbox" cRanges="{&quot;StartName&quot;:&quot;_GBC_86ecffe4880149ccb2d960b428bd8d79&quot;,&quot;EndName&quot;:&quot;_GBC_9f52af1a761046fc9cae3b45ad2de483&quot;,&quot;CType&quot;:1,&quot;DisplayText&quot;:null}"/>
      <m:item xlName="_GBC_e485987044bf46d89b1e8cb5cfafd51a" concept="clcid-ci-ar:DanWeiFeiTongYiKongZhiXiaQiYeHeBingQuDeDeZiGongSi" label="单位：非同一控制下企业合并取得的子公司" selectOptions="_buildInScales" controlType="Combobox" cellType="Scale" appId="_GBC_86ecffe4880149ccb2d960b428bd8d79"/>
      <m:item xlName="_GBC_e126454e4f594efc91b7467d929b9731" concept="clcid-ci-ar:BiZhongFeiTongYiKongZhiXiaQiYeHeBingQuDeDeZiGongSi" label="币种：非同一控制下企业合并取得的子公司" selectOptions="_buildInISO4217" controlType="Combobox" cellType="Measure" appId="_GBC_86ecffe4880149ccb2d960b428bd8d79"/>
      <m:placeholder xlName="_PLD_8c2a3aa8cbc54957a614a719496eade0" addr="T0R0C0S1_1"/>
      <m:placeholder xlName="_PLD_9310e8eb3f4b4a4994bae6aa816a49f0" addr="T0R0C1S1_1"/>
      <m:placeholder xlName="_PLD_7d6705daa6ed41c69646f5e7ce71f6dc" addr="T0R0C2S1_1"/>
      <m:placeholder xlName="_PLD_e9f94b51d88f4cf18fbe980b5d881989" addr="T0R0C3S1_1"/>
      <m:placeholder xlName="_PLD_e7ff21191034402c9f2c7a6520ff9aee" addr="T0R0C4S1_1"/>
      <m:placeholder xlName="_PLD_a52ef8d17e9f487b812ae41f2d665800" addr="T0R0C5S1_1"/>
      <m:placeholder xlName="_PLD_0eb7342597574eb1b043a7e34f67567a" addr="T0R0C6S1_1"/>
      <m:placeholder xlName="_PLD_8a922c3f35084a21b4995750c481bcaf" addr="T0R0C7S1_1"/>
      <m:placeholder xlName="_PLD_817a84f6f3074ec1a6c78f49ea2f3142" addr="T0R0C8S1_1"/>
      <m:tuple xlName="_GBC_75cf0138d64c45fe9341d645f310237b" concept="clcid-pte:FeiTongYiKongZhiXiaQiYeHeBingMingXi" default_row="2" addr="T0R1C">
        <m:item xlName="_GBC_c9df9c7b458241138011024dfc88509e" concept="clcid-pte:FeiTongYiKongZhiXiaQiYeHeBingMingXiBeiHeBingFang" label="非同一控制下企业合并明细-被合并方" addr="T0R1C0S1_1" appId="_GBC_86ecffe4880149ccb2d960b428bd8d79"/>
        <m:item xlName="_GBC_fea900ee0cbc4e8e84426d3fd2b6de40" concept="clcid-pte:FeiTongYiKongZhiXiaQiYeHeBingMingXiGuQuanQuDeShiDian" label="非同一控制下企业合并明细-股权取得时点" addr="T0R1C1S1_1" formatStyle="Comma" appId="_GBC_86ecffe4880149ccb2d960b428bd8d79"/>
        <m:item xlName="_GBC_0991237da4dd416382b7515612897a5b" concept="clcid-pte:FeiTongYiKongZhiXiaQiYeHeBingMingXiGuQuanQuDeChengBen" label="非同一控制下企业合并明细-股权取得成本" mulRef="_GBC_e485987044bf46d89b1e8cb5cfafd51a" unitRef="_GBC_e126454e4f594efc91b7467d929b9731" addr="T0R1C2S1_1" formatStyle="Comma" appId="_GBC_86ecffe4880149ccb2d960b428bd8d79"/>
        <m:item xlName="_GBC_2cd7f0d0c88443d5b2997a98d8dd5d99" concept="clcid-pte:FeiTongYiKongZhiXiaQiYeHeBingMingXiGuQuanQuDeBiLi" label="非同一控制下企业合并明细-股权取得比例" addr="T0R1C3S1_1" baseScale="0.01" formatStyle="Comma" appId="_GBC_86ecffe4880149ccb2d960b428bd8d79"/>
        <m:item xlName="_GBC_5fae328a96ea4cc9b155ce2b0a40eefc" concept="clcid-pte:FeiTongYiKongZhiXiaQiYeHeBingMingXiGuQuanQuDeFangShi" label="非同一控制下企业合并明细-股权取得方式" addr="T0R1C4S1_1" appId="_GBC_86ecffe4880149ccb2d960b428bd8d79"/>
        <m:item xlName="_GBC_f999d6b4193643899cbafaf565eaebab" concept="clcid-pte:FeiTongYiKongZhiXiaQiYeHeBingMingXiGouMaiRi" label="非同一控制下企业合并明细-购买日" addr="T0R1C5S1_1" appId="_GBC_86ecffe4880149ccb2d960b428bd8d79" keyAction="38"/>
        <m:item xlName="_GBC_07e8632d2a0043f3a025aca33021e18f" concept="clcid-pte:FeiTongYiKongZhiXiaQiYeHeBingMingXiGouMaiRiDeQueDingYiJu" label="非同一控制下企业合并明细-购买日的确定依据" addr="T0R1C6S1_1" appId="_GBC_86ecffe4880149ccb2d960b428bd8d79"/>
        <m:item xlName="_GBC_a1fdf37742b74a23a9125c17ef0c436b" concept="clcid-pte:FeiTongYiKongZhiXiaQiYeHeBingMingXiGouMaiRiZhiQiMoBeiGouMaiFangDeShouRu" label="非同一控制下企业合并明细-购买日至期末被购买方的收入" mulRef="_GBC_e485987044bf46d89b1e8cb5cfafd51a" unitRef="_GBC_e126454e4f594efc91b7467d929b9731" addr="T0R1C7S1_1" formatStyle="Comma" appId="_GBC_86ecffe4880149ccb2d960b428bd8d79"/>
        <m:item xlName="_GBC_3006da1091104375b414e336b79c7145" concept="clcid-pte:FeiTongYiKongZhiXiaQiYeHeBingMingXiGouMaiRiZhiQiMoBeiGouMaiFangDeJingLiRun" label="非同一控制下企业合并明细-购买日至期末被购买方的净利润" mulRef="_GBC_e485987044bf46d89b1e8cb5cfafd51a" unitRef="_GBC_e126454e4f594efc91b7467d929b9731" addr="T0R1C8S1_1" formatStyle="Comma" appId="_GBC_86ecffe4880149ccb2d960b428bd8d79"/>
      </m:tuple>
      <m:item xlName="_GBC_9f52af1a761046fc9cae3b45ad2de483" concept="clcid-pte:BenQiFaShengDeFeiTongYiKongZhiXiaQiYeHeBingDeQiTaShuoMing" label="本期发生的非同一控制下企业合并的其他说明" appId="_GBC_86ecffe4880149ccb2d960b428bd8d79"/>
    </m:section>
    <m:item xlName="_GBC_56d9f6aa774c4776ac65c41472b0a280" concept="clcid-ci-ar:ShiFouShiYongHeBingChengBenJiShangYu" label="是否适用：合并成本及商誉" selectOptions="_buildInAppliance" controlType="CustomCheckbox" cRanges="{&quot;StartName&quot;:&quot;_GBC_56d9f6aa774c4776ac65c41472b0a280&quot;,&quot;EndName&quot;:&quot;_SEC_b7237772b9774305981c247e3791a68b&quot;,&quot;CType&quot;:1,&quot;DisplayText&quot;:null}"/>
    <m:item xlName="_GBC_7dcc905e1cc54d7da6ff3999e09e0f1f" concept="clcid-ci-ar:DanWeiCaiWuFuZhuHeBingChengBenJiShangYu" label="单位：财务附注：合并成本及商誉" selectOptions="_buildInScales" controlType="Combobox" cellType="Scale" appId="_GBC_56d9f6aa774c4776ac65c41472b0a280"/>
    <m:item xlName="_GBC_1d4f1604e6724ad4aa12235f8be81df0" concept="clcid-ci-ar:BiZhongCaiWuFuZhuHeBingChengBenJiShangYu" label="币种：财务附注：合并成本及商誉" selectOptions="_buildInISO4217" controlType="Combobox" cellType="Measure" appId="_GBC_56d9f6aa774c4776ac65c41472b0a280"/>
    <m:section xlName="_GBC_b580c6f1845b4d7b8bf9ccaec8a64584" title="合并成本及商誉" repeatable="1" helpId="112001126">
      <m:placeholder xlName="_PLD_90e0a910c2c54a11a6666bf7ea3e769c" addr="T0R0C0S1_1"/>
      <m:item xlName="_GBC_469a7483e3b446c4ac515b62fe192804" concept="clcid-pte:FeiTongYiKongZhiXiaQiYeHeBingChengBenJiShangYuMingXiGongSiMingCheng" label="非同一控制下企业合并成本及商誉明细-公司名称" addr="T0R0C1S1_1" tagAction="1" tupleRef="clcid-pte:FeiTongYiKongZhiXiaQiYeHeBingChengBenJiShangYuMingXi" appId="_GBC_56d9f6aa774c4776ac65c41472b0a280" isCaption="true"/>
      <m:placeholder xlName="_PLD_ffd129825bc84b56819a63052af77f9f" addr="T0R1C0S1_1"/>
      <m:item xlName="_GBC_fa64e73b23884656a4a66116bb4a25b0" concept="clcid-pte:FeiTongYiKongZhiXiaQiYeHeBingChengBenJiShangYuMingXiXianJin" label="非同一控制下企业合并成本及商誉明细-现金" mulRef="_GBC_7dcc905e1cc54d7da6ff3999e09e0f1f" unitRef="_GBC_1d4f1604e6724ad4aa12235f8be81df0" addr="T0R1C1S1_1" formatStyle="Comma" tupleRef="clcid-pte:FeiTongYiKongZhiXiaQiYeHeBingChengBenJiShangYuMingXi" appId="_GBC_56d9f6aa774c4776ac65c41472b0a280"/>
      <m:placeholder xlName="_PLD_9fa50cbcc2cd42889d033d59eb093dd9" addr="T0R2C0S1_1"/>
      <m:item xlName="_GBC_154878afab744c1ab5b6f75ee92c6795" concept="clcid-pte:FeiTongYiKongZhiXiaQiYeHeBingChengBenJiShangYuMingXiFeiXianJinZiChanDeGongYunJiaZhi" label="非同一控制下企业合并成本及商誉明细-非现金资产的公允价值" mulRef="_GBC_7dcc905e1cc54d7da6ff3999e09e0f1f" unitRef="_GBC_1d4f1604e6724ad4aa12235f8be81df0" addr="T0R2C1S1_1" formatStyle="Comma" tupleRef="clcid-pte:FeiTongYiKongZhiXiaQiYeHeBingChengBenJiShangYuMingXi" appId="_GBC_56d9f6aa774c4776ac65c41472b0a280"/>
      <m:placeholder xlName="_PLD_0af7de5f68a9405f89405b001a5979e4" addr="T0R3C0S1_1"/>
      <m:item xlName="_GBC_fb76a1a8097a4eec876fa0686c0236f0" concept="clcid-pte:FeiTongYiKongZhiXiaQiYeHeBingChengBenJiShangYuMingXiFaXingHuoChengDanDeZhaiWuDeGongYunJiaZhi" label="非同一控制下企业合并成本及商誉明细-发行或承担的债务的公允价值" mulRef="_GBC_7dcc905e1cc54d7da6ff3999e09e0f1f" unitRef="_GBC_1d4f1604e6724ad4aa12235f8be81df0" addr="T0R3C1S1_1" formatStyle="Comma" tupleRef="clcid-pte:FeiTongYiKongZhiXiaQiYeHeBingChengBenJiShangYuMingXi" appId="_GBC_56d9f6aa774c4776ac65c41472b0a280"/>
      <m:placeholder xlName="_PLD_4b54569f1b15468e9cd99b4447c42a6b" addr="T0R4C0S1_1"/>
      <m:item xlName="_GBC_20f9dc7c601c443b9d6a85fa9a6f796c" concept="clcid-pte:FeiTongYiKongZhiXiaQiYeHeBingChengBenJiShangYuMingXiFaXingDeQuanYiXingZhengQuanDeGongYunJiaZhi" label="非同一控制下企业合并成本及商誉明细-发行的权益性证券的公允价值" mulRef="_GBC_7dcc905e1cc54d7da6ff3999e09e0f1f" unitRef="_GBC_1d4f1604e6724ad4aa12235f8be81df0" addr="T0R4C1S1_1" formatStyle="Comma" tupleRef="clcid-pte:FeiTongYiKongZhiXiaQiYeHeBingChengBenJiShangYuMingXi" appId="_GBC_56d9f6aa774c4776ac65c41472b0a280"/>
      <m:placeholder xlName="_PLD_b09f27de74ca41d6841f5082ae2b8524" addr="T0R5C0S1_1"/>
      <m:item xlName="_GBC_e119a3d9e83c43f7aaad229a35c4386e" concept="clcid-pte:FeiTongYiKongZhiXiaQiYeHeBingChengBenJiShangYuMingXiHuoYouDuiJiaDeGongYunJiaZhi" label="非同一控制下企业合并成本及商誉明细-或有对价的公允价值" mulRef="_GBC_7dcc905e1cc54d7da6ff3999e09e0f1f" unitRef="_GBC_1d4f1604e6724ad4aa12235f8be81df0" addr="T0R5C1S1_1" formatStyle="Comma" tupleRef="clcid-pte:FeiTongYiKongZhiXiaQiYeHeBingChengBenJiShangYuMingXi" appId="_GBC_56d9f6aa774c4776ac65c41472b0a280"/>
      <m:placeholder xlName="_PLD_529b9bf03b8a46828911ba410b669377" addr="T0R6C0S1_1"/>
      <m:item xlName="_GBC_e748e88b5e954b9aa3eb37bf9e47cb8b" concept="clcid-pte:FeiTongYiKongZhiXiaQiYeHeBingChengBenJiShangYuMingXiGouMaiRiZhiQianChiYouDeGuQuanYuGouMaiRiDeGongYunJiaZhi" label="非同一控制下企业合并成本及商誉明细-购买日之前持有的股权于购买日的公允价值" mulRef="_GBC_7dcc905e1cc54d7da6ff3999e09e0f1f" unitRef="_GBC_1d4f1604e6724ad4aa12235f8be81df0" addr="T0R6C1S1_1" formatStyle="Comma" tupleRef="clcid-pte:FeiTongYiKongZhiXiaQiYeHeBingChengBenJiShangYuMingXi" appId="_GBC_56d9f6aa774c4776ac65c41472b0a280"/>
      <m:placeholder xlName="_PLD_3f58118910054d60835741b5341be0aa" addr="T0R7C0S1_1"/>
      <m:item xlName="_GBC_c3967cd1abd348cfb4c6a38201662cb7" concept="clcid-pte:FeiTongYiKongZhiXiaQiYeHeBingChengBenJiShangYuMingXiQiTa" label="非同一控制下企业合并成本及商誉明细-其他" mulRef="_GBC_7dcc905e1cc54d7da6ff3999e09e0f1f" unitRef="_GBC_1d4f1604e6724ad4aa12235f8be81df0" addr="T0R7C1S1_1" formatStyle="Comma" tupleRef="clcid-pte:FeiTongYiKongZhiXiaQiYeHeBingChengBenJiShangYuMingXi" appId="_GBC_56d9f6aa774c4776ac65c41472b0a280"/>
      <m:placeholder xlName="_PLD_ad494e3b2e714cc89a2ea5ed850f2f44" addr="T0R8C0S1_1"/>
      <m:item xlName="_GBC_a8e1d71290b2400baffeea62eb105cfc" concept="clcid-pte:FeiTongYiKongZhiXiaQiYeHeBingChengBenJiShangYuMingXiHeBingChengBenHeJi" label="非同一控制下企业合并成本及商誉明细-合并成本合计" mulRef="_GBC_7dcc905e1cc54d7da6ff3999e09e0f1f" unitRef="_GBC_1d4f1604e6724ad4aa12235f8be81df0" addr="T0R8C1S1_1" formatStyle="Comma" tupleRef="clcid-pte:FeiTongYiKongZhiXiaQiYeHeBingChengBenJiShangYuMingXi" appId="_GBC_56d9f6aa774c4776ac65c41472b0a280">
        <m:complexRule comparator="Eq" title="非同一控制下企业合并成本及商誉明细-合并成本合计" test=" $_GBC_fa64e73b23884656a4a66116bb4a25b0 +  $_GBC_154878afab744c1ab5b6f75ee92c6795 +  $_GBC_fb76a1a8097a4eec876fa0686c0236f0 +  $_GBC_20f9dc7c601c443b9d6a85fa9a6f796c +  $_GBC_e119a3d9e83c43f7aaad229a35c4386e +  $_GBC_e748e88b5e954b9aa3eb37bf9e47cb8b +  $_GBC_c3967cd1abd348cfb4c6a38201662cb7" id="C2db592b4734844d9ba96b2c348e6e6dd"/>
      </m:item>
      <m:placeholder xlName="_PLD_459d6e4c73d847999eb2c8bd9b403293" addr="T0R9C0S1_1"/>
      <m:item xlName="_GBC_a82f508b9fc04c19933594d33e3870a1" concept="clcid-pte:FeiTongYiKongZhiXiaQiYeHeBingChengBenJiShangYuMingXiQuDeDeKeBianRenJingZiChanGongYunJiaZhiFenE" label="非同一控制下企业合并成本及商誉明细-取得的可辨认净资产公允价值份额" mulRef="_GBC_7dcc905e1cc54d7da6ff3999e09e0f1f" unitRef="_GBC_1d4f1604e6724ad4aa12235f8be81df0" addr="T0R9C1S1_1" formatStyle="Comma" tupleRef="clcid-pte:FeiTongYiKongZhiXiaQiYeHeBingChengBenJiShangYuMingXi" appId="_GBC_56d9f6aa774c4776ac65c41472b0a280"/>
      <m:placeholder xlName="_PLD_83a4ed1b12994814b00d33e954496874" addr="T0R10C0S1_1"/>
      <m:item xlName="_GBC_64e5a7cbb63b4147804f5af6855b21f0" concept="clcid-pte:FeiTongYiKongZhiXiaQiYeHeBingChengBenJiShangYuMingXiShangYuHuoHeBingChengBenXiaoYuQuDeDeKeBianRenJingZiChanGongYunJiaZhiFenEDeJinE" label="非同一控制下企业合并成本及商誉明细-商誉或合并成本小于取得的可辨认净资产公允价值份额的金额" mulRef="_GBC_7dcc905e1cc54d7da6ff3999e09e0f1f" unitRef="_GBC_1d4f1604e6724ad4aa12235f8be81df0" addr="T0R10C1S1_1" formatStyle="Comma" tupleRef="clcid-pte:FeiTongYiKongZhiXiaQiYeHeBingChengBenJiShangYuMingXi" appId="_GBC_56d9f6aa774c4776ac65c41472b0a280">
        <m:complexRule comparator="Eq" title="非同一控制下企业合并成本及商誉明细-商誉或合并成本小于取得的可辨认净资产公允价值份额的金额" test=" $_GBC_a8e1d71290b2400baffeea62eb105cfc -  $_GBC_a82f508b9fc04c19933594d33e3870a1" id="Cb84c10ee777947819c40268b88173edc"/>
      </m:item>
      <m:virtualTuples>
        <m:virtualTuple id="dc40489a-919e-4301-8c5f-ee7896369dc8" tupleRef="clcid-pte:FeiTongYiKongZhiXiaQiYeHeBingChengBenJiShangYuMingXi" extendDirection="2" splitWidth="1"/>
      </m:virtualTuples>
    </m:section>
    <m:section xlName="_SEC_b7237772b9774305981c247e3791a68b" title="合并成本及商誉说明" helpId="112001126">
      <m:item xlName="_GBC_ea5b31de0643497fae5fe7cd77cbb2e1" concept="clcid-pte:HeBingChengBenGongYunJiaZhiHuoYouDuiJiaJiQiBianDongDeShuoMing" label="合并成本公允价值、或有对价及其变动的说明" helpText="注：以前期间发生的企业合并相关或有对价的变动及其原因、影响应在或有对价形成的相关资产、负债项目中予以说明。" appId="_GBC_56d9f6aa774c4776ac65c41472b0a280"/>
      <m:item xlName="_GBC_6db5d4c7090447f49f6ba9e7d90dcda6" concept="clcid-pte:ShangYuGouChengDeShuoMing" label="商誉构成的说明" appId="_GBC_56d9f6aa774c4776ac65c41472b0a280"/>
      <m:item xlName="_GBC_ec269e60a21f404198a0210772e1ec2d" concept="clcid-pte:FeiTongYiKongZhiXiaQiYeHeBingChengBenJiShangYuDeQiTaShuoMing" label="非同一控制下企业合并成本及商誉的其他说明" appId="_GBC_56d9f6aa774c4776ac65c41472b0a280"/>
    </m:section>
    <m:item xlName="_GBC_b192e56c8e2242b3bf12a08de6dc76d4" concept="clcid-ci-ar:ShiFouShiYongBeiGouMaiFangYuGouMaiRiKeBianRenZiChanFuZhai" label="是否适用：被购买方于购买日可辨认资产、负债" selectOptions="_buildInAppliance" controlType="CustomCheckbox" cRanges="{&quot;StartName&quot;:&quot;_GBC_b192e56c8e2242b3bf12a08de6dc76d4&quot;,&quot;EndName&quot;:&quot;_SEC_71192ac75eef458fbf50203b1ba92b57&quot;,&quot;CType&quot;:1,&quot;DisplayText&quot;:null}"/>
    <m:item xlName="_GBC_fe3b0ed5978941cd84d579dc509a4b5e" concept="clcid-ci-ar:DanWeiCaiWuFuZhuBeiGouMaiFangYuGouMaiRiKeBianRenZiChanFuZhai" label="单位：财务附注：被购买方于购买日可辨认资产、负债" selectOptions="_buildInScales" controlType="Combobox" cellType="Scale" appId="_GBC_b192e56c8e2242b3bf12a08de6dc76d4"/>
    <m:item xlName="_GBC_83c566a361664b7c893465ef7708f711" concept="clcid-ci-ar:BiZhongCaiWuFuZhuBeiGouMaiFangYuGouMaiRiKeBianRenZiChanFuZhai" label="币种：财务附注：被购买方于购买日可辨认资产、负债" selectOptions="_buildInISO4217" controlType="Combobox" cellType="Measure" appId="_GBC_b192e56c8e2242b3bf12a08de6dc76d4"/>
    <m:section xlName="_GBC_bae5eee03904496d93aa515da79c8f71" title="被购买方于购买日可辨认资产、负债" repeatable="1" helpId="112001128" helpText="注：资产、负债项目可根据重要性原则分类汇总列示；单项不重大的企业合并可汇总列示。 ">
      <m:item xlName="_GBC_d4fb67d4c1514739bef962c72f680d84" concept="clcid-pte:BeiGouMaiFangYuGouMaiRiKeBianRenZiChanFuZhaiMingXiGongSiMingCheng" label="被购买方于购买日可辨认资产、负债明细-公司名称" addr="T0R0C1S1_2" tagAction="1" tupleRef="clcid-pte:BeiGouMaiFangYuGouMaiRiKeBianRenZiChanFuZhaiMingXi" appId="_GBC_b192e56c8e2242b3bf12a08de6dc76d4" colGroupKey="被购买企业" isCaption="true"/>
      <m:item xlName="_GBC_58fbe0c4801445c1b7ad93b0bde874fc" concept="clcid-pte:BeiGouMaiFangYuGouMaiRiKeBianRenZiChanFuZhaiMingXiGouMaiRiJiaZhiLeiXing" label="被购买方于购买日可辨认资产、负债明细-购买日价值类型" addr="T0R1C1S1_1" formatStyle="Comma" tupleRef="clcid-pte:BeiGouMaiFangYuGouMaiRiKeBianRenZiChanFuZhaiMingXi" appId="_GBC_b192e56c8e2242b3bf12a08de6dc76d4" colGroupKey="被购买企业" groupColType="1" isCaption="true" iterateOptionValue="2"/>
      <m:item xlName="_GBC_b349cefb15ba4d06b4a942d0efc32ba8" concept="clcid-pte:BeiGouMaiFangYuGouMaiRiKeBianRenZiChanFuZhaiMingXiGouMaiRiJiaZhiLeiXing" label="被购买方于购买日可辨认资产、负债明细-购买日价值类型" addr="T0R1C2S1_1" formatStyle="Comma" tupleRef="clcid-pte:BeiGouMaiFangYuGouMaiRiKeBianRenZiChanFuZhaiMingXi" appId="_GBC_b192e56c8e2242b3bf12a08de6dc76d4" colGroupKey="被购买企业" groupColType="5" isCaption="true"/>
      <m:placeholder xlName="_GBC_5d80303e8f2a44ab83c1cb4ae132eb16" fixedColumnWidth="true" addr="T0R2C0S1_1"/>
      <m:item xlName="_GBC_e6631f7028614352aeea0f5da83cac10" concept="clcid-pte:BeiGouMaiFangYuGouMaiRiKeBianRenZiChanFuZhaiMingXiZiChan" label="被购买方于购买日可辨认资产、负债明细-资产" mulRef="_GBC_fe3b0ed5978941cd84d579dc509a4b5e" unitRef="_GBC_83c566a361664b7c893465ef7708f711" addr="T0R2C1S1_1" formatStyle="Comma" tupleRef="clcid-pte:BeiGouMaiFangYuGouMaiRiKeBianRenZiChanFuZhaiMingXi" appId="_GBC_b192e56c8e2242b3bf12a08de6dc76d4" colGroupKey="被购买企业" groupColType="1">
        <m:complexRule comparator="Eq" title="被购买方于购买日可辨认资产、负债明细-资产" test=" $_GBC_1d556236f14345b4b16a7735c478045e +  $_GBC_d9e0966c778b4435a7fc37278025496f +  $_GBC_c915364e09904bc48723feee92fc8860 +  $_GBC_7b02084a888645b1acf84e807694d36b +  $_GBC_c24753be5dce48cb8b50ef7876170fd4 +  $_GBC_d51e495e22e24f78a5a72442e29f3b8c" id="C82f6372f5fb34f2e80d1aa3072c33e9d" serialType="1"/>
      </m:item>
      <m:item xlName="_GBC_8c7d208bb13e4d83872ccdb8290618d0" concept="clcid-pte:BeiGouMaiFangYuGouMaiRiKeBianRenZiChanFuZhaiMingXiZiChan" label="被购买方于购买日可辨认资产、负债明细-资产" mulRef="_GBC_fe3b0ed5978941cd84d579dc509a4b5e" unitRef="_GBC_83c566a361664b7c893465ef7708f711" addr="T0R2C2S1_1" formatStyle="Comma" tupleRef="clcid-pte:BeiGouMaiFangYuGouMaiRiKeBianRenZiChanFuZhaiMingXi" appId="_GBC_b192e56c8e2242b3bf12a08de6dc76d4" colGroupKey="被购买企业" groupColType="5"/>
      <m:placeholder xlName="_PLD_0fc5ba3971cf4118baa44f9220f8f1f8" addr="T0R3C0S1_1"/>
      <m:item xlName="_GBC_1d556236f14345b4b16a7735c478045e" concept="clcid-pte:BeiGouMaiFangYuGouMaiRiKeBianRenZiChanFuZhaiMingXiHuoBiZiJin" label="被购买方于购买日可辨认资产、负债明细-货币资金" mulRef="_GBC_fe3b0ed5978941cd84d579dc509a4b5e" unitRef="_GBC_83c566a361664b7c893465ef7708f711" addr="T0R3C1S1_1" formatStyle="Comma" tupleRef="clcid-pte:BeiGouMaiFangYuGouMaiRiKeBianRenZiChanFuZhaiMingXi" appId="_GBC_b192e56c8e2242b3bf12a08de6dc76d4" colGroupKey="被购买企业" groupColType="1"/>
      <m:item xlName="_GBC_730ba8275404495ba25561254f9c6410" concept="clcid-pte:BeiGouMaiFangYuGouMaiRiKeBianRenZiChanFuZhaiMingXiHuoBiZiJin" label="被购买方于购买日可辨认资产、负债明细-货币资金" mulRef="_GBC_fe3b0ed5978941cd84d579dc509a4b5e" unitRef="_GBC_83c566a361664b7c893465ef7708f711" addr="T0R3C2S1_1" formatStyle="Comma" tupleRef="clcid-pte:BeiGouMaiFangYuGouMaiRiKeBianRenZiChanFuZhaiMingXi" appId="_GBC_b192e56c8e2242b3bf12a08de6dc76d4" colGroupKey="被购买企业" groupColType="5"/>
      <m:placeholder xlName="_PLD_f442e30e685949768a8d8a10360a5e05" addr="T0R4C0S1_1"/>
      <m:item xlName="_GBC_d9e0966c778b4435a7fc37278025496f" concept="clcid-pte:BeiGouMaiFangYuGouMaiRiKeBianRenZiChanFuZhaiMingXiYingShouKuanXiang" label="被购买方于购买日可辨认资产、负债明细-应收款项" mulRef="_GBC_fe3b0ed5978941cd84d579dc509a4b5e" unitRef="_GBC_83c566a361664b7c893465ef7708f711" addr="T0R4C1S1_1" formatStyle="Comma" tupleRef="clcid-pte:BeiGouMaiFangYuGouMaiRiKeBianRenZiChanFuZhaiMingXi" appId="_GBC_b192e56c8e2242b3bf12a08de6dc76d4" colGroupKey="被购买企业" groupColType="1"/>
      <m:item xlName="_GBC_12814a9d2aff4287a01187a662c83992" concept="clcid-pte:BeiGouMaiFangYuGouMaiRiKeBianRenZiChanFuZhaiMingXiYingShouKuanXiang" label="被购买方于购买日可辨认资产、负债明细-应收款项" mulRef="_GBC_fe3b0ed5978941cd84d579dc509a4b5e" unitRef="_GBC_83c566a361664b7c893465ef7708f711" addr="T0R4C2S1_1" formatStyle="Comma" tupleRef="clcid-pte:BeiGouMaiFangYuGouMaiRiKeBianRenZiChanFuZhaiMingXi" appId="_GBC_b192e56c8e2242b3bf12a08de6dc76d4" colGroupKey="被购买企业" groupColType="5"/>
      <m:placeholder xlName="_PLD_66e643b0465b436790ac369f16cc4073" addr="T0R5C0S1_1"/>
      <m:item xlName="_GBC_c915364e09904bc48723feee92fc8860" concept="clcid-pte:BeiGouMaiFangYuGouMaiRiKeBianRenZiChanFuZhaiMingXiCunHuo" label="被购买方于购买日可辨认资产、负债明细-存货" mulRef="_GBC_fe3b0ed5978941cd84d579dc509a4b5e" unitRef="_GBC_83c566a361664b7c893465ef7708f711" addr="T0R5C1S1_1" formatStyle="Comma" tupleRef="clcid-pte:BeiGouMaiFangYuGouMaiRiKeBianRenZiChanFuZhaiMingXi" appId="_GBC_b192e56c8e2242b3bf12a08de6dc76d4" colGroupKey="被购买企业" groupColType="1"/>
      <m:item xlName="_GBC_bf9267cb18414bd5b8cbe74f0bb2a452" concept="clcid-pte:BeiGouMaiFangYuGouMaiRiKeBianRenZiChanFuZhaiMingXiCunHuo" label="被购买方于购买日可辨认资产、负债明细-存货" mulRef="_GBC_fe3b0ed5978941cd84d579dc509a4b5e" unitRef="_GBC_83c566a361664b7c893465ef7708f711" addr="T0R5C2S1_1" formatStyle="Comma" tupleRef="clcid-pte:BeiGouMaiFangYuGouMaiRiKeBianRenZiChanFuZhaiMingXi" appId="_GBC_b192e56c8e2242b3bf12a08de6dc76d4" colGroupKey="被购买企业" groupColType="5"/>
      <m:placeholder xlName="_PLD_7e0cf9e9f8484a1ea70f8fec40bb63f4" addr="T0R6C0S1_1"/>
      <m:item xlName="_GBC_7b02084a888645b1acf84e807694d36b" concept="clcid-pte:BeiGouMaiFangYuGouMaiRiKeBianRenZiChanFuZhaiMingXiGuDingZiChan" label="被购买方于购买日可辨认资产、负债明细-固定资产" mulRef="_GBC_fe3b0ed5978941cd84d579dc509a4b5e" unitRef="_GBC_83c566a361664b7c893465ef7708f711" addr="T0R6C1S1_1" formatStyle="Comma" tupleRef="clcid-pte:BeiGouMaiFangYuGouMaiRiKeBianRenZiChanFuZhaiMingXi" appId="_GBC_b192e56c8e2242b3bf12a08de6dc76d4" colGroupKey="被购买企业" groupColType="1"/>
      <m:item xlName="_GBC_5d4dcfd96c5a42b0bc5b633ee7a98da5" concept="clcid-pte:BeiGouMaiFangYuGouMaiRiKeBianRenZiChanFuZhaiMingXiGuDingZiChan" label="被购买方于购买日可辨认资产、负债明细-固定资产" mulRef="_GBC_fe3b0ed5978941cd84d579dc509a4b5e" unitRef="_GBC_83c566a361664b7c893465ef7708f711" addr="T0R6C2S1_1" formatStyle="Comma" tupleRef="clcid-pte:BeiGouMaiFangYuGouMaiRiKeBianRenZiChanFuZhaiMingXi" appId="_GBC_b192e56c8e2242b3bf12a08de6dc76d4" colGroupKey="被购买企业" groupColType="5"/>
      <m:placeholder xlName="_PLD_0d6d9030f13d41658c1f2807fc7f8a74" addr="T0R7C0S1_1"/>
      <m:item xlName="_GBC_c24753be5dce48cb8b50ef7876170fd4" concept="clcid-pte:BeiGouMaiFangYuGouMaiRiKeBianRenZiChanFuZhaiMingXiWuXingZiChan" label="被购买方于购买日可辨认资产、负债明细-无形资产" mulRef="_GBC_fe3b0ed5978941cd84d579dc509a4b5e" unitRef="_GBC_83c566a361664b7c893465ef7708f711" addr="T0R7C1S1_1" formatStyle="Comma" tupleRef="clcid-pte:BeiGouMaiFangYuGouMaiRiKeBianRenZiChanFuZhaiMingXi" appId="_GBC_b192e56c8e2242b3bf12a08de6dc76d4" colGroupKey="被购买企业" groupColType="1"/>
      <m:item xlName="_GBC_74db3d68b6034cf6bad93edf2e2d2f56" concept="clcid-pte:BeiGouMaiFangYuGouMaiRiKeBianRenZiChanFuZhaiMingXiWuXingZiChan" label="被购买方于购买日可辨认资产、负债明细-无形资产" mulRef="_GBC_fe3b0ed5978941cd84d579dc509a4b5e" unitRef="_GBC_83c566a361664b7c893465ef7708f711" addr="T0R7C2S1_1" formatStyle="Comma" tupleRef="clcid-pte:BeiGouMaiFangYuGouMaiRiKeBianRenZiChanFuZhaiMingXi" appId="_GBC_b192e56c8e2242b3bf12a08de6dc76d4" colGroupKey="被购买企业" groupColType="5"/>
      <m:item xlName="_GBC_78f1e20dfd7a44eca07704e894e49d93" concept="clcid-pte:BeiGouMaiFangYuGouMaiRiKeBianRenZiChanKeMuMingCheng1" label="被购买方于购买日可辨认资产科目名称1" addr="T0R8C0S1_1" tagAction="1" appId="_GBC_b192e56c8e2242b3bf12a08de6dc76d4" isSerialConcept="true" serialDirection="1" isCaption="true" serialDefaultCount="2"/>
      <m:item xlName="_GBC_d51e495e22e24f78a5a72442e29f3b8c" concept="clcid-pte:BeiGouMaiFangYuGouMaiRiKeBianRenZiChanKeMuMingChengJinE1" label="被购买方于购买日可辨认资产科目名称金额1" mulRef="_GBC_fe3b0ed5978941cd84d579dc509a4b5e" unitRef="_GBC_83c566a361664b7c893465ef7708f711" addr="T0R8C1S1_1" tagAction="1" formatStyle="Comma" tupleRef="clcid-pte:BeiGouMaiFangYuGouMaiRiKeBianRenZiChanFuZhaiMingXi" appId="_GBC_b192e56c8e2242b3bf12a08de6dc76d4" colGroupKey="被购买企业" groupColType="1" isSerialConcept="true" serialDirection="1" serialDefaultCount="2"/>
      <m:item xlName="_GBC_a72f7d7905574334939cbb323c57da67" concept="clcid-pte:BeiGouMaiFangYuGouMaiRiKeBianRenZiChanKeMuMingChengJinE1" label="被购买方于购买日可辨认资产科目名称金额1" mulRef="_GBC_fe3b0ed5978941cd84d579dc509a4b5e" unitRef="_GBC_83c566a361664b7c893465ef7708f711" addr="T0R8C2S1_1" tagAction="1" formatStyle="Comma" tupleRef="clcid-pte:BeiGouMaiFangYuGouMaiRiKeBianRenZiChanFuZhaiMingXi" appId="_GBC_b192e56c8e2242b3bf12a08de6dc76d4" colGroupKey="被购买企业" groupColType="5" isSerialConcept="true" serialDirection="1" serialDefaultCount="2"/>
      <m:placeholder xlName="_PLD_daf6849c8015478c89ee15518e19b8bd" addr="T0R9C0S1_1"/>
      <m:item xlName="_GBC_901034f7b19d48fea5120f0b6bb05613" concept="clcid-pte:BeiGouMaiFangYuGouMaiRiKeBianRenZiChanFuZhaiMingXiFuZhai" label="被购买方于购买日可辨认资产、负债明细-负债" mulRef="_GBC_fe3b0ed5978941cd84d579dc509a4b5e" unitRef="_GBC_83c566a361664b7c893465ef7708f711" addr="T0R9C1S1_1" formatStyle="Comma" tupleRef="clcid-pte:BeiGouMaiFangYuGouMaiRiKeBianRenZiChanFuZhaiMingXi" appId="_GBC_b192e56c8e2242b3bf12a08de6dc76d4" colGroupKey="被购买企业" groupColType="1">
        <m:complexRule comparator="Eq" title="被购买方于购买日可辨认资产、负债明细-负债" test=" $_GBC_9ef6233154d841a8b18556c0681cfd91 +  $_GBC_73d600fe62d246548962e6988a75139c +  $_GBC_fe24bc5b88b24e08ad3e118b68314489 +  $_GBC_ec665ce5e8dd4420a27de5c03b05d188" id="C0daab86fad42478c8375d8216322fced" serialType="1"/>
      </m:item>
      <m:item xlName="_GBC_0dbae1f04a9a4259a5307cf206058d66" concept="clcid-pte:BeiGouMaiFangYuGouMaiRiKeBianRenZiChanFuZhaiMingXiFuZhai" label="被购买方于购买日可辨认资产、负债明细-负债" mulRef="_GBC_fe3b0ed5978941cd84d579dc509a4b5e" unitRef="_GBC_83c566a361664b7c893465ef7708f711" addr="T0R9C2S1_1" formatStyle="Comma" tupleRef="clcid-pte:BeiGouMaiFangYuGouMaiRiKeBianRenZiChanFuZhaiMingXi" appId="_GBC_b192e56c8e2242b3bf12a08de6dc76d4" colGroupKey="被购买企业" groupColType="5"/>
      <m:placeholder xlName="_PLD_f63c233f164040789feceafb364ff339" addr="T0R10C0S1_1"/>
      <m:item xlName="_GBC_9ef6233154d841a8b18556c0681cfd91" concept="clcid-pte:BeiGouMaiFangYuGouMaiRiKeBianRenZiChanFuZhaiMingXiJieKuan" label="被购买方于购买日可辨认资产、负债明细-借款" mulRef="_GBC_fe3b0ed5978941cd84d579dc509a4b5e" unitRef="_GBC_83c566a361664b7c893465ef7708f711" addr="T0R10C1S1_1" formatStyle="Comma" tupleRef="clcid-pte:BeiGouMaiFangYuGouMaiRiKeBianRenZiChanFuZhaiMingXi" appId="_GBC_b192e56c8e2242b3bf12a08de6dc76d4" colGroupKey="被购买企业" groupColType="1"/>
      <m:item xlName="_GBC_a3c6d476e5d247cdb08f427253587f04" concept="clcid-pte:BeiGouMaiFangYuGouMaiRiKeBianRenZiChanFuZhaiMingXiJieKuan" label="被购买方于购买日可辨认资产、负债明细-借款" mulRef="_GBC_fe3b0ed5978941cd84d579dc509a4b5e" unitRef="_GBC_83c566a361664b7c893465ef7708f711" addr="T0R10C2S1_1" formatStyle="Comma" tupleRef="clcid-pte:BeiGouMaiFangYuGouMaiRiKeBianRenZiChanFuZhaiMingXi" appId="_GBC_b192e56c8e2242b3bf12a08de6dc76d4" colGroupKey="被购买企业" groupColType="5"/>
      <m:placeholder xlName="_PLD_e3ab4607832d47d98d128c1ebb778789" addr="T0R11C0S1_1"/>
      <m:item xlName="_GBC_73d600fe62d246548962e6988a75139c" concept="clcid-pte:BeiGouMaiFangYuGouMaiRiKeBianRenZiChanFuZhaiMingXiYingFuKuanXiang" label="被购买方于购买日可辨认资产、负债明细-应付款项" mulRef="_GBC_fe3b0ed5978941cd84d579dc509a4b5e" unitRef="_GBC_83c566a361664b7c893465ef7708f711" addr="T0R11C1S1_1" formatStyle="Comma" tupleRef="clcid-pte:BeiGouMaiFangYuGouMaiRiKeBianRenZiChanFuZhaiMingXi" appId="_GBC_b192e56c8e2242b3bf12a08de6dc76d4" colGroupKey="被购买企业" groupColType="1"/>
      <m:item xlName="_GBC_e3149e5182f04acfb0b8af643db47c12" concept="clcid-pte:BeiGouMaiFangYuGouMaiRiKeBianRenZiChanFuZhaiMingXiYingFuKuanXiang" label="被购买方于购买日可辨认资产、负债明细-应付款项" mulRef="_GBC_fe3b0ed5978941cd84d579dc509a4b5e" unitRef="_GBC_83c566a361664b7c893465ef7708f711" addr="T0R11C2S1_1" formatStyle="Comma" tupleRef="clcid-pte:BeiGouMaiFangYuGouMaiRiKeBianRenZiChanFuZhaiMingXi" appId="_GBC_b192e56c8e2242b3bf12a08de6dc76d4" colGroupKey="被购买企业" groupColType="5"/>
      <m:placeholder xlName="_PLD_87ac9342cc484bbca7b24f57ed10fbe3" addr="T0R12C0S1_1"/>
      <m:item xlName="_GBC_fe24bc5b88b24e08ad3e118b68314489" concept="clcid-pte:BeiGouMaiFangYuGouMaiRiKeBianRenZiChanFuZhaiMingXiDiYanSuoDeShuiFuZhai" label="被购买方于购买日可辨认资产、负债明细-递延所得税负债" mulRef="_GBC_fe3b0ed5978941cd84d579dc509a4b5e" unitRef="_GBC_83c566a361664b7c893465ef7708f711" addr="T0R12C1S1_1" formatStyle="Comma" tupleRef="clcid-pte:BeiGouMaiFangYuGouMaiRiKeBianRenZiChanFuZhaiMingXi" appId="_GBC_b192e56c8e2242b3bf12a08de6dc76d4" colGroupKey="被购买企业" groupColType="1"/>
      <m:item xlName="_GBC_f33a2ac30cd24b8b880e9d1cc6559841" concept="clcid-pte:BeiGouMaiFangYuGouMaiRiKeBianRenZiChanFuZhaiMingXiDiYanSuoDeShuiFuZhai" label="被购买方于购买日可辨认资产、负债明细-递延所得税负债" mulRef="_GBC_fe3b0ed5978941cd84d579dc509a4b5e" unitRef="_GBC_83c566a361664b7c893465ef7708f711" addr="T0R12C2S1_1" formatStyle="Comma" tupleRef="clcid-pte:BeiGouMaiFangYuGouMaiRiKeBianRenZiChanFuZhaiMingXi" appId="_GBC_b192e56c8e2242b3bf12a08de6dc76d4" colGroupKey="被购买企业" groupColType="5"/>
      <m:item xlName="_GBC_3fdac5176d054c96826b1316e391834a" concept="clcid-pte:BeiGouMaiFangYuGouMaiRiKeBianRenFuZhaiKeMuMingCheng1" label="被购买方于购买日可辨认负债科目名称1" addr="T0R13C0S1_1" tagAction="1" appId="_GBC_b192e56c8e2242b3bf12a08de6dc76d4" isSerialConcept="true" serialDirection="1" serialDefaultCount="2"/>
      <m:item xlName="_GBC_ec665ce5e8dd4420a27de5c03b05d188" concept="clcid-pte:BeiGouMaiFangYuGouMaiRiKeBianRenFuZhaiKeMuMingChengJinE1" label="被购买方于购买日可辨认负债科目名称金额1" mulRef="_GBC_fe3b0ed5978941cd84d579dc509a4b5e" unitRef="_GBC_83c566a361664b7c893465ef7708f711" addr="T0R13C1S1_1" tagAction="1" formatStyle="Comma" tupleRef="clcid-pte:BeiGouMaiFangYuGouMaiRiKeBianRenZiChanFuZhaiMingXi" appId="_GBC_b192e56c8e2242b3bf12a08de6dc76d4" colGroupKey="被购买企业" groupColType="1" isSerialConcept="true" serialDirection="1" serialDefaultCount="2"/>
      <m:item xlName="_GBC_8902caf41ddc42bd9a806ec934cb8d57" concept="clcid-pte:BeiGouMaiFangYuGouMaiRiKeBianRenFuZhaiKeMuMingChengJinE1" label="被购买方于购买日可辨认负债科目名称金额1" mulRef="_GBC_fe3b0ed5978941cd84d579dc509a4b5e" unitRef="_GBC_83c566a361664b7c893465ef7708f711" addr="T0R13C2S1_1" tagAction="1" formatStyle="Comma" tupleRef="clcid-pte:BeiGouMaiFangYuGouMaiRiKeBianRenZiChanFuZhaiMingXi" appId="_GBC_b192e56c8e2242b3bf12a08de6dc76d4" colGroupKey="被购买企业" groupColType="5" isSerialConcept="true" serialDirection="1" serialDefaultCount="2"/>
      <m:placeholder xlName="_PLD_31f4f78f54f44b42ba45229f2588c644" addr="T0R14C0S1_1"/>
      <m:item xlName="_GBC_07c468902fe64b5b8448155e03051113" concept="clcid-pte:BeiGouMaiFangYuGouMaiRiKeBianRenZiChanFuZhaiMingXiJingZiChan" label="被购买方于购买日可辨认资产、负债明细-净资产" mulRef="_GBC_fe3b0ed5978941cd84d579dc509a4b5e" unitRef="_GBC_83c566a361664b7c893465ef7708f711" addr="T0R14C1S1_1" formatStyle="Comma" tupleRef="clcid-pte:BeiGouMaiFangYuGouMaiRiKeBianRenZiChanFuZhaiMingXi" appId="_GBC_b192e56c8e2242b3bf12a08de6dc76d4" colGroupKey="被购买企业" groupColType="1">
        <m:complexRule comparator="Eq" title="被购买方于购买日可辨认资产、负债明细-净资产" test=" $_GBC_e6631f7028614352aeea0f5da83cac10 -  $_GBC_901034f7b19d48fea5120f0b6bb05613" id="C27723124ae07483285ffd767877efdda"/>
      </m:item>
      <m:item xlName="_GBC_4a360e8ff28943859c0185076e2ef2fe" concept="clcid-pte:BeiGouMaiFangYuGouMaiRiKeBianRenZiChanFuZhaiMingXiJingZiChan" label="被购买方于购买日可辨认资产、负债明细-净资产" mulRef="_GBC_fe3b0ed5978941cd84d579dc509a4b5e" unitRef="_GBC_83c566a361664b7c893465ef7708f711" addr="T0R14C2S1_1" formatStyle="Comma" tupleRef="clcid-pte:BeiGouMaiFangYuGouMaiRiKeBianRenZiChanFuZhaiMingXi" appId="_GBC_b192e56c8e2242b3bf12a08de6dc76d4" colGroupKey="被购买企业" groupColType="5"/>
      <m:placeholder xlName="_PLD_27db97bb2e9e4ed29f664661ab32633e" addr="T0R15C0S1_1"/>
      <m:item xlName="_GBC_032cd254403e4c259983e94b227d1e5f" concept="clcid-pte:BeiGouMaiFangYuGouMaiRiKeBianRenZiChanFuZhaiMingXiShaoShuGuDongQuanYi" label="被购买方于购买日可辨认资产、负债明细-少数股东权益" mulRef="_GBC_fe3b0ed5978941cd84d579dc509a4b5e" unitRef="_GBC_83c566a361664b7c893465ef7708f711" addr="T0R15C1S1_1" formatStyle="Comma" tupleRef="clcid-pte:BeiGouMaiFangYuGouMaiRiKeBianRenZiChanFuZhaiMingXi" appId="_GBC_b192e56c8e2242b3bf12a08de6dc76d4" colGroupKey="被购买企业" groupColType="1"/>
      <m:item xlName="_GBC_393bb00decf34a0ba8dbcd87bd950539" concept="clcid-pte:BeiGouMaiFangYuGouMaiRiKeBianRenZiChanFuZhaiMingXiShaoShuGuDongQuanYi" label="被购买方于购买日可辨认资产、负债明细-少数股东权益" mulRef="_GBC_fe3b0ed5978941cd84d579dc509a4b5e" unitRef="_GBC_83c566a361664b7c893465ef7708f711" addr="T0R15C2S1_1" formatStyle="Comma" tupleRef="clcid-pte:BeiGouMaiFangYuGouMaiRiKeBianRenZiChanFuZhaiMingXi" appId="_GBC_b192e56c8e2242b3bf12a08de6dc76d4" colGroupKey="被购买企业" groupColType="5"/>
      <m:placeholder xlName="_PLD_7551e2dca54c417abfe6eda16c3c98be" addr="T0R16C0S1_1"/>
      <m:item xlName="_GBC_f603dbc89ca14b81aaaa63811607f846" concept="clcid-pte:BeiGouMaiFangYuGouMaiRiKeBianRenZiChanFuZhaiMingXiQuDeDeJingZiChan" label="被购买方于购买日可辨认资产、负债明细-取得的净资产" mulRef="_GBC_fe3b0ed5978941cd84d579dc509a4b5e" unitRef="_GBC_83c566a361664b7c893465ef7708f711" addr="T0R16C1S1_1" formatStyle="Comma" tupleRef="clcid-pte:BeiGouMaiFangYuGouMaiRiKeBianRenZiChanFuZhaiMingXi" appId="_GBC_b192e56c8e2242b3bf12a08de6dc76d4" colGroupKey="被购买企业" groupColType="1">
        <m:complexRule comparator="Eq" title="被购买方于购买日可辨认资产、负债明细-取得的净资产" test=" $_GBC_07c468902fe64b5b8448155e03051113 -  $_GBC_032cd254403e4c259983e94b227d1e5f" id="C95fa83d82fa947b5b61364a9c89145a4"/>
      </m:item>
      <m:item xlName="_GBC_44c16a19089244d38319dd2c626060bc" concept="clcid-pte:BeiGouMaiFangYuGouMaiRiKeBianRenZiChanFuZhaiMingXiQuDeDeJingZiChan" label="被购买方于购买日可辨认资产、负债明细-取得的净资产" mulRef="_GBC_fe3b0ed5978941cd84d579dc509a4b5e" unitRef="_GBC_83c566a361664b7c893465ef7708f711" addr="T0R16C2S1_1" formatStyle="Comma" tupleRef="clcid-pte:BeiGouMaiFangYuGouMaiRiKeBianRenZiChanFuZhaiMingXi" appId="_GBC_b192e56c8e2242b3bf12a08de6dc76d4" colGroupKey="被购买企业" groupColType="5"/>
      <m:virtualTuples>
        <m:virtualTuple id="38730a4f-a883-463b-bb49-550fe2a8033d" tupleRef="clcid-pte:BeiGouMaiFangYuGouMaiRiKeBianRenZiChanFuZhaiMingXi" extendDirection="2" splitWidth="1"/>
      </m:virtualTuples>
    </m:section>
    <m:section xlName="_SEC_71192ac75eef458fbf50203b1ba92b57" title="被购买方于购买日可辨认资产、负债说明" helpId="112001128">
      <m:item xlName="_GBC_45e7c286832e451897a1af3914036802" concept="clcid-pte:KeBianRenZiChanFuZhaiGongYunJiaZhiDeQueDingFangFa" label="可辨认资产、负债公允价值的确定方法" appId="_GBC_b192e56c8e2242b3bf12a08de6dc76d4"/>
      <m:item xlName="_GBC_474a94bc8d6940a487785a6accd26b87" concept="clcid-pte:QiYeHeBingZhongChengDanDeBeiGouMaiFangDeHuoYouFuZhai" label="企业合并中承担的被购买方的或有负债" appId="_GBC_b192e56c8e2242b3bf12a08de6dc76d4"/>
      <m:item xlName="_GBC_dd8b59b904e64ba0bb442dee8b4568e6" concept="clcid-pte:BeiGouMaiFangYuGouMaiRiKeBianRenZiChanFuZhaiDeQiTaShuoMing" label="被购买方于购买日可辨认资产、负债的其他说明" appId="_GBC_b192e56c8e2242b3bf12a08de6dc76d4"/>
    </m:section>
    <m:section xlName="_GBC_c06b2dfb69424beba587aec68ad18063" title="购买日之前持有的股权按照公允价值重新计量产生的利得或损失" helpId="112001130">
      <m:item xlName="_GBC_5e89e7cd9baa4cf1adc884c8dae9fbee" concept="clcid-pte:ShiFouCunZaiTongGuoDuoCiJiaoYiFenBuShiXianQiYeHeBingQieZaiBenBaoGaoQiQuDeKongZhiQuanDeQingXing" label="是否存在通过多次交易分步实现企业合并且在本报告期取得控制权的情形" selectOptions="_buildInAppliance" controlType="CustomCheckbox" cRanges="{&quot;StartName&quot;:&quot;_GBC_5e89e7cd9baa4cf1adc884c8dae9fbee&quot;,&quot;EndName&quot;:&quot;_GBC_2c7a71a1d0aa4658b4df7bdcfa5e54e3&quot;,&quot;CType&quot;:1,&quot;DisplayText&quot;:null}"/>
      <m:item xlName="_GBC_870b37f7f10540ada68dca6886952a47" concept="clcid-ci-ar:DanWeiCaiWuFuZhuGouMaiRiZhiQianChiYouDeGuQuanAnZhaoGongYunJiaZhiZhongXinJiLiangChanShengDeLiDeHuoSunShi" label="单位：财务附注：购买日之前持有的股权按照公允价值重新计量产生的利得或损失" selectOptions="_buildInScales" controlType="Combobox" cellType="Scale" appId="_GBC_5e89e7cd9baa4cf1adc884c8dae9fbee"/>
      <m:item xlName="_GBC_6626cec0e7cf4f709a2626556d9ff9d4" concept="clcid-ci-ar:BiZhongCaiWuFuZhuGouMaiRiZhiQianChiYouDeGuQuanAnZhaoGongYunJiaZhiZhongXinJiLiangChanShengDeLiDeHuoSunShi" label="币种：财务附注：购买日之前持有的股权按照公允价值重新计量产生的利得或损失" selectOptions="_buildInISO4217" controlType="Combobox" cellType="Measure" appId="_GBC_5e89e7cd9baa4cf1adc884c8dae9fbee"/>
      <m:placeholder xlName="_PLD_19bbf155da164dbdbe3a369a3cd6c6c4" addr="T0R0C0S1_1"/>
      <m:placeholder xlName="_PLD_85e06e03028c4daa8096f204eedbdea0" addr="T0R0C1S1_1"/>
      <m:placeholder xlName="_PLD_c507779d62174643b2cbe80e79bd1998" addr="T0R0C2S1_1"/>
      <m:placeholder xlName="_PLD_3262c477521d43ed89bcc4a633b133c2" addr="T0R0C3S1_1"/>
      <m:placeholder xlName="_PLD_a532b5da3cc6497990737995215f3a23" addr="T0R0C4S1_1"/>
      <m:placeholder xlName="_PLD_fd039f6c80414b5382c11ae05708fcef" addr="T0R0C5S1_1"/>
      <m:tuple xlName="_GBC_595d40b13409465fbc1ba5ba0f08da0a" concept="clcid-pte:GouMaiRiZhiQianChiYouDeGuQuanAnZhaoGongYunJiaZhiZhongXinJiLiangChanShengDeLiDeHuoSunShiMingXi" default_row="2" addr="T0R1C">
        <m:item xlName="_GBC_ecd51cbe6f67463292fced87906a1dc3" concept="clcid-pte:GouMaiRiZhiQianChiYouDeGuQuanAnZhaoGongYunJiaZhiZhongXinJiLiangChanShengDeLiDeHuoSunShiMingXiBeiGouMaiFangMingCheng" label="购买日之前持有的股权按照公允价值重新计量产生的利得或损失明细-被购买方名称" addr="T0R1C0S1_1" appId="_GBC_5e89e7cd9baa4cf1adc884c8dae9fbee"/>
        <m:item xlName="_GBC_c5fec10ab8b8480bb4556d0a2ec02e36" concept="clcid-pte:GouMaiRiZhiQianChiYouDeGuQuanAnZhaoGongYunJiaZhiZhongXinJiLiangChanShengDeLiDeHuoSunShiMingXiGouMaiRiZhiQianYuanChiYouGuQuanZaiGouMaiRiDeZhangMianJiaZhi" label="购买日之前持有的股权按照公允价值重新计量产生的利得或损失明细-购买日之前原持有股权在购买日的账面价值" mulRef="_GBC_870b37f7f10540ada68dca6886952a47" unitRef="_GBC_6626cec0e7cf4f709a2626556d9ff9d4" addr="T0R1C1S1_1" formatStyle="Comma" appId="_GBC_5e89e7cd9baa4cf1adc884c8dae9fbee"/>
        <m:item xlName="_GBC_2056b51b8a8d424eb7b9e67959002e5e" concept="clcid-pte:GouMaiRiZhiQianChiYouDeGuQuanAnZhaoGongYunJiaZhiZhongXinJiLiangChanShengDeLiDeHuoSunShiMingXiGouMaiRiZhiQianYuanChiYouGuQuanZaiGouMaiRiDeGongYunJiaZhi" label="购买日之前持有的股权按照公允价值重新计量产生的利得或损失明细-购买日之前原持有股权在购买日的公允价值" mulRef="_GBC_870b37f7f10540ada68dca6886952a47" unitRef="_GBC_6626cec0e7cf4f709a2626556d9ff9d4" addr="T0R1C2S1_1" formatStyle="Comma" appId="_GBC_5e89e7cd9baa4cf1adc884c8dae9fbee"/>
        <m:item xlName="_GBC_07305bc3926f4ac19ede9412320f6223" concept="clcid-pte:GouMaiRiZhiQianChiYouDeGuQuanAnZhaoGongYunJiaZhiZhongXinJiLiangChanShengDeLiDeHuoSunShiMingXiAnZhaoGongYunJiaZhiZhongXinJiLiangSuoChanShengDeLiDeHuoSunShiDeJinE" label="购买日之前持有的股权按照公允价值重新计量产生的利得或损失明细-按照公允价值重新计量所产生的利得或损失的金额" mulRef="_GBC_870b37f7f10540ada68dca6886952a47" unitRef="_GBC_6626cec0e7cf4f709a2626556d9ff9d4" addr="T0R1C3S1_1" formatStyle="Comma" appId="_GBC_5e89e7cd9baa4cf1adc884c8dae9fbee"/>
        <m:item xlName="_GBC_ba60c14bcb784756b2c748e5f566dfef" concept="clcid-pte:GouMaiRiZhiQianChiYouDeGuQuanAnZhaoGongYunJiaZhiZhongXinJiLiangChanShengDeLiDeHuoSunShiMingXiGouMaiRiZhiQianYuanChiYouGuQuanZaiGouMaiRiDeGongYunJiaZhiDeQueDingFangFaJiZhuYaoJiaShe" label="购买日之前持有的股权按照公允价值重新计量产生的利得或损失明细-购买日之前原持有股权在购买日的公允价值的确定方法及主要假设" addr="T0R1C4S1_1" appId="_GBC_5e89e7cd9baa4cf1adc884c8dae9fbee"/>
        <m:item xlName="_GBC_39a258f0228b492584c871896539d210" concept="clcid-pte:GouMaiRiZhiQianChiYouDeGuQuanAnZhaoGongYunJiaZhiZhongXinJiLiangChanShengDeLiDeHuoSunShiMingXiGouMaiRiZhiQianYuYuanChiYouGuQuanXiangGuanDeQiTaZongHeShouYiZhuanRuTouZiShouYiDeJinE" label="购买日之前持有的股权按照公允价值重新计量产生的利得或损失明细-购买日之前与原持有股权相关的其他综合收益转入投资收益的金额" mulRef="_GBC_870b37f7f10540ada68dca6886952a47" unitRef="_GBC_6626cec0e7cf4f709a2626556d9ff9d4" addr="T0R1C5S1_1" formatStyle="Comma" appId="_GBC_5e89e7cd9baa4cf1adc884c8dae9fbee"/>
      </m:tuple>
      <m:item xlName="_GBC_2c7a71a1d0aa4658b4df7bdcfa5e54e3" concept="clcid-pte:GouMaiRiZhiQianChiYouDeGuQuanAnZhaoGongYunJiaZhiZhongXinJiLiangChanShengDeLiDeHuoSunShiDeQiTaShuoMing" label="购买日之前持有的股权按照公允价值重新计量产生的利得或损失的其他说明" appId="_GBC_5e89e7cd9baa4cf1adc884c8dae9fbee"/>
    </m:section>
    <m:section xlName="_GBC_fec890c9a924410f898d02e5323920ad" title="购买日或合并当期期末无法合理确定合并对价或被购买方可辨认资产..." helpId="112001131">
      <m:item xlName="_GBC_e8a75ceb0d7e4c35bfc03d5c6782889f" concept="clcid-ci-ar:ShiFouShiYongGouMaiRiHuoHeBingDangQiQiMoWuFaHeLiQueDingHeBingDuiJiaHuoBeiGouMaiFangKeBianRenZiChanFuZhaiGongYunJiaZhiDeXiangGuanShuoMing" label="是否适用：购买日或合并当期期末无法合理确定合并对价或被购买方可辨认资产、负债公允价值的相关说明" selectOptions="_buildInAppliance" controlType="CustomCheckbox" cRanges="{&quot;StartName&quot;:&quot;_GBC_e8a75ceb0d7e4c35bfc03d5c6782889f&quot;,&quot;EndName&quot;:&quot;_GBC_7e6e5e19d7784e1fa5cdb0811c203af5&quot;,&quot;CType&quot;:1,&quot;DisplayText&quot;:null}"/>
      <m:item xlName="_GBC_7e6e5e19d7784e1fa5cdb0811c203af5" concept="clcid-pte:GouMaiRiHuoHeBingDangQiQiMoWuFaHeLiQueDingHeBingDuiJiaHuoBeiGouMaiFangKeBianRenZiChanFuZhaiGongYunJiaZhiDeShuoMing" label="购买日或合并当期期末无法合理确定合并对价或被购买方可辨认资产、负债公允价值的说明" appId="_GBC_e8a75ceb0d7e4c35bfc03d5c6782889f"/>
    </m:section>
    <m:section xlName="_GBC_a8e368f1c89042528538f003b17f5f6e" title="非同一控制下企业合并其他说明">
      <m:item xlName="_GBC_ab58bf6b03504b3d88a49a138127fd98" concept="clcid-ci-ar:ShiFouShiYongFeiTongYiKongZhiXiaQiYeHeBingQiTaXuYaoShuoMingDeShiXiang" label="是否适用：非同一控制下企业合并其他需要说明的事项" selectOptions="_buildInAppliance" controlType="CustomCheckbox" cRanges="{&quot;StartName&quot;:&quot;_GBC_ab58bf6b03504b3d88a49a138127fd98&quot;,&quot;EndName&quot;:&quot;_GBC_104861340b8d4887a133f4a5c2fbf12c&quot;,&quot;CType&quot;:1,&quot;DisplayText&quot;:null}"/>
      <m:item xlName="_GBC_104861340b8d4887a133f4a5c2fbf12c" concept="clcid-pte:FeiTongYiKongZhiXiaQiYeHeBingQiTaXuYaoShuoMingDeShiXiang" label="非同一控制下企业合并其他需要说明的事项" appId="_GBC_ab58bf6b03504b3d88a49a138127fd98"/>
    </m:section>
    <m:item xlName="_GBC_cde296136a1d4f2094eb79d21291eae2" concept="clcid-ci-ar:ShiFouShiYongTongYiKongZhiXiaQiYeHeBing" label="是否适用：同一控制下企业合并" selectOptions="_buildInAppliance" controlType="CustomCheckbox" cRanges="{&quot;StartName&quot;:&quot;_GBC_cde296136a1d4f2094eb79d21291eae2&quot;,&quot;EndName&quot;:&quot;_GBC_487797176f3744a7a99d390be05f0a8a&quot;,&quot;CType&quot;:1,&quot;DisplayText&quot;:null}"/>
    <m:section xlName="_GBC_66fabe3cff6241b1aebface99383f449" title="本期发生的同一控制下企业合并" helpId="112001132">
      <m:item xlName="_GBC_ab717a33fda94a748576343d4e39503a" concept="clcid-ci-ar:ShiFouShiYongBenQiFaShengDeTongYiKongZhiXiaQiYeHeBing" label="是否适用：本期发生的同一控制下企业合并" selectOptions="_buildInAppliance" controlType="CustomCheckbox" cRanges="{&quot;StartName&quot;:&quot;_GBC_ab717a33fda94a748576343d4e39503a&quot;,&quot;EndName&quot;:&quot;_GBC_f3ef1d038fce470195b040e165806239&quot;,&quot;CType&quot;:1,&quot;DisplayText&quot;:null}"/>
      <m:item xlName="_GBC_7ef60e31a04244d2a76ac88954f51f4f" concept="clcid-ci-ar:DanWeiFaShengDeTongYiKongZhiXiaQiYeHeBing" label="单位：发生的同一控制下企业合并" selectOptions="_buildInScales" controlType="Combobox" cellType="Scale" appId="_GBC_ab717a33fda94a748576343d4e39503a"/>
      <m:item xlName="_GBC_50b99d3e8cf64b3692d016bffc27b738" concept="clcid-ci-ar:BiZhongFaShengDeTongYiKongZhiXiaQiYeHeBing" label="币种：发生的同一控制下企业合并" selectOptions="_buildInISO4217" controlType="Combobox" cellType="Measure" appId="_GBC_ab717a33fda94a748576343d4e39503a"/>
      <m:placeholder xlName="_PLD_9a84fe6700be4529b42f0630c100bad5" addr="T0R0C0S1_1"/>
      <m:placeholder xlName="_PLD_772aef6b3bd84e969cbfe004eb90ca3b" addr="T0R0C1S1_1"/>
      <m:placeholder xlName="_PLD_3a04f8c07ff744338399a3511fdf71fa" addr="T0R0C2S1_1"/>
      <m:placeholder xlName="_PLD_bb612cba2f114eeda591ffa8ae7dada7" addr="T0R0C3S1_1"/>
      <m:placeholder xlName="_PLD_4518c5d955a84fd8a528d31cc027d2e6" addr="T0R0C4S1_1"/>
      <m:placeholder xlName="_PLD_7b627338651f44ef90f335007680658b" addr="T0R0C5S1_1"/>
      <m:placeholder xlName="_PLD_ea59e2277ab54ec7b1674071fa42bb90" addr="T0R0C6S1_1"/>
      <m:placeholder xlName="_PLD_a9cadced78ac49dfab0e472f98b845d8" addr="T0R0C7S1_1"/>
      <m:placeholder xlName="_PLD_758fb76e2b7c4a3cbe8ac72cc1402762" addr="T0R0C8S1_1"/>
      <m:tuple xlName="_GBC_3f64a9f2034f48e58accc710fc184e52" concept="clcid-pte:TongYiKongZhiXiaQiYeHeBingMingXi" default_row="2" addr="T0R1C">
        <m:item xlName="_GBC_2a2c8580b9554f03ae796f326e18f8bf" concept="clcid-pte:TongYiKongZhiXiaQiYeHeBingMingXiBeiHeBingFang" label="同一控制下企业合并明细-被合并方" addr="T0R1C0S1_1" appId="_GBC_ab717a33fda94a748576343d4e39503a"/>
        <m:item xlName="_GBC_7c1bf6cc70054d0194b9d72de348e4c6" concept="clcid-pte:TongYiKongZhiXiaQiYeHeBingMingXiQiYeHeBingZhongQuDeDeQuanYiBiLi" label="同一控制下企业合并明细-企业合并中取得的权益比例" addr="T0R1C1S1_1" baseScale="0.01" formatStyle="Comma" appId="_GBC_ab717a33fda94a748576343d4e39503a"/>
        <m:item xlName="_GBC_a280b391f27146dcb4688e4de4c5af4c" concept="clcid-pte:TongYiKongZhiXiaQiYeHeBingMingXiPanDuanYiJu" label="同一控制下企业合并明细-判断依据" addr="T0R1C2S1_1" appId="_GBC_ab717a33fda94a748576343d4e39503a"/>
        <m:item xlName="_GBC_b722d24a888d41929785a40f2c9058c9" concept="clcid-pte:TongYiKongZhiXiaQiYeHeBingMingXiHeBingRi" label="同一控制下企业合并明细-合并日" addr="T0R1C3S1_1" appId="_GBC_ab717a33fda94a748576343d4e39503a" keyAction="38"/>
        <m:item xlName="_GBC_a2fe981a98104edaa7a929efe13df9ec" concept="clcid-pte:TongYiKongZhiXiaQiYeHeBingMingXiHeBingRiDeQueDingYiJu" label="同一控制下企业合并明细-合并日的确定依据" addr="T0R1C4S1_1" appId="_GBC_ab717a33fda94a748576343d4e39503a"/>
        <m:item xlName="_GBC_4cf4d147e8fe4be09e9bfe3549f6ef84" concept="clcid-pte:TongYiKongZhiXiaQiYeHeBingMingXiShouRu" label="同一控制下企业合并明细-收入" mulRef="_GBC_7ef60e31a04244d2a76ac88954f51f4f" unitRef="_GBC_50b99d3e8cf64b3692d016bffc27b738" addr="T0R1C5S1_1" formatStyle="Comma" appId="_GBC_ab717a33fda94a748576343d4e39503a"/>
        <m:item xlName="_GBC_916c09ec1f334fbc94450759041307d9" concept="clcid-pte:TongYiKongZhiXiaQiYeHeBingMingXiJingLiRun" label="同一控制下企业合并明细-净利润" mulRef="_GBC_7ef60e31a04244d2a76ac88954f51f4f" unitRef="_GBC_50b99d3e8cf64b3692d016bffc27b738" addr="T0R1C6S1_1" formatStyle="Comma" appId="_GBC_ab717a33fda94a748576343d4e39503a"/>
        <m:item xlName="_GBC_1d8d3026959f4e6290820877c5defdaa" concept="clcid-pte:TongYiKongZhiXiaQiYeHeBingMingXiBiJiaoQiJianBeiHeBingFangDeShouRu" label="同一控制下企业合并明细-比较期间被合并方的收入" mulRef="_GBC_7ef60e31a04244d2a76ac88954f51f4f" unitRef="_GBC_50b99d3e8cf64b3692d016bffc27b738" addr="T0R1C7S1_1" formatStyle="Comma" appId="_GBC_ab717a33fda94a748576343d4e39503a"/>
        <m:item xlName="_GBC_d838694b4bd540d38d885b130e113db6" concept="clcid-pte:TongYiKongZhiXiaQiYeHeBingMingXiBiJiaoQiJianBeiHeBingFangDeJingLiRun" label="同一控制下企业合并明细-比较期间被合并方的净利润" mulRef="_GBC_7ef60e31a04244d2a76ac88954f51f4f" unitRef="_GBC_50b99d3e8cf64b3692d016bffc27b738" addr="T0R1C8S1_1" formatStyle="Comma" appId="_GBC_ab717a33fda94a748576343d4e39503a"/>
      </m:tuple>
      <m:item xlName="_GBC_f3ef1d038fce470195b040e165806239" concept="clcid-pte:TongYiKongZhiXiaQiYeHeBingDeShuoMing" label="同一控制下企业合并的说明" appId="_GBC_ab717a33fda94a748576343d4e39503a"/>
    </m:section>
    <m:item xlName="_GBC_1e3feddd46da4a95805d8f480f4c84d9" concept="clcid-ci-ar:ShiFouShiYongHeBingChengBen" label="是否适用：合并成本" selectOptions="_buildInAppliance" controlType="CustomCheckbox" cRanges="{&quot;StartName&quot;:&quot;_GBC_1e3feddd46da4a95805d8f480f4c84d9&quot;,&quot;EndName&quot;:&quot;_SEC_d81c382e27f24c569c4bbf5642a055db&quot;,&quot;CType&quot;:1,&quot;DisplayText&quot;:null}"/>
    <m:item xlName="_GBC_b32867fe2f6f4a26bbf31a8eed01cc85" concept="clcid-ci-ar:DanWeiHeBingChengBen" label="单位：合并成本" selectOptions="_buildInScales" controlType="Combobox" cellType="Scale" appId="_GBC_1e3feddd46da4a95805d8f480f4c84d9"/>
    <m:item xlName="_GBC_f6f12759e0c84fb0a180a147cec7432e" concept="clcid-ci-ar:BiZhongHeBingChengBen" label="币种：合并成本" selectOptions="_buildInISO4217" controlType="Combobox" cellType="Measure" appId="_GBC_1e3feddd46da4a95805d8f480f4c84d9"/>
    <m:section xlName="_GBC_e51629db13fd46dd9d30ae3e3729cd68" title="合并成本" repeatable="1" helpId="112001133">
      <m:placeholder xlName="_PLD_c2594d5f6b59411381c833ffaa91415b" addr="T0R0C0S1_1"/>
      <m:item xlName="_GBC_caee3afd0e4e48af9069011dfbbfced0" concept="clcid-pte:TongYiKongZhiXiaQiYeHeBingChengBenMingXiGongSiMingCheng" label="同一控制下企业合并成本明细-公司名称" addr="T0R0C1S1_1" tagAction="1" tupleRef="clcid-pte:TongYiKongZhiXiaQiYeHeBingChengBenMingXi" appId="_GBC_1e3feddd46da4a95805d8f480f4c84d9" isCaption="true"/>
      <m:placeholder xlName="_PLD_0abf838490f54a93b897f4416517f03b" addr="T0R1C0S1_1"/>
      <m:item xlName="_GBC_0dbd4cd3e7154d28af26b565088f92c0" concept="clcid-pte:TongYiKongZhiXiaQiYeHeBingChengBenMingXiXianJin" label="同一控制下企业合并成本明细-现金" mulRef="_GBC_b32867fe2f6f4a26bbf31a8eed01cc85" unitRef="_GBC_f6f12759e0c84fb0a180a147cec7432e" addr="T0R1C1S1_1" formatStyle="Comma" tupleRef="clcid-pte:TongYiKongZhiXiaQiYeHeBingChengBenMingXi" appId="_GBC_1e3feddd46da4a95805d8f480f4c84d9"/>
      <m:placeholder xlName="_PLD_1e1cd0fab2b44be4a2af6a95aeb5c48d" addr="T0R2C0S1_1"/>
      <m:item xlName="_GBC_326a61c756c343deaa72c4a224ed9af1" concept="clcid-pte:TongYiKongZhiXiaQiYeHeBingChengBenMingXiFeiXianJinZiChanDeZhangMianJiaZhi" label="同一控制下企业合并成本明细-非现金资产的账面价值" mulRef="_GBC_b32867fe2f6f4a26bbf31a8eed01cc85" unitRef="_GBC_f6f12759e0c84fb0a180a147cec7432e" addr="T0R2C1S1_1" formatStyle="Comma" tupleRef="clcid-pte:TongYiKongZhiXiaQiYeHeBingChengBenMingXi" appId="_GBC_1e3feddd46da4a95805d8f480f4c84d9"/>
      <m:placeholder xlName="_PLD_9fe47a30767c4fb682f4e4915db10915" addr="T0R3C0S1_1"/>
      <m:item xlName="_GBC_55af9549c0f7451ca8efa80b79d5adf4" concept="clcid-pte:TongYiKongZhiXiaQiYeHeBingChengBenMingXiFaXingHuoChengDanDeZhaiWuDeZhangMianJiaZhi" label="同一控制下企业合并成本明细-发行或承担的债务的账面价值" mulRef="_GBC_b32867fe2f6f4a26bbf31a8eed01cc85" unitRef="_GBC_f6f12759e0c84fb0a180a147cec7432e" addr="T0R3C1S1_1" formatStyle="Comma" tupleRef="clcid-pte:TongYiKongZhiXiaQiYeHeBingChengBenMingXi" appId="_GBC_1e3feddd46da4a95805d8f480f4c84d9"/>
      <m:placeholder xlName="_PLD_a71f6c3158ec4043ad076b10227cdc82" addr="T0R4C0S1_1"/>
      <m:item xlName="_GBC_7a73fbd3210d4d44a39c7e51ccb6cedc" concept="clcid-pte:TongYiKongZhiXiaQiYeHeBingChengBenMingXiFaXingDeQuanYiXingZhengQuanDeMianZhi" label="同一控制下企业合并成本明细-发行的权益性证券的面值" mulRef="_GBC_b32867fe2f6f4a26bbf31a8eed01cc85" unitRef="_GBC_f6f12759e0c84fb0a180a147cec7432e" addr="T0R4C1S1_1" formatStyle="Comma" tupleRef="clcid-pte:TongYiKongZhiXiaQiYeHeBingChengBenMingXi" appId="_GBC_1e3feddd46da4a95805d8f480f4c84d9"/>
      <m:placeholder xlName="_PLD_910fbb0b17e94a0ab3339b75b5766890" addr="T0R5C0S1_1"/>
      <m:item xlName="_GBC_cc9863686ec74433858e735a0357b9b3" concept="clcid-pte:TongYiKongZhiXiaQiYeHeBingChengBenMingXiHuoYouDuiJia" label="同一控制下企业合并成本明细-或有对价" mulRef="_GBC_b32867fe2f6f4a26bbf31a8eed01cc85" unitRef="_GBC_f6f12759e0c84fb0a180a147cec7432e" addr="T0R5C1S1_1" formatStyle="Comma" tupleRef="clcid-pte:TongYiKongZhiXiaQiYeHeBingChengBenMingXi" appId="_GBC_1e3feddd46da4a95805d8f480f4c84d9"/>
      <m:virtualTuples>
        <m:virtualTuple id="986fe223-72fe-4432-9239-c0d0b7b4149b" tupleRef="clcid-pte:TongYiKongZhiXiaQiYeHeBingChengBenMingXi" extendDirection="2" splitWidth="1"/>
      </m:virtualTuples>
    </m:section>
    <m:section xlName="_SEC_d81c382e27f24c569c4bbf5642a055db" title="合并成本说明" helpId="112001133">
      <m:item xlName="_GBC_f205ab3df7b04449a9db4e898dcef9a3" concept="clcid-pte:HuoYouDuiJiaJiQiBianDongDeShuoMing" label="或有对价及其变动的说明" helpText="注：以前期间发生的企业合并相关或有对价的变动及其原因应在或有对价形成的资产、负债项目中予以说明。" appId="_GBC_1e3feddd46da4a95805d8f480f4c84d9"/>
      <m:item xlName="_GBC_a0ee203625d34810a8524893f5e0e4f2" concept="clcid-pte:TongYiKongZhiXiaQiYeHeBingChengBenDeShuoMing" label="同一控制下企业合并成本的说明" appId="_GBC_1e3feddd46da4a95805d8f480f4c84d9"/>
    </m:section>
    <m:item xlName="_GBC_b46a615b0ac64c019a83debe19fe4c1c" concept="clcid-ci-ar:ShiFouShiYongHeBingRiBeiHeBingFangZiChanFuZhaiDeZhangMianJiaZhi" label="是否适用：合并日被合并方资产、负债的账面价值" selectOptions="_buildInAppliance" controlType="CustomCheckbox" cRanges="{&quot;StartName&quot;:&quot;_GBC_b46a615b0ac64c019a83debe19fe4c1c&quot;,&quot;EndName&quot;:&quot;_SEC_fd90a916dff04a689bd6f8f4ea5aba89&quot;,&quot;CType&quot;:1,&quot;DisplayText&quot;:null}"/>
    <m:item xlName="_GBC_1e8d25398f6745efac6012e964de837a" concept="clcid-ci-ar:DanWeiCaiWuFuZhuHeBingRiBeiHeBingFangZiChanFuZhaiDeZhangMianJiaZhi" label="单位：财务附注：合并日被合并方资产、负债的账面价值" selectOptions="_buildInScales" controlType="Combobox" cellType="Scale" appId="_GBC_b46a615b0ac64c019a83debe19fe4c1c"/>
    <m:item xlName="_GBC_80b9c60fc85e443f9c97e5d91db031a4" concept="clcid-ci-ar:BiZhongCaiWuFuZhuHeBingRiBeiHeBingFangZiChanFuZhaiDeZhangMianJiaZhi" label="币种：财务附注：合并日被合并方资产、负债的账面价值" selectOptions="_buildInISO4217" controlType="Combobox" cellType="Measure" appId="_GBC_b46a615b0ac64c019a83debe19fe4c1c"/>
    <m:section xlName="_GBC_fd7a9ab8dc354763b98a4d577428c932" title="被合并方的资产、负债" repeatable="1" helpId="112001135" helpText="注：资产、负债项目可根据重要性原则分类汇总列示；单项不重大的企业合并可汇总列示。">
      <m:placeholder xlName="_PLD_58114727e83841f2bafd80742d24a9c1" addr="T0R0C0S2_1"/>
      <m:item xlName="_GBC_6ca427c99fac4bb4bd87047863e2e941" concept="clcid-pte:BeiHeBingFangDeZiChanFuZhaiMingXiGongSiMingCheng" label="被合并方的资产、负债明细-公司名称" addr="T0R0C1S1_2" tagAction="1" tupleRef="clcid-pte:BeiHeBingFangDeZiChanFuZhaiMingXi" appId="_GBC_b46a615b0ac64c019a83debe19fe4c1c" colGroupKey="被合并企业" isCaption="true"/>
      <m:placeholder xlName="_PLD_bd87a9dc13f44667ad89e5ec106dd289" addr="T0R1C1S1_1"/>
      <m:placeholder xlName="_PLD_cedec14f78fa454eb6bbd2c6d79b0750" addr="T0R1C2S1_1"/>
      <m:placeholder xlName="_PLD_08138cc5241b466a9f983bdc31dd6bee" addr="T0R2C0S1_1"/>
      <m:item xlName="_GBC_9c167d25a865496bb831f69c0d307c81" concept="clcid-pte:BeiHeBingFangDeZiChanFuZhaiMingXiZiChan" label="被合并方的资产、负债明细-资产" mulRef="_GBC_1e8d25398f6745efac6012e964de837a" unitRef="_GBC_80b9c60fc85e443f9c97e5d91db031a4" addr="T0R2C1S1_1" formatStyle="Comma" tupleRef="clcid-pte:BeiHeBingFangDeZiChanFuZhaiMingXi" appId="_GBC_b46a615b0ac64c019a83debe19fe4c1c" colGroupKey="被合并企业" groupColType="1">
        <m:complexRule comparator="Eq" title="被合并方的资产、负债明细-资产" test=" $_GBC_4224d22465454ba2abd265c3024cb75f +  $_GBC_a3f339888ff64e4a834ee2e63e0cc739 +  $_GBC_6bf93cde2de74b4385a043bd5fea7b96 +  $_GBC_1209a46c6b8643a8a2768e7da8935a37 +  $_GBC_731b073a00154e618795280699923322 +  $_GBC_08e1f7a2ae0446178176901f06ac05e1" id="C91218078657448f086c73b7b53cca477" serialType="1"/>
      </m:item>
      <m:item xlName="_GBC_f1c17778621d4f0e98f6606d9a66495d" concept="clcid-pte:BeiHeBingFangDeZiChanFuZhaiMingXiZiChan" label="被合并方的资产、负债明细-资产" periodRef="上年期末数" mulRef="_GBC_1e8d25398f6745efac6012e964de837a" unitRef="_GBC_80b9c60fc85e443f9c97e5d91db031a4" addr="T0R2C2S1_1" formatStyle="Comma" tupleRef="clcid-pte:BeiHeBingFangDeZiChanFuZhaiMingXi" appId="_GBC_b46a615b0ac64c019a83debe19fe4c1c" colGroupKey="被合并企业" groupColType="5">
        <m:complexRule comparator="Eq" title="被合并方的资产、负债明细-资产@上年期末数" test=" $_GBC_58baf7eb63674120881202b2c97daa50 +  $_GBC_76f81628c33648e2a29cc0610a125eb9 +  $_GBC_3a460edf2a1742cc872225d7419b5390 +  $_GBC_456fd196933b43e19b53773c7240448f +  $_GBC_516e106ab6884d04a8921b72c953598a +  $_GBC_765e3348af384b95aaef28ebd772087a" id="C105d7873ba4b46f18d2cc7f64d73ee0c" serialType="1"/>
      </m:item>
      <m:placeholder xlName="_PLD_1ed0e6b6efe74f0398dcf9daf06840d7" addr="T0R3C0S1_1"/>
      <m:item xlName="_GBC_4224d22465454ba2abd265c3024cb75f" concept="clcid-pte:BeiHeBingFangDeZiChanFuZhaiMingXiHuoBiZiJin" label="被合并方的资产、负债明细-货币资金" mulRef="_GBC_1e8d25398f6745efac6012e964de837a" unitRef="_GBC_80b9c60fc85e443f9c97e5d91db031a4" addr="T0R3C1S1_1" formatStyle="Comma" tupleRef="clcid-pte:BeiHeBingFangDeZiChanFuZhaiMingXi" appId="_GBC_b46a615b0ac64c019a83debe19fe4c1c"/>
      <m:item xlName="_GBC_58baf7eb63674120881202b2c97daa50" concept="clcid-pte:BeiHeBingFangDeZiChanFuZhaiMingXiHuoBiZiJin" label="被合并方的资产、负债明细-货币资金" periodRef="上年期末数" mulRef="_GBC_1e8d25398f6745efac6012e964de837a" unitRef="_GBC_80b9c60fc85e443f9c97e5d91db031a4" addr="T0R3C2S1_1" formatStyle="Comma" tupleRef="clcid-pte:BeiHeBingFangDeZiChanFuZhaiMingXi" appId="_GBC_b46a615b0ac64c019a83debe19fe4c1c"/>
      <m:placeholder xlName="_PLD_145083bcdf6248e49370adfdaef1e0ae" addr="T0R4C0S1_1"/>
      <m:item xlName="_GBC_a3f339888ff64e4a834ee2e63e0cc739" concept="clcid-pte:BeiHeBingFangDeZiChanFuZhaiMingXiYingShouKuanXiang" label="被合并方的资产、负债明细-应收款项" mulRef="_GBC_1e8d25398f6745efac6012e964de837a" unitRef="_GBC_80b9c60fc85e443f9c97e5d91db031a4" addr="T0R4C1S1_1" formatStyle="Comma" tupleRef="clcid-pte:BeiHeBingFangDeZiChanFuZhaiMingXi" appId="_GBC_b46a615b0ac64c019a83debe19fe4c1c"/>
      <m:item xlName="_GBC_76f81628c33648e2a29cc0610a125eb9" concept="clcid-pte:BeiHeBingFangDeZiChanFuZhaiMingXiYingShouKuanXiang" label="被合并方的资产、负债明细-应收款项" periodRef="上年期末数" mulRef="_GBC_1e8d25398f6745efac6012e964de837a" unitRef="_GBC_80b9c60fc85e443f9c97e5d91db031a4" addr="T0R4C2S1_1" formatStyle="Comma" tupleRef="clcid-pte:BeiHeBingFangDeZiChanFuZhaiMingXi" appId="_GBC_b46a615b0ac64c019a83debe19fe4c1c"/>
      <m:placeholder xlName="_PLD_e8fc8f98c4a3439db6bb7212a8532887" addr="T0R5C0S1_1"/>
      <m:item xlName="_GBC_6bf93cde2de74b4385a043bd5fea7b96" concept="clcid-pte:BeiHeBingFangDeZiChanFuZhaiMingXiCunHuo" label="被合并方的资产、负债明细-存货" mulRef="_GBC_1e8d25398f6745efac6012e964de837a" unitRef="_GBC_80b9c60fc85e443f9c97e5d91db031a4" addr="T0R5C1S1_1" formatStyle="Comma" tupleRef="clcid-pte:BeiHeBingFangDeZiChanFuZhaiMingXi" appId="_GBC_b46a615b0ac64c019a83debe19fe4c1c"/>
      <m:item xlName="_GBC_3a460edf2a1742cc872225d7419b5390" concept="clcid-pte:BeiHeBingFangDeZiChanFuZhaiMingXiCunHuo" label="被合并方的资产、负债明细-存货" periodRef="上年期末数" mulRef="_GBC_1e8d25398f6745efac6012e964de837a" unitRef="_GBC_80b9c60fc85e443f9c97e5d91db031a4" addr="T0R5C2S1_1" formatStyle="Comma" tupleRef="clcid-pte:BeiHeBingFangDeZiChanFuZhaiMingXi" appId="_GBC_b46a615b0ac64c019a83debe19fe4c1c"/>
      <m:placeholder xlName="_PLD_126c13e00005436ba81b984c6cd6d8f6" addr="T0R6C0S1_1"/>
      <m:item xlName="_GBC_1209a46c6b8643a8a2768e7da8935a37" concept="clcid-pte:BeiHeBingFangDeZiChanFuZhaiMingXiGuDingZiChan" label="被合并方的资产、负债明细-固定资产" mulRef="_GBC_1e8d25398f6745efac6012e964de837a" unitRef="_GBC_80b9c60fc85e443f9c97e5d91db031a4" addr="T0R6C1S1_1" formatStyle="Comma" tupleRef="clcid-pte:BeiHeBingFangDeZiChanFuZhaiMingXi" appId="_GBC_b46a615b0ac64c019a83debe19fe4c1c"/>
      <m:item xlName="_GBC_456fd196933b43e19b53773c7240448f" concept="clcid-pte:BeiHeBingFangDeZiChanFuZhaiMingXiGuDingZiChan" label="被合并方的资产、负债明细-固定资产" periodRef="上年期末数" mulRef="_GBC_1e8d25398f6745efac6012e964de837a" unitRef="_GBC_80b9c60fc85e443f9c97e5d91db031a4" addr="T0R6C2S1_1" formatStyle="Comma" tupleRef="clcid-pte:BeiHeBingFangDeZiChanFuZhaiMingXi" appId="_GBC_b46a615b0ac64c019a83debe19fe4c1c"/>
      <m:placeholder xlName="_PLD_19c539503231427b9465068d70b4a204" addr="T0R7C0S1_1"/>
      <m:item xlName="_GBC_731b073a00154e618795280699923322" concept="clcid-pte:BeiHeBingFangDeZiChanFuZhaiMingXiWuXingZiChan" label="被合并方的资产、负债明细-无形资产" mulRef="_GBC_1e8d25398f6745efac6012e964de837a" unitRef="_GBC_80b9c60fc85e443f9c97e5d91db031a4" addr="T0R7C1S1_1" formatStyle="Comma" tupleRef="clcid-pte:BeiHeBingFangDeZiChanFuZhaiMingXi" appId="_GBC_b46a615b0ac64c019a83debe19fe4c1c"/>
      <m:item xlName="_GBC_516e106ab6884d04a8921b72c953598a" concept="clcid-pte:BeiHeBingFangDeZiChanFuZhaiMingXiWuXingZiChan" label="被合并方的资产、负债明细-无形资产" periodRef="上年期末数" mulRef="_GBC_1e8d25398f6745efac6012e964de837a" unitRef="_GBC_80b9c60fc85e443f9c97e5d91db031a4" addr="T0R7C2S1_1" formatStyle="Comma" tupleRef="clcid-pte:BeiHeBingFangDeZiChanFuZhaiMingXi" appId="_GBC_b46a615b0ac64c019a83debe19fe4c1c"/>
      <m:item xlName="_GBC_eed5db0f5ff44906bbb063643961683a" concept="clcid-pte:BeiHeBingFangDeZiChanKeMuMingCheng1" label="被合并方的资产科目名称1" addr="T0R8C0S1_1" tagAction="1" appId="_GBC_b46a615b0ac64c019a83debe19fe4c1c" isSerialConcept="true" serialDirection="1" serialDefaultCount="2"/>
      <m:item xlName="_GBC_08e1f7a2ae0446178176901f06ac05e1" concept="clcid-pte:BeiHeBingFangDeZiChanKeMuMingChengJinE1" label="被合并方的资产科目名称金额1" mulRef="_GBC_1e8d25398f6745efac6012e964de837a" unitRef="_GBC_80b9c60fc85e443f9c97e5d91db031a4" addr="T0R8C1S1_1" tagAction="1" formatStyle="Comma" tupleRef="clcid-pte:BeiHeBingFangDeZiChanFuZhaiMingXi" appId="_GBC_b46a615b0ac64c019a83debe19fe4c1c" isSerialConcept="true" serialDirection="1" serialDefaultCount="2"/>
      <m:item xlName="_GBC_765e3348af384b95aaef28ebd772087a" concept="clcid-pte:BeiHeBingFangDeZiChanKeMuMingChengJinE1" label="被合并方的资产科目名称金额1" periodRef="上年期末数" mulRef="_GBC_1e8d25398f6745efac6012e964de837a" unitRef="_GBC_80b9c60fc85e443f9c97e5d91db031a4" addr="T0R8C2S1_1" tagAction="1" formatStyle="Comma" tupleRef="clcid-pte:BeiHeBingFangDeZiChanFuZhaiMingXi" appId="_GBC_b46a615b0ac64c019a83debe19fe4c1c" isSerialConcept="true" serialDirection="1" serialDefaultCount="2"/>
      <m:placeholder xlName="_PLD_01d16f9d1fe143b7ba2cb96741725061" addr="T0R9C0S1_1"/>
      <m:item xlName="_GBC_e5cfe93ac39f4d11adb41988ae74a93b" concept="clcid-pte:BeiHeBingFangDeZiChanFuZhaiMingXiFuZhai" label="被合并方的资产、负债明细-负债" mulRef="_GBC_1e8d25398f6745efac6012e964de837a" unitRef="_GBC_80b9c60fc85e443f9c97e5d91db031a4" addr="T0R9C1S1_1" formatStyle="Comma" tupleRef="clcid-pte:BeiHeBingFangDeZiChanFuZhaiMingXi" appId="_GBC_b46a615b0ac64c019a83debe19fe4c1c">
        <m:complexRule comparator="Eq" title="被合并方的资产、负债明细-负债" test=" $_GBC_9ed467470b47463f83c41bf8a0c51f73 +  $_GBC_99d34773c17c42699553c88d8fc81f27 +  $_GBC_b1a42e64883b4803a5a890b24fa205f7" id="C540921b25b7c4f9eb926180e53034b8d" serialType="1"/>
      </m:item>
      <m:item xlName="_GBC_ca9555feaff343afb712de261b80c819" concept="clcid-pte:BeiHeBingFangDeZiChanFuZhaiMingXiFuZhai" label="被合并方的资产、负债明细-负债" periodRef="上年期末数" mulRef="_GBC_1e8d25398f6745efac6012e964de837a" unitRef="_GBC_80b9c60fc85e443f9c97e5d91db031a4" addr="T0R9C2S1_1" formatStyle="Comma" tupleRef="clcid-pte:BeiHeBingFangDeZiChanFuZhaiMingXi" appId="_GBC_b46a615b0ac64c019a83debe19fe4c1c">
        <m:complexRule comparator="Eq" title="被合并方的资产、负债明细-负债@上年期末数" test=" $_GBC_559f59d7c5f746c7ab798327545dc74b +  $_GBC_3020e1c7a02848749c17316c32a8e607 +  $_GBC_c31b6cc7973c447387379320e52860a0" id="C29c64cae9c4b4bd0bf5bef6f4180ce45" serialType="1"/>
      </m:item>
      <m:placeholder xlName="_PLD_9b701e01a4b540e091c284f447266046" addr="T0R10C0S1_1"/>
      <m:item xlName="_GBC_9ed467470b47463f83c41bf8a0c51f73" concept="clcid-pte:BeiHeBingFangDeZiChanFuZhaiMingXiJieKuan" label="被合并方的资产、负债明细-借款" mulRef="_GBC_1e8d25398f6745efac6012e964de837a" unitRef="_GBC_80b9c60fc85e443f9c97e5d91db031a4" addr="T0R10C1S1_1" formatStyle="Comma" tupleRef="clcid-pte:BeiHeBingFangDeZiChanFuZhaiMingXi" appId="_GBC_b46a615b0ac64c019a83debe19fe4c1c"/>
      <m:item xlName="_GBC_559f59d7c5f746c7ab798327545dc74b" concept="clcid-pte:BeiHeBingFangDeZiChanFuZhaiMingXiJieKuan" label="被合并方的资产、负债明细-借款" periodRef="上年期末数" mulRef="_GBC_1e8d25398f6745efac6012e964de837a" unitRef="_GBC_80b9c60fc85e443f9c97e5d91db031a4" addr="T0R10C2S1_1" formatStyle="Comma" tupleRef="clcid-pte:BeiHeBingFangDeZiChanFuZhaiMingXi" appId="_GBC_b46a615b0ac64c019a83debe19fe4c1c"/>
      <m:placeholder xlName="_PLD_feaf5cfa764440419f10acb9bdf5748d" addr="T0R11C0S1_1"/>
      <m:item xlName="_GBC_99d34773c17c42699553c88d8fc81f27" concept="clcid-pte:BeiHeBingFangDeZiChanFuZhaiMingXiYingFuKuanXiang" label="被合并方的资产、负债明细-应付款项" mulRef="_GBC_1e8d25398f6745efac6012e964de837a" unitRef="_GBC_80b9c60fc85e443f9c97e5d91db031a4" addr="T0R11C1S1_1" formatStyle="Comma" tupleRef="clcid-pte:BeiHeBingFangDeZiChanFuZhaiMingXi" appId="_GBC_b46a615b0ac64c019a83debe19fe4c1c"/>
      <m:item xlName="_GBC_3020e1c7a02848749c17316c32a8e607" concept="clcid-pte:BeiHeBingFangDeZiChanFuZhaiMingXiYingFuKuanXiang" label="被合并方的资产、负债明细-应付款项" periodRef="上年期末数" mulRef="_GBC_1e8d25398f6745efac6012e964de837a" unitRef="_GBC_80b9c60fc85e443f9c97e5d91db031a4" addr="T0R11C2S1_1" formatStyle="Comma" tupleRef="clcid-pte:BeiHeBingFangDeZiChanFuZhaiMingXi" appId="_GBC_b46a615b0ac64c019a83debe19fe4c1c"/>
      <m:item xlName="_GBC_1292b33d606d4ad3b2ce579b199b2150" concept="clcid-pte:BeiHeBingFangDeFuZhaiKeMuMingCheng1" label="被合并方的负债科目名称1" addr="T0R12C0S1_1" tagAction="1" appId="_GBC_b46a615b0ac64c019a83debe19fe4c1c" isSerialConcept="true" serialDirection="1" serialDefaultCount="2"/>
      <m:item xlName="_GBC_b1a42e64883b4803a5a890b24fa205f7" concept="clcid-pte:BeiHeBingFangDeFuZhaiKeMuMingChengJinE1" label="被合并方的负债科目名称金额1" mulRef="_GBC_1e8d25398f6745efac6012e964de837a" unitRef="_GBC_80b9c60fc85e443f9c97e5d91db031a4" addr="T0R12C1S1_1" tagAction="1" formatStyle="Comma" tupleRef="clcid-pte:BeiHeBingFangDeZiChanFuZhaiMingXi" appId="_GBC_b46a615b0ac64c019a83debe19fe4c1c" isSerialConcept="true" serialDirection="1" serialDefaultCount="2"/>
      <m:item xlName="_GBC_c31b6cc7973c447387379320e52860a0" concept="clcid-pte:BeiHeBingFangDeFuZhaiKeMuMingChengJinE1" label="被合并方的负债科目名称金额1" periodRef="上年期末数" mulRef="_GBC_1e8d25398f6745efac6012e964de837a" unitRef="_GBC_80b9c60fc85e443f9c97e5d91db031a4" addr="T0R12C2S1_1" tagAction="1" formatStyle="Comma" tupleRef="clcid-pte:BeiHeBingFangDeZiChanFuZhaiMingXi" appId="_GBC_b46a615b0ac64c019a83debe19fe4c1c" isSerialConcept="true" serialDirection="1" serialDefaultCount="2"/>
      <m:placeholder xlName="_PLD_406360920d3744b0aed296189e0211d1" addr="T0R13C0S1_1"/>
      <m:item xlName="_GBC_bc3027d1fbb44e2eb5b0c9f27f79543b" concept="clcid-pte:BeiHeBingFangDeZiChanFuZhaiMingXiJingZiChan" label="被合并方的资产、负债明细-净资产" mulRef="_GBC_1e8d25398f6745efac6012e964de837a" unitRef="_GBC_80b9c60fc85e443f9c97e5d91db031a4" addr="T0R13C1S1_1" formatStyle="Comma" tupleRef="clcid-pte:BeiHeBingFangDeZiChanFuZhaiMingXi" appId="_GBC_b46a615b0ac64c019a83debe19fe4c1c">
        <m:complexRule comparator="Eq" title="被合并方的资产、负债明细-净资产" test=" $_GBC_9c167d25a865496bb831f69c0d307c81 -  $_GBC_e5cfe93ac39f4d11adb41988ae74a93b" id="C6d17749318e5492a8671f80a337d2cf6"/>
      </m:item>
      <m:item xlName="_GBC_742b6802c9694674a184ede5f5e5120e" concept="clcid-pte:BeiHeBingFangDeZiChanFuZhaiMingXiJingZiChan" label="被合并方的资产、负债明细-净资产" periodRef="上年期末数" mulRef="_GBC_1e8d25398f6745efac6012e964de837a" unitRef="_GBC_80b9c60fc85e443f9c97e5d91db031a4" addr="T0R13C2S1_1" formatStyle="Comma" tupleRef="clcid-pte:BeiHeBingFangDeZiChanFuZhaiMingXi" appId="_GBC_b46a615b0ac64c019a83debe19fe4c1c">
        <m:complexRule comparator="Eq" title="被合并方的资产、负债明细-净资产@上年期末数" test=" $_GBC_f1c17778621d4f0e98f6606d9a66495d -  $_GBC_ca9555feaff343afb712de261b80c819" id="C191c88d991244637b07be4531ad21230"/>
      </m:item>
      <m:placeholder xlName="_PLD_ecf6de7ef31148af86f6fcb22f19e442" addr="T0R14C0S1_1"/>
      <m:item xlName="_GBC_0b1eac0eff4b447d8cea75b9d74e0de1" concept="clcid-pte:BeiHeBingFangDeZiChanFuZhaiMingXiShaoShuGuDongQuanYi" label="被合并方的资产、负债明细-少数股东权益" mulRef="_GBC_1e8d25398f6745efac6012e964de837a" unitRef="_GBC_80b9c60fc85e443f9c97e5d91db031a4" addr="T0R14C1S1_1" formatStyle="Comma" tupleRef="clcid-pte:BeiHeBingFangDeZiChanFuZhaiMingXi" appId="_GBC_b46a615b0ac64c019a83debe19fe4c1c"/>
      <m:item xlName="_GBC_5af7edc7b1f94b54a6fb15dc41b57508" concept="clcid-pte:BeiHeBingFangDeZiChanFuZhaiMingXiShaoShuGuDongQuanYi" label="被合并方的资产、负债明细-少数股东权益" periodRef="上年期末数" mulRef="_GBC_1e8d25398f6745efac6012e964de837a" unitRef="_GBC_80b9c60fc85e443f9c97e5d91db031a4" addr="T0R14C2S1_1" formatStyle="Comma" tupleRef="clcid-pte:BeiHeBingFangDeZiChanFuZhaiMingXi" appId="_GBC_b46a615b0ac64c019a83debe19fe4c1c"/>
      <m:placeholder xlName="_PLD_4003e9198b9349ec895edb1af9372138" addr="T0R15C0S1_1"/>
      <m:item xlName="_GBC_d7cfb77093c14a0698835cd5820322cc" concept="clcid-pte:BeiHeBingFangDeZiChanFuZhaiMingXiQuDeDeJingZiChan" label="被合并方的资产、负债明细-取得的净资产" mulRef="_GBC_1e8d25398f6745efac6012e964de837a" unitRef="_GBC_80b9c60fc85e443f9c97e5d91db031a4" addr="T0R15C1S1_1" formatStyle="Comma" tupleRef="clcid-pte:BeiHeBingFangDeZiChanFuZhaiMingXi" appId="_GBC_b46a615b0ac64c019a83debe19fe4c1c">
        <m:complexRule comparator="Eq" title="被合并方的资产、负债明细-取得的净资产" test=" $_GBC_bc3027d1fbb44e2eb5b0c9f27f79543b -  $_GBC_0b1eac0eff4b447d8cea75b9d74e0de1" id="Cadcdffc79bd9458eadfae6deda0f18fd"/>
      </m:item>
      <m:item xlName="_GBC_47cb3236e7a541ca89e8bef5a17995c6" concept="clcid-pte:BeiHeBingFangDeZiChanFuZhaiMingXiQuDeDeJingZiChan" label="被合并方的资产、负债明细-取得的净资产" periodRef="上年期末数" mulRef="_GBC_1e8d25398f6745efac6012e964de837a" unitRef="_GBC_80b9c60fc85e443f9c97e5d91db031a4" addr="T0R15C2S1_1" formatStyle="Comma" tupleRef="clcid-pte:BeiHeBingFangDeZiChanFuZhaiMingXi" appId="_GBC_b46a615b0ac64c019a83debe19fe4c1c">
        <m:complexRule comparator="Eq" title="被合并方的资产、负债明细-取得的净资产@上年期末数" test=" $_GBC_742b6802c9694674a184ede5f5e5120e -  $_GBC_5af7edc7b1f94b54a6fb15dc41b57508" id="C92efbb98a5d34947b6561b37efcbaa8d"/>
      </m:item>
      <m:virtualTuples>
        <m:virtualTuple id="85eb503a-1b77-4cac-a1bf-b8abba4f2f6a" tupleRef="clcid-pte:BeiHeBingFangDeZiChanFuZhaiMingXi" extendDirection="2" splitWidth="1"/>
      </m:virtualTuples>
    </m:section>
    <m:section xlName="_SEC_fd90a916dff04a689bd6f8f4ea5aba89" title="企业合并中承担的被合并方的或有负债" helpId="112001135">
      <m:item xlName="_GBC_4df082d3ef224e9da8a3c0d1e4a1a615" concept="clcid-pte:QiYeHeBingZhongChengDanDeBeiHeBingFangDeHuoYouFuZhai" label="企业合并中承担的被合并方的或有负债" appId="_GBC_b46a615b0ac64c019a83debe19fe4c1c"/>
    </m:section>
    <m:section xlName="_GBC_487797176f3744a7a99d390be05f0a8a" title="被合并方的资产、负债的说明" helpId="112001135">
      <m:item xlName="_GBC_8f372a5c0c69446aabb6ef4fb8f7c20e" concept="clcid-ci-ar:ShiFouShiYongBeiHeBingFangDeZiChanFuZhaiDeShuoMing" label="是否适用：被合并方的资产、负债的说明" selectOptions="_buildInAppliance" controlType="CustomCheckbox" cRanges="{&quot;StartName&quot;:&quot;_GBC_8f372a5c0c69446aabb6ef4fb8f7c20e&quot;,&quot;EndName&quot;:&quot;_GBC_45f2c993f85c41ddb0e95466222d56b9&quot;,&quot;CType&quot;:1,&quot;DisplayText&quot;:null}"/>
      <m:item xlName="_GBC_45f2c993f85c41ddb0e95466222d56b9" concept="clcid-pte:BeiHeBingFangDeZiChanFuZhaiDeShuoMing" label="被合并方的资产、负债的说明" appId="_GBC_8f372a5c0c69446aabb6ef4fb8f7c20e"/>
    </m:section>
    <m:section xlName="_SEC_e0818786830d42ce99957d3ef113691a" title="反向购买" helpId="112001137" helpText="注：上市公司保留的资产、负债构成业务的，同时还应按照非同一控制下企业合并披露相关信息。">
      <m:item xlName="_GBC_973cde3cea5d460790de47cc49169bde" concept="clcid-ci-ar:ShiFouShiYongFanXiangGouMai" label="是否适用：反向购买" selectOptions="_buildInAppliance" controlType="CustomCheckbox" cRanges="{&quot;StartName&quot;:&quot;_GBC_973cde3cea5d460790de47cc49169bde&quot;,&quot;EndName&quot;:&quot;_GBC_8d64aeab44b14bf295e15a417955500d&quot;,&quot;CType&quot;:1,&quot;DisplayText&quot;:null}"/>
      <m:item xlName="_GBC_8d64aeab44b14bf295e15a417955500d" concept="clcid-pte:FanXiangGouMaiDeShuoMing" label="反向购买的说明" appId="_GBC_973cde3cea5d460790de47cc49169bde"/>
    </m:section>
    <m:section xlName="_GBC_cc6d41993eca4369a3cdb3c33d4f3299" title="处置子公司" helpId="112001139">
      <m:item xlName="_GBC_a2b81d1c138141d5bea164d8b7f9ce19" concept="clcid-pte:ShiFouCunZaiDanCiJiaoYiChuZhiDuiZiGongSiTouZiJiSangShiKongZhiQuanDeQingXing" label="是否存在单次交易处置对子公司投资即丧失控制权的情形" selectOptions="_buildInAppliance" controlType="CustomCheckbox" cRanges="{&quot;StartName&quot;:&quot;_GBC_a2b81d1c138141d5bea164d8b7f9ce19&quot;,&quot;EndName&quot;:&quot;_GBC_a6b001d69e414d28a7d40f8f2e78869a&quot;,&quot;CType&quot;:1,&quot;DisplayText&quot;:null}"/>
      <m:item xlName="_GBC_2b6e668c718848ce9f3f499942bba35e" concept="clcid-ci-ar:DanWeiCaiWuFuZhuDanCiJiaoYiChuZhiDuiZiGongSiTouZiJiSangShiKongZhiQuanDeQingXing" label="单位：财务附注：单次交易处置对子公司投资即丧失控制权的情形" selectOptions="_buildInScales" controlType="Combobox" cellType="Scale" appId="_GBC_a2b81d1c138141d5bea164d8b7f9ce19"/>
      <m:item xlName="_GBC_488d10a953f0495ea7291e5bd27a3841" concept="clcid-ci-ar:BiZhongCaiWuFuZhuDanCiJiaoYiChuZhiDuiZiGongSiTouZiJiSangShiKongZhiQuanDeQingXing" label="币种：财务附注：单次交易处置对子公司投资即丧失控制权的情形" selectOptions="_buildInISO4217" controlType="Combobox" cellType="Measure" appId="_GBC_a2b81d1c138141d5bea164d8b7f9ce19"/>
      <m:placeholder xlName="_PLD_378aea9564a646de9b59c80e8c82b514" addr="T0R0C0S1_1"/>
      <m:placeholder xlName="_PLD_a4ae2e5cfd7a4ae8a53fdc228198ac5d" addr="T0R0C1S1_1"/>
      <m:placeholder xlName="_PLD_53b848af349f4926b5d12bf2fdd5fdbe" addr="T0R0C2S1_1"/>
      <m:placeholder xlName="_PLD_a31fbb83aaca4f759a983c5925b1021a" addr="T0R0C3S1_1"/>
      <m:placeholder xlName="_PLD_1ac108ce885f4f89af65629549aaaae3" addr="T0R0C4S1_1"/>
      <m:placeholder xlName="_PLD_e1056533b2d3461b998f86f70f13edfb" addr="T0R0C5S1_1"/>
      <m:placeholder xlName="_PLD_7bb70d131e884ca78fc311299bb18e9e" addr="T0R0C6S1_1"/>
      <m:placeholder xlName="_PLD_d88b7aac80fa4a5b860434fbeb807045" addr="T0R0C7S1_1"/>
      <m:placeholder xlName="_PLD_daa05563cb094e388653d7b036844afe" addr="T0R0C8S1_1"/>
      <m:placeholder xlName="_PLD_6e0f9d67b2f74ac09b117916f3717d21" addr="T0R0C9S1_1"/>
      <m:placeholder xlName="_PLD_5ae8468ebfcb4ba2a16158e6f77af518" addr="T0R0C10S1_1"/>
      <m:placeholder xlName="_PLD_d87d432aeb794901b667eede063e6fc7" addr="T0R0C11S1_1"/>
      <m:placeholder xlName="_PLD_42d555167a5c486b8e0ef0a373e5a693" addr="T0R0C12S1_1"/>
      <m:tuple xlName="_GBC_9f67c018665c48da9358f68137ab395b" concept="clcid-pte:DanCiJiaoYiChuZhiDuiZiGongSiTouZiJiSangShiKongZhiQuanDeQingXingMingXi" default_row="2" addr="T0R1C">
        <m:item xlName="_GBC_f6b1ecde6f064a7ba84731a9dc080645" concept="clcid-pte:DanCiJiaoYiChuZhiDuiZiGongSiTouZiJiSangShiKongZhiQuanDeQingXingMingXiZiGongSiMingCheng" label="单次交易处置对子公司投资即丧失控制权的情形明细-子公司名称" addr="T0R1C0S1_1" appId="_GBC_a2b81d1c138141d5bea164d8b7f9ce19"/>
        <m:item xlName="_GBC_d3a1c3522ad4481ba67f6d631bd34102" concept="clcid-pte:DanCiJiaoYiChuZhiDuiZiGongSiTouZiJiSangShiKongZhiQuanDeQingXingMingXiGuQuanChuZhiJiaKuan" label="单次交易处置对子公司投资即丧失控制权的情形明细-股权处置价款" mulRef="_GBC_2b6e668c718848ce9f3f499942bba35e" unitRef="_GBC_488d10a953f0495ea7291e5bd27a3841" addr="T0R1C1S1_1" formatStyle="Comma" appId="_GBC_a2b81d1c138141d5bea164d8b7f9ce19"/>
        <m:item xlName="_GBC_74721666dc0f47bab2a17e3a773814bb" concept="clcid-pte:DanCiJiaoYiChuZhiDuiZiGongSiTouZiJiSangShiKongZhiQuanDeQingXingMingXiGuQuanChuZhiBiLi" label="单次交易处置对子公司投资即丧失控制权的情形明细-股权处置比例" addr="T0R1C2S1_1" baseScale="0.01" formatStyle="Comma" appId="_GBC_a2b81d1c138141d5bea164d8b7f9ce19"/>
        <m:item xlName="_GBC_765459012c714fd289e12188868144a3" concept="clcid-pte:DanCiJiaoYiChuZhiDuiZiGongSiTouZiJiSangShiKongZhiQuanDeQingXingMingXiGuQuanChuZhiFangShi" label="单次交易处置对子公司投资即丧失控制权的情形明细-股权处置方式" addr="T0R1C3S1_1" appId="_GBC_a2b81d1c138141d5bea164d8b7f9ce19"/>
        <m:item xlName="_GBC_6bc91168a2154b1b9702e04bcfb6629b" concept="clcid-pte:DanCiJiaoYiChuZhiDuiZiGongSiTouZiJiSangShiKongZhiQuanDeQingXingMingXiSangShiKongZhiQuanDeShiDian" label="单次交易处置对子公司投资即丧失控制权的情形明细-丧失控制权的时点" addr="T0R1C4S1_1" appId="_GBC_a2b81d1c138141d5bea164d8b7f9ce19"/>
        <m:item xlName="_GBC_55cfa4d0f5e847c79e39d2d85022d18c" concept="clcid-pte:DanCiJiaoYiChuZhiDuiZiGongSiTouZiJiSangShiKongZhiQuanDeQingXingMingXiSangShiKongZhiQuanShiDianDeQueDingYiJu" label="单次交易处置对子公司投资即丧失控制权的情形明细-丧失控制权时点的确定依据" addr="T0R1C5S1_1" appId="_GBC_a2b81d1c138141d5bea164d8b7f9ce19"/>
        <m:item xlName="_GBC_ffe4eef1784648b6bd7c82e3c193fd51" concept="clcid-pte:DanCiJiaoYiChuZhiDuiZiGongSiTouZiJiSangShiKongZhiQuanDeQingXingMingXiChuZhiJiaKuanYuChuZhiTouZiDuiYingDeHeBingCaiWuBaoBiaoCengMianXiangYouGaiZiGongSiJingZiChanFenEDeChaE" label="单次交易处置对子公司投资即丧失控制权的情形明细-处置价款与处置投资对应的合并财务报表层面享有该子公司净资产份额的差额" mulRef="_GBC_2b6e668c718848ce9f3f499942bba35e" unitRef="_GBC_488d10a953f0495ea7291e5bd27a3841" addr="T0R1C6S1_1" formatStyle="Comma" appId="_GBC_a2b81d1c138141d5bea164d8b7f9ce19"/>
        <m:item xlName="_GBC_492f1b779d2d4c5c8b69f446386fb81d" concept="clcid-pte:DanCiJiaoYiChuZhiDuiZiGongSiTouZiJiSangShiKongZhiQuanDeQingXingMingXiSangShiKongZhiQuanZhiRiShengYuGuQuanDeBiLi" label="单次交易处置对子公司投资即丧失控制权的情形明细-丧失控制权之日剩余股权的比例" addr="T0R1C7S1_1" baseScale="0.01" formatStyle="Comma" appId="_GBC_a2b81d1c138141d5bea164d8b7f9ce19"/>
        <m:item xlName="_GBC_081286342c92485d85a38c2b43065fc2" concept="clcid-pte:DanCiJiaoYiChuZhiDuiZiGongSiTouZiJiSangShiKongZhiQuanDeQingXingMingXiSangShiKongZhiQuanZhiRiShengYuGuQuanDeZhangMianJiaZhi" label="单次交易处置对子公司投资即丧失控制权的情形明细-丧失控制权之日剩余股权的账面价值" mulRef="_GBC_2b6e668c718848ce9f3f499942bba35e" unitRef="_GBC_488d10a953f0495ea7291e5bd27a3841" addr="T0R1C8S1_1" formatStyle="Comma" appId="_GBC_a2b81d1c138141d5bea164d8b7f9ce19"/>
        <m:item xlName="_GBC_99d6fa6c2bc942e097ab098fcdbaf636" concept="clcid-pte:DanCiJiaoYiChuZhiDuiZiGongSiTouZiJiSangShiKongZhiQuanDeQingXingMingXiSangShiKongZhiQuanZhiRiShengYuGuQuanDeGongYunJiaZhi" label="单次交易处置对子公司投资即丧失控制权的情形明细-丧失控制权之日剩余股权的公允价值" mulRef="_GBC_2b6e668c718848ce9f3f499942bba35e" unitRef="_GBC_488d10a953f0495ea7291e5bd27a3841" addr="T0R1C9S1_1" formatStyle="Comma" appId="_GBC_a2b81d1c138141d5bea164d8b7f9ce19"/>
        <m:item xlName="_GBC_bfbd9376f0434d7f8d52ddb74bf0999f" concept="clcid-pte:DanCiJiaoYiChuZhiDuiZiGongSiTouZiJiSangShiKongZhiQuanDeQingXingMingXiAnZhaoGongYunJiaZhiZhongXinJiLiangShengYuGuQuanChanShengDeLiDeHuoSunShi" label="单次交易处置对子公司投资即丧失控制权的情形明细-按照公允价值重新计量剩余股权产生的利得或损失" mulRef="_GBC_2b6e668c718848ce9f3f499942bba35e" unitRef="_GBC_488d10a953f0495ea7291e5bd27a3841" addr="T0R1C10S1_1" formatStyle="Comma" appId="_GBC_a2b81d1c138141d5bea164d8b7f9ce19"/>
        <m:item xlName="_GBC_2fd79c09de11459392f519c62123b040" concept="clcid-pte:DanCiJiaoYiChuZhiDuiZiGongSiTouZiJiSangShiKongZhiQuanDeQingXingMingXiSangShiKongZhiQuanZhiRiShengYuGuQuanGongYunJiaZhiDeQueDingFangFaJiZhuYaoJiaShe" label="单次交易处置对子公司投资即丧失控制权的情形明细-丧失控制权之日剩余股权公允价值的确定方法及主要假设" addr="T0R1C11S1_1" appId="_GBC_a2b81d1c138141d5bea164d8b7f9ce19"/>
        <m:item xlName="_GBC_a6b001d69e414d28a7d40f8f2e78869a" concept="clcid-pte:DanCiJiaoYiChuZhiDuiZiGongSiTouZiJiSangShiKongZhiQuanDeQingXingMingXiYuYuanZiGongSiGuQuanTouZiXiangGuanDeQiTaZongHeShouYiZhuanRuTouZiSunYiDeJinE" label="单次交易处置对子公司投资即丧失控制权的情形明细-与原子公司股权投资相关的其他综合收益转入投资损益的金额" mulRef="_GBC_2b6e668c718848ce9f3f499942bba35e" unitRef="_GBC_488d10a953f0495ea7291e5bd27a3841" addr="T0R1C12S1_1" formatStyle="Comma" appId="_GBC_a2b81d1c138141d5bea164d8b7f9ce19"/>
      </m:tuple>
      <m:item xlName="_GBC_28bcdbd3ff45497eb8fc02428c0c76e4" concept="clcid-ci-ar:ShiFouShiYongDanCiJiaoYiChuZhiDuiZiGongSiTouZiJiSangShiKongZhiQuanDeQingXingDeShuoMing" label="是否适用：单次交易处置对子公司投资即丧失控制权的情形的说明" selectOptions="_buildInAppliance" controlType="CustomCheckbox" cRanges="{&quot;StartName&quot;:&quot;_GBC_28bcdbd3ff45497eb8fc02428c0c76e4&quot;,&quot;EndName&quot;:&quot;_GBC_cc98b1e6c31b43fda0eef28bae94d1d5&quot;,&quot;CType&quot;:1,&quot;DisplayText&quot;:null}"/>
      <m:item xlName="_GBC_cc98b1e6c31b43fda0eef28bae94d1d5" concept="clcid-pte:DanCiJiaoYiChuZhiDuiZiGongSiTouZiJiSangShiKongZhiQuanDeQingXingDeShuoMing" label="单次交易处置对子公司投资即丧失控制权的情形的说明" appId="_GBC_28bcdbd3ff45497eb8fc02428c0c76e4"/>
    </m:section>
    <m:section xlName="_GBC_4d8df8ad82924ee296922a66106c2fad" title="是否存在通过多次交易分步处置对子公司投资且在本期丧失控制权的" helpId="112001139">
      <m:item xlName="_GBC_af0bdb782b8c4c81b7d0f6f588b3cf6b" concept="clcid-pte:ShiFouCunZaiTongGuoDuoCiJiaoYiFenBuChuZhiDuiZiGongSiTouZiQieZaiBenQiSangShiKongZhiQuanDeQingXing" label="是否存在通过多次交易分步处置对子公司投资且在本期丧失控制权的情形" selectOptions="_buildInAppliance" controlType="CustomCheckbox" cRanges="{&quot;StartName&quot;:&quot;_GBC_4d8df8ad82924ee296922a66106c2fad&quot;,&quot;EndName&quot;:&quot;_GBC_2bb504c17d764763a1c53c9e8495e036&quot;,&quot;CType&quot;:1,&quot;DisplayText&quot;:null}"/>
    </m:section>
    <m:section xlName="_GBC_48deb7e41c8340258f6187578de62d24" title="一揽子交易" helpText="注：分别说明前期和本期处置股权的时点、价款、比例及方式。">
      <m:item xlName="_GBC_e6f3d37855e449019a6622e1be89743b" concept="clcid-pte:ShiFouShiYongYiLanZiJiaoYi" label="是否适用：一揽子交易" selectOptions="_buildInAppliance" controlType="CustomCheckbox" cRanges="{&quot;StartName&quot;:&quot;_GBC_e6f3d37855e449019a6622e1be89743b&quot;,&quot;EndName&quot;:&quot;_GBC_3f60af2f826f4d358c70310ac7ceed06&quot;,&quot;CType&quot;:1,&quot;DisplayText&quot;:null}"/>
      <m:item xlName="_GBC_61f63e18388a4e04b8e63aad24ea4894" concept="clcid-ci-ar:DanWeiCaiWuFuZhuYiLanZiJiaoYi" label="单位：财务附注：一揽子交易" selectOptions="_buildInScales" controlType="Combobox" cellType="Scale" appId="_GBC_e6f3d37855e449019a6622e1be89743b"/>
      <m:item xlName="_GBC_df8e0aaf1a094719ba673b20c876505d" concept="clcid-ci-ar:BiZhongCaiWuFuZhuYiLanZiJiaoYi" label="币种：财务附注：一揽子交易" selectOptions="_buildInISO4217" controlType="Combobox" cellType="Measure" appId="_GBC_e6f3d37855e449019a6622e1be89743b"/>
      <m:placeholder xlName="_PLD_353ac45570904f73ad2ea83fed92fa1e" addr="T0R0C0S1_1"/>
      <m:placeholder xlName="_PLD_e9be63be6535461abcf598c9c70e7b24" addr="T0R0C1S1_1"/>
      <m:placeholder xlName="_PLD_914fed41a6c04d489adbcd4e9d8c652d" addr="T0R0C2S1_1"/>
      <m:placeholder xlName="_PLD_c7cba20e1cdd43a7b8750b32fd7a24c8" addr="T0R0C3S1_1"/>
      <m:placeholder xlName="_PLD_69c370eebb494af3b1c2da3f51cfd7b8" addr="T0R0C4S1_1"/>
      <m:placeholder xlName="_PLD_b172b137e40843baabec87a1d1e047cc" addr="T0R0C5S1_1"/>
      <m:placeholder xlName="_PLD_72e839d538ca4b438b6f292ecbf645d3" addr="T0R0C6S1_1"/>
      <m:placeholder xlName="_PLD_ce17fe8f006349109c322fff5ef96b41" addr="T0R0C7S1_1"/>
      <m:placeholder xlName="_PLD_68211bf42df44c359346566575c7c05e" addr="T0R0C8S1_1"/>
      <m:placeholder xlName="_PLD_4d8f658f0d2a448daeca76f336a59d23" addr="T0R0C9S1_1"/>
      <m:placeholder xlName="_PLD_d04cf5ced0534093aec1047037006dd8" addr="T0R0C10S1_1"/>
      <m:placeholder xlName="_PLD_935936455b3248e4a021d727967158db" addr="T0R0C11S1_1"/>
      <m:placeholder xlName="_PLD_ac2e6f7198ec4535a1d1ee9273abe883" addr="T0R0C12S1_1"/>
      <m:placeholder xlName="_PLD_077ebbf0cef94b25b89f584519eacaff" addr="T0R0C13S1_1"/>
      <m:placeholder xlName="_PLD_248d4357adbe496f8c8762787e96b620" addr="T0R0C14S1_1"/>
      <m:tuple xlName="_GBC_eaad2c22c7674139a0bf80a712d53017" concept="clcid-pte:YiLanZiJiaoYiMingXi" default_row="2" addr="T0R1C">
        <m:item xlName="_GBC_d2c9e9870fb84ef4b879694940f39fed" concept="clcid-pte:YiLanZiJiaoYiMingXiZiGongSiMingCheng" label="一揽子交易明细-子公司名称" addr="T0R1C0S1_1" appId="_GBC_e6f3d37855e449019a6622e1be89743b"/>
        <m:item xlName="_GBC_3e641193789f44259c840b4feb52eb0b" concept="clcid-pte:YiLanZiJiaoYiMingXiGuQuanChuZhiShiDian" label="一揽子交易明细-股权处置时点" addr="T0R1C1S1_1" appId="_GBC_e6f3d37855e449019a6622e1be89743b"/>
        <m:item xlName="_GBC_a91984e91a6d4887bf378370d48d2b1f" concept="clcid-pte:YiLanZiJiaoYiMingXiGuQuanChuZhiJiaKuan" label="一揽子交易明细-股权处置价款" mulRef="_GBC_61f63e18388a4e04b8e63aad24ea4894" unitRef="_GBC_df8e0aaf1a094719ba673b20c876505d" addr="T0R1C2S1_1" formatStyle="Comma" appId="_GBC_e6f3d37855e449019a6622e1be89743b"/>
        <m:item xlName="_GBC_e7d5ac14fdf74635bf10d6d45cc554f3" concept="clcid-pte:YiLanZiJiaoYiMingXiGuQuanChuZhiBiLi" label="一揽子交易明细-股权处置比例" addr="T0R1C3S1_1" baseScale="0.01" formatStyle="Comma" appId="_GBC_e6f3d37855e449019a6622e1be89743b"/>
        <m:item xlName="_GBC_d77fa9d73a614a1c882c5b953a639181" concept="clcid-pte:YiLanZiJiaoYiMingXiGuQuanChuZhiFangShi" label="一揽子交易明细-股权处置方式" addr="T0R1C4S1_1" appId="_GBC_e6f3d37855e449019a6622e1be89743b"/>
        <m:item xlName="_GBC_7771093a2d61435dbdbf9b4d6df5fb3b" concept="clcid-pte:YiLanZiJiaoYiMingXiChuZhiJiaKuanYuChuZhiTouZiDuiYingDeHeBingCaiWuBaoBiaoCengMianXiangYouGaiZiGongSiJingZiChanFenEDeChaE" label="一揽子交易明细-处置价款与处置投资对应的合并财务报表层面享有该子公司净资产份额的差额" mulRef="_GBC_61f63e18388a4e04b8e63aad24ea4894" unitRef="_GBC_df8e0aaf1a094719ba673b20c876505d" addr="T0R1C5S1_1" formatStyle="Comma" appId="_GBC_e6f3d37855e449019a6622e1be89743b"/>
        <m:item xlName="_GBC_9e334246f0ce4a9795d8b5600fbbd02d" concept="clcid-pte:YiLanZiJiaoYiMingXiSangShiKongZhiQuanDeShiDian" label="一揽子交易明细-丧失控制权的时点" addr="T0R1C6S1_1" appId="_GBC_e6f3d37855e449019a6622e1be89743b"/>
        <m:item xlName="_GBC_25eadf54522c4def81aa0d03c868a23a" concept="clcid-pte:YiLanZiJiaoYiMingXiSangShiKongZhiQuanShiDianDeQueDingYiJu" label="一揽子交易明细-丧失控制权时点的确定依据" addr="T0R1C7S1_1" appId="_GBC_e6f3d37855e449019a6622e1be89743b"/>
        <m:item xlName="_GBC_ba08b17085cb468c8d21725852896486" concept="clcid-pte:YiLanZiJiaoYiMingXiSangShiKongZhiQuanZhiRiShengYuGuQuanDeBiLi" label="一揽子交易明细-丧失控制权之日剩余股权的比例" addr="T0R1C8S1_1" baseScale="0.01" formatStyle="Comma" appId="_GBC_e6f3d37855e449019a6622e1be89743b"/>
        <m:item xlName="_GBC_f400430387c443c1a3f78b81ffa8867a" concept="clcid-pte:YiLanZiJiaoYiMingXiSangShiKongZhiQuanZhiRiShengYuGuQuanDeZhangMianJiaZhi" label="一揽子交易明细-丧失控制权之日剩余股权的账面价值" mulRef="_GBC_61f63e18388a4e04b8e63aad24ea4894" unitRef="_GBC_df8e0aaf1a094719ba673b20c876505d" addr="T0R1C9S1_1" formatStyle="Comma" appId="_GBC_e6f3d37855e449019a6622e1be89743b"/>
        <m:item xlName="_GBC_5182f74812594520afa74ccbe74d1fa3" concept="clcid-pte:YiLanZiJiaoYiMingXiSangShiKongZhiQuanZhiRiShengYuGuQuanDeGongYunJiaZhi" label="一揽子交易明细-丧失控制权之日剩余股权的公允价值" mulRef="_GBC_61f63e18388a4e04b8e63aad24ea4894" unitRef="_GBC_df8e0aaf1a094719ba673b20c876505d" addr="T0R1C10S1_1" formatStyle="Comma" appId="_GBC_e6f3d37855e449019a6622e1be89743b"/>
        <m:item xlName="_GBC_4a28f7bc1bbf426ca9cc90eeb477d558" concept="clcid-pte:YiLanZiJiaoYiMingXiAnZhaoGongYunJiaZhiZhongXinJiLiangShengYuGuQuanChanShengDeLiDeHuoSunShi" label="一揽子交易明细-按照公允价值重新计量剩余股权产生的利得或损失" mulRef="_GBC_61f63e18388a4e04b8e63aad24ea4894" unitRef="_GBC_df8e0aaf1a094719ba673b20c876505d" addr="T0R1C11S1_1" formatStyle="Comma" appId="_GBC_e6f3d37855e449019a6622e1be89743b"/>
        <m:item xlName="_GBC_8bfa2ef7d41a4e9d8a0ca48e2233c18c" concept="clcid-pte:YiLanZiJiaoYiMingXiSangShiKongZhiQuanZhiRiShengYuGuQuanGongYunJiaZhiDeQueDingFangFaJiZhuYaoJiaShe" label="一揽子交易明细-丧失控制权之日剩余股权公允价值的确定方法及主要假设" addr="T0R1C12S1_1" appId="_GBC_e6f3d37855e449019a6622e1be89743b"/>
        <m:item xlName="_GBC_d951df761dea439b89f60c43123fad67" concept="clcid-pte:YiLanZiJiaoYiMingXiYuYuanZiGongSiGuQuanTouZiXiangGuanDeQiTaZongHeShouYiZhuanRuTouZiSunYiDeJinE" label="一揽子交易明细-与原子公司股权投资相关的其他综合收益转入投资损益的金额" mulRef="_GBC_61f63e18388a4e04b8e63aad24ea4894" unitRef="_GBC_df8e0aaf1a094719ba673b20c876505d" addr="T0R1C13S1_1" formatStyle="Comma" appId="_GBC_e6f3d37855e449019a6622e1be89743b"/>
        <m:item xlName="_GBC_af594877d3ef4f47a3c2966e9b37bd24" concept="clcid-pte:YiLanZiJiaoYiMingXiSangShiKongZhiQuanZhiQianDeGeBuJiaoYiChuZhiJiaKuanYuChuZhiTouZiDuiYingDeHeBingCaiWuBaoBiaoCengMianXiangYouGaiZiGongSiJingZiChanFenEDeChaE" label="一揽子交易明细-丧失控制权之前的各步交易处置价款与处置投资对应的合并财务报表层面享有该子公司净资产份额的差额" mulRef="_GBC_61f63e18388a4e04b8e63aad24ea4894" unitRef="_GBC_df8e0aaf1a094719ba673b20c876505d" addr="T0R1C14S1_1" formatStyle="Comma" appId="_GBC_e6f3d37855e449019a6622e1be89743b"/>
      </m:tuple>
      <m:item xlName="_GBC_22b91da1d9624ccd88886467936abc29" concept="clcid-ci-ar:ShiFouShiYongFenBuChuZhiGuQuanZhiSangShiKongZhiQuanGuoChengZhongDeGeXiangJiaoYiGouChengYiLanZiJiaoYiDeYuanYin" label="是否适用：分步处置股权至丧失控制权过程中的各项交易构成一揽子交易的原因" selectOptions="_buildInAppliance" controlType="CustomCheckbox" cRanges="{&quot;StartName&quot;:&quot;_GBC_22b91da1d9624ccd88886467936abc29&quot;,&quot;EndName&quot;:&quot;_GBC_785c455eb8564b0d91b12fb720dfd42c&quot;,&quot;CType&quot;:1,&quot;DisplayText&quot;:null}"/>
      <m:item xlName="_GBC_785c455eb8564b0d91b12fb720dfd42c" concept="clcid-pte:FenBuChuZhiGuQuanZhiSangShiKongZhiQuanGuoChengZhongDeGeXiangJiaoYiGouChengYiLanZiJiaoYiDeYuanYin" label="分步处置股权至丧失控制权过程中的各项交易构成一揽子交易的原因" appId="_GBC_22b91da1d9624ccd88886467936abc29"/>
      <m:item xlName="_GBC_9f5d19019df14d818c7df2aeed9d641c" concept="clcid-ci-ar:ShiFouShiYongYiLanZiJiaoYiDeShuoMing" label="是否适用：一揽子交易的说明" selectOptions="_buildInAppliance" controlType="CustomCheckbox" cRanges="{&quot;StartName&quot;:&quot;_GBC_9f5d19019df14d818c7df2aeed9d641c&quot;,&quot;EndName&quot;:&quot;_GBC_3f60af2f826f4d358c70310ac7ceed06&quot;,&quot;CType&quot;:1,&quot;DisplayText&quot;:null}"/>
      <m:item xlName="_GBC_3f60af2f826f4d358c70310ac7ceed06" concept="clcid-pte:YiLanZiJiaoYiDeShuoMing" label="一揽子交易的说明" appId="_GBC_9f5d19019df14d818c7df2aeed9d641c"/>
    </m:section>
    <m:section xlName="_GBC_2bb504c17d764763a1c53c9e8495e036" title="非一揽子交易" helpId="112001139" helpText="注：分别说明前期和本期处置股权的时点、价款、比例及方式。">
      <m:item xlName="_GBC_6cb4822dc1ff49b5bec1b20f3c5764c6" concept="clcid-pte:ShiFouShiYongFeiYiLanZiJiaoYi" label="是否适用：非一揽子交易" selectOptions="_buildInAppliance" controlType="CustomCheckbox" cRanges="{&quot;StartName&quot;:&quot;_GBC_6cb4822dc1ff49b5bec1b20f3c5764c6&quot;,&quot;EndName&quot;:&quot;_GBC_af04e0e50b4c4b289cbc6f7eefb7b82d&quot;,&quot;CType&quot;:1,&quot;DisplayText&quot;:null}"/>
      <m:item xlName="_GBC_65ab6123c1ba4d7eb89a331cbded88aa" concept="clcid-ci-ar:DanWeiCaiWuFuZhuFeiYiLanZiJiaoYi" label="单位：财务附注：非一揽子交易" selectOptions="_buildInScales" controlType="Combobox" cellType="Scale" appId="_GBC_6cb4822dc1ff49b5bec1b20f3c5764c6"/>
      <m:item xlName="_GBC_2e4a884dcf6941c6aa7805a3b6ed2898" concept="clcid-ci-ar:BiZhongCaiWuFuZhuFeiYiLanZiJiaoYi" label="币种：财务附注：非一揽子交易" selectOptions="_buildInISO4217" controlType="Combobox" cellType="Measure" appId="_GBC_6cb4822dc1ff49b5bec1b20f3c5764c6"/>
      <m:placeholder xlName="_PLD_13eadff5ac0645df8a502ac8d1ffe8aa" addr="T0R0C0S1_1"/>
      <m:placeholder xlName="_PLD_7c4a357494b04fd380d4deb12271902a" addr="T0R0C1S1_1"/>
      <m:placeholder xlName="_PLD_373714825b074789a201322741212d13" addr="T0R0C2S1_1"/>
      <m:placeholder xlName="_PLD_92aff9aa94784cdc891268d80b130071" addr="T0R0C3S1_1"/>
      <m:placeholder xlName="_PLD_78ad440c6f2a483b9342639dacd1a6e5" addr="T0R0C4S1_1"/>
      <m:placeholder xlName="_PLD_4b1e53c4aaa34b5a86265cc4ed9c6b0d" addr="T0R0C5S1_1"/>
      <m:placeholder xlName="_PLD_c7ffc573d8a3449998f3f779c2a74f64" addr="T0R0C6S1_1"/>
      <m:placeholder xlName="_PLD_e54bab9c4e23497495f16188936df7a8" addr="T0R0C7S1_1"/>
      <m:placeholder xlName="_PLD_7f0d018e2415481a9c7025f74ffc2db5" addr="T0R0C8S1_1"/>
      <m:placeholder xlName="_PLD_4f09afcac253414e80d0edd1548cdf0e" addr="T0R0C9S1_1"/>
      <m:placeholder xlName="_PLD_630ea6fb1b0c4d83b3ee4deb3514ef02" addr="T0R0C10S1_1"/>
      <m:placeholder xlName="_PLD_141e55c7830f4864b93f717b80d5feab" addr="T0R0C11S1_1"/>
      <m:placeholder xlName="_PLD_056d2391d2704cfabdeec6fb54159406" addr="T0R0C12S1_1"/>
      <m:placeholder xlName="_PLD_e97478b5b261428aa650fc654b53d7c2" addr="T0R0C13S1_1"/>
      <m:tuple xlName="_GBC_0f89324cceca4c7089da6fd75f48862b" concept="clcid-pte:FeiYiLanZiJiaoYiMingXi" default_row="2" addr="T0R1C">
        <m:item xlName="_GBC_ec73ad0ee30c4e6ea4dd9e7eb83d400e" concept="clcid-pte:FeiYiLanZiJiaoYiMingXiZiGongSiMingCheng" label="非一揽子交易明细-子公司名称" addr="T0R1C0S1_1" appId="_GBC_6cb4822dc1ff49b5bec1b20f3c5764c6"/>
        <m:item xlName="_GBC_fc373ced6ee54d989dcff5b3ed9e52e9" concept="clcid-pte:FeiYiLanZiJiaoYiMingXiGuQuanChuZhiShiDian" label="非一揽子交易明细-股权处置时点" addr="T0R1C1S1_1" appId="_GBC_6cb4822dc1ff49b5bec1b20f3c5764c6"/>
        <m:item xlName="_GBC_d049c2099b214818a3dc0ae4b4ec3ab3" concept="clcid-pte:FeiYiLanZiJiaoYiMingXiGuQuanChuZhiJiaKuan" label="非一揽子交易明细-股权处置价款" mulRef="_GBC_65ab6123c1ba4d7eb89a331cbded88aa" unitRef="_GBC_2e4a884dcf6941c6aa7805a3b6ed2898" addr="T0R1C2S1_1" formatStyle="Comma" appId="_GBC_6cb4822dc1ff49b5bec1b20f3c5764c6"/>
        <m:item xlName="_GBC_2460f3063a4d4e7db4748255d16d8d8c" concept="clcid-pte:FeiYiLanZiJiaoYiMingXiGuQuanChuZhiBiLi" label="非一揽子交易明细-股权处置比例" addr="T0R1C3S1_1" baseScale="0.01" formatStyle="Comma" appId="_GBC_6cb4822dc1ff49b5bec1b20f3c5764c6"/>
        <m:item xlName="_GBC_ca8b3d4914234596a495381fec431c02" concept="clcid-pte:FeiYiLanZiJiaoYiMingXiGuQuanChuZhiFangShi" label="非一揽子交易明细-股权处置方式" addr="T0R1C4S1_1" appId="_GBC_6cb4822dc1ff49b5bec1b20f3c5764c6"/>
        <m:item xlName="_GBC_087c9d4afec0450381b725620a9bbb0d" concept="clcid-pte:FeiYiLanZiJiaoYiMingXiChuZhiJiaKuanYuChuZhiTouZiDuiYingDeHeBingCaiWuBaoBiaoCengMianXiangYouGaiZiGongSiJingZiChanFenEDeChaE" label="非一揽子交易明细-处置价款与处置投资对应的合并财务报表层面享有该子公司净资产份额的差额" mulRef="_GBC_65ab6123c1ba4d7eb89a331cbded88aa" unitRef="_GBC_2e4a884dcf6941c6aa7805a3b6ed2898" addr="T0R1C5S1_1" formatStyle="Comma" appId="_GBC_6cb4822dc1ff49b5bec1b20f3c5764c6"/>
        <m:item xlName="_GBC_fbbe1dcbaa6343dca4b32964dc68b63e" concept="clcid-pte:FeiYiLanZiJiaoYiMingXiSangShiKongZhiQuanDeShiDian" label="非一揽子交易明细-丧失控制权的时点" addr="T0R1C6S1_1" appId="_GBC_6cb4822dc1ff49b5bec1b20f3c5764c6"/>
        <m:item xlName="_GBC_787ac1f8c6d54856918eb08e4f5b61f8" concept="clcid-pte:FeiYiLanZiJiaoYiMingXiSangShiKongZhiQuanShiDianDeQueDingYiJu" label="非一揽子交易明细-丧失控制权时点的确定依据" addr="T0R1C7S1_1" appId="_GBC_6cb4822dc1ff49b5bec1b20f3c5764c6"/>
        <m:item xlName="_GBC_0d8c30d88d5b48ddb0a8276045eadb90" concept="clcid-pte:FeiYiLanZiJiaoYiMingXiSangShiKongZhiQuanZhiRiShengYuGuQuanDeBiLi" label="非一揽子交易明细-丧失控制权之日剩余股权的比例" addr="T0R1C8S1_1" baseScale="0.01" formatStyle="Comma" appId="_GBC_6cb4822dc1ff49b5bec1b20f3c5764c6"/>
        <m:item xlName="_GBC_434354ecd3af45a9a04b372c0908310b" concept="clcid-pte:FeiYiLanZiJiaoYiMingXiSangShiKongZhiQuanZhiRiShengYuGuQuanDeZhangMianJiaZhi" label="非一揽子交易明细-丧失控制权之日剩余股权的账面价值" mulRef="_GBC_65ab6123c1ba4d7eb89a331cbded88aa" unitRef="_GBC_2e4a884dcf6941c6aa7805a3b6ed2898" addr="T0R1C9S1_1" formatStyle="Comma" appId="_GBC_6cb4822dc1ff49b5bec1b20f3c5764c6"/>
        <m:item xlName="_GBC_25df0224a4d148b88c9a23fc57efd4f4" concept="clcid-pte:FeiYiLanZiJiaoYiMingXiSangShiKongZhiQuanZhiRiShengYuGuQuanDeGongYunJiaZhi" label="非一揽子交易明细-丧失控制权之日剩余股权的公允价值" mulRef="_GBC_65ab6123c1ba4d7eb89a331cbded88aa" unitRef="_GBC_2e4a884dcf6941c6aa7805a3b6ed2898" addr="T0R1C10S1_1" formatStyle="Comma" appId="_GBC_6cb4822dc1ff49b5bec1b20f3c5764c6"/>
        <m:item xlName="_GBC_0943cd8758104b75897251a54a6d14e6" concept="clcid-pte:FeiYiLanZiJiaoYiMingXiAnZhaoGongYunJiaZhiZhongXinJiLiangShengYuGuQuanChanShengDeLiDeHuoSunShi" label="非一揽子交易明细-按照公允价值重新计量剩余股权产生的利得或损失" mulRef="_GBC_65ab6123c1ba4d7eb89a331cbded88aa" unitRef="_GBC_2e4a884dcf6941c6aa7805a3b6ed2898" addr="T0R1C11S1_1" formatStyle="Comma" appId="_GBC_6cb4822dc1ff49b5bec1b20f3c5764c6"/>
        <m:item xlName="_GBC_a045b16fa3624834becefa8683a08e63" concept="clcid-pte:FeiYiLanZiJiaoYiMingXiSangShiKongZhiQuanZhiRiShengYuGuQuanGongYunJiaZhiDeQueDingFangFaJiZhuYaoJiaShe" label="非一揽子交易明细-丧失控制权之日剩余股权公允价值的确定方法及主要假设" addr="T0R1C12S1_1" appId="_GBC_6cb4822dc1ff49b5bec1b20f3c5764c6"/>
        <m:item xlName="_GBC_2c5e015a60a447b4a494ffbf8b58f9f2" concept="clcid-pte:FeiYiLanZiJiaoYiMingXiYuYuanZiGongSiGuQuanTouZiXiangGuanDeQiTaZongHeShouYiZhuanRuTouZiSunYiDeJinE" label="非一揽子交易明细-与原子公司股权投资相关的其他综合收益转入投资损益的金额" mulRef="_GBC_65ab6123c1ba4d7eb89a331cbded88aa" unitRef="_GBC_2e4a884dcf6941c6aa7805a3b6ed2898" addr="T0R1C13S1_1" formatStyle="Comma" appId="_GBC_6cb4822dc1ff49b5bec1b20f3c5764c6"/>
      </m:tuple>
      <m:item xlName="_GBC_ed0c2c04b4764c7c921e13cad75bcc8c" concept="clcid-ci-ar:ShiFouShiYongFenBuChuZhiGuQuanZhiSangShiKongZhiQuanGuoChengZhongDeGeXiangJiaoYiBuGouChengYiLanZiJiaoYiDeYuanYin" label="是否适用：分步处置股权至丧失控制权过程中的各项交易不构成一揽子交易的原因" selectOptions="_buildInAppliance" controlType="CustomCheckbox" cRanges="{&quot;StartName&quot;:&quot;_GBC_ed0c2c04b4764c7c921e13cad75bcc8c&quot;,&quot;EndName&quot;:&quot;_GBC_3e1adf630d02402c9239401911521c9e&quot;,&quot;CType&quot;:1,&quot;DisplayText&quot;:null}"/>
      <m:item xlName="_GBC_3e1adf630d02402c9239401911521c9e" concept="clcid-pte:FenBuChuZhiGuQuanZhiSangShiKongZhiQuanGuoChengZhongDeGeXiangJiaoYiBuGouChengYiLanZiJiaoYiDeYuanYin" label="分步处置股权至丧失控制权过程中的各项交易不构成一揽子交易的原因" appId="_GBC_ed0c2c04b4764c7c921e13cad75bcc8c"/>
      <m:item xlName="_GBC_a8cf3e1f7e05466998a3fe94e2bcb19c" concept="clcid-ci-ar:ShiFouShiYongFeiYiLanZiJiaoYiDeShuoMing" label="是否适用：非一揽子交易的说明" selectOptions="_buildInAppliance" controlType="CustomCheckbox" cRanges="{&quot;StartName&quot;:&quot;_GBC_a8cf3e1f7e05466998a3fe94e2bcb19c&quot;,&quot;EndName&quot;:&quot;_GBC_af04e0e50b4c4b289cbc6f7eefb7b82d&quot;,&quot;CType&quot;:1,&quot;DisplayText&quot;:null}"/>
      <m:item xlName="_GBC_af04e0e50b4c4b289cbc6f7eefb7b82d" concept="clcid-pte:FeiYiLanZiJiaoYiDeShuoMing" label="非一揽子交易的说明" appId="_GBC_a8cf3e1f7e05466998a3fe94e2bcb19c"/>
    </m:section>
    <m:section xlName="_GBC_c61d869cb31c439992bb2118c8eaac1e" title="其他原因的合并范围变动" helpId="112001141">
      <m:item xlName="_GBC_55cbf4f78793498cb1532f08bfbb61f4" concept="clcid-ci-ar:ShiFouShiYongQiTaYuanYinDaoZhiDeHeBingFanWeiBianDongJiQiXiangGuanQingKuang" label="是否适用：其他原因导致的合并范围变动及其相关情况" selectOptions="_buildInAppliance" controlType="CustomCheckbox" cRanges="{&quot;StartName&quot;:&quot;_GBC_55cbf4f78793498cb1532f08bfbb61f4&quot;,&quot;EndName&quot;:&quot;_GBC_c83a0d19a27e42c0927cf85c8c6221e2&quot;,&quot;CType&quot;:1,&quot;DisplayText&quot;:null}"/>
      <m:item xlName="_GBC_c83a0d19a27e42c0927cf85c8c6221e2" concept="clcid-pte:QiTaYuanYinDeHeBingFanWeiBianDong" label="其他原因的合并范围变动" appId="_GBC_55cbf4f78793498cb1532f08bfbb61f4"/>
    </m:section>
    <m:section xlName="_GBC_8ddcb59af8af49d295c61727d65b8301" title="同一控制下企业合并其他" helpId="112001142">
      <m:item xlName="_GBC_cca0ea12df6c44878cdcbeced06ed993" concept="clcid-ci-ar:ShiFouShiYongHeBingFanWeiDeBianGengQiTaShuoMing" label="是否适用：合并范围的变更-其他说明" selectOptions="_buildInAppliance" controlType="CustomCheckbox" cRanges="{&quot;StartName&quot;:&quot;_GBC_cca0ea12df6c44878cdcbeced06ed993&quot;,&quot;EndName&quot;:&quot;_GBC_3c0ba58e11b748c98de8632d20e4e46a&quot;,&quot;CType&quot;:1,&quot;DisplayText&quot;:null}"/>
      <m:item xlName="_GBC_3c0ba58e11b748c98de8632d20e4e46a" concept="clcid-pte:HeBingFanWeiDeBianGengQiTaShuoMing" label="合并范围的变更-其他说明" appId="_GBC_cca0ea12df6c44878cdcbeced06ed993"/>
    </m:section>
    <m:section xlName="_GBC_47f8b786d9024ebb977349f022d18c1c" title="企业集团的构成" rules="R2015_R11_031" helpId="112001143">
      <m:item xlName="_GBC_34a27c9c622e483cb4651d6ff3bc0d5a" concept="clcid-ci-ar:ShiFouShiYongQiYeJiTuanDeGouCheng" label="是否适用：企业集团的构成" selectOptions="_buildInAppliance" controlType="CustomCheckbox" cRanges="{&quot;StartName&quot;:&quot;_GBC_34a27c9c622e483cb4651d6ff3bc0d5a&quot;,&quot;EndName&quot;:&quot;_GBC_7dc3099f920f4546b2a983c0eb4c2ce0&quot;,&quot;CType&quot;:1,&quot;DisplayText&quot;:null}"/>
      <m:placeholder xlName="_PLD_e6e24505838941c88a7f70e573a1261c" addr="T0R0C0S2_1"/>
      <m:placeholder xlName="_PLD_056e18f052024978add90fe8aacf887d" addr="T0R0C1S2_1"/>
      <m:placeholder xlName="_PLD_591af8ff23104790a7ac5dbb3278e185" addr="T0R0C2S2_1"/>
      <m:placeholder xlName="_PLD_00f166f7d07d4fab80fa91c95fb5d089" addr="T0R0C3S2_1"/>
      <m:placeholder xlName="_PLD_312b40f444994b628fc2b8c3e4c90fdc" addr="T0R0C4S1_2"/>
      <m:placeholder xlName="_PLD_7955b51c085a48948cb5518baa55ee50" addr="T0R0C6S2_1"/>
      <m:placeholder xlName="_PLD_ab045acafe9d4890848568705ddd5475" addr="T0R1C4S1_1"/>
      <m:placeholder xlName="_PLD_78e5db032e5044cba22bc40c16ee940a" addr="T0R1C5S1_1"/>
      <m:tuple xlName="_GBC_986bfe326d834fea9d2920637e286f21" concept="clcid-pte:QiYeHeBingJiHeBingCaiWuBaoBiaoMingXi" default_row="2" addr="T0R2C">
        <m:item xlName="_GBC_3cdcd67c37274049ad9196a53384ed2d" concept="clcid-pte:QiYeHeBingJiHeBingCaiWuBaoBiaoMingXiDanWeiMingCheng" label="企业合并及合并财务报表明细－单位名称" addr="T0R2C0S1_1" appId="_GBC_34a27c9c622e483cb4651d6ff3bc0d5a"/>
        <m:item xlName="_GBC_8a77a8471b3246608e70115994bf107d" concept="clcid-pte:QiYeHeBingJiHeBingCaiWuBaoBiaoMingXiZhuYaoJingYingDi" label="企业合并及合并财务报表明细－主要经营地" addr="T0R2C1S1_1" appId="_GBC_34a27c9c622e483cb4651d6ff3bc0d5a"/>
        <m:item xlName="_GBC_8830a6b9b2b449babcaa6668f8fd88a8" concept="clcid-pte:QiYeHeBingJiHeBingCaiWuBaoBiaoMingXiZhuCeDi" label="企业合并及合并财务报表明细－注册地" addr="T0R2C2S1_1" appId="_GBC_34a27c9c622e483cb4651d6ff3bc0d5a"/>
        <m:item xlName="_GBC_66cd68062d3f4d66bf1a834bace109a7" concept="clcid-pte:QiYeHeBingJiHeBingCaiWuBaoBiaoMingXiYeWuXingZhi" label="企业合并及合并财务报表明细－业务性质" addr="T0R2C3S1_1" appId="_GBC_34a27c9c622e483cb4651d6ff3bc0d5a"/>
        <m:item xlName="_GBC_181e436e62c34b88ba2844c3b8684a70" concept="clcid-pte:QiYeHeBingJiHeBingCaiWuBaoBiaoMingXiZhiJieChiGuBiLi" label="企业合并及合并财务报表明细－直接持股比例" addr="T0R2C4S1_1" baseScale="0.01" formatStyle="Comma" appId="_GBC_34a27c9c622e483cb4651d6ff3bc0d5a"/>
        <m:item xlName="_GBC_209ebbd586724df5983e017cc514344f" concept="clcid-pte:QiYeHeBingJiHeBingCaiWuBaoBiaoMingXiJianJieChiGuBiLi" label="企业合并及合并财务报表明细－间接持股比例" addr="T0R2C5S1_1" baseScale="0.01" formatStyle="Comma" appId="_GBC_34a27c9c622e483cb4651d6ff3bc0d5a"/>
        <m:item xlName="_GBC_e214440b23e04cb09f1d3c16109a2005" concept="clcid-pte:QiYeHeBingJiHeBingCaiWuBaoBiaoMingXiQuDeFangShi" label="企业合并及合并财务报表明细－取得方式" addr="T0R2C6S1_1" appId="_GBC_34a27c9c622e483cb4651d6ff3bc0d5a"/>
      </m:tuple>
      <m:item xlName="_GBC_b7be591163dc47e4b00f98006e6fbb0b" concept="clcid-pte:ZaiZiGongSiDeChiGuBiLiBuTongYuBiaoJueQuanBiLiDeShuoMing" label="在子公司的持股比例不同于表决权比例的说明" appId="_GBC_34a27c9c622e483cb4651d6ff3bc0d5a"/>
      <m:item xlName="_GBC_e9c6ba07b58c4f8e9e3004170d14542b" concept="clcid-pte:ChiYouBanShuHuoYiXiaBiaoJueQuanDanRengKongZhiBeiTouZiDanWeiYiJiChiYouBanShuYiShangBiaoJueQuanDanBuKongZhiBeiTouZiDanWeiDeYiJu" label="持有半数或以下表决权但仍控制被投资单位、以及持有半数以上表决权但不控制被投资单位的依据" appId="_GBC_34a27c9c622e483cb4651d6ff3bc0d5a"/>
      <m:item xlName="_GBC_254d83ec47cd4003902f2d0f6017d432" concept="clcid-pte:DuiYuNaRuHeBingFanWeiDeZhongYaoDeJieGouHuaZhuTiKongZhiDeYiJu" label="对于纳入合并范围的重要的结构化主体，控制的依据" appId="_GBC_34a27c9c622e483cb4651d6ff3bc0d5a"/>
      <m:item xlName="_GBC_f515cb0c8a654271b5991b0accabe800" concept="clcid-pte:QueDingGongSiShiDaiLiRenHuanShiWeiTuoRenDeYiJu" label="确定公司是代理人还是委托人的依据" appId="_GBC_34a27c9c622e483cb4651d6ff3bc0d5a"/>
      <m:item xlName="_GBC_7dc3099f920f4546b2a983c0eb4c2ce0" concept="clcid-pte:QiYeJiTuanDeGouChengDeQiTaXuYaoShuoMingDeShiXiang" label="企业集团的构成的其他需要说明的事项" appId="_GBC_34a27c9c622e483cb4651d6ff3bc0d5a"/>
    </m:section>
    <m:section xlName="_GBC_a2ec6e05ebd34d2fa14b1ba6b3ba8eb1" title="重要的非全资子公司" rules="R2015_R11_031" helpId="112001144">
      <m:item xlName="_GBC_b83f349d0d754e2d93b12d2112b4c3ec" concept="clcid-ci-ar:ShiFouShiYongZhongYaoDeFeiQuanZiZiGongSi" label="是否适用：重要的非全资子公司" selectOptions="_buildInAppliance" controlType="CustomCheckbox" cRanges="{&quot;StartName&quot;:&quot;_GBC_b83f349d0d754e2d93b12d2112b4c3ec&quot;,&quot;EndName&quot;:&quot;_GBC_e8d23efad2b8462e86d46785d27ff7c9&quot;,&quot;CType&quot;:1,&quot;DisplayText&quot;:null}"/>
      <m:item xlName="_GBC_e5936e9952394755bacf71d437afcd44" concept="clcid-ci-ar:DanWeiCaiWuFuZhuZhongYaoDeFeiQuanZiZiGongSi" label="单位：财务附注：重要的非全资子公司" selectOptions="_buildInScales" controlType="Combobox" cellType="Scale" appId="_GBC_b83f349d0d754e2d93b12d2112b4c3ec"/>
      <m:item xlName="_GBC_5ffac6aa0e464031b94de604fccc76c7" concept="clcid-ci-ar:BiZhongCaiWuFuZhuZhongYaoDeFeiQuanZiZiGongSi" label="币种：财务附注：重要的非全资子公司" selectOptions="_buildInISO4217" controlType="Combobox" cellType="Measure" appId="_GBC_b83f349d0d754e2d93b12d2112b4c3ec"/>
      <m:placeholder xlName="_PLD_214f5d23d0ff4cd08577f444026e3bf2" addr="T0R0C0S1_1"/>
      <m:placeholder xlName="_PLD_8f337a5f047e4f5eb2e03caf3b5ce2bb" addr="T0R0C1S1_1"/>
      <m:placeholder xlName="_PLD_70aca7c8f09a4a579e632e06c25a6ab5" addr="T0R0C2S1_1"/>
      <m:placeholder xlName="_PLD_4154a89239e54416bb4c7ab182b0ae5a" addr="T0R0C3S1_1"/>
      <m:placeholder xlName="_PLD_cea34ef7af164cc8816d90890b528f36" addr="T0R0C4S1_1"/>
      <m:tuple xlName="_GBC_786318b12f804986888adc0492796ebd" concept="clcid-pte:ZhongYaoDeFeiQuanZiZiGongSiMingXi" default_row="2" addr="T0R1C">
        <m:item xlName="_GBC_e769c1abb7b64c4d95b5a9c34c583c61" concept="clcid-pte:ZhongYaoDeFeiQuanZiZiGongSiMingXiZiGongSiMingCheng" label="重要的非全资子公司明细-子公司名称" addr="T0R1C0S1_1" appId="_GBC_b83f349d0d754e2d93b12d2112b4c3ec"/>
        <m:item xlName="_GBC_3a47d0653eb74c8c9194e31dd10ed288" concept="clcid-pte:ZhongYaoDeFeiQuanZiZiGongSiMingXiShaoShuGuDongDeChiGuBiLi" label="重要的非全资子公司明细-少数股东的持股比例" addr="T0R1C1S1_1" baseScale="0.01" formatStyle="Comma" appId="_GBC_b83f349d0d754e2d93b12d2112b4c3ec"/>
        <m:item xlName="_GBC_e30ccb11f137488c9ac9c44fe698bf84" concept="clcid-pte:ZhongYaoDeFeiQuanZiZiGongSiMingXiBenQiGuiShuYuShaoShuGuDongDeSunYi" label="重要的非全资子公司明细-本期归属于少数股东的损益" mulRef="_GBC_e5936e9952394755bacf71d437afcd44" unitRef="_GBC_5ffac6aa0e464031b94de604fccc76c7" addr="T0R1C2S1_1" formatStyle="Comma" appId="_GBC_b83f349d0d754e2d93b12d2112b4c3ec"/>
        <m:item xlName="_GBC_54522ee229cd49f3a36fb60314c21ac1" concept="clcid-pte:ZhongYaoDeFeiQuanZiZiGongSiMingXiBenQiXiangShaoShuGuDongZhiFuDeGuLi" label="重要的非全资子公司明细-本期向少数股东支付的股利" mulRef="_GBC_e5936e9952394755bacf71d437afcd44" unitRef="_GBC_5ffac6aa0e464031b94de604fccc76c7" addr="T0R1C3S1_1" formatStyle="Comma" appId="_GBC_b83f349d0d754e2d93b12d2112b4c3ec"/>
        <m:item xlName="_GBC_5ba0fc1037a14bec9cc2892b1e4587b6" concept="clcid-pte:ZhongYaoDeFeiQuanZiZiGongSiMingXiQiMoShaoShuGuDongQuanYiYuE" label="重要的非全资子公司明细-期末少数股东权益余额" mulRef="_GBC_e5936e9952394755bacf71d437afcd44" unitRef="_GBC_5ffac6aa0e464031b94de604fccc76c7" addr="T0R1C4S1_1" formatStyle="Comma" appId="_GBC_b83f349d0d754e2d93b12d2112b4c3ec"/>
      </m:tuple>
      <m:item xlName="_GBC_8bf91d6e05c644d1b37f5d88e434cb9e" concept="clcid-ci-ar:ShiFouShiYongZiGongSiShaoShuGuDongDeChiGuBiLiBuTongYuBiaoJueQuanBiLiDeShuoMing" label="是否适用：子公司少数股东的持股比例不同于表决权比例的说明" selectOptions="_buildInAppliance" controlType="CustomCheckbox" cRanges="{&quot;StartName&quot;:&quot;_GBC_8bf91d6e05c644d1b37f5d88e434cb9e&quot;,&quot;EndName&quot;:&quot;_GBC_fbc604c8ca7f4a248fbf762126693e45&quot;,&quot;CType&quot;:1,&quot;DisplayText&quot;:null}"/>
      <m:item xlName="_GBC_fbc604c8ca7f4a248fbf762126693e45" concept="clcid-pte:ZiGongSiShaoShuGuDongDeChiGuBiLiBuTongYuBiaoJueQuanBiLiDeYuanYinShuoMing" label="子公司少数股东的持股比例不同于表决权比例的原因说明" appId="_GBC_8bf91d6e05c644d1b37f5d88e434cb9e"/>
      <m:item xlName="_GBC_c511ac7f8f1f42bfa9130e28b68d1f19" concept="clcid-ci-ar:ShiFouShiYongZhongYaoDeFeiQuanZiZiGongSiQiTaShuoMing" label="是否适用：重要的非全资子公司其他说明" selectOptions="_buildInAppliance" controlType="CustomCheckbox" cRanges="{&quot;StartName&quot;:&quot;_GBC_c511ac7f8f1f42bfa9130e28b68d1f19&quot;,&quot;EndName&quot;:&quot;_GBC_e8d23efad2b8462e86d46785d27ff7c9&quot;,&quot;CType&quot;:1,&quot;DisplayText&quot;:null}"/>
      <m:item xlName="_GBC_e8d23efad2b8462e86d46785d27ff7c9" concept="clcid-pte:ZhongYaoDeFeiQuanZiZiGongSiDeQiTaShuoMing" label="重要的非全资子公司的其他说明" appId="_GBC_c511ac7f8f1f42bfa9130e28b68d1f19"/>
    </m:section>
    <m:section xlName="_GBC_501222dd8f884fabbdeaec6fe7e79709" title="重要非全资子公司的主要财务信息" rules="R2015_R11_031" helpId="112001145">
      <m:item xlName="_GBC_c10a7c42e39b4ac9a711e2e9d367799e" concept="clcid-ci-ar:ShiFouShiYongZhongYaoFeiQuanZiZiGongSiDeZhuYaoCaiWuXinXi" label="是否适用：重要非全资子公司的主要财务信息" selectOptions="_buildInAppliance" controlType="CustomCheckbox" cRanges="{&quot;StartName&quot;:&quot;_GBC_c10a7c42e39b4ac9a711e2e9d367799e&quot;,&quot;EndName&quot;:&quot;_GBC_c6413d961dad488aae6fcf0fda2bf33a&quot;,&quot;CType&quot;:1,&quot;DisplayText&quot;:null}"/>
      <m:item xlName="_GBC_ba918360b15748859fb63cacad1f617d" concept="clcid-ci-ar:DanWeiCaiWuFuZhuZhongYaoFeiQuanZiZiGongSiDeZhuYaoCaiWuXinXi" label="单位：财务附注：重要非全资子公司的主要财务信息" selectOptions="_buildInScales" controlType="Combobox" cellType="Scale" appId="_GBC_c10a7c42e39b4ac9a711e2e9d367799e"/>
      <m:item xlName="_GBC_af5cc4f1e7a74e3d8f9c9fea25fdf05f" concept="clcid-ci-ar:BiZhongCaiWuFuZhuZhongYaoFeiQuanZiZiGongSiDeZhuYaoCaiWuXinXi" label="币种：财务附注：重要非全资子公司的主要财务信息" selectOptions="_buildInISO4217" controlType="Combobox" cellType="Measure" appId="_GBC_c10a7c42e39b4ac9a711e2e9d367799e"/>
      <m:placeholder xlName="_PLD_e65ae60c1beb4e5aa4e9c5250ffb188a" addr="T0R0C0S2_1"/>
      <m:placeholder xlName="_PLD_878e21e6ce5e466eb427e7200cc9e5bb" addr="T0R0C1S1_6"/>
      <m:placeholder xlName="_PLD_86b93e4e78424106874bd84d54fb24df" addr="T0R0C7S1_6"/>
      <m:placeholder xlName="_PLD_0154d63f3f2c482ebe0cf00460d87fbd" addr="T0R1C1S1_1"/>
      <m:placeholder xlName="_PLD_0f817c02730447aca042c6a931d447e8" addr="T0R1C2S1_1"/>
      <m:placeholder xlName="_PLD_553e0814e94f491784b88cc5aa7d6adb" addr="T0R1C3S1_1"/>
      <m:placeholder xlName="_PLD_3db84901ffa544afb174531f0384a82f" addr="T0R1C4S1_1"/>
      <m:placeholder xlName="_PLD_50c217cc437b4c3496e1aab622fba053" addr="T0R1C5S1_1"/>
      <m:placeholder xlName="_PLD_ccd9a8d3652e4485a763cfb37eb6fa37" addr="T0R1C6S1_1"/>
      <m:placeholder xlName="_PLD_ec07cd6513b74d49b586125d4b66dd0a" addr="T0R1C7S1_1"/>
      <m:placeholder xlName="_PLD_fb97ce65ab144768b4fb9978546fce37" addr="T0R1C8S1_1"/>
      <m:placeholder xlName="_PLD_412845ecfd2e45e8ae03b43cf8ca32f4" addr="T0R1C9S1_1"/>
      <m:placeholder xlName="_PLD_2a24724c66b442e994f401266a55d5df" addr="T0R1C10S1_1"/>
      <m:placeholder xlName="_PLD_937f557a5cdb4ea99a0a914e755f781f" addr="T0R1C11S1_1"/>
      <m:placeholder xlName="_PLD_c4b998a44f394e1eb0924a4f19409ff8" addr="T0R1C12S1_1"/>
      <m:tuple xlName="_GBC_feef0d2d67a84217a9099e634bb2d3df" concept="clcid-pte:ZhongYaoFeiQuanZiZiGongSiDeZhuYaoCaiWuXinXiMingXi" default_row="2" addr="T0R2C">
        <m:item xlName="_GBC_47bc477dc4754e4abd2f8c711daf4050" concept="clcid-pte:ZhongYaoFeiQuanZiZiGongSiDeZhuYaoCaiWuXinXiMingXiZiGongSiMingCheng" label="重要非全资子公司的主要财务信息明细-子公司名称" addr="T0R2C0S1_1" appId="_GBC_c10a7c42e39b4ac9a711e2e9d367799e"/>
        <m:item xlName="_GBC_e4074d7f7cd4405e91eac5f049dca7e2" concept="clcid-pte:ZhongYaoFeiQuanZiZiGongSiDeZhuYaoCaiWuXinXiMingXiLiuDongZiChan" label="重要非全资子公司的主要财务信息明细-流动资产" mulRef="_GBC_ba918360b15748859fb63cacad1f617d" unitRef="_GBC_af5cc4f1e7a74e3d8f9c9fea25fdf05f" addr="T0R2C1S1_1" formatStyle="Comma" appId="_GBC_c10a7c42e39b4ac9a711e2e9d367799e"/>
        <m:item xlName="_GBC_b0286703fff349229a49028f22bf3235" concept="clcid-pte:ZhongYaoFeiQuanZiZiGongSiDeZhuYaoCaiWuXinXiMingXiFeiLiuDongZiChan" label="重要非全资子公司的主要财务信息明细-非流动资产" mulRef="_GBC_ba918360b15748859fb63cacad1f617d" unitRef="_GBC_af5cc4f1e7a74e3d8f9c9fea25fdf05f" addr="T0R2C2S1_1" formatStyle="Comma" appId="_GBC_c10a7c42e39b4ac9a711e2e9d367799e"/>
        <m:item xlName="_GBC_c6950c8786e648f6a0b28084bb140226" concept="clcid-pte:ZhongYaoFeiQuanZiZiGongSiDeZhuYaoCaiWuXinXiMingXiZiChanHeJi" label="重要非全资子公司的主要财务信息明细-资产合计" mulRef="_GBC_ba918360b15748859fb63cacad1f617d" unitRef="_GBC_af5cc4f1e7a74e3d8f9c9fea25fdf05f" addr="T0R2C3S1_1" formatStyle="Comma" appId="_GBC_c10a7c42e39b4ac9a711e2e9d367799e">
          <m:complexRule comparator="Eq" title="重要非全资子公司的主要财务信息明细-资产合计" test=" $_GBC_e4074d7f7cd4405e91eac5f049dca7e2 +  $_GBC_b0286703fff349229a49028f22bf3235" id="C1f5cdeae53354aadb8721bc20f1455cf"/>
        </m:item>
        <m:item xlName="_GBC_37ad6b3699164553bff2446458d4282a" concept="clcid-pte:ZhongYaoFeiQuanZiZiGongSiDeZhuYaoCaiWuXinXiMingXiLiuDongFuZhai" label="重要非全资子公司的主要财务信息明细-流动负债" mulRef="_GBC_ba918360b15748859fb63cacad1f617d" unitRef="_GBC_af5cc4f1e7a74e3d8f9c9fea25fdf05f" addr="T0R2C4S1_1" formatStyle="Comma" appId="_GBC_c10a7c42e39b4ac9a711e2e9d367799e"/>
        <m:item xlName="_GBC_83b71020e2564d288d2d13d39e9e0d0c" concept="clcid-pte:ZhongYaoFeiQuanZiZiGongSiDeZhuYaoCaiWuXinXiMingXiFeiLiuDongFuZhai" label="重要非全资子公司的主要财务信息明细-非流动负债" mulRef="_GBC_ba918360b15748859fb63cacad1f617d" unitRef="_GBC_af5cc4f1e7a74e3d8f9c9fea25fdf05f" addr="T0R2C5S1_1" formatStyle="Comma" appId="_GBC_c10a7c42e39b4ac9a711e2e9d367799e"/>
        <m:item xlName="_GBC_e5d006bb445942a484d0c1dffe89d6a7" concept="clcid-pte:ZhongYaoFeiQuanZiZiGongSiDeZhuYaoCaiWuXinXiMingXiFuZhaiHeJi" label="重要非全资子公司的主要财务信息明细-负债合计" mulRef="_GBC_ba918360b15748859fb63cacad1f617d" unitRef="_GBC_af5cc4f1e7a74e3d8f9c9fea25fdf05f" addr="T0R2C6S1_1" formatStyle="Comma" appId="_GBC_c10a7c42e39b4ac9a711e2e9d367799e">
          <m:complexRule comparator="Eq" title="重要非全资子公司的主要财务信息明细-负债合计" test=" $_GBC_37ad6b3699164553bff2446458d4282a +  $_GBC_83b71020e2564d288d2d13d39e9e0d0c" id="Cf00e0937be2144919600bd60b472f848"/>
        </m:item>
        <m:item xlName="_GBC_23580993a82340578b8cb82c78e5b317" concept="clcid-pte:ZhongYaoFeiQuanZiZiGongSiDeZhuYaoCaiWuXinXiMingXiLiuDongZiChan" label="重要非全资子公司的主要财务信息明细-流动资产" periodRef="本期期初数" mulRef="_GBC_ba918360b15748859fb63cacad1f617d" unitRef="_GBC_af5cc4f1e7a74e3d8f9c9fea25fdf05f" addr="T0R2C7S1_1" formatStyle="Comma" appId="_GBC_c10a7c42e39b4ac9a711e2e9d367799e"/>
        <m:item xlName="_GBC_22b1682add794491a91ec4b40f917e28" concept="clcid-pte:ZhongYaoFeiQuanZiZiGongSiDeZhuYaoCaiWuXinXiMingXiFeiLiuDongZiChan" label="重要非全资子公司的主要财务信息明细-非流动资产" periodRef="本期期初数" mulRef="_GBC_ba918360b15748859fb63cacad1f617d" unitRef="_GBC_af5cc4f1e7a74e3d8f9c9fea25fdf05f" addr="T0R2C8S1_1" formatStyle="Comma" appId="_GBC_c10a7c42e39b4ac9a711e2e9d367799e"/>
        <m:item xlName="_GBC_3c65c46f6aab43a08b6e2e0210c10e51" concept="clcid-pte:ZhongYaoFeiQuanZiZiGongSiDeZhuYaoCaiWuXinXiMingXiZiChanHeJi" label="重要非全资子公司的主要财务信息明细-资产合计" periodRef="本期期初数" mulRef="_GBC_ba918360b15748859fb63cacad1f617d" unitRef="_GBC_af5cc4f1e7a74e3d8f9c9fea25fdf05f" addr="T0R2C9S1_1" formatStyle="Comma" appId="_GBC_c10a7c42e39b4ac9a711e2e9d367799e">
          <m:complexRule comparator="Eq" title="重要非全资子公司的主要财务信息明细-资产合计@本期期初数" test=" $_GBC_23580993a82340578b8cb82c78e5b317 +  $_GBC_22b1682add794491a91ec4b40f917e28" id="C20d30015db034f488ede3279a880f6f7"/>
        </m:item>
        <m:item xlName="_GBC_0309eb36a1b44a8a8f24f39c458efeb7" concept="clcid-pte:ZhongYaoFeiQuanZiZiGongSiDeZhuYaoCaiWuXinXiMingXiLiuDongFuZhai" label="重要非全资子公司的主要财务信息明细-流动负债" periodRef="本期期初数" mulRef="_GBC_ba918360b15748859fb63cacad1f617d" unitRef="_GBC_af5cc4f1e7a74e3d8f9c9fea25fdf05f" addr="T0R2C10S1_1" formatStyle="Comma" appId="_GBC_c10a7c42e39b4ac9a711e2e9d367799e"/>
        <m:item xlName="_GBC_5b4077f405d84851b7b2f5fb51ec7892" concept="clcid-pte:ZhongYaoFeiQuanZiZiGongSiDeZhuYaoCaiWuXinXiMingXiFeiLiuDongFuZhai" label="重要非全资子公司的主要财务信息明细-非流动负债" periodRef="本期期初数" mulRef="_GBC_ba918360b15748859fb63cacad1f617d" unitRef="_GBC_af5cc4f1e7a74e3d8f9c9fea25fdf05f" addr="T0R2C11S1_1" formatStyle="Comma" appId="_GBC_c10a7c42e39b4ac9a711e2e9d367799e"/>
        <m:item xlName="_GBC_c8dc74c1edfb42e9b858254aac8a5c65" concept="clcid-pte:ZhongYaoFeiQuanZiZiGongSiDeZhuYaoCaiWuXinXiMingXiFuZhaiHeJi" label="重要非全资子公司的主要财务信息明细-负债合计" periodRef="本期期初数" mulRef="_GBC_ba918360b15748859fb63cacad1f617d" unitRef="_GBC_af5cc4f1e7a74e3d8f9c9fea25fdf05f" addr="T0R2C12S1_1" formatStyle="Comma" appId="_GBC_c10a7c42e39b4ac9a711e2e9d367799e">
          <m:complexRule comparator="Eq" title="重要非全资子公司的主要财务信息明细-负债合计@本期期初数" test=" $_GBC_0309eb36a1b44a8a8f24f39c458efeb7 +  $_GBC_5b4077f405d84851b7b2f5fb51ec7892" id="C6aaff4a9dc13476f929b5a971d0e01cc"/>
        </m:item>
      </m:tuple>
      <m:placeholder xlName="_PLD_87ab97227e5642b988e110c5a28abb39" addr="T1R0C0S2_1"/>
      <m:placeholder xlName="_PLD_85f8737cebf641b2aa266052f4118ba8" addr="T1R0C1S1_4"/>
      <m:placeholder xlName="_PLD_32dac50c80854f268b3afdebef20332e" addr="T1R0C5S1_4"/>
      <m:placeholder xlName="_PLD_29407a86c6924579a6442f5b24e6decd" addr="T1R1C1S1_1"/>
      <m:placeholder xlName="_PLD_bc59f1076f2243f8984efa8df921ad2c" addr="T1R1C2S1_1"/>
      <m:placeholder xlName="_PLD_90f87c27e3fb4843892cceb85599a3b1" addr="T1R1C3S1_1"/>
      <m:placeholder xlName="_PLD_3126fb1798f346de95a39458603c4301" addr="T1R1C4S1_1"/>
      <m:placeholder xlName="_PLD_44ccfb27fc6943ac84654ba7c7bef20e" addr="T1R1C5S1_1"/>
      <m:placeholder xlName="_PLD_c08aebbf24fa4b1aa2c4f79232c7c630" addr="T1R1C6S1_1"/>
      <m:placeholder xlName="_PLD_0a377a03553f4d909179190a153a31b7" addr="T1R1C7S1_1"/>
      <m:placeholder xlName="_PLD_400ec1e5e2cf42e5a9eea23ddbdbd572" addr="T1R1C8S1_1"/>
      <m:tuple xlName="_GBC_330f4405d49345f7b8f69770f6eb8b4a" concept="clcid-pte:ZhongYaoFeiQuanZiZiGongSiDeZhuYaoCaiWuXinXiMingXi" default_row="2" addr="T1R2C">
        <m:item xlName="_GBC_9fc5faea7a4c4b1684eee563cf6d1956" concept="clcid-pte:ZhongYaoFeiQuanZiZiGongSiDeZhuYaoCaiWuXinXiMingXiZiGongSiMingCheng" label="重要非全资子公司的主要财务信息明细-子公司名称" addr="T1R2C0S1_1" appId="_GBC_c10a7c42e39b4ac9a711e2e9d367799e"/>
        <m:item xlName="_GBC_a06dcec8ebf741dca9582288b3cca466" concept="clcid-pte:ZhongYaoFeiQuanZiZiGongSiDeZhuYaoCaiWuXinXiMingXiYingYeShouRu" label="重要非全资子公司的主要财务信息明细-营业收入" mulRef="_GBC_ba918360b15748859fb63cacad1f617d" unitRef="_GBC_af5cc4f1e7a74e3d8f9c9fea25fdf05f" addr="T1R2C1S1_1" formatStyle="Comma" appId="_GBC_c10a7c42e39b4ac9a711e2e9d367799e"/>
        <m:item xlName="_GBC_2caebeef2940406a89553b657ad98250" concept="clcid-pte:ZhongYaoFeiQuanZiZiGongSiDeZhuYaoCaiWuXinXiMingXiJingLiRun" label="重要非全资子公司的主要财务信息明细-净利润" mulRef="_GBC_ba918360b15748859fb63cacad1f617d" unitRef="_GBC_af5cc4f1e7a74e3d8f9c9fea25fdf05f" addr="T1R2C2S1_1" formatStyle="Comma" appId="_GBC_c10a7c42e39b4ac9a711e2e9d367799e"/>
        <m:item xlName="_GBC_1c8a65629ed746d6958f547807baf4c0" concept="clcid-pte:ZhongYaoFeiQuanZiZiGongSiDeZhuYaoCaiWuXinXiMingXiZongHeShouYiZongE" label="重要非全资子公司的主要财务信息明细-综合收益总额" mulRef="_GBC_ba918360b15748859fb63cacad1f617d" unitRef="_GBC_af5cc4f1e7a74e3d8f9c9fea25fdf05f" addr="T1R2C3S1_1" formatStyle="Comma" appId="_GBC_c10a7c42e39b4ac9a711e2e9d367799e"/>
        <m:item xlName="_GBC_e9fc861d0dec42eba8a70f3841093cfc" concept="clcid-pte:ZhongYaoFeiQuanZiZiGongSiDeZhuYaoCaiWuXinXiMingXiJingYingHuoDongXianJinLiuLiang" label="重要非全资子公司的主要财务信息明细-经营活动现金流量" mulRef="_GBC_ba918360b15748859fb63cacad1f617d" unitRef="_GBC_af5cc4f1e7a74e3d8f9c9fea25fdf05f" addr="T1R2C4S1_1" formatStyle="Comma" appId="_GBC_c10a7c42e39b4ac9a711e2e9d367799e"/>
        <m:item xlName="_GBC_afc4176befe04c708d1db2687a1df772" concept="clcid-pte:ZhongYaoFeiQuanZiZiGongSiDeZhuYaoCaiWuXinXiMingXiYingYeShouRu" label="重要非全资子公司的主要财务信息明细-营业收入" periodRef="上年同期数" mulRef="_GBC_ba918360b15748859fb63cacad1f617d" unitRef="_GBC_af5cc4f1e7a74e3d8f9c9fea25fdf05f" addr="T1R2C5S1_1" formatStyle="Comma" appId="_GBC_c10a7c42e39b4ac9a711e2e9d367799e"/>
        <m:item xlName="_GBC_0eceb817ae4241e29199d3d5e649c455" concept="clcid-pte:ZhongYaoFeiQuanZiZiGongSiDeZhuYaoCaiWuXinXiMingXiJingLiRun" label="重要非全资子公司的主要财务信息明细-净利润" periodRef="上年同期数" mulRef="_GBC_ba918360b15748859fb63cacad1f617d" unitRef="_GBC_af5cc4f1e7a74e3d8f9c9fea25fdf05f" addr="T1R2C6S1_1" formatStyle="Comma" appId="_GBC_c10a7c42e39b4ac9a711e2e9d367799e"/>
        <m:item xlName="_GBC_8d75b95800ba4fe491c474d3ef5ad908" concept="clcid-pte:ZhongYaoFeiQuanZiZiGongSiDeZhuYaoCaiWuXinXiMingXiZongHeShouYiZongE" label="重要非全资子公司的主要财务信息明细-综合收益总额" periodRef="上年同期数" mulRef="_GBC_ba918360b15748859fb63cacad1f617d" unitRef="_GBC_af5cc4f1e7a74e3d8f9c9fea25fdf05f" addr="T1R2C7S1_1" formatStyle="Comma" appId="_GBC_c10a7c42e39b4ac9a711e2e9d367799e"/>
        <m:item xlName="_GBC_6f53b5875cfd46e988f49e4b1e97aaf4" concept="clcid-pte:ZhongYaoFeiQuanZiZiGongSiDeZhuYaoCaiWuXinXiMingXiJingYingHuoDongXianJinLiuLiang" label="重要非全资子公司的主要财务信息明细-经营活动现金流量" periodRef="上年同期数" mulRef="_GBC_ba918360b15748859fb63cacad1f617d" unitRef="_GBC_af5cc4f1e7a74e3d8f9c9fea25fdf05f" addr="T1R2C8S1_1" formatStyle="Comma" appId="_GBC_c10a7c42e39b4ac9a711e2e9d367799e"/>
      </m:tuple>
      <m:item xlName="_GBC_c6413d961dad488aae6fcf0fda2bf33a" concept="clcid-pte:ZhongYaoFeiQuanZiZiGongSiDeZhuYaoCaiWuXinXiDeQiTaShuoMing" label="重要非全资子公司的主要财务信息的其他说明" appId="_GBC_c10a7c42e39b4ac9a711e2e9d367799e"/>
    </m:section>
    <m:section xlName="_GBC_573fe5c9daf0401da00d8fc5198daf66" title="使用企业集团资产和清偿企业集团债务的重大限制" rules="R2015_R11_031" helpId="112001146">
      <m:item xlName="_GBC_d4aaeca51c634ffea892b86812441771" concept="clcid-ci-ar:ShiFouShiYongShiYongQiYeJiTuanZiChanHeQingChangQiYeJiTuanZhaiWuDeZhongDaXianZhi" label="是否适用：使用企业集团资产和清偿企业集团债务的重大限制" selectOptions="_buildInAppliance" controlType="CustomCheckbox" cRanges="{&quot;StartName&quot;:&quot;_GBC_d4aaeca51c634ffea892b86812441771&quot;,&quot;EndName&quot;:&quot;_GBC_70924ed1805b4f7e90bf0d6f19c9c169&quot;,&quot;CType&quot;:1,&quot;DisplayText&quot;:null}"/>
      <m:item xlName="_GBC_70924ed1805b4f7e90bf0d6f19c9c169" concept="clcid-pte:ShiYongQiYeJiTuanZiChanHeQingChangQiYeJiTuanZhaiWuDeZhongDaXianZhi" label="使用企业集团资产和清偿企业集团债务的重大限制" appId="_GBC_d4aaeca51c634ffea892b86812441771"/>
    </m:section>
    <m:section xlName="_GBC_114877d69a2e4b56b15fb618155127e3" title="向纳入合并财务报表范围的结构化主体提供的财务支持或其他支持" rules="R2015_R11_031" helpId="112001147">
      <m:item xlName="_GBC_3ee0b326ed544ace8060843f29d4cd3a" concept="clcid-ci-ar:ShiFouShiYongXiangNaRuHeBingCaiWuBaoBiaoFanWeiDeJieGouHuaZhuTiTiGongDeCaiWuZhiChiHuoQiTaZhiChi" label="是否适用：向纳入合并财务报表范围的结构化主体提供的财务支持或其他支持" selectOptions="_buildInAppliance" controlType="CustomCheckbox" cRanges="{&quot;StartName&quot;:&quot;_GBC_3ee0b326ed544ace8060843f29d4cd3a&quot;,&quot;EndName&quot;:&quot;_GBC_2f7c9214123a4cd3b90b7516dd19afee&quot;,&quot;CType&quot;:1,&quot;DisplayText&quot;:null}"/>
      <m:item xlName="_GBC_2f7c9214123a4cd3b90b7516dd19afee" concept="clcid-pte:XiangNaRuHeBingCaiWuBaoBiaoFanWeiDeJieGouHuaZhuTiTiGongDeCaiWuZhiChiHuoQiTaZhiChi" label="向纳入合并财务报表范围的结构化主体提供的财务支持或其他支持" appId="_GBC_3ee0b326ed544ace8060843f29d4cd3a"/>
    </m:section>
    <m:section xlName="_GBC_a0f68dc0a3a24efaa431a8c8d768eb0f" title="在子公司中的权益其他说明" rules="R2015_R11_031">
      <m:item xlName="_GBC_e4c33fb40d7a42bc88681a9facbf5ba5" concept="clcid-ci-ar:ShiFouShiYongZaiZiGongSiZhongDeQuanYiQiTaShuoMing" label="是否适用：在子公司中的权益其他说明" selectOptions="_buildInAppliance" controlType="CustomCheckbox" cRanges="{&quot;StartName&quot;:&quot;_GBC_e4c33fb40d7a42bc88681a9facbf5ba5&quot;,&quot;EndName&quot;:&quot;_GBC_ad30ae2d72e243c1a0376f0e3c4f0aae&quot;,&quot;CType&quot;:1,&quot;DisplayText&quot;:null}"/>
      <m:item xlName="_GBC_ad30ae2d72e243c1a0376f0e3c4f0aae" concept="clcid-pte:ZaiZiGongSiZhongDeQuanYiQiTaShuoMing" label="在子公司中的权益其他说明" appId="_GBC_e4c33fb40d7a42bc88681a9facbf5ba5"/>
    </m:section>
    <m:item xlName="_GBC_51b903d8f50944dc91e91048eba723cd" concept="clcid-ci-ar:ShiFouShiYongZaiZiGongSiDeSuoYouZheQuanYiFenEFaShengBianHuaQieRengKongZhiZiGongSiDeJiaoYi" label="是否适用：在子公司的所有者权益份额发生变化且仍控制子公司的交易" selectOptions="_buildInAppliance" controlType="CustomCheckbox" cRanges="{&quot;StartName&quot;:&quot;_GBC_51b903d8f50944dc91e91048eba723cd&quot;,&quot;EndName&quot;:&quot;_GBC_6c711c3ca3c84136960924716eba5afd&quot;,&quot;CType&quot;:1,&quot;DisplayText&quot;:null}"/>
    <m:section xlName="_GBC_97caac97575742839d3ba3c28ee39a60" title="在子公司所有者权益份额的变化情况的说明" rules="R2015_R11_031" helpId="112001148">
      <m:item xlName="_GBC_5c947dd5a782480db6a7bc23f9bdc87b" concept="clcid-ci-ar:ShiFouShiYongZaiZiGongSiSuoYouZheQuanYiFenEDeBianHuaQingKuangDeShuoMing" label="是否适用：在子公司所有者权益份额的变化情况的说明" selectOptions="_buildInAppliance" controlType="CustomCheckbox" cRanges="{&quot;StartName&quot;:&quot;_GBC_5c947dd5a782480db6a7bc23f9bdc87b&quot;,&quot;EndName&quot;:&quot;_GBC_841b13bceaa744e7899c18aef7689caf&quot;,&quot;CType&quot;:1,&quot;DisplayText&quot;:null}"/>
      <m:item xlName="_GBC_841b13bceaa744e7899c18aef7689caf" concept="clcid-pte:ZaiZiGongSiSuoYouZheQuanYiFenEDeBianHuaQingKuangDeShuoMing" label="在子公司所有者权益份额的变化情况的说明" appId="_GBC_5c947dd5a782480db6a7bc23f9bdc87b"/>
    </m:section>
    <m:section xlName="_GBC_6c711c3ca3c84136960924716eba5afd" title="交易对于少数股东权益及归属于母公司所有者权益的影响" rules="R2015_R11_031" repeatable="2" helpId="112001148">
      <m:item xlName="_GBC_69fd0bf0624a469082601f65caf81470" concept="clcid-ci-ar:ShiFouShiYongJiaoYiDuiYuShaoShuGuDongQuanYiJiGuiShuYuMuGongSiSuoYouZheQuanYiDeYingXiang" label="是否适用：交易对于少数股东权益及归属于母公司所有者权益的影响" selectOptions="_buildInAppliance" controlType="CustomCheckbox" cRanges="{&quot;StartName&quot;:&quot;_GBC_69fd0bf0624a469082601f65caf81470&quot;,&quot;EndName&quot;:&quot;_GBC_a96eb3c292014285bcb2b6ac24fac5df&quot;,&quot;CType&quot;:1,&quot;DisplayText&quot;:null}"/>
      <m:item xlName="_GBC_8bc6137285324aca89e1a906fd8e99b5" concept="clcid-ci-ar:DanWeiCaiWuFuZhuJiaoYiDuiYuShaoShuGuDongQuanYiJiGuiShuYuMuGongSiSuoYouZheQuanYiDeYingXiang" label="单位：财务附注：交易对于少数股东权益及归属于母公司所有者权益的影响" selectOptions="_buildInScales" controlType="Combobox" cellType="Scale" appId="_GBC_51b903d8f50944dc91e91048eba723cd"/>
      <m:item xlName="_GBC_228f6470ad5e43439d2bb8e05da1eddf" concept="clcid-ci-ar:BiZhongCaiWuFuZhuJiaoYiDuiYuShaoShuGuDongQuanYiJiGuiShuYuMuGongSiSuoYouZheQuanYiDeYingXiang" label="币种：财务附注：交易对于少数股东权益及归属于母公司所有者权益的影响" selectOptions="_buildInISO4217" controlType="Combobox" cellType="Measure" appId="_GBC_51b903d8f50944dc91e91048eba723cd"/>
      <m:item xlName="_GBC_0899d6221c8b4c0197d4cc9d76f2a617" concept="clcid-pte:JiaoYiDuiYuShaoShuGuDongQuanYiJiGuiShuYuMuGongSiSuoYouZheQuanYiDeYingXiangMingXiGongSiMingCheng" label="交易对于少数股东权益及归属于母公司所有者权益的影响明细-公司名称" addr="T0R0C1S1_1" tagAction="1" tupleRef="clcid-pte:JiaoYiDuiYuShaoShuGuDongQuanYiJiGuiShuYuMuGongSiSuoYouZheQuanYiDeYingXiangMingXi" appId="_GBC_69fd0bf0624a469082601f65caf81470" isCaption="true"/>
      <m:placeholder xlName="_PLD_41335b9d94714d50b7c3bc1db050ee28" addr="T0R1C0S1_2"/>
      <m:placeholder xlName="_PLD_fe11e212fd024265859c2b64afb3b15b" addr="T0R2C0S1_1"/>
      <m:item xlName="_GBC_50818bb6b5e14ca3ac6d017b79ba1ce9" concept="clcid-pte:JiaoYiDuiYuShaoShuGuDongQuanYiJiGuiShuYuMuGongSiSuoYouZheQuanYiDeYingXiangMingXiXianJin" label="交易对于少数股东权益及归属于母公司所有者权益的影响明细-现金" mulRef="_GBC_8bc6137285324aca89e1a906fd8e99b5" unitRef="_GBC_228f6470ad5e43439d2bb8e05da1eddf" addr="T0R2C1S1_1" formatStyle="Comma" tupleRef="clcid-pte:JiaoYiDuiYuShaoShuGuDongQuanYiJiGuiShuYuMuGongSiSuoYouZheQuanYiDeYingXiangMingXi" appId="_GBC_69fd0bf0624a469082601f65caf81470"/>
      <m:placeholder xlName="_PLD_94104652466e4907992718d25ff3eba3" addr="T0R3C0S1_1"/>
      <m:item xlName="_GBC_ec5f2f305e554e90b72a047b1122f2c2" concept="clcid-pte:JiaoYiDuiYuShaoShuGuDongQuanYiJiGuiShuYuMuGongSiSuoYouZheQuanYiDeYingXiangMingXiFeiXianJinZiChanDeGongYunJiaZhi" label="交易对于少数股东权益及归属于母公司所有者权益的影响明细-非现金资产的公允价值" mulRef="_GBC_8bc6137285324aca89e1a906fd8e99b5" unitRef="_GBC_228f6470ad5e43439d2bb8e05da1eddf" addr="T0R3C1S1_1" formatStyle="Comma" tupleRef="clcid-pte:JiaoYiDuiYuShaoShuGuDongQuanYiJiGuiShuYuMuGongSiSuoYouZheQuanYiDeYingXiangMingXi" appId="_GBC_69fd0bf0624a469082601f65caf81470"/>
      <m:item xlName="_GBC_627eb663e3114afdaa6d41212cd51fd0" concept="clcid-pte:GouMaiChengBenHuoChuZhiDuiJiaKeMuMingCheng1" label="购买成本或处置对价科目名称1" addr="T0R4C0S1_1" tagAction="1" appId="_GBC_69fd0bf0624a469082601f65caf81470" isSerialConcept="true" serialDirection="1" serialDefaultCount="2"/>
      <m:item xlName="_GBC_2010a6f7b507480a931be28f62fc671f" concept="clcid-pte:GouMaiChengBenHuoChuZhiDuiJiaKeMuMingChengJinE1" label="购买成本或处置对价科目名称金额1" mulRef="_GBC_8bc6137285324aca89e1a906fd8e99b5" unitRef="_GBC_228f6470ad5e43439d2bb8e05da1eddf" addr="T0R4C1S1_1" tagAction="1" formatStyle="Comma" tupleRef="clcid-pte:JiaoYiDuiYuShaoShuGuDongQuanYiJiGuiShuYuMuGongSiSuoYouZheQuanYiDeYingXiangMingXi" appId="_GBC_69fd0bf0624a469082601f65caf81470" isSerialConcept="true" serialDirection="1"/>
      <m:placeholder xlName="_PLD_ae2e27c8cd9d41f781f411ff8a921684" addr="T0R5C0S1_1"/>
      <m:item xlName="_GBC_77d1b37cd91c4d08b47b156df3bab09d" concept="clcid-pte:JiaoYiDuiYuShaoShuGuDongQuanYiJiGuiShuYuMuGongSiSuoYouZheQuanYiDeYingXiangMingXiGouMaiChengBenHuoChuZhiDuiJiaHeJi" label="交易对于少数股东权益及归属于母公司所有者权益的影响明细-购买成本或处置对价合计" mulRef="_GBC_8bc6137285324aca89e1a906fd8e99b5" unitRef="_GBC_228f6470ad5e43439d2bb8e05da1eddf" addr="T0R5C1S1_1" formatStyle="Comma" tupleRef="clcid-pte:JiaoYiDuiYuShaoShuGuDongQuanYiJiGuiShuYuMuGongSiSuoYouZheQuanYiDeYingXiangMingXi" appId="_GBC_69fd0bf0624a469082601f65caf81470">
        <m:complexRule comparator="Eq" title="交易对于少数股东权益及归属于母公司所有者权益的影响明细-购买成本或处置对价合计" test=" $_GBC_50818bb6b5e14ca3ac6d017b79ba1ce9 +  $_GBC_ec5f2f305e554e90b72a047b1122f2c2 +  $_GBC_2010a6f7b507480a931be28f62fc671f" id="C6aa6c7049ba649aa8869684f459548bd" serialType="1"/>
      </m:item>
      <m:placeholder xlName="_PLD_837ec3f4b2a7400ca6084c2167cd8a09" addr="T0R6C0S1_1"/>
      <m:item xlName="_GBC_24c956471305437a964c3c5402c49d6a" concept="clcid-pte:JiaoYiDuiYuShaoShuGuDongQuanYiJiGuiShuYuMuGongSiSuoYouZheQuanYiDeYingXiangMingXiAnQuDeHuoChuZhiDeGuQuanBiLiJiSuanDeZiGongSiJingZiChanFenE" label="交易对于少数股东权益及归属于母公司所有者权益的影响明细-按取得或处置的股权比例计算的子公司净资产份额" mulRef="_GBC_8bc6137285324aca89e1a906fd8e99b5" unitRef="_GBC_228f6470ad5e43439d2bb8e05da1eddf" addr="T0R6C1S1_1" formatStyle="Comma" tupleRef="clcid-pte:JiaoYiDuiYuShaoShuGuDongQuanYiJiGuiShuYuMuGongSiSuoYouZheQuanYiDeYingXiangMingXi" appId="_GBC_69fd0bf0624a469082601f65caf81470"/>
      <m:placeholder xlName="_PLD_57afdb429f754f0795030cc5322632d6" addr="T0R7C0S1_1"/>
      <m:item xlName="_GBC_90d56533e70c4d509839b440ba0ebf77" concept="clcid-pte:JiaoYiDuiYuShaoShuGuDongQuanYiJiGuiShuYuMuGongSiSuoYouZheQuanYiDeYingXiangMingXiChaE" label="交易对于少数股东权益及归属于母公司所有者权益的影响明细-差额" mulRef="_GBC_8bc6137285324aca89e1a906fd8e99b5" unitRef="_GBC_228f6470ad5e43439d2bb8e05da1eddf" addr="T0R7C1S1_1" formatStyle="Comma" tupleRef="clcid-pte:JiaoYiDuiYuShaoShuGuDongQuanYiJiGuiShuYuMuGongSiSuoYouZheQuanYiDeYingXiangMingXi" appId="_GBC_69fd0bf0624a469082601f65caf81470">
        <m:complexRule comparator="Eq" title="交易对于少数股东权益及归属于母公司所有者权益的影响明细-差额" test=" $_GBC_77d1b37cd91c4d08b47b156df3bab09d -  $_GBC_24c956471305437a964c3c5402c49d6a" id="C66911cab984c46fa802bcc1a9f3790bd"/>
      </m:item>
      <m:placeholder xlName="_PLD_797f4b37902241fcb19b821db5fb3a40" addr="T0R8C0S1_1"/>
      <m:item xlName="_GBC_874bef99c6934e35a71ab5f02416e42e" concept="clcid-pte:JiaoYiDuiYuShaoShuGuDongQuanYiJiGuiShuYuMuGongSiSuoYouZheQuanYiDeYingXiangMingXiDiaoZhengZiBenGongJi" label="交易对于少数股东权益及归属于母公司所有者权益的影响明细-调整资本公积" mulRef="_GBC_8bc6137285324aca89e1a906fd8e99b5" unitRef="_GBC_228f6470ad5e43439d2bb8e05da1eddf" addr="T0R8C1S1_1" formatStyle="Comma" tupleRef="clcid-pte:JiaoYiDuiYuShaoShuGuDongQuanYiJiGuiShuYuMuGongSiSuoYouZheQuanYiDeYingXiangMingXi" appId="_GBC_69fd0bf0624a469082601f65caf81470"/>
      <m:placeholder xlName="_PLD_9b13f3ff4b3c4f4cbb3e587894033d8e" addr="T0R9C0S1_1"/>
      <m:item xlName="_GBC_8b5ba26d676f4949aa01347d924f8725" concept="clcid-pte:JiaoYiDuiYuShaoShuGuDongQuanYiJiGuiShuYuMuGongSiSuoYouZheQuanYiDeYingXiangMingXiDiaoZhengYingYuGongJi" label="交易对于少数股东权益及归属于母公司所有者权益的影响明细-调整盈余公积" mulRef="_GBC_8bc6137285324aca89e1a906fd8e99b5" unitRef="_GBC_228f6470ad5e43439d2bb8e05da1eddf" addr="T0R9C1S1_1" formatStyle="Comma" tupleRef="clcid-pte:JiaoYiDuiYuShaoShuGuDongQuanYiJiGuiShuYuMuGongSiSuoYouZheQuanYiDeYingXiangMingXi" appId="_GBC_69fd0bf0624a469082601f65caf81470"/>
      <m:placeholder xlName="_PLD_08623083664b410cab5b974bbcb2906b" addr="T0R10C0S1_1"/>
      <m:item xlName="_GBC_a96eb3c292014285bcb2b6ac24fac5df" concept="clcid-pte:JiaoYiDuiYuShaoShuGuDongQuanYiJiGuiShuYuMuGongSiSuoYouZheQuanYiDeYingXiangMingXiDiaoZhengWeiFenPeiLiRun" label="交易对于少数股东权益及归属于母公司所有者权益的影响明细-调整未分配利润" mulRef="_GBC_8bc6137285324aca89e1a906fd8e99b5" unitRef="_GBC_228f6470ad5e43439d2bb8e05da1eddf" addr="T0R10C1S1_1" formatStyle="Comma" tupleRef="clcid-pte:JiaoYiDuiYuShaoShuGuDongQuanYiJiGuiShuYuMuGongSiSuoYouZheQuanYiDeYingXiangMingXi" appId="_GBC_69fd0bf0624a469082601f65caf81470"/>
      <m:item xlName="_GBC_6634a1e782124f6cbe61f6956908ceac" concept="clcid-ci-ar:ShiFouShiYongZaiZiGongSiDeSuoYouZheQuanYiFenEFaShengBianHuaQieRengKongZhiZiGongSiDeJiaoYiDeShuoMing" label="是否适用：在子公司的所有者权益份额发生变化且仍控制子公司的交易的说明" selectOptions="_buildInAppliance" controlType="CustomCheckbox" cRanges="{&quot;StartName&quot;:&quot;_GBC_6634a1e782124f6cbe61f6956908ceac&quot;,&quot;EndName&quot;:&quot;_GBC_94f1d878c03b476980af0f649abdb28a&quot;,&quot;CType&quot;:1,&quot;DisplayText&quot;:null}"/>
      <m:item xlName="_GBC_94f1d878c03b476980af0f649abdb28a" concept="clcid-pte:ZaiZiGongSiDeSuoYouZheQuanYiFenEFaShengBianHuaQieRengKongZhiZiGongSiDeJiaoYiDeShuoMing" label="在子公司的所有者权益份额发生变化且仍控制子公司的交易的说明" appId="_GBC_6634a1e782124f6cbe61f6956908ceac"/>
      <m:virtualTuples>
        <m:virtualTuple id="a9fdb2d5-7ad8-422d-a254-52ab68cea10e" tupleRef="clcid-pte:JiaoYiDuiYuShaoShuGuDongQuanYiJiGuiShuYuMuGongSiSuoYouZheQuanYiDeYingXiangMingXi" extendDirection="2" splitWidth="1"/>
      </m:virtualTuples>
    </m:section>
    <m:item xlName="_GBC_31c0fe2068fd4a898e4269df4925aa76" concept="clcid-ci-ar:ShiFouShiYongZaiHeYingQiYeHuoLianYingQiYeZhongDeQuanYi" label="是否适用：在合营企业或联营企业中的权益" selectOptions="_buildInAppliance" controlType="CustomCheckbox" cRanges="{&quot;StartName&quot;:&quot;_GBC_31c0fe2068fd4a898e4269df4925aa76&quot;,&quot;EndName&quot;:&quot;_GBC_1f803def681a42ba91cdde709a067b3f&quot;,&quot;CType&quot;:1,&quot;DisplayText&quot;:null}"/>
    <m:section xlName="_GBC_49e4a749316a464e89485cda5774fc07" title="重要的合营企业或联营企业" rules="R2015_R11_031" helpId="112001149">
      <m:item xlName="_GBC_9973f58b324442d5879a5d16db0cd410" concept="clcid-ci-ar:ShiFouShiYongZhongYaoDeHeYingQiYeHuoLianYingQiYe" label="是否适用：重要的合营企业或联营企业" selectOptions="_buildInAppliance" controlType="CustomCheckbox" cRanges="{&quot;StartName&quot;:&quot;_GBC_9973f58b324442d5879a5d16db0cd410&quot;,&quot;EndName&quot;:&quot;_GBC_08a71a8c491f4c758da0748f7570fb28&quot;,&quot;CType&quot;:1,&quot;DisplayText&quot;:null}"/>
      <m:item xlName="_GBC_fc95ad35f9984b0c84fb2b12ebeb41db" concept="clcid-ci-ar:DanWeiCaiWuFuZhuZhongYaoDeHeYingQiYeHuoLianYingQiYe" label="单位：财务附注：重要的合营企业或联营企业" selectOptions="_buildInScales" controlType="Combobox" cellType="Scale" appId="_GBC_31c0fe2068fd4a898e4269df4925aa76"/>
      <m:item xlName="_GBC_95704750d12047c58739551fa2558d6f" concept="clcid-ci-ar:BiZhongCaiWuFuZhuZhongYaoDeHeYingQiYeHuoLianYingQiYe" label="币种：财务附注：重要的合营企业或联营企业" selectOptions="_buildInISO4217" controlType="Combobox" cellType="Measure" appId="_GBC_31c0fe2068fd4a898e4269df4925aa76"/>
      <m:placeholder xlName="_PLD_bb6c91c88e754a5da79068d0b040e152" addr="T0R0C0S2_1"/>
      <m:placeholder xlName="_PLD_4c91d89257574ee1a96260d900b3fdde" addr="T0R0C1S2_1"/>
      <m:placeholder xlName="_PLD_4a3c73442b1947fdae2c0b554e7271a4" addr="T0R0C2S2_1"/>
      <m:placeholder xlName="_PLD_07a3d19678c44b0db85c15fb74bf76d2" addr="T0R0C3S2_1"/>
      <m:placeholder xlName="_PLD_cb67afe7283245a29754ca96c69b89fc" addr="T0R0C4S1_2"/>
      <m:placeholder xlName="_PLD_0fddec4e9b2a4b3aa0f9a08859cf498e" addr="T0R0C6S2_1"/>
      <m:placeholder xlName="_PLD_42f14f52720a4c87819c9bd5211ded18" addr="T0R1C4S1_1"/>
      <m:placeholder xlName="_PLD_e87318e11f6c4411aa17083e3a10cd90" addr="T0R1C5S1_1"/>
      <m:tuple xlName="_GBC_a1baed559822472c8c78b05cadceb35a" concept="clcid-pte:ZhongYaoDeHeYingQiYeHuoLianYingQiYeMingXi" default_row="2" addr="T0R2C">
        <m:item xlName="_GBC_6012a21c254c4c55a99615b2a357b5b8" concept="clcid-pte:ZhongYaoDeHeYingQiYeHuoLianYingQiYeMingXiQiYeMingCheng" label="重要的合营企业或联营企业明细-企业名称" addr="T0R2C0S1_1" appId="_GBC_9973f58b324442d5879a5d16db0cd410"/>
        <m:item xlName="_GBC_ef30cc704c124c95a209c58df521b41e" concept="clcid-pte:ZhongYaoDeHeYingQiYeHuoLianYingQiYeMingXiZhuYaoJingYingDi" label="重要的合营企业或联营企业明细-主要经营地" addr="T0R2C1S1_1" appId="_GBC_9973f58b324442d5879a5d16db0cd410"/>
        <m:item xlName="_GBC_15b7a7fea18b45519acd2ab5159490a8" concept="clcid-pte:ZhongYaoDeHeYingQiYeHuoLianYingQiYeMingXiZhuCeDi" label="重要的合营企业或联营企业明细-注册地" addr="T0R2C2S1_1" appId="_GBC_9973f58b324442d5879a5d16db0cd410"/>
        <m:item xlName="_GBC_6e3df046930f4577aed2e2f0d183f386" concept="clcid-pte:ZhongYaoDeHeYingQiYeHuoLianYingQiYeMingXiYeWuXingZhi" label="重要的合营企业或联营企业明细-业务性质" addr="T0R2C3S1_1" appId="_GBC_9973f58b324442d5879a5d16db0cd410"/>
        <m:item xlName="_GBC_45b510b1f8bd4167b53720c6d055ce31" concept="clcid-pte:ZhongYaoDeHeYingQiYeHuoLianYingQiYeMingXiZhiJieChiGuBiLi" label="重要的合营企业或联营企业明细-直接持股比例" addr="T0R2C4S1_1" baseScale="0.01" formatStyle="Comma" appId="_GBC_9973f58b324442d5879a5d16db0cd410"/>
        <m:item xlName="_GBC_2fb425eda7a04343a70fc45ef307b870" concept="clcid-pte:ZhongYaoDeHeYingQiYeHuoLianYingQiYeMingXiJianJieChiGuBiLi" label="重要的合营企业或联营企业明细-间接持股比例" addr="T0R2C5S1_1" baseScale="0.01" formatStyle="Comma" appId="_GBC_9973f58b324442d5879a5d16db0cd410"/>
        <m:item xlName="_GBC_7f56437342a045aa91ca3cd5786c836e" concept="clcid-pte:ZhongYaoDeHeYingQiYeHuoLianYingQiYeMingXiDuiHeYingQiYeHuoLianYingQiYeTouZiDeHuiJiChuLiFangFa" label="重要的合营企业或联营企业明细-对合营企业或联营企业投资的会计处理方法" addr="T0R2C6S1_1" formatStyle="Comma" appId="_GBC_9973f58b324442d5879a5d16db0cd410"/>
      </m:tuple>
      <m:item xlName="_GBC_b18385c11aff4424b360bd0cb4f81376" concept="clcid-pte:ZaiHeYingQiYeHuoLianYingQiYeDeChiGuBiLiBuTongYuBiaoJueQuanBiLiDeShuoMing" label="在合营企业或联营企业的持股比例不同于表决权比例的说明" appId="_GBC_9973f58b324442d5879a5d16db0cd410"/>
      <m:item xlName="_GBC_08a71a8c491f4c758da0748f7570fb28" concept="clcid-pte:ChiYouYiXiaBiaoJueQuanDanJuYouZhongDaYingXiangHuoZheChiYouHuoYiShangBiaoJueQuanDanBuJuYouZhongDaYingXiangDeYiJu" label="持有20%以下表决权但具有重大影响，或者持有20%或以上表决权但不具有重大影响的依据" appId="_GBC_9973f58b324442d5879a5d16db0cd410"/>
    </m:section>
    <m:item xlName="_GBC_6241cde567c342139ae6186afeea9fb4" concept="clcid-ci-ar:ShiFouShiYongZhongYaoHeYingQiYeDeZhuYaoCaiWuXinXi" label="是否适用：重要合营企业的主要财务信息" selectOptions="_buildInAppliance" controlType="CustomCheckbox" cRanges="{&quot;StartName&quot;:&quot;_GBC_6241cde567c342139ae6186afeea9fb4&quot;,&quot;EndName&quot;:&quot;_SEC_0483769c9bcc4791905aa1394ee961e5&quot;,&quot;CType&quot;:1,&quot;DisplayText&quot;:null}"/>
    <m:item xlName="_GBC_c3e62c0d62494c0bb865a164a263a4c4" concept="clcid-ci-ar:DanWeiCaiWuFuZhuZhongYaoHeYingQiYeDeZhuYaoCaiWuXinXi" label="单位：财务附注：重要合营企业的主要财务信息" selectOptions="_buildInScales" controlType="Combobox" cellType="Scale" appId="_GBC_31c0fe2068fd4a898e4269df4925aa76"/>
    <m:item xlName="_GBC_dbf325e8ec10449ba127b878292f7bb1" concept="clcid-ci-ar:BiZhongCaiWuFuZhuZhongYaoHeYingQiYeDeZhuYaoCaiWuXinXi" label="币种：财务附注：重要合营企业的主要财务信息" selectOptions="_buildInISO4217" controlType="Combobox" cellType="Measure" appId="_GBC_31c0fe2068fd4a898e4269df4925aa76"/>
    <m:section xlName="_GBC_10d60417c84d41c1b3386073557d9d05" title="重要合营企业的主要财务信息" repeatable="1" rules="" helpId="112001150">
      <m:item xlName="_GBC_da11830a5c6b42c39530416552c12c01" concept="clcid-pte:ZhongYaoHeYingQiYeDeZhuYaoCaiWuXinXiFaShengQiJian" label="重要合营企业的主要财务信息-发生期间" addr="T0R0C1S1_1" tagAction="1" tupleRef="clcid-pte:ZhongYaoHeYingQiYeDeZhuYaoCaiWuXinXiMingXi" appId="_GBC_6241cde567c342139ae6186afeea9fb4" isCaption="true" defaultGridSpan="2"/>
      <m:item xlName="_GBC_8b48c7a93d07464a88248f7e552371a3" concept="clcid-pte:ZhongYaoHeYingQiYeDeZhuYaoCaiWuXinXiFaShengQiJian" label="重要合营企业的主要财务信息-发生期间" addr="T0R0C2S1_1" tagAction="1" tupleRef="clcid-pte:ZhongYaoHeYingQiYeDeZhuYaoCaiWuXinXiMingXi" appId="_GBC_6241cde567c342139ae6186afeea9fb4" isCaption="true" defaultGridSpan="2"/>
      <m:item xlName="_GBC_e077e2339b1f4658bf544e31ba3de781" concept="clcid-pte:ZhongYaoHeYingQiYeDeZhuYaoCaiWuXinXiMingXiQiYeMingCheng" label="重要合营企业的主要财务信息明细-企业名称" addr="T0R1C1S1_1" tupleRef="clcid-pte:ZhongYaoHeYingQiYeDeZhuYaoCaiWuXinXiMingXi" appId="_GBC_6241cde567c342139ae6186afeea9fb4" isCaption="true" iterateOptionValue="2"/>
      <m:item xlName="_GBC_91821fbf821f4c84aab1cef27fefc9c3" concept="clcid-pte:ZhongYaoHeYingQiYeDeZhuYaoCaiWuXinXiMingXiQiYeMingCheng" label="重要合营企业的主要财务信息明细-企业名称" periodRef="上年同期数" addr="T0R1C2S1_1" tupleRef="clcid-pte:ZhongYaoHeYingQiYeDeZhuYaoCaiWuXinXiMingXi" appId="_GBC_6241cde567c342139ae6186afeea9fb4" isCaption="true" iterateOptionValue="2"/>
      <m:placeholder xlName="_PLD_9ffd789dbb7c4e31a572484ad2a45296" addr="T0R2C0S1_1"/>
      <m:item xlName="_GBC_d9f613f0aa4e4fe79acc2bee825b353d" concept="clcid-pte:ZhongYaoHeYingQiYeDeZhuYaoCaiWuXinXiMingXiLiuDongZiChan" label="重要合营企业的主要财务信息明细-流动资产" mulRef="_GBC_c3e62c0d62494c0bb865a164a263a4c4" unitRef="_GBC_dbf325e8ec10449ba127b878292f7bb1" addr="T0R2C1S1_1" formatStyle="Comma" tupleRef="clcid-pte:ZhongYaoHeYingQiYeDeZhuYaoCaiWuXinXiMingXi" appId="_GBC_6241cde567c342139ae6186afeea9fb4"/>
      <m:item xlName="_GBC_663e3dc578cd420abbc76ddede78c2e9" concept="clcid-pte:ZhongYaoHeYingQiYeDeZhuYaoCaiWuXinXiMingXiLiuDongZiChan" label="重要合营企业的主要财务信息明细-流动资产" periodRef="本期期初数" mulRef="_GBC_c3e62c0d62494c0bb865a164a263a4c4" unitRef="_GBC_dbf325e8ec10449ba127b878292f7bb1" addr="T0R2C2S1_1" formatStyle="Comma" tupleRef="clcid-pte:ZhongYaoHeYingQiYeDeZhuYaoCaiWuXinXiMingXi" appId="_GBC_6241cde567c342139ae6186afeea9fb4"/>
      <m:placeholder xlName="_PLD_4a1cb8726d22436e8ba85b1197592f0a" addr="T0R3C0S1_1"/>
      <m:item xlName="_GBC_befdfda671a54d9094f03a79b1c23971" concept="clcid-pte:ZhongYaoHeYingQiYeDeZhuYaoCaiWuXinXiMingXiXianJinHeXianJinDengJiaWu" label="重要合营企业的主要财务信息明细-现金和现金等价物" mulRef="_GBC_c3e62c0d62494c0bb865a164a263a4c4" unitRef="_GBC_dbf325e8ec10449ba127b878292f7bb1" addr="T0R3C1S1_1" formatStyle="Comma" tupleRef="clcid-pte:ZhongYaoHeYingQiYeDeZhuYaoCaiWuXinXiMingXi" appId="_GBC_6241cde567c342139ae6186afeea9fb4"/>
      <m:item xlName="_GBC_f8393275fbeb467dae282ccb1068a6ce" concept="clcid-pte:ZhongYaoHeYingQiYeDeZhuYaoCaiWuXinXiMingXiXianJinHeXianJinDengJiaWu" label="重要合营企业的主要财务信息明细-现金和现金等价物" periodRef="本期期初数" mulRef="_GBC_c3e62c0d62494c0bb865a164a263a4c4" unitRef="_GBC_dbf325e8ec10449ba127b878292f7bb1" addr="T0R3C2S1_1" formatStyle="Comma" tupleRef="clcid-pte:ZhongYaoHeYingQiYeDeZhuYaoCaiWuXinXiMingXi" appId="_GBC_6241cde567c342139ae6186afeea9fb4"/>
      <m:placeholder xlName="_PLD_8daba09b5ed94a8aa6505b7dca05cf2d" addr="T0R4C0S1_1"/>
      <m:item xlName="_GBC_d9b27e6e93f84fa1b65b3e9886900cc8" concept="clcid-pte:ZhongYaoHeYingQiYeDeZhuYaoCaiWuXinXiMingXiFeiLiuDongZiChan" label="重要合营企业的主要财务信息明细-非流动资产" mulRef="_GBC_c3e62c0d62494c0bb865a164a263a4c4" unitRef="_GBC_dbf325e8ec10449ba127b878292f7bb1" addr="T0R4C1S1_1" formatStyle="Comma" tupleRef="clcid-pte:ZhongYaoHeYingQiYeDeZhuYaoCaiWuXinXiMingXi" appId="_GBC_6241cde567c342139ae6186afeea9fb4"/>
      <m:item xlName="_GBC_28ff5bb4f0f240d682ce4684e206a2e5" concept="clcid-pte:ZhongYaoHeYingQiYeDeZhuYaoCaiWuXinXiMingXiFeiLiuDongZiChan" label="重要合营企业的主要财务信息明细-非流动资产" periodRef="本期期初数" mulRef="_GBC_c3e62c0d62494c0bb865a164a263a4c4" unitRef="_GBC_dbf325e8ec10449ba127b878292f7bb1" addr="T0R4C2S1_1" formatStyle="Comma" tupleRef="clcid-pte:ZhongYaoHeYingQiYeDeZhuYaoCaiWuXinXiMingXi" appId="_GBC_6241cde567c342139ae6186afeea9fb4"/>
      <m:placeholder xlName="_PLD_209fecb4fe724c6b82edb31261c6cd74" addr="T0R5C0S1_1"/>
      <m:item xlName="_GBC_1c4528cd17fb471d97a9cb07d4840c7e" concept="clcid-pte:ZhongYaoHeYingQiYeDeZhuYaoCaiWuXinXiMingXiZiChanHeJi" label="重要合营企业的主要财务信息明细-资产合计" mulRef="_GBC_c3e62c0d62494c0bb865a164a263a4c4" unitRef="_GBC_dbf325e8ec10449ba127b878292f7bb1" addr="T0R5C1S1_1" formatStyle="Comma" tupleRef="clcid-pte:ZhongYaoHeYingQiYeDeZhuYaoCaiWuXinXiMingXi" appId="_GBC_6241cde567c342139ae6186afeea9fb4">
        <m:complexRule comparator="Eq" title="重要合营企业的主要财务信息明细-资产合计" test=" $_GBC_d9f613f0aa4e4fe79acc2bee825b353d +  $_GBC_d9b27e6e93f84fa1b65b3e9886900cc8" id="Ce22ebe6f844243a88a896fc096477bcb"/>
      </m:item>
      <m:item xlName="_GBC_bf6104b14a214dc48e65952fa308a9a6" concept="clcid-pte:ZhongYaoHeYingQiYeDeZhuYaoCaiWuXinXiMingXiZiChanHeJi" label="重要合营企业的主要财务信息明细-资产合计" periodRef="本期期初数" mulRef="_GBC_c3e62c0d62494c0bb865a164a263a4c4" unitRef="_GBC_dbf325e8ec10449ba127b878292f7bb1" addr="T0R5C2S1_1" formatStyle="Comma" tupleRef="clcid-pte:ZhongYaoHeYingQiYeDeZhuYaoCaiWuXinXiMingXi" appId="_GBC_6241cde567c342139ae6186afeea9fb4">
        <m:complexRule comparator="Eq" title="重要合营企业的主要财务信息明细-资产合计@本期期初数" test=" $_GBC_663e3dc578cd420abbc76ddede78c2e9 +  $_GBC_28ff5bb4f0f240d682ce4684e206a2e5" id="C1fd9eca78c994074bf82b440433ea06c"/>
      </m:item>
      <m:placeholder xlName="_PLD_291f61d225924e5da921a8e369c7fcde" addr="T0R7C0S1_1"/>
      <m:item xlName="_GBC_d679c1911a3d47eb8fe0b16abcd86ddb" concept="clcid-pte:ZhongYaoHeYingQiYeDeZhuYaoCaiWuXinXiMingXiLiuDongFuZhai" label="重要合营企业的主要财务信息明细-流动负债" mulRef="_GBC_c3e62c0d62494c0bb865a164a263a4c4" unitRef="_GBC_dbf325e8ec10449ba127b878292f7bb1" addr="T0R7C1S1_1" formatStyle="Comma" tupleRef="clcid-pte:ZhongYaoHeYingQiYeDeZhuYaoCaiWuXinXiMingXi" appId="_GBC_6241cde567c342139ae6186afeea9fb4"/>
      <m:item xlName="_GBC_724883561bcd4460920c9c26754127b8" concept="clcid-pte:ZhongYaoHeYingQiYeDeZhuYaoCaiWuXinXiMingXiLiuDongFuZhai" label="重要合营企业的主要财务信息明细-流动负债" periodRef="本期期初数" mulRef="_GBC_c3e62c0d62494c0bb865a164a263a4c4" unitRef="_GBC_dbf325e8ec10449ba127b878292f7bb1" addr="T0R7C2S1_1" formatStyle="Comma" tupleRef="clcid-pte:ZhongYaoHeYingQiYeDeZhuYaoCaiWuXinXiMingXi" appId="_GBC_6241cde567c342139ae6186afeea9fb4"/>
      <m:placeholder xlName="_PLD_643910084d97437289ebe011c14a7740" addr="T0R8C0S1_1"/>
      <m:item xlName="_GBC_b801afee2c7542b58a061ceabb626b3b" concept="clcid-pte:ZhongYaoHeYingQiYeDeZhuYaoCaiWuXinXiMingXiFeiLiuDongFuZhai" label="重要合营企业的主要财务信息明细-非流动负债" mulRef="_GBC_c3e62c0d62494c0bb865a164a263a4c4" unitRef="_GBC_dbf325e8ec10449ba127b878292f7bb1" addr="T0R8C1S1_1" formatStyle="Comma" tupleRef="clcid-pte:ZhongYaoHeYingQiYeDeZhuYaoCaiWuXinXiMingXi" appId="_GBC_6241cde567c342139ae6186afeea9fb4"/>
      <m:item xlName="_GBC_cc374a0081644258bf243ab1b8c55eb2" concept="clcid-pte:ZhongYaoHeYingQiYeDeZhuYaoCaiWuXinXiMingXiFeiLiuDongFuZhai" label="重要合营企业的主要财务信息明细-非流动负债" periodRef="本期期初数" mulRef="_GBC_c3e62c0d62494c0bb865a164a263a4c4" unitRef="_GBC_dbf325e8ec10449ba127b878292f7bb1" addr="T0R8C2S1_1" formatStyle="Comma" tupleRef="clcid-pte:ZhongYaoHeYingQiYeDeZhuYaoCaiWuXinXiMingXi" appId="_GBC_6241cde567c342139ae6186afeea9fb4"/>
      <m:placeholder xlName="_PLD_be9244ec1126466da3e10cb989b74143" addr="T0R9C0S1_1"/>
      <m:item xlName="_GBC_ca6db8e916f44fa58c7b9c64f865cef7" concept="clcid-pte:ZhongYaoHeYingQiYeDeZhuYaoCaiWuXinXiMingXiFuZhaiHeJi" label="重要合营企业的主要财务信息明细-负债合计" mulRef="_GBC_c3e62c0d62494c0bb865a164a263a4c4" unitRef="_GBC_dbf325e8ec10449ba127b878292f7bb1" addr="T0R9C1S1_1" formatStyle="Comma" tupleRef="clcid-pte:ZhongYaoHeYingQiYeDeZhuYaoCaiWuXinXiMingXi" appId="_GBC_6241cde567c342139ae6186afeea9fb4">
        <m:complexRule comparator="Eq" title="重要合营企业的主要财务信息明细-负债合计" test=" $_GBC_d679c1911a3d47eb8fe0b16abcd86ddb +  $_GBC_b801afee2c7542b58a061ceabb626b3b" id="C605fdd9569f242fc88f9a5cd95560dff"/>
      </m:item>
      <m:item xlName="_GBC_927d7e4888064462b5ad4cdc5cfd63f4" concept="clcid-pte:ZhongYaoHeYingQiYeDeZhuYaoCaiWuXinXiMingXiFuZhaiHeJi" label="重要合营企业的主要财务信息明细-负债合计" periodRef="本期期初数" mulRef="_GBC_c3e62c0d62494c0bb865a164a263a4c4" unitRef="_GBC_dbf325e8ec10449ba127b878292f7bb1" addr="T0R9C2S1_1" formatStyle="Comma" tupleRef="clcid-pte:ZhongYaoHeYingQiYeDeZhuYaoCaiWuXinXiMingXi" appId="_GBC_6241cde567c342139ae6186afeea9fb4">
        <m:complexRule comparator="Eq" title="重要合营企业的主要财务信息明细-负债合计@本期期初数" test=" $_GBC_724883561bcd4460920c9c26754127b8 +  $_GBC_cc374a0081644258bf243ab1b8c55eb2" id="C99114026cd324a8688f1dde030f3fc7f"/>
      </m:item>
      <m:placeholder xlName="_PLD_6bb24344915e4616893091f1510047ca" addr="T0R11C0S1_1"/>
      <m:item xlName="_GBC_d468ad5da5654c739e0fb51c93dd5a3d" concept="clcid-pte:ZhongYaoHeYingQiYeDeZhuYaoCaiWuXinXiMingXiShaoShuGuDongQuanYi" label="重要合营企业的主要财务信息明细-少数股东权益" mulRef="_GBC_c3e62c0d62494c0bb865a164a263a4c4" unitRef="_GBC_dbf325e8ec10449ba127b878292f7bb1" addr="T0R11C1S1_1" formatStyle="Comma" tupleRef="clcid-pte:ZhongYaoHeYingQiYeDeZhuYaoCaiWuXinXiMingXi" appId="_GBC_6241cde567c342139ae6186afeea9fb4"/>
      <m:item xlName="_GBC_c60196ffffa54fd481b2c7626ed01658" concept="clcid-pte:ZhongYaoHeYingQiYeDeZhuYaoCaiWuXinXiMingXiShaoShuGuDongQuanYi" label="重要合营企业的主要财务信息明细-少数股东权益" periodRef="本期期初数" mulRef="_GBC_c3e62c0d62494c0bb865a164a263a4c4" unitRef="_GBC_dbf325e8ec10449ba127b878292f7bb1" addr="T0R11C2S1_1" formatStyle="Comma" tupleRef="clcid-pte:ZhongYaoHeYingQiYeDeZhuYaoCaiWuXinXiMingXi" appId="_GBC_6241cde567c342139ae6186afeea9fb4"/>
      <m:placeholder xlName="_PLD_78dbb2bbc4344f2bb85c89b981e5b2df" addr="T0R12C0S1_1"/>
      <m:item xlName="_GBC_1dbe2c6eca8e4d29954a31ed8424a8b0" concept="clcid-pte:ZhongYaoHeYingQiYeDeZhuYaoCaiWuXinXiMingXiGuiShuYuMuGongSiGuDongQuanYi" label="重要合营企业的主要财务信息明细-归属于母公司股东权益" mulRef="_GBC_c3e62c0d62494c0bb865a164a263a4c4" unitRef="_GBC_dbf325e8ec10449ba127b878292f7bb1" addr="T0R12C1S1_1" formatStyle="Comma" tupleRef="clcid-pte:ZhongYaoHeYingQiYeDeZhuYaoCaiWuXinXiMingXi" appId="_GBC_6241cde567c342139ae6186afeea9fb4"/>
      <m:item xlName="_GBC_cb399a22c2af4827840d4c3de240963a" concept="clcid-pte:ZhongYaoHeYingQiYeDeZhuYaoCaiWuXinXiMingXiGuiShuYuMuGongSiGuDongQuanYi" label="重要合营企业的主要财务信息明细-归属于母公司股东权益" periodRef="本期期初数" mulRef="_GBC_c3e62c0d62494c0bb865a164a263a4c4" unitRef="_GBC_dbf325e8ec10449ba127b878292f7bb1" addr="T0R12C2S1_1" formatStyle="Comma" tupleRef="clcid-pte:ZhongYaoHeYingQiYeDeZhuYaoCaiWuXinXiMingXi" appId="_GBC_6241cde567c342139ae6186afeea9fb4"/>
      <m:placeholder xlName="_PLD_e5e5729910924035948ea1a5c54ad11d" addr="T0R14C0S1_1"/>
      <m:item xlName="_GBC_0fd0d835985744b494653a9085d64410" concept="clcid-pte:ZhongYaoHeYingQiYeDeZhuYaoCaiWuXinXiMingXiAnChiGuBiLiJiSuanDeJingZiChanFenE" label="重要合营企业的主要财务信息明细-按持股比例计算的净资产份额" mulRef="_GBC_c3e62c0d62494c0bb865a164a263a4c4" unitRef="_GBC_dbf325e8ec10449ba127b878292f7bb1" addr="T0R14C1S1_1" formatStyle="Comma" tupleRef="clcid-pte:ZhongYaoHeYingQiYeDeZhuYaoCaiWuXinXiMingXi" appId="_GBC_6241cde567c342139ae6186afeea9fb4"/>
      <m:item xlName="_GBC_f71683e589b44fc599c787491d901009" concept="clcid-pte:ZhongYaoHeYingQiYeDeZhuYaoCaiWuXinXiMingXiAnChiGuBiLiJiSuanDeJingZiChanFenE" label="重要合营企业的主要财务信息明细-按持股比例计算的净资产份额" periodRef="本期期初数" mulRef="_GBC_c3e62c0d62494c0bb865a164a263a4c4" unitRef="_GBC_dbf325e8ec10449ba127b878292f7bb1" addr="T0R14C2S1_1" formatStyle="Comma" tupleRef="clcid-pte:ZhongYaoHeYingQiYeDeZhuYaoCaiWuXinXiMingXi" appId="_GBC_6241cde567c342139ae6186afeea9fb4"/>
      <m:placeholder xlName="_PLD_87081b99a5224e8aae8c08980f703430" addr="T0R15C0S1_1"/>
      <m:item xlName="_GBC_4351241f8ac04c69b912dad07b251253" concept="clcid-pte:ZhongYaoHeYingQiYeDeZhuYaoCaiWuXinXiMingXiDiaoZhengShiXiang" label="重要合营企业的主要财务信息明细-调整事项" mulRef="_GBC_c3e62c0d62494c0bb865a164a263a4c4" unitRef="_GBC_dbf325e8ec10449ba127b878292f7bb1" addr="T0R15C1S1_1" formatStyle="Comma" tupleRef="clcid-pte:ZhongYaoHeYingQiYeDeZhuYaoCaiWuXinXiMingXi" appId="_GBC_6241cde567c342139ae6186afeea9fb4">
        <m:complexRule comparator="Eq" title="重要合营企业的主要财务信息明细-调整事项" test=" $_GBC_61b12003b591473388b823a2f13d6006 +  $_GBC_476b42bcacc84fb5bbf1412bf41e5df2 +  $_GBC_0e03822ba15b4742b444fc006a1842ac" id="C8ea05bb5ce6343d39a34909640266ec9"/>
      </m:item>
      <m:item xlName="_GBC_ffb099b4c74d43ed82010acf5acb4cdc" concept="clcid-pte:ZhongYaoHeYingQiYeDeZhuYaoCaiWuXinXiMingXiDiaoZhengShiXiang" label="重要合营企业的主要财务信息明细-调整事项" periodRef="本期期初数" mulRef="_GBC_c3e62c0d62494c0bb865a164a263a4c4" unitRef="_GBC_dbf325e8ec10449ba127b878292f7bb1" addr="T0R15C2S1_1" formatStyle="Comma" tupleRef="clcid-pte:ZhongYaoHeYingQiYeDeZhuYaoCaiWuXinXiMingXi" appId="_GBC_6241cde567c342139ae6186afeea9fb4">
        <m:complexRule comparator="Eq" title="重要合营企业的主要财务信息明细-调整事项@本期期初数" test=" $_GBC_f49a9e7b9054424aa1aa6cee443b14b7 +  $_GBC_c154d3c88fef400694c66cd5c154516a +  $_GBC_11290bd2b8a14bf9b5b90437f8ddbf30" id="Cacceee925f074e358e43969b685e3dbc"/>
      </m:item>
      <m:placeholder xlName="_PLD_b0dd15e8ca4f40a2b270d8c2f895a375" addr="T0R16C0S1_1"/>
      <m:item xlName="_GBC_61b12003b591473388b823a2f13d6006" concept="clcid-pte:ZhongYaoHeYingQiYeDeZhuYaoCaiWuXinXiMingXiShangYu" label="重要合营企业的主要财务信息明细-商誉" mulRef="_GBC_c3e62c0d62494c0bb865a164a263a4c4" unitRef="_GBC_dbf325e8ec10449ba127b878292f7bb1" addr="T0R16C1S1_1" formatStyle="Comma" tupleRef="clcid-pte:ZhongYaoHeYingQiYeDeZhuYaoCaiWuXinXiMingXi" appId="_GBC_6241cde567c342139ae6186afeea9fb4"/>
      <m:item xlName="_GBC_f49a9e7b9054424aa1aa6cee443b14b7" concept="clcid-pte:ZhongYaoHeYingQiYeDeZhuYaoCaiWuXinXiMingXiShangYu" label="重要合营企业的主要财务信息明细-商誉" periodRef="本期期初数" mulRef="_GBC_c3e62c0d62494c0bb865a164a263a4c4" unitRef="_GBC_dbf325e8ec10449ba127b878292f7bb1" addr="T0R16C2S1_1" formatStyle="Comma" tupleRef="clcid-pte:ZhongYaoHeYingQiYeDeZhuYaoCaiWuXinXiMingXi" appId="_GBC_6241cde567c342139ae6186afeea9fb4"/>
      <m:placeholder xlName="_PLD_eae342256b83445e90d37ce603db15dc" addr="T0R17C0S1_1"/>
      <m:item xlName="_GBC_476b42bcacc84fb5bbf1412bf41e5df2" concept="clcid-pte:ZhongYaoHeYingQiYeDeZhuYaoCaiWuXinXiMingXiNeiBuJiaoYiWeiShiXianLiRun" label="重要合营企业的主要财务信息明细-内部交易未实现利润" mulRef="_GBC_c3e62c0d62494c0bb865a164a263a4c4" unitRef="_GBC_dbf325e8ec10449ba127b878292f7bb1" addr="T0R17C1S1_1" formatStyle="Comma" tupleRef="clcid-pte:ZhongYaoHeYingQiYeDeZhuYaoCaiWuXinXiMingXi" appId="_GBC_6241cde567c342139ae6186afeea9fb4"/>
      <m:item xlName="_GBC_c154d3c88fef400694c66cd5c154516a" concept="clcid-pte:ZhongYaoHeYingQiYeDeZhuYaoCaiWuXinXiMingXiNeiBuJiaoYiWeiShiXianLiRun" label="重要合营企业的主要财务信息明细-内部交易未实现利润" periodRef="本期期初数" mulRef="_GBC_c3e62c0d62494c0bb865a164a263a4c4" unitRef="_GBC_dbf325e8ec10449ba127b878292f7bb1" addr="T0R17C2S1_1" formatStyle="Comma" tupleRef="clcid-pte:ZhongYaoHeYingQiYeDeZhuYaoCaiWuXinXiMingXi" appId="_GBC_6241cde567c342139ae6186afeea9fb4"/>
      <m:placeholder xlName="_PLD_0ad459b52a86446d9d6ad4a22cc4f4a1" addr="T0R18C0S1_1"/>
      <m:item xlName="_GBC_0e03822ba15b4742b444fc006a1842ac" concept="clcid-pte:ZhongYaoHeYingQiYeDeZhuYaoCaiWuXinXiMingXiQiTa" label="重要合营企业的主要财务信息明细-其他" mulRef="_GBC_c3e62c0d62494c0bb865a164a263a4c4" unitRef="_GBC_dbf325e8ec10449ba127b878292f7bb1" addr="T0R18C1S1_1" formatStyle="Comma" tupleRef="clcid-pte:ZhongYaoHeYingQiYeDeZhuYaoCaiWuXinXiMingXi" appId="_GBC_6241cde567c342139ae6186afeea9fb4"/>
      <m:item xlName="_GBC_11290bd2b8a14bf9b5b90437f8ddbf30" concept="clcid-pte:ZhongYaoHeYingQiYeDeZhuYaoCaiWuXinXiMingXiQiTa" label="重要合营企业的主要财务信息明细-其他" periodRef="本期期初数" mulRef="_GBC_c3e62c0d62494c0bb865a164a263a4c4" unitRef="_GBC_dbf325e8ec10449ba127b878292f7bb1" addr="T0R18C2S1_1" formatStyle="Comma" tupleRef="clcid-pte:ZhongYaoHeYingQiYeDeZhuYaoCaiWuXinXiMingXi" appId="_GBC_6241cde567c342139ae6186afeea9fb4"/>
      <m:placeholder xlName="_PLD_f78fb3279ec849b0916e018a989f4c0b" addr="T0R19C0S1_1"/>
      <m:item xlName="_GBC_85093be838114d1483d4a0c8a849916e" concept="clcid-pte:ZhongYaoHeYingQiYeDeZhuYaoCaiWuXinXiMingXiDuiHeYingQiYeQuanYiTouZiDeZhangMianJiaZhi" label="重要合营企业的主要财务信息明细-对合营企业权益投资的账面价值" mulRef="_GBC_c3e62c0d62494c0bb865a164a263a4c4" unitRef="_GBC_dbf325e8ec10449ba127b878292f7bb1" addr="T0R19C1S1_1" formatStyle="Comma" tupleRef="clcid-pte:ZhongYaoHeYingQiYeDeZhuYaoCaiWuXinXiMingXi" appId="_GBC_6241cde567c342139ae6186afeea9fb4"/>
      <m:item xlName="_GBC_4d9486531f024111ac48a063a0b7f638" concept="clcid-pte:ZhongYaoHeYingQiYeDeZhuYaoCaiWuXinXiMingXiDuiHeYingQiYeQuanYiTouZiDeZhangMianJiaZhi" label="重要合营企业的主要财务信息明细-对合营企业权益投资的账面价值" periodRef="本期期初数" mulRef="_GBC_c3e62c0d62494c0bb865a164a263a4c4" unitRef="_GBC_dbf325e8ec10449ba127b878292f7bb1" addr="T0R19C2S1_1" formatStyle="Comma" tupleRef="clcid-pte:ZhongYaoHeYingQiYeDeZhuYaoCaiWuXinXiMingXi" appId="_GBC_6241cde567c342139ae6186afeea9fb4"/>
      <m:placeholder xlName="_PLD_d5ba41b43763490f82ea9f2e3274b855" addr="T0R21C0S1_1"/>
      <m:item xlName="_GBC_c856e6baf6114a0cb85575e5e9b9cb64" concept="clcid-pte:ZhongYaoHeYingQiYeDeZhuYaoCaiWuXinXiMingXiCunZaiGongKaiBaoJiaDeHeYingQiYeQuanYiTouZiDeGongYunJiaZhi" label="重要合营企业的主要财务信息明细-存在公开报价的合营企业权益投资的公允价值" mulRef="_GBC_c3e62c0d62494c0bb865a164a263a4c4" unitRef="_GBC_dbf325e8ec10449ba127b878292f7bb1" addr="T0R21C1S1_1" formatStyle="Comma" tupleRef="clcid-pte:ZhongYaoHeYingQiYeDeZhuYaoCaiWuXinXiMingXi" appId="_GBC_6241cde567c342139ae6186afeea9fb4"/>
      <m:item xlName="_GBC_fa9a67e483a9458a852ee246305a894d" concept="clcid-pte:ZhongYaoHeYingQiYeDeZhuYaoCaiWuXinXiMingXiCunZaiGongKaiBaoJiaDeHeYingQiYeQuanYiTouZiDeGongYunJiaZhi" label="重要合营企业的主要财务信息明细-存在公开报价的合营企业权益投资的公允价值" periodRef="本期期初数" mulRef="_GBC_c3e62c0d62494c0bb865a164a263a4c4" unitRef="_GBC_dbf325e8ec10449ba127b878292f7bb1" addr="T0R21C2S1_1" formatStyle="Comma" tupleRef="clcid-pte:ZhongYaoHeYingQiYeDeZhuYaoCaiWuXinXiMingXi" appId="_GBC_6241cde567c342139ae6186afeea9fb4"/>
      <m:placeholder xlName="_PLD_7681be0032f74e06af113991cdcbcc6f" addr="T0R23C0S1_1"/>
      <m:item xlName="_GBC_97b3c5d4c36945a5b3e2ed1779e9c6f9" concept="clcid-pte:ZhongYaoHeYingQiYeDeZhuYaoCaiWuXinXiMingXiYingYeShouRu" label="重要合营企业的主要财务信息明细-营业收入" mulRef="_GBC_c3e62c0d62494c0bb865a164a263a4c4" unitRef="_GBC_dbf325e8ec10449ba127b878292f7bb1" addr="T0R23C1S1_1" formatStyle="Comma" tupleRef="clcid-pte:ZhongYaoHeYingQiYeDeZhuYaoCaiWuXinXiMingXi" appId="_GBC_6241cde567c342139ae6186afeea9fb4"/>
      <m:item xlName="_GBC_d26e3ae7f131468099c252f0af29559e" concept="clcid-pte:ZhongYaoHeYingQiYeDeZhuYaoCaiWuXinXiMingXiYingYeShouRu" label="重要合营企业的主要财务信息明细-营业收入" periodRef="上年同期数" mulRef="_GBC_c3e62c0d62494c0bb865a164a263a4c4" unitRef="_GBC_dbf325e8ec10449ba127b878292f7bb1" addr="T0R23C2S1_1" formatStyle="Comma" tupleRef="clcid-pte:ZhongYaoHeYingQiYeDeZhuYaoCaiWuXinXiMingXi" appId="_GBC_6241cde567c342139ae6186afeea9fb4"/>
      <m:placeholder xlName="_PLD_efb10239f1f246c0b37959f181152094" addr="T0R24C0S1_1"/>
      <m:item xlName="_GBC_d972cbdfacd7421cad4b142af57ec165" concept="clcid-pte:ZhongYaoHeYingQiYeDeZhuYaoCaiWuXinXiMingXiCaiWuFeiYong" label="重要合营企业的主要财务信息明细-财务费用" mulRef="_GBC_c3e62c0d62494c0bb865a164a263a4c4" unitRef="_GBC_dbf325e8ec10449ba127b878292f7bb1" addr="T0R24C1S1_1" formatStyle="Comma" tupleRef="clcid-pte:ZhongYaoHeYingQiYeDeZhuYaoCaiWuXinXiMingXi" appId="_GBC_6241cde567c342139ae6186afeea9fb4"/>
      <m:item xlName="_GBC_7fbdcf1cd786430591723f2208f4cf65" concept="clcid-pte:ZhongYaoHeYingQiYeDeZhuYaoCaiWuXinXiMingXiCaiWuFeiYong" label="重要合营企业的主要财务信息明细-财务费用" periodRef="上年同期数" mulRef="_GBC_c3e62c0d62494c0bb865a164a263a4c4" unitRef="_GBC_dbf325e8ec10449ba127b878292f7bb1" addr="T0R24C2S1_1" formatStyle="Comma" tupleRef="clcid-pte:ZhongYaoHeYingQiYeDeZhuYaoCaiWuXinXiMingXi" appId="_GBC_6241cde567c342139ae6186afeea9fb4"/>
      <m:placeholder xlName="_PLD_ec95d25137b44045a46788915c35288d" addr="T0R25C0S1_1"/>
      <m:item xlName="_GBC_550b71eb0afa48c290f777242771d83e" concept="clcid-pte:ZhongYaoHeYingQiYeDeZhuYaoCaiWuXinXiMingXiSuoDeShuiFeiYong" label="重要合营企业的主要财务信息明细-所得税费用" mulRef="_GBC_c3e62c0d62494c0bb865a164a263a4c4" unitRef="_GBC_dbf325e8ec10449ba127b878292f7bb1" addr="T0R25C1S1_1" formatStyle="Comma" tupleRef="clcid-pte:ZhongYaoHeYingQiYeDeZhuYaoCaiWuXinXiMingXi" appId="_GBC_6241cde567c342139ae6186afeea9fb4"/>
      <m:item xlName="_GBC_9ea846c6df7d40d88e80e97c8c9f63ce" concept="clcid-pte:ZhongYaoHeYingQiYeDeZhuYaoCaiWuXinXiMingXiSuoDeShuiFeiYong" label="重要合营企业的主要财务信息明细-所得税费用" periodRef="上年同期数" mulRef="_GBC_c3e62c0d62494c0bb865a164a263a4c4" unitRef="_GBC_dbf325e8ec10449ba127b878292f7bb1" addr="T0R25C2S1_1" formatStyle="Comma" tupleRef="clcid-pte:ZhongYaoHeYingQiYeDeZhuYaoCaiWuXinXiMingXi" appId="_GBC_6241cde567c342139ae6186afeea9fb4"/>
      <m:placeholder xlName="_PLD_e6233a8b7eec48fbbde96bc4d4dfb8a6" addr="T0R26C0S1_1"/>
      <m:item xlName="_GBC_2c142fd2790b4621b519713c9cbbe028" concept="clcid-pte:ZhongYaoHeYingQiYeDeZhuYaoCaiWuXinXiMingXiJingLiRun" label="重要合营企业的主要财务信息明细-净利润" mulRef="_GBC_c3e62c0d62494c0bb865a164a263a4c4" unitRef="_GBC_dbf325e8ec10449ba127b878292f7bb1" addr="T0R26C1S1_1" formatStyle="Comma" tupleRef="clcid-pte:ZhongYaoHeYingQiYeDeZhuYaoCaiWuXinXiMingXi" appId="_GBC_6241cde567c342139ae6186afeea9fb4"/>
      <m:item xlName="_GBC_b7ec8e2853844747a4267421d6102d65" concept="clcid-pte:ZhongYaoHeYingQiYeDeZhuYaoCaiWuXinXiMingXiJingLiRun" label="重要合营企业的主要财务信息明细-净利润" periodRef="上年同期数" mulRef="_GBC_c3e62c0d62494c0bb865a164a263a4c4" unitRef="_GBC_dbf325e8ec10449ba127b878292f7bb1" addr="T0R26C2S1_1" formatStyle="Comma" tupleRef="clcid-pte:ZhongYaoHeYingQiYeDeZhuYaoCaiWuXinXiMingXi" appId="_GBC_6241cde567c342139ae6186afeea9fb4"/>
      <m:placeholder xlName="_PLD_8841bd6dee6e4d83926ea592c6cb4c8b" addr="T0R27C0S1_1"/>
      <m:item xlName="_GBC_30d679aaedca4a3d8d2a173b801e6db0" concept="clcid-pte:ZhongYaoHeYingQiYeDeZhuYaoCaiWuXinXiMingXiZhongZhiJingYingDeJingLiRun" label="重要合营企业的主要财务信息明细-终止经营的净利润" mulRef="_GBC_c3e62c0d62494c0bb865a164a263a4c4" unitRef="_GBC_dbf325e8ec10449ba127b878292f7bb1" addr="T0R27C1S1_1" formatStyle="Comma" tupleRef="clcid-pte:ZhongYaoHeYingQiYeDeZhuYaoCaiWuXinXiMingXi" appId="_GBC_6241cde567c342139ae6186afeea9fb4"/>
      <m:item xlName="_GBC_cb86f86674bc454aa2918f3d8a6c9b48" concept="clcid-pte:ZhongYaoHeYingQiYeDeZhuYaoCaiWuXinXiMingXiZhongZhiJingYingDeJingLiRun" label="重要合营企业的主要财务信息明细-终止经营的净利润" periodRef="上年同期数" mulRef="_GBC_c3e62c0d62494c0bb865a164a263a4c4" unitRef="_GBC_dbf325e8ec10449ba127b878292f7bb1" addr="T0R27C2S1_1" formatStyle="Comma" tupleRef="clcid-pte:ZhongYaoHeYingQiYeDeZhuYaoCaiWuXinXiMingXi" appId="_GBC_6241cde567c342139ae6186afeea9fb4"/>
      <m:placeholder xlName="_PLD_1434b71e3c6f4ca6ad287048a1dea2c2" addr="T0R28C0S1_1"/>
      <m:item xlName="_GBC_9cd861ba47c54a0a95f8d8e76f19922b" concept="clcid-pte:ZhongYaoHeYingQiYeDeZhuYaoCaiWuXinXiMingXiQiTaZongHeShouYi" label="重要合营企业的主要财务信息明细-其他综合收益" mulRef="_GBC_c3e62c0d62494c0bb865a164a263a4c4" unitRef="_GBC_dbf325e8ec10449ba127b878292f7bb1" addr="T0R28C1S1_1" formatStyle="Comma" tupleRef="clcid-pte:ZhongYaoHeYingQiYeDeZhuYaoCaiWuXinXiMingXi" appId="_GBC_6241cde567c342139ae6186afeea9fb4"/>
      <m:item xlName="_GBC_3948897dc6f94af6b08ea781144516fc" concept="clcid-pte:ZhongYaoHeYingQiYeDeZhuYaoCaiWuXinXiMingXiQiTaZongHeShouYi" label="重要合营企业的主要财务信息明细-其他综合收益" periodRef="上年同期数" mulRef="_GBC_c3e62c0d62494c0bb865a164a263a4c4" unitRef="_GBC_dbf325e8ec10449ba127b878292f7bb1" addr="T0R28C2S1_1" formatStyle="Comma" tupleRef="clcid-pte:ZhongYaoHeYingQiYeDeZhuYaoCaiWuXinXiMingXi" appId="_GBC_6241cde567c342139ae6186afeea9fb4"/>
      <m:placeholder xlName="_PLD_b138005ba76446bda2b20395dbec27f3" addr="T0R29C0S1_1"/>
      <m:item xlName="_GBC_04cc8396b1af40b79e072b49585c923f" concept="clcid-pte:ZhongYaoHeYingQiYeDeZhuYaoCaiWuXinXiMingXiZongHeShouYiZongE" label="重要合营企业的主要财务信息明细-综合收益总额" mulRef="_GBC_c3e62c0d62494c0bb865a164a263a4c4" unitRef="_GBC_dbf325e8ec10449ba127b878292f7bb1" addr="T0R29C1S1_1" formatStyle="Comma" tupleRef="clcid-pte:ZhongYaoHeYingQiYeDeZhuYaoCaiWuXinXiMingXi" appId="_GBC_6241cde567c342139ae6186afeea9fb4"/>
      <m:item xlName="_GBC_03b3d85e12e64ec2b55008976735525d" concept="clcid-pte:ZhongYaoHeYingQiYeDeZhuYaoCaiWuXinXiMingXiZongHeShouYiZongE" label="重要合营企业的主要财务信息明细-综合收益总额" periodRef="上年同期数" mulRef="_GBC_c3e62c0d62494c0bb865a164a263a4c4" unitRef="_GBC_dbf325e8ec10449ba127b878292f7bb1" addr="T0R29C2S1_1" formatStyle="Comma" tupleRef="clcid-pte:ZhongYaoHeYingQiYeDeZhuYaoCaiWuXinXiMingXi" appId="_GBC_6241cde567c342139ae6186afeea9fb4"/>
      <m:placeholder xlName="_PLD_825923176f594b0db521bb7b5e85a1f2" addr="T0R31C0S1_1"/>
      <m:item xlName="_GBC_204bb91d0c3349a590cfed28477162bd" concept="clcid-pte:ZhongYaoHeYingQiYeDeZhuYaoCaiWuXinXiMingXiBenNianDuShouDaoDeLaiZiHeYingQiYeDeGuLi" label="重要合营企业的主要财务信息明细-本年度收到的来自合营企业的股利" mulRef="_GBC_c3e62c0d62494c0bb865a164a263a4c4" unitRef="_GBC_dbf325e8ec10449ba127b878292f7bb1" addr="T0R31C1S1_1" formatStyle="Comma" tupleRef="clcid-pte:ZhongYaoHeYingQiYeDeZhuYaoCaiWuXinXiMingXi" appId="_GBC_6241cde567c342139ae6186afeea9fb4"/>
      <m:item xlName="_GBC_43e1757a0a184256b7b5f88eb3cced05" concept="clcid-pte:ZhongYaoHeYingQiYeDeZhuYaoCaiWuXinXiMingXiBenNianDuShouDaoDeLaiZiHeYingQiYeDeGuLi" label="重要合营企业的主要财务信息明细-本年度收到的来自合营企业的股利" periodRef="上年同期数" mulRef="_GBC_c3e62c0d62494c0bb865a164a263a4c4" unitRef="_GBC_dbf325e8ec10449ba127b878292f7bb1" addr="T0R31C2S1_1" formatStyle="Comma" tupleRef="clcid-pte:ZhongYaoHeYingQiYeDeZhuYaoCaiWuXinXiMingXi" appId="_GBC_6241cde567c342139ae6186afeea9fb4"/>
      <m:virtualTuples>
        <m:virtualTuple id="597dff05-272b-4d7d-ab87-8880769a1248" tupleRef="clcid-pte:ZhongYaoHeYingQiYeDeZhuYaoCaiWuXinXiMingXi" defaultRows="2" extendDirection="2" splitWidth="1"/>
      </m:virtualTuples>
    </m:section>
    <m:section xlName="_SEC_0483769c9bcc4791905aa1394ee961e5" title="重要合营企业的主要财务信息其他说明方法" rules="R2015_R11_031" helpId="112001150">
      <m:item xlName="_GBC_2eee1d37a6f94778acc1b70493f48755" concept="clcid-pte:ZhongYaoHeYingQiYeDeZhuYaoCaiWuXinXiQiTaShuoMingFangFa" label="重要合营企业的主要财务信息其他说明方法" appId="_GBC_6241cde567c342139ae6186afeea9fb4"/>
    </m:section>
    <m:item xlName="_GBC_e304b69adb6f449495c3916754024763" concept="clcid-ci-ar:ShiFouShiYongZhongYaoLianYingQiYeDeZhuYaoCaiWuXinXi" label="是否适用：重要联营企业的主要财务信息" selectOptions="_buildInAppliance" controlType="CustomCheckbox" cRanges="{&quot;StartName&quot;:&quot;_GBC_e304b69adb6f449495c3916754024763&quot;,&quot;EndName&quot;:&quot;_SEC_3191928276884aa0be18ac148aa436b7&quot;,&quot;CType&quot;:1,&quot;DisplayText&quot;:null}"/>
    <m:item xlName="_GBC_0306b30be35040cd86d2b964142011d4" concept="clcid-ci-ar:DanWeiCaiWuFuZhuZhongYaoLianYingQiYeDeZhuYaoCaiWuXinXi" label="单位：财务附注：重要联营企业的主要财务信息" selectOptions="_buildInScales" controlType="Combobox" cellType="Scale" appId="_GBC_31c0fe2068fd4a898e4269df4925aa76"/>
    <m:item xlName="_GBC_a2e655bae21746219bfd958c6f5b8be9" concept="clcid-ci-ar:BiZhongCaiWuFuZhuZhongYaoLianYingQiYeDeZhuYaoCaiWuXinXi" label="币种：财务附注：重要联营企业的主要财务信息" selectOptions="_buildInISO4217" controlType="Combobox" cellType="Measure" appId="_GBC_31c0fe2068fd4a898e4269df4925aa76"/>
    <m:section xlName="_GBC_ac3eed998bbd4658ab651a88daefefb1" title="重要联营企业的主要财务信息" repeatable="1" rules="R2015_R11_031" helpId="112001150">
      <m:item xlName="_GBC_3985273c74d84e5d9e0004348ff54fc3" concept="clcid-pte:ZhongYaoLianYingQiYeDeZhuYaoCaiWuXinXiFaShengQiJian" label="重要联营企业的主要财务信息-发生期间" addr="T0R0C1S1_1" tagAction="1" tupleRef="clcid-pte:ZhongYaoLianYingQiYeDeZhuYaoCaiWuXinXiMingXi" appId="_GBC_e304b69adb6f449495c3916754024763" isCaption="true" defaultGridSpan="2"/>
      <m:item xlName="_GBC_c59f213bf9cc43468db35ae8e45286d0" concept="clcid-pte:ZhongYaoLianYingQiYeDeZhuYaoCaiWuXinXiFaShengQiJian" label="重要联营企业的主要财务信息-发生期间" addr="T0R0C2S1_1" tagAction="1" tupleRef="clcid-pte:ZhongYaoLianYingQiYeDeZhuYaoCaiWuXinXiMingXi" appId="_GBC_e304b69adb6f449495c3916754024763" isCaption="true" defaultGridSpan="2"/>
      <m:item xlName="_GBC_0cae03adb6fc417da51f1e06cc077a6b" concept="clcid-pte:ZhongYaoLianYingQiYeDeZhuYaoCaiWuXinXiMingXiQiYeMingCheng" label="重要联营企业的主要财务信息明细-企业名称" addr="T0R1C1S1_1" tupleRef="clcid-pte:ZhongYaoLianYingQiYeDeZhuYaoCaiWuXinXiMingXi" appId="_GBC_e304b69adb6f449495c3916754024763" isCaption="true" iterateOptionValue="2"/>
      <m:item xlName="_GBC_dabfa87f0eff42149952cca99a0db3a2" concept="clcid-pte:ZhongYaoLianYingQiYeDeZhuYaoCaiWuXinXiMingXiQiYeMingCheng" label="重要联营企业的主要财务信息明细-企业名称" periodRef="上年同期数" addr="T0R1C2S1_1" tupleRef="clcid-pte:ZhongYaoLianYingQiYeDeZhuYaoCaiWuXinXiMingXi" appId="_GBC_e304b69adb6f449495c3916754024763" isCaption="true" iterateOptionValue="2"/>
      <m:placeholder xlName="_PLD_fef15ffbfdea4cb5a3d708c5ea8068c9" addr="T0R2C0S1_1"/>
      <m:item xlName="_GBC_c28dadbc5a3946f4954714fca120f44a" concept="clcid-pte:ZhongYaoLianYingQiYeDeZhuYaoCaiWuXinXiMingXiLiuDongZiChan" label="重要联营企业的主要财务信息明细-流动资产" mulRef="_GBC_0306b30be35040cd86d2b964142011d4" unitRef="_GBC_a2e655bae21746219bfd958c6f5b8be9" addr="T0R2C1S1_1" formatStyle="Comma" tupleRef="clcid-pte:ZhongYaoLianYingQiYeDeZhuYaoCaiWuXinXiMingXi" appId="_GBC_e304b69adb6f449495c3916754024763"/>
      <m:item xlName="_GBC_c07e000c46a84750b69e77357de07e59" concept="clcid-pte:ZhongYaoLianYingQiYeDeZhuYaoCaiWuXinXiMingXiLiuDongZiChan" label="重要联营企业的主要财务信息明细-流动资产" periodRef="本期期初数" mulRef="_GBC_0306b30be35040cd86d2b964142011d4" unitRef="_GBC_a2e655bae21746219bfd958c6f5b8be9" addr="T0R2C2S1_1" formatStyle="Comma" tupleRef="clcid-pte:ZhongYaoLianYingQiYeDeZhuYaoCaiWuXinXiMingXi" appId="_GBC_e304b69adb6f449495c3916754024763"/>
      <m:placeholder xlName="_PLD_f31bdbdda3c24ef0ad64c4480cfaf1eb" addr="T0R3C0S1_1"/>
      <m:item xlName="_GBC_27bb5cf3adbd431791d504a5bb761b12" concept="clcid-pte:ZhongYaoLianYingQiYeDeZhuYaoCaiWuXinXiMingXiFeiLiuDongZiChan" label="重要联营企业的主要财务信息明细-非流动资产" mulRef="_GBC_0306b30be35040cd86d2b964142011d4" unitRef="_GBC_a2e655bae21746219bfd958c6f5b8be9" addr="T0R3C1S1_1" formatStyle="Comma" tupleRef="clcid-pte:ZhongYaoLianYingQiYeDeZhuYaoCaiWuXinXiMingXi" appId="_GBC_e304b69adb6f449495c3916754024763"/>
      <m:item xlName="_GBC_c327e922fa634d829a92be320a353b87" concept="clcid-pte:ZhongYaoLianYingQiYeDeZhuYaoCaiWuXinXiMingXiFeiLiuDongZiChan" label="重要联营企业的主要财务信息明细-非流动资产" periodRef="本期期初数" mulRef="_GBC_0306b30be35040cd86d2b964142011d4" unitRef="_GBC_a2e655bae21746219bfd958c6f5b8be9" addr="T0R3C2S1_1" formatStyle="Comma" tupleRef="clcid-pte:ZhongYaoLianYingQiYeDeZhuYaoCaiWuXinXiMingXi" appId="_GBC_e304b69adb6f449495c3916754024763"/>
      <m:placeholder xlName="_PLD_d1755220e8944b638b853a5090d054ac" addr="T0R4C0S1_1"/>
      <m:item xlName="_GBC_a5ccf41a7ee1489caa3f643cd825d14a" concept="clcid-pte:ZhongYaoLianYingQiYeDeZhuYaoCaiWuXinXiMingXiZiChanHeJi" label="重要联营企业的主要财务信息明细-资产合计" mulRef="_GBC_0306b30be35040cd86d2b964142011d4" unitRef="_GBC_a2e655bae21746219bfd958c6f5b8be9" addr="T0R4C1S1_1" formatStyle="Comma" tupleRef="clcid-pte:ZhongYaoLianYingQiYeDeZhuYaoCaiWuXinXiMingXi" appId="_GBC_e304b69adb6f449495c3916754024763">
        <m:complexRule comparator="Eq" title="重要联营企业的主要财务信息明细-资产合计" test=" $_GBC_c28dadbc5a3946f4954714fca120f44a +  $_GBC_27bb5cf3adbd431791d504a5bb761b12" id="Cc92a171f3f9241138b70f20ca8d75709"/>
      </m:item>
      <m:item xlName="_GBC_6cdf2d12341e422eb69e82e47bf5fb5d" concept="clcid-pte:ZhongYaoLianYingQiYeDeZhuYaoCaiWuXinXiMingXiZiChanHeJi" label="重要联营企业的主要财务信息明细-资产合计" periodRef="本期期初数" mulRef="_GBC_0306b30be35040cd86d2b964142011d4" unitRef="_GBC_a2e655bae21746219bfd958c6f5b8be9" addr="T0R4C2S1_1" formatStyle="Comma" tupleRef="clcid-pte:ZhongYaoLianYingQiYeDeZhuYaoCaiWuXinXiMingXi" appId="_GBC_e304b69adb6f449495c3916754024763">
        <m:complexRule comparator="Eq" title="重要联营企业的主要财务信息明细-资产合计@本期期初数" test=" $_GBC_c07e000c46a84750b69e77357de07e59 +  $_GBC_c327e922fa634d829a92be320a353b87" id="C731a8618593a4da0ab0c87e25e52829d"/>
      </m:item>
      <m:placeholder xlName="_PLD_da177c33d2a4452285f3e4329499be2b" addr="T0R6C0S1_1"/>
      <m:item xlName="_GBC_ec646aba7f5446fca104f5805130bac8" concept="clcid-pte:ZhongYaoLianYingQiYeDeZhuYaoCaiWuXinXiMingXiLiuDongFuZhai" label="重要联营企业的主要财务信息明细-流动负债" mulRef="_GBC_0306b30be35040cd86d2b964142011d4" unitRef="_GBC_a2e655bae21746219bfd958c6f5b8be9" addr="T0R6C1S1_1" formatStyle="Comma" tupleRef="clcid-pte:ZhongYaoLianYingQiYeDeZhuYaoCaiWuXinXiMingXi" appId="_GBC_e304b69adb6f449495c3916754024763"/>
      <m:item xlName="_GBC_d65a44385ca34313a8825d0164ace28e" concept="clcid-pte:ZhongYaoLianYingQiYeDeZhuYaoCaiWuXinXiMingXiLiuDongFuZhai" label="重要联营企业的主要财务信息明细-流动负债" periodRef="本期期初数" mulRef="_GBC_0306b30be35040cd86d2b964142011d4" unitRef="_GBC_a2e655bae21746219bfd958c6f5b8be9" addr="T0R6C2S1_1" formatStyle="Comma" tupleRef="clcid-pte:ZhongYaoLianYingQiYeDeZhuYaoCaiWuXinXiMingXi" appId="_GBC_e304b69adb6f449495c3916754024763"/>
      <m:placeholder xlName="_PLD_69db2a7507214ff988c587702b84292a" addr="T0R7C0S1_1"/>
      <m:item xlName="_GBC_128207636cda4368bbb9895164ccbdf7" concept="clcid-pte:ZhongYaoLianYingQiYeDeZhuYaoCaiWuXinXiMingXiFeiLiuDongFuZhai" label="重要联营企业的主要财务信息明细-非流动负债" mulRef="_GBC_0306b30be35040cd86d2b964142011d4" unitRef="_GBC_a2e655bae21746219bfd958c6f5b8be9" addr="T0R7C1S1_1" formatStyle="Comma" tupleRef="clcid-pte:ZhongYaoLianYingQiYeDeZhuYaoCaiWuXinXiMingXi" appId="_GBC_e304b69adb6f449495c3916754024763"/>
      <m:item xlName="_GBC_415c0b1613a84e478e854bc81c00c28e" concept="clcid-pte:ZhongYaoLianYingQiYeDeZhuYaoCaiWuXinXiMingXiFeiLiuDongFuZhai" label="重要联营企业的主要财务信息明细-非流动负债" periodRef="本期期初数" mulRef="_GBC_0306b30be35040cd86d2b964142011d4" unitRef="_GBC_a2e655bae21746219bfd958c6f5b8be9" addr="T0R7C2S1_1" formatStyle="Comma" tupleRef="clcid-pte:ZhongYaoLianYingQiYeDeZhuYaoCaiWuXinXiMingXi" appId="_GBC_e304b69adb6f449495c3916754024763"/>
      <m:placeholder xlName="_PLD_93196651961549cc968f034a6735b70d" addr="T0R8C0S1_1"/>
      <m:item xlName="_GBC_18e02a915a6b4103a02c52a82665fcb6" concept="clcid-pte:ZhongYaoLianYingQiYeDeZhuYaoCaiWuXinXiMingXiFuZhaiHeJi" label="重要联营企业的主要财务信息明细-负债合计" mulRef="_GBC_0306b30be35040cd86d2b964142011d4" unitRef="_GBC_a2e655bae21746219bfd958c6f5b8be9" addr="T0R8C1S1_1" formatStyle="Comma" tupleRef="clcid-pte:ZhongYaoLianYingQiYeDeZhuYaoCaiWuXinXiMingXi" appId="_GBC_e304b69adb6f449495c3916754024763">
        <m:complexRule comparator="Eq" title="重要联营企业的主要财务信息明细-负债合计" test=" $_GBC_ec646aba7f5446fca104f5805130bac8 +  $_GBC_128207636cda4368bbb9895164ccbdf7" id="Cfbe05002fa904134abbadc8fbffc477b"/>
      </m:item>
      <m:item xlName="_GBC_f26fde13d25640efa8a3d6c7dd727c97" concept="clcid-pte:ZhongYaoLianYingQiYeDeZhuYaoCaiWuXinXiMingXiFuZhaiHeJi" label="重要联营企业的主要财务信息明细-负债合计" periodRef="本期期初数" mulRef="_GBC_0306b30be35040cd86d2b964142011d4" unitRef="_GBC_a2e655bae21746219bfd958c6f5b8be9" addr="T0R8C2S1_1" formatStyle="Comma" tupleRef="clcid-pte:ZhongYaoLianYingQiYeDeZhuYaoCaiWuXinXiMingXi" appId="_GBC_e304b69adb6f449495c3916754024763">
        <m:complexRule comparator="Eq" title="重要联营企业的主要财务信息明细-负债合计@本期期初数" test=" $_GBC_d65a44385ca34313a8825d0164ace28e +  $_GBC_415c0b1613a84e478e854bc81c00c28e" id="C028d6f9a69284ac58c648775e1aad5c7"/>
      </m:item>
      <m:placeholder xlName="_PLD_f8ce7c22e39a4e18a87552ab1793dbb8" addr="T0R10C0S1_1"/>
      <m:item xlName="_GBC_865ea67d3df54a128e9f3782dbd04540" concept="clcid-pte:ZhongYaoLianYingQiYeDeZhuYaoCaiWuXinXiMingXiShaoShuGuDongQuanYi" label="重要联营企业的主要财务信息明细-少数股东权益" mulRef="_GBC_0306b30be35040cd86d2b964142011d4" unitRef="_GBC_a2e655bae21746219bfd958c6f5b8be9" addr="T0R10C1S1_1" formatStyle="Comma" tupleRef="clcid-pte:ZhongYaoLianYingQiYeDeZhuYaoCaiWuXinXiMingXi" appId="_GBC_e304b69adb6f449495c3916754024763"/>
      <m:item xlName="_GBC_57f1305825ae4edc99d2a2a222addee4" concept="clcid-pte:ZhongYaoLianYingQiYeDeZhuYaoCaiWuXinXiMingXiShaoShuGuDongQuanYi" label="重要联营企业的主要财务信息明细-少数股东权益" periodRef="本期期初数" mulRef="_GBC_0306b30be35040cd86d2b964142011d4" unitRef="_GBC_a2e655bae21746219bfd958c6f5b8be9" addr="T0R10C2S1_1" formatStyle="Comma" tupleRef="clcid-pte:ZhongYaoLianYingQiYeDeZhuYaoCaiWuXinXiMingXi" appId="_GBC_e304b69adb6f449495c3916754024763"/>
      <m:placeholder xlName="_PLD_5a7b4c15f9cc46f796db15ddf6bdcb12" addr="T0R11C0S1_1"/>
      <m:item xlName="_GBC_e77333b3d54c4b1b86484269436ee07e" concept="clcid-pte:ZhongYaoLianYingQiYeDeZhuYaoCaiWuXinXiMingXiGuiShuYuMuGongSiGuDongQuanYi" label="重要联营企业的主要财务信息明细-归属于母公司股东权益" mulRef="_GBC_0306b30be35040cd86d2b964142011d4" unitRef="_GBC_a2e655bae21746219bfd958c6f5b8be9" addr="T0R11C1S1_1" formatStyle="Comma" tupleRef="clcid-pte:ZhongYaoLianYingQiYeDeZhuYaoCaiWuXinXiMingXi" appId="_GBC_e304b69adb6f449495c3916754024763"/>
      <m:item xlName="_GBC_9173862649044ab8b9d1efe57a0ba7bd" concept="clcid-pte:ZhongYaoLianYingQiYeDeZhuYaoCaiWuXinXiMingXiGuiShuYuMuGongSiGuDongQuanYi" label="重要联营企业的主要财务信息明细-归属于母公司股东权益" periodRef="本期期初数" mulRef="_GBC_0306b30be35040cd86d2b964142011d4" unitRef="_GBC_a2e655bae21746219bfd958c6f5b8be9" addr="T0R11C2S1_1" formatStyle="Comma" tupleRef="clcid-pte:ZhongYaoLianYingQiYeDeZhuYaoCaiWuXinXiMingXi" appId="_GBC_e304b69adb6f449495c3916754024763"/>
      <m:placeholder xlName="_PLD_8582e33fffa94878a3ba47a9591f38b8" addr="T0R13C0S1_1"/>
      <m:item xlName="_GBC_6ef0370847d54ea18397112955276c38" concept="clcid-pte:ZhongYaoLianYingQiYeDeZhuYaoCaiWuXinXiMingXiAnChiGuBiLiJiSuanDeJingZiChanFenE" label="重要联营企业的主要财务信息明细-按持股比例计算的净资产份额" mulRef="_GBC_0306b30be35040cd86d2b964142011d4" unitRef="_GBC_a2e655bae21746219bfd958c6f5b8be9" addr="T0R13C1S1_1" formatStyle="Comma" tupleRef="clcid-pte:ZhongYaoLianYingQiYeDeZhuYaoCaiWuXinXiMingXi" appId="_GBC_e304b69adb6f449495c3916754024763"/>
      <m:item xlName="_GBC_ca4682012ab54f5ca3f91a2b097c1fd5" concept="clcid-pte:ZhongYaoLianYingQiYeDeZhuYaoCaiWuXinXiMingXiAnChiGuBiLiJiSuanDeJingZiChanFenE" label="重要联营企业的主要财务信息明细-按持股比例计算的净资产份额" periodRef="本期期初数" mulRef="_GBC_0306b30be35040cd86d2b964142011d4" unitRef="_GBC_a2e655bae21746219bfd958c6f5b8be9" addr="T0R13C2S1_1" formatStyle="Comma" tupleRef="clcid-pte:ZhongYaoLianYingQiYeDeZhuYaoCaiWuXinXiMingXi" appId="_GBC_e304b69adb6f449495c3916754024763"/>
      <m:placeholder xlName="_PLD_4155423a13664f79a1deecda99eb64f1" addr="T0R14C0S1_1"/>
      <m:item xlName="_GBC_718c8dd49b534831b5de5da2a0a02f9d" concept="clcid-pte:ZhongYaoLianYingQiYeDeZhuYaoCaiWuXinXiMingXiDiaoZhengShiXiang" label="重要联营企业的主要财务信息明细-调整事项" mulRef="_GBC_0306b30be35040cd86d2b964142011d4" unitRef="_GBC_a2e655bae21746219bfd958c6f5b8be9" addr="T0R14C1S1_1" formatStyle="Comma" tupleRef="clcid-pte:ZhongYaoLianYingQiYeDeZhuYaoCaiWuXinXiMingXi" appId="_GBC_e304b69adb6f449495c3916754024763">
        <m:complexRule comparator="Eq" title="重要联营企业的主要财务信息明细-调整事项" test=" $_GBC_06b3cb091b114f938be9c04d7435de3c +  $_GBC_b9d34faa0ce642ac8cfb2a4c8db7eb9d +  $_GBC_fdf505dccafc408a922f98dcd7437302" id="C5618dca02fef4514ae8e6e4818965f5c"/>
      </m:item>
      <m:item xlName="_GBC_c034c98660d246f59ed631eaf5f48d1a" concept="clcid-pte:ZhongYaoLianYingQiYeDeZhuYaoCaiWuXinXiMingXiDiaoZhengShiXiang" label="重要联营企业的主要财务信息明细-调整事项" periodRef="本期期初数" mulRef="_GBC_0306b30be35040cd86d2b964142011d4" unitRef="_GBC_a2e655bae21746219bfd958c6f5b8be9" addr="T0R14C2S1_1" formatStyle="Comma" tupleRef="clcid-pte:ZhongYaoLianYingQiYeDeZhuYaoCaiWuXinXiMingXi" appId="_GBC_e304b69adb6f449495c3916754024763">
        <m:complexRule comparator="Eq" title="重要联营企业的主要财务信息明细-调整事项@本期期初数" test=" $_GBC_4ff5a5b65a1343558a08e99c5416c6fe +  $_GBC_fdd566373bbd4382b065ac01e399b4c2 +  $_GBC_5babc50093b24561b95301cd9f49f84e" id="C4ab19fa40dd44490a1f55320449b2542"/>
      </m:item>
      <m:placeholder xlName="_PLD_bac24ebdbd9b48db9964fa3d371a3d1a" addr="T0R15C0S1_1"/>
      <m:item xlName="_GBC_06b3cb091b114f938be9c04d7435de3c" concept="clcid-pte:ZhongYaoLianYingQiYeDeZhuYaoCaiWuXinXiMingXiShangYu" label="重要联营企业的主要财务信息明细-商誉" mulRef="_GBC_0306b30be35040cd86d2b964142011d4" unitRef="_GBC_a2e655bae21746219bfd958c6f5b8be9" addr="T0R15C1S1_1" formatStyle="Comma" tupleRef="clcid-pte:ZhongYaoLianYingQiYeDeZhuYaoCaiWuXinXiMingXi" appId="_GBC_e304b69adb6f449495c3916754024763"/>
      <m:item xlName="_GBC_4ff5a5b65a1343558a08e99c5416c6fe" concept="clcid-pte:ZhongYaoLianYingQiYeDeZhuYaoCaiWuXinXiMingXiShangYu" label="重要联营企业的主要财务信息明细-商誉" periodRef="本期期初数" mulRef="_GBC_0306b30be35040cd86d2b964142011d4" unitRef="_GBC_a2e655bae21746219bfd958c6f5b8be9" addr="T0R15C2S1_1" formatStyle="Comma" tupleRef="clcid-pte:ZhongYaoLianYingQiYeDeZhuYaoCaiWuXinXiMingXi" appId="_GBC_e304b69adb6f449495c3916754024763"/>
      <m:placeholder xlName="_PLD_975fd21cf7f04f898ba9a18af77d6240" addr="T0R16C0S1_1"/>
      <m:item xlName="_GBC_b9d34faa0ce642ac8cfb2a4c8db7eb9d" concept="clcid-pte:ZhongYaoLianYingQiYeDeZhuYaoCaiWuXinXiMingXiNeiBuJiaoYiWeiShiXianLiRun" label="重要联营企业的主要财务信息明细-内部交易未实现利润" mulRef="_GBC_0306b30be35040cd86d2b964142011d4" unitRef="_GBC_a2e655bae21746219bfd958c6f5b8be9" addr="T0R16C1S1_1" formatStyle="Comma" tupleRef="clcid-pte:ZhongYaoLianYingQiYeDeZhuYaoCaiWuXinXiMingXi" appId="_GBC_e304b69adb6f449495c3916754024763"/>
      <m:item xlName="_GBC_fdd566373bbd4382b065ac01e399b4c2" concept="clcid-pte:ZhongYaoLianYingQiYeDeZhuYaoCaiWuXinXiMingXiNeiBuJiaoYiWeiShiXianLiRun" label="重要联营企业的主要财务信息明细-内部交易未实现利润" periodRef="本期期初数" mulRef="_GBC_0306b30be35040cd86d2b964142011d4" unitRef="_GBC_a2e655bae21746219bfd958c6f5b8be9" addr="T0R16C2S1_1" formatStyle="Comma" tupleRef="clcid-pte:ZhongYaoLianYingQiYeDeZhuYaoCaiWuXinXiMingXi" appId="_GBC_e304b69adb6f449495c3916754024763"/>
      <m:placeholder xlName="_PLD_24a86660be95444c9447cafd3bbfe1ca" addr="T0R17C0S1_1"/>
      <m:item xlName="_GBC_fdf505dccafc408a922f98dcd7437302" concept="clcid-pte:ZhongYaoLianYingQiYeDeZhuYaoCaiWuXinXiMingXiQiTa" label="重要联营企业的主要财务信息明细-其他" mulRef="_GBC_0306b30be35040cd86d2b964142011d4" unitRef="_GBC_a2e655bae21746219bfd958c6f5b8be9" addr="T0R17C1S1_1" formatStyle="Comma" tupleRef="clcid-pte:ZhongYaoLianYingQiYeDeZhuYaoCaiWuXinXiMingXi" appId="_GBC_e304b69adb6f449495c3916754024763"/>
      <m:item xlName="_GBC_5babc50093b24561b95301cd9f49f84e" concept="clcid-pte:ZhongYaoLianYingQiYeDeZhuYaoCaiWuXinXiMingXiQiTa" label="重要联营企业的主要财务信息明细-其他" periodRef="本期期初数" mulRef="_GBC_0306b30be35040cd86d2b964142011d4" unitRef="_GBC_a2e655bae21746219bfd958c6f5b8be9" addr="T0R17C2S1_1" formatStyle="Comma" tupleRef="clcid-pte:ZhongYaoLianYingQiYeDeZhuYaoCaiWuXinXiMingXi" appId="_GBC_e304b69adb6f449495c3916754024763"/>
      <m:placeholder xlName="_PLD_2be4185c2e6a44dfb7339347b64720df" addr="T0R18C0S1_1"/>
      <m:item xlName="_GBC_1cd70c34f92148bb9c9c02b2ecdc11b0" concept="clcid-pte:ZhongYaoLianYingQiYeDeZhuYaoCaiWuXinXiMingXiDuiLianYingQiYeQuanYiTouZiDeZhangMianJiaZhi" label="重要联营企业的主要财务信息明细-对联营企业权益投资的账面价值" mulRef="_GBC_0306b30be35040cd86d2b964142011d4" unitRef="_GBC_a2e655bae21746219bfd958c6f5b8be9" addr="T0R18C1S1_1" formatStyle="Comma" tupleRef="clcid-pte:ZhongYaoLianYingQiYeDeZhuYaoCaiWuXinXiMingXi" appId="_GBC_e304b69adb6f449495c3916754024763"/>
      <m:item xlName="_GBC_6ea62f26f82f46a698182934daf227af" concept="clcid-pte:ZhongYaoLianYingQiYeDeZhuYaoCaiWuXinXiMingXiDuiLianYingQiYeQuanYiTouZiDeZhangMianJiaZhi" label="重要联营企业的主要财务信息明细-对联营企业权益投资的账面价值" periodRef="本期期初数" mulRef="_GBC_0306b30be35040cd86d2b964142011d4" unitRef="_GBC_a2e655bae21746219bfd958c6f5b8be9" addr="T0R18C2S1_1" formatStyle="Comma" tupleRef="clcid-pte:ZhongYaoLianYingQiYeDeZhuYaoCaiWuXinXiMingXi" appId="_GBC_e304b69adb6f449495c3916754024763"/>
      <m:placeholder xlName="_PLD_89f7288bf5124b4794da7c1329ad7dff" addr="T0R19C0S1_1"/>
      <m:item xlName="_GBC_d038847119cd4221a889dcdcfc8dddc5" concept="clcid-pte:ZhongYaoLianYingQiYeDeZhuYaoCaiWuXinXiMingXiCunZaiGongKaiBaoJiaDeLianYingQiYeQuanYiTouZiDeGongYunJiaZhi" label="重要联营企业的主要财务信息明细-存在公开报价的联营企业权益投资的公允价值" mulRef="_GBC_0306b30be35040cd86d2b964142011d4" unitRef="_GBC_a2e655bae21746219bfd958c6f5b8be9" addr="T0R19C1S1_1" formatStyle="Comma" tupleRef="clcid-pte:ZhongYaoLianYingQiYeDeZhuYaoCaiWuXinXiMingXi" appId="_GBC_e304b69adb6f449495c3916754024763"/>
      <m:item xlName="_GBC_7052472bea6e46d38ca549f79219b4d7" concept="clcid-pte:ZhongYaoLianYingQiYeDeZhuYaoCaiWuXinXiMingXiCunZaiGongKaiBaoJiaDeLianYingQiYeQuanYiTouZiDeGongYunJiaZhi" label="重要联营企业的主要财务信息明细-存在公开报价的联营企业权益投资的公允价值" periodRef="本期期初数" mulRef="_GBC_0306b30be35040cd86d2b964142011d4" unitRef="_GBC_a2e655bae21746219bfd958c6f5b8be9" addr="T0R19C2S1_1" formatStyle="Comma" tupleRef="clcid-pte:ZhongYaoLianYingQiYeDeZhuYaoCaiWuXinXiMingXi" appId="_GBC_e304b69adb6f449495c3916754024763"/>
      <m:placeholder xlName="_PLD_3dda32d2f0f749c2b0d95dc4c3753c29" addr="T0R21C0S1_1"/>
      <m:item xlName="_GBC_c687e31f6fe545d58b2f55e99d5688a2" concept="clcid-pte:ZhongYaoLianYingQiYeDeZhuYaoCaiWuXinXiMingXiYingYeShouRu" label="重要联营企业的主要财务信息明细-营业收入" mulRef="_GBC_0306b30be35040cd86d2b964142011d4" unitRef="_GBC_a2e655bae21746219bfd958c6f5b8be9" addr="T0R21C1S1_1" formatStyle="Comma" tupleRef="clcid-pte:ZhongYaoLianYingQiYeDeZhuYaoCaiWuXinXiMingXi" appId="_GBC_e304b69adb6f449495c3916754024763"/>
      <m:item xlName="_GBC_afc23a1a7a1847fe8e1f38893032c6d1" concept="clcid-pte:ZhongYaoLianYingQiYeDeZhuYaoCaiWuXinXiMingXiYingYeShouRu" label="重要联营企业的主要财务信息明细-营业收入" periodRef="上年同期数" mulRef="_GBC_0306b30be35040cd86d2b964142011d4" unitRef="_GBC_a2e655bae21746219bfd958c6f5b8be9" addr="T0R21C2S1_1" formatStyle="Comma" tupleRef="clcid-pte:ZhongYaoLianYingQiYeDeZhuYaoCaiWuXinXiMingXi" appId="_GBC_e304b69adb6f449495c3916754024763"/>
      <m:placeholder xlName="_PLD_2700e40e30734ccda4fc19f6731bfd23" addr="T0R22C0S1_1"/>
      <m:item xlName="_GBC_6525ccd9ab344f7b964f134e53418611" concept="clcid-pte:ZhongYaoLianYingQiYeDeZhuYaoCaiWuXinXiMingXiJingLiRun" label="重要联营企业的主要财务信息明细-净利润" mulRef="_GBC_0306b30be35040cd86d2b964142011d4" unitRef="_GBC_a2e655bae21746219bfd958c6f5b8be9" addr="T0R22C1S1_1" formatStyle="Comma" tupleRef="clcid-pte:ZhongYaoLianYingQiYeDeZhuYaoCaiWuXinXiMingXi" appId="_GBC_e304b69adb6f449495c3916754024763"/>
      <m:item xlName="_GBC_6be422efbad442a9b969b484d427cfce" concept="clcid-pte:ZhongYaoLianYingQiYeDeZhuYaoCaiWuXinXiMingXiJingLiRun" label="重要联营企业的主要财务信息明细-净利润" periodRef="上年同期数" mulRef="_GBC_0306b30be35040cd86d2b964142011d4" unitRef="_GBC_a2e655bae21746219bfd958c6f5b8be9" addr="T0R22C2S1_1" formatStyle="Comma" tupleRef="clcid-pte:ZhongYaoLianYingQiYeDeZhuYaoCaiWuXinXiMingXi" appId="_GBC_e304b69adb6f449495c3916754024763"/>
      <m:placeholder xlName="_PLD_7123283d145f4e83a026dd1ab301c96a" addr="T0R23C0S1_1"/>
      <m:item xlName="_GBC_531a34d64b814e079f7c62c36c03af60" concept="clcid-pte:ZhongYaoLianYingQiYeDeZhuYaoCaiWuXinXiMingXiZhongZhiJingYingDeJingLiRun" label="重要联营企业的主要财务信息明细-终止经营的净利润" mulRef="_GBC_0306b30be35040cd86d2b964142011d4" unitRef="_GBC_a2e655bae21746219bfd958c6f5b8be9" addr="T0R23C1S1_1" formatStyle="Comma" tupleRef="clcid-pte:ZhongYaoLianYingQiYeDeZhuYaoCaiWuXinXiMingXi" appId="_GBC_e304b69adb6f449495c3916754024763"/>
      <m:item xlName="_GBC_553273e5a6ff48be9215f6ef4121743a" concept="clcid-pte:ZhongYaoLianYingQiYeDeZhuYaoCaiWuXinXiMingXiZhongZhiJingYingDeJingLiRun" label="重要联营企业的主要财务信息明细-终止经营的净利润" periodRef="上年同期数" mulRef="_GBC_0306b30be35040cd86d2b964142011d4" unitRef="_GBC_a2e655bae21746219bfd958c6f5b8be9" addr="T0R23C2S1_1" formatStyle="Comma" tupleRef="clcid-pte:ZhongYaoLianYingQiYeDeZhuYaoCaiWuXinXiMingXi" appId="_GBC_e304b69adb6f449495c3916754024763"/>
      <m:placeholder xlName="_PLD_45e6a45abde34643910c58dce10e37dd" addr="T0R24C0S1_1"/>
      <m:item xlName="_GBC_88862716b6fe4ce5a3cea1595b35056e" concept="clcid-pte:ZhongYaoLianYingQiYeDeZhuYaoCaiWuXinXiMingXiQiTaZongHeShouYi" label="重要联营企业的主要财务信息明细-其他综合收益" mulRef="_GBC_0306b30be35040cd86d2b964142011d4" unitRef="_GBC_a2e655bae21746219bfd958c6f5b8be9" addr="T0R24C1S1_1" formatStyle="Comma" tupleRef="clcid-pte:ZhongYaoLianYingQiYeDeZhuYaoCaiWuXinXiMingXi" appId="_GBC_e304b69adb6f449495c3916754024763"/>
      <m:item xlName="_GBC_a69c69d138114e70b62e2c0a8f02e41e" concept="clcid-pte:ZhongYaoLianYingQiYeDeZhuYaoCaiWuXinXiMingXiQiTaZongHeShouYi" label="重要联营企业的主要财务信息明细-其他综合收益" periodRef="上年同期数" mulRef="_GBC_0306b30be35040cd86d2b964142011d4" unitRef="_GBC_a2e655bae21746219bfd958c6f5b8be9" addr="T0R24C2S1_1" formatStyle="Comma" tupleRef="clcid-pte:ZhongYaoLianYingQiYeDeZhuYaoCaiWuXinXiMingXi" appId="_GBC_e304b69adb6f449495c3916754024763"/>
      <m:placeholder xlName="_PLD_46271de88b51495b853f579968062473" addr="T0R25C0S1_1"/>
      <m:item xlName="_GBC_143410a7a9624c57a2fbbc67ca248927" concept="clcid-pte:ZhongYaoLianYingQiYeDeZhuYaoCaiWuXinXiMingXiZongHeShouYiZongE" label="重要联营企业的主要财务信息明细-综合收益总额" mulRef="_GBC_0306b30be35040cd86d2b964142011d4" unitRef="_GBC_a2e655bae21746219bfd958c6f5b8be9" addr="T0R25C1S1_1" formatStyle="Comma" tupleRef="clcid-pte:ZhongYaoLianYingQiYeDeZhuYaoCaiWuXinXiMingXi" appId="_GBC_e304b69adb6f449495c3916754024763"/>
      <m:item xlName="_GBC_3b024189cab640638a2e33d3d96bf273" concept="clcid-pte:ZhongYaoLianYingQiYeDeZhuYaoCaiWuXinXiMingXiZongHeShouYiZongE" label="重要联营企业的主要财务信息明细-综合收益总额" periodRef="上年同期数" mulRef="_GBC_0306b30be35040cd86d2b964142011d4" unitRef="_GBC_a2e655bae21746219bfd958c6f5b8be9" addr="T0R25C2S1_1" formatStyle="Comma" tupleRef="clcid-pte:ZhongYaoLianYingQiYeDeZhuYaoCaiWuXinXiMingXi" appId="_GBC_e304b69adb6f449495c3916754024763"/>
      <m:placeholder xlName="_PLD_45708a7f3d4a4100b1e84bcc428b4104" addr="T0R27C0S1_1"/>
      <m:item xlName="_GBC_084dd03036f94937a2fd0f891c24fc78" concept="clcid-pte:ZhongYaoLianYingQiYeDeZhuYaoCaiWuXinXiMingXiBenNianDuShouDaoDeLaiZiLianYingQiYeDeGuLi" label="重要联营企业的主要财务信息明细-本年度收到的来自联营企业的股利" mulRef="_GBC_0306b30be35040cd86d2b964142011d4" unitRef="_GBC_a2e655bae21746219bfd958c6f5b8be9" addr="T0R27C1S1_1" formatStyle="Comma" tupleRef="clcid-pte:ZhongYaoLianYingQiYeDeZhuYaoCaiWuXinXiMingXi" appId="_GBC_e304b69adb6f449495c3916754024763"/>
      <m:item xlName="_GBC_9e9e529a58bd4a46ba2c3074b32fcefd" concept="clcid-pte:ZhongYaoLianYingQiYeDeZhuYaoCaiWuXinXiMingXiBenNianDuShouDaoDeLaiZiLianYingQiYeDeGuLi" label="重要联营企业的主要财务信息明细-本年度收到的来自联营企业的股利" periodRef="上年同期数" mulRef="_GBC_0306b30be35040cd86d2b964142011d4" unitRef="_GBC_a2e655bae21746219bfd958c6f5b8be9" addr="T0R27C2S1_1" formatStyle="Comma" tupleRef="clcid-pte:ZhongYaoLianYingQiYeDeZhuYaoCaiWuXinXiMingXi" appId="_GBC_e304b69adb6f449495c3916754024763"/>
      <m:virtualTuples>
        <m:virtualTuple id="f8a59098-2c31-40fa-b2f3-af06f4655f9e" tupleRef="clcid-pte:ZhongYaoLianYingQiYeDeZhuYaoCaiWuXinXiMingXi" defaultRows="2" extendDirection="2" splitWidth="1"/>
      </m:virtualTuples>
    </m:section>
    <m:section xlName="_SEC_3191928276884aa0be18ac148aa436b7" title="重要联营企业的主要财务信息其他说明的方法" rules="R2015_R11_031" helpId="112001150">
      <m:item xlName="_GBC_49602fee37fb4c848eee594868d16caa" concept="clcid-pte:ZhongYaoLianYingQiYeDeZhuYaoCaiWuXinXiQiTaShuoMingDeFangFa" label="重要联营企业的主要财务信息其他说明的方法" appId="_GBC_e304b69adb6f449495c3916754024763"/>
    </m:section>
    <m:section xlName="_GBC_7592afe8201c4b36a34fa177ca124037" title="不重要的合营企业和联营企业的汇总财务信息" rules="R2015_R11_031" helpId="112001151">
      <m:item xlName="_GBC_eb809f81680b42f794ba04df499e52dc" concept="clcid-ci-ar:ShiFouShiYongBuZhongYaoDeHeYingQiYeHeLianYingQiYeDeHuiZongCaiWuXinXi" label="是否适用：不重要的合营企业和联营企业的汇总财务信息" selectOptions="_buildInAppliance" controlType="CustomCheckbox" cRanges="{&quot;StartName&quot;:&quot;_GBC_eb809f81680b42f794ba04df499e52dc&quot;,&quot;EndName&quot;:&quot;_GBC_78096995ca9848409e6780ab5f1386f8&quot;,&quot;CType&quot;:1,&quot;DisplayText&quot;:null}"/>
      <m:item xlName="_GBC_d02efd9c85904b029b5a51b02d9519e8" concept="clcid-ci-ar:DanWeiCaiWuFuZhuBuZhongYaoDeHeYingQiYeHeLianYingQiYeDeHuiZongCaiWuXinXi" label="单位：财务附注：不重要的合营企业和联营企业的汇总财务信息" selectOptions="_buildInScales" controlType="Combobox" cellType="Scale" appId="_GBC_31c0fe2068fd4a898e4269df4925aa76"/>
      <m:item xlName="_GBC_a6fa35df627e4d9584fb9c311eb6a4b5" concept="clcid-ci-ar:BiZhongCaiWuFuZhuBuZhongYaoDeHeYingQiYeHeLianYingQiYeDeHuiZongCaiWuXinXi" label="币种：财务附注：不重要的合营企业和联营企业的汇总财务信息" selectOptions="_buildInISO4217" controlType="Combobox" cellType="Measure" appId="_GBC_31c0fe2068fd4a898e4269df4925aa76"/>
      <m:placeholder xlName="_PLD_7dc69fc7f68243e6b4f46db3a94dd47f" addr="T0R0C1S1_1"/>
      <m:placeholder xlName="_PLD_ffe9f9922ada461388adfb92ed1e3072" addr="T0R0C2S1_1"/>
      <m:placeholder xlName="_PLD_01c0860c93244a3f94a1c91bec25150e" addr="T0R1C0S1_3"/>
      <m:placeholder xlName="_PLD_01912ad1144f412393cdaeb8d4f1f35b" addr="T0R2C0S1_1"/>
      <m:item xlName="_GBC_3b9de4f78e21459bb57416933d813364" concept="clcid-pte:HeYingQiYeTouZiZhangMianJiaZhiHeJi" label="合营企业投资账面价值合计" mulRef="_GBC_d02efd9c85904b029b5a51b02d9519e8" unitRef="_GBC_a6fa35df627e4d9584fb9c311eb6a4b5" addr="T0R2C1S1_1" formatStyle="Comma" appId="_GBC_eb809f81680b42f794ba04df499e52dc"/>
      <m:item xlName="_GBC_41d8e85556c6456d958cca77fc80388f" concept="clcid-pte:HeYingQiYeTouZiZhangMianJiaZhiHeJi" label="合营企业投资账面价值合计" periodRef="本期期初数" mulRef="_GBC_d02efd9c85904b029b5a51b02d9519e8" unitRef="_GBC_a6fa35df627e4d9584fb9c311eb6a4b5" addr="T0R2C2S1_1" formatStyle="Comma" appId="_GBC_eb809f81680b42f794ba04df499e52dc"/>
      <m:placeholder xlName="_PLD_d574603998c340988b76ed4abbb39d0f" addr="T0R3C0S1_3"/>
      <m:placeholder xlName="_PLD_6a9719a93a5947a99f4faab9ddfeb484" addr="T0R4C0S1_1"/>
      <m:item xlName="_GBC_81e5235b39054726820c4fccfadbc9d8" concept="clcid-pte:BuZhongYaoDeHeYingQiYeHeLianYingQiYeZhongHeYingQiYeJingLiRun" label="不重要的合营企业和联营企业中合营企业净利润" mulRef="_GBC_d02efd9c85904b029b5a51b02d9519e8" unitRef="_GBC_a6fa35df627e4d9584fb9c311eb6a4b5" addr="T0R4C1S1_1" formatStyle="Comma" appId="_GBC_eb809f81680b42f794ba04df499e52dc"/>
      <m:item xlName="_GBC_54ff7a5776b8469ab0645b32b2ec1a88" concept="clcid-pte:BuZhongYaoDeHeYingQiYeHeLianYingQiYeZhongHeYingQiYeJingLiRun" label="不重要的合营企业和联营企业中合营企业净利润" periodRef="上年同期数" mulRef="_GBC_d02efd9c85904b029b5a51b02d9519e8" unitRef="_GBC_a6fa35df627e4d9584fb9c311eb6a4b5" addr="T0R4C2S1_1" formatStyle="Comma" appId="_GBC_eb809f81680b42f794ba04df499e52dc"/>
      <m:placeholder xlName="_PLD_cee08c7e01b746408c5d373112665e6e" addr="T0R5C0S1_1"/>
      <m:item xlName="_GBC_4740a634a8bc4daea33217a4684df937" concept="clcid-pte:BuZhongYaoDeHeYingQiYeHeLianYingQiYeZhongHeYingQiYeQiTaZongHeShouYi" label="不重要的合营企业和联营企业中合营企业其他综合收益" mulRef="_GBC_d02efd9c85904b029b5a51b02d9519e8" unitRef="_GBC_a6fa35df627e4d9584fb9c311eb6a4b5" addr="T0R5C1S1_1" formatStyle="Comma" appId="_GBC_eb809f81680b42f794ba04df499e52dc"/>
      <m:item xlName="_GBC_10b62095661b45be82c7c5cd0ce852b8" concept="clcid-pte:BuZhongYaoDeHeYingQiYeHeLianYingQiYeZhongHeYingQiYeQiTaZongHeShouYi" label="不重要的合营企业和联营企业中合营企业其他综合收益" periodRef="上年同期数" mulRef="_GBC_d02efd9c85904b029b5a51b02d9519e8" unitRef="_GBC_a6fa35df627e4d9584fb9c311eb6a4b5" addr="T0R5C2S1_1" formatStyle="Comma" appId="_GBC_eb809f81680b42f794ba04df499e52dc"/>
      <m:placeholder xlName="_PLD_f3f65d3b731f4b4ca71b1e3491b1154d" addr="T0R6C0S1_1"/>
      <m:item xlName="_GBC_3ec4dbb82060462da28a492402661737" concept="clcid-pte:BuZhongYaoDeHeYingQiYeHeLianYingQiYeZhongHeYingQiYeZongHeShouYiZongE" label="不重要的合营企业和联营企业中合营企业综合收益总额" mulRef="_GBC_d02efd9c85904b029b5a51b02d9519e8" unitRef="_GBC_a6fa35df627e4d9584fb9c311eb6a4b5" addr="T0R6C1S1_1" formatStyle="Comma" appId="_GBC_eb809f81680b42f794ba04df499e52dc"/>
      <m:item xlName="_GBC_630f1bcce7fb4c8e9bd553cdf1c02e49" concept="clcid-pte:BuZhongYaoDeHeYingQiYeHeLianYingQiYeZhongHeYingQiYeZongHeShouYiZongE" label="不重要的合营企业和联营企业中合营企业综合收益总额" periodRef="上年同期数" mulRef="_GBC_d02efd9c85904b029b5a51b02d9519e8" unitRef="_GBC_a6fa35df627e4d9584fb9c311eb6a4b5" addr="T0R6C2S1_1" formatStyle="Comma" appId="_GBC_eb809f81680b42f794ba04df499e52dc"/>
      <m:placeholder xlName="_PLD_1bd24e2b6e8f4bddad27bea53e1b1b0a" addr="T0R8C0S1_3"/>
      <m:placeholder xlName="_PLD_96f92a97765344699f3fe74a7c29502b" addr="T0R9C0S1_1"/>
      <m:item xlName="_GBC_3ac6bd47bd704a02a38cb8272d60a664" concept="clcid-pte:LianYingQiYeTouZiZhangMianJiaZhiHeJi" label="联营企业投资账面价值合计" mulRef="_GBC_d02efd9c85904b029b5a51b02d9519e8" unitRef="_GBC_a6fa35df627e4d9584fb9c311eb6a4b5" addr="T0R9C1S1_1" formatStyle="Comma" appId="_GBC_eb809f81680b42f794ba04df499e52dc"/>
      <m:item xlName="_GBC_549dc2ee79a545c49324af99064f2f96" concept="clcid-pte:LianYingQiYeTouZiZhangMianJiaZhiHeJi" label="联营企业投资账面价值合计" periodRef="本期期初数" mulRef="_GBC_d02efd9c85904b029b5a51b02d9519e8" unitRef="_GBC_a6fa35df627e4d9584fb9c311eb6a4b5" addr="T0R9C2S1_1" formatStyle="Comma" appId="_GBC_eb809f81680b42f794ba04df499e52dc"/>
      <m:placeholder xlName="_PLD_31587dee61f14709a752f002668255e6" addr="T0R10C0S1_3"/>
      <m:placeholder xlName="_PLD_4bb9c04db78d44db8ec834da9e330d51" addr="T0R11C0S1_1"/>
      <m:item xlName="_GBC_0d4b31cecc114223b6391b00164a1561" concept="clcid-pte:BuZhongYaoDeLianYingQiYeHeLianYingQiYeZhongLianYingQiYeJingLiRun" label="不重要的联营企业和联营企业中联营企业净利润" mulRef="_GBC_d02efd9c85904b029b5a51b02d9519e8" unitRef="_GBC_a6fa35df627e4d9584fb9c311eb6a4b5" addr="T0R11C1S1_1" formatStyle="Comma" appId="_GBC_eb809f81680b42f794ba04df499e52dc"/>
      <m:item xlName="_GBC_f8211f40332444a7ab40dd7791ce8c59" concept="clcid-pte:BuZhongYaoDeLianYingQiYeHeLianYingQiYeZhongLianYingQiYeJingLiRun" label="不重要的联营企业和联营企业中联营企业净利润" periodRef="上年同期数" mulRef="_GBC_d02efd9c85904b029b5a51b02d9519e8" unitRef="_GBC_a6fa35df627e4d9584fb9c311eb6a4b5" addr="T0R11C2S1_1" formatStyle="Comma" appId="_GBC_eb809f81680b42f794ba04df499e52dc"/>
      <m:placeholder xlName="_PLD_861ee8b21c034bf6a2fe80950a41eead" addr="T0R12C0S1_1"/>
      <m:item xlName="_GBC_f824bf623d074d469f6efe4773203021" concept="clcid-pte:BuZhongYaoDeLianYingQiYeHeLianYingQiYeZhongLianYingQiYeQiTaZongHeShouYi" label="不重要的联营企业和联营企业中联营企业其他综合收益" mulRef="_GBC_d02efd9c85904b029b5a51b02d9519e8" unitRef="_GBC_a6fa35df627e4d9584fb9c311eb6a4b5" addr="T0R12C1S1_1" formatStyle="Comma" appId="_GBC_eb809f81680b42f794ba04df499e52dc"/>
      <m:item xlName="_GBC_534e40bfed0d4514869eac0a4ed0f45b" concept="clcid-pte:BuZhongYaoDeLianYingQiYeHeLianYingQiYeZhongLianYingQiYeQiTaZongHeShouYi" label="不重要的联营企业和联营企业中联营企业其他综合收益" periodRef="上年同期数" mulRef="_GBC_d02efd9c85904b029b5a51b02d9519e8" unitRef="_GBC_a6fa35df627e4d9584fb9c311eb6a4b5" addr="T0R12C2S1_1" formatStyle="Comma" appId="_GBC_eb809f81680b42f794ba04df499e52dc"/>
      <m:placeholder xlName="_PLD_53750ad8db9448d19b3096748652d9bc" addr="T0R13C0S1_1"/>
      <m:item xlName="_GBC_5fd02f435923482b8b36fe420e37e080" concept="clcid-pte:BuZhongYaoDeLianYingQiYeHeLianYingQiYeZhongLianYingQiYeZongHeShouYiZongE" label="不重要的联营企业和联营企业中联营企业综合收益总额" mulRef="_GBC_d02efd9c85904b029b5a51b02d9519e8" unitRef="_GBC_a6fa35df627e4d9584fb9c311eb6a4b5" addr="T0R13C1S1_1" formatStyle="Comma" appId="_GBC_eb809f81680b42f794ba04df499e52dc"/>
      <m:item xlName="_GBC_6c6d0a44380d462abfb436202eb2870b" concept="clcid-pte:BuZhongYaoDeLianYingQiYeHeLianYingQiYeZhongLianYingQiYeZongHeShouYiZongE" label="不重要的联营企业和联营企业中联营企业综合收益总额" periodRef="上年同期数" mulRef="_GBC_d02efd9c85904b029b5a51b02d9519e8" unitRef="_GBC_a6fa35df627e4d9584fb9c311eb6a4b5" addr="T0R13C2S1_1" formatStyle="Comma" appId="_GBC_eb809f81680b42f794ba04df499e52dc"/>
      <m:item xlName="_GBC_78096995ca9848409e6780ab5f1386f8" concept="clcid-pte:BuZhongYaoDeHeYingQiYeHeLianYingQiYeDeHuiZongCaiWuXinXiQiTaShuoMing" label="不重要的合营企业和联营企业的汇总财务信息其他说明" appId="_GBC_eb809f81680b42f794ba04df499e52dc"/>
    </m:section>
    <m:section xlName="_GBC_2874973c28b34357bf81a60947721baa" title="合营企业或联营企业向公司转移资金的能力存在重大限制的说明" rules="R2015_R11_031" helpId="112001152">
      <m:item xlName="_GBC_73dfba3df3e24fc2a5b5ede5fa8d6f09" concept="clcid-ci-ar:ShiFouShiYongHeYingQiYeHuoLianYingQiYeXiangBenGongSiZhuanYiZiJinDeNengLiCunZaiZhongDaXianZhiDeShuoMing" label="是否适用：合营企业或联营企业向本公司转移资金的能力存在重大限制的说明" selectOptions="_buildInAppliance" controlType="CustomCheckbox" cRanges="{&quot;StartName&quot;:&quot;_GBC_73dfba3df3e24fc2a5b5ede5fa8d6f09&quot;,&quot;EndName&quot;:&quot;_GBC_16bb0d7d2c714ae68e18516bdc862263&quot;,&quot;CType&quot;:1,&quot;DisplayText&quot;:null}"/>
      <m:item xlName="_GBC_16bb0d7d2c714ae68e18516bdc862263" concept="clcid-pte:HeYingQiYeHuoLianYingQiYeXiangBenGongSiZhuanYiZiJinDeNengLiCunZaiZhongDaXianZhiDeShuoMing" label="合营企业或联营企业向本公司转移资金的能力存在重大限制的说明" appId="_GBC_73dfba3df3e24fc2a5b5ede5fa8d6f09"/>
    </m:section>
    <m:section xlName="_GBC_a9980062c82d44acae24fae7368ea42f" title="合营企业或联营企业发生的超额亏损" rules="R2015_R11_031" helpId="112001153">
      <m:item xlName="_GBC_c30af0beca864d788c2fe12f47f13428" concept="clcid-ci-ar:ShiFouShiYongHeYingQiYeHuoLianYingQiYeFaShengDeChaoEKuiSun" label="是否适用：合营企业或联营企业发生的超额亏损" selectOptions="_buildInAppliance" controlType="CustomCheckbox" cRanges="{&quot;StartName&quot;:&quot;_GBC_c30af0beca864d788c2fe12f47f13428&quot;,&quot;EndName&quot;:&quot;_GBC_cd40de2e5da84ad9ada2436c92f0269a&quot;,&quot;CType&quot;:1,&quot;DisplayText&quot;:null}"/>
      <m:item xlName="_GBC_9b4b48485e2c48b587d05345d1b8f906" concept="clcid-ci-ar:DanWeiCaiWuFuZhuHeYingQiYeHuoLianYingQiYeFaShengDeChaoEKuiSun" label="单位：财务附注：合营企业或联营企业发生的超额亏损" selectOptions="_buildInScales" controlType="Combobox" cellType="Scale" appId="_GBC_31c0fe2068fd4a898e4269df4925aa76"/>
      <m:item xlName="_GBC_7d2c2ed8c3ee46d0b970983fec01e300" concept="clcid-ci-ar:BiZhongCaiWuFuZhuHeYingQiYeHuoLianYingQiYeFaShengDeChaoEKuiSun" label="币种：财务附注：合营企业或联营企业发生的超额亏损" selectOptions="_buildInISO4217" controlType="Combobox" cellType="Measure" appId="_GBC_31c0fe2068fd4a898e4269df4925aa76"/>
      <m:placeholder xlName="_PLD_cfae10af261f4c818e8ad4071177e98a" addr="T0R0C0S1_1"/>
      <m:placeholder xlName="_PLD_bf584a5933ac41b186166a4a8dae846e" addr="T0R0C1S1_1"/>
      <m:placeholder xlName="_PLD_1b45f7d4d7a14cdabeaa4bc0da033964" addr="T0R0C2S1_1"/>
      <m:placeholder xlName="_PLD_239b4d282a024f0282cd9d6f560337f1" addr="T0R0C3S1_1"/>
      <m:tuple xlName="_GBC_7e29a518806744008c8379d047a8363b" concept="clcid-pte:HeYingQiYeHuoLianYingQiYeFaShengDeChaoEKuiSunMingXi" default_row="2" addr="T0R1C">
        <m:item xlName="_GBC_d51b2da83ed64de3b399c751299d1f84" concept="clcid-pte:HeYingQiYeHuoLianYingQiYeFaShengDeChaoEKuiSunMingXiQiYeMingCheng" label="合营企业或联营企业发生的超额亏损明细-企业名称" addr="T0R1C0S1_1" appId="_GBC_c30af0beca864d788c2fe12f47f13428"/>
        <m:item xlName="_GBC_c3983f8e2a4546ff86b204d2e47c2630" concept="clcid-pte:HeYingQiYeHuoLianYingQiYeFaShengDeChaoEKuiSunMingXiLeiJiWeiQueRenQianQiLeiJiDeSunShi" label="合营企业或联营企业发生的超额亏损明细-累积未确认前期累计的损失" mulRef="_GBC_9b4b48485e2c48b587d05345d1b8f906" unitRef="_GBC_7d2c2ed8c3ee46d0b970983fec01e300" addr="T0R1C1S1_1" formatStyle="Comma" appId="_GBC_c30af0beca864d788c2fe12f47f13428"/>
        <m:item xlName="_GBC_b95f27ad8400430f9522470d42e087d4" concept="clcid-pte:HeYingQiYeHuoLianYingQiYeFaShengDeChaoEKuiSunMingXiBenQiWeiQueRenDeSunShi" label="合营企业或联营企业发生的超额亏损明细-本期未确认的损失" mulRef="_GBC_9b4b48485e2c48b587d05345d1b8f906" unitRef="_GBC_7d2c2ed8c3ee46d0b970983fec01e300" addr="T0R1C2S1_1" formatStyle="Comma" appId="_GBC_c30af0beca864d788c2fe12f47f13428"/>
        <m:item xlName="_GBC_0ec0be156b7647fb8c760f66d3db7d72" concept="clcid-pte:HeYingQiYeHuoLianYingQiYeFaShengDeChaoEKuiSunMingXiBenQiMoLeiJiWeiQueRenDeSunShi" label="合营企业或联营企业发生的超额亏损明细-本期末累积未确认的损失" mulRef="_GBC_9b4b48485e2c48b587d05345d1b8f906" unitRef="_GBC_7d2c2ed8c3ee46d0b970983fec01e300" addr="T0R1C3S1_1" formatStyle="Comma" appId="_GBC_c30af0beca864d788c2fe12f47f13428"/>
      </m:tuple>
      <m:item xlName="_GBC_cd40de2e5da84ad9ada2436c92f0269a" concept="clcid-pte:HeYingQiYeHuoLianYingQiYeFaShengDeChaoEKuiSunDeQiTaShuoMing" label="合营企业或联营企业发生的超额亏损的其他说明" appId="_GBC_c30af0beca864d788c2fe12f47f13428"/>
    </m:section>
    <m:section xlName="_GBC_da055842bf8c4e9598b87bd760d969ec" title="与合营企业投资相关的未确认承诺" rules="R2015_R11_031" helpId="112001154">
      <m:item xlName="_GBC_9d014d8b476148b59476808a5cda81d8" concept="clcid-ci-ar:ShiFouShiYongYuHeYingQiYeTouZiXiangGuanDeWeiQueRenChengNuo" label="是否适用：与合营企业投资相关的未确认承诺" selectOptions="_buildInAppliance" controlType="CustomCheckbox" cRanges="{&quot;StartName&quot;:&quot;_GBC_9d014d8b476148b59476808a5cda81d8&quot;,&quot;EndName&quot;:&quot;_GBC_304f742025af4d29b1146cb79b0e720f&quot;,&quot;CType&quot;:1,&quot;DisplayText&quot;:null}"/>
      <m:item xlName="_GBC_304f742025af4d29b1146cb79b0e720f" concept="clcid-pte:YuHeYingQiYeTouZiXiangGuanDeWeiQueRenChengNuo" label="与合营企业投资相关的未确认承诺" appId="_GBC_9d014d8b476148b59476808a5cda81d8"/>
    </m:section>
    <m:section xlName="_GBC_1f803def681a42ba91cdde709a067b3f" title="与合营企业或联营企业投资相关的或有负债" rules="R2015_R11_031" helpId="112001154">
      <m:item xlName="_GBC_caba618be81b4cb1acf89073549a456a" concept="clcid-ci-ar:ShiFouShiYongYuHeYingQiYeHuoLianYingQiYeTouZiXiangGuanDeHuoYouFuZhai" label="是否适用：与合营企业或联营企业投资相关的或有负债" selectOptions="_buildInAppliance" controlType="CustomCheckbox" cRanges="{&quot;StartName&quot;:&quot;_GBC_caba618be81b4cb1acf89073549a456a&quot;,&quot;EndName&quot;:&quot;_GBC_253b38b77ad745b99f9086678d461424&quot;,&quot;CType&quot;:1,&quot;DisplayText&quot;:null}"/>
      <m:item xlName="_GBC_253b38b77ad745b99f9086678d461424" concept="clcid-pte:YuHeYingQiYeHuoLianYingQiYeTouZiXiangGuanDeHuoYouFuZhai" label="与合营企业或联营企业投资相关的或有负债" appId="_GBC_caba618be81b4cb1acf89073549a456a"/>
    </m:section>
    <m:section xlName="_GBC_90d44eb1222944759107483908112493" title="重要的共同经营" rules="R2015_R11_031" helpId="112001155">
      <m:item xlName="_GBC_7911b1c8195d4c20b2800b1c5ac94a93" concept="clcid-ci-ar:ShiFouShiYongZhongYaoDeGongTongJingYing" label="是否适用：重要的共同经营" selectOptions="_buildInAppliance" controlType="CustomCheckbox" cRanges="{&quot;StartName&quot;:&quot;_GBC_7911b1c8195d4c20b2800b1c5ac94a93&quot;,&quot;EndName&quot;:&quot;_GBC_510515104d3643d08c75fbeed5d17407&quot;,&quot;CType&quot;:1,&quot;DisplayText&quot;:null}"/>
      <m:placeholder xlName="_PLD_18da2280e64143b29675b54aeccd4c30" addr="T0R0C0S2_1"/>
      <m:placeholder xlName="_PLD_9423e97553894f53b7adefef4a490ec6" addr="T0R0C1S2_1"/>
      <m:placeholder xlName="_PLD_9a58315aa2f64fc6baaeb781f713cbc1" addr="T0R0C2S2_1"/>
      <m:placeholder xlName="_PLD_68da5ecb4b58486d8d513adb517ce81f" addr="T0R0C3S2_1"/>
      <m:placeholder xlName="_PLD_8c6fef9fec8141039c0eb78472057860" addr="T0R0C4S1_2"/>
      <m:placeholder xlName="_PLD_6e5762d6d81840768248bd4954a97c52" addr="T0R1C4S1_1"/>
      <m:placeholder xlName="_PLD_51d6dd667e1e4b31b6055b5cbf5952cd" addr="T0R1C5S1_1"/>
      <m:tuple xlName="_GBC_f1de91f094534cd18f50c7f69306da13" concept="clcid-pte:ZhongYaoDeGongTongJingYingMingXi" default_row="2" addr="T0R2C">
        <m:item xlName="_GBC_78975e35a2024040ae8593aecc1bc47b" concept="clcid-pte:ZhongYaoDeGongTongJingYingMingXiGongTongJingYingMingCheng" label="重要的共同经营明细-共同经营名称" addr="T0R2C0S1_1" appId="_GBC_7911b1c8195d4c20b2800b1c5ac94a93"/>
        <m:item xlName="_GBC_38c927d9cf1b42ffa0af5b3e7c52628c" concept="clcid-pte:ZhongYaoDeGongTongJingYingMingXiZhuYaoJingYingDi" label="重要的共同经营明细-主要经营地" addr="T0R2C1S1_1" appId="_GBC_7911b1c8195d4c20b2800b1c5ac94a93"/>
        <m:item xlName="_GBC_fdefeb4695d1422da1ffe3b89d54e6f3" concept="clcid-pte:ZhongYaoDeGongTongJingYingMingXiZhuCeDi" label="重要的共同经营明细-注册地" addr="T0R2C2S1_1" appId="_GBC_7911b1c8195d4c20b2800b1c5ac94a93"/>
        <m:item xlName="_GBC_d9bbb0f464754fa4a1dec02691058630" concept="clcid-pte:ZhongYaoDeGongTongJingYingMingXiYeWuXingZhi" label="重要的共同经营明细-业务性质" addr="T0R2C3S1_1" appId="_GBC_7911b1c8195d4c20b2800b1c5ac94a93"/>
        <m:item xlName="_GBC_e1fafff709554f618ca8bf3b186d047f" concept="clcid-pte:ZhongYaoDeGongTongJingYingMingXiZhiJieChiGuBiLi" label="重要的共同经营明细-直接持股比例" addr="T0R2C4S1_1" baseScale="0.01" formatStyle="Comma" appId="_GBC_7911b1c8195d4c20b2800b1c5ac94a93"/>
        <m:item xlName="_GBC_3db2809d20cc4b92bac806acde18e9b7" concept="clcid-pte:ZhongYaoDeGongTongJingYingMingXiJianJieChiGuBiLi" label="重要的共同经营明细-间接持股比例" addr="T0R2C5S1_1" baseScale="0.01" formatStyle="Comma" appId="_GBC_7911b1c8195d4c20b2800b1c5ac94a93"/>
      </m:tuple>
      <m:item xlName="_GBC_264985a41418431daf8836a891fcda66" concept="clcid-pte:ZaiGongTongJingYingZhongDeChiGuBiLiHuoXiangYouDeFenEBuTongYuBiaoJueQuanBiLiDeShuoMing" label="在共同经营中的持股比例或享有的份额不同于表决权比例的说明" appId="_GBC_7911b1c8195d4c20b2800b1c5ac94a93"/>
      <m:item xlName="_GBC_951fe1b8195f4373a4acbba7dd4813a1" concept="clcid-pte:GongTongJingYingWeiDanDuZhuTiDeFenLeiWeiGongTongJingYingDeYiJu" label="共同经营为单独主体的，分类为共同经营的依据" appId="_GBC_7911b1c8195d4c20b2800b1c5ac94a93"/>
      <m:item xlName="_GBC_510515104d3643d08c75fbeed5d17407" concept="clcid-pte:ZhongYaoDeGongTongJingYingDeQiTaShuoMing" label="重要的共同经营的其他说明" appId="_GBC_7911b1c8195d4c20b2800b1c5ac94a93"/>
    </m:section>
    <m:section xlName="_GBC_5cfea65e45c44f1b9fdec762be35880d" title="在未纳入合并财务报表范围的结构化主体中的权益" rules="R2015_R11_031" helpId="112001156">
      <m:item xlName="_GBC_48eb6d215e5341c694f98d18f5889902" concept="clcid-ci-ar:ShiFouShiYongWeiNaRuHeBingCaiWuBaoBiaoFanWeiDeJieGouHuaZhuTiDeXiangGuanShuoMing" label="是否适用：未纳入合并财务报表范围的结构化主体的相关说明" selectOptions="_buildInAppliance" controlType="CustomCheckbox" cRanges="{&quot;StartName&quot;:&quot;_GBC_48eb6d215e5341c694f98d18f5889902&quot;,&quot;EndName&quot;:&quot;_GBC_f8aec7ab1bb940bd9d7d8db21860f9ea&quot;,&quot;CType&quot;:1,&quot;DisplayText&quot;:null}"/>
      <m:item xlName="_GBC_f8aec7ab1bb940bd9d7d8db21860f9ea" concept="clcid-pte:WeiNaRuHeBingCaiWuBaoBiaoFanWeiDeJieGouHuaZhuTiDeXiangGuanShuoMing" label="未纳入合并财务报表范围的结构化主体的相关说明" appId="_GBC_48eb6d215e5341c694f98d18f5889902"/>
    </m:section>
    <m:section xlName="_GBC_b24eb633f5244c748225389f3b3cedd1" title="在其他主体中的权益其他需要说明的事项" rules="R2015_R11_031" helpId="112001157">
      <m:item xlName="_GBC_ad8b7a7df0724efaa681a931c91befff" concept="clcid-ci-ar:ShiFouShiYongZaiQiTaZhuTiZhongDeQuanYiQiTaXuYaoShuoMingDeShiXiang" label="是否适用：在其他主体中的权益其他需要说明的事项" selectOptions="_buildInAppliance" controlType="CustomCheckbox" cRanges="{&quot;StartName&quot;:&quot;_GBC_ad8b7a7df0724efaa681a931c91befff&quot;,&quot;EndName&quot;:&quot;_GBC_136deac01881418db7cb9600cfb86de9&quot;,&quot;CType&quot;:1,&quot;DisplayText&quot;:null}"/>
      <m:item xlName="_GBC_136deac01881418db7cb9600cfb86de9" concept="clcid-pte:ZaiQiTaZhuTiZhongDeQuanYiQiTaXuYaoShuoMingDeShiXiang" label="在其他主体中的权益其他需要说明的事项" appId="_GBC_ad8b7a7df0724efaa681a931c91befff"/>
    </m:section>
    <m:section xlName="_GBC_815d628fea814e7191d23a3fcbe2783c" title="与金融工具相关的风险" helpId="112001158">
      <m:item xlName="_GBC_c64d1e82474c4f20aebea3bef4cc2f0f" concept="clcid-ci-ar:ShiFouShiYongYuJinRongGongJuXiangGuanDeFengXian" label="是否适用：与金融工具相关的风险" selectOptions="_buildInAppliance" controlType="CustomCheckbox" cRanges="{&quot;StartName&quot;:&quot;_GBC_c64d1e82474c4f20aebea3bef4cc2f0f&quot;,&quot;EndName&quot;:&quot;_GBC_f6714dfdbb554edeb7e7fde71c65346d&quot;,&quot;CType&quot;:1,&quot;DisplayText&quot;:null}"/>
      <m:item xlName="_GBC_f6714dfdbb554edeb7e7fde71c65346d" concept="clcid-pte:YuJinRongGongJuXiangGuanDeFengXian" label="与金融工具相关的风险" appId="_GBC_c64d1e82474c4f20aebea3bef4cc2f0f"/>
    </m:section>
    <m:section xlName="_GBC_b5067cea5bbf475388ac2623e2c669d7" title="以公允价值计量的资产和负债的期末公允价值" helpId="112001159">
      <m:item xlName="_GBC_291486261b6a4e8092eea55d961b7664" concept="clcid-ci-ar:ShiFouShiYongYiGongYunJiaZhiJiLiangDeZiChanHeFuZhaiDeQiMoGongYunJiaZhi" label="是否适用：以公允价值计量的资产和负债的期末公允价值" selectOptions="_buildInAppliance" controlType="CustomCheckbox" cRanges="[{&quot;StartName&quot;:&quot;_GBC_291486261b6a4e8092eea55d961b7664&quot;,&quot;EndName&quot;:&quot;_GBC_39b36811d81545a0901942bc693d3afe&quot;,&quot;CType&quot;:1}]"/>
      <m:item xlName="_GBC_4b785696cde44d3f8a4a7d28ab963e38" concept="clcid-ci-ar:DanWeiCaiWuFuZhuYiGongYunJiaZhiJiLiangDeZiChanHeFuZhaiDeQiMoGongYunJiaZhi" label="单位：财务附注：以公允价值计量的资产和负债的期末公允价值" selectOptions="_buildInScales" controlType="Combobox" cellType="Scale" appId="_GBC_291486261b6a4e8092eea55d961b7664"/>
      <m:item xlName="_GBC_3bb5670d72804a4b8298edc3e439955a" concept="clcid-ci-ar:BiZhongCaiWuFuZhuYiGongYunJiaZhiJiLiangDeZiChanHeFuZhaiDeQiMoGongYunJiaZhi" label="币种：财务附注：以公允价值计量的资产和负债的期末公允价值" selectOptions="_buildInISO4217" controlType="Combobox" cellType="Measure" appId="_GBC_291486261b6a4e8092eea55d961b7664"/>
      <m:placeholder xlName="_PLD_25e2bb7801744f08a089c0e6a2b31b9b" addr="T0R0C0S2_1"/>
      <m:placeholder xlName="_PLD_ad919f08ba5040a28e31328eb66da0bf" addr="T0R0C1S1_4"/>
      <m:placeholder xlName="_PLD_4bb34c3d92bf450fb80f7c0c95977a2b" addr="T0R1C1S1_1"/>
      <m:placeholder xlName="_PLD_08753059c9e04a10af2918fbc1559bed" addr="T0R1C2S1_1"/>
      <m:placeholder xlName="_PLD_b263de838c9c4afa9fddb6dee6409a62" addr="T0R1C3S1_1"/>
      <m:placeholder xlName="_PLD_50eba344a451417c8072228a7a4959c5" addr="T0R1C4S1_1"/>
      <m:placeholder xlName="_PLD_0df07aa5429843d5898a68994e53f99c" addr="T0R2C0S1_1"/>
      <m:item xlName="_GBC_9302ae40086e4706bbcee7f6612e7ac6" concept="clcid-pte:DiYiCengCiGongYunJiaZhiJiLiangChiXuDeGongYunJiaZhi" label="第一层次公允价值计量持续的公允价值" mulRef="_GBC_4b785696cde44d3f8a4a7d28ab963e38" unitRef="_GBC_3bb5670d72804a4b8298edc3e439955a" addr="T0R2C1S1_1" formatStyle="Comma" appId="_GBC_291486261b6a4e8092eea55d961b7664">
        <m:complexRule comparator="Eq" title="第一层次公允价值计量持续的公允价值" id="C209383bc1b58491caae66bfafe4fdb93"/>
      </m:item>
      <m:item xlName="_GBC_dc87ce28f0c842fb918a5c43d3898375" concept="clcid-pte:DiErCengCiGongYunJiaZhiJiLiangChiXuDeGongYunJiaZhi" label="第二层次公允价值计量持续的公允价值" mulRef="_GBC_4b785696cde44d3f8a4a7d28ab963e38" unitRef="_GBC_3bb5670d72804a4b8298edc3e439955a" addr="T0R2C2S1_1" formatStyle="Comma" appId="_GBC_291486261b6a4e8092eea55d961b7664"/>
      <m:item xlName="_GBC_82b0ba3b977d47008c0a3dd1c2eec5c4" concept="clcid-pte:DiSanCengCiGongYunJiaZhiJiLiangChiXuDeGongYunJiaZhi" label="第三层次公允价值计量持续的公允价值" mulRef="_GBC_4b785696cde44d3f8a4a7d28ab963e38" unitRef="_GBC_3bb5670d72804a4b8298edc3e439955a" addr="T0R2C3S1_1" formatStyle="Comma" appId="_GBC_291486261b6a4e8092eea55d961b7664"/>
      <m:item xlName="_GBC_bef2d2676c9040f7b8ebbcf6c7717756" concept="clcid-pte:ChiXuDeGongYunJiaZhiJiLiangHeJi" label="持续的公允价值计量合计" mulRef="_GBC_4b785696cde44d3f8a4a7d28ab963e38" unitRef="_GBC_3bb5670d72804a4b8298edc3e439955a" addr="T0R2C4S1_1" formatStyle="Comma" appId="_GBC_291486261b6a4e8092eea55d961b7664">
        <m:complexRule comparator="Eq" title="持续的公允价值计量合计" test=" $_GBC_9302ae40086e4706bbcee7f6612e7ac6 +  $_GBC_dc87ce28f0c842fb918a5c43d3898375 +  $_GBC_82b0ba3b977d47008c0a3dd1c2eec5c4" id="C31ae3f9a1c924adfbe4ba5d2fb13ca25"/>
      </m:item>
      <m:placeholder xlName="_PLD_8e41e2365fb54f2a8e82acb6d5327c25" addr="T0R3C0S1_1"/>
      <m:item xlName="_GBC_b06566bad57947cca7ef58dfa8c9dc0b" concept="clcid-pte:XinZhunZeDiYiCengCiGongYunJiaZhiJiLiangDeJiaoYiXingJinRongZiChan" label="新准则第一层次公允价值计量的交易性金融资产" mulRef="_GBC_4b785696cde44d3f8a4a7d28ab963e38" unitRef="_GBC_3bb5670d72804a4b8298edc3e439955a" addr="T0R3C1S1_1" formatStyle="Comma" appId="_GBC_291486261b6a4e8092eea55d961b7664">
        <m:complexRule comparator="Eq" title="第一层次公允价值计量的交易性金融资产" test=" $_GBC_77d6bea585a041f9abe2c2b6ec7b95ef +  $_GBC_4709730cec2540809111e608ac9ab51d" id="Cd91cd7b9ddeb4be2aaecfc135de21ded"/>
      </m:item>
      <m:item xlName="_GBC_de6b7db6d03e4b60a6a0a5f71ef22385" concept="clcid-pte:XinZhunZeDiErCengCiGongYunJiaZhiJiLiangDeJiaoYiXingJinRongZiChan" label="新准则第二层次公允价值计量的交易性金融资产" mulRef="_GBC_4b785696cde44d3f8a4a7d28ab963e38" unitRef="_GBC_3bb5670d72804a4b8298edc3e439955a" addr="T0R3C2S1_1" formatStyle="Comma" appId="_GBC_291486261b6a4e8092eea55d961b7664">
        <m:complexRule comparator="Eq" title="第二层次公允价值计量的交易性金融资产" test=" $_GBC_b594f084a0c7464ea7538e7ceabb48e0 +  $_GBC_1c0a9b4303b44b9f9442b4fc24fa77da" id="C30d33df6646442da9fccc5a79d4b91e9"/>
      </m:item>
      <m:item xlName="_GBC_847b83d0f42845d5903d9b7a05117abf" concept="clcid-pte:XinZhunZeDiSanCengCiGongYunJiaZhiJiLiangDeJiaoYiXingJinRongZiChan" label="新准则第三层次公允价值计量的交易性金融资产" mulRef="_GBC_4b785696cde44d3f8a4a7d28ab963e38" unitRef="_GBC_3bb5670d72804a4b8298edc3e439955a" addr="T0R3C3S1_1" formatStyle="Comma" appId="_GBC_291486261b6a4e8092eea55d961b7664">
        <m:complexRule comparator="Eq" title="第三层次公允价值计量的交易性金融资产" test=" $_GBC_63e31ee2e7114da2b4a71c11957a7c31 +  $_GBC_04d4677fa08f40c1b07438ff009a7d65" id="C881af99eac6942848b700228b01a9adc"/>
      </m:item>
      <m:item xlName="_GBC_3914c328b93c4849bad40b074d412d2e" concept="clcid-pte:XinZhunZeJiaoYiXingJinRongZiChanGongYunJiaZhiHeJi" label="新准则交易性金融资产公允价值合计" mulRef="_GBC_4b785696cde44d3f8a4a7d28ab963e38" unitRef="_GBC_3bb5670d72804a4b8298edc3e439955a" addr="T0R3C4S1_1" formatStyle="Comma" appId="_GBC_291486261b6a4e8092eea55d961b7664">
        <m:complexRule comparator="Eq" title="交易性金融资产公允价值合计" test=" $_GBC_0cefce2c997d4e7b89a4989e4eb17e59 +  $_GBC_927c6366638b4bd78b7043d358c0a8b9" id="C9f98d0c5785f45f6ba486c35292748d9"/>
      </m:item>
      <m:placeholder xlName="_PLD_ec78ce9b24c54617a7a100b54d80834e" addr="T0R4C0S1_1"/>
      <m:item xlName="_GBC_77d6bea585a041f9abe2c2b6ec7b95ef" concept="clcid-pte:XinZhunZeDiYiCengCiGongYunJiaZhiJiLiangDeYiGongYunJiaZhiJiLiangQieBianDongJiRuDangQiSunYiDeJinRongZiChan" label="新准则第一层次公允价值计量的以公允价值计量且变动计入当期损益的金融资产" mulRef="_GBC_4b785696cde44d3f8a4a7d28ab963e38" unitRef="_GBC_3bb5670d72804a4b8298edc3e439955a" addr="T0R4C1S1_1" formatStyle="Comma" appId="_GBC_291486261b6a4e8092eea55d961b7664"/>
      <m:item xlName="_GBC_b594f084a0c7464ea7538e7ceabb48e0" concept="clcid-pte:XinZhunZeDiErCengCiGongYunJiaZhiJiLiangDeYiGongYunJiaZhiJiLiangQieBianDongJiRuDangQiSunYiDeJinRongZiChan" label="新准则第二层次公允价值计量的以公允价值计量且变动计入当期损益的金融资产" mulRef="_GBC_4b785696cde44d3f8a4a7d28ab963e38" unitRef="_GBC_3bb5670d72804a4b8298edc3e439955a" addr="T0R4C2S1_1" formatStyle="Comma" appId="_GBC_291486261b6a4e8092eea55d961b7664"/>
      <m:item xlName="_GBC_04d4677fa08f40c1b07438ff009a7d65" concept="clcid-pte:XinZhunZeDiSanCengCiGongYunJiaZhiJiLiangDeYiGongYunJiaZhiJiLiangQieBianDongJiRuDangQiSunYiDeJinRongZiChan" label="新准则第三层次公允价值计量的以公允价值计量且变动计入当期损益的金融资产" mulRef="_GBC_4b785696cde44d3f8a4a7d28ab963e38" unitRef="_GBC_3bb5670d72804a4b8298edc3e439955a" addr="T0R4C3S1_1" formatStyle="Comma" appId="_GBC_291486261b6a4e8092eea55d961b7664"/>
      <m:item xlName="_GBC_0cefce2c997d4e7b89a4989e4eb17e59" concept="clcid-pte:XinZhunZeGongYunJiaZhiJiLiangQieQiBianDongJiRuDangQiSunYiDeJinRongZiChanHeJi" label="新准则公允价值计量且其变动计入当期损益的金融资产合计" mulRef="_GBC_4b785696cde44d3f8a4a7d28ab963e38" unitRef="_GBC_3bb5670d72804a4b8298edc3e439955a" addr="T0R4C4S1_1" formatStyle="Comma" appId="_GBC_291486261b6a4e8092eea55d961b7664"/>
      <m:placeholder xlName="_PLD_1978a795a85148b4b91da91d8626cc66" addr="T0R5C0S1_1"/>
      <m:item xlName="_GBC_b0610cfb40354c19a6b61b6ca5838542" concept="clcid-pte:DiYiCengCiGongYunJiaZhiJiLiangDeJiaoYiXingJinRongZiChanZhongDeZhaiWuGongJuTouZi" label="第一层次公允价值计量的交易性金融资产中的债务工具投资" mulRef="_GBC_4b785696cde44d3f8a4a7d28ab963e38" unitRef="_GBC_3bb5670d72804a4b8298edc3e439955a" addr="T0R5C1S1_1" formatStyle="Comma" appId="_GBC_291486261b6a4e8092eea55d961b7664"/>
      <m:item xlName="_GBC_bd1d7bfe7e70424685e58b672d9f5cdf" concept="clcid-pte:DiErCengCiGongYunJiaZhiJiLiangDeJiaoYiXingJinRongZiChanZhongDeZhaiWuGongJuTouZi" label="第二层次公允价值计量的交易性金融资产中的债务工具投资" mulRef="_GBC_4b785696cde44d3f8a4a7d28ab963e38" unitRef="_GBC_3bb5670d72804a4b8298edc3e439955a" addr="T0R5C2S1_1" formatStyle="Comma" appId="_GBC_291486261b6a4e8092eea55d961b7664"/>
      <m:item xlName="_GBC_a411b3f0fb1a4187a1bcb95246783a66" concept="clcid-pte:DiSanCengCiGongYunJiaZhiJiLiangDeJiaoYiXingJinRongZiChanZhongDeZhaiWuGongJuTouZi" label="第三层次公允价值计量的交易性金融资产中的债务工具投资" mulRef="_GBC_4b785696cde44d3f8a4a7d28ab963e38" unitRef="_GBC_3bb5670d72804a4b8298edc3e439955a" addr="T0R5C3S1_1" formatStyle="Comma" appId="_GBC_291486261b6a4e8092eea55d961b7664"/>
      <m:item xlName="_GBC_18e20595f94a449eb4351445fe1a0b86" concept="clcid-pte:JiaoYiXingJinRongZiChanZhongDeZhaiWuGongJuTouZiGongYunJiaZhiHeJi" label="交易性金融资产中的债务工具投资公允价值合计" mulRef="_GBC_4b785696cde44d3f8a4a7d28ab963e38" unitRef="_GBC_3bb5670d72804a4b8298edc3e439955a" addr="T0R5C4S1_1" formatStyle="Comma" appId="_GBC_291486261b6a4e8092eea55d961b7664">
        <m:complexRule comparator="Eq" title="交易性金融资产中的债务工具投资公允价值合计" test=" $_GBC_b0610cfb40354c19a6b61b6ca5838542 +  $_GBC_bd1d7bfe7e70424685e58b672d9f5cdf +  $_GBC_a411b3f0fb1a4187a1bcb95246783a66" id="Cb8da8219b02347888c12d0b2c8a4c389"/>
      </m:item>
      <m:placeholder xlName="_PLD_77996810365c481083bed5a411822288" addr="T0R6C0S1_1"/>
      <m:item xlName="_GBC_a54af18a4db24bd8b3cc13f52a9ec5d7" concept="clcid-pte:DiYiCengCiGongYunJiaZhiJiLiangDeJiaoYiXingJinRongZiChanZhongDeQuanYiGongJuTouZi" label="第一层次公允价值计量的交易性金融资产中的权益工具投资" mulRef="_GBC_4b785696cde44d3f8a4a7d28ab963e38" unitRef="_GBC_3bb5670d72804a4b8298edc3e439955a" addr="T0R6C1S1_1" formatStyle="Comma" appId="_GBC_291486261b6a4e8092eea55d961b7664"/>
      <m:item xlName="_GBC_96fc974a1a3f4eb69d61591e2e192550" concept="clcid-pte:DiErCengCiGongYunJiaZhiJiLiangDeJiaoYiXingJinRongZiChanZhongDeQuanYiGongJuTouZi" label="第二层次公允价值计量的交易性金融资产中的权益工具投资" mulRef="_GBC_4b785696cde44d3f8a4a7d28ab963e38" unitRef="_GBC_3bb5670d72804a4b8298edc3e439955a" addr="T0R6C2S1_1" formatStyle="Comma" appId="_GBC_291486261b6a4e8092eea55d961b7664"/>
      <m:item xlName="_GBC_b16180d6b03f49cea2c8db7d4fb6bb72" concept="clcid-pte:DiSanCengCiGongYunJiaZhiJiLiangDeJiaoYiXingJinRongZiChanZhongDeQuanYiGongJuTouZi" label="第三层次公允价值计量的交易性金融资产中的权益工具投资" mulRef="_GBC_4b785696cde44d3f8a4a7d28ab963e38" unitRef="_GBC_3bb5670d72804a4b8298edc3e439955a" addr="T0R6C3S1_1" formatStyle="Comma" appId="_GBC_291486261b6a4e8092eea55d961b7664"/>
      <m:item xlName="_GBC_13c4a98f1e154612ab62518ad0828761" concept="clcid-pte:JiaoYiXingJinRongZiChanZhongDeQuanYiGongJuTouZiGongYunJiaZhiHeJi" label="交易性金融资产中的权益工具投资公允价值合计" mulRef="_GBC_4b785696cde44d3f8a4a7d28ab963e38" unitRef="_GBC_3bb5670d72804a4b8298edc3e439955a" addr="T0R6C4S1_1" formatStyle="Comma" appId="_GBC_291486261b6a4e8092eea55d961b7664">
        <m:complexRule comparator="Eq" title="交易性金融资产中的权益工具投资公允价值合计" test=" $_GBC_a54af18a4db24bd8b3cc13f52a9ec5d7 +  $_GBC_96fc974a1a3f4eb69d61591e2e192550 +  $_GBC_b16180d6b03f49cea2c8db7d4fb6bb72" id="C5c8a2cb25bf44ed88003f4f7c642d0cc"/>
      </m:item>
      <m:placeholder xlName="_PLD_7417bbdf88f74ca7abe6826af039046b" addr="T0R7C0S1_1"/>
      <m:item xlName="_GBC_23ec6a5b2dbd40bb9ef5676a1a0b290c" concept="clcid-pte:DiYiCengCiGongYunJiaZhiJiLiangDeJiaoYiXingJinRongZiChanZhongDeYanShengJinRongZiChan" label="第一层次公允价值计量的交易性金融资产中的衍生金融资产" mulRef="_GBC_4b785696cde44d3f8a4a7d28ab963e38" unitRef="_GBC_3bb5670d72804a4b8298edc3e439955a" addr="T0R7C1S1_1" formatStyle="Comma" appId="_GBC_291486261b6a4e8092eea55d961b7664"/>
      <m:item xlName="_GBC_1e70e525e4c045ceb15488bddc23cfc5" concept="clcid-pte:DiErCengCiGongYunJiaZhiJiLiangDeJiaoYiXingJinRongZiChanZhongDeYanShengJinRongZiChan" label="第二层次公允价值计量的交易性金融资产中的衍生金融资产" mulRef="_GBC_4b785696cde44d3f8a4a7d28ab963e38" unitRef="_GBC_3bb5670d72804a4b8298edc3e439955a" addr="T0R7C2S1_1" formatStyle="Comma" appId="_GBC_291486261b6a4e8092eea55d961b7664"/>
      <m:item xlName="_GBC_bd24dfa77f26423b878071075819ab2d" concept="clcid-pte:DiSanCengCiGongYunJiaZhiJiLiangDeJiaoYiXingJinRongZiChanZhongDeYanShengJinRongZiChan" label="第三层次公允价值计量的交易性金融资产中的衍生金融资产" mulRef="_GBC_4b785696cde44d3f8a4a7d28ab963e38" unitRef="_GBC_3bb5670d72804a4b8298edc3e439955a" addr="T0R7C3S1_1" formatStyle="Comma" appId="_GBC_291486261b6a4e8092eea55d961b7664"/>
      <m:item xlName="_GBC_ced3b697282043448a157bfc3e021dd8" concept="clcid-pte:JiaoYiXingJinRongZiChanZhongDeYanShengJinRongZiChanGongYunJiaZhiHeJi" label="交易性金融资产中的衍生金融资产公允价值合计" mulRef="_GBC_4b785696cde44d3f8a4a7d28ab963e38" unitRef="_GBC_3bb5670d72804a4b8298edc3e439955a" addr="T0R7C4S1_1" formatStyle="Comma" appId="_GBC_291486261b6a4e8092eea55d961b7664">
        <m:complexRule comparator="Eq" title="交易性金融资产中的衍生金融资产公允价值合计" test=" $_GBC_23ec6a5b2dbd40bb9ef5676a1a0b290c +  $_GBC_1e70e525e4c045ceb15488bddc23cfc5 +  $_GBC_bd24dfa77f26423b878071075819ab2d" id="Cdaf93647cb7849ac8916e76c5289ff17"/>
      </m:item>
      <m:placeholder xlName="_PLD_8f2dd6e8cd7d4b6f8a25ea84b5be71b1" addr="T0R8C0S1_1"/>
      <m:item xlName="_GBC_4709730cec2540809111e608ac9ab51d" concept="clcid-pte:DiYiCengCiGongYunJiaZhiJiLiangDeZhiDingYiGongYunJiaZhiJiLiangQieBianDongJiRuDangQiSunYiDeJinRongZiChan" label="第一层次公允价值计量的指定以公允价值计量且变动计入当期损益的金融资产" mulRef="_GBC_4b785696cde44d3f8a4a7d28ab963e38" unitRef="_GBC_3bb5670d72804a4b8298edc3e439955a" addr="T0R8C1S1_1" formatStyle="Comma" appId="_GBC_291486261b6a4e8092eea55d961b7664"/>
      <m:item xlName="_GBC_1c0a9b4303b44b9f9442b4fc24fa77da" concept="clcid-pte:DiErCengCiGongYunJiaZhiJiLiangDeZhiDingYiGongYunJiaZhiJiLiangQieBianDongJiRuDangQiSunYiDeJinRongZiChan" label="第二层次公允价值计量的指定以公允价值计量且变动计入当期损益的金融资产" mulRef="_GBC_4b785696cde44d3f8a4a7d28ab963e38" unitRef="_GBC_3bb5670d72804a4b8298edc3e439955a" addr="T0R8C2S1_1" formatStyle="Comma" appId="_GBC_291486261b6a4e8092eea55d961b7664"/>
      <m:item xlName="_GBC_63e31ee2e7114da2b4a71c11957a7c31" concept="clcid-pte:DiSanCengCiGongYunJiaZhiJiLiangDeZhiDingYiGongYunJiaZhiJiLiangQieBianDongJiRuDangQiSunYiDeJinRongZiChan" label="第三层次公允价值计量的指定以公允价值计量且变动计入当期损益的金融资产" mulRef="_GBC_4b785696cde44d3f8a4a7d28ab963e38" unitRef="_GBC_3bb5670d72804a4b8298edc3e439955a" addr="T0R8C3S1_1" formatStyle="Comma" appId="_GBC_291486261b6a4e8092eea55d961b7664"/>
      <m:item xlName="_GBC_927c6366638b4bd78b7043d358c0a8b9" concept="clcid-pte:ZhiDingYiGongYunJiaZhiJiLiangQieBianDongJiRuDangQiSunYiDeJinRongZiChanGongYunJiaZhiHeJi" label="指定以公允价值计量且变动计入当期损益的金融资产公允价值合计" mulRef="_GBC_4b785696cde44d3f8a4a7d28ab963e38" unitRef="_GBC_3bb5670d72804a4b8298edc3e439955a" addr="T0R8C4S1_1" formatStyle="Comma" appId="_GBC_291486261b6a4e8092eea55d961b7664">
        <m:complexRule comparator="Eq" title="指定以公允价值计量且变动计入当期损益的金融资产公允价值合计" test=" $_GBC_4709730cec2540809111e608ac9ab51d +  $_GBC_1c0a9b4303b44b9f9442b4fc24fa77da +  $_GBC_63e31ee2e7114da2b4a71c11957a7c31" id="C51cbacb1677c4790baa9c4705e8c5632"/>
      </m:item>
      <m:placeholder xlName="_PLD_bd6d0cf9e96e4bebb25f8dcdf55d029f" addr="T0R9C0S1_1"/>
      <m:item xlName="_GBC_216f9ade4eaa48ea981dc11510904e11" concept="clcid-pte:DiYiCengCiGongYunJiaZhiJiLiangDeZhiDingYiGongYunJiaZhiJiLiangQieBianDongJiRuDangQiSunYiDeJinRongZiChanZhongDeZhaiWuGongJuTouZi" label="第一层次公允价值计量的指定以公允价值计量且变动计入当期损益的金融资产中的债务工具投资" mulRef="_GBC_4b785696cde44d3f8a4a7d28ab963e38" unitRef="_GBC_3bb5670d72804a4b8298edc3e439955a" addr="T0R9C1S1_1" formatStyle="Comma" appId="_GBC_291486261b6a4e8092eea55d961b7664"/>
      <m:item xlName="_GBC_86abad0a9f26488d89dc880a952ed2da" concept="clcid-pte:DiErCengCiGongYunJiaZhiJiLiangDeZhiDingYiGongYunJiaZhiJiLiangQieBianDongJiRuDangQiSunYiDeJinRongZiChanZhongDeZhaiWuGongJuTouZi" label="第二层次公允价值计量的指定以公允价值计量且变动计入当期损益的金融资产中的债务工具投资" mulRef="_GBC_4b785696cde44d3f8a4a7d28ab963e38" unitRef="_GBC_3bb5670d72804a4b8298edc3e439955a" addr="T0R9C2S1_1" formatStyle="Comma" appId="_GBC_291486261b6a4e8092eea55d961b7664"/>
      <m:item xlName="_GBC_2ed92854f4c24e619517ce5425fe57d3" concept="clcid-pte:DiSanCengCiGongYunJiaZhiJiLiangDeZhiDingYiGongYunJiaZhiJiLiangQieBianDongJiRuDangQiSunYiDeJinRongZiChanZhongDeZhaiWuGongJuTouZi" label="第三层次公允价值计量的指定以公允价值计量且变动计入当期损益的金融资产中的债务工具投资" mulRef="_GBC_4b785696cde44d3f8a4a7d28ab963e38" unitRef="_GBC_3bb5670d72804a4b8298edc3e439955a" addr="T0R9C3S1_1" formatStyle="Comma" appId="_GBC_291486261b6a4e8092eea55d961b7664"/>
      <m:item xlName="_GBC_3f2fc8262daf4df981616126bde4da40" concept="clcid-pte:ZhiDingYiGongYunJiaZhiJiLiangQieBianDongJiRuDangQiSunYiDeJinRongZiChanZhongDeZhaiWuGongJuTouZiGongYunJiaZhiHeJi" label="指定以公允价值计量且变动计入当期损益的金融资产中的债务工具投资公允价值合计" mulRef="_GBC_4b785696cde44d3f8a4a7d28ab963e38" unitRef="_GBC_3bb5670d72804a4b8298edc3e439955a" addr="T0R9C4S1_1" formatStyle="Comma" appId="_GBC_291486261b6a4e8092eea55d961b7664">
        <m:complexRule comparator="Eq" title="指定以公允价值计量且变动计入当期损益的金融资产中的债务工具投资公允价值合计" test=" $_GBC_216f9ade4eaa48ea981dc11510904e11 +  $_GBC_86abad0a9f26488d89dc880a952ed2da +  $_GBC_2ed92854f4c24e619517ce5425fe57d3" id="C47891637af344b1eba37e94b786cd288"/>
      </m:item>
      <m:placeholder xlName="_PLD_9cde8bbc3a5e4a2a8e2cc318e0a0d8d4" addr="T0R10C0S1_1"/>
      <m:item xlName="_GBC_e8d175ba91064983b36ae98776cb1b69" concept="clcid-pte:DiYiCengCiGongYunJiaZhiJiLiangDeZhiDingYiGongYunJiaZhiJiLiangQieBianDongJiRuDangQiSunYiDeJinRongZiChanZhongDeQuanYiGongJuTouZi" label="第一层次公允价值计量的指定以公允价值计量且变动计入当期损益的金融资产中的权益工具投资" mulRef="_GBC_4b785696cde44d3f8a4a7d28ab963e38" unitRef="_GBC_3bb5670d72804a4b8298edc3e439955a" addr="T0R10C1S1_1" formatStyle="Comma" appId="_GBC_291486261b6a4e8092eea55d961b7664"/>
      <m:item xlName="_GBC_b466909842ff41d88025a339f8d3e467" concept="clcid-pte:DiErCengCiGongYunJiaZhiJiLiangDeZhiDingYiGongYunJiaZhiJiLiangQieBianDongJiRuDangQiSunYiDeJinRongZiChanZhongDeQuanYiGongJuTouZi" label="第二层次公允价值计量的指定以公允价值计量且变动计入当期损益的金融资产中的权益工具投资" mulRef="_GBC_4b785696cde44d3f8a4a7d28ab963e38" unitRef="_GBC_3bb5670d72804a4b8298edc3e439955a" addr="T0R10C2S1_1" formatStyle="Comma" appId="_GBC_291486261b6a4e8092eea55d961b7664"/>
      <m:item xlName="_GBC_cd8357cea2874cc99db5e6bfe384da37" concept="clcid-pte:DiSanCengCiGongYunJiaZhiJiLiangDeZhiDingYiGongYunJiaZhiJiLiangQieBianDongJiRuDangQiSunYiDeJinRongZiChanZhongDeQuanYiGongJuTouZi" label="第三层次公允价值计量的指定以公允价值计量且变动计入当期损益的金融资产中的权益工具投资" mulRef="_GBC_4b785696cde44d3f8a4a7d28ab963e38" unitRef="_GBC_3bb5670d72804a4b8298edc3e439955a" addr="T0R10C3S1_1" formatStyle="Comma" appId="_GBC_291486261b6a4e8092eea55d961b7664"/>
      <m:item xlName="_GBC_69670edf3283451ea3894cb5ed41c598" concept="clcid-pte:ZhiDingYiGongYunJiaZhiJiLiangQieBianDongJiRuDangQiSunYiDeJinRongZiChanZhongDeQuanYiGongJuTouZiGongYunJiaZhiHeJi" label="指定以公允价值计量且变动计入当期损益的金融资产中的权益工具投资公允价值合计" mulRef="_GBC_4b785696cde44d3f8a4a7d28ab963e38" unitRef="_GBC_3bb5670d72804a4b8298edc3e439955a" addr="T0R10C4S1_1" formatStyle="Comma" appId="_GBC_291486261b6a4e8092eea55d961b7664">
        <m:complexRule comparator="Eq" title="指定以公允价值计量且变动计入当期损益的金融资产中的权益工具投资公允价值合计" test=" $_GBC_e8d175ba91064983b36ae98776cb1b69 +  $_GBC_b466909842ff41d88025a339f8d3e467 +  $_GBC_cd8357cea2874cc99db5e6bfe384da37" id="Ccb0a0cc4d66f4cf7a5e92ab28f2f1913"/>
      </m:item>
      <m:placeholder xlName="_PLD_0ef7eb1654ce4d2395b91be52c1c05a7" addr="T0R11C0S1_1"/>
      <m:item xlName="_GBC_bed11e7b63064d5ba189b10679aa2235" concept="clcid-pte:DiYiCengCiGongYunJiaZhiJiLiangDeQiTaZhaiQuanTouZi" label="第一层次公允价值计量的其他债权投资" mulRef="_GBC_4b785696cde44d3f8a4a7d28ab963e38" unitRef="_GBC_3bb5670d72804a4b8298edc3e439955a" addr="T0R11C1S1_1" formatStyle="Comma" appId="_GBC_291486261b6a4e8092eea55d961b7664"/>
      <m:item xlName="_GBC_f34dc28121c64637ad425e93f51b1098" concept="clcid-pte:DiErCengCiGongYunJiaZhiJiLiangDeQiTaZhaiQuanTouZi" label="第二层次公允价值计量的其他债权投资" mulRef="_GBC_4b785696cde44d3f8a4a7d28ab963e38" unitRef="_GBC_3bb5670d72804a4b8298edc3e439955a" addr="T0R11C2S1_1" formatStyle="Comma" appId="_GBC_291486261b6a4e8092eea55d961b7664"/>
      <m:item xlName="_GBC_82a406cec1ee4f5a988a57d9aa885f36" concept="clcid-pte:DiSanCengCiGongYunJiaZhiJiLiangDeQiTaZhaiQuanTouZi" label="第三层次公允价值计量的其他债权投资" mulRef="_GBC_4b785696cde44d3f8a4a7d28ab963e38" unitRef="_GBC_3bb5670d72804a4b8298edc3e439955a" addr="T0R11C3S1_1" formatStyle="Comma" appId="_GBC_291486261b6a4e8092eea55d961b7664"/>
      <m:item xlName="_GBC_a19837093d494907bfa57b2ab7c39e5f" concept="clcid-pte:QiTaZhaiQuanTouZiGongYunJiaZhiHeJi" label="其他债权投资公允价值合计" mulRef="_GBC_4b785696cde44d3f8a4a7d28ab963e38" unitRef="_GBC_3bb5670d72804a4b8298edc3e439955a" addr="T0R11C4S1_1" formatStyle="Comma" appId="_GBC_291486261b6a4e8092eea55d961b7664"/>
      <m:placeholder xlName="_PLD_26c080e935a648bda25a9c513fb13567" addr="T0R12C0S1_1"/>
      <m:item xlName="_GBC_bb5376dce5e8482cb7392f4c5d673dbd" concept="clcid-pte:DiYiCengCiGongYunJiaZhiJiLiangDeQiTaQuanYiGongJuTouZi" label="第一层次公允价值计量的其他权益工具投资" mulRef="_GBC_4b785696cde44d3f8a4a7d28ab963e38" unitRef="_GBC_3bb5670d72804a4b8298edc3e439955a" addr="T0R12C1S1_1" formatStyle="Comma" appId="_GBC_291486261b6a4e8092eea55d961b7664"/>
      <m:item xlName="_GBC_fd8cc7abca734cc0b845c0a6487f2db7" concept="clcid-pte:DiErCengCiGongYunJiaZhiJiLiangDeQiTaQuanYiGongJuTouZi" label="第二层次公允价值计量的其他权益工具投资" mulRef="_GBC_4b785696cde44d3f8a4a7d28ab963e38" unitRef="_GBC_3bb5670d72804a4b8298edc3e439955a" addr="T0R12C2S1_1" formatStyle="Comma" appId="_GBC_291486261b6a4e8092eea55d961b7664"/>
      <m:item xlName="_GBC_bfd0cecde7db4541b48b11486d673e26" concept="clcid-pte:DiSanCengCiGongYunJiaZhiJiLiangDeQiTaQuanYiGongJuTouZi" label="第三层次公允价值计量的其他权益工具投资" mulRef="_GBC_4b785696cde44d3f8a4a7d28ab963e38" unitRef="_GBC_3bb5670d72804a4b8298edc3e439955a" addr="T0R12C3S1_1" formatStyle="Comma" appId="_GBC_291486261b6a4e8092eea55d961b7664"/>
      <m:item xlName="_GBC_5efa96427e60430daace16792e16c0f8" concept="clcid-pte:GongYunJiaZhiJiLiangDeQiTaQuanYiGongJuTouZi" label="公允价值计量的其他权益工具投资" mulRef="_GBC_4b785696cde44d3f8a4a7d28ab963e38" unitRef="_GBC_3bb5670d72804a4b8298edc3e439955a" addr="T0R12C4S1_1" formatStyle="Comma" appId="_GBC_291486261b6a4e8092eea55d961b7664"/>
      <m:placeholder xlName="_PLD_e521af2dbeb842efa65b7582d9470c19" addr="T0R13C0S1_1"/>
      <m:item xlName="_GBC_667d6514694245f0ba1a8420c9a9cd89" concept="clcid-pte:DiYiCengCiGongYunJiaZhiJiLiangDeTouZiXingFangDiChan" label="第一层次公允价值计量的投资性房地产" mulRef="_GBC_4b785696cde44d3f8a4a7d28ab963e38" unitRef="_GBC_3bb5670d72804a4b8298edc3e439955a" addr="T0R13C1S1_1" formatStyle="Comma" appId="_GBC_291486261b6a4e8092eea55d961b7664">
        <m:complexRule comparator="Eq" title="第一层次公允价值计量的投资性房地产" test=" $_GBC_ea12b3cc492941df8831ee8b020b9484 +  $_GBC_590bc15f892445e0bd1119c85ceb13f0 +  $_GBC_1ea1a692297d421da2a4dfbc6faef52b" id="Ca2a3df44261146c0a00bd169f3db216a"/>
      </m:item>
      <m:item xlName="_GBC_3fcb270c426643c891376c81d3de03ac" concept="clcid-pte:DiErCengCiGongYunJiaZhiJiLiangDeTouZiXingFangDiChan" label="第二层次公允价值计量的投资性房地产" mulRef="_GBC_4b785696cde44d3f8a4a7d28ab963e38" unitRef="_GBC_3bb5670d72804a4b8298edc3e439955a" addr="T0R13C2S1_1" formatStyle="Comma" appId="_GBC_291486261b6a4e8092eea55d961b7664">
        <m:complexRule comparator="Eq" title="第二层次公允价值计量的投资性房地产" test=" $_GBC_ffdb6997079749d4aaf71779ef693907 +  $_GBC_b6694e2453ba48a0a293078652bed3b0 +  $_GBC_a3289e3a31ce4d57b5a177b24bc175e2" id="Ca649b0bce47a4792bbd7ff6aa58aaa6d"/>
      </m:item>
      <m:item xlName="_GBC_7711df4fc17643ea961b5a9fbf349022" concept="clcid-pte:DiSanCengCiGongYunJiaZhiJiLiangDeTouZiXingFangDiChan" label="第三层次公允价值计量的投资性房地产" mulRef="_GBC_4b785696cde44d3f8a4a7d28ab963e38" unitRef="_GBC_3bb5670d72804a4b8298edc3e439955a" addr="T0R13C3S1_1" formatStyle="Comma" appId="_GBC_291486261b6a4e8092eea55d961b7664">
        <m:complexRule comparator="Eq" title="第三层次公允价值计量的投资性房地产" test=" $_GBC_a265f0d90c34449d955a92beca7ab95d +  $_GBC_95e5cc98d82b452aa797bf0e9a1d7d16 +  $_GBC_16a83afa5c38408bb45d46f68ed3e248" id="Cc7b46046e5854c1c9e222301ecddafe4"/>
      </m:item>
      <m:item xlName="_GBC_b46989f8f4ae447f95ecfc1468b06892" concept="clcid-pte:GongYunJiaZhiJiLiangDeTouZiXingFangDiChan" label="公允价值计量的投资性房地产" mulRef="_GBC_4b785696cde44d3f8a4a7d28ab963e38" unitRef="_GBC_3bb5670d72804a4b8298edc3e439955a" addr="T0R13C4S1_1" formatStyle="Comma" appId="_GBC_291486261b6a4e8092eea55d961b7664">
        <m:complexRule comparator="Eq" title="公允价值计量的投资性房地产" test=" $_GBC_667d6514694245f0ba1a8420c9a9cd89 +  $_GBC_3fcb270c426643c891376c81d3de03ac +  $_GBC_7711df4fc17643ea961b5a9fbf349022" id="Cc2fda6b9f6484106bdb9234dd49e90ac"/>
        <m:complexRule comparator="Eq" title="公允价值计量的投资性房地产" test=" $_GBC_e7e28549eb50427ea5deb306dde1c7f9 +  $_GBC_6f85caf58b1c4a92af1d6fd1bd7112e7 +  $_GBC_f3e347007bc740509ebac1446125cccf" id="Ceeffb7650138441b85c11cc017f69a09"/>
      </m:item>
      <m:placeholder xlName="_PLD_57edf64645394a44a2d92d5afc4d538a" addr="T0R14C0S1_1"/>
      <m:item xlName="_GBC_ea12b3cc492941df8831ee8b020b9484" concept="clcid-pte:DiYiCengCiGongYunJiaZhiJiLiangDeTouZiXingFangDiChanZhongDeChuZuYongDeTuDiShiYongQuan" label="第一层次公允价值计量的投资性房地产中的出租用的土地使用权" mulRef="_GBC_4b785696cde44d3f8a4a7d28ab963e38" unitRef="_GBC_3bb5670d72804a4b8298edc3e439955a" addr="T0R14C1S1_1" formatStyle="Comma" appId="_GBC_291486261b6a4e8092eea55d961b7664"/>
      <m:item xlName="_GBC_ffdb6997079749d4aaf71779ef693907" concept="clcid-pte:DiErCengCiGongYunJiaZhiJiLiangDeTouZiXingFangDiChanZhongDeChuZuYongDeTuDiShiYongQuan" label="第二层次公允价值计量的投资性房地产中的出租用的土地使用权" mulRef="_GBC_4b785696cde44d3f8a4a7d28ab963e38" unitRef="_GBC_3bb5670d72804a4b8298edc3e439955a" addr="T0R14C2S1_1" formatStyle="Comma" appId="_GBC_291486261b6a4e8092eea55d961b7664"/>
      <m:item xlName="_GBC_a265f0d90c34449d955a92beca7ab95d" concept="clcid-pte:DiSanCengCiGongYunJiaZhiJiLiangDeTouZiXingFangDiChanZhongDeChuZuYongDeTuDiShiYongQuan" label="第三层次公允价值计量的投资性房地产中的出租用的土地使用权" mulRef="_GBC_4b785696cde44d3f8a4a7d28ab963e38" unitRef="_GBC_3bb5670d72804a4b8298edc3e439955a" addr="T0R14C3S1_1" formatStyle="Comma" appId="_GBC_291486261b6a4e8092eea55d961b7664"/>
      <m:item xlName="_GBC_e7e28549eb50427ea5deb306dde1c7f9" concept="clcid-pte:TouZiXingFangDiChanZhongDeChuZuYongDeTuDiShiYongQuanGongYunJiaZhiHeJi" label="投资性房地产中的出租用的土地使用权公允价值合计" mulRef="_GBC_4b785696cde44d3f8a4a7d28ab963e38" unitRef="_GBC_3bb5670d72804a4b8298edc3e439955a" addr="T0R14C4S1_1" formatStyle="Comma" appId="_GBC_291486261b6a4e8092eea55d961b7664">
        <m:complexRule comparator="Eq" title="投资性房地产中的出租用的土地使用权公允价值合计" test=" $_GBC_ea12b3cc492941df8831ee8b020b9484 +  $_GBC_ffdb6997079749d4aaf71779ef693907 +  $_GBC_a265f0d90c34449d955a92beca7ab95d" id="Cb1b3d8f27fc0492f9577804df01d4e5f"/>
      </m:item>
      <m:placeholder xlName="_PLD_6d74812087eb4d618df7ab958a1a93e7" addr="T0R15C0S1_1"/>
      <m:item xlName="_GBC_590bc15f892445e0bd1119c85ceb13f0" concept="clcid-pte:DiYiCengCiGongYunJiaZhiJiLiangDeTouZiXingFangDiChanZhongDeChuZuDeJianZhuWu" label="第一层次公允价值计量的投资性房地产中的出租的建筑物" mulRef="_GBC_4b785696cde44d3f8a4a7d28ab963e38" unitRef="_GBC_3bb5670d72804a4b8298edc3e439955a" addr="T0R15C1S1_1" formatStyle="Comma" appId="_GBC_291486261b6a4e8092eea55d961b7664"/>
      <m:item xlName="_GBC_b6694e2453ba48a0a293078652bed3b0" concept="clcid-pte:DiErCengCiGongYunJiaZhiJiLiangDeTouZiXingFangDiChanZhongDeChuZuDeJianZhuWu" label="第二层次公允价值计量的投资性房地产中的出租的建筑物" mulRef="_GBC_4b785696cde44d3f8a4a7d28ab963e38" unitRef="_GBC_3bb5670d72804a4b8298edc3e439955a" addr="T0R15C2S1_1" formatStyle="Comma" appId="_GBC_291486261b6a4e8092eea55d961b7664"/>
      <m:item xlName="_GBC_95e5cc98d82b452aa797bf0e9a1d7d16" concept="clcid-pte:DiSanCengCiGongYunJiaZhiJiLiangDeTouZiXingFangDiChanZhongDeChuZuDeJianZhuWu" label="第三层次公允价值计量的投资性房地产中的出租的建筑物" mulRef="_GBC_4b785696cde44d3f8a4a7d28ab963e38" unitRef="_GBC_3bb5670d72804a4b8298edc3e439955a" addr="T0R15C3S1_1" formatStyle="Comma" appId="_GBC_291486261b6a4e8092eea55d961b7664"/>
      <m:item xlName="_GBC_6f85caf58b1c4a92af1d6fd1bd7112e7" concept="clcid-pte:TouZiXingFangDiChanZhongDeChuZuDeJianZhuWuGongYunJiaZhiHeJi" label="投资性房地产中的出租的建筑物公允价值合计" mulRef="_GBC_4b785696cde44d3f8a4a7d28ab963e38" unitRef="_GBC_3bb5670d72804a4b8298edc3e439955a" addr="T0R15C4S1_1" formatStyle="Comma" appId="_GBC_291486261b6a4e8092eea55d961b7664">
        <m:complexRule comparator="Eq" title="投资性房地产中的出租的建筑物公允价值合计" test=" $_GBC_590bc15f892445e0bd1119c85ceb13f0 +  $_GBC_b6694e2453ba48a0a293078652bed3b0 +  $_GBC_95e5cc98d82b452aa797bf0e9a1d7d16" id="C26cb012fb05340349beb754dbf4e38c2"/>
      </m:item>
      <m:placeholder xlName="_PLD_cd8170692aa8491292e4c34925248dd8" addr="T0R16C0S1_1"/>
      <m:item xlName="_GBC_1ea1a692297d421da2a4dfbc6faef52b" concept="clcid-pte:DiYiCengCiGongYunJiaZhiJiLiangDeTouZiXingFangDiChanZhongDeChiYouBingZhunBeiZengZhiHouZhuanRangDeTuDiShiYongQuan" label="第一层次公允价值计量的投资性房地产中的持有并准备增值后转让的土地使用权" mulRef="_GBC_4b785696cde44d3f8a4a7d28ab963e38" unitRef="_GBC_3bb5670d72804a4b8298edc3e439955a" addr="T0R16C1S1_1" formatStyle="Comma" appId="_GBC_291486261b6a4e8092eea55d961b7664"/>
      <m:item xlName="_GBC_a3289e3a31ce4d57b5a177b24bc175e2" concept="clcid-pte:DiErCengCiGongYunJiaZhiJiLiangDeTouZiXingFangDiChanZhongDeChiYouBingZhunBeiZengZhiHouZhuanRangDeTuDiShiYongQuan" label="第二层次公允价值计量的投资性房地产中的持有并准备增值后转让的土地使用权" mulRef="_GBC_4b785696cde44d3f8a4a7d28ab963e38" unitRef="_GBC_3bb5670d72804a4b8298edc3e439955a" addr="T0R16C2S1_1" formatStyle="Comma" appId="_GBC_291486261b6a4e8092eea55d961b7664"/>
      <m:item xlName="_GBC_16a83afa5c38408bb45d46f68ed3e248" concept="clcid-pte:DiSanCengCiGongYunJiaZhiJiLiangDeTouZiXingFangDiChanZhongDeChiYouBingZhunBeiZengZhiHouZhuanRangDeTuDiShiYongQuan" label="第三层次公允价值计量的投资性房地产中的持有并准备增值后转让的土地使用权" mulRef="_GBC_4b785696cde44d3f8a4a7d28ab963e38" unitRef="_GBC_3bb5670d72804a4b8298edc3e439955a" addr="T0R16C3S1_1" formatStyle="Comma" appId="_GBC_291486261b6a4e8092eea55d961b7664"/>
      <m:item xlName="_GBC_f3e347007bc740509ebac1446125cccf" concept="clcid-pte:TouZiXingFangDiChanZhongDeChiYouBingZhunBeiZengZhiHouZhuanRangDeTuDiShiYongQuanGongYunJiaZhiHeJi" label="投资性房地产中的持有并准备增值后转让的土地使用权公允价值合计" mulRef="_GBC_4b785696cde44d3f8a4a7d28ab963e38" unitRef="_GBC_3bb5670d72804a4b8298edc3e439955a" addr="T0R16C4S1_1" formatStyle="Comma" appId="_GBC_291486261b6a4e8092eea55d961b7664">
        <m:complexRule comparator="Eq" title="投资性房地产中的持有并准备增值后转让的土地使用权公允价值合计" test=" $_GBC_1ea1a692297d421da2a4dfbc6faef52b +  $_GBC_a3289e3a31ce4d57b5a177b24bc175e2 +  $_GBC_16a83afa5c38408bb45d46f68ed3e248" id="C66d75377c74f4f98a9f9ec362bf437d1"/>
      </m:item>
      <m:placeholder xlName="_PLD_17df5add0fe54a5e960e67a648bdf930" addr="T0R17C0S1_1"/>
      <m:item xlName="_GBC_127a44ee2f4d45eabce130b60697e0ca" concept="clcid-pte:DiYiCengCiGongYunJiaZhiJiLiangDeShengWuZiChan" label="第一层次公允价值计量的生物资产" mulRef="_GBC_4b785696cde44d3f8a4a7d28ab963e38" unitRef="_GBC_3bb5670d72804a4b8298edc3e439955a" addr="T0R17C1S1_1" formatStyle="Comma" appId="_GBC_291486261b6a4e8092eea55d961b7664"/>
      <m:item xlName="_GBC_96b489f42dca4f65a250f566f8e35f4d" concept="clcid-pte:DiErCengCiGongYunJiaZhiJiLiangDeShengWuZiChan" label="第二层次公允价值计量的生物资产" mulRef="_GBC_4b785696cde44d3f8a4a7d28ab963e38" unitRef="_GBC_3bb5670d72804a4b8298edc3e439955a" addr="T0R17C2S1_1" formatStyle="Comma" appId="_GBC_291486261b6a4e8092eea55d961b7664"/>
      <m:item xlName="_GBC_fd8c3c42aa8747d38a60067a4084c893" concept="clcid-pte:DiSanCengCiGongYunJiaZhiJiLiangDeShengWuZiChan" label="第三层次公允价值计量的生物资产" mulRef="_GBC_4b785696cde44d3f8a4a7d28ab963e38" unitRef="_GBC_3bb5670d72804a4b8298edc3e439955a" addr="T0R17C3S1_1" formatStyle="Comma" appId="_GBC_291486261b6a4e8092eea55d961b7664"/>
      <m:item xlName="_GBC_8beeb73d57af412f9e97409873973855" concept="clcid-pte:ShengWuZiChanGongYunJiaZhiHeJi" label="生物资产公允价值合计" mulRef="_GBC_4b785696cde44d3f8a4a7d28ab963e38" unitRef="_GBC_3bb5670d72804a4b8298edc3e439955a" addr="T0R17C4S1_1" formatStyle="Comma" appId="_GBC_291486261b6a4e8092eea55d961b7664">
        <m:complexRule comparator="Eq" title="生物资产公允价值合计" test=" $_GBC_127a44ee2f4d45eabce130b60697e0ca +  $_GBC_96b489f42dca4f65a250f566f8e35f4d +  $_GBC_fd8c3c42aa8747d38a60067a4084c893" id="Cd42868b2bd67411cb34008339ce9f0c6"/>
      </m:item>
      <m:placeholder xlName="_PLD_a56923a5772c443c8378f09a59e35325" addr="T0R18C0S1_1"/>
      <m:item xlName="_GBC_efdf623f67304f9a94f0a57a6d2233d1" concept="clcid-pte:DiYiCengCiGongYunJiaZhiJiLiangDeShengWuZiChanZhongDeXiaoHaoXingShengWuZiChan" label="第一层次公允价值计量的生物资产中的消耗性生物资产" mulRef="_GBC_4b785696cde44d3f8a4a7d28ab963e38" unitRef="_GBC_3bb5670d72804a4b8298edc3e439955a" addr="T0R18C1S1_1" formatStyle="Comma" appId="_GBC_291486261b6a4e8092eea55d961b7664"/>
      <m:item xlName="_GBC_aa88f15fd63d4970ba78d4dda192bd68" concept="clcid-pte:DiErCengCiGongYunJiaZhiJiLiangDeShengWuZiChanZhongDeXiaoHaoXingShengWuZiChan" label="第二层次公允价值计量的生物资产中的消耗性生物资产" mulRef="_GBC_4b785696cde44d3f8a4a7d28ab963e38" unitRef="_GBC_3bb5670d72804a4b8298edc3e439955a" addr="T0R18C2S1_1" formatStyle="Comma" appId="_GBC_291486261b6a4e8092eea55d961b7664"/>
      <m:item xlName="_GBC_ec5514915cc848f9b2538a1b3f9b994b" concept="clcid-pte:DiSanCengCiGongYunJiaZhiJiLiangDeShengWuZiChanZhongDeXiaoHaoXingShengWuZiChan" label="第三层次公允价值计量的生物资产中的消耗性生物资产" mulRef="_GBC_4b785696cde44d3f8a4a7d28ab963e38" unitRef="_GBC_3bb5670d72804a4b8298edc3e439955a" addr="T0R18C3S1_1" formatStyle="Comma" appId="_GBC_291486261b6a4e8092eea55d961b7664"/>
      <m:item xlName="_GBC_d0c8dc0d838c4444af4ce3cb987a8bff" concept="clcid-pte:ShengWuZiChanZhongDeXiaoHaoXingShengWuZiChanGongYunJiaZhiHeJi" label="生物资产中的消耗性生物资产公允价值合计" mulRef="_GBC_4b785696cde44d3f8a4a7d28ab963e38" unitRef="_GBC_3bb5670d72804a4b8298edc3e439955a" addr="T0R18C4S1_1" formatStyle="Comma" appId="_GBC_291486261b6a4e8092eea55d961b7664">
        <m:complexRule comparator="Eq" title="生物资产中的消耗性生物资产公允价值合计" test=" $_GBC_efdf623f67304f9a94f0a57a6d2233d1 +  $_GBC_aa88f15fd63d4970ba78d4dda192bd68 +  $_GBC_ec5514915cc848f9b2538a1b3f9b994b" id="C4be0c9b43c7348e9be9f9b7f89c7eab5"/>
      </m:item>
      <m:placeholder xlName="_PLD_255f970805f24da69438fbd6d7d1a094" addr="T0R19C0S1_1"/>
      <m:item xlName="_GBC_66489e1752694f4995b5ce877a0f2eb9" concept="clcid-pte:DiYiCengCiGongYunJiaZhiJiLiangDeShengWuZiChanZhongDeShengChanXingShengWuZiChan" label="第一层次公允价值计量的生物资产中的生产性生物资产" mulRef="_GBC_4b785696cde44d3f8a4a7d28ab963e38" unitRef="_GBC_3bb5670d72804a4b8298edc3e439955a" addr="T0R19C1S1_1" formatStyle="Comma" appId="_GBC_291486261b6a4e8092eea55d961b7664"/>
      <m:item xlName="_GBC_425a1b3af0fa4435902acb6e1b8d9835" concept="clcid-pte:DiErCengCiGongYunJiaZhiJiLiangDeShengWuZiChanZhongDeShengChanXingShengWuZiChan" label="第二层次公允价值计量的生物资产中的生产性生物资产" mulRef="_GBC_4b785696cde44d3f8a4a7d28ab963e38" unitRef="_GBC_3bb5670d72804a4b8298edc3e439955a" addr="T0R19C2S1_1" formatStyle="Comma" appId="_GBC_291486261b6a4e8092eea55d961b7664"/>
      <m:item xlName="_GBC_befb500ec9594580a422ff7439e73f24" concept="clcid-pte:DiSanCengCiGongYunJiaZhiJiLiangDeShengWuZiChanZhongDeShengChanXingShengWuZiChan" label="第三层次公允价值计量的生物资产中的生产性生物资产" mulRef="_GBC_4b785696cde44d3f8a4a7d28ab963e38" unitRef="_GBC_3bb5670d72804a4b8298edc3e439955a" addr="T0R19C3S1_1" formatStyle="Comma" appId="_GBC_291486261b6a4e8092eea55d961b7664"/>
      <m:item xlName="_GBC_aed48f9023974d15b9710f0f14fc6215" concept="clcid-pte:GongYunJiaZhiJiLiangDeShengChanXingShengWuZiChan" label="公允价值计量的生产性生物资产" mulRef="_GBC_4b785696cde44d3f8a4a7d28ab963e38" unitRef="_GBC_3bb5670d72804a4b8298edc3e439955a" addr="T0R19C4S1_1" formatStyle="Comma" appId="_GBC_291486261b6a4e8092eea55d961b7664">
        <m:complexRule comparator="Eq" title="公允价值计量的生产性生物资产" test=" $_GBC_66489e1752694f4995b5ce877a0f2eb9 +  $_GBC_425a1b3af0fa4435902acb6e1b8d9835 +  $_GBC_befb500ec9594580a422ff7439e73f24" id="C9d5b519fa475429f82bac0b48cd73d4c"/>
      </m:item>
      <m:tuple xlName="_TUP_e78f47dfe89a44bda0f59b05bd53aa70" concept="clcid-pte:ChiXuYiGongYunJiaZhiJiLiangDeZiChanZongEMingXi" default_row="2" addr="T0R20C">
        <m:item xlName="_GBC_a5806587b54b4e248d193507d0f5c6a0" concept="clcid-pte:ChiXuYiGongYunJiaZhiJiLiangDeZiChanZongEMingXiXiangMuMingCheng" label="持续以公允价值计量的资产总额明细-项目名称" addr="T0R20C0S1_1" appId="_GBC_291486261b6a4e8092eea55d961b7664"/>
        <m:item xlName="_GBC_cde9b6c333b3433c95ce940d9b65b256" concept="clcid-pte:ChiXuYiGongYunJiaZhiJiLiangDeZiChanZongEMingXiDiYiCengCiGongYunJiaZhiJiLiang" label="持续以公允价值计量的资产总额明细-第一层次公允价值计量" mulRef="_GBC_4b785696cde44d3f8a4a7d28ab963e38" unitRef="_GBC_3bb5670d72804a4b8298edc3e439955a" addr="T0R20C1S1_1" formatStyle="Comma" appId="_GBC_291486261b6a4e8092eea55d961b7664"/>
        <m:item xlName="_GBC_f038b5c79c3747df839a0968b97cc754" concept="clcid-pte:ChiXuYiGongYunJiaZhiJiLiangDeZiChanZongEMingXiDiErCengCiGongYunJiaZhiJiLiang" label="持续以公允价值计量的资产总额明细-第二层次公允价值计量" mulRef="_GBC_4b785696cde44d3f8a4a7d28ab963e38" unitRef="_GBC_3bb5670d72804a4b8298edc3e439955a" addr="T0R20C2S1_1" formatStyle="Comma" appId="_GBC_291486261b6a4e8092eea55d961b7664"/>
        <m:item xlName="_GBC_126b7ce9f9144aa480c77faff2d824ad" concept="clcid-pte:ChiXuYiGongYunJiaZhiJiLiangDeZiChanZongEMingXiDiSanCengCiGongYunJiaZhiJiLiang" label="持续以公允价值计量的资产总额明细-第三层次公允价值计量" mulRef="_GBC_4b785696cde44d3f8a4a7d28ab963e38" unitRef="_GBC_3bb5670d72804a4b8298edc3e439955a" addr="T0R20C3S1_1" formatStyle="Comma" appId="_GBC_291486261b6a4e8092eea55d961b7664"/>
        <m:item xlName="_GBC_5f48ea3af27e40d79c98f5afac528fa1" concept="clcid-pte:ChiXuYiGongYunJiaZhiJiLiangDeZiChanZongEMingXiHeJi" label="持续以公允价值计量的资产总额明细-合计" mulRef="_GBC_4b785696cde44d3f8a4a7d28ab963e38" unitRef="_GBC_3bb5670d72804a4b8298edc3e439955a" addr="T0R20C4S1_1" formatStyle="Comma" appId="_GBC_291486261b6a4e8092eea55d961b7664">
          <m:complexRule comparator="Eq" title="持续以公允价值计量的资产总额明细-合计" test=" $_GBC_cde9b6c333b3433c95ce940d9b65b256 +  $_GBC_f038b5c79c3747df839a0968b97cc754 +  $_GBC_126b7ce9f9144aa480c77faff2d824ad" id="Cfb5e27179b3246849f4a1e0a8af51927"/>
        </m:item>
      </m:tuple>
      <m:placeholder xlName="_PLD_5f085d8452914c828c6cb5c210cfc97c" addr="T0R22C0S1_1"/>
      <m:item xlName="_GBC_420ff5ead8c54cedbeb0df45a7db6de9" concept="clcid-pte:DiYiCengCiGongYunJiaZhiJiLiangDeChiXuYiGongYunJiaZhiJiLiangDeZiChanZongE" label="第一层次公允价值计量的持续以公允价值计量的资产总额" mulRef="_GBC_4b785696cde44d3f8a4a7d28ab963e38" unitRef="_GBC_3bb5670d72804a4b8298edc3e439955a" addr="T0R22C1S1_1" formatStyle="Comma" appId="_GBC_291486261b6a4e8092eea55d961b7664">
        <m:complexRule comparator="Eq" title="第一层次公允价值计量的持续以公允价值计量的资产总额" test=" $_GBC_b06566bad57947cca7ef58dfa8c9dc0b +  $_GBC_667d6514694245f0ba1a8420c9a9cd89 +  $_GBC_bed11e7b63064d5ba189b10679aa2235 +  $_GBC_bb5376dce5e8482cb7392f4c5d673dbd +  $_GBC_127a44ee2f4d45eabce130b60697e0ca +  $_GBC_cde9b6c333b3433c95ce940d9b65b256" id="Cb975357f76d849058e34d17f559733b0" serialType="1"/>
      </m:item>
      <m:item xlName="_GBC_0955dd5d3e734fc0a84c7cf7c2af6a4a" concept="clcid-pte:DiErCengCiGongYunJiaZhiJiLiangDeChiXuYiGongYunJiaZhiJiLiangDeZiChanZongE" label="第二层次公允价值计量的持续以公允价值计量的资产总额" mulRef="_GBC_4b785696cde44d3f8a4a7d28ab963e38" unitRef="_GBC_3bb5670d72804a4b8298edc3e439955a" addr="T0R22C2S1_1" formatStyle="Comma" appId="_GBC_291486261b6a4e8092eea55d961b7664">
        <m:complexRule comparator="Eq" title="第二层次公允价值计量的持续以公允价值计量的资产总额" test=" $_GBC_de6b7db6d03e4b60a6a0a5f71ef22385 +  $_GBC_f34dc28121c64637ad425e93f51b1098 +  $_GBC_fd8cc7abca734cc0b845c0a6487f2db7 +  $_GBC_3fcb270c426643c891376c81d3de03ac +  $_GBC_96b489f42dca4f65a250f566f8e35f4d +  $_GBC_f038b5c79c3747df839a0968b97cc754" id="Cacb66862e4cd4ff99e1de004d016a5bc" serialType="1"/>
      </m:item>
      <m:item xlName="_GBC_1f7b3dac315c4078b7c6b69712e61b40" concept="clcid-pte:DiSanCengCiGongYunJiaZhiJiLiangDeChiXuYiGongYunJiaZhiJiLiangDeZiChanZongE" label="第三层次公允价值计量的持续以公允价值计量的资产总额" mulRef="_GBC_4b785696cde44d3f8a4a7d28ab963e38" unitRef="_GBC_3bb5670d72804a4b8298edc3e439955a" addr="T0R22C3S1_1" formatStyle="Comma" appId="_GBC_291486261b6a4e8092eea55d961b7664">
        <m:complexRule comparator="Eq" title="第三层次公允价值计量的持续以公允价值计量的资产总额" test=" $_GBC_847b83d0f42845d5903d9b7a05117abf +  $_GBC_82a406cec1ee4f5a988a57d9aa885f36 +  $_GBC_bfd0cecde7db4541b48b11486d673e26 +  $_GBC_7711df4fc17643ea961b5a9fbf349022 +  $_GBC_fd8c3c42aa8747d38a60067a4084c893 +  $_GBC_126b7ce9f9144aa480c77faff2d824ad" id="C58544500f50540b8b217686f6ebb3e30" serialType="1"/>
      </m:item>
      <m:item xlName="_GBC_ea45143d40d745968b984358b29b7f37" concept="clcid-pte:ChiXuYiGongYunJiaZhiJiLiangDeZiChanZongEHeJi" label="持续以公允价值计量的资产总额合计" mulRef="_GBC_4b785696cde44d3f8a4a7d28ab963e38" unitRef="_GBC_3bb5670d72804a4b8298edc3e439955a" addr="T0R22C4S1_1" formatStyle="Comma" appId="_GBC_291486261b6a4e8092eea55d961b7664">
        <m:complexRule comparator="Eq" title="持续以公允价值计量的资产总额合计" test=" $_GBC_420ff5ead8c54cedbeb0df45a7db6de9 +  $_GBC_0955dd5d3e734fc0a84c7cf7c2af6a4a +  $_GBC_1f7b3dac315c4078b7c6b69712e61b40" id="C845482d7a1e945c488d71ccdb6004b93"/>
        <m:complexRule comparator="Eq" title="持续以公允价值计量的资产总额合计" test=" $_GBC_3914c328b93c4849bad40b074d412d2e +  $_GBC_b46989f8f4ae447f95ecfc1468b06892 +  $_GBC_a19837093d494907bfa57b2ab7c39e5f +  $_GBC_5efa96427e60430daace16792e16c0f8 +  $_GBC_8beeb73d57af412f9e97409873973855 +  $_GBC_5f48ea3af27e40d79c98f5afac528fa1" id="C4dca751dbbdd4d2bbe5c9338c7d1feac" serialType="1"/>
      </m:item>
      <m:placeholder xlName="_PLD_cc157d5ce186429f9c96a03dc3e4daa5" addr="T0R23C0S1_1"/>
      <m:item xlName="_GBC_b87b59381f984295a32165a53c2499b1" concept="clcid-pte:DiYiCengCiGongYunJiaZhiJiLiangDeJiaoYiXingJinRongFuZhai" label="第一层次公允价值计量的交易性金融负债" mulRef="_GBC_4b785696cde44d3f8a4a7d28ab963e38" unitRef="_GBC_3bb5670d72804a4b8298edc3e439955a" addr="T0R23C1S1_1" formatStyle="Comma" appId="_GBC_291486261b6a4e8092eea55d961b7664"/>
      <m:item xlName="_GBC_18a42dcc4f144417b397b2ca1f4ff91f" concept="clcid-pte:DiErCengCiGongYunJiaZhiJiLiangDeJiaoYiXingJinRongFuZhai" label="第二层次公允价值计量的交易性金融负债" mulRef="_GBC_4b785696cde44d3f8a4a7d28ab963e38" unitRef="_GBC_3bb5670d72804a4b8298edc3e439955a" addr="T0R23C2S1_1" formatStyle="Comma" appId="_GBC_291486261b6a4e8092eea55d961b7664"/>
      <m:item xlName="_GBC_2eb5f8d0ea3a4ee48139c65ed2c09963" concept="clcid-pte:DiSanCengCiGongYunJiaZhiJiLiangDeJiaoYiXingJinRongFuZhai" label="第三层次公允价值计量的交易性金融负债" mulRef="_GBC_4b785696cde44d3f8a4a7d28ab963e38" unitRef="_GBC_3bb5670d72804a4b8298edc3e439955a" addr="T0R23C3S1_1" formatStyle="Comma" appId="_GBC_291486261b6a4e8092eea55d961b7664"/>
      <m:item xlName="_GBC_874e6fb1f55e4dfbaffc3e4a8da3c518" concept="clcid-pte:JiaoYiXingJinRongFuZhaiGongYunJiaZhiHeJi" label="交易性金融负债公允价值合计" mulRef="_GBC_4b785696cde44d3f8a4a7d28ab963e38" unitRef="_GBC_3bb5670d72804a4b8298edc3e439955a" addr="T0R23C4S1_1" formatStyle="Comma" appId="_GBC_291486261b6a4e8092eea55d961b7664"/>
      <m:placeholder xlName="_PLD_eb6384ebff854706abc6b9d2b2078934" addr="T0R24C0S1_1"/>
      <m:item xlName="_GBC_c831e2d5f74f4740ab7bd873598b98f1" concept="clcid-pte:DiYiCengCiGongYunJiaZhiJiLiangDeYiGongYunJiaZhiJiLiangQieBianDongJiRuDangQiSunYiDeJinRongFuZhai" label="第一层次公允价值计量的以公允价值计量且变动计入当期损益的金融负债" mulRef="_GBC_4b785696cde44d3f8a4a7d28ab963e38" unitRef="_GBC_3bb5670d72804a4b8298edc3e439955a" addr="T0R24C1S1_1" formatStyle="Comma" appId="_GBC_291486261b6a4e8092eea55d961b7664"/>
      <m:item xlName="_GBC_b4ec880ccd6e4af98e17b0528e61c550" concept="clcid-pte:DiErCengCiGongYunJiaZhiJiLiangDeYiGongYunJiaZhiJiLiangQieBianDongJiRuDangQiSunYiDeJinRongFuZhai" label="第二层次公允价值计量的以公允价值计量且变动计入当期损益的金融负债" mulRef="_GBC_4b785696cde44d3f8a4a7d28ab963e38" unitRef="_GBC_3bb5670d72804a4b8298edc3e439955a" addr="T0R24C2S1_1" formatStyle="Comma" appId="_GBC_291486261b6a4e8092eea55d961b7664"/>
      <m:item xlName="_GBC_2e12957e869a4e67ae27d5c0f5939d66" concept="clcid-pte:DiSanCengCiGongYunJiaZhiJiLiangDeYiGongYunJiaZhiJiLiangQieBianDongJiRuDangQiSunYiDeJinRongFuZhai" label="第三层次公允价值计量的以公允价值计量且变动计入当期损益的金融负债" mulRef="_GBC_4b785696cde44d3f8a4a7d28ab963e38" unitRef="_GBC_3bb5670d72804a4b8298edc3e439955a" addr="T0R24C3S1_1" formatStyle="Comma" appId="_GBC_291486261b6a4e8092eea55d961b7664"/>
      <m:item xlName="_GBC_75099a5459c649a586f3b07182431d7a" concept="clcid-pte:YiGongYunJiaZhiJiLiangQieBianDongJiRuDangQiSunYiDeJinRongFuZhaiGongYunJiaZhiHeJi" label="以公允价值计量且变动计入当期损益的金融负债公允价值合计" mulRef="_GBC_4b785696cde44d3f8a4a7d28ab963e38" unitRef="_GBC_3bb5670d72804a4b8298edc3e439955a" addr="T0R24C4S1_1" formatStyle="Comma" appId="_GBC_291486261b6a4e8092eea55d961b7664"/>
      <m:placeholder xlName="_PLD_ab3489e8472645f1a23a90c81a64fec3" addr="T0R25C0S1_1"/>
      <m:item xlName="_GBC_a8ac452e1e2e4877bcdc5fabd408e3b6" concept="clcid-pte:DiYiCengCiGongYunJiaZhiJiLiangDeFaXingDeJiaoYiXingZhaiQuan" label="第一层次公允价值计量的发行的交易性债券" mulRef="_GBC_4b785696cde44d3f8a4a7d28ab963e38" unitRef="_GBC_3bb5670d72804a4b8298edc3e439955a" addr="T0R25C1S1_1" formatStyle="Comma" appId="_GBC_291486261b6a4e8092eea55d961b7664"/>
      <m:item xlName="_GBC_e021196982484dbc9ed68de4b5981a53" concept="clcid-pte:DiErCengCiGongYunJiaZhiJiLiangDeFaXingDeJiaoYiXingZhaiQuan" label="第二层次公允价值计量的发行的交易性债券" mulRef="_GBC_4b785696cde44d3f8a4a7d28ab963e38" unitRef="_GBC_3bb5670d72804a4b8298edc3e439955a" addr="T0R25C2S1_1" formatStyle="Comma" appId="_GBC_291486261b6a4e8092eea55d961b7664"/>
      <m:item xlName="_GBC_5f271c8ccc8048e8b82eb304b1373945" concept="clcid-pte:DiSanCengCiGongYunJiaZhiJiLiangDeFaXingDeJiaoYiXingZhaiQuan" label="第三层次公允价值计量的发行的交易性债券" mulRef="_GBC_4b785696cde44d3f8a4a7d28ab963e38" unitRef="_GBC_3bb5670d72804a4b8298edc3e439955a" addr="T0R25C3S1_1" formatStyle="Comma" appId="_GBC_291486261b6a4e8092eea55d961b7664"/>
      <m:item xlName="_GBC_47c87a97410a4c84b14759b15642d729" concept="clcid-pte:FaXingDeJiaoYiXingZhaiQuanGongYunJiaZhiHeJi" label="发行的交易性债券公允价值合计" mulRef="_GBC_4b785696cde44d3f8a4a7d28ab963e38" unitRef="_GBC_3bb5670d72804a4b8298edc3e439955a" addr="T0R25C4S1_1" formatStyle="Comma" appId="_GBC_291486261b6a4e8092eea55d961b7664"/>
      <m:placeholder xlName="_PLD_78b2b3a16d0b40e8b29ab580ecc53877" addr="T0R26C0S1_1"/>
      <m:item xlName="_GBC_da3a294c30eb41b0ba49762021539516" concept="clcid-pte:DiYiCengCiGongYunJiaZhiJiLiangDeYanShengJinRongFuZhai" label="第一层次公允价值计量的衍生金融负债" mulRef="_GBC_4b785696cde44d3f8a4a7d28ab963e38" unitRef="_GBC_3bb5670d72804a4b8298edc3e439955a" addr="T0R26C1S1_1" formatStyle="Comma" appId="_GBC_291486261b6a4e8092eea55d961b7664"/>
      <m:item xlName="_GBC_0ecf2f87254c47f98afef18c7f742223" concept="clcid-pte:DiErCengCiGongYunJiaZhiJiLiangDeYanShengJinRongFuZhai" label="第二层次公允价值计量的衍生金融负债" mulRef="_GBC_4b785696cde44d3f8a4a7d28ab963e38" unitRef="_GBC_3bb5670d72804a4b8298edc3e439955a" addr="T0R26C2S1_1" formatStyle="Comma" appId="_GBC_291486261b6a4e8092eea55d961b7664"/>
      <m:item xlName="_GBC_0f6417d6cfe144658d849ee330ae7502" concept="clcid-pte:DiSanCengCiGongYunJiaZhiJiLiangDeYanShengJinRongFuZhai" label="第三层次公允价值计量的衍生金融负债" mulRef="_GBC_4b785696cde44d3f8a4a7d28ab963e38" unitRef="_GBC_3bb5670d72804a4b8298edc3e439955a" addr="T0R26C3S1_1" formatStyle="Comma" appId="_GBC_291486261b6a4e8092eea55d961b7664"/>
      <m:item xlName="_GBC_46bf40264ed441ba8905989cf3e6eece" concept="clcid-pte:YanShengJinRongFuZhaiGongYunJiaZhiHeJi" label="衍生金融负债公允价值合计" mulRef="_GBC_4b785696cde44d3f8a4a7d28ab963e38" unitRef="_GBC_3bb5670d72804a4b8298edc3e439955a" addr="T0R26C4S1_1" formatStyle="Comma" appId="_GBC_291486261b6a4e8092eea55d961b7664"/>
      <m:placeholder xlName="_PLD_6e5dd1c748b04c09b7a17c31799de512" addr="T0R27C0S1_1"/>
      <m:item xlName="_GBC_ad4ebfd1ba9643eca38b77cb8da92a90" concept="clcid-pte:DiYiCengCiGongYunJiaZhiJiLiangDeQiTaJiaoYiXingJinRongFuZhai" label="第一层次公允价值计量的其他交易性金融负债" mulRef="_GBC_4b785696cde44d3f8a4a7d28ab963e38" unitRef="_GBC_3bb5670d72804a4b8298edc3e439955a" addr="T0R27C1S1_1" formatStyle="Comma" appId="_GBC_291486261b6a4e8092eea55d961b7664"/>
      <m:item xlName="_GBC_7135125ca90f43ce938062787efaf037" concept="clcid-pte:DiErCengCiGongYunJiaZhiJiLiangDeQiTaJiaoYiXingJinRongFuZhai" label="第二层次公允价值计量的其他交易性金融负债" mulRef="_GBC_4b785696cde44d3f8a4a7d28ab963e38" unitRef="_GBC_3bb5670d72804a4b8298edc3e439955a" addr="T0R27C2S1_1" formatStyle="Comma" appId="_GBC_291486261b6a4e8092eea55d961b7664"/>
      <m:item xlName="_GBC_57b671d73d64402180c7efd5f0b92812" concept="clcid-pte:DiSanCengCiGongYunJiaZhiJiLiangDeQiTaJiaoYiXingJinRongFuZhai" label="第三层次公允价值计量的其他交易性金融负债" mulRef="_GBC_4b785696cde44d3f8a4a7d28ab963e38" unitRef="_GBC_3bb5670d72804a4b8298edc3e439955a" addr="T0R27C3S1_1" formatStyle="Comma" appId="_GBC_291486261b6a4e8092eea55d961b7664"/>
      <m:item xlName="_GBC_87c6ba5bef2c48b7bdb8ef590baeb848" concept="clcid-pte:QiTaJiaoYiXingJinRongFuZhaiGongYunJiaZhiHeJi" label="其他交易性金融负债公允价值合计" mulRef="_GBC_4b785696cde44d3f8a4a7d28ab963e38" unitRef="_GBC_3bb5670d72804a4b8298edc3e439955a" addr="T0R27C4S1_1" formatStyle="Comma" appId="_GBC_291486261b6a4e8092eea55d961b7664"/>
      <m:placeholder xlName="_PLD_0b3835804c874ab6ada0c339f3ba564e" addr="T0R28C0S1_1"/>
      <m:item xlName="_GBC_529717112d2e4f56882a3ada3ca7e316" concept="clcid-pte:DiYiCengCiGongYunJiaZhiJiLiangDeZhiDingWeiYiGongYunJiaZhiJiLiangQieQiBianDongJiRuDangQiSunYiDeJinRongFuZhai" label="第一层次公允价值计量的指定为以公允价值计量且其变动计入当期损益的金融负债" mulRef="_GBC_4b785696cde44d3f8a4a7d28ab963e38" unitRef="_GBC_3bb5670d72804a4b8298edc3e439955a" addr="T0R28C1S1_1" formatStyle="Comma" appId="_GBC_291486261b6a4e8092eea55d961b7664">
        <m:complexRule comparator="Eq" title="第一层次公允价值计量的以公允价值计量且变动计入当期损益的金融负债" id="Cea2f003eb9c744c78c4f4b804f9a182d"/>
      </m:item>
      <m:item xlName="_GBC_fed27202c38c47f5833715fa11283fd9" concept="clcid-pte:DiErCengCiGongYunJiaZhiJiLiangDeZhiDingWeiYiGongYunJiaZhiJiLiangQieQiBianDongJiRuDangQiSunYiDeJinRongFuZhai" label="第二层次公允价值计量的指定为以公允价值计量且其变动计入当期损益的金融负债" mulRef="_GBC_4b785696cde44d3f8a4a7d28ab963e38" unitRef="_GBC_3bb5670d72804a4b8298edc3e439955a" addr="T0R28C2S1_1" formatStyle="Comma" appId="_GBC_291486261b6a4e8092eea55d961b7664">
        <m:complexRule comparator="Eq" title="第二层次公允价值计量的以公允价值计量且变动计入当期损益的金融负债" id="C5877603d099f4149ae1222faf07b790a"/>
      </m:item>
      <m:item xlName="_GBC_16a4347ad5504a5c92511d14a936ecd2" concept="clcid-pte:DiSanCengCiGongYunJiaZhiJiLiangDeZhiDingWeiYiGongYunJiaZhiJiLiangQieQiBianDongJiRuDangQiSunYiDeJinRongFuZhai" label="第三层次公允价值计量的指定为以公允价值计量且其变动计入当期损益的金融负债" mulRef="_GBC_4b785696cde44d3f8a4a7d28ab963e38" unitRef="_GBC_3bb5670d72804a4b8298edc3e439955a" addr="T0R28C3S1_1" formatStyle="Comma" appId="_GBC_291486261b6a4e8092eea55d961b7664">
        <m:complexRule comparator="Eq" title="第三层次公允价值计量的以公允价值计量且变动计入当期损益的金融负债" id="Cc67d47952e9341088d6ee019d3602007"/>
      </m:item>
      <m:item xlName="_GBC_64c6b8cafd5142c1baef87a309f2b299" concept="clcid-pte:ZhiDingWeiYiGongYunJiaZhiJiLiangQieQiBianDongJiRuDangQiSunYiDeJinRongFuZhaiGongYunJiaZhiHeJi" label="指定为以公允价值计量且其变动计入当期损益的金融负债公允价值合计" mulRef="_GBC_4b785696cde44d3f8a4a7d28ab963e38" unitRef="_GBC_3bb5670d72804a4b8298edc3e439955a" addr="T0R28C4S1_1" formatStyle="Comma" appId="_GBC_291486261b6a4e8092eea55d961b7664">
        <m:complexRule comparator="Eq" title="以公允价值计量且变动计入当期损益的金融负债公允价值合计" test=" $_GBC_529717112d2e4f56882a3ada3ca7e316 +  $_GBC_fed27202c38c47f5833715fa11283fd9 +  $_GBC_16a4347ad5504a5c92511d14a936ecd2" id="C041637405f1448e6b892cce3e3948c89"/>
      </m:item>
      <m:tuple xlName="_TUP_172ed93d1efa4937b93762fbf0b55638" concept="clcid-pte:ChiXuYiGongYunJiaZhiJiLiangDeFuZhaiZongEMingXi" default_row="2" addr="T0R29C">
        <m:item xlName="_GBC_66e314949ee24902a30964d8708d0a3c" concept="clcid-pte:ChiXuYiGongYunJiaZhiJiLiangDeFuZhaiZongEMingXiXiangMuMingCheng" label="持续以公允价值计量的负债总额明细-项目名称" addr="T0R29C0S1_1" appId="_GBC_291486261b6a4e8092eea55d961b7664"/>
        <m:item xlName="_GBC_f2afdf4a07274d8da55a5028f71b9102" concept="clcid-pte:ChiXuYiGongYunJiaZhiJiLiangDeFuZhaiZongEMingXiDiYiCengCiGongYunJiaZhiJiLiang" label="持续以公允价值计量的负债总额明细-第一层次公允价值计量" mulRef="_GBC_4b785696cde44d3f8a4a7d28ab963e38" unitRef="_GBC_3bb5670d72804a4b8298edc3e439955a" addr="T0R29C1S1_1" formatStyle="Comma" appId="_GBC_291486261b6a4e8092eea55d961b7664"/>
        <m:item xlName="_GBC_d852d552ee4543b7847cc423eee66cd3" concept="clcid-pte:ChiXuYiGongYunJiaZhiJiLiangDeFuZhaiZongEMingXiDiErCengCiGongYunJiaZhiJiLiang" label="持续以公允价值计量的负债总额明细-第二层次公允价值计量" mulRef="_GBC_4b785696cde44d3f8a4a7d28ab963e38" unitRef="_GBC_3bb5670d72804a4b8298edc3e439955a" addr="T0R29C2S1_1" formatStyle="Comma" appId="_GBC_291486261b6a4e8092eea55d961b7664"/>
        <m:item xlName="_GBC_cc0dc47036aa468f83e1955ce9c9bc6a" concept="clcid-pte:ChiXuYiGongYunJiaZhiJiLiangDeFuZhaiZongEMingXiDiSanCengCiGongYunJiaZhiJiLiang" label="持续以公允价值计量的负债总额明细-第三层次公允价值计量" mulRef="_GBC_4b785696cde44d3f8a4a7d28ab963e38" unitRef="_GBC_3bb5670d72804a4b8298edc3e439955a" addr="T0R29C3S1_1" formatStyle="Comma" appId="_GBC_291486261b6a4e8092eea55d961b7664"/>
        <m:item xlName="_GBC_a1b84f48286742bca3181573533b705f" concept="clcid-pte:ChiXuYiGongYunJiaZhiJiLiangDeFuZhaiZongEMingXiHeJi" label="持续以公允价值计量的负债总额明细-合计" mulRef="_GBC_4b785696cde44d3f8a4a7d28ab963e38" unitRef="_GBC_3bb5670d72804a4b8298edc3e439955a" addr="T0R29C4S1_1" formatStyle="Comma" appId="_GBC_291486261b6a4e8092eea55d961b7664">
          <m:complexRule comparator="Eq" title="持续以公允价值计量的负债总额明细-合计" test=" $_GBC_f2afdf4a07274d8da55a5028f71b9102 +  $_GBC_d852d552ee4543b7847cc423eee66cd3 +  $_GBC_cc0dc47036aa468f83e1955ce9c9bc6a" id="Ca391a73046e54ba48fcdfa7cd0126ea9"/>
        </m:item>
      </m:tuple>
      <m:placeholder xlName="_PLD_55f0f867d07f4493bbf5709a51eefe65" addr="T0R31C0S1_1"/>
      <m:item xlName="_GBC_ba1d9335ce14443f83c464a6d2fa30ff" concept="clcid-pte:DiYiCengCiGongYunJiaZhiJiLiangDeChiXuYiGongYunJiaZhiJiLiangDeFuZhaiZongE" label="第一层次公允价值计量的持续以公允价值计量的负债总额" mulRef="_GBC_4b785696cde44d3f8a4a7d28ab963e38" unitRef="_GBC_3bb5670d72804a4b8298edc3e439955a" addr="T0R31C1S1_1" formatStyle="Comma" appId="_GBC_291486261b6a4e8092eea55d961b7664">
        <m:complexRule comparator="Eq" title="第一层次公允价值计量的持续以公允价值计量的负债总额" test=" $_GBC_f2afdf4a07274d8da55a5028f71b9102 +  $_GBC_b87b59381f984295a32165a53c2499b1" id="Cac2606ba228940bbb7da9f423b2c3404" serialType="1"/>
      </m:item>
      <m:item xlName="_GBC_b65e687291194d1292c3fc0b702fdb31" concept="clcid-pte:DiErCengCiGongYunJiaZhiJiLiangDeChiXuYiGongYunJiaZhiJiLiangDeFuZhaiZongE" label="第二层次公允价值计量的持续以公允价值计量的负债总额" mulRef="_GBC_4b785696cde44d3f8a4a7d28ab963e38" unitRef="_GBC_3bb5670d72804a4b8298edc3e439955a" addr="T0R31C2S1_1" formatStyle="Comma" appId="_GBC_291486261b6a4e8092eea55d961b7664">
        <m:complexRule comparator="Eq" title="第二层次公允价值计量的持续以公允价值计量的负债总额" test=" $_GBC_d852d552ee4543b7847cc423eee66cd3 +  $_GBC_18a42dcc4f144417b397b2ca1f4ff91f" id="C5b0dd399dac44e5884320954c6237037" serialType="1"/>
      </m:item>
      <m:item xlName="_GBC_8d184bd940064fecb891480416abaf63" concept="clcid-pte:DiSanCengCiGongYunJiaZhiJiLiangDeChiXuYiGongYunJiaZhiJiLiangDeFuZhaiZongE" label="第三层次公允价值计量的持续以公允价值计量的负债总额" mulRef="_GBC_4b785696cde44d3f8a4a7d28ab963e38" unitRef="_GBC_3bb5670d72804a4b8298edc3e439955a" addr="T0R31C3S1_1" formatStyle="Comma" appId="_GBC_291486261b6a4e8092eea55d961b7664">
        <m:complexRule comparator="Eq" title="第三层次公允价值计量的持续以公允价值计量的负债总额" test=" $_GBC_cc0dc47036aa468f83e1955ce9c9bc6a +  $_GBC_2eb5f8d0ea3a4ee48139c65ed2c09963" id="C8b4b93c59c884efa9a0c35ef9cd91e0b" serialType="1"/>
      </m:item>
      <m:item xlName="_GBC_1472771a21644740b6a464637852aecb" concept="clcid-pte:ChiXuYiGongYunJiaZhiJiLiangDeFuZhaiZongEHeJi" label="持续以公允价值计量的负债总额合计" mulRef="_GBC_4b785696cde44d3f8a4a7d28ab963e38" unitRef="_GBC_3bb5670d72804a4b8298edc3e439955a" addr="T0R31C4S1_1" formatStyle="Comma" appId="_GBC_291486261b6a4e8092eea55d961b7664">
        <m:complexRule comparator="Eq" title="持续以公允价值计量的负债总额合计" test=" $_GBC_ba1d9335ce14443f83c464a6d2fa30ff +  $_GBC_b65e687291194d1292c3fc0b702fdb31 +  $_GBC_8d184bd940064fecb891480416abaf63" id="Cf6ba008be2a7425b8da8a0a5746c89bd"/>
        <m:complexRule comparator="Eq" title="持续以公允价值计量的负债总额合计" test=" $_GBC_a1b84f48286742bca3181573533b705f +  $_GBC_874e6fb1f55e4dfbaffc3e4a8da3c518" id="Ccac15d4a859f4c4c85461b3e1e541900" serialType="1"/>
      </m:item>
      <m:placeholder xlName="_PLD_4459ed4c85024af2b9f72ebfc4538cf7" addr="T0R32C0S1_1"/>
      <m:item xlName="_GBC_10642698efb94f018a93afbe3865dcea" concept="clcid-pte:DiYiCengCiGongYunJiaZhiJiLiangFeiChiXuDeGongYunJiaZhi" label="第一层次公允价值计量非持续的公允价值" mulRef="_GBC_4b785696cde44d3f8a4a7d28ab963e38" unitRef="_GBC_3bb5670d72804a4b8298edc3e439955a" addr="T0R32C1S1_1" formatStyle="Comma" appId="_GBC_291486261b6a4e8092eea55d961b7664"/>
      <m:item xlName="_GBC_ecef78d499e54d44b139dcbfdb721dd2" concept="clcid-pte:DiErCengCiGongYunJiaZhiJiLiangFeiChiXuDeGongYunJiaZhi" label="第二层次公允价值计量非持续的公允价值" mulRef="_GBC_4b785696cde44d3f8a4a7d28ab963e38" unitRef="_GBC_3bb5670d72804a4b8298edc3e439955a" addr="T0R32C2S1_1" formatStyle="Comma" appId="_GBC_291486261b6a4e8092eea55d961b7664"/>
      <m:item xlName="_GBC_5a2b8173840244a1a5881d28d4ce330d" concept="clcid-pte:DiSanCengCiGongYunJiaZhiJiLiangFeiChiXuDeGongYunJiaZhi" label="第三层次公允价值计量非持续的公允价值" mulRef="_GBC_4b785696cde44d3f8a4a7d28ab963e38" unitRef="_GBC_3bb5670d72804a4b8298edc3e439955a" addr="T0R32C3S1_1" formatStyle="Comma" appId="_GBC_291486261b6a4e8092eea55d961b7664"/>
      <m:item xlName="_GBC_5a958f3a61d34417ac6a49035e9fe1e1" concept="clcid-pte:FeiChiXuDeGongYunJiaZhiJiLiangHeJi" label="非持续的公允价值计量合计" mulRef="_GBC_4b785696cde44d3f8a4a7d28ab963e38" unitRef="_GBC_3bb5670d72804a4b8298edc3e439955a" addr="T0R32C4S1_1" formatStyle="Comma" appId="_GBC_291486261b6a4e8092eea55d961b7664">
        <m:complexRule comparator="Eq" title="非持续的公允价值计量合计" test=" $_GBC_10642698efb94f018a93afbe3865dcea +  $_GBC_ecef78d499e54d44b139dcbfdb721dd2 +  $_GBC_5a2b8173840244a1a5881d28d4ce330d" id="C4961e8ec214344aea085ba3748b6eda7"/>
      </m:item>
      <m:placeholder xlName="_PLD_17836ddde96f42d9960d4a0147639c54" addr="T0R33C0S1_1"/>
      <m:item xlName="_GBC_30dc7574b3a048f4934b1c480c6b6337" concept="clcid-pte:DiYiCengCiGongYunJiaZhiJiLiangDeChiYouDaiShouZiChan" label="第一层次公允价值计量的持有待售资产" mulRef="_GBC_4b785696cde44d3f8a4a7d28ab963e38" unitRef="_GBC_3bb5670d72804a4b8298edc3e439955a" addr="T0R33C1S1_1" formatStyle="Comma" appId="_GBC_291486261b6a4e8092eea55d961b7664"/>
      <m:item xlName="_GBC_eeae4807e2f448f9913d9fafa37a79cc" concept="clcid-pte:DiErCengCiGongYunJiaZhiJiLiangDeChiYouDaiShouZiChan" label="第二层次公允价值计量的持有待售资产" mulRef="_GBC_4b785696cde44d3f8a4a7d28ab963e38" unitRef="_GBC_3bb5670d72804a4b8298edc3e439955a" addr="T0R33C2S1_1" formatStyle="Comma" appId="_GBC_291486261b6a4e8092eea55d961b7664"/>
      <m:item xlName="_GBC_4369808f46b2442aac27cf274485d5c8" concept="clcid-pte:DiSanCengCiGongYunJiaZhiJiLiangDeChiYouDaiShouZiChan" label="第三层次公允价值计量的持有待售资产" mulRef="_GBC_4b785696cde44d3f8a4a7d28ab963e38" unitRef="_GBC_3bb5670d72804a4b8298edc3e439955a" addr="T0R33C3S1_1" formatStyle="Comma" appId="_GBC_291486261b6a4e8092eea55d961b7664"/>
      <m:item xlName="_GBC_c31cce05b7054b96aed6dcf98271c28c" concept="clcid-pte:ChiYouDaiShouZiChanGongYunJiaZhiHeJi" label="持有待售资产公允价值合计" mulRef="_GBC_4b785696cde44d3f8a4a7d28ab963e38" unitRef="_GBC_3bb5670d72804a4b8298edc3e439955a" addr="T0R33C4S1_1" formatStyle="Comma" appId="_GBC_291486261b6a4e8092eea55d961b7664">
        <m:complexRule comparator="Eq" title="持有待售资产公允价值合计" test=" $_GBC_30dc7574b3a048f4934b1c480c6b6337 +  $_GBC_eeae4807e2f448f9913d9fafa37a79cc +  $_GBC_4369808f46b2442aac27cf274485d5c8" id="Cf84bb52f505d45c8954122dadc9b7ddf"/>
      </m:item>
      <m:tuple xlName="_TUP_03808ad2d95243fa986b48559b276876" concept="clcid-pte:FeiChiXuYiGongYunJiaZhiJiLiangDeZiChanZongEMingXi" default_row="2" addr="T0R34C">
        <m:item xlName="_GBC_daea315ca3894c47a3e8fd03b226c146" concept="clcid-pte:FeiChiXuYiGongYunJiaZhiJiLiangDeZiChanZongEMingXiXiangMuMingCheng" label="非持续以公允价值计量的资产总额明细-项目名称" addr="T0R34C0S1_1" appId="_GBC_291486261b6a4e8092eea55d961b7664"/>
        <m:item xlName="_GBC_a76b23abd3cd4c9a8813e4d4fc5f1e7c" concept="clcid-pte:FeiChiXuYiGongYunJiaZhiJiLiangDeZiChanZongEMingXiDiYiCengCiGongYunJiaZhiJiLiang" label="非持续以公允价值计量的资产总额明细-第一层次公允价值计量" mulRef="_GBC_4b785696cde44d3f8a4a7d28ab963e38" unitRef="_GBC_3bb5670d72804a4b8298edc3e439955a" addr="T0R34C1S1_1" formatStyle="Comma" appId="_GBC_291486261b6a4e8092eea55d961b7664"/>
        <m:item xlName="_GBC_0ff4cbb0bba540da8e5aff9e00549573" concept="clcid-pte:FeiChiXuYiGongYunJiaZhiJiLiangDeZiChanZongEMingXiDiErCengCiGongYunJiaZhiJiLiang" label="非持续以公允价值计量的资产总额明细-第二层次公允价值计量" mulRef="_GBC_4b785696cde44d3f8a4a7d28ab963e38" unitRef="_GBC_3bb5670d72804a4b8298edc3e439955a" addr="T0R34C2S1_1" formatStyle="Comma" appId="_GBC_291486261b6a4e8092eea55d961b7664"/>
        <m:item xlName="_GBC_ff14db178a7346ae8a37200a180492d8" concept="clcid-pte:FeiChiXuYiGongYunJiaZhiJiLiangDeZiChanZongEMingXiDiSanCengCiGongYunJiaZhiJiLiang" label="非持续以公允价值计量的资产总额明细-第三层次公允价值计量" mulRef="_GBC_4b785696cde44d3f8a4a7d28ab963e38" unitRef="_GBC_3bb5670d72804a4b8298edc3e439955a" addr="T0R34C3S1_1" formatStyle="Comma" appId="_GBC_291486261b6a4e8092eea55d961b7664"/>
        <m:item xlName="_GBC_36dcc8b5f9ad428e9e1f92dd4b5fb088" concept="clcid-pte:FeiChiXuYiGongYunJiaZhiJiLiangDeZiChanZongEMingXiHeJi" label="非持续以公允价值计量的资产总额明细-合计" mulRef="_GBC_4b785696cde44d3f8a4a7d28ab963e38" unitRef="_GBC_3bb5670d72804a4b8298edc3e439955a" addr="T0R34C4S1_1" formatStyle="Comma" appId="_GBC_291486261b6a4e8092eea55d961b7664">
          <m:complexRule comparator="Eq" title="非持续以公允价值计量的资产总额明细-合计" test=" $_GBC_a76b23abd3cd4c9a8813e4d4fc5f1e7c +  $_GBC_0ff4cbb0bba540da8e5aff9e00549573 +  $_GBC_ff14db178a7346ae8a37200a180492d8" id="Caee068b2c4264cf8b873b47241c34584"/>
        </m:item>
      </m:tuple>
      <m:placeholder xlName="_PLD_5606f89679c6406591acd746a38b1e22" addr="T0R36C0S1_1"/>
      <m:item xlName="_GBC_dcab00377d8f4b67a07b743a7b2e2186" concept="clcid-pte:DiYiCengCiGongYunJiaZhiJiLiangFeiChiXuYiGongYunJiaZhiJiLiangDeZiChanZongE" label="第一层次公允价值计量非持续以公允价值计量的资产总额" mulRef="_GBC_4b785696cde44d3f8a4a7d28ab963e38" unitRef="_GBC_3bb5670d72804a4b8298edc3e439955a" addr="T0R36C1S1_1" formatStyle="Comma" appId="_GBC_291486261b6a4e8092eea55d961b7664">
        <m:complexRule comparator="Eq" title="第一层次公允价值计量非持续以公允价值计量的资产总额" test=" $_GBC_30dc7574b3a048f4934b1c480c6b6337 +  $_GBC_a76b23abd3cd4c9a8813e4d4fc5f1e7c" id="C0bfe2ac46e1142e4a9be4956ff636015" serialType="1"/>
      </m:item>
      <m:item xlName="_GBC_8ced729334a44b0682682f89f8bd5f53" concept="clcid-pte:DiErCengCiGongYunJiaZhiJiLiangFeiChiXuYiGongYunJiaZhiJiLiangDeZiChanZongE" label="第二层次公允价值计量非持续以公允价值计量的资产总额" mulRef="_GBC_4b785696cde44d3f8a4a7d28ab963e38" unitRef="_GBC_3bb5670d72804a4b8298edc3e439955a" addr="T0R36C2S1_1" formatStyle="Comma" appId="_GBC_291486261b6a4e8092eea55d961b7664">
        <m:complexRule comparator="Eq" title="第二层次公允价值计量非持续以公允价值计量的资产总额" test=" $_GBC_eeae4807e2f448f9913d9fafa37a79cc +  $_GBC_0ff4cbb0bba540da8e5aff9e00549573" id="C3b685e87280b421190d67c7d3750e303" serialType="1"/>
      </m:item>
      <m:item xlName="_GBC_a99b0d86220e451ba9b3dbe6cecf8d18" concept="clcid-pte:DiSanCengCiGongYunJiaZhiJiLiangFeiChiXuYiGongYunJiaZhiJiLiangDeZiChanZongE" label="第三层次公允价值计量非持续以公允价值计量的资产总额" mulRef="_GBC_4b785696cde44d3f8a4a7d28ab963e38" unitRef="_GBC_3bb5670d72804a4b8298edc3e439955a" addr="T0R36C3S1_1" formatStyle="Comma" appId="_GBC_291486261b6a4e8092eea55d961b7664">
        <m:complexRule comparator="Eq" title="第三层次公允价值计量非持续以公允价值计量的资产总额" test=" $_GBC_4369808f46b2442aac27cf274485d5c8 +  $_GBC_ff14db178a7346ae8a37200a180492d8" id="C4a12eb6e12cc42d6a9947b18cc278dbf" serialType="1"/>
      </m:item>
      <m:item xlName="_GBC_a670782296204e66830a0abf658db653" concept="clcid-pte:FeiChiXuYiGongYunJiaZhiJiLiangDeZiChanZongE" label="非持续以公允价值计量的资产总额" mulRef="_GBC_4b785696cde44d3f8a4a7d28ab963e38" unitRef="_GBC_3bb5670d72804a4b8298edc3e439955a" addr="T0R36C4S1_1" formatStyle="Comma" appId="_GBC_291486261b6a4e8092eea55d961b7664">
        <m:complexRule comparator="Eq" title="非持续以公允价值计量的资产总额" test=" $_GBC_dcab00377d8f4b67a07b743a7b2e2186 +  $_GBC_8ced729334a44b0682682f89f8bd5f53 +  $_GBC_a99b0d86220e451ba9b3dbe6cecf8d18" id="C31c92519956d471b927fe930f40e0aa1"/>
        <m:complexRule comparator="Eq" title="非持续以公允价值计量的资产总额" test=" $_GBC_c31cce05b7054b96aed6dcf98271c28c +  $_GBC_36dcc8b5f9ad428e9e1f92dd4b5fb088" id="C0710b497f25f4be18baaa666fb25049f" serialType="1"/>
      </m:item>
      <m:tuple xlName="_TUP_4425d7aee7f44bc08cf8906bad5b10f3" concept="clcid-pte:FeiChiXuYiGongYunJiaZhiJiLiangDeFuZhaiZongEMingXi" default_row="2" addr="T0R37C">
        <m:item xlName="_GBC_27b2ac46b1d04d9385ef1dbde1fbae10" concept="clcid-pte:FeiChiXuYiGongYunJiaZhiJiLiangDeFuZhaiZongEMingXiXiangMuMingCheng" label="非持续以公允价值计量的负债总额明细-项目名称" addr="T0R37C0S1_1" appId="_GBC_291486261b6a4e8092eea55d961b7664"/>
        <m:item xlName="_GBC_d3d26ce7272044a0b7d34e8a938e8d2c" concept="clcid-pte:FeiChiXuYiGongYunJiaZhiJiLiangDeFuZhaiZongEMingXiDiYiCengCiGongYunJiaZhiJiLiang" label="非持续以公允价值计量的负债总额明细-第一层次公允价值计量" mulRef="_GBC_4b785696cde44d3f8a4a7d28ab963e38" unitRef="_GBC_3bb5670d72804a4b8298edc3e439955a" addr="T0R37C1S1_1" formatStyle="Comma" appId="_GBC_291486261b6a4e8092eea55d961b7664"/>
        <m:item xlName="_GBC_b247e040de874d2ba2b868f9dc0fea76" concept="clcid-pte:FeiChiXuYiGongYunJiaZhiJiLiangDeFuZhaiZongEMingXiDiErCengCiGongYunJiaZhiJiLiang" label="非持续以公允价值计量的负债总额明细-第二层次公允价值计量" mulRef="_GBC_4b785696cde44d3f8a4a7d28ab963e38" unitRef="_GBC_3bb5670d72804a4b8298edc3e439955a" addr="T0R37C2S1_1" formatStyle="Comma" appId="_GBC_291486261b6a4e8092eea55d961b7664"/>
        <m:item xlName="_GBC_d591d07f33f94a48b8ec6a2407f53d7a" concept="clcid-pte:FeiChiXuYiGongYunJiaZhiJiLiangDeFuZhaiZongEMingXiDiSanCengCiGongYunJiaZhiJiLiang" label="非持续以公允价值计量的负债总额明细-第三层次公允价值计量" mulRef="_GBC_4b785696cde44d3f8a4a7d28ab963e38" unitRef="_GBC_3bb5670d72804a4b8298edc3e439955a" addr="T0R37C3S1_1" formatStyle="Comma" appId="_GBC_291486261b6a4e8092eea55d961b7664"/>
        <m:item xlName="_GBC_ce9474a5776f438fbafac8f48ba04954" concept="clcid-pte:FeiChiXuYiGongYunJiaZhiJiLiangDeFuZhaiZongEMingXiHeJi" label="非持续以公允价值计量的负债总额明细-合计" mulRef="_GBC_4b785696cde44d3f8a4a7d28ab963e38" unitRef="_GBC_3bb5670d72804a4b8298edc3e439955a" addr="T0R37C4S1_1" formatStyle="Comma" appId="_GBC_291486261b6a4e8092eea55d961b7664">
          <m:complexRule comparator="Eq" title="非持续以公允价值计量的负债总额明细-合计" test=" $_GBC_d3d26ce7272044a0b7d34e8a938e8d2c +  $_GBC_b247e040de874d2ba2b868f9dc0fea76 +  $_GBC_d591d07f33f94a48b8ec6a2407f53d7a" id="C50db856ec0584cad9efffdee5de641bc"/>
        </m:item>
      </m:tuple>
      <m:placeholder xlName="_PLD_2ad2f17c0f784900bcd5d8acb5d78381" addr="T0R39C0S1_1"/>
      <m:item xlName="_GBC_697b62b58a344fe6928fa976ad616a32" concept="clcid-pte:DiYiCengCiGongYunJiaZhiJiLiangFeiChiXuYiGongYunJiaZhiJiLiangDeFuZhaiZongE" label="第一层次公允价值计量非持续以公允价值计量的负债总额" mulRef="_GBC_4b785696cde44d3f8a4a7d28ab963e38" unitRef="_GBC_3bb5670d72804a4b8298edc3e439955a" addr="T0R39C1S1_1" formatStyle="Comma" appId="_GBC_291486261b6a4e8092eea55d961b7664">
        <m:complexRule comparator="Eq" title="第一层次公允价值计量非持续以公允价值计量的负债总额" test=" $_GBC_d3d26ce7272044a0b7d34e8a938e8d2c" id="C456fefec713d465ebaacf94f6526ae13"/>
      </m:item>
      <m:item xlName="_GBC_f99b61d8d0d548479056b1f66735d850" concept="clcid-pte:DiErCengCiGongYunJiaZhiJiLiangFeiChiXuYiGongYunJiaZhiJiLiangDeFuZhaiZongE" label="第二层次公允价值计量非持续以公允价值计量的负债总额" mulRef="_GBC_4b785696cde44d3f8a4a7d28ab963e38" unitRef="_GBC_3bb5670d72804a4b8298edc3e439955a" addr="T0R39C2S1_1" formatStyle="Comma" appId="_GBC_291486261b6a4e8092eea55d961b7664">
        <m:complexRule comparator="Eq" title="第二层次公允价值计量非持续以公允价值计量的负债总额" test=" $_GBC_b247e040de874d2ba2b868f9dc0fea76" id="C61324ba7d58e4a89a67b4228f34ca99d"/>
      </m:item>
      <m:item xlName="_GBC_fc1730fce9a24669b5e07d0fcb85f6e9" concept="clcid-pte:DiSanCengCiGongYunJiaZhiJiLiangFeiChiXuYiGongYunJiaZhiJiLiangDeFuZhaiZongE" label="第三层次公允价值计量非持续以公允价值计量的负债总额" mulRef="_GBC_4b785696cde44d3f8a4a7d28ab963e38" unitRef="_GBC_3bb5670d72804a4b8298edc3e439955a" addr="T0R39C3S1_1" formatStyle="Comma" appId="_GBC_291486261b6a4e8092eea55d961b7664">
        <m:complexRule comparator="Eq" title="第三层次公允价值计量非持续以公允价值计量的负债总额" test=" $_GBC_d591d07f33f94a48b8ec6a2407f53d7a" id="C81ce644cd6b641c789def7c675790ab1"/>
      </m:item>
      <m:item xlName="_GBC_39b36811d81545a0901942bc693d3afe" concept="clcid-pte:FeiChiXuYiGongYunJiaZhiJiLiangDeFuZhaiZongE" label="非持续以公允价值计量的负债总额" mulRef="_GBC_4b785696cde44d3f8a4a7d28ab963e38" unitRef="_GBC_3bb5670d72804a4b8298edc3e439955a" addr="T0R39C4S1_1" formatStyle="Comma" appId="_GBC_291486261b6a4e8092eea55d961b7664">
        <m:complexRule comparator="Eq" title="非持续以公允价值计量的负债总额" test=" $_GBC_697b62b58a344fe6928fa976ad616a32 +  $_GBC_f99b61d8d0d548479056b1f66735d850 +  $_GBC_fc1730fce9a24669b5e07d0fcb85f6e9" id="Cee63ce500fe140fdac2617c36ec69225"/>
        <m:complexRule comparator="Eq" title="非持续以公允价值计量的负债总额" test=" $_GBC_ce9474a5776f438fbafac8f48ba04954" id="C1d94e04f5c25409193369faaba2ed23c"/>
      </m:item>
    </m:section>
    <m:section xlName="_GBC_9cf59ced96b14247921100dffef5784f" title="持续和非持续第一层次公允价值计量项目市价的确定依据" helpId="112001160">
      <m:item xlName="_GBC_699178e78c6743f697df07ed34d59216" concept="clcid-ci-ar:ShiFouShiYongChiXuHeFeiChiXuDiYiCengCiGongYunJiaZhiJiLiangXiangMuShiJiaDeQueDingYiJu" label="是否适用：持续和非持续第一层次公允价值计量项目市价的确定依据" selectOptions="_buildInAppliance" controlType="CustomCheckbox" cRanges="{&quot;StartName&quot;:&quot;_GBC_699178e78c6743f697df07ed34d59216&quot;,&quot;EndName&quot;:&quot;_GBC_8db65a2ca59047da919942f97cfc594e&quot;,&quot;CType&quot;:1,&quot;DisplayText&quot;:null}"/>
      <m:item xlName="_GBC_8db65a2ca59047da919942f97cfc594e" concept="clcid-pte:ChiXuHeFeiChiXuDiYiCengCiGongYunJiaZhiJiLiangXiangMuShiJiaDeQueDingYiJu" label="持续和非持续第一层次公允价值计量项目市价的确定依据" appId="_GBC_699178e78c6743f697df07ed34d59216"/>
    </m:section>
    <m:section xlName="_GBC_8e00be36ed6245f895b032b3059a4854" title="持续和非持续第二层次公允价值计量项目，采用的估值技术和重要参数的定性及定量信息" helpId="112001161">
      <m:item xlName="_GBC_8bee9b1c9bf241d5ae1f2c4578fc3b6c" concept="clcid-ci-ar:ShiFouShiYongChiXuHeFeiChiXuDiErCengCiGongYunJiaZhiJiLiangXiangMuCaiYongDeGuZhiJiShuHeZhongYaoCanShuDeDingXingJiDingLiangXinXi" label="是否适用：持续和非持续第二层次公允价值计量项目，采用的估值技术和重要参数的定性及定量信息" selectOptions="_buildInAppliance" controlType="CustomCheckbox" cRanges="{&quot;StartName&quot;:&quot;_GBC_8bee9b1c9bf241d5ae1f2c4578fc3b6c&quot;,&quot;EndName&quot;:&quot;_GBC_406ac04d46a9411bb4890572e539e6ca&quot;,&quot;CType&quot;:1,&quot;DisplayText&quot;:null}"/>
      <m:item xlName="_GBC_406ac04d46a9411bb4890572e539e6ca" concept="clcid-pte:ChiXuHeFeiChiXuDiErCengCiGongYunJiaZhiJiLiangXiangMuCaiYongDeGuZhiJiShuHeZhongYaoCanShuDeDingXingJiDingLiangXinXi" label="持续和非持续第二层次公允价值计量项目，采用的估值技术和重要参数的定性及定量信息" appId="_GBC_8bee9b1c9bf241d5ae1f2c4578fc3b6c"/>
    </m:section>
    <m:section xlName="_GBC_5d389bac3ad747a292eb45fd87ce5896" title="持续和非持续第三层次公允价值计量项目，采用的估值技术和重要参数的定性及定量信息" helpId="112001161">
      <m:item xlName="_GBC_4feedb18bf344f2ebff0035f82f30e3c" concept="clcid-ci-ar:ShiFouShiYongChiXuHeFeiChiXuDiSanCengCiGongYunJiaZhiJiLiangXiangMuCaiYongDeGuZhiJiShuHeZhongYaoCanShuDeDingXingJiDingLiangXinXi" label="是否适用：持续和非持续第三层次公允价值计量项目，采用的估值技术和重要参数的定性及定量信息" selectOptions="_buildInAppliance" controlType="CustomCheckbox" cRanges="{&quot;StartName&quot;:&quot;_GBC_4feedb18bf344f2ebff0035f82f30e3c&quot;,&quot;EndName&quot;:&quot;_GBC_db2fdcfb26ce4ca9ac1e8da23b16aaaa&quot;,&quot;CType&quot;:1,&quot;DisplayText&quot;:null}"/>
      <m:item xlName="_GBC_db2fdcfb26ce4ca9ac1e8da23b16aaaa" concept="clcid-pte:ChiXuHeFeiChiXuDiSanCengCiGongYunJiaZhiJiLiangXiangMuCaiYongDeGuZhiJiShuHeZhongYaoCanShuDeDingXingJiDingLiangXinXi" label="持续和非持续第三层次公允价值计量项目，采用的估值技术和重要参数的定性及定量信息" appId="_GBC_4feedb18bf344f2ebff0035f82f30e3c"/>
    </m:section>
    <m:section xlName="_GBC_353ab3e0cb19455ab2c2c2a397421afe" title="持续的第三层次公允价值计量的项目期初与期末账面价值之间的调节信息及不可观察参数的敏感性分析" helpId="112001162">
      <m:item xlName="_GBC_fbb80659fa8c4cbba85b32b2b514495c" concept="clcid-ci-ar:ShiFouShiYongChiXuDeDiSanCengCiGongYunJiaZhiJiLiangXiangMuQiChuYuQiMoZhangMianJiaZhiJianDeDiaoJieXinXiJiBuKeGuanChaCanShuMinGanXingFenXi" label="是否适用：持续的第三层次公允价值计量项目，期初与期末账面价值间的调节信息及不可观察参数敏感性分析" selectOptions="_buildInAppliance" controlType="CustomCheckbox" cRanges="{&quot;StartName&quot;:&quot;_GBC_fbb80659fa8c4cbba85b32b2b514495c&quot;,&quot;EndName&quot;:&quot;_GBC_954b4040e118418f971665f0ac24c423&quot;,&quot;CType&quot;:1,&quot;DisplayText&quot;:null}"/>
      <m:item xlName="_GBC_954b4040e118418f971665f0ac24c423" concept="clcid-pte:ChiXuDeDiSanCengCiGongYunJiaZhiJiLiangDeXiangMuQiChuYuQiMoZhangMianJiaZhiZhiJianDeDiaoJieXinXiJiBuKeGuanChaCanShuDeMinGanXingFenXi" label="持续的第三层次公允价值计量的项目期初与期末账面价值之间的调节信息及不可观察参数的敏感性分析" appId="_GBC_fbb80659fa8c4cbba85b32b2b514495c"/>
    </m:section>
    <m:section xlName="_GBC_a9200ec73b8d485e80b76f1a9ee34c49" title="持续的公允价值计量项目，本期内发生各层级之间转换的，转换的原因及确定转换时点的政策" helpId="112001163">
      <m:item xlName="_GBC_e3d16a79a58242bc9c7be1f3a6f00898" concept="clcid-ci-ar:ShiFouShiYongChiXuDeGongYunJiaZhiJiLiangXiangMuBenQiNeiFaShengGeCengJiZhiJianZhuanHuanDeZhuanHuanDeYuanYinJiQueDingZhuanHuanShiDianDeZhengCe" label="是否适用：持续的公允价值计量项目，本期内发生各层级之间转换的，转换的原因及确定转换时点的政策" selectOptions="_buildInAppliance" controlType="CustomCheckbox" cRanges="{&quot;StartName&quot;:&quot;_GBC_e3d16a79a58242bc9c7be1f3a6f00898&quot;,&quot;EndName&quot;:&quot;_GBC_c958c7fc24f34e009636393d568869be&quot;,&quot;CType&quot;:1,&quot;DisplayText&quot;:null}"/>
      <m:item xlName="_GBC_c958c7fc24f34e009636393d568869be" concept="clcid-pte:ChiXuDeGongYunJiaZhiJiLiangXiangMuBenQiNeiFaShengGeCengJiZhiJianZhuanHuanDeZhuanHuanDeYuanYinJiQueDingZhuanHuanShiDianDeZhengCe" label="持续的公允价值计量项目，本期内发生各层级之间转换的，转换的原因及确定转换时点的政策" appId="_GBC_e3d16a79a58242bc9c7be1f3a6f00898"/>
    </m:section>
    <m:section xlName="_GBC_8e563310a4b84a5d9dfe74fdbc178926" title="本期内发生的估值技术变更及变更原因" helpId="112001164">
      <m:item xlName="_GBC_b070160060a9485c87417fe5a8b5e02f" concept="clcid-ci-ar:ShiFouShiYongBenQiNeiFaShengDeGuZhiJiShuBianGengJiBianGengYuanYin" label="是否适用：本期内发生的估值技术变更及变更原因" selectOptions="_buildInAppliance" controlType="CustomCheckbox" cRanges="{&quot;StartName&quot;:&quot;_GBC_b070160060a9485c87417fe5a8b5e02f&quot;,&quot;EndName&quot;:&quot;_GBC_855f22c3c85642f9b9d08ae1297a3a11&quot;,&quot;CType&quot;:1,&quot;DisplayText&quot;:null}"/>
      <m:item xlName="_GBC_855f22c3c85642f9b9d08ae1297a3a11" concept="clcid-pte:BenQiNeiFaShengDeGuZhiJiShuBianGengJiBianGengYuanYin" label="本期内发生的估值技术变更及变更原因" appId="_GBC_b070160060a9485c87417fe5a8b5e02f"/>
    </m:section>
    <m:section xlName="_GBC_e354e1f41f824854b8f3345d52a9cfab" title="不以公允价值计量的金融资产和金融负债的公允价值情况" helpId="112001165">
      <m:item xlName="_GBC_848a058035fb408c922e66294e86defb" concept="clcid-ci-ar:ShiFouShiYongBuYiGongYunJiaZhiJiLiangDeJinRongZiChanHeJinRongFuZhaiDeGongYunJiaZhiQingKuang" label="是否适用：不以公允价值计量的金融资产和金融负债的公允价值情况" selectOptions="_buildInAppliance" controlType="CustomCheckbox" cRanges="{&quot;StartName&quot;:&quot;_GBC_848a058035fb408c922e66294e86defb&quot;,&quot;EndName&quot;:&quot;_GBC_b98a8914aa7341d8811e287268440b08&quot;,&quot;CType&quot;:1,&quot;DisplayText&quot;:null}"/>
      <m:item xlName="_GBC_b98a8914aa7341d8811e287268440b08" concept="clcid-pte:BuYiGongYunJiaZhiJiLiangDeJinRongZiChanHeJinRongFuZhaiDeGongYunJiaZhiQingKuang" label="不以公允价值计量的金融资产和金融负债的公允价值情况" appId="_GBC_848a058035fb408c922e66294e86defb"/>
    </m:section>
    <m:section xlName="_GBC_1551c1b4fedc4ac0ae859b67b4b79904" title="公允价值其他需要披露的事项" helpId="112001166">
      <m:item xlName="_GBC_9174a0e7dec04e80924ee384dabe783a" concept="clcid-ci-ar:ShiFouShiYongGongYunJiaZhiQiTaXuYaoPiLuDeShiXiang" label="是否适用：公允价值其他需要披露的事项" selectOptions="_buildInAppliance" controlType="CustomCheckbox" cRanges="{&quot;StartName&quot;:&quot;_GBC_9174a0e7dec04e80924ee384dabe783a&quot;,&quot;EndName&quot;:&quot;_GBC_d990a97560794b80ae14f8657c7564ac&quot;,&quot;CType&quot;:1,&quot;DisplayText&quot;:null}"/>
      <m:item xlName="_GBC_d990a97560794b80ae14f8657c7564ac" concept="clcid-pte:GongYunJiaZhiQiTaXuYaoPiLuDeShiXiang" label="公允价值其他需要披露的事项" appId="_GBC_9174a0e7dec04e80924ee384dabe783a"/>
    </m:section>
    <m:section xlName="_GBC_29e1f7491caa4c3e96eef8c84532de84" title="本企业的母公司情况" rules="R2015_R11_032" helpId="112001167">
      <m:item xlName="_GBC_ead7e4ec9cc847adb62aa8efd8005802" concept="clcid-ci-ar:ShiFouShiYongBenQiYeDeMuGongSiQingKuang" label="是否适用：本企业的母公司情况" selectOptions="_buildInAppliance" controlType="CustomCheckbox" cRanges="{&quot;StartName&quot;:&quot;_GBC_ead7e4ec9cc847adb62aa8efd8005802&quot;,&quot;EndName&quot;:&quot;_GBC_72b4ca7a02944263a74be4174baff4cf&quot;,&quot;CType&quot;:1,&quot;DisplayText&quot;:null}"/>
      <m:item xlName="_GBC_6deea75122314a599b3383585a0f5cfe" concept="clcid-ci-ar:DanWeiBenQiYeDeMuGongSiQingKuang" label="单位：本企业的母公司情况" selectOptions="48229e22d31b46d897c0ecffb7a3d5b1" controlType="Combobox" cellType="Scale" appId="_GBC_ead7e4ec9cc847adb62aa8efd8005802"/>
      <m:item xlName="_GBC_3d5eae3a190749288b0c0bc9b1b1a3a3" concept="clcid-ci-ar:BiZhongBenQiYeDeMuGongSiQingKuang" label="币种：本企业的母公司情况" selectOptions="_buildInISO4217" controlType="Combobox" cellType="Measure" appId="_GBC_ead7e4ec9cc847adb62aa8efd8005802"/>
      <m:placeholder xlName="_PLD_19f86fac20c44d648212d3b573ca4c90" addr="T0R0C0S1_1"/>
      <m:placeholder xlName="_PLD_d0e9e84346084d4db76e60afa87cf85a" addr="T0R0C1S1_1"/>
      <m:placeholder xlName="_PLD_862851f8ff08431ea28c3420f555e42d" addr="T0R0C2S1_1"/>
      <m:placeholder xlName="_PLD_77ed8bc59084448aa6eced74a15c106f" addr="T0R0C3S1_1"/>
      <m:placeholder xlName="_PLD_360f61c4c6c14f0abe6480ef7f30e958" addr="T0R0C4S1_1"/>
      <m:placeholder xlName="_PLD_3ef945e24ca64fc394d2e6b861604fcf" addr="T0R0C5S1_1"/>
      <m:tuple xlName="_GBC_e3a0ec4880544cc4ad472a056e28a2a2" concept="clcid-pte:BenQiYeDeMuGongSiQingKuangMingXi" default_row="2" addr="T0R1C">
        <m:item xlName="_GBC_ff01e9d3a09d465ba9ebd350c5a85d11" concept="clcid-pte:BenQiYeDeMuGongSiQingKuangMingXiMuGongSiMingCheng" label="本企业的母公司情况明细－母公司名称" addr="T0R1C0S1_1" appId="_GBC_ead7e4ec9cc847adb62aa8efd8005802"/>
        <m:item xlName="_GBC_ef7c1fb8363d4da3914f4e1bd7dfac51" concept="clcid-pte:BenQiYeDeMuGongSiQingKuangMingXiZhuCeDi" label="本企业的母公司情况明细－注册地" addr="T0R1C1S1_1" appId="_GBC_ead7e4ec9cc847adb62aa8efd8005802"/>
        <m:item xlName="_GBC_12d20a71038a4dcd8c75fb5c37ef3a6b" concept="clcid-pte:BenQiYeDeMuGongSiQingKuangMingXiYeWuXingZhi" label="本企业的母公司情况明细－业务性质" addr="T0R1C2S1_1" appId="_GBC_ead7e4ec9cc847adb62aa8efd8005802"/>
        <m:item xlName="_GBC_58531a5f2fb54d41a49166c50c3b7feb" concept="clcid-pte:BenQiYeDeMuGongSiQingKuangMingXiZhuCeZiBen" label="本企业的母公司情况明细－注册资本" mulRef="_GBC_6deea75122314a599b3383585a0f5cfe" unitRef="_GBC_3d5eae3a190749288b0c0bc9b1b1a3a3" addr="T0R1C3S1_1" formatStyle="Comma" appId="_GBC_ead7e4ec9cc847adb62aa8efd8005802">
          <m:simpleRule dataType="Decimal" comparator="In" minValue="10000" maxValue="274867000000" level="Warn" em="“本企业的母公司情况”表中“注册资本”所选单位是否有误，请确认。"/>
        </m:item>
        <m:item xlName="_GBC_96508be0c0954d5ba8d9189897f018e7" concept="clcid-pte:BenQiYeDeMuGongSiQingKuangMingXiMuGongSiDuiBenQiYeDeChiGuBiLi" label="本企业的母公司情况明细－母公司对本企业的持股比例" addr="T0R1C4S1_1" baseScale="0.01" formatStyle="Comma" appId="_GBC_ead7e4ec9cc847adb62aa8efd8005802"/>
        <m:item xlName="_GBC_3687dfa048c7443badaa9e67fc8ed6b8" concept="clcid-pte:BenQiYeDeMuGongSiQingKuangMingXiMuGongSiDuiBenQiYeDeBiaoJueQuanBiLi" label="本企业的母公司情况明细－母公司对本企业的表决权比例" addr="T0R1C5S1_1" baseScale="0.01" formatStyle="Comma" appId="_GBC_ead7e4ec9cc847adb62aa8efd8005802"/>
      </m:tuple>
      <m:item xlName="_GBC_23f67537c1df4d9d9ede9fbc78ad06a4" concept="clcid-pte:BenQiYeDeMuGongSiQingKuangDeShuoMing" label="本企业的母公司情况的说明" appId="_GBC_ead7e4ec9cc847adb62aa8efd8005802"/>
      <m:item xlName="_GBC_951a676520994ab7a3822c5f58c20b7d" concept="clcid-pte:BenQiYeZuiZhongKongZhiFang" label="本企业最终控制方" appId="_GBC_ead7e4ec9cc847adb62aa8efd8005802"/>
      <m:item xlName="_GBC_72b4ca7a02944263a74be4174baff4cf" concept="clcid-pte:BenQiYeDeMuGongSiQingKuangDeQiTaShuoMing" label="本企业的母公司情况的其他说明" appId="_GBC_ead7e4ec9cc847adb62aa8efd8005802"/>
    </m:section>
    <m:section xlName="_GBC_244a434a920446c1838410fee0ac8ba8" title="本企业的子公司情况" rules="R2015_R11_032" helpId="112001167">
      <m:item xlName="_GBC_a8d551b9f62149d3bf9322adae2c671f" concept="clcid-ci-ar:ShiFouShiYongBenGongSiDeZiGongSiQingKuangXiangJianFuZhu" label="是否适用：本公司的子公司情况详见附注" selectOptions="_buildInAppliance" controlType="CustomCheckbox" cRanges="{&quot;StartName&quot;:&quot;_GBC_a8d551b9f62149d3bf9322adae2c671f&quot;,&quot;EndName&quot;:&quot;_GBC_bb3e2669c3cc45d0a6637b1809087708&quot;,&quot;CType&quot;:1,&quot;DisplayText&quot;:null}"/>
      <m:item xlName="_GBC_bb3e2669c3cc45d0a6637b1809087708" concept="clcid-pte:BenGongSiDeZiGongSiQingKuangXiangJianFuZhu" label="本公司的子公司情况详见附注" appId="_GBC_a8d551b9f62149d3bf9322adae2c671f"/>
    </m:section>
    <m:section xlName="_GBC_a5638b7fd6a848a19564209060b6909a" title="存在关联方交易或余额的合营和联营企业情况" rules="R2015_R11_032" helpId="112001167">
      <m:item xlName="_GBC_2a369d3377e94598b2a744dfe59973e2" concept="clcid-ci-ar:ShiFouShiYongBenQiYeZhongYaoDeHeYingHuoLianYingQiYeXiangJianFuZhu" label="是否适用：本企业重要的合营或联营企业详见附注" selectOptions="_buildInAppliance" controlType="CustomCheckbox" cRanges="{&quot;StartName&quot;:&quot;_GBC_2a369d3377e94598b2a744dfe59973e2&quot;,&quot;EndName&quot;:&quot;_GBC_3c58c586b3d3412d9989e9dff0b9f4cf&quot;,&quot;CType&quot;:1,&quot;DisplayText&quot;:null}"/>
      <m:item xlName="_GBC_3c58c586b3d3412d9989e9dff0b9f4cf" concept="clcid-pte:BenQiYeZhongYaoDeHeYingHuoLianYingQiYeXiangJianFuZhu" label="本企业重要的合营或联营企业详见附注" appId="_GBC_2a369d3377e94598b2a744dfe59973e2"/>
      <m:item xlName="_GBC_cab97913a7cc4573b25c34077eadbc4c" concept="clcid-ci-ar:ShiFouShiYongBenQiYuBenGongSiFaShengGuanLianFangJiaoYiHuoQianQiYuBenGongSiFaShengGuanLianFangJiaoYiXingChengYuEDeQiTaHeYingHuoLianYingQiYeQingKuangRuXia" label="是否适用：本期与本公司发生关联方交易，或前期与本公司发生关联方交易形成余额的其他合营或联营企业情况如下" selectOptions="_buildInAppliance" controlType="CustomCheckbox" cRanges="{&quot;StartName&quot;:&quot;_GBC_cab97913a7cc4573b25c34077eadbc4c&quot;,&quot;EndName&quot;:&quot;_GBC_afdc74851c8d46aabe2bd15b0fcb9f8e&quot;,&quot;CType&quot;:1,&quot;DisplayText&quot;:null}"/>
      <m:placeholder xlName="_PLD_e5c009b9730d40bc93f36e5e672cbe84" addr="T0R0C0S1_1"/>
      <m:placeholder xlName="_PLD_84c60036e8b849288542661d1d1b9890" addr="T0R0C1S1_1"/>
      <m:tuple xlName="_GBC_ef970ecfd5a24d47a5d96098bbd65e25" concept="clcid-pte:CunZaiGuanLianFangJiaoYiHuoYuEDeHeYingHeLianYingQiYeQingKuangMingXi" default_row="2" addr="T0R1C">
        <m:item xlName="_GBC_99574b2b8e7c438fbd89ef15dcc23d02" concept="clcid-pte:CunZaiGuanLianFangJiaoYiHuoYuEDeHeYingHeLianYingQiYeQingKuangMingXiHeYingHuoLianYingQiYeMingCheng" label="存在关联方交易或余额的合营和联营企业情况明细-合营或联营企业名称" addr="T0R1C0S1_1" appId="_GBC_cab97913a7cc4573b25c34077eadbc4c"/>
        <m:item xlName="_GBC_cdb335cd22974656be08c7a7ff3cbc96" concept="clcid-pte:CunZaiGuanLianFangJiaoYiHuoYuEDeHeYingHeLianYingQiYeQingKuangMingXiYuBenJiTuanGuanXi" label="存在关联方交易或余额的合营和联营企业情况明细-与本集团关系" addr="T0R1C1S1_1" appId="_GBC_cab97913a7cc4573b25c34077eadbc4c"/>
      </m:tuple>
      <m:item xlName="_GBC_6d56e8a9eaca4f499d758b2eb96268bf" concept="clcid-ci-ar:ShiFouShiYongCunZaiGuanLianFangJiaoYiHuoYuEDeHeYingHeLianYingQiYeQingKuangShuoMing" label="是否适用：存在关联方交易或余额的合营和联营企业情况说明" selectOptions="_buildInAppliance" controlType="CustomCheckbox" cRanges="{&quot;StartName&quot;:&quot;_GBC_6d56e8a9eaca4f499d758b2eb96268bf&quot;,&quot;EndName&quot;:&quot;_GBC_afdc74851c8d46aabe2bd15b0fcb9f8e&quot;,&quot;CType&quot;:1,&quot;DisplayText&quot;:null}"/>
      <m:item xlName="_GBC_afdc74851c8d46aabe2bd15b0fcb9f8e" concept="clcid-pte:CunZaiGuanLianFangJiaoYiHuoYuEDeHeYingHeLianYingQiYeQingKuangShuoMing" label="存在关联方交易或余额的合营和联营企业情况说明" appId="_GBC_6d56e8a9eaca4f499d758b2eb96268bf"/>
    </m:section>
    <m:section xlName="_GBC_047a0ce3dc594d779db6d4cbc1623727" title="其他关联方情况" rules="R2015_R11_032" helpId="112001167">
      <m:item xlName="_GBC_f9c029ef57734babb6375a74af1e3736" concept="clcid-ci-ar:ShiFouShiYongQiTaGuanLianFangQingKuang" label="是否适用：其他关联方情况" selectOptions="_buildInAppliance" controlType="CustomCheckbox" cRanges="{&quot;StartName&quot;:&quot;_GBC_f9c029ef57734babb6375a74af1e3736&quot;,&quot;EndName&quot;:&quot;_GBC_214bcb1375e347c4be22006f5cc854a9&quot;,&quot;CType&quot;:1,&quot;DisplayText&quot;:null}"/>
      <m:placeholder xlName="_PLD_8fe00abbc9b249a98b2e3ac6b12f12db" addr="T0R0C0S1_1"/>
      <m:placeholder xlName="_PLD_c1304840da1e482f80286e0c7ca19002" addr="T0R0C1S1_1"/>
      <m:tuple xlName="_GBC_2ec4adf7a1ce48faaeba9536b2bf6d81" concept="clcid-pte:BenQiYeDeQiTaGuanLianFangQingKuangMingXi" default_row="2" addr="T0R1C">
        <m:item xlName="_GBC_82d7a1b281b64889ba8c7ea32e982256" concept="clcid-pte:BenQiYeDeQiTaGuanLianFangQingKuangMingXiQiTaGuanLianFangMingCheng" label="本企业的其他关联方情况明细－其他关联方名称" addr="T0R1C0S1_1" appId="_GBC_f9c029ef57734babb6375a74af1e3736"/>
        <m:item xlName="_GBC_2205fb8ea5f648b5a0c9e8e3f8499f9f" concept="clcid-pte:BenQiYeDeQiTaGuanLianFangQingKuangMingXiQiTaGuanLianFangYuBenGongSiGuanXi" label="本企业的其他关联方情况明细－其他关联方与本公司关系" selectOptions="5c516fed9cdc439098237a803a871f70" addr="T0R1C1S1_1" controlType="Combobox" appId="_GBC_f9c029ef57734babb6375a74af1e3736" checkOption="Ignore"/>
      </m:tuple>
      <m:item xlName="_GBC_214bcb1375e347c4be22006f5cc854a9" concept="clcid-pte:BenQiYeDeQiTaGuanLianFangQingKuangDeShuoMing" label="本企业的其他关联方情况的说明" appId="_GBC_f9c029ef57734babb6375a74af1e3736"/>
    </m:section>
    <m:section xlName="_GBC_dbf08b5679414647a0fbf4c088d641de" title="采购商品/接受劳务情况表" rules="R2015_R11_032">
      <m:item xlName="_GBC_ba304c7536f34a3f9d88448fb11ca349" concept="clcid-ci-ar:ShiFouShiYongCaiGouShangPinHuoJieShouLaoWuQingKuangBiao" label="是否适用：采购商品或接受劳务情况表" selectOptions="_buildInAppliance" controlType="CustomCheckbox" cRanges="{&quot;StartName&quot;:&quot;_GBC_ba304c7536f34a3f9d88448fb11ca349&quot;,&quot;EndName&quot;:&quot;_GBC_2c42b1852c684e87aee4f148431ec7d8&quot;,&quot;CType&quot;:1,&quot;DisplayText&quot;:null}"/>
      <m:item xlName="_GBC_e8711f0989ee42659555a9f5631abd88" concept="clcid-ci-ar:DanWeiCaiGouShangPinJieShouLaoWuQingKuangBiao" label="单位：采购商品接受劳务情况表" selectOptions="_buildInScales" controlType="Combobox" cellType="Scale" appId="_GBC_ba304c7536f34a3f9d88448fb11ca349"/>
      <m:item xlName="_GBC_dc28b68caa744ea9a5230887b822319a" concept="clcid-ci-ar:BiZhongCaiGouShangPinJieShouLaoWuQingKuangBiao" label="币种：采购商品接受劳务情况表" selectOptions="_buildInISO4217" controlType="Combobox" cellType="Measure" appId="_GBC_ba304c7536f34a3f9d88448fb11ca349"/>
      <m:placeholder xlName="_PLD_5b37ccbdc11a45c3bbc2cf6527561c9d" addr="T0R0C0S1_1"/>
      <m:placeholder xlName="_PLD_2d7b095c1f35485da0de73d655b7a571" addr="T0R0C1S1_1"/>
      <m:placeholder xlName="_PLD_2d255188abfa41f4af0fad1a74ac6d6d" addr="T0R0C2S1_1"/>
      <m:placeholder xlName="_PLD_60fc9f0737164f9694363f102a4420bb" addr="T0R0C3S1_1"/>
      <m:tuple xlName="_GBC_0c9767805cb8416eaba14f759181aa29" concept="clcid-ie:CaiGouShangPinJieShouLaoWuQingKuangMingXi" default_row="2" addr="T0R1C">
        <m:item xlName="_GBC_bc4eb4a455cb4683982b52fd68baedbf" concept="clcid-ie:CaiGouShangPinJieShouLaoWuQingKuangMingXiGuanLianFang" label="采购商品接受劳务情况明细-关联方" addr="T0R1C0S1_1" appId="_GBC_ba304c7536f34a3f9d88448fb11ca349"/>
        <m:item xlName="_GBC_42addd9ef16845b68e716a5b498cd013" concept="clcid-ie:CaiGouShangPinJieShouLaoWuQingKuangMingXiGuanLianJiaoYiNeiRong" label="采购商品接受劳务情况明细-关联交易内容" addr="T0R1C1S1_1" appId="_GBC_ba304c7536f34a3f9d88448fb11ca349"/>
        <m:item xlName="_GBC_51d916455e984678b83e9f0ec4cb14bd" concept="clcid-ie:CaiGouShangPinJieShouLaoWuQingKuangMingXiFaShengE" label="采购商品接受劳务情况明细-发生额" mulRef="_GBC_e8711f0989ee42659555a9f5631abd88" unitRef="_GBC_dc28b68caa744ea9a5230887b822319a" addr="T0R1C2S1_1" formatStyle="Comma" appId="_GBC_ba304c7536f34a3f9d88448fb11ca349"/>
        <m:item xlName="_GBC_2c42b1852c684e87aee4f148431ec7d8" concept="clcid-ie:CaiGouShangPinJieShouLaoWuQingKuangMingXiFaShengE" label="采购商品接受劳务情况明细-发生额" periodRef="上年同期数" mulRef="_GBC_e8711f0989ee42659555a9f5631abd88" unitRef="_GBC_dc28b68caa744ea9a5230887b822319a" addr="T0R1C3S1_1" formatStyle="Comma" appId="_GBC_ba304c7536f34a3f9d88448fb11ca349"/>
      </m:tuple>
    </m:section>
    <m:section xlName="_GBC_a4e1c0efe9f741ecbb648a33c9afb8fd" title="出售商品/提供劳务情况" rules="R2015_R11_032" helpId="112001168">
      <m:item xlName="_GBC_18ae630e2f3641959d3a9fc1a3f3ccf3" concept="clcid-ci-ar:ShiFouShiYongChuShouShangPinHuoTiGongLaoWuQingKuangBiao" label="是否适用：出售商品或提供劳务情况表" selectOptions="_buildInAppliance" controlType="CustomCheckbox" cRanges="{&quot;StartName&quot;:&quot;_GBC_18ae630e2f3641959d3a9fc1a3f3ccf3&quot;,&quot;EndName&quot;:&quot;_GBC_067bccb3948043628f4b1b4d765c2649&quot;,&quot;CType&quot;:1,&quot;DisplayText&quot;:null}"/>
      <m:item xlName="_GBC_d53494f853ed4767a511f9c2c780c566" concept="clcid-ci-ar:DanWeiChuShouShangPinTiGongLaoWuQingKuangBiao" label="单位：出售商品提供劳务情况表" selectOptions="_buildInScales" controlType="Combobox" cellType="Scale" appId="_GBC_18ae630e2f3641959d3a9fc1a3f3ccf3"/>
      <m:item xlName="_GBC_d298f57687684d2eafef1d8c13d51722" concept="clcid-ci-ar:BiZhongChuShouShangPinTiGongLaoWuQingKuangBiao" label="币种：出售商品提供劳务情况表" selectOptions="_buildInISO4217" controlType="Combobox" cellType="Measure" appId="_GBC_18ae630e2f3641959d3a9fc1a3f3ccf3"/>
      <m:placeholder xlName="_PLD_70510986aab647e99b00ba57c32e64cd" addr="T0R0C0S1_1"/>
      <m:placeholder xlName="_PLD_66da90262f3d401c8151235b4c6f5e93" addr="T0R0C1S1_1"/>
      <m:placeholder xlName="_PLD_09c424bd80324eb49dafea569ce1931b" addr="T0R0C2S1_1"/>
      <m:placeholder xlName="_PLD_fd0f9e0691744db49d5ceaf95d42197c" addr="T0R0C3S1_1"/>
      <m:tuple xlName="_GBC_d6e24b6ca62645f180ecf5d4621afdc6" concept="clcid-ie:ChuShouShangPinTiGongLaoWuQingKuangMingXi" default_row="2" addr="T0R1C">
        <m:item xlName="_GBC_ea3a50f2f6084641a06e7e84b4f31731" concept="clcid-ie:ChuShouShangPinTiGongLaoWuQingKuangMingXiGuanLianFang" label="出售商品提供劳务情况明细-关联方" addr="T0R1C0S1_1" appId="_GBC_18ae630e2f3641959d3a9fc1a3f3ccf3"/>
        <m:item xlName="_GBC_820633d92aa642f9a0663a41087c1a83" concept="clcid-ie:ChuShouShangPinTiGongLaoWuQingKuangMingXiGuanLianJiaoYiNeiRong" label="出售商品提供劳务情况明细-关联交易内容" addr="T0R1C1S1_1" appId="_GBC_18ae630e2f3641959d3a9fc1a3f3ccf3"/>
        <m:item xlName="_GBC_d0ba92d7376d41f6904ea1020c85cc71" concept="clcid-ie:ChuShouShangPinTiGongLaoWuQingKuangMingXiFaShengE" label="出售商品提供劳务情况明细-发生额" mulRef="_GBC_d53494f853ed4767a511f9c2c780c566" unitRef="_GBC_d298f57687684d2eafef1d8c13d51722" addr="T0R1C2S1_1" formatStyle="Comma" appId="_GBC_18ae630e2f3641959d3a9fc1a3f3ccf3"/>
        <m:item xlName="_GBC_067bccb3948043628f4b1b4d765c2649" concept="clcid-ie:ChuShouShangPinTiGongLaoWuQingKuangMingXiFaShengE" label="出售商品提供劳务情况明细-发生额" periodRef="上年同期数" mulRef="_GBC_d53494f853ed4767a511f9c2c780c566" unitRef="_GBC_d298f57687684d2eafef1d8c13d51722" addr="T0R1C3S1_1" formatStyle="Comma" appId="_GBC_18ae630e2f3641959d3a9fc1a3f3ccf3"/>
      </m:tuple>
      <m:item xlName="_GBC_9ec9e1b38e7f48d89bb7f6441bed1bd1" concept="clcid-ci-ar:ShiFouShiYongGouXiaoShangPinTiGongHeJieShouLaoWuDeGuanLianJiaoYiShuoMing" label="是否适用：购销商品、提供和接受劳务的关联交易说明" selectOptions="_buildInAppliance" controlType="CustomCheckbox" cRanges="{&quot;StartName&quot;:&quot;_GBC_9ec9e1b38e7f48d89bb7f6441bed1bd1&quot;,&quot;EndName&quot;:&quot;_GBC_b40d5cc82ee746028d6efa52b270cc25&quot;,&quot;CType&quot;:1,&quot;DisplayText&quot;:null}"/>
      <m:item xlName="_GBC_b40d5cc82ee746028d6efa52b270cc25" concept="clcid-ie:GouXiaoShangPinTiGongHeJieShouLaoWuDeGuanLianJiaoYiShuoMing" label="购销商品、提供和接受劳务的关联交易说明" appId="_GBC_9ec9e1b38e7f48d89bb7f6441bed1bd1"/>
    </m:section>
    <m:section xlName="_GBC_41e9e66a2ab04304a0db7b9e032817c5" title="关联受托管理/承包及委托管理/出包情况" rules="R2015_R11_032" helpId="112001168" helpText="注：托管资产类型包括：股权托管、其他资产托管。">
      <m:item xlName="_GBC_3810b3cad54c4b2f9754e7d6be3e9480" concept="clcid-ci-ar:ShiFouShiYongBenGongSiShouTuoGuanLiHuoChengBaoQingKuangBiao" label="是否适用：本公司受托管理或承包情况表" selectOptions="_buildInAppliance" controlType="CustomCheckbox" cRanges="{&quot;StartName&quot;:&quot;_GBC_3810b3cad54c4b2f9754e7d6be3e9480&quot;,&quot;EndName&quot;:&quot;_GBC_ed070dc146334809a9b1d213a1809716&quot;,&quot;CType&quot;:1,&quot;DisplayText&quot;:null}"/>
      <m:item xlName="_GBC_7460ea86bc294c8ba8faff72368c88e3" concept="clcid-ci-ar:DanWeiGongSiShouTuoGuanLiChengBaoQingKuangBiao" label="单位：公司受托管理承包情况表" selectOptions="_buildInScales" controlType="Combobox" cellType="Scale" appId="_GBC_3810b3cad54c4b2f9754e7d6be3e9480"/>
      <m:item xlName="_GBC_d190629e89564714b4766328b9a5eef1" concept="clcid-ci-ar:BiZhongGongSiShouTuoGuanLiChengBaoQingKuangBiao" label="币种：公司受托管理承包情况表" selectOptions="_buildInISO4217" controlType="Combobox" cellType="Measure" appId="_GBC_3810b3cad54c4b2f9754e7d6be3e9480"/>
      <m:placeholder xlName="_PLD_38a55a692fa64a7384cba229fa39379d" addr="T0R0C0S1_1"/>
      <m:placeholder xlName="_PLD_e2103795e1894b179a99afbd1768d8f1" addr="T0R0C1S1_1"/>
      <m:placeholder xlName="_PLD_ebd0a6921db9441c88f45bacb935261a" addr="T0R0C2S1_1"/>
      <m:placeholder xlName="_PLD_08aae14adb684768b346519128ac7f41" addr="T0R0C3S1_1"/>
      <m:placeholder xlName="_PLD_99503b83e5c640fd8acdda1166c45099" addr="T0R0C4S1_1"/>
      <m:placeholder xlName="_PLD_826b60df658740988929494ad74bfd52" addr="T0R0C5S1_1"/>
      <m:placeholder xlName="_PLD_915775ad6cb94354bc03acbec01a2df4" addr="T0R0C6S1_1"/>
      <m:tuple xlName="_GBC_187bb23a11a144189738797191fc2622" concept="clcid-ie:GongSiShouTuoGuanLiChengBaoMingXi" default_row="2" addr="T0R1C">
        <m:item xlName="_GBC_8703cf0238ff4294adb077bfa86d3783" concept="clcid-ie:GongSiShouTuoGuanLiChengBaoMingXiWeiTuoFangChuBaoFangMingCheng" label="公司受托管理承包明细-委托方出包方名称" addr="T0R1C0S1_1" appId="_GBC_3810b3cad54c4b2f9754e7d6be3e9480"/>
        <m:item xlName="_GBC_6ebd865e77c34b29ab02428fabb4e18b" concept="clcid-ie:GongSiShouTuoGuanLiChengBaoMingXiShouTuoFangChengBaoFangMingCheng" label="公司受托管理承包明细-受托方承包方名称" addr="T0R1C1S1_1" appId="_GBC_3810b3cad54c4b2f9754e7d6be3e9480"/>
        <m:item xlName="_GBC_33fea577ceef4cd6b1bf9e21c6ecc42c" concept="clcid-ie:GongSiShouTuoGuanLiChengBaoMingXiShouTuoChengBaoZiChanLeiXing" label="公司受托管理承包明细-受托承包资产类型" selectOptions="263c229707074b389f5c9ef96917fe18" addr="T0R1C2S1_1" controlType="Combobox" appId="_GBC_3810b3cad54c4b2f9754e7d6be3e9480"/>
        <m:item xlName="_GBC_93ce4b1479eb49548ffb32397835ad5e" concept="clcid-ie:GongSiShouTuoGuanLiChengBaoMingXiShouTuoChengBaoQiShiRi" label="公司受托管理承包明细-受托承包起始日" addr="T0R1C3S1_1" appId="_GBC_3810b3cad54c4b2f9754e7d6be3e9480" keyAction="38"/>
        <m:item xlName="_GBC_cd45ea7c4c5f439796af9a5293f36289" concept="clcid-ie:GongSiShouTuoGuanLiChengBaoMingXiShouTuoChengBaoZhongZhiRi" label="公司受托管理承包明细-受托承包终止日" addr="T0R1C4S1_1" appId="_GBC_3810b3cad54c4b2f9754e7d6be3e9480" keyAction="38"/>
        <m:item xlName="_GBC_f48c85c24ce4422a978343b9130895b0" concept="clcid-ie:GongSiShouTuoGuanLiChengBaoMingXiTuoGuanShouYiChengBaoShouYiDingJiaYiJu" label="公司受托管理承包明细-托管收益承包收益定价依据" addr="T0R1C5S1_1" appId="_GBC_3810b3cad54c4b2f9754e7d6be3e9480"/>
        <m:item xlName="_GBC_ed070dc146334809a9b1d213a1809716" concept="clcid-ie:GongSiShouTuoGuanLiChengBaoMingXiQueRenDeTuoGuanShouYiChengBaoShouYi" label="公司受托管理承包明细-确认的托管收益承包收益" mulRef="_GBC_7460ea86bc294c8ba8faff72368c88e3" unitRef="_GBC_d190629e89564714b4766328b9a5eef1" addr="T0R1C6S1_1" formatStyle="Comma" appId="_GBC_3810b3cad54c4b2f9754e7d6be3e9480"/>
      </m:tuple>
      <m:item xlName="_GBC_42ec6e3170b04610899c528ce7bda003" concept="clcid-ci-ar:ShiFouShiYongGuanLianTuoGuanHuoChengBaoQingKuangShuoMing" label="是否适用：关联托管或承包情况说明" selectOptions="_buildInAppliance" controlType="CustomCheckbox" cRanges="{&quot;StartName&quot;:&quot;_GBC_42ec6e3170b04610899c528ce7bda003&quot;,&quot;EndName&quot;:&quot;_GBC_b57de92981b242d09d3295da16c1b5d2&quot;,&quot;CType&quot;:1,&quot;DisplayText&quot;:null}"/>
      <m:item xlName="_GBC_b57de92981b242d09d3295da16c1b5d2" concept="clcid-ie:GuanLianTuoGuanChengBaoQingKuangShuoMing" label="关联托管承包情况说明" appId="_GBC_42ec6e3170b04610899c528ce7bda003"/>
      <m:item xlName="_GBC_37bf111a27194665b76f71bb5418d53c" concept="clcid-ci-ar:ShiFouShiYongBenGongSiWeiTuoGuanLiHuoChuBaoQingKuangBiao" label="是否适用：本公司委托管理或出包情况表" selectOptions="_buildInAppliance" controlType="CustomCheckbox" cRanges="{&quot;StartName&quot;:&quot;_GBC_37bf111a27194665b76f71bb5418d53c&quot;,&quot;EndName&quot;:&quot;_GBC_6023afb8c2544932be5bfd0a59f3b0f6&quot;,&quot;CType&quot;:1,&quot;DisplayText&quot;:null}"/>
      <m:item xlName="_GBC_294c32e4090845cfb901300e8d47c254" concept="clcid-ci-ar:DanWeiGongSiWeiTuoGuanLiChuBaoQingKuangBiao" label="单位：公司委托管理出包情况表" selectOptions="_buildInScales" controlType="Combobox" cellType="Scale" appId="_GBC_37bf111a27194665b76f71bb5418d53c"/>
      <m:item xlName="_GBC_35d9f92c0b6b4bbba28a4a5d319eab84" concept="clcid-ci-ar:BiZhongGongSiWeiTuoGuanLiChuBaoQingKuangBiao" label="币种：公司委托管理出包情况表" selectOptions="_buildInISO4217" controlType="Combobox" cellType="Measure" appId="_GBC_37bf111a27194665b76f71bb5418d53c"/>
      <m:placeholder xlName="_PLD_e65c4e8224f34db790c7925224eb27af" addr="T1R0C0S1_1"/>
      <m:placeholder xlName="_PLD_cbdbd84171cf4f15a566c32d941a4c6d" addr="T1R0C1S1_1"/>
      <m:placeholder xlName="_PLD_b8a79b7919884b15bb7d139e78348af0" addr="T1R0C2S1_1"/>
      <m:placeholder xlName="_PLD_0411f27b92fe4b4da5e12c3bdb52d543" addr="T1R0C3S1_1"/>
      <m:placeholder xlName="_PLD_4827ac1c3ebd4e3cbd6a323a001c059c" addr="T1R0C4S1_1"/>
      <m:placeholder xlName="_PLD_56632aaeb1f1487a8a8d63ae455f474a" addr="T1R0C5S1_1"/>
      <m:placeholder xlName="_PLD_29768752e7cc4718b3ef316ad16af520" addr="T1R0C6S1_1"/>
      <m:tuple xlName="_GBC_94b96a6fb30e443a858c2b8e03301aca" concept="clcid-ie:GongSiWeiTuoGuanLiChuBaoMingXi" default_row="2" addr="T1R1C">
        <m:item xlName="_GBC_fc1182a97c354291b11b66d0079570ec" concept="clcid-ie:GongSiWeiTuoGuanLiChuBaoMingXiWeiTuoFangChuBaoFangMingCheng" label="公司委托管理出包明细-委托方出包方名称" addr="T1R1C0S1_1" appId="_GBC_37bf111a27194665b76f71bb5418d53c"/>
        <m:item xlName="_GBC_22effe74e06d429093086f4f4b8c363a" concept="clcid-ie:GongSiWeiTuoGuanLiChuBaoMingXiShouTuoFangChengBaoFangMingCheng" label="公司委托管理出包明细-受托方承包方名称" addr="T1R1C1S1_1" appId="_GBC_37bf111a27194665b76f71bb5418d53c"/>
        <m:item xlName="_GBC_43ead7990f8d41b59615f8bacdcb1f16" concept="clcid-ie:GongSiWeiTuoGuanLiChuBaoMingXiWeiTuoChuBaoZiChanLeiXing" label="公司委托管理出包明细-委托出包资产类型" selectOptions="263c229707074b389f5c9ef96917fe18" addr="T1R1C2S1_1" controlType="Combobox" appId="_GBC_37bf111a27194665b76f71bb5418d53c"/>
        <m:item xlName="_GBC_9e829574b61044f39ea10e572ce8ffe6" concept="clcid-ie:GongSiWeiTuoGuanLiChuBaoMingXiWeiTuoChuBaoQiShiRi" label="公司委托管理出包明细-委托出包起始日" addr="T1R1C3S1_1" appId="_GBC_37bf111a27194665b76f71bb5418d53c" keyAction="38"/>
        <m:item xlName="_GBC_3e7041ad26364f909f73ca27dc4b9419" concept="clcid-ie:GongSiWeiTuoGuanLiChuBaoMingXiWeiTuoChuBaoZhongZhiRi" label="公司委托管理出包明细-委托出包终止日" addr="T1R1C4S1_1" appId="_GBC_37bf111a27194665b76f71bb5418d53c" keyAction="38"/>
        <m:item xlName="_GBC_c89fdb07c9244b168510cdc1b0e2b751" concept="clcid-ie:GongSiWeiTuoGuanLiChuBaoMingXiTuoGuanFeiChuBaoFeiDingJiaYiJu" label="公司委托管理出包明细-托管费出包费定价依据" addr="T1R1C5S1_1" appId="_GBC_37bf111a27194665b76f71bb5418d53c"/>
        <m:item xlName="_GBC_6023afb8c2544932be5bfd0a59f3b0f6" concept="clcid-ie:GongSiWeiTuoGuanLiChuBaoMingXiQueDingDeTuoGuanFeiChuBaoFei" label="公司委托管理出包明细-确定的托管费出包费" mulRef="_GBC_294c32e4090845cfb901300e8d47c254" unitRef="_GBC_35d9f92c0b6b4bbba28a4a5d319eab84" addr="T1R1C6S1_1" formatStyle="Comma" appId="_GBC_37bf111a27194665b76f71bb5418d53c"/>
      </m:tuple>
      <m:item xlName="_GBC_0b0339c118c542eb8a6e3a68fab8e375" concept="clcid-ci-ar:ShiFouShiYongGuanLianGuanLiHuoChuBaoQingKuangShuoMing" label="是否适用：关联管理或出包情况说明" selectOptions="_buildInAppliance" controlType="CustomCheckbox" cRanges="{&quot;StartName&quot;:&quot;_GBC_0b0339c118c542eb8a6e3a68fab8e375&quot;,&quot;EndName&quot;:&quot;_GBC_3090c8d6dded401e8965b68c3246021b&quot;,&quot;CType&quot;:1,&quot;DisplayText&quot;:null}"/>
      <m:item xlName="_GBC_3090c8d6dded401e8965b68c3246021b" concept="clcid-ie:GuanLianGuanLiHuoChuBaoQingKuangShuoMing" label="关联管理或出包情况说明" appId="_GBC_0b0339c118c542eb8a6e3a68fab8e375"/>
    </m:section>
    <m:section xlName="_GBC_17f3281299e640aa88ca71463490c054" title="关联租赁情况" rules="R2015_R11_032" helpId="112001168">
      <m:item xlName="_GBC_f12cb8266cbd482b93c6a4bba1b05fb7" concept="clcid-ci-ar:ShiFouShiYongBenGongSiZuoWeiChuZuFangDeZuLinQingKuangBiao" label="是否适用：本公司作为出租方的租赁情况表" selectOptions="_buildInAppliance" controlType="CustomCheckbox" cRanges="{&quot;StartName&quot;:&quot;_GBC_f12cb8266cbd482b93c6a4bba1b05fb7&quot;,&quot;EndName&quot;:&quot;_GBC_ac14eac24a004daab56c9a7bbc3f45f1&quot;,&quot;CType&quot;:1,&quot;DisplayText&quot;:null}"/>
      <m:item xlName="_GBC_b6ac4f0274e84bf2bac59898fb55e11d" concept="clcid-ci-ar:DanWeiGuanLianZuLinQingKuang" label="单位：关联租赁情况" selectOptions="_buildInScales" controlType="Combobox" cellType="Scale" appId="_GBC_f12cb8266cbd482b93c6a4bba1b05fb7"/>
      <m:item xlName="_GBC_268dafb121cf40fdbb2bbe55df2badf0" concept="clcid-ci-ar:BiZhongGuanLianZuLinQingKuang" label="币种：关联租赁情况" selectOptions="_buildInISO4217" controlType="Combobox" cellType="Measure" appId="_GBC_f12cb8266cbd482b93c6a4bba1b05fb7"/>
      <m:placeholder xlName="_PLD_d0bc662d818f4cea8a5953be241f0994" addr="T0R0C0S1_1"/>
      <m:placeholder xlName="_PLD_b201e1ba80ff4620b34885e088e03080" addr="T0R0C1S1_1"/>
      <m:placeholder xlName="_PLD_2247dbd372c64f6bb229457f3849c03a" addr="T0R0C2S1_1"/>
      <m:placeholder xlName="_PLD_94eb47eaf858403e8c39eab08f54efb9" addr="T0R0C3S1_1"/>
      <m:tuple xlName="_GBC_b0112b4dc9284dc5a94109344af1edea" concept="clcid-ie:GuanLianZuLinQingKuang" default_row="2" addr="T0R1C">
        <m:item xlName="_GBC_baf7f6162943428a9d49dd3c7e4abac3" concept="clcid-ie:GuanLianZuLinChengZuFangMingCheng" label="关联承租方名称" addr="T0R1C0S1_1" appId="_GBC_f12cb8266cbd482b93c6a4bba1b05fb7"/>
        <m:item xlName="_GBC_2da965d1cfde40a18e72f259e7e18944" concept="clcid-ie:GuanLianZuLinZiChanQingKuang" label="关联租赁资产情况" addr="T0R1C1S1_1" appId="_GBC_f12cb8266cbd482b93c6a4bba1b05fb7"/>
        <m:item xlName="_GBC_0d10e589a06c44078bfe53dec21f5e6d" concept="clcid-ie:GuanLianZuLinShouYi" label="关联租赁收益" mulRef="_GBC_b6ac4f0274e84bf2bac59898fb55e11d" unitRef="_GBC_268dafb121cf40fdbb2bbe55df2badf0" addr="T0R1C2S1_1" formatStyle="Comma" appId="_GBC_f12cb8266cbd482b93c6a4bba1b05fb7"/>
        <m:item xlName="_GBC_ac14eac24a004daab56c9a7bbc3f45f1" concept="clcid-ie:GuanLianZuLinShouYi" label="关联租赁收益" periodRef="上年同期数" mulRef="_GBC_b6ac4f0274e84bf2bac59898fb55e11d" unitRef="_GBC_268dafb121cf40fdbb2bbe55df2badf0" addr="T0R1C3S1_1" formatStyle="Comma" appId="_GBC_f12cb8266cbd482b93c6a4bba1b05fb7"/>
      </m:tuple>
      <m:item xlName="_GBC_e3319fb4cbb04bb0ab5516046d7e77a4" concept="clcid-ci-ar:ShiFouShiYongBenGongSiZuoWeiChengZuFangDeZuLinQingKuangBiao" label="是否适用：本公司作为承租方的租赁情况表" selectOptions="_buildInAppliance" controlType="CustomCheckbox" cRanges="{&quot;StartName&quot;:&quot;_GBC_e3319fb4cbb04bb0ab5516046d7e77a4&quot;,&quot;EndName&quot;:&quot;_GBC_6fa18be5c33943f29569d1d7a17e272b&quot;,&quot;CType&quot;:1,&quot;DisplayText&quot;:null}"/>
      <m:item xlName="_GBC_c4f9d2e7743f429a85c30d009abea834" concept="clcid-ci-ar:DanWeiGongSiChengZuQingKuangBiao" label="单位：公司承租情况表" selectOptions="_buildInScales" controlType="Combobox" cellType="Scale" appId="_GBC_e3319fb4cbb04bb0ab5516046d7e77a4"/>
      <m:item xlName="_GBC_bad2c4d4779f4dc2bace6d7ca19d4585" concept="clcid-ci-ar:BiZhongGongSiChengZuQingKuangBiao" label="币种：公司承租情况表" selectOptions="_buildInISO4217" controlType="Combobox" cellType="Measure" appId="_GBC_e3319fb4cbb04bb0ab5516046d7e77a4"/>
      <m:placeholder xlName="_PLD_0a09d4d001e74fe3a6d865aeb5fab910" addr="T1R0C0S1_1"/>
      <m:placeholder xlName="_PLD_8f2b6c0b27fc41c19bc3ddb5e8c23d38" addr="T1R0C1S1_1"/>
      <m:placeholder xlName="_PLD_1a07095594554b409b72dea609345e26" addr="T1R0C2S1_1"/>
      <m:placeholder xlName="_PLD_719d99d0e51d4f5eb9d74441d044bfe5" addr="T1R0C3S1_1"/>
      <m:tuple xlName="_GBC_2cb90c924bac4d8690c03cd1fa4f690b" concept="clcid-ie:GongSiChengZuQingKuangMingXi" default_row="2" addr="T1R1C">
        <m:item xlName="_GBC_7bd3aacfb8134550b49b609a74965b32" concept="clcid-ie:GongSiChengZuQingKuangMingXiChuZuFangMingCheng" label="公司承租情况明细-出租方名称" addr="T1R1C0S1_1" appId="_GBC_e3319fb4cbb04bb0ab5516046d7e77a4"/>
        <m:item xlName="_GBC_7de0a4b4edcc418eb027bbb623394ee9" concept="clcid-ie:GongSiChengZuQingKuangMingXiZuLinZiChanQingKuang" label="公司承租情况明细-租赁资产情况" addr="T1R1C1S1_1" appId="_GBC_e3319fb4cbb04bb0ab5516046d7e77a4"/>
        <m:item xlName="_GBC_3ee2b5d5ae6d4731a833e843f0c80200" concept="clcid-ie:GongSiChengZuQingKuangMingXiZuLinFeiYong" label="公司承租情况明细-租赁费用" mulRef="_GBC_c4f9d2e7743f429a85c30d009abea834" unitRef="_GBC_bad2c4d4779f4dc2bace6d7ca19d4585" addr="T1R1C2S1_1" formatStyle="Comma" appId="_GBC_e3319fb4cbb04bb0ab5516046d7e77a4"/>
        <m:item xlName="_GBC_6fa18be5c33943f29569d1d7a17e272b" concept="clcid-ie:GongSiChengZuQingKuangMingXiZuLinFeiYong" label="公司承租情况明细-租赁费用" periodRef="上年同期数" mulRef="_GBC_c4f9d2e7743f429a85c30d009abea834" unitRef="_GBC_bad2c4d4779f4dc2bace6d7ca19d4585" addr="T1R1C3S1_1" formatStyle="Comma" appId="_GBC_e3319fb4cbb04bb0ab5516046d7e77a4"/>
      </m:tuple>
      <m:item xlName="_GBC_a8d25c1a27d24bbeb9dd0063be85a310" concept="clcid-ci-ar:ShiFouShiYongGuanLianZuLinQingKuangShuoMing" label="是否适用：关联租赁情况说明" selectOptions="_buildInAppliance" controlType="CustomCheckbox" cRanges="{&quot;StartName&quot;:&quot;_GBC_a8d25c1a27d24bbeb9dd0063be85a310&quot;,&quot;EndName&quot;:&quot;_GBC_84584ca23f8f450e9e44b9587b57665d&quot;,&quot;CType&quot;:1,&quot;DisplayText&quot;:null}"/>
      <m:item xlName="_GBC_84584ca23f8f450e9e44b9587b57665d" concept="clcid-ie:GuanLianZuLinShuoMing" label="关联租赁说明" appId="_GBC_a8d25c1a27d24bbeb9dd0063be85a310"/>
    </m:section>
    <m:section xlName="_GBC_a87b2e666bc14a67817d2d3189396350" title="关联担保情况" rules="R2015_R11_032" helpId="112001168">
      <m:item xlName="_GBC_f0150417f8ec4c5281b86683570391cb" concept="clcid-ci-ar:ShiFouShiYongBenGongSiZuoWeiDanBaoFangDeDanBaoQingKuangBiao" label="是否适用：本公司作为担保方的担保情况表" selectOptions="_buildInAppliance" controlType="CustomCheckbox" cRanges="{&quot;StartName&quot;:&quot;_GBC_f0150417f8ec4c5281b86683570391cb&quot;,&quot;EndName&quot;:&quot;_GBC_4d8807e0244c4281aa68d5aba3d78918&quot;,&quot;CType&quot;:1,&quot;DisplayText&quot;:null}"/>
      <m:item xlName="_GBC_379c49ecfda94d10a0dbf6a25b30832b" concept="clcid-ci-ar:DanWeiGuanLianDanBaoQingKuang" label="单位：关联担保情况" selectOptions="_buildInScales" controlType="Combobox" cellType="Scale" appId="_GBC_f0150417f8ec4c5281b86683570391cb"/>
      <m:item xlName="_GBC_30ef1648c7d34b02b08d4b5c5e962498" concept="clcid-ci-ar:BiZhongGuanLianDanBaoQingKuang" label="币种：关联担保情况" selectOptions="_buildInISO4217" controlType="Combobox" cellType="Measure" appId="_GBC_f0150417f8ec4c5281b86683570391cb"/>
      <m:placeholder xlName="_PLD_7fb310b8c01a472093d9d29e302daa4b" addr="T0R0C0S1_1"/>
      <m:placeholder xlName="_PLD_cd6852cb7c5a4dea84a100ea01b8219f" addr="T0R0C1S1_1"/>
      <m:placeholder xlName="_PLD_bb272624fc77442486c7a9b0b734043e" addr="T0R0C2S1_1"/>
      <m:placeholder xlName="_PLD_a35eb33b3ab1461794f97ed15e18ee6a" addr="T0R0C3S1_1"/>
      <m:placeholder xlName="_PLD_4d5bb53717184afaad59a41f21a18bd1" addr="T0R0C4S1_1"/>
      <m:tuple xlName="_GBC_26ae64a16be64ca7926417c455e176fc" concept="clcid-pte:BenGongSiZuoWeiDanBaoFangDeGuanLianDanBaoQingKuangMingXi" default_row="2" addr="T0R1C">
        <m:item xlName="_GBC_e18ad9ff04a141bb9ddb7ce6ab40e7a0" concept="clcid-pte:BenGongSiZuoWeiDanBaoFangDeGuanLianDanBaoQingKuangMingXiBeiDanBaoFang" label="本公司作为担保方的关联担保情况明细-被担保方" addr="T0R1C0S1_1" appId="_GBC_f0150417f8ec4c5281b86683570391cb"/>
        <m:item xlName="_GBC_4394f6e5ce9540a687429815ccbcd7ab" concept="clcid-pte:BenGongSiZuoWeiDanBaoFangDeGuanLianDanBaoQingKuangMingXiDanBaoJinE" label="本公司作为担保方的关联担保情况明细-担保金额" mulRef="_GBC_379c49ecfda94d10a0dbf6a25b30832b" unitRef="_GBC_30ef1648c7d34b02b08d4b5c5e962498" addr="T0R1C1S1_1" formatStyle="Comma" appId="_GBC_f0150417f8ec4c5281b86683570391cb"/>
        <m:item xlName="_GBC_339129fe1c194999801f9304b5179432" concept="clcid-pte:BenGongSiZuoWeiDanBaoFangDeGuanLianDanBaoQingKuangMingXiDanBaoQiShiRi" label="本公司作为担保方的关联担保情况明细-担保起始日" addr="T0R1C2S1_1" appId="_GBC_f0150417f8ec4c5281b86683570391cb" keyAction="38"/>
        <m:item xlName="_GBC_d21b92809acb4f71a6bb75ecfc186471" concept="clcid-pte:BenGongSiZuoWeiDanBaoFangDeGuanLianDanBaoQingKuangMingXiDanBaoDaoQiRi" label="本公司作为担保方的关联担保情况明细-担保到期日" addr="T0R1C3S1_1" appId="_GBC_f0150417f8ec4c5281b86683570391cb" keyAction="38"/>
        <m:item xlName="_GBC_4d8807e0244c4281aa68d5aba3d78918" concept="clcid-pte:BenGongSiZuoWeiDanBaoFangDeGuanLianDanBaoQingKuangMingXiDanBaoShiFouYiJingLvXingWanBi" label="本公司作为担保方的关联担保情况明细-担保是否已经履行完毕" selectOptions="_buildInYesNo" addr="T0R1C4S1_1" controlType="Combobox" appId="_GBC_f0150417f8ec4c5281b86683570391cb"/>
      </m:tuple>
      <m:item xlName="_GBC_3686094d29c941dd91bd168e3ef88833" concept="clcid-ci-ar:ShiFouShiYongBenGongSiZuoWeiBeiDanBaoFangDeDanBaoQingKuangBiao" label="是否适用：本公司作为被担保方的担保情况表" selectOptions="_buildInAppliance" controlType="CustomCheckbox" cRanges="{&quot;StartName&quot;:&quot;_GBC_3686094d29c941dd91bd168e3ef88833&quot;,&quot;EndName&quot;:&quot;_GBC_d7c54b58f693435fbb78b065d1e813da&quot;,&quot;CType&quot;:1,&quot;DisplayText&quot;:null}"/>
      <m:item xlName="_GBC_af3d3d55d9c648f8b2e94dcdd804c683" concept="clcid-ci-ar:DanWeiCaiWuFuZhuBenGongSiZuoWeiBeiDanBaoFang" label="单位：财务附注：本公司作为被担保方" selectOptions="_buildInScales" controlType="Combobox" cellType="Scale" appId="_GBC_3686094d29c941dd91bd168e3ef88833"/>
      <m:item xlName="_GBC_684efbccec674b3abab20e6aa5c20b55" concept="clcid-ci-ar:BiZhongCaiWuFuZhuBenGongSiZuoWeiBeiDanBaoFang" label="币种：财务附注：本公司作为被担保方" selectOptions="_buildInISO4217" controlType="Combobox" cellType="Measure" appId="_GBC_3686094d29c941dd91bd168e3ef88833"/>
      <m:placeholder xlName="_PLD_ac54f32073154fadb7bb88f234c3975e" addr="T1R0C0S1_1"/>
      <m:placeholder xlName="_PLD_7f8c0504748f429fb56091b7c979ae8f" addr="T1R0C1S1_1"/>
      <m:placeholder xlName="_PLD_420586bc450946f7ade316af068ebd3c" addr="T1R0C2S1_1"/>
      <m:placeholder xlName="_PLD_06d4f9d2aefd4b9abe4a16528e7585c3" addr="T1R0C3S1_1"/>
      <m:placeholder xlName="_PLD_ed59b0fcb59a47dc868f0dc283143858" addr="T1R0C4S1_1"/>
      <m:tuple xlName="_GBC_849e7f7a42044b3eaf135f12bb01887f" concept="clcid-pte:BenGongSiZuoWeiBeiDanBaoFangDeGuanLianDanBaoQingKuangMingXi" default_row="2" addr="T1R1C">
        <m:item xlName="_GBC_c70a2becb712468aa7a5d62f80483ef4" concept="clcid-pte:BenGongSiZuoWeiBeiDanBaoFangDeGuanLianDanBaoQingKuangMingXiDanBaoFang" label="本公司作为被担保方的关联担保情况明细-担保方" addr="T1R1C0S1_1" appId="_GBC_3686094d29c941dd91bd168e3ef88833"/>
        <m:item xlName="_GBC_567b674c631a4b22b65103d9adf5a5e2" concept="clcid-pte:BenGongSiZuoWeiBeiDanBaoFangDeGuanLianDanBaoQingKuangMingXiDanBaoJinE" label="本公司作为被担保方的关联担保情况明细-担保金额" mulRef="_GBC_af3d3d55d9c648f8b2e94dcdd804c683" unitRef="_GBC_684efbccec674b3abab20e6aa5c20b55" addr="T1R1C1S1_1" formatStyle="Comma" appId="_GBC_3686094d29c941dd91bd168e3ef88833"/>
        <m:item xlName="_GBC_5a85421cd0ef4e33b302d599e653a476" concept="clcid-pte:BenGongSiZuoWeiBeiDanBaoFangDeGuanLianDanBaoQingKuangMingXiDanBaoQiShiRi" label="本公司作为被担保方的关联担保情况明细-担保起始日" addr="T1R1C2S1_1" appId="_GBC_3686094d29c941dd91bd168e3ef88833" keyAction="38"/>
        <m:item xlName="_GBC_8c8407365b454db2818a81bf1f4b57d0" concept="clcid-pte:BenGongSiZuoWeiBeiDanBaoFangDeGuanLianDanBaoQingKuangMingXiDanBaoDaoQiRi" label="本公司作为被担保方的关联担保情况明细-担保到期日" addr="T1R1C3S1_1" appId="_GBC_3686094d29c941dd91bd168e3ef88833" keyAction="38"/>
        <m:item xlName="_GBC_d7c54b58f693435fbb78b065d1e813da" concept="clcid-pte:BenGongSiZuoWeiBeiDanBaoFangDeGuanLianDanBaoQingKuangMingXiDanBaoShiFouYiJingLvXingWanBi" label="本公司作为被担保方的关联担保情况明细-担保是否已经履行完毕" selectOptions="_buildInYesNo" addr="T1R1C4S1_1" controlType="Combobox" appId="_GBC_3686094d29c941dd91bd168e3ef88833"/>
      </m:tuple>
      <m:item xlName="_GBC_9a5a4769e8804b779ae17adb041890d7" concept="clcid-ci-ar:ShiFouShiYongGuanLianDanBaoQingKuangShuoMing" label="是否适用：关联担保情况说明" selectOptions="_buildInAppliance" controlType="CustomCheckbox" cRanges="{&quot;StartName&quot;:&quot;_GBC_9a5a4769e8804b779ae17adb041890d7&quot;,&quot;EndName&quot;:&quot;_GBC_e0444f9afd5a4ce58c84bff06eddbd44&quot;,&quot;CType&quot;:1,&quot;DisplayText&quot;:null}"/>
      <m:item xlName="_GBC_e0444f9afd5a4ce58c84bff06eddbd44" concept="clcid-ie:GuanLianDanBaoShuoMing" label="关联担保说明" appId="_GBC_9a5a4769e8804b779ae17adb041890d7"/>
    </m:section>
    <m:section xlName="_SEC_b82cc4dd84264685b7f47657a2755690" title="">
      <m:item xlName="_GBC_4b2d20ddab104a06a9007945a55a3da5" concept="clcid-ci-ar:ShiFouShiYongGuanLianFangZiJinChaiJie" label="是否适用：关联方资金拆借" selectOptions="_buildInAppliance" controlType="CustomCheckbox" cRanges="[{&quot;StartName&quot;:&quot;_GBC_4b2d20ddab104a06a9007945a55a3da5&quot;,&quot;EndName&quot;:&quot;_GBC_cacccbe744cf46488999a095b5da1497&quot;,&quot;CType&quot;:1}]"/>
      <m:item xlName="_GBC_30878251351c48cd910d8c588a3fae01" concept="clcid-ci-ar:DanWeiGuanLianFangZiJinChaiJie" label="单位：关联方资金拆借" selectOptions="_buildInScales" controlType="Combobox" cellType="Scale" appId="_GBC_4b2d20ddab104a06a9007945a55a3da5"/>
      <m:item xlName="_GBC_a29488b34f974558ba4cf6bd0f030f00" concept="clcid-ci-ar:BiZhongGuanLianFangZiJinChaiJie" label="币种：关联方资金拆借" selectOptions="_buildInISO4217" controlType="Combobox" cellType="Measure" appId="_GBC_4b2d20ddab104a06a9007945a55a3da5"/>
      <m:placeholder xlName="_PLD_21bb8fa4d636469babeb2a54015330c9" addr="T0R0C0S1_1"/>
      <m:placeholder xlName="_PLD_21ea4181f1384bdbbbf3891f93fa488d" addr="T0R0C1S1_1"/>
      <m:placeholder xlName="_PLD_bd5ce6aed4f143e49953692c5a59760c" addr="T0R0C2S1_1"/>
      <m:placeholder xlName="_PLD_2b385e7ee14a4b079bb06e055c36feb7" addr="T0R0C3S1_1"/>
      <m:placeholder xlName="_PLD_931f1b9b50024981b236234787422b42" addr="T0R0C4S1_1"/>
      <m:placeholder xlName="_PLD_e99d0f8d089a4169bf3ff1a58fede048" addr="T0R1C0S1_5"/>
      <m:tuple xlName="_TUP_dc7a5d29d458478da43f89617e2db5ec" concept="clcid-pte:GuanLianFangZiJinChaiRuMingXi" default_row="2" addr="T0R2C">
        <m:item xlName="_GBC_21b2ccca3dd1415f9f513dda74592a36" concept="clcid-pte:GuanLianFangZiJinChaiRuMingXiGuanLianFang" label="关联方资金拆入明细-关联方" addr="T0R2C0S1_1" appId="_GBC_4b2d20ddab104a06a9007945a55a3da5"/>
        <m:item xlName="_GBC_864c8bc8003848c7a78f04c7299889b9" concept="clcid-pte:GuanLianFangZiJinChaiRuMingXiJinE" label="关联方资金拆入明细-金额" mulRef="_GBC_30878251351c48cd910d8c588a3fae01" unitRef="_GBC_a29488b34f974558ba4cf6bd0f030f00" addr="T0R2C1S1_1" formatStyle="Comma" appId="_GBC_4b2d20ddab104a06a9007945a55a3da5"/>
        <m:item xlName="_GBC_8784b76eceae4b898a479c7b2f23cc1c" concept="clcid-pte:GuanLianFangZiJinChaiRuMingXiQiShiRi" label="关联方资金拆入明细-起始日" addr="T0R2C2S1_1" appId="_GBC_4b2d20ddab104a06a9007945a55a3da5" keyAction="38"/>
        <m:item xlName="_GBC_d0e242b743994d92bb0c19e1afbd0eff" concept="clcid-pte:GuanLianFangZiJinChaiRuMingXiDaoQiRi" label="关联方资金拆入明细-到期日" addr="T0R2C3S1_1" appId="_GBC_4b2d20ddab104a06a9007945a55a3da5" keyAction="38"/>
        <m:item xlName="_GBC_01f84430ee964e5db36edbb5848d7dd8" concept="clcid-pte:GuanLianFangZiJinChaiRuMingXiShuoMing" label="关联方资金拆入明细-说明" addr="T0R2C4S1_1" appId="_GBC_4b2d20ddab104a06a9007945a55a3da5"/>
      </m:tuple>
      <m:placeholder xlName="_PLD_1613472abe4e4c13a814f6653bc9b06f" addr="T1R0C0S1_1"/>
      <m:placeholder xlName="_PLD_977030de52174528984edef0e21bd252" addr="T1R0C1S1_1"/>
      <m:placeholder xlName="_PLD_106cf3924d054ef1864edc1e8fd57141" addr="T1R0C2S1_1"/>
      <m:placeholder xlName="_PLD_d6a7cc43d4244f5790228516d1ba65b2" addr="T1R0C3S1_1"/>
      <m:placeholder xlName="_PLD_f40930a2c2c94830adcaed06bda6ef0a" addr="T1R0C4S1_1"/>
      <m:placeholder xlName="_PLD_6836cbe7d969465c896295b605e970bb" addr="T1R1C0S1_5"/>
      <m:tuple xlName="_TUP_b7b04f74aba14859abbb4d98d93aa4f7" concept="clcid-pte:GuanLianFangZiJinChaiChuMingXi" default_row="2" addr="T1R2C">
        <m:item xlName="_GBC_3751e531a2634d9bb86529d462e13a14" concept="clcid-pte:GuanLianFangZiJinChaiChuMingXiGuanLianFang" label="关联方资金拆出明细-关联方" addr="T1R2C0S1_1" appId="_GBC_4b2d20ddab104a06a9007945a55a3da5"/>
        <m:item xlName="_GBC_0b98df87ace7432694c734f4d281e6b7" concept="clcid-pte:GuanLianFangZiJinChaiChuMingXiJinE" label="关联方资金拆出明细-金额" mulRef="_GBC_30878251351c48cd910d8c588a3fae01" unitRef="_GBC_a29488b34f974558ba4cf6bd0f030f00" addr="T1R2C1S1_1" formatStyle="Comma" appId="_GBC_4b2d20ddab104a06a9007945a55a3da5"/>
        <m:item xlName="_GBC_f42f0e2ee34d4beeb5b162eb0aedcdba" concept="clcid-pte:GuanLianFangZiJinChaiChuMingXiQiShiRi" label="关联方资金拆出明细-起始日" addr="T1R2C2S1_1" appId="_GBC_4b2d20ddab104a06a9007945a55a3da5"/>
        <m:item xlName="_GBC_01f126652b4a4e0fa032d9ad9331668d" concept="clcid-pte:GuanLianFangZiJinChaiChuMingXiDaoQiRi" label="关联方资金拆出明细-到期日" addr="T1R2C3S1_1" appId="_GBC_4b2d20ddab104a06a9007945a55a3da5"/>
        <m:item xlName="_GBC_cacccbe744cf46488999a095b5da1497" concept="clcid-pte:GuanLianFangZiJinChaiChuMingXiShuoMing" label="关联方资金拆出明细-说明" addr="T1R2C4S1_1" appId="_GBC_4b2d20ddab104a06a9007945a55a3da5"/>
      </m:tuple>
    </m:section>
    <m:section xlName="_GBC_9319584d30f7446b9ff3e2a3d50022d5" title="关联方资产转让、债务重组情况" rules="R2015_R11_032">
      <m:item xlName="_GBC_c590c66abdbe454e89c4c55269fb6adf" concept="clcid-ci-ar:ShiFouShiYongGuanLianFangZiChanZhuanRangZhaiWuZhongZuQingKuang" label="是否适用：关联方资产转让、债务重组情况" selectOptions="_buildInAppliance" controlType="CustomCheckbox" cRanges="{&quot;StartName&quot;:&quot;_GBC_c590c66abdbe454e89c4c55269fb6adf&quot;,&quot;EndName&quot;:&quot;_GBC_f0001d8d803b414fab949bb8939fc1ec&quot;,&quot;CType&quot;:1,&quot;DisplayText&quot;:null}"/>
      <m:item xlName="_GBC_8ecfa997e28f44a388d0514524136136" concept="clcid-ci-ar:DanWeiGuanLianFangZiChanZhuanRangZhaiWuZhongZuQingKuang" label="单位：关联方资产转让、债务重组情况" selectOptions="_buildInScales" controlType="Combobox" cellType="Scale" appId="_GBC_c590c66abdbe454e89c4c55269fb6adf"/>
      <m:item xlName="_GBC_594f0fc142624d8587e52999305498cd" concept="clcid-ci-ar:BiZhongGuanLianFangZiChanZhuanRangZhaiWuZhongZuQingKuang" label="币种：关联方资产转让、债务重组情况" selectOptions="_buildInISO4217" controlType="Combobox" cellType="Measure" appId="_GBC_c590c66abdbe454e89c4c55269fb6adf"/>
      <m:placeholder xlName="_PLD_5e8f9678ed884c36ad8c2217d7465b3d" addr="T0R0C0S1_1"/>
      <m:placeholder xlName="_PLD_2ce4af22f85d494bb75fefd5e94879ce" addr="T0R0C1S1_1"/>
      <m:placeholder xlName="_PLD_89dc5f29c1b8438f88df73151ef5b043" addr="T0R0C2S1_1"/>
      <m:placeholder xlName="_PLD_d6943f21ebd14ccb8251b17b93927f85" addr="T0R0C3S1_1"/>
      <m:tuple xlName="_GBC_846a8a0aa97e4864a1c957a69d7d5e2c" concept="clcid-pte:GuanLianFangZiChanZhuanRangZhaiWuZhongZuQingKuangMingXi" default_row="2" addr="T0R1C">
        <m:item xlName="_GBC_6a329efac4e04e4b9a4cea0cb2c370a7" concept="clcid-pte:GuanLianFangZiChanZhuanRangZhaiWuZhongZuQingKuangMingXiGuanLianFangMingCheng" label="关联方资产转让、债务重组情况明细－关联方名称" addr="T0R1C0S1_1" appId="_GBC_c590c66abdbe454e89c4c55269fb6adf"/>
        <m:item xlName="_GBC_2df978215249403eaf9c99fe84cb668b" concept="clcid-pte:GuanLianFangZiChanZhuanRangZhaiWuZhongZuQingKuangMingXiGuanLianJiaoYiNeiRong" label="关联方资产转让、债务重组情况明细－关联交易内容" addr="T0R1C1S1_1" appId="_GBC_c590c66abdbe454e89c4c55269fb6adf"/>
        <m:item xlName="_GBC_181f3646a10040f4bf160df2235f9899" concept="clcid-pte:GuanLianFangZiChanZhuanRangZhaiWuZhongZuQingKuangMingXiGuanLianJiaoYiJinE" label="关联方资产转让、债务重组情况明细－关联交易金额" mulRef="_GBC_8ecfa997e28f44a388d0514524136136" unitRef="_GBC_594f0fc142624d8587e52999305498cd" addr="T0R1C2S1_1" formatStyle="Comma" appId="_GBC_c590c66abdbe454e89c4c55269fb6adf"/>
        <m:item xlName="_GBC_f0001d8d803b414fab949bb8939fc1ec" concept="clcid-pte:GuanLianFangZiChanZhuanRangZhaiWuZhongZuQingKuangMingXiGuanLianJiaoYiJinE" label="关联方资产转让、债务重组情况明细－关联交易金额" periodRef="上年同期数" mulRef="_GBC_8ecfa997e28f44a388d0514524136136" unitRef="_GBC_594f0fc142624d8587e52999305498cd" addr="T0R1C3S1_1" formatStyle="Comma" appId="_GBC_c590c66abdbe454e89c4c55269fb6adf"/>
      </m:tuple>
    </m:section>
    <m:section xlName="_GBC_16da1beac91f4544809058bfda2ad3bf" title="关键管理人员报酬" rules="R2015_R11_032" helpId="112001168">
      <m:item xlName="_GBC_48379e9c7f5743bb916ac1cb044f4057" concept="clcid-ci-ar:ShiFouShiYongGuanJianGuanLiRenYuanBaoChou" label="是否适用：关键管理人员报酬" selectOptions="_buildInAppliance" controlType="CustomCheckbox" cRanges="{&quot;StartName&quot;:&quot;_GBC_48379e9c7f5743bb916ac1cb044f4057&quot;,&quot;EndName&quot;:&quot;_GBC_4719ee6cfe3f4a9189cc498f5ac2b0ac&quot;,&quot;CType&quot;:1,&quot;DisplayText&quot;:null}"/>
      <m:item xlName="_GBC_ce83ed5df8424f9a845da83f15361f10" concept="clcid-ci-ar:DanWeiCaiWuFuZhuGuanJianGuanLiRenYuanBaoChou" label="单位：财务附注：关键管理人员报酬" selectOptions="48229e22d31b46d897c0ecffb7a3d5b1" controlType="Combobox" cellType="Scale" appId="_GBC_48379e9c7f5743bb916ac1cb044f4057"/>
      <m:item xlName="_GBC_f493c9ef199846639115d5bc3032a26e" concept="clcid-ci-ar:BiZhongCaiWuFuZhuGuanJianGuanLiRenYuanBaoChou" label="币种：财务附注：关键管理人员报酬" selectOptions="_buildInISO4217" controlType="Combobox" cellType="Measure" appId="_GBC_48379e9c7f5743bb916ac1cb044f4057"/>
      <m:placeholder xlName="_PLD_67f843efe3664c9fbe7a215b63622ea0" addr="T0R0C0S1_1"/>
      <m:placeholder xlName="_PLD_30a169af324e457e93d304c688a55945" addr="T0R0C1S1_1"/>
      <m:placeholder xlName="_PLD_bf5a91780f544d6eade38e70db331a30" addr="T0R0C2S1_1"/>
      <m:placeholder xlName="_PLD_bc4e2a2d92044454966304594fcd32da" addr="T0R1C0S1_1"/>
      <m:item xlName="_GBC_6a5eeb7876bb47a6bf6c201c66529695" concept="clcid-ie:GuanJianGuanLiRenYuanBaoChou" label="关键管理人员报酬" mulRef="_GBC_ce83ed5df8424f9a845da83f15361f10" unitRef="_GBC_f493c9ef199846639115d5bc3032a26e" addr="T0R1C1S1_1" formatStyle="Comma" appId="_GBC_48379e9c7f5743bb916ac1cb044f4057">
        <m:simpleRule dataType="Decimal" comparator="In" minValue="100000" maxValue="1000000000" level="Warn" em="“关键管理人员报酬”数值可能异常，请确认。"/>
      </m:item>
      <m:item xlName="_GBC_4719ee6cfe3f4a9189cc498f5ac2b0ac" concept="clcid-ie:GuanJianGuanLiRenYuanBaoChou" label="关键管理人员报酬" periodRef="上年同期数" mulRef="_GBC_ce83ed5df8424f9a845da83f15361f10" unitRef="_GBC_f493c9ef199846639115d5bc3032a26e" addr="T0R1C2S1_1" formatStyle="Comma" appId="_GBC_48379e9c7f5743bb916ac1cb044f4057">
        <m:simpleRule dataType="Decimal" comparator="In" minValue="100000" maxValue="1000000000" level="Warn" em="“关键管理人员报酬”数值可能异常，请确认。"/>
      </m:item>
    </m:section>
    <m:section xlName="_GBC_45e2e59b0d6145b48f7cfd576edaa9e6" title="其他关联交易" rules="R2015_R11_032" convertSummaryRule="NoConvert" helpId="112001168">
      <m:item xlName="_GBC_9768a300838a499089a7b814ff3d817d" concept="clcid-ci-ar:ShiFouShiYongQiTaGuanLianJiaoYi" label="是否适用：其他关联交易" selectOptions="_buildInAppliance" controlType="CustomCheckbox" cRanges="{&quot;StartName&quot;:&quot;_GBC_9768a300838a499089a7b814ff3d817d&quot;,&quot;EndName&quot;:&quot;_GBC_6032ff15164341538a97d5ac05a80e23&quot;,&quot;CType&quot;:1,&quot;DisplayText&quot;:null}"/>
      <m:item xlName="_GBC_6032ff15164341538a97d5ac05a80e23" concept="clcid-ie:QiTaGuanLianJiaoYi" label="其他关联交易的情况" appId="_GBC_9768a300838a499089a7b814ff3d817d"/>
    </m:section>
    <m:section xlName="_GBC_a8ddb53cf3424889a48a1749b5a1d910" title="上市公司应收关联方款项" rules="R2015_R11_032" convertSummaryRule="NoConvert" helpId="112001168" helpText="注：关联交易约定以净额结算的，应收关联方款项可以抵销后金额填列。">
      <m:item xlName="_GBC_e5475e28b21641f6895ac4770b2631b5" concept="clcid-ci-ar:ShiFouShiYongYingShouXiangMu" label="是否适用：应收项目" selectOptions="_buildInAppliance" controlType="CustomCheckbox" cRanges="{&quot;StartName&quot;:&quot;_GBC_e5475e28b21641f6895ac4770b2631b5&quot;,&quot;EndName&quot;:&quot;_GBC_5863f5c59166487cb6350da179170e3b&quot;,&quot;CType&quot;:1,&quot;DisplayText&quot;:null}"/>
      <m:item xlName="_GBC_04d0c208b4494e01aba7984c41905093" concept="clcid-ci-ar:DanWeiShangShiGongSiYingShouGuanLianFangKuanXiang" label="单位：上市公司应收关联方款项" selectOptions="_buildInScales" controlType="Combobox" cellType="Scale" appId="_GBC_e5475e28b21641f6895ac4770b2631b5"/>
      <m:item xlName="_GBC_b106fdd467084a62837eebe1d06bbbee" concept="clcid-ci-ar:BiZhongShangShiGongSiYingShouGuanLianFangKuanXiang" label="币种：上市公司应收关联方款项" selectOptions="_buildInISO4217" controlType="Combobox" cellType="Measure" appId="_GBC_e5475e28b21641f6895ac4770b2631b5"/>
      <m:placeholder xlName="_PLD_75750bc8ac464afa98573c85adea097c" addr="T0R0C0S2_1"/>
      <m:placeholder xlName="_PLD_5006be842c534839b3dabcf833329dd5" addr="T0R0C1S2_1"/>
      <m:placeholder xlName="_PLD_f8f3c28b2f064090a27f319875eb1b52" addr="T0R0C2S1_2"/>
      <m:placeholder xlName="_PLD_fdab8cbff0b74f19a916d61075f629a0" addr="T0R0C4S1_2"/>
      <m:placeholder xlName="_PLD_5c085d18049644c9860a00b248b7c0ba" addr="T0R1C2S1_1"/>
      <m:placeholder xlName="_PLD_8262489c05a6417a883e2c877ded6170" addr="T0R1C3S1_1"/>
      <m:placeholder xlName="_PLD_46c6d827df3f47a3bc83a6dd8718f17e" addr="T0R1C4S1_1"/>
      <m:placeholder xlName="_PLD_fca2aa8baf8a48a7a4cdc730d7420d47" addr="T0R1C5S1_1"/>
      <m:tuple xlName="_GBC_203fd12dc6be4a978fe2a9d9f5ad1070" concept="clcid-ie:ShangShiGongSiYingShouGuanLianFangKuanXiangMingXi" default_row="2" addr="T0R2C">
        <m:item xlName="_GBC_eb7149f813b9428790f9901e6260a63d" concept="clcid-ie:ShangShiGongSiYingShouGuanLianFangKuanXiangMingXiXiangMuMingCheng" label="上市公司应收关联方款项明细-项目名称" addr="T0R2C0S1_1" appId="_GBC_e5475e28b21641f6895ac4770b2631b5" keyAction="37"/>
        <m:item xlName="_GBC_2380079fc0d04ce4b3122fd1fd87f272" concept="clcid-ie:ShangShiGongSiYingShouGuanLianFangKuanXiangMingXiGuanLianFang" label="上市公司应收关联方款项明细-关联方" addr="T0R2C1S1_1" appId="_GBC_e5475e28b21641f6895ac4770b2631b5"/>
        <m:item xlName="_GBC_cc588a6f792141019f0d3e640cfbfc35" concept="clcid-ie:ShangShiGongSiYingShouGuanLianFangKuanXiangMingXiJinE" label="上市公司应收关联方款项明细-金额" mulRef="_GBC_04d0c208b4494e01aba7984c41905093" unitRef="_GBC_b106fdd467084a62837eebe1d06bbbee" addr="T0R2C2S1_1" formatStyle="Comma" appId="_GBC_e5475e28b21641f6895ac4770b2631b5"/>
        <m:item xlName="_GBC_bafd30cf7fb84997ba02375616bce0f8" concept="clcid-ie:ShangShiGongSiYingShouGuanLianFangKuanXiangMingXiJiTiJianZhiJinE" label="上市公司应收关联方款项明细-计提减值金额" mulRef="_GBC_04d0c208b4494e01aba7984c41905093" unitRef="_GBC_b106fdd467084a62837eebe1d06bbbee" addr="T0R2C3S1_1" formatStyle="Comma" appId="_GBC_e5475e28b21641f6895ac4770b2631b5"/>
        <m:item xlName="_GBC_bd240354d5f04ea48630518eeb22d989" concept="clcid-ie:ShangShiGongSiYingShouGuanLianFangKuanXiangMingXiJinE" label="上市公司应收关联方款项明细-金额" periodRef="本期期初数" mulRef="_GBC_04d0c208b4494e01aba7984c41905093" unitRef="_GBC_b106fdd467084a62837eebe1d06bbbee" addr="T0R2C4S1_1" formatStyle="Comma" appId="_GBC_e5475e28b21641f6895ac4770b2631b5"/>
        <m:item xlName="_GBC_5863f5c59166487cb6350da179170e3b" concept="clcid-ie:ShangShiGongSiYingShouGuanLianFangKuanXiangMingXiJiTiJianZhiJinE" label="上市公司应收关联方款项明细-计提减值金额" periodRef="本期期初数" mulRef="_GBC_04d0c208b4494e01aba7984c41905093" unitRef="_GBC_b106fdd467084a62837eebe1d06bbbee" addr="T0R2C5S1_1" formatStyle="Comma" appId="_GBC_e5475e28b21641f6895ac4770b2631b5"/>
      </m:tuple>
    </m:section>
    <m:section xlName="_GBC_e7a5511f50dd4f05a897cdfaeac4023f" title="上市公司应付关联方款项" rules="R2015_R11_032" convertSummaryRule="NoConvert" helpId="112001168" helpText="注：关联交易约定以净额结算的，应付关联方款项可以抵销后金额填列。">
      <m:item xlName="_GBC_9dbefb51b716471b878d2e2863524a53" concept="clcid-ci-ar:ShiFouShiYongYingFuXiangMu" label="是否适用：应付项目" selectOptions="_buildInAppliance" controlType="CustomCheckbox" cRanges="{&quot;StartName&quot;:&quot;_GBC_9dbefb51b716471b878d2e2863524a53&quot;,&quot;EndName&quot;:&quot;_GBC_c2152582304d4e45a85f442e3a66d522&quot;,&quot;CType&quot;:1,&quot;DisplayText&quot;:null}"/>
      <m:item xlName="_GBC_08d04faee6a64768877db8f6ab14663e" concept="clcid-ci-ar:DanWeiShangShiGongSiYingFuGuanLianFangKuanXiang" label="单位：上市公司应付关联方款项" selectOptions="_buildInScales" controlType="Combobox" cellType="Scale" appId="_GBC_9dbefb51b716471b878d2e2863524a53"/>
      <m:item xlName="_GBC_124ea57c07fc4e23931a125a103e711c" concept="clcid-ci-ar:BiZhongShangShiGongSiYingFuGuanLianFangKuanXiang" label="币种：上市公司应付关联方款项" selectOptions="_buildInISO4217" controlType="Combobox" cellType="Measure" appId="_GBC_9dbefb51b716471b878d2e2863524a53"/>
      <m:placeholder xlName="_PLD_cf838d28f8e94c899328f1b9cd175b08" addr="T0R0C0S1_1"/>
      <m:placeholder xlName="_PLD_25173a15407f4af6adbf91389dcc2257" addr="T0R0C1S1_1"/>
      <m:placeholder xlName="_PLD_a8551739db0f47cab1b1a6ea0e700367" addr="T0R0C2S1_1"/>
      <m:placeholder xlName="_PLD_83bc027cb7f1401db7a26beffe77ce00" addr="T0R0C3S1_1"/>
      <m:tuple xlName="_GBC_bb3d19486f2b460b856a135056bd0897" concept="clcid-ie:ShangShiGongSiYingFuGuanLianFangKuanXiangMingXi" default_row="2" addr="T0R1C">
        <m:item xlName="_GBC_6233adb0f6b54f128938af25d0d69653" concept="clcid-ie:ShangShiGongSiYingFuGuanLianFangKuanXiangMingXiXiangMuMingCheng" label="上市公司应付关联方款项明细-项目名称" addr="T0R1C0S1_1" appId="_GBC_9dbefb51b716471b878d2e2863524a53" keyAction="37"/>
        <m:item xlName="_GBC_8f117d3e5aee4c22ad9a5df3b284d78f" concept="clcid-ie:ShangShiGongSiYingFuGuanLianFangKuanXiangMingXiGuanLianFang" label="上市公司应付关联方款项明细-关联方" addr="T0R1C1S1_1" appId="_GBC_9dbefb51b716471b878d2e2863524a53"/>
        <m:item xlName="_GBC_c0b3b7a0b8574da2b1f8c7b47eb7dc95" concept="clcid-ie:ShangShiGongSiYingFuGuanLianFangKuanXiangMingXiJinE" label="上市公司应付关联方款项明细-金额" mulRef="_GBC_08d04faee6a64768877db8f6ab14663e" unitRef="_GBC_124ea57c07fc4e23931a125a103e711c" addr="T0R1C2S1_1" formatStyle="Comma" appId="_GBC_9dbefb51b716471b878d2e2863524a53"/>
        <m:item xlName="_GBC_c2152582304d4e45a85f442e3a66d522" concept="clcid-ie:ShangShiGongSiYingFuGuanLianFangKuanXiangMingXiJinE" label="上市公司应付关联方款项明细-金额" periodRef="本期期初数" mulRef="_GBC_08d04faee6a64768877db8f6ab14663e" unitRef="_GBC_124ea57c07fc4e23931a125a103e711c" addr="T0R1C3S1_1" formatStyle="Comma" appId="_GBC_9dbefb51b716471b878d2e2863524a53"/>
      </m:tuple>
    </m:section>
    <m:section xlName="_GBC_945a5f0033de4c9786bb7245eedc88e3" title="关联方承诺" rules="R2015_R11_032" helpId="112001168">
      <m:item xlName="_GBC_b906cacab2e94825966fa70e345656b5" concept="clcid-ci-ar:ShiFouShiYongGuanLianFangChengNuo" label="是否适用：关联方承诺" selectOptions="_buildInAppliance" controlType="CustomCheckbox" cRanges="{&quot;StartName&quot;:&quot;_GBC_b906cacab2e94825966fa70e345656b5&quot;,&quot;EndName&quot;:&quot;_GBC_07be2fbf22ab46319cf1aeac8c65a417&quot;,&quot;CType&quot;:1,&quot;DisplayText&quot;:null}"/>
      <m:item xlName="_GBC_07be2fbf22ab46319cf1aeac8c65a417" concept="clcid-ie:GuanLianFangXiangGuanChengNuo" label="关联方相关承诺" appId="_GBC_b906cacab2e94825966fa70e345656b5"/>
    </m:section>
    <m:section xlName="_GBC_f467d909644e4ab6b08e0abfbea78eb8" title="关联方及关联情况的其他说明" rules="R2015_R11_032" helpId="112001166">
      <m:item xlName="_GBC_87161343db8b4a0b9e041c62c0df5e87" concept="clcid-ci-ar:ShiFouShiYongGuanLianFangJiGuanLianQingKuangDeQiTaShuoMing" label="是否适用：关联方及关联情况的其他说明" selectOptions="_buildInAppliance" controlType="CustomCheckbox" cRanges="{&quot;StartName&quot;:&quot;_GBC_87161343db8b4a0b9e041c62c0df5e87&quot;,&quot;EndName&quot;:&quot;_GBC_6845e44cf1734e368534cfc0fc2ba9a1&quot;,&quot;CType&quot;:1,&quot;DisplayText&quot;:null}"/>
      <m:item xlName="_GBC_6845e44cf1734e368534cfc0fc2ba9a1" concept="clcid-pte:GuanLianFangJiGuanLianQingKuangDeQiTaShuoMing" label="关联方及关联情况的其他说明" appId="_GBC_87161343db8b4a0b9e041c62c0df5e87"/>
    </m:section>
    <m:section xlName="_GBC_07972b1f6b5c4904b730c6b344e432ee" title="股份支付总体情况" convertSummaryRule="NoConvert" helpId="112001170">
      <m:item xlName="_GBC_7d36569622d040fb870ad46d99420cd2" concept="clcid-ci-ar:ShiFouShiYongGuFenZhiFuZongTiQingKuang" label="是否适用：股份支付总体情况" selectOptions="_buildInAppliance" controlType="CustomCheckbox" cRanges="{&quot;StartName&quot;:&quot;_GBC_7d36569622d040fb870ad46d99420cd2&quot;,&quot;EndName&quot;:&quot;_GBC_6ec202c8c5c2474c94af4a207f151a91&quot;,&quot;CType&quot;:1,&quot;DisplayText&quot;:null}"/>
      <m:item xlName="_GBC_f5e2ed83520249e5b48a08b8c1ad1260" concept="clcid-ci-ar:DanWeiCaiWuFuZhuGuFenZhiFuZongTiQingKuang" label="单位：财务附注：股份支付总体情况" selectOptions="c0efd1884bcd440a990427ab5ff33169" controlType="Combobox" cellType="Scale" appId="_GBC_7d36569622d040fb870ad46d99420cd2"/>
      <m:item xlName="_GBC_d5de89e0bf554dac952f5dd6d6bdab46" concept="clcid-ci-ar:BiZhongCaiWuFuZhuGuFenZhiFuZongTiQingKuang" label="币种：财务附注：股份支付总体情况" selectOptions="_buildInISO4217" controlType="Combobox" cellType="Measure" appId="_GBC_7d36569622d040fb870ad46d99420cd2"/>
      <m:placeholder xlName="_PLD_d7309f1ffdd74e96bbe9117fb0f5e1b9" addr="T0R0C0S1_1"/>
      <m:item xlName="_GBC_dd12b1ed77584020922f313628635576" concept="clcid-pte:GongSiShouYuDeGeXiangQuanYiGongJuZongE" label="公司授予的各项权益工具总额" mulRef="_GBC_f5e2ed83520249e5b48a08b8c1ad1260" unitRef="_GBC_d5de89e0bf554dac952f5dd6d6bdab46" addr="T0R0C1S1_1" tagAction="1" formatStyle="Comma" appId="_GBC_7d36569622d040fb870ad46d99420cd2"/>
      <m:placeholder xlName="_PLD_146e6da96bc540e7959da2befd0af3ad" addr="T0R1C0S1_1"/>
      <m:item xlName="_GBC_6122ac312c154493a246bd6be2eb1dc1" concept="clcid-pte:GongSiXingQuanDeGeXiangQuanYiGongJuZongE" label="公司行权的各项权益工具总额" mulRef="_GBC_f5e2ed83520249e5b48a08b8c1ad1260" unitRef="_GBC_d5de89e0bf554dac952f5dd6d6bdab46" addr="T0R1C1S1_1" formatStyle="Comma" appId="_GBC_7d36569622d040fb870ad46d99420cd2"/>
      <m:placeholder xlName="_PLD_5d9dbe6a5627408baf489b5f4f8eb99c" addr="T0R2C0S1_1"/>
      <m:item xlName="_GBC_0127f230f56b4854b58c66f350d1c99d" concept="clcid-pte:GongSiShiXiaoDeGeXiangQuanYiGongJuZongE" label="公司失效的各项权益工具总额" mulRef="_GBC_f5e2ed83520249e5b48a08b8c1ad1260" unitRef="_GBC_d5de89e0bf554dac952f5dd6d6bdab46" addr="T0R2C1S1_1" formatStyle="Comma" appId="_GBC_7d36569622d040fb870ad46d99420cd2"/>
      <m:placeholder xlName="_PLD_6694d6ef994a4b3cb878a90cef433735" addr="T0R3C0S1_1"/>
      <m:item xlName="_GBC_1430838837f04221b984e908aba095e5" concept="clcid-pte:GongSiFaXingZaiWaiDeGuFenQiQuanXingQuanJiaGeDeFanWeiHeHeTongShengYuQiXian" label="公司发行在外的股份期权行权价格的范围和合同剩余期限" addr="T0R3C1S1_1" appId="_GBC_7d36569622d040fb870ad46d99420cd2"/>
      <m:placeholder xlName="_PLD_b6fe32b3793c46aca2c7a724ec090ff5" addr="T0R4C0S1_1"/>
      <m:item xlName="_GBC_cc6e3316ef894a43ba12c713ca399d44" concept="clcid-pte:GongSiQiTaQuanYiGongJuXingQuanJiaGeDeFanWeiHeHeTongShengYuQiXian" label="公司其他权益工具行权价格的范围和合同剩余期限" addr="T0R4C1S1_1" appId="_GBC_7d36569622d040fb870ad46d99420cd2"/>
      <m:item xlName="_GBC_6ec202c8c5c2474c94af4a207f151a91" concept="clcid-pte:GuFenZhiFuDeShuoMing" label="股份支付的说明" appId="_GBC_7d36569622d040fb870ad46d99420cd2"/>
    </m:section>
    <m:section xlName="_GBC_a6f090c303de426580c058a0a463c95f" title="以权益结算的股份支付情况" convertSummaryRule="NoConvert" helpId="112001171" helpText="注：本期估计与上期估计不存在重大差异的，请填写“无”。">
      <m:item xlName="_GBC_5d901e3b36be4331aac030c8e4b9b1a5" concept="clcid-ci-ar:ShiFouShiYongYiQuanYiJieSuanDeGuFenZhiFuQingKuang" label="是否适用：以权益结算的股份支付情况" selectOptions="_buildInAppliance" controlType="CustomCheckbox" cRanges="{&quot;StartName&quot;:&quot;_GBC_5d901e3b36be4331aac030c8e4b9b1a5&quot;,&quot;EndName&quot;:&quot;_GBC_66cc441b4855447ca660dcb1092a9d2d&quot;,&quot;CType&quot;:1,&quot;DisplayText&quot;:null}"/>
      <m:item xlName="_GBC_e7800d3c0e994e0bb44800f701770f0a" concept="clcid-ci-ar:DanWeiYiQuanYiJieSuanDeGuFenZhiFuQingKuang" label="单位：以权益结算的股份支付情况" selectOptions="_buildInScales" controlType="Combobox" cellType="Scale" appId="_GBC_5d901e3b36be4331aac030c8e4b9b1a5"/>
      <m:item xlName="_GBC_141e8e8b8e9c4f8880dfb329a29bb6d0" concept="clcid-ci-ar:BiZhongCaiWuFuZhuYiQuanYiJieSuanDeGuFenZhiFuQingKuang" label="币种：财务附注：以权益结算的股份支付情况" selectOptions="_buildInISO4217" controlType="Combobox" cellType="Measure" appId="_GBC_5d901e3b36be4331aac030c8e4b9b1a5"/>
      <m:placeholder xlName="_PLD_3971ccf7eba24e5a8c55531fb5d27dd3" addr="T0R0C0S1_1"/>
      <m:item xlName="_GBC_494fdab9066346439f2b34f644c563da" concept="clcid-pte:ShouYuRiQuanYiGongJuGongYunJiaZhiDeQueDingFangFa" label="授予日权益工具公允价值的确定方法" addr="T0R0C1S1_1" tagAction="1" appId="_GBC_5d901e3b36be4331aac030c8e4b9b1a5"/>
      <m:placeholder xlName="_PLD_196af183586047b8b91c11e4d618d989" addr="T0R1C0S1_1"/>
      <m:item xlName="_GBC_98061e9e80d84d4ab3fcb9033efe70fe" concept="clcid-pte:DuiKeXingQuanQuanYiGongJuShuLiangDeZuiJiaGuJiDeQueDingFangFa" label="对可行权权益工具数量的最佳估计的确定方法" addr="T0R1C1S1_1" appId="_GBC_5d901e3b36be4331aac030c8e4b9b1a5"/>
      <m:placeholder xlName="_PLD_f7ccac85f9f04eae859b36511ee5887a" addr="T0R2C0S1_1"/>
      <m:item xlName="_GBC_1cc4c50cb92b4993a17fd9fbc9d19572" concept="clcid-pte:BenQiGuJiYuShangQiGuJiYouZhongDaChaYiDeYuanYin" label="本期估计与上期估计有重大差异的原因" addr="T0R2C1S1_1" appId="_GBC_5d901e3b36be4331aac030c8e4b9b1a5"/>
      <m:placeholder xlName="_PLD_41ed08de46e64e0f85ab68a2dd7015cc" addr="T0R3C0S1_1"/>
      <m:item xlName="_GBC_5a8cec3e6c1a4f0fa4f1eba61c8e9227" concept="clcid-pte:ZiBenGongJiZhongYiQuanYiJieSuanDeGuFenZhiFuDeLeiJiJinE" label="资本公积中以权益结算的股份支付的累计金额" mulRef="_GBC_e7800d3c0e994e0bb44800f701770f0a" unitRef="_GBC_141e8e8b8e9c4f8880dfb329a29bb6d0" addr="T0R3C1S1_1" formatStyle="Comma" appId="_GBC_5d901e3b36be4331aac030c8e4b9b1a5"/>
      <m:placeholder xlName="_PLD_f82f407e90bf4db287ed1a5428fbac34" addr="T0R4C0S1_1"/>
      <m:item xlName="_GBC_f5fb10b0e79d4eb6b2ed9201b8f42abf" concept="clcid-pte:YiQuanYiJieSuanDeGuFenZhiFuQueRenDeFeiYongZongE" label="以权益结算的股份支付确认的费用总额" mulRef="_GBC_e7800d3c0e994e0bb44800f701770f0a" unitRef="_GBC_141e8e8b8e9c4f8880dfb329a29bb6d0" addr="T0R4C1S1_1" formatStyle="Comma" appId="_GBC_5d901e3b36be4331aac030c8e4b9b1a5"/>
      <m:item xlName="_GBC_66cc441b4855447ca660dcb1092a9d2d" concept="clcid-pte:YiQuanYiJieSuanDeGuFenZhiFuDeShuoMing" label="以权益结算的股份支付的说明" appId="_GBC_5d901e3b36be4331aac030c8e4b9b1a5"/>
    </m:section>
    <m:section xlName="_GBC_e8a0c7296300463994744e877be96129" title="以现金结算的股份支付情况" convertSummaryRule="NoConvert" helpId="112002203">
      <m:item xlName="_GBC_aa134f611909486bb3a2d6258058f88d" concept="clcid-ci-ar:ShiFouShiYongYiXianJinJieSuanDeGuFenZhiFuQingKuang" label="是否适用：以现金结算的股份支付情况" selectOptions="_buildInAppliance" controlType="CustomCheckbox" cRanges="{&quot;StartName&quot;:&quot;_GBC_aa134f611909486bb3a2d6258058f88d&quot;,&quot;EndName&quot;:&quot;_GBC_8887ac3b7b824ea9a0ff00afd43b28c8&quot;,&quot;CType&quot;:1,&quot;DisplayText&quot;:null}"/>
      <m:item xlName="_GBC_6d3412df4ab0482680e199acfa5d0696" concept="clcid-ci-ar:DanWeiYiXianJinJieSuanDeGuFenZhiFuQingKuang" label="单位：以现金结算的股份支付情况" selectOptions="_buildInScales" controlType="Combobox" cellType="Scale" appId="_GBC_aa134f611909486bb3a2d6258058f88d"/>
      <m:item xlName="_GBC_a0e470cc46854696953c967c07ea74d0" concept="clcid-ci-ar:BiZhongCaiWuFuZhuYiXianJinJieSuanDeGuFenZhiFuQingKuang" label="币种：财务附注：以现金结算的股份支付情况" selectOptions="_buildInISO4217" controlType="Combobox" cellType="Measure" appId="_GBC_aa134f611909486bb3a2d6258058f88d"/>
      <m:placeholder xlName="_PLD_a755d4df30b447d8abaadeef809887d0" addr="T0R0C0S1_1"/>
      <m:item xlName="_GBC_3cc6e27c33594935a299eb6239a4215d" concept="clcid-pte:GongSiChengDanDeYiGuFenHuoQiTaQuanYiGongJuWeiJiChuJiSuanQueDingDeFuZhaiDeGongYunJiaZhiQueDingFangFa" label="公司承担的、以股份或其他权益工具为基础计算确定的负债的公允价值确定方法" addr="T0R0C1S1_1" tagAction="1" appId="_GBC_aa134f611909486bb3a2d6258058f88d"/>
      <m:placeholder xlName="_PLD_b226c98b984746ada7b204b31ad4d1f1" addr="T0R1C0S1_1"/>
      <m:item xlName="_GBC_e55164edf1204cbfa93cbd338437efd7" concept="clcid-pte:FuZhaiZhongYinYiXianJinJieSuanDeGuFenZhiFuChanShengDeLeiJiFuZhaiJinE" label="负债中因以现金结算的股份支付产生的累计负债金额" mulRef="_GBC_6d3412df4ab0482680e199acfa5d0696" unitRef="_GBC_a0e470cc46854696953c967c07ea74d0" addr="T0R1C1S1_1" formatStyle="Comma" appId="_GBC_aa134f611909486bb3a2d6258058f88d"/>
      <m:placeholder xlName="_PLD_522bc6f7f6f341f3b1f2a0c7f47340f7" addr="T0R2C0S1_1"/>
      <m:item xlName="_GBC_1eca0cab3a3b47949fe2faba75e4ffc3" concept="clcid-pte:YiXianJinJieSuanDeGuFenZhiFuErQueRenDeFeiYongZongE" label="以现金结算的股份支付而确认的费用总额" mulRef="_GBC_6d3412df4ab0482680e199acfa5d0696" unitRef="_GBC_a0e470cc46854696953c967c07ea74d0" addr="T0R2C1S1_1" formatStyle="Comma" appId="_GBC_aa134f611909486bb3a2d6258058f88d"/>
      <m:item xlName="_GBC_8887ac3b7b824ea9a0ff00afd43b28c8" concept="clcid-pte:YiXianJinJieSuanDeGuFenZhiFuDeShuoMing" label="以现金结算的股份支付的说明" appId="_GBC_aa134f611909486bb3a2d6258058f88d"/>
    </m:section>
    <m:section xlName="_GBC_ae153862caea4ff5a57470b6f594f167" title="股份支付的修改、终止情况" convertSummaryRule="NoConvert" helpId="112001173" helpText="注：本期未发生股份支付修改、终止情况的，请填写“无”。">
      <m:item xlName="_GBC_794cdee9be3b4b478fa83b914d22ea66" concept="clcid-ci-ar:ShiFouShiYongGuFenZhiFuDeXiuGaiZhongZhiQingKuang" label="是否适用：股份支付的修改、终止情况" selectOptions="_buildInAppliance" controlType="CustomCheckbox" cRanges="{&quot;StartName&quot;:&quot;_GBC_794cdee9be3b4b478fa83b914d22ea66&quot;,&quot;EndName&quot;:&quot;_GBC_bdf63f45ac534948af5a8f6c35f23836&quot;,&quot;CType&quot;:1,&quot;DisplayText&quot;:null}"/>
      <m:item xlName="_GBC_bdf63f45ac534948af5a8f6c35f23836" concept="clcid-pte:GuFenZhiFuDeXiuGaiYuanYinZhuYaoXiuGaiTiaoKuan" label="股份支付的修改原因、主要修改条款" appId="_GBC_794cdee9be3b4b478fa83b914d22ea66"/>
    </m:section>
    <m:section xlName="_GBC_d9554f13d811474eab6fe8ab0c5c8811" title="股份支付的其他情况说明" helpId="112001166">
      <m:item xlName="_GBC_b8be1a19715949cab94dc673580d61a2" concept="clcid-ci-ar:ShiFouShiYongGuFenZhiFuDeQiTaQingKuangShuoMing" label="是否适用：股份支付的其他情况说明" selectOptions="_buildInAppliance" controlType="CustomCheckbox" cRanges="{&quot;StartName&quot;:&quot;_GBC_b8be1a19715949cab94dc673580d61a2&quot;,&quot;EndName&quot;:&quot;_GBC_34f3c698919f47499e75e283dae3162c&quot;,&quot;CType&quot;:1,&quot;DisplayText&quot;:null}"/>
      <m:item xlName="_GBC_34f3c698919f47499e75e283dae3162c" concept="clcid-pte:GuFenZhiFuDeQiTaQingKuangShuoMing" label="股份支付的其他情况说明" appId="_GBC_b8be1a19715949cab94dc673580d61a2"/>
    </m:section>
    <m:item xlName="_GBC_3ee02d2bff5e4dd69f75cc6148bdda8f" concept="clcid-ci-ar:ShiFouShiYongZhongYaoChengNuoShiXiang" label="是否适用：重要承诺事项" selectOptions="_buildInAppliance" controlType="CustomCheckbox" cRanges="{&quot;StartName&quot;:&quot;_GBC_3ee02d2bff5e4dd69f75cc6148bdda8f&quot;,&quot;EndName&quot;:&quot;_GBC_bd716a4e356044ddb7c8207f0edef471&quot;,&quot;CType&quot;:1,&quot;DisplayText&quot;:null}"/>
    <m:section xlName="_GBC_bd716a4e356044ddb7c8207f0edef471" title="资产负债表日存在的重大承诺" helpId="112002263" helpText="注：与合营企业投资相关的未确认承诺索引至“附注九、在其他主体中的权益”部分相应内容。">
      <m:item xlName="_GBC_b0cd6a8a93e142e5926c06e28f794da3" concept="clcid-pte:ZiChanFuZhaiBiaoRiCunZaiDeZhongYaoChengNuo" label="资产负债表日存在的重要承诺" appId="_GBC_3ee02d2bff5e4dd69f75cc6148bdda8f"/>
    </m:section>
    <m:section xlName="_GBC_c667d796bd114ba58f4592903a5601f3" title="资产负债表日存在的或有事项" helpId="112002204" helpText="注：与合营企业或联营企业投资相关的或有负债索引至“附注九、在其他主体中的权益”部分相应内容。">
      <m:item xlName="_GBC_dea854a30b4642f6b78351afe6791c32" concept="clcid-ci-ar:ShiFouShiYongZiChanFuZhaiBiaoRiCunZaiDeZhongYaoHuoYouShiXiang" label="是否适用：资产负债表日存在的重要或有事项" selectOptions="_buildInAppliance" controlType="CustomCheckbox" cRanges="{&quot;StartName&quot;:&quot;_GBC_dea854a30b4642f6b78351afe6791c32&quot;,&quot;EndName&quot;:&quot;_GBC_9aacda4c45eb44bcb0d1f17e53741a1f&quot;,&quot;CType&quot;:1,&quot;DisplayText&quot;:null}"/>
      <m:item xlName="_GBC_9aacda4c45eb44bcb0d1f17e53741a1f" concept="clcid-pte:ZiChanFuZhaiBiaoRiCunZaiDeZhongYaoHuoYouShiXiang" label="资产负债表日存在的重要或有事项" appId="_GBC_dea854a30b4642f6b78351afe6791c32"/>
    </m:section>
    <m:section xlName="_GBC_428b07d001974f7390d8bb4142377be9" title="公司没有需要披露的或有事项，也应予以说明" helpId="112002206">
      <m:item xlName="_GBC_a0545390a9694adcaaee8509e290303c" concept="clcid-ci-ar:ShiFouShiYongGongSiMeiYouXuYaoPiLuDeZhongYaoHuoYouShiXiangYeYingYuYiShuoMing" label="是否适用：公司没有需要披露的重要或有事项，也应予以说明" selectOptions="_buildInAppliance" controlType="CustomCheckbox" cRanges="{&quot;StartName&quot;:&quot;_GBC_a0545390a9694adcaaee8509e290303c&quot;,&quot;EndName&quot;:&quot;_GBC_1e05c633c4cd4e74a64494260267ab03&quot;,&quot;CType&quot;:1,&quot;DisplayText&quot;:null}"/>
      <m:item xlName="_GBC_1e05c633c4cd4e74a64494260267ab03" concept="clcid-pte:GongSiMeiYouXuYaoPiLuDeHuoYouShiXiangDeZhongYaoShuoMing" label="公司没有需要披露的重要或有事项的说明" appId="_GBC_a0545390a9694adcaaee8509e290303c"/>
    </m:section>
    <m:section xlName="_GBC_7967de77d1eb4fa3968e072c7d0d24ca" title="承诺及或有事项的其他情况说明" helpId="112001166">
      <m:item xlName="_GBC_ff33b21a56eb4d3291f2b4875be5a2b2" concept="clcid-ci-ar:ShiFouShiYongChengNuoJiHuoYouShiXiangDeQiTaQingKuangShuoMing" label="是否适用：承诺及或有事项的其他情况说明" selectOptions="_buildInAppliance" controlType="CustomCheckbox" cRanges="{&quot;StartName&quot;:&quot;_GBC_ff33b21a56eb4d3291f2b4875be5a2b2&quot;,&quot;EndName&quot;:&quot;_GBC_e0f8ccd14cf74ea9a31e64a057404173&quot;,&quot;CType&quot;:1,&quot;DisplayText&quot;:null}"/>
      <m:item xlName="_GBC_e0f8ccd14cf74ea9a31e64a057404173" concept="clcid-pte:ChengNuoJiHuoYouShiXiangDeQiTaQingKuangShuoMing" label="承诺及或有事项的其他情况说明" appId="_GBC_ff33b21a56eb4d3291f2b4875be5a2b2"/>
    </m:section>
    <m:section xlName="_GBC_5d1bcf8f61b9443ba6ffa54897c724fc" title="重要的非调整事项" helpId="112001176">
      <m:item xlName="_GBC_ab366a8fb12748d6aa2a8401b360857c" concept="clcid-ci-ar:ShiFouShiYongZhongYaoDeFeiDiaoZhengShiXiang" label="是否适用：重要的非调整事项" selectOptions="_buildInAppliance" controlType="CustomCheckbox" cRanges="{&quot;StartName&quot;:&quot;_GBC_ab366a8fb12748d6aa2a8401b360857c&quot;,&quot;EndName&quot;:&quot;_GBC_f7c7aec8ea2e41ab87c3f716d3c2bd74&quot;,&quot;CType&quot;:1,&quot;DisplayText&quot;:null}"/>
      <m:item xlName="_GBC_0f7699e14e674e3caaeea9641b053f7f" concept="clcid-ci-ar:DanWeiCaiWuFuZhuZhongYaoDeZiChanFuZhaiBiaoRiHouShiXiangShuoMing" label="单位：财务附注：重要的资产负债表日后事项说明" selectOptions="_buildInScales" controlType="Combobox" cellType="Scale" appId="_GBC_ab366a8fb12748d6aa2a8401b360857c"/>
      <m:item xlName="_GBC_8f41a55758654959b3e9fe18b99d7d6a" concept="clcid-ci-ar:BiZhongCaiWuFuZhuZhongYaoDeZiChanFuZhaiBiaoRiHouShiXiangShuoMing" label="币种：财务附注：重要的资产负债表日后事项说明" selectOptions="_buildInISO4217" controlType="Combobox" cellType="Measure" appId="_GBC_ab366a8fb12748d6aa2a8401b360857c"/>
      <m:placeholder xlName="_PLD_f8f55b749df34e64ad7b8656792e2d0e" addr="T0R0C0S1_1"/>
      <m:placeholder xlName="_PLD_9c9575d09dbd455d90d734c97accfab0" addr="T0R0C1S1_1"/>
      <m:placeholder xlName="_PLD_a32cee7e07294bd0a92bd3e02ac7e912" addr="T0R0C2S1_1"/>
      <m:placeholder xlName="_PLD_641fb19dcfd34516b2e8a85a6729b621" addr="T0R0C3S1_1"/>
      <m:placeholder xlName="_PLD_720339c426c64a3cb7aaedb5ddf6ff92" addr="T0R1C0S1_1"/>
      <m:item xlName="_GBC_1aa1a143667f4c799fd09a7d8e4ec729" concept="clcid-pte:GuPiaoHeZhaiQuanDeFaXingNeiRong" label="股票和债券的发行内容" addr="T0R1C1S1_1" appId="_GBC_ab366a8fb12748d6aa2a8401b360857c"/>
      <m:item xlName="_GBC_d6b8c545e0f94307840e35bead9d2b0e" concept="clcid-pte:GuPiaoHeZhaiQuanDeFaXingDuiCaiWuZhuangKuangHeJingYingChengGuoDeYingXiangShu" label="股票和债券的发行对财务状况和经营成果的影响数" mulRef="_GBC_0f7699e14e674e3caaeea9641b053f7f" unitRef="_GBC_8f41a55758654959b3e9fe18b99d7d6a" addr="T0R1C2S1_1" formatStyle="Comma" appId="_GBC_ab366a8fb12748d6aa2a8401b360857c"/>
      <m:item xlName="_GBC_0ca8dfb923ad4908a630718d07a91c0d" concept="clcid-pte:GuPiaoHeZhaiQuanDeFaXingWuFaGuJiYingXiangShuDeYuanYin" label="股票和债券的发行无法估计影响数的原因" addr="T0R1C3S1_1" appId="_GBC_ab366a8fb12748d6aa2a8401b360857c"/>
      <m:placeholder xlName="_PLD_d76817bdb0014840ad23d35ea75d9657" addr="T0R2C0S1_1"/>
      <m:item xlName="_GBC_93c67ec621e6451aaefb9489de865715" concept="clcid-pte:DuiWaiZhongYaoTouZiNeiRong" label="对外重要投资内容" addr="T0R2C1S1_1" appId="_GBC_ab366a8fb12748d6aa2a8401b360857c"/>
      <m:item xlName="_GBC_f0f37ceaf0ee4cefa43ab0a1534f10f9" concept="clcid-pte:DuiWaiZhongYaoTouZiDuiCaiWuZhuangKuangHeJingYingChengGuoDeYingXiangShu" label="对外重要投资对财务状况和经营成果的影响数" mulRef="_GBC_0f7699e14e674e3caaeea9641b053f7f" unitRef="_GBC_8f41a55758654959b3e9fe18b99d7d6a" addr="T0R2C2S1_1" formatStyle="Comma" appId="_GBC_ab366a8fb12748d6aa2a8401b360857c"/>
      <m:item xlName="_GBC_8afb8dbe6d68486b87d3ae5f6604b16e" concept="clcid-pte:DuiWaiZhongYaoTouZiWuFaGuJiYingXiangShuDeYuanYin" label="对外重要投资无法估计影响数的原因" addr="T0R2C3S1_1" appId="_GBC_ab366a8fb12748d6aa2a8401b360857c"/>
      <m:placeholder xlName="_PLD_4d528a9635e34f5080e9430e77072ae2" addr="T0R3C0S1_1"/>
      <m:item xlName="_GBC_060b6ce875244b2280098569394c361f" concept="clcid-pte:ZhongYaoDeZhaiWuZhongZuNeiRong" label="重要的债务重组内容" addr="T0R3C1S1_1" appId="_GBC_ab366a8fb12748d6aa2a8401b360857c"/>
      <m:item xlName="_GBC_76c8ae19b7034522aee2a1faaff16212" concept="clcid-pte:ZhongYaoDeZhaiWuZhongZuDuiCaiWuZhuangKuangHeJingYingChengGuoDeYingXiangShu" label="重要的债务重组对财务状况和经营成果的影响数" mulRef="_GBC_0f7699e14e674e3caaeea9641b053f7f" unitRef="_GBC_8f41a55758654959b3e9fe18b99d7d6a" addr="T0R3C2S1_1" formatStyle="Comma" appId="_GBC_ab366a8fb12748d6aa2a8401b360857c"/>
      <m:item xlName="_GBC_9bd4ba7ce62c47a9917cb191435efe0a" concept="clcid-pte:ZhongYaoDeZhaiWuZhongZuWuFaGuJiYingXiangShuDeYuanYin" label="重要的债务重组无法估计影响数的原因" addr="T0R3C3S1_1" appId="_GBC_ab366a8fb12748d6aa2a8401b360857c"/>
      <m:placeholder xlName="_PLD_45b6b03a0cf546fd94d12eb858372a88" addr="T0R4C0S1_1"/>
      <m:item xlName="_GBC_625bf2ad92e34f31b7af09e6c57af748" concept="clcid-pte:ZiRanZaiHaiNeiRong" label="自然灾害内容" addr="T0R4C1S1_1" appId="_GBC_ab366a8fb12748d6aa2a8401b360857c"/>
      <m:item xlName="_GBC_b647ba7f0df4440dac5c14ce1fe7b878" concept="clcid-pte:ZiRanZaiHaiDuiCaiWuZhuangKuangHeJingYingChengGuoDeYingXiangShu" label="自然灾害对财务状况和经营成果的影响数" mulRef="_GBC_0f7699e14e674e3caaeea9641b053f7f" unitRef="_GBC_8f41a55758654959b3e9fe18b99d7d6a" addr="T0R4C2S1_1" formatStyle="Comma" appId="_GBC_ab366a8fb12748d6aa2a8401b360857c"/>
      <m:item xlName="_GBC_1daa712dff1a42388fab25441791d54a" concept="clcid-pte:ZiRanZaiHaiWuFaGuJiYingXiangShuDeYuanYin" label="自然灾害无法估计影响数的原因" addr="T0R4C3S1_1" appId="_GBC_ab366a8fb12748d6aa2a8401b360857c"/>
      <m:placeholder xlName="_PLD_fb9782ce816349babfd878a283b50046" addr="T0R5C0S1_1"/>
      <m:item xlName="_GBC_328c7d36b3964bbe93ec1f1330df7381" concept="clcid-pte:WaiHuiHuiLvZhongYaoBianDongNeiRong" label="外汇汇率重要变动内容" addr="T0R5C1S1_1" appId="_GBC_ab366a8fb12748d6aa2a8401b360857c"/>
      <m:item xlName="_GBC_95c060cea53144518104dd7c2d802f28" concept="clcid-pte:WaiHuiHuiLvZhongYaoBianDongDuiCaiWuZhuangKuangHeJingYingChengGuoDeYingXiangShu" label="外汇汇率重要变动对财务状况和经营成果的影响数" mulRef="_GBC_0f7699e14e674e3caaeea9641b053f7f" unitRef="_GBC_8f41a55758654959b3e9fe18b99d7d6a" addr="T0R5C2S1_1" formatStyle="Comma" appId="_GBC_ab366a8fb12748d6aa2a8401b360857c"/>
      <m:item xlName="_GBC_c1d3d2a9374f49f6b51ca0b4c1f243d9" concept="clcid-pte:WaiHuiHuiLvZhongYaoBianDongWuFaGuJiYingXiangShuDeYuanYin" label="外汇汇率重要变动无法估计影响数的原因" addr="T0R5C3S1_1" appId="_GBC_ab366a8fb12748d6aa2a8401b360857c"/>
      <m:tuple xlName="_GBC_2df4e3da32d94f93b0f58c9459053c18" concept="clcid-pte:ZhongYaoDeZiChanFuZhaiBiaoRiHouShiXiangMingXi" default_row="2" addr="T0R6C">
        <m:item xlName="_GBC_f7c7aec8ea2e41ab87c3f716d3c2bd74" concept="clcid-pte:ZhongYaoDeZiChanFuZhaiBiaoRiHouShiXiangMingXiXiangMu" label="重要的资产负债表日后事项明细-项目" addr="T0R6C0S1_1" appId="_GBC_ab366a8fb12748d6aa2a8401b360857c"/>
        <m:item xlName="_GBC_1166990fb437445285e880a581795dfa" concept="clcid-pte:ZhongYaoDeZiChanFuZhaiBiaoRiHouShiXiangMingXiNeiRong" label="重要的资产负债表日后事项明细-内容" addr="T0R6C1S1_1" appId="_GBC_ab366a8fb12748d6aa2a8401b360857c"/>
        <m:item xlName="_GBC_dba2a8358e864529a46eb3dd9705072f" concept="clcid-pte:ZhongYaoDeZiChanFuZhaiBiaoRiHouShiXiangMingXiYingXiangShu" label="重要的资产负债表日后事项明细-影响数" mulRef="_GBC_0f7699e14e674e3caaeea9641b053f7f" unitRef="_GBC_8f41a55758654959b3e9fe18b99d7d6a" addr="T0R6C2S1_1" formatStyle="Comma" appId="_GBC_ab366a8fb12748d6aa2a8401b360857c"/>
        <m:item xlName="_GBC_1725c95842d644f4b0da0a406a43231a" concept="clcid-pte:ZhongYaoDeZiChanFuZhaiBiaoRiHouShiXiangMingXiWuFaGuJiYingXiangShuDeYuanYin" label="重要的资产负债表日后事项明细-无法估计影响数的原因" addr="T0R6C3S1_1" appId="_GBC_ab366a8fb12748d6aa2a8401b360857c"/>
      </m:tuple>
    </m:section>
    <m:section xlName="_GBC_0fa3d44599d34674894cec144baccd50" title="资产负债表日后利润分配情况说明" convertSummaryRule="NoConvert" helpId="112001177">
      <m:item xlName="_GBC_a2ea8cd0604f474db0e7e62eb7fc0435" concept="clcid-ci-ar:ShiFouShiYongLiRunFenPeiQingKuang" label="是否适用：利润分配情况" selectOptions="_buildInAppliance" controlType="CustomCheckbox" cRanges="{&quot;StartName&quot;:&quot;_GBC_a2ea8cd0604f474db0e7e62eb7fc0435&quot;,&quot;EndName&quot;:&quot;_GBC_aef887f57e264fb99cad3a01d98b8409&quot;,&quot;CType&quot;:1,&quot;DisplayText&quot;:null}"/>
      <m:item xlName="_GBC_2cd50742f31e450d918c4d757ac95355" concept="clcid-ci-ar:DanWeiCaiWuFuZhuZiChanFuZhaiBiaoRiHouLiRunFenPeiQingKuangShuoMing" label="单位：财务附注：资产负债表日后利润分配情况说明" selectOptions="_buildInScales" controlType="Combobox" cellType="Scale" appId="_GBC_a2ea8cd0604f474db0e7e62eb7fc0435"/>
      <m:item xlName="_GBC_3cd32df399a942d9a0192661fd8c3923" concept="clcid-ci-ar:BiZhongCaiWuFuZhuZiChanFuZhaiBiaoRiHouLiRunFenPeiQingKuangShuoMing" label="币种：财务附注：资产负债表日后利润分配情况说明" selectOptions="_buildInISO4217" controlType="Combobox" cellType="Measure" appId="_GBC_a2ea8cd0604f474db0e7e62eb7fc0435"/>
      <m:placeholder xlName="_PLD_f4a775ccd0d34abaa265b70cdda01da4" addr="T0R0C0S1_1"/>
      <m:item xlName="_GBC_0673339193f94043bd739ad6bed78c34" concept="clcid-pte:ZiChanFuZhaiBiaoRiHouNiFenPeiDeLiRunHuoGuLi" label="资产负债表日后拟分配的利润或股利" mulRef="_GBC_2cd50742f31e450d918c4d757ac95355" unitRef="_GBC_3cd32df399a942d9a0192661fd8c3923" addr="T0R0C1S1_1" tagAction="1" formatStyle="Comma" appId="_GBC_a2ea8cd0604f474db0e7e62eb7fc0435"/>
      <m:placeholder xlName="_PLD_67f6844582964688a629c2072b6188b4" addr="T0R1C0S1_1"/>
      <m:item xlName="_GBC_aef887f57e264fb99cad3a01d98b8409" concept="clcid-pte:ZiChanFuZhaiBiaoRiHouJingShenYiPiZhunXuanGaoFaFangDeLiRunHuoGuLi" label="资产负债表日后经审议批准宣告发放的利润或股利" mulRef="_GBC_2cd50742f31e450d918c4d757ac95355" unitRef="_GBC_3cd32df399a942d9a0192661fd8c3923" addr="T0R1C1S1_1" formatStyle="Comma" appId="_GBC_a2ea8cd0604f474db0e7e62eb7fc0435"/>
    </m:section>
    <m:section xlName="_GBC_189c429afb95427192d478a4da4061cd" title="资产负债表日后事项-销售退回说明" helpId="112001178" helpText="注：说明在资产负债表日后发生重要销售退回的相关情况及对报表的影响。">
      <m:item xlName="_GBC_4175c0e820fa43cd98dd2d05c0dea8a8" concept="clcid-ci-ar:ShiFouShiYongXiaoShouTuiHui" label="是否适用：销售退回" selectOptions="_buildInAppliance" controlType="CustomCheckbox" cRanges="{&quot;StartName&quot;:&quot;_GBC_4175c0e820fa43cd98dd2d05c0dea8a8&quot;,&quot;EndName&quot;:&quot;_GBC_5f6b7d2df4d849858c289cf7a2ab110a&quot;,&quot;CType&quot;:1,&quot;DisplayText&quot;:null}"/>
      <m:item xlName="_GBC_5f6b7d2df4d849858c289cf7a2ab110a" concept="clcid-pte:ZiChanFuZhaiBiaoRiHouShiXiangXiaoShouTuiHuiShuoMing" label="资产负债表日后事项-销售退回说明" appId="_GBC_4175c0e820fa43cd98dd2d05c0dea8a8"/>
    </m:section>
    <m:section xlName="_GBC_90d185c72bfe452398767dd3a98447a5" title="其他资产负债表日后事项说明" helpId="112001166">
      <m:item xlName="_GBC_3da0e7092a0048ed9e147e2e860785f5" concept="clcid-ci-ar:ShiFouShiYongQiTaZiChanFuZhaiBiaoRiHouShiXiangShuoMing" label="是否适用：其他资产负债表日后事项说明" selectOptions="_buildInAppliance" controlType="CustomCheckbox" cRanges="{&quot;StartName&quot;:&quot;_GBC_3da0e7092a0048ed9e147e2e860785f5&quot;,&quot;EndName&quot;:&quot;_GBC_b095fb5e765c447f82bb8e8b5a26cbea&quot;,&quot;CType&quot;:1,&quot;DisplayText&quot;:null}"/>
      <m:item xlName="_GBC_b095fb5e765c447f82bb8e8b5a26cbea" concept="clcid-pte:ZiChanFuZhaiBiaoRiHouShiXiangDeShuoMing" label="资产负债表日后事项的说明" appId="_GBC_3da0e7092a0048ed9e147e2e860785f5"/>
    </m:section>
    <m:section xlName="_GBC_cb1f61a36a2a43b0ad30697c25cce450" title="会计差错更正(追溯重述)" convertSummaryRule="ConvertDefinedText" convertText="无" helpId="112001180">
      <m:item xlName="_GBC_9d59987ec8f64e568cc0874cd76bb5ce" concept="clcid-ci-ar:ShiFouShiYongZhuiSuZhongShuFa" label="是否适用：追溯重述法" selectOptions="_buildInAppliance" controlType="CustomCheckbox" cRanges="{&quot;StartName&quot;:&quot;_GBC_9d59987ec8f64e568cc0874cd76bb5ce&quot;,&quot;EndName&quot;:&quot;_GBC_b7e2835909724ba6a6f2c5e7ccd35b64&quot;,&quot;CType&quot;:1,&quot;DisplayText&quot;:null}"/>
      <m:item xlName="_GBC_84fd89476c3a407293b5371f9035921d" concept="clcid-ci-ar:DanWeiZhuiSuZhongShuFa" label="单位：追溯重述法" selectOptions="_buildInScales" controlType="Combobox" cellType="Scale" appId="_GBC_9d59987ec8f64e568cc0874cd76bb5ce"/>
      <m:item xlName="_GBC_3f9edf319b694da7b5b1bedc882fd801" concept="clcid-ci-ar:BiZhongZhuiSuZhongShuFa" label="币种：追溯重述法" selectOptions="_buildInISO4217" controlType="Combobox" cellType="Measure" appId="_GBC_9d59987ec8f64e568cc0874cd76bb5ce"/>
      <m:placeholder xlName="_PLD_31146369dcf94f72979c81c992854388" addr="T0R0C0S1_1"/>
      <m:placeholder xlName="_PLD_706236a8120c44d49f91877bfbe0ab29" addr="T0R0C1S1_1"/>
      <m:placeholder xlName="_PLD_565b268456c34ee8bc13971f5f323e5c" addr="T0R0C2S1_1"/>
      <m:placeholder xlName="_PLD_a2dc5195f6c3463697c4b284dbfa7d46" addr="T0R0C3S1_1"/>
      <m:tuple xlName="_GBC_018b7b7571454bd080ac4e6d0741eb43" concept="clcid-pte:CaiYongZhuiSuZhongShuFaDeQianQiKuaiJiChaCuoMingXi" default_row="2" addr="T0R1C">
        <m:item xlName="_GBC_f809a5572ce14a8fa47d734075cbb1ff" concept="clcid-pte:CaiYongZhuiSuZhongShuFaDeQianQiKuaiJiChaCuoMingXiKuaiJiChaCuoGengZhengDeNeiRong" label="采用追溯重述法的前期会计差错明细-会计差错更正的内容" addr="T0R1C0S1_1" appId="_GBC_9d59987ec8f64e568cc0874cd76bb5ce"/>
        <m:item xlName="_GBC_8a4a954f67cb48e3a4c34c6c57974dc1" concept="clcid-pte:CaiYongZhuiSuZhongShuFaDeQianQiKuaiJiChaCuoMingXiChuLiChengXu" label="采用追溯重述法的前期会计差错明细-处理程序" addr="T0R1C1S1_1" appId="_GBC_9d59987ec8f64e568cc0874cd76bb5ce"/>
        <m:item xlName="_GBC_b06ee9bfca104723ae5278cedb4cf46b" concept="clcid-pte:CaiYongZhuiSuZhongShuFaDeQianQiKuaiJiChaCuoMingXiShouYingXiangDeGeGeBiJiaoQiJianBaoBiaoXiangMuMingCheng" label="采用追溯重述法的前期会计差错明细-受影响的各个比较期间报表项目名称" addr="T0R1C2S1_1" appId="_GBC_9d59987ec8f64e568cc0874cd76bb5ce"/>
        <m:item xlName="_GBC_b7e2835909724ba6a6f2c5e7ccd35b64" concept="clcid-pte:CaiYongZhuiSuZhongShuFaDeQianQiKuaiJiChaCuoMingXiLeiJiYingXiangShu" label="采用追溯重述法的前期会计差错明细-累积影响数" mulRef="_GBC_84fd89476c3a407293b5371f9035921d" unitRef="_GBC_3f9edf319b694da7b5b1bedc882fd801" addr="T0R1C3S1_1" formatStyle="Comma" appId="_GBC_9d59987ec8f64e568cc0874cd76bb5ce"/>
      </m:tuple>
    </m:section>
    <m:section xlName="_GBC_6bd40de18d9047e48f182803eefc5581" title="未来适用法本报告期是否发现采用未来适用法的前期会计差错：（..." helpId="112001180">
      <m:item xlName="_GBC_add0977272ee43e7938e3e96c6aaa92d" concept="clcid-ci-ar:ShiFouShiYongWeiLaiShiYongFa" label="是否适用：未来适用法" selectOptions="_buildInAppliance" controlType="CustomCheckbox" cRanges="{&quot;StartName&quot;:&quot;_GBC_add0977272ee43e7938e3e96c6aaa92d&quot;,&quot;EndName&quot;:&quot;_GBC_797a4efcc51d44e494efa34585fc9145&quot;,&quot;CType&quot;:1,&quot;DisplayText&quot;:null}"/>
      <m:placeholder xlName="_PLD_6ea225742a6b45f5832b3f31ede26368" addr="T0R0C0S1_1"/>
      <m:placeholder xlName="_PLD_460ec73671234128855a8c2d087af470" addr="T0R0C1S1_1"/>
      <m:placeholder xlName="_PLD_566577f19f9949508cdaebf6f382028f" addr="T0R0C2S1_1"/>
      <m:tuple xlName="_GBC_83b96713e4ac485babfe370f5353b39c" concept="clcid-pte:CaiYongWeiLaiShiYongFaDeQianQiKuaiJiChaCuoMingXi" default_row="2" addr="T0R1C">
        <m:item xlName="_GBC_073af39d74f942be96c3f039013c22d4" concept="clcid-pte:CaiYongWeiLaiShiYongFaDeQianQiKuaiJiChaCuoMingXiKuaiJiChaCuoGengZhengDeNeiRong" label="采用未来适用法的前期会计差错明细-会计差错更正的内容" addr="T0R1C0S1_1" appId="_GBC_add0977272ee43e7938e3e96c6aaa92d"/>
        <m:item xlName="_GBC_bba0520631b449a7959eca749a911007" concept="clcid-pte:CaiYongWeiLaiShiYongFaDeQianQiKuaiJiChaCuoMingXiPiZhunChengXu" label="采用未来适用法的前期会计差错明细-批准程序" addr="T0R1C1S1_1" appId="_GBC_add0977272ee43e7938e3e96c6aaa92d"/>
        <m:item xlName="_GBC_797a4efcc51d44e494efa34585fc9145" concept="clcid-pte:CaiYongWeiLaiShiYongFaDeQianQiKuaiJiChaCuoMingXiCaiYongWeiLaiShiYongFaDeYuanYin" label="采用未来适用法的前期会计差错明细-采用未来适用法的原因" addr="T0R1C2S1_1" appId="_GBC_add0977272ee43e7938e3e96c6aaa92d"/>
      </m:tuple>
    </m:section>
    <m:section xlName="_GBC_998fd0c3432a41e5b98f1c74ffeda751" title="债务重组" convertSummaryRule="NoConvert" helpId="112001181" helpText="注：说明重要债务重组的详细情况，包括债重组方式、债务重组利得（或损失）金额总额、债务转为资本导致的股本增加额（或债权转为股份导致的投资增加额及该投资占债务人股份总额的比例）、或有应付（或有应收）金额、债务重组中公允价值的确定方法及依据。">
      <m:item xlName="_GBC_a39e02df9c5d42f2bd7e116f823b8615" concept="clcid-ci-ar:ShiFouShiYongZhaiWuZhongZu" label="是否适用：债务重组" selectOptions="_buildInAppliance" controlType="CustomCheckbox" cRanges="{&quot;StartName&quot;:&quot;_GBC_a39e02df9c5d42f2bd7e116f823b8615&quot;,&quot;EndName&quot;:&quot;_GBC_5dff1aea5b6c49fd915a9c4eb1714bb6&quot;,&quot;CType&quot;:1,&quot;DisplayText&quot;:null}"/>
      <m:item xlName="_GBC_5dff1aea5b6c49fd915a9c4eb1714bb6" concept="clcid-pte:ZhaiWuZhongZu" label="债务重组" appId="_GBC_a39e02df9c5d42f2bd7e116f823b8615"/>
    </m:section>
    <m:section xlName="_GBC_c8e7bc701c4e40cea43130c65dd24cdf" title="非货币性资产交换" convertSummaryRule="NoConvert" helpId="112001183" helpText="注：非货币性资产交换应披露换入资产的类别、成本确定方式和公允价值，换出资产的类别、账面价值和公允价值，以及非货币性资产交换确认的损益。">
      <m:item xlName="_GBC_1e8378570c9a4db08ad001118944af2e" concept="clcid-ci-ar:ShiFouShiYongFeiHuoBiXingZiChanJiaoHuan" label="是否适用：非货币性资产交换" selectOptions="_buildInAppliance" controlType="CustomCheckbox" cRanges="{&quot;StartName&quot;:&quot;_GBC_1e8378570c9a4db08ad001118944af2e&quot;,&quot;EndName&quot;:&quot;_GBC_b7df2b797795465e8d3c4b856455e219&quot;,&quot;CType&quot;:1,&quot;DisplayText&quot;:null}"/>
      <m:item xlName="_GBC_b7df2b797795465e8d3c4b856455e219" concept="clcid-pte:FeiHuoBiXingZiChanJiaoHuan" label="非货币性资产交换" appId="_GBC_1e8378570c9a4db08ad001118944af2e"/>
    </m:section>
    <m:section xlName="_GBC_a7d8a797c78a4fb398d42fc923a0a5dc" title="其他资产置换资产说明" helpId="112001183" helpText="注：说明重要资产置换、转让及出售的情况，包括资产账面价值、转让金额、对财务状况与经营成果的影响、转让原因等。">
      <m:item xlName="_GBC_e20be5fc12b94f43a4090c14cc3aec63" concept="clcid-ci-ar:ShiFouShiYongQiTaZiChanZhiHuan" label="是否适用：其他资产置换" selectOptions="_buildInAppliance" controlType="CustomCheckbox" cRanges="{&quot;StartName&quot;:&quot;_GBC_e20be5fc12b94f43a4090c14cc3aec63&quot;,&quot;EndName&quot;:&quot;_GBC_ee3d4fc5f1d14a008a48cc77e7773a70&quot;,&quot;CType&quot;:1,&quot;DisplayText&quot;:null}"/>
      <m:item xlName="_GBC_ee3d4fc5f1d14a008a48cc77e7773a70" concept="clcid-pte:QiTaZiChanZhiHuanZiChanDeShuoMing" label="其他资产置换资产的说明" appId="_GBC_e20be5fc12b94f43a4090c14cc3aec63"/>
    </m:section>
    <m:section xlName="_GBC_868ef73c1ce14e36a7c8c41a6c9d1268" title="年金计划主要内容及重大变化" convertSummaryRule="NoConvert" helpId="112001185" helpText="注：说明年金计划的主要内容及重要变化。">
      <m:item xlName="_GBC_f69a163f78f74a54a6443aaa7388f0dd" concept="clcid-ci-ar:ShiFouShiYongNianJinJiHua" label="是否适用：年金计划" selectOptions="_buildInAppliance" controlType="CustomCheckbox" cRanges="{&quot;StartName&quot;:&quot;_GBC_f69a163f78f74a54a6443aaa7388f0dd&quot;,&quot;EndName&quot;:&quot;_GBC_4896cf8afc8a41c4aa0548113ded491e&quot;,&quot;CType&quot;:1,&quot;DisplayText&quot;:null}"/>
      <m:item xlName="_GBC_4896cf8afc8a41c4aa0548113ded491e" concept="clcid-pte:GongSiNianJinJiHuaDeShuoMing" label="公司年金计划的说明" appId="_GBC_f69a163f78f74a54a6443aaa7388f0dd"/>
    </m:section>
    <m:section xlName="_GBC_eb9f713a39454ce1a2b0b09086ca70cc" title="终止经营" convertSummaryRule="NoConvert" helpId="112001187">
      <m:item xlName="_GBC_8e88002e405543f593111633f63e4d8b" concept="clcid-ci-ar:ShiFouShiYongZhongZhiJingYing" label="是否适用：终止经营" selectOptions="_buildInAppliance" controlType="CustomCheckbox" cRanges="{&quot;StartName&quot;:&quot;_GBC_8e88002e405543f593111633f63e4d8b&quot;,&quot;EndName&quot;:&quot;_GBC_be459227e51b461d9a247ed15aa34779&quot;,&quot;CType&quot;:1,&quot;DisplayText&quot;:null}"/>
      <m:item xlName="_GBC_cb731ef6d91e47b99c7cdf5a6c8f9143" concept="clcid-ci-ar:DanWeiCaiWuFuZhuZhongZhiJingYing" label="单位：财务附注：终止经营" selectOptions="_buildInScales" controlType="Combobox" cellType="Scale" appId="_GBC_8e88002e405543f593111633f63e4d8b"/>
      <m:item xlName="_GBC_66508253491842418e3b00ba5fe035f8" concept="clcid-ci-ar:BiZhongCaiWuFuZhuZhongZhiJingYing" label="币种：财务附注：终止经营" selectOptions="_buildInISO4217" controlType="Combobox" cellType="Measure" appId="_GBC_8e88002e405543f593111633f63e4d8b"/>
      <m:placeholder xlName="_PLD_f5a1f57108b14ba090806185928f4618" addr="T0R0C0S1_1"/>
      <m:placeholder xlName="_PLD_261bbaec1d6544b0848dc9eb7d0d639d" addr="T0R0C1S1_1"/>
      <m:placeholder xlName="_PLD_30dd812de5fd42a48a1afdb27818f569" addr="T0R0C2S1_1"/>
      <m:placeholder xlName="_PLD_dc4a36c3f03b4a11ad58fe508b7ca274" addr="T0R0C3S1_1"/>
      <m:placeholder xlName="_PLD_0f963e1539eb400da4e96effd9730f42" addr="T0R0C4S1_1"/>
      <m:placeholder xlName="_PLD_08aa8edcca3d446e9d09355326f320d8" addr="T0R0C5S1_1"/>
      <m:placeholder xlName="_PLD_b6c88fdabef34a3ab89676c8a3e3f153" addr="T0R0C6S1_1"/>
      <m:tuple xlName="_GBC_79870db98e0d47c19dcf08ff9f5079ba" concept="clcid-pte:ZhongZhiJingYingMingXi" default_row="2" addr="T0R1C">
        <m:item xlName="_GBC_fdde581b0aa441fc88184c5f8578cba8" concept="clcid-pte:ZhongZhiJingYingMingXiXiangMuMingCheng" label="终止经营明细-项目名称" addr="T0R1C0S1_1" appId="_GBC_8e88002e405543f593111633f63e4d8b"/>
        <m:item xlName="_GBC_ab8b3fd2647041e294fb396ebb313c7a" concept="clcid-pte:ZhongZhiJingYingMingXiShouRu" label="终止经营明细-收入" mulRef="_GBC_cb731ef6d91e47b99c7cdf5a6c8f9143" unitRef="_GBC_66508253491842418e3b00ba5fe035f8" addr="T0R1C1S1_1" formatStyle="Comma" appId="_GBC_8e88002e405543f593111633f63e4d8b"/>
        <m:item xlName="_GBC_516776cf06974e39bfd39e27c810a88d" concept="clcid-pte:ZhongZhiJingYingMingXiFeiYong" label="终止经营明细-费用" mulRef="_GBC_cb731ef6d91e47b99c7cdf5a6c8f9143" unitRef="_GBC_66508253491842418e3b00ba5fe035f8" addr="T0R1C2S1_1" formatStyle="Comma" appId="_GBC_8e88002e405543f593111633f63e4d8b"/>
        <m:item xlName="_GBC_839314b1f2364f2da229f44ef16c4962" concept="clcid-pte:ZhongZhiJingYingMingXiLiRunZongE" label="终止经营明细-利润总额" mulRef="_GBC_cb731ef6d91e47b99c7cdf5a6c8f9143" unitRef="_GBC_66508253491842418e3b00ba5fe035f8" addr="T0R1C3S1_1" formatStyle="Comma" appId="_GBC_8e88002e405543f593111633f63e4d8b"/>
        <m:item xlName="_GBC_f111483b26424519ab4c78719d1626fa" concept="clcid-pte:ZhongZhiJingYingMingXiSuoDeShuiFeiYong" label="终止经营明细-所得税费用" mulRef="_GBC_cb731ef6d91e47b99c7cdf5a6c8f9143" unitRef="_GBC_66508253491842418e3b00ba5fe035f8" addr="T0R1C4S1_1" formatStyle="Comma" appId="_GBC_8e88002e405543f593111633f63e4d8b"/>
        <m:item xlName="_GBC_49fb0d29f71f4544a03eca346b9c350d" concept="clcid-pte:ZhongZhiJingYingMingXiJingLiRun" label="终止经营明细-净利润" mulRef="_GBC_cb731ef6d91e47b99c7cdf5a6c8f9143" unitRef="_GBC_66508253491842418e3b00ba5fe035f8" addr="T0R1C5S1_1" formatStyle="Comma" appId="_GBC_8e88002e405543f593111633f63e4d8b"/>
        <m:item xlName="_GBC_c97c52bfcf224e1bb21840e640c16f82" concept="clcid-pte:ZhongZhiJingYingMingXiGuiShuYuMuGongSiSuoYouZheDeZhongZhiJingYingLiRun" label="终止经营明细-归属于母公司所有者的终止经营利润" mulRef="_GBC_cb731ef6d91e47b99c7cdf5a6c8f9143" unitRef="_GBC_66508253491842418e3b00ba5fe035f8" addr="T0R1C6S1_1" formatStyle="Comma" appId="_GBC_8e88002e405543f593111633f63e4d8b"/>
      </m:tuple>
      <m:item xlName="_GBC_be459227e51b461d9a247ed15aa34779" concept="clcid-pte:ZhongZhiJingYingDeQiTaShuoMing" label="终止经营的其他说明" appId="_GBC_8e88002e405543f593111633f63e4d8b"/>
    </m:section>
    <m:section xlName="_GBC_a659f5b3817d4a3394d1850cd82bbbab" title="分部信息报告分部的确定依据与会计政策" rules="R2015_R11_033" helpId="112001188">
      <m:item xlName="_GBC_3684a11ce06644529eba619783a75583" concept="clcid-ci-ar:ShiFouShiYongBaoGaoFenBuDeQueDingYiJuYuHuiJiZhengCe" label="是否适用：报告分部的确定依据与会计政策" selectOptions="_buildInAppliance" controlType="CustomCheckbox" cRanges="{&quot;StartName&quot;:&quot;_GBC_3684a11ce06644529eba619783a75583&quot;,&quot;EndName&quot;:&quot;_GBC_025e15951a494fa2845d296cf8db1fdb&quot;,&quot;CType&quot;:1,&quot;DisplayText&quot;:null}"/>
      <m:item xlName="_GBC_025e15951a494fa2845d296cf8db1fdb" concept="clcid-pte:BaoGaoFenBuDeQueDingYiJuYuKuaiJiZhengCe" label="报告分部的确定依据与会计政策" appId="_GBC_3684a11ce06644529eba619783a75583"/>
    </m:section>
    <m:section xlName="_GBC_7bcfc6b35dea4597b05ae9db882c542b" title="报告分部的财务信息" rules="R2015_R11_033" helpId="112001188" helpText="注：报告分部的财务信息应结合公司具体情况披露，包括主营业务收入、主营业务成本等信息。">
      <m:item xlName="_GBC_25e6ee3686524d959ae273bb5aaa9cfb" concept="clcid-ci-ar:ShiFouShiYongBaoGaoFenBuDeCaiWuXinXi" label="是否适用：报告分部的财务信息" selectOptions="_buildInAppliance" controlType="CustomCheckbox" cRanges="{&quot;StartName&quot;:&quot;_GBC_25e6ee3686524d959ae273bb5aaa9cfb&quot;,&quot;EndName&quot;:&quot;_GBC_7abf22de2222480690e5ba99c4cd8156&quot;,&quot;CType&quot;:1,&quot;DisplayText&quot;:null}"/>
      <m:item xlName="_GBC_bed196c2a65649e69e8eda77c9168933" concept="clcid-ci-ar:DanWeiCaiWuFuZhuBaoGaoFenBuDeCaiWuXinXi" label="单位：财务附注：报告分部的财务信息" selectOptions="_buildInScales" controlType="Combobox" cellType="Scale" appId="_GBC_25e6ee3686524d959ae273bb5aaa9cfb"/>
      <m:item xlName="_GBC_22cbe62652b3461e90f84a6c3cef03c1" concept="clcid-ci-ar:BiZhongCaiWuFuZhuBaoGaoFenBuDeCaiWuXinXi" label="币种：财务附注：报告分部的财务信息" selectOptions="_buildInISO4217" controlType="Combobox" cellType="Measure" appId="_GBC_25e6ee3686524d959ae273bb5aaa9cfb"/>
      <m:placeholder xlName="_PLD_2124bd1595e9432ab250a15c084078c3" addr="T0R0C0S1_1"/>
      <m:item xlName="_GBC_24843a4914494260b42de1b13e529c2d" concept="clcid-pte:FenBuBaoGaoKeMuMingCheng1" label="分部报告科目名称1" addr="T0R0C1S1_1" tagAction="1" appId="_GBC_25e6ee3686524d959ae273bb5aaa9cfb" isSerialConcept="true" serialDirection="2" splitWidth="1" isCaption="true"/>
      <m:placeholder xlName="_PLD_bbb5338509514804b5ec1d4ec145b14b" addr="T0R0C2S1_1"/>
      <m:placeholder xlName="_PLD_fa3be9e49ff54f5f94b69f487029a441" addr="T0R0C3S1_1"/>
      <m:tuple xlName="_GBC_435f11a5acef4777992074d40da0f5c0" concept="clcid-pte:BaoGaoFenBuDeCaiWuXinXiMingXi" default_row="2" addr="T0R1C">
        <m:item xlName="_GBC_3c7a14aa0b02467ca0683736f7cb1cde" concept="clcid-pte:BaoGaoFenBuDeCaiWuXinXiMingXiXiangMuMingCheng" label="报告分部的财务信息明细-项目名称" addr="T0R1C0S1_1" appId="_GBC_25e6ee3686524d959ae273bb5aaa9cfb"/>
        <m:item xlName="_GBC_672f823840d3452d926a004cb2d29173" concept="clcid-pte:BaoGaoFenBuDeCaiWuXinXiMingXiFenBu1" label="报告分部的财务信息明细-分部1" mulRef="_GBC_bed196c2a65649e69e8eda77c9168933" unitRef="_GBC_22cbe62652b3461e90f84a6c3cef03c1" addr="T0R1C1S1_1" formatStyle="Comma" appId="_GBC_25e6ee3686524d959ae273bb5aaa9cfb" isSerialConcept="true" serialDirection="2"/>
        <m:item xlName="_GBC_a4d0a56534e14beb8240601e835e4093" concept="clcid-pte:BaoGaoFenBuDeCaiWuXinXiMingXiFenBuJianDiXiao" label="报告分部的财务信息明细-分部间抵销" mulRef="_GBC_bed196c2a65649e69e8eda77c9168933" unitRef="_GBC_22cbe62652b3461e90f84a6c3cef03c1" addr="T0R1C2S1_1" formatStyle="Comma" appId="_GBC_25e6ee3686524d959ae273bb5aaa9cfb"/>
        <m:item xlName="_GBC_7abf22de2222480690e5ba99c4cd8156" concept="clcid-pte:BaoGaoFenBuDeCaiWuXinXiMingXiHeJi" label="报告分部的财务信息明细-合计" mulRef="_GBC_bed196c2a65649e69e8eda77c9168933" unitRef="_GBC_22cbe62652b3461e90f84a6c3cef03c1" addr="T0R1C3S1_1" formatStyle="Comma" appId="_GBC_25e6ee3686524d959ae273bb5aaa9cfb">
          <m:complexRule comparator="Eq" title="报告分部的财务信息明细-合计" test=" $_GBC_672f823840d3452d926a004cb2d29173 -  $_GBC_a4d0a56534e14beb8240601e835e4093" id="C48361e4e8daf407ca5df3487158dbde7" serialType="1"/>
        </m:item>
      </m:tuple>
    </m:section>
    <m:section xlName="_GBC_0a73290869524182a42675dee97eaa48" title="公司无报告分部的，或者不能披露各报告分部的资产总额和负债总额的，应说明原因" rules="R2015_R11_033" helpId="112001188">
      <m:item xlName="_GBC_de327191b263431db97d3ba75838aba8" concept="clcid-ci-ar:ShiFouShiYongGongSiWuBaoGaoFenBuDeHuoZheBuNengPiLuGeBaoGaoFenBuDeZiChanZongEHeFuZhaiZongEDeYingShuoMingYuanYin" label="是否适用：公司无报告分部的，或者不能披露各报告分部的资产总额和负债总额的，应说明原因" selectOptions="_buildInAppliance" controlType="CustomCheckbox" cRanges="{&quot;StartName&quot;:&quot;_GBC_de327191b263431db97d3ba75838aba8&quot;,&quot;EndName&quot;:&quot;_GBC_f34372121b174f8f80682bee16e070e9&quot;,&quot;CType&quot;:1,&quot;DisplayText&quot;:null}"/>
      <m:item xlName="_GBC_f34372121b174f8f80682bee16e070e9" concept="clcid-pte:GongSiWuBaoGaoFenBuDeHuoZheBuNengPiLuGeBaoGaoFenBuDeZiChanZongEHeFuZhaiZongEDeYingShuoMingYuanYin" label="公司无报告分部的，或者不能披露各报告分部的资产总额和负债总额的，应说明原因" appId="_GBC_de327191b263431db97d3ba75838aba8"/>
    </m:section>
    <m:section xlName="_GBC_bf8b759cb5b84035861b501b67f52f53" title="分部信息其他说明" rules="R2015_R11_033" helpId="112001188">
      <m:item xlName="_GBC_d4186588d0fd49e5b2642a9422c2353f" concept="clcid-ci-ar:ShiFouShiYongFenBuXinXiDeQiTaShuoMing" label="是否适用：分部信息的其他说明" selectOptions="_buildInAppliance" controlType="CustomCheckbox" cRanges="{&quot;StartName&quot;:&quot;_GBC_d4186588d0fd49e5b2642a9422c2353f&quot;,&quot;EndName&quot;:&quot;_GBC_333753eb3ff7499fa22dfb068e000940&quot;,&quot;CType&quot;:1,&quot;DisplayText&quot;:null}"/>
      <m:item xlName="_GBC_333753eb3ff7499fa22dfb068e000940" concept="clcid-pte:FenBuXinXiDeQiTaShuoMing" label="分部信息的其他说明" appId="_GBC_d4186588d0fd49e5b2642a9422c2353f"/>
    </m:section>
    <m:section xlName="_GBC_0e2af5e32a53408bb340218a0c352be0" title="其他重要事项说明" convertSummaryRule="NoConvert" helpId="112001190" helpText="注：说明其他对投资者决策有影响的重要交易和事项，包括具体情况、判断依据及相关会计处理。">
      <m:item xlName="_GBC_6bb0ea1e73f644b99b2bccc9d2ea19e9" concept="clcid-ci-ar:ShiFouShiYongQiTaDuiTouZiZheJueCeYouYingXiangDeZhongYaoJiaoYiHeShiXiang" label="是否适用：其他对投资者决策有影响的重要交易和事项" selectOptions="_buildInAppliance" controlType="CustomCheckbox" cRanges="{&quot;StartName&quot;:&quot;_GBC_6bb0ea1e73f644b99b2bccc9d2ea19e9&quot;,&quot;EndName&quot;:&quot;_GBC_b7577a1312e14bffa0ac720ced1b00ca&quot;,&quot;CType&quot;:1,&quot;DisplayText&quot;:null}"/>
      <m:item xlName="_GBC_b7577a1312e14bffa0ac720ced1b00ca" concept="clcid-pte:QiTaDuiTouZiZheJueCeYouYingXiangDeZhongYaoJiaoYiHeShiXiang" label="其他对投资者决策有影响的重要交易和事项" appId="_GBC_6bb0ea1e73f644b99b2bccc9d2ea19e9"/>
    </m:section>
    <m:section xlName="_GBC_a9d998641356411784b3ec54387f322d" title="其他重要事项的说明" helpId="112001166">
      <m:item xlName="_GBC_518cb9b615c44ff597f57c3bba95c7fa" concept="clcid-ci-ar:ShiFouShiYongQiTaZhongYaoShiXiangDeShuoMing" label="是否适用：其他重要事项的说明" selectOptions="_buildInAppliance" controlType="CustomCheckbox" cRanges="{&quot;StartName&quot;:&quot;_GBC_518cb9b615c44ff597f57c3bba95c7fa&quot;,&quot;EndName&quot;:&quot;_GBC_3a09ecc703144c23b6afd2a11890c0c6&quot;,&quot;CType&quot;:1,&quot;DisplayText&quot;:null}"/>
      <m:item xlName="_GBC_3a09ecc703144c23b6afd2a11890c0c6" concept="clcid-pte:QiTaZhongYaoShiXiangDeShuoMing" label="其他重要事项的说明" appId="_GBC_518cb9b615c44ff597f57c3bba95c7fa"/>
    </m:section>
    <m:section xlName="_GBC_f44cec1af5094a96a29dd8e92ee27b70" title="组合中，按账龄分析法计提坏账准备的应收账款" helpId="112002207" helpText="表里的“期末账面余额”指的是包含单项计提和组合计提的期末账面余额。">
      <m:item xlName="_GBC_0a11a3bd15dd4fa882e7b9f16b5e3b07" concept="clcid-ci-ar:ShiFouShiYongMuGongSiZuHeZhongAnZhangLingFenXiFaJiTiHuaiZhangZhunBeiDeYingShouZhangKuan" label="是否适用：母公司组合中，按账龄分析法计提坏账准备的应收账款" selectOptions="_buildInAppliance" controlType="CustomCheckbox" cRanges="[{&quot;StartName&quot;:&quot;_GBC_0a11a3bd15dd4fa882e7b9f16b5e3b07&quot;,&quot;EndName&quot;:&quot;_GBC_188376e073034b1d97ed3868b7432d99&quot;,&quot;CType&quot;:1}]">
        <m:axisValue occRef="母公司"/>
      </m:item>
      <m:item xlName="_GBC_aa1a4a5ddfb84d718faa91649e7ae14f" concept="clcid-ci-ar:DanWeiMuGongSiCaiWuFuZhuDanXiangJinEBuZhongDaDanAnXinYongFengXianTeZhengZuHeHouGaiZuHeDeFengXianJiaoDaDeYingShouZhangKuan" label="单位：母公司财务附注：单项金额不重大但按信用风险特征组合后该组合的风险较大的应收账款" selectOptions="_buildInScales" controlType="Combobox" cellType="Scale" appId="_GBC_0a11a3bd15dd4fa882e7b9f16b5e3b07"/>
      <m:item xlName="_GBC_1ea3e296336a485b8444219f6e288f72" concept="clcid-ci-ar:BiZhongMuGongSiCaiWuFuZhuDanXiangJinEBuZhongDaDanAnXinYongFengXianTeZhengZuHeHouGaiZuHeDeFengXianJiaoDaDeYingShouZhangKuan" label="币种：母公司财务附注：单项金额不重大但按信用风险特征组合后该组合的风险较大的应收账款" selectOptions="_buildInISO4217" controlType="Combobox" cellType="Measure" appId="_GBC_0a11a3bd15dd4fa882e7b9f16b5e3b07"/>
      <m:placeholder xlName="_PLD_4026a1c8ce2b4be2bd188240c5c6b81c" addr="T0R0C0S1_1"/>
      <m:placeholder xlName="_PLD_fe83f44c599f47c3bdf1b2e0ce971295" addr="T0R0C1S1_1"/>
      <m:placeholder xlName="_PLD_a5dc7903ae85448482649ed563a32218" addr="T0R1C0S1_2"/>
      <m:placeholder xlName="_PLD_ca8c7c0a863443708eb10fe9a0661323" addr="T0R2C0S1_2"/>
      <m:tuple xlName="_GBC_58a8ae94fc284eb6b1f51702547a5032" concept="clcid-pte:YiNianYiNeiYingShouZhangKuanJinEMingXi" default_row="2" addr="T0R3C">
        <m:item xlName="_GBC_2986efc1908a43438621c52c0fb4cbad" concept="clcid-pte:YiNianYiNeiYingShouZhangKuanZhangLingMingCheng" label="一年以内应收账款金额明细－帐龄名称" addr="T0R3C0S1_1" appId="_GBC_0a11a3bd15dd4fa882e7b9f16b5e3b07">
          <m:axisValue occRef="母公司"/>
        </m:item>
        <m:item xlName="_GBC_071b1f6e0a154130ad51e3d90e632d09" concept="clcid-pte:YiNianYiNeiYingShouZhangKuanZhangMianYuE" label="一年以内应收账款金额明细－账面余额" mulRef="_GBC_aa1a4a5ddfb84d718faa91649e7ae14f" unitRef="_GBC_1ea3e296336a485b8444219f6e288f72" addr="T0R3C1S1_1" formatStyle="Comma" appId="_GBC_0a11a3bd15dd4fa882e7b9f16b5e3b07">
          <m:axisValue occRef="母公司"/>
        </m:item>
      </m:tuple>
      <m:placeholder xlName="_PLD_8074f2321fd640f1a4a8fa6c86ad1e9b" addr="T0R5C0S1_1"/>
      <m:item xlName="_GBC_b333c709cf05461786399144626ee980" concept="clcid-pte:YingShouZhangKuanYiNianYiNeiHeJi" label="应收账款一年以内合计" mulRef="_GBC_aa1a4a5ddfb84d718faa91649e7ae14f" unitRef="_GBC_1ea3e296336a485b8444219f6e288f72" addr="T0R5C1S1_1" formatStyle="Comma" appId="_GBC_0a11a3bd15dd4fa882e7b9f16b5e3b07">
        <m:axisValue occRef="母公司"/>
      </m:item>
      <m:placeholder xlName="_PLD_0aaa32d7ecc44007a6fdfe2ba5a15150" addr="T0R6C0S1_1"/>
      <m:item xlName="_GBC_d942dc3e597b4f6f9a3076e3453481de" concept="clcid-pte:YingShouZhangKuanYiZhiErNianHeJi" label="应收账款一至二年合计" mulRef="_GBC_aa1a4a5ddfb84d718faa91649e7ae14f" unitRef="_GBC_1ea3e296336a485b8444219f6e288f72" addr="T0R6C1S1_1" formatStyle="Comma" appId="_GBC_0a11a3bd15dd4fa882e7b9f16b5e3b07">
        <m:axisValue occRef="母公司"/>
      </m:item>
      <m:placeholder xlName="_PLD_461abed3956d480b918c3859e2a0e880" addr="T0R7C0S1_1"/>
      <m:item xlName="_GBC_5abc2ce7b8c24ec484bee25596627b9d" concept="clcid-pte:YingShouZhangKuanErZhiSanNianHeJi" label="应收账款二至三年合计" mulRef="_GBC_aa1a4a5ddfb84d718faa91649e7ae14f" unitRef="_GBC_1ea3e296336a485b8444219f6e288f72" addr="T0R7C1S1_1" formatStyle="Comma" appId="_GBC_0a11a3bd15dd4fa882e7b9f16b5e3b07">
        <m:axisValue occRef="母公司"/>
      </m:item>
      <m:placeholder xlName="_PLD_3bcedd27187c4006a5bf76fe5e353650" addr="T0R8C0S1_1"/>
      <m:item xlName="_GBC_05a1939ee4a64190aa47435c49a19f3d" concept="clcid-pte:YingShouZhangKuanSanNianYiShangHeJi" label="应收账款三年以上合计" mulRef="_GBC_aa1a4a5ddfb84d718faa91649e7ae14f" unitRef="_GBC_1ea3e296336a485b8444219f6e288f72" addr="T0R8C1S1_1" formatStyle="Comma" appId="_GBC_0a11a3bd15dd4fa882e7b9f16b5e3b07">
        <m:axisValue occRef="母公司"/>
      </m:item>
      <m:placeholder xlName="_PLD_a4745b0ed8a140ae99b3917b2a6aa90b" addr="T0R9C0S1_1"/>
      <m:item xlName="_GBC_ba59b1c811d941028157159b37e1ffb0" concept="clcid-pte:YingShouZhangKuanSanZhiSiNianZhangMianYuE" label="应收账款三至四年账面余额" mulRef="_GBC_aa1a4a5ddfb84d718faa91649e7ae14f" unitRef="_GBC_1ea3e296336a485b8444219f6e288f72" addr="T0R9C1S1_1" formatStyle="Comma" appId="_GBC_0a11a3bd15dd4fa882e7b9f16b5e3b07">
        <m:axisValue occRef="母公司"/>
      </m:item>
      <m:placeholder xlName="_PLD_f4ed1d71e017423691a066ea5df5fab6" addr="T0R10C0S1_1"/>
      <m:item xlName="_GBC_bb2b1c586632487c8670ab0cb01d894e" concept="clcid-pte:YingShouZhangKuanSiZhiWuNianZhangMianYuE" label="应收账款四至五年账面余额" mulRef="_GBC_aa1a4a5ddfb84d718faa91649e7ae14f" unitRef="_GBC_1ea3e296336a485b8444219f6e288f72" addr="T0R10C1S1_1" formatStyle="Comma" appId="_GBC_0a11a3bd15dd4fa882e7b9f16b5e3b07">
        <m:axisValue occRef="母公司"/>
      </m:item>
      <m:placeholder xlName="_PLD_fccdd41cea9b4ca08e7b40f163262e5e" addr="T0R11C0S1_1"/>
      <m:item xlName="_GBC_1f60117d29f2496ebdb5f1b7cbd1663b" concept="clcid-pte:YingShouZhangKuanWuNianYiShangZhangMianYuE" label="应收账款五年以上账面余额" mulRef="_GBC_aa1a4a5ddfb84d718faa91649e7ae14f" unitRef="_GBC_1ea3e296336a485b8444219f6e288f72" addr="T0R11C1S1_1" formatStyle="Comma" appId="_GBC_0a11a3bd15dd4fa882e7b9f16b5e3b07">
        <m:axisValue occRef="母公司"/>
      </m:item>
      <m:tuple xlName="_TUP_10f7f1cf42084e9a947b1590ddb306e5" concept="clcid-pte:AnZhangLingFenXiFaJiTiHuaiZhangZhunBeiDeYingShouZhangKuanMingXi" default_row="2" addr="T0R12C">
        <m:item xlName="_GBC_a1fbc2f26f974425afb97ae2bae9c093" concept="clcid-pte:AnZhangLingFenXiFaJiTiHuaiZhangZhunBeiDeYingShouZhangKuanMingXiZhangLing" label="按账龄分析法计提坏账准备的应收账款明细_账龄" addr="T0R12C0S1_1" appId="_GBC_0a11a3bd15dd4fa882e7b9f16b5e3b07">
          <m:axisValue occRef="母公司"/>
        </m:item>
        <m:item xlName="_GBC_d0b69f1534e14fe8ad63ffeab3fefee3" concept="clcid-pte:AnZhangLingFenXiFaJiTiHuaiZhangZhunBeiDeYingShouZhangKuanMingXiYingShouZhangKuan" label="按账龄分析法计提坏账准备的应收账款明细_应收账款" mulRef="_GBC_aa1a4a5ddfb84d718faa91649e7ae14f" unitRef="_GBC_1ea3e296336a485b8444219f6e288f72" addr="T0R12C1S1_1" formatStyle="Comma" appId="_GBC_0a11a3bd15dd4fa882e7b9f16b5e3b07">
          <m:axisValue occRef="母公司"/>
        </m:item>
      </m:tuple>
      <m:placeholder xlName="_PLD_b8d2a9cd21d944ea8f8433cfaeb85cb3" addr="T0R14C0S1_1"/>
      <m:item xlName="_GBC_188376e073034b1d97ed3868b7432d99" concept="clcid-pte:DanXiangJinEBuZhongDaDanAnXinYongFengXianTeZhengZuHeHouGaiZuHeDeFengXianJiaoDaDeYingShouZhangKuanHeJi" label="单项金额不重大但按信用风险特征组合后该组合的风险较大的应收账款合计" mulRef="_GBC_aa1a4a5ddfb84d718faa91649e7ae14f" unitRef="_GBC_1ea3e296336a485b8444219f6e288f72" addr="T0R14C1S1_1" formatStyle="Comma" appId="_GBC_0a11a3bd15dd4fa882e7b9f16b5e3b07">
        <m:complexRule comparator="Eq" title="母公司单项金额不重大但按信用风险特征组合后该组合的风险较大的应收账款合计" test=" $_GBC_b333c709cf05461786399144626ee980 +  $_GBC_d942dc3e597b4f6f9a3076e3453481de +  $_GBC_5abc2ce7b8c24ec484bee25596627b9d +  $_GBC_05a1939ee4a64190aa47435c49a19f3d +  $_GBC_ba59b1c811d941028157159b37e1ffb0 +  $_GBC_bb2b1c586632487c8670ab0cb01d894e +  $_GBC_1f60117d29f2496ebdb5f1b7cbd1663b +  $_GBC_d0b69f1534e14fe8ad63ffeab3fefee3" id="C1025fd4e6fd641119fafd5ef223f9634"/>
        <m:axisValue occRef="母公司"/>
      </m:item>
    </m:section>
    <m:item xlName="_GBC_bd7fb52eb7f647d5aa6c10677b261ee1" concept="clcid-ci-ar:ShiFouShiYongMuGongSiYingShouZhangKuanAnHuaiZhangJiTiFangFaFenLeiPiLu" label="是否适用：母公司应收账款按坏账计提方法分类披露" selectOptions="_buildInAppliance" controlType="CustomCheckbox" cRanges="[{&quot;StartName&quot;:&quot;_GBC_bd7fb52eb7f647d5aa6c10677b261ee1&quot;,&quot;EndName&quot;:&quot;_SEC_0daf1df16ecd4ddb95ab2ba88474abac&quot;,&quot;CType&quot;:1}]"/>
    <m:section xlName="_SEC_22b53fc701704bd9858f1a601e7a3144" title="(2).  按坏账计提方法分类披露">
      <m:item xlName="_GBC_03786e76a9b246d5a93eac5a8936de3a" concept="clcid-ci-ar:DanWeiMuGongSiYingShouZhangKuanAnHuaiZhangJiTiFangFaFenLeiPiLu" label="单位：母公司应收账款按坏账计提方法分类披露" selectOptions="_buildInScales" controlType="Combobox" cellType="Scale" appId="_GBC_bd7fb52eb7f647d5aa6c10677b261ee1"/>
      <m:item xlName="_GBC_1360c31492654a38991cae4cf45e7b4a" concept="clcid-ci-ar:BiZhongMuGongSiYingShouZhangKuanAnHuaiZhangJiTiFangFaFenLeiPiLu" label="币种：母公司应收账款按坏账计提方法分类披露" selectOptions="_buildInISO4217" controlType="Combobox" cellType="Measure" appId="_GBC_bd7fb52eb7f647d5aa6c10677b261ee1"/>
      <m:placeholder xlName="_PLD_2f021e03341f49af95f8857da6272a92" addr="T0R0C0S3_1"/>
      <m:placeholder xlName="_PLD_468e18ccdf48449f8e43799e7c3f622e" addr="T0R0C1S1_5"/>
      <m:placeholder xlName="_PLD_e387c0f70bd6484cafb1ada234d075bd" addr="T0R0C6S1_5"/>
      <m:placeholder xlName="_PLD_73365edbfe354cb683cc42de4c1c9f49" addr="T0R1C1S1_2"/>
      <m:placeholder xlName="_PLD_11f34c9ee2d5429280d0d85b2c50756a" addr="T0R1C3S1_2"/>
      <m:placeholder xlName="_PLD_6ade046afd0c47c0aae9506cc9d47486" addr="T0R1C5S2_1"/>
      <m:placeholder xlName="_PLD_abd9bd4831b9473aabae7411a299a204" addr="T0R1C6S1_2"/>
      <m:placeholder xlName="_PLD_76d8f3a48cba41949b5870f6cbb124af" addr="T0R1C8S1_2"/>
      <m:placeholder xlName="_PLD_5062ab8e678b49c0bba488dc029ff27b" addr="T0R1C10S2_1"/>
      <m:placeholder xlName="_PLD_f6bdd572740240b5a7a2e643c29db5eb" addr="T0R2C1S1_1"/>
      <m:placeholder xlName="_PLD_0a09779b6e354e32b6df9b1e891e1509" addr="T0R2C2S1_1"/>
      <m:placeholder xlName="_PLD_dd9c9061f11b453c8775ca1a11382d92" addr="T0R2C3S1_1"/>
      <m:placeholder xlName="_PLD_988b69362ac14c0e94c26191e76b1e3a" addr="T0R2C4S1_1"/>
      <m:placeholder xlName="_PLD_a5c1af5c86d545b993971c3da029159d" addr="T0R2C6S1_1"/>
      <m:placeholder xlName="_PLD_fd80073c74724a799d0de2171d95f241" addr="T0R2C7S1_1"/>
      <m:placeholder xlName="_PLD_917059b3ee7f4b52afe8c3fa58f3e369" addr="T0R2C8S1_1"/>
      <m:placeholder xlName="_PLD_ea90ccc029834397956c79bbe869d343" addr="T0R2C9S1_1"/>
      <m:placeholder xlName="_PLD_d8f2e8353bc54fe8b730d8cdf873f57c" addr="T0R3C0S1_1"/>
      <m:item xlName="_GBC_52b6bfa8415849fab2e22bf8a5111149" concept="clcid-pte:AnDanXiangJiTiHuaiZhangZhunBeiDeYingShouZhangKuanZhangMianYuE" label="按单项计提坏账准备的应收账款账面余额" mulRef="_GBC_03786e76a9b246d5a93eac5a8936de3a" unitRef="_GBC_1360c31492654a38991cae4cf45e7b4a" addr="T0R3C1S1_1" formatStyle="Comma" appId="_GBC_bd7fb52eb7f647d5aa6c10677b261ee1">
        <m:axisValue occRef="母公司"/>
      </m:item>
      <m:item xlName="_GBC_15a64d6b69214ad38042c6d3e1cef5d2" concept="clcid-pte:AnDanXiangJiTiHuaiZhangZhunBeiDeYingShouZhangKuanZhangMianYuEBiLi" label="按单项计提坏账准备的应收账款账面余额比例" addr="T0R3C2S1_1" baseScale="0.01" formatStyle="Comma" appId="_GBC_bd7fb52eb7f647d5aa6c10677b261ee1">
        <m:axisValue occRef="母公司"/>
      </m:item>
      <m:item xlName="_GBC_d129b1ebf546473c96d7667e3df84b5b" concept="clcid-pte:AnDanXiangJiTiHuaiZhangZhunBeiDeYingShouZhangKuanHuaiZhangZhunBei" label="按单项计提坏账准备的应收账款坏账准备" mulRef="_GBC_03786e76a9b246d5a93eac5a8936de3a" unitRef="_GBC_1360c31492654a38991cae4cf45e7b4a" addr="T0R3C3S1_1" formatStyle="Comma" appId="_GBC_bd7fb52eb7f647d5aa6c10677b261ee1">
        <m:axisValue occRef="母公司"/>
      </m:item>
      <m:item xlName="_GBC_b8f1e76b3e794848a6d73acba9cfb92e" concept="clcid-pte:AnDanXiangJiTiHuaiZhangZhunBeiDeYingShouZhangKuanHuaiZhangZhunBeiJiTiBiLi" label="按单项计提坏账准备的应收账款坏账准备计提比例" addr="T0R3C4S1_1" baseScale="0.01" formatStyle="Comma" appId="_GBC_bd7fb52eb7f647d5aa6c10677b261ee1">
        <m:axisValue occRef="母公司"/>
      </m:item>
      <m:item xlName="_GBC_ba2acf832f5c45a69c8521bd97bcddee" concept="clcid-pte:AnDanXiangJiTiHuaiZhangZhunBeiDeYingShouZhangKuanZhangMianJiaZhi" label="按单项计提坏账准备的应收账款账面价值" mulRef="_GBC_03786e76a9b246d5a93eac5a8936de3a" unitRef="_GBC_1360c31492654a38991cae4cf45e7b4a" addr="T0R3C5S1_1" formatStyle="Comma" appId="_GBC_bd7fb52eb7f647d5aa6c10677b261ee1">
        <m:axisValue occRef="母公司"/>
      </m:item>
      <m:item xlName="_GBC_9e41d44756ad412bb7c2dba55ab1498b" concept="clcid-pte:AnDanXiangJiTiHuaiZhangZhunBeiDeYingShouZhangKuanZhangMianYuE" label="按单项计提坏账准备的应收账款账面余额" periodRef="本期期初数" mulRef="_GBC_03786e76a9b246d5a93eac5a8936de3a" unitRef="_GBC_1360c31492654a38991cae4cf45e7b4a" addr="T0R3C6S1_1" formatStyle="Comma" appId="_GBC_bd7fb52eb7f647d5aa6c10677b261ee1">
        <m:axisValue occRef="母公司"/>
      </m:item>
      <m:item xlName="_GBC_de4b2980acd340df928766afe13e1a19" concept="clcid-pte:AnDanXiangJiTiHuaiZhangZhunBeiDeYingShouZhangKuanZhangMianYuEBiLi" label="按单项计提坏账准备的应收账款账面余额比例" periodRef="本期期初数" addr="T0R3C7S1_1" baseScale="0.01" formatStyle="Comma" appId="_GBC_bd7fb52eb7f647d5aa6c10677b261ee1">
        <m:axisValue occRef="母公司"/>
      </m:item>
      <m:item xlName="_GBC_983aad4c450348bc9b2a953be896d89d" concept="clcid-pte:AnDanXiangJiTiHuaiZhangZhunBeiDeYingShouZhangKuanHuaiZhangZhunBei" label="按单项计提坏账准备的应收账款坏账准备" periodRef="本期期初数" mulRef="_GBC_03786e76a9b246d5a93eac5a8936de3a" unitRef="_GBC_1360c31492654a38991cae4cf45e7b4a" addr="T0R3C8S1_1" formatStyle="Comma" appId="_GBC_bd7fb52eb7f647d5aa6c10677b261ee1">
        <m:axisValue occRef="母公司"/>
      </m:item>
      <m:item xlName="_GBC_60d16f617c5e42ea9db2835c4de6ff48" concept="clcid-pte:AnDanXiangJiTiHuaiZhangZhunBeiDeYingShouZhangKuanHuaiZhangZhunBeiJiTiBiLi" label="按单项计提坏账准备的应收账款坏账准备计提比例" periodRef="本期期初数" addr="T0R3C9S1_1" baseScale="0.01" formatStyle="Comma" appId="_GBC_bd7fb52eb7f647d5aa6c10677b261ee1">
        <m:axisValue occRef="母公司"/>
      </m:item>
      <m:item xlName="_GBC_02750fa524c84b57b92968f97dbc9ddc" concept="clcid-pte:AnDanXiangJiTiHuaiZhangZhunBeiDeYingShouZhangKuanZhangMianJiaZhi" label="按单项计提坏账准备的应收账款账面价值" periodRef="本期期初数" mulRef="_GBC_03786e76a9b246d5a93eac5a8936de3a" unitRef="_GBC_1360c31492654a38991cae4cf45e7b4a" addr="T0R3C10S1_1" formatStyle="Comma" appId="_GBC_bd7fb52eb7f647d5aa6c10677b261ee1">
        <m:axisValue occRef="母公司"/>
      </m:item>
      <m:placeholder xlName="_PLD_8ec8b92b0ab24a78ae82ff991696133e" addr="T0R4C0S1_11"/>
      <m:tuple xlName="_TUP_55ed2cba36cc42ad9f79258891365b58" concept="clcid-pte:AnDanXiangJiTiHuaiZhangZhunBeiDeYingShouZhangKuanMingXi" default_row="2" addr="T0R5C">
        <m:item xlName="_GBC_d2aff18c0a9246d69b8b1f262666166e" contributeOptionTo="_GBC_8f78fdbea12b4ac894e4ebc3eb0fb04b" concept="clcid-pte:AnDanXiangJiTiHuaiZhangZhunBeiDeYingShouZhangKuanMingXiLeiBie" label="按单项计提坏账准备的应收账款明细-类别" unitRef="_GBC_1360c31492654a38991cae4cf45e7b4a" addr="T0R5C0S1_1" tagAction="1" appId="_GBC_bd7fb52eb7f647d5aa6c10677b261ee1">
          <m:axisValue occRef="母公司"/>
        </m:item>
        <m:item xlName="_GBC_ec3390bfa90a41d89c463b17848895d0" concept="clcid-pte:AnDanXiangJiTiHuaiZhangZhunBeiDeYingShouZhangKuanMingXiZhangMianYuE" label="按单项计提坏账准备的应收账款明细-账面余额" mulRef="_GBC_03786e76a9b246d5a93eac5a8936de3a" unitRef="_GBC_1360c31492654a38991cae4cf45e7b4a" addr="T0R5C1S1_1" formatStyle="Comma" appId="_GBC_bd7fb52eb7f647d5aa6c10677b261ee1">
          <m:axisValue occRef="母公司"/>
        </m:item>
        <m:item xlName="_GBC_0d325d2a168248acb2ab8802e3acf11e" concept="clcid-pte:AnDanXiangJiTiHuaiZhangZhunBeiDeYingShouZhangKuanMingXiYuEBiLi" label="按单项计提坏账准备的应收账款明细-余额比例" addr="T0R5C2S1_1" baseScale="0.01" formatStyle="Comma" appId="_GBC_bd7fb52eb7f647d5aa6c10677b261ee1">
          <m:axisValue occRef="母公司"/>
        </m:item>
        <m:item xlName="_GBC_6bd22552bfd84d79b360d171e39b10a1" concept="clcid-pte:AnDanXiangJiTiHuaiZhangZhunBeiDeYingShouZhangKuanMingXiHuaiZhangZhunBei" label="按单项计提坏账准备的应收账款明细-坏账准备" mulRef="_GBC_03786e76a9b246d5a93eac5a8936de3a" unitRef="_GBC_1360c31492654a38991cae4cf45e7b4a" addr="T0R5C3S1_1" formatStyle="Comma" appId="_GBC_bd7fb52eb7f647d5aa6c10677b261ee1">
          <m:axisValue occRef="母公司"/>
        </m:item>
        <m:item xlName="_GBC_48f1a33e117246609e805a887072f3cd" concept="clcid-pte:AnDanXiangJiTiHuaiZhangZhunBeiDeYingShouZhangKuanMingXiHuaiZhangZhunBeiJiTiBiLi" label="按单项计提坏账准备的应收账款明细-坏账准备计提比例" addr="T0R5C4S1_1" baseScale="0.01" formatStyle="Comma" appId="_GBC_bd7fb52eb7f647d5aa6c10677b261ee1">
          <m:axisValue occRef="母公司"/>
        </m:item>
        <m:item xlName="_GBC_daeafe3f190f4f23a3b9c533ea6cd798" concept="clcid-pte:AnDanXiangJiTiHuaiZhangZhunBeiDeYingShouZhangKuanMingXiZhangMianJiaZhi" label="按单项计提坏账准备的应收账款明细-账面价值" mulRef="_GBC_03786e76a9b246d5a93eac5a8936de3a" unitRef="_GBC_1360c31492654a38991cae4cf45e7b4a" addr="T0R5C5S1_1" formatStyle="Comma" appId="_GBC_bd7fb52eb7f647d5aa6c10677b261ee1">
          <m:axisValue occRef="母公司"/>
        </m:item>
        <m:item xlName="_GBC_f751100ce93b48a081f1f2de503950fd" concept="clcid-pte:AnDanXiangJiTiHuaiZhangZhunBeiDeYingShouZhangKuanMingXiZhangMianYuE" label="按单项计提坏账准备的应收账款明细-账面余额" periodRef="本期期初数" mulRef="_GBC_03786e76a9b246d5a93eac5a8936de3a" unitRef="_GBC_1360c31492654a38991cae4cf45e7b4a" addr="T0R5C6S1_1" formatStyle="Comma" appId="_GBC_bd7fb52eb7f647d5aa6c10677b261ee1">
          <m:axisValue occRef="母公司"/>
        </m:item>
        <m:item xlName="_GBC_30bff0ac20ea4f43b065620baa3e2aef" concept="clcid-pte:AnDanXiangJiTiHuaiZhangZhunBeiDeYingShouZhangKuanMingXiYuEBiLi" label="按单项计提坏账准备的应收账款明细-余额比例" periodRef="本期期初数" addr="T0R5C7S1_1" baseScale="0.01" formatStyle="Comma" appId="_GBC_bd7fb52eb7f647d5aa6c10677b261ee1">
          <m:axisValue occRef="母公司"/>
        </m:item>
        <m:item xlName="_GBC_fc9f0dc1132d4e85b339a8443b0ab7ed" concept="clcid-pte:AnDanXiangJiTiHuaiZhangZhunBeiDeYingShouZhangKuanMingXiHuaiZhangZhunBei" label="按单项计提坏账准备的应收账款明细-坏账准备" periodRef="本期期初数" mulRef="_GBC_03786e76a9b246d5a93eac5a8936de3a" unitRef="_GBC_1360c31492654a38991cae4cf45e7b4a" addr="T0R5C8S1_1" formatStyle="Comma" appId="_GBC_bd7fb52eb7f647d5aa6c10677b261ee1">
          <m:axisValue occRef="母公司"/>
        </m:item>
        <m:item xlName="_GBC_3a845408272f44af9b42793e8f681acf" concept="clcid-pte:AnDanXiangJiTiHuaiZhangZhunBeiDeYingShouZhangKuanMingXiHuaiZhangZhunBeiJiTiBiLi" label="按单项计提坏账准备的应收账款明细-坏账准备计提比例" periodRef="本期期初数" addr="T0R5C9S1_1" baseScale="0.01" formatStyle="Comma" appId="_GBC_bd7fb52eb7f647d5aa6c10677b261ee1">
          <m:axisValue occRef="母公司"/>
        </m:item>
        <m:item xlName="_GBC_66657c74c3d548ae9e82dca361c33785" concept="clcid-pte:AnDanXiangJiTiHuaiZhangZhunBeiDeYingShouZhangKuanMingXiZhangMianJiaZhi" label="按单项计提坏账准备的应收账款明细-账面价值" periodRef="本期期初数" mulRef="_GBC_03786e76a9b246d5a93eac5a8936de3a" unitRef="_GBC_1360c31492654a38991cae4cf45e7b4a" addr="T0R5C10S1_1" formatStyle="Comma" appId="_GBC_bd7fb52eb7f647d5aa6c10677b261ee1">
          <m:axisValue occRef="母公司"/>
        </m:item>
      </m:tuple>
      <m:placeholder xlName="_PLD_c2fb108392ea494fbb3dda9bd8528dd0" addr="T0R7C0S1_1"/>
      <m:item xlName="_GBC_ad1f100944cd4dccb290c99eb31aad67" concept="clcid-pte:AnZuHeJiTiHuaiZhangZhunBeiDeYingShouZhangKuanZhangMianYuE" label="按组合计提坏账准备的应收账款账面余额" mulRef="_GBC_03786e76a9b246d5a93eac5a8936de3a" unitRef="_GBC_1360c31492654a38991cae4cf45e7b4a" addr="T0R7C1S1_1" formatStyle="Comma" appId="_GBC_bd7fb52eb7f647d5aa6c10677b261ee1">
        <m:axisValue occRef="母公司"/>
      </m:item>
      <m:item xlName="_GBC_dbb17d1067994f2da5420a32bac265fa" concept="clcid-pte:AnZuHeJiTiHuaiZhangZhunBeiDeYingShouZhangKuanZhangMianYuEBiLi" label="按组合计提坏账准备的应收账款账面余额比例" addr="T0R7C2S1_1" baseScale="0.01" formatStyle="Comma" appId="_GBC_bd7fb52eb7f647d5aa6c10677b261ee1">
        <m:axisValue occRef="母公司"/>
      </m:item>
      <m:item xlName="_GBC_578d9d6ba1a542f2948095507c47f217" concept="clcid-pte:AnZuHeJiTiHuaiZhangZhunBeiDeYingShouZhangKuanHuaiZhangZhunBei" label="按组合计提坏账准备的应收账款坏账准备" mulRef="_GBC_03786e76a9b246d5a93eac5a8936de3a" unitRef="_GBC_1360c31492654a38991cae4cf45e7b4a" addr="T0R7C3S1_1" formatStyle="Comma" appId="_GBC_bd7fb52eb7f647d5aa6c10677b261ee1">
        <m:axisValue occRef="母公司"/>
      </m:item>
      <m:item xlName="_GBC_8e01b959ef144d92b038d4158f5f9245" concept="clcid-pte:AnZuHeJiTiHuaiZhangZhunBeiDeYingShouZhangKuanHuaiZhangZhunBeiJiTiBiLi" label="按组合计提坏账准备的应收账款坏账准备计提比例" addr="T0R7C4S1_1" baseScale="0.01" formatStyle="Comma" appId="_GBC_bd7fb52eb7f647d5aa6c10677b261ee1">
        <m:axisValue occRef="母公司"/>
      </m:item>
      <m:item xlName="_GBC_a5bf6a356b5d4f79bd23c26c5ad1bead" concept="clcid-pte:AnZuHeJiTiHuaiZhangZhunBeiDeYingShouZhangKuanZhangMianJiaZhi" label="按组合计提坏账准备的应收账款账面价值" mulRef="_GBC_03786e76a9b246d5a93eac5a8936de3a" unitRef="_GBC_1360c31492654a38991cae4cf45e7b4a" addr="T0R7C5S1_1" formatStyle="Comma" appId="_GBC_bd7fb52eb7f647d5aa6c10677b261ee1">
        <m:axisValue occRef="母公司"/>
      </m:item>
      <m:item xlName="_GBC_0396ab90da7a4596b1276fa7639fe2c6" concept="clcid-pte:AnZuHeJiTiHuaiZhangZhunBeiDeYingShouZhangKuanZhangMianYuE" label="按组合计提坏账准备的应收账款账面余额" periodRef="本期期初数" mulRef="_GBC_03786e76a9b246d5a93eac5a8936de3a" unitRef="_GBC_1360c31492654a38991cae4cf45e7b4a" addr="T0R7C6S1_1" formatStyle="Comma" appId="_GBC_bd7fb52eb7f647d5aa6c10677b261ee1">
        <m:axisValue occRef="母公司"/>
      </m:item>
      <m:item xlName="_GBC_112ff7211fb04186a734a10a821170d5" concept="clcid-pte:AnZuHeJiTiHuaiZhangZhunBeiDeYingShouZhangKuanZhangMianYuEBiLi" label="按组合计提坏账准备的应收账款账面余额比例" periodRef="本期期初数" addr="T0R7C7S1_1" baseScale="0.01" formatStyle="Comma" appId="_GBC_bd7fb52eb7f647d5aa6c10677b261ee1">
        <m:axisValue occRef="母公司"/>
      </m:item>
      <m:item xlName="_GBC_9bd044f976664d14ba9dc71117fd254c" concept="clcid-pte:AnZuHeJiTiHuaiZhangZhunBeiDeYingShouZhangKuanHuaiZhangZhunBei" label="按组合计提坏账准备的应收账款坏账准备" periodRef="本期期初数" mulRef="_GBC_03786e76a9b246d5a93eac5a8936de3a" unitRef="_GBC_1360c31492654a38991cae4cf45e7b4a" addr="T0R7C8S1_1" formatStyle="Comma" appId="_GBC_bd7fb52eb7f647d5aa6c10677b261ee1">
        <m:axisValue occRef="母公司"/>
      </m:item>
      <m:item xlName="_GBC_d377e7707b234073bee62607528c197b" concept="clcid-pte:AnZuHeJiTiHuaiZhangZhunBeiDeYingShouZhangKuanHuaiZhangZhunBeiJiTiBiLi" label="按组合计提坏账准备的应收账款坏账准备计提比例" periodRef="本期期初数" addr="T0R7C9S1_1" baseScale="0.01" formatStyle="Comma" appId="_GBC_bd7fb52eb7f647d5aa6c10677b261ee1">
        <m:axisValue occRef="母公司"/>
      </m:item>
      <m:item xlName="_GBC_16676da357d7444e938adfd8c526b923" concept="clcid-pte:AnZuHeJiTiHuaiZhangZhunBeiDeYingShouZhangKuanZhangMianJiaZhi" label="按组合计提坏账准备的应收账款账面价值" periodRef="本期期初数" mulRef="_GBC_03786e76a9b246d5a93eac5a8936de3a" unitRef="_GBC_1360c31492654a38991cae4cf45e7b4a" addr="T0R7C10S1_1" formatStyle="Comma" appId="_GBC_bd7fb52eb7f647d5aa6c10677b261ee1">
        <m:axisValue occRef="母公司"/>
      </m:item>
      <m:placeholder xlName="_PLD_bd68cdc38a0e426ea1ec99be844140b3" addr="T0R8C0S1_11"/>
      <m:tuple xlName="_TUP_d12105eecf1f43bb9d549b5dd7af65bd" concept="clcid-pte:AnZuHeJiTiHuaiZhangZhunBeiDeYingShouZhangKuanMingXi" default_row="2" addr="T0R9C">
        <m:item xlName="_GBC_1d1150cff5254d829cba03da56c2e941" contributeOptionTo="_GBC_c2c49e08c13c49f5b854cd65f748bccc" concept="clcid-pte:AnZuHeJiTiHuaiZhangZhunBeiDeYingShouZhangKuanMingXiZuHeMingCheng" label="按组合计提坏账准备的应收账款明细-组合名称" unitRef="_GBC_1360c31492654a38991cae4cf45e7b4a" addr="T0R9C0S1_1" tagAction="1" appId="_GBC_bd7fb52eb7f647d5aa6c10677b261ee1">
          <m:axisValue occRef="母公司"/>
        </m:item>
        <m:item xlName="_GBC_612f495d567045eea00c94d33afd40ab" concept="clcid-pte:AnZuHeJiTiHuaiZhangZhunBeiDeYingShouZhangKuanMingXiZhangMianYuE" label="按组合计提坏账准备的应收账款明细-账面余额" mulRef="_GBC_03786e76a9b246d5a93eac5a8936de3a" unitRef="_GBC_1360c31492654a38991cae4cf45e7b4a" addr="T0R9C1S1_1" formatStyle="Comma" appId="_GBC_bd7fb52eb7f647d5aa6c10677b261ee1">
          <m:axisValue occRef="母公司"/>
        </m:item>
        <m:item xlName="_GBC_693ec42946f24b82ad0272cd56b9be14" concept="clcid-pte:AnZuHeJiTiHuaiZhangZhunBeiDeYingShouZhangKuanMingXiZhangMianYuEBiLi" label="按组合计提坏账准备的应收账款明细-账面余额比例" addr="T0R9C2S1_1" baseScale="0.01" formatStyle="Comma" appId="_GBC_bd7fb52eb7f647d5aa6c10677b261ee1">
          <m:axisValue occRef="母公司"/>
        </m:item>
        <m:item xlName="_GBC_1096b011a02641a5bda62e12880c8e9b" concept="clcid-pte:AnZuHeJiTiHuaiZhangZhunBeiDeYingShouZhangKuanMingXiHuaiZhangZhunBeiJinE" label="按组合计提坏账准备的应收账款明细-坏账准备金额" mulRef="_GBC_03786e76a9b246d5a93eac5a8936de3a" unitRef="_GBC_1360c31492654a38991cae4cf45e7b4a" addr="T0R9C3S1_1" formatStyle="Comma" appId="_GBC_bd7fb52eb7f647d5aa6c10677b261ee1">
          <m:axisValue occRef="母公司"/>
        </m:item>
        <m:item xlName="_GBC_ead3062f2c1c4d878501623c55cffc63" concept="clcid-pte:AnZuHeJiTiHuaiZhangZhunBeiDeYingShouZhangKuanMingXiHuaiZhangZhunBeiBiLi" label="按组合计提坏账准备的应收账款明细-坏账准备比例" addr="T0R9C4S1_1" baseScale="0.01" formatStyle="Comma" appId="_GBC_bd7fb52eb7f647d5aa6c10677b261ee1">
          <m:axisValue occRef="母公司"/>
        </m:item>
        <m:item xlName="_GBC_5a47523978d647bc8fc3bf957541ca4d" concept="clcid-pte:AnZuHeJiTiHuaiZhangZhunBeiDeYingShouZhangKuanMingXiZhangMianJiaZhi" label="按组合计提坏账准备的应收账款明细-账面价值" mulRef="_GBC_03786e76a9b246d5a93eac5a8936de3a" unitRef="_GBC_1360c31492654a38991cae4cf45e7b4a" addr="T0R9C5S1_1" formatStyle="Comma" appId="_GBC_bd7fb52eb7f647d5aa6c10677b261ee1">
          <m:axisValue occRef="母公司"/>
        </m:item>
        <m:item xlName="_GBC_275532838631438a90acdd6bf0f0666b" concept="clcid-pte:AnZuHeJiTiHuaiZhangZhunBeiDeYingShouZhangKuanMingXiZhangMianYuE" label="按组合计提坏账准备的应收账款明细-账面余额" periodRef="本期期初数" mulRef="_GBC_03786e76a9b246d5a93eac5a8936de3a" unitRef="_GBC_1360c31492654a38991cae4cf45e7b4a" addr="T0R9C6S1_1" formatStyle="Comma" appId="_GBC_bd7fb52eb7f647d5aa6c10677b261ee1">
          <m:axisValue occRef="母公司"/>
        </m:item>
        <m:item xlName="_GBC_75b577bdc62d4c02b7ef4bccdba515e0" concept="clcid-pte:AnZuHeJiTiHuaiZhangZhunBeiDeYingShouZhangKuanMingXiZhangMianYuEBiLi" label="按组合计提坏账准备的应收账款明细-账面余额比例" periodRef="本期期初数" addr="T0R9C7S1_1" baseScale="0.01" formatStyle="Comma" appId="_GBC_bd7fb52eb7f647d5aa6c10677b261ee1">
          <m:axisValue occRef="母公司"/>
        </m:item>
        <m:item xlName="_GBC_ffebad056d1a446a8a7ea38b7ae4f1f1" concept="clcid-pte:AnZuHeJiTiHuaiZhangZhunBeiDeYingShouZhangKuanMingXiHuaiZhangZhunBeiJinE" label="按组合计提坏账准备的应收账款明细-坏账准备金额" periodRef="本期期初数" mulRef="_GBC_03786e76a9b246d5a93eac5a8936de3a" unitRef="_GBC_1360c31492654a38991cae4cf45e7b4a" addr="T0R9C8S1_1" formatStyle="Comma" appId="_GBC_bd7fb52eb7f647d5aa6c10677b261ee1">
          <m:axisValue occRef="母公司"/>
        </m:item>
        <m:item xlName="_GBC_388007f119184809af836ff816e39532" concept="clcid-pte:AnZuHeJiTiHuaiZhangZhunBeiDeYingShouZhangKuanMingXiHuaiZhangZhunBeiBiLi" label="按组合计提坏账准备的应收账款明细-坏账准备比例" periodRef="本期期初数" addr="T0R9C9S1_1" baseScale="0.01" formatStyle="Comma" appId="_GBC_bd7fb52eb7f647d5aa6c10677b261ee1">
          <m:axisValue occRef="母公司"/>
        </m:item>
        <m:item xlName="_GBC_cb6a49a54a0f478ca1bcba6578597ada" concept="clcid-pte:AnZuHeJiTiHuaiZhangZhunBeiDeYingShouZhangKuanMingXiZhangMianJiaZhi" label="按组合计提坏账准备的应收账款明细-账面价值" periodRef="本期期初数" mulRef="_GBC_03786e76a9b246d5a93eac5a8936de3a" unitRef="_GBC_1360c31492654a38991cae4cf45e7b4a" addr="T0R9C10S1_1" formatStyle="Comma" appId="_GBC_bd7fb52eb7f647d5aa6c10677b261ee1">
          <m:axisValue occRef="母公司"/>
        </m:item>
      </m:tuple>
      <m:placeholder xlName="_PLD_da40eb921a044acabfd44df1104701c2" addr="T0R11C0S1_1"/>
      <m:item xlName="_GBC_49b34cab43024b1aaa888ff46b51ac62" concept="clcid-pte:YingShouZhangKuanHeJi" label="应收账款合计" mulRef="_GBC_03786e76a9b246d5a93eac5a8936de3a" unitRef="_GBC_1360c31492654a38991cae4cf45e7b4a" addr="T0R11C1S1_1" formatStyle="Comma" appId="_GBC_bd7fb52eb7f647d5aa6c10677b261ee1">
        <m:complexRule comparator="Eq" title="应收账款合计" test=" $_GBC_52b6bfa8415849fab2e22bf8a5111149 +  $_GBC_ad1f100944cd4dccb290c99eb31aad67" id="C4df1b23424f2445eb68fd8b5da88e563"/>
        <m:axisValue occRef="母公司"/>
      </m:item>
      <m:item xlName="_GBC_5e429e5fa6a04b518193867f08406523" concept="clcid-pte:YingShouZhangKuanJiTiDeHuaiZhangZhunBeiYuE" label="应收账款计提的坏账准备余额" mulRef="_GBC_03786e76a9b246d5a93eac5a8936de3a" unitRef="_GBC_1360c31492654a38991cae4cf45e7b4a" addr="T0R11C3S1_1" formatStyle="Comma" appId="_GBC_bd7fb52eb7f647d5aa6c10677b261ee1">
        <m:complexRule comparator="Eq" title="应收账款计提的坏账准备余额" test=" $_GBC_d129b1ebf546473c96d7667e3df84b5b +  $_GBC_578d9d6ba1a542f2948095507c47f217" id="C7044619a6e51425097e4ad565c4df93d"/>
        <m:axisValue occRef="母公司"/>
      </m:item>
      <m:item xlName="_GBC_487f917ae8c94ce192bc09be80305bf2" concept="clcid-pte:YingShouZhangKuanZhangMianJiaZhiHeJi" label="应收账款账面价值合计" mulRef="_GBC_03786e76a9b246d5a93eac5a8936de3a" unitRef="_GBC_1360c31492654a38991cae4cf45e7b4a" addr="T0R11C5S1_1" formatStyle="Comma" appId="_GBC_bd7fb52eb7f647d5aa6c10677b261ee1">
        <m:complexRule comparator="Eq" title="应收账款账面价值合计" test=" $_GBC_ba2acf832f5c45a69c8521bd97bcddee +  $_GBC_a5bf6a356b5d4f79bd23c26c5ad1bead" id="Cbaaaabd6c07e403e90b0f131b83ac25d"/>
        <m:axisValue occRef="母公司"/>
      </m:item>
      <m:item xlName="_GBC_0f94e14f1f1249b2ab30eda38967ca18" concept="clcid-pte:YingShouZhangKuanHeJi" label="应收账款合计" periodRef="本期期初数" mulRef="_GBC_03786e76a9b246d5a93eac5a8936de3a" unitRef="_GBC_1360c31492654a38991cae4cf45e7b4a" addr="T0R11C6S1_1" formatStyle="Comma" appId="_GBC_bd7fb52eb7f647d5aa6c10677b261ee1">
        <m:complexRule comparator="Eq" title="应收账款合计@本期期初数" test=" $_GBC_9e41d44756ad412bb7c2dba55ab1498b +  $_GBC_0396ab90da7a4596b1276fa7639fe2c6" id="C5e02106482fb4b3badd1c0dd0ec52719"/>
        <m:axisValue occRef="母公司"/>
      </m:item>
      <m:item xlName="_GBC_0128fbeaad764578a707dd13379cd61e" concept="clcid-pte:YingShouZhangKuanJiTiDeHuaiZhangZhunBeiYuE" label="应收账款计提的坏账准备余额" periodRef="本期期初数" mulRef="_GBC_03786e76a9b246d5a93eac5a8936de3a" unitRef="_GBC_1360c31492654a38991cae4cf45e7b4a" addr="T0R11C8S1_1" formatStyle="Comma" appId="_GBC_bd7fb52eb7f647d5aa6c10677b261ee1">
        <m:complexRule comparator="Eq" title="应收账款计提的坏账准备余额@本期期初数" test=" $_GBC_983aad4c450348bc9b2a953be896d89d +  $_GBC_9bd044f976664d14ba9dc71117fd254c" id="C648d75a316184b44803ac9bded542e57"/>
        <m:axisValue occRef="母公司"/>
      </m:item>
      <m:item xlName="_GBC_bb4258a0a8734c69b62e73712a4076aa" concept="clcid-pte:YingShouZhangKuanZhangMianJiaZhiHeJi" label="应收账款账面价值合计" periodRef="本期期初数" mulRef="_GBC_03786e76a9b246d5a93eac5a8936de3a" unitRef="_GBC_1360c31492654a38991cae4cf45e7b4a" addr="T0R11C10S1_1" formatStyle="Comma" appId="_GBC_bd7fb52eb7f647d5aa6c10677b261ee1">
        <m:complexRule comparator="Eq" title="应收账款账面价值合计@本期期初数" test=" $_GBC_02750fa524c84b57b92968f97dbc9ddc +  $_GBC_16676da357d7444e938adfd8c526b923" id="C79e8f2e60a154c08bad1caa8ca86268a"/>
        <m:axisValue occRef="母公司"/>
      </m:item>
    </m:section>
    <m:section xlName="_SEC_25fdb1db4e684b509f2d87c2a7766da9" title="按单项计提坏账准备：">
      <m:item xlName="_GBC_6aa7698e624f4481b0cf894058a63961" concept="clcid-ci-ar:ShiFouShiYongMuGongSiYingShouZhangKuanAnDanXiangJiTiHuaiZhangZhunBei" label="是否适用：母公司应收账款按单项计提坏账准备" selectOptions="_buildInAppliance" controlType="CustomCheckbox" cRanges="[{&quot;StartName&quot;:&quot;_GBC_6aa7698e624f4481b0cf894058a63961&quot;,&quot;EndName&quot;:&quot;_GBC_708cb271301645c19ed60229f1893d86&quot;,&quot;CType&quot;:1}]"/>
      <m:item xlName="_GBC_78b604bf7ffb4c31ab3ee677554e3137" concept="clcid-pte:DanWeiMuGongSiYingShouZhangKuanAnDanXiangJiTiHuaiZhangZhunBei" label="单位：母公司应收账款按单项计提坏账准备" selectOptions="_buildInScales" controlType="Combobox" cellType="Scale" appId="_GBC_6aa7698e624f4481b0cf894058a63961"/>
      <m:item xlName="_GBC_4b1174efa36f426fad7996f19b12a196" concept="clcid-pte:BiZhongMuGongSiYingShouZhangKuanAnDanXiangJiTiHuaiZhangZhunBei" label="币种：母公司应收账款按单项计提坏账准备" selectOptions="_buildInISO4217" controlType="Combobox" cellType="Measure" appId="_GBC_6aa7698e624f4481b0cf894058a63961"/>
      <m:placeholder xlName="_PLD_c9f375faf7b545a188ebedb1a01654f0" addr="T0R0C0S2_1"/>
      <m:placeholder xlName="_PLD_c86d7b0ec7994bbf9c32d3c6e0d2adda" addr="T0R0C1S1_4"/>
      <m:placeholder xlName="_PLD_7bbf6380a8804f6c8a717a338f6be3fd" addr="T0R1C1S1_1"/>
      <m:placeholder xlName="_PLD_c15d611dc2404462bf82049172a2f8e5" addr="T0R1C2S1_1"/>
      <m:placeholder xlName="_PLD_54a8956eb15646cfa69cc0c723b11525" addr="T0R1C3S1_1"/>
      <m:placeholder xlName="_PLD_b9a45c0c48a240cba3863633ee15a99c" addr="T0R1C4S1_1"/>
      <m:tuple xlName="_TUP_2c953ac7b56244699de69986e4bf6b72" concept="clcid-pte:AnDanXiangJiTiHuaiZhangZhunBeiDeYingShouZhangKuanXiangXiMingChengMingXi" default_row="2" addr="T0R2C">
        <m:item xlName="_GBC_6b2eff7060594d3b9f646ed81f9c5b5a" concept="clcid-pte:AnDanXiangJiTiHuaiZhangZhunBeiDeYingShouZhangKuanXiangXiMingChengMingXiMingCheng" label="按单项计提坏账准备的应收账款详细名称明细-名称" addr="T0R2C0S1_1" appId="_GBC_6aa7698e624f4481b0cf894058a63961">
          <m:axisValue occRef="母公司"/>
        </m:item>
        <m:item xlName="_GBC_5b4a9f99bd534acb8c664560b0f52159" concept="clcid-pte:AnDanXiangJiTiHuaiZhangZhunBeiDeYingShouZhangKuanXiangXiMingChengMingXiZhangMianYuE" label="按单项计提坏账准备的应收账款详细名称明细-账面余额" mulRef="_GBC_78b604bf7ffb4c31ab3ee677554e3137" unitRef="_GBC_4b1174efa36f426fad7996f19b12a196" addr="T0R2C1S1_1" formatStyle="Comma" appId="_GBC_6aa7698e624f4481b0cf894058a63961">
          <m:axisValue occRef="母公司"/>
        </m:item>
        <m:item xlName="_GBC_26e84448d9914528b3a5cfa0964fc87d" concept="clcid-pte:AnDanXiangJiTiHuaiZhangZhunBeiDeYingShouZhangKuanXiangXiMingChengMingXiHuaiZhangZhunBei" label="按单项计提坏账准备的应收账款详细名称明细-坏账准备" mulRef="_GBC_78b604bf7ffb4c31ab3ee677554e3137" unitRef="_GBC_4b1174efa36f426fad7996f19b12a196" addr="T0R2C2S1_1" formatStyle="Comma" appId="_GBC_6aa7698e624f4481b0cf894058a63961">
          <m:axisValue occRef="母公司"/>
        </m:item>
        <m:item xlName="_GBC_426982e0078941eba7e29c805514d322" concept="clcid-pte:AnDanXiangJiTiHuaiZhangZhunBeiDeYingShouZhangKuanXiangXiMingChengMingXiHuaiZhangZhunBeiJiTiBiLi" label="按单项计提坏账准备的应收账款详细名称明细-坏账准备计提比例" addr="T0R2C3S1_1" baseScale="0.01" formatStyle="Comma" appId="_GBC_6aa7698e624f4481b0cf894058a63961">
          <m:axisValue occRef="母公司"/>
        </m:item>
        <m:item xlName="_GBC_f43ecb84afbe443780a471f1725d6957" concept="clcid-pte:AnDanXiangJiTiHuaiZhangZhunBeiDeYingShouZhangKuanXiangXiMingChengMingXiHuaiZhangZhunBeiJiTiLiYou" label="按单项计提坏账准备的应收账款详细名称明细-坏账准备计提理由" addr="T0R2C4S1_1" appId="_GBC_6aa7698e624f4481b0cf894058a63961">
          <m:axisValue occRef="母公司"/>
        </m:item>
      </m:tuple>
      <m:placeholder xlName="_PLD_ae2160629a8e476ca13f19742070e947" addr="T0R4C0S1_1"/>
      <m:item xlName="_GBC_fe708361c9e54285816d14dbc23234ca" concept="clcid-pte:AnDanXiangJiTiHuaiZhangZhunBeiDeYingShouZhangKuanZhangMianYuE" label="按单项计提坏账准备的应收账款账面余额" mulRef="_GBC_78b604bf7ffb4c31ab3ee677554e3137" unitRef="_GBC_4b1174efa36f426fad7996f19b12a196" addr="T0R4C1S1_1" formatStyle="Comma" appId="_GBC_6aa7698e624f4481b0cf894058a63961">
        <m:complexRule comparator="Eq" title="按单项计提坏账准备的应收账款明细-账面余额" test=" $_GBC_5b4a9f99bd534acb8c664560b0f52159" id="Cd7e4260838d14f76b9242a97c0b587a6"/>
        <m:axisValue occRef="母公司"/>
      </m:item>
      <m:item xlName="_GBC_ef3a289946484cc5b54e994d0beed55e" concept="clcid-pte:AnDanXiangJiTiHuaiZhangZhunBeiDeYingShouZhangKuanHuaiZhangZhunBei" label="按单项计提坏账准备的应收账款坏账准备" mulRef="_GBC_78b604bf7ffb4c31ab3ee677554e3137" unitRef="_GBC_4b1174efa36f426fad7996f19b12a196" addr="T0R4C2S1_1" formatStyle="Comma" appId="_GBC_6aa7698e624f4481b0cf894058a63961">
        <m:complexRule comparator="Eq" title="按单项计提坏账准备的应收账款明细-坏账准备" test=" $_GBC_26e84448d9914528b3a5cfa0964fc87d" id="Ccc5bb5942ca8423185889863133c3b68"/>
        <m:axisValue occRef="母公司"/>
      </m:item>
      <m:item xlName="_GBC_c6bd386d263144a580fddac668d8a087" concept="clcid-pte:AnDanXiangJiTiHuaiZhangZhunBeiDeYingShouZhangKuanHuaiZhangZhunBeiJiTiBiLi" label="按单项计提坏账准备的应收账款坏账准备计提比例" addr="T0R4C3S1_1" baseScale="0.01" formatStyle="Comma" appId="_GBC_6aa7698e624f4481b0cf894058a63961">
        <m:complexRule comparator="Eq" title="按单项计提坏账准备的应收账款明细-坏账准备计提比例" id="C67a89d9fa74e4c54b50c0b9366db173d"/>
        <m:axisValue occRef="母公司"/>
      </m:item>
      <m:item xlName="_GBC_4623c8695a494e53b6a615e5a9c7e0ea" concept="clcid-pte:ShiFouShiYongMuGongSiYingShouZhangKuanAnDanXiangJiTiHuaiZhangZhunBeiDeShuoMing" label="是否适用：母公司应收账款按单项计提坏账准备的说明" selectOptions="_buildInAppliance" controlType="CustomCheckbox" cRanges="[{&quot;StartName&quot;:&quot;_GBC_4623c8695a494e53b6a615e5a9c7e0ea&quot;,&quot;EndName&quot;:&quot;_GBC_708cb271301645c19ed60229f1893d86&quot;,&quot;CType&quot;:1}]"/>
      <m:item xlName="_GBC_708cb271301645c19ed60229f1893d86" concept="clcid-pte:AnDanXiangJiTiHuaiZhangZhunBeiDeYingShouZhangKuanShuoMing" label="按单项计提坏账准备的应收账款说明" appId="_GBC_4623c8695a494e53b6a615e5a9c7e0ea">
        <m:axisValue occRef="母公司"/>
      </m:item>
    </m:section>
    <m:item xlName="_GBC_bf96e631f2cf4f6a876dff49863ee9d3" concept="clcid-ci-ar:ShiFouShiYongMuGongSiYingShouZhangKuanAnZuHeJiTiHuaiZhangZhunBei" label="是否适用：母公司应收账款按组合计提坏账准备" selectOptions="_buildInAppliance" controlType="CustomCheckbox" cRanges="[{&quot;StartName&quot;:&quot;_GBC_bf96e631f2cf4f6a876dff49863ee9d3&quot;,&quot;EndName&quot;:&quot;_SEC_6113a97431b44a51b796257dc3b7c6cb&quot;,&quot;CType&quot;:1}]"/>
    <m:section xlName="_SEC_6113a97431b44a51b796257dc3b7c6cb" title="组合计提项目" repeatable="1" tupleConcept="clcid-pte:AnZuHeJiTiHuaiZhangZhunBeiDeYingShouZhangKuanXiangXiMingXi">
      <m:item xlName="_GBC_c2c49e08c13c49f5b854cd65f748bccc" isNeedToFill="true" contributeOptionTo="_GBC_1d1150cff5254d829cba03da56c2e941" concept="clcid-pte:AnZuHeJiTiHuaiZhangZhunBeiDeYingShouZhangKuanMingXiZuHeMingCheng" label="按组合计提坏账准备的应收账款明细-组合名称" controlType="Combobox" appId="_GBC_bf96e631f2cf4f6a876dff49863ee9d3">
        <m:axisValue occRef="母公司"/>
      </m:item>
      <m:item xlName="_GBC_eddb8416e4854df0b69f43851a8eba2b" concept="clcid-pte:DanWeiMuGongSiYingShouZhangKuanAnZuHeJiTiHuaiZhangZhunBei" label="单位：母公司应收账款按组合计提坏账准备" selectOptions="_buildInScales" controlType="Combobox" cellType="Scale" appId="_GBC_bf96e631f2cf4f6a876dff49863ee9d3"/>
      <m:item xlName="_GBC_326d8b8532c4476aa9c90eaa469806e2" concept="clcid-pte:BiZhongMuGongSiYingShouZhangKuanAnZuHeJiTiHuaiZhangZhunBei" label="币种：母公司应收账款按组合计提坏账准备" selectOptions="_buildInISO4217" controlType="Combobox" cellType="Measure" appId="_GBC_bf96e631f2cf4f6a876dff49863ee9d3"/>
      <m:placeholder xlName="_PLD_017679ab9c8247c6b2e334fd90bf61e9" addr="T0R0C0S2_1"/>
      <m:placeholder xlName="_PLD_5135cd56467d4853affa6d0ae484f326" addr="T0R0C1S1_3"/>
      <m:placeholder xlName="_PLD_6853d362c1364938aec50c34a4c1b2be" addr="T0R1C1S1_1"/>
      <m:placeholder xlName="_PLD_497956cded5b48c4b4741462475810da" addr="T0R1C2S1_1"/>
      <m:placeholder xlName="_PLD_abeb28def5684beab5ea48273044d861" addr="T0R1C3S1_1"/>
      <m:tuple xlName="_TUP_f0c1437e418b477abdaa018db20308d6" concept="clcid-pte:AnZuHeJiTiHuaiZhangZhunBeiDeYingShouZhangKuanXiangXiMingChengMingXi" default_row="2" addr="T0R2C">
        <m:item xlName="_GBC_da31079ce88a4f0689633881f997456e" concept="clcid-pte:AnZuHeJiTiHuaiZhangZhunBeiDeYingShouZhangKuanXiangXiMingChengMingXiMingCheng" label="按组合计提坏账准备的应收账款详细名称明细-名称" addr="T0R2C0S1_1" appId="_GBC_bf96e631f2cf4f6a876dff49863ee9d3">
          <m:axisValue occRef="母公司"/>
        </m:item>
        <m:item xlName="_GBC_d3d58aa07f7b448b8889295e7d0cfddc" concept="clcid-pte:AnZuHeJiTiHuaiZhangZhunBeiDeYingShouZhangKuanXiangXiMingChengMingXiZhangMianYuE" label="按组合计提坏账准备的应收账款详细名称明细-账面余额" mulRef="_GBC_eddb8416e4854df0b69f43851a8eba2b" unitRef="_GBC_326d8b8532c4476aa9c90eaa469806e2" addr="T0R2C1S1_1" formatStyle="Comma" appId="_GBC_bf96e631f2cf4f6a876dff49863ee9d3">
          <m:axisValue occRef="母公司"/>
        </m:item>
        <m:item xlName="_GBC_58219ebacad1469fa36a770842ab4a78" concept="clcid-pte:AnZuHeJiTiHuaiZhangZhunBeiDeYingShouZhangKuanXiangXiMingChengMingXiHuaiZhangZhunBei" label="按组合计提坏账准备的应收账款详细名称明细-坏账准备" mulRef="_GBC_eddb8416e4854df0b69f43851a8eba2b" unitRef="_GBC_326d8b8532c4476aa9c90eaa469806e2" addr="T0R2C2S1_1" formatStyle="Comma" appId="_GBC_bf96e631f2cf4f6a876dff49863ee9d3">
          <m:axisValue occRef="母公司"/>
        </m:item>
        <m:item xlName="_GBC_86e6f28d315f403a83a9765ee831077e" concept="clcid-pte:AnZuHeJiTiHuaiZhangZhunBeiDeYingShouZhangKuanXiangXiMingChengMingXiHuaiZhangZhunBeiJiTiBiLi" label="按组合计提坏账准备的应收账款详细名称明细-坏账准备计提比例" addr="T0R2C3S1_1" baseScale="0.01" formatStyle="Comma" appId="_GBC_bf96e631f2cf4f6a876dff49863ee9d3">
          <m:axisValue occRef="母公司"/>
        </m:item>
      </m:tuple>
      <m:placeholder xlName="_PLD_435948144728481980336a881622f9ca" addr="T0R4C0S1_1"/>
      <m:item xlName="_GBC_9f838edfeeb4469da797263d5dad3416" concept="clcid-pte:AnZuHeJiTiHuaiZhangZhunBeiDeYingShouZhangKuanMingXiZhangMianYuE" label="按组合计提坏账准备的应收账款明细-账面余额" mulRef="_GBC_eddb8416e4854df0b69f43851a8eba2b" unitRef="_GBC_326d8b8532c4476aa9c90eaa469806e2" addr="T0R4C1S1_1" formatStyle="Comma" appId="_GBC_bf96e631f2cf4f6a876dff49863ee9d3">
        <m:complexRule comparator="Eq" title="按组合计提坏账准备的应收账款明细-账面余额" id="C82a9056f965947cb9fb6f079df56df13"/>
        <m:axisValue occRef="母公司"/>
      </m:item>
      <m:item xlName="_GBC_d657c0336e4347c386a61ef250f5fb08" concept="clcid-pte:AnZuHeJiTiHuaiZhangZhunBeiDeYingShouZhangKuanMingXiHuaiZhangZhunBeiJinE" label="按组合计提坏账准备的应收账款明细-坏账准备金额" mulRef="_GBC_eddb8416e4854df0b69f43851a8eba2b" unitRef="_GBC_326d8b8532c4476aa9c90eaa469806e2" addr="T0R4C2S1_1" formatStyle="Comma" appId="_GBC_bf96e631f2cf4f6a876dff49863ee9d3">
        <m:complexRule comparator="Eq" title="按组合计提坏账准备的应收账款明细-坏账准备金额" id="Cc76f9eee35d54df4bd8181f1696c277b"/>
        <m:axisValue occRef="母公司"/>
      </m:item>
      <m:item xlName="_GBC_f7a05bb085ca4688a5d938329a1c6947" concept="clcid-pte:AnZuHeJiTiHuaiZhangZhunBeiDeYingShouZhangKuanMingXiHuaiZhangZhunBeiBiLi" label="按组合计提坏账准备的应收账款明细-坏账准备比例" addr="T0R4C3S1_1" baseScale="0.01" formatStyle="Comma" appId="_GBC_bf96e631f2cf4f6a876dff49863ee9d3">
        <m:complexRule comparator="Eq" title="按组合计提坏账准备的应收账款明细-坏账准备比例" id="Ca08f6b683bda437688b51783d8dd0f46"/>
        <m:axisValue occRef="母公司"/>
      </m:item>
      <m:item xlName="_GBC_186c78f5430148f29cc239ac6b530e5e" concept="clcid-pte:ShiFouShiYongMuGongSiYingShouZhangKuanAnZuHeJiTiHuaiZhangDeQueRenBiaoZhunJiShuoMing" label="是否适用：母公司应收账款按组合计提坏账的确认标准及说明" selectOptions="_buildInAppliance" controlType="CustomCheckbox" cRanges="[{&quot;StartName&quot;:&quot;_GBC_186c78f5430148f29cc239ac6b530e5e&quot;,&quot;EndName&quot;:&quot;_GBC_44764ec9190a45788b0ca783ff9fb361&quot;,&quot;CType&quot;:1}]"/>
      <m:item xlName="_GBC_44764ec9190a45788b0ca783ff9fb361" concept="clcid-pte:AnZuHeJiTiHuaiZhangZhunBeiDeYingShouZhangKuanQueRenBiaoZhun" label="按组合计提坏账准备的应收账款确认标准" appId="_GBC_186c78f5430148f29cc239ac6b530e5e">
        <m:axisValue occRef="母公司"/>
      </m:item>
    </m:section>
    <m:section xlName="_SEC_0daf1df16ecd4ddb95ab2ba88474abac" title="如按预期信用损失一般模型计提坏账准备，请参照其他应收款披露：">
      <m:item xlName="_GBC_549d8a07d3e545ee8ada79b15a8ba3e9" concept="clcid-ci-ar:ShiFouShiYongMuGongSiYingShouZhangKuanAnYiBanYuJiXinYongSunShiMoXingJiTiHuaiZhang" label="是否适用：母公司应收账款按一般预计信用损失模型计提坏账" selectOptions="_buildInAppliance" controlType="CustomCheckbox" cRanges="[{&quot;StartName&quot;:&quot;_GBC_549d8a07d3e545ee8ada79b15a8ba3e9&quot;,&quot;EndName&quot;:&quot;_GBC_24917a473dda4a44b7dd5ccf2901f2d4&quot;,&quot;CType&quot;:1}]"/>
      <m:item xlName="_GBC_24917a473dda4a44b7dd5ccf2901f2d4" concept="clcid-pte:YingShouZhangKuanAnYiBanYuJiXinYongSunShiMoXingJiTiHuaiZhang" label="应收账款按一般预计信用损失模型计提坏账" appId="_GBC_549d8a07d3e545ee8ada79b15a8ba3e9">
        <m:axisValue occRef="母公司"/>
      </m:item>
    </m:section>
    <m:item xlName="_GBC_f73789de2ecf49c4bad380c8767c93cf" concept="clcid-ci-ar:ShiFouShiYongMuGongSiYingShouZhangKuanHuaiZhangZhunBeiQingKuang" label="是否适用：母公司应收账款坏账准备情况" selectOptions="_buildInAppliance" controlType="CustomCheckbox" cRanges="[{&quot;StartName&quot;:&quot;_GBC_f73789de2ecf49c4bad380c8767c93cf&quot;,&quot;EndName&quot;:&quot;_SEC_1d771df7b6f44c3999ed9d4bceb75d3a&quot;,&quot;CType&quot;:1}]"/>
    <m:section xlName="_SEC_1d771df7b6f44c3999ed9d4bceb75d3a" title="单位：元 币种：人民币类别期初余额本期变动金额期末余额计提...">
      <m:item xlName="_GBC_b1cb6a2ed32f4cbba0ff71c0724458cf" concept="clcid-ci-ar:DanWeiMuGongSiYingShouZhangKuanHuaiZhangZhunBeiQingKuang" label="单位：母公司应收账款坏账准备情况" selectOptions="_buildInScales" controlType="Combobox" cellType="Scale" appId="_GBC_f73789de2ecf49c4bad380c8767c93cf"/>
      <m:item xlName="_GBC_d354bf362fbe459f823a08ebfd7e3967" concept="clcid-ci-ar:BiZhongMuGongSiYingShouZhangKuanHuaiZhangZhunBeiQingKuang" label="币种：母公司应收账款坏账准备情况" selectOptions="_buildInISO4217" controlType="Combobox" cellType="Measure" appId="_GBC_f73789de2ecf49c4bad380c8767c93cf"/>
      <m:placeholder xlName="_PLD_f6bf13992bdc4b06bd6f364458e0df47" addr="T0R0C0S2_1"/>
      <m:placeholder xlName="_PLD_579b33cd0d7e490d998a64c9f202ccfb" addr="T0R0C1S2_1"/>
      <m:placeholder xlName="_PLD_2cbc55bce2ef44bbb40e4050dfe846f1" addr="T0R0C2S1_4"/>
      <m:placeholder xlName="_PLD_dcc9f714adf8465eb1a49da61466de1f" addr="T0R0C6S2_1"/>
      <m:placeholder xlName="_PLD_e4e43f7257b14faaaaf4b09b161bf7b7" addr="T0R1C2S1_1"/>
      <m:placeholder xlName="_PLD_bf7fb55a6c2a4d18926896fd921fc857" addr="T0R1C3S1_1"/>
      <m:placeholder xlName="_PLD_536d31c824d74db3baaa7f5b6cd0a9ec" addr="T0R1C4S1_1"/>
      <m:placeholder xlName="_PLD_32a7ce101f6b48d68c39e1edb6e78b82" addr="T0R1C5S1_1"/>
      <m:tuple xlName="_TUP_b4b5569b724a48fcad53c89b4a37cb1c" concept="clcid-pte:YingShouZhangKuanHuaiZhangZhunBeiMingXi" default_row="2" addr="T0R2C">
        <m:item xlName="_GBC_a22a719487324a76b0f54832cdd0a547" concept="clcid-pte:YingShouZhangKuanHuaiZhangZhunBeiMingXiLeiBie" label="应收账款坏账准备明细-类别" addr="T0R2C0S1_1" appId="_GBC_f73789de2ecf49c4bad380c8767c93cf">
          <m:axisValue occRef="母公司"/>
        </m:item>
        <m:item xlName="_GBC_1ad7331922d9491cb67594702952534a" concept="clcid-pte:YingShouZhangKuanHuaiZhangZhunBeiMingXiFaShengE" label="应收账款坏账准备明细-发生额" periodRef="本期期初数" mulRef="_GBC_b1cb6a2ed32f4cbba0ff71c0724458cf" unitRef="_GBC_d354bf362fbe459f823a08ebfd7e3967" addr="T0R2C1S1_1" formatStyle="Comma" appId="_GBC_f73789de2ecf49c4bad380c8767c93cf">
          <m:axisValue occRef="母公司"/>
        </m:item>
        <m:item xlName="_GBC_2a698a7a7bf9408ebedee52b7dfc294d" concept="clcid-pte:YingShouZhangKuanHuaiZhangZhunBeiMingXiBenQiJiTi" label="应收账款坏账准备明细-本期计提" mulRef="_GBC_b1cb6a2ed32f4cbba0ff71c0724458cf" unitRef="_GBC_d354bf362fbe459f823a08ebfd7e3967" addr="T0R2C2S1_1" formatStyle="Comma" appId="_GBC_f73789de2ecf49c4bad380c8767c93cf">
          <m:axisValue occRef="母公司"/>
        </m:item>
        <m:item xlName="_GBC_7db0ba6377bc4d57bc6a23b86de8f13a" concept="clcid-pte:YingShouZhangKuanHuaiZhangZhunBeiMingXiShouHuiHuoZhuanHui" label="应收账款坏账准备明细-收回或转回" mulRef="_GBC_b1cb6a2ed32f4cbba0ff71c0724458cf" unitRef="_GBC_d354bf362fbe459f823a08ebfd7e3967" addr="T0R2C3S1_1" formatStyle="Comma" appId="_GBC_f73789de2ecf49c4bad380c8767c93cf">
          <m:axisValue occRef="母公司"/>
        </m:item>
        <m:item xlName="_GBC_5ec29f833df34a3eab3d2909fbf83940" concept="clcid-pte:YingShouZhangKuanHuaiZhangZhunBeiMingXiZhuanXiaoHuoHeXiao" label="应收账款坏账准备明细-转销或核销" mulRef="_GBC_b1cb6a2ed32f4cbba0ff71c0724458cf" unitRef="_GBC_d354bf362fbe459f823a08ebfd7e3967" addr="T0R2C4S1_1" formatStyle="Comma" appId="_GBC_f73789de2ecf49c4bad380c8767c93cf">
          <m:axisValue occRef="母公司"/>
        </m:item>
        <m:item xlName="_GBC_82bd51f250e14aeca385e047491520e5" concept="clcid-pte:YingShouZhangKuanHuaiZhangZhunBeiMingXiQiTaBianDong" label="应收账款坏账准备明细-其他变动" mulRef="_GBC_b1cb6a2ed32f4cbba0ff71c0724458cf" unitRef="_GBC_d354bf362fbe459f823a08ebfd7e3967" addr="T0R2C5S1_1" formatStyle="Comma" appId="_GBC_f73789de2ecf49c4bad380c8767c93cf">
          <m:axisValue occRef="母公司"/>
        </m:item>
        <m:item xlName="_GBC_2a659978374b4fde933f4de1712eb945" concept="clcid-pte:YingShouZhangKuanHuaiZhangZhunBeiMingXiFaShengE" label="应收账款坏账准备明细-发生额" mulRef="_GBC_b1cb6a2ed32f4cbba0ff71c0724458cf" unitRef="_GBC_d354bf362fbe459f823a08ebfd7e3967" addr="T0R2C6S1_1" formatStyle="Comma" appId="_GBC_f73789de2ecf49c4bad380c8767c93cf">
          <m:axisValue occRef="母公司"/>
        </m:item>
      </m:tuple>
      <m:placeholder xlName="_PLD_305ead24b9654c709cb715b961cef894" addr="T0R4C0S1_1"/>
      <m:item xlName="_GBC_e2bfdf74c39c471b9120ff22e01cea8d" concept="clcid-pte:YingShouZhangKuanJiTiDeHuaiZhangZhunBeiYuE" label="应收账款计提的坏账准备余额" periodRef="本期期初数" mulRef="_GBC_b1cb6a2ed32f4cbba0ff71c0724458cf" unitRef="_GBC_d354bf362fbe459f823a08ebfd7e3967" addr="T0R4C1S1_1" formatStyle="Comma" appId="_GBC_f73789de2ecf49c4bad380c8767c93cf">
        <m:complexRule comparator="Eq" title="应收账款计提的坏账准备余额@本期期初数" test=" $_GBC_1ad7331922d9491cb67594702952534a" id="C664003222c914a208d5d33df219f8344"/>
        <m:axisValue occRef="母公司"/>
      </m:item>
      <m:item xlName="_GBC_a4f45c78b13e40c99f9e8b20838560d4" concept="clcid-pte:YingShouZhangKuanHuaiZhangZhunBeiBenQiJiTi" label="应收账款坏账准备本期计提" mulRef="_GBC_b1cb6a2ed32f4cbba0ff71c0724458cf" unitRef="_GBC_d354bf362fbe459f823a08ebfd7e3967" addr="T0R4C2S1_1" formatStyle="Comma" appId="_GBC_f73789de2ecf49c4bad380c8767c93cf">
        <m:complexRule comparator="Eq" title="应收账款坏账准备本期计提" test=" $_GBC_2a698a7a7bf9408ebedee52b7dfc294d" id="C33a6b94570d940d589788d9c37d0e97e"/>
        <m:axisValue occRef="母公司"/>
      </m:item>
      <m:item xlName="_GBC_7c0076aaed71499a96b705b4af1e4304" concept="clcid-pte:YingShouZhangKuanHuaiZhangZhunBeiBenQiShouHuiHuoZhuanHui" label="应收账款坏账准备本期收回或转回" mulRef="_GBC_b1cb6a2ed32f4cbba0ff71c0724458cf" unitRef="_GBC_d354bf362fbe459f823a08ebfd7e3967" addr="T0R4C3S1_1" formatStyle="Comma" appId="_GBC_f73789de2ecf49c4bad380c8767c93cf">
        <m:complexRule comparator="Eq" title="应收账款坏账准备本期收回或转回" test=" $_GBC_7db0ba6377bc4d57bc6a23b86de8f13a" id="Ca16c2438a96645788b17e86cb1dcb18c"/>
        <m:axisValue occRef="母公司"/>
      </m:item>
      <m:item xlName="_GBC_e108e533a000445e9b2911236f06acc8" concept="clcid-pte:YingShouZhangKuanHuaiZhangZhunBeiBenQiZhuanXiaoHuoHeXiao" label="应收账款坏账准备本期转销或核销" mulRef="_GBC_b1cb6a2ed32f4cbba0ff71c0724458cf" unitRef="_GBC_d354bf362fbe459f823a08ebfd7e3967" addr="T0R4C4S1_1" formatStyle="Comma" appId="_GBC_f73789de2ecf49c4bad380c8767c93cf">
        <m:complexRule comparator="Eq" title="应收账款坏账准备本期转销或核销" test=" $_GBC_5ec29f833df34a3eab3d2909fbf83940" id="Ccdcf59d4a44d441c87e78e956c062a0f"/>
        <m:axisValue occRef="母公司"/>
      </m:item>
      <m:item xlName="_GBC_47dc48192e2d4d14b0a1363aac34513a" concept="clcid-pte:YingShouZhangKuanHuaiZhangZhunBeiBenQiQiTaBianDong" label="应收账款坏账准备本期其他变动" mulRef="_GBC_b1cb6a2ed32f4cbba0ff71c0724458cf" unitRef="_GBC_d354bf362fbe459f823a08ebfd7e3967" addr="T0R4C5S1_1" formatStyle="Comma" appId="_GBC_f73789de2ecf49c4bad380c8767c93cf">
        <m:axisValue occRef="母公司"/>
      </m:item>
      <m:item xlName="_GBC_24a78b66029548179c3857193a4bc40e" concept="clcid-pte:YingShouZhangKuanJiTiDeHuaiZhangZhunBeiYuE" label="应收账款计提的坏账准备余额" mulRef="_GBC_b1cb6a2ed32f4cbba0ff71c0724458cf" unitRef="_GBC_d354bf362fbe459f823a08ebfd7e3967" addr="T0R4C6S1_1" formatStyle="Comma" appId="_GBC_f73789de2ecf49c4bad380c8767c93cf">
        <m:complexRule comparator="Eq" title="应收账款计提的坏账准备余额" test=" $_GBC_2a659978374b4fde933f4de1712eb945" id="Cef9aa176122341bf8284f7fe16ed2178"/>
        <m:axisValue occRef="母公司"/>
      </m:item>
    </m:section>
    <m:section xlName="_SEC_cfbe6c51f19042a4ad507f8066423e41" title="其中本期坏账准备收回或转回金额重要的：">
      <m:item xlName="_GBC_a6aa75dceb1749caaf0ac8239ed005c1" concept="clcid-ci-ar:ShiFouShiYongMuGongSiQiZhongBenQiHuaiZhangZhunBeiShouHuiHuoZhuanHuiJinEZhongYaoDe" label="是否适用：母公司其中本期坏账准备收回或转回金额重要的" selectOptions="_buildInAppliance" controlType="CustomCheckbox" cRanges="[{&quot;StartName&quot;:&quot;_GBC_a6aa75dceb1749caaf0ac8239ed005c1&quot;,&quot;EndName&quot;:&quot;_GBC_147b0884ea4943c49082d4a127fec8ce&quot;,&quot;CType&quot;:1}]"/>
      <m:item xlName="_GBC_0f2ffa12bc214f5887b3dcdcdf40e2ab" concept="clcid-ci-ar:DanWeiMuGongSiZhuanHuiHuoShouHuiQingKuang" label="单位：母公司转回或收回情况" selectOptions="_buildInScales" controlType="Combobox" cellType="Scale" appId="_GBC_a6aa75dceb1749caaf0ac8239ed005c1"/>
      <m:item xlName="_GBC_51d5bc27b08749808719bd3440c332a4" concept="clcid-ci-ar:BiZhongMuGongSiZhuanHuiHuoShouHuiQingKuang" label="币种：母公司转回或收回情况" selectOptions="_buildInISO4217" controlType="Combobox" cellType="Measure" appId="_GBC_a6aa75dceb1749caaf0ac8239ed005c1"/>
      <m:placeholder xlName="_PLD_d8eda78450f848ac8c53761e719df794" addr="T0R0C0S1_1"/>
      <m:placeholder xlName="_PLD_e5b9b940d42148628e083552aa383c3d" addr="T0R0C1S1_1"/>
      <m:placeholder xlName="_PLD_eaaccfc5ede647ba8a8bf3ee51cda569" addr="T0R0C2S1_1"/>
      <m:tuple xlName="_TUP_2a9b7abd9ab342f0b9daec84f599de06" concept="clcid-pte:ZhuanHuiHuoShouHuiDeYingShouZhangKuanMingXi" default_row="2" addr="T0R1C">
        <m:item xlName="_GBC_1864964933f14f22a4f6ccf38231b8d0" concept="clcid-pte:ZhuanHuiHuoShouHuiDeYingShouZhangKuanMingXiDanWeiMingCheng" label="转回或收回的应收账款明细-单位名称" addr="T0R1C0S1_1" appId="_GBC_a6aa75dceb1749caaf0ac8239ed005c1">
          <m:axisValue occRef="母公司"/>
        </m:item>
        <m:item xlName="_GBC_81e4156c4b3146eca5f61dbc3d3e6bef" concept="clcid-pte:ZhuanHuiHuoShouHuiDeYingShouZhangKuanMingXiZhuanHuiHuoShouHuiJinE" label="转回或收回的应收账款明细-转回或收回金额" mulRef="_GBC_0f2ffa12bc214f5887b3dcdcdf40e2ab" unitRef="_GBC_51d5bc27b08749808719bd3440c332a4" addr="T0R1C1S1_1" formatStyle="Comma" appId="_GBC_a6aa75dceb1749caaf0ac8239ed005c1">
          <m:axisValue occRef="母公司"/>
        </m:item>
        <m:item xlName="_GBC_b9298d442792495fb917c120c5e8860c" concept="clcid-pte:ZhuanHuiHuoShouHuiDeYingShouZhangKuanMingXiShouHuiFangShi" label="转回或收回的应收账款明细-收回方式" addr="T0R1C2S1_1" appId="_GBC_a6aa75dceb1749caaf0ac8239ed005c1">
          <m:axisValue occRef="母公司"/>
        </m:item>
      </m:tuple>
      <m:placeholder xlName="_PLD_0b375d6834d647d1a88cfeeb13a12e39" addr="T0R3C0S1_1"/>
      <m:item xlName="_GBC_4c57988650344181b61f503cc2eb1369" concept="clcid-pte:HuaiZhangZhunBeiZhuanHuiHuoShouHuiJinEHeJi" label="坏账准备转回或收回金额合计" mulRef="_GBC_0f2ffa12bc214f5887b3dcdcdf40e2ab" unitRef="_GBC_51d5bc27b08749808719bd3440c332a4" addr="T0R3C1S1_1" formatStyle="Comma" appId="_GBC_a6aa75dceb1749caaf0ac8239ed005c1">
        <m:complexRule comparator="Eq" title="母公司坏账准备转回或收回金额合计" test=" $_GBC_81e4156c4b3146eca5f61dbc3d3e6bef" id="C37210223878e45eab73b9621d9996654"/>
        <m:axisValue occRef="母公司"/>
      </m:item>
      <m:item xlName="_GBC_147b0884ea4943c49082d4a127fec8ce" concept="clcid-pte:YingShouZhangKuanHuaiZhangZhunBeiZhuanHuiHuoShouHuiJinEZhongYaoDeShuoMing" label="应收账款坏账准备转回或收回金额重要的说明" appId="_GBC_a6aa75dceb1749caaf0ac8239ed005c1">
        <m:axisValue occRef="母公司"/>
      </m:item>
    </m:section>
    <m:section xlName="_GBC_72fe1bcd09e2470f910107f1e159af49" title="本报告期实际核销的应收账款情况" convertSummaryRule="NoConvert" helpId="112002207">
      <m:item xlName="_GBC_a8b9861b74fa43bdb4a98d13449f8f5e" concept="clcid-ci-ar:ShiFouShiYongMuGongSiBenQiShiJiHeXiaoDeYingShouZhangKuanQingKuang" label="是否适用：母公司本期实际核销的应收账款情况" selectOptions="_buildInAppliance" controlType="CustomCheckbox" cRanges="{&quot;StartName&quot;:&quot;_GBC_a8b9861b74fa43bdb4a98d13449f8f5e&quot;,&quot;EndName&quot;:&quot;_GBC_aaf3aaa6543846d984e1272afb995b3c&quot;,&quot;CType&quot;:1,&quot;DisplayText&quot;:null}"/>
      <m:item xlName="_GBC_a5c3b5e8c8bf477abc83c1766768abf2" concept="clcid-ci-ar:DanWeiMuGongSiCaiWuFuZhuBenBaoGaoQiShiJiHeXiaoDeYingShouKuanXiangQingKuang" label="单位：母公司财务附注：本报告期实际核销的应收款项情况" selectOptions="_buildInScales" controlType="Combobox" cellType="Scale" appId="_GBC_a8b9861b74fa43bdb4a98d13449f8f5e"/>
      <m:item xlName="_GBC_c46c6c481aca4428892d83e0d45ec77c" concept="clcid-ci-ar:BiZhongMuGongSiCaiWuFuZhuBenBaoGaoQiShiJiHeXiaoDeYingShouKuanXiangQingKuang" label="币种：母公司财务附注：本报告期实际核销的应收款项情况" selectOptions="_buildInISO4217" controlType="Combobox" cellType="Measure" appId="_GBC_a8b9861b74fa43bdb4a98d13449f8f5e"/>
      <m:placeholder xlName="_PLD_06977e71d2fd4a558bb710c9c93c8d7e" addr="T0R0C0S1_1"/>
      <m:placeholder xlName="_PLD_d549a895a6504e78a6d7b9940814436d" addr="T0R0C1S1_1"/>
      <m:placeholder xlName="_PLD_d38750470cd147d58cc07b1163eb4417" addr="T0R1C0S1_1"/>
      <m:item xlName="_GBC_68ffc7bc79a44293b41ebc79dc49ab25" concept="clcid-pte:YingShouZhangKuanQianKuanChongXiaoHuaiZhangHeJi" label="应收帐款欠款冲销坏帐合计" mulRef="_GBC_a5c3b5e8c8bf477abc83c1766768abf2" unitRef="_GBC_c46c6c481aca4428892d83e0d45ec77c" addr="T0R1C1S1_1" formatStyle="Comma" appId="_GBC_a8b9861b74fa43bdb4a98d13449f8f5e">
        <m:axisValue occRef="母公司"/>
      </m:item>
      <m:item xlName="_GBC_827c9c10930747bc8ba843d89c64f1fb" concept="clcid-ci-ar:ShiFouShiYongMuGongSiQiZhongZhongYaoDeYingShouZhangKuanHeXiaoQingKuang" label="是否适用：母公司其中重要的应收账款核销情况" selectOptions="_buildInAppliance" controlType="CustomCheckbox" cRanges="{&quot;StartName&quot;:&quot;_GBC_827c9c10930747bc8ba843d89c64f1fb&quot;,&quot;EndName&quot;:&quot;_GBC_eadde2d2f26143c68fda0c66a77368e8&quot;,&quot;CType&quot;:1,&quot;DisplayText&quot;:null}"/>
      <m:item xlName="_GBC_00a50eb0f69d49f38104aea09cfe632b" concept="clcid-ci-ar:DanWeiMuGongSiCaiWuFuZhuZhongYaoDeYingShouZhangKuanHeXiaoQingKuang" label="单位：母公司财务附注：重要的应收账款核销情况" selectOptions="_buildInScales" controlType="Combobox" cellType="Scale" appId="_GBC_827c9c10930747bc8ba843d89c64f1fb"/>
      <m:item xlName="_GBC_e25c115617324a93949598680908bd5e" concept="clcid-ci-ar:BiZhongMuGongSiCaiWuFuZhuZhongYaoDeYingShouZhangKuanHeXiaoQingKuang" label="币种：母公司财务附注：重要的应收账款核销情况" selectOptions="_buildInISO4217" controlType="Combobox" cellType="Measure" appId="_GBC_827c9c10930747bc8ba843d89c64f1fb"/>
      <m:placeholder xlName="_PLD_ef822e79b4f744b2bfebb5ba13644c02" addr="T1R0C0S1_1"/>
      <m:placeholder xlName="_PLD_c7e063993f9f4478bcd1a8defcc467dd" addr="T1R0C1S1_1"/>
      <m:placeholder xlName="_PLD_7b53aea078f24908bf0a45041b28c094" addr="T1R0C2S1_1"/>
      <m:placeholder xlName="_PLD_690faca8f6204788aa83e4fe9af646e5" addr="T1R0C3S1_1"/>
      <m:placeholder xlName="_PLD_081c5756edf44eb38dff613405e6dbf3" addr="T1R0C4S1_1"/>
      <m:placeholder xlName="_PLD_e5dee4a72a6d48a1b9ea4fbf142f41ef" addr="T1R0C5S1_1"/>
      <m:tuple xlName="_GBC_d1d881e486594c84b53fba8ecf651c49" concept="clcid-pte:ZhongYaoDeYingShouZhangKuanHeXiaoMingXi" default_row="2" addr="T1R1C">
        <m:item xlName="_GBC_3f01200d3998412eb04c31ef63cba741" concept="clcid-pte:ZhongYaoDeYingShouZhangKuanHeXiaoMingXiDanWeiMingCheng" label="重要的应收账款核销明细-单位名称" addr="T1R1C0S1_1" appId="_GBC_827c9c10930747bc8ba843d89c64f1fb">
          <m:axisValue occRef="母公司"/>
        </m:item>
        <m:item xlName="_GBC_107145a032ca4e52bc8ffa6edd123a1e" concept="clcid-pte:ZhongYaoDeYingShouZhangKuanHeXiaoMingXiYingShouZhangKuanXingZhi" label="重要的应收账款核销明细-应收账款性质" addr="T1R1C1S1_1" appId="_GBC_827c9c10930747bc8ba843d89c64f1fb">
          <m:axisValue occRef="母公司"/>
        </m:item>
        <m:item xlName="_GBC_ffe3ab1aa5a845cdb14315444832e5fe" concept="clcid-pte:ZhongYaoDeYingShouZhangKuanHeXiaoMingXiHeXiaoJinE" label="重要的应收账款核销明细-核销金额" mulRef="_GBC_00a50eb0f69d49f38104aea09cfe632b" unitRef="_GBC_e25c115617324a93949598680908bd5e" addr="T1R1C2S1_1" formatStyle="Comma" appId="_GBC_827c9c10930747bc8ba843d89c64f1fb">
          <m:axisValue occRef="母公司"/>
        </m:item>
        <m:item xlName="_GBC_7f87d8491a684f8c97e6e3f733d8b79a" concept="clcid-pte:ZhongYaoDeYingShouZhangKuanHeXiaoMingXiHeXiaoYuanYin" label="重要的应收账款核销明细-核销原因" addr="T1R1C3S1_1" appId="_GBC_827c9c10930747bc8ba843d89c64f1fb">
          <m:axisValue occRef="母公司"/>
        </m:item>
        <m:item xlName="_GBC_09fa040002cf4a419a86177a0a0d0ecf" concept="clcid-pte:ZhongYaoDeYingShouZhangKuanHeXiaoMingXiLvXingDeHeXiaoChengXu" label="重要的应收账款核销明细-履行的核销程序" addr="T1R1C4S1_1" appId="_GBC_827c9c10930747bc8ba843d89c64f1fb">
          <m:axisValue occRef="母公司"/>
        </m:item>
        <m:item xlName="_GBC_9a428960de2141f49e75f4e15b55eb8e" concept="clcid-pte:ZhongYaoDeYingShouZhangKuanHeXiaoMingXiKuanXiangShiFouYinGuanLianJiaoYiChanSheng" label="重要的应收账款核销明细-款项是否因关联交易产生" selectOptions="_buildInYesNo" addr="T1R1C5S1_1" controlType="Combobox" appId="_GBC_827c9c10930747bc8ba843d89c64f1fb">
          <m:axisValue occRef="母公司"/>
        </m:item>
      </m:tuple>
      <m:placeholder xlName="_PLD_cea02fcff7304f15a6a7bb0cd670d592" addr="T1R3C0S1_1"/>
      <m:item xlName="_GBC_eadde2d2f26143c68fda0c66a77368e8" concept="clcid-pte:ZhongYaoDeYingShouZhangKuanHeXiaoJinEHeJi" label="重要的应收账款核销金额合计" mulRef="_GBC_00a50eb0f69d49f38104aea09cfe632b" unitRef="_GBC_e25c115617324a93949598680908bd5e" addr="T1R3C2S1_1" formatStyle="Comma" appId="_GBC_827c9c10930747bc8ba843d89c64f1fb">
        <m:complexRule comparator="Eq" title="母公司重要的应收账款核销金额合计" test=" $_GBC_ffe3ab1aa5a845cdb14315444832e5fe" id="C895496da734c496f9d4be70c071d1946"/>
        <m:axisValue occRef="母公司"/>
      </m:item>
      <m:item xlName="_GBC_36d2cef3128f4b3389b38ed29442e2b3" concept="clcid-ci-ar:ShiFouShiYongMuGongSiYingShouZhangKuanHeXiaoShuoMing" label="是否适用：母公司应收账款核销说明" selectOptions="_buildInAppliance" controlType="CustomCheckbox" cRanges="{&quot;StartName&quot;:&quot;_GBC_36d2cef3128f4b3389b38ed29442e2b3&quot;,&quot;EndName&quot;:&quot;_GBC_aaf3aaa6543846d984e1272afb995b3c&quot;,&quot;CType&quot;:1,&quot;DisplayText&quot;:null}"/>
      <m:item xlName="_GBC_aaf3aaa6543846d984e1272afb995b3c" concept="clcid-pte:YingShouZhangKuanChongXiaoHuaiZhangMingXiDeShuoMing" label="应收帐款冲销坏帐明细的说明" appId="_GBC_36d2cef3128f4b3389b38ed29442e2b3">
        <m:axisValue occRef="母公司"/>
      </m:item>
    </m:section>
    <m:section xlName="_GBC_60192a235b1d4a9bb5f69fafe3ab6f87" title="按欠款方归集的期末余额前五名的应收账款情况" helpId="112002207" helpText="注：按欠款方集中度，汇总或分别披露期末余额前五名的应收账款的期末余额及占应收账款期末余额合计数的比例，以及相应计提的坏账准备期末余额。">
      <m:item xlName="_GBC_6ebf56800d554857af86eb226ac98f28" concept="clcid-ci-ar:ShiFouShiYongMuGongSiAnQianKuanFangGuiJiDeQiMoYuEQianWuMingDeYingShouZhangKuanQingKuang" label="是否适用：母公司按欠款方归集的期末余额前五名的应收账款情况" selectOptions="_buildInAppliance" controlType="CustomCheckbox" cRanges="{&quot;StartName&quot;:&quot;_GBC_6ebf56800d554857af86eb226ac98f28&quot;,&quot;EndName&quot;:&quot;_GBC_fb5c8a787a404b5f93e696afb6756e6c&quot;,&quot;CType&quot;:1,&quot;DisplayText&quot;:null}"/>
      <m:item xlName="_GBC_fb5c8a787a404b5f93e696afb6756e6c" concept="clcid-pte:AnQianKuanFangGuiJiDeQiMoYuEQianWuMingDeYingShouZhangKuanQingKuangDeShuoMing" label="按欠款方归集的期末余额前五名的应收账款情况的说明" appId="_GBC_6ebf56800d554857af86eb226ac98f28">
        <m:axisValue occRef="母公司"/>
      </m:item>
    </m:section>
    <m:section xlName="_GBC_ab73666b561d47cbb383aa21715b406f" title="因金融资产转移而终止确认的应收账款" helpId="112002207" helpText="注：说明金融资产转移的方式、终止确认的应收款项金额，及与终止确认相关的利得或损失。">
      <m:item xlName="_GBC_452701102453497e8ab0df8e4c523df9" concept="clcid-ci-ar:ShiFouShiYongMuGongSiYinJinRongZiChanZhuanYiErZhongZhiQueRenDeYingShouZhangKuan" label="是否适用：母公司因金融资产转移而终止确认的应收账款" selectOptions="_buildInAppliance" controlType="CustomCheckbox" cRanges="{&quot;StartName&quot;:&quot;_GBC_452701102453497e8ab0df8e4c523df9&quot;,&quot;EndName&quot;:&quot;_GBC_3a25b9c657874e0ea64c0d8863d9911b&quot;,&quot;CType&quot;:1,&quot;DisplayText&quot;:null}"/>
      <m:item xlName="_GBC_3a25b9c657874e0ea64c0d8863d9911b" concept="clcid-pte:YinJinRongZiChanZhuanYiErZhongZhiQueRenDeYingShouZhangKuan" label="因金融资产转移而终止确认的应收账款" formatStyle="Comma" appId="_GBC_452701102453497e8ab0df8e4c523df9">
        <m:axisValue occRef="母公司"/>
      </m:item>
    </m:section>
    <m:section xlName="_GBC_0fefb2630375419f8e496c310f6ec9ee" title="转移应收账款且继续涉入的，分项列示继续涉入形成的资产、负债的金额" helpId="112002207" helpText="注：说明金融资产转移的方式，分项列示继续涉入形成的资产、负债的金额。">
      <m:item xlName="_GBC_18ab0f336ea34b009b496f240cc35a39" concept="clcid-ci-ar:ShiFouShiYongMuGongSiZhuanYiYingShouZhangKuanQieJiXuSheRuXingChengDeZiChanFuZhaiJinE" label="是否适用：母公司转移应收账款且继续涉入形成的资产、负债金额" selectOptions="_buildInAppliance" controlType="CustomCheckbox" cRanges="{&quot;StartName&quot;:&quot;_GBC_18ab0f336ea34b009b496f240cc35a39&quot;,&quot;EndName&quot;:&quot;_GBC_693a01606c464268b87037dc72f096b7&quot;,&quot;CType&quot;:1,&quot;DisplayText&quot;:null}"/>
      <m:item xlName="_GBC_693a01606c464268b87037dc72f096b7" concept="clcid-pte:ZhuanYiYingShouZhangKuanQieJiXuSheRuDeFenXiangLieShiJiXuSheRuXingChengDeZiChanFuZhaiDeJinE" label="转移应收账款且继续涉入的，分项列示继续涉入形成的资产、负债的金额" formatStyle="Comma" appId="_GBC_18ab0f336ea34b009b496f240cc35a39">
        <m:axisValue occRef="母公司"/>
      </m:item>
    </m:section>
    <m:section xlName="_GBC_eac4abdf299a4312a10e680c5fc79ef9" title="其他说明：" helpId="112002207">
      <m:item xlName="_GBC_22a2c0a255e04aacadf1c076323bc980" concept="clcid-ci-ar:ShiFouShiYongMuGongSiYingShouZhangKuanQiTaShuoMing" label="是否适用：母公司应收账款其他说明" selectOptions="_buildInAppliance" controlType="CustomCheckbox" cRanges="{&quot;StartName&quot;:&quot;_GBC_22a2c0a255e04aacadf1c076323bc980&quot;,&quot;EndName&quot;:&quot;_GBC_050ad4436a034bc991ef13e9e868e8f8&quot;,&quot;CType&quot;:1,&quot;DisplayText&quot;:null}"/>
      <m:item xlName="_GBC_050ad4436a034bc991ef13e9e868e8f8" concept="clcid-pte:YingShouZhangKuanQiTaShuoMing" label="应收账款其他说明" appId="_GBC_22a2c0a255e04aacadf1c076323bc980">
        <m:axisValue occRef="母公司"/>
      </m:item>
    </m:section>
    <m:section xlName="_SEC_e2f0b728ae404babbb57dfbc1fafed13" title="项目列示">
      <m:item xlName="_GBC_529e259f053b47d993fd4e3216204522" concept="clcid-ci-ar:ShiFouShiYongMuGongSiQiTaYingShouKuanFenLeiLieShi" label="是否适用：母公司其他应收款分类列示" selectOptions="_buildInAppliance" controlType="CustomCheckbox" cRanges="[{&quot;StartName&quot;:&quot;_GBC_529e259f053b47d993fd4e3216204522&quot;,&quot;EndName&quot;:&quot;_GBC_a49fda555b9b4c9682e3ad5b3045d642&quot;,&quot;CType&quot;:1}]"/>
      <m:item xlName="_GBC_306e86db57e64b00a9602dc7cbf81457" concept="clcid-ci-ar:DanWeiMuGongSiQiTaYingShouKuanFenLeiLieShi" label="单位：母公司其他应收款分类列示" selectOptions="_buildInScales" controlType="Combobox" cellType="Scale" appId="_GBC_529e259f053b47d993fd4e3216204522"/>
      <m:item xlName="_GBC_cd5866350ae3491e87e9f82a7ed2a7c3" concept="clcid-ci-ar:BiZhongMuGongSiQiTaYingShouKuanFenLeiLieShi" label="币种：母公司其他应收款分类列示" selectOptions="_buildInISO4217" controlType="Combobox" cellType="Measure" appId="_GBC_529e259f053b47d993fd4e3216204522"/>
      <m:placeholder xlName="_PLD_9b14d51b79194bdea749a527966a0a2e" addr="T0R0C0S1_1"/>
      <m:placeholder xlName="_PLD_1dd12447c07a4bf5b8eef82f2f9f5577" addr="T0R0C1S1_1"/>
      <m:placeholder xlName="_PLD_2701e42352ac4ea1ae4d64adf5d28e89" addr="T0R0C2S1_1"/>
      <m:placeholder xlName="_PLD_e88397c1546740a1aa89497da3258f71" addr="T0R1C0S1_1"/>
      <m:item xlName="_GBC_c16146fbb33e4c20a40a8ed198eb0779" concept="clcid-pte:YingShouLiXi" label="应收利息" mulRef="_GBC_306e86db57e64b00a9602dc7cbf81457" unitRef="_GBC_cd5866350ae3491e87e9f82a7ed2a7c3" addr="T0R1C1S1_1" formatStyle="Comma" appId="_GBC_529e259f053b47d993fd4e3216204522">
        <m:axisValue occRef="母公司"/>
      </m:item>
      <m:item xlName="_GBC_15dc49e4a2044819ab26f51780676bee" concept="clcid-pte:YingShouLiXi" label="应收利息" periodRef="本期期初数" mulRef="_GBC_306e86db57e64b00a9602dc7cbf81457" unitRef="_GBC_cd5866350ae3491e87e9f82a7ed2a7c3" addr="T0R1C2S1_1" formatStyle="Comma" appId="_GBC_529e259f053b47d993fd4e3216204522">
        <m:axisValue occRef="母公司"/>
      </m:item>
      <m:placeholder xlName="_PLD_11d00ac8309b4e85ac5c0ecfc4e39fdf" addr="T0R2C0S1_1"/>
      <m:item xlName="_GBC_2c27997eabfa49b9a3bd13231591f3db" concept="clcid-pte:YingShouGuLi" label="应收股利" mulRef="_GBC_306e86db57e64b00a9602dc7cbf81457" unitRef="_GBC_cd5866350ae3491e87e9f82a7ed2a7c3" addr="T0R2C1S1_1" formatStyle="Comma" appId="_GBC_529e259f053b47d993fd4e3216204522">
        <m:axisValue occRef="母公司"/>
      </m:item>
      <m:item xlName="_GBC_b21535adf3014f2481efc6b0729a984b" concept="clcid-pte:YingShouGuLi" label="应收股利" periodRef="本期期初数" mulRef="_GBC_306e86db57e64b00a9602dc7cbf81457" unitRef="_GBC_cd5866350ae3491e87e9f82a7ed2a7c3" addr="T0R2C2S1_1" formatStyle="Comma" appId="_GBC_529e259f053b47d993fd4e3216204522">
        <m:axisValue occRef="母公司"/>
      </m:item>
      <m:placeholder xlName="_PLD_42c4df4453344bc0910f3b3e20b096a2" addr="T0R3C0S1_1" helpText="此处的其他应收款指扣除应收利息、应收股利后的其他应收款"/>
      <m:item xlName="_GBC_608d6ef0d69c4384b93f952eed8e6382" concept="clcid-pte:QiTaYingShouKuanZhangMianJiaZhiHeJi" label="其他应收款账面价值合计" mulRef="_GBC_306e86db57e64b00a9602dc7cbf81457" unitRef="_GBC_cd5866350ae3491e87e9f82a7ed2a7c3" addr="T0R3C1S1_1" formatStyle="Comma" helpText="此处的其他应收款指扣除应收利息、应收股利后的其他应收款" appId="_GBC_529e259f053b47d993fd4e3216204522">
        <m:axisValue occRef="母公司"/>
      </m:item>
      <m:item xlName="_GBC_80a191c085e840b79126876acf101e94" concept="clcid-pte:QiTaYingShouKuanZhangMianJiaZhiHeJi" label="其他应收款账面价值合计" periodRef="本期期初数" mulRef="_GBC_306e86db57e64b00a9602dc7cbf81457" unitRef="_GBC_cd5866350ae3491e87e9f82a7ed2a7c3" addr="T0R3C2S1_1" formatStyle="Comma" helpText="此处的其他应收款指扣除应收利息、应收股利后的其他应收款" appId="_GBC_529e259f053b47d993fd4e3216204522">
        <m:axisValue occRef="母公司"/>
      </m:item>
      <m:placeholder xlName="_PLD_657f57c42bdf4019ba2e4df3e8e8d440" addr="T0R4C0S1_1"/>
      <m:item xlName="_GBC_ad581ca4c0b347e3b64d77eadcf492f4" concept="clcid-pte:QiTaYingShouKuan" label="其他应收款" mulRef="_GBC_306e86db57e64b00a9602dc7cbf81457" unitRef="_GBC_cd5866350ae3491e87e9f82a7ed2a7c3" addr="T0R4C1S1_1" formatStyle="Comma" appId="_GBC_529e259f053b47d993fd4e3216204522">
        <m:complexRule comparator="Eq" title="其他应收款" test=" $_GBC_c16146fbb33e4c20a40a8ed198eb0779 +  $_GBC_2c27997eabfa49b9a3bd13231591f3db +  $_GBC_608d6ef0d69c4384b93f952eed8e6382" id="Ccef31507f5a84583a69e82d65fbfb5e2"/>
        <m:axisValue occRef="母公司"/>
      </m:item>
      <m:item xlName="_GBC_16ebb84268e74bd4b2b2136e67803fa8" concept="clcid-pte:QiTaYingShouKuan" label="其他应收款" periodRef="本期期初数" mulRef="_GBC_306e86db57e64b00a9602dc7cbf81457" unitRef="_GBC_cd5866350ae3491e87e9f82a7ed2a7c3" addr="T0R4C2S1_1" formatStyle="Comma" appId="_GBC_529e259f053b47d993fd4e3216204522">
        <m:complexRule comparator="Eq" title="其他应收款@本期期初数" test=" $_GBC_15dc49e4a2044819ab26f51780676bee +  $_GBC_b21535adf3014f2481efc6b0729a984b +  $_GBC_80a191c085e840b79126876acf101e94" id="Ce0acab3071204f46a7d8a760d1cbd1ec"/>
        <m:axisValue occRef="母公司"/>
      </m:item>
      <m:item xlName="_GBC_87c9afe4c5c54a4b93c9b78663bd8bf3" concept="clcid-ci-ar:ShiFouShiYongMuGongSiQiTaYingShouKuanFenLeiLieShiQiTaShuoMing" label="是否适用：母公司其他应收款分类列示其他说明" selectOptions="_buildInAppliance" controlType="CustomCheckbox" cRanges="[{&quot;StartName&quot;:&quot;_GBC_87c9afe4c5c54a4b93c9b78663bd8bf3&quot;,&quot;EndName&quot;:&quot;_GBC_a49fda555b9b4c9682e3ad5b3045d642&quot;,&quot;CType&quot;:1}]"/>
      <m:item xlName="_GBC_a49fda555b9b4c9682e3ad5b3045d642" concept="clcid-pte:QiTaYingShouKuanFenLeiLieShiQiTaShuoMing" label="其他应收款分类列示其他说明" appId="_GBC_87c9afe4c5c54a4b93c9b78663bd8bf3">
        <m:axisValue occRef="母公司"/>
      </m:item>
    </m:section>
    <m:section xlName="_SEC_91e08163b2464f8cb5d135fd131f631f" title="应收利息分类">
      <m:item xlName="_GBC_7b29d5fc39c94a909c39eedf47c8008f" concept="clcid-ci-ar:ShiFouShiYongMuGongSiYingShouLiXiFenLei" label="是否适用：母公司应收利息分类" selectOptions="_buildInAppliance" controlType="CustomCheckbox" cRanges="[{&quot;StartName&quot;:&quot;_GBC_7b29d5fc39c94a909c39eedf47c8008f&quot;,&quot;EndName&quot;:&quot;_GBC_fdf5c8369b834eec9d26ba527f16bfc0&quot;,&quot;CType&quot;:1}]"/>
      <m:item xlName="_GBC_408b4f91762b4062b2ff33bf6cd2f04a" concept="clcid-ci-ar:DanWeiMuGongSiYingShouLiXiFenLei" label="单位：母公司应收利息分类" selectOptions="_buildInScales" controlType="Combobox" cellType="Scale" appId="_GBC_7b29d5fc39c94a909c39eedf47c8008f"/>
      <m:item xlName="_GBC_d9e4522b2a3a4b999e2ea654ffe832f2" concept="clcid-ci-ar:BiZhongMuGongSiYingShouLiXiFenLei" label="币种：母公司应收利息分类" selectOptions="_buildInISO4217" controlType="Combobox" cellType="Measure" appId="_GBC_7b29d5fc39c94a909c39eedf47c8008f"/>
      <m:placeholder xlName="_PLD_8f65ffa073004814b7588e5d550e6d55" addr="T0R0C0S1_1"/>
      <m:placeholder xlName="_PLD_8d7c73e7970a4d649b30978c67eac30e" addr="T0R0C1S1_1"/>
      <m:placeholder xlName="_PLD_8e50ae20c9bb42bab157bb221e1a1d60" addr="T0R0C2S1_1"/>
      <m:placeholder xlName="_PLD_993322770b68461a9a05d819496be75e" addr="T0R1C0S1_1"/>
      <m:item xlName="_GBC_96b7401c165d4b93b93bd3b91c465bf6" concept="clcid-pte:DingQiCunKuanYingShouLiXi" label="定期存款应收利息" mulRef="_GBC_408b4f91762b4062b2ff33bf6cd2f04a" unitRef="_GBC_d9e4522b2a3a4b999e2ea654ffe832f2" addr="T0R1C1S1_1" formatStyle="Comma" appId="_GBC_7b29d5fc39c94a909c39eedf47c8008f">
        <m:axisValue occRef="母公司"/>
      </m:item>
      <m:item xlName="_GBC_c40a070e117946239855dffc8f966a00" concept="clcid-pte:DingQiCunKuanYingShouLiXi" label="定期存款应收利息" periodRef="本期期初数" mulRef="_GBC_408b4f91762b4062b2ff33bf6cd2f04a" unitRef="_GBC_d9e4522b2a3a4b999e2ea654ffe832f2" addr="T0R1C2S1_1" formatStyle="Comma" appId="_GBC_7b29d5fc39c94a909c39eedf47c8008f">
        <m:axisValue occRef="母公司"/>
      </m:item>
      <m:placeholder xlName="_PLD_5c80041458084005ba79799c069b6a80" addr="T0R2C0S1_1"/>
      <m:item xlName="_GBC_3cf2d47b144e42b2928b99a2d6c10a2b" concept="clcid-pte:WeiTuoDaiKuanYingShouLiXi" label="委托贷款应收利息" mulRef="_GBC_408b4f91762b4062b2ff33bf6cd2f04a" unitRef="_GBC_d9e4522b2a3a4b999e2ea654ffe832f2" addr="T0R2C1S1_1" formatStyle="Comma" appId="_GBC_7b29d5fc39c94a909c39eedf47c8008f">
        <m:axisValue occRef="母公司"/>
      </m:item>
      <m:item xlName="_GBC_0d5b1aedc6a84a73a5ccce03f7fa4dd8" concept="clcid-pte:WeiTuoDaiKuanYingShouLiXi" label="委托贷款应收利息" periodRef="本期期初数" mulRef="_GBC_408b4f91762b4062b2ff33bf6cd2f04a" unitRef="_GBC_d9e4522b2a3a4b999e2ea654ffe832f2" addr="T0R2C2S1_1" formatStyle="Comma" appId="_GBC_7b29d5fc39c94a909c39eedf47c8008f">
        <m:axisValue occRef="母公司"/>
      </m:item>
      <m:placeholder xlName="_PLD_98c8decfd4f147f1ab3cfcfb4dd4f63a" addr="T0R3C0S1_1"/>
      <m:item xlName="_GBC_4d7cb8a1b4ab4b3f999513437a66f3f8" concept="clcid-pte:ZhaiQuanTouZiYingShouLiXi" label="债券投资应收利息" mulRef="_GBC_408b4f91762b4062b2ff33bf6cd2f04a" unitRef="_GBC_d9e4522b2a3a4b999e2ea654ffe832f2" addr="T0R3C1S1_1" formatStyle="Comma" appId="_GBC_7b29d5fc39c94a909c39eedf47c8008f">
        <m:axisValue occRef="母公司"/>
      </m:item>
      <m:item xlName="_GBC_8d36c4920bab4735a2322b22ca033ce2" concept="clcid-pte:ZhaiQuanTouZiYingShouLiXi" label="债券投资应收利息" periodRef="本期期初数" mulRef="_GBC_408b4f91762b4062b2ff33bf6cd2f04a" unitRef="_GBC_d9e4522b2a3a4b999e2ea654ffe832f2" addr="T0R3C2S1_1" formatStyle="Comma" appId="_GBC_7b29d5fc39c94a909c39eedf47c8008f">
        <m:axisValue occRef="母公司"/>
      </m:item>
      <m:tuple xlName="_TUP_982ca42804af4c67affad02172ac76ee" concept="clcid-pte:YingShouLiXiMingXi" default_row="2" addr="T0R4C">
        <m:item xlName="_GBC_303847c3b5a8461695dceb1733e48085" concept="clcid-pte:YingShouLiXiXiangMu" label="应收利息项目" addr="T0R4C0S1_1" appId="_GBC_7b29d5fc39c94a909c39eedf47c8008f">
          <m:axisValue occRef="母公司"/>
        </m:item>
        <m:item xlName="_GBC_788fc810358745ecac16284bf1dd07ad" concept="clcid-pte:YingShouLiXiJinE" label="应收利息金额" mulRef="_GBC_408b4f91762b4062b2ff33bf6cd2f04a" unitRef="_GBC_d9e4522b2a3a4b999e2ea654ffe832f2" addr="T0R4C1S1_1" formatStyle="Comma" appId="_GBC_7b29d5fc39c94a909c39eedf47c8008f">
          <m:axisValue occRef="母公司"/>
        </m:item>
        <m:item xlName="_GBC_dacac9d5d3dc48ebb6b72a80cd7f1072" concept="clcid-pte:YingShouLiXiJinE" label="应收利息金额" periodRef="本期期初数" mulRef="_GBC_408b4f91762b4062b2ff33bf6cd2f04a" unitRef="_GBC_d9e4522b2a3a4b999e2ea654ffe832f2" addr="T0R4C2S1_1" formatStyle="Comma" appId="_GBC_7b29d5fc39c94a909c39eedf47c8008f">
          <m:axisValue occRef="母公司"/>
        </m:item>
      </m:tuple>
      <m:placeholder xlName="_PLD_6b8d66cbd97048a6ac7807011ad94717" addr="T0R6C0S1_1"/>
      <m:item xlName="_GBC_938d6a2c969741249f641932d1892f22" concept="clcid-pte:YingShouLiXi" label="应收利息" mulRef="_GBC_408b4f91762b4062b2ff33bf6cd2f04a" unitRef="_GBC_d9e4522b2a3a4b999e2ea654ffe832f2" addr="T0R6C1S1_1" formatStyle="Comma" appId="_GBC_7b29d5fc39c94a909c39eedf47c8008f">
        <m:complexRule comparator="Eq" title="应收利息" test=" $_GBC_96b7401c165d4b93b93bd3b91c465bf6 +  $_GBC_3cf2d47b144e42b2928b99a2d6c10a2b +  $_GBC_4d7cb8a1b4ab4b3f999513437a66f3f8 +  $_GBC_788fc810358745ecac16284bf1dd07ad" id="C23857f0a941e4cfdb9073ff3912a07c4"/>
        <m:axisValue occRef="母公司"/>
      </m:item>
      <m:item xlName="_GBC_fdf5c8369b834eec9d26ba527f16bfc0" concept="clcid-pte:YingShouLiXi" label="应收利息" periodRef="本期期初数" mulRef="_GBC_408b4f91762b4062b2ff33bf6cd2f04a" unitRef="_GBC_d9e4522b2a3a4b999e2ea654ffe832f2" addr="T0R6C2S1_1" formatStyle="Comma" appId="_GBC_7b29d5fc39c94a909c39eedf47c8008f">
        <m:complexRule comparator="Eq" title="应收利息@本期期初数" test=" $_GBC_c40a070e117946239855dffc8f966a00 +  $_GBC_0d5b1aedc6a84a73a5ccce03f7fa4dd8 +  $_GBC_8d36c4920bab4735a2322b22ca033ce2 +  $_GBC_dacac9d5d3dc48ebb6b72a80cd7f1072" id="C928ea65005cf4f3da5cb16504a8f82ec"/>
        <m:axisValue occRef="母公司"/>
      </m:item>
    </m:section>
    <m:section xlName="_SEC_e80bd789f30b40de829902e04129ef49" title="重要逾期利息">
      <m:item xlName="_GBC_2527ddfc737d4b8c8fa3ca7d6387408d" concept="clcid-ci-ar:ShiFouShiYongMuGongSiZhongYaoYuQiLiXi" label="是否适用：母公司重要逾期利息" selectOptions="_buildInAppliance" controlType="CustomCheckbox" cRanges="[{&quot;StartName&quot;:&quot;_GBC_2527ddfc737d4b8c8fa3ca7d6387408d&quot;,&quot;EndName&quot;:&quot;_GBC_2b833524f8d44a83b8ae2c0c4a2a4500&quot;,&quot;CType&quot;:1}]"/>
      <m:item xlName="_GBC_4264fabe7dea4e739b95d5002b25e360" concept="clcid-ci-ar:DanWeiMuGongSiZhongYaoYuQiLiXi" label="单位：母公司重要逾期利息" selectOptions="_buildInScales" controlType="Combobox" cellType="Scale" appId="_GBC_2527ddfc737d4b8c8fa3ca7d6387408d"/>
      <m:item xlName="_GBC_07851debaf07493989d798ce7f4ecbc6" concept="clcid-ci-ar:BiZhongMuGongSiZhongYaoYuQiLiXi" label="币种：母公司重要逾期利息" selectOptions="_buildInISO4217" controlType="Combobox" cellType="Measure" appId="_GBC_2527ddfc737d4b8c8fa3ca7d6387408d"/>
      <m:placeholder xlName="_PLD_1e9ef27b9e9640988e70aca2d2401c74" addr="T0R0C0S1_1"/>
      <m:placeholder xlName="_PLD_a2624a28fdf040558179f7797119296f" addr="T0R0C1S1_1"/>
      <m:placeholder xlName="_PLD_ac4ab5be46834d0eb37cab36364a53d6" addr="T0R0C2S1_1"/>
      <m:placeholder xlName="_PLD_c1e2f97caf0d4dedb0308e78a303ca9e" addr="T0R0C3S1_1"/>
      <m:placeholder xlName="_PLD_b3b406b3433b48afb552d58e9ceaeedc" addr="T0R0C4S1_1"/>
      <m:tuple xlName="_TUP_ce2148e247b74579a41f88d6c7dfb9db" concept="clcid-pte:YuQiLiXiMingXi" default_row="2" addr="T0R1C">
        <m:item xlName="_GBC_3c7556f703664e0a84f652f1eb9ce108" concept="clcid-pte:YuQiLiXiMingXiDaiKuanDanWei" label="逾期利息明细-贷款单位" addr="T0R1C0S1_1" appId="_GBC_2527ddfc737d4b8c8fa3ca7d6387408d">
          <m:axisValue occRef="母公司"/>
        </m:item>
        <m:item xlName="_GBC_f267384305694c44b7df5b0348245d0f" concept="clcid-pte:YuQiLiXiMingXiJinE" label="逾期利息明细-金额" mulRef="_GBC_4264fabe7dea4e739b95d5002b25e360" unitRef="_GBC_07851debaf07493989d798ce7f4ecbc6" addr="T0R1C1S1_1" formatStyle="Comma" appId="_GBC_2527ddfc737d4b8c8fa3ca7d6387408d">
          <m:axisValue occRef="母公司"/>
        </m:item>
        <m:item xlName="_GBC_eefaab281fab46ab808c418ff728b231" concept="clcid-pte:YuQiLiXiMingXiYuQiShiJian" label="逾期利息明细-逾期时间" addr="T0R1C2S1_1" appId="_GBC_2527ddfc737d4b8c8fa3ca7d6387408d">
          <m:axisValue occRef="母公司"/>
        </m:item>
        <m:item xlName="_GBC_9bb73569d7e74669b92b6d9a271c18a5" concept="clcid-pte:YuQiLiXiMingXiYuQiYuanYin" label="逾期利息明细-逾期原因" addr="T0R1C3S1_1" appId="_GBC_2527ddfc737d4b8c8fa3ca7d6387408d">
          <m:axisValue occRef="母公司"/>
        </m:item>
        <m:item xlName="_GBC_96a8554dd7ff449ab699f5622dccc5e7" concept="clcid-pte:YuQiLiXiMingXiShiFouFaShengJianZhiJiQiPanDuanYiJu" label="逾期利息明细-是否发生减值及其判断依据" selectOptions="_buildInYesNo" addr="T0R1C4S1_1" controlType="Combobox" appId="_GBC_2527ddfc737d4b8c8fa3ca7d6387408d">
          <m:axisValue occRef="母公司"/>
        </m:item>
      </m:tuple>
      <m:placeholder xlName="_PLD_2ca1f0be581d4831a094187bc24c7bde" addr="T0R3C0S1_1"/>
      <m:item xlName="_GBC_2b833524f8d44a83b8ae2c0c4a2a4500" concept="clcid-pte:YuQiLiXiJinEHeJi" label="逾期利息金额合计" mulRef="_GBC_4264fabe7dea4e739b95d5002b25e360" unitRef="_GBC_07851debaf07493989d798ce7f4ecbc6" addr="T0R3C1S1_1" formatStyle="Comma" appId="_GBC_2527ddfc737d4b8c8fa3ca7d6387408d">
        <m:complexRule comparator="Eq" title="逾期利息金额合计" test=" $_GBC_f267384305694c44b7df5b0348245d0f" id="C3925a88ab7e24bb49cdf248b2e99ad41"/>
        <m:axisValue occRef="母公司"/>
      </m:item>
    </m:section>
    <m:section xlName="_SEC_ce38368754b54030878f7a4b3d48648e" title="坏账准备计提情况">
      <m:item xlName="_GBC_051d1f4329834464b99226954bb8040d" concept="clcid-ci-ar:ShiFouShiYongMuGongSiYingShouLiXiHuaiZhangZhunBeiTiaoJieBiao" label="是否适用：母公司应收利息坏账准备调节表" selectOptions="_buildInAppliance" controlType="CustomCheckbox" cRanges="[{&quot;StartName&quot;:&quot;_GBC_051d1f4329834464b99226954bb8040d&quot;,&quot;EndName&quot;:&quot;_GBC_e10c791cc3524294907eeb010c979091&quot;,&quot;CType&quot;:1}]"/>
      <m:item xlName="_GBC_91d0e50dfc6e4042b45f3f826280f750" concept="clcid-ci-ar:DanWeiMuGongSiYingShouLiXiHuaiZhangZhunBeiTiaoJieBiao" label="单位：母公司应收利息坏账准备调节表" selectOptions="_buildInScales" controlType="Combobox" cellType="Scale" appId="_GBC_051d1f4329834464b99226954bb8040d"/>
      <m:item xlName="_GBC_c6fcf42899c94105a43e5a0649e48385" concept="clcid-ci-ar:BiZhongMuGongSiYingShouLiXiHuaiZhangZhunBeiTiaoJieBiao" label="币种：母公司应收利息坏账准备调节表" selectOptions="_buildInISO4217" controlType="Combobox" cellType="Measure" appId="_GBC_051d1f4329834464b99226954bb8040d"/>
      <m:placeholder xlName="_PLD_a31d03a8c6c94789a214d56dc4545f88" addr="T0R0C0S2_1"/>
      <m:placeholder xlName="_PLD_ed78d7d0799747c79998ff3accf1efc6" addr="T0R0C1S1_1"/>
      <m:placeholder xlName="_PLD_d17dcc770cb043cbb83989cc189b0148" addr="T0R0C2S1_1"/>
      <m:placeholder xlName="_PLD_c78e4f24fa634fd79e6e3d7e8a2c2242" addr="T0R0C3S1_1"/>
      <m:placeholder xlName="_PLD_20e4adc8bc374e19a8c658607c78832d" addr="T0R0C4S2_1"/>
      <m:placeholder xlName="_PLD_27951ef790924bc79d00dd6419552c09" addr="T0R1C1S1_1"/>
      <m:placeholder xlName="_PLD_af54e5421fff4e4caf2986c4b520f5a2" addr="T0R1C2S1_1"/>
      <m:placeholder xlName="_PLD_1960fa0b0f1d4c66a3ad5452de1bba80" addr="T0R1C3S1_1"/>
      <m:placeholder xlName="_PLD_547e61bcefe2405bb109e7cba8e3082e" addr="T0R2C0S1_1"/>
      <m:item xlName="_GBC_c148720946dd475689a728a34671a049" concept="clcid-pte:YingShouLiXiHuaiZhangZhunBeiDiYiJieDuan" label="应收利息坏账准备（第一阶段）" periodRef="本期期初数" mulRef="_GBC_91d0e50dfc6e4042b45f3f826280f750" unitRef="_GBC_c6fcf42899c94105a43e5a0649e48385" addr="T0R2C1S1_1" formatStyle="Comma" appId="_GBC_051d1f4329834464b99226954bb8040d">
        <m:axisValue occRef="母公司"/>
      </m:item>
      <m:item xlName="_GBC_44e6e1791a324655b8febf45436a7a19" concept="clcid-pte:YingShouLiXiHuaiZhangZhunBeiDiErJieDuan" label="应收利息坏账准备（第二阶段）" periodRef="本期期初数" mulRef="_GBC_91d0e50dfc6e4042b45f3f826280f750" unitRef="_GBC_c6fcf42899c94105a43e5a0649e48385" addr="T0R2C2S1_1" formatStyle="Comma" appId="_GBC_051d1f4329834464b99226954bb8040d">
        <m:axisValue occRef="母公司"/>
      </m:item>
      <m:item xlName="_GBC_d3770c4776fa4175bd87292fefb77e95" concept="clcid-pte:YingShouLiXiHuaiZhangZhunBeiDiSanJieDuan" label="应收利息坏账准备（第三阶段）" periodRef="本期期初数" mulRef="_GBC_91d0e50dfc6e4042b45f3f826280f750" unitRef="_GBC_c6fcf42899c94105a43e5a0649e48385" addr="T0R2C3S1_1" formatStyle="Comma" appId="_GBC_051d1f4329834464b99226954bb8040d">
        <m:axisValue occRef="母公司"/>
      </m:item>
      <m:item xlName="_GBC_f95e978e3fa3443fa020c80eb13db409" concept="clcid-pte:YingShouLiXiHuaiZhangZhunBei" label="应收利息坏账准备" periodRef="本期期初数" mulRef="_GBC_91d0e50dfc6e4042b45f3f826280f750" unitRef="_GBC_c6fcf42899c94105a43e5a0649e48385" addr="T0R2C4S1_1" formatStyle="Comma" appId="_GBC_051d1f4329834464b99226954bb8040d">
        <m:axisValue occRef="母公司"/>
      </m:item>
      <m:placeholder xlName="_PLD_9280825b075041a2b964e4236a61317e" addr="T0R3C0S1_1"/>
      <m:item xlName="_GBC_49bdfeb240864acd987a5f14138f1819" concept="clcid-pte:YingShouLiXiHuaiZhangZhunBeiBenQiZhuanRuHuoZhuanHuiDiYiJieDuan" label="应收利息坏账准备本期转入或转回（第一阶段）" mulRef="_GBC_91d0e50dfc6e4042b45f3f826280f750" unitRef="_GBC_c6fcf42899c94105a43e5a0649e48385" addr="T0R3C1S1_1" formatStyle="Comma" appId="_GBC_051d1f4329834464b99226954bb8040d">
        <m:axisValue occRef="母公司"/>
      </m:item>
      <m:item xlName="_GBC_3b30fa2ca4734c1d961431150fda9b03" concept="clcid-pte:YingShouLiXiHuaiZhangZhunBeiBenQiZhuanRuHuoZhuanHuiDiErJieDuan" label="应收利息坏账准备本期转入或转回（第二阶段）" mulRef="_GBC_91d0e50dfc6e4042b45f3f826280f750" unitRef="_GBC_c6fcf42899c94105a43e5a0649e48385" addr="T0R3C2S1_1" formatStyle="Comma" appId="_GBC_051d1f4329834464b99226954bb8040d">
        <m:axisValue occRef="母公司"/>
      </m:item>
      <m:item xlName="_GBC_99eced32a01644748cd298f047aaf102" concept="clcid-pte:YingShouLiXiHuaiZhangZhunBeiBenQiZhuanRuHuoZhuanHuiDiSanJieDuan" label="应收利息坏账准备本期转入或转回（第三阶段）" mulRef="_GBC_91d0e50dfc6e4042b45f3f826280f750" unitRef="_GBC_c6fcf42899c94105a43e5a0649e48385" addr="T0R3C3S1_1" formatStyle="Comma" appId="_GBC_051d1f4329834464b99226954bb8040d">
        <m:axisValue occRef="母公司"/>
      </m:item>
      <m:item xlName="_GBC_d26fe73207d6464696a85c37c1041c88" concept="clcid-pte:YingShouLiXiHuaiZhangZhunBeiBenQiZhuanRuHuoZhuanHuiJieDuanHeJi" label="应收利息坏账准备本期转入或转回阶段合计" mulRef="_GBC_91d0e50dfc6e4042b45f3f826280f750" unitRef="_GBC_c6fcf42899c94105a43e5a0649e48385" addr="T0R3C4S1_1" formatStyle="Comma" appId="_GBC_051d1f4329834464b99226954bb8040d">
        <m:axisValue occRef="母公司"/>
      </m:item>
      <m:placeholder xlName="_PLD_80c176ede9964979bce374b7b66d2c47" addr="T0R4C0S1_1"/>
      <m:item xlName="_GBC_5eb7828e246b43469a58bbb78754ecb6" concept="clcid-pte:YingShouLiXiHuaiZhangZhunBeiBenQiZhuanRuDiErJieDuanDiYiJieDuan" label="应收利息坏账准备本期转入第二阶段（第一阶段）" mulRef="_GBC_91d0e50dfc6e4042b45f3f826280f750" unitRef="_GBC_c6fcf42899c94105a43e5a0649e48385" addr="T0R4C1S1_1" formatStyle="Comma" appId="_GBC_051d1f4329834464b99226954bb8040d">
        <m:axisValue occRef="母公司"/>
      </m:item>
      <m:item xlName="_GBC_22df06a4cdbc4758bd4230c38c669d2f" concept="clcid-pte:YingShouLiXiHuaiZhangZhunBeiBenQiZhuanRuDiErJieDuanDiErJieDuan" label="应收利息坏账准备本期转入第二阶段（第二阶段）" mulRef="_GBC_91d0e50dfc6e4042b45f3f826280f750" unitRef="_GBC_c6fcf42899c94105a43e5a0649e48385" addr="T0R4C2S1_1" formatStyle="Comma" appId="_GBC_051d1f4329834464b99226954bb8040d">
        <m:axisValue occRef="母公司"/>
      </m:item>
      <m:item xlName="_GBC_f5f4f9bcb62445de94b52dc46f7b3cec" concept="clcid-pte:YingShouLiXiHuaiZhangZhunBeiBenQiZhuanRuDiErJieDuanDiSanJieDuan" label="应收利息坏账准备本期转入第二阶段（第三阶段）" mulRef="_GBC_91d0e50dfc6e4042b45f3f826280f750" unitRef="_GBC_c6fcf42899c94105a43e5a0649e48385" addr="T0R4C3S1_1" formatStyle="Comma" appId="_GBC_051d1f4329834464b99226954bb8040d">
        <m:axisValue occRef="母公司"/>
      </m:item>
      <m:item xlName="_GBC_941c891467084ae2a31f863205251f21" concept="clcid-pte:YingShouLiXiHuaiZhangZhunBeiBenQiZhuanRuDiErJieDuanJieDuanHeJi" label="应收利息坏账准备本期转入第二阶段阶段合计" mulRef="_GBC_91d0e50dfc6e4042b45f3f826280f750" unitRef="_GBC_c6fcf42899c94105a43e5a0649e48385" addr="T0R4C4S1_1" formatStyle="Comma" appId="_GBC_051d1f4329834464b99226954bb8040d">
        <m:axisValue occRef="母公司"/>
      </m:item>
      <m:placeholder xlName="_PLD_7beeedd017a34c1298bd4308d17e6457" addr="T0R5C0S1_1"/>
      <m:item xlName="_GBC_8679ea45770142308829fc8c9ad93e7c" concept="clcid-pte:YingShouLiXiHuaiZhangZhunBeiBenQiZhuanRuDiSanJieDuanDiYiJieDuan" label="应收利息坏账准备本期转入第三阶段（第一阶段）" mulRef="_GBC_91d0e50dfc6e4042b45f3f826280f750" unitRef="_GBC_c6fcf42899c94105a43e5a0649e48385" addr="T0R5C1S1_1" formatStyle="Comma" appId="_GBC_051d1f4329834464b99226954bb8040d">
        <m:axisValue occRef="母公司"/>
      </m:item>
      <m:item xlName="_GBC_85c3eb0417f8440bb441eb43a4e7eecf" concept="clcid-pte:YingShouLiXiHuaiZhangZhunBeiBenQiZhuanRuDiSanJieDuanDiErJieDuan" label="应收利息坏账准备本期转入第三阶段（第二阶段）" mulRef="_GBC_91d0e50dfc6e4042b45f3f826280f750" unitRef="_GBC_c6fcf42899c94105a43e5a0649e48385" addr="T0R5C2S1_1" formatStyle="Comma" appId="_GBC_051d1f4329834464b99226954bb8040d">
        <m:axisValue occRef="母公司"/>
      </m:item>
      <m:item xlName="_GBC_5c9a0e9ea176459cb5de54d9ff8f76fa" concept="clcid-pte:YingShouLiXiHuaiZhangZhunBeiBenQiZhuanRuDiSanJieDuanDiSanJieDuan" label="应收利息坏账准备本期转入第三阶段（第三阶段）" mulRef="_GBC_91d0e50dfc6e4042b45f3f826280f750" unitRef="_GBC_c6fcf42899c94105a43e5a0649e48385" addr="T0R5C3S1_1" formatStyle="Comma" appId="_GBC_051d1f4329834464b99226954bb8040d">
        <m:axisValue occRef="母公司"/>
      </m:item>
      <m:item xlName="_GBC_23172acdf4894a91a40e2b539d7c2eda" concept="clcid-pte:YingShouLiXiHuaiZhangZhunBeiBenQiZhuanRuDiSanJieDuanJieDuanHeJi" label="应收利息坏账准备本期转入第三阶段阶段合计" mulRef="_GBC_91d0e50dfc6e4042b45f3f826280f750" unitRef="_GBC_c6fcf42899c94105a43e5a0649e48385" addr="T0R5C4S1_1" formatStyle="Comma" appId="_GBC_051d1f4329834464b99226954bb8040d">
        <m:axisValue occRef="母公司"/>
      </m:item>
      <m:placeholder xlName="_PLD_21ab0652461a4b5db5c9d9beb471f0f7" addr="T0R6C0S1_1"/>
      <m:item xlName="_GBC_db73dec25eed4bb3b2ff06de4f431439" concept="clcid-pte:YingShouLiXiHuaiZhangZhunBeiBenQiZhuanHuiDiErJieDuanDiYiJieDuan" label="应收利息坏账准备本期转回第二阶段（第一阶段）" mulRef="_GBC_91d0e50dfc6e4042b45f3f826280f750" unitRef="_GBC_c6fcf42899c94105a43e5a0649e48385" addr="T0R6C1S1_1" formatStyle="Comma" appId="_GBC_051d1f4329834464b99226954bb8040d">
        <m:axisValue occRef="母公司"/>
      </m:item>
      <m:item xlName="_GBC_0f896c94964247d2883376475be2217c" concept="clcid-pte:YingShouLiXiHuaiZhangZhunBeiBenQiZhuanHuiDiErJieDuanDiErJieDuan" label="应收利息坏账准备本期转回第二阶段（第二阶段）" mulRef="_GBC_91d0e50dfc6e4042b45f3f826280f750" unitRef="_GBC_c6fcf42899c94105a43e5a0649e48385" addr="T0R6C2S1_1" formatStyle="Comma" appId="_GBC_051d1f4329834464b99226954bb8040d">
        <m:axisValue occRef="母公司"/>
      </m:item>
      <m:item xlName="_GBC_a8348677770f427db809a3903dbec608" concept="clcid-pte:YingShouLiXiHuaiZhangZhunBeiBenQiZhuanHuiDiErJieDuanDiSanJieDuan" label="应收利息坏账准备本期转回第二阶段（第三阶段）" mulRef="_GBC_91d0e50dfc6e4042b45f3f826280f750" unitRef="_GBC_c6fcf42899c94105a43e5a0649e48385" addr="T0R6C3S1_1" formatStyle="Comma" appId="_GBC_051d1f4329834464b99226954bb8040d">
        <m:axisValue occRef="母公司"/>
      </m:item>
      <m:item xlName="_GBC_58d6d81cdd8f4e4dbeea46a70dba1f9b" concept="clcid-pte:YingShouLiXiHuaiZhangZhunBeiBenQiZhuanHuiDiErJieDuanJieDuanHeJi" label="应收利息坏账准备本期转回第二阶段阶段合计" mulRef="_GBC_91d0e50dfc6e4042b45f3f826280f750" unitRef="_GBC_c6fcf42899c94105a43e5a0649e48385" addr="T0R6C4S1_1" formatStyle="Comma" appId="_GBC_051d1f4329834464b99226954bb8040d">
        <m:axisValue occRef="母公司"/>
      </m:item>
      <m:placeholder xlName="_PLD_f3da6e9a5e384ac68a22c4a7bed46b8f" addr="T0R7C0S1_1"/>
      <m:item xlName="_GBC_a81ec3c98e62469090b09d518b8a1c94" concept="clcid-pte:YingShouLiXiHuaiZhangZhunBeiBenQiZhuanHuiDiYiJieDuanDiYiJieDuan" label="应收利息坏账准备本期转回第一阶段（第一阶段）" mulRef="_GBC_91d0e50dfc6e4042b45f3f826280f750" unitRef="_GBC_c6fcf42899c94105a43e5a0649e48385" addr="T0R7C1S1_1" formatStyle="Comma" appId="_GBC_051d1f4329834464b99226954bb8040d">
        <m:axisValue occRef="母公司"/>
      </m:item>
      <m:item xlName="_GBC_e134bacbfcc14850a098fd1fa1291154" concept="clcid-pte:YingShouLiXiHuaiZhangZhunBeiBenQiZhuanHuiDiYiJieDuanDiErJieDuan" label="应收利息坏账准备本期转回第一阶段（第二阶段）" mulRef="_GBC_91d0e50dfc6e4042b45f3f826280f750" unitRef="_GBC_c6fcf42899c94105a43e5a0649e48385" addr="T0R7C2S1_1" formatStyle="Comma" appId="_GBC_051d1f4329834464b99226954bb8040d">
        <m:axisValue occRef="母公司"/>
      </m:item>
      <m:item xlName="_GBC_cad72b9f414e444088d55737e038503d" concept="clcid-pte:YingShouLiXiHuaiZhangZhunBeiBenQiZhuanHuiDiYiJieDuanDiSanJieDuan" label="应收利息坏账准备本期转回第一阶段（第三阶段）" mulRef="_GBC_91d0e50dfc6e4042b45f3f826280f750" unitRef="_GBC_c6fcf42899c94105a43e5a0649e48385" addr="T0R7C3S1_1" formatStyle="Comma" appId="_GBC_051d1f4329834464b99226954bb8040d">
        <m:axisValue occRef="母公司"/>
      </m:item>
      <m:item xlName="_GBC_34ab028dceb14c2484af2539839e7a71" concept="clcid-pte:YingShouLiXiHuaiZhangZhunBeiBenQiZhuanHuiDiYiJieDuanJieDuanHeJi" label="应收利息坏账准备本期转回第一阶段阶段合计" mulRef="_GBC_91d0e50dfc6e4042b45f3f826280f750" unitRef="_GBC_c6fcf42899c94105a43e5a0649e48385" addr="T0R7C4S1_1" formatStyle="Comma" appId="_GBC_051d1f4329834464b99226954bb8040d">
        <m:axisValue occRef="母公司"/>
      </m:item>
      <m:placeholder xlName="_PLD_585d333337ef415eaf1163f926d9970e" addr="T0R8C0S1_1"/>
      <m:item xlName="_GBC_f27ceaa17ffa4894a8f65a61a726164f" concept="clcid-pte:YingShouLiXiHuaiZhangZhunBeiBenQiXinZengJiTiDiYiJieDuan" label="应收利息坏账准备本期新增计提（第一阶段）" mulRef="_GBC_91d0e50dfc6e4042b45f3f826280f750" unitRef="_GBC_c6fcf42899c94105a43e5a0649e48385" addr="T0R8C1S1_1" formatStyle="Comma" appId="_GBC_051d1f4329834464b99226954bb8040d">
        <m:axisValue occRef="母公司"/>
      </m:item>
      <m:item xlName="_GBC_68878b24ed1447de9fb76274a8b6bc3a" concept="clcid-pte:YingShouLiXiHuaiZhangZhunBeiBenQiXinZengJiTiDiErJieDuan" label="应收利息坏账准备本期新增计提（第二阶段）" mulRef="_GBC_91d0e50dfc6e4042b45f3f826280f750" unitRef="_GBC_c6fcf42899c94105a43e5a0649e48385" addr="T0R8C2S1_1" formatStyle="Comma" appId="_GBC_051d1f4329834464b99226954bb8040d">
        <m:axisValue occRef="母公司"/>
      </m:item>
      <m:item xlName="_GBC_d040a03d03c64f1386972ce795eb1694" concept="clcid-pte:YingShouLiXiHuaiZhangZhunBeiBenQiXinZengJiTiDiSanJieDuan" label="应收利息坏账准备本期新增计提（第三阶段）" mulRef="_GBC_91d0e50dfc6e4042b45f3f826280f750" unitRef="_GBC_c6fcf42899c94105a43e5a0649e48385" addr="T0R8C3S1_1" formatStyle="Comma" appId="_GBC_051d1f4329834464b99226954bb8040d">
        <m:axisValue occRef="母公司"/>
      </m:item>
      <m:item xlName="_GBC_f4dba85b3fa44aa694224e4297db7929" concept="clcid-pte:YingShouLiXiHuaiZhangZhunBeiBenQiXinZengJiTiJieDuanHeJi" label="应收利息坏账准备本期新增计提阶段合计" mulRef="_GBC_91d0e50dfc6e4042b45f3f826280f750" unitRef="_GBC_c6fcf42899c94105a43e5a0649e48385" addr="T0R8C4S1_1" formatStyle="Comma" appId="_GBC_051d1f4329834464b99226954bb8040d">
        <m:axisValue occRef="母公司"/>
      </m:item>
      <m:placeholder xlName="_PLD_c38dca7099fb4bc2b2a106593a4ff33c" addr="T0R9C0S1_1"/>
      <m:item xlName="_GBC_5d2bbce1e86340639b3e05e097c7496c" concept="clcid-pte:YingShouLiXiHuaiZhangZhunBeiBenQiZhuanHuiDiYiJieDuan" label="应收利息坏账准备本期转回（第一阶段）" mulRef="_GBC_91d0e50dfc6e4042b45f3f826280f750" unitRef="_GBC_c6fcf42899c94105a43e5a0649e48385" addr="T0R9C1S1_1" formatStyle="Comma" appId="_GBC_051d1f4329834464b99226954bb8040d">
        <m:axisValue occRef="母公司"/>
      </m:item>
      <m:item xlName="_GBC_ee8e120afd7f4ca68aed3f8b37798b02" concept="clcid-pte:YingShouLiXiHuaiZhangZhunBeiBenQiZhuanHuiDiErJieDuan" label="应收利息坏账准备本期转回（第二阶段）" mulRef="_GBC_91d0e50dfc6e4042b45f3f826280f750" unitRef="_GBC_c6fcf42899c94105a43e5a0649e48385" addr="T0R9C2S1_1" formatStyle="Comma" appId="_GBC_051d1f4329834464b99226954bb8040d">
        <m:axisValue occRef="母公司"/>
      </m:item>
      <m:item xlName="_GBC_c6c30d88519545fcba96c2bb3fee9274" concept="clcid-pte:YingShouLiXiHuaiZhangZhunBeiBenQiZhuanHuiDiSanJieDuan" label="应收利息坏账准备本期转回（第三阶段）" mulRef="_GBC_91d0e50dfc6e4042b45f3f826280f750" unitRef="_GBC_c6fcf42899c94105a43e5a0649e48385" addr="T0R9C3S1_1" formatStyle="Comma" appId="_GBC_051d1f4329834464b99226954bb8040d">
        <m:axisValue occRef="母公司"/>
      </m:item>
      <m:item xlName="_GBC_64468c205cd242dcbc6f99509aa8e746" concept="clcid-pte:YingShouLiXiHuaiZhangZhunBeiBenQiZhuanHuiJieDuanHeJi" label="应收利息坏账准备本期转回阶段合计" mulRef="_GBC_91d0e50dfc6e4042b45f3f826280f750" unitRef="_GBC_c6fcf42899c94105a43e5a0649e48385" addr="T0R9C4S1_1" formatStyle="Comma" appId="_GBC_051d1f4329834464b99226954bb8040d">
        <m:axisValue occRef="母公司"/>
      </m:item>
      <m:placeholder xlName="_PLD_1e019604ee4a4f76849cc2b49ecd47f0" addr="T0R10C0S1_1"/>
      <m:item xlName="_GBC_eba7f5645e7840488726eff28c9e0161" concept="clcid-pte:YingShouLiXiHuaiZhangZhunBeiBenQiZhuanXiaoDiYiJieDuan" label="应收利息坏账准备本期转销（第一阶段）" mulRef="_GBC_91d0e50dfc6e4042b45f3f826280f750" unitRef="_GBC_c6fcf42899c94105a43e5a0649e48385" addr="T0R10C1S1_1" formatStyle="Comma" appId="_GBC_051d1f4329834464b99226954bb8040d">
        <m:axisValue occRef="母公司"/>
      </m:item>
      <m:item xlName="_GBC_0a5d3b2b754b47ff9d2533e00039edcb" concept="clcid-pte:YingShouLiXiHuaiZhangZhunBeiBenQiZhuanXiaoDiErJieDuan" label="应收利息坏账准备本期转销（第二阶段）" mulRef="_GBC_91d0e50dfc6e4042b45f3f826280f750" unitRef="_GBC_c6fcf42899c94105a43e5a0649e48385" addr="T0R10C2S1_1" formatStyle="Comma" appId="_GBC_051d1f4329834464b99226954bb8040d">
        <m:axisValue occRef="母公司"/>
      </m:item>
      <m:item xlName="_GBC_6fdee152336742c6833acf2bbddb20c3" concept="clcid-pte:YingShouLiXiHuaiZhangZhunBeiBenQiZhuanXiaoDiSanJieDuan" label="应收利息坏账准备本期转销（第三阶段）" mulRef="_GBC_91d0e50dfc6e4042b45f3f826280f750" unitRef="_GBC_c6fcf42899c94105a43e5a0649e48385" addr="T0R10C3S1_1" formatStyle="Comma" appId="_GBC_051d1f4329834464b99226954bb8040d">
        <m:axisValue occRef="母公司"/>
      </m:item>
      <m:item xlName="_GBC_e8c085b6dd0743b79a63105aefbc326a" concept="clcid-pte:YingShouLiXiHuaiZhangZhunBeiBenQiZhuanXiaoJieDuanHeJi" label="应收利息坏账准备本期转销阶段合计" mulRef="_GBC_91d0e50dfc6e4042b45f3f826280f750" unitRef="_GBC_c6fcf42899c94105a43e5a0649e48385" addr="T0R10C4S1_1" formatStyle="Comma" appId="_GBC_051d1f4329834464b99226954bb8040d">
        <m:axisValue occRef="母公司"/>
      </m:item>
      <m:placeholder xlName="_PLD_321ace74746845afbeccd687db7aa64e" addr="T0R11C0S1_1"/>
      <m:item xlName="_GBC_8717ab7186fb40cda0a6df30081e05e2" concept="clcid-pte:YingShouLiXiHuaiZhangZhunBeiBenQiHeXiaoDiYiJieDuan" label="应收利息坏账准备本期核销（第一阶段）" mulRef="_GBC_91d0e50dfc6e4042b45f3f826280f750" unitRef="_GBC_c6fcf42899c94105a43e5a0649e48385" addr="T0R11C1S1_1" formatStyle="Comma" appId="_GBC_051d1f4329834464b99226954bb8040d">
        <m:axisValue occRef="母公司"/>
      </m:item>
      <m:item xlName="_GBC_a84ce7047082487ba963a2d7dcae93d9" concept="clcid-pte:YingShouLiXiHuaiZhangZhunBeiBenQiHeXiaoDiErJieDuan" label="应收利息坏账准备本期核销（第二阶段）" mulRef="_GBC_91d0e50dfc6e4042b45f3f826280f750" unitRef="_GBC_c6fcf42899c94105a43e5a0649e48385" addr="T0R11C2S1_1" formatStyle="Comma" appId="_GBC_051d1f4329834464b99226954bb8040d">
        <m:axisValue occRef="母公司"/>
      </m:item>
      <m:item xlName="_GBC_0b2b3ce26f4e4c2bb25524d3e8b3f8e8" concept="clcid-pte:YingShouLiXiHuaiZhangZhunBeiBenQiHeXiaoDiSanJieDuan" label="应收利息坏账准备本期核销（第三阶段）" mulRef="_GBC_91d0e50dfc6e4042b45f3f826280f750" unitRef="_GBC_c6fcf42899c94105a43e5a0649e48385" addr="T0R11C3S1_1" formatStyle="Comma" appId="_GBC_051d1f4329834464b99226954bb8040d">
        <m:axisValue occRef="母公司"/>
      </m:item>
      <m:item xlName="_GBC_1f97f301a4ce47caa34dfaad77b894ce" concept="clcid-pte:YingShouLiXiHuaiZhangZhunBeiBenQiHeXiaoJieDuanHeJi" label="应收利息坏账准备本期核销阶段合计" mulRef="_GBC_91d0e50dfc6e4042b45f3f826280f750" unitRef="_GBC_c6fcf42899c94105a43e5a0649e48385" addr="T0R11C4S1_1" formatStyle="Comma" appId="_GBC_051d1f4329834464b99226954bb8040d">
        <m:axisValue occRef="母公司"/>
      </m:item>
      <m:placeholder xlName="_PLD_40176b8e8edc41f6921f9b1264ca90ad" addr="T0R12C0S1_1"/>
      <m:item xlName="_GBC_89f966669cc3492ba3a34320a78f6240" concept="clcid-pte:YingShouLiXiHuaiZhangZhunBeiBenQiQiTaBianDongDiYiJieDuan" label="应收利息坏账准备本期其他变动（第一阶段）" mulRef="_GBC_91d0e50dfc6e4042b45f3f826280f750" unitRef="_GBC_c6fcf42899c94105a43e5a0649e48385" addr="T0R12C1S1_1" formatStyle="Comma" appId="_GBC_051d1f4329834464b99226954bb8040d">
        <m:axisValue occRef="母公司"/>
      </m:item>
      <m:item xlName="_GBC_0382f5c0c2464589aa1439b358c3fcf2" concept="clcid-pte:YingShouLiXiHuaiZhangZhunBeiBenQiQiTaBianDongDiErJieDuan" label="应收利息坏账准备本期其他变动（第二阶段）" mulRef="_GBC_91d0e50dfc6e4042b45f3f826280f750" unitRef="_GBC_c6fcf42899c94105a43e5a0649e48385" addr="T0R12C2S1_1" formatStyle="Comma" appId="_GBC_051d1f4329834464b99226954bb8040d">
        <m:axisValue occRef="母公司"/>
      </m:item>
      <m:item xlName="_GBC_997075b763184c2ebcbf7955be59dbac" concept="clcid-pte:YingShouLiXiHuaiZhangZhunBeiBenQiQiTaBianDongDiSanJieDuan" label="应收利息坏账准备本期其他变动（第三阶段）" mulRef="_GBC_91d0e50dfc6e4042b45f3f826280f750" unitRef="_GBC_c6fcf42899c94105a43e5a0649e48385" addr="T0R12C3S1_1" formatStyle="Comma" appId="_GBC_051d1f4329834464b99226954bb8040d">
        <m:axisValue occRef="母公司"/>
      </m:item>
      <m:item xlName="_GBC_d508c85217b34cb9a08a067a88dd8dca" concept="clcid-pte:YingShouLiXiHuaiZhangZhunBeiBenQiQiTaBianDongJieDuanHeJi" label="应收利息坏账准备本期其他变动阶段合计" mulRef="_GBC_91d0e50dfc6e4042b45f3f826280f750" unitRef="_GBC_c6fcf42899c94105a43e5a0649e48385" addr="T0R12C4S1_1" formatStyle="Comma" appId="_GBC_051d1f4329834464b99226954bb8040d">
        <m:axisValue occRef="母公司"/>
      </m:item>
      <m:placeholder xlName="_PLD_7fb23627da614557acf857cbfd6c2aef" addr="T0R13C0S1_1"/>
      <m:item xlName="_GBC_b5c939d4b4c947759734b6aab31c09f6" concept="clcid-pte:YingShouLiXiHuaiZhangZhunBeiDiYiJieDuan" label="应收利息坏账准备（第一阶段）" mulRef="_GBC_91d0e50dfc6e4042b45f3f826280f750" unitRef="_GBC_c6fcf42899c94105a43e5a0649e48385" addr="T0R13C1S1_1" formatStyle="Comma" appId="_GBC_051d1f4329834464b99226954bb8040d">
        <m:axisValue occRef="母公司"/>
      </m:item>
      <m:item xlName="_GBC_69108c498bae40038c653c4f73d751b6" concept="clcid-pte:YingShouLiXiHuaiZhangZhunBeiDiErJieDuan" label="应收利息坏账准备（第二阶段）" mulRef="_GBC_91d0e50dfc6e4042b45f3f826280f750" unitRef="_GBC_c6fcf42899c94105a43e5a0649e48385" addr="T0R13C2S1_1" formatStyle="Comma" appId="_GBC_051d1f4329834464b99226954bb8040d">
        <m:axisValue occRef="母公司"/>
      </m:item>
      <m:item xlName="_GBC_32244f9c42334fd69f45efada385ebd1" concept="clcid-pte:YingShouLiXiHuaiZhangZhunBeiDiSanJieDuan" label="应收利息坏账准备（第三阶段）" mulRef="_GBC_91d0e50dfc6e4042b45f3f826280f750" unitRef="_GBC_c6fcf42899c94105a43e5a0649e48385" addr="T0R13C3S1_1" formatStyle="Comma" appId="_GBC_051d1f4329834464b99226954bb8040d">
        <m:axisValue occRef="母公司"/>
      </m:item>
      <m:item xlName="_GBC_584f26185bab46bca71eebf51631f573" concept="clcid-pte:YingShouLiXiHuaiZhangZhunBei" label="应收利息坏账准备" mulRef="_GBC_91d0e50dfc6e4042b45f3f826280f750" unitRef="_GBC_c6fcf42899c94105a43e5a0649e48385" addr="T0R13C4S1_1" formatStyle="Comma" appId="_GBC_051d1f4329834464b99226954bb8040d">
        <m:axisValue occRef="母公司"/>
      </m:item>
      <m:item xlName="_GBC_f5bf34a2ff3e412f91098237fdd60e5f" concept="clcid-ci-ar:ShiFouShiYongMuGongSiYingShouLiXiBenQiFaShengSunShiZhunBeiBianDongQieZhangMianYuEXianZhuBianDongDeQingKuangShuoMing" label="是否适用：母公司应收利息本期发生损失准备变动且账面余额显著变动的情况说明" selectOptions="_buildInAppliance" controlType="CustomCheckbox" cRanges="[{&quot;StartName&quot;:&quot;_GBC_f5bf34a2ff3e412f91098237fdd60e5f&quot;,&quot;EndName&quot;:&quot;_GBC_e10c791cc3524294907eeb010c979091&quot;,&quot;CType&quot;:1}]"/>
      <m:item xlName="_GBC_e10c791cc3524294907eeb010c979091" concept="clcid-pte:YingShouLiXiBenQiFaShengSunShiZhunBeiBianDongQieZhangMianYuEXianZhuBianDongDeQingKuangShuoMing" label="应收利息本期发生损失准备变动且账面余额显著变动的情况说明" appId="_GBC_f5bf34a2ff3e412f91098237fdd60e5f">
        <m:axisValue occRef="母公司"/>
      </m:item>
    </m:section>
    <m:section xlName="_SEC_ad2b0daa52af481d8a56e5f8f2ccc52e" title="其他说明：">
      <m:item xlName="_GBC_936c374258514f469f2c9bb36b889c43" concept="clcid-ci-ar:ShiFouShiYongMuGongSiYingShouLiXiQiTaShuoMing" label="是否适用：母公司应收利息其他说明" selectOptions="_buildInAppliance" controlType="CustomCheckbox" cRanges="[{&quot;StartName&quot;:&quot;_GBC_936c374258514f469f2c9bb36b889c43&quot;,&quot;EndName&quot;:&quot;_GBC_615220208d82476ba953310e879c18bb&quot;,&quot;CType&quot;:1}]"/>
      <m:item xlName="_GBC_615220208d82476ba953310e879c18bb" concept="clcid-pte:YingShouLiXiDeShuoMing" label="应收利息的说明" appId="_GBC_936c374258514f469f2c9bb36b889c43">
        <m:axisValue occRef="母公司"/>
      </m:item>
    </m:section>
    <m:section xlName="_SEC_18f0cc3557ff45749d07d7a27d7c9620" title="应收股利">
      <m:item xlName="_GBC_3f36acb68ddd426b990a146c5c14da80" concept="clcid-ci-ar:ShiFouShiYongMuGongSiYingShouGuLi" label="是否适用：母公司应收股利" selectOptions="_buildInAppliance" controlType="CustomCheckbox" cRanges="[{&quot;StartName&quot;:&quot;_GBC_3f36acb68ddd426b990a146c5c14da80&quot;,&quot;EndName&quot;:&quot;_GBC_77f1f6d8ea2d437686c7b280854714c1&quot;,&quot;CType&quot;:1}]"/>
      <m:item xlName="_GBC_e366134590994916ad440e1f86811baf" concept="clcid-ci-ar:DanWeiMuGongSiYingShouGuLi" label="单位：母公司应收股利" selectOptions="_buildInScales" controlType="Combobox" cellType="Scale" appId="_GBC_3f36acb68ddd426b990a146c5c14da80"/>
      <m:item xlName="_GBC_775e6a0d5c9a4f36b4b0b9f8ccda5bad" concept="clcid-ci-ar:BiZhongMuGongSiYingShouGuLi" label="币种：母公司应收股利" selectOptions="_buildInISO4217" controlType="Combobox" cellType="Measure" appId="_GBC_3f36acb68ddd426b990a146c5c14da80"/>
      <m:placeholder xlName="_PLD_b87c7fccab6c455e8950ee7fa77c8733" addr="T0R0C0S1_1"/>
      <m:placeholder xlName="_PLD_71bd546e51944d7e86945cae947ca7e3" addr="T0R0C1S1_1"/>
      <m:placeholder xlName="_PLD_a057b5b882e84e6e85ec2267d16598c0" addr="T0R0C2S1_1"/>
      <m:tuple xlName="_TUP_1ff5f8f45a2949f1b9c94eaf933424a7" concept="clcid-pte:YingShouGuLiMingXi" default_row="2" addr="T0R1C">
        <m:item xlName="_GBC_bb8337923a144430bd5c70d3fa9ef4ee" concept="clcid-pte:YingShouGuLiXiangMu" label="应收股利项目" addr="T0R1C0S1_1" appId="_GBC_3f36acb68ddd426b990a146c5c14da80">
          <m:axisValue occRef="母公司"/>
        </m:item>
        <m:item xlName="_GBC_e762ee92beb5489ab67e80cecc667a56" concept="clcid-pte:YingShouGuLiJinE" label="应收股利金额" mulRef="_GBC_e366134590994916ad440e1f86811baf" unitRef="_GBC_775e6a0d5c9a4f36b4b0b9f8ccda5bad" addr="T0R1C1S1_1" formatStyle="Comma" appId="_GBC_3f36acb68ddd426b990a146c5c14da80">
          <m:axisValue occRef="母公司"/>
        </m:item>
        <m:item xlName="_GBC_77c0a877b8b544639afedc28a5291db5" concept="clcid-pte:YingShouGuLiJinE" label="应收股利金额" periodRef="本期期初数" mulRef="_GBC_e366134590994916ad440e1f86811baf" unitRef="_GBC_775e6a0d5c9a4f36b4b0b9f8ccda5bad" addr="T0R1C2S1_1" formatStyle="Comma" appId="_GBC_3f36acb68ddd426b990a146c5c14da80">
          <m:axisValue occRef="母公司"/>
        </m:item>
      </m:tuple>
      <m:placeholder xlName="_PLD_e1484a84dae543fcb190b5d5f8a4e713" addr="T0R3C0S1_1"/>
      <m:item xlName="_GBC_61db59175637415286fbc5da1eb28670" concept="clcid-pte:YingShouGuLi" label="应收股利" mulRef="_GBC_e366134590994916ad440e1f86811baf" unitRef="_GBC_775e6a0d5c9a4f36b4b0b9f8ccda5bad" addr="T0R3C1S1_1" formatStyle="Comma" appId="_GBC_3f36acb68ddd426b990a146c5c14da80">
        <m:complexRule comparator="Eq" title="应收股利" test=" $_GBC_e762ee92beb5489ab67e80cecc667a56" id="C9bee3eddca63416284ac062dd0c9897b"/>
        <m:axisValue occRef="母公司"/>
      </m:item>
      <m:item xlName="_GBC_77f1f6d8ea2d437686c7b280854714c1" concept="clcid-pte:YingShouGuLi" label="应收股利" periodRef="本期期初数" mulRef="_GBC_e366134590994916ad440e1f86811baf" unitRef="_GBC_775e6a0d5c9a4f36b4b0b9f8ccda5bad" addr="T0R3C2S1_1" formatStyle="Comma" appId="_GBC_3f36acb68ddd426b990a146c5c14da80">
        <m:complexRule comparator="Eq" title="应收股利@本期期初数" test=" $_GBC_77c0a877b8b544639afedc28a5291db5" id="Ccf98bd74b41149c1b1e3dce7807ff168"/>
        <m:axisValue occRef="母公司"/>
      </m:item>
    </m:section>
    <m:section xlName="_SEC_ccfd129beeb14f31b282a062cd845e5e" title="重要的账龄超过1年的应收股利">
      <m:item xlName="_GBC_5ce593c40926400393bed620009e5006" concept="clcid-ci-ar:ShiFouShiYongMuGongSiZhongYaoDeZhangLingChaoGuo1NianDeYingShouGuLi" label="是否适用：母公司重要的账龄超过1年的应收股利" selectOptions="_buildInAppliance" controlType="CustomCheckbox" cRanges="[{&quot;StartName&quot;:&quot;_GBC_5ce593c40926400393bed620009e5006&quot;,&quot;EndName&quot;:&quot;_GBC_af3c973ad3f94b6f9db848081c0d8f2f&quot;,&quot;CType&quot;:1}]"/>
      <m:item xlName="_GBC_09188aa6f5ff485991c423defe329875" concept="clcid-ci-ar:DanWeiMuGongSiZhongYaoDeZhangLingChaoGuo1NianDeYingShouGuLi" label="单位：母公司重要的账龄超过1年的应收股利" selectOptions="_buildInScales" controlType="Combobox" cellType="Scale" appId="_GBC_5ce593c40926400393bed620009e5006"/>
      <m:item xlName="_GBC_228261b7a6c74be6bb1887c8be9607e9" concept="clcid-ci-ar:BiZhongMuGongSiZhongYaoDeZhangLingChaoGuo1NianDeYingShouGuLi" label="币种：母公司重要的账龄超过1年的应收股利" selectOptions="_buildInISO4217" controlType="Combobox" cellType="Measure" appId="_GBC_5ce593c40926400393bed620009e5006"/>
      <m:placeholder xlName="_PLD_2864c81ef88b4613912acc52345d3ba1" addr="T0R0C0S1_1"/>
      <m:placeholder xlName="_PLD_b05f476471f44abd8478bfab2f3c522f" addr="T0R0C1S1_1"/>
      <m:placeholder xlName="_PLD_184ea8a4ee2d4969bf52a5e9b113334b" addr="T0R0C2S1_1"/>
      <m:placeholder xlName="_PLD_5118cdcaebf348a2a460626e6d895e83" addr="T0R0C3S1_1"/>
      <m:placeholder xlName="_PLD_6b70580f3c734de79a8c5b19dc50eeed" addr="T0R0C4S1_1"/>
      <m:tuple xlName="_TUP_8a4f09e5e4284919bbd44c0886dde541" concept="clcid-pte:ZhangLingYiNianYiShangDeYingShouGuLiMingXi" default_row="2" addr="T0R1C">
        <m:item xlName="_GBC_3204043b738c4b43b14c88dd087b61c4" concept="clcid-pte:ZhangLingYiNianYiShangDeYingShouGuLiMingXiXiangMu" label="账龄一年以上的应收股利明细-项目" addr="T0R1C0S1_1" appId="_GBC_5ce593c40926400393bed620009e5006">
          <m:axisValue occRef="母公司"/>
        </m:item>
        <m:item xlName="_GBC_5b20772214df4e7680304afc8bc436d0" concept="clcid-pte:ZhangLingYiNianYiShangDeYingShouGuLiMingXiJinE" label="账龄一年以上的应收股利明细-金额" mulRef="_GBC_09188aa6f5ff485991c423defe329875" unitRef="_GBC_228261b7a6c74be6bb1887c8be9607e9" addr="T0R1C1S1_1" formatStyle="Comma" appId="_GBC_5ce593c40926400393bed620009e5006">
          <m:axisValue occRef="母公司"/>
        </m:item>
        <m:item xlName="_GBC_5b5ffa2cf12d4f8a87f30d37db109a81" concept="clcid-pte:ZhangLingYiNianYiShangDeYingShouGuLiMingXiZhangLing" label="账龄一年以上的应收股利明细-账龄" addr="T0R1C2S1_1" appId="_GBC_5ce593c40926400393bed620009e5006">
          <m:axisValue occRef="母公司"/>
        </m:item>
        <m:item xlName="_GBC_d567e4b3d89742c6b8641af5cc037147" concept="clcid-pte:ZhangLingYiNianYiShangDeYingShouGuLiMingXiWeiShouHuiDeYuanYin" label="账龄一年以上的应收股利明细-未收回的原因" addr="T0R1C3S1_1" appId="_GBC_5ce593c40926400393bed620009e5006">
          <m:axisValue occRef="母公司"/>
        </m:item>
        <m:item xlName="_GBC_2d305898769643e79f4e7041dbb3da60" concept="clcid-pte:ZhangLingYiNianYiShangDeYingShouGuLiMingXiXiangGuanKuanXiangShiFouFaShengJianZhiJiQiPanDuanYiJu" label="账龄一年以上的应收股利明细-相关款项是否发生减值及其判断依据" selectOptions="_buildInYesNo" addr="T0R1C4S1_1" controlType="Combobox" appId="_GBC_5ce593c40926400393bed620009e5006">
          <m:axisValue occRef="母公司"/>
        </m:item>
      </m:tuple>
      <m:placeholder xlName="_PLD_2cfd081a6d9a41aca2f3f973d84c14ac" addr="T0R3C0S1_1"/>
      <m:item xlName="_GBC_af3c973ad3f94b6f9db848081c0d8f2f" concept="clcid-pte:ZhangLingYiNianYiShangDeYingShouGuLi" label="账龄一年以上的应收股利" mulRef="_GBC_09188aa6f5ff485991c423defe329875" unitRef="_GBC_228261b7a6c74be6bb1887c8be9607e9" addr="T0R3C1S1_1" formatStyle="Comma" appId="_GBC_5ce593c40926400393bed620009e5006">
        <m:complexRule comparator="Eq" title="账龄一年以上的应收股利" test=" $_GBC_5b20772214df4e7680304afc8bc436d0" id="Cbf3feb0876b146e9927194431b36610b"/>
        <m:axisValue occRef="母公司"/>
      </m:item>
    </m:section>
    <m:section xlName="_SEC_3d41530a7b3d408cbfe627f818ea914c" title="坏账准备计提情况">
      <m:item xlName="_GBC_9d130aecb6cb4874ac083fcdce5ee739" concept="clcid-ci-ar:ShiFouShiYongMuGongSiYingShouGuLiHuaiZhangZhunBeiTiaoJieBiao" label="是否适用：母公司应收股利坏账准备调节表" selectOptions="_buildInAppliance" controlType="CustomCheckbox" cRanges="[{&quot;StartName&quot;:&quot;_GBC_9d130aecb6cb4874ac083fcdce5ee739&quot;,&quot;EndName&quot;:&quot;_GBC_efc147d73ebb4dffb5c687414786de61&quot;,&quot;CType&quot;:1}]"/>
      <m:item xlName="_GBC_eac39dbdbbaf489fba6c52caa6a3378a" concept="clcid-ci-ar:DanWeiMuGongSiYingShouGuLiHuaiZhangZhunBeiTiaoJieBiao" label="单位：母公司应收股利坏账准备调节表" selectOptions="_buildInScales" controlType="Combobox" cellType="Scale" appId="_GBC_9d130aecb6cb4874ac083fcdce5ee739"/>
      <m:item xlName="_GBC_bb2d135fd3d04eb4a7862d2afc968eea" concept="clcid-ci-ar:BiZhongMuGongSiYingShouGuLiHuaiZhangZhunBeiTiaoJieBiao" label="币种：母公司应收股利坏账准备调节表" selectOptions="_buildInISO4217" controlType="Combobox" cellType="Measure" appId="_GBC_9d130aecb6cb4874ac083fcdce5ee739"/>
      <m:placeholder xlName="_PLD_eec2e190ca654f898d813215917b195d" addr="T0R0C0S2_1"/>
      <m:placeholder xlName="_PLD_7da4c78ebe384cb3b77b6d26441b43f6" addr="T0R0C1S1_1"/>
      <m:placeholder xlName="_PLD_c497e191720d468c9a64e824961a9d3c" addr="T0R0C2S1_1"/>
      <m:placeholder xlName="_PLD_e1070eefdc5942f59215f316439de4af" addr="T0R0C3S1_1"/>
      <m:placeholder xlName="_PLD_fdef873cdff245958ac90b14baaff9d8" addr="T0R0C4S2_1"/>
      <m:placeholder xlName="_PLD_9639cdcd4db64d9ab1203103777d827f" addr="T0R1C1S1_1"/>
      <m:placeholder xlName="_PLD_8dece4c7ad984778bbb567c7ca516ef8" addr="T0R1C2S1_1"/>
      <m:placeholder xlName="_PLD_11dddfcb2195410499cac8f93497c0a5" addr="T0R1C3S1_1"/>
      <m:placeholder xlName="_PLD_e92d1a4c8cfd480e8fea0751ad0423e9" addr="T0R2C0S1_1"/>
      <m:item xlName="_GBC_f8aa7103dd684340b19d05370cfd50bc" concept="clcid-pte:YingShouGuLiHuaiZhangZhunBeiDiYiJieDuan" label="应收股利坏账准备（第一阶段）" periodRef="本期期初数" mulRef="_GBC_eac39dbdbbaf489fba6c52caa6a3378a" unitRef="_GBC_bb2d135fd3d04eb4a7862d2afc968eea" addr="T0R2C1S1_1" formatStyle="Comma" appId="_GBC_9d130aecb6cb4874ac083fcdce5ee739">
        <m:axisValue occRef="母公司"/>
      </m:item>
      <m:item xlName="_GBC_d381eaec8f97469aa0f8b0d0dae6700f" concept="clcid-pte:YingShouGuLiHuaiZhangZhunBeiDiErJieDuan" label="应收股利坏账准备（第二阶段）" periodRef="本期期初数" mulRef="_GBC_eac39dbdbbaf489fba6c52caa6a3378a" unitRef="_GBC_bb2d135fd3d04eb4a7862d2afc968eea" addr="T0R2C2S1_1" formatStyle="Comma" appId="_GBC_9d130aecb6cb4874ac083fcdce5ee739">
        <m:axisValue occRef="母公司"/>
      </m:item>
      <m:item xlName="_GBC_e957a081089d4085a34fa23c6c537973" concept="clcid-pte:YingShouGuLiHuaiZhangZhunBeiDiSanJieDuan" label="应收股利坏账准备（第三阶段）" periodRef="本期期初数" mulRef="_GBC_eac39dbdbbaf489fba6c52caa6a3378a" unitRef="_GBC_bb2d135fd3d04eb4a7862d2afc968eea" addr="T0R2C3S1_1" formatStyle="Comma" appId="_GBC_9d130aecb6cb4874ac083fcdce5ee739">
        <m:axisValue occRef="母公司"/>
      </m:item>
      <m:item xlName="_GBC_5b457641f65c4d61b652c52aef9fb89b" concept="clcid-pte:YingShouGuLiHuaiZhangZhunBei" label="应收股利坏账准备" periodRef="本期期初数" mulRef="_GBC_eac39dbdbbaf489fba6c52caa6a3378a" unitRef="_GBC_bb2d135fd3d04eb4a7862d2afc968eea" addr="T0R2C4S1_1" formatStyle="Comma" appId="_GBC_9d130aecb6cb4874ac083fcdce5ee739">
        <m:axisValue occRef="母公司"/>
      </m:item>
      <m:placeholder xlName="_PLD_5b9c10f155eb4d6aa8fb59110f3c12ee" addr="T0R3C0S1_1"/>
      <m:item xlName="_GBC_38907cc74356448d93122da8a9ead2ff" concept="clcid-pte:YingShouGuLiHuaiZhangZhunBeiBenQiZhuanRuHuoZhuanHuiDiYiJieDuan" label="应收股利坏账准备本期转入或转回（第一阶段）" mulRef="_GBC_eac39dbdbbaf489fba6c52caa6a3378a" unitRef="_GBC_bb2d135fd3d04eb4a7862d2afc968eea" addr="T0R3C1S1_1" formatStyle="Comma" appId="_GBC_9d130aecb6cb4874ac083fcdce5ee739">
        <m:axisValue occRef="母公司"/>
      </m:item>
      <m:item xlName="_GBC_6b326aaddb2d4b7bb8d5021b0f551812" concept="clcid-pte:YingShouGuLiHuaiZhangZhunBeiBenQiZhuanRuHuoZhuanHuiDiErJieDuan" label="应收股利坏账准备本期转入或转回（第二阶段）" mulRef="_GBC_eac39dbdbbaf489fba6c52caa6a3378a" unitRef="_GBC_bb2d135fd3d04eb4a7862d2afc968eea" addr="T0R3C2S1_1" formatStyle="Comma" appId="_GBC_9d130aecb6cb4874ac083fcdce5ee739">
        <m:axisValue occRef="母公司"/>
      </m:item>
      <m:item xlName="_GBC_d6d92226a7544f478e4324ec94b3458a" concept="clcid-pte:YingShouGuLiHuaiZhangZhunBeiBenQiZhuanRuHuoZhuanHuiDiSanJieDuan" label="应收股利坏账准备本期转入或转回（第三阶段）" mulRef="_GBC_eac39dbdbbaf489fba6c52caa6a3378a" unitRef="_GBC_bb2d135fd3d04eb4a7862d2afc968eea" addr="T0R3C3S1_1" formatStyle="Comma" appId="_GBC_9d130aecb6cb4874ac083fcdce5ee739">
        <m:axisValue occRef="母公司"/>
      </m:item>
      <m:item xlName="_GBC_0c2c9d35666f4e5f859064bfe5c6e97a" concept="clcid-pte:YingShouGuLiHuaiZhangZhunBeiBenQiZhuanRuHuoZhuanHuiJieDuanHeJi" label="应收股利坏账准备本期转入或转回阶段合计" mulRef="_GBC_eac39dbdbbaf489fba6c52caa6a3378a" unitRef="_GBC_bb2d135fd3d04eb4a7862d2afc968eea" addr="T0R3C4S1_1" formatStyle="Comma" appId="_GBC_9d130aecb6cb4874ac083fcdce5ee739">
        <m:axisValue occRef="母公司"/>
      </m:item>
      <m:placeholder xlName="_PLD_59c38928029444c19a136a06684c6310" addr="T0R4C0S1_1"/>
      <m:item xlName="_GBC_5e68da1adb394371b422be096149f712" concept="clcid-pte:YingShouGuLiHuaiZhangZhunBeiBenQiZhuanRuDiErJieDuanDiYiJieDuan" label="应收股利坏账准备本期转入第二阶段（第一阶段）" mulRef="_GBC_eac39dbdbbaf489fba6c52caa6a3378a" unitRef="_GBC_bb2d135fd3d04eb4a7862d2afc968eea" addr="T0R4C1S1_1" formatStyle="Comma" appId="_GBC_9d130aecb6cb4874ac083fcdce5ee739">
        <m:axisValue occRef="母公司"/>
      </m:item>
      <m:item xlName="_GBC_120b3626de3041d2a72dacf6a77e7057" concept="clcid-pte:YingShouGuLiHuaiZhangZhunBeiBenQiZhuanRuDiErJieDuanDiErJieDuan" label="应收股利坏账准备本期转入第二阶段（第二阶段）" mulRef="_GBC_eac39dbdbbaf489fba6c52caa6a3378a" unitRef="_GBC_bb2d135fd3d04eb4a7862d2afc968eea" addr="T0R4C2S1_1" formatStyle="Comma" appId="_GBC_9d130aecb6cb4874ac083fcdce5ee739">
        <m:axisValue occRef="母公司"/>
      </m:item>
      <m:item xlName="_GBC_d967761aee7e4b02ad3a715c06e3c0da" concept="clcid-pte:YingShouGuLiHuaiZhangZhunBeiBenQiZhuanRuDiErJieDuanDiSanJieDuan" label="应收股利坏账准备本期转入第二阶段（第三阶段）" mulRef="_GBC_eac39dbdbbaf489fba6c52caa6a3378a" unitRef="_GBC_bb2d135fd3d04eb4a7862d2afc968eea" addr="T0R4C3S1_1" formatStyle="Comma" appId="_GBC_9d130aecb6cb4874ac083fcdce5ee739">
        <m:axisValue occRef="母公司"/>
      </m:item>
      <m:item xlName="_GBC_03bde0591db546a69e00c1fd56cd9c49" concept="clcid-pte:YingShouGuLiHuaiZhangZhunBeiBenQiZhuanRuDiErJieDuanJieDuanHeJi" label="应收股利坏账准备本期转入第二阶段阶段合计" mulRef="_GBC_eac39dbdbbaf489fba6c52caa6a3378a" unitRef="_GBC_bb2d135fd3d04eb4a7862d2afc968eea" addr="T0R4C4S1_1" formatStyle="Comma" appId="_GBC_9d130aecb6cb4874ac083fcdce5ee739">
        <m:axisValue occRef="母公司"/>
      </m:item>
      <m:placeholder xlName="_PLD_28818985dbd243b5a784035e8e1088bf" addr="T0R5C0S1_1"/>
      <m:item xlName="_GBC_54d3bbd733ca4022aa7d7918e5991f4d" concept="clcid-pte:YingShouGuLiHuaiZhangZhunBeiBenQiZhuanRuDiSanJieDuanDiYiJieDuan" label="应收股利坏账准备本期转入第三阶段（第一阶段）" mulRef="_GBC_eac39dbdbbaf489fba6c52caa6a3378a" unitRef="_GBC_bb2d135fd3d04eb4a7862d2afc968eea" addr="T0R5C1S1_1" formatStyle="Comma" appId="_GBC_9d130aecb6cb4874ac083fcdce5ee739">
        <m:axisValue occRef="母公司"/>
      </m:item>
      <m:item xlName="_GBC_56a9330f29824458b2e04743bae0f68f" concept="clcid-pte:YingShouGuLiHuaiZhangZhunBeiBenQiZhuanRuDiSanJieDuanDiErJieDuan" label="应收股利坏账准备本期转入第三阶段（第二阶段）" mulRef="_GBC_eac39dbdbbaf489fba6c52caa6a3378a" unitRef="_GBC_bb2d135fd3d04eb4a7862d2afc968eea" addr="T0R5C2S1_1" formatStyle="Comma" appId="_GBC_9d130aecb6cb4874ac083fcdce5ee739">
        <m:axisValue occRef="母公司"/>
      </m:item>
      <m:item xlName="_GBC_8afe5978f4564af594802e39ccaf7432" concept="clcid-pte:YingShouGuLiHuaiZhangZhunBeiBenQiZhuanRuDiSanJieDuanDiSanJieDuan" label="应收股利坏账准备本期转入第三阶段（第三阶段）" mulRef="_GBC_eac39dbdbbaf489fba6c52caa6a3378a" unitRef="_GBC_bb2d135fd3d04eb4a7862d2afc968eea" addr="T0R5C3S1_1" formatStyle="Comma" appId="_GBC_9d130aecb6cb4874ac083fcdce5ee739">
        <m:axisValue occRef="母公司"/>
      </m:item>
      <m:item xlName="_GBC_942b8f55aa4d4713a24f8fc95f41792d" concept="clcid-pte:YingShouGuLiHuaiZhangZhunBeiBenQiZhuanRuDiSanJieDuanJieDuanHeJi" label="应收股利坏账准备本期转入第三阶段阶段合计" mulRef="_GBC_eac39dbdbbaf489fba6c52caa6a3378a" unitRef="_GBC_bb2d135fd3d04eb4a7862d2afc968eea" addr="T0R5C4S1_1" formatStyle="Comma" appId="_GBC_9d130aecb6cb4874ac083fcdce5ee739">
        <m:axisValue occRef="母公司"/>
      </m:item>
      <m:placeholder xlName="_PLD_b5049cf1c0bb4fa7b3ec065594e76507" addr="T0R6C0S1_1"/>
      <m:item xlName="_GBC_a146f11287884effac556e6517400d43" concept="clcid-pte:YingShouGuLiHuaiZhangZhunBeiBenQiZhuanHuiDiErJieDuanDiYiJieDuan" label="应收股利坏账准备本期转回第二阶段（第一阶段）" mulRef="_GBC_eac39dbdbbaf489fba6c52caa6a3378a" unitRef="_GBC_bb2d135fd3d04eb4a7862d2afc968eea" addr="T0R6C1S1_1" formatStyle="Comma" appId="_GBC_9d130aecb6cb4874ac083fcdce5ee739">
        <m:axisValue occRef="母公司"/>
      </m:item>
      <m:item xlName="_GBC_f80cf0b2609946ceaa2612dbcf4c16d3" concept="clcid-pte:YingShouGuLiHuaiZhangZhunBeiBenQiZhuanHuiDiErJieDuanDiErJieDuan" label="应收股利坏账准备本期转回第二阶段（第二阶段）" mulRef="_GBC_eac39dbdbbaf489fba6c52caa6a3378a" unitRef="_GBC_bb2d135fd3d04eb4a7862d2afc968eea" addr="T0R6C2S1_1" formatStyle="Comma" appId="_GBC_9d130aecb6cb4874ac083fcdce5ee739">
        <m:axisValue occRef="母公司"/>
      </m:item>
      <m:item xlName="_GBC_20dd292137da4d89a8cdd4afe661a903" concept="clcid-pte:YingShouGuLiHuaiZhangZhunBeiBenQiZhuanHuiDiErJieDuanDiSanJieDuan" label="应收股利坏账准备本期转回第二阶段（第三阶段）" mulRef="_GBC_eac39dbdbbaf489fba6c52caa6a3378a" unitRef="_GBC_bb2d135fd3d04eb4a7862d2afc968eea" addr="T0R6C3S1_1" formatStyle="Comma" appId="_GBC_9d130aecb6cb4874ac083fcdce5ee739">
        <m:axisValue occRef="母公司"/>
      </m:item>
      <m:item xlName="_GBC_cf8ec886f1fe486490ebe85997bd54d0" concept="clcid-pte:YingShouGuLiHuaiZhangZhunBeiBenQiZhuanHuiDiErJieDuanJieDuanHeJi" label="应收股利坏账准备本期转回第二阶段阶段合计" mulRef="_GBC_eac39dbdbbaf489fba6c52caa6a3378a" unitRef="_GBC_bb2d135fd3d04eb4a7862d2afc968eea" addr="T0R6C4S1_1" formatStyle="Comma" appId="_GBC_9d130aecb6cb4874ac083fcdce5ee739">
        <m:axisValue occRef="母公司"/>
      </m:item>
      <m:placeholder xlName="_PLD_f09636fe24594b3da18fe9fe59e58b7b" addr="T0R7C0S1_1"/>
      <m:item xlName="_GBC_c190d718b175402997550b1434bd55f5" concept="clcid-pte:YingShouGuLiHuaiZhangZhunBeiBenQiZhuanHuiDiYiJieDuanDiYiJieDuan" label="应收股利坏账准备本期转回第一阶段（第一阶段）" mulRef="_GBC_eac39dbdbbaf489fba6c52caa6a3378a" unitRef="_GBC_bb2d135fd3d04eb4a7862d2afc968eea" addr="T0R7C1S1_1" formatStyle="Comma" appId="_GBC_9d130aecb6cb4874ac083fcdce5ee739">
        <m:axisValue occRef="母公司"/>
      </m:item>
      <m:item xlName="_GBC_ad56fb71cfce4a6bac4bc399e79852e1" concept="clcid-pte:YingShouGuLiHuaiZhangZhunBeiBenQiZhuanHuiDiYiJieDuanDiErJieDuan" label="应收股利坏账准备本期转回第一阶段（第二阶段）" mulRef="_GBC_eac39dbdbbaf489fba6c52caa6a3378a" unitRef="_GBC_bb2d135fd3d04eb4a7862d2afc968eea" addr="T0R7C2S1_1" formatStyle="Comma" appId="_GBC_9d130aecb6cb4874ac083fcdce5ee739">
        <m:axisValue occRef="母公司"/>
      </m:item>
      <m:item xlName="_GBC_e923a8037be24c0082b1184e9a068bcb" concept="clcid-pte:YingShouGuLiHuaiZhangZhunBeiBenQiZhuanHuiDiYiJieDuanDiSanJieDuan" label="应收股利坏账准备本期转回第一阶段（第三阶段）" mulRef="_GBC_eac39dbdbbaf489fba6c52caa6a3378a" unitRef="_GBC_bb2d135fd3d04eb4a7862d2afc968eea" addr="T0R7C3S1_1" formatStyle="Comma" appId="_GBC_9d130aecb6cb4874ac083fcdce5ee739">
        <m:axisValue occRef="母公司"/>
      </m:item>
      <m:item xlName="_GBC_712d59a2772e470eb7f992810a7ef05b" concept="clcid-pte:YingShouGuLiHuaiZhangZhunBeiBenQiZhuanHuiDiYiJieDuanJieDuanHeJi" label="应收股利坏账准备本期转回第一阶段阶段合计" mulRef="_GBC_eac39dbdbbaf489fba6c52caa6a3378a" unitRef="_GBC_bb2d135fd3d04eb4a7862d2afc968eea" addr="T0R7C4S1_1" formatStyle="Comma" appId="_GBC_9d130aecb6cb4874ac083fcdce5ee739">
        <m:axisValue occRef="母公司"/>
      </m:item>
      <m:placeholder xlName="_PLD_17da12cd4800440a8af54284be912e1b" addr="T0R8C0S1_1"/>
      <m:item xlName="_GBC_7854b99370c2425ba112431e07b58a1f" concept="clcid-pte:YingShouGuLiHuaiZhangZhunBeiBenQiXinZengJiTiDiYiJieDuan" label="应收股利坏账准备本期新增计提（第一阶段）" mulRef="_GBC_eac39dbdbbaf489fba6c52caa6a3378a" unitRef="_GBC_bb2d135fd3d04eb4a7862d2afc968eea" addr="T0R8C1S1_1" formatStyle="Comma" appId="_GBC_9d130aecb6cb4874ac083fcdce5ee739">
        <m:axisValue occRef="母公司"/>
      </m:item>
      <m:item xlName="_GBC_c06fba84f7da4981a089ba7f326ad701" concept="clcid-pte:YingShouGuLiHuaiZhangZhunBeiBenQiXinZengJiTiDiErJieDuan" label="应收股利坏账准备本期新增计提（第二阶段）" mulRef="_GBC_eac39dbdbbaf489fba6c52caa6a3378a" unitRef="_GBC_bb2d135fd3d04eb4a7862d2afc968eea" addr="T0R8C2S1_1" formatStyle="Comma" appId="_GBC_9d130aecb6cb4874ac083fcdce5ee739">
        <m:axisValue occRef="母公司"/>
      </m:item>
      <m:item xlName="_GBC_984c375f0f4146809ba45dda228382c1" concept="clcid-pte:YingShouGuLiHuaiZhangZhunBeiBenQiXinZengJiTiDiSanJieDuan" label="应收股利坏账准备本期新增计提（第三阶段）" mulRef="_GBC_eac39dbdbbaf489fba6c52caa6a3378a" unitRef="_GBC_bb2d135fd3d04eb4a7862d2afc968eea" addr="T0R8C3S1_1" formatStyle="Comma" appId="_GBC_9d130aecb6cb4874ac083fcdce5ee739">
        <m:axisValue occRef="母公司"/>
      </m:item>
      <m:item xlName="_GBC_fd2b835af72b4fc2906c36949e940c2e" concept="clcid-pte:YingShouGuLiHuaiZhangZhunBeiBenQiXinZengJiTiJieDuanHeJi" label="应收股利坏账准备本期新增计提阶段合计" mulRef="_GBC_eac39dbdbbaf489fba6c52caa6a3378a" unitRef="_GBC_bb2d135fd3d04eb4a7862d2afc968eea" addr="T0R8C4S1_1" formatStyle="Comma" appId="_GBC_9d130aecb6cb4874ac083fcdce5ee739">
        <m:axisValue occRef="母公司"/>
      </m:item>
      <m:placeholder xlName="_PLD_157965a826ab473d958db9f8254b8f4f" addr="T0R9C0S1_1"/>
      <m:item xlName="_GBC_32e4c5de77a14d6da0ba3c91c576d569" concept="clcid-pte:YingShouGuLiHuaiZhangZhunBeiBenQiZhuanHuiDiYiJieDuan" label="应收股利坏账准备本期转回（第一阶段）" mulRef="_GBC_eac39dbdbbaf489fba6c52caa6a3378a" unitRef="_GBC_bb2d135fd3d04eb4a7862d2afc968eea" addr="T0R9C1S1_1" formatStyle="Comma" appId="_GBC_9d130aecb6cb4874ac083fcdce5ee739">
        <m:axisValue occRef="母公司"/>
      </m:item>
      <m:item xlName="_GBC_063427be8054479d8c807baf68cc719c" concept="clcid-pte:YingShouGuLiHuaiZhangZhunBeiBenQiZhuanHuiDiErJieDuan" label="应收股利坏账准备本期转回（第二阶段）" mulRef="_GBC_eac39dbdbbaf489fba6c52caa6a3378a" unitRef="_GBC_bb2d135fd3d04eb4a7862d2afc968eea" addr="T0R9C2S1_1" formatStyle="Comma" appId="_GBC_9d130aecb6cb4874ac083fcdce5ee739">
        <m:axisValue occRef="母公司"/>
      </m:item>
      <m:item xlName="_GBC_09ff8e19227b405cad2990b2f0d771fe" concept="clcid-pte:YingShouGuLiHuaiZhangZhunBeiBenQiZhuanHuiDiSanJieDuan" label="应收股利坏账准备本期转回（第三阶段）" mulRef="_GBC_eac39dbdbbaf489fba6c52caa6a3378a" unitRef="_GBC_bb2d135fd3d04eb4a7862d2afc968eea" addr="T0R9C3S1_1" formatStyle="Comma" appId="_GBC_9d130aecb6cb4874ac083fcdce5ee739">
        <m:axisValue occRef="母公司"/>
      </m:item>
      <m:item xlName="_GBC_061d71c3f3cd41a0b7d61102b46d380d" concept="clcid-pte:YingShouGuLiHuaiZhangZhunBeiBenQiZhuanHuiJieDuanHeJi" label="应收股利坏账准备本期转回阶段合计" mulRef="_GBC_eac39dbdbbaf489fba6c52caa6a3378a" unitRef="_GBC_bb2d135fd3d04eb4a7862d2afc968eea" addr="T0R9C4S1_1" formatStyle="Comma" appId="_GBC_9d130aecb6cb4874ac083fcdce5ee739">
        <m:axisValue occRef="母公司"/>
      </m:item>
      <m:placeholder xlName="_PLD_1ed4d146b5504654a503cfbf33e864f1" addr="T0R10C0S1_1"/>
      <m:item xlName="_GBC_8d7d564bfec5493d8eb5e500130f2766" concept="clcid-pte:YingShouGuLiHuaiZhangZhunBeiBenQiZhuanXiaoDiYiJieDuan" label="应收股利坏账准备本期转销（第一阶段）" mulRef="_GBC_eac39dbdbbaf489fba6c52caa6a3378a" unitRef="_GBC_bb2d135fd3d04eb4a7862d2afc968eea" addr="T0R10C1S1_1" formatStyle="Comma" appId="_GBC_9d130aecb6cb4874ac083fcdce5ee739">
        <m:axisValue occRef="母公司"/>
      </m:item>
      <m:item xlName="_GBC_fad16abde2454d45be855b841ce2d710" concept="clcid-pte:YingShouGuLiHuaiZhangZhunBeiBenQiZhuanXiaoDiErJieDuan" label="应收股利坏账准备本期转销（第二阶段）" mulRef="_GBC_eac39dbdbbaf489fba6c52caa6a3378a" unitRef="_GBC_bb2d135fd3d04eb4a7862d2afc968eea" addr="T0R10C2S1_1" formatStyle="Comma" appId="_GBC_9d130aecb6cb4874ac083fcdce5ee739">
        <m:axisValue occRef="母公司"/>
      </m:item>
      <m:item xlName="_GBC_8948eb1ab263452f808d4b32dec21d72" concept="clcid-pte:YingShouGuLiHuaiZhangZhunBeiBenQiZhuanXiaoDiSanJieDuan" label="应收股利坏账准备本期转销（第三阶段）" mulRef="_GBC_eac39dbdbbaf489fba6c52caa6a3378a" unitRef="_GBC_bb2d135fd3d04eb4a7862d2afc968eea" addr="T0R10C3S1_1" formatStyle="Comma" appId="_GBC_9d130aecb6cb4874ac083fcdce5ee739">
        <m:axisValue occRef="母公司"/>
      </m:item>
      <m:item xlName="_GBC_3ba9c9815aa14fa18a6086795833881b" concept="clcid-pte:YingShouGuLiHuaiZhangZhunBeiBenQiZhuanXiaoJieDuanHeJi" label="应收股利坏账准备本期转销阶段合计" mulRef="_GBC_eac39dbdbbaf489fba6c52caa6a3378a" unitRef="_GBC_bb2d135fd3d04eb4a7862d2afc968eea" addr="T0R10C4S1_1" formatStyle="Comma" appId="_GBC_9d130aecb6cb4874ac083fcdce5ee739">
        <m:axisValue occRef="母公司"/>
      </m:item>
      <m:placeholder xlName="_PLD_d70a4cb63dab411fbbc9f1b815a0bca0" addr="T0R11C0S1_1"/>
      <m:item xlName="_GBC_f54870fe370c40d782eb6e0a60db83b2" concept="clcid-pte:YingShouGuLiHuaiZhangZhunBeiBenQiHeXiaoDiYiJieDuan" label="应收股利坏账准备本期核销（第一阶段）" mulRef="_GBC_eac39dbdbbaf489fba6c52caa6a3378a" unitRef="_GBC_bb2d135fd3d04eb4a7862d2afc968eea" addr="T0R11C1S1_1" formatStyle="Comma" appId="_GBC_9d130aecb6cb4874ac083fcdce5ee739">
        <m:axisValue occRef="母公司"/>
      </m:item>
      <m:item xlName="_GBC_1f4bb8e96a3240599176f6787f8d5bf9" concept="clcid-pte:YingShouGuLiHuaiZhangZhunBeiBenQiHeXiaoDiErJieDuan" label="应收股利坏账准备本期核销（第二阶段）" mulRef="_GBC_eac39dbdbbaf489fba6c52caa6a3378a" unitRef="_GBC_bb2d135fd3d04eb4a7862d2afc968eea" addr="T0R11C2S1_1" formatStyle="Comma" appId="_GBC_9d130aecb6cb4874ac083fcdce5ee739">
        <m:axisValue occRef="母公司"/>
      </m:item>
      <m:item xlName="_GBC_c2fbcd0ad3ee4210b9537b672629160c" concept="clcid-pte:YingShouGuLiHuaiZhangZhunBeiBenQiHeXiaoDiSanJieDuan" label="应收股利坏账准备本期核销（第三阶段）" mulRef="_GBC_eac39dbdbbaf489fba6c52caa6a3378a" unitRef="_GBC_bb2d135fd3d04eb4a7862d2afc968eea" addr="T0R11C3S1_1" formatStyle="Comma" appId="_GBC_9d130aecb6cb4874ac083fcdce5ee739">
        <m:axisValue occRef="母公司"/>
      </m:item>
      <m:item xlName="_GBC_11c8f6dea2cb4d71a9e4b3bece07ef46" concept="clcid-pte:YingShouGuLiHuaiZhangZhunBeiBenQiHeXiaoJieDuanHeJi" label="应收股利坏账准备本期核销阶段合计" mulRef="_GBC_eac39dbdbbaf489fba6c52caa6a3378a" unitRef="_GBC_bb2d135fd3d04eb4a7862d2afc968eea" addr="T0R11C4S1_1" formatStyle="Comma" appId="_GBC_9d130aecb6cb4874ac083fcdce5ee739">
        <m:axisValue occRef="母公司"/>
      </m:item>
      <m:placeholder xlName="_PLD_5b90dc99bf564a60a06d20275defafdc" addr="T0R12C0S1_1"/>
      <m:item xlName="_GBC_5bc1cd070c8a44299f26143fca2ba130" concept="clcid-pte:YingShouGuLiHuaiZhangZhunBeiBenQiQiTaBianDongDiYiJieDuan" label="应收股利坏账准备本期其他变动（第一阶段）" mulRef="_GBC_eac39dbdbbaf489fba6c52caa6a3378a" unitRef="_GBC_bb2d135fd3d04eb4a7862d2afc968eea" addr="T0R12C1S1_1" formatStyle="Comma" appId="_GBC_9d130aecb6cb4874ac083fcdce5ee739">
        <m:axisValue occRef="母公司"/>
      </m:item>
      <m:item xlName="_GBC_9b81d5d07de94d80883c1f3011d85450" concept="clcid-pte:YingShouGuLiHuaiZhangZhunBeiBenQiQiTaBianDongDiErJieDuan" label="应收股利坏账准备本期其他变动（第二阶段）" mulRef="_GBC_eac39dbdbbaf489fba6c52caa6a3378a" unitRef="_GBC_bb2d135fd3d04eb4a7862d2afc968eea" addr="T0R12C2S1_1" formatStyle="Comma" appId="_GBC_9d130aecb6cb4874ac083fcdce5ee739">
        <m:axisValue occRef="母公司"/>
      </m:item>
      <m:item xlName="_GBC_0e8e1936da2b4879a3daadd74aa9ca4d" concept="clcid-pte:YingShouGuLiHuaiZhangZhunBeiBenQiQiTaBianDongDiSanJieDuan" label="应收股利坏账准备本期其他变动（第三阶段）" mulRef="_GBC_eac39dbdbbaf489fba6c52caa6a3378a" unitRef="_GBC_bb2d135fd3d04eb4a7862d2afc968eea" addr="T0R12C3S1_1" formatStyle="Comma" appId="_GBC_9d130aecb6cb4874ac083fcdce5ee739">
        <m:axisValue occRef="母公司"/>
      </m:item>
      <m:item xlName="_GBC_cbec58fe942d47ba8362915d18b7165c" concept="clcid-pte:YingShouGuLiHuaiZhangZhunBeiBenQiQiTaBianDongJieDuanHeJi" label="应收股利坏账准备本期其他变动阶段合计" mulRef="_GBC_eac39dbdbbaf489fba6c52caa6a3378a" unitRef="_GBC_bb2d135fd3d04eb4a7862d2afc968eea" addr="T0R12C4S1_1" formatStyle="Comma" appId="_GBC_9d130aecb6cb4874ac083fcdce5ee739">
        <m:axisValue occRef="母公司"/>
      </m:item>
      <m:placeholder xlName="_PLD_48573082782749b3b80882540f9c5f8a" addr="T0R13C0S1_1"/>
      <m:item xlName="_GBC_dd84f04cdc6f46e2acb48269040fbe8a" concept="clcid-pte:YingShouGuLiHuaiZhangZhunBeiDiYiJieDuan" label="应收股利坏账准备（第一阶段）" mulRef="_GBC_eac39dbdbbaf489fba6c52caa6a3378a" unitRef="_GBC_bb2d135fd3d04eb4a7862d2afc968eea" addr="T0R13C1S1_1" formatStyle="Comma" appId="_GBC_9d130aecb6cb4874ac083fcdce5ee739">
        <m:axisValue occRef="母公司"/>
      </m:item>
      <m:item xlName="_GBC_dcad311ee73548d3898e64bf3bf36f8b" concept="clcid-pte:YingShouGuLiHuaiZhangZhunBeiDiErJieDuan" label="应收股利坏账准备（第二阶段）" mulRef="_GBC_eac39dbdbbaf489fba6c52caa6a3378a" unitRef="_GBC_bb2d135fd3d04eb4a7862d2afc968eea" addr="T0R13C2S1_1" formatStyle="Comma" appId="_GBC_9d130aecb6cb4874ac083fcdce5ee739">
        <m:axisValue occRef="母公司"/>
      </m:item>
      <m:item xlName="_GBC_08fd857a438d4cfbae6fe404413ddce8" concept="clcid-pte:YingShouGuLiHuaiZhangZhunBeiDiSanJieDuan" label="应收股利坏账准备（第三阶段）" mulRef="_GBC_eac39dbdbbaf489fba6c52caa6a3378a" unitRef="_GBC_bb2d135fd3d04eb4a7862d2afc968eea" addr="T0R13C3S1_1" formatStyle="Comma" appId="_GBC_9d130aecb6cb4874ac083fcdce5ee739">
        <m:axisValue occRef="母公司"/>
      </m:item>
      <m:item xlName="_GBC_fa4e4af5bc9b40588bcfdbb5c8581b25" concept="clcid-pte:YingShouGuLiHuaiZhangZhunBei" label="应收股利坏账准备" mulRef="_GBC_eac39dbdbbaf489fba6c52caa6a3378a" unitRef="_GBC_bb2d135fd3d04eb4a7862d2afc968eea" addr="T0R13C4S1_1" formatStyle="Comma" appId="_GBC_9d130aecb6cb4874ac083fcdce5ee739">
        <m:axisValue occRef="母公司"/>
      </m:item>
      <m:item xlName="_GBC_8f395d86d7614020a70e572e2ca4a521" concept="clcid-ci-ar:ShiFouShiYongMuGongSiYingShouGuLiBenQiFaShengSunShiZhunBeiBianDongQieZhangMianYuEXianZhuBianDongDeQingKuangShuoMing" label="是否适用：母公司应收股利本期发生损失准备变动且账面余额显著变动的情况说明" selectOptions="_buildInAppliance" controlType="CustomCheckbox" cRanges="[{&quot;StartName&quot;:&quot;_GBC_8f395d86d7614020a70e572e2ca4a521&quot;,&quot;EndName&quot;:&quot;_GBC_efc147d73ebb4dffb5c687414786de61&quot;,&quot;CType&quot;:1}]"/>
      <m:item xlName="_GBC_efc147d73ebb4dffb5c687414786de61" concept="clcid-pte:YingShouGuLiBenQiFaShengSunShiZhunBeiBianDongQieZhangMianYuEXianZhuBianDongDeQingKuangShuoMing" label="应收股利本期发生损失准备变动且账面余额显著变动的情况说明" appId="_GBC_8f395d86d7614020a70e572e2ca4a521">
        <m:axisValue occRef="母公司"/>
      </m:item>
    </m:section>
    <m:section xlName="_SEC_2b03a6eb53a24c76a6dc28f0478009f2" title="其他说明：">
      <m:item xlName="_GBC_79a2eb8844e84fe3b78bb5ffcf2a57d5" concept="clcid-ci-ar:ShiFouShiYongMuGongSiYingShouGuLiQiTaShuoMing" label="是否适用：母公司应收股利其他说明" selectOptions="_buildInAppliance" controlType="CustomCheckbox" cRanges="[{&quot;StartName&quot;:&quot;_GBC_79a2eb8844e84fe3b78bb5ffcf2a57d5&quot;,&quot;EndName&quot;:&quot;_GBC_9b25e69aff38417a977a1e2668b081cc&quot;,&quot;CType&quot;:1}]"/>
      <m:item xlName="_GBC_9b25e69aff38417a977a1e2668b081cc" concept="clcid-pte:YingShouGuLiDeShuoMing" label="应收股利的说明" appId="_GBC_79a2eb8844e84fe3b78bb5ffcf2a57d5">
        <m:axisValue occRef="母公司"/>
      </m:item>
    </m:section>
    <m:section xlName="_GBC_7633445fb4f445e9a99e716971900a22" title="组合中，按账龄分析法计提坏账准备的其他应收款" helpId="112002209">
      <m:item xlName="_GBC_b8ebebf3180a48e4b61282a3ad0f26ab" concept="clcid-ci-ar:ShiFouShiYongMuGongSiZuHeZhongAnZhangLingFenXiFaJiTiHuaiZhangZhunBeiDeQiTaYingShouZhangKuan" label="是否适用：母公司组合中，按账龄分析法计提坏账准备的其他应收账款" selectOptions="_buildInAppliance" controlType="CustomCheckbox" cRanges="[{&quot;StartName&quot;:&quot;_GBC_b8ebebf3180a48e4b61282a3ad0f26ab&quot;,&quot;EndName&quot;:&quot;_GBC_627060d6e4514f6c8fc89af2250a031b&quot;,&quot;CType&quot;:1}]"/>
      <m:item xlName="_GBC_ede5d9b4f8594f95a95f3ab6c9f60baf" concept="clcid-ci-ar:DanWeiMuGongSiCaiWuFuZhuDanXiangJinEBuZhongDaDanAnXinYongFengXianTeZhengZuHeHouGaiZuHeDeFengXianJiaoDaDeQiTaYingShouZhangKuan" label="单位：母公司财务附注：单项金额不重大但按信用风险特征组合后该组合的风险较大的其他应收账款" selectOptions="_buildInScales" controlType="Combobox" cellType="Scale" appId="_GBC_b8ebebf3180a48e4b61282a3ad0f26ab"/>
      <m:item xlName="_GBC_f568e72906c2467eaad01f9cc2c58e38" concept="clcid-ci-ar:BiZhongMuGongSiCaiWuFuZhuDanXiangJinEBuZhongDaDanAnXinYongFengXianTeZhengZuHeHouGaiZuHeDeFengXianJiaoDaDeQiTaYingShouZhangKuan" label="币种：母公司财务附注：单项金额不重大但按信用风险特征组合后该组合的风险较大的其他应收账款" selectOptions="_buildInISO4217" controlType="Combobox" cellType="Measure" appId="_GBC_b8ebebf3180a48e4b61282a3ad0f26ab"/>
      <m:placeholder xlName="_PLD_ea421152d78d40388e20d700f11c5b7c" addr="T0R0C0S1_1"/>
      <m:placeholder xlName="_PLD_041d6c971e464a898746e2aa12807b27" addr="T0R0C1S1_1"/>
      <m:placeholder xlName="_PLD_e7e6a5399aea4d5c9e5e7d69deb45784" addr="T0R1C0S1_2"/>
      <m:placeholder xlName="_PLD_56f450290f844bc78a2cfb244e386bfb" addr="T0R2C0S1_2"/>
      <m:tuple xlName="_GBC_860af2b8105d4e3eb381eb65866b7c4e" concept="clcid-pte:YiNianYiNeiQiTaYingShouKuanJinEMingXi" default_row="2" addr="T0R3C">
        <m:item xlName="_GBC_16219c7205cd4fd2b2e397a9f56f3406" concept="clcid-pte:YiNianYiNeiQiTaYingShouKuanZhangLingMingCheng" label="一年以内其他应收款金额明细－帐龄名称" addr="T0R3C0S1_1" appId="_GBC_b8ebebf3180a48e4b61282a3ad0f26ab">
          <m:axisValue occRef="母公司"/>
        </m:item>
        <m:item xlName="_GBC_e976b4c71c8d406cbe67f96b665e76a1" concept="clcid-pte:YiNianYiNeiQiTaYingShouKuanZhangMianYuE" label="一年以内其他应收款金额明细－账面余额" mulRef="_GBC_ede5d9b4f8594f95a95f3ab6c9f60baf" unitRef="_GBC_f568e72906c2467eaad01f9cc2c58e38" addr="T0R3C1S1_1" formatStyle="Comma" appId="_GBC_b8ebebf3180a48e4b61282a3ad0f26ab">
          <m:axisValue occRef="母公司"/>
        </m:item>
      </m:tuple>
      <m:placeholder xlName="_PLD_2003791af21f466bb07049d42fca0a81" addr="T0R5C0S1_1"/>
      <m:item xlName="_GBC_4207c1063cdb4ac195800efa46a396f8" concept="clcid-pte:QiTaYingShouKuanYiNianYiNeiHeJi" label="其他应收款一年以内合计" mulRef="_GBC_ede5d9b4f8594f95a95f3ab6c9f60baf" unitRef="_GBC_f568e72906c2467eaad01f9cc2c58e38" addr="T0R5C1S1_1" formatStyle="Comma" appId="_GBC_b8ebebf3180a48e4b61282a3ad0f26ab">
        <m:axisValue occRef="母公司"/>
      </m:item>
      <m:placeholder xlName="_PLD_95c5c36c109842ad8ca939ca66051b89" addr="T0R6C0S1_1"/>
      <m:item xlName="_GBC_3bcdbf3baaef46ac8a4714608ae97586" concept="clcid-pte:QiTaYingShouKuanYiZhiErNianHeJi" label="其他应收款一至二年合计" mulRef="_GBC_ede5d9b4f8594f95a95f3ab6c9f60baf" unitRef="_GBC_f568e72906c2467eaad01f9cc2c58e38" addr="T0R6C1S1_1" formatStyle="Comma" appId="_GBC_b8ebebf3180a48e4b61282a3ad0f26ab">
        <m:axisValue occRef="母公司"/>
      </m:item>
      <m:placeholder xlName="_PLD_95bded3dfef44f398326fefdfdfa13a1" addr="T0R7C0S1_1"/>
      <m:item xlName="_GBC_1bd37fb29861445c9814df55f3dde5b7" concept="clcid-pte:QiTaYingShouKuanErZhiSanNianHeJi" label="其他应收款二至三年合计" mulRef="_GBC_ede5d9b4f8594f95a95f3ab6c9f60baf" unitRef="_GBC_f568e72906c2467eaad01f9cc2c58e38" addr="T0R7C1S1_1" formatStyle="Comma" appId="_GBC_b8ebebf3180a48e4b61282a3ad0f26ab">
        <m:axisValue occRef="母公司"/>
      </m:item>
      <m:placeholder xlName="_PLD_8e60c19da192420eac3e17635db6643f" addr="T0R8C0S1_1"/>
      <m:item xlName="_GBC_d5ec8065b39e49c0a7f331d769f66d99" concept="clcid-pte:QiTaYingShouKuanSanNianYiShangHeJi" label="其他应收款三年以上合计" mulRef="_GBC_ede5d9b4f8594f95a95f3ab6c9f60baf" unitRef="_GBC_f568e72906c2467eaad01f9cc2c58e38" addr="T0R8C1S1_1" formatStyle="Comma" appId="_GBC_b8ebebf3180a48e4b61282a3ad0f26ab">
        <m:axisValue occRef="母公司"/>
      </m:item>
      <m:placeholder xlName="_PLD_f2ed966c1e274f61b24a1143926bf921" addr="T0R9C0S1_1"/>
      <m:item xlName="_GBC_560e2a5482904d3095a1da34fe62ba00" concept="clcid-pte:QiTaYingShouKuanSanZhiSiNianZhangMianYuE" label="其他应收款三至四年账面余额" mulRef="_GBC_ede5d9b4f8594f95a95f3ab6c9f60baf" unitRef="_GBC_f568e72906c2467eaad01f9cc2c58e38" addr="T0R9C1S1_1" formatStyle="Comma" appId="_GBC_b8ebebf3180a48e4b61282a3ad0f26ab">
        <m:axisValue occRef="母公司"/>
      </m:item>
      <m:placeholder xlName="_PLD_b619e0e2723e468294b0f0499cb87825" addr="T0R10C0S1_1"/>
      <m:item xlName="_GBC_b1c5ad7096d34166ab9ea6ff4fa3073b" concept="clcid-pte:QiTaYingShouKuanSiZhiWuNianZhangMianYuE" label="其他应收款四至五年账面余额" mulRef="_GBC_ede5d9b4f8594f95a95f3ab6c9f60baf" unitRef="_GBC_f568e72906c2467eaad01f9cc2c58e38" addr="T0R10C1S1_1" formatStyle="Comma" appId="_GBC_b8ebebf3180a48e4b61282a3ad0f26ab">
        <m:axisValue occRef="母公司"/>
      </m:item>
      <m:placeholder xlName="_PLD_ba74cee717434a10956280b38ade6234" addr="T0R11C0S1_1"/>
      <m:item xlName="_GBC_c3af7e686b224976bc74c460707ec27b" concept="clcid-pte:QiTaYingShouKuanWuNianYiShangZhangMianYuE" label="其他应收款五年以上账面余额" mulRef="_GBC_ede5d9b4f8594f95a95f3ab6c9f60baf" unitRef="_GBC_f568e72906c2467eaad01f9cc2c58e38" addr="T0R11C1S1_1" formatStyle="Comma" appId="_GBC_b8ebebf3180a48e4b61282a3ad0f26ab">
        <m:axisValue occRef="母公司"/>
      </m:item>
      <m:tuple xlName="_TUP_ab0660a380d2476f8d5fb3374184cc89" concept="clcid-pte:AnZhangLingFenXiFaJiTiHuaiZhangZhunBeiDeQiTaYingShouKuanMingXi" default_row="2" addr="T0R12C">
        <m:item xlName="_GBC_74d97096b4b3496986c065368241a5af" concept="clcid-pte:AnZhangLingFenXiFaJiTiHuaiZhangZhunBeiDeQiTaYingShouKuanMingXiZhangLing" label="按账龄分析法计提坏账准备的其他应收款明细_账龄" addr="T0R12C0S1_1" appId="_GBC_b8ebebf3180a48e4b61282a3ad0f26ab">
          <m:axisValue occRef="母公司"/>
        </m:item>
        <m:item xlName="_GBC_530de5ac9dfa43caafc70e0f9fcec975" concept="clcid-pte:AnZhangLingFenXiFaJiTiHuaiZhangZhunBeiDeQiTaYingShouKuanMingXiQiTaYingShouKuan" label="按账龄分析法计提坏账准备的其他应收款明细_其他应收款" mulRef="_GBC_ede5d9b4f8594f95a95f3ab6c9f60baf" unitRef="_GBC_f568e72906c2467eaad01f9cc2c58e38" addr="T0R12C1S1_1" formatStyle="Comma" appId="_GBC_b8ebebf3180a48e4b61282a3ad0f26ab">
          <m:axisValue occRef="母公司"/>
        </m:item>
      </m:tuple>
      <m:placeholder xlName="_PLD_b07c72d6667b4b8198e844363dff5967" addr="T0R14C0S1_1"/>
      <m:item xlName="_GBC_627060d6e4514f6c8fc89af2250a031b" concept="clcid-pte:DanXiangJinEBuZhongDaDanAnXinYongFengXianTeZhengZuHeHouGaiZuHeDeFengXianJiaoDaDeQiTaYingShouZhangKuanHeJi" label="单项金额不重大但按信用风险特征组合后该组合的风险较大的其他应收账款合计" mulRef="_GBC_ede5d9b4f8594f95a95f3ab6c9f60baf" unitRef="_GBC_f568e72906c2467eaad01f9cc2c58e38" addr="T0R14C1S1_1" formatStyle="Comma" appId="_GBC_b8ebebf3180a48e4b61282a3ad0f26ab">
        <m:complexRule comparator="Eq" title="母公司单项金额不重大但按信用风险特征组合后该组合的风险较大的其他应收账款合计" test=" $_GBC_4207c1063cdb4ac195800efa46a396f8 +  $_GBC_3bcdbf3baaef46ac8a4714608ae97586 +  $_GBC_1bd37fb29861445c9814df55f3dde5b7 +  $_GBC_d5ec8065b39e49c0a7f331d769f66d99 +  $_GBC_560e2a5482904d3095a1da34fe62ba00 +  $_GBC_b1c5ad7096d34166ab9ea6ff4fa3073b +  $_GBC_c3af7e686b224976bc74c460707ec27b +  $_GBC_530de5ac9dfa43caafc70e0f9fcec975" id="C48a8d10fa1ba4b3488e9bf8eb62f51b7"/>
        <m:axisValue occRef="母公司"/>
      </m:item>
    </m:section>
    <m:section xlName="_GBC_c9f7dc8489b74105a28800b5cfad23af" title="其他应收款按款项性质分类情况" helpId="112002209">
      <m:item xlName="_GBC_101fec10ac1f41f39330610cac041192" concept="clcid-ci-ar:ShiFouShiYongMuGongSiQiTaYingShouKuanAnKuanXiangXingZhiFenLeiQingKuang" label="是否适用：母公司其他应收款按款项性质分类情况" selectOptions="_buildInAppliance" controlType="CustomCheckbox" cRanges="{&quot;StartName&quot;:&quot;_GBC_101fec10ac1f41f39330610cac041192&quot;,&quot;EndName&quot;:&quot;_GBC_cfd03d515bf54180b8164d2a9f38821b&quot;,&quot;CType&quot;:1,&quot;DisplayText&quot;:null}"/>
      <m:item xlName="_GBC_cdfadb9bdd864b32a99df11dec001a83" concept="clcid-ci-ar:DanWeiCaiWuFuZhuMuGongSiQiTaYingShouKuanAnKuanXiangXingZhiFenLeiQingKuang" label="单位：财务附注：母公司其他应收款按款项性质分类情况" selectOptions="_buildInScales" controlType="Combobox" cellType="Scale" appId="_GBC_101fec10ac1f41f39330610cac041192"/>
      <m:item xlName="_GBC_cac854cfb75144bc86635f44f78d6611" concept="clcid-ci-ar:BiZhongCaiWuFuZhuMuGongSiQiTaYingShouKuanAnKuanXiangXingZhiFenLeiQingKuang" label="币种：财务附注：母公司其他应收款按款项性质分类情况" selectOptions="_buildInISO4217" controlType="Combobox" cellType="Measure" appId="_GBC_101fec10ac1f41f39330610cac041192"/>
      <m:placeholder xlName="_PLD_797d39f4d1fd488e93d36af61d0bebfd" addr="T0R0C0S1_1"/>
      <m:placeholder xlName="_PLD_7853db088d0a4b218482e741ebbac8e0" addr="T0R0C1S1_1"/>
      <m:placeholder xlName="_PLD_56ab744bffee4ad28664bdf9e16551e2" addr="T0R0C2S1_1"/>
      <m:tuple xlName="_GBC_2dbe9c87fcc94933b5e1adb6fa3a30df" concept="clcid-pte:QiTaYingShouKuanAnKuanXiangXingZhiFenLeiQingKuangMingXi" default_row="2" addr="T0R1C">
        <m:item xlName="_GBC_0f2d8ffacf5a459a8ecd84c7b0d4791c" concept="clcid-pte:QiTaYingShouKuanAnKuanXiangXingZhiFenLeiQingKuangMingXiKuanXiangXingZhi" label="其他应收款按款项性质分类情况明细-款项性质" addr="T0R1C0S1_1" appId="_GBC_101fec10ac1f41f39330610cac041192">
          <m:axisValue occRef="母公司"/>
        </m:item>
        <m:item xlName="_GBC_984e1242fcf64d4cad97de9746e19d71" concept="clcid-pte:QiTaYingShouKuanAnKuanXiangXingZhiFenLeiQingKuangMingXiJinE" label="其他应收款按款项性质分类情况明细-金额" mulRef="_GBC_cdfadb9bdd864b32a99df11dec001a83" unitRef="_GBC_cac854cfb75144bc86635f44f78d6611" addr="T0R1C1S1_1" formatStyle="Comma" appId="_GBC_101fec10ac1f41f39330610cac041192">
          <m:axisValue occRef="母公司"/>
        </m:item>
        <m:item xlName="_GBC_e8be72806f3341efb00614c18d995c62" concept="clcid-pte:QiTaYingShouKuanAnKuanXiangXingZhiFenLeiQingKuangMingXiJinE" label="其他应收款按款项性质分类情况明细-金额" periodRef="本期期初数" mulRef="_GBC_cdfadb9bdd864b32a99df11dec001a83" unitRef="_GBC_cac854cfb75144bc86635f44f78d6611" addr="T0R1C2S1_1" formatStyle="Comma" appId="_GBC_101fec10ac1f41f39330610cac041192">
          <m:axisValue occRef="母公司"/>
        </m:item>
      </m:tuple>
      <m:placeholder xlName="_PLD_2c3163c0b1c149f7a6fc1dfe5449335d" addr="T0R3C0S1_1"/>
      <m:item xlName="_GBC_73a8d59f91c94ee695a4ae56177672a6" concept="clcid-pte:QiTaYingShouKuanAnKuanXiangXingZhiFenLeiQingKuangJinEHeJi" label="其他应收款按款项性质分类情况金额合计" mulRef="_GBC_cdfadb9bdd864b32a99df11dec001a83" unitRef="_GBC_cac854cfb75144bc86635f44f78d6611" addr="T0R3C1S1_1" formatStyle="Comma" appId="_GBC_101fec10ac1f41f39330610cac041192">
        <m:complexRule comparator="Eq" title="母公司其他应收款按款项性质分类情况金额合计" test=" $_GBC_984e1242fcf64d4cad97de9746e19d71" id="C55567299ca97441aba2feb6b81dd426a"/>
        <m:axisValue occRef="母公司"/>
      </m:item>
      <m:item xlName="_GBC_cfd03d515bf54180b8164d2a9f38821b" concept="clcid-pte:QiTaYingShouKuanAnKuanXiangXingZhiFenLeiQingKuangJinEHeJi" label="其他应收款按款项性质分类情况金额合计" periodRef="本期期初数" mulRef="_GBC_cdfadb9bdd864b32a99df11dec001a83" unitRef="_GBC_cac854cfb75144bc86635f44f78d6611" addr="T0R3C2S1_1" formatStyle="Comma" appId="_GBC_101fec10ac1f41f39330610cac041192">
        <m:complexRule comparator="Eq" title="母公司其他应收款按款项性质分类情况金额合计@本期期初数" test=" $_GBC_e8be72806f3341efb00614c18d995c62" id="C5a250599ef07401e9487f2fafd8d346d"/>
        <m:axisValue occRef="母公司"/>
      </m:item>
    </m:section>
    <m:section xlName="_SEC_15d9e20371d54bec9233b27dd50b301d" title="坏账准备计提情况" helpText="如存在坏账准备，应按照财政部企业会计准则第37号第83条规定，披露损失准备期初余额与期末余额的调节表">
      <m:item xlName="_GBC_550996ad46c8493eb98c011d7acf7dfb" concept="clcid-ci-ar:ShiFouShiYongMuGongSiQiTaYingShouKuanHuaiZhangZhunBeiTiaoJieBiao" label="是否适用：母公司其他应收款坏账准备调节表" selectOptions="_buildInAppliance" controlType="CustomCheckbox" cRanges="[{&quot;StartName&quot;:&quot;_GBC_550996ad46c8493eb98c011d7acf7dfb&quot;,&quot;EndName&quot;:&quot;_GBC_609f536caff4403c80cde11bb3c55f04&quot;,&quot;CType&quot;:1}]"/>
      <m:item xlName="_GBC_10c7491cbac54cf6a1a375367db16baf" concept="clcid-ci-ar:DanWeiMuGongSiQiTaYingShouKuanHuaiZhangZhunBeiTiaoJieBiao" label="单位：母公司其他应收款坏账准备调节表" selectOptions="_buildInScales" controlType="Combobox" cellType="Scale" appId="_GBC_550996ad46c8493eb98c011d7acf7dfb"/>
      <m:item xlName="_GBC_01762fded69841c1b87d684f3bcfb97f" concept="clcid-ci-ar:BiZhongMuGongSiQiTaYingShouKuanHuaiZhangZhunBeiTiaoJieBiao" label="币种：母公司其他应收款坏账准备调节表" selectOptions="_buildInISO4217" controlType="Combobox" cellType="Measure" appId="_GBC_550996ad46c8493eb98c011d7acf7dfb"/>
      <m:placeholder xlName="_PLD_a620ef8c0fe0407b955c4f58530e0b21" addr="T0R0C0S2_1"/>
      <m:placeholder xlName="_PLD_8699e9827a744831bf2fdadfa1ac52e1" addr="T0R0C1S1_1"/>
      <m:placeholder xlName="_PLD_d2f5c6d4cf0d4a86b39dc41f67fe87db" addr="T0R0C2S1_1"/>
      <m:placeholder xlName="_PLD_a09c7daba8c14a6498c7b83b77c97c72" addr="T0R0C3S1_1"/>
      <m:placeholder xlName="_PLD_1ec064a14a75404dac24adc5e6ddd253" addr="T0R0C4S2_1"/>
      <m:placeholder xlName="_PLD_506da2a2f1db4ead819aa958edd702e2" addr="T0R1C1S1_1"/>
      <m:placeholder xlName="_PLD_23a6590eef0649d4af75d4845c12f263" addr="T0R1C2S1_1"/>
      <m:placeholder xlName="_PLD_44518f4265ac43078f96c79efe9dd487" addr="T0R1C3S1_1"/>
      <m:placeholder xlName="_PLD_2304f8a656bf488e9c1b48987574a2b8" addr="T0R2C0S1_1"/>
      <m:item xlName="_GBC_1a4497d607f84e2ca7afb22716d0b06d" concept="clcid-pte:QiTaYingShouKuanHuaiZhangZhunBeiDiYiJieDuan" label="其他应收款坏账准备（第一阶段）" periodRef="本期期初数" mulRef="_GBC_10c7491cbac54cf6a1a375367db16baf" unitRef="_GBC_01762fded69841c1b87d684f3bcfb97f" addr="T0R2C1S1_1" formatStyle="Comma" appId="_GBC_550996ad46c8493eb98c011d7acf7dfb">
        <m:axisValue occRef="母公司"/>
      </m:item>
      <m:item xlName="_GBC_4b16e9a2648549a2a476f8132ab782b5" concept="clcid-pte:QiTaYingShouKuanHuaiZhangZhunBeiDiErJieDuan" label="其他应收款坏账准备（第二阶段）" periodRef="本期期初数" mulRef="_GBC_10c7491cbac54cf6a1a375367db16baf" unitRef="_GBC_01762fded69841c1b87d684f3bcfb97f" addr="T0R2C2S1_1" formatStyle="Comma" appId="_GBC_550996ad46c8493eb98c011d7acf7dfb">
        <m:axisValue occRef="母公司"/>
      </m:item>
      <m:item xlName="_GBC_9ae5c4dccba64ec09c00e79829ebf58b" concept="clcid-pte:QiTaYingShouKuanHuaiZhangZhunBeiDiSanJieDuan" label="其他应收款坏账准备（第三阶段）" periodRef="本期期初数" mulRef="_GBC_10c7491cbac54cf6a1a375367db16baf" unitRef="_GBC_01762fded69841c1b87d684f3bcfb97f" addr="T0R2C3S1_1" formatStyle="Comma" appId="_GBC_550996ad46c8493eb98c011d7acf7dfb">
        <m:axisValue occRef="母公司"/>
      </m:item>
      <m:item xlName="_GBC_57bbd6e25aa949958f6450d870beb68a" concept="clcid-pte:QiTaYingShouKuanHuaiZhangZhunBei" label="其他应收款坏账准备" periodRef="本期期初数" mulRef="_GBC_10c7491cbac54cf6a1a375367db16baf" unitRef="_GBC_01762fded69841c1b87d684f3bcfb97f" addr="T0R2C4S1_1" formatStyle="Comma" appId="_GBC_550996ad46c8493eb98c011d7acf7dfb">
        <m:axisValue occRef="母公司"/>
      </m:item>
      <m:placeholder xlName="_PLD_796e9b523fc242849d2f6df5b04e1b9e" addr="T0R3C0S1_1"/>
      <m:item xlName="_GBC_29b829a89b3440cf95ec70c80b968c9a" concept="clcid-pte:QiTaYingShouKuanHuaiZhangZhunBeiBenQiZhuanRuHuoZhuanHuiDiYiJieDuan" label="其他应收款坏账准备本期转入或转回（第一阶段）" mulRef="_GBC_10c7491cbac54cf6a1a375367db16baf" unitRef="_GBC_01762fded69841c1b87d684f3bcfb97f" addr="T0R3C1S1_1" formatStyle="Comma" appId="_GBC_550996ad46c8493eb98c011d7acf7dfb">
        <m:axisValue occRef="母公司"/>
      </m:item>
      <m:item xlName="_GBC_b6d9a6bc9f3745a9a09c366022fd732b" concept="clcid-pte:QiTaYingShouKuanHuaiZhangZhunBeiBenQiZhuanRuHuoZhuanHuiDiErJieDuan" label="其他应收款坏账准备本期转入或转回（第二阶段）" mulRef="_GBC_10c7491cbac54cf6a1a375367db16baf" unitRef="_GBC_01762fded69841c1b87d684f3bcfb97f" addr="T0R3C2S1_1" formatStyle="Comma" appId="_GBC_550996ad46c8493eb98c011d7acf7dfb">
        <m:axisValue occRef="母公司"/>
      </m:item>
      <m:item xlName="_GBC_5c605e2b6b8847c1aa3ee047cea07fa7" concept="clcid-pte:QiTaYingShouKuanHuaiZhangZhunBeiBenQiZhuanRuHuoZhuanHuiDiSanJieDuan" label="其他应收款坏账准备本期转入或转回（第三阶段）" mulRef="_GBC_10c7491cbac54cf6a1a375367db16baf" unitRef="_GBC_01762fded69841c1b87d684f3bcfb97f" addr="T0R3C3S1_1" formatStyle="Comma" appId="_GBC_550996ad46c8493eb98c011d7acf7dfb">
        <m:axisValue occRef="母公司"/>
      </m:item>
      <m:item xlName="_GBC_55e1de82250e4eac9febf2088ba9fd63" concept="clcid-pte:QiTaYingShouKuanHuaiZhangZhunBeiBenQiZhuanRuHuoZhuanHuiJieDuanHeJi" label="其他应收款坏账准备本期转入或转回阶段合计" mulRef="_GBC_10c7491cbac54cf6a1a375367db16baf" unitRef="_GBC_01762fded69841c1b87d684f3bcfb97f" addr="T0R3C4S1_1" formatStyle="Comma" appId="_GBC_550996ad46c8493eb98c011d7acf7dfb">
        <m:axisValue occRef="母公司"/>
      </m:item>
      <m:placeholder xlName="_PLD_aad55d025f3841e2bffcc3792a62e67f" addr="T0R4C0S1_1"/>
      <m:item xlName="_GBC_d3483fdec57a40fa822e67f627e0e794" concept="clcid-pte:QiTaYingShouKuanHuaiZhangZhunBeiBenQiZhuanRuDiErJieDuanDiYiJieDuan" label="其他应收款坏账准备本期转入第二阶段（第一阶段）" mulRef="_GBC_10c7491cbac54cf6a1a375367db16baf" unitRef="_GBC_01762fded69841c1b87d684f3bcfb97f" addr="T0R4C1S1_1" formatStyle="Comma" appId="_GBC_550996ad46c8493eb98c011d7acf7dfb">
        <m:axisValue occRef="母公司"/>
      </m:item>
      <m:item xlName="_GBC_a2847b88968648c1a4de11f13a8bf546" concept="clcid-pte:QiTaYingShouKuanHuaiZhangZhunBeiBenQiZhuanRuDiErJieDuanDiErJieDuan" label="其他应收款坏账准备本期转入第二阶段（第二阶段）" mulRef="_GBC_10c7491cbac54cf6a1a375367db16baf" unitRef="_GBC_01762fded69841c1b87d684f3bcfb97f" addr="T0R4C2S1_1" formatStyle="Comma" appId="_GBC_550996ad46c8493eb98c011d7acf7dfb">
        <m:axisValue occRef="母公司"/>
      </m:item>
      <m:item xlName="_GBC_82d4d111ca814e6e8bc6333372aa0397" concept="clcid-pte:QiTaYingShouKuanHuaiZhangZhunBeiBenQiZhuanRuDiErJieDuanDiSanJieDuan" label="其他应收款坏账准备本期转入第二阶段（第三阶段）" mulRef="_GBC_10c7491cbac54cf6a1a375367db16baf" unitRef="_GBC_01762fded69841c1b87d684f3bcfb97f" addr="T0R4C3S1_1" formatStyle="Comma" appId="_GBC_550996ad46c8493eb98c011d7acf7dfb">
        <m:axisValue occRef="母公司"/>
      </m:item>
      <m:item xlName="_GBC_e3a6e34bacd645f19c997c962a80d69e" concept="clcid-pte:QiTaYingShouKuanHuaiZhangZhunBeiBenQiZhuanRuDiErJieDuanJieDuanHeJi" label="其他应收款坏账准备本期转入第二阶段阶段合计" mulRef="_GBC_10c7491cbac54cf6a1a375367db16baf" unitRef="_GBC_01762fded69841c1b87d684f3bcfb97f" addr="T0R4C4S1_1" formatStyle="Comma" appId="_GBC_550996ad46c8493eb98c011d7acf7dfb">
        <m:axisValue occRef="母公司"/>
      </m:item>
      <m:placeholder xlName="_PLD_d51399c00ed54bda86e4c2bd21c762c0" addr="T0R5C0S1_1"/>
      <m:item xlName="_GBC_26bef5529a254d7db56dba59ba9e5782" concept="clcid-pte:QiTaYingShouKuanHuaiZhangZhunBeiBenQiZhuanRuDiSanJieDuanDiYiJieDuan" label="其他应收款坏账准备本期转入第三阶段（第一阶段）" mulRef="_GBC_10c7491cbac54cf6a1a375367db16baf" unitRef="_GBC_01762fded69841c1b87d684f3bcfb97f" addr="T0R5C1S1_1" formatStyle="Comma" appId="_GBC_550996ad46c8493eb98c011d7acf7dfb">
        <m:axisValue occRef="母公司"/>
      </m:item>
      <m:item xlName="_GBC_4ab91a1b87814b228a93ceb49ebcbf15" concept="clcid-pte:QiTaYingShouKuanHuaiZhangZhunBeiBenQiZhuanRuDiSanJieDuanDiErJieDuan" label="其他应收款坏账准备本期转入第三阶段（第二阶段）" mulRef="_GBC_10c7491cbac54cf6a1a375367db16baf" unitRef="_GBC_01762fded69841c1b87d684f3bcfb97f" addr="T0R5C2S1_1" formatStyle="Comma" appId="_GBC_550996ad46c8493eb98c011d7acf7dfb">
        <m:axisValue occRef="母公司"/>
      </m:item>
      <m:item xlName="_GBC_42a0abe0554c40b7b594374a8d8de469" concept="clcid-pte:QiTaYingShouKuanHuaiZhangZhunBeiBenQiZhuanRuDiSanJieDuanDiSanJieDuan" label="其他应收款坏账准备本期转入第三阶段（第三阶段）" mulRef="_GBC_10c7491cbac54cf6a1a375367db16baf" unitRef="_GBC_01762fded69841c1b87d684f3bcfb97f" addr="T0R5C3S1_1" formatStyle="Comma" appId="_GBC_550996ad46c8493eb98c011d7acf7dfb">
        <m:axisValue occRef="母公司"/>
      </m:item>
      <m:item xlName="_GBC_d1e9253074b147beb6d3d09dc5d04d54" concept="clcid-pte:QiTaYingShouKuanHuaiZhangZhunBeiBenQiZhuanRuDiSanJieDuanJieDuanHeJi" label="其他应收款坏账准备本期转入第三阶段阶段合计" mulRef="_GBC_10c7491cbac54cf6a1a375367db16baf" unitRef="_GBC_01762fded69841c1b87d684f3bcfb97f" addr="T0R5C4S1_1" formatStyle="Comma" appId="_GBC_550996ad46c8493eb98c011d7acf7dfb">
        <m:axisValue occRef="母公司"/>
      </m:item>
      <m:placeholder xlName="_PLD_263f4e1c664a4834a814f0a366c8e919" addr="T0R6C0S1_1"/>
      <m:item xlName="_GBC_64855b0928d84833bc126a71975be1b7" concept="clcid-pte:QiTaYingShouKuanHuaiZhangZhunBeiBenQiZhuanHuiDiErJieDuanDiYiJieDuan" label="其他应收款坏账准备本期转回第二阶段（第一阶段）" mulRef="_GBC_10c7491cbac54cf6a1a375367db16baf" unitRef="_GBC_01762fded69841c1b87d684f3bcfb97f" addr="T0R6C1S1_1" formatStyle="Comma" appId="_GBC_550996ad46c8493eb98c011d7acf7dfb">
        <m:axisValue occRef="母公司"/>
      </m:item>
      <m:item xlName="_GBC_80a83aed4f5346e5b5785f593355b620" concept="clcid-pte:QiTaYingShouKuanHuaiZhangZhunBeiBenQiZhuanHuiDiErJieDuanDiErJieDuan" label="其他应收款坏账准备本期转回第二阶段（第二阶段）" mulRef="_GBC_10c7491cbac54cf6a1a375367db16baf" unitRef="_GBC_01762fded69841c1b87d684f3bcfb97f" addr="T0R6C2S1_1" formatStyle="Comma" appId="_GBC_550996ad46c8493eb98c011d7acf7dfb">
        <m:axisValue occRef="母公司"/>
      </m:item>
      <m:item xlName="_GBC_0e7d8340a2f143968f64a283a89dfe0a" concept="clcid-pte:QiTaYingShouKuanHuaiZhangZhunBeiBenQiZhuanHuiDiErJieDuanDiSanJieDuan" label="其他应收款坏账准备本期转回第二阶段（第三阶段）" mulRef="_GBC_10c7491cbac54cf6a1a375367db16baf" unitRef="_GBC_01762fded69841c1b87d684f3bcfb97f" addr="T0R6C3S1_1" formatStyle="Comma" appId="_GBC_550996ad46c8493eb98c011d7acf7dfb">
        <m:axisValue occRef="母公司"/>
      </m:item>
      <m:item xlName="_GBC_3c3b65f79c1742b093a530a66c179ad2" concept="clcid-pte:QiTaYingShouKuanHuaiZhangZhunBeiBenQiZhuanHuiDiErJieDuanJieDuanHeJi" label="其他应收款坏账准备本期转回第二阶段阶段合计" mulRef="_GBC_10c7491cbac54cf6a1a375367db16baf" unitRef="_GBC_01762fded69841c1b87d684f3bcfb97f" addr="T0R6C4S1_1" formatStyle="Comma" appId="_GBC_550996ad46c8493eb98c011d7acf7dfb">
        <m:axisValue occRef="母公司"/>
      </m:item>
      <m:placeholder xlName="_PLD_7103eee28f42440cb40df55e6701cb49" addr="T0R7C0S1_1"/>
      <m:item xlName="_GBC_5490db1cb2d14c09bd79e8e3dec34fdc" concept="clcid-pte:QiTaYingShouKuanHuaiZhangZhunBeiBenQiZhuanHuiDiYiJieDuanDiYiJieDuan" label="其他应收款坏账准备本期转回第一阶段（第一阶段）" mulRef="_GBC_10c7491cbac54cf6a1a375367db16baf" unitRef="_GBC_01762fded69841c1b87d684f3bcfb97f" addr="T0R7C1S1_1" formatStyle="Comma" appId="_GBC_550996ad46c8493eb98c011d7acf7dfb">
        <m:axisValue occRef="母公司"/>
      </m:item>
      <m:item xlName="_GBC_71e5e9f5b45c4816b2420bb0c224f56e" concept="clcid-pte:QiTaYingShouKuanHuaiZhangZhunBeiBenQiZhuanHuiDiYiJieDuanDiErJieDuan" label="其他应收款坏账准备本期转回第一阶段（第二阶段）" mulRef="_GBC_10c7491cbac54cf6a1a375367db16baf" unitRef="_GBC_01762fded69841c1b87d684f3bcfb97f" addr="T0R7C2S1_1" formatStyle="Comma" appId="_GBC_550996ad46c8493eb98c011d7acf7dfb">
        <m:axisValue occRef="母公司"/>
      </m:item>
      <m:item xlName="_GBC_5448e568f2524d79a92a6d3e3e567189" concept="clcid-pte:QiTaYingShouKuanHuaiZhangZhunBeiBenQiZhuanHuiDiYiJieDuanDiSanJieDuan" label="其他应收款坏账准备本期转回第一阶段（第三阶段）" mulRef="_GBC_10c7491cbac54cf6a1a375367db16baf" unitRef="_GBC_01762fded69841c1b87d684f3bcfb97f" addr="T0R7C3S1_1" formatStyle="Comma" appId="_GBC_550996ad46c8493eb98c011d7acf7dfb">
        <m:axisValue occRef="母公司"/>
      </m:item>
      <m:item xlName="_GBC_257f92b8b57f42d8beeab21dfe80d1d1" concept="clcid-pte:QiTaYingShouKuanHuaiZhangZhunBeiBenQiZhuanHuiDiYiJieDuanJieDuanHeJi" label="其他应收款坏账准备本期转回第一阶段阶段合计" mulRef="_GBC_10c7491cbac54cf6a1a375367db16baf" unitRef="_GBC_01762fded69841c1b87d684f3bcfb97f" addr="T0R7C4S1_1" formatStyle="Comma" appId="_GBC_550996ad46c8493eb98c011d7acf7dfb">
        <m:axisValue occRef="母公司"/>
      </m:item>
      <m:placeholder xlName="_PLD_bb1ed7ee4d284f95847b09a20e54710f" addr="T0R8C0S1_1"/>
      <m:item xlName="_GBC_5776a833b1cb431483976959301b10c0" concept="clcid-pte:QiTaYingShouKuanHuaiZhangZhunBeiBenQiXinZengJiTiDiYiJieDuan" label="其他应收款坏账准备本期新增计提（第一阶段）" mulRef="_GBC_10c7491cbac54cf6a1a375367db16baf" unitRef="_GBC_01762fded69841c1b87d684f3bcfb97f" addr="T0R8C1S1_1" formatStyle="Comma" appId="_GBC_550996ad46c8493eb98c011d7acf7dfb">
        <m:axisValue occRef="母公司"/>
      </m:item>
      <m:item xlName="_GBC_8ab4b11e56e747238d8e884bb85015c9" concept="clcid-pte:QiTaYingShouKuanHuaiZhangZhunBeiBenQiXinZengJiTiDiErJieDuan" label="其他应收款坏账准备本期新增计提（第二阶段）" mulRef="_GBC_10c7491cbac54cf6a1a375367db16baf" unitRef="_GBC_01762fded69841c1b87d684f3bcfb97f" addr="T0R8C2S1_1" formatStyle="Comma" appId="_GBC_550996ad46c8493eb98c011d7acf7dfb">
        <m:axisValue occRef="母公司"/>
      </m:item>
      <m:item xlName="_GBC_5f3d774dccc147159f7e65914bbfd97b" concept="clcid-pte:QiTaYingShouKuanHuaiZhangZhunBeiBenQiXinZengJiTiDiSanJieDuan" label="其他应收款坏账准备本期新增计提（第三阶段）" mulRef="_GBC_10c7491cbac54cf6a1a375367db16baf" unitRef="_GBC_01762fded69841c1b87d684f3bcfb97f" addr="T0R8C3S1_1" formatStyle="Comma" appId="_GBC_550996ad46c8493eb98c011d7acf7dfb">
        <m:axisValue occRef="母公司"/>
      </m:item>
      <m:item xlName="_GBC_5b4d46e12fe246449d9c72e6b9199c14" concept="clcid-pte:QiTaYingShouKuanHuaiZhangZhunBeiBenQiXinZengJiTiJieDuanHeJi" label="其他应收款坏账准备本期新增计提阶段合计" mulRef="_GBC_10c7491cbac54cf6a1a375367db16baf" unitRef="_GBC_01762fded69841c1b87d684f3bcfb97f" addr="T0R8C4S1_1" formatStyle="Comma" appId="_GBC_550996ad46c8493eb98c011d7acf7dfb">
        <m:axisValue occRef="母公司"/>
      </m:item>
      <m:placeholder xlName="_PLD_4f4ae619a7e049d7a297497cfaf7c7a3" addr="T0R9C0S1_1"/>
      <m:item xlName="_GBC_09f493746f944267b74cc3153905b420" concept="clcid-pte:QiTaYingShouKuanHuaiZhangZhunBeiBenQiZhuanHuiDiYiJieDuan" label="其他应收款坏账准备本期转回（第一阶段）" mulRef="_GBC_10c7491cbac54cf6a1a375367db16baf" unitRef="_GBC_01762fded69841c1b87d684f3bcfb97f" addr="T0R9C1S1_1" formatStyle="Comma" appId="_GBC_550996ad46c8493eb98c011d7acf7dfb">
        <m:axisValue occRef="母公司"/>
      </m:item>
      <m:item xlName="_GBC_c5a6409d02904fa8bd39008869504390" concept="clcid-pte:QiTaYingShouKuanHuaiZhangZhunBeiBenQiZhuanHuiDiErJieDuan" label="其他应收款坏账准备本期转回（第二阶段）" mulRef="_GBC_10c7491cbac54cf6a1a375367db16baf" unitRef="_GBC_01762fded69841c1b87d684f3bcfb97f" addr="T0R9C2S1_1" formatStyle="Comma" appId="_GBC_550996ad46c8493eb98c011d7acf7dfb">
        <m:axisValue occRef="母公司"/>
      </m:item>
      <m:item xlName="_GBC_3eede7fcfbba414f97c1d824e3481967" concept="clcid-pte:QiTaYingShouKuanHuaiZhangZhunBeiBenQiZhuanHuiDiSanJieDuan" label="其他应收款坏账准备本期转回（第三阶段）" mulRef="_GBC_10c7491cbac54cf6a1a375367db16baf" unitRef="_GBC_01762fded69841c1b87d684f3bcfb97f" addr="T0R9C3S1_1" formatStyle="Comma" appId="_GBC_550996ad46c8493eb98c011d7acf7dfb">
        <m:axisValue occRef="母公司"/>
      </m:item>
      <m:item xlName="_GBC_712e8fe5718948698513bb9f409acb7e" concept="clcid-pte:QiTaYingShouKuanHuaiZhangZhunBeiBenQiZhuanHuiJieDuanHeJi" label="其他应收款坏账准备本期转回阶段合计" mulRef="_GBC_10c7491cbac54cf6a1a375367db16baf" unitRef="_GBC_01762fded69841c1b87d684f3bcfb97f" addr="T0R9C4S1_1" formatStyle="Comma" appId="_GBC_550996ad46c8493eb98c011d7acf7dfb">
        <m:axisValue occRef="母公司"/>
      </m:item>
      <m:placeholder xlName="_PLD_f623f4998cf8469785fccf1dc23e23f4" addr="T0R10C0S1_1"/>
      <m:item xlName="_GBC_6fcbd4f08f8d4f1db7ff0524e5762dfd" concept="clcid-pte:QiTaYingShouKuanHuaiZhangZhunBeiBenQiZhuanXiaoDiYiJieDuan" label="其他应收款坏账准备本期转销（第一阶段）" mulRef="_GBC_10c7491cbac54cf6a1a375367db16baf" unitRef="_GBC_01762fded69841c1b87d684f3bcfb97f" addr="T0R10C1S1_1" formatStyle="Comma" appId="_GBC_550996ad46c8493eb98c011d7acf7dfb">
        <m:axisValue occRef="母公司"/>
      </m:item>
      <m:item xlName="_GBC_092034092f6a40c79a0b3e6d1ab81e5a" concept="clcid-pte:QiTaYingShouKuanHuaiZhangZhunBeiBenQiZhuanXiaoDiErJieDuan" label="其他应收款坏账准备本期转销（第二阶段）" mulRef="_GBC_10c7491cbac54cf6a1a375367db16baf" unitRef="_GBC_01762fded69841c1b87d684f3bcfb97f" addr="T0R10C2S1_1" formatStyle="Comma" appId="_GBC_550996ad46c8493eb98c011d7acf7dfb">
        <m:axisValue occRef="母公司"/>
      </m:item>
      <m:item xlName="_GBC_d47618fd61fb4322a470bf60f6849e08" concept="clcid-pte:QiTaYingShouKuanHuaiZhangZhunBeiBenQiZhuanXiaoDiSanJieDuan" label="其他应收款坏账准备本期转销（第三阶段）" mulRef="_GBC_10c7491cbac54cf6a1a375367db16baf" unitRef="_GBC_01762fded69841c1b87d684f3bcfb97f" addr="T0R10C3S1_1" formatStyle="Comma" appId="_GBC_550996ad46c8493eb98c011d7acf7dfb">
        <m:axisValue occRef="母公司"/>
      </m:item>
      <m:item xlName="_GBC_c65a46dd8b5e4c14b7f3a9d90e452f16" concept="clcid-pte:QiTaYingShouKuanHuaiZhangZhunBeiBenQiZhuanXiaoJieDuanHeJi" label="其他应收款坏账准备本期转销阶段合计" mulRef="_GBC_10c7491cbac54cf6a1a375367db16baf" unitRef="_GBC_01762fded69841c1b87d684f3bcfb97f" addr="T0R10C4S1_1" formatStyle="Comma" appId="_GBC_550996ad46c8493eb98c011d7acf7dfb">
        <m:axisValue occRef="母公司"/>
      </m:item>
      <m:placeholder xlName="_PLD_7d1faf2fb9f748e597402d52d41da0c3" addr="T0R11C0S1_1"/>
      <m:item xlName="_GBC_721e4d8a6cf143b1ae7ceefc973d2afc" concept="clcid-pte:QiTaYingShouKuanHuaiZhangZhunBeiBenQiHeXiaoDiYiJieDuan" label="其他应收款坏账准备本期核销（第一阶段）" mulRef="_GBC_10c7491cbac54cf6a1a375367db16baf" unitRef="_GBC_01762fded69841c1b87d684f3bcfb97f" addr="T0R11C1S1_1" formatStyle="Comma" appId="_GBC_550996ad46c8493eb98c011d7acf7dfb">
        <m:axisValue occRef="母公司"/>
      </m:item>
      <m:item xlName="_GBC_5970db667d47466e932f6d20e5d1780e" concept="clcid-pte:QiTaYingShouKuanHuaiZhangZhunBeiBenQiHeXiaoDiErJieDuan" label="其他应收款坏账准备本期核销（第二阶段）" mulRef="_GBC_10c7491cbac54cf6a1a375367db16baf" unitRef="_GBC_01762fded69841c1b87d684f3bcfb97f" addr="T0R11C2S1_1" formatStyle="Comma" appId="_GBC_550996ad46c8493eb98c011d7acf7dfb">
        <m:axisValue occRef="母公司"/>
      </m:item>
      <m:item xlName="_GBC_9807173c34b8471c9ddcaf9d4b4082c3" concept="clcid-pte:QiTaYingShouKuanHuaiZhangZhunBeiBenQiHeXiaoDiSanJieDuan" label="其他应收款坏账准备本期核销（第三阶段）" mulRef="_GBC_10c7491cbac54cf6a1a375367db16baf" unitRef="_GBC_01762fded69841c1b87d684f3bcfb97f" addr="T0R11C3S1_1" formatStyle="Comma" appId="_GBC_550996ad46c8493eb98c011d7acf7dfb">
        <m:axisValue occRef="母公司"/>
      </m:item>
      <m:item xlName="_GBC_1e976e02919a4c4fb113865da9ff7864" concept="clcid-pte:QiTaYingShouKuanHuaiZhangZhunBeiBenQiHeXiaoJieDuanHeJi" label="其他应收款坏账准备本期核销阶段合计" mulRef="_GBC_10c7491cbac54cf6a1a375367db16baf" unitRef="_GBC_01762fded69841c1b87d684f3bcfb97f" addr="T0R11C4S1_1" formatStyle="Comma" appId="_GBC_550996ad46c8493eb98c011d7acf7dfb">
        <m:axisValue occRef="母公司"/>
      </m:item>
      <m:placeholder xlName="_PLD_fd84f390e6184019aab02c9d3845e31d" addr="T0R12C0S1_1"/>
      <m:item xlName="_GBC_09c6e8d2e9ad40688dc34883c876fb4e" concept="clcid-pte:QiTaYingShouKuanHuaiZhangZhunBeiBenQiQiTaBianDongDiYiJieDuan" label="其他应收款坏账准备本期其他变动（第一阶段）" mulRef="_GBC_10c7491cbac54cf6a1a375367db16baf" unitRef="_GBC_01762fded69841c1b87d684f3bcfb97f" addr="T0R12C1S1_1" formatStyle="Comma" appId="_GBC_550996ad46c8493eb98c011d7acf7dfb">
        <m:axisValue occRef="母公司"/>
      </m:item>
      <m:item xlName="_GBC_cae6d3828ee24bd18fe8eb6fec4ef349" concept="clcid-pte:QiTaYingShouKuanHuaiZhangZhunBeiBenQiQiTaBianDongDiErJieDuan" label="其他应收款坏账准备本期其他变动（第二阶段）" mulRef="_GBC_10c7491cbac54cf6a1a375367db16baf" unitRef="_GBC_01762fded69841c1b87d684f3bcfb97f" addr="T0R12C2S1_1" formatStyle="Comma" appId="_GBC_550996ad46c8493eb98c011d7acf7dfb">
        <m:axisValue occRef="母公司"/>
      </m:item>
      <m:item xlName="_GBC_6f1c6bcbefd245ad941f967a3bff8f18" concept="clcid-pte:QiTaYingShouKuanHuaiZhangZhunBeiBenQiQiTaBianDongDiSanJieDuan" label="其他应收款坏账准备本期其他变动（第三阶段）" mulRef="_GBC_10c7491cbac54cf6a1a375367db16baf" unitRef="_GBC_01762fded69841c1b87d684f3bcfb97f" addr="T0R12C3S1_1" formatStyle="Comma" appId="_GBC_550996ad46c8493eb98c011d7acf7dfb">
        <m:axisValue occRef="母公司"/>
      </m:item>
      <m:item xlName="_GBC_c6efe2c58299478b893738c6b495f42b" concept="clcid-pte:QiTaYingShouKuanHuaiZhangZhunBeiBenQiQiTaBianDongJieDuanHeJi" label="其他应收款坏账准备本期其他变动阶段合计" mulRef="_GBC_10c7491cbac54cf6a1a375367db16baf" unitRef="_GBC_01762fded69841c1b87d684f3bcfb97f" addr="T0R12C4S1_1" formatStyle="Comma" appId="_GBC_550996ad46c8493eb98c011d7acf7dfb">
        <m:axisValue occRef="母公司"/>
      </m:item>
      <m:placeholder xlName="_PLD_04cab04851ab496e8220fc8c946b10a5" addr="T0R13C0S1_1"/>
      <m:item xlName="_GBC_4f29faea14be4c278ac70ac3908bcfad" concept="clcid-pte:QiTaYingShouKuanHuaiZhangZhunBeiDiYiJieDuan" label="其他应收款坏账准备（第一阶段）" mulRef="_GBC_10c7491cbac54cf6a1a375367db16baf" unitRef="_GBC_01762fded69841c1b87d684f3bcfb97f" addr="T0R13C1S1_1" formatStyle="Comma" appId="_GBC_550996ad46c8493eb98c011d7acf7dfb">
        <m:axisValue occRef="母公司"/>
      </m:item>
      <m:item xlName="_GBC_d37140e79caf443b9c0962742bdcab0a" concept="clcid-pte:QiTaYingShouKuanHuaiZhangZhunBeiDiErJieDuan" label="其他应收款坏账准备（第二阶段）" mulRef="_GBC_10c7491cbac54cf6a1a375367db16baf" unitRef="_GBC_01762fded69841c1b87d684f3bcfb97f" addr="T0R13C2S1_1" formatStyle="Comma" appId="_GBC_550996ad46c8493eb98c011d7acf7dfb">
        <m:axisValue occRef="母公司"/>
      </m:item>
      <m:item xlName="_GBC_6ae9309617fd48848cf660a9b1bde4ec" concept="clcid-pte:QiTaYingShouKuanHuaiZhangZhunBeiDiSanJieDuan" label="其他应收款坏账准备（第三阶段）" mulRef="_GBC_10c7491cbac54cf6a1a375367db16baf" unitRef="_GBC_01762fded69841c1b87d684f3bcfb97f" addr="T0R13C3S1_1" formatStyle="Comma" appId="_GBC_550996ad46c8493eb98c011d7acf7dfb">
        <m:axisValue occRef="母公司"/>
      </m:item>
      <m:item xlName="_GBC_e928a248b23942189b6bcf444f472147" concept="clcid-pte:QiTaYingShouKuanHuaiZhangZhunBei" label="其他应收款坏账准备" mulRef="_GBC_10c7491cbac54cf6a1a375367db16baf" unitRef="_GBC_01762fded69841c1b87d684f3bcfb97f" addr="T0R13C4S1_1" formatStyle="Comma" appId="_GBC_550996ad46c8493eb98c011d7acf7dfb">
        <m:axisValue occRef="母公司"/>
      </m:item>
      <m:item xlName="_GBC_51a7e143899e4bf4887327bb018327b9" concept="clcid-ci-ar:ShiFouShiYongMuGongSiQiTaYingShouKuanBenQiFaShengSunShiZhunBeiBianDongQieZhangMianYuEXianZhuBianDongDeQingKuangShuoMing" label="是否适用：母公司其他应收款本期发生损失准备变动且账面余额显著变动的情况说明" selectOptions="_buildInAppliance" controlType="CustomCheckbox" cRanges="[{&quot;StartName&quot;:&quot;_GBC_51a7e143899e4bf4887327bb018327b9&quot;,&quot;EndName&quot;:&quot;_GBC_0e658f1d57fa4ea09e73b239d6077cef&quot;,&quot;CType&quot;:1}]"/>
      <m:item xlName="_GBC_0e658f1d57fa4ea09e73b239d6077cef" concept="clcid-pte:QiTaYingShouKuanBenQiFaShengSunShiZhunBeiBianDongQieZhangMianYuEXianZhuBianDongDeQingKuangShuoMing" label="其他应收款本期发生损失准备变动且账面余额显著变动的情况说明" appId="_GBC_51a7e143899e4bf4887327bb018327b9">
        <m:axisValue occRef="母公司"/>
      </m:item>
      <m:item xlName="_GBC_d5682930254743bebaaf3c46f4513c04" concept="clcid-ci-ar:ShiFouShiYongMuGongSiQiTaYingShouKuanHuaiZhangZhunBeiJiTiJinEYiJiPingGuJinRongGongJuDeXinYongFengXianShiFouXianZhuZengJiaDeCaiYongYiJu" label="是否适用：母公司其他应收款坏账准备计提金额以及评估金融工具的信用风险是否显著增加的采用依据" selectOptions="_buildInAppliance" controlType="CustomCheckbox" cRanges="[{&quot;StartName&quot;:&quot;_GBC_d5682930254743bebaaf3c46f4513c04&quot;,&quot;EndName&quot;:&quot;_GBC_609f536caff4403c80cde11bb3c55f04&quot;,&quot;CType&quot;:1}]"/>
      <m:item xlName="_GBC_609f536caff4403c80cde11bb3c55f04" concept="clcid-pte:QiTaYingShouKuanBenQiHuaiZhangZhunBeiJiTiJinEYiJiPingGuJinRongGongJuDeXinYongFengXianXianZhuZengJiaDeCaiYongYiJu" label="其他应收款本期坏账准备计提金额以及评估金融工具的信用风险显著增加的采用依据" appId="_GBC_d5682930254743bebaaf3c46f4513c04">
        <m:axisValue occRef="母公司"/>
      </m:item>
    </m:section>
    <m:section xlName="_SEC_7efe43f77bc44437a16fe9cc44dc64d6" title="坏账准备的情况">
      <m:item xlName="_GBC_746f45a984d44f56a795e5587d8e7cf2" concept="clcid-ci-ar:ShiFouShiYongMuGongSiQiTaYingShouKuanHuaiZhangZhunBeiQingKuang" label="是否适用：母公司其他应收款坏账准备情况" selectOptions="_buildInAppliance" controlType="CustomCheckbox" cRanges="[{&quot;StartName&quot;:&quot;_GBC_746f45a984d44f56a795e5587d8e7cf2&quot;,&quot;EndName&quot;:&quot;_GBC_9629b74871f94f868c257918565ec205&quot;,&quot;CType&quot;:1}]"/>
      <m:item xlName="_GBC_61bb3d08ce2d41d5ad87b4c691e409ad" concept="clcid-ci-ar:DanWeiQiTaYingShouKuanHuaiZhangZhunBei" label="单位：其他应收款坏账准备" selectOptions="_buildInScales" controlType="Combobox" cellType="Scale" appId="_GBC_746f45a984d44f56a795e5587d8e7cf2"/>
      <m:item xlName="_GBC_d9e85c814c564e7782149971f7c23ba2" concept="clcid-ci-ar:BiZhongQiTaYingShouKuanHuaiZhangZhunBei" label="币种：其他应收款坏账准备" selectOptions="_buildInISO4217" controlType="Combobox" cellType="Measure" appId="_GBC_746f45a984d44f56a795e5587d8e7cf2"/>
      <m:placeholder xlName="_PLD_eb515a63c0e744098c94b279d63caf4e" addr="T0R0C0S2_1"/>
      <m:placeholder xlName="_PLD_a39850dac4d142e8b7a712dce9edad36" addr="T0R0C1S2_1"/>
      <m:placeholder xlName="_PLD_96686c7add8a4f2a8fa109c753f44a0b" addr="T0R0C2S1_4"/>
      <m:placeholder xlName="_PLD_2aef0abd937f4f5283fac84c8a1afc2d" addr="T0R0C6S2_1"/>
      <m:placeholder xlName="_PLD_0d882cd108804ecc85c8ea70ca9a0022" addr="T0R1C2S1_1"/>
      <m:placeholder xlName="_PLD_e2116bf770074307b5326d2e261c8b91" addr="T0R1C3S1_1"/>
      <m:placeholder xlName="_PLD_ecb1755ff206448580b99e0999e516f9" addr="T0R1C4S1_1"/>
      <m:placeholder xlName="_PLD_1b39a62bca3c4844a14e6b043f874971" addr="T0R1C5S1_1"/>
      <m:tuple xlName="_TUP_57c26c8d4c2d4626b7f224edb53fa9e6" concept="clcid-pte:QiTaYingShouKuanHuaiZhangZhunBeiMingXi" default_row="2" addr="T0R2C">
        <m:item xlName="_GBC_813da58f85c2405e8983e9ce80356984" concept="clcid-pte:QiTaYingShouKuanHuaiZhangZhunBeiMingXiLeiBie" label="其他应收款坏账准备明细-类别" addr="T0R2C0S1_1" appId="_GBC_746f45a984d44f56a795e5587d8e7cf2">
          <m:axisValue occRef="母公司"/>
        </m:item>
        <m:item xlName="_GBC_5abf71a9abae451aaa14c165be95766d" concept="clcid-pte:QiTaYingShouKuanHuaiZhangZhunBeiMingXiFaShengE" label="其他应收款坏账准备明细-发生额" periodRef="本期期初数" mulRef="_GBC_61bb3d08ce2d41d5ad87b4c691e409ad" unitRef="_GBC_d9e85c814c564e7782149971f7c23ba2" addr="T0R2C1S1_1" formatStyle="Comma" appId="_GBC_746f45a984d44f56a795e5587d8e7cf2">
          <m:axisValue occRef="母公司"/>
        </m:item>
        <m:item xlName="_GBC_15756492c21b4153871706fa2118e439" concept="clcid-pte:QiTaYingShouKuanHuaiZhangZhunBeiMingXiBenQiJiTi" label="其他应收款坏账准备明细-本期计提" mulRef="_GBC_61bb3d08ce2d41d5ad87b4c691e409ad" unitRef="_GBC_d9e85c814c564e7782149971f7c23ba2" addr="T0R2C2S1_1" formatStyle="Comma" appId="_GBC_746f45a984d44f56a795e5587d8e7cf2">
          <m:axisValue occRef="母公司"/>
        </m:item>
        <m:item xlName="_GBC_7c7cfe91aca1431d823d02c9ac751d43" concept="clcid-pte:QiTaYingShouKuanHuaiZhangZhunBeiMingXiShouHuiHuoZhuanHui" label="其他应收款坏账准备明细-收回或转回" mulRef="_GBC_61bb3d08ce2d41d5ad87b4c691e409ad" unitRef="_GBC_d9e85c814c564e7782149971f7c23ba2" addr="T0R2C3S1_1" formatStyle="Comma" appId="_GBC_746f45a984d44f56a795e5587d8e7cf2">
          <m:axisValue occRef="母公司"/>
        </m:item>
        <m:item xlName="_GBC_d465819d7cc546f8ad6dd78ad6fac001" concept="clcid-pte:QiTaYingShouKuanHuaiZhangZhunBeiMingXiZhuanXiaoHuoHeXiao" label="其他应收款坏账准备明细-转销或核销" mulRef="_GBC_61bb3d08ce2d41d5ad87b4c691e409ad" unitRef="_GBC_d9e85c814c564e7782149971f7c23ba2" addr="T0R2C4S1_1" formatStyle="Comma" appId="_GBC_746f45a984d44f56a795e5587d8e7cf2">
          <m:axisValue occRef="母公司"/>
        </m:item>
        <m:item xlName="_GBC_cbf6f827d2d74707bc3e329b349d4593" concept="clcid-pte:QiTaYingShouKuanHuaiZhangZhunBeiMingXiQiTaBianDong" label="其他应收款坏账准备明细-其他变动" mulRef="_GBC_61bb3d08ce2d41d5ad87b4c691e409ad" unitRef="_GBC_d9e85c814c564e7782149971f7c23ba2" addr="T0R2C5S1_1" formatStyle="Comma" appId="_GBC_746f45a984d44f56a795e5587d8e7cf2">
          <m:axisValue occRef="母公司"/>
        </m:item>
        <m:item xlName="_GBC_4d9aa623c0214015ba241e228f5b509e" concept="clcid-pte:QiTaYingShouKuanHuaiZhangZhunBeiMingXiFaShengE" label="其他应收款坏账准备明细-发生额" mulRef="_GBC_61bb3d08ce2d41d5ad87b4c691e409ad" unitRef="_GBC_d9e85c814c564e7782149971f7c23ba2" addr="T0R2C6S1_1" formatStyle="Comma" appId="_GBC_746f45a984d44f56a795e5587d8e7cf2">
          <m:axisValue occRef="母公司"/>
        </m:item>
      </m:tuple>
      <m:placeholder xlName="_PLD_6ecf64f375dd47799ee393325abe39ea" addr="T0R4C0S1_1"/>
      <m:item xlName="_GBC_4d74fb9586e2473ba7d17ce0cd4a9cd4" concept="clcid-pte:QiTaYingShouKuanJiTiDeHuaiZhangZhunBeiYuE" label="其他应收款计提的坏账准备余额" periodRef="本期期初数" mulRef="_GBC_61bb3d08ce2d41d5ad87b4c691e409ad" unitRef="_GBC_d9e85c814c564e7782149971f7c23ba2" addr="T0R4C1S1_1" formatStyle="Comma" appId="_GBC_746f45a984d44f56a795e5587d8e7cf2">
        <m:complexRule comparator="Eq" title="母公司其他应收款计提的坏账准备余额@本期期初数" test=" $_GBC_5abf71a9abae451aaa14c165be95766d" id="C2921d773a1434e2388e7d97a1a550979"/>
        <m:axisValue occRef="母公司"/>
      </m:item>
      <m:item xlName="_GBC_f1a77673f83c463c913a83f2a45c281a" concept="clcid-pte:QiTaYingShouKuanHuaiZhangZhunBeiBenQiJiTi" label="其他应收款坏账准备本期计提" mulRef="_GBC_61bb3d08ce2d41d5ad87b4c691e409ad" unitRef="_GBC_d9e85c814c564e7782149971f7c23ba2" addr="T0R4C2S1_1" formatStyle="Comma" appId="_GBC_746f45a984d44f56a795e5587d8e7cf2">
        <m:complexRule comparator="Eq" title="母公司其他应收款坏账准备本期计提" test=" $_GBC_15756492c21b4153871706fa2118e439" id="C8cd347753e554b9288ae8f1cf531f80a"/>
        <m:axisValue occRef="母公司"/>
      </m:item>
      <m:item xlName="_GBC_00557fede4944c43a2ede9426da3853b" concept="clcid-pte:QiTaYingShouKuanHuaiZhangZhunBeiBenQiShouHuiHuoZhuanHui" label="其他应收款坏账准备本期收回或转回" mulRef="_GBC_61bb3d08ce2d41d5ad87b4c691e409ad" unitRef="_GBC_d9e85c814c564e7782149971f7c23ba2" addr="T0R4C3S1_1" formatStyle="Comma" appId="_GBC_746f45a984d44f56a795e5587d8e7cf2">
        <m:complexRule comparator="Eq" title="母公司其他应收款坏账准备本期收回或转回" test=" $_GBC_7c7cfe91aca1431d823d02c9ac751d43" id="C57d90ee719a746dab1ecd21ee041d453"/>
        <m:axisValue occRef="母公司"/>
      </m:item>
      <m:item xlName="_GBC_710b145927754d75b6cbb35f12f4a51b" concept="clcid-pte:QiTaYingShouKuanHuaiZhangZhunBeiBenQiZhuanXiaoHuoHeXiao" label="其他应收款坏账准备本期转销或核销" mulRef="_GBC_61bb3d08ce2d41d5ad87b4c691e409ad" unitRef="_GBC_d9e85c814c564e7782149971f7c23ba2" addr="T0R4C4S1_1" formatStyle="Comma" appId="_GBC_746f45a984d44f56a795e5587d8e7cf2">
        <m:complexRule comparator="Eq" title="母公司其他应收款坏账准备本期转销或核销" test=" $_GBC_d465819d7cc546f8ad6dd78ad6fac001" id="Cf7cf2f832a2c48be8b0183a6adbcb50d"/>
        <m:axisValue occRef="母公司"/>
      </m:item>
      <m:item xlName="_GBC_211402f9d719401397625758a8109109" concept="clcid-pte:QiTaYingShouKuanHuaiZhangZhunBeiBenQiQiTaBianDong" label="其他应收款坏账准备本期其他变动" mulRef="_GBC_61bb3d08ce2d41d5ad87b4c691e409ad" unitRef="_GBC_d9e85c814c564e7782149971f7c23ba2" addr="T0R4C5S1_1" formatStyle="Comma" appId="_GBC_746f45a984d44f56a795e5587d8e7cf2">
        <m:complexRule comparator="Eq" title="母公司其他应收款坏账准备本期其他变动" test=" $_GBC_cbf6f827d2d74707bc3e329b349d4593" id="Cfb622668be4949f88c1d657744b77238"/>
        <m:axisValue occRef="母公司"/>
      </m:item>
      <m:item xlName="_GBC_9629b74871f94f868c257918565ec205" concept="clcid-pte:QiTaYingShouKuanJiTiDeHuaiZhangZhunBeiYuE" label="其他应收款计提的坏账准备余额" mulRef="_GBC_61bb3d08ce2d41d5ad87b4c691e409ad" unitRef="_GBC_d9e85c814c564e7782149971f7c23ba2" addr="T0R4C6S1_1" formatStyle="Comma" appId="_GBC_746f45a984d44f56a795e5587d8e7cf2">
        <m:complexRule comparator="Eq" title="母公司其他应收款计提的坏账准备余额" test=" $_GBC_4d9aa623c0214015ba241e228f5b509e" id="C2ecaab4b44be49439d4e647b598b566e"/>
        <m:axisValue occRef="母公司"/>
      </m:item>
      <m:item xlName="_GBC_4d2439aebd644da7889b9f279d8a4ec0" concept="clcid-ci-ar:ShiFouShiYongMuGongSiQiTaYingShouKuanHuaiZhangZhunBeiZhuanHuiHuoShouHuiJinEZhongYaoDe" label="是否适用：母公司其他应收款坏账准备转回或收回金额重要的" selectOptions="_buildInAppliance" controlType="CustomCheckbox" cRanges="[{&quot;StartName&quot;:&quot;_GBC_4d2439aebd644da7889b9f279d8a4ec0&quot;,&quot;EndName&quot;:&quot;_GBC_284ed9194b9e455b8779c04fbbee8484&quot;,&quot;CType&quot;:1}]"/>
      <m:item xlName="_GBC_f9bd8a37a7eb408cbc77eb121a926934" concept="clcid-ci-ar:DanWeiZhuanHuiHuoShouHuiQingKuang" label="单位：转回或收回情况" selectOptions="_buildInScales" controlType="Combobox" cellType="Scale" appId="_GBC_4d2439aebd644da7889b9f279d8a4ec0"/>
      <m:item xlName="_GBC_a001ddc6dd5d4f60b2ae534226e105c4" concept="clcid-ci-ar:BiZhongZhuanHuiHuoShouHuiQingKuang" label="币种：转回或收回情况" selectOptions="_buildInISO4217" controlType="Combobox" cellType="Measure" appId="_GBC_4d2439aebd644da7889b9f279d8a4ec0"/>
      <m:placeholder xlName="_PLD_2e113079e9de4ccda41bf9642c2e84e3" addr="T1R0C0S1_1"/>
      <m:placeholder xlName="_PLD_15dbdd7166a849f297796fe8ad53b07e" addr="T1R0C1S1_1"/>
      <m:placeholder xlName="_PLD_a69297614b4a4866978f3208191afe93" addr="T1R0C2S1_1"/>
      <m:tuple xlName="_TUP_b77e83e8058048b4b01864f85765fe67" concept="clcid-pte:ZhuanHuiHuoShouHuiDeQiTaYingShouZhangKuanMingXi" default_row="2" addr="T1R1C">
        <m:item xlName="_GBC_2c6e596a537347e4955e65750aed1aa9" concept="clcid-pte:ZhuanHuiHuoShouHuiDeQiTaYingShouZhangKuanMingXiDanWeiMingCheng" label="转回或收回的其他应收账款明细-单位名称" addr="T1R1C0S1_1" appId="_GBC_4d2439aebd644da7889b9f279d8a4ec0">
          <m:axisValue occRef="母公司"/>
        </m:item>
        <m:item xlName="_GBC_3c3d01a15d53445b9f7f33716185cc84" concept="clcid-pte:ZhuanHuiHuoShouHuiDeQiTaYingShouZhangKuanMingXiZhuanHuiHuoShouHuiJinE" label="转回或收回的其他应收账款明细-转回或收回金额" mulRef="_GBC_f9bd8a37a7eb408cbc77eb121a926934" unitRef="_GBC_a001ddc6dd5d4f60b2ae534226e105c4" addr="T1R1C1S1_1" formatStyle="Comma" appId="_GBC_4d2439aebd644da7889b9f279d8a4ec0">
          <m:axisValue occRef="母公司"/>
        </m:item>
        <m:item xlName="_GBC_55c88e9563ed4cc5894d37d81c76fcbb" concept="clcid-pte:ZhuanHuiHuoShouHuiDeQiTaYingShouZhangKuanMingXiShouHuiFangShi" label="转回或收回的其他应收账款明细-收回方式" addr="T1R1C2S1_1" appId="_GBC_4d2439aebd644da7889b9f279d8a4ec0">
          <m:axisValue occRef="母公司"/>
        </m:item>
      </m:tuple>
      <m:placeholder xlName="_PLD_a542ab364da44e658fb9e79c88d442b5" addr="T1R3C0S1_1"/>
      <m:item xlName="_GBC_284ed9194b9e455b8779c04fbbee8484" concept="clcid-pte:BenBaoGaoQiQiTaYingShouKuanHuaiZhangZhunBeiZhuanHuiHuoShouHuiJinEHeJi" label="本报告期其他应收款坏账准备转回或收回金额合计" mulRef="_GBC_f9bd8a37a7eb408cbc77eb121a926934" unitRef="_GBC_a001ddc6dd5d4f60b2ae534226e105c4" addr="T1R3C1S1_1" formatStyle="Comma" appId="_GBC_4d2439aebd644da7889b9f279d8a4ec0">
        <m:complexRule comparator="Eq" title="本报告期其他应收款坏账准备转回或收回金额合计" test=" $_GBC_3c3d01a15d53445b9f7f33716185cc84" id="C7ee146c1bec8485cacf6fd79e9616769"/>
        <m:axisValue occRef="母公司"/>
      </m:item>
    </m:section>
    <m:section xlName="_SEC_ffe6c87a4f4a49bd9769cbeb746b444b" title="本期实际核销的其他应收款情况">
      <m:item xlName="_GBC_dd1095756d2b471688ce5b700380fafc" concept="clcid-ci-ar:ShiFouShiYongMuGongSiBenQiShiJiHeXiaoDeQiTaYingShouKuanQingKuang" label="是否适用：母公司本期实际核销的其他应收款情况" selectOptions="_buildInAppliance" controlType="CustomCheckbox" cRanges="[{&quot;StartName&quot;:&quot;_GBC_dd1095756d2b471688ce5b700380fafc&quot;,&quot;EndName&quot;:&quot;_GBC_74af769c5c9b475e82f5208460c37431&quot;,&quot;CType&quot;:1}]"/>
      <m:item xlName="_GBC_6bfb7b987dd0421ca8824f9ee0b789b6" concept="clcid-ci-ar:DanWeiMuGongSiCaiWuFuZhuBenBaoGaoQiShiJiHeXiaoDeQiTaYingShouKuanXiangQingKuang" label="单位：母公司财务附注：本报告期实际核销的其他应收款项情况" selectOptions="_buildInScales" controlType="Combobox" cellType="Scale" appId="_GBC_dd1095756d2b471688ce5b700380fafc"/>
      <m:item xlName="_GBC_25dd773e7ed148488e339621c5c5cd77" concept="clcid-ci-ar:BiZhongMuGongSiCaiWuFuZhuBenBaoGaoQiShiJiHeXiaoDeQiTaYingShouKuanXiangQingKuang" label="币种：母公司财务附注：本报告期实际核销的其他应收款项情况" selectOptions="_buildInISO4217" controlType="Combobox" cellType="Measure" appId="_GBC_dd1095756d2b471688ce5b700380fafc"/>
      <m:placeholder xlName="_PLD_3bda66a88a0f43378c0d9cdba5902b4e" addr="T0R0C0S1_1"/>
      <m:placeholder xlName="_PLD_8cfc3ffe2fb944188661469f397542a4" addr="T0R0C1S1_1"/>
      <m:placeholder xlName="_PLD_1f1c1d43dd134d0e9e288123eac494e1" addr="T0R1C0S1_1"/>
      <m:item xlName="_GBC_3327faccde5d4322bd05d33acd51073e" concept="clcid-pte:QiTaYingShouKuanQianKuanChongXiaoHuaiZhangHeJi" label="其他应收款欠款冲销坏帐合计" mulRef="_GBC_6bfb7b987dd0421ca8824f9ee0b789b6" unitRef="_GBC_25dd773e7ed148488e339621c5c5cd77" addr="T0R1C1S1_1" formatStyle="Comma" appId="_GBC_dd1095756d2b471688ce5b700380fafc">
        <m:axisValue occRef="母公司"/>
      </m:item>
      <m:item xlName="_GBC_5dff1eacde3a41d6914cb7afef2e2acf" concept="clcid-ci-ar:ShiFouShiYongMuGongSiQiZhongZhongYaoDeQiTaYingShouKuanHeXiaoQingKuang" label="是否适用：母公司其中重要的其他应收款核销情况" selectOptions="_buildInAppliance" controlType="CustomCheckbox" cRanges="{&quot;StartName&quot;:&quot;_GBC_5dff1eacde3a41d6914cb7afef2e2acf&quot;,&quot;EndName&quot;:&quot;_GBC_74af769c5c9b475e82f5208460c37431&quot;,&quot;CType&quot;:1,&quot;DisplayText&quot;:null}"/>
      <m:item xlName="_GBC_1af4660a35e54341961319e9d3289f24" concept="clcid-ci-ar:DanWeiMuGongSiCaiWuFuZhuZhongYaoDeQiTaYingShouZhangKuanHeXiaoQingKuang" label="单位：母公司财务附注：重要的其他应收款核销情况" selectOptions="_buildInScales" controlType="Combobox" cellType="Scale" appId="_GBC_5dff1eacde3a41d6914cb7afef2e2acf"/>
      <m:item xlName="_GBC_d2094e5c242349d0b5573bd889e3019f" concept="clcid-ci-ar:BiZhongMuGongSiCaiWuFuZhuZhongYaoDeQiTaYingShouZhangKuanHeXiaoQingKuang" label="币种：母公司财务附注：重要的其他应收款核销情况" selectOptions="_buildInISO4217" controlType="Combobox" cellType="Measure" appId="_GBC_5dff1eacde3a41d6914cb7afef2e2acf"/>
      <m:placeholder xlName="_PLD_25d1f7aa76554bd3928fe23368151969" addr="T1R0C0S1_1"/>
      <m:placeholder xlName="_PLD_da16de5d67564adaa26efd51db5a40a8" addr="T1R0C1S1_1"/>
      <m:placeholder xlName="_PLD_4632f5c17a01474b9d41f945e56dc5a0" addr="T1R0C2S1_1"/>
      <m:placeholder xlName="_PLD_6ab805d83ff14e31850f1bb1fc9f4c9a" addr="T1R0C3S1_1"/>
      <m:placeholder xlName="_PLD_7336723b547041c3accef6787e5d14fd" addr="T1R0C4S1_1"/>
      <m:placeholder xlName="_PLD_b95a7b2dd38841fca5541e7277c68318" addr="T1R0C5S1_1"/>
      <m:tuple xlName="_GBC_b19b338bba604aff885640d6429bbf50" concept="clcid-pte:ZhongYaoDeQiTaYingShouZhangKuanHeXiaoMingXi" default_row="2" addr="T1R1C">
        <m:item xlName="_GBC_c3545230e35647e586ccc254b4d62be7" concept="clcid-pte:ZhongYaoDeQiTaYingShouZhangKuanHeXiaoMingXiDanWeiMingCheng" label="重要的其他应收账款核销明细-单位名称" addr="T1R1C0S1_1" appId="_GBC_5dff1eacde3a41d6914cb7afef2e2acf">
          <m:axisValue occRef="母公司"/>
        </m:item>
        <m:item xlName="_GBC_1aee5bec19db4d4481372bb4fd690dd7" concept="clcid-pte:ZhongYaoDeQiTaYingShouZhangKuanHeXiaoMingXiQiTaYingShouKuanXingZhi" label="重要的其他应收账款核销明细-其他应收款性质" addr="T1R1C1S1_1" appId="_GBC_5dff1eacde3a41d6914cb7afef2e2acf">
          <m:axisValue occRef="母公司"/>
        </m:item>
        <m:item xlName="_GBC_8da910204e554568ae2e13a642436f96" concept="clcid-pte:ZhongYaoDeQiTaYingShouZhangKuanHeXiaoMingXiHeXiaoJinE" label="重要的其他应收账款核销明细-核销金额" mulRef="_GBC_1af4660a35e54341961319e9d3289f24" unitRef="_GBC_d2094e5c242349d0b5573bd889e3019f" addr="T1R1C2S1_1" formatStyle="Comma" appId="_GBC_5dff1eacde3a41d6914cb7afef2e2acf">
          <m:axisValue occRef="母公司"/>
        </m:item>
        <m:item xlName="_GBC_c8d8fde9b65e4cc588231ab3959f771d" concept="clcid-pte:ZhongYaoDeQiTaYingShouZhangKuanHeXiaoMingXiHeXiaoYuanYin" label="重要的其他应收账款核销明细-核销原因" addr="T1R1C3S1_1" appId="_GBC_5dff1eacde3a41d6914cb7afef2e2acf">
          <m:axisValue occRef="母公司"/>
        </m:item>
        <m:item xlName="_GBC_e5a2e8fe574c4a3e819451643247eba9" concept="clcid-pte:ZhongYaoDeQiTaYingShouZhangKuanHeXiaoMingXiLvXingDeHeXiaoChengXu" label="重要的其他应收账款核销明细-履行的核销程序" addr="T1R1C4S1_1" appId="_GBC_5dff1eacde3a41d6914cb7afef2e2acf">
          <m:axisValue occRef="母公司"/>
        </m:item>
        <m:item xlName="_GBC_339c8f36829f4a73903ff720c97dd8c8" concept="clcid-pte:ZhongYaoDeQiTaYingShouZhangKuanHeXiaoMingXiKuanXiangShiFouYinGuanLianJiaoYiChanSheng" label="重要的其他应收账款核销明细-款项是否因关联交易产生" selectOptions="_buildInYesNo" addr="T1R1C5S1_1" controlType="Combobox" appId="_GBC_5dff1eacde3a41d6914cb7afef2e2acf">
          <m:axisValue occRef="母公司"/>
        </m:item>
      </m:tuple>
      <m:placeholder xlName="_PLD_c2e8b02576dd4813a97e591fa45dd3a1" addr="T1R3C0S1_1"/>
      <m:item xlName="_GBC_74af769c5c9b475e82f5208460c37431" concept="clcid-pte:ZhongYaoDeQiTaYingShouZhangKuanHeXiaoJinEHeJi" label="重要的其他应收账款核销金额合计" mulRef="_GBC_1af4660a35e54341961319e9d3289f24" unitRef="_GBC_d2094e5c242349d0b5573bd889e3019f" addr="T1R3C2S1_1" formatStyle="Comma" appId="_GBC_5dff1eacde3a41d6914cb7afef2e2acf">
        <m:complexRule comparator="Eq" title="母公司重要的其他应收账款核销金额合计" test=" $_GBC_8da910204e554568ae2e13a642436f96" id="C2f84e1e3dfb34ed98eff1c43377e6bd7"/>
        <m:axisValue occRef="母公司"/>
      </m:item>
    </m:section>
    <m:section xlName="_SEC_6c44e00a54d34fb1a03f38b7cf5b8a5d" title="其他应收款核销说明：  ">
      <m:item xlName="_GBC_7e98a555990349648a39fba0c7228ab7" concept="clcid-ci-ar:ShiFouShiYongMuGongSiQiTaYingShouKuanHeXiaoShuoMing" label="是否适用：母公司其他应收款核销说明" selectOptions="_buildInAppliance" controlType="CustomCheckbox" cRanges="{&quot;StartName&quot;:&quot;_GBC_7e98a555990349648a39fba0c7228ab7&quot;,&quot;EndName&quot;:&quot;_GBC_4e2ce9316cca415ebb6562c1d3f5512d&quot;,&quot;CType&quot;:1,&quot;DisplayText&quot;:null}"/>
      <m:item xlName="_GBC_4e2ce9316cca415ebb6562c1d3f5512d" concept="clcid-pte:QiTaYingShouKuanChongXiaoHuaiZhangMingXiDeShuoMing" label="其他应收款冲销坏帐明细的说明" appId="_GBC_7e98a555990349648a39fba0c7228ab7">
        <m:axisValue occRef="母公司"/>
      </m:item>
    </m:section>
    <m:section xlName="_GBC_c77f7efeabc1402191807946a9bfe714" title="按欠款方归集的期末余额前五名的其他应收款情况" helpId="112002209">
      <m:item xlName="_GBC_c31bd7806af645a4b98780e353753bee" concept="clcid-ci-ar:ShiFouShiYongMuGongSiAnQianKuanFangGuiJiDeQiMoYuEQianWuMingDeQiTaYingShouKuanQingKuang" label="是否适用：母公司按欠款方归集的期末余额前五名的其他应收款情况" selectOptions="_buildInAppliance" controlType="CustomCheckbox" cRanges="{&quot;StartName&quot;:&quot;_GBC_c31bd7806af645a4b98780e353753bee&quot;,&quot;EndName&quot;:&quot;_GBC_69dfe7e67dd14571921bc600b58ea20c&quot;,&quot;CType&quot;:1,&quot;DisplayText&quot;:null}"/>
      <m:item xlName="_GBC_5eaec4085c10422f90a7a09ee515d922" concept="clcid-ci-ar:DanWeiMuGongSiCaiWuFuZhuQiTaYingShouZhangKuanQianWuMingQianKuanQingKuang" label="单位：母公司财务附注：其他应收账款前五名欠款情况" selectOptions="_buildInScales" controlType="Combobox" cellType="Scale" appId="_GBC_c31bd7806af645a4b98780e353753bee"/>
      <m:item xlName="_GBC_76fb156b47fb495eb1748f1f6ffdfc64" concept="clcid-ci-ar:BiZhongMuGongSiCaiWuFuZhuQiTaYingShouZhangKuanQianWuMingQianKuanQingKuang" label="币种：母公司财务附注：其他应收账款前五名欠款情况" selectOptions="_buildInISO4217" controlType="Combobox" cellType="Measure" appId="_GBC_c31bd7806af645a4b98780e353753bee"/>
      <m:placeholder xlName="_PLD_1bf4103fa73c4527ab273af4182bdac9" addr="T0R0C0S1_1"/>
      <m:placeholder xlName="_PLD_13e90710aaf8432b8989b8a8d1ceae0c" addr="T0R0C1S1_1"/>
      <m:placeholder xlName="_PLD_2272ceae47e74a6489bfeb2c73aa1f4a" addr="T0R0C2S1_1"/>
      <m:placeholder xlName="_PLD_fcefa3ecef954c579974ef8beaeadf3a" addr="T0R0C3S1_1"/>
      <m:placeholder xlName="_PLD_13e1362304be4663873f1e8f72848948" addr="T0R0C4S1_1"/>
      <m:placeholder xlName="_PLD_f2c7137b0fd6426d9d9640429eb47701" addr="T0R0C5S1_1"/>
      <m:tuple xlName="_GBC_3912a12d540a40c8946b4121501bca53" concept="clcid-pte:QiTaYingShouKuanQianKuanHuMingXi" default_row="5" addr="T0R1C">
        <m:item xlName="_GBC_c5151d2da69a4e92ba25abae40b9550b" concept="clcid-pte:QiTaYingShouKuanQianKuanHuMingCheng" label="其他应收款欠款户名称" addr="T0R1C0S1_1" appId="_GBC_c31bd7806af645a4b98780e353753bee">
          <m:axisValue occRef="母公司"/>
        </m:item>
        <m:item xlName="_GBC_59816833ccea4e0c95b6ae878f66b3f2" concept="clcid-pte:QiTaYingShouKuanQianKuanHuKuanXiangDeXingZhi" label="其他应收款欠款户款项的性质" addr="T0R1C1S1_1" appId="_GBC_c31bd7806af645a4b98780e353753bee">
          <m:axisValue occRef="母公司"/>
        </m:item>
        <m:item xlName="_GBC_b60917c876fe488a9de57a8cfc9c1179" concept="clcid-pte:QiTaYingShouKuanQianKuanHuQianKuanJinE" label="其他应收款欠款户欠款金额" mulRef="_GBC_5eaec4085c10422f90a7a09ee515d922" unitRef="_GBC_76fb156b47fb495eb1748f1f6ffdfc64" addr="T0R1C2S1_1" formatStyle="Comma" appId="_GBC_c31bd7806af645a4b98780e353753bee">
          <m:axisValue occRef="母公司"/>
        </m:item>
        <m:item xlName="_GBC_b96d265c768c4304b5641928388e754f" concept="clcid-pte:QiTaYingShouKuanQianKuanHuQianKuanShiJian" label="其他应收款欠款户欠款时间" addr="T0R1C3S1_1" appId="_GBC_c31bd7806af645a4b98780e353753bee">
          <m:axisValue occRef="母公司"/>
        </m:item>
        <m:item xlName="_GBC_0d953a24963a443da254f2ff9521ab37" concept="clcid-pte:QiTaYingShouZhangKuanQianKuanHuZhanQiTaYingShouZhangKuanZongEDeBiLi" label="其他应收帐款欠款户占其他应收账款总额的比例" addr="T0R1C4S1_1" baseScale="0.01" formatStyle="Comma" appId="_GBC_c31bd7806af645a4b98780e353753bee">
          <m:axisValue occRef="母公司"/>
        </m:item>
        <m:item xlName="_GBC_3327f520563e4bd9ac6c403c762115f9" concept="clcid-pte:QiTaYingShouKuanQianKuanHuHuaiZhangZhunBeiQiMoYuE" label="其他应收款欠款户坏账准备期末余额" mulRef="_GBC_5eaec4085c10422f90a7a09ee515d922" unitRef="_GBC_76fb156b47fb495eb1748f1f6ffdfc64" addr="T0R1C5S1_1" formatStyle="Comma" appId="_GBC_c31bd7806af645a4b98780e353753bee">
          <m:axisValue occRef="母公司"/>
        </m:item>
      </m:tuple>
      <m:placeholder xlName="_PLD_4b94fa57164840a68859b565c2ebabb5" addr="T0R6C0S1_1"/>
      <m:item xlName="_GBC_6800001bd782487d9bd35087d272fb11" concept="clcid-pte:QiTaYingShouKuanQianKuanHuQianKuanJinEHeJi" label="其他应收款欠款户欠款金额合计" mulRef="_GBC_5eaec4085c10422f90a7a09ee515d922" unitRef="_GBC_76fb156b47fb495eb1748f1f6ffdfc64" addr="T0R6C2S1_1" formatStyle="Comma" appId="_GBC_c31bd7806af645a4b98780e353753bee">
        <m:complexRule comparator="Eq" title="母公司其他应收款欠款户欠款金额合计" test=" $_GBC_b60917c876fe488a9de57a8cfc9c1179" id="C1c58d057f07049ca97db70726d7d47a3"/>
        <m:axisValue occRef="母公司"/>
      </m:item>
      <m:item xlName="_GBC_cf13c73d3e224b4484de8ceb483b6ad4" concept="clcid-pte:QiTaYingShouZhangKuanQianKuanHuZhanQiTaYingShouZhangKuanZongEDeBiLiHeJi" label="其他应收帐款欠款户占其他应收账款总额的比例合计" addr="T0R6C4S1_1" baseScale="0.01" formatStyle="Comma" appId="_GBC_c31bd7806af645a4b98780e353753bee">
        <m:complexRule comparator="Eq" title="母公司其他应收帐款欠款户占其他应收账款总额的比例合计" test=" $_GBC_0d953a24963a443da254f2ff9521ab37" id="Cc12efcae2ec4473899646c5059caaa23"/>
        <m:axisValue occRef="母公司"/>
      </m:item>
      <m:item xlName="_GBC_69dfe7e67dd14571921bc600b58ea20c" concept="clcid-pte:QiTaYingShouKuanQianKuanHuHuaiZhangZhunBeiQiMoYuEHeJi" label="其他应收款欠款户坏账准备期末余额合计" mulRef="_GBC_5eaec4085c10422f90a7a09ee515d922" unitRef="_GBC_76fb156b47fb495eb1748f1f6ffdfc64" addr="T0R6C5S1_1" formatStyle="Comma" appId="_GBC_c31bd7806af645a4b98780e353753bee">
        <m:complexRule comparator="Eq" title="母公司其他应收款欠款户坏账准备期末余额合计" test=" $_GBC_3327f520563e4bd9ac6c403c762115f9" id="C209f240f373044d3a36b2d3307baa5bf"/>
        <m:axisValue occRef="母公司"/>
      </m:item>
    </m:section>
    <m:section xlName="_GBC_52bd0b171cc64f85aa1100213c81523c" title="按应收金额确认的政府补助" helpId="112002209" helpText="注：公司未能在预计时点收到预计金额的政府补助，应说明原因。">
      <m:item xlName="_GBC_42f77b49fc014baab239badfde6e4fcf" concept="clcid-ci-ar:ShiFouShiYongMuGongSiSheJiZhengFuBuZhuDeYingShouKuanXiang" label="是否适用：母公司涉及政府补助的应收款项" selectOptions="_buildInAppliance" controlType="CustomCheckbox" cRanges="{&quot;StartName&quot;:&quot;_GBC_42f77b49fc014baab239badfde6e4fcf&quot;,&quot;EndName&quot;:&quot;_GBC_0f39c6aabc134a06bdb4e9184731b7ea&quot;,&quot;CType&quot;:1,&quot;DisplayText&quot;:null}"/>
      <m:item xlName="_GBC_375cad87568541ee9b178aef6bd1cd70" concept="clcid-ci-ar:DanWeiMuGongSiCaiWuFuZhuAnYingShouJinEQueRenDeZhengFuBuZhu" label="单位：母公司财务附注：按应收金额确认的政府补助" selectOptions="_buildInScales" controlType="Combobox" cellType="Scale" appId="_GBC_42f77b49fc014baab239badfde6e4fcf"/>
      <m:item xlName="_GBC_94e058ba5ed74fe7bad50b701cc4ba73" concept="clcid-ci-ar:BiZhongMuGongSiCaiWuFuZhuAnYingShouJinEQueRenDeZhengFuBuZhu" label="币种：母公司财务附注：按应收金额确认的政府补助" selectOptions="_buildInISO4217" controlType="Combobox" cellType="Measure" appId="_GBC_42f77b49fc014baab239badfde6e4fcf"/>
      <m:placeholder xlName="_PLD_0d0a8dede2224410ab8dea8badd738c5" addr="T0R0C0S1_1"/>
      <m:placeholder xlName="_PLD_bce3573ee8cb49018108f0d432615e7c" addr="T0R0C1S1_1"/>
      <m:placeholder xlName="_PLD_78d0731378a04682b3f4c91c1b1057d0" addr="T0R0C2S1_1"/>
      <m:placeholder xlName="_PLD_965abe504b504a1db7f5adf083c4e014" addr="T0R0C3S1_1"/>
      <m:placeholder xlName="_PLD_4ac0cf0529914e839f425da27a762d10" addr="T0R0C4S1_1"/>
      <m:tuple xlName="_GBC_e04fc849778f4bbeb685440421d621ea" concept="clcid-pte:AnYingShouJinEQueRenDeZhengFuBuZhuMingXi" default_row="2" addr="T0R1C">
        <m:item xlName="_GBC_9e165c02904447e7aca9e66aa2b84e85" concept="clcid-pte:AnYingShouJinEQueRenDeZhengFuBuZhuDanWeiMingCheng" label="按应收金额确认的政府补助-单位名称" addr="T0R1C0S1_1" appId="_GBC_42f77b49fc014baab239badfde6e4fcf">
          <m:axisValue occRef="母公司"/>
        </m:item>
        <m:item xlName="_GBC_c2dc56f0263a40b2b4c255ccd785bb11" concept="clcid-pte:AnYingShouJinEQueRenDeZhengFuBuZhuXiangMuMingCheng" label="按应收金额确认的政府补助-政府补助项目名称" addr="T0R1C1S1_1" appId="_GBC_42f77b49fc014baab239badfde6e4fcf">
          <m:axisValue occRef="母公司"/>
        </m:item>
        <m:item xlName="_GBC_5f94c38fa9454fa7a983ecd293763977" concept="clcid-pte:AnYingShouJinEQueRenDeZhengFuBuZhu" label="按应收金额确认的政府补助" mulRef="_GBC_375cad87568541ee9b178aef6bd1cd70" unitRef="_GBC_94e058ba5ed74fe7bad50b701cc4ba73" addr="T0R1C2S1_1" formatStyle="Comma" appId="_GBC_42f77b49fc014baab239badfde6e4fcf">
          <m:axisValue occRef="母公司"/>
        </m:item>
        <m:item xlName="_GBC_31bfc9b6fe254691acc0046872ea0a86" concept="clcid-pte:AnYingShouJinEQueRenDeZhengFuBuZhuQiMoZhangLing" label="按应收金额确认的政府补助-期末账龄" addr="T0R1C3S1_1" appId="_GBC_42f77b49fc014baab239badfde6e4fcf">
          <m:axisValue occRef="母公司"/>
        </m:item>
        <m:item xlName="_GBC_7dc66d36e16a42ef8055cc9f6c550bd8" concept="clcid-pte:AnYingShouJinEQueRenDeZhengFuBuZhuYuJiShouQuDeShiJianJinEJiYiJu" label="按应收金额确认的政府补助-预计收取的时间、金额及依据" addr="T0R1C4S1_1" appId="_GBC_42f77b49fc014baab239badfde6e4fcf">
          <m:axisValue occRef="母公司"/>
        </m:item>
      </m:tuple>
      <m:item xlName="_GBC_0f39c6aabc134a06bdb4e9184731b7ea" concept="clcid-pte:SheJiZhengFuBuZhuDeYingShouKuanXiangDeShuoMing" label="涉及政府补助的应收款项说明" appId="_GBC_42f77b49fc014baab239badfde6e4fcf">
        <m:axisValue occRef="母公司"/>
      </m:item>
    </m:section>
    <m:section xlName="_GBC_338c72ace78c4ba79d60f19b8dbabe9a" title="因金融资产转移而终止确认的其他应收款" helpId="112002209" helpText="注：说明金融资产转移的方式、终止确认的其他应收款金额，及与终止确认相关的利得或损失。">
      <m:item xlName="_GBC_1512780d2c254c8787e470194d450391" concept="clcid-ci-ar:ShiFouShiYongMuGongSiYinJinRongZiChanZhuanYiErZhongZhiQueRenDeQiTaYingShouKuan" label="是否适用：母公司因金融资产转移而终止确认的其他应收款" selectOptions="_buildInAppliance" controlType="CustomCheckbox" cRanges="{&quot;StartName&quot;:&quot;_GBC_1512780d2c254c8787e470194d450391&quot;,&quot;EndName&quot;:&quot;_GBC_061fdf15cc77422694b65eff7c987f3c&quot;,&quot;CType&quot;:1,&quot;DisplayText&quot;:null}"/>
      <m:item xlName="_GBC_061fdf15cc77422694b65eff7c987f3c" concept="clcid-pte:YinJinRongZiChanZhuanYiErZhongZhiQueRenDeQiTaYingShouKuan" label="因金融资产转移而终止确认的其他应收款" formatStyle="Comma" appId="_GBC_1512780d2c254c8787e470194d450391">
        <m:axisValue occRef="母公司"/>
      </m:item>
    </m:section>
    <m:section xlName="_GBC_86d729c7494a406ba4f51afb2c881955" title="转移其他应收款且继续涉入的，分项列示继续涉入形成的资产、负债..." helpId="112002209" helpText="注：说明金融资产转移的方式、分项列示继续涉入形成的资产、负债的金额。">
      <m:item xlName="_GBC_bab484b2a177457b977e28c0385a5b58" concept="clcid-ci-ar:ShiFouShiYongMuGongSiZhuanYiQiTaYingShouKuanQieJiXuSheRuXingChengDeZiChanFuZhaiJinE" label="是否适用：母公司转移其他应收款且继续涉入形成的资产、负债金额" selectOptions="_buildInAppliance" controlType="CustomCheckbox" cRanges="{&quot;StartName&quot;:&quot;_GBC_bab484b2a177457b977e28c0385a5b58&quot;,&quot;EndName&quot;:&quot;_GBC_a097344c6b54427b8edd1df78bc3778b&quot;,&quot;CType&quot;:1,&quot;DisplayText&quot;:null}"/>
      <m:item xlName="_GBC_a097344c6b54427b8edd1df78bc3778b" concept="clcid-pte:ZhuanYiQiTaYingShouKuanQieJiXuSheRuXingChengDeZiChanFuZhaiJinEShuoMing" label="转移其他应收款且继续涉入形成的资产、负债金额的说明" appId="_GBC_bab484b2a177457b977e28c0385a5b58">
        <m:axisValue occRef="母公司"/>
      </m:item>
    </m:section>
    <m:section xlName="_GBC_4b6cd384bee54ff79269fa4457c70d49" title="其他应收款其他说明" helpId="112002209">
      <m:item xlName="_GBC_2e0f632cbc7d4916b89bf8824f4b71f0" concept="clcid-ci-ar:ShiFouShiYongMuGongSiQiTaYingShouKuanDeQiTaShuoMing" label="是否适用：母公司其他应收款的其他说明" selectOptions="_buildInAppliance" controlType="CustomCheckbox" cRanges="{&quot;StartName&quot;:&quot;_GBC_2e0f632cbc7d4916b89bf8824f4b71f0&quot;,&quot;EndName&quot;:&quot;_GBC_c50e5b5f7e4c4ab88b09d66d59362ac8&quot;,&quot;CType&quot;:1,&quot;DisplayText&quot;:null}"/>
      <m:item xlName="_GBC_c50e5b5f7e4c4ab88b09d66d59362ac8" concept="clcid-pte:QiTaYingShouKuanDeQiTaShuoMing" label="其他应收款的其他说明" appId="_GBC_2e0f632cbc7d4916b89bf8824f4b71f0">
        <m:axisValue occRef="母公司"/>
      </m:item>
    </m:section>
    <m:item xlName="_GBC_61071b9a58624e83bfc4232808751b95" concept="clcid-ci-ar:ShiFouShiYongMuGongSiChangQiGuQuanTouZi" label="是否适用：母公司长期股权投资" selectOptions="_buildInAppliance" controlType="CustomCheckbox" cRanges="{&quot;StartName&quot;:&quot;_GBC_61071b9a58624e83bfc4232808751b95&quot;,&quot;EndName&quot;:&quot;_GBC_1577b793bbce4a50b07decde0e07491e&quot;,&quot;CType&quot;:1,&quot;DisplayText&quot;:null}"/>
    <m:section xlName="_GBC_e5163872166a4141a666e7eec5d9956c" title="长期股权投资按成本法核算" helpId="112002211">
      <m:item xlName="_GBC_ee2c3454a2494dfca9c0a07bba82ed3d" concept="clcid-ci-ar:DanWeiMuGongSiCaiWuFuZhuChangQiGuQuanTouZi" label="单位：母公司财务附注：长期股权投资" selectOptions="_buildInScales" controlType="Combobox" cellType="Scale" appId="_GBC_61071b9a58624e83bfc4232808751b95"/>
      <m:item xlName="_GBC_4b4d1a2b986f475e8058a041d2f5a6f9" concept="clcid-ci-ar:BiZhongMuGongSiCaiWuFuZhuChangQiGuQuanTouZi" label="币种：母公司财务附注：长期股权投资" selectOptions="_buildInISO4217" controlType="Combobox" cellType="Measure" appId="_GBC_61071b9a58624e83bfc4232808751b95"/>
      <m:placeholder xlName="_PLD_69c4a2f49545484e8b3a149f64c9d21f" addr="T0R0C0S2_1"/>
      <m:placeholder xlName="_PLD_f7d0566caa554c4c823029a05c5319eb" addr="T0R0C1S1_3"/>
      <m:placeholder xlName="_PLD_9d2cfae2492a49c2b441d1371a5e4673" addr="T0R0C4S1_3"/>
      <m:placeholder xlName="_PLD_9f664b17996c45f08a57544a9ec7e340" addr="T0R1C1S1_1"/>
      <m:placeholder xlName="_PLD_5c150a7367994fc29e7f8b50d7ff2eab" addr="T0R1C2S1_1"/>
      <m:placeholder xlName="_PLD_3db48da0eacd49568929884577dae51b" addr="T0R1C3S1_1"/>
      <m:placeholder xlName="_PLD_00d8a1d3b6754b52929b2c46a2e716c9" addr="T0R1C4S1_1"/>
      <m:placeholder xlName="_PLD_0f2c77fc41ea456bab34653dee178805" addr="T0R1C5S1_1"/>
      <m:placeholder xlName="_PLD_9ae07ed9769c419fa280d4c5ad3f03d7" addr="T0R1C6S1_1"/>
      <m:placeholder xlName="_PLD_b2ce03f2519c40d0a152124161e4337f" addr="T0R2C0S1_1"/>
      <m:item xlName="_GBC_1b45d910bb6f4690b0c8ff0ec47e8c4c" concept="clcid-pte:DuiZiGongSiTouZiZhangMianYuE" label="对子公司投资账面余额" mulRef="_GBC_ee2c3454a2494dfca9c0a07bba82ed3d" unitRef="_GBC_4b4d1a2b986f475e8058a041d2f5a6f9" addr="T0R2C1S1_1" formatStyle="Comma" appId="_GBC_61071b9a58624e83bfc4232808751b95">
        <m:axisValue occRef="母公司"/>
      </m:item>
      <m:item xlName="_GBC_9517a6431afb43f5a6a2fc8362708bf7" concept="clcid-pte:DuiZiGongSiTouZiJianZhiZhunBei" label="对子公司投资减值准备" mulRef="_GBC_ee2c3454a2494dfca9c0a07bba82ed3d" unitRef="_GBC_4b4d1a2b986f475e8058a041d2f5a6f9" addr="T0R2C2S1_1" formatStyle="Comma" appId="_GBC_61071b9a58624e83bfc4232808751b95">
        <m:axisValue occRef="母公司"/>
      </m:item>
      <m:item xlName="_GBC_239c34b076fd4ebf95c61aa43dedde7e" concept="clcid-pte:DuiZiGongSiTouZiZhangMianJiaZhi" label="对子公司投资账面价值" mulRef="_GBC_ee2c3454a2494dfca9c0a07bba82ed3d" unitRef="_GBC_4b4d1a2b986f475e8058a041d2f5a6f9" addr="T0R2C3S1_1" formatStyle="Comma" appId="_GBC_61071b9a58624e83bfc4232808751b95">
        <m:complexRule comparator="Eq" title="母公司对子公司投资账面价值" test=" $_GBC_1b45d910bb6f4690b0c8ff0ec47e8c4c -  $_GBC_9517a6431afb43f5a6a2fc8362708bf7" id="C0e0e59d3ab8d433d933a6fd1194e07f6"/>
        <m:axisValue occRef="母公司"/>
      </m:item>
      <m:item xlName="_GBC_ad2ca27a0b3247d7b4b8f45d25293b9b" concept="clcid-pte:DuiZiGongSiTouZiZhangMianYuE" label="对子公司投资账面余额" periodRef="本期期初数" mulRef="_GBC_ee2c3454a2494dfca9c0a07bba82ed3d" unitRef="_GBC_4b4d1a2b986f475e8058a041d2f5a6f9" addr="T0R2C4S1_1" formatStyle="Comma" appId="_GBC_61071b9a58624e83bfc4232808751b95">
        <m:axisValue occRef="母公司"/>
      </m:item>
      <m:item xlName="_GBC_63117ddc7dd34bc39c519c41ef84c9fe" concept="clcid-pte:DuiZiGongSiTouZiJianZhiZhunBei" label="对子公司投资减值准备" periodRef="本期期初数" mulRef="_GBC_ee2c3454a2494dfca9c0a07bba82ed3d" unitRef="_GBC_4b4d1a2b986f475e8058a041d2f5a6f9" addr="T0R2C5S1_1" formatStyle="Comma" appId="_GBC_61071b9a58624e83bfc4232808751b95">
        <m:axisValue occRef="母公司"/>
      </m:item>
      <m:item xlName="_GBC_e6d676b78f1f43eb871e133236586681" concept="clcid-pte:DuiZiGongSiTouZiZhangMianJiaZhi" label="对子公司投资账面价值" periodRef="本期期初数" mulRef="_GBC_ee2c3454a2494dfca9c0a07bba82ed3d" unitRef="_GBC_4b4d1a2b986f475e8058a041d2f5a6f9" addr="T0R2C6S1_1" formatStyle="Comma" appId="_GBC_61071b9a58624e83bfc4232808751b95">
        <m:complexRule comparator="Eq" title="母公司对子公司投资账面价值@本期期初数" test=" $_GBC_ad2ca27a0b3247d7b4b8f45d25293b9b -  $_GBC_63117ddc7dd34bc39c519c41ef84c9fe" id="C147545444db545b392db3b3efa081204"/>
        <m:axisValue occRef="母公司"/>
      </m:item>
      <m:placeholder xlName="_PLD_da68a71aef6a46449e56205bf88b68ae" addr="T0R3C0S1_1"/>
      <m:item xlName="_GBC_dc37861952d0469bb3f8afda0ba99841" concept="clcid-pte:DuiLianYingHeYingQiYeTouZiZhangMianYuE" label="对联营、合营企业投资账面余额" mulRef="_GBC_ee2c3454a2494dfca9c0a07bba82ed3d" unitRef="_GBC_4b4d1a2b986f475e8058a041d2f5a6f9" addr="T0R3C1S1_1" formatStyle="Comma" appId="_GBC_61071b9a58624e83bfc4232808751b95">
        <m:axisValue occRef="母公司"/>
      </m:item>
      <m:item xlName="_GBC_ff4ec744c62042539e5e2684b0bbe579" concept="clcid-pte:DuiLianYingHeYingQiYeTouZiJianZhiZhunBei" label="对联营、合营企业投资减值准备" mulRef="_GBC_ee2c3454a2494dfca9c0a07bba82ed3d" unitRef="_GBC_4b4d1a2b986f475e8058a041d2f5a6f9" addr="T0R3C2S1_1" formatStyle="Comma" appId="_GBC_61071b9a58624e83bfc4232808751b95">
        <m:axisValue occRef="母公司"/>
      </m:item>
      <m:item xlName="_GBC_c2f3fe4e1809402589dd48b31238fe67" concept="clcid-pte:DuiLianYingHeYingQiYeTouZiZhangMianJiaZhi" label="对联营、合营企业投资账面价值" mulRef="_GBC_ee2c3454a2494dfca9c0a07bba82ed3d" unitRef="_GBC_4b4d1a2b986f475e8058a041d2f5a6f9" addr="T0R3C3S1_1" formatStyle="Comma" appId="_GBC_61071b9a58624e83bfc4232808751b95">
        <m:complexRule comparator="Eq" title="母公司对联营、合营企业投资账面价值" test=" $_GBC_dc37861952d0469bb3f8afda0ba99841 -  $_GBC_ff4ec744c62042539e5e2684b0bbe579" id="C3c6156b0985640ff94356587f9383a15"/>
        <m:axisValue occRef="母公司"/>
      </m:item>
      <m:item xlName="_GBC_6d2aed7e912e431f8161c6fe00f18a96" concept="clcid-pte:DuiLianYingHeYingQiYeTouZiZhangMianYuE" label="对联营、合营企业投资账面余额" periodRef="本期期初数" mulRef="_GBC_ee2c3454a2494dfca9c0a07bba82ed3d" unitRef="_GBC_4b4d1a2b986f475e8058a041d2f5a6f9" addr="T0R3C4S1_1" formatStyle="Comma" appId="_GBC_61071b9a58624e83bfc4232808751b95">
        <m:axisValue occRef="母公司"/>
      </m:item>
      <m:item xlName="_GBC_30a7f28b5ba442109807cc796a15a2da" concept="clcid-pte:DuiLianYingHeYingQiYeTouZiJianZhiZhunBei" label="对联营、合营企业投资减值准备" periodRef="本期期初数" mulRef="_GBC_ee2c3454a2494dfca9c0a07bba82ed3d" unitRef="_GBC_4b4d1a2b986f475e8058a041d2f5a6f9" addr="T0R3C5S1_1" formatStyle="Comma" appId="_GBC_61071b9a58624e83bfc4232808751b95">
        <m:axisValue occRef="母公司"/>
      </m:item>
      <m:item xlName="_GBC_46698e64d54d46dcb0b7122d09639941" concept="clcid-pte:DuiLianYingHeYingQiYeTouZiZhangMianJiaZhi" label="对联营、合营企业投资账面价值" periodRef="本期期初数" mulRef="_GBC_ee2c3454a2494dfca9c0a07bba82ed3d" unitRef="_GBC_4b4d1a2b986f475e8058a041d2f5a6f9" addr="T0R3C6S1_1" formatStyle="Comma" appId="_GBC_61071b9a58624e83bfc4232808751b95">
        <m:complexRule comparator="Eq" title="母公司对联营、合营企业投资账面价值@本期期初数" test=" $_GBC_6d2aed7e912e431f8161c6fe00f18a96 -  $_GBC_30a7f28b5ba442109807cc796a15a2da" id="Cbc4e0dce9aae4768b5eae979581129da"/>
        <m:axisValue occRef="母公司"/>
      </m:item>
      <m:placeholder xlName="_PLD_5c8b8837c4fd4f29a39327cb72d5dcbf" addr="T0R4C0S1_1"/>
      <m:item xlName="_GBC_0f4a7b7c0c9a4364a80a0cf21ab5da16" concept="clcid-pte:ChangQiGuQuanTouZiZhangMianYuE" label="长期股权投资账面余额" mulRef="_GBC_ee2c3454a2494dfca9c0a07bba82ed3d" unitRef="_GBC_4b4d1a2b986f475e8058a041d2f5a6f9" addr="T0R4C1S1_1" formatStyle="Comma" appId="_GBC_61071b9a58624e83bfc4232808751b95">
        <m:complexRule comparator="Eq" title="母公司长期股权投资" test=" $_GBC_1b45d910bb6f4690b0c8ff0ec47e8c4c +  $_GBC_dc37861952d0469bb3f8afda0ba99841" id="Ca67911a1d12f47c9bb61f586e2823511"/>
        <m:axisValue occRef="母公司"/>
      </m:item>
      <m:item xlName="_GBC_394f3b4b0d0a47aca2ba00cd7c4c2e5e" concept="clcid-pte:ChangQiGuQuanTouZiJianZhiZhunBeiYuE" label="长期股权投资减值准备余额" mulRef="_GBC_ee2c3454a2494dfca9c0a07bba82ed3d" unitRef="_GBC_4b4d1a2b986f475e8058a041d2f5a6f9" addr="T0R4C2S1_1" formatStyle="Comma" appId="_GBC_61071b9a58624e83bfc4232808751b95">
        <m:complexRule comparator="Eq" title="母公司长期股权投资减值准备余额" test=" $_GBC_9517a6431afb43f5a6a2fc8362708bf7 +  $_GBC_ff4ec744c62042539e5e2684b0bbe579" id="C6a8bef1aa0cc42fd907dcac1dc7f97e8"/>
        <m:axisValue occRef="母公司"/>
      </m:item>
      <m:item xlName="_GBC_0c4bc60de438402687538b8a20e8730c" concept="clcid-pte:ChangQiGuQuanTouZi" label="长期股权投资" mulRef="_GBC_ee2c3454a2494dfca9c0a07bba82ed3d" unitRef="_GBC_4b4d1a2b986f475e8058a041d2f5a6f9" addr="T0R4C3S1_1" formatStyle="Comma" appId="_GBC_61071b9a58624e83bfc4232808751b95">
        <m:complexRule comparator="Eq" title="母公司长期股权投资账面价值" test=" $_GBC_239c34b076fd4ebf95c61aa43dedde7e +  $_GBC_c2f3fe4e1809402589dd48b31238fe67" id="Cb6522b08979d42a9a68f4e60ed266718"/>
        <m:complexRule comparator="Eq" title="母公司长期股权投资账面价值2" test=" $_GBC_0f4a7b7c0c9a4364a80a0cf21ab5da16 -  $_GBC_394f3b4b0d0a47aca2ba00cd7c4c2e5e" id="C6a07438ecb44445ea33f80d948ac01fc"/>
        <m:axisValue occRef="母公司"/>
      </m:item>
      <m:item xlName="_GBC_80722093c8084d8a9a467595050d25e2" concept="clcid-pte:ChangQiGuQuanTouZiZhangMianYuE" label="长期股权投资账面余额" periodRef="本期期初数" mulRef="_GBC_ee2c3454a2494dfca9c0a07bba82ed3d" unitRef="_GBC_4b4d1a2b986f475e8058a041d2f5a6f9" addr="T0R4C4S1_1" formatStyle="Comma" appId="_GBC_61071b9a58624e83bfc4232808751b95">
        <m:complexRule comparator="Eq" title="母公司长期股权投资@本期期初数" test=" $_GBC_ad2ca27a0b3247d7b4b8f45d25293b9b +  $_GBC_6d2aed7e912e431f8161c6fe00f18a96" id="Cf82ff7b0dc2e4136bdea439fb78966f2"/>
        <m:axisValue occRef="母公司"/>
      </m:item>
      <m:item xlName="_GBC_63ccb7aa6861455cadf81c4f9aadac83" concept="clcid-pte:ChangQiGuQuanTouZiJianZhiZhunBeiYuE" label="长期股权投资减值准备余额" periodRef="本期期初数" mulRef="_GBC_ee2c3454a2494dfca9c0a07bba82ed3d" unitRef="_GBC_4b4d1a2b986f475e8058a041d2f5a6f9" addr="T0R4C5S1_1" formatStyle="Comma" appId="_GBC_61071b9a58624e83bfc4232808751b95">
        <m:complexRule comparator="Eq" title="母公司长期股权投资减值准备余额@本期期初数" test=" $_GBC_63117ddc7dd34bc39c519c41ef84c9fe +  $_GBC_30a7f28b5ba442109807cc796a15a2da" id="Cc81d03e4fe304867b30307c9a5f16aa0"/>
        <m:axisValue occRef="母公司"/>
      </m:item>
      <m:item xlName="_GBC_3f53e266466441c1a0a2e7f61835b127" concept="clcid-pte:ChangQiGuQuanTouZi" label="长期股权投资" periodRef="本期期初数" mulRef="_GBC_ee2c3454a2494dfca9c0a07bba82ed3d" unitRef="_GBC_4b4d1a2b986f475e8058a041d2f5a6f9" addr="T0R4C6S1_1" formatStyle="Comma" appId="_GBC_61071b9a58624e83bfc4232808751b95">
        <m:complexRule comparator="Eq" title="母公司长期股权投资账面价值@本期期初数" test=" $_GBC_e6d676b78f1f43eb871e133236586681 +  $_GBC_46698e64d54d46dcb0b7122d09639941" id="C7f96477634d14673b265bb0f382baea6"/>
        <m:complexRule comparator="Eq" title="母公司长期股权投资账面价值@本期期初数2" test=" $_GBC_80722093c8084d8a9a467595050d25e2 -  $_GBC_63ccb7aa6861455cadf81c4f9aadac83" id="C698db7defa944c8792f6be6a07f6c03a"/>
        <m:axisValue occRef="母公司"/>
      </m:item>
    </m:section>
    <m:section xlName="_GBC_354d808d545e41aab5b25112222d90f9" title="对子公司投资" helpId="112002211">
      <m:item xlName="_GBC_c52cee49247d42a9a79deabbd4c8635c" concept="clcid-ci-ar:ShiFouShiYongMuGongSiDuiZiGongSiTouZi" label="是否适用：母公司对子公司投资" selectOptions="_buildInAppliance" controlType="CustomCheckbox" cRanges="{&quot;StartName&quot;:&quot;_GBC_c52cee49247d42a9a79deabbd4c8635c&quot;,&quot;EndName&quot;:&quot;_GBC_dec6f87ecdd446b19e42b02bf8ad77d2&quot;,&quot;CType&quot;:1,&quot;DisplayText&quot;:null}"/>
      <m:item xlName="_GBC_84c410d0b81f42e3adfddc3699487310" concept="clcid-ci-ar:DanWeiMuGongSiCaiWuFuZhuDuiZiGongSiTouZi" label="单位：母公司财务附注：对子公司投资" selectOptions="_buildInScales" controlType="Combobox" cellType="Scale" appId="_GBC_c52cee49247d42a9a79deabbd4c8635c"/>
      <m:item xlName="_GBC_97fad72310ba4b849377b0e1cebf7303" concept="clcid-ci-ar:BiZhongMuGongSiCaiWuFuZhuDuiZiGongSiTouZi" label="币种：母公司财务附注：对子公司投资" selectOptions="_buildInISO4217" controlType="Combobox" cellType="Measure" appId="_GBC_c52cee49247d42a9a79deabbd4c8635c"/>
      <m:placeholder xlName="_PLD_c6f1ebfed2274883870089cc90c0b5b3" addr="T0R0C0S1_1"/>
      <m:placeholder xlName="_PLD_c8b6275a3567432ba7b63d4485a9cce5" addr="T0R0C1S1_1"/>
      <m:placeholder xlName="_PLD_a192e1f764d54f39ad94a065019bc4f2" addr="T0R0C2S1_1"/>
      <m:placeholder xlName="_PLD_3a74d3e1bc0e43debb3fdd0f1f6de769" addr="T0R0C3S1_1"/>
      <m:placeholder xlName="_PLD_62acff2435cd434284a753ea8ebfa201" addr="T0R0C4S1_1"/>
      <m:placeholder xlName="_PLD_67b1a9b1d215409ebb6ceb131ad5e8bf" addr="T0R0C5S1_1"/>
      <m:placeholder xlName="_PLD_bfab2049a5684d7d922489b57382b080" addr="T0R0C6S1_1"/>
      <m:tuple xlName="_GBC_daf82e8df55d4ba9bf351c25fd5a63c2" concept="clcid-pte:ChangQiGuQuanTouZiMingXi" default_row="2" addr="T0R1C">
        <m:item xlName="_GBC_cb6e61acce5545c0a45605fa614d6297" concept="clcid-pte:ChangQiGuQuanTouZiMingXiBeiTouZiDanWei" label="长期股权投资明细－被投资单位" addr="T0R1C0S1_1" appId="_GBC_c52cee49247d42a9a79deabbd4c8635c">
          <m:axisValue occRef="母公司"/>
        </m:item>
        <m:item xlName="_GBC_ae02ff4612194b3f9bc56ebf3f559e5d" concept="clcid-pte:ChangQiGuQuanTouZiMingXiZhangMianYuE" label="长期股权投资明细－账面余额" periodRef="本期期初数" mulRef="_GBC_84c410d0b81f42e3adfddc3699487310" unitRef="_GBC_97fad72310ba4b849377b0e1cebf7303" addr="T0R1C1S1_1" formatStyle="Comma" appId="_GBC_c52cee49247d42a9a79deabbd4c8635c">
          <m:axisValue occRef="母公司"/>
        </m:item>
        <m:item xlName="_GBC_4092736ec85d4fd8bbfd4327f22ba5c9" concept="clcid-pte:ChangQiGuQuanTouZiMingXiBenQiZengJia" label="长期股权投资明细-本期增加" mulRef="_GBC_84c410d0b81f42e3adfddc3699487310" unitRef="_GBC_97fad72310ba4b849377b0e1cebf7303" addr="T0R1C2S1_1" formatStyle="Comma" appId="_GBC_c52cee49247d42a9a79deabbd4c8635c">
          <m:axisValue occRef="母公司"/>
        </m:item>
        <m:item xlName="_GBC_dc4e67c31bf841569762ead71e6c7538" concept="clcid-pte:ChangQiGuQuanTouZiMingXiBenQiJianShao" label="长期股权投资明细-本期减少" mulRef="_GBC_84c410d0b81f42e3adfddc3699487310" unitRef="_GBC_97fad72310ba4b849377b0e1cebf7303" addr="T0R1C3S1_1" formatStyle="Comma" appId="_GBC_c52cee49247d42a9a79deabbd4c8635c">
          <m:axisValue occRef="母公司"/>
        </m:item>
        <m:item xlName="_GBC_1c036f7f8eba4038bdf216c7bdf771be" concept="clcid-pte:ChangQiGuQuanTouZiMingXiZhangMianYuE" label="长期股权投资明细－账面余额" mulRef="_GBC_84c410d0b81f42e3adfddc3699487310" unitRef="_GBC_97fad72310ba4b849377b0e1cebf7303" addr="T0R1C4S1_1" formatStyle="Comma" appId="_GBC_c52cee49247d42a9a79deabbd4c8635c">
          <m:complexRule comparator="Eq" title="母公司长期股权投资明细－账面余额" test=" $_GBC_ae02ff4612194b3f9bc56ebf3f559e5d +  $_GBC_4092736ec85d4fd8bbfd4327f22ba5c9 -  $_GBC_dc4e67c31bf841569762ead71e6c7538" id="Cb898d0412bd449b2b27593eaed2b72f4"/>
          <m:axisValue occRef="母公司"/>
        </m:item>
        <m:item xlName="_GBC_add33600e509433fbc71aa6661481152" concept="clcid-pte:ChangQiGuQuanTouZiBenQiJiTiJianZhiZhunBei" label="长期股权投资明细－本期计提减值准备" mulRef="_GBC_84c410d0b81f42e3adfddc3699487310" unitRef="_GBC_97fad72310ba4b849377b0e1cebf7303" addr="T0R1C5S1_1" formatStyle="Comma" appId="_GBC_c52cee49247d42a9a79deabbd4c8635c">
          <m:axisValue occRef="母公司"/>
        </m:item>
        <m:item xlName="_GBC_daf675e5dea44f7d81d0825beab05945" concept="clcid-pte:ChangQiGuQuanTouZiMingXiJianZhiZhunBei" label="长期股权投资明细－减值准备" mulRef="_GBC_84c410d0b81f42e3adfddc3699487310" unitRef="_GBC_97fad72310ba4b849377b0e1cebf7303" addr="T0R1C6S1_1" formatStyle="Comma" appId="_GBC_c52cee49247d42a9a79deabbd4c8635c">
          <m:axisValue occRef="母公司"/>
        </m:item>
      </m:tuple>
      <m:placeholder xlName="_PLD_9515e88574304b2da64302e50d23e6cf" addr="T0R3C0S1_1"/>
      <m:item xlName="_GBC_bfbfaaec3fd54025af02d508881aaa33" concept="clcid-pte:ChangQiGuQuanTouZiDuiZiGongSiTouZiHeJi" label="长期股权投资对子公司投资合计" periodRef="本期期初数" mulRef="_GBC_84c410d0b81f42e3adfddc3699487310" unitRef="_GBC_97fad72310ba4b849377b0e1cebf7303" addr="T0R3C1S1_1" formatStyle="Comma" appId="_GBC_c52cee49247d42a9a79deabbd4c8635c">
        <m:complexRule comparator="Eq" title="母公司长期股权投资合计@本期期初数" test=" $_GBC_ae02ff4612194b3f9bc56ebf3f559e5d" id="Ce9fd8def8bf541b6a4c601bfd9b2bd47"/>
        <m:axisValue occRef="母公司"/>
      </m:item>
      <m:item xlName="_GBC_10743c6db1194cf099a45da8031e8a65" concept="clcid-pte:ChangQiGuQuanTouZiBenQiZengJiaHeJi" label="长期股权投资本期增加合计" mulRef="_GBC_84c410d0b81f42e3adfddc3699487310" unitRef="_GBC_97fad72310ba4b849377b0e1cebf7303" addr="T0R3C2S1_1" formatStyle="Comma" appId="_GBC_c52cee49247d42a9a79deabbd4c8635c">
        <m:complexRule comparator="Eq" title="母公司长期股权投资本期增加合计" test=" $_GBC_4092736ec85d4fd8bbfd4327f22ba5c9" id="C988886c0011e4314af8213a1765b3afa"/>
        <m:axisValue occRef="母公司"/>
      </m:item>
      <m:item xlName="_GBC_770424b228bd45ed8734fc9b05cca45f" concept="clcid-pte:ChangQiGuQuanTouZiBenQiJianShaoHeJi" label="长期股权投资本期减少合计" mulRef="_GBC_84c410d0b81f42e3adfddc3699487310" unitRef="_GBC_97fad72310ba4b849377b0e1cebf7303" addr="T0R3C3S1_1" formatStyle="Comma" appId="_GBC_c52cee49247d42a9a79deabbd4c8635c">
        <m:complexRule comparator="Eq" title="母公司长期股权投资本期减少合计" test=" $_GBC_dc4e67c31bf841569762ead71e6c7538" id="C742cf47dcdb24e9498b1810e7b3db27a"/>
        <m:axisValue occRef="母公司"/>
      </m:item>
      <m:item xlName="_GBC_91ac0cc9d79141a1ab4ffb29bcdce712" concept="clcid-pte:ChangQiGuQuanTouZiDuiZiGongSiTouZiHeJi" label="长期股权投资对子公司投资合计" mulRef="_GBC_84c410d0b81f42e3adfddc3699487310" unitRef="_GBC_97fad72310ba4b849377b0e1cebf7303" addr="T0R3C4S1_1" formatStyle="Comma" appId="_GBC_c52cee49247d42a9a79deabbd4c8635c">
        <m:complexRule comparator="Eq" title="母公司长期股权投资合计" test=" $_GBC_1c036f7f8eba4038bdf216c7bdf771be" id="C7254e77126064b8590d2bc0a00ff77fb"/>
        <m:complexRule comparator="Eq" title="母公司长期股权投资合计2" test=" $_GBC_bfbfaaec3fd54025af02d508881aaa33 +  $_GBC_10743c6db1194cf099a45da8031e8a65 -  $_GBC_770424b228bd45ed8734fc9b05cca45f" id="Ceb55f6abaa2a44168576030e59a53046"/>
        <m:axisValue occRef="母公司"/>
      </m:item>
      <m:item xlName="_GBC_3ed16bc56d6f49b2a77320c5ced9f160" concept="clcid-pte:ChangQiGuQuanTouZiDuiZiGongSiTouZiBenQiJiTiJianZhiZhunBei" label="长期股权投资对子公司投资_本期计提减值准备" mulRef="_GBC_84c410d0b81f42e3adfddc3699487310" unitRef="_GBC_97fad72310ba4b849377b0e1cebf7303" addr="T0R3C5S1_1" formatStyle="Comma" appId="_GBC_c52cee49247d42a9a79deabbd4c8635c">
        <m:complexRule comparator="Eq" title="母公司长期股权投资减值准备_本期增加数" test=" $_GBC_add33600e509433fbc71aa6661481152" id="Cf9d43390429c43a888d7cc08340c39ff"/>
        <m:axisValue occRef="母公司"/>
      </m:item>
      <m:item xlName="_GBC_dec6f87ecdd446b19e42b02bf8ad77d2" concept="clcid-pte:DuiZiGongSiTouZiJianZhiZhunBeiYuEHeJi" label="对子公司投资减值准备余额的合计" mulRef="_GBC_84c410d0b81f42e3adfddc3699487310" unitRef="_GBC_97fad72310ba4b849377b0e1cebf7303" addr="T0R3C6S1_1" formatStyle="Comma" appId="_GBC_c52cee49247d42a9a79deabbd4c8635c">
        <m:complexRule comparator="Eq" title="母公司对子公司投资减值准备余额的合计" test=" $_GBC_daf675e5dea44f7d81d0825beab05945" id="Caeccbc5a3caf4d55ae28439e17e91c4b"/>
        <m:axisValue occRef="母公司"/>
      </m:item>
    </m:section>
    <m:section xlName="_GBC_eb61534d0a614526b319605aeaa9bf73" title="对联营、合营企业投资" helpId="112002211">
      <m:item xlName="_GBC_0837f60a15fc4684b64085618adca8d2" concept="clcid-ci-ar:ShiFouShiYongMuGongSiDuiLianYingHeYingQiYeTouZi" label="是否适用：母公司对联营、合营企业投资" selectOptions="_buildInAppliance" controlType="CustomCheckbox" cRanges="{&quot;StartName&quot;:&quot;_GBC_0837f60a15fc4684b64085618adca8d2&quot;,&quot;EndName&quot;:&quot;_GBC_e582fa421f3e4fc186bc7cd638f7c914&quot;,&quot;CType&quot;:1,&quot;DisplayText&quot;:null}"/>
      <m:item xlName="_GBC_d8af48cd34c54e749df777d4e6a5e2ed" concept="clcid-ci-ar:DanWeiMuGongSiCaiWuFuZhuDuiLianYingHeYingQiYeTouZi" label="单位：母公司财务附注：对联营、合营企业投资" selectOptions="_buildInScales" controlType="Combobox" cellType="Scale" appId="_GBC_0837f60a15fc4684b64085618adca8d2"/>
      <m:item xlName="_GBC_5b4bb22c6cca42989bcd538938127ee2" concept="clcid-ci-ar:BiZhongMuGongSiCaiWuFuZhuDuiLianYingHeYingQiYeTouZi" label="币种：母公司财务附注：对联营、合营企业投资" selectOptions="_buildInISO4217" controlType="Combobox" cellType="Measure" appId="_GBC_0837f60a15fc4684b64085618adca8d2"/>
      <m:placeholder xlName="_PLD_6cc6b034108e400a8f245ccad05ac887" addr="T0R0C0S2_1"/>
      <m:placeholder xlName="_PLD_4e363a39fcae421c9a049aefb0d049c6" addr="T0R0C1S2_1"/>
      <m:placeholder xlName="_PLD_675bbbad11dc4d23934e356c8b45872c" addr="T0R0C2S1_8"/>
      <m:placeholder xlName="_PLD_60650c529731423a8920dee24235a743" addr="T0R0C10S2_1"/>
      <m:placeholder xlName="_PLD_015da9aade664ef1a73ffb5d14b36a29" addr="T0R0C11S2_1"/>
      <m:placeholder xlName="_PLD_cbd2bf523863474c84cf8d516b6c392e" addr="T0R1C2S1_1"/>
      <m:placeholder xlName="_PLD_2fb99239d0d745539b34e49e3410ad3d" addr="T0R1C3S1_1"/>
      <m:placeholder xlName="_PLD_1f3056d1910848f8b6a706479b4259a5" addr="T0R1C4S1_1"/>
      <m:placeholder xlName="_PLD_0e97178fddec48888aefa92a2830b812" addr="T0R1C5S1_1"/>
      <m:placeholder xlName="_PLD_29b9a15716dc4441a8dcb4c045a92f6b" addr="T0R1C6S1_1"/>
      <m:placeholder xlName="_PLD_e428cfe75ea541779cc82a8596f56242" addr="T0R1C7S1_1"/>
      <m:placeholder xlName="_PLD_747f8a7789454ec8a102293ecaa63e28" addr="T0R1C8S1_1"/>
      <m:placeholder xlName="_PLD_c4dc0e381f9742f7b6c469b5b71f2b6b" addr="T0R1C9S1_1"/>
      <m:placeholder xlName="_PLD_22240ea193154bf4937c6cd3a9c9805f" addr="T0R2C0S1_1"/>
      <m:tuple xlName="_GBC_d8ad1583f4e8417c9255e24b2477f285" concept="clcid-pte:HeYingQiYeTouZiXinXiMingXi" default_row="2" addr="T0R3C">
        <m:item xlName="_GBC_b8e59370a3324b0990d4647b2f2c16a0" concept="clcid-pte:HeYingQiYeTouZiXinXiMingXiMingCheng" label="合营企业投资信息明细－名称" addr="T0R3C0S1_1" appId="_GBC_0837f60a15fc4684b64085618adca8d2">
          <m:axisValue occRef="母公司"/>
        </m:item>
        <m:item xlName="_GBC_2707a173c6ea4725956e26d1a84a4220" concept="clcid-pte:HeYingQiYeTouZiMingXiYuE" label="合营企业投资明细-余额" periodRef="本期期初数" mulRef="_GBC_d8af48cd34c54e749df777d4e6a5e2ed" unitRef="_GBC_5b4bb22c6cca42989bcd538938127ee2" addr="T0R3C1S1_1" formatStyle="Comma" appId="_GBC_0837f60a15fc4684b64085618adca8d2">
          <m:axisValue occRef="母公司"/>
        </m:item>
        <m:item xlName="_GBC_9fb95dc05332435da69d9cbd68960303" concept="clcid-pte:HeYingQiYeTouZiMingXiZhuiJiaTouZi" label="合营企业投资明细-追加投资" mulRef="_GBC_d8af48cd34c54e749df777d4e6a5e2ed" unitRef="_GBC_5b4bb22c6cca42989bcd538938127ee2" addr="T0R3C2S1_1" formatStyle="Comma" appId="_GBC_0837f60a15fc4684b64085618adca8d2">
          <m:axisValue occRef="母公司"/>
        </m:item>
        <m:item xlName="_GBC_1684be6bec4e4096975e20fe51b9f5c5" concept="clcid-pte:HeYingQiYeTouZiMingXiJianShaoTouZi" label="合营企业投资明细-减少投资" mulRef="_GBC_d8af48cd34c54e749df777d4e6a5e2ed" unitRef="_GBC_5b4bb22c6cca42989bcd538938127ee2" addr="T0R3C3S1_1" formatStyle="Comma" appId="_GBC_0837f60a15fc4684b64085618adca8d2">
          <m:axisValue occRef="母公司"/>
        </m:item>
        <m:item xlName="_GBC_09d92a29b1f74e7a83561e1abb74f020" concept="clcid-pte:HeYingQiYeTouZiMingXiQuanYiFaXiaQueRenDeTouZiSunYi" label="合营企业投资明细-权益法下确认的投资损益" mulRef="_GBC_d8af48cd34c54e749df777d4e6a5e2ed" unitRef="_GBC_5b4bb22c6cca42989bcd538938127ee2" addr="T0R3C4S1_1" formatStyle="Comma" appId="_GBC_0837f60a15fc4684b64085618adca8d2">
          <m:axisValue occRef="母公司"/>
        </m:item>
        <m:item xlName="_GBC_6c45a77074254a57b5aee70005e2b3f2" concept="clcid-pte:HeYingQiYeTouZiMingXiQiTaZongHeShouYiDiaoZheng" label="合营企业投资明细-其他综合收益调整" mulRef="_GBC_d8af48cd34c54e749df777d4e6a5e2ed" unitRef="_GBC_5b4bb22c6cca42989bcd538938127ee2" addr="T0R3C5S1_1" formatStyle="Comma" appId="_GBC_0837f60a15fc4684b64085618adca8d2">
          <m:axisValue occRef="母公司"/>
        </m:item>
        <m:item xlName="_GBC_f01940793fd4461db722785365d92bb4" concept="clcid-pte:HeYingQiYeTouZiMingXiQiTaQuanYiBianDong" label="合营企业投资明细-其他权益变动" mulRef="_GBC_d8af48cd34c54e749df777d4e6a5e2ed" unitRef="_GBC_5b4bb22c6cca42989bcd538938127ee2" addr="T0R3C6S1_1" formatStyle="Comma" appId="_GBC_0837f60a15fc4684b64085618adca8d2">
          <m:axisValue occRef="母公司"/>
        </m:item>
        <m:item xlName="_GBC_cd0c908eadd049269a7f3000c4583b32" concept="clcid-pte:HeYingQiYeTouZiMingXiXuanGaoFaFangXianJinGuLiHuoLiRun" label="合营企业投资明细-宣告发放现金股利或利润" mulRef="_GBC_d8af48cd34c54e749df777d4e6a5e2ed" unitRef="_GBC_5b4bb22c6cca42989bcd538938127ee2" addr="T0R3C7S1_1" formatStyle="Comma" appId="_GBC_0837f60a15fc4684b64085618adca8d2">
          <m:axisValue occRef="母公司"/>
        </m:item>
        <m:item xlName="_GBC_544598775af14b679c8adb4f51b82c38" concept="clcid-pte:HeYingQiYeTouZiMingXiJiTiJianZhiZhunBei" label="合营企业投资明细-计提减值准备" mulRef="_GBC_d8af48cd34c54e749df777d4e6a5e2ed" unitRef="_GBC_5b4bb22c6cca42989bcd538938127ee2" addr="T0R3C8S1_1" formatStyle="Comma" appId="_GBC_0837f60a15fc4684b64085618adca8d2">
          <m:axisValue occRef="母公司"/>
        </m:item>
        <m:item xlName="_GBC_54e49d9769d14f14a307ef6e14e81cac" concept="clcid-pte:HeYingQiYeTouZiMingXiQiTaZengJianBianDong" label="合营企业投资明细-其他增减变动" mulRef="_GBC_d8af48cd34c54e749df777d4e6a5e2ed" unitRef="_GBC_5b4bb22c6cca42989bcd538938127ee2" addr="T0R3C9S1_1" formatStyle="Comma" appId="_GBC_0837f60a15fc4684b64085618adca8d2">
          <m:axisValue occRef="母公司"/>
        </m:item>
        <m:item xlName="_GBC_ee49b79029ec402395b009f4f1d46e6e" concept="clcid-pte:HeYingQiYeTouZiMingXiYuE" label="合营企业投资明细-余额" mulRef="_GBC_d8af48cd34c54e749df777d4e6a5e2ed" unitRef="_GBC_5b4bb22c6cca42989bcd538938127ee2" addr="T0R3C10S1_1" formatStyle="Comma" appId="_GBC_0837f60a15fc4684b64085618adca8d2">
          <m:complexRule comparator="Eq" title="母公司合营企业投资明细-余额" test=" $_GBC_2707a173c6ea4725956e26d1a84a4220 +  $_GBC_9fb95dc05332435da69d9cbd68960303 -  $_GBC_1684be6bec4e4096975e20fe51b9f5c5 +  $_GBC_09d92a29b1f74e7a83561e1abb74f020 +  $_GBC_6c45a77074254a57b5aee70005e2b3f2 +  $_GBC_f01940793fd4461db722785365d92bb4 -  $_GBC_cd0c908eadd049269a7f3000c4583b32 -  $_GBC_544598775af14b679c8adb4f51b82c38 +  $_GBC_54e49d9769d14f14a307ef6e14e81cac" id="Ca581b84fb6f34c12b949f105c3a5871e"/>
          <m:axisValue occRef="母公司"/>
        </m:item>
        <m:item xlName="_GBC_79150e976cab4a589704cafcdba03189" concept="clcid-pte:HeYingQiYeTouZiMingXiJianZhiZhunBeiYuE" label="合营企业投资明细-减值准备余额" mulRef="_GBC_d8af48cd34c54e749df777d4e6a5e2ed" unitRef="_GBC_5b4bb22c6cca42989bcd538938127ee2" addr="T0R3C11S1_1" formatStyle="Comma" appId="_GBC_0837f60a15fc4684b64085618adca8d2">
          <m:axisValue occRef="母公司"/>
        </m:item>
      </m:tuple>
      <m:placeholder xlName="_PLD_1ef29a5fe0804efc98d9ca8c92ee91f3" addr="T0R5C0S1_1"/>
      <m:item xlName="_GBC_f49714f87b9b4f6586a02192e0318b10" concept="clcid-pte:HeYingQiYeYuEXiaoJi" label="合营企业-余额小计" periodRef="本期期初数" mulRef="_GBC_d8af48cd34c54e749df777d4e6a5e2ed" unitRef="_GBC_5b4bb22c6cca42989bcd538938127ee2" addr="T0R5C1S1_1" formatStyle="Comma" appId="_GBC_0837f60a15fc4684b64085618adca8d2">
        <m:complexRule comparator="Eq" title="母公司合营企业-余额小计@本期期初数" test=" $_GBC_2707a173c6ea4725956e26d1a84a4220" id="Ced0a056f7b084d9a8b0352e6328229e2"/>
        <m:axisValue occRef="母公司"/>
      </m:item>
      <m:item xlName="_GBC_e689ad7bb01c41fbb444ba2b6a7c612c" concept="clcid-pte:HeYingQiYeZhuiJiaTouZiXiaoJi" label="合营企业-追加投资小计" mulRef="_GBC_d8af48cd34c54e749df777d4e6a5e2ed" unitRef="_GBC_5b4bb22c6cca42989bcd538938127ee2" addr="T0R5C2S1_1" formatStyle="Comma" appId="_GBC_0837f60a15fc4684b64085618adca8d2">
        <m:complexRule comparator="Eq" title="母公司合营企业-追加投资小计" test=" $_GBC_9fb95dc05332435da69d9cbd68960303" id="C86c70a020569482bb17ca4f2d644d7ff"/>
        <m:axisValue occRef="母公司"/>
      </m:item>
      <m:item xlName="_GBC_6b95d93dd63445ef9c8cb7a1a934a700" concept="clcid-pte:HeYingQiYeJianShaoTouZiXiaoJi" label="合营企业-减少投资小计" mulRef="_GBC_d8af48cd34c54e749df777d4e6a5e2ed" unitRef="_GBC_5b4bb22c6cca42989bcd538938127ee2" addr="T0R5C3S1_1" formatStyle="Comma" appId="_GBC_0837f60a15fc4684b64085618adca8d2">
        <m:complexRule comparator="Eq" title="母公司合营企业-减少投资小计" test=" $_GBC_1684be6bec4e4096975e20fe51b9f5c5" id="C041857a7ce104ead8e62c99279c91c10"/>
        <m:axisValue occRef="母公司"/>
      </m:item>
      <m:item xlName="_GBC_328cb9f31ce341948f097fe233244124" concept="clcid-pte:HeYingQiYeQuanYiFaXiaQueRenDeTouZiSunYiXiaoJi" label="合营企业-权益法下确认的投资损益小计" mulRef="_GBC_d8af48cd34c54e749df777d4e6a5e2ed" unitRef="_GBC_5b4bb22c6cca42989bcd538938127ee2" addr="T0R5C4S1_1" formatStyle="Comma" appId="_GBC_0837f60a15fc4684b64085618adca8d2">
        <m:complexRule comparator="Eq" title="母公司合营企业-权益法下确认的投资损益小计" test=" $_GBC_09d92a29b1f74e7a83561e1abb74f020" id="C802f0f21f3794bd2a8be0d1fff4d85cd"/>
        <m:axisValue occRef="母公司"/>
      </m:item>
      <m:item xlName="_GBC_a9d6413715ba4034811c2e7b8bb28d8b" concept="clcid-pte:HeYingQiYeQiTaZongHeShouYiDiaoZhengXiaoJi" label="合营企业-其他综合收益调整小计" mulRef="_GBC_d8af48cd34c54e749df777d4e6a5e2ed" unitRef="_GBC_5b4bb22c6cca42989bcd538938127ee2" addr="T0R5C5S1_1" formatStyle="Comma" appId="_GBC_0837f60a15fc4684b64085618adca8d2">
        <m:complexRule comparator="Eq" title="母公司合营企业-其他综合收益调整小计" test=" $_GBC_6c45a77074254a57b5aee70005e2b3f2" id="Cf41d8a0d4b67494b9ce52bc65d745fcf"/>
        <m:axisValue occRef="母公司"/>
      </m:item>
      <m:item xlName="_GBC_de6d0a51963244ab9f323c37ce1e4bd6" concept="clcid-pte:HeYingQiYeQiTaQuanYiBianDongXiaoJi" label="合营企业-其他权益变动小计" mulRef="_GBC_d8af48cd34c54e749df777d4e6a5e2ed" unitRef="_GBC_5b4bb22c6cca42989bcd538938127ee2" addr="T0R5C6S1_1" formatStyle="Comma" appId="_GBC_0837f60a15fc4684b64085618adca8d2">
        <m:complexRule comparator="Eq" title="母公司合营企业-其他权益变动小计" test=" $_GBC_f01940793fd4461db722785365d92bb4" id="C95b9fcc405b845c2984d4d7948a50904"/>
        <m:axisValue occRef="母公司"/>
      </m:item>
      <m:item xlName="_GBC_dc90b3182d3a4be48a18e9d13e5d152c" concept="clcid-pte:HeYingQiYeXuanGaoFaFangXianJinGuLiHuoLiRunXiaoJi" label="合营企业-宣告发放现金股利或利润小计" mulRef="_GBC_d8af48cd34c54e749df777d4e6a5e2ed" unitRef="_GBC_5b4bb22c6cca42989bcd538938127ee2" addr="T0R5C7S1_1" formatStyle="Comma" appId="_GBC_0837f60a15fc4684b64085618adca8d2">
        <m:complexRule comparator="Eq" title="母公司合营企业-宣告发放现金股利或利润小计" test=" $_GBC_cd0c908eadd049269a7f3000c4583b32" id="C18c07a47eeb342b2a20d3317b06e0179"/>
        <m:axisValue occRef="母公司"/>
      </m:item>
      <m:item xlName="_GBC_8c4fc031204843579efe0f9d9f243d24" concept="clcid-pte:HeYingQiYeJiTiJianZhiZhunBeiXiaoJi" label="合营企业-计提减值准备小计" mulRef="_GBC_d8af48cd34c54e749df777d4e6a5e2ed" unitRef="_GBC_5b4bb22c6cca42989bcd538938127ee2" addr="T0R5C8S1_1" formatStyle="Comma" appId="_GBC_0837f60a15fc4684b64085618adca8d2">
        <m:complexRule comparator="Eq" title="母公司合营企业-计提减值准备小计" test=" $_GBC_544598775af14b679c8adb4f51b82c38" id="C85051d22b0ad401db80e51be1027cf7f"/>
        <m:axisValue occRef="母公司"/>
      </m:item>
      <m:item xlName="_GBC_3cff28c355e84a2491ed9ea785e54526" concept="clcid-pte:HeYingQiYeQiTaZengJianBianDongXiaoJi" label="合营企业-其他增减变动小计" mulRef="_GBC_d8af48cd34c54e749df777d4e6a5e2ed" unitRef="_GBC_5b4bb22c6cca42989bcd538938127ee2" addr="T0R5C9S1_1" formatStyle="Comma" appId="_GBC_0837f60a15fc4684b64085618adca8d2">
        <m:complexRule comparator="Eq" title="母公司合营企业-其他增减变动小计" test=" $_GBC_54e49d9769d14f14a307ef6e14e81cac" id="Caf05b66f2c3147f9971481f0383aed62"/>
        <m:axisValue occRef="母公司"/>
      </m:item>
      <m:item xlName="_GBC_1c527107124243e68996a64549430d10" concept="clcid-pte:HeYingQiYeYuEXiaoJi" label="合营企业-余额小计" mulRef="_GBC_d8af48cd34c54e749df777d4e6a5e2ed" unitRef="_GBC_5b4bb22c6cca42989bcd538938127ee2" addr="T0R5C10S1_1" formatStyle="Comma" appId="_GBC_0837f60a15fc4684b64085618adca8d2">
        <m:complexRule comparator="Eq" title="母公司合营企业-余额小计" test=" $_GBC_ee49b79029ec402395b009f4f1d46e6e" id="C2a20cf949e89491c97cffe0378fab45c"/>
        <m:complexRule comparator="Eq" title="母公司合营企业-余额小计2" test=" $_GBC_f49714f87b9b4f6586a02192e0318b10 +  $_GBC_e689ad7bb01c41fbb444ba2b6a7c612c -  $_GBC_6b95d93dd63445ef9c8cb7a1a934a700 +  $_GBC_328cb9f31ce341948f097fe233244124 +  $_GBC_a9d6413715ba4034811c2e7b8bb28d8b +  $_GBC_de6d0a51963244ab9f323c37ce1e4bd6 -  $_GBC_dc90b3182d3a4be48a18e9d13e5d152c -  $_GBC_8c4fc031204843579efe0f9d9f243d24 +  $_GBC_3cff28c355e84a2491ed9ea785e54526" id="C62af67231122414eacc611782c765d0f"/>
        <m:axisValue occRef="母公司"/>
      </m:item>
      <m:item xlName="_GBC_aca4fbc1d5be4ab8adc1127f9fdedec5" concept="clcid-pte:HeYingQiYeJianZhiZhunBeiXiaoJi" label="合营企业-减值准备小计" mulRef="_GBC_d8af48cd34c54e749df777d4e6a5e2ed" unitRef="_GBC_5b4bb22c6cca42989bcd538938127ee2" addr="T0R5C11S1_1" formatStyle="Comma" appId="_GBC_0837f60a15fc4684b64085618adca8d2">
        <m:complexRule comparator="Eq" title="母公司合营企业-减值准备小计" test=" $_GBC_79150e976cab4a589704cafcdba03189" id="C824c5ffd72d640c9bff87393b2ec4142"/>
        <m:axisValue occRef="母公司"/>
      </m:item>
      <m:placeholder xlName="_PLD_8013411a41154576a259c00146d87236" addr="T0R6C0S1_1"/>
      <m:tuple xlName="_GBC_4b68840ef16441539a17ee71688111ed" concept="clcid-pte:LianYingQiYeTouZiXinXiMingXi" default_row="2" addr="T0R7C">
        <m:item xlName="_GBC_9def3bce201140c6b5591547a9b0748a" concept="clcid-pte:LianYingQiYeTouZiXinXiMingXiMingCheng" label="联营企业投资信息明细－名称" addr="T0R7C0S1_1" appId="_GBC_0837f60a15fc4684b64085618adca8d2">
          <m:axisValue occRef="母公司"/>
        </m:item>
        <m:item xlName="_GBC_2a4b687150024fd8b5058268a3033eec" concept="clcid-pte:LianYingQiYeTouZiMingXiYuE" label="联营企业投资明细-余额" periodRef="本期期初数" mulRef="_GBC_d8af48cd34c54e749df777d4e6a5e2ed" unitRef="_GBC_5b4bb22c6cca42989bcd538938127ee2" addr="T0R7C1S1_1" formatStyle="Comma" appId="_GBC_0837f60a15fc4684b64085618adca8d2">
          <m:axisValue occRef="母公司"/>
        </m:item>
        <m:item xlName="_GBC_9f8bd758d73648bfad32a95373392f1c" concept="clcid-pte:LianYingQiYeTouZiMingXiZhuiJiaTouZi" label="联营企业投资明细-追加投资" mulRef="_GBC_d8af48cd34c54e749df777d4e6a5e2ed" unitRef="_GBC_5b4bb22c6cca42989bcd538938127ee2" addr="T0R7C2S1_1" formatStyle="Comma" appId="_GBC_0837f60a15fc4684b64085618adca8d2">
          <m:axisValue occRef="母公司"/>
        </m:item>
        <m:item xlName="_GBC_cf36bb2f8859450f8ef983ba3e47b624" concept="clcid-pte:LianYingQiYeTouZiMingXiJianShaoTouZi" label="联营企业投资明细-减少投资" mulRef="_GBC_d8af48cd34c54e749df777d4e6a5e2ed" unitRef="_GBC_5b4bb22c6cca42989bcd538938127ee2" addr="T0R7C3S1_1" formatStyle="Comma" appId="_GBC_0837f60a15fc4684b64085618adca8d2">
          <m:axisValue occRef="母公司"/>
        </m:item>
        <m:item xlName="_GBC_5f9b07c086884b25bd44d7740a9c2e8e" concept="clcid-pte:LianYingQiYeTouZiMingXiQuanYiFaXiaQueRenDeTouZiSunYi" label="联营企业投资明细-权益法下确认的投资损益" mulRef="_GBC_d8af48cd34c54e749df777d4e6a5e2ed" unitRef="_GBC_5b4bb22c6cca42989bcd538938127ee2" addr="T0R7C4S1_1" formatStyle="Comma" appId="_GBC_0837f60a15fc4684b64085618adca8d2">
          <m:axisValue occRef="母公司"/>
        </m:item>
        <m:item xlName="_GBC_c2106e32aab64c439a074b257642e344" concept="clcid-pte:LianYingQiYeTouZiMingXiQiTaZongHeShouYiDiaoZheng" label="联营企业投资明细-其他综合收益调整" mulRef="_GBC_d8af48cd34c54e749df777d4e6a5e2ed" unitRef="_GBC_5b4bb22c6cca42989bcd538938127ee2" addr="T0R7C5S1_1" formatStyle="Comma" appId="_GBC_0837f60a15fc4684b64085618adca8d2">
          <m:axisValue occRef="母公司"/>
        </m:item>
        <m:item xlName="_GBC_10279813047f4812975536c44cda59de" concept="clcid-pte:LianYingQiYeTouZiMingXiQiTaQuanYiBianDong" label="联营企业投资明细-其他权益变动" mulRef="_GBC_d8af48cd34c54e749df777d4e6a5e2ed" unitRef="_GBC_5b4bb22c6cca42989bcd538938127ee2" addr="T0R7C6S1_1" formatStyle="Comma" appId="_GBC_0837f60a15fc4684b64085618adca8d2">
          <m:axisValue occRef="母公司"/>
        </m:item>
        <m:item xlName="_GBC_80a12b09ff8249ac86644b831fde213f" concept="clcid-pte:LianYingQiYeTouZiMingXiXuanGaoFaFangXianJinGuLiHuoLiRun" label="联营企业投资明细-宣告发放现金股利或利润" mulRef="_GBC_d8af48cd34c54e749df777d4e6a5e2ed" unitRef="_GBC_5b4bb22c6cca42989bcd538938127ee2" addr="T0R7C7S1_1" formatStyle="Comma" appId="_GBC_0837f60a15fc4684b64085618adca8d2">
          <m:axisValue occRef="母公司"/>
        </m:item>
        <m:item xlName="_GBC_c32b64fe2f0840078239d5344509ecbe" concept="clcid-pte:LianYingQiYeTouZiMingXiJiTiJianZhiZhunBei" label="联营企业投资明细-计提减值准备" mulRef="_GBC_d8af48cd34c54e749df777d4e6a5e2ed" unitRef="_GBC_5b4bb22c6cca42989bcd538938127ee2" addr="T0R7C8S1_1" formatStyle="Comma" appId="_GBC_0837f60a15fc4684b64085618adca8d2">
          <m:axisValue occRef="母公司"/>
        </m:item>
        <m:item xlName="_GBC_d8b7b875d94b4cdca789f5ca38111ed6" concept="clcid-pte:LianYingQiYeTouZiMingXiQiTaZengJianBianDong" label="联营企业投资明细-其他增减变动" mulRef="_GBC_d8af48cd34c54e749df777d4e6a5e2ed" unitRef="_GBC_5b4bb22c6cca42989bcd538938127ee2" addr="T0R7C9S1_1" formatStyle="Comma" appId="_GBC_0837f60a15fc4684b64085618adca8d2">
          <m:axisValue occRef="母公司"/>
        </m:item>
        <m:item xlName="_GBC_40662f32ef744d2ca5e56532c63fcd49" concept="clcid-pte:LianYingQiYeTouZiMingXiYuE" label="联营企业投资明细-余额" mulRef="_GBC_d8af48cd34c54e749df777d4e6a5e2ed" unitRef="_GBC_5b4bb22c6cca42989bcd538938127ee2" addr="T0R7C10S1_1" formatStyle="Comma" appId="_GBC_0837f60a15fc4684b64085618adca8d2">
          <m:complexRule comparator="Eq" title="母公司联营企业投资明细-余额" test=" $_GBC_2a4b687150024fd8b5058268a3033eec +  $_GBC_9f8bd758d73648bfad32a95373392f1c -  $_GBC_cf36bb2f8859450f8ef983ba3e47b624 +  $_GBC_5f9b07c086884b25bd44d7740a9c2e8e +  $_GBC_c2106e32aab64c439a074b257642e344 +  $_GBC_10279813047f4812975536c44cda59de -  $_GBC_80a12b09ff8249ac86644b831fde213f -  $_GBC_c32b64fe2f0840078239d5344509ecbe +  $_GBC_d8b7b875d94b4cdca789f5ca38111ed6" id="Cfe4258255e9f4bc09f1e4102da5b2336"/>
          <m:axisValue occRef="母公司"/>
        </m:item>
        <m:item xlName="_GBC_cb0018df5881484b924e2c7e4549ceda" concept="clcid-pte:LianYingQiYeTouZiMingXiJianZhiZhunBeiYuE" label="联营企业投资明细-减值准备余额" mulRef="_GBC_d8af48cd34c54e749df777d4e6a5e2ed" unitRef="_GBC_5b4bb22c6cca42989bcd538938127ee2" addr="T0R7C11S1_1" formatStyle="Comma" appId="_GBC_0837f60a15fc4684b64085618adca8d2">
          <m:axisValue occRef="母公司"/>
        </m:item>
      </m:tuple>
      <m:placeholder xlName="_PLD_f36fba62bb9a4b2687619bd8e6a90779" addr="T0R9C0S1_1"/>
      <m:item xlName="_GBC_735cb25b37584647897fff47883f401d" concept="clcid-pte:LianYingQiYeYuEXiaoJi" label="联营企业-余额小计" periodRef="本期期初数" mulRef="_GBC_d8af48cd34c54e749df777d4e6a5e2ed" unitRef="_GBC_5b4bb22c6cca42989bcd538938127ee2" addr="T0R9C1S1_1" formatStyle="Comma" appId="_GBC_0837f60a15fc4684b64085618adca8d2">
        <m:complexRule comparator="Eq" title="母公司联营企业-余额小计@本期期初数" test=" $_GBC_2a4b687150024fd8b5058268a3033eec" id="Cce54f1bd2449472697eed01968539826"/>
        <m:axisValue occRef="母公司"/>
      </m:item>
      <m:item xlName="_GBC_8fc25172d5594d64af88defb1271b416" concept="clcid-pte:LianYingQiYeZhuiJiaTouZiXiaoJi" label="联营企业-追加投资小计" mulRef="_GBC_d8af48cd34c54e749df777d4e6a5e2ed" unitRef="_GBC_5b4bb22c6cca42989bcd538938127ee2" addr="T0R9C2S1_1" formatStyle="Comma" appId="_GBC_0837f60a15fc4684b64085618adca8d2">
        <m:complexRule comparator="Eq" title="母公司联营企业-追加投资小计" test=" $_GBC_9f8bd758d73648bfad32a95373392f1c" id="C7e3d97549b5343f18068324a9e840456"/>
        <m:axisValue occRef="母公司"/>
      </m:item>
      <m:item xlName="_GBC_32e7bc0c6b4540d4adddb2b1229bcf0e" concept="clcid-pte:LianYingQiYeJianShaoTouZiXiaoJi" label="联营企业-减少投资小计" mulRef="_GBC_d8af48cd34c54e749df777d4e6a5e2ed" unitRef="_GBC_5b4bb22c6cca42989bcd538938127ee2" addr="T0R9C3S1_1" formatStyle="Comma" appId="_GBC_0837f60a15fc4684b64085618adca8d2">
        <m:complexRule comparator="Eq" title="母公司联营企业-减少投资小计" test=" $_GBC_cf36bb2f8859450f8ef983ba3e47b624" id="C80976326a51644499eb898b20118252b"/>
        <m:axisValue occRef="母公司"/>
      </m:item>
      <m:item xlName="_GBC_487cbf57f8524271a1b863650f9a1b19" concept="clcid-pte:LianYingQiYeQuanYiFaXiaQueRenDeTouZiSunYiXiaoJi" label="联营企业-权益法下确认的投资损益小计" mulRef="_GBC_d8af48cd34c54e749df777d4e6a5e2ed" unitRef="_GBC_5b4bb22c6cca42989bcd538938127ee2" addr="T0R9C4S1_1" formatStyle="Comma" appId="_GBC_0837f60a15fc4684b64085618adca8d2">
        <m:complexRule comparator="Eq" title="母公司联营企业-权益法下确认的投资损益小计" test=" $_GBC_5f9b07c086884b25bd44d7740a9c2e8e" id="C6b2fdc3a36204365bb372a694156eb9e"/>
        <m:axisValue occRef="母公司"/>
      </m:item>
      <m:item xlName="_GBC_f7ee620d85af477cb428438e2d392430" concept="clcid-pte:LianYingQiYeQiTaZongHeShouYiDiaoZhengXiaoJi" label="联营企业-其他综合收益调整小计" mulRef="_GBC_d8af48cd34c54e749df777d4e6a5e2ed" unitRef="_GBC_5b4bb22c6cca42989bcd538938127ee2" addr="T0R9C5S1_1" formatStyle="Comma" appId="_GBC_0837f60a15fc4684b64085618adca8d2">
        <m:complexRule comparator="Eq" title="母公司联营企业-其他综合收益调整小计" test=" $_GBC_c2106e32aab64c439a074b257642e344" id="C5cd9305a5a1c435fa09f9a4702a3ce89"/>
        <m:axisValue occRef="母公司"/>
      </m:item>
      <m:item xlName="_GBC_7244431c57714a59beead222169ac8f0" concept="clcid-pte:LianYingQiYeQiTaQuanYiBianDongXiaoJi" label="联营企业-其他权益变动小计" mulRef="_GBC_d8af48cd34c54e749df777d4e6a5e2ed" unitRef="_GBC_5b4bb22c6cca42989bcd538938127ee2" addr="T0R9C6S1_1" formatStyle="Comma" appId="_GBC_0837f60a15fc4684b64085618adca8d2">
        <m:complexRule comparator="Eq" title="母公司联营企业-其他权益变动小计" test=" $_GBC_10279813047f4812975536c44cda59de" id="C1a67504b4e3446558c56f1253c6df924"/>
        <m:axisValue occRef="母公司"/>
      </m:item>
      <m:item xlName="_GBC_73bee21777d447b1bc7c4d357f0ec8a4" concept="clcid-pte:LianYingQiYeXuanGaoFaFangXianJinGuLiHuoLiRunXiaoJi" label="联营企业-宣告发放现金股利或利润小计" mulRef="_GBC_d8af48cd34c54e749df777d4e6a5e2ed" unitRef="_GBC_5b4bb22c6cca42989bcd538938127ee2" addr="T0R9C7S1_1" formatStyle="Comma" appId="_GBC_0837f60a15fc4684b64085618adca8d2">
        <m:complexRule comparator="Eq" title="母公司联营企业-宣告发放现金股利或利润小计" test=" $_GBC_80a12b09ff8249ac86644b831fde213f" id="Cae18538574ac4d90873bff940da5e854"/>
        <m:axisValue occRef="母公司"/>
      </m:item>
      <m:item xlName="_GBC_26eb2d7480f44228a249ed435d117b75" concept="clcid-pte:LianYingQiYeJiTiJianZhiZhunBeiXiaoJi" label="联营企业-计提减值准备小计" mulRef="_GBC_d8af48cd34c54e749df777d4e6a5e2ed" unitRef="_GBC_5b4bb22c6cca42989bcd538938127ee2" addr="T0R9C8S1_1" formatStyle="Comma" appId="_GBC_0837f60a15fc4684b64085618adca8d2">
        <m:complexRule comparator="Eq" title="母公司联营企业-计提减值准备小计" test=" $_GBC_c32b64fe2f0840078239d5344509ecbe" id="Cf99e7160611a4f6293a4cda6277dea1a"/>
        <m:axisValue occRef="母公司"/>
      </m:item>
      <m:item xlName="_GBC_ad9ad8a9d7224698a7649df33088607e" concept="clcid-pte:LianYingQiYeQiTaZengJianBianDongXiaoJi" label="联营企业-其他增减变动小计" mulRef="_GBC_d8af48cd34c54e749df777d4e6a5e2ed" unitRef="_GBC_5b4bb22c6cca42989bcd538938127ee2" addr="T0R9C9S1_1" formatStyle="Comma" appId="_GBC_0837f60a15fc4684b64085618adca8d2">
        <m:complexRule comparator="Eq" title="母公司联营企业-其他增减变动小计" test=" $_GBC_d8b7b875d94b4cdca789f5ca38111ed6" id="C2b44d17442bc45f385b6710219a60b94"/>
        <m:axisValue occRef="母公司"/>
      </m:item>
      <m:item xlName="_GBC_fdcc905f926240529c1e95b8f1904ac5" concept="clcid-pte:LianYingQiYeYuEXiaoJi" label="联营企业-余额小计" mulRef="_GBC_d8af48cd34c54e749df777d4e6a5e2ed" unitRef="_GBC_5b4bb22c6cca42989bcd538938127ee2" addr="T0R9C10S1_1" formatStyle="Comma" appId="_GBC_0837f60a15fc4684b64085618adca8d2">
        <m:complexRule comparator="Eq" title="母公司联营企业-余额小计" test=" $_GBC_40662f32ef744d2ca5e56532c63fcd49" id="Cb89e8e287e9c4e3f8483a4ea9e9ed19c"/>
        <m:complexRule comparator="Eq" title="母公司联营企业-余额小计2" test=" $_GBC_735cb25b37584647897fff47883f401d +  $_GBC_8fc25172d5594d64af88defb1271b416 -  $_GBC_32e7bc0c6b4540d4adddb2b1229bcf0e +  $_GBC_487cbf57f8524271a1b863650f9a1b19 +  $_GBC_f7ee620d85af477cb428438e2d392430 +  $_GBC_7244431c57714a59beead222169ac8f0 -  $_GBC_73bee21777d447b1bc7c4d357f0ec8a4 -  $_GBC_26eb2d7480f44228a249ed435d117b75 +  $_GBC_ad9ad8a9d7224698a7649df33088607e" id="C364f6784eeec4e75a781a08087fbd3cf"/>
        <m:axisValue occRef="母公司"/>
      </m:item>
      <m:item xlName="_GBC_ae648a5f63a44b8bab0f3093f0dc68ac" concept="clcid-pte:LianYingQiYeJianZhiZhunBeiXiaoJi" label="联营企业-减值准备小计" mulRef="_GBC_d8af48cd34c54e749df777d4e6a5e2ed" unitRef="_GBC_5b4bb22c6cca42989bcd538938127ee2" addr="T0R9C11S1_1" formatStyle="Comma" appId="_GBC_0837f60a15fc4684b64085618adca8d2">
        <m:complexRule comparator="Eq" title="母公司联营企业-减值准备小计" test=" $_GBC_cb0018df5881484b924e2c7e4549ceda" id="Ca7698a20c7bc4640840ea910972378c2"/>
        <m:axisValue occRef="母公司"/>
      </m:item>
      <m:placeholder xlName="_PLD_928d9068468e4b46a39499f6e5372e2a" addr="T0R10C0S1_1"/>
      <m:item xlName="_GBC_21af77dd601f4350a78ac99dcf8fed6d" concept="clcid-pte:DuiLianYingHeYingQiYeTouZiZhangMianYuEDeHeJi" label="对联营、合营企业投资账面余额的合计" periodRef="本期期初数" mulRef="_GBC_d8af48cd34c54e749df777d4e6a5e2ed" unitRef="_GBC_5b4bb22c6cca42989bcd538938127ee2" addr="T0R10C1S1_1" formatStyle="Comma" appId="_GBC_0837f60a15fc4684b64085618adca8d2">
        <m:complexRule comparator="Eq" title="母公司对联营、合营企业投资账面余额的合计@本期期初数" test=" $_GBC_f49714f87b9b4f6586a02192e0318b10 +  $_GBC_735cb25b37584647897fff47883f401d" id="Cf8128be2643d4a669cd8e6a5a77cfd19"/>
        <m:axisValue occRef="母公司"/>
      </m:item>
      <m:item xlName="_GBC_f95f08785a164065b51b3da334aa398b" concept="clcid-pte:DuiLianYingQiYeHeYingQiYeTouZiZhuiJiaTouZiHeJi" label="对联营企业、合营企业投资_追加投资合计" mulRef="_GBC_d8af48cd34c54e749df777d4e6a5e2ed" unitRef="_GBC_5b4bb22c6cca42989bcd538938127ee2" addr="T0R10C2S1_1" formatStyle="Comma" appId="_GBC_0837f60a15fc4684b64085618adca8d2">
        <m:complexRule comparator="Eq" title="母公司长期股权投资本期增加-追加投资合计" test=" $_GBC_e689ad7bb01c41fbb444ba2b6a7c612c +  $_GBC_8fc25172d5594d64af88defb1271b416" id="C735bfbe0b8ea4998b6891cfec35d3dd4"/>
        <m:axisValue occRef="母公司"/>
      </m:item>
      <m:item xlName="_GBC_4a45b01a8c2947b6a8dc7b1d31b0b459" concept="clcid-pte:DuiLianYingQiYeHeYingQiYeTouZiJianShaoTouZiHeJi" label="对联营企业、合营企业投资_减少投资合计" mulRef="_GBC_d8af48cd34c54e749df777d4e6a5e2ed" unitRef="_GBC_5b4bb22c6cca42989bcd538938127ee2" addr="T0R10C3S1_1" formatStyle="Comma" appId="_GBC_0837f60a15fc4684b64085618adca8d2">
        <m:complexRule comparator="Eq" title="母公司长期股权投资本期减少-减少投资合计" test=" $_GBC_6b95d93dd63445ef9c8cb7a1a934a700 +  $_GBC_32e7bc0c6b4540d4adddb2b1229bcf0e" id="Cc5486057b929440198ace417c7060666"/>
        <m:axisValue occRef="母公司"/>
      </m:item>
      <m:item xlName="_GBC_c4c31b236d6e4010910884790310b2c2" concept="clcid-pte:DuiLianYingQiYeHeYingQiYeTouZiQuanYiFaXiaQueRenDeTouZiSunYiHeJi" label="对联营企业、合营企业投资_权益法下确认的投资损益合计" mulRef="_GBC_d8af48cd34c54e749df777d4e6a5e2ed" unitRef="_GBC_5b4bb22c6cca42989bcd538938127ee2" addr="T0R10C4S1_1" formatStyle="Comma" appId="_GBC_0837f60a15fc4684b64085618adca8d2">
        <m:complexRule comparator="Eq" title="母公司长期股权投资本期增加-权益法下确认的投资收益合计" test=" $_GBC_328cb9f31ce341948f097fe233244124 +  $_GBC_487cbf57f8524271a1b863650f9a1b19" id="Cc7edac0448f2464cab9533bf43ee80e9"/>
        <m:axisValue occRef="母公司"/>
      </m:item>
      <m:item xlName="_GBC_8b97dbafbaed4134a7fc3cbb236d3a11" concept="clcid-pte:DuiLianYingQiYeHeYingQiYeQiTouZiTaZongHeShouYiTiaoZhengHeJi" label="对联营企业、合营企业投资_其他综合收益调整合计" mulRef="_GBC_d8af48cd34c54e749df777d4e6a5e2ed" unitRef="_GBC_5b4bb22c6cca42989bcd538938127ee2" addr="T0R10C5S1_1" formatStyle="Comma" appId="_GBC_0837f60a15fc4684b64085618adca8d2">
        <m:complexRule comparator="Eq" title="母公司长期股权投资本期增加-其他综合收益调整合计" test=" $_GBC_a9d6413715ba4034811c2e7b8bb28d8b +  $_GBC_f7ee620d85af477cb428438e2d392430" id="Cec6f8dd29e014126bbe6e50d773750b8"/>
        <m:axisValue occRef="母公司"/>
      </m:item>
      <m:item xlName="_GBC_928ddf6612c24816b0dea19771cbf11b" concept="clcid-pte:DuiLianYingQiYeHeYingQiYeTouZiQiTaQuanYiBianDongHeJi" label="对联营企业、合营企业投资_其他权益变动合计" mulRef="_GBC_d8af48cd34c54e749df777d4e6a5e2ed" unitRef="_GBC_5b4bb22c6cca42989bcd538938127ee2" addr="T0R10C6S1_1" formatStyle="Comma" appId="_GBC_0837f60a15fc4684b64085618adca8d2">
        <m:complexRule comparator="Eq" title="母公司长期股权投资本期增加-其他权益变动合计" test=" $_GBC_de6d0a51963244ab9f323c37ce1e4bd6 +  $_GBC_7244431c57714a59beead222169ac8f0" id="C84c3efacca254a368bb511f618cf468b"/>
        <m:axisValue occRef="母公司"/>
      </m:item>
      <m:item xlName="_GBC_cfc6b5ee752c4cb596c6bcc2063e534e" concept="clcid-pte:DuiLianYingQiYeHeYingQiYeTouZiXuanGaoFaFangXianJinGuLiHuoLiRunHeJi" label="对联营企业、合营企业投资_宣告发放现金股利或利润合计" mulRef="_GBC_d8af48cd34c54e749df777d4e6a5e2ed" unitRef="_GBC_5b4bb22c6cca42989bcd538938127ee2" addr="T0R10C7S1_1" formatStyle="Comma" appId="_GBC_0837f60a15fc4684b64085618adca8d2">
        <m:complexRule comparator="Eq" title="母公司长期股权投资宣告发放现金股利或利润合计" test=" $_GBC_dc90b3182d3a4be48a18e9d13e5d152c +  $_GBC_73bee21777d447b1bc7c4d357f0ec8a4" id="Cd54212057ba34cbe820fb265444d4a34"/>
        <m:axisValue occRef="母公司"/>
      </m:item>
      <m:item xlName="_GBC_41b7dfdfacbd468bbbe4c4582689d464" concept="clcid-pte:DuiLianYingQiYeHeYingQiYeTouZiJiTiJianZhiZhunBeiHeJi" label="对联营企业、合营企业投资_计提减值准备合计" mulRef="_GBC_d8af48cd34c54e749df777d4e6a5e2ed" unitRef="_GBC_5b4bb22c6cca42989bcd538938127ee2" addr="T0R10C8S1_1" formatStyle="Comma" appId="_GBC_0837f60a15fc4684b64085618adca8d2">
        <m:complexRule comparator="Eq" title="母公司长期股权投资减值准备_本期增加数" test=" $_GBC_8c4fc031204843579efe0f9d9f243d24 +  $_GBC_26eb2d7480f44228a249ed435d117b75" id="Caf93815c7aa5485a91ac368dc9638cc6"/>
        <m:axisValue occRef="母公司"/>
      </m:item>
      <m:item xlName="_GBC_6758fc0a248643cca047b560324fb421" concept="clcid-pte:DuiLianYingQiYeHeYingQiYeTouZiQiTa" label="对联营企业、合营企业投资_其他合计" mulRef="_GBC_d8af48cd34c54e749df777d4e6a5e2ed" unitRef="_GBC_5b4bb22c6cca42989bcd538938127ee2" addr="T0R10C9S1_1" formatStyle="Comma" appId="_GBC_0837f60a15fc4684b64085618adca8d2">
        <m:complexRule comparator="Eq" title="母公司长期股权投资本期其他增减变动合计" test=" $_GBC_3cff28c355e84a2491ed9ea785e54526 +  $_GBC_ad9ad8a9d7224698a7649df33088607e" id="C8e6e28bada2e487f9ee53b55a841452b"/>
        <m:axisValue occRef="母公司"/>
      </m:item>
      <m:item xlName="_GBC_c2e69364237f4fd8b69a40bd54367e49" concept="clcid-pte:DuiLianYingHeYingQiYeTouZiZhangMianYuEDeHeJi" label="对联营、合营企业投资账面余额的合计" mulRef="_GBC_d8af48cd34c54e749df777d4e6a5e2ed" unitRef="_GBC_5b4bb22c6cca42989bcd538938127ee2" addr="T0R10C10S1_1" formatStyle="Comma" appId="_GBC_0837f60a15fc4684b64085618adca8d2">
        <m:complexRule comparator="Eq" title="母公司对联营、合营企业投资账面余额的合计" test=" $_GBC_1c527107124243e68996a64549430d10 +  $_GBC_fdcc905f926240529c1e95b8f1904ac5" id="C7e8f9736157f4cd39319624618e35658"/>
        <m:complexRule comparator="Eq" title="母公司对联营、合营企业投资账面余额的合计2" test=" $_GBC_21af77dd601f4350a78ac99dcf8fed6d +  $_GBC_f95f08785a164065b51b3da334aa398b -  $_GBC_4a45b01a8c2947b6a8dc7b1d31b0b459 +  $_GBC_c4c31b236d6e4010910884790310b2c2 +  $_GBC_8b97dbafbaed4134a7fc3cbb236d3a11 +  $_GBC_928ddf6612c24816b0dea19771cbf11b -  $_GBC_cfc6b5ee752c4cb596c6bcc2063e534e -  $_GBC_41b7dfdfacbd468bbbe4c4582689d464 +  $_GBC_6758fc0a248643cca047b560324fb421" id="C9e72f08071974643a3bcd9d0663f8f92"/>
        <m:axisValue occRef="母公司"/>
      </m:item>
      <m:item xlName="_GBC_e582fa421f3e4fc186bc7cd638f7c914" concept="clcid-pte:DuiLianYingHeYingQiYeTouZiJianZhiZhunBeiYuEHeJi" label="对联营、合营企业投资减值准备的合计" mulRef="_GBC_d8af48cd34c54e749df777d4e6a5e2ed" unitRef="_GBC_5b4bb22c6cca42989bcd538938127ee2" addr="T0R10C11S1_1" formatStyle="Comma" appId="_GBC_0837f60a15fc4684b64085618adca8d2">
        <m:complexRule comparator="Eq" title="母公司对联营、合营企业投资减值准备的合计" test=" $_GBC_aca4fbc1d5be4ab8adc1127f9fdedec5 +  $_GBC_ae648a5f63a44b8bab0f3093f0dc68ac" id="C17ec2465b6d749568134e611467d4964"/>
        <m:axisValue occRef="母公司"/>
      </m:item>
    </m:section>
    <m:section xlName="_GBC_1577b793bbce4a50b07decde0e07491e" title="长期股权投资的说明" helpId="112002211">
      <m:item xlName="_GBC_8b70582854684459adc77f46cbf4aac7" concept="clcid-ci-ar:ShiFouShiYongMuGongSiChangQiGuQuanTouZiQiTaShuoMing" label="是否适用：母公司长期股权投资其他说明" selectOptions="_buildInAppliance" controlType="CustomCheckbox" cRanges="{&quot;StartName&quot;:&quot;_GBC_8b70582854684459adc77f46cbf4aac7&quot;,&quot;EndName&quot;:&quot;_GBC_7d6b12a95420485fa78b9e4ed1488020&quot;,&quot;CType&quot;:1,&quot;DisplayText&quot;:null}"/>
      <m:item xlName="_GBC_7d6b12a95420485fa78b9e4ed1488020" concept="clcid-pte:ChangQiGuQuanTouZiDeShuoMing" label="长期股权投资的说明" appId="_GBC_8b70582854684459adc77f46cbf4aac7">
        <m:axisValue occRef="母公司"/>
      </m:item>
    </m:section>
    <m:section xlName="_SEC_c20353238d924d35bff1a3e0cee4af4b" title="营业收入和营业成本情况">
      <m:item xlName="_GBC_f62d83b1068f4bfaae3a590b0ac9f4d7" concept="clcid-ci-ar:ShiFouShiYongMuGongSiYingYeShouRuHeYingYeChengBen" label="是否适用：母公司营业收入和营业成本" selectOptions="_buildInAppliance" controlType="CustomCheckbox" cRanges="[{&quot;StartName&quot;:&quot;_GBC_f62d83b1068f4bfaae3a590b0ac9f4d7&quot;,&quot;EndName&quot;:&quot;_GBC_18ebc2af1c8b4412b6ce51d3beb0e196&quot;,&quot;CType&quot;:1}]"/>
      <m:item xlName="_GBC_40a730bb869a41578a25e9cb66f4e28e" concept="clcid-ci-ar:DanWeiMuGongSiCaiWuFuZhuYingYeShouRu" label="单位：母公司财务附注：营业收入" selectOptions="_buildInScales" controlType="Combobox" cellType="Scale" appId="_GBC_f62d83b1068f4bfaae3a590b0ac9f4d7"/>
      <m:item xlName="_GBC_1b6056b90b2c445a9b1bcdc97aa104ec" concept="clcid-ci-ar:BiZhongMuGongSiCaiWuFuZhuYingYeShouRu" label="币种：母公司财务附注：营业收入" selectOptions="_buildInISO4217" controlType="Combobox" cellType="Measure" appId="_GBC_f62d83b1068f4bfaae3a590b0ac9f4d7"/>
      <m:placeholder xlName="_PLD_3dc9ae0da47e49d097992a176784945a" addr="T0R0C0S2_1"/>
      <m:placeholder xlName="_PLD_b47efcaea8ca428781485b2625b4c252" addr="T0R0C1S1_2"/>
      <m:placeholder xlName="_PLD_44320683f4394adcaf1711775bb320ef" addr="T0R0C3S1_2"/>
      <m:placeholder xlName="_PLD_efb75dfbe3924c3a9f286eefd26b357f" addr="T0R1C1S1_1"/>
      <m:placeholder xlName="_PLD_9ecc7b9050c24dcebd801ee01e950a91" addr="T0R1C2S1_1"/>
      <m:placeholder xlName="_PLD_b2940b2f59f24f969eea718c85f99dda" addr="T0R1C3S1_1"/>
      <m:placeholder xlName="_PLD_971c170c70c24975ba7524e53623bf00" addr="T0R1C4S1_1"/>
      <m:placeholder xlName="_PLD_f2b4fe0479f44a60a5badd071c9f1f86" addr="T0R2C0S1_1"/>
      <m:item xlName="_GBC_f048af69ebec4513a0be379b3b240780" concept="clcid-pte:ZhuYingYeWuShouRu" label="主营业务收入" mulRef="_GBC_40a730bb869a41578a25e9cb66f4e28e" unitRef="_GBC_1b6056b90b2c445a9b1bcdc97aa104ec" addr="T0R2C1S1_1" formatStyle="Comma" appId="_GBC_f62d83b1068f4bfaae3a590b0ac9f4d7">
        <m:axisValue occRef="母公司"/>
      </m:item>
      <m:item xlName="_GBC_a3d083c6330647efaf8e25a96cf46e49" concept="clcid-pte:ZhuYingYeWuChengBen" label="主营业务成本" mulRef="_GBC_40a730bb869a41578a25e9cb66f4e28e" unitRef="_GBC_1b6056b90b2c445a9b1bcdc97aa104ec" addr="T0R2C2S1_1" formatStyle="Comma" appId="_GBC_f62d83b1068f4bfaae3a590b0ac9f4d7">
        <m:axisValue occRef="母公司"/>
      </m:item>
      <m:item xlName="_GBC_bfa7e8cad5a2405cb71b2af5ce002eef" concept="clcid-pte:ZhuYingYeWuShouRu" label="主营业务收入" periodRef="上年同期数" mulRef="_GBC_40a730bb869a41578a25e9cb66f4e28e" unitRef="_GBC_1b6056b90b2c445a9b1bcdc97aa104ec" addr="T0R2C3S1_1" formatStyle="Comma" appId="_GBC_f62d83b1068f4bfaae3a590b0ac9f4d7">
        <m:axisValue occRef="母公司"/>
      </m:item>
      <m:item xlName="_GBC_c609478af4ee4fe883f941c6880a3b71" concept="clcid-pte:ZhuYingYeWuChengBen" label="主营业务成本" periodRef="上年同期数" mulRef="_GBC_40a730bb869a41578a25e9cb66f4e28e" unitRef="_GBC_1b6056b90b2c445a9b1bcdc97aa104ec" addr="T0R2C4S1_1" formatStyle="Comma" appId="_GBC_f62d83b1068f4bfaae3a590b0ac9f4d7">
        <m:axisValue occRef="母公司"/>
      </m:item>
      <m:placeholder xlName="_PLD_afc897eb0cea4fd1aa59bd1823fab728" addr="T0R3C0S1_1"/>
      <m:item xlName="_GBC_4d2c15e1923448c19576493fcb17d95f" concept="clcid-pte:QiTaYeWuShouRuHeJi" label="其他业务收入" mulRef="_GBC_40a730bb869a41578a25e9cb66f4e28e" unitRef="_GBC_1b6056b90b2c445a9b1bcdc97aa104ec" addr="T0R3C1S1_1" formatStyle="Comma" appId="_GBC_f62d83b1068f4bfaae3a590b0ac9f4d7">
        <m:axisValue occRef="母公司"/>
      </m:item>
      <m:item xlName="_GBC_62a0f7bc33ee487f8886f608fe79d175" concept="clcid-pte:QiTaYeWuChengBenHeJi" label="其他业务成本" mulRef="_GBC_40a730bb869a41578a25e9cb66f4e28e" unitRef="_GBC_1b6056b90b2c445a9b1bcdc97aa104ec" addr="T0R3C2S1_1" formatStyle="Comma" appId="_GBC_f62d83b1068f4bfaae3a590b0ac9f4d7">
        <m:axisValue occRef="母公司"/>
      </m:item>
      <m:item xlName="_GBC_314f630e111d4be29d772376e59dad56" concept="clcid-pte:QiTaYeWuShouRuHeJi" label="其他业务收入" periodRef="上年同期数" mulRef="_GBC_40a730bb869a41578a25e9cb66f4e28e" unitRef="_GBC_1b6056b90b2c445a9b1bcdc97aa104ec" addr="T0R3C3S1_1" formatStyle="Comma" appId="_GBC_f62d83b1068f4bfaae3a590b0ac9f4d7">
        <m:axisValue occRef="母公司"/>
      </m:item>
      <m:item xlName="_GBC_84c453d8e2ba412db8fe6efbb667ab12" concept="clcid-pte:QiTaYeWuChengBenHeJi" label="其他业务成本" periodRef="上年同期数" mulRef="_GBC_40a730bb869a41578a25e9cb66f4e28e" unitRef="_GBC_1b6056b90b2c445a9b1bcdc97aa104ec" addr="T0R3C4S1_1" formatStyle="Comma" appId="_GBC_f62d83b1068f4bfaae3a590b0ac9f4d7">
        <m:axisValue occRef="母公司"/>
      </m:item>
      <m:placeholder xlName="_PLD_209c319d43f848d2a0456ecaa5150b62" addr="T0R4C0S1_1"/>
      <m:item xlName="_GBC_d7644884014b46588f12c846a5b08ba5" concept="clcid-pte:YingYeShouRu" label="营业收入" mulRef="_GBC_40a730bb869a41578a25e9cb66f4e28e" unitRef="_GBC_1b6056b90b2c445a9b1bcdc97aa104ec" addr="T0R4C1S1_1" formatStyle="Comma" appId="_GBC_f62d83b1068f4bfaae3a590b0ac9f4d7">
        <m:complexRule comparator="Eq" title="母公司营业收入" test=" $_GBC_f048af69ebec4513a0be379b3b240780 +  $_GBC_4d2c15e1923448c19576493fcb17d95f" id="C0a867d1b7cad4b9cb1a65bdc86d07605"/>
        <m:axisValue occRef="母公司"/>
      </m:item>
      <m:item xlName="_GBC_021c440ec6914757a06bb5812a00ea43" concept="clcid-pte:YingYeChengBen" label="营业成本" mulRef="_GBC_40a730bb869a41578a25e9cb66f4e28e" unitRef="_GBC_1b6056b90b2c445a9b1bcdc97aa104ec" addr="T0R4C2S1_1" formatStyle="Comma" appId="_GBC_f62d83b1068f4bfaae3a590b0ac9f4d7">
        <m:complexRule comparator="Eq" title="母公司营业成本" test=" $_GBC_a3d083c6330647efaf8e25a96cf46e49 +  $_GBC_62a0f7bc33ee487f8886f608fe79d175" id="Cd3dc0bf5359644dd9d76e6a78d819638"/>
        <m:axisValue occRef="母公司"/>
      </m:item>
      <m:item xlName="_GBC_306d9c37818c4777a4e4100dc84e5d06" concept="clcid-pte:YingYeShouRu" label="营业收入" periodRef="上年同期数" mulRef="_GBC_40a730bb869a41578a25e9cb66f4e28e" unitRef="_GBC_1b6056b90b2c445a9b1bcdc97aa104ec" addr="T0R4C3S1_1" formatStyle="Comma" appId="_GBC_f62d83b1068f4bfaae3a590b0ac9f4d7">
        <m:complexRule comparator="Eq" title="母公司营业收入@上年同期数" test=" $_GBC_bfa7e8cad5a2405cb71b2af5ce002eef +  $_GBC_314f630e111d4be29d772376e59dad56" id="C56343c72aa524f63bccc8817b4a24a95"/>
        <m:axisValue occRef="母公司"/>
      </m:item>
      <m:item xlName="_GBC_18ebc2af1c8b4412b6ce51d3beb0e196" concept="clcid-pte:YingYeChengBen" label="营业成本" periodRef="上年同期数" mulRef="_GBC_40a730bb869a41578a25e9cb66f4e28e" unitRef="_GBC_1b6056b90b2c445a9b1bcdc97aa104ec" addr="T0R4C4S1_1" formatStyle="Comma" appId="_GBC_f62d83b1068f4bfaae3a590b0ac9f4d7">
        <m:complexRule comparator="Eq" title="母公司营业成本@上年同期数" test=" $_GBC_c609478af4ee4fe883f941c6880a3b71 +  $_GBC_84c453d8e2ba412db8fe6efbb667ab12" id="C084baaf3bc4b409ebe2a922c07bc6e89"/>
        <m:axisValue occRef="母公司"/>
      </m:item>
    </m:section>
    <m:section xlName="_SEC_2713156f501a4b5a86eb4ab43bcaf25e" title="合同产生的收入情况：" tagAction="1">
      <m:item xlName="_GBC_f4f1c383538f4a76af749e49b3462b68" concept="clcid-ci-ar:ShiFouShiYongMuGongSiHeTongChanShengDeShouRu" label="是否适用：母公司合同产生的收入" selectOptions="_buildInAppliance" controlType="CustomCheckbox" cRanges="[{&quot;StartName&quot;:&quot;_GBC_f4f1c383538f4a76af749e49b3462b68&quot;,&quot;EndName&quot;:&quot;_GBC_c2196d03cc34409a8d0cc1794273d065&quot;,&quot;CType&quot;:1}]"/>
      <m:item xlName="_GBC_4adc58883ef44e8ebea1762f0434d596" concept="clcid-ci-ar:DanWeiMuGongSiHeTongChanShengDeShouRu" label="单位：母公司合同产生的收入" selectOptions="_buildInScales" controlType="Combobox" cellType="Scale" appId="_GBC_f4f1c383538f4a76af749e49b3462b68"/>
      <m:item xlName="_GBC_046c678d71314293a7965e974e75c9e4" concept="clcid-ci-ar:BiZhongMuGongSiHeTongChanShengDeShouRu" label="币种：母公司合同产生的收入" selectOptions="_buildInISO4217" controlType="Combobox" cellType="Measure" appId="_GBC_f4f1c383538f4a76af749e49b3462b68"/>
      <m:placeholder xlName="_PLD_a5020ef155ec4602ad2241de5811b002" addr="T0R0C0S1_1"/>
      <m:item xlName="_GBC_566b9fd630f94068954d989f3f3aa2a1" concept="clcid-pte:HeTongChanShengDeShouRuFenBuMingCheng" label="合同产生的收入分部名称" addr="T0R0C1S1_1" tagAction="1" formatStyle="Comma" tupleRef="clcid-pte:HeTongChanShengDeShouRuFenBuMingXi" appId="_GBC_f4f1c383538f4a76af749e49b3462b68" isCaption="true">
        <m:axisValue occRef="母公司"/>
      </m:item>
      <m:placeholder xlName="_PLD_41ad04c6bfff489086b0fa845d0103e5" addr="T0R0C2S1_1"/>
      <m:placeholder xlName="_PLD_018eb49e1d474c289ed3e92a54bf05b0" addr="T0R1C0S1_1"/>
      <m:item xlName="_GBC_457299f1db664ebaa1f15654a7ad8c45" concept="clcid-pte:FenBuShangPinLeiXingHeTongChanShengDeShouRu" label="分部商品类型合同产生的收入" mulRef="_GBC_4adc58883ef44e8ebea1762f0434d596" unitRef="_GBC_046c678d71314293a7965e974e75c9e4" addr="T0R1C1S1_1" formatStyle="Comma" tupleRef="clcid-pte:HeTongChanShengDeShouRuFenBuMingXi" appId="_GBC_f4f1c383538f4a76af749e49b3462b68">
        <m:axisValue occRef="母公司"/>
      </m:item>
      <m:item xlName="_GBC_982888e9c6e3414481401fd1c18edfc8" concept="clcid-pte:ShangPinLeiXingHeTongChanShengDeShouRu" label="商品类型合同产生的收入" mulRef="_GBC_4adc58883ef44e8ebea1762f0434d596" unitRef="_GBC_046c678d71314293a7965e974e75c9e4" addr="T0R1C2S1_1" formatStyle="Comma" appId="_GBC_f4f1c383538f4a76af749e49b3462b68">
        <m:axisValue occRef="母公司"/>
      </m:item>
      <m:item xlName="_GBC_7d77a723cfc44d24984418966764a288" concept="clcid-pte:FenBuShangPinLeiXingMingXiMingCheng1" label="分部商品类型明细名称1" addr="T0R2C0S1_1" tagAction="1" appId="_GBC_f4f1c383538f4a76af749e49b3462b68" isSerialConcept="true" serialDirection="1" serialDefaultCount="2">
        <m:axisValue occRef="母公司"/>
      </m:item>
      <m:item xlName="_GBC_77dcdfb6aac7469a84674b6b2d7ed31a" concept="clcid-pte:FenBuShangPinLeiXingMingXiHeTongChanShengDeShouRu1" label="分部商品类型明细合同产生的收入1" mulRef="_GBC_4adc58883ef44e8ebea1762f0434d596" unitRef="_GBC_046c678d71314293a7965e974e75c9e4" addr="T0R2C1S1_1" formatStyle="Comma" tupleRef="clcid-pte:HeTongChanShengDeShouRuFenBuMingXi" appId="_GBC_f4f1c383538f4a76af749e49b3462b68" isSerialConcept="true" serialDirection="1" serialDefaultCount="2">
        <m:axisValue occRef="母公司"/>
      </m:item>
      <m:item xlName="_GBC_f169ddc15e6740c1a86c1edd56735ef7" concept="clcid-pte:ShangPinLeiXingMingXiHeTongChanShengDeShouRu1" label="商品类型明细合同产生的收入1" mulRef="_GBC_4adc58883ef44e8ebea1762f0434d596" unitRef="_GBC_046c678d71314293a7965e974e75c9e4" addr="T0R2C2S1_1" formatStyle="Comma" appId="_GBC_f4f1c383538f4a76af749e49b3462b68" isSerialConcept="true" serialDirection="1" serialDefaultCount="2">
        <m:axisValue occRef="母公司"/>
      </m:item>
      <m:placeholder xlName="_PLD_a32d1f02723e42859b87a947df092350" addr="T0R3C0S1_1"/>
      <m:item xlName="_GBC_fec4b744ccb54cc1b960f7eb26a5533c" concept="clcid-pte:FenBuAnJingYingDiQuFenLeiHeTongChanShengDeShouRu" label="分部按经营地区分类合同产生的收入" mulRef="_GBC_4adc58883ef44e8ebea1762f0434d596" unitRef="_GBC_046c678d71314293a7965e974e75c9e4" addr="T0R3C1S1_1" formatStyle="Comma" tupleRef="clcid-pte:HeTongChanShengDeShouRuFenBuMingXi" appId="_GBC_f4f1c383538f4a76af749e49b3462b68">
        <m:axisValue occRef="母公司"/>
      </m:item>
      <m:item xlName="_GBC_d7ef9308e944423793a94d1b1ab03bb4" concept="clcid-pte:AnJingYingDiQuFenLeiHeTongChanShengDeShouRu" label="按经营地区分类合同产生的收入" mulRef="_GBC_4adc58883ef44e8ebea1762f0434d596" unitRef="_GBC_046c678d71314293a7965e974e75c9e4" addr="T0R3C2S1_1" formatStyle="Comma" appId="_GBC_f4f1c383538f4a76af749e49b3462b68">
        <m:axisValue occRef="母公司"/>
      </m:item>
      <m:item xlName="_GBC_4f36206bab1c46aeb874e45c11f31378" concept="clcid-pte:FenBuAnJingYingDiQuFenLeiMingXiMingCheng1" label="分部按经营地区分类明细名称1" addr="T0R4C0S1_1" tagAction="1" appId="_GBC_f4f1c383538f4a76af749e49b3462b68" isSerialConcept="true" serialDirection="1" serialDefaultCount="2">
        <m:axisValue occRef="母公司"/>
      </m:item>
      <m:item xlName="_GBC_64bd1ffc9d084e059e3999b46a1bfa51" concept="clcid-pte:FenBuAnJingYingDiQuFenLeiMingXiHeTongChanShengDeShouRu1" label="分部按经营地区分类明细合同产生的收入1" mulRef="_GBC_4adc58883ef44e8ebea1762f0434d596" unitRef="_GBC_046c678d71314293a7965e974e75c9e4" addr="T0R4C1S1_1" formatStyle="Comma" tupleRef="clcid-pte:HeTongChanShengDeShouRuFenBuMingXi" appId="_GBC_f4f1c383538f4a76af749e49b3462b68" isSerialConcept="true" serialDirection="1" serialDefaultCount="2">
        <m:axisValue occRef="母公司"/>
      </m:item>
      <m:item xlName="_GBC_00ecfebde54a4674ba0475ba1d0c08fc" concept="clcid-pte:AnJingYingDiQuFenLeiMingXiHeTongChanShengDeShouRu1" label="按经营地区分类明细合同产生的收入1" mulRef="_GBC_4adc58883ef44e8ebea1762f0434d596" unitRef="_GBC_046c678d71314293a7965e974e75c9e4" addr="T0R4C2S1_1" formatStyle="Comma" appId="_GBC_f4f1c383538f4a76af749e49b3462b68" isSerialConcept="true" serialDirection="1" serialDefaultCount="2">
        <m:axisValue occRef="母公司"/>
      </m:item>
      <m:placeholder xlName="_PLD_9c85221f749e4f7a8d2720257c752ec4" addr="T0R5C0S1_1"/>
      <m:item xlName="_GBC_bef07487d1334e90854e510f50f6ecd4" concept="clcid-pte:FenBuShiChangHuoKeHuLeiXingHeTongChanShengDeShouRu" label="分部市场或客户类型合同产生的收入" mulRef="_GBC_4adc58883ef44e8ebea1762f0434d596" unitRef="_GBC_046c678d71314293a7965e974e75c9e4" addr="T0R5C1S1_1" formatStyle="Comma" tupleRef="clcid-pte:HeTongChanShengDeShouRuFenBuMingXi" appId="_GBC_f4f1c383538f4a76af749e49b3462b68">
        <m:axisValue occRef="母公司"/>
      </m:item>
      <m:item xlName="_GBC_2ede684af16a43c79aad41300113f71f" concept="clcid-pte:ShiChangHuoKeHuLeiXingHeTongChanShengDeShouRu" label="市场或客户类型合同产生的收入" mulRef="_GBC_4adc58883ef44e8ebea1762f0434d596" unitRef="_GBC_046c678d71314293a7965e974e75c9e4" addr="T0R5C2S1_1" formatStyle="Comma" appId="_GBC_f4f1c383538f4a76af749e49b3462b68">
        <m:axisValue occRef="母公司"/>
      </m:item>
      <m:item xlName="_GBC_419fb37d8e834833b15b98a4d5e1d2a6" concept="clcid-pte:FenBuShiChangHuoKeHuLeiXingMingXiMingCheng1" label="分部市场或客户类型明细名称1" addr="T0R6C0S1_1" tagAction="1" appId="_GBC_f4f1c383538f4a76af749e49b3462b68" isSerialConcept="true" serialDirection="1" serialDefaultCount="2">
        <m:axisValue occRef="母公司"/>
      </m:item>
      <m:item xlName="_GBC_da4e95c0b7e54c7096653bc32de21437" concept="clcid-pte:FenBuShiChangHuoKeHuLeiXingMingXiHeTongChanShengDeShouRu1" label="分部市场或客户类型明细合同产生的收入1" mulRef="_GBC_4adc58883ef44e8ebea1762f0434d596" unitRef="_GBC_046c678d71314293a7965e974e75c9e4" addr="T0R6C1S1_1" formatStyle="Comma" tupleRef="clcid-pte:HeTongChanShengDeShouRuFenBuMingXi" appId="_GBC_f4f1c383538f4a76af749e49b3462b68" isSerialConcept="true" serialDirection="1" serialDefaultCount="2">
        <m:axisValue occRef="母公司"/>
      </m:item>
      <m:item xlName="_GBC_46a51bbc1b084fd6aca35bc0115b0519" concept="clcid-pte:ShiChangHuoKeHuLeiXingMingXiHeTongChanShengDeShouRu1" label="市场或客户类型明细合同产生的收入1" mulRef="_GBC_4adc58883ef44e8ebea1762f0434d596" unitRef="_GBC_046c678d71314293a7965e974e75c9e4" addr="T0R6C2S1_1" formatStyle="Comma" appId="_GBC_f4f1c383538f4a76af749e49b3462b68" isSerialConcept="true" serialDirection="1" serialDefaultCount="2">
        <m:axisValue occRef="母公司"/>
      </m:item>
      <m:placeholder xlName="_PLD_5fe8ea9ba9cc42ec9fbd83eb038e507f" addr="T0R7C0S1_1"/>
      <m:item xlName="_GBC_197ddef88fa64b919f21e29671d49773" concept="clcid-pte:FenBuHeTongLeiXingHeTongChanShengDeShouRu" label="分部合同类型合同产生的收入" mulRef="_GBC_4adc58883ef44e8ebea1762f0434d596" unitRef="_GBC_046c678d71314293a7965e974e75c9e4" addr="T0R7C1S1_1" formatStyle="Comma" tupleRef="clcid-pte:HeTongChanShengDeShouRuFenBuMingXi" appId="_GBC_f4f1c383538f4a76af749e49b3462b68">
        <m:axisValue occRef="母公司"/>
      </m:item>
      <m:item xlName="_GBC_2f457e2a73e5456c89a6b7473b659d6f" concept="clcid-pte:HeTongLeiXingHeTongChanShengDeShouRu" label="合同类型合同产生的收入" mulRef="_GBC_4adc58883ef44e8ebea1762f0434d596" unitRef="_GBC_046c678d71314293a7965e974e75c9e4" addr="T0R7C2S1_1" formatStyle="Comma" appId="_GBC_f4f1c383538f4a76af749e49b3462b68">
        <m:axisValue occRef="母公司"/>
      </m:item>
      <m:item xlName="_GBC_97fb8cb3e4314f7aa3442130bb1f353a" concept="clcid-pte:FenBuHeTongLeiXingMingXiMingCheng1" label="分部合同类型明细名称1" addr="T0R8C0S1_1" tagAction="1" appId="_GBC_f4f1c383538f4a76af749e49b3462b68" isSerialConcept="true" serialDirection="1" serialDefaultCount="2">
        <m:axisValue occRef="母公司"/>
      </m:item>
      <m:item xlName="_GBC_665207a26bde43c983891e6e300b30c2" concept="clcid-pte:FenBuHeTongLeiXingMingXiHeTongChanShengDeShouRu1" label="分部合同类型明细合同产生的收入1" mulRef="_GBC_4adc58883ef44e8ebea1762f0434d596" unitRef="_GBC_046c678d71314293a7965e974e75c9e4" addr="T0R8C1S1_1" formatStyle="Comma" tupleRef="clcid-pte:HeTongChanShengDeShouRuFenBuMingXi" appId="_GBC_f4f1c383538f4a76af749e49b3462b68" isSerialConcept="true" serialDirection="1" serialDefaultCount="2">
        <m:axisValue occRef="母公司"/>
      </m:item>
      <m:item xlName="_GBC_420b81e2c549496494fe6a4d3f2a37dd" concept="clcid-pte:HeTongLeiXingMingXiHeTongChanShengDeShouRu1" label="合同类型明细合同产生的收入1" mulRef="_GBC_4adc58883ef44e8ebea1762f0434d596" unitRef="_GBC_046c678d71314293a7965e974e75c9e4" addr="T0R8C2S1_1" formatStyle="Comma" appId="_GBC_f4f1c383538f4a76af749e49b3462b68" isSerialConcept="true" serialDirection="1" serialDefaultCount="2">
        <m:axisValue occRef="母公司"/>
      </m:item>
      <m:placeholder xlName="_PLD_5e3441d2c5df46c994f8ec8cb9a7bed7" addr="T0R9C0S1_1"/>
      <m:item xlName="_GBC_cd9d39f68ae547838f0198357eb49d8d" concept="clcid-pte:FenBuAnShangPinZhuanRangDeShiJianFenLeiHeTongChanShengDeShouRu" label="分部按商品转让的时间分类合同产生的收入" mulRef="_GBC_4adc58883ef44e8ebea1762f0434d596" unitRef="_GBC_046c678d71314293a7965e974e75c9e4" addr="T0R9C1S1_1" formatStyle="Comma" tupleRef="clcid-pte:HeTongChanShengDeShouRuFenBuMingXi" appId="_GBC_f4f1c383538f4a76af749e49b3462b68">
        <m:axisValue occRef="母公司"/>
      </m:item>
      <m:item xlName="_GBC_e72d99d0ef7040f2a9f4ed7e8bc87af5" concept="clcid-pte:AnShangPinZhuanRangDeShiJianFenLeiHeTongChanShengDeShouRu" label="按商品转让的时间分类合同产生的收入" mulRef="_GBC_4adc58883ef44e8ebea1762f0434d596" unitRef="_GBC_046c678d71314293a7965e974e75c9e4" addr="T0R9C2S1_1" formatStyle="Comma" appId="_GBC_f4f1c383538f4a76af749e49b3462b68">
        <m:axisValue occRef="母公司"/>
      </m:item>
      <m:item xlName="_GBC_f64c3e3d002949309c2146e7df25a5cf" concept="clcid-pte:FenBuAnShangPinZhuanRangDeShiJianFenLeiMingXiMingCheng1" label="分部按商品转让的时间分类明细名称1" addr="T0R10C0S1_1" tagAction="1" appId="_GBC_f4f1c383538f4a76af749e49b3462b68" isSerialConcept="true" serialDirection="1" serialDefaultCount="2">
        <m:axisValue occRef="母公司"/>
      </m:item>
      <m:item xlName="_GBC_17d69f6dfbc04825b4362fd6e3ec49f0" concept="clcid-pte:FenBuAnShangPinZhuanRangDeShiJianFenLeiMingXiHeTongChanShengDeShouRu1" label="分部按商品转让的时间分类明细合同产生的收入1" mulRef="_GBC_4adc58883ef44e8ebea1762f0434d596" unitRef="_GBC_046c678d71314293a7965e974e75c9e4" addr="T0R10C1S1_1" formatStyle="Comma" tupleRef="clcid-pte:HeTongChanShengDeShouRuFenBuMingXi" appId="_GBC_f4f1c383538f4a76af749e49b3462b68" isSerialConcept="true" serialDirection="1" serialDefaultCount="2">
        <m:axisValue occRef="母公司"/>
      </m:item>
      <m:item xlName="_GBC_3a884b3480ad43b8826185d870e1e3f0" concept="clcid-pte:AnShangPinZhuanRangDeShiJianFenLeiMingXiHeTongChanShengDeShouRu1" label="按商品转让的时间分类明细合同产生的收入1" mulRef="_GBC_4adc58883ef44e8ebea1762f0434d596" unitRef="_GBC_046c678d71314293a7965e974e75c9e4" addr="T0R10C2S1_1" formatStyle="Comma" appId="_GBC_f4f1c383538f4a76af749e49b3462b68" isSerialConcept="true" serialDirection="1" serialDefaultCount="2">
        <m:axisValue occRef="母公司"/>
      </m:item>
      <m:placeholder xlName="_PLD_3716e0d062c2454296e10d380dc273c2" addr="T0R11C0S1_1"/>
      <m:item xlName="_GBC_156c0852a7394203b0d0e913d3675773" concept="clcid-pte:FenBuAnHeTongQiXianFenLeiHeTongChanShengDeShouRu" label="分部按合同期限分类合同产生的收入" mulRef="_GBC_4adc58883ef44e8ebea1762f0434d596" unitRef="_GBC_046c678d71314293a7965e974e75c9e4" addr="T0R11C1S1_1" formatStyle="Comma" tupleRef="clcid-pte:HeTongChanShengDeShouRuFenBuMingXi" appId="_GBC_f4f1c383538f4a76af749e49b3462b68">
        <m:axisValue occRef="母公司"/>
      </m:item>
      <m:item xlName="_GBC_b296414452e142528045e211d32d5b9f" concept="clcid-pte:AnHeTongQiXianFenLeiHeTongChanShengDeShouRu" label="按合同期限分类合同产生的收入" mulRef="_GBC_4adc58883ef44e8ebea1762f0434d596" unitRef="_GBC_046c678d71314293a7965e974e75c9e4" addr="T0R11C2S1_1" formatStyle="Comma" appId="_GBC_f4f1c383538f4a76af749e49b3462b68">
        <m:axisValue occRef="母公司"/>
      </m:item>
      <m:item xlName="_GBC_cfd5ea94781e49d0827c4b83bb8cd1f4" concept="clcid-pte:FenBuAnHeTongQiXianFenLeiMingXiMingCheng1" label="分部按合同期限分类明细名称1" addr="T0R12C0S1_1" tagAction="1" appId="_GBC_f4f1c383538f4a76af749e49b3462b68" isSerialConcept="true" serialDirection="1" serialDefaultCount="2">
        <m:axisValue occRef="母公司"/>
      </m:item>
      <m:item xlName="_GBC_1aa6790aa7c240eb8c0005c63ae3ceed" concept="clcid-pte:FenBuAnHeTongQiXianFenLeiMingXiHeTongChanShengDeShouRu1" label="分部按合同期限分类明细合同产生的收入1" mulRef="_GBC_4adc58883ef44e8ebea1762f0434d596" unitRef="_GBC_046c678d71314293a7965e974e75c9e4" addr="T0R12C1S1_1" formatStyle="Comma" tupleRef="clcid-pte:HeTongChanShengDeShouRuFenBuMingXi" appId="_GBC_f4f1c383538f4a76af749e49b3462b68" isSerialConcept="true" serialDirection="1" serialDefaultCount="2">
        <m:axisValue occRef="母公司"/>
      </m:item>
      <m:item xlName="_GBC_5bf53b74c5404bc0b0f826351fb80652" concept="clcid-pte:AnHeTongQiXianFenLeiMingXiHeTongChanShengDeShouRu1" label="按合同期限分类明细合同产生的收入1" mulRef="_GBC_4adc58883ef44e8ebea1762f0434d596" unitRef="_GBC_046c678d71314293a7965e974e75c9e4" addr="T0R12C2S1_1" formatStyle="Comma" appId="_GBC_f4f1c383538f4a76af749e49b3462b68" isSerialConcept="true" serialDirection="1" serialDefaultCount="2">
        <m:axisValue occRef="母公司"/>
      </m:item>
      <m:placeholder xlName="_PLD_97af5b97aa90420b81726ed94761cb81" addr="T0R13C0S1_1"/>
      <m:item xlName="_GBC_b419f4fd86e346c5acb0c6beff6cf0db" concept="clcid-pte:FenBuAnXiaoShouQuDaoFenLeiHeTongChanShengDeShouRu" label="分部按销售渠道分类合同产生的收入" mulRef="_GBC_4adc58883ef44e8ebea1762f0434d596" unitRef="_GBC_046c678d71314293a7965e974e75c9e4" addr="T0R13C1S1_1" formatStyle="Comma" tupleRef="clcid-pte:HeTongChanShengDeShouRuFenBuMingXi" appId="_GBC_f4f1c383538f4a76af749e49b3462b68">
        <m:axisValue occRef="母公司"/>
      </m:item>
      <m:item xlName="_GBC_fbcd75ffd86a4ddc99ada80cc3997471" concept="clcid-pte:AnXiaoShouQuDaoFenLeiHeTongChanShengDeShouRu" label="按销售渠道分类合同产生的收入" mulRef="_GBC_4adc58883ef44e8ebea1762f0434d596" unitRef="_GBC_046c678d71314293a7965e974e75c9e4" addr="T0R13C2S1_1" formatStyle="Comma" appId="_GBC_f4f1c383538f4a76af749e49b3462b68">
        <m:axisValue occRef="母公司"/>
      </m:item>
      <m:item xlName="_GBC_798f5103fd6f46e5863eb58aa68786a7" concept="clcid-pte:FenBuAnXiaoShouQuDaoFenLeiMingXiMingCheng1" label="分部按销售渠道分类明细名称1" addr="T0R14C0S1_1" tagAction="1" appId="_GBC_f4f1c383538f4a76af749e49b3462b68" isSerialConcept="true" serialDirection="1" serialDefaultCount="2">
        <m:axisValue occRef="母公司"/>
      </m:item>
      <m:item xlName="_GBC_8e3da5d742204202a4c0bcb50dc8250a" concept="clcid-pte:FenBuAnXiaoShouQuDaoFenLeiMingXiHeTongChanShengDeShouRu1" label="分部按销售渠道分类明细合同产生的收入1" mulRef="_GBC_4adc58883ef44e8ebea1762f0434d596" unitRef="_GBC_046c678d71314293a7965e974e75c9e4" addr="T0R14C1S1_1" formatStyle="Comma" tupleRef="clcid-pte:HeTongChanShengDeShouRuFenBuMingXi" appId="_GBC_f4f1c383538f4a76af749e49b3462b68" isSerialConcept="true" serialDirection="1" serialDefaultCount="2">
        <m:axisValue occRef="母公司"/>
      </m:item>
      <m:item xlName="_GBC_f82f479c78f148fba22097f87c015a97" concept="clcid-pte:AnXiaoShouQuDaoFenLeiMingXiHeTongChanShengDeShouRu1" label="按销售渠道分类明细合同产生的收入1" mulRef="_GBC_4adc58883ef44e8ebea1762f0434d596" unitRef="_GBC_046c678d71314293a7965e974e75c9e4" addr="T0R14C2S1_1" formatStyle="Comma" appId="_GBC_f4f1c383538f4a76af749e49b3462b68" isSerialConcept="true" serialDirection="1" serialDefaultCount="2">
        <m:axisValue occRef="母公司"/>
      </m:item>
      <m:placeholder xlName="_PLD_0efe914344914868bb1c5857f7815d0d" addr="T0R15C0S1_1"/>
      <m:item xlName="_GBC_4bad588daedd4514b8106aa88f8d3cd4" concept="clcid-pte:FenBuHeTongChanShengDeShouRu" label="分部合同产生的收入" mulRef="_GBC_4adc58883ef44e8ebea1762f0434d596" unitRef="_GBC_046c678d71314293a7965e974e75c9e4" addr="T0R15C1S1_1" formatStyle="Comma" tupleRef="clcid-pte:HeTongChanShengDeShouRuFenBuMingXi" appId="_GBC_f4f1c383538f4a76af749e49b3462b68">
        <m:axisValue occRef="母公司"/>
      </m:item>
      <m:item xlName="_GBC_153b4b2b62b0477fa6bff78d1b2a4ef8" concept="clcid-pte:HeTongChanShengDeShouRu" label="合同产生的收入" mulRef="_GBC_4adc58883ef44e8ebea1762f0434d596" unitRef="_GBC_046c678d71314293a7965e974e75c9e4" addr="T0R15C2S1_1" formatStyle="Comma" appId="_GBC_f4f1c383538f4a76af749e49b3462b68">
        <m:axisValue occRef="母公司"/>
      </m:item>
      <m:item xlName="_GBC_4e9f72abba74469a841384eb05af7e06" concept="clcid-ci-ar:ShiFouShiYongMuGongSiHeTongChanShengDeShouRuShuoMing" label="是否适用：母公司合同产生的收入说明" selectOptions="_buildInAppliance" controlType="CustomCheckbox" cRanges="[{&quot;StartName&quot;:&quot;_GBC_4e9f72abba74469a841384eb05af7e06&quot;,&quot;EndName&quot;:&quot;_GBC_c2196d03cc34409a8d0cc1794273d065&quot;,&quot;CType&quot;:1}]"/>
      <m:item xlName="_GBC_c2196d03cc34409a8d0cc1794273d065" concept="clcid-pte:HeTongChanShengDeShouRuShuoMing" label="合同产生的收入说明" appId="_GBC_4e9f72abba74469a841384eb05af7e06">
        <m:axisValue occRef="母公司"/>
      </m:item>
      <m:virtualTuples>
        <m:virtualTuple id="9c48938d-9db4-49c7-90b7-47a508f5c7fd" tupleRef="clcid-pte:HeTongChanShengDeShouRuFenBuMingXi" extendDirection="2"/>
      </m:virtualTuples>
    </m:section>
    <m:section xlName="_SEC_53d5f13d55ef41a88538eb4a1cd87f53" title="履约义务的说明">
      <m:item xlName="_GBC_9fa12dfead42484a96c713de3deeb146" concept="clcid-ci-ar:ShiFouShiYongMuGongSiLvYueYiWuDeShuoMing" label="是否适用：母公司履约义务的说明" selectOptions="_buildInAppliance" controlType="CustomCheckbox" cRanges="[{&quot;StartName&quot;:&quot;_GBC_9fa12dfead42484a96c713de3deeb146&quot;,&quot;EndName&quot;:&quot;_GBC_9874bcd845bb477eaaaf7f4e1c8ef2cc&quot;,&quot;CType&quot;:1}]"/>
      <m:item xlName="_GBC_9874bcd845bb477eaaaf7f4e1c8ef2cc" concept="clcid-pte:LvYueYiWuDeShuoMing" label="履约义务的说明" appId="_GBC_9fa12dfead42484a96c713de3deeb146">
        <m:axisValue occRef="母公司"/>
      </m:item>
    </m:section>
    <m:section xlName="_SEC_70d7b3f4762b43eabe7e1ecc83c000d4" title="分摊至剩余履约义务的说明">
      <m:item xlName="_GBC_ed475c258e94496384f686833dfaebba" concept="clcid-ci-ar:ShiFouShiYongMuGongSiFenTanZhiShengYuLvYueYiWuDeShuoMing" label="是否适用：母公司分摊至剩余履约义务的说明" selectOptions="_buildInAppliance" controlType="CustomCheckbox" cRanges="[{&quot;StartName&quot;:&quot;_GBC_ed475c258e94496384f686833dfaebba&quot;,&quot;EndName&quot;:&quot;_TUP_14059b203ba14ab5ad17797b558bb12f&quot;,&quot;CType&quot;:1}]"/>
      <m:item xlName="_GBC_5c16bc4947a94086809979f950677dab" concept="clcid-pte:ShengYuLvYueYiWuShouRuJinE" label="剩余履约义务收入金额" formatStyle="Comma" appId="_GBC_ed475c258e94496384f686833dfaebba">
        <m:axisValue occRef="母公司"/>
      </m:item>
      <m:tuple xlName="_TUP_14059b203ba14ab5ad17797b558bb12f" concept="clcid-pte:ShengYuLvYueYiWuShouRuJinEMingXi" default_row="3" supportExtendColumn="false" usage="3">
        <m:item xlName="_GBC_42fa857f607d4396ac00b845463a8f7f" concept="clcid-pte:ShengYuLvYueYiWuShouRuJinEMingXiJinE" label="剩余履约义务收入金额明细-金额" formatStyle="Comma" appId="_GBC_ed475c258e94496384f686833dfaebba">
          <m:axisValue occRef="母公司"/>
        </m:item>
        <m:item xlName="_GBC_3ac5965c56594d0193f97e9d06fa07ed" concept="clcid-pte:ShengYuLvYueYiWuShouRuJinEMingXiNianDu" label="剩余履约义务收入金额明细-年度" formatStyle="Integer" appId="_GBC_ed475c258e94496384f686833dfaebba">
          <m:axisValue occRef="母公司"/>
        </m:item>
      </m:tuple>
    </m:section>
    <m:item xlName="_GBC_67059ac627994738bbd2a2272a5068c8" concept="clcid-pte:ZhuYingYeWuShuoMing" label="主营业务说明">
      <m:axisValue occRef="母公司"/>
    </m:item>
    <m:section xlName="_SEC_69cb0c27d0a845f8ab1383f9a47646b6" title="投资收益" isPatch="true">
      <m:item xlName="_GBC_bdba48f0322747499f6908fbbf78a16f" concept="clcid-ci-ar:ShiFouShiYongMuGongSiTouZiShouYi" label="是否适用：母公司投资收益" selectOptions="_buildInAppliance" controlType="CustomCheckbox" cRanges="[{&quot;StartName&quot;:&quot;_GBC_bdba48f0322747499f6908fbbf78a16f&quot;,&quot;EndName&quot;:&quot;_GBC_1edb083aec3d4ebf8eee2e7be5e34df5&quot;,&quot;CType&quot;:1}]"/>
      <m:item xlName="_GBC_613aeed04bd941b2899e7b84fac67e3a" concept="clcid-ci-ar:DanWeiCaiWuFuZhuKuaiJiBaoBiaoZhongDeTouZiShouYiXiangMuZengJia" label="单位：财务附注：会计报表中的投资收益项目增加" selectOptions="_buildInScales" controlType="Combobox" cellType="Scale" appId="_GBC_bdba48f0322747499f6908fbbf78a16f">
        <m:axisValue occRef="母公司"/>
      </m:item>
      <m:item xlName="_GBC_8976301949824df2a90aa6f83aad84f0" concept="clcid-ci-ar:BiZhongCaiWuFuZhuKuaiJiBaoBiaoZhongDeTouZiShouYiXiangMuZengJia" label="币种：财务附注：会计报表中的投资收益项目增加" selectOptions="_buildInISO4217" controlType="Combobox" cellType="Measure" appId="_GBC_bdba48f0322747499f6908fbbf78a16f">
        <m:axisValue occRef="母公司"/>
      </m:item>
      <m:placeholder xlName="_PLD_1263506df19847a5a86c9b873a7b7673" addr="T0R0C0S1_1"/>
      <m:placeholder xlName="_PLD_6da456fe7d784e789fe8204c2cc499b3" addr="T0R0C1S1_1"/>
      <m:placeholder xlName="_PLD_d81207d79e9643e0a08aec2616f96432" addr="T0R0C2S1_1"/>
      <m:placeholder xlName="_PLD_870ae6a50052496389b9552b95a7d523" addr="T0R1C0S1_1"/>
      <m:item xlName="_GBC_7016f94c060d485c83de17d01053d8f0" concept="clcid-pte:ChangQiTouZiChengBenFaHeJi" label="长期投资成本法合计" mulRef="_GBC_613aeed04bd941b2899e7b84fac67e3a" unitRef="_GBC_8976301949824df2a90aa6f83aad84f0" addr="T0R1C1S1_1" formatStyle="Comma" appId="_GBC_bdba48f0322747499f6908fbbf78a16f">
        <m:axisValue occRef="母公司"/>
      </m:item>
      <m:item xlName="_GBC_4e9355c07d2042f0a1ac2f4ba3c1d114" concept="clcid-pte:ChangQiTouZiChengBenFaHeJi" label="长期投资成本法合计" periodRef="上年同期数" mulRef="_GBC_613aeed04bd941b2899e7b84fac67e3a" unitRef="_GBC_8976301949824df2a90aa6f83aad84f0" addr="T0R1C2S1_1" formatStyle="Comma" appId="_GBC_bdba48f0322747499f6908fbbf78a16f">
        <m:axisValue occRef="母公司"/>
      </m:item>
      <m:placeholder xlName="_PLD_41f01afe4c29429eb16be2099b93f262" addr="T0R2C0S1_1"/>
      <m:item xlName="_GBC_febdaabcad5d48c3a0af711a78c4f862" concept="clcid-pte:ChangQiTouZiQuanYiFaHeJi" label="长期投资权益法合计" mulRef="_GBC_613aeed04bd941b2899e7b84fac67e3a" unitRef="_GBC_8976301949824df2a90aa6f83aad84f0" addr="T0R2C1S1_1" formatStyle="Comma" appId="_GBC_bdba48f0322747499f6908fbbf78a16f">
        <m:axisValue occRef="母公司"/>
      </m:item>
      <m:item xlName="_GBC_a8378fb4a22944919c236ee6c27deedb" concept="clcid-pte:ChangQiTouZiQuanYiFaHeJi" label="长期投资权益法合计" periodRef="上年同期数" mulRef="_GBC_613aeed04bd941b2899e7b84fac67e3a" unitRef="_GBC_8976301949824df2a90aa6f83aad84f0" addr="T0R2C2S1_1" formatStyle="Comma" appId="_GBC_bdba48f0322747499f6908fbbf78a16f">
        <m:axisValue occRef="母公司"/>
      </m:item>
      <m:placeholder xlName="_PLD_c9888c5105384b509e21047066f0ba8e" addr="T0R3C0S1_1"/>
      <m:item xlName="_GBC_b6daa78ca13a4aebb5011b0fa365ae38" concept="clcid-pte:ChuZhiChangQiGuQuanTouZiChanShengDeTouZiShouYi" label="处置长期股权投资产生的投资收益" mulRef="_GBC_613aeed04bd941b2899e7b84fac67e3a" unitRef="_GBC_8976301949824df2a90aa6f83aad84f0" addr="T0R3C1S1_1" formatStyle="Comma" appId="_GBC_bdba48f0322747499f6908fbbf78a16f">
        <m:axisValue occRef="母公司"/>
      </m:item>
      <m:item xlName="_GBC_b78d166386c343b983be29152e80e93b" concept="clcid-pte:ChuZhiChangQiGuQuanTouZiChanShengDeTouZiShouYi" label="处置长期股权投资产生的投资收益" periodRef="上年同期数" mulRef="_GBC_613aeed04bd941b2899e7b84fac67e3a" unitRef="_GBC_8976301949824df2a90aa6f83aad84f0" addr="T0R3C2S1_1" formatStyle="Comma" appId="_GBC_bdba48f0322747499f6908fbbf78a16f">
        <m:axisValue occRef="母公司"/>
      </m:item>
      <m:placeholder xlName="_PLD_4d41e47e736f47ec9240189b7e0260aa" addr="T0R4C0S1_1"/>
      <m:item xlName="_GBC_2bcb2df575644d05ade26464e29b57f3" concept="clcid-pte:ChiYouJiaoYiXingJinRongZiChanQiJianQuDeDeTouZiShouYi" label="持有交易性金融资产期间取得的投资收益" mulRef="_GBC_613aeed04bd941b2899e7b84fac67e3a" unitRef="_GBC_8976301949824df2a90aa6f83aad84f0" addr="T0R4C1S1_1" formatStyle="Comma" appId="_GBC_bdba48f0322747499f6908fbbf78a16f">
        <m:axisValue occRef="母公司"/>
      </m:item>
      <m:item xlName="_GBC_5eca834a34314b7a872a318b7ff33ecc" concept="clcid-pte:ChiYouJiaoYiXingJinRongZiChanQiJianQuDeDeTouZiShouYi" label="持有交易性金融资产期间取得的投资收益" periodRef="上年同期数" mulRef="_GBC_613aeed04bd941b2899e7b84fac67e3a" unitRef="_GBC_8976301949824df2a90aa6f83aad84f0" addr="T0R4C2S1_1" formatStyle="Comma" appId="_GBC_bdba48f0322747499f6908fbbf78a16f">
        <m:axisValue occRef="母公司"/>
      </m:item>
      <m:placeholder xlName="_PLD_176d54ac29944675be59911eb486bccf" addr="T0R5C0S1_1"/>
      <m:item xlName="_GBC_aa4b6f5b92da4517a1bc1a0a7ab2ea07" concept="clcid-pte:QiTaQuanYiGongJuTouZiChiYouQiJianQuDeDeGuLiShouRu" label="其他权益工具投资持有期间取得的股利收入" mulRef="_GBC_613aeed04bd941b2899e7b84fac67e3a" unitRef="_GBC_8976301949824df2a90aa6f83aad84f0" addr="T0R5C1S1_1" formatStyle="Comma" appId="_GBC_bdba48f0322747499f6908fbbf78a16f">
        <m:axisValue occRef="母公司"/>
      </m:item>
      <m:item xlName="_GBC_dc1603cf82d640ff8ea8e5e6fe37a5f8" concept="clcid-pte:QiTaQuanYiGongJuTouZiChiYouQiJianQuDeDeGuLiShouRu" label="其他权益工具投资持有期间取得的股利收入" periodRef="上年同期数" mulRef="_GBC_613aeed04bd941b2899e7b84fac67e3a" unitRef="_GBC_8976301949824df2a90aa6f83aad84f0" addr="T0R5C2S1_1" formatStyle="Comma" appId="_GBC_bdba48f0322747499f6908fbbf78a16f">
        <m:axisValue occRef="母公司"/>
      </m:item>
      <m:placeholder xlName="_PLD_2a4065545b0144db9c3fe9cfb135e218" addr="T0R6C0S1_1"/>
      <m:item xlName="_GBC_7669e582289e4683a4ab11085d0e8222" concept="clcid-pte:ZhaiQuanTouZiChiYouQiJianQuDeDeLiXiShouRu" label="债权投资持有期间取得的利息收入" mulRef="_GBC_613aeed04bd941b2899e7b84fac67e3a" unitRef="_GBC_8976301949824df2a90aa6f83aad84f0" addr="T0R6C1S1_1" formatStyle="Comma" appId="_GBC_bdba48f0322747499f6908fbbf78a16f">
        <m:axisValue occRef="母公司"/>
      </m:item>
      <m:item xlName="_GBC_03133a9dd26b42a08a895be0f3555e40" concept="clcid-pte:ZhaiQuanTouZiChiYouQiJianQuDeDeLiXiShouRu" label="债权投资持有期间取得的利息收入" periodRef="上年同期数" mulRef="_GBC_613aeed04bd941b2899e7b84fac67e3a" unitRef="_GBC_8976301949824df2a90aa6f83aad84f0" addr="T0R6C2S1_1" formatStyle="Comma" appId="_GBC_bdba48f0322747499f6908fbbf78a16f">
        <m:axisValue occRef="母公司"/>
      </m:item>
      <m:placeholder xlName="_PLD_baa6118a368348e59b66911712bfb1f0" addr="T0R7C0S1_1"/>
      <m:item xlName="_GBC_e092bd66cc4b4a5bbcd22d7887b808ad" concept="clcid-pte:QiTaZhaiQuanTouZiChiYouQiJianQuDeDeLiXiShouRu" label="其他债权投资持有期间取得的利息收入" mulRef="_GBC_613aeed04bd941b2899e7b84fac67e3a" unitRef="_GBC_8976301949824df2a90aa6f83aad84f0" addr="T0R7C1S1_1" formatStyle="Comma" appId="_GBC_bdba48f0322747499f6908fbbf78a16f">
        <m:axisValue occRef="母公司"/>
      </m:item>
      <m:item xlName="_GBC_af0658ddf5cd42f19cc0ada8093ca74f" concept="clcid-pte:QiTaZhaiQuanTouZiChiYouQiJianQuDeDeLiXiShouRu" label="其他债权投资持有期间取得的利息收入" periodRef="上年同期数" mulRef="_GBC_613aeed04bd941b2899e7b84fac67e3a" unitRef="_GBC_8976301949824df2a90aa6f83aad84f0" addr="T0R7C2S1_1" formatStyle="Comma" appId="_GBC_bdba48f0322747499f6908fbbf78a16f">
        <m:axisValue occRef="母公司"/>
      </m:item>
      <m:placeholder xlName="_PLD_3518bbf343564460a1ee75040bb06283" addr="T0R8C0S1_1"/>
      <m:item xlName="_GBC_dac7b656e381428080b960a67f4619fd" concept="clcid-pte:ChuZhiJiaoYiXingJinRongZiChanQuDeDeTouZiShouYi" label="处置交易性金融资产取得的投资收益" mulRef="_GBC_613aeed04bd941b2899e7b84fac67e3a" unitRef="_GBC_8976301949824df2a90aa6f83aad84f0" addr="T0R8C1S1_1" formatStyle="Comma" appId="_GBC_bdba48f0322747499f6908fbbf78a16f">
        <m:axisValue occRef="母公司"/>
      </m:item>
      <m:item xlName="_GBC_0fe28130f69348b381feb8df642b9123" concept="clcid-pte:ChuZhiJiaoYiXingJinRongZiChanQuDeDeTouZiShouYi" label="处置交易性金融资产取得的投资收益" periodRef="上年同期数" mulRef="_GBC_613aeed04bd941b2899e7b84fac67e3a" unitRef="_GBC_8976301949824df2a90aa6f83aad84f0" addr="T0R8C2S1_1" formatStyle="Comma" appId="_GBC_bdba48f0322747499f6908fbbf78a16f">
        <m:axisValue occRef="母公司"/>
      </m:item>
      <m:placeholder xlName="_PLD_615e70879e844a1f9cb4942f058d9187" addr="T0R9C0S1_1"/>
      <m:item xlName="_GBC_77eb8b7abcfd4d0b9c1fb1eaefda0e23" concept="clcid-pte:ChuZhiQiTaQuanYiGongJuTouZiQuDeDeTouZiShouYi" label="处置其他权益工具投资取得的投资收益" mulRef="_GBC_613aeed04bd941b2899e7b84fac67e3a" unitRef="_GBC_8976301949824df2a90aa6f83aad84f0" addr="T0R9C1S1_1" formatStyle="Comma" appId="_GBC_bdba48f0322747499f6908fbbf78a16f">
        <m:axisValue occRef="母公司"/>
      </m:item>
      <m:item xlName="_GBC_cfae4ad039704e5ebd1e8d1b9b7bd596" concept="clcid-pte:ChuZhiQiTaQuanYiGongJuTouZiQuDeDeTouZiShouYi" label="处置其他权益工具投资取得的投资收益" periodRef="上年同期数" mulRef="_GBC_613aeed04bd941b2899e7b84fac67e3a" unitRef="_GBC_8976301949824df2a90aa6f83aad84f0" addr="T0R9C2S1_1" formatStyle="Comma" appId="_GBC_bdba48f0322747499f6908fbbf78a16f">
        <m:axisValue occRef="母公司"/>
      </m:item>
      <m:placeholder xlName="_PLD_5791f90c46904593b9a349ce96ff4017" addr="T0R10C0S1_1"/>
      <m:item xlName="_GBC_28d4ff203ed746c09acabd2bcfada72b" concept="clcid-pte:ChuZhiZhaiQuanTouZiQuDeDeTouZiShouYi" label="处置债权投资取得的投资收益" mulRef="_GBC_613aeed04bd941b2899e7b84fac67e3a" unitRef="_GBC_8976301949824df2a90aa6f83aad84f0" addr="T0R10C1S1_1" formatStyle="Comma" appId="_GBC_39356fd9dd9e4f5497d61d781210b2fe">
        <m:axisValue occRef="母公司"/>
      </m:item>
      <m:item xlName="_GBC_d79b5d39edf1486daca3ed4491f7583b" concept="clcid-pte:ChuZhiZhaiQuanTouZiQuDeDeTouZiShouYi" label="处置债权投资取得的投资收益" periodRef="上年同期数" mulRef="_GBC_613aeed04bd941b2899e7b84fac67e3a" unitRef="_GBC_8976301949824df2a90aa6f83aad84f0" addr="T0R10C2S1_1" formatStyle="Comma" appId="_GBC_39356fd9dd9e4f5497d61d781210b2fe">
        <m:axisValue occRef="母公司"/>
      </m:item>
      <m:placeholder xlName="_PLD_fc9fa31f61f74b38ad51643215c4ff51" addr="T0R11C0S1_1"/>
      <m:item xlName="_GBC_d11cdac66bcc45d19b765b9dca9366a6" concept="clcid-pte:ChuZhiQiTaZhaiQuanTouZiQuDeDeTouZiShouYi" label="处置其他债权投资取得的投资收益" mulRef="_GBC_613aeed04bd941b2899e7b84fac67e3a" unitRef="_GBC_8976301949824df2a90aa6f83aad84f0" addr="T0R11C1S1_1" formatStyle="Comma" appId="_GBC_bdba48f0322747499f6908fbbf78a16f">
        <m:axisValue occRef="母公司"/>
      </m:item>
      <m:item xlName="_GBC_98c7b343bd5e4c7d8f26eec39e12d80f" concept="clcid-pte:ChuZhiQiTaZhaiQuanTouZiQuDeDeTouZiShouYi" label="处置其他债权投资取得的投资收益" periodRef="上年同期数" mulRef="_GBC_613aeed04bd941b2899e7b84fac67e3a" unitRef="_GBC_8976301949824df2a90aa6f83aad84f0" addr="T0R11C2S1_1" formatStyle="Comma" appId="_GBC_bdba48f0322747499f6908fbbf78a16f">
        <m:axisValue occRef="母公司"/>
      </m:item>
      <m:placeholder xlName="_PLD_8859076358c142de8ce0650351ab3794" addr="T0R12C0S1_1"/>
      <m:item xlName="_GBC_f2e358d1b1b740b2ac975fa2061880a4" concept="clcid-pte:ZhaiWuZhongZuShouYi" label="债务重组收益" mulRef="_GBC_613aeed04bd941b2899e7b84fac67e3a" unitRef="_GBC_8976301949824df2a90aa6f83aad84f0" addr="T0R12C1S1_1" formatStyle="Comma" appId="_GBC_bdba48f0322747499f6908fbbf78a16f">
        <m:axisValue occRef="母公司"/>
      </m:item>
      <m:item xlName="_GBC_4824736b293b4079a4f091278cd9861e" concept="clcid-pte:ZhaiWuZhongZuShouYi" label="债务重组收益" periodRef="上年同期数" mulRef="_GBC_613aeed04bd941b2899e7b84fac67e3a" unitRef="_GBC_8976301949824df2a90aa6f83aad84f0" addr="T0R12C2S1_1" formatStyle="Comma" appId="_GBC_bdba48f0322747499f6908fbbf78a16f">
        <m:axisValue occRef="母公司"/>
      </m:item>
      <m:tuple xlName="_TUP_f44efb3bce1c4834a89700be3e9e6a1f" concept="clcid-pte:QiTaTouZiShouYi" default_row="2" addr="T0R13C">
        <m:item xlName="_GBC_9246b6e915074b81b66887e8130486a6" concept="clcid-pte:QiTaTouZiShouYiXiangMu" label="其他投资收益项目" addr="T0R13C0S1_1" appId="_GBC_bdba48f0322747499f6908fbbf78a16f">
          <m:axisValue occRef="母公司"/>
        </m:item>
        <m:item xlName="_GBC_b69a98a418434d2282fa733e30ad4677" concept="clcid-pte:QiTaTouZiShouYiMingXiJinE" label="其他投资收益明细－金额" mulRef="_GBC_613aeed04bd941b2899e7b84fac67e3a" unitRef="_GBC_8976301949824df2a90aa6f83aad84f0" addr="T0R13C1S1_1" formatStyle="Comma" appId="_GBC_bdba48f0322747499f6908fbbf78a16f">
          <m:axisValue occRef="母公司"/>
        </m:item>
        <m:item xlName="_GBC_e20de71d04ab4d77b059d4f956bf9b5d" concept="clcid-pte:QiTaTouZiShouYiMingXiJinE" label="其他投资收益明细－金额" periodRef="上年同期数" mulRef="_GBC_613aeed04bd941b2899e7b84fac67e3a" unitRef="_GBC_8976301949824df2a90aa6f83aad84f0" addr="T0R13C2S1_1" formatStyle="Comma" appId="_GBC_bdba48f0322747499f6908fbbf78a16f">
          <m:axisValue occRef="母公司"/>
        </m:item>
      </m:tuple>
      <m:placeholder xlName="_PLD_032fb4caa4bf4a6e968a012892b6f16b" addr="T0R15C0S1_1"/>
      <m:item xlName="_GBC_e4448a96f1464669b8fa2cf6db2b28ca" concept="clcid-pte:TouZiShouYi" label="投资收益" mulRef="_GBC_613aeed04bd941b2899e7b84fac67e3a" unitRef="_GBC_8976301949824df2a90aa6f83aad84f0" addr="T0R15C1S1_1" formatStyle="Comma" appId="_GBC_bdba48f0322747499f6908fbbf78a16f">
        <m:complexRule comparator="Eq" title="投资收益" test=" $_GBC_febdaabcad5d48c3a0af711a78c4f862 +  $_GBC_b6daa78ca13a4aebb5011b0fa365ae38 +  $_GBC_2bcb2df575644d05ade26464e29b57f3 +  $_GBC_aa4b6f5b92da4517a1bc1a0a7ab2ea07 +  $_GBC_7669e582289e4683a4ab11085d0e8222 +  $_GBC_e092bd66cc4b4a5bbcd22d7887b808ad +  $_GBC_dac7b656e381428080b960a67f4619fd +  $_GBC_77eb8b7abcfd4d0b9c1fb1eaefda0e23 +  $_GBC_28d4ff203ed746c09acabd2bcfada72b +  $_GBC_d11cdac66bcc45d19b765b9dca9366a6 +  $_GBC_7016f94c060d485c83de17d01053d8f0 +  $_GBC_b69a98a418434d2282fa733e30ad4677 +  $_GBC_f2e358d1b1b740b2ac975fa2061880a4" id="C9e81b0cab13a4e6996bdcf97e10ce79a"/>
        <m:axisValue occRef="母公司"/>
      </m:item>
      <m:item xlName="_GBC_1edb083aec3d4ebf8eee2e7be5e34df5" concept="clcid-pte:TouZiShouYi" label="投资收益" periodRef="上年同期数" mulRef="_GBC_613aeed04bd941b2899e7b84fac67e3a" unitRef="_GBC_8976301949824df2a90aa6f83aad84f0" addr="T0R15C2S1_1" formatStyle="Comma" appId="_GBC_bdba48f0322747499f6908fbbf78a16f">
        <m:complexRule comparator="Eq" title="投资收益@上年同期数" test=" $_GBC_a8378fb4a22944919c236ee6c27deedb +  $_GBC_b78d166386c343b983be29152e80e93b +  $_GBC_5eca834a34314b7a872a318b7ff33ecc +  $_GBC_dc1603cf82d640ff8ea8e5e6fe37a5f8 +  $_GBC_03133a9dd26b42a08a895be0f3555e40 +  $_GBC_af0658ddf5cd42f19cc0ada8093ca74f +  $_GBC_0fe28130f69348b381feb8df642b9123 +  $_GBC_cfae4ad039704e5ebd1e8d1b9b7bd596 +  $_GBC_d79b5d39edf1486daca3ed4491f7583b +  $_GBC_98c7b343bd5e4c7d8f26eec39e12d80f +  $_GBC_4e9355c07d2042f0a1ac2f4ba3c1d114 +  $_GBC_e20de71d04ab4d77b059d4f956bf9b5d +  $_GBC_4824736b293b4079a4f091278cd9861e" id="C59a358aa0f614a32bfe196e57ac13eac"/>
        <m:axisValue occRef="母公司"/>
      </m:item>
      <m:item xlName="_GBC_e91b47a8afc84e119383bf071cb9a50d" concept="clcid-pte:TouZiShouYiShuoMing" label="投资收益说明">
        <m:axisValue occRef="母公司"/>
      </m:item>
    </m:section>
    <m:section xlName="_GBC_23958e5452684882b98c8317e400c8d6" title="母公司会计报表附注的其他说明事项">
      <m:item xlName="_GBC_198503cdf8c8448ea7bb4de3243a4de8" concept="clcid-ci-ar:ShiFouShiYongMuGongSiHuiJiBaoBiaoFuZhuDeQiTaShuoMingShiXiang" label="是否适用：母公司会计报表附注的其他说明事项" selectOptions="_buildInAppliance" controlType="CustomCheckbox" cRanges="{&quot;StartName&quot;:&quot;_GBC_198503cdf8c8448ea7bb4de3243a4de8&quot;,&quot;EndName&quot;:&quot;_GBC_b720b2670a3948abb04f3e624a5b04ac&quot;,&quot;CType&quot;:1,&quot;DisplayText&quot;:null}"/>
      <m:item xlName="_GBC_b720b2670a3948abb04f3e624a5b04ac" concept="clcid-pte:MuGongSiHuiJiBaoBiaoFuZhuDeQiTaShuoMingShiXiang" label="母公司会计报表附注的其他说明事项" appId="_GBC_198503cdf8c8448ea7bb4de3243a4de8">
        <m:axisValue occRef="母公司"/>
      </m:item>
    </m:section>
    <m:section xlName="_GBC_08eb8d7076584daebd23121ab43f25e0" title="当期非经常性损益明细" helpId="112001192" helpText="注：各非经常性损益项目按税前金额列示。">
      <m:item xlName="_GBC_8fceb8da54a2446e9747e9ca62cb6a1a" concept="clcid-ci-ar:ShiFouShiYongDangQiFeiJingChangXingSunYiMingXiBiao" label="是否适用：当期非经常性损益明细表" selectOptions="_buildInAppliance" controlType="CustomCheckbox" cRanges="{&quot;StartName&quot;:&quot;_GBC_8fceb8da54a2446e9747e9ca62cb6a1a&quot;,&quot;EndName&quot;:&quot;_GBC_fd47d890fc7a493192e451b6575f5e8a&quot;,&quot;CType&quot;:1,&quot;DisplayText&quot;:null}"/>
      <m:item xlName="_GBC_5c7a78a144ce4f78943f6ba4db018dd1" concept="clcid-ci-ar:DanWeiKouChuFeiJingChangXingSunYiXiangMuHeJinE" label="单位：扣除非经常性损益项目和金额" selectOptions="_buildInScales" controlType="Combobox" cellType="Scale" binding="true" appId="_GBC_8fceb8da54a2446e9747e9ca62cb6a1a"/>
      <m:item xlName="_GBC_1075279105e04a71a72ba148188834c9" concept="clcid-ci-ar:BiZhongKouChuFeiJingChangXingSunYiXiangMuHeJinE" label="币种：扣除非经常性损益项目和金额" selectOptions="_buildInISO4217" controlType="Combobox" cellType="Measure" binding="true" appId="_GBC_8fceb8da54a2446e9747e9ca62cb6a1a"/>
      <m:placeholder xlName="_PLD_4d447086960c4639856414679d1dbf26" addr="T0R0C0S1_1"/>
      <m:placeholder xlName="_PLD_4124386579a74ebabf17d2fb03dfbacc" addr="T0R0C1S1_1"/>
      <m:placeholder xlName="_PLD_d8bc4effaf7140f69603e5c1fdd518e2" addr="T0R0C2S1_1"/>
      <m:placeholder xlName="_PLD_a4c284eee58641a284682b8ca51165ce" addr="T0R1C0S1_1"/>
      <m:item xlName="_GBC_f045781906b04458b3ad625ee4515c61" concept="clcid-pte:FeiLiuDongXingZiChanChuZhiSunYiBaoKuoYiJiTiZiChanJianZhiZhunBeiDeChongXiaoBuFenFeiJingChangXingSunYiXiangMu" label="非流动性资产处置损益，包括已计提资产减值准备的冲销部分（非经常性损益项目）" mulRef="_GBC_5c7a78a144ce4f78943f6ba4db018dd1" unitRef="_GBC_1075279105e04a71a72ba148188834c9" addr="T0R1C1S1_1" binding="true" formatStyle="Comma" appId="_GBC_8fceb8da54a2446e9747e9ca62cb6a1a"/>
      <m:item xlName="_GBC_dbf112280e8b447b803745e3222ebaab" concept="clcid-pte:FeiLiuDongXingZiChanChuZhiSunYiBaoKuoYiJiTiZiChanJianZhiZhunBeiDeChongXiaoBuFenFeiJingChangXingSunYiXiangMuShuoMing" label="非流动性资产处置损益，包括已计提资产减值准备的冲销部分的说明（非经常性损益项目）" addr="T0R1C2S1_1" binding="true" appId="_GBC_8fceb8da54a2446e9747e9ca62cb6a1a"/>
      <m:placeholder xlName="_PLD_111eb25532774c11acc9ef9b04526b48" addr="T0R2C0S1_1"/>
      <m:item xlName="_GBC_739acef0a8fb4cf9ba3480cbf144d0bd" concept="clcid-pte:FeiJingChangXingSunYiZhongYueQuanShenPiHuoWuZhengShiPiZhunWenJianDeShuiShouFanHuanJianMian" label="越权审批，或无正式批准文件，或偶发性的税收返还、减免（非经常性损益项目）" mulRef="_GBC_5c7a78a144ce4f78943f6ba4db018dd1" unitRef="_GBC_1075279105e04a71a72ba148188834c9" addr="T0R2C1S1_1" binding="true" formatStyle="Comma" appId="_GBC_8fceb8da54a2446e9747e9ca62cb6a1a"/>
      <m:item xlName="_GBC_d1e6861f45b64ca2a145ec60b8eb30fc" concept="clcid-pte:FeiJingChangXingSunYiZhongYueQuanShenPiHuoWuZhengShiPiZhunWenJianDeShuiShouFanHuanJianMianShuoMing" label="越权审批，或无正式批准文件，或偶发性的税收返还、减免的说明（非经常性损益项目）" addr="T0R2C2S1_1" binding="true" appId="_GBC_8fceb8da54a2446e9747e9ca62cb6a1a"/>
      <m:placeholder xlName="_PLD_1c23f9d3aa08475185cdc79972a7d629" addr="T0R3C0S1_1"/>
      <m:item xlName="_GBC_87d17071bbe748b28c703f8eaec85e23" concept="clcid-pte:FeiJingChangXingSunYiZhongGeZhongXingShiDeZhengFuBuTie" label="计入当期损益的政府补助，但与公司正常经营业务密切相关，符合国家政策规定、按照一定标准定额或定量持续享受的政府补助除外（非经常性损益项目）" mulRef="_GBC_5c7a78a144ce4f78943f6ba4db018dd1" unitRef="_GBC_1075279105e04a71a72ba148188834c9" addr="T0R3C1S1_1" binding="true" formatStyle="Comma" appId="_GBC_8fceb8da54a2446e9747e9ca62cb6a1a"/>
      <m:item xlName="_GBC_4513591570d449de9208898ef81e191f" concept="clcid-pte:FeiJingChangXingSunYiZhongGeZhongXingShiDeZhengFuBuTieShuoMing" label="计入当期损益的政府补助，但与公司正常经营业务密切相关，符合国家政策规定、按照一定标准定额或定量持续享受的政府补助除外的说明（非经常性损益项目）" addr="T0R3C2S1_1" binding="true" appId="_GBC_8fceb8da54a2446e9747e9ca62cb6a1a"/>
      <m:placeholder xlName="_PLD_19747bb2b9f64964bff74d0b6c962639" addr="T0R4C0S1_1"/>
      <m:item xlName="_GBC_fa05ceca6bca4dd9a7d215044dce1e08" concept="clcid-pte:JiRuDangQiSunYiDeDuiFeiJinRongQiYeShouQuDeZiJinZhanYongFeiFeiJingChangXingSunYiXiangMu" label="计入当期损益的对非金融企业收取的资金占用费（非经常性损益项目）" mulRef="_GBC_5c7a78a144ce4f78943f6ba4db018dd1" unitRef="_GBC_1075279105e04a71a72ba148188834c9" addr="T0R4C1S1_1" binding="true" formatStyle="Comma" appId="_GBC_8fceb8da54a2446e9747e9ca62cb6a1a"/>
      <m:item xlName="_GBC_e39bef666fc347c4b548b1702cce8f81" concept="clcid-pte:JiRuDangQiSunYiDeDuiFeiJinRongQiYeShouQuDeZiJinZhanYongFeiFeiJingChangXingSunYiXiangMuShuoMing" label="计入当期损益的对非金融企业收取的资金占用费的说明（非经常性损益项目）" addr="T0R4C2S1_1" binding="true" appId="_GBC_8fceb8da54a2446e9747e9ca62cb6a1a"/>
      <m:placeholder xlName="_PLD_6663cd4a4b5d4648b8602f1db92c8537" addr="T0R5C0S1_1"/>
      <m:item xlName="_GBC_da8567332bf1414f9b00448bf14a2046" concept="clcid-pte:QiYeHeBingDeHeBingChengBenXiaoYuHeBingShiYingXiangYouBeiHeBingDanWeiKeBianRenJingZiChanGongYunJiaZhiChanShengDeSunYi" label="企业取得子公司、联营企业及合营企业的投资成本小于取得投资时应享有被投资单位可辨认净资产公允价值产生的收益（非经常性损益项目）" mulRef="_GBC_5c7a78a144ce4f78943f6ba4db018dd1" unitRef="_GBC_1075279105e04a71a72ba148188834c9" addr="T0R5C1S1_1" binding="true" formatStyle="Comma" appId="_GBC_8fceb8da54a2446e9747e9ca62cb6a1a"/>
      <m:item xlName="_GBC_5140be5466d24c06aa7c5dd7b7497384" concept="clcid-pte:QiYeHeBingDeHeBingChengBenXiaoYuHeBingShiYingXiangYouBeiHeBingDanWeiKeBianRenJingZiChanGongYunJiaZhiChanShengDeSunYiShuoMing" label="企业取得子公司、联营企业及合营企业的投资成本小于取得投资时应享有被投资单位可辨认净资产公允价值产生的收益的说明（非经常性损益项目）" addr="T0R5C2S1_1" binding="true" appId="_GBC_8fceb8da54a2446e9747e9ca62cb6a1a"/>
      <m:placeholder xlName="_PLD_e784ffc777444dfdb842e34d13c29737" addr="T0R6C0S1_1"/>
      <m:item xlName="_GBC_4cbe5f86242143498e8a8e52a9159cf4" concept="clcid-pte:FeiJingChangXingSunYiZhongZiChanZhiHuanSunYi" label="非货币性资产交换损益（非经常性损益项目）" mulRef="_GBC_5c7a78a144ce4f78943f6ba4db018dd1" unitRef="_GBC_1075279105e04a71a72ba148188834c9" addr="T0R6C1S1_1" binding="true" formatStyle="Comma" appId="_GBC_8fceb8da54a2446e9747e9ca62cb6a1a"/>
      <m:item xlName="_GBC_0c3795502b03479fa5ac233060ebd95d" concept="clcid-pte:FeiJingChangXingSunYiZhongZiChanZhiHuanSunYiShuoMing" label="非货币性资产交换损益的说明（非经常性损益项目）" addr="T0R6C2S1_1" binding="true" appId="_GBC_8fceb8da54a2446e9747e9ca62cb6a1a"/>
      <m:placeholder xlName="_PLD_e05dd2ebe9c4478baeb0638a8ae0cb06" addr="T0R7C0S1_1"/>
      <m:item xlName="_GBC_d2fd11aa21804a79bf75d80767cb7622" concept="clcid-pte:WeiTuoTaRenTouZiHuoGuanLiZiChanDeSunYiFeiJingChangXingSunYiXiangMu" label="委托他人投资或管理资产的损益（非经常性损益项目）" mulRef="_GBC_5c7a78a144ce4f78943f6ba4db018dd1" unitRef="_GBC_1075279105e04a71a72ba148188834c9" addr="T0R7C1S1_1" binding="true" formatStyle="Comma" appId="_GBC_8fceb8da54a2446e9747e9ca62cb6a1a"/>
      <m:item xlName="_GBC_556f9aa856334b9cba18fb2f97b39cc5" concept="clcid-pte:WeiTuoTaRenTouZiHuoGuanLiZiChanDeSunYiFeiJingChangXingSunYiXiangMuShuoMing" label="委托他人投资或管理资产的损益的说明（非经常性损益项目）" addr="T0R7C2S1_1" binding="true" appId="_GBC_8fceb8da54a2446e9747e9ca62cb6a1a"/>
      <m:placeholder xlName="_PLD_ceb3f10c4ad1406d91b44f6719ebf8fb" addr="T0R8C0S1_1"/>
      <m:item xlName="_GBC_40e59f580b8446b6a448bfa2d9c39106" concept="clcid-pte:FeiJingChangXingSunYiZhongJiTiDeGeXiangZiChanJianZhiZhunBei" label="因不可抗力因素，如遭受自然灾害而计提的各项资产减值准备（非经常性损益项目）" mulRef="_GBC_5c7a78a144ce4f78943f6ba4db018dd1" unitRef="_GBC_1075279105e04a71a72ba148188834c9" addr="T0R8C1S1_1" binding="true" formatStyle="Comma" appId="_GBC_8fceb8da54a2446e9747e9ca62cb6a1a"/>
      <m:item xlName="_GBC_4f29c0d978134f4d9ade4cfb9e6e5bfa" concept="clcid-pte:FeiJingChangXingSunYiZhongJiTiDeGeXiangZiChanJianZhiZhunBeiShuoMing" label="因不可抗力因素，如遭受自然灾害而计提的各项资产减值准备的说明（非经常性损益项目）" addr="T0R8C2S1_1" binding="true" appId="_GBC_8fceb8da54a2446e9747e9ca62cb6a1a"/>
      <m:placeholder xlName="_PLD_176b3ea3b8024c5c8cfe828e8d88f77b" addr="T0R9C0S1_1"/>
      <m:item xlName="_GBC_562f390e991e466084ffd0680a094232" concept="clcid-pte:FeiJingChangXingSunYiZhongZhaiWuZhongZuSunYi" label="债务重组损益（非经常性损益项目）" mulRef="_GBC_5c7a78a144ce4f78943f6ba4db018dd1" unitRef="_GBC_1075279105e04a71a72ba148188834c9" addr="T0R9C1S1_1" binding="true" formatStyle="Comma" appId="_GBC_8fceb8da54a2446e9747e9ca62cb6a1a"/>
      <m:item xlName="_GBC_f43aef808f214d7383de39e3b6c398f4" concept="clcid-pte:FeiJingChangXingSunYiZhongZhaiWuZhongZuSunYiShuoMing" label="债务重组损益的说明（非经常性损益项目）" addr="T0R9C2S1_1" binding="true" appId="_GBC_8fceb8da54a2446e9747e9ca62cb6a1a"/>
      <m:placeholder xlName="_PLD_36690c4bef8e47aa953ed83e202e410d" addr="T0R10C0S1_1"/>
      <m:item xlName="_GBC_56ec47ca87774d5abcabbca8deefec34" concept="clcid-pte:QiYeZhongZuFeiYongRuAnZhiZhiGongDeZhiChuZhengHeFeiYongDeng" label="企业重组费用，如安置职工的支出、整合费用等（非经常性损益项目）" mulRef="_GBC_5c7a78a144ce4f78943f6ba4db018dd1" unitRef="_GBC_1075279105e04a71a72ba148188834c9" addr="T0R10C1S1_1" binding="true" formatStyle="Comma" appId="_GBC_8fceb8da54a2446e9747e9ca62cb6a1a"/>
      <m:item xlName="_GBC_a7c33259b38d4d119cc648f5a3558bfe" concept="clcid-pte:QiYeZhongZuFeiYongRuAnZhiZhiGongDeZhiChuZhengHeFeiYongDengShuoMing" label="企业重组费用，如安置职工的支出、整合费用等的说明（非经常性损益项目）" addr="T0R10C2S1_1" binding="true" appId="_GBC_8fceb8da54a2446e9747e9ca62cb6a1a"/>
      <m:placeholder xlName="_PLD_96c460441b004ae1a19c7e13461c5c75" addr="T0R11C0S1_1"/>
      <m:item xlName="_GBC_6704ec57bd314db499ba1bfa7fe212ec" concept="clcid-pte:FeiJingChangXingSunYiZhongJiaoYiJiaGeXianShiGongYunDeJiaoYiChanShengDeSunYi" label="交易价格显失公允的交易产生的超过公允价值部分的损益（非经常性损益项目）" mulRef="_GBC_5c7a78a144ce4f78943f6ba4db018dd1" unitRef="_GBC_1075279105e04a71a72ba148188834c9" addr="T0R11C1S1_1" binding="true" formatStyle="Comma" appId="_GBC_8fceb8da54a2446e9747e9ca62cb6a1a"/>
      <m:item xlName="_GBC_8924193e761244e8b5efdfb510613a4f" concept="clcid-pte:FeiJingChangXingSunYiZhongJiaoYiJiaGeXianShiGongYunDeJiaoYiChanShengDeSunYiShuoMing" label="交易价格显失公允的交易产生的超过公允价值部分的损益的说明（非经常性损益项目）" addr="T0R11C2S1_1" binding="true" appId="_GBC_8fceb8da54a2446e9747e9ca62cb6a1a"/>
      <m:placeholder xlName="_PLD_42cb9feac45d475db521c5436a75bf7e" addr="T0R12C0S1_1"/>
      <m:item xlName="_GBC_41b40e6e0f3848d69f00e71731aaf0e1" concept="clcid-pte:TongYiKongZhiXiaQiYeHeBingChanShengDeZiGongSiQiChuZhiHeBingRiDeDangQiJingSunYi" label="同一控制下企业合并产生的子公司期初至合并日的当期净损益（非经常性损益项目）" mulRef="_GBC_5c7a78a144ce4f78943f6ba4db018dd1" unitRef="_GBC_1075279105e04a71a72ba148188834c9" addr="T0R12C1S1_1" binding="true" formatStyle="Comma" appId="_GBC_8fceb8da54a2446e9747e9ca62cb6a1a"/>
      <m:item xlName="_GBC_b89a03114e86456eb0c9e31e114ed87a" concept="clcid-pte:TongYiKongZhiXiaQiYeHeBingChanShengDeZiGongSiQiChuZhiHeBingRiDeDangQiJingSunYiShuoMing" label="同一控制下企业合并产生的子公司期初至合并日的当期净损益的说明（非经常性损益项目）" addr="T0R12C2S1_1" binding="true" appId="_GBC_8fceb8da54a2446e9747e9ca62cb6a1a"/>
      <m:placeholder xlName="_PLD_7fc55b419222469eac67ff689744c277" addr="T0R13C0S1_1"/>
      <m:item xlName="_GBC_87c0e437c14d4dd3bd5dd001c159ec09" concept="clcid-pte:YuGongSiZhuYingYeWuWuGuanDeYuJiFuZhaiChanShengDeSunYi" label="与公司正常经营业务无关的或有事项产生的损益（非经常性损益项目）" mulRef="_GBC_5c7a78a144ce4f78943f6ba4db018dd1" unitRef="_GBC_1075279105e04a71a72ba148188834c9" addr="T0R13C1S1_1" binding="true" formatStyle="Comma" appId="_GBC_8fceb8da54a2446e9747e9ca62cb6a1a"/>
      <m:item xlName="_GBC_c092dcb18a4049e7b48c3f5c5a57f1aa" concept="clcid-pte:YuGongSiZhuYingYeWuWuGuanDeYuJiFuZhaiChanShengDeSunYiShuoMing" label="与公司正常经营业务无关的或有事项产生的损益的说明（非经常性损益项目）" addr="T0R13C2S1_1" binding="true" appId="_GBC_8fceb8da54a2446e9747e9ca62cb6a1a"/>
      <m:placeholder xlName="_PLD_c8d1dda81a0f44c187552ba8e70f0013" addr="T0R14C0S1_1"/>
      <m:item xlName="_GBC_30456754229745f0b97eaee273d2a4a1"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非经常性损益项目）" mulRef="_GBC_5c7a78a144ce4f78943f6ba4db018dd1" unitRef="_GBC_1075279105e04a71a72ba148188834c9" addr="T0R14C1S1_1" binding="true" formatStyle="Comma" appId="_GBC_8fceb8da54a2446e9747e9ca62cb6a1a"/>
      <m:item xlName="_GBC_e550f874b5b44395a6eea0cd28e58b6c"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的说明（非经常性损益项目）" addr="T0R14C2S1_1" binding="true" appId="_GBC_8fceb8da54a2446e9747e9ca62cb6a1a"/>
      <m:placeholder xlName="_PLD_96504db5fe914312bc672892fec5c25b" addr="T0R15C0S1_1"/>
      <m:item xlName="_GBC_0dad62375b814507ac0f44483df2a2b4" concept="clcid-pte:DanDuJinXingJianZhiCeShiDeYingShouKuanXiangHeTongZiChanJianZhiZhunBeiZhuanHuiFeiJingChangXingSunYiXiangMu" label="单独进行减值测试的应收款项、合同资产减值准备转回（非经常性损益项目） " mulRef="_GBC_5c7a78a144ce4f78943f6ba4db018dd1" unitRef="_GBC_1075279105e04a71a72ba148188834c9" addr="T0R15C1S1_1" binding="true" formatStyle="Comma" appId="_GBC_8fceb8da54a2446e9747e9ca62cb6a1a"/>
      <m:item xlName="_GBC_9bfa6a8beae249d79097f549d5202e73" concept="clcid-pte:DanDuJinXingJianZhiCeShiDeYingShouKuanXiangHeTongZiChanJianZhiZhunBeiZhuanHuiDeShuoMingFeiJingChangXingSunYiXiangMu" label="单独进行减值测试的应收款项、合同资产减值准备转回的说明（非经常性损益项目）" addr="T0R15C2S1_1" binding="true" appId="_GBC_8fceb8da54a2446e9747e9ca62cb6a1a"/>
      <m:placeholder xlName="_PLD_0d0ce84cff764cbf94ba500578ddc45d" addr="T0R16C0S1_1"/>
      <m:item xlName="_GBC_27b47ed06c97431897415150396a2093" concept="clcid-pte:DuiWaiWeiTuoDaiKuanQuDeDeSunYi" label="对外委托贷款取得的损益（非经常性损益项目）" mulRef="_GBC_5c7a78a144ce4f78943f6ba4db018dd1" unitRef="_GBC_1075279105e04a71a72ba148188834c9" addr="T0R16C1S1_1" binding="true" formatStyle="Comma" appId="_GBC_8fceb8da54a2446e9747e9ca62cb6a1a"/>
      <m:item xlName="_GBC_72c375360c99465bb8170713ed413fe3" concept="clcid-pte:DuiWaiWeiTuoDaiKuanQuDeDeSunYiShuoMing" label="对外委托贷款取得的损益的说明（非经常性损益项目）" addr="T0R16C2S1_1" binding="true" appId="_GBC_8fceb8da54a2446e9747e9ca62cb6a1a"/>
      <m:placeholder xlName="_PLD_7681bf6967df4b049ee6f75b59a7329f" addr="T0R17C0S1_1"/>
      <m:item xlName="_GBC_190716d7e441475687cb1bc366ad6b0c" concept="clcid-pte:CaiYongGongYunJiaZhiMoShiJinXingHouXuJiLiangDeTouZiXingFangDiChanGongYunJiaZhiBianDongChanShengDeSunYi" label="采用公允价值模式进行后续计量的投资性房地产公允价值变动产生的损益（非经常性损益项目）" mulRef="_GBC_5c7a78a144ce4f78943f6ba4db018dd1" unitRef="_GBC_1075279105e04a71a72ba148188834c9" addr="T0R17C1S1_1" binding="true" formatStyle="Comma" appId="_GBC_8fceb8da54a2446e9747e9ca62cb6a1a"/>
      <m:item xlName="_GBC_c174c1c48c424f2b93a5298b3c87d544" concept="clcid-pte:CaiYongGongYunJiaZhiMoShiJinXingHouXuJiLiangDeTouZiXingFangDiChanGongYunJiaZhiBianDongChanShengDeSunYiShuoMing" label="采用公允价值模式进行后续计量的投资性房地产公允价值变动产生的损益的说明（非经常性损益项目）" addr="T0R17C2S1_1" binding="true" appId="_GBC_8fceb8da54a2446e9747e9ca62cb6a1a"/>
      <m:placeholder xlName="_PLD_2df64da7b21b4209afb1b2e1c87793a4" addr="T0R18C0S1_1"/>
      <m:item xlName="_GBC_58c2953c03634423ac62d3dec1a8cbf0" concept="clcid-pte:GenJuShuiShouKuaiJiDengFaLvFaGuiDeYaoQiuDuiDangQiSunYiJinXingYiCiXingTiaoZhengDuiDangQiSunYiDeYingXiang" label="根据税收、会计等法律、法规的要求对当期损益进行一次性调整对当期损益的影响（非经常性损益项目）" mulRef="_GBC_5c7a78a144ce4f78943f6ba4db018dd1" unitRef="_GBC_1075279105e04a71a72ba148188834c9" addr="T0R18C1S1_1" binding="true" formatStyle="Comma" appId="_GBC_8fceb8da54a2446e9747e9ca62cb6a1a"/>
      <m:item xlName="_GBC_b3ddb30991974cd88ba33a7fc1b11cdc" concept="clcid-pte:GenJuShuiShouKuaiJiDengFaLvFaGuiDeYaoQiuDuiDangQiSunYiJinXingYiCiXingTiaoZhengDuiDangQiSunYiDeYingXiangShuoMing" label="根据税收、会计等法律、法规的要求对当期损益进行一次性调整对当期损益的影响的说明（非经常性损益项目）" addr="T0R18C2S1_1" binding="true" appId="_GBC_8fceb8da54a2446e9747e9ca62cb6a1a"/>
      <m:placeholder xlName="_PLD_65e2f6f2a865433a904f980d5ad452f3" addr="T0R19C0S1_1"/>
      <m:item xlName="_GBC_663696f2cd0a4fd2bdca4465abf7993f" concept="clcid-pte:ShouTuoJingYingQuDeDeTuoGuanFeiShouRu" label="受托经营取得的托管费收入（非经常性损益项目）" mulRef="_GBC_5c7a78a144ce4f78943f6ba4db018dd1" unitRef="_GBC_1075279105e04a71a72ba148188834c9" addr="T0R19C1S1_1" binding="true" formatStyle="Comma" appId="_GBC_8fceb8da54a2446e9747e9ca62cb6a1a"/>
      <m:item xlName="_GBC_55cffaeec7534a328908ea82413d2702" concept="clcid-pte:ShouTuoJingYingQuDeDeTuoGuanFeiShouRuShuoMing" label="受托经营取得的托管费收入的说明（非经常性损益项目）" addr="T0R19C2S1_1" binding="true" appId="_GBC_8fceb8da54a2446e9747e9ca62cb6a1a"/>
      <m:placeholder xlName="_PLD_b0f68967a04b4a8a89df6132091b7461" addr="T0R20C0S1_1"/>
      <m:item xlName="_GBC_6402a2f652bb4c68acec62c34d96d8ab" concept="clcid-pte:ChuShangShuGeXiangZhiWaiDeQiTaYingYeWaiShouZhiJingE" label="除上述各项之外的其他营业外收入和支出（非经常性损益项目）" mulRef="_GBC_5c7a78a144ce4f78943f6ba4db018dd1" unitRef="_GBC_1075279105e04a71a72ba148188834c9" addr="T0R20C1S1_1" binding="true" formatStyle="Comma" appId="_GBC_8fceb8da54a2446e9747e9ca62cb6a1a"/>
      <m:item xlName="_GBC_c4fc3e35307e455db3b9161cb811a087" concept="clcid-pte:ChuShangShuGeXiangZhiWaiDeQiTaYingYeWaiShouZhiJingEShuoMing" label="除上述各项之外的其他营业外收入和支出的说明（非经常性损益项目）" addr="T0R20C2S1_1" binding="true" appId="_GBC_8fceb8da54a2446e9747e9ca62cb6a1a"/>
      <m:placeholder xlName="_PLD_659b510fa20e419f93068876515ea27a" addr="T0R21C0S1_1"/>
      <m:item xlName="_GBC_fe4d2d743517484083fb57df1a93df08" concept="clcid-pte:QiTaFeiJingChangXingSunYiXiangMu" label="其他符合非经常性损益定义的损益项目（非经常性损益项目）" mulRef="_GBC_5c7a78a144ce4f78943f6ba4db018dd1" unitRef="_GBC_1075279105e04a71a72ba148188834c9" addr="T0R21C1S1_1" binding="true" formatStyle="Comma" appId="_GBC_8fceb8da54a2446e9747e9ca62cb6a1a"/>
      <m:item xlName="_GBC_88d5aaf5624d44b4a912d7c291f5337b" concept="clcid-pte:QiTaFeiJingChangXingSunYiXiangMuShuoMing" label="其他符合非经常性损益定义的损益项目说明（非经常性损益项目）" addr="T0R21C2S1_1" binding="true" appId="_GBC_8fceb8da54a2446e9747e9ca62cb6a1a"/>
      <m:tuple xlName="_GBC_ae408d2619064c51be0ba5563e62d21d" concept="clcid-pte:KouChuFeiJingChangXingSunYi" default_row="2" primaryConcept="clcid-pte:KouChuFeiJingChangXingSunYiXiangMu" addr="T0R22C">
        <m:item xlName="_GBC_80e90749ba634a12a8513a78e49e89f7" concept="clcid-pte:KouChuFeiJingChangXingSunYiXiangMu" label="扣除的非经常性损益项目" addr="T0R22C0S1_1" appId="_GBC_8fceb8da54a2446e9747e9ca62cb6a1a"/>
        <m:item xlName="_GBC_8f76ade5e9714a19aaeda421b66c93fa" concept="clcid-pte:KouChuFeiJingChangXingSunYiXiangMuJinE" label="扣除的非经常性损益项目金额" mulRef="_GBC_5c7a78a144ce4f78943f6ba4db018dd1" unitRef="_GBC_1075279105e04a71a72ba148188834c9" addr="T0R22C1S1_1" formatStyle="Comma" appId="_GBC_8fceb8da54a2446e9747e9ca62cb6a1a"/>
        <m:item xlName="_GBC_0d6726c6b4bc460dab4b54da495c75f4" concept="clcid-pte:KouChuFeiJingChangXingSunYiXiangMuShuoMing" label="扣除的非经常性损益明细－项目说明" addr="T0R22C2S1_1" appId="_GBC_8fceb8da54a2446e9747e9ca62cb6a1a"/>
      </m:tuple>
      <m:placeholder xlName="_PLD_8cbcd160f56e4221a63548c56021b209" addr="T0R24C0S1_1"/>
      <m:item xlName="_GBC_7c06520ea03942669b02b787ffcbb214" concept="clcid-pte:FeiJingChangXingSunYiDeKouChuXiangMuDuiSuoDeShuiDeYingXiang" label="非经常性损益_对所得税的影响" mulRef="_GBC_5c7a78a144ce4f78943f6ba4db018dd1" unitRef="_GBC_1075279105e04a71a72ba148188834c9" addr="T0R24C1S1_1" binding="true" formatStyle="Comma" appId="_GBC_8fceb8da54a2446e9747e9ca62cb6a1a"/>
      <m:item xlName="_GBC_7ed1b962000f41dc8da48b033f074791" concept="clcid-pte:FeiJingChangXingSunYiDeKouChuXiangMuDuiSuoDeShuiDeYingXiangShuoMing" label="所得税影响额的说明（非经常性损益项目）" addr="T0R24C2S1_1" binding="true" appId="_GBC_8fceb8da54a2446e9747e9ca62cb6a1a"/>
      <m:placeholder xlName="_PLD_f8bdffd50d284f23ab4d0b1e6b4b1b9e" addr="T0R25C0S1_1"/>
      <m:item xlName="_GBC_285f00e961c943a8a9d140a4d52403f1" concept="clcid-pte:FeiJingChangXingSunYiXiangMuZhongShaoShuGuDongQuanYiYingXiangE" label="少数股东权益影响额（非经常性损益项目）" mulRef="_GBC_5c7a78a144ce4f78943f6ba4db018dd1" unitRef="_GBC_1075279105e04a71a72ba148188834c9" addr="T0R25C1S1_1" binding="true" formatStyle="Comma" appId="_GBC_8fceb8da54a2446e9747e9ca62cb6a1a"/>
      <m:item xlName="_GBC_c9a288fb29d348cbb8d20de9f399a549" concept="clcid-pte:FeiJingChangXingSunYiXiangMuZhongShaoShuGuDongQuanYiYingXiangEShuoMing" label="少数股东权益影响额的说明（非经常性损益项目）" addr="T0R25C2S1_1" binding="true" appId="_GBC_8fceb8da54a2446e9747e9ca62cb6a1a"/>
      <m:placeholder xlName="_PLD_f4375b3f262d423d9aed45796f2bf18d" addr="T0R26C0S1_1"/>
      <m:item xlName="_GBC_dbd56aa5278f45e1a3a0a62cc2b32d3d" concept="clcid-pte:KouChuDeFeiJingChangXingSunYiHeJi" label="扣除的非经常性损益合计" mulRef="_GBC_5c7a78a144ce4f78943f6ba4db018dd1" unitRef="_GBC_1075279105e04a71a72ba148188834c9" addr="T0R26C1S1_1" binding="true" formatStyle="Comma" appId="_GBC_8fceb8da54a2446e9747e9ca62cb6a1a">
        <m:complexRule comparator="Eq" title="扣除的非经常性损益合计" test=" $_GBC_f045781906b04458b3ad625ee4515c61 +  $_GBC_739acef0a8fb4cf9ba3480cbf144d0bd +  $_GBC_87d17071bbe748b28c703f8eaec85e23 +  $_GBC_fa05ceca6bca4dd9a7d215044dce1e08 +  $_GBC_da8567332bf1414f9b00448bf14a2046 +  $_GBC_4cbe5f86242143498e8a8e52a9159cf4 +  $_GBC_d2fd11aa21804a79bf75d80767cb7622 +  $_GBC_40e59f580b8446b6a448bfa2d9c39106 +  $_GBC_562f390e991e466084ffd0680a094232 +  $_GBC_56ec47ca87774d5abcabbca8deefec34 +  $_GBC_6704ec57bd314db499ba1bfa7fe212ec +  $_GBC_41b40e6e0f3848d69f00e71731aaf0e1 +  $_GBC_87c0e437c14d4dd3bd5dd001c159ec09 +  $_GBC_30456754229745f0b97eaee273d2a4a1 +  $_GBC_0dad62375b814507ac0f44483df2a2b4 +  $_GBC_27b47ed06c97431897415150396a2093 +  $_GBC_190716d7e441475687cb1bc366ad6b0c +  $_GBC_58c2953c03634423ac62d3dec1a8cbf0 +  $_GBC_663696f2cd0a4fd2bdca4465abf7993f +  $_GBC_6402a2f652bb4c68acec62c34d96d8ab +  $_GBC_fe4d2d743517484083fb57df1a93df08 +  $_GBC_8f76ade5e9714a19aaeda421b66c93fa +  $_GBC_7c06520ea03942669b02b787ffcbb214 +  $_GBC_285f00e961c943a8a9d140a4d52403f1" id="C2b863e1ae93d4666bbf2572a3b38fd87"/>
      </m:item>
      <m:item xlName="_GBC_fd47d890fc7a493192e451b6575f5e8a" concept="clcid-pte:KouChuDeFeiJingChangXingSunYiHeJiShuoMing" label="扣除的非经常性损益合计说明" addr="T0R26C2S1_1" binding="true" appId="_GBC_8fceb8da54a2446e9747e9ca62cb6a1a"/>
    </m:section>
    <m:section xlName="_GBC_7944e47348cd4cd186b958ba1902ea3f" title="对公司根据《公开发行证券的公司信息披露解释性公告第1号——非..." convertSummaryRule="NoConvert" helpId="112001192">
      <m:item xlName="_GBC_5f8a059d4da1440d8ef10197ecd89cd6" concept="clcid-ci-ar:ShiFouShiYongJiangFeiJingChangXingSunYiXiangMuJieDingWeiJingChangXingSunYiXiangMu" label="是否适用：将非经常性损益项目界定为经常性损益项目" selectOptions="_buildInAppliance" controlType="CustomCheckbox" cRanges="{&quot;StartName&quot;:&quot;_GBC_5f8a059d4da1440d8ef10197ecd89cd6&quot;,&quot;EndName&quot;:&quot;_GBC_51ffa137cb704dbb93362e3cb413dc3b&quot;,&quot;CType&quot;:1,&quot;DisplayText&quot;:null}"/>
      <m:item xlName="_GBC_5153d701b3b44f33a9490091a7e804e6" concept="clcid-ci-ar:DanWeiCaiWuFuZhuJiangFeiJingChangXingSunYiXiangMuJieDingWeiJingChangXingSunYiXiangMu" label="单位：财务附注：将非经常性损益项目界定为经常性损益项目" selectOptions="_buildInScales" controlType="Combobox" cellType="Scale" appId="_GBC_5f8a059d4da1440d8ef10197ecd89cd6"/>
      <m:item xlName="_GBC_77ec9746b783471b84796c1c772576bd" concept="clcid-ci-ar:BiZhongCaiWuFuZhuJiangFeiJingChangXingSunYiXiangMuJieDingWeiJingChangXingSunYiXiangMu" label="币种：财务附注：将非经常性损益项目界定为经常性损益项目" selectOptions="_buildInISO4217" controlType="Combobox" cellType="Measure" appId="_GBC_5f8a059d4da1440d8ef10197ecd89cd6"/>
      <m:placeholder xlName="_PLD_332aba6ed4f148bfa1f6aac5610baaa6" addr="T0R0C0S1_1"/>
      <m:placeholder xlName="_PLD_b0f4462192174715b550b7f3f1d928bf" addr="T0R0C1S1_1"/>
      <m:placeholder xlName="_PLD_f0b8ba2261d04130bb740019ecf35d71" addr="T0R0C2S1_1"/>
      <m:tuple xlName="_GBC_e56f7563531440589c461ea3e60c0684" concept="clcid-pte:JiangFeiJingChangXingSunYiXiangMuJieDingWeiJingChangXingSunYiXiangMuMingXi" default_row="2" addr="T0R1C">
        <m:item xlName="_GBC_2513575e33614f64afaa4092ae0fa01f" concept="clcid-pte:JiangFeiJingChangXingSunYiXiangMuJieDingWeiJingChangXingSunYiXiangMuXiangMu" label="将非经常性损益项目界定为经常性损益项目明细－项目" addr="T0R1C0S1_1" appId="_GBC_5f8a059d4da1440d8ef10197ecd89cd6"/>
        <m:item xlName="_GBC_e07583d4aa4046b4981adaeed1597262" concept="clcid-pte:JiangFeiJingChangXingSunYiXiangMuJieDingWeiJingChangXingSunYiXiangMuXiangMuJinE" label="将非经常性损益项目界定为经常性损益项目明细－金额" mulRef="_GBC_5153d701b3b44f33a9490091a7e804e6" unitRef="_GBC_77ec9746b783471b84796c1c772576bd" addr="T0R1C1S1_1" formatStyle="Comma" appId="_GBC_5f8a059d4da1440d8ef10197ecd89cd6"/>
        <m:item xlName="_GBC_51ffa137cb704dbb93362e3cb413dc3b" concept="clcid-pte:JiangFeiJingChangXingSunYiXiangMuJieDingWeiJingChangXingSunYiXiangMuXiangMuShuoMing" label="将非经常性损益项目界定为经常性损益项目明细－说明" addr="T0R1C2S1_1" appId="_GBC_5f8a059d4da1440d8ef10197ecd89cd6"/>
      </m:tuple>
    </m:section>
    <m:section xlName="_GBC_146d888914ac4591bea1ff0ea9e89617" title="净资产收益率及每股收益" helpId="112001194">
      <m:item xlName="_GBC_75866ebc8d184cdd988e79330ad3b083" concept="clcid-ci-ar:ShiFouShiYongJingZiChanShouYiLvJiMeiGuShouYi" label="是否适用：净资产收益率及每股收益" selectOptions="_buildInAppliance" controlType="CustomCheckbox" cRanges="{&quot;StartName&quot;:&quot;_GBC_75866ebc8d184cdd988e79330ad3b083&quot;,&quot;EndName&quot;:&quot;_GBC_f88322ba56fd43f08018a17c09004acb&quot;,&quot;CType&quot;:1,&quot;DisplayText&quot;:null}"/>
      <m:placeholder xlName="_PLD_680a8ba0e71a45459c0939cd6c78c07f" addr="T0R0C0S2_1"/>
      <m:placeholder xlName="_PLD_608d0086e1154f8ca6d3c34247132ef0" addr="T0R0C1S2_1"/>
      <m:placeholder xlName="_PLD_8b4a0bf973be4a19862ac5168193db93" addr="T0R0C2S1_2"/>
      <m:placeholder xlName="_PLD_45472770a81744249d77e54c2efc412a" addr="T0R1C2S1_1"/>
      <m:placeholder xlName="_PLD_c4e5be0bbc134fa28e28895e1a12e02c" addr="T0R1C3S1_1"/>
      <m:placeholder xlName="_PLD_c94607fd97d648bd8ca7517a2c7054ea" addr="T0R2C0S1_1"/>
      <m:item xlName="_GBC_026b323a686e48499f98029382f6f764" concept="clcid-pte:JingLiRunJiaQuanPingJunJingZiChanShouYiLv" label="净利润_加权平均_净资产收益率" addr="T0R2C1S1_1" baseScale="0.01" formatStyle="Comma" appId="_GBC_75866ebc8d184cdd988e79330ad3b083"/>
      <m:item xlName="_GBC_10d67acd88064ddf9123ebd6730a06b1" concept="clcid-pte:JiBenMeiGuShouYi" label="基本每股收益" addr="T0R2C2S1_1" formatStyle="Comma" appId="_GBC_75866ebc8d184cdd988e79330ad3b083" fixedType="EPS"/>
      <m:item xlName="_GBC_b152853b6d3840e3b286703ab921b166" concept="clcid-pte:XiShiMeiGuShouYi" label="稀释每股收益" addr="T0R2C3S1_1" formatStyle="Comma" appId="_GBC_75866ebc8d184cdd988e79330ad3b083" fixedType="EPS"/>
      <m:placeholder xlName="_PLD_0794afc706e94e77876df1281577a7d9" addr="T0R3C0S1_1"/>
      <m:item xlName="_GBC_ff6b86130e7343048767c622ffa9771f" concept="clcid-pte:KouChuFeiJingChangXingSunYiDeJingLiRunDeJiaQuanPingJunJingZiChanShouYiLv" label="扣除非经常性损益的净利润的加权平均净资产收益率" addr="T0R3C1S1_1" baseScale="0.01" formatStyle="Comma" appId="_GBC_75866ebc8d184cdd988e79330ad3b083"/>
      <m:item xlName="_GBC_dea89911818e4808aeac948e3d43ced2" concept="clcid-pte:KouChuFeiJingChangXingSunYiHouGuiShuYuGongSiPuTongGuGuDongDeJingLiRunJiBenMeiGuShouYi" label="扣除非经常性损益后归属于公司普通股股东的净利润基本每股收益" addr="T0R3C2S1_1" formatStyle="Comma" appId="_GBC_75866ebc8d184cdd988e79330ad3b083" fixedType="EPS"/>
      <m:item xlName="_GBC_f88322ba56fd43f08018a17c09004acb" concept="clcid-pte:KouChuFeiJingChangXingSunYiHouGuiShuYuGongSiPuTongGuGuDongDeJingLiRunXiShiMeiGuShouYi" label="扣除非经常性损益后归属于公司普通股股东的净利润稀释每股收益" addr="T0R3C3S1_1" formatStyle="Comma" appId="_GBC_75866ebc8d184cdd988e79330ad3b083" fixedType="EPS"/>
    </m:section>
    <m:item xlName="_GBC_3482333eff2948139884cfdd1debc958" concept="clcid-ci-ar:ShiFouShiYongJingNeiWaiHuiJiZhunZeXiaHuiJiShuJuChaYi" label="是否适用：境内外会计准则下会计数据差异" selectOptions="_buildInAppliance" controlType="CustomCheckbox" cRanges="{&quot;StartName&quot;:&quot;_GBC_3482333eff2948139884cfdd1debc958&quot;,&quot;EndName&quot;:&quot;_GBC_28e04aa78d514ffaa91bd2d93b36d312&quot;,&quot;CType&quot;:1,&quot;DisplayText&quot;:null}"/>
    <m:section xlName="_GBC_30f5ba046d124b5db9ae669fe845bbdb" title="同时按照国际会计准则与按中国会计准则披露的财务报告中净利润和..." helpId="112001195">
      <m:item xlName="_GBC_d4b99094c68c4643b25e25a564d131d1" concept="clcid-ci-ar:ShiFouShiYongTongShiAnZhaoGuoJiKuaiJiZhunZeYuAnZhongGuoKuaiJiZhunZePiLuDeCaiWuBaoGaoZhongJingLiRunHeJingZiChanChaYiQingKuang" label="是否适用：同时按照国际会计准则与按中国会计准则披露的财务报告中净利润和净资产差异情况" selectOptions="_buildInAppliance" controlType="CustomCheckbox" cRanges="{&quot;StartName&quot;:&quot;_GBC_d4b99094c68c4643b25e25a564d131d1&quot;,&quot;EndName&quot;:&quot;_GBC_e8b937e398b2458dad0be85a214167b3&quot;,&quot;CType&quot;:1,&quot;DisplayText&quot;:null}"/>
      <m:item xlName="_GBC_4a9c4891050f46febb181a926ba461ae" concept="clcid-ci-ar:DanWeiTongShiAnZhaoGuoJiKuaiJiZhunZeYuAnZhongGuoKuaiJiZhunZePiLuDeCaiWuBaoGaoZhongJingLiRunHeJingZiChanChaYiQingKuang" label="单位：同时按照国际会计准则与按中国会计准则披露的财务报告中净利润和净资产差异情况" selectOptions="_buildInScales" controlType="Combobox" cellType="Scale" binding="true" appId="_GBC_d4b99094c68c4643b25e25a564d131d1"/>
      <m:item xlName="_GBC_aa48a8ffe5904da68453612258b0bfaa" concept="clcid-ci-ar:BiZhongTongShiAnZhaoGuoJiKuaiJiZhunZeYuAnZhongGuoKuaiJiZhunZePiLuDeCaiWuBaoGaoZhongJingLiRunHeJingZiChanChaYiQingKuang" label="币种：同时按照国际会计准则与按中国会计准则披露的财务报告中净利润和净资产差异情况" selectOptions="_buildInISO4217" controlType="Combobox" cellType="Measure" binding="true" appId="_GBC_d4b99094c68c4643b25e25a564d131d1"/>
      <m:placeholder xlName="_PLD_d2e998b7f1964581959c59b0179e4faf" addr="T0R0C1S1_2"/>
      <m:placeholder xlName="_PLD_279a892065ac4145b12538757697201d" addr="T0R0C3S1_2"/>
      <m:placeholder xlName="_PLD_3a9dd13d99c0471aa6ab71d59b592ee9" addr="T0R1C1S1_1"/>
      <m:placeholder xlName="_PLD_5ff701042adc4944a3e91465025f2c43" addr="T0R1C2S1_1"/>
      <m:placeholder xlName="_PLD_efa0de1833974fd786e7538d6c280b26" addr="T0R1C3S1_1"/>
      <m:placeholder xlName="_PLD_dc796fe7c9a94aba9a6a63513361ab28" addr="T0R1C4S1_1"/>
      <m:placeholder xlName="_PLD_bb7345578f99401891563fdea1e50cdd" addr="T0R2C0S1_1"/>
      <m:item xlName="_GBC_32d268b228a848b79301ed22dc59f55d" concept="clcid-pte:GuiShuYuMuGongSiSuoYouZheDeJingLiRun" label="归属于母公司所有者的净利润" mulRef="_GBC_4a9c4891050f46febb181a926ba461ae" unitRef="_GBC_aa48a8ffe5904da68453612258b0bfaa" addr="T0R2C1S1_1" formatStyle="Comma" appId="_GBC_d4b99094c68c4643b25e25a564d131d1"/>
      <m:item xlName="_GBC_330c05d7c047454d9df694f9ac1dd17f" concept="clcid-pte:GuiShuYuMuGongSiSuoYouZheDeJingLiRun" label="归属于母公司所有者的净利润" periodRef="上年同期数" mulRef="_GBC_4a9c4891050f46febb181a926ba461ae" unitRef="_GBC_aa48a8ffe5904da68453612258b0bfaa" addr="T0R2C2S1_1" formatStyle="Comma" appId="_GBC_d4b99094c68c4643b25e25a564d131d1"/>
      <m:item xlName="_GBC_45f546bdb5a44dceb6a2deff44246b7b" concept="clcid-pte:GuiShuYuMuGongSiSuoYouZheQuanYiHeJi" label="归属于母公司所有者权益合计" mulRef="_GBC_4a9c4891050f46febb181a926ba461ae" unitRef="_GBC_aa48a8ffe5904da68453612258b0bfaa" addr="T0R2C3S1_1" formatStyle="Comma" appId="_GBC_d4b99094c68c4643b25e25a564d131d1"/>
      <m:item xlName="_GBC_9a2cde8235334e57a9aa4ed1bc090812" concept="clcid-pte:GuiShuYuMuGongSiSuoYouZheQuanYiHeJi" label="归属于母公司所有者权益合计" periodRef="本期期初数" mulRef="_GBC_4a9c4891050f46febb181a926ba461ae" unitRef="_GBC_aa48a8ffe5904da68453612258b0bfaa" addr="T0R2C4S1_1" formatStyle="Comma" appId="_GBC_d4b99094c68c4643b25e25a564d131d1"/>
      <m:placeholder xlName="_PLD_78a11dad0fa347a3886ae302fc573cdb" addr="T0R3C0S1_5"/>
      <m:tuple xlName="_GBC_b82adc64569148a4b7009ddbaf90b94c" concept="clcid-pte:AnGuoJiKuaiJiZhunZeTiaoZhengDeJingLiRunHeGuDongQuanYiMingXi" default_row="2" addr="T0R4C">
        <m:item xlName="_GBC_6215ba959d28452ea7c696b16c415915" concept="clcid-pte:AnGuoJiKuaiJiZhunZeTiaoZhengDeJingLiRunHeGuDongQuanYiMingXiXiangMu" label="按国际会计准则调整的净利润和股东权益明细-项目" addr="T0R4C0S1_1" appId="_GBC_d4b99094c68c4643b25e25a564d131d1"/>
        <m:item xlName="_GBC_8c4d577dafa843a5bd388c2e24af8508" concept="clcid-pte:AnGuoJiKuaiJiZhunZeTiaoZhengDeJingLiRunHeGuDongQuanYiMingXiJingLiRun" label="按国际会计准则调整的净利润和股东权益明细-净利润" mulRef="_GBC_4a9c4891050f46febb181a926ba461ae" unitRef="_GBC_aa48a8ffe5904da68453612258b0bfaa" addr="T0R4C1S1_1" formatStyle="Comma" appId="_GBC_d4b99094c68c4643b25e25a564d131d1"/>
        <m:item xlName="_GBC_b7161c4738c5438a8f31fc6bcb03c5cb" concept="clcid-pte:AnGuoJiKuaiJiZhunZeTiaoZhengDeJingLiRunHeGuDongQuanYiMingXiJingLiRun" label="按国际会计准则调整的净利润和股东权益明细-净利润" periodRef="上年同期数" mulRef="_GBC_4a9c4891050f46febb181a926ba461ae" unitRef="_GBC_aa48a8ffe5904da68453612258b0bfaa" addr="T0R4C2S1_1" formatStyle="Comma" appId="_GBC_d4b99094c68c4643b25e25a564d131d1"/>
        <m:item xlName="_GBC_106a37df4d8e4a6d873da6c95ea446db" concept="clcid-pte:AnGuoJiKuaiJiZhunZeTiaoZhengDeJingLiRunHeGuDongQuanYiMingXiGuDongQuanYi" label="按国际会计准则调整的净利润和股东权益明细-股东权益" mulRef="_GBC_4a9c4891050f46febb181a926ba461ae" unitRef="_GBC_aa48a8ffe5904da68453612258b0bfaa" addr="T0R4C3S1_1" formatStyle="Comma" appId="_GBC_d4b99094c68c4643b25e25a564d131d1"/>
        <m:item xlName="_GBC_98054917c35242b08a37d80c8190fd3e" concept="clcid-pte:AnGuoJiKuaiJiZhunZeTiaoZhengDeJingLiRunHeGuDongQuanYiMingXiGuDongQuanYi" label="按国际会计准则调整的净利润和股东权益明细-股东权益" periodRef="本期期初数" mulRef="_GBC_4a9c4891050f46febb181a926ba461ae" unitRef="_GBC_aa48a8ffe5904da68453612258b0bfaa" addr="T0R4C4S1_1" formatStyle="Comma" appId="_GBC_d4b99094c68c4643b25e25a564d131d1"/>
      </m:tuple>
      <m:placeholder xlName="_PLD_e4ec423f5072427e90b472a3d1f26190" addr="T0R6C0S1_1"/>
      <m:item xlName="_GBC_499398aaab9a4f1fbb651256783a9f63" concept="clcid-pte:AnGuoJiKuaiJiZhunZeTiaoZhengDeJingLiRunHeJi" label="按国际会计准则调整的净利润合计" mulRef="_GBC_4a9c4891050f46febb181a926ba461ae" unitRef="_GBC_aa48a8ffe5904da68453612258b0bfaa" addr="T0R6C1S1_1" formatStyle="Comma" appId="_GBC_d4b99094c68c4643b25e25a564d131d1"/>
      <m:item xlName="_GBC_44cee4fa09a7481684c3cfb98d8dba70" concept="clcid-pte:AnGuoJiKuaiJiZhunZeTiaoZhengDeJingLiRunHeJi" label="按国际会计准则调整的净利润合计" periodRef="上年同期数" mulRef="_GBC_4a9c4891050f46febb181a926ba461ae" unitRef="_GBC_aa48a8ffe5904da68453612258b0bfaa" addr="T0R6C2S1_1" formatStyle="Comma" appId="_GBC_d4b99094c68c4643b25e25a564d131d1"/>
      <m:item xlName="_GBC_3a86bf4ff78c4e2486156ab95ce4f90d" concept="clcid-pte:AnGuoJiKuaiJiZhunZeTiaoZhengDeGuDongQuanYiHeJi" label="按国际会计准则调整的股东权益合计" mulRef="_GBC_4a9c4891050f46febb181a926ba461ae" unitRef="_GBC_aa48a8ffe5904da68453612258b0bfaa" addr="T0R6C3S1_1" formatStyle="Comma" appId="_GBC_d4b99094c68c4643b25e25a564d131d1"/>
      <m:item xlName="_GBC_e8b937e398b2458dad0be85a214167b3" concept="clcid-pte:AnGuoJiKuaiJiZhunZeTiaoZhengDeGuDongQuanYiHeJi" label="按国际会计准则调整的股东权益合计" periodRef="本期期初数" mulRef="_GBC_4a9c4891050f46febb181a926ba461ae" unitRef="_GBC_aa48a8ffe5904da68453612258b0bfaa" addr="T0R6C4S1_1" formatStyle="Comma" appId="_GBC_d4b99094c68c4643b25e25a564d131d1"/>
    </m:section>
    <m:section xlName="_GBC_4dcd3e5d3e2046b28e99d35c3cbab7be" title="同时按照境外会计准则与按中国会计准则披露的财务报告中净利润和..." helpId="112001195" helpText="注：境内外会计准则下会计数据差异填列合并报表数据。">
      <m:item xlName="_GBC_843a3e6ff7b04c838cebdbe1b6b920a2" concept="clcid-ci-ar:ShiFouShiYongTongShiAnZhaoJingWaiKuaiJiZhunZeYuAnZhongGuoKuaiJiZhunZePiLuDeCaiWuBaoGaoZhongJingLiRunHeJingZiChanChaYiQingKuang" label="是否适用：同时按照境外会计准则与按中国会计准则披露的财务报告中净利润和净资产差异情况" selectOptions="_buildInAppliance" controlType="CustomCheckbox" cRanges="{&quot;StartName&quot;:&quot;_GBC_843a3e6ff7b04c838cebdbe1b6b920a2&quot;,&quot;EndName&quot;:&quot;_GBC_498d3f1982084a80b0af71863f774115&quot;,&quot;CType&quot;:1,&quot;DisplayText&quot;:null}"/>
      <m:item xlName="_GBC_09d5dc6ba7274b13912cb0c21a184489" concept="clcid-ci-ar:DanWeiTongShiAnZhaoJingWaiKuaiJiZhunZeYuAnZhongGuoKuaiJiZhunZePiLuDeCaiWuBaoGaoZhongJingLiRunHeJingZiChanChaYiQingKuang" label="单位：同时按照境外会计准则与按中国会计准则披露的财务报告中净利润和净资产差异情况" selectOptions="_buildInScales" controlType="Combobox" cellType="Scale" binding="true" appId="_GBC_843a3e6ff7b04c838cebdbe1b6b920a2"/>
      <m:item xlName="_GBC_39cce272b43846b99e500a74d442731e" concept="clcid-ci-ar:BiZhongTongShiAnZhaoJingWaiKuaiJiZhunZeYuAnZhongGuoKuaiJiZhunZePiLuDeCaiWuBaoGaoZhongJingLiRunHeJingZiChanChaYiQingKuang" label="币种：同时按照境外会计准则与按中国会计准则披露的财务报告中净利润和净资产差异情况" selectOptions="_buildInISO4217" controlType="Combobox" cellType="Measure" binding="true" appId="_GBC_843a3e6ff7b04c838cebdbe1b6b920a2"/>
      <m:placeholder xlName="_PLD_75b0bfcfc99249938b224ea0b1a5922b" addr="T0R0C1S1_2"/>
      <m:placeholder xlName="_PLD_12c8a21bf2624c9faea81630bd2dc83e" addr="T0R0C3S1_2"/>
      <m:placeholder xlName="_PLD_9f3c0a5098d44e1c94b9aeb496da574e" addr="T0R1C1S1_1"/>
      <m:placeholder xlName="_PLD_c6134d7080d4417d9ec4507a9cbdfee1" addr="T0R1C2S1_1"/>
      <m:placeholder xlName="_PLD_39999d00bbb24f3abeef1d64f24c3c14" addr="T0R1C3S1_1"/>
      <m:placeholder xlName="_PLD_777ed9eb8fb84940891f7b36d3f0b51c" addr="T0R1C4S1_1"/>
      <m:placeholder xlName="_PLD_858ed7fb33a04f469491d62f58c50d64" addr="T0R2C0S1_1"/>
      <m:item xlName="_GBC_48896858c2d14236903b89d7c762bea7" concept="clcid-pte:GuiShuYuMuGongSiSuoYouZheDeJingLiRun" label="归属于母公司所有者的净利润" mulRef="_GBC_09d5dc6ba7274b13912cb0c21a184489" unitRef="_GBC_39cce272b43846b99e500a74d442731e" addr="T0R2C1S1_1" formatStyle="Comma" appId="_GBC_843a3e6ff7b04c838cebdbe1b6b920a2"/>
      <m:item xlName="_GBC_a19cafac9e154dff99b697a819a355be" concept="clcid-pte:GuiShuYuMuGongSiSuoYouZheDeJingLiRun" label="归属于母公司所有者的净利润" periodRef="上年同期数" mulRef="_GBC_09d5dc6ba7274b13912cb0c21a184489" unitRef="_GBC_39cce272b43846b99e500a74d442731e" addr="T0R2C2S1_1" formatStyle="Comma" appId="_GBC_843a3e6ff7b04c838cebdbe1b6b920a2"/>
      <m:item xlName="_GBC_545ee37e182c44fb8818a279b8395226" concept="clcid-pte:GuiShuYuMuGongSiSuoYouZheQuanYiHeJi" label="归属于母公司所有者权益合计" mulRef="_GBC_09d5dc6ba7274b13912cb0c21a184489" unitRef="_GBC_39cce272b43846b99e500a74d442731e" addr="T0R2C3S1_1" formatStyle="Comma" appId="_GBC_843a3e6ff7b04c838cebdbe1b6b920a2"/>
      <m:item xlName="_GBC_1ae93665ef4c4bcf96f3fd89c119ed78" concept="clcid-pte:GuiShuYuMuGongSiSuoYouZheQuanYiHeJi" label="归属于母公司所有者权益合计" periodRef="本期期初数" mulRef="_GBC_09d5dc6ba7274b13912cb0c21a184489" unitRef="_GBC_39cce272b43846b99e500a74d442731e" addr="T0R2C4S1_1" formatStyle="Comma" appId="_GBC_843a3e6ff7b04c838cebdbe1b6b920a2"/>
      <m:placeholder xlName="_PLD_b787cf805b2949a59c4efe9943af54a4" addr="T0R3C0S1_5"/>
      <m:tuple xlName="_GBC_21f51a638c4349d88da218be025a72bf" concept="clcid-pte:AnJingWaiKuaiJiZhunZeTiaoZhengDeJingLiRunHeGuDongQuanYi" default_row="2" addr="T0R4C">
        <m:item xlName="_GBC_5253dd56d99543ffac2b2ef28926b8d5" concept="clcid-pte:GuoNeiWaiKuaiJiZhunZeChaYiTiaoZhengXiangMu" label="国内外会计准则差异调整项目" addr="T0R4C0S1_1" appId="_GBC_843a3e6ff7b04c838cebdbe1b6b920a2"/>
        <m:item xlName="_GBC_d9066e79927848408f8308c4fddc2cb1" concept="clcid-pte:AnJingWaiKuaiJiZhunZeTiaoZhengDeJingLiRun" label="按境外会计准则调整的净利润" mulRef="_GBC_09d5dc6ba7274b13912cb0c21a184489" unitRef="_GBC_39cce272b43846b99e500a74d442731e" addr="T0R4C1S1_1" formatStyle="Comma" appId="_GBC_843a3e6ff7b04c838cebdbe1b6b920a2"/>
        <m:item xlName="_GBC_9811e70ea9b74447a24de6d34634c359" concept="clcid-pte:AnJingWaiKuaiJiZhunZeTiaoZhengDeJingLiRun" label="按境外会计准则调整的净利润" periodRef="上年同期数" mulRef="_GBC_09d5dc6ba7274b13912cb0c21a184489" unitRef="_GBC_39cce272b43846b99e500a74d442731e" addr="T0R4C2S1_1" formatStyle="Comma" appId="_GBC_843a3e6ff7b04c838cebdbe1b6b920a2"/>
        <m:item xlName="_GBC_f1b4557afed14e228524ebb67ec85198" concept="clcid-pte:AnJingWaiKuaiJiZhunZeTiaoZhengDeGuDongQuanYi" label="按境外会计准则调整的股东权益" mulRef="_GBC_09d5dc6ba7274b13912cb0c21a184489" unitRef="_GBC_39cce272b43846b99e500a74d442731e" addr="T0R4C3S1_1" formatStyle="Comma" appId="_GBC_843a3e6ff7b04c838cebdbe1b6b920a2"/>
        <m:item xlName="_GBC_64a13e25f20f4ceaa50431608e1fe81a" concept="clcid-pte:AnJingWaiKuaiJiZhunZeTiaoZhengDeGuDongQuanYi" label="按境外会计准则调整的股东权益" periodRef="本期期初数" mulRef="_GBC_09d5dc6ba7274b13912cb0c21a184489" unitRef="_GBC_39cce272b43846b99e500a74d442731e" addr="T0R4C4S1_1" formatStyle="Comma" appId="_GBC_843a3e6ff7b04c838cebdbe1b6b920a2"/>
      </m:tuple>
      <m:placeholder xlName="_PLD_373725c58ceb421483158ca84b6a07b4" addr="T0R6C0S1_1"/>
      <m:item xlName="_GBC_0c86248272bc4757b4ec46ec989000fb" concept="clcid-pte:AnJingWaiKuaiJiZhunZeTiaoZhengDeJingLiRunHeJi" label="按境外会计准则调整的净利润合计" mulRef="_GBC_09d5dc6ba7274b13912cb0c21a184489" unitRef="_GBC_39cce272b43846b99e500a74d442731e" addr="T0R6C1S1_1" formatStyle="Comma" appId="_GBC_843a3e6ff7b04c838cebdbe1b6b920a2"/>
      <m:item xlName="_GBC_a77234151f2a4553b37fc125992f4f97" concept="clcid-pte:AnJingWaiKuaiJiZhunZeTiaoZhengDeJingLiRunHeJi" label="按境外会计准则调整的净利润合计" periodRef="上年同期数" mulRef="_GBC_09d5dc6ba7274b13912cb0c21a184489" unitRef="_GBC_39cce272b43846b99e500a74d442731e" addr="T0R6C2S1_1" formatStyle="Comma" appId="_GBC_843a3e6ff7b04c838cebdbe1b6b920a2"/>
      <m:item xlName="_GBC_00981fea238746fbba33ff39978887c6" concept="clcid-pte:AnJingWaiKuaiJiZhunZeTiaoZhengDeGuDongQuanYiHeJi" label="按境外会计准则调整的股东权益合计" mulRef="_GBC_09d5dc6ba7274b13912cb0c21a184489" unitRef="_GBC_39cce272b43846b99e500a74d442731e" addr="T0R6C3S1_1" formatStyle="Comma" appId="_GBC_843a3e6ff7b04c838cebdbe1b6b920a2"/>
      <m:item xlName="_GBC_498d3f1982084a80b0af71863f774115" concept="clcid-pte:AnJingWaiKuaiJiZhunZeTiaoZhengDeGuDongQuanYiHeJi" label="按境外会计准则调整的股东权益合计" periodRef="本期期初数" mulRef="_GBC_09d5dc6ba7274b13912cb0c21a184489" unitRef="_GBC_39cce272b43846b99e500a74d442731e" addr="T0R6C4S1_1" formatStyle="Comma" appId="_GBC_843a3e6ff7b04c838cebdbe1b6b920a2"/>
    </m:section>
    <m:section xlName="_GBC_28e04aa78d514ffaa91bd2d93b36d312" title="境内外会计准则下会计数据差异说明" convertSummaryRule="NoConvert" helpId="112001195">
      <m:item xlName="_GBC_62334d128084435e95edd8130b5dec58" concept="clcid-ci-ar:ShiFouShiYongJingNeiWaiHuiJiZhunZeXiaHuiJiShuJuChaYiShuoMing" label="是否适用：境内外会计准则下会计数据差异说明" selectOptions="_buildInAppliance" controlType="CustomCheckbox" cRanges="{&quot;StartName&quot;:&quot;_GBC_62334d128084435e95edd8130b5dec58&quot;,&quot;EndName&quot;:&quot;_GBC_db3e4daada1e423b8e68941db23820eb&quot;,&quot;CType&quot;:1,&quot;DisplayText&quot;:null}"/>
      <m:item xlName="_GBC_db3e4daada1e423b8e68941db23820eb" concept="clcid-pte:JingNeiWaiKuaiJiZhunZeXiaKuaiJiShuJuChaYiShuoMing" label="境内外会计准则下会计数据差异说明" appId="_GBC_62334d128084435e95edd8130b5dec58"/>
    </m:section>
    <m:section xlName="_GBC_a60672e5f86e422cbb864ef991c9106b" title="补充资料其他说明事项" helpId="112001166">
      <m:item xlName="_GBC_8954f89f8426424c966f1b658de53fe5" concept="clcid-ci-ar:ShiFouShiYongBuChongZiLiaoQiTaShuoMingShiXiang" label="是否适用：补充资料其他说明事项" selectOptions="_buildInAppliance" controlType="CustomCheckbox" cRanges="{&quot;StartName&quot;:&quot;_GBC_8954f89f8426424c966f1b658de53fe5&quot;,&quot;EndName&quot;:&quot;_GBC_44dc80633c8948be87b68b0c5b9c539c&quot;,&quot;CType&quot;:1,&quot;DisplayText&quot;:null}"/>
      <m:item xlName="_GBC_44dc80633c8948be87b68b0c5b9c539c" concept="clcid-pte:BuChongZiLiaoQiTaShuoMingShiXiang" label="补充资料其他说明事项" appId="_GBC_8954f89f8426424c966f1b658de53fe5"/>
    </m:section>
    <m:section xlName="_SEC_05b1791af4454108ad401bb8a64cf5c6" title="落款" convertSummaryRule="NoConvert" helpId="110002018">
      <m:item xlName="_GBC_f07cbb7287a94e798691f7fcb5112f49" concept="clcid-gcd:BaoGaoFaBuRen" label="报告发布人">
        <m:simpleRule dataType="Any" comparator="None" minOccurs="1"/>
      </m:item>
      <m:item xlName="_GBC_56d5d40e768a439aa604555fa2089c42" concept="clcid-gcd:BaoGaoDongShiHuiPiZhunBaoSongRiQi" label="报告董事会批准报送日期" controlType="DatePicker">
        <m:simpleRule dataType="Any" comparator="None" minOccurs="1"/>
      </m:item>
    </m:section>
    <m:section xlName="_GBC_e51b54728b2e4e53b95b0611d0df9b06" title="修订信息 " convertSummaryRule="NoConvert">
      <m:item xlName="_GBC_77b96fad3b8a43478db82cf4cb9686be" concept="clcid-ci-ar:ShiFouShiYongXiuDingXinXiBiao" label="是否适用：修订信息表" selectOptions="_buildInAppliance" controlType="CustomCheckbox" cRanges="{&quot;StartName&quot;:&quot;_GBC_77b96fad3b8a43478db82cf4cb9686be&quot;,&quot;EndName&quot;:&quot;_GBC_df2ad9b1abb94ac291d968d6014e2d66&quot;,&quot;CType&quot;:1,&quot;DisplayText&quot;:null}"/>
      <m:placeholder xlName="_PLD_f7872a6549994d2dbcda490f36e4d3db" addr="T0R0C0S1_1"/>
      <m:placeholder xlName="_PLD_a9a83b5040dc4f539daf354c06be2102" addr="T0R0C1S1_1"/>
      <m:placeholder xlName="_PLD_17ab3b612df44237884869df0a022a34" addr="T0R0C2S1_1"/>
      <m:tuple xlName="_GBC_54551da69d2343308a1d31e49f356b9b" concept="clcid-gcd:XiuDingXinXi" default_row="2" addr="T0R1C">
        <m:item xlName="_GBC_6ab57e5041b143a0b2bf18b82c2fe507" concept="clcid-gcd:BanBenHao" label="报告版本号" addr="T0R1C0S1_1" appId="_GBC_77b96fad3b8a43478db82cf4cb9686be"/>
        <m:item xlName="_GBC_934c38d3f4b5429482e81c84b3a4d590" concept="clcid-gcd:BaoGaoXiuDingHeGengZhengBuChongGongGaoFaBuShiJian" label="报告修订和更正、补充公告发布时间" addr="T0R1C1S1_1" appId="_GBC_77b96fad3b8a43478db82cf4cb9686be" keyAction="38"/>
        <m:item xlName="_GBC_df2ad9b1abb94ac291d968d6014e2d66" concept="clcid-gcd:GengZhengBuChongGongGao" label="更正、补充公告" addr="T0R1C2S1_1" appId="_GBC_77b96fad3b8a43478db82cf4cb9686be"/>
      </m:tuple>
    </m:section>
    <m:item xlName="_GBC_8e6b9cf2d8c24a6faf41199f98e408b3" helpId="112500014" concept="clcid-ci-ar:ShiFouShiYongZhaiQuanXiangGuanQingKuang" label="是否适用：债券相关情况" selectOptions="_buildInAppliance" controlType="CustomCheckbox" cRanges="[{&quot;StartName&quot;:&quot;_GBC_8e6b9cf2d8c24a6faf41199f98e408b3&quot;,&quot;EndName&quot;:&quot;_SEC_9f3013bc6d4940f49cf3cfe39dab5a57&quot;,&quot;CType&quot;:1}]"/>
    <m:item xlName="_GBC_7c4c7c12d42c40e9887e57bdc1801da4" concept="clcid-ci-ar:ShiFouShiYongQiYeZhaiQuanXiangGuanQingKuang" label="是否适用：企业债券相关情况" selectOptions="_buildInAppliance" controlType="CustomCheckbox" cRanges="[{&quot;StartName&quot;:&quot;_GBC_7c4c7c12d42c40e9887e57bdc1801da4&quot;,&quot;EndName&quot;:&quot;_SEC_dbc98e4c075e49c18bbf04d0299c6d86&quot;,&quot;CType&quot;:1}]">
      <m:axisValue occRef="企业债券"/>
    </m:item>
    <m:section xlName="_SEC_85d0b54bde8b4d2fb3c3f92b899136c1" title="企业债券基本情况" convertSummaryRule="NoConvert" helpId="112500001">
      <m:item xlName="_GBC_19e0c6705c3a4639afd3b8ba31e45eee" concept="clcid-ci-ar:DanWeiCaiWuFuZhuGongSiZhaiQuanJiBenQingKuang" label="单位：财务附注：公司债券基本情况" selectOptions="_buildInScales" controlType="Combobox" cellType="Scale" appId="_GBC_0aefba4fc6d84d32a7c7d372906dfb2e">
        <m:axisValue occRef="企业债券"/>
      </m:item>
      <m:item xlName="_GBC_6e4c2b75c4fc45af800104909f61dac5" concept="clcid-ci-ar:BiZhongCaiWuFuZhuGongSiZhaiQuanJiBenQingKuang" label="币种：财务附注：公司债券基本情况" selectOptions="_buildInISO4217" controlType="Combobox" cellType="Measure" appId="_GBC_0aefba4fc6d84d32a7c7d372906dfb2e">
        <m:axisValue occRef="企业债券"/>
      </m:item>
      <m:placeholder xlName="_PLD_9121e8f94c874bf38743ed61b45f1e98" addr="T0R0C0S1_1"/>
      <m:placeholder xlName="_PLD_e7890e1aa9a246afba5f029403a87cf6" addr="T0R0C1S1_1"/>
      <m:placeholder xlName="_PLD_52fd8d09d4254606abfde395dc5b67ff" addr="T0R0C2S1_1"/>
      <m:placeholder xlName="_PLD_c11746ff49bf48b0bc9f10844d3191a7" addr="T0R0C3S1_1"/>
      <m:placeholder xlName="_PLD_3754327a39394aa8a5524f780ec28c6b" addr="T0R0C4S1_1"/>
      <m:placeholder xlName="_PLD_c55c74b8d7df46ea88bebb0bddda7d87" addr="T0R0C5S1_1"/>
      <m:placeholder xlName="_PLD_1d38aff683824ffe80469242b6edfcfd" addr="T0R0C6S1_1"/>
      <m:placeholder xlName="_PLD_f8eb065de0134ae490799bc762247878" addr="T0R0C7S1_1"/>
      <m:placeholder xlName="_PLD_297d6b04c71d49fa88654b34546fbb13" addr="T0R0C8S1_1"/>
      <m:placeholder xlName="_PLD_fd6a0cd4218f43af87d73a6602bec8a8" addr="T0R0C9S1_1"/>
      <m:placeholder xlName="_PLD_9231666fbed84335b227da9fac8cbd1e" addr="T0R0C10S1_1"/>
      <m:placeholder xlName="_PLD_18190fa706e643f4982cbe6e71f8165c" addr="T0R0C11S1_1"/>
      <m:placeholder xlName="_PLD_ddb86bb3008f4b07b48e467dc62e9cdd" addr="T0R0C12S1_1"/>
      <m:tuple xlName="_TUP_a775703ee52e4df0ae9d33dc8cd3cf1d" concept="clcid-cgi:GongSiZhaiQuanJiBenQingKuangMingXi" default_row="2" addr="T0R1C">
        <m:item xlName="_GBC_6bb6e340fe06499f8cd748ad53d79691" concept="clcid-cgi:GongSiZhaiQuanJiBenQingKuangMingXiZhaiQuanMingCheng" label="公司债券基本情况明细_债券名称" addr="T0R1C0S1_1" appId="_GBC_7c4c7c12d42c40e9887e57bdc1801da4">
          <m:axisValue occRef="企业债券"/>
        </m:item>
        <m:item xlName="_GBC_65fc2d68eb494997a2d226cca95707f4" concept="clcid-cgi:GongSiZhaiQuanJiBenQingKuangMingXiJianCheng" label="公司债券基本情况明细_简称" addr="T0R1C1S1_1" appId="_GBC_7c4c7c12d42c40e9887e57bdc1801da4">
          <m:axisValue occRef="企业债券"/>
        </m:item>
        <m:item xlName="_GBC_7fd22fa703194b6a902798130c04f642" concept="clcid-cgi:GongSiZhaiQuanJiBenQingKuangMingXiDaiMa" label="公司债券基本情况明细_代码" addr="T0R1C2S1_1" appId="_GBC_7c4c7c12d42c40e9887e57bdc1801da4">
          <m:axisValue occRef="企业债券"/>
        </m:item>
        <m:item xlName="_GBC_d48f11a3965c4e46b57a09ef2d83838d" concept="clcid-cgi:GongSiZhaiQuanJiBenQingKuangMingXiFaXingRi" label="公司债券基本情况明细_发行日" addr="T0R1C3S1_1" appId="_GBC_7c4c7c12d42c40e9887e57bdc1801da4" keyAction="38">
          <m:axisValue occRef="企业债券"/>
        </m:item>
        <m:item xlName="_GBC_9f91b14d884344f08d8584587bccffe1" concept="clcid-cgi:GongSiZhaiQuanJiBenQingKuangMingXiQiXiRi" label="公司债券基本情况明细_起息日" addr="T0R1C4S1_1" appId="_GBC_7c4c7c12d42c40e9887e57bdc1801da4">
          <m:axisValue occRef="企业债券"/>
        </m:item>
        <m:item xlName="_GBC_be1ef6f7ea21420c943054dce10a1ada" concept="clcid-cgi:GongSiZhaiQuanJiBenQingKuangMingXiDaoQiRi" label="公司债券基本情况明细_到期日" addr="T0R1C5S1_1" appId="_GBC_7c4c7c12d42c40e9887e57bdc1801da4" keyAction="38">
          <m:axisValue occRef="企业债券"/>
        </m:item>
        <m:item xlName="_GBC_4f89d0b78edf4d589a1d92aced494301" concept="clcid-cgi:GongSiZhaiQuanJiBenQingKuangMingXiZhaiQuanYuE" label="公司债券基本情况明细_债券余额" mulRef="_GBC_19e0c6705c3a4639afd3b8ba31e45eee" unitRef="_GBC_6e4c2b75c4fc45af800104909f61dac5" addr="T0R1C6S1_1" formatStyle="Comma" appId="_GBC_7c4c7c12d42c40e9887e57bdc1801da4">
          <m:axisValue occRef="企业债券"/>
        </m:item>
        <m:item xlName="_GBC_c5de8082628f4ef4b1593227f7c136a3" concept="clcid-cgi:GongSiZhaiQuanJiBenQingKuangMingXiLiLv" label="公司债券基本情况明细_利率" addr="T0R1C7S1_1" baseScale="0.01" formatStyle="Comma" appId="_GBC_7c4c7c12d42c40e9887e57bdc1801da4">
          <m:axisValue occRef="企业债券"/>
        </m:item>
        <m:item xlName="_GBC_2f3930cd94b945bbadc7450f5bb2abec" concept="clcid-cgi:GongSiZhaiQuanJiBenQingKuangMingXiHuanBenFuXiFangShi" label="公司债券基本情况明细_还本付息方式" addr="T0R1C8S1_1" appId="_GBC_7c4c7c12d42c40e9887e57bdc1801da4">
          <m:axisValue occRef="企业债券"/>
        </m:item>
        <m:item xlName="_GBC_cc41f42c848542048c4be076f1ba279e" concept="clcid-cgi:GongSiZhaiQuanJiBenQingKuangMingXiJiaoYiChangSuo" label="公司债券基本情况明细_交易场所" addr="T0R1C9S1_1" appId="_GBC_7c4c7c12d42c40e9887e57bdc1801da4">
          <m:axisValue occRef="企业债券"/>
        </m:item>
        <m:item xlName="_GBC_14aa824567bd46499c23772ef76fe41d" concept="clcid-cgi:GongSiZhaiQuanJiBenQingKuangMingXiTouZiZheShiDangXingAnPai" label="公司债券基本情况明细_投资者适当性安排" addr="T0R1C10S1_1" appId="_GBC_7c4c7c12d42c40e9887e57bdc1801da4">
          <m:axisValue occRef="企业债券"/>
        </m:item>
        <m:item xlName="_GBC_893fa2a75ea44e9f8fe471f54c385d15" concept="clcid-cgi:GongSiZhaiQuanJiBenQingKuangMingXiJiaoYiJiZhi" label="公司债券基本情况明细_交易机制" addr="T0R1C11S1_1" appId="_GBC_7c4c7c12d42c40e9887e57bdc1801da4">
          <m:axisValue occRef="企业债券"/>
        </m:item>
        <m:item xlName="_GBC_95e9ed7b722d4980a2fb15bab2d8e111" concept="clcid-cgi:GongSiZhaiQuanJiBenQingKuangMingXiShiFouCunZaiZhongZhiShangShiJiaoYiDeFengXian" label="公司债券基本情况明细_是否存在终止上市交易的风险 " selectOptions="_buildInYesNo" addr="T0R1C12S1_1" controlType="Combobox" appId="_GBC_7c4c7c12d42c40e9887e57bdc1801da4">
          <m:axisValue occRef="企业债券"/>
        </m:item>
      </m:tuple>
    </m:section>
    <m:section xlName="_SEC_bec7a7bee871408cb8ec66a254d6e601" title="企业债券 公司对债券终止上市交易风险的应对措施" helpId="112500001">
      <m:item xlName="_GBC_3130e039f5814f4489e36ca1230fcfc9" concept="clcid-ci-ar:ShiFouShiYongGongSiDuiZhaiQuanZhongZhiShangShiJiaoYiFengXianDeYingDuiCuoShi" label="是否适用：公司对债券终止上市交易风险的应对措施 " selectOptions="_buildInAppliance" controlType="CustomCheckbox" cRanges="[{&quot;StartName&quot;:&quot;_GBC_3130e039f5814f4489e36ca1230fcfc9&quot;,&quot;EndName&quot;:&quot;_GBC_ef0a692027254f4a803c3ca5b3c730f2&quot;,&quot;CType&quot;:1}]">
        <m:axisValue occRef="企业债券"/>
      </m:item>
      <m:item xlName="_GBC_ef0a692027254f4a803c3ca5b3c730f2" concept="clcid-cgi:GongSiDuiZhaiQuanZhongZhiShangShiJiaoYiFengXianDeYingDuiCuoShi" label="公司对债券终止上市交易风险的应对措施 " appId="_GBC_3130e039f5814f4489e36ca1230fcfc9">
        <m:axisValue occRef="企业债券"/>
      </m:item>
    </m:section>
    <m:section xlName="_SEC_19ea1e34a07e43908734d868f999e885" title="企业债券逾期未偿还债券" helpId="112500009">
      <m:item xlName="_GBC_7c6c703dd23a42e6a4a806e9fb75c069" concept="clcid-ci-ar:ShiFouShiYongYuQiWeiChangHuanZhaiQuan" label="是否适用：逾期未偿还债券" selectOptions="_buildInAppliance" controlType="CustomCheckbox" cRanges="[{&quot;StartName&quot;:&quot;_GBC_7c6c703dd23a42e6a4a806e9fb75c069&quot;,&quot;EndName&quot;:&quot;_GBC_75ad3e35acca41deb4bc2aedc8101a8a&quot;,&quot;CType&quot;:1}]">
        <m:axisValue occRef="企业债券"/>
      </m:item>
      <m:item xlName="_GBC_d0cf9c3e9b1646beb453fa8883e918cf" concept="clcid-ci-ar:DanWeiYuQiWeiChangHuanZhaiQuan" label="单位：逾期未偿还债券" selectOptions="_buildInScales" controlType="Combobox" cellType="Scale" appId="_GBC_7c6c703dd23a42e6a4a806e9fb75c069">
        <m:axisValue occRef="企业债券"/>
      </m:item>
      <m:item xlName="_GBC_801cab65d0f74f3e98be7c102d805b35" concept="clcid-ci-ar:BiZhongYuQiWeiChangHuanZhaiQuan" label="币种：逾期未偿还债券" selectOptions="_buildInISO4217" controlType="Combobox" cellType="Measure" appId="_GBC_7c6c703dd23a42e6a4a806e9fb75c069">
        <m:axisValue occRef="企业债券"/>
      </m:item>
      <m:placeholder xlName="_PLD_b6f9631c57d44111b141c63a9de5839c" addr="T0R0C0S1_1"/>
      <m:placeholder xlName="_PLD_05a2d72dd63f43adb8624c5efd68dff9" addr="T0R0C1S1_1"/>
      <m:placeholder xlName="_PLD_cc5856adfd084921a98960ab29b7cdd1" addr="T0R0C2S1_1"/>
      <m:placeholder xlName="_PLD_841fbe5a37d8455189fa6a2d82f5691b" addr="T0R0C3S1_1"/>
      <m:tuple xlName="_TUP_6e44681a63724aef989fac01224cf502" concept="clcid-cgi:YuQiWeiChangHuanZhaiQuan" default_row="2" addr="T0R1C">
        <m:item xlName="_GBC_201c4acb98b247f194f75e95fd382934" concept="clcid-cgi:YuQiWeiChangHuanZhaiQuanMingXiZhaiQuanMingCheng" label="逾期未偿还债券明细_债券名称" addr="T0R1C0S1_1" appId="_GBC_7c6c703dd23a42e6a4a806e9fb75c069">
          <m:axisValue occRef="企业债券"/>
        </m:item>
        <m:item xlName="_GBC_9ee318cb7411427f8e63f65dee6375ec" concept="clcid-cgi:YuQiWeiChangHuanZhaiQuanMingXiWeiChangHuanYuE" label="逾期未偿还债券明细_未偿还余额" mulRef="_GBC_d0cf9c3e9b1646beb453fa8883e918cf" unitRef="_GBC_801cab65d0f74f3e98be7c102d805b35" addr="T0R1C1S1_1" formatStyle="Comma" appId="_GBC_7c6c703dd23a42e6a4a806e9fb75c069">
          <m:axisValue occRef="企业债券"/>
        </m:item>
        <m:item xlName="_GBC_c1c32b6cddb7435f973f8449542e3721" concept="clcid-cgi:YuQiWeiChangHuanZhaiQuanMingXiWeiAnQiChangHuanDeYuanYin" label="逾期未偿还债券明细_未按期偿还的原因" addr="T0R1C2S1_1" appId="_GBC_7c6c703dd23a42e6a4a806e9fb75c069">
          <m:axisValue occRef="企业债券"/>
        </m:item>
        <m:item xlName="_GBC_75ad3e35acca41deb4bc2aedc8101a8a" concept="clcid-cgi:YuQiWeiChangHuanZhaiQuanMingXiChuZhiJinZhan" label="逾期未偿还债券明细_处置进展" addr="T0R1C3S1_1" appId="_GBC_7c6c703dd23a42e6a4a806e9fb75c069">
          <m:axisValue occRef="企业债券"/>
        </m:item>
      </m:tuple>
    </m:section>
    <m:section xlName="_SEC_e373241d81c84f18ab737092545c8398" title="企业债券关于逾期债项的说明" helpId="112500009">
      <m:item xlName="_GBC_29c3fac0296d447ba0765e9d9d1bcaab" concept="clcid-ci-ar:ShiFouShiYongGuanYuYuQiZhaiXiangDeShuoMing" label="是否适用：关于逾期债项的说明 " selectOptions="_buildInAppliance" controlType="CustomCheckbox" cRanges="[{&quot;StartName&quot;:&quot;_GBC_29c3fac0296d447ba0765e9d9d1bcaab&quot;,&quot;EndName&quot;:&quot;_GBC_248ec3f25a1040939aac60adb0040a85&quot;,&quot;CType&quot;:1}]">
        <m:axisValue occRef="企业债券"/>
      </m:item>
      <m:item xlName="_GBC_248ec3f25a1040939aac60adb0040a85" concept="clcid-cgi:GuanYuYuQiZhaiXiangDeShuoMing" label="关于逾期债项的说明" summaryGuid="_GBC_c9eed19c4e9b406c85ab9e57fc87d21c" appId="_GBC_29c3fac0296d447ba0765e9d9d1bcaab">
        <m:axisValue occRef="企业债券"/>
      </m:item>
    </m:section>
    <m:section xlName="_SEC_2097e57073524d6e99c3585d9a0b9cf3" title="企业债券发行人或投资者选择权条款、投资者保护条款的触发和执行情况" helpId="110002105">
      <m:item xlName="_GBC_e228fb980fd6493fa2c229deb79cd352" concept="clcid-ci-ar:ShiFouShiYongFaXingRenHuoTouZiZheXuanZeQuanTiaoKuanTouZiZheBaoHuTiaoKuanDeChuFaHeZhiXingQingKuang" label="是否适用：发行人或投资者选择权条款、投资者保护条款的触发和执行情况" selectOptions="_buildInAppliance" controlType="CustomCheckbox" cRanges="[{&quot;StartName&quot;:&quot;_GBC_e228fb980fd6493fa2c229deb79cd352&quot;,&quot;EndName&quot;:&quot;_GBC_133bb21383264c89888ed254b394d701&quot;,&quot;CType&quot;:1}]">
        <m:axisValue occRef="企业债券"/>
      </m:item>
      <m:item xlName="_GBC_133bb21383264c89888ed254b394d701" concept="clcid-cgi:FaXingRenHuoTouZiZheXuanZeQuanTiaoKuanTouZiZheBaoHuTiaoKuanDeChuFaHeZhiXingQingKuang" label="发行人或投资者选择权条款、投资者保护条款的触发和执行情况" appId="_GBC_e228fb980fd6493fa2c229deb79cd352">
        <m:axisValue occRef="企业债券"/>
      </m:item>
    </m:section>
    <m:section xlName="_SEC_5fe89808c20b48f3bc1c603a34091b94" title="企业债券信用评级结果调整情况" helpId="112500004">
      <m:item xlName="_GBC_5585e3aa8ee04598b18da385afca9e35" concept="clcid-ci-ar:ShiFouShiYongGongSiZhaiQuanPingJiQingKuang" label="是否适用：公司债券评级情况" selectOptions="_buildInAppliance" controlType="CustomCheckbox" cRanges="[{&quot;StartName&quot;:&quot;_GBC_5585e3aa8ee04598b18da385afca9e35&quot;,&quot;EndName&quot;:&quot;_GBC_9f758b8bb6894d07a734f0176defdf85&quot;,&quot;CType&quot;:1}]">
        <m:axisValue occRef="企业债券"/>
      </m:item>
      <m:item xlName="_GBC_9f758b8bb6894d07a734f0176defdf85" concept="clcid-cgi:GongSiZhaiQuanZiXinPingJiJiGouQingKuang" label="公司债券资信评级机构情况" appId="_GBC_5585e3aa8ee04598b18da385afca9e35">
        <m:axisValue occRef="企业债券"/>
      </m:item>
    </m:section>
    <m:section xlName="_SEC_c54b4994eced43109b26b528c46925bc" title="企业债券_担保情况、偿债计划及其他偿债保障措施在报告期内的执行和变化情况及其影响" helpId="110002106">
      <m:item xlName="_GBC_9597d12de56a48cbac2e6aa49be54186" concept="clcid-ci-ar:ShiFouShiYongDanBaoQingKuangChangZhaiJiHuaJiQiTaChangZhaiBaoZhangCuoShiZaiBaoGaoQiNeiDeZhiXingQingKuangHeBianHuaQingKuangJiDuiZhaiQuanTouZiZheQuanYiDeYingXiang" label="是否适用：担保情况、偿债计划及其他偿债保障措施在报告期内的执行情况和变化情况及对债券投资者权益的影响" selectOptions="_buildInAppliance" controlType="CustomCheckbox" cRanges="[{&quot;StartName&quot;:&quot;_GBC_9597d12de56a48cbac2e6aa49be54186&quot;,&quot;EndName&quot;:&quot;_GBC_f1d11c073a1c45778d38ce692c82381a&quot;,&quot;CType&quot;:1}]">
        <m:axisValue occRef="企业债券"/>
      </m:item>
      <m:item xlName="_GBC_f1d11c073a1c45778d38ce692c82381a" concept="clcid-cgi:DanBaoQingKuangChangZhaiJiHuaJiQiTaChangZhaiBaoZhangCuoShiZaiBaoGaoQiNeiDeZhiXingQingKuangHeBianHuaQingKuangJiDuiZhaiQuanTouZiZheQuanYiDeYingXiang" label="担保情况、偿债计划及其他偿债保障措施在报告期内的执行情况和变化情况及对债券投资者权益的影响" appId="_GBC_9597d12de56a48cbac2e6aa49be54186">
        <m:axisValue occRef="企业债券"/>
      </m:item>
    </m:section>
    <m:section xlName="_SEC_dbc98e4c075e49c18bbf04d0299c6d86" title="企业债券其他情况的说明">
      <m:item xlName="_GBC_1ea1f86ad3684e0b8b85f8394e00adb2" concept="clcid-ci-ar:ShiFouShiYongQiYeZhaiQuanQiTaQingKuangDeShuoMing" label="是否适用：企业债券其他情况的说明" selectOptions="_buildInAppliance" controlType="CustomCheckbox" cRanges="[{&quot;StartName&quot;:&quot;_GBC_1ea1f86ad3684e0b8b85f8394e00adb2&quot;,&quot;EndName&quot;:&quot;_GBC_ee2e5091dc7146c5aff3e11b91c7cdcb&quot;,&quot;CType&quot;:1}]"/>
      <m:item xlName="_GBC_ee2e5091dc7146c5aff3e11b91c7cdcb" concept="clcid-cgi:QiYeZhaiQuanQiTaQingKuangDeShuoMing" label="企业债券其他情况的说明" appId="_GBC_1ea1f86ad3684e0b8b85f8394e00adb2"/>
    </m:section>
    <m:item xlName="_GBC_0aefba4fc6d84d32a7c7d372906dfb2e" concept="clcid-ci-ar:ShiFouShiYongGongSiZhaiQuanXiangGuanQingKuang" label="是否适用：公司债券相关情况" selectOptions="_buildInAppliance" controlType="CustomCheckbox" cRanges="[{&quot;StartName&quot;:&quot;_GBC_0aefba4fc6d84d32a7c7d372906dfb2e&quot;,&quot;EndName&quot;:&quot;_SEC_c37bdbc7a0544c2485b82ea29a71e678&quot;,&quot;CType&quot;:1}]"/>
    <m:section xlName="_SEC_ea7d4fd769564315a74d9d85b6aed2f9" title="公司债券基本情况" convertSummaryRule="NoConvert" helpId="112500001">
      <m:item xlName="_GBC_bd658d77218145d782a67ef68bab687b" concept="clcid-ci-ar:DanWeiCaiWuFuZhuGongSiZhaiQuanJiBenQingKuang" label="单位：财务附注：公司债券基本情况" selectOptions="_buildInScales" controlType="Combobox" cellType="Scale" appId="_GBC_8e6b9cf2d8c24a6faf41199f98e408b3"/>
      <m:item xlName="_GBC_99178ae7acc84ea696b56df7822a8594" concept="clcid-ci-ar:BiZhongCaiWuFuZhuGongSiZhaiQuanJiBenQingKuang" label="币种：财务附注：公司债券基本情况" selectOptions="_buildInISO4217" controlType="Combobox" cellType="Measure" appId="_GBC_8e6b9cf2d8c24a6faf41199f98e408b3"/>
      <m:placeholder xlName="_PLD_ee9ae463d25e492ca21fbb706dc69510" addr="T0R0C0S1_1"/>
      <m:placeholder xlName="_PLD_7cfab760046e4722b30a3d9d7139915a" addr="T0R0C1S1_1"/>
      <m:placeholder xlName="_PLD_158dc23ab6eb449eb1af98db4f76a461" addr="T0R0C2S1_1"/>
      <m:placeholder xlName="_PLD_0786059317ff458e8abe297727e93701" addr="T0R0C3S1_1"/>
      <m:placeholder xlName="_PLD_4b6f0176cf0c49b1887cd73b4c82c54c" addr="T0R0C4S1_1"/>
      <m:placeholder xlName="_PLD_73414814a5554ab9a3b2f77ed7981a78" addr="T0R0C5S1_1"/>
      <m:placeholder xlName="_PLD_5e1a5c514ba44564b503b46180ef32f6" addr="T0R0C6S1_1"/>
      <m:placeholder xlName="_PLD_dad6727aad3e47e9a90174643bbb9999" addr="T0R0C7S1_1"/>
      <m:placeholder xlName="_PLD_0dc08131a697459984a729607a3f1745" addr="T0R0C8S1_1"/>
      <m:placeholder xlName="_PLD_a52870a0bed34b6f81618fdbf439c3e2" addr="T0R0C9S1_1"/>
      <m:tuple xlName="_TUP_f9a2be8b4d794140bf70d041ece6adeb" concept="clcid-cgi:GongSiZhaiQuanJiBenQingKuangMingXi" default_row="2" addr="T0R1C">
        <m:item xlName="_GBC_e669124feb2d487bb4425cbffbac5718" concept="clcid-cgi:GongSiZhaiQuanJiBenQingKuangMingXiZhaiQuanMingCheng" label="公司债券基本情况明细_债券名称" addr="T0R1C0S1_1" appId="_GBC_0aefba4fc6d84d32a7c7d372906dfb2e"/>
        <m:item xlName="_GBC_3a50f837422f49daa5459199ffa6075f" concept="clcid-cgi:GongSiZhaiQuanJiBenQingKuangMingXiJianCheng" label="公司债券基本情况明细_简称" addr="T0R1C1S1_1" appId="_GBC_0aefba4fc6d84d32a7c7d372906dfb2e"/>
        <m:item xlName="_GBC_09c186c59fd747a0976959a093d3037e" concept="clcid-cgi:GongSiZhaiQuanJiBenQingKuangMingXiDaiMa" label="公司债券基本情况明细_代码" addr="T0R1C2S1_1" appId="_GBC_0aefba4fc6d84d32a7c7d372906dfb2e"/>
        <m:item xlName="_GBC_9c776ecee001414db26d46c781e4c418" concept="clcid-cgi:GongSiZhaiQuanJiBenQingKuangMingXiFaXingRi" label="公司债券基本情况明细_发行日" addr="T0R1C3S1_1" appId="_GBC_0aefba4fc6d84d32a7c7d372906dfb2e" keyAction="38"/>
        <m:item xlName="_GBC_270b16d7871c459781cb6e07ca888602" concept="clcid-cgi:GongSiZhaiQuanJiBenQingKuangMingXiQiXiRi" label="公司债券基本情况明细_起息日" addr="T0R1C4S1_1" appId="_GBC_0aefba4fc6d84d32a7c7d372906dfb2e"/>
        <m:item xlName="_GBC_13d946d52c63489ca7b5236a622cbbbd" concept="clcid-cgi:GongSiZhaiQuanJiBenQingKuangMingXiDaoQiRi" label="公司债券基本情况明细_到期日" addr="T0R1C5S1_1" appId="_GBC_0aefba4fc6d84d32a7c7d372906dfb2e" keyAction="38"/>
        <m:item xlName="_GBC_874dd5c3a5b5451ab3af4dd445cfb637" concept="clcid-cgi:GongSiZhaiQuanJiBenQingKuangMingXiZhaiQuanYuE" label="公司债券基本情况明细_债券余额" mulRef="_GBC_bd658d77218145d782a67ef68bab687b" unitRef="_GBC_99178ae7acc84ea696b56df7822a8594" addr="T0R1C6S1_1" formatStyle="Comma" appId="_GBC_0aefba4fc6d84d32a7c7d372906dfb2e"/>
        <m:item xlName="_GBC_33f7a085723e48c58c809babbe4ac58d" concept="clcid-cgi:GongSiZhaiQuanJiBenQingKuangMingXiLiLv" label="公司债券基本情况明细_利率" addr="T0R1C7S1_1" baseScale="0.01" formatStyle="Comma" appId="_GBC_0aefba4fc6d84d32a7c7d372906dfb2e"/>
        <m:item xlName="_GBC_a7ce7d9a2c96444283b8260ef3cf528c" concept="clcid-cgi:GongSiZhaiQuanJiBenQingKuangMingXiHuanBenFuXiFangShi" label="公司债券基本情况明细_还本付息方式" addr="T0R1C8S1_1" appId="_GBC_0aefba4fc6d84d32a7c7d372906dfb2e"/>
        <m:item xlName="_GBC_6cfb310806134b6daea5c4584f780c44" concept="clcid-cgi:GongSiZhaiQuanJiBenQingKuangMingXiJiaoYiChangSuo" label="公司债券基本情况明细_交易场所" addr="T0R1C9S1_1" appId="_GBC_0aefba4fc6d84d32a7c7d372906dfb2e"/>
        <m:item xlName="_GBC_b2deaddb3f0c419089cfba8cbd638283" concept="clcid-cgi:GongSiZhaiQuanJiBenQingKuangMingXiTouZiZheShiDangXingAnPai" label="公司债券基本情况明细_投资者适当性安排" addr="T0R1C10S1_1" appId="_GBC_0aefba4fc6d84d32a7c7d372906dfb2e"/>
        <m:item xlName="_GBC_ca59f70231a742a687a96ab135866df6" concept="clcid-cgi:GongSiZhaiQuanJiBenQingKuangMingXiJiaoYiJiZhi" label="公司债券基本情况明细_交易机制" addr="T0R1C11S1_1" appId="_GBC_0aefba4fc6d84d32a7c7d372906dfb2e"/>
        <m:item xlName="_GBC_02667000c78f476fba73f0964c9865b3" concept="clcid-cgi:GongSiZhaiQuanJiBenQingKuangMingXiShiFouCunZaiZhongZhiShangShiJiaoYiDeFengXian" label="公司债券基本情况明细_是否存在终止上市交易的风险 " selectOptions="_buildInYesNo" addr="T0R1C12S1_1" controlType="Combobox" appId="_GBC_0aefba4fc6d84d32a7c7d372906dfb2e"/>
      </m:tuple>
      <m:placeholder xlName="_PLD_02d29026295c4cbc93c2501c0d82e582" addr="T0R0C11S1_1"/>
      <m:placeholder xlName="_PLD_537d595e1283406a968193650e8334f1" addr="T0R0C12S1_1"/>
      <m:placeholder xlName="_PLD_2b5f840745ff4e6fade269d44347ba29" addr="T0R0C10S1_1"/>
    </m:section>
    <m:section xlName="_SEC_a78818601652484a980eda0c78d6536d" title="公司对债券终止上市交易风险的应对措施  ____" helpId="112500001">
      <m:item xlName="_GBC_fa1265d9d8f2402a80462c3b9ee0681e" concept="clcid-ci-ar:ShiFouShiYongGongSiDuiZhaiQuanZhongZhiShangShiJiaoYiFengXianDeYingDuiCuoShi" label="是否适用：公司对债券终止上市交易风险的应对措施 " selectOptions="_buildInAppliance" controlType="CustomCheckbox" cRanges="[{&quot;StartName&quot;:&quot;_GBC_fa1265d9d8f2402a80462c3b9ee0681e&quot;,&quot;EndName&quot;:&quot;_GBC_2276f57ada374d5f81746794672891f6&quot;,&quot;CType&quot;:1}]"/>
      <m:item xlName="_GBC_2276f57ada374d5f81746794672891f6" concept="clcid-cgi:GongSiDuiZhaiQuanZhongZhiShangShiJiaoYiFengXianDeYingDuiCuoShi" label="公司对债券终止上市交易风险的应对措施 " appId="_GBC_fa1265d9d8f2402a80462c3b9ee0681e"/>
    </m:section>
    <m:section xlName="_SEC_93ba28f6e182409d9aa6e3ecd1486efd" title="逾期未偿还债券  单位:元币种:人民币债券名称 未偿..." helpId="112500009">
      <m:item xlName="_GBC_fb634e5ee243464e99bfca2d087924e6" concept="clcid-ci-ar:ShiFouShiYongYuQiWeiChangHuanZhaiQuan" label="是否适用：逾期未偿还债券" selectOptions="_buildInAppliance" controlType="CustomCheckbox" cRanges="[{&quot;StartName&quot;:&quot;_GBC_fb634e5ee243464e99bfca2d087924e6&quot;,&quot;EndName&quot;:&quot;_GBC_4ab8d4d31dd2419f9cbb87b59a6c8631&quot;,&quot;CType&quot;:1}]"/>
      <m:item xlName="_GBC_ff6ba0928b5b4b8897d7cfa2eafb4dfd" concept="clcid-ci-ar:DanWeiYuQiWeiChangHuanZhaiQuan" label="单位：逾期未偿还债券" selectOptions="_buildInScales" controlType="Combobox" cellType="Scale" appId="_GBC_fb634e5ee243464e99bfca2d087924e6"/>
      <m:item xlName="_GBC_38ad91d33d2f440e8aba2809f8acadeb" concept="clcid-ci-ar:BiZhongYuQiWeiChangHuanZhaiQuan" label="币种：逾期未偿还债券" selectOptions="_buildInISO4217" controlType="Combobox" cellType="Measure" appId="_GBC_fb634e5ee243464e99bfca2d087924e6"/>
      <m:placeholder xlName="_PLD_0b0f209fe6ad4541b59067c56d0f9be1" addr="T0R0C0S1_1"/>
      <m:placeholder xlName="_PLD_1bba2092b94649519d89e150b218b07f" addr="T0R0C1S1_1"/>
      <m:placeholder xlName="_PLD_4666ca607d604b2297202fffb4a06a28" addr="T0R0C2S1_1"/>
      <m:placeholder xlName="_PLD_c21526be66334225be63a6a8d650efba" addr="T0R0C3S1_1"/>
      <m:tuple xlName="_TUP_a42adbb7ea1748728c2a813bce1a518c" concept="clcid-cgi:YuQiWeiChangHuanZhaiQuan" default_row="2" addr="T0R1C">
        <m:item xlName="_GBC_83ce66af6ce74ca0a1f3ab46c3b75357" concept="clcid-cgi:YuQiWeiChangHuanZhaiQuanMingXiZhaiQuanMingCheng" label="逾期未偿还债券明细_债券名称" addr="T0R1C0S1_1" appId="_GBC_fb634e5ee243464e99bfca2d087924e6"/>
        <m:item xlName="_GBC_7d53fccfbbc64129b64e56f722a6254c" concept="clcid-cgi:YuQiWeiChangHuanZhaiQuanMingXiWeiChangHuanYuE" label="逾期未偿还债券明细_未偿还余额" mulRef="_GBC_ff6ba0928b5b4b8897d7cfa2eafb4dfd" unitRef="_GBC_38ad91d33d2f440e8aba2809f8acadeb" addr="T0R1C1S1_1" formatStyle="Comma" appId="_GBC_fb634e5ee243464e99bfca2d087924e6"/>
        <m:item xlName="_GBC_90e164bea58142ab8be159d246ba05ab" concept="clcid-cgi:YuQiWeiChangHuanZhaiQuanMingXiWeiAnQiChangHuanDeYuanYin" label="逾期未偿还债券明细_未按期偿还的原因" addr="T0R1C2S1_1" appId="_GBC_fb634e5ee243464e99bfca2d087924e6"/>
        <m:item xlName="_GBC_4ab8d4d31dd2419f9cbb87b59a6c8631" concept="clcid-cgi:YuQiWeiChangHuanZhaiQuanMingXiChuZhiJinZhan" label="逾期未偿还债券明细_处置进展" addr="T0R1C3S1_1" appId="_GBC_fb634e5ee243464e99bfca2d087924e6"/>
      </m:tuple>
    </m:section>
    <m:section xlName="_SEC_db8f5be58baf40d0bb47b6b45fabbfae" title="关于逾期债项的说明" helpId="112500009">
      <m:item xlName="_GBC_e709a54869bd438eab4c79ff3c52d7d0" concept="clcid-ci-ar:ShiFouShiYongGuanYuYuQiZhaiXiangDeShuoMing" label="是否适用：关于逾期债项的说明 " selectOptions="_buildInAppliance" controlType="CustomCheckbox" cRanges="{&quot;StartName&quot;:&quot;_GBC_e709a54869bd438eab4c79ff3c52d7d0&quot;,&quot;EndName&quot;:&quot;_GBC_211df736c07848cc958f3eae688de67a&quot;,&quot;CType&quot;:1,&quot;DisplayText&quot;:null}"/>
      <m:item xlName="_GBC_211df736c07848cc958f3eae688de67a" concept="clcid-cgi:GuanYuYuQiZhaiXiangDeShuoMing" label="关于逾期债项的说明" summaryGuid="_GBC_c9eed19c4e9b406c85ab9e57fc87d21c" appId="_GBC_e709a54869bd438eab4c79ff3c52d7d0"/>
    </m:section>
    <m:section xlName="_SEC_5399143278374bc6a0338b597e80e0a8" title="发行人或投资者选择权条款、投资者保护条款的触发和执行情况 ..." helpId="110002105">
      <m:item xlName="_GBC_185e6a8631e94bd5ac84f901f842a806" concept="clcid-ci-ar:ShiFouShiYongFaXingRenHuoTouZiZheXuanZeQuanTiaoKuanTouZiZheBaoHuTiaoKuanDeChuFaHeZhiXingQingKuang" label="是否适用：发行人或投资者选择权条款、投资者保护条款的触发和执行情况" selectOptions="_buildInAppliance" controlType="CustomCheckbox" cRanges="[{&quot;StartName&quot;:&quot;_GBC_185e6a8631e94bd5ac84f901f842a806&quot;,&quot;EndName&quot;:&quot;_GBC_c30a4bf64ab04e70aa1c9bd216eed3d6&quot;,&quot;CType&quot;:1}]"/>
      <m:item xlName="_GBC_c30a4bf64ab04e70aa1c9bd216eed3d6" concept="clcid-cgi:FaXingRenHuoTouZiZheXuanZeQuanTiaoKuanTouZiZheBaoHuTiaoKuanDeChuFaHeZhiXingQingKuang" label="发行人或投资者选择权条款、投资者保护条款的触发和执行情况" appId="_GBC_185e6a8631e94bd5ac84f901f842a806"/>
    </m:section>
    <m:section xlName="_SEC_1b23acce9c52448c9f10b5470b4e0f9c" title="公司债券评级情况" helpId="112500004">
      <m:item xlName="_GBC_156c21b8a0fd458b972701e31931bc37" concept="clcid-ci-ar:ShiFouShiYongGongSiZhaiQuanPingJiQingKuang" label="是否适用：公司债券评级情况" selectOptions="_buildInAppliance" controlType="CustomCheckbox" cRanges="{&quot;StartName&quot;:&quot;_GBC_156c21b8a0fd458b972701e31931bc37&quot;,&quot;EndName&quot;:&quot;_GBC_74ca0217bc7446a4915a94b66e3e0852&quot;,&quot;CType&quot;:1,&quot;DisplayText&quot;:null}"/>
      <m:item xlName="_GBC_74ca0217bc7446a4915a94b66e3e0852" concept="clcid-cgi:GongSiZhaiQuanZiXinPingJiJiGouQingKuang" label="公司债券资信评级机构情况" appId="_GBC_156c21b8a0fd458b972701e31931bc37"/>
    </m:section>
    <m:section xlName="_SEC_b7d50a796590402696ce9352af7e9496" title="担保情况、偿债计划及其他偿债保障措施在报告期内的执行情况和变..." helpId="110002106">
      <m:item xlName="_GBC_328fe233378e4337a49fc26ff04905d5" concept="clcid-ci-ar:ShiFouShiYongDanBaoQingKuangChangZhaiJiHuaJiQiTaChangZhaiBaoZhangCuoShiZaiBaoGaoQiNeiDeZhiXingQingKuangHeBianHuaQingKuangJiDuiZhaiQuanTouZiZheQuanYiDeYingXiang" label="是否适用：担保情况、偿债计划及其他偿债保障措施在报告期内的执行情况和变化情况及对债券投资者权益的影响" selectOptions="_buildInAppliance" controlType="CustomCheckbox" cRanges="[{&quot;StartName&quot;:&quot;_GBC_328fe233378e4337a49fc26ff04905d5&quot;,&quot;EndName&quot;:&quot;_GBC_e7d8ccefedc845ea9a1d4f6abbccb657&quot;,&quot;CType&quot;:1}]"/>
      <m:item xlName="_GBC_e7d8ccefedc845ea9a1d4f6abbccb657" concept="clcid-cgi:DanBaoQingKuangChangZhaiJiHuaJiQiTaChangZhaiBaoZhangCuoShiZaiBaoGaoQiNeiDeZhiXingQingKuangHeBianHuaQingKuangJiDuiZhaiQuanTouZiZheQuanYiDeYingXiang" label="担保情况、偿债计划及其他偿债保障措施在报告期内的执行情况和变化情况及对债券投资者权益的影响" appId="_GBC_328fe233378e4337a49fc26ff04905d5"/>
    </m:section>
    <m:section xlName="_SEC_c37bdbc7a0544c2485b82ea29a71e678" title="公司债券其他情况的说明  ">
      <m:item xlName="_GBC_f43ee2ad9a1340e2803eef0b47f048f2" concept="clcid-ci-ar:ShiFouShiYongGongSiZhaiQuanQiTaQingKuangDeShuoMing" label="是否适用：公司债券其他情况的说明" selectOptions="_buildInAppliance" controlType="CustomCheckbox" cRanges="{&quot;StartName&quot;:&quot;_GBC_f43ee2ad9a1340e2803eef0b47f048f2&quot;,&quot;EndName&quot;:&quot;_GBC_c1f74fa1f96f44f2a2386d1e86c2f2c4&quot;,&quot;CType&quot;:1,&quot;DisplayText&quot;:null}"/>
      <m:item xlName="_GBC_c1f74fa1f96f44f2a2386d1e86c2f2c4" concept="clcid-cgi:GongSiZhaiQuanQiTaQingKuangDeShuoMing" label="公司债券其他情况的说明" appId="_GBC_f43ee2ad9a1340e2803eef0b47f048f2"/>
    </m:section>
    <m:item xlName="_GBC_26e1b928d11c47bfad361d998e446706" concept="clcid-ci-ar:ShiFouShiYongYinXingJianZhaiQuanShiChangFeiJinRongQiYeZhaiWuRongZiGongJuXiangGuanQingKuang" label="是否适用：银行间债券市场非金融企业债务融资工具相关情况" selectOptions="_buildInAppliance" controlType="CustomCheckbox" appId="_GBC_8e6b9cf2d8c24a6faf41199f98e408b3" cRanges="[{&quot;StartName&quot;:&quot;_GBC_26e1b928d11c47bfad361d998e446706&quot;,&quot;EndName&quot;:&quot;_SEC_f9bf2c4fe6ff467498e3773fc0c13df6&quot;,&quot;CType&quot;:1}]">
      <m:axisValue occRef="非金融企业债务融资工具"/>
    </m:item>
    <m:section xlName="_SEC_3f8a3448cfdb4a6b9a931cd5e6b90c54" title="非金融企业债务融资工具基本情况" convertSummaryRule="NoConvert" helpId="112500001">
      <m:item xlName="_GBC_7df1b0ddc1ae48d2a74c0fa42ce9eb2d" concept="clcid-ci-ar:DanWeiCaiWuFuZhuGongSiZhaiQuanJiBenQingKuang" label="单位：财务附注：公司债券基本情况" selectOptions="_buildInScales" controlType="Combobox" cellType="Scale" appId="_GBC_26e1b928d11c47bfad361d998e446706">
        <m:axisValue occRef="非金融企业债务融资工具"/>
      </m:item>
      <m:item xlName="_GBC_7135d7c4f3914194be67f9b07af24f15" concept="clcid-ci-ar:BiZhongCaiWuFuZhuGongSiZhaiQuanJiBenQingKuang" label="币种：财务附注：公司债券基本情况" selectOptions="_buildInISO4217" controlType="Combobox" cellType="Measure" appId="_GBC_26e1b928d11c47bfad361d998e446706">
        <m:axisValue occRef="非金融企业债务融资工具"/>
      </m:item>
      <m:placeholder xlName="_PLD_5efc9fa0055f44cfbb3ae7a661706d4c" addr="T0R0C0S1_1"/>
      <m:placeholder xlName="_PLD_14ccfc2bb9ad4cb8b4a686db812a0260" addr="T0R0C1S1_1"/>
      <m:placeholder xlName="_PLD_91751b709ecb43eea4bbb230f28a4472" addr="T0R0C2S1_1"/>
      <m:placeholder xlName="_PLD_5cd0c320e788477eb40e6b1e1a0b21d3" addr="T0R0C3S1_1"/>
      <m:placeholder xlName="_PLD_a179a38dcf5742f6924600a59e8c23df" addr="T0R0C4S1_1"/>
      <m:placeholder xlName="_PLD_57eb03616af54594b8b86984ce9ae577" addr="T0R0C5S1_1"/>
      <m:placeholder xlName="_PLD_8519bda52cad4bbb90b70955340d3ce9" addr="T0R0C6S1_1"/>
      <m:placeholder xlName="_PLD_284486936ee94f7ba1480887494dcdf9" addr="T0R0C7S1_1"/>
      <m:placeholder xlName="_PLD_9c5aaa44f2284f91ad1e98d6975891cb" addr="T0R0C8S1_1"/>
      <m:placeholder xlName="_PLD_6f95e644000d48a497b513d88ac448b2" addr="T0R0C9S1_1"/>
      <m:placeholder xlName="_PLD_4f8bb6ea216146418807f05b78ac10dc" addr="T0R0C10S1_1"/>
      <m:placeholder xlName="_PLD_d192663cc211442b88877c029c729869" addr="T0R0C11S1_1"/>
      <m:placeholder xlName="_PLD_0f76b4981a9049cbbe1a608fda9cd3b0" addr="T0R0C12S1_1"/>
      <m:tuple xlName="_TUP_6c2c7e42d34f452cb78fc3b6634a6447" concept="clcid-cgi:GongSiZhaiQuanJiBenQingKuangMingXi" default_row="2" addr="T0R1C">
        <m:item xlName="_GBC_431abba208d145d08660b03adf822796" concept="clcid-cgi:GongSiZhaiQuanJiBenQingKuangMingXiZhaiQuanMingCheng" label="公司债券基本情况明细_债券名称" addr="T0R1C0S1_1" appId="_GBC_26e1b928d11c47bfad361d998e446706">
          <m:axisValue occRef="非金融企业债务融资工具"/>
        </m:item>
        <m:item xlName="_GBC_819c909410c34507ab72a4e4ac18e383" concept="clcid-cgi:GongSiZhaiQuanJiBenQingKuangMingXiJianCheng" label="公司债券基本情况明细_简称" addr="T0R1C1S1_1" appId="_GBC_26e1b928d11c47bfad361d998e446706">
          <m:axisValue occRef="非金融企业债务融资工具"/>
        </m:item>
        <m:item xlName="_GBC_fe735597958c4ed19745fe5bb75ca781" concept="clcid-cgi:GongSiZhaiQuanJiBenQingKuangMingXiDaiMa" label="公司债券基本情况明细_代码" addr="T0R1C2S1_1" appId="_GBC_26e1b928d11c47bfad361d998e446706">
          <m:axisValue occRef="非金融企业债务融资工具"/>
        </m:item>
        <m:item xlName="_GBC_74098214d4be4089baa2afb6f5953041" concept="clcid-cgi:GongSiZhaiQuanJiBenQingKuangMingXiFaXingRi" label="公司债券基本情况明细_发行日" addr="T0R1C3S1_1" appId="_GBC_26e1b928d11c47bfad361d998e446706" keyAction="38">
          <m:axisValue occRef="非金融企业债务融资工具"/>
        </m:item>
        <m:item xlName="_GBC_97a819fa63ea47b1a8f7d7d485b3a8cf" concept="clcid-cgi:GongSiZhaiQuanJiBenQingKuangMingXiQiXiRi" label="公司债券基本情况明细_起息日" addr="T0R1C4S1_1" appId="_GBC_26e1b928d11c47bfad361d998e446706">
          <m:axisValue occRef="非金融企业债务融资工具"/>
        </m:item>
        <m:item xlName="_GBC_f7406145db6b4d59b8337303e8d5c976" concept="clcid-cgi:GongSiZhaiQuanJiBenQingKuangMingXiDaoQiRi" label="公司债券基本情况明细_到期日" addr="T0R1C5S1_1" appId="_GBC_26e1b928d11c47bfad361d998e446706" keyAction="38">
          <m:axisValue occRef="非金融企业债务融资工具"/>
        </m:item>
        <m:item xlName="_GBC_ee6869bffbfd4576bba691c151b16662" concept="clcid-cgi:GongSiZhaiQuanJiBenQingKuangMingXiZhaiQuanYuE" label="公司债券基本情况明细_债券余额" mulRef="_GBC_7df1b0ddc1ae48d2a74c0fa42ce9eb2d" unitRef="_GBC_7135d7c4f3914194be67f9b07af24f15" addr="T0R1C6S1_1" formatStyle="Comma" appId="_GBC_26e1b928d11c47bfad361d998e446706">
          <m:axisValue occRef="非金融企业债务融资工具"/>
        </m:item>
        <m:item xlName="_GBC_8eb58ba26a37476593b275cb18c8defe" concept="clcid-cgi:GongSiZhaiQuanJiBenQingKuangMingXiLiLv" label="公司债券基本情况明细_利率" addr="T0R1C7S1_1" baseScale="0.01" formatStyle="Comma" appId="_GBC_26e1b928d11c47bfad361d998e446706">
          <m:axisValue occRef="非金融企业债务融资工具"/>
        </m:item>
        <m:item xlName="_GBC_aba684de0a99434fb73a2d0fecdd478b" concept="clcid-cgi:GongSiZhaiQuanJiBenQingKuangMingXiHuanBenFuXiFangShi" label="公司债券基本情况明细_还本付息方式" addr="T0R1C8S1_1" appId="_GBC_26e1b928d11c47bfad361d998e446706">
          <m:axisValue occRef="非金融企业债务融资工具"/>
        </m:item>
        <m:item xlName="_GBC_5ce34199b6164fb0b118f97fe6ab28dd" concept="clcid-cgi:GongSiZhaiQuanJiBenQingKuangMingXiJiaoYiChangSuo" label="公司债券基本情况明细_交易场所" addr="T0R1C9S1_1" appId="_GBC_26e1b928d11c47bfad361d998e446706">
          <m:axisValue occRef="非金融企业债务融资工具"/>
        </m:item>
        <m:item xlName="_GBC_c36694956f1a4982b721c168e255e5b7" concept="clcid-cgi:GongSiZhaiQuanJiBenQingKuangMingXiTouZiZheShiDangXingAnPai" label="公司债券基本情况明细_投资者适当性安排" addr="T0R1C10S1_1" appId="_GBC_26e1b928d11c47bfad361d998e446706">
          <m:axisValue occRef="非金融企业债务融资工具"/>
        </m:item>
        <m:item xlName="_GBC_e3541450252946eca0ff69f23b091289" concept="clcid-cgi:GongSiZhaiQuanJiBenQingKuangMingXiJiaoYiJiZhi" label="公司债券基本情况明细_交易机制" addr="T0R1C11S1_1" appId="_GBC_26e1b928d11c47bfad361d998e446706">
          <m:axisValue occRef="非金融企业债务融资工具"/>
        </m:item>
        <m:item xlName="_GBC_55933d0e33804432bc2d8ad90d191ec6" concept="clcid-cgi:GongSiZhaiQuanJiBenQingKuangMingXiShiFouCunZaiZhongZhiShangShiJiaoYiDeFengXian" label="公司债券基本情况明细_是否存在终止上市交易的风险 " selectOptions="_buildInYesNo" addr="T0R1C12S1_1" controlType="Combobox" appId="_GBC_26e1b928d11c47bfad361d998e446706">
          <m:axisValue occRef="非金融企业债务融资工具"/>
        </m:item>
      </m:tuple>
    </m:section>
    <m:section xlName="_SEC_c960bfcad3944f559dd2eefcbad971ce" title="(一) 非金融企业债务融资工具 公司对债券终止上市交易风险的应对措施" helpId="112500001">
      <m:item xlName="_GBC_0bf7144a544f49b783e7bb7f2a3c8140" concept="clcid-ci-ar:ShiFouShiYongGongSiDuiZhaiQuanZhongZhiShangShiJiaoYiFengXianDeYingDuiCuoShi" label="是否适用：公司对债券终止上市交易风险的应对措施 " selectOptions="_buildInAppliance" controlType="CustomCheckbox" cRanges="[{&quot;StartName&quot;:&quot;_GBC_0bf7144a544f49b783e7bb7f2a3c8140&quot;,&quot;EndName&quot;:&quot;_GBC_0efcf2b047b24581901b011250ad2e7c&quot;,&quot;CType&quot;:1}]">
        <m:axisValue occRef="非金融企业债务融资工具"/>
      </m:item>
      <m:item xlName="_GBC_0efcf2b047b24581901b011250ad2e7c" concept="clcid-cgi:GongSiDuiZhaiQuanZhongZhiShangShiJiaoYiFengXianDeYingDuiCuoShi" label="公司对债券终止上市交易风险的应对措施 " appId="_GBC_0bf7144a544f49b783e7bb7f2a3c8140">
        <m:axisValue occRef="非金融企业债务融资工具"/>
      </m:item>
    </m:section>
    <m:section xlName="_SEC_7345dace4a85448a8e1bbd6a35cf959d" title="非金融企业债务融资工具逾期未偿还债券" helpId="112500009">
      <m:item xlName="_GBC_01199c5296ec4fb5a190bdc6acefc487" concept="clcid-ci-ar:ShiFouShiYongYuQiWeiChangHuanZhaiQuan" label="是否适用：逾期未偿还债券" selectOptions="_buildInAppliance" controlType="CustomCheckbox" cRanges="[{&quot;StartName&quot;:&quot;_GBC_01199c5296ec4fb5a190bdc6acefc487&quot;,&quot;EndName&quot;:&quot;_GBC_a6d81e7e7cd94149bda72378d4e8c41d&quot;,&quot;CType&quot;:1}]">
        <m:axisValue occRef="非金融企业债务融资工具"/>
      </m:item>
      <m:item xlName="_GBC_23be9db524c548d3bc1857b58ac8ba0f" concept="clcid-ci-ar:DanWeiYuQiWeiChangHuanZhaiQuan" label="单位：逾期未偿还债券" selectOptions="_buildInScales" controlType="Combobox" cellType="Scale" appId="_GBC_01199c5296ec4fb5a190bdc6acefc487">
        <m:axisValue occRef="非金融企业债务融资工具"/>
      </m:item>
      <m:item xlName="_GBC_90d72fb78e05411f88bb1be854558974" concept="clcid-ci-ar:BiZhongYuQiWeiChangHuanZhaiQuan" label="币种：逾期未偿还债券" selectOptions="_buildInISO4217" controlType="Combobox" cellType="Measure" appId="_GBC_01199c5296ec4fb5a190bdc6acefc487">
        <m:axisValue occRef="非金融企业债务融资工具"/>
      </m:item>
      <m:placeholder xlName="_PLD_9bbfe75cb48a47e28ba733017bfa2815" addr="T0R0C0S1_1"/>
      <m:placeholder xlName="_PLD_e2a815ca931f42a0a1286fc9549a77f1" addr="T0R0C1S1_1"/>
      <m:placeholder xlName="_PLD_04bd819cbb2d4e6ba60a80f3992eeac2" addr="T0R0C2S1_1"/>
      <m:placeholder xlName="_PLD_3562de4fb082475b9a16b8ff1054b8f2" addr="T0R0C3S1_1"/>
      <m:tuple xlName="_TUP_80e7a6e45fe348639dfc0727dd6d57f8" concept="clcid-cgi:YuQiWeiChangHuanZhaiQuan" default_row="2" addr="T0R1C">
        <m:item xlName="_GBC_6f20af8d4c234eb98859fe01c98fed3c" concept="clcid-cgi:YuQiWeiChangHuanZhaiQuanMingXiZhaiQuanMingCheng" label="逾期未偿还债券明细_债券名称" addr="T0R1C0S1_1" appId="_GBC_01199c5296ec4fb5a190bdc6acefc487">
          <m:axisValue occRef="非金融企业债务融资工具"/>
        </m:item>
        <m:item xlName="_GBC_87116edf8ab949e5802bd777cda6d9b0" concept="clcid-cgi:YuQiWeiChangHuanZhaiQuanMingXiWeiChangHuanYuE" label="逾期未偿还债券明细_未偿还余额" mulRef="_GBC_23be9db524c548d3bc1857b58ac8ba0f" unitRef="_GBC_90d72fb78e05411f88bb1be854558974" addr="T0R1C1S1_1" formatStyle="Comma" appId="_GBC_01199c5296ec4fb5a190bdc6acefc487">
          <m:axisValue occRef="非金融企业债务融资工具"/>
        </m:item>
        <m:item xlName="_GBC_b3e81a1a341e4caa9d973f35939b6125" concept="clcid-cgi:YuQiWeiChangHuanZhaiQuanMingXiWeiAnQiChangHuanDeYuanYin" label="逾期未偿还债券明细_未按期偿还的原因" addr="T0R1C2S1_1" appId="_GBC_01199c5296ec4fb5a190bdc6acefc487">
          <m:axisValue occRef="非金融企业债务融资工具"/>
        </m:item>
        <m:item xlName="_GBC_a6d81e7e7cd94149bda72378d4e8c41d" concept="clcid-cgi:YuQiWeiChangHuanZhaiQuanMingXiChuZhiJinZhan" label="逾期未偿还债券明细_处置进展" addr="T0R1C3S1_1" appId="_GBC_01199c5296ec4fb5a190bdc6acefc487">
          <m:axisValue occRef="非金融企业债务融资工具"/>
        </m:item>
      </m:tuple>
    </m:section>
    <m:section xlName="_SEC_93a4b57e6e6e46698f68241bcd35c49f" title="非金融企业债务融资工具关于逾期债项的说明" helpId="112500009">
      <m:item xlName="_GBC_66b418e5abd740418ffc74949497dc68" concept="clcid-ci-ar:ShiFouShiYongGuanYuYuQiZhaiXiangDeShuoMing" label="是否适用：关于逾期债项的说明 " selectOptions="_buildInAppliance" controlType="CustomCheckbox" cRanges="[{&quot;StartName&quot;:&quot;_GBC_66b418e5abd740418ffc74949497dc68&quot;,&quot;EndName&quot;:&quot;_GBC_5747c94318a14310b045932c8a7af21d&quot;,&quot;CType&quot;:1}]">
        <m:axisValue occRef="非金融企业债务融资工具"/>
      </m:item>
      <m:item xlName="_GBC_5747c94318a14310b045932c8a7af21d" concept="clcid-cgi:GuanYuYuQiZhaiXiangDeShuoMing" label="关于逾期债项的说明" summaryGuid="_GBC_c9eed19c4e9b406c85ab9e57fc87d21c" appId="_GBC_66b418e5abd740418ffc74949497dc68">
        <m:axisValue occRef="非金融企业债务融资工具"/>
      </m:item>
    </m:section>
    <m:section xlName="_SEC_ee8ef2708a4c4a4bbfcdb7705ac59e4b" title="非金融企业债务融资工具发行人或投资者选择权条款、投资者保护条款的触发和执行情况" helpId="110002105">
      <m:item xlName="_GBC_272e98a7f8184f1abf1274b7fb444f09" concept="clcid-ci-ar:ShiFouShiYongFaXingRenHuoTouZiZheXuanZeQuanTiaoKuanTouZiZheBaoHuTiaoKuanDeChuFaHeZhiXingQingKuang" label="是否适用：发行人或投资者选择权条款、投资者保护条款的触发和执行情况" selectOptions="_buildInAppliance" controlType="CustomCheckbox" cRanges="[{&quot;StartName&quot;:&quot;_GBC_272e98a7f8184f1abf1274b7fb444f09&quot;,&quot;EndName&quot;:&quot;_GBC_8ffa11dc17d242a398a57612206c0194&quot;,&quot;CType&quot;:1}]">
        <m:axisValue occRef="非金融企业债务融资工具"/>
      </m:item>
      <m:item xlName="_GBC_8ffa11dc17d242a398a57612206c0194" concept="clcid-cgi:FaXingRenHuoTouZiZheXuanZeQuanTiaoKuanTouZiZheBaoHuTiaoKuanDeChuFaHeZhiXingQingKuang" label="发行人或投资者选择权条款、投资者保护条款的触发和执行情况" appId="_GBC_272e98a7f8184f1abf1274b7fb444f09">
        <m:axisValue occRef="非金融企业债务融资工具"/>
      </m:item>
    </m:section>
    <m:section xlName="_SEC_8116912147ba4341b8a27bb9f0b202f0" title="非金融企业债务融资工具信用评级结果调整情况" helpId="112500004">
      <m:item xlName="_GBC_1d7772b5346448f9b9b930cb9fd732f0" concept="clcid-ci-ar:ShiFouShiYongGongSiZhaiQuanPingJiQingKuang" label="是否适用：公司债券评级情况" selectOptions="_buildInAppliance" controlType="CustomCheckbox" cRanges="[{&quot;StartName&quot;:&quot;_GBC_1d7772b5346448f9b9b930cb9fd732f0&quot;,&quot;EndName&quot;:&quot;_GBC_bb735c271ec440d8b0daf4935ec836d1&quot;,&quot;CType&quot;:1}]">
        <m:axisValue occRef="非金融企业债务融资工具"/>
      </m:item>
      <m:item xlName="_GBC_bb735c271ec440d8b0daf4935ec836d1" concept="clcid-cgi:GongSiZhaiQuanZiXinPingJiJiGouQingKuang" label="公司债券资信评级机构情况" appId="_GBC_1d7772b5346448f9b9b930cb9fd732f0">
        <m:axisValue occRef="非金融企业债务融资工具"/>
      </m:item>
    </m:section>
    <m:section xlName="_SEC_96d3c49bcdff4a708e6cc02215c1760c" title="非金融企业债务融资工具担保情况、偿债计划及其他偿债保障措施在报告期内的执行和变化情况及其影响" helpId="110002106">
      <m:item xlName="_GBC_401b9d04a60349d99a1ef40c80f2b454" concept="clcid-ci-ar:ShiFouShiYongDanBaoQingKuangChangZhaiJiHuaJiQiTaChangZhaiBaoZhangCuoShiZaiBaoGaoQiNeiDeZhiXingQingKuangHeBianHuaQingKuangJiDuiZhaiQuanTouZiZheQuanYiDeYingXiang" label="是否适用：担保情况、偿债计划及其他偿债保障措施在报告期内的执行情况和变化情况及对债券投资者权益的影响" selectOptions="_buildInAppliance" controlType="CustomCheckbox" cRanges="[{&quot;StartName&quot;:&quot;_GBC_401b9d04a60349d99a1ef40c80f2b454&quot;,&quot;EndName&quot;:&quot;_GBC_a38608f5e4ed4154888c9017d276a5a8&quot;,&quot;CType&quot;:1}]">
        <m:axisValue occRef="非金融企业债务融资工具"/>
      </m:item>
      <m:item xlName="_GBC_a38608f5e4ed4154888c9017d276a5a8" concept="clcid-cgi:DanBaoQingKuangChangZhaiJiHuaJiQiTaChangZhaiBaoZhangCuoShiZaiBaoGaoQiNeiDeZhiXingQingKuangHeBianHuaQingKuangJiDuiZhaiQuanTouZiZheQuanYiDeYingXiang" label="担保情况、偿债计划及其他偿债保障措施在报告期内的执行情况和变化情况及对债券投资者权益的影响" appId="_GBC_401b9d04a60349d99a1ef40c80f2b454">
        <m:axisValue occRef="非金融企业债务融资工具"/>
      </m:item>
    </m:section>
    <m:section xlName="_SEC_f9bf2c4fe6ff467498e3773fc0c13df6" title="非金融企业债务融资工具其他情况的说明">
      <m:item xlName="_GBC_1545a32f6e064f4ba4a6f6496d1c3fdc" concept="clcid-ci-ar:ShiFouShiYongFeiJinRongQiYeZhaiWuRongZiGongJuQiTaQingKuangDeShuoMing" label="是否适用：非金融企业债务融资工具其他情况的说明" selectOptions="_buildInAppliance" controlType="CustomCheckbox" cRanges="[{&quot;StartName&quot;:&quot;_GBC_1545a32f6e064f4ba4a6f6496d1c3fdc&quot;,&quot;EndName&quot;:&quot;_GBC_3ba5a3a3e7c84019a2a61579d9bec61f&quot;,&quot;CType&quot;:1}]"/>
      <m:item xlName="_GBC_3ba5a3a3e7c84019a2a61579d9bec61f" concept="clcid-cgi:FeiJinRongQiYeZhaiWuRongZiGongJuQiTaQingKuangDeShuoMing" label="非金融企业债务融资工具其他情况的说明" appId="_GBC_1545a32f6e064f4ba4a6f6496d1c3fdc"/>
    </m:section>
    <m:section xlName="_SEC_53cb8a9927c84975874838d7d288b8eb" title="公司报告期内合并报表范围亏损超过上年末净资产10%亏损情..." helpId="110002107">
      <m:item xlName="_GBC_ff0f2375ea374f0b8a9d7ba3ce91f6ae" concept="clcid-ci-ar:ShiFouShiYongGongSiBaoGaoQiNeiHeBingBaoBiaoFanWeiKuiSunChaoGuoShangNianMoJingZiChanBaiFenZhiShi" label="是否适用：公司报告期内合并报表范围亏损超过上年末净资产10% " selectOptions="_buildInAppliance" controlType="CustomCheckbox" cRanges="[{&quot;StartName&quot;:&quot;_GBC_ff0f2375ea374f0b8a9d7ba3ce91f6ae&quot;,&quot;EndName&quot;:&quot;_GBC_b15886457bae4de18fb564756b38b304&quot;,&quot;CType&quot;:1}]"/>
      <m:item xlName="_GBC_b000075afe454d029eb3f98e2b84b53d" concept="clcid-cgi:GongSiBaoGaoQiNeiHeBingBaoBiaoFanWeiKuiSunQingKuang" label="公司报告期内合并报表范围亏损情况" addr="T0R0C1S1_1" tagAction="1" appId="_GBC_ff0f2375ea374f0b8a9d7ba3ce91f6ae"/>
      <m:item xlName="_GBC_03adf2935850466e84a2a9de152a011f" concept="clcid-cgi:GongSiBaoGaoQiNeiHeBingBaoBiaoFanWeiKuiSunYuanYin" label="公司报告期内合并报表范围亏损原因" addr="T0R1C1S1_1" appId="_GBC_ff0f2375ea374f0b8a9d7ba3ce91f6ae"/>
      <m:item xlName="_GBC_b15886457bae4de18fb564756b38b304" concept="clcid-cgi:GongSiBaoGaoQiNeiHeBingBaoBiaoFanWeiKuiSunDuiGongSiShengChanJingYingHeChangZhaiNengLiDeYingXiang" label="公司报告期内合并报表范围亏损对公司生产经营和偿债能力的影响" addr="T0R2C1S1_1" appId="_GBC_ff0f2375ea374f0b8a9d7ba3ce91f6ae"/>
      <m:placeholder xlName="_PLD_a7098be7b3014d77b59d9daf658d6a0a" addr="T0R0C0S1_1"/>
      <m:placeholder xlName="_PLD_1ab4636d88ed4fb19b17ac8a2fa3ecaa" addr="T0R1C0S1_1"/>
      <m:placeholder xlName="_PLD_7f1350f5ee8e4a2db85ac3ad1b03b758" addr="T0R2C0S1_1"/>
    </m:section>
    <m:section xlName="_SEC_9f3013bc6d4940f49cf3cfe39dab5a57" title="截至报告期末公司近2年的会计数据和财务指标" helpId="112500008">
      <m:item xlName="_GBC_e1fb30558f9c454b8f3ba9e82315063f" concept="clcid-ci-ar:ShiFouShiYongJieZhiBaoGaoQiMoHeShangNianMoHuoBenBaoGaoQiHeShangNianTongQiXiaLieKuaiJiShuJuHeCaiWuZhiBiao" label="是否适用：截至报告期末和上年末（或本报告期和上年同期）下列会计数据和财务指标 " selectOptions="_buildInAppliance" controlType="CustomCheckbox" cRanges="{&quot;StartName&quot;:&quot;_GBC_e1fb30558f9c454b8f3ba9e82315063f&quot;,&quot;EndName&quot;:&quot;_GBC_359f48c661394f828886bc27ea2ff242&quot;,&quot;CType&quot;:1,&quot;DisplayText&quot;:null}"/>
      <m:item xlName="_GBC_afc0f331fd4b47ce87ad91eec01d628d" concept="clcid-ci-ar:DanWeiCaiWuFuZhuJieZhiBaoGaoQiMoGongSiJinNianDeHuiJiShuJuHeCaiWuZhiBiao" label="单位：财务附注：截至报告期末公司近2年的会计数据和财务指标" selectOptions="_buildInScales" controlType="Combobox" cellType="Scale" appId="_GBC_e1fb30558f9c454b8f3ba9e82315063f"/>
      <m:item xlName="_GBC_17d60ed9196541edac6e74398e4722b2" concept="clcid-ci-ar:BiZhongCaiWuFuZhuJieZhiBaoGaoQiMoGongSiJinNianDeHuiJiShuJuHeCaiWuZhiBiao" label="币种：财务附注：截至报告期末公司近2年的会计数据和财务指标" selectOptions="_buildInISO4217" controlType="Combobox" cellType="Measure" appId="_GBC_e1fb30558f9c454b8f3ba9e82315063f"/>
      <m:placeholder xlName="_PLD_d195a4fd0c8947ce9988f222f3a78dcb" addr="T0R0C0S1_1"/>
      <m:placeholder xlName="_PLD_c7ed68982a194c52a3ba61882b189048" addr="T0R0C1S1_1"/>
      <m:placeholder xlName="_PLD_47ecd04c8b4547359265315ddd51a277" addr="T0R0C2S1_1"/>
      <m:placeholder xlName="_PLD_d7987bdd020141d68b5e9af795a4bf39" addr="T0R0C3S1_1"/>
      <m:placeholder xlName="_PLD_0a234168cf5443608cc3ae6d76104114" addr="T0R0C4S1_1"/>
      <m:item xlName="_GBC_bd409c6f670641169f425cad0556a6a1" concept="clcid-pte:LiuDongBiLv" label="流动比率" addr="T0R1C1S1_1" formatStyle="Comma" appId="_GBC_e1fb30558f9c454b8f3ba9e82315063f"/>
      <m:item xlName="_GBC_38f9c97bbafb4c5e8e2339e73c95b64e" concept="clcid-pte:LiuDongBiLv" label="流动比率" periodRef="上年度期末数" addr="T0R1C2S1_1" formatStyle="Comma" appId="_GBC_e1fb30558f9c454b8f3ba9e82315063f"/>
      <m:item xlName="_GBC_c67a4b47769a46b8906b279ad0acef24" concept="clcid-pte:LiuDongBiLvBenQiBiShangNianTongQiZengJian" label="流动比率本期比上年同期增减" addr="T0R1C3S1_1" baseScale="0.01" formatStyle="Comma" appId="_GBC_e1fb30558f9c454b8f3ba9e82315063f"/>
      <m:item xlName="_GBC_445970bc09c84d1b9e92fbf8ba366527" concept="clcid-pte:LiuDongBiLvBianDongYuanYin" label="流动比率变动原因" addr="T0R1C4S1_1" appId="_GBC_e1fb30558f9c454b8f3ba9e82315063f"/>
      <m:item xlName="_GBC_221035c2b4294781b5d9dcc038d7d7a5" concept="clcid-pte:SuDongBiLv" label="速动比率" addr="T0R2C1S1_1" formatStyle="Comma" appId="_GBC_e1fb30558f9c454b8f3ba9e82315063f"/>
      <m:item xlName="_GBC_e0ba2fabfab74e04906636831e4863c1" concept="clcid-pte:SuDongBiLv" label="速动比率" periodRef="上年度期末数" addr="T0R2C2S1_1" formatStyle="Comma" appId="_GBC_e1fb30558f9c454b8f3ba9e82315063f"/>
      <m:item xlName="_GBC_0acadb120f0d470391faaef11514e66a" concept="clcid-pte:SuDongBiLvBenQiBiShangNianTongQiZengJian" label="速动比率本期比上年同期增减" addr="T0R2C3S1_1" baseScale="0.01" formatStyle="Comma" appId="_GBC_e1fb30558f9c454b8f3ba9e82315063f"/>
      <m:item xlName="_GBC_08ac2919205f4ecc8a8f1c74dd20a620" concept="clcid-pte:SuDongBiLvBianDongYuanYin" label="速动比率变动原因" addr="T0R2C4S1_1" appId="_GBC_e1fb30558f9c454b8f3ba9e82315063f"/>
      <m:item xlName="_GBC_f380f63cdcfe4f95aef87ab1bc3b3a16" concept="clcid-pte:ZiChanFuZhaiLv" label="资产负债率" addr="T0R3C1S1_1" baseScale="0.01" formatStyle="Comma" appId="_GBC_e1fb30558f9c454b8f3ba9e82315063f"/>
      <m:item xlName="_GBC_f7ff5f2cfcf64641a3a40acd1f5c2e45" concept="clcid-pte:ZiChanFuZhaiLv" label="资产负债率" periodRef="上年度期末数" addr="T0R3C2S1_1" baseScale="0.01" formatStyle="Comma" appId="_GBC_e1fb30558f9c454b8f3ba9e82315063f"/>
      <m:item xlName="_GBC_7923784092934cb18e4d85f261f74b2e" concept="clcid-pte:ZiChanFuZhaiLvBenQiBiShangQiZengJian" label="资产负债率本期比上期增减" addr="T0R3C3S1_1" baseScale="0.01" formatStyle="Comma" appId="_GBC_e1fb30558f9c454b8f3ba9e82315063f"/>
      <m:item xlName="_GBC_7d41c11447f447f6ad91a3c46f12cd12" concept="clcid-pte:ZiChanFuZhaiLvBianDongYuanYin" label="资产负债率变动原因" addr="T0R3C4S1_1" appId="_GBC_e1fb30558f9c454b8f3ba9e82315063f"/>
      <m:tuple xlName="_TUP_9d4ad4176e134d4fb1426434cefe92b8" concept="clcid-pte:GongSiZhaiQuanDeZhuYaoShiDianHuiJiShuJuMingXi" default_row="2" addr="T0R4C">
        <m:item xlName="_GBC_a1d6edfe95764da5a52b0eaaec0741a9" concept="clcid-pte:GongSiZhaiQuanDeZhuYaoShiDianHuiJiShuJuZhuYaoZhiBiao" label="公司债券的主要时点会计数据_主要指标" addr="T0R4C0S1_1" appId="_GBC_e1fb30558f9c454b8f3ba9e82315063f"/>
        <m:item xlName="_GBC_dbfaaa32034748c791b0f8d5e793fbeb" concept="clcid-pte:GongSiZhaiQuanDeZhuYaoShiDianHuiJiShuJuKeMuZhi" label="公司债券的主要时点会计数据_科目值" addr="T0R4C1S1_1" formatStyle="Comma" appId="_GBC_e1fb30558f9c454b8f3ba9e82315063f"/>
        <m:item xlName="_GBC_67bdacf9ac9f487abe450a51d9608cf9" concept="clcid-pte:GongSiZhaiQuanDeZhuYaoShiDianHuiJiShuJuKeMuZhi" label="公司债券的主要时点会计数据_科目值" periodRef="上年度期末数" addr="T0R4C2S1_1" formatStyle="Comma" appId="_GBC_e1fb30558f9c454b8f3ba9e82315063f"/>
        <m:item xlName="_GBC_1b1ae79acb1248c082c16e1fbc1ee97a" concept="clcid-pte:GongSiZhaiQuanDeZhuYaoShiDianHuiJiShuJuBenBaoGaoQiMoBiShangNianDuMoZengJian" label="公司债券的主要时点会计数据_本报告期末比上年度末增减" addr="T0R4C3S1_1" baseScale="0.01" formatStyle="Comma" appId="_GBC_e1fb30558f9c454b8f3ba9e82315063f">
          <m:complexRule comparator="Eq" title="公司债券的主要时点会计数据_本报告期末比上年度末增减" id="Ca216aec905014760b1baaaffb1b4178e"/>
        </m:item>
        <m:item xlName="_GBC_4f5bb0f88aa74a549600f11fa8920808" concept="clcid-pte:GongSiZhaiQuanDeZhuYaoShiDianHuiJiShuJuBianDongYuanYin" label="公司债券的主要时点会计数据_变动原因" addr="T0R4C4S1_1" appId="_GBC_e1fb30558f9c454b8f3ba9e82315063f"/>
      </m:tuple>
      <m:placeholder xlName="_PLD_cd01cbf2064441c59f0d55273cf5edd8" addr="T0R6C1S1_1"/>
      <m:placeholder xlName="_PLD_d9f41572fdf9470db9c0bdb0e5965c99" addr="T0R6C2S1_1"/>
      <m:placeholder xlName="_PLD_56d0ed11f2ac430eba65cfcf410fb79a" addr="T0R6C3S1_1"/>
      <m:placeholder xlName="_PLD_55052107e6074393811b3d17d8f0571a" addr="T0R6C4S1_1"/>
      <m:placeholder xlName="_PLD_2f9bbaf519d7471f8b1718ca1201bfc5" addr="T0R7C0S1_1"/>
      <m:item xlName="_GBC_895a61b083d8497eb05d8b81386a99d1" concept="clcid-pte:KouChuFeiJingChangXingSunYiHouDeJingLiRun" label="扣除非经常性损益后的净利润" mulRef="_GBC_afc0f331fd4b47ce87ad91eec01d628d" unitRef="_GBC_17d60ed9196541edac6e74398e4722b2" addr="T0R7C1S1_1" formatStyle="Comma" appId="_GBC_e1fb30558f9c454b8f3ba9e82315063f"/>
      <m:item xlName="_GBC_42351c8e4bf24fc0bedde16f7c83cd88" concept="clcid-pte:KouChuFeiJingChangXingSunYiHouDeJingLiRun" label="扣除非经常性损益后的净利润" periodRef="上年同期数" mulRef="_GBC_afc0f331fd4b47ce87ad91eec01d628d" unitRef="_GBC_17d60ed9196541edac6e74398e4722b2" addr="T0R7C2S1_1" formatStyle="Comma" appId="_GBC_e1fb30558f9c454b8f3ba9e82315063f"/>
      <m:item xlName="_GBC_b57cb1816f014422ba5645ffdf0576e8" concept="clcid-pte:KouChuFeiJingChangXingSunYiDeJingLiRunBenQiBiShangQiZengJian" label="扣除非经常性损益的净利润本期比上期增减" addr="T0R7C3S1_1" baseScale="0.01" formatStyle="Comma" appId="_GBC_e1fb30558f9c454b8f3ba9e82315063f"/>
      <m:item xlName="_GBC_9f54962a2236430594112ec2ea8af215" concept="clcid-pte:KouChuFeiJingChangXingSunYiHouDeJingLiRunZengJianBianDongYuanYin" label="扣除非经常性损益后的净利润增减变动原因" addr="T0R7C4S1_1" appId="_GBC_e1fb30558f9c454b8f3ba9e82315063f"/>
      <m:placeholder xlName="_PLD_569b53edd23745689349d8e78614dfaa" addr="T0R8C0S1_1"/>
      <m:item xlName="_GBC_7bfa815119d745e594ac5a0bcdc60fbe" concept="clcid-pte:EBITDAQuanBuZhaiWuBi" label="EBITDA全部债务比" addr="T0R8C1S1_1" formatStyle="Comma" appId="_GBC_e1fb30558f9c454b8f3ba9e82315063f"/>
      <m:item xlName="_GBC_069837d432114e00b0d982da9c1017a3" concept="clcid-pte:EBITDAQuanBuZhaiWuBi" label="EBITDA全部债务比" periodRef="上年期末数" addr="T0R8C2S1_1" formatStyle="Comma" appId="_GBC_e1fb30558f9c454b8f3ba9e82315063f"/>
      <m:item xlName="_GBC_f4b673ef0681421d836c9b14d9dc9b33" concept="clcid-pte:EBITDAQuanBuZhaiWuBiBenQiBiShangNianTongQiZengJian" label="EBITDA全部债务比本期比上年同期增减" addr="T0R8C3S1_1" baseScale="0.01" formatStyle="Comma" appId="_GBC_e1fb30558f9c454b8f3ba9e82315063f"/>
      <m:item xlName="_GBC_e478eb9e306f4de0b50e6dd08098b2e7" concept="clcid-pte:EBITDAQuanBuZhaiWuBiBianDongYuanYin" label="EBITDA全部债务比变动原因" addr="T0R8C4S1_1" appId="_GBC_e1fb30558f9c454b8f3ba9e82315063f"/>
      <m:placeholder xlName="_PLD_895a8b19c0454c66b5dda4a41b56a53e" addr="T0R9C0S1_1"/>
      <m:item xlName="_GBC_64688f621d294d6e9560b047ec331657" concept="clcid-pte:LiXiBaoZhangBeiShu" label="利息保障倍数" addr="T0R9C1S1_1" formatStyle="Comma" appId="_GBC_e1fb30558f9c454b8f3ba9e82315063f"/>
      <m:item xlName="_GBC_81dfbbd34e714a54a4b52080869f854a" concept="clcid-pte:LiXiBaoZhangBeiShu" label="利息保障倍数" periodRef="上年同期期末数" addr="T0R9C2S1_1" formatStyle="Comma" appId="_GBC_e1fb30558f9c454b8f3ba9e82315063f"/>
      <m:item xlName="_GBC_a9d87f7fb65140a1a82242dc6617726e" concept="clcid-pte:LiXiBaoZhangBeiShuBenQiBiShangNianTongQiZengJian" label="利息保障倍数本期比上年同期增减" addr="T0R9C3S1_1" baseScale="0.01" formatStyle="Comma" appId="_GBC_e1fb30558f9c454b8f3ba9e82315063f"/>
      <m:item xlName="_GBC_30ba61bacea24e1d87d7d904712e168e" concept="clcid-pte:LiXiBaoZhangBeiShuBianDongYuanYin" label="利息保障倍数变动原因" addr="T0R9C4S1_1" appId="_GBC_e1fb30558f9c454b8f3ba9e82315063f"/>
      <m:placeholder xlName="_PLD_9e76937ddcca4df388abd237c4f6e534" addr="T0R10C0S1_1"/>
      <m:item xlName="_GBC_c681dcdf60734f759528cccc3cf8ba84" concept="clcid-pte:XianJinLiXiBaoZhangBeiShu" label="现金利息保障倍数" addr="T0R10C1S1_1" formatStyle="Comma" appId="_GBC_e1fb30558f9c454b8f3ba9e82315063f"/>
      <m:item xlName="_GBC_95f2d0b9cab64245a3b16a1f43a1b5f2" concept="clcid-pte:XianJinLiXiBaoZhangBeiShu" label="现金利息保障倍数" periodRef="上年同期期末数" addr="T0R10C2S1_1" formatStyle="Comma" appId="_GBC_e1fb30558f9c454b8f3ba9e82315063f"/>
      <m:item xlName="_GBC_0d64c00f067d4eff83c2f0f70f0d9e7f" concept="clcid-pte:XianJinLiXiBaoZhangBeiShuBenQiBiShangNianTongQiZengJian" label="现金利息保障倍数本期比上年同期增减" addr="T0R10C3S1_1" formatStyle="Comma" appId="_GBC_e1fb30558f9c454b8f3ba9e82315063f"/>
      <m:item xlName="_GBC_6e12a0038c2749a7a0cf68c4fffa29e5" concept="clcid-pte:XianJinLiXiBaoZhangBeiShuBianDongYuanYin" label="现金利息保障倍数变动原因" addr="T0R10C4S1_1" appId="_GBC_e1fb30558f9c454b8f3ba9e82315063f"/>
      <m:placeholder xlName="_PLD_bccf7ac01f4d434baa485db49ed2cd18" addr="T0R11C0S1_1"/>
      <m:item xlName="_GBC_d9e3e8b14b8c4f0fbf46eda846b93620" concept="clcid-pte:EBITDALiXiBaoZhangBeiShu" label="EBITDA利息保障倍数" addr="T0R11C1S1_1" formatStyle="Comma" appId="_GBC_e1fb30558f9c454b8f3ba9e82315063f">
        <m:complexRule comparator="Eq" title="EBITDA利息保障倍数" id="Ce2bc4245fb3e45229d007841e594f45f"/>
      </m:item>
      <m:item xlName="_GBC_8057b9a6250942c0ab5b4c2cfa91ebeb" concept="clcid-pte:EBITDALiXiBaoZhangBeiShu" label="EBITDA利息保障倍数" periodRef="上年同期期末数" addr="T0R11C2S1_1" formatStyle="Comma" appId="_GBC_e1fb30558f9c454b8f3ba9e82315063f"/>
      <m:item xlName="_GBC_ae54a37dbd174e7e97fade341ffcbd85" concept="clcid-pte:EBITDALiXiBaoZhangBeiShuBenQiBiShangNianTongQiZengJian" label="EBITDA利息保障倍数本期比上年同期增减" addr="T0R11C3S1_1" baseScale="0.01" formatStyle="Comma" appId="_GBC_e1fb30558f9c454b8f3ba9e82315063f"/>
      <m:item xlName="_GBC_d3ba50ea7d2647e8b9844ba30bada3e8" concept="clcid-pte:EBITDALiXiBaoZhangBeiShuBianDongYuanYin" label="EBITDA利息保障倍数变动原因" addr="T0R11C4S1_1" appId="_GBC_e1fb30558f9c454b8f3ba9e82315063f"/>
      <m:placeholder xlName="_PLD_71161f8aa3fa4dd0a9227db7b69ebf12" addr="T0R12C0S1_1"/>
      <m:item xlName="_GBC_7078a1c8236349e39827fb2179319811" concept="clcid-pte:DaiKuanChangHuanLv" label="贷款偿还率" addr="T0R12C1S1_1" baseScale="0.01" formatStyle="Comma" appId="_GBC_e1fb30558f9c454b8f3ba9e82315063f"/>
      <m:item xlName="_GBC_9821979a5f5b4eb8b76ee93cd12056d9" concept="clcid-pte:DaiKuanChangHuanLv" label="贷款偿还率" periodRef="上年期末数" addr="T0R12C2S1_1" baseScale="0.01" formatStyle="Comma" appId="_GBC_e1fb30558f9c454b8f3ba9e82315063f"/>
      <m:item xlName="_GBC_33ea66eb899549b88ddd4c4e740663d7" concept="clcid-pte:DaiKuanChangHuanLvBenQiBiShangNianTongQiZengJian" label="贷款偿还率本期比上年同期增减" addr="T0R12C3S1_1" baseScale="0.01" formatStyle="Comma" appId="_GBC_e1fb30558f9c454b8f3ba9e82315063f"/>
      <m:item xlName="_GBC_70ecb47fb88e49e99809fb62f13ab60c" concept="clcid-pte:DaiKuanChangHuanLvBianDongYuanYin" label="贷款偿还率变动原因" addr="T0R12C4S1_1" appId="_GBC_e1fb30558f9c454b8f3ba9e82315063f"/>
      <m:placeholder xlName="_PLD_078136c2ae4b45de8464e961cd743a59" addr="T0R13C0S1_1"/>
      <m:item xlName="_GBC_d69d838c93cc4aa582cdcef1bb04e89d" concept="clcid-pte:LiXiChangFuLv" label="利息偿付率" addr="T0R13C1S1_1" baseScale="0.01" formatStyle="Comma" appId="_GBC_e1fb30558f9c454b8f3ba9e82315063f"/>
      <m:item xlName="_GBC_ba1764d9bda046a0b22e22840d407b8b" concept="clcid-pte:LiXiChangFuLv" label="利息偿付率" periodRef="上年同期期末数" addr="T0R13C2S1_1" baseScale="0.01" formatStyle="Comma" appId="_GBC_e1fb30558f9c454b8f3ba9e82315063f"/>
      <m:item xlName="_GBC_82969896235d4363ac5685cc76bd8001" concept="clcid-pte:LiXiChangFuLvBenQiBiShangNianTongQiZengJian" label="利息偿付率本期比上年同期增减" addr="T0R13C3S1_1" baseScale="0.01" formatStyle="Comma" appId="_GBC_e1fb30558f9c454b8f3ba9e82315063f"/>
      <m:item xlName="_GBC_a2b3a603cc794e41a592672ee1cf37fc" concept="clcid-pte:LiXiChangFuLvBianDongYuanYin" label="利息偿付率变动原因" addr="T0R13C4S1_1" appId="_GBC_e1fb30558f9c454b8f3ba9e82315063f"/>
      <m:tuple xlName="_TUP_219df0fce3244f5b891a522a30f9645e" concept="clcid-pte:GongSiZhaiQuanDeZhuYaoShiQiHuiJiShuJuMingXi" default_row="2" addr="T0R14C">
        <m:item xlName="_GBC_debeff301cef426cb04a8c56ef0318d4" concept="clcid-pte:GongSiZhaiQuanDeZhuYaoShiQiHuiJiShuJuZhuYaoZhiBiao" label="公司债券的主要时期会计数据_主要指标" addr="T0R14C0S1_1" appId="_GBC_e1fb30558f9c454b8f3ba9e82315063f"/>
        <m:item xlName="_GBC_968c122f750a4cfcb463e911e7da7cf8" concept="clcid-pte:GongSiZhaiQuanDeZhuYaoShiQiHuiJiShuJuKeMuZhi" label="公司债券的主要时期会计数据_科目值" addr="T0R14C1S1_1" formatStyle="Comma" appId="_GBC_e1fb30558f9c454b8f3ba9e82315063f"/>
        <m:item xlName="_GBC_9b8124d47d1a40cab45fad1d8579fd62" concept="clcid-pte:GongSiZhaiQuanDeZhuYaoShiQiHuiJiShuJuKeMuZhi" label="公司债券的主要时期会计数据_科目值" periodRef="上年同期期末数" addr="T0R14C2S1_1" formatStyle="Comma" appId="_GBC_e1fb30558f9c454b8f3ba9e82315063f"/>
        <m:item xlName="_GBC_76312ef3f44e4e5fa024e0bae06f7c75" concept="clcid-pte:GongSiZhaiQuanDeZhuYaoShiQiHuiJiShuJuBenBaoGaoQiMoBiShangNianDuMoZengJian" label="公司债券的主要时期会计数据_本报告期末比上年度末增减" addr="T0R14C3S1_1" baseScale="0.01" formatStyle="Comma" appId="_GBC_e1fb30558f9c454b8f3ba9e82315063f"/>
        <m:item xlName="_GBC_359f48c661394f828886bc27ea2ff242" concept="clcid-pte:GongSiZhaiQuanDeZhuYaoShiQiHuiJiShuJuBianDongYuanYin" label="公司债券的主要时期会计数据_变动原因" addr="T0R14C4S1_1" appId="_GBC_e1fb30558f9c454b8f3ba9e82315063f"/>
      </m:tuple>
      <m:placeholder xlName="_PLD_4177f3cf6f4849f8bb08b6d94373a325" addr="T0R1C0S1_1"/>
      <m:placeholder xlName="_PLD_b787e366186540abb8f119f3907046d7" addr="T0R2C0S1_1"/>
      <m:placeholder xlName="_PLD_432ac5f4629b473a891520f926a7d73d" addr="T0R3C0S1_1"/>
    </m:section>
    <m:item xlName="_GBC_6a49e99841294af3b87ba6216b1997d9" concept="clcid-ci-ar:ShiFouShiYongKeZhuanHuanGongSiZhaiQuanQingKuang" label="是否适用：可转换公司债券情况" selectOptions="_buildInAppliance" controlType="CustomCheckbox" cRanges="{&quot;StartName&quot;:&quot;_GBC_6a49e99841294af3b87ba6216b1997d9&quot;,&quot;EndName&quot;:&quot;_SEC_cc036ec1e45042a4a4bce38515d23fb4&quot;,&quot;CType&quot;:1,&quot;DisplayText&quot;:null}"/>
    <m:section xlName="_SEC_7b43a59e4b774f688e87b04a6fd9b0bf" title="转债发行情况" convertSummaryRule="NoConvert">
      <m:item xlName="_GBC_c48c5ecb20504e2580dc7d98ed5264b7" concept="clcid-cgi:ZhuanZhaiFaXingQingKuang" label="转债发行情况" appId="_GBC_6a49e99841294af3b87ba6216b1997d9"/>
    </m:section>
    <m:section xlName="_SEC_7f82abb841ec4e91b7d333b30060eb09" title="报告期转债持有人及担保人情况" tupleConcept="clcid-cgi:BaoGaoQiZhuanZhaiChiYouRenJiDanBaoRenQingKuangMingXi" repeatable="1">
      <m:placeholder xlName="_PLD_170ef4a273bd483fb036b247c3082d71" addr="T0R0C0S1_1"/>
      <m:item xlName="_GBC_0cd9fa5721dc4fe78595e98b4d30bff8" concept="clcid-cgi:KeZhuanHuanGongSiZhaiQuanMingCheng" label="可转换公司债券名称" addr="T0R0C1S1_2" tagAction="1" appId="_GBC_6a49e99841294af3b87ba6216b1997d9"/>
      <m:placeholder xlName="_PLD_ef880fd207214d5997d220133d4bfadf" addr="T0R1C0S1_1"/>
      <m:item xlName="_GBC_a1f0451e446947c4b0b0ca433010a483" concept="clcid-cgi:GongSiQiMoKeZhuanZhaiChiYouRenShu" label="公司期末可转债持有人数" addr="T0R1C1S1_2" formatStyle="Comma" appId="_GBC_6a49e99841294af3b87ba6216b1997d9"/>
      <m:placeholder xlName="_PLD_a5e209f92d5a44829a53889ca1fe2bef" addr="T0R2C0S1_1"/>
      <m:item xlName="_GBC_df97260cd42143eab461ab5d76aa97c6" concept="clcid-cgi:BenGongSiZhuanZhaiDeDanBaoRen" label="本公司转债的担保人" addr="T0R2C1S1_2" appId="_GBC_6a49e99841294af3b87ba6216b1997d9"/>
      <m:placeholder xlName="_PLD_b35c0e0ccd3e4bf698ac8b2f2f7b035f" addr="T0R3C0S1_1"/>
      <m:item xlName="_GBC_7698d25a23ad459b805c68ecb1acf94c" concept="clcid-cgi:DanBaoRenYingLiNengLiZiChanZhuangKuangHeXinYongZhuangKuangZhongDaBianHuaQingKuang" label="担保人盈利能力、资产状况和信用状况重大变化情况 " addr="T0R3C1S1_2" appId="_GBC_6a49e99841294af3b87ba6216b1997d9"/>
      <m:placeholder xlName="_PLD_fbb2edc5a82444e183fcca4df57c5d2d" addr="T0R4C0S1_3"/>
      <m:placeholder xlName="_PLD_8de4de1739d04f52b96bac0ddb0c3eb3" addr="T0R5C0S1_1"/>
      <m:placeholder xlName="_PLD_a631100d3f854e6891be4185f557936f" addr="T0R5C1S1_1"/>
      <m:placeholder xlName="_PLD_39a80ddddb604fd8ae2e3911097b816d" addr="T0R5C2S1_1"/>
      <m:tuple xlName="_TUP_253c98858873455dae56ed3a2581ff2f" concept="clcid-cgi:GongSiQianShiMingKeZhuanZhaiChiYouRenQingKuang" default_row="2" addr="T0R6C">
        <m:item xlName="_GBC_d34afc1a1bf242bc944f65dc87ee1527" concept="clcid-cgi:KeZhuanHuanGongSiZhaiQuanChiYouRenMingCheng" label="可转换公司债券持有人名称" addr="T0R6C0S1_1" appId="_GBC_6a49e99841294af3b87ba6216b1997d9"/>
        <m:item xlName="_GBC_5a0a2862f5d841a488d836527a480709" concept="clcid-cgi:KeZhuanHuanGongSiZhaiQuanChiYouRenQiMoChiZhaiShuLiang" label="可转换公司债券持有人期末持债数量" addr="T0R6C1S1_1" formatStyle="Comma" appId="_GBC_6a49e99841294af3b87ba6216b1997d9"/>
        <m:item xlName="_GBC_0bb9a18d010e49b0ac8b7f4eda38bee0" concept="clcid-cgi:KeZhuanHuanGongSiZhaiQuanChiYouRenQiMoChiYouBiLi" label="可转换公司债券持有人期末持有比例" addr="T0R6C2S1_1" baseScale="0.01" formatStyle="Comma" appId="_GBC_6a49e99841294af3b87ba6216b1997d9"/>
      </m:tuple>
    </m:section>
    <m:section xlName="_SEC_b9f22fe710ea43fdac5cd3b3d1602d99" title="报告期转债变动情况" convertSummaryRule="NoConvert">
      <m:item xlName="_GBC_20aa060b9df94daea38be4c0d73f0a82" concept="clcid-ci-ar:DanWeiBaoGaoQiZhuanZhaiBianDongQingKuang" label="单位：报告期转债变动情况" selectOptions="_buildInScales" controlType="Combobox" cellType="Scale" appId="_GBC_6a49e99841294af3b87ba6216b1997d9"/>
      <m:item xlName="_GBC_b9d22a6176be49788e99c7c2d55b1b80" concept="clcid-ci-ar:BiZhongBaoGaoQiZhuanZhaiBianDongQingKuang" label="币种：报告期转债变动情况" selectOptions="_buildInISO4217" controlType="Combobox" cellType="Measure" appId="_GBC_6a49e99841294af3b87ba6216b1997d9"/>
      <m:placeholder xlName="_PLD_573d4237b63241268ca631e7322d51bb" addr="T0R0C0S2_1"/>
      <m:placeholder xlName="_PLD_b7c0a00dc63a4366b1bf69c47b361e58" addr="T0R0C1S2_1"/>
      <m:placeholder xlName="_PLD_97993887cd984aeba7bb223218a3cabd" addr="T0R0C2S1_3"/>
      <m:placeholder xlName="_PLD_0cddd6f9e08245228fe9c0fa331ba6ee" addr="T0R0C5S2_1"/>
      <m:placeholder xlName="_PLD_0b7a166d91cd40ffac148b3b0dff5827" addr="T0R1C2S1_1"/>
      <m:placeholder xlName="_PLD_09b291325ae34b88a9d26a34a6da15d4" addr="T0R1C3S1_1"/>
      <m:placeholder xlName="_PLD_fc738779773b4fbe955cbc836a6cd62a" addr="T0R1C4S1_1"/>
      <m:tuple xlName="_TUP_0dd50df215074837981e871144652c3c" concept="clcid-cgi:BaoGaoQiZhuanZhaiBianDongQingKuangMingXi" default_row="2" addr="T0R2C">
        <m:item xlName="_GBC_6ac56be3257641e68e3e09eb502a373d" concept="clcid-cgi:KeZhuanHuanGongSiZhaiQuanMingCheng" label="可转换公司债券名称" addr="T0R2C0S1_1" tagAction="1" appId="_GBC_6a49e99841294af3b87ba6216b1997d9"/>
        <m:item xlName="_GBC_e9f417544c8140349b966375d0031b23" concept="clcid-cgi:BenCiBianDongQianKeZhuanZhai" label="本次变动前可转债" periodRef="本期期初数" mulRef="_GBC_20aa060b9df94daea38be4c0d73f0a82" unitRef="_GBC_b9d22a6176be49788e99c7c2d55b1b80" addr="T0R2C1S1_1" tagAction="1" formatStyle="Comma" appId="_GBC_6a49e99841294af3b87ba6216b1997d9"/>
        <m:item xlName="_GBC_7f88fa363d644e859e1b4c58d0be440a" concept="clcid-cgi:KeZhuanZhaiBenCiZhuanGu" label="可转债本次转股" mulRef="_GBC_20aa060b9df94daea38be4c0d73f0a82" unitRef="_GBC_b9d22a6176be49788e99c7c2d55b1b80" addr="T0R2C2S1_1" tagAction="1" formatStyle="Comma" appId="_GBC_6a49e99841294af3b87ba6216b1997d9"/>
        <m:item xlName="_GBC_59d1faf132de415b859bb4b7936fda9e" concept="clcid-cgi:KeZhuanZhaiBenCiShuHui" label="可转债本次赎回" mulRef="_GBC_20aa060b9df94daea38be4c0d73f0a82" unitRef="_GBC_b9d22a6176be49788e99c7c2d55b1b80" addr="T0R2C3S1_1" tagAction="1" formatStyle="Comma" appId="_GBC_6a49e99841294af3b87ba6216b1997d9"/>
        <m:item xlName="_GBC_518f33698af34d51b957b3f851676651" concept="clcid-cgi:KeZhuanZhaiBenCiHuiShou" label="可转债本次回售" mulRef="_GBC_20aa060b9df94daea38be4c0d73f0a82" unitRef="_GBC_b9d22a6176be49788e99c7c2d55b1b80" addr="T0R2C4S1_1" tagAction="1" formatStyle="Comma" appId="_GBC_6a49e99841294af3b87ba6216b1997d9"/>
        <m:item xlName="_GBC_78cf82238fc34e7e99a5827a7aff0e4b" concept="clcid-cgi:BenCiBianDongHouKeZhuanZhai" label="本次变动后可转债" mulRef="_GBC_20aa060b9df94daea38be4c0d73f0a82" unitRef="_GBC_b9d22a6176be49788e99c7c2d55b1b80" addr="T0R2C5S1_1" tagAction="1" formatStyle="Comma" appId="_GBC_6a49e99841294af3b87ba6216b1997d9"/>
      </m:tuple>
    </m:section>
    <m:section xlName="_SEC_9efab8215ecb4674a0bf11385b12d00f" title="报告期转债累计转股情况" tupleConcept="clcid-cgi:BaoGaoQiZhuanZhaiLeiJiZhuanGuQingKuangMingXi" repeatable="1">
      <m:placeholder xlName="_PLD_f6f62a3b6d1b4f1cab42a020313a0bf2" addr="T0R0C0S1_1"/>
      <m:item xlName="_GBC_ad21249926cd421faa1aaf74e271ce08" concept="clcid-cgi:KeZhuanHuanGongSiZhaiQuanMingCheng" label="可转换公司债券名称" addr="T0R0C1S1_1" tagAction="1" appId="_GBC_6a49e99841294af3b87ba6216b1997d9"/>
      <m:placeholder xlName="_PLD_a32893b2bdcf4a9295cc2e3ad78263f3" addr="T0R1C0S1_1"/>
      <m:item xlName="_GBC_e3cdc9010a774ad2a4f0df3f1ee4dbd4" concept="clcid-cgi:BenBaoGaoQiZhuanGuE" label="本报告期转股额" addr="T0R1C1S1_1" formatStyle="Comma" appId="_GBC_6a49e99841294af3b87ba6216b1997d9"/>
      <m:placeholder xlName="_PLD_54ce99de4f934c338910fe334d4cf3ef" addr="T0R2C0S1_1"/>
      <m:item xlName="_GBC_e6016a85fdcf416b98fda4915f387446" concept="clcid-cgi:BenBaoGaoQiZhuanGuShu" label="本报告期转股数" addr="T0R2C1S1_1" formatStyle="Comma" appId="_GBC_6a49e99841294af3b87ba6216b1997d9"/>
      <m:placeholder xlName="_PLD_3c474fb2c3ae4fd1abc454bc2f3fca67" addr="T0R3C0S1_1"/>
      <m:item xlName="_GBC_7021d60a3c0148dc8b0734c5156c98ec" concept="clcid-cgi:LeiJiZhuanGuShu" label="累计转股数" addr="T0R3C1S1_1" formatStyle="Comma" appId="_GBC_6a49e99841294af3b87ba6216b1997d9"/>
      <m:placeholder xlName="_PLD_d18a0c6f21bb4f5ea6bf92ca6c7d3c48" addr="T0R4C0S1_1"/>
      <m:item xlName="_GBC_c41ec184f3724a178526cba4face35fd" concept="clcid-cgi:LeiJiZhuanGuShuZhanZhuanGuQianGongSiYiFaXingGuFenZongShu" label="累计转股数占转股前公司已发行股份总数" addr="T0R4C1S1_1" baseScale="0.01" formatStyle="Comma" appId="_GBC_6a49e99841294af3b87ba6216b1997d9"/>
      <m:placeholder xlName="_PLD_10e7da7f1db340bb9034442492c6c520" addr="T0R5C0S1_1"/>
      <m:item xlName="_GBC_9321e41e99344250a7924e1d435d8eeb" concept="clcid-cgi:ShangWeiZhuanGuE" label="尚未转股额" addr="T0R5C1S1_1" formatStyle="Comma" appId="_GBC_6a49e99841294af3b87ba6216b1997d9"/>
      <m:placeholder xlName="_PLD_5674ab20737041e0a79ba52793b9eac7" addr="T0R6C0S1_1"/>
      <m:item xlName="_GBC_64a13768412c4ee5a4a19e2c176b5942" concept="clcid-cgi:WeiZhuanGuZhanZhuanZhaiFaXingZongLiang" label="未转股占转债发行总量" addr="T0R6C1S1_1" baseScale="0.01" formatStyle="Comma" appId="_GBC_6a49e99841294af3b87ba6216b1997d9"/>
    </m:section>
    <m:item xlName="_GBC_00961fb4f3ee4a1694a243600402a0a9" concept="clcid-ci-ar:DanWeiZhuanGuJiaGeLiCiTiaoZhengQingKuang" label="单位：转股价格历次调整情况" selectOptions="_buildInScales" controlType="Combobox" cellType="Scale" appId="_GBC_6a49e99841294af3b87ba6216b1997d9"/>
    <m:item xlName="_GBC_a431a6b0a18c49efa3d2e8d3c8bd1e70" concept="clcid-ci-ar:BiZhongZhuanGuJiaGeLiCiTiaoZhengQingKuang" label="币种：转股价格历次调整情况" selectOptions="_buildInISO4217" controlType="Combobox" cellType="Measure" appId="_GBC_6a49e99841294af3b87ba6216b1997d9"/>
    <m:section xlName="_SEC_a5cea25713674d7d8959e2b0b662b500" title="转股价格历次调整情况" tupleConcept="clcid-cgi:ZhuanGuJiaGeLiCiDiaoZhengQingKuangMingXi" repeatable="1">
      <m:placeholder xlName="_PLD_75f1438856c1483589b9d1eaad628ec9" addr="T0R0C0S1_3"/>
      <m:item xlName="_GBC_7708b799fadb48289076b614c48e86f3" concept="clcid-cgi:KeZhuanHuanGongSiZhaiQuanMingCheng" label="可转换公司债券名称" addr="T0R0C3S1_3" tagAction="1" appId="_GBC_6a49e99841294af3b87ba6216b1997d9"/>
      <m:placeholder xlName="_PLD_a0d9acb5e8a945c3aa95226d8becf9be" addr="T0R1C0S1_1"/>
      <m:placeholder xlName="_PLD_dc00d5aafbda40849eed8f3447abe562" addr="T0R1C1S1_1"/>
      <m:placeholder xlName="_PLD_86ba5cf9244a46938639efd1838cb943" addr="T0R1C2S1_2"/>
      <m:placeholder xlName="_PLD_b3a447cd95eb40d296123fd22ef80722" addr="T0R1C4S1_1"/>
      <m:placeholder xlName="_PLD_d880b5d21fdc4c46b4379a62c35eaf7a" addr="T0R1C5S1_1"/>
      <m:tuple xlName="_TUP_364b4f8ef8254c4ea599a0d04df0ac2e" concept="clcid-cgi:ZhuanGuJiaGeLiCiTiaoZhengQingKuang" default_row="2" addr="T0R2C">
        <m:item xlName="_GBC_1a7b38f123b043a6a8b43caf7f43b793" concept="clcid-cgi:ZhuanGuJiaGeTiaoZhengRi" label="转股价格调整日" addr="T0R2C0S1_1" appId="_GBC_6a49e99841294af3b87ba6216b1997d9" keyAction="38"/>
        <m:item xlName="_GBC_e678e56b9afb46739916798e610f5ecc" concept="clcid-cgi:TiaoZhengHouZhuanGuJiaGe" label="调整后转股价格" mulRef="_GBC_00961fb4f3ee4a1694a243600402a0a9" unitRef="_GBC_a431a6b0a18c49efa3d2e8d3c8bd1e70" addr="T0R2C1S1_1" formatStyle="Comma" appId="_GBC_6a49e99841294af3b87ba6216b1997d9"/>
        <m:item xlName="_GBC_49f3d6a027e0487eb7f992996cd145ea" concept="clcid-cgi:ZhuanGuJiaGeTiaoZhengPiLuShiJian" label="转股价格调整披露时间" addr="T0R2C2S1_2" appId="_GBC_6a49e99841294af3b87ba6216b1997d9" keyAction="38"/>
        <m:item xlName="_GBC_4f38fc6b0783434c9030b16abcf9a039" concept="clcid-cgi:ZhuanGuJiaGeTiaoZhengPiLuMeiTi" label="转股价格调整披露媒体" addr="T0R2C4S1_1" appId="_GBC_6a49e99841294af3b87ba6216b1997d9"/>
        <m:item xlName="_GBC_83ed6be4b0614604bd8ec717400e71b5" concept="clcid-cgi:ZhuanGuJiaGeTiaoZhengShuoMing" label="转股价格调整说明" addr="T0R2C5S1_1" appId="_GBC_6a49e99841294af3b87ba6216b1997d9"/>
      </m:tuple>
      <m:placeholder xlName="_PLD_bd458a48499547659f64ed447b0b432d" addr="T0R4C0S1_2"/>
      <m:item xlName="_GBC_81599be8b8874b298e22b3c06697a8aa" concept="clcid-cgi:JieZhiBenBaoGaoQiMoZuiXinZhuanGuJiaGe" label="截止本报告期末最新转股价格" mulRef="_GBC_00961fb4f3ee4a1694a243600402a0a9" unitRef="_GBC_a431a6b0a18c49efa3d2e8d3c8bd1e70" addr="T0R4C2S1_4" formatStyle="Comma" appId="_GBC_6a49e99841294af3b87ba6216b1997d9"/>
    </m:section>
    <m:section xlName="_SEC_61331536cfaf4da0a6a270818a4ab35b" title="公司的负债情况、资信变化情况及在未来年度还债的现金安排" convertSummaryRule="NoConvert">
      <m:item xlName="_GBC_951dbf66b34846a29c9fa97d2846a033" concept="clcid-cgi:BenGongSiZhuanZhaiFaXingRenDeQingKuangShuoMing" label="本公司转债发行人的情况说明" appId="_GBC_6a49e99841294af3b87ba6216b1997d9"/>
    </m:section>
    <m:section xlName="_SEC_cc036ec1e45042a4a4bce38515d23fb4" title="转债其他情况说明" convertSummaryRule="NoConvert">
      <m:item xlName="_GBC_05671db70130497585085fbe2a037412" concept="clcid-cgi:QiTaZhuanZhaiQingKuangShuoMing" label="其他转债情况说明" appId="_GBC_6a49e99841294af3b87ba6216b1997d9"/>
    </m:section>
  </m:document>
  <m:conditions>
    <m:precondition id="CON_1a48cdb3133a4677a167bac7a8bc1aa8" desc="营业收入_上期数大于0" test=" $_GBC_7c5da886e3a04f318f97bf5b3df41719 &gt;  0 "/>
    <m:precondition id="CON_af473f7d20304c22995363c757f6daf0" desc="资产上年末数大于0" test=" $_GBC_6c7912ed42714421ab5f733f008d5f76 &gt;  0 "/>
    <m:precondition id="CON_197fec41ec98488498dfbe498be59a74" desc="股东权益上年末数大于0" test=" $_GBC_8d9460019b644ac19fb31e97c9b4647e &gt;  0 "/>
    <m:precondition id="CON_bdd606b457ef4e93a2a0294a54e4b405" desc="经营现金流量_上期数大于0" test=" $_GBC_7e2906a118e24d74ad326fa7837a253e &gt;  0 "/>
    <m:precondition id="CON_4da0ebfe15f24df88a660504507e40e1" desc="基本每股收益上期数大于0" test=" $_GBC_584729723e57485398b1976834ccf5b0 &gt;  0 "/>
    <m:precondition id="CON_a61b951a5f0c465ba40b9b17e981dbcd" desc="稀释每股收益上期数大于0" test=" $_GBC_df6801dbb6554f788e5691b1275ddc0c &gt;  0 "/>
    <m:precondition id="CON_6f9fe1fdf3be45bbaebeadd971a87dfa" desc="扣后净利润_上期数大于0" test=" $_GBC_9a2bb710bc064c538a123f1d4d9adca0 &gt;  0 "/>
    <m:precondition id="CON_657ce831c12f4f5781f276dad93ed67d" desc="归属净利润大于0" test=" $_GBC_3730fdab291446f69786b3732d6fa348 &gt;  0 "/>
    <m:precondition id="CON_cb528b2dd3f44a8abfa014ef24c74987" desc="扣后基本每股收益上期数大于0" test=" $_GBC_b9acb6b637744de2b3a128c6e247d5bf &gt;  0 "/>
  </m:conditions>
</m:mapping>
</file>

<file path=customXml/item5.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安徽省交通建设股份有限公司</clcid-cgi:GongSiFaDingZhongWenMingCheng>
  <clcid-mr:GongSiFuZeRenXingMing xmlns:clcid-mr="clcid-mr">吴小辉</clcid-mr:GongSiFuZeRenXingMing>
  <clcid-mr:ZhuGuanKuaiJiGongZuoFuZeRenXingMing xmlns:clcid-mr="clcid-mr">施秀莹</clcid-mr:ZhuGuanKuaiJiGongZuoFuZeRenXingMing>
  <clcid-mr:KuaiJiJiGouFuZeRenXingMing xmlns:clcid-mr="clcid-mr">王国鑫</clcid-mr:KuaiJiJiGouFuZeRenXingMing>
  <clcid-cgi:GongSiFaDingDaiBiaoRen xmlns:clcid-cgi="clcid-cgi">吴小辉</clcid-cgi:GongSiFaDingDaiBiaoRen>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27,259.01</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157,747.92</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-126,105.54</clcid-pte:ChuShangShuGeXiangZhiWaiDeQiTaYingYeWaiShouZhiJingE>
  <clcid-pte:ChuShangShuGeXiangZhiWaiDeQiTaYingYeWaiShouZhiJingEShuoMing xmlns:clcid-pte="clcid-pte"/>
  <clcid-pte:QiTaFeiJingChangXingSunYiXiangMu xmlns:clcid-pte="clcid-pte">169,338.54</clcid-pte:QiTaFeiJingChangXingSunYiXiangMu>
  <clcid-pte:QiTaFeiJingChangXingSunYiXiangMuShuoMing xmlns:clcid-pte="clcid-pte"/>
  <clcid-pte:FeiJingChangXingSunYiXiangMuZhongShaoShuGuDongQuanYiYingXiangE xmlns:clcid-pte="clcid-pte">-25,125.60</clcid-pte:FeiJingChangXingSunYiXiangMuZhongShaoShuGuDongQuanYiYingXiangE>
  <clcid-pte:FeiJingChangXingSunYiXiangMuZhongShaoShuGuDongQuanYiYingXiangEShuoMing xmlns:clcid-pte="clcid-pte"/>
  <clcid-pte:FeiJingChangXingSunYiDeKouChuXiangMuDuiSuoDeShuiDeYingXiang xmlns:clcid-pte="clcid-pte">-55,731.81</clcid-pte:FeiJingChangXingSunYiDeKouChuXiangMuDuiSuoDeShuiDeYingXiang>
  <clcid-pte:FeiJingChangXingSunYiDeKouChuXiangMuDuiSuoDeShuiDeYingXiangShuoMing xmlns:clcid-pte="clcid-pte"/>
  <clcid-pte:KouChuDeFeiJingChangXingSunYiHeJi xmlns:clcid-pte="clcid-pte">147,382.52</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ShiFouShiYongTuFaHuanJingShiJianYingJiYuAn/>
</b:binding>
</file>

<file path=customXml/item6.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]]></t:sse>
</t:template>
</file>

<file path=customXml/itemProps1.xml><?xml version="1.0" encoding="utf-8"?>
<ds:datastoreItem xmlns:ds="http://schemas.openxmlformats.org/officeDocument/2006/customXml" ds:itemID="{02481D21-8FA8-4F49-A8CF-28E8CDA4C8E4}">
  <ds:schemaRefs>
    <ds:schemaRef ds:uri="http://schemas.openxmlformats.org/officeDocument/2006/bibliography"/>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9991DADE-E99D-4273-AAB4-224875BA02A8}">
  <ds:schemaRefs>
    <ds:schemaRef ds:uri="http://mapping.word.org/2012/mapping"/>
  </ds:schemaRefs>
</ds:datastoreItem>
</file>

<file path=customXml/itemProps5.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6.xml><?xml version="1.0" encoding="utf-8"?>
<ds:datastoreItem xmlns:ds="http://schemas.openxmlformats.org/officeDocument/2006/customXml" ds:itemID="{890C7724-6132-4303-93A9-F15BE2C1B558}">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1057</TotalTime>
  <Pages>152</Pages>
  <Words>27611</Words>
  <Characters>157388</Characters>
  <Application>Microsoft Office Word</Application>
  <DocSecurity>0</DocSecurity>
  <Lines>1311</Lines>
  <Paragraphs>369</Paragraphs>
  <ScaleCrop>false</ScaleCrop>
  <Company>Sky123.Org</Company>
  <LinksUpToDate>false</LinksUpToDate>
  <CharactersWithSpaces>184630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林 玲</cp:lastModifiedBy>
  <cp:revision>89</cp:revision>
  <cp:lastPrinted>2021-08-24T02:17:00Z</cp:lastPrinted>
  <dcterms:created xsi:type="dcterms:W3CDTF">2021-08-17T02:29:00Z</dcterms:created>
  <dcterms:modified xsi:type="dcterms:W3CDTF">2021-08-27T02:00:00Z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168772BFE8C64832B08015D1B99FA48A</vt:lpwstr>
  </property>
</Properties>
</file>